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footer52.xml" ContentType="application/vnd.openxmlformats-officedocument.wordprocessingml.foot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header59.xml" ContentType="application/vnd.openxmlformats-officedocument.wordprocessingml.header+xml"/>
  <Override PartName="/word/footer58.xml" ContentType="application/vnd.openxmlformats-officedocument.wordprocessingml.foot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header62.xml" ContentType="application/vnd.openxmlformats-officedocument.wordprocessingml.header+xml"/>
  <Override PartName="/word/footer61.xml" ContentType="application/vnd.openxmlformats-officedocument.wordprocessingml.foot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header65.xml" ContentType="application/vnd.openxmlformats-officedocument.wordprocessingml.header+xml"/>
  <Override PartName="/word/footer64.xml" ContentType="application/vnd.openxmlformats-officedocument.wordprocessingml.footer+xml"/>
  <Override PartName="/word/footer65.xml" ContentType="application/vnd.openxmlformats-officedocument.wordprocessingml.footer+xml"/>
  <Override PartName="/word/header66.xml" ContentType="application/vnd.openxmlformats-officedocument.wordprocessingml.header+xml"/>
  <Override PartName="/word/footer66.xml" ContentType="application/vnd.openxmlformats-officedocument.wordprocessingml.footer+xml"/>
  <Override PartName="/word/header67.xml" ContentType="application/vnd.openxmlformats-officedocument.wordprocessingml.header+xml"/>
  <Override PartName="/word/header68.xml" ContentType="application/vnd.openxmlformats-officedocument.wordprocessingml.header+xml"/>
  <Override PartName="/word/footer67.xml" ContentType="application/vnd.openxmlformats-officedocument.wordprocessingml.footer+xml"/>
  <Override PartName="/word/footer68.xml" ContentType="application/vnd.openxmlformats-officedocument.wordprocessingml.footer+xml"/>
  <Override PartName="/word/header69.xml" ContentType="application/vnd.openxmlformats-officedocument.wordprocessingml.header+xml"/>
  <Override PartName="/word/footer69.xml" ContentType="application/vnd.openxmlformats-officedocument.wordprocessingml.footer+xml"/>
  <Override PartName="/word/header70.xml" ContentType="application/vnd.openxmlformats-officedocument.wordprocessingml.header+xml"/>
  <Override PartName="/word/header71.xml" ContentType="application/vnd.openxmlformats-officedocument.wordprocessingml.header+xml"/>
  <Override PartName="/word/footer70.xml" ContentType="application/vnd.openxmlformats-officedocument.wordprocessingml.footer+xml"/>
  <Override PartName="/word/footer71.xml" ContentType="application/vnd.openxmlformats-officedocument.wordprocessingml.footer+xml"/>
  <Override PartName="/word/header72.xml" ContentType="application/vnd.openxmlformats-officedocument.wordprocessingml.header+xml"/>
  <Override PartName="/word/footer72.xml" ContentType="application/vnd.openxmlformats-officedocument.wordprocessingml.footer+xml"/>
  <Override PartName="/word/header73.xml" ContentType="application/vnd.openxmlformats-officedocument.wordprocessingml.header+xml"/>
  <Override PartName="/word/header74.xml" ContentType="application/vnd.openxmlformats-officedocument.wordprocessingml.header+xml"/>
  <Override PartName="/word/footer73.xml" ContentType="application/vnd.openxmlformats-officedocument.wordprocessingml.footer+xml"/>
  <Override PartName="/word/footer74.xml" ContentType="application/vnd.openxmlformats-officedocument.wordprocessingml.footer+xml"/>
  <Override PartName="/word/header75.xml" ContentType="application/vnd.openxmlformats-officedocument.wordprocessingml.header+xml"/>
  <Override PartName="/word/footer75.xml" ContentType="application/vnd.openxmlformats-officedocument.wordprocessingml.footer+xml"/>
  <Override PartName="/word/header76.xml" ContentType="application/vnd.openxmlformats-officedocument.wordprocessingml.header+xml"/>
  <Override PartName="/word/header77.xml" ContentType="application/vnd.openxmlformats-officedocument.wordprocessingml.header+xml"/>
  <Override PartName="/word/footer76.xml" ContentType="application/vnd.openxmlformats-officedocument.wordprocessingml.footer+xml"/>
  <Override PartName="/word/footer77.xml" ContentType="application/vnd.openxmlformats-officedocument.wordprocessingml.footer+xml"/>
  <Override PartName="/word/header78.xml" ContentType="application/vnd.openxmlformats-officedocument.wordprocessingml.header+xml"/>
  <Override PartName="/word/footer78.xml" ContentType="application/vnd.openxmlformats-officedocument.wordprocessingml.footer+xml"/>
  <Override PartName="/word/header79.xml" ContentType="application/vnd.openxmlformats-officedocument.wordprocessingml.header+xml"/>
  <Override PartName="/word/header80.xml" ContentType="application/vnd.openxmlformats-officedocument.wordprocessingml.header+xml"/>
  <Override PartName="/word/footer79.xml" ContentType="application/vnd.openxmlformats-officedocument.wordprocessingml.footer+xml"/>
  <Override PartName="/word/footer80.xml" ContentType="application/vnd.openxmlformats-officedocument.wordprocessingml.footer+xml"/>
  <Override PartName="/word/header81.xml" ContentType="application/vnd.openxmlformats-officedocument.wordprocessingml.header+xml"/>
  <Override PartName="/word/footer81.xml" ContentType="application/vnd.openxmlformats-officedocument.wordprocessingml.footer+xml"/>
  <Override PartName="/word/header82.xml" ContentType="application/vnd.openxmlformats-officedocument.wordprocessingml.header+xml"/>
  <Override PartName="/word/header83.xml" ContentType="application/vnd.openxmlformats-officedocument.wordprocessingml.header+xml"/>
  <Override PartName="/word/footer82.xml" ContentType="application/vnd.openxmlformats-officedocument.wordprocessingml.footer+xml"/>
  <Override PartName="/word/footer83.xml" ContentType="application/vnd.openxmlformats-officedocument.wordprocessingml.footer+xml"/>
  <Override PartName="/word/header84.xml" ContentType="application/vnd.openxmlformats-officedocument.wordprocessingml.header+xml"/>
  <Override PartName="/word/footer84.xml" ContentType="application/vnd.openxmlformats-officedocument.wordprocessingml.footer+xml"/>
  <Override PartName="/word/header85.xml" ContentType="application/vnd.openxmlformats-officedocument.wordprocessingml.header+xml"/>
  <Override PartName="/word/header86.xml" ContentType="application/vnd.openxmlformats-officedocument.wordprocessingml.header+xml"/>
  <Override PartName="/word/footer85.xml" ContentType="application/vnd.openxmlformats-officedocument.wordprocessingml.footer+xml"/>
  <Override PartName="/word/footer86.xml" ContentType="application/vnd.openxmlformats-officedocument.wordprocessingml.footer+xml"/>
  <Override PartName="/word/header87.xml" ContentType="application/vnd.openxmlformats-officedocument.wordprocessingml.header+xml"/>
  <Override PartName="/word/footer87.xml" ContentType="application/vnd.openxmlformats-officedocument.wordprocessingml.footer+xml"/>
  <Override PartName="/word/header88.xml" ContentType="application/vnd.openxmlformats-officedocument.wordprocessingml.header+xml"/>
  <Override PartName="/word/header89.xml" ContentType="application/vnd.openxmlformats-officedocument.wordprocessingml.header+xml"/>
  <Override PartName="/word/footer88.xml" ContentType="application/vnd.openxmlformats-officedocument.wordprocessingml.footer+xml"/>
  <Override PartName="/word/footer89.xml" ContentType="application/vnd.openxmlformats-officedocument.wordprocessingml.footer+xml"/>
  <Override PartName="/word/header90.xml" ContentType="application/vnd.openxmlformats-officedocument.wordprocessingml.header+xml"/>
  <Override PartName="/word/footer90.xml" ContentType="application/vnd.openxmlformats-officedocument.wordprocessingml.footer+xml"/>
  <Override PartName="/word/header91.xml" ContentType="application/vnd.openxmlformats-officedocument.wordprocessingml.header+xml"/>
  <Override PartName="/word/header92.xml" ContentType="application/vnd.openxmlformats-officedocument.wordprocessingml.header+xml"/>
  <Override PartName="/word/footer91.xml" ContentType="application/vnd.openxmlformats-officedocument.wordprocessingml.footer+xml"/>
  <Override PartName="/word/footer92.xml" ContentType="application/vnd.openxmlformats-officedocument.wordprocessingml.footer+xml"/>
  <Override PartName="/word/header93.xml" ContentType="application/vnd.openxmlformats-officedocument.wordprocessingml.header+xml"/>
  <Override PartName="/word/footer93.xml" ContentType="application/vnd.openxmlformats-officedocument.wordprocessingml.footer+xml"/>
  <Override PartName="/word/header94.xml" ContentType="application/vnd.openxmlformats-officedocument.wordprocessingml.header+xml"/>
  <Override PartName="/word/header95.xml" ContentType="application/vnd.openxmlformats-officedocument.wordprocessingml.header+xml"/>
  <Override PartName="/word/footer94.xml" ContentType="application/vnd.openxmlformats-officedocument.wordprocessingml.footer+xml"/>
  <Override PartName="/word/footer95.xml" ContentType="application/vnd.openxmlformats-officedocument.wordprocessingml.footer+xml"/>
  <Override PartName="/word/header96.xml" ContentType="application/vnd.openxmlformats-officedocument.wordprocessingml.header+xml"/>
  <Override PartName="/word/footer96.xml" ContentType="application/vnd.openxmlformats-officedocument.wordprocessingml.footer+xml"/>
  <Override PartName="/word/header97.xml" ContentType="application/vnd.openxmlformats-officedocument.wordprocessingml.header+xml"/>
  <Override PartName="/word/header98.xml" ContentType="application/vnd.openxmlformats-officedocument.wordprocessingml.header+xml"/>
  <Override PartName="/word/footer97.xml" ContentType="application/vnd.openxmlformats-officedocument.wordprocessingml.footer+xml"/>
  <Override PartName="/word/footer98.xml" ContentType="application/vnd.openxmlformats-officedocument.wordprocessingml.footer+xml"/>
  <Override PartName="/word/header99.xml" ContentType="application/vnd.openxmlformats-officedocument.wordprocessingml.header+xml"/>
  <Override PartName="/word/footer99.xml" ContentType="application/vnd.openxmlformats-officedocument.wordprocessingml.footer+xml"/>
  <Override PartName="/word/header100.xml" ContentType="application/vnd.openxmlformats-officedocument.wordprocessingml.header+xml"/>
  <Override PartName="/word/header101.xml" ContentType="application/vnd.openxmlformats-officedocument.wordprocessingml.header+xml"/>
  <Override PartName="/word/footer100.xml" ContentType="application/vnd.openxmlformats-officedocument.wordprocessingml.footer+xml"/>
  <Override PartName="/word/footer101.xml" ContentType="application/vnd.openxmlformats-officedocument.wordprocessingml.footer+xml"/>
  <Override PartName="/word/header102.xml" ContentType="application/vnd.openxmlformats-officedocument.wordprocessingml.header+xml"/>
  <Override PartName="/word/footer102.xml" ContentType="application/vnd.openxmlformats-officedocument.wordprocessingml.footer+xml"/>
  <Override PartName="/word/header103.xml" ContentType="application/vnd.openxmlformats-officedocument.wordprocessingml.header+xml"/>
  <Override PartName="/word/header104.xml" ContentType="application/vnd.openxmlformats-officedocument.wordprocessingml.header+xml"/>
  <Override PartName="/word/footer103.xml" ContentType="application/vnd.openxmlformats-officedocument.wordprocessingml.footer+xml"/>
  <Override PartName="/word/footer104.xml" ContentType="application/vnd.openxmlformats-officedocument.wordprocessingml.footer+xml"/>
  <Override PartName="/word/header105.xml" ContentType="application/vnd.openxmlformats-officedocument.wordprocessingml.header+xml"/>
  <Override PartName="/word/footer105.xml" ContentType="application/vnd.openxmlformats-officedocument.wordprocessingml.footer+xml"/>
  <Override PartName="/word/header106.xml" ContentType="application/vnd.openxmlformats-officedocument.wordprocessingml.header+xml"/>
  <Override PartName="/word/header107.xml" ContentType="application/vnd.openxmlformats-officedocument.wordprocessingml.header+xml"/>
  <Override PartName="/word/footer106.xml" ContentType="application/vnd.openxmlformats-officedocument.wordprocessingml.footer+xml"/>
  <Override PartName="/word/footer107.xml" ContentType="application/vnd.openxmlformats-officedocument.wordprocessingml.footer+xml"/>
  <Override PartName="/word/header108.xml" ContentType="application/vnd.openxmlformats-officedocument.wordprocessingml.header+xml"/>
  <Override PartName="/word/footer108.xml" ContentType="application/vnd.openxmlformats-officedocument.wordprocessingml.footer+xml"/>
  <Override PartName="/word/header109.xml" ContentType="application/vnd.openxmlformats-officedocument.wordprocessingml.header+xml"/>
  <Override PartName="/word/header110.xml" ContentType="application/vnd.openxmlformats-officedocument.wordprocessingml.header+xml"/>
  <Override PartName="/word/footer109.xml" ContentType="application/vnd.openxmlformats-officedocument.wordprocessingml.footer+xml"/>
  <Override PartName="/word/footer110.xml" ContentType="application/vnd.openxmlformats-officedocument.wordprocessingml.footer+xml"/>
  <Override PartName="/word/header111.xml" ContentType="application/vnd.openxmlformats-officedocument.wordprocessingml.header+xml"/>
  <Override PartName="/word/footer111.xml" ContentType="application/vnd.openxmlformats-officedocument.wordprocessingml.footer+xml"/>
  <Override PartName="/word/header112.xml" ContentType="application/vnd.openxmlformats-officedocument.wordprocessingml.header+xml"/>
  <Override PartName="/word/header113.xml" ContentType="application/vnd.openxmlformats-officedocument.wordprocessingml.header+xml"/>
  <Override PartName="/word/footer112.xml" ContentType="application/vnd.openxmlformats-officedocument.wordprocessingml.footer+xml"/>
  <Override PartName="/word/footer113.xml" ContentType="application/vnd.openxmlformats-officedocument.wordprocessingml.footer+xml"/>
  <Override PartName="/word/header114.xml" ContentType="application/vnd.openxmlformats-officedocument.wordprocessingml.header+xml"/>
  <Override PartName="/word/footer114.xml" ContentType="application/vnd.openxmlformats-officedocument.wordprocessingml.footer+xml"/>
  <Override PartName="/word/header115.xml" ContentType="application/vnd.openxmlformats-officedocument.wordprocessingml.header+xml"/>
  <Override PartName="/word/header116.xml" ContentType="application/vnd.openxmlformats-officedocument.wordprocessingml.header+xml"/>
  <Override PartName="/word/footer115.xml" ContentType="application/vnd.openxmlformats-officedocument.wordprocessingml.footer+xml"/>
  <Override PartName="/word/footer116.xml" ContentType="application/vnd.openxmlformats-officedocument.wordprocessingml.footer+xml"/>
  <Override PartName="/word/header117.xml" ContentType="application/vnd.openxmlformats-officedocument.wordprocessingml.header+xml"/>
  <Override PartName="/word/footer11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6BFD7" w14:textId="77777777" w:rsidR="005A5FCC" w:rsidRDefault="005A5FCC">
      <w:pPr>
        <w:spacing w:after="0" w:line="240" w:lineRule="auto"/>
      </w:pPr>
    </w:p>
    <w:p w14:paraId="344A7B8A" w14:textId="77777777" w:rsidR="005A5FCC" w:rsidRDefault="005A5FCC">
      <w:pPr>
        <w:spacing w:after="0" w:line="240" w:lineRule="auto"/>
      </w:pPr>
    </w:p>
    <w:p w14:paraId="28722E35" w14:textId="77777777" w:rsidR="005A5FCC" w:rsidRDefault="005A5FCC">
      <w:pPr>
        <w:spacing w:after="0" w:line="240" w:lineRule="auto"/>
      </w:pPr>
    </w:p>
    <w:p w14:paraId="3F636F43" w14:textId="77777777" w:rsidR="005A5FCC" w:rsidRDefault="005A5FCC">
      <w:pPr>
        <w:spacing w:after="0" w:line="240" w:lineRule="auto"/>
      </w:pPr>
    </w:p>
    <w:p w14:paraId="64B0262B" w14:textId="77777777" w:rsidR="005A5FCC" w:rsidRDefault="00A21C81">
      <w:pPr>
        <w:spacing w:after="160" w:line="240" w:lineRule="auto"/>
        <w:jc w:val="center"/>
      </w:pPr>
      <w:r>
        <w:rPr>
          <w:rFonts w:cs="EB Garamond"/>
          <w:color w:val="B78B37"/>
          <w:kern w:val="16"/>
          <w:sz w:val="22"/>
          <w14:ligatures w14:val="standardContextual"/>
        </w:rPr>
        <w:t>◆  ◆  ◆</w:t>
      </w:r>
    </w:p>
    <w:p w14:paraId="54B52EBD" w14:textId="77777777" w:rsidR="005A5FCC" w:rsidRDefault="00A21C81">
      <w:pPr>
        <w:spacing w:before="40" w:after="40" w:line="252" w:lineRule="auto"/>
        <w:jc w:val="center"/>
      </w:pPr>
      <w:r>
        <w:rPr>
          <w:rFonts w:cs="EB Garamond"/>
          <w:b/>
          <w:color w:val="2F2923"/>
          <w:kern w:val="16"/>
          <w:sz w:val="44"/>
          <w14:ligatures w14:val="standardContextual"/>
        </w:rPr>
        <w:t>Direito Previdenciário:</w:t>
      </w:r>
    </w:p>
    <w:p w14:paraId="45CEF0CF" w14:textId="77777777" w:rsidR="005A5FCC" w:rsidRDefault="00A21C81">
      <w:pPr>
        <w:spacing w:before="40" w:after="40" w:line="252" w:lineRule="auto"/>
        <w:jc w:val="center"/>
      </w:pPr>
      <w:r>
        <w:rPr>
          <w:rFonts w:cs="EB Garamond"/>
          <w:b/>
          <w:color w:val="2F2923"/>
          <w:kern w:val="16"/>
          <w:sz w:val="44"/>
          <w14:ligatures w14:val="standardContextual"/>
        </w:rPr>
        <w:t>Teoria e Prática nos Juizados</w:t>
      </w:r>
    </w:p>
    <w:p w14:paraId="2EF92179" w14:textId="77777777" w:rsidR="005A5FCC" w:rsidRDefault="00A21C81">
      <w:pPr>
        <w:spacing w:before="40" w:after="40" w:line="252" w:lineRule="auto"/>
        <w:jc w:val="center"/>
      </w:pPr>
      <w:r>
        <w:rPr>
          <w:rFonts w:cs="EB Garamond"/>
          <w:b/>
          <w:color w:val="2F2923"/>
          <w:kern w:val="16"/>
          <w:sz w:val="44"/>
          <w14:ligatures w14:val="standardContextual"/>
        </w:rPr>
        <w:t>Especiais Federais</w:t>
      </w:r>
    </w:p>
    <w:p w14:paraId="2685E47E" w14:textId="77777777" w:rsidR="005A5FCC" w:rsidRDefault="00A21C81">
      <w:pPr>
        <w:spacing w:before="240" w:after="120" w:line="240" w:lineRule="auto"/>
        <w:jc w:val="center"/>
      </w:pPr>
      <w:r>
        <w:rPr>
          <w:rFonts w:cs="EB Garamond"/>
          <w:color w:val="B78B37"/>
          <w:kern w:val="16"/>
          <w:sz w:val="18"/>
          <w14:ligatures w14:val="standardContextual"/>
        </w:rPr>
        <w:t>◆</w:t>
      </w:r>
    </w:p>
    <w:p w14:paraId="799B7ED3" w14:textId="77777777" w:rsidR="005A5FCC" w:rsidRDefault="00A21C81">
      <w:pPr>
        <w:spacing w:before="80" w:after="40" w:line="240" w:lineRule="auto"/>
        <w:jc w:val="center"/>
      </w:pPr>
      <w:r>
        <w:rPr>
          <w:rFonts w:cs="EB Garamond"/>
          <w:smallCaps/>
          <w:color w:val="3A3128"/>
          <w:kern w:val="16"/>
          <w:sz w:val="28"/>
          <w14:ligatures w14:val="standardContextual"/>
        </w:rPr>
        <w:t>Claudio Kitner</w:t>
      </w:r>
    </w:p>
    <w:p w14:paraId="5D5D68AD" w14:textId="77777777" w:rsidR="005A5FCC" w:rsidRDefault="00A21C81">
      <w:pPr>
        <w:spacing w:before="80" w:after="40" w:line="240" w:lineRule="auto"/>
        <w:jc w:val="center"/>
      </w:pPr>
      <w:r>
        <w:rPr>
          <w:rFonts w:cs="EB Garamond"/>
          <w:smallCaps/>
          <w:color w:val="3A3128"/>
          <w:kern w:val="16"/>
          <w:sz w:val="28"/>
          <w14:ligatures w14:val="standardContextual"/>
        </w:rPr>
        <w:t>Luiz Bispo da Silva Neto</w:t>
      </w:r>
    </w:p>
    <w:p w14:paraId="638590C8" w14:textId="77777777" w:rsidR="005A5FCC" w:rsidRDefault="005A5FCC">
      <w:pPr>
        <w:spacing w:after="0" w:line="240" w:lineRule="auto"/>
      </w:pPr>
    </w:p>
    <w:p w14:paraId="161043FE" w14:textId="77777777" w:rsidR="005A5FCC" w:rsidRDefault="005A5FCC">
      <w:pPr>
        <w:spacing w:after="0" w:line="240" w:lineRule="auto"/>
      </w:pPr>
    </w:p>
    <w:p w14:paraId="090D1A01" w14:textId="77777777" w:rsidR="005A5FCC" w:rsidRDefault="005A5FCC">
      <w:pPr>
        <w:spacing w:after="0" w:line="240" w:lineRule="auto"/>
      </w:pPr>
    </w:p>
    <w:p w14:paraId="56AB4AB7" w14:textId="77777777" w:rsidR="005A5FCC" w:rsidRDefault="005A5FCC">
      <w:pPr>
        <w:spacing w:after="0" w:line="240" w:lineRule="auto"/>
      </w:pPr>
    </w:p>
    <w:p w14:paraId="045E2AB9" w14:textId="77777777" w:rsidR="005A5FCC" w:rsidRDefault="00A21C81">
      <w:pPr>
        <w:spacing w:after="0" w:line="240" w:lineRule="auto"/>
        <w:jc w:val="center"/>
      </w:pPr>
      <w:r>
        <w:rPr>
          <w:rFonts w:cs="EB Garamond"/>
          <w:color w:val="6B6256"/>
          <w:kern w:val="16"/>
          <w:sz w:val="24"/>
          <w14:ligatures w14:val="standardContextual"/>
        </w:rPr>
        <w:t>2026</w:t>
      </w:r>
    </w:p>
    <w:p w14:paraId="0FD786C7" w14:textId="77777777" w:rsidR="005A5FCC" w:rsidRDefault="005A5FCC">
      <w:pPr>
        <w:sectPr w:rsidR="005A5FCC">
          <w:headerReference w:type="even" r:id="rId8"/>
          <w:headerReference w:type="default" r:id="rId9"/>
          <w:footerReference w:type="even" r:id="rId10"/>
          <w:footerReference w:type="default" r:id="rId11"/>
          <w:headerReference w:type="first" r:id="rId12"/>
          <w:footerReference w:type="first" r:id="rId13"/>
          <w:pgSz w:w="8391" w:h="11906"/>
          <w:pgMar w:top="935" w:right="879" w:bottom="964" w:left="1162" w:header="454" w:footer="425" w:gutter="0"/>
          <w:pgNumType w:fmt="lowerRoman" w:start="1"/>
          <w:cols w:space="720"/>
          <w:titlePg/>
          <w:docGrid w:linePitch="360"/>
        </w:sectPr>
      </w:pPr>
    </w:p>
    <w:p w14:paraId="5A5A4839" w14:textId="77777777" w:rsidR="005A5FCC" w:rsidRDefault="005A5FCC">
      <w:pPr>
        <w:spacing w:after="0" w:line="240" w:lineRule="auto"/>
      </w:pPr>
    </w:p>
    <w:p w14:paraId="54919AEE" w14:textId="77777777" w:rsidR="005A5FCC" w:rsidRDefault="005A5FCC">
      <w:pPr>
        <w:spacing w:after="0" w:line="240" w:lineRule="auto"/>
      </w:pPr>
    </w:p>
    <w:p w14:paraId="70F18FB3" w14:textId="77777777" w:rsidR="005A5FCC" w:rsidRDefault="005A5FCC">
      <w:pPr>
        <w:spacing w:after="0" w:line="240" w:lineRule="auto"/>
      </w:pPr>
    </w:p>
    <w:p w14:paraId="7E22ADCD" w14:textId="77777777" w:rsidR="005A5FCC" w:rsidRDefault="00A21C81">
      <w:pPr>
        <w:spacing w:before="40" w:after="40" w:line="240" w:lineRule="auto"/>
        <w:jc w:val="center"/>
      </w:pPr>
      <w:r>
        <w:rPr>
          <w:rFonts w:cs="EB Garamond"/>
          <w:smallCaps/>
          <w:color w:val="3A3128"/>
          <w:kern w:val="16"/>
          <w:sz w:val="26"/>
          <w14:ligatures w14:val="standardContextual"/>
        </w:rPr>
        <w:t>Claudio Kitner</w:t>
      </w:r>
    </w:p>
    <w:p w14:paraId="13728158" w14:textId="77777777" w:rsidR="005A5FCC" w:rsidRDefault="00A21C81">
      <w:pPr>
        <w:spacing w:before="40" w:after="40" w:line="240" w:lineRule="auto"/>
        <w:jc w:val="center"/>
      </w:pPr>
      <w:r>
        <w:rPr>
          <w:rFonts w:cs="EB Garamond"/>
          <w:smallCaps/>
          <w:color w:val="3A3128"/>
          <w:kern w:val="16"/>
          <w:sz w:val="26"/>
          <w14:ligatures w14:val="standardContextual"/>
        </w:rPr>
        <w:t>Luiz Bispo da Silva Neto</w:t>
      </w:r>
    </w:p>
    <w:p w14:paraId="2AD8C7CA" w14:textId="77777777" w:rsidR="005A5FCC" w:rsidRDefault="005A5FCC">
      <w:pPr>
        <w:spacing w:after="160" w:line="240" w:lineRule="auto"/>
      </w:pPr>
    </w:p>
    <w:p w14:paraId="59755A69" w14:textId="77777777" w:rsidR="005A5FCC" w:rsidRDefault="00A21C81">
      <w:pPr>
        <w:spacing w:after="160" w:line="240" w:lineRule="auto"/>
        <w:jc w:val="center"/>
      </w:pPr>
      <w:r>
        <w:rPr>
          <w:rFonts w:cs="EB Garamond"/>
          <w:color w:val="B78B37"/>
          <w:kern w:val="16"/>
          <w:sz w:val="18"/>
          <w14:ligatures w14:val="standardContextual"/>
        </w:rPr>
        <w:t>━━━━  ◆  ━━━━</w:t>
      </w:r>
    </w:p>
    <w:p w14:paraId="061A59AC" w14:textId="77777777" w:rsidR="005A5FCC" w:rsidRDefault="00A21C81">
      <w:pPr>
        <w:spacing w:before="40" w:after="40" w:line="252" w:lineRule="auto"/>
        <w:jc w:val="center"/>
      </w:pPr>
      <w:r>
        <w:rPr>
          <w:rFonts w:cs="EB Garamond"/>
          <w:b/>
          <w:color w:val="2F2923"/>
          <w:kern w:val="16"/>
          <w:sz w:val="40"/>
          <w14:ligatures w14:val="standardContextual"/>
        </w:rPr>
        <w:t>Direito Previdenciário:</w:t>
      </w:r>
    </w:p>
    <w:p w14:paraId="3BEEC1B3" w14:textId="77777777" w:rsidR="005A5FCC" w:rsidRDefault="00A21C81">
      <w:pPr>
        <w:spacing w:before="40" w:after="40" w:line="252" w:lineRule="auto"/>
        <w:jc w:val="center"/>
      </w:pPr>
      <w:r>
        <w:rPr>
          <w:rFonts w:cs="EB Garamond"/>
          <w:b/>
          <w:color w:val="2F2923"/>
          <w:kern w:val="16"/>
          <w:sz w:val="40"/>
          <w14:ligatures w14:val="standardContextual"/>
        </w:rPr>
        <w:t>Teoria e Prática nos Juizados</w:t>
      </w:r>
    </w:p>
    <w:p w14:paraId="5189BBEE" w14:textId="77777777" w:rsidR="005A5FCC" w:rsidRDefault="00A21C81">
      <w:pPr>
        <w:spacing w:before="40" w:after="40" w:line="252" w:lineRule="auto"/>
        <w:jc w:val="center"/>
      </w:pPr>
      <w:r>
        <w:rPr>
          <w:rFonts w:cs="EB Garamond"/>
          <w:b/>
          <w:color w:val="2F2923"/>
          <w:kern w:val="16"/>
          <w:sz w:val="40"/>
          <w14:ligatures w14:val="standardContextual"/>
        </w:rPr>
        <w:t>Especiais Federais</w:t>
      </w:r>
    </w:p>
    <w:p w14:paraId="2BFB7360" w14:textId="77777777" w:rsidR="005A5FCC" w:rsidRDefault="00A21C81">
      <w:pPr>
        <w:spacing w:before="160" w:after="240" w:line="240" w:lineRule="auto"/>
        <w:jc w:val="center"/>
      </w:pPr>
      <w:r>
        <w:rPr>
          <w:rFonts w:cs="EB Garamond"/>
          <w:color w:val="B78B37"/>
          <w:kern w:val="16"/>
          <w:sz w:val="18"/>
          <w14:ligatures w14:val="standardContextual"/>
        </w:rPr>
        <w:t>━━━━  ◆  ━━━━</w:t>
      </w:r>
    </w:p>
    <w:p w14:paraId="68860283" w14:textId="77777777" w:rsidR="005A5FCC" w:rsidRDefault="00A21C81">
      <w:pPr>
        <w:spacing w:before="80" w:after="40" w:line="252" w:lineRule="auto"/>
        <w:jc w:val="center"/>
      </w:pPr>
      <w:r>
        <w:rPr>
          <w:rFonts w:cs="EB Garamond"/>
          <w:i/>
          <w:color w:val="6B6256"/>
          <w:kern w:val="16"/>
          <w:sz w:val="22"/>
          <w14:ligatures w14:val="standardContextual"/>
        </w:rPr>
        <w:t>Doutrina, Jurisprudência e Prática Forense</w:t>
      </w:r>
    </w:p>
    <w:p w14:paraId="781B5738" w14:textId="63687997" w:rsidR="005A5FCC" w:rsidRDefault="00A21C81">
      <w:pPr>
        <w:spacing w:before="160" w:after="40" w:line="240" w:lineRule="auto"/>
        <w:jc w:val="center"/>
      </w:pPr>
      <w:r>
        <w:rPr>
          <w:rFonts w:cs="EB Garamond"/>
          <w:color w:val="6B6256"/>
          <w:kern w:val="16"/>
          <w:sz w:val="20"/>
          <w14:ligatures w14:val="standardContextual"/>
        </w:rPr>
        <w:t>1</w:t>
      </w:r>
      <w:r w:rsidR="00D64334">
        <w:rPr>
          <w:rFonts w:cs="EB Garamond"/>
          <w:color w:val="6B6256"/>
          <w:kern w:val="16"/>
          <w:sz w:val="20"/>
          <w14:ligatures w14:val="standardContextual"/>
        </w:rPr>
        <w:t>ª</w:t>
      </w:r>
      <w:r>
        <w:rPr>
          <w:rFonts w:cs="EB Garamond"/>
          <w:color w:val="6B6256"/>
          <w:kern w:val="16"/>
          <w:sz w:val="20"/>
          <w14:ligatures w14:val="standardContextual"/>
        </w:rPr>
        <w:t xml:space="preserve"> Edição</w:t>
      </w:r>
    </w:p>
    <w:p w14:paraId="4BEDF44E" w14:textId="77777777" w:rsidR="005A5FCC" w:rsidRDefault="005A5FCC">
      <w:pPr>
        <w:spacing w:after="0" w:line="240" w:lineRule="auto"/>
      </w:pPr>
    </w:p>
    <w:p w14:paraId="02C24302" w14:textId="77777777" w:rsidR="005A5FCC" w:rsidRDefault="005A5FCC">
      <w:pPr>
        <w:spacing w:after="0" w:line="240" w:lineRule="auto"/>
      </w:pPr>
    </w:p>
    <w:p w14:paraId="71916210" w14:textId="77777777" w:rsidR="005A5FCC" w:rsidRDefault="005A5FCC">
      <w:pPr>
        <w:spacing w:after="0" w:line="240" w:lineRule="auto"/>
      </w:pPr>
    </w:p>
    <w:p w14:paraId="716C04CF" w14:textId="77777777" w:rsidR="005A5FCC" w:rsidRDefault="00A21C81">
      <w:pPr>
        <w:spacing w:after="0" w:line="240" w:lineRule="auto"/>
        <w:jc w:val="center"/>
      </w:pPr>
      <w:r>
        <w:rPr>
          <w:rFonts w:cs="EB Garamond"/>
          <w:color w:val="6B6256"/>
          <w:kern w:val="16"/>
          <w:sz w:val="24"/>
          <w14:ligatures w14:val="standardContextual"/>
        </w:rPr>
        <w:t>2026</w:t>
      </w:r>
    </w:p>
    <w:p w14:paraId="6E080062" w14:textId="77777777" w:rsidR="005A5FCC" w:rsidRDefault="005A5FCC">
      <w:pPr>
        <w:sectPr w:rsidR="005A5FCC">
          <w:headerReference w:type="even" r:id="rId14"/>
          <w:headerReference w:type="default" r:id="rId15"/>
          <w:footerReference w:type="even" r:id="rId16"/>
          <w:footerReference w:type="default" r:id="rId17"/>
          <w:headerReference w:type="first" r:id="rId18"/>
          <w:footerReference w:type="first" r:id="rId19"/>
          <w:pgSz w:w="8391" w:h="11906"/>
          <w:pgMar w:top="935" w:right="879" w:bottom="964" w:left="1162" w:header="454" w:footer="425" w:gutter="0"/>
          <w:pgNumType w:fmt="lowerRoman"/>
          <w:cols w:space="720"/>
          <w:titlePg/>
          <w:docGrid w:linePitch="360"/>
        </w:sectPr>
      </w:pPr>
    </w:p>
    <w:p w14:paraId="4403AC35" w14:textId="77777777" w:rsidR="005A5FCC" w:rsidRDefault="005A5FCC">
      <w:pPr>
        <w:spacing w:after="0" w:line="240" w:lineRule="auto"/>
      </w:pPr>
    </w:p>
    <w:p w14:paraId="5BF249CA" w14:textId="77777777" w:rsidR="005A5FCC" w:rsidRDefault="005A5FCC">
      <w:pPr>
        <w:spacing w:after="0" w:line="240" w:lineRule="auto"/>
      </w:pPr>
    </w:p>
    <w:p w14:paraId="7905B0BB" w14:textId="77777777" w:rsidR="005A5FCC" w:rsidRDefault="005A5FCC">
      <w:pPr>
        <w:spacing w:after="0" w:line="240" w:lineRule="auto"/>
      </w:pPr>
    </w:p>
    <w:p w14:paraId="6A59FAC7" w14:textId="77777777" w:rsidR="005A5FCC" w:rsidRDefault="005A5FCC">
      <w:pPr>
        <w:spacing w:after="0" w:line="240" w:lineRule="auto"/>
      </w:pPr>
    </w:p>
    <w:p w14:paraId="18F6A672" w14:textId="77777777" w:rsidR="005A5FCC" w:rsidRDefault="005A5FCC">
      <w:pPr>
        <w:spacing w:after="0" w:line="240" w:lineRule="auto"/>
      </w:pPr>
    </w:p>
    <w:p w14:paraId="495C2A72" w14:textId="77777777" w:rsidR="005A5FCC" w:rsidRDefault="005A5FCC">
      <w:pPr>
        <w:spacing w:after="0" w:line="240" w:lineRule="auto"/>
      </w:pPr>
    </w:p>
    <w:p w14:paraId="6FD538BE" w14:textId="77777777" w:rsidR="005A5FCC" w:rsidRDefault="005A5FCC">
      <w:pPr>
        <w:spacing w:after="0" w:line="240" w:lineRule="auto"/>
      </w:pPr>
    </w:p>
    <w:p w14:paraId="61EECF5A" w14:textId="77777777" w:rsidR="005A5FCC" w:rsidRDefault="005A5FCC">
      <w:pPr>
        <w:spacing w:after="0" w:line="240" w:lineRule="auto"/>
      </w:pPr>
    </w:p>
    <w:p w14:paraId="21959321" w14:textId="77777777" w:rsidR="005A5FCC" w:rsidRDefault="005A5FCC">
      <w:pPr>
        <w:spacing w:after="0" w:line="240" w:lineRule="auto"/>
      </w:pPr>
    </w:p>
    <w:p w14:paraId="023A0DE4" w14:textId="77777777" w:rsidR="005A5FCC" w:rsidRDefault="005A5FCC">
      <w:pPr>
        <w:spacing w:after="0" w:line="240" w:lineRule="auto"/>
      </w:pPr>
    </w:p>
    <w:p w14:paraId="0833A073" w14:textId="77777777" w:rsidR="005A5FCC" w:rsidRDefault="005A5FCC">
      <w:pPr>
        <w:spacing w:after="0" w:line="240" w:lineRule="auto"/>
      </w:pPr>
    </w:p>
    <w:p w14:paraId="3F9F0D3C" w14:textId="77777777" w:rsidR="005A5FCC" w:rsidRDefault="005A5FCC">
      <w:pPr>
        <w:spacing w:after="0" w:line="240" w:lineRule="auto"/>
      </w:pPr>
    </w:p>
    <w:p w14:paraId="53CB7CC5" w14:textId="77777777" w:rsidR="005A5FCC" w:rsidRDefault="00A21C81">
      <w:pPr>
        <w:spacing w:after="30" w:line="240" w:lineRule="auto"/>
        <w:jc w:val="left"/>
      </w:pPr>
      <w:r>
        <w:rPr>
          <w:rFonts w:cs="EB Garamond"/>
          <w:b/>
          <w:color w:val="3A3128"/>
          <w:kern w:val="16"/>
          <w:sz w:val="17"/>
          <w14:ligatures w14:val="standardContextual"/>
        </w:rPr>
        <w:t>KITNER, Claudio; SILVA NETO, Luiz Bispo da.</w:t>
      </w:r>
    </w:p>
    <w:p w14:paraId="407E7525" w14:textId="77777777" w:rsidR="005A5FCC" w:rsidRDefault="00A21C81">
      <w:pPr>
        <w:spacing w:after="30" w:line="240" w:lineRule="auto"/>
        <w:jc w:val="left"/>
      </w:pPr>
      <w:r>
        <w:rPr>
          <w:rFonts w:cs="EB Garamond"/>
          <w:color w:val="3A3128"/>
          <w:kern w:val="16"/>
          <w:sz w:val="17"/>
          <w14:ligatures w14:val="standardContextual"/>
        </w:rPr>
        <w:t>Direito Previdenciário: Teoria e Prática nos Juizados Especiais Federais /</w:t>
      </w:r>
    </w:p>
    <w:p w14:paraId="4E60F5A4" w14:textId="77777777" w:rsidR="005A5FCC" w:rsidRDefault="00A21C81">
      <w:pPr>
        <w:spacing w:after="30" w:line="240" w:lineRule="auto"/>
        <w:jc w:val="left"/>
      </w:pPr>
      <w:r>
        <w:rPr>
          <w:rFonts w:cs="EB Garamond"/>
          <w:color w:val="3A3128"/>
          <w:kern w:val="16"/>
          <w:sz w:val="17"/>
          <w14:ligatures w14:val="standardContextual"/>
        </w:rPr>
        <w:t>Claudio Kitner, Luiz Bispo da Silva Neto. — 1. ed. — 2026.</w:t>
      </w:r>
    </w:p>
    <w:p w14:paraId="78BC6F50" w14:textId="77777777" w:rsidR="005A5FCC" w:rsidRDefault="005A5FCC">
      <w:pPr>
        <w:spacing w:after="80" w:line="240" w:lineRule="auto"/>
      </w:pPr>
    </w:p>
    <w:p w14:paraId="70074EFD" w14:textId="77777777" w:rsidR="005A5FCC" w:rsidRDefault="00A21C81">
      <w:pPr>
        <w:spacing w:after="30" w:line="240" w:lineRule="auto"/>
        <w:jc w:val="left"/>
      </w:pPr>
      <w:r>
        <w:rPr>
          <w:rFonts w:cs="EB Garamond"/>
          <w:color w:val="3A3128"/>
          <w:kern w:val="16"/>
          <w:sz w:val="17"/>
          <w14:ligatures w14:val="standardContextual"/>
        </w:rPr>
        <w:t>ISBN [a definir]</w:t>
      </w:r>
    </w:p>
    <w:p w14:paraId="636E34B9" w14:textId="77777777" w:rsidR="005A5FCC" w:rsidRDefault="005A5FCC">
      <w:pPr>
        <w:spacing w:after="80" w:line="240" w:lineRule="auto"/>
      </w:pPr>
    </w:p>
    <w:p w14:paraId="15E97DF1" w14:textId="77777777" w:rsidR="005A5FCC" w:rsidRDefault="00A21C81">
      <w:pPr>
        <w:spacing w:after="30" w:line="240" w:lineRule="auto"/>
        <w:jc w:val="left"/>
      </w:pPr>
      <w:r>
        <w:rPr>
          <w:rFonts w:cs="EB Garamond"/>
          <w:color w:val="3A3128"/>
          <w:kern w:val="16"/>
          <w:sz w:val="17"/>
          <w14:ligatures w14:val="standardContextual"/>
        </w:rPr>
        <w:t>1. Direito previdenciário — Brasil. 2. Juizados Especiais Federais.</w:t>
      </w:r>
    </w:p>
    <w:p w14:paraId="39914D22" w14:textId="77777777" w:rsidR="005A5FCC" w:rsidRDefault="00A21C81">
      <w:pPr>
        <w:spacing w:after="30" w:line="240" w:lineRule="auto"/>
        <w:jc w:val="left"/>
      </w:pPr>
      <w:r>
        <w:rPr>
          <w:rFonts w:cs="EB Garamond"/>
          <w:color w:val="3A3128"/>
          <w:kern w:val="16"/>
          <w:sz w:val="17"/>
          <w14:ligatures w14:val="standardContextual"/>
        </w:rPr>
        <w:t>3. Seguridade social. 4. Benefícios previdenciários. I. Título.</w:t>
      </w:r>
    </w:p>
    <w:p w14:paraId="1648EF3D" w14:textId="77777777" w:rsidR="005A5FCC" w:rsidRDefault="005A5FCC">
      <w:pPr>
        <w:spacing w:after="80" w:line="240" w:lineRule="auto"/>
      </w:pPr>
    </w:p>
    <w:p w14:paraId="070EC17E" w14:textId="77777777" w:rsidR="005A5FCC" w:rsidRDefault="00A21C81">
      <w:pPr>
        <w:spacing w:after="30" w:line="240" w:lineRule="auto"/>
        <w:jc w:val="left"/>
      </w:pPr>
      <w:r>
        <w:rPr>
          <w:rFonts w:cs="EB Garamond"/>
          <w:color w:val="3A3128"/>
          <w:kern w:val="16"/>
          <w:sz w:val="17"/>
          <w14:ligatures w14:val="standardContextual"/>
        </w:rPr>
        <w:t>CDU 349.3(81)</w:t>
      </w:r>
    </w:p>
    <w:p w14:paraId="5C21B971" w14:textId="77777777" w:rsidR="005A5FCC" w:rsidRDefault="00A21C81">
      <w:pPr>
        <w:spacing w:after="30" w:line="240" w:lineRule="auto"/>
        <w:jc w:val="left"/>
      </w:pPr>
      <w:r>
        <w:rPr>
          <w:rFonts w:cs="EB Garamond"/>
          <w:color w:val="3A3128"/>
          <w:kern w:val="16"/>
          <w:sz w:val="17"/>
          <w14:ligatures w14:val="standardContextual"/>
        </w:rPr>
        <w:t>CDD 344.8102</w:t>
      </w:r>
    </w:p>
    <w:p w14:paraId="14D40682" w14:textId="77777777" w:rsidR="005A5FCC" w:rsidRDefault="005A5FCC">
      <w:pPr>
        <w:spacing w:after="160" w:line="240" w:lineRule="auto"/>
      </w:pPr>
    </w:p>
    <w:p w14:paraId="250A76A1" w14:textId="77777777" w:rsidR="005A5FCC" w:rsidRDefault="00A21C81">
      <w:pPr>
        <w:spacing w:after="30" w:line="240" w:lineRule="auto"/>
        <w:jc w:val="left"/>
      </w:pPr>
      <w:r>
        <w:rPr>
          <w:rFonts w:cs="EB Garamond"/>
          <w:i/>
          <w:color w:val="3A3128"/>
          <w:kern w:val="16"/>
          <w:sz w:val="15"/>
          <w14:ligatures w14:val="standardContextual"/>
        </w:rPr>
        <w:t>Todos os direitos reservados. Nenhuma parte desta obra pode ser reproduzida,</w:t>
      </w:r>
    </w:p>
    <w:p w14:paraId="1D75CA51" w14:textId="77777777" w:rsidR="005A5FCC" w:rsidRDefault="00A21C81">
      <w:pPr>
        <w:spacing w:after="30" w:line="240" w:lineRule="auto"/>
        <w:jc w:val="left"/>
      </w:pPr>
      <w:r>
        <w:rPr>
          <w:rFonts w:cs="EB Garamond"/>
          <w:i/>
          <w:color w:val="3A3128"/>
          <w:kern w:val="16"/>
          <w:sz w:val="15"/>
          <w14:ligatures w14:val="standardContextual"/>
        </w:rPr>
        <w:t>armazenada ou transmitida por qualquer meio sem autorização prévia dos autores.</w:t>
      </w:r>
    </w:p>
    <w:p w14:paraId="4ADF585F" w14:textId="77777777" w:rsidR="005A5FCC" w:rsidRDefault="005A5FCC">
      <w:pPr>
        <w:spacing w:after="80" w:line="240" w:lineRule="auto"/>
      </w:pPr>
    </w:p>
    <w:p w14:paraId="754E1145" w14:textId="77777777" w:rsidR="005A5FCC" w:rsidRDefault="00A21C81">
      <w:pPr>
        <w:spacing w:after="30" w:line="240" w:lineRule="auto"/>
        <w:jc w:val="left"/>
      </w:pPr>
      <w:r>
        <w:rPr>
          <w:rFonts w:cs="EB Garamond"/>
          <w:i/>
          <w:color w:val="3A3128"/>
          <w:kern w:val="16"/>
          <w:sz w:val="15"/>
          <w14:ligatures w14:val="standardContextual"/>
        </w:rPr>
        <w:t>Esta edição reflete a legislação e a jurisprudência até junho de 2026.</w:t>
      </w:r>
    </w:p>
    <w:p w14:paraId="3C546A81" w14:textId="77777777" w:rsidR="005A5FCC" w:rsidRDefault="005A5FCC">
      <w:pPr>
        <w:sectPr w:rsidR="005A5FCC">
          <w:headerReference w:type="even" r:id="rId20"/>
          <w:headerReference w:type="default" r:id="rId21"/>
          <w:footerReference w:type="even" r:id="rId22"/>
          <w:footerReference w:type="default" r:id="rId23"/>
          <w:headerReference w:type="first" r:id="rId24"/>
          <w:footerReference w:type="first" r:id="rId25"/>
          <w:pgSz w:w="8391" w:h="11906"/>
          <w:pgMar w:top="935" w:right="879" w:bottom="964" w:left="1162" w:header="454" w:footer="425" w:gutter="0"/>
          <w:pgNumType w:fmt="lowerRoman"/>
          <w:cols w:space="720"/>
          <w:titlePg/>
          <w:docGrid w:linePitch="360"/>
        </w:sectPr>
      </w:pPr>
    </w:p>
    <w:p w14:paraId="0D86A2C5" w14:textId="77777777" w:rsidR="005A5FCC" w:rsidRDefault="005A5FCC">
      <w:pPr>
        <w:spacing w:after="0" w:line="240" w:lineRule="auto"/>
      </w:pPr>
    </w:p>
    <w:p w14:paraId="011F131F" w14:textId="77777777" w:rsidR="005A5FCC" w:rsidRDefault="005A5FCC">
      <w:pPr>
        <w:spacing w:after="0" w:line="240" w:lineRule="auto"/>
      </w:pPr>
    </w:p>
    <w:p w14:paraId="202D3E8A" w14:textId="77777777" w:rsidR="005A5FCC" w:rsidRDefault="005A5FCC">
      <w:pPr>
        <w:spacing w:after="0" w:line="240" w:lineRule="auto"/>
      </w:pPr>
    </w:p>
    <w:p w14:paraId="02C50968" w14:textId="77777777" w:rsidR="005A5FCC" w:rsidRDefault="005A5FCC">
      <w:pPr>
        <w:spacing w:after="0" w:line="240" w:lineRule="auto"/>
      </w:pPr>
    </w:p>
    <w:p w14:paraId="5C068E85" w14:textId="77777777" w:rsidR="005A5FCC" w:rsidRDefault="005A5FCC">
      <w:pPr>
        <w:spacing w:after="0" w:line="240" w:lineRule="auto"/>
      </w:pPr>
    </w:p>
    <w:p w14:paraId="02965B34" w14:textId="77777777" w:rsidR="005A5FCC" w:rsidRDefault="005A5FCC">
      <w:pPr>
        <w:spacing w:after="0" w:line="240" w:lineRule="auto"/>
      </w:pPr>
    </w:p>
    <w:p w14:paraId="5D358247" w14:textId="77777777" w:rsidR="005A5FCC" w:rsidRDefault="005A5FCC">
      <w:pPr>
        <w:spacing w:after="0" w:line="240" w:lineRule="auto"/>
      </w:pPr>
    </w:p>
    <w:p w14:paraId="68D3B3F6" w14:textId="77777777" w:rsidR="005A5FCC" w:rsidRDefault="005A5FCC">
      <w:pPr>
        <w:spacing w:after="0" w:line="240" w:lineRule="auto"/>
      </w:pPr>
    </w:p>
    <w:p w14:paraId="1CABD0DE" w14:textId="77777777" w:rsidR="005A5FCC" w:rsidRDefault="00A21C81">
      <w:pPr>
        <w:spacing w:after="80" w:line="276" w:lineRule="auto"/>
        <w:jc w:val="right"/>
      </w:pPr>
      <w:r>
        <w:rPr>
          <w:rFonts w:cs="EB Garamond"/>
          <w:i/>
          <w:color w:val="3A3128"/>
          <w:kern w:val="16"/>
          <w14:ligatures w14:val="standardContextual"/>
        </w:rPr>
        <w:t>Aos jurisdicionados dos Juizados Especiais Federais,</w:t>
      </w:r>
    </w:p>
    <w:p w14:paraId="067888BA" w14:textId="77777777" w:rsidR="005A5FCC" w:rsidRDefault="00A21C81">
      <w:pPr>
        <w:spacing w:after="320" w:line="276" w:lineRule="auto"/>
        <w:jc w:val="right"/>
      </w:pPr>
      <w:r>
        <w:rPr>
          <w:rFonts w:cs="EB Garamond"/>
          <w:i/>
          <w:color w:val="3A3128"/>
          <w:kern w:val="16"/>
          <w14:ligatures w14:val="standardContextual"/>
        </w:rPr>
        <w:t>que buscam na Justiça a proteção social que lhes é devida.</w:t>
      </w:r>
    </w:p>
    <w:p w14:paraId="59220443" w14:textId="77777777" w:rsidR="005A5FCC" w:rsidRDefault="005A5FCC">
      <w:pPr>
        <w:spacing w:after="0" w:line="240" w:lineRule="auto"/>
      </w:pPr>
    </w:p>
    <w:p w14:paraId="090A5D21" w14:textId="77777777" w:rsidR="005A5FCC" w:rsidRDefault="005A5FCC">
      <w:pPr>
        <w:spacing w:after="0" w:line="240" w:lineRule="auto"/>
      </w:pPr>
    </w:p>
    <w:p w14:paraId="6DA365D8" w14:textId="77777777" w:rsidR="005A5FCC" w:rsidRDefault="005A5FCC">
      <w:pPr>
        <w:spacing w:after="0" w:line="240" w:lineRule="auto"/>
      </w:pPr>
    </w:p>
    <w:p w14:paraId="30870BC7" w14:textId="77777777" w:rsidR="005A5FCC" w:rsidRDefault="005A5FCC">
      <w:pPr>
        <w:spacing w:after="0" w:line="240" w:lineRule="auto"/>
      </w:pPr>
    </w:p>
    <w:p w14:paraId="47DB91F5" w14:textId="77777777" w:rsidR="005A5FCC" w:rsidRDefault="00A21C81">
      <w:pPr>
        <w:spacing w:after="80" w:line="276" w:lineRule="auto"/>
        <w:ind w:right="283"/>
        <w:jc w:val="right"/>
      </w:pPr>
      <w:r>
        <w:rPr>
          <w:rFonts w:cs="EB Garamond"/>
          <w:i/>
          <w:color w:val="6B6256"/>
          <w:kern w:val="16"/>
          <w:sz w:val="19"/>
          <w14:ligatures w14:val="standardContextual"/>
        </w:rPr>
        <w:t>A previdência social é a mais importante conquista</w:t>
      </w:r>
    </w:p>
    <w:p w14:paraId="4D7B347A" w14:textId="77777777" w:rsidR="005A5FCC" w:rsidRDefault="00A21C81">
      <w:pPr>
        <w:spacing w:after="80" w:line="276" w:lineRule="auto"/>
        <w:ind w:right="283"/>
        <w:jc w:val="right"/>
      </w:pPr>
      <w:r>
        <w:rPr>
          <w:rFonts w:cs="EB Garamond"/>
          <w:i/>
          <w:color w:val="6B6256"/>
          <w:kern w:val="16"/>
          <w:sz w:val="19"/>
          <w14:ligatures w14:val="standardContextual"/>
        </w:rPr>
        <w:t>do trabalhador no século XX.</w:t>
      </w:r>
    </w:p>
    <w:p w14:paraId="0A99094F" w14:textId="77777777" w:rsidR="005A5FCC" w:rsidRDefault="00A21C81">
      <w:pPr>
        <w:spacing w:after="0" w:line="240" w:lineRule="auto"/>
        <w:ind w:right="283"/>
        <w:jc w:val="right"/>
      </w:pPr>
      <w:r>
        <w:rPr>
          <w:rFonts w:cs="EB Garamond"/>
          <w:smallCaps/>
          <w:color w:val="6B6256"/>
          <w:kern w:val="16"/>
          <w:sz w:val="17"/>
          <w14:ligatures w14:val="standardContextual"/>
        </w:rPr>
        <w:t>— Wladimir Novaes Martinez</w:t>
      </w:r>
    </w:p>
    <w:p w14:paraId="745057D8" w14:textId="77777777" w:rsidR="005A5FCC" w:rsidRDefault="005A5FCC">
      <w:pPr>
        <w:sectPr w:rsidR="005A5FCC">
          <w:headerReference w:type="even" r:id="rId26"/>
          <w:headerReference w:type="default" r:id="rId27"/>
          <w:footerReference w:type="even" r:id="rId28"/>
          <w:footerReference w:type="default" r:id="rId29"/>
          <w:headerReference w:type="first" r:id="rId30"/>
          <w:footerReference w:type="first" r:id="rId31"/>
          <w:pgSz w:w="8391" w:h="11906"/>
          <w:pgMar w:top="935" w:right="879" w:bottom="964" w:left="1162" w:header="454" w:footer="425" w:gutter="0"/>
          <w:pgNumType w:fmt="lowerRoman"/>
          <w:cols w:space="720"/>
          <w:titlePg/>
          <w:docGrid w:linePitch="360"/>
        </w:sectPr>
      </w:pPr>
    </w:p>
    <w:p w14:paraId="4946EB49" w14:textId="77777777" w:rsidR="005A5FCC" w:rsidRDefault="00A21C81">
      <w:pPr>
        <w:spacing w:before="320" w:after="160" w:line="240" w:lineRule="auto"/>
        <w:jc w:val="center"/>
      </w:pPr>
      <w:r>
        <w:rPr>
          <w:rFonts w:cs="EB Garamond"/>
          <w:b/>
          <w:color w:val="2F2923"/>
          <w:kern w:val="16"/>
          <w:sz w:val="32"/>
          <w14:ligatures w14:val="standardContextual"/>
        </w:rPr>
        <w:lastRenderedPageBreak/>
        <w:t>APRESENTAÇÃO</w:t>
      </w:r>
    </w:p>
    <w:p w14:paraId="40BD2610" w14:textId="77777777" w:rsidR="005A5FCC" w:rsidRDefault="00A21C81">
      <w:pPr>
        <w:spacing w:after="280" w:line="240" w:lineRule="auto"/>
        <w:jc w:val="center"/>
      </w:pPr>
      <w:r>
        <w:rPr>
          <w:rFonts w:cs="EB Garamond"/>
          <w:color w:val="B78B37"/>
          <w:kern w:val="16"/>
          <w:sz w:val="18"/>
          <w14:ligatures w14:val="standardContextual"/>
        </w:rPr>
        <w:t>━━━━  ◆  ━━━━</w:t>
      </w:r>
    </w:p>
    <w:p w14:paraId="336A05C9" w14:textId="77777777" w:rsidR="005A5FCC" w:rsidRDefault="00A21C81">
      <w:pPr>
        <w:spacing w:after="120" w:line="276" w:lineRule="auto"/>
      </w:pPr>
      <w:r>
        <w:rPr>
          <w:rFonts w:cs="EB Garamond"/>
          <w:kern w:val="16"/>
          <w14:ligatures w14:val="standardContextual"/>
        </w:rPr>
        <w:t>O contencioso previdenciário brasileiro tem, hoje, um endereço predominante: os Juizados Especiais Federais. É neles que se decide, todos os dias e em escala de massa, o destino concreto de aposentadorias, auxílios, pensões e benefícios assistenciais — muitas vezes a única fonte de subsistência de quem litiga. Essa centralidade impõe ao advogado e ao magistrado um desafio particular: dominar, ao mesmo tempo, a densa teoria do Direito Previdenciário e a dinâmica processual, probatória e prática que caracteriza o rito dos Juizados.</w:t>
      </w:r>
    </w:p>
    <w:p w14:paraId="056CBEEC" w14:textId="77777777" w:rsidR="005A5FCC" w:rsidRDefault="00A21C81">
      <w:pPr>
        <w:spacing w:after="120" w:line="276" w:lineRule="auto"/>
      </w:pPr>
      <w:r>
        <w:rPr>
          <w:rFonts w:cs="EB Garamond"/>
          <w:kern w:val="16"/>
          <w14:ligatures w14:val="standardContextual"/>
        </w:rPr>
        <w:t>Esta obra nasce da percepção de que teoria e prática, nesse campo, não podem caminhar separadas. De um lado, a Emenda Constitucional 103/2019 reescreveu a arquitetura do Regime Geral de Previdência Social, e as reformas que a sucederam, somadas a um fluxo constante de teses firmadas pelo STF, pelo STJ e pela TNU, tornaram o terreno normativo instável e exigente. De outro, o cotidiano dos Juizados Especiais Federais é feito de perícias, cálculos, provas de tempo de contribuição e requisitos que só se compreendem quando a norma é lida à luz de sua aplicação real.</w:t>
      </w:r>
    </w:p>
    <w:p w14:paraId="37E5217A" w14:textId="77777777" w:rsidR="005A5FCC" w:rsidRDefault="00A21C81">
      <w:pPr>
        <w:spacing w:after="120" w:line="276" w:lineRule="auto"/>
      </w:pPr>
      <w:r>
        <w:rPr>
          <w:rFonts w:cs="EB Garamond"/>
          <w:kern w:val="16"/>
          <w14:ligatures w14:val="standardContextual"/>
        </w:rPr>
        <w:t>Para responder a esse duplo desafio, a exposição de cada tema conjuga o tratamento doutrinário com orientações operacionais. Ao lado da fundamentação teórica, o leitor encontrará boxes de jurisprudência, quadros sinóticos, alertas práticos e roteiros de atuação voltados à realidade das varas federais. A preocupação constante foi a de oferecer não apenas o que a lei diz, mas como o direito efetivamente se resolve no requerimento administrativo, na petição inicial, na instrução e na sentença.</w:t>
      </w:r>
    </w:p>
    <w:p w14:paraId="6C421292" w14:textId="77777777" w:rsidR="005A5FCC" w:rsidRDefault="00A21C81">
      <w:pPr>
        <w:spacing w:after="120" w:line="276" w:lineRule="auto"/>
      </w:pPr>
      <w:r>
        <w:rPr>
          <w:rFonts w:cs="EB Garamond"/>
          <w:kern w:val="16"/>
          <w14:ligatures w14:val="standardContextual"/>
        </w:rPr>
        <w:t xml:space="preserve">A obra está organizada em seis partes e vinte e três capítulos. A Parte I trata dos fundamentos do Regime Geral de Previdência Social — evolução histórica, princípios constitucionais, segurados e dependentes, carência e qualidade de segurado, custeio e reconhecimento de tempo de contribuição. A Parte II examina os </w:t>
      </w:r>
      <w:r>
        <w:rPr>
          <w:rFonts w:cs="EB Garamond"/>
          <w:kern w:val="16"/>
          <w14:ligatures w14:val="standardContextual"/>
        </w:rPr>
        <w:lastRenderedPageBreak/>
        <w:t>benefícios por incapacidade; a Parte III, as aposentadorias programadas, especiais, rurais e da pessoa com deficiência; a Parte IV, as pensões, os auxílios e o benefício assistencial; a Parte V, os temas transversais de cálculo, revisão, decadência e prescrição; e a Parte VI, o processo previdenciário nos Juizados Especiais Federais — processo administrativo, competência e procedimento. Do fundamento constitucional à sentença, o percurso acompanha a lógica com que os litígios efetivamente se apresentam e se resolvem.</w:t>
      </w:r>
    </w:p>
    <w:p w14:paraId="3DCF4F4B" w14:textId="77777777" w:rsidR="005A5FCC" w:rsidRDefault="00A21C81">
      <w:pPr>
        <w:spacing w:after="120" w:line="276" w:lineRule="auto"/>
      </w:pPr>
      <w:r>
        <w:rPr>
          <w:rFonts w:cs="EB Garamond"/>
          <w:kern w:val="16"/>
          <w14:ligatures w14:val="standardContextual"/>
        </w:rPr>
        <w:t>Toda a legislação e a jurisprudência citadas foram conferidas contra as fontes oficiais e refletem o estado do Direito Previdenciário até junho de 2026, com registro das principais controvérsias ainda pendentes de pacificação. O propósito não é encerrar o debate, mas municiar o operador do direito com um instrumento confiável, atualizado e diretamente aplicável.</w:t>
      </w:r>
    </w:p>
    <w:p w14:paraId="5521CB95" w14:textId="77777777" w:rsidR="005A5FCC" w:rsidRDefault="00A21C81">
      <w:pPr>
        <w:spacing w:after="120" w:line="276" w:lineRule="auto"/>
      </w:pPr>
      <w:r>
        <w:rPr>
          <w:rFonts w:cs="EB Garamond"/>
          <w:kern w:val="16"/>
          <w14:ligatures w14:val="standardContextual"/>
        </w:rPr>
        <w:t>Que esta obra seja útil a quem, na advocacia e na magistratura, dedica seu trabalho a dar efetividade à proteção social — razão de ser de todo o sistema previdenciário.</w:t>
      </w:r>
    </w:p>
    <w:p w14:paraId="0C8BFD15" w14:textId="77777777" w:rsidR="005A5FCC" w:rsidRDefault="00A21C81">
      <w:pPr>
        <w:spacing w:before="160" w:after="80" w:line="240" w:lineRule="auto"/>
        <w:jc w:val="right"/>
      </w:pPr>
      <w:r>
        <w:rPr>
          <w:rFonts w:cs="EB Garamond"/>
          <w:i/>
          <w:color w:val="3A3128"/>
          <w:kern w:val="16"/>
          <w14:ligatures w14:val="standardContextual"/>
        </w:rPr>
        <w:t>Os autores</w:t>
      </w:r>
    </w:p>
    <w:p w14:paraId="62B03F8F" w14:textId="77777777" w:rsidR="005A5FCC" w:rsidRDefault="005A5FCC">
      <w:pPr>
        <w:sectPr w:rsidR="005A5FCC">
          <w:headerReference w:type="even" r:id="rId32"/>
          <w:headerReference w:type="default" r:id="rId33"/>
          <w:footerReference w:type="even" r:id="rId34"/>
          <w:footerReference w:type="default" r:id="rId35"/>
          <w:headerReference w:type="first" r:id="rId36"/>
          <w:footerReference w:type="first" r:id="rId37"/>
          <w:pgSz w:w="8391" w:h="11906"/>
          <w:pgMar w:top="935" w:right="879" w:bottom="964" w:left="1162" w:header="454" w:footer="425" w:gutter="0"/>
          <w:pgNumType w:fmt="lowerRoman"/>
          <w:cols w:space="720"/>
          <w:titlePg/>
          <w:docGrid w:linePitch="360"/>
        </w:sectPr>
      </w:pPr>
    </w:p>
    <w:p w14:paraId="1E834324" w14:textId="77777777" w:rsidR="005A5FCC" w:rsidRDefault="00A21C81">
      <w:pPr>
        <w:spacing w:before="320" w:after="160" w:line="240" w:lineRule="auto"/>
        <w:jc w:val="center"/>
      </w:pPr>
      <w:r>
        <w:rPr>
          <w:rFonts w:cs="EB Garamond"/>
          <w:b/>
          <w:color w:val="2F2923"/>
          <w:kern w:val="16"/>
          <w:sz w:val="32"/>
          <w14:ligatures w14:val="standardContextual"/>
        </w:rPr>
        <w:lastRenderedPageBreak/>
        <w:t>LISTA DE ABREVIATURAS E SIGLAS</w:t>
      </w:r>
    </w:p>
    <w:p w14:paraId="2CB38F06" w14:textId="77777777" w:rsidR="005A5FCC" w:rsidRDefault="00A21C81">
      <w:pPr>
        <w:spacing w:after="240" w:line="240" w:lineRule="auto"/>
        <w:jc w:val="center"/>
      </w:pPr>
      <w:r>
        <w:rPr>
          <w:rFonts w:cs="EB Garamond"/>
          <w:color w:val="B78B37"/>
          <w:kern w:val="16"/>
          <w:sz w:val="18"/>
          <w14:ligatures w14:val="standardContextual"/>
        </w:rPr>
        <w:t>━━━━  ◆  ━━━━</w:t>
      </w:r>
    </w:p>
    <w:p w14:paraId="7F82B5F0" w14:textId="77777777" w:rsidR="005A5FCC" w:rsidRDefault="00A21C81">
      <w:pPr>
        <w:spacing w:after="30" w:line="252" w:lineRule="auto"/>
        <w:jc w:val="left"/>
      </w:pPr>
      <w:r>
        <w:rPr>
          <w:rFonts w:cs="EB Garamond"/>
          <w:b/>
          <w:color w:val="2F2923"/>
          <w:kern w:val="16"/>
          <w:sz w:val="20"/>
          <w14:ligatures w14:val="standardContextual"/>
        </w:rPr>
        <w:t>ADI</w:t>
      </w:r>
      <w:r>
        <w:rPr>
          <w:rFonts w:cs="EB Garamond"/>
          <w:color w:val="3A3128"/>
          <w:kern w:val="16"/>
          <w:sz w:val="20"/>
          <w14:ligatures w14:val="standardContextual"/>
        </w:rPr>
        <w:t xml:space="preserve">  —  Ação Direta de Inconstitucionalidade</w:t>
      </w:r>
    </w:p>
    <w:p w14:paraId="548AB372" w14:textId="77777777" w:rsidR="005A5FCC" w:rsidRDefault="00A21C81">
      <w:pPr>
        <w:spacing w:after="30" w:line="252" w:lineRule="auto"/>
        <w:jc w:val="left"/>
      </w:pPr>
      <w:r>
        <w:rPr>
          <w:rFonts w:cs="EB Garamond"/>
          <w:b/>
          <w:color w:val="2F2923"/>
          <w:kern w:val="16"/>
          <w:sz w:val="20"/>
          <w14:ligatures w14:val="standardContextual"/>
        </w:rPr>
        <w:t>APS</w:t>
      </w:r>
      <w:r>
        <w:rPr>
          <w:rFonts w:cs="EB Garamond"/>
          <w:color w:val="3A3128"/>
          <w:kern w:val="16"/>
          <w:sz w:val="20"/>
          <w14:ligatures w14:val="standardContextual"/>
        </w:rPr>
        <w:t xml:space="preserve">  —  Agência da Previdência Social</w:t>
      </w:r>
    </w:p>
    <w:p w14:paraId="6812EE9C" w14:textId="77777777" w:rsidR="005A5FCC" w:rsidRDefault="00A21C81">
      <w:pPr>
        <w:spacing w:after="30" w:line="252" w:lineRule="auto"/>
        <w:jc w:val="left"/>
      </w:pPr>
      <w:r>
        <w:rPr>
          <w:rFonts w:cs="EB Garamond"/>
          <w:b/>
          <w:color w:val="2F2923"/>
          <w:kern w:val="16"/>
          <w:sz w:val="20"/>
          <w14:ligatures w14:val="standardContextual"/>
        </w:rPr>
        <w:t>BPC</w:t>
      </w:r>
      <w:r>
        <w:rPr>
          <w:rFonts w:cs="EB Garamond"/>
          <w:color w:val="3A3128"/>
          <w:kern w:val="16"/>
          <w:sz w:val="20"/>
          <w14:ligatures w14:val="standardContextual"/>
        </w:rPr>
        <w:t xml:space="preserve">  —  Benefício de Prestação Continuada</w:t>
      </w:r>
    </w:p>
    <w:p w14:paraId="3958BA7A" w14:textId="77777777" w:rsidR="005A5FCC" w:rsidRDefault="00A21C81">
      <w:pPr>
        <w:spacing w:after="30" w:line="252" w:lineRule="auto"/>
        <w:jc w:val="left"/>
      </w:pPr>
      <w:r>
        <w:rPr>
          <w:rFonts w:cs="EB Garamond"/>
          <w:b/>
          <w:color w:val="2F2923"/>
          <w:kern w:val="16"/>
          <w:sz w:val="20"/>
          <w14:ligatures w14:val="standardContextual"/>
        </w:rPr>
        <w:t>CAP</w:t>
      </w:r>
      <w:r>
        <w:rPr>
          <w:rFonts w:cs="EB Garamond"/>
          <w:color w:val="3A3128"/>
          <w:kern w:val="16"/>
          <w:sz w:val="20"/>
          <w14:ligatures w14:val="standardContextual"/>
        </w:rPr>
        <w:t xml:space="preserve">  —  Caixa de Aposentadorias e Pensões</w:t>
      </w:r>
    </w:p>
    <w:p w14:paraId="1BF6B210" w14:textId="77777777" w:rsidR="005A5FCC" w:rsidRDefault="00A21C81">
      <w:pPr>
        <w:spacing w:after="30" w:line="252" w:lineRule="auto"/>
        <w:jc w:val="left"/>
      </w:pPr>
      <w:r>
        <w:rPr>
          <w:rFonts w:cs="EB Garamond"/>
          <w:b/>
          <w:color w:val="2F2923"/>
          <w:kern w:val="16"/>
          <w:sz w:val="20"/>
          <w14:ligatures w14:val="standardContextual"/>
        </w:rPr>
        <w:t>CDA</w:t>
      </w:r>
      <w:r>
        <w:rPr>
          <w:rFonts w:cs="EB Garamond"/>
          <w:color w:val="3A3128"/>
          <w:kern w:val="16"/>
          <w:sz w:val="20"/>
          <w14:ligatures w14:val="standardContextual"/>
        </w:rPr>
        <w:t xml:space="preserve">  —  Certidão de Dívida Ativa</w:t>
      </w:r>
    </w:p>
    <w:p w14:paraId="6219DE30" w14:textId="77777777" w:rsidR="005A5FCC" w:rsidRDefault="00A21C81">
      <w:pPr>
        <w:spacing w:after="30" w:line="252" w:lineRule="auto"/>
        <w:jc w:val="left"/>
      </w:pPr>
      <w:r>
        <w:rPr>
          <w:rFonts w:cs="EB Garamond"/>
          <w:b/>
          <w:color w:val="2F2923"/>
          <w:kern w:val="16"/>
          <w:sz w:val="20"/>
          <w14:ligatures w14:val="standardContextual"/>
        </w:rPr>
        <w:t>CF/88</w:t>
      </w:r>
      <w:r>
        <w:rPr>
          <w:rFonts w:cs="EB Garamond"/>
          <w:color w:val="3A3128"/>
          <w:kern w:val="16"/>
          <w:sz w:val="20"/>
          <w14:ligatures w14:val="standardContextual"/>
        </w:rPr>
        <w:t xml:space="preserve">  —  Constituição Federal de 1988</w:t>
      </w:r>
    </w:p>
    <w:p w14:paraId="156DB121" w14:textId="77777777" w:rsidR="005A5FCC" w:rsidRDefault="00A21C81">
      <w:pPr>
        <w:spacing w:after="30" w:line="252" w:lineRule="auto"/>
        <w:jc w:val="left"/>
      </w:pPr>
      <w:r>
        <w:rPr>
          <w:rFonts w:cs="EB Garamond"/>
          <w:b/>
          <w:color w:val="2F2923"/>
          <w:kern w:val="16"/>
          <w:sz w:val="20"/>
          <w14:ligatures w14:val="standardContextual"/>
        </w:rPr>
        <w:t>CLT</w:t>
      </w:r>
      <w:r>
        <w:rPr>
          <w:rFonts w:cs="EB Garamond"/>
          <w:color w:val="3A3128"/>
          <w:kern w:val="16"/>
          <w:sz w:val="20"/>
          <w14:ligatures w14:val="standardContextual"/>
        </w:rPr>
        <w:t xml:space="preserve">  —  Consolidação das Leis do Trabalho</w:t>
      </w:r>
    </w:p>
    <w:p w14:paraId="2C3102BA" w14:textId="77777777" w:rsidR="005A5FCC" w:rsidRDefault="00A21C81">
      <w:pPr>
        <w:spacing w:after="30" w:line="252" w:lineRule="auto"/>
        <w:jc w:val="left"/>
      </w:pPr>
      <w:r>
        <w:rPr>
          <w:rFonts w:cs="EB Garamond"/>
          <w:b/>
          <w:color w:val="2F2923"/>
          <w:kern w:val="16"/>
          <w:sz w:val="20"/>
          <w14:ligatures w14:val="standardContextual"/>
        </w:rPr>
        <w:t>CNIS</w:t>
      </w:r>
      <w:r>
        <w:rPr>
          <w:rFonts w:cs="EB Garamond"/>
          <w:color w:val="3A3128"/>
          <w:kern w:val="16"/>
          <w:sz w:val="20"/>
          <w14:ligatures w14:val="standardContextual"/>
        </w:rPr>
        <w:t xml:space="preserve">  —  Cadastro Nacional de Informações Sociais</w:t>
      </w:r>
    </w:p>
    <w:p w14:paraId="6F4254D6" w14:textId="77777777" w:rsidR="005A5FCC" w:rsidRDefault="00A21C81">
      <w:pPr>
        <w:spacing w:after="30" w:line="252" w:lineRule="auto"/>
        <w:jc w:val="left"/>
      </w:pPr>
      <w:r>
        <w:rPr>
          <w:rFonts w:cs="EB Garamond"/>
          <w:b/>
          <w:color w:val="2F2923"/>
          <w:kern w:val="16"/>
          <w:sz w:val="20"/>
          <w14:ligatures w14:val="standardContextual"/>
        </w:rPr>
        <w:t>COPES</w:t>
      </w:r>
      <w:r>
        <w:rPr>
          <w:rFonts w:cs="EB Garamond"/>
          <w:color w:val="3A3128"/>
          <w:kern w:val="16"/>
          <w:sz w:val="20"/>
          <w14:ligatures w14:val="standardContextual"/>
        </w:rPr>
        <w:t xml:space="preserve">  —  Cobertura Previdenciária Estimada</w:t>
      </w:r>
    </w:p>
    <w:p w14:paraId="5EBD8994" w14:textId="77777777" w:rsidR="005A5FCC" w:rsidRDefault="00A21C81">
      <w:pPr>
        <w:spacing w:after="30" w:line="252" w:lineRule="auto"/>
        <w:jc w:val="left"/>
      </w:pPr>
      <w:r>
        <w:rPr>
          <w:rFonts w:cs="EB Garamond"/>
          <w:b/>
          <w:color w:val="2F2923"/>
          <w:kern w:val="16"/>
          <w:sz w:val="20"/>
          <w14:ligatures w14:val="standardContextual"/>
        </w:rPr>
        <w:t>CRPS</w:t>
      </w:r>
      <w:r>
        <w:rPr>
          <w:rFonts w:cs="EB Garamond"/>
          <w:color w:val="3A3128"/>
          <w:kern w:val="16"/>
          <w:sz w:val="20"/>
          <w14:ligatures w14:val="standardContextual"/>
        </w:rPr>
        <w:t xml:space="preserve">  —  Conselho de Recursos da Previdência Social</w:t>
      </w:r>
    </w:p>
    <w:p w14:paraId="2853EC14" w14:textId="77777777" w:rsidR="005A5FCC" w:rsidRDefault="00A21C81">
      <w:pPr>
        <w:spacing w:after="30" w:line="252" w:lineRule="auto"/>
        <w:jc w:val="left"/>
      </w:pPr>
      <w:r>
        <w:rPr>
          <w:rFonts w:cs="EB Garamond"/>
          <w:b/>
          <w:color w:val="2F2923"/>
          <w:kern w:val="16"/>
          <w:sz w:val="20"/>
          <w14:ligatures w14:val="standardContextual"/>
        </w:rPr>
        <w:t>CTC</w:t>
      </w:r>
      <w:r>
        <w:rPr>
          <w:rFonts w:cs="EB Garamond"/>
          <w:color w:val="3A3128"/>
          <w:kern w:val="16"/>
          <w:sz w:val="20"/>
          <w14:ligatures w14:val="standardContextual"/>
        </w:rPr>
        <w:t xml:space="preserve">  —  Certidão de Tempo de Contribuição</w:t>
      </w:r>
    </w:p>
    <w:p w14:paraId="369471AA" w14:textId="77777777" w:rsidR="005A5FCC" w:rsidRDefault="00A21C81">
      <w:pPr>
        <w:spacing w:after="30" w:line="252" w:lineRule="auto"/>
        <w:jc w:val="left"/>
      </w:pPr>
      <w:r>
        <w:rPr>
          <w:rFonts w:cs="EB Garamond"/>
          <w:b/>
          <w:color w:val="2F2923"/>
          <w:kern w:val="16"/>
          <w:sz w:val="20"/>
          <w14:ligatures w14:val="standardContextual"/>
        </w:rPr>
        <w:t>DER</w:t>
      </w:r>
      <w:r>
        <w:rPr>
          <w:rFonts w:cs="EB Garamond"/>
          <w:color w:val="3A3128"/>
          <w:kern w:val="16"/>
          <w:sz w:val="20"/>
          <w14:ligatures w14:val="standardContextual"/>
        </w:rPr>
        <w:t xml:space="preserve">  —  Data de Entrada do Requerimento</w:t>
      </w:r>
    </w:p>
    <w:p w14:paraId="77D95BA6" w14:textId="77777777" w:rsidR="005A5FCC" w:rsidRDefault="00A21C81">
      <w:pPr>
        <w:spacing w:after="30" w:line="252" w:lineRule="auto"/>
        <w:jc w:val="left"/>
      </w:pPr>
      <w:r>
        <w:rPr>
          <w:rFonts w:cs="EB Garamond"/>
          <w:b/>
          <w:color w:val="2F2923"/>
          <w:kern w:val="16"/>
          <w:sz w:val="20"/>
          <w14:ligatures w14:val="standardContextual"/>
        </w:rPr>
        <w:t>DIB</w:t>
      </w:r>
      <w:r>
        <w:rPr>
          <w:rFonts w:cs="EB Garamond"/>
          <w:color w:val="3A3128"/>
          <w:kern w:val="16"/>
          <w:sz w:val="20"/>
          <w14:ligatures w14:val="standardContextual"/>
        </w:rPr>
        <w:t xml:space="preserve">  —  Data de Início do Benefício</w:t>
      </w:r>
    </w:p>
    <w:p w14:paraId="689DE7CA" w14:textId="77777777" w:rsidR="005A5FCC" w:rsidRDefault="00A21C81">
      <w:pPr>
        <w:spacing w:after="30" w:line="252" w:lineRule="auto"/>
        <w:jc w:val="left"/>
      </w:pPr>
      <w:r>
        <w:rPr>
          <w:rFonts w:cs="EB Garamond"/>
          <w:b/>
          <w:color w:val="2F2923"/>
          <w:kern w:val="16"/>
          <w:sz w:val="20"/>
          <w14:ligatures w14:val="standardContextual"/>
        </w:rPr>
        <w:t>DID</w:t>
      </w:r>
      <w:r>
        <w:rPr>
          <w:rFonts w:cs="EB Garamond"/>
          <w:color w:val="3A3128"/>
          <w:kern w:val="16"/>
          <w:sz w:val="20"/>
          <w14:ligatures w14:val="standardContextual"/>
        </w:rPr>
        <w:t xml:space="preserve">  —  Data de Início da Doença</w:t>
      </w:r>
    </w:p>
    <w:p w14:paraId="0CD20D39" w14:textId="77777777" w:rsidR="005A5FCC" w:rsidRDefault="00A21C81">
      <w:pPr>
        <w:spacing w:after="30" w:line="252" w:lineRule="auto"/>
        <w:jc w:val="left"/>
      </w:pPr>
      <w:r>
        <w:rPr>
          <w:rFonts w:cs="EB Garamond"/>
          <w:b/>
          <w:color w:val="2F2923"/>
          <w:kern w:val="16"/>
          <w:sz w:val="20"/>
          <w14:ligatures w14:val="standardContextual"/>
        </w:rPr>
        <w:t>DII</w:t>
      </w:r>
      <w:r>
        <w:rPr>
          <w:rFonts w:cs="EB Garamond"/>
          <w:color w:val="3A3128"/>
          <w:kern w:val="16"/>
          <w:sz w:val="20"/>
          <w14:ligatures w14:val="standardContextual"/>
        </w:rPr>
        <w:t xml:space="preserve">  —  Data de Início da Incapacidade</w:t>
      </w:r>
    </w:p>
    <w:p w14:paraId="7151F934" w14:textId="77777777" w:rsidR="005A5FCC" w:rsidRDefault="00A21C81">
      <w:pPr>
        <w:spacing w:after="30" w:line="252" w:lineRule="auto"/>
        <w:jc w:val="left"/>
      </w:pPr>
      <w:r>
        <w:rPr>
          <w:rFonts w:cs="EB Garamond"/>
          <w:b/>
          <w:color w:val="2F2923"/>
          <w:kern w:val="16"/>
          <w:sz w:val="20"/>
          <w14:ligatures w14:val="standardContextual"/>
        </w:rPr>
        <w:t>EC</w:t>
      </w:r>
      <w:r>
        <w:rPr>
          <w:rFonts w:cs="EB Garamond"/>
          <w:color w:val="3A3128"/>
          <w:kern w:val="16"/>
          <w:sz w:val="20"/>
          <w14:ligatures w14:val="standardContextual"/>
        </w:rPr>
        <w:t xml:space="preserve">  —  Emenda Constitucional</w:t>
      </w:r>
    </w:p>
    <w:p w14:paraId="70D23440" w14:textId="77777777" w:rsidR="005A5FCC" w:rsidRDefault="00A21C81">
      <w:pPr>
        <w:spacing w:after="30" w:line="252" w:lineRule="auto"/>
        <w:jc w:val="left"/>
      </w:pPr>
      <w:r>
        <w:rPr>
          <w:rFonts w:cs="EB Garamond"/>
          <w:b/>
          <w:color w:val="2F2923"/>
          <w:kern w:val="16"/>
          <w:sz w:val="20"/>
          <w14:ligatures w14:val="standardContextual"/>
        </w:rPr>
        <w:t>EPI</w:t>
      </w:r>
      <w:r>
        <w:rPr>
          <w:rFonts w:cs="EB Garamond"/>
          <w:color w:val="3A3128"/>
          <w:kern w:val="16"/>
          <w:sz w:val="20"/>
          <w14:ligatures w14:val="standardContextual"/>
        </w:rPr>
        <w:t xml:space="preserve">  —  Equipamento de Proteção Individual</w:t>
      </w:r>
    </w:p>
    <w:p w14:paraId="4B2B7EE6" w14:textId="77777777" w:rsidR="005A5FCC" w:rsidRDefault="00A21C81">
      <w:pPr>
        <w:spacing w:after="30" w:line="252" w:lineRule="auto"/>
        <w:jc w:val="left"/>
      </w:pPr>
      <w:r>
        <w:rPr>
          <w:rFonts w:cs="EB Garamond"/>
          <w:b/>
          <w:color w:val="2F2923"/>
          <w:kern w:val="16"/>
          <w:sz w:val="20"/>
          <w14:ligatures w14:val="standardContextual"/>
        </w:rPr>
        <w:t>FUNRURAL</w:t>
      </w:r>
      <w:r>
        <w:rPr>
          <w:rFonts w:cs="EB Garamond"/>
          <w:color w:val="3A3128"/>
          <w:kern w:val="16"/>
          <w:sz w:val="20"/>
          <w14:ligatures w14:val="standardContextual"/>
        </w:rPr>
        <w:t xml:space="preserve">  —  Fundo de Assistência ao Trabalhador Rural</w:t>
      </w:r>
    </w:p>
    <w:p w14:paraId="5EB01CF0" w14:textId="77777777" w:rsidR="005A5FCC" w:rsidRDefault="00A21C81">
      <w:pPr>
        <w:spacing w:after="30" w:line="252" w:lineRule="auto"/>
        <w:jc w:val="left"/>
      </w:pPr>
      <w:r>
        <w:rPr>
          <w:rFonts w:cs="EB Garamond"/>
          <w:b/>
          <w:color w:val="2F2923"/>
          <w:kern w:val="16"/>
          <w:sz w:val="20"/>
          <w14:ligatures w14:val="standardContextual"/>
        </w:rPr>
        <w:t>IAP</w:t>
      </w:r>
      <w:r>
        <w:rPr>
          <w:rFonts w:cs="EB Garamond"/>
          <w:color w:val="3A3128"/>
          <w:kern w:val="16"/>
          <w:sz w:val="20"/>
          <w14:ligatures w14:val="standardContextual"/>
        </w:rPr>
        <w:t xml:space="preserve">  —  Instituto de Aposentadorias e Pensões</w:t>
      </w:r>
    </w:p>
    <w:p w14:paraId="255305CC" w14:textId="77777777" w:rsidR="005A5FCC" w:rsidRDefault="00A21C81">
      <w:pPr>
        <w:spacing w:after="30" w:line="252" w:lineRule="auto"/>
        <w:jc w:val="left"/>
      </w:pPr>
      <w:r>
        <w:rPr>
          <w:rFonts w:cs="EB Garamond"/>
          <w:b/>
          <w:color w:val="2F2923"/>
          <w:kern w:val="16"/>
          <w:sz w:val="20"/>
          <w14:ligatures w14:val="standardContextual"/>
        </w:rPr>
        <w:t>IF-BrA</w:t>
      </w:r>
      <w:r>
        <w:rPr>
          <w:rFonts w:cs="EB Garamond"/>
          <w:color w:val="3A3128"/>
          <w:kern w:val="16"/>
          <w:sz w:val="20"/>
          <w14:ligatures w14:val="standardContextual"/>
        </w:rPr>
        <w:t xml:space="preserve">  —  Índice de Funcionalidade Brasileiro Aplicado</w:t>
      </w:r>
    </w:p>
    <w:p w14:paraId="7D121815" w14:textId="77777777" w:rsidR="005A5FCC" w:rsidRDefault="00A21C81">
      <w:pPr>
        <w:spacing w:after="30" w:line="252" w:lineRule="auto"/>
        <w:jc w:val="left"/>
      </w:pPr>
      <w:r>
        <w:rPr>
          <w:rFonts w:cs="EB Garamond"/>
          <w:b/>
          <w:color w:val="2F2923"/>
          <w:kern w:val="16"/>
          <w:sz w:val="20"/>
          <w14:ligatures w14:val="standardContextual"/>
        </w:rPr>
        <w:t>INPC</w:t>
      </w:r>
      <w:r>
        <w:rPr>
          <w:rFonts w:cs="EB Garamond"/>
          <w:color w:val="3A3128"/>
          <w:kern w:val="16"/>
          <w:sz w:val="20"/>
          <w14:ligatures w14:val="standardContextual"/>
        </w:rPr>
        <w:t xml:space="preserve">  —  Índice Nacional de Preços ao Consumidor</w:t>
      </w:r>
    </w:p>
    <w:p w14:paraId="3A32C794" w14:textId="77777777" w:rsidR="005A5FCC" w:rsidRDefault="00A21C81">
      <w:pPr>
        <w:spacing w:after="30" w:line="252" w:lineRule="auto"/>
        <w:jc w:val="left"/>
      </w:pPr>
      <w:r>
        <w:rPr>
          <w:rFonts w:cs="EB Garamond"/>
          <w:b/>
          <w:color w:val="2F2923"/>
          <w:kern w:val="16"/>
          <w:sz w:val="20"/>
          <w14:ligatures w14:val="standardContextual"/>
        </w:rPr>
        <w:t>INPS</w:t>
      </w:r>
      <w:r>
        <w:rPr>
          <w:rFonts w:cs="EB Garamond"/>
          <w:color w:val="3A3128"/>
          <w:kern w:val="16"/>
          <w:sz w:val="20"/>
          <w14:ligatures w14:val="standardContextual"/>
        </w:rPr>
        <w:t xml:space="preserve">  —  Instituto Nacional de Previdência Social</w:t>
      </w:r>
    </w:p>
    <w:p w14:paraId="491F4C9C" w14:textId="77777777" w:rsidR="005A5FCC" w:rsidRDefault="00A21C81">
      <w:pPr>
        <w:spacing w:after="30" w:line="252" w:lineRule="auto"/>
        <w:jc w:val="left"/>
      </w:pPr>
      <w:r>
        <w:rPr>
          <w:rFonts w:cs="EB Garamond"/>
          <w:b/>
          <w:color w:val="2F2923"/>
          <w:kern w:val="16"/>
          <w:sz w:val="20"/>
          <w14:ligatures w14:val="standardContextual"/>
        </w:rPr>
        <w:t>INSS</w:t>
      </w:r>
      <w:r>
        <w:rPr>
          <w:rFonts w:cs="EB Garamond"/>
          <w:color w:val="3A3128"/>
          <w:kern w:val="16"/>
          <w:sz w:val="20"/>
          <w14:ligatures w14:val="standardContextual"/>
        </w:rPr>
        <w:t xml:space="preserve">  —  Instituto Nacional do Seguro Social</w:t>
      </w:r>
    </w:p>
    <w:p w14:paraId="50CAE053" w14:textId="77777777" w:rsidR="005A5FCC" w:rsidRDefault="00A21C81">
      <w:pPr>
        <w:spacing w:after="30" w:line="252" w:lineRule="auto"/>
        <w:jc w:val="left"/>
      </w:pPr>
      <w:r>
        <w:rPr>
          <w:rFonts w:cs="EB Garamond"/>
          <w:b/>
          <w:color w:val="2F2923"/>
          <w:kern w:val="16"/>
          <w:sz w:val="20"/>
          <w14:ligatures w14:val="standardContextual"/>
        </w:rPr>
        <w:t>JEF</w:t>
      </w:r>
      <w:r>
        <w:rPr>
          <w:rFonts w:cs="EB Garamond"/>
          <w:color w:val="3A3128"/>
          <w:kern w:val="16"/>
          <w:sz w:val="20"/>
          <w14:ligatures w14:val="standardContextual"/>
        </w:rPr>
        <w:t xml:space="preserve">  —  Juizado Especial Federal</w:t>
      </w:r>
    </w:p>
    <w:p w14:paraId="120CC053" w14:textId="77777777" w:rsidR="005A5FCC" w:rsidRDefault="00A21C81">
      <w:pPr>
        <w:spacing w:after="30" w:line="252" w:lineRule="auto"/>
        <w:jc w:val="left"/>
      </w:pPr>
      <w:r>
        <w:rPr>
          <w:rFonts w:cs="EB Garamond"/>
          <w:b/>
          <w:color w:val="2F2923"/>
          <w:kern w:val="16"/>
          <w:sz w:val="20"/>
          <w14:ligatures w14:val="standardContextual"/>
        </w:rPr>
        <w:t>LC</w:t>
      </w:r>
      <w:r>
        <w:rPr>
          <w:rFonts w:cs="EB Garamond"/>
          <w:color w:val="3A3128"/>
          <w:kern w:val="16"/>
          <w:sz w:val="20"/>
          <w14:ligatures w14:val="standardContextual"/>
        </w:rPr>
        <w:t xml:space="preserve">  —  Lei Complementar</w:t>
      </w:r>
    </w:p>
    <w:p w14:paraId="0E3AE069" w14:textId="77777777" w:rsidR="005A5FCC" w:rsidRDefault="00A21C81">
      <w:pPr>
        <w:spacing w:after="30" w:line="252" w:lineRule="auto"/>
        <w:jc w:val="left"/>
      </w:pPr>
      <w:r>
        <w:rPr>
          <w:rFonts w:cs="EB Garamond"/>
          <w:b/>
          <w:color w:val="2F2923"/>
          <w:kern w:val="16"/>
          <w:sz w:val="20"/>
          <w14:ligatures w14:val="standardContextual"/>
        </w:rPr>
        <w:t>LOAS</w:t>
      </w:r>
      <w:r>
        <w:rPr>
          <w:rFonts w:cs="EB Garamond"/>
          <w:color w:val="3A3128"/>
          <w:kern w:val="16"/>
          <w:sz w:val="20"/>
          <w14:ligatures w14:val="standardContextual"/>
        </w:rPr>
        <w:t xml:space="preserve">  —  Lei Orgânica da Assistência Social</w:t>
      </w:r>
    </w:p>
    <w:p w14:paraId="03BFCEBA" w14:textId="77777777" w:rsidR="005A5FCC" w:rsidRDefault="00A21C81">
      <w:pPr>
        <w:spacing w:after="30" w:line="252" w:lineRule="auto"/>
        <w:jc w:val="left"/>
      </w:pPr>
      <w:r>
        <w:rPr>
          <w:rFonts w:cs="EB Garamond"/>
          <w:b/>
          <w:color w:val="2F2923"/>
          <w:kern w:val="16"/>
          <w:sz w:val="20"/>
          <w14:ligatures w14:val="standardContextual"/>
        </w:rPr>
        <w:t>LOPS</w:t>
      </w:r>
      <w:r>
        <w:rPr>
          <w:rFonts w:cs="EB Garamond"/>
          <w:color w:val="3A3128"/>
          <w:kern w:val="16"/>
          <w:sz w:val="20"/>
          <w14:ligatures w14:val="standardContextual"/>
        </w:rPr>
        <w:t xml:space="preserve">  —  Lei Orgânica da Previdência Social</w:t>
      </w:r>
    </w:p>
    <w:p w14:paraId="706A59FC" w14:textId="77777777" w:rsidR="005A5FCC" w:rsidRDefault="00A21C81">
      <w:pPr>
        <w:spacing w:after="30" w:line="252" w:lineRule="auto"/>
        <w:jc w:val="left"/>
      </w:pPr>
      <w:r>
        <w:rPr>
          <w:rFonts w:cs="EB Garamond"/>
          <w:b/>
          <w:color w:val="2F2923"/>
          <w:kern w:val="16"/>
          <w:sz w:val="20"/>
          <w14:ligatures w14:val="standardContextual"/>
        </w:rPr>
        <w:t>MEI</w:t>
      </w:r>
      <w:r>
        <w:rPr>
          <w:rFonts w:cs="EB Garamond"/>
          <w:color w:val="3A3128"/>
          <w:kern w:val="16"/>
          <w:sz w:val="20"/>
          <w14:ligatures w14:val="standardContextual"/>
        </w:rPr>
        <w:t xml:space="preserve">  —  Microempreendedor Individual</w:t>
      </w:r>
    </w:p>
    <w:p w14:paraId="3B0AFD07" w14:textId="77777777" w:rsidR="005A5FCC" w:rsidRDefault="00A21C81">
      <w:pPr>
        <w:spacing w:after="30" w:line="252" w:lineRule="auto"/>
        <w:jc w:val="left"/>
      </w:pPr>
      <w:r>
        <w:rPr>
          <w:rFonts w:cs="EB Garamond"/>
          <w:b/>
          <w:color w:val="2F2923"/>
          <w:kern w:val="16"/>
          <w:sz w:val="20"/>
          <w14:ligatures w14:val="standardContextual"/>
        </w:rPr>
        <w:lastRenderedPageBreak/>
        <w:t>NTEP</w:t>
      </w:r>
      <w:r>
        <w:rPr>
          <w:rFonts w:cs="EB Garamond"/>
          <w:color w:val="3A3128"/>
          <w:kern w:val="16"/>
          <w:sz w:val="20"/>
          <w14:ligatures w14:val="standardContextual"/>
        </w:rPr>
        <w:t xml:space="preserve">  —  Nexo Técnico Epidemiológico Previdenciário</w:t>
      </w:r>
    </w:p>
    <w:p w14:paraId="2F99BF59" w14:textId="77777777" w:rsidR="005A5FCC" w:rsidRDefault="00A21C81">
      <w:pPr>
        <w:spacing w:after="30" w:line="252" w:lineRule="auto"/>
        <w:jc w:val="left"/>
      </w:pPr>
      <w:r>
        <w:rPr>
          <w:rFonts w:cs="EB Garamond"/>
          <w:b/>
          <w:color w:val="2F2923"/>
          <w:kern w:val="16"/>
          <w:sz w:val="20"/>
          <w14:ligatures w14:val="standardContextual"/>
        </w:rPr>
        <w:t>PBC</w:t>
      </w:r>
      <w:r>
        <w:rPr>
          <w:rFonts w:cs="EB Garamond"/>
          <w:color w:val="3A3128"/>
          <w:kern w:val="16"/>
          <w:sz w:val="20"/>
          <w14:ligatures w14:val="standardContextual"/>
        </w:rPr>
        <w:t xml:space="preserve">  —  Período Básico de Cálculo</w:t>
      </w:r>
    </w:p>
    <w:p w14:paraId="384E8FF3" w14:textId="77777777" w:rsidR="005A5FCC" w:rsidRDefault="00A21C81">
      <w:pPr>
        <w:spacing w:after="30" w:line="252" w:lineRule="auto"/>
        <w:jc w:val="left"/>
      </w:pPr>
      <w:r>
        <w:rPr>
          <w:rFonts w:cs="EB Garamond"/>
          <w:b/>
          <w:color w:val="2F2923"/>
          <w:kern w:val="16"/>
          <w:sz w:val="20"/>
          <w14:ligatures w14:val="standardContextual"/>
        </w:rPr>
        <w:t>PPP</w:t>
      </w:r>
      <w:r>
        <w:rPr>
          <w:rFonts w:cs="EB Garamond"/>
          <w:color w:val="3A3128"/>
          <w:kern w:val="16"/>
          <w:sz w:val="20"/>
          <w14:ligatures w14:val="standardContextual"/>
        </w:rPr>
        <w:t xml:space="preserve">  —  Perfil Profissiográfico Previdenciário</w:t>
      </w:r>
    </w:p>
    <w:p w14:paraId="38F53638" w14:textId="77777777" w:rsidR="005A5FCC" w:rsidRDefault="00A21C81">
      <w:pPr>
        <w:spacing w:after="30" w:line="252" w:lineRule="auto"/>
        <w:jc w:val="left"/>
      </w:pPr>
      <w:r>
        <w:rPr>
          <w:rFonts w:cs="EB Garamond"/>
          <w:b/>
          <w:color w:val="2F2923"/>
          <w:kern w:val="16"/>
          <w:sz w:val="20"/>
          <w14:ligatures w14:val="standardContextual"/>
        </w:rPr>
        <w:t>RE</w:t>
      </w:r>
      <w:r>
        <w:rPr>
          <w:rFonts w:cs="EB Garamond"/>
          <w:color w:val="3A3128"/>
          <w:kern w:val="16"/>
          <w:sz w:val="20"/>
          <w14:ligatures w14:val="standardContextual"/>
        </w:rPr>
        <w:t xml:space="preserve">  —  Recurso Extraordinário</w:t>
      </w:r>
    </w:p>
    <w:p w14:paraId="322DCD20" w14:textId="77777777" w:rsidR="005A5FCC" w:rsidRDefault="00A21C81">
      <w:pPr>
        <w:spacing w:after="30" w:line="252" w:lineRule="auto"/>
        <w:jc w:val="left"/>
      </w:pPr>
      <w:r>
        <w:rPr>
          <w:rFonts w:cs="EB Garamond"/>
          <w:b/>
          <w:color w:val="2F2923"/>
          <w:kern w:val="16"/>
          <w:sz w:val="20"/>
          <w14:ligatures w14:val="standardContextual"/>
        </w:rPr>
        <w:t>REsp</w:t>
      </w:r>
      <w:r>
        <w:rPr>
          <w:rFonts w:cs="EB Garamond"/>
          <w:color w:val="3A3128"/>
          <w:kern w:val="16"/>
          <w:sz w:val="20"/>
          <w14:ligatures w14:val="standardContextual"/>
        </w:rPr>
        <w:t xml:space="preserve">  —  Recurso Especial</w:t>
      </w:r>
    </w:p>
    <w:p w14:paraId="222302BE" w14:textId="77777777" w:rsidR="005A5FCC" w:rsidRDefault="00A21C81">
      <w:pPr>
        <w:spacing w:after="30" w:line="252" w:lineRule="auto"/>
        <w:jc w:val="left"/>
      </w:pPr>
      <w:r>
        <w:rPr>
          <w:rFonts w:cs="EB Garamond"/>
          <w:b/>
          <w:color w:val="2F2923"/>
          <w:kern w:val="16"/>
          <w:sz w:val="20"/>
          <w14:ligatures w14:val="standardContextual"/>
        </w:rPr>
        <w:t>RGPS</w:t>
      </w:r>
      <w:r>
        <w:rPr>
          <w:rFonts w:cs="EB Garamond"/>
          <w:color w:val="3A3128"/>
          <w:kern w:val="16"/>
          <w:sz w:val="20"/>
          <w14:ligatures w14:val="standardContextual"/>
        </w:rPr>
        <w:t xml:space="preserve">  —  Regime Geral de Previdência Social</w:t>
      </w:r>
    </w:p>
    <w:p w14:paraId="342CFCC1" w14:textId="77777777" w:rsidR="005A5FCC" w:rsidRDefault="00A21C81">
      <w:pPr>
        <w:spacing w:after="30" w:line="252" w:lineRule="auto"/>
        <w:jc w:val="left"/>
      </w:pPr>
      <w:r>
        <w:rPr>
          <w:rFonts w:cs="EB Garamond"/>
          <w:b/>
          <w:color w:val="2F2923"/>
          <w:kern w:val="16"/>
          <w:sz w:val="20"/>
          <w14:ligatures w14:val="standardContextual"/>
        </w:rPr>
        <w:t>RMI</w:t>
      </w:r>
      <w:r>
        <w:rPr>
          <w:rFonts w:cs="EB Garamond"/>
          <w:color w:val="3A3128"/>
          <w:kern w:val="16"/>
          <w:sz w:val="20"/>
          <w14:ligatures w14:val="standardContextual"/>
        </w:rPr>
        <w:t xml:space="preserve">  —  Renda Mensal Inicial</w:t>
      </w:r>
    </w:p>
    <w:p w14:paraId="3CE947C3" w14:textId="77777777" w:rsidR="005A5FCC" w:rsidRDefault="00A21C81">
      <w:pPr>
        <w:spacing w:after="30" w:line="252" w:lineRule="auto"/>
        <w:jc w:val="left"/>
      </w:pPr>
      <w:r>
        <w:rPr>
          <w:rFonts w:cs="EB Garamond"/>
          <w:b/>
          <w:color w:val="2F2923"/>
          <w:kern w:val="16"/>
          <w:sz w:val="20"/>
          <w14:ligatures w14:val="standardContextual"/>
        </w:rPr>
        <w:t>RPPS</w:t>
      </w:r>
      <w:r>
        <w:rPr>
          <w:rFonts w:cs="EB Garamond"/>
          <w:color w:val="3A3128"/>
          <w:kern w:val="16"/>
          <w:sz w:val="20"/>
          <w14:ligatures w14:val="standardContextual"/>
        </w:rPr>
        <w:t xml:space="preserve">  —  Regime Próprio de Previdência Social</w:t>
      </w:r>
    </w:p>
    <w:p w14:paraId="5C72E0E6" w14:textId="77777777" w:rsidR="005A5FCC" w:rsidRDefault="00A21C81">
      <w:pPr>
        <w:spacing w:after="30" w:line="252" w:lineRule="auto"/>
        <w:jc w:val="left"/>
      </w:pPr>
      <w:r>
        <w:rPr>
          <w:rFonts w:cs="EB Garamond"/>
          <w:b/>
          <w:color w:val="2F2923"/>
          <w:kern w:val="16"/>
          <w:sz w:val="20"/>
          <w14:ligatures w14:val="standardContextual"/>
        </w:rPr>
        <w:t>RPV</w:t>
      </w:r>
      <w:r>
        <w:rPr>
          <w:rFonts w:cs="EB Garamond"/>
          <w:color w:val="3A3128"/>
          <w:kern w:val="16"/>
          <w:sz w:val="20"/>
          <w14:ligatures w14:val="standardContextual"/>
        </w:rPr>
        <w:t xml:space="preserve">  —  Requisição de Pequeno Valor</w:t>
      </w:r>
    </w:p>
    <w:p w14:paraId="3E2AC852" w14:textId="77777777" w:rsidR="005A5FCC" w:rsidRDefault="00A21C81">
      <w:pPr>
        <w:spacing w:after="30" w:line="252" w:lineRule="auto"/>
        <w:jc w:val="left"/>
      </w:pPr>
      <w:r>
        <w:rPr>
          <w:rFonts w:cs="EB Garamond"/>
          <w:b/>
          <w:color w:val="2F2923"/>
          <w:kern w:val="16"/>
          <w:sz w:val="20"/>
          <w14:ligatures w14:val="standardContextual"/>
        </w:rPr>
        <w:t>SELIC</w:t>
      </w:r>
      <w:r>
        <w:rPr>
          <w:rFonts w:cs="EB Garamond"/>
          <w:color w:val="3A3128"/>
          <w:kern w:val="16"/>
          <w:sz w:val="20"/>
          <w14:ligatures w14:val="standardContextual"/>
        </w:rPr>
        <w:t xml:space="preserve">  —  Sistema Especial de Liquidação e de Custódia</w:t>
      </w:r>
    </w:p>
    <w:p w14:paraId="0A53D9CB" w14:textId="77777777" w:rsidR="005A5FCC" w:rsidRDefault="00A21C81">
      <w:pPr>
        <w:spacing w:after="30" w:line="252" w:lineRule="auto"/>
        <w:jc w:val="left"/>
      </w:pPr>
      <w:r>
        <w:rPr>
          <w:rFonts w:cs="EB Garamond"/>
          <w:b/>
          <w:color w:val="2F2923"/>
          <w:kern w:val="16"/>
          <w:sz w:val="20"/>
          <w14:ligatures w14:val="standardContextual"/>
        </w:rPr>
        <w:t>SM</w:t>
      </w:r>
      <w:r>
        <w:rPr>
          <w:rFonts w:cs="EB Garamond"/>
          <w:color w:val="3A3128"/>
          <w:kern w:val="16"/>
          <w:sz w:val="20"/>
          <w14:ligatures w14:val="standardContextual"/>
        </w:rPr>
        <w:t xml:space="preserve">  —  Salário Mínimo</w:t>
      </w:r>
    </w:p>
    <w:p w14:paraId="4DD6F8B8" w14:textId="77777777" w:rsidR="005A5FCC" w:rsidRDefault="00A21C81">
      <w:pPr>
        <w:spacing w:after="30" w:line="252" w:lineRule="auto"/>
        <w:jc w:val="left"/>
      </w:pPr>
      <w:r>
        <w:rPr>
          <w:rFonts w:cs="EB Garamond"/>
          <w:b/>
          <w:color w:val="2F2923"/>
          <w:kern w:val="16"/>
          <w:sz w:val="20"/>
          <w14:ligatures w14:val="standardContextual"/>
        </w:rPr>
        <w:t>STF</w:t>
      </w:r>
      <w:r>
        <w:rPr>
          <w:rFonts w:cs="EB Garamond"/>
          <w:color w:val="3A3128"/>
          <w:kern w:val="16"/>
          <w:sz w:val="20"/>
          <w14:ligatures w14:val="standardContextual"/>
        </w:rPr>
        <w:t xml:space="preserve">  —  Supremo Tribunal Federal</w:t>
      </w:r>
    </w:p>
    <w:p w14:paraId="4B10789E" w14:textId="77777777" w:rsidR="005A5FCC" w:rsidRDefault="00A21C81">
      <w:pPr>
        <w:spacing w:after="30" w:line="252" w:lineRule="auto"/>
        <w:jc w:val="left"/>
      </w:pPr>
      <w:r>
        <w:rPr>
          <w:rFonts w:cs="EB Garamond"/>
          <w:b/>
          <w:color w:val="2F2923"/>
          <w:kern w:val="16"/>
          <w:sz w:val="20"/>
          <w14:ligatures w14:val="standardContextual"/>
        </w:rPr>
        <w:t>STJ</w:t>
      </w:r>
      <w:r>
        <w:rPr>
          <w:rFonts w:cs="EB Garamond"/>
          <w:color w:val="3A3128"/>
          <w:kern w:val="16"/>
          <w:sz w:val="20"/>
          <w14:ligatures w14:val="standardContextual"/>
        </w:rPr>
        <w:t xml:space="preserve">  —  Superior Tribunal de Justiça</w:t>
      </w:r>
    </w:p>
    <w:p w14:paraId="51F03411" w14:textId="77777777" w:rsidR="005A5FCC" w:rsidRDefault="00A21C81">
      <w:pPr>
        <w:spacing w:after="30" w:line="252" w:lineRule="auto"/>
        <w:jc w:val="left"/>
      </w:pPr>
      <w:r>
        <w:rPr>
          <w:rFonts w:cs="EB Garamond"/>
          <w:b/>
          <w:color w:val="2F2923"/>
          <w:kern w:val="16"/>
          <w:sz w:val="20"/>
          <w14:ligatures w14:val="standardContextual"/>
        </w:rPr>
        <w:t>TNU</w:t>
      </w:r>
      <w:r>
        <w:rPr>
          <w:rFonts w:cs="EB Garamond"/>
          <w:color w:val="3A3128"/>
          <w:kern w:val="16"/>
          <w:sz w:val="20"/>
          <w14:ligatures w14:val="standardContextual"/>
        </w:rPr>
        <w:t xml:space="preserve">  —  Turma Nacional de Uniformização</w:t>
      </w:r>
    </w:p>
    <w:p w14:paraId="070A54E2" w14:textId="77777777" w:rsidR="005A5FCC" w:rsidRDefault="00A21C81">
      <w:pPr>
        <w:spacing w:after="30" w:line="252" w:lineRule="auto"/>
        <w:jc w:val="left"/>
      </w:pPr>
      <w:r>
        <w:rPr>
          <w:rFonts w:cs="EB Garamond"/>
          <w:b/>
          <w:color w:val="2F2923"/>
          <w:kern w:val="16"/>
          <w:sz w:val="20"/>
          <w14:ligatures w14:val="standardContextual"/>
        </w:rPr>
        <w:t>TRF</w:t>
      </w:r>
      <w:r>
        <w:rPr>
          <w:rFonts w:cs="EB Garamond"/>
          <w:color w:val="3A3128"/>
          <w:kern w:val="16"/>
          <w:sz w:val="20"/>
          <w14:ligatures w14:val="standardContextual"/>
        </w:rPr>
        <w:t xml:space="preserve">  —  Tribunal Regional Federal</w:t>
      </w:r>
    </w:p>
    <w:p w14:paraId="1ED15C4E" w14:textId="77777777" w:rsidR="005A5FCC" w:rsidRDefault="005A5FCC">
      <w:pPr>
        <w:sectPr w:rsidR="005A5FCC">
          <w:headerReference w:type="even" r:id="rId38"/>
          <w:headerReference w:type="default" r:id="rId39"/>
          <w:footerReference w:type="even" r:id="rId40"/>
          <w:footerReference w:type="default" r:id="rId41"/>
          <w:headerReference w:type="first" r:id="rId42"/>
          <w:footerReference w:type="first" r:id="rId43"/>
          <w:pgSz w:w="8391" w:h="11906"/>
          <w:pgMar w:top="935" w:right="879" w:bottom="964" w:left="1162" w:header="454" w:footer="425" w:gutter="0"/>
          <w:pgNumType w:fmt="lowerRoman"/>
          <w:cols w:space="720"/>
          <w:titlePg/>
          <w:docGrid w:linePitch="360"/>
        </w:sectPr>
      </w:pPr>
    </w:p>
    <w:p w14:paraId="60CEDCEC" w14:textId="77777777" w:rsidR="005A5FCC" w:rsidRDefault="00A21C81">
      <w:pPr>
        <w:spacing w:before="320" w:after="320" w:line="240" w:lineRule="auto"/>
        <w:jc w:val="center"/>
      </w:pPr>
      <w:r w:rsidRPr="00BC16BC">
        <w:rPr>
          <w:rFonts w:cs="EB Garamond"/>
          <w:b/>
          <w:color w:val="2F2923"/>
          <w:kern w:val="16"/>
          <w:sz w:val="36"/>
          <w14:ligatures w14:val="standardContextual"/>
        </w:rPr>
        <w:lastRenderedPageBreak/>
        <w:t>SUMÁRIO</w:t>
      </w:r>
    </w:p>
    <w:p w14:paraId="7AFE3999" w14:textId="77777777" w:rsidR="005A5FCC" w:rsidRDefault="00A21C81">
      <w:pPr>
        <w:spacing w:after="240" w:line="240" w:lineRule="auto"/>
        <w:jc w:val="center"/>
      </w:pPr>
      <w:r>
        <w:rPr>
          <w:rFonts w:cs="EB Garamond"/>
          <w:color w:val="B78B37"/>
          <w:kern w:val="16"/>
          <w:sz w:val="18"/>
          <w14:ligatures w14:val="standardContextual"/>
        </w:rPr>
        <w:t>◆</w:t>
      </w:r>
    </w:p>
    <w:p w14:paraId="2B8EAB93" w14:textId="77777777" w:rsidR="00BE4475" w:rsidRDefault="00BE4475" w:rsidP="003A005E">
      <w:pPr>
        <w:spacing w:after="0" w:line="240" w:lineRule="auto"/>
        <w:rPr>
          <w:szCs w:val="21"/>
        </w:rPr>
      </w:pPr>
    </w:p>
    <w:p w14:paraId="0B43AA91" w14:textId="1D43B8EB" w:rsidR="00BC16BC" w:rsidRPr="00E56701" w:rsidRDefault="00BC16BC" w:rsidP="003A005E">
      <w:pPr>
        <w:spacing w:after="0" w:line="240" w:lineRule="auto"/>
        <w:rPr>
          <w:szCs w:val="21"/>
        </w:rPr>
      </w:pPr>
      <w:r w:rsidRPr="00E56701">
        <w:rPr>
          <w:szCs w:val="21"/>
        </w:rPr>
        <w:t>PARTE I — FUNDAMENTOS DO REGIME GERAL DE PREVIDÊNCIA SOCIAL</w:t>
      </w:r>
      <w:r w:rsidR="007B1033">
        <w:rPr>
          <w:szCs w:val="21"/>
        </w:rPr>
        <w:t xml:space="preserve"> </w:t>
      </w:r>
      <w:r w:rsidRPr="00E56701">
        <w:rPr>
          <w:szCs w:val="21"/>
        </w:rPr>
        <w:t>...............................................................................................................  1</w:t>
      </w:r>
    </w:p>
    <w:p w14:paraId="3DF342A9" w14:textId="0035BA68" w:rsidR="00BC16BC" w:rsidRPr="00E56701" w:rsidRDefault="00BC16BC" w:rsidP="003A005E">
      <w:pPr>
        <w:spacing w:after="0" w:line="240" w:lineRule="auto"/>
        <w:rPr>
          <w:szCs w:val="21"/>
        </w:rPr>
      </w:pPr>
      <w:r w:rsidRPr="00E56701">
        <w:rPr>
          <w:szCs w:val="21"/>
        </w:rPr>
        <w:t>Capítulo 1 — Evolução Histórica e Princípios Constitucionais ..........</w:t>
      </w:r>
      <w:r>
        <w:rPr>
          <w:szCs w:val="21"/>
        </w:rPr>
        <w:t>...</w:t>
      </w:r>
      <w:r w:rsidRPr="00E56701">
        <w:rPr>
          <w:szCs w:val="21"/>
        </w:rPr>
        <w:t>............ 2</w:t>
      </w:r>
    </w:p>
    <w:p w14:paraId="385119E6" w14:textId="40CD5E68" w:rsidR="00BC16BC" w:rsidRPr="00E56701" w:rsidRDefault="00BC16BC" w:rsidP="003A005E">
      <w:pPr>
        <w:spacing w:after="0" w:line="240" w:lineRule="auto"/>
        <w:rPr>
          <w:rFonts w:cs="EB Garamond"/>
          <w:bCs/>
          <w:color w:val="3A3128"/>
          <w:kern w:val="16"/>
          <w:szCs w:val="21"/>
        </w:rPr>
      </w:pPr>
      <w:r w:rsidRPr="00E56701">
        <w:rPr>
          <w:rFonts w:cs="EB Garamond"/>
          <w:bCs/>
          <w:color w:val="3A3128"/>
          <w:kern w:val="16"/>
          <w:szCs w:val="21"/>
        </w:rPr>
        <w:t>1.1 Introdução: o direito previdenciário como construção histórica .........</w:t>
      </w:r>
      <w:r>
        <w:rPr>
          <w:rFonts w:cs="EB Garamond"/>
          <w:bCs/>
          <w:color w:val="3A3128"/>
          <w:kern w:val="16"/>
          <w:szCs w:val="21"/>
        </w:rPr>
        <w:t>.</w:t>
      </w:r>
      <w:r w:rsidRPr="00E56701">
        <w:rPr>
          <w:rFonts w:cs="EB Garamond"/>
          <w:bCs/>
          <w:color w:val="3A3128"/>
          <w:kern w:val="16"/>
          <w:szCs w:val="21"/>
        </w:rPr>
        <w:t>........  2</w:t>
      </w:r>
    </w:p>
    <w:p w14:paraId="1A5B517E" w14:textId="24BB9A94" w:rsidR="00BC16BC" w:rsidRPr="00E56701" w:rsidRDefault="00BC16BC" w:rsidP="003A005E">
      <w:pPr>
        <w:spacing w:after="0" w:line="240" w:lineRule="auto"/>
        <w:rPr>
          <w:rFonts w:cs="EB Garamond"/>
          <w:bCs/>
          <w:color w:val="3A3128"/>
          <w:kern w:val="16"/>
          <w:szCs w:val="21"/>
        </w:rPr>
      </w:pPr>
      <w:r w:rsidRPr="00E56701">
        <w:rPr>
          <w:rFonts w:cs="EB Garamond"/>
          <w:bCs/>
          <w:color w:val="3A3128"/>
          <w:kern w:val="16"/>
          <w:szCs w:val="21"/>
        </w:rPr>
        <w:t>1.2 Origens da proteção social: Bismarck, Beveridge e os primeiros marcos internacionais ........................................................................................</w:t>
      </w:r>
      <w:r>
        <w:rPr>
          <w:rFonts w:cs="EB Garamond"/>
          <w:bCs/>
          <w:color w:val="3A3128"/>
          <w:kern w:val="16"/>
          <w:szCs w:val="21"/>
        </w:rPr>
        <w:t>.......................</w:t>
      </w:r>
      <w:r w:rsidRPr="00E56701">
        <w:rPr>
          <w:rFonts w:cs="EB Garamond"/>
          <w:bCs/>
          <w:color w:val="3A3128"/>
          <w:kern w:val="16"/>
          <w:szCs w:val="21"/>
        </w:rPr>
        <w:t xml:space="preserve">  4</w:t>
      </w:r>
    </w:p>
    <w:p w14:paraId="3C520672" w14:textId="099053B6" w:rsidR="00BC16BC" w:rsidRPr="00E56701" w:rsidRDefault="00BC16BC" w:rsidP="003A005E">
      <w:pPr>
        <w:spacing w:after="0" w:line="240" w:lineRule="auto"/>
        <w:rPr>
          <w:rFonts w:cs="EB Garamond"/>
          <w:bCs/>
          <w:color w:val="3A3128"/>
          <w:kern w:val="16"/>
          <w:szCs w:val="21"/>
        </w:rPr>
      </w:pPr>
      <w:r w:rsidRPr="00E56701">
        <w:rPr>
          <w:rFonts w:cs="EB Garamond"/>
          <w:bCs/>
          <w:color w:val="3A3128"/>
          <w:kern w:val="16"/>
          <w:szCs w:val="21"/>
        </w:rPr>
        <w:t>1.3 Primórdios no Brasil: das confrarias de Misericórdia à lei Eloy Chaves (1543–1923) ...................................................................................................................</w:t>
      </w:r>
      <w:r>
        <w:rPr>
          <w:rFonts w:cs="EB Garamond"/>
          <w:bCs/>
          <w:color w:val="3A3128"/>
          <w:kern w:val="16"/>
          <w:szCs w:val="21"/>
        </w:rPr>
        <w:t>..</w:t>
      </w:r>
      <w:r w:rsidRPr="00E56701">
        <w:rPr>
          <w:rFonts w:cs="EB Garamond"/>
          <w:bCs/>
          <w:color w:val="3A3128"/>
          <w:kern w:val="16"/>
          <w:szCs w:val="21"/>
        </w:rPr>
        <w:t xml:space="preserve">  6</w:t>
      </w:r>
    </w:p>
    <w:p w14:paraId="31CE1BAE" w14:textId="648E786D" w:rsidR="00BC16BC" w:rsidRPr="00E56701" w:rsidRDefault="00BC16BC" w:rsidP="003A005E">
      <w:pPr>
        <w:spacing w:after="0" w:line="240" w:lineRule="auto"/>
        <w:rPr>
          <w:rFonts w:cs="EB Garamond"/>
          <w:bCs/>
          <w:color w:val="3A3128"/>
          <w:kern w:val="16"/>
          <w:szCs w:val="21"/>
        </w:rPr>
      </w:pPr>
      <w:r w:rsidRPr="00E56701">
        <w:rPr>
          <w:rFonts w:cs="EB Garamond"/>
          <w:bCs/>
          <w:color w:val="3A3128"/>
          <w:kern w:val="16"/>
          <w:szCs w:val="21"/>
        </w:rPr>
        <w:t>1.4 Caixas de aposentadorias e pensões e institutos de aposentadorias e pensões (1923–1960) ........</w:t>
      </w:r>
      <w:r>
        <w:rPr>
          <w:rFonts w:cs="EB Garamond"/>
          <w:bCs/>
          <w:color w:val="3A3128"/>
          <w:kern w:val="16"/>
          <w:szCs w:val="21"/>
        </w:rPr>
        <w:t>..</w:t>
      </w:r>
      <w:r w:rsidRPr="00E56701">
        <w:rPr>
          <w:rFonts w:cs="EB Garamond"/>
          <w:bCs/>
          <w:color w:val="3A3128"/>
          <w:kern w:val="16"/>
          <w:szCs w:val="21"/>
        </w:rPr>
        <w:t>...............................................................................................  9</w:t>
      </w:r>
    </w:p>
    <w:p w14:paraId="4B08BB00" w14:textId="7D3BB1EB" w:rsidR="00BC16BC" w:rsidRPr="00E56701" w:rsidRDefault="00BC16BC" w:rsidP="003A005E">
      <w:pPr>
        <w:spacing w:after="0" w:line="240" w:lineRule="auto"/>
        <w:rPr>
          <w:rFonts w:cs="EB Garamond"/>
          <w:bCs/>
          <w:color w:val="3A3128"/>
          <w:kern w:val="16"/>
          <w:szCs w:val="21"/>
        </w:rPr>
      </w:pPr>
      <w:r w:rsidRPr="00E56701">
        <w:rPr>
          <w:rFonts w:cs="EB Garamond"/>
          <w:bCs/>
          <w:color w:val="3A3128"/>
          <w:kern w:val="16"/>
          <w:szCs w:val="21"/>
        </w:rPr>
        <w:t>1.5 Unificação institucional: LOPS, Funrural e SINPAS (1960–1988) ...........  11</w:t>
      </w:r>
    </w:p>
    <w:p w14:paraId="28FAD235" w14:textId="66D1388F" w:rsidR="00BC16BC" w:rsidRPr="00E56701" w:rsidRDefault="00BC16BC" w:rsidP="003A005E">
      <w:pPr>
        <w:spacing w:after="0" w:line="240" w:lineRule="auto"/>
        <w:rPr>
          <w:bCs/>
          <w:szCs w:val="21"/>
        </w:rPr>
      </w:pPr>
      <w:r w:rsidRPr="00E56701">
        <w:rPr>
          <w:rFonts w:cs="EB Garamond"/>
          <w:bCs/>
          <w:color w:val="3A3128"/>
          <w:kern w:val="16"/>
          <w:szCs w:val="21"/>
        </w:rPr>
        <w:t>1.6 A Constituição de 1988 e a criação do sistema de seguridade social</w:t>
      </w:r>
      <w:r w:rsidRPr="00E56701">
        <w:rPr>
          <w:bCs/>
          <w:szCs w:val="21"/>
        </w:rPr>
        <w:t xml:space="preserve"> ....</w:t>
      </w:r>
      <w:r>
        <w:rPr>
          <w:bCs/>
          <w:szCs w:val="21"/>
        </w:rPr>
        <w:t>.</w:t>
      </w:r>
      <w:r w:rsidRPr="00E56701">
        <w:rPr>
          <w:bCs/>
          <w:szCs w:val="21"/>
        </w:rPr>
        <w:t>....... 14</w:t>
      </w:r>
    </w:p>
    <w:p w14:paraId="395F019D" w14:textId="4A21400D" w:rsidR="00BC16BC" w:rsidRPr="00E56701" w:rsidRDefault="00BC16BC" w:rsidP="003A005E">
      <w:pPr>
        <w:spacing w:after="0" w:line="240" w:lineRule="auto"/>
        <w:rPr>
          <w:bCs/>
          <w:szCs w:val="21"/>
        </w:rPr>
      </w:pPr>
      <w:r w:rsidRPr="00E56701">
        <w:rPr>
          <w:rFonts w:cs="EB Garamond"/>
          <w:bCs/>
          <w:color w:val="3A3128"/>
          <w:kern w:val="16"/>
          <w:szCs w:val="21"/>
        </w:rPr>
        <w:t>1.7 Art. 194 da CF/88: conceito e organização da seguridade social</w:t>
      </w:r>
      <w:r>
        <w:rPr>
          <w:rFonts w:cs="EB Garamond"/>
          <w:bCs/>
          <w:color w:val="3A3128"/>
          <w:kern w:val="16"/>
          <w:szCs w:val="21"/>
        </w:rPr>
        <w:t xml:space="preserve"> </w:t>
      </w:r>
      <w:r w:rsidRPr="00E56701">
        <w:rPr>
          <w:bCs/>
          <w:szCs w:val="21"/>
        </w:rPr>
        <w:t>.................. 17</w:t>
      </w:r>
    </w:p>
    <w:p w14:paraId="0CCDAD05" w14:textId="540B4EB9" w:rsidR="00BC16BC" w:rsidRPr="00E56701" w:rsidRDefault="00BC16BC" w:rsidP="003A005E">
      <w:pPr>
        <w:spacing w:after="0" w:line="240" w:lineRule="auto"/>
        <w:rPr>
          <w:rFonts w:cs="EB Garamond"/>
          <w:bCs/>
          <w:color w:val="3A3128"/>
          <w:kern w:val="16"/>
          <w:szCs w:val="21"/>
        </w:rPr>
      </w:pPr>
      <w:r w:rsidRPr="00E56701">
        <w:rPr>
          <w:rFonts w:cs="EB Garamond"/>
          <w:bCs/>
          <w:color w:val="3A3128"/>
          <w:kern w:val="16"/>
          <w:szCs w:val="21"/>
        </w:rPr>
        <w:t>1.8 Universalidade da cobertura e do atendimento .........................................</w:t>
      </w:r>
      <w:r>
        <w:rPr>
          <w:rFonts w:cs="EB Garamond"/>
          <w:bCs/>
          <w:color w:val="3A3128"/>
          <w:kern w:val="16"/>
          <w:szCs w:val="21"/>
        </w:rPr>
        <w:t>....</w:t>
      </w:r>
      <w:r w:rsidRPr="00E56701">
        <w:rPr>
          <w:rFonts w:cs="EB Garamond"/>
          <w:bCs/>
          <w:color w:val="3A3128"/>
          <w:kern w:val="16"/>
          <w:szCs w:val="21"/>
        </w:rPr>
        <w:t xml:space="preserve"> 19</w:t>
      </w:r>
    </w:p>
    <w:p w14:paraId="49734925" w14:textId="60492001" w:rsidR="00BC16BC" w:rsidRPr="00E56701" w:rsidRDefault="00BC16BC" w:rsidP="003A005E">
      <w:pPr>
        <w:spacing w:after="0" w:line="240" w:lineRule="auto"/>
        <w:rPr>
          <w:rFonts w:cs="EB Garamond"/>
          <w:bCs/>
          <w:color w:val="3A3128"/>
          <w:kern w:val="16"/>
          <w:szCs w:val="21"/>
        </w:rPr>
      </w:pPr>
      <w:r w:rsidRPr="00E56701">
        <w:rPr>
          <w:rFonts w:cs="EB Garamond"/>
          <w:bCs/>
          <w:color w:val="3A3128"/>
          <w:kern w:val="16"/>
          <w:szCs w:val="21"/>
        </w:rPr>
        <w:t>1.9 Uniformidade e equivalência dos benefícios entre populações urbana e rural</w:t>
      </w:r>
      <w:r>
        <w:rPr>
          <w:rFonts w:cs="EB Garamond"/>
          <w:bCs/>
          <w:color w:val="3A3128"/>
          <w:kern w:val="16"/>
          <w:szCs w:val="21"/>
        </w:rPr>
        <w:t xml:space="preserve"> ..............................................................................................................................</w:t>
      </w:r>
      <w:r w:rsidRPr="00E56701">
        <w:rPr>
          <w:rFonts w:cs="EB Garamond"/>
          <w:bCs/>
          <w:color w:val="3A3128"/>
          <w:kern w:val="16"/>
          <w:szCs w:val="21"/>
        </w:rPr>
        <w:t xml:space="preserve"> </w:t>
      </w:r>
      <w:r>
        <w:rPr>
          <w:rFonts w:cs="EB Garamond"/>
          <w:bCs/>
          <w:color w:val="3A3128"/>
          <w:kern w:val="16"/>
          <w:szCs w:val="21"/>
        </w:rPr>
        <w:t xml:space="preserve"> </w:t>
      </w:r>
      <w:r w:rsidRPr="00E56701">
        <w:rPr>
          <w:rFonts w:cs="EB Garamond"/>
          <w:bCs/>
          <w:color w:val="3A3128"/>
          <w:kern w:val="16"/>
          <w:szCs w:val="21"/>
        </w:rPr>
        <w:t>21</w:t>
      </w:r>
    </w:p>
    <w:p w14:paraId="66C9F059" w14:textId="425CDA9A" w:rsidR="00BC16BC" w:rsidRPr="00E56701" w:rsidRDefault="00BC16BC" w:rsidP="003A005E">
      <w:pPr>
        <w:spacing w:after="0" w:line="240" w:lineRule="auto"/>
        <w:rPr>
          <w:rFonts w:cs="EB Garamond"/>
          <w:bCs/>
          <w:color w:val="3A3128"/>
          <w:kern w:val="16"/>
          <w:szCs w:val="21"/>
        </w:rPr>
      </w:pPr>
      <w:r w:rsidRPr="00E56701">
        <w:rPr>
          <w:rFonts w:cs="EB Garamond"/>
          <w:bCs/>
          <w:color w:val="3A3128"/>
          <w:kern w:val="16"/>
          <w:szCs w:val="21"/>
        </w:rPr>
        <w:t>1.10 Seletividade e distributividade na prestação de benefícios e serviços ......... 23</w:t>
      </w:r>
    </w:p>
    <w:p w14:paraId="6C16735A" w14:textId="6277D038" w:rsidR="00BC16BC" w:rsidRPr="00E56701" w:rsidRDefault="00BC16BC" w:rsidP="003A005E">
      <w:pPr>
        <w:spacing w:after="0" w:line="240" w:lineRule="auto"/>
        <w:rPr>
          <w:bCs/>
          <w:szCs w:val="21"/>
        </w:rPr>
      </w:pPr>
      <w:r w:rsidRPr="00E56701">
        <w:rPr>
          <w:rFonts w:cs="EB Garamond"/>
          <w:bCs/>
          <w:color w:val="3A3128"/>
          <w:kern w:val="16"/>
          <w:szCs w:val="21"/>
        </w:rPr>
        <w:t>1.11 Irredutibilidade do valor dos benefícios ...................................................</w:t>
      </w:r>
      <w:r>
        <w:rPr>
          <w:rFonts w:cs="EB Garamond"/>
          <w:bCs/>
          <w:color w:val="3A3128"/>
          <w:kern w:val="16"/>
          <w:szCs w:val="21"/>
        </w:rPr>
        <w:t>..</w:t>
      </w:r>
      <w:r w:rsidRPr="00E56701">
        <w:rPr>
          <w:bCs/>
          <w:szCs w:val="21"/>
        </w:rPr>
        <w:t xml:space="preserve"> 26</w:t>
      </w:r>
    </w:p>
    <w:p w14:paraId="3454288D" w14:textId="75AF5F89" w:rsidR="00BC16BC" w:rsidRPr="00E56701" w:rsidRDefault="00BC16BC" w:rsidP="003A005E">
      <w:pPr>
        <w:spacing w:after="0" w:line="240" w:lineRule="auto"/>
        <w:rPr>
          <w:rFonts w:cs="EB Garamond"/>
          <w:bCs/>
          <w:color w:val="3A3128"/>
          <w:kern w:val="16"/>
          <w:szCs w:val="21"/>
        </w:rPr>
      </w:pPr>
      <w:r w:rsidRPr="00E56701">
        <w:rPr>
          <w:rFonts w:cs="EB Garamond"/>
          <w:bCs/>
          <w:color w:val="3A3128"/>
          <w:kern w:val="16"/>
          <w:szCs w:val="21"/>
        </w:rPr>
        <w:t>1.12 Equidade na forma de participação no custeio .........................................</w:t>
      </w:r>
      <w:r>
        <w:rPr>
          <w:rFonts w:cs="EB Garamond"/>
          <w:bCs/>
          <w:color w:val="3A3128"/>
          <w:kern w:val="16"/>
          <w:szCs w:val="21"/>
        </w:rPr>
        <w:t>...</w:t>
      </w:r>
      <w:r w:rsidRPr="00E56701">
        <w:rPr>
          <w:rFonts w:cs="EB Garamond"/>
          <w:bCs/>
          <w:color w:val="3A3128"/>
          <w:kern w:val="16"/>
          <w:szCs w:val="21"/>
        </w:rPr>
        <w:t xml:space="preserve"> 28</w:t>
      </w:r>
    </w:p>
    <w:p w14:paraId="1BA46F95" w14:textId="3EBCF330" w:rsidR="00BC16BC" w:rsidRPr="00E56701" w:rsidRDefault="00BC16BC" w:rsidP="003A005E">
      <w:pPr>
        <w:spacing w:after="0" w:line="240" w:lineRule="auto"/>
        <w:rPr>
          <w:bCs/>
          <w:szCs w:val="21"/>
        </w:rPr>
      </w:pPr>
      <w:r w:rsidRPr="00E56701">
        <w:rPr>
          <w:rFonts w:cs="EB Garamond"/>
          <w:bCs/>
          <w:color w:val="3A3128"/>
          <w:kern w:val="16"/>
          <w:szCs w:val="21"/>
        </w:rPr>
        <w:t>1.13 Diversidade da base de financiamento .....................................................</w:t>
      </w:r>
      <w:r>
        <w:rPr>
          <w:rFonts w:cs="EB Garamond"/>
          <w:bCs/>
          <w:color w:val="3A3128"/>
          <w:kern w:val="16"/>
          <w:szCs w:val="21"/>
        </w:rPr>
        <w:t>...</w:t>
      </w:r>
      <w:r w:rsidRPr="00E56701">
        <w:rPr>
          <w:bCs/>
          <w:szCs w:val="21"/>
        </w:rPr>
        <w:t xml:space="preserve"> 29</w:t>
      </w:r>
    </w:p>
    <w:p w14:paraId="0E59701D" w14:textId="085C7216" w:rsidR="00BC16BC" w:rsidRPr="00E56701" w:rsidRDefault="00BC16BC" w:rsidP="003A005E">
      <w:pPr>
        <w:spacing w:after="0" w:line="240" w:lineRule="auto"/>
        <w:rPr>
          <w:rFonts w:cs="EB Garamond"/>
          <w:bCs/>
          <w:color w:val="3A3128"/>
          <w:kern w:val="16"/>
          <w:szCs w:val="21"/>
        </w:rPr>
      </w:pPr>
      <w:r w:rsidRPr="00E56701">
        <w:rPr>
          <w:rFonts w:cs="EB Garamond"/>
          <w:bCs/>
          <w:color w:val="3A3128"/>
          <w:kern w:val="16"/>
          <w:szCs w:val="21"/>
        </w:rPr>
        <w:t>1.14 Caráter democrático e descentralizado da administração ..........................</w:t>
      </w:r>
      <w:r>
        <w:rPr>
          <w:rFonts w:cs="EB Garamond"/>
          <w:bCs/>
          <w:color w:val="3A3128"/>
          <w:kern w:val="16"/>
          <w:szCs w:val="21"/>
        </w:rPr>
        <w:t>.</w:t>
      </w:r>
      <w:r w:rsidRPr="00E56701">
        <w:rPr>
          <w:rFonts w:cs="EB Garamond"/>
          <w:bCs/>
          <w:color w:val="3A3128"/>
          <w:kern w:val="16"/>
          <w:szCs w:val="21"/>
        </w:rPr>
        <w:t xml:space="preserve"> 31</w:t>
      </w:r>
    </w:p>
    <w:p w14:paraId="182EB8DE" w14:textId="7A06594F" w:rsidR="00BC16BC" w:rsidRPr="00E56701" w:rsidRDefault="00BC16BC" w:rsidP="003A005E">
      <w:pPr>
        <w:spacing w:after="0" w:line="240" w:lineRule="auto"/>
        <w:rPr>
          <w:rFonts w:cs="EB Garamond"/>
          <w:bCs/>
          <w:color w:val="3A3128"/>
          <w:kern w:val="16"/>
          <w:szCs w:val="21"/>
        </w:rPr>
      </w:pPr>
      <w:r w:rsidRPr="00E56701">
        <w:rPr>
          <w:rFonts w:cs="EB Garamond"/>
          <w:bCs/>
          <w:color w:val="3A3128"/>
          <w:kern w:val="16"/>
          <w:szCs w:val="21"/>
        </w:rPr>
        <w:t>1.15 Art. 201 da CF/88: a previdência social como regime geral contributivo .</w:t>
      </w:r>
      <w:r>
        <w:rPr>
          <w:rFonts w:cs="EB Garamond"/>
          <w:bCs/>
          <w:color w:val="3A3128"/>
          <w:kern w:val="16"/>
          <w:szCs w:val="21"/>
        </w:rPr>
        <w:t>.............................................................................................................................</w:t>
      </w:r>
      <w:r w:rsidRPr="00E56701">
        <w:rPr>
          <w:rFonts w:cs="EB Garamond"/>
          <w:bCs/>
          <w:color w:val="3A3128"/>
          <w:kern w:val="16"/>
          <w:szCs w:val="21"/>
        </w:rPr>
        <w:t xml:space="preserve"> </w:t>
      </w:r>
      <w:r>
        <w:rPr>
          <w:rFonts w:cs="EB Garamond"/>
          <w:bCs/>
          <w:color w:val="3A3128"/>
          <w:kern w:val="16"/>
          <w:szCs w:val="21"/>
        </w:rPr>
        <w:t xml:space="preserve"> </w:t>
      </w:r>
      <w:r w:rsidRPr="00E56701">
        <w:rPr>
          <w:rFonts w:cs="EB Garamond"/>
          <w:bCs/>
          <w:color w:val="3A3128"/>
          <w:kern w:val="16"/>
          <w:szCs w:val="21"/>
        </w:rPr>
        <w:t>33</w:t>
      </w:r>
    </w:p>
    <w:p w14:paraId="5376D631" w14:textId="3104E728" w:rsidR="00BC16BC" w:rsidRPr="00E56701" w:rsidRDefault="00BC16BC" w:rsidP="003A005E">
      <w:pPr>
        <w:spacing w:after="0" w:line="240" w:lineRule="auto"/>
        <w:rPr>
          <w:rFonts w:cs="EB Garamond"/>
          <w:bCs/>
          <w:color w:val="3A3128"/>
          <w:kern w:val="16"/>
          <w:szCs w:val="21"/>
        </w:rPr>
      </w:pPr>
      <w:r w:rsidRPr="00E56701">
        <w:rPr>
          <w:rFonts w:cs="EB Garamond"/>
          <w:bCs/>
          <w:color w:val="3A3128"/>
          <w:kern w:val="16"/>
          <w:szCs w:val="21"/>
        </w:rPr>
        <w:t>1.16 Filiação obrigatória e caráter contributivo .................................................</w:t>
      </w:r>
      <w:r>
        <w:rPr>
          <w:rFonts w:cs="EB Garamond"/>
          <w:bCs/>
          <w:color w:val="3A3128"/>
          <w:kern w:val="16"/>
          <w:szCs w:val="21"/>
        </w:rPr>
        <w:t>.</w:t>
      </w:r>
      <w:r w:rsidRPr="00E56701">
        <w:rPr>
          <w:rFonts w:cs="EB Garamond"/>
          <w:bCs/>
          <w:color w:val="3A3128"/>
          <w:kern w:val="16"/>
          <w:szCs w:val="21"/>
        </w:rPr>
        <w:t xml:space="preserve"> 36</w:t>
      </w:r>
    </w:p>
    <w:p w14:paraId="110402D3" w14:textId="1D202DBA" w:rsidR="00BC16BC" w:rsidRPr="00E56701" w:rsidRDefault="00BC16BC" w:rsidP="003A005E">
      <w:pPr>
        <w:spacing w:after="0" w:line="240" w:lineRule="auto"/>
        <w:rPr>
          <w:bCs/>
          <w:szCs w:val="21"/>
        </w:rPr>
      </w:pPr>
      <w:r w:rsidRPr="00E56701">
        <w:rPr>
          <w:rFonts w:cs="EB Garamond"/>
          <w:bCs/>
          <w:color w:val="3A3128"/>
          <w:kern w:val="16"/>
          <w:szCs w:val="21"/>
        </w:rPr>
        <w:t>1.17 Equilíbrio financeiro e atuarial ...............................................................</w:t>
      </w:r>
      <w:r>
        <w:rPr>
          <w:rFonts w:cs="EB Garamond"/>
          <w:bCs/>
          <w:color w:val="3A3128"/>
          <w:kern w:val="16"/>
          <w:szCs w:val="21"/>
        </w:rPr>
        <w:t>....</w:t>
      </w:r>
      <w:r w:rsidRPr="00E56701">
        <w:rPr>
          <w:bCs/>
          <w:szCs w:val="21"/>
        </w:rPr>
        <w:t xml:space="preserve"> 37</w:t>
      </w:r>
    </w:p>
    <w:p w14:paraId="61ED1724" w14:textId="492C2213" w:rsidR="00BC16BC" w:rsidRPr="00E56701" w:rsidRDefault="00BC16BC" w:rsidP="003A005E">
      <w:pPr>
        <w:spacing w:after="0" w:line="240" w:lineRule="auto"/>
        <w:rPr>
          <w:bCs/>
          <w:szCs w:val="21"/>
        </w:rPr>
      </w:pPr>
      <w:r w:rsidRPr="00E56701">
        <w:rPr>
          <w:rFonts w:cs="EB Garamond"/>
          <w:bCs/>
          <w:color w:val="3A3128"/>
          <w:kern w:val="16"/>
          <w:szCs w:val="21"/>
        </w:rPr>
        <w:t>1.18 Solidariedade, pacto intergeracional e vedação do retrocesso social ...........</w:t>
      </w:r>
      <w:r w:rsidRPr="00E56701">
        <w:rPr>
          <w:bCs/>
          <w:szCs w:val="21"/>
        </w:rPr>
        <w:t xml:space="preserve"> 39</w:t>
      </w:r>
    </w:p>
    <w:p w14:paraId="5F9DACA6" w14:textId="5D841656" w:rsidR="00BC16BC" w:rsidRPr="00E56701" w:rsidRDefault="00BC16BC" w:rsidP="003A005E">
      <w:pPr>
        <w:spacing w:after="0" w:line="240" w:lineRule="auto"/>
        <w:rPr>
          <w:rFonts w:cs="EB Garamond"/>
          <w:bCs/>
          <w:color w:val="3A3128"/>
          <w:kern w:val="16"/>
          <w:szCs w:val="21"/>
        </w:rPr>
      </w:pPr>
      <w:r w:rsidRPr="00E56701">
        <w:rPr>
          <w:rFonts w:cs="EB Garamond"/>
          <w:bCs/>
          <w:color w:val="3A3128"/>
          <w:kern w:val="16"/>
          <w:szCs w:val="21"/>
        </w:rPr>
        <w:t>1.19 EC 20/1998: o paradigma do tempo de contribuição ...............................</w:t>
      </w:r>
      <w:r>
        <w:rPr>
          <w:rFonts w:cs="EB Garamond"/>
          <w:bCs/>
          <w:color w:val="3A3128"/>
          <w:kern w:val="16"/>
          <w:szCs w:val="21"/>
        </w:rPr>
        <w:t>.</w:t>
      </w:r>
      <w:r w:rsidRPr="00E56701">
        <w:rPr>
          <w:rFonts w:cs="EB Garamond"/>
          <w:bCs/>
          <w:color w:val="3A3128"/>
          <w:kern w:val="16"/>
          <w:szCs w:val="21"/>
        </w:rPr>
        <w:t xml:space="preserve"> 42</w:t>
      </w:r>
    </w:p>
    <w:p w14:paraId="2850C795" w14:textId="77777777" w:rsidR="00BE4475" w:rsidRDefault="00BC16BC" w:rsidP="003A005E">
      <w:pPr>
        <w:spacing w:after="0" w:line="240" w:lineRule="auto"/>
        <w:rPr>
          <w:rFonts w:cs="EB Garamond"/>
          <w:bCs/>
          <w:color w:val="3A3128"/>
          <w:kern w:val="16"/>
          <w:szCs w:val="21"/>
        </w:rPr>
      </w:pPr>
      <w:r w:rsidRPr="00E56701">
        <w:rPr>
          <w:rFonts w:cs="EB Garamond"/>
          <w:bCs/>
          <w:color w:val="3A3128"/>
          <w:kern w:val="16"/>
          <w:szCs w:val="21"/>
        </w:rPr>
        <w:t>1.20 EC 41/2003 e EC 47/2005: reformas dos regimes próprios com reflexos no RGPS .................................................................................................................</w:t>
      </w:r>
      <w:r>
        <w:rPr>
          <w:rFonts w:cs="EB Garamond"/>
          <w:bCs/>
          <w:color w:val="3A3128"/>
          <w:kern w:val="16"/>
          <w:szCs w:val="21"/>
        </w:rPr>
        <w:t>.</w:t>
      </w:r>
      <w:r w:rsidRPr="00E56701">
        <w:rPr>
          <w:rFonts w:cs="EB Garamond"/>
          <w:bCs/>
          <w:color w:val="3A3128"/>
          <w:kern w:val="16"/>
          <w:szCs w:val="21"/>
        </w:rPr>
        <w:t xml:space="preserve">  44</w:t>
      </w:r>
    </w:p>
    <w:p w14:paraId="614D4E0D" w14:textId="7ED4C28A" w:rsidR="00BC16BC" w:rsidRPr="00BE4475" w:rsidRDefault="00BC16BC" w:rsidP="003A005E">
      <w:pPr>
        <w:spacing w:after="0" w:line="240" w:lineRule="auto"/>
        <w:ind w:right="-313" w:firstLine="284"/>
        <w:rPr>
          <w:rFonts w:cs="EB Garamond"/>
          <w:bCs/>
          <w:color w:val="3A3128"/>
          <w:kern w:val="16"/>
          <w:szCs w:val="21"/>
        </w:rPr>
      </w:pPr>
      <w:r w:rsidRPr="00E56701">
        <w:rPr>
          <w:rFonts w:cs="EB Garamond"/>
          <w:bCs/>
          <w:color w:val="3A3128"/>
          <w:kern w:val="16"/>
          <w:szCs w:val="21"/>
        </w:rPr>
        <w:lastRenderedPageBreak/>
        <w:t>1.21 EC 103/2019: a reforma estrutural — nova arquitetura do RGPS ....</w:t>
      </w:r>
      <w:r w:rsidR="00BE4475">
        <w:rPr>
          <w:rFonts w:cs="EB Garamond"/>
          <w:bCs/>
          <w:color w:val="3A3128"/>
          <w:kern w:val="16"/>
          <w:szCs w:val="21"/>
        </w:rPr>
        <w:t>.......</w:t>
      </w:r>
      <w:r w:rsidRPr="00E56701">
        <w:rPr>
          <w:rFonts w:cs="EB Garamond"/>
          <w:bCs/>
          <w:color w:val="3A3128"/>
          <w:kern w:val="16"/>
          <w:szCs w:val="21"/>
        </w:rPr>
        <w:t>.</w:t>
      </w:r>
      <w:r w:rsidRPr="00E56701">
        <w:rPr>
          <w:bCs/>
          <w:szCs w:val="21"/>
        </w:rPr>
        <w:t xml:space="preserve"> 47</w:t>
      </w:r>
    </w:p>
    <w:p w14:paraId="6DB827E1" w14:textId="39E42250" w:rsidR="00BC16BC" w:rsidRPr="00E56701" w:rsidRDefault="00BC16BC" w:rsidP="003A005E">
      <w:pPr>
        <w:spacing w:after="0" w:line="240" w:lineRule="auto"/>
        <w:ind w:left="284" w:right="-313"/>
        <w:rPr>
          <w:rFonts w:cs="EB Garamond"/>
          <w:bCs/>
          <w:color w:val="3A3128"/>
          <w:kern w:val="16"/>
          <w:szCs w:val="21"/>
        </w:rPr>
      </w:pPr>
      <w:r w:rsidRPr="00E56701">
        <w:rPr>
          <w:rFonts w:cs="EB Garamond"/>
          <w:bCs/>
          <w:color w:val="3A3128"/>
          <w:kern w:val="16"/>
          <w:szCs w:val="21"/>
        </w:rPr>
        <w:t>1.22 Regras de transição da EC 103/2019 no RGPS ....................................</w:t>
      </w:r>
      <w:r w:rsidR="00BA78CD">
        <w:rPr>
          <w:rFonts w:cs="EB Garamond"/>
          <w:bCs/>
          <w:color w:val="3A3128"/>
          <w:kern w:val="16"/>
          <w:szCs w:val="21"/>
        </w:rPr>
        <w:t>......</w:t>
      </w:r>
      <w:r w:rsidRPr="00E56701">
        <w:rPr>
          <w:rFonts w:cs="EB Garamond"/>
          <w:bCs/>
          <w:color w:val="3A3128"/>
          <w:kern w:val="16"/>
          <w:szCs w:val="21"/>
        </w:rPr>
        <w:t xml:space="preserve"> 49</w:t>
      </w:r>
    </w:p>
    <w:p w14:paraId="4CDED6CD" w14:textId="3FE891A4" w:rsidR="00BC16BC" w:rsidRPr="00E56701" w:rsidRDefault="00BC16BC" w:rsidP="003A005E">
      <w:pPr>
        <w:spacing w:after="0" w:line="240" w:lineRule="auto"/>
        <w:ind w:left="284" w:right="-313"/>
        <w:rPr>
          <w:bCs/>
          <w:szCs w:val="21"/>
        </w:rPr>
      </w:pPr>
      <w:r w:rsidRPr="00E56701">
        <w:rPr>
          <w:rFonts w:cs="EB Garamond"/>
          <w:bCs/>
          <w:color w:val="3A3128"/>
          <w:kern w:val="16"/>
          <w:szCs w:val="21"/>
        </w:rPr>
        <w:t xml:space="preserve">1.23 EC 132/2023 (reforma tributária) e EC 136/2025: desdobramentos recentes </w:t>
      </w:r>
      <w:r w:rsidR="00BA78CD">
        <w:rPr>
          <w:rFonts w:cs="EB Garamond"/>
          <w:bCs/>
          <w:color w:val="3A3128"/>
          <w:kern w:val="16"/>
          <w:szCs w:val="21"/>
        </w:rPr>
        <w:t>...............................................................................................................................</w:t>
      </w:r>
      <w:r w:rsidRPr="00E56701">
        <w:rPr>
          <w:bCs/>
          <w:szCs w:val="21"/>
        </w:rPr>
        <w:t xml:space="preserve"> 51</w:t>
      </w:r>
    </w:p>
    <w:p w14:paraId="01B3517C" w14:textId="77777777" w:rsidR="00BA78CD" w:rsidRDefault="00BC16BC" w:rsidP="003A005E">
      <w:pPr>
        <w:spacing w:after="0" w:line="240" w:lineRule="auto"/>
        <w:ind w:left="284" w:right="-313"/>
        <w:rPr>
          <w:szCs w:val="21"/>
        </w:rPr>
      </w:pPr>
      <w:r w:rsidRPr="00E56701">
        <w:rPr>
          <w:rFonts w:cs="EB Garamond"/>
          <w:bCs/>
          <w:color w:val="3A3128"/>
          <w:kern w:val="16"/>
          <w:szCs w:val="21"/>
        </w:rPr>
        <w:t>1.24 Consolidação das posições adotadas</w:t>
      </w:r>
      <w:r w:rsidRPr="00E56701">
        <w:rPr>
          <w:bCs/>
          <w:szCs w:val="21"/>
        </w:rPr>
        <w:t xml:space="preserve"> .....................................................</w:t>
      </w:r>
      <w:r w:rsidR="00BA78CD">
        <w:rPr>
          <w:bCs/>
          <w:szCs w:val="21"/>
        </w:rPr>
        <w:t>......</w:t>
      </w:r>
      <w:r w:rsidRPr="00E56701">
        <w:rPr>
          <w:szCs w:val="21"/>
        </w:rPr>
        <w:t xml:space="preserve"> 53</w:t>
      </w:r>
    </w:p>
    <w:p w14:paraId="4DD6DB44" w14:textId="77777777" w:rsidR="00BA78CD" w:rsidRDefault="00BA78CD" w:rsidP="003A005E">
      <w:pPr>
        <w:spacing w:after="0" w:line="240" w:lineRule="auto"/>
        <w:ind w:left="284" w:right="-313"/>
        <w:rPr>
          <w:szCs w:val="21"/>
        </w:rPr>
      </w:pPr>
      <w:r w:rsidRPr="00E56701">
        <w:rPr>
          <w:szCs w:val="21"/>
        </w:rPr>
        <w:t>Capítulo 2 — Segurados e Dependentes ..........................................</w:t>
      </w:r>
      <w:r>
        <w:rPr>
          <w:szCs w:val="21"/>
        </w:rPr>
        <w:t>.........</w:t>
      </w:r>
      <w:r w:rsidRPr="00E56701">
        <w:rPr>
          <w:szCs w:val="21"/>
        </w:rPr>
        <w:t>.......... 57</w:t>
      </w:r>
      <w:r w:rsidRPr="00E56701">
        <w:rPr>
          <w:szCs w:val="21"/>
        </w:rPr>
        <w:br/>
      </w:r>
      <w:r w:rsidRPr="00E56701">
        <w:rPr>
          <w:rFonts w:cs="EB Garamond"/>
          <w:bCs/>
          <w:color w:val="3A3128"/>
          <w:kern w:val="16"/>
          <w:szCs w:val="21"/>
        </w:rPr>
        <w:t>2.1 Segurados obrigatórios .................................................................</w:t>
      </w:r>
      <w:r>
        <w:rPr>
          <w:rFonts w:cs="EB Garamond"/>
          <w:bCs/>
          <w:color w:val="3A3128"/>
          <w:kern w:val="16"/>
          <w:szCs w:val="21"/>
        </w:rPr>
        <w:t>.</w:t>
      </w:r>
      <w:r w:rsidRPr="00E56701">
        <w:rPr>
          <w:rFonts w:cs="EB Garamond"/>
          <w:bCs/>
          <w:color w:val="3A3128"/>
          <w:kern w:val="16"/>
          <w:szCs w:val="21"/>
        </w:rPr>
        <w:t>................. 58</w:t>
      </w:r>
    </w:p>
    <w:p w14:paraId="2AD7C209" w14:textId="77777777" w:rsidR="00BA78CD" w:rsidRDefault="00BA78CD" w:rsidP="003A005E">
      <w:pPr>
        <w:spacing w:after="0" w:line="240" w:lineRule="auto"/>
        <w:ind w:left="284" w:right="-313"/>
        <w:rPr>
          <w:bCs/>
          <w:szCs w:val="21"/>
        </w:rPr>
      </w:pPr>
      <w:r w:rsidRPr="00E56701">
        <w:rPr>
          <w:rFonts w:cs="EB Garamond"/>
          <w:bCs/>
          <w:color w:val="3A3128"/>
          <w:kern w:val="16"/>
          <w:szCs w:val="21"/>
        </w:rPr>
        <w:t>2.1.1 O empregado .............................................................................................</w:t>
      </w:r>
      <w:r>
        <w:rPr>
          <w:rFonts w:cs="EB Garamond"/>
          <w:bCs/>
          <w:color w:val="3A3128"/>
          <w:kern w:val="16"/>
          <w:szCs w:val="21"/>
        </w:rPr>
        <w:t>..</w:t>
      </w:r>
      <w:r w:rsidRPr="00E56701">
        <w:rPr>
          <w:bCs/>
          <w:szCs w:val="21"/>
        </w:rPr>
        <w:t xml:space="preserve"> 58</w:t>
      </w:r>
    </w:p>
    <w:p w14:paraId="647ECDA2" w14:textId="0B27840D" w:rsidR="00BA78CD" w:rsidRDefault="00BA78CD" w:rsidP="003A005E">
      <w:pPr>
        <w:spacing w:after="0" w:line="240" w:lineRule="auto"/>
        <w:ind w:left="284" w:right="-313"/>
        <w:rPr>
          <w:rFonts w:cs="EB Garamond"/>
          <w:bCs/>
          <w:color w:val="3A3128"/>
          <w:kern w:val="16"/>
          <w:szCs w:val="21"/>
        </w:rPr>
      </w:pPr>
      <w:r w:rsidRPr="00E56701">
        <w:rPr>
          <w:rFonts w:cs="EB Garamond"/>
          <w:bCs/>
          <w:color w:val="3A3128"/>
          <w:kern w:val="16"/>
          <w:szCs w:val="21"/>
        </w:rPr>
        <w:t>2.1.2 O empregado doméstico ............................................................................. 61</w:t>
      </w:r>
    </w:p>
    <w:p w14:paraId="3F0B8B94" w14:textId="09A01ABD" w:rsidR="00BA78CD" w:rsidRDefault="00BA78CD" w:rsidP="003A005E">
      <w:pPr>
        <w:spacing w:after="0" w:line="240" w:lineRule="auto"/>
        <w:ind w:left="284" w:right="-313"/>
        <w:rPr>
          <w:rFonts w:cs="EB Garamond"/>
          <w:bCs/>
          <w:color w:val="3A3128"/>
          <w:kern w:val="16"/>
          <w:szCs w:val="21"/>
        </w:rPr>
      </w:pPr>
      <w:r w:rsidRPr="00E56701">
        <w:rPr>
          <w:rFonts w:cs="EB Garamond"/>
          <w:bCs/>
          <w:color w:val="3A3128"/>
          <w:kern w:val="16"/>
          <w:szCs w:val="21"/>
        </w:rPr>
        <w:t>2.1.3 O contribuinte individual ........................................................................... 63</w:t>
      </w:r>
    </w:p>
    <w:p w14:paraId="2824DD06" w14:textId="497328DB" w:rsidR="00BA78CD" w:rsidRDefault="00BA78CD" w:rsidP="003A005E">
      <w:pPr>
        <w:spacing w:after="0" w:line="240" w:lineRule="auto"/>
        <w:ind w:left="284" w:right="-313"/>
        <w:rPr>
          <w:bCs/>
          <w:szCs w:val="21"/>
        </w:rPr>
      </w:pPr>
      <w:r w:rsidRPr="00E56701">
        <w:rPr>
          <w:rFonts w:cs="EB Garamond"/>
          <w:bCs/>
          <w:color w:val="3A3128"/>
          <w:kern w:val="16"/>
          <w:szCs w:val="21"/>
        </w:rPr>
        <w:t>2.1.4 O trabalhador avulso ...................................................................................</w:t>
      </w:r>
      <w:r w:rsidRPr="00E56701">
        <w:rPr>
          <w:bCs/>
          <w:szCs w:val="21"/>
        </w:rPr>
        <w:t xml:space="preserve"> 66</w:t>
      </w:r>
    </w:p>
    <w:p w14:paraId="59BD068A" w14:textId="70A21F26" w:rsidR="00BA78CD" w:rsidRDefault="00BA78CD" w:rsidP="003A005E">
      <w:pPr>
        <w:spacing w:after="0" w:line="240" w:lineRule="auto"/>
        <w:ind w:left="284" w:right="-313"/>
        <w:rPr>
          <w:bCs/>
          <w:szCs w:val="21"/>
        </w:rPr>
      </w:pPr>
      <w:r w:rsidRPr="00E56701">
        <w:rPr>
          <w:rFonts w:cs="EB Garamond"/>
          <w:bCs/>
          <w:color w:val="3A3128"/>
          <w:kern w:val="16"/>
          <w:szCs w:val="21"/>
        </w:rPr>
        <w:t>2.1.5 O segurado especial .....................................................................................</w:t>
      </w:r>
      <w:r w:rsidRPr="00E56701">
        <w:rPr>
          <w:bCs/>
          <w:szCs w:val="21"/>
        </w:rPr>
        <w:t xml:space="preserve"> 68</w:t>
      </w:r>
    </w:p>
    <w:p w14:paraId="15748CA3" w14:textId="40507FC7" w:rsidR="00BA78CD" w:rsidRDefault="00BA78CD" w:rsidP="003A005E">
      <w:pPr>
        <w:spacing w:after="0" w:line="240" w:lineRule="auto"/>
        <w:ind w:left="284" w:right="-313"/>
        <w:rPr>
          <w:bCs/>
          <w:szCs w:val="21"/>
        </w:rPr>
      </w:pPr>
      <w:r w:rsidRPr="00E56701">
        <w:rPr>
          <w:rFonts w:cs="EB Garamond"/>
          <w:bCs/>
          <w:color w:val="3A3128"/>
          <w:kern w:val="16"/>
          <w:szCs w:val="21"/>
        </w:rPr>
        <w:t>2.2 Segurado facultativo .......................................................................................</w:t>
      </w:r>
      <w:r w:rsidRPr="00E56701">
        <w:rPr>
          <w:bCs/>
          <w:szCs w:val="21"/>
        </w:rPr>
        <w:t xml:space="preserve"> 70</w:t>
      </w:r>
    </w:p>
    <w:p w14:paraId="4CF3147E" w14:textId="7C4F8E79" w:rsidR="00BA78CD" w:rsidRDefault="00BA78CD" w:rsidP="003A005E">
      <w:pPr>
        <w:spacing w:after="0" w:line="240" w:lineRule="auto"/>
        <w:ind w:left="284" w:right="-313"/>
        <w:rPr>
          <w:bCs/>
          <w:szCs w:val="21"/>
        </w:rPr>
      </w:pPr>
      <w:r w:rsidRPr="00E56701">
        <w:rPr>
          <w:rFonts w:cs="EB Garamond"/>
          <w:bCs/>
          <w:color w:val="3A3128"/>
          <w:kern w:val="16"/>
          <w:szCs w:val="21"/>
        </w:rPr>
        <w:t>2.3 Filiação e inscrição .........................................................................................</w:t>
      </w:r>
      <w:r>
        <w:rPr>
          <w:rFonts w:cs="EB Garamond"/>
          <w:bCs/>
          <w:color w:val="3A3128"/>
          <w:kern w:val="16"/>
          <w:szCs w:val="21"/>
        </w:rPr>
        <w:t>.</w:t>
      </w:r>
      <w:r w:rsidRPr="00E56701">
        <w:rPr>
          <w:bCs/>
          <w:szCs w:val="21"/>
        </w:rPr>
        <w:t xml:space="preserve"> 72</w:t>
      </w:r>
    </w:p>
    <w:p w14:paraId="07A0F1D5" w14:textId="1D75C6A6" w:rsidR="00BA78CD" w:rsidRDefault="00BA78CD" w:rsidP="003A005E">
      <w:pPr>
        <w:spacing w:after="0" w:line="240" w:lineRule="auto"/>
        <w:ind w:left="284" w:right="-313"/>
        <w:rPr>
          <w:rFonts w:cs="EB Garamond"/>
          <w:bCs/>
          <w:color w:val="3A3128"/>
          <w:kern w:val="16"/>
          <w:szCs w:val="21"/>
        </w:rPr>
      </w:pPr>
      <w:r w:rsidRPr="00E56701">
        <w:rPr>
          <w:rFonts w:cs="EB Garamond"/>
          <w:bCs/>
          <w:color w:val="3A3128"/>
          <w:kern w:val="16"/>
          <w:szCs w:val="21"/>
        </w:rPr>
        <w:t>2.4 Dependentes .................................................................................................. 74</w:t>
      </w:r>
    </w:p>
    <w:p w14:paraId="6D2E1C55" w14:textId="189631A7" w:rsidR="00BA78CD" w:rsidRDefault="00BA78CD" w:rsidP="003A005E">
      <w:pPr>
        <w:spacing w:after="0" w:line="240" w:lineRule="auto"/>
        <w:ind w:left="284" w:right="-313"/>
        <w:rPr>
          <w:bCs/>
          <w:szCs w:val="21"/>
        </w:rPr>
      </w:pPr>
      <w:r w:rsidRPr="00E56701">
        <w:rPr>
          <w:rFonts w:cs="EB Garamond"/>
          <w:bCs/>
          <w:color w:val="3A3128"/>
          <w:kern w:val="16"/>
          <w:szCs w:val="21"/>
        </w:rPr>
        <w:t>2.4.1 Classe I — cônjuge, companheiro e filhos ..................................................</w:t>
      </w:r>
      <w:r w:rsidRPr="00E56701">
        <w:rPr>
          <w:bCs/>
          <w:szCs w:val="21"/>
        </w:rPr>
        <w:t xml:space="preserve"> 74</w:t>
      </w:r>
    </w:p>
    <w:p w14:paraId="2B656816" w14:textId="16DDEF6D" w:rsidR="00BA78CD" w:rsidRDefault="00BA78CD" w:rsidP="003A005E">
      <w:pPr>
        <w:spacing w:after="0" w:line="240" w:lineRule="auto"/>
        <w:ind w:left="284" w:right="-313"/>
        <w:rPr>
          <w:bCs/>
          <w:szCs w:val="21"/>
        </w:rPr>
      </w:pPr>
      <w:r w:rsidRPr="00E56701">
        <w:rPr>
          <w:rFonts w:cs="EB Garamond"/>
          <w:bCs/>
          <w:color w:val="3A3128"/>
          <w:kern w:val="16"/>
          <w:szCs w:val="21"/>
        </w:rPr>
        <w:t>2.4.2 Classe II — pais ...........................................................................................</w:t>
      </w:r>
      <w:r w:rsidRPr="00E56701">
        <w:rPr>
          <w:bCs/>
          <w:szCs w:val="21"/>
        </w:rPr>
        <w:t xml:space="preserve"> 78</w:t>
      </w:r>
    </w:p>
    <w:p w14:paraId="47A007DC" w14:textId="440E0222" w:rsidR="00BA78CD" w:rsidRDefault="00BA78CD" w:rsidP="003A005E">
      <w:pPr>
        <w:spacing w:after="0" w:line="240" w:lineRule="auto"/>
        <w:ind w:left="284" w:right="-313"/>
        <w:rPr>
          <w:bCs/>
          <w:szCs w:val="21"/>
        </w:rPr>
      </w:pPr>
      <w:r w:rsidRPr="00E56701">
        <w:rPr>
          <w:rFonts w:cs="EB Garamond"/>
          <w:bCs/>
          <w:color w:val="3A3128"/>
          <w:kern w:val="16"/>
          <w:szCs w:val="21"/>
        </w:rPr>
        <w:t>2.4.3 Classe III — irmãos .....................................................................................</w:t>
      </w:r>
      <w:r w:rsidRPr="00E56701">
        <w:rPr>
          <w:bCs/>
          <w:szCs w:val="21"/>
        </w:rPr>
        <w:t xml:space="preserve"> 79</w:t>
      </w:r>
    </w:p>
    <w:p w14:paraId="53FE498F" w14:textId="16784AEF" w:rsidR="00BA78CD" w:rsidRDefault="00BA78CD" w:rsidP="003A005E">
      <w:pPr>
        <w:spacing w:after="0" w:line="240" w:lineRule="auto"/>
        <w:ind w:left="284" w:right="-313"/>
        <w:rPr>
          <w:bCs/>
          <w:szCs w:val="21"/>
        </w:rPr>
      </w:pPr>
      <w:r w:rsidRPr="00E56701">
        <w:rPr>
          <w:rFonts w:cs="EB Garamond"/>
          <w:bCs/>
          <w:color w:val="3A3128"/>
          <w:kern w:val="16"/>
          <w:szCs w:val="21"/>
        </w:rPr>
        <w:t>2.4.4 Perda da qualidade de dependente ..............................................................</w:t>
      </w:r>
      <w:r w:rsidRPr="00E56701">
        <w:rPr>
          <w:bCs/>
          <w:szCs w:val="21"/>
        </w:rPr>
        <w:t xml:space="preserve"> 80</w:t>
      </w:r>
    </w:p>
    <w:p w14:paraId="7E78C59C" w14:textId="6DA04C20" w:rsidR="00BA78CD" w:rsidRDefault="00BA78CD" w:rsidP="003A005E">
      <w:pPr>
        <w:spacing w:after="0" w:line="240" w:lineRule="auto"/>
        <w:ind w:left="284" w:right="-313"/>
        <w:rPr>
          <w:rFonts w:cs="EB Garamond"/>
          <w:bCs/>
          <w:color w:val="3A3128"/>
          <w:kern w:val="16"/>
          <w:szCs w:val="21"/>
        </w:rPr>
      </w:pPr>
      <w:r w:rsidRPr="00E56701">
        <w:rPr>
          <w:rFonts w:cs="EB Garamond"/>
          <w:bCs/>
          <w:color w:val="3A3128"/>
          <w:kern w:val="16"/>
          <w:szCs w:val="21"/>
        </w:rPr>
        <w:t>2.5 Manutenção e perda da qualidade de segurado ............................................. 81</w:t>
      </w:r>
    </w:p>
    <w:p w14:paraId="4F1F4D9B" w14:textId="500C8551" w:rsidR="00BA78CD" w:rsidRDefault="00BA78CD" w:rsidP="003A005E">
      <w:pPr>
        <w:spacing w:after="0" w:line="240" w:lineRule="auto"/>
        <w:ind w:left="284" w:right="-313"/>
        <w:rPr>
          <w:bCs/>
          <w:szCs w:val="21"/>
        </w:rPr>
      </w:pPr>
      <w:r w:rsidRPr="00E56701">
        <w:rPr>
          <w:rFonts w:cs="EB Garamond"/>
          <w:bCs/>
          <w:color w:val="3A3128"/>
          <w:kern w:val="16"/>
          <w:szCs w:val="21"/>
        </w:rPr>
        <w:t>2.6 Exclusão do servidor público e regras especiais ..............................................</w:t>
      </w:r>
      <w:r w:rsidRPr="00E56701">
        <w:rPr>
          <w:bCs/>
          <w:szCs w:val="21"/>
        </w:rPr>
        <w:t xml:space="preserve"> 83</w:t>
      </w:r>
    </w:p>
    <w:p w14:paraId="53600B0A" w14:textId="77777777" w:rsidR="00BE4475" w:rsidRDefault="00BA78CD" w:rsidP="003A005E">
      <w:pPr>
        <w:spacing w:after="0" w:line="240" w:lineRule="auto"/>
        <w:ind w:left="284" w:right="-313"/>
        <w:rPr>
          <w:rFonts w:cs="EB Garamond"/>
          <w:bCs/>
          <w:color w:val="3A3128"/>
          <w:kern w:val="16"/>
          <w:szCs w:val="21"/>
        </w:rPr>
      </w:pPr>
      <w:r w:rsidRPr="00E56701">
        <w:rPr>
          <w:rFonts w:cs="EB Garamond"/>
          <w:bCs/>
          <w:color w:val="3A3128"/>
          <w:kern w:val="16"/>
          <w:szCs w:val="21"/>
        </w:rPr>
        <w:t>2.7 Conclusão ...................................................................................................... 85</w:t>
      </w:r>
    </w:p>
    <w:p w14:paraId="2CB19238" w14:textId="0A74FAE6" w:rsidR="00BE4475" w:rsidRDefault="00BE4475" w:rsidP="003A005E">
      <w:pPr>
        <w:spacing w:after="0" w:line="240" w:lineRule="auto"/>
        <w:ind w:left="284" w:right="-313"/>
        <w:rPr>
          <w:szCs w:val="21"/>
        </w:rPr>
      </w:pPr>
      <w:r w:rsidRPr="00E56701">
        <w:rPr>
          <w:szCs w:val="21"/>
        </w:rPr>
        <w:t>Capítulo 3 — Período de Carência e Manutenção da Qualidade de Segurado .........</w:t>
      </w:r>
      <w:r>
        <w:rPr>
          <w:szCs w:val="21"/>
        </w:rPr>
        <w:t>......................................................................................................................</w:t>
      </w:r>
      <w:r w:rsidRPr="00E56701">
        <w:rPr>
          <w:szCs w:val="21"/>
        </w:rPr>
        <w:t xml:space="preserve"> 87</w:t>
      </w:r>
    </w:p>
    <w:p w14:paraId="3DDF10A5" w14:textId="305E74BE" w:rsidR="00BE4475" w:rsidRDefault="00BE4475" w:rsidP="003A005E">
      <w:pPr>
        <w:spacing w:after="0" w:line="240" w:lineRule="auto"/>
        <w:ind w:left="284" w:right="-313"/>
        <w:rPr>
          <w:rFonts w:cs="EB Garamond"/>
          <w:color w:val="3A3128"/>
          <w:kern w:val="16"/>
          <w:szCs w:val="21"/>
        </w:rPr>
      </w:pPr>
      <w:r w:rsidRPr="00E56701">
        <w:rPr>
          <w:rFonts w:cs="EB Garamond"/>
          <w:color w:val="3A3128"/>
          <w:kern w:val="16"/>
          <w:szCs w:val="21"/>
        </w:rPr>
        <w:t>3.1 Conceito e natureza jurídica da carência ........................................................ 88</w:t>
      </w:r>
    </w:p>
    <w:p w14:paraId="3C85D920" w14:textId="4DD7EC89" w:rsidR="00BE4475" w:rsidRDefault="00BE4475" w:rsidP="003A005E">
      <w:pPr>
        <w:spacing w:after="0" w:line="240" w:lineRule="auto"/>
        <w:ind w:left="284" w:right="-313"/>
        <w:rPr>
          <w:rFonts w:cs="EB Garamond"/>
          <w:color w:val="3A3128"/>
          <w:kern w:val="16"/>
          <w:szCs w:val="21"/>
        </w:rPr>
      </w:pPr>
      <w:r w:rsidRPr="00E56701">
        <w:rPr>
          <w:rFonts w:cs="EB Garamond"/>
          <w:color w:val="3A3128"/>
          <w:kern w:val="16"/>
          <w:szCs w:val="21"/>
        </w:rPr>
        <w:t>3.1.1 Carência versus tempo de contribuição .....................................................</w:t>
      </w:r>
      <w:r>
        <w:rPr>
          <w:rFonts w:cs="EB Garamond"/>
          <w:color w:val="3A3128"/>
          <w:kern w:val="16"/>
          <w:szCs w:val="21"/>
        </w:rPr>
        <w:t>.</w:t>
      </w:r>
      <w:r w:rsidRPr="00E56701">
        <w:rPr>
          <w:szCs w:val="21"/>
        </w:rPr>
        <w:t xml:space="preserve"> 89</w:t>
      </w:r>
      <w:r w:rsidRPr="00E56701">
        <w:rPr>
          <w:rFonts w:cs="EB Garamond"/>
          <w:color w:val="3A3128"/>
          <w:kern w:val="16"/>
          <w:szCs w:val="21"/>
        </w:rPr>
        <w:t xml:space="preserve"> </w:t>
      </w:r>
    </w:p>
    <w:p w14:paraId="5DC77030" w14:textId="5A826ED2" w:rsidR="00BE4475" w:rsidRDefault="00BE4475" w:rsidP="003A005E">
      <w:pPr>
        <w:spacing w:after="0" w:line="240" w:lineRule="auto"/>
        <w:ind w:left="284" w:right="-313"/>
        <w:rPr>
          <w:szCs w:val="21"/>
        </w:rPr>
      </w:pPr>
      <w:r w:rsidRPr="00E56701">
        <w:rPr>
          <w:rFonts w:cs="EB Garamond"/>
          <w:color w:val="3A3128"/>
          <w:kern w:val="16"/>
          <w:szCs w:val="21"/>
        </w:rPr>
        <w:t>3.1.2 Função atuarial e dimensão constitucional da carência ..............................</w:t>
      </w:r>
      <w:r w:rsidRPr="00E56701">
        <w:rPr>
          <w:szCs w:val="21"/>
        </w:rPr>
        <w:t xml:space="preserve"> 90</w:t>
      </w:r>
    </w:p>
    <w:p w14:paraId="517B0AF1" w14:textId="5D80E8A5" w:rsidR="00BE4475" w:rsidRDefault="00BE4475" w:rsidP="003A005E">
      <w:pPr>
        <w:spacing w:after="0" w:line="240" w:lineRule="auto"/>
        <w:ind w:left="284" w:right="-313"/>
        <w:rPr>
          <w:szCs w:val="21"/>
        </w:rPr>
      </w:pPr>
      <w:r w:rsidRPr="00E56701">
        <w:rPr>
          <w:rFonts w:cs="EB Garamond"/>
          <w:color w:val="3A3128"/>
          <w:kern w:val="16"/>
          <w:szCs w:val="21"/>
        </w:rPr>
        <w:t>3.2 Prazos de carência por espécie de benefício ...................................................</w:t>
      </w:r>
      <w:r w:rsidRPr="00E56701">
        <w:rPr>
          <w:szCs w:val="21"/>
        </w:rPr>
        <w:t xml:space="preserve"> 90</w:t>
      </w:r>
    </w:p>
    <w:p w14:paraId="77430250" w14:textId="036F7EF7" w:rsidR="00BE4475" w:rsidRDefault="00BE4475" w:rsidP="003A005E">
      <w:pPr>
        <w:spacing w:after="0" w:line="240" w:lineRule="auto"/>
        <w:ind w:left="284" w:right="-313"/>
        <w:rPr>
          <w:szCs w:val="21"/>
        </w:rPr>
      </w:pPr>
      <w:r w:rsidRPr="00E56701">
        <w:rPr>
          <w:rFonts w:cs="EB Garamond"/>
          <w:color w:val="3A3128"/>
          <w:kern w:val="16"/>
          <w:szCs w:val="21"/>
        </w:rPr>
        <w:t>3.2.1 Benefícios por incapacidade: 12 contribuições mensais .............................</w:t>
      </w:r>
      <w:r w:rsidRPr="00E56701">
        <w:rPr>
          <w:szCs w:val="21"/>
        </w:rPr>
        <w:t xml:space="preserve"> 91</w:t>
      </w:r>
    </w:p>
    <w:p w14:paraId="465291E2" w14:textId="3A53246B" w:rsidR="00BE4475" w:rsidRDefault="00BE4475" w:rsidP="003A005E">
      <w:pPr>
        <w:spacing w:after="0" w:line="240" w:lineRule="auto"/>
        <w:ind w:left="284" w:right="-313"/>
        <w:rPr>
          <w:szCs w:val="21"/>
        </w:rPr>
      </w:pPr>
      <w:r w:rsidRPr="00E56701">
        <w:rPr>
          <w:rFonts w:cs="EB Garamond"/>
          <w:color w:val="3A3128"/>
          <w:kern w:val="16"/>
          <w:szCs w:val="21"/>
        </w:rPr>
        <w:t>3.2.2 Aposentadorias programadas: 180 contribuições mensais ........................</w:t>
      </w:r>
      <w:r w:rsidRPr="00E56701">
        <w:rPr>
          <w:szCs w:val="21"/>
        </w:rPr>
        <w:t xml:space="preserve"> 91</w:t>
      </w:r>
    </w:p>
    <w:p w14:paraId="02F5FAFD" w14:textId="0D3CA327" w:rsidR="00BE4475" w:rsidRDefault="00BE4475" w:rsidP="003A005E">
      <w:pPr>
        <w:spacing w:after="0" w:line="240" w:lineRule="auto"/>
        <w:ind w:left="284" w:right="-313"/>
        <w:rPr>
          <w:rFonts w:cs="EB Garamond"/>
          <w:color w:val="3A3128"/>
          <w:kern w:val="16"/>
          <w:szCs w:val="21"/>
        </w:rPr>
      </w:pPr>
      <w:r w:rsidRPr="00E56701">
        <w:rPr>
          <w:rFonts w:cs="EB Garamond"/>
          <w:color w:val="3A3128"/>
          <w:kern w:val="16"/>
          <w:szCs w:val="21"/>
        </w:rPr>
        <w:t>3.2.3 Auxílio-reclusão e salário-maternidade ....................................................</w:t>
      </w:r>
      <w:r>
        <w:rPr>
          <w:rFonts w:cs="EB Garamond"/>
          <w:color w:val="3A3128"/>
          <w:kern w:val="16"/>
          <w:szCs w:val="21"/>
        </w:rPr>
        <w:t>..</w:t>
      </w:r>
      <w:r w:rsidRPr="00E56701">
        <w:rPr>
          <w:rFonts w:cs="EB Garamond"/>
          <w:color w:val="3A3128"/>
          <w:kern w:val="16"/>
          <w:szCs w:val="21"/>
        </w:rPr>
        <w:t xml:space="preserve"> 92</w:t>
      </w:r>
    </w:p>
    <w:p w14:paraId="2C8730F6" w14:textId="4A549D11" w:rsidR="00BE4475" w:rsidRDefault="00BE4475" w:rsidP="003A005E">
      <w:pPr>
        <w:spacing w:after="0" w:line="240" w:lineRule="auto"/>
        <w:ind w:left="284" w:right="-313"/>
        <w:rPr>
          <w:szCs w:val="21"/>
        </w:rPr>
      </w:pPr>
      <w:r w:rsidRPr="00E56701">
        <w:rPr>
          <w:rFonts w:cs="EB Garamond"/>
          <w:color w:val="3A3128"/>
          <w:kern w:val="16"/>
          <w:szCs w:val="21"/>
        </w:rPr>
        <w:t>3.2.4 Impactos da EC 103/2019 nos prazos de carência .....................................</w:t>
      </w:r>
      <w:r w:rsidRPr="00E56701">
        <w:rPr>
          <w:szCs w:val="21"/>
        </w:rPr>
        <w:t xml:space="preserve"> 92</w:t>
      </w:r>
    </w:p>
    <w:p w14:paraId="50B3ABB3" w14:textId="07AA3DCC" w:rsidR="00BE4475" w:rsidRDefault="00BE4475" w:rsidP="003A005E">
      <w:pPr>
        <w:spacing w:after="0" w:line="240" w:lineRule="auto"/>
        <w:ind w:left="284" w:right="-313"/>
        <w:rPr>
          <w:szCs w:val="21"/>
        </w:rPr>
      </w:pPr>
      <w:r w:rsidRPr="00E56701">
        <w:rPr>
          <w:rFonts w:cs="EB Garamond"/>
          <w:color w:val="3A3128"/>
          <w:kern w:val="16"/>
          <w:szCs w:val="21"/>
        </w:rPr>
        <w:t>3.3 Dispensa de carência .....................................................................................</w:t>
      </w:r>
      <w:r>
        <w:rPr>
          <w:rFonts w:cs="EB Garamond"/>
          <w:color w:val="3A3128"/>
          <w:kern w:val="16"/>
          <w:szCs w:val="21"/>
        </w:rPr>
        <w:t>.</w:t>
      </w:r>
      <w:r w:rsidRPr="00E56701">
        <w:rPr>
          <w:szCs w:val="21"/>
        </w:rPr>
        <w:t xml:space="preserve"> 93</w:t>
      </w:r>
    </w:p>
    <w:p w14:paraId="7E812568" w14:textId="1B545486" w:rsidR="00BE4475" w:rsidRDefault="00BE4475" w:rsidP="003A005E">
      <w:pPr>
        <w:spacing w:after="0" w:line="240" w:lineRule="auto"/>
        <w:ind w:left="284" w:right="-313"/>
        <w:rPr>
          <w:szCs w:val="21"/>
        </w:rPr>
      </w:pPr>
      <w:r w:rsidRPr="00E56701">
        <w:rPr>
          <w:rFonts w:cs="EB Garamond"/>
          <w:color w:val="3A3128"/>
          <w:kern w:val="16"/>
          <w:szCs w:val="21"/>
        </w:rPr>
        <w:t>3.3.1 Benefícios intrinsecamente dispensados .........................</w:t>
      </w:r>
      <w:r>
        <w:rPr>
          <w:rFonts w:cs="EB Garamond"/>
          <w:color w:val="3A3128"/>
          <w:kern w:val="16"/>
          <w:szCs w:val="21"/>
        </w:rPr>
        <w:t>......</w:t>
      </w:r>
      <w:r w:rsidRPr="00E56701">
        <w:rPr>
          <w:rFonts w:cs="EB Garamond"/>
          <w:color w:val="3A3128"/>
          <w:kern w:val="16"/>
          <w:szCs w:val="21"/>
        </w:rPr>
        <w:t>.....................</w:t>
      </w:r>
      <w:r w:rsidRPr="00E56701">
        <w:rPr>
          <w:szCs w:val="21"/>
        </w:rPr>
        <w:t xml:space="preserve"> 94</w:t>
      </w:r>
    </w:p>
    <w:p w14:paraId="0CC26CDC" w14:textId="5948E521" w:rsidR="00BE4475" w:rsidRDefault="00BE4475" w:rsidP="003A005E">
      <w:pPr>
        <w:spacing w:after="0" w:line="240" w:lineRule="auto"/>
        <w:ind w:left="284" w:right="-313"/>
        <w:rPr>
          <w:rFonts w:cs="EB Garamond"/>
          <w:color w:val="3A3128"/>
          <w:kern w:val="16"/>
          <w:szCs w:val="21"/>
        </w:rPr>
      </w:pPr>
      <w:r w:rsidRPr="00E56701">
        <w:rPr>
          <w:rFonts w:cs="EB Garamond"/>
          <w:color w:val="3A3128"/>
          <w:kern w:val="16"/>
          <w:szCs w:val="21"/>
        </w:rPr>
        <w:t>3.3.2 Dispensa por acidente de qualquer natureza .............................................. 95</w:t>
      </w:r>
    </w:p>
    <w:p w14:paraId="2CCDF1CF" w14:textId="77777777" w:rsidR="005C14F9" w:rsidRDefault="00BE4475" w:rsidP="003A005E">
      <w:pPr>
        <w:spacing w:after="0" w:line="240" w:lineRule="auto"/>
        <w:ind w:left="284" w:right="-313"/>
        <w:rPr>
          <w:szCs w:val="21"/>
        </w:rPr>
      </w:pPr>
      <w:r w:rsidRPr="00E56701">
        <w:rPr>
          <w:rFonts w:cs="EB Garamond"/>
          <w:color w:val="3A3128"/>
          <w:kern w:val="16"/>
          <w:szCs w:val="21"/>
        </w:rPr>
        <w:t>3.3.3 Doenças graves e o rol do art. 151 ...............................................................</w:t>
      </w:r>
      <w:r>
        <w:rPr>
          <w:rFonts w:cs="EB Garamond"/>
          <w:color w:val="3A3128"/>
          <w:kern w:val="16"/>
          <w:szCs w:val="21"/>
        </w:rPr>
        <w:t>.</w:t>
      </w:r>
      <w:r w:rsidRPr="00E56701">
        <w:rPr>
          <w:szCs w:val="21"/>
        </w:rPr>
        <w:t xml:space="preserve"> 96</w:t>
      </w:r>
    </w:p>
    <w:p w14:paraId="4F929B5B" w14:textId="77777777" w:rsidR="005C14F9" w:rsidRDefault="00BE4475" w:rsidP="003A005E">
      <w:pPr>
        <w:spacing w:after="0" w:line="240" w:lineRule="auto"/>
        <w:ind w:left="284" w:right="-313"/>
        <w:rPr>
          <w:szCs w:val="21"/>
        </w:rPr>
      </w:pPr>
      <w:r w:rsidRPr="00E56701">
        <w:rPr>
          <w:rFonts w:cs="EB Garamond"/>
          <w:color w:val="3A3128"/>
          <w:kern w:val="16"/>
          <w:szCs w:val="21"/>
        </w:rPr>
        <w:lastRenderedPageBreak/>
        <w:t>3.3.4 Doença preexistente e a distinção DID/DII ..............................................</w:t>
      </w:r>
      <w:r w:rsidRPr="00E56701">
        <w:rPr>
          <w:szCs w:val="21"/>
        </w:rPr>
        <w:t xml:space="preserve"> 97</w:t>
      </w:r>
    </w:p>
    <w:p w14:paraId="57C4ED83" w14:textId="77777777" w:rsidR="005C14F9" w:rsidRDefault="00BE4475" w:rsidP="003A005E">
      <w:pPr>
        <w:spacing w:after="0" w:line="240" w:lineRule="auto"/>
        <w:ind w:left="284" w:right="-313"/>
        <w:rPr>
          <w:rFonts w:cs="EB Garamond"/>
          <w:color w:val="3A3128"/>
          <w:kern w:val="16"/>
          <w:szCs w:val="21"/>
        </w:rPr>
      </w:pPr>
      <w:r w:rsidRPr="00E56701">
        <w:rPr>
          <w:rFonts w:cs="EB Garamond"/>
          <w:color w:val="3A3128"/>
          <w:kern w:val="16"/>
          <w:szCs w:val="21"/>
        </w:rPr>
        <w:t>3.3.5 Salário-maternidade: inconstitucionalidade da carência ........................... 98</w:t>
      </w:r>
    </w:p>
    <w:p w14:paraId="2C8CCB36" w14:textId="77777777" w:rsidR="005C14F9" w:rsidRDefault="00BE4475" w:rsidP="003A005E">
      <w:pPr>
        <w:spacing w:after="0" w:line="240" w:lineRule="auto"/>
        <w:ind w:left="284" w:right="-313"/>
        <w:rPr>
          <w:rFonts w:cs="EB Garamond"/>
          <w:color w:val="3A3128"/>
          <w:kern w:val="16"/>
          <w:szCs w:val="21"/>
        </w:rPr>
      </w:pPr>
      <w:r w:rsidRPr="00E56701">
        <w:rPr>
          <w:rFonts w:cs="EB Garamond"/>
          <w:color w:val="3A3128"/>
          <w:kern w:val="16"/>
          <w:szCs w:val="21"/>
        </w:rPr>
        <w:t>3.4 Contagem do período de carência ................................................................. 99</w:t>
      </w:r>
    </w:p>
    <w:p w14:paraId="368F8D24" w14:textId="77777777" w:rsidR="005C14F9" w:rsidRDefault="00BE4475" w:rsidP="003A005E">
      <w:pPr>
        <w:spacing w:after="0" w:line="240" w:lineRule="auto"/>
        <w:ind w:left="284" w:right="-313"/>
        <w:rPr>
          <w:szCs w:val="21"/>
        </w:rPr>
      </w:pPr>
      <w:r w:rsidRPr="00E56701">
        <w:rPr>
          <w:rFonts w:cs="EB Garamond"/>
          <w:color w:val="3A3128"/>
          <w:kern w:val="16"/>
          <w:szCs w:val="21"/>
        </w:rPr>
        <w:t>3.4.1 Segurados empregado e trabalhador avulso ..............................................</w:t>
      </w:r>
      <w:r w:rsidRPr="00E56701">
        <w:rPr>
          <w:szCs w:val="21"/>
        </w:rPr>
        <w:t xml:space="preserve"> 100</w:t>
      </w:r>
    </w:p>
    <w:p w14:paraId="2CBBBA94" w14:textId="77777777" w:rsidR="005C14F9" w:rsidRDefault="00BE4475" w:rsidP="003A005E">
      <w:pPr>
        <w:spacing w:after="0" w:line="240" w:lineRule="auto"/>
        <w:ind w:left="284" w:right="-313"/>
        <w:rPr>
          <w:szCs w:val="21"/>
        </w:rPr>
      </w:pPr>
      <w:r w:rsidRPr="00E56701">
        <w:rPr>
          <w:rFonts w:cs="EB Garamond"/>
          <w:color w:val="3A3128"/>
          <w:kern w:val="16"/>
          <w:szCs w:val="21"/>
        </w:rPr>
        <w:t>3.4.2 O empregado doméstico antes e depois da LC 150/2015 ........................</w:t>
      </w:r>
      <w:r w:rsidRPr="00E56701">
        <w:rPr>
          <w:szCs w:val="21"/>
        </w:rPr>
        <w:t xml:space="preserve"> 100</w:t>
      </w:r>
    </w:p>
    <w:p w14:paraId="2113C47D" w14:textId="77777777" w:rsidR="005C14F9" w:rsidRDefault="00BE4475" w:rsidP="003A005E">
      <w:pPr>
        <w:spacing w:after="0" w:line="240" w:lineRule="auto"/>
        <w:ind w:left="284" w:right="-313"/>
        <w:rPr>
          <w:szCs w:val="21"/>
        </w:rPr>
      </w:pPr>
      <w:r w:rsidRPr="00E56701">
        <w:rPr>
          <w:rFonts w:cs="EB Garamond"/>
          <w:color w:val="3A3128"/>
          <w:kern w:val="16"/>
          <w:szCs w:val="21"/>
        </w:rPr>
        <w:t>3.4.3 Contribuinte individual, segurado especial e facultativo .........................</w:t>
      </w:r>
      <w:r w:rsidRPr="00E56701">
        <w:rPr>
          <w:szCs w:val="21"/>
        </w:rPr>
        <w:t xml:space="preserve"> 101</w:t>
      </w:r>
    </w:p>
    <w:p w14:paraId="6C11BD71" w14:textId="77777777" w:rsidR="005C14F9" w:rsidRDefault="00BE4475" w:rsidP="003A005E">
      <w:pPr>
        <w:spacing w:after="0" w:line="240" w:lineRule="auto"/>
        <w:ind w:left="284" w:right="-313"/>
        <w:rPr>
          <w:rFonts w:cs="EB Garamond"/>
          <w:color w:val="3A3128"/>
          <w:kern w:val="16"/>
          <w:szCs w:val="21"/>
        </w:rPr>
      </w:pPr>
      <w:r w:rsidRPr="00E56701">
        <w:rPr>
          <w:rFonts w:cs="EB Garamond"/>
          <w:color w:val="3A3128"/>
          <w:kern w:val="16"/>
          <w:szCs w:val="21"/>
        </w:rPr>
        <w:t>3.4.4 Cômputo de períodos de afastamento por incapacidade ......................... 103</w:t>
      </w:r>
    </w:p>
    <w:p w14:paraId="566C01BB" w14:textId="77777777" w:rsidR="005C14F9" w:rsidRDefault="00BE4475" w:rsidP="003A005E">
      <w:pPr>
        <w:spacing w:after="0" w:line="240" w:lineRule="auto"/>
        <w:ind w:left="284" w:right="-313"/>
        <w:rPr>
          <w:szCs w:val="21"/>
        </w:rPr>
      </w:pPr>
      <w:r w:rsidRPr="00E56701">
        <w:rPr>
          <w:rFonts w:cs="EB Garamond"/>
          <w:color w:val="3A3128"/>
          <w:kern w:val="16"/>
          <w:szCs w:val="21"/>
        </w:rPr>
        <w:t>3.5 Contribuição inferior ao mínimo e os mecanismos da EC 103/2019 .........</w:t>
      </w:r>
      <w:r w:rsidRPr="00E56701">
        <w:rPr>
          <w:szCs w:val="21"/>
        </w:rPr>
        <w:t xml:space="preserve"> 105</w:t>
      </w:r>
    </w:p>
    <w:p w14:paraId="748EA2CE" w14:textId="77777777" w:rsidR="005C14F9" w:rsidRDefault="00BE4475" w:rsidP="003A005E">
      <w:pPr>
        <w:spacing w:after="0" w:line="240" w:lineRule="auto"/>
        <w:ind w:left="284" w:right="-313"/>
        <w:rPr>
          <w:szCs w:val="21"/>
        </w:rPr>
      </w:pPr>
      <w:r w:rsidRPr="00E56701">
        <w:rPr>
          <w:rFonts w:cs="EB Garamond"/>
          <w:color w:val="3A3128"/>
          <w:kern w:val="16"/>
          <w:szCs w:val="21"/>
        </w:rPr>
        <w:t>3.6 Manutenção da qualidade de segurado e período de graça .........................</w:t>
      </w:r>
      <w:r>
        <w:rPr>
          <w:rFonts w:cs="EB Garamond"/>
          <w:color w:val="3A3128"/>
          <w:kern w:val="16"/>
          <w:szCs w:val="21"/>
        </w:rPr>
        <w:t>.</w:t>
      </w:r>
      <w:r w:rsidRPr="00E56701">
        <w:rPr>
          <w:szCs w:val="21"/>
        </w:rPr>
        <w:t xml:space="preserve"> 107</w:t>
      </w:r>
    </w:p>
    <w:p w14:paraId="7ABCFE5C" w14:textId="77777777" w:rsidR="005C14F9" w:rsidRDefault="00BE4475" w:rsidP="003A005E">
      <w:pPr>
        <w:spacing w:after="0" w:line="240" w:lineRule="auto"/>
        <w:ind w:left="284" w:right="-313"/>
        <w:rPr>
          <w:szCs w:val="21"/>
        </w:rPr>
      </w:pPr>
      <w:r w:rsidRPr="00E56701">
        <w:rPr>
          <w:rFonts w:cs="EB Garamond"/>
          <w:color w:val="3A3128"/>
          <w:kern w:val="16"/>
          <w:szCs w:val="21"/>
        </w:rPr>
        <w:t>3.6.1 Fundamento e hipóteses legais ...............................................................</w:t>
      </w:r>
      <w:r>
        <w:rPr>
          <w:rFonts w:cs="EB Garamond"/>
          <w:color w:val="3A3128"/>
          <w:kern w:val="16"/>
          <w:szCs w:val="21"/>
        </w:rPr>
        <w:t>...</w:t>
      </w:r>
      <w:r w:rsidRPr="00E56701">
        <w:rPr>
          <w:szCs w:val="21"/>
        </w:rPr>
        <w:t xml:space="preserve"> 108</w:t>
      </w:r>
    </w:p>
    <w:p w14:paraId="52614DDF" w14:textId="77777777" w:rsidR="005C14F9" w:rsidRDefault="00BE4475" w:rsidP="003A005E">
      <w:pPr>
        <w:spacing w:after="0" w:line="240" w:lineRule="auto"/>
        <w:ind w:left="284" w:right="-313"/>
        <w:rPr>
          <w:rFonts w:cs="EB Garamond"/>
          <w:color w:val="3A3128"/>
          <w:kern w:val="16"/>
          <w:szCs w:val="21"/>
        </w:rPr>
      </w:pPr>
      <w:r w:rsidRPr="00E56701">
        <w:rPr>
          <w:rFonts w:cs="EB Garamond"/>
          <w:color w:val="3A3128"/>
          <w:kern w:val="16"/>
          <w:szCs w:val="21"/>
        </w:rPr>
        <w:t>3.6.2 Mecanismos de prorrogação ....................................................................</w:t>
      </w:r>
      <w:r>
        <w:rPr>
          <w:rFonts w:cs="EB Garamond"/>
          <w:color w:val="3A3128"/>
          <w:kern w:val="16"/>
          <w:szCs w:val="21"/>
        </w:rPr>
        <w:t>.</w:t>
      </w:r>
      <w:r w:rsidRPr="00E56701">
        <w:rPr>
          <w:rFonts w:cs="EB Garamond"/>
          <w:color w:val="3A3128"/>
          <w:kern w:val="16"/>
          <w:szCs w:val="21"/>
        </w:rPr>
        <w:t xml:space="preserve"> 109</w:t>
      </w:r>
    </w:p>
    <w:p w14:paraId="74FEC4E3" w14:textId="77777777" w:rsidR="005C14F9" w:rsidRDefault="00BE4475" w:rsidP="003A005E">
      <w:pPr>
        <w:spacing w:after="0" w:line="240" w:lineRule="auto"/>
        <w:ind w:left="284" w:right="-313"/>
        <w:rPr>
          <w:rFonts w:cs="EB Garamond"/>
          <w:color w:val="3A3128"/>
          <w:kern w:val="16"/>
          <w:szCs w:val="21"/>
        </w:rPr>
      </w:pPr>
      <w:r w:rsidRPr="00E56701">
        <w:rPr>
          <w:rFonts w:cs="EB Garamond"/>
          <w:color w:val="3A3128"/>
          <w:kern w:val="16"/>
          <w:szCs w:val="21"/>
        </w:rPr>
        <w:t>3.6.3 Cálculo da data exata de perda da qualidade ............................................. 110</w:t>
      </w:r>
    </w:p>
    <w:p w14:paraId="5C0939A1" w14:textId="77777777" w:rsidR="005C14F9" w:rsidRDefault="00BE4475" w:rsidP="003A005E">
      <w:pPr>
        <w:spacing w:after="0" w:line="240" w:lineRule="auto"/>
        <w:ind w:left="284" w:right="-313"/>
        <w:rPr>
          <w:szCs w:val="21"/>
        </w:rPr>
      </w:pPr>
      <w:r w:rsidRPr="00E56701">
        <w:rPr>
          <w:rFonts w:cs="EB Garamond"/>
          <w:color w:val="3A3128"/>
          <w:kern w:val="16"/>
          <w:szCs w:val="21"/>
        </w:rPr>
        <w:t>3.7 Prorrogação do período de graça e jurisprudência .......................................</w:t>
      </w:r>
      <w:r w:rsidRPr="00E56701">
        <w:rPr>
          <w:szCs w:val="21"/>
        </w:rPr>
        <w:t xml:space="preserve"> 111</w:t>
      </w:r>
    </w:p>
    <w:p w14:paraId="158D3E08" w14:textId="77777777" w:rsidR="005C14F9" w:rsidRDefault="00BE4475" w:rsidP="003A005E">
      <w:pPr>
        <w:spacing w:after="0" w:line="240" w:lineRule="auto"/>
        <w:ind w:left="284" w:right="-313"/>
        <w:rPr>
          <w:rFonts w:cs="EB Garamond"/>
          <w:color w:val="3A3128"/>
          <w:kern w:val="16"/>
          <w:szCs w:val="21"/>
        </w:rPr>
      </w:pPr>
      <w:r w:rsidRPr="00E56701">
        <w:rPr>
          <w:rFonts w:cs="EB Garamond"/>
          <w:color w:val="3A3128"/>
          <w:kern w:val="16"/>
          <w:szCs w:val="21"/>
        </w:rPr>
        <w:t>3.7.1 Prova do desemprego involuntário ........................................................... 111</w:t>
      </w:r>
    </w:p>
    <w:p w14:paraId="1E395E9D" w14:textId="77777777" w:rsidR="005C14F9" w:rsidRDefault="00BE4475" w:rsidP="003A005E">
      <w:pPr>
        <w:spacing w:after="0" w:line="240" w:lineRule="auto"/>
        <w:ind w:left="284" w:right="-313"/>
        <w:rPr>
          <w:rFonts w:cs="EB Garamond"/>
          <w:color w:val="3A3128"/>
          <w:kern w:val="16"/>
          <w:szCs w:val="21"/>
        </w:rPr>
      </w:pPr>
      <w:r w:rsidRPr="00E56701">
        <w:rPr>
          <w:rFonts w:cs="EB Garamond"/>
          <w:color w:val="3A3128"/>
          <w:kern w:val="16"/>
          <w:szCs w:val="21"/>
        </w:rPr>
        <w:t>3.7.2 Extensão ao contribuinte individual ........................................................ 111</w:t>
      </w:r>
    </w:p>
    <w:p w14:paraId="07C414B0" w14:textId="77777777" w:rsidR="005C14F9" w:rsidRDefault="00BE4475" w:rsidP="003A005E">
      <w:pPr>
        <w:spacing w:after="0" w:line="240" w:lineRule="auto"/>
        <w:ind w:left="284" w:right="-313"/>
        <w:rPr>
          <w:szCs w:val="21"/>
        </w:rPr>
      </w:pPr>
      <w:r w:rsidRPr="00E56701">
        <w:rPr>
          <w:rFonts w:cs="EB Garamond"/>
          <w:color w:val="3A3128"/>
          <w:kern w:val="16"/>
          <w:szCs w:val="21"/>
        </w:rPr>
        <w:t>3.7.3 Limbo previdenciário ...............................................................................</w:t>
      </w:r>
      <w:r w:rsidRPr="00E56701">
        <w:rPr>
          <w:szCs w:val="21"/>
        </w:rPr>
        <w:t xml:space="preserve"> 112</w:t>
      </w:r>
    </w:p>
    <w:p w14:paraId="59AE20A4" w14:textId="77777777" w:rsidR="005C14F9" w:rsidRDefault="00BE4475" w:rsidP="003A005E">
      <w:pPr>
        <w:spacing w:after="0" w:line="240" w:lineRule="auto"/>
        <w:ind w:left="284" w:right="-313"/>
        <w:rPr>
          <w:szCs w:val="21"/>
        </w:rPr>
      </w:pPr>
      <w:r w:rsidRPr="00E56701">
        <w:rPr>
          <w:rFonts w:cs="EB Garamond"/>
          <w:color w:val="3A3128"/>
          <w:kern w:val="16"/>
          <w:szCs w:val="21"/>
        </w:rPr>
        <w:t>3.7.4 Início da contagem após cessação de benefício por incapacidade ............</w:t>
      </w:r>
      <w:r w:rsidRPr="00E56701">
        <w:rPr>
          <w:szCs w:val="21"/>
        </w:rPr>
        <w:t xml:space="preserve"> 113</w:t>
      </w:r>
    </w:p>
    <w:p w14:paraId="7B4ED22B" w14:textId="77777777" w:rsidR="005C14F9" w:rsidRDefault="00BE4475" w:rsidP="003A005E">
      <w:pPr>
        <w:spacing w:after="0" w:line="240" w:lineRule="auto"/>
        <w:ind w:left="284" w:right="-313"/>
        <w:rPr>
          <w:szCs w:val="21"/>
        </w:rPr>
      </w:pPr>
      <w:r w:rsidRPr="00E56701">
        <w:rPr>
          <w:rFonts w:cs="EB Garamond"/>
          <w:color w:val="3A3128"/>
          <w:kern w:val="16"/>
          <w:szCs w:val="21"/>
        </w:rPr>
        <w:t>3.8 Perda e reaquisição da qualidade de segurado .............................................</w:t>
      </w:r>
      <w:r>
        <w:rPr>
          <w:rFonts w:cs="EB Garamond"/>
          <w:color w:val="3A3128"/>
          <w:kern w:val="16"/>
          <w:szCs w:val="21"/>
        </w:rPr>
        <w:t>.</w:t>
      </w:r>
      <w:r w:rsidRPr="00E56701">
        <w:rPr>
          <w:szCs w:val="21"/>
        </w:rPr>
        <w:t xml:space="preserve"> 114</w:t>
      </w:r>
    </w:p>
    <w:p w14:paraId="64E41362" w14:textId="77777777" w:rsidR="005C14F9" w:rsidRDefault="00BE4475" w:rsidP="003A005E">
      <w:pPr>
        <w:spacing w:after="0" w:line="240" w:lineRule="auto"/>
        <w:ind w:left="284" w:right="-313"/>
        <w:rPr>
          <w:szCs w:val="21"/>
        </w:rPr>
      </w:pPr>
      <w:r w:rsidRPr="00E56701">
        <w:rPr>
          <w:rFonts w:cs="EB Garamond"/>
          <w:color w:val="3A3128"/>
          <w:kern w:val="16"/>
          <w:szCs w:val="21"/>
        </w:rPr>
        <w:t>3.8.1 Efeitos da perda e exceções legais ...............................................................</w:t>
      </w:r>
      <w:r w:rsidRPr="00E56701">
        <w:rPr>
          <w:szCs w:val="21"/>
        </w:rPr>
        <w:t xml:space="preserve"> 114</w:t>
      </w:r>
    </w:p>
    <w:p w14:paraId="57ADDFB8" w14:textId="77777777" w:rsidR="005C14F9" w:rsidRDefault="00BE4475" w:rsidP="003A005E">
      <w:pPr>
        <w:spacing w:after="0" w:line="240" w:lineRule="auto"/>
        <w:ind w:left="284" w:right="-313"/>
        <w:rPr>
          <w:szCs w:val="21"/>
        </w:rPr>
      </w:pPr>
      <w:r w:rsidRPr="00E56701">
        <w:rPr>
          <w:rFonts w:cs="EB Garamond"/>
          <w:color w:val="3A3128"/>
          <w:kern w:val="16"/>
          <w:szCs w:val="21"/>
        </w:rPr>
        <w:t>3.8.2 A regra geral do art. 24, parágrafo único ...................................................</w:t>
      </w:r>
      <w:r w:rsidRPr="00E56701">
        <w:rPr>
          <w:szCs w:val="21"/>
        </w:rPr>
        <w:t xml:space="preserve"> 115</w:t>
      </w:r>
    </w:p>
    <w:p w14:paraId="19228BD7" w14:textId="77777777" w:rsidR="005C14F9" w:rsidRDefault="00BE4475" w:rsidP="003A005E">
      <w:pPr>
        <w:spacing w:after="0" w:line="240" w:lineRule="auto"/>
        <w:ind w:left="284" w:right="-313"/>
        <w:rPr>
          <w:szCs w:val="21"/>
        </w:rPr>
      </w:pPr>
      <w:r w:rsidRPr="00E56701">
        <w:rPr>
          <w:rFonts w:cs="EB Garamond"/>
          <w:color w:val="3A3128"/>
          <w:kern w:val="16"/>
          <w:szCs w:val="21"/>
        </w:rPr>
        <w:t>3.8.3 O art. 27-A e a regra da metade ..................................................................</w:t>
      </w:r>
      <w:r w:rsidRPr="00E56701">
        <w:rPr>
          <w:szCs w:val="21"/>
        </w:rPr>
        <w:t xml:space="preserve"> 116</w:t>
      </w:r>
    </w:p>
    <w:p w14:paraId="744F143D" w14:textId="77777777" w:rsidR="005C14F9" w:rsidRDefault="00BE4475" w:rsidP="003A005E">
      <w:pPr>
        <w:spacing w:after="0" w:line="240" w:lineRule="auto"/>
        <w:ind w:left="284" w:right="-313"/>
        <w:rPr>
          <w:szCs w:val="21"/>
        </w:rPr>
      </w:pPr>
      <w:r w:rsidRPr="00E56701">
        <w:rPr>
          <w:rFonts w:cs="EB Garamond"/>
          <w:color w:val="3A3128"/>
          <w:kern w:val="16"/>
          <w:szCs w:val="21"/>
        </w:rPr>
        <w:t>3.8.4 Histórico legislativo do art. 27-A (2016-2019) .........................................</w:t>
      </w:r>
      <w:r w:rsidRPr="00E56701">
        <w:rPr>
          <w:szCs w:val="21"/>
        </w:rPr>
        <w:t xml:space="preserve"> 117</w:t>
      </w:r>
    </w:p>
    <w:p w14:paraId="0FCAAA46" w14:textId="77777777" w:rsidR="005C14F9" w:rsidRDefault="00BE4475" w:rsidP="003A005E">
      <w:pPr>
        <w:spacing w:after="0" w:line="240" w:lineRule="auto"/>
        <w:ind w:left="284" w:right="-313"/>
        <w:rPr>
          <w:szCs w:val="21"/>
        </w:rPr>
      </w:pPr>
      <w:r w:rsidRPr="00E56701">
        <w:rPr>
          <w:rFonts w:cs="EB Garamond"/>
          <w:color w:val="3A3128"/>
          <w:kern w:val="16"/>
          <w:szCs w:val="21"/>
        </w:rPr>
        <w:t>3.8.5 Complementação de contribuições após o óbito .....................................</w:t>
      </w:r>
      <w:r w:rsidRPr="00E56701">
        <w:rPr>
          <w:szCs w:val="21"/>
        </w:rPr>
        <w:t xml:space="preserve"> 118</w:t>
      </w:r>
    </w:p>
    <w:p w14:paraId="63C5449F" w14:textId="77777777" w:rsidR="005C14F9" w:rsidRDefault="00BE4475" w:rsidP="003A005E">
      <w:pPr>
        <w:spacing w:after="0" w:line="240" w:lineRule="auto"/>
        <w:ind w:left="284" w:right="-313"/>
        <w:rPr>
          <w:szCs w:val="21"/>
        </w:rPr>
      </w:pPr>
      <w:r w:rsidRPr="00E56701">
        <w:rPr>
          <w:rFonts w:cs="EB Garamond"/>
          <w:color w:val="3A3128"/>
          <w:kern w:val="16"/>
          <w:szCs w:val="21"/>
        </w:rPr>
        <w:t>3.9 Conclusão ............................................................................</w:t>
      </w:r>
      <w:r w:rsidR="005C14F9">
        <w:rPr>
          <w:rFonts w:cs="EB Garamond"/>
          <w:color w:val="3A3128"/>
          <w:kern w:val="16"/>
          <w:szCs w:val="21"/>
        </w:rPr>
        <w:t>.....</w:t>
      </w:r>
      <w:r w:rsidRPr="00E56701">
        <w:rPr>
          <w:rFonts w:cs="EB Garamond"/>
          <w:color w:val="3A3128"/>
          <w:kern w:val="16"/>
          <w:szCs w:val="21"/>
        </w:rPr>
        <w:t>..............</w:t>
      </w:r>
      <w:r w:rsidR="005C14F9">
        <w:rPr>
          <w:rFonts w:cs="EB Garamond"/>
          <w:color w:val="3A3128"/>
          <w:kern w:val="16"/>
          <w:szCs w:val="21"/>
        </w:rPr>
        <w:t>.</w:t>
      </w:r>
      <w:r w:rsidRPr="00E56701">
        <w:rPr>
          <w:rFonts w:cs="EB Garamond"/>
          <w:color w:val="3A3128"/>
          <w:kern w:val="16"/>
          <w:szCs w:val="21"/>
        </w:rPr>
        <w:t>....</w:t>
      </w:r>
      <w:r w:rsidRPr="00E56701">
        <w:rPr>
          <w:szCs w:val="21"/>
        </w:rPr>
        <w:t xml:space="preserve"> 120</w:t>
      </w:r>
    </w:p>
    <w:p w14:paraId="44CD0CD7" w14:textId="33A86967" w:rsidR="005C14F9" w:rsidRDefault="00BE4475" w:rsidP="003A005E">
      <w:pPr>
        <w:spacing w:after="0" w:line="240" w:lineRule="auto"/>
        <w:ind w:left="284" w:right="-313"/>
        <w:rPr>
          <w:rFonts w:cs="Times New Roman"/>
          <w:szCs w:val="21"/>
        </w:rPr>
      </w:pPr>
      <w:r w:rsidRPr="00E56701">
        <w:rPr>
          <w:rFonts w:cs="Times New Roman"/>
          <w:szCs w:val="21"/>
        </w:rPr>
        <w:t>Capítulo 4 — Contribuições Previdenciárias e Custeio do RGPS ................... 121</w:t>
      </w:r>
    </w:p>
    <w:p w14:paraId="46B16569" w14:textId="6DC096A4" w:rsidR="005C14F9" w:rsidRDefault="00BE4475" w:rsidP="003A005E">
      <w:pPr>
        <w:spacing w:after="0" w:line="240" w:lineRule="auto"/>
        <w:ind w:left="284" w:right="-313"/>
        <w:rPr>
          <w:rFonts w:cs="Times New Roman"/>
          <w:color w:val="3A3128"/>
          <w:kern w:val="16"/>
          <w:szCs w:val="21"/>
        </w:rPr>
      </w:pPr>
      <w:r w:rsidRPr="00E56701">
        <w:rPr>
          <w:rFonts w:cs="Times New Roman"/>
          <w:szCs w:val="21"/>
        </w:rPr>
        <w:t xml:space="preserve">4.1 </w:t>
      </w:r>
      <w:r w:rsidRPr="00E56701">
        <w:rPr>
          <w:rFonts w:cs="Times New Roman"/>
          <w:color w:val="3A3128"/>
          <w:kern w:val="16"/>
          <w:szCs w:val="21"/>
          <w14:ligatures w14:val="standardContextual"/>
        </w:rPr>
        <w:t>Introdução: o financiamento da previdência social</w:t>
      </w:r>
      <w:r w:rsidRPr="00E56701">
        <w:rPr>
          <w:rFonts w:cs="Times New Roman"/>
          <w:color w:val="3A3128"/>
          <w:kern w:val="16"/>
          <w:szCs w:val="21"/>
        </w:rPr>
        <w:t xml:space="preserve"> ..................................... 121</w:t>
      </w:r>
    </w:p>
    <w:p w14:paraId="471545B5" w14:textId="42AD909C" w:rsidR="005C14F9" w:rsidRDefault="00BE4475" w:rsidP="003A005E">
      <w:pPr>
        <w:spacing w:after="0" w:line="240" w:lineRule="auto"/>
        <w:ind w:left="284" w:right="-313"/>
        <w:rPr>
          <w:rFonts w:cs="Times New Roman"/>
          <w:szCs w:val="21"/>
        </w:rPr>
      </w:pPr>
      <w:r w:rsidRPr="00E56701">
        <w:rPr>
          <w:rFonts w:cs="Times New Roman"/>
          <w:color w:val="3A3128"/>
          <w:kern w:val="16"/>
          <w:szCs w:val="21"/>
          <w14:ligatures w14:val="standardContextual"/>
        </w:rPr>
        <w:t>4.2 Alíquotas progressivas do segurado empregado</w:t>
      </w:r>
      <w:r w:rsidRPr="00E56701">
        <w:rPr>
          <w:rFonts w:cs="Times New Roman"/>
          <w:color w:val="3A3128"/>
          <w:kern w:val="16"/>
          <w:szCs w:val="21"/>
        </w:rPr>
        <w:t xml:space="preserve"> ..........................................</w:t>
      </w:r>
      <w:r w:rsidRPr="00E56701">
        <w:rPr>
          <w:rFonts w:cs="Times New Roman"/>
          <w:szCs w:val="21"/>
        </w:rPr>
        <w:t xml:space="preserve"> 122</w:t>
      </w:r>
    </w:p>
    <w:p w14:paraId="5A7ECC5B" w14:textId="33ADD369" w:rsidR="005C14F9" w:rsidRDefault="00BE4475" w:rsidP="003A005E">
      <w:pPr>
        <w:spacing w:after="0" w:line="240" w:lineRule="auto"/>
        <w:ind w:left="284" w:right="-313"/>
        <w:rPr>
          <w:rFonts w:cs="Times New Roman"/>
          <w:szCs w:val="21"/>
        </w:rPr>
      </w:pPr>
      <w:r w:rsidRPr="00E56701">
        <w:rPr>
          <w:rFonts w:cs="Times New Roman"/>
          <w:color w:val="3A3128"/>
          <w:kern w:val="16"/>
          <w:szCs w:val="21"/>
          <w14:ligatures w14:val="standardContextual"/>
        </w:rPr>
        <w:t>4.2.1 O modelo anterior à EC 103/2019</w:t>
      </w:r>
      <w:r w:rsidRPr="00E56701">
        <w:rPr>
          <w:rFonts w:cs="Times New Roman"/>
          <w:color w:val="3A3128"/>
          <w:kern w:val="16"/>
          <w:szCs w:val="21"/>
        </w:rPr>
        <w:t xml:space="preserve"> ...........................................................</w:t>
      </w:r>
      <w:r w:rsidRPr="00E56701">
        <w:rPr>
          <w:rFonts w:cs="Times New Roman"/>
          <w:szCs w:val="21"/>
        </w:rPr>
        <w:t xml:space="preserve"> 122</w:t>
      </w:r>
    </w:p>
    <w:p w14:paraId="036AFBB8" w14:textId="43A3779C" w:rsidR="005C14F9" w:rsidRDefault="00BE4475" w:rsidP="003A005E">
      <w:pPr>
        <w:spacing w:after="0" w:line="240" w:lineRule="auto"/>
        <w:ind w:left="284" w:right="-313"/>
        <w:rPr>
          <w:rFonts w:cs="Times New Roman"/>
          <w:szCs w:val="21"/>
        </w:rPr>
      </w:pPr>
      <w:r w:rsidRPr="00E56701">
        <w:rPr>
          <w:rFonts w:cs="Times New Roman"/>
          <w:color w:val="3A3128"/>
          <w:kern w:val="16"/>
          <w:szCs w:val="21"/>
          <w14:ligatures w14:val="standardContextual"/>
        </w:rPr>
        <w:t>4.2.2 O modelo progressivo pós-EC 103/2019</w:t>
      </w:r>
      <w:r w:rsidRPr="00E56701">
        <w:rPr>
          <w:rFonts w:cs="Times New Roman"/>
          <w:color w:val="3A3128"/>
          <w:kern w:val="16"/>
          <w:szCs w:val="21"/>
        </w:rPr>
        <w:t xml:space="preserve"> .................................................</w:t>
      </w:r>
      <w:r w:rsidRPr="00E56701">
        <w:rPr>
          <w:rFonts w:cs="Times New Roman"/>
          <w:szCs w:val="21"/>
        </w:rPr>
        <w:t xml:space="preserve"> 123</w:t>
      </w:r>
    </w:p>
    <w:p w14:paraId="0B3E5B9D" w14:textId="511C2B1B" w:rsidR="005C14F9" w:rsidRDefault="00BE4475" w:rsidP="003A005E">
      <w:pPr>
        <w:spacing w:after="0" w:line="240" w:lineRule="auto"/>
        <w:ind w:left="284" w:right="-313"/>
        <w:rPr>
          <w:rFonts w:cs="Times New Roman"/>
          <w:szCs w:val="21"/>
        </w:rPr>
      </w:pPr>
      <w:r w:rsidRPr="00E56701">
        <w:rPr>
          <w:rFonts w:cs="Times New Roman"/>
          <w:color w:val="3A3128"/>
          <w:kern w:val="16"/>
          <w:szCs w:val="21"/>
          <w14:ligatures w14:val="standardContextual"/>
        </w:rPr>
        <w:t>4.2.3 Cálculo prático da contribuição por faixas</w:t>
      </w:r>
      <w:r w:rsidRPr="00E56701">
        <w:rPr>
          <w:rFonts w:cs="Times New Roman"/>
          <w:color w:val="3A3128"/>
          <w:kern w:val="16"/>
          <w:szCs w:val="21"/>
        </w:rPr>
        <w:t xml:space="preserve"> ...............................................</w:t>
      </w:r>
      <w:r w:rsidRPr="00E56701">
        <w:rPr>
          <w:rFonts w:cs="Times New Roman"/>
          <w:szCs w:val="21"/>
        </w:rPr>
        <w:t xml:space="preserve"> 124</w:t>
      </w:r>
    </w:p>
    <w:p w14:paraId="2DBA932E" w14:textId="25CF2CB0" w:rsidR="005C14F9" w:rsidRDefault="00BE4475" w:rsidP="003A005E">
      <w:pPr>
        <w:spacing w:after="0" w:line="240" w:lineRule="auto"/>
        <w:ind w:left="284" w:right="-313"/>
        <w:rPr>
          <w:rFonts w:cs="Times New Roman"/>
          <w:color w:val="3A3128"/>
          <w:kern w:val="16"/>
          <w:szCs w:val="21"/>
        </w:rPr>
      </w:pPr>
      <w:r w:rsidRPr="00E56701">
        <w:rPr>
          <w:rFonts w:cs="Times New Roman"/>
          <w:color w:val="3A3128"/>
          <w:kern w:val="16"/>
          <w:szCs w:val="21"/>
          <w14:ligatures w14:val="standardContextual"/>
        </w:rPr>
        <w:t>4.2.4 Alíquota efetiva máxima e mínima</w:t>
      </w:r>
      <w:r w:rsidRPr="00E56701">
        <w:rPr>
          <w:rFonts w:cs="Times New Roman"/>
          <w:color w:val="3A3128"/>
          <w:kern w:val="16"/>
          <w:szCs w:val="21"/>
        </w:rPr>
        <w:t xml:space="preserve"> ........................................................... 126</w:t>
      </w:r>
    </w:p>
    <w:p w14:paraId="1D9383F6" w14:textId="5933CA7F" w:rsidR="005C14F9" w:rsidRDefault="00BE4475" w:rsidP="003A005E">
      <w:pPr>
        <w:spacing w:after="0" w:line="240" w:lineRule="auto"/>
        <w:ind w:left="284" w:right="-313"/>
        <w:rPr>
          <w:rFonts w:cs="Times New Roman"/>
          <w:color w:val="3A3128"/>
          <w:kern w:val="16"/>
          <w:szCs w:val="21"/>
        </w:rPr>
      </w:pPr>
      <w:r w:rsidRPr="00E56701">
        <w:rPr>
          <w:rFonts w:cs="Times New Roman"/>
          <w:color w:val="3A3128"/>
          <w:kern w:val="16"/>
          <w:szCs w:val="21"/>
          <w14:ligatures w14:val="standardContextual"/>
        </w:rPr>
        <w:t>4.2.5 Vigência e regra de transição</w:t>
      </w:r>
      <w:r w:rsidRPr="00E56701">
        <w:rPr>
          <w:rFonts w:cs="Times New Roman"/>
          <w:color w:val="3A3128"/>
          <w:kern w:val="16"/>
          <w:szCs w:val="21"/>
        </w:rPr>
        <w:t xml:space="preserve"> ..................................................................... 126</w:t>
      </w:r>
    </w:p>
    <w:p w14:paraId="6F7BC246" w14:textId="7761F85A" w:rsidR="005C14F9" w:rsidRDefault="00BE4475" w:rsidP="003A005E">
      <w:pPr>
        <w:spacing w:after="0" w:line="240" w:lineRule="auto"/>
        <w:ind w:left="284" w:right="-313"/>
        <w:rPr>
          <w:rFonts w:cs="Times New Roman"/>
          <w:szCs w:val="21"/>
        </w:rPr>
      </w:pPr>
      <w:r w:rsidRPr="00E56701">
        <w:rPr>
          <w:rFonts w:cs="Times New Roman"/>
          <w:color w:val="3A3128"/>
          <w:kern w:val="16"/>
          <w:szCs w:val="21"/>
          <w14:ligatures w14:val="standardContextual"/>
        </w:rPr>
        <w:t>4.2.6 Impacto no CNIS e na prova judicial</w:t>
      </w:r>
      <w:r w:rsidRPr="00E56701">
        <w:rPr>
          <w:rFonts w:cs="Times New Roman"/>
          <w:color w:val="3A3128"/>
          <w:kern w:val="16"/>
          <w:szCs w:val="21"/>
        </w:rPr>
        <w:t xml:space="preserve"> .......................................................</w:t>
      </w:r>
      <w:r w:rsidRPr="00E56701">
        <w:rPr>
          <w:rFonts w:cs="Times New Roman"/>
          <w:szCs w:val="21"/>
        </w:rPr>
        <w:t xml:space="preserve"> 127</w:t>
      </w:r>
    </w:p>
    <w:p w14:paraId="641A385B" w14:textId="42F6F482" w:rsidR="005C14F9" w:rsidRDefault="00BE4475" w:rsidP="003A005E">
      <w:pPr>
        <w:spacing w:after="0" w:line="240" w:lineRule="auto"/>
        <w:ind w:left="284" w:right="-313"/>
        <w:rPr>
          <w:rFonts w:cs="Times New Roman"/>
          <w:color w:val="3A3128"/>
          <w:kern w:val="16"/>
          <w:szCs w:val="21"/>
        </w:rPr>
      </w:pPr>
      <w:r w:rsidRPr="00E56701">
        <w:rPr>
          <w:rFonts w:cs="Times New Roman"/>
          <w:color w:val="3A3128"/>
          <w:kern w:val="16"/>
          <w:szCs w:val="21"/>
          <w14:ligatures w14:val="standardContextual"/>
        </w:rPr>
        <w:t>4.2.7 Evolução histórica das alíquotas do empregado</w:t>
      </w:r>
      <w:r w:rsidRPr="00E56701">
        <w:rPr>
          <w:rFonts w:cs="Times New Roman"/>
          <w:color w:val="3A3128"/>
          <w:kern w:val="16"/>
          <w:szCs w:val="21"/>
        </w:rPr>
        <w:t xml:space="preserve"> ....................................... 127</w:t>
      </w:r>
    </w:p>
    <w:p w14:paraId="56EA4CB9" w14:textId="42596F69" w:rsidR="005C14F9" w:rsidRDefault="00BE4475" w:rsidP="003A005E">
      <w:pPr>
        <w:spacing w:after="0" w:line="240" w:lineRule="auto"/>
        <w:ind w:left="284" w:right="-313"/>
        <w:rPr>
          <w:rFonts w:cs="Times New Roman"/>
          <w:color w:val="3A3128"/>
          <w:kern w:val="16"/>
          <w:szCs w:val="21"/>
        </w:rPr>
      </w:pPr>
      <w:r w:rsidRPr="00E56701">
        <w:rPr>
          <w:rFonts w:cs="Times New Roman"/>
          <w:color w:val="3A3128"/>
          <w:kern w:val="16"/>
          <w:szCs w:val="21"/>
          <w14:ligatures w14:val="standardContextual"/>
        </w:rPr>
        <w:t>4.3 Contribuição patronal, RAT e FAP</w:t>
      </w:r>
      <w:r w:rsidRPr="00E56701">
        <w:rPr>
          <w:rFonts w:cs="Times New Roman"/>
          <w:color w:val="3A3128"/>
          <w:kern w:val="16"/>
          <w:szCs w:val="21"/>
        </w:rPr>
        <w:t xml:space="preserve"> ............................................................ 128</w:t>
      </w:r>
    </w:p>
    <w:p w14:paraId="2941B885" w14:textId="1A0B6484" w:rsidR="005C14F9" w:rsidRDefault="00BE4475" w:rsidP="003A005E">
      <w:pPr>
        <w:spacing w:after="0" w:line="240" w:lineRule="auto"/>
        <w:ind w:left="284" w:right="-313"/>
        <w:rPr>
          <w:rFonts w:cs="Times New Roman"/>
          <w:szCs w:val="21"/>
        </w:rPr>
      </w:pPr>
      <w:r w:rsidRPr="00E56701">
        <w:rPr>
          <w:rFonts w:cs="Times New Roman"/>
          <w:color w:val="3A3128"/>
          <w:kern w:val="16"/>
          <w:szCs w:val="21"/>
          <w14:ligatures w14:val="standardContextual"/>
        </w:rPr>
        <w:t>4.3.1 Estrutura da contribuição do empregador</w:t>
      </w:r>
      <w:r w:rsidRPr="00E56701">
        <w:rPr>
          <w:rFonts w:cs="Times New Roman"/>
          <w:color w:val="3A3128"/>
          <w:kern w:val="16"/>
          <w:szCs w:val="21"/>
        </w:rPr>
        <w:t xml:space="preserve"> ...............................................</w:t>
      </w:r>
      <w:r w:rsidRPr="00E56701">
        <w:rPr>
          <w:rFonts w:cs="Times New Roman"/>
          <w:szCs w:val="21"/>
        </w:rPr>
        <w:t xml:space="preserve"> 128</w:t>
      </w:r>
    </w:p>
    <w:p w14:paraId="76C5E2C0" w14:textId="3CD85BC0" w:rsidR="005C14F9" w:rsidRDefault="00BE4475" w:rsidP="003A005E">
      <w:pPr>
        <w:spacing w:after="0" w:line="240" w:lineRule="auto"/>
        <w:ind w:left="284" w:right="-313"/>
        <w:rPr>
          <w:rFonts w:cs="Times New Roman"/>
          <w:color w:val="3A3128"/>
          <w:kern w:val="16"/>
          <w:szCs w:val="21"/>
        </w:rPr>
      </w:pPr>
      <w:r w:rsidRPr="00E56701">
        <w:rPr>
          <w:rFonts w:cs="Times New Roman"/>
          <w:color w:val="3A3128"/>
          <w:kern w:val="16"/>
          <w:szCs w:val="21"/>
          <w14:ligatures w14:val="standardContextual"/>
        </w:rPr>
        <w:lastRenderedPageBreak/>
        <w:t>4.3.2 RAT: graus de risco e enquadramento</w:t>
      </w:r>
      <w:r w:rsidRPr="00E56701">
        <w:rPr>
          <w:rFonts w:cs="Times New Roman"/>
          <w:color w:val="3A3128"/>
          <w:kern w:val="16"/>
          <w:szCs w:val="21"/>
        </w:rPr>
        <w:t xml:space="preserve"> ...................................................... 129</w:t>
      </w:r>
    </w:p>
    <w:p w14:paraId="635F21BD" w14:textId="6982238C" w:rsidR="005C14F9" w:rsidRDefault="00BE4475" w:rsidP="003A005E">
      <w:pPr>
        <w:spacing w:after="0" w:line="240" w:lineRule="auto"/>
        <w:ind w:left="284" w:right="-313"/>
        <w:rPr>
          <w:rFonts w:cs="Times New Roman"/>
          <w:szCs w:val="21"/>
        </w:rPr>
      </w:pPr>
      <w:r w:rsidRPr="00E56701">
        <w:rPr>
          <w:rFonts w:cs="Times New Roman"/>
          <w:color w:val="3A3128"/>
          <w:kern w:val="16"/>
          <w:szCs w:val="21"/>
          <w14:ligatures w14:val="standardContextual"/>
        </w:rPr>
        <w:t>4.3.3 FAP — fator acidentário de prevenção</w:t>
      </w:r>
      <w:r w:rsidRPr="00E56701">
        <w:rPr>
          <w:rFonts w:cs="Times New Roman"/>
          <w:color w:val="3A3128"/>
          <w:kern w:val="16"/>
          <w:szCs w:val="21"/>
        </w:rPr>
        <w:t xml:space="preserve"> .....................................................</w:t>
      </w:r>
      <w:r w:rsidRPr="00E56701">
        <w:rPr>
          <w:rFonts w:cs="Times New Roman"/>
          <w:szCs w:val="21"/>
        </w:rPr>
        <w:t xml:space="preserve"> 130</w:t>
      </w:r>
    </w:p>
    <w:p w14:paraId="02EFFB3E" w14:textId="4C1E9626" w:rsidR="005C14F9" w:rsidRDefault="00BE4475" w:rsidP="003A005E">
      <w:pPr>
        <w:spacing w:after="0" w:line="240" w:lineRule="auto"/>
        <w:ind w:left="284" w:right="-313"/>
        <w:rPr>
          <w:rFonts w:cs="Times New Roman"/>
          <w:szCs w:val="21"/>
        </w:rPr>
      </w:pPr>
      <w:r w:rsidRPr="00E56701">
        <w:rPr>
          <w:rFonts w:cs="Times New Roman"/>
          <w:color w:val="3A3128"/>
          <w:kern w:val="16"/>
          <w:szCs w:val="21"/>
          <w14:ligatures w14:val="standardContextual"/>
        </w:rPr>
        <w:t>4.3.4 RAT ajustado e aposentadoria especial</w:t>
      </w:r>
      <w:r w:rsidRPr="00E56701">
        <w:rPr>
          <w:rFonts w:cs="Times New Roman"/>
          <w:color w:val="3A3128"/>
          <w:kern w:val="16"/>
          <w:szCs w:val="21"/>
        </w:rPr>
        <w:t xml:space="preserve"> ....................................................</w:t>
      </w:r>
      <w:r w:rsidRPr="00E56701">
        <w:rPr>
          <w:rFonts w:cs="Times New Roman"/>
          <w:szCs w:val="21"/>
        </w:rPr>
        <w:t xml:space="preserve"> 131</w:t>
      </w:r>
    </w:p>
    <w:p w14:paraId="66243D39" w14:textId="0454BA95" w:rsidR="005C14F9" w:rsidRDefault="00BE4475" w:rsidP="003A005E">
      <w:pPr>
        <w:spacing w:after="0" w:line="240" w:lineRule="auto"/>
        <w:ind w:left="284" w:right="-313"/>
        <w:rPr>
          <w:rFonts w:cs="Times New Roman"/>
          <w:szCs w:val="21"/>
        </w:rPr>
      </w:pPr>
      <w:r w:rsidRPr="00E56701">
        <w:rPr>
          <w:rFonts w:cs="Times New Roman"/>
          <w:color w:val="3A3128"/>
          <w:kern w:val="16"/>
          <w:szCs w:val="21"/>
          <w14:ligatures w14:val="standardContextual"/>
        </w:rPr>
        <w:t>4.3.5 Contribuição patronal sobre a remuneração de contribuintes individuais</w:t>
      </w:r>
      <w:r w:rsidRPr="00E56701">
        <w:rPr>
          <w:rFonts w:cs="Times New Roman"/>
          <w:color w:val="3A3128"/>
          <w:kern w:val="16"/>
          <w:szCs w:val="21"/>
        </w:rPr>
        <w:t xml:space="preserve"> </w:t>
      </w:r>
      <w:r w:rsidR="005C14F9">
        <w:rPr>
          <w:rFonts w:cs="Times New Roman"/>
          <w:color w:val="3A3128"/>
          <w:kern w:val="16"/>
          <w:szCs w:val="21"/>
        </w:rPr>
        <w:t>.............................................................................................................................</w:t>
      </w:r>
      <w:r w:rsidRPr="00E56701">
        <w:rPr>
          <w:rFonts w:cs="Times New Roman"/>
          <w:szCs w:val="21"/>
        </w:rPr>
        <w:t xml:space="preserve"> 132</w:t>
      </w:r>
    </w:p>
    <w:p w14:paraId="7288FD65" w14:textId="389A8D8A" w:rsidR="005C14F9" w:rsidRDefault="00BE4475" w:rsidP="003A005E">
      <w:pPr>
        <w:spacing w:after="0" w:line="240" w:lineRule="auto"/>
        <w:ind w:left="284" w:right="-313"/>
        <w:rPr>
          <w:rFonts w:cs="Times New Roman"/>
          <w:szCs w:val="21"/>
        </w:rPr>
      </w:pPr>
      <w:r w:rsidRPr="00E56701">
        <w:rPr>
          <w:rFonts w:cs="Times New Roman"/>
          <w:color w:val="3A3128"/>
          <w:kern w:val="16"/>
          <w:szCs w:val="21"/>
          <w14:ligatures w14:val="standardContextual"/>
        </w:rPr>
        <w:t>4.3.6 Contribuição sobre a receita bruta: COFINS e PIS</w:t>
      </w:r>
      <w:r w:rsidRPr="00E56701">
        <w:rPr>
          <w:rFonts w:cs="Times New Roman"/>
          <w:color w:val="3A3128"/>
          <w:kern w:val="16"/>
          <w:szCs w:val="21"/>
        </w:rPr>
        <w:t xml:space="preserve"> .................................</w:t>
      </w:r>
      <w:r w:rsidRPr="00E56701">
        <w:rPr>
          <w:rFonts w:cs="Times New Roman"/>
          <w:szCs w:val="21"/>
        </w:rPr>
        <w:t xml:space="preserve"> 133</w:t>
      </w:r>
    </w:p>
    <w:p w14:paraId="24DDA55A" w14:textId="529B6E77" w:rsidR="005C14F9" w:rsidRDefault="00BE4475" w:rsidP="003A005E">
      <w:pPr>
        <w:spacing w:after="0" w:line="240" w:lineRule="auto"/>
        <w:ind w:left="284" w:right="-313"/>
        <w:rPr>
          <w:rFonts w:cs="Times New Roman"/>
          <w:szCs w:val="21"/>
        </w:rPr>
      </w:pPr>
      <w:r w:rsidRPr="00E56701">
        <w:rPr>
          <w:rFonts w:cs="Times New Roman"/>
          <w:color w:val="3A3128"/>
          <w:kern w:val="16"/>
          <w:szCs w:val="21"/>
          <w14:ligatures w14:val="standardContextual"/>
        </w:rPr>
        <w:t>4.4 Desoneração da folha de pagamento e CPRB</w:t>
      </w:r>
      <w:r w:rsidRPr="00E56701">
        <w:rPr>
          <w:rFonts w:cs="Times New Roman"/>
          <w:color w:val="3A3128"/>
          <w:kern w:val="16"/>
          <w:szCs w:val="21"/>
        </w:rPr>
        <w:t xml:space="preserve"> ..............................................</w:t>
      </w:r>
      <w:r w:rsidRPr="00E56701">
        <w:rPr>
          <w:rFonts w:cs="Times New Roman"/>
          <w:szCs w:val="21"/>
        </w:rPr>
        <w:t xml:space="preserve"> 133</w:t>
      </w:r>
    </w:p>
    <w:p w14:paraId="21DB8AC5" w14:textId="78ECE2FA" w:rsidR="005C14F9" w:rsidRDefault="00BE4475" w:rsidP="003A005E">
      <w:pPr>
        <w:spacing w:after="0" w:line="240" w:lineRule="auto"/>
        <w:ind w:left="284" w:right="-313"/>
        <w:rPr>
          <w:rFonts w:cs="Times New Roman"/>
          <w:szCs w:val="21"/>
        </w:rPr>
      </w:pPr>
      <w:r w:rsidRPr="00E56701">
        <w:rPr>
          <w:rFonts w:cs="Times New Roman"/>
          <w:color w:val="3A3128"/>
          <w:kern w:val="16"/>
          <w:szCs w:val="21"/>
          <w14:ligatures w14:val="standardContextual"/>
        </w:rPr>
        <w:t>4.4.1 Conceito e fundamento legal</w:t>
      </w:r>
      <w:r w:rsidRPr="00E56701">
        <w:rPr>
          <w:rFonts w:cs="Times New Roman"/>
          <w:color w:val="3A3128"/>
          <w:kern w:val="16"/>
          <w:szCs w:val="21"/>
        </w:rPr>
        <w:t xml:space="preserve"> ....................................................................</w:t>
      </w:r>
      <w:r w:rsidRPr="00E56701">
        <w:rPr>
          <w:rFonts w:cs="Times New Roman"/>
          <w:szCs w:val="21"/>
        </w:rPr>
        <w:t xml:space="preserve"> 133</w:t>
      </w:r>
    </w:p>
    <w:p w14:paraId="5DF1C686" w14:textId="7CE67365" w:rsidR="005C14F9" w:rsidRDefault="00BE4475" w:rsidP="003A005E">
      <w:pPr>
        <w:spacing w:after="0" w:line="240" w:lineRule="auto"/>
        <w:ind w:left="284" w:right="-313"/>
        <w:rPr>
          <w:rFonts w:cs="Times New Roman"/>
          <w:szCs w:val="21"/>
        </w:rPr>
      </w:pPr>
      <w:r w:rsidRPr="00E56701">
        <w:rPr>
          <w:rFonts w:cs="Times New Roman"/>
          <w:color w:val="3A3128"/>
          <w:kern w:val="16"/>
          <w:szCs w:val="21"/>
          <w14:ligatures w14:val="standardContextual"/>
        </w:rPr>
        <w:t>4.4.2 Alíquotas e setores beneficiados</w:t>
      </w:r>
      <w:r w:rsidRPr="00E56701">
        <w:rPr>
          <w:rFonts w:cs="Times New Roman"/>
          <w:color w:val="3A3128"/>
          <w:kern w:val="16"/>
          <w:szCs w:val="21"/>
        </w:rPr>
        <w:t xml:space="preserve"> ..............................................................</w:t>
      </w:r>
      <w:r w:rsidR="005C14F9">
        <w:rPr>
          <w:rFonts w:cs="Times New Roman"/>
          <w:color w:val="3A3128"/>
          <w:kern w:val="16"/>
          <w:szCs w:val="21"/>
        </w:rPr>
        <w:t>.</w:t>
      </w:r>
      <w:r w:rsidRPr="00E56701">
        <w:rPr>
          <w:rFonts w:cs="Times New Roman"/>
          <w:szCs w:val="21"/>
        </w:rPr>
        <w:t xml:space="preserve"> 134</w:t>
      </w:r>
    </w:p>
    <w:p w14:paraId="2FCED747" w14:textId="2D6A06CA" w:rsidR="005C14F9" w:rsidRDefault="00BE4475" w:rsidP="003A005E">
      <w:pPr>
        <w:spacing w:after="0" w:line="240" w:lineRule="auto"/>
        <w:ind w:left="284" w:right="-313"/>
        <w:rPr>
          <w:rFonts w:cs="Times New Roman"/>
          <w:color w:val="3A3128"/>
          <w:kern w:val="16"/>
          <w:szCs w:val="21"/>
        </w:rPr>
      </w:pPr>
      <w:r w:rsidRPr="00E56701">
        <w:rPr>
          <w:rFonts w:cs="Times New Roman"/>
          <w:color w:val="3A3128"/>
          <w:kern w:val="16"/>
          <w:szCs w:val="21"/>
          <w14:ligatures w14:val="standardContextual"/>
        </w:rPr>
        <w:t>4.4.3 Impacto da desoneração no CNIS e nos benefícios</w:t>
      </w:r>
      <w:r w:rsidRPr="00E56701">
        <w:rPr>
          <w:rFonts w:cs="Times New Roman"/>
          <w:color w:val="3A3128"/>
          <w:kern w:val="16"/>
          <w:szCs w:val="21"/>
        </w:rPr>
        <w:t xml:space="preserve"> ................................. 135</w:t>
      </w:r>
    </w:p>
    <w:p w14:paraId="48126E74" w14:textId="153C328F" w:rsidR="005C14F9" w:rsidRDefault="00BE4475" w:rsidP="003A005E">
      <w:pPr>
        <w:spacing w:after="0" w:line="240" w:lineRule="auto"/>
        <w:ind w:left="284" w:right="-313"/>
        <w:rPr>
          <w:rFonts w:cs="Times New Roman"/>
          <w:szCs w:val="21"/>
        </w:rPr>
      </w:pPr>
      <w:r w:rsidRPr="00E56701">
        <w:rPr>
          <w:rFonts w:cs="Times New Roman"/>
          <w:color w:val="3A3128"/>
          <w:kern w:val="16"/>
          <w:szCs w:val="21"/>
          <w14:ligatures w14:val="standardContextual"/>
        </w:rPr>
        <w:t>4.4.4 Relevância para o segurado</w:t>
      </w:r>
      <w:r w:rsidRPr="00E56701">
        <w:rPr>
          <w:rFonts w:cs="Times New Roman"/>
          <w:color w:val="3A3128"/>
          <w:kern w:val="16"/>
          <w:szCs w:val="21"/>
        </w:rPr>
        <w:t xml:space="preserve"> .......................................................................</w:t>
      </w:r>
      <w:r w:rsidRPr="00E56701">
        <w:rPr>
          <w:rFonts w:cs="Times New Roman"/>
          <w:szCs w:val="21"/>
        </w:rPr>
        <w:t xml:space="preserve"> 135</w:t>
      </w:r>
    </w:p>
    <w:p w14:paraId="5CCECC0D" w14:textId="56C73949" w:rsidR="005C14F9" w:rsidRDefault="00BE4475" w:rsidP="003A005E">
      <w:pPr>
        <w:spacing w:after="0" w:line="240" w:lineRule="auto"/>
        <w:ind w:left="284" w:right="-313"/>
        <w:rPr>
          <w:rFonts w:cs="Times New Roman"/>
          <w:color w:val="3A3128"/>
          <w:kern w:val="16"/>
          <w:szCs w:val="21"/>
        </w:rPr>
      </w:pPr>
      <w:r w:rsidRPr="00E56701">
        <w:rPr>
          <w:rFonts w:cs="Times New Roman"/>
          <w:color w:val="3A3128"/>
          <w:kern w:val="16"/>
          <w:szCs w:val="21"/>
          <w14:ligatures w14:val="standardContextual"/>
        </w:rPr>
        <w:t>4.5 Contribuição do contribuinte individual</w:t>
      </w:r>
      <w:r w:rsidRPr="00E56701">
        <w:rPr>
          <w:rFonts w:cs="Times New Roman"/>
          <w:color w:val="3A3128"/>
          <w:kern w:val="16"/>
          <w:szCs w:val="21"/>
        </w:rPr>
        <w:t xml:space="preserve"> ................................................... 136</w:t>
      </w:r>
    </w:p>
    <w:p w14:paraId="1C624E1B" w14:textId="5C791642" w:rsidR="005C14F9" w:rsidRDefault="00BE4475" w:rsidP="003A005E">
      <w:pPr>
        <w:spacing w:after="0" w:line="240" w:lineRule="auto"/>
        <w:ind w:left="284" w:right="-313"/>
        <w:rPr>
          <w:rFonts w:cs="Times New Roman"/>
          <w:szCs w:val="21"/>
        </w:rPr>
      </w:pPr>
      <w:r w:rsidRPr="00E56701">
        <w:rPr>
          <w:rFonts w:cs="Times New Roman"/>
          <w:color w:val="3A3128"/>
          <w:kern w:val="16"/>
          <w:szCs w:val="21"/>
          <w14:ligatures w14:val="standardContextual"/>
        </w:rPr>
        <w:t>4.5.1 Regra geral: 20% sobre a remuneração</w:t>
      </w:r>
      <w:r w:rsidRPr="00E56701">
        <w:rPr>
          <w:rFonts w:cs="Times New Roman"/>
          <w:color w:val="3A3128"/>
          <w:kern w:val="16"/>
          <w:szCs w:val="21"/>
        </w:rPr>
        <w:t xml:space="preserve"> .....................................................</w:t>
      </w:r>
      <w:r w:rsidR="005C14F9">
        <w:rPr>
          <w:rFonts w:cs="Times New Roman"/>
          <w:color w:val="3A3128"/>
          <w:kern w:val="16"/>
          <w:szCs w:val="21"/>
        </w:rPr>
        <w:t>.</w:t>
      </w:r>
      <w:r w:rsidRPr="00E56701">
        <w:rPr>
          <w:rFonts w:cs="Times New Roman"/>
          <w:color w:val="3A3128"/>
          <w:kern w:val="16"/>
          <w:szCs w:val="21"/>
        </w:rPr>
        <w:t xml:space="preserve"> 136</w:t>
      </w:r>
      <w:r w:rsidRPr="00E56701">
        <w:rPr>
          <w:rFonts w:cs="Times New Roman"/>
          <w:szCs w:val="21"/>
        </w:rPr>
        <w:t xml:space="preserve"> </w:t>
      </w:r>
    </w:p>
    <w:p w14:paraId="1CE12E5F" w14:textId="6999D5D3" w:rsidR="005C14F9" w:rsidRDefault="00BE4475" w:rsidP="003A005E">
      <w:pPr>
        <w:spacing w:after="0" w:line="240" w:lineRule="auto"/>
        <w:ind w:left="284" w:right="-313"/>
        <w:rPr>
          <w:rFonts w:cs="Times New Roman"/>
          <w:szCs w:val="21"/>
        </w:rPr>
      </w:pPr>
      <w:r w:rsidRPr="00E56701">
        <w:rPr>
          <w:rFonts w:cs="Times New Roman"/>
          <w:color w:val="3A3128"/>
          <w:kern w:val="16"/>
          <w:szCs w:val="21"/>
          <w14:ligatures w14:val="standardContextual"/>
        </w:rPr>
        <w:t>4.5.2 Plano simplificado: 11% sobre o salário-mínimo</w:t>
      </w:r>
      <w:r w:rsidRPr="00E56701">
        <w:rPr>
          <w:rFonts w:cs="Times New Roman"/>
          <w:color w:val="3A3128"/>
          <w:kern w:val="16"/>
          <w:szCs w:val="21"/>
        </w:rPr>
        <w:t xml:space="preserve"> ......................................</w:t>
      </w:r>
      <w:r w:rsidRPr="00E56701">
        <w:rPr>
          <w:rFonts w:cs="Times New Roman"/>
          <w:szCs w:val="21"/>
        </w:rPr>
        <w:t xml:space="preserve"> 137</w:t>
      </w:r>
    </w:p>
    <w:p w14:paraId="0F60658E" w14:textId="33AB534B" w:rsidR="005C14F9" w:rsidRDefault="00BE4475" w:rsidP="003A005E">
      <w:pPr>
        <w:spacing w:after="0" w:line="240" w:lineRule="auto"/>
        <w:ind w:left="284" w:right="-313"/>
        <w:rPr>
          <w:rFonts w:cs="Times New Roman"/>
          <w:color w:val="3A3128"/>
          <w:kern w:val="16"/>
          <w:szCs w:val="21"/>
        </w:rPr>
      </w:pPr>
      <w:r w:rsidRPr="00E56701">
        <w:rPr>
          <w:rFonts w:cs="Times New Roman"/>
          <w:color w:val="3A3128"/>
          <w:kern w:val="16"/>
          <w:szCs w:val="21"/>
          <w14:ligatures w14:val="standardContextual"/>
        </w:rPr>
        <w:t>4.5.3 Quem pode optar pelo plano simplificado</w:t>
      </w:r>
      <w:r w:rsidRPr="00E56701">
        <w:rPr>
          <w:rFonts w:cs="Times New Roman"/>
          <w:color w:val="3A3128"/>
          <w:kern w:val="16"/>
          <w:szCs w:val="21"/>
        </w:rPr>
        <w:t xml:space="preserve"> ..............................................</w:t>
      </w:r>
      <w:r w:rsidR="005C14F9">
        <w:rPr>
          <w:rFonts w:cs="Times New Roman"/>
          <w:color w:val="3A3128"/>
          <w:kern w:val="16"/>
          <w:szCs w:val="21"/>
        </w:rPr>
        <w:t>.</w:t>
      </w:r>
      <w:r w:rsidRPr="00E56701">
        <w:rPr>
          <w:rFonts w:cs="Times New Roman"/>
          <w:color w:val="3A3128"/>
          <w:kern w:val="16"/>
          <w:szCs w:val="21"/>
        </w:rPr>
        <w:t xml:space="preserve"> 137</w:t>
      </w:r>
    </w:p>
    <w:p w14:paraId="4E5F9C0E" w14:textId="5CC18560" w:rsidR="005C14F9" w:rsidRDefault="00BE4475" w:rsidP="003A005E">
      <w:pPr>
        <w:spacing w:after="0" w:line="240" w:lineRule="auto"/>
        <w:ind w:left="284" w:right="-313"/>
        <w:rPr>
          <w:rFonts w:cs="Times New Roman"/>
          <w:color w:val="3A3128"/>
          <w:kern w:val="16"/>
          <w:szCs w:val="21"/>
        </w:rPr>
      </w:pPr>
      <w:r w:rsidRPr="00E56701">
        <w:rPr>
          <w:rFonts w:cs="Times New Roman"/>
          <w:color w:val="3A3128"/>
          <w:kern w:val="16"/>
          <w:szCs w:val="21"/>
          <w14:ligatures w14:val="standardContextual"/>
        </w:rPr>
        <w:t>4.5.4 Tabela comparativa: planos do contribuinte individual</w:t>
      </w:r>
      <w:r w:rsidRPr="00E56701">
        <w:rPr>
          <w:rFonts w:cs="Times New Roman"/>
          <w:color w:val="3A3128"/>
          <w:kern w:val="16"/>
          <w:szCs w:val="21"/>
        </w:rPr>
        <w:t xml:space="preserve"> ........................... 137</w:t>
      </w:r>
    </w:p>
    <w:p w14:paraId="7EF7AA7D" w14:textId="4945910E" w:rsidR="005C14F9" w:rsidRDefault="00BE4475" w:rsidP="003A005E">
      <w:pPr>
        <w:spacing w:after="0" w:line="240" w:lineRule="auto"/>
        <w:ind w:left="284" w:right="-313"/>
        <w:rPr>
          <w:rFonts w:cs="Times New Roman"/>
          <w:color w:val="3A3128"/>
          <w:kern w:val="16"/>
          <w:szCs w:val="21"/>
        </w:rPr>
      </w:pPr>
      <w:r w:rsidRPr="00E56701">
        <w:rPr>
          <w:rFonts w:cs="Times New Roman"/>
          <w:color w:val="3A3128"/>
          <w:kern w:val="16"/>
          <w:szCs w:val="21"/>
          <w14:ligatures w14:val="standardContextual"/>
        </w:rPr>
        <w:t>4.6 Retenção de 11% sobre o CI e cessão de mão de obra</w:t>
      </w:r>
      <w:r w:rsidRPr="00E56701">
        <w:rPr>
          <w:rFonts w:cs="Times New Roman"/>
          <w:color w:val="3A3128"/>
          <w:kern w:val="16"/>
          <w:szCs w:val="21"/>
        </w:rPr>
        <w:t xml:space="preserve"> .................................. 138</w:t>
      </w:r>
    </w:p>
    <w:p w14:paraId="7DB12B9E" w14:textId="6F46B256" w:rsidR="005C14F9" w:rsidRDefault="00BE4475" w:rsidP="003A005E">
      <w:pPr>
        <w:spacing w:after="0" w:line="240" w:lineRule="auto"/>
        <w:ind w:left="284" w:right="-313"/>
        <w:rPr>
          <w:rFonts w:cs="Times New Roman"/>
          <w:color w:val="3A3128"/>
          <w:kern w:val="16"/>
          <w:szCs w:val="21"/>
        </w:rPr>
      </w:pPr>
      <w:r w:rsidRPr="00E56701">
        <w:rPr>
          <w:rFonts w:cs="Times New Roman"/>
          <w:color w:val="3A3128"/>
          <w:kern w:val="16"/>
          <w:szCs w:val="21"/>
          <w14:ligatures w14:val="standardContextual"/>
        </w:rPr>
        <w:t>4.6.1 Mecanismo da retenção obrigatória</w:t>
      </w:r>
      <w:r w:rsidRPr="00E56701">
        <w:rPr>
          <w:rFonts w:cs="Times New Roman"/>
          <w:color w:val="3A3128"/>
          <w:kern w:val="16"/>
          <w:szCs w:val="21"/>
        </w:rPr>
        <w:t xml:space="preserve"> .......................................................... 138</w:t>
      </w:r>
    </w:p>
    <w:p w14:paraId="4A0A0E3D" w14:textId="6FCAC003" w:rsidR="005C14F9" w:rsidRDefault="00BE4475" w:rsidP="003A005E">
      <w:pPr>
        <w:spacing w:after="0" w:line="240" w:lineRule="auto"/>
        <w:ind w:left="284" w:right="-313"/>
        <w:rPr>
          <w:rFonts w:cs="Times New Roman"/>
          <w:color w:val="3A3128"/>
          <w:kern w:val="16"/>
          <w:szCs w:val="21"/>
        </w:rPr>
      </w:pPr>
      <w:r w:rsidRPr="00E56701">
        <w:rPr>
          <w:rFonts w:cs="Times New Roman"/>
          <w:color w:val="3A3128"/>
          <w:kern w:val="16"/>
          <w:szCs w:val="21"/>
          <w14:ligatures w14:val="standardContextual"/>
        </w:rPr>
        <w:t>4.6.2 Retenção de 11% na cessão de mão de obra (art. 31, lei 8.212/91)</w:t>
      </w:r>
      <w:r w:rsidRPr="00E56701">
        <w:rPr>
          <w:rFonts w:cs="Times New Roman"/>
          <w:color w:val="3A3128"/>
          <w:kern w:val="16"/>
          <w:szCs w:val="21"/>
        </w:rPr>
        <w:t xml:space="preserve"> ........... 139</w:t>
      </w:r>
    </w:p>
    <w:p w14:paraId="09787597" w14:textId="6C73AA72" w:rsidR="005C14F9" w:rsidRDefault="00BE4475" w:rsidP="003A005E">
      <w:pPr>
        <w:spacing w:after="0" w:line="240" w:lineRule="auto"/>
        <w:ind w:left="284" w:right="-313"/>
        <w:rPr>
          <w:rFonts w:cs="Times New Roman"/>
          <w:szCs w:val="21"/>
        </w:rPr>
      </w:pPr>
      <w:r w:rsidRPr="00E56701">
        <w:rPr>
          <w:rFonts w:cs="Times New Roman"/>
          <w:color w:val="3A3128"/>
          <w:kern w:val="16"/>
          <w:szCs w:val="21"/>
          <w14:ligatures w14:val="standardContextual"/>
        </w:rPr>
        <w:t>4.6.3 Retenção e prova no JEF</w:t>
      </w:r>
      <w:r w:rsidRPr="00E56701">
        <w:rPr>
          <w:rFonts w:cs="Times New Roman"/>
          <w:color w:val="3A3128"/>
          <w:kern w:val="16"/>
          <w:szCs w:val="21"/>
        </w:rPr>
        <w:t xml:space="preserve"> ..........................................................................</w:t>
      </w:r>
      <w:r w:rsidR="005C14F9">
        <w:rPr>
          <w:rFonts w:cs="Times New Roman"/>
          <w:color w:val="3A3128"/>
          <w:kern w:val="16"/>
          <w:szCs w:val="21"/>
        </w:rPr>
        <w:t>.</w:t>
      </w:r>
      <w:r w:rsidRPr="00E56701">
        <w:rPr>
          <w:rFonts w:cs="Times New Roman"/>
          <w:szCs w:val="21"/>
        </w:rPr>
        <w:t xml:space="preserve"> 140</w:t>
      </w:r>
    </w:p>
    <w:p w14:paraId="2F58D82D" w14:textId="758E42AF" w:rsidR="005C14F9" w:rsidRDefault="00BE4475" w:rsidP="003A005E">
      <w:pPr>
        <w:spacing w:after="0" w:line="240" w:lineRule="auto"/>
        <w:ind w:left="284" w:right="-313"/>
        <w:rPr>
          <w:rFonts w:cs="Times New Roman"/>
          <w:szCs w:val="21"/>
        </w:rPr>
      </w:pPr>
      <w:r w:rsidRPr="00E56701">
        <w:rPr>
          <w:rFonts w:cs="Times New Roman"/>
          <w:color w:val="3A3128"/>
          <w:kern w:val="16"/>
          <w:szCs w:val="21"/>
          <w14:ligatures w14:val="standardContextual"/>
        </w:rPr>
        <w:t>4.7 MEI — microempreendedor individual</w:t>
      </w:r>
      <w:r w:rsidRPr="00E56701">
        <w:rPr>
          <w:rFonts w:cs="Times New Roman"/>
          <w:color w:val="3A3128"/>
          <w:kern w:val="16"/>
          <w:szCs w:val="21"/>
        </w:rPr>
        <w:t xml:space="preserve"> ......................................................</w:t>
      </w:r>
      <w:r w:rsidRPr="00E56701">
        <w:rPr>
          <w:rFonts w:cs="Times New Roman"/>
          <w:szCs w:val="21"/>
        </w:rPr>
        <w:t xml:space="preserve"> 141</w:t>
      </w:r>
    </w:p>
    <w:p w14:paraId="0AF78F5C" w14:textId="074DA1C8" w:rsidR="005C14F9" w:rsidRDefault="00BE4475" w:rsidP="003A005E">
      <w:pPr>
        <w:spacing w:after="0" w:line="240" w:lineRule="auto"/>
        <w:ind w:left="284" w:right="-313"/>
        <w:rPr>
          <w:rFonts w:cs="Times New Roman"/>
          <w:color w:val="3A3128"/>
          <w:kern w:val="16"/>
          <w:szCs w:val="21"/>
        </w:rPr>
      </w:pPr>
      <w:r w:rsidRPr="00E56701">
        <w:rPr>
          <w:rFonts w:cs="Times New Roman"/>
          <w:color w:val="3A3128"/>
          <w:kern w:val="16"/>
          <w:szCs w:val="21"/>
          <w14:ligatures w14:val="standardContextual"/>
        </w:rPr>
        <w:t>4.7.1 Enquadramento e alíquota diferenciada</w:t>
      </w:r>
      <w:r w:rsidRPr="00E56701">
        <w:rPr>
          <w:rFonts w:cs="Times New Roman"/>
          <w:color w:val="3A3128"/>
          <w:kern w:val="16"/>
          <w:szCs w:val="21"/>
        </w:rPr>
        <w:t xml:space="preserve"> .................................................. 141</w:t>
      </w:r>
    </w:p>
    <w:p w14:paraId="1A8AEB74" w14:textId="5441C924" w:rsidR="005C14F9" w:rsidRDefault="00BE4475" w:rsidP="003A005E">
      <w:pPr>
        <w:spacing w:after="0" w:line="240" w:lineRule="auto"/>
        <w:ind w:left="284" w:right="-313"/>
        <w:rPr>
          <w:rFonts w:cs="Times New Roman"/>
          <w:color w:val="3A3128"/>
          <w:kern w:val="16"/>
          <w:szCs w:val="21"/>
        </w:rPr>
      </w:pPr>
      <w:r w:rsidRPr="00E56701">
        <w:rPr>
          <w:rFonts w:cs="Times New Roman"/>
          <w:color w:val="3A3128"/>
          <w:kern w:val="16"/>
          <w:szCs w:val="21"/>
          <w14:ligatures w14:val="standardContextual"/>
        </w:rPr>
        <w:t>4.7.2 Requisitos para enquadramento como MEI</w:t>
      </w:r>
      <w:r w:rsidRPr="00E56701">
        <w:rPr>
          <w:rFonts w:cs="Times New Roman"/>
          <w:color w:val="3A3128"/>
          <w:kern w:val="16"/>
          <w:szCs w:val="21"/>
        </w:rPr>
        <w:t xml:space="preserve"> ............................................ 141</w:t>
      </w:r>
    </w:p>
    <w:p w14:paraId="61150A76" w14:textId="0F59EACC" w:rsidR="005C14F9" w:rsidRDefault="00BE4475" w:rsidP="003A005E">
      <w:pPr>
        <w:spacing w:after="0" w:line="240" w:lineRule="auto"/>
        <w:ind w:left="284" w:right="-313"/>
        <w:rPr>
          <w:rFonts w:cs="Times New Roman"/>
          <w:color w:val="3A3128"/>
          <w:kern w:val="16"/>
          <w:szCs w:val="21"/>
        </w:rPr>
      </w:pPr>
      <w:r w:rsidRPr="00E56701">
        <w:rPr>
          <w:rFonts w:cs="Times New Roman"/>
          <w:color w:val="3A3128"/>
          <w:kern w:val="16"/>
          <w:szCs w:val="21"/>
          <w14:ligatures w14:val="standardContextual"/>
        </w:rPr>
        <w:t>4.7.3 Cobertura previdenciária reduzida</w:t>
      </w:r>
      <w:r w:rsidRPr="00E56701">
        <w:rPr>
          <w:rFonts w:cs="Times New Roman"/>
          <w:color w:val="3A3128"/>
          <w:kern w:val="16"/>
          <w:szCs w:val="21"/>
        </w:rPr>
        <w:t xml:space="preserve"> ........................................................... 141</w:t>
      </w:r>
    </w:p>
    <w:p w14:paraId="4676FCAA" w14:textId="2D7773A8" w:rsidR="005C14F9" w:rsidRDefault="00BE4475" w:rsidP="003A005E">
      <w:pPr>
        <w:spacing w:after="0" w:line="240" w:lineRule="auto"/>
        <w:ind w:left="284" w:right="-313"/>
        <w:rPr>
          <w:rFonts w:cs="Times New Roman"/>
          <w:szCs w:val="21"/>
        </w:rPr>
      </w:pPr>
      <w:r w:rsidRPr="00E56701">
        <w:rPr>
          <w:rFonts w:cs="Times New Roman"/>
          <w:color w:val="3A3128"/>
          <w:kern w:val="16"/>
          <w:szCs w:val="21"/>
          <w14:ligatures w14:val="standardContextual"/>
        </w:rPr>
        <w:t>4.7.4 Complementação para cômputo de tempo de contribuição</w:t>
      </w:r>
      <w:r w:rsidRPr="00E56701">
        <w:rPr>
          <w:rFonts w:cs="Times New Roman"/>
          <w:color w:val="3A3128"/>
          <w:kern w:val="16"/>
          <w:szCs w:val="21"/>
        </w:rPr>
        <w:t xml:space="preserve"> ...................</w:t>
      </w:r>
      <w:r w:rsidRPr="00E56701">
        <w:rPr>
          <w:rFonts w:cs="Times New Roman"/>
          <w:szCs w:val="21"/>
        </w:rPr>
        <w:t xml:space="preserve"> 142</w:t>
      </w:r>
    </w:p>
    <w:p w14:paraId="55FFCC22" w14:textId="352D7122" w:rsidR="005C14F9" w:rsidRDefault="00BE4475" w:rsidP="003A005E">
      <w:pPr>
        <w:spacing w:after="0" w:line="240" w:lineRule="auto"/>
        <w:ind w:left="284" w:right="-313"/>
        <w:rPr>
          <w:rFonts w:cs="Times New Roman"/>
          <w:color w:val="3A3128"/>
          <w:kern w:val="16"/>
          <w:szCs w:val="21"/>
        </w:rPr>
      </w:pPr>
      <w:r w:rsidRPr="00E56701">
        <w:rPr>
          <w:rFonts w:cs="Times New Roman"/>
          <w:color w:val="3A3128"/>
          <w:kern w:val="16"/>
          <w:szCs w:val="21"/>
          <w14:ligatures w14:val="standardContextual"/>
        </w:rPr>
        <w:t>4.7.5 MEI caminhoneiro</w:t>
      </w:r>
      <w:r w:rsidRPr="00E56701">
        <w:rPr>
          <w:rFonts w:cs="Times New Roman"/>
          <w:color w:val="3A3128"/>
          <w:kern w:val="16"/>
          <w:szCs w:val="21"/>
        </w:rPr>
        <w:t xml:space="preserve"> ..................................................................................</w:t>
      </w:r>
      <w:r w:rsidR="005C14F9">
        <w:rPr>
          <w:rFonts w:cs="Times New Roman"/>
          <w:color w:val="3A3128"/>
          <w:kern w:val="16"/>
          <w:szCs w:val="21"/>
        </w:rPr>
        <w:t>..</w:t>
      </w:r>
      <w:r w:rsidRPr="00E56701">
        <w:rPr>
          <w:rFonts w:cs="Times New Roman"/>
          <w:color w:val="3A3128"/>
          <w:kern w:val="16"/>
          <w:szCs w:val="21"/>
        </w:rPr>
        <w:t>143</w:t>
      </w:r>
    </w:p>
    <w:p w14:paraId="7FAEE9F5" w14:textId="2B1A1CC9" w:rsidR="005C14F9" w:rsidRDefault="00BE4475" w:rsidP="003A005E">
      <w:pPr>
        <w:spacing w:after="0" w:line="240" w:lineRule="auto"/>
        <w:ind w:left="284" w:right="-313"/>
        <w:rPr>
          <w:rFonts w:cs="Times New Roman"/>
          <w:color w:val="3A3128"/>
          <w:kern w:val="16"/>
          <w:szCs w:val="21"/>
        </w:rPr>
      </w:pPr>
      <w:r w:rsidRPr="00E56701">
        <w:rPr>
          <w:rFonts w:cs="Times New Roman"/>
          <w:color w:val="3A3128"/>
          <w:kern w:val="16"/>
          <w:szCs w:val="21"/>
          <w14:ligatures w14:val="standardContextual"/>
        </w:rPr>
        <w:t>4.7.6 MEI e a questão do desenquadramento</w:t>
      </w:r>
      <w:r w:rsidRPr="00E56701">
        <w:rPr>
          <w:rFonts w:cs="Times New Roman"/>
          <w:color w:val="3A3128"/>
          <w:kern w:val="16"/>
          <w:szCs w:val="21"/>
        </w:rPr>
        <w:t xml:space="preserve"> ................................................... 143</w:t>
      </w:r>
    </w:p>
    <w:p w14:paraId="11FB8CF6" w14:textId="423B6ABF" w:rsidR="005C14F9" w:rsidRDefault="00BE4475" w:rsidP="003A005E">
      <w:pPr>
        <w:spacing w:after="0" w:line="240" w:lineRule="auto"/>
        <w:ind w:left="284" w:right="-313"/>
        <w:rPr>
          <w:rFonts w:cs="Times New Roman"/>
          <w:szCs w:val="21"/>
        </w:rPr>
      </w:pPr>
      <w:r w:rsidRPr="00E56701">
        <w:rPr>
          <w:rFonts w:cs="Times New Roman"/>
          <w:color w:val="3A3128"/>
          <w:kern w:val="16"/>
          <w:szCs w:val="21"/>
          <w14:ligatures w14:val="standardContextual"/>
        </w:rPr>
        <w:t>4.7.7 MEI com empregado: obrigações patronais</w:t>
      </w:r>
      <w:r w:rsidRPr="00E56701">
        <w:rPr>
          <w:rFonts w:cs="Times New Roman"/>
          <w:color w:val="3A3128"/>
          <w:kern w:val="16"/>
          <w:szCs w:val="21"/>
        </w:rPr>
        <w:t xml:space="preserve"> ............................................</w:t>
      </w:r>
      <w:r w:rsidR="005C14F9">
        <w:rPr>
          <w:rFonts w:cs="Times New Roman"/>
          <w:color w:val="3A3128"/>
          <w:kern w:val="16"/>
          <w:szCs w:val="21"/>
        </w:rPr>
        <w:t>.</w:t>
      </w:r>
      <w:r w:rsidRPr="00E56701">
        <w:rPr>
          <w:rFonts w:cs="Times New Roman"/>
          <w:szCs w:val="21"/>
        </w:rPr>
        <w:t xml:space="preserve"> 144</w:t>
      </w:r>
    </w:p>
    <w:p w14:paraId="5D5474B5" w14:textId="633D608A" w:rsidR="005C14F9" w:rsidRDefault="00BE4475" w:rsidP="003A005E">
      <w:pPr>
        <w:spacing w:after="0" w:line="240" w:lineRule="auto"/>
        <w:ind w:left="284" w:right="-313"/>
        <w:rPr>
          <w:rFonts w:cs="Times New Roman"/>
          <w:szCs w:val="21"/>
        </w:rPr>
      </w:pPr>
      <w:r w:rsidRPr="00E56701">
        <w:rPr>
          <w:rFonts w:cs="Times New Roman"/>
          <w:color w:val="3A3128"/>
          <w:kern w:val="16"/>
          <w:szCs w:val="21"/>
          <w14:ligatures w14:val="standardContextual"/>
        </w:rPr>
        <w:t>4.8 Segurado facultativo</w:t>
      </w:r>
      <w:r w:rsidRPr="00E56701">
        <w:rPr>
          <w:rFonts w:cs="Times New Roman"/>
          <w:color w:val="3A3128"/>
          <w:kern w:val="16"/>
          <w:szCs w:val="21"/>
        </w:rPr>
        <w:t xml:space="preserve"> ....................................................................................</w:t>
      </w:r>
      <w:r w:rsidR="005C14F9">
        <w:rPr>
          <w:rFonts w:cs="Times New Roman"/>
          <w:color w:val="3A3128"/>
          <w:kern w:val="16"/>
          <w:szCs w:val="21"/>
        </w:rPr>
        <w:t>.</w:t>
      </w:r>
      <w:r w:rsidRPr="00E56701">
        <w:rPr>
          <w:rFonts w:cs="Times New Roman"/>
          <w:szCs w:val="21"/>
        </w:rPr>
        <w:t xml:space="preserve"> 145</w:t>
      </w:r>
    </w:p>
    <w:p w14:paraId="67436F2E" w14:textId="674C22A3" w:rsidR="005C14F9" w:rsidRDefault="00BE4475" w:rsidP="003A005E">
      <w:pPr>
        <w:spacing w:after="0" w:line="240" w:lineRule="auto"/>
        <w:ind w:left="284" w:right="-313"/>
        <w:rPr>
          <w:rFonts w:cs="Times New Roman"/>
          <w:color w:val="3A3128"/>
          <w:kern w:val="16"/>
          <w:szCs w:val="21"/>
        </w:rPr>
      </w:pPr>
      <w:r w:rsidRPr="00E56701">
        <w:rPr>
          <w:rFonts w:cs="Times New Roman"/>
          <w:color w:val="3A3128"/>
          <w:kern w:val="16"/>
          <w:szCs w:val="21"/>
          <w14:ligatures w14:val="standardContextual"/>
        </w:rPr>
        <w:t>4.8.1 Conceito e opções de contribuição</w:t>
      </w:r>
      <w:r w:rsidRPr="00E56701">
        <w:rPr>
          <w:rFonts w:cs="Times New Roman"/>
          <w:color w:val="3A3128"/>
          <w:kern w:val="16"/>
          <w:szCs w:val="21"/>
        </w:rPr>
        <w:t xml:space="preserve"> ........................................................... 145</w:t>
      </w:r>
    </w:p>
    <w:p w14:paraId="38992E70" w14:textId="3808D74F" w:rsidR="005C14F9" w:rsidRDefault="00BE4475" w:rsidP="003A005E">
      <w:pPr>
        <w:spacing w:after="0" w:line="240" w:lineRule="auto"/>
        <w:ind w:left="284" w:right="-313"/>
        <w:rPr>
          <w:rFonts w:cs="Times New Roman"/>
          <w:szCs w:val="21"/>
        </w:rPr>
      </w:pPr>
      <w:r w:rsidRPr="00E56701">
        <w:rPr>
          <w:rFonts w:cs="Times New Roman"/>
          <w:color w:val="3A3128"/>
          <w:kern w:val="16"/>
          <w:szCs w:val="21"/>
          <w14:ligatures w14:val="standardContextual"/>
        </w:rPr>
        <w:t>4.8.2 Plano simplificado do facultativo (11%)</w:t>
      </w:r>
      <w:r w:rsidRPr="00E56701">
        <w:rPr>
          <w:rFonts w:cs="Times New Roman"/>
          <w:color w:val="3A3128"/>
          <w:kern w:val="16"/>
          <w:szCs w:val="21"/>
        </w:rPr>
        <w:t xml:space="preserve"> ..................................................</w:t>
      </w:r>
      <w:r w:rsidR="005C14F9">
        <w:rPr>
          <w:rFonts w:cs="Times New Roman"/>
          <w:color w:val="3A3128"/>
          <w:kern w:val="16"/>
          <w:szCs w:val="21"/>
        </w:rPr>
        <w:t>.</w:t>
      </w:r>
      <w:r w:rsidRPr="00E56701">
        <w:rPr>
          <w:rFonts w:cs="Times New Roman"/>
          <w:szCs w:val="21"/>
        </w:rPr>
        <w:t xml:space="preserve"> 145</w:t>
      </w:r>
    </w:p>
    <w:p w14:paraId="79AB5ED1" w14:textId="6F004EAB" w:rsidR="005C14F9" w:rsidRDefault="00BE4475" w:rsidP="003A005E">
      <w:pPr>
        <w:spacing w:after="0" w:line="240" w:lineRule="auto"/>
        <w:ind w:left="284" w:right="-313"/>
        <w:rPr>
          <w:rFonts w:cs="Times New Roman"/>
          <w:color w:val="3A3128"/>
          <w:kern w:val="16"/>
          <w:szCs w:val="21"/>
        </w:rPr>
      </w:pPr>
      <w:r w:rsidRPr="00E56701">
        <w:rPr>
          <w:rFonts w:cs="Times New Roman"/>
          <w:color w:val="3A3128"/>
          <w:kern w:val="16"/>
          <w:szCs w:val="21"/>
          <w14:ligatures w14:val="standardContextual"/>
        </w:rPr>
        <w:t>4.8.3 Facultativo baixa renda: alíquota de 5%</w:t>
      </w:r>
      <w:r w:rsidRPr="00E56701">
        <w:rPr>
          <w:rFonts w:cs="Times New Roman"/>
          <w:color w:val="3A3128"/>
          <w:kern w:val="16"/>
          <w:szCs w:val="21"/>
        </w:rPr>
        <w:t xml:space="preserve"> .................................................... 145</w:t>
      </w:r>
    </w:p>
    <w:p w14:paraId="2CFD5992" w14:textId="24A609CD" w:rsidR="005C14F9" w:rsidRDefault="00BE4475" w:rsidP="003A005E">
      <w:pPr>
        <w:spacing w:after="0" w:line="240" w:lineRule="auto"/>
        <w:ind w:left="284" w:right="-313"/>
        <w:rPr>
          <w:rFonts w:cs="Times New Roman"/>
          <w:szCs w:val="21"/>
        </w:rPr>
      </w:pPr>
      <w:r w:rsidRPr="00E56701">
        <w:rPr>
          <w:rFonts w:cs="Times New Roman"/>
          <w:color w:val="3A3128"/>
          <w:kern w:val="16"/>
          <w:szCs w:val="21"/>
          <w14:ligatures w14:val="standardContextual"/>
        </w:rPr>
        <w:t>4.8.4 Complementação do facultativo</w:t>
      </w:r>
      <w:r w:rsidRPr="00E56701">
        <w:rPr>
          <w:rFonts w:cs="Times New Roman"/>
          <w:color w:val="3A3128"/>
          <w:kern w:val="16"/>
          <w:szCs w:val="21"/>
        </w:rPr>
        <w:t xml:space="preserve"> ..............................................................</w:t>
      </w:r>
      <w:r w:rsidRPr="00E56701">
        <w:rPr>
          <w:rFonts w:cs="Times New Roman"/>
          <w:szCs w:val="21"/>
        </w:rPr>
        <w:t xml:space="preserve"> 147</w:t>
      </w:r>
    </w:p>
    <w:p w14:paraId="236A899B" w14:textId="2F2941EB" w:rsidR="005C14F9" w:rsidRDefault="00BE4475" w:rsidP="003A005E">
      <w:pPr>
        <w:spacing w:after="0" w:line="240" w:lineRule="auto"/>
        <w:ind w:left="284" w:right="-313"/>
        <w:rPr>
          <w:rFonts w:cs="Times New Roman"/>
          <w:color w:val="3A3128"/>
          <w:kern w:val="16"/>
          <w:szCs w:val="21"/>
        </w:rPr>
      </w:pPr>
      <w:r w:rsidRPr="00E56701">
        <w:rPr>
          <w:rFonts w:cs="Times New Roman"/>
          <w:color w:val="3A3128"/>
          <w:kern w:val="16"/>
          <w:szCs w:val="21"/>
          <w14:ligatures w14:val="standardContextual"/>
        </w:rPr>
        <w:t>4.9 Contribuição do empregado doméstico</w:t>
      </w:r>
      <w:r w:rsidRPr="00E56701">
        <w:rPr>
          <w:rFonts w:cs="Times New Roman"/>
          <w:color w:val="3A3128"/>
          <w:kern w:val="16"/>
          <w:szCs w:val="21"/>
        </w:rPr>
        <w:t xml:space="preserve"> ...................................................... 147</w:t>
      </w:r>
    </w:p>
    <w:p w14:paraId="4DC3A6A7" w14:textId="5A7DCE22" w:rsidR="005C14F9" w:rsidRDefault="00BE4475" w:rsidP="003A005E">
      <w:pPr>
        <w:spacing w:after="0" w:line="240" w:lineRule="auto"/>
        <w:ind w:left="284" w:right="-313"/>
        <w:rPr>
          <w:rFonts w:cs="Times New Roman"/>
          <w:szCs w:val="21"/>
        </w:rPr>
      </w:pPr>
      <w:r w:rsidRPr="00E56701">
        <w:rPr>
          <w:rFonts w:cs="Times New Roman"/>
          <w:color w:val="3A3128"/>
          <w:kern w:val="16"/>
          <w:szCs w:val="21"/>
          <w14:ligatures w14:val="standardContextual"/>
        </w:rPr>
        <w:t>4.9.1 Regime especial do empregado doméstico</w:t>
      </w:r>
      <w:r w:rsidRPr="00E56701">
        <w:rPr>
          <w:rFonts w:cs="Times New Roman"/>
          <w:color w:val="3A3128"/>
          <w:kern w:val="16"/>
          <w:szCs w:val="21"/>
        </w:rPr>
        <w:t xml:space="preserve"> ..............................................</w:t>
      </w:r>
      <w:r w:rsidR="005C14F9">
        <w:rPr>
          <w:rFonts w:cs="Times New Roman"/>
          <w:color w:val="3A3128"/>
          <w:kern w:val="16"/>
          <w:szCs w:val="21"/>
        </w:rPr>
        <w:t>.</w:t>
      </w:r>
      <w:r w:rsidRPr="00E56701">
        <w:rPr>
          <w:rFonts w:cs="Times New Roman"/>
          <w:szCs w:val="21"/>
        </w:rPr>
        <w:t xml:space="preserve"> 147</w:t>
      </w:r>
    </w:p>
    <w:p w14:paraId="2D670FBE" w14:textId="01755ED9" w:rsidR="005C14F9" w:rsidRDefault="00BE4475" w:rsidP="003A005E">
      <w:pPr>
        <w:spacing w:after="0" w:line="240" w:lineRule="auto"/>
        <w:ind w:left="284" w:right="-313"/>
        <w:rPr>
          <w:rFonts w:cs="Times New Roman"/>
          <w:color w:val="3A3128"/>
          <w:kern w:val="16"/>
          <w:szCs w:val="21"/>
        </w:rPr>
      </w:pPr>
      <w:r w:rsidRPr="00E56701">
        <w:rPr>
          <w:rFonts w:cs="Times New Roman"/>
          <w:color w:val="3A3128"/>
          <w:kern w:val="16"/>
          <w:szCs w:val="21"/>
          <w14:ligatures w14:val="standardContextual"/>
        </w:rPr>
        <w:t>4.9.2 Relevância nos JEFs: doméstico sem registro</w:t>
      </w:r>
      <w:r w:rsidRPr="00E56701">
        <w:rPr>
          <w:rFonts w:cs="Times New Roman"/>
          <w:color w:val="3A3128"/>
          <w:kern w:val="16"/>
          <w:szCs w:val="21"/>
        </w:rPr>
        <w:t xml:space="preserve"> ........................................... 148</w:t>
      </w:r>
    </w:p>
    <w:p w14:paraId="7645C65F" w14:textId="7D05B0B7" w:rsidR="005C14F9" w:rsidRDefault="00BE4475" w:rsidP="003A005E">
      <w:pPr>
        <w:spacing w:after="0" w:line="240" w:lineRule="auto"/>
        <w:ind w:left="284" w:right="-313"/>
        <w:rPr>
          <w:rFonts w:cs="Times New Roman"/>
          <w:szCs w:val="21"/>
        </w:rPr>
      </w:pPr>
      <w:r w:rsidRPr="00E56701">
        <w:rPr>
          <w:rFonts w:cs="Times New Roman"/>
          <w:color w:val="3A3128"/>
          <w:kern w:val="16"/>
          <w:szCs w:val="21"/>
          <w14:ligatures w14:val="standardContextual"/>
        </w:rPr>
        <w:lastRenderedPageBreak/>
        <w:t>4.10 Contribuição do segurado especial</w:t>
      </w:r>
      <w:r w:rsidRPr="00E56701">
        <w:rPr>
          <w:rFonts w:cs="Times New Roman"/>
          <w:color w:val="3A3128"/>
          <w:kern w:val="16"/>
          <w:szCs w:val="21"/>
        </w:rPr>
        <w:t xml:space="preserve"> ............................................................</w:t>
      </w:r>
      <w:r w:rsidRPr="00E56701">
        <w:rPr>
          <w:rFonts w:cs="Times New Roman"/>
          <w:szCs w:val="21"/>
        </w:rPr>
        <w:t xml:space="preserve"> 149</w:t>
      </w:r>
    </w:p>
    <w:p w14:paraId="11891100" w14:textId="22245F93" w:rsidR="005C14F9" w:rsidRDefault="00BE4475" w:rsidP="003A005E">
      <w:pPr>
        <w:spacing w:after="0" w:line="240" w:lineRule="auto"/>
        <w:ind w:left="284" w:right="-313"/>
        <w:rPr>
          <w:rFonts w:cs="Times New Roman"/>
          <w:color w:val="3A3128"/>
          <w:kern w:val="16"/>
          <w:szCs w:val="21"/>
        </w:rPr>
      </w:pPr>
      <w:r w:rsidRPr="00E56701">
        <w:rPr>
          <w:rFonts w:cs="Times New Roman"/>
          <w:color w:val="3A3128"/>
          <w:kern w:val="16"/>
          <w:szCs w:val="21"/>
          <w14:ligatures w14:val="standardContextual"/>
        </w:rPr>
        <w:t>4.10.1 Regime diferenciado de custeio</w:t>
      </w:r>
      <w:r w:rsidRPr="00E56701">
        <w:rPr>
          <w:rFonts w:cs="Times New Roman"/>
          <w:color w:val="3A3128"/>
          <w:kern w:val="16"/>
          <w:szCs w:val="21"/>
        </w:rPr>
        <w:t xml:space="preserve"> .............................................................. 149</w:t>
      </w:r>
    </w:p>
    <w:p w14:paraId="2E7A47E2" w14:textId="57CB51BC" w:rsidR="005C14F9" w:rsidRDefault="00BE4475" w:rsidP="003A005E">
      <w:pPr>
        <w:spacing w:after="0" w:line="240" w:lineRule="auto"/>
        <w:ind w:left="284" w:right="-313"/>
        <w:rPr>
          <w:rFonts w:cs="Times New Roman"/>
          <w:szCs w:val="21"/>
        </w:rPr>
      </w:pPr>
      <w:r w:rsidRPr="00E56701">
        <w:rPr>
          <w:rFonts w:cs="Times New Roman"/>
          <w:color w:val="3A3128"/>
          <w:kern w:val="16"/>
          <w:szCs w:val="21"/>
          <w14:ligatures w14:val="standardContextual"/>
        </w:rPr>
        <w:t>4.10.2 Dispensa de contribuição formal para benefícios básicos</w:t>
      </w:r>
      <w:r w:rsidRPr="00E56701">
        <w:rPr>
          <w:rFonts w:cs="Times New Roman"/>
          <w:color w:val="3A3128"/>
          <w:kern w:val="16"/>
          <w:szCs w:val="21"/>
        </w:rPr>
        <w:t xml:space="preserve"> ......................</w:t>
      </w:r>
      <w:r w:rsidRPr="00E56701">
        <w:rPr>
          <w:rFonts w:cs="Times New Roman"/>
          <w:szCs w:val="21"/>
        </w:rPr>
        <w:t xml:space="preserve"> 149</w:t>
      </w:r>
    </w:p>
    <w:p w14:paraId="3B8EF6DE" w14:textId="38A048D6" w:rsidR="005C14F9" w:rsidRDefault="00BE4475" w:rsidP="003A005E">
      <w:pPr>
        <w:spacing w:after="0" w:line="240" w:lineRule="auto"/>
        <w:ind w:left="284" w:right="-313"/>
        <w:rPr>
          <w:rFonts w:cs="Times New Roman"/>
          <w:color w:val="3A3128"/>
          <w:kern w:val="16"/>
          <w:szCs w:val="21"/>
        </w:rPr>
      </w:pPr>
      <w:r w:rsidRPr="00E56701">
        <w:rPr>
          <w:rFonts w:cs="Times New Roman"/>
          <w:color w:val="3A3128"/>
          <w:kern w:val="16"/>
          <w:szCs w:val="21"/>
          <w14:ligatures w14:val="standardContextual"/>
        </w:rPr>
        <w:t>4.10.3 Contribuição facultativa do segurado especial</w:t>
      </w:r>
      <w:r w:rsidRPr="00E56701">
        <w:rPr>
          <w:rFonts w:cs="Times New Roman"/>
          <w:color w:val="3A3128"/>
          <w:kern w:val="16"/>
          <w:szCs w:val="21"/>
        </w:rPr>
        <w:t xml:space="preserve"> ....................................... 150</w:t>
      </w:r>
    </w:p>
    <w:p w14:paraId="495C1F94" w14:textId="30768077" w:rsidR="005C14F9" w:rsidRDefault="00BE4475" w:rsidP="003A005E">
      <w:pPr>
        <w:spacing w:after="0" w:line="240" w:lineRule="auto"/>
        <w:ind w:left="284" w:right="-313"/>
        <w:rPr>
          <w:rFonts w:cs="Times New Roman"/>
          <w:szCs w:val="21"/>
        </w:rPr>
      </w:pPr>
      <w:r w:rsidRPr="00E56701">
        <w:rPr>
          <w:rFonts w:cs="Times New Roman"/>
          <w:color w:val="3A3128"/>
          <w:kern w:val="16"/>
          <w:szCs w:val="21"/>
          <w14:ligatures w14:val="standardContextual"/>
        </w:rPr>
        <w:t>4.11 Contribuição do produtor rural pessoa física e pessoa jurídica</w:t>
      </w:r>
      <w:r w:rsidRPr="00E56701">
        <w:rPr>
          <w:rFonts w:cs="Times New Roman"/>
          <w:color w:val="3A3128"/>
          <w:kern w:val="16"/>
          <w:szCs w:val="21"/>
        </w:rPr>
        <w:t xml:space="preserve"> .................</w:t>
      </w:r>
      <w:r w:rsidRPr="00E56701">
        <w:rPr>
          <w:rFonts w:cs="Times New Roman"/>
          <w:szCs w:val="21"/>
        </w:rPr>
        <w:t xml:space="preserve"> 151</w:t>
      </w:r>
    </w:p>
    <w:p w14:paraId="4561A8E1" w14:textId="283BFBBE" w:rsidR="005C14F9" w:rsidRDefault="00BE4475" w:rsidP="003A005E">
      <w:pPr>
        <w:spacing w:after="0" w:line="240" w:lineRule="auto"/>
        <w:ind w:left="284" w:right="-313"/>
        <w:rPr>
          <w:rFonts w:cs="Times New Roman"/>
          <w:szCs w:val="21"/>
        </w:rPr>
      </w:pPr>
      <w:r w:rsidRPr="00E56701">
        <w:rPr>
          <w:rFonts w:cs="Times New Roman"/>
          <w:color w:val="3A3128"/>
          <w:kern w:val="16"/>
          <w:szCs w:val="21"/>
          <w14:ligatures w14:val="standardContextual"/>
        </w:rPr>
        <w:t>4.11.1 Produtor rural pessoa física (empregador rural)</w:t>
      </w:r>
      <w:r w:rsidRPr="00E56701">
        <w:rPr>
          <w:rFonts w:cs="Times New Roman"/>
          <w:color w:val="3A3128"/>
          <w:kern w:val="16"/>
          <w:szCs w:val="21"/>
        </w:rPr>
        <w:t xml:space="preserve"> ....................................</w:t>
      </w:r>
      <w:r w:rsidRPr="00E56701">
        <w:rPr>
          <w:rFonts w:cs="Times New Roman"/>
          <w:szCs w:val="21"/>
        </w:rPr>
        <w:t xml:space="preserve"> 151</w:t>
      </w:r>
    </w:p>
    <w:p w14:paraId="71F33D43" w14:textId="2A1960A5" w:rsidR="005C14F9" w:rsidRDefault="00BE4475" w:rsidP="003A005E">
      <w:pPr>
        <w:spacing w:after="0" w:line="240" w:lineRule="auto"/>
        <w:ind w:left="284" w:right="-313"/>
        <w:rPr>
          <w:rFonts w:cs="Times New Roman"/>
          <w:szCs w:val="21"/>
        </w:rPr>
      </w:pPr>
      <w:r w:rsidRPr="00E56701">
        <w:rPr>
          <w:rFonts w:cs="Times New Roman"/>
          <w:color w:val="3A3128"/>
          <w:kern w:val="16"/>
          <w:szCs w:val="21"/>
          <w14:ligatures w14:val="standardContextual"/>
        </w:rPr>
        <w:t>4.11.2 Produtor rural pessoa jurídica</w:t>
      </w:r>
      <w:r w:rsidRPr="00E56701">
        <w:rPr>
          <w:rFonts w:cs="Times New Roman"/>
          <w:color w:val="3A3128"/>
          <w:kern w:val="16"/>
          <w:szCs w:val="21"/>
        </w:rPr>
        <w:t xml:space="preserve"> .................................................................</w:t>
      </w:r>
      <w:r w:rsidRPr="00E56701">
        <w:rPr>
          <w:rFonts w:cs="Times New Roman"/>
          <w:szCs w:val="21"/>
        </w:rPr>
        <w:t xml:space="preserve"> 152</w:t>
      </w:r>
    </w:p>
    <w:p w14:paraId="62C537BC" w14:textId="2BA4935E" w:rsidR="005C14F9" w:rsidRDefault="00BE4475" w:rsidP="003A005E">
      <w:pPr>
        <w:spacing w:after="0" w:line="240" w:lineRule="auto"/>
        <w:ind w:left="284" w:right="-313"/>
        <w:rPr>
          <w:rFonts w:cs="Times New Roman"/>
          <w:color w:val="3A3128"/>
          <w:kern w:val="16"/>
          <w:szCs w:val="21"/>
        </w:rPr>
      </w:pPr>
      <w:r w:rsidRPr="00E56701">
        <w:rPr>
          <w:rFonts w:cs="Times New Roman"/>
          <w:color w:val="3A3128"/>
          <w:kern w:val="16"/>
          <w:szCs w:val="21"/>
          <w14:ligatures w14:val="standardContextual"/>
        </w:rPr>
        <w:t>4.11.3 Sub-rogação do adquirente</w:t>
      </w:r>
      <w:r w:rsidRPr="00E56701">
        <w:rPr>
          <w:rFonts w:cs="Times New Roman"/>
          <w:color w:val="3A3128"/>
          <w:kern w:val="16"/>
          <w:szCs w:val="21"/>
        </w:rPr>
        <w:t xml:space="preserve"> ..................................................................... 153</w:t>
      </w:r>
    </w:p>
    <w:p w14:paraId="12E03B45" w14:textId="6F604A7B" w:rsidR="005C14F9" w:rsidRDefault="00BE4475" w:rsidP="003A005E">
      <w:pPr>
        <w:spacing w:after="0" w:line="240" w:lineRule="auto"/>
        <w:ind w:left="284" w:right="-313"/>
        <w:rPr>
          <w:rFonts w:cs="Times New Roman"/>
          <w:color w:val="3A3128"/>
          <w:kern w:val="16"/>
          <w:szCs w:val="21"/>
        </w:rPr>
      </w:pPr>
      <w:r w:rsidRPr="00E56701">
        <w:rPr>
          <w:rFonts w:cs="Times New Roman"/>
          <w:color w:val="3A3128"/>
          <w:kern w:val="16"/>
          <w:szCs w:val="21"/>
          <w14:ligatures w14:val="standardContextual"/>
        </w:rPr>
        <w:t>4.11.4 Consórcio simplificado de produtores rurais</w:t>
      </w:r>
      <w:r w:rsidRPr="00E56701">
        <w:rPr>
          <w:rFonts w:cs="Times New Roman"/>
          <w:color w:val="3A3128"/>
          <w:kern w:val="16"/>
          <w:szCs w:val="21"/>
        </w:rPr>
        <w:t xml:space="preserve"> ........................................</w:t>
      </w:r>
      <w:r w:rsidR="0039419F">
        <w:rPr>
          <w:rFonts w:cs="Times New Roman"/>
          <w:color w:val="3A3128"/>
          <w:kern w:val="16"/>
          <w:szCs w:val="21"/>
        </w:rPr>
        <w:t>.</w:t>
      </w:r>
      <w:r w:rsidRPr="00E56701">
        <w:rPr>
          <w:rFonts w:cs="Times New Roman"/>
          <w:color w:val="3A3128"/>
          <w:kern w:val="16"/>
          <w:szCs w:val="21"/>
        </w:rPr>
        <w:t xml:space="preserve"> 153</w:t>
      </w:r>
    </w:p>
    <w:p w14:paraId="17859357" w14:textId="1E00FD93" w:rsidR="005C14F9" w:rsidRDefault="00BE4475" w:rsidP="003A005E">
      <w:pPr>
        <w:spacing w:after="0" w:line="240" w:lineRule="auto"/>
        <w:ind w:left="284" w:right="-313"/>
        <w:rPr>
          <w:rFonts w:cs="Times New Roman"/>
          <w:color w:val="3A3128"/>
          <w:kern w:val="16"/>
          <w:szCs w:val="21"/>
        </w:rPr>
      </w:pPr>
      <w:r w:rsidRPr="00E56701">
        <w:rPr>
          <w:rFonts w:cs="Times New Roman"/>
          <w:color w:val="3A3128"/>
          <w:kern w:val="16"/>
          <w:szCs w:val="21"/>
          <w14:ligatures w14:val="standardContextual"/>
        </w:rPr>
        <w:t>4.11.5 Agroindústria</w:t>
      </w:r>
      <w:r w:rsidRPr="00E56701">
        <w:rPr>
          <w:rFonts w:cs="Times New Roman"/>
          <w:color w:val="3A3128"/>
          <w:kern w:val="16"/>
          <w:szCs w:val="21"/>
        </w:rPr>
        <w:t xml:space="preserve"> .........................................................................................</w:t>
      </w:r>
      <w:r w:rsidR="0039419F">
        <w:rPr>
          <w:rFonts w:cs="Times New Roman"/>
          <w:color w:val="3A3128"/>
          <w:kern w:val="16"/>
          <w:szCs w:val="21"/>
        </w:rPr>
        <w:t>.</w:t>
      </w:r>
      <w:r w:rsidRPr="00E56701">
        <w:rPr>
          <w:rFonts w:cs="Times New Roman"/>
          <w:color w:val="3A3128"/>
          <w:kern w:val="16"/>
          <w:szCs w:val="21"/>
        </w:rPr>
        <w:t xml:space="preserve"> 154</w:t>
      </w:r>
    </w:p>
    <w:p w14:paraId="08B76B72" w14:textId="628EB1F4" w:rsidR="005C14F9" w:rsidRDefault="00BE4475" w:rsidP="003A005E">
      <w:pPr>
        <w:spacing w:after="0" w:line="240" w:lineRule="auto"/>
        <w:ind w:left="284" w:right="-313"/>
        <w:rPr>
          <w:rFonts w:cs="Times New Roman"/>
          <w:color w:val="3A3128"/>
          <w:kern w:val="16"/>
          <w:szCs w:val="21"/>
        </w:rPr>
      </w:pPr>
      <w:r w:rsidRPr="00E56701">
        <w:rPr>
          <w:rFonts w:cs="Times New Roman"/>
          <w:color w:val="3A3128"/>
          <w:kern w:val="16"/>
          <w:szCs w:val="21"/>
          <w14:ligatures w14:val="standardContextual"/>
        </w:rPr>
        <w:t>4.12 Salário de contribuição: conceito, limites e parcelas</w:t>
      </w:r>
      <w:r w:rsidRPr="00E56701">
        <w:rPr>
          <w:rFonts w:cs="Times New Roman"/>
          <w:color w:val="3A3128"/>
          <w:kern w:val="16"/>
          <w:szCs w:val="21"/>
        </w:rPr>
        <w:t xml:space="preserve"> .................................. 154</w:t>
      </w:r>
    </w:p>
    <w:p w14:paraId="556A611E" w14:textId="3A3C00B6" w:rsidR="005C14F9" w:rsidRDefault="00BE4475" w:rsidP="003A005E">
      <w:pPr>
        <w:spacing w:after="0" w:line="240" w:lineRule="auto"/>
        <w:ind w:left="284" w:right="-313"/>
        <w:rPr>
          <w:rFonts w:cs="Times New Roman"/>
          <w:szCs w:val="21"/>
        </w:rPr>
      </w:pPr>
      <w:r w:rsidRPr="00E56701">
        <w:rPr>
          <w:rFonts w:cs="Times New Roman"/>
          <w:color w:val="3A3128"/>
          <w:kern w:val="16"/>
          <w:szCs w:val="21"/>
          <w14:ligatures w14:val="standardContextual"/>
        </w:rPr>
        <w:t>4.12.1 Definição legal</w:t>
      </w:r>
      <w:r w:rsidRPr="00E56701">
        <w:rPr>
          <w:rFonts w:cs="Times New Roman"/>
          <w:color w:val="3A3128"/>
          <w:kern w:val="16"/>
          <w:szCs w:val="21"/>
        </w:rPr>
        <w:t xml:space="preserve"> ........................................................................................</w:t>
      </w:r>
      <w:r w:rsidR="0039419F">
        <w:rPr>
          <w:rFonts w:cs="Times New Roman"/>
          <w:color w:val="3A3128"/>
          <w:kern w:val="16"/>
          <w:szCs w:val="21"/>
        </w:rPr>
        <w:t>.</w:t>
      </w:r>
      <w:r w:rsidRPr="00E56701">
        <w:rPr>
          <w:rFonts w:cs="Times New Roman"/>
          <w:szCs w:val="21"/>
        </w:rPr>
        <w:t xml:space="preserve"> 154</w:t>
      </w:r>
    </w:p>
    <w:p w14:paraId="2AD18516" w14:textId="0B880BF2" w:rsidR="005C14F9" w:rsidRDefault="00BE4475" w:rsidP="003A005E">
      <w:pPr>
        <w:spacing w:after="0" w:line="240" w:lineRule="auto"/>
        <w:ind w:left="284" w:right="-313"/>
        <w:rPr>
          <w:rFonts w:cs="Times New Roman"/>
          <w:color w:val="3A3128"/>
          <w:kern w:val="16"/>
          <w:szCs w:val="21"/>
        </w:rPr>
      </w:pPr>
      <w:r w:rsidRPr="00E56701">
        <w:rPr>
          <w:rFonts w:cs="Times New Roman"/>
          <w:color w:val="3A3128"/>
          <w:kern w:val="16"/>
          <w:szCs w:val="21"/>
          <w14:ligatures w14:val="standardContextual"/>
        </w:rPr>
        <w:t>4.12.2 Limite mínimo e máximo</w:t>
      </w:r>
      <w:r w:rsidRPr="00E56701">
        <w:rPr>
          <w:rFonts w:cs="Times New Roman"/>
          <w:color w:val="3A3128"/>
          <w:kern w:val="16"/>
          <w:szCs w:val="21"/>
        </w:rPr>
        <w:t xml:space="preserve"> ....................................................................... 155</w:t>
      </w:r>
    </w:p>
    <w:p w14:paraId="121634F9" w14:textId="5FF29FFF" w:rsidR="005C14F9" w:rsidRDefault="00BE4475" w:rsidP="003A005E">
      <w:pPr>
        <w:spacing w:after="0" w:line="240" w:lineRule="auto"/>
        <w:ind w:left="284" w:right="-313"/>
        <w:rPr>
          <w:rFonts w:cs="Times New Roman"/>
          <w:szCs w:val="21"/>
        </w:rPr>
      </w:pPr>
      <w:r w:rsidRPr="00E56701">
        <w:rPr>
          <w:rFonts w:cs="Times New Roman"/>
          <w:color w:val="3A3128"/>
          <w:kern w:val="16"/>
          <w:szCs w:val="21"/>
          <w14:ligatures w14:val="standardContextual"/>
        </w:rPr>
        <w:t>4.12.3 Trabalhador com remuneração inferior ao salário</w:t>
      </w:r>
      <w:r w:rsidRPr="00E56701">
        <w:rPr>
          <w:rFonts w:cs="Times New Roman"/>
          <w:color w:val="3A3128"/>
          <w:kern w:val="16"/>
          <w:szCs w:val="21"/>
        </w:rPr>
        <w:t>-</w:t>
      </w:r>
      <w:r w:rsidRPr="00E56701">
        <w:rPr>
          <w:rFonts w:cs="Times New Roman"/>
          <w:color w:val="3A3128"/>
          <w:kern w:val="16"/>
          <w:szCs w:val="21"/>
          <w14:ligatures w14:val="standardContextual"/>
        </w:rPr>
        <w:t>mínimo</w:t>
      </w:r>
      <w:r w:rsidRPr="00E56701">
        <w:rPr>
          <w:rFonts w:cs="Times New Roman"/>
          <w:color w:val="3A3128"/>
          <w:kern w:val="16"/>
          <w:szCs w:val="21"/>
        </w:rPr>
        <w:t xml:space="preserve"> ...................</w:t>
      </w:r>
      <w:r w:rsidRPr="00E56701">
        <w:rPr>
          <w:rFonts w:cs="Times New Roman"/>
          <w:szCs w:val="21"/>
        </w:rPr>
        <w:t xml:space="preserve"> 156</w:t>
      </w:r>
    </w:p>
    <w:p w14:paraId="423CE9C1" w14:textId="16755B1B" w:rsidR="005C14F9" w:rsidRDefault="00BE4475" w:rsidP="003A005E">
      <w:pPr>
        <w:spacing w:after="0" w:line="240" w:lineRule="auto"/>
        <w:ind w:left="284" w:right="-313"/>
        <w:rPr>
          <w:rFonts w:cs="Times New Roman"/>
          <w:color w:val="3A3128"/>
          <w:kern w:val="16"/>
          <w:szCs w:val="21"/>
        </w:rPr>
      </w:pPr>
      <w:r w:rsidRPr="00E56701">
        <w:rPr>
          <w:rFonts w:cs="Times New Roman"/>
          <w:color w:val="3A3128"/>
          <w:kern w:val="16"/>
          <w:szCs w:val="21"/>
          <w14:ligatures w14:val="standardContextual"/>
        </w:rPr>
        <w:t>4.12.4 Parcelas integrantes do salário de contribuição</w:t>
      </w:r>
      <w:r w:rsidRPr="00E56701">
        <w:rPr>
          <w:rFonts w:cs="Times New Roman"/>
          <w:color w:val="3A3128"/>
          <w:kern w:val="16"/>
          <w:szCs w:val="21"/>
        </w:rPr>
        <w:t xml:space="preserve"> ....................................... 157</w:t>
      </w:r>
    </w:p>
    <w:p w14:paraId="64012DEB" w14:textId="30F54939" w:rsidR="005C14F9" w:rsidRDefault="00BE4475" w:rsidP="003A005E">
      <w:pPr>
        <w:spacing w:after="0" w:line="240" w:lineRule="auto"/>
        <w:ind w:left="284" w:right="-313"/>
        <w:rPr>
          <w:rFonts w:cs="Times New Roman"/>
          <w:color w:val="3A3128"/>
          <w:kern w:val="16"/>
          <w:szCs w:val="21"/>
        </w:rPr>
      </w:pPr>
      <w:r w:rsidRPr="00E56701">
        <w:rPr>
          <w:rFonts w:cs="Times New Roman"/>
          <w:color w:val="3A3128"/>
          <w:kern w:val="16"/>
          <w:szCs w:val="21"/>
          <w14:ligatures w14:val="standardContextual"/>
        </w:rPr>
        <w:t>4.12.5 Parcelas não integrantes do salário de contribuição</w:t>
      </w:r>
      <w:r w:rsidRPr="00E56701">
        <w:rPr>
          <w:rFonts w:cs="Times New Roman"/>
          <w:color w:val="3A3128"/>
          <w:kern w:val="16"/>
          <w:szCs w:val="21"/>
        </w:rPr>
        <w:t xml:space="preserve"> ................................ 157</w:t>
      </w:r>
    </w:p>
    <w:p w14:paraId="36A09BE1" w14:textId="042AB0C6" w:rsidR="005C14F9" w:rsidRDefault="00BE4475" w:rsidP="003A005E">
      <w:pPr>
        <w:spacing w:after="0" w:line="240" w:lineRule="auto"/>
        <w:ind w:left="284" w:right="-313"/>
        <w:rPr>
          <w:rFonts w:cs="Times New Roman"/>
          <w:color w:val="3A3128"/>
          <w:kern w:val="16"/>
          <w:szCs w:val="21"/>
        </w:rPr>
      </w:pPr>
      <w:r w:rsidRPr="00E56701">
        <w:rPr>
          <w:rFonts w:cs="Times New Roman"/>
          <w:color w:val="3A3128"/>
          <w:kern w:val="16"/>
          <w:szCs w:val="21"/>
          <w14:ligatures w14:val="standardContextual"/>
        </w:rPr>
        <w:t>4.12.6 A base de cálculo da contribuição patronal nos repetitivos recentes do STJ</w:t>
      </w:r>
      <w:r w:rsidRPr="00E56701">
        <w:rPr>
          <w:rFonts w:cs="Times New Roman"/>
          <w:color w:val="3A3128"/>
          <w:kern w:val="16"/>
          <w:szCs w:val="21"/>
        </w:rPr>
        <w:t xml:space="preserve"> .</w:t>
      </w:r>
      <w:r w:rsidR="0039419F">
        <w:rPr>
          <w:rFonts w:cs="Times New Roman"/>
          <w:color w:val="3A3128"/>
          <w:kern w:val="16"/>
          <w:szCs w:val="21"/>
        </w:rPr>
        <w:t>............................................................................................................................</w:t>
      </w:r>
      <w:r w:rsidRPr="00E56701">
        <w:rPr>
          <w:rFonts w:cs="Times New Roman"/>
          <w:color w:val="3A3128"/>
          <w:kern w:val="16"/>
          <w:szCs w:val="21"/>
        </w:rPr>
        <w:t xml:space="preserve"> 159</w:t>
      </w:r>
    </w:p>
    <w:p w14:paraId="6EA44A22" w14:textId="198110D3" w:rsidR="005C14F9" w:rsidRDefault="00BE4475" w:rsidP="003A005E">
      <w:pPr>
        <w:spacing w:after="0" w:line="240" w:lineRule="auto"/>
        <w:ind w:left="284" w:right="-313"/>
        <w:rPr>
          <w:rFonts w:cs="Times New Roman"/>
          <w:color w:val="3A3128"/>
          <w:kern w:val="16"/>
          <w:szCs w:val="21"/>
        </w:rPr>
      </w:pPr>
      <w:r w:rsidRPr="00E56701">
        <w:rPr>
          <w:rFonts w:cs="Times New Roman"/>
          <w:color w:val="3A3128"/>
          <w:kern w:val="16"/>
          <w:szCs w:val="21"/>
          <w14:ligatures w14:val="standardContextual"/>
        </w:rPr>
        <w:t>4.12.7 O terço constitucional de férias e o tema 985/STF</w:t>
      </w:r>
      <w:r w:rsidRPr="00E56701">
        <w:rPr>
          <w:rFonts w:cs="Times New Roman"/>
          <w:color w:val="3A3128"/>
          <w:kern w:val="16"/>
          <w:szCs w:val="21"/>
        </w:rPr>
        <w:t xml:space="preserve"> .......................</w:t>
      </w:r>
      <w:r w:rsidR="0039419F">
        <w:rPr>
          <w:rFonts w:cs="Times New Roman"/>
          <w:color w:val="3A3128"/>
          <w:kern w:val="16"/>
          <w:szCs w:val="21"/>
        </w:rPr>
        <w:t>..........</w:t>
      </w:r>
      <w:r w:rsidRPr="00E56701">
        <w:rPr>
          <w:rFonts w:cs="Times New Roman"/>
          <w:color w:val="3A3128"/>
          <w:kern w:val="16"/>
          <w:szCs w:val="21"/>
        </w:rPr>
        <w:t xml:space="preserve"> 162</w:t>
      </w:r>
    </w:p>
    <w:p w14:paraId="321D6171" w14:textId="21D29B6C" w:rsidR="005C14F9" w:rsidRDefault="00BE4475" w:rsidP="003A005E">
      <w:pPr>
        <w:spacing w:after="0" w:line="240" w:lineRule="auto"/>
        <w:ind w:left="284" w:right="-313"/>
        <w:rPr>
          <w:rFonts w:cs="Times New Roman"/>
          <w:szCs w:val="21"/>
        </w:rPr>
      </w:pPr>
      <w:r w:rsidRPr="00E56701">
        <w:rPr>
          <w:rFonts w:cs="Times New Roman"/>
          <w:color w:val="3A3128"/>
          <w:kern w:val="16"/>
          <w:szCs w:val="21"/>
          <w14:ligatures w14:val="standardContextual"/>
        </w:rPr>
        <w:t>4.12.8 Evolução histórica do teto</w:t>
      </w:r>
      <w:r w:rsidRPr="00E56701">
        <w:rPr>
          <w:rFonts w:cs="Times New Roman"/>
          <w:color w:val="3A3128"/>
          <w:kern w:val="16"/>
          <w:szCs w:val="21"/>
        </w:rPr>
        <w:t xml:space="preserve"> ......................................................................</w:t>
      </w:r>
      <w:r w:rsidR="0039419F">
        <w:rPr>
          <w:rFonts w:cs="Times New Roman"/>
          <w:color w:val="3A3128"/>
          <w:kern w:val="16"/>
          <w:szCs w:val="21"/>
        </w:rPr>
        <w:t>.</w:t>
      </w:r>
      <w:r w:rsidRPr="00E56701">
        <w:rPr>
          <w:rFonts w:cs="Times New Roman"/>
          <w:szCs w:val="21"/>
        </w:rPr>
        <w:t xml:space="preserve"> 163</w:t>
      </w:r>
    </w:p>
    <w:p w14:paraId="3698C386" w14:textId="6A63E5F8" w:rsidR="005C14F9" w:rsidRDefault="00BE4475" w:rsidP="003A005E">
      <w:pPr>
        <w:spacing w:after="0" w:line="240" w:lineRule="auto"/>
        <w:ind w:left="284" w:right="-313"/>
        <w:rPr>
          <w:rFonts w:cs="Times New Roman"/>
          <w:szCs w:val="21"/>
        </w:rPr>
      </w:pPr>
      <w:r w:rsidRPr="00E56701">
        <w:rPr>
          <w:rFonts w:cs="Times New Roman"/>
          <w:color w:val="3A3128"/>
          <w:kern w:val="16"/>
          <w:szCs w:val="21"/>
          <w14:ligatures w14:val="standardContextual"/>
        </w:rPr>
        <w:t>4.12.9 Salário in natura e sua incidência</w:t>
      </w:r>
      <w:r w:rsidRPr="00E56701">
        <w:rPr>
          <w:rFonts w:cs="Times New Roman"/>
          <w:color w:val="3A3128"/>
          <w:kern w:val="16"/>
          <w:szCs w:val="21"/>
        </w:rPr>
        <w:t xml:space="preserve"> ............................................................</w:t>
      </w:r>
      <w:r w:rsidRPr="00E56701">
        <w:rPr>
          <w:rFonts w:cs="Times New Roman"/>
          <w:szCs w:val="21"/>
        </w:rPr>
        <w:t xml:space="preserve"> 164</w:t>
      </w:r>
    </w:p>
    <w:p w14:paraId="6FE37013" w14:textId="001AD13F" w:rsidR="005C14F9" w:rsidRDefault="00BE4475" w:rsidP="003A005E">
      <w:pPr>
        <w:spacing w:after="0" w:line="240" w:lineRule="auto"/>
        <w:ind w:left="284" w:right="-313"/>
        <w:rPr>
          <w:rFonts w:cs="Times New Roman"/>
          <w:szCs w:val="21"/>
        </w:rPr>
      </w:pPr>
      <w:r w:rsidRPr="00E56701">
        <w:rPr>
          <w:rFonts w:cs="Times New Roman"/>
          <w:color w:val="3A3128"/>
          <w:kern w:val="16"/>
          <w:szCs w:val="21"/>
          <w14:ligatures w14:val="standardContextual"/>
        </w:rPr>
        <w:t>4.12.10 Décimo terceiro salário e contribuição</w:t>
      </w:r>
      <w:r w:rsidRPr="00E56701">
        <w:rPr>
          <w:rFonts w:cs="Times New Roman"/>
          <w:color w:val="3A3128"/>
          <w:kern w:val="16"/>
          <w:szCs w:val="21"/>
        </w:rPr>
        <w:t xml:space="preserve"> .................................................</w:t>
      </w:r>
      <w:r w:rsidRPr="00E56701">
        <w:rPr>
          <w:rFonts w:cs="Times New Roman"/>
          <w:szCs w:val="21"/>
        </w:rPr>
        <w:t xml:space="preserve"> 165</w:t>
      </w:r>
    </w:p>
    <w:p w14:paraId="0D471701" w14:textId="7959F824" w:rsidR="005C14F9" w:rsidRDefault="00BE4475" w:rsidP="003A005E">
      <w:pPr>
        <w:spacing w:after="0" w:line="240" w:lineRule="auto"/>
        <w:ind w:left="284" w:right="-313"/>
        <w:rPr>
          <w:rFonts w:cs="Times New Roman"/>
          <w:szCs w:val="21"/>
        </w:rPr>
      </w:pPr>
      <w:r w:rsidRPr="00E56701">
        <w:rPr>
          <w:rFonts w:cs="Times New Roman"/>
          <w:color w:val="3A3128"/>
          <w:kern w:val="16"/>
          <w:szCs w:val="21"/>
          <w14:ligatures w14:val="standardContextual"/>
        </w:rPr>
        <w:t>4.13 Contribuições em atraso e indenização</w:t>
      </w:r>
      <w:r w:rsidRPr="00E56701">
        <w:rPr>
          <w:rFonts w:cs="Times New Roman"/>
          <w:color w:val="3A3128"/>
          <w:kern w:val="16"/>
          <w:szCs w:val="21"/>
        </w:rPr>
        <w:t xml:space="preserve"> .....................................................</w:t>
      </w:r>
      <w:r w:rsidRPr="00E56701">
        <w:rPr>
          <w:rFonts w:cs="Times New Roman"/>
          <w:szCs w:val="21"/>
        </w:rPr>
        <w:t xml:space="preserve"> 166</w:t>
      </w:r>
    </w:p>
    <w:p w14:paraId="09B46B43" w14:textId="6170EB60" w:rsidR="005C14F9" w:rsidRDefault="00BE4475" w:rsidP="003A005E">
      <w:pPr>
        <w:spacing w:after="0" w:line="240" w:lineRule="auto"/>
        <w:ind w:left="284" w:right="-313"/>
        <w:rPr>
          <w:rFonts w:cs="Times New Roman"/>
          <w:color w:val="3A3128"/>
          <w:kern w:val="16"/>
          <w:szCs w:val="21"/>
        </w:rPr>
      </w:pPr>
      <w:r w:rsidRPr="00E56701">
        <w:rPr>
          <w:rFonts w:cs="Times New Roman"/>
          <w:color w:val="3A3128"/>
          <w:kern w:val="16"/>
          <w:szCs w:val="21"/>
          <w14:ligatures w14:val="standardContextual"/>
        </w:rPr>
        <w:t xml:space="preserve">4.13.1 Distinção fundamental: atraso com filiação vs. </w:t>
      </w:r>
      <w:r w:rsidR="005C14F9">
        <w:rPr>
          <w:rFonts w:cs="Times New Roman"/>
          <w:color w:val="3A3128"/>
          <w:kern w:val="16"/>
          <w:szCs w:val="21"/>
          <w14:ligatures w14:val="standardContextual"/>
        </w:rPr>
        <w:t>i</w:t>
      </w:r>
      <w:r w:rsidRPr="00E56701">
        <w:rPr>
          <w:rFonts w:cs="Times New Roman"/>
          <w:color w:val="3A3128"/>
          <w:kern w:val="16"/>
          <w:szCs w:val="21"/>
          <w14:ligatures w14:val="standardContextual"/>
        </w:rPr>
        <w:t>ndenização sem filiação</w:t>
      </w:r>
      <w:r w:rsidRPr="00E56701">
        <w:rPr>
          <w:rFonts w:cs="Times New Roman"/>
          <w:color w:val="3A3128"/>
          <w:kern w:val="16"/>
          <w:szCs w:val="21"/>
        </w:rPr>
        <w:t xml:space="preserve"> .</w:t>
      </w:r>
      <w:r w:rsidR="0039419F">
        <w:rPr>
          <w:rFonts w:cs="Times New Roman"/>
          <w:color w:val="3A3128"/>
          <w:kern w:val="16"/>
          <w:szCs w:val="21"/>
        </w:rPr>
        <w:t>............................................................................................................................</w:t>
      </w:r>
      <w:r w:rsidRPr="00E56701">
        <w:rPr>
          <w:rFonts w:cs="Times New Roman"/>
          <w:color w:val="3A3128"/>
          <w:kern w:val="16"/>
          <w:szCs w:val="21"/>
        </w:rPr>
        <w:t xml:space="preserve"> 166</w:t>
      </w:r>
    </w:p>
    <w:p w14:paraId="388E2352" w14:textId="3D5737C3" w:rsidR="005C14F9" w:rsidRDefault="00BE4475" w:rsidP="003A005E">
      <w:pPr>
        <w:spacing w:after="0" w:line="240" w:lineRule="auto"/>
        <w:ind w:left="284" w:right="-313"/>
        <w:rPr>
          <w:rFonts w:cs="Times New Roman"/>
          <w:color w:val="3A3128"/>
          <w:kern w:val="16"/>
          <w:szCs w:val="21"/>
        </w:rPr>
      </w:pPr>
      <w:r w:rsidRPr="00E56701">
        <w:rPr>
          <w:rFonts w:cs="Times New Roman"/>
          <w:color w:val="3A3128"/>
          <w:kern w:val="16"/>
          <w:szCs w:val="21"/>
          <w14:ligatures w14:val="standardContextual"/>
        </w:rPr>
        <w:t>4.13.2 Requisitos para o recolhimento em atraso</w:t>
      </w:r>
      <w:r w:rsidRPr="00E56701">
        <w:rPr>
          <w:rFonts w:cs="Times New Roman"/>
          <w:color w:val="3A3128"/>
          <w:kern w:val="16"/>
          <w:szCs w:val="21"/>
        </w:rPr>
        <w:t xml:space="preserve"> .............................................</w:t>
      </w:r>
      <w:r w:rsidR="0039419F">
        <w:rPr>
          <w:rFonts w:cs="Times New Roman"/>
          <w:color w:val="3A3128"/>
          <w:kern w:val="16"/>
          <w:szCs w:val="21"/>
        </w:rPr>
        <w:t>.</w:t>
      </w:r>
      <w:r w:rsidRPr="00E56701">
        <w:rPr>
          <w:rFonts w:cs="Times New Roman"/>
          <w:color w:val="3A3128"/>
          <w:kern w:val="16"/>
          <w:szCs w:val="21"/>
        </w:rPr>
        <w:t xml:space="preserve"> 166</w:t>
      </w:r>
    </w:p>
    <w:p w14:paraId="1453E826" w14:textId="1E0662B3" w:rsidR="005C14F9" w:rsidRDefault="00BE4475" w:rsidP="003A005E">
      <w:pPr>
        <w:spacing w:after="0" w:line="240" w:lineRule="auto"/>
        <w:ind w:left="284" w:right="-313"/>
        <w:rPr>
          <w:rFonts w:cs="Times New Roman"/>
          <w:szCs w:val="21"/>
        </w:rPr>
      </w:pPr>
      <w:r w:rsidRPr="00E56701">
        <w:rPr>
          <w:rFonts w:cs="Times New Roman"/>
          <w:color w:val="3A3128"/>
          <w:kern w:val="16"/>
          <w:szCs w:val="21"/>
          <w14:ligatures w14:val="standardContextual"/>
        </w:rPr>
        <w:t>4.13.3 A controvérsia: contribuição em atraso conta para carência?</w:t>
      </w:r>
      <w:r w:rsidRPr="00E56701">
        <w:rPr>
          <w:rFonts w:cs="Times New Roman"/>
          <w:color w:val="3A3128"/>
          <w:kern w:val="16"/>
          <w:szCs w:val="21"/>
        </w:rPr>
        <w:t xml:space="preserve"> .................</w:t>
      </w:r>
      <w:r w:rsidRPr="00E56701">
        <w:rPr>
          <w:rFonts w:cs="Times New Roman"/>
          <w:szCs w:val="21"/>
        </w:rPr>
        <w:t xml:space="preserve"> 167</w:t>
      </w:r>
    </w:p>
    <w:p w14:paraId="7FE3FF3E" w14:textId="1854259B" w:rsidR="005C14F9" w:rsidRDefault="00BE4475" w:rsidP="003A005E">
      <w:pPr>
        <w:spacing w:after="0" w:line="240" w:lineRule="auto"/>
        <w:ind w:left="284" w:right="-313"/>
        <w:rPr>
          <w:rFonts w:cs="Times New Roman"/>
          <w:color w:val="3A3128"/>
          <w:kern w:val="16"/>
          <w:szCs w:val="21"/>
        </w:rPr>
      </w:pPr>
      <w:r w:rsidRPr="00E56701">
        <w:rPr>
          <w:rFonts w:cs="Times New Roman"/>
          <w:color w:val="3A3128"/>
          <w:kern w:val="16"/>
          <w:szCs w:val="21"/>
          <w14:ligatures w14:val="standardContextual"/>
        </w:rPr>
        <w:t>4.13.4 Contribuição em atraso do segurado especial</w:t>
      </w:r>
      <w:r w:rsidRPr="00E56701">
        <w:rPr>
          <w:rFonts w:cs="Times New Roman"/>
          <w:color w:val="3A3128"/>
          <w:kern w:val="16"/>
          <w:szCs w:val="21"/>
        </w:rPr>
        <w:t xml:space="preserve"> ........................................ 169</w:t>
      </w:r>
    </w:p>
    <w:p w14:paraId="354C26BC" w14:textId="1B390662" w:rsidR="005C14F9" w:rsidRDefault="00BE4475" w:rsidP="003A005E">
      <w:pPr>
        <w:spacing w:after="0" w:line="240" w:lineRule="auto"/>
        <w:ind w:left="284" w:right="-313"/>
        <w:rPr>
          <w:rFonts w:cs="Times New Roman"/>
          <w:color w:val="3A3128"/>
          <w:kern w:val="16"/>
          <w:szCs w:val="21"/>
        </w:rPr>
      </w:pPr>
      <w:r w:rsidRPr="00E56701">
        <w:rPr>
          <w:rFonts w:cs="Times New Roman"/>
          <w:color w:val="3A3128"/>
          <w:kern w:val="16"/>
          <w:szCs w:val="21"/>
          <w14:ligatures w14:val="standardContextual"/>
        </w:rPr>
        <w:t>4.13.5 Aspectos processuais nos JEFs</w:t>
      </w:r>
      <w:r w:rsidRPr="00E56701">
        <w:rPr>
          <w:rFonts w:cs="Times New Roman"/>
          <w:color w:val="3A3128"/>
          <w:kern w:val="16"/>
          <w:szCs w:val="21"/>
        </w:rPr>
        <w:t xml:space="preserve"> ................................................................ 169</w:t>
      </w:r>
    </w:p>
    <w:p w14:paraId="03947426" w14:textId="62EAE061" w:rsidR="005C14F9" w:rsidRDefault="00BE4475" w:rsidP="003A005E">
      <w:pPr>
        <w:spacing w:after="0" w:line="240" w:lineRule="auto"/>
        <w:ind w:left="284" w:right="-313"/>
        <w:rPr>
          <w:rFonts w:cs="Times New Roman"/>
          <w:color w:val="3A3128"/>
          <w:kern w:val="16"/>
          <w:szCs w:val="21"/>
        </w:rPr>
      </w:pPr>
      <w:r w:rsidRPr="00E56701">
        <w:rPr>
          <w:rFonts w:cs="Times New Roman"/>
          <w:color w:val="3A3128"/>
          <w:kern w:val="16"/>
          <w:szCs w:val="21"/>
          <w14:ligatures w14:val="standardContextual"/>
        </w:rPr>
        <w:t>4.14 Complementação de contribuições</w:t>
      </w:r>
      <w:r w:rsidRPr="00E56701">
        <w:rPr>
          <w:rFonts w:cs="Times New Roman"/>
          <w:color w:val="3A3128"/>
          <w:kern w:val="16"/>
          <w:szCs w:val="21"/>
        </w:rPr>
        <w:t xml:space="preserve"> ........................................................... 170</w:t>
      </w:r>
    </w:p>
    <w:p w14:paraId="017B45DB" w14:textId="099BB683" w:rsidR="005C14F9" w:rsidRDefault="00BE4475" w:rsidP="003A005E">
      <w:pPr>
        <w:spacing w:after="0" w:line="240" w:lineRule="auto"/>
        <w:ind w:left="284" w:right="-313"/>
        <w:rPr>
          <w:rFonts w:cs="Times New Roman"/>
          <w:color w:val="3A3128"/>
          <w:kern w:val="16"/>
          <w:szCs w:val="21"/>
        </w:rPr>
      </w:pPr>
      <w:r w:rsidRPr="00E56701">
        <w:rPr>
          <w:rFonts w:cs="Times New Roman"/>
          <w:color w:val="3A3128"/>
          <w:kern w:val="16"/>
          <w:szCs w:val="21"/>
          <w14:ligatures w14:val="standardContextual"/>
        </w:rPr>
        <w:t>4.14.1 Conceito e finalidade</w:t>
      </w:r>
      <w:r w:rsidRPr="00E56701">
        <w:rPr>
          <w:rFonts w:cs="Times New Roman"/>
          <w:color w:val="3A3128"/>
          <w:kern w:val="16"/>
          <w:szCs w:val="21"/>
        </w:rPr>
        <w:t xml:space="preserve"> .............................................................................. 170</w:t>
      </w:r>
    </w:p>
    <w:p w14:paraId="39D26799" w14:textId="487FA69E" w:rsidR="005C14F9" w:rsidRDefault="00BE4475" w:rsidP="003A005E">
      <w:pPr>
        <w:spacing w:after="0" w:line="240" w:lineRule="auto"/>
        <w:ind w:left="284" w:right="-313"/>
        <w:rPr>
          <w:rFonts w:cs="Times New Roman"/>
          <w:color w:val="3A3128"/>
          <w:kern w:val="16"/>
          <w:szCs w:val="21"/>
        </w:rPr>
      </w:pPr>
      <w:r w:rsidRPr="00E56701">
        <w:rPr>
          <w:rFonts w:cs="Times New Roman"/>
          <w:color w:val="3A3128"/>
          <w:kern w:val="16"/>
          <w:szCs w:val="21"/>
          <w14:ligatures w14:val="standardContextual"/>
        </w:rPr>
        <w:t>4.14.2 Procedimento de complementação</w:t>
      </w:r>
      <w:r w:rsidRPr="00E56701">
        <w:rPr>
          <w:rFonts w:cs="Times New Roman"/>
          <w:color w:val="3A3128"/>
          <w:kern w:val="16"/>
          <w:szCs w:val="21"/>
        </w:rPr>
        <w:t xml:space="preserve"> ........................................................ 170</w:t>
      </w:r>
    </w:p>
    <w:p w14:paraId="6AAD71BE" w14:textId="27A8C0D3" w:rsidR="005C14F9" w:rsidRDefault="00BE4475" w:rsidP="003A005E">
      <w:pPr>
        <w:spacing w:after="0" w:line="240" w:lineRule="auto"/>
        <w:ind w:left="284" w:right="-313"/>
        <w:rPr>
          <w:rFonts w:cs="Times New Roman"/>
          <w:color w:val="3A3128"/>
          <w:kern w:val="16"/>
          <w:szCs w:val="21"/>
        </w:rPr>
      </w:pPr>
      <w:r w:rsidRPr="00E56701">
        <w:rPr>
          <w:rFonts w:cs="Times New Roman"/>
          <w:color w:val="3A3128"/>
          <w:kern w:val="16"/>
          <w:szCs w:val="21"/>
          <w14:ligatures w14:val="standardContextual"/>
        </w:rPr>
        <w:t>4.14.3 Efeitos retroativos da complementação</w:t>
      </w:r>
      <w:r w:rsidRPr="00E56701">
        <w:rPr>
          <w:rFonts w:cs="Times New Roman"/>
          <w:color w:val="3A3128"/>
          <w:kern w:val="16"/>
          <w:szCs w:val="21"/>
        </w:rPr>
        <w:t xml:space="preserve"> .................................................. 171</w:t>
      </w:r>
    </w:p>
    <w:p w14:paraId="769286FD" w14:textId="7FFC8F8F" w:rsidR="005C14F9" w:rsidRDefault="00BE4475" w:rsidP="003A005E">
      <w:pPr>
        <w:spacing w:after="0" w:line="240" w:lineRule="auto"/>
        <w:ind w:left="284" w:right="-313"/>
        <w:rPr>
          <w:rFonts w:cs="Times New Roman"/>
          <w:szCs w:val="21"/>
        </w:rPr>
      </w:pPr>
      <w:r w:rsidRPr="00E56701">
        <w:rPr>
          <w:rFonts w:cs="Times New Roman"/>
          <w:color w:val="3A3128"/>
          <w:kern w:val="16"/>
          <w:szCs w:val="21"/>
          <w14:ligatures w14:val="standardContextual"/>
        </w:rPr>
        <w:t>4.14.4 Complementação parcial: estratégia</w:t>
      </w:r>
      <w:r w:rsidRPr="00E56701">
        <w:rPr>
          <w:rFonts w:cs="Times New Roman"/>
          <w:color w:val="3A3128"/>
          <w:kern w:val="16"/>
          <w:szCs w:val="21"/>
        </w:rPr>
        <w:t xml:space="preserve"> .......................................................</w:t>
      </w:r>
      <w:r w:rsidRPr="00E56701">
        <w:rPr>
          <w:rFonts w:cs="Times New Roman"/>
          <w:szCs w:val="21"/>
        </w:rPr>
        <w:t xml:space="preserve"> 172</w:t>
      </w:r>
    </w:p>
    <w:p w14:paraId="4A5F25FB" w14:textId="1D4006DD" w:rsidR="005C14F9" w:rsidRDefault="00BE4475" w:rsidP="003A005E">
      <w:pPr>
        <w:spacing w:after="0" w:line="240" w:lineRule="auto"/>
        <w:ind w:left="284" w:right="-313"/>
        <w:rPr>
          <w:rFonts w:cs="Times New Roman"/>
          <w:color w:val="3A3128"/>
          <w:kern w:val="16"/>
          <w:szCs w:val="21"/>
        </w:rPr>
      </w:pPr>
      <w:r w:rsidRPr="00E56701">
        <w:rPr>
          <w:rFonts w:cs="Times New Roman"/>
          <w:color w:val="3A3128"/>
          <w:kern w:val="16"/>
          <w:szCs w:val="21"/>
          <w14:ligatures w14:val="standardContextual"/>
        </w:rPr>
        <w:t>4.15 Contribuição em atraso: casos especiais e estratégias</w:t>
      </w:r>
      <w:r w:rsidRPr="00E56701">
        <w:rPr>
          <w:rFonts w:cs="Times New Roman"/>
          <w:color w:val="3A3128"/>
          <w:kern w:val="16"/>
          <w:szCs w:val="21"/>
        </w:rPr>
        <w:t xml:space="preserve"> ................................</w:t>
      </w:r>
      <w:r w:rsidR="0039419F">
        <w:rPr>
          <w:rFonts w:cs="Times New Roman"/>
          <w:color w:val="3A3128"/>
          <w:kern w:val="16"/>
          <w:szCs w:val="21"/>
        </w:rPr>
        <w:t>.</w:t>
      </w:r>
      <w:r w:rsidRPr="00E56701">
        <w:rPr>
          <w:rFonts w:cs="Times New Roman"/>
          <w:color w:val="3A3128"/>
          <w:kern w:val="16"/>
          <w:szCs w:val="21"/>
        </w:rPr>
        <w:t xml:space="preserve"> 173</w:t>
      </w:r>
    </w:p>
    <w:p w14:paraId="052EA3BB" w14:textId="05E377ED" w:rsidR="005C14F9" w:rsidRDefault="00BE4475" w:rsidP="003A005E">
      <w:pPr>
        <w:spacing w:after="0" w:line="240" w:lineRule="auto"/>
        <w:ind w:left="284" w:right="-313"/>
        <w:rPr>
          <w:rFonts w:cs="Times New Roman"/>
          <w:color w:val="3A3128"/>
          <w:kern w:val="16"/>
          <w:szCs w:val="21"/>
        </w:rPr>
      </w:pPr>
      <w:r w:rsidRPr="00E56701">
        <w:rPr>
          <w:rFonts w:cs="Times New Roman"/>
          <w:color w:val="3A3128"/>
          <w:kern w:val="16"/>
          <w:szCs w:val="21"/>
          <w14:ligatures w14:val="standardContextual"/>
        </w:rPr>
        <w:t>4.15.1 O CI que nunca se inscreveu</w:t>
      </w:r>
      <w:r w:rsidRPr="00E56701">
        <w:rPr>
          <w:rFonts w:cs="Times New Roman"/>
          <w:color w:val="3A3128"/>
          <w:kern w:val="16"/>
          <w:szCs w:val="21"/>
        </w:rPr>
        <w:t xml:space="preserve"> ................................................................... 173</w:t>
      </w:r>
    </w:p>
    <w:p w14:paraId="2B88EF19" w14:textId="14B5A893" w:rsidR="005C14F9" w:rsidRDefault="00BE4475" w:rsidP="003A005E">
      <w:pPr>
        <w:spacing w:after="0" w:line="240" w:lineRule="auto"/>
        <w:ind w:left="284" w:right="-313"/>
        <w:rPr>
          <w:rFonts w:cs="Times New Roman"/>
          <w:color w:val="3A3128"/>
          <w:kern w:val="16"/>
          <w:szCs w:val="21"/>
        </w:rPr>
      </w:pPr>
      <w:r w:rsidRPr="00E56701">
        <w:rPr>
          <w:rFonts w:cs="Times New Roman"/>
          <w:color w:val="3A3128"/>
          <w:kern w:val="16"/>
          <w:szCs w:val="21"/>
          <w14:ligatures w14:val="standardContextual"/>
        </w:rPr>
        <w:lastRenderedPageBreak/>
        <w:t>4.15.2 Atividades concomitantes e contribuição</w:t>
      </w:r>
      <w:r w:rsidRPr="00E56701">
        <w:rPr>
          <w:rFonts w:cs="Times New Roman"/>
          <w:color w:val="3A3128"/>
          <w:kern w:val="16"/>
          <w:szCs w:val="21"/>
        </w:rPr>
        <w:t xml:space="preserve"> .............................................. 174</w:t>
      </w:r>
    </w:p>
    <w:p w14:paraId="3EEB82D7" w14:textId="34C5A96C" w:rsidR="005C14F9" w:rsidRDefault="00BE4475" w:rsidP="003A005E">
      <w:pPr>
        <w:spacing w:after="0" w:line="240" w:lineRule="auto"/>
        <w:ind w:left="284" w:right="-313"/>
        <w:rPr>
          <w:rFonts w:cs="Times New Roman"/>
          <w:szCs w:val="21"/>
        </w:rPr>
      </w:pPr>
      <w:r w:rsidRPr="00E56701">
        <w:rPr>
          <w:rFonts w:cs="Times New Roman"/>
          <w:color w:val="3A3128"/>
          <w:kern w:val="16"/>
          <w:szCs w:val="21"/>
          <w14:ligatures w14:val="standardContextual"/>
        </w:rPr>
        <w:t>4.15.3 Prescrição e decadência do direito de recolher em atraso</w:t>
      </w:r>
      <w:r w:rsidRPr="00E56701">
        <w:rPr>
          <w:rFonts w:cs="Times New Roman"/>
          <w:color w:val="3A3128"/>
          <w:kern w:val="16"/>
          <w:szCs w:val="21"/>
        </w:rPr>
        <w:t xml:space="preserve"> ........................</w:t>
      </w:r>
      <w:r w:rsidRPr="00E56701">
        <w:rPr>
          <w:rFonts w:cs="Times New Roman"/>
          <w:szCs w:val="21"/>
        </w:rPr>
        <w:t xml:space="preserve"> 175</w:t>
      </w:r>
    </w:p>
    <w:p w14:paraId="363CC22F" w14:textId="03E2AEF8" w:rsidR="005C14F9" w:rsidRDefault="00BE4475" w:rsidP="003A005E">
      <w:pPr>
        <w:spacing w:after="0" w:line="240" w:lineRule="auto"/>
        <w:ind w:left="284" w:right="-313"/>
        <w:rPr>
          <w:rFonts w:cs="Times New Roman"/>
          <w:color w:val="3A3128"/>
          <w:kern w:val="16"/>
          <w:szCs w:val="21"/>
        </w:rPr>
      </w:pPr>
      <w:r w:rsidRPr="00E56701">
        <w:rPr>
          <w:rFonts w:cs="Times New Roman"/>
          <w:color w:val="3A3128"/>
          <w:kern w:val="16"/>
          <w:szCs w:val="21"/>
          <w14:ligatures w14:val="standardContextual"/>
        </w:rPr>
        <w:t>4.16 Contribuição durante gozo de benefício e situações especiais</w:t>
      </w:r>
      <w:r w:rsidRPr="00E56701">
        <w:rPr>
          <w:rFonts w:cs="Times New Roman"/>
          <w:color w:val="3A3128"/>
          <w:kern w:val="16"/>
          <w:szCs w:val="21"/>
        </w:rPr>
        <w:t xml:space="preserve"> .................. 176</w:t>
      </w:r>
    </w:p>
    <w:p w14:paraId="7085888A" w14:textId="012D8327" w:rsidR="005C14F9" w:rsidRDefault="00BE4475" w:rsidP="003A005E">
      <w:pPr>
        <w:spacing w:after="0" w:line="240" w:lineRule="auto"/>
        <w:ind w:left="284" w:right="-313"/>
        <w:rPr>
          <w:rFonts w:cs="Times New Roman"/>
          <w:color w:val="3A3128"/>
          <w:kern w:val="16"/>
          <w:szCs w:val="21"/>
        </w:rPr>
      </w:pPr>
      <w:r w:rsidRPr="00E56701">
        <w:rPr>
          <w:rFonts w:cs="Times New Roman"/>
          <w:color w:val="3A3128"/>
          <w:kern w:val="16"/>
          <w:szCs w:val="21"/>
          <w14:ligatures w14:val="standardContextual"/>
        </w:rPr>
        <w:t>4.16.1 Segurado em gozo de benefício por incapacidade</w:t>
      </w:r>
      <w:r w:rsidRPr="00E56701">
        <w:rPr>
          <w:rFonts w:cs="Times New Roman"/>
          <w:color w:val="3A3128"/>
          <w:kern w:val="16"/>
          <w:szCs w:val="21"/>
        </w:rPr>
        <w:t xml:space="preserve"> .................................. 176</w:t>
      </w:r>
    </w:p>
    <w:p w14:paraId="3790E490" w14:textId="7CBD75B3" w:rsidR="005C14F9" w:rsidRDefault="00BE4475" w:rsidP="003A005E">
      <w:pPr>
        <w:spacing w:after="0" w:line="240" w:lineRule="auto"/>
        <w:ind w:left="284" w:right="-313"/>
        <w:rPr>
          <w:rFonts w:cs="Times New Roman"/>
          <w:color w:val="3A3128"/>
          <w:kern w:val="16"/>
          <w:szCs w:val="21"/>
        </w:rPr>
      </w:pPr>
      <w:r w:rsidRPr="00E56701">
        <w:rPr>
          <w:rFonts w:cs="Times New Roman"/>
          <w:color w:val="3A3128"/>
          <w:kern w:val="16"/>
          <w:szCs w:val="21"/>
          <w14:ligatures w14:val="standardContextual"/>
        </w:rPr>
        <w:t>4.16.2 Período de gozo de salário-maternidade</w:t>
      </w:r>
      <w:r w:rsidRPr="00E56701">
        <w:rPr>
          <w:rFonts w:cs="Times New Roman"/>
          <w:color w:val="3A3128"/>
          <w:kern w:val="16"/>
          <w:szCs w:val="21"/>
        </w:rPr>
        <w:t xml:space="preserve"> ................................................. 177</w:t>
      </w:r>
    </w:p>
    <w:p w14:paraId="341BD46D" w14:textId="535EE458" w:rsidR="005C14F9" w:rsidRDefault="00BE4475" w:rsidP="003A005E">
      <w:pPr>
        <w:spacing w:after="0" w:line="240" w:lineRule="auto"/>
        <w:ind w:left="284" w:right="-313"/>
        <w:rPr>
          <w:rFonts w:cs="Times New Roman"/>
          <w:color w:val="3A3128"/>
          <w:kern w:val="16"/>
          <w:szCs w:val="21"/>
        </w:rPr>
      </w:pPr>
      <w:r w:rsidRPr="00E56701">
        <w:rPr>
          <w:rFonts w:cs="Times New Roman"/>
          <w:color w:val="3A3128"/>
          <w:kern w:val="16"/>
          <w:szCs w:val="21"/>
          <w14:ligatures w14:val="standardContextual"/>
        </w:rPr>
        <w:t>4.16.3 Período de serviço militar obrigatório</w:t>
      </w:r>
      <w:r w:rsidRPr="00E56701">
        <w:rPr>
          <w:rFonts w:cs="Times New Roman"/>
          <w:color w:val="3A3128"/>
          <w:kern w:val="16"/>
          <w:szCs w:val="21"/>
        </w:rPr>
        <w:t xml:space="preserve"> .................................................... 177</w:t>
      </w:r>
    </w:p>
    <w:p w14:paraId="41191F53" w14:textId="7DACAFF1" w:rsidR="005C14F9" w:rsidRDefault="00BE4475" w:rsidP="003A005E">
      <w:pPr>
        <w:spacing w:after="0" w:line="240" w:lineRule="auto"/>
        <w:ind w:left="284" w:right="-313"/>
        <w:rPr>
          <w:rFonts w:cs="Times New Roman"/>
          <w:color w:val="3A3128"/>
          <w:kern w:val="16"/>
          <w:szCs w:val="21"/>
        </w:rPr>
      </w:pPr>
      <w:r w:rsidRPr="00E56701">
        <w:rPr>
          <w:rFonts w:cs="Times New Roman"/>
          <w:color w:val="3A3128"/>
          <w:kern w:val="16"/>
          <w:szCs w:val="21"/>
          <w14:ligatures w14:val="standardContextual"/>
        </w:rPr>
        <w:t>4.16.4 Período de afastamento por acidente de trabalho</w:t>
      </w:r>
      <w:r w:rsidRPr="00E56701">
        <w:rPr>
          <w:rFonts w:cs="Times New Roman"/>
          <w:color w:val="3A3128"/>
          <w:kern w:val="16"/>
          <w:szCs w:val="21"/>
        </w:rPr>
        <w:t xml:space="preserve"> ................................... 178</w:t>
      </w:r>
    </w:p>
    <w:p w14:paraId="2686B9FA" w14:textId="45676161" w:rsidR="005C14F9" w:rsidRDefault="00BE4475" w:rsidP="003A005E">
      <w:pPr>
        <w:spacing w:after="0" w:line="240" w:lineRule="auto"/>
        <w:ind w:left="284" w:right="-313"/>
        <w:rPr>
          <w:rFonts w:cs="Times New Roman"/>
          <w:color w:val="3A3128"/>
          <w:kern w:val="16"/>
          <w:szCs w:val="21"/>
        </w:rPr>
      </w:pPr>
      <w:r w:rsidRPr="00E56701">
        <w:rPr>
          <w:rFonts w:cs="Times New Roman"/>
          <w:color w:val="3A3128"/>
          <w:kern w:val="16"/>
          <w:szCs w:val="21"/>
          <w14:ligatures w14:val="standardContextual"/>
        </w:rPr>
        <w:t>4.16.5 Recebimento de seguro-desemprego</w:t>
      </w:r>
      <w:r w:rsidRPr="00E56701">
        <w:rPr>
          <w:rFonts w:cs="Times New Roman"/>
          <w:color w:val="3A3128"/>
          <w:kern w:val="16"/>
          <w:szCs w:val="21"/>
        </w:rPr>
        <w:t xml:space="preserve"> ...................................................... 178</w:t>
      </w:r>
    </w:p>
    <w:p w14:paraId="01E9FA57" w14:textId="7C8F7855" w:rsidR="005C14F9" w:rsidRDefault="00BE4475" w:rsidP="003A005E">
      <w:pPr>
        <w:spacing w:after="0" w:line="240" w:lineRule="auto"/>
        <w:ind w:left="284" w:right="-313"/>
        <w:rPr>
          <w:rFonts w:cs="Times New Roman"/>
          <w:color w:val="3A3128"/>
          <w:kern w:val="16"/>
          <w:szCs w:val="21"/>
        </w:rPr>
      </w:pPr>
      <w:r w:rsidRPr="00E56701">
        <w:rPr>
          <w:rFonts w:cs="Times New Roman"/>
          <w:color w:val="3A3128"/>
          <w:kern w:val="16"/>
          <w:szCs w:val="21"/>
          <w14:ligatures w14:val="standardContextual"/>
        </w:rPr>
        <w:t>4.17 Compensação previdenciária entre regimes</w:t>
      </w:r>
      <w:r w:rsidRPr="00E56701">
        <w:rPr>
          <w:rFonts w:cs="Times New Roman"/>
          <w:color w:val="3A3128"/>
          <w:kern w:val="16"/>
          <w:szCs w:val="21"/>
        </w:rPr>
        <w:t xml:space="preserve"> .............................................. 179</w:t>
      </w:r>
    </w:p>
    <w:p w14:paraId="5F46C9C2" w14:textId="7976EC0E" w:rsidR="005C14F9" w:rsidRDefault="00BE4475" w:rsidP="003A005E">
      <w:pPr>
        <w:spacing w:after="0" w:line="240" w:lineRule="auto"/>
        <w:ind w:left="284" w:right="-313"/>
        <w:rPr>
          <w:rFonts w:cs="Times New Roman"/>
          <w:color w:val="3A3128"/>
          <w:kern w:val="16"/>
          <w:szCs w:val="21"/>
        </w:rPr>
      </w:pPr>
      <w:r w:rsidRPr="00E56701">
        <w:rPr>
          <w:rFonts w:cs="Times New Roman"/>
          <w:color w:val="3A3128"/>
          <w:kern w:val="16"/>
          <w:szCs w:val="21"/>
          <w14:ligatures w14:val="standardContextual"/>
        </w:rPr>
        <w:t>4.17.1 Fundamento legal e finalidade</w:t>
      </w:r>
      <w:r w:rsidRPr="00E56701">
        <w:rPr>
          <w:rFonts w:cs="Times New Roman"/>
          <w:color w:val="3A3128"/>
          <w:kern w:val="16"/>
          <w:szCs w:val="21"/>
        </w:rPr>
        <w:t xml:space="preserve"> ................................................................ 179</w:t>
      </w:r>
    </w:p>
    <w:p w14:paraId="2E745EBB" w14:textId="6005D590" w:rsidR="005C14F9" w:rsidRDefault="00BE4475" w:rsidP="003A005E">
      <w:pPr>
        <w:spacing w:after="0" w:line="240" w:lineRule="auto"/>
        <w:ind w:left="284" w:right="-313"/>
        <w:rPr>
          <w:rFonts w:cs="Times New Roman"/>
          <w:color w:val="3A3128"/>
          <w:kern w:val="16"/>
          <w:szCs w:val="21"/>
        </w:rPr>
      </w:pPr>
      <w:r w:rsidRPr="00E56701">
        <w:rPr>
          <w:rFonts w:cs="Times New Roman"/>
          <w:color w:val="3A3128"/>
          <w:kern w:val="16"/>
          <w:szCs w:val="21"/>
          <w14:ligatures w14:val="standardContextual"/>
        </w:rPr>
        <w:t>4.17.2 COMPREV: o sistema de compensação</w:t>
      </w:r>
      <w:r w:rsidRPr="00E56701">
        <w:rPr>
          <w:rFonts w:cs="Times New Roman"/>
          <w:color w:val="3A3128"/>
          <w:kern w:val="16"/>
          <w:szCs w:val="21"/>
        </w:rPr>
        <w:t xml:space="preserve"> ...............................................</w:t>
      </w:r>
      <w:r w:rsidR="0039419F">
        <w:rPr>
          <w:rFonts w:cs="Times New Roman"/>
          <w:color w:val="3A3128"/>
          <w:kern w:val="16"/>
          <w:szCs w:val="21"/>
        </w:rPr>
        <w:t>.</w:t>
      </w:r>
      <w:r w:rsidRPr="00E56701">
        <w:rPr>
          <w:rFonts w:cs="Times New Roman"/>
          <w:color w:val="3A3128"/>
          <w:kern w:val="16"/>
          <w:szCs w:val="21"/>
        </w:rPr>
        <w:t xml:space="preserve"> 179</w:t>
      </w:r>
    </w:p>
    <w:p w14:paraId="1DB208D6" w14:textId="776696F2" w:rsidR="005C14F9" w:rsidRDefault="00BE4475" w:rsidP="003A005E">
      <w:pPr>
        <w:spacing w:after="0" w:line="240" w:lineRule="auto"/>
        <w:ind w:left="284" w:right="-313"/>
        <w:rPr>
          <w:rFonts w:cs="Times New Roman"/>
          <w:color w:val="3A3128"/>
          <w:kern w:val="16"/>
          <w:szCs w:val="21"/>
        </w:rPr>
      </w:pPr>
      <w:r w:rsidRPr="00E56701">
        <w:rPr>
          <w:rFonts w:cs="Times New Roman"/>
          <w:color w:val="3A3128"/>
          <w:kern w:val="16"/>
          <w:szCs w:val="21"/>
          <w14:ligatures w14:val="standardContextual"/>
        </w:rPr>
        <w:t>4.17.3 Relevância nos JEFs</w:t>
      </w:r>
      <w:r w:rsidRPr="00E56701">
        <w:rPr>
          <w:rFonts w:cs="Times New Roman"/>
          <w:color w:val="3A3128"/>
          <w:kern w:val="16"/>
          <w:szCs w:val="21"/>
        </w:rPr>
        <w:t xml:space="preserve"> ................................................................................ 180</w:t>
      </w:r>
    </w:p>
    <w:p w14:paraId="49A7154A" w14:textId="755F0CD7" w:rsidR="005C14F9" w:rsidRDefault="00BE4475" w:rsidP="003A005E">
      <w:pPr>
        <w:spacing w:after="0" w:line="240" w:lineRule="auto"/>
        <w:ind w:left="284" w:right="-313"/>
        <w:rPr>
          <w:rFonts w:cs="Times New Roman"/>
          <w:color w:val="3A3128"/>
          <w:kern w:val="16"/>
          <w:szCs w:val="21"/>
        </w:rPr>
      </w:pPr>
      <w:r w:rsidRPr="00E56701">
        <w:rPr>
          <w:rFonts w:cs="Times New Roman"/>
          <w:color w:val="3A3128"/>
          <w:kern w:val="16"/>
          <w:szCs w:val="21"/>
          <w14:ligatures w14:val="standardContextual"/>
        </w:rPr>
        <w:t>4.18 Fiscalização, decadência e prescrição tributária previdenciária</w:t>
      </w:r>
      <w:r w:rsidRPr="00E56701">
        <w:rPr>
          <w:rFonts w:cs="Times New Roman"/>
          <w:color w:val="3A3128"/>
          <w:kern w:val="16"/>
          <w:szCs w:val="21"/>
        </w:rPr>
        <w:t xml:space="preserve"> ................. 181</w:t>
      </w:r>
    </w:p>
    <w:p w14:paraId="4273C681" w14:textId="0527B5E5" w:rsidR="005C14F9" w:rsidRDefault="00BE4475" w:rsidP="003A005E">
      <w:pPr>
        <w:spacing w:after="0" w:line="240" w:lineRule="auto"/>
        <w:ind w:left="284" w:right="-313"/>
        <w:rPr>
          <w:rFonts w:cs="Times New Roman"/>
          <w:color w:val="3A3128"/>
          <w:kern w:val="16"/>
          <w:szCs w:val="21"/>
        </w:rPr>
      </w:pPr>
      <w:r w:rsidRPr="00E56701">
        <w:rPr>
          <w:rFonts w:cs="Times New Roman"/>
          <w:color w:val="3A3128"/>
          <w:kern w:val="16"/>
          <w:szCs w:val="21"/>
          <w14:ligatures w14:val="standardContextual"/>
        </w:rPr>
        <w:t>4.18.1 Competência fiscalizatória</w:t>
      </w:r>
      <w:r w:rsidRPr="00E56701">
        <w:rPr>
          <w:rFonts w:cs="Times New Roman"/>
          <w:color w:val="3A3128"/>
          <w:kern w:val="16"/>
          <w:szCs w:val="21"/>
        </w:rPr>
        <w:t xml:space="preserve"> ...................................................................... 181</w:t>
      </w:r>
    </w:p>
    <w:p w14:paraId="4198D064" w14:textId="04D387EC" w:rsidR="005C14F9" w:rsidRDefault="00BE4475" w:rsidP="003A005E">
      <w:pPr>
        <w:spacing w:after="0" w:line="240" w:lineRule="auto"/>
        <w:ind w:left="284" w:right="-313"/>
        <w:rPr>
          <w:rFonts w:cs="Times New Roman"/>
          <w:color w:val="3A3128"/>
          <w:kern w:val="16"/>
          <w:szCs w:val="21"/>
        </w:rPr>
      </w:pPr>
      <w:r w:rsidRPr="00E56701">
        <w:rPr>
          <w:rFonts w:cs="Times New Roman"/>
          <w:color w:val="3A3128"/>
          <w:kern w:val="16"/>
          <w:szCs w:val="21"/>
          <w14:ligatures w14:val="standardContextual"/>
        </w:rPr>
        <w:t>4.18.2 Decadência do direito de lançar (art. 45, lei 8.212/91)</w:t>
      </w:r>
      <w:r w:rsidRPr="00E56701">
        <w:rPr>
          <w:rFonts w:cs="Times New Roman"/>
          <w:color w:val="3A3128"/>
          <w:kern w:val="16"/>
          <w:szCs w:val="21"/>
        </w:rPr>
        <w:t xml:space="preserve"> ........................... 181</w:t>
      </w:r>
    </w:p>
    <w:p w14:paraId="2311F4D9" w14:textId="0A4A7941" w:rsidR="005C14F9" w:rsidRDefault="00BE4475" w:rsidP="003A005E">
      <w:pPr>
        <w:spacing w:after="0" w:line="240" w:lineRule="auto"/>
        <w:ind w:left="284" w:right="-313"/>
        <w:rPr>
          <w:rFonts w:cs="Times New Roman"/>
          <w:color w:val="3A3128"/>
          <w:kern w:val="16"/>
          <w:szCs w:val="21"/>
        </w:rPr>
      </w:pPr>
      <w:r w:rsidRPr="00E56701">
        <w:rPr>
          <w:rFonts w:cs="Times New Roman"/>
          <w:color w:val="3A3128"/>
          <w:kern w:val="16"/>
          <w:szCs w:val="21"/>
          <w14:ligatures w14:val="standardContextual"/>
        </w:rPr>
        <w:t>4.18.3 Prescrição da ação de cobrança (art. 46, lei 8.212/91)</w:t>
      </w:r>
      <w:r w:rsidRPr="00E56701">
        <w:rPr>
          <w:rFonts w:cs="Times New Roman"/>
          <w:color w:val="3A3128"/>
          <w:kern w:val="16"/>
          <w:szCs w:val="21"/>
        </w:rPr>
        <w:t xml:space="preserve"> ............................ 182</w:t>
      </w:r>
    </w:p>
    <w:p w14:paraId="76C8903C" w14:textId="160A9D42" w:rsidR="005C14F9" w:rsidRDefault="00BE4475" w:rsidP="003A005E">
      <w:pPr>
        <w:spacing w:after="0" w:line="240" w:lineRule="auto"/>
        <w:ind w:left="284" w:right="-313"/>
        <w:rPr>
          <w:rFonts w:cs="Times New Roman"/>
          <w:color w:val="3A3128"/>
          <w:kern w:val="16"/>
          <w:szCs w:val="21"/>
        </w:rPr>
      </w:pPr>
      <w:r w:rsidRPr="00E56701">
        <w:rPr>
          <w:rFonts w:cs="Times New Roman"/>
          <w:color w:val="3A3128"/>
          <w:kern w:val="16"/>
          <w:szCs w:val="21"/>
          <w14:ligatures w14:val="standardContextual"/>
        </w:rPr>
        <w:t>4.18.4 Prazo decadencial para revisão de benefício (art. 103, lei 8.213/91)</w:t>
      </w:r>
      <w:r w:rsidRPr="00E56701">
        <w:rPr>
          <w:rFonts w:cs="Times New Roman"/>
          <w:color w:val="3A3128"/>
          <w:kern w:val="16"/>
          <w:szCs w:val="21"/>
        </w:rPr>
        <w:t xml:space="preserve"> ...... 182</w:t>
      </w:r>
    </w:p>
    <w:p w14:paraId="6EC3DEB7" w14:textId="0C740CCB" w:rsidR="005C14F9" w:rsidRDefault="00BE4475" w:rsidP="003A005E">
      <w:pPr>
        <w:spacing w:after="0" w:line="240" w:lineRule="auto"/>
        <w:ind w:left="284" w:right="-313"/>
        <w:rPr>
          <w:rFonts w:cs="Times New Roman"/>
          <w:szCs w:val="21"/>
        </w:rPr>
      </w:pPr>
      <w:r w:rsidRPr="00E56701">
        <w:rPr>
          <w:rFonts w:cs="Times New Roman"/>
          <w:color w:val="3A3128"/>
          <w:kern w:val="16"/>
          <w:szCs w:val="21"/>
          <w14:ligatures w14:val="standardContextual"/>
        </w:rPr>
        <w:t>4.18.5 Auto de infração e procedimento fiscal</w:t>
      </w:r>
      <w:r w:rsidRPr="00E56701">
        <w:rPr>
          <w:rFonts w:cs="Times New Roman"/>
          <w:color w:val="3A3128"/>
          <w:kern w:val="16"/>
          <w:szCs w:val="21"/>
        </w:rPr>
        <w:t xml:space="preserve"> .................................................</w:t>
      </w:r>
      <w:r w:rsidR="0039419F">
        <w:rPr>
          <w:rFonts w:cs="Times New Roman"/>
          <w:color w:val="3A3128"/>
          <w:kern w:val="16"/>
          <w:szCs w:val="21"/>
        </w:rPr>
        <w:t>.</w:t>
      </w:r>
      <w:r w:rsidRPr="00E56701">
        <w:rPr>
          <w:rFonts w:cs="Times New Roman"/>
          <w:szCs w:val="21"/>
        </w:rPr>
        <w:t xml:space="preserve"> 183</w:t>
      </w:r>
    </w:p>
    <w:p w14:paraId="53E0B12E" w14:textId="1ADA67FE" w:rsidR="005C14F9" w:rsidRDefault="00BE4475" w:rsidP="003A005E">
      <w:pPr>
        <w:spacing w:after="0" w:line="240" w:lineRule="auto"/>
        <w:ind w:left="284" w:right="-313"/>
        <w:rPr>
          <w:rFonts w:cs="Times New Roman"/>
          <w:color w:val="3A3128"/>
          <w:kern w:val="16"/>
          <w:szCs w:val="21"/>
        </w:rPr>
      </w:pPr>
      <w:r w:rsidRPr="00E56701">
        <w:rPr>
          <w:rFonts w:cs="Times New Roman"/>
          <w:color w:val="3A3128"/>
          <w:kern w:val="16"/>
          <w:szCs w:val="21"/>
          <w14:ligatures w14:val="standardContextual"/>
        </w:rPr>
        <w:t>4.18.6 Obrigações acessórias e penalidades</w:t>
      </w:r>
      <w:r w:rsidRPr="00E56701">
        <w:rPr>
          <w:rFonts w:cs="Times New Roman"/>
          <w:color w:val="3A3128"/>
          <w:kern w:val="16"/>
          <w:szCs w:val="21"/>
        </w:rPr>
        <w:t xml:space="preserve"> ........................................................ 184</w:t>
      </w:r>
    </w:p>
    <w:p w14:paraId="205F6D09" w14:textId="61B4DCAF" w:rsidR="005C14F9" w:rsidRDefault="00BE4475" w:rsidP="003A005E">
      <w:pPr>
        <w:spacing w:after="0" w:line="240" w:lineRule="auto"/>
        <w:ind w:left="284" w:right="-313"/>
        <w:rPr>
          <w:rFonts w:cs="Times New Roman"/>
          <w:color w:val="3A3128"/>
          <w:kern w:val="16"/>
          <w:szCs w:val="21"/>
        </w:rPr>
      </w:pPr>
      <w:r w:rsidRPr="00E56701">
        <w:rPr>
          <w:rFonts w:cs="Times New Roman"/>
          <w:color w:val="3A3128"/>
          <w:kern w:val="16"/>
          <w:szCs w:val="21"/>
          <w14:ligatures w14:val="standardContextual"/>
        </w:rPr>
        <w:t>4.19 Imunidade e isenção de contribuições previdenciárias</w:t>
      </w:r>
      <w:r w:rsidRPr="00E56701">
        <w:rPr>
          <w:rFonts w:cs="Times New Roman"/>
          <w:color w:val="3A3128"/>
          <w:kern w:val="16"/>
          <w:szCs w:val="21"/>
        </w:rPr>
        <w:t xml:space="preserve"> .............................. 185</w:t>
      </w:r>
    </w:p>
    <w:p w14:paraId="12A82F99" w14:textId="082057FC" w:rsidR="005C14F9" w:rsidRDefault="00BE4475" w:rsidP="003A005E">
      <w:pPr>
        <w:spacing w:after="0" w:line="240" w:lineRule="auto"/>
        <w:ind w:left="284" w:right="-313"/>
        <w:rPr>
          <w:rFonts w:cs="Times New Roman"/>
          <w:color w:val="3A3128"/>
          <w:kern w:val="16"/>
          <w:szCs w:val="21"/>
        </w:rPr>
      </w:pPr>
      <w:r w:rsidRPr="00E56701">
        <w:rPr>
          <w:rFonts w:cs="Times New Roman"/>
          <w:color w:val="3A3128"/>
          <w:kern w:val="16"/>
          <w:szCs w:val="21"/>
          <w14:ligatures w14:val="standardContextual"/>
        </w:rPr>
        <w:t>4.19.1 Imunidade das entidades beneficentes (art. 195, § 7º, CF/88)</w:t>
      </w:r>
      <w:r w:rsidRPr="00E56701">
        <w:rPr>
          <w:rFonts w:cs="Times New Roman"/>
          <w:color w:val="3A3128"/>
          <w:kern w:val="16"/>
          <w:szCs w:val="21"/>
        </w:rPr>
        <w:t xml:space="preserve"> ............... 185</w:t>
      </w:r>
    </w:p>
    <w:p w14:paraId="39CA3BC6" w14:textId="39F448EB" w:rsidR="005C14F9" w:rsidRDefault="00BE4475" w:rsidP="003A005E">
      <w:pPr>
        <w:spacing w:after="0" w:line="240" w:lineRule="auto"/>
        <w:ind w:left="284" w:right="-313"/>
        <w:rPr>
          <w:rFonts w:cs="Times New Roman"/>
          <w:szCs w:val="21"/>
        </w:rPr>
      </w:pPr>
      <w:r w:rsidRPr="00E56701">
        <w:rPr>
          <w:rFonts w:cs="Times New Roman"/>
          <w:color w:val="3A3128"/>
          <w:kern w:val="16"/>
          <w:szCs w:val="21"/>
          <w14:ligatures w14:val="standardContextual"/>
        </w:rPr>
        <w:t>4.19.2 Alcance da imunidade</w:t>
      </w:r>
      <w:r w:rsidRPr="00E56701">
        <w:rPr>
          <w:rFonts w:cs="Times New Roman"/>
          <w:color w:val="3A3128"/>
          <w:kern w:val="16"/>
          <w:szCs w:val="21"/>
        </w:rPr>
        <w:t xml:space="preserve"> .............................................................................</w:t>
      </w:r>
      <w:r w:rsidRPr="00E56701">
        <w:rPr>
          <w:rFonts w:cs="Times New Roman"/>
          <w:szCs w:val="21"/>
        </w:rPr>
        <w:t xml:space="preserve"> 186</w:t>
      </w:r>
    </w:p>
    <w:p w14:paraId="25C1D106" w14:textId="16E55810" w:rsidR="005C14F9" w:rsidRDefault="00BE4475" w:rsidP="003A005E">
      <w:pPr>
        <w:spacing w:after="0" w:line="240" w:lineRule="auto"/>
        <w:ind w:left="284" w:right="-313"/>
        <w:rPr>
          <w:rFonts w:cs="Times New Roman"/>
          <w:color w:val="3A3128"/>
          <w:kern w:val="16"/>
          <w:szCs w:val="21"/>
        </w:rPr>
      </w:pPr>
      <w:r w:rsidRPr="00E56701">
        <w:rPr>
          <w:rFonts w:cs="Times New Roman"/>
          <w:color w:val="3A3128"/>
          <w:kern w:val="16"/>
          <w:szCs w:val="21"/>
          <w14:ligatures w14:val="standardContextual"/>
        </w:rPr>
        <w:t>4.19.3 Santas casas e hospitais filantrópicos</w:t>
      </w:r>
      <w:r w:rsidRPr="00E56701">
        <w:rPr>
          <w:rFonts w:cs="Times New Roman"/>
          <w:color w:val="3A3128"/>
          <w:kern w:val="16"/>
          <w:szCs w:val="21"/>
        </w:rPr>
        <w:t xml:space="preserve"> ....................................................... 187</w:t>
      </w:r>
    </w:p>
    <w:p w14:paraId="2D8C5D71" w14:textId="58F4F13A" w:rsidR="005C14F9" w:rsidRDefault="00BE4475" w:rsidP="003A005E">
      <w:pPr>
        <w:spacing w:after="0" w:line="240" w:lineRule="auto"/>
        <w:ind w:left="284" w:right="-313"/>
        <w:rPr>
          <w:rFonts w:cs="Times New Roman"/>
          <w:color w:val="3A3128"/>
          <w:kern w:val="16"/>
          <w:szCs w:val="21"/>
        </w:rPr>
      </w:pPr>
      <w:r w:rsidRPr="00E56701">
        <w:rPr>
          <w:rFonts w:cs="Times New Roman"/>
          <w:color w:val="3A3128"/>
          <w:kern w:val="16"/>
          <w:szCs w:val="21"/>
          <w14:ligatures w14:val="standardContextual"/>
        </w:rPr>
        <w:t>4.19.4 Perda e suspensão da certificação CEBAS</w:t>
      </w:r>
      <w:r w:rsidRPr="00E56701">
        <w:rPr>
          <w:rFonts w:cs="Times New Roman"/>
          <w:color w:val="3A3128"/>
          <w:kern w:val="16"/>
          <w:szCs w:val="21"/>
        </w:rPr>
        <w:t xml:space="preserve"> ............................................... 187</w:t>
      </w:r>
    </w:p>
    <w:p w14:paraId="7FC3F99E" w14:textId="2DE29985" w:rsidR="005C14F9" w:rsidRDefault="00BE4475" w:rsidP="003A005E">
      <w:pPr>
        <w:spacing w:after="0" w:line="240" w:lineRule="auto"/>
        <w:ind w:left="284" w:right="-313"/>
        <w:rPr>
          <w:rFonts w:cs="Times New Roman"/>
          <w:color w:val="3A3128"/>
          <w:kern w:val="16"/>
          <w:szCs w:val="21"/>
        </w:rPr>
      </w:pPr>
      <w:r w:rsidRPr="00E56701">
        <w:rPr>
          <w:rFonts w:cs="Times New Roman"/>
          <w:color w:val="3A3128"/>
          <w:kern w:val="16"/>
          <w:szCs w:val="21"/>
          <w14:ligatures w14:val="standardContextual"/>
        </w:rPr>
        <w:t>4.19.5 Isenção de contribuição para entidades religiosas e partidos políticos</w:t>
      </w:r>
      <w:r w:rsidRPr="00E56701">
        <w:rPr>
          <w:rFonts w:cs="Times New Roman"/>
          <w:color w:val="3A3128"/>
          <w:kern w:val="16"/>
          <w:szCs w:val="21"/>
        </w:rPr>
        <w:t xml:space="preserve"> ... 189</w:t>
      </w:r>
    </w:p>
    <w:p w14:paraId="64B54AD9" w14:textId="13B241B8" w:rsidR="005C14F9" w:rsidRDefault="00BE4475" w:rsidP="003A005E">
      <w:pPr>
        <w:spacing w:after="0" w:line="240" w:lineRule="auto"/>
        <w:ind w:left="284" w:right="-313"/>
        <w:rPr>
          <w:rFonts w:cs="Times New Roman"/>
          <w:color w:val="3A3128"/>
          <w:kern w:val="16"/>
          <w:szCs w:val="21"/>
        </w:rPr>
      </w:pPr>
      <w:r w:rsidRPr="00E56701">
        <w:rPr>
          <w:rFonts w:cs="Times New Roman"/>
          <w:color w:val="3A3128"/>
          <w:kern w:val="16"/>
          <w:szCs w:val="21"/>
          <w14:ligatures w14:val="standardContextual"/>
        </w:rPr>
        <w:t>4.20 Restituição e compensação de contribuições indevidas</w:t>
      </w:r>
      <w:r w:rsidRPr="00E56701">
        <w:rPr>
          <w:rFonts w:cs="Times New Roman"/>
          <w:color w:val="3A3128"/>
          <w:kern w:val="16"/>
          <w:szCs w:val="21"/>
        </w:rPr>
        <w:t xml:space="preserve"> ...........................</w:t>
      </w:r>
      <w:r w:rsidR="0039419F">
        <w:rPr>
          <w:rFonts w:cs="Times New Roman"/>
          <w:color w:val="3A3128"/>
          <w:kern w:val="16"/>
          <w:szCs w:val="21"/>
        </w:rPr>
        <w:t>.</w:t>
      </w:r>
      <w:r w:rsidRPr="00E56701">
        <w:rPr>
          <w:rFonts w:cs="Times New Roman"/>
          <w:color w:val="3A3128"/>
          <w:kern w:val="16"/>
          <w:szCs w:val="21"/>
        </w:rPr>
        <w:t xml:space="preserve"> 189</w:t>
      </w:r>
    </w:p>
    <w:p w14:paraId="6AB3E2AC" w14:textId="51A8DE9B" w:rsidR="005C14F9" w:rsidRDefault="00BE4475" w:rsidP="003A005E">
      <w:pPr>
        <w:spacing w:after="0" w:line="240" w:lineRule="auto"/>
        <w:ind w:left="284" w:right="-313"/>
        <w:rPr>
          <w:rFonts w:cs="Times New Roman"/>
          <w:color w:val="3A3128"/>
          <w:kern w:val="16"/>
          <w:szCs w:val="21"/>
        </w:rPr>
      </w:pPr>
      <w:r w:rsidRPr="00E56701">
        <w:rPr>
          <w:rFonts w:cs="Times New Roman"/>
          <w:color w:val="3A3128"/>
          <w:kern w:val="16"/>
          <w:szCs w:val="21"/>
          <w14:ligatures w14:val="standardContextual"/>
        </w:rPr>
        <w:t>4.20.1 Direito à restituição</w:t>
      </w:r>
      <w:r w:rsidRPr="00E56701">
        <w:rPr>
          <w:rFonts w:cs="Times New Roman"/>
          <w:color w:val="3A3128"/>
          <w:kern w:val="16"/>
          <w:szCs w:val="21"/>
        </w:rPr>
        <w:t xml:space="preserve"> ................................................................................. 189</w:t>
      </w:r>
    </w:p>
    <w:p w14:paraId="7E48AA0F" w14:textId="4D6F969B" w:rsidR="005C14F9" w:rsidRDefault="00BE4475" w:rsidP="003A005E">
      <w:pPr>
        <w:spacing w:after="0" w:line="240" w:lineRule="auto"/>
        <w:ind w:left="284" w:right="-313"/>
        <w:rPr>
          <w:rFonts w:cs="Times New Roman"/>
          <w:color w:val="3A3128"/>
          <w:kern w:val="16"/>
          <w:szCs w:val="21"/>
        </w:rPr>
      </w:pPr>
      <w:r w:rsidRPr="00E56701">
        <w:rPr>
          <w:rFonts w:cs="Times New Roman"/>
          <w:color w:val="3A3128"/>
          <w:kern w:val="16"/>
          <w:szCs w:val="21"/>
          <w14:ligatures w14:val="standardContextual"/>
        </w:rPr>
        <w:t>4.20.2 Procedimento administrativo e judicial</w:t>
      </w:r>
      <w:r w:rsidRPr="00E56701">
        <w:rPr>
          <w:rFonts w:cs="Times New Roman"/>
          <w:color w:val="3A3128"/>
          <w:kern w:val="16"/>
          <w:szCs w:val="21"/>
        </w:rPr>
        <w:t xml:space="preserve"> .................................................</w:t>
      </w:r>
      <w:r w:rsidR="0039419F">
        <w:rPr>
          <w:rFonts w:cs="Times New Roman"/>
          <w:color w:val="3A3128"/>
          <w:kern w:val="16"/>
          <w:szCs w:val="21"/>
        </w:rPr>
        <w:t>.</w:t>
      </w:r>
      <w:r w:rsidRPr="00E56701">
        <w:rPr>
          <w:rFonts w:cs="Times New Roman"/>
          <w:color w:val="3A3128"/>
          <w:kern w:val="16"/>
          <w:szCs w:val="21"/>
        </w:rPr>
        <w:t xml:space="preserve"> 190</w:t>
      </w:r>
    </w:p>
    <w:p w14:paraId="79339DD6" w14:textId="0BACC31D" w:rsidR="005C14F9" w:rsidRDefault="00BE4475" w:rsidP="003A005E">
      <w:pPr>
        <w:spacing w:after="0" w:line="240" w:lineRule="auto"/>
        <w:ind w:left="284" w:right="-313"/>
        <w:rPr>
          <w:rFonts w:cs="Times New Roman"/>
          <w:color w:val="3A3128"/>
          <w:kern w:val="16"/>
          <w:szCs w:val="21"/>
        </w:rPr>
      </w:pPr>
      <w:r w:rsidRPr="00E56701">
        <w:rPr>
          <w:rFonts w:cs="Times New Roman"/>
          <w:color w:val="3A3128"/>
          <w:kern w:val="16"/>
          <w:szCs w:val="21"/>
          <w14:ligatures w14:val="standardContextual"/>
        </w:rPr>
        <w:t>4.20.3 Compensação entre contribuintes (empresas)</w:t>
      </w:r>
      <w:r w:rsidRPr="00E56701">
        <w:rPr>
          <w:rFonts w:cs="Times New Roman"/>
          <w:color w:val="3A3128"/>
          <w:kern w:val="16"/>
          <w:szCs w:val="21"/>
        </w:rPr>
        <w:t xml:space="preserve"> ....................................... 192</w:t>
      </w:r>
    </w:p>
    <w:p w14:paraId="365775B3" w14:textId="7A6EEFA4" w:rsidR="005C14F9" w:rsidRDefault="00BE4475" w:rsidP="003A005E">
      <w:pPr>
        <w:spacing w:after="0" w:line="240" w:lineRule="auto"/>
        <w:ind w:left="284" w:right="-313"/>
        <w:rPr>
          <w:rFonts w:cs="Times New Roman"/>
          <w:color w:val="3A3128"/>
          <w:kern w:val="16"/>
          <w:szCs w:val="21"/>
        </w:rPr>
      </w:pPr>
      <w:r w:rsidRPr="00E56701">
        <w:rPr>
          <w:rFonts w:cs="Times New Roman"/>
          <w:color w:val="3A3128"/>
          <w:kern w:val="16"/>
          <w:szCs w:val="21"/>
          <w14:ligatures w14:val="standardContextual"/>
        </w:rPr>
        <w:t>4.20.4 Restituição de contribuições do aposentado que retorna ao trabalho</w:t>
      </w:r>
      <w:r w:rsidRPr="00E56701">
        <w:rPr>
          <w:rFonts w:cs="Times New Roman"/>
          <w:color w:val="3A3128"/>
          <w:kern w:val="16"/>
          <w:szCs w:val="21"/>
        </w:rPr>
        <w:t xml:space="preserve"> ... 192</w:t>
      </w:r>
    </w:p>
    <w:p w14:paraId="2F4E2884" w14:textId="4708FA11" w:rsidR="005C14F9" w:rsidRDefault="00BE4475" w:rsidP="003A005E">
      <w:pPr>
        <w:spacing w:after="0" w:line="240" w:lineRule="auto"/>
        <w:ind w:left="284" w:right="-313"/>
        <w:rPr>
          <w:rFonts w:cs="Times New Roman"/>
          <w:szCs w:val="21"/>
        </w:rPr>
      </w:pPr>
      <w:r w:rsidRPr="00E56701">
        <w:rPr>
          <w:rFonts w:cs="Times New Roman"/>
          <w:color w:val="3A3128"/>
          <w:kern w:val="16"/>
          <w:szCs w:val="21"/>
          <w14:ligatures w14:val="standardContextual"/>
        </w:rPr>
        <w:t>4.20.5 Impacto da restituição no benefício</w:t>
      </w:r>
      <w:r w:rsidRPr="00E56701">
        <w:rPr>
          <w:rFonts w:cs="Times New Roman"/>
          <w:color w:val="3A3128"/>
          <w:kern w:val="16"/>
          <w:szCs w:val="21"/>
        </w:rPr>
        <w:t xml:space="preserve"> ......................................................</w:t>
      </w:r>
      <w:r w:rsidR="0039419F">
        <w:rPr>
          <w:rFonts w:cs="Times New Roman"/>
          <w:color w:val="3A3128"/>
          <w:kern w:val="16"/>
          <w:szCs w:val="21"/>
        </w:rPr>
        <w:t>.</w:t>
      </w:r>
      <w:r w:rsidRPr="00E56701">
        <w:rPr>
          <w:rFonts w:cs="Times New Roman"/>
          <w:szCs w:val="21"/>
        </w:rPr>
        <w:t xml:space="preserve"> 193</w:t>
      </w:r>
    </w:p>
    <w:p w14:paraId="35E8389A" w14:textId="222BA5D5" w:rsidR="005C14F9" w:rsidRDefault="00BE4475" w:rsidP="003A005E">
      <w:pPr>
        <w:spacing w:after="0" w:line="240" w:lineRule="auto"/>
        <w:ind w:left="284" w:right="-313"/>
        <w:rPr>
          <w:rFonts w:cs="Times New Roman"/>
          <w:color w:val="3A3128"/>
          <w:kern w:val="16"/>
          <w:szCs w:val="21"/>
        </w:rPr>
      </w:pPr>
      <w:r w:rsidRPr="00E56701">
        <w:rPr>
          <w:rFonts w:cs="Times New Roman"/>
          <w:color w:val="3A3128"/>
          <w:kern w:val="16"/>
          <w:szCs w:val="21"/>
          <w14:ligatures w14:val="standardContextual"/>
        </w:rPr>
        <w:t>4.21 GPS, DARF e e</w:t>
      </w:r>
      <w:r w:rsidR="005C14F9">
        <w:rPr>
          <w:rFonts w:cs="Times New Roman"/>
          <w:color w:val="3A3128"/>
          <w:kern w:val="16"/>
          <w:szCs w:val="21"/>
          <w14:ligatures w14:val="standardContextual"/>
        </w:rPr>
        <w:t>S</w:t>
      </w:r>
      <w:r w:rsidRPr="00E56701">
        <w:rPr>
          <w:rFonts w:cs="Times New Roman"/>
          <w:color w:val="3A3128"/>
          <w:kern w:val="16"/>
          <w:szCs w:val="21"/>
          <w14:ligatures w14:val="standardContextual"/>
        </w:rPr>
        <w:t>ocial: instrumentos de recolhimento</w:t>
      </w:r>
      <w:r w:rsidRPr="00E56701">
        <w:rPr>
          <w:rFonts w:cs="Times New Roman"/>
          <w:color w:val="3A3128"/>
          <w:kern w:val="16"/>
          <w:szCs w:val="21"/>
        </w:rPr>
        <w:t xml:space="preserve"> .............................. 194</w:t>
      </w:r>
    </w:p>
    <w:p w14:paraId="5E570266" w14:textId="384C9530" w:rsidR="005C14F9" w:rsidRDefault="00BE4475" w:rsidP="003A005E">
      <w:pPr>
        <w:spacing w:after="0" w:line="240" w:lineRule="auto"/>
        <w:ind w:left="284" w:right="-313"/>
        <w:rPr>
          <w:rFonts w:cs="Times New Roman"/>
          <w:color w:val="3A3128"/>
          <w:kern w:val="16"/>
          <w:szCs w:val="21"/>
        </w:rPr>
      </w:pPr>
      <w:r w:rsidRPr="00E56701">
        <w:rPr>
          <w:rFonts w:cs="Times New Roman"/>
          <w:color w:val="3A3128"/>
          <w:kern w:val="16"/>
          <w:szCs w:val="21"/>
          <w14:ligatures w14:val="standardContextual"/>
        </w:rPr>
        <w:t>4.21.1 GPS — guia da previdência social</w:t>
      </w:r>
      <w:r w:rsidRPr="00E56701">
        <w:rPr>
          <w:rFonts w:cs="Times New Roman"/>
          <w:color w:val="3A3128"/>
          <w:kern w:val="16"/>
          <w:szCs w:val="21"/>
        </w:rPr>
        <w:t xml:space="preserve"> ........................................................... 194</w:t>
      </w:r>
    </w:p>
    <w:p w14:paraId="2A489116" w14:textId="73292C7A" w:rsidR="005C14F9" w:rsidRDefault="00BE4475" w:rsidP="003A005E">
      <w:pPr>
        <w:spacing w:after="0" w:line="240" w:lineRule="auto"/>
        <w:ind w:left="284" w:right="-313"/>
        <w:rPr>
          <w:rFonts w:cs="Times New Roman"/>
          <w:szCs w:val="21"/>
        </w:rPr>
      </w:pPr>
      <w:r w:rsidRPr="00E56701">
        <w:rPr>
          <w:rFonts w:cs="Times New Roman"/>
          <w:color w:val="3A3128"/>
          <w:kern w:val="16"/>
          <w:szCs w:val="21"/>
          <w14:ligatures w14:val="standardContextual"/>
        </w:rPr>
        <w:t>4.21.2 E</w:t>
      </w:r>
      <w:r w:rsidRPr="00E56701">
        <w:rPr>
          <w:rFonts w:cs="Times New Roman"/>
          <w:color w:val="3A3128"/>
          <w:kern w:val="16"/>
          <w:szCs w:val="21"/>
        </w:rPr>
        <w:t>S</w:t>
      </w:r>
      <w:r w:rsidRPr="00E56701">
        <w:rPr>
          <w:rFonts w:cs="Times New Roman"/>
          <w:color w:val="3A3128"/>
          <w:kern w:val="16"/>
          <w:szCs w:val="21"/>
          <w14:ligatures w14:val="standardContextual"/>
        </w:rPr>
        <w:t>ocial e DCTF-Web</w:t>
      </w:r>
      <w:r w:rsidRPr="00E56701">
        <w:rPr>
          <w:rFonts w:cs="Times New Roman"/>
          <w:color w:val="3A3128"/>
          <w:kern w:val="16"/>
          <w:szCs w:val="21"/>
        </w:rPr>
        <w:t xml:space="preserve"> ..............................................................................</w:t>
      </w:r>
      <w:r w:rsidRPr="00E56701">
        <w:rPr>
          <w:rFonts w:cs="Times New Roman"/>
          <w:szCs w:val="21"/>
        </w:rPr>
        <w:t xml:space="preserve"> 195</w:t>
      </w:r>
    </w:p>
    <w:p w14:paraId="59E49ABE" w14:textId="6A79617B" w:rsidR="005C14F9" w:rsidRDefault="00BE4475" w:rsidP="003A005E">
      <w:pPr>
        <w:spacing w:after="0" w:line="240" w:lineRule="auto"/>
        <w:ind w:left="284" w:right="-313"/>
        <w:rPr>
          <w:rFonts w:cs="Times New Roman"/>
          <w:color w:val="3A3128"/>
          <w:kern w:val="16"/>
          <w:szCs w:val="21"/>
        </w:rPr>
      </w:pPr>
      <w:r w:rsidRPr="00E56701">
        <w:rPr>
          <w:rFonts w:cs="Times New Roman"/>
          <w:color w:val="3A3128"/>
          <w:kern w:val="16"/>
          <w:szCs w:val="21"/>
          <w14:ligatures w14:val="standardContextual"/>
        </w:rPr>
        <w:t>4.21.3 CNIS como espelho das contribuições</w:t>
      </w:r>
      <w:r w:rsidRPr="00E56701">
        <w:rPr>
          <w:rFonts w:cs="Times New Roman"/>
          <w:color w:val="3A3128"/>
          <w:kern w:val="16"/>
          <w:szCs w:val="21"/>
        </w:rPr>
        <w:t xml:space="preserve"> ................................................... 196</w:t>
      </w:r>
    </w:p>
    <w:p w14:paraId="54EB6366" w14:textId="17309A26" w:rsidR="005C14F9" w:rsidRDefault="00BE4475" w:rsidP="003A005E">
      <w:pPr>
        <w:spacing w:after="0" w:line="240" w:lineRule="auto"/>
        <w:ind w:left="284" w:right="-313"/>
        <w:rPr>
          <w:rFonts w:cs="Times New Roman"/>
          <w:color w:val="3A3128"/>
          <w:kern w:val="16"/>
          <w:szCs w:val="21"/>
        </w:rPr>
      </w:pPr>
      <w:r w:rsidRPr="00E56701">
        <w:rPr>
          <w:rFonts w:cs="Times New Roman"/>
          <w:color w:val="3A3128"/>
          <w:kern w:val="16"/>
          <w:szCs w:val="21"/>
          <w14:ligatures w14:val="standardContextual"/>
        </w:rPr>
        <w:t>4.22 Aspectos práticos nos juizados especiais federais</w:t>
      </w:r>
      <w:r w:rsidRPr="00E56701">
        <w:rPr>
          <w:rFonts w:cs="Times New Roman"/>
          <w:color w:val="3A3128"/>
          <w:kern w:val="16"/>
          <w:szCs w:val="21"/>
        </w:rPr>
        <w:t xml:space="preserve"> ....................................... 197</w:t>
      </w:r>
    </w:p>
    <w:p w14:paraId="2F5121DB" w14:textId="08663235" w:rsidR="005C14F9" w:rsidRDefault="00BE4475" w:rsidP="003A005E">
      <w:pPr>
        <w:spacing w:after="0" w:line="240" w:lineRule="auto"/>
        <w:ind w:left="284" w:right="-313"/>
        <w:rPr>
          <w:rFonts w:cs="Times New Roman"/>
          <w:color w:val="3A3128"/>
          <w:kern w:val="16"/>
          <w:szCs w:val="21"/>
        </w:rPr>
      </w:pPr>
      <w:r w:rsidRPr="00E56701">
        <w:rPr>
          <w:rFonts w:cs="Times New Roman"/>
          <w:color w:val="3A3128"/>
          <w:kern w:val="16"/>
          <w:szCs w:val="21"/>
          <w14:ligatures w14:val="standardContextual"/>
        </w:rPr>
        <w:lastRenderedPageBreak/>
        <w:t>4.22.1 Competência do JEF para questões de custeio</w:t>
      </w:r>
      <w:r w:rsidRPr="00E56701">
        <w:rPr>
          <w:rFonts w:cs="Times New Roman"/>
          <w:color w:val="3A3128"/>
          <w:kern w:val="16"/>
          <w:szCs w:val="21"/>
        </w:rPr>
        <w:t xml:space="preserve"> ....................................... 197</w:t>
      </w:r>
    </w:p>
    <w:p w14:paraId="7786F0E9" w14:textId="085AC8CA" w:rsidR="005C14F9" w:rsidRDefault="00BE4475" w:rsidP="003A005E">
      <w:pPr>
        <w:spacing w:after="0" w:line="240" w:lineRule="auto"/>
        <w:ind w:left="284" w:right="-313"/>
        <w:rPr>
          <w:rFonts w:cs="Times New Roman"/>
          <w:color w:val="3A3128"/>
          <w:kern w:val="16"/>
          <w:szCs w:val="21"/>
        </w:rPr>
      </w:pPr>
      <w:r w:rsidRPr="00E56701">
        <w:rPr>
          <w:rFonts w:cs="Times New Roman"/>
          <w:color w:val="3A3128"/>
          <w:kern w:val="16"/>
          <w:szCs w:val="21"/>
          <w14:ligatures w14:val="standardContextual"/>
        </w:rPr>
        <w:t>4.22.2 Questões de custeio incidentais</w:t>
      </w:r>
      <w:r w:rsidRPr="00E56701">
        <w:rPr>
          <w:rFonts w:cs="Times New Roman"/>
          <w:color w:val="3A3128"/>
          <w:kern w:val="16"/>
          <w:szCs w:val="21"/>
        </w:rPr>
        <w:t xml:space="preserve"> .............................................................. 197</w:t>
      </w:r>
    </w:p>
    <w:p w14:paraId="65CE2519" w14:textId="72A9B161" w:rsidR="005C14F9" w:rsidRDefault="00BE4475" w:rsidP="003A005E">
      <w:pPr>
        <w:spacing w:after="0" w:line="240" w:lineRule="auto"/>
        <w:ind w:left="284" w:right="-313"/>
        <w:rPr>
          <w:rFonts w:cs="Times New Roman"/>
          <w:color w:val="3A3128"/>
          <w:kern w:val="16"/>
          <w:szCs w:val="21"/>
        </w:rPr>
      </w:pPr>
      <w:r w:rsidRPr="00E56701">
        <w:rPr>
          <w:rFonts w:cs="Times New Roman"/>
          <w:color w:val="3A3128"/>
          <w:kern w:val="16"/>
          <w:szCs w:val="21"/>
          <w14:ligatures w14:val="standardContextual"/>
        </w:rPr>
        <w:t>4.22.3 Prova do recolhimento</w:t>
      </w:r>
      <w:r w:rsidRPr="00E56701">
        <w:rPr>
          <w:rFonts w:cs="Times New Roman"/>
          <w:color w:val="3A3128"/>
          <w:kern w:val="16"/>
          <w:szCs w:val="21"/>
        </w:rPr>
        <w:t xml:space="preserve"> ............................................................................ 198</w:t>
      </w:r>
    </w:p>
    <w:p w14:paraId="624D17C8" w14:textId="244A6E2F" w:rsidR="005C14F9" w:rsidRDefault="00BE4475" w:rsidP="003A005E">
      <w:pPr>
        <w:spacing w:after="0" w:line="240" w:lineRule="auto"/>
        <w:ind w:left="284" w:right="-313"/>
        <w:rPr>
          <w:rFonts w:cs="Times New Roman"/>
          <w:color w:val="3A3128"/>
          <w:kern w:val="16"/>
          <w:szCs w:val="21"/>
        </w:rPr>
      </w:pPr>
      <w:r w:rsidRPr="00E56701">
        <w:rPr>
          <w:rFonts w:cs="Times New Roman"/>
          <w:color w:val="3A3128"/>
          <w:kern w:val="16"/>
          <w:szCs w:val="21"/>
          <w14:ligatures w14:val="standardContextual"/>
        </w:rPr>
        <w:t>4.22.4 Orientação ao segurado: planejamento contributivo</w:t>
      </w:r>
      <w:r w:rsidRPr="00E56701">
        <w:rPr>
          <w:rFonts w:cs="Times New Roman"/>
          <w:color w:val="3A3128"/>
          <w:kern w:val="16"/>
          <w:szCs w:val="21"/>
        </w:rPr>
        <w:t xml:space="preserve"> ............................. 199</w:t>
      </w:r>
    </w:p>
    <w:p w14:paraId="71843F5A" w14:textId="070EFCDA" w:rsidR="005C14F9" w:rsidRDefault="00BE4475" w:rsidP="003A005E">
      <w:pPr>
        <w:spacing w:after="0" w:line="240" w:lineRule="auto"/>
        <w:ind w:left="284" w:right="-313"/>
        <w:rPr>
          <w:rFonts w:cs="Times New Roman"/>
          <w:color w:val="3A3128"/>
          <w:kern w:val="16"/>
          <w:szCs w:val="21"/>
        </w:rPr>
      </w:pPr>
      <w:r w:rsidRPr="00E56701">
        <w:rPr>
          <w:rFonts w:cs="Times New Roman"/>
          <w:color w:val="3A3128"/>
          <w:kern w:val="16"/>
          <w:szCs w:val="21"/>
          <w14:ligatures w14:val="standardContextual"/>
        </w:rPr>
        <w:t>4.22.5 Causas mais comuns no JEF envolvendo custeio</w:t>
      </w:r>
      <w:r w:rsidRPr="00E56701">
        <w:rPr>
          <w:rFonts w:cs="Times New Roman"/>
          <w:color w:val="3A3128"/>
          <w:kern w:val="16"/>
          <w:szCs w:val="21"/>
        </w:rPr>
        <w:t xml:space="preserve"> ................................... 200</w:t>
      </w:r>
    </w:p>
    <w:p w14:paraId="0EC099E7" w14:textId="39472D7B" w:rsidR="005C14F9" w:rsidRDefault="00BE4475" w:rsidP="003A005E">
      <w:pPr>
        <w:spacing w:after="0" w:line="240" w:lineRule="auto"/>
        <w:ind w:left="284" w:right="-313"/>
        <w:rPr>
          <w:rFonts w:cs="Times New Roman"/>
          <w:szCs w:val="21"/>
        </w:rPr>
      </w:pPr>
      <w:r w:rsidRPr="00E56701">
        <w:rPr>
          <w:rFonts w:cs="Times New Roman"/>
          <w:color w:val="3A3128"/>
          <w:kern w:val="16"/>
          <w:szCs w:val="21"/>
          <w14:ligatures w14:val="standardContextual"/>
        </w:rPr>
        <w:t>4.22.6 Tutela de urgência em ações de custeio</w:t>
      </w:r>
      <w:r w:rsidRPr="00E56701">
        <w:rPr>
          <w:rFonts w:cs="Times New Roman"/>
          <w:color w:val="3A3128"/>
          <w:kern w:val="16"/>
          <w:szCs w:val="21"/>
        </w:rPr>
        <w:t xml:space="preserve"> ...................................................</w:t>
      </w:r>
      <w:r w:rsidRPr="00E56701">
        <w:rPr>
          <w:rFonts w:cs="Times New Roman"/>
          <w:szCs w:val="21"/>
        </w:rPr>
        <w:t xml:space="preserve"> 201</w:t>
      </w:r>
    </w:p>
    <w:p w14:paraId="176FA9BE" w14:textId="49C93DBB" w:rsidR="005C14F9" w:rsidRDefault="00BE4475" w:rsidP="003A005E">
      <w:pPr>
        <w:spacing w:after="0" w:line="240" w:lineRule="auto"/>
        <w:ind w:left="284" w:right="-313"/>
        <w:rPr>
          <w:rFonts w:cs="Times New Roman"/>
          <w:color w:val="3A3128"/>
          <w:kern w:val="16"/>
          <w:szCs w:val="21"/>
        </w:rPr>
      </w:pPr>
      <w:r w:rsidRPr="00E56701">
        <w:rPr>
          <w:rFonts w:cs="Times New Roman"/>
          <w:color w:val="3A3128"/>
          <w:kern w:val="16"/>
          <w:szCs w:val="21"/>
          <w14:ligatures w14:val="standardContextual"/>
        </w:rPr>
        <w:t>4.22.7 Jurisprudência selecionada: custeio nos JEFs</w:t>
      </w:r>
      <w:r w:rsidRPr="00E56701">
        <w:rPr>
          <w:rFonts w:cs="Times New Roman"/>
          <w:color w:val="3A3128"/>
          <w:kern w:val="16"/>
          <w:szCs w:val="21"/>
        </w:rPr>
        <w:t xml:space="preserve"> ......................................... 202</w:t>
      </w:r>
    </w:p>
    <w:p w14:paraId="31F48044" w14:textId="1C6312BF" w:rsidR="005C14F9" w:rsidRDefault="00BE4475" w:rsidP="003A005E">
      <w:pPr>
        <w:spacing w:after="0" w:line="240" w:lineRule="auto"/>
        <w:ind w:left="284" w:right="-313"/>
        <w:rPr>
          <w:rFonts w:cs="Times New Roman"/>
          <w:szCs w:val="21"/>
        </w:rPr>
      </w:pPr>
      <w:r w:rsidRPr="00E56701">
        <w:rPr>
          <w:rFonts w:cs="Times New Roman"/>
          <w:color w:val="3A3128"/>
          <w:kern w:val="16"/>
          <w:szCs w:val="21"/>
          <w14:ligatures w14:val="standardContextual"/>
        </w:rPr>
        <w:t>4.22.8 Cooperativas de trabalho e contribuição previdenciária</w:t>
      </w:r>
      <w:r w:rsidRPr="00E56701">
        <w:rPr>
          <w:rFonts w:cs="Times New Roman"/>
          <w:color w:val="3A3128"/>
          <w:kern w:val="16"/>
          <w:szCs w:val="21"/>
        </w:rPr>
        <w:t xml:space="preserve"> ........................</w:t>
      </w:r>
      <w:r w:rsidRPr="00E56701">
        <w:rPr>
          <w:rFonts w:cs="Times New Roman"/>
          <w:szCs w:val="21"/>
        </w:rPr>
        <w:t xml:space="preserve"> 203</w:t>
      </w:r>
    </w:p>
    <w:p w14:paraId="539F2A46" w14:textId="77777777" w:rsidR="0039419F" w:rsidRDefault="00BE4475" w:rsidP="003A005E">
      <w:pPr>
        <w:spacing w:after="0" w:line="240" w:lineRule="auto"/>
        <w:ind w:left="284" w:right="-313"/>
        <w:rPr>
          <w:rFonts w:cs="Times New Roman"/>
          <w:color w:val="3A3128"/>
          <w:kern w:val="16"/>
          <w:szCs w:val="21"/>
        </w:rPr>
      </w:pPr>
      <w:r w:rsidRPr="00E56701">
        <w:rPr>
          <w:rFonts w:cs="Times New Roman"/>
          <w:color w:val="3A3128"/>
          <w:kern w:val="16"/>
          <w:szCs w:val="21"/>
          <w14:ligatures w14:val="standardContextual"/>
        </w:rPr>
        <w:t>4.23 Síntese e quadro comparativo</w:t>
      </w:r>
      <w:r w:rsidRPr="00E56701">
        <w:rPr>
          <w:rFonts w:cs="Times New Roman"/>
          <w:color w:val="3A3128"/>
          <w:kern w:val="16"/>
          <w:szCs w:val="21"/>
        </w:rPr>
        <w:t xml:space="preserve"> .................................................................... 206</w:t>
      </w:r>
    </w:p>
    <w:p w14:paraId="6B1581D0" w14:textId="60C52FA7" w:rsidR="0039419F" w:rsidRDefault="0039419F" w:rsidP="003A005E">
      <w:pPr>
        <w:spacing w:after="0" w:line="240" w:lineRule="auto"/>
        <w:ind w:left="284" w:right="-313"/>
        <w:rPr>
          <w:szCs w:val="21"/>
        </w:rPr>
      </w:pPr>
      <w:r w:rsidRPr="00E56701">
        <w:rPr>
          <w:szCs w:val="21"/>
        </w:rPr>
        <w:t>Capítulo 5 — Reconhecimento, Cômputo e Averbação de Tempo de Contribuição ................................................................................................................</w:t>
      </w:r>
      <w:r>
        <w:rPr>
          <w:szCs w:val="21"/>
        </w:rPr>
        <w:t>.</w:t>
      </w:r>
      <w:r w:rsidRPr="00E56701">
        <w:rPr>
          <w:szCs w:val="21"/>
        </w:rPr>
        <w:t xml:space="preserve"> 209</w:t>
      </w:r>
    </w:p>
    <w:p w14:paraId="014D9D34" w14:textId="31BFD69B" w:rsidR="0039419F" w:rsidRDefault="0039419F" w:rsidP="003A005E">
      <w:pPr>
        <w:spacing w:after="0" w:line="240" w:lineRule="auto"/>
        <w:ind w:left="284" w:right="-313"/>
        <w:rPr>
          <w:rFonts w:cs="EB Garamond"/>
          <w:bCs/>
          <w:color w:val="3A3128"/>
          <w:kern w:val="16"/>
          <w:szCs w:val="21"/>
        </w:rPr>
      </w:pPr>
      <w:r w:rsidRPr="00E56701">
        <w:rPr>
          <w:rFonts w:cs="EB Garamond"/>
          <w:bCs/>
          <w:color w:val="3A3128"/>
          <w:kern w:val="16"/>
          <w:szCs w:val="21"/>
          <w14:ligatures w14:val="standardContextual"/>
        </w:rPr>
        <w:t>5.1 Introdução: a centralidade do tempo de contribuição no direito previdenciário</w:t>
      </w:r>
      <w:r w:rsidRPr="00E56701">
        <w:rPr>
          <w:rFonts w:cs="EB Garamond"/>
          <w:bCs/>
          <w:color w:val="3A3128"/>
          <w:kern w:val="16"/>
          <w:szCs w:val="21"/>
        </w:rPr>
        <w:t xml:space="preserve"> ......</w:t>
      </w:r>
      <w:r w:rsidR="004F4648">
        <w:rPr>
          <w:rFonts w:cs="EB Garamond"/>
          <w:bCs/>
          <w:color w:val="3A3128"/>
          <w:kern w:val="16"/>
          <w:szCs w:val="21"/>
        </w:rPr>
        <w:t>.................................................................................................................</w:t>
      </w:r>
      <w:r w:rsidRPr="00E56701">
        <w:rPr>
          <w:rFonts w:cs="EB Garamond"/>
          <w:bCs/>
          <w:color w:val="3A3128"/>
          <w:kern w:val="16"/>
          <w:szCs w:val="21"/>
        </w:rPr>
        <w:t xml:space="preserve"> 209</w:t>
      </w:r>
    </w:p>
    <w:p w14:paraId="0DA39F94" w14:textId="3AA8A61C" w:rsidR="0039419F" w:rsidRDefault="0039419F" w:rsidP="003A005E">
      <w:pPr>
        <w:spacing w:after="0" w:line="240" w:lineRule="auto"/>
        <w:ind w:left="284" w:right="-313"/>
        <w:rPr>
          <w:bCs/>
          <w:szCs w:val="21"/>
        </w:rPr>
      </w:pPr>
      <w:r w:rsidRPr="00E56701">
        <w:rPr>
          <w:bCs/>
          <w:szCs w:val="21"/>
        </w:rPr>
        <w:t>5.2 CNIS: o Cadastro Nacional de Informações Sociais ..................................</w:t>
      </w:r>
      <w:r w:rsidR="004F4648">
        <w:rPr>
          <w:bCs/>
          <w:szCs w:val="21"/>
        </w:rPr>
        <w:t>.</w:t>
      </w:r>
      <w:r w:rsidRPr="00E56701">
        <w:rPr>
          <w:bCs/>
          <w:szCs w:val="21"/>
        </w:rPr>
        <w:t xml:space="preserve"> 210 </w:t>
      </w:r>
      <w:r w:rsidRPr="00E56701">
        <w:rPr>
          <w:bCs/>
          <w:szCs w:val="21"/>
        </w:rPr>
        <w:br/>
        <w:t>5.2.1 Natureza jurídica e força probatória ......................................................... 210</w:t>
      </w:r>
      <w:r w:rsidRPr="00E56701">
        <w:rPr>
          <w:bCs/>
          <w:szCs w:val="21"/>
        </w:rPr>
        <w:br/>
        <w:t>5.2.2 Alimentação do CNIS .............................................................................. 211</w:t>
      </w:r>
      <w:r w:rsidRPr="00E56701">
        <w:rPr>
          <w:bCs/>
          <w:szCs w:val="21"/>
        </w:rPr>
        <w:br/>
        <w:t>5.2.3 Extemporaneidade e indicadores de pendência ........................................ 212</w:t>
      </w:r>
      <w:r w:rsidRPr="00E56701">
        <w:rPr>
          <w:bCs/>
          <w:szCs w:val="21"/>
        </w:rPr>
        <w:br/>
        <w:t>5.2.4 CNIS e a inversão do ônus da prova ......................................................... 213</w:t>
      </w:r>
      <w:r w:rsidRPr="00E56701">
        <w:rPr>
          <w:bCs/>
          <w:szCs w:val="21"/>
        </w:rPr>
        <w:br/>
        <w:t>5.2.5 Reclamatória trabalhista e reflexos no CNIS ........................................... 214</w:t>
      </w:r>
      <w:r w:rsidRPr="00E56701">
        <w:rPr>
          <w:bCs/>
          <w:szCs w:val="21"/>
        </w:rPr>
        <w:br/>
        <w:t>5.2.6 O CNIS como instrumento de planejamento previdenciário ................. 216</w:t>
      </w:r>
    </w:p>
    <w:p w14:paraId="751637E5" w14:textId="19911AC4" w:rsidR="0039419F" w:rsidRDefault="0039419F" w:rsidP="003A005E">
      <w:pPr>
        <w:spacing w:after="0" w:line="240" w:lineRule="auto"/>
        <w:ind w:left="284" w:right="-313"/>
        <w:rPr>
          <w:bCs/>
          <w:szCs w:val="21"/>
        </w:rPr>
      </w:pPr>
      <w:r w:rsidRPr="00E56701">
        <w:rPr>
          <w:bCs/>
          <w:szCs w:val="21"/>
        </w:rPr>
        <w:t>5.3 Retificação de dados do CNIS ..................................................................... 217</w:t>
      </w:r>
      <w:r w:rsidRPr="00E56701">
        <w:rPr>
          <w:bCs/>
          <w:szCs w:val="21"/>
        </w:rPr>
        <w:br/>
        <w:t>5.3.1 Via administrativa (INSS) ......................................................................... 217</w:t>
      </w:r>
      <w:r w:rsidRPr="00E56701">
        <w:rPr>
          <w:bCs/>
          <w:szCs w:val="21"/>
        </w:rPr>
        <w:br/>
        <w:t>5.3.2 Via judicial (JEF) ....................................................................................... 218</w:t>
      </w:r>
      <w:r w:rsidRPr="00E56701">
        <w:rPr>
          <w:bCs/>
          <w:szCs w:val="21"/>
        </w:rPr>
        <w:br/>
        <w:t>5.3.3 Retificação de remunerações — impacto no cálculo do benefício .......... 219</w:t>
      </w:r>
      <w:r w:rsidRPr="00E56701">
        <w:rPr>
          <w:bCs/>
          <w:szCs w:val="21"/>
        </w:rPr>
        <w:br/>
        <w:t>5.3.4 Retificação decorrente de sentença trabalhista ........................................ 220</w:t>
      </w:r>
      <w:r w:rsidRPr="00E56701">
        <w:rPr>
          <w:bCs/>
          <w:szCs w:val="21"/>
        </w:rPr>
        <w:br/>
        <w:t>5.3.5 Retificação e o prazo decadencial — questão controversa ....................... 220</w:t>
      </w:r>
      <w:r w:rsidRPr="00E56701">
        <w:rPr>
          <w:bCs/>
          <w:szCs w:val="21"/>
        </w:rPr>
        <w:br/>
        <w:t>5.3.6 Competência e cumulação de pedidos ....................................................</w:t>
      </w:r>
      <w:r w:rsidR="00D5295C">
        <w:rPr>
          <w:bCs/>
          <w:szCs w:val="21"/>
        </w:rPr>
        <w:t>.</w:t>
      </w:r>
      <w:r w:rsidRPr="00E56701">
        <w:rPr>
          <w:bCs/>
          <w:szCs w:val="21"/>
        </w:rPr>
        <w:t xml:space="preserve"> 221</w:t>
      </w:r>
    </w:p>
    <w:p w14:paraId="3D0CCD01" w14:textId="7520456D" w:rsidR="0039419F" w:rsidRDefault="0039419F" w:rsidP="003A005E">
      <w:pPr>
        <w:spacing w:after="0" w:line="240" w:lineRule="auto"/>
        <w:ind w:left="284" w:right="-313"/>
        <w:rPr>
          <w:bCs/>
          <w:szCs w:val="21"/>
        </w:rPr>
      </w:pPr>
      <w:r w:rsidRPr="00E56701">
        <w:rPr>
          <w:bCs/>
          <w:szCs w:val="21"/>
        </w:rPr>
        <w:t>5.4 Atividade rural anterior a novembro de 1991 .............................................. 222</w:t>
      </w:r>
      <w:r w:rsidRPr="00E56701">
        <w:rPr>
          <w:bCs/>
          <w:szCs w:val="21"/>
        </w:rPr>
        <w:br/>
        <w:t>5.4.1 Fundamento legal e regra geral .................................................................. 222</w:t>
      </w:r>
      <w:r w:rsidRPr="00E56701">
        <w:rPr>
          <w:bCs/>
          <w:szCs w:val="21"/>
        </w:rPr>
        <w:br/>
        <w:t>5.4.2 Exigência de início de prova material ........................................................ 223</w:t>
      </w:r>
      <w:r w:rsidRPr="00E56701">
        <w:rPr>
          <w:bCs/>
          <w:szCs w:val="21"/>
        </w:rPr>
        <w:br/>
        <w:t>5.4.3 Extensão temporal da prova — Súmula 577/STJ .................................... 224</w:t>
      </w:r>
      <w:r w:rsidRPr="00E56701">
        <w:rPr>
          <w:bCs/>
          <w:szCs w:val="21"/>
        </w:rPr>
        <w:br/>
        <w:t>5.4.4 Documentos em nome de terceiros — cônjuge e família ......................... 224</w:t>
      </w:r>
      <w:r w:rsidRPr="00E56701">
        <w:rPr>
          <w:bCs/>
          <w:szCs w:val="21"/>
        </w:rPr>
        <w:br/>
        <w:t>5.4.5 O limite etário e o trabalho rural na infância ............................................ 225</w:t>
      </w:r>
      <w:r w:rsidRPr="00E56701">
        <w:rPr>
          <w:bCs/>
          <w:szCs w:val="21"/>
        </w:rPr>
        <w:br/>
        <w:t>5.4.6 Descontinuidade da atividade rural e descaracterização .......................... 226</w:t>
      </w:r>
      <w:r w:rsidRPr="00E56701">
        <w:rPr>
          <w:bCs/>
          <w:szCs w:val="21"/>
        </w:rPr>
        <w:br/>
        <w:t>5.4.7 Atividade rural e aposentadoria por tempo de contribuição urbana ....... 227</w:t>
      </w:r>
      <w:r w:rsidRPr="00E56701">
        <w:rPr>
          <w:bCs/>
          <w:szCs w:val="21"/>
        </w:rPr>
        <w:br/>
        <w:t>5.4.8 Atividade rural pós-1991: a exigência de contribuição ou indenização ... 228</w:t>
      </w:r>
    </w:p>
    <w:p w14:paraId="09171DF4" w14:textId="25F9ABB5" w:rsidR="0039419F" w:rsidRDefault="0039419F" w:rsidP="003A005E">
      <w:pPr>
        <w:spacing w:after="0" w:line="240" w:lineRule="auto"/>
        <w:ind w:left="284" w:right="-313"/>
        <w:rPr>
          <w:bCs/>
          <w:szCs w:val="21"/>
        </w:rPr>
      </w:pPr>
      <w:r w:rsidRPr="00E56701">
        <w:rPr>
          <w:bCs/>
          <w:szCs w:val="21"/>
        </w:rPr>
        <w:lastRenderedPageBreak/>
        <w:t>5.5 Tempo de serviço militar obrigatório .......................................................... 229</w:t>
      </w:r>
      <w:r w:rsidRPr="00E56701">
        <w:rPr>
          <w:bCs/>
          <w:szCs w:val="21"/>
        </w:rPr>
        <w:br/>
        <w:t>5.5.1 Fundamento legal e natureza do cômputo ............................................... 229</w:t>
      </w:r>
      <w:r w:rsidRPr="00E56701">
        <w:rPr>
          <w:bCs/>
          <w:szCs w:val="21"/>
        </w:rPr>
        <w:br/>
        <w:t>5.5.2 Documentos comprobatórios .................................................................. 229</w:t>
      </w:r>
      <w:r w:rsidRPr="00E56701">
        <w:rPr>
          <w:bCs/>
          <w:szCs w:val="21"/>
        </w:rPr>
        <w:br/>
        <w:t>5.5.3 Efeitos do cômputo ................................................................................... 230</w:t>
      </w:r>
      <w:r w:rsidRPr="00E56701">
        <w:rPr>
          <w:bCs/>
          <w:szCs w:val="21"/>
        </w:rPr>
        <w:br/>
        <w:t>5.5.4 Tiro de Guerra e outros serviços auxiliares ...............................................  231</w:t>
      </w:r>
    </w:p>
    <w:p w14:paraId="13D2C540" w14:textId="6AB4A09F" w:rsidR="0039419F" w:rsidRDefault="0039419F" w:rsidP="003A005E">
      <w:pPr>
        <w:spacing w:after="0" w:line="240" w:lineRule="auto"/>
        <w:ind w:left="284" w:right="-313"/>
        <w:rPr>
          <w:bCs/>
          <w:szCs w:val="21"/>
        </w:rPr>
      </w:pPr>
      <w:r w:rsidRPr="00E56701">
        <w:rPr>
          <w:bCs/>
          <w:szCs w:val="21"/>
        </w:rPr>
        <w:t>5.6 Tempo de aluno-aprendiz ............................................................................ 232</w:t>
      </w:r>
      <w:r w:rsidRPr="00E56701">
        <w:rPr>
          <w:bCs/>
          <w:szCs w:val="21"/>
        </w:rPr>
        <w:br/>
        <w:t>5.6.1 Origem e fundamento — Súmula 96/TCU ............................................. 232</w:t>
      </w:r>
      <w:r w:rsidRPr="00E56701">
        <w:rPr>
          <w:bCs/>
          <w:szCs w:val="21"/>
        </w:rPr>
        <w:br/>
        <w:t>5.6.2 Requisitos para o cômputo — TNU Tema 216 ...................................... 233</w:t>
      </w:r>
      <w:r w:rsidRPr="00E56701">
        <w:rPr>
          <w:bCs/>
          <w:szCs w:val="21"/>
        </w:rPr>
        <w:br/>
        <w:t>5.6.3 Prova do tempo de aluno-aprendiz ........................................................... 234</w:t>
      </w:r>
    </w:p>
    <w:p w14:paraId="29EE9006" w14:textId="02C273A1" w:rsidR="0039419F" w:rsidRDefault="0039419F" w:rsidP="003A005E">
      <w:pPr>
        <w:spacing w:after="0" w:line="240" w:lineRule="auto"/>
        <w:ind w:left="284" w:right="-313"/>
        <w:rPr>
          <w:bCs/>
          <w:szCs w:val="21"/>
        </w:rPr>
      </w:pPr>
      <w:r w:rsidRPr="00E56701">
        <w:rPr>
          <w:bCs/>
          <w:szCs w:val="21"/>
        </w:rPr>
        <w:t>5.7 Contagem recíproca entre regimes (RGPS/RPPS) .................................... 235</w:t>
      </w:r>
      <w:r w:rsidRPr="00E56701">
        <w:rPr>
          <w:bCs/>
          <w:szCs w:val="21"/>
        </w:rPr>
        <w:br/>
        <w:t>5.7.1 Fundamento constitucional e legislativo .................................................. 235</w:t>
      </w:r>
      <w:r w:rsidRPr="00E56701">
        <w:rPr>
          <w:bCs/>
          <w:szCs w:val="21"/>
        </w:rPr>
        <w:br/>
        <w:t>5.7.2 Mecanismo da contagem recíproca .........................................................</w:t>
      </w:r>
      <w:r w:rsidR="00D5295C">
        <w:rPr>
          <w:bCs/>
          <w:szCs w:val="21"/>
        </w:rPr>
        <w:t>.</w:t>
      </w:r>
      <w:r w:rsidRPr="00E56701">
        <w:rPr>
          <w:bCs/>
          <w:szCs w:val="21"/>
        </w:rPr>
        <w:t xml:space="preserve"> 235</w:t>
      </w:r>
      <w:r w:rsidRPr="00E56701">
        <w:rPr>
          <w:bCs/>
          <w:szCs w:val="21"/>
        </w:rPr>
        <w:br/>
        <w:t>5.7.3 Vedações legais .......................................................................................... 236</w:t>
      </w:r>
      <w:r w:rsidRPr="00E56701">
        <w:rPr>
          <w:bCs/>
          <w:szCs w:val="21"/>
        </w:rPr>
        <w:br/>
        <w:t>5.7.4 Situações práticas nos JEFs ....................................................................... 237</w:t>
      </w:r>
      <w:r w:rsidRPr="00E56701">
        <w:rPr>
          <w:bCs/>
          <w:szCs w:val="21"/>
        </w:rPr>
        <w:br/>
        <w:t>5.7.5 Compensação previdenciária (COMPREV) — aspectos operacionais ..</w:t>
      </w:r>
      <w:r w:rsidR="00D5295C">
        <w:rPr>
          <w:bCs/>
          <w:szCs w:val="21"/>
        </w:rPr>
        <w:t>...........................................................................................................................</w:t>
      </w:r>
      <w:r w:rsidRPr="00E56701">
        <w:rPr>
          <w:bCs/>
          <w:szCs w:val="21"/>
        </w:rPr>
        <w:t xml:space="preserve"> 238</w:t>
      </w:r>
      <w:r w:rsidRPr="00E56701">
        <w:rPr>
          <w:bCs/>
          <w:szCs w:val="21"/>
        </w:rPr>
        <w:br/>
        <w:t>5.7.6 Contagem recíproca e a EC 103/2019 ....................................................</w:t>
      </w:r>
      <w:r w:rsidR="00D5295C">
        <w:rPr>
          <w:bCs/>
          <w:szCs w:val="21"/>
        </w:rPr>
        <w:t>.</w:t>
      </w:r>
      <w:r w:rsidRPr="00E56701">
        <w:rPr>
          <w:bCs/>
          <w:szCs w:val="21"/>
        </w:rPr>
        <w:t xml:space="preserve">  239</w:t>
      </w:r>
    </w:p>
    <w:p w14:paraId="4DDD5855" w14:textId="1DCD2D1C" w:rsidR="0039419F" w:rsidRDefault="0039419F" w:rsidP="003A005E">
      <w:pPr>
        <w:spacing w:after="0" w:line="240" w:lineRule="auto"/>
        <w:ind w:left="284" w:right="-313"/>
        <w:rPr>
          <w:bCs/>
          <w:szCs w:val="21"/>
        </w:rPr>
      </w:pPr>
      <w:r w:rsidRPr="00E56701">
        <w:rPr>
          <w:bCs/>
          <w:szCs w:val="21"/>
        </w:rPr>
        <w:t>5.8 Certidão de Tempo de Contribuição (CTC) ............................................. 239</w:t>
      </w:r>
      <w:r w:rsidRPr="00E56701">
        <w:rPr>
          <w:bCs/>
          <w:szCs w:val="21"/>
        </w:rPr>
        <w:br/>
        <w:t>5.8.1 Conceito e requisitos formais ................................................................... 239</w:t>
      </w:r>
      <w:r w:rsidRPr="00E56701">
        <w:rPr>
          <w:bCs/>
          <w:szCs w:val="21"/>
        </w:rPr>
        <w:br/>
        <w:t>5.8.2 Irreversibilidade — vedação de desaverbação ........................................... 240</w:t>
      </w:r>
      <w:r w:rsidRPr="00E56701">
        <w:rPr>
          <w:bCs/>
          <w:szCs w:val="21"/>
        </w:rPr>
        <w:br/>
        <w:t>5.8.3 Emissão de CTC pelo INSS ...................................................................... 241</w:t>
      </w:r>
      <w:r w:rsidRPr="00E56701">
        <w:rPr>
          <w:bCs/>
          <w:szCs w:val="21"/>
        </w:rPr>
        <w:br/>
        <w:t>5.8.4 CTC e os novos regimes de previdência complementar .......................... 241</w:t>
      </w:r>
      <w:r w:rsidRPr="00E56701">
        <w:rPr>
          <w:bCs/>
          <w:szCs w:val="21"/>
        </w:rPr>
        <w:br/>
        <w:t>5.8.5 CTC e a vedação da desaposentação ......................................................... 242</w:t>
      </w:r>
    </w:p>
    <w:p w14:paraId="396F5FCB" w14:textId="0711EBA3" w:rsidR="0039419F" w:rsidRDefault="0039419F" w:rsidP="003A005E">
      <w:pPr>
        <w:spacing w:after="0" w:line="240" w:lineRule="auto"/>
        <w:ind w:left="284" w:right="-313"/>
        <w:rPr>
          <w:bCs/>
          <w:szCs w:val="21"/>
        </w:rPr>
      </w:pPr>
      <w:r w:rsidRPr="00E56701">
        <w:rPr>
          <w:bCs/>
          <w:szCs w:val="21"/>
        </w:rPr>
        <w:t>5.9 Atividades concomitantes ........................................................................... 242</w:t>
      </w:r>
      <w:r w:rsidRPr="00E56701">
        <w:rPr>
          <w:bCs/>
          <w:szCs w:val="21"/>
        </w:rPr>
        <w:br/>
        <w:t>5.9.1 Regime anterior à Lei 13.846/2019 .......................................................... 242</w:t>
      </w:r>
      <w:r w:rsidRPr="00E56701">
        <w:rPr>
          <w:bCs/>
          <w:szCs w:val="21"/>
        </w:rPr>
        <w:br/>
        <w:t>5.9.2 Regime atual — Lei 13.846/2019 ............................................................. 243</w:t>
      </w:r>
      <w:r w:rsidRPr="00E56701">
        <w:rPr>
          <w:bCs/>
          <w:szCs w:val="21"/>
        </w:rPr>
        <w:br/>
        <w:t>5.9.3 STJ Tema 1.070 — efeitos retroativos ...................................................... 243</w:t>
      </w:r>
      <w:r w:rsidRPr="00E56701">
        <w:rPr>
          <w:bCs/>
          <w:szCs w:val="21"/>
        </w:rPr>
        <w:br/>
        <w:t>5.9.4 Exemplo numérico detalhado: cálculo proporcional vs. soma integral ... 244</w:t>
      </w:r>
      <w:r w:rsidRPr="00E56701">
        <w:rPr>
          <w:bCs/>
          <w:szCs w:val="21"/>
        </w:rPr>
        <w:br/>
        <w:t>5.9.5 Aspectos práticos da concomitância nos JEFs .........................................  246</w:t>
      </w:r>
    </w:p>
    <w:p w14:paraId="76C4B38E" w14:textId="347304F9" w:rsidR="0039419F" w:rsidRDefault="0039419F" w:rsidP="003A005E">
      <w:pPr>
        <w:spacing w:after="0" w:line="240" w:lineRule="auto"/>
        <w:ind w:left="284" w:right="-313"/>
        <w:rPr>
          <w:bCs/>
          <w:szCs w:val="21"/>
        </w:rPr>
      </w:pPr>
      <w:r w:rsidRPr="00E56701">
        <w:rPr>
          <w:bCs/>
          <w:szCs w:val="21"/>
        </w:rPr>
        <w:t>5.10 Tempo fictício: vedação pela EC 103/2019 .............................................. 247</w:t>
      </w:r>
      <w:r w:rsidRPr="00E56701">
        <w:rPr>
          <w:bCs/>
          <w:szCs w:val="21"/>
        </w:rPr>
        <w:br/>
        <w:t>5.10.1 Conceito de tempo fictício ..................................................................... 247</w:t>
      </w:r>
      <w:r w:rsidRPr="00E56701">
        <w:rPr>
          <w:bCs/>
          <w:szCs w:val="21"/>
        </w:rPr>
        <w:br/>
        <w:t>5.10.2 Evolução normativa da vedação ............................................................. 248</w:t>
      </w:r>
      <w:r w:rsidRPr="00E56701">
        <w:rPr>
          <w:bCs/>
          <w:szCs w:val="21"/>
        </w:rPr>
        <w:br/>
        <w:t>5.10.3 Exceções mantidas: períodos legalmente equiparados ........................... 248</w:t>
      </w:r>
      <w:r w:rsidRPr="00E56701">
        <w:rPr>
          <w:bCs/>
          <w:szCs w:val="21"/>
        </w:rPr>
        <w:br/>
        <w:t>5.10.4 Direito adquirido ao tempo fictício: marco temporal ............................ 249</w:t>
      </w:r>
      <w:r w:rsidRPr="00E56701">
        <w:rPr>
          <w:bCs/>
          <w:szCs w:val="21"/>
        </w:rPr>
        <w:br/>
        <w:t>5.10.5 Impacto da vedação no RGPS ................................................................ 250</w:t>
      </w:r>
    </w:p>
    <w:p w14:paraId="1BEEE3D3" w14:textId="7EA0AB03" w:rsidR="0039419F" w:rsidRDefault="0039419F" w:rsidP="007B1033">
      <w:pPr>
        <w:spacing w:after="0" w:line="240" w:lineRule="auto"/>
        <w:ind w:right="-171"/>
        <w:rPr>
          <w:bCs/>
          <w:szCs w:val="21"/>
        </w:rPr>
      </w:pPr>
      <w:r w:rsidRPr="00E56701">
        <w:rPr>
          <w:bCs/>
          <w:szCs w:val="21"/>
        </w:rPr>
        <w:lastRenderedPageBreak/>
        <w:t>5.11 Conversão de tempo especial em comum ................................................. 251</w:t>
      </w:r>
      <w:r w:rsidRPr="00E56701">
        <w:rPr>
          <w:bCs/>
          <w:szCs w:val="21"/>
        </w:rPr>
        <w:br/>
        <w:t>5.11.1 Mecanismo da conversão e fatores aplicáveis ......................................... 251</w:t>
      </w:r>
      <w:r w:rsidRPr="00E56701">
        <w:rPr>
          <w:bCs/>
          <w:szCs w:val="21"/>
        </w:rPr>
        <w:br/>
        <w:t>5.11.2 STJ Temas 422, 423 e 546 — direito à conversão e fator aplicável ........ 252</w:t>
      </w:r>
      <w:r w:rsidRPr="00E56701">
        <w:rPr>
          <w:bCs/>
          <w:szCs w:val="21"/>
        </w:rPr>
        <w:br/>
        <w:t>5.11.3 Vedação pela EC 103/2019 — art. 25, § 2º ............................................. 252</w:t>
      </w:r>
      <w:r w:rsidRPr="00E56701">
        <w:rPr>
          <w:bCs/>
          <w:szCs w:val="21"/>
        </w:rPr>
        <w:br/>
        <w:t>5.11.4 Direito adquirido e marco temporal ....................................................... 253</w:t>
      </w:r>
      <w:r w:rsidRPr="00E56701">
        <w:rPr>
          <w:bCs/>
          <w:szCs w:val="21"/>
        </w:rPr>
        <w:br/>
        <w:t>5.11.5 Exemplos práticos de conversão ............................................................</w:t>
      </w:r>
      <w:r w:rsidR="003565BE">
        <w:rPr>
          <w:bCs/>
          <w:szCs w:val="21"/>
        </w:rPr>
        <w:t>.</w:t>
      </w:r>
      <w:r w:rsidRPr="00E56701">
        <w:rPr>
          <w:bCs/>
          <w:szCs w:val="21"/>
        </w:rPr>
        <w:t xml:space="preserve"> 254</w:t>
      </w:r>
      <w:r w:rsidRPr="00E56701">
        <w:rPr>
          <w:bCs/>
          <w:szCs w:val="21"/>
        </w:rPr>
        <w:br/>
        <w:t>5.11.6 Enquadramento profissional e períodos especiais antigos ..................... 256</w:t>
      </w:r>
      <w:r w:rsidRPr="00E56701">
        <w:rPr>
          <w:bCs/>
          <w:szCs w:val="21"/>
        </w:rPr>
        <w:br/>
        <w:t>5.11.7 Conversão inversa: tempo comum em especial ......</w:t>
      </w:r>
      <w:r w:rsidR="007B1033">
        <w:rPr>
          <w:bCs/>
          <w:szCs w:val="21"/>
        </w:rPr>
        <w:t>...</w:t>
      </w:r>
      <w:r w:rsidRPr="00E56701">
        <w:rPr>
          <w:bCs/>
          <w:szCs w:val="21"/>
        </w:rPr>
        <w:t>................................ 257</w:t>
      </w:r>
    </w:p>
    <w:p w14:paraId="72099A82" w14:textId="6F412F5D" w:rsidR="0039419F" w:rsidRDefault="0039419F" w:rsidP="007B1033">
      <w:pPr>
        <w:spacing w:after="0" w:line="240" w:lineRule="auto"/>
        <w:ind w:right="-171"/>
        <w:rPr>
          <w:bCs/>
          <w:szCs w:val="21"/>
        </w:rPr>
      </w:pPr>
      <w:r w:rsidRPr="00E56701">
        <w:rPr>
          <w:bCs/>
          <w:szCs w:val="21"/>
        </w:rPr>
        <w:t>5.12 Acordos internacionais previdenciários ...................................</w:t>
      </w:r>
      <w:r w:rsidR="007B1033">
        <w:rPr>
          <w:bCs/>
          <w:szCs w:val="21"/>
        </w:rPr>
        <w:t>...</w:t>
      </w:r>
      <w:r w:rsidRPr="00E56701">
        <w:rPr>
          <w:bCs/>
          <w:szCs w:val="21"/>
        </w:rPr>
        <w:t>................. 258</w:t>
      </w:r>
      <w:r w:rsidRPr="00E56701">
        <w:rPr>
          <w:bCs/>
          <w:szCs w:val="21"/>
        </w:rPr>
        <w:br/>
        <w:t>5.12.1 Fundamento e natureza jurídica ............................................................. 258</w:t>
      </w:r>
      <w:r w:rsidRPr="00E56701">
        <w:rPr>
          <w:bCs/>
          <w:szCs w:val="21"/>
        </w:rPr>
        <w:br/>
        <w:t>5.12.2 Mecanismo de totalização ...................................................................... 258</w:t>
      </w:r>
      <w:r w:rsidRPr="00E56701">
        <w:rPr>
          <w:bCs/>
          <w:szCs w:val="21"/>
        </w:rPr>
        <w:br/>
        <w:t>5.12.3 Cálculo pro rata temporis ..................................................</w:t>
      </w:r>
      <w:r w:rsidR="007B1033">
        <w:rPr>
          <w:bCs/>
          <w:szCs w:val="21"/>
        </w:rPr>
        <w:t>...</w:t>
      </w:r>
      <w:r w:rsidRPr="00E56701">
        <w:rPr>
          <w:bCs/>
          <w:szCs w:val="21"/>
        </w:rPr>
        <w:t>..................... 259</w:t>
      </w:r>
    </w:p>
    <w:p w14:paraId="15BFEE48" w14:textId="6290AD56" w:rsidR="0039419F" w:rsidRDefault="0039419F" w:rsidP="007B1033">
      <w:pPr>
        <w:spacing w:after="0" w:line="240" w:lineRule="auto"/>
        <w:ind w:right="-171"/>
        <w:rPr>
          <w:bCs/>
          <w:szCs w:val="21"/>
        </w:rPr>
      </w:pPr>
      <w:r w:rsidRPr="00E56701">
        <w:rPr>
          <w:bCs/>
          <w:szCs w:val="21"/>
        </w:rPr>
        <w:t>5.12.4 Principais acordos bilaterais .................................................................... 259</w:t>
      </w:r>
      <w:r w:rsidRPr="00E56701">
        <w:rPr>
          <w:bCs/>
          <w:szCs w:val="21"/>
        </w:rPr>
        <w:br/>
        <w:t>5.12.5 Acordo Multilateral do Mercosul ............................................</w:t>
      </w:r>
      <w:r w:rsidR="007B1033">
        <w:rPr>
          <w:bCs/>
          <w:szCs w:val="21"/>
        </w:rPr>
        <w:t>...</w:t>
      </w:r>
      <w:r w:rsidRPr="00E56701">
        <w:rPr>
          <w:bCs/>
          <w:szCs w:val="21"/>
        </w:rPr>
        <w:t>.............. 260</w:t>
      </w:r>
    </w:p>
    <w:p w14:paraId="326E340B" w14:textId="3D5F91E2" w:rsidR="0039419F" w:rsidRDefault="0039419F" w:rsidP="007B1033">
      <w:pPr>
        <w:spacing w:after="0" w:line="240" w:lineRule="auto"/>
        <w:ind w:right="-171"/>
        <w:rPr>
          <w:bCs/>
          <w:szCs w:val="21"/>
        </w:rPr>
      </w:pPr>
      <w:r w:rsidRPr="00E56701">
        <w:rPr>
          <w:bCs/>
          <w:szCs w:val="21"/>
        </w:rPr>
        <w:t>5.12.6 Acordo Brasil-Japão: particularidades ......................................</w:t>
      </w:r>
      <w:r w:rsidR="007B1033">
        <w:rPr>
          <w:bCs/>
          <w:szCs w:val="21"/>
        </w:rPr>
        <w:t>...</w:t>
      </w:r>
      <w:r w:rsidRPr="00E56701">
        <w:rPr>
          <w:bCs/>
          <w:szCs w:val="21"/>
        </w:rPr>
        <w:t>.............. 261</w:t>
      </w:r>
      <w:r w:rsidRPr="00E56701">
        <w:rPr>
          <w:bCs/>
          <w:szCs w:val="21"/>
        </w:rPr>
        <w:br/>
        <w:t>5.12.7 Acordo Brasil-EUA: aspectos relevantes ........................................</w:t>
      </w:r>
      <w:r w:rsidR="007B1033">
        <w:rPr>
          <w:bCs/>
          <w:szCs w:val="21"/>
        </w:rPr>
        <w:t>...</w:t>
      </w:r>
      <w:r w:rsidRPr="00E56701">
        <w:rPr>
          <w:bCs/>
          <w:szCs w:val="21"/>
        </w:rPr>
        <w:t>........ 261</w:t>
      </w:r>
    </w:p>
    <w:p w14:paraId="786BF563" w14:textId="7F46B1A3" w:rsidR="0039419F" w:rsidRDefault="0039419F" w:rsidP="007B1033">
      <w:pPr>
        <w:spacing w:after="0" w:line="240" w:lineRule="auto"/>
        <w:ind w:right="-171"/>
        <w:rPr>
          <w:bCs/>
          <w:szCs w:val="21"/>
        </w:rPr>
      </w:pPr>
      <w:r w:rsidRPr="00E56701">
        <w:rPr>
          <w:bCs/>
          <w:szCs w:val="21"/>
        </w:rPr>
        <w:t>5.12.8 Dificuldades práticas na operacionalização dos acordos .................</w:t>
      </w:r>
      <w:r w:rsidR="007B1033">
        <w:rPr>
          <w:bCs/>
          <w:szCs w:val="21"/>
        </w:rPr>
        <w:t>...</w:t>
      </w:r>
      <w:r w:rsidRPr="00E56701">
        <w:rPr>
          <w:bCs/>
          <w:szCs w:val="21"/>
        </w:rPr>
        <w:t>....... 262</w:t>
      </w:r>
      <w:r w:rsidRPr="00E56701">
        <w:rPr>
          <w:bCs/>
          <w:szCs w:val="21"/>
        </w:rPr>
        <w:br/>
        <w:t>5.12.9 Competência judicial e questões processuais ..........................</w:t>
      </w:r>
      <w:r w:rsidR="007B1033">
        <w:rPr>
          <w:bCs/>
          <w:szCs w:val="21"/>
        </w:rPr>
        <w:t>...</w:t>
      </w:r>
      <w:r w:rsidRPr="00E56701">
        <w:rPr>
          <w:bCs/>
          <w:szCs w:val="21"/>
        </w:rPr>
        <w:t>............... 263</w:t>
      </w:r>
    </w:p>
    <w:p w14:paraId="6A59A577" w14:textId="30879006" w:rsidR="0039419F" w:rsidRDefault="0039419F" w:rsidP="007B1033">
      <w:pPr>
        <w:spacing w:after="0" w:line="240" w:lineRule="auto"/>
        <w:ind w:right="-171"/>
        <w:rPr>
          <w:bCs/>
          <w:szCs w:val="21"/>
        </w:rPr>
      </w:pPr>
      <w:r w:rsidRPr="00E56701">
        <w:rPr>
          <w:bCs/>
          <w:szCs w:val="21"/>
        </w:rPr>
        <w:t>5.13 Aspectos práticos no JEF: estratégias de reconhecimento de tempo .....</w:t>
      </w:r>
      <w:r w:rsidR="007B1033">
        <w:rPr>
          <w:bCs/>
          <w:szCs w:val="21"/>
        </w:rPr>
        <w:t>...</w:t>
      </w:r>
      <w:r w:rsidRPr="00E56701">
        <w:rPr>
          <w:bCs/>
          <w:szCs w:val="21"/>
        </w:rPr>
        <w:t>... 264</w:t>
      </w:r>
      <w:r w:rsidRPr="00E56701">
        <w:rPr>
          <w:bCs/>
          <w:szCs w:val="21"/>
        </w:rPr>
        <w:br/>
        <w:t>5.13.1 Competência e valor da causa ..........................................................</w:t>
      </w:r>
      <w:r w:rsidR="007B1033">
        <w:rPr>
          <w:bCs/>
          <w:szCs w:val="21"/>
        </w:rPr>
        <w:t>...</w:t>
      </w:r>
      <w:r w:rsidRPr="00E56701">
        <w:rPr>
          <w:bCs/>
          <w:szCs w:val="21"/>
        </w:rPr>
        <w:t>....... 264</w:t>
      </w:r>
      <w:r w:rsidRPr="00E56701">
        <w:rPr>
          <w:bCs/>
          <w:szCs w:val="21"/>
        </w:rPr>
        <w:br/>
        <w:t>5.13.2 Prévio requerimento administrativo ................................................</w:t>
      </w:r>
      <w:r w:rsidR="007B1033">
        <w:rPr>
          <w:bCs/>
          <w:szCs w:val="21"/>
        </w:rPr>
        <w:t>...</w:t>
      </w:r>
      <w:r w:rsidRPr="00E56701">
        <w:rPr>
          <w:bCs/>
          <w:szCs w:val="21"/>
        </w:rPr>
        <w:t>.....</w:t>
      </w:r>
      <w:r w:rsidR="003565BE">
        <w:rPr>
          <w:bCs/>
          <w:szCs w:val="21"/>
        </w:rPr>
        <w:t>.</w:t>
      </w:r>
      <w:r w:rsidRPr="00E56701">
        <w:rPr>
          <w:bCs/>
          <w:szCs w:val="21"/>
        </w:rPr>
        <w:t xml:space="preserve"> 264</w:t>
      </w:r>
    </w:p>
    <w:p w14:paraId="7BBC7A6F" w14:textId="472190EB" w:rsidR="0039419F" w:rsidRDefault="0039419F" w:rsidP="007B1033">
      <w:pPr>
        <w:spacing w:after="0" w:line="240" w:lineRule="auto"/>
        <w:ind w:right="-171"/>
        <w:rPr>
          <w:bCs/>
          <w:szCs w:val="21"/>
        </w:rPr>
      </w:pPr>
      <w:r w:rsidRPr="00E56701">
        <w:rPr>
          <w:bCs/>
          <w:szCs w:val="21"/>
        </w:rPr>
        <w:t>5.13.3 Justificação administrativa e judicial .............................................</w:t>
      </w:r>
      <w:r w:rsidR="007B1033">
        <w:rPr>
          <w:bCs/>
          <w:szCs w:val="21"/>
        </w:rPr>
        <w:t>...</w:t>
      </w:r>
      <w:r w:rsidRPr="00E56701">
        <w:rPr>
          <w:bCs/>
          <w:szCs w:val="21"/>
        </w:rPr>
        <w:t>......... 264</w:t>
      </w:r>
    </w:p>
    <w:p w14:paraId="7432B368" w14:textId="5360D349" w:rsidR="0039419F" w:rsidRDefault="0039419F" w:rsidP="007B1033">
      <w:pPr>
        <w:spacing w:after="0" w:line="240" w:lineRule="auto"/>
        <w:ind w:right="-171"/>
        <w:rPr>
          <w:bCs/>
          <w:szCs w:val="21"/>
        </w:rPr>
      </w:pPr>
      <w:r w:rsidRPr="00E56701">
        <w:rPr>
          <w:bCs/>
          <w:szCs w:val="21"/>
        </w:rPr>
        <w:t>5.13.4 Ônus da prova e regras de experiência ............................................</w:t>
      </w:r>
      <w:r w:rsidR="007B1033">
        <w:rPr>
          <w:bCs/>
          <w:szCs w:val="21"/>
        </w:rPr>
        <w:t>..</w:t>
      </w:r>
      <w:r w:rsidRPr="00E56701">
        <w:rPr>
          <w:bCs/>
          <w:szCs w:val="21"/>
        </w:rPr>
        <w:t>......... 265</w:t>
      </w:r>
      <w:r w:rsidRPr="00E56701">
        <w:rPr>
          <w:bCs/>
          <w:szCs w:val="21"/>
        </w:rPr>
        <w:br/>
        <w:t>5.13.5 Tutela provisória em ações de cômputo de tempo ..........................</w:t>
      </w:r>
      <w:r w:rsidR="007B1033">
        <w:rPr>
          <w:bCs/>
          <w:szCs w:val="21"/>
        </w:rPr>
        <w:t>...</w:t>
      </w:r>
      <w:r w:rsidRPr="00E56701">
        <w:rPr>
          <w:bCs/>
          <w:szCs w:val="21"/>
        </w:rPr>
        <w:t>....... 266</w:t>
      </w:r>
    </w:p>
    <w:p w14:paraId="3238BDAE" w14:textId="08B11C21" w:rsidR="0039419F" w:rsidRDefault="0039419F" w:rsidP="007B1033">
      <w:pPr>
        <w:spacing w:after="0" w:line="240" w:lineRule="auto"/>
        <w:ind w:right="-171"/>
        <w:rPr>
          <w:bCs/>
          <w:szCs w:val="21"/>
        </w:rPr>
      </w:pPr>
      <w:r w:rsidRPr="00E56701">
        <w:rPr>
          <w:bCs/>
          <w:szCs w:val="21"/>
        </w:rPr>
        <w:t>5.13.6 Audiência de instrução em ações de reconhecimento de tempo ........</w:t>
      </w:r>
      <w:r w:rsidR="007B1033">
        <w:rPr>
          <w:bCs/>
          <w:szCs w:val="21"/>
        </w:rPr>
        <w:t>...</w:t>
      </w:r>
      <w:r w:rsidRPr="00E56701">
        <w:rPr>
          <w:bCs/>
          <w:szCs w:val="21"/>
        </w:rPr>
        <w:t>.... 266</w:t>
      </w:r>
    </w:p>
    <w:p w14:paraId="62FE1EFF" w14:textId="65AF96CF" w:rsidR="0039419F" w:rsidRDefault="0039419F" w:rsidP="007B1033">
      <w:pPr>
        <w:spacing w:after="0" w:line="240" w:lineRule="auto"/>
        <w:ind w:right="-171"/>
        <w:rPr>
          <w:bCs/>
          <w:szCs w:val="21"/>
        </w:rPr>
      </w:pPr>
      <w:r w:rsidRPr="00E56701">
        <w:rPr>
          <w:bCs/>
          <w:szCs w:val="21"/>
        </w:rPr>
        <w:t>5.13.7 Prova pericial e inspeção judicial ........................................................</w:t>
      </w:r>
      <w:r w:rsidR="007B1033">
        <w:rPr>
          <w:bCs/>
          <w:szCs w:val="21"/>
        </w:rPr>
        <w:t>...</w:t>
      </w:r>
      <w:r w:rsidRPr="00E56701">
        <w:rPr>
          <w:bCs/>
          <w:szCs w:val="21"/>
        </w:rPr>
        <w:t>.... 267</w:t>
      </w:r>
    </w:p>
    <w:p w14:paraId="49313D15" w14:textId="26CF8530" w:rsidR="0039419F" w:rsidRDefault="0039419F" w:rsidP="007B1033">
      <w:pPr>
        <w:spacing w:after="0" w:line="240" w:lineRule="auto"/>
        <w:ind w:right="-171"/>
        <w:rPr>
          <w:bCs/>
          <w:szCs w:val="21"/>
        </w:rPr>
      </w:pPr>
      <w:r w:rsidRPr="00E56701">
        <w:rPr>
          <w:bCs/>
          <w:szCs w:val="21"/>
        </w:rPr>
        <w:t>5.13.8 Coisa julgada e possibilidade de nova ação .............................</w:t>
      </w:r>
      <w:r w:rsidR="007B1033">
        <w:rPr>
          <w:bCs/>
          <w:szCs w:val="21"/>
        </w:rPr>
        <w:t>...</w:t>
      </w:r>
      <w:r w:rsidRPr="00E56701">
        <w:rPr>
          <w:bCs/>
          <w:szCs w:val="21"/>
        </w:rPr>
        <w:t>................ 268</w:t>
      </w:r>
      <w:r w:rsidRPr="00E56701">
        <w:rPr>
          <w:bCs/>
          <w:szCs w:val="21"/>
        </w:rPr>
        <w:br/>
        <w:t>5.13.9 Cumprimento de sentença e efetivação no CNIS ..........................</w:t>
      </w:r>
      <w:r w:rsidR="007B1033">
        <w:rPr>
          <w:bCs/>
          <w:szCs w:val="21"/>
        </w:rPr>
        <w:t>...</w:t>
      </w:r>
      <w:r w:rsidRPr="00E56701">
        <w:rPr>
          <w:bCs/>
          <w:szCs w:val="21"/>
        </w:rPr>
        <w:t>........ 269</w:t>
      </w:r>
    </w:p>
    <w:p w14:paraId="11F9A77B" w14:textId="55B054B4" w:rsidR="0039419F" w:rsidRDefault="0039419F" w:rsidP="007B1033">
      <w:pPr>
        <w:spacing w:after="0" w:line="240" w:lineRule="auto"/>
        <w:ind w:right="-171"/>
        <w:rPr>
          <w:bCs/>
          <w:szCs w:val="21"/>
        </w:rPr>
      </w:pPr>
      <w:r w:rsidRPr="00E56701">
        <w:rPr>
          <w:bCs/>
          <w:szCs w:val="21"/>
        </w:rPr>
        <w:t>5.13.10 Recurso inominado e questões recorrentes ..........................</w:t>
      </w:r>
      <w:r w:rsidR="007B1033">
        <w:rPr>
          <w:bCs/>
          <w:szCs w:val="21"/>
        </w:rPr>
        <w:t>...</w:t>
      </w:r>
      <w:r w:rsidRPr="00E56701">
        <w:rPr>
          <w:bCs/>
          <w:szCs w:val="21"/>
        </w:rPr>
        <w:t>................ 269</w:t>
      </w:r>
      <w:r w:rsidRPr="00E56701">
        <w:rPr>
          <w:bCs/>
          <w:szCs w:val="21"/>
        </w:rPr>
        <w:br/>
        <w:t>5.13.11 Questões frequentes: perguntas e respostas ...........................</w:t>
      </w:r>
      <w:r w:rsidR="007B1033">
        <w:rPr>
          <w:bCs/>
          <w:szCs w:val="21"/>
        </w:rPr>
        <w:t>...</w:t>
      </w:r>
      <w:r w:rsidRPr="00E56701">
        <w:rPr>
          <w:bCs/>
          <w:szCs w:val="21"/>
        </w:rPr>
        <w:t>.............. 270</w:t>
      </w:r>
    </w:p>
    <w:p w14:paraId="6DF28845" w14:textId="50E269D3" w:rsidR="0039419F" w:rsidRDefault="0039419F" w:rsidP="007B1033">
      <w:pPr>
        <w:spacing w:after="0" w:line="240" w:lineRule="auto"/>
        <w:ind w:right="-171"/>
        <w:rPr>
          <w:bCs/>
          <w:szCs w:val="21"/>
        </w:rPr>
      </w:pPr>
      <w:r w:rsidRPr="00E56701">
        <w:rPr>
          <w:bCs/>
          <w:szCs w:val="21"/>
        </w:rPr>
        <w:t>5.14 Síntese do capítulo .......................................................................</w:t>
      </w:r>
      <w:r w:rsidR="007B1033">
        <w:rPr>
          <w:bCs/>
          <w:szCs w:val="21"/>
        </w:rPr>
        <w:t>...</w:t>
      </w:r>
      <w:r w:rsidRPr="00E56701">
        <w:rPr>
          <w:bCs/>
          <w:szCs w:val="21"/>
        </w:rPr>
        <w:t>.............. 271</w:t>
      </w:r>
    </w:p>
    <w:p w14:paraId="405105EC" w14:textId="5DAE021C" w:rsidR="003A005E" w:rsidRPr="00E91E90" w:rsidRDefault="003A005E" w:rsidP="007B1033">
      <w:pPr>
        <w:keepNext/>
        <w:pBdr>
          <w:bottom w:val="single" w:sz="8" w:space="4" w:color="B89B5E"/>
        </w:pBdr>
        <w:spacing w:after="0" w:line="240" w:lineRule="auto"/>
        <w:ind w:right="-171"/>
        <w:rPr>
          <w:szCs w:val="21"/>
        </w:rPr>
      </w:pPr>
      <w:r w:rsidRPr="00E91E90">
        <w:rPr>
          <w:szCs w:val="21"/>
        </w:rPr>
        <w:t>PARTE II — BENEFÍCIOS POR INCAPACIDADE .......................</w:t>
      </w:r>
      <w:r w:rsidR="007B1033">
        <w:rPr>
          <w:szCs w:val="21"/>
        </w:rPr>
        <w:t>...</w:t>
      </w:r>
      <w:r w:rsidRPr="00E91E90">
        <w:rPr>
          <w:szCs w:val="21"/>
        </w:rPr>
        <w:t>.......... 277</w:t>
      </w:r>
    </w:p>
    <w:p w14:paraId="7F5D0E57" w14:textId="62813AA2" w:rsidR="003A005E" w:rsidRPr="00E91E90" w:rsidRDefault="003A005E" w:rsidP="007B1033">
      <w:pPr>
        <w:keepNext/>
        <w:pBdr>
          <w:bottom w:val="single" w:sz="8" w:space="4" w:color="B89B5E"/>
        </w:pBdr>
        <w:spacing w:after="0" w:line="240" w:lineRule="auto"/>
        <w:ind w:right="-171"/>
        <w:rPr>
          <w:szCs w:val="21"/>
        </w:rPr>
      </w:pPr>
      <w:r w:rsidRPr="00E91E90">
        <w:rPr>
          <w:szCs w:val="21"/>
        </w:rPr>
        <w:t>Capítulo 6 — Aposentadoria por Incapacidade Permanente .......................</w:t>
      </w:r>
      <w:r w:rsidR="007B1033">
        <w:rPr>
          <w:szCs w:val="21"/>
        </w:rPr>
        <w:t>....</w:t>
      </w:r>
      <w:r w:rsidRPr="00E91E90">
        <w:rPr>
          <w:szCs w:val="21"/>
        </w:rPr>
        <w:t>..  278</w:t>
      </w:r>
    </w:p>
    <w:p w14:paraId="054D7566" w14:textId="2BC0006C" w:rsidR="00B94AE4" w:rsidRPr="00E91E90" w:rsidRDefault="003A005E" w:rsidP="00B94AE4">
      <w:pPr>
        <w:keepNext/>
        <w:pBdr>
          <w:bottom w:val="single" w:sz="8" w:space="4" w:color="B89B5E"/>
        </w:pBdr>
        <w:spacing w:after="0" w:line="240" w:lineRule="auto"/>
        <w:ind w:right="-171"/>
        <w:rPr>
          <w:szCs w:val="21"/>
        </w:rPr>
      </w:pPr>
      <w:r w:rsidRPr="00E91E90">
        <w:rPr>
          <w:szCs w:val="21"/>
        </w:rPr>
        <w:t>6.1 Conceito e natureza jurídica</w:t>
      </w:r>
      <w:r>
        <w:rPr>
          <w:szCs w:val="21"/>
        </w:rPr>
        <w:t xml:space="preserve"> ........................................................................</w:t>
      </w:r>
      <w:r w:rsidRPr="00E91E90">
        <w:rPr>
          <w:szCs w:val="21"/>
        </w:rPr>
        <w:t xml:space="preserve"> 279</w:t>
      </w:r>
      <w:r w:rsidRPr="00E91E90">
        <w:rPr>
          <w:szCs w:val="21"/>
        </w:rPr>
        <w:br/>
        <w:t>6.2 Requisitos legais</w:t>
      </w:r>
      <w:r>
        <w:rPr>
          <w:szCs w:val="21"/>
        </w:rPr>
        <w:t xml:space="preserve"> ........</w:t>
      </w:r>
      <w:r w:rsidR="007B1033">
        <w:rPr>
          <w:szCs w:val="21"/>
        </w:rPr>
        <w:t>.............................................................</w:t>
      </w:r>
      <w:r>
        <w:rPr>
          <w:szCs w:val="21"/>
        </w:rPr>
        <w:t>.....</w:t>
      </w:r>
      <w:r w:rsidR="007B1033">
        <w:rPr>
          <w:szCs w:val="21"/>
        </w:rPr>
        <w:t>....</w:t>
      </w:r>
      <w:r>
        <w:rPr>
          <w:szCs w:val="21"/>
        </w:rPr>
        <w:t>................ 280</w:t>
      </w:r>
      <w:r w:rsidRPr="00E91E90">
        <w:rPr>
          <w:szCs w:val="21"/>
        </w:rPr>
        <w:br/>
        <w:t>6.2.1 Qualidade de segurado</w:t>
      </w:r>
      <w:r>
        <w:rPr>
          <w:szCs w:val="21"/>
        </w:rPr>
        <w:t xml:space="preserve"> .................</w:t>
      </w:r>
      <w:r w:rsidR="007B1033">
        <w:rPr>
          <w:szCs w:val="21"/>
        </w:rPr>
        <w:t>.............................................................</w:t>
      </w:r>
      <w:r>
        <w:rPr>
          <w:szCs w:val="21"/>
        </w:rPr>
        <w:t>... 281</w:t>
      </w:r>
      <w:r w:rsidRPr="00E91E90">
        <w:rPr>
          <w:szCs w:val="21"/>
        </w:rPr>
        <w:br/>
      </w:r>
      <w:r w:rsidRPr="00E91E90">
        <w:rPr>
          <w:szCs w:val="21"/>
        </w:rPr>
        <w:lastRenderedPageBreak/>
        <w:t>6.2.2 Carência</w:t>
      </w:r>
      <w:r>
        <w:rPr>
          <w:szCs w:val="21"/>
        </w:rPr>
        <w:t xml:space="preserve"> .......................</w:t>
      </w:r>
      <w:r w:rsidR="00B94AE4">
        <w:rPr>
          <w:szCs w:val="21"/>
        </w:rPr>
        <w:t>....................................................................</w:t>
      </w:r>
      <w:r>
        <w:rPr>
          <w:szCs w:val="21"/>
        </w:rPr>
        <w:t>............ 282</w:t>
      </w:r>
      <w:r w:rsidRPr="00E91E90">
        <w:rPr>
          <w:szCs w:val="21"/>
        </w:rPr>
        <w:br/>
        <w:t>6.2.3 Incapacidade total e permanente</w:t>
      </w:r>
      <w:r>
        <w:rPr>
          <w:szCs w:val="21"/>
        </w:rPr>
        <w:t xml:space="preserve"> ..................</w:t>
      </w:r>
      <w:r w:rsidR="00B94AE4">
        <w:rPr>
          <w:szCs w:val="21"/>
        </w:rPr>
        <w:t>..........................</w:t>
      </w:r>
      <w:r>
        <w:rPr>
          <w:szCs w:val="21"/>
        </w:rPr>
        <w:t>..................... 284</w:t>
      </w:r>
      <w:r w:rsidRPr="00E91E90">
        <w:rPr>
          <w:szCs w:val="21"/>
        </w:rPr>
        <w:br/>
        <w:t>6.2.4 Insusceptibilidade de reabilitação</w:t>
      </w:r>
      <w:r>
        <w:rPr>
          <w:szCs w:val="21"/>
        </w:rPr>
        <w:t xml:space="preserve"> ...............................</w:t>
      </w:r>
      <w:r w:rsidR="00B94AE4">
        <w:rPr>
          <w:szCs w:val="21"/>
        </w:rPr>
        <w:t>................</w:t>
      </w:r>
      <w:r>
        <w:rPr>
          <w:szCs w:val="21"/>
        </w:rPr>
        <w:t>................. 285</w:t>
      </w:r>
    </w:p>
    <w:p w14:paraId="750FA8F2" w14:textId="6D94FD64" w:rsidR="003A005E" w:rsidRPr="00E91E90" w:rsidRDefault="003A005E" w:rsidP="00B94AE4">
      <w:pPr>
        <w:keepNext/>
        <w:pBdr>
          <w:bottom w:val="single" w:sz="8" w:space="4" w:color="B89B5E"/>
        </w:pBdr>
        <w:spacing w:after="0" w:line="240" w:lineRule="auto"/>
        <w:ind w:right="-171"/>
        <w:rPr>
          <w:szCs w:val="21"/>
        </w:rPr>
      </w:pPr>
      <w:r w:rsidRPr="00E91E90">
        <w:rPr>
          <w:szCs w:val="21"/>
        </w:rPr>
        <w:t>6.3 A incapacidade como conceito jurídico-médico</w:t>
      </w:r>
      <w:r>
        <w:rPr>
          <w:szCs w:val="21"/>
        </w:rPr>
        <w:t xml:space="preserve"> ..............</w:t>
      </w:r>
      <w:r w:rsidR="00B94AE4">
        <w:rPr>
          <w:szCs w:val="21"/>
        </w:rPr>
        <w:t>.......</w:t>
      </w:r>
      <w:r>
        <w:rPr>
          <w:szCs w:val="21"/>
        </w:rPr>
        <w:t>....................... 286</w:t>
      </w:r>
      <w:r w:rsidRPr="00E91E90">
        <w:rPr>
          <w:szCs w:val="21"/>
        </w:rPr>
        <w:br/>
        <w:t>6.3.1 Incapacidade omniprofissional e seus limites</w:t>
      </w:r>
      <w:r>
        <w:rPr>
          <w:szCs w:val="21"/>
        </w:rPr>
        <w:t xml:space="preserve"> ..................</w:t>
      </w:r>
      <w:r w:rsidR="00B94AE4">
        <w:rPr>
          <w:szCs w:val="21"/>
        </w:rPr>
        <w:t>..</w:t>
      </w:r>
      <w:r>
        <w:rPr>
          <w:szCs w:val="21"/>
        </w:rPr>
        <w:t>.......................... 286</w:t>
      </w:r>
      <w:r w:rsidRPr="00E91E90">
        <w:rPr>
          <w:szCs w:val="21"/>
        </w:rPr>
        <w:br/>
        <w:t>6.3.2 Condições pessoais e sociais do segurado</w:t>
      </w:r>
      <w:r>
        <w:rPr>
          <w:szCs w:val="21"/>
        </w:rPr>
        <w:t xml:space="preserve"> ...........</w:t>
      </w:r>
      <w:r w:rsidR="00B94AE4">
        <w:rPr>
          <w:szCs w:val="21"/>
        </w:rPr>
        <w:t>..................</w:t>
      </w:r>
      <w:r>
        <w:rPr>
          <w:szCs w:val="21"/>
        </w:rPr>
        <w:t>....................... 287</w:t>
      </w:r>
      <w:r w:rsidRPr="00E91E90">
        <w:rPr>
          <w:szCs w:val="21"/>
        </w:rPr>
        <w:br/>
        <w:t>6.3.3 Doenças estigmatizantes e o Tema 274 da TNU</w:t>
      </w:r>
      <w:r>
        <w:rPr>
          <w:szCs w:val="21"/>
        </w:rPr>
        <w:t xml:space="preserve"> ...................</w:t>
      </w:r>
      <w:r w:rsidR="00B94AE4">
        <w:rPr>
          <w:szCs w:val="21"/>
        </w:rPr>
        <w:t>.....</w:t>
      </w:r>
      <w:r>
        <w:rPr>
          <w:szCs w:val="21"/>
        </w:rPr>
        <w:t>................. 288</w:t>
      </w:r>
      <w:r w:rsidRPr="00E91E90">
        <w:rPr>
          <w:szCs w:val="21"/>
        </w:rPr>
        <w:br/>
        <w:t>6.3.4 Doença preexistente: DID e DII</w:t>
      </w:r>
      <w:r>
        <w:rPr>
          <w:szCs w:val="21"/>
        </w:rPr>
        <w:t xml:space="preserve"> ............</w:t>
      </w:r>
      <w:r w:rsidR="00B94AE4">
        <w:rPr>
          <w:szCs w:val="21"/>
        </w:rPr>
        <w:t>.............................</w:t>
      </w:r>
      <w:r>
        <w:rPr>
          <w:szCs w:val="21"/>
        </w:rPr>
        <w:t>......................... 289</w:t>
      </w:r>
      <w:r w:rsidRPr="00E91E90">
        <w:rPr>
          <w:szCs w:val="21"/>
        </w:rPr>
        <w:br/>
        <w:t>6.3.5 O modelo biopsicossocial e a Classificação Internacional de Funcionalidade (CIF)</w:t>
      </w:r>
      <w:r>
        <w:rPr>
          <w:szCs w:val="21"/>
        </w:rPr>
        <w:t xml:space="preserve"> ..............</w:t>
      </w:r>
      <w:r w:rsidR="00B94AE4">
        <w:rPr>
          <w:szCs w:val="21"/>
        </w:rPr>
        <w:t>.............................................................................................</w:t>
      </w:r>
      <w:r>
        <w:rPr>
          <w:szCs w:val="21"/>
        </w:rPr>
        <w:t>.......... 289</w:t>
      </w:r>
    </w:p>
    <w:p w14:paraId="74D13DF4" w14:textId="513FA734" w:rsidR="003A005E" w:rsidRPr="00E91E90" w:rsidRDefault="003A005E" w:rsidP="00B94AE4">
      <w:pPr>
        <w:keepNext/>
        <w:pBdr>
          <w:bottom w:val="single" w:sz="8" w:space="4" w:color="B89B5E"/>
        </w:pBdr>
        <w:spacing w:after="0" w:line="240" w:lineRule="auto"/>
        <w:ind w:right="-171"/>
        <w:rPr>
          <w:szCs w:val="21"/>
        </w:rPr>
      </w:pPr>
      <w:r w:rsidRPr="00E91E90">
        <w:rPr>
          <w:szCs w:val="21"/>
        </w:rPr>
        <w:t>6.4 O laudo pericial e sua valoração</w:t>
      </w:r>
      <w:r>
        <w:rPr>
          <w:szCs w:val="21"/>
        </w:rPr>
        <w:t xml:space="preserve"> .............</w:t>
      </w:r>
      <w:r w:rsidR="00B94AE4">
        <w:rPr>
          <w:szCs w:val="21"/>
        </w:rPr>
        <w:t>.........................................</w:t>
      </w:r>
      <w:r>
        <w:rPr>
          <w:szCs w:val="21"/>
        </w:rPr>
        <w:t>................ 292</w:t>
      </w:r>
      <w:r w:rsidRPr="00E91E90">
        <w:rPr>
          <w:szCs w:val="21"/>
        </w:rPr>
        <w:br/>
        <w:t>6.4.1 Perícia médica judicial: natureza e finalidade</w:t>
      </w:r>
      <w:r>
        <w:rPr>
          <w:szCs w:val="21"/>
        </w:rPr>
        <w:t xml:space="preserve"> .............</w:t>
      </w:r>
      <w:r w:rsidR="00B94AE4">
        <w:rPr>
          <w:szCs w:val="21"/>
        </w:rPr>
        <w:t>...............</w:t>
      </w:r>
      <w:r>
        <w:rPr>
          <w:szCs w:val="21"/>
        </w:rPr>
        <w:t>.................. 292</w:t>
      </w:r>
      <w:r w:rsidRPr="00E91E90">
        <w:rPr>
          <w:szCs w:val="21"/>
        </w:rPr>
        <w:br/>
        <w:t>6.4.2 Quesitos do juízo e das partes</w:t>
      </w:r>
      <w:r>
        <w:rPr>
          <w:szCs w:val="21"/>
        </w:rPr>
        <w:t xml:space="preserve"> ...................</w:t>
      </w:r>
      <w:r w:rsidR="00B94AE4">
        <w:rPr>
          <w:szCs w:val="21"/>
        </w:rPr>
        <w:t>.......................................</w:t>
      </w:r>
      <w:r>
        <w:rPr>
          <w:szCs w:val="21"/>
        </w:rPr>
        <w:t>............. 293</w:t>
      </w:r>
      <w:r w:rsidRPr="00E91E90">
        <w:rPr>
          <w:szCs w:val="21"/>
        </w:rPr>
        <w:br/>
        <w:t>6.4.3 Valor probante do laudo e livre convicção motivada</w:t>
      </w:r>
      <w:r>
        <w:rPr>
          <w:szCs w:val="21"/>
        </w:rPr>
        <w:t xml:space="preserve"> .............</w:t>
      </w:r>
      <w:r w:rsidR="00B94AE4">
        <w:rPr>
          <w:szCs w:val="21"/>
        </w:rPr>
        <w:t>...</w:t>
      </w:r>
      <w:r>
        <w:rPr>
          <w:szCs w:val="21"/>
        </w:rPr>
        <w:t>.................. 293</w:t>
      </w:r>
      <w:r w:rsidRPr="00E91E90">
        <w:rPr>
          <w:szCs w:val="21"/>
        </w:rPr>
        <w:br/>
        <w:t>6.4.4 Divergência entre laudos e documentação médica</w:t>
      </w:r>
      <w:r>
        <w:rPr>
          <w:szCs w:val="21"/>
        </w:rPr>
        <w:t xml:space="preserve"> ......................</w:t>
      </w:r>
      <w:r w:rsidR="00B94AE4">
        <w:rPr>
          <w:szCs w:val="21"/>
        </w:rPr>
        <w:t>...</w:t>
      </w:r>
      <w:r>
        <w:rPr>
          <w:szCs w:val="21"/>
        </w:rPr>
        <w:t>............. 295</w:t>
      </w:r>
    </w:p>
    <w:p w14:paraId="1A42A52A" w14:textId="4AC60D7C" w:rsidR="003A005E" w:rsidRPr="00E91E90" w:rsidRDefault="003A005E" w:rsidP="00B94AE4">
      <w:pPr>
        <w:keepNext/>
        <w:pBdr>
          <w:bottom w:val="single" w:sz="8" w:space="4" w:color="B89B5E"/>
        </w:pBdr>
        <w:spacing w:after="0" w:line="240" w:lineRule="auto"/>
        <w:ind w:right="-171"/>
        <w:rPr>
          <w:szCs w:val="21"/>
        </w:rPr>
      </w:pPr>
      <w:r w:rsidRPr="00E91E90">
        <w:rPr>
          <w:szCs w:val="21"/>
        </w:rPr>
        <w:t>6.5 Técnica de reação ao laudo adverso</w:t>
      </w:r>
      <w:r>
        <w:rPr>
          <w:szCs w:val="21"/>
        </w:rPr>
        <w:t xml:space="preserve"> .........................</w:t>
      </w:r>
      <w:r w:rsidR="00B94AE4">
        <w:rPr>
          <w:szCs w:val="21"/>
        </w:rPr>
        <w:t>...............................</w:t>
      </w:r>
      <w:r>
        <w:rPr>
          <w:szCs w:val="21"/>
        </w:rPr>
        <w:t>........ 295</w:t>
      </w:r>
      <w:r w:rsidRPr="00E91E90">
        <w:rPr>
          <w:szCs w:val="21"/>
        </w:rPr>
        <w:br/>
        <w:t>6.5.1 Impugnação do laudo pericial</w:t>
      </w:r>
      <w:r>
        <w:rPr>
          <w:szCs w:val="21"/>
        </w:rPr>
        <w:t xml:space="preserve"> ..................</w:t>
      </w:r>
      <w:r w:rsidR="00B94AE4">
        <w:rPr>
          <w:szCs w:val="21"/>
        </w:rPr>
        <w:t>..................................</w:t>
      </w:r>
      <w:r>
        <w:rPr>
          <w:szCs w:val="21"/>
        </w:rPr>
        <w:t>................. 296</w:t>
      </w:r>
      <w:r w:rsidRPr="00E91E90">
        <w:rPr>
          <w:szCs w:val="21"/>
        </w:rPr>
        <w:br/>
        <w:t>6.5.2 Pedido de esclarecimentos e nova perícia</w:t>
      </w:r>
      <w:r>
        <w:rPr>
          <w:szCs w:val="21"/>
        </w:rPr>
        <w:t xml:space="preserve"> ............</w:t>
      </w:r>
      <w:r w:rsidR="00B94AE4">
        <w:rPr>
          <w:szCs w:val="21"/>
        </w:rPr>
        <w:t>.........................</w:t>
      </w:r>
      <w:r>
        <w:rPr>
          <w:szCs w:val="21"/>
        </w:rPr>
        <w:t>............... 296</w:t>
      </w:r>
      <w:r w:rsidRPr="00E91E90">
        <w:rPr>
          <w:szCs w:val="21"/>
        </w:rPr>
        <w:br/>
        <w:t>6.5.3 Provas complementares</w:t>
      </w:r>
      <w:r>
        <w:rPr>
          <w:szCs w:val="21"/>
        </w:rPr>
        <w:t xml:space="preserve"> ........................</w:t>
      </w:r>
      <w:r w:rsidR="00B94AE4">
        <w:rPr>
          <w:szCs w:val="21"/>
        </w:rPr>
        <w:t>...........................................</w:t>
      </w:r>
      <w:r>
        <w:rPr>
          <w:szCs w:val="21"/>
        </w:rPr>
        <w:t>............ 296</w:t>
      </w:r>
    </w:p>
    <w:p w14:paraId="09C708EA" w14:textId="7226B26C" w:rsidR="003A005E" w:rsidRPr="00E91E90" w:rsidRDefault="003A005E" w:rsidP="00B94AE4">
      <w:pPr>
        <w:keepNext/>
        <w:pBdr>
          <w:bottom w:val="single" w:sz="8" w:space="4" w:color="B89B5E"/>
        </w:pBdr>
        <w:spacing w:after="0" w:line="240" w:lineRule="auto"/>
        <w:ind w:right="-171"/>
        <w:rPr>
          <w:szCs w:val="21"/>
        </w:rPr>
      </w:pPr>
      <w:r w:rsidRPr="00E91E90">
        <w:rPr>
          <w:szCs w:val="21"/>
        </w:rPr>
        <w:t>6.6 Data de início do benefício</w:t>
      </w:r>
      <w:r>
        <w:rPr>
          <w:szCs w:val="21"/>
        </w:rPr>
        <w:t xml:space="preserve"> ............</w:t>
      </w:r>
      <w:r w:rsidR="00B94AE4">
        <w:rPr>
          <w:szCs w:val="21"/>
        </w:rPr>
        <w:t>.................................</w:t>
      </w:r>
      <w:r>
        <w:rPr>
          <w:szCs w:val="21"/>
        </w:rPr>
        <w:t>................................ 297</w:t>
      </w:r>
      <w:r w:rsidRPr="00E91E90">
        <w:rPr>
          <w:szCs w:val="21"/>
        </w:rPr>
        <w:br/>
        <w:t>6.6.1 Regra geral: requerimento administrativo ou cessação do auxílio por incapacidade temporária</w:t>
      </w:r>
      <w:r>
        <w:rPr>
          <w:szCs w:val="21"/>
        </w:rPr>
        <w:t xml:space="preserve"> .</w:t>
      </w:r>
      <w:r w:rsidR="00B94AE4">
        <w:rPr>
          <w:szCs w:val="21"/>
        </w:rPr>
        <w:t>.........................................................................................</w:t>
      </w:r>
      <w:r>
        <w:rPr>
          <w:szCs w:val="21"/>
        </w:rPr>
        <w:t>....... 298</w:t>
      </w:r>
      <w:r w:rsidRPr="00E91E90">
        <w:rPr>
          <w:szCs w:val="21"/>
        </w:rPr>
        <w:br/>
        <w:t>6.6.2 Prévio requerimento administrativo (Tema 350/STF)</w:t>
      </w:r>
      <w:r>
        <w:rPr>
          <w:szCs w:val="21"/>
        </w:rPr>
        <w:t xml:space="preserve"> ....</w:t>
      </w:r>
      <w:r w:rsidR="00B94AE4">
        <w:rPr>
          <w:szCs w:val="21"/>
        </w:rPr>
        <w:t>......................</w:t>
      </w:r>
      <w:r>
        <w:rPr>
          <w:szCs w:val="21"/>
        </w:rPr>
        <w:t>.... 298</w:t>
      </w:r>
      <w:r w:rsidRPr="00E91E90">
        <w:rPr>
          <w:szCs w:val="21"/>
        </w:rPr>
        <w:br/>
        <w:t>6.6.3 Termo inicial em concessão judicial</w:t>
      </w:r>
      <w:r>
        <w:rPr>
          <w:szCs w:val="21"/>
        </w:rPr>
        <w:t xml:space="preserve"> ..............</w:t>
      </w:r>
      <w:r w:rsidR="00B94AE4">
        <w:rPr>
          <w:szCs w:val="21"/>
        </w:rPr>
        <w:t>......................................</w:t>
      </w:r>
      <w:r>
        <w:rPr>
          <w:szCs w:val="21"/>
        </w:rPr>
        <w:t>........ 299</w:t>
      </w:r>
      <w:r w:rsidRPr="00E91E90">
        <w:rPr>
          <w:szCs w:val="21"/>
        </w:rPr>
        <w:br/>
        <w:t>6.6.4 Reafirmação da DER e incapacidade permanente</w:t>
      </w:r>
      <w:r>
        <w:rPr>
          <w:szCs w:val="21"/>
        </w:rPr>
        <w:t xml:space="preserve"> .................</w:t>
      </w:r>
      <w:r w:rsidR="00B94AE4">
        <w:rPr>
          <w:szCs w:val="21"/>
        </w:rPr>
        <w:t>................</w:t>
      </w:r>
      <w:r>
        <w:rPr>
          <w:szCs w:val="21"/>
        </w:rPr>
        <w:t>..... 300</w:t>
      </w:r>
      <w:r w:rsidRPr="00E91E90">
        <w:rPr>
          <w:szCs w:val="21"/>
        </w:rPr>
        <w:br/>
        <w:t>6.6.5 Cumulação de salários e benefício retroativo (Tema 1.013/STJ)</w:t>
      </w:r>
      <w:r>
        <w:rPr>
          <w:szCs w:val="21"/>
        </w:rPr>
        <w:t xml:space="preserve"> ..................</w:t>
      </w:r>
      <w:r w:rsidR="00B94AE4">
        <w:rPr>
          <w:szCs w:val="21"/>
        </w:rPr>
        <w:t>................................................................................................</w:t>
      </w:r>
      <w:r>
        <w:rPr>
          <w:szCs w:val="21"/>
        </w:rPr>
        <w:t>.............. 301</w:t>
      </w:r>
    </w:p>
    <w:p w14:paraId="33ADA584" w14:textId="5CCAFE38" w:rsidR="003A005E" w:rsidRPr="00E91E90" w:rsidRDefault="003A005E" w:rsidP="00B94AE4">
      <w:pPr>
        <w:keepNext/>
        <w:pBdr>
          <w:bottom w:val="single" w:sz="8" w:space="4" w:color="B89B5E"/>
        </w:pBdr>
        <w:spacing w:after="0" w:line="240" w:lineRule="auto"/>
        <w:ind w:right="-171"/>
        <w:rPr>
          <w:szCs w:val="21"/>
        </w:rPr>
      </w:pPr>
      <w:r w:rsidRPr="00E91E90">
        <w:rPr>
          <w:szCs w:val="21"/>
        </w:rPr>
        <w:t>6.7 Cálculo do benefício</w:t>
      </w:r>
      <w:r>
        <w:rPr>
          <w:szCs w:val="21"/>
        </w:rPr>
        <w:t xml:space="preserve"> .....</w:t>
      </w:r>
      <w:r w:rsidR="00B94AE4">
        <w:rPr>
          <w:szCs w:val="21"/>
        </w:rPr>
        <w:t>...........................................................</w:t>
      </w:r>
      <w:r>
        <w:rPr>
          <w:szCs w:val="21"/>
        </w:rPr>
        <w:t>....................... 302</w:t>
      </w:r>
      <w:r w:rsidRPr="00E91E90">
        <w:rPr>
          <w:szCs w:val="21"/>
        </w:rPr>
        <w:br/>
        <w:t>6.7.1 Coeficiente e exceções específicas</w:t>
      </w:r>
      <w:r>
        <w:rPr>
          <w:szCs w:val="21"/>
        </w:rPr>
        <w:t xml:space="preserve"> ........</w:t>
      </w:r>
      <w:r w:rsidR="00B94AE4">
        <w:rPr>
          <w:szCs w:val="21"/>
        </w:rPr>
        <w:t>.....................................</w:t>
      </w:r>
      <w:r>
        <w:rPr>
          <w:szCs w:val="21"/>
        </w:rPr>
        <w:t>................... 302</w:t>
      </w:r>
      <w:r w:rsidRPr="00E91E90">
        <w:rPr>
          <w:szCs w:val="21"/>
        </w:rPr>
        <w:br/>
        <w:t>6.7.2 Direito intertemporal: a DII como marco temporal</w:t>
      </w:r>
      <w:r>
        <w:rPr>
          <w:szCs w:val="21"/>
        </w:rPr>
        <w:t xml:space="preserve"> .........</w:t>
      </w:r>
      <w:r w:rsidR="00B94AE4">
        <w:rPr>
          <w:szCs w:val="21"/>
        </w:rPr>
        <w:t>.............</w:t>
      </w:r>
      <w:r>
        <w:rPr>
          <w:szCs w:val="21"/>
        </w:rPr>
        <w:t>............. 303</w:t>
      </w:r>
      <w:r w:rsidRPr="00E91E90">
        <w:rPr>
          <w:szCs w:val="21"/>
        </w:rPr>
        <w:br/>
        <w:t>6.7.3 Doenças graves e o Tema 1.300 do STF</w:t>
      </w:r>
      <w:r>
        <w:rPr>
          <w:szCs w:val="21"/>
        </w:rPr>
        <w:t xml:space="preserve"> .........................</w:t>
      </w:r>
      <w:r w:rsidR="00B94AE4">
        <w:rPr>
          <w:szCs w:val="21"/>
        </w:rPr>
        <w:t>.........................</w:t>
      </w:r>
      <w:r>
        <w:rPr>
          <w:szCs w:val="21"/>
        </w:rPr>
        <w:t>..... 303</w:t>
      </w:r>
      <w:r w:rsidRPr="00E91E90">
        <w:rPr>
          <w:szCs w:val="21"/>
        </w:rPr>
        <w:br/>
        <w:t>6.7.4 Acréscimo de 25% — grande invalidez</w:t>
      </w:r>
      <w:r>
        <w:rPr>
          <w:szCs w:val="21"/>
        </w:rPr>
        <w:t xml:space="preserve"> ................</w:t>
      </w:r>
      <w:r w:rsidR="00B94AE4">
        <w:rPr>
          <w:szCs w:val="21"/>
        </w:rPr>
        <w:t>..........................</w:t>
      </w:r>
      <w:r>
        <w:rPr>
          <w:szCs w:val="21"/>
        </w:rPr>
        <w:t>.............. 304</w:t>
      </w:r>
    </w:p>
    <w:p w14:paraId="27B38EBF" w14:textId="01701E51" w:rsidR="003A005E" w:rsidRPr="00E91E90" w:rsidRDefault="003A005E" w:rsidP="00B94AE4">
      <w:pPr>
        <w:keepNext/>
        <w:pBdr>
          <w:bottom w:val="single" w:sz="8" w:space="4" w:color="B89B5E"/>
        </w:pBdr>
        <w:spacing w:after="0" w:line="240" w:lineRule="auto"/>
        <w:ind w:right="-171"/>
        <w:rPr>
          <w:szCs w:val="21"/>
        </w:rPr>
      </w:pPr>
      <w:r w:rsidRPr="00E91E90">
        <w:rPr>
          <w:szCs w:val="21"/>
        </w:rPr>
        <w:t>6.8 Conversão, revisão e cessação</w:t>
      </w:r>
      <w:r>
        <w:rPr>
          <w:szCs w:val="21"/>
        </w:rPr>
        <w:t xml:space="preserve"> ..........</w:t>
      </w:r>
      <w:r w:rsidR="00B94AE4">
        <w:rPr>
          <w:szCs w:val="21"/>
        </w:rPr>
        <w:t>...........................................</w:t>
      </w:r>
      <w:r>
        <w:rPr>
          <w:szCs w:val="21"/>
        </w:rPr>
        <w:t>..................... 305</w:t>
      </w:r>
      <w:r w:rsidRPr="00E91E90">
        <w:rPr>
          <w:szCs w:val="21"/>
        </w:rPr>
        <w:br/>
        <w:t>6.8.1 Conversão do auxílio por incapacidade temporária</w:t>
      </w:r>
      <w:r>
        <w:rPr>
          <w:szCs w:val="21"/>
        </w:rPr>
        <w:t xml:space="preserve"> ..........</w:t>
      </w:r>
      <w:r w:rsidR="00B94AE4">
        <w:rPr>
          <w:szCs w:val="21"/>
        </w:rPr>
        <w:t>.......</w:t>
      </w:r>
      <w:r>
        <w:rPr>
          <w:szCs w:val="21"/>
        </w:rPr>
        <w:t>................... 305</w:t>
      </w:r>
      <w:r w:rsidRPr="00E91E90">
        <w:rPr>
          <w:szCs w:val="21"/>
        </w:rPr>
        <w:br/>
      </w:r>
      <w:r w:rsidRPr="00E91E90">
        <w:rPr>
          <w:szCs w:val="21"/>
        </w:rPr>
        <w:lastRenderedPageBreak/>
        <w:t>6.8.2 Revisão periódica (art. 101) e o “pente-fino”</w:t>
      </w:r>
      <w:r>
        <w:rPr>
          <w:szCs w:val="21"/>
        </w:rPr>
        <w:t xml:space="preserve"> .............</w:t>
      </w:r>
      <w:r w:rsidR="00B94AE4">
        <w:rPr>
          <w:szCs w:val="21"/>
        </w:rPr>
        <w:t>......................</w:t>
      </w:r>
      <w:r>
        <w:rPr>
          <w:szCs w:val="21"/>
        </w:rPr>
        <w:t>........... 306</w:t>
      </w:r>
      <w:r w:rsidRPr="00E91E90">
        <w:rPr>
          <w:szCs w:val="21"/>
        </w:rPr>
        <w:br/>
        <w:t>6.8.3 Cessação e retorno ao trabalho</w:t>
      </w:r>
      <w:r>
        <w:rPr>
          <w:szCs w:val="21"/>
        </w:rPr>
        <w:t xml:space="preserve"> .............................</w:t>
      </w:r>
      <w:r w:rsidR="00B94AE4">
        <w:rPr>
          <w:szCs w:val="21"/>
        </w:rPr>
        <w:t>........................</w:t>
      </w:r>
      <w:r>
        <w:rPr>
          <w:szCs w:val="21"/>
        </w:rPr>
        <w:t>............... 307</w:t>
      </w:r>
    </w:p>
    <w:p w14:paraId="2E780E67" w14:textId="6036CC89" w:rsidR="003A005E" w:rsidRPr="00E91E90" w:rsidRDefault="003A005E" w:rsidP="00B94AE4">
      <w:pPr>
        <w:keepNext/>
        <w:pBdr>
          <w:bottom w:val="single" w:sz="8" w:space="4" w:color="B89B5E"/>
        </w:pBdr>
        <w:spacing w:after="0" w:line="240" w:lineRule="auto"/>
        <w:ind w:right="-171"/>
        <w:rPr>
          <w:szCs w:val="21"/>
        </w:rPr>
      </w:pPr>
      <w:r w:rsidRPr="00E91E90">
        <w:rPr>
          <w:szCs w:val="21"/>
        </w:rPr>
        <w:t>6.9 Aposentadoria por incapacidade permanente acidentária</w:t>
      </w:r>
      <w:r>
        <w:rPr>
          <w:szCs w:val="21"/>
        </w:rPr>
        <w:t xml:space="preserve"> ............................. 308</w:t>
      </w:r>
      <w:r w:rsidRPr="00E91E90">
        <w:rPr>
          <w:szCs w:val="21"/>
        </w:rPr>
        <w:br/>
        <w:t>6.9.1 Distinção da aposentadoria previdenciária</w:t>
      </w:r>
      <w:r>
        <w:rPr>
          <w:szCs w:val="21"/>
        </w:rPr>
        <w:t xml:space="preserve"> ..................</w:t>
      </w:r>
      <w:r w:rsidR="00B94AE4">
        <w:rPr>
          <w:szCs w:val="21"/>
        </w:rPr>
        <w:t>.................</w:t>
      </w:r>
      <w:r>
        <w:rPr>
          <w:szCs w:val="21"/>
        </w:rPr>
        <w:t>.............. 309</w:t>
      </w:r>
      <w:r w:rsidRPr="00E91E90">
        <w:rPr>
          <w:szCs w:val="21"/>
        </w:rPr>
        <w:br/>
        <w:t>6.9.2 Nexo técnico epidemiológico (NTEP)</w:t>
      </w:r>
      <w:r>
        <w:rPr>
          <w:szCs w:val="21"/>
        </w:rPr>
        <w:t xml:space="preserve"> ........................</w:t>
      </w:r>
      <w:r w:rsidR="00B94AE4">
        <w:rPr>
          <w:szCs w:val="21"/>
        </w:rPr>
        <w:t>...................</w:t>
      </w:r>
      <w:r>
        <w:rPr>
          <w:szCs w:val="21"/>
        </w:rPr>
        <w:t>............ 309</w:t>
      </w:r>
      <w:r w:rsidRPr="00E91E90">
        <w:rPr>
          <w:szCs w:val="21"/>
        </w:rPr>
        <w:br/>
        <w:t>6.9.3 Cálculo: integralidade mantida</w:t>
      </w:r>
      <w:r>
        <w:rPr>
          <w:szCs w:val="21"/>
        </w:rPr>
        <w:t xml:space="preserve"> .................</w:t>
      </w:r>
      <w:r w:rsidR="00B94AE4">
        <w:rPr>
          <w:szCs w:val="21"/>
        </w:rPr>
        <w:t>...................................</w:t>
      </w:r>
      <w:r>
        <w:rPr>
          <w:szCs w:val="21"/>
        </w:rPr>
        <w:t>............... 310</w:t>
      </w:r>
    </w:p>
    <w:p w14:paraId="4ECD572A" w14:textId="13CA436B" w:rsidR="003A005E" w:rsidRPr="00E91E90" w:rsidRDefault="003A005E" w:rsidP="00B94AE4">
      <w:pPr>
        <w:keepNext/>
        <w:pBdr>
          <w:bottom w:val="single" w:sz="8" w:space="4" w:color="B89B5E"/>
        </w:pBdr>
        <w:spacing w:after="0" w:line="240" w:lineRule="auto"/>
        <w:ind w:right="-171"/>
        <w:rPr>
          <w:szCs w:val="21"/>
        </w:rPr>
      </w:pPr>
      <w:r w:rsidRPr="00E91E90">
        <w:rPr>
          <w:szCs w:val="21"/>
        </w:rPr>
        <w:t>6.10 Questões controvertidas</w:t>
      </w:r>
      <w:r>
        <w:rPr>
          <w:szCs w:val="21"/>
        </w:rPr>
        <w:t xml:space="preserve"> ....................</w:t>
      </w:r>
      <w:r w:rsidR="00B94AE4">
        <w:rPr>
          <w:szCs w:val="21"/>
        </w:rPr>
        <w:t>...............................................</w:t>
      </w:r>
      <w:r>
        <w:rPr>
          <w:szCs w:val="21"/>
        </w:rPr>
        <w:t>............ 311</w:t>
      </w:r>
      <w:r w:rsidRPr="00E91E90">
        <w:rPr>
          <w:szCs w:val="21"/>
        </w:rPr>
        <w:br/>
        <w:t>6.10.1 Cumulação com auxílio-acidente</w:t>
      </w:r>
      <w:r>
        <w:rPr>
          <w:szCs w:val="21"/>
        </w:rPr>
        <w:t xml:space="preserve"> ..................</w:t>
      </w:r>
      <w:r w:rsidR="00B94AE4">
        <w:rPr>
          <w:szCs w:val="21"/>
        </w:rPr>
        <w:t>.........................</w:t>
      </w:r>
      <w:r>
        <w:rPr>
          <w:szCs w:val="21"/>
        </w:rPr>
        <w:t>................... 311</w:t>
      </w:r>
      <w:r w:rsidRPr="00E91E90">
        <w:rPr>
          <w:szCs w:val="21"/>
        </w:rPr>
        <w:br/>
        <w:t>6.10.2 Aposentadoria por incapacidade e BPC</w:t>
      </w:r>
      <w:r>
        <w:rPr>
          <w:szCs w:val="21"/>
        </w:rPr>
        <w:t xml:space="preserve"> ........................</w:t>
      </w:r>
      <w:r w:rsidR="00B94AE4">
        <w:rPr>
          <w:szCs w:val="21"/>
        </w:rPr>
        <w:t>.................</w:t>
      </w:r>
      <w:r>
        <w:rPr>
          <w:szCs w:val="21"/>
        </w:rPr>
        <w:t>........... 311</w:t>
      </w:r>
      <w:r w:rsidRPr="00E91E90">
        <w:rPr>
          <w:szCs w:val="21"/>
        </w:rPr>
        <w:br/>
        <w:t>6.10.3 Reabilitação profissional e o benefício de última ratio</w:t>
      </w:r>
      <w:r>
        <w:rPr>
          <w:szCs w:val="21"/>
        </w:rPr>
        <w:t xml:space="preserve"> .............</w:t>
      </w:r>
      <w:r w:rsidR="00B94AE4">
        <w:rPr>
          <w:szCs w:val="21"/>
        </w:rPr>
        <w:t>.</w:t>
      </w:r>
      <w:r>
        <w:rPr>
          <w:szCs w:val="21"/>
        </w:rPr>
        <w:t>................ 313</w:t>
      </w:r>
      <w:r w:rsidRPr="00E91E90">
        <w:rPr>
          <w:szCs w:val="21"/>
        </w:rPr>
        <w:br/>
        <w:t>6.10.4 Alta programada e limbo previdenciário</w:t>
      </w:r>
      <w:r>
        <w:rPr>
          <w:szCs w:val="21"/>
        </w:rPr>
        <w:t xml:space="preserve"> ........................</w:t>
      </w:r>
      <w:r w:rsidR="00B94AE4">
        <w:rPr>
          <w:szCs w:val="21"/>
        </w:rPr>
        <w:t>..............</w:t>
      </w:r>
      <w:r>
        <w:rPr>
          <w:szCs w:val="21"/>
        </w:rPr>
        <w:t>............. 314</w:t>
      </w:r>
    </w:p>
    <w:p w14:paraId="3695C69E" w14:textId="24A67DC0" w:rsidR="003A005E" w:rsidRPr="000C430C" w:rsidRDefault="003A005E" w:rsidP="00B94AE4">
      <w:pPr>
        <w:keepNext/>
        <w:pBdr>
          <w:bottom w:val="single" w:sz="8" w:space="4" w:color="B89B5E"/>
        </w:pBdr>
        <w:spacing w:after="0" w:line="240" w:lineRule="auto"/>
        <w:ind w:right="-171"/>
        <w:rPr>
          <w:szCs w:val="21"/>
        </w:rPr>
      </w:pPr>
      <w:r w:rsidRPr="00E91E90">
        <w:rPr>
          <w:szCs w:val="21"/>
        </w:rPr>
        <w:t>6.11 Conclusão</w:t>
      </w:r>
      <w:r>
        <w:rPr>
          <w:szCs w:val="21"/>
        </w:rPr>
        <w:t xml:space="preserve"> ..........................</w:t>
      </w:r>
      <w:r w:rsidR="00B94AE4">
        <w:rPr>
          <w:szCs w:val="21"/>
        </w:rPr>
        <w:t>......................................................</w:t>
      </w:r>
      <w:r>
        <w:rPr>
          <w:szCs w:val="21"/>
        </w:rPr>
        <w:t>..................... 316</w:t>
      </w:r>
      <w:r w:rsidRPr="00E91E90">
        <w:rPr>
          <w:szCs w:val="21"/>
        </w:rPr>
        <w:br/>
        <w:t>Capítulo 7 — Auxílio por Incapacidade Temporária .........................</w:t>
      </w:r>
      <w:r w:rsidR="00B94AE4">
        <w:rPr>
          <w:szCs w:val="21"/>
        </w:rPr>
        <w:t>.</w:t>
      </w:r>
      <w:r w:rsidRPr="00E91E90">
        <w:rPr>
          <w:szCs w:val="21"/>
        </w:rPr>
        <w:t xml:space="preserve">................ </w:t>
      </w:r>
      <w:r>
        <w:rPr>
          <w:szCs w:val="21"/>
        </w:rPr>
        <w:t>318</w:t>
      </w:r>
    </w:p>
    <w:p w14:paraId="2AF16581" w14:textId="17A1A95D" w:rsidR="003A005E" w:rsidRPr="000C430C" w:rsidRDefault="003A005E" w:rsidP="00B94AE4">
      <w:pPr>
        <w:keepNext/>
        <w:pBdr>
          <w:bottom w:val="single" w:sz="8" w:space="4" w:color="B89B5E"/>
        </w:pBdr>
        <w:spacing w:after="0" w:line="240" w:lineRule="auto"/>
        <w:ind w:right="-171"/>
        <w:rPr>
          <w:szCs w:val="21"/>
        </w:rPr>
      </w:pPr>
      <w:r w:rsidRPr="000C430C">
        <w:rPr>
          <w:szCs w:val="21"/>
        </w:rPr>
        <w:t>7.1 Conceito e natureza jurídica</w:t>
      </w:r>
      <w:r>
        <w:rPr>
          <w:szCs w:val="21"/>
        </w:rPr>
        <w:t xml:space="preserve"> .......</w:t>
      </w:r>
      <w:r w:rsidR="00B94AE4">
        <w:rPr>
          <w:szCs w:val="21"/>
        </w:rPr>
        <w:t>........................................</w:t>
      </w:r>
      <w:r>
        <w:rPr>
          <w:szCs w:val="21"/>
        </w:rPr>
        <w:t>............................ 319</w:t>
      </w:r>
    </w:p>
    <w:p w14:paraId="09CFD1FE" w14:textId="2CB081C4" w:rsidR="003A005E" w:rsidRPr="000C430C" w:rsidRDefault="003A005E" w:rsidP="00B94AE4">
      <w:pPr>
        <w:keepNext/>
        <w:pBdr>
          <w:bottom w:val="single" w:sz="8" w:space="4" w:color="B89B5E"/>
        </w:pBdr>
        <w:spacing w:after="0" w:line="240" w:lineRule="auto"/>
        <w:ind w:right="-171"/>
        <w:rPr>
          <w:szCs w:val="21"/>
        </w:rPr>
      </w:pPr>
      <w:r w:rsidRPr="000C430C">
        <w:rPr>
          <w:szCs w:val="21"/>
        </w:rPr>
        <w:t>7.2 Evolução legislativa</w:t>
      </w:r>
      <w:r>
        <w:rPr>
          <w:szCs w:val="21"/>
        </w:rPr>
        <w:t xml:space="preserve"> ..................</w:t>
      </w:r>
      <w:r w:rsidR="00B94AE4">
        <w:rPr>
          <w:szCs w:val="21"/>
        </w:rPr>
        <w:t>..............................................</w:t>
      </w:r>
      <w:r>
        <w:rPr>
          <w:szCs w:val="21"/>
        </w:rPr>
        <w:t>......................... 321</w:t>
      </w:r>
    </w:p>
    <w:p w14:paraId="04B7C5BC" w14:textId="74974E3D" w:rsidR="003A005E" w:rsidRPr="000C430C" w:rsidRDefault="003A005E" w:rsidP="00B94AE4">
      <w:pPr>
        <w:keepNext/>
        <w:pBdr>
          <w:bottom w:val="single" w:sz="8" w:space="4" w:color="B89B5E"/>
        </w:pBdr>
        <w:spacing w:after="0" w:line="240" w:lineRule="auto"/>
        <w:ind w:right="-171"/>
        <w:rPr>
          <w:szCs w:val="21"/>
        </w:rPr>
      </w:pPr>
      <w:r w:rsidRPr="000C430C">
        <w:rPr>
          <w:szCs w:val="21"/>
        </w:rPr>
        <w:t>7.3 Requisitos legais</w:t>
      </w:r>
      <w:r>
        <w:rPr>
          <w:szCs w:val="21"/>
        </w:rPr>
        <w:t xml:space="preserve"> ..................................</w:t>
      </w:r>
      <w:r w:rsidR="00B94AE4">
        <w:rPr>
          <w:szCs w:val="21"/>
        </w:rPr>
        <w:t>...........................................</w:t>
      </w:r>
      <w:r>
        <w:rPr>
          <w:szCs w:val="21"/>
        </w:rPr>
        <w:t>................. 323</w:t>
      </w:r>
      <w:r w:rsidRPr="000C430C">
        <w:rPr>
          <w:szCs w:val="21"/>
        </w:rPr>
        <w:br/>
        <w:t>7.3.1 Qualidade de segurado</w:t>
      </w:r>
      <w:r>
        <w:rPr>
          <w:szCs w:val="21"/>
        </w:rPr>
        <w:t xml:space="preserve"> .........</w:t>
      </w:r>
      <w:r w:rsidR="00B94AE4">
        <w:rPr>
          <w:szCs w:val="21"/>
        </w:rPr>
        <w:t>.......................................</w:t>
      </w:r>
      <w:r>
        <w:rPr>
          <w:szCs w:val="21"/>
        </w:rPr>
        <w:t>................................. 323</w:t>
      </w:r>
      <w:r w:rsidRPr="000C430C">
        <w:rPr>
          <w:szCs w:val="21"/>
        </w:rPr>
        <w:br/>
        <w:t>7.3.2 Carência</w:t>
      </w:r>
      <w:r>
        <w:rPr>
          <w:szCs w:val="21"/>
        </w:rPr>
        <w:t xml:space="preserve"> .............................</w:t>
      </w:r>
      <w:r w:rsidR="00B94AE4">
        <w:rPr>
          <w:szCs w:val="21"/>
        </w:rPr>
        <w:t>...................................................</w:t>
      </w:r>
      <w:r>
        <w:rPr>
          <w:szCs w:val="21"/>
        </w:rPr>
        <w:t>....................... 323</w:t>
      </w:r>
      <w:r w:rsidRPr="000C430C">
        <w:rPr>
          <w:szCs w:val="21"/>
        </w:rPr>
        <w:br/>
        <w:t>7.3.3 Regra da metade (art. 27-A)</w:t>
      </w:r>
      <w:r>
        <w:rPr>
          <w:szCs w:val="21"/>
        </w:rPr>
        <w:t xml:space="preserve"> .......</w:t>
      </w:r>
      <w:r w:rsidR="00B94AE4">
        <w:rPr>
          <w:szCs w:val="21"/>
        </w:rPr>
        <w:t>..................................</w:t>
      </w:r>
      <w:r>
        <w:rPr>
          <w:szCs w:val="21"/>
        </w:rPr>
        <w:t>................................ 324</w:t>
      </w:r>
      <w:r w:rsidRPr="000C430C">
        <w:rPr>
          <w:szCs w:val="21"/>
        </w:rPr>
        <w:br/>
        <w:t>7.3.4 Incapacidade para o trabalho ou atividade habitual</w:t>
      </w:r>
      <w:r>
        <w:rPr>
          <w:szCs w:val="21"/>
        </w:rPr>
        <w:t xml:space="preserve"> .........</w:t>
      </w:r>
      <w:r w:rsidR="00B94AE4">
        <w:rPr>
          <w:szCs w:val="21"/>
        </w:rPr>
        <w:t>..</w:t>
      </w:r>
      <w:r>
        <w:rPr>
          <w:szCs w:val="21"/>
        </w:rPr>
        <w:t>......................... 324</w:t>
      </w:r>
      <w:r w:rsidRPr="000C430C">
        <w:rPr>
          <w:szCs w:val="21"/>
        </w:rPr>
        <w:br/>
        <w:t>7.3.5 Afastamento superior a 15 dias</w:t>
      </w:r>
      <w:r>
        <w:rPr>
          <w:szCs w:val="21"/>
        </w:rPr>
        <w:t xml:space="preserve"> ..................</w:t>
      </w:r>
      <w:r w:rsidR="00B94AE4">
        <w:rPr>
          <w:szCs w:val="21"/>
        </w:rPr>
        <w:t>.....................................</w:t>
      </w:r>
      <w:r>
        <w:rPr>
          <w:szCs w:val="21"/>
        </w:rPr>
        <w:t>............. 324</w:t>
      </w:r>
    </w:p>
    <w:p w14:paraId="19296337" w14:textId="5852E2DE" w:rsidR="003A005E" w:rsidRPr="000C430C" w:rsidRDefault="003A005E" w:rsidP="00B94AE4">
      <w:pPr>
        <w:keepNext/>
        <w:pBdr>
          <w:bottom w:val="single" w:sz="8" w:space="4" w:color="B89B5E"/>
        </w:pBdr>
        <w:spacing w:after="0" w:line="240" w:lineRule="auto"/>
        <w:ind w:right="-171"/>
        <w:rPr>
          <w:szCs w:val="21"/>
        </w:rPr>
      </w:pPr>
      <w:r w:rsidRPr="000C430C">
        <w:rPr>
          <w:szCs w:val="21"/>
        </w:rPr>
        <w:t>7.4 Espécies: previdenciário (B31) e acidentário (B91)</w:t>
      </w:r>
      <w:r>
        <w:rPr>
          <w:szCs w:val="21"/>
        </w:rPr>
        <w:t xml:space="preserve"> ..........</w:t>
      </w:r>
      <w:r w:rsidR="00B94AE4">
        <w:rPr>
          <w:szCs w:val="21"/>
        </w:rPr>
        <w:t>......</w:t>
      </w:r>
      <w:r>
        <w:rPr>
          <w:szCs w:val="21"/>
        </w:rPr>
        <w:t>........................ 326</w:t>
      </w:r>
      <w:r w:rsidRPr="000C430C">
        <w:rPr>
          <w:szCs w:val="21"/>
        </w:rPr>
        <w:br/>
        <w:t>7.4.1 Diferenças fundamentais</w:t>
      </w:r>
      <w:r>
        <w:rPr>
          <w:szCs w:val="21"/>
        </w:rPr>
        <w:t xml:space="preserve"> ..............................</w:t>
      </w:r>
      <w:r w:rsidR="00B94AE4">
        <w:rPr>
          <w:szCs w:val="21"/>
        </w:rPr>
        <w:t>..................................</w:t>
      </w:r>
      <w:r>
        <w:rPr>
          <w:szCs w:val="21"/>
        </w:rPr>
        <w:t>............. 326</w:t>
      </w:r>
      <w:r w:rsidRPr="000C430C">
        <w:rPr>
          <w:szCs w:val="21"/>
        </w:rPr>
        <w:br/>
        <w:t>7.4.2 Nexo técnico epidemiológico previdenciário (NTEP)</w:t>
      </w:r>
      <w:r>
        <w:rPr>
          <w:szCs w:val="21"/>
        </w:rPr>
        <w:t xml:space="preserve"> .......</w:t>
      </w:r>
      <w:r w:rsidR="00B94AE4">
        <w:rPr>
          <w:szCs w:val="21"/>
        </w:rPr>
        <w:t>...</w:t>
      </w:r>
      <w:r>
        <w:rPr>
          <w:szCs w:val="21"/>
        </w:rPr>
        <w:t>..................... 327</w:t>
      </w:r>
      <w:r w:rsidRPr="000C430C">
        <w:rPr>
          <w:szCs w:val="21"/>
        </w:rPr>
        <w:br/>
        <w:t>7.4.3 Conversão de B31 em B91</w:t>
      </w:r>
      <w:r>
        <w:rPr>
          <w:szCs w:val="21"/>
        </w:rPr>
        <w:t xml:space="preserve"> .........................</w:t>
      </w:r>
      <w:r w:rsidR="00B94AE4">
        <w:rPr>
          <w:szCs w:val="21"/>
        </w:rPr>
        <w:t>........................................</w:t>
      </w:r>
      <w:r>
        <w:rPr>
          <w:szCs w:val="21"/>
        </w:rPr>
        <w:t>.......... 328</w:t>
      </w:r>
    </w:p>
    <w:p w14:paraId="63CFE502" w14:textId="61B20C3A" w:rsidR="003A005E" w:rsidRPr="000C430C" w:rsidRDefault="003A005E" w:rsidP="00B94AE4">
      <w:pPr>
        <w:keepNext/>
        <w:pBdr>
          <w:bottom w:val="single" w:sz="8" w:space="4" w:color="B89B5E"/>
        </w:pBdr>
        <w:spacing w:after="0" w:line="240" w:lineRule="auto"/>
        <w:ind w:right="-171"/>
        <w:rPr>
          <w:szCs w:val="21"/>
        </w:rPr>
      </w:pPr>
      <w:r w:rsidRPr="000C430C">
        <w:rPr>
          <w:szCs w:val="21"/>
        </w:rPr>
        <w:t>7.5 Incapacidade temporária: avaliação e perícia</w:t>
      </w:r>
      <w:r>
        <w:rPr>
          <w:szCs w:val="21"/>
        </w:rPr>
        <w:t xml:space="preserve"> ............</w:t>
      </w:r>
      <w:r w:rsidR="00B94AE4">
        <w:rPr>
          <w:szCs w:val="21"/>
        </w:rPr>
        <w:t>...................</w:t>
      </w:r>
      <w:r>
        <w:rPr>
          <w:szCs w:val="21"/>
        </w:rPr>
        <w:t>................... 328</w:t>
      </w:r>
      <w:r w:rsidRPr="000C430C">
        <w:rPr>
          <w:szCs w:val="21"/>
        </w:rPr>
        <w:br/>
        <w:t>7.5.1 Incapacidade para a atividade habitual</w:t>
      </w:r>
      <w:r>
        <w:rPr>
          <w:szCs w:val="21"/>
        </w:rPr>
        <w:t xml:space="preserve"> .............</w:t>
      </w:r>
      <w:r w:rsidR="00B94AE4">
        <w:rPr>
          <w:szCs w:val="21"/>
        </w:rPr>
        <w:t>........................</w:t>
      </w:r>
      <w:r>
        <w:rPr>
          <w:szCs w:val="21"/>
        </w:rPr>
        <w:t>................... 328</w:t>
      </w:r>
      <w:r w:rsidRPr="000C430C">
        <w:rPr>
          <w:szCs w:val="21"/>
        </w:rPr>
        <w:br/>
        <w:t>7.5.2 Transtornos mentais e a nova epidemiologia da incapacidade</w:t>
      </w:r>
      <w:r>
        <w:rPr>
          <w:szCs w:val="21"/>
        </w:rPr>
        <w:t xml:space="preserve"> ......................</w:t>
      </w:r>
      <w:r w:rsidR="00B94AE4">
        <w:rPr>
          <w:szCs w:val="21"/>
        </w:rPr>
        <w:t>..........................................................................................</w:t>
      </w:r>
      <w:r>
        <w:rPr>
          <w:szCs w:val="21"/>
        </w:rPr>
        <w:t>................ 329</w:t>
      </w:r>
      <w:r w:rsidRPr="000C430C">
        <w:rPr>
          <w:szCs w:val="21"/>
        </w:rPr>
        <w:br/>
        <w:t>7.5.3 Perícia médica: procedimento e valoração</w:t>
      </w:r>
      <w:r>
        <w:rPr>
          <w:szCs w:val="21"/>
        </w:rPr>
        <w:t xml:space="preserve"> ................</w:t>
      </w:r>
      <w:r w:rsidR="00B94AE4">
        <w:rPr>
          <w:szCs w:val="21"/>
        </w:rPr>
        <w:t>...............</w:t>
      </w:r>
      <w:r>
        <w:rPr>
          <w:szCs w:val="21"/>
        </w:rPr>
        <w:t>................... 331</w:t>
      </w:r>
      <w:r w:rsidRPr="000C430C">
        <w:rPr>
          <w:szCs w:val="21"/>
        </w:rPr>
        <w:br/>
        <w:t>7.5.4 O sistema Atestmed</w:t>
      </w:r>
      <w:r>
        <w:rPr>
          <w:szCs w:val="21"/>
        </w:rPr>
        <w:t xml:space="preserve"> ......................</w:t>
      </w:r>
      <w:r w:rsidR="00B94AE4">
        <w:rPr>
          <w:szCs w:val="21"/>
        </w:rPr>
        <w:t>...................................................</w:t>
      </w:r>
      <w:r>
        <w:rPr>
          <w:szCs w:val="21"/>
        </w:rPr>
        <w:t>............ 332</w:t>
      </w:r>
      <w:r w:rsidRPr="000C430C">
        <w:rPr>
          <w:szCs w:val="21"/>
        </w:rPr>
        <w:br/>
        <w:t>7.5.5 Doença preexistente e progressão/agravamento</w:t>
      </w:r>
      <w:r>
        <w:rPr>
          <w:szCs w:val="21"/>
        </w:rPr>
        <w:t xml:space="preserve"> ..........</w:t>
      </w:r>
      <w:r w:rsidR="00B94AE4">
        <w:rPr>
          <w:szCs w:val="21"/>
        </w:rPr>
        <w:t>.................</w:t>
      </w:r>
      <w:r>
        <w:rPr>
          <w:szCs w:val="21"/>
        </w:rPr>
        <w:t>.............. 333</w:t>
      </w:r>
    </w:p>
    <w:p w14:paraId="39916820" w14:textId="501EF6FF" w:rsidR="003A005E" w:rsidRPr="000C430C" w:rsidRDefault="003A005E" w:rsidP="00B94AE4">
      <w:pPr>
        <w:keepNext/>
        <w:pBdr>
          <w:bottom w:val="single" w:sz="8" w:space="4" w:color="B89B5E"/>
        </w:pBdr>
        <w:spacing w:after="0" w:line="240" w:lineRule="auto"/>
        <w:ind w:right="-171"/>
        <w:rPr>
          <w:szCs w:val="21"/>
        </w:rPr>
      </w:pPr>
      <w:r w:rsidRPr="000C430C">
        <w:rPr>
          <w:szCs w:val="21"/>
        </w:rPr>
        <w:t>7.6 Data de início do benefício (DIB)</w:t>
      </w:r>
      <w:r>
        <w:rPr>
          <w:szCs w:val="21"/>
        </w:rPr>
        <w:t xml:space="preserve"> .......................</w:t>
      </w:r>
      <w:r w:rsidR="00B94AE4">
        <w:rPr>
          <w:szCs w:val="21"/>
        </w:rPr>
        <w:t>............................</w:t>
      </w:r>
      <w:r>
        <w:rPr>
          <w:szCs w:val="21"/>
        </w:rPr>
        <w:t>................ 333</w:t>
      </w:r>
      <w:r w:rsidRPr="000C430C">
        <w:rPr>
          <w:szCs w:val="21"/>
        </w:rPr>
        <w:br/>
        <w:t>7.6.1 Segurado empregado</w:t>
      </w:r>
      <w:r>
        <w:rPr>
          <w:szCs w:val="21"/>
        </w:rPr>
        <w:t xml:space="preserve"> .............................</w:t>
      </w:r>
      <w:r w:rsidR="00B94AE4">
        <w:rPr>
          <w:szCs w:val="21"/>
        </w:rPr>
        <w:t>.........................................</w:t>
      </w:r>
      <w:r>
        <w:rPr>
          <w:szCs w:val="21"/>
        </w:rPr>
        <w:t>............. 334</w:t>
      </w:r>
      <w:r w:rsidRPr="000C430C">
        <w:rPr>
          <w:szCs w:val="21"/>
        </w:rPr>
        <w:br/>
      </w:r>
      <w:r w:rsidRPr="000C430C">
        <w:rPr>
          <w:szCs w:val="21"/>
        </w:rPr>
        <w:lastRenderedPageBreak/>
        <w:t>7.6.2 Demais segurados</w:t>
      </w:r>
      <w:r>
        <w:rPr>
          <w:szCs w:val="21"/>
        </w:rPr>
        <w:t xml:space="preserve"> ...................</w:t>
      </w:r>
      <w:r w:rsidR="00B94AE4">
        <w:rPr>
          <w:szCs w:val="21"/>
        </w:rPr>
        <w:t>.................................................</w:t>
      </w:r>
      <w:r>
        <w:rPr>
          <w:szCs w:val="21"/>
        </w:rPr>
        <w:t>..................... 334</w:t>
      </w:r>
      <w:r w:rsidRPr="000C430C">
        <w:rPr>
          <w:szCs w:val="21"/>
        </w:rPr>
        <w:br/>
      </w:r>
      <w:r w:rsidRPr="00786006">
        <w:rPr>
          <w:szCs w:val="21"/>
        </w:rPr>
        <w:t>7.6.3 DIB na via judicial ..........</w:t>
      </w:r>
      <w:r w:rsidR="00B94AE4" w:rsidRPr="00786006">
        <w:rPr>
          <w:szCs w:val="21"/>
        </w:rPr>
        <w:t>......................................................</w:t>
      </w:r>
      <w:r w:rsidRPr="00786006">
        <w:rPr>
          <w:szCs w:val="21"/>
        </w:rPr>
        <w:t>........................ 334</w:t>
      </w:r>
    </w:p>
    <w:p w14:paraId="1A546AC5" w14:textId="13B47CFC" w:rsidR="003A005E" w:rsidRPr="000C430C" w:rsidRDefault="003A005E" w:rsidP="00B94AE4">
      <w:pPr>
        <w:keepNext/>
        <w:pBdr>
          <w:bottom w:val="single" w:sz="8" w:space="4" w:color="B89B5E"/>
        </w:pBdr>
        <w:spacing w:after="0" w:line="240" w:lineRule="auto"/>
        <w:ind w:right="-171"/>
        <w:rPr>
          <w:szCs w:val="21"/>
        </w:rPr>
      </w:pPr>
      <w:r w:rsidRPr="000C430C">
        <w:rPr>
          <w:szCs w:val="21"/>
        </w:rPr>
        <w:t>7.7 Duração do benefício e alta programada (COPES)</w:t>
      </w:r>
      <w:r>
        <w:rPr>
          <w:szCs w:val="21"/>
        </w:rPr>
        <w:t xml:space="preserve"> ................</w:t>
      </w:r>
      <w:r w:rsidR="00BF5C6D">
        <w:rPr>
          <w:szCs w:val="21"/>
        </w:rPr>
        <w:t>..............</w:t>
      </w:r>
      <w:r>
        <w:rPr>
          <w:szCs w:val="21"/>
        </w:rPr>
        <w:t>.......... 335</w:t>
      </w:r>
      <w:r w:rsidRPr="000C430C">
        <w:rPr>
          <w:szCs w:val="21"/>
        </w:rPr>
        <w:br/>
        <w:t>7.7.1 Sistema COPES</w:t>
      </w:r>
      <w:r>
        <w:rPr>
          <w:szCs w:val="21"/>
        </w:rPr>
        <w:t xml:space="preserve"> ..........</w:t>
      </w:r>
      <w:r w:rsidR="00BF5C6D">
        <w:rPr>
          <w:szCs w:val="21"/>
        </w:rPr>
        <w:t>..........................................................</w:t>
      </w:r>
      <w:r>
        <w:rPr>
          <w:szCs w:val="21"/>
        </w:rPr>
        <w:t>....................... 335</w:t>
      </w:r>
      <w:r w:rsidRPr="000C430C">
        <w:rPr>
          <w:szCs w:val="21"/>
        </w:rPr>
        <w:br/>
        <w:t>7.7.2 STF Tema 1.196: constitucionalidade da alta programada</w:t>
      </w:r>
      <w:r>
        <w:rPr>
          <w:szCs w:val="21"/>
        </w:rPr>
        <w:t xml:space="preserve"> .............</w:t>
      </w:r>
      <w:r w:rsidR="00BF5C6D">
        <w:rPr>
          <w:szCs w:val="21"/>
        </w:rPr>
        <w:t>.</w:t>
      </w:r>
      <w:r>
        <w:rPr>
          <w:szCs w:val="21"/>
        </w:rPr>
        <w:t>.......... 336</w:t>
      </w:r>
      <w:r w:rsidRPr="000C430C">
        <w:rPr>
          <w:szCs w:val="21"/>
        </w:rPr>
        <w:br/>
        <w:t>7.7.3 Prorrogação, reconsideração e recurso</w:t>
      </w:r>
      <w:r>
        <w:rPr>
          <w:szCs w:val="21"/>
        </w:rPr>
        <w:t xml:space="preserve"> ............</w:t>
      </w:r>
      <w:r w:rsidR="00BF5C6D">
        <w:rPr>
          <w:szCs w:val="21"/>
        </w:rPr>
        <w:t>.......................</w:t>
      </w:r>
      <w:r>
        <w:rPr>
          <w:szCs w:val="21"/>
        </w:rPr>
        <w:t>..................... 337</w:t>
      </w:r>
    </w:p>
    <w:p w14:paraId="3390C48F" w14:textId="24361073" w:rsidR="003A005E" w:rsidRPr="000C430C" w:rsidRDefault="003A005E" w:rsidP="00B94AE4">
      <w:pPr>
        <w:keepNext/>
        <w:pBdr>
          <w:bottom w:val="single" w:sz="8" w:space="4" w:color="B89B5E"/>
        </w:pBdr>
        <w:spacing w:after="0" w:line="240" w:lineRule="auto"/>
        <w:ind w:right="-171"/>
        <w:rPr>
          <w:szCs w:val="21"/>
        </w:rPr>
      </w:pPr>
      <w:r w:rsidRPr="000C430C">
        <w:rPr>
          <w:szCs w:val="21"/>
        </w:rPr>
        <w:t>7.8 Cálculo do benefício</w:t>
      </w:r>
      <w:r>
        <w:rPr>
          <w:szCs w:val="21"/>
        </w:rPr>
        <w:t xml:space="preserve"> .....................</w:t>
      </w:r>
      <w:r w:rsidR="00BF5C6D">
        <w:rPr>
          <w:szCs w:val="21"/>
        </w:rPr>
        <w:t>...................................................</w:t>
      </w:r>
      <w:r>
        <w:rPr>
          <w:szCs w:val="21"/>
        </w:rPr>
        <w:t>............... 338</w:t>
      </w:r>
      <w:r w:rsidRPr="000C430C">
        <w:rPr>
          <w:szCs w:val="21"/>
        </w:rPr>
        <w:br/>
        <w:t>7.8.1 Coeficiente de 91%</w:t>
      </w:r>
      <w:r>
        <w:rPr>
          <w:szCs w:val="21"/>
        </w:rPr>
        <w:t xml:space="preserve"> ...................</w:t>
      </w:r>
      <w:r w:rsidR="00BF5C6D">
        <w:rPr>
          <w:szCs w:val="21"/>
        </w:rPr>
        <w:t>.............................................</w:t>
      </w:r>
      <w:r>
        <w:rPr>
          <w:szCs w:val="21"/>
        </w:rPr>
        <w:t>....................... 338</w:t>
      </w:r>
      <w:r w:rsidRPr="000C430C">
        <w:rPr>
          <w:szCs w:val="21"/>
        </w:rPr>
        <w:br/>
        <w:t>7.8.2 Divergência sobre a aplicabilidade do art. 26 da EC 103/2019</w:t>
      </w:r>
      <w:r>
        <w:rPr>
          <w:szCs w:val="21"/>
        </w:rPr>
        <w:t xml:space="preserve"> ............</w:t>
      </w:r>
      <w:r w:rsidR="00BF5C6D">
        <w:rPr>
          <w:szCs w:val="21"/>
        </w:rPr>
        <w:t>.</w:t>
      </w:r>
      <w:r>
        <w:rPr>
          <w:szCs w:val="21"/>
        </w:rPr>
        <w:t>...... 339</w:t>
      </w:r>
    </w:p>
    <w:p w14:paraId="53D1763E" w14:textId="78E74E60" w:rsidR="003A005E" w:rsidRPr="000C430C" w:rsidRDefault="003A005E" w:rsidP="00B94AE4">
      <w:pPr>
        <w:keepNext/>
        <w:pBdr>
          <w:bottom w:val="single" w:sz="8" w:space="4" w:color="B89B5E"/>
        </w:pBdr>
        <w:spacing w:after="0" w:line="240" w:lineRule="auto"/>
        <w:ind w:right="-171"/>
        <w:rPr>
          <w:szCs w:val="21"/>
        </w:rPr>
      </w:pPr>
      <w:r w:rsidRPr="000C430C">
        <w:rPr>
          <w:szCs w:val="21"/>
        </w:rPr>
        <w:t>7.9 Efeitos do auxílio por incapacidade temporária sobre o contrato de trabalho</w:t>
      </w:r>
      <w:r>
        <w:rPr>
          <w:szCs w:val="21"/>
        </w:rPr>
        <w:t xml:space="preserve"> ............</w:t>
      </w:r>
      <w:r w:rsidR="00BF5C6D">
        <w:rPr>
          <w:szCs w:val="21"/>
        </w:rPr>
        <w:t>................................................................................................</w:t>
      </w:r>
      <w:r>
        <w:rPr>
          <w:szCs w:val="21"/>
        </w:rPr>
        <w:t>.................... 339</w:t>
      </w:r>
    </w:p>
    <w:p w14:paraId="25B20FA0" w14:textId="565B57C7" w:rsidR="003A005E" w:rsidRPr="000C430C" w:rsidRDefault="003A005E" w:rsidP="00B94AE4">
      <w:pPr>
        <w:keepNext/>
        <w:pBdr>
          <w:bottom w:val="single" w:sz="8" w:space="4" w:color="B89B5E"/>
        </w:pBdr>
        <w:spacing w:after="0" w:line="240" w:lineRule="auto"/>
        <w:ind w:right="-171"/>
        <w:rPr>
          <w:szCs w:val="21"/>
        </w:rPr>
      </w:pPr>
      <w:r w:rsidRPr="000C430C">
        <w:rPr>
          <w:szCs w:val="21"/>
        </w:rPr>
        <w:t>7.10 Cessação do benefício</w:t>
      </w:r>
      <w:r>
        <w:rPr>
          <w:szCs w:val="21"/>
        </w:rPr>
        <w:t xml:space="preserve"> ...................</w:t>
      </w:r>
      <w:r w:rsidR="009E6E67">
        <w:rPr>
          <w:szCs w:val="21"/>
        </w:rPr>
        <w:t>......................................................</w:t>
      </w:r>
      <w:r>
        <w:rPr>
          <w:szCs w:val="21"/>
        </w:rPr>
        <w:t>.......... 340</w:t>
      </w:r>
      <w:r w:rsidRPr="000C430C">
        <w:rPr>
          <w:szCs w:val="21"/>
        </w:rPr>
        <w:br/>
        <w:t>7.10.1 Recuperação da capacidade laborativa</w:t>
      </w:r>
      <w:r>
        <w:rPr>
          <w:szCs w:val="21"/>
        </w:rPr>
        <w:t xml:space="preserve"> ...........</w:t>
      </w:r>
      <w:r w:rsidR="009E6E67">
        <w:rPr>
          <w:szCs w:val="21"/>
        </w:rPr>
        <w:t>........................</w:t>
      </w:r>
      <w:r>
        <w:rPr>
          <w:szCs w:val="21"/>
        </w:rPr>
        <w:t>................... 340</w:t>
      </w:r>
      <w:r w:rsidRPr="000C430C">
        <w:rPr>
          <w:szCs w:val="21"/>
        </w:rPr>
        <w:br/>
        <w:t>7.10.2 Conversão em aposentadoria por incapacidade permanente</w:t>
      </w:r>
      <w:r>
        <w:rPr>
          <w:szCs w:val="21"/>
        </w:rPr>
        <w:t xml:space="preserve"> ................... 341</w:t>
      </w:r>
      <w:r w:rsidRPr="000C430C">
        <w:rPr>
          <w:szCs w:val="21"/>
        </w:rPr>
        <w:br/>
        <w:t>7.10.3 Aposentadoria por idade ou tempo de contribuição</w:t>
      </w:r>
      <w:r>
        <w:rPr>
          <w:szCs w:val="21"/>
        </w:rPr>
        <w:t xml:space="preserve"> .....................</w:t>
      </w:r>
      <w:r w:rsidR="009E6E67">
        <w:rPr>
          <w:szCs w:val="21"/>
        </w:rPr>
        <w:t>.</w:t>
      </w:r>
      <w:r>
        <w:rPr>
          <w:szCs w:val="21"/>
        </w:rPr>
        <w:t>.......... 341</w:t>
      </w:r>
      <w:r w:rsidRPr="000C430C">
        <w:rPr>
          <w:szCs w:val="21"/>
        </w:rPr>
        <w:br/>
        <w:t>7.10.4 Óbito do segurado</w:t>
      </w:r>
      <w:r>
        <w:rPr>
          <w:szCs w:val="21"/>
        </w:rPr>
        <w:t xml:space="preserve"> .................................</w:t>
      </w:r>
      <w:r w:rsidR="009E6E67">
        <w:rPr>
          <w:szCs w:val="21"/>
        </w:rPr>
        <w:t>....................................................</w:t>
      </w:r>
      <w:r>
        <w:rPr>
          <w:szCs w:val="21"/>
        </w:rPr>
        <w:t xml:space="preserve"> 342</w:t>
      </w:r>
      <w:r w:rsidRPr="000C430C">
        <w:rPr>
          <w:szCs w:val="21"/>
        </w:rPr>
        <w:br/>
        <w:t>7.10.5 Retorno voluntário ao trabalho</w:t>
      </w:r>
      <w:r>
        <w:rPr>
          <w:szCs w:val="21"/>
        </w:rPr>
        <w:t xml:space="preserve"> ....................</w:t>
      </w:r>
      <w:r w:rsidR="009E6E67">
        <w:rPr>
          <w:szCs w:val="21"/>
        </w:rPr>
        <w:t>...........................</w:t>
      </w:r>
      <w:r>
        <w:rPr>
          <w:szCs w:val="21"/>
        </w:rPr>
        <w:t>................. 342</w:t>
      </w:r>
    </w:p>
    <w:p w14:paraId="3B0E4491" w14:textId="5131F29F" w:rsidR="003A005E" w:rsidRPr="000C430C" w:rsidRDefault="003A005E" w:rsidP="00B94AE4">
      <w:pPr>
        <w:keepNext/>
        <w:pBdr>
          <w:bottom w:val="single" w:sz="8" w:space="4" w:color="B89B5E"/>
        </w:pBdr>
        <w:spacing w:after="0" w:line="240" w:lineRule="auto"/>
        <w:ind w:right="-171"/>
        <w:rPr>
          <w:szCs w:val="21"/>
        </w:rPr>
      </w:pPr>
      <w:r w:rsidRPr="000C430C">
        <w:rPr>
          <w:szCs w:val="21"/>
        </w:rPr>
        <w:t>7.11 Exercício de atividade remunerada durante o benefício</w:t>
      </w:r>
      <w:r>
        <w:rPr>
          <w:szCs w:val="21"/>
        </w:rPr>
        <w:t xml:space="preserve"> .........</w:t>
      </w:r>
      <w:r w:rsidR="009E6E67">
        <w:rPr>
          <w:szCs w:val="21"/>
        </w:rPr>
        <w:t>.</w:t>
      </w:r>
      <w:r>
        <w:rPr>
          <w:szCs w:val="21"/>
        </w:rPr>
        <w:t>.................... 342</w:t>
      </w:r>
      <w:r w:rsidRPr="000C430C">
        <w:rPr>
          <w:szCs w:val="21"/>
        </w:rPr>
        <w:br/>
        <w:t>7.11.1 Súmula 72/TNU</w:t>
      </w:r>
      <w:r>
        <w:rPr>
          <w:szCs w:val="21"/>
        </w:rPr>
        <w:t xml:space="preserve"> ......................</w:t>
      </w:r>
      <w:r w:rsidR="009E6E67">
        <w:rPr>
          <w:szCs w:val="21"/>
        </w:rPr>
        <w:t>.............................................</w:t>
      </w:r>
      <w:r>
        <w:rPr>
          <w:szCs w:val="21"/>
        </w:rPr>
        <w:t>.................... 342</w:t>
      </w:r>
      <w:r w:rsidRPr="000C430C">
        <w:rPr>
          <w:szCs w:val="21"/>
        </w:rPr>
        <w:br/>
        <w:t>7.11.2 STJ Tema 1.013</w:t>
      </w:r>
      <w:r>
        <w:rPr>
          <w:szCs w:val="21"/>
        </w:rPr>
        <w:t xml:space="preserve"> .............</w:t>
      </w:r>
      <w:r w:rsidR="009E6E67">
        <w:rPr>
          <w:szCs w:val="21"/>
        </w:rPr>
        <w:t>....................................................</w:t>
      </w:r>
      <w:r>
        <w:rPr>
          <w:szCs w:val="21"/>
        </w:rPr>
        <w:t>........................ 343</w:t>
      </w:r>
    </w:p>
    <w:p w14:paraId="2D69478B" w14:textId="749289F1" w:rsidR="003A005E" w:rsidRPr="000C430C" w:rsidRDefault="003A005E" w:rsidP="00B94AE4">
      <w:pPr>
        <w:keepNext/>
        <w:pBdr>
          <w:bottom w:val="single" w:sz="8" w:space="4" w:color="B89B5E"/>
        </w:pBdr>
        <w:spacing w:after="0" w:line="240" w:lineRule="auto"/>
        <w:ind w:right="-171"/>
        <w:rPr>
          <w:szCs w:val="21"/>
        </w:rPr>
      </w:pPr>
      <w:r w:rsidRPr="000C430C">
        <w:rPr>
          <w:szCs w:val="21"/>
        </w:rPr>
        <w:t>7.12 Programa de reabilitação profissional</w:t>
      </w:r>
      <w:r>
        <w:rPr>
          <w:szCs w:val="21"/>
        </w:rPr>
        <w:t xml:space="preserve"> ................</w:t>
      </w:r>
      <w:r w:rsidR="009E6E67">
        <w:rPr>
          <w:szCs w:val="21"/>
        </w:rPr>
        <w:t>..................</w:t>
      </w:r>
      <w:r>
        <w:rPr>
          <w:szCs w:val="21"/>
        </w:rPr>
        <w:t>......................... 343</w:t>
      </w:r>
      <w:r w:rsidRPr="000C430C">
        <w:rPr>
          <w:szCs w:val="21"/>
        </w:rPr>
        <w:br/>
        <w:t>7.12.1 Fundamento legal e objetivos</w:t>
      </w:r>
      <w:r>
        <w:rPr>
          <w:szCs w:val="21"/>
        </w:rPr>
        <w:t xml:space="preserve"> ...........................</w:t>
      </w:r>
      <w:r w:rsidR="009E6E67">
        <w:rPr>
          <w:szCs w:val="21"/>
        </w:rPr>
        <w:t>.............................</w:t>
      </w:r>
      <w:r>
        <w:rPr>
          <w:szCs w:val="21"/>
        </w:rPr>
        <w:t>............ 344</w:t>
      </w:r>
      <w:r w:rsidRPr="000C430C">
        <w:rPr>
          <w:szCs w:val="21"/>
        </w:rPr>
        <w:br/>
        <w:t>7.12.2 Certificado de reabilitação (art. 92)</w:t>
      </w:r>
      <w:r>
        <w:rPr>
          <w:szCs w:val="21"/>
        </w:rPr>
        <w:t xml:space="preserve"> .............</w:t>
      </w:r>
      <w:r w:rsidR="009E6E67">
        <w:rPr>
          <w:szCs w:val="21"/>
        </w:rPr>
        <w:t>..............................</w:t>
      </w:r>
      <w:r>
        <w:rPr>
          <w:szCs w:val="21"/>
        </w:rPr>
        <w:t>................ 344</w:t>
      </w:r>
      <w:r w:rsidRPr="000C430C">
        <w:rPr>
          <w:szCs w:val="21"/>
        </w:rPr>
        <w:br/>
        <w:t>7.12.3 Cotas para empresas (art. 93)</w:t>
      </w:r>
      <w:r>
        <w:rPr>
          <w:szCs w:val="21"/>
        </w:rPr>
        <w:t xml:space="preserve"> ...........</w:t>
      </w:r>
      <w:r w:rsidR="009E6E67">
        <w:rPr>
          <w:szCs w:val="21"/>
        </w:rPr>
        <w:t>..................................</w:t>
      </w:r>
      <w:r>
        <w:rPr>
          <w:szCs w:val="21"/>
        </w:rPr>
        <w:t>........................ 345</w:t>
      </w:r>
      <w:r w:rsidRPr="000C430C">
        <w:rPr>
          <w:szCs w:val="21"/>
        </w:rPr>
        <w:br/>
        <w:t>7.12.4 Limitações práticas do programa</w:t>
      </w:r>
      <w:r>
        <w:rPr>
          <w:szCs w:val="21"/>
        </w:rPr>
        <w:t xml:space="preserve"> ...............</w:t>
      </w:r>
      <w:r w:rsidR="009E6E67">
        <w:rPr>
          <w:szCs w:val="21"/>
        </w:rPr>
        <w:t>........................</w:t>
      </w:r>
      <w:r>
        <w:rPr>
          <w:szCs w:val="21"/>
        </w:rPr>
        <w:t>........................ 345</w:t>
      </w:r>
      <w:r w:rsidRPr="000C430C">
        <w:rPr>
          <w:szCs w:val="21"/>
        </w:rPr>
        <w:br/>
        <w:t>7.12.5 Manutenção do benefício durante a reabilitação</w:t>
      </w:r>
      <w:r>
        <w:rPr>
          <w:szCs w:val="21"/>
        </w:rPr>
        <w:t xml:space="preserve"> ................</w:t>
      </w:r>
      <w:r w:rsidR="009E6E67">
        <w:rPr>
          <w:szCs w:val="21"/>
        </w:rPr>
        <w:t>....</w:t>
      </w:r>
      <w:r>
        <w:rPr>
          <w:szCs w:val="21"/>
        </w:rPr>
        <w:t>.................. 346</w:t>
      </w:r>
    </w:p>
    <w:p w14:paraId="3AEA634F" w14:textId="516413BB" w:rsidR="003A005E" w:rsidRPr="000C430C" w:rsidRDefault="003A005E" w:rsidP="00B94AE4">
      <w:pPr>
        <w:keepNext/>
        <w:pBdr>
          <w:bottom w:val="single" w:sz="8" w:space="4" w:color="B89B5E"/>
        </w:pBdr>
        <w:spacing w:after="0" w:line="240" w:lineRule="auto"/>
        <w:ind w:right="-171"/>
        <w:rPr>
          <w:szCs w:val="21"/>
        </w:rPr>
      </w:pPr>
      <w:r w:rsidRPr="000C430C">
        <w:rPr>
          <w:szCs w:val="21"/>
        </w:rPr>
        <w:t>7.13 Auxílio por incapacidade temporária e auxílio-acidente</w:t>
      </w:r>
      <w:r>
        <w:rPr>
          <w:szCs w:val="21"/>
        </w:rPr>
        <w:t xml:space="preserve"> .............................. 347</w:t>
      </w:r>
      <w:r w:rsidRPr="000C430C">
        <w:rPr>
          <w:szCs w:val="21"/>
        </w:rPr>
        <w:br/>
        <w:t>7.13.1 Relação de precedência: Tema 862/STJ</w:t>
      </w:r>
      <w:r>
        <w:rPr>
          <w:szCs w:val="21"/>
        </w:rPr>
        <w:t xml:space="preserve"> .............</w:t>
      </w:r>
      <w:r w:rsidR="009E6E67">
        <w:rPr>
          <w:szCs w:val="21"/>
        </w:rPr>
        <w:t>...............</w:t>
      </w:r>
      <w:r>
        <w:rPr>
          <w:szCs w:val="21"/>
        </w:rPr>
        <w:t>....................... 347</w:t>
      </w:r>
      <w:r w:rsidRPr="000C430C">
        <w:rPr>
          <w:szCs w:val="21"/>
        </w:rPr>
        <w:br/>
        <w:t>7.13.2 Inacumulabilidade</w:t>
      </w:r>
      <w:r>
        <w:rPr>
          <w:szCs w:val="21"/>
        </w:rPr>
        <w:t xml:space="preserve"> ............</w:t>
      </w:r>
      <w:r w:rsidR="009E6E67">
        <w:rPr>
          <w:szCs w:val="21"/>
        </w:rPr>
        <w:t>....................................................</w:t>
      </w:r>
      <w:r>
        <w:rPr>
          <w:szCs w:val="21"/>
        </w:rPr>
        <w:t>..................... 347</w:t>
      </w:r>
    </w:p>
    <w:p w14:paraId="4CF08FEF" w14:textId="036859FF" w:rsidR="003A005E" w:rsidRPr="000C430C" w:rsidRDefault="003A005E" w:rsidP="009E6E67">
      <w:pPr>
        <w:keepNext/>
        <w:pBdr>
          <w:bottom w:val="single" w:sz="8" w:space="4" w:color="B89B5E"/>
        </w:pBdr>
        <w:spacing w:after="0" w:line="240" w:lineRule="auto"/>
        <w:ind w:right="-171"/>
        <w:rPr>
          <w:szCs w:val="21"/>
        </w:rPr>
      </w:pPr>
      <w:r w:rsidRPr="000C430C">
        <w:rPr>
          <w:szCs w:val="21"/>
        </w:rPr>
        <w:t>7.14 Questões processuais nos JEFs</w:t>
      </w:r>
      <w:r>
        <w:rPr>
          <w:szCs w:val="21"/>
        </w:rPr>
        <w:t xml:space="preserve"> ..................</w:t>
      </w:r>
      <w:r w:rsidR="009E6E67">
        <w:rPr>
          <w:szCs w:val="21"/>
        </w:rPr>
        <w:t>.........................................</w:t>
      </w:r>
      <w:r>
        <w:rPr>
          <w:szCs w:val="21"/>
        </w:rPr>
        <w:t>........... 348</w:t>
      </w:r>
      <w:r w:rsidRPr="000C430C">
        <w:rPr>
          <w:szCs w:val="21"/>
        </w:rPr>
        <w:br/>
        <w:t>7.14.1 Tutela provisória de urgência</w:t>
      </w:r>
      <w:r>
        <w:rPr>
          <w:szCs w:val="21"/>
        </w:rPr>
        <w:t xml:space="preserve"> ...................</w:t>
      </w:r>
      <w:r w:rsidR="009E6E67">
        <w:rPr>
          <w:szCs w:val="21"/>
        </w:rPr>
        <w:t>......................................</w:t>
      </w:r>
      <w:r>
        <w:rPr>
          <w:szCs w:val="21"/>
        </w:rPr>
        <w:t>........... 348</w:t>
      </w:r>
      <w:r w:rsidRPr="000C430C">
        <w:rPr>
          <w:szCs w:val="21"/>
        </w:rPr>
        <w:br/>
        <w:t>7.14.2 Perícia judicial e livre convencimento</w:t>
      </w:r>
      <w:r>
        <w:rPr>
          <w:szCs w:val="21"/>
        </w:rPr>
        <w:t xml:space="preserve"> .....................</w:t>
      </w:r>
      <w:r w:rsidR="009E6E67">
        <w:rPr>
          <w:szCs w:val="21"/>
        </w:rPr>
        <w:t>.....................</w:t>
      </w:r>
      <w:r>
        <w:rPr>
          <w:szCs w:val="21"/>
        </w:rPr>
        <w:t>............. 349</w:t>
      </w:r>
      <w:r w:rsidRPr="000C430C">
        <w:rPr>
          <w:szCs w:val="21"/>
        </w:rPr>
        <w:br/>
        <w:t>7.14.3 Fungibilidade entre benefícios por incapacidade</w:t>
      </w:r>
      <w:r>
        <w:rPr>
          <w:szCs w:val="21"/>
        </w:rPr>
        <w:t xml:space="preserve"> ..........</w:t>
      </w:r>
      <w:r w:rsidR="009E6E67">
        <w:rPr>
          <w:szCs w:val="21"/>
        </w:rPr>
        <w:t>.........</w:t>
      </w:r>
      <w:r>
        <w:rPr>
          <w:szCs w:val="21"/>
        </w:rPr>
        <w:t>................... 350</w:t>
      </w:r>
      <w:r w:rsidRPr="000C430C">
        <w:rPr>
          <w:szCs w:val="21"/>
        </w:rPr>
        <w:br/>
        <w:t>7.14.4 Honorários periciais e sucumbência</w:t>
      </w:r>
      <w:r>
        <w:rPr>
          <w:szCs w:val="21"/>
        </w:rPr>
        <w:t xml:space="preserve"> ......................</w:t>
      </w:r>
      <w:r w:rsidR="009E6E67">
        <w:rPr>
          <w:szCs w:val="21"/>
        </w:rPr>
        <w:t>.........................</w:t>
      </w:r>
      <w:r>
        <w:rPr>
          <w:szCs w:val="21"/>
        </w:rPr>
        <w:t>.......... 350</w:t>
      </w:r>
      <w:r w:rsidRPr="000C430C">
        <w:rPr>
          <w:szCs w:val="21"/>
        </w:rPr>
        <w:br/>
        <w:t>7.14.5 Efeitos da sentença e implantação do benefício</w:t>
      </w:r>
      <w:r>
        <w:rPr>
          <w:szCs w:val="21"/>
        </w:rPr>
        <w:t xml:space="preserve"> .............</w:t>
      </w:r>
      <w:r w:rsidR="009E6E67">
        <w:rPr>
          <w:szCs w:val="21"/>
        </w:rPr>
        <w:t>...........</w:t>
      </w:r>
      <w:r>
        <w:rPr>
          <w:szCs w:val="21"/>
        </w:rPr>
        <w:t>................ 350</w:t>
      </w:r>
      <w:r w:rsidRPr="000C430C">
        <w:rPr>
          <w:szCs w:val="21"/>
        </w:rPr>
        <w:br/>
      </w:r>
      <w:r w:rsidRPr="000C430C">
        <w:rPr>
          <w:szCs w:val="21"/>
        </w:rPr>
        <w:lastRenderedPageBreak/>
        <w:t>7.14.6 Prescrição e decadência</w:t>
      </w:r>
      <w:r>
        <w:rPr>
          <w:szCs w:val="21"/>
        </w:rPr>
        <w:t xml:space="preserve"> .......................</w:t>
      </w:r>
      <w:r w:rsidR="009E6E67">
        <w:rPr>
          <w:szCs w:val="21"/>
        </w:rPr>
        <w:t>........................................</w:t>
      </w:r>
      <w:r>
        <w:rPr>
          <w:szCs w:val="21"/>
        </w:rPr>
        <w:t>............... 351</w:t>
      </w:r>
      <w:r w:rsidRPr="000C430C">
        <w:rPr>
          <w:szCs w:val="21"/>
        </w:rPr>
        <w:br/>
        <w:t>7.14.7 Competência delegada e justiça estadual</w:t>
      </w:r>
      <w:r>
        <w:rPr>
          <w:szCs w:val="21"/>
        </w:rPr>
        <w:t xml:space="preserve"> ....................</w:t>
      </w:r>
      <w:r w:rsidR="009E6E67">
        <w:rPr>
          <w:szCs w:val="21"/>
        </w:rPr>
        <w:t>..............</w:t>
      </w:r>
      <w:r>
        <w:rPr>
          <w:szCs w:val="21"/>
        </w:rPr>
        <w:t>................. 351</w:t>
      </w:r>
    </w:p>
    <w:p w14:paraId="43CEB38B" w14:textId="356614BD" w:rsidR="003A005E" w:rsidRPr="000C430C" w:rsidRDefault="003A005E" w:rsidP="009E6E67">
      <w:pPr>
        <w:keepNext/>
        <w:pBdr>
          <w:bottom w:val="single" w:sz="8" w:space="4" w:color="B89B5E"/>
        </w:pBdr>
        <w:spacing w:after="0" w:line="240" w:lineRule="auto"/>
        <w:ind w:right="-171"/>
        <w:rPr>
          <w:szCs w:val="21"/>
        </w:rPr>
      </w:pPr>
      <w:r w:rsidRPr="000C430C">
        <w:rPr>
          <w:szCs w:val="21"/>
        </w:rPr>
        <w:t>7.15 Doença preexistente à filiação e a Súmula 53/TNU</w:t>
      </w:r>
      <w:r>
        <w:rPr>
          <w:szCs w:val="21"/>
        </w:rPr>
        <w:t xml:space="preserve"> ............</w:t>
      </w:r>
      <w:r w:rsidR="009E6E67">
        <w:rPr>
          <w:szCs w:val="21"/>
        </w:rPr>
        <w:t>.</w:t>
      </w:r>
      <w:r>
        <w:rPr>
          <w:szCs w:val="21"/>
        </w:rPr>
        <w:t>....................... 351</w:t>
      </w:r>
    </w:p>
    <w:p w14:paraId="6BCAAEAA" w14:textId="107BD8AB" w:rsidR="003A005E" w:rsidRPr="000C430C" w:rsidRDefault="003A005E" w:rsidP="009E6E67">
      <w:pPr>
        <w:keepNext/>
        <w:pBdr>
          <w:bottom w:val="single" w:sz="8" w:space="4" w:color="B89B5E"/>
        </w:pBdr>
        <w:spacing w:after="0" w:line="240" w:lineRule="auto"/>
        <w:ind w:right="-171"/>
        <w:rPr>
          <w:szCs w:val="21"/>
        </w:rPr>
      </w:pPr>
      <w:r w:rsidRPr="000C430C">
        <w:rPr>
          <w:szCs w:val="21"/>
        </w:rPr>
        <w:t>7.16 Doenças estigmatizantes e incapacidade social</w:t>
      </w:r>
      <w:r>
        <w:rPr>
          <w:szCs w:val="21"/>
        </w:rPr>
        <w:t xml:space="preserve"> ..........................</w:t>
      </w:r>
      <w:r w:rsidR="009E6E67">
        <w:rPr>
          <w:szCs w:val="21"/>
        </w:rPr>
        <w:t>...........</w:t>
      </w:r>
      <w:r>
        <w:rPr>
          <w:szCs w:val="21"/>
        </w:rPr>
        <w:t>........ 352</w:t>
      </w:r>
    </w:p>
    <w:p w14:paraId="599BA16C" w14:textId="15D0F316" w:rsidR="003A005E" w:rsidRPr="000C430C" w:rsidRDefault="003A005E" w:rsidP="009E6E67">
      <w:pPr>
        <w:keepNext/>
        <w:pBdr>
          <w:bottom w:val="single" w:sz="8" w:space="4" w:color="B89B5E"/>
        </w:pBdr>
        <w:spacing w:after="0" w:line="240" w:lineRule="auto"/>
        <w:ind w:right="-171"/>
        <w:rPr>
          <w:szCs w:val="21"/>
        </w:rPr>
      </w:pPr>
      <w:r w:rsidRPr="000C430C">
        <w:rPr>
          <w:szCs w:val="21"/>
        </w:rPr>
        <w:t>7.17 Limbo previdenciário e o auxílio por incapacidade temporária</w:t>
      </w:r>
      <w:r>
        <w:rPr>
          <w:szCs w:val="21"/>
        </w:rPr>
        <w:t xml:space="preserve"> ................... 353</w:t>
      </w:r>
    </w:p>
    <w:p w14:paraId="428C9B34" w14:textId="52133AEF" w:rsidR="003A005E" w:rsidRPr="000C430C" w:rsidRDefault="003A005E" w:rsidP="009E6E67">
      <w:pPr>
        <w:keepNext/>
        <w:pBdr>
          <w:bottom w:val="single" w:sz="8" w:space="4" w:color="B89B5E"/>
        </w:pBdr>
        <w:spacing w:after="0" w:line="240" w:lineRule="auto"/>
        <w:ind w:right="-171"/>
        <w:rPr>
          <w:szCs w:val="21"/>
        </w:rPr>
      </w:pPr>
      <w:r w:rsidRPr="000C430C">
        <w:rPr>
          <w:szCs w:val="21"/>
        </w:rPr>
        <w:t>7.18 Inacumulabilidade com outros benefícios</w:t>
      </w:r>
      <w:r>
        <w:rPr>
          <w:szCs w:val="21"/>
        </w:rPr>
        <w:t xml:space="preserve"> ............</w:t>
      </w:r>
      <w:r w:rsidR="009E6E67">
        <w:rPr>
          <w:szCs w:val="21"/>
        </w:rPr>
        <w:t>..................</w:t>
      </w:r>
      <w:r>
        <w:rPr>
          <w:szCs w:val="21"/>
        </w:rPr>
        <w:t>..................... 354</w:t>
      </w:r>
    </w:p>
    <w:p w14:paraId="272AF41B" w14:textId="2019DEFD" w:rsidR="003A005E" w:rsidRPr="000C430C" w:rsidRDefault="003A005E" w:rsidP="009E6E67">
      <w:pPr>
        <w:keepNext/>
        <w:pBdr>
          <w:bottom w:val="single" w:sz="8" w:space="4" w:color="B89B5E"/>
        </w:pBdr>
        <w:spacing w:after="0" w:line="240" w:lineRule="auto"/>
        <w:ind w:right="-171"/>
        <w:rPr>
          <w:szCs w:val="21"/>
        </w:rPr>
      </w:pPr>
      <w:r w:rsidRPr="000C430C">
        <w:rPr>
          <w:szCs w:val="21"/>
        </w:rPr>
        <w:t>7.19 Quadro sinótico: auxílio por incapacidade temporária</w:t>
      </w:r>
      <w:r>
        <w:rPr>
          <w:szCs w:val="21"/>
        </w:rPr>
        <w:t xml:space="preserve"> ............................... 355</w:t>
      </w:r>
    </w:p>
    <w:p w14:paraId="35E37DF6" w14:textId="62E7C399" w:rsidR="003A005E" w:rsidRPr="000C430C" w:rsidRDefault="003A005E" w:rsidP="009E6E67">
      <w:pPr>
        <w:keepNext/>
        <w:pBdr>
          <w:bottom w:val="single" w:sz="8" w:space="4" w:color="B89B5E"/>
        </w:pBdr>
        <w:spacing w:after="0" w:line="240" w:lineRule="auto"/>
        <w:ind w:right="-171"/>
        <w:rPr>
          <w:szCs w:val="21"/>
        </w:rPr>
      </w:pPr>
      <w:r w:rsidRPr="000C430C">
        <w:rPr>
          <w:szCs w:val="21"/>
        </w:rPr>
        <w:t>7.20 Aspectos práticos da concessão administrativa</w:t>
      </w:r>
      <w:r>
        <w:rPr>
          <w:szCs w:val="21"/>
        </w:rPr>
        <w:t xml:space="preserve"> .........</w:t>
      </w:r>
      <w:r w:rsidR="009E6E67">
        <w:rPr>
          <w:szCs w:val="21"/>
        </w:rPr>
        <w:t>................</w:t>
      </w:r>
      <w:r>
        <w:rPr>
          <w:szCs w:val="21"/>
        </w:rPr>
        <w:t>................... 356</w:t>
      </w:r>
    </w:p>
    <w:p w14:paraId="73640B26" w14:textId="52E8DC4E" w:rsidR="003A005E" w:rsidRPr="00582AD0" w:rsidRDefault="003A005E" w:rsidP="009E6E67">
      <w:pPr>
        <w:keepNext/>
        <w:pBdr>
          <w:bottom w:val="single" w:sz="8" w:space="4" w:color="B89B5E"/>
        </w:pBdr>
        <w:spacing w:after="0" w:line="240" w:lineRule="auto"/>
        <w:ind w:right="-171"/>
        <w:rPr>
          <w:szCs w:val="21"/>
        </w:rPr>
      </w:pPr>
      <w:r w:rsidRPr="000C430C">
        <w:rPr>
          <w:szCs w:val="21"/>
        </w:rPr>
        <w:t xml:space="preserve">7.21 Conclusão </w:t>
      </w:r>
      <w:r>
        <w:rPr>
          <w:szCs w:val="21"/>
        </w:rPr>
        <w:t>.......................</w:t>
      </w:r>
      <w:r w:rsidR="009E6E67">
        <w:rPr>
          <w:szCs w:val="21"/>
        </w:rPr>
        <w:t>..............................................................</w:t>
      </w:r>
      <w:r>
        <w:rPr>
          <w:szCs w:val="21"/>
        </w:rPr>
        <w:t>................ 357</w:t>
      </w:r>
    </w:p>
    <w:p w14:paraId="600CA744" w14:textId="790899BF" w:rsidR="003A005E" w:rsidRPr="00E56701" w:rsidRDefault="003A005E" w:rsidP="009E6E67">
      <w:pPr>
        <w:keepNext/>
        <w:pBdr>
          <w:bottom w:val="single" w:sz="8" w:space="4" w:color="B89B5E"/>
        </w:pBdr>
        <w:spacing w:after="0" w:line="240" w:lineRule="auto"/>
        <w:ind w:right="-171"/>
        <w:rPr>
          <w:bCs/>
          <w:szCs w:val="21"/>
        </w:rPr>
      </w:pPr>
      <w:r w:rsidRPr="00E56701">
        <w:rPr>
          <w:szCs w:val="21"/>
        </w:rPr>
        <w:t xml:space="preserve">PARTE III — APOSENTADORIAS PROGRAMADAS .............................. </w:t>
      </w:r>
      <w:r>
        <w:rPr>
          <w:szCs w:val="21"/>
        </w:rPr>
        <w:t>3</w:t>
      </w:r>
      <w:r w:rsidRPr="00E56701">
        <w:rPr>
          <w:szCs w:val="21"/>
        </w:rPr>
        <w:t>59</w:t>
      </w:r>
    </w:p>
    <w:p w14:paraId="6079BC49" w14:textId="3CC86FD6" w:rsidR="003A005E" w:rsidRDefault="003A005E" w:rsidP="009E6E67">
      <w:pPr>
        <w:keepNext/>
        <w:pBdr>
          <w:bottom w:val="single" w:sz="8" w:space="4" w:color="B89B5E"/>
        </w:pBdr>
        <w:spacing w:after="0" w:line="240" w:lineRule="auto"/>
        <w:ind w:right="-171"/>
        <w:rPr>
          <w:szCs w:val="21"/>
        </w:rPr>
      </w:pPr>
      <w:r w:rsidRPr="00E56701">
        <w:rPr>
          <w:szCs w:val="21"/>
        </w:rPr>
        <w:t xml:space="preserve">Capítulo 8 — Aposentadoria Especial ................................................................. </w:t>
      </w:r>
      <w:r>
        <w:rPr>
          <w:szCs w:val="21"/>
        </w:rPr>
        <w:t>3</w:t>
      </w:r>
      <w:r w:rsidRPr="00E56701">
        <w:rPr>
          <w:szCs w:val="21"/>
        </w:rPr>
        <w:t>60</w:t>
      </w:r>
    </w:p>
    <w:p w14:paraId="39391B88" w14:textId="52102368" w:rsidR="003A005E" w:rsidRPr="001B143A" w:rsidRDefault="003A005E" w:rsidP="009E6E67">
      <w:pPr>
        <w:keepNext/>
        <w:pBdr>
          <w:bottom w:val="single" w:sz="8" w:space="4" w:color="B89B5E"/>
        </w:pBdr>
        <w:spacing w:after="0" w:line="240" w:lineRule="auto"/>
        <w:ind w:right="-171"/>
        <w:rPr>
          <w:szCs w:val="21"/>
        </w:rPr>
      </w:pPr>
      <w:r w:rsidRPr="001B143A">
        <w:rPr>
          <w:szCs w:val="21"/>
        </w:rPr>
        <w:t>8.1 Conceito e natureza jurídica ...............</w:t>
      </w:r>
      <w:r w:rsidR="009E6E67">
        <w:rPr>
          <w:szCs w:val="21"/>
        </w:rPr>
        <w:t>...................................</w:t>
      </w:r>
      <w:r w:rsidRPr="001B143A">
        <w:rPr>
          <w:szCs w:val="21"/>
        </w:rPr>
        <w:t>......................... 360</w:t>
      </w:r>
      <w:r w:rsidRPr="001B143A">
        <w:rPr>
          <w:szCs w:val="21"/>
        </w:rPr>
        <w:br/>
        <w:t>8.2 Evolução legislativa .........................</w:t>
      </w:r>
      <w:r w:rsidR="009E6E67">
        <w:rPr>
          <w:szCs w:val="21"/>
        </w:rPr>
        <w:t>.....................................</w:t>
      </w:r>
      <w:r w:rsidRPr="001B143A">
        <w:rPr>
          <w:szCs w:val="21"/>
        </w:rPr>
        <w:t>........................... 361</w:t>
      </w:r>
    </w:p>
    <w:p w14:paraId="5EE1F02B" w14:textId="71E6553E" w:rsidR="003A005E" w:rsidRPr="001B143A" w:rsidRDefault="003A005E" w:rsidP="009E6E67">
      <w:pPr>
        <w:keepNext/>
        <w:pBdr>
          <w:bottom w:val="single" w:sz="8" w:space="4" w:color="B89B5E"/>
        </w:pBdr>
        <w:spacing w:after="0" w:line="240" w:lineRule="auto"/>
        <w:ind w:right="-171"/>
        <w:rPr>
          <w:szCs w:val="21"/>
        </w:rPr>
      </w:pPr>
      <w:r w:rsidRPr="001B143A">
        <w:rPr>
          <w:szCs w:val="21"/>
        </w:rPr>
        <w:t>8.3 Requisitos: regime anterior à EC 103/2019 .............</w:t>
      </w:r>
      <w:r w:rsidR="009E6E67">
        <w:rPr>
          <w:szCs w:val="21"/>
        </w:rPr>
        <w:t>...............................</w:t>
      </w:r>
      <w:r w:rsidRPr="001B143A">
        <w:rPr>
          <w:szCs w:val="21"/>
        </w:rPr>
        <w:t>....... 363</w:t>
      </w:r>
      <w:r w:rsidRPr="001B143A">
        <w:rPr>
          <w:szCs w:val="21"/>
        </w:rPr>
        <w:br/>
        <w:t>8.3.1 Qualidade de segurado e carência .................</w:t>
      </w:r>
      <w:r w:rsidR="009E6E67">
        <w:rPr>
          <w:szCs w:val="21"/>
        </w:rPr>
        <w:t>.................................</w:t>
      </w:r>
      <w:r w:rsidRPr="001B143A">
        <w:rPr>
          <w:szCs w:val="21"/>
        </w:rPr>
        <w:t>.............. 36</w:t>
      </w:r>
      <w:r>
        <w:rPr>
          <w:szCs w:val="21"/>
        </w:rPr>
        <w:t>3</w:t>
      </w:r>
      <w:r w:rsidRPr="001B143A">
        <w:rPr>
          <w:szCs w:val="21"/>
        </w:rPr>
        <w:br/>
        <w:t>8.3.2 Exposição a agentes nocivos ........................</w:t>
      </w:r>
      <w:r w:rsidR="009E6E67">
        <w:rPr>
          <w:szCs w:val="21"/>
        </w:rPr>
        <w:t>..................................</w:t>
      </w:r>
      <w:r w:rsidRPr="001B143A">
        <w:rPr>
          <w:szCs w:val="21"/>
        </w:rPr>
        <w:t>............... 36</w:t>
      </w:r>
      <w:r>
        <w:rPr>
          <w:szCs w:val="21"/>
        </w:rPr>
        <w:t>3</w:t>
      </w:r>
      <w:r w:rsidRPr="001B143A">
        <w:rPr>
          <w:szCs w:val="21"/>
        </w:rPr>
        <w:br/>
        <w:t>8.3.3 Tempo mínimo de exposição: 15, 20 ou 25 anos ....</w:t>
      </w:r>
      <w:r w:rsidR="009E6E67">
        <w:rPr>
          <w:szCs w:val="21"/>
        </w:rPr>
        <w:t>.............................</w:t>
      </w:r>
      <w:r w:rsidRPr="001B143A">
        <w:rPr>
          <w:szCs w:val="21"/>
        </w:rPr>
        <w:t>....... 36</w:t>
      </w:r>
      <w:r>
        <w:rPr>
          <w:szCs w:val="21"/>
        </w:rPr>
        <w:t>4</w:t>
      </w:r>
      <w:r w:rsidRPr="001B143A">
        <w:rPr>
          <w:szCs w:val="21"/>
        </w:rPr>
        <w:br/>
        <w:t>8.3.4 Cálculo no regime anterior ....................</w:t>
      </w:r>
      <w:r w:rsidR="009E6E67">
        <w:rPr>
          <w:szCs w:val="21"/>
        </w:rPr>
        <w:t>................................</w:t>
      </w:r>
      <w:r w:rsidRPr="001B143A">
        <w:rPr>
          <w:szCs w:val="21"/>
        </w:rPr>
        <w:t>...................... 36</w:t>
      </w:r>
      <w:r>
        <w:rPr>
          <w:szCs w:val="21"/>
        </w:rPr>
        <w:t>4</w:t>
      </w:r>
    </w:p>
    <w:p w14:paraId="1CC79191" w14:textId="3F2A2082" w:rsidR="003A005E" w:rsidRPr="001B143A" w:rsidRDefault="003A005E" w:rsidP="009E6E67">
      <w:pPr>
        <w:keepNext/>
        <w:pBdr>
          <w:bottom w:val="single" w:sz="8" w:space="4" w:color="B89B5E"/>
        </w:pBdr>
        <w:spacing w:after="0" w:line="240" w:lineRule="auto"/>
        <w:ind w:right="-171"/>
        <w:rPr>
          <w:szCs w:val="21"/>
        </w:rPr>
      </w:pPr>
      <w:r w:rsidRPr="001B143A">
        <w:rPr>
          <w:szCs w:val="21"/>
        </w:rPr>
        <w:t>8.4 Requisitos Pós-EC 103/2019 .........</w:t>
      </w:r>
      <w:r w:rsidR="009E6E67">
        <w:rPr>
          <w:szCs w:val="21"/>
        </w:rPr>
        <w:t>...............................</w:t>
      </w:r>
      <w:r w:rsidRPr="001B143A">
        <w:rPr>
          <w:szCs w:val="21"/>
        </w:rPr>
        <w:t>................................. 36</w:t>
      </w:r>
      <w:r>
        <w:rPr>
          <w:szCs w:val="21"/>
        </w:rPr>
        <w:t>5</w:t>
      </w:r>
      <w:r w:rsidRPr="001B143A">
        <w:rPr>
          <w:szCs w:val="21"/>
        </w:rPr>
        <w:br/>
        <w:t>8.4.1 Regra permanente (art. 19, § 1º, I a III) ..........</w:t>
      </w:r>
      <w:r w:rsidR="009E6E67">
        <w:rPr>
          <w:szCs w:val="21"/>
        </w:rPr>
        <w:t>..................................</w:t>
      </w:r>
      <w:r w:rsidRPr="001B143A">
        <w:rPr>
          <w:szCs w:val="21"/>
        </w:rPr>
        <w:t>............ 36</w:t>
      </w:r>
      <w:r>
        <w:rPr>
          <w:szCs w:val="21"/>
        </w:rPr>
        <w:t>5</w:t>
      </w:r>
      <w:r w:rsidRPr="001B143A">
        <w:rPr>
          <w:szCs w:val="21"/>
        </w:rPr>
        <w:br/>
        <w:t>8.4.2 Regra de transição (art. 21) .......................</w:t>
      </w:r>
      <w:r w:rsidR="009E6E67">
        <w:rPr>
          <w:szCs w:val="21"/>
        </w:rPr>
        <w:t>.................................</w:t>
      </w:r>
      <w:r w:rsidRPr="001B143A">
        <w:rPr>
          <w:szCs w:val="21"/>
        </w:rPr>
        <w:t>.................. 36</w:t>
      </w:r>
      <w:r>
        <w:rPr>
          <w:szCs w:val="21"/>
        </w:rPr>
        <w:t>6</w:t>
      </w:r>
      <w:r w:rsidRPr="001B143A">
        <w:rPr>
          <w:szCs w:val="21"/>
        </w:rPr>
        <w:br/>
        <w:t>8.4.3 Direito adquirido .........................................</w:t>
      </w:r>
      <w:r w:rsidR="009E6E67">
        <w:rPr>
          <w:szCs w:val="21"/>
        </w:rPr>
        <w:t>.................................</w:t>
      </w:r>
      <w:r w:rsidRPr="001B143A">
        <w:rPr>
          <w:szCs w:val="21"/>
        </w:rPr>
        <w:t>............... 36</w:t>
      </w:r>
      <w:r>
        <w:rPr>
          <w:szCs w:val="21"/>
        </w:rPr>
        <w:t>7</w:t>
      </w:r>
    </w:p>
    <w:p w14:paraId="2F282964" w14:textId="3F74C093" w:rsidR="003A005E" w:rsidRPr="001B143A" w:rsidRDefault="003A005E" w:rsidP="00960253">
      <w:pPr>
        <w:keepNext/>
        <w:pBdr>
          <w:bottom w:val="single" w:sz="8" w:space="4" w:color="B89B5E"/>
        </w:pBdr>
        <w:spacing w:after="0" w:line="240" w:lineRule="auto"/>
        <w:ind w:right="-171"/>
        <w:rPr>
          <w:szCs w:val="21"/>
        </w:rPr>
      </w:pPr>
      <w:r w:rsidRPr="001B143A">
        <w:rPr>
          <w:szCs w:val="21"/>
        </w:rPr>
        <w:t>8.5 Agentes nocivos e enquadramento ..........</w:t>
      </w:r>
      <w:r w:rsidR="009E6E67">
        <w:rPr>
          <w:szCs w:val="21"/>
        </w:rPr>
        <w:t>.................................</w:t>
      </w:r>
      <w:r w:rsidRPr="001B143A">
        <w:rPr>
          <w:szCs w:val="21"/>
        </w:rPr>
        <w:t>...................... 3</w:t>
      </w:r>
      <w:r>
        <w:rPr>
          <w:szCs w:val="21"/>
        </w:rPr>
        <w:t>68</w:t>
      </w:r>
      <w:r w:rsidRPr="001B143A">
        <w:rPr>
          <w:szCs w:val="21"/>
        </w:rPr>
        <w:br/>
        <w:t>8.5.1 Enquadramento por categoria profissional</w:t>
      </w:r>
      <w:r w:rsidRPr="001B143A">
        <w:rPr>
          <w:szCs w:val="21"/>
        </w:rPr>
        <w:br/>
        <w:t xml:space="preserve">(até 28/04/1995) </w:t>
      </w:r>
      <w:r w:rsidR="009E6E67">
        <w:rPr>
          <w:szCs w:val="21"/>
        </w:rPr>
        <w:t>...................................................................................................</w:t>
      </w:r>
      <w:r w:rsidRPr="001B143A">
        <w:rPr>
          <w:szCs w:val="21"/>
        </w:rPr>
        <w:t xml:space="preserve"> 3</w:t>
      </w:r>
      <w:r>
        <w:rPr>
          <w:szCs w:val="21"/>
        </w:rPr>
        <w:t>68</w:t>
      </w:r>
      <w:r w:rsidRPr="001B143A">
        <w:rPr>
          <w:szCs w:val="21"/>
        </w:rPr>
        <w:br/>
        <w:t>8.5.2 Enquadramento por agente nocivo</w:t>
      </w:r>
      <w:r w:rsidRPr="001B143A">
        <w:rPr>
          <w:szCs w:val="21"/>
        </w:rPr>
        <w:br/>
        <w:t xml:space="preserve">(a partir de 29/04/1995) </w:t>
      </w:r>
      <w:r w:rsidR="00542C1A">
        <w:rPr>
          <w:szCs w:val="21"/>
        </w:rPr>
        <w:t>.......................................................................................</w:t>
      </w:r>
      <w:r w:rsidRPr="001B143A">
        <w:rPr>
          <w:szCs w:val="21"/>
        </w:rPr>
        <w:t xml:space="preserve"> 3</w:t>
      </w:r>
      <w:r>
        <w:rPr>
          <w:szCs w:val="21"/>
        </w:rPr>
        <w:t>69</w:t>
      </w:r>
      <w:r w:rsidRPr="001B143A">
        <w:rPr>
          <w:szCs w:val="21"/>
        </w:rPr>
        <w:br/>
        <w:t>8.5.3 Caráter exemplificativo da relação de agentes nocivos:</w:t>
      </w:r>
      <w:r w:rsidRPr="001B143A">
        <w:rPr>
          <w:szCs w:val="21"/>
        </w:rPr>
        <w:br/>
        <w:t>tema 534/STJ ..</w:t>
      </w:r>
      <w:r w:rsidR="00542C1A">
        <w:rPr>
          <w:szCs w:val="21"/>
        </w:rPr>
        <w:t>..............................................................................................</w:t>
      </w:r>
      <w:r w:rsidRPr="001B143A">
        <w:rPr>
          <w:szCs w:val="21"/>
        </w:rPr>
        <w:t>........ 3</w:t>
      </w:r>
      <w:r>
        <w:rPr>
          <w:szCs w:val="21"/>
        </w:rPr>
        <w:t>69</w:t>
      </w:r>
      <w:r w:rsidRPr="001B143A">
        <w:rPr>
          <w:szCs w:val="21"/>
        </w:rPr>
        <w:br/>
        <w:t>8.5.4 Agentes físicos .................................................</w:t>
      </w:r>
      <w:r w:rsidR="00542C1A">
        <w:rPr>
          <w:szCs w:val="21"/>
        </w:rPr>
        <w:t>.................................</w:t>
      </w:r>
      <w:r w:rsidRPr="001B143A">
        <w:rPr>
          <w:szCs w:val="21"/>
        </w:rPr>
        <w:t>............ 37</w:t>
      </w:r>
      <w:r>
        <w:rPr>
          <w:szCs w:val="21"/>
        </w:rPr>
        <w:t>0</w:t>
      </w:r>
      <w:r w:rsidRPr="001B143A">
        <w:rPr>
          <w:szCs w:val="21"/>
        </w:rPr>
        <w:br/>
        <w:t>8.5.5 Agentes químicos ...................................</w:t>
      </w:r>
      <w:r w:rsidR="00960253">
        <w:rPr>
          <w:szCs w:val="21"/>
        </w:rPr>
        <w:t>.................................</w:t>
      </w:r>
      <w:r w:rsidRPr="001B143A">
        <w:rPr>
          <w:szCs w:val="21"/>
        </w:rPr>
        <w:t>..................... 37</w:t>
      </w:r>
      <w:r>
        <w:rPr>
          <w:szCs w:val="21"/>
        </w:rPr>
        <w:t>1</w:t>
      </w:r>
      <w:r w:rsidRPr="001B143A">
        <w:rPr>
          <w:szCs w:val="21"/>
        </w:rPr>
        <w:br/>
        <w:t>8.5.6 Agentes biológicos ...............................</w:t>
      </w:r>
      <w:r w:rsidR="00960253">
        <w:rPr>
          <w:szCs w:val="21"/>
        </w:rPr>
        <w:t>................................</w:t>
      </w:r>
      <w:r w:rsidRPr="001B143A">
        <w:rPr>
          <w:szCs w:val="21"/>
        </w:rPr>
        <w:t>........................ 37</w:t>
      </w:r>
      <w:r>
        <w:rPr>
          <w:szCs w:val="21"/>
        </w:rPr>
        <w:t>2</w:t>
      </w:r>
      <w:r w:rsidRPr="001B143A">
        <w:rPr>
          <w:szCs w:val="21"/>
        </w:rPr>
        <w:br/>
      </w:r>
      <w:r w:rsidRPr="001B143A">
        <w:rPr>
          <w:szCs w:val="21"/>
        </w:rPr>
        <w:lastRenderedPageBreak/>
        <w:t>8.5.7 Penosidade: motoristas e cobradores</w:t>
      </w:r>
      <w:r w:rsidRPr="001B143A">
        <w:rPr>
          <w:szCs w:val="21"/>
        </w:rPr>
        <w:br/>
        <w:t>(tema 1.307/STJ) .....</w:t>
      </w:r>
      <w:r w:rsidR="00DA7284">
        <w:rPr>
          <w:szCs w:val="21"/>
        </w:rPr>
        <w:t>...................................................................................</w:t>
      </w:r>
      <w:r w:rsidRPr="001B143A">
        <w:rPr>
          <w:szCs w:val="21"/>
        </w:rPr>
        <w:t>.......... 37</w:t>
      </w:r>
      <w:r>
        <w:rPr>
          <w:szCs w:val="21"/>
        </w:rPr>
        <w:t>3</w:t>
      </w:r>
    </w:p>
    <w:p w14:paraId="32C8A045" w14:textId="27C073DB" w:rsidR="003A005E" w:rsidRPr="001B143A" w:rsidRDefault="003A005E" w:rsidP="00960253">
      <w:pPr>
        <w:keepNext/>
        <w:pBdr>
          <w:bottom w:val="single" w:sz="8" w:space="4" w:color="B89B5E"/>
        </w:pBdr>
        <w:spacing w:after="0" w:line="240" w:lineRule="auto"/>
        <w:ind w:right="-171"/>
        <w:rPr>
          <w:szCs w:val="21"/>
        </w:rPr>
      </w:pPr>
      <w:r w:rsidRPr="001B143A">
        <w:rPr>
          <w:szCs w:val="21"/>
        </w:rPr>
        <w:t>8.6 Ruído: limites de tolerância e regime jurídico ........</w:t>
      </w:r>
      <w:r w:rsidR="00DA7284">
        <w:rPr>
          <w:szCs w:val="21"/>
        </w:rPr>
        <w:t>................................</w:t>
      </w:r>
      <w:r w:rsidRPr="001B143A">
        <w:rPr>
          <w:szCs w:val="21"/>
        </w:rPr>
        <w:t>........ 37</w:t>
      </w:r>
      <w:r>
        <w:rPr>
          <w:szCs w:val="21"/>
        </w:rPr>
        <w:t>4</w:t>
      </w:r>
      <w:r w:rsidRPr="001B143A">
        <w:rPr>
          <w:szCs w:val="21"/>
        </w:rPr>
        <w:br/>
        <w:t>8.6.1 Evolução dos limites de tolerância ......................</w:t>
      </w:r>
      <w:r w:rsidR="00DA7284">
        <w:rPr>
          <w:szCs w:val="21"/>
        </w:rPr>
        <w:t>................................</w:t>
      </w:r>
      <w:r w:rsidRPr="001B143A">
        <w:rPr>
          <w:szCs w:val="21"/>
        </w:rPr>
        <w:t>......... 37</w:t>
      </w:r>
      <w:r>
        <w:rPr>
          <w:szCs w:val="21"/>
        </w:rPr>
        <w:t>4</w:t>
      </w:r>
      <w:r w:rsidRPr="001B143A">
        <w:rPr>
          <w:szCs w:val="21"/>
        </w:rPr>
        <w:br/>
        <w:t>8.6.2 Metodologia de aferição .........</w:t>
      </w:r>
      <w:r w:rsidR="00DA7284">
        <w:rPr>
          <w:szCs w:val="21"/>
        </w:rPr>
        <w:t>...............................</w:t>
      </w:r>
      <w:r w:rsidRPr="001B143A">
        <w:rPr>
          <w:szCs w:val="21"/>
        </w:rPr>
        <w:t>...................................... 37</w:t>
      </w:r>
      <w:r>
        <w:rPr>
          <w:szCs w:val="21"/>
        </w:rPr>
        <w:t>5</w:t>
      </w:r>
    </w:p>
    <w:p w14:paraId="55B940B8" w14:textId="30B9AE5D" w:rsidR="003A005E" w:rsidRPr="001B143A" w:rsidRDefault="003A005E" w:rsidP="00960253">
      <w:pPr>
        <w:keepNext/>
        <w:pBdr>
          <w:bottom w:val="single" w:sz="8" w:space="4" w:color="B89B5E"/>
        </w:pBdr>
        <w:spacing w:after="0" w:line="240" w:lineRule="auto"/>
        <w:ind w:right="-171"/>
        <w:rPr>
          <w:szCs w:val="21"/>
        </w:rPr>
      </w:pPr>
      <w:r w:rsidRPr="001B143A">
        <w:rPr>
          <w:szCs w:val="21"/>
        </w:rPr>
        <w:t>8.7 Equipamentos de proteção individual (EPI)</w:t>
      </w:r>
      <w:r w:rsidRPr="001B143A">
        <w:rPr>
          <w:szCs w:val="21"/>
        </w:rPr>
        <w:br/>
        <w:t>e o tema 555/STF ....................................</w:t>
      </w:r>
      <w:r w:rsidR="00DA7284">
        <w:rPr>
          <w:szCs w:val="21"/>
        </w:rPr>
        <w:t>...............................</w:t>
      </w:r>
      <w:r w:rsidRPr="001B143A">
        <w:rPr>
          <w:szCs w:val="21"/>
        </w:rPr>
        <w:t>............................... 3</w:t>
      </w:r>
      <w:r>
        <w:rPr>
          <w:szCs w:val="21"/>
        </w:rPr>
        <w:t>76</w:t>
      </w:r>
      <w:r w:rsidRPr="001B143A">
        <w:rPr>
          <w:szCs w:val="21"/>
        </w:rPr>
        <w:br/>
        <w:t>8.7.1 As duas teses fixadas pelo STF .................</w:t>
      </w:r>
      <w:r w:rsidR="00DA7284">
        <w:rPr>
          <w:szCs w:val="21"/>
        </w:rPr>
        <w:t>................................</w:t>
      </w:r>
      <w:r w:rsidRPr="001B143A">
        <w:rPr>
          <w:szCs w:val="21"/>
        </w:rPr>
        <w:t>.................... 3</w:t>
      </w:r>
      <w:r>
        <w:rPr>
          <w:szCs w:val="21"/>
        </w:rPr>
        <w:t>76</w:t>
      </w:r>
      <w:r w:rsidRPr="001B143A">
        <w:rPr>
          <w:szCs w:val="21"/>
        </w:rPr>
        <w:br/>
        <w:t>8.7.2 Ônus da prova da eficácia do EPI .................</w:t>
      </w:r>
      <w:r w:rsidR="00DA7284">
        <w:rPr>
          <w:szCs w:val="21"/>
        </w:rPr>
        <w:t>.................................</w:t>
      </w:r>
      <w:r w:rsidRPr="001B143A">
        <w:rPr>
          <w:szCs w:val="21"/>
        </w:rPr>
        <w:t>............... 3</w:t>
      </w:r>
      <w:r>
        <w:rPr>
          <w:szCs w:val="21"/>
        </w:rPr>
        <w:t>77</w:t>
      </w:r>
      <w:r w:rsidRPr="001B143A">
        <w:rPr>
          <w:szCs w:val="21"/>
        </w:rPr>
        <w:br/>
        <w:t>8.7.3 Agentes nocivos e neutralização pelo EPI .....</w:t>
      </w:r>
      <w:r w:rsidR="00DA7284">
        <w:rPr>
          <w:szCs w:val="21"/>
        </w:rPr>
        <w:t>...............................</w:t>
      </w:r>
      <w:r w:rsidRPr="001B143A">
        <w:rPr>
          <w:szCs w:val="21"/>
        </w:rPr>
        <w:t>................ 3</w:t>
      </w:r>
      <w:r>
        <w:rPr>
          <w:szCs w:val="21"/>
        </w:rPr>
        <w:t>78</w:t>
      </w:r>
    </w:p>
    <w:p w14:paraId="3EF4C1E3" w14:textId="4B467084" w:rsidR="003A005E" w:rsidRPr="001B143A" w:rsidRDefault="003A005E" w:rsidP="00960253">
      <w:pPr>
        <w:keepNext/>
        <w:pBdr>
          <w:bottom w:val="single" w:sz="8" w:space="4" w:color="B89B5E"/>
        </w:pBdr>
        <w:spacing w:after="0" w:line="240" w:lineRule="auto"/>
        <w:ind w:right="-171"/>
        <w:rPr>
          <w:szCs w:val="21"/>
        </w:rPr>
      </w:pPr>
      <w:r w:rsidRPr="001B143A">
        <w:rPr>
          <w:szCs w:val="21"/>
        </w:rPr>
        <w:t>8.8 Perfil profissiográfico previdenciário (PPP) .......</w:t>
      </w:r>
      <w:r w:rsidR="00DA7284">
        <w:rPr>
          <w:szCs w:val="21"/>
        </w:rPr>
        <w:t>...............................</w:t>
      </w:r>
      <w:r w:rsidRPr="001B143A">
        <w:rPr>
          <w:szCs w:val="21"/>
        </w:rPr>
        <w:t>............. 3</w:t>
      </w:r>
      <w:r>
        <w:rPr>
          <w:szCs w:val="21"/>
        </w:rPr>
        <w:t>79</w:t>
      </w:r>
      <w:r w:rsidRPr="001B143A">
        <w:rPr>
          <w:szCs w:val="21"/>
        </w:rPr>
        <w:br/>
        <w:t>8.8.1 Conceito e conteúdo ...........................................</w:t>
      </w:r>
      <w:r w:rsidR="00DA7284">
        <w:rPr>
          <w:szCs w:val="21"/>
        </w:rPr>
        <w:t>................................</w:t>
      </w:r>
      <w:r w:rsidRPr="001B143A">
        <w:rPr>
          <w:szCs w:val="21"/>
        </w:rPr>
        <w:t>......... 3</w:t>
      </w:r>
      <w:r>
        <w:rPr>
          <w:szCs w:val="21"/>
        </w:rPr>
        <w:t>79</w:t>
      </w:r>
      <w:r w:rsidRPr="001B143A">
        <w:rPr>
          <w:szCs w:val="21"/>
        </w:rPr>
        <w:br/>
        <w:t>8.8.2 PPP eletrônico via e</w:t>
      </w:r>
      <w:r w:rsidR="00DA7284">
        <w:rPr>
          <w:szCs w:val="21"/>
        </w:rPr>
        <w:t>S</w:t>
      </w:r>
      <w:r w:rsidRPr="001B143A">
        <w:rPr>
          <w:szCs w:val="21"/>
        </w:rPr>
        <w:t>ocial .............................</w:t>
      </w:r>
      <w:r w:rsidR="00DA7284">
        <w:rPr>
          <w:szCs w:val="21"/>
        </w:rPr>
        <w:t>.................................</w:t>
      </w:r>
      <w:r w:rsidRPr="001B143A">
        <w:rPr>
          <w:szCs w:val="21"/>
        </w:rPr>
        <w:t>.............. 38</w:t>
      </w:r>
      <w:r>
        <w:rPr>
          <w:szCs w:val="21"/>
        </w:rPr>
        <w:t>0</w:t>
      </w:r>
      <w:r w:rsidRPr="001B143A">
        <w:rPr>
          <w:szCs w:val="21"/>
        </w:rPr>
        <w:br/>
        <w:t>8.8.3 Valor probatório do PPP ...............</w:t>
      </w:r>
      <w:r w:rsidR="00DA7284">
        <w:rPr>
          <w:szCs w:val="21"/>
        </w:rPr>
        <w:t>..............................</w:t>
      </w:r>
      <w:r w:rsidRPr="001B143A">
        <w:rPr>
          <w:szCs w:val="21"/>
        </w:rPr>
        <w:t>................................ 38</w:t>
      </w:r>
      <w:r>
        <w:rPr>
          <w:szCs w:val="21"/>
        </w:rPr>
        <w:t>0</w:t>
      </w:r>
    </w:p>
    <w:p w14:paraId="4EBF02A5" w14:textId="394DB59A" w:rsidR="003A005E" w:rsidRPr="001B143A" w:rsidRDefault="003A005E" w:rsidP="00960253">
      <w:pPr>
        <w:keepNext/>
        <w:pBdr>
          <w:bottom w:val="single" w:sz="8" w:space="4" w:color="B89B5E"/>
        </w:pBdr>
        <w:spacing w:after="0" w:line="240" w:lineRule="auto"/>
        <w:ind w:right="-171"/>
        <w:rPr>
          <w:szCs w:val="21"/>
        </w:rPr>
      </w:pPr>
      <w:r w:rsidRPr="001B143A">
        <w:rPr>
          <w:szCs w:val="21"/>
        </w:rPr>
        <w:t>8.9 Conversão de tempo especial em comum .....</w:t>
      </w:r>
      <w:r w:rsidR="00DA7284">
        <w:rPr>
          <w:szCs w:val="21"/>
        </w:rPr>
        <w:t>...............................</w:t>
      </w:r>
      <w:r w:rsidRPr="001B143A">
        <w:rPr>
          <w:szCs w:val="21"/>
        </w:rPr>
        <w:t>................... 38</w:t>
      </w:r>
      <w:r>
        <w:rPr>
          <w:szCs w:val="21"/>
        </w:rPr>
        <w:t>2</w:t>
      </w:r>
      <w:r w:rsidRPr="001B143A">
        <w:rPr>
          <w:szCs w:val="21"/>
        </w:rPr>
        <w:br/>
        <w:t>8.9.1 Fundamento legal e fatores de conversão ..........</w:t>
      </w:r>
      <w:r w:rsidR="00DA7284">
        <w:rPr>
          <w:szCs w:val="21"/>
        </w:rPr>
        <w:t>..............................</w:t>
      </w:r>
      <w:r w:rsidRPr="001B143A">
        <w:rPr>
          <w:szCs w:val="21"/>
        </w:rPr>
        <w:t>............ 38</w:t>
      </w:r>
      <w:r>
        <w:rPr>
          <w:szCs w:val="21"/>
        </w:rPr>
        <w:t>2</w:t>
      </w:r>
      <w:r w:rsidRPr="001B143A">
        <w:rPr>
          <w:szCs w:val="21"/>
        </w:rPr>
        <w:br/>
        <w:t>8.9.2 Vedação pela EC 103/2019 (art. 25, § 2º) ......</w:t>
      </w:r>
      <w:r w:rsidR="00DA7284">
        <w:rPr>
          <w:szCs w:val="21"/>
        </w:rPr>
        <w:t>...............................</w:t>
      </w:r>
      <w:r w:rsidRPr="001B143A">
        <w:rPr>
          <w:szCs w:val="21"/>
        </w:rPr>
        <w:t>............... 38</w:t>
      </w:r>
      <w:r>
        <w:rPr>
          <w:szCs w:val="21"/>
        </w:rPr>
        <w:t>2</w:t>
      </w:r>
      <w:r w:rsidRPr="001B143A">
        <w:rPr>
          <w:szCs w:val="21"/>
        </w:rPr>
        <w:br/>
        <w:t>8.9.3 Direito adquirido à conversão .........................</w:t>
      </w:r>
      <w:r w:rsidR="00DA7284">
        <w:rPr>
          <w:szCs w:val="21"/>
        </w:rPr>
        <w:t>..............................</w:t>
      </w:r>
      <w:r w:rsidRPr="001B143A">
        <w:rPr>
          <w:szCs w:val="21"/>
        </w:rPr>
        <w:t>.............. 38</w:t>
      </w:r>
      <w:r>
        <w:rPr>
          <w:szCs w:val="21"/>
        </w:rPr>
        <w:t>3</w:t>
      </w:r>
      <w:r w:rsidRPr="001B143A">
        <w:rPr>
          <w:szCs w:val="21"/>
        </w:rPr>
        <w:br/>
        <w:t>8.9.4 Conversão de tempo comum em especial: vedação ......</w:t>
      </w:r>
      <w:r w:rsidR="00DA7284">
        <w:rPr>
          <w:szCs w:val="21"/>
        </w:rPr>
        <w:t>.............................</w:t>
      </w:r>
      <w:r w:rsidRPr="001B143A">
        <w:rPr>
          <w:szCs w:val="21"/>
        </w:rPr>
        <w:t>.. 3</w:t>
      </w:r>
      <w:r>
        <w:rPr>
          <w:szCs w:val="21"/>
        </w:rPr>
        <w:t>83</w:t>
      </w:r>
    </w:p>
    <w:p w14:paraId="10D56456" w14:textId="364733FB" w:rsidR="003A005E" w:rsidRPr="001B143A" w:rsidRDefault="003A005E" w:rsidP="00960253">
      <w:pPr>
        <w:keepNext/>
        <w:pBdr>
          <w:bottom w:val="single" w:sz="8" w:space="4" w:color="B89B5E"/>
        </w:pBdr>
        <w:spacing w:after="0" w:line="240" w:lineRule="auto"/>
        <w:ind w:right="-171"/>
        <w:rPr>
          <w:szCs w:val="21"/>
        </w:rPr>
      </w:pPr>
      <w:r w:rsidRPr="001B143A">
        <w:rPr>
          <w:szCs w:val="21"/>
        </w:rPr>
        <w:t>8.10 Cálculo do benefício ...........................</w:t>
      </w:r>
      <w:r w:rsidR="00DA7284">
        <w:rPr>
          <w:szCs w:val="21"/>
        </w:rPr>
        <w:t>.................................</w:t>
      </w:r>
      <w:r w:rsidRPr="001B143A">
        <w:rPr>
          <w:szCs w:val="21"/>
        </w:rPr>
        <w:t>......................... 3</w:t>
      </w:r>
      <w:r>
        <w:rPr>
          <w:szCs w:val="21"/>
        </w:rPr>
        <w:t>84</w:t>
      </w:r>
      <w:r w:rsidRPr="001B143A">
        <w:rPr>
          <w:szCs w:val="21"/>
        </w:rPr>
        <w:br/>
        <w:t>8.10.1 Regime anterior (até 13/11/2019) .....................</w:t>
      </w:r>
      <w:r w:rsidR="00DA7284">
        <w:rPr>
          <w:szCs w:val="21"/>
        </w:rPr>
        <w:t>.............................</w:t>
      </w:r>
      <w:r w:rsidRPr="001B143A">
        <w:rPr>
          <w:szCs w:val="21"/>
        </w:rPr>
        <w:t>.......... 3</w:t>
      </w:r>
      <w:r>
        <w:rPr>
          <w:szCs w:val="21"/>
        </w:rPr>
        <w:t>84</w:t>
      </w:r>
      <w:r w:rsidRPr="001B143A">
        <w:rPr>
          <w:szCs w:val="21"/>
        </w:rPr>
        <w:br/>
        <w:t>8.10.2 Regime Pós-EC 103/2019 ................................</w:t>
      </w:r>
      <w:r w:rsidR="00DA7284">
        <w:rPr>
          <w:szCs w:val="21"/>
        </w:rPr>
        <w:t>.............................</w:t>
      </w:r>
      <w:r w:rsidRPr="001B143A">
        <w:rPr>
          <w:szCs w:val="21"/>
        </w:rPr>
        <w:t>............ 3</w:t>
      </w:r>
      <w:r>
        <w:rPr>
          <w:szCs w:val="21"/>
        </w:rPr>
        <w:t>84</w:t>
      </w:r>
    </w:p>
    <w:p w14:paraId="6576FC66" w14:textId="01FA0233" w:rsidR="003A005E" w:rsidRPr="001B143A" w:rsidRDefault="003A005E" w:rsidP="00960253">
      <w:pPr>
        <w:keepNext/>
        <w:pBdr>
          <w:bottom w:val="single" w:sz="8" w:space="4" w:color="B89B5E"/>
        </w:pBdr>
        <w:spacing w:after="0" w:line="240" w:lineRule="auto"/>
        <w:ind w:right="-171"/>
        <w:rPr>
          <w:szCs w:val="21"/>
        </w:rPr>
      </w:pPr>
      <w:r w:rsidRPr="001B143A">
        <w:rPr>
          <w:szCs w:val="21"/>
        </w:rPr>
        <w:t>8.11 Vedação ao trabalho em condições especiais:</w:t>
      </w:r>
      <w:r w:rsidRPr="001B143A">
        <w:rPr>
          <w:szCs w:val="21"/>
        </w:rPr>
        <w:br/>
        <w:t xml:space="preserve">STF </w:t>
      </w:r>
      <w:r>
        <w:rPr>
          <w:szCs w:val="21"/>
        </w:rPr>
        <w:t>T</w:t>
      </w:r>
      <w:r w:rsidRPr="001B143A">
        <w:rPr>
          <w:szCs w:val="21"/>
        </w:rPr>
        <w:t>ema 709 ..........................................</w:t>
      </w:r>
      <w:r w:rsidR="00DA7284">
        <w:rPr>
          <w:szCs w:val="21"/>
        </w:rPr>
        <w:t>...........................</w:t>
      </w:r>
      <w:r w:rsidRPr="001B143A">
        <w:rPr>
          <w:szCs w:val="21"/>
        </w:rPr>
        <w:t>.................................. 3</w:t>
      </w:r>
      <w:r>
        <w:rPr>
          <w:szCs w:val="21"/>
        </w:rPr>
        <w:t>86</w:t>
      </w:r>
      <w:r w:rsidRPr="001B143A">
        <w:rPr>
          <w:szCs w:val="21"/>
        </w:rPr>
        <w:br/>
        <w:t>8.11.1 Tese fixada pelo STF .................</w:t>
      </w:r>
      <w:r w:rsidR="00DA7284">
        <w:rPr>
          <w:szCs w:val="21"/>
        </w:rPr>
        <w:t>...............................</w:t>
      </w:r>
      <w:r w:rsidRPr="001B143A">
        <w:rPr>
          <w:szCs w:val="21"/>
        </w:rPr>
        <w:t>.................................. 3</w:t>
      </w:r>
      <w:r>
        <w:rPr>
          <w:szCs w:val="21"/>
        </w:rPr>
        <w:t>86</w:t>
      </w:r>
      <w:r w:rsidRPr="001B143A">
        <w:rPr>
          <w:szCs w:val="21"/>
        </w:rPr>
        <w:br/>
        <w:t>8.11.2 Modulação dos efeitos ...................</w:t>
      </w:r>
      <w:r w:rsidR="00DA7284">
        <w:rPr>
          <w:szCs w:val="21"/>
        </w:rPr>
        <w:t>..............................</w:t>
      </w:r>
      <w:r w:rsidRPr="001B143A">
        <w:rPr>
          <w:szCs w:val="21"/>
        </w:rPr>
        <w:t>.............................. 3</w:t>
      </w:r>
      <w:r>
        <w:rPr>
          <w:szCs w:val="21"/>
        </w:rPr>
        <w:t>86</w:t>
      </w:r>
      <w:r w:rsidRPr="001B143A">
        <w:rPr>
          <w:szCs w:val="21"/>
        </w:rPr>
        <w:br/>
        <w:t>8.11.3 Impacto nos JEFs e situações práticas .................</w:t>
      </w:r>
      <w:r w:rsidR="00DA7284">
        <w:rPr>
          <w:szCs w:val="21"/>
        </w:rPr>
        <w:t>..............................</w:t>
      </w:r>
      <w:r w:rsidRPr="001B143A">
        <w:rPr>
          <w:szCs w:val="21"/>
        </w:rPr>
        <w:t>......... 3</w:t>
      </w:r>
      <w:r>
        <w:rPr>
          <w:szCs w:val="21"/>
        </w:rPr>
        <w:t>87</w:t>
      </w:r>
    </w:p>
    <w:p w14:paraId="20BDC7FF" w14:textId="0B820A2F" w:rsidR="003A005E" w:rsidRPr="001B143A" w:rsidRDefault="003A005E" w:rsidP="00960253">
      <w:pPr>
        <w:keepNext/>
        <w:pBdr>
          <w:bottom w:val="single" w:sz="8" w:space="4" w:color="B89B5E"/>
        </w:pBdr>
        <w:spacing w:after="0" w:line="240" w:lineRule="auto"/>
        <w:ind w:right="-171"/>
        <w:rPr>
          <w:szCs w:val="21"/>
        </w:rPr>
      </w:pPr>
      <w:r w:rsidRPr="001B143A">
        <w:rPr>
          <w:szCs w:val="21"/>
        </w:rPr>
        <w:t>8.12 Aposentadoria especial da pessoa com deficiência</w:t>
      </w:r>
      <w:r w:rsidRPr="001B143A">
        <w:rPr>
          <w:szCs w:val="21"/>
        </w:rPr>
        <w:br/>
        <w:t>(LC 142/2013) ................................................</w:t>
      </w:r>
      <w:r w:rsidR="00DA7284">
        <w:rPr>
          <w:szCs w:val="21"/>
        </w:rPr>
        <w:t>..........................</w:t>
      </w:r>
      <w:r w:rsidRPr="001B143A">
        <w:rPr>
          <w:szCs w:val="21"/>
        </w:rPr>
        <w:t>............................ 3</w:t>
      </w:r>
      <w:r>
        <w:rPr>
          <w:szCs w:val="21"/>
        </w:rPr>
        <w:t>88</w:t>
      </w:r>
      <w:r w:rsidRPr="001B143A">
        <w:rPr>
          <w:szCs w:val="21"/>
        </w:rPr>
        <w:br/>
        <w:t>8.12.1 Requisitos ...............................................</w:t>
      </w:r>
      <w:r w:rsidR="00DA7284">
        <w:rPr>
          <w:szCs w:val="21"/>
        </w:rPr>
        <w:t>.............................</w:t>
      </w:r>
      <w:r w:rsidRPr="001B143A">
        <w:rPr>
          <w:szCs w:val="21"/>
        </w:rPr>
        <w:t>...................... 3</w:t>
      </w:r>
      <w:r>
        <w:rPr>
          <w:szCs w:val="21"/>
        </w:rPr>
        <w:t>88</w:t>
      </w:r>
      <w:r w:rsidRPr="001B143A">
        <w:rPr>
          <w:szCs w:val="21"/>
        </w:rPr>
        <w:br/>
        <w:t>8.12.2 Avaliação biopsicossocial ............................</w:t>
      </w:r>
      <w:r w:rsidR="00DA7284">
        <w:rPr>
          <w:szCs w:val="21"/>
        </w:rPr>
        <w:t>.............................</w:t>
      </w:r>
      <w:r w:rsidRPr="001B143A">
        <w:rPr>
          <w:szCs w:val="21"/>
        </w:rPr>
        <w:t>................. 3</w:t>
      </w:r>
      <w:r>
        <w:rPr>
          <w:szCs w:val="21"/>
        </w:rPr>
        <w:t>89</w:t>
      </w:r>
      <w:r w:rsidRPr="001B143A">
        <w:rPr>
          <w:szCs w:val="21"/>
        </w:rPr>
        <w:br/>
        <w:t>8.12.3 Efeitos da EC 103/2019 sobre a LC 142/2013 ...........</w:t>
      </w:r>
      <w:r w:rsidR="00DA7284">
        <w:rPr>
          <w:szCs w:val="21"/>
        </w:rPr>
        <w:t>..........................</w:t>
      </w:r>
      <w:r w:rsidRPr="001B143A">
        <w:rPr>
          <w:szCs w:val="21"/>
        </w:rPr>
        <w:t>.... 3</w:t>
      </w:r>
      <w:r>
        <w:rPr>
          <w:szCs w:val="21"/>
        </w:rPr>
        <w:t>89</w:t>
      </w:r>
    </w:p>
    <w:p w14:paraId="2BAE4D8A" w14:textId="76EA79F0" w:rsidR="003A005E" w:rsidRDefault="003A005E" w:rsidP="00DA7284">
      <w:pPr>
        <w:keepNext/>
        <w:pBdr>
          <w:bottom w:val="single" w:sz="8" w:space="4" w:color="B89B5E"/>
        </w:pBdr>
        <w:spacing w:after="0" w:line="240" w:lineRule="auto"/>
        <w:ind w:right="-171"/>
        <w:rPr>
          <w:szCs w:val="21"/>
        </w:rPr>
      </w:pPr>
      <w:r w:rsidRPr="001B143A">
        <w:rPr>
          <w:szCs w:val="21"/>
        </w:rPr>
        <w:t>8.13 Questões processuais nos JEFs .......</w:t>
      </w:r>
      <w:r w:rsidR="00DA7284">
        <w:rPr>
          <w:szCs w:val="21"/>
        </w:rPr>
        <w:t>................................</w:t>
      </w:r>
      <w:r w:rsidRPr="001B143A">
        <w:rPr>
          <w:szCs w:val="21"/>
        </w:rPr>
        <w:t>............................... 39</w:t>
      </w:r>
      <w:r>
        <w:rPr>
          <w:szCs w:val="21"/>
        </w:rPr>
        <w:t>0</w:t>
      </w:r>
      <w:r w:rsidRPr="001B143A">
        <w:rPr>
          <w:szCs w:val="21"/>
        </w:rPr>
        <w:br/>
        <w:t>8.13.1 Prova da exposição a agentes nocivos ......</w:t>
      </w:r>
      <w:r w:rsidR="00DA7284">
        <w:rPr>
          <w:szCs w:val="21"/>
        </w:rPr>
        <w:t>................................</w:t>
      </w:r>
      <w:r w:rsidRPr="001B143A">
        <w:rPr>
          <w:szCs w:val="21"/>
        </w:rPr>
        <w:t>.................. 39</w:t>
      </w:r>
      <w:r>
        <w:rPr>
          <w:szCs w:val="21"/>
        </w:rPr>
        <w:t>0</w:t>
      </w:r>
      <w:r w:rsidRPr="001B143A">
        <w:rPr>
          <w:szCs w:val="21"/>
        </w:rPr>
        <w:br/>
        <w:t>8.13.2 Perícia ambiental .................................</w:t>
      </w:r>
      <w:r w:rsidR="00DA7284">
        <w:rPr>
          <w:szCs w:val="21"/>
        </w:rPr>
        <w:t>................................</w:t>
      </w:r>
      <w:r w:rsidRPr="001B143A">
        <w:rPr>
          <w:szCs w:val="21"/>
        </w:rPr>
        <w:t>....................... 39</w:t>
      </w:r>
      <w:r>
        <w:rPr>
          <w:szCs w:val="21"/>
        </w:rPr>
        <w:t>0</w:t>
      </w:r>
      <w:r w:rsidRPr="001B143A">
        <w:rPr>
          <w:szCs w:val="21"/>
        </w:rPr>
        <w:br/>
        <w:t>8.13.3 Prova emprestada .................................</w:t>
      </w:r>
      <w:r w:rsidR="00DA7284">
        <w:rPr>
          <w:szCs w:val="21"/>
        </w:rPr>
        <w:t>...............................</w:t>
      </w:r>
      <w:r w:rsidRPr="001B143A">
        <w:rPr>
          <w:szCs w:val="21"/>
        </w:rPr>
        <w:t>....................... 39</w:t>
      </w:r>
      <w:r>
        <w:rPr>
          <w:szCs w:val="21"/>
        </w:rPr>
        <w:t>1</w:t>
      </w:r>
      <w:r w:rsidRPr="001B143A">
        <w:rPr>
          <w:szCs w:val="21"/>
        </w:rPr>
        <w:br/>
      </w:r>
      <w:r w:rsidRPr="001B143A">
        <w:rPr>
          <w:szCs w:val="21"/>
        </w:rPr>
        <w:lastRenderedPageBreak/>
        <w:t>8.13.4 Reafirmação da DER (</w:t>
      </w:r>
      <w:r>
        <w:rPr>
          <w:szCs w:val="21"/>
        </w:rPr>
        <w:t>T</w:t>
      </w:r>
      <w:r w:rsidRPr="001B143A">
        <w:rPr>
          <w:szCs w:val="21"/>
        </w:rPr>
        <w:t>ema 995/STJ) ........</w:t>
      </w:r>
      <w:r w:rsidR="00DA7284">
        <w:rPr>
          <w:szCs w:val="21"/>
        </w:rPr>
        <w:t>..........................</w:t>
      </w:r>
      <w:r w:rsidRPr="001B143A">
        <w:rPr>
          <w:szCs w:val="21"/>
        </w:rPr>
        <w:t>.................. 39</w:t>
      </w:r>
      <w:r>
        <w:rPr>
          <w:szCs w:val="21"/>
        </w:rPr>
        <w:t>1</w:t>
      </w:r>
      <w:r w:rsidRPr="001B143A">
        <w:rPr>
          <w:szCs w:val="21"/>
        </w:rPr>
        <w:br/>
        <w:t>8.13.5 Tutela provisória e implantação do benefício ....</w:t>
      </w:r>
      <w:r w:rsidR="00DA7284">
        <w:rPr>
          <w:szCs w:val="21"/>
        </w:rPr>
        <w:t>............................</w:t>
      </w:r>
      <w:r w:rsidRPr="001B143A">
        <w:rPr>
          <w:szCs w:val="21"/>
        </w:rPr>
        <w:t xml:space="preserve">........... </w:t>
      </w:r>
      <w:r w:rsidR="004F32B5">
        <w:rPr>
          <w:szCs w:val="21"/>
        </w:rPr>
        <w:t>3</w:t>
      </w:r>
      <w:r>
        <w:rPr>
          <w:szCs w:val="21"/>
        </w:rPr>
        <w:t>92</w:t>
      </w:r>
      <w:r w:rsidRPr="001B143A">
        <w:rPr>
          <w:szCs w:val="21"/>
        </w:rPr>
        <w:br/>
        <w:t>8.13.6 Prescrição e decadência ...........................</w:t>
      </w:r>
      <w:r w:rsidR="004F32B5">
        <w:rPr>
          <w:szCs w:val="21"/>
        </w:rPr>
        <w:t>................................</w:t>
      </w:r>
      <w:r w:rsidRPr="001B143A">
        <w:rPr>
          <w:szCs w:val="21"/>
        </w:rPr>
        <w:t xml:space="preserve">................... </w:t>
      </w:r>
      <w:r w:rsidR="004F32B5">
        <w:rPr>
          <w:szCs w:val="21"/>
        </w:rPr>
        <w:t>3</w:t>
      </w:r>
      <w:r>
        <w:rPr>
          <w:szCs w:val="21"/>
        </w:rPr>
        <w:t>92</w:t>
      </w:r>
    </w:p>
    <w:p w14:paraId="58E1810C" w14:textId="23CD4218" w:rsidR="003A005E" w:rsidRPr="001B143A" w:rsidRDefault="003A005E" w:rsidP="00DA7284">
      <w:pPr>
        <w:keepNext/>
        <w:pBdr>
          <w:bottom w:val="single" w:sz="8" w:space="4" w:color="B89B5E"/>
        </w:pBdr>
        <w:spacing w:after="0" w:line="240" w:lineRule="auto"/>
        <w:ind w:right="-171"/>
        <w:rPr>
          <w:szCs w:val="21"/>
        </w:rPr>
      </w:pPr>
      <w:r>
        <w:rPr>
          <w:szCs w:val="21"/>
        </w:rPr>
        <w:t>8.13.7 Honorários e custas ........................</w:t>
      </w:r>
      <w:r w:rsidR="004F32B5">
        <w:rPr>
          <w:szCs w:val="21"/>
        </w:rPr>
        <w:t>............................................</w:t>
      </w:r>
      <w:r>
        <w:rPr>
          <w:szCs w:val="21"/>
        </w:rPr>
        <w:t>................ 393</w:t>
      </w:r>
      <w:r w:rsidRPr="001B143A">
        <w:rPr>
          <w:szCs w:val="21"/>
        </w:rPr>
        <w:br/>
        <w:t>8.13.8 Fungibilidade ..................................................</w:t>
      </w:r>
      <w:r w:rsidR="004F32B5">
        <w:rPr>
          <w:szCs w:val="21"/>
        </w:rPr>
        <w:t>.............................</w:t>
      </w:r>
      <w:r w:rsidRPr="001B143A">
        <w:rPr>
          <w:szCs w:val="21"/>
        </w:rPr>
        <w:t xml:space="preserve">.............. </w:t>
      </w:r>
      <w:r>
        <w:rPr>
          <w:szCs w:val="21"/>
        </w:rPr>
        <w:t>393</w:t>
      </w:r>
    </w:p>
    <w:p w14:paraId="5E2081FF" w14:textId="0BEAAE62" w:rsidR="003A005E" w:rsidRPr="001B143A" w:rsidRDefault="003A005E" w:rsidP="00DA7284">
      <w:pPr>
        <w:keepNext/>
        <w:pBdr>
          <w:bottom w:val="single" w:sz="8" w:space="4" w:color="B89B5E"/>
        </w:pBdr>
        <w:spacing w:after="0" w:line="240" w:lineRule="auto"/>
        <w:ind w:right="-171"/>
        <w:rPr>
          <w:szCs w:val="21"/>
        </w:rPr>
      </w:pPr>
      <w:r w:rsidRPr="001B143A">
        <w:rPr>
          <w:szCs w:val="21"/>
        </w:rPr>
        <w:t>8.14 Fonte de custeio e a tese da prévia contribuição .....</w:t>
      </w:r>
      <w:r w:rsidR="004F32B5">
        <w:rPr>
          <w:szCs w:val="21"/>
        </w:rPr>
        <w:t>...............................</w:t>
      </w:r>
      <w:r w:rsidRPr="001B143A">
        <w:rPr>
          <w:szCs w:val="21"/>
        </w:rPr>
        <w:t xml:space="preserve">....... </w:t>
      </w:r>
      <w:r>
        <w:rPr>
          <w:szCs w:val="21"/>
        </w:rPr>
        <w:t>394</w:t>
      </w:r>
    </w:p>
    <w:p w14:paraId="20280F45" w14:textId="7D81EB2D" w:rsidR="003A005E" w:rsidRPr="001B143A" w:rsidRDefault="003A005E" w:rsidP="00DA7284">
      <w:pPr>
        <w:keepNext/>
        <w:pBdr>
          <w:bottom w:val="single" w:sz="8" w:space="4" w:color="B89B5E"/>
        </w:pBdr>
        <w:spacing w:after="0" w:line="240" w:lineRule="auto"/>
        <w:ind w:right="-171"/>
        <w:rPr>
          <w:szCs w:val="21"/>
        </w:rPr>
      </w:pPr>
      <w:r w:rsidRPr="001B143A">
        <w:rPr>
          <w:szCs w:val="21"/>
        </w:rPr>
        <w:t>8.15 Direito intertemporal na aposentadoria especial .........</w:t>
      </w:r>
      <w:r w:rsidR="004F32B5">
        <w:rPr>
          <w:szCs w:val="21"/>
        </w:rPr>
        <w:t>............................</w:t>
      </w:r>
      <w:r w:rsidRPr="001B143A">
        <w:rPr>
          <w:szCs w:val="21"/>
        </w:rPr>
        <w:t xml:space="preserve">.... </w:t>
      </w:r>
      <w:r>
        <w:rPr>
          <w:szCs w:val="21"/>
        </w:rPr>
        <w:t>395</w:t>
      </w:r>
    </w:p>
    <w:p w14:paraId="3BDE98AB" w14:textId="0FD3F84C" w:rsidR="003A005E" w:rsidRPr="001B143A" w:rsidRDefault="003A005E" w:rsidP="00DA7284">
      <w:pPr>
        <w:keepNext/>
        <w:pBdr>
          <w:bottom w:val="single" w:sz="8" w:space="4" w:color="B89B5E"/>
        </w:pBdr>
        <w:spacing w:after="0" w:line="240" w:lineRule="auto"/>
        <w:ind w:right="-171"/>
        <w:rPr>
          <w:szCs w:val="21"/>
        </w:rPr>
      </w:pPr>
      <w:r w:rsidRPr="001B143A">
        <w:rPr>
          <w:szCs w:val="21"/>
        </w:rPr>
        <w:t>8.16 Atividades concomitantes e tempo especial ................</w:t>
      </w:r>
      <w:r w:rsidR="004F32B5">
        <w:rPr>
          <w:szCs w:val="21"/>
        </w:rPr>
        <w:t>..............................</w:t>
      </w:r>
      <w:r w:rsidRPr="001B143A">
        <w:rPr>
          <w:szCs w:val="21"/>
        </w:rPr>
        <w:t xml:space="preserve">... </w:t>
      </w:r>
      <w:r>
        <w:rPr>
          <w:szCs w:val="21"/>
        </w:rPr>
        <w:t>396</w:t>
      </w:r>
    </w:p>
    <w:p w14:paraId="6593A05A" w14:textId="58A87221" w:rsidR="003A005E" w:rsidRPr="001B143A" w:rsidRDefault="003A005E" w:rsidP="00DA7284">
      <w:pPr>
        <w:keepNext/>
        <w:pBdr>
          <w:bottom w:val="single" w:sz="8" w:space="4" w:color="B89B5E"/>
        </w:pBdr>
        <w:spacing w:after="0" w:line="240" w:lineRule="auto"/>
        <w:ind w:right="-171"/>
        <w:rPr>
          <w:szCs w:val="21"/>
        </w:rPr>
      </w:pPr>
      <w:r w:rsidRPr="001B143A">
        <w:rPr>
          <w:szCs w:val="21"/>
        </w:rPr>
        <w:t>8.17 Contagem recíproca e tempo especial ...............</w:t>
      </w:r>
      <w:r w:rsidR="004F32B5">
        <w:rPr>
          <w:szCs w:val="21"/>
        </w:rPr>
        <w:t>...............................</w:t>
      </w:r>
      <w:r w:rsidRPr="001B143A">
        <w:rPr>
          <w:szCs w:val="21"/>
        </w:rPr>
        <w:t xml:space="preserve">............ </w:t>
      </w:r>
      <w:r>
        <w:rPr>
          <w:szCs w:val="21"/>
        </w:rPr>
        <w:t>39</w:t>
      </w:r>
      <w:r w:rsidRPr="001B143A">
        <w:rPr>
          <w:szCs w:val="21"/>
        </w:rPr>
        <w:t>7</w:t>
      </w:r>
    </w:p>
    <w:p w14:paraId="6B7B7A6E" w14:textId="66BE77E5" w:rsidR="003A005E" w:rsidRPr="001B143A" w:rsidRDefault="003A005E" w:rsidP="00DA7284">
      <w:pPr>
        <w:keepNext/>
        <w:pBdr>
          <w:bottom w:val="single" w:sz="8" w:space="4" w:color="B89B5E"/>
        </w:pBdr>
        <w:spacing w:after="0" w:line="240" w:lineRule="auto"/>
        <w:ind w:right="-171"/>
        <w:rPr>
          <w:szCs w:val="21"/>
        </w:rPr>
      </w:pPr>
      <w:r w:rsidRPr="001B143A">
        <w:rPr>
          <w:szCs w:val="21"/>
        </w:rPr>
        <w:t>8.18 Quadro sinótico: aposentadoria especial ..................</w:t>
      </w:r>
      <w:r w:rsidR="004F32B5">
        <w:rPr>
          <w:szCs w:val="21"/>
        </w:rPr>
        <w:t>.............................</w:t>
      </w:r>
      <w:r w:rsidRPr="001B143A">
        <w:rPr>
          <w:szCs w:val="21"/>
        </w:rPr>
        <w:t xml:space="preserve">....... </w:t>
      </w:r>
      <w:r>
        <w:rPr>
          <w:szCs w:val="21"/>
        </w:rPr>
        <w:t>399</w:t>
      </w:r>
    </w:p>
    <w:p w14:paraId="7B14B0B7" w14:textId="5443B9A0" w:rsidR="003A005E" w:rsidRPr="001B143A" w:rsidRDefault="003A005E" w:rsidP="00DA7284">
      <w:pPr>
        <w:keepNext/>
        <w:pBdr>
          <w:bottom w:val="single" w:sz="8" w:space="4" w:color="B89B5E"/>
        </w:pBdr>
        <w:spacing w:after="0" w:line="240" w:lineRule="auto"/>
        <w:ind w:right="-171"/>
        <w:rPr>
          <w:szCs w:val="21"/>
        </w:rPr>
      </w:pPr>
      <w:r w:rsidRPr="001B143A">
        <w:rPr>
          <w:szCs w:val="21"/>
        </w:rPr>
        <w:t>8.19 Aspectos práticos da concessão administrativa .......</w:t>
      </w:r>
      <w:r w:rsidR="004F32B5">
        <w:rPr>
          <w:szCs w:val="21"/>
        </w:rPr>
        <w:t>.............................</w:t>
      </w:r>
      <w:r w:rsidRPr="001B143A">
        <w:rPr>
          <w:szCs w:val="21"/>
        </w:rPr>
        <w:t>........ 4</w:t>
      </w:r>
      <w:r>
        <w:rPr>
          <w:szCs w:val="21"/>
        </w:rPr>
        <w:t>0</w:t>
      </w:r>
      <w:r w:rsidRPr="001B143A">
        <w:rPr>
          <w:szCs w:val="21"/>
        </w:rPr>
        <w:t>0</w:t>
      </w:r>
    </w:p>
    <w:p w14:paraId="63CC45E7" w14:textId="18406019" w:rsidR="003A005E" w:rsidRPr="001B143A" w:rsidRDefault="003A005E" w:rsidP="00DA7284">
      <w:pPr>
        <w:keepNext/>
        <w:pBdr>
          <w:bottom w:val="single" w:sz="8" w:space="4" w:color="B89B5E"/>
        </w:pBdr>
        <w:spacing w:after="0" w:line="240" w:lineRule="auto"/>
        <w:ind w:right="-171"/>
        <w:rPr>
          <w:szCs w:val="21"/>
        </w:rPr>
      </w:pPr>
      <w:r w:rsidRPr="001B143A">
        <w:rPr>
          <w:szCs w:val="21"/>
        </w:rPr>
        <w:t>8.20 Questões especiais: eletricidade e periculosidade ......</w:t>
      </w:r>
      <w:r w:rsidR="004F32B5">
        <w:rPr>
          <w:szCs w:val="21"/>
        </w:rPr>
        <w:t>...............................</w:t>
      </w:r>
      <w:r w:rsidRPr="001B143A">
        <w:rPr>
          <w:szCs w:val="21"/>
        </w:rPr>
        <w:t>.... 4</w:t>
      </w:r>
      <w:r>
        <w:rPr>
          <w:szCs w:val="21"/>
        </w:rPr>
        <w:t>01</w:t>
      </w:r>
    </w:p>
    <w:p w14:paraId="2EA29EA3" w14:textId="4981065C" w:rsidR="003A005E" w:rsidRPr="001B143A" w:rsidRDefault="003A005E" w:rsidP="00DA7284">
      <w:pPr>
        <w:keepNext/>
        <w:pBdr>
          <w:bottom w:val="single" w:sz="8" w:space="4" w:color="B89B5E"/>
        </w:pBdr>
        <w:spacing w:after="0" w:line="240" w:lineRule="auto"/>
        <w:ind w:right="-171"/>
        <w:rPr>
          <w:szCs w:val="21"/>
        </w:rPr>
      </w:pPr>
      <w:r w:rsidRPr="001B143A">
        <w:rPr>
          <w:szCs w:val="21"/>
        </w:rPr>
        <w:t>8.21 Aposentadoria especial do vigilante: o confronto entre</w:t>
      </w:r>
      <w:r w:rsidRPr="001B143A">
        <w:rPr>
          <w:szCs w:val="21"/>
        </w:rPr>
        <w:br/>
        <w:t>o STJ (</w:t>
      </w:r>
      <w:r>
        <w:rPr>
          <w:szCs w:val="21"/>
        </w:rPr>
        <w:t>T</w:t>
      </w:r>
      <w:r w:rsidRPr="001B143A">
        <w:rPr>
          <w:szCs w:val="21"/>
        </w:rPr>
        <w:t>ema 1.031) e o STF (</w:t>
      </w:r>
      <w:r>
        <w:rPr>
          <w:szCs w:val="21"/>
        </w:rPr>
        <w:t>T</w:t>
      </w:r>
      <w:r w:rsidRPr="001B143A">
        <w:rPr>
          <w:szCs w:val="21"/>
        </w:rPr>
        <w:t>ema 1.209) ..........</w:t>
      </w:r>
      <w:r w:rsidR="004F32B5">
        <w:rPr>
          <w:szCs w:val="21"/>
        </w:rPr>
        <w:t>.............................</w:t>
      </w:r>
      <w:r w:rsidRPr="001B143A">
        <w:rPr>
          <w:szCs w:val="21"/>
        </w:rPr>
        <w:t>.................... 4</w:t>
      </w:r>
      <w:r>
        <w:rPr>
          <w:szCs w:val="21"/>
        </w:rPr>
        <w:t>02</w:t>
      </w:r>
      <w:r w:rsidRPr="001B143A">
        <w:rPr>
          <w:szCs w:val="21"/>
        </w:rPr>
        <w:br/>
        <w:t>8.21.1 O entendimento amplo do STJ (</w:t>
      </w:r>
      <w:r>
        <w:rPr>
          <w:szCs w:val="21"/>
        </w:rPr>
        <w:t>T</w:t>
      </w:r>
      <w:r w:rsidRPr="001B143A">
        <w:rPr>
          <w:szCs w:val="21"/>
        </w:rPr>
        <w:t>ema 1.031) ..........</w:t>
      </w:r>
      <w:r w:rsidR="004F32B5">
        <w:rPr>
          <w:szCs w:val="21"/>
        </w:rPr>
        <w:t>.........................</w:t>
      </w:r>
      <w:r w:rsidRPr="001B143A">
        <w:rPr>
          <w:szCs w:val="21"/>
        </w:rPr>
        <w:t>....... 4</w:t>
      </w:r>
      <w:r>
        <w:rPr>
          <w:szCs w:val="21"/>
        </w:rPr>
        <w:t>02</w:t>
      </w:r>
      <w:r w:rsidRPr="001B143A">
        <w:rPr>
          <w:szCs w:val="21"/>
        </w:rPr>
        <w:br/>
        <w:t>8.21.2 A restrição do STF (</w:t>
      </w:r>
      <w:r>
        <w:rPr>
          <w:szCs w:val="21"/>
        </w:rPr>
        <w:t>T</w:t>
      </w:r>
      <w:r w:rsidRPr="001B143A">
        <w:rPr>
          <w:szCs w:val="21"/>
        </w:rPr>
        <w:t>ema 1.209) ..........................</w:t>
      </w:r>
      <w:r w:rsidR="004F32B5">
        <w:rPr>
          <w:szCs w:val="21"/>
        </w:rPr>
        <w:t>............................</w:t>
      </w:r>
      <w:r w:rsidRPr="001B143A">
        <w:rPr>
          <w:szCs w:val="21"/>
        </w:rPr>
        <w:t>........ 4</w:t>
      </w:r>
      <w:r>
        <w:rPr>
          <w:szCs w:val="21"/>
        </w:rPr>
        <w:t>04</w:t>
      </w:r>
    </w:p>
    <w:p w14:paraId="2FACA663" w14:textId="7322C57D" w:rsidR="003A005E" w:rsidRPr="001B143A" w:rsidRDefault="003A005E" w:rsidP="00DA7284">
      <w:pPr>
        <w:keepNext/>
        <w:pBdr>
          <w:bottom w:val="single" w:sz="8" w:space="4" w:color="B89B5E"/>
        </w:pBdr>
        <w:spacing w:after="0" w:line="240" w:lineRule="auto"/>
        <w:ind w:right="-171"/>
        <w:rPr>
          <w:szCs w:val="21"/>
        </w:rPr>
      </w:pPr>
      <w:r w:rsidRPr="001B143A">
        <w:rPr>
          <w:szCs w:val="21"/>
        </w:rPr>
        <w:t>8.22 Aposentadoria especial e o segurado especial (rural) ...</w:t>
      </w:r>
      <w:r w:rsidR="004F32B5">
        <w:rPr>
          <w:szCs w:val="21"/>
        </w:rPr>
        <w:t>..............................</w:t>
      </w:r>
      <w:r w:rsidRPr="001B143A">
        <w:rPr>
          <w:szCs w:val="21"/>
        </w:rPr>
        <w:t>... 4</w:t>
      </w:r>
      <w:r>
        <w:rPr>
          <w:szCs w:val="21"/>
        </w:rPr>
        <w:t>05</w:t>
      </w:r>
    </w:p>
    <w:p w14:paraId="0D77EF45" w14:textId="2F333F62" w:rsidR="003A005E" w:rsidRPr="001B143A" w:rsidRDefault="003A005E" w:rsidP="00DA7284">
      <w:pPr>
        <w:keepNext/>
        <w:pBdr>
          <w:bottom w:val="single" w:sz="8" w:space="4" w:color="B89B5E"/>
        </w:pBdr>
        <w:spacing w:after="0" w:line="240" w:lineRule="auto"/>
        <w:ind w:right="-171"/>
        <w:rPr>
          <w:szCs w:val="21"/>
        </w:rPr>
      </w:pPr>
      <w:r w:rsidRPr="001B143A">
        <w:rPr>
          <w:szCs w:val="21"/>
        </w:rPr>
        <w:t>8.23 Aposentadoria especial e contribuinte individual ......</w:t>
      </w:r>
      <w:r w:rsidR="004F32B5">
        <w:rPr>
          <w:szCs w:val="21"/>
        </w:rPr>
        <w:t>............................</w:t>
      </w:r>
      <w:r w:rsidRPr="001B143A">
        <w:rPr>
          <w:szCs w:val="21"/>
        </w:rPr>
        <w:t>...... 4</w:t>
      </w:r>
      <w:r>
        <w:rPr>
          <w:szCs w:val="21"/>
        </w:rPr>
        <w:t>06</w:t>
      </w:r>
    </w:p>
    <w:p w14:paraId="4D22F299" w14:textId="32A9D2F4" w:rsidR="003A005E" w:rsidRDefault="003A005E" w:rsidP="00DA7284">
      <w:pPr>
        <w:keepNext/>
        <w:pBdr>
          <w:bottom w:val="single" w:sz="8" w:space="4" w:color="B89B5E"/>
        </w:pBdr>
        <w:spacing w:after="0" w:line="240" w:lineRule="auto"/>
        <w:ind w:right="-171"/>
        <w:rPr>
          <w:szCs w:val="21"/>
        </w:rPr>
      </w:pPr>
      <w:r>
        <w:rPr>
          <w:szCs w:val="21"/>
        </w:rPr>
        <w:t xml:space="preserve">8.24 </w:t>
      </w:r>
      <w:r w:rsidRPr="001B143A">
        <w:rPr>
          <w:szCs w:val="21"/>
        </w:rPr>
        <w:t>Conclusão .....................................................</w:t>
      </w:r>
      <w:r w:rsidR="004F32B5">
        <w:rPr>
          <w:szCs w:val="21"/>
        </w:rPr>
        <w:t>...................</w:t>
      </w:r>
      <w:r w:rsidRPr="001B143A">
        <w:rPr>
          <w:szCs w:val="21"/>
        </w:rPr>
        <w:t>............................. 4</w:t>
      </w:r>
      <w:r>
        <w:rPr>
          <w:szCs w:val="21"/>
        </w:rPr>
        <w:t>09</w:t>
      </w:r>
      <w:r w:rsidRPr="00E56701">
        <w:rPr>
          <w:szCs w:val="21"/>
        </w:rPr>
        <w:br/>
        <w:t xml:space="preserve">Capítulo 9 — Aposentadoria do Segurado Rural ................................................ </w:t>
      </w:r>
      <w:r>
        <w:rPr>
          <w:szCs w:val="21"/>
        </w:rPr>
        <w:t>410</w:t>
      </w:r>
    </w:p>
    <w:p w14:paraId="390E9366" w14:textId="041A50FB" w:rsidR="003A005E" w:rsidRDefault="003A005E" w:rsidP="007820B1">
      <w:pPr>
        <w:keepNext/>
        <w:pBdr>
          <w:bottom w:val="single" w:sz="8" w:space="4" w:color="B89B5E"/>
        </w:pBdr>
        <w:spacing w:after="0" w:line="240" w:lineRule="auto"/>
        <w:ind w:right="-171"/>
        <w:rPr>
          <w:szCs w:val="21"/>
        </w:rPr>
      </w:pPr>
      <w:r w:rsidRPr="00F418D7">
        <w:rPr>
          <w:szCs w:val="21"/>
        </w:rPr>
        <w:t>9.1 Conceito e fundamento constitucional ..........................</w:t>
      </w:r>
      <w:r w:rsidR="004F32B5">
        <w:rPr>
          <w:szCs w:val="21"/>
        </w:rPr>
        <w:t>........................</w:t>
      </w:r>
      <w:r w:rsidRPr="00F418D7">
        <w:rPr>
          <w:szCs w:val="21"/>
        </w:rPr>
        <w:t>....... 411</w:t>
      </w:r>
      <w:r w:rsidRPr="00F418D7">
        <w:rPr>
          <w:szCs w:val="21"/>
        </w:rPr>
        <w:br/>
        <w:t>9.2 Evolução legislativa .......................................................</w:t>
      </w:r>
      <w:r w:rsidR="004F32B5">
        <w:rPr>
          <w:szCs w:val="21"/>
        </w:rPr>
        <w:t>............................</w:t>
      </w:r>
      <w:r w:rsidRPr="00F418D7">
        <w:rPr>
          <w:szCs w:val="21"/>
        </w:rPr>
        <w:t>...... 41</w:t>
      </w:r>
      <w:r>
        <w:rPr>
          <w:szCs w:val="21"/>
        </w:rPr>
        <w:t>2</w:t>
      </w:r>
      <w:r w:rsidRPr="00F418D7">
        <w:rPr>
          <w:szCs w:val="21"/>
        </w:rPr>
        <w:br/>
        <w:t>9.3 Segurado especial: definição e requisitos legais ........</w:t>
      </w:r>
      <w:r w:rsidR="004F32B5">
        <w:rPr>
          <w:szCs w:val="21"/>
        </w:rPr>
        <w:t>...........................</w:t>
      </w:r>
      <w:r w:rsidRPr="00F418D7">
        <w:rPr>
          <w:szCs w:val="21"/>
        </w:rPr>
        <w:t>............ 41</w:t>
      </w:r>
      <w:r>
        <w:rPr>
          <w:szCs w:val="21"/>
        </w:rPr>
        <w:t>4</w:t>
      </w:r>
      <w:r w:rsidRPr="00F418D7">
        <w:rPr>
          <w:szCs w:val="21"/>
        </w:rPr>
        <w:br/>
        <w:t>9.3.1 Residência e proximidade ...................................</w:t>
      </w:r>
      <w:r w:rsidR="004F32B5">
        <w:rPr>
          <w:szCs w:val="21"/>
        </w:rPr>
        <w:t>..........................</w:t>
      </w:r>
      <w:r w:rsidRPr="00F418D7">
        <w:rPr>
          <w:szCs w:val="21"/>
        </w:rPr>
        <w:t>............... 41</w:t>
      </w:r>
      <w:r>
        <w:rPr>
          <w:szCs w:val="21"/>
        </w:rPr>
        <w:t>5</w:t>
      </w:r>
      <w:r w:rsidRPr="00F418D7">
        <w:rPr>
          <w:szCs w:val="21"/>
        </w:rPr>
        <w:br/>
        <w:t>9.3.2 Limite de área: quatro módulos fiscais .........</w:t>
      </w:r>
      <w:r w:rsidR="004F32B5">
        <w:rPr>
          <w:szCs w:val="21"/>
        </w:rPr>
        <w:t>.........................</w:t>
      </w:r>
      <w:r w:rsidRPr="00F418D7">
        <w:rPr>
          <w:szCs w:val="21"/>
        </w:rPr>
        <w:t>...................... 41</w:t>
      </w:r>
      <w:r>
        <w:rPr>
          <w:szCs w:val="21"/>
        </w:rPr>
        <w:t>5</w:t>
      </w:r>
      <w:r w:rsidRPr="00F418D7">
        <w:rPr>
          <w:szCs w:val="21"/>
        </w:rPr>
        <w:br/>
        <w:t>9.4 Regime de economia familiar ...................................</w:t>
      </w:r>
      <w:r w:rsidR="004F32B5">
        <w:rPr>
          <w:szCs w:val="21"/>
        </w:rPr>
        <w:t>.........................</w:t>
      </w:r>
      <w:r w:rsidRPr="00F418D7">
        <w:rPr>
          <w:szCs w:val="21"/>
        </w:rPr>
        <w:t>............. 41</w:t>
      </w:r>
      <w:r>
        <w:rPr>
          <w:szCs w:val="21"/>
        </w:rPr>
        <w:t>7</w:t>
      </w:r>
      <w:r w:rsidRPr="00F418D7">
        <w:rPr>
          <w:szCs w:val="21"/>
        </w:rPr>
        <w:br/>
        <w:t xml:space="preserve">9.5 Atividades que descaracterizam (ou não) a </w:t>
      </w:r>
      <w:r w:rsidR="004F32B5">
        <w:rPr>
          <w:szCs w:val="21"/>
        </w:rPr>
        <w:t>condiçã</w:t>
      </w:r>
      <w:r w:rsidRPr="00F418D7">
        <w:rPr>
          <w:szCs w:val="21"/>
        </w:rPr>
        <w:t>o de segurado especial .....................................................................</w:t>
      </w:r>
      <w:r w:rsidR="004F32B5">
        <w:rPr>
          <w:szCs w:val="21"/>
        </w:rPr>
        <w:t>............................................</w:t>
      </w:r>
      <w:r w:rsidRPr="00F418D7">
        <w:rPr>
          <w:szCs w:val="21"/>
        </w:rPr>
        <w:t>............... 4</w:t>
      </w:r>
      <w:r>
        <w:rPr>
          <w:szCs w:val="21"/>
        </w:rPr>
        <w:t>18</w:t>
      </w:r>
      <w:r w:rsidRPr="00F418D7">
        <w:rPr>
          <w:szCs w:val="21"/>
        </w:rPr>
        <w:br/>
        <w:t>9.6 Aposentadoria por idade rural: requisitos legais ...............</w:t>
      </w:r>
      <w:r w:rsidR="004F32B5">
        <w:rPr>
          <w:szCs w:val="21"/>
        </w:rPr>
        <w:t>.........................</w:t>
      </w:r>
      <w:r w:rsidRPr="00F418D7">
        <w:rPr>
          <w:szCs w:val="21"/>
        </w:rPr>
        <w:t>..... 42</w:t>
      </w:r>
      <w:r>
        <w:rPr>
          <w:szCs w:val="21"/>
        </w:rPr>
        <w:t>1</w:t>
      </w:r>
      <w:r w:rsidRPr="00F418D7">
        <w:rPr>
          <w:szCs w:val="21"/>
        </w:rPr>
        <w:br/>
        <w:t>9.7 Regime probatório: início de prova material ...............</w:t>
      </w:r>
      <w:r w:rsidR="004F32B5">
        <w:rPr>
          <w:szCs w:val="21"/>
        </w:rPr>
        <w:t>........................</w:t>
      </w:r>
      <w:r w:rsidRPr="00F418D7">
        <w:rPr>
          <w:szCs w:val="21"/>
        </w:rPr>
        <w:t>........... 42</w:t>
      </w:r>
      <w:r>
        <w:rPr>
          <w:szCs w:val="21"/>
        </w:rPr>
        <w:t>3</w:t>
      </w:r>
      <w:r w:rsidRPr="00F418D7">
        <w:rPr>
          <w:szCs w:val="21"/>
        </w:rPr>
        <w:br/>
        <w:t>9.8 Documentos admitidos como início de prova material ...</w:t>
      </w:r>
      <w:r w:rsidR="004F32B5">
        <w:rPr>
          <w:szCs w:val="21"/>
        </w:rPr>
        <w:t>......................</w:t>
      </w:r>
      <w:r w:rsidRPr="00F418D7">
        <w:rPr>
          <w:szCs w:val="21"/>
        </w:rPr>
        <w:t>........ 42</w:t>
      </w:r>
      <w:r>
        <w:rPr>
          <w:szCs w:val="21"/>
        </w:rPr>
        <w:t>5</w:t>
      </w:r>
      <w:r w:rsidRPr="00F418D7">
        <w:rPr>
          <w:szCs w:val="21"/>
        </w:rPr>
        <w:br/>
        <w:t>9.9 Prova testemunhal e a disciplina da Súmula 149/STJ .........</w:t>
      </w:r>
      <w:r w:rsidR="007820B1">
        <w:rPr>
          <w:szCs w:val="21"/>
        </w:rPr>
        <w:t>.......................</w:t>
      </w:r>
      <w:r w:rsidRPr="00F418D7">
        <w:rPr>
          <w:szCs w:val="21"/>
        </w:rPr>
        <w:t>.... 4</w:t>
      </w:r>
      <w:r>
        <w:rPr>
          <w:szCs w:val="21"/>
        </w:rPr>
        <w:t>28</w:t>
      </w:r>
      <w:r w:rsidRPr="00F418D7">
        <w:rPr>
          <w:szCs w:val="21"/>
        </w:rPr>
        <w:br/>
        <w:t>9.10 O boia-fria, o volante e o safrista .........................</w:t>
      </w:r>
      <w:r w:rsidR="007820B1">
        <w:rPr>
          <w:szCs w:val="21"/>
        </w:rPr>
        <w:t>..........................</w:t>
      </w:r>
      <w:r w:rsidRPr="00F418D7">
        <w:rPr>
          <w:szCs w:val="21"/>
        </w:rPr>
        <w:t>................ 43</w:t>
      </w:r>
      <w:r>
        <w:rPr>
          <w:szCs w:val="21"/>
        </w:rPr>
        <w:t>0</w:t>
      </w:r>
      <w:r w:rsidRPr="00F418D7">
        <w:rPr>
          <w:szCs w:val="21"/>
        </w:rPr>
        <w:br/>
        <w:t>9.11 Aposentadoria por idade híbrida (art. 48, § 3º) .........</w:t>
      </w:r>
      <w:r w:rsidR="007820B1">
        <w:rPr>
          <w:szCs w:val="21"/>
        </w:rPr>
        <w:t>.........................</w:t>
      </w:r>
      <w:r w:rsidRPr="00F418D7">
        <w:rPr>
          <w:szCs w:val="21"/>
        </w:rPr>
        <w:t>........... 43</w:t>
      </w:r>
      <w:r>
        <w:rPr>
          <w:szCs w:val="21"/>
        </w:rPr>
        <w:t>2</w:t>
      </w:r>
      <w:r w:rsidRPr="00F418D7">
        <w:rPr>
          <w:szCs w:val="21"/>
        </w:rPr>
        <w:br/>
        <w:t>9.12 Trabalho rural infantil ................................................</w:t>
      </w:r>
      <w:r w:rsidR="007820B1">
        <w:rPr>
          <w:szCs w:val="21"/>
        </w:rPr>
        <w:t>........................</w:t>
      </w:r>
      <w:r w:rsidRPr="00F418D7">
        <w:rPr>
          <w:szCs w:val="21"/>
        </w:rPr>
        <w:t>.......... 4</w:t>
      </w:r>
      <w:r>
        <w:rPr>
          <w:szCs w:val="21"/>
        </w:rPr>
        <w:t>36</w:t>
      </w:r>
      <w:r w:rsidRPr="00F418D7">
        <w:rPr>
          <w:szCs w:val="21"/>
        </w:rPr>
        <w:br/>
        <w:t>9.13 Período de entressafra e atividades urbanas intercaladas ....</w:t>
      </w:r>
      <w:r w:rsidR="007820B1">
        <w:rPr>
          <w:szCs w:val="21"/>
        </w:rPr>
        <w:t>.........................</w:t>
      </w:r>
      <w:r w:rsidRPr="00F418D7">
        <w:rPr>
          <w:szCs w:val="21"/>
        </w:rPr>
        <w:t>. 4</w:t>
      </w:r>
      <w:r>
        <w:rPr>
          <w:szCs w:val="21"/>
        </w:rPr>
        <w:t>38</w:t>
      </w:r>
      <w:r w:rsidRPr="00F418D7">
        <w:rPr>
          <w:szCs w:val="21"/>
        </w:rPr>
        <w:br/>
      </w:r>
      <w:r w:rsidRPr="00F418D7">
        <w:rPr>
          <w:szCs w:val="21"/>
        </w:rPr>
        <w:lastRenderedPageBreak/>
        <w:t>9.14 Módulos fiscais e propriedade rural superior a quatro módulos .................</w:t>
      </w:r>
      <w:r w:rsidR="007820B1">
        <w:rPr>
          <w:szCs w:val="21"/>
        </w:rPr>
        <w:t>............................................................................................</w:t>
      </w:r>
      <w:r w:rsidRPr="00F418D7">
        <w:rPr>
          <w:szCs w:val="21"/>
        </w:rPr>
        <w:t>................... 4</w:t>
      </w:r>
      <w:r>
        <w:rPr>
          <w:szCs w:val="21"/>
        </w:rPr>
        <w:t>39</w:t>
      </w:r>
      <w:r w:rsidRPr="00F418D7">
        <w:rPr>
          <w:szCs w:val="21"/>
        </w:rPr>
        <w:br/>
        <w:t>9.15 A EC 103/2019 e a aposentadoria do segurado rural .....</w:t>
      </w:r>
      <w:r w:rsidR="007820B1">
        <w:rPr>
          <w:szCs w:val="21"/>
        </w:rPr>
        <w:t>.......................</w:t>
      </w:r>
      <w:r w:rsidRPr="00F418D7">
        <w:rPr>
          <w:szCs w:val="21"/>
        </w:rPr>
        <w:t>....... 44</w:t>
      </w:r>
      <w:r>
        <w:rPr>
          <w:szCs w:val="21"/>
        </w:rPr>
        <w:t>1</w:t>
      </w:r>
      <w:r w:rsidRPr="00F418D7">
        <w:rPr>
          <w:szCs w:val="21"/>
        </w:rPr>
        <w:br/>
        <w:t>9.16 Período de graça do segurado especial ......................</w:t>
      </w:r>
      <w:r w:rsidR="007820B1">
        <w:rPr>
          <w:szCs w:val="21"/>
        </w:rPr>
        <w:t>..........................</w:t>
      </w:r>
      <w:r w:rsidRPr="00F418D7">
        <w:rPr>
          <w:szCs w:val="21"/>
        </w:rPr>
        <w:t>.......... 4</w:t>
      </w:r>
      <w:r>
        <w:rPr>
          <w:szCs w:val="21"/>
        </w:rPr>
        <w:t>42</w:t>
      </w:r>
      <w:r w:rsidRPr="00F418D7">
        <w:rPr>
          <w:szCs w:val="21"/>
        </w:rPr>
        <w:br/>
        <w:t>9.17 Regime contributivo do segurado especial ..................</w:t>
      </w:r>
      <w:r w:rsidR="007820B1">
        <w:rPr>
          <w:szCs w:val="21"/>
        </w:rPr>
        <w:t>.......................</w:t>
      </w:r>
      <w:r w:rsidRPr="00F418D7">
        <w:rPr>
          <w:szCs w:val="21"/>
        </w:rPr>
        <w:t>.......... 4</w:t>
      </w:r>
      <w:r>
        <w:rPr>
          <w:szCs w:val="21"/>
        </w:rPr>
        <w:t>43</w:t>
      </w:r>
      <w:r w:rsidRPr="00F418D7">
        <w:rPr>
          <w:szCs w:val="21"/>
        </w:rPr>
        <w:br/>
        <w:t>9.18 Documentos do cônjuge e do grupo familiar como prova ...</w:t>
      </w:r>
      <w:r w:rsidR="007820B1">
        <w:rPr>
          <w:szCs w:val="21"/>
        </w:rPr>
        <w:t>......................</w:t>
      </w:r>
      <w:r w:rsidRPr="00F418D7">
        <w:rPr>
          <w:szCs w:val="21"/>
        </w:rPr>
        <w:t>.. 4</w:t>
      </w:r>
      <w:r>
        <w:rPr>
          <w:szCs w:val="21"/>
        </w:rPr>
        <w:t>4</w:t>
      </w:r>
      <w:r w:rsidRPr="00F418D7">
        <w:rPr>
          <w:szCs w:val="21"/>
        </w:rPr>
        <w:t>5</w:t>
      </w:r>
      <w:r w:rsidRPr="00F418D7">
        <w:rPr>
          <w:szCs w:val="21"/>
        </w:rPr>
        <w:br/>
        <w:t>9.19 Autodeclaração e DAP: evolução do regime documental ..</w:t>
      </w:r>
      <w:r w:rsidR="007820B1">
        <w:rPr>
          <w:szCs w:val="21"/>
        </w:rPr>
        <w:t>......................</w:t>
      </w:r>
      <w:r w:rsidRPr="00F418D7">
        <w:rPr>
          <w:szCs w:val="21"/>
        </w:rPr>
        <w:t>... 4</w:t>
      </w:r>
      <w:r>
        <w:rPr>
          <w:szCs w:val="21"/>
        </w:rPr>
        <w:t>4</w:t>
      </w:r>
      <w:r w:rsidRPr="00F418D7">
        <w:rPr>
          <w:szCs w:val="21"/>
        </w:rPr>
        <w:t>6</w:t>
      </w:r>
      <w:r w:rsidRPr="00F418D7">
        <w:rPr>
          <w:szCs w:val="21"/>
        </w:rPr>
        <w:br/>
        <w:t>9.20 Jurisprudência consolidada: Temas repetitivos e Súmulas .</w:t>
      </w:r>
      <w:r w:rsidR="007820B1">
        <w:rPr>
          <w:szCs w:val="21"/>
        </w:rPr>
        <w:t>......................</w:t>
      </w:r>
      <w:r w:rsidRPr="00F418D7">
        <w:rPr>
          <w:szCs w:val="21"/>
        </w:rPr>
        <w:t>... 4</w:t>
      </w:r>
      <w:r>
        <w:rPr>
          <w:szCs w:val="21"/>
        </w:rPr>
        <w:t>4</w:t>
      </w:r>
      <w:r w:rsidRPr="00F418D7">
        <w:rPr>
          <w:szCs w:val="21"/>
        </w:rPr>
        <w:t>7</w:t>
      </w:r>
      <w:r w:rsidRPr="00F418D7">
        <w:rPr>
          <w:szCs w:val="21"/>
        </w:rPr>
        <w:br/>
        <w:t>9.21 Data de início do benefício (DIB) ..................................</w:t>
      </w:r>
      <w:r w:rsidR="007820B1">
        <w:rPr>
          <w:szCs w:val="21"/>
        </w:rPr>
        <w:t>.......................</w:t>
      </w:r>
      <w:r w:rsidRPr="00F418D7">
        <w:rPr>
          <w:szCs w:val="21"/>
        </w:rPr>
        <w:t>........ 4</w:t>
      </w:r>
      <w:r>
        <w:rPr>
          <w:szCs w:val="21"/>
        </w:rPr>
        <w:t>4</w:t>
      </w:r>
      <w:r w:rsidRPr="00F418D7">
        <w:rPr>
          <w:szCs w:val="21"/>
        </w:rPr>
        <w:t>9</w:t>
      </w:r>
      <w:r w:rsidRPr="00F418D7">
        <w:rPr>
          <w:szCs w:val="21"/>
        </w:rPr>
        <w:br/>
        <w:t>9.22 Cálculo da renda mensal ................................................</w:t>
      </w:r>
      <w:r w:rsidR="007820B1">
        <w:rPr>
          <w:szCs w:val="21"/>
        </w:rPr>
        <w:t>.......................</w:t>
      </w:r>
      <w:r w:rsidRPr="00F418D7">
        <w:rPr>
          <w:szCs w:val="21"/>
        </w:rPr>
        <w:t>........ 4</w:t>
      </w:r>
      <w:r>
        <w:rPr>
          <w:szCs w:val="21"/>
        </w:rPr>
        <w:t>50</w:t>
      </w:r>
      <w:r w:rsidRPr="00F418D7">
        <w:rPr>
          <w:szCs w:val="21"/>
        </w:rPr>
        <w:br/>
        <w:t>9.23 Questões procedimentais nos JEFs .............................</w:t>
      </w:r>
      <w:r w:rsidR="007820B1">
        <w:rPr>
          <w:szCs w:val="21"/>
        </w:rPr>
        <w:t>.......................</w:t>
      </w:r>
      <w:r w:rsidRPr="00F418D7">
        <w:rPr>
          <w:szCs w:val="21"/>
        </w:rPr>
        <w:t>........... 4</w:t>
      </w:r>
      <w:r>
        <w:rPr>
          <w:szCs w:val="21"/>
        </w:rPr>
        <w:t>51</w:t>
      </w:r>
      <w:r w:rsidRPr="00F418D7">
        <w:rPr>
          <w:szCs w:val="21"/>
        </w:rPr>
        <w:br/>
        <w:t>9.24 Indígenas, quilombolas e comunidades tradicionais .....</w:t>
      </w:r>
      <w:r w:rsidR="007820B1">
        <w:rPr>
          <w:szCs w:val="21"/>
        </w:rPr>
        <w:t>.......................</w:t>
      </w:r>
      <w:r w:rsidRPr="00F418D7">
        <w:rPr>
          <w:szCs w:val="21"/>
        </w:rPr>
        <w:t>....... 4</w:t>
      </w:r>
      <w:r>
        <w:rPr>
          <w:szCs w:val="21"/>
        </w:rPr>
        <w:t>54</w:t>
      </w:r>
      <w:r w:rsidRPr="00F418D7">
        <w:rPr>
          <w:szCs w:val="21"/>
        </w:rPr>
        <w:br/>
        <w:t>9.25 Meação, parceria e comodato rural ..........................</w:t>
      </w:r>
      <w:r w:rsidR="007820B1">
        <w:rPr>
          <w:szCs w:val="21"/>
        </w:rPr>
        <w:t>......................</w:t>
      </w:r>
      <w:r w:rsidRPr="00F418D7">
        <w:rPr>
          <w:szCs w:val="21"/>
        </w:rPr>
        <w:t>............... 4</w:t>
      </w:r>
      <w:r>
        <w:rPr>
          <w:szCs w:val="21"/>
        </w:rPr>
        <w:t>55</w:t>
      </w:r>
      <w:r w:rsidRPr="00F418D7">
        <w:rPr>
          <w:szCs w:val="21"/>
        </w:rPr>
        <w:br/>
        <w:t>9.26 Pescador artesanal como segurado especial ............</w:t>
      </w:r>
      <w:r w:rsidR="007820B1">
        <w:rPr>
          <w:szCs w:val="21"/>
        </w:rPr>
        <w:t>.......................</w:t>
      </w:r>
      <w:r w:rsidRPr="00F418D7">
        <w:rPr>
          <w:szCs w:val="21"/>
        </w:rPr>
        <w:t>............... 4</w:t>
      </w:r>
      <w:r>
        <w:rPr>
          <w:szCs w:val="21"/>
        </w:rPr>
        <w:t>56</w:t>
      </w:r>
      <w:r w:rsidRPr="00F418D7">
        <w:rPr>
          <w:szCs w:val="21"/>
        </w:rPr>
        <w:br/>
        <w:t>9.27 A regra de transição do art. 143 da Lei n. 8.213/91 ..</w:t>
      </w:r>
      <w:r w:rsidR="007820B1">
        <w:rPr>
          <w:szCs w:val="21"/>
        </w:rPr>
        <w:t>.........................</w:t>
      </w:r>
      <w:r w:rsidRPr="00F418D7">
        <w:rPr>
          <w:szCs w:val="21"/>
        </w:rPr>
        <w:t>........... 4</w:t>
      </w:r>
      <w:r>
        <w:rPr>
          <w:szCs w:val="21"/>
        </w:rPr>
        <w:t>58</w:t>
      </w:r>
      <w:r w:rsidRPr="00F418D7">
        <w:rPr>
          <w:szCs w:val="21"/>
        </w:rPr>
        <w:br/>
        <w:t>9.28 Fraudes e litigância predatória nas ações rurais ............</w:t>
      </w:r>
      <w:r w:rsidR="007820B1">
        <w:rPr>
          <w:szCs w:val="21"/>
        </w:rPr>
        <w:t>..........................</w:t>
      </w:r>
      <w:r w:rsidRPr="00F418D7">
        <w:rPr>
          <w:szCs w:val="21"/>
        </w:rPr>
        <w:t>....... 4</w:t>
      </w:r>
      <w:r>
        <w:rPr>
          <w:szCs w:val="21"/>
        </w:rPr>
        <w:t>59</w:t>
      </w:r>
      <w:r w:rsidRPr="00F418D7">
        <w:rPr>
          <w:szCs w:val="21"/>
        </w:rPr>
        <w:br/>
        <w:t>9.29 Consolidação das posições adotadas .........</w:t>
      </w:r>
      <w:r w:rsidR="007820B1">
        <w:rPr>
          <w:szCs w:val="21"/>
        </w:rPr>
        <w:t>........................</w:t>
      </w:r>
      <w:r w:rsidRPr="00F418D7">
        <w:rPr>
          <w:szCs w:val="21"/>
        </w:rPr>
        <w:t>............................ 4</w:t>
      </w:r>
      <w:r>
        <w:rPr>
          <w:szCs w:val="21"/>
        </w:rPr>
        <w:t>60</w:t>
      </w:r>
      <w:r w:rsidRPr="00E56701">
        <w:rPr>
          <w:szCs w:val="21"/>
        </w:rPr>
        <w:br/>
        <w:t xml:space="preserve">Capítulo 10 — Aposentadoria Programada e Aposentadoria por Idade Urbana ................................................................................................................................ </w:t>
      </w:r>
      <w:r>
        <w:rPr>
          <w:szCs w:val="21"/>
        </w:rPr>
        <w:t>464</w:t>
      </w:r>
    </w:p>
    <w:p w14:paraId="7F398638" w14:textId="3852BFAB" w:rsidR="003A005E" w:rsidRPr="004A5D05" w:rsidRDefault="003A005E" w:rsidP="007820B1">
      <w:pPr>
        <w:keepNext/>
        <w:pBdr>
          <w:bottom w:val="single" w:sz="8" w:space="4" w:color="B89B5E"/>
        </w:pBdr>
        <w:spacing w:after="0" w:line="240" w:lineRule="auto"/>
        <w:ind w:right="-171"/>
        <w:rPr>
          <w:szCs w:val="21"/>
        </w:rPr>
      </w:pPr>
      <w:r w:rsidRPr="004A5D05">
        <w:rPr>
          <w:szCs w:val="21"/>
        </w:rPr>
        <w:t>10.1 Introdução: da aposentadoria por idade à aposentadoria programada ....................</w:t>
      </w:r>
      <w:r w:rsidR="007820B1">
        <w:rPr>
          <w:szCs w:val="21"/>
        </w:rPr>
        <w:t>.....................................................................................................</w:t>
      </w:r>
      <w:r w:rsidRPr="004A5D05">
        <w:rPr>
          <w:szCs w:val="21"/>
        </w:rPr>
        <w:t>....... 464</w:t>
      </w:r>
      <w:r w:rsidRPr="004A5D05">
        <w:rPr>
          <w:szCs w:val="21"/>
        </w:rPr>
        <w:br/>
        <w:t>10.2 Evolução legislativa: da LOPS à EC 103/2019 ............</w:t>
      </w:r>
      <w:r w:rsidR="007820B1">
        <w:rPr>
          <w:szCs w:val="21"/>
        </w:rPr>
        <w:t>..................</w:t>
      </w:r>
      <w:r w:rsidRPr="004A5D05">
        <w:rPr>
          <w:szCs w:val="21"/>
        </w:rPr>
        <w:t>............... 466</w:t>
      </w:r>
      <w:r w:rsidRPr="004A5D05">
        <w:rPr>
          <w:szCs w:val="21"/>
        </w:rPr>
        <w:br/>
        <w:t>10.2.1 A aposentadoria por velhice na LOPS (1960-1991) ......</w:t>
      </w:r>
      <w:r w:rsidR="007820B1">
        <w:rPr>
          <w:szCs w:val="21"/>
        </w:rPr>
        <w:t>.......</w:t>
      </w:r>
      <w:r w:rsidRPr="004A5D05">
        <w:rPr>
          <w:szCs w:val="21"/>
        </w:rPr>
        <w:t>..................... 466</w:t>
      </w:r>
      <w:r w:rsidRPr="004A5D05">
        <w:rPr>
          <w:szCs w:val="21"/>
        </w:rPr>
        <w:br/>
        <w:t>10.2.2 A Constituição de 1988 e a aposentadoria por idade ...........</w:t>
      </w:r>
      <w:r w:rsidR="007820B1">
        <w:rPr>
          <w:szCs w:val="21"/>
        </w:rPr>
        <w:t>.....</w:t>
      </w:r>
      <w:r w:rsidRPr="004A5D05">
        <w:rPr>
          <w:szCs w:val="21"/>
        </w:rPr>
        <w:t>................ 46</w:t>
      </w:r>
      <w:r>
        <w:rPr>
          <w:szCs w:val="21"/>
        </w:rPr>
        <w:t>6</w:t>
      </w:r>
      <w:r w:rsidRPr="004A5D05">
        <w:rPr>
          <w:szCs w:val="21"/>
        </w:rPr>
        <w:br/>
        <w:t>10.2.3 As reformas intermediárias (EC 20/1998 e Lei 9.876/1999) .................... 46</w:t>
      </w:r>
      <w:r>
        <w:rPr>
          <w:szCs w:val="21"/>
        </w:rPr>
        <w:t>7</w:t>
      </w:r>
      <w:r w:rsidRPr="004A5D05">
        <w:rPr>
          <w:szCs w:val="21"/>
        </w:rPr>
        <w:br/>
        <w:t>10.2.4 A EC 103/2019 e a criação da aposentadoria programada ......................</w:t>
      </w:r>
      <w:r w:rsidR="007820B1">
        <w:rPr>
          <w:szCs w:val="21"/>
        </w:rPr>
        <w:t>.</w:t>
      </w:r>
      <w:r w:rsidRPr="004A5D05">
        <w:rPr>
          <w:szCs w:val="21"/>
        </w:rPr>
        <w:t>. 46</w:t>
      </w:r>
      <w:r>
        <w:rPr>
          <w:szCs w:val="21"/>
        </w:rPr>
        <w:t>8</w:t>
      </w:r>
    </w:p>
    <w:p w14:paraId="5CDF0E33" w14:textId="6B988B91" w:rsidR="003A005E" w:rsidRPr="004A5D05" w:rsidRDefault="003A005E" w:rsidP="007820B1">
      <w:pPr>
        <w:keepNext/>
        <w:pBdr>
          <w:bottom w:val="single" w:sz="8" w:space="4" w:color="B89B5E"/>
        </w:pBdr>
        <w:spacing w:after="0" w:line="240" w:lineRule="auto"/>
        <w:ind w:right="-171"/>
        <w:rPr>
          <w:szCs w:val="21"/>
        </w:rPr>
      </w:pPr>
      <w:r w:rsidRPr="004A5D05">
        <w:rPr>
          <w:szCs w:val="21"/>
        </w:rPr>
        <w:t>10.3 Regra permanente: a aposentadoria programada (art. 201, § 7º, I, CF) ....................</w:t>
      </w:r>
      <w:r w:rsidR="007820B1">
        <w:rPr>
          <w:szCs w:val="21"/>
        </w:rPr>
        <w:t>.....................................................................................................</w:t>
      </w:r>
      <w:r w:rsidRPr="004A5D05">
        <w:rPr>
          <w:szCs w:val="21"/>
        </w:rPr>
        <w:t>....... 4</w:t>
      </w:r>
      <w:r>
        <w:rPr>
          <w:szCs w:val="21"/>
        </w:rPr>
        <w:t>69</w:t>
      </w:r>
      <w:r w:rsidRPr="004A5D05">
        <w:rPr>
          <w:szCs w:val="21"/>
        </w:rPr>
        <w:br/>
        <w:t>10.3.1 Requisitos ........</w:t>
      </w:r>
      <w:r w:rsidR="007820B1">
        <w:rPr>
          <w:szCs w:val="21"/>
        </w:rPr>
        <w:t>.......................................................................</w:t>
      </w:r>
      <w:r w:rsidRPr="004A5D05">
        <w:rPr>
          <w:szCs w:val="21"/>
        </w:rPr>
        <w:t>................... 4</w:t>
      </w:r>
      <w:r>
        <w:rPr>
          <w:szCs w:val="21"/>
        </w:rPr>
        <w:t>69</w:t>
      </w:r>
      <w:r w:rsidRPr="004A5D05">
        <w:rPr>
          <w:szCs w:val="21"/>
        </w:rPr>
        <w:br/>
        <w:t>10.3.2 Carência ....</w:t>
      </w:r>
      <w:r w:rsidR="007820B1">
        <w:rPr>
          <w:szCs w:val="21"/>
        </w:rPr>
        <w:t>..........................................................................</w:t>
      </w:r>
      <w:r w:rsidRPr="004A5D05">
        <w:rPr>
          <w:szCs w:val="21"/>
        </w:rPr>
        <w:t>....................... 47</w:t>
      </w:r>
      <w:r>
        <w:rPr>
          <w:szCs w:val="21"/>
        </w:rPr>
        <w:t>0</w:t>
      </w:r>
      <w:r w:rsidRPr="004A5D05">
        <w:rPr>
          <w:szCs w:val="21"/>
        </w:rPr>
        <w:br/>
        <w:t>10.3.3 Cálculo do benefício na regra permanente ...........</w:t>
      </w:r>
      <w:r w:rsidR="007820B1">
        <w:rPr>
          <w:szCs w:val="21"/>
        </w:rPr>
        <w:t>.....................</w:t>
      </w:r>
      <w:r w:rsidRPr="004A5D05">
        <w:rPr>
          <w:szCs w:val="21"/>
        </w:rPr>
        <w:t>................ 47</w:t>
      </w:r>
      <w:r>
        <w:rPr>
          <w:szCs w:val="21"/>
        </w:rPr>
        <w:t>1</w:t>
      </w:r>
      <w:r w:rsidRPr="004A5D05">
        <w:rPr>
          <w:szCs w:val="21"/>
        </w:rPr>
        <w:br/>
        <w:t>10.3.4 O teto e o piso do benefício ...................</w:t>
      </w:r>
      <w:r w:rsidR="007820B1">
        <w:rPr>
          <w:szCs w:val="21"/>
        </w:rPr>
        <w:t>.............................................</w:t>
      </w:r>
      <w:r w:rsidRPr="004A5D05">
        <w:rPr>
          <w:szCs w:val="21"/>
        </w:rPr>
        <w:t>........ 47</w:t>
      </w:r>
      <w:r>
        <w:rPr>
          <w:szCs w:val="21"/>
        </w:rPr>
        <w:t>2</w:t>
      </w:r>
    </w:p>
    <w:p w14:paraId="74309E1B" w14:textId="44720D4C" w:rsidR="003A005E" w:rsidRPr="004A5D05" w:rsidRDefault="003A005E" w:rsidP="007820B1">
      <w:pPr>
        <w:keepNext/>
        <w:pBdr>
          <w:bottom w:val="single" w:sz="8" w:space="4" w:color="B89B5E"/>
        </w:pBdr>
        <w:spacing w:after="0" w:line="240" w:lineRule="auto"/>
        <w:ind w:right="-171"/>
        <w:rPr>
          <w:szCs w:val="21"/>
        </w:rPr>
      </w:pPr>
      <w:r w:rsidRPr="004A5D05">
        <w:rPr>
          <w:szCs w:val="21"/>
        </w:rPr>
        <w:t>10.4 Regra de transição: aposentadoria por idade (art. 18, EC 103/2019) .....................</w:t>
      </w:r>
      <w:r w:rsidR="007820B1">
        <w:rPr>
          <w:szCs w:val="21"/>
        </w:rPr>
        <w:t>.....................................................................................................</w:t>
      </w:r>
      <w:r w:rsidRPr="004A5D05">
        <w:rPr>
          <w:szCs w:val="21"/>
        </w:rPr>
        <w:t>...... 47</w:t>
      </w:r>
      <w:r>
        <w:rPr>
          <w:szCs w:val="21"/>
        </w:rPr>
        <w:t>3</w:t>
      </w:r>
      <w:r w:rsidRPr="004A5D05">
        <w:rPr>
          <w:szCs w:val="21"/>
        </w:rPr>
        <w:br/>
        <w:t>10.4.1 Âmbito de aplicação ......</w:t>
      </w:r>
      <w:r w:rsidR="007820B1">
        <w:rPr>
          <w:szCs w:val="21"/>
        </w:rPr>
        <w:t>.......................................................</w:t>
      </w:r>
      <w:r w:rsidRPr="004A5D05">
        <w:rPr>
          <w:szCs w:val="21"/>
        </w:rPr>
        <w:t>..................... 47</w:t>
      </w:r>
      <w:r>
        <w:rPr>
          <w:szCs w:val="21"/>
        </w:rPr>
        <w:t>3</w:t>
      </w:r>
      <w:r w:rsidRPr="004A5D05">
        <w:rPr>
          <w:szCs w:val="21"/>
        </w:rPr>
        <w:br/>
        <w:t>10.4.2 Requisitos .....</w:t>
      </w:r>
      <w:r w:rsidR="007820B1">
        <w:rPr>
          <w:szCs w:val="21"/>
        </w:rPr>
        <w:t>.......................................................................</w:t>
      </w:r>
      <w:r w:rsidRPr="004A5D05">
        <w:rPr>
          <w:szCs w:val="21"/>
        </w:rPr>
        <w:t>...................... 47</w:t>
      </w:r>
      <w:r>
        <w:rPr>
          <w:szCs w:val="21"/>
        </w:rPr>
        <w:t>4</w:t>
      </w:r>
      <w:r w:rsidRPr="004A5D05">
        <w:rPr>
          <w:szCs w:val="21"/>
        </w:rPr>
        <w:br/>
      </w:r>
      <w:r w:rsidRPr="004A5D05">
        <w:rPr>
          <w:szCs w:val="21"/>
        </w:rPr>
        <w:lastRenderedPageBreak/>
        <w:t>10.4.3 Cálculo na regra de transição do art. 18 ...........</w:t>
      </w:r>
      <w:r w:rsidR="007820B1">
        <w:rPr>
          <w:szCs w:val="21"/>
        </w:rPr>
        <w:t>..........................</w:t>
      </w:r>
      <w:r w:rsidRPr="004A5D05">
        <w:rPr>
          <w:szCs w:val="21"/>
        </w:rPr>
        <w:t>................ 47</w:t>
      </w:r>
      <w:r>
        <w:rPr>
          <w:szCs w:val="21"/>
        </w:rPr>
        <w:t>5</w:t>
      </w:r>
      <w:r w:rsidRPr="004A5D05">
        <w:rPr>
          <w:szCs w:val="21"/>
        </w:rPr>
        <w:br/>
        <w:t>10.4.4 Comparação com as demais regras de transição ...............</w:t>
      </w:r>
      <w:r w:rsidR="00676589">
        <w:rPr>
          <w:szCs w:val="21"/>
        </w:rPr>
        <w:t>.............</w:t>
      </w:r>
      <w:r w:rsidRPr="004A5D05">
        <w:rPr>
          <w:szCs w:val="21"/>
        </w:rPr>
        <w:t>............ 47</w:t>
      </w:r>
      <w:r>
        <w:rPr>
          <w:szCs w:val="21"/>
        </w:rPr>
        <w:t>6</w:t>
      </w:r>
    </w:p>
    <w:p w14:paraId="082E5B03" w14:textId="115563D1" w:rsidR="003A005E" w:rsidRPr="004A5D05" w:rsidRDefault="003A005E" w:rsidP="007820B1">
      <w:pPr>
        <w:keepNext/>
        <w:pBdr>
          <w:bottom w:val="single" w:sz="8" w:space="4" w:color="B89B5E"/>
        </w:pBdr>
        <w:spacing w:after="0" w:line="240" w:lineRule="auto"/>
        <w:ind w:right="-171"/>
        <w:rPr>
          <w:szCs w:val="21"/>
        </w:rPr>
      </w:pPr>
      <w:r w:rsidRPr="004A5D05">
        <w:rPr>
          <w:szCs w:val="21"/>
        </w:rPr>
        <w:t>10.5 Direito adquirido à aposentadoria por idade pré-EC 103/2019 ....................</w:t>
      </w:r>
      <w:r w:rsidR="00676589">
        <w:rPr>
          <w:szCs w:val="21"/>
        </w:rPr>
        <w:t>.....................................................................................................</w:t>
      </w:r>
      <w:r w:rsidRPr="004A5D05">
        <w:rPr>
          <w:szCs w:val="21"/>
        </w:rPr>
        <w:t>....... 4</w:t>
      </w:r>
      <w:r>
        <w:rPr>
          <w:szCs w:val="21"/>
        </w:rPr>
        <w:t>78</w:t>
      </w:r>
      <w:r w:rsidRPr="004A5D05">
        <w:rPr>
          <w:szCs w:val="21"/>
        </w:rPr>
        <w:br/>
        <w:t>10.5.1 Fundamento constitucional .............</w:t>
      </w:r>
      <w:r w:rsidR="00676589">
        <w:rPr>
          <w:szCs w:val="21"/>
        </w:rPr>
        <w:t>...........................................</w:t>
      </w:r>
      <w:r w:rsidRPr="004A5D05">
        <w:rPr>
          <w:szCs w:val="21"/>
        </w:rPr>
        <w:t>.............. 4</w:t>
      </w:r>
      <w:r>
        <w:rPr>
          <w:szCs w:val="21"/>
        </w:rPr>
        <w:t>78</w:t>
      </w:r>
      <w:r w:rsidRPr="004A5D05">
        <w:rPr>
          <w:szCs w:val="21"/>
        </w:rPr>
        <w:br/>
        <w:t>10.5.2 Requisitos na regra antiga ................</w:t>
      </w:r>
      <w:r w:rsidR="00676589">
        <w:rPr>
          <w:szCs w:val="21"/>
        </w:rPr>
        <w:t>...............................................</w:t>
      </w:r>
      <w:r w:rsidRPr="004A5D05">
        <w:rPr>
          <w:szCs w:val="21"/>
        </w:rPr>
        <w:t>........... 4</w:t>
      </w:r>
      <w:r>
        <w:rPr>
          <w:szCs w:val="21"/>
        </w:rPr>
        <w:t>79</w:t>
      </w:r>
      <w:r w:rsidRPr="004A5D05">
        <w:rPr>
          <w:szCs w:val="21"/>
        </w:rPr>
        <w:br/>
        <w:t>10.5.3 Cálculo na regra antiga ..................</w:t>
      </w:r>
      <w:r w:rsidR="00676589">
        <w:rPr>
          <w:szCs w:val="21"/>
        </w:rPr>
        <w:t>....................................................</w:t>
      </w:r>
      <w:r w:rsidRPr="004A5D05">
        <w:rPr>
          <w:szCs w:val="21"/>
        </w:rPr>
        <w:t>......... 4</w:t>
      </w:r>
      <w:r>
        <w:rPr>
          <w:szCs w:val="21"/>
        </w:rPr>
        <w:t>79</w:t>
      </w:r>
      <w:r w:rsidRPr="004A5D05">
        <w:rPr>
          <w:szCs w:val="21"/>
        </w:rPr>
        <w:br/>
        <w:t>10.5.4 Tabela de transição de carência (art. 142, Lei 8.213/91) ........................... 48</w:t>
      </w:r>
      <w:r>
        <w:rPr>
          <w:szCs w:val="21"/>
        </w:rPr>
        <w:t>0</w:t>
      </w:r>
    </w:p>
    <w:p w14:paraId="75663676" w14:textId="5D35199B" w:rsidR="003A005E" w:rsidRPr="004A5D05" w:rsidRDefault="003A005E" w:rsidP="007820B1">
      <w:pPr>
        <w:keepNext/>
        <w:pBdr>
          <w:bottom w:val="single" w:sz="8" w:space="4" w:color="B89B5E"/>
        </w:pBdr>
        <w:spacing w:after="0" w:line="240" w:lineRule="auto"/>
        <w:ind w:right="-171"/>
        <w:rPr>
          <w:szCs w:val="21"/>
        </w:rPr>
      </w:pPr>
      <w:r w:rsidRPr="004A5D05">
        <w:rPr>
          <w:szCs w:val="21"/>
        </w:rPr>
        <w:t>10.6 Carência: contagem e controvérsias na aposentadoria por idade ................</w:t>
      </w:r>
      <w:r w:rsidR="00676589">
        <w:rPr>
          <w:szCs w:val="21"/>
        </w:rPr>
        <w:t>.....................................................................................................</w:t>
      </w:r>
      <w:r w:rsidRPr="004A5D05">
        <w:rPr>
          <w:szCs w:val="21"/>
        </w:rPr>
        <w:t>........... 48</w:t>
      </w:r>
      <w:r>
        <w:rPr>
          <w:szCs w:val="21"/>
        </w:rPr>
        <w:t>1</w:t>
      </w:r>
      <w:r w:rsidRPr="004A5D05">
        <w:rPr>
          <w:szCs w:val="21"/>
        </w:rPr>
        <w:br/>
        <w:t>10.6.1 Carência vs. tempo de contribuição: distinção prática ....................</w:t>
      </w:r>
      <w:r w:rsidR="00676589">
        <w:rPr>
          <w:szCs w:val="21"/>
        </w:rPr>
        <w:t>..</w:t>
      </w:r>
      <w:r w:rsidRPr="004A5D05">
        <w:rPr>
          <w:szCs w:val="21"/>
        </w:rPr>
        <w:t>....... 48</w:t>
      </w:r>
      <w:r>
        <w:rPr>
          <w:szCs w:val="21"/>
        </w:rPr>
        <w:t>1</w:t>
      </w:r>
      <w:r w:rsidRPr="004A5D05">
        <w:rPr>
          <w:szCs w:val="21"/>
        </w:rPr>
        <w:br/>
        <w:t>10.6.2 Início da contagem de carência ...................</w:t>
      </w:r>
      <w:r w:rsidR="00676589">
        <w:rPr>
          <w:szCs w:val="21"/>
        </w:rPr>
        <w:t>.......................................</w:t>
      </w:r>
      <w:r w:rsidRPr="004A5D05">
        <w:rPr>
          <w:szCs w:val="21"/>
        </w:rPr>
        <w:t>........ 48</w:t>
      </w:r>
      <w:r>
        <w:rPr>
          <w:szCs w:val="21"/>
        </w:rPr>
        <w:t>2</w:t>
      </w:r>
      <w:r w:rsidRPr="004A5D05">
        <w:rPr>
          <w:szCs w:val="21"/>
        </w:rPr>
        <w:br/>
        <w:t>10.6.3 Perda e recuperação da qualidade de segurado ...............</w:t>
      </w:r>
      <w:r w:rsidR="00676589">
        <w:rPr>
          <w:szCs w:val="21"/>
        </w:rPr>
        <w:t>...............</w:t>
      </w:r>
      <w:r w:rsidRPr="004A5D05">
        <w:rPr>
          <w:szCs w:val="21"/>
        </w:rPr>
        <w:t>............ 48</w:t>
      </w:r>
      <w:r>
        <w:rPr>
          <w:szCs w:val="21"/>
        </w:rPr>
        <w:t>3</w:t>
      </w:r>
      <w:r w:rsidRPr="004A5D05">
        <w:rPr>
          <w:szCs w:val="21"/>
        </w:rPr>
        <w:br/>
        <w:t>10.6.4 Carência e período de gozo de benefício por incapacidade ....................... 48</w:t>
      </w:r>
      <w:r>
        <w:rPr>
          <w:szCs w:val="21"/>
        </w:rPr>
        <w:t>3</w:t>
      </w:r>
    </w:p>
    <w:p w14:paraId="6D444BCB" w14:textId="01FEDD13" w:rsidR="003A005E" w:rsidRPr="004A5D05" w:rsidRDefault="003A005E" w:rsidP="007820B1">
      <w:pPr>
        <w:keepNext/>
        <w:pBdr>
          <w:bottom w:val="single" w:sz="8" w:space="4" w:color="B89B5E"/>
        </w:pBdr>
        <w:spacing w:after="0" w:line="240" w:lineRule="auto"/>
        <w:ind w:right="-171"/>
        <w:rPr>
          <w:szCs w:val="21"/>
        </w:rPr>
      </w:pPr>
      <w:r w:rsidRPr="004A5D05">
        <w:rPr>
          <w:szCs w:val="21"/>
        </w:rPr>
        <w:t>10.7 O CNIS como instrumento de prova ...........</w:t>
      </w:r>
      <w:r w:rsidR="00676589">
        <w:rPr>
          <w:szCs w:val="21"/>
        </w:rPr>
        <w:t>................................</w:t>
      </w:r>
      <w:r w:rsidRPr="004A5D05">
        <w:rPr>
          <w:szCs w:val="21"/>
        </w:rPr>
        <w:t>................ 4</w:t>
      </w:r>
      <w:r>
        <w:rPr>
          <w:szCs w:val="21"/>
        </w:rPr>
        <w:t>84</w:t>
      </w:r>
      <w:r w:rsidRPr="004A5D05">
        <w:rPr>
          <w:szCs w:val="21"/>
        </w:rPr>
        <w:br/>
        <w:t>10.7.1 O Cadastro Nacional de Informações Sociais ...............</w:t>
      </w:r>
      <w:r w:rsidR="001C5593">
        <w:rPr>
          <w:szCs w:val="21"/>
        </w:rPr>
        <w:t>................</w:t>
      </w:r>
      <w:r w:rsidRPr="004A5D05">
        <w:rPr>
          <w:szCs w:val="21"/>
        </w:rPr>
        <w:t>............ 4</w:t>
      </w:r>
      <w:r>
        <w:rPr>
          <w:szCs w:val="21"/>
        </w:rPr>
        <w:t>84</w:t>
      </w:r>
      <w:r w:rsidRPr="004A5D05">
        <w:rPr>
          <w:szCs w:val="21"/>
        </w:rPr>
        <w:br/>
        <w:t>10.7.2 Inconsistências do CNIS e retificação ....................</w:t>
      </w:r>
      <w:r w:rsidR="001C5593">
        <w:rPr>
          <w:szCs w:val="21"/>
        </w:rPr>
        <w:t>............................</w:t>
      </w:r>
      <w:r w:rsidRPr="004A5D05">
        <w:rPr>
          <w:szCs w:val="21"/>
        </w:rPr>
        <w:t>....... 4</w:t>
      </w:r>
      <w:r>
        <w:rPr>
          <w:szCs w:val="21"/>
        </w:rPr>
        <w:t>85</w:t>
      </w:r>
      <w:r w:rsidRPr="004A5D05">
        <w:rPr>
          <w:szCs w:val="21"/>
        </w:rPr>
        <w:br/>
        <w:t>10.7.3 Prova do tempo de contribuição urbano .................</w:t>
      </w:r>
      <w:r w:rsidR="001C5593">
        <w:rPr>
          <w:szCs w:val="21"/>
        </w:rPr>
        <w:t>.......................</w:t>
      </w:r>
      <w:r w:rsidRPr="004A5D05">
        <w:rPr>
          <w:szCs w:val="21"/>
        </w:rPr>
        <w:t>.......... 4</w:t>
      </w:r>
      <w:r>
        <w:rPr>
          <w:szCs w:val="21"/>
        </w:rPr>
        <w:t>86</w:t>
      </w:r>
    </w:p>
    <w:p w14:paraId="701C9F8F" w14:textId="4DC832AB" w:rsidR="003A005E" w:rsidRPr="004A5D05" w:rsidRDefault="003A005E" w:rsidP="007820B1">
      <w:pPr>
        <w:keepNext/>
        <w:pBdr>
          <w:bottom w:val="single" w:sz="8" w:space="4" w:color="B89B5E"/>
        </w:pBdr>
        <w:spacing w:after="0" w:line="240" w:lineRule="auto"/>
        <w:ind w:right="-171"/>
        <w:rPr>
          <w:szCs w:val="21"/>
        </w:rPr>
      </w:pPr>
      <w:r w:rsidRPr="004A5D05">
        <w:rPr>
          <w:szCs w:val="21"/>
        </w:rPr>
        <w:t>10.8 Data de início do benefício (DIB) e reafirmação da DER ..........</w:t>
      </w:r>
      <w:r w:rsidR="001C5593">
        <w:rPr>
          <w:szCs w:val="21"/>
        </w:rPr>
        <w:t>.</w:t>
      </w:r>
      <w:r w:rsidRPr="004A5D05">
        <w:rPr>
          <w:szCs w:val="21"/>
        </w:rPr>
        <w:t>................. 4</w:t>
      </w:r>
      <w:r>
        <w:rPr>
          <w:szCs w:val="21"/>
        </w:rPr>
        <w:t>87</w:t>
      </w:r>
      <w:r w:rsidRPr="004A5D05">
        <w:rPr>
          <w:szCs w:val="21"/>
        </w:rPr>
        <w:br/>
        <w:t>10.8.1 Regras de fixação da DIB .......................</w:t>
      </w:r>
      <w:r w:rsidR="001C5593">
        <w:rPr>
          <w:szCs w:val="21"/>
        </w:rPr>
        <w:t>................................................</w:t>
      </w:r>
      <w:r w:rsidRPr="004A5D05">
        <w:rPr>
          <w:szCs w:val="21"/>
        </w:rPr>
        <w:t>.... 4</w:t>
      </w:r>
      <w:r>
        <w:rPr>
          <w:szCs w:val="21"/>
        </w:rPr>
        <w:t>87</w:t>
      </w:r>
      <w:r w:rsidRPr="004A5D05">
        <w:rPr>
          <w:szCs w:val="21"/>
        </w:rPr>
        <w:br/>
        <w:t>10.8.2 Reafirmação da DER (Tema 995/STJ) ...............</w:t>
      </w:r>
      <w:r w:rsidR="001C5593">
        <w:rPr>
          <w:szCs w:val="21"/>
        </w:rPr>
        <w:t>.........................</w:t>
      </w:r>
      <w:r w:rsidRPr="004A5D05">
        <w:rPr>
          <w:szCs w:val="21"/>
        </w:rPr>
        <w:t>............ 4</w:t>
      </w:r>
      <w:r>
        <w:rPr>
          <w:szCs w:val="21"/>
        </w:rPr>
        <w:t>88</w:t>
      </w:r>
      <w:r w:rsidRPr="004A5D05">
        <w:rPr>
          <w:szCs w:val="21"/>
        </w:rPr>
        <w:br/>
        <w:t>10.8.3 Limites da reafirmação da DER ................</w:t>
      </w:r>
      <w:r w:rsidR="001C5593">
        <w:rPr>
          <w:szCs w:val="21"/>
        </w:rPr>
        <w:t>......................................</w:t>
      </w:r>
      <w:r w:rsidRPr="004A5D05">
        <w:rPr>
          <w:szCs w:val="21"/>
        </w:rPr>
        <w:t>........... 4</w:t>
      </w:r>
      <w:r>
        <w:rPr>
          <w:szCs w:val="21"/>
        </w:rPr>
        <w:t>89</w:t>
      </w:r>
    </w:p>
    <w:p w14:paraId="152211AF" w14:textId="7739C156" w:rsidR="003A005E" w:rsidRPr="004A5D05" w:rsidRDefault="003A005E" w:rsidP="001C5593">
      <w:pPr>
        <w:keepNext/>
        <w:pBdr>
          <w:bottom w:val="single" w:sz="8" w:space="4" w:color="B89B5E"/>
        </w:pBdr>
        <w:spacing w:after="0" w:line="240" w:lineRule="auto"/>
        <w:ind w:right="-171"/>
        <w:rPr>
          <w:szCs w:val="21"/>
        </w:rPr>
      </w:pPr>
      <w:r w:rsidRPr="004A5D05">
        <w:rPr>
          <w:szCs w:val="21"/>
        </w:rPr>
        <w:t>10.9 Atividades concomitantes e cômputo (Lei 13.846/2019) ........................... 4</w:t>
      </w:r>
      <w:r>
        <w:rPr>
          <w:szCs w:val="21"/>
        </w:rPr>
        <w:t>90</w:t>
      </w:r>
      <w:r w:rsidRPr="004A5D05">
        <w:rPr>
          <w:szCs w:val="21"/>
        </w:rPr>
        <w:br/>
        <w:t>10.9.1 A regra anterior ....................</w:t>
      </w:r>
      <w:r w:rsidR="001C5593">
        <w:rPr>
          <w:szCs w:val="21"/>
        </w:rPr>
        <w:t>...............................................................</w:t>
      </w:r>
      <w:r w:rsidRPr="004A5D05">
        <w:rPr>
          <w:szCs w:val="21"/>
        </w:rPr>
        <w:t>....... 49</w:t>
      </w:r>
      <w:r>
        <w:rPr>
          <w:szCs w:val="21"/>
        </w:rPr>
        <w:t>0</w:t>
      </w:r>
      <w:r w:rsidRPr="004A5D05">
        <w:rPr>
          <w:szCs w:val="21"/>
        </w:rPr>
        <w:br/>
        <w:t>10.9.2 A regra atual (soma dos salários de contribuição) ..........</w:t>
      </w:r>
      <w:r w:rsidR="001C5593">
        <w:rPr>
          <w:szCs w:val="21"/>
        </w:rPr>
        <w:t>...........</w:t>
      </w:r>
      <w:r w:rsidRPr="004A5D05">
        <w:rPr>
          <w:szCs w:val="21"/>
        </w:rPr>
        <w:t>................. 49</w:t>
      </w:r>
      <w:r>
        <w:rPr>
          <w:szCs w:val="21"/>
        </w:rPr>
        <w:t>0</w:t>
      </w:r>
      <w:r w:rsidRPr="004A5D05">
        <w:rPr>
          <w:szCs w:val="21"/>
        </w:rPr>
        <w:br/>
        <w:t>10.9.3 O Tema 1.070/STJ e o marco temporal ..................</w:t>
      </w:r>
      <w:r w:rsidR="001C5593">
        <w:rPr>
          <w:szCs w:val="21"/>
        </w:rPr>
        <w:t>.........................</w:t>
      </w:r>
      <w:r w:rsidRPr="004A5D05">
        <w:rPr>
          <w:szCs w:val="21"/>
        </w:rPr>
        <w:t>......... 49</w:t>
      </w:r>
      <w:r>
        <w:rPr>
          <w:szCs w:val="21"/>
        </w:rPr>
        <w:t>1</w:t>
      </w:r>
    </w:p>
    <w:p w14:paraId="570D2D3B" w14:textId="1A7DD6FB" w:rsidR="003A005E" w:rsidRPr="004A5D05" w:rsidRDefault="003A005E" w:rsidP="001C5593">
      <w:pPr>
        <w:keepNext/>
        <w:pBdr>
          <w:bottom w:val="single" w:sz="8" w:space="4" w:color="B89B5E"/>
        </w:pBdr>
        <w:spacing w:after="0" w:line="240" w:lineRule="auto"/>
        <w:ind w:right="-171"/>
        <w:rPr>
          <w:szCs w:val="21"/>
        </w:rPr>
      </w:pPr>
      <w:r w:rsidRPr="004A5D05">
        <w:rPr>
          <w:szCs w:val="21"/>
        </w:rPr>
        <w:t>10.10 Aposentadoria compulsória (art. 51, Lei 8.213/91) ...............</w:t>
      </w:r>
      <w:r w:rsidR="001C5593">
        <w:rPr>
          <w:szCs w:val="21"/>
        </w:rPr>
        <w:t>.......</w:t>
      </w:r>
      <w:r w:rsidRPr="004A5D05">
        <w:rPr>
          <w:szCs w:val="21"/>
        </w:rPr>
        <w:t xml:space="preserve">............ </w:t>
      </w:r>
      <w:r>
        <w:rPr>
          <w:szCs w:val="21"/>
        </w:rPr>
        <w:t>492</w:t>
      </w:r>
      <w:r w:rsidRPr="004A5D05">
        <w:rPr>
          <w:szCs w:val="21"/>
        </w:rPr>
        <w:br/>
        <w:t>10.10.1 Conceito e fundamento ...................</w:t>
      </w:r>
      <w:r w:rsidR="001C5593">
        <w:rPr>
          <w:szCs w:val="21"/>
        </w:rPr>
        <w:t>...............................................</w:t>
      </w:r>
      <w:r w:rsidRPr="004A5D05">
        <w:rPr>
          <w:szCs w:val="21"/>
        </w:rPr>
        <w:t xml:space="preserve">........ </w:t>
      </w:r>
      <w:r>
        <w:rPr>
          <w:szCs w:val="21"/>
        </w:rPr>
        <w:t>492</w:t>
      </w:r>
      <w:r w:rsidRPr="004A5D05">
        <w:rPr>
          <w:szCs w:val="21"/>
        </w:rPr>
        <w:br/>
        <w:t>10.10.2 Requisitos ...............</w:t>
      </w:r>
      <w:r w:rsidR="001C5593">
        <w:rPr>
          <w:szCs w:val="21"/>
        </w:rPr>
        <w:t>.....................................................................</w:t>
      </w:r>
      <w:r w:rsidRPr="004A5D05">
        <w:rPr>
          <w:szCs w:val="21"/>
        </w:rPr>
        <w:t xml:space="preserve">............ </w:t>
      </w:r>
      <w:r>
        <w:rPr>
          <w:szCs w:val="21"/>
        </w:rPr>
        <w:t>493</w:t>
      </w:r>
      <w:r w:rsidRPr="004A5D05">
        <w:rPr>
          <w:szCs w:val="21"/>
        </w:rPr>
        <w:br/>
        <w:t>10.10.3 Efeitos trabalhistas e previdenciários ..................</w:t>
      </w:r>
      <w:r w:rsidR="001C5593">
        <w:rPr>
          <w:szCs w:val="21"/>
        </w:rPr>
        <w:t>............................</w:t>
      </w:r>
      <w:r w:rsidRPr="004A5D05">
        <w:rPr>
          <w:szCs w:val="21"/>
        </w:rPr>
        <w:t xml:space="preserve">......... </w:t>
      </w:r>
      <w:r>
        <w:rPr>
          <w:szCs w:val="21"/>
        </w:rPr>
        <w:t>494</w:t>
      </w:r>
    </w:p>
    <w:p w14:paraId="2F8D154A" w14:textId="2116E3E7" w:rsidR="003A005E" w:rsidRPr="004A5D05" w:rsidRDefault="003A005E" w:rsidP="001C5593">
      <w:pPr>
        <w:keepNext/>
        <w:pBdr>
          <w:bottom w:val="single" w:sz="8" w:space="4" w:color="B89B5E"/>
        </w:pBdr>
        <w:spacing w:after="0" w:line="240" w:lineRule="auto"/>
        <w:ind w:right="-171"/>
        <w:rPr>
          <w:szCs w:val="21"/>
        </w:rPr>
      </w:pPr>
      <w:r w:rsidRPr="004A5D05">
        <w:rPr>
          <w:szCs w:val="21"/>
        </w:rPr>
        <w:t>10.11 Cálculo do benefício: aspectos específicos ..................</w:t>
      </w:r>
      <w:r w:rsidR="001C5593">
        <w:rPr>
          <w:szCs w:val="21"/>
        </w:rPr>
        <w:t>......................</w:t>
      </w:r>
      <w:r w:rsidRPr="004A5D05">
        <w:rPr>
          <w:szCs w:val="21"/>
        </w:rPr>
        <w:t xml:space="preserve">......... </w:t>
      </w:r>
      <w:r>
        <w:rPr>
          <w:szCs w:val="21"/>
        </w:rPr>
        <w:t>496</w:t>
      </w:r>
      <w:r w:rsidRPr="004A5D05">
        <w:rPr>
          <w:szCs w:val="21"/>
        </w:rPr>
        <w:br/>
        <w:t>10.11.1 Regime anterior .................</w:t>
      </w:r>
      <w:r w:rsidR="001C5593">
        <w:rPr>
          <w:szCs w:val="21"/>
        </w:rPr>
        <w:t>............................................................</w:t>
      </w:r>
      <w:r w:rsidRPr="004A5D05">
        <w:rPr>
          <w:szCs w:val="21"/>
        </w:rPr>
        <w:t xml:space="preserve">.......... </w:t>
      </w:r>
      <w:r>
        <w:rPr>
          <w:szCs w:val="21"/>
        </w:rPr>
        <w:t>496</w:t>
      </w:r>
      <w:r w:rsidRPr="004A5D05">
        <w:rPr>
          <w:szCs w:val="21"/>
        </w:rPr>
        <w:br/>
        <w:t>10.11.2 Regime posterior (EC 103/2019) ......</w:t>
      </w:r>
      <w:r w:rsidR="001C5593">
        <w:rPr>
          <w:szCs w:val="21"/>
        </w:rPr>
        <w:t>................................</w:t>
      </w:r>
      <w:r w:rsidRPr="004A5D05">
        <w:rPr>
          <w:szCs w:val="21"/>
        </w:rPr>
        <w:t xml:space="preserve">..................... </w:t>
      </w:r>
      <w:r>
        <w:rPr>
          <w:szCs w:val="21"/>
        </w:rPr>
        <w:t>496</w:t>
      </w:r>
      <w:r w:rsidRPr="004A5D05">
        <w:rPr>
          <w:szCs w:val="21"/>
        </w:rPr>
        <w:br/>
      </w:r>
      <w:r w:rsidRPr="004A5D05">
        <w:rPr>
          <w:szCs w:val="21"/>
        </w:rPr>
        <w:lastRenderedPageBreak/>
        <w:t>10.11.3 Revisão da vida toda (STF Tema 1.102) .........</w:t>
      </w:r>
      <w:r w:rsidR="001C5593">
        <w:rPr>
          <w:szCs w:val="21"/>
        </w:rPr>
        <w:t>.......................</w:t>
      </w:r>
      <w:r w:rsidRPr="004A5D05">
        <w:rPr>
          <w:szCs w:val="21"/>
        </w:rPr>
        <w:t xml:space="preserve">.................. </w:t>
      </w:r>
      <w:r>
        <w:rPr>
          <w:szCs w:val="21"/>
        </w:rPr>
        <w:t>49</w:t>
      </w:r>
      <w:r w:rsidRPr="004A5D05">
        <w:rPr>
          <w:szCs w:val="21"/>
        </w:rPr>
        <w:t>6</w:t>
      </w:r>
      <w:r w:rsidRPr="004A5D05">
        <w:rPr>
          <w:szCs w:val="21"/>
        </w:rPr>
        <w:br/>
        <w:t xml:space="preserve">10.11.4 Exclusão de salários de contribuição que reduzem a média .................... </w:t>
      </w:r>
      <w:r>
        <w:rPr>
          <w:szCs w:val="21"/>
        </w:rPr>
        <w:t>49</w:t>
      </w:r>
      <w:r w:rsidRPr="004A5D05">
        <w:rPr>
          <w:szCs w:val="21"/>
        </w:rPr>
        <w:t>7</w:t>
      </w:r>
    </w:p>
    <w:p w14:paraId="52767E17" w14:textId="0707EAA1" w:rsidR="003A005E" w:rsidRPr="004A5D05" w:rsidRDefault="003A005E" w:rsidP="001C5593">
      <w:pPr>
        <w:keepNext/>
        <w:pBdr>
          <w:bottom w:val="single" w:sz="8" w:space="4" w:color="B89B5E"/>
        </w:pBdr>
        <w:spacing w:after="0" w:line="240" w:lineRule="auto"/>
        <w:ind w:right="-171"/>
        <w:rPr>
          <w:szCs w:val="21"/>
        </w:rPr>
      </w:pPr>
      <w:r w:rsidRPr="004A5D05">
        <w:rPr>
          <w:szCs w:val="21"/>
        </w:rPr>
        <w:t>10.12 O direito ao benefício mais vantajoso .................</w:t>
      </w:r>
      <w:r w:rsidR="001C5593">
        <w:rPr>
          <w:szCs w:val="21"/>
        </w:rPr>
        <w:t>..............................</w:t>
      </w:r>
      <w:r w:rsidRPr="004A5D05">
        <w:rPr>
          <w:szCs w:val="21"/>
        </w:rPr>
        <w:t xml:space="preserve">.......... </w:t>
      </w:r>
      <w:r>
        <w:rPr>
          <w:szCs w:val="21"/>
        </w:rPr>
        <w:t>498</w:t>
      </w:r>
      <w:r w:rsidRPr="004A5D05">
        <w:rPr>
          <w:szCs w:val="21"/>
        </w:rPr>
        <w:br/>
        <w:t>10.12.1 Fundamento ..........</w:t>
      </w:r>
      <w:r w:rsidR="001C5593">
        <w:rPr>
          <w:szCs w:val="21"/>
        </w:rPr>
        <w:t>.................................................................</w:t>
      </w:r>
      <w:r w:rsidRPr="004A5D05">
        <w:rPr>
          <w:szCs w:val="21"/>
        </w:rPr>
        <w:t xml:space="preserve">................. </w:t>
      </w:r>
      <w:r>
        <w:rPr>
          <w:szCs w:val="21"/>
        </w:rPr>
        <w:t>498</w:t>
      </w:r>
      <w:r w:rsidRPr="004A5D05">
        <w:rPr>
          <w:szCs w:val="21"/>
        </w:rPr>
        <w:br/>
        <w:t>10.12.2 Regras simultaneamente aplicáveis .............</w:t>
      </w:r>
      <w:r w:rsidR="001C5593">
        <w:rPr>
          <w:szCs w:val="21"/>
        </w:rPr>
        <w:t>..............................</w:t>
      </w:r>
      <w:r w:rsidRPr="004A5D05">
        <w:rPr>
          <w:szCs w:val="21"/>
        </w:rPr>
        <w:t xml:space="preserve">.............. </w:t>
      </w:r>
      <w:r>
        <w:rPr>
          <w:szCs w:val="21"/>
        </w:rPr>
        <w:t>499</w:t>
      </w:r>
      <w:r w:rsidRPr="004A5D05">
        <w:rPr>
          <w:szCs w:val="21"/>
        </w:rPr>
        <w:br/>
        <w:t>10.12.3 O papel do advogado na escolha .............</w:t>
      </w:r>
      <w:r w:rsidR="001C5593">
        <w:rPr>
          <w:szCs w:val="21"/>
        </w:rPr>
        <w:t>...................................</w:t>
      </w:r>
      <w:r w:rsidRPr="004A5D05">
        <w:rPr>
          <w:szCs w:val="21"/>
        </w:rPr>
        <w:t>.............. 5</w:t>
      </w:r>
      <w:r>
        <w:rPr>
          <w:szCs w:val="21"/>
        </w:rPr>
        <w:t>01</w:t>
      </w:r>
    </w:p>
    <w:p w14:paraId="26D019C4" w14:textId="7EA5FCF5" w:rsidR="003A005E" w:rsidRPr="004A5D05" w:rsidRDefault="003A005E" w:rsidP="001C5593">
      <w:pPr>
        <w:keepNext/>
        <w:pBdr>
          <w:bottom w:val="single" w:sz="8" w:space="4" w:color="B89B5E"/>
        </w:pBdr>
        <w:spacing w:after="0" w:line="240" w:lineRule="auto"/>
        <w:ind w:right="-171"/>
        <w:rPr>
          <w:szCs w:val="21"/>
        </w:rPr>
      </w:pPr>
      <w:r w:rsidRPr="004A5D05">
        <w:rPr>
          <w:szCs w:val="21"/>
        </w:rPr>
        <w:t>10.13 Aposentadoria por idade e a interface com o segurado rural ...................... 5</w:t>
      </w:r>
      <w:r>
        <w:rPr>
          <w:szCs w:val="21"/>
        </w:rPr>
        <w:t>03</w:t>
      </w:r>
    </w:p>
    <w:p w14:paraId="18792CC7" w14:textId="3C5DD4F8" w:rsidR="003A005E" w:rsidRPr="004A5D05" w:rsidRDefault="003A005E" w:rsidP="001C5593">
      <w:pPr>
        <w:keepNext/>
        <w:pBdr>
          <w:bottom w:val="single" w:sz="8" w:space="4" w:color="B89B5E"/>
        </w:pBdr>
        <w:spacing w:after="0" w:line="240" w:lineRule="auto"/>
        <w:ind w:right="-171"/>
        <w:rPr>
          <w:szCs w:val="21"/>
        </w:rPr>
      </w:pPr>
      <w:r w:rsidRPr="004A5D05">
        <w:rPr>
          <w:szCs w:val="21"/>
        </w:rPr>
        <w:t>10.14 Tutela provisória na aposentadoria por idade ..................</w:t>
      </w:r>
      <w:r w:rsidR="001C5593">
        <w:rPr>
          <w:szCs w:val="21"/>
        </w:rPr>
        <w:t>.................</w:t>
      </w:r>
      <w:r w:rsidRPr="004A5D05">
        <w:rPr>
          <w:szCs w:val="21"/>
        </w:rPr>
        <w:t>......... 5</w:t>
      </w:r>
      <w:r>
        <w:rPr>
          <w:szCs w:val="21"/>
        </w:rPr>
        <w:t>04</w:t>
      </w:r>
      <w:r w:rsidRPr="004A5D05">
        <w:rPr>
          <w:szCs w:val="21"/>
        </w:rPr>
        <w:br/>
        <w:t>10.14.1 Cabimento ................</w:t>
      </w:r>
      <w:r w:rsidR="001C5593">
        <w:rPr>
          <w:szCs w:val="21"/>
        </w:rPr>
        <w:t>....................................................................</w:t>
      </w:r>
      <w:r w:rsidRPr="004A5D05">
        <w:rPr>
          <w:szCs w:val="21"/>
        </w:rPr>
        <w:t>........... 5</w:t>
      </w:r>
      <w:r>
        <w:rPr>
          <w:szCs w:val="21"/>
        </w:rPr>
        <w:t>04</w:t>
      </w:r>
      <w:r w:rsidRPr="004A5D05">
        <w:rPr>
          <w:szCs w:val="21"/>
        </w:rPr>
        <w:br/>
        <w:t>10.14.2 Irreversibilidade e devolução de valores ....................</w:t>
      </w:r>
      <w:r w:rsidR="001C5593">
        <w:rPr>
          <w:szCs w:val="21"/>
        </w:rPr>
        <w:t>.......................</w:t>
      </w:r>
      <w:r w:rsidRPr="004A5D05">
        <w:rPr>
          <w:szCs w:val="21"/>
        </w:rPr>
        <w:t>....... 5</w:t>
      </w:r>
      <w:r>
        <w:rPr>
          <w:szCs w:val="21"/>
        </w:rPr>
        <w:t>06</w:t>
      </w:r>
      <w:r w:rsidRPr="004A5D05">
        <w:rPr>
          <w:szCs w:val="21"/>
        </w:rPr>
        <w:br/>
        <w:t>10.14.3 Tutela de evidência ............</w:t>
      </w:r>
      <w:r w:rsidR="001C5593">
        <w:rPr>
          <w:szCs w:val="21"/>
        </w:rPr>
        <w:t>.......................................................</w:t>
      </w:r>
      <w:r w:rsidRPr="004A5D05">
        <w:rPr>
          <w:szCs w:val="21"/>
        </w:rPr>
        <w:t>............... 5</w:t>
      </w:r>
      <w:r>
        <w:rPr>
          <w:szCs w:val="21"/>
        </w:rPr>
        <w:t>07</w:t>
      </w:r>
    </w:p>
    <w:p w14:paraId="7BB78716" w14:textId="0C6A918B" w:rsidR="003A005E" w:rsidRPr="004A5D05" w:rsidRDefault="003A005E" w:rsidP="001C5593">
      <w:pPr>
        <w:keepNext/>
        <w:pBdr>
          <w:bottom w:val="single" w:sz="8" w:space="4" w:color="B89B5E"/>
        </w:pBdr>
        <w:spacing w:after="0" w:line="240" w:lineRule="auto"/>
        <w:ind w:right="-171"/>
        <w:rPr>
          <w:szCs w:val="21"/>
        </w:rPr>
      </w:pPr>
      <w:r w:rsidRPr="004A5D05">
        <w:rPr>
          <w:szCs w:val="21"/>
        </w:rPr>
        <w:t>10.15 Aspectos processuais nos Juizados Especiais Federais ............</w:t>
      </w:r>
      <w:r w:rsidR="001C5593">
        <w:rPr>
          <w:szCs w:val="21"/>
        </w:rPr>
        <w:t>.....</w:t>
      </w:r>
      <w:r w:rsidRPr="004A5D05">
        <w:rPr>
          <w:szCs w:val="21"/>
        </w:rPr>
        <w:t>............... 5</w:t>
      </w:r>
      <w:r>
        <w:rPr>
          <w:szCs w:val="21"/>
        </w:rPr>
        <w:t>08</w:t>
      </w:r>
      <w:r w:rsidRPr="004A5D05">
        <w:rPr>
          <w:szCs w:val="21"/>
        </w:rPr>
        <w:br/>
        <w:t>10.15.1 Competência ..................</w:t>
      </w:r>
      <w:r w:rsidR="001C5593">
        <w:rPr>
          <w:szCs w:val="21"/>
        </w:rPr>
        <w:t>................................................................</w:t>
      </w:r>
      <w:r w:rsidRPr="004A5D05">
        <w:rPr>
          <w:szCs w:val="21"/>
        </w:rPr>
        <w:t>......... 5</w:t>
      </w:r>
      <w:r>
        <w:rPr>
          <w:szCs w:val="21"/>
        </w:rPr>
        <w:t>08</w:t>
      </w:r>
      <w:r w:rsidRPr="004A5D05">
        <w:rPr>
          <w:szCs w:val="21"/>
        </w:rPr>
        <w:br/>
        <w:t>10.15.2 Documentação essencial ........</w:t>
      </w:r>
      <w:r w:rsidR="001C5593">
        <w:rPr>
          <w:szCs w:val="21"/>
        </w:rPr>
        <w:t>..............................................</w:t>
      </w:r>
      <w:r w:rsidRPr="004A5D05">
        <w:rPr>
          <w:szCs w:val="21"/>
        </w:rPr>
        <w:t>................... 5</w:t>
      </w:r>
      <w:r>
        <w:rPr>
          <w:szCs w:val="21"/>
        </w:rPr>
        <w:t>09</w:t>
      </w:r>
      <w:r w:rsidRPr="004A5D05">
        <w:rPr>
          <w:szCs w:val="21"/>
        </w:rPr>
        <w:br/>
        <w:t>10.15.3 Audiência e instrução ...........</w:t>
      </w:r>
      <w:r w:rsidR="001C5593">
        <w:rPr>
          <w:szCs w:val="21"/>
        </w:rPr>
        <w:t>...................................................</w:t>
      </w:r>
      <w:r w:rsidRPr="004A5D05">
        <w:rPr>
          <w:szCs w:val="21"/>
        </w:rPr>
        <w:t>................ 5</w:t>
      </w:r>
      <w:r>
        <w:rPr>
          <w:szCs w:val="21"/>
        </w:rPr>
        <w:t>10</w:t>
      </w:r>
      <w:r w:rsidRPr="004A5D05">
        <w:rPr>
          <w:szCs w:val="21"/>
        </w:rPr>
        <w:br/>
        <w:t>10.15.4 Sentença e recursos ..............</w:t>
      </w:r>
      <w:r w:rsidR="001C5593">
        <w:rPr>
          <w:szCs w:val="21"/>
        </w:rPr>
        <w:t>.......................................................</w:t>
      </w:r>
      <w:r w:rsidRPr="004A5D05">
        <w:rPr>
          <w:szCs w:val="21"/>
        </w:rPr>
        <w:t>............. 5</w:t>
      </w:r>
      <w:r>
        <w:rPr>
          <w:szCs w:val="21"/>
        </w:rPr>
        <w:t>12</w:t>
      </w:r>
    </w:p>
    <w:p w14:paraId="4AC64B0E" w14:textId="0FC06D63" w:rsidR="003A005E" w:rsidRPr="004A5D05" w:rsidRDefault="003A005E" w:rsidP="001C5593">
      <w:pPr>
        <w:keepNext/>
        <w:pBdr>
          <w:bottom w:val="single" w:sz="8" w:space="4" w:color="B89B5E"/>
        </w:pBdr>
        <w:spacing w:after="0" w:line="240" w:lineRule="auto"/>
        <w:ind w:right="-171"/>
        <w:rPr>
          <w:szCs w:val="21"/>
        </w:rPr>
      </w:pPr>
      <w:r w:rsidRPr="004A5D05">
        <w:rPr>
          <w:szCs w:val="21"/>
        </w:rPr>
        <w:t>10.16 Questões especiais ............</w:t>
      </w:r>
      <w:r w:rsidR="001C5593">
        <w:rPr>
          <w:szCs w:val="21"/>
        </w:rPr>
        <w:t>............................................................</w:t>
      </w:r>
      <w:r w:rsidRPr="004A5D05">
        <w:rPr>
          <w:szCs w:val="21"/>
        </w:rPr>
        <w:t>............... 5</w:t>
      </w:r>
      <w:r>
        <w:rPr>
          <w:szCs w:val="21"/>
        </w:rPr>
        <w:t>14</w:t>
      </w:r>
      <w:r w:rsidRPr="004A5D05">
        <w:rPr>
          <w:szCs w:val="21"/>
        </w:rPr>
        <w:br/>
        <w:t>10.16.1 Aposentadoria por idade do MEI ..........</w:t>
      </w:r>
      <w:r w:rsidR="001C5593">
        <w:rPr>
          <w:szCs w:val="21"/>
        </w:rPr>
        <w:t>.................................</w:t>
      </w:r>
      <w:r w:rsidRPr="004A5D05">
        <w:rPr>
          <w:szCs w:val="21"/>
        </w:rPr>
        <w:t>................. 5</w:t>
      </w:r>
      <w:r>
        <w:rPr>
          <w:szCs w:val="21"/>
        </w:rPr>
        <w:t>14</w:t>
      </w:r>
      <w:r w:rsidRPr="004A5D05">
        <w:rPr>
          <w:szCs w:val="21"/>
        </w:rPr>
        <w:br/>
        <w:t>10.16.2 Aposentadoria por idade do segurado facultativo de baixa renda .............</w:t>
      </w:r>
      <w:r w:rsidR="001C5593">
        <w:rPr>
          <w:szCs w:val="21"/>
        </w:rPr>
        <w:t>.....................................................................................................</w:t>
      </w:r>
      <w:r w:rsidRPr="004A5D05">
        <w:rPr>
          <w:szCs w:val="21"/>
        </w:rPr>
        <w:t>.............. 5</w:t>
      </w:r>
      <w:r>
        <w:rPr>
          <w:szCs w:val="21"/>
        </w:rPr>
        <w:t>15</w:t>
      </w:r>
      <w:r w:rsidRPr="004A5D05">
        <w:rPr>
          <w:szCs w:val="21"/>
        </w:rPr>
        <w:br/>
        <w:t>10.16.3 Aposentadoria por idade e tempo de contribuição no exterior ....................</w:t>
      </w:r>
      <w:r w:rsidR="001C5593">
        <w:rPr>
          <w:szCs w:val="21"/>
        </w:rPr>
        <w:t>.....................................................................................................</w:t>
      </w:r>
      <w:r w:rsidRPr="004A5D05">
        <w:rPr>
          <w:szCs w:val="21"/>
        </w:rPr>
        <w:t>....... 5</w:t>
      </w:r>
      <w:r>
        <w:rPr>
          <w:szCs w:val="21"/>
        </w:rPr>
        <w:t>16</w:t>
      </w:r>
      <w:r w:rsidRPr="004A5D05">
        <w:rPr>
          <w:szCs w:val="21"/>
        </w:rPr>
        <w:br/>
        <w:t>10.16.4 Aposentadoria por idade e pessoa com deficiência ...................</w:t>
      </w:r>
      <w:r w:rsidR="001C5593">
        <w:rPr>
          <w:szCs w:val="21"/>
        </w:rPr>
        <w:t>......</w:t>
      </w:r>
      <w:r w:rsidRPr="004A5D05">
        <w:rPr>
          <w:szCs w:val="21"/>
        </w:rPr>
        <w:t>........ 5</w:t>
      </w:r>
      <w:r>
        <w:rPr>
          <w:szCs w:val="21"/>
        </w:rPr>
        <w:t>18</w:t>
      </w:r>
    </w:p>
    <w:p w14:paraId="343A3FDD" w14:textId="1200E97E" w:rsidR="003A005E" w:rsidRPr="004A5D05" w:rsidRDefault="003A005E" w:rsidP="001C5593">
      <w:pPr>
        <w:keepNext/>
        <w:pBdr>
          <w:bottom w:val="single" w:sz="8" w:space="4" w:color="B89B5E"/>
        </w:pBdr>
        <w:spacing w:after="0" w:line="240" w:lineRule="auto"/>
        <w:ind w:right="-171"/>
        <w:rPr>
          <w:szCs w:val="21"/>
        </w:rPr>
      </w:pPr>
      <w:r w:rsidRPr="004A5D05">
        <w:rPr>
          <w:szCs w:val="21"/>
        </w:rPr>
        <w:t>10.17 Síntese e fluxograma decisório ........</w:t>
      </w:r>
      <w:r w:rsidR="001C5593">
        <w:rPr>
          <w:szCs w:val="21"/>
        </w:rPr>
        <w:t>.........................................</w:t>
      </w:r>
      <w:r w:rsidRPr="004A5D05">
        <w:rPr>
          <w:szCs w:val="21"/>
        </w:rPr>
        <w:t>................... 5</w:t>
      </w:r>
      <w:r>
        <w:rPr>
          <w:szCs w:val="21"/>
        </w:rPr>
        <w:t>19</w:t>
      </w:r>
      <w:r w:rsidRPr="004A5D05">
        <w:rPr>
          <w:szCs w:val="21"/>
        </w:rPr>
        <w:br/>
        <w:t>10.17.1 Quadro-resumo das regras ................</w:t>
      </w:r>
      <w:r w:rsidR="001C5593">
        <w:rPr>
          <w:szCs w:val="21"/>
        </w:rPr>
        <w:t>............................................</w:t>
      </w:r>
      <w:r w:rsidRPr="004A5D05">
        <w:rPr>
          <w:szCs w:val="21"/>
        </w:rPr>
        <w:t>........... 5</w:t>
      </w:r>
      <w:r>
        <w:rPr>
          <w:szCs w:val="21"/>
        </w:rPr>
        <w:t>19</w:t>
      </w:r>
      <w:r w:rsidRPr="004A5D05">
        <w:rPr>
          <w:szCs w:val="21"/>
        </w:rPr>
        <w:br/>
        <w:t>10.17.2 Fluxograma de orientação ao segurado ...............</w:t>
      </w:r>
      <w:r w:rsidR="001C5593">
        <w:rPr>
          <w:szCs w:val="21"/>
        </w:rPr>
        <w:t>........................</w:t>
      </w:r>
      <w:r w:rsidRPr="004A5D05">
        <w:rPr>
          <w:szCs w:val="21"/>
        </w:rPr>
        <w:t>............ 5</w:t>
      </w:r>
      <w:r>
        <w:rPr>
          <w:szCs w:val="21"/>
        </w:rPr>
        <w:t>20</w:t>
      </w:r>
      <w:r w:rsidRPr="004A5D05">
        <w:rPr>
          <w:szCs w:val="21"/>
        </w:rPr>
        <w:br/>
        <w:t>10.17.3 Tabela de atualização das regras de transição (2019-2033) ..................... 5</w:t>
      </w:r>
      <w:r>
        <w:rPr>
          <w:szCs w:val="21"/>
        </w:rPr>
        <w:t>21</w:t>
      </w:r>
      <w:r w:rsidRPr="004A5D05">
        <w:rPr>
          <w:szCs w:val="21"/>
        </w:rPr>
        <w:br/>
        <w:t>10.17.4 Análise comparativa: qual regra escolher? ..................</w:t>
      </w:r>
      <w:r w:rsidR="001C5593">
        <w:rPr>
          <w:szCs w:val="21"/>
        </w:rPr>
        <w:t>....................</w:t>
      </w:r>
      <w:r w:rsidRPr="004A5D05">
        <w:rPr>
          <w:szCs w:val="21"/>
        </w:rPr>
        <w:t>......... 5</w:t>
      </w:r>
      <w:r>
        <w:rPr>
          <w:szCs w:val="21"/>
        </w:rPr>
        <w:t>22</w:t>
      </w:r>
      <w:r w:rsidRPr="004A5D05">
        <w:rPr>
          <w:szCs w:val="21"/>
        </w:rPr>
        <w:br/>
        <w:t>10.17.5 Perspectivas e tendências ..................</w:t>
      </w:r>
      <w:r w:rsidR="007D7D78">
        <w:rPr>
          <w:szCs w:val="21"/>
        </w:rPr>
        <w:t>..............................................</w:t>
      </w:r>
      <w:r w:rsidRPr="004A5D05">
        <w:rPr>
          <w:szCs w:val="21"/>
        </w:rPr>
        <w:t>......... 5</w:t>
      </w:r>
      <w:r>
        <w:rPr>
          <w:szCs w:val="21"/>
        </w:rPr>
        <w:t>23</w:t>
      </w:r>
    </w:p>
    <w:p w14:paraId="39B0CAB7" w14:textId="1F135C1C" w:rsidR="003A005E" w:rsidRDefault="003A005E" w:rsidP="001C5593">
      <w:pPr>
        <w:keepNext/>
        <w:pBdr>
          <w:bottom w:val="single" w:sz="8" w:space="4" w:color="B89B5E"/>
        </w:pBdr>
        <w:spacing w:after="0" w:line="240" w:lineRule="auto"/>
        <w:ind w:right="-171"/>
        <w:rPr>
          <w:szCs w:val="21"/>
        </w:rPr>
      </w:pPr>
      <w:r w:rsidRPr="00E56701">
        <w:rPr>
          <w:szCs w:val="21"/>
        </w:rPr>
        <w:t xml:space="preserve">Capítulo 11 — Aposentadoria por Tempo de Contribuição e Regras de Transição ................................................................................................................................ </w:t>
      </w:r>
      <w:r>
        <w:rPr>
          <w:szCs w:val="21"/>
        </w:rPr>
        <w:t>525</w:t>
      </w:r>
    </w:p>
    <w:p w14:paraId="7A1AA2F1" w14:textId="02DD5A88" w:rsidR="003A005E" w:rsidRPr="00BB5B64" w:rsidRDefault="003A005E" w:rsidP="007D7D78">
      <w:pPr>
        <w:keepNext/>
        <w:pBdr>
          <w:bottom w:val="single" w:sz="8" w:space="4" w:color="B89B5E"/>
        </w:pBdr>
        <w:spacing w:after="0" w:line="240" w:lineRule="auto"/>
        <w:ind w:right="-171"/>
        <w:rPr>
          <w:szCs w:val="21"/>
        </w:rPr>
      </w:pPr>
      <w:r w:rsidRPr="00BB5B64">
        <w:rPr>
          <w:szCs w:val="21"/>
        </w:rPr>
        <w:t>11.1 Introdução e escopo .....................................................</w:t>
      </w:r>
      <w:r w:rsidR="007D7D78">
        <w:rPr>
          <w:szCs w:val="21"/>
        </w:rPr>
        <w:t>..............</w:t>
      </w:r>
      <w:r w:rsidRPr="00BB5B64">
        <w:rPr>
          <w:szCs w:val="21"/>
        </w:rPr>
        <w:t>................... 525</w:t>
      </w:r>
      <w:r w:rsidRPr="00BB5B64">
        <w:rPr>
          <w:szCs w:val="21"/>
        </w:rPr>
        <w:br/>
        <w:t>11.2 Evolução histórica da aposentadoria por tempo de serviço/contribuição ..</w:t>
      </w:r>
      <w:r w:rsidR="007D7D78">
        <w:rPr>
          <w:szCs w:val="21"/>
        </w:rPr>
        <w:t>..............................................................................................................................</w:t>
      </w:r>
      <w:r w:rsidRPr="00BB5B64">
        <w:rPr>
          <w:szCs w:val="21"/>
        </w:rPr>
        <w:t xml:space="preserve"> 52</w:t>
      </w:r>
      <w:r>
        <w:rPr>
          <w:szCs w:val="21"/>
        </w:rPr>
        <w:t>6</w:t>
      </w:r>
      <w:r w:rsidRPr="00BB5B64">
        <w:rPr>
          <w:szCs w:val="21"/>
        </w:rPr>
        <w:br/>
        <w:t>11.2.1 Da aposentadoria por tempo de serviço à aposentadoria por tempo de contribuição ....</w:t>
      </w:r>
      <w:r w:rsidR="007D7D78">
        <w:rPr>
          <w:szCs w:val="21"/>
        </w:rPr>
        <w:t>........................................................................................................</w:t>
      </w:r>
      <w:r w:rsidRPr="00BB5B64">
        <w:rPr>
          <w:szCs w:val="21"/>
        </w:rPr>
        <w:t>.... 52</w:t>
      </w:r>
      <w:r>
        <w:rPr>
          <w:szCs w:val="21"/>
        </w:rPr>
        <w:t>6</w:t>
      </w:r>
      <w:r w:rsidRPr="00BB5B64">
        <w:rPr>
          <w:szCs w:val="21"/>
        </w:rPr>
        <w:br/>
      </w:r>
      <w:r w:rsidRPr="00BB5B64">
        <w:rPr>
          <w:szCs w:val="21"/>
        </w:rPr>
        <w:lastRenderedPageBreak/>
        <w:t>11.2.2 A EC 20/1998: idade mínima frustrada e fator previdenciário ..............</w:t>
      </w:r>
      <w:r w:rsidR="007D7D78">
        <w:rPr>
          <w:szCs w:val="21"/>
        </w:rPr>
        <w:t>........................................................................................................</w:t>
      </w:r>
      <w:r w:rsidRPr="00BB5B64">
        <w:rPr>
          <w:szCs w:val="21"/>
        </w:rPr>
        <w:t>.......... 527</w:t>
      </w:r>
      <w:r w:rsidRPr="00BB5B64">
        <w:rPr>
          <w:szCs w:val="21"/>
        </w:rPr>
        <w:br/>
        <w:t>11.2.3 A Lei 9.876/1999: o fator previdenciário .................</w:t>
      </w:r>
      <w:r w:rsidR="007D7D78">
        <w:rPr>
          <w:szCs w:val="21"/>
        </w:rPr>
        <w:t>..</w:t>
      </w:r>
      <w:r w:rsidRPr="00BB5B64">
        <w:rPr>
          <w:szCs w:val="21"/>
        </w:rPr>
        <w:t>............................... 52</w:t>
      </w:r>
      <w:r>
        <w:rPr>
          <w:szCs w:val="21"/>
        </w:rPr>
        <w:t>7</w:t>
      </w:r>
      <w:r w:rsidRPr="00BB5B64">
        <w:rPr>
          <w:szCs w:val="21"/>
        </w:rPr>
        <w:br/>
        <w:t>11.2.4 A Lei 13.183/2015: a regra 85/95 ....................................</w:t>
      </w:r>
      <w:r w:rsidR="007D7D78">
        <w:rPr>
          <w:szCs w:val="21"/>
        </w:rPr>
        <w:t>....</w:t>
      </w:r>
      <w:r w:rsidRPr="00BB5B64">
        <w:rPr>
          <w:szCs w:val="21"/>
        </w:rPr>
        <w:t>...................... 528</w:t>
      </w:r>
      <w:r w:rsidRPr="00BB5B64">
        <w:rPr>
          <w:szCs w:val="21"/>
        </w:rPr>
        <w:br/>
        <w:t>11.2.5 A EC 103/2019: extinção e transição ......................</w:t>
      </w:r>
      <w:r w:rsidR="007D7D78">
        <w:rPr>
          <w:szCs w:val="21"/>
        </w:rPr>
        <w:t>.</w:t>
      </w:r>
      <w:r>
        <w:rPr>
          <w:szCs w:val="21"/>
        </w:rPr>
        <w:t>........................</w:t>
      </w:r>
      <w:r w:rsidRPr="00BB5B64">
        <w:rPr>
          <w:szCs w:val="21"/>
        </w:rPr>
        <w:t>......... 52</w:t>
      </w:r>
      <w:r>
        <w:rPr>
          <w:szCs w:val="21"/>
        </w:rPr>
        <w:t>8</w:t>
      </w:r>
    </w:p>
    <w:p w14:paraId="6AE9E6D1" w14:textId="4BE913EB" w:rsidR="003A005E" w:rsidRPr="00BB5B64" w:rsidRDefault="003A005E" w:rsidP="007D7D78">
      <w:pPr>
        <w:keepNext/>
        <w:pBdr>
          <w:bottom w:val="single" w:sz="8" w:space="4" w:color="B89B5E"/>
        </w:pBdr>
        <w:spacing w:after="0" w:line="240" w:lineRule="auto"/>
        <w:ind w:right="-171"/>
        <w:rPr>
          <w:szCs w:val="21"/>
        </w:rPr>
      </w:pPr>
      <w:r w:rsidRPr="00BB5B64">
        <w:rPr>
          <w:szCs w:val="21"/>
        </w:rPr>
        <w:t>11.3 Direito adquirido à regra anterior (art. 3º, EC 103/2019) ..........</w:t>
      </w:r>
      <w:r w:rsidR="007D7D78">
        <w:rPr>
          <w:szCs w:val="21"/>
        </w:rPr>
        <w:t>....</w:t>
      </w:r>
      <w:r w:rsidRPr="00BB5B64">
        <w:rPr>
          <w:szCs w:val="21"/>
        </w:rPr>
        <w:t>.............. 5</w:t>
      </w:r>
      <w:r>
        <w:rPr>
          <w:szCs w:val="21"/>
        </w:rPr>
        <w:t>29</w:t>
      </w:r>
      <w:r w:rsidRPr="00BB5B64">
        <w:rPr>
          <w:szCs w:val="21"/>
        </w:rPr>
        <w:br/>
        <w:t>11.3.1 Fundamento constitucional ..................................................</w:t>
      </w:r>
      <w:r w:rsidR="007D7D78">
        <w:rPr>
          <w:szCs w:val="21"/>
        </w:rPr>
        <w:t>......</w:t>
      </w:r>
      <w:r w:rsidRPr="00BB5B64">
        <w:rPr>
          <w:szCs w:val="21"/>
        </w:rPr>
        <w:t>.............. 5</w:t>
      </w:r>
      <w:r>
        <w:rPr>
          <w:szCs w:val="21"/>
        </w:rPr>
        <w:t>29</w:t>
      </w:r>
      <w:r w:rsidRPr="00BB5B64">
        <w:rPr>
          <w:szCs w:val="21"/>
        </w:rPr>
        <w:br/>
        <w:t>11.3.2 Identificação prática do direito adquirido .........................</w:t>
      </w:r>
      <w:r w:rsidR="007D7D78">
        <w:rPr>
          <w:szCs w:val="21"/>
        </w:rPr>
        <w:t>.</w:t>
      </w:r>
      <w:r w:rsidRPr="00BB5B64">
        <w:rPr>
          <w:szCs w:val="21"/>
        </w:rPr>
        <w:t>...................... 53</w:t>
      </w:r>
      <w:r>
        <w:rPr>
          <w:szCs w:val="21"/>
        </w:rPr>
        <w:t>0</w:t>
      </w:r>
    </w:p>
    <w:p w14:paraId="2A48D617" w14:textId="6093FE28" w:rsidR="003A005E" w:rsidRPr="00BB5B64" w:rsidRDefault="003A005E" w:rsidP="007D7D78">
      <w:pPr>
        <w:keepNext/>
        <w:pBdr>
          <w:bottom w:val="single" w:sz="8" w:space="4" w:color="B89B5E"/>
        </w:pBdr>
        <w:spacing w:after="0" w:line="240" w:lineRule="auto"/>
        <w:ind w:right="-171"/>
        <w:rPr>
          <w:szCs w:val="21"/>
        </w:rPr>
      </w:pPr>
      <w:r w:rsidRPr="00BB5B64">
        <w:rPr>
          <w:szCs w:val="21"/>
        </w:rPr>
        <w:t>11.4 Regra de transição por pontos — art. 15, EC 103/2019 .....................</w:t>
      </w:r>
      <w:r w:rsidR="007D7D78">
        <w:rPr>
          <w:szCs w:val="21"/>
        </w:rPr>
        <w:t>.</w:t>
      </w:r>
      <w:r w:rsidRPr="00BB5B64">
        <w:rPr>
          <w:szCs w:val="21"/>
        </w:rPr>
        <w:t>........ 53</w:t>
      </w:r>
      <w:r>
        <w:rPr>
          <w:szCs w:val="21"/>
        </w:rPr>
        <w:t>1</w:t>
      </w:r>
      <w:r w:rsidRPr="00BB5B64">
        <w:rPr>
          <w:szCs w:val="21"/>
        </w:rPr>
        <w:br/>
        <w:t>11.4.1 Conceito e requisitos ............................................................</w:t>
      </w:r>
      <w:r w:rsidR="007D7D78">
        <w:rPr>
          <w:szCs w:val="21"/>
        </w:rPr>
        <w:t>.........</w:t>
      </w:r>
      <w:r w:rsidRPr="00BB5B64">
        <w:rPr>
          <w:szCs w:val="21"/>
        </w:rPr>
        <w:t>............ 53</w:t>
      </w:r>
      <w:r>
        <w:rPr>
          <w:szCs w:val="21"/>
        </w:rPr>
        <w:t>1</w:t>
      </w:r>
      <w:r w:rsidRPr="00BB5B64">
        <w:rPr>
          <w:szCs w:val="21"/>
        </w:rPr>
        <w:br/>
        <w:t>11.4.2 Tabela de pontuação ano a ano (2019-2033) ............................................ 53</w:t>
      </w:r>
      <w:r>
        <w:rPr>
          <w:szCs w:val="21"/>
        </w:rPr>
        <w:t>2</w:t>
      </w:r>
      <w:r w:rsidRPr="00BB5B64">
        <w:rPr>
          <w:szCs w:val="21"/>
        </w:rPr>
        <w:br/>
        <w:t>11.4.3 Cálculo do benefício ............................................................</w:t>
      </w:r>
      <w:r w:rsidR="007D7D78">
        <w:rPr>
          <w:szCs w:val="21"/>
        </w:rPr>
        <w:t>.........</w:t>
      </w:r>
      <w:r w:rsidRPr="00BB5B64">
        <w:rPr>
          <w:szCs w:val="21"/>
        </w:rPr>
        <w:t>............. 53</w:t>
      </w:r>
      <w:r>
        <w:rPr>
          <w:szCs w:val="21"/>
        </w:rPr>
        <w:t>3</w:t>
      </w:r>
    </w:p>
    <w:p w14:paraId="4749F511" w14:textId="7E049976" w:rsidR="003A005E" w:rsidRPr="00BB5B64" w:rsidRDefault="003A005E" w:rsidP="007D7D78">
      <w:pPr>
        <w:keepNext/>
        <w:pBdr>
          <w:bottom w:val="single" w:sz="8" w:space="4" w:color="B89B5E"/>
        </w:pBdr>
        <w:spacing w:after="0" w:line="240" w:lineRule="auto"/>
        <w:ind w:right="-171"/>
        <w:rPr>
          <w:szCs w:val="21"/>
        </w:rPr>
      </w:pPr>
      <w:r w:rsidRPr="00BB5B64">
        <w:rPr>
          <w:szCs w:val="21"/>
        </w:rPr>
        <w:t>11.5 Regra de transição por idade mínima progressiva — art. 16, EC 103/2019 .</w:t>
      </w:r>
      <w:r w:rsidR="007D7D78">
        <w:rPr>
          <w:szCs w:val="21"/>
        </w:rPr>
        <w:t>............................................................................................................................</w:t>
      </w:r>
      <w:r w:rsidRPr="00BB5B64">
        <w:rPr>
          <w:szCs w:val="21"/>
        </w:rPr>
        <w:t>... 53</w:t>
      </w:r>
      <w:r>
        <w:rPr>
          <w:szCs w:val="21"/>
        </w:rPr>
        <w:t>5</w:t>
      </w:r>
      <w:r w:rsidRPr="00BB5B64">
        <w:rPr>
          <w:szCs w:val="21"/>
        </w:rPr>
        <w:br/>
        <w:t>11.5.1 Conceito e requisitos ......................................................</w:t>
      </w:r>
      <w:r w:rsidR="007D7D78">
        <w:rPr>
          <w:szCs w:val="21"/>
        </w:rPr>
        <w:t>.........</w:t>
      </w:r>
      <w:r w:rsidRPr="00BB5B64">
        <w:rPr>
          <w:szCs w:val="21"/>
        </w:rPr>
        <w:t>.................. 53</w:t>
      </w:r>
      <w:r>
        <w:rPr>
          <w:szCs w:val="21"/>
        </w:rPr>
        <w:t>5</w:t>
      </w:r>
      <w:r w:rsidRPr="00BB5B64">
        <w:rPr>
          <w:szCs w:val="21"/>
        </w:rPr>
        <w:br/>
        <w:t>11.5.2 Tabela de idade mínima progressiva (2019-2031) .......................</w:t>
      </w:r>
      <w:r w:rsidR="007D7D78">
        <w:rPr>
          <w:szCs w:val="21"/>
        </w:rPr>
        <w:t>.</w:t>
      </w:r>
      <w:r w:rsidRPr="00BB5B64">
        <w:rPr>
          <w:szCs w:val="21"/>
        </w:rPr>
        <w:t>............. 53</w:t>
      </w:r>
      <w:r>
        <w:rPr>
          <w:szCs w:val="21"/>
        </w:rPr>
        <w:t>5</w:t>
      </w:r>
      <w:r w:rsidRPr="00BB5B64">
        <w:rPr>
          <w:szCs w:val="21"/>
        </w:rPr>
        <w:br/>
        <w:t>11.5.3 Quando o art. 16 é mais vantajoso que o art. 15? ...................................... 53</w:t>
      </w:r>
      <w:r>
        <w:rPr>
          <w:szCs w:val="21"/>
        </w:rPr>
        <w:t>6</w:t>
      </w:r>
    </w:p>
    <w:p w14:paraId="7B4B564D" w14:textId="4D267660" w:rsidR="003A005E" w:rsidRPr="00BB5B64" w:rsidRDefault="003A005E" w:rsidP="007D7D78">
      <w:pPr>
        <w:keepNext/>
        <w:pBdr>
          <w:bottom w:val="single" w:sz="8" w:space="4" w:color="B89B5E"/>
        </w:pBdr>
        <w:spacing w:after="0" w:line="240" w:lineRule="auto"/>
        <w:ind w:right="-171"/>
        <w:rPr>
          <w:szCs w:val="21"/>
        </w:rPr>
      </w:pPr>
      <w:r w:rsidRPr="00BB5B64">
        <w:rPr>
          <w:szCs w:val="21"/>
        </w:rPr>
        <w:t>11.6 Regra de transição do pedágio de 50% — art. 17, EC 103/2019 ...........</w:t>
      </w:r>
      <w:r w:rsidR="007D7D78">
        <w:rPr>
          <w:szCs w:val="21"/>
        </w:rPr>
        <w:t>.</w:t>
      </w:r>
      <w:r w:rsidRPr="00BB5B64">
        <w:rPr>
          <w:szCs w:val="21"/>
        </w:rPr>
        <w:t>...... 5</w:t>
      </w:r>
      <w:r>
        <w:rPr>
          <w:szCs w:val="21"/>
        </w:rPr>
        <w:t>37</w:t>
      </w:r>
      <w:r w:rsidRPr="00BB5B64">
        <w:rPr>
          <w:szCs w:val="21"/>
        </w:rPr>
        <w:br/>
        <w:t>11.6.1 Conceito e requisitos de elegibilidade ..................................</w:t>
      </w:r>
      <w:r w:rsidR="007D7D78">
        <w:rPr>
          <w:szCs w:val="21"/>
        </w:rPr>
        <w:t>...</w:t>
      </w:r>
      <w:r w:rsidRPr="00BB5B64">
        <w:rPr>
          <w:szCs w:val="21"/>
        </w:rPr>
        <w:t>.................. 5</w:t>
      </w:r>
      <w:r>
        <w:rPr>
          <w:szCs w:val="21"/>
        </w:rPr>
        <w:t>37</w:t>
      </w:r>
      <w:r w:rsidRPr="00BB5B64">
        <w:rPr>
          <w:szCs w:val="21"/>
        </w:rPr>
        <w:br/>
        <w:t>11.6.2 O fator previdenciário obrigatório ................................</w:t>
      </w:r>
      <w:r w:rsidR="007D7D78">
        <w:rPr>
          <w:szCs w:val="21"/>
        </w:rPr>
        <w:t>....</w:t>
      </w:r>
      <w:r w:rsidRPr="00BB5B64">
        <w:rPr>
          <w:szCs w:val="21"/>
        </w:rPr>
        <w:t>........................ 5</w:t>
      </w:r>
      <w:r>
        <w:rPr>
          <w:szCs w:val="21"/>
        </w:rPr>
        <w:t>37</w:t>
      </w:r>
      <w:r w:rsidRPr="00BB5B64">
        <w:rPr>
          <w:szCs w:val="21"/>
        </w:rPr>
        <w:br/>
        <w:t>11.6.3 Quando o pedágio de 50% é vantajoso .............................</w:t>
      </w:r>
      <w:r w:rsidR="007D7D78">
        <w:rPr>
          <w:szCs w:val="21"/>
        </w:rPr>
        <w:t>...</w:t>
      </w:r>
      <w:r w:rsidRPr="00BB5B64">
        <w:rPr>
          <w:szCs w:val="21"/>
        </w:rPr>
        <w:t>....................... 5</w:t>
      </w:r>
      <w:r>
        <w:rPr>
          <w:szCs w:val="21"/>
        </w:rPr>
        <w:t>38</w:t>
      </w:r>
    </w:p>
    <w:p w14:paraId="143AD2F8" w14:textId="5A7B23AF" w:rsidR="003A005E" w:rsidRPr="00BB5B64" w:rsidRDefault="003A005E" w:rsidP="007D7D78">
      <w:pPr>
        <w:keepNext/>
        <w:pBdr>
          <w:bottom w:val="single" w:sz="8" w:space="4" w:color="B89B5E"/>
        </w:pBdr>
        <w:spacing w:after="0" w:line="240" w:lineRule="auto"/>
        <w:ind w:right="-171"/>
        <w:rPr>
          <w:szCs w:val="21"/>
        </w:rPr>
      </w:pPr>
      <w:r w:rsidRPr="00BB5B64">
        <w:rPr>
          <w:szCs w:val="21"/>
        </w:rPr>
        <w:t>11.7 Regra de transição do pedágio de 100% — art. 20, EC 103/2019 ......</w:t>
      </w:r>
      <w:r w:rsidR="007D7D78">
        <w:rPr>
          <w:szCs w:val="21"/>
        </w:rPr>
        <w:t>.</w:t>
      </w:r>
      <w:r w:rsidRPr="00BB5B64">
        <w:rPr>
          <w:szCs w:val="21"/>
        </w:rPr>
        <w:t>......... 5</w:t>
      </w:r>
      <w:r>
        <w:rPr>
          <w:szCs w:val="21"/>
        </w:rPr>
        <w:t>39</w:t>
      </w:r>
      <w:r w:rsidRPr="00BB5B64">
        <w:rPr>
          <w:szCs w:val="21"/>
        </w:rPr>
        <w:br/>
        <w:t>11.7.1 Conceito e requisitos .......................................</w:t>
      </w:r>
      <w:r w:rsidR="007D7D78">
        <w:rPr>
          <w:szCs w:val="21"/>
        </w:rPr>
        <w:t>.........</w:t>
      </w:r>
      <w:r w:rsidRPr="00BB5B64">
        <w:rPr>
          <w:szCs w:val="21"/>
        </w:rPr>
        <w:t>................................. 5</w:t>
      </w:r>
      <w:r>
        <w:rPr>
          <w:szCs w:val="21"/>
        </w:rPr>
        <w:t>39</w:t>
      </w:r>
      <w:r w:rsidRPr="00BB5B64">
        <w:rPr>
          <w:szCs w:val="21"/>
        </w:rPr>
        <w:br/>
        <w:t>11.7.2 Cálculo do pedágio ...........................................</w:t>
      </w:r>
      <w:r w:rsidR="007D7D78">
        <w:rPr>
          <w:szCs w:val="21"/>
        </w:rPr>
        <w:t>........</w:t>
      </w:r>
      <w:r w:rsidRPr="00BB5B64">
        <w:rPr>
          <w:szCs w:val="21"/>
        </w:rPr>
        <w:t>................................. 54</w:t>
      </w:r>
      <w:r>
        <w:rPr>
          <w:szCs w:val="21"/>
        </w:rPr>
        <w:t>0</w:t>
      </w:r>
      <w:r w:rsidRPr="00BB5B64">
        <w:rPr>
          <w:szCs w:val="21"/>
        </w:rPr>
        <w:br/>
        <w:t>11.7.3 Cálculo do benefício ...........................................</w:t>
      </w:r>
      <w:r w:rsidR="007D7D78">
        <w:rPr>
          <w:szCs w:val="21"/>
        </w:rPr>
        <w:t>........</w:t>
      </w:r>
      <w:r w:rsidRPr="00BB5B64">
        <w:rPr>
          <w:szCs w:val="21"/>
        </w:rPr>
        <w:t>............................... 54</w:t>
      </w:r>
      <w:r>
        <w:rPr>
          <w:szCs w:val="21"/>
        </w:rPr>
        <w:t>1</w:t>
      </w:r>
    </w:p>
    <w:p w14:paraId="2FBC2579" w14:textId="6FCF86B6" w:rsidR="003A005E" w:rsidRPr="00BB5B64" w:rsidRDefault="003A005E" w:rsidP="007D7D78">
      <w:pPr>
        <w:keepNext/>
        <w:pBdr>
          <w:bottom w:val="single" w:sz="8" w:space="4" w:color="B89B5E"/>
        </w:pBdr>
        <w:spacing w:after="0" w:line="240" w:lineRule="auto"/>
        <w:ind w:right="-171"/>
        <w:rPr>
          <w:szCs w:val="21"/>
        </w:rPr>
      </w:pPr>
      <w:r w:rsidRPr="00BB5B64">
        <w:rPr>
          <w:szCs w:val="21"/>
        </w:rPr>
        <w:t>11.8 O fator previdenciário: fórmula, variáveis e impacto .....</w:t>
      </w:r>
      <w:r w:rsidR="007D7D78">
        <w:rPr>
          <w:szCs w:val="21"/>
        </w:rPr>
        <w:t>...</w:t>
      </w:r>
      <w:r w:rsidRPr="00BB5B64">
        <w:rPr>
          <w:szCs w:val="21"/>
        </w:rPr>
        <w:t>........................... 54</w:t>
      </w:r>
      <w:r>
        <w:rPr>
          <w:szCs w:val="21"/>
        </w:rPr>
        <w:t>2</w:t>
      </w:r>
      <w:r w:rsidRPr="00BB5B64">
        <w:rPr>
          <w:szCs w:val="21"/>
        </w:rPr>
        <w:br/>
        <w:t>11.8.1 Origem e fundamento ........................................................</w:t>
      </w:r>
      <w:r w:rsidR="007D7D78">
        <w:rPr>
          <w:szCs w:val="21"/>
        </w:rPr>
        <w:t>......</w:t>
      </w:r>
      <w:r w:rsidRPr="00BB5B64">
        <w:rPr>
          <w:szCs w:val="21"/>
        </w:rPr>
        <w:t>................. 54</w:t>
      </w:r>
      <w:r>
        <w:rPr>
          <w:szCs w:val="21"/>
        </w:rPr>
        <w:t>2</w:t>
      </w:r>
      <w:r w:rsidRPr="00BB5B64">
        <w:rPr>
          <w:szCs w:val="21"/>
        </w:rPr>
        <w:br/>
        <w:t>11.8.2 A fórmula decomposta .................................................</w:t>
      </w:r>
      <w:r w:rsidR="007D7D78">
        <w:rPr>
          <w:szCs w:val="21"/>
        </w:rPr>
        <w:t>.....</w:t>
      </w:r>
      <w:r w:rsidRPr="00BB5B64">
        <w:rPr>
          <w:szCs w:val="21"/>
        </w:rPr>
        <w:t>........................ 54</w:t>
      </w:r>
      <w:r>
        <w:rPr>
          <w:szCs w:val="21"/>
        </w:rPr>
        <w:t>2</w:t>
      </w:r>
      <w:r w:rsidRPr="00BB5B64">
        <w:rPr>
          <w:szCs w:val="21"/>
        </w:rPr>
        <w:br/>
      </w:r>
      <w:r w:rsidRPr="00BB5B64">
        <w:rPr>
          <w:szCs w:val="21"/>
        </w:rPr>
        <w:lastRenderedPageBreak/>
        <w:t>11.8.3 Bônus para mulher e professor ......................</w:t>
      </w:r>
      <w:r w:rsidR="007D7D78">
        <w:rPr>
          <w:szCs w:val="21"/>
        </w:rPr>
        <w:t>.....</w:t>
      </w:r>
      <w:r w:rsidRPr="00BB5B64">
        <w:rPr>
          <w:szCs w:val="21"/>
        </w:rPr>
        <w:t>....................................... 54</w:t>
      </w:r>
      <w:r>
        <w:rPr>
          <w:szCs w:val="21"/>
        </w:rPr>
        <w:t>3</w:t>
      </w:r>
      <w:r w:rsidRPr="00BB5B64">
        <w:rPr>
          <w:szCs w:val="21"/>
        </w:rPr>
        <w:br/>
        <w:t>11.8.4 Impacto prático e referência ao Cap. 16 ....................</w:t>
      </w:r>
      <w:r w:rsidR="007D7D78">
        <w:rPr>
          <w:szCs w:val="21"/>
        </w:rPr>
        <w:t>..</w:t>
      </w:r>
      <w:r w:rsidRPr="00BB5B64">
        <w:rPr>
          <w:szCs w:val="21"/>
        </w:rPr>
        <w:t>.............................. 54</w:t>
      </w:r>
      <w:r>
        <w:rPr>
          <w:szCs w:val="21"/>
        </w:rPr>
        <w:t>3</w:t>
      </w:r>
    </w:p>
    <w:p w14:paraId="5FF66155" w14:textId="0D9AB38F" w:rsidR="003A005E" w:rsidRPr="00BB5B64" w:rsidRDefault="003A005E" w:rsidP="007D7D78">
      <w:pPr>
        <w:keepNext/>
        <w:pBdr>
          <w:bottom w:val="single" w:sz="8" w:space="4" w:color="B89B5E"/>
        </w:pBdr>
        <w:spacing w:after="0" w:line="240" w:lineRule="auto"/>
        <w:ind w:right="-171"/>
        <w:rPr>
          <w:szCs w:val="21"/>
        </w:rPr>
      </w:pPr>
      <w:r w:rsidRPr="00BB5B64">
        <w:rPr>
          <w:szCs w:val="21"/>
        </w:rPr>
        <w:t>11.9 A regra 85/95 progressiva (Lei 13.183/2015) — aplicação residual ............ 5</w:t>
      </w:r>
      <w:r>
        <w:rPr>
          <w:szCs w:val="21"/>
        </w:rPr>
        <w:t>45</w:t>
      </w:r>
      <w:r w:rsidRPr="00BB5B64">
        <w:rPr>
          <w:szCs w:val="21"/>
        </w:rPr>
        <w:br/>
        <w:t>11.9.1 Conceito original .........................................</w:t>
      </w:r>
      <w:r w:rsidR="007D7D78">
        <w:rPr>
          <w:szCs w:val="21"/>
        </w:rPr>
        <w:t>........</w:t>
      </w:r>
      <w:r w:rsidRPr="00BB5B64">
        <w:rPr>
          <w:szCs w:val="21"/>
        </w:rPr>
        <w:t>...................................... 5</w:t>
      </w:r>
      <w:r>
        <w:rPr>
          <w:szCs w:val="21"/>
        </w:rPr>
        <w:t>45</w:t>
      </w:r>
      <w:r w:rsidRPr="00BB5B64">
        <w:rPr>
          <w:szCs w:val="21"/>
        </w:rPr>
        <w:br/>
        <w:t>11.9.2 Aplicação atual: apenas direito adquirido ......................</w:t>
      </w:r>
      <w:r w:rsidR="007D7D78">
        <w:rPr>
          <w:szCs w:val="21"/>
        </w:rPr>
        <w:t>.</w:t>
      </w:r>
      <w:r w:rsidRPr="00BB5B64">
        <w:rPr>
          <w:szCs w:val="21"/>
        </w:rPr>
        <w:t>.......................... 5</w:t>
      </w:r>
      <w:r>
        <w:rPr>
          <w:szCs w:val="21"/>
        </w:rPr>
        <w:t>45</w:t>
      </w:r>
    </w:p>
    <w:p w14:paraId="0A00D392" w14:textId="4B253AFE" w:rsidR="003A005E" w:rsidRPr="00BB5B64" w:rsidRDefault="003A005E" w:rsidP="007D7D78">
      <w:pPr>
        <w:keepNext/>
        <w:pBdr>
          <w:bottom w:val="single" w:sz="8" w:space="4" w:color="B89B5E"/>
        </w:pBdr>
        <w:spacing w:after="0" w:line="240" w:lineRule="auto"/>
        <w:ind w:right="-171"/>
        <w:rPr>
          <w:szCs w:val="21"/>
        </w:rPr>
      </w:pPr>
      <w:r w:rsidRPr="00BB5B64">
        <w:rPr>
          <w:szCs w:val="21"/>
        </w:rPr>
        <w:t>11.10 Análise comparativa: qual regra de transição escolher? ...............</w:t>
      </w:r>
      <w:r w:rsidR="00E74A6C">
        <w:rPr>
          <w:szCs w:val="21"/>
        </w:rPr>
        <w:t>....</w:t>
      </w:r>
      <w:r w:rsidRPr="00BB5B64">
        <w:rPr>
          <w:szCs w:val="21"/>
        </w:rPr>
        <w:t>........... 5</w:t>
      </w:r>
      <w:r>
        <w:rPr>
          <w:szCs w:val="21"/>
        </w:rPr>
        <w:t>46</w:t>
      </w:r>
      <w:r w:rsidRPr="00BB5B64">
        <w:rPr>
          <w:szCs w:val="21"/>
        </w:rPr>
        <w:br/>
        <w:t>11.10.1 Tabela-mestre das regras ................................................</w:t>
      </w:r>
      <w:r w:rsidR="00E74A6C">
        <w:rPr>
          <w:szCs w:val="21"/>
        </w:rPr>
        <w:t>........</w:t>
      </w:r>
      <w:r w:rsidRPr="00BB5B64">
        <w:rPr>
          <w:szCs w:val="21"/>
        </w:rPr>
        <w:t>.................. 5</w:t>
      </w:r>
      <w:r>
        <w:rPr>
          <w:szCs w:val="21"/>
        </w:rPr>
        <w:t>46</w:t>
      </w:r>
      <w:r w:rsidRPr="00BB5B64">
        <w:rPr>
          <w:szCs w:val="21"/>
        </w:rPr>
        <w:br/>
        <w:t>11.10.2 Critérios decisórios ..........................................................</w:t>
      </w:r>
      <w:r w:rsidR="00E74A6C">
        <w:rPr>
          <w:szCs w:val="21"/>
        </w:rPr>
        <w:t>........</w:t>
      </w:r>
      <w:r w:rsidRPr="00BB5B64">
        <w:rPr>
          <w:szCs w:val="21"/>
        </w:rPr>
        <w:t>................ 5</w:t>
      </w:r>
      <w:r>
        <w:rPr>
          <w:szCs w:val="21"/>
        </w:rPr>
        <w:t>47</w:t>
      </w:r>
    </w:p>
    <w:p w14:paraId="5CC14BC6" w14:textId="6C45C531" w:rsidR="003A005E" w:rsidRPr="00BB5B64" w:rsidRDefault="003A005E" w:rsidP="007D7D78">
      <w:pPr>
        <w:keepNext/>
        <w:pBdr>
          <w:bottom w:val="single" w:sz="8" w:space="4" w:color="B89B5E"/>
        </w:pBdr>
        <w:spacing w:after="0" w:line="240" w:lineRule="auto"/>
        <w:ind w:right="-171"/>
        <w:rPr>
          <w:szCs w:val="21"/>
        </w:rPr>
      </w:pPr>
      <w:r w:rsidRPr="00BB5B64">
        <w:rPr>
          <w:szCs w:val="21"/>
        </w:rPr>
        <w:t>11.11 Contagem recíproca e impacto nas regras de transição ................</w:t>
      </w:r>
      <w:r w:rsidR="00E74A6C">
        <w:rPr>
          <w:szCs w:val="21"/>
        </w:rPr>
        <w:t>...</w:t>
      </w:r>
      <w:r w:rsidRPr="00BB5B64">
        <w:rPr>
          <w:szCs w:val="21"/>
        </w:rPr>
        <w:t>........... 55</w:t>
      </w:r>
      <w:r>
        <w:rPr>
          <w:szCs w:val="21"/>
        </w:rPr>
        <w:t>0</w:t>
      </w:r>
      <w:r w:rsidRPr="00BB5B64">
        <w:rPr>
          <w:szCs w:val="21"/>
        </w:rPr>
        <w:br/>
        <w:t>11.11.1 Fundamento e mecanismo geral ...................................</w:t>
      </w:r>
      <w:r w:rsidR="00E74A6C">
        <w:rPr>
          <w:szCs w:val="21"/>
        </w:rPr>
        <w:t>...</w:t>
      </w:r>
      <w:r w:rsidRPr="00BB5B64">
        <w:rPr>
          <w:szCs w:val="21"/>
        </w:rPr>
        <w:t>........................ 55</w:t>
      </w:r>
      <w:r>
        <w:rPr>
          <w:szCs w:val="21"/>
        </w:rPr>
        <w:t>0</w:t>
      </w:r>
      <w:r w:rsidRPr="00BB5B64">
        <w:rPr>
          <w:szCs w:val="21"/>
        </w:rPr>
        <w:br/>
        <w:t>11.11.2 O impacto nas regras de transição ......................................</w:t>
      </w:r>
      <w:r w:rsidR="00E74A6C">
        <w:rPr>
          <w:szCs w:val="21"/>
        </w:rPr>
        <w:t>....</w:t>
      </w:r>
      <w:r w:rsidRPr="00BB5B64">
        <w:rPr>
          <w:szCs w:val="21"/>
        </w:rPr>
        <w:t>.................. 55</w:t>
      </w:r>
      <w:r>
        <w:rPr>
          <w:szCs w:val="21"/>
        </w:rPr>
        <w:t>0</w:t>
      </w:r>
      <w:r w:rsidRPr="00BB5B64">
        <w:rPr>
          <w:szCs w:val="21"/>
        </w:rPr>
        <w:br/>
        <w:t>11.11.3 Compensação financeira entre regimes ...................................</w:t>
      </w:r>
      <w:r w:rsidR="00E74A6C">
        <w:rPr>
          <w:szCs w:val="21"/>
        </w:rPr>
        <w:t>.</w:t>
      </w:r>
      <w:r w:rsidRPr="00BB5B64">
        <w:rPr>
          <w:szCs w:val="21"/>
        </w:rPr>
        <w:t>............... 55</w:t>
      </w:r>
      <w:r>
        <w:rPr>
          <w:szCs w:val="21"/>
        </w:rPr>
        <w:t>1</w:t>
      </w:r>
      <w:r w:rsidRPr="00BB5B64">
        <w:rPr>
          <w:szCs w:val="21"/>
        </w:rPr>
        <w:br/>
        <w:t>11.11.4 Vedação de dupla contagem .................................................</w:t>
      </w:r>
      <w:r w:rsidR="00E74A6C">
        <w:rPr>
          <w:szCs w:val="21"/>
        </w:rPr>
        <w:t>....</w:t>
      </w:r>
      <w:r w:rsidRPr="00BB5B64">
        <w:rPr>
          <w:szCs w:val="21"/>
        </w:rPr>
        <w:t>............... 55</w:t>
      </w:r>
      <w:r>
        <w:rPr>
          <w:szCs w:val="21"/>
        </w:rPr>
        <w:t>2</w:t>
      </w:r>
      <w:r w:rsidRPr="00BB5B64">
        <w:rPr>
          <w:szCs w:val="21"/>
        </w:rPr>
        <w:br/>
        <w:t>11.11.5 Situações especiais na contagem recíproca .............................................. 5</w:t>
      </w:r>
      <w:r>
        <w:rPr>
          <w:szCs w:val="21"/>
        </w:rPr>
        <w:t>53</w:t>
      </w:r>
    </w:p>
    <w:p w14:paraId="7E84CC8F" w14:textId="5CE4ED4C" w:rsidR="003A005E" w:rsidRPr="00BB5B64" w:rsidRDefault="003A005E" w:rsidP="007D7D78">
      <w:pPr>
        <w:keepNext/>
        <w:pBdr>
          <w:bottom w:val="single" w:sz="8" w:space="4" w:color="B89B5E"/>
        </w:pBdr>
        <w:spacing w:after="0" w:line="240" w:lineRule="auto"/>
        <w:ind w:right="-171"/>
        <w:rPr>
          <w:szCs w:val="21"/>
        </w:rPr>
      </w:pPr>
      <w:r w:rsidRPr="00BB5B64">
        <w:rPr>
          <w:szCs w:val="21"/>
        </w:rPr>
        <w:t>11.12 Tempo fictício: vedação e exceções remanescentes ...................</w:t>
      </w:r>
      <w:r w:rsidR="00E74A6C">
        <w:rPr>
          <w:szCs w:val="21"/>
        </w:rPr>
        <w:t>...</w:t>
      </w:r>
      <w:r w:rsidRPr="00BB5B64">
        <w:rPr>
          <w:szCs w:val="21"/>
        </w:rPr>
        <w:t>.............. 5</w:t>
      </w:r>
      <w:r>
        <w:rPr>
          <w:szCs w:val="21"/>
        </w:rPr>
        <w:t>54</w:t>
      </w:r>
      <w:r w:rsidRPr="00BB5B64">
        <w:rPr>
          <w:szCs w:val="21"/>
        </w:rPr>
        <w:br/>
        <w:t>11.12.1 Conceito e vedação constitucional .........................................</w:t>
      </w:r>
      <w:r w:rsidR="00E74A6C">
        <w:rPr>
          <w:szCs w:val="21"/>
        </w:rPr>
        <w:t>..</w:t>
      </w:r>
      <w:r w:rsidRPr="00BB5B64">
        <w:rPr>
          <w:szCs w:val="21"/>
        </w:rPr>
        <w:t>............... 5</w:t>
      </w:r>
      <w:r>
        <w:rPr>
          <w:szCs w:val="21"/>
        </w:rPr>
        <w:t>54</w:t>
      </w:r>
      <w:r w:rsidRPr="00BB5B64">
        <w:rPr>
          <w:szCs w:val="21"/>
        </w:rPr>
        <w:br/>
        <w:t>11.12.2 Exemplos de tempo fictício vedado ......................................................... 5</w:t>
      </w:r>
      <w:r>
        <w:rPr>
          <w:szCs w:val="21"/>
        </w:rPr>
        <w:t>55</w:t>
      </w:r>
      <w:r w:rsidRPr="00BB5B64">
        <w:rPr>
          <w:szCs w:val="21"/>
        </w:rPr>
        <w:br/>
        <w:t>11.12.3 Exceções remanescentes ........................................................</w:t>
      </w:r>
      <w:r w:rsidR="00E74A6C">
        <w:rPr>
          <w:szCs w:val="21"/>
        </w:rPr>
        <w:t>......</w:t>
      </w:r>
      <w:r w:rsidRPr="00BB5B64">
        <w:rPr>
          <w:szCs w:val="21"/>
        </w:rPr>
        <w:t>............. 5</w:t>
      </w:r>
      <w:r>
        <w:rPr>
          <w:szCs w:val="21"/>
        </w:rPr>
        <w:t>55</w:t>
      </w:r>
      <w:r w:rsidRPr="00BB5B64">
        <w:rPr>
          <w:szCs w:val="21"/>
        </w:rPr>
        <w:br/>
        <w:t>11.12.4 Impacto nas regras de transição ......................................</w:t>
      </w:r>
      <w:r w:rsidR="00E74A6C">
        <w:rPr>
          <w:szCs w:val="21"/>
        </w:rPr>
        <w:t>...</w:t>
      </w:r>
      <w:r w:rsidRPr="00BB5B64">
        <w:rPr>
          <w:szCs w:val="21"/>
        </w:rPr>
        <w:t>...................... 5</w:t>
      </w:r>
      <w:r>
        <w:rPr>
          <w:szCs w:val="21"/>
        </w:rPr>
        <w:t>57</w:t>
      </w:r>
    </w:p>
    <w:p w14:paraId="47A87DCA" w14:textId="518027CB" w:rsidR="003A005E" w:rsidRPr="00BB5B64" w:rsidRDefault="003A005E" w:rsidP="007D7D78">
      <w:pPr>
        <w:keepNext/>
        <w:pBdr>
          <w:bottom w:val="single" w:sz="8" w:space="4" w:color="B89B5E"/>
        </w:pBdr>
        <w:spacing w:after="0" w:line="240" w:lineRule="auto"/>
        <w:ind w:right="-171"/>
        <w:rPr>
          <w:szCs w:val="21"/>
        </w:rPr>
      </w:pPr>
      <w:r w:rsidRPr="00BB5B64">
        <w:rPr>
          <w:szCs w:val="21"/>
        </w:rPr>
        <w:t>11.13 Conversão de tempo especial e impacto na aposentadoria por TC ........... 5</w:t>
      </w:r>
      <w:r>
        <w:rPr>
          <w:szCs w:val="21"/>
        </w:rPr>
        <w:t>58</w:t>
      </w:r>
      <w:r w:rsidRPr="00BB5B64">
        <w:rPr>
          <w:szCs w:val="21"/>
        </w:rPr>
        <w:br/>
        <w:t>11.13.1 Remissão ao Cap. 8 e delimitação ...................................................</w:t>
      </w:r>
      <w:r w:rsidR="00555D14">
        <w:rPr>
          <w:szCs w:val="21"/>
        </w:rPr>
        <w:t>..</w:t>
      </w:r>
      <w:r w:rsidRPr="00BB5B64">
        <w:rPr>
          <w:szCs w:val="21"/>
        </w:rPr>
        <w:t>....... 5</w:t>
      </w:r>
      <w:r>
        <w:rPr>
          <w:szCs w:val="21"/>
        </w:rPr>
        <w:t>58</w:t>
      </w:r>
      <w:r w:rsidRPr="00BB5B64">
        <w:rPr>
          <w:szCs w:val="21"/>
        </w:rPr>
        <w:br/>
        <w:t>11.13.2 Fatores de conversão e acréscimo de TC ................................................. 5</w:t>
      </w:r>
      <w:r>
        <w:rPr>
          <w:szCs w:val="21"/>
        </w:rPr>
        <w:t>58</w:t>
      </w:r>
      <w:r w:rsidRPr="00BB5B64">
        <w:rPr>
          <w:szCs w:val="21"/>
        </w:rPr>
        <w:br/>
        <w:t>11.13.3 Impacto prático na aposentadoria por TC .............................................. 5</w:t>
      </w:r>
      <w:r>
        <w:rPr>
          <w:szCs w:val="21"/>
        </w:rPr>
        <w:t>59</w:t>
      </w:r>
      <w:r w:rsidRPr="00BB5B64">
        <w:rPr>
          <w:szCs w:val="21"/>
        </w:rPr>
        <w:br/>
        <w:t>11.13.4 A vedação pós-EC 103 e suas consequências ........................................... 56</w:t>
      </w:r>
      <w:r>
        <w:rPr>
          <w:szCs w:val="21"/>
        </w:rPr>
        <w:t>0</w:t>
      </w:r>
    </w:p>
    <w:p w14:paraId="25EE8155" w14:textId="567C741F" w:rsidR="003A005E" w:rsidRPr="00BB5B64" w:rsidRDefault="003A005E" w:rsidP="007D7D78">
      <w:pPr>
        <w:keepNext/>
        <w:pBdr>
          <w:bottom w:val="single" w:sz="8" w:space="4" w:color="B89B5E"/>
        </w:pBdr>
        <w:spacing w:after="0" w:line="240" w:lineRule="auto"/>
        <w:ind w:right="-171"/>
        <w:rPr>
          <w:szCs w:val="21"/>
        </w:rPr>
      </w:pPr>
      <w:r w:rsidRPr="00BB5B64">
        <w:rPr>
          <w:szCs w:val="21"/>
        </w:rPr>
        <w:t>11.14 Planejamento previdenciário: quando esperar, quando requerer ............. 5</w:t>
      </w:r>
      <w:r>
        <w:rPr>
          <w:szCs w:val="21"/>
        </w:rPr>
        <w:t>63</w:t>
      </w:r>
      <w:r w:rsidRPr="00BB5B64">
        <w:rPr>
          <w:szCs w:val="21"/>
        </w:rPr>
        <w:br/>
        <w:t>11.14.1 Conceito e importância .........................................................</w:t>
      </w:r>
      <w:r w:rsidR="00555D14">
        <w:rPr>
          <w:szCs w:val="21"/>
        </w:rPr>
        <w:t>.....</w:t>
      </w:r>
      <w:r w:rsidRPr="00BB5B64">
        <w:rPr>
          <w:szCs w:val="21"/>
        </w:rPr>
        <w:t>............. 5</w:t>
      </w:r>
      <w:r>
        <w:rPr>
          <w:szCs w:val="21"/>
        </w:rPr>
        <w:t>63</w:t>
      </w:r>
      <w:r w:rsidRPr="00BB5B64">
        <w:rPr>
          <w:szCs w:val="21"/>
        </w:rPr>
        <w:br/>
        <w:t>11.14.2 Variáveis decisórias ..........................................................</w:t>
      </w:r>
      <w:r w:rsidR="00555D14">
        <w:rPr>
          <w:szCs w:val="21"/>
        </w:rPr>
        <w:t>.......</w:t>
      </w:r>
      <w:r w:rsidRPr="00BB5B64">
        <w:rPr>
          <w:szCs w:val="21"/>
        </w:rPr>
        <w:t>................. 5</w:t>
      </w:r>
      <w:r>
        <w:rPr>
          <w:szCs w:val="21"/>
        </w:rPr>
        <w:t>64</w:t>
      </w:r>
      <w:r w:rsidRPr="00BB5B64">
        <w:rPr>
          <w:szCs w:val="21"/>
        </w:rPr>
        <w:br/>
        <w:t>11.14.3 Análise de ponto de equilíbrio (break-even) ........................................... 5</w:t>
      </w:r>
      <w:r>
        <w:rPr>
          <w:szCs w:val="21"/>
        </w:rPr>
        <w:t>65</w:t>
      </w:r>
    </w:p>
    <w:p w14:paraId="49E45047" w14:textId="1646748E" w:rsidR="003A005E" w:rsidRPr="00BB5B64" w:rsidRDefault="003A005E" w:rsidP="00DC5E2B">
      <w:pPr>
        <w:keepNext/>
        <w:pBdr>
          <w:bottom w:val="single" w:sz="8" w:space="4" w:color="B89B5E"/>
        </w:pBdr>
        <w:spacing w:after="0" w:line="240" w:lineRule="auto"/>
        <w:ind w:right="-171"/>
        <w:rPr>
          <w:szCs w:val="21"/>
        </w:rPr>
      </w:pPr>
      <w:r w:rsidRPr="00BB5B64">
        <w:rPr>
          <w:szCs w:val="21"/>
        </w:rPr>
        <w:t>11.15 Cálculo detalhado do benefício: caso unificado por cada regra ...........</w:t>
      </w:r>
      <w:r w:rsidR="00555D14">
        <w:rPr>
          <w:szCs w:val="21"/>
        </w:rPr>
        <w:t>.</w:t>
      </w:r>
      <w:r w:rsidRPr="00BB5B64">
        <w:rPr>
          <w:szCs w:val="21"/>
        </w:rPr>
        <w:t>..... 5</w:t>
      </w:r>
      <w:r>
        <w:rPr>
          <w:szCs w:val="21"/>
        </w:rPr>
        <w:t>67</w:t>
      </w:r>
      <w:r w:rsidRPr="00BB5B64">
        <w:rPr>
          <w:szCs w:val="21"/>
        </w:rPr>
        <w:br/>
        <w:t>11.15.1 Apresentação do caso-base ........................................</w:t>
      </w:r>
      <w:r w:rsidR="00555D14">
        <w:rPr>
          <w:szCs w:val="21"/>
        </w:rPr>
        <w:t>....</w:t>
      </w:r>
      <w:r w:rsidRPr="00BB5B64">
        <w:rPr>
          <w:szCs w:val="21"/>
        </w:rPr>
        <w:t>.......................... 5</w:t>
      </w:r>
      <w:r>
        <w:rPr>
          <w:szCs w:val="21"/>
        </w:rPr>
        <w:t>67</w:t>
      </w:r>
      <w:r w:rsidRPr="00BB5B64">
        <w:rPr>
          <w:szCs w:val="21"/>
        </w:rPr>
        <w:br/>
        <w:t>11.15.2 Cálculo 1 — direito adquirido TC + fator previdenciário ..................... 5</w:t>
      </w:r>
      <w:r>
        <w:rPr>
          <w:szCs w:val="21"/>
        </w:rPr>
        <w:t>68</w:t>
      </w:r>
      <w:r w:rsidRPr="00BB5B64">
        <w:rPr>
          <w:szCs w:val="21"/>
        </w:rPr>
        <w:br/>
        <w:t>11.15.3 Cálculo 2 — direito adquirido regra 85/95 ............................................. 5</w:t>
      </w:r>
      <w:r>
        <w:rPr>
          <w:szCs w:val="21"/>
        </w:rPr>
        <w:t>68</w:t>
      </w:r>
      <w:r w:rsidRPr="00BB5B64">
        <w:rPr>
          <w:szCs w:val="21"/>
        </w:rPr>
        <w:br/>
        <w:t>11.15.4 Cálculo 3 — art. 15 (pontos) ............................................</w:t>
      </w:r>
      <w:r w:rsidR="00DC5E2B">
        <w:rPr>
          <w:szCs w:val="21"/>
        </w:rPr>
        <w:t>..</w:t>
      </w:r>
      <w:r w:rsidRPr="00BB5B64">
        <w:rPr>
          <w:szCs w:val="21"/>
        </w:rPr>
        <w:t>..................... 5</w:t>
      </w:r>
      <w:r>
        <w:rPr>
          <w:szCs w:val="21"/>
        </w:rPr>
        <w:t>6</w:t>
      </w:r>
      <w:r w:rsidRPr="00BB5B64">
        <w:rPr>
          <w:szCs w:val="21"/>
        </w:rPr>
        <w:t>9</w:t>
      </w:r>
      <w:r w:rsidRPr="00BB5B64">
        <w:rPr>
          <w:szCs w:val="21"/>
        </w:rPr>
        <w:br/>
        <w:t>11.15.5 Cálculo 4 — art. 16 (idade mínima progressiva) ..................................... 5</w:t>
      </w:r>
      <w:r>
        <w:rPr>
          <w:szCs w:val="21"/>
        </w:rPr>
        <w:t>69</w:t>
      </w:r>
      <w:r w:rsidRPr="00BB5B64">
        <w:rPr>
          <w:szCs w:val="21"/>
        </w:rPr>
        <w:br/>
        <w:t>11.15.6 Cálculo 5 — art. 17 (pedágio 50%) ...............................................</w:t>
      </w:r>
      <w:r w:rsidR="00DC5E2B">
        <w:rPr>
          <w:szCs w:val="21"/>
        </w:rPr>
        <w:t>..</w:t>
      </w:r>
      <w:r w:rsidRPr="00BB5B64">
        <w:rPr>
          <w:szCs w:val="21"/>
        </w:rPr>
        <w:t>......... 5</w:t>
      </w:r>
      <w:r>
        <w:rPr>
          <w:szCs w:val="21"/>
        </w:rPr>
        <w:t>7</w:t>
      </w:r>
      <w:r w:rsidRPr="00BB5B64">
        <w:rPr>
          <w:szCs w:val="21"/>
        </w:rPr>
        <w:t>0</w:t>
      </w:r>
      <w:r w:rsidRPr="00BB5B64">
        <w:rPr>
          <w:szCs w:val="21"/>
        </w:rPr>
        <w:br/>
      </w:r>
      <w:r w:rsidRPr="00BB5B64">
        <w:rPr>
          <w:szCs w:val="21"/>
        </w:rPr>
        <w:lastRenderedPageBreak/>
        <w:t>11.15.7 Cálculo 6 — art. 20 (pedágio 100%) .....................................</w:t>
      </w:r>
      <w:r w:rsidR="00DC5E2B">
        <w:rPr>
          <w:szCs w:val="21"/>
        </w:rPr>
        <w:t>.</w:t>
      </w:r>
      <w:r w:rsidRPr="00BB5B64">
        <w:rPr>
          <w:szCs w:val="21"/>
        </w:rPr>
        <w:t>.................. 5</w:t>
      </w:r>
      <w:r>
        <w:rPr>
          <w:szCs w:val="21"/>
        </w:rPr>
        <w:t>7</w:t>
      </w:r>
      <w:r w:rsidRPr="00BB5B64">
        <w:rPr>
          <w:szCs w:val="21"/>
        </w:rPr>
        <w:t>0</w:t>
      </w:r>
      <w:r w:rsidRPr="00BB5B64">
        <w:rPr>
          <w:szCs w:val="21"/>
        </w:rPr>
        <w:br/>
        <w:t>11.15.8 Quadro comparativo final — Ricardo .................................................... 5</w:t>
      </w:r>
      <w:r>
        <w:rPr>
          <w:szCs w:val="21"/>
        </w:rPr>
        <w:t>7</w:t>
      </w:r>
      <w:r w:rsidRPr="00BB5B64">
        <w:rPr>
          <w:szCs w:val="21"/>
        </w:rPr>
        <w:t>1</w:t>
      </w:r>
    </w:p>
    <w:p w14:paraId="56E888B0" w14:textId="6A286CA4" w:rsidR="003A005E" w:rsidRPr="00BB5B64" w:rsidRDefault="003A005E" w:rsidP="00DC5E2B">
      <w:pPr>
        <w:keepNext/>
        <w:pBdr>
          <w:bottom w:val="single" w:sz="8" w:space="4" w:color="B89B5E"/>
        </w:pBdr>
        <w:spacing w:after="0" w:line="240" w:lineRule="auto"/>
        <w:ind w:right="-171"/>
        <w:rPr>
          <w:szCs w:val="21"/>
        </w:rPr>
      </w:pPr>
      <w:r w:rsidRPr="00BB5B64">
        <w:rPr>
          <w:szCs w:val="21"/>
        </w:rPr>
        <w:t>11.16 Aspectos processuais específicos nos JEFs .....................................</w:t>
      </w:r>
      <w:r w:rsidR="00DC5E2B">
        <w:rPr>
          <w:szCs w:val="21"/>
        </w:rPr>
        <w:t>.....</w:t>
      </w:r>
      <w:r w:rsidRPr="00BB5B64">
        <w:rPr>
          <w:szCs w:val="21"/>
        </w:rPr>
        <w:t>........ 5</w:t>
      </w:r>
      <w:r>
        <w:rPr>
          <w:szCs w:val="21"/>
        </w:rPr>
        <w:t>72</w:t>
      </w:r>
      <w:r w:rsidRPr="00BB5B64">
        <w:rPr>
          <w:szCs w:val="21"/>
        </w:rPr>
        <w:br/>
        <w:t>11.16.1 Competência e valor da causa ..................................................</w:t>
      </w:r>
      <w:r w:rsidR="00DC5E2B">
        <w:rPr>
          <w:szCs w:val="21"/>
        </w:rPr>
        <w:t>...</w:t>
      </w:r>
      <w:r w:rsidRPr="00BB5B64">
        <w:rPr>
          <w:szCs w:val="21"/>
        </w:rPr>
        <w:t>............. 5</w:t>
      </w:r>
      <w:r>
        <w:rPr>
          <w:szCs w:val="21"/>
        </w:rPr>
        <w:t>72</w:t>
      </w:r>
      <w:r w:rsidRPr="00BB5B64">
        <w:rPr>
          <w:szCs w:val="21"/>
        </w:rPr>
        <w:br/>
        <w:t>11.16.2 Formulação do pedido .........................................................</w:t>
      </w:r>
      <w:r w:rsidR="00DC5E2B">
        <w:rPr>
          <w:szCs w:val="21"/>
        </w:rPr>
        <w:t>....</w:t>
      </w:r>
      <w:r w:rsidRPr="00BB5B64">
        <w:rPr>
          <w:szCs w:val="21"/>
        </w:rPr>
        <w:t>................ 5</w:t>
      </w:r>
      <w:r>
        <w:rPr>
          <w:szCs w:val="21"/>
        </w:rPr>
        <w:t>73</w:t>
      </w:r>
      <w:r w:rsidRPr="00BB5B64">
        <w:rPr>
          <w:szCs w:val="21"/>
        </w:rPr>
        <w:br/>
        <w:t>11.16.3 Instrução probatória .......................................................</w:t>
      </w:r>
      <w:r w:rsidR="00DC5E2B">
        <w:rPr>
          <w:szCs w:val="21"/>
        </w:rPr>
        <w:t>......</w:t>
      </w:r>
      <w:r w:rsidRPr="00BB5B64">
        <w:rPr>
          <w:szCs w:val="21"/>
        </w:rPr>
        <w:t>................... 5</w:t>
      </w:r>
      <w:r>
        <w:rPr>
          <w:szCs w:val="21"/>
        </w:rPr>
        <w:t>73</w:t>
      </w:r>
      <w:r w:rsidRPr="00BB5B64">
        <w:rPr>
          <w:szCs w:val="21"/>
        </w:rPr>
        <w:br/>
        <w:t>11.16.4 Tutela provisória ............................................................</w:t>
      </w:r>
      <w:r w:rsidR="00DC5E2B">
        <w:rPr>
          <w:szCs w:val="21"/>
        </w:rPr>
        <w:t>.....</w:t>
      </w:r>
      <w:r w:rsidRPr="00BB5B64">
        <w:rPr>
          <w:szCs w:val="21"/>
        </w:rPr>
        <w:t>..................... 5</w:t>
      </w:r>
      <w:r>
        <w:rPr>
          <w:szCs w:val="21"/>
        </w:rPr>
        <w:t>75</w:t>
      </w:r>
      <w:r w:rsidRPr="00BB5B64">
        <w:rPr>
          <w:szCs w:val="21"/>
        </w:rPr>
        <w:br/>
        <w:t>11.16.5 Honorários sucumbenciais ......................................</w:t>
      </w:r>
      <w:r w:rsidR="00DC5E2B">
        <w:rPr>
          <w:szCs w:val="21"/>
        </w:rPr>
        <w:t>..</w:t>
      </w:r>
      <w:r w:rsidRPr="00BB5B64">
        <w:rPr>
          <w:szCs w:val="21"/>
        </w:rPr>
        <w:t>............................. 5</w:t>
      </w:r>
      <w:r>
        <w:rPr>
          <w:szCs w:val="21"/>
        </w:rPr>
        <w:t>75</w:t>
      </w:r>
      <w:r w:rsidRPr="00BB5B64">
        <w:rPr>
          <w:szCs w:val="21"/>
        </w:rPr>
        <w:br/>
        <w:t>11.16.6 Recursos e execução ...............................................</w:t>
      </w:r>
      <w:r w:rsidR="00DC5E2B">
        <w:rPr>
          <w:szCs w:val="21"/>
        </w:rPr>
        <w:t>......</w:t>
      </w:r>
      <w:r w:rsidRPr="00BB5B64">
        <w:rPr>
          <w:szCs w:val="21"/>
        </w:rPr>
        <w:t>............................ 5</w:t>
      </w:r>
      <w:r>
        <w:rPr>
          <w:szCs w:val="21"/>
        </w:rPr>
        <w:t>76</w:t>
      </w:r>
      <w:r w:rsidRPr="00BB5B64">
        <w:rPr>
          <w:szCs w:val="21"/>
        </w:rPr>
        <w:br/>
        <w:t>11.16.7 Particularidades da audiência no JEF previdenciário .............................. 5</w:t>
      </w:r>
      <w:r>
        <w:rPr>
          <w:szCs w:val="21"/>
        </w:rPr>
        <w:t>77</w:t>
      </w:r>
    </w:p>
    <w:p w14:paraId="31D09A0F" w14:textId="246EA64F" w:rsidR="003A005E" w:rsidRPr="00BB5B64" w:rsidRDefault="003A005E" w:rsidP="00DC5E2B">
      <w:pPr>
        <w:keepNext/>
        <w:pBdr>
          <w:bottom w:val="single" w:sz="8" w:space="4" w:color="B89B5E"/>
        </w:pBdr>
        <w:spacing w:after="0" w:line="240" w:lineRule="auto"/>
        <w:ind w:right="-171"/>
        <w:rPr>
          <w:szCs w:val="21"/>
        </w:rPr>
      </w:pPr>
      <w:r w:rsidRPr="00BB5B64">
        <w:rPr>
          <w:szCs w:val="21"/>
        </w:rPr>
        <w:t>11.17 Questões especiais e casos de fronteira ....................................</w:t>
      </w:r>
      <w:r w:rsidR="00DC5E2B">
        <w:rPr>
          <w:szCs w:val="21"/>
        </w:rPr>
        <w:t>........</w:t>
      </w:r>
      <w:r w:rsidRPr="00BB5B64">
        <w:rPr>
          <w:szCs w:val="21"/>
        </w:rPr>
        <w:t>............ 5</w:t>
      </w:r>
      <w:r>
        <w:rPr>
          <w:szCs w:val="21"/>
        </w:rPr>
        <w:t>77</w:t>
      </w:r>
      <w:r w:rsidRPr="00BB5B64">
        <w:rPr>
          <w:szCs w:val="21"/>
        </w:rPr>
        <w:br/>
        <w:t>11.17.1 O professor nas regras de transição .........................................</w:t>
      </w:r>
      <w:r w:rsidR="00DC5E2B">
        <w:rPr>
          <w:szCs w:val="21"/>
        </w:rPr>
        <w:t>...</w:t>
      </w:r>
      <w:r w:rsidRPr="00BB5B64">
        <w:rPr>
          <w:szCs w:val="21"/>
        </w:rPr>
        <w:t>.............. 5</w:t>
      </w:r>
      <w:r>
        <w:rPr>
          <w:szCs w:val="21"/>
        </w:rPr>
        <w:t>77</w:t>
      </w:r>
      <w:r w:rsidRPr="00BB5B64">
        <w:rPr>
          <w:szCs w:val="21"/>
        </w:rPr>
        <w:br/>
        <w:t>11.17.2 Conceito de função de magistério ...............................................</w:t>
      </w:r>
      <w:r w:rsidR="00DC5E2B">
        <w:rPr>
          <w:szCs w:val="21"/>
        </w:rPr>
        <w:t>.</w:t>
      </w:r>
      <w:r w:rsidRPr="00BB5B64">
        <w:rPr>
          <w:szCs w:val="21"/>
        </w:rPr>
        <w:t>........... 5</w:t>
      </w:r>
      <w:r>
        <w:rPr>
          <w:szCs w:val="21"/>
        </w:rPr>
        <w:t>79</w:t>
      </w:r>
      <w:r w:rsidRPr="00BB5B64">
        <w:rPr>
          <w:szCs w:val="21"/>
        </w:rPr>
        <w:br/>
        <w:t>11.17.3 Tempo de aluno-aprendiz ........................................</w:t>
      </w:r>
      <w:r w:rsidR="00DC5E2B">
        <w:rPr>
          <w:szCs w:val="21"/>
        </w:rPr>
        <w:t>..</w:t>
      </w:r>
      <w:r w:rsidRPr="00BB5B64">
        <w:rPr>
          <w:szCs w:val="21"/>
        </w:rPr>
        <w:t>............................. 5</w:t>
      </w:r>
      <w:r>
        <w:rPr>
          <w:szCs w:val="21"/>
        </w:rPr>
        <w:t>80</w:t>
      </w:r>
      <w:r w:rsidRPr="00BB5B64">
        <w:rPr>
          <w:szCs w:val="21"/>
        </w:rPr>
        <w:br/>
        <w:t>11.17.4 Tempo de serviço militar obrigatório ...................................................... 5</w:t>
      </w:r>
      <w:r>
        <w:rPr>
          <w:szCs w:val="21"/>
        </w:rPr>
        <w:t>81</w:t>
      </w:r>
      <w:r w:rsidRPr="00BB5B64">
        <w:rPr>
          <w:szCs w:val="21"/>
        </w:rPr>
        <w:br/>
        <w:t>11.17.5 Aposentadoria proporcional (EC 20/1998) — direito adquirido residual .....</w:t>
      </w:r>
      <w:r w:rsidR="00DC5E2B">
        <w:rPr>
          <w:szCs w:val="21"/>
        </w:rPr>
        <w:t>........................................................................................................................</w:t>
      </w:r>
      <w:r w:rsidRPr="00BB5B64">
        <w:rPr>
          <w:szCs w:val="21"/>
        </w:rPr>
        <w:t>... 5</w:t>
      </w:r>
      <w:r>
        <w:rPr>
          <w:szCs w:val="21"/>
        </w:rPr>
        <w:t>82</w:t>
      </w:r>
      <w:r w:rsidRPr="00BB5B64">
        <w:rPr>
          <w:szCs w:val="21"/>
        </w:rPr>
        <w:br/>
        <w:t>11.17.6 Segurado que trabalhou no exterior ........................................................ 5</w:t>
      </w:r>
      <w:r>
        <w:rPr>
          <w:szCs w:val="21"/>
        </w:rPr>
        <w:t>83</w:t>
      </w:r>
    </w:p>
    <w:p w14:paraId="2AB30E49" w14:textId="73144F44" w:rsidR="003A005E" w:rsidRPr="00BB5B64" w:rsidRDefault="003A005E" w:rsidP="00DC5E2B">
      <w:pPr>
        <w:keepNext/>
        <w:pBdr>
          <w:bottom w:val="single" w:sz="8" w:space="4" w:color="B89B5E"/>
        </w:pBdr>
        <w:spacing w:after="0" w:line="240" w:lineRule="auto"/>
        <w:ind w:right="-171"/>
        <w:rPr>
          <w:szCs w:val="21"/>
        </w:rPr>
      </w:pPr>
      <w:r w:rsidRPr="00BB5B64">
        <w:rPr>
          <w:szCs w:val="21"/>
        </w:rPr>
        <w:t>11.18 Síntese e tabelas de consulta rápida .........................................</w:t>
      </w:r>
      <w:r w:rsidR="00DC5E2B">
        <w:rPr>
          <w:szCs w:val="21"/>
        </w:rPr>
        <w:t>.......</w:t>
      </w:r>
      <w:r w:rsidRPr="00BB5B64">
        <w:rPr>
          <w:szCs w:val="21"/>
        </w:rPr>
        <w:t>............. 5</w:t>
      </w:r>
      <w:r>
        <w:rPr>
          <w:szCs w:val="21"/>
        </w:rPr>
        <w:t>84</w:t>
      </w:r>
      <w:r w:rsidRPr="00BB5B64">
        <w:rPr>
          <w:szCs w:val="21"/>
        </w:rPr>
        <w:br/>
        <w:t>11.18.1 Tabela-resumo das regras de transição por TC ....................................... 5</w:t>
      </w:r>
      <w:r>
        <w:rPr>
          <w:szCs w:val="21"/>
        </w:rPr>
        <w:t>84</w:t>
      </w:r>
      <w:r w:rsidRPr="00BB5B64">
        <w:rPr>
          <w:szCs w:val="21"/>
        </w:rPr>
        <w:br/>
        <w:t xml:space="preserve">11.18.2 Tabela evolutiva ano a ano — pontos (art. 15) e idade (art. 16) ............. </w:t>
      </w:r>
      <w:r>
        <w:rPr>
          <w:szCs w:val="21"/>
        </w:rPr>
        <w:t>585</w:t>
      </w:r>
      <w:r w:rsidRPr="00BB5B64">
        <w:rPr>
          <w:szCs w:val="21"/>
        </w:rPr>
        <w:br/>
        <w:t>11.18.3 Fluxograma decisório do advogado .................................................</w:t>
      </w:r>
      <w:r w:rsidR="00DC5E2B">
        <w:rPr>
          <w:szCs w:val="21"/>
        </w:rPr>
        <w:t>.</w:t>
      </w:r>
      <w:r w:rsidRPr="00BB5B64">
        <w:rPr>
          <w:szCs w:val="21"/>
        </w:rPr>
        <w:t xml:space="preserve">....... </w:t>
      </w:r>
      <w:r>
        <w:rPr>
          <w:szCs w:val="21"/>
        </w:rPr>
        <w:t>586</w:t>
      </w:r>
      <w:r w:rsidRPr="00BB5B64">
        <w:rPr>
          <w:szCs w:val="21"/>
        </w:rPr>
        <w:br/>
        <w:t>11.18.4 Checklist completo ....................................................................</w:t>
      </w:r>
      <w:r w:rsidR="00DC5E2B">
        <w:rPr>
          <w:szCs w:val="21"/>
        </w:rPr>
        <w:t>.....</w:t>
      </w:r>
      <w:r w:rsidRPr="00BB5B64">
        <w:rPr>
          <w:szCs w:val="21"/>
        </w:rPr>
        <w:t xml:space="preserve">......... </w:t>
      </w:r>
      <w:r>
        <w:rPr>
          <w:szCs w:val="21"/>
        </w:rPr>
        <w:t>587</w:t>
      </w:r>
      <w:r w:rsidRPr="00BB5B64">
        <w:rPr>
          <w:szCs w:val="21"/>
        </w:rPr>
        <w:br/>
        <w:t>11.18.5 Valores de referência 2026 ...................................................</w:t>
      </w:r>
      <w:r w:rsidR="00DC5E2B">
        <w:rPr>
          <w:szCs w:val="21"/>
        </w:rPr>
        <w:t>....</w:t>
      </w:r>
      <w:r w:rsidRPr="00BB5B64">
        <w:rPr>
          <w:szCs w:val="21"/>
        </w:rPr>
        <w:t xml:space="preserve">................ </w:t>
      </w:r>
      <w:r>
        <w:rPr>
          <w:szCs w:val="21"/>
        </w:rPr>
        <w:t>588</w:t>
      </w:r>
      <w:r w:rsidRPr="00BB5B64">
        <w:rPr>
          <w:szCs w:val="21"/>
        </w:rPr>
        <w:br/>
        <w:t>11.18.6 Perspectivas e prazo de vigência ........................................</w:t>
      </w:r>
      <w:r w:rsidR="00DC5E2B">
        <w:rPr>
          <w:szCs w:val="21"/>
        </w:rPr>
        <w:t>....</w:t>
      </w:r>
      <w:r w:rsidRPr="00BB5B64">
        <w:rPr>
          <w:szCs w:val="21"/>
        </w:rPr>
        <w:t xml:space="preserve">................... </w:t>
      </w:r>
      <w:r>
        <w:rPr>
          <w:szCs w:val="21"/>
        </w:rPr>
        <w:t>589</w:t>
      </w:r>
    </w:p>
    <w:p w14:paraId="3237E262" w14:textId="4636E08D" w:rsidR="003A005E" w:rsidRDefault="003A005E" w:rsidP="00DC5E2B">
      <w:pPr>
        <w:keepNext/>
        <w:pBdr>
          <w:bottom w:val="single" w:sz="8" w:space="4" w:color="B89B5E"/>
        </w:pBdr>
        <w:spacing w:after="0" w:line="240" w:lineRule="auto"/>
        <w:ind w:right="-171"/>
        <w:rPr>
          <w:szCs w:val="21"/>
        </w:rPr>
      </w:pPr>
      <w:r w:rsidRPr="00E56701">
        <w:rPr>
          <w:szCs w:val="21"/>
        </w:rPr>
        <w:t xml:space="preserve">Capítulo 12 — Aposentadoria da Pessoa com Deficiência (LC 142/2013) ................................................................................................................................ </w:t>
      </w:r>
      <w:r>
        <w:rPr>
          <w:szCs w:val="21"/>
        </w:rPr>
        <w:t>59</w:t>
      </w:r>
      <w:r w:rsidRPr="00E56701">
        <w:rPr>
          <w:szCs w:val="21"/>
        </w:rPr>
        <w:t>2</w:t>
      </w:r>
    </w:p>
    <w:p w14:paraId="0D6CF2E0" w14:textId="58398B72" w:rsidR="003A005E" w:rsidRPr="00C42B3F" w:rsidRDefault="003A005E" w:rsidP="00DC5E2B">
      <w:pPr>
        <w:keepNext/>
        <w:pBdr>
          <w:bottom w:val="single" w:sz="8" w:space="4" w:color="B89B5E"/>
        </w:pBdr>
        <w:spacing w:after="0" w:line="240" w:lineRule="auto"/>
        <w:ind w:right="-171"/>
        <w:rPr>
          <w:szCs w:val="21"/>
        </w:rPr>
      </w:pPr>
      <w:r w:rsidRPr="00C42B3F">
        <w:rPr>
          <w:szCs w:val="21"/>
        </w:rPr>
        <w:t>12.1 Introdução e fundamento constitucional ......</w:t>
      </w:r>
      <w:r w:rsidR="00DC5E2B">
        <w:rPr>
          <w:szCs w:val="21"/>
        </w:rPr>
        <w:t>.........................</w:t>
      </w:r>
      <w:r w:rsidRPr="00C42B3F">
        <w:rPr>
          <w:szCs w:val="21"/>
        </w:rPr>
        <w:t>..................... 592</w:t>
      </w:r>
    </w:p>
    <w:p w14:paraId="27AE34C6" w14:textId="0D787429" w:rsidR="003A005E" w:rsidRPr="00C42B3F" w:rsidRDefault="003A005E" w:rsidP="00ED70D0">
      <w:pPr>
        <w:keepNext/>
        <w:pBdr>
          <w:bottom w:val="single" w:sz="8" w:space="4" w:color="B89B5E"/>
        </w:pBdr>
        <w:spacing w:after="0" w:line="240" w:lineRule="auto"/>
        <w:ind w:right="-171"/>
        <w:rPr>
          <w:szCs w:val="21"/>
        </w:rPr>
      </w:pPr>
      <w:r w:rsidRPr="00C42B3F">
        <w:rPr>
          <w:szCs w:val="21"/>
        </w:rPr>
        <w:t>12.2 Evolução legislativa: da omissão legislativa ao modelo biopsicossocial ........ 59</w:t>
      </w:r>
      <w:r>
        <w:rPr>
          <w:szCs w:val="21"/>
        </w:rPr>
        <w:t>4</w:t>
      </w:r>
      <w:r w:rsidRPr="00C42B3F">
        <w:rPr>
          <w:szCs w:val="21"/>
        </w:rPr>
        <w:br/>
        <w:t>12.2.1 Primeira fase: previsão constitucional sem regulamentação (1988-2013) .................</w:t>
      </w:r>
      <w:r w:rsidR="00ED70D0">
        <w:rPr>
          <w:szCs w:val="21"/>
        </w:rPr>
        <w:t>.....................................................................................................</w:t>
      </w:r>
      <w:r w:rsidRPr="00C42B3F">
        <w:rPr>
          <w:szCs w:val="21"/>
        </w:rPr>
        <w:t>.......... 59</w:t>
      </w:r>
      <w:r>
        <w:rPr>
          <w:szCs w:val="21"/>
        </w:rPr>
        <w:t>4</w:t>
      </w:r>
      <w:r w:rsidRPr="00C42B3F">
        <w:rPr>
          <w:szCs w:val="21"/>
        </w:rPr>
        <w:br/>
        <w:t>12.2.2 Segunda fase: a LC 142/2013 e a regulamentação ..........</w:t>
      </w:r>
      <w:r w:rsidR="00ED70D0">
        <w:rPr>
          <w:szCs w:val="21"/>
        </w:rPr>
        <w:t>..........</w:t>
      </w:r>
      <w:r w:rsidRPr="00C42B3F">
        <w:rPr>
          <w:szCs w:val="21"/>
        </w:rPr>
        <w:t>................. 59</w:t>
      </w:r>
      <w:r>
        <w:rPr>
          <w:szCs w:val="21"/>
        </w:rPr>
        <w:t>5</w:t>
      </w:r>
      <w:r w:rsidRPr="00C42B3F">
        <w:rPr>
          <w:szCs w:val="21"/>
        </w:rPr>
        <w:br/>
        <w:t>12.2.3 Terceira fase: consolidação do modelo biopsicossocial (2015-2019) ....... 59</w:t>
      </w:r>
      <w:r>
        <w:rPr>
          <w:szCs w:val="21"/>
        </w:rPr>
        <w:t>5</w:t>
      </w:r>
      <w:r w:rsidRPr="00C42B3F">
        <w:rPr>
          <w:szCs w:val="21"/>
        </w:rPr>
        <w:br/>
        <w:t>12.2.4 Quarta fase: manutenção pós-reforma (2019-presente) ........................... 59</w:t>
      </w:r>
      <w:r>
        <w:rPr>
          <w:szCs w:val="21"/>
        </w:rPr>
        <w:t>5</w:t>
      </w:r>
    </w:p>
    <w:p w14:paraId="612B48A6" w14:textId="1B1FF8E5" w:rsidR="003A005E" w:rsidRPr="00C42B3F" w:rsidRDefault="003A005E" w:rsidP="00ED70D0">
      <w:pPr>
        <w:keepNext/>
        <w:pBdr>
          <w:bottom w:val="single" w:sz="8" w:space="4" w:color="B89B5E"/>
        </w:pBdr>
        <w:spacing w:after="0" w:line="240" w:lineRule="auto"/>
        <w:ind w:right="-171"/>
        <w:rPr>
          <w:szCs w:val="21"/>
        </w:rPr>
      </w:pPr>
      <w:r w:rsidRPr="00C42B3F">
        <w:rPr>
          <w:szCs w:val="21"/>
        </w:rPr>
        <w:t>12.3 Conceito de deficiência para fins de aposentadoria .....................</w:t>
      </w:r>
      <w:r w:rsidR="00ED70D0">
        <w:rPr>
          <w:szCs w:val="21"/>
        </w:rPr>
        <w:t>..........</w:t>
      </w:r>
      <w:r w:rsidRPr="00C42B3F">
        <w:rPr>
          <w:szCs w:val="21"/>
        </w:rPr>
        <w:t>...... 59</w:t>
      </w:r>
      <w:r>
        <w:rPr>
          <w:szCs w:val="21"/>
        </w:rPr>
        <w:t>7</w:t>
      </w:r>
      <w:r w:rsidRPr="00C42B3F">
        <w:rPr>
          <w:szCs w:val="21"/>
        </w:rPr>
        <w:br/>
        <w:t>12.3.1 Deficiência versus incapacidade: distinção fundamental ......................... 59</w:t>
      </w:r>
      <w:r>
        <w:rPr>
          <w:szCs w:val="21"/>
        </w:rPr>
        <w:t>7</w:t>
      </w:r>
      <w:r w:rsidRPr="00C42B3F">
        <w:rPr>
          <w:szCs w:val="21"/>
        </w:rPr>
        <w:br/>
      </w:r>
      <w:r w:rsidRPr="00C42B3F">
        <w:rPr>
          <w:szCs w:val="21"/>
        </w:rPr>
        <w:lastRenderedPageBreak/>
        <w:t>12.3.2 Impedimento de longo prazo ..............</w:t>
      </w:r>
      <w:r w:rsidR="00ED70D0">
        <w:rPr>
          <w:szCs w:val="21"/>
        </w:rPr>
        <w:t>.........................................</w:t>
      </w:r>
      <w:r w:rsidRPr="00C42B3F">
        <w:rPr>
          <w:szCs w:val="21"/>
        </w:rPr>
        <w:t xml:space="preserve">............. </w:t>
      </w:r>
      <w:r>
        <w:rPr>
          <w:szCs w:val="21"/>
        </w:rPr>
        <w:t>599</w:t>
      </w:r>
      <w:r w:rsidRPr="00C42B3F">
        <w:rPr>
          <w:szCs w:val="21"/>
        </w:rPr>
        <w:br/>
        <w:t>12.3.3 Deficiência versus doença ..........</w:t>
      </w:r>
      <w:r w:rsidR="00ED70D0">
        <w:rPr>
          <w:szCs w:val="21"/>
        </w:rPr>
        <w:t>...............................................</w:t>
      </w:r>
      <w:r w:rsidRPr="00C42B3F">
        <w:rPr>
          <w:szCs w:val="21"/>
        </w:rPr>
        <w:t>................. 60</w:t>
      </w:r>
      <w:r>
        <w:rPr>
          <w:szCs w:val="21"/>
        </w:rPr>
        <w:t>0</w:t>
      </w:r>
      <w:r w:rsidRPr="00C42B3F">
        <w:rPr>
          <w:szCs w:val="21"/>
        </w:rPr>
        <w:br/>
        <w:t>12.3.4 Pessoas com deficiência e o mercado de trabalho ...................</w:t>
      </w:r>
      <w:r w:rsidR="00ED70D0">
        <w:rPr>
          <w:szCs w:val="21"/>
        </w:rPr>
        <w:t>...........</w:t>
      </w:r>
      <w:r w:rsidRPr="00C42B3F">
        <w:rPr>
          <w:szCs w:val="21"/>
        </w:rPr>
        <w:t>........ 60</w:t>
      </w:r>
      <w:r>
        <w:rPr>
          <w:szCs w:val="21"/>
        </w:rPr>
        <w:t>0</w:t>
      </w:r>
    </w:p>
    <w:p w14:paraId="548EF566" w14:textId="26D49440" w:rsidR="003A005E" w:rsidRPr="00C42B3F" w:rsidRDefault="003A005E" w:rsidP="00ED70D0">
      <w:pPr>
        <w:keepNext/>
        <w:pBdr>
          <w:bottom w:val="single" w:sz="8" w:space="4" w:color="B89B5E"/>
        </w:pBdr>
        <w:spacing w:after="0" w:line="240" w:lineRule="auto"/>
        <w:ind w:right="-171"/>
        <w:rPr>
          <w:szCs w:val="21"/>
        </w:rPr>
      </w:pPr>
      <w:r w:rsidRPr="00C42B3F">
        <w:rPr>
          <w:szCs w:val="21"/>
        </w:rPr>
        <w:t>12.4 Graus de deficiência: leve, moderada e grave ...........</w:t>
      </w:r>
      <w:r w:rsidR="00F47FBD">
        <w:rPr>
          <w:szCs w:val="21"/>
        </w:rPr>
        <w:t>.....................</w:t>
      </w:r>
      <w:r w:rsidRPr="00C42B3F">
        <w:rPr>
          <w:szCs w:val="21"/>
        </w:rPr>
        <w:t>................ 60</w:t>
      </w:r>
      <w:r>
        <w:rPr>
          <w:szCs w:val="21"/>
        </w:rPr>
        <w:t>1</w:t>
      </w:r>
      <w:r w:rsidRPr="00C42B3F">
        <w:rPr>
          <w:szCs w:val="21"/>
        </w:rPr>
        <w:br/>
        <w:t>12.4.1 Tempos de contribuição por grau ..........</w:t>
      </w:r>
      <w:r w:rsidR="00F47FBD">
        <w:rPr>
          <w:szCs w:val="21"/>
        </w:rPr>
        <w:t>..................................</w:t>
      </w:r>
      <w:r w:rsidRPr="00C42B3F">
        <w:rPr>
          <w:szCs w:val="21"/>
        </w:rPr>
        <w:t>................. 60</w:t>
      </w:r>
      <w:r>
        <w:rPr>
          <w:szCs w:val="21"/>
        </w:rPr>
        <w:t>1</w:t>
      </w:r>
      <w:r w:rsidRPr="00C42B3F">
        <w:rPr>
          <w:szCs w:val="21"/>
        </w:rPr>
        <w:br/>
        <w:t>12.4.2 Critérios de classificação: o IF-BrA ....................</w:t>
      </w:r>
      <w:r w:rsidR="00F47FBD">
        <w:rPr>
          <w:szCs w:val="21"/>
        </w:rPr>
        <w:t>.................................</w:t>
      </w:r>
      <w:r w:rsidRPr="00C42B3F">
        <w:rPr>
          <w:szCs w:val="21"/>
        </w:rPr>
        <w:t>....... 60</w:t>
      </w:r>
      <w:r>
        <w:rPr>
          <w:szCs w:val="21"/>
        </w:rPr>
        <w:t>2</w:t>
      </w:r>
      <w:r w:rsidRPr="00C42B3F">
        <w:rPr>
          <w:szCs w:val="21"/>
        </w:rPr>
        <w:br/>
        <w:t>12.4.3 Grau preponderante ........</w:t>
      </w:r>
      <w:r w:rsidR="00F47FBD">
        <w:rPr>
          <w:szCs w:val="21"/>
        </w:rPr>
        <w:t>.......................................................</w:t>
      </w:r>
      <w:r w:rsidRPr="00C42B3F">
        <w:rPr>
          <w:szCs w:val="21"/>
        </w:rPr>
        <w:t>................... 60</w:t>
      </w:r>
      <w:r>
        <w:rPr>
          <w:szCs w:val="21"/>
        </w:rPr>
        <w:t>5</w:t>
      </w:r>
    </w:p>
    <w:p w14:paraId="0B6935E1" w14:textId="1BAEBA14" w:rsidR="003A005E" w:rsidRPr="00C42B3F" w:rsidRDefault="003A005E" w:rsidP="00ED70D0">
      <w:pPr>
        <w:keepNext/>
        <w:pBdr>
          <w:bottom w:val="single" w:sz="8" w:space="4" w:color="B89B5E"/>
        </w:pBdr>
        <w:spacing w:after="0" w:line="240" w:lineRule="auto"/>
        <w:ind w:right="-171"/>
        <w:rPr>
          <w:szCs w:val="21"/>
        </w:rPr>
      </w:pPr>
      <w:r w:rsidRPr="00C42B3F">
        <w:rPr>
          <w:szCs w:val="21"/>
        </w:rPr>
        <w:t>12.5 Aposentadoria por tempo de contribuição da pessoa com deficiência ...........</w:t>
      </w:r>
      <w:r w:rsidR="00F47FBD">
        <w:rPr>
          <w:szCs w:val="21"/>
        </w:rPr>
        <w:t>.....................................................................................................</w:t>
      </w:r>
      <w:r w:rsidRPr="00C42B3F">
        <w:rPr>
          <w:szCs w:val="21"/>
        </w:rPr>
        <w:t>................ 60</w:t>
      </w:r>
      <w:r>
        <w:rPr>
          <w:szCs w:val="21"/>
        </w:rPr>
        <w:t>5</w:t>
      </w:r>
      <w:r w:rsidRPr="00C42B3F">
        <w:rPr>
          <w:szCs w:val="21"/>
        </w:rPr>
        <w:br/>
        <w:t>12.5.1 Cálculo do benefício ................</w:t>
      </w:r>
      <w:r w:rsidR="00F47FBD">
        <w:rPr>
          <w:szCs w:val="21"/>
        </w:rPr>
        <w:t>.......................................................</w:t>
      </w:r>
      <w:r w:rsidRPr="00C42B3F">
        <w:rPr>
          <w:szCs w:val="21"/>
        </w:rPr>
        <w:t>........... 6</w:t>
      </w:r>
      <w:r>
        <w:rPr>
          <w:szCs w:val="21"/>
        </w:rPr>
        <w:t>06</w:t>
      </w:r>
      <w:r w:rsidRPr="00C42B3F">
        <w:rPr>
          <w:szCs w:val="21"/>
        </w:rPr>
        <w:br/>
        <w:t>12.5.2 Comparativo detalhado com as regras de transição do Capítulo 11 ..........</w:t>
      </w:r>
      <w:r w:rsidR="00F47FBD">
        <w:rPr>
          <w:szCs w:val="21"/>
        </w:rPr>
        <w:t>.....................................................................................................</w:t>
      </w:r>
      <w:r w:rsidRPr="00C42B3F">
        <w:rPr>
          <w:szCs w:val="21"/>
        </w:rPr>
        <w:t>................. 6</w:t>
      </w:r>
      <w:r>
        <w:rPr>
          <w:szCs w:val="21"/>
        </w:rPr>
        <w:t>07</w:t>
      </w:r>
      <w:r w:rsidRPr="00C42B3F">
        <w:rPr>
          <w:szCs w:val="21"/>
        </w:rPr>
        <w:br/>
        <w:t>12.5.3 Controvérsia sobre o cálculo pós-EC 103/2019 ..........</w:t>
      </w:r>
      <w:r w:rsidR="00F47FBD">
        <w:rPr>
          <w:szCs w:val="21"/>
        </w:rPr>
        <w:t>............</w:t>
      </w:r>
      <w:r w:rsidRPr="00C42B3F">
        <w:rPr>
          <w:szCs w:val="21"/>
        </w:rPr>
        <w:t>................. 6</w:t>
      </w:r>
      <w:r>
        <w:rPr>
          <w:szCs w:val="21"/>
        </w:rPr>
        <w:t>08</w:t>
      </w:r>
    </w:p>
    <w:p w14:paraId="5E44BAD3" w14:textId="0CFD7461" w:rsidR="003A005E" w:rsidRPr="00C42B3F" w:rsidRDefault="003A005E" w:rsidP="00ED70D0">
      <w:pPr>
        <w:keepNext/>
        <w:pBdr>
          <w:bottom w:val="single" w:sz="8" w:space="4" w:color="B89B5E"/>
        </w:pBdr>
        <w:spacing w:after="0" w:line="240" w:lineRule="auto"/>
        <w:ind w:right="-171"/>
        <w:rPr>
          <w:szCs w:val="21"/>
        </w:rPr>
      </w:pPr>
      <w:r w:rsidRPr="00C42B3F">
        <w:rPr>
          <w:szCs w:val="21"/>
        </w:rPr>
        <w:t>12.6 Aposentadoria por idade da pessoa com deficiência .............</w:t>
      </w:r>
      <w:r w:rsidR="00F47FBD">
        <w:rPr>
          <w:szCs w:val="21"/>
        </w:rPr>
        <w:t>.........</w:t>
      </w:r>
      <w:r w:rsidRPr="00C42B3F">
        <w:rPr>
          <w:szCs w:val="21"/>
        </w:rPr>
        <w:t>.............. 61</w:t>
      </w:r>
      <w:r>
        <w:rPr>
          <w:szCs w:val="21"/>
        </w:rPr>
        <w:t>0</w:t>
      </w:r>
      <w:r w:rsidRPr="00C42B3F">
        <w:rPr>
          <w:szCs w:val="21"/>
        </w:rPr>
        <w:br/>
        <w:t>12.6.1 Requisitos .......................</w:t>
      </w:r>
      <w:r w:rsidR="00F47FBD">
        <w:rPr>
          <w:szCs w:val="21"/>
        </w:rPr>
        <w:t>.......................................................................</w:t>
      </w:r>
      <w:r w:rsidRPr="00C42B3F">
        <w:rPr>
          <w:szCs w:val="21"/>
        </w:rPr>
        <w:t>.... 61</w:t>
      </w:r>
      <w:r>
        <w:rPr>
          <w:szCs w:val="21"/>
        </w:rPr>
        <w:t>0</w:t>
      </w:r>
      <w:r w:rsidRPr="00C42B3F">
        <w:rPr>
          <w:szCs w:val="21"/>
        </w:rPr>
        <w:br/>
        <w:t>12.6.2 Cálculo do benefício ..................</w:t>
      </w:r>
      <w:r w:rsidR="00F47FBD">
        <w:rPr>
          <w:szCs w:val="21"/>
        </w:rPr>
        <w:t>.......................................................</w:t>
      </w:r>
      <w:r w:rsidRPr="00C42B3F">
        <w:rPr>
          <w:szCs w:val="21"/>
        </w:rPr>
        <w:t>......... 61</w:t>
      </w:r>
      <w:r>
        <w:rPr>
          <w:szCs w:val="21"/>
        </w:rPr>
        <w:t>1</w:t>
      </w:r>
      <w:r w:rsidRPr="00C42B3F">
        <w:rPr>
          <w:szCs w:val="21"/>
        </w:rPr>
        <w:br/>
        <w:t>12.6.3 Quando a aposentadoria por idade PcD é mais vantajosa ......................... 61</w:t>
      </w:r>
      <w:r>
        <w:rPr>
          <w:szCs w:val="21"/>
        </w:rPr>
        <w:t>2</w:t>
      </w:r>
      <w:r w:rsidRPr="00C42B3F">
        <w:rPr>
          <w:szCs w:val="21"/>
        </w:rPr>
        <w:br/>
        <w:t>12.6.4 Tabela comparativa: aposentadoria por idade PcD vs. regra permanente vs. transição .........</w:t>
      </w:r>
      <w:r w:rsidR="00F47FBD">
        <w:rPr>
          <w:szCs w:val="21"/>
        </w:rPr>
        <w:t>...........................................................................................</w:t>
      </w:r>
      <w:r w:rsidRPr="00C42B3F">
        <w:rPr>
          <w:szCs w:val="21"/>
        </w:rPr>
        <w:t>............ 61</w:t>
      </w:r>
      <w:r>
        <w:rPr>
          <w:szCs w:val="21"/>
        </w:rPr>
        <w:t>3</w:t>
      </w:r>
      <w:r w:rsidRPr="00C42B3F">
        <w:rPr>
          <w:szCs w:val="21"/>
        </w:rPr>
        <w:br/>
        <w:t>12.6.5 Aposentadoria por idade da PcD e o art. 6º da LC 142 .............</w:t>
      </w:r>
      <w:r w:rsidR="00F47FBD">
        <w:rPr>
          <w:szCs w:val="21"/>
        </w:rPr>
        <w:t>..</w:t>
      </w:r>
      <w:r w:rsidRPr="00C42B3F">
        <w:rPr>
          <w:szCs w:val="21"/>
        </w:rPr>
        <w:t>.............. 61</w:t>
      </w:r>
      <w:r>
        <w:rPr>
          <w:szCs w:val="21"/>
        </w:rPr>
        <w:t>3</w:t>
      </w:r>
    </w:p>
    <w:p w14:paraId="0DC01270" w14:textId="7D3927C0" w:rsidR="003A005E" w:rsidRPr="00C42B3F" w:rsidRDefault="003A005E" w:rsidP="00ED70D0">
      <w:pPr>
        <w:keepNext/>
        <w:pBdr>
          <w:bottom w:val="single" w:sz="8" w:space="4" w:color="B89B5E"/>
        </w:pBdr>
        <w:spacing w:after="0" w:line="240" w:lineRule="auto"/>
        <w:ind w:right="-171"/>
        <w:rPr>
          <w:szCs w:val="21"/>
        </w:rPr>
      </w:pPr>
      <w:r w:rsidRPr="00C42B3F">
        <w:rPr>
          <w:szCs w:val="21"/>
        </w:rPr>
        <w:t>12.7 Deficiência superveniente e conversão proporcional ..............</w:t>
      </w:r>
      <w:r w:rsidR="00F47FBD">
        <w:rPr>
          <w:szCs w:val="21"/>
        </w:rPr>
        <w:t>.......</w:t>
      </w:r>
      <w:r w:rsidRPr="00C42B3F">
        <w:rPr>
          <w:szCs w:val="21"/>
        </w:rPr>
        <w:t>............. 6</w:t>
      </w:r>
      <w:r>
        <w:rPr>
          <w:szCs w:val="21"/>
        </w:rPr>
        <w:t>14</w:t>
      </w:r>
      <w:r w:rsidRPr="00C42B3F">
        <w:rPr>
          <w:szCs w:val="21"/>
        </w:rPr>
        <w:br/>
        <w:t>12.7.1 Mecanismo de conversão ..............</w:t>
      </w:r>
      <w:r w:rsidR="00F47FBD">
        <w:rPr>
          <w:szCs w:val="21"/>
        </w:rPr>
        <w:t>................................................</w:t>
      </w:r>
      <w:r w:rsidRPr="00C42B3F">
        <w:rPr>
          <w:szCs w:val="21"/>
        </w:rPr>
        <w:t>............. 6</w:t>
      </w:r>
      <w:r>
        <w:rPr>
          <w:szCs w:val="21"/>
        </w:rPr>
        <w:t>14</w:t>
      </w:r>
      <w:r w:rsidRPr="00C42B3F">
        <w:rPr>
          <w:szCs w:val="21"/>
        </w:rPr>
        <w:br/>
        <w:t>12.7.2 Tabelas de fatores de conversão ....................</w:t>
      </w:r>
      <w:r w:rsidR="00F47FBD">
        <w:rPr>
          <w:szCs w:val="21"/>
        </w:rPr>
        <w:t>......................................</w:t>
      </w:r>
      <w:r w:rsidRPr="00C42B3F">
        <w:rPr>
          <w:szCs w:val="21"/>
        </w:rPr>
        <w:t>....... 6</w:t>
      </w:r>
      <w:r>
        <w:rPr>
          <w:szCs w:val="21"/>
        </w:rPr>
        <w:t>15</w:t>
      </w:r>
    </w:p>
    <w:p w14:paraId="1C9007BD" w14:textId="187E981D" w:rsidR="003A005E" w:rsidRPr="00C42B3F" w:rsidRDefault="003A005E" w:rsidP="00ED70D0">
      <w:pPr>
        <w:keepNext/>
        <w:pBdr>
          <w:bottom w:val="single" w:sz="8" w:space="4" w:color="B89B5E"/>
        </w:pBdr>
        <w:spacing w:after="0" w:line="240" w:lineRule="auto"/>
        <w:ind w:right="-171"/>
        <w:rPr>
          <w:szCs w:val="21"/>
        </w:rPr>
      </w:pPr>
      <w:r w:rsidRPr="00C42B3F">
        <w:rPr>
          <w:szCs w:val="21"/>
        </w:rPr>
        <w:t>12.8 Alteração do grau de deficiência ..............</w:t>
      </w:r>
      <w:r w:rsidR="00930E0B">
        <w:rPr>
          <w:szCs w:val="21"/>
        </w:rPr>
        <w:t>........................................</w:t>
      </w:r>
      <w:r w:rsidRPr="00C42B3F">
        <w:rPr>
          <w:szCs w:val="21"/>
        </w:rPr>
        <w:t>............. 6</w:t>
      </w:r>
      <w:r>
        <w:rPr>
          <w:szCs w:val="21"/>
        </w:rPr>
        <w:t>17</w:t>
      </w:r>
    </w:p>
    <w:p w14:paraId="5C85A836" w14:textId="0BEF8134" w:rsidR="003A005E" w:rsidRPr="00C42B3F" w:rsidRDefault="003A005E" w:rsidP="00ED70D0">
      <w:pPr>
        <w:keepNext/>
        <w:pBdr>
          <w:bottom w:val="single" w:sz="8" w:space="4" w:color="B89B5E"/>
        </w:pBdr>
        <w:spacing w:after="0" w:line="240" w:lineRule="auto"/>
        <w:ind w:right="-171"/>
        <w:rPr>
          <w:szCs w:val="21"/>
        </w:rPr>
      </w:pPr>
      <w:r w:rsidRPr="00C42B3F">
        <w:rPr>
          <w:szCs w:val="21"/>
        </w:rPr>
        <w:t>12.9 Interface com a EC 103/2019 .................</w:t>
      </w:r>
      <w:r w:rsidR="00930E0B">
        <w:rPr>
          <w:szCs w:val="21"/>
        </w:rPr>
        <w:t>............................................</w:t>
      </w:r>
      <w:r w:rsidRPr="00C42B3F">
        <w:rPr>
          <w:szCs w:val="21"/>
        </w:rPr>
        <w:t>.......... 6</w:t>
      </w:r>
      <w:r>
        <w:rPr>
          <w:szCs w:val="21"/>
        </w:rPr>
        <w:t>18</w:t>
      </w:r>
      <w:r w:rsidRPr="00C42B3F">
        <w:rPr>
          <w:szCs w:val="21"/>
        </w:rPr>
        <w:br/>
        <w:t>12.9.1 O art. 22 e a preservação integral da LC 142 ................</w:t>
      </w:r>
      <w:r w:rsidR="00930E0B">
        <w:rPr>
          <w:szCs w:val="21"/>
        </w:rPr>
        <w:t>...................</w:t>
      </w:r>
      <w:r w:rsidRPr="00C42B3F">
        <w:rPr>
          <w:szCs w:val="21"/>
        </w:rPr>
        <w:t>........... 6</w:t>
      </w:r>
      <w:r>
        <w:rPr>
          <w:szCs w:val="21"/>
        </w:rPr>
        <w:t>18</w:t>
      </w:r>
      <w:r w:rsidRPr="00C42B3F">
        <w:rPr>
          <w:szCs w:val="21"/>
        </w:rPr>
        <w:br/>
        <w:t>12.9.2 Pendência legislativa: nova lei complementar .................</w:t>
      </w:r>
      <w:r w:rsidR="00930E0B">
        <w:rPr>
          <w:szCs w:val="21"/>
        </w:rPr>
        <w:t>................</w:t>
      </w:r>
      <w:r w:rsidRPr="00C42B3F">
        <w:rPr>
          <w:szCs w:val="21"/>
        </w:rPr>
        <w:t>.......... 6</w:t>
      </w:r>
      <w:r>
        <w:rPr>
          <w:szCs w:val="21"/>
        </w:rPr>
        <w:t>19</w:t>
      </w:r>
    </w:p>
    <w:p w14:paraId="0E93158F" w14:textId="47E02632" w:rsidR="003A005E" w:rsidRPr="00C42B3F" w:rsidRDefault="003A005E" w:rsidP="00ED70D0">
      <w:pPr>
        <w:keepNext/>
        <w:pBdr>
          <w:bottom w:val="single" w:sz="8" w:space="4" w:color="B89B5E"/>
        </w:pBdr>
        <w:spacing w:after="0" w:line="240" w:lineRule="auto"/>
        <w:ind w:right="-171"/>
        <w:rPr>
          <w:szCs w:val="21"/>
        </w:rPr>
      </w:pPr>
      <w:r w:rsidRPr="00C42B3F">
        <w:rPr>
          <w:szCs w:val="21"/>
        </w:rPr>
        <w:t>12.10 Fator previdenciário na aposentadoria da PcD ............</w:t>
      </w:r>
      <w:r w:rsidR="00930E0B">
        <w:rPr>
          <w:szCs w:val="21"/>
        </w:rPr>
        <w:t>...............</w:t>
      </w:r>
      <w:r w:rsidRPr="00C42B3F">
        <w:rPr>
          <w:szCs w:val="21"/>
        </w:rPr>
        <w:t>............... 62</w:t>
      </w:r>
      <w:r>
        <w:rPr>
          <w:szCs w:val="21"/>
        </w:rPr>
        <w:t>0</w:t>
      </w:r>
      <w:r w:rsidRPr="00C42B3F">
        <w:rPr>
          <w:szCs w:val="21"/>
        </w:rPr>
        <w:br/>
        <w:t>12.10.1 Por que o fator previdenciário é quase sempre desvantajoso na PcD ...................</w:t>
      </w:r>
      <w:r w:rsidR="00930E0B">
        <w:rPr>
          <w:szCs w:val="21"/>
        </w:rPr>
        <w:t>.....................................................................................................</w:t>
      </w:r>
      <w:r w:rsidRPr="00C42B3F">
        <w:rPr>
          <w:szCs w:val="21"/>
        </w:rPr>
        <w:t>........ 62</w:t>
      </w:r>
      <w:r>
        <w:rPr>
          <w:szCs w:val="21"/>
        </w:rPr>
        <w:t>1</w:t>
      </w:r>
      <w:r w:rsidRPr="00C42B3F">
        <w:rPr>
          <w:szCs w:val="21"/>
        </w:rPr>
        <w:br/>
        <w:t>12.10.2 Bônus no fator: mulher e professor .........</w:t>
      </w:r>
      <w:r w:rsidR="00930E0B">
        <w:rPr>
          <w:szCs w:val="21"/>
        </w:rPr>
        <w:t>..............................</w:t>
      </w:r>
      <w:r w:rsidRPr="00C42B3F">
        <w:rPr>
          <w:szCs w:val="21"/>
        </w:rPr>
        <w:t>.................. 62</w:t>
      </w:r>
      <w:r>
        <w:rPr>
          <w:szCs w:val="21"/>
        </w:rPr>
        <w:t>2</w:t>
      </w:r>
    </w:p>
    <w:p w14:paraId="3BAEBEAE" w14:textId="44EEFD17" w:rsidR="003A005E" w:rsidRPr="00C42B3F" w:rsidRDefault="003A005E" w:rsidP="00FB677B">
      <w:pPr>
        <w:keepNext/>
        <w:pBdr>
          <w:bottom w:val="single" w:sz="8" w:space="4" w:color="B89B5E"/>
        </w:pBdr>
        <w:spacing w:after="0" w:line="240" w:lineRule="auto"/>
        <w:ind w:right="-171"/>
        <w:rPr>
          <w:szCs w:val="21"/>
        </w:rPr>
      </w:pPr>
      <w:r w:rsidRPr="00C42B3F">
        <w:rPr>
          <w:szCs w:val="21"/>
        </w:rPr>
        <w:t>12.11 Avaliação biopsicossocial: perícia médica e funcional ............</w:t>
      </w:r>
      <w:r w:rsidR="00FB677B">
        <w:rPr>
          <w:szCs w:val="21"/>
        </w:rPr>
        <w:t>....</w:t>
      </w:r>
      <w:r w:rsidRPr="00C42B3F">
        <w:rPr>
          <w:szCs w:val="21"/>
        </w:rPr>
        <w:t>............... 6</w:t>
      </w:r>
      <w:r>
        <w:rPr>
          <w:szCs w:val="21"/>
        </w:rPr>
        <w:t>23</w:t>
      </w:r>
      <w:r w:rsidRPr="00C42B3F">
        <w:rPr>
          <w:szCs w:val="21"/>
        </w:rPr>
        <w:br/>
        <w:t>12.11.1 Dupla avaliação obrigatória .........</w:t>
      </w:r>
      <w:r w:rsidR="00FB677B">
        <w:rPr>
          <w:szCs w:val="21"/>
        </w:rPr>
        <w:t>..........................................</w:t>
      </w:r>
      <w:r w:rsidRPr="00C42B3F">
        <w:rPr>
          <w:szCs w:val="21"/>
        </w:rPr>
        <w:t>.................. 6</w:t>
      </w:r>
      <w:r>
        <w:rPr>
          <w:szCs w:val="21"/>
        </w:rPr>
        <w:t>23</w:t>
      </w:r>
      <w:r w:rsidRPr="00C42B3F">
        <w:rPr>
          <w:szCs w:val="21"/>
        </w:rPr>
        <w:br/>
        <w:t>12.11.2 O IF-BrA em detalhe ....</w:t>
      </w:r>
      <w:r w:rsidR="00FB677B">
        <w:rPr>
          <w:szCs w:val="21"/>
        </w:rPr>
        <w:t>.....................................................</w:t>
      </w:r>
      <w:r w:rsidRPr="00C42B3F">
        <w:rPr>
          <w:szCs w:val="21"/>
        </w:rPr>
        <w:t>....................... 6</w:t>
      </w:r>
      <w:r>
        <w:rPr>
          <w:szCs w:val="21"/>
        </w:rPr>
        <w:t>24</w:t>
      </w:r>
      <w:r w:rsidRPr="00C42B3F">
        <w:rPr>
          <w:szCs w:val="21"/>
        </w:rPr>
        <w:br/>
        <w:t>12.11.3 Controvérsias e limitações da avaliação ..................</w:t>
      </w:r>
      <w:r w:rsidR="00FB677B">
        <w:rPr>
          <w:szCs w:val="21"/>
        </w:rPr>
        <w:t>........................</w:t>
      </w:r>
      <w:r w:rsidRPr="00C42B3F">
        <w:rPr>
          <w:szCs w:val="21"/>
        </w:rPr>
        <w:t>......... 6</w:t>
      </w:r>
      <w:r>
        <w:rPr>
          <w:szCs w:val="21"/>
        </w:rPr>
        <w:t>24</w:t>
      </w:r>
      <w:r w:rsidRPr="00C42B3F">
        <w:rPr>
          <w:szCs w:val="21"/>
        </w:rPr>
        <w:br/>
        <w:t>12.11.4 Avaliação judicial versus administrativa ...................</w:t>
      </w:r>
      <w:r w:rsidR="00FB677B">
        <w:rPr>
          <w:szCs w:val="21"/>
        </w:rPr>
        <w:t>.......................</w:t>
      </w:r>
      <w:r w:rsidRPr="00C42B3F">
        <w:rPr>
          <w:szCs w:val="21"/>
        </w:rPr>
        <w:t>........ 6</w:t>
      </w:r>
      <w:r>
        <w:rPr>
          <w:szCs w:val="21"/>
        </w:rPr>
        <w:t>26</w:t>
      </w:r>
      <w:r w:rsidRPr="00C42B3F">
        <w:rPr>
          <w:szCs w:val="21"/>
        </w:rPr>
        <w:br/>
      </w:r>
      <w:r w:rsidRPr="00C42B3F">
        <w:rPr>
          <w:szCs w:val="21"/>
        </w:rPr>
        <w:lastRenderedPageBreak/>
        <w:t>12.11.5 Diferenças entre IF-BrA e IFBrM ..........</w:t>
      </w:r>
      <w:r w:rsidR="00FB677B">
        <w:rPr>
          <w:szCs w:val="21"/>
        </w:rPr>
        <w:t>.................................</w:t>
      </w:r>
      <w:r w:rsidRPr="00C42B3F">
        <w:rPr>
          <w:szCs w:val="21"/>
        </w:rPr>
        <w:t>................. 6</w:t>
      </w:r>
      <w:r>
        <w:rPr>
          <w:szCs w:val="21"/>
        </w:rPr>
        <w:t>27</w:t>
      </w:r>
      <w:r w:rsidRPr="00C42B3F">
        <w:rPr>
          <w:szCs w:val="21"/>
        </w:rPr>
        <w:br/>
        <w:t>12.11.6 Tempo de espera e acessibilidade do procedimento ............</w:t>
      </w:r>
      <w:r w:rsidR="00FB677B">
        <w:rPr>
          <w:szCs w:val="21"/>
        </w:rPr>
        <w:t>.....</w:t>
      </w:r>
      <w:r w:rsidRPr="00C42B3F">
        <w:rPr>
          <w:szCs w:val="21"/>
        </w:rPr>
        <w:t>............... 6</w:t>
      </w:r>
      <w:r>
        <w:rPr>
          <w:szCs w:val="21"/>
        </w:rPr>
        <w:t>28</w:t>
      </w:r>
    </w:p>
    <w:p w14:paraId="39D5E7BD" w14:textId="6FCB44C8" w:rsidR="003A005E" w:rsidRPr="00C42B3F" w:rsidRDefault="003A005E" w:rsidP="00FB677B">
      <w:pPr>
        <w:keepNext/>
        <w:pBdr>
          <w:bottom w:val="single" w:sz="8" w:space="4" w:color="B89B5E"/>
        </w:pBdr>
        <w:spacing w:after="0" w:line="240" w:lineRule="auto"/>
        <w:ind w:right="-171"/>
        <w:rPr>
          <w:szCs w:val="21"/>
        </w:rPr>
      </w:pPr>
      <w:r w:rsidRPr="00C42B3F">
        <w:rPr>
          <w:szCs w:val="21"/>
        </w:rPr>
        <w:t>12.12 Prova da deficiência no processo judicial ................</w:t>
      </w:r>
      <w:r w:rsidR="00FB677B">
        <w:rPr>
          <w:szCs w:val="21"/>
        </w:rPr>
        <w:t>........................</w:t>
      </w:r>
      <w:r w:rsidRPr="00C42B3F">
        <w:rPr>
          <w:szCs w:val="21"/>
        </w:rPr>
        <w:t>........... 6</w:t>
      </w:r>
      <w:r>
        <w:rPr>
          <w:szCs w:val="21"/>
        </w:rPr>
        <w:t>29</w:t>
      </w:r>
      <w:r w:rsidRPr="00C42B3F">
        <w:rPr>
          <w:szCs w:val="21"/>
        </w:rPr>
        <w:br/>
        <w:t>12.12.1 Ônus da prova .........</w:t>
      </w:r>
      <w:r w:rsidR="00FB677B">
        <w:rPr>
          <w:szCs w:val="21"/>
        </w:rPr>
        <w:t>...............................................................</w:t>
      </w:r>
      <w:r w:rsidRPr="00C42B3F">
        <w:rPr>
          <w:szCs w:val="21"/>
        </w:rPr>
        <w:t>.................. 6</w:t>
      </w:r>
      <w:r>
        <w:rPr>
          <w:szCs w:val="21"/>
        </w:rPr>
        <w:t>29</w:t>
      </w:r>
      <w:r w:rsidRPr="00C42B3F">
        <w:rPr>
          <w:szCs w:val="21"/>
        </w:rPr>
        <w:br/>
        <w:t>12.12.2 Prova pericial judicial ..........</w:t>
      </w:r>
      <w:r w:rsidR="00FB677B">
        <w:rPr>
          <w:szCs w:val="21"/>
        </w:rPr>
        <w:t>....................................................</w:t>
      </w:r>
      <w:r w:rsidRPr="00C42B3F">
        <w:rPr>
          <w:szCs w:val="21"/>
        </w:rPr>
        <w:t>................. 6</w:t>
      </w:r>
      <w:r>
        <w:rPr>
          <w:szCs w:val="21"/>
        </w:rPr>
        <w:t>29</w:t>
      </w:r>
      <w:r w:rsidRPr="00C42B3F">
        <w:rPr>
          <w:szCs w:val="21"/>
        </w:rPr>
        <w:br/>
        <w:t>12.12.3 Prova documental complementar ...................</w:t>
      </w:r>
      <w:r w:rsidR="00FB677B">
        <w:rPr>
          <w:szCs w:val="21"/>
        </w:rPr>
        <w:t>................................</w:t>
      </w:r>
      <w:r w:rsidRPr="00C42B3F">
        <w:rPr>
          <w:szCs w:val="21"/>
        </w:rPr>
        <w:t>........ 63</w:t>
      </w:r>
      <w:r>
        <w:rPr>
          <w:szCs w:val="21"/>
        </w:rPr>
        <w:t>0</w:t>
      </w:r>
      <w:r w:rsidRPr="00C42B3F">
        <w:rPr>
          <w:szCs w:val="21"/>
        </w:rPr>
        <w:br/>
        <w:t>12.12.4 Prova testemunhal ...........</w:t>
      </w:r>
      <w:r w:rsidR="00FB677B">
        <w:rPr>
          <w:szCs w:val="21"/>
        </w:rPr>
        <w:t>........................................................</w:t>
      </w:r>
      <w:r w:rsidRPr="00C42B3F">
        <w:rPr>
          <w:szCs w:val="21"/>
        </w:rPr>
        <w:t>................ 6</w:t>
      </w:r>
      <w:r>
        <w:rPr>
          <w:szCs w:val="21"/>
        </w:rPr>
        <w:t>31</w:t>
      </w:r>
    </w:p>
    <w:p w14:paraId="5E27FEEC" w14:textId="634657E9" w:rsidR="003A005E" w:rsidRPr="00C42B3F" w:rsidRDefault="003A005E" w:rsidP="00FB677B">
      <w:pPr>
        <w:keepNext/>
        <w:pBdr>
          <w:bottom w:val="single" w:sz="8" w:space="4" w:color="B89B5E"/>
        </w:pBdr>
        <w:spacing w:after="0" w:line="240" w:lineRule="auto"/>
        <w:ind w:right="-171"/>
        <w:rPr>
          <w:szCs w:val="21"/>
        </w:rPr>
      </w:pPr>
      <w:r w:rsidRPr="00C42B3F">
        <w:rPr>
          <w:szCs w:val="21"/>
        </w:rPr>
        <w:t>12.13 Visão monocular e deficiência ...........</w:t>
      </w:r>
      <w:r w:rsidR="00FB677B">
        <w:rPr>
          <w:szCs w:val="21"/>
        </w:rPr>
        <w:t>.........................................</w:t>
      </w:r>
      <w:r w:rsidRPr="00C42B3F">
        <w:rPr>
          <w:szCs w:val="21"/>
        </w:rPr>
        <w:t>................ 6</w:t>
      </w:r>
      <w:r>
        <w:rPr>
          <w:szCs w:val="21"/>
        </w:rPr>
        <w:t>32</w:t>
      </w:r>
      <w:r w:rsidRPr="00C42B3F">
        <w:rPr>
          <w:szCs w:val="21"/>
        </w:rPr>
        <w:br/>
        <w:t>12.13.1 Enquadramento na LC 142 ..............</w:t>
      </w:r>
      <w:r w:rsidR="00FB677B">
        <w:rPr>
          <w:szCs w:val="21"/>
        </w:rPr>
        <w:t>..........................................</w:t>
      </w:r>
      <w:r w:rsidRPr="00C42B3F">
        <w:rPr>
          <w:szCs w:val="21"/>
        </w:rPr>
        <w:t>............. 6</w:t>
      </w:r>
      <w:r>
        <w:rPr>
          <w:szCs w:val="21"/>
        </w:rPr>
        <w:t>32</w:t>
      </w:r>
      <w:r w:rsidRPr="00C42B3F">
        <w:rPr>
          <w:szCs w:val="21"/>
        </w:rPr>
        <w:br/>
        <w:t>12.13.2 Divergência jurisprudencial .............</w:t>
      </w:r>
      <w:r w:rsidR="00FB677B">
        <w:rPr>
          <w:szCs w:val="21"/>
        </w:rPr>
        <w:t>.........................................</w:t>
      </w:r>
      <w:r w:rsidRPr="00C42B3F">
        <w:rPr>
          <w:szCs w:val="21"/>
        </w:rPr>
        <w:t>.............. 6</w:t>
      </w:r>
      <w:r>
        <w:rPr>
          <w:szCs w:val="21"/>
        </w:rPr>
        <w:t>33</w:t>
      </w:r>
    </w:p>
    <w:p w14:paraId="3F6B8597" w14:textId="0A5EE323" w:rsidR="003A005E" w:rsidRPr="00C42B3F" w:rsidRDefault="003A005E" w:rsidP="00FB677B">
      <w:pPr>
        <w:keepNext/>
        <w:pBdr>
          <w:bottom w:val="single" w:sz="8" w:space="4" w:color="B89B5E"/>
        </w:pBdr>
        <w:spacing w:after="0" w:line="240" w:lineRule="auto"/>
        <w:ind w:right="-171"/>
        <w:rPr>
          <w:szCs w:val="21"/>
        </w:rPr>
      </w:pPr>
      <w:r w:rsidRPr="00C42B3F">
        <w:rPr>
          <w:szCs w:val="21"/>
        </w:rPr>
        <w:t>12.14 Distinção BPC × aposentadoria PcD: qual pedir? ................</w:t>
      </w:r>
      <w:r w:rsidR="00FB677B">
        <w:rPr>
          <w:szCs w:val="21"/>
        </w:rPr>
        <w:t>..........</w:t>
      </w:r>
      <w:r w:rsidRPr="00C42B3F">
        <w:rPr>
          <w:szCs w:val="21"/>
        </w:rPr>
        <w:t>........... 6</w:t>
      </w:r>
      <w:r>
        <w:rPr>
          <w:szCs w:val="21"/>
        </w:rPr>
        <w:t>3</w:t>
      </w:r>
      <w:r w:rsidRPr="00C42B3F">
        <w:rPr>
          <w:szCs w:val="21"/>
        </w:rPr>
        <w:t>5</w:t>
      </w:r>
      <w:r w:rsidRPr="00C42B3F">
        <w:rPr>
          <w:szCs w:val="21"/>
        </w:rPr>
        <w:br/>
        <w:t>12.14.1 Comparativo estrutural ...............</w:t>
      </w:r>
      <w:r w:rsidR="00FB677B">
        <w:rPr>
          <w:szCs w:val="21"/>
        </w:rPr>
        <w:t>................................................</w:t>
      </w:r>
      <w:r w:rsidRPr="00C42B3F">
        <w:rPr>
          <w:szCs w:val="21"/>
        </w:rPr>
        <w:t>............ 6</w:t>
      </w:r>
      <w:r>
        <w:rPr>
          <w:szCs w:val="21"/>
        </w:rPr>
        <w:t>3</w:t>
      </w:r>
      <w:r w:rsidRPr="00C42B3F">
        <w:rPr>
          <w:szCs w:val="21"/>
        </w:rPr>
        <w:t>5</w:t>
      </w:r>
      <w:r w:rsidRPr="00C42B3F">
        <w:rPr>
          <w:szCs w:val="21"/>
        </w:rPr>
        <w:br/>
        <w:t>12.14.2 Critérios de escolha ...................</w:t>
      </w:r>
      <w:r w:rsidR="00FB677B">
        <w:rPr>
          <w:szCs w:val="21"/>
        </w:rPr>
        <w:t>.......................................................</w:t>
      </w:r>
      <w:r w:rsidRPr="00C42B3F">
        <w:rPr>
          <w:szCs w:val="21"/>
        </w:rPr>
        <w:t>........ 6</w:t>
      </w:r>
      <w:r>
        <w:rPr>
          <w:szCs w:val="21"/>
        </w:rPr>
        <w:t>3</w:t>
      </w:r>
      <w:r w:rsidRPr="00C42B3F">
        <w:rPr>
          <w:szCs w:val="21"/>
        </w:rPr>
        <w:t>6</w:t>
      </w:r>
      <w:r w:rsidRPr="00C42B3F">
        <w:rPr>
          <w:szCs w:val="21"/>
        </w:rPr>
        <w:br/>
        <w:t>12.14.3 Fungibilidade: TNU Tema 217 ................</w:t>
      </w:r>
      <w:r w:rsidR="00FB677B">
        <w:rPr>
          <w:szCs w:val="21"/>
        </w:rPr>
        <w:t>...................................</w:t>
      </w:r>
      <w:r w:rsidRPr="00C42B3F">
        <w:rPr>
          <w:szCs w:val="21"/>
        </w:rPr>
        <w:t>........... 6</w:t>
      </w:r>
      <w:r>
        <w:rPr>
          <w:szCs w:val="21"/>
        </w:rPr>
        <w:t>3</w:t>
      </w:r>
      <w:r w:rsidRPr="00C42B3F">
        <w:rPr>
          <w:szCs w:val="21"/>
        </w:rPr>
        <w:t>8</w:t>
      </w:r>
      <w:r w:rsidRPr="00C42B3F">
        <w:rPr>
          <w:szCs w:val="21"/>
        </w:rPr>
        <w:br/>
        <w:t>12.14.4 Auxílio-inclusão e a transição BPC → trabalho ................</w:t>
      </w:r>
      <w:r w:rsidR="00FB677B">
        <w:rPr>
          <w:szCs w:val="21"/>
        </w:rPr>
        <w:t>...........</w:t>
      </w:r>
      <w:r w:rsidRPr="00C42B3F">
        <w:rPr>
          <w:szCs w:val="21"/>
        </w:rPr>
        <w:t>........... 6</w:t>
      </w:r>
      <w:r>
        <w:rPr>
          <w:szCs w:val="21"/>
        </w:rPr>
        <w:t>38</w:t>
      </w:r>
      <w:r w:rsidRPr="00C42B3F">
        <w:rPr>
          <w:szCs w:val="21"/>
        </w:rPr>
        <w:br/>
        <w:t>12.14.5 Impacto da escolha para os dependentes: análise patrimonial de longo prazo ......................</w:t>
      </w:r>
      <w:r w:rsidR="00FB677B">
        <w:rPr>
          <w:szCs w:val="21"/>
        </w:rPr>
        <w:t>...........................................................................................</w:t>
      </w:r>
      <w:r w:rsidRPr="00C42B3F">
        <w:rPr>
          <w:szCs w:val="21"/>
        </w:rPr>
        <w:t>..... 6</w:t>
      </w:r>
      <w:r>
        <w:rPr>
          <w:szCs w:val="21"/>
        </w:rPr>
        <w:t>39</w:t>
      </w:r>
    </w:p>
    <w:p w14:paraId="1AF0D43D" w14:textId="39E9DF97" w:rsidR="003A005E" w:rsidRPr="00C42B3F" w:rsidRDefault="003A005E" w:rsidP="00FB677B">
      <w:pPr>
        <w:keepNext/>
        <w:pBdr>
          <w:bottom w:val="single" w:sz="8" w:space="4" w:color="B89B5E"/>
        </w:pBdr>
        <w:spacing w:after="0" w:line="240" w:lineRule="auto"/>
        <w:ind w:right="-171"/>
        <w:rPr>
          <w:szCs w:val="21"/>
        </w:rPr>
      </w:pPr>
      <w:r w:rsidRPr="00C42B3F">
        <w:rPr>
          <w:szCs w:val="21"/>
        </w:rPr>
        <w:t>12.15 Distinção aposentadoria PcD × aposentadoria por incapacidade .................</w:t>
      </w:r>
      <w:r w:rsidR="00FB677B">
        <w:rPr>
          <w:szCs w:val="21"/>
        </w:rPr>
        <w:t>.....................................................................................................</w:t>
      </w:r>
      <w:r w:rsidRPr="00C42B3F">
        <w:rPr>
          <w:szCs w:val="21"/>
        </w:rPr>
        <w:t>.......... 6</w:t>
      </w:r>
      <w:r>
        <w:rPr>
          <w:szCs w:val="21"/>
        </w:rPr>
        <w:t>4</w:t>
      </w:r>
      <w:r w:rsidRPr="00C42B3F">
        <w:rPr>
          <w:szCs w:val="21"/>
        </w:rPr>
        <w:t>0</w:t>
      </w:r>
      <w:r w:rsidRPr="00C42B3F">
        <w:rPr>
          <w:szCs w:val="21"/>
        </w:rPr>
        <w:br/>
        <w:t>12.15.1 Distinção conceitual ............</w:t>
      </w:r>
      <w:r w:rsidR="00FB677B">
        <w:rPr>
          <w:szCs w:val="21"/>
        </w:rPr>
        <w:t>.....................................................</w:t>
      </w:r>
      <w:r w:rsidRPr="00C42B3F">
        <w:rPr>
          <w:szCs w:val="21"/>
        </w:rPr>
        <w:t>............... 6</w:t>
      </w:r>
      <w:r>
        <w:rPr>
          <w:szCs w:val="21"/>
        </w:rPr>
        <w:t>40</w:t>
      </w:r>
      <w:r w:rsidRPr="00C42B3F">
        <w:rPr>
          <w:szCs w:val="21"/>
        </w:rPr>
        <w:br/>
        <w:t>12.15.2 Comparativo detalhado ......................</w:t>
      </w:r>
      <w:r w:rsidR="00776B6B">
        <w:rPr>
          <w:szCs w:val="21"/>
        </w:rPr>
        <w:t>................................................</w:t>
      </w:r>
      <w:r w:rsidRPr="00C42B3F">
        <w:rPr>
          <w:szCs w:val="21"/>
        </w:rPr>
        <w:t>..... 6</w:t>
      </w:r>
      <w:r>
        <w:rPr>
          <w:szCs w:val="21"/>
        </w:rPr>
        <w:t>40</w:t>
      </w:r>
      <w:r w:rsidRPr="00C42B3F">
        <w:rPr>
          <w:szCs w:val="21"/>
        </w:rPr>
        <w:br/>
        <w:t>12.15.3 Situações fronteiriças .............</w:t>
      </w:r>
      <w:r w:rsidR="00776B6B">
        <w:rPr>
          <w:szCs w:val="21"/>
        </w:rPr>
        <w:t>....................................................</w:t>
      </w:r>
      <w:r w:rsidRPr="00C42B3F">
        <w:rPr>
          <w:szCs w:val="21"/>
        </w:rPr>
        <w:t>.............. 6</w:t>
      </w:r>
      <w:r>
        <w:rPr>
          <w:szCs w:val="21"/>
        </w:rPr>
        <w:t>41</w:t>
      </w:r>
    </w:p>
    <w:p w14:paraId="240AEE98" w14:textId="78775CE0" w:rsidR="003A005E" w:rsidRPr="00C42B3F" w:rsidRDefault="003A005E" w:rsidP="00FB677B">
      <w:pPr>
        <w:keepNext/>
        <w:pBdr>
          <w:bottom w:val="single" w:sz="8" w:space="4" w:color="B89B5E"/>
        </w:pBdr>
        <w:spacing w:after="0" w:line="240" w:lineRule="auto"/>
        <w:ind w:right="-171"/>
        <w:rPr>
          <w:szCs w:val="21"/>
        </w:rPr>
      </w:pPr>
      <w:r w:rsidRPr="00C42B3F">
        <w:rPr>
          <w:szCs w:val="21"/>
        </w:rPr>
        <w:t>12.16 Aspectos processuais nos JEFs ....................</w:t>
      </w:r>
      <w:r w:rsidR="00776B6B">
        <w:rPr>
          <w:szCs w:val="21"/>
        </w:rPr>
        <w:t>.........................................</w:t>
      </w:r>
      <w:r w:rsidRPr="00C42B3F">
        <w:rPr>
          <w:szCs w:val="21"/>
        </w:rPr>
        <w:t>....... 6</w:t>
      </w:r>
      <w:r>
        <w:rPr>
          <w:szCs w:val="21"/>
        </w:rPr>
        <w:t>44</w:t>
      </w:r>
      <w:r w:rsidRPr="00C42B3F">
        <w:rPr>
          <w:szCs w:val="21"/>
        </w:rPr>
        <w:br/>
        <w:t>12.16.1 Competência ...........</w:t>
      </w:r>
      <w:r w:rsidR="00776B6B">
        <w:rPr>
          <w:szCs w:val="21"/>
        </w:rPr>
        <w:t>................................................................</w:t>
      </w:r>
      <w:r w:rsidRPr="00C42B3F">
        <w:rPr>
          <w:szCs w:val="21"/>
        </w:rPr>
        <w:t>................ 6</w:t>
      </w:r>
      <w:r>
        <w:rPr>
          <w:szCs w:val="21"/>
        </w:rPr>
        <w:t>44</w:t>
      </w:r>
      <w:r w:rsidRPr="00C42B3F">
        <w:rPr>
          <w:szCs w:val="21"/>
        </w:rPr>
        <w:br/>
        <w:t>12.16.2 Prévio requerimento administrativo .............</w:t>
      </w:r>
      <w:r w:rsidR="00776B6B">
        <w:rPr>
          <w:szCs w:val="21"/>
        </w:rPr>
        <w:t>............................</w:t>
      </w:r>
      <w:r w:rsidRPr="00C42B3F">
        <w:rPr>
          <w:szCs w:val="21"/>
        </w:rPr>
        <w:t>.............. 6</w:t>
      </w:r>
      <w:r>
        <w:rPr>
          <w:szCs w:val="21"/>
        </w:rPr>
        <w:t>44</w:t>
      </w:r>
      <w:r w:rsidRPr="00C42B3F">
        <w:rPr>
          <w:szCs w:val="21"/>
        </w:rPr>
        <w:br/>
        <w:t>12.16.3 Perícia biopsicossocial judicial ...............</w:t>
      </w:r>
      <w:r w:rsidR="00776B6B">
        <w:rPr>
          <w:szCs w:val="21"/>
        </w:rPr>
        <w:t>......................................</w:t>
      </w:r>
      <w:r w:rsidRPr="00C42B3F">
        <w:rPr>
          <w:szCs w:val="21"/>
        </w:rPr>
        <w:t>............ 6</w:t>
      </w:r>
      <w:r>
        <w:rPr>
          <w:szCs w:val="21"/>
        </w:rPr>
        <w:t>44</w:t>
      </w:r>
      <w:r w:rsidRPr="00C42B3F">
        <w:rPr>
          <w:szCs w:val="21"/>
        </w:rPr>
        <w:br/>
        <w:t>12.16.4 Pedido alternativo e fungibilidade ............</w:t>
      </w:r>
      <w:r w:rsidR="00776B6B">
        <w:rPr>
          <w:szCs w:val="21"/>
        </w:rPr>
        <w:t>................................</w:t>
      </w:r>
      <w:r w:rsidRPr="00C42B3F">
        <w:rPr>
          <w:szCs w:val="21"/>
        </w:rPr>
        <w:t>............... 6</w:t>
      </w:r>
      <w:r>
        <w:rPr>
          <w:szCs w:val="21"/>
        </w:rPr>
        <w:t>45</w:t>
      </w:r>
      <w:r w:rsidRPr="00C42B3F">
        <w:rPr>
          <w:szCs w:val="21"/>
        </w:rPr>
        <w:br/>
        <w:t>12.16.5 Reafirmação da DER ................</w:t>
      </w:r>
      <w:r w:rsidR="00776B6B">
        <w:rPr>
          <w:szCs w:val="21"/>
        </w:rPr>
        <w:t>....................................................</w:t>
      </w:r>
      <w:r w:rsidRPr="00C42B3F">
        <w:rPr>
          <w:szCs w:val="21"/>
        </w:rPr>
        <w:t>........... 6</w:t>
      </w:r>
      <w:r>
        <w:rPr>
          <w:szCs w:val="21"/>
        </w:rPr>
        <w:t>45</w:t>
      </w:r>
      <w:r w:rsidRPr="00C42B3F">
        <w:rPr>
          <w:szCs w:val="21"/>
        </w:rPr>
        <w:br/>
        <w:t>12.16.6 Tutela antecipada ..............</w:t>
      </w:r>
      <w:r w:rsidR="00776B6B">
        <w:rPr>
          <w:szCs w:val="21"/>
        </w:rPr>
        <w:t>.........................................................</w:t>
      </w:r>
      <w:r w:rsidRPr="00C42B3F">
        <w:rPr>
          <w:szCs w:val="21"/>
        </w:rPr>
        <w:t>............. 6</w:t>
      </w:r>
      <w:r>
        <w:rPr>
          <w:szCs w:val="21"/>
        </w:rPr>
        <w:t>45</w:t>
      </w:r>
      <w:r w:rsidRPr="00C42B3F">
        <w:rPr>
          <w:szCs w:val="21"/>
        </w:rPr>
        <w:br/>
        <w:t>12.16.7 Instrução probatória: particularidades ................</w:t>
      </w:r>
      <w:r w:rsidR="00776B6B">
        <w:rPr>
          <w:szCs w:val="21"/>
        </w:rPr>
        <w:t>........................</w:t>
      </w:r>
      <w:r w:rsidRPr="00C42B3F">
        <w:rPr>
          <w:szCs w:val="21"/>
        </w:rPr>
        <w:t>........... 6</w:t>
      </w:r>
      <w:r>
        <w:rPr>
          <w:szCs w:val="21"/>
        </w:rPr>
        <w:t>46</w:t>
      </w:r>
      <w:r w:rsidRPr="00C42B3F">
        <w:rPr>
          <w:szCs w:val="21"/>
        </w:rPr>
        <w:br/>
        <w:t>12.16.8 Honorários advocatícios .................</w:t>
      </w:r>
      <w:r w:rsidR="00776B6B">
        <w:rPr>
          <w:szCs w:val="21"/>
        </w:rPr>
        <w:t>...............................................</w:t>
      </w:r>
      <w:r w:rsidRPr="00C42B3F">
        <w:rPr>
          <w:szCs w:val="21"/>
        </w:rPr>
        <w:t>.......... 6</w:t>
      </w:r>
      <w:r>
        <w:rPr>
          <w:szCs w:val="21"/>
        </w:rPr>
        <w:t>47</w:t>
      </w:r>
      <w:r w:rsidRPr="00C42B3F">
        <w:rPr>
          <w:szCs w:val="21"/>
        </w:rPr>
        <w:br/>
        <w:t>12.16.9 Sentença e recurso ..............</w:t>
      </w:r>
      <w:r w:rsidR="00776B6B">
        <w:rPr>
          <w:szCs w:val="21"/>
        </w:rPr>
        <w:t>.........................................................</w:t>
      </w:r>
      <w:r w:rsidRPr="00C42B3F">
        <w:rPr>
          <w:szCs w:val="21"/>
        </w:rPr>
        <w:t>............. 6</w:t>
      </w:r>
      <w:r>
        <w:rPr>
          <w:szCs w:val="21"/>
        </w:rPr>
        <w:t>47</w:t>
      </w:r>
    </w:p>
    <w:p w14:paraId="52700D2B" w14:textId="77FF9F65" w:rsidR="003A005E" w:rsidRPr="00C42B3F" w:rsidRDefault="003A005E" w:rsidP="00776B6B">
      <w:pPr>
        <w:keepNext/>
        <w:pBdr>
          <w:bottom w:val="single" w:sz="8" w:space="4" w:color="B89B5E"/>
        </w:pBdr>
        <w:spacing w:after="0" w:line="240" w:lineRule="auto"/>
        <w:ind w:right="-171"/>
        <w:rPr>
          <w:szCs w:val="21"/>
        </w:rPr>
      </w:pPr>
      <w:r w:rsidRPr="00C42B3F">
        <w:rPr>
          <w:szCs w:val="21"/>
        </w:rPr>
        <w:t>12.17 Questões especiais e casos de fronteira ................</w:t>
      </w:r>
      <w:r w:rsidR="00776B6B">
        <w:rPr>
          <w:szCs w:val="21"/>
        </w:rPr>
        <w:t>.............................</w:t>
      </w:r>
      <w:r w:rsidRPr="00C42B3F">
        <w:rPr>
          <w:szCs w:val="21"/>
        </w:rPr>
        <w:t>........... 6</w:t>
      </w:r>
      <w:r>
        <w:rPr>
          <w:szCs w:val="21"/>
        </w:rPr>
        <w:t>48</w:t>
      </w:r>
      <w:r w:rsidRPr="00C42B3F">
        <w:rPr>
          <w:szCs w:val="21"/>
        </w:rPr>
        <w:br/>
        <w:t>12.17.1 PcD que exerceu atividade especial (agentes nocivos) ...................</w:t>
      </w:r>
      <w:r w:rsidR="00776B6B">
        <w:rPr>
          <w:szCs w:val="21"/>
        </w:rPr>
        <w:t>..</w:t>
      </w:r>
      <w:r w:rsidRPr="00C42B3F">
        <w:rPr>
          <w:szCs w:val="21"/>
        </w:rPr>
        <w:t>........ 6</w:t>
      </w:r>
      <w:r>
        <w:rPr>
          <w:szCs w:val="21"/>
        </w:rPr>
        <w:t>49</w:t>
      </w:r>
      <w:r w:rsidRPr="00C42B3F">
        <w:rPr>
          <w:szCs w:val="21"/>
        </w:rPr>
        <w:br/>
        <w:t>12.17.2 PcD contribuinte individual e MEI ...............</w:t>
      </w:r>
      <w:r w:rsidR="00776B6B">
        <w:rPr>
          <w:szCs w:val="21"/>
        </w:rPr>
        <w:t>.............................</w:t>
      </w:r>
      <w:r w:rsidRPr="00C42B3F">
        <w:rPr>
          <w:szCs w:val="21"/>
        </w:rPr>
        <w:t>............ 6</w:t>
      </w:r>
      <w:r>
        <w:rPr>
          <w:szCs w:val="21"/>
        </w:rPr>
        <w:t>50</w:t>
      </w:r>
      <w:r w:rsidRPr="00C42B3F">
        <w:rPr>
          <w:szCs w:val="21"/>
        </w:rPr>
        <w:br/>
        <w:t>12.17.3 PcD com deficiência intermitente ................</w:t>
      </w:r>
      <w:r w:rsidR="00776B6B">
        <w:rPr>
          <w:szCs w:val="21"/>
        </w:rPr>
        <w:t>................................</w:t>
      </w:r>
      <w:r w:rsidRPr="00C42B3F">
        <w:rPr>
          <w:szCs w:val="21"/>
        </w:rPr>
        <w:t>........... 6</w:t>
      </w:r>
      <w:r>
        <w:rPr>
          <w:szCs w:val="21"/>
        </w:rPr>
        <w:t>51</w:t>
      </w:r>
      <w:r w:rsidRPr="00C42B3F">
        <w:rPr>
          <w:szCs w:val="21"/>
        </w:rPr>
        <w:br/>
      </w:r>
      <w:r w:rsidRPr="00C42B3F">
        <w:rPr>
          <w:szCs w:val="21"/>
        </w:rPr>
        <w:lastRenderedPageBreak/>
        <w:t>12.17.4 Acumulação com outros benefícios ......</w:t>
      </w:r>
      <w:r w:rsidR="00776B6B">
        <w:rPr>
          <w:szCs w:val="21"/>
        </w:rPr>
        <w:t>.............................</w:t>
      </w:r>
      <w:r w:rsidRPr="00C42B3F">
        <w:rPr>
          <w:szCs w:val="21"/>
        </w:rPr>
        <w:t>..................... 6</w:t>
      </w:r>
      <w:r>
        <w:rPr>
          <w:szCs w:val="21"/>
        </w:rPr>
        <w:t>51</w:t>
      </w:r>
      <w:r w:rsidRPr="00C42B3F">
        <w:rPr>
          <w:szCs w:val="21"/>
        </w:rPr>
        <w:br/>
        <w:t>12.17.5 PcD servidor público que migrou para RGPS .................</w:t>
      </w:r>
      <w:r w:rsidR="00776B6B">
        <w:rPr>
          <w:szCs w:val="21"/>
        </w:rPr>
        <w:t>.............</w:t>
      </w:r>
      <w:r w:rsidRPr="00C42B3F">
        <w:rPr>
          <w:szCs w:val="21"/>
        </w:rPr>
        <w:t>.......... 6</w:t>
      </w:r>
      <w:r>
        <w:rPr>
          <w:szCs w:val="21"/>
        </w:rPr>
        <w:t>52</w:t>
      </w:r>
      <w:r w:rsidRPr="00C42B3F">
        <w:rPr>
          <w:szCs w:val="21"/>
        </w:rPr>
        <w:br/>
        <w:t>12.17.6 Deficiência e trabalho informal: implicações para a PcD ........................ 6</w:t>
      </w:r>
      <w:r>
        <w:rPr>
          <w:szCs w:val="21"/>
        </w:rPr>
        <w:t>53</w:t>
      </w:r>
      <w:r w:rsidRPr="00C42B3F">
        <w:rPr>
          <w:szCs w:val="21"/>
        </w:rPr>
        <w:br/>
        <w:t>12.17.7 Planejamento previdenciário para a PcD .............</w:t>
      </w:r>
      <w:r w:rsidR="00776B6B">
        <w:rPr>
          <w:szCs w:val="21"/>
        </w:rPr>
        <w:t>.....................</w:t>
      </w:r>
      <w:r w:rsidRPr="00C42B3F">
        <w:rPr>
          <w:szCs w:val="21"/>
        </w:rPr>
        <w:t>.............. 6</w:t>
      </w:r>
      <w:r>
        <w:rPr>
          <w:szCs w:val="21"/>
        </w:rPr>
        <w:t>53</w:t>
      </w:r>
    </w:p>
    <w:p w14:paraId="2FB5FD32" w14:textId="247BA644" w:rsidR="003A005E" w:rsidRDefault="003A005E" w:rsidP="00776B6B">
      <w:pPr>
        <w:keepNext/>
        <w:pBdr>
          <w:bottom w:val="single" w:sz="8" w:space="4" w:color="B89B5E"/>
        </w:pBdr>
        <w:spacing w:after="0" w:line="240" w:lineRule="auto"/>
        <w:ind w:right="-171"/>
        <w:rPr>
          <w:szCs w:val="21"/>
        </w:rPr>
      </w:pPr>
      <w:r w:rsidRPr="00C42B3F">
        <w:rPr>
          <w:szCs w:val="21"/>
        </w:rPr>
        <w:t>12.18 Síntese e tabelas de consulta rápida .............</w:t>
      </w:r>
      <w:r w:rsidR="00776B6B">
        <w:rPr>
          <w:szCs w:val="21"/>
        </w:rPr>
        <w:t>..................................</w:t>
      </w:r>
      <w:r w:rsidRPr="00C42B3F">
        <w:rPr>
          <w:szCs w:val="21"/>
        </w:rPr>
        <w:t>.............. 6</w:t>
      </w:r>
      <w:r>
        <w:rPr>
          <w:szCs w:val="21"/>
        </w:rPr>
        <w:t>55</w:t>
      </w:r>
      <w:r w:rsidRPr="00C42B3F">
        <w:rPr>
          <w:szCs w:val="21"/>
        </w:rPr>
        <w:br/>
        <w:t>12.18.1 Tabela-resumo das duas modalidades .......</w:t>
      </w:r>
      <w:r w:rsidR="00846223">
        <w:rPr>
          <w:szCs w:val="21"/>
        </w:rPr>
        <w:t>..........................</w:t>
      </w:r>
      <w:r w:rsidRPr="00C42B3F">
        <w:rPr>
          <w:szCs w:val="21"/>
        </w:rPr>
        <w:t>.................... 6</w:t>
      </w:r>
      <w:r>
        <w:rPr>
          <w:szCs w:val="21"/>
        </w:rPr>
        <w:t>56</w:t>
      </w:r>
      <w:r w:rsidRPr="00C42B3F">
        <w:rPr>
          <w:szCs w:val="21"/>
        </w:rPr>
        <w:br/>
        <w:t>12.18.2 Tabela de fatores de conversão ...................</w:t>
      </w:r>
      <w:r w:rsidR="00846223">
        <w:rPr>
          <w:szCs w:val="21"/>
        </w:rPr>
        <w:t>.....................................</w:t>
      </w:r>
      <w:r w:rsidRPr="00C42B3F">
        <w:rPr>
          <w:szCs w:val="21"/>
        </w:rPr>
        <w:t>........ 6</w:t>
      </w:r>
      <w:r>
        <w:rPr>
          <w:szCs w:val="21"/>
        </w:rPr>
        <w:t>56</w:t>
      </w:r>
      <w:r w:rsidRPr="00C42B3F">
        <w:rPr>
          <w:szCs w:val="21"/>
        </w:rPr>
        <w:br/>
        <w:t>12.18.3 Comparativo triplo: aposentadoria PcD × BPC × aposentadoria por incapacidade ...........</w:t>
      </w:r>
      <w:r w:rsidR="00846223">
        <w:rPr>
          <w:szCs w:val="21"/>
        </w:rPr>
        <w:t>..........................................................................................</w:t>
      </w:r>
      <w:r w:rsidRPr="00C42B3F">
        <w:rPr>
          <w:szCs w:val="21"/>
        </w:rPr>
        <w:t>........... 6</w:t>
      </w:r>
      <w:r>
        <w:rPr>
          <w:szCs w:val="21"/>
        </w:rPr>
        <w:t>57</w:t>
      </w:r>
      <w:r w:rsidRPr="00C42B3F">
        <w:rPr>
          <w:szCs w:val="21"/>
        </w:rPr>
        <w:br/>
        <w:t>12.18.4 Fluxograma decisório: qual benefício requerer? .............</w:t>
      </w:r>
      <w:r w:rsidR="00846223">
        <w:rPr>
          <w:szCs w:val="21"/>
        </w:rPr>
        <w:t>..........</w:t>
      </w:r>
      <w:r w:rsidRPr="00C42B3F">
        <w:rPr>
          <w:szCs w:val="21"/>
        </w:rPr>
        <w:t>.............. 6</w:t>
      </w:r>
      <w:r>
        <w:rPr>
          <w:szCs w:val="21"/>
        </w:rPr>
        <w:t>58</w:t>
      </w:r>
      <w:r w:rsidRPr="00C42B3F">
        <w:rPr>
          <w:szCs w:val="21"/>
        </w:rPr>
        <w:br/>
        <w:t>12.18.5 Checklist completo ....................</w:t>
      </w:r>
      <w:r w:rsidR="00846223">
        <w:rPr>
          <w:szCs w:val="21"/>
        </w:rPr>
        <w:t>.......................................................</w:t>
      </w:r>
      <w:r w:rsidRPr="00C42B3F">
        <w:rPr>
          <w:szCs w:val="21"/>
        </w:rPr>
        <w:t>....... 6</w:t>
      </w:r>
      <w:r>
        <w:rPr>
          <w:szCs w:val="21"/>
        </w:rPr>
        <w:t>59</w:t>
      </w:r>
      <w:r w:rsidRPr="00C42B3F">
        <w:rPr>
          <w:szCs w:val="21"/>
        </w:rPr>
        <w:br/>
        <w:t>12.18.6 Valores de referência 2026 ........</w:t>
      </w:r>
      <w:r w:rsidR="00846223">
        <w:rPr>
          <w:szCs w:val="21"/>
        </w:rPr>
        <w:t>............................................</w:t>
      </w:r>
      <w:r w:rsidRPr="00C42B3F">
        <w:rPr>
          <w:szCs w:val="21"/>
        </w:rPr>
        <w:t>................... 6</w:t>
      </w:r>
      <w:r>
        <w:rPr>
          <w:szCs w:val="21"/>
        </w:rPr>
        <w:t>60</w:t>
      </w:r>
      <w:r w:rsidRPr="00C42B3F">
        <w:rPr>
          <w:szCs w:val="21"/>
        </w:rPr>
        <w:br/>
        <w:t>12.18.7 Perspectivas .........</w:t>
      </w:r>
      <w:r w:rsidR="00846223">
        <w:rPr>
          <w:szCs w:val="21"/>
        </w:rPr>
        <w:t>...................................................................</w:t>
      </w:r>
      <w:r w:rsidRPr="00C42B3F">
        <w:rPr>
          <w:szCs w:val="21"/>
        </w:rPr>
        <w:t>.................. 6</w:t>
      </w:r>
      <w:r>
        <w:rPr>
          <w:szCs w:val="21"/>
        </w:rPr>
        <w:t>61</w:t>
      </w:r>
    </w:p>
    <w:p w14:paraId="59D23C0F" w14:textId="0B233597" w:rsidR="003A005E" w:rsidRDefault="003A005E" w:rsidP="00776B6B">
      <w:pPr>
        <w:keepNext/>
        <w:pBdr>
          <w:bottom w:val="single" w:sz="8" w:space="4" w:color="B89B5E"/>
        </w:pBdr>
        <w:spacing w:after="0" w:line="240" w:lineRule="auto"/>
        <w:ind w:right="-171"/>
        <w:rPr>
          <w:bCs/>
          <w:szCs w:val="21"/>
        </w:rPr>
      </w:pPr>
      <w:r w:rsidRPr="00E56701">
        <w:rPr>
          <w:szCs w:val="21"/>
        </w:rPr>
        <w:t xml:space="preserve">PARTE IV — PENSÕES, AUXÍLIOS E BENEFÍCIO ASSISTENCIAL ...... </w:t>
      </w:r>
      <w:r>
        <w:rPr>
          <w:szCs w:val="21"/>
        </w:rPr>
        <w:t>663</w:t>
      </w:r>
      <w:r>
        <w:rPr>
          <w:bCs/>
          <w:szCs w:val="21"/>
        </w:rPr>
        <w:t xml:space="preserve"> </w:t>
      </w:r>
    </w:p>
    <w:p w14:paraId="7156E37D" w14:textId="7874733F" w:rsidR="003A005E" w:rsidRDefault="003A005E" w:rsidP="00776B6B">
      <w:pPr>
        <w:keepNext/>
        <w:pBdr>
          <w:bottom w:val="single" w:sz="8" w:space="4" w:color="B89B5E"/>
        </w:pBdr>
        <w:spacing w:after="0" w:line="240" w:lineRule="auto"/>
        <w:ind w:right="-171"/>
        <w:rPr>
          <w:szCs w:val="21"/>
        </w:rPr>
      </w:pPr>
      <w:r w:rsidRPr="00E56701">
        <w:rPr>
          <w:szCs w:val="21"/>
        </w:rPr>
        <w:t xml:space="preserve">Capítulo 13 — Salário-Maternidade .................................................................... </w:t>
      </w:r>
      <w:r>
        <w:rPr>
          <w:szCs w:val="21"/>
        </w:rPr>
        <w:t>664</w:t>
      </w:r>
    </w:p>
    <w:p w14:paraId="2D621CA9" w14:textId="50EEF4C6" w:rsidR="003A005E" w:rsidRPr="004716CC" w:rsidRDefault="003A005E" w:rsidP="00776B6B">
      <w:pPr>
        <w:keepNext/>
        <w:pBdr>
          <w:bottom w:val="single" w:sz="8" w:space="4" w:color="B89B5E"/>
        </w:pBdr>
        <w:spacing w:after="0" w:line="240" w:lineRule="auto"/>
        <w:ind w:right="-171"/>
        <w:rPr>
          <w:szCs w:val="21"/>
        </w:rPr>
      </w:pPr>
      <w:r w:rsidRPr="004716CC">
        <w:rPr>
          <w:szCs w:val="21"/>
        </w:rPr>
        <w:t>13.1 Introdução e fundamento constitucional ..............</w:t>
      </w:r>
      <w:r w:rsidR="00846223">
        <w:rPr>
          <w:szCs w:val="21"/>
        </w:rPr>
        <w:t>.........................</w:t>
      </w:r>
      <w:r w:rsidRPr="004716CC">
        <w:rPr>
          <w:szCs w:val="21"/>
        </w:rPr>
        <w:t>............. 664</w:t>
      </w:r>
      <w:r w:rsidRPr="004716CC">
        <w:rPr>
          <w:szCs w:val="21"/>
        </w:rPr>
        <w:br/>
        <w:t>13.2 Evolução legislativa ..............</w:t>
      </w:r>
      <w:r w:rsidR="00846223">
        <w:rPr>
          <w:szCs w:val="21"/>
        </w:rPr>
        <w:t>............................................................</w:t>
      </w:r>
      <w:r w:rsidRPr="004716CC">
        <w:rPr>
          <w:szCs w:val="21"/>
        </w:rPr>
        <w:t>............. 66</w:t>
      </w:r>
      <w:r>
        <w:rPr>
          <w:szCs w:val="21"/>
        </w:rPr>
        <w:t>6</w:t>
      </w:r>
    </w:p>
    <w:p w14:paraId="27F248C0" w14:textId="455FC941" w:rsidR="003A005E" w:rsidRPr="004716CC" w:rsidRDefault="003A005E" w:rsidP="00776B6B">
      <w:pPr>
        <w:keepNext/>
        <w:pBdr>
          <w:bottom w:val="single" w:sz="8" w:space="4" w:color="B89B5E"/>
        </w:pBdr>
        <w:spacing w:after="0" w:line="240" w:lineRule="auto"/>
        <w:ind w:right="-171"/>
        <w:rPr>
          <w:szCs w:val="21"/>
        </w:rPr>
      </w:pPr>
      <w:r w:rsidRPr="004716CC">
        <w:rPr>
          <w:szCs w:val="21"/>
        </w:rPr>
        <w:t>13.3 Fatos geradores ..................</w:t>
      </w:r>
      <w:r w:rsidR="00846223">
        <w:rPr>
          <w:szCs w:val="21"/>
        </w:rPr>
        <w:t>...................................................................</w:t>
      </w:r>
      <w:r w:rsidRPr="004716CC">
        <w:rPr>
          <w:szCs w:val="21"/>
        </w:rPr>
        <w:t>......... 6</w:t>
      </w:r>
      <w:r>
        <w:rPr>
          <w:szCs w:val="21"/>
        </w:rPr>
        <w:t>68</w:t>
      </w:r>
      <w:r w:rsidRPr="004716CC">
        <w:rPr>
          <w:szCs w:val="21"/>
        </w:rPr>
        <w:br/>
        <w:t>13.3.1 Parto ...................</w:t>
      </w:r>
      <w:r w:rsidR="00846223">
        <w:rPr>
          <w:szCs w:val="21"/>
        </w:rPr>
        <w:t>................................................................................</w:t>
      </w:r>
      <w:r w:rsidRPr="004716CC">
        <w:rPr>
          <w:szCs w:val="21"/>
        </w:rPr>
        <w:t>........ 6</w:t>
      </w:r>
      <w:r>
        <w:rPr>
          <w:szCs w:val="21"/>
        </w:rPr>
        <w:t>69</w:t>
      </w:r>
      <w:r w:rsidRPr="004716CC">
        <w:rPr>
          <w:szCs w:val="21"/>
        </w:rPr>
        <w:br/>
        <w:t>13.3.2 Adoção e guarda judicial para fins de adoção .............</w:t>
      </w:r>
      <w:r w:rsidR="00846223">
        <w:rPr>
          <w:szCs w:val="21"/>
        </w:rPr>
        <w:t>.................</w:t>
      </w:r>
      <w:r w:rsidRPr="004716CC">
        <w:rPr>
          <w:szCs w:val="21"/>
        </w:rPr>
        <w:t>.............. 67</w:t>
      </w:r>
      <w:r>
        <w:rPr>
          <w:szCs w:val="21"/>
        </w:rPr>
        <w:t>0</w:t>
      </w:r>
      <w:r w:rsidRPr="004716CC">
        <w:rPr>
          <w:szCs w:val="21"/>
        </w:rPr>
        <w:br/>
        <w:t>13.3.3 Aborto não criminoso ...................</w:t>
      </w:r>
      <w:r w:rsidR="00846223">
        <w:rPr>
          <w:szCs w:val="21"/>
        </w:rPr>
        <w:t>....................................................</w:t>
      </w:r>
      <w:r w:rsidRPr="004716CC">
        <w:rPr>
          <w:szCs w:val="21"/>
        </w:rPr>
        <w:t>........ 67</w:t>
      </w:r>
      <w:r>
        <w:rPr>
          <w:szCs w:val="21"/>
        </w:rPr>
        <w:t>0</w:t>
      </w:r>
      <w:r w:rsidRPr="004716CC">
        <w:rPr>
          <w:szCs w:val="21"/>
        </w:rPr>
        <w:br/>
        <w:t>13.3.4 Natimorto .............</w:t>
      </w:r>
      <w:r w:rsidR="00846223">
        <w:rPr>
          <w:szCs w:val="21"/>
        </w:rPr>
        <w:t>.......................................................................</w:t>
      </w:r>
      <w:r w:rsidRPr="004716CC">
        <w:rPr>
          <w:szCs w:val="21"/>
        </w:rPr>
        <w:t>.............. 67</w:t>
      </w:r>
      <w:r>
        <w:rPr>
          <w:szCs w:val="21"/>
        </w:rPr>
        <w:t>1</w:t>
      </w:r>
    </w:p>
    <w:p w14:paraId="14DDC0EC" w14:textId="68EAFC78" w:rsidR="003A005E" w:rsidRPr="004716CC" w:rsidRDefault="003A005E" w:rsidP="00846223">
      <w:pPr>
        <w:keepNext/>
        <w:pBdr>
          <w:bottom w:val="single" w:sz="8" w:space="4" w:color="B89B5E"/>
        </w:pBdr>
        <w:spacing w:after="0" w:line="240" w:lineRule="auto"/>
        <w:ind w:right="-171"/>
        <w:rPr>
          <w:szCs w:val="21"/>
        </w:rPr>
      </w:pPr>
      <w:r w:rsidRPr="004716CC">
        <w:rPr>
          <w:szCs w:val="21"/>
        </w:rPr>
        <w:t>13.4 Seguradas beneficiárias e carência ..................</w:t>
      </w:r>
      <w:r w:rsidR="00846223">
        <w:rPr>
          <w:szCs w:val="21"/>
        </w:rPr>
        <w:t>......................................</w:t>
      </w:r>
      <w:r w:rsidRPr="004716CC">
        <w:rPr>
          <w:szCs w:val="21"/>
        </w:rPr>
        <w:t>......... 67</w:t>
      </w:r>
      <w:r>
        <w:rPr>
          <w:szCs w:val="21"/>
        </w:rPr>
        <w:t>2</w:t>
      </w:r>
      <w:r w:rsidRPr="004716CC">
        <w:rPr>
          <w:szCs w:val="21"/>
        </w:rPr>
        <w:br/>
        <w:t>13.4.1 Empregada (inclusive doméstica) ...................</w:t>
      </w:r>
      <w:r w:rsidR="00846223">
        <w:rPr>
          <w:szCs w:val="21"/>
        </w:rPr>
        <w:t>...................................</w:t>
      </w:r>
      <w:r w:rsidRPr="004716CC">
        <w:rPr>
          <w:szCs w:val="21"/>
        </w:rPr>
        <w:t>........ 67</w:t>
      </w:r>
      <w:r>
        <w:rPr>
          <w:szCs w:val="21"/>
        </w:rPr>
        <w:t>2</w:t>
      </w:r>
      <w:r w:rsidRPr="004716CC">
        <w:rPr>
          <w:szCs w:val="21"/>
        </w:rPr>
        <w:br/>
        <w:t>13.4.2 Trabalhadora avulsa .......</w:t>
      </w:r>
      <w:r w:rsidR="00846223">
        <w:rPr>
          <w:szCs w:val="21"/>
        </w:rPr>
        <w:t>........................................................</w:t>
      </w:r>
      <w:r w:rsidRPr="004716CC">
        <w:rPr>
          <w:szCs w:val="21"/>
        </w:rPr>
        <w:t>.................... 67</w:t>
      </w:r>
      <w:r>
        <w:rPr>
          <w:szCs w:val="21"/>
        </w:rPr>
        <w:t>2</w:t>
      </w:r>
      <w:r w:rsidRPr="004716CC">
        <w:rPr>
          <w:szCs w:val="21"/>
        </w:rPr>
        <w:br/>
        <w:t>13.4.3 Contribuinte individual .............</w:t>
      </w:r>
      <w:r w:rsidR="00846223">
        <w:rPr>
          <w:szCs w:val="21"/>
        </w:rPr>
        <w:t>.................................................</w:t>
      </w:r>
      <w:r w:rsidRPr="004716CC">
        <w:rPr>
          <w:szCs w:val="21"/>
        </w:rPr>
        <w:t>.............. 67</w:t>
      </w:r>
      <w:r>
        <w:rPr>
          <w:szCs w:val="21"/>
        </w:rPr>
        <w:t>2</w:t>
      </w:r>
      <w:r w:rsidRPr="004716CC">
        <w:rPr>
          <w:szCs w:val="21"/>
        </w:rPr>
        <w:br/>
        <w:t>13.4.4 Segurada facultativa ...........</w:t>
      </w:r>
      <w:r w:rsidR="00846223">
        <w:rPr>
          <w:szCs w:val="21"/>
        </w:rPr>
        <w:t>........................................................</w:t>
      </w:r>
      <w:r w:rsidRPr="004716CC">
        <w:rPr>
          <w:szCs w:val="21"/>
        </w:rPr>
        <w:t>................ 67</w:t>
      </w:r>
      <w:r>
        <w:rPr>
          <w:szCs w:val="21"/>
        </w:rPr>
        <w:t>3</w:t>
      </w:r>
      <w:r w:rsidRPr="004716CC">
        <w:rPr>
          <w:szCs w:val="21"/>
        </w:rPr>
        <w:br/>
      </w:r>
      <w:r w:rsidRPr="004716CC">
        <w:rPr>
          <w:szCs w:val="21"/>
        </w:rPr>
        <w:lastRenderedPageBreak/>
        <w:t>13.4.5 Segurada especial ..............</w:t>
      </w:r>
      <w:r w:rsidR="00846223">
        <w:rPr>
          <w:szCs w:val="21"/>
        </w:rPr>
        <w:t>.............................................................</w:t>
      </w:r>
      <w:r w:rsidRPr="004716CC">
        <w:rPr>
          <w:szCs w:val="21"/>
        </w:rPr>
        <w:t>............. 67</w:t>
      </w:r>
      <w:r>
        <w:rPr>
          <w:szCs w:val="21"/>
        </w:rPr>
        <w:t>3</w:t>
      </w:r>
      <w:r w:rsidRPr="004716CC">
        <w:rPr>
          <w:szCs w:val="21"/>
        </w:rPr>
        <w:br/>
        <w:t>13.4.6 MEI (microempreendedor individual) ...................</w:t>
      </w:r>
      <w:r w:rsidR="00846223">
        <w:rPr>
          <w:szCs w:val="21"/>
        </w:rPr>
        <w:t>..........................</w:t>
      </w:r>
      <w:r w:rsidRPr="004716CC">
        <w:rPr>
          <w:szCs w:val="21"/>
        </w:rPr>
        <w:t>........ 67</w:t>
      </w:r>
      <w:r>
        <w:rPr>
          <w:szCs w:val="21"/>
        </w:rPr>
        <w:t>4</w:t>
      </w:r>
    </w:p>
    <w:p w14:paraId="1A3EE90A" w14:textId="1B51A88B" w:rsidR="003A005E" w:rsidRPr="004716CC" w:rsidRDefault="003A005E" w:rsidP="00846223">
      <w:pPr>
        <w:keepNext/>
        <w:pBdr>
          <w:bottom w:val="single" w:sz="8" w:space="4" w:color="B89B5E"/>
        </w:pBdr>
        <w:spacing w:after="0" w:line="240" w:lineRule="auto"/>
        <w:ind w:right="-171"/>
        <w:rPr>
          <w:szCs w:val="21"/>
        </w:rPr>
      </w:pPr>
      <w:r w:rsidRPr="004716CC">
        <w:rPr>
          <w:szCs w:val="21"/>
        </w:rPr>
        <w:t>13.5 Duração do benefício ...............</w:t>
      </w:r>
      <w:r w:rsidR="00846223">
        <w:rPr>
          <w:szCs w:val="21"/>
        </w:rPr>
        <w:t>.........................................................</w:t>
      </w:r>
      <w:r w:rsidRPr="004716CC">
        <w:rPr>
          <w:szCs w:val="21"/>
        </w:rPr>
        <w:t>............ 67</w:t>
      </w:r>
      <w:r>
        <w:rPr>
          <w:szCs w:val="21"/>
        </w:rPr>
        <w:t>5</w:t>
      </w:r>
    </w:p>
    <w:p w14:paraId="7A7EED29" w14:textId="27E6B18A" w:rsidR="003A005E" w:rsidRPr="004716CC" w:rsidRDefault="003A005E" w:rsidP="00846223">
      <w:pPr>
        <w:keepNext/>
        <w:pBdr>
          <w:bottom w:val="single" w:sz="8" w:space="4" w:color="B89B5E"/>
        </w:pBdr>
        <w:spacing w:after="0" w:line="240" w:lineRule="auto"/>
        <w:ind w:right="-171"/>
        <w:rPr>
          <w:szCs w:val="21"/>
        </w:rPr>
      </w:pPr>
      <w:r w:rsidRPr="004716CC">
        <w:rPr>
          <w:szCs w:val="21"/>
        </w:rPr>
        <w:t>13.6 Valor do benefício e cálculo ...................</w:t>
      </w:r>
      <w:r w:rsidR="00846223">
        <w:rPr>
          <w:szCs w:val="21"/>
        </w:rPr>
        <w:t>...............................................</w:t>
      </w:r>
      <w:r w:rsidRPr="004716CC">
        <w:rPr>
          <w:szCs w:val="21"/>
        </w:rPr>
        <w:t>........ 6</w:t>
      </w:r>
      <w:r>
        <w:rPr>
          <w:szCs w:val="21"/>
        </w:rPr>
        <w:t>77</w:t>
      </w:r>
    </w:p>
    <w:p w14:paraId="725D3780" w14:textId="4F957669" w:rsidR="003A005E" w:rsidRPr="004716CC" w:rsidRDefault="003A005E" w:rsidP="00846223">
      <w:pPr>
        <w:keepNext/>
        <w:pBdr>
          <w:bottom w:val="single" w:sz="8" w:space="4" w:color="B89B5E"/>
        </w:pBdr>
        <w:spacing w:after="0" w:line="240" w:lineRule="auto"/>
        <w:ind w:right="-171"/>
        <w:rPr>
          <w:szCs w:val="21"/>
        </w:rPr>
      </w:pPr>
      <w:r w:rsidRPr="004716CC">
        <w:rPr>
          <w:szCs w:val="21"/>
        </w:rPr>
        <w:t>13.7 Responsabilidade pelo pagamento e compensação tributária ..................... 6</w:t>
      </w:r>
      <w:r>
        <w:rPr>
          <w:szCs w:val="21"/>
        </w:rPr>
        <w:t>79</w:t>
      </w:r>
    </w:p>
    <w:p w14:paraId="7D272235" w14:textId="10298675" w:rsidR="003A005E" w:rsidRPr="004716CC" w:rsidRDefault="003A005E" w:rsidP="00846223">
      <w:pPr>
        <w:keepNext/>
        <w:pBdr>
          <w:bottom w:val="single" w:sz="8" w:space="4" w:color="B89B5E"/>
        </w:pBdr>
        <w:spacing w:after="0" w:line="240" w:lineRule="auto"/>
        <w:ind w:right="-171"/>
        <w:rPr>
          <w:szCs w:val="21"/>
        </w:rPr>
      </w:pPr>
      <w:r w:rsidRPr="004716CC">
        <w:rPr>
          <w:szCs w:val="21"/>
        </w:rPr>
        <w:t>13.8 Incidência de contribuição previdenciária sobre o salário-maternidade .............</w:t>
      </w:r>
      <w:r w:rsidR="00846223">
        <w:rPr>
          <w:szCs w:val="21"/>
        </w:rPr>
        <w:t>.....................................................................................................</w:t>
      </w:r>
      <w:r w:rsidRPr="004716CC">
        <w:rPr>
          <w:szCs w:val="21"/>
        </w:rPr>
        <w:t>.............. 68</w:t>
      </w:r>
      <w:r>
        <w:rPr>
          <w:szCs w:val="21"/>
        </w:rPr>
        <w:t>2</w:t>
      </w:r>
    </w:p>
    <w:p w14:paraId="61583D11" w14:textId="670B174B" w:rsidR="003A005E" w:rsidRPr="004716CC" w:rsidRDefault="003A005E" w:rsidP="00846223">
      <w:pPr>
        <w:keepNext/>
        <w:pBdr>
          <w:bottom w:val="single" w:sz="8" w:space="4" w:color="B89B5E"/>
        </w:pBdr>
        <w:spacing w:after="0" w:line="240" w:lineRule="auto"/>
        <w:ind w:right="-171"/>
        <w:rPr>
          <w:szCs w:val="21"/>
        </w:rPr>
      </w:pPr>
      <w:r w:rsidRPr="004716CC">
        <w:rPr>
          <w:szCs w:val="21"/>
        </w:rPr>
        <w:t>13.9 Segurada desempregada e período de graça ..............</w:t>
      </w:r>
      <w:r w:rsidR="00846223">
        <w:rPr>
          <w:szCs w:val="21"/>
        </w:rPr>
        <w:t>.......................</w:t>
      </w:r>
      <w:r w:rsidRPr="004716CC">
        <w:rPr>
          <w:szCs w:val="21"/>
        </w:rPr>
        <w:t>............. 6</w:t>
      </w:r>
      <w:r>
        <w:rPr>
          <w:szCs w:val="21"/>
        </w:rPr>
        <w:t>84</w:t>
      </w:r>
    </w:p>
    <w:p w14:paraId="112BB216" w14:textId="748AC6E5" w:rsidR="003A005E" w:rsidRPr="004716CC" w:rsidRDefault="003A005E" w:rsidP="00846223">
      <w:pPr>
        <w:keepNext/>
        <w:pBdr>
          <w:bottom w:val="single" w:sz="8" w:space="4" w:color="B89B5E"/>
        </w:pBdr>
        <w:spacing w:after="0" w:line="240" w:lineRule="auto"/>
        <w:ind w:right="-171"/>
        <w:rPr>
          <w:szCs w:val="21"/>
        </w:rPr>
      </w:pPr>
      <w:r w:rsidRPr="004716CC">
        <w:rPr>
          <w:szCs w:val="21"/>
        </w:rPr>
        <w:t>13.10 Segurada especial e prova de atividade rural ..........</w:t>
      </w:r>
      <w:r w:rsidR="00846223">
        <w:rPr>
          <w:szCs w:val="21"/>
        </w:rPr>
        <w:t>....................</w:t>
      </w:r>
      <w:r w:rsidRPr="004716CC">
        <w:rPr>
          <w:szCs w:val="21"/>
        </w:rPr>
        <w:t>................. 6</w:t>
      </w:r>
      <w:r>
        <w:rPr>
          <w:szCs w:val="21"/>
        </w:rPr>
        <w:t>86</w:t>
      </w:r>
    </w:p>
    <w:p w14:paraId="545BA199" w14:textId="49F51392" w:rsidR="003A005E" w:rsidRPr="004716CC" w:rsidRDefault="003A005E" w:rsidP="00846223">
      <w:pPr>
        <w:keepNext/>
        <w:pBdr>
          <w:bottom w:val="single" w:sz="8" w:space="4" w:color="B89B5E"/>
        </w:pBdr>
        <w:spacing w:after="0" w:line="240" w:lineRule="auto"/>
        <w:ind w:right="-171"/>
        <w:rPr>
          <w:szCs w:val="21"/>
        </w:rPr>
      </w:pPr>
      <w:r w:rsidRPr="004716CC">
        <w:rPr>
          <w:szCs w:val="21"/>
        </w:rPr>
        <w:t>13.11 Adoção e guarda judicial para fins de adoção ...................</w:t>
      </w:r>
      <w:r w:rsidR="00846223">
        <w:rPr>
          <w:szCs w:val="21"/>
        </w:rPr>
        <w:t>..................</w:t>
      </w:r>
      <w:r w:rsidRPr="004716CC">
        <w:rPr>
          <w:szCs w:val="21"/>
        </w:rPr>
        <w:t>........ 6</w:t>
      </w:r>
      <w:r>
        <w:rPr>
          <w:szCs w:val="21"/>
        </w:rPr>
        <w:t>89</w:t>
      </w:r>
    </w:p>
    <w:p w14:paraId="5A535FD8" w14:textId="73AF5291" w:rsidR="003A005E" w:rsidRPr="004716CC" w:rsidRDefault="003A005E" w:rsidP="00846223">
      <w:pPr>
        <w:keepNext/>
        <w:pBdr>
          <w:bottom w:val="single" w:sz="8" w:space="4" w:color="B89B5E"/>
        </w:pBdr>
        <w:spacing w:after="0" w:line="240" w:lineRule="auto"/>
        <w:ind w:right="-171"/>
        <w:rPr>
          <w:szCs w:val="21"/>
        </w:rPr>
      </w:pPr>
      <w:r w:rsidRPr="004716CC">
        <w:rPr>
          <w:szCs w:val="21"/>
        </w:rPr>
        <w:t>13.12 Pai adotante, casais homoafetivos e famílias diversas .............</w:t>
      </w:r>
      <w:r w:rsidR="00846223">
        <w:rPr>
          <w:szCs w:val="21"/>
        </w:rPr>
        <w:t>......</w:t>
      </w:r>
      <w:r w:rsidRPr="004716CC">
        <w:rPr>
          <w:szCs w:val="21"/>
        </w:rPr>
        <w:t xml:space="preserve">.............. </w:t>
      </w:r>
      <w:r>
        <w:rPr>
          <w:szCs w:val="21"/>
        </w:rPr>
        <w:t>692</w:t>
      </w:r>
    </w:p>
    <w:p w14:paraId="4B90C593" w14:textId="40A8699A" w:rsidR="003A005E" w:rsidRPr="004716CC" w:rsidRDefault="003A005E" w:rsidP="00846223">
      <w:pPr>
        <w:keepNext/>
        <w:pBdr>
          <w:bottom w:val="single" w:sz="8" w:space="4" w:color="B89B5E"/>
        </w:pBdr>
        <w:spacing w:after="0" w:line="240" w:lineRule="auto"/>
        <w:ind w:right="-171"/>
        <w:rPr>
          <w:szCs w:val="21"/>
        </w:rPr>
      </w:pPr>
      <w:r w:rsidRPr="004716CC">
        <w:rPr>
          <w:szCs w:val="21"/>
        </w:rPr>
        <w:t>13.13 Estabilidade gestante e interface trabalhista .......................</w:t>
      </w:r>
      <w:r w:rsidR="00846223">
        <w:rPr>
          <w:szCs w:val="21"/>
        </w:rPr>
        <w:t>....................</w:t>
      </w:r>
      <w:r w:rsidRPr="004716CC">
        <w:rPr>
          <w:szCs w:val="21"/>
        </w:rPr>
        <w:t xml:space="preserve">.... </w:t>
      </w:r>
      <w:r>
        <w:rPr>
          <w:szCs w:val="21"/>
        </w:rPr>
        <w:t>694</w:t>
      </w:r>
    </w:p>
    <w:p w14:paraId="0BF865A8" w14:textId="19090CD3" w:rsidR="003A005E" w:rsidRPr="004716CC" w:rsidRDefault="003A005E" w:rsidP="00846223">
      <w:pPr>
        <w:keepNext/>
        <w:pBdr>
          <w:bottom w:val="single" w:sz="8" w:space="4" w:color="B89B5E"/>
        </w:pBdr>
        <w:spacing w:after="0" w:line="240" w:lineRule="auto"/>
        <w:ind w:right="-171"/>
        <w:rPr>
          <w:szCs w:val="21"/>
        </w:rPr>
      </w:pPr>
      <w:r w:rsidRPr="004716CC">
        <w:rPr>
          <w:szCs w:val="21"/>
        </w:rPr>
        <w:t>13.14 Acumulação e vedações .........</w:t>
      </w:r>
      <w:r w:rsidR="00846223">
        <w:rPr>
          <w:szCs w:val="21"/>
        </w:rPr>
        <w:t>...................................................</w:t>
      </w:r>
      <w:r w:rsidRPr="004716CC">
        <w:rPr>
          <w:szCs w:val="21"/>
        </w:rPr>
        <w:t xml:space="preserve">.................. </w:t>
      </w:r>
      <w:r>
        <w:rPr>
          <w:szCs w:val="21"/>
        </w:rPr>
        <w:t>697</w:t>
      </w:r>
    </w:p>
    <w:p w14:paraId="53609BEC" w14:textId="0DFDA20C" w:rsidR="003A005E" w:rsidRPr="004716CC" w:rsidRDefault="003A005E" w:rsidP="00846223">
      <w:pPr>
        <w:keepNext/>
        <w:pBdr>
          <w:bottom w:val="single" w:sz="8" w:space="4" w:color="B89B5E"/>
        </w:pBdr>
        <w:spacing w:after="0" w:line="240" w:lineRule="auto"/>
        <w:ind w:right="-171"/>
        <w:rPr>
          <w:szCs w:val="21"/>
        </w:rPr>
      </w:pPr>
      <w:r w:rsidRPr="004716CC">
        <w:rPr>
          <w:szCs w:val="21"/>
        </w:rPr>
        <w:t xml:space="preserve">13.15 Salário-maternidade como tempo de contribuição e carência ................... </w:t>
      </w:r>
      <w:r>
        <w:rPr>
          <w:szCs w:val="21"/>
        </w:rPr>
        <w:t>69</w:t>
      </w:r>
      <w:r w:rsidRPr="004716CC">
        <w:rPr>
          <w:szCs w:val="21"/>
        </w:rPr>
        <w:t>9</w:t>
      </w:r>
    </w:p>
    <w:p w14:paraId="3C4A87EC" w14:textId="4A276D76" w:rsidR="003A005E" w:rsidRPr="004716CC" w:rsidRDefault="003A005E" w:rsidP="00846223">
      <w:pPr>
        <w:keepNext/>
        <w:pBdr>
          <w:bottom w:val="single" w:sz="8" w:space="4" w:color="B89B5E"/>
        </w:pBdr>
        <w:spacing w:after="0" w:line="240" w:lineRule="auto"/>
        <w:ind w:right="-171"/>
        <w:rPr>
          <w:szCs w:val="21"/>
        </w:rPr>
      </w:pPr>
      <w:r w:rsidRPr="004716CC">
        <w:rPr>
          <w:szCs w:val="21"/>
        </w:rPr>
        <w:t>13.16 Aspectos processuais nos JEFs .......</w:t>
      </w:r>
      <w:r w:rsidR="00846223">
        <w:rPr>
          <w:szCs w:val="21"/>
        </w:rPr>
        <w:t>.........................................</w:t>
      </w:r>
      <w:r w:rsidRPr="004716CC">
        <w:rPr>
          <w:szCs w:val="21"/>
        </w:rPr>
        <w:t>.................... 7</w:t>
      </w:r>
      <w:r>
        <w:rPr>
          <w:szCs w:val="21"/>
        </w:rPr>
        <w:t>01</w:t>
      </w:r>
      <w:r w:rsidRPr="004716CC">
        <w:rPr>
          <w:szCs w:val="21"/>
        </w:rPr>
        <w:br/>
        <w:t>13.16.1 Competência ..........</w:t>
      </w:r>
      <w:r w:rsidR="00846223">
        <w:rPr>
          <w:szCs w:val="21"/>
        </w:rPr>
        <w:t>................................................................</w:t>
      </w:r>
      <w:r w:rsidRPr="004716CC">
        <w:rPr>
          <w:szCs w:val="21"/>
        </w:rPr>
        <w:t>................. 7</w:t>
      </w:r>
      <w:r>
        <w:rPr>
          <w:szCs w:val="21"/>
        </w:rPr>
        <w:t>01</w:t>
      </w:r>
      <w:r w:rsidRPr="004716CC">
        <w:rPr>
          <w:szCs w:val="21"/>
        </w:rPr>
        <w:br/>
        <w:t>13.16.2 Prévio requerimento administrativo ...........</w:t>
      </w:r>
      <w:r w:rsidR="00F13177">
        <w:rPr>
          <w:szCs w:val="21"/>
        </w:rPr>
        <w:t>............................</w:t>
      </w:r>
      <w:r w:rsidRPr="004716CC">
        <w:rPr>
          <w:szCs w:val="21"/>
        </w:rPr>
        <w:t>................ 7</w:t>
      </w:r>
      <w:r>
        <w:rPr>
          <w:szCs w:val="21"/>
        </w:rPr>
        <w:t>02</w:t>
      </w:r>
      <w:r w:rsidRPr="004716CC">
        <w:rPr>
          <w:szCs w:val="21"/>
        </w:rPr>
        <w:br/>
        <w:t>13.16.3 Data de início do benefício (DIB) .............</w:t>
      </w:r>
      <w:r w:rsidR="00F13177">
        <w:rPr>
          <w:szCs w:val="21"/>
        </w:rPr>
        <w:t>................................</w:t>
      </w:r>
      <w:r w:rsidRPr="004716CC">
        <w:rPr>
          <w:szCs w:val="21"/>
        </w:rPr>
        <w:t>.............. 7</w:t>
      </w:r>
      <w:r>
        <w:rPr>
          <w:szCs w:val="21"/>
        </w:rPr>
        <w:t>02</w:t>
      </w:r>
      <w:r w:rsidRPr="004716CC">
        <w:rPr>
          <w:szCs w:val="21"/>
        </w:rPr>
        <w:br/>
        <w:t>13.16.4 Tutela antecipada .......................</w:t>
      </w:r>
      <w:r w:rsidR="00F13177">
        <w:rPr>
          <w:szCs w:val="21"/>
        </w:rPr>
        <w:t>.........................................................</w:t>
      </w:r>
      <w:r w:rsidRPr="004716CC">
        <w:rPr>
          <w:szCs w:val="21"/>
        </w:rPr>
        <w:t>.... 7</w:t>
      </w:r>
      <w:r>
        <w:rPr>
          <w:szCs w:val="21"/>
        </w:rPr>
        <w:t>02</w:t>
      </w:r>
      <w:r w:rsidRPr="004716CC">
        <w:rPr>
          <w:szCs w:val="21"/>
        </w:rPr>
        <w:br/>
        <w:t>13.16.5 Instrução probatória .............</w:t>
      </w:r>
      <w:r w:rsidR="00F13177">
        <w:rPr>
          <w:szCs w:val="21"/>
        </w:rPr>
        <w:t>.....................................................</w:t>
      </w:r>
      <w:r w:rsidRPr="004716CC">
        <w:rPr>
          <w:szCs w:val="21"/>
        </w:rPr>
        <w:t>.............. 7</w:t>
      </w:r>
      <w:r>
        <w:rPr>
          <w:szCs w:val="21"/>
        </w:rPr>
        <w:t>03</w:t>
      </w:r>
      <w:r w:rsidRPr="004716CC">
        <w:rPr>
          <w:szCs w:val="21"/>
        </w:rPr>
        <w:br/>
        <w:t>13.16.6 Prescrição e valor da causa .............</w:t>
      </w:r>
      <w:r w:rsidR="00F13177">
        <w:rPr>
          <w:szCs w:val="21"/>
        </w:rPr>
        <w:t>.............................................</w:t>
      </w:r>
      <w:r w:rsidRPr="004716CC">
        <w:rPr>
          <w:szCs w:val="21"/>
        </w:rPr>
        <w:t>.............. 7</w:t>
      </w:r>
      <w:r>
        <w:rPr>
          <w:szCs w:val="21"/>
        </w:rPr>
        <w:t>05</w:t>
      </w:r>
      <w:r w:rsidRPr="004716CC">
        <w:rPr>
          <w:szCs w:val="21"/>
        </w:rPr>
        <w:br/>
        <w:t>13.16.7 Execução .......................</w:t>
      </w:r>
      <w:r w:rsidR="00746003">
        <w:rPr>
          <w:szCs w:val="21"/>
        </w:rPr>
        <w:t>.......................................................................</w:t>
      </w:r>
      <w:r w:rsidRPr="004716CC">
        <w:rPr>
          <w:szCs w:val="21"/>
        </w:rPr>
        <w:t>.... 7</w:t>
      </w:r>
      <w:r>
        <w:rPr>
          <w:szCs w:val="21"/>
        </w:rPr>
        <w:t>05</w:t>
      </w:r>
    </w:p>
    <w:p w14:paraId="124D44C0" w14:textId="26640FD1" w:rsidR="003A005E" w:rsidRPr="004716CC" w:rsidRDefault="003A005E" w:rsidP="0045748A">
      <w:pPr>
        <w:keepNext/>
        <w:pBdr>
          <w:bottom w:val="single" w:sz="8" w:space="4" w:color="B89B5E"/>
        </w:pBdr>
        <w:spacing w:after="0" w:line="240" w:lineRule="auto"/>
        <w:ind w:right="-171"/>
        <w:rPr>
          <w:szCs w:val="21"/>
        </w:rPr>
      </w:pPr>
      <w:r w:rsidRPr="004716CC">
        <w:rPr>
          <w:szCs w:val="21"/>
        </w:rPr>
        <w:t>13.17 Questões especiais e situações atípicas ...................</w:t>
      </w:r>
      <w:r w:rsidR="00746003">
        <w:rPr>
          <w:szCs w:val="21"/>
        </w:rPr>
        <w:t>.............................</w:t>
      </w:r>
      <w:r w:rsidRPr="004716CC">
        <w:rPr>
          <w:szCs w:val="21"/>
        </w:rPr>
        <w:t>........ 7</w:t>
      </w:r>
      <w:r>
        <w:rPr>
          <w:szCs w:val="21"/>
        </w:rPr>
        <w:t>06</w:t>
      </w:r>
      <w:r w:rsidRPr="004716CC">
        <w:rPr>
          <w:szCs w:val="21"/>
        </w:rPr>
        <w:br/>
        <w:t>13.17.1 Gestação de alto risco ..............</w:t>
      </w:r>
      <w:r w:rsidR="0045748A">
        <w:rPr>
          <w:szCs w:val="21"/>
        </w:rPr>
        <w:t>....................................................</w:t>
      </w:r>
      <w:r w:rsidRPr="004716CC">
        <w:rPr>
          <w:szCs w:val="21"/>
        </w:rPr>
        <w:t>............. 7</w:t>
      </w:r>
      <w:r>
        <w:rPr>
          <w:szCs w:val="21"/>
        </w:rPr>
        <w:t>06</w:t>
      </w:r>
      <w:r w:rsidRPr="004716CC">
        <w:rPr>
          <w:szCs w:val="21"/>
        </w:rPr>
        <w:br/>
        <w:t>13.17.2 Internação prolongada do recém-nascido ............</w:t>
      </w:r>
      <w:r w:rsidR="0045748A">
        <w:rPr>
          <w:szCs w:val="21"/>
        </w:rPr>
        <w:t>....................</w:t>
      </w:r>
      <w:r w:rsidRPr="004716CC">
        <w:rPr>
          <w:szCs w:val="21"/>
        </w:rPr>
        <w:t>............... 7</w:t>
      </w:r>
      <w:r>
        <w:rPr>
          <w:szCs w:val="21"/>
        </w:rPr>
        <w:t>07</w:t>
      </w:r>
      <w:r w:rsidRPr="004716CC">
        <w:rPr>
          <w:szCs w:val="21"/>
        </w:rPr>
        <w:br/>
        <w:t>13.17.3 Parto de natimorto ..............</w:t>
      </w:r>
      <w:r w:rsidR="0045748A">
        <w:rPr>
          <w:szCs w:val="21"/>
        </w:rPr>
        <w:t>........................................................</w:t>
      </w:r>
      <w:r w:rsidRPr="004716CC">
        <w:rPr>
          <w:szCs w:val="21"/>
        </w:rPr>
        <w:t>............. 7</w:t>
      </w:r>
      <w:r>
        <w:rPr>
          <w:szCs w:val="21"/>
        </w:rPr>
        <w:t>07</w:t>
      </w:r>
      <w:r w:rsidRPr="004716CC">
        <w:rPr>
          <w:szCs w:val="21"/>
        </w:rPr>
        <w:br/>
        <w:t>13.17.4 Mãe biológica e mãe adotiva: duplo benefício .........</w:t>
      </w:r>
      <w:r w:rsidR="0045748A">
        <w:rPr>
          <w:szCs w:val="21"/>
        </w:rPr>
        <w:t>.............</w:t>
      </w:r>
      <w:r w:rsidRPr="004716CC">
        <w:rPr>
          <w:szCs w:val="21"/>
        </w:rPr>
        <w:t>.................. 7</w:t>
      </w:r>
      <w:r>
        <w:rPr>
          <w:szCs w:val="21"/>
        </w:rPr>
        <w:t>08</w:t>
      </w:r>
      <w:r w:rsidRPr="004716CC">
        <w:rPr>
          <w:szCs w:val="21"/>
        </w:rPr>
        <w:br/>
        <w:t>13.17.5 Gestação por substituição (barriga solidária) .........</w:t>
      </w:r>
      <w:r w:rsidR="0045748A">
        <w:rPr>
          <w:szCs w:val="21"/>
        </w:rPr>
        <w:t>...............</w:t>
      </w:r>
      <w:r w:rsidRPr="004716CC">
        <w:rPr>
          <w:szCs w:val="21"/>
        </w:rPr>
        <w:t>.................. 7</w:t>
      </w:r>
      <w:r>
        <w:rPr>
          <w:szCs w:val="21"/>
        </w:rPr>
        <w:t>08</w:t>
      </w:r>
      <w:r w:rsidRPr="004716CC">
        <w:rPr>
          <w:szCs w:val="21"/>
        </w:rPr>
        <w:br/>
        <w:t>13.17.6 Morte da segurada durante o parto ou o salário-maternidade ................ 7</w:t>
      </w:r>
      <w:r>
        <w:rPr>
          <w:szCs w:val="21"/>
        </w:rPr>
        <w:t>09</w:t>
      </w:r>
      <w:r w:rsidRPr="004716CC">
        <w:rPr>
          <w:szCs w:val="21"/>
        </w:rPr>
        <w:br/>
        <w:t>13.17.7 MEI gestante ...</w:t>
      </w:r>
      <w:r w:rsidR="0045748A">
        <w:rPr>
          <w:szCs w:val="21"/>
        </w:rPr>
        <w:t>.................................................................</w:t>
      </w:r>
      <w:r w:rsidRPr="004716CC">
        <w:rPr>
          <w:szCs w:val="21"/>
        </w:rPr>
        <w:t>........................ 7</w:t>
      </w:r>
      <w:r>
        <w:rPr>
          <w:szCs w:val="21"/>
        </w:rPr>
        <w:t>10</w:t>
      </w:r>
      <w:r w:rsidRPr="004716CC">
        <w:rPr>
          <w:szCs w:val="21"/>
        </w:rPr>
        <w:br/>
        <w:t>13.17.8 Trabalho intermitente e salário-maternidade ..............</w:t>
      </w:r>
      <w:r w:rsidR="0045748A">
        <w:rPr>
          <w:szCs w:val="21"/>
        </w:rPr>
        <w:t>..............</w:t>
      </w:r>
      <w:r w:rsidRPr="004716CC">
        <w:rPr>
          <w:szCs w:val="21"/>
        </w:rPr>
        <w:t>............. 7</w:t>
      </w:r>
      <w:r>
        <w:rPr>
          <w:szCs w:val="21"/>
        </w:rPr>
        <w:t>11</w:t>
      </w:r>
      <w:r w:rsidRPr="004716CC">
        <w:rPr>
          <w:szCs w:val="21"/>
        </w:rPr>
        <w:br/>
        <w:t>13.17.9 Segurada presa ......................</w:t>
      </w:r>
      <w:r w:rsidR="0045748A">
        <w:rPr>
          <w:szCs w:val="21"/>
        </w:rPr>
        <w:t>...............................................................</w:t>
      </w:r>
      <w:r w:rsidRPr="004716CC">
        <w:rPr>
          <w:szCs w:val="21"/>
        </w:rPr>
        <w:t>..... 7</w:t>
      </w:r>
      <w:r>
        <w:rPr>
          <w:szCs w:val="21"/>
        </w:rPr>
        <w:t>11</w:t>
      </w:r>
      <w:r w:rsidRPr="004716CC">
        <w:rPr>
          <w:szCs w:val="21"/>
        </w:rPr>
        <w:br/>
      </w:r>
      <w:r w:rsidRPr="004716CC">
        <w:rPr>
          <w:szCs w:val="21"/>
        </w:rPr>
        <w:lastRenderedPageBreak/>
        <w:t>13.17.10 Salário-maternidade e seguro-desemprego .............</w:t>
      </w:r>
      <w:r w:rsidR="0045748A">
        <w:rPr>
          <w:szCs w:val="21"/>
        </w:rPr>
        <w:t>.................</w:t>
      </w:r>
      <w:r w:rsidRPr="004716CC">
        <w:rPr>
          <w:szCs w:val="21"/>
        </w:rPr>
        <w:t>.............. 7</w:t>
      </w:r>
      <w:r>
        <w:rPr>
          <w:szCs w:val="21"/>
        </w:rPr>
        <w:t>12</w:t>
      </w:r>
      <w:r w:rsidRPr="004716CC">
        <w:rPr>
          <w:szCs w:val="21"/>
        </w:rPr>
        <w:br/>
        <w:t>13.17.11 Planejamento previdenciário e maternidade ..........</w:t>
      </w:r>
      <w:r w:rsidR="0045748A">
        <w:rPr>
          <w:szCs w:val="21"/>
        </w:rPr>
        <w:t>..............</w:t>
      </w:r>
      <w:r w:rsidRPr="004716CC">
        <w:rPr>
          <w:szCs w:val="21"/>
        </w:rPr>
        <w:t>................. 7</w:t>
      </w:r>
      <w:r>
        <w:rPr>
          <w:szCs w:val="21"/>
        </w:rPr>
        <w:t>12</w:t>
      </w:r>
    </w:p>
    <w:p w14:paraId="39532F53" w14:textId="465324AC" w:rsidR="003A005E" w:rsidRDefault="003A005E" w:rsidP="0045748A">
      <w:pPr>
        <w:keepNext/>
        <w:pBdr>
          <w:bottom w:val="single" w:sz="8" w:space="4" w:color="B89B5E"/>
        </w:pBdr>
        <w:spacing w:after="0" w:line="240" w:lineRule="auto"/>
        <w:ind w:right="-171"/>
        <w:rPr>
          <w:szCs w:val="21"/>
        </w:rPr>
      </w:pPr>
      <w:r w:rsidRPr="004716CC">
        <w:rPr>
          <w:szCs w:val="21"/>
        </w:rPr>
        <w:t>13.18 Síntese e instrumentos de consulta rápida ...............</w:t>
      </w:r>
      <w:r w:rsidR="0045748A">
        <w:rPr>
          <w:szCs w:val="21"/>
        </w:rPr>
        <w:t>.......................</w:t>
      </w:r>
      <w:r w:rsidRPr="004716CC">
        <w:rPr>
          <w:szCs w:val="21"/>
        </w:rPr>
        <w:t>............ 7</w:t>
      </w:r>
      <w:r>
        <w:rPr>
          <w:szCs w:val="21"/>
        </w:rPr>
        <w:t>14</w:t>
      </w:r>
      <w:r w:rsidRPr="00E56701">
        <w:rPr>
          <w:szCs w:val="21"/>
        </w:rPr>
        <w:br/>
        <w:t xml:space="preserve">Capítulo 14 — Auxílio-Reclusão ......................................................................... </w:t>
      </w:r>
      <w:r>
        <w:rPr>
          <w:szCs w:val="21"/>
        </w:rPr>
        <w:t>720</w:t>
      </w:r>
    </w:p>
    <w:p w14:paraId="474B581F" w14:textId="797B7B77" w:rsidR="003A005E" w:rsidRDefault="003A005E" w:rsidP="0045748A">
      <w:pPr>
        <w:keepNext/>
        <w:pBdr>
          <w:bottom w:val="single" w:sz="8" w:space="4" w:color="B89B5E"/>
        </w:pBdr>
        <w:spacing w:after="0" w:line="240" w:lineRule="auto"/>
        <w:ind w:right="-171"/>
        <w:rPr>
          <w:szCs w:val="21"/>
        </w:rPr>
      </w:pPr>
      <w:r w:rsidRPr="00295820">
        <w:rPr>
          <w:szCs w:val="21"/>
        </w:rPr>
        <w:t>14.1 Introdução e fundamento constitucional .................</w:t>
      </w:r>
      <w:r w:rsidR="00647FC4">
        <w:rPr>
          <w:szCs w:val="21"/>
        </w:rPr>
        <w:t>.........................</w:t>
      </w:r>
      <w:r w:rsidRPr="00295820">
        <w:rPr>
          <w:szCs w:val="21"/>
        </w:rPr>
        <w:t>.......... 720</w:t>
      </w:r>
      <w:r w:rsidRPr="00295820">
        <w:rPr>
          <w:szCs w:val="21"/>
        </w:rPr>
        <w:br/>
        <w:t>14.2 Natureza jurídica e função social ....................</w:t>
      </w:r>
      <w:r w:rsidR="00647FC4">
        <w:rPr>
          <w:szCs w:val="21"/>
        </w:rPr>
        <w:t>.......................................</w:t>
      </w:r>
      <w:r w:rsidRPr="00295820">
        <w:rPr>
          <w:szCs w:val="21"/>
        </w:rPr>
        <w:t>....... 723</w:t>
      </w:r>
      <w:r w:rsidRPr="00295820">
        <w:rPr>
          <w:szCs w:val="21"/>
        </w:rPr>
        <w:br/>
        <w:t>14.3 Evolução legislativa ..........</w:t>
      </w:r>
      <w:r w:rsidR="00647FC4">
        <w:rPr>
          <w:szCs w:val="21"/>
        </w:rPr>
        <w:t>............................................................</w:t>
      </w:r>
      <w:r w:rsidRPr="00295820">
        <w:rPr>
          <w:szCs w:val="21"/>
        </w:rPr>
        <w:t>................. 726</w:t>
      </w:r>
      <w:r w:rsidRPr="00295820">
        <w:rPr>
          <w:szCs w:val="21"/>
        </w:rPr>
        <w:br/>
        <w:t>14.4 Fato gerador: recolhimento à prisão ........</w:t>
      </w:r>
      <w:r w:rsidR="00647FC4">
        <w:rPr>
          <w:szCs w:val="21"/>
        </w:rPr>
        <w:t>..................................</w:t>
      </w:r>
      <w:r w:rsidRPr="00295820">
        <w:rPr>
          <w:szCs w:val="21"/>
        </w:rPr>
        <w:t>................... 7</w:t>
      </w:r>
      <w:r>
        <w:rPr>
          <w:szCs w:val="21"/>
        </w:rPr>
        <w:t>29</w:t>
      </w:r>
      <w:r w:rsidRPr="00295820">
        <w:rPr>
          <w:szCs w:val="21"/>
        </w:rPr>
        <w:br/>
        <w:t>14.5 Qualidade de segurado do preso ............</w:t>
      </w:r>
      <w:r w:rsidR="00647FC4">
        <w:rPr>
          <w:szCs w:val="21"/>
        </w:rPr>
        <w:t>........................................</w:t>
      </w:r>
      <w:r w:rsidRPr="00295820">
        <w:rPr>
          <w:szCs w:val="21"/>
        </w:rPr>
        <w:t>............... 73</w:t>
      </w:r>
      <w:r>
        <w:rPr>
          <w:szCs w:val="21"/>
        </w:rPr>
        <w:t>1</w:t>
      </w:r>
      <w:r w:rsidRPr="00295820">
        <w:rPr>
          <w:szCs w:val="21"/>
        </w:rPr>
        <w:br/>
        <w:t>14.6 Critério de baixa renda — regime pré-EC 103 ..........</w:t>
      </w:r>
      <w:r w:rsidR="00647FC4">
        <w:rPr>
          <w:szCs w:val="21"/>
        </w:rPr>
        <w:t>...................</w:t>
      </w:r>
      <w:r w:rsidRPr="00295820">
        <w:rPr>
          <w:szCs w:val="21"/>
        </w:rPr>
        <w:t>................. 73</w:t>
      </w:r>
      <w:r>
        <w:rPr>
          <w:szCs w:val="21"/>
        </w:rPr>
        <w:t>3</w:t>
      </w:r>
      <w:r w:rsidRPr="00295820">
        <w:rPr>
          <w:szCs w:val="21"/>
        </w:rPr>
        <w:br/>
        <w:t>14.7 Critério de baixa renda — regime pós-EC 103 .........</w:t>
      </w:r>
      <w:r w:rsidR="00647FC4">
        <w:rPr>
          <w:szCs w:val="21"/>
        </w:rPr>
        <w:t>..................</w:t>
      </w:r>
      <w:r w:rsidRPr="00295820">
        <w:rPr>
          <w:szCs w:val="21"/>
        </w:rPr>
        <w:t>.................. 73</w:t>
      </w:r>
      <w:r>
        <w:rPr>
          <w:szCs w:val="21"/>
        </w:rPr>
        <w:t>6</w:t>
      </w:r>
      <w:r w:rsidRPr="00295820">
        <w:rPr>
          <w:szCs w:val="21"/>
        </w:rPr>
        <w:br/>
        <w:t>14.8 Carência de 24 contribuições ................</w:t>
      </w:r>
      <w:r w:rsidR="00647FC4">
        <w:rPr>
          <w:szCs w:val="21"/>
        </w:rPr>
        <w:t>............................................</w:t>
      </w:r>
      <w:r w:rsidRPr="00295820">
        <w:rPr>
          <w:szCs w:val="21"/>
        </w:rPr>
        <w:t>........... 7</w:t>
      </w:r>
      <w:r>
        <w:rPr>
          <w:szCs w:val="21"/>
        </w:rPr>
        <w:t>38</w:t>
      </w:r>
      <w:r w:rsidRPr="00295820">
        <w:rPr>
          <w:szCs w:val="21"/>
        </w:rPr>
        <w:br/>
        <w:t>14.9 Regime prisional: a tensão entre Constituição e lei ordinária ...................... 74</w:t>
      </w:r>
      <w:r>
        <w:rPr>
          <w:szCs w:val="21"/>
        </w:rPr>
        <w:t>2</w:t>
      </w:r>
      <w:r w:rsidRPr="00295820">
        <w:rPr>
          <w:szCs w:val="21"/>
        </w:rPr>
        <w:br/>
        <w:t>14.10 Prisão provisória e auxílio-reclusão ..................</w:t>
      </w:r>
      <w:r w:rsidR="00647FC4">
        <w:rPr>
          <w:szCs w:val="21"/>
        </w:rPr>
        <w:t>.................................</w:t>
      </w:r>
      <w:r w:rsidRPr="00295820">
        <w:rPr>
          <w:szCs w:val="21"/>
        </w:rPr>
        <w:t>......... 7</w:t>
      </w:r>
      <w:r>
        <w:rPr>
          <w:szCs w:val="21"/>
        </w:rPr>
        <w:t>45</w:t>
      </w:r>
      <w:r w:rsidRPr="00295820">
        <w:rPr>
          <w:szCs w:val="21"/>
        </w:rPr>
        <w:br/>
        <w:t>14.11 Monitoração eletrônica e prisão domiciliar ..................</w:t>
      </w:r>
      <w:r w:rsidR="00647FC4">
        <w:rPr>
          <w:szCs w:val="21"/>
        </w:rPr>
        <w:t>.....................</w:t>
      </w:r>
      <w:r w:rsidRPr="00295820">
        <w:rPr>
          <w:szCs w:val="21"/>
        </w:rPr>
        <w:t>......... 7</w:t>
      </w:r>
      <w:r>
        <w:rPr>
          <w:szCs w:val="21"/>
        </w:rPr>
        <w:t>49</w:t>
      </w:r>
      <w:r w:rsidRPr="00295820">
        <w:rPr>
          <w:szCs w:val="21"/>
        </w:rPr>
        <w:br/>
        <w:t>14.12 Dependentes e prova de dependência ....................</w:t>
      </w:r>
      <w:r w:rsidR="00647FC4">
        <w:rPr>
          <w:szCs w:val="21"/>
        </w:rPr>
        <w:t>.............................</w:t>
      </w:r>
      <w:r w:rsidRPr="00295820">
        <w:rPr>
          <w:szCs w:val="21"/>
        </w:rPr>
        <w:t>....... 7</w:t>
      </w:r>
      <w:r>
        <w:rPr>
          <w:szCs w:val="21"/>
        </w:rPr>
        <w:t>53</w:t>
      </w:r>
      <w:r w:rsidRPr="00295820">
        <w:rPr>
          <w:szCs w:val="21"/>
        </w:rPr>
        <w:br/>
        <w:t>14.13 Valor do benefício: regime antigo e atual ...................</w:t>
      </w:r>
      <w:r w:rsidR="00647FC4">
        <w:rPr>
          <w:szCs w:val="21"/>
        </w:rPr>
        <w:t>........................</w:t>
      </w:r>
      <w:r w:rsidRPr="00295820">
        <w:rPr>
          <w:szCs w:val="21"/>
        </w:rPr>
        <w:t>........ 7</w:t>
      </w:r>
      <w:r>
        <w:rPr>
          <w:szCs w:val="21"/>
        </w:rPr>
        <w:t>56</w:t>
      </w:r>
      <w:r w:rsidRPr="00295820">
        <w:rPr>
          <w:szCs w:val="21"/>
        </w:rPr>
        <w:br/>
        <w:t>14.14 Data de início do benefício (DIB) ....................</w:t>
      </w:r>
      <w:r w:rsidR="00BF7376">
        <w:rPr>
          <w:szCs w:val="21"/>
        </w:rPr>
        <w:t>....................................</w:t>
      </w:r>
      <w:r w:rsidRPr="00295820">
        <w:rPr>
          <w:szCs w:val="21"/>
        </w:rPr>
        <w:t>....... 7</w:t>
      </w:r>
      <w:r>
        <w:rPr>
          <w:szCs w:val="21"/>
        </w:rPr>
        <w:t>58</w:t>
      </w:r>
      <w:r w:rsidRPr="00295820">
        <w:rPr>
          <w:szCs w:val="21"/>
        </w:rPr>
        <w:br/>
        <w:t>14.15 Manutenção: atestado carcerário e obrigações .................</w:t>
      </w:r>
      <w:r w:rsidR="00BF7376">
        <w:rPr>
          <w:szCs w:val="21"/>
        </w:rPr>
        <w:t>................</w:t>
      </w:r>
      <w:r w:rsidRPr="00295820">
        <w:rPr>
          <w:szCs w:val="21"/>
        </w:rPr>
        <w:t>.......... 76</w:t>
      </w:r>
      <w:r>
        <w:rPr>
          <w:szCs w:val="21"/>
        </w:rPr>
        <w:t>0</w:t>
      </w:r>
      <w:r w:rsidRPr="00295820">
        <w:rPr>
          <w:szCs w:val="21"/>
        </w:rPr>
        <w:br/>
        <w:t>14.16 Cessação, suspensão e restabelecimento ....................</w:t>
      </w:r>
      <w:r w:rsidR="00BF7376">
        <w:rPr>
          <w:szCs w:val="21"/>
        </w:rPr>
        <w:t>..........................</w:t>
      </w:r>
      <w:r w:rsidRPr="00295820">
        <w:rPr>
          <w:szCs w:val="21"/>
        </w:rPr>
        <w:t>....... 7</w:t>
      </w:r>
      <w:r>
        <w:rPr>
          <w:szCs w:val="21"/>
        </w:rPr>
        <w:t>62</w:t>
      </w:r>
      <w:r w:rsidRPr="00295820">
        <w:rPr>
          <w:szCs w:val="21"/>
        </w:rPr>
        <w:br/>
        <w:t>14.17 Segurado aposentado preso e acumulação de benefícios ........................... 7</w:t>
      </w:r>
      <w:r>
        <w:rPr>
          <w:szCs w:val="21"/>
        </w:rPr>
        <w:t>65</w:t>
      </w:r>
      <w:r w:rsidRPr="00295820">
        <w:rPr>
          <w:szCs w:val="21"/>
        </w:rPr>
        <w:br/>
        <w:t>14.18 Aspectos processuais nos JEFs ...................</w:t>
      </w:r>
      <w:r w:rsidR="00BF7376">
        <w:rPr>
          <w:szCs w:val="21"/>
        </w:rPr>
        <w:t>.........................................</w:t>
      </w:r>
      <w:r w:rsidRPr="00295820">
        <w:rPr>
          <w:szCs w:val="21"/>
        </w:rPr>
        <w:t>........ 7</w:t>
      </w:r>
      <w:r>
        <w:rPr>
          <w:szCs w:val="21"/>
        </w:rPr>
        <w:t>68</w:t>
      </w:r>
      <w:r w:rsidRPr="00295820">
        <w:rPr>
          <w:szCs w:val="21"/>
        </w:rPr>
        <w:br/>
        <w:t>14.19 Questões especiais e controvérsias emergentes .............</w:t>
      </w:r>
      <w:r w:rsidR="00BF7376">
        <w:rPr>
          <w:szCs w:val="21"/>
        </w:rPr>
        <w:t>................</w:t>
      </w:r>
      <w:r w:rsidRPr="00295820">
        <w:rPr>
          <w:szCs w:val="21"/>
        </w:rPr>
        <w:t>.............. 7</w:t>
      </w:r>
      <w:r>
        <w:rPr>
          <w:szCs w:val="21"/>
        </w:rPr>
        <w:t>72</w:t>
      </w:r>
      <w:r w:rsidRPr="00295820">
        <w:rPr>
          <w:szCs w:val="21"/>
        </w:rPr>
        <w:br/>
        <w:t>14.20 Síntese e quadros práticos .................</w:t>
      </w:r>
      <w:r w:rsidR="00BF7376">
        <w:rPr>
          <w:szCs w:val="21"/>
        </w:rPr>
        <w:t>................................................</w:t>
      </w:r>
      <w:r w:rsidRPr="00295820">
        <w:rPr>
          <w:szCs w:val="21"/>
        </w:rPr>
        <w:t>.......... 7</w:t>
      </w:r>
      <w:r>
        <w:rPr>
          <w:szCs w:val="21"/>
        </w:rPr>
        <w:t>77</w:t>
      </w:r>
      <w:r w:rsidRPr="00E56701">
        <w:rPr>
          <w:szCs w:val="21"/>
        </w:rPr>
        <w:br/>
        <w:t xml:space="preserve">Capítulo 15 — Auxílio-Acidente e Salário-Família ............................................. </w:t>
      </w:r>
      <w:r>
        <w:rPr>
          <w:szCs w:val="21"/>
        </w:rPr>
        <w:t>784</w:t>
      </w:r>
    </w:p>
    <w:p w14:paraId="4B493369" w14:textId="5B722947" w:rsidR="003A005E" w:rsidRDefault="003A005E" w:rsidP="00BF7376">
      <w:pPr>
        <w:keepNext/>
        <w:pBdr>
          <w:bottom w:val="single" w:sz="8" w:space="4" w:color="B89B5E"/>
        </w:pBdr>
        <w:spacing w:after="0" w:line="240" w:lineRule="auto"/>
        <w:ind w:right="-171"/>
        <w:rPr>
          <w:szCs w:val="21"/>
        </w:rPr>
      </w:pPr>
      <w:r w:rsidRPr="00685679">
        <w:rPr>
          <w:szCs w:val="21"/>
        </w:rPr>
        <w:t>15.1 Introdução e fundamento constitucional ............</w:t>
      </w:r>
      <w:r w:rsidR="00BF7376">
        <w:rPr>
          <w:szCs w:val="21"/>
        </w:rPr>
        <w:t>....................</w:t>
      </w:r>
      <w:r w:rsidRPr="00685679">
        <w:rPr>
          <w:szCs w:val="21"/>
        </w:rPr>
        <w:t>.................... 784</w:t>
      </w:r>
      <w:r w:rsidRPr="00685679">
        <w:rPr>
          <w:szCs w:val="21"/>
        </w:rPr>
        <w:br/>
        <w:t>15.2 Evolução legislativa .....................................................</w:t>
      </w:r>
      <w:r w:rsidR="00BF7376">
        <w:rPr>
          <w:szCs w:val="21"/>
        </w:rPr>
        <w:t>.......................</w:t>
      </w:r>
      <w:r w:rsidRPr="00685679">
        <w:rPr>
          <w:szCs w:val="21"/>
        </w:rPr>
        <w:t>........... 785</w:t>
      </w:r>
      <w:r w:rsidRPr="00685679">
        <w:rPr>
          <w:szCs w:val="21"/>
        </w:rPr>
        <w:br/>
        <w:t>15.3 Natureza jurídica: benefício indenizatório ...............</w:t>
      </w:r>
      <w:r w:rsidR="00BF7376">
        <w:rPr>
          <w:szCs w:val="21"/>
        </w:rPr>
        <w:t>.......................</w:t>
      </w:r>
      <w:r w:rsidRPr="00685679">
        <w:rPr>
          <w:szCs w:val="21"/>
        </w:rPr>
        <w:t>............. 78</w:t>
      </w:r>
      <w:r>
        <w:rPr>
          <w:szCs w:val="21"/>
        </w:rPr>
        <w:t>7</w:t>
      </w:r>
      <w:r w:rsidRPr="00685679">
        <w:rPr>
          <w:szCs w:val="21"/>
        </w:rPr>
        <w:br/>
        <w:t>15.4 Fato gerador: consolidação das lesões com redução da capacidade .............. 7</w:t>
      </w:r>
      <w:r>
        <w:rPr>
          <w:szCs w:val="21"/>
        </w:rPr>
        <w:t>88</w:t>
      </w:r>
      <w:r w:rsidRPr="00685679">
        <w:rPr>
          <w:szCs w:val="21"/>
        </w:rPr>
        <w:br/>
        <w:t>15.5 Segurados beneficiários e exclusões ...............................</w:t>
      </w:r>
      <w:r w:rsidR="00BF7376">
        <w:rPr>
          <w:szCs w:val="21"/>
        </w:rPr>
        <w:t>.......................</w:t>
      </w:r>
      <w:r w:rsidRPr="00685679">
        <w:rPr>
          <w:szCs w:val="21"/>
        </w:rPr>
        <w:t>........ 79</w:t>
      </w:r>
      <w:r>
        <w:rPr>
          <w:szCs w:val="21"/>
        </w:rPr>
        <w:t>0</w:t>
      </w:r>
      <w:r w:rsidRPr="00685679">
        <w:rPr>
          <w:szCs w:val="21"/>
        </w:rPr>
        <w:br/>
        <w:t>15.6 Dispensa de carência .....................................................</w:t>
      </w:r>
      <w:r w:rsidR="00BF7376">
        <w:rPr>
          <w:szCs w:val="21"/>
        </w:rPr>
        <w:t>.....................</w:t>
      </w:r>
      <w:r w:rsidRPr="00685679">
        <w:rPr>
          <w:szCs w:val="21"/>
        </w:rPr>
        <w:t>........... 79</w:t>
      </w:r>
      <w:r>
        <w:rPr>
          <w:szCs w:val="21"/>
        </w:rPr>
        <w:t>1</w:t>
      </w:r>
      <w:r w:rsidRPr="00685679">
        <w:rPr>
          <w:szCs w:val="21"/>
        </w:rPr>
        <w:br/>
        <w:t>15.7 Acidente de qualquer natureza: acidente típico, de trajeto e doença ocupacional ..</w:t>
      </w:r>
      <w:r w:rsidR="00BF7376">
        <w:rPr>
          <w:szCs w:val="21"/>
        </w:rPr>
        <w:t>......................................................................................................................</w:t>
      </w:r>
      <w:r w:rsidRPr="00685679">
        <w:rPr>
          <w:szCs w:val="21"/>
        </w:rPr>
        <w:t>.. 79</w:t>
      </w:r>
      <w:r>
        <w:rPr>
          <w:szCs w:val="21"/>
        </w:rPr>
        <w:t>2</w:t>
      </w:r>
      <w:r w:rsidRPr="00685679">
        <w:rPr>
          <w:szCs w:val="21"/>
        </w:rPr>
        <w:br/>
        <w:t>15.8 Redução da capacidade laborativa: critérios e controvérsias ........................ 79</w:t>
      </w:r>
      <w:r>
        <w:rPr>
          <w:szCs w:val="21"/>
        </w:rPr>
        <w:t>3</w:t>
      </w:r>
      <w:r w:rsidRPr="00685679">
        <w:rPr>
          <w:szCs w:val="21"/>
        </w:rPr>
        <w:br/>
        <w:t>15.9 Valor do benefício: 50% do salário-de-benefício .......</w:t>
      </w:r>
      <w:r w:rsidR="00BF7376">
        <w:rPr>
          <w:szCs w:val="21"/>
        </w:rPr>
        <w:t>.....................</w:t>
      </w:r>
      <w:r w:rsidRPr="00685679">
        <w:rPr>
          <w:szCs w:val="21"/>
        </w:rPr>
        <w:t>.............. 79</w:t>
      </w:r>
      <w:r>
        <w:rPr>
          <w:szCs w:val="21"/>
        </w:rPr>
        <w:t>5</w:t>
      </w:r>
      <w:r w:rsidRPr="00685679">
        <w:rPr>
          <w:szCs w:val="21"/>
        </w:rPr>
        <w:br/>
        <w:t>15.10 Data de início do benefício (DIB) ..........................</w:t>
      </w:r>
      <w:r w:rsidR="00BF7376">
        <w:rPr>
          <w:szCs w:val="21"/>
        </w:rPr>
        <w:t>.....................</w:t>
      </w:r>
      <w:r w:rsidRPr="00685679">
        <w:rPr>
          <w:szCs w:val="21"/>
        </w:rPr>
        <w:t xml:space="preserve">................ </w:t>
      </w:r>
      <w:r>
        <w:rPr>
          <w:szCs w:val="21"/>
        </w:rPr>
        <w:t>796</w:t>
      </w:r>
      <w:r w:rsidRPr="00685679">
        <w:rPr>
          <w:szCs w:val="21"/>
        </w:rPr>
        <w:br/>
      </w:r>
      <w:r w:rsidRPr="00685679">
        <w:rPr>
          <w:szCs w:val="21"/>
        </w:rPr>
        <w:lastRenderedPageBreak/>
        <w:t>15.11 Duração e cessação ..............................</w:t>
      </w:r>
      <w:r w:rsidR="00BF7376">
        <w:rPr>
          <w:szCs w:val="21"/>
        </w:rPr>
        <w:t>....................</w:t>
      </w:r>
      <w:r w:rsidRPr="00685679">
        <w:rPr>
          <w:szCs w:val="21"/>
        </w:rPr>
        <w:t xml:space="preserve">.................................... </w:t>
      </w:r>
      <w:r>
        <w:rPr>
          <w:szCs w:val="21"/>
        </w:rPr>
        <w:t>797</w:t>
      </w:r>
      <w:r w:rsidRPr="00685679">
        <w:rPr>
          <w:szCs w:val="21"/>
        </w:rPr>
        <w:br/>
        <w:t>15.12 Incorporação ao salário de contribuição ..................</w:t>
      </w:r>
      <w:r w:rsidR="00BF7376">
        <w:rPr>
          <w:szCs w:val="21"/>
        </w:rPr>
        <w:t>....................</w:t>
      </w:r>
      <w:r w:rsidRPr="00685679">
        <w:rPr>
          <w:szCs w:val="21"/>
        </w:rPr>
        <w:t xml:space="preserve">.............. </w:t>
      </w:r>
      <w:r>
        <w:rPr>
          <w:szCs w:val="21"/>
        </w:rPr>
        <w:t>798</w:t>
      </w:r>
      <w:r w:rsidRPr="00685679">
        <w:rPr>
          <w:szCs w:val="21"/>
        </w:rPr>
        <w:br/>
        <w:t>15.13 Acumulação e vedações ............................................</w:t>
      </w:r>
      <w:r w:rsidR="00BF7376">
        <w:rPr>
          <w:szCs w:val="21"/>
        </w:rPr>
        <w:t>......................</w:t>
      </w:r>
      <w:r w:rsidRPr="00685679">
        <w:rPr>
          <w:szCs w:val="21"/>
        </w:rPr>
        <w:t xml:space="preserve">............ </w:t>
      </w:r>
      <w:r>
        <w:rPr>
          <w:szCs w:val="21"/>
        </w:rPr>
        <w:t>799</w:t>
      </w:r>
      <w:r w:rsidRPr="00685679">
        <w:rPr>
          <w:szCs w:val="21"/>
        </w:rPr>
        <w:br/>
        <w:t>15.14 Segurado especial e auxílio-acidente .......................</w:t>
      </w:r>
      <w:r w:rsidR="00BF7376">
        <w:rPr>
          <w:szCs w:val="21"/>
        </w:rPr>
        <w:t>......................</w:t>
      </w:r>
      <w:r w:rsidRPr="00685679">
        <w:rPr>
          <w:szCs w:val="21"/>
        </w:rPr>
        <w:t>.............. 80</w:t>
      </w:r>
      <w:r>
        <w:rPr>
          <w:szCs w:val="21"/>
        </w:rPr>
        <w:t>1</w:t>
      </w:r>
      <w:r w:rsidRPr="00685679">
        <w:rPr>
          <w:szCs w:val="21"/>
        </w:rPr>
        <w:br/>
        <w:t>15.15 Competência jurisdicional: justiça federal versus justiça estadual ............. 80</w:t>
      </w:r>
      <w:r>
        <w:rPr>
          <w:szCs w:val="21"/>
        </w:rPr>
        <w:t>2</w:t>
      </w:r>
      <w:r w:rsidRPr="00685679">
        <w:rPr>
          <w:szCs w:val="21"/>
        </w:rPr>
        <w:br/>
        <w:t>15.16 Perda auditiva e auxílio-acidente ......................</w:t>
      </w:r>
      <w:r w:rsidR="00BF7376">
        <w:rPr>
          <w:szCs w:val="21"/>
        </w:rPr>
        <w:t>.....................</w:t>
      </w:r>
      <w:r w:rsidRPr="00685679">
        <w:rPr>
          <w:szCs w:val="21"/>
        </w:rPr>
        <w:t>..................... 80</w:t>
      </w:r>
      <w:r>
        <w:rPr>
          <w:szCs w:val="21"/>
        </w:rPr>
        <w:t>3</w:t>
      </w:r>
      <w:r w:rsidRPr="00685679">
        <w:rPr>
          <w:szCs w:val="21"/>
        </w:rPr>
        <w:br/>
        <w:t>15.17 Lesões ortopédicas e sequelas funcionais ............</w:t>
      </w:r>
      <w:r w:rsidR="00BF7376">
        <w:rPr>
          <w:szCs w:val="21"/>
        </w:rPr>
        <w:t>.......................</w:t>
      </w:r>
      <w:r w:rsidRPr="00685679">
        <w:rPr>
          <w:szCs w:val="21"/>
        </w:rPr>
        <w:t>................. 8</w:t>
      </w:r>
      <w:r>
        <w:rPr>
          <w:szCs w:val="21"/>
        </w:rPr>
        <w:t>04</w:t>
      </w:r>
      <w:r w:rsidRPr="00685679">
        <w:rPr>
          <w:szCs w:val="21"/>
        </w:rPr>
        <w:br/>
        <w:t xml:space="preserve">15.18 Conversão do auxílio por incapacidade temporária em auxílio-acidente </w:t>
      </w:r>
      <w:r w:rsidR="00BF7376">
        <w:rPr>
          <w:szCs w:val="21"/>
        </w:rPr>
        <w:t>..............................................................................................................................</w:t>
      </w:r>
      <w:r w:rsidRPr="00685679">
        <w:rPr>
          <w:szCs w:val="21"/>
        </w:rPr>
        <w:t>.. 8</w:t>
      </w:r>
      <w:r>
        <w:rPr>
          <w:szCs w:val="21"/>
        </w:rPr>
        <w:t>05</w:t>
      </w:r>
      <w:r w:rsidRPr="00685679">
        <w:rPr>
          <w:szCs w:val="21"/>
        </w:rPr>
        <w:br/>
        <w:t>15.19 Impactos da EC 103/2019 .................................</w:t>
      </w:r>
      <w:r w:rsidR="00BF7376">
        <w:rPr>
          <w:szCs w:val="21"/>
        </w:rPr>
        <w:t>....................</w:t>
      </w:r>
      <w:r w:rsidRPr="00685679">
        <w:rPr>
          <w:szCs w:val="21"/>
        </w:rPr>
        <w:t>..................... 8</w:t>
      </w:r>
      <w:r>
        <w:rPr>
          <w:szCs w:val="21"/>
        </w:rPr>
        <w:t>06</w:t>
      </w:r>
      <w:r w:rsidRPr="00685679">
        <w:rPr>
          <w:szCs w:val="21"/>
        </w:rPr>
        <w:br/>
        <w:t>15.20 Aspectos processuais nos JEFs ...........................</w:t>
      </w:r>
      <w:r w:rsidR="00BF7376">
        <w:rPr>
          <w:szCs w:val="21"/>
        </w:rPr>
        <w:t>.....................</w:t>
      </w:r>
      <w:r w:rsidRPr="00685679">
        <w:rPr>
          <w:szCs w:val="21"/>
        </w:rPr>
        <w:t>.................... 8</w:t>
      </w:r>
      <w:r>
        <w:rPr>
          <w:szCs w:val="21"/>
        </w:rPr>
        <w:t>08</w:t>
      </w:r>
      <w:r w:rsidRPr="00685679">
        <w:rPr>
          <w:szCs w:val="21"/>
        </w:rPr>
        <w:br/>
        <w:t>15.20.1 Competência ....................................................</w:t>
      </w:r>
      <w:r w:rsidR="00BF7376">
        <w:rPr>
          <w:szCs w:val="21"/>
        </w:rPr>
        <w:t>...................</w:t>
      </w:r>
      <w:r w:rsidRPr="00685679">
        <w:rPr>
          <w:szCs w:val="21"/>
        </w:rPr>
        <w:t>.................... 8</w:t>
      </w:r>
      <w:r>
        <w:rPr>
          <w:szCs w:val="21"/>
        </w:rPr>
        <w:t>08</w:t>
      </w:r>
      <w:r w:rsidRPr="00685679">
        <w:rPr>
          <w:szCs w:val="21"/>
        </w:rPr>
        <w:br/>
        <w:t>15.20.2 Prévio requerimento administrativo ............</w:t>
      </w:r>
      <w:r w:rsidR="00BF7376">
        <w:rPr>
          <w:szCs w:val="21"/>
        </w:rPr>
        <w:t>.......................</w:t>
      </w:r>
      <w:r w:rsidRPr="00685679">
        <w:rPr>
          <w:szCs w:val="21"/>
        </w:rPr>
        <w:t>.................... 8</w:t>
      </w:r>
      <w:r>
        <w:rPr>
          <w:szCs w:val="21"/>
        </w:rPr>
        <w:t>08</w:t>
      </w:r>
      <w:r w:rsidRPr="00685679">
        <w:rPr>
          <w:szCs w:val="21"/>
        </w:rPr>
        <w:br/>
        <w:t>15.20.3 Prova pericial .....................................................</w:t>
      </w:r>
      <w:r w:rsidR="00BF7376">
        <w:rPr>
          <w:szCs w:val="21"/>
        </w:rPr>
        <w:t>....................</w:t>
      </w:r>
      <w:r w:rsidRPr="00685679">
        <w:rPr>
          <w:szCs w:val="21"/>
        </w:rPr>
        <w:t>.................. 8</w:t>
      </w:r>
      <w:r>
        <w:rPr>
          <w:szCs w:val="21"/>
        </w:rPr>
        <w:t>08</w:t>
      </w:r>
      <w:r w:rsidRPr="00685679">
        <w:rPr>
          <w:szCs w:val="21"/>
        </w:rPr>
        <w:br/>
        <w:t>15.20.4 Tutela provisória de urgência .........................</w:t>
      </w:r>
      <w:r w:rsidR="00BF7376">
        <w:rPr>
          <w:szCs w:val="21"/>
        </w:rPr>
        <w:t>.....................</w:t>
      </w:r>
      <w:r w:rsidRPr="00685679">
        <w:rPr>
          <w:szCs w:val="21"/>
        </w:rPr>
        <w:t>.................... 8</w:t>
      </w:r>
      <w:r>
        <w:rPr>
          <w:szCs w:val="21"/>
        </w:rPr>
        <w:t>09</w:t>
      </w:r>
      <w:r w:rsidRPr="00685679">
        <w:rPr>
          <w:szCs w:val="21"/>
        </w:rPr>
        <w:br/>
        <w:t>15.20.5 Data de início do benefício (DIB) judicial .......</w:t>
      </w:r>
      <w:r w:rsidR="00BF7376">
        <w:rPr>
          <w:szCs w:val="21"/>
        </w:rPr>
        <w:t>.....................</w:t>
      </w:r>
      <w:r w:rsidRPr="00685679">
        <w:rPr>
          <w:szCs w:val="21"/>
        </w:rPr>
        <w:t>................... 8</w:t>
      </w:r>
      <w:r>
        <w:rPr>
          <w:szCs w:val="21"/>
        </w:rPr>
        <w:t>09</w:t>
      </w:r>
      <w:r w:rsidRPr="00685679">
        <w:rPr>
          <w:szCs w:val="21"/>
        </w:rPr>
        <w:br/>
        <w:t>15.20.6 Fungibilidade ...................................................</w:t>
      </w:r>
      <w:r w:rsidR="00BF7376">
        <w:rPr>
          <w:szCs w:val="21"/>
        </w:rPr>
        <w:t>...................</w:t>
      </w:r>
      <w:r w:rsidRPr="00685679">
        <w:rPr>
          <w:szCs w:val="21"/>
        </w:rPr>
        <w:t>..................... 8</w:t>
      </w:r>
      <w:r>
        <w:rPr>
          <w:szCs w:val="21"/>
        </w:rPr>
        <w:t>09</w:t>
      </w:r>
      <w:r w:rsidRPr="00685679">
        <w:rPr>
          <w:szCs w:val="21"/>
        </w:rPr>
        <w:br/>
        <w:t>15.20.7 Honorários e custas ..................................</w:t>
      </w:r>
      <w:r w:rsidR="00BF7376">
        <w:rPr>
          <w:szCs w:val="21"/>
        </w:rPr>
        <w:t>........................</w:t>
      </w:r>
      <w:r w:rsidRPr="00685679">
        <w:rPr>
          <w:szCs w:val="21"/>
        </w:rPr>
        <w:t>........................ 8</w:t>
      </w:r>
      <w:r>
        <w:rPr>
          <w:szCs w:val="21"/>
        </w:rPr>
        <w:t>09</w:t>
      </w:r>
      <w:r w:rsidRPr="00685679">
        <w:rPr>
          <w:szCs w:val="21"/>
        </w:rPr>
        <w:br/>
        <w:t>15.21 Questões especiais e controvérsias emergentes .........</w:t>
      </w:r>
      <w:r w:rsidR="00BF7376">
        <w:rPr>
          <w:szCs w:val="21"/>
        </w:rPr>
        <w:t>......................</w:t>
      </w:r>
      <w:r w:rsidRPr="00685679">
        <w:rPr>
          <w:szCs w:val="21"/>
        </w:rPr>
        <w:t>............ 81</w:t>
      </w:r>
      <w:r>
        <w:rPr>
          <w:szCs w:val="21"/>
        </w:rPr>
        <w:t>0</w:t>
      </w:r>
      <w:r w:rsidRPr="00685679">
        <w:rPr>
          <w:szCs w:val="21"/>
        </w:rPr>
        <w:br/>
        <w:t>15.21.1 Doenças degenerativas e o Tema 269/TNU .......</w:t>
      </w:r>
      <w:r w:rsidR="00BF7376">
        <w:rPr>
          <w:szCs w:val="21"/>
        </w:rPr>
        <w:t>....................</w:t>
      </w:r>
      <w:r w:rsidRPr="00685679">
        <w:rPr>
          <w:szCs w:val="21"/>
        </w:rPr>
        <w:t>................ 81</w:t>
      </w:r>
      <w:r>
        <w:rPr>
          <w:szCs w:val="21"/>
        </w:rPr>
        <w:t>0</w:t>
      </w:r>
      <w:r w:rsidRPr="00685679">
        <w:rPr>
          <w:szCs w:val="21"/>
        </w:rPr>
        <w:br/>
        <w:t>15.21.2 LER/DORT ....................................................</w:t>
      </w:r>
      <w:r w:rsidR="00BF7376">
        <w:rPr>
          <w:szCs w:val="21"/>
        </w:rPr>
        <w:t>..............</w:t>
      </w:r>
      <w:r w:rsidRPr="00685679">
        <w:rPr>
          <w:szCs w:val="21"/>
        </w:rPr>
        <w:t>......................... 81</w:t>
      </w:r>
      <w:r>
        <w:rPr>
          <w:szCs w:val="21"/>
        </w:rPr>
        <w:t>0</w:t>
      </w:r>
      <w:r w:rsidRPr="00685679">
        <w:rPr>
          <w:szCs w:val="21"/>
        </w:rPr>
        <w:br/>
        <w:t>15.21.3 Cegueira monocular e perda visual ...................</w:t>
      </w:r>
      <w:r w:rsidR="00BF7376">
        <w:rPr>
          <w:szCs w:val="21"/>
        </w:rPr>
        <w:t>.......................</w:t>
      </w:r>
      <w:r w:rsidRPr="00685679">
        <w:rPr>
          <w:szCs w:val="21"/>
        </w:rPr>
        <w:t>................ 81</w:t>
      </w:r>
      <w:r>
        <w:rPr>
          <w:szCs w:val="21"/>
        </w:rPr>
        <w:t>0</w:t>
      </w:r>
      <w:r w:rsidRPr="00685679">
        <w:rPr>
          <w:szCs w:val="21"/>
        </w:rPr>
        <w:br/>
        <w:t>15.21.4 Policiais e militares ...................................................</w:t>
      </w:r>
      <w:r w:rsidR="00BF7376">
        <w:rPr>
          <w:szCs w:val="21"/>
        </w:rPr>
        <w:t>......................</w:t>
      </w:r>
      <w:r w:rsidRPr="00685679">
        <w:rPr>
          <w:szCs w:val="21"/>
        </w:rPr>
        <w:t>.......... 81</w:t>
      </w:r>
      <w:r>
        <w:rPr>
          <w:szCs w:val="21"/>
        </w:rPr>
        <w:t>1</w:t>
      </w:r>
      <w:r w:rsidRPr="00685679">
        <w:rPr>
          <w:szCs w:val="21"/>
        </w:rPr>
        <w:br/>
        <w:t>15.21.5 Auxílio-acidente e reabilitação profissional ................</w:t>
      </w:r>
      <w:r w:rsidR="00BF7376">
        <w:rPr>
          <w:szCs w:val="21"/>
        </w:rPr>
        <w:t>....................</w:t>
      </w:r>
      <w:r w:rsidRPr="00685679">
        <w:rPr>
          <w:szCs w:val="21"/>
        </w:rPr>
        <w:t>........ 81</w:t>
      </w:r>
      <w:r>
        <w:rPr>
          <w:szCs w:val="21"/>
        </w:rPr>
        <w:t>1</w:t>
      </w:r>
      <w:r w:rsidRPr="00685679">
        <w:rPr>
          <w:szCs w:val="21"/>
        </w:rPr>
        <w:br/>
        <w:t>15.21.6 Irrepetibilidade dos valores recebidos de boa-fé .........</w:t>
      </w:r>
      <w:r w:rsidR="00BF7376">
        <w:rPr>
          <w:szCs w:val="21"/>
        </w:rPr>
        <w:t>......................</w:t>
      </w:r>
      <w:r w:rsidRPr="00685679">
        <w:rPr>
          <w:szCs w:val="21"/>
        </w:rPr>
        <w:t>....... 81</w:t>
      </w:r>
      <w:r>
        <w:rPr>
          <w:szCs w:val="21"/>
        </w:rPr>
        <w:t>2</w:t>
      </w:r>
      <w:r w:rsidRPr="00685679">
        <w:rPr>
          <w:szCs w:val="21"/>
        </w:rPr>
        <w:br/>
        <w:t>15.22 Síntese e quadros práticos .................................................</w:t>
      </w:r>
      <w:r w:rsidR="00BF7376">
        <w:rPr>
          <w:szCs w:val="21"/>
        </w:rPr>
        <w:t>......................</w:t>
      </w:r>
      <w:r w:rsidRPr="00685679">
        <w:rPr>
          <w:szCs w:val="21"/>
        </w:rPr>
        <w:t>.... 8</w:t>
      </w:r>
      <w:r>
        <w:rPr>
          <w:szCs w:val="21"/>
        </w:rPr>
        <w:t>13</w:t>
      </w:r>
      <w:r w:rsidRPr="00685679">
        <w:rPr>
          <w:szCs w:val="21"/>
        </w:rPr>
        <w:br/>
        <w:t>15.23 Conceito e natureza jurídica — Salário-Família .............</w:t>
      </w:r>
      <w:r w:rsidR="00BF7376">
        <w:rPr>
          <w:szCs w:val="21"/>
        </w:rPr>
        <w:t>...................</w:t>
      </w:r>
      <w:r w:rsidRPr="00685679">
        <w:rPr>
          <w:szCs w:val="21"/>
        </w:rPr>
        <w:t>......... 8</w:t>
      </w:r>
      <w:r>
        <w:rPr>
          <w:szCs w:val="21"/>
        </w:rPr>
        <w:t>16</w:t>
      </w:r>
      <w:r w:rsidRPr="00685679">
        <w:rPr>
          <w:szCs w:val="21"/>
        </w:rPr>
        <w:br/>
        <w:t>15.24 Evolução histórica ..........................................................</w:t>
      </w:r>
      <w:r w:rsidR="00BF7376">
        <w:rPr>
          <w:szCs w:val="21"/>
        </w:rPr>
        <w:t>...................</w:t>
      </w:r>
      <w:r w:rsidRPr="00685679">
        <w:rPr>
          <w:szCs w:val="21"/>
        </w:rPr>
        <w:t>.......... 8</w:t>
      </w:r>
      <w:r>
        <w:rPr>
          <w:szCs w:val="21"/>
        </w:rPr>
        <w:t>17</w:t>
      </w:r>
      <w:r w:rsidRPr="00685679">
        <w:rPr>
          <w:szCs w:val="21"/>
        </w:rPr>
        <w:br/>
        <w:t>15.25 Segurados beneficiários ..............................................</w:t>
      </w:r>
      <w:r w:rsidR="00BF7376">
        <w:rPr>
          <w:szCs w:val="21"/>
        </w:rPr>
        <w:t>......................</w:t>
      </w:r>
      <w:r w:rsidRPr="00685679">
        <w:rPr>
          <w:szCs w:val="21"/>
        </w:rPr>
        <w:t>.......... 8</w:t>
      </w:r>
      <w:r>
        <w:rPr>
          <w:szCs w:val="21"/>
        </w:rPr>
        <w:t>18</w:t>
      </w:r>
      <w:r w:rsidRPr="00685679">
        <w:rPr>
          <w:szCs w:val="21"/>
        </w:rPr>
        <w:br/>
        <w:t>15.26 Critério de baixa renda ..........................................</w:t>
      </w:r>
      <w:r w:rsidR="00BF7376">
        <w:rPr>
          <w:szCs w:val="21"/>
        </w:rPr>
        <w:t>.....................</w:t>
      </w:r>
      <w:r w:rsidRPr="00685679">
        <w:rPr>
          <w:szCs w:val="21"/>
        </w:rPr>
        <w:t>................. 8</w:t>
      </w:r>
      <w:r>
        <w:rPr>
          <w:szCs w:val="21"/>
        </w:rPr>
        <w:t>19</w:t>
      </w:r>
      <w:r w:rsidRPr="00685679">
        <w:rPr>
          <w:szCs w:val="21"/>
        </w:rPr>
        <w:br/>
        <w:t>15.27 Valor da cota ...........................................................</w:t>
      </w:r>
      <w:r w:rsidR="00BF7376">
        <w:rPr>
          <w:szCs w:val="21"/>
        </w:rPr>
        <w:t>..................</w:t>
      </w:r>
      <w:r w:rsidRPr="00685679">
        <w:rPr>
          <w:szCs w:val="21"/>
        </w:rPr>
        <w:t>.................. 8</w:t>
      </w:r>
      <w:r>
        <w:rPr>
          <w:szCs w:val="21"/>
        </w:rPr>
        <w:t>2</w:t>
      </w:r>
      <w:r w:rsidRPr="00685679">
        <w:rPr>
          <w:szCs w:val="21"/>
        </w:rPr>
        <w:t>0</w:t>
      </w:r>
      <w:r w:rsidRPr="00685679">
        <w:rPr>
          <w:szCs w:val="21"/>
        </w:rPr>
        <w:br/>
        <w:t>15.28 Documentação exigida .........................................</w:t>
      </w:r>
      <w:r w:rsidR="00BF7376">
        <w:rPr>
          <w:szCs w:val="21"/>
        </w:rPr>
        <w:t>....................</w:t>
      </w:r>
      <w:r w:rsidRPr="00685679">
        <w:rPr>
          <w:szCs w:val="21"/>
        </w:rPr>
        <w:t>.................. 8</w:t>
      </w:r>
      <w:r>
        <w:rPr>
          <w:szCs w:val="21"/>
        </w:rPr>
        <w:t>2</w:t>
      </w:r>
      <w:r w:rsidRPr="00685679">
        <w:rPr>
          <w:szCs w:val="21"/>
        </w:rPr>
        <w:t>1</w:t>
      </w:r>
      <w:r w:rsidRPr="00685679">
        <w:rPr>
          <w:szCs w:val="21"/>
        </w:rPr>
        <w:br/>
        <w:t>15.29 Frequência escolar: obrigação semestral ..............</w:t>
      </w:r>
      <w:r w:rsidR="00BF7376">
        <w:rPr>
          <w:szCs w:val="21"/>
        </w:rPr>
        <w:t>.....................</w:t>
      </w:r>
      <w:r w:rsidRPr="00685679">
        <w:rPr>
          <w:szCs w:val="21"/>
        </w:rPr>
        <w:t>.................. 8</w:t>
      </w:r>
      <w:r>
        <w:rPr>
          <w:szCs w:val="21"/>
        </w:rPr>
        <w:t>2</w:t>
      </w:r>
      <w:r w:rsidRPr="00685679">
        <w:rPr>
          <w:szCs w:val="21"/>
        </w:rPr>
        <w:t>2</w:t>
      </w:r>
      <w:r w:rsidRPr="00685679">
        <w:rPr>
          <w:szCs w:val="21"/>
        </w:rPr>
        <w:br/>
        <w:t>15.30 Pagamento e responsabilidade ....................</w:t>
      </w:r>
      <w:r w:rsidR="00BF7376">
        <w:rPr>
          <w:szCs w:val="21"/>
        </w:rPr>
        <w:t>.....................</w:t>
      </w:r>
      <w:r w:rsidRPr="00685679">
        <w:rPr>
          <w:szCs w:val="21"/>
        </w:rPr>
        <w:t>........................... 8</w:t>
      </w:r>
      <w:r>
        <w:rPr>
          <w:szCs w:val="21"/>
        </w:rPr>
        <w:t>2</w:t>
      </w:r>
      <w:r w:rsidRPr="00685679">
        <w:rPr>
          <w:szCs w:val="21"/>
        </w:rPr>
        <w:t>3</w:t>
      </w:r>
      <w:r w:rsidRPr="00685679">
        <w:rPr>
          <w:szCs w:val="21"/>
        </w:rPr>
        <w:br/>
        <w:t>15.31 Cessação do salário-família ..............</w:t>
      </w:r>
      <w:r w:rsidR="00BF7376">
        <w:rPr>
          <w:szCs w:val="21"/>
        </w:rPr>
        <w:t>.....................</w:t>
      </w:r>
      <w:r w:rsidRPr="00685679">
        <w:rPr>
          <w:szCs w:val="21"/>
        </w:rPr>
        <w:t>...................................... 8</w:t>
      </w:r>
      <w:r>
        <w:rPr>
          <w:szCs w:val="21"/>
        </w:rPr>
        <w:t>2</w:t>
      </w:r>
      <w:r w:rsidRPr="00685679">
        <w:rPr>
          <w:szCs w:val="21"/>
        </w:rPr>
        <w:t>4</w:t>
      </w:r>
      <w:r w:rsidRPr="00685679">
        <w:rPr>
          <w:szCs w:val="21"/>
        </w:rPr>
        <w:br/>
        <w:t>15.32 Cumulação entre cônjuges e companheiros ............</w:t>
      </w:r>
      <w:r w:rsidR="00BF7376">
        <w:rPr>
          <w:szCs w:val="21"/>
        </w:rPr>
        <w:t>...................</w:t>
      </w:r>
      <w:r w:rsidRPr="00685679">
        <w:rPr>
          <w:szCs w:val="21"/>
        </w:rPr>
        <w:t>................ 8</w:t>
      </w:r>
      <w:r>
        <w:rPr>
          <w:szCs w:val="21"/>
        </w:rPr>
        <w:t>2</w:t>
      </w:r>
      <w:r w:rsidRPr="00685679">
        <w:rPr>
          <w:szCs w:val="21"/>
        </w:rPr>
        <w:t>5</w:t>
      </w:r>
      <w:r w:rsidRPr="00685679">
        <w:rPr>
          <w:szCs w:val="21"/>
        </w:rPr>
        <w:br/>
      </w:r>
      <w:r w:rsidRPr="00685679">
        <w:rPr>
          <w:szCs w:val="21"/>
        </w:rPr>
        <w:lastRenderedPageBreak/>
        <w:t>15.33 Impacto da EC 103/2019 e regime jurídico atual ......</w:t>
      </w:r>
      <w:r w:rsidR="00BF7376">
        <w:rPr>
          <w:szCs w:val="21"/>
        </w:rPr>
        <w:t>..................</w:t>
      </w:r>
      <w:r w:rsidRPr="00685679">
        <w:rPr>
          <w:szCs w:val="21"/>
        </w:rPr>
        <w:t>.............. 8</w:t>
      </w:r>
      <w:r>
        <w:rPr>
          <w:szCs w:val="21"/>
        </w:rPr>
        <w:t>26</w:t>
      </w:r>
      <w:r w:rsidRPr="00685679">
        <w:rPr>
          <w:szCs w:val="21"/>
        </w:rPr>
        <w:br/>
        <w:t>15.34 Jurisprudência e controvérsias .................................</w:t>
      </w:r>
      <w:r w:rsidR="00BF7376">
        <w:rPr>
          <w:szCs w:val="21"/>
        </w:rPr>
        <w:t>...................</w:t>
      </w:r>
      <w:r w:rsidRPr="00685679">
        <w:rPr>
          <w:szCs w:val="21"/>
        </w:rPr>
        <w:t>................ 8</w:t>
      </w:r>
      <w:r>
        <w:rPr>
          <w:szCs w:val="21"/>
        </w:rPr>
        <w:t>26</w:t>
      </w:r>
      <w:r w:rsidRPr="00685679">
        <w:rPr>
          <w:szCs w:val="21"/>
        </w:rPr>
        <w:br/>
        <w:t>15.35 Prática nos JEFs ....................................................</w:t>
      </w:r>
      <w:r w:rsidR="00B71076">
        <w:rPr>
          <w:szCs w:val="21"/>
        </w:rPr>
        <w:t>..................</w:t>
      </w:r>
      <w:r w:rsidRPr="00685679">
        <w:rPr>
          <w:szCs w:val="21"/>
        </w:rPr>
        <w:t>..................... 8</w:t>
      </w:r>
      <w:r>
        <w:rPr>
          <w:szCs w:val="21"/>
        </w:rPr>
        <w:t>28</w:t>
      </w:r>
      <w:r w:rsidRPr="00685679">
        <w:rPr>
          <w:szCs w:val="21"/>
        </w:rPr>
        <w:br/>
        <w:t>15.36 Quadro prático — salário-família ...........................</w:t>
      </w:r>
      <w:r w:rsidR="00B71076">
        <w:rPr>
          <w:szCs w:val="21"/>
        </w:rPr>
        <w:t>...................</w:t>
      </w:r>
      <w:r w:rsidRPr="00685679">
        <w:rPr>
          <w:szCs w:val="21"/>
        </w:rPr>
        <w:t>................. 8</w:t>
      </w:r>
      <w:r>
        <w:rPr>
          <w:szCs w:val="21"/>
        </w:rPr>
        <w:t>30</w:t>
      </w:r>
      <w:r w:rsidRPr="00E56701">
        <w:rPr>
          <w:szCs w:val="21"/>
        </w:rPr>
        <w:br/>
        <w:t xml:space="preserve">Capítulo 16 — Cálculo do Benefício: Salário de Benefício e RMI ...................... </w:t>
      </w:r>
      <w:r>
        <w:rPr>
          <w:szCs w:val="21"/>
        </w:rPr>
        <w:t>832</w:t>
      </w:r>
    </w:p>
    <w:p w14:paraId="672EBD14" w14:textId="02494EF3" w:rsidR="003A005E" w:rsidRPr="001E1297" w:rsidRDefault="003A005E" w:rsidP="00BF7376">
      <w:pPr>
        <w:keepNext/>
        <w:pBdr>
          <w:bottom w:val="single" w:sz="8" w:space="4" w:color="B89B5E"/>
        </w:pBdr>
        <w:spacing w:after="0" w:line="240" w:lineRule="auto"/>
        <w:ind w:right="-171"/>
        <w:rPr>
          <w:szCs w:val="21"/>
        </w:rPr>
      </w:pPr>
      <w:r w:rsidRPr="001E1297">
        <w:rPr>
          <w:szCs w:val="21"/>
        </w:rPr>
        <w:t>16.1 Introdução .................</w:t>
      </w:r>
      <w:r w:rsidR="00B71076">
        <w:rPr>
          <w:szCs w:val="21"/>
        </w:rPr>
        <w:t>....................</w:t>
      </w:r>
      <w:r w:rsidRPr="001E1297">
        <w:rPr>
          <w:szCs w:val="21"/>
        </w:rPr>
        <w:t>............................................................... 832</w:t>
      </w:r>
      <w:r w:rsidRPr="001E1297">
        <w:rPr>
          <w:szCs w:val="21"/>
        </w:rPr>
        <w:br/>
        <w:t>16.2 Conceito e evolução do salário de benefício ......</w:t>
      </w:r>
      <w:r w:rsidR="00B71076">
        <w:rPr>
          <w:szCs w:val="21"/>
        </w:rPr>
        <w:t>......................</w:t>
      </w:r>
      <w:r w:rsidRPr="001E1297">
        <w:rPr>
          <w:szCs w:val="21"/>
        </w:rPr>
        <w:t>..................... 833</w:t>
      </w:r>
    </w:p>
    <w:p w14:paraId="0718973D" w14:textId="51547C34" w:rsidR="003A005E" w:rsidRPr="001E1297" w:rsidRDefault="003A005E" w:rsidP="00BF7376">
      <w:pPr>
        <w:keepNext/>
        <w:pBdr>
          <w:bottom w:val="single" w:sz="8" w:space="4" w:color="B89B5E"/>
        </w:pBdr>
        <w:spacing w:after="0" w:line="240" w:lineRule="auto"/>
        <w:ind w:right="-171"/>
        <w:rPr>
          <w:szCs w:val="21"/>
        </w:rPr>
      </w:pPr>
      <w:r w:rsidRPr="001E1297">
        <w:rPr>
          <w:szCs w:val="21"/>
        </w:rPr>
        <w:t>16.3 Período básico de cálculo (PBC) ..............</w:t>
      </w:r>
      <w:r w:rsidR="00B71076">
        <w:rPr>
          <w:szCs w:val="21"/>
        </w:rPr>
        <w:t>......................</w:t>
      </w:r>
      <w:r w:rsidRPr="001E1297">
        <w:rPr>
          <w:szCs w:val="21"/>
        </w:rPr>
        <w:t>.............................. 83</w:t>
      </w:r>
      <w:r>
        <w:rPr>
          <w:szCs w:val="21"/>
        </w:rPr>
        <w:t>5</w:t>
      </w:r>
      <w:r w:rsidRPr="001E1297">
        <w:rPr>
          <w:szCs w:val="21"/>
        </w:rPr>
        <w:br/>
        <w:t>16.3.1 Regra pré-EC 103: os 80% maiores desde julho de 1994 ....</w:t>
      </w:r>
      <w:r w:rsidR="00B71076">
        <w:rPr>
          <w:szCs w:val="21"/>
        </w:rPr>
        <w:t>...................</w:t>
      </w:r>
      <w:r w:rsidRPr="001E1297">
        <w:rPr>
          <w:szCs w:val="21"/>
        </w:rPr>
        <w:t>.... 83</w:t>
      </w:r>
      <w:r>
        <w:rPr>
          <w:szCs w:val="21"/>
        </w:rPr>
        <w:t>5</w:t>
      </w:r>
      <w:r w:rsidRPr="001E1297">
        <w:rPr>
          <w:szCs w:val="21"/>
        </w:rPr>
        <w:br/>
        <w:t>16.3.2 Regra pós-EC 103: a média de 100% desde julho de 1994 ..</w:t>
      </w:r>
      <w:r w:rsidR="00B71076">
        <w:rPr>
          <w:szCs w:val="21"/>
        </w:rPr>
        <w:t>................</w:t>
      </w:r>
      <w:r w:rsidRPr="001E1297">
        <w:rPr>
          <w:szCs w:val="21"/>
        </w:rPr>
        <w:t>...... 83</w:t>
      </w:r>
      <w:r>
        <w:rPr>
          <w:szCs w:val="21"/>
        </w:rPr>
        <w:t>7</w:t>
      </w:r>
      <w:r w:rsidRPr="001E1297">
        <w:rPr>
          <w:szCs w:val="21"/>
        </w:rPr>
        <w:br/>
        <w:t>16.3.3 O divisor mínimo e a Lei n. 14.331/2022 .....................</w:t>
      </w:r>
      <w:r w:rsidR="00B71076">
        <w:rPr>
          <w:szCs w:val="21"/>
        </w:rPr>
        <w:t>.......................</w:t>
      </w:r>
      <w:r w:rsidRPr="001E1297">
        <w:rPr>
          <w:szCs w:val="21"/>
        </w:rPr>
        <w:t>...... 83</w:t>
      </w:r>
      <w:r>
        <w:rPr>
          <w:szCs w:val="21"/>
        </w:rPr>
        <w:t>8</w:t>
      </w:r>
      <w:r w:rsidRPr="001E1297">
        <w:rPr>
          <w:szCs w:val="21"/>
        </w:rPr>
        <w:br/>
        <w:t>16.3.4 Direito intertemporal: a regra aplicável conforme o fato gerador ............. 8</w:t>
      </w:r>
      <w:r>
        <w:rPr>
          <w:szCs w:val="21"/>
        </w:rPr>
        <w:t>39</w:t>
      </w:r>
    </w:p>
    <w:p w14:paraId="556EB302" w14:textId="4B6F1B6C" w:rsidR="003A005E" w:rsidRPr="001E1297" w:rsidRDefault="003A005E" w:rsidP="00BF7376">
      <w:pPr>
        <w:keepNext/>
        <w:pBdr>
          <w:bottom w:val="single" w:sz="8" w:space="4" w:color="B89B5E"/>
        </w:pBdr>
        <w:spacing w:after="0" w:line="240" w:lineRule="auto"/>
        <w:ind w:right="-171"/>
        <w:rPr>
          <w:szCs w:val="21"/>
        </w:rPr>
      </w:pPr>
      <w:r w:rsidRPr="001E1297">
        <w:rPr>
          <w:szCs w:val="21"/>
        </w:rPr>
        <w:t>16.4 Fator previdenciário .......................................</w:t>
      </w:r>
      <w:r w:rsidR="00B71076">
        <w:rPr>
          <w:szCs w:val="21"/>
        </w:rPr>
        <w:t>..................</w:t>
      </w:r>
      <w:r w:rsidRPr="001E1297">
        <w:rPr>
          <w:szCs w:val="21"/>
        </w:rPr>
        <w:t>............................. 84</w:t>
      </w:r>
      <w:r>
        <w:rPr>
          <w:szCs w:val="21"/>
        </w:rPr>
        <w:t>0</w:t>
      </w:r>
      <w:r w:rsidRPr="001E1297">
        <w:rPr>
          <w:szCs w:val="21"/>
        </w:rPr>
        <w:br/>
        <w:t>16.4.1 Origem e finalidade .................................................</w:t>
      </w:r>
      <w:r w:rsidR="00B71076">
        <w:rPr>
          <w:szCs w:val="21"/>
        </w:rPr>
        <w:t>..................</w:t>
      </w:r>
      <w:r w:rsidRPr="001E1297">
        <w:rPr>
          <w:szCs w:val="21"/>
        </w:rPr>
        <w:t>................. 84</w:t>
      </w:r>
      <w:r>
        <w:rPr>
          <w:szCs w:val="21"/>
        </w:rPr>
        <w:t>0</w:t>
      </w:r>
      <w:r w:rsidRPr="001E1297">
        <w:rPr>
          <w:szCs w:val="21"/>
        </w:rPr>
        <w:br/>
        <w:t>16.4.2 Fórmula e variáveis .......................................................</w:t>
      </w:r>
      <w:r w:rsidR="00B71076">
        <w:rPr>
          <w:szCs w:val="21"/>
        </w:rPr>
        <w:t>..................</w:t>
      </w:r>
      <w:r w:rsidRPr="001E1297">
        <w:rPr>
          <w:szCs w:val="21"/>
        </w:rPr>
        <w:t>............ 84</w:t>
      </w:r>
      <w:r>
        <w:rPr>
          <w:szCs w:val="21"/>
        </w:rPr>
        <w:t>1</w:t>
      </w:r>
      <w:r w:rsidRPr="001E1297">
        <w:rPr>
          <w:szCs w:val="21"/>
        </w:rPr>
        <w:br/>
        <w:t>16.4.3 Constitucionalidade: ADI 2.111 e Tema 616/STF ...........</w:t>
      </w:r>
      <w:r w:rsidR="00B71076">
        <w:rPr>
          <w:szCs w:val="21"/>
        </w:rPr>
        <w:t>..................</w:t>
      </w:r>
      <w:r w:rsidRPr="001E1297">
        <w:rPr>
          <w:szCs w:val="21"/>
        </w:rPr>
        <w:t>..... 84</w:t>
      </w:r>
      <w:r>
        <w:rPr>
          <w:szCs w:val="21"/>
        </w:rPr>
        <w:t>2</w:t>
      </w:r>
      <w:r w:rsidRPr="001E1297">
        <w:rPr>
          <w:szCs w:val="21"/>
        </w:rPr>
        <w:br/>
        <w:t>16.4.4 A regra 85/95 (Lei n. 13.183/2015) ..............................</w:t>
      </w:r>
      <w:r w:rsidR="00B71076">
        <w:rPr>
          <w:szCs w:val="21"/>
        </w:rPr>
        <w:t>......................</w:t>
      </w:r>
      <w:r w:rsidRPr="001E1297">
        <w:rPr>
          <w:szCs w:val="21"/>
        </w:rPr>
        <w:t>....... 84</w:t>
      </w:r>
      <w:r>
        <w:rPr>
          <w:szCs w:val="21"/>
        </w:rPr>
        <w:t>5</w:t>
      </w:r>
      <w:r w:rsidRPr="001E1297">
        <w:rPr>
          <w:szCs w:val="21"/>
        </w:rPr>
        <w:br/>
        <w:t>16.4.5 Aplicabilidade do fator previdenciário pós-EC 103/2019 ..</w:t>
      </w:r>
      <w:r w:rsidR="00B71076">
        <w:rPr>
          <w:szCs w:val="21"/>
        </w:rPr>
        <w:t>...............</w:t>
      </w:r>
      <w:r w:rsidRPr="001E1297">
        <w:rPr>
          <w:szCs w:val="21"/>
        </w:rPr>
        <w:t>...... 84</w:t>
      </w:r>
      <w:r>
        <w:rPr>
          <w:szCs w:val="21"/>
        </w:rPr>
        <w:t>5</w:t>
      </w:r>
    </w:p>
    <w:p w14:paraId="12D6483E" w14:textId="230E2595" w:rsidR="003A005E" w:rsidRPr="001E1297" w:rsidRDefault="003A005E" w:rsidP="00BF7376">
      <w:pPr>
        <w:keepNext/>
        <w:pBdr>
          <w:bottom w:val="single" w:sz="8" w:space="4" w:color="B89B5E"/>
        </w:pBdr>
        <w:spacing w:after="0" w:line="240" w:lineRule="auto"/>
        <w:ind w:right="-171"/>
        <w:rPr>
          <w:szCs w:val="21"/>
        </w:rPr>
      </w:pPr>
      <w:r w:rsidRPr="001E1297">
        <w:rPr>
          <w:szCs w:val="21"/>
        </w:rPr>
        <w:t>16.5 Coeficiente de cálculo pós-EC 103/2019 ....................</w:t>
      </w:r>
      <w:r w:rsidR="00B71076">
        <w:rPr>
          <w:szCs w:val="21"/>
        </w:rPr>
        <w:t>.....................</w:t>
      </w:r>
      <w:r w:rsidRPr="001E1297">
        <w:rPr>
          <w:szCs w:val="21"/>
        </w:rPr>
        <w:t>............ 8</w:t>
      </w:r>
      <w:r>
        <w:rPr>
          <w:szCs w:val="21"/>
        </w:rPr>
        <w:t>46</w:t>
      </w:r>
      <w:r w:rsidRPr="001E1297">
        <w:rPr>
          <w:szCs w:val="21"/>
        </w:rPr>
        <w:br/>
        <w:t>16.5.1 Regra geral: 60% + 2% por ano excedente .............</w:t>
      </w:r>
      <w:r w:rsidR="00B71076">
        <w:rPr>
          <w:szCs w:val="21"/>
        </w:rPr>
        <w:t>..........................</w:t>
      </w:r>
      <w:r w:rsidRPr="001E1297">
        <w:rPr>
          <w:szCs w:val="21"/>
        </w:rPr>
        <w:t>........... 8</w:t>
      </w:r>
      <w:r>
        <w:rPr>
          <w:szCs w:val="21"/>
        </w:rPr>
        <w:t>46</w:t>
      </w:r>
      <w:r w:rsidRPr="001E1297">
        <w:rPr>
          <w:szCs w:val="21"/>
        </w:rPr>
        <w:br/>
        <w:t>16.5.2 Exceções por espécie de benefício ...........................</w:t>
      </w:r>
      <w:r w:rsidR="00B71076">
        <w:rPr>
          <w:szCs w:val="21"/>
        </w:rPr>
        <w:t>........................</w:t>
      </w:r>
      <w:r w:rsidRPr="001E1297">
        <w:rPr>
          <w:szCs w:val="21"/>
        </w:rPr>
        <w:t>........... 8</w:t>
      </w:r>
      <w:r>
        <w:rPr>
          <w:szCs w:val="21"/>
        </w:rPr>
        <w:t>47</w:t>
      </w:r>
      <w:r w:rsidRPr="001E1297">
        <w:rPr>
          <w:szCs w:val="21"/>
        </w:rPr>
        <w:br/>
        <w:t>16.5.3 Constitucionalidade do coeficiente de 60% + 2% para incapacidade permanente: Tema 1300/STF ....................</w:t>
      </w:r>
      <w:r w:rsidR="00B71076">
        <w:rPr>
          <w:szCs w:val="21"/>
        </w:rPr>
        <w:t>....................................................</w:t>
      </w:r>
      <w:r w:rsidRPr="001E1297">
        <w:rPr>
          <w:szCs w:val="21"/>
        </w:rPr>
        <w:t>................ 8</w:t>
      </w:r>
      <w:r>
        <w:rPr>
          <w:szCs w:val="21"/>
        </w:rPr>
        <w:t>48</w:t>
      </w:r>
    </w:p>
    <w:p w14:paraId="419E374F" w14:textId="5BB23B36" w:rsidR="003A005E" w:rsidRPr="001E1297" w:rsidRDefault="003A005E" w:rsidP="00BF7376">
      <w:pPr>
        <w:keepNext/>
        <w:pBdr>
          <w:bottom w:val="single" w:sz="8" w:space="4" w:color="B89B5E"/>
        </w:pBdr>
        <w:spacing w:after="0" w:line="240" w:lineRule="auto"/>
        <w:ind w:right="-171"/>
        <w:rPr>
          <w:szCs w:val="21"/>
        </w:rPr>
      </w:pPr>
      <w:r w:rsidRPr="001E1297">
        <w:rPr>
          <w:szCs w:val="21"/>
        </w:rPr>
        <w:t>16.6 Renda mensal inicial (RMI) — quadro unificado ......</w:t>
      </w:r>
      <w:r w:rsidR="00B71076">
        <w:rPr>
          <w:szCs w:val="21"/>
        </w:rPr>
        <w:t>.................</w:t>
      </w:r>
      <w:r w:rsidRPr="001E1297">
        <w:rPr>
          <w:szCs w:val="21"/>
        </w:rPr>
        <w:t>................ 85</w:t>
      </w:r>
      <w:r>
        <w:rPr>
          <w:szCs w:val="21"/>
        </w:rPr>
        <w:t>0</w:t>
      </w:r>
      <w:r w:rsidRPr="001E1297">
        <w:rPr>
          <w:szCs w:val="21"/>
        </w:rPr>
        <w:br/>
        <w:t>16.6.1 Conceito e fórmula ......................................................</w:t>
      </w:r>
      <w:r w:rsidR="00B71076">
        <w:rPr>
          <w:szCs w:val="21"/>
        </w:rPr>
        <w:t>...............</w:t>
      </w:r>
      <w:r w:rsidRPr="001E1297">
        <w:rPr>
          <w:szCs w:val="21"/>
        </w:rPr>
        <w:t>............... 85</w:t>
      </w:r>
      <w:r>
        <w:rPr>
          <w:szCs w:val="21"/>
        </w:rPr>
        <w:t>0</w:t>
      </w:r>
      <w:r w:rsidRPr="001E1297">
        <w:rPr>
          <w:szCs w:val="21"/>
        </w:rPr>
        <w:br/>
        <w:t>16.6.2 Quadro unificado por espécie de benefício ...........</w:t>
      </w:r>
      <w:r w:rsidR="00B71076">
        <w:rPr>
          <w:szCs w:val="21"/>
        </w:rPr>
        <w:t>....................</w:t>
      </w:r>
      <w:r w:rsidRPr="001E1297">
        <w:rPr>
          <w:szCs w:val="21"/>
        </w:rPr>
        <w:t>................ 85</w:t>
      </w:r>
      <w:r>
        <w:rPr>
          <w:szCs w:val="21"/>
        </w:rPr>
        <w:t>1</w:t>
      </w:r>
      <w:r w:rsidRPr="001E1297">
        <w:rPr>
          <w:szCs w:val="21"/>
        </w:rPr>
        <w:br/>
        <w:t>16.6.3 Direito ao benefício mais vantajoso .........................</w:t>
      </w:r>
      <w:r w:rsidR="00B71076">
        <w:rPr>
          <w:szCs w:val="21"/>
        </w:rPr>
        <w:t>....................</w:t>
      </w:r>
      <w:r w:rsidRPr="001E1297">
        <w:rPr>
          <w:szCs w:val="21"/>
        </w:rPr>
        <w:t>.............. 85</w:t>
      </w:r>
      <w:r>
        <w:rPr>
          <w:szCs w:val="21"/>
        </w:rPr>
        <w:t>4</w:t>
      </w:r>
    </w:p>
    <w:p w14:paraId="6DBCA1CC" w14:textId="1DFCB86B" w:rsidR="003A005E" w:rsidRPr="001E1297" w:rsidRDefault="003A005E" w:rsidP="00B71076">
      <w:pPr>
        <w:keepNext/>
        <w:pBdr>
          <w:bottom w:val="single" w:sz="8" w:space="4" w:color="B89B5E"/>
        </w:pBdr>
        <w:spacing w:after="0" w:line="240" w:lineRule="auto"/>
        <w:ind w:right="-171"/>
        <w:rPr>
          <w:szCs w:val="21"/>
        </w:rPr>
      </w:pPr>
      <w:r w:rsidRPr="001E1297">
        <w:rPr>
          <w:szCs w:val="21"/>
        </w:rPr>
        <w:t>16.7 Teto e piso dos benefícios ............................</w:t>
      </w:r>
      <w:r w:rsidR="00B71076">
        <w:rPr>
          <w:szCs w:val="21"/>
        </w:rPr>
        <w:t>.....................</w:t>
      </w:r>
      <w:r w:rsidRPr="001E1297">
        <w:rPr>
          <w:szCs w:val="21"/>
        </w:rPr>
        <w:t>............................ 8</w:t>
      </w:r>
      <w:r>
        <w:rPr>
          <w:szCs w:val="21"/>
        </w:rPr>
        <w:t>54</w:t>
      </w:r>
      <w:r w:rsidRPr="001E1297">
        <w:rPr>
          <w:szCs w:val="21"/>
        </w:rPr>
        <w:br/>
        <w:t>16.7.1 Piso: o salário-mínimo ...................................</w:t>
      </w:r>
      <w:r w:rsidR="00B71076">
        <w:rPr>
          <w:szCs w:val="21"/>
        </w:rPr>
        <w:t>....................</w:t>
      </w:r>
      <w:r w:rsidRPr="001E1297">
        <w:rPr>
          <w:szCs w:val="21"/>
        </w:rPr>
        <w:t>........................ 8</w:t>
      </w:r>
      <w:r>
        <w:rPr>
          <w:szCs w:val="21"/>
        </w:rPr>
        <w:t>54</w:t>
      </w:r>
      <w:r w:rsidRPr="001E1297">
        <w:rPr>
          <w:szCs w:val="21"/>
        </w:rPr>
        <w:br/>
        <w:t>16.7.2 Teto: R$ 8.475,55 (2026) .......................................</w:t>
      </w:r>
      <w:r w:rsidR="00B71076">
        <w:rPr>
          <w:szCs w:val="21"/>
        </w:rPr>
        <w:t>.....................</w:t>
      </w:r>
      <w:r w:rsidRPr="001E1297">
        <w:rPr>
          <w:szCs w:val="21"/>
        </w:rPr>
        <w:t>.............. 8</w:t>
      </w:r>
      <w:r>
        <w:rPr>
          <w:szCs w:val="21"/>
        </w:rPr>
        <w:t>55</w:t>
      </w:r>
      <w:r w:rsidRPr="001E1297">
        <w:rPr>
          <w:szCs w:val="21"/>
        </w:rPr>
        <w:br/>
        <w:t>16.7.3 Revisão do teto: Tema 76/STF (RE 564.354) .............</w:t>
      </w:r>
      <w:r w:rsidR="00B71076">
        <w:rPr>
          <w:szCs w:val="21"/>
        </w:rPr>
        <w:t>...................</w:t>
      </w:r>
      <w:r w:rsidRPr="001E1297">
        <w:rPr>
          <w:szCs w:val="21"/>
        </w:rPr>
        <w:t>.......... 8</w:t>
      </w:r>
      <w:r>
        <w:rPr>
          <w:szCs w:val="21"/>
        </w:rPr>
        <w:t>56</w:t>
      </w:r>
      <w:r w:rsidRPr="001E1297">
        <w:rPr>
          <w:szCs w:val="21"/>
        </w:rPr>
        <w:br/>
        <w:t xml:space="preserve">16.7.4 Benefícios anteriores à CF/1988 e os tetos das ECs 20/1998 e 41/2003: </w:t>
      </w:r>
      <w:r w:rsidRPr="001E1297">
        <w:rPr>
          <w:szCs w:val="21"/>
        </w:rPr>
        <w:lastRenderedPageBreak/>
        <w:t>Tema 1.140/STJ ............</w:t>
      </w:r>
      <w:r w:rsidR="00B71076">
        <w:rPr>
          <w:szCs w:val="21"/>
        </w:rPr>
        <w:t>..........................................</w:t>
      </w:r>
      <w:r w:rsidRPr="001E1297">
        <w:rPr>
          <w:szCs w:val="21"/>
        </w:rPr>
        <w:t>............................................. 8</w:t>
      </w:r>
      <w:r>
        <w:rPr>
          <w:szCs w:val="21"/>
        </w:rPr>
        <w:t>59</w:t>
      </w:r>
      <w:r w:rsidRPr="001E1297">
        <w:rPr>
          <w:szCs w:val="21"/>
        </w:rPr>
        <w:br/>
        <w:t>16.7.5 Teto especial: salário-maternidade ...............</w:t>
      </w:r>
      <w:r w:rsidR="00B71076">
        <w:rPr>
          <w:szCs w:val="21"/>
        </w:rPr>
        <w:t>...................</w:t>
      </w:r>
      <w:r w:rsidRPr="001E1297">
        <w:rPr>
          <w:szCs w:val="21"/>
        </w:rPr>
        <w:t>.......................... 86</w:t>
      </w:r>
      <w:r>
        <w:rPr>
          <w:szCs w:val="21"/>
        </w:rPr>
        <w:t>0</w:t>
      </w:r>
    </w:p>
    <w:p w14:paraId="7897EF9D" w14:textId="285C40E5" w:rsidR="003A005E" w:rsidRPr="001E1297" w:rsidRDefault="003A005E" w:rsidP="00B71076">
      <w:pPr>
        <w:keepNext/>
        <w:pBdr>
          <w:bottom w:val="single" w:sz="8" w:space="4" w:color="B89B5E"/>
        </w:pBdr>
        <w:spacing w:after="0" w:line="240" w:lineRule="auto"/>
        <w:ind w:right="-171"/>
        <w:rPr>
          <w:szCs w:val="21"/>
        </w:rPr>
      </w:pPr>
      <w:r w:rsidRPr="001E1297">
        <w:rPr>
          <w:szCs w:val="21"/>
        </w:rPr>
        <w:t>16.8 Reajustamento dos benefícios ..............................</w:t>
      </w:r>
      <w:r w:rsidR="00B71076">
        <w:rPr>
          <w:szCs w:val="21"/>
        </w:rPr>
        <w:t>...................</w:t>
      </w:r>
      <w:r w:rsidRPr="001E1297">
        <w:rPr>
          <w:szCs w:val="21"/>
        </w:rPr>
        <w:t>..................... 86</w:t>
      </w:r>
      <w:r>
        <w:rPr>
          <w:szCs w:val="21"/>
        </w:rPr>
        <w:t>1</w:t>
      </w:r>
    </w:p>
    <w:p w14:paraId="77D05870" w14:textId="4C09AEB2" w:rsidR="003A005E" w:rsidRPr="001E1297" w:rsidRDefault="003A005E" w:rsidP="00B71076">
      <w:pPr>
        <w:keepNext/>
        <w:pBdr>
          <w:bottom w:val="single" w:sz="8" w:space="4" w:color="B89B5E"/>
        </w:pBdr>
        <w:spacing w:after="0" w:line="240" w:lineRule="auto"/>
        <w:ind w:right="-171"/>
        <w:rPr>
          <w:szCs w:val="21"/>
        </w:rPr>
      </w:pPr>
      <w:r w:rsidRPr="001E1297">
        <w:rPr>
          <w:szCs w:val="21"/>
        </w:rPr>
        <w:t>16.9 Correção monetária dos salários de contribuição .........</w:t>
      </w:r>
      <w:r w:rsidR="00B71076">
        <w:rPr>
          <w:szCs w:val="21"/>
        </w:rPr>
        <w:t>...................</w:t>
      </w:r>
      <w:r w:rsidRPr="001E1297">
        <w:rPr>
          <w:szCs w:val="21"/>
        </w:rPr>
        <w:t>............ 8</w:t>
      </w:r>
      <w:r>
        <w:rPr>
          <w:szCs w:val="21"/>
        </w:rPr>
        <w:t>63</w:t>
      </w:r>
    </w:p>
    <w:p w14:paraId="0EDDAB04" w14:textId="704ABC23" w:rsidR="003A005E" w:rsidRPr="001E1297" w:rsidRDefault="003A005E" w:rsidP="00B71076">
      <w:pPr>
        <w:keepNext/>
        <w:pBdr>
          <w:bottom w:val="single" w:sz="8" w:space="4" w:color="B89B5E"/>
        </w:pBdr>
        <w:spacing w:after="0" w:line="240" w:lineRule="auto"/>
        <w:ind w:right="-171"/>
        <w:rPr>
          <w:szCs w:val="21"/>
        </w:rPr>
      </w:pPr>
      <w:r w:rsidRPr="001E1297">
        <w:rPr>
          <w:szCs w:val="21"/>
        </w:rPr>
        <w:t>16.10 Atividades concomitantes ............................................</w:t>
      </w:r>
      <w:r w:rsidR="00B71076">
        <w:rPr>
          <w:szCs w:val="21"/>
        </w:rPr>
        <w:t>..................</w:t>
      </w:r>
      <w:r w:rsidRPr="001E1297">
        <w:rPr>
          <w:szCs w:val="21"/>
        </w:rPr>
        <w:t>............ 8</w:t>
      </w:r>
      <w:r>
        <w:rPr>
          <w:szCs w:val="21"/>
        </w:rPr>
        <w:t>66</w:t>
      </w:r>
    </w:p>
    <w:p w14:paraId="68F66256" w14:textId="0E936EC2" w:rsidR="003A005E" w:rsidRPr="001E1297" w:rsidRDefault="003A005E" w:rsidP="00B71076">
      <w:pPr>
        <w:keepNext/>
        <w:pBdr>
          <w:bottom w:val="single" w:sz="8" w:space="4" w:color="B89B5E"/>
        </w:pBdr>
        <w:spacing w:after="0" w:line="240" w:lineRule="auto"/>
        <w:ind w:right="-171"/>
        <w:rPr>
          <w:szCs w:val="21"/>
        </w:rPr>
      </w:pPr>
      <w:r w:rsidRPr="001E1297">
        <w:rPr>
          <w:szCs w:val="21"/>
        </w:rPr>
        <w:t>16.11 Revisão da vida toda — Tema 1.102/STF .................</w:t>
      </w:r>
      <w:r w:rsidR="00B71076">
        <w:rPr>
          <w:szCs w:val="21"/>
        </w:rPr>
        <w:t>...................</w:t>
      </w:r>
      <w:r w:rsidRPr="001E1297">
        <w:rPr>
          <w:szCs w:val="21"/>
        </w:rPr>
        <w:t>.............. 8</w:t>
      </w:r>
      <w:r>
        <w:rPr>
          <w:szCs w:val="21"/>
        </w:rPr>
        <w:t>68</w:t>
      </w:r>
    </w:p>
    <w:p w14:paraId="4F276BB0" w14:textId="06B162CC" w:rsidR="003A005E" w:rsidRPr="001E1297" w:rsidRDefault="003A005E" w:rsidP="00B71076">
      <w:pPr>
        <w:keepNext/>
        <w:pBdr>
          <w:bottom w:val="single" w:sz="8" w:space="4" w:color="B89B5E"/>
        </w:pBdr>
        <w:spacing w:after="0" w:line="240" w:lineRule="auto"/>
        <w:ind w:right="-171"/>
        <w:rPr>
          <w:szCs w:val="21"/>
        </w:rPr>
      </w:pPr>
      <w:r w:rsidRPr="001E1297">
        <w:rPr>
          <w:szCs w:val="21"/>
        </w:rPr>
        <w:t>16.12 Prática: simulação de cálculo e memória de cálculo nos JEFs .................... 8</w:t>
      </w:r>
      <w:r>
        <w:rPr>
          <w:szCs w:val="21"/>
        </w:rPr>
        <w:t>70</w:t>
      </w:r>
      <w:r w:rsidRPr="001E1297">
        <w:rPr>
          <w:szCs w:val="21"/>
        </w:rPr>
        <w:br/>
        <w:t>16.12.1 Memória de cálculo em RPV: estrutura e elementos obrigatórios ......... 8</w:t>
      </w:r>
      <w:r>
        <w:rPr>
          <w:szCs w:val="21"/>
        </w:rPr>
        <w:t>7</w:t>
      </w:r>
      <w:r w:rsidRPr="001E1297">
        <w:rPr>
          <w:szCs w:val="21"/>
        </w:rPr>
        <w:t>1</w:t>
      </w:r>
      <w:r w:rsidRPr="001E1297">
        <w:rPr>
          <w:szCs w:val="21"/>
        </w:rPr>
        <w:br/>
        <w:t>16.12.2 Simulação 1: aposentadoria programada pós-EC 103 ....</w:t>
      </w:r>
      <w:r w:rsidR="00B71076">
        <w:rPr>
          <w:szCs w:val="21"/>
        </w:rPr>
        <w:t>................</w:t>
      </w:r>
      <w:r w:rsidRPr="001E1297">
        <w:rPr>
          <w:szCs w:val="21"/>
        </w:rPr>
        <w:t>........ 8</w:t>
      </w:r>
      <w:r>
        <w:rPr>
          <w:szCs w:val="21"/>
        </w:rPr>
        <w:t>72</w:t>
      </w:r>
      <w:r w:rsidRPr="001E1297">
        <w:rPr>
          <w:szCs w:val="21"/>
        </w:rPr>
        <w:br/>
        <w:t>16.12.3 Simulação 2: aposentadoria por incapacidade permanente — acidentária versus não acidentária ..............................</w:t>
      </w:r>
      <w:r w:rsidR="00B71076">
        <w:rPr>
          <w:szCs w:val="21"/>
        </w:rPr>
        <w:t>.......................................</w:t>
      </w:r>
      <w:r w:rsidRPr="001E1297">
        <w:rPr>
          <w:szCs w:val="21"/>
        </w:rPr>
        <w:t>...................... 8</w:t>
      </w:r>
      <w:r>
        <w:rPr>
          <w:szCs w:val="21"/>
        </w:rPr>
        <w:t>73</w:t>
      </w:r>
      <w:r w:rsidRPr="001E1297">
        <w:rPr>
          <w:szCs w:val="21"/>
        </w:rPr>
        <w:br/>
        <w:t>16.12.4 Dicas para o magistrado: conferência de cálculo .......</w:t>
      </w:r>
      <w:r w:rsidR="00B71076">
        <w:rPr>
          <w:szCs w:val="21"/>
        </w:rPr>
        <w:t>...................</w:t>
      </w:r>
      <w:r w:rsidRPr="001E1297">
        <w:rPr>
          <w:szCs w:val="21"/>
        </w:rPr>
        <w:t>........... 8</w:t>
      </w:r>
      <w:r>
        <w:rPr>
          <w:szCs w:val="21"/>
        </w:rPr>
        <w:t>74</w:t>
      </w:r>
    </w:p>
    <w:p w14:paraId="5E512D4B" w14:textId="4A212EC7" w:rsidR="003A005E" w:rsidRPr="00344255" w:rsidRDefault="003A005E" w:rsidP="00B71076">
      <w:pPr>
        <w:keepNext/>
        <w:pBdr>
          <w:bottom w:val="single" w:sz="8" w:space="4" w:color="B89B5E"/>
        </w:pBdr>
        <w:spacing w:after="0" w:line="240" w:lineRule="auto"/>
        <w:ind w:right="-171"/>
        <w:rPr>
          <w:szCs w:val="21"/>
        </w:rPr>
      </w:pPr>
      <w:r w:rsidRPr="001E1297">
        <w:rPr>
          <w:szCs w:val="21"/>
        </w:rPr>
        <w:t>16.13 Síntese e quadros práticos .................................................</w:t>
      </w:r>
      <w:r w:rsidR="00B71076">
        <w:rPr>
          <w:szCs w:val="21"/>
        </w:rPr>
        <w:t>...................</w:t>
      </w:r>
      <w:r w:rsidRPr="001E1297">
        <w:rPr>
          <w:szCs w:val="21"/>
        </w:rPr>
        <w:t>....... 8</w:t>
      </w:r>
      <w:r>
        <w:rPr>
          <w:szCs w:val="21"/>
        </w:rPr>
        <w:t>76</w:t>
      </w:r>
      <w:r w:rsidRPr="00E56701">
        <w:rPr>
          <w:szCs w:val="21"/>
        </w:rPr>
        <w:br/>
        <w:t xml:space="preserve">Capítulo 17 — Revisão de Benefícios Previdenciários ........................................ </w:t>
      </w:r>
      <w:r>
        <w:rPr>
          <w:szCs w:val="21"/>
        </w:rPr>
        <w:t>883</w:t>
      </w:r>
    </w:p>
    <w:p w14:paraId="6B437EC5" w14:textId="28BF8CDA" w:rsidR="003A005E" w:rsidRPr="00344255" w:rsidRDefault="003A005E" w:rsidP="00B71076">
      <w:pPr>
        <w:keepNext/>
        <w:pBdr>
          <w:bottom w:val="single" w:sz="8" w:space="4" w:color="B89B5E"/>
        </w:pBdr>
        <w:spacing w:after="0" w:line="240" w:lineRule="auto"/>
        <w:ind w:right="-171"/>
        <w:rPr>
          <w:szCs w:val="21"/>
        </w:rPr>
      </w:pPr>
      <w:r w:rsidRPr="00344255">
        <w:rPr>
          <w:szCs w:val="21"/>
        </w:rPr>
        <w:t>17.1 Introdução ......................................................</w:t>
      </w:r>
      <w:r w:rsidR="00B71076">
        <w:rPr>
          <w:szCs w:val="21"/>
        </w:rPr>
        <w:t>....................</w:t>
      </w:r>
      <w:r w:rsidRPr="00344255">
        <w:rPr>
          <w:szCs w:val="21"/>
        </w:rPr>
        <w:t>.......................... 883</w:t>
      </w:r>
    </w:p>
    <w:p w14:paraId="17633452" w14:textId="7F0DB2D2" w:rsidR="003A005E" w:rsidRPr="00344255" w:rsidRDefault="003A005E" w:rsidP="00B71076">
      <w:pPr>
        <w:keepNext/>
        <w:pBdr>
          <w:bottom w:val="single" w:sz="8" w:space="4" w:color="B89B5E"/>
        </w:pBdr>
        <w:spacing w:after="0" w:line="240" w:lineRule="auto"/>
        <w:ind w:right="-171"/>
        <w:rPr>
          <w:szCs w:val="21"/>
        </w:rPr>
      </w:pPr>
      <w:r w:rsidRPr="00344255">
        <w:rPr>
          <w:szCs w:val="21"/>
        </w:rPr>
        <w:t>17.2 Decadência decenal aplicada às teses revisionais .....</w:t>
      </w:r>
      <w:r w:rsidR="00207A9F">
        <w:rPr>
          <w:szCs w:val="21"/>
        </w:rPr>
        <w:t>...........................</w:t>
      </w:r>
      <w:r w:rsidRPr="00344255">
        <w:rPr>
          <w:szCs w:val="21"/>
        </w:rPr>
        <w:t>........... 8</w:t>
      </w:r>
      <w:r>
        <w:rPr>
          <w:szCs w:val="21"/>
        </w:rPr>
        <w:t>85</w:t>
      </w:r>
      <w:r w:rsidRPr="00344255">
        <w:rPr>
          <w:szCs w:val="21"/>
        </w:rPr>
        <w:br/>
        <w:t>17.2.1 Art. 103, caput, Lei 8.213/91 — regra geral ...........</w:t>
      </w:r>
      <w:r w:rsidR="00207A9F">
        <w:rPr>
          <w:szCs w:val="21"/>
        </w:rPr>
        <w:t>.......................</w:t>
      </w:r>
      <w:r w:rsidRPr="00344255">
        <w:rPr>
          <w:szCs w:val="21"/>
        </w:rPr>
        <w:t>............ 8</w:t>
      </w:r>
      <w:r>
        <w:rPr>
          <w:szCs w:val="21"/>
        </w:rPr>
        <w:t>85</w:t>
      </w:r>
      <w:r w:rsidRPr="00344255">
        <w:rPr>
          <w:szCs w:val="21"/>
        </w:rPr>
        <w:br/>
        <w:t>17.2.2 Situações que escapam à decadência .............</w:t>
      </w:r>
      <w:r w:rsidR="00207A9F">
        <w:rPr>
          <w:szCs w:val="21"/>
        </w:rPr>
        <w:t>.......................</w:t>
      </w:r>
      <w:r w:rsidRPr="00344255">
        <w:rPr>
          <w:szCs w:val="21"/>
        </w:rPr>
        <w:t>...................... 8</w:t>
      </w:r>
      <w:r>
        <w:rPr>
          <w:szCs w:val="21"/>
        </w:rPr>
        <w:t>86</w:t>
      </w:r>
      <w:r w:rsidRPr="00344255">
        <w:rPr>
          <w:szCs w:val="21"/>
        </w:rPr>
        <w:br/>
        <w:t>17.2.3 Quadro funcional: decadência por tese revisional ..........</w:t>
      </w:r>
      <w:r w:rsidR="00207A9F">
        <w:rPr>
          <w:szCs w:val="21"/>
        </w:rPr>
        <w:t>.....................</w:t>
      </w:r>
      <w:r w:rsidRPr="00344255">
        <w:rPr>
          <w:szCs w:val="21"/>
        </w:rPr>
        <w:t xml:space="preserve">..... </w:t>
      </w:r>
      <w:r>
        <w:rPr>
          <w:szCs w:val="21"/>
        </w:rPr>
        <w:t>888</w:t>
      </w:r>
      <w:r w:rsidRPr="00344255">
        <w:rPr>
          <w:szCs w:val="21"/>
        </w:rPr>
        <w:br/>
        <w:t>17.2.4 Impacto prático nos JEFs ........................................</w:t>
      </w:r>
      <w:r w:rsidR="00207A9F">
        <w:rPr>
          <w:szCs w:val="21"/>
        </w:rPr>
        <w:t>.......................</w:t>
      </w:r>
      <w:r w:rsidRPr="00344255">
        <w:rPr>
          <w:szCs w:val="21"/>
        </w:rPr>
        <w:t xml:space="preserve">............ </w:t>
      </w:r>
      <w:r>
        <w:rPr>
          <w:szCs w:val="21"/>
        </w:rPr>
        <w:t>889</w:t>
      </w:r>
    </w:p>
    <w:p w14:paraId="53DADEDE" w14:textId="54E7E912" w:rsidR="003A005E" w:rsidRPr="00344255" w:rsidRDefault="003A005E" w:rsidP="00207A9F">
      <w:pPr>
        <w:keepNext/>
        <w:pBdr>
          <w:bottom w:val="single" w:sz="8" w:space="4" w:color="B89B5E"/>
        </w:pBdr>
        <w:spacing w:after="0" w:line="240" w:lineRule="auto"/>
        <w:ind w:right="-171"/>
        <w:rPr>
          <w:szCs w:val="21"/>
        </w:rPr>
      </w:pPr>
      <w:r w:rsidRPr="00344255">
        <w:rPr>
          <w:szCs w:val="21"/>
        </w:rPr>
        <w:t>17.3 Revisão da vida toda — dimensão processual pós-reversão ....</w:t>
      </w:r>
      <w:r w:rsidR="00207A9F">
        <w:rPr>
          <w:szCs w:val="21"/>
        </w:rPr>
        <w:t>....................</w:t>
      </w:r>
      <w:r w:rsidRPr="00344255">
        <w:rPr>
          <w:szCs w:val="21"/>
        </w:rPr>
        <w:t xml:space="preserve">. </w:t>
      </w:r>
      <w:r>
        <w:rPr>
          <w:szCs w:val="21"/>
        </w:rPr>
        <w:t>890</w:t>
      </w:r>
      <w:r w:rsidRPr="00344255">
        <w:rPr>
          <w:szCs w:val="21"/>
        </w:rPr>
        <w:br/>
        <w:t>17.3.1 Cronologia do Tema 1102/STF ..................</w:t>
      </w:r>
      <w:r w:rsidR="00207A9F">
        <w:rPr>
          <w:szCs w:val="21"/>
        </w:rPr>
        <w:t>.....................</w:t>
      </w:r>
      <w:r w:rsidRPr="00344255">
        <w:rPr>
          <w:szCs w:val="21"/>
        </w:rPr>
        <w:t xml:space="preserve">......................... </w:t>
      </w:r>
      <w:r>
        <w:rPr>
          <w:szCs w:val="21"/>
        </w:rPr>
        <w:t>890</w:t>
      </w:r>
      <w:r w:rsidRPr="00344255">
        <w:rPr>
          <w:szCs w:val="21"/>
        </w:rPr>
        <w:br/>
        <w:t>17.3.2 Impacto nos processos em curso ...................</w:t>
      </w:r>
      <w:r w:rsidR="00207A9F">
        <w:rPr>
          <w:szCs w:val="21"/>
        </w:rPr>
        <w:t>.......................</w:t>
      </w:r>
      <w:r w:rsidRPr="00344255">
        <w:rPr>
          <w:szCs w:val="21"/>
        </w:rPr>
        <w:t xml:space="preserve">...................... </w:t>
      </w:r>
      <w:r>
        <w:rPr>
          <w:szCs w:val="21"/>
        </w:rPr>
        <w:t>892</w:t>
      </w:r>
      <w:r w:rsidRPr="00344255">
        <w:rPr>
          <w:szCs w:val="21"/>
        </w:rPr>
        <w:br/>
        <w:t>17.3.3 Impacto nos processos transitados em julgado .......</w:t>
      </w:r>
      <w:r w:rsidR="00207A9F">
        <w:rPr>
          <w:szCs w:val="21"/>
        </w:rPr>
        <w:t>....................</w:t>
      </w:r>
      <w:r w:rsidRPr="00344255">
        <w:rPr>
          <w:szCs w:val="21"/>
        </w:rPr>
        <w:t xml:space="preserve">.............. </w:t>
      </w:r>
      <w:r>
        <w:rPr>
          <w:szCs w:val="21"/>
        </w:rPr>
        <w:t>893</w:t>
      </w:r>
      <w:r w:rsidRPr="00344255">
        <w:rPr>
          <w:szCs w:val="21"/>
        </w:rPr>
        <w:br/>
        <w:t>17.3.4 Prática do magistrado no JEF ......................</w:t>
      </w:r>
      <w:r w:rsidR="00207A9F">
        <w:rPr>
          <w:szCs w:val="21"/>
        </w:rPr>
        <w:t>.....................</w:t>
      </w:r>
      <w:r w:rsidRPr="00344255">
        <w:rPr>
          <w:szCs w:val="21"/>
        </w:rPr>
        <w:t xml:space="preserve">......................... </w:t>
      </w:r>
      <w:r>
        <w:rPr>
          <w:szCs w:val="21"/>
        </w:rPr>
        <w:t>894</w:t>
      </w:r>
      <w:r w:rsidRPr="00344255">
        <w:rPr>
          <w:szCs w:val="21"/>
        </w:rPr>
        <w:br/>
        <w:t>17.3.5 Lições para o futuro ....................................................</w:t>
      </w:r>
      <w:r w:rsidR="00207A9F">
        <w:rPr>
          <w:szCs w:val="21"/>
        </w:rPr>
        <w:t>.................</w:t>
      </w:r>
      <w:r w:rsidRPr="00344255">
        <w:rPr>
          <w:szCs w:val="21"/>
        </w:rPr>
        <w:t xml:space="preserve">.............. </w:t>
      </w:r>
      <w:r>
        <w:rPr>
          <w:szCs w:val="21"/>
        </w:rPr>
        <w:t>895</w:t>
      </w:r>
    </w:p>
    <w:p w14:paraId="0EA4C384" w14:textId="0EF6E0A1" w:rsidR="003A005E" w:rsidRPr="00344255" w:rsidRDefault="003A005E" w:rsidP="00207A9F">
      <w:pPr>
        <w:keepNext/>
        <w:pBdr>
          <w:bottom w:val="single" w:sz="8" w:space="4" w:color="B89B5E"/>
        </w:pBdr>
        <w:spacing w:after="0" w:line="240" w:lineRule="auto"/>
        <w:ind w:right="-171"/>
        <w:rPr>
          <w:szCs w:val="21"/>
        </w:rPr>
      </w:pPr>
      <w:r w:rsidRPr="00344255">
        <w:rPr>
          <w:szCs w:val="21"/>
        </w:rPr>
        <w:t>17.4 Revisão do teto — ECs 20/1998 e 41/2003 ...............</w:t>
      </w:r>
      <w:r w:rsidR="00207A9F">
        <w:rPr>
          <w:szCs w:val="21"/>
        </w:rPr>
        <w:t>......................</w:t>
      </w:r>
      <w:r w:rsidRPr="00344255">
        <w:rPr>
          <w:szCs w:val="21"/>
        </w:rPr>
        <w:t xml:space="preserve">............ </w:t>
      </w:r>
      <w:r>
        <w:rPr>
          <w:szCs w:val="21"/>
        </w:rPr>
        <w:t>896</w:t>
      </w:r>
      <w:r w:rsidRPr="00344255">
        <w:rPr>
          <w:szCs w:val="21"/>
        </w:rPr>
        <w:br/>
        <w:t>17.4.1 RE 564.354 / Tema 76 — tese e alcance ..............</w:t>
      </w:r>
      <w:r w:rsidR="00207A9F">
        <w:rPr>
          <w:szCs w:val="21"/>
        </w:rPr>
        <w:t>.......................</w:t>
      </w:r>
      <w:r w:rsidRPr="00344255">
        <w:rPr>
          <w:szCs w:val="21"/>
        </w:rPr>
        <w:t xml:space="preserve">............... </w:t>
      </w:r>
      <w:r>
        <w:rPr>
          <w:szCs w:val="21"/>
        </w:rPr>
        <w:t>896</w:t>
      </w:r>
      <w:r w:rsidRPr="00344255">
        <w:rPr>
          <w:szCs w:val="21"/>
        </w:rPr>
        <w:br/>
        <w:t>17.4.2 Procedimento da revisão do teto ...................</w:t>
      </w:r>
      <w:r w:rsidR="00207A9F">
        <w:rPr>
          <w:szCs w:val="21"/>
        </w:rPr>
        <w:t>.....................</w:t>
      </w:r>
      <w:r w:rsidRPr="00344255">
        <w:rPr>
          <w:szCs w:val="21"/>
        </w:rPr>
        <w:t xml:space="preserve">....................... </w:t>
      </w:r>
      <w:r>
        <w:rPr>
          <w:szCs w:val="21"/>
        </w:rPr>
        <w:t>897</w:t>
      </w:r>
      <w:r w:rsidRPr="00344255">
        <w:rPr>
          <w:szCs w:val="21"/>
        </w:rPr>
        <w:br/>
        <w:t>17.4.3 Prescrição e atualidade da tese ...............</w:t>
      </w:r>
      <w:r w:rsidR="00207A9F">
        <w:rPr>
          <w:szCs w:val="21"/>
        </w:rPr>
        <w:t>........................</w:t>
      </w:r>
      <w:r w:rsidRPr="00344255">
        <w:rPr>
          <w:szCs w:val="21"/>
        </w:rPr>
        <w:t xml:space="preserve">............................. </w:t>
      </w:r>
      <w:r>
        <w:rPr>
          <w:szCs w:val="21"/>
        </w:rPr>
        <w:t>898</w:t>
      </w:r>
      <w:r w:rsidRPr="00344255">
        <w:rPr>
          <w:szCs w:val="21"/>
        </w:rPr>
        <w:br/>
        <w:t>17.4.4 Cálculo de diferenças .............................................</w:t>
      </w:r>
      <w:r w:rsidR="00207A9F">
        <w:rPr>
          <w:szCs w:val="21"/>
        </w:rPr>
        <w:t>.................</w:t>
      </w:r>
      <w:r w:rsidRPr="00344255">
        <w:rPr>
          <w:szCs w:val="21"/>
        </w:rPr>
        <w:t xml:space="preserve">................... </w:t>
      </w:r>
      <w:r>
        <w:rPr>
          <w:szCs w:val="21"/>
        </w:rPr>
        <w:t>898</w:t>
      </w:r>
    </w:p>
    <w:p w14:paraId="61ED62C3" w14:textId="3264B60B" w:rsidR="003A005E" w:rsidRPr="00344255" w:rsidRDefault="003A005E" w:rsidP="00207A9F">
      <w:pPr>
        <w:keepNext/>
        <w:pBdr>
          <w:bottom w:val="single" w:sz="8" w:space="4" w:color="B89B5E"/>
        </w:pBdr>
        <w:spacing w:after="0" w:line="240" w:lineRule="auto"/>
        <w:ind w:right="-171"/>
        <w:rPr>
          <w:szCs w:val="21"/>
        </w:rPr>
      </w:pPr>
      <w:r w:rsidRPr="00344255">
        <w:rPr>
          <w:szCs w:val="21"/>
        </w:rPr>
        <w:t>17.5 Revisão do buraco negro ...........................................</w:t>
      </w:r>
      <w:r w:rsidR="00207A9F">
        <w:rPr>
          <w:szCs w:val="21"/>
        </w:rPr>
        <w:t>....................</w:t>
      </w:r>
      <w:r w:rsidRPr="00344255">
        <w:rPr>
          <w:szCs w:val="21"/>
        </w:rPr>
        <w:t xml:space="preserve">................ </w:t>
      </w:r>
      <w:r>
        <w:rPr>
          <w:szCs w:val="21"/>
        </w:rPr>
        <w:t>899</w:t>
      </w:r>
      <w:r w:rsidRPr="00344255">
        <w:rPr>
          <w:szCs w:val="21"/>
        </w:rPr>
        <w:br/>
        <w:t>17.5.1 Art. 144, Lei 8.213/91 — conceito .....................</w:t>
      </w:r>
      <w:r w:rsidR="00207A9F">
        <w:rPr>
          <w:szCs w:val="21"/>
        </w:rPr>
        <w:t>.....................</w:t>
      </w:r>
      <w:r w:rsidRPr="00344255">
        <w:rPr>
          <w:szCs w:val="21"/>
        </w:rPr>
        <w:t xml:space="preserve">.................. </w:t>
      </w:r>
      <w:r>
        <w:rPr>
          <w:szCs w:val="21"/>
        </w:rPr>
        <w:t>899</w:t>
      </w:r>
      <w:r w:rsidRPr="00344255">
        <w:rPr>
          <w:szCs w:val="21"/>
        </w:rPr>
        <w:br/>
        <w:t>17.5.2 Espécies de revisão ..................................................</w:t>
      </w:r>
      <w:r w:rsidR="00207A9F">
        <w:rPr>
          <w:szCs w:val="21"/>
        </w:rPr>
        <w:t>..................</w:t>
      </w:r>
      <w:r w:rsidRPr="00344255">
        <w:rPr>
          <w:szCs w:val="21"/>
        </w:rPr>
        <w:t xml:space="preserve">.................. </w:t>
      </w:r>
      <w:r>
        <w:rPr>
          <w:szCs w:val="21"/>
        </w:rPr>
        <w:t>899</w:t>
      </w:r>
      <w:r w:rsidRPr="00344255">
        <w:rPr>
          <w:szCs w:val="21"/>
        </w:rPr>
        <w:br/>
        <w:t>17.5.3 Inaplicabilidade da decadência ...............................</w:t>
      </w:r>
      <w:r w:rsidR="00207A9F">
        <w:rPr>
          <w:szCs w:val="21"/>
        </w:rPr>
        <w:t>..................</w:t>
      </w:r>
      <w:r w:rsidRPr="00344255">
        <w:rPr>
          <w:szCs w:val="21"/>
        </w:rPr>
        <w:t>................. 9</w:t>
      </w:r>
      <w:r>
        <w:rPr>
          <w:szCs w:val="21"/>
        </w:rPr>
        <w:t>00</w:t>
      </w:r>
      <w:r w:rsidRPr="00344255">
        <w:rPr>
          <w:szCs w:val="21"/>
        </w:rPr>
        <w:br/>
      </w:r>
      <w:r w:rsidRPr="00344255">
        <w:rPr>
          <w:szCs w:val="21"/>
        </w:rPr>
        <w:lastRenderedPageBreak/>
        <w:t>17.5.4 Viabilidade atual (junho/2026) .........................</w:t>
      </w:r>
      <w:r w:rsidR="00974BCF">
        <w:rPr>
          <w:szCs w:val="21"/>
        </w:rPr>
        <w:t>..................</w:t>
      </w:r>
      <w:r w:rsidRPr="00344255">
        <w:rPr>
          <w:szCs w:val="21"/>
        </w:rPr>
        <w:t>...................... 9</w:t>
      </w:r>
      <w:r>
        <w:rPr>
          <w:szCs w:val="21"/>
        </w:rPr>
        <w:t>00</w:t>
      </w:r>
      <w:r w:rsidRPr="00344255">
        <w:rPr>
          <w:szCs w:val="21"/>
        </w:rPr>
        <w:br/>
        <w:t>17.5.5 Procedimento e prova ..............................................</w:t>
      </w:r>
      <w:r w:rsidR="00974BCF">
        <w:rPr>
          <w:szCs w:val="21"/>
        </w:rPr>
        <w:t>................</w:t>
      </w:r>
      <w:r w:rsidRPr="00344255">
        <w:rPr>
          <w:szCs w:val="21"/>
        </w:rPr>
        <w:t>.................. 9</w:t>
      </w:r>
      <w:r>
        <w:rPr>
          <w:szCs w:val="21"/>
        </w:rPr>
        <w:t>01</w:t>
      </w:r>
    </w:p>
    <w:p w14:paraId="6AF2BB70" w14:textId="00862B5B" w:rsidR="003A005E" w:rsidRPr="00344255" w:rsidRDefault="003A005E" w:rsidP="00207A9F">
      <w:pPr>
        <w:keepNext/>
        <w:pBdr>
          <w:bottom w:val="single" w:sz="8" w:space="4" w:color="B89B5E"/>
        </w:pBdr>
        <w:spacing w:after="0" w:line="240" w:lineRule="auto"/>
        <w:ind w:right="-171"/>
        <w:rPr>
          <w:szCs w:val="21"/>
        </w:rPr>
      </w:pPr>
      <w:r w:rsidRPr="00344255">
        <w:rPr>
          <w:szCs w:val="21"/>
        </w:rPr>
        <w:t>17.6 Revisão do art. 29, II — divisor mínimo .........</w:t>
      </w:r>
      <w:r w:rsidR="00974BCF">
        <w:rPr>
          <w:szCs w:val="21"/>
        </w:rPr>
        <w:t>.....................</w:t>
      </w:r>
      <w:r w:rsidRPr="00344255">
        <w:rPr>
          <w:szCs w:val="21"/>
        </w:rPr>
        <w:t>......................... 9</w:t>
      </w:r>
      <w:r>
        <w:rPr>
          <w:szCs w:val="21"/>
        </w:rPr>
        <w:t>02</w:t>
      </w:r>
      <w:r w:rsidRPr="00344255">
        <w:rPr>
          <w:szCs w:val="21"/>
        </w:rPr>
        <w:br/>
        <w:t>17.6.1 A controvérsia do divisor mínimo .....................</w:t>
      </w:r>
      <w:r w:rsidR="00974BCF">
        <w:rPr>
          <w:szCs w:val="21"/>
        </w:rPr>
        <w:t>.................</w:t>
      </w:r>
      <w:r w:rsidRPr="00344255">
        <w:rPr>
          <w:szCs w:val="21"/>
        </w:rPr>
        <w:t>....................... 9</w:t>
      </w:r>
      <w:r>
        <w:rPr>
          <w:szCs w:val="21"/>
        </w:rPr>
        <w:t>02</w:t>
      </w:r>
      <w:r w:rsidRPr="00344255">
        <w:rPr>
          <w:szCs w:val="21"/>
        </w:rPr>
        <w:br/>
        <w:t xml:space="preserve">17.6.2 Memorando-Circular Conjunto n. 21/DIRBEN/PFE/INSS e ACP IEPREV </w:t>
      </w:r>
      <w:r w:rsidR="00974BCF">
        <w:rPr>
          <w:szCs w:val="21"/>
        </w:rPr>
        <w:t>..........................................................................................................</w:t>
      </w:r>
      <w:r w:rsidRPr="00344255">
        <w:rPr>
          <w:szCs w:val="21"/>
        </w:rPr>
        <w:t>...... 9</w:t>
      </w:r>
      <w:r>
        <w:rPr>
          <w:szCs w:val="21"/>
        </w:rPr>
        <w:t>03</w:t>
      </w:r>
      <w:r w:rsidRPr="00344255">
        <w:rPr>
          <w:szCs w:val="21"/>
        </w:rPr>
        <w:br/>
        <w:t>17.6.3 Lei 14.331/2022 — art. 135-A, divisor mínimo de 108 ....</w:t>
      </w:r>
      <w:r w:rsidR="00974BCF">
        <w:rPr>
          <w:szCs w:val="21"/>
        </w:rPr>
        <w:t>..................</w:t>
      </w:r>
      <w:r w:rsidRPr="00344255">
        <w:rPr>
          <w:szCs w:val="21"/>
        </w:rPr>
        <w:t>...... 9</w:t>
      </w:r>
      <w:r>
        <w:rPr>
          <w:szCs w:val="21"/>
        </w:rPr>
        <w:t>04</w:t>
      </w:r>
      <w:r w:rsidRPr="00344255">
        <w:rPr>
          <w:szCs w:val="21"/>
        </w:rPr>
        <w:br/>
        <w:t>17.6.4 Escopo atual e prática no JEF ..........................................</w:t>
      </w:r>
      <w:r w:rsidR="00974BCF">
        <w:rPr>
          <w:szCs w:val="21"/>
        </w:rPr>
        <w:t>.....................</w:t>
      </w:r>
      <w:r w:rsidRPr="00344255">
        <w:rPr>
          <w:szCs w:val="21"/>
        </w:rPr>
        <w:t>...... 9</w:t>
      </w:r>
      <w:r>
        <w:rPr>
          <w:szCs w:val="21"/>
        </w:rPr>
        <w:t>04</w:t>
      </w:r>
    </w:p>
    <w:p w14:paraId="7D0DA767" w14:textId="44EC87C0" w:rsidR="003A005E" w:rsidRPr="00344255" w:rsidRDefault="003A005E" w:rsidP="00207A9F">
      <w:pPr>
        <w:keepNext/>
        <w:pBdr>
          <w:bottom w:val="single" w:sz="8" w:space="4" w:color="B89B5E"/>
        </w:pBdr>
        <w:spacing w:after="0" w:line="240" w:lineRule="auto"/>
        <w:ind w:right="-171"/>
        <w:rPr>
          <w:szCs w:val="21"/>
        </w:rPr>
      </w:pPr>
      <w:r w:rsidRPr="00344255">
        <w:rPr>
          <w:szCs w:val="21"/>
        </w:rPr>
        <w:t>17.7 Revisão da melhor DIB e reafirmação da DER ...........</w:t>
      </w:r>
      <w:r w:rsidR="00974BCF">
        <w:rPr>
          <w:szCs w:val="21"/>
        </w:rPr>
        <w:t>....................</w:t>
      </w:r>
      <w:r w:rsidRPr="00344255">
        <w:rPr>
          <w:szCs w:val="21"/>
        </w:rPr>
        <w:t>............. 9</w:t>
      </w:r>
      <w:r>
        <w:rPr>
          <w:szCs w:val="21"/>
        </w:rPr>
        <w:t>05</w:t>
      </w:r>
      <w:r w:rsidRPr="00344255">
        <w:rPr>
          <w:szCs w:val="21"/>
        </w:rPr>
        <w:br/>
        <w:t>17.7.1 Direito ao benefício mais vantajoso .........................</w:t>
      </w:r>
      <w:r w:rsidR="00974BCF">
        <w:rPr>
          <w:szCs w:val="21"/>
        </w:rPr>
        <w:t>....................</w:t>
      </w:r>
      <w:r w:rsidRPr="00344255">
        <w:rPr>
          <w:szCs w:val="21"/>
        </w:rPr>
        <w:t>.............. 9</w:t>
      </w:r>
      <w:r>
        <w:rPr>
          <w:szCs w:val="21"/>
        </w:rPr>
        <w:t>05</w:t>
      </w:r>
      <w:r w:rsidRPr="00344255">
        <w:rPr>
          <w:szCs w:val="21"/>
        </w:rPr>
        <w:br/>
        <w:t>17.7.2 Reafirmação da DER — Tema 995/STJ: dimensão processual ............</w:t>
      </w:r>
      <w:r w:rsidR="00974BCF">
        <w:rPr>
          <w:szCs w:val="21"/>
        </w:rPr>
        <w:t>.</w:t>
      </w:r>
      <w:r w:rsidRPr="00344255">
        <w:rPr>
          <w:szCs w:val="21"/>
        </w:rPr>
        <w:t>.. 9</w:t>
      </w:r>
      <w:r>
        <w:rPr>
          <w:szCs w:val="21"/>
        </w:rPr>
        <w:t>06</w:t>
      </w:r>
      <w:r w:rsidRPr="00344255">
        <w:rPr>
          <w:szCs w:val="21"/>
        </w:rPr>
        <w:br/>
        <w:t>17.7.3 Questões processuais nos JEFs ...............</w:t>
      </w:r>
      <w:r w:rsidR="00974BCF">
        <w:rPr>
          <w:szCs w:val="21"/>
        </w:rPr>
        <w:t>....................</w:t>
      </w:r>
      <w:r w:rsidRPr="00344255">
        <w:rPr>
          <w:szCs w:val="21"/>
        </w:rPr>
        <w:t>................................ 9</w:t>
      </w:r>
      <w:r>
        <w:rPr>
          <w:szCs w:val="21"/>
        </w:rPr>
        <w:t>07</w:t>
      </w:r>
      <w:r w:rsidRPr="00344255">
        <w:rPr>
          <w:szCs w:val="21"/>
        </w:rPr>
        <w:br/>
        <w:t>17.7.4 Melhor DIB — revisão para retroação ..............</w:t>
      </w:r>
      <w:r w:rsidR="00974BCF">
        <w:rPr>
          <w:szCs w:val="21"/>
        </w:rPr>
        <w:t>..................</w:t>
      </w:r>
      <w:r w:rsidRPr="00344255">
        <w:rPr>
          <w:szCs w:val="21"/>
        </w:rPr>
        <w:t>....................... 9</w:t>
      </w:r>
      <w:r>
        <w:rPr>
          <w:szCs w:val="21"/>
        </w:rPr>
        <w:t>07</w:t>
      </w:r>
    </w:p>
    <w:p w14:paraId="0FDC1408" w14:textId="12001488" w:rsidR="003A005E" w:rsidRPr="00344255" w:rsidRDefault="003A005E" w:rsidP="00207A9F">
      <w:pPr>
        <w:keepNext/>
        <w:pBdr>
          <w:bottom w:val="single" w:sz="8" w:space="4" w:color="B89B5E"/>
        </w:pBdr>
        <w:spacing w:after="0" w:line="240" w:lineRule="auto"/>
        <w:ind w:right="-171"/>
        <w:rPr>
          <w:szCs w:val="21"/>
        </w:rPr>
      </w:pPr>
      <w:r w:rsidRPr="00344255">
        <w:rPr>
          <w:szCs w:val="21"/>
        </w:rPr>
        <w:t>17.8 Outras teses revisionais relevantes .......</w:t>
      </w:r>
      <w:r w:rsidR="00974BCF">
        <w:rPr>
          <w:szCs w:val="21"/>
        </w:rPr>
        <w:t>......................</w:t>
      </w:r>
      <w:r w:rsidRPr="00344255">
        <w:rPr>
          <w:szCs w:val="21"/>
        </w:rPr>
        <w:t>................................... 9</w:t>
      </w:r>
      <w:r>
        <w:rPr>
          <w:szCs w:val="21"/>
        </w:rPr>
        <w:t>08</w:t>
      </w:r>
      <w:r w:rsidRPr="00344255">
        <w:rPr>
          <w:szCs w:val="21"/>
        </w:rPr>
        <w:br/>
        <w:t>17.8.1 Revisão de atividades concomitantes — Tema 1070/STJ ..</w:t>
      </w:r>
      <w:r w:rsidR="00974BCF">
        <w:rPr>
          <w:szCs w:val="21"/>
        </w:rPr>
        <w:t>................</w:t>
      </w:r>
      <w:r w:rsidRPr="00344255">
        <w:rPr>
          <w:szCs w:val="21"/>
        </w:rPr>
        <w:t>...... 9</w:t>
      </w:r>
      <w:r>
        <w:rPr>
          <w:szCs w:val="21"/>
        </w:rPr>
        <w:t>08</w:t>
      </w:r>
      <w:r w:rsidRPr="00344255">
        <w:rPr>
          <w:szCs w:val="21"/>
        </w:rPr>
        <w:br/>
        <w:t>17.8.2 Revisão por inclusão de tempo especial não reconhecido ..</w:t>
      </w:r>
      <w:r w:rsidR="00974BCF">
        <w:rPr>
          <w:szCs w:val="21"/>
        </w:rPr>
        <w:t>.................</w:t>
      </w:r>
      <w:r w:rsidRPr="00344255">
        <w:rPr>
          <w:szCs w:val="21"/>
        </w:rPr>
        <w:t>...... 9</w:t>
      </w:r>
      <w:r>
        <w:rPr>
          <w:szCs w:val="21"/>
        </w:rPr>
        <w:t>09</w:t>
      </w:r>
      <w:r w:rsidRPr="00344255">
        <w:rPr>
          <w:szCs w:val="21"/>
        </w:rPr>
        <w:br/>
        <w:t>17.8.3 Revisão por inclusão de tempo rural ........................</w:t>
      </w:r>
      <w:r w:rsidR="00974BCF">
        <w:rPr>
          <w:szCs w:val="21"/>
        </w:rPr>
        <w:t>..................</w:t>
      </w:r>
      <w:r w:rsidRPr="00344255">
        <w:rPr>
          <w:szCs w:val="21"/>
        </w:rPr>
        <w:t>............... 9</w:t>
      </w:r>
      <w:r>
        <w:rPr>
          <w:szCs w:val="21"/>
        </w:rPr>
        <w:t>10</w:t>
      </w:r>
      <w:r w:rsidRPr="00344255">
        <w:rPr>
          <w:szCs w:val="21"/>
        </w:rPr>
        <w:br/>
        <w:t>17.8.4 Desaposentação — tese encerrada (Tema 503/STF) .......</w:t>
      </w:r>
      <w:r w:rsidR="00974BCF">
        <w:rPr>
          <w:szCs w:val="21"/>
        </w:rPr>
        <w:t>.................</w:t>
      </w:r>
      <w:r w:rsidRPr="00344255">
        <w:rPr>
          <w:szCs w:val="21"/>
        </w:rPr>
        <w:t>........ 9</w:t>
      </w:r>
      <w:r>
        <w:rPr>
          <w:szCs w:val="21"/>
        </w:rPr>
        <w:t>10</w:t>
      </w:r>
    </w:p>
    <w:p w14:paraId="08F922E5" w14:textId="45C1313E" w:rsidR="003A005E" w:rsidRPr="00344255" w:rsidRDefault="003A005E" w:rsidP="00207A9F">
      <w:pPr>
        <w:keepNext/>
        <w:pBdr>
          <w:bottom w:val="single" w:sz="8" w:space="4" w:color="B89B5E"/>
        </w:pBdr>
        <w:spacing w:after="0" w:line="240" w:lineRule="auto"/>
        <w:ind w:right="-171"/>
        <w:rPr>
          <w:szCs w:val="21"/>
        </w:rPr>
      </w:pPr>
      <w:r w:rsidRPr="00344255">
        <w:rPr>
          <w:szCs w:val="21"/>
        </w:rPr>
        <w:t>17.9 Procedimento da ação revisional no JEF ...........</w:t>
      </w:r>
      <w:r w:rsidR="00974BCF">
        <w:rPr>
          <w:szCs w:val="21"/>
        </w:rPr>
        <w:t>......................</w:t>
      </w:r>
      <w:r w:rsidRPr="00344255">
        <w:rPr>
          <w:szCs w:val="21"/>
        </w:rPr>
        <w:t>..................... 9</w:t>
      </w:r>
      <w:r>
        <w:rPr>
          <w:szCs w:val="21"/>
        </w:rPr>
        <w:t>11</w:t>
      </w:r>
      <w:r w:rsidRPr="00344255">
        <w:rPr>
          <w:szCs w:val="21"/>
        </w:rPr>
        <w:br/>
        <w:t>17.9.1 Competência ...........................................................</w:t>
      </w:r>
      <w:r w:rsidR="00974BCF">
        <w:rPr>
          <w:szCs w:val="21"/>
        </w:rPr>
        <w:t>...............</w:t>
      </w:r>
      <w:r w:rsidRPr="00344255">
        <w:rPr>
          <w:szCs w:val="21"/>
        </w:rPr>
        <w:t>................... 9</w:t>
      </w:r>
      <w:r>
        <w:rPr>
          <w:szCs w:val="21"/>
        </w:rPr>
        <w:t>11</w:t>
      </w:r>
      <w:r w:rsidRPr="00344255">
        <w:rPr>
          <w:szCs w:val="21"/>
        </w:rPr>
        <w:br/>
        <w:t>17.9.2 Petição inicial ........................................................</w:t>
      </w:r>
      <w:r w:rsidR="00974BCF">
        <w:rPr>
          <w:szCs w:val="21"/>
        </w:rPr>
        <w:t>.................</w:t>
      </w:r>
      <w:r w:rsidRPr="00344255">
        <w:rPr>
          <w:szCs w:val="21"/>
        </w:rPr>
        <w:t>.................... 9</w:t>
      </w:r>
      <w:r>
        <w:rPr>
          <w:szCs w:val="21"/>
        </w:rPr>
        <w:t>11</w:t>
      </w:r>
      <w:r w:rsidRPr="00344255">
        <w:rPr>
          <w:szCs w:val="21"/>
        </w:rPr>
        <w:br/>
        <w:t>17.9.3 Prova .........................................................................</w:t>
      </w:r>
      <w:r w:rsidR="00974BCF">
        <w:rPr>
          <w:szCs w:val="21"/>
        </w:rPr>
        <w:t>................</w:t>
      </w:r>
      <w:r w:rsidRPr="00344255">
        <w:rPr>
          <w:szCs w:val="21"/>
        </w:rPr>
        <w:t>................. 9</w:t>
      </w:r>
      <w:r>
        <w:rPr>
          <w:szCs w:val="21"/>
        </w:rPr>
        <w:t>12</w:t>
      </w:r>
      <w:r w:rsidRPr="00344255">
        <w:rPr>
          <w:szCs w:val="21"/>
        </w:rPr>
        <w:br/>
        <w:t>17.9.4 Interesse de agir — prévio requerimento administrativo ...</w:t>
      </w:r>
      <w:r w:rsidR="00974BCF">
        <w:rPr>
          <w:szCs w:val="21"/>
        </w:rPr>
        <w:t>................</w:t>
      </w:r>
      <w:r w:rsidRPr="00344255">
        <w:rPr>
          <w:szCs w:val="21"/>
        </w:rPr>
        <w:t>....... 9</w:t>
      </w:r>
      <w:r>
        <w:rPr>
          <w:szCs w:val="21"/>
        </w:rPr>
        <w:t>13</w:t>
      </w:r>
      <w:r w:rsidRPr="00344255">
        <w:rPr>
          <w:szCs w:val="21"/>
        </w:rPr>
        <w:br/>
        <w:t>17.9.5 Prescrição quinquenal das parcelas ..............................</w:t>
      </w:r>
      <w:r w:rsidR="00974BCF">
        <w:rPr>
          <w:szCs w:val="21"/>
        </w:rPr>
        <w:t>..................</w:t>
      </w:r>
      <w:r w:rsidRPr="00344255">
        <w:rPr>
          <w:szCs w:val="21"/>
        </w:rPr>
        <w:t>........... 9</w:t>
      </w:r>
      <w:r>
        <w:rPr>
          <w:szCs w:val="21"/>
        </w:rPr>
        <w:t>14</w:t>
      </w:r>
      <w:r w:rsidRPr="00344255">
        <w:rPr>
          <w:szCs w:val="21"/>
        </w:rPr>
        <w:br/>
        <w:t>17.9.6 Tutela antecipada ..............................................................</w:t>
      </w:r>
      <w:r w:rsidR="00974BCF">
        <w:rPr>
          <w:szCs w:val="21"/>
        </w:rPr>
        <w:t>................</w:t>
      </w:r>
      <w:r w:rsidRPr="00344255">
        <w:rPr>
          <w:szCs w:val="21"/>
        </w:rPr>
        <w:t>........ 9</w:t>
      </w:r>
      <w:r>
        <w:rPr>
          <w:szCs w:val="21"/>
        </w:rPr>
        <w:t>14</w:t>
      </w:r>
      <w:r w:rsidRPr="00344255">
        <w:rPr>
          <w:szCs w:val="21"/>
        </w:rPr>
        <w:br/>
        <w:t>17.9.7 Cumulação de pedidos ......................................................</w:t>
      </w:r>
      <w:r w:rsidR="00974BCF">
        <w:rPr>
          <w:szCs w:val="21"/>
        </w:rPr>
        <w:t>..............</w:t>
      </w:r>
      <w:r w:rsidRPr="00344255">
        <w:rPr>
          <w:szCs w:val="21"/>
        </w:rPr>
        <w:t>.......... 9</w:t>
      </w:r>
      <w:r>
        <w:rPr>
          <w:szCs w:val="21"/>
        </w:rPr>
        <w:t>15</w:t>
      </w:r>
    </w:p>
    <w:p w14:paraId="58BC5034" w14:textId="4863B24C" w:rsidR="003A005E" w:rsidRPr="00344255" w:rsidRDefault="003A005E" w:rsidP="00207A9F">
      <w:pPr>
        <w:keepNext/>
        <w:pBdr>
          <w:bottom w:val="single" w:sz="8" w:space="4" w:color="B89B5E"/>
        </w:pBdr>
        <w:spacing w:after="0" w:line="240" w:lineRule="auto"/>
        <w:ind w:right="-171"/>
        <w:rPr>
          <w:szCs w:val="21"/>
        </w:rPr>
      </w:pPr>
      <w:r w:rsidRPr="00344255">
        <w:rPr>
          <w:szCs w:val="21"/>
        </w:rPr>
        <w:t>17.10 Querela nullitatis e ação rescisória nos JEFs ..............</w:t>
      </w:r>
      <w:r w:rsidR="00974BCF">
        <w:rPr>
          <w:szCs w:val="21"/>
        </w:rPr>
        <w:t>........................</w:t>
      </w:r>
      <w:r w:rsidRPr="00344255">
        <w:rPr>
          <w:szCs w:val="21"/>
        </w:rPr>
        <w:t>......... 9</w:t>
      </w:r>
      <w:r>
        <w:rPr>
          <w:szCs w:val="21"/>
        </w:rPr>
        <w:t>15</w:t>
      </w:r>
      <w:r w:rsidRPr="00344255">
        <w:rPr>
          <w:szCs w:val="21"/>
        </w:rPr>
        <w:br/>
        <w:t>17.10.1 Querela nullitatis ....................................................</w:t>
      </w:r>
      <w:r w:rsidR="00974BCF">
        <w:rPr>
          <w:szCs w:val="21"/>
        </w:rPr>
        <w:t>................</w:t>
      </w:r>
      <w:r w:rsidRPr="00344255">
        <w:rPr>
          <w:szCs w:val="21"/>
        </w:rPr>
        <w:t>................. 9</w:t>
      </w:r>
      <w:r>
        <w:rPr>
          <w:szCs w:val="21"/>
        </w:rPr>
        <w:t>15</w:t>
      </w:r>
      <w:r w:rsidRPr="00344255">
        <w:rPr>
          <w:szCs w:val="21"/>
        </w:rPr>
        <w:br/>
        <w:t>17.10.2 Ação rescisória nos JEFs ......................................</w:t>
      </w:r>
      <w:r w:rsidR="00974BCF">
        <w:rPr>
          <w:szCs w:val="21"/>
        </w:rPr>
        <w:t>....................</w:t>
      </w:r>
      <w:r w:rsidRPr="00344255">
        <w:rPr>
          <w:szCs w:val="21"/>
        </w:rPr>
        <w:t>................. 9</w:t>
      </w:r>
      <w:r>
        <w:rPr>
          <w:szCs w:val="21"/>
        </w:rPr>
        <w:t>16</w:t>
      </w:r>
      <w:r w:rsidRPr="00344255">
        <w:rPr>
          <w:szCs w:val="21"/>
        </w:rPr>
        <w:br/>
        <w:t>17.10.3 Aplicação prática: rescisória por tese superveniente .........</w:t>
      </w:r>
      <w:r w:rsidR="00974BCF">
        <w:rPr>
          <w:szCs w:val="21"/>
        </w:rPr>
        <w:t>..................</w:t>
      </w:r>
      <w:r w:rsidRPr="00344255">
        <w:rPr>
          <w:szCs w:val="21"/>
        </w:rPr>
        <w:t>.... 9</w:t>
      </w:r>
      <w:r>
        <w:rPr>
          <w:szCs w:val="21"/>
        </w:rPr>
        <w:t>17</w:t>
      </w:r>
    </w:p>
    <w:p w14:paraId="4B5DD0C1" w14:textId="0AF5AF00" w:rsidR="003A005E" w:rsidRPr="00344255" w:rsidRDefault="003A005E" w:rsidP="00974BCF">
      <w:pPr>
        <w:keepNext/>
        <w:pBdr>
          <w:bottom w:val="single" w:sz="8" w:space="4" w:color="B89B5E"/>
        </w:pBdr>
        <w:spacing w:after="0" w:line="240" w:lineRule="auto"/>
        <w:ind w:right="-171"/>
        <w:rPr>
          <w:szCs w:val="21"/>
        </w:rPr>
      </w:pPr>
      <w:r w:rsidRPr="00344255">
        <w:rPr>
          <w:szCs w:val="21"/>
        </w:rPr>
        <w:t>17.11 Execução de sentença revisional .......................</w:t>
      </w:r>
      <w:r w:rsidR="00974BCF">
        <w:rPr>
          <w:szCs w:val="21"/>
        </w:rPr>
        <w:t>....................</w:t>
      </w:r>
      <w:r w:rsidRPr="00344255">
        <w:rPr>
          <w:szCs w:val="21"/>
        </w:rPr>
        <w:t>...................... 9</w:t>
      </w:r>
      <w:r>
        <w:rPr>
          <w:szCs w:val="21"/>
        </w:rPr>
        <w:t>17</w:t>
      </w:r>
      <w:r w:rsidRPr="00344255">
        <w:rPr>
          <w:szCs w:val="21"/>
        </w:rPr>
        <w:br/>
        <w:t>17.11.1 Liquidação por cálculos ....................................</w:t>
      </w:r>
      <w:r w:rsidR="00974BCF">
        <w:rPr>
          <w:szCs w:val="21"/>
        </w:rPr>
        <w:t>.................</w:t>
      </w:r>
      <w:r w:rsidRPr="00344255">
        <w:rPr>
          <w:szCs w:val="21"/>
        </w:rPr>
        <w:t>...................... 9</w:t>
      </w:r>
      <w:r>
        <w:rPr>
          <w:szCs w:val="21"/>
        </w:rPr>
        <w:t>17</w:t>
      </w:r>
      <w:r w:rsidRPr="00344255">
        <w:rPr>
          <w:szCs w:val="21"/>
        </w:rPr>
        <w:br/>
        <w:t>17.11.2 Cálculo de diferenças passo a passo .....................</w:t>
      </w:r>
      <w:r w:rsidR="00974BCF">
        <w:rPr>
          <w:szCs w:val="21"/>
        </w:rPr>
        <w:t>...................</w:t>
      </w:r>
      <w:r w:rsidRPr="00344255">
        <w:rPr>
          <w:szCs w:val="21"/>
        </w:rPr>
        <w:t>................. 9</w:t>
      </w:r>
      <w:r>
        <w:rPr>
          <w:szCs w:val="21"/>
        </w:rPr>
        <w:t>1</w:t>
      </w:r>
      <w:r w:rsidRPr="00344255">
        <w:rPr>
          <w:szCs w:val="21"/>
        </w:rPr>
        <w:t>7</w:t>
      </w:r>
      <w:r w:rsidRPr="00344255">
        <w:rPr>
          <w:szCs w:val="21"/>
        </w:rPr>
        <w:br/>
        <w:t>17.11.3 Correção monetária e juros — três regimes ....................</w:t>
      </w:r>
      <w:r w:rsidR="00974BCF">
        <w:rPr>
          <w:szCs w:val="21"/>
        </w:rPr>
        <w:t>...................</w:t>
      </w:r>
      <w:r w:rsidRPr="00344255">
        <w:rPr>
          <w:szCs w:val="21"/>
        </w:rPr>
        <w:t>...... 9</w:t>
      </w:r>
      <w:r>
        <w:rPr>
          <w:szCs w:val="21"/>
        </w:rPr>
        <w:t>18</w:t>
      </w:r>
      <w:r w:rsidRPr="00344255">
        <w:rPr>
          <w:szCs w:val="21"/>
        </w:rPr>
        <w:br/>
        <w:t>17.11.4 ADI 7873 — constitucionalidade da EC 136/2025 ..</w:t>
      </w:r>
      <w:r w:rsidR="00974BCF">
        <w:rPr>
          <w:szCs w:val="21"/>
        </w:rPr>
        <w:t>................</w:t>
      </w:r>
      <w:r w:rsidRPr="00344255">
        <w:rPr>
          <w:szCs w:val="21"/>
        </w:rPr>
        <w:t>............. 9</w:t>
      </w:r>
      <w:r>
        <w:rPr>
          <w:szCs w:val="21"/>
        </w:rPr>
        <w:t>2</w:t>
      </w:r>
      <w:r w:rsidRPr="00344255">
        <w:rPr>
          <w:szCs w:val="21"/>
        </w:rPr>
        <w:t>0</w:t>
      </w:r>
      <w:r w:rsidRPr="00344255">
        <w:rPr>
          <w:szCs w:val="21"/>
        </w:rPr>
        <w:br/>
      </w:r>
      <w:r w:rsidRPr="00344255">
        <w:rPr>
          <w:szCs w:val="21"/>
        </w:rPr>
        <w:lastRenderedPageBreak/>
        <w:t>17.11.5 RPV e precatório ....................</w:t>
      </w:r>
      <w:r w:rsidR="00974BCF">
        <w:rPr>
          <w:szCs w:val="21"/>
        </w:rPr>
        <w:t>...............</w:t>
      </w:r>
      <w:r w:rsidRPr="00344255">
        <w:rPr>
          <w:szCs w:val="21"/>
        </w:rPr>
        <w:t>.................................................. 9</w:t>
      </w:r>
      <w:r>
        <w:rPr>
          <w:szCs w:val="21"/>
        </w:rPr>
        <w:t>21</w:t>
      </w:r>
      <w:r w:rsidRPr="00344255">
        <w:rPr>
          <w:szCs w:val="21"/>
        </w:rPr>
        <w:br/>
        <w:t>17.11.6 Obrigação de fazer ............................</w:t>
      </w:r>
      <w:r w:rsidR="00974BCF">
        <w:rPr>
          <w:szCs w:val="21"/>
        </w:rPr>
        <w:t>................</w:t>
      </w:r>
      <w:r w:rsidRPr="00344255">
        <w:rPr>
          <w:szCs w:val="21"/>
        </w:rPr>
        <w:t>....................................... 9</w:t>
      </w:r>
      <w:r>
        <w:rPr>
          <w:szCs w:val="21"/>
        </w:rPr>
        <w:t>2</w:t>
      </w:r>
      <w:r w:rsidRPr="00344255">
        <w:rPr>
          <w:szCs w:val="21"/>
        </w:rPr>
        <w:t>1</w:t>
      </w:r>
    </w:p>
    <w:p w14:paraId="691E4B3C" w14:textId="59EA66BD" w:rsidR="003A005E" w:rsidRPr="00344255" w:rsidRDefault="003A005E" w:rsidP="00974BCF">
      <w:pPr>
        <w:keepNext/>
        <w:pBdr>
          <w:bottom w:val="single" w:sz="8" w:space="4" w:color="B89B5E"/>
        </w:pBdr>
        <w:spacing w:after="0" w:line="240" w:lineRule="auto"/>
        <w:ind w:right="-171"/>
        <w:rPr>
          <w:szCs w:val="21"/>
        </w:rPr>
      </w:pPr>
      <w:r w:rsidRPr="00344255">
        <w:rPr>
          <w:szCs w:val="21"/>
        </w:rPr>
        <w:t>17.12 Prática: fluxo completo da ação revisional no JEF ..........</w:t>
      </w:r>
      <w:r w:rsidR="00974BCF">
        <w:rPr>
          <w:szCs w:val="21"/>
        </w:rPr>
        <w:t>....................</w:t>
      </w:r>
      <w:r w:rsidRPr="00344255">
        <w:rPr>
          <w:szCs w:val="21"/>
        </w:rPr>
        <w:t>....... 9</w:t>
      </w:r>
      <w:r>
        <w:rPr>
          <w:szCs w:val="21"/>
        </w:rPr>
        <w:t>22</w:t>
      </w:r>
      <w:r w:rsidRPr="00344255">
        <w:rPr>
          <w:szCs w:val="21"/>
        </w:rPr>
        <w:br/>
        <w:t>17.12.1 Checklist do advogado .................................................</w:t>
      </w:r>
      <w:r w:rsidR="00974BCF">
        <w:rPr>
          <w:szCs w:val="21"/>
        </w:rPr>
        <w:t>...................</w:t>
      </w:r>
      <w:r w:rsidRPr="00344255">
        <w:rPr>
          <w:szCs w:val="21"/>
        </w:rPr>
        <w:t>......... 9</w:t>
      </w:r>
      <w:r>
        <w:rPr>
          <w:szCs w:val="21"/>
        </w:rPr>
        <w:t>22</w:t>
      </w:r>
      <w:r w:rsidRPr="00344255">
        <w:rPr>
          <w:szCs w:val="21"/>
        </w:rPr>
        <w:br/>
        <w:t>17.12.2 Checklist do magistrado ............................................</w:t>
      </w:r>
      <w:r w:rsidR="00974BCF">
        <w:rPr>
          <w:szCs w:val="21"/>
        </w:rPr>
        <w:t>..................</w:t>
      </w:r>
      <w:r w:rsidRPr="00344255">
        <w:rPr>
          <w:szCs w:val="21"/>
        </w:rPr>
        <w:t>............ 9</w:t>
      </w:r>
      <w:r>
        <w:rPr>
          <w:szCs w:val="21"/>
        </w:rPr>
        <w:t>2</w:t>
      </w:r>
      <w:r w:rsidRPr="00344255">
        <w:rPr>
          <w:szCs w:val="21"/>
        </w:rPr>
        <w:t>2</w:t>
      </w:r>
      <w:r w:rsidRPr="00344255">
        <w:rPr>
          <w:szCs w:val="21"/>
        </w:rPr>
        <w:br/>
        <w:t>17.12.3 Modelos de dispositivo sentencial ...........................</w:t>
      </w:r>
      <w:r w:rsidR="00974BCF">
        <w:rPr>
          <w:szCs w:val="21"/>
        </w:rPr>
        <w:t>..................</w:t>
      </w:r>
      <w:r w:rsidRPr="00344255">
        <w:rPr>
          <w:szCs w:val="21"/>
        </w:rPr>
        <w:t>.............. 9</w:t>
      </w:r>
      <w:r>
        <w:rPr>
          <w:szCs w:val="21"/>
        </w:rPr>
        <w:t>2</w:t>
      </w:r>
      <w:r w:rsidRPr="00344255">
        <w:rPr>
          <w:szCs w:val="21"/>
        </w:rPr>
        <w:t>3</w:t>
      </w:r>
      <w:r w:rsidRPr="00344255">
        <w:rPr>
          <w:szCs w:val="21"/>
        </w:rPr>
        <w:br/>
        <w:t>17.12.4 Erros comuns a evitar ........................</w:t>
      </w:r>
      <w:r w:rsidR="00974BCF">
        <w:rPr>
          <w:szCs w:val="21"/>
        </w:rPr>
        <w:t>..................</w:t>
      </w:r>
      <w:r w:rsidRPr="00344255">
        <w:rPr>
          <w:szCs w:val="21"/>
        </w:rPr>
        <w:t>..................................... 9</w:t>
      </w:r>
      <w:r>
        <w:rPr>
          <w:szCs w:val="21"/>
        </w:rPr>
        <w:t>2</w:t>
      </w:r>
      <w:r w:rsidRPr="00344255">
        <w:rPr>
          <w:szCs w:val="21"/>
        </w:rPr>
        <w:t>5</w:t>
      </w:r>
    </w:p>
    <w:p w14:paraId="4A3935CE" w14:textId="6C99B61C" w:rsidR="003A005E" w:rsidRDefault="003A005E" w:rsidP="00974BCF">
      <w:pPr>
        <w:keepNext/>
        <w:pBdr>
          <w:bottom w:val="single" w:sz="8" w:space="4" w:color="B89B5E"/>
        </w:pBdr>
        <w:spacing w:after="0" w:line="240" w:lineRule="auto"/>
        <w:ind w:right="-171"/>
        <w:rPr>
          <w:szCs w:val="21"/>
        </w:rPr>
      </w:pPr>
      <w:r w:rsidRPr="00344255">
        <w:rPr>
          <w:szCs w:val="21"/>
        </w:rPr>
        <w:t>17.13 Síntese e quadros práticos ....................................................... 9</w:t>
      </w:r>
      <w:r>
        <w:rPr>
          <w:szCs w:val="21"/>
        </w:rPr>
        <w:t>2</w:t>
      </w:r>
      <w:r w:rsidRPr="00344255">
        <w:rPr>
          <w:szCs w:val="21"/>
        </w:rPr>
        <w:t>6</w:t>
      </w:r>
      <w:r w:rsidRPr="00E56701">
        <w:rPr>
          <w:szCs w:val="21"/>
        </w:rPr>
        <w:br/>
        <w:t xml:space="preserve">Capítulo 18 — Benefício de Prestação Continuada (LOAS/BPC) .................... </w:t>
      </w:r>
      <w:r>
        <w:rPr>
          <w:szCs w:val="21"/>
        </w:rPr>
        <w:t>930</w:t>
      </w:r>
    </w:p>
    <w:p w14:paraId="0766BC60" w14:textId="3E2AEF35" w:rsidR="003A005E" w:rsidRDefault="003A005E" w:rsidP="00974BCF">
      <w:pPr>
        <w:keepNext/>
        <w:pBdr>
          <w:bottom w:val="single" w:sz="8" w:space="4" w:color="B89B5E"/>
        </w:pBdr>
        <w:spacing w:after="0" w:line="240" w:lineRule="auto"/>
        <w:ind w:right="-171"/>
        <w:rPr>
          <w:szCs w:val="21"/>
        </w:rPr>
      </w:pPr>
      <w:r w:rsidRPr="0004223F">
        <w:rPr>
          <w:szCs w:val="21"/>
        </w:rPr>
        <w:t>18.1 Fundamento constitucional e natureza jurídica ..........</w:t>
      </w:r>
      <w:r w:rsidR="00974BCF">
        <w:rPr>
          <w:szCs w:val="21"/>
        </w:rPr>
        <w:t>...................</w:t>
      </w:r>
      <w:r w:rsidRPr="0004223F">
        <w:rPr>
          <w:szCs w:val="21"/>
        </w:rPr>
        <w:t>.............. 93</w:t>
      </w:r>
      <w:r>
        <w:rPr>
          <w:szCs w:val="21"/>
        </w:rPr>
        <w:t>1</w:t>
      </w:r>
      <w:r w:rsidRPr="0004223F">
        <w:rPr>
          <w:szCs w:val="21"/>
        </w:rPr>
        <w:br/>
        <w:t>18.2 Evolução legislativa ......................................................</w:t>
      </w:r>
      <w:r w:rsidR="00974BCF">
        <w:rPr>
          <w:szCs w:val="21"/>
        </w:rPr>
        <w:t>...................</w:t>
      </w:r>
      <w:r w:rsidRPr="0004223F">
        <w:rPr>
          <w:szCs w:val="21"/>
        </w:rPr>
        <w:t>.............. 9</w:t>
      </w:r>
      <w:r>
        <w:rPr>
          <w:szCs w:val="21"/>
        </w:rPr>
        <w:t>33</w:t>
      </w:r>
      <w:r w:rsidRPr="0004223F">
        <w:rPr>
          <w:szCs w:val="21"/>
        </w:rPr>
        <w:br/>
        <w:t>18.3 Distinção entre benefício assistencial e previdenciário .......</w:t>
      </w:r>
      <w:r w:rsidR="00974BCF">
        <w:rPr>
          <w:szCs w:val="21"/>
        </w:rPr>
        <w:t>...................</w:t>
      </w:r>
      <w:r w:rsidRPr="0004223F">
        <w:rPr>
          <w:szCs w:val="21"/>
        </w:rPr>
        <w:t>...... 935</w:t>
      </w:r>
      <w:r w:rsidRPr="0004223F">
        <w:rPr>
          <w:szCs w:val="21"/>
        </w:rPr>
        <w:br/>
        <w:t>18.4 Requisitos para concessão: visão geral ...............................</w:t>
      </w:r>
      <w:r w:rsidR="00974BCF">
        <w:rPr>
          <w:szCs w:val="21"/>
        </w:rPr>
        <w:t>.....................</w:t>
      </w:r>
      <w:r w:rsidRPr="0004223F">
        <w:rPr>
          <w:szCs w:val="21"/>
        </w:rPr>
        <w:t>...... 93</w:t>
      </w:r>
      <w:r>
        <w:rPr>
          <w:szCs w:val="21"/>
        </w:rPr>
        <w:t>6</w:t>
      </w:r>
      <w:r w:rsidRPr="0004223F">
        <w:rPr>
          <w:szCs w:val="21"/>
        </w:rPr>
        <w:br/>
        <w:t>18.5 Requisito subjetivo: pessoa idosa (65 anos ou mais) .....</w:t>
      </w:r>
      <w:r w:rsidR="00974BCF">
        <w:rPr>
          <w:szCs w:val="21"/>
        </w:rPr>
        <w:t>...................</w:t>
      </w:r>
      <w:r w:rsidRPr="0004223F">
        <w:rPr>
          <w:szCs w:val="21"/>
        </w:rPr>
        <w:t>............ 93</w:t>
      </w:r>
      <w:r>
        <w:rPr>
          <w:szCs w:val="21"/>
        </w:rPr>
        <w:t>7</w:t>
      </w:r>
      <w:r w:rsidRPr="0004223F">
        <w:rPr>
          <w:szCs w:val="21"/>
        </w:rPr>
        <w:br/>
        <w:t>18.6 Requisito subjetivo: pessoa com deficiência ..................</w:t>
      </w:r>
      <w:r w:rsidR="00974BCF">
        <w:rPr>
          <w:szCs w:val="21"/>
        </w:rPr>
        <w:t>...................</w:t>
      </w:r>
      <w:r w:rsidRPr="0004223F">
        <w:rPr>
          <w:szCs w:val="21"/>
        </w:rPr>
        <w:t>........... 9</w:t>
      </w:r>
      <w:r>
        <w:rPr>
          <w:szCs w:val="21"/>
        </w:rPr>
        <w:t>39</w:t>
      </w:r>
      <w:r w:rsidRPr="0004223F">
        <w:rPr>
          <w:szCs w:val="21"/>
        </w:rPr>
        <w:br/>
        <w:t>18.7 Avaliação da deficiência: modelo biopsicossocial .............</w:t>
      </w:r>
      <w:r w:rsidR="00974BCF">
        <w:rPr>
          <w:szCs w:val="21"/>
        </w:rPr>
        <w:t>..................</w:t>
      </w:r>
      <w:r w:rsidRPr="0004223F">
        <w:rPr>
          <w:szCs w:val="21"/>
        </w:rPr>
        <w:t>......... 94</w:t>
      </w:r>
      <w:r>
        <w:rPr>
          <w:szCs w:val="21"/>
        </w:rPr>
        <w:t>1</w:t>
      </w:r>
      <w:r w:rsidRPr="0004223F">
        <w:rPr>
          <w:szCs w:val="21"/>
        </w:rPr>
        <w:br/>
        <w:t>18.8 Impedimento de longo prazo: critérios e controvérsias ......</w:t>
      </w:r>
      <w:r w:rsidR="00974BCF">
        <w:rPr>
          <w:szCs w:val="21"/>
        </w:rPr>
        <w:t>.................</w:t>
      </w:r>
      <w:r w:rsidRPr="0004223F">
        <w:rPr>
          <w:szCs w:val="21"/>
        </w:rPr>
        <w:t>........ 94</w:t>
      </w:r>
      <w:r>
        <w:rPr>
          <w:szCs w:val="21"/>
        </w:rPr>
        <w:t>3</w:t>
      </w:r>
      <w:r w:rsidRPr="0004223F">
        <w:rPr>
          <w:szCs w:val="21"/>
        </w:rPr>
        <w:br/>
        <w:t>18.9 Requisito objetivo: miserabilidade .....................</w:t>
      </w:r>
      <w:r w:rsidR="00974BCF">
        <w:rPr>
          <w:szCs w:val="21"/>
        </w:rPr>
        <w:t>..................</w:t>
      </w:r>
      <w:r w:rsidRPr="0004223F">
        <w:rPr>
          <w:szCs w:val="21"/>
        </w:rPr>
        <w:t>........................ 94</w:t>
      </w:r>
      <w:r>
        <w:rPr>
          <w:szCs w:val="21"/>
        </w:rPr>
        <w:t>5</w:t>
      </w:r>
      <w:r w:rsidRPr="0004223F">
        <w:rPr>
          <w:szCs w:val="21"/>
        </w:rPr>
        <w:br/>
        <w:t>18.10 Critério de renda per capita familiar ........................</w:t>
      </w:r>
      <w:r w:rsidR="00974BCF">
        <w:rPr>
          <w:szCs w:val="21"/>
        </w:rPr>
        <w:t>..................</w:t>
      </w:r>
      <w:r w:rsidRPr="0004223F">
        <w:rPr>
          <w:szCs w:val="21"/>
        </w:rPr>
        <w:t>................. 9</w:t>
      </w:r>
      <w:r>
        <w:rPr>
          <w:szCs w:val="21"/>
        </w:rPr>
        <w:t>46</w:t>
      </w:r>
      <w:r w:rsidRPr="0004223F">
        <w:rPr>
          <w:szCs w:val="21"/>
        </w:rPr>
        <w:br/>
        <w:t>18.11 Exclusões da renda per capita familiar ....................</w:t>
      </w:r>
      <w:r w:rsidR="00974BCF">
        <w:rPr>
          <w:szCs w:val="21"/>
        </w:rPr>
        <w:t>...................</w:t>
      </w:r>
      <w:r w:rsidRPr="0004223F">
        <w:rPr>
          <w:szCs w:val="21"/>
        </w:rPr>
        <w:t>................. 9</w:t>
      </w:r>
      <w:r>
        <w:rPr>
          <w:szCs w:val="21"/>
        </w:rPr>
        <w:t>48</w:t>
      </w:r>
      <w:r w:rsidRPr="0004223F">
        <w:rPr>
          <w:szCs w:val="21"/>
        </w:rPr>
        <w:br/>
        <w:t>18.12 Relativização judicial do critério de 1/4 do salário</w:t>
      </w:r>
      <w:r>
        <w:rPr>
          <w:szCs w:val="21"/>
        </w:rPr>
        <w:t>-</w:t>
      </w:r>
      <w:r w:rsidRPr="0004223F">
        <w:rPr>
          <w:szCs w:val="21"/>
        </w:rPr>
        <w:t>mínimo ....</w:t>
      </w:r>
      <w:r w:rsidR="00974BCF">
        <w:rPr>
          <w:szCs w:val="21"/>
        </w:rPr>
        <w:t>...............</w:t>
      </w:r>
      <w:r w:rsidRPr="0004223F">
        <w:rPr>
          <w:szCs w:val="21"/>
        </w:rPr>
        <w:t>.... 95</w:t>
      </w:r>
      <w:r>
        <w:rPr>
          <w:szCs w:val="21"/>
        </w:rPr>
        <w:t>1</w:t>
      </w:r>
      <w:r w:rsidRPr="0004223F">
        <w:rPr>
          <w:szCs w:val="21"/>
        </w:rPr>
        <w:br/>
        <w:t>18.13 STJ, Tema 185: presunção relativa de miserabilidade ......</w:t>
      </w:r>
      <w:r w:rsidR="00974BCF">
        <w:rPr>
          <w:szCs w:val="21"/>
        </w:rPr>
        <w:t>.................</w:t>
      </w:r>
      <w:r w:rsidRPr="0004223F">
        <w:rPr>
          <w:szCs w:val="21"/>
        </w:rPr>
        <w:t>......... 95</w:t>
      </w:r>
      <w:r>
        <w:rPr>
          <w:szCs w:val="21"/>
        </w:rPr>
        <w:t>2</w:t>
      </w:r>
      <w:r w:rsidRPr="0004223F">
        <w:rPr>
          <w:szCs w:val="21"/>
        </w:rPr>
        <w:br/>
        <w:t>18.14 Composição do grupo familiar: questões específicas ...........</w:t>
      </w:r>
      <w:r w:rsidR="00974BCF">
        <w:rPr>
          <w:szCs w:val="21"/>
        </w:rPr>
        <w:t>................</w:t>
      </w:r>
      <w:r w:rsidRPr="0004223F">
        <w:rPr>
          <w:szCs w:val="21"/>
        </w:rPr>
        <w:t>...... 9</w:t>
      </w:r>
      <w:r>
        <w:rPr>
          <w:szCs w:val="21"/>
        </w:rPr>
        <w:t>54</w:t>
      </w:r>
      <w:r w:rsidRPr="0004223F">
        <w:rPr>
          <w:szCs w:val="21"/>
        </w:rPr>
        <w:br/>
        <w:t>18.15 Prova da miserabilidade nos JEFs .................................</w:t>
      </w:r>
      <w:r w:rsidR="00974BCF">
        <w:rPr>
          <w:szCs w:val="21"/>
        </w:rPr>
        <w:t>.................</w:t>
      </w:r>
      <w:r w:rsidRPr="0004223F">
        <w:rPr>
          <w:szCs w:val="21"/>
        </w:rPr>
        <w:t>............. 9</w:t>
      </w:r>
      <w:r>
        <w:rPr>
          <w:szCs w:val="21"/>
        </w:rPr>
        <w:t>56</w:t>
      </w:r>
      <w:r w:rsidRPr="0004223F">
        <w:rPr>
          <w:szCs w:val="21"/>
        </w:rPr>
        <w:br/>
        <w:t>18.16 BPC ao idoso: especificidades .........................................</w:t>
      </w:r>
      <w:r w:rsidR="00974BCF">
        <w:rPr>
          <w:szCs w:val="21"/>
        </w:rPr>
        <w:t>...................</w:t>
      </w:r>
      <w:r w:rsidRPr="0004223F">
        <w:rPr>
          <w:szCs w:val="21"/>
        </w:rPr>
        <w:t>......... 9</w:t>
      </w:r>
      <w:r>
        <w:rPr>
          <w:szCs w:val="21"/>
        </w:rPr>
        <w:t>57</w:t>
      </w:r>
      <w:r w:rsidRPr="0004223F">
        <w:rPr>
          <w:szCs w:val="21"/>
        </w:rPr>
        <w:br/>
        <w:t>18.17 BPC à pessoa com deficiência: especificidades .................</w:t>
      </w:r>
      <w:r w:rsidR="00974BCF">
        <w:rPr>
          <w:szCs w:val="21"/>
        </w:rPr>
        <w:t>...................</w:t>
      </w:r>
      <w:r w:rsidRPr="0004223F">
        <w:rPr>
          <w:szCs w:val="21"/>
        </w:rPr>
        <w:t>....... 9</w:t>
      </w:r>
      <w:r>
        <w:rPr>
          <w:szCs w:val="21"/>
        </w:rPr>
        <w:t>58</w:t>
      </w:r>
      <w:r w:rsidRPr="0004223F">
        <w:rPr>
          <w:szCs w:val="21"/>
        </w:rPr>
        <w:br/>
        <w:t>18.18 BPC e obrigação alimentar ......................................</w:t>
      </w:r>
      <w:r w:rsidR="00974BCF">
        <w:rPr>
          <w:szCs w:val="21"/>
        </w:rPr>
        <w:t>.................</w:t>
      </w:r>
      <w:r w:rsidRPr="0004223F">
        <w:rPr>
          <w:szCs w:val="21"/>
        </w:rPr>
        <w:t>.................. 96</w:t>
      </w:r>
      <w:r>
        <w:rPr>
          <w:szCs w:val="21"/>
        </w:rPr>
        <w:t>0</w:t>
      </w:r>
      <w:r w:rsidRPr="0004223F">
        <w:rPr>
          <w:szCs w:val="21"/>
        </w:rPr>
        <w:br/>
        <w:t>18.19 BPC ao estrangeiro residente no Brasil .....................</w:t>
      </w:r>
      <w:r w:rsidR="00974BCF">
        <w:rPr>
          <w:szCs w:val="21"/>
        </w:rPr>
        <w:t>..................</w:t>
      </w:r>
      <w:r w:rsidRPr="0004223F">
        <w:rPr>
          <w:szCs w:val="21"/>
        </w:rPr>
        <w:t>................ 9</w:t>
      </w:r>
      <w:r>
        <w:rPr>
          <w:szCs w:val="21"/>
        </w:rPr>
        <w:t>61</w:t>
      </w:r>
      <w:r w:rsidRPr="0004223F">
        <w:rPr>
          <w:szCs w:val="21"/>
        </w:rPr>
        <w:br/>
        <w:t>18.20 Cumulação do BPC com outros benefícios .......................</w:t>
      </w:r>
      <w:r w:rsidR="00974BCF">
        <w:rPr>
          <w:szCs w:val="21"/>
        </w:rPr>
        <w:t>...............</w:t>
      </w:r>
      <w:r w:rsidRPr="0004223F">
        <w:rPr>
          <w:szCs w:val="21"/>
        </w:rPr>
        <w:t>......... 9</w:t>
      </w:r>
      <w:r>
        <w:rPr>
          <w:szCs w:val="21"/>
        </w:rPr>
        <w:t>62</w:t>
      </w:r>
      <w:r w:rsidRPr="0004223F">
        <w:rPr>
          <w:szCs w:val="21"/>
        </w:rPr>
        <w:br/>
        <w:t>18.21 Fungibilidade entre BPC e benefícios por incapacidade ..........</w:t>
      </w:r>
      <w:r w:rsidR="00974BCF">
        <w:rPr>
          <w:szCs w:val="21"/>
        </w:rPr>
        <w:t>...............</w:t>
      </w:r>
      <w:r w:rsidRPr="0004223F">
        <w:rPr>
          <w:szCs w:val="21"/>
        </w:rPr>
        <w:t>... 9</w:t>
      </w:r>
      <w:r>
        <w:rPr>
          <w:szCs w:val="21"/>
        </w:rPr>
        <w:t>6</w:t>
      </w:r>
      <w:r w:rsidRPr="0004223F">
        <w:rPr>
          <w:szCs w:val="21"/>
        </w:rPr>
        <w:t>4</w:t>
      </w:r>
      <w:r w:rsidRPr="0004223F">
        <w:rPr>
          <w:szCs w:val="21"/>
        </w:rPr>
        <w:br/>
        <w:t>18.22 Auxílio-inclusão ....................................................................</w:t>
      </w:r>
      <w:r w:rsidR="00974BCF">
        <w:rPr>
          <w:szCs w:val="21"/>
        </w:rPr>
        <w:t>...............</w:t>
      </w:r>
      <w:r w:rsidRPr="0004223F">
        <w:rPr>
          <w:szCs w:val="21"/>
        </w:rPr>
        <w:t>....... 9</w:t>
      </w:r>
      <w:r>
        <w:rPr>
          <w:szCs w:val="21"/>
        </w:rPr>
        <w:t>6</w:t>
      </w:r>
      <w:r w:rsidRPr="0004223F">
        <w:rPr>
          <w:szCs w:val="21"/>
        </w:rPr>
        <w:t>6</w:t>
      </w:r>
      <w:r w:rsidRPr="0004223F">
        <w:rPr>
          <w:szCs w:val="21"/>
        </w:rPr>
        <w:br/>
        <w:t>18.23 Revisão e cessação do BPC .....................................</w:t>
      </w:r>
      <w:r w:rsidR="00974BCF">
        <w:rPr>
          <w:szCs w:val="21"/>
        </w:rPr>
        <w:t>.................</w:t>
      </w:r>
      <w:r w:rsidRPr="0004223F">
        <w:rPr>
          <w:szCs w:val="21"/>
        </w:rPr>
        <w:t>.................... 9</w:t>
      </w:r>
      <w:r>
        <w:rPr>
          <w:szCs w:val="21"/>
        </w:rPr>
        <w:t>67</w:t>
      </w:r>
      <w:r w:rsidRPr="0004223F">
        <w:rPr>
          <w:szCs w:val="21"/>
        </w:rPr>
        <w:br/>
        <w:t>18.24 BPC e trabalho: suspensão e retomada ...................</w:t>
      </w:r>
      <w:r w:rsidR="00974BCF">
        <w:rPr>
          <w:szCs w:val="21"/>
        </w:rPr>
        <w:t>................</w:t>
      </w:r>
      <w:r w:rsidRPr="0004223F">
        <w:rPr>
          <w:szCs w:val="21"/>
        </w:rPr>
        <w:t>.................... 9</w:t>
      </w:r>
      <w:r>
        <w:rPr>
          <w:szCs w:val="21"/>
        </w:rPr>
        <w:t>69</w:t>
      </w:r>
      <w:r w:rsidRPr="0004223F">
        <w:rPr>
          <w:szCs w:val="21"/>
        </w:rPr>
        <w:br/>
        <w:t>18.25 Aspectos procedimentais nos JEFs ....................................</w:t>
      </w:r>
      <w:r w:rsidR="00974BCF">
        <w:rPr>
          <w:szCs w:val="21"/>
        </w:rPr>
        <w:t>...............</w:t>
      </w:r>
      <w:r w:rsidRPr="0004223F">
        <w:rPr>
          <w:szCs w:val="21"/>
        </w:rPr>
        <w:t>.......... 9</w:t>
      </w:r>
      <w:r>
        <w:rPr>
          <w:szCs w:val="21"/>
        </w:rPr>
        <w:t>70</w:t>
      </w:r>
      <w:r w:rsidRPr="0004223F">
        <w:rPr>
          <w:szCs w:val="21"/>
        </w:rPr>
        <w:br/>
        <w:t>18.26 Data de início do benefício (DIB) e efeitos financeiros ......</w:t>
      </w:r>
      <w:r w:rsidR="00974BCF">
        <w:rPr>
          <w:szCs w:val="21"/>
        </w:rPr>
        <w:t>................</w:t>
      </w:r>
      <w:r w:rsidRPr="0004223F">
        <w:rPr>
          <w:szCs w:val="21"/>
        </w:rPr>
        <w:t>........ 9</w:t>
      </w:r>
      <w:r>
        <w:rPr>
          <w:szCs w:val="21"/>
        </w:rPr>
        <w:t>73</w:t>
      </w:r>
      <w:r w:rsidRPr="0004223F">
        <w:rPr>
          <w:szCs w:val="21"/>
        </w:rPr>
        <w:br/>
        <w:t xml:space="preserve">18.27 Legislação recente: impactos das Leis n. 14.176/2021, n. 15.077/2024 e n. </w:t>
      </w:r>
      <w:r w:rsidRPr="0004223F">
        <w:rPr>
          <w:szCs w:val="21"/>
        </w:rPr>
        <w:lastRenderedPageBreak/>
        <w:t>15.226/2025 ..................................</w:t>
      </w:r>
      <w:r w:rsidR="00974BCF">
        <w:rPr>
          <w:szCs w:val="21"/>
        </w:rPr>
        <w:t>................................................</w:t>
      </w:r>
      <w:r w:rsidRPr="0004223F">
        <w:rPr>
          <w:szCs w:val="21"/>
        </w:rPr>
        <w:t>....................... 9</w:t>
      </w:r>
      <w:r>
        <w:rPr>
          <w:szCs w:val="21"/>
        </w:rPr>
        <w:t>74</w:t>
      </w:r>
      <w:r w:rsidRPr="0004223F">
        <w:rPr>
          <w:szCs w:val="21"/>
        </w:rPr>
        <w:br/>
        <w:t>18.28 Avaliação biopsicossocial unificada: perspectivas .........</w:t>
      </w:r>
      <w:r w:rsidR="00A9042C">
        <w:rPr>
          <w:szCs w:val="21"/>
        </w:rPr>
        <w:t>.................</w:t>
      </w:r>
      <w:r w:rsidRPr="0004223F">
        <w:rPr>
          <w:szCs w:val="21"/>
        </w:rPr>
        <w:t>............ 9</w:t>
      </w:r>
      <w:r>
        <w:rPr>
          <w:szCs w:val="21"/>
        </w:rPr>
        <w:t>76</w:t>
      </w:r>
      <w:r w:rsidRPr="0004223F">
        <w:rPr>
          <w:szCs w:val="21"/>
        </w:rPr>
        <w:br/>
        <w:t>18.29 BPC e situações especiais ....................................</w:t>
      </w:r>
      <w:r w:rsidR="00A9042C">
        <w:rPr>
          <w:szCs w:val="21"/>
        </w:rPr>
        <w:t>.................</w:t>
      </w:r>
      <w:r w:rsidRPr="0004223F">
        <w:rPr>
          <w:szCs w:val="21"/>
        </w:rPr>
        <w:t>....................... 9</w:t>
      </w:r>
      <w:r>
        <w:rPr>
          <w:szCs w:val="21"/>
        </w:rPr>
        <w:t>77</w:t>
      </w:r>
      <w:r w:rsidRPr="0004223F">
        <w:rPr>
          <w:szCs w:val="21"/>
        </w:rPr>
        <w:br/>
        <w:t>18.30 Questões processuais específicas do BPC nos JEFs .........</w:t>
      </w:r>
      <w:r w:rsidR="00A9042C">
        <w:rPr>
          <w:szCs w:val="21"/>
        </w:rPr>
        <w:t>.................</w:t>
      </w:r>
      <w:r w:rsidRPr="0004223F">
        <w:rPr>
          <w:szCs w:val="21"/>
        </w:rPr>
        <w:t>.......... 9</w:t>
      </w:r>
      <w:r>
        <w:rPr>
          <w:szCs w:val="21"/>
        </w:rPr>
        <w:t>81</w:t>
      </w:r>
      <w:r w:rsidRPr="0004223F">
        <w:rPr>
          <w:szCs w:val="21"/>
        </w:rPr>
        <w:br/>
        <w:t>18.31 Intertemporalidade e direito adquirido no BPC ............</w:t>
      </w:r>
      <w:r w:rsidR="00A9042C">
        <w:rPr>
          <w:szCs w:val="21"/>
        </w:rPr>
        <w:t>..............</w:t>
      </w:r>
      <w:r w:rsidRPr="0004223F">
        <w:rPr>
          <w:szCs w:val="21"/>
        </w:rPr>
        <w:t>.............. 9</w:t>
      </w:r>
      <w:r>
        <w:rPr>
          <w:szCs w:val="21"/>
        </w:rPr>
        <w:t>82</w:t>
      </w:r>
      <w:r w:rsidRPr="0004223F">
        <w:rPr>
          <w:szCs w:val="21"/>
        </w:rPr>
        <w:br/>
        <w:t>18.32 Peculiaridades da prova pericial em transtornos mentais e deficiência intelectual ....</w:t>
      </w:r>
      <w:r w:rsidR="00A9042C">
        <w:rPr>
          <w:szCs w:val="21"/>
        </w:rPr>
        <w:t>...........................................................................................................</w:t>
      </w:r>
      <w:r w:rsidRPr="0004223F">
        <w:rPr>
          <w:szCs w:val="21"/>
        </w:rPr>
        <w:t>.......... 9</w:t>
      </w:r>
      <w:r>
        <w:rPr>
          <w:szCs w:val="21"/>
        </w:rPr>
        <w:t>83</w:t>
      </w:r>
      <w:r w:rsidRPr="0004223F">
        <w:rPr>
          <w:szCs w:val="21"/>
        </w:rPr>
        <w:br/>
        <w:t>18.33 BPC e pessoa em situação de rua ..........................</w:t>
      </w:r>
      <w:r w:rsidR="00A9042C">
        <w:rPr>
          <w:szCs w:val="21"/>
        </w:rPr>
        <w:t>...................</w:t>
      </w:r>
      <w:r w:rsidRPr="0004223F">
        <w:rPr>
          <w:szCs w:val="21"/>
        </w:rPr>
        <w:t xml:space="preserve">.................... </w:t>
      </w:r>
      <w:r>
        <w:rPr>
          <w:szCs w:val="21"/>
        </w:rPr>
        <w:t>985</w:t>
      </w:r>
      <w:r w:rsidRPr="0004223F">
        <w:rPr>
          <w:szCs w:val="21"/>
        </w:rPr>
        <w:br/>
        <w:t>18.34 BPC e pessoas com doenças raras ......................</w:t>
      </w:r>
      <w:r w:rsidR="00A9042C">
        <w:rPr>
          <w:szCs w:val="21"/>
        </w:rPr>
        <w:t>...................</w:t>
      </w:r>
      <w:r w:rsidRPr="0004223F">
        <w:rPr>
          <w:szCs w:val="21"/>
        </w:rPr>
        <w:t xml:space="preserve">....................... </w:t>
      </w:r>
      <w:r>
        <w:rPr>
          <w:szCs w:val="21"/>
        </w:rPr>
        <w:t>986</w:t>
      </w:r>
      <w:r w:rsidRPr="0004223F">
        <w:rPr>
          <w:szCs w:val="21"/>
        </w:rPr>
        <w:br/>
        <w:t>18.35 BPC e indeferimento administrativo: causas recorrentes e estratégias de impugnação ...................................................</w:t>
      </w:r>
      <w:r w:rsidR="00A9042C">
        <w:rPr>
          <w:szCs w:val="21"/>
        </w:rPr>
        <w:t>............................................</w:t>
      </w:r>
      <w:r w:rsidRPr="0004223F">
        <w:rPr>
          <w:szCs w:val="21"/>
        </w:rPr>
        <w:t xml:space="preserve">................ </w:t>
      </w:r>
      <w:r>
        <w:rPr>
          <w:szCs w:val="21"/>
        </w:rPr>
        <w:t>987</w:t>
      </w:r>
      <w:r w:rsidRPr="0004223F">
        <w:rPr>
          <w:szCs w:val="21"/>
        </w:rPr>
        <w:br/>
        <w:t>18.36 Consolidação das posições adotadas .............</w:t>
      </w:r>
      <w:r w:rsidR="00A9042C">
        <w:rPr>
          <w:szCs w:val="21"/>
        </w:rPr>
        <w:t>.................</w:t>
      </w:r>
      <w:r w:rsidRPr="0004223F">
        <w:rPr>
          <w:szCs w:val="21"/>
        </w:rPr>
        <w:t xml:space="preserve">............................ </w:t>
      </w:r>
      <w:r>
        <w:rPr>
          <w:szCs w:val="21"/>
        </w:rPr>
        <w:t>989</w:t>
      </w:r>
      <w:r w:rsidRPr="00E56701">
        <w:rPr>
          <w:szCs w:val="21"/>
        </w:rPr>
        <w:br/>
        <w:t xml:space="preserve">Capítulo 19 — Pensão por Morte ........................................................................ </w:t>
      </w:r>
      <w:r>
        <w:rPr>
          <w:szCs w:val="21"/>
        </w:rPr>
        <w:t>99</w:t>
      </w:r>
      <w:r w:rsidRPr="00E56701">
        <w:rPr>
          <w:szCs w:val="21"/>
        </w:rPr>
        <w:t>2</w:t>
      </w:r>
    </w:p>
    <w:p w14:paraId="64495846" w14:textId="7E6486E3" w:rsidR="003A005E" w:rsidRDefault="003A005E" w:rsidP="00FA68CF">
      <w:pPr>
        <w:keepNext/>
        <w:pBdr>
          <w:bottom w:val="single" w:sz="8" w:space="4" w:color="B89B5E"/>
        </w:pBdr>
        <w:spacing w:after="0" w:line="240" w:lineRule="auto"/>
        <w:ind w:right="-171"/>
        <w:rPr>
          <w:bCs/>
          <w:szCs w:val="21"/>
        </w:rPr>
      </w:pPr>
      <w:r w:rsidRPr="002D0E2D">
        <w:rPr>
          <w:bCs/>
          <w:szCs w:val="21"/>
        </w:rPr>
        <w:t>19.1 Fundamento constitucional e natureza jurídica .......</w:t>
      </w:r>
      <w:r w:rsidR="00140B6A">
        <w:rPr>
          <w:bCs/>
          <w:szCs w:val="21"/>
        </w:rPr>
        <w:t>...................</w:t>
      </w:r>
      <w:r w:rsidRPr="002D0E2D">
        <w:rPr>
          <w:bCs/>
          <w:szCs w:val="21"/>
        </w:rPr>
        <w:t xml:space="preserve">................. </w:t>
      </w:r>
      <w:r w:rsidRPr="000B746C">
        <w:rPr>
          <w:bCs/>
          <w:szCs w:val="21"/>
        </w:rPr>
        <w:t>993</w:t>
      </w:r>
      <w:r w:rsidRPr="002D0E2D">
        <w:rPr>
          <w:bCs/>
          <w:szCs w:val="21"/>
        </w:rPr>
        <w:br/>
        <w:t>19.2 Evolução legislativa .....................................................</w:t>
      </w:r>
      <w:r w:rsidR="00140B6A">
        <w:rPr>
          <w:bCs/>
          <w:szCs w:val="21"/>
        </w:rPr>
        <w:t>...................</w:t>
      </w:r>
      <w:r w:rsidRPr="002D0E2D">
        <w:rPr>
          <w:bCs/>
          <w:szCs w:val="21"/>
        </w:rPr>
        <w:t>............... 99</w:t>
      </w:r>
      <w:r>
        <w:rPr>
          <w:bCs/>
          <w:szCs w:val="21"/>
        </w:rPr>
        <w:t>4</w:t>
      </w:r>
      <w:r w:rsidRPr="002D0E2D">
        <w:rPr>
          <w:bCs/>
          <w:szCs w:val="21"/>
        </w:rPr>
        <w:br/>
        <w:t>19.3 Fato gerador: morte real e morte presumida ............</w:t>
      </w:r>
      <w:r w:rsidR="00140B6A">
        <w:rPr>
          <w:bCs/>
          <w:szCs w:val="21"/>
        </w:rPr>
        <w:t>......................</w:t>
      </w:r>
      <w:r w:rsidRPr="002D0E2D">
        <w:rPr>
          <w:bCs/>
          <w:szCs w:val="21"/>
        </w:rPr>
        <w:t>............... 995</w:t>
      </w:r>
      <w:r w:rsidRPr="002D0E2D">
        <w:rPr>
          <w:bCs/>
          <w:szCs w:val="21"/>
        </w:rPr>
        <w:br/>
        <w:t>19.4 Requisitos para concessão: visão geral .......................</w:t>
      </w:r>
      <w:r w:rsidR="00140B6A">
        <w:rPr>
          <w:bCs/>
          <w:szCs w:val="21"/>
        </w:rPr>
        <w:t>.....................</w:t>
      </w:r>
      <w:r w:rsidRPr="002D0E2D">
        <w:rPr>
          <w:bCs/>
          <w:szCs w:val="21"/>
        </w:rPr>
        <w:t>.............. 99</w:t>
      </w:r>
      <w:r>
        <w:rPr>
          <w:bCs/>
          <w:szCs w:val="21"/>
        </w:rPr>
        <w:t>6</w:t>
      </w:r>
      <w:r w:rsidRPr="002D0E2D">
        <w:rPr>
          <w:bCs/>
          <w:szCs w:val="21"/>
        </w:rPr>
        <w:br/>
        <w:t>19.5 Qualidade de segurado do instituidor .............................</w:t>
      </w:r>
      <w:r w:rsidR="00140B6A">
        <w:rPr>
          <w:bCs/>
          <w:szCs w:val="21"/>
        </w:rPr>
        <w:t>...................</w:t>
      </w:r>
      <w:r w:rsidRPr="002D0E2D">
        <w:rPr>
          <w:bCs/>
          <w:szCs w:val="21"/>
        </w:rPr>
        <w:t>.......... 99</w:t>
      </w:r>
      <w:r>
        <w:rPr>
          <w:bCs/>
          <w:szCs w:val="21"/>
        </w:rPr>
        <w:t>7</w:t>
      </w:r>
      <w:r w:rsidRPr="002D0E2D">
        <w:rPr>
          <w:bCs/>
          <w:szCs w:val="21"/>
        </w:rPr>
        <w:br/>
        <w:t>19.6 Carência: dispensa e exceções ..................................</w:t>
      </w:r>
      <w:r w:rsidR="00140B6A">
        <w:rPr>
          <w:bCs/>
          <w:szCs w:val="21"/>
        </w:rPr>
        <w:t>.......................</w:t>
      </w:r>
      <w:r w:rsidRPr="002D0E2D">
        <w:rPr>
          <w:bCs/>
          <w:szCs w:val="21"/>
        </w:rPr>
        <w:t xml:space="preserve">.............. </w:t>
      </w:r>
      <w:r>
        <w:rPr>
          <w:bCs/>
          <w:szCs w:val="21"/>
        </w:rPr>
        <w:t>998</w:t>
      </w:r>
      <w:r w:rsidRPr="002D0E2D">
        <w:rPr>
          <w:bCs/>
          <w:szCs w:val="21"/>
        </w:rPr>
        <w:br/>
        <w:t>19.7 Dependentes: rol e classes .......................................</w:t>
      </w:r>
      <w:r w:rsidR="00140B6A">
        <w:rPr>
          <w:bCs/>
          <w:szCs w:val="21"/>
        </w:rPr>
        <w:t>......................</w:t>
      </w:r>
      <w:r w:rsidRPr="002D0E2D">
        <w:rPr>
          <w:bCs/>
          <w:szCs w:val="21"/>
        </w:rPr>
        <w:t xml:space="preserve">................ </w:t>
      </w:r>
      <w:r>
        <w:rPr>
          <w:bCs/>
          <w:szCs w:val="21"/>
        </w:rPr>
        <w:t>999</w:t>
      </w:r>
      <w:r w:rsidRPr="002D0E2D">
        <w:rPr>
          <w:bCs/>
          <w:szCs w:val="21"/>
        </w:rPr>
        <w:br/>
        <w:t>19.8 Dependentes de primeira classe: cônjuge e companheiro(a) ...</w:t>
      </w:r>
      <w:r w:rsidR="00140B6A">
        <w:rPr>
          <w:bCs/>
          <w:szCs w:val="21"/>
        </w:rPr>
        <w:t>..................</w:t>
      </w:r>
      <w:r w:rsidRPr="002D0E2D">
        <w:rPr>
          <w:bCs/>
          <w:szCs w:val="21"/>
        </w:rPr>
        <w:t>. 100</w:t>
      </w:r>
      <w:r>
        <w:rPr>
          <w:bCs/>
          <w:szCs w:val="21"/>
        </w:rPr>
        <w:t>0</w:t>
      </w:r>
      <w:r w:rsidRPr="002D0E2D">
        <w:rPr>
          <w:bCs/>
          <w:szCs w:val="21"/>
        </w:rPr>
        <w:br/>
        <w:t>19.9 Dependentes de primeira classe: filhos .........................</w:t>
      </w:r>
      <w:r w:rsidR="00140B6A">
        <w:rPr>
          <w:bCs/>
          <w:szCs w:val="21"/>
        </w:rPr>
        <w:t>..................</w:t>
      </w:r>
      <w:r w:rsidRPr="002D0E2D">
        <w:rPr>
          <w:bCs/>
          <w:szCs w:val="21"/>
        </w:rPr>
        <w:t>............ 100</w:t>
      </w:r>
      <w:r>
        <w:rPr>
          <w:bCs/>
          <w:szCs w:val="21"/>
        </w:rPr>
        <w:t>2</w:t>
      </w:r>
      <w:r w:rsidRPr="002D0E2D">
        <w:rPr>
          <w:bCs/>
          <w:szCs w:val="21"/>
        </w:rPr>
        <w:br/>
        <w:t>19.10 Dependentes de segunda e terceira classes ................</w:t>
      </w:r>
      <w:r w:rsidR="00140B6A">
        <w:rPr>
          <w:bCs/>
          <w:szCs w:val="21"/>
        </w:rPr>
        <w:t>....................</w:t>
      </w:r>
      <w:r w:rsidRPr="002D0E2D">
        <w:rPr>
          <w:bCs/>
          <w:szCs w:val="21"/>
        </w:rPr>
        <w:t>............ 100</w:t>
      </w:r>
      <w:r>
        <w:rPr>
          <w:bCs/>
          <w:szCs w:val="21"/>
        </w:rPr>
        <w:t>3</w:t>
      </w:r>
      <w:r w:rsidRPr="002D0E2D">
        <w:rPr>
          <w:bCs/>
          <w:szCs w:val="21"/>
        </w:rPr>
        <w:br/>
        <w:t>19.11 Equiparados a filho: enteado e menor tutelado ..........</w:t>
      </w:r>
      <w:r w:rsidR="00140B6A">
        <w:rPr>
          <w:bCs/>
          <w:szCs w:val="21"/>
        </w:rPr>
        <w:t>..................</w:t>
      </w:r>
      <w:r w:rsidRPr="002D0E2D">
        <w:rPr>
          <w:bCs/>
          <w:szCs w:val="21"/>
        </w:rPr>
        <w:t>............ 100</w:t>
      </w:r>
      <w:r>
        <w:rPr>
          <w:bCs/>
          <w:szCs w:val="21"/>
        </w:rPr>
        <w:t>5</w:t>
      </w:r>
      <w:r w:rsidRPr="002D0E2D">
        <w:rPr>
          <w:bCs/>
          <w:szCs w:val="21"/>
        </w:rPr>
        <w:br/>
        <w:t>19.12 Menor sob guarda: controvérsia constitucional .............</w:t>
      </w:r>
      <w:r w:rsidR="00140B6A">
        <w:rPr>
          <w:bCs/>
          <w:szCs w:val="21"/>
        </w:rPr>
        <w:t>................</w:t>
      </w:r>
      <w:r w:rsidRPr="002D0E2D">
        <w:rPr>
          <w:bCs/>
          <w:szCs w:val="21"/>
        </w:rPr>
        <w:t>......... 100</w:t>
      </w:r>
      <w:r>
        <w:rPr>
          <w:bCs/>
          <w:szCs w:val="21"/>
        </w:rPr>
        <w:t>6</w:t>
      </w:r>
      <w:r w:rsidRPr="002D0E2D">
        <w:rPr>
          <w:bCs/>
          <w:szCs w:val="21"/>
        </w:rPr>
        <w:br/>
        <w:t>19.13 Comprovação da união estável para fins previdenciários ....</w:t>
      </w:r>
      <w:r w:rsidR="00140B6A">
        <w:rPr>
          <w:bCs/>
          <w:szCs w:val="21"/>
        </w:rPr>
        <w:t>................</w:t>
      </w:r>
      <w:r w:rsidRPr="002D0E2D">
        <w:rPr>
          <w:bCs/>
          <w:szCs w:val="21"/>
        </w:rPr>
        <w:t>.... 10</w:t>
      </w:r>
      <w:r>
        <w:rPr>
          <w:bCs/>
          <w:szCs w:val="21"/>
        </w:rPr>
        <w:t>09</w:t>
      </w:r>
      <w:r w:rsidRPr="002D0E2D">
        <w:rPr>
          <w:bCs/>
          <w:szCs w:val="21"/>
        </w:rPr>
        <w:br/>
        <w:t>19.14 Prova da dependência econômica ...............................</w:t>
      </w:r>
      <w:r w:rsidR="00FA68CF">
        <w:rPr>
          <w:bCs/>
          <w:szCs w:val="21"/>
        </w:rPr>
        <w:t>.................</w:t>
      </w:r>
      <w:r w:rsidRPr="002D0E2D">
        <w:rPr>
          <w:bCs/>
          <w:szCs w:val="21"/>
        </w:rPr>
        <w:t>............ 101</w:t>
      </w:r>
      <w:r>
        <w:rPr>
          <w:bCs/>
          <w:szCs w:val="21"/>
        </w:rPr>
        <w:t>0</w:t>
      </w:r>
      <w:r w:rsidRPr="002D0E2D">
        <w:rPr>
          <w:bCs/>
          <w:szCs w:val="21"/>
        </w:rPr>
        <w:br/>
        <w:t>19.15 Pensão por morte ao ex-cônjuge .................................</w:t>
      </w:r>
      <w:r w:rsidR="00FA68CF">
        <w:rPr>
          <w:bCs/>
          <w:szCs w:val="21"/>
        </w:rPr>
        <w:t>..................</w:t>
      </w:r>
      <w:r w:rsidRPr="002D0E2D">
        <w:rPr>
          <w:bCs/>
          <w:szCs w:val="21"/>
        </w:rPr>
        <w:t>............ 101</w:t>
      </w:r>
      <w:r>
        <w:rPr>
          <w:bCs/>
          <w:szCs w:val="21"/>
        </w:rPr>
        <w:t>2</w:t>
      </w:r>
      <w:r w:rsidRPr="002D0E2D">
        <w:rPr>
          <w:bCs/>
          <w:szCs w:val="21"/>
        </w:rPr>
        <w:br/>
        <w:t>19.16 Concorrência entre cônjuge e companheiro(a) ..................</w:t>
      </w:r>
      <w:r w:rsidR="00FA68CF">
        <w:rPr>
          <w:bCs/>
          <w:szCs w:val="21"/>
        </w:rPr>
        <w:t>................</w:t>
      </w:r>
      <w:r w:rsidRPr="002D0E2D">
        <w:rPr>
          <w:bCs/>
          <w:szCs w:val="21"/>
        </w:rPr>
        <w:t>..... 101</w:t>
      </w:r>
      <w:r>
        <w:rPr>
          <w:bCs/>
          <w:szCs w:val="21"/>
        </w:rPr>
        <w:t>3</w:t>
      </w:r>
      <w:r w:rsidRPr="002D0E2D">
        <w:rPr>
          <w:bCs/>
          <w:szCs w:val="21"/>
        </w:rPr>
        <w:br/>
        <w:t>19.17 Uniões estáveis simultâneas: vedação constitucional .......</w:t>
      </w:r>
      <w:r w:rsidR="00FA68CF">
        <w:rPr>
          <w:bCs/>
          <w:szCs w:val="21"/>
        </w:rPr>
        <w:t>.................</w:t>
      </w:r>
      <w:r w:rsidRPr="002D0E2D">
        <w:rPr>
          <w:bCs/>
          <w:szCs w:val="21"/>
        </w:rPr>
        <w:t>....... 10</w:t>
      </w:r>
      <w:r>
        <w:rPr>
          <w:bCs/>
          <w:szCs w:val="21"/>
        </w:rPr>
        <w:t>14</w:t>
      </w:r>
      <w:r w:rsidRPr="002D0E2D">
        <w:rPr>
          <w:bCs/>
          <w:szCs w:val="21"/>
        </w:rPr>
        <w:br/>
        <w:t>19.18 Pensão por morte e união homoafetiva .......................</w:t>
      </w:r>
      <w:r w:rsidR="00FA68CF">
        <w:rPr>
          <w:bCs/>
          <w:szCs w:val="21"/>
        </w:rPr>
        <w:t>.................</w:t>
      </w:r>
      <w:r w:rsidRPr="002D0E2D">
        <w:rPr>
          <w:bCs/>
          <w:szCs w:val="21"/>
        </w:rPr>
        <w:t>............ 10</w:t>
      </w:r>
      <w:r>
        <w:rPr>
          <w:bCs/>
          <w:szCs w:val="21"/>
        </w:rPr>
        <w:t>16</w:t>
      </w:r>
      <w:r w:rsidRPr="002D0E2D">
        <w:rPr>
          <w:bCs/>
          <w:szCs w:val="21"/>
        </w:rPr>
        <w:br/>
        <w:t>19.19 Cálculo da pensão por morte: regime anterior à EC 103/2019 .........</w:t>
      </w:r>
      <w:r w:rsidR="00FA68CF">
        <w:rPr>
          <w:bCs/>
          <w:szCs w:val="21"/>
        </w:rPr>
        <w:t>.</w:t>
      </w:r>
      <w:r w:rsidRPr="002D0E2D">
        <w:rPr>
          <w:bCs/>
          <w:szCs w:val="21"/>
        </w:rPr>
        <w:t>..... 10</w:t>
      </w:r>
      <w:r>
        <w:rPr>
          <w:bCs/>
          <w:szCs w:val="21"/>
        </w:rPr>
        <w:t>17</w:t>
      </w:r>
      <w:r w:rsidRPr="002D0E2D">
        <w:rPr>
          <w:bCs/>
          <w:szCs w:val="21"/>
        </w:rPr>
        <w:br/>
        <w:t>19.20 Cálculo da pensão por morte: regime da EC 103/2019 .....</w:t>
      </w:r>
      <w:r w:rsidR="00FA68CF">
        <w:rPr>
          <w:bCs/>
          <w:szCs w:val="21"/>
        </w:rPr>
        <w:t>..................</w:t>
      </w:r>
      <w:r w:rsidRPr="002D0E2D">
        <w:rPr>
          <w:bCs/>
          <w:szCs w:val="21"/>
        </w:rPr>
        <w:t>.... 10</w:t>
      </w:r>
      <w:r>
        <w:rPr>
          <w:bCs/>
          <w:szCs w:val="21"/>
        </w:rPr>
        <w:t>18</w:t>
      </w:r>
      <w:r w:rsidRPr="002D0E2D">
        <w:rPr>
          <w:bCs/>
          <w:szCs w:val="21"/>
        </w:rPr>
        <w:br/>
        <w:t>19.21 Cota-parte e não reversibilidade ....................................</w:t>
      </w:r>
      <w:r w:rsidR="00FA68CF">
        <w:rPr>
          <w:bCs/>
          <w:szCs w:val="21"/>
        </w:rPr>
        <w:t>..................</w:t>
      </w:r>
      <w:r w:rsidRPr="002D0E2D">
        <w:rPr>
          <w:bCs/>
          <w:szCs w:val="21"/>
        </w:rPr>
        <w:t>......... 10</w:t>
      </w:r>
      <w:r>
        <w:rPr>
          <w:bCs/>
          <w:szCs w:val="21"/>
        </w:rPr>
        <w:t>19</w:t>
      </w:r>
      <w:r w:rsidRPr="002D0E2D">
        <w:rPr>
          <w:bCs/>
          <w:szCs w:val="21"/>
        </w:rPr>
        <w:br/>
        <w:t>19.22 Piso da pensão por morte: garantia do salário-mínimo ......</w:t>
      </w:r>
      <w:r w:rsidR="00FA68CF">
        <w:rPr>
          <w:bCs/>
          <w:szCs w:val="21"/>
        </w:rPr>
        <w:t>..................</w:t>
      </w:r>
      <w:r w:rsidRPr="002D0E2D">
        <w:rPr>
          <w:bCs/>
          <w:szCs w:val="21"/>
        </w:rPr>
        <w:t>.... 102</w:t>
      </w:r>
      <w:r>
        <w:rPr>
          <w:bCs/>
          <w:szCs w:val="21"/>
        </w:rPr>
        <w:t>0</w:t>
      </w:r>
      <w:r w:rsidRPr="002D0E2D">
        <w:rPr>
          <w:bCs/>
          <w:szCs w:val="21"/>
        </w:rPr>
        <w:br/>
        <w:t>19.23 Duração da pensão por morte para cônjuge ou companheiro(a) ............ 102</w:t>
      </w:r>
      <w:r>
        <w:rPr>
          <w:bCs/>
          <w:szCs w:val="21"/>
        </w:rPr>
        <w:t>1</w:t>
      </w:r>
      <w:r w:rsidRPr="002D0E2D">
        <w:rPr>
          <w:bCs/>
          <w:szCs w:val="21"/>
        </w:rPr>
        <w:br/>
      </w:r>
      <w:r w:rsidRPr="002D0E2D">
        <w:rPr>
          <w:bCs/>
          <w:szCs w:val="21"/>
        </w:rPr>
        <w:lastRenderedPageBreak/>
        <w:t>19.24 Duração para filhos e demais dependentes .............</w:t>
      </w:r>
      <w:r w:rsidR="00FA68CF">
        <w:rPr>
          <w:bCs/>
          <w:szCs w:val="21"/>
        </w:rPr>
        <w:t>................</w:t>
      </w:r>
      <w:r w:rsidRPr="002D0E2D">
        <w:rPr>
          <w:bCs/>
          <w:szCs w:val="21"/>
        </w:rPr>
        <w:t>.................. 10</w:t>
      </w:r>
      <w:r>
        <w:rPr>
          <w:bCs/>
          <w:szCs w:val="21"/>
        </w:rPr>
        <w:t>23</w:t>
      </w:r>
      <w:r w:rsidRPr="002D0E2D">
        <w:rPr>
          <w:bCs/>
          <w:szCs w:val="21"/>
        </w:rPr>
        <w:br/>
        <w:t>19.25 Cessação e perda do direito à pensão .............................</w:t>
      </w:r>
      <w:r w:rsidR="00FA68CF">
        <w:rPr>
          <w:bCs/>
          <w:szCs w:val="21"/>
        </w:rPr>
        <w:t>...................</w:t>
      </w:r>
      <w:r w:rsidRPr="002D0E2D">
        <w:rPr>
          <w:bCs/>
          <w:szCs w:val="21"/>
        </w:rPr>
        <w:t>........ 10</w:t>
      </w:r>
      <w:r>
        <w:rPr>
          <w:bCs/>
          <w:szCs w:val="21"/>
        </w:rPr>
        <w:t>24</w:t>
      </w:r>
      <w:r w:rsidRPr="002D0E2D">
        <w:rPr>
          <w:bCs/>
          <w:szCs w:val="21"/>
        </w:rPr>
        <w:br/>
        <w:t>19.26 Pensão por morte e filho inválido ou com deficiência ......</w:t>
      </w:r>
      <w:r w:rsidR="00FA68CF">
        <w:rPr>
          <w:bCs/>
          <w:szCs w:val="21"/>
        </w:rPr>
        <w:t>...................</w:t>
      </w:r>
      <w:r w:rsidRPr="002D0E2D">
        <w:rPr>
          <w:bCs/>
          <w:szCs w:val="21"/>
        </w:rPr>
        <w:t>..... 10</w:t>
      </w:r>
      <w:r>
        <w:rPr>
          <w:bCs/>
          <w:szCs w:val="21"/>
        </w:rPr>
        <w:t>25</w:t>
      </w:r>
      <w:r w:rsidRPr="002D0E2D">
        <w:rPr>
          <w:bCs/>
          <w:szCs w:val="21"/>
        </w:rPr>
        <w:br/>
        <w:t>19.27 Data de início do benefício (DIB) e efeitos financeiros ....</w:t>
      </w:r>
      <w:r w:rsidR="00FA68CF">
        <w:rPr>
          <w:bCs/>
          <w:szCs w:val="21"/>
        </w:rPr>
        <w:t>...................</w:t>
      </w:r>
      <w:r w:rsidRPr="002D0E2D">
        <w:rPr>
          <w:bCs/>
          <w:szCs w:val="21"/>
        </w:rPr>
        <w:t>..... 10</w:t>
      </w:r>
      <w:r>
        <w:rPr>
          <w:bCs/>
          <w:szCs w:val="21"/>
        </w:rPr>
        <w:t>27</w:t>
      </w:r>
      <w:r w:rsidRPr="002D0E2D">
        <w:rPr>
          <w:bCs/>
          <w:szCs w:val="21"/>
        </w:rPr>
        <w:br/>
        <w:t>19.28 Habilitação tardia de dependentes ......................................</w:t>
      </w:r>
      <w:r w:rsidR="00FA68CF">
        <w:rPr>
          <w:bCs/>
          <w:szCs w:val="21"/>
        </w:rPr>
        <w:t>................</w:t>
      </w:r>
      <w:r w:rsidRPr="002D0E2D">
        <w:rPr>
          <w:bCs/>
          <w:szCs w:val="21"/>
        </w:rPr>
        <w:t>..... 10</w:t>
      </w:r>
      <w:r>
        <w:rPr>
          <w:bCs/>
          <w:szCs w:val="21"/>
        </w:rPr>
        <w:t>2</w:t>
      </w:r>
      <w:r w:rsidRPr="002D0E2D">
        <w:rPr>
          <w:bCs/>
          <w:szCs w:val="21"/>
        </w:rPr>
        <w:t>8</w:t>
      </w:r>
      <w:r w:rsidRPr="002D0E2D">
        <w:rPr>
          <w:bCs/>
          <w:szCs w:val="21"/>
        </w:rPr>
        <w:br/>
        <w:t>19.29 Acumulação de pensões por morte .............................</w:t>
      </w:r>
      <w:r w:rsidR="00FA68CF">
        <w:rPr>
          <w:bCs/>
          <w:szCs w:val="21"/>
        </w:rPr>
        <w:t>................</w:t>
      </w:r>
      <w:r w:rsidRPr="002D0E2D">
        <w:rPr>
          <w:bCs/>
          <w:szCs w:val="21"/>
        </w:rPr>
        <w:t>............. 10</w:t>
      </w:r>
      <w:r>
        <w:rPr>
          <w:bCs/>
          <w:szCs w:val="21"/>
        </w:rPr>
        <w:t>28</w:t>
      </w:r>
      <w:r w:rsidRPr="002D0E2D">
        <w:rPr>
          <w:bCs/>
          <w:szCs w:val="21"/>
        </w:rPr>
        <w:br/>
        <w:t>19.30 Acumulação de pensão por morte com aposentadoria ....</w:t>
      </w:r>
      <w:r w:rsidR="00FA68CF">
        <w:rPr>
          <w:bCs/>
          <w:szCs w:val="21"/>
        </w:rPr>
        <w:t>................</w:t>
      </w:r>
      <w:r w:rsidRPr="002D0E2D">
        <w:rPr>
          <w:bCs/>
          <w:szCs w:val="21"/>
        </w:rPr>
        <w:t>........ 10</w:t>
      </w:r>
      <w:r>
        <w:rPr>
          <w:bCs/>
          <w:szCs w:val="21"/>
        </w:rPr>
        <w:t>3</w:t>
      </w:r>
      <w:r w:rsidRPr="002D0E2D">
        <w:rPr>
          <w:bCs/>
          <w:szCs w:val="21"/>
        </w:rPr>
        <w:t>0</w:t>
      </w:r>
      <w:r w:rsidRPr="002D0E2D">
        <w:rPr>
          <w:bCs/>
          <w:szCs w:val="21"/>
        </w:rPr>
        <w:br/>
        <w:t>19.31 Regras de escalonamento na acumulação (art. 24, § 2º, EC 103) ............. 10</w:t>
      </w:r>
      <w:r>
        <w:rPr>
          <w:bCs/>
          <w:szCs w:val="21"/>
        </w:rPr>
        <w:t>31</w:t>
      </w:r>
      <w:r w:rsidRPr="002D0E2D">
        <w:rPr>
          <w:bCs/>
          <w:szCs w:val="21"/>
        </w:rPr>
        <w:br/>
        <w:t>19.32 Pensão por morte acidentária (B93) ..........</w:t>
      </w:r>
      <w:r w:rsidR="00FA68CF">
        <w:rPr>
          <w:bCs/>
          <w:szCs w:val="21"/>
        </w:rPr>
        <w:t>.................</w:t>
      </w:r>
      <w:r w:rsidRPr="002D0E2D">
        <w:rPr>
          <w:bCs/>
          <w:szCs w:val="21"/>
        </w:rPr>
        <w:t>.............................. 10</w:t>
      </w:r>
      <w:r>
        <w:rPr>
          <w:bCs/>
          <w:szCs w:val="21"/>
        </w:rPr>
        <w:t>31</w:t>
      </w:r>
      <w:r w:rsidRPr="002D0E2D">
        <w:rPr>
          <w:bCs/>
          <w:szCs w:val="21"/>
        </w:rPr>
        <w:br/>
        <w:t>19.33 Aspectos procedimentais nos JEFs ........................</w:t>
      </w:r>
      <w:r w:rsidR="00FA68CF">
        <w:rPr>
          <w:bCs/>
          <w:szCs w:val="21"/>
        </w:rPr>
        <w:t>................</w:t>
      </w:r>
      <w:r w:rsidRPr="002D0E2D">
        <w:rPr>
          <w:bCs/>
          <w:szCs w:val="21"/>
        </w:rPr>
        <w:t>................... 10</w:t>
      </w:r>
      <w:r>
        <w:rPr>
          <w:bCs/>
          <w:szCs w:val="21"/>
        </w:rPr>
        <w:t>33</w:t>
      </w:r>
      <w:r w:rsidRPr="002D0E2D">
        <w:rPr>
          <w:bCs/>
          <w:szCs w:val="21"/>
        </w:rPr>
        <w:br/>
        <w:t xml:space="preserve">19.34 Intertemporalidade: </w:t>
      </w:r>
      <w:r w:rsidRPr="002D0E2D">
        <w:rPr>
          <w:bCs/>
          <w:i/>
          <w:iCs/>
          <w:szCs w:val="21"/>
        </w:rPr>
        <w:t>tempus regit actum</w:t>
      </w:r>
      <w:r w:rsidRPr="002D0E2D">
        <w:rPr>
          <w:bCs/>
          <w:szCs w:val="21"/>
        </w:rPr>
        <w:t xml:space="preserve"> .............</w:t>
      </w:r>
      <w:r w:rsidR="00FA68CF">
        <w:rPr>
          <w:bCs/>
          <w:szCs w:val="21"/>
        </w:rPr>
        <w:t>...................</w:t>
      </w:r>
      <w:r w:rsidRPr="002D0E2D">
        <w:rPr>
          <w:bCs/>
          <w:szCs w:val="21"/>
        </w:rPr>
        <w:t>.................. 10</w:t>
      </w:r>
      <w:r>
        <w:rPr>
          <w:bCs/>
          <w:szCs w:val="21"/>
        </w:rPr>
        <w:t>34</w:t>
      </w:r>
      <w:r w:rsidRPr="002D0E2D">
        <w:rPr>
          <w:bCs/>
          <w:szCs w:val="21"/>
        </w:rPr>
        <w:br/>
        <w:t>19.35 Situações especiais ........................................................</w:t>
      </w:r>
      <w:r w:rsidR="00FA68CF">
        <w:rPr>
          <w:bCs/>
          <w:szCs w:val="21"/>
        </w:rPr>
        <w:t>................</w:t>
      </w:r>
      <w:r w:rsidRPr="002D0E2D">
        <w:rPr>
          <w:bCs/>
          <w:szCs w:val="21"/>
        </w:rPr>
        <w:t>............. 10</w:t>
      </w:r>
      <w:r>
        <w:rPr>
          <w:bCs/>
          <w:szCs w:val="21"/>
        </w:rPr>
        <w:t>36</w:t>
      </w:r>
      <w:r w:rsidRPr="002D0E2D">
        <w:rPr>
          <w:bCs/>
          <w:szCs w:val="21"/>
        </w:rPr>
        <w:br/>
        <w:t>19.36 Questões processuais específicas ............................</w:t>
      </w:r>
      <w:r w:rsidR="00FA68CF">
        <w:rPr>
          <w:bCs/>
          <w:szCs w:val="21"/>
        </w:rPr>
        <w:t>..................</w:t>
      </w:r>
      <w:r w:rsidRPr="002D0E2D">
        <w:rPr>
          <w:bCs/>
          <w:szCs w:val="21"/>
        </w:rPr>
        <w:t>................ 10</w:t>
      </w:r>
      <w:r>
        <w:rPr>
          <w:bCs/>
          <w:szCs w:val="21"/>
        </w:rPr>
        <w:t>39</w:t>
      </w:r>
      <w:r w:rsidRPr="002D0E2D">
        <w:rPr>
          <w:bCs/>
          <w:szCs w:val="21"/>
        </w:rPr>
        <w:br/>
        <w:t>19.37 Pensão por morte do segurado especial e do trabalhador rural ................ 10</w:t>
      </w:r>
      <w:r>
        <w:rPr>
          <w:bCs/>
          <w:szCs w:val="21"/>
        </w:rPr>
        <w:t>41</w:t>
      </w:r>
      <w:r w:rsidRPr="002D0E2D">
        <w:rPr>
          <w:bCs/>
          <w:szCs w:val="21"/>
        </w:rPr>
        <w:br/>
        <w:t>19.38 Pensão por morte e o microempreendedor individual (MEI) ................. 10</w:t>
      </w:r>
      <w:r>
        <w:rPr>
          <w:bCs/>
          <w:szCs w:val="21"/>
        </w:rPr>
        <w:t>43</w:t>
      </w:r>
      <w:r w:rsidRPr="002D0E2D">
        <w:rPr>
          <w:bCs/>
          <w:szCs w:val="21"/>
        </w:rPr>
        <w:br/>
      </w:r>
      <w:r w:rsidRPr="002D0E2D">
        <w:rPr>
          <w:bCs/>
          <w:szCs w:val="21"/>
        </w:rPr>
        <w:lastRenderedPageBreak/>
        <w:t>19.39 Tutela de urgência e implantação provisória nos JEFs ......</w:t>
      </w:r>
      <w:r w:rsidR="00414B2F">
        <w:rPr>
          <w:bCs/>
          <w:szCs w:val="21"/>
        </w:rPr>
        <w:t>..................</w:t>
      </w:r>
      <w:r w:rsidRPr="002D0E2D">
        <w:rPr>
          <w:bCs/>
          <w:szCs w:val="21"/>
        </w:rPr>
        <w:t>..... 10</w:t>
      </w:r>
      <w:r>
        <w:rPr>
          <w:bCs/>
          <w:szCs w:val="21"/>
        </w:rPr>
        <w:t>45</w:t>
      </w:r>
      <w:r w:rsidRPr="002D0E2D">
        <w:rPr>
          <w:bCs/>
          <w:szCs w:val="21"/>
        </w:rPr>
        <w:br/>
        <w:t>19.40 Prova da qualidade de segurado: estratégias processuais ..</w:t>
      </w:r>
      <w:r w:rsidR="00414B2F">
        <w:rPr>
          <w:bCs/>
          <w:szCs w:val="21"/>
        </w:rPr>
        <w:t>...................</w:t>
      </w:r>
      <w:r w:rsidRPr="002D0E2D">
        <w:rPr>
          <w:bCs/>
          <w:szCs w:val="21"/>
        </w:rPr>
        <w:t>..... 10</w:t>
      </w:r>
      <w:r>
        <w:rPr>
          <w:bCs/>
          <w:szCs w:val="21"/>
        </w:rPr>
        <w:t>46</w:t>
      </w:r>
    </w:p>
    <w:p w14:paraId="6CCC56FC" w14:textId="2FF90747" w:rsidR="003A005E" w:rsidRPr="002D0E2D" w:rsidRDefault="003A005E" w:rsidP="00FA68CF">
      <w:pPr>
        <w:keepNext/>
        <w:pBdr>
          <w:bottom w:val="single" w:sz="8" w:space="4" w:color="B89B5E"/>
        </w:pBdr>
        <w:spacing w:after="0" w:line="240" w:lineRule="auto"/>
        <w:ind w:right="-171"/>
        <w:rPr>
          <w:bCs/>
          <w:szCs w:val="21"/>
        </w:rPr>
      </w:pPr>
      <w:r w:rsidRPr="002D0E2D">
        <w:rPr>
          <w:bCs/>
          <w:szCs w:val="21"/>
        </w:rPr>
        <w:t>19.41 Exemplos práticos de cálculo ..............................</w:t>
      </w:r>
      <w:r w:rsidR="00414B2F">
        <w:rPr>
          <w:bCs/>
          <w:szCs w:val="21"/>
        </w:rPr>
        <w:t>.................</w:t>
      </w:r>
      <w:r w:rsidRPr="002D0E2D">
        <w:rPr>
          <w:bCs/>
          <w:szCs w:val="21"/>
        </w:rPr>
        <w:t>..................... 10</w:t>
      </w:r>
      <w:r>
        <w:rPr>
          <w:bCs/>
          <w:szCs w:val="21"/>
        </w:rPr>
        <w:t>47</w:t>
      </w:r>
      <w:r w:rsidRPr="002D0E2D">
        <w:rPr>
          <w:bCs/>
          <w:szCs w:val="21"/>
        </w:rPr>
        <w:br/>
        <w:t>19.42 Consolidação das posições adotadas .......................</w:t>
      </w:r>
      <w:r w:rsidR="00414B2F">
        <w:rPr>
          <w:bCs/>
          <w:szCs w:val="21"/>
        </w:rPr>
        <w:t>................</w:t>
      </w:r>
      <w:r w:rsidRPr="002D0E2D">
        <w:rPr>
          <w:bCs/>
          <w:szCs w:val="21"/>
        </w:rPr>
        <w:t>................. 10</w:t>
      </w:r>
      <w:r>
        <w:rPr>
          <w:bCs/>
          <w:szCs w:val="21"/>
        </w:rPr>
        <w:t>50</w:t>
      </w:r>
    </w:p>
    <w:p w14:paraId="7631EE6A" w14:textId="3EAE5C76" w:rsidR="003A005E" w:rsidRDefault="003A005E" w:rsidP="00FA68CF">
      <w:pPr>
        <w:keepNext/>
        <w:pBdr>
          <w:bottom w:val="single" w:sz="8" w:space="4" w:color="B89B5E"/>
        </w:pBdr>
        <w:spacing w:after="0" w:line="240" w:lineRule="auto"/>
        <w:ind w:right="-171"/>
        <w:rPr>
          <w:szCs w:val="21"/>
        </w:rPr>
      </w:pPr>
      <w:r w:rsidRPr="00E56701">
        <w:rPr>
          <w:szCs w:val="21"/>
        </w:rPr>
        <w:t>PARTE V — TEMAS TRANSVERSAIS ........................................................ 1</w:t>
      </w:r>
      <w:r>
        <w:rPr>
          <w:szCs w:val="21"/>
        </w:rPr>
        <w:t>053</w:t>
      </w:r>
    </w:p>
    <w:p w14:paraId="749455DC" w14:textId="0F9BC73D" w:rsidR="003A005E" w:rsidRDefault="003A005E" w:rsidP="00FA68CF">
      <w:pPr>
        <w:keepNext/>
        <w:pBdr>
          <w:bottom w:val="single" w:sz="8" w:space="4" w:color="B89B5E"/>
        </w:pBdr>
        <w:spacing w:after="0" w:line="240" w:lineRule="auto"/>
        <w:ind w:right="-171"/>
        <w:rPr>
          <w:szCs w:val="21"/>
        </w:rPr>
      </w:pPr>
      <w:r w:rsidRPr="00E56701">
        <w:rPr>
          <w:szCs w:val="21"/>
        </w:rPr>
        <w:t>Capítulo 20 — Acumulação de Benefícios ........................................................ 1</w:t>
      </w:r>
      <w:r>
        <w:rPr>
          <w:szCs w:val="21"/>
        </w:rPr>
        <w:t>054</w:t>
      </w:r>
    </w:p>
    <w:p w14:paraId="79AED4C6" w14:textId="02C71314" w:rsidR="003A005E" w:rsidRPr="001919C7" w:rsidRDefault="003A005E" w:rsidP="00FA68CF">
      <w:pPr>
        <w:keepNext/>
        <w:pBdr>
          <w:bottom w:val="single" w:sz="8" w:space="4" w:color="B89B5E"/>
        </w:pBdr>
        <w:spacing w:after="0" w:line="240" w:lineRule="auto"/>
        <w:ind w:right="-171"/>
        <w:rPr>
          <w:szCs w:val="21"/>
        </w:rPr>
      </w:pPr>
      <w:r w:rsidRPr="001919C7">
        <w:rPr>
          <w:szCs w:val="21"/>
        </w:rPr>
        <w:t>20.1 Introdução: lógica do sistema de acumulação .....................</w:t>
      </w:r>
      <w:r w:rsidR="00414B2F">
        <w:rPr>
          <w:szCs w:val="21"/>
        </w:rPr>
        <w:t>.................</w:t>
      </w:r>
      <w:r w:rsidRPr="001919C7">
        <w:rPr>
          <w:szCs w:val="21"/>
        </w:rPr>
        <w:t>...... 1054</w:t>
      </w:r>
    </w:p>
    <w:p w14:paraId="4325B9DF" w14:textId="49CB57EE" w:rsidR="003A005E" w:rsidRPr="001919C7" w:rsidRDefault="003A005E" w:rsidP="00FA68CF">
      <w:pPr>
        <w:keepNext/>
        <w:pBdr>
          <w:bottom w:val="single" w:sz="8" w:space="4" w:color="B89B5E"/>
        </w:pBdr>
        <w:spacing w:after="0" w:line="240" w:lineRule="auto"/>
        <w:ind w:right="-171"/>
        <w:rPr>
          <w:szCs w:val="21"/>
        </w:rPr>
      </w:pPr>
      <w:r w:rsidRPr="001919C7">
        <w:rPr>
          <w:szCs w:val="21"/>
        </w:rPr>
        <w:t>20.2 Art. 124 da Lei 8.213/91: vedações internas ao RGPS ...............</w:t>
      </w:r>
      <w:r w:rsidR="00414B2F">
        <w:rPr>
          <w:szCs w:val="21"/>
        </w:rPr>
        <w:t>....</w:t>
      </w:r>
      <w:r w:rsidRPr="001919C7">
        <w:rPr>
          <w:szCs w:val="21"/>
        </w:rPr>
        <w:t>............ 105</w:t>
      </w:r>
      <w:r>
        <w:rPr>
          <w:szCs w:val="21"/>
        </w:rPr>
        <w:t>6</w:t>
      </w:r>
    </w:p>
    <w:p w14:paraId="1958894A" w14:textId="49BDF939" w:rsidR="003A005E" w:rsidRPr="001919C7" w:rsidRDefault="003A005E" w:rsidP="00FA68CF">
      <w:pPr>
        <w:keepNext/>
        <w:pBdr>
          <w:bottom w:val="single" w:sz="8" w:space="4" w:color="B89B5E"/>
        </w:pBdr>
        <w:spacing w:after="0" w:line="240" w:lineRule="auto"/>
        <w:ind w:right="-171"/>
        <w:rPr>
          <w:szCs w:val="21"/>
        </w:rPr>
      </w:pPr>
      <w:r w:rsidRPr="001919C7">
        <w:rPr>
          <w:szCs w:val="21"/>
        </w:rPr>
        <w:t>20.3 Art. 24 da EC 103/2019: regime de escalonamento ............</w:t>
      </w:r>
      <w:r w:rsidR="00414B2F">
        <w:rPr>
          <w:szCs w:val="21"/>
        </w:rPr>
        <w:t>........</w:t>
      </w:r>
      <w:r w:rsidRPr="001919C7">
        <w:rPr>
          <w:szCs w:val="21"/>
        </w:rPr>
        <w:t>............... 106</w:t>
      </w:r>
      <w:r>
        <w:rPr>
          <w:szCs w:val="21"/>
        </w:rPr>
        <w:t>0</w:t>
      </w:r>
    </w:p>
    <w:p w14:paraId="74979739" w14:textId="5610FBCB" w:rsidR="003A005E" w:rsidRPr="001919C7" w:rsidRDefault="003A005E" w:rsidP="00FA68CF">
      <w:pPr>
        <w:keepNext/>
        <w:pBdr>
          <w:bottom w:val="single" w:sz="8" w:space="4" w:color="B89B5E"/>
        </w:pBdr>
        <w:spacing w:after="0" w:line="240" w:lineRule="auto"/>
        <w:ind w:right="-171"/>
        <w:rPr>
          <w:szCs w:val="21"/>
        </w:rPr>
      </w:pPr>
      <w:r w:rsidRPr="001919C7">
        <w:rPr>
          <w:szCs w:val="21"/>
        </w:rPr>
        <w:t>20.4 Cálculos práticos de escalonamento .................</w:t>
      </w:r>
      <w:r w:rsidR="00414B2F">
        <w:rPr>
          <w:szCs w:val="21"/>
        </w:rPr>
        <w:t>................................</w:t>
      </w:r>
      <w:r w:rsidRPr="001919C7">
        <w:rPr>
          <w:szCs w:val="21"/>
        </w:rPr>
        <w:t>.......... 106</w:t>
      </w:r>
      <w:r>
        <w:rPr>
          <w:szCs w:val="21"/>
        </w:rPr>
        <w:t>5</w:t>
      </w:r>
    </w:p>
    <w:p w14:paraId="76916083" w14:textId="26869775" w:rsidR="003A005E" w:rsidRPr="001919C7" w:rsidRDefault="003A005E" w:rsidP="00FA68CF">
      <w:pPr>
        <w:keepNext/>
        <w:pBdr>
          <w:bottom w:val="single" w:sz="8" w:space="4" w:color="B89B5E"/>
        </w:pBdr>
        <w:spacing w:after="0" w:line="240" w:lineRule="auto"/>
        <w:ind w:right="-171"/>
        <w:rPr>
          <w:szCs w:val="21"/>
        </w:rPr>
      </w:pPr>
      <w:r w:rsidRPr="001919C7">
        <w:rPr>
          <w:szCs w:val="21"/>
        </w:rPr>
        <w:t>20.5 Acumulações permitidas: quadro completo ............</w:t>
      </w:r>
      <w:r w:rsidR="00414B2F">
        <w:rPr>
          <w:szCs w:val="21"/>
        </w:rPr>
        <w:t>...................</w:t>
      </w:r>
      <w:r w:rsidRPr="001919C7">
        <w:rPr>
          <w:szCs w:val="21"/>
        </w:rPr>
        <w:t>............... 107</w:t>
      </w:r>
      <w:r>
        <w:rPr>
          <w:szCs w:val="21"/>
        </w:rPr>
        <w:t>0</w:t>
      </w:r>
    </w:p>
    <w:p w14:paraId="423076B4" w14:textId="5E65FBBB" w:rsidR="003A005E" w:rsidRPr="001919C7" w:rsidRDefault="003A005E" w:rsidP="00FA68CF">
      <w:pPr>
        <w:keepNext/>
        <w:pBdr>
          <w:bottom w:val="single" w:sz="8" w:space="4" w:color="B89B5E"/>
        </w:pBdr>
        <w:spacing w:after="0" w:line="240" w:lineRule="auto"/>
        <w:ind w:right="-171"/>
        <w:rPr>
          <w:szCs w:val="21"/>
        </w:rPr>
      </w:pPr>
      <w:r w:rsidRPr="001919C7">
        <w:rPr>
          <w:szCs w:val="21"/>
        </w:rPr>
        <w:t>20.5.1 Pensão por morte e aposentadoria ............</w:t>
      </w:r>
      <w:r w:rsidR="00414B2F">
        <w:rPr>
          <w:szCs w:val="21"/>
        </w:rPr>
        <w:t>................................</w:t>
      </w:r>
      <w:r w:rsidRPr="001919C7">
        <w:rPr>
          <w:szCs w:val="21"/>
        </w:rPr>
        <w:t>............... 107</w:t>
      </w:r>
      <w:r>
        <w:rPr>
          <w:szCs w:val="21"/>
        </w:rPr>
        <w:t>0</w:t>
      </w:r>
    </w:p>
    <w:p w14:paraId="5846ADA2" w14:textId="5B972D09" w:rsidR="003A005E" w:rsidRPr="001919C7" w:rsidRDefault="003A005E" w:rsidP="00FA68CF">
      <w:pPr>
        <w:keepNext/>
        <w:pBdr>
          <w:bottom w:val="single" w:sz="8" w:space="4" w:color="B89B5E"/>
        </w:pBdr>
        <w:spacing w:after="0" w:line="240" w:lineRule="auto"/>
        <w:ind w:right="-171"/>
        <w:rPr>
          <w:szCs w:val="21"/>
        </w:rPr>
      </w:pPr>
      <w:r w:rsidRPr="001919C7">
        <w:rPr>
          <w:szCs w:val="21"/>
        </w:rPr>
        <w:t>20.5.2 Pensão por morte e pensão por morte .........</w:t>
      </w:r>
      <w:r w:rsidR="00414B2F">
        <w:rPr>
          <w:szCs w:val="21"/>
        </w:rPr>
        <w:t>..........................</w:t>
      </w:r>
      <w:r w:rsidRPr="001919C7">
        <w:rPr>
          <w:szCs w:val="21"/>
        </w:rPr>
        <w:t>.................. 107</w:t>
      </w:r>
      <w:r>
        <w:rPr>
          <w:szCs w:val="21"/>
        </w:rPr>
        <w:t>1</w:t>
      </w:r>
    </w:p>
    <w:p w14:paraId="2A7FFC51" w14:textId="0D53B145" w:rsidR="003A005E" w:rsidRPr="001919C7" w:rsidRDefault="003A005E" w:rsidP="00FA68CF">
      <w:pPr>
        <w:keepNext/>
        <w:pBdr>
          <w:bottom w:val="single" w:sz="8" w:space="4" w:color="B89B5E"/>
        </w:pBdr>
        <w:spacing w:after="0" w:line="240" w:lineRule="auto"/>
        <w:ind w:right="-171"/>
        <w:rPr>
          <w:szCs w:val="21"/>
        </w:rPr>
      </w:pPr>
      <w:r w:rsidRPr="001919C7">
        <w:rPr>
          <w:szCs w:val="21"/>
        </w:rPr>
        <w:t>20.5.3 Aposentadoria e aposentadoria ..................</w:t>
      </w:r>
      <w:r w:rsidR="00414B2F">
        <w:rPr>
          <w:szCs w:val="21"/>
        </w:rPr>
        <w:t>....................................</w:t>
      </w:r>
      <w:r w:rsidRPr="001919C7">
        <w:rPr>
          <w:szCs w:val="21"/>
        </w:rPr>
        <w:t>......... 107</w:t>
      </w:r>
      <w:r>
        <w:rPr>
          <w:szCs w:val="21"/>
        </w:rPr>
        <w:t>2</w:t>
      </w:r>
    </w:p>
    <w:p w14:paraId="0AFF6873" w14:textId="24EF36F4" w:rsidR="003A005E" w:rsidRPr="001919C7" w:rsidRDefault="003A005E" w:rsidP="00FA68CF">
      <w:pPr>
        <w:keepNext/>
        <w:pBdr>
          <w:bottom w:val="single" w:sz="8" w:space="4" w:color="B89B5E"/>
        </w:pBdr>
        <w:spacing w:after="0" w:line="240" w:lineRule="auto"/>
        <w:ind w:right="-171"/>
        <w:rPr>
          <w:szCs w:val="21"/>
        </w:rPr>
      </w:pPr>
      <w:r w:rsidRPr="001919C7">
        <w:rPr>
          <w:szCs w:val="21"/>
        </w:rPr>
        <w:t>20.5.4 Auxílio-acidente e aposentadoria ...............</w:t>
      </w:r>
      <w:r w:rsidR="00414B2F">
        <w:rPr>
          <w:szCs w:val="21"/>
        </w:rPr>
        <w:t>.................................</w:t>
      </w:r>
      <w:r w:rsidRPr="001919C7">
        <w:rPr>
          <w:szCs w:val="21"/>
        </w:rPr>
        <w:t>............ 107</w:t>
      </w:r>
      <w:r>
        <w:rPr>
          <w:szCs w:val="21"/>
        </w:rPr>
        <w:t>3</w:t>
      </w:r>
    </w:p>
    <w:p w14:paraId="0356C006" w14:textId="0D6BF612" w:rsidR="003A005E" w:rsidRPr="001919C7" w:rsidRDefault="003A005E" w:rsidP="00FA68CF">
      <w:pPr>
        <w:keepNext/>
        <w:pBdr>
          <w:bottom w:val="single" w:sz="8" w:space="4" w:color="B89B5E"/>
        </w:pBdr>
        <w:spacing w:after="0" w:line="240" w:lineRule="auto"/>
        <w:ind w:right="-171"/>
        <w:rPr>
          <w:szCs w:val="21"/>
        </w:rPr>
      </w:pPr>
      <w:r w:rsidRPr="001919C7">
        <w:rPr>
          <w:szCs w:val="21"/>
        </w:rPr>
        <w:t>20.5.5 Auxílio por incapacidade temporária ..........</w:t>
      </w:r>
      <w:r w:rsidR="00414B2F">
        <w:rPr>
          <w:szCs w:val="21"/>
        </w:rPr>
        <w:t>...........................</w:t>
      </w:r>
      <w:r w:rsidRPr="001919C7">
        <w:rPr>
          <w:szCs w:val="21"/>
        </w:rPr>
        <w:t>................. 107</w:t>
      </w:r>
      <w:r>
        <w:rPr>
          <w:szCs w:val="21"/>
        </w:rPr>
        <w:t>4</w:t>
      </w:r>
    </w:p>
    <w:p w14:paraId="32115B28" w14:textId="6319C362" w:rsidR="003A005E" w:rsidRPr="001919C7" w:rsidRDefault="003A005E" w:rsidP="00FA68CF">
      <w:pPr>
        <w:keepNext/>
        <w:pBdr>
          <w:bottom w:val="single" w:sz="8" w:space="4" w:color="B89B5E"/>
        </w:pBdr>
        <w:spacing w:after="0" w:line="240" w:lineRule="auto"/>
        <w:ind w:right="-171"/>
        <w:rPr>
          <w:szCs w:val="21"/>
        </w:rPr>
      </w:pPr>
      <w:r w:rsidRPr="001919C7">
        <w:rPr>
          <w:szCs w:val="21"/>
        </w:rPr>
        <w:t>20.5.6 Salário-maternidade .....................</w:t>
      </w:r>
      <w:r w:rsidR="00414B2F">
        <w:rPr>
          <w:szCs w:val="21"/>
        </w:rPr>
        <w:t>......................................................</w:t>
      </w:r>
      <w:r w:rsidRPr="001919C7">
        <w:rPr>
          <w:szCs w:val="21"/>
        </w:rPr>
        <w:t>...... 107</w:t>
      </w:r>
      <w:r>
        <w:rPr>
          <w:szCs w:val="21"/>
        </w:rPr>
        <w:t>4</w:t>
      </w:r>
    </w:p>
    <w:p w14:paraId="5EE2D11D" w14:textId="5DB4B608" w:rsidR="003A005E" w:rsidRPr="001919C7" w:rsidRDefault="003A005E" w:rsidP="00FA68CF">
      <w:pPr>
        <w:keepNext/>
        <w:pBdr>
          <w:bottom w:val="single" w:sz="8" w:space="4" w:color="B89B5E"/>
        </w:pBdr>
        <w:spacing w:after="0" w:line="240" w:lineRule="auto"/>
        <w:ind w:right="-171"/>
        <w:rPr>
          <w:szCs w:val="21"/>
        </w:rPr>
      </w:pPr>
      <w:r w:rsidRPr="001919C7">
        <w:rPr>
          <w:szCs w:val="21"/>
        </w:rPr>
        <w:t>20.5.7 BPC e benefícios previdenciários .............</w:t>
      </w:r>
      <w:r w:rsidR="00414B2F">
        <w:rPr>
          <w:szCs w:val="21"/>
        </w:rPr>
        <w:t>.................................</w:t>
      </w:r>
      <w:r w:rsidRPr="001919C7">
        <w:rPr>
          <w:szCs w:val="21"/>
        </w:rPr>
        <w:t>.............. 107</w:t>
      </w:r>
      <w:r>
        <w:rPr>
          <w:szCs w:val="21"/>
        </w:rPr>
        <w:t>5</w:t>
      </w:r>
    </w:p>
    <w:p w14:paraId="3E7D3F98" w14:textId="13960BC7" w:rsidR="003A005E" w:rsidRPr="001919C7" w:rsidRDefault="003A005E" w:rsidP="00FA68CF">
      <w:pPr>
        <w:keepNext/>
        <w:pBdr>
          <w:bottom w:val="single" w:sz="8" w:space="4" w:color="B89B5E"/>
        </w:pBdr>
        <w:spacing w:after="0" w:line="240" w:lineRule="auto"/>
        <w:ind w:right="-171"/>
        <w:rPr>
          <w:szCs w:val="21"/>
        </w:rPr>
      </w:pPr>
      <w:r w:rsidRPr="001919C7">
        <w:rPr>
          <w:szCs w:val="21"/>
        </w:rPr>
        <w:t>20.5.8 Auxílio-reclusão ....................</w:t>
      </w:r>
      <w:r w:rsidR="00414B2F">
        <w:rPr>
          <w:szCs w:val="21"/>
        </w:rPr>
        <w:t>............................................................</w:t>
      </w:r>
      <w:r w:rsidRPr="001919C7">
        <w:rPr>
          <w:szCs w:val="21"/>
        </w:rPr>
        <w:t>....... 10</w:t>
      </w:r>
      <w:r>
        <w:rPr>
          <w:szCs w:val="21"/>
        </w:rPr>
        <w:t>76</w:t>
      </w:r>
    </w:p>
    <w:p w14:paraId="65FD7FEF" w14:textId="02780A03" w:rsidR="003A005E" w:rsidRPr="001919C7" w:rsidRDefault="003A005E" w:rsidP="00FA68CF">
      <w:pPr>
        <w:keepNext/>
        <w:pBdr>
          <w:bottom w:val="single" w:sz="8" w:space="4" w:color="B89B5E"/>
        </w:pBdr>
        <w:spacing w:after="0" w:line="240" w:lineRule="auto"/>
        <w:ind w:right="-171"/>
        <w:rPr>
          <w:szCs w:val="21"/>
        </w:rPr>
      </w:pPr>
      <w:r w:rsidRPr="001919C7">
        <w:rPr>
          <w:szCs w:val="21"/>
        </w:rPr>
        <w:t>20.5.9 Salário-família .................</w:t>
      </w:r>
      <w:r w:rsidR="00414B2F">
        <w:rPr>
          <w:szCs w:val="21"/>
        </w:rPr>
        <w:t>...............................................................</w:t>
      </w:r>
      <w:r w:rsidRPr="001919C7">
        <w:rPr>
          <w:szCs w:val="21"/>
        </w:rPr>
        <w:t>.......... 10</w:t>
      </w:r>
      <w:r>
        <w:rPr>
          <w:szCs w:val="21"/>
        </w:rPr>
        <w:t>76</w:t>
      </w:r>
    </w:p>
    <w:p w14:paraId="4921EC3C" w14:textId="67FD599B" w:rsidR="003A005E" w:rsidRPr="001919C7" w:rsidRDefault="003A005E" w:rsidP="00FA68CF">
      <w:pPr>
        <w:keepNext/>
        <w:pBdr>
          <w:bottom w:val="single" w:sz="8" w:space="4" w:color="B89B5E"/>
        </w:pBdr>
        <w:spacing w:after="0" w:line="240" w:lineRule="auto"/>
        <w:ind w:right="-171"/>
        <w:rPr>
          <w:szCs w:val="21"/>
        </w:rPr>
      </w:pPr>
      <w:r w:rsidRPr="001919C7">
        <w:rPr>
          <w:szCs w:val="21"/>
        </w:rPr>
        <w:t>20.6 Exceções ao redutor: integralidade na acumulação .........</w:t>
      </w:r>
      <w:r w:rsidR="00414B2F">
        <w:rPr>
          <w:szCs w:val="21"/>
        </w:rPr>
        <w:t>.........</w:t>
      </w:r>
      <w:r w:rsidRPr="001919C7">
        <w:rPr>
          <w:szCs w:val="21"/>
        </w:rPr>
        <w:t>.................. 10</w:t>
      </w:r>
      <w:r>
        <w:rPr>
          <w:szCs w:val="21"/>
        </w:rPr>
        <w:t>79</w:t>
      </w:r>
    </w:p>
    <w:p w14:paraId="35708FAA" w14:textId="028ECF05" w:rsidR="003A005E" w:rsidRPr="001919C7" w:rsidRDefault="003A005E" w:rsidP="00FA68CF">
      <w:pPr>
        <w:keepNext/>
        <w:pBdr>
          <w:bottom w:val="single" w:sz="8" w:space="4" w:color="B89B5E"/>
        </w:pBdr>
        <w:spacing w:after="0" w:line="240" w:lineRule="auto"/>
        <w:ind w:right="-171"/>
        <w:rPr>
          <w:szCs w:val="21"/>
        </w:rPr>
      </w:pPr>
      <w:r w:rsidRPr="001919C7">
        <w:rPr>
          <w:szCs w:val="21"/>
        </w:rPr>
        <w:t>20.6.1 Morte por acidente de trabalho ou doença profissional .................</w:t>
      </w:r>
      <w:r w:rsidR="00414B2F">
        <w:rPr>
          <w:szCs w:val="21"/>
        </w:rPr>
        <w:t>.</w:t>
      </w:r>
      <w:r w:rsidRPr="001919C7">
        <w:rPr>
          <w:szCs w:val="21"/>
        </w:rPr>
        <w:t>....... 10</w:t>
      </w:r>
      <w:r>
        <w:rPr>
          <w:szCs w:val="21"/>
        </w:rPr>
        <w:t>79</w:t>
      </w:r>
    </w:p>
    <w:p w14:paraId="3A444CBE" w14:textId="314466BE" w:rsidR="003A005E" w:rsidRPr="001919C7" w:rsidRDefault="003A005E" w:rsidP="00FA68CF">
      <w:pPr>
        <w:keepNext/>
        <w:pBdr>
          <w:bottom w:val="single" w:sz="8" w:space="4" w:color="B89B5E"/>
        </w:pBdr>
        <w:spacing w:after="0" w:line="240" w:lineRule="auto"/>
        <w:ind w:right="-171"/>
        <w:rPr>
          <w:szCs w:val="21"/>
        </w:rPr>
      </w:pPr>
      <w:r w:rsidRPr="001919C7">
        <w:rPr>
          <w:szCs w:val="21"/>
        </w:rPr>
        <w:t>20.6.2 Morte por violência no exercício da função ...........</w:t>
      </w:r>
      <w:r w:rsidR="00414B2F">
        <w:rPr>
          <w:szCs w:val="21"/>
        </w:rPr>
        <w:t>.................</w:t>
      </w:r>
      <w:r w:rsidRPr="001919C7">
        <w:rPr>
          <w:szCs w:val="21"/>
        </w:rPr>
        <w:t>................ 108</w:t>
      </w:r>
      <w:r>
        <w:rPr>
          <w:szCs w:val="21"/>
        </w:rPr>
        <w:t>0</w:t>
      </w:r>
    </w:p>
    <w:p w14:paraId="6940E2A6" w14:textId="012C7B48" w:rsidR="003A005E" w:rsidRPr="001919C7" w:rsidRDefault="003A005E" w:rsidP="00FA68CF">
      <w:pPr>
        <w:keepNext/>
        <w:pBdr>
          <w:bottom w:val="single" w:sz="8" w:space="4" w:color="B89B5E"/>
        </w:pBdr>
        <w:spacing w:after="0" w:line="240" w:lineRule="auto"/>
        <w:ind w:right="-171"/>
        <w:rPr>
          <w:szCs w:val="21"/>
        </w:rPr>
      </w:pPr>
      <w:r w:rsidRPr="001919C7">
        <w:rPr>
          <w:szCs w:val="21"/>
        </w:rPr>
        <w:t>20.6.3 Cargos constitucionalmente acumuláveis ..................</w:t>
      </w:r>
      <w:r w:rsidR="00414B2F">
        <w:rPr>
          <w:szCs w:val="21"/>
        </w:rPr>
        <w:t>...................</w:t>
      </w:r>
      <w:r w:rsidRPr="001919C7">
        <w:rPr>
          <w:szCs w:val="21"/>
        </w:rPr>
        <w:t>......... 108</w:t>
      </w:r>
      <w:r>
        <w:rPr>
          <w:szCs w:val="21"/>
        </w:rPr>
        <w:t>1</w:t>
      </w:r>
    </w:p>
    <w:p w14:paraId="7943DB09" w14:textId="002B9EAC" w:rsidR="003A005E" w:rsidRPr="001919C7" w:rsidRDefault="003A005E" w:rsidP="00FA68CF">
      <w:pPr>
        <w:keepNext/>
        <w:pBdr>
          <w:bottom w:val="single" w:sz="8" w:space="4" w:color="B89B5E"/>
        </w:pBdr>
        <w:spacing w:after="0" w:line="240" w:lineRule="auto"/>
        <w:ind w:right="-171"/>
        <w:rPr>
          <w:szCs w:val="21"/>
        </w:rPr>
      </w:pPr>
      <w:r w:rsidRPr="001919C7">
        <w:rPr>
          <w:szCs w:val="21"/>
        </w:rPr>
        <w:t>20.7 Direito adquirido e intertemporalidade ..................</w:t>
      </w:r>
      <w:r w:rsidR="005403B8">
        <w:rPr>
          <w:szCs w:val="21"/>
        </w:rPr>
        <w:t>..........................</w:t>
      </w:r>
      <w:r w:rsidRPr="001919C7">
        <w:rPr>
          <w:szCs w:val="21"/>
        </w:rPr>
        <w:t>......... 108</w:t>
      </w:r>
      <w:r>
        <w:rPr>
          <w:szCs w:val="21"/>
        </w:rPr>
        <w:t>3</w:t>
      </w:r>
    </w:p>
    <w:p w14:paraId="3B36D537" w14:textId="1945255B" w:rsidR="003A005E" w:rsidRPr="001919C7" w:rsidRDefault="003A005E" w:rsidP="00FA68CF">
      <w:pPr>
        <w:keepNext/>
        <w:pBdr>
          <w:bottom w:val="single" w:sz="8" w:space="4" w:color="B89B5E"/>
        </w:pBdr>
        <w:spacing w:after="0" w:line="240" w:lineRule="auto"/>
        <w:ind w:right="-171"/>
        <w:rPr>
          <w:szCs w:val="21"/>
        </w:rPr>
      </w:pPr>
      <w:r w:rsidRPr="001919C7">
        <w:rPr>
          <w:szCs w:val="21"/>
        </w:rPr>
        <w:t>20.8 Auxílio-acidente e aposentadoria: regime especial ..........</w:t>
      </w:r>
      <w:r w:rsidR="005403B8">
        <w:rPr>
          <w:szCs w:val="21"/>
        </w:rPr>
        <w:t>..........</w:t>
      </w:r>
      <w:r w:rsidRPr="001919C7">
        <w:rPr>
          <w:szCs w:val="21"/>
        </w:rPr>
        <w:t>................. 10</w:t>
      </w:r>
      <w:r>
        <w:rPr>
          <w:szCs w:val="21"/>
        </w:rPr>
        <w:t>88</w:t>
      </w:r>
    </w:p>
    <w:p w14:paraId="419E7D04" w14:textId="01486261" w:rsidR="003A005E" w:rsidRPr="001919C7" w:rsidRDefault="003A005E" w:rsidP="00FA68CF">
      <w:pPr>
        <w:keepNext/>
        <w:pBdr>
          <w:bottom w:val="single" w:sz="8" w:space="4" w:color="B89B5E"/>
        </w:pBdr>
        <w:spacing w:after="0" w:line="240" w:lineRule="auto"/>
        <w:ind w:right="-171"/>
        <w:rPr>
          <w:szCs w:val="21"/>
        </w:rPr>
      </w:pPr>
      <w:r w:rsidRPr="001919C7">
        <w:rPr>
          <w:szCs w:val="21"/>
        </w:rPr>
        <w:t>20.9 BPC e acumulação: vedação e opção ....................</w:t>
      </w:r>
      <w:r w:rsidR="005403B8">
        <w:rPr>
          <w:szCs w:val="21"/>
        </w:rPr>
        <w:t>...............................</w:t>
      </w:r>
      <w:r w:rsidRPr="001919C7">
        <w:rPr>
          <w:szCs w:val="21"/>
        </w:rPr>
        <w:t>....... 109</w:t>
      </w:r>
      <w:r>
        <w:rPr>
          <w:szCs w:val="21"/>
        </w:rPr>
        <w:t>1</w:t>
      </w:r>
    </w:p>
    <w:p w14:paraId="782EDAB7" w14:textId="642E3146" w:rsidR="003A005E" w:rsidRPr="001919C7" w:rsidRDefault="003A005E" w:rsidP="00FA68CF">
      <w:pPr>
        <w:keepNext/>
        <w:pBdr>
          <w:bottom w:val="single" w:sz="8" w:space="4" w:color="B89B5E"/>
        </w:pBdr>
        <w:spacing w:after="0" w:line="240" w:lineRule="auto"/>
        <w:ind w:right="-171"/>
        <w:rPr>
          <w:szCs w:val="21"/>
        </w:rPr>
      </w:pPr>
      <w:r w:rsidRPr="001919C7">
        <w:rPr>
          <w:szCs w:val="21"/>
        </w:rPr>
        <w:t>20.10 Incapacidade e acumulação: atividades simultâneas ...........</w:t>
      </w:r>
      <w:r w:rsidR="005403B8">
        <w:rPr>
          <w:szCs w:val="21"/>
        </w:rPr>
        <w:t>.....</w:t>
      </w:r>
      <w:r w:rsidRPr="001919C7">
        <w:rPr>
          <w:szCs w:val="21"/>
        </w:rPr>
        <w:t>................ 1</w:t>
      </w:r>
      <w:r>
        <w:rPr>
          <w:szCs w:val="21"/>
        </w:rPr>
        <w:t>093</w:t>
      </w:r>
    </w:p>
    <w:p w14:paraId="38899DA2" w14:textId="29128555" w:rsidR="003A005E" w:rsidRPr="001919C7" w:rsidRDefault="003A005E" w:rsidP="00FA68CF">
      <w:pPr>
        <w:keepNext/>
        <w:pBdr>
          <w:bottom w:val="single" w:sz="8" w:space="4" w:color="B89B5E"/>
        </w:pBdr>
        <w:spacing w:after="0" w:line="240" w:lineRule="auto"/>
        <w:ind w:right="-171"/>
        <w:rPr>
          <w:szCs w:val="21"/>
        </w:rPr>
      </w:pPr>
      <w:r w:rsidRPr="001919C7">
        <w:rPr>
          <w:szCs w:val="21"/>
        </w:rPr>
        <w:t>20.11 Compensação judicial de benefícios não acumuláveis .............</w:t>
      </w:r>
      <w:r w:rsidR="005403B8">
        <w:rPr>
          <w:szCs w:val="21"/>
        </w:rPr>
        <w:t>..</w:t>
      </w:r>
      <w:r w:rsidRPr="001919C7">
        <w:rPr>
          <w:szCs w:val="21"/>
        </w:rPr>
        <w:t>.............. 1</w:t>
      </w:r>
      <w:r>
        <w:rPr>
          <w:szCs w:val="21"/>
        </w:rPr>
        <w:t>096</w:t>
      </w:r>
    </w:p>
    <w:p w14:paraId="12713322" w14:textId="2C1B6EC8" w:rsidR="003A005E" w:rsidRPr="001919C7" w:rsidRDefault="003A005E" w:rsidP="00FA68CF">
      <w:pPr>
        <w:keepNext/>
        <w:pBdr>
          <w:bottom w:val="single" w:sz="8" w:space="4" w:color="B89B5E"/>
        </w:pBdr>
        <w:spacing w:after="0" w:line="240" w:lineRule="auto"/>
        <w:ind w:right="-171"/>
        <w:rPr>
          <w:szCs w:val="21"/>
        </w:rPr>
      </w:pPr>
      <w:r w:rsidRPr="001919C7">
        <w:rPr>
          <w:szCs w:val="21"/>
        </w:rPr>
        <w:t>20.12 Prática nos JEFs: ações de acumulação .................</w:t>
      </w:r>
      <w:r w:rsidR="005403B8">
        <w:rPr>
          <w:szCs w:val="21"/>
        </w:rPr>
        <w:t>..........................</w:t>
      </w:r>
      <w:r w:rsidRPr="001919C7">
        <w:rPr>
          <w:szCs w:val="21"/>
        </w:rPr>
        <w:t>.......... 1</w:t>
      </w:r>
      <w:r>
        <w:rPr>
          <w:szCs w:val="21"/>
        </w:rPr>
        <w:t>099</w:t>
      </w:r>
    </w:p>
    <w:p w14:paraId="1BC36CAE" w14:textId="0D27B718" w:rsidR="003A005E" w:rsidRPr="001919C7" w:rsidRDefault="003A005E" w:rsidP="00FA68CF">
      <w:pPr>
        <w:keepNext/>
        <w:pBdr>
          <w:bottom w:val="single" w:sz="8" w:space="4" w:color="B89B5E"/>
        </w:pBdr>
        <w:spacing w:after="0" w:line="240" w:lineRule="auto"/>
        <w:ind w:right="-171"/>
        <w:rPr>
          <w:szCs w:val="21"/>
        </w:rPr>
      </w:pPr>
      <w:r w:rsidRPr="001919C7">
        <w:rPr>
          <w:szCs w:val="21"/>
        </w:rPr>
        <w:t>20.13 Consolidação das posições adotadas ...........</w:t>
      </w:r>
      <w:r w:rsidR="005403B8">
        <w:rPr>
          <w:szCs w:val="21"/>
        </w:rPr>
        <w:t>.............................</w:t>
      </w:r>
      <w:r w:rsidRPr="001919C7">
        <w:rPr>
          <w:szCs w:val="21"/>
        </w:rPr>
        <w:t>................ 11</w:t>
      </w:r>
      <w:r>
        <w:rPr>
          <w:szCs w:val="21"/>
        </w:rPr>
        <w:t>04</w:t>
      </w:r>
    </w:p>
    <w:p w14:paraId="332D1412" w14:textId="4D1CBD8E" w:rsidR="003A005E" w:rsidRDefault="003A005E" w:rsidP="00FA68CF">
      <w:pPr>
        <w:keepNext/>
        <w:pBdr>
          <w:bottom w:val="single" w:sz="8" w:space="4" w:color="B89B5E"/>
        </w:pBdr>
        <w:spacing w:after="0" w:line="240" w:lineRule="auto"/>
        <w:ind w:right="-171"/>
        <w:rPr>
          <w:szCs w:val="21"/>
        </w:rPr>
      </w:pPr>
      <w:r w:rsidRPr="00E56701">
        <w:rPr>
          <w:szCs w:val="21"/>
        </w:rPr>
        <w:t>Capítulo 21 — Decadência, Prescrição e Coisa Julgada Previdenciária ............ 1</w:t>
      </w:r>
      <w:r>
        <w:rPr>
          <w:szCs w:val="21"/>
        </w:rPr>
        <w:t>108</w:t>
      </w:r>
    </w:p>
    <w:p w14:paraId="20478FB3" w14:textId="70420EBC" w:rsidR="003A005E" w:rsidRPr="00F03402" w:rsidRDefault="003A005E" w:rsidP="005403B8">
      <w:pPr>
        <w:keepNext/>
        <w:pBdr>
          <w:bottom w:val="single" w:sz="8" w:space="4" w:color="B89B5E"/>
        </w:pBdr>
        <w:spacing w:after="0" w:line="240" w:lineRule="auto"/>
        <w:ind w:right="-171"/>
        <w:rPr>
          <w:szCs w:val="21"/>
        </w:rPr>
      </w:pPr>
      <w:r w:rsidRPr="00F03402">
        <w:rPr>
          <w:szCs w:val="21"/>
        </w:rPr>
        <w:t>21.1 Introdução: os limites temporais do direito previdenciário ...</w:t>
      </w:r>
      <w:r w:rsidR="005403B8">
        <w:rPr>
          <w:szCs w:val="21"/>
        </w:rPr>
        <w:t>...............</w:t>
      </w:r>
      <w:r w:rsidRPr="00F03402">
        <w:rPr>
          <w:szCs w:val="21"/>
        </w:rPr>
        <w:t>..... 1108</w:t>
      </w:r>
    </w:p>
    <w:p w14:paraId="74607814" w14:textId="131C6EA6" w:rsidR="003A005E" w:rsidRPr="00F03402" w:rsidRDefault="003A005E" w:rsidP="005403B8">
      <w:pPr>
        <w:keepNext/>
        <w:pBdr>
          <w:bottom w:val="single" w:sz="8" w:space="4" w:color="B89B5E"/>
        </w:pBdr>
        <w:spacing w:after="0" w:line="240" w:lineRule="auto"/>
        <w:ind w:right="-171"/>
        <w:rPr>
          <w:szCs w:val="21"/>
        </w:rPr>
      </w:pPr>
      <w:r w:rsidRPr="00F03402">
        <w:rPr>
          <w:szCs w:val="21"/>
        </w:rPr>
        <w:t>21.2 Art. 103 da Lei 8.213/91: evolução legislativa ......</w:t>
      </w:r>
      <w:r w:rsidR="005403B8">
        <w:rPr>
          <w:szCs w:val="21"/>
        </w:rPr>
        <w:t>....................................</w:t>
      </w:r>
      <w:r w:rsidRPr="00F03402">
        <w:rPr>
          <w:szCs w:val="21"/>
        </w:rPr>
        <w:t>.. 111</w:t>
      </w:r>
      <w:r>
        <w:rPr>
          <w:szCs w:val="21"/>
        </w:rPr>
        <w:t>0</w:t>
      </w:r>
    </w:p>
    <w:p w14:paraId="33EB7DFE" w14:textId="252AE9CC" w:rsidR="003A005E" w:rsidRPr="00F03402" w:rsidRDefault="003A005E" w:rsidP="005403B8">
      <w:pPr>
        <w:keepNext/>
        <w:pBdr>
          <w:bottom w:val="single" w:sz="8" w:space="4" w:color="B89B5E"/>
        </w:pBdr>
        <w:spacing w:after="0" w:line="240" w:lineRule="auto"/>
        <w:ind w:right="-171"/>
        <w:rPr>
          <w:szCs w:val="21"/>
        </w:rPr>
      </w:pPr>
      <w:r w:rsidRPr="00F03402">
        <w:rPr>
          <w:szCs w:val="21"/>
        </w:rPr>
        <w:t>21.2.1 Redação original (1991): ausência de prazo decadencial ......</w:t>
      </w:r>
      <w:r w:rsidR="005403B8">
        <w:rPr>
          <w:szCs w:val="21"/>
        </w:rPr>
        <w:t>................</w:t>
      </w:r>
      <w:r w:rsidRPr="00F03402">
        <w:rPr>
          <w:szCs w:val="21"/>
        </w:rPr>
        <w:t>.. 111</w:t>
      </w:r>
      <w:r>
        <w:rPr>
          <w:szCs w:val="21"/>
        </w:rPr>
        <w:t>0</w:t>
      </w:r>
    </w:p>
    <w:p w14:paraId="6C4D544F" w14:textId="7EA5E499" w:rsidR="003A005E" w:rsidRPr="00F03402" w:rsidRDefault="003A005E" w:rsidP="005403B8">
      <w:pPr>
        <w:keepNext/>
        <w:pBdr>
          <w:bottom w:val="single" w:sz="8" w:space="4" w:color="B89B5E"/>
        </w:pBdr>
        <w:spacing w:after="0" w:line="240" w:lineRule="auto"/>
        <w:ind w:right="-171"/>
        <w:rPr>
          <w:szCs w:val="21"/>
        </w:rPr>
      </w:pPr>
      <w:r w:rsidRPr="00F03402">
        <w:rPr>
          <w:szCs w:val="21"/>
        </w:rPr>
        <w:lastRenderedPageBreak/>
        <w:t xml:space="preserve">21.2.2 MP 1.523-9/1997 e Lei 9.528/1997: introdução do prazo de dez anos </w:t>
      </w:r>
      <w:r w:rsidR="005403B8">
        <w:rPr>
          <w:szCs w:val="21"/>
        </w:rPr>
        <w:t>...........................................................................................................................</w:t>
      </w:r>
      <w:r w:rsidRPr="00F03402">
        <w:rPr>
          <w:szCs w:val="21"/>
        </w:rPr>
        <w:t>... 1111</w:t>
      </w:r>
    </w:p>
    <w:p w14:paraId="6DA84F23" w14:textId="60042339" w:rsidR="003A005E" w:rsidRPr="00F03402" w:rsidRDefault="003A005E" w:rsidP="005403B8">
      <w:pPr>
        <w:keepNext/>
        <w:pBdr>
          <w:bottom w:val="single" w:sz="8" w:space="4" w:color="B89B5E"/>
        </w:pBdr>
        <w:spacing w:after="0" w:line="240" w:lineRule="auto"/>
        <w:ind w:right="-171"/>
        <w:rPr>
          <w:szCs w:val="21"/>
        </w:rPr>
      </w:pPr>
      <w:r w:rsidRPr="00F03402">
        <w:rPr>
          <w:szCs w:val="21"/>
        </w:rPr>
        <w:t>21.2.3 Lei 9.711/1998: redução para cinco anos ....</w:t>
      </w:r>
      <w:r w:rsidR="005403B8">
        <w:rPr>
          <w:szCs w:val="21"/>
        </w:rPr>
        <w:t>........................................</w:t>
      </w:r>
      <w:r w:rsidRPr="00F03402">
        <w:rPr>
          <w:szCs w:val="21"/>
        </w:rPr>
        <w:t>.... 111</w:t>
      </w:r>
      <w:r>
        <w:rPr>
          <w:szCs w:val="21"/>
        </w:rPr>
        <w:t>1</w:t>
      </w:r>
    </w:p>
    <w:p w14:paraId="6CF0D60B" w14:textId="137FD6DE" w:rsidR="003A005E" w:rsidRPr="00F03402" w:rsidRDefault="003A005E" w:rsidP="005403B8">
      <w:pPr>
        <w:keepNext/>
        <w:pBdr>
          <w:bottom w:val="single" w:sz="8" w:space="4" w:color="B89B5E"/>
        </w:pBdr>
        <w:spacing w:after="0" w:line="240" w:lineRule="auto"/>
        <w:ind w:right="-171"/>
        <w:rPr>
          <w:szCs w:val="21"/>
        </w:rPr>
      </w:pPr>
      <w:r w:rsidRPr="00F03402">
        <w:rPr>
          <w:szCs w:val="21"/>
        </w:rPr>
        <w:t>21.2.4 Lei 10.839/2004: retorno aos dez anos (redação vigente) .....</w:t>
      </w:r>
      <w:r w:rsidR="005403B8">
        <w:rPr>
          <w:szCs w:val="21"/>
        </w:rPr>
        <w:t>...............</w:t>
      </w:r>
      <w:r w:rsidRPr="00F03402">
        <w:rPr>
          <w:szCs w:val="21"/>
        </w:rPr>
        <w:t>... 111</w:t>
      </w:r>
      <w:r>
        <w:rPr>
          <w:szCs w:val="21"/>
        </w:rPr>
        <w:t>2</w:t>
      </w:r>
    </w:p>
    <w:p w14:paraId="6E504639" w14:textId="280EED47" w:rsidR="003A005E" w:rsidRPr="00F03402" w:rsidRDefault="003A005E" w:rsidP="005403B8">
      <w:pPr>
        <w:keepNext/>
        <w:pBdr>
          <w:bottom w:val="single" w:sz="8" w:space="4" w:color="B89B5E"/>
        </w:pBdr>
        <w:spacing w:after="0" w:line="240" w:lineRule="auto"/>
        <w:ind w:right="-171"/>
        <w:rPr>
          <w:szCs w:val="21"/>
        </w:rPr>
      </w:pPr>
      <w:r w:rsidRPr="00F03402">
        <w:rPr>
          <w:szCs w:val="21"/>
        </w:rPr>
        <w:t>21.2.5 Lei 13.846/2019: tentativa de extensão ao indeferimento .....</w:t>
      </w:r>
      <w:r w:rsidR="005403B8">
        <w:rPr>
          <w:szCs w:val="21"/>
        </w:rPr>
        <w:t>..............</w:t>
      </w:r>
      <w:r w:rsidRPr="00F03402">
        <w:rPr>
          <w:szCs w:val="21"/>
        </w:rPr>
        <w:t>... 111</w:t>
      </w:r>
      <w:r>
        <w:rPr>
          <w:szCs w:val="21"/>
        </w:rPr>
        <w:t>2</w:t>
      </w:r>
    </w:p>
    <w:p w14:paraId="18A2FE02" w14:textId="59DCE614" w:rsidR="003A005E" w:rsidRPr="00F03402" w:rsidRDefault="003A005E" w:rsidP="005403B8">
      <w:pPr>
        <w:keepNext/>
        <w:pBdr>
          <w:bottom w:val="single" w:sz="8" w:space="4" w:color="B89B5E"/>
        </w:pBdr>
        <w:spacing w:after="0" w:line="240" w:lineRule="auto"/>
        <w:ind w:right="-171"/>
        <w:rPr>
          <w:szCs w:val="21"/>
        </w:rPr>
      </w:pPr>
      <w:r w:rsidRPr="00F03402">
        <w:rPr>
          <w:szCs w:val="21"/>
        </w:rPr>
        <w:t>21.2.6 ADI 6096/STF: declaração de inconstitucionalidade .....</w:t>
      </w:r>
      <w:r w:rsidR="005403B8">
        <w:rPr>
          <w:szCs w:val="21"/>
        </w:rPr>
        <w:t>....................</w:t>
      </w:r>
      <w:r w:rsidRPr="00F03402">
        <w:rPr>
          <w:szCs w:val="21"/>
        </w:rPr>
        <w:t>... 111</w:t>
      </w:r>
      <w:r>
        <w:rPr>
          <w:szCs w:val="21"/>
        </w:rPr>
        <w:t>3</w:t>
      </w:r>
    </w:p>
    <w:p w14:paraId="3FF74B99" w14:textId="7B5C1303" w:rsidR="003A005E" w:rsidRPr="00F03402" w:rsidRDefault="003A005E" w:rsidP="005403B8">
      <w:pPr>
        <w:keepNext/>
        <w:pBdr>
          <w:bottom w:val="single" w:sz="8" w:space="4" w:color="B89B5E"/>
        </w:pBdr>
        <w:spacing w:after="0" w:line="240" w:lineRule="auto"/>
        <w:ind w:right="-171"/>
        <w:rPr>
          <w:szCs w:val="21"/>
        </w:rPr>
      </w:pPr>
      <w:r w:rsidRPr="00F03402">
        <w:rPr>
          <w:szCs w:val="21"/>
        </w:rPr>
        <w:t>21.2.7 Quadro 21.1 — Evolução do art. 103 da Lei 8.213/91 ...</w:t>
      </w:r>
      <w:r w:rsidR="005403B8">
        <w:rPr>
          <w:szCs w:val="21"/>
        </w:rPr>
        <w:t>...................</w:t>
      </w:r>
      <w:r w:rsidRPr="00F03402">
        <w:rPr>
          <w:szCs w:val="21"/>
        </w:rPr>
        <w:t>..... 111</w:t>
      </w:r>
      <w:r>
        <w:rPr>
          <w:szCs w:val="21"/>
        </w:rPr>
        <w:t>3</w:t>
      </w:r>
    </w:p>
    <w:p w14:paraId="0D1C0141" w14:textId="39992CCC" w:rsidR="003A005E" w:rsidRPr="00F03402" w:rsidRDefault="003A005E" w:rsidP="005403B8">
      <w:pPr>
        <w:keepNext/>
        <w:pBdr>
          <w:bottom w:val="single" w:sz="8" w:space="4" w:color="B89B5E"/>
        </w:pBdr>
        <w:spacing w:after="0" w:line="240" w:lineRule="auto"/>
        <w:ind w:right="-171"/>
        <w:rPr>
          <w:szCs w:val="21"/>
        </w:rPr>
      </w:pPr>
      <w:r w:rsidRPr="00F03402">
        <w:rPr>
          <w:szCs w:val="21"/>
        </w:rPr>
        <w:t>21.3 Natureza jurídica da decadência previdenciária .....</w:t>
      </w:r>
      <w:r w:rsidR="005403B8">
        <w:rPr>
          <w:szCs w:val="21"/>
        </w:rPr>
        <w:t>.................................</w:t>
      </w:r>
      <w:r w:rsidRPr="00F03402">
        <w:rPr>
          <w:szCs w:val="21"/>
        </w:rPr>
        <w:t>... 111</w:t>
      </w:r>
      <w:r>
        <w:rPr>
          <w:szCs w:val="21"/>
        </w:rPr>
        <w:t>5</w:t>
      </w:r>
    </w:p>
    <w:p w14:paraId="0668D7D5" w14:textId="3F7E2F94" w:rsidR="003A005E" w:rsidRPr="00F03402" w:rsidRDefault="003A005E" w:rsidP="005403B8">
      <w:pPr>
        <w:keepNext/>
        <w:pBdr>
          <w:bottom w:val="single" w:sz="8" w:space="4" w:color="B89B5E"/>
        </w:pBdr>
        <w:spacing w:after="0" w:line="240" w:lineRule="auto"/>
        <w:ind w:right="-171"/>
        <w:rPr>
          <w:szCs w:val="21"/>
        </w:rPr>
      </w:pPr>
      <w:r w:rsidRPr="00F03402">
        <w:rPr>
          <w:szCs w:val="21"/>
        </w:rPr>
        <w:t>21.4 Objeto da decadência: o que decai e o que não decai ...</w:t>
      </w:r>
      <w:r w:rsidR="005403B8">
        <w:rPr>
          <w:szCs w:val="21"/>
        </w:rPr>
        <w:t>..........................</w:t>
      </w:r>
      <w:r w:rsidRPr="00F03402">
        <w:rPr>
          <w:szCs w:val="21"/>
        </w:rPr>
        <w:t>..... 11</w:t>
      </w:r>
      <w:r>
        <w:rPr>
          <w:szCs w:val="21"/>
        </w:rPr>
        <w:t>17</w:t>
      </w:r>
    </w:p>
    <w:p w14:paraId="7F2CC936" w14:textId="12FDDF06" w:rsidR="003A005E" w:rsidRPr="00F03402" w:rsidRDefault="003A005E" w:rsidP="005403B8">
      <w:pPr>
        <w:keepNext/>
        <w:pBdr>
          <w:bottom w:val="single" w:sz="8" w:space="4" w:color="B89B5E"/>
        </w:pBdr>
        <w:spacing w:after="0" w:line="240" w:lineRule="auto"/>
        <w:ind w:right="-171"/>
        <w:rPr>
          <w:szCs w:val="21"/>
        </w:rPr>
      </w:pPr>
      <w:r w:rsidRPr="00F03402">
        <w:rPr>
          <w:szCs w:val="21"/>
        </w:rPr>
        <w:t>21.4.1 O que decai: revisão do ato de concessão .....</w:t>
      </w:r>
      <w:r w:rsidR="005403B8">
        <w:rPr>
          <w:szCs w:val="21"/>
        </w:rPr>
        <w:t>.........................................</w:t>
      </w:r>
      <w:r w:rsidRPr="00F03402">
        <w:rPr>
          <w:szCs w:val="21"/>
        </w:rPr>
        <w:t>... 11</w:t>
      </w:r>
      <w:r>
        <w:rPr>
          <w:szCs w:val="21"/>
        </w:rPr>
        <w:t>17</w:t>
      </w:r>
    </w:p>
    <w:p w14:paraId="74301DB7" w14:textId="49D5B78A" w:rsidR="003A005E" w:rsidRPr="00F03402" w:rsidRDefault="003A005E" w:rsidP="005403B8">
      <w:pPr>
        <w:keepNext/>
        <w:pBdr>
          <w:bottom w:val="single" w:sz="8" w:space="4" w:color="B89B5E"/>
        </w:pBdr>
        <w:spacing w:after="0" w:line="240" w:lineRule="auto"/>
        <w:ind w:right="-171"/>
        <w:rPr>
          <w:szCs w:val="21"/>
        </w:rPr>
      </w:pPr>
      <w:r w:rsidRPr="00F03402">
        <w:rPr>
          <w:szCs w:val="21"/>
        </w:rPr>
        <w:t>21.4.2 O que não decai: concessão originária ...</w:t>
      </w:r>
      <w:r w:rsidR="005403B8">
        <w:rPr>
          <w:szCs w:val="21"/>
        </w:rPr>
        <w:t>.............................................</w:t>
      </w:r>
      <w:r w:rsidRPr="00F03402">
        <w:rPr>
          <w:szCs w:val="21"/>
        </w:rPr>
        <w:t>..... 11</w:t>
      </w:r>
      <w:r>
        <w:rPr>
          <w:szCs w:val="21"/>
        </w:rPr>
        <w:t>18</w:t>
      </w:r>
    </w:p>
    <w:p w14:paraId="74F0F47B" w14:textId="2FCCA492" w:rsidR="003A005E" w:rsidRPr="00F03402" w:rsidRDefault="003A005E" w:rsidP="005403B8">
      <w:pPr>
        <w:keepNext/>
        <w:pBdr>
          <w:bottom w:val="single" w:sz="8" w:space="4" w:color="B89B5E"/>
        </w:pBdr>
        <w:spacing w:after="0" w:line="240" w:lineRule="auto"/>
        <w:ind w:right="-171"/>
        <w:rPr>
          <w:szCs w:val="21"/>
        </w:rPr>
      </w:pPr>
      <w:r w:rsidRPr="00F03402">
        <w:rPr>
          <w:szCs w:val="21"/>
        </w:rPr>
        <w:t>21.4.3 O que não decai: revisão de benefício indeferido ou cessado ....</w:t>
      </w:r>
      <w:r w:rsidR="005403B8">
        <w:rPr>
          <w:szCs w:val="21"/>
        </w:rPr>
        <w:t>..........</w:t>
      </w:r>
      <w:r w:rsidRPr="00F03402">
        <w:rPr>
          <w:szCs w:val="21"/>
        </w:rPr>
        <w:t>.... 11</w:t>
      </w:r>
      <w:r>
        <w:rPr>
          <w:szCs w:val="21"/>
        </w:rPr>
        <w:t>18</w:t>
      </w:r>
    </w:p>
    <w:p w14:paraId="5AE00E64" w14:textId="55F23812" w:rsidR="003A005E" w:rsidRPr="00F03402" w:rsidRDefault="003A005E" w:rsidP="005403B8">
      <w:pPr>
        <w:keepNext/>
        <w:pBdr>
          <w:bottom w:val="single" w:sz="8" w:space="4" w:color="B89B5E"/>
        </w:pBdr>
        <w:spacing w:after="0" w:line="240" w:lineRule="auto"/>
        <w:ind w:right="-171"/>
        <w:rPr>
          <w:szCs w:val="21"/>
        </w:rPr>
      </w:pPr>
      <w:r w:rsidRPr="00F03402">
        <w:rPr>
          <w:szCs w:val="21"/>
        </w:rPr>
        <w:t>21.4.4 O que não decai: fato superveniente, erro material e fraude ..</w:t>
      </w:r>
      <w:r w:rsidR="005403B8">
        <w:rPr>
          <w:szCs w:val="21"/>
        </w:rPr>
        <w:t>...........</w:t>
      </w:r>
      <w:r w:rsidRPr="00F03402">
        <w:rPr>
          <w:szCs w:val="21"/>
        </w:rPr>
        <w:t>...... 11</w:t>
      </w:r>
      <w:r>
        <w:rPr>
          <w:szCs w:val="21"/>
        </w:rPr>
        <w:t>19</w:t>
      </w:r>
    </w:p>
    <w:p w14:paraId="6094E7F8" w14:textId="308E2C6F" w:rsidR="003A005E" w:rsidRPr="00F03402" w:rsidRDefault="003A005E" w:rsidP="005403B8">
      <w:pPr>
        <w:keepNext/>
        <w:pBdr>
          <w:bottom w:val="single" w:sz="8" w:space="4" w:color="B89B5E"/>
        </w:pBdr>
        <w:spacing w:after="0" w:line="240" w:lineRule="auto"/>
        <w:ind w:right="-171"/>
        <w:rPr>
          <w:szCs w:val="21"/>
        </w:rPr>
      </w:pPr>
      <w:r w:rsidRPr="00F03402">
        <w:rPr>
          <w:szCs w:val="21"/>
        </w:rPr>
        <w:t>21.5 Termo inicial do prazo decadencial ....</w:t>
      </w:r>
      <w:r w:rsidR="005403B8">
        <w:rPr>
          <w:szCs w:val="21"/>
        </w:rPr>
        <w:t>....................................................</w:t>
      </w:r>
      <w:r w:rsidRPr="00F03402">
        <w:rPr>
          <w:szCs w:val="21"/>
        </w:rPr>
        <w:t>.... 112</w:t>
      </w:r>
      <w:r>
        <w:rPr>
          <w:szCs w:val="21"/>
        </w:rPr>
        <w:t>0</w:t>
      </w:r>
    </w:p>
    <w:p w14:paraId="4B940689" w14:textId="4B1F997C" w:rsidR="003A005E" w:rsidRPr="00F03402" w:rsidRDefault="003A005E" w:rsidP="005403B8">
      <w:pPr>
        <w:keepNext/>
        <w:pBdr>
          <w:bottom w:val="single" w:sz="8" w:space="4" w:color="B89B5E"/>
        </w:pBdr>
        <w:spacing w:after="0" w:line="240" w:lineRule="auto"/>
        <w:ind w:right="-171"/>
        <w:rPr>
          <w:szCs w:val="21"/>
        </w:rPr>
      </w:pPr>
      <w:r w:rsidRPr="00F03402">
        <w:rPr>
          <w:szCs w:val="21"/>
        </w:rPr>
        <w:t>21.5.1 Regra geral: primeiro dia do mês seguinte à primeira prestação .......</w:t>
      </w:r>
      <w:r w:rsidR="009B1738">
        <w:rPr>
          <w:szCs w:val="21"/>
        </w:rPr>
        <w:t>......</w:t>
      </w:r>
      <w:r w:rsidRPr="00F03402">
        <w:rPr>
          <w:szCs w:val="21"/>
        </w:rPr>
        <w:t>. 112</w:t>
      </w:r>
      <w:r>
        <w:rPr>
          <w:szCs w:val="21"/>
        </w:rPr>
        <w:t>0</w:t>
      </w:r>
    </w:p>
    <w:p w14:paraId="08CB8FC3" w14:textId="0F36CACB" w:rsidR="003A005E" w:rsidRPr="00F03402" w:rsidRDefault="003A005E" w:rsidP="005403B8">
      <w:pPr>
        <w:keepNext/>
        <w:pBdr>
          <w:bottom w:val="single" w:sz="8" w:space="4" w:color="B89B5E"/>
        </w:pBdr>
        <w:spacing w:after="0" w:line="240" w:lineRule="auto"/>
        <w:ind w:right="-171"/>
        <w:rPr>
          <w:szCs w:val="21"/>
        </w:rPr>
      </w:pPr>
      <w:r w:rsidRPr="00F03402">
        <w:rPr>
          <w:szCs w:val="21"/>
        </w:rPr>
        <w:t>21.5.2 Tema 975/STJ: incidência mesmo sem exame de ofício pelo INSS ...</w:t>
      </w:r>
      <w:r w:rsidR="009B1738">
        <w:rPr>
          <w:szCs w:val="21"/>
        </w:rPr>
        <w:t>.</w:t>
      </w:r>
      <w:r w:rsidRPr="00F03402">
        <w:rPr>
          <w:szCs w:val="21"/>
        </w:rPr>
        <w:t>... 112</w:t>
      </w:r>
      <w:r>
        <w:rPr>
          <w:szCs w:val="21"/>
        </w:rPr>
        <w:t>1</w:t>
      </w:r>
    </w:p>
    <w:p w14:paraId="0456E517" w14:textId="79CEF565" w:rsidR="003A005E" w:rsidRPr="00F03402" w:rsidRDefault="003A005E" w:rsidP="005403B8">
      <w:pPr>
        <w:keepNext/>
        <w:pBdr>
          <w:bottom w:val="single" w:sz="8" w:space="4" w:color="B89B5E"/>
        </w:pBdr>
        <w:spacing w:after="0" w:line="240" w:lineRule="auto"/>
        <w:ind w:right="-171"/>
        <w:rPr>
          <w:szCs w:val="21"/>
        </w:rPr>
      </w:pPr>
      <w:r w:rsidRPr="00F03402">
        <w:rPr>
          <w:szCs w:val="21"/>
        </w:rPr>
        <w:t>21.5.3 Questões práticas de apuração do termo inicial ..</w:t>
      </w:r>
      <w:r w:rsidR="009B1738">
        <w:rPr>
          <w:szCs w:val="21"/>
        </w:rPr>
        <w:t>..............................</w:t>
      </w:r>
      <w:r w:rsidRPr="00F03402">
        <w:rPr>
          <w:szCs w:val="21"/>
        </w:rPr>
        <w:t>...... 112</w:t>
      </w:r>
      <w:r>
        <w:rPr>
          <w:szCs w:val="21"/>
        </w:rPr>
        <w:t>2</w:t>
      </w:r>
    </w:p>
    <w:p w14:paraId="149F4E24" w14:textId="50B84559" w:rsidR="003A005E" w:rsidRPr="00F03402" w:rsidRDefault="003A005E" w:rsidP="009B1738">
      <w:pPr>
        <w:keepNext/>
        <w:pBdr>
          <w:bottom w:val="single" w:sz="8" w:space="4" w:color="B89B5E"/>
        </w:pBdr>
        <w:spacing w:after="0" w:line="240" w:lineRule="auto"/>
        <w:ind w:right="-171"/>
        <w:rPr>
          <w:szCs w:val="21"/>
        </w:rPr>
      </w:pPr>
      <w:r w:rsidRPr="00F03402">
        <w:rPr>
          <w:szCs w:val="21"/>
        </w:rPr>
        <w:t>21.6 Tema 966/STJ: decadência e direito ao benefício mais vantajoso .....</w:t>
      </w:r>
      <w:r w:rsidR="009B1738">
        <w:rPr>
          <w:szCs w:val="21"/>
        </w:rPr>
        <w:t>.....</w:t>
      </w:r>
      <w:r w:rsidRPr="00F03402">
        <w:rPr>
          <w:szCs w:val="21"/>
        </w:rPr>
        <w:t>... 112</w:t>
      </w:r>
      <w:r>
        <w:rPr>
          <w:szCs w:val="21"/>
        </w:rPr>
        <w:t>4</w:t>
      </w:r>
    </w:p>
    <w:p w14:paraId="3E858A0E" w14:textId="3B94E8E7" w:rsidR="003A005E" w:rsidRPr="00F03402" w:rsidRDefault="003A005E" w:rsidP="009B1738">
      <w:pPr>
        <w:keepNext/>
        <w:pBdr>
          <w:bottom w:val="single" w:sz="8" w:space="4" w:color="B89B5E"/>
        </w:pBdr>
        <w:spacing w:after="0" w:line="240" w:lineRule="auto"/>
        <w:ind w:right="-171"/>
        <w:rPr>
          <w:szCs w:val="21"/>
        </w:rPr>
      </w:pPr>
      <w:r w:rsidRPr="00F03402">
        <w:rPr>
          <w:szCs w:val="21"/>
        </w:rPr>
        <w:t>21.7 Decadência administrativa: o poder-dever de revisão pelo INSS (art. 103-A) ..</w:t>
      </w:r>
      <w:r w:rsidR="009B1738">
        <w:rPr>
          <w:szCs w:val="21"/>
        </w:rPr>
        <w:t>...........................................................................................................................</w:t>
      </w:r>
      <w:r w:rsidRPr="00F03402">
        <w:rPr>
          <w:szCs w:val="21"/>
        </w:rPr>
        <w:t>. 11</w:t>
      </w:r>
      <w:r>
        <w:rPr>
          <w:szCs w:val="21"/>
        </w:rPr>
        <w:t>25</w:t>
      </w:r>
    </w:p>
    <w:p w14:paraId="240DFFCC" w14:textId="1249D0BF" w:rsidR="003A005E" w:rsidRPr="00F03402" w:rsidRDefault="003A005E" w:rsidP="009B1738">
      <w:pPr>
        <w:keepNext/>
        <w:pBdr>
          <w:bottom w:val="single" w:sz="8" w:space="4" w:color="B89B5E"/>
        </w:pBdr>
        <w:spacing w:after="0" w:line="240" w:lineRule="auto"/>
        <w:ind w:right="-171"/>
        <w:rPr>
          <w:szCs w:val="21"/>
        </w:rPr>
      </w:pPr>
      <w:r w:rsidRPr="00F03402">
        <w:rPr>
          <w:szCs w:val="21"/>
        </w:rPr>
        <w:t>21.8 Constitucionalidade do prazo decadencial de 10 anos .....</w:t>
      </w:r>
      <w:r w:rsidR="009B1738">
        <w:rPr>
          <w:szCs w:val="21"/>
        </w:rPr>
        <w:t>.......................</w:t>
      </w:r>
      <w:r w:rsidRPr="00F03402">
        <w:rPr>
          <w:szCs w:val="21"/>
        </w:rPr>
        <w:t>... 11</w:t>
      </w:r>
      <w:r>
        <w:rPr>
          <w:szCs w:val="21"/>
        </w:rPr>
        <w:t>28</w:t>
      </w:r>
    </w:p>
    <w:p w14:paraId="481AFE3D" w14:textId="1689F420" w:rsidR="003A005E" w:rsidRPr="00F03402" w:rsidRDefault="003A005E" w:rsidP="009B1738">
      <w:pPr>
        <w:keepNext/>
        <w:pBdr>
          <w:bottom w:val="single" w:sz="8" w:space="4" w:color="B89B5E"/>
        </w:pBdr>
        <w:spacing w:after="0" w:line="240" w:lineRule="auto"/>
        <w:ind w:right="-171"/>
        <w:rPr>
          <w:szCs w:val="21"/>
        </w:rPr>
      </w:pPr>
      <w:r w:rsidRPr="00F03402">
        <w:rPr>
          <w:szCs w:val="21"/>
        </w:rPr>
        <w:t>21.9 Prescrição quinquenal: art. 103, parágrafo único ....</w:t>
      </w:r>
      <w:r w:rsidR="009B1738">
        <w:rPr>
          <w:szCs w:val="21"/>
        </w:rPr>
        <w:t>..............................</w:t>
      </w:r>
      <w:r w:rsidRPr="00F03402">
        <w:rPr>
          <w:szCs w:val="21"/>
        </w:rPr>
        <w:t>.... 113</w:t>
      </w:r>
      <w:r>
        <w:rPr>
          <w:szCs w:val="21"/>
        </w:rPr>
        <w:t>0</w:t>
      </w:r>
    </w:p>
    <w:p w14:paraId="4E984ECA" w14:textId="29434195" w:rsidR="003A005E" w:rsidRPr="00F03402" w:rsidRDefault="003A005E" w:rsidP="009B1738">
      <w:pPr>
        <w:keepNext/>
        <w:pBdr>
          <w:bottom w:val="single" w:sz="8" w:space="4" w:color="B89B5E"/>
        </w:pBdr>
        <w:spacing w:after="0" w:line="240" w:lineRule="auto"/>
        <w:ind w:right="-171"/>
        <w:rPr>
          <w:szCs w:val="21"/>
        </w:rPr>
      </w:pPr>
      <w:r w:rsidRPr="00F03402">
        <w:rPr>
          <w:szCs w:val="21"/>
        </w:rPr>
        <w:t>21.10 Trato sucessivo e Súmula 85/STJ ..</w:t>
      </w:r>
      <w:r w:rsidR="009B1738">
        <w:rPr>
          <w:szCs w:val="21"/>
        </w:rPr>
        <w:t>.....................................................</w:t>
      </w:r>
      <w:r w:rsidRPr="00F03402">
        <w:rPr>
          <w:szCs w:val="21"/>
        </w:rPr>
        <w:t>...... 113</w:t>
      </w:r>
      <w:r>
        <w:rPr>
          <w:szCs w:val="21"/>
        </w:rPr>
        <w:t>1</w:t>
      </w:r>
    </w:p>
    <w:p w14:paraId="4413730D" w14:textId="640B6651" w:rsidR="003A005E" w:rsidRPr="00F03402" w:rsidRDefault="003A005E" w:rsidP="009B1738">
      <w:pPr>
        <w:keepNext/>
        <w:pBdr>
          <w:bottom w:val="single" w:sz="8" w:space="4" w:color="B89B5E"/>
        </w:pBdr>
        <w:spacing w:after="0" w:line="240" w:lineRule="auto"/>
        <w:ind w:right="-171"/>
        <w:rPr>
          <w:szCs w:val="21"/>
        </w:rPr>
      </w:pPr>
      <w:r w:rsidRPr="00F03402">
        <w:rPr>
          <w:szCs w:val="21"/>
        </w:rPr>
        <w:t>21.10.1 Fundo de direito imprescritível ....</w:t>
      </w:r>
      <w:r w:rsidR="009B1738">
        <w:rPr>
          <w:szCs w:val="21"/>
        </w:rPr>
        <w:t>.....................................................</w:t>
      </w:r>
      <w:r w:rsidRPr="00F03402">
        <w:rPr>
          <w:szCs w:val="21"/>
        </w:rPr>
        <w:t>.... 113</w:t>
      </w:r>
      <w:r>
        <w:rPr>
          <w:szCs w:val="21"/>
        </w:rPr>
        <w:t>2</w:t>
      </w:r>
    </w:p>
    <w:p w14:paraId="39318121" w14:textId="15187A26" w:rsidR="003A005E" w:rsidRPr="00F03402" w:rsidRDefault="003A005E" w:rsidP="009B1738">
      <w:pPr>
        <w:keepNext/>
        <w:pBdr>
          <w:bottom w:val="single" w:sz="8" w:space="4" w:color="B89B5E"/>
        </w:pBdr>
        <w:spacing w:after="0" w:line="240" w:lineRule="auto"/>
        <w:ind w:right="-171"/>
        <w:rPr>
          <w:szCs w:val="21"/>
        </w:rPr>
      </w:pPr>
      <w:r w:rsidRPr="00F03402">
        <w:rPr>
          <w:szCs w:val="21"/>
        </w:rPr>
        <w:t>21.10.2 Exceção: negativa expressa do direito ......</w:t>
      </w:r>
      <w:r w:rsidR="009B1738">
        <w:rPr>
          <w:szCs w:val="21"/>
        </w:rPr>
        <w:t>............................................</w:t>
      </w:r>
      <w:r w:rsidRPr="00F03402">
        <w:rPr>
          <w:szCs w:val="21"/>
        </w:rPr>
        <w:t>.. 11</w:t>
      </w:r>
      <w:r>
        <w:rPr>
          <w:szCs w:val="21"/>
        </w:rPr>
        <w:t>32</w:t>
      </w:r>
    </w:p>
    <w:p w14:paraId="3B33ACCD" w14:textId="13B93046" w:rsidR="003A005E" w:rsidRPr="00F03402" w:rsidRDefault="003A005E" w:rsidP="009B1738">
      <w:pPr>
        <w:keepNext/>
        <w:pBdr>
          <w:bottom w:val="single" w:sz="8" w:space="4" w:color="B89B5E"/>
        </w:pBdr>
        <w:spacing w:after="0" w:line="240" w:lineRule="auto"/>
        <w:ind w:right="-171"/>
        <w:rPr>
          <w:szCs w:val="21"/>
        </w:rPr>
      </w:pPr>
      <w:r w:rsidRPr="00F03402">
        <w:rPr>
          <w:szCs w:val="21"/>
        </w:rPr>
        <w:t>21.10.3 Exemplos práticos da aplicação nos JEFs ...</w:t>
      </w:r>
      <w:r w:rsidR="009B1738">
        <w:rPr>
          <w:szCs w:val="21"/>
        </w:rPr>
        <w:t>......................................</w:t>
      </w:r>
      <w:r w:rsidRPr="00F03402">
        <w:rPr>
          <w:szCs w:val="21"/>
        </w:rPr>
        <w:t>..... 11</w:t>
      </w:r>
      <w:r>
        <w:rPr>
          <w:szCs w:val="21"/>
        </w:rPr>
        <w:t>33</w:t>
      </w:r>
    </w:p>
    <w:p w14:paraId="4878F7D5" w14:textId="386B2ECB" w:rsidR="003A005E" w:rsidRPr="00F03402" w:rsidRDefault="003A005E" w:rsidP="009B1738">
      <w:pPr>
        <w:keepNext/>
        <w:pBdr>
          <w:bottom w:val="single" w:sz="8" w:space="4" w:color="B89B5E"/>
        </w:pBdr>
        <w:spacing w:after="0" w:line="240" w:lineRule="auto"/>
        <w:ind w:right="-171"/>
        <w:rPr>
          <w:szCs w:val="21"/>
        </w:rPr>
      </w:pPr>
      <w:r w:rsidRPr="00F03402">
        <w:rPr>
          <w:szCs w:val="21"/>
        </w:rPr>
        <w:t>21.11 Termo inicial da prescrição: casuística ......</w:t>
      </w:r>
      <w:r w:rsidR="009B1738">
        <w:rPr>
          <w:szCs w:val="21"/>
        </w:rPr>
        <w:t>.............................................</w:t>
      </w:r>
      <w:r w:rsidRPr="00F03402">
        <w:rPr>
          <w:szCs w:val="21"/>
        </w:rPr>
        <w:t>.. 11</w:t>
      </w:r>
      <w:r>
        <w:rPr>
          <w:szCs w:val="21"/>
        </w:rPr>
        <w:t>35</w:t>
      </w:r>
    </w:p>
    <w:p w14:paraId="63C88B88" w14:textId="29DB12E0" w:rsidR="003A005E" w:rsidRPr="00F03402" w:rsidRDefault="003A005E" w:rsidP="009B1738">
      <w:pPr>
        <w:keepNext/>
        <w:pBdr>
          <w:bottom w:val="single" w:sz="8" w:space="4" w:color="B89B5E"/>
        </w:pBdr>
        <w:spacing w:after="0" w:line="240" w:lineRule="auto"/>
        <w:ind w:right="-171"/>
        <w:rPr>
          <w:szCs w:val="21"/>
        </w:rPr>
      </w:pPr>
      <w:r w:rsidRPr="00F03402">
        <w:rPr>
          <w:szCs w:val="21"/>
        </w:rPr>
        <w:t>21.11.1 Benefício concedido com valor inferior ao devido ....</w:t>
      </w:r>
      <w:r w:rsidR="009B1738">
        <w:rPr>
          <w:szCs w:val="21"/>
        </w:rPr>
        <w:t>........................</w:t>
      </w:r>
      <w:r w:rsidRPr="00F03402">
        <w:rPr>
          <w:szCs w:val="21"/>
        </w:rPr>
        <w:t>.... 11</w:t>
      </w:r>
      <w:r>
        <w:rPr>
          <w:szCs w:val="21"/>
        </w:rPr>
        <w:t>36</w:t>
      </w:r>
    </w:p>
    <w:p w14:paraId="1F9DC27D" w14:textId="3DE339B5" w:rsidR="003A005E" w:rsidRPr="00F03402" w:rsidRDefault="003A005E" w:rsidP="009B1738">
      <w:pPr>
        <w:keepNext/>
        <w:pBdr>
          <w:bottom w:val="single" w:sz="8" w:space="4" w:color="B89B5E"/>
        </w:pBdr>
        <w:spacing w:after="0" w:line="240" w:lineRule="auto"/>
        <w:ind w:right="-171"/>
        <w:rPr>
          <w:szCs w:val="21"/>
        </w:rPr>
      </w:pPr>
      <w:r w:rsidRPr="00F03402">
        <w:rPr>
          <w:szCs w:val="21"/>
        </w:rPr>
        <w:t>21.11.2 Benefício indeferido ....</w:t>
      </w:r>
      <w:r w:rsidR="009B1738">
        <w:rPr>
          <w:szCs w:val="21"/>
        </w:rPr>
        <w:t>......................................................................</w:t>
      </w:r>
      <w:r w:rsidRPr="00F03402">
        <w:rPr>
          <w:szCs w:val="21"/>
        </w:rPr>
        <w:t>.... 11</w:t>
      </w:r>
      <w:r>
        <w:rPr>
          <w:szCs w:val="21"/>
        </w:rPr>
        <w:t>36</w:t>
      </w:r>
    </w:p>
    <w:p w14:paraId="023B0656" w14:textId="25D17659" w:rsidR="003A005E" w:rsidRPr="00F03402" w:rsidRDefault="003A005E" w:rsidP="009B1738">
      <w:pPr>
        <w:keepNext/>
        <w:pBdr>
          <w:bottom w:val="single" w:sz="8" w:space="4" w:color="B89B5E"/>
        </w:pBdr>
        <w:spacing w:after="0" w:line="240" w:lineRule="auto"/>
        <w:ind w:right="-171"/>
        <w:rPr>
          <w:szCs w:val="21"/>
        </w:rPr>
      </w:pPr>
      <w:r w:rsidRPr="00F03402">
        <w:rPr>
          <w:szCs w:val="21"/>
        </w:rPr>
        <w:t>21.11.3 Benefício cessado indevidamente .....</w:t>
      </w:r>
      <w:r w:rsidR="009B1738">
        <w:rPr>
          <w:szCs w:val="21"/>
        </w:rPr>
        <w:t>..................................................</w:t>
      </w:r>
      <w:r w:rsidRPr="00F03402">
        <w:rPr>
          <w:szCs w:val="21"/>
        </w:rPr>
        <w:t>... 11</w:t>
      </w:r>
      <w:r>
        <w:rPr>
          <w:szCs w:val="21"/>
        </w:rPr>
        <w:t>37</w:t>
      </w:r>
    </w:p>
    <w:p w14:paraId="2D6ECB50" w14:textId="4128CAC2" w:rsidR="003A005E" w:rsidRPr="00F03402" w:rsidRDefault="003A005E" w:rsidP="009B1738">
      <w:pPr>
        <w:keepNext/>
        <w:pBdr>
          <w:bottom w:val="single" w:sz="8" w:space="4" w:color="B89B5E"/>
        </w:pBdr>
        <w:spacing w:after="0" w:line="240" w:lineRule="auto"/>
        <w:ind w:right="-171"/>
        <w:rPr>
          <w:szCs w:val="21"/>
        </w:rPr>
      </w:pPr>
      <w:r w:rsidRPr="00F03402">
        <w:rPr>
          <w:szCs w:val="21"/>
        </w:rPr>
        <w:t>21.11.4 Revisão judicial com trânsito em julgado ..</w:t>
      </w:r>
      <w:r w:rsidR="009B1738">
        <w:rPr>
          <w:szCs w:val="21"/>
        </w:rPr>
        <w:t>......................................</w:t>
      </w:r>
      <w:r w:rsidRPr="00F03402">
        <w:rPr>
          <w:szCs w:val="21"/>
        </w:rPr>
        <w:t>...... 11</w:t>
      </w:r>
      <w:r>
        <w:rPr>
          <w:szCs w:val="21"/>
        </w:rPr>
        <w:t>37</w:t>
      </w:r>
    </w:p>
    <w:p w14:paraId="0E7A8D24" w14:textId="0B8B1098" w:rsidR="003A005E" w:rsidRPr="00F03402" w:rsidRDefault="003A005E" w:rsidP="009B1738">
      <w:pPr>
        <w:keepNext/>
        <w:pBdr>
          <w:bottom w:val="single" w:sz="8" w:space="4" w:color="B89B5E"/>
        </w:pBdr>
        <w:spacing w:after="0" w:line="240" w:lineRule="auto"/>
        <w:ind w:right="-171"/>
        <w:rPr>
          <w:szCs w:val="21"/>
        </w:rPr>
      </w:pPr>
      <w:r w:rsidRPr="00F03402">
        <w:rPr>
          <w:szCs w:val="21"/>
        </w:rPr>
        <w:t>21.11.5 Reclamatória trabalhista com reflexos previdenciários ....</w:t>
      </w:r>
      <w:r w:rsidR="009B1738">
        <w:rPr>
          <w:szCs w:val="21"/>
        </w:rPr>
        <w:t>................</w:t>
      </w:r>
      <w:r w:rsidRPr="00F03402">
        <w:rPr>
          <w:szCs w:val="21"/>
        </w:rPr>
        <w:t>.... 11</w:t>
      </w:r>
      <w:r>
        <w:rPr>
          <w:szCs w:val="21"/>
        </w:rPr>
        <w:t>38</w:t>
      </w:r>
    </w:p>
    <w:p w14:paraId="0E8556BA" w14:textId="77E62DFD" w:rsidR="003A005E" w:rsidRPr="00F03402" w:rsidRDefault="003A005E" w:rsidP="009B1738">
      <w:pPr>
        <w:keepNext/>
        <w:pBdr>
          <w:bottom w:val="single" w:sz="8" w:space="4" w:color="B89B5E"/>
        </w:pBdr>
        <w:spacing w:after="0" w:line="240" w:lineRule="auto"/>
        <w:ind w:right="-171"/>
        <w:rPr>
          <w:szCs w:val="21"/>
        </w:rPr>
      </w:pPr>
      <w:r w:rsidRPr="00F03402">
        <w:rPr>
          <w:szCs w:val="21"/>
        </w:rPr>
        <w:t>21.12 Causas de interrupção e suspensão da prescrição .....</w:t>
      </w:r>
      <w:r w:rsidR="009B1738">
        <w:rPr>
          <w:szCs w:val="21"/>
        </w:rPr>
        <w:t>.............................</w:t>
      </w:r>
      <w:r w:rsidRPr="00F03402">
        <w:rPr>
          <w:szCs w:val="21"/>
        </w:rPr>
        <w:t>... 11</w:t>
      </w:r>
      <w:r>
        <w:rPr>
          <w:szCs w:val="21"/>
        </w:rPr>
        <w:t>38</w:t>
      </w:r>
    </w:p>
    <w:p w14:paraId="2C5CDD56" w14:textId="09A29A69" w:rsidR="003A005E" w:rsidRPr="00F03402" w:rsidRDefault="003A005E" w:rsidP="009B1738">
      <w:pPr>
        <w:keepNext/>
        <w:pBdr>
          <w:bottom w:val="single" w:sz="8" w:space="4" w:color="B89B5E"/>
        </w:pBdr>
        <w:spacing w:after="0" w:line="240" w:lineRule="auto"/>
        <w:ind w:right="-171"/>
        <w:rPr>
          <w:szCs w:val="21"/>
        </w:rPr>
      </w:pPr>
      <w:r w:rsidRPr="00F03402">
        <w:rPr>
          <w:szCs w:val="21"/>
        </w:rPr>
        <w:t>21.12.1 Interrupção pelo requerimento administrativo .....</w:t>
      </w:r>
      <w:r w:rsidR="009B1738">
        <w:rPr>
          <w:szCs w:val="21"/>
        </w:rPr>
        <w:t>............................</w:t>
      </w:r>
      <w:r w:rsidRPr="00F03402">
        <w:rPr>
          <w:szCs w:val="21"/>
        </w:rPr>
        <w:t>... 11</w:t>
      </w:r>
      <w:r>
        <w:rPr>
          <w:szCs w:val="21"/>
        </w:rPr>
        <w:t>39</w:t>
      </w:r>
    </w:p>
    <w:p w14:paraId="01A3F5D3" w14:textId="2BBDC5F5" w:rsidR="003A005E" w:rsidRPr="00F03402" w:rsidRDefault="003A005E" w:rsidP="009B1738">
      <w:pPr>
        <w:keepNext/>
        <w:pBdr>
          <w:bottom w:val="single" w:sz="8" w:space="4" w:color="B89B5E"/>
        </w:pBdr>
        <w:spacing w:after="0" w:line="240" w:lineRule="auto"/>
        <w:ind w:right="-171"/>
        <w:rPr>
          <w:szCs w:val="21"/>
        </w:rPr>
      </w:pPr>
      <w:r w:rsidRPr="00F03402">
        <w:rPr>
          <w:szCs w:val="21"/>
        </w:rPr>
        <w:t>21.12.2 Interrupção pela citação válida ...</w:t>
      </w:r>
      <w:r w:rsidR="009B1738">
        <w:rPr>
          <w:szCs w:val="21"/>
        </w:rPr>
        <w:t>......................................................</w:t>
      </w:r>
      <w:r w:rsidRPr="00F03402">
        <w:rPr>
          <w:szCs w:val="21"/>
        </w:rPr>
        <w:t>..... 11</w:t>
      </w:r>
      <w:r>
        <w:rPr>
          <w:szCs w:val="21"/>
        </w:rPr>
        <w:t>39</w:t>
      </w:r>
    </w:p>
    <w:p w14:paraId="0A1A615E" w14:textId="61FAB914" w:rsidR="003A005E" w:rsidRPr="00F03402" w:rsidRDefault="003A005E" w:rsidP="009B1738">
      <w:pPr>
        <w:keepNext/>
        <w:pBdr>
          <w:bottom w:val="single" w:sz="8" w:space="4" w:color="B89B5E"/>
        </w:pBdr>
        <w:spacing w:after="0" w:line="240" w:lineRule="auto"/>
        <w:ind w:right="-171"/>
        <w:rPr>
          <w:szCs w:val="21"/>
        </w:rPr>
      </w:pPr>
      <w:r w:rsidRPr="00F03402">
        <w:rPr>
          <w:szCs w:val="21"/>
        </w:rPr>
        <w:t>21.12.3 Suspensão pela pendência de recurso administrativo .....</w:t>
      </w:r>
      <w:r w:rsidR="009B1738">
        <w:rPr>
          <w:szCs w:val="21"/>
        </w:rPr>
        <w:t>...................</w:t>
      </w:r>
      <w:r w:rsidRPr="00F03402">
        <w:rPr>
          <w:szCs w:val="21"/>
        </w:rPr>
        <w:t>... 114</w:t>
      </w:r>
      <w:r>
        <w:rPr>
          <w:szCs w:val="21"/>
        </w:rPr>
        <w:t>0</w:t>
      </w:r>
    </w:p>
    <w:p w14:paraId="31161217" w14:textId="341F7FA4" w:rsidR="003A005E" w:rsidRPr="00F03402" w:rsidRDefault="003A005E" w:rsidP="009B1738">
      <w:pPr>
        <w:keepNext/>
        <w:pBdr>
          <w:bottom w:val="single" w:sz="8" w:space="4" w:color="B89B5E"/>
        </w:pBdr>
        <w:spacing w:after="0" w:line="240" w:lineRule="auto"/>
        <w:ind w:right="-171"/>
        <w:rPr>
          <w:szCs w:val="21"/>
        </w:rPr>
      </w:pPr>
      <w:r w:rsidRPr="00F03402">
        <w:rPr>
          <w:szCs w:val="21"/>
        </w:rPr>
        <w:lastRenderedPageBreak/>
        <w:t>21.12.4 Suspensão pela incapacidade civil ...</w:t>
      </w:r>
      <w:r w:rsidR="009B1738">
        <w:rPr>
          <w:szCs w:val="21"/>
        </w:rPr>
        <w:t>.................................................</w:t>
      </w:r>
      <w:r w:rsidRPr="00F03402">
        <w:rPr>
          <w:szCs w:val="21"/>
        </w:rPr>
        <w:t>..... 11</w:t>
      </w:r>
      <w:r>
        <w:rPr>
          <w:szCs w:val="21"/>
        </w:rPr>
        <w:t>40</w:t>
      </w:r>
    </w:p>
    <w:p w14:paraId="36C0D183" w14:textId="13EB1957" w:rsidR="003A005E" w:rsidRPr="00F03402" w:rsidRDefault="003A005E" w:rsidP="009B1738">
      <w:pPr>
        <w:keepNext/>
        <w:pBdr>
          <w:bottom w:val="single" w:sz="8" w:space="4" w:color="B89B5E"/>
        </w:pBdr>
        <w:spacing w:after="0" w:line="240" w:lineRule="auto"/>
        <w:ind w:right="-171"/>
        <w:rPr>
          <w:szCs w:val="21"/>
        </w:rPr>
      </w:pPr>
      <w:r w:rsidRPr="00F03402">
        <w:rPr>
          <w:szCs w:val="21"/>
        </w:rPr>
        <w:t>21.12.5 COVID-19 e prazos materiais de prescrição e decadência ....</w:t>
      </w:r>
      <w:r w:rsidR="009B1738">
        <w:rPr>
          <w:szCs w:val="21"/>
        </w:rPr>
        <w:t>............</w:t>
      </w:r>
      <w:r w:rsidRPr="00F03402">
        <w:rPr>
          <w:szCs w:val="21"/>
        </w:rPr>
        <w:t>.... 11</w:t>
      </w:r>
      <w:r>
        <w:rPr>
          <w:szCs w:val="21"/>
        </w:rPr>
        <w:t>41</w:t>
      </w:r>
    </w:p>
    <w:p w14:paraId="1E3265EC" w14:textId="36580B7F" w:rsidR="003A005E" w:rsidRPr="00F03402" w:rsidRDefault="003A005E" w:rsidP="009B1738">
      <w:pPr>
        <w:keepNext/>
        <w:pBdr>
          <w:bottom w:val="single" w:sz="8" w:space="4" w:color="B89B5E"/>
        </w:pBdr>
        <w:spacing w:after="0" w:line="240" w:lineRule="auto"/>
        <w:ind w:right="-171"/>
        <w:rPr>
          <w:szCs w:val="21"/>
        </w:rPr>
      </w:pPr>
      <w:r w:rsidRPr="00F03402">
        <w:rPr>
          <w:szCs w:val="21"/>
        </w:rPr>
        <w:t>21.13 Prescrição e menores, incapazes e ausentes ...</w:t>
      </w:r>
      <w:r w:rsidR="009B1738">
        <w:rPr>
          <w:szCs w:val="21"/>
        </w:rPr>
        <w:t>.......................................</w:t>
      </w:r>
      <w:r w:rsidRPr="00F03402">
        <w:rPr>
          <w:szCs w:val="21"/>
        </w:rPr>
        <w:t>..... 11</w:t>
      </w:r>
      <w:r>
        <w:rPr>
          <w:szCs w:val="21"/>
        </w:rPr>
        <w:t>4</w:t>
      </w:r>
      <w:r w:rsidRPr="00F03402">
        <w:rPr>
          <w:szCs w:val="21"/>
        </w:rPr>
        <w:t>2</w:t>
      </w:r>
    </w:p>
    <w:p w14:paraId="0E7CC9EE" w14:textId="12529E26" w:rsidR="003A005E" w:rsidRPr="00F03402" w:rsidRDefault="003A005E" w:rsidP="009B1738">
      <w:pPr>
        <w:keepNext/>
        <w:pBdr>
          <w:bottom w:val="single" w:sz="8" w:space="4" w:color="B89B5E"/>
        </w:pBdr>
        <w:spacing w:after="0" w:line="240" w:lineRule="auto"/>
        <w:ind w:right="-171"/>
        <w:rPr>
          <w:szCs w:val="21"/>
        </w:rPr>
      </w:pPr>
      <w:r w:rsidRPr="00F03402">
        <w:rPr>
          <w:szCs w:val="21"/>
        </w:rPr>
        <w:t>21.13.1 Absolutamente incapazes: art. 3º do CC após a Lei 13.146/2015 ........ 11</w:t>
      </w:r>
      <w:r>
        <w:rPr>
          <w:szCs w:val="21"/>
        </w:rPr>
        <w:t>42</w:t>
      </w:r>
    </w:p>
    <w:p w14:paraId="645B75F7" w14:textId="6F8A0CE2" w:rsidR="003A005E" w:rsidRPr="00F03402" w:rsidRDefault="003A005E" w:rsidP="009B1738">
      <w:pPr>
        <w:keepNext/>
        <w:pBdr>
          <w:bottom w:val="single" w:sz="8" w:space="4" w:color="B89B5E"/>
        </w:pBdr>
        <w:spacing w:after="0" w:line="240" w:lineRule="auto"/>
        <w:ind w:right="-171"/>
        <w:rPr>
          <w:szCs w:val="21"/>
        </w:rPr>
      </w:pPr>
      <w:r w:rsidRPr="00F03402">
        <w:rPr>
          <w:szCs w:val="21"/>
        </w:rPr>
        <w:t>21.13.2 Impacto na proteção prescricional de beneficiários vulneráveis ...</w:t>
      </w:r>
      <w:r w:rsidR="009B1738">
        <w:rPr>
          <w:szCs w:val="21"/>
        </w:rPr>
        <w:t>...</w:t>
      </w:r>
      <w:r w:rsidRPr="00F03402">
        <w:rPr>
          <w:szCs w:val="21"/>
        </w:rPr>
        <w:t>..... 11</w:t>
      </w:r>
      <w:r>
        <w:rPr>
          <w:szCs w:val="21"/>
        </w:rPr>
        <w:t>43</w:t>
      </w:r>
    </w:p>
    <w:p w14:paraId="23C98203" w14:textId="025DACB7" w:rsidR="003A005E" w:rsidRPr="00F03402" w:rsidRDefault="003A005E" w:rsidP="009B1738">
      <w:pPr>
        <w:keepNext/>
        <w:pBdr>
          <w:bottom w:val="single" w:sz="8" w:space="4" w:color="B89B5E"/>
        </w:pBdr>
        <w:spacing w:after="0" w:line="240" w:lineRule="auto"/>
        <w:ind w:right="-171"/>
        <w:rPr>
          <w:szCs w:val="21"/>
        </w:rPr>
      </w:pPr>
      <w:r w:rsidRPr="00F03402">
        <w:rPr>
          <w:szCs w:val="21"/>
        </w:rPr>
        <w:t>21.13.3 Curatela como exceção .....</w:t>
      </w:r>
      <w:r w:rsidR="009B1738">
        <w:rPr>
          <w:szCs w:val="21"/>
        </w:rPr>
        <w:t>..................................................................</w:t>
      </w:r>
      <w:r w:rsidRPr="00F03402">
        <w:rPr>
          <w:szCs w:val="21"/>
        </w:rPr>
        <w:t>... 11</w:t>
      </w:r>
      <w:r>
        <w:rPr>
          <w:szCs w:val="21"/>
        </w:rPr>
        <w:t>44</w:t>
      </w:r>
    </w:p>
    <w:p w14:paraId="048D7B8B" w14:textId="53D582BB" w:rsidR="003A005E" w:rsidRPr="00F03402" w:rsidRDefault="003A005E" w:rsidP="009B1738">
      <w:pPr>
        <w:keepNext/>
        <w:pBdr>
          <w:bottom w:val="single" w:sz="8" w:space="4" w:color="B89B5E"/>
        </w:pBdr>
        <w:spacing w:after="0" w:line="240" w:lineRule="auto"/>
        <w:ind w:right="-171"/>
        <w:rPr>
          <w:szCs w:val="21"/>
        </w:rPr>
      </w:pPr>
      <w:r w:rsidRPr="00F03402">
        <w:rPr>
          <w:szCs w:val="21"/>
        </w:rPr>
        <w:t>21.13.4 Menores de 16 anos: proteção integral ......</w:t>
      </w:r>
      <w:r w:rsidR="009B1738">
        <w:rPr>
          <w:szCs w:val="21"/>
        </w:rPr>
        <w:t>..........................................</w:t>
      </w:r>
      <w:r w:rsidRPr="00F03402">
        <w:rPr>
          <w:szCs w:val="21"/>
        </w:rPr>
        <w:t>.. 11</w:t>
      </w:r>
      <w:r>
        <w:rPr>
          <w:szCs w:val="21"/>
        </w:rPr>
        <w:t>44</w:t>
      </w:r>
    </w:p>
    <w:p w14:paraId="42C93DCA" w14:textId="7A08F7AE" w:rsidR="003A005E" w:rsidRPr="00F03402" w:rsidRDefault="003A005E" w:rsidP="009B1738">
      <w:pPr>
        <w:keepNext/>
        <w:pBdr>
          <w:bottom w:val="single" w:sz="8" w:space="4" w:color="B89B5E"/>
        </w:pBdr>
        <w:spacing w:after="0" w:line="240" w:lineRule="auto"/>
        <w:ind w:right="-171"/>
        <w:rPr>
          <w:szCs w:val="21"/>
        </w:rPr>
      </w:pPr>
      <w:r w:rsidRPr="00F03402">
        <w:rPr>
          <w:szCs w:val="21"/>
        </w:rPr>
        <w:t>21.14 Tema 1057/STJ: legitimidade de herdeiros e prescrição ...</w:t>
      </w:r>
      <w:r w:rsidR="009B1738">
        <w:rPr>
          <w:szCs w:val="21"/>
        </w:rPr>
        <w:t>..................</w:t>
      </w:r>
      <w:r w:rsidRPr="00F03402">
        <w:rPr>
          <w:szCs w:val="21"/>
        </w:rPr>
        <w:t>..... 11</w:t>
      </w:r>
      <w:r>
        <w:rPr>
          <w:szCs w:val="21"/>
        </w:rPr>
        <w:t>45</w:t>
      </w:r>
    </w:p>
    <w:p w14:paraId="3D54545C" w14:textId="163D81E0" w:rsidR="003A005E" w:rsidRPr="00F03402" w:rsidRDefault="003A005E" w:rsidP="009B1738">
      <w:pPr>
        <w:keepNext/>
        <w:pBdr>
          <w:bottom w:val="single" w:sz="8" w:space="4" w:color="B89B5E"/>
        </w:pBdr>
        <w:spacing w:after="0" w:line="240" w:lineRule="auto"/>
        <w:ind w:right="-171"/>
        <w:rPr>
          <w:szCs w:val="21"/>
        </w:rPr>
      </w:pPr>
      <w:r w:rsidRPr="00F03402">
        <w:rPr>
          <w:szCs w:val="21"/>
        </w:rPr>
        <w:t>21.14.1 A tese fixada ....</w:t>
      </w:r>
      <w:r w:rsidR="009B1738">
        <w:rPr>
          <w:szCs w:val="21"/>
        </w:rPr>
        <w:t>...................................................................................</w:t>
      </w:r>
      <w:r w:rsidRPr="00F03402">
        <w:rPr>
          <w:szCs w:val="21"/>
        </w:rPr>
        <w:t>.... 11</w:t>
      </w:r>
      <w:r>
        <w:rPr>
          <w:szCs w:val="21"/>
        </w:rPr>
        <w:t>45</w:t>
      </w:r>
    </w:p>
    <w:p w14:paraId="67352F6D" w14:textId="35E7F864" w:rsidR="003A005E" w:rsidRPr="00F03402" w:rsidRDefault="003A005E" w:rsidP="009B1738">
      <w:pPr>
        <w:keepNext/>
        <w:pBdr>
          <w:bottom w:val="single" w:sz="8" w:space="4" w:color="B89B5E"/>
        </w:pBdr>
        <w:spacing w:after="0" w:line="240" w:lineRule="auto"/>
        <w:ind w:right="-171"/>
        <w:rPr>
          <w:szCs w:val="21"/>
        </w:rPr>
      </w:pPr>
      <w:r w:rsidRPr="00F03402">
        <w:rPr>
          <w:szCs w:val="21"/>
        </w:rPr>
        <w:t xml:space="preserve">21.14.2 Interface entre prescrição e decadência na transmissão do direito revisional </w:t>
      </w:r>
      <w:r w:rsidR="00AA20DD">
        <w:rPr>
          <w:szCs w:val="21"/>
        </w:rPr>
        <w:t>............................................................................................................................</w:t>
      </w:r>
      <w:r w:rsidRPr="00F03402">
        <w:rPr>
          <w:szCs w:val="21"/>
        </w:rPr>
        <w:t>.. 11</w:t>
      </w:r>
      <w:r>
        <w:rPr>
          <w:szCs w:val="21"/>
        </w:rPr>
        <w:t>46</w:t>
      </w:r>
    </w:p>
    <w:p w14:paraId="7E6958E9" w14:textId="6D793FB9" w:rsidR="003A005E" w:rsidRPr="00F03402" w:rsidRDefault="003A005E" w:rsidP="009B1738">
      <w:pPr>
        <w:keepNext/>
        <w:pBdr>
          <w:bottom w:val="single" w:sz="8" w:space="4" w:color="B89B5E"/>
        </w:pBdr>
        <w:spacing w:after="0" w:line="240" w:lineRule="auto"/>
        <w:ind w:right="-171"/>
        <w:rPr>
          <w:szCs w:val="21"/>
        </w:rPr>
      </w:pPr>
      <w:r w:rsidRPr="00F03402">
        <w:rPr>
          <w:szCs w:val="21"/>
        </w:rPr>
        <w:t>21.14.3 Distinção entre pensionistas e herdeiros .....</w:t>
      </w:r>
      <w:r w:rsidR="00AA20DD">
        <w:rPr>
          <w:szCs w:val="21"/>
        </w:rPr>
        <w:t>.......................................</w:t>
      </w:r>
      <w:r w:rsidRPr="00F03402">
        <w:rPr>
          <w:szCs w:val="21"/>
        </w:rPr>
        <w:t>... 11</w:t>
      </w:r>
      <w:r>
        <w:rPr>
          <w:szCs w:val="21"/>
        </w:rPr>
        <w:t>46</w:t>
      </w:r>
    </w:p>
    <w:p w14:paraId="2A84ED90" w14:textId="544D7597" w:rsidR="003A005E" w:rsidRPr="00F03402" w:rsidRDefault="003A005E" w:rsidP="009B1738">
      <w:pPr>
        <w:keepNext/>
        <w:pBdr>
          <w:bottom w:val="single" w:sz="8" w:space="4" w:color="B89B5E"/>
        </w:pBdr>
        <w:spacing w:after="0" w:line="240" w:lineRule="auto"/>
        <w:ind w:right="-171"/>
        <w:rPr>
          <w:szCs w:val="21"/>
        </w:rPr>
      </w:pPr>
      <w:r w:rsidRPr="00F03402">
        <w:rPr>
          <w:szCs w:val="21"/>
        </w:rPr>
        <w:t>21.14.4 Exemplo prático detalhado ..</w:t>
      </w:r>
      <w:r w:rsidR="00AA20DD">
        <w:rPr>
          <w:szCs w:val="21"/>
        </w:rPr>
        <w:t>...........................................................</w:t>
      </w:r>
      <w:r w:rsidRPr="00F03402">
        <w:rPr>
          <w:szCs w:val="21"/>
        </w:rPr>
        <w:t>...... 11</w:t>
      </w:r>
      <w:r>
        <w:rPr>
          <w:szCs w:val="21"/>
        </w:rPr>
        <w:t>47</w:t>
      </w:r>
    </w:p>
    <w:p w14:paraId="489A7E29" w14:textId="466E0D8F" w:rsidR="003A005E" w:rsidRPr="00F03402" w:rsidRDefault="003A005E" w:rsidP="009B1738">
      <w:pPr>
        <w:keepNext/>
        <w:pBdr>
          <w:bottom w:val="single" w:sz="8" w:space="4" w:color="B89B5E"/>
        </w:pBdr>
        <w:spacing w:after="0" w:line="240" w:lineRule="auto"/>
        <w:ind w:right="-171"/>
        <w:rPr>
          <w:szCs w:val="21"/>
        </w:rPr>
      </w:pPr>
      <w:r w:rsidRPr="00F03402">
        <w:rPr>
          <w:szCs w:val="21"/>
        </w:rPr>
        <w:t>21.15 Coisa julgada material nos JEFs: particularidades ...</w:t>
      </w:r>
      <w:r w:rsidR="00AA20DD">
        <w:rPr>
          <w:szCs w:val="21"/>
        </w:rPr>
        <w:t>............................</w:t>
      </w:r>
      <w:r w:rsidRPr="00F03402">
        <w:rPr>
          <w:szCs w:val="21"/>
        </w:rPr>
        <w:t>..... 11</w:t>
      </w:r>
      <w:r>
        <w:rPr>
          <w:szCs w:val="21"/>
        </w:rPr>
        <w:t>48</w:t>
      </w:r>
    </w:p>
    <w:p w14:paraId="69E6C45B" w14:textId="537C1336" w:rsidR="003A005E" w:rsidRPr="00F03402" w:rsidRDefault="003A005E" w:rsidP="009B1738">
      <w:pPr>
        <w:keepNext/>
        <w:pBdr>
          <w:bottom w:val="single" w:sz="8" w:space="4" w:color="B89B5E"/>
        </w:pBdr>
        <w:spacing w:after="0" w:line="240" w:lineRule="auto"/>
        <w:ind w:right="-171"/>
        <w:rPr>
          <w:szCs w:val="21"/>
        </w:rPr>
      </w:pPr>
      <w:r w:rsidRPr="00F03402">
        <w:rPr>
          <w:szCs w:val="21"/>
        </w:rPr>
        <w:t>21.15.1 Conceito geral ......</w:t>
      </w:r>
      <w:r w:rsidR="00AA20DD">
        <w:rPr>
          <w:szCs w:val="21"/>
        </w:rPr>
        <w:t>................................................................................</w:t>
      </w:r>
      <w:r w:rsidRPr="00F03402">
        <w:rPr>
          <w:szCs w:val="21"/>
        </w:rPr>
        <w:t>.. 11</w:t>
      </w:r>
      <w:r>
        <w:rPr>
          <w:szCs w:val="21"/>
        </w:rPr>
        <w:t>48</w:t>
      </w:r>
    </w:p>
    <w:p w14:paraId="5507D29D" w14:textId="147973F6" w:rsidR="003A005E" w:rsidRPr="00F03402" w:rsidRDefault="003A005E" w:rsidP="009B1738">
      <w:pPr>
        <w:keepNext/>
        <w:pBdr>
          <w:bottom w:val="single" w:sz="8" w:space="4" w:color="B89B5E"/>
        </w:pBdr>
        <w:spacing w:after="0" w:line="240" w:lineRule="auto"/>
        <w:ind w:right="-171"/>
        <w:rPr>
          <w:szCs w:val="21"/>
        </w:rPr>
      </w:pPr>
      <w:r w:rsidRPr="00F03402">
        <w:rPr>
          <w:szCs w:val="21"/>
        </w:rPr>
        <w:t>21.15.2 Particularidades previdenciárias ...</w:t>
      </w:r>
      <w:r w:rsidR="00AA20DD">
        <w:rPr>
          <w:szCs w:val="21"/>
        </w:rPr>
        <w:t>....................................................</w:t>
      </w:r>
      <w:r w:rsidRPr="00F03402">
        <w:rPr>
          <w:szCs w:val="21"/>
        </w:rPr>
        <w:t>..... 11</w:t>
      </w:r>
      <w:r>
        <w:rPr>
          <w:szCs w:val="21"/>
        </w:rPr>
        <w:t>48</w:t>
      </w:r>
    </w:p>
    <w:p w14:paraId="2827BF08" w14:textId="084C6495" w:rsidR="003A005E" w:rsidRPr="00F03402" w:rsidRDefault="003A005E" w:rsidP="009B1738">
      <w:pPr>
        <w:keepNext/>
        <w:pBdr>
          <w:bottom w:val="single" w:sz="8" w:space="4" w:color="B89B5E"/>
        </w:pBdr>
        <w:spacing w:after="0" w:line="240" w:lineRule="auto"/>
        <w:ind w:right="-171"/>
        <w:rPr>
          <w:szCs w:val="21"/>
        </w:rPr>
      </w:pPr>
      <w:r w:rsidRPr="00F03402">
        <w:rPr>
          <w:szCs w:val="21"/>
        </w:rPr>
        <w:t>21.16 Coisa julgada secundum eventum probationis ...</w:t>
      </w:r>
      <w:r w:rsidR="00AA20DD">
        <w:rPr>
          <w:szCs w:val="21"/>
        </w:rPr>
        <w:t>................................</w:t>
      </w:r>
      <w:r w:rsidRPr="00F03402">
        <w:rPr>
          <w:szCs w:val="21"/>
        </w:rPr>
        <w:t>..... 11</w:t>
      </w:r>
      <w:r>
        <w:rPr>
          <w:szCs w:val="21"/>
        </w:rPr>
        <w:t>49</w:t>
      </w:r>
    </w:p>
    <w:p w14:paraId="17D86243" w14:textId="1C63FA2C" w:rsidR="003A005E" w:rsidRPr="00F03402" w:rsidRDefault="003A005E" w:rsidP="009B1738">
      <w:pPr>
        <w:keepNext/>
        <w:pBdr>
          <w:bottom w:val="single" w:sz="8" w:space="4" w:color="B89B5E"/>
        </w:pBdr>
        <w:spacing w:after="0" w:line="240" w:lineRule="auto"/>
        <w:ind w:right="-171"/>
        <w:rPr>
          <w:szCs w:val="21"/>
        </w:rPr>
      </w:pPr>
      <w:r w:rsidRPr="00F03402">
        <w:rPr>
          <w:szCs w:val="21"/>
        </w:rPr>
        <w:t>21.16.1 Conceito e fundamento ....</w:t>
      </w:r>
      <w:r w:rsidR="00AA20DD">
        <w:rPr>
          <w:szCs w:val="21"/>
        </w:rPr>
        <w:t>................................................................</w:t>
      </w:r>
      <w:r w:rsidRPr="00F03402">
        <w:rPr>
          <w:szCs w:val="21"/>
        </w:rPr>
        <w:t>.... 11</w:t>
      </w:r>
      <w:r>
        <w:rPr>
          <w:szCs w:val="21"/>
        </w:rPr>
        <w:t>49</w:t>
      </w:r>
    </w:p>
    <w:p w14:paraId="633E5B56" w14:textId="2DE3F183" w:rsidR="003A005E" w:rsidRPr="00F03402" w:rsidRDefault="003A005E" w:rsidP="009B1738">
      <w:pPr>
        <w:keepNext/>
        <w:pBdr>
          <w:bottom w:val="single" w:sz="8" w:space="4" w:color="B89B5E"/>
        </w:pBdr>
        <w:spacing w:after="0" w:line="240" w:lineRule="auto"/>
        <w:ind w:right="-171"/>
        <w:rPr>
          <w:szCs w:val="21"/>
        </w:rPr>
      </w:pPr>
      <w:r w:rsidRPr="00F03402">
        <w:rPr>
          <w:szCs w:val="21"/>
        </w:rPr>
        <w:t>21.16.2 Tema 629/STJ .....</w:t>
      </w:r>
      <w:r w:rsidR="00AA20DD">
        <w:rPr>
          <w:szCs w:val="21"/>
        </w:rPr>
        <w:t>...............................................................................</w:t>
      </w:r>
      <w:r w:rsidRPr="00F03402">
        <w:rPr>
          <w:szCs w:val="21"/>
        </w:rPr>
        <w:t>... 11</w:t>
      </w:r>
      <w:r>
        <w:rPr>
          <w:szCs w:val="21"/>
        </w:rPr>
        <w:t>50</w:t>
      </w:r>
    </w:p>
    <w:p w14:paraId="6A42D884" w14:textId="18549EE3" w:rsidR="003A005E" w:rsidRPr="00F03402" w:rsidRDefault="003A005E" w:rsidP="009B1738">
      <w:pPr>
        <w:keepNext/>
        <w:pBdr>
          <w:bottom w:val="single" w:sz="8" w:space="4" w:color="B89B5E"/>
        </w:pBdr>
        <w:spacing w:after="0" w:line="240" w:lineRule="auto"/>
        <w:ind w:right="-171"/>
        <w:rPr>
          <w:szCs w:val="21"/>
        </w:rPr>
      </w:pPr>
      <w:r w:rsidRPr="00F03402">
        <w:rPr>
          <w:szCs w:val="21"/>
        </w:rPr>
        <w:t>21.16.3 Distinção com a extinção sem resolução do mérito ....</w:t>
      </w:r>
      <w:r w:rsidR="00820C0B">
        <w:rPr>
          <w:szCs w:val="21"/>
        </w:rPr>
        <w:t>......................</w:t>
      </w:r>
      <w:r w:rsidRPr="00F03402">
        <w:rPr>
          <w:szCs w:val="21"/>
        </w:rPr>
        <w:t>.... 11</w:t>
      </w:r>
      <w:r>
        <w:rPr>
          <w:szCs w:val="21"/>
        </w:rPr>
        <w:t>51</w:t>
      </w:r>
    </w:p>
    <w:p w14:paraId="21793DD6" w14:textId="78E087ED" w:rsidR="003A005E" w:rsidRPr="00F03402" w:rsidRDefault="003A005E" w:rsidP="00820C0B">
      <w:pPr>
        <w:keepNext/>
        <w:pBdr>
          <w:bottom w:val="single" w:sz="8" w:space="4" w:color="B89B5E"/>
        </w:pBdr>
        <w:spacing w:after="0" w:line="240" w:lineRule="auto"/>
        <w:ind w:right="-171"/>
        <w:rPr>
          <w:szCs w:val="21"/>
        </w:rPr>
      </w:pPr>
      <w:r w:rsidRPr="00F03402">
        <w:rPr>
          <w:szCs w:val="21"/>
        </w:rPr>
        <w:t>21.17 Cláusula rebus sic stantibus: fatos supervenientes ...</w:t>
      </w:r>
      <w:r w:rsidR="00820C0B">
        <w:rPr>
          <w:szCs w:val="21"/>
        </w:rPr>
        <w:t>...........................</w:t>
      </w:r>
      <w:r w:rsidRPr="00F03402">
        <w:rPr>
          <w:szCs w:val="21"/>
        </w:rPr>
        <w:t>..... 11</w:t>
      </w:r>
      <w:r>
        <w:rPr>
          <w:szCs w:val="21"/>
        </w:rPr>
        <w:t>52</w:t>
      </w:r>
    </w:p>
    <w:p w14:paraId="4345F436" w14:textId="1E3B69AE" w:rsidR="003A005E" w:rsidRPr="00F03402" w:rsidRDefault="003A005E" w:rsidP="00820C0B">
      <w:pPr>
        <w:keepNext/>
        <w:pBdr>
          <w:bottom w:val="single" w:sz="8" w:space="4" w:color="B89B5E"/>
        </w:pBdr>
        <w:spacing w:after="0" w:line="240" w:lineRule="auto"/>
        <w:ind w:right="-171"/>
        <w:rPr>
          <w:szCs w:val="21"/>
        </w:rPr>
      </w:pPr>
      <w:r w:rsidRPr="00F03402">
        <w:rPr>
          <w:szCs w:val="21"/>
        </w:rPr>
        <w:t>21.17.1 Conceito e aplicação previdenciária ....</w:t>
      </w:r>
      <w:r w:rsidR="00820C0B">
        <w:rPr>
          <w:szCs w:val="21"/>
        </w:rPr>
        <w:t>..............................................</w:t>
      </w:r>
      <w:r w:rsidRPr="00F03402">
        <w:rPr>
          <w:szCs w:val="21"/>
        </w:rPr>
        <w:t>.... 11</w:t>
      </w:r>
      <w:r>
        <w:rPr>
          <w:szCs w:val="21"/>
        </w:rPr>
        <w:t>52</w:t>
      </w:r>
    </w:p>
    <w:p w14:paraId="6DB6A1AB" w14:textId="192958A3" w:rsidR="003A005E" w:rsidRPr="00F03402" w:rsidRDefault="003A005E" w:rsidP="00820C0B">
      <w:pPr>
        <w:keepNext/>
        <w:pBdr>
          <w:bottom w:val="single" w:sz="8" w:space="4" w:color="B89B5E"/>
        </w:pBdr>
        <w:spacing w:after="0" w:line="240" w:lineRule="auto"/>
        <w:ind w:right="-171"/>
        <w:rPr>
          <w:szCs w:val="21"/>
        </w:rPr>
      </w:pPr>
      <w:r w:rsidRPr="00F03402">
        <w:rPr>
          <w:szCs w:val="21"/>
        </w:rPr>
        <w:t>21.17.2 Distinção com a coisa julgada secundum eventum probationis ......</w:t>
      </w:r>
      <w:r w:rsidR="00820C0B">
        <w:rPr>
          <w:szCs w:val="21"/>
        </w:rPr>
        <w:t>...</w:t>
      </w:r>
      <w:r w:rsidRPr="00F03402">
        <w:rPr>
          <w:szCs w:val="21"/>
        </w:rPr>
        <w:t>.. 11</w:t>
      </w:r>
      <w:r>
        <w:rPr>
          <w:szCs w:val="21"/>
        </w:rPr>
        <w:t>53</w:t>
      </w:r>
    </w:p>
    <w:p w14:paraId="12650619" w14:textId="501C3019" w:rsidR="003A005E" w:rsidRPr="00F03402" w:rsidRDefault="003A005E" w:rsidP="00820C0B">
      <w:pPr>
        <w:keepNext/>
        <w:pBdr>
          <w:bottom w:val="single" w:sz="8" w:space="4" w:color="B89B5E"/>
        </w:pBdr>
        <w:spacing w:after="0" w:line="240" w:lineRule="auto"/>
        <w:ind w:right="-171"/>
        <w:rPr>
          <w:szCs w:val="21"/>
        </w:rPr>
      </w:pPr>
      <w:r w:rsidRPr="00F03402">
        <w:rPr>
          <w:szCs w:val="21"/>
        </w:rPr>
        <w:t>21.17.3 Enunciado 35/FONAJEF ....</w:t>
      </w:r>
      <w:r w:rsidR="00820C0B">
        <w:rPr>
          <w:szCs w:val="21"/>
        </w:rPr>
        <w:t>.............................................................</w:t>
      </w:r>
      <w:r w:rsidRPr="00F03402">
        <w:rPr>
          <w:szCs w:val="21"/>
        </w:rPr>
        <w:t>.... 11</w:t>
      </w:r>
      <w:r>
        <w:rPr>
          <w:szCs w:val="21"/>
        </w:rPr>
        <w:t>53</w:t>
      </w:r>
    </w:p>
    <w:p w14:paraId="48A7B2FD" w14:textId="78A526FA" w:rsidR="003A005E" w:rsidRPr="00F03402" w:rsidRDefault="003A005E" w:rsidP="00820C0B">
      <w:pPr>
        <w:keepNext/>
        <w:pBdr>
          <w:bottom w:val="single" w:sz="8" w:space="4" w:color="B89B5E"/>
        </w:pBdr>
        <w:spacing w:after="0" w:line="240" w:lineRule="auto"/>
        <w:ind w:right="-171"/>
        <w:rPr>
          <w:szCs w:val="21"/>
        </w:rPr>
      </w:pPr>
      <w:r w:rsidRPr="00F03402">
        <w:rPr>
          <w:szCs w:val="21"/>
        </w:rPr>
        <w:t>21.17.4 Posição adotada ....</w:t>
      </w:r>
      <w:r w:rsidR="00820C0B">
        <w:rPr>
          <w:szCs w:val="21"/>
        </w:rPr>
        <w:t>.............................................................................</w:t>
      </w:r>
      <w:r w:rsidRPr="00F03402">
        <w:rPr>
          <w:szCs w:val="21"/>
        </w:rPr>
        <w:t>.... 11</w:t>
      </w:r>
      <w:r>
        <w:rPr>
          <w:szCs w:val="21"/>
        </w:rPr>
        <w:t>54</w:t>
      </w:r>
    </w:p>
    <w:p w14:paraId="648A7FCE" w14:textId="0E10A5DE" w:rsidR="003A005E" w:rsidRPr="00F03402" w:rsidRDefault="003A005E" w:rsidP="00820C0B">
      <w:pPr>
        <w:keepNext/>
        <w:pBdr>
          <w:bottom w:val="single" w:sz="8" w:space="4" w:color="B89B5E"/>
        </w:pBdr>
        <w:spacing w:after="0" w:line="240" w:lineRule="auto"/>
        <w:ind w:right="-171"/>
        <w:rPr>
          <w:szCs w:val="21"/>
        </w:rPr>
      </w:pPr>
      <w:r w:rsidRPr="00F03402">
        <w:rPr>
          <w:szCs w:val="21"/>
        </w:rPr>
        <w:t>21.18 Coisa julgada e benefício por incapacidade: síntese operacional ....</w:t>
      </w:r>
      <w:r w:rsidR="00820C0B">
        <w:rPr>
          <w:szCs w:val="21"/>
        </w:rPr>
        <w:t>.....</w:t>
      </w:r>
      <w:r w:rsidRPr="00F03402">
        <w:rPr>
          <w:szCs w:val="21"/>
        </w:rPr>
        <w:t>.... 11</w:t>
      </w:r>
      <w:r>
        <w:rPr>
          <w:szCs w:val="21"/>
        </w:rPr>
        <w:t>55</w:t>
      </w:r>
    </w:p>
    <w:p w14:paraId="3055F141" w14:textId="7D284FB0" w:rsidR="003A005E" w:rsidRPr="00F03402" w:rsidRDefault="003A005E" w:rsidP="00820C0B">
      <w:pPr>
        <w:keepNext/>
        <w:pBdr>
          <w:bottom w:val="single" w:sz="8" w:space="4" w:color="B89B5E"/>
        </w:pBdr>
        <w:spacing w:after="0" w:line="240" w:lineRule="auto"/>
        <w:ind w:right="-171"/>
        <w:rPr>
          <w:szCs w:val="21"/>
        </w:rPr>
      </w:pPr>
      <w:r w:rsidRPr="00F03402">
        <w:rPr>
          <w:szCs w:val="21"/>
        </w:rPr>
        <w:t>21.18.1 Quadro decisório: quatro situações .....</w:t>
      </w:r>
      <w:r w:rsidR="00820C0B">
        <w:rPr>
          <w:szCs w:val="21"/>
        </w:rPr>
        <w:t>..............................................</w:t>
      </w:r>
      <w:r w:rsidRPr="00F03402">
        <w:rPr>
          <w:szCs w:val="21"/>
        </w:rPr>
        <w:t>... 11</w:t>
      </w:r>
      <w:r>
        <w:rPr>
          <w:szCs w:val="21"/>
        </w:rPr>
        <w:t>55</w:t>
      </w:r>
    </w:p>
    <w:p w14:paraId="6C152845" w14:textId="1BDBCEDA" w:rsidR="003A005E" w:rsidRPr="00F03402" w:rsidRDefault="003A005E" w:rsidP="00820C0B">
      <w:pPr>
        <w:keepNext/>
        <w:pBdr>
          <w:bottom w:val="single" w:sz="8" w:space="4" w:color="B89B5E"/>
        </w:pBdr>
        <w:spacing w:after="0" w:line="240" w:lineRule="auto"/>
        <w:ind w:right="-171"/>
        <w:rPr>
          <w:szCs w:val="21"/>
        </w:rPr>
      </w:pPr>
      <w:r w:rsidRPr="00F03402">
        <w:rPr>
          <w:szCs w:val="21"/>
        </w:rPr>
        <w:t>21.18.2 Orientação prática para a triagem ....</w:t>
      </w:r>
      <w:r w:rsidR="00820C0B">
        <w:rPr>
          <w:szCs w:val="21"/>
        </w:rPr>
        <w:t>..................................................</w:t>
      </w:r>
      <w:r w:rsidRPr="00F03402">
        <w:rPr>
          <w:szCs w:val="21"/>
        </w:rPr>
        <w:t>.... 11</w:t>
      </w:r>
      <w:r>
        <w:rPr>
          <w:szCs w:val="21"/>
        </w:rPr>
        <w:t>56</w:t>
      </w:r>
    </w:p>
    <w:p w14:paraId="02B6E139" w14:textId="5407FD13" w:rsidR="003A005E" w:rsidRPr="00F03402" w:rsidRDefault="003A005E" w:rsidP="00820C0B">
      <w:pPr>
        <w:keepNext/>
        <w:pBdr>
          <w:bottom w:val="single" w:sz="8" w:space="4" w:color="B89B5E"/>
        </w:pBdr>
        <w:spacing w:after="0" w:line="240" w:lineRule="auto"/>
        <w:ind w:right="-171"/>
        <w:rPr>
          <w:szCs w:val="21"/>
        </w:rPr>
      </w:pPr>
      <w:r w:rsidRPr="00F03402">
        <w:rPr>
          <w:szCs w:val="21"/>
        </w:rPr>
        <w:t>21.19 Querela nullitatis nos JEFs ....</w:t>
      </w:r>
      <w:r w:rsidR="00820C0B">
        <w:rPr>
          <w:szCs w:val="21"/>
        </w:rPr>
        <w:t>................................................................</w:t>
      </w:r>
      <w:r w:rsidRPr="00F03402">
        <w:rPr>
          <w:szCs w:val="21"/>
        </w:rPr>
        <w:t>.... 11</w:t>
      </w:r>
      <w:r>
        <w:rPr>
          <w:szCs w:val="21"/>
        </w:rPr>
        <w:t>57</w:t>
      </w:r>
    </w:p>
    <w:p w14:paraId="3CEAE874" w14:textId="7CC7E453" w:rsidR="003A005E" w:rsidRPr="00F03402" w:rsidRDefault="003A005E" w:rsidP="00820C0B">
      <w:pPr>
        <w:keepNext/>
        <w:pBdr>
          <w:bottom w:val="single" w:sz="8" w:space="4" w:color="B89B5E"/>
        </w:pBdr>
        <w:spacing w:after="0" w:line="240" w:lineRule="auto"/>
        <w:ind w:right="-171"/>
        <w:rPr>
          <w:szCs w:val="21"/>
        </w:rPr>
      </w:pPr>
      <w:r w:rsidRPr="00F03402">
        <w:rPr>
          <w:szCs w:val="21"/>
        </w:rPr>
        <w:t>21.19.1 Conceito e fundamento ....</w:t>
      </w:r>
      <w:r w:rsidR="00820C0B">
        <w:rPr>
          <w:szCs w:val="21"/>
        </w:rPr>
        <w:t>................................................................</w:t>
      </w:r>
      <w:r w:rsidRPr="00F03402">
        <w:rPr>
          <w:szCs w:val="21"/>
        </w:rPr>
        <w:t>.... 11</w:t>
      </w:r>
      <w:r>
        <w:rPr>
          <w:szCs w:val="21"/>
        </w:rPr>
        <w:t>57</w:t>
      </w:r>
    </w:p>
    <w:p w14:paraId="1AE46C15" w14:textId="5A43D8EC" w:rsidR="003A005E" w:rsidRPr="00F03402" w:rsidRDefault="003A005E" w:rsidP="00820C0B">
      <w:pPr>
        <w:keepNext/>
        <w:pBdr>
          <w:bottom w:val="single" w:sz="8" w:space="4" w:color="B89B5E"/>
        </w:pBdr>
        <w:spacing w:after="0" w:line="240" w:lineRule="auto"/>
        <w:ind w:right="-171"/>
        <w:rPr>
          <w:szCs w:val="21"/>
        </w:rPr>
      </w:pPr>
      <w:r w:rsidRPr="00F03402">
        <w:rPr>
          <w:szCs w:val="21"/>
        </w:rPr>
        <w:t>21.19.2 Hipóteses de cabimento ......</w:t>
      </w:r>
      <w:r w:rsidR="00820C0B">
        <w:rPr>
          <w:szCs w:val="21"/>
        </w:rPr>
        <w:t>................................................................</w:t>
      </w:r>
      <w:r w:rsidRPr="00F03402">
        <w:rPr>
          <w:szCs w:val="21"/>
        </w:rPr>
        <w:t>.. 11</w:t>
      </w:r>
      <w:r>
        <w:rPr>
          <w:szCs w:val="21"/>
        </w:rPr>
        <w:t>57</w:t>
      </w:r>
    </w:p>
    <w:p w14:paraId="4813261D" w14:textId="2F3CCA65" w:rsidR="003A005E" w:rsidRPr="00F03402" w:rsidRDefault="003A005E" w:rsidP="00820C0B">
      <w:pPr>
        <w:keepNext/>
        <w:pBdr>
          <w:bottom w:val="single" w:sz="8" w:space="4" w:color="B89B5E"/>
        </w:pBdr>
        <w:spacing w:after="0" w:line="240" w:lineRule="auto"/>
        <w:ind w:right="-171"/>
        <w:rPr>
          <w:szCs w:val="21"/>
        </w:rPr>
      </w:pPr>
      <w:r w:rsidRPr="00F03402">
        <w:rPr>
          <w:szCs w:val="21"/>
        </w:rPr>
        <w:t>21.19.3 Competência ....</w:t>
      </w:r>
      <w:r w:rsidR="00820C0B">
        <w:rPr>
          <w:szCs w:val="21"/>
        </w:rPr>
        <w:t>.................................................................................</w:t>
      </w:r>
      <w:r w:rsidRPr="00F03402">
        <w:rPr>
          <w:szCs w:val="21"/>
        </w:rPr>
        <w:t>.... 11</w:t>
      </w:r>
      <w:r>
        <w:rPr>
          <w:szCs w:val="21"/>
        </w:rPr>
        <w:t>58</w:t>
      </w:r>
    </w:p>
    <w:p w14:paraId="21AA0120" w14:textId="617933A0" w:rsidR="003A005E" w:rsidRPr="00F03402" w:rsidRDefault="003A005E" w:rsidP="00CA34C0">
      <w:pPr>
        <w:keepNext/>
        <w:pBdr>
          <w:bottom w:val="single" w:sz="8" w:space="4" w:color="B89B5E"/>
        </w:pBdr>
        <w:spacing w:after="0" w:line="240" w:lineRule="auto"/>
        <w:ind w:right="-171"/>
        <w:rPr>
          <w:szCs w:val="21"/>
        </w:rPr>
      </w:pPr>
      <w:r w:rsidRPr="00F03402">
        <w:rPr>
          <w:szCs w:val="21"/>
        </w:rPr>
        <w:t>21.19.4 Imprescritibilidade ....</w:t>
      </w:r>
      <w:r w:rsidR="00820C0B">
        <w:rPr>
          <w:szCs w:val="21"/>
        </w:rPr>
        <w:t>........................................................................</w:t>
      </w:r>
      <w:r w:rsidRPr="00F03402">
        <w:rPr>
          <w:szCs w:val="21"/>
        </w:rPr>
        <w:t>.... 11</w:t>
      </w:r>
      <w:r>
        <w:rPr>
          <w:szCs w:val="21"/>
        </w:rPr>
        <w:t>58</w:t>
      </w:r>
    </w:p>
    <w:p w14:paraId="11F9F342" w14:textId="62A91581" w:rsidR="003A005E" w:rsidRPr="00F03402" w:rsidRDefault="003A005E" w:rsidP="00CA34C0">
      <w:pPr>
        <w:keepNext/>
        <w:pBdr>
          <w:bottom w:val="single" w:sz="8" w:space="4" w:color="B89B5E"/>
        </w:pBdr>
        <w:spacing w:after="0" w:line="240" w:lineRule="auto"/>
        <w:ind w:right="-171"/>
        <w:rPr>
          <w:szCs w:val="21"/>
        </w:rPr>
      </w:pPr>
      <w:r w:rsidRPr="00F03402">
        <w:rPr>
          <w:szCs w:val="21"/>
        </w:rPr>
        <w:t>21.19.5 Forma de veiculação .......</w:t>
      </w:r>
      <w:r w:rsidR="00820C0B">
        <w:rPr>
          <w:szCs w:val="21"/>
        </w:rPr>
        <w:t>......................................................................</w:t>
      </w:r>
      <w:r w:rsidRPr="00F03402">
        <w:rPr>
          <w:szCs w:val="21"/>
        </w:rPr>
        <w:t>. 11</w:t>
      </w:r>
      <w:r>
        <w:rPr>
          <w:szCs w:val="21"/>
        </w:rPr>
        <w:t>58</w:t>
      </w:r>
    </w:p>
    <w:p w14:paraId="3CF5DB28" w14:textId="42BA735C" w:rsidR="003A005E" w:rsidRPr="00F03402" w:rsidRDefault="003A005E" w:rsidP="00CA34C0">
      <w:pPr>
        <w:keepNext/>
        <w:pBdr>
          <w:bottom w:val="single" w:sz="8" w:space="4" w:color="B89B5E"/>
        </w:pBdr>
        <w:spacing w:after="0" w:line="240" w:lineRule="auto"/>
        <w:ind w:right="-171"/>
        <w:rPr>
          <w:szCs w:val="21"/>
        </w:rPr>
      </w:pPr>
      <w:r w:rsidRPr="00F03402">
        <w:rPr>
          <w:szCs w:val="21"/>
        </w:rPr>
        <w:t>21.20 Ação rescisória e os JEFs: vedação e alternativas ....</w:t>
      </w:r>
      <w:r w:rsidR="00CA34C0">
        <w:rPr>
          <w:szCs w:val="21"/>
        </w:rPr>
        <w:t>...............................</w:t>
      </w:r>
      <w:r w:rsidRPr="00F03402">
        <w:rPr>
          <w:szCs w:val="21"/>
        </w:rPr>
        <w:t>.... 11</w:t>
      </w:r>
      <w:r>
        <w:rPr>
          <w:szCs w:val="21"/>
        </w:rPr>
        <w:t>59</w:t>
      </w:r>
    </w:p>
    <w:p w14:paraId="3EE55F81" w14:textId="6D4A835C" w:rsidR="003A005E" w:rsidRPr="00F03402" w:rsidRDefault="003A005E" w:rsidP="00CA34C0">
      <w:pPr>
        <w:keepNext/>
        <w:pBdr>
          <w:bottom w:val="single" w:sz="8" w:space="4" w:color="B89B5E"/>
        </w:pBdr>
        <w:spacing w:after="0" w:line="240" w:lineRule="auto"/>
        <w:ind w:right="-171"/>
        <w:rPr>
          <w:szCs w:val="21"/>
        </w:rPr>
      </w:pPr>
      <w:r w:rsidRPr="00F03402">
        <w:rPr>
          <w:szCs w:val="21"/>
        </w:rPr>
        <w:t>21.20.1 A vedação do art. 59 da Lei 9.099/95 ....</w:t>
      </w:r>
      <w:r w:rsidR="00CA34C0">
        <w:rPr>
          <w:szCs w:val="21"/>
        </w:rPr>
        <w:t>............................................</w:t>
      </w:r>
      <w:r w:rsidRPr="00F03402">
        <w:rPr>
          <w:szCs w:val="21"/>
        </w:rPr>
        <w:t>.... 11</w:t>
      </w:r>
      <w:r>
        <w:rPr>
          <w:szCs w:val="21"/>
        </w:rPr>
        <w:t>59</w:t>
      </w:r>
    </w:p>
    <w:p w14:paraId="008DA6C4" w14:textId="52B10183" w:rsidR="003A005E" w:rsidRPr="00F03402" w:rsidRDefault="003A005E" w:rsidP="00CA34C0">
      <w:pPr>
        <w:keepNext/>
        <w:pBdr>
          <w:bottom w:val="single" w:sz="8" w:space="4" w:color="B89B5E"/>
        </w:pBdr>
        <w:spacing w:after="0" w:line="240" w:lineRule="auto"/>
        <w:ind w:right="-171"/>
        <w:rPr>
          <w:szCs w:val="21"/>
        </w:rPr>
      </w:pPr>
      <w:r w:rsidRPr="00F03402">
        <w:rPr>
          <w:szCs w:val="21"/>
        </w:rPr>
        <w:lastRenderedPageBreak/>
        <w:t>21.20.2 Fundamento da vedação ...</w:t>
      </w:r>
      <w:r w:rsidR="005855A8">
        <w:rPr>
          <w:szCs w:val="21"/>
        </w:rPr>
        <w:t>................................................................</w:t>
      </w:r>
      <w:r w:rsidRPr="00F03402">
        <w:rPr>
          <w:szCs w:val="21"/>
        </w:rPr>
        <w:t>..... 11</w:t>
      </w:r>
      <w:r>
        <w:rPr>
          <w:szCs w:val="21"/>
        </w:rPr>
        <w:t>60</w:t>
      </w:r>
    </w:p>
    <w:p w14:paraId="55436AF1" w14:textId="00F29723" w:rsidR="003A005E" w:rsidRPr="00F03402" w:rsidRDefault="003A005E" w:rsidP="00CA34C0">
      <w:pPr>
        <w:keepNext/>
        <w:pBdr>
          <w:bottom w:val="single" w:sz="8" w:space="4" w:color="B89B5E"/>
        </w:pBdr>
        <w:spacing w:after="0" w:line="240" w:lineRule="auto"/>
        <w:ind w:right="-171"/>
        <w:rPr>
          <w:szCs w:val="21"/>
        </w:rPr>
      </w:pPr>
      <w:r w:rsidRPr="00F03402">
        <w:rPr>
          <w:szCs w:val="21"/>
        </w:rPr>
        <w:t>21.20.3 Alternativas à ação rescisória nos JEFs .......</w:t>
      </w:r>
      <w:r w:rsidR="005855A8">
        <w:rPr>
          <w:szCs w:val="21"/>
        </w:rPr>
        <w:t>...........................................</w:t>
      </w:r>
      <w:r w:rsidRPr="00F03402">
        <w:rPr>
          <w:szCs w:val="21"/>
        </w:rPr>
        <w:t>. 11</w:t>
      </w:r>
      <w:r>
        <w:rPr>
          <w:szCs w:val="21"/>
        </w:rPr>
        <w:t>60</w:t>
      </w:r>
    </w:p>
    <w:p w14:paraId="166A932B" w14:textId="1EC413AB" w:rsidR="003A005E" w:rsidRPr="00F03402" w:rsidRDefault="003A005E" w:rsidP="00CA34C0">
      <w:pPr>
        <w:keepNext/>
        <w:pBdr>
          <w:bottom w:val="single" w:sz="8" w:space="4" w:color="B89B5E"/>
        </w:pBdr>
        <w:spacing w:after="0" w:line="240" w:lineRule="auto"/>
        <w:ind w:right="-171"/>
        <w:rPr>
          <w:szCs w:val="21"/>
        </w:rPr>
      </w:pPr>
      <w:r w:rsidRPr="00F03402">
        <w:rPr>
          <w:szCs w:val="21"/>
        </w:rPr>
        <w:t>21.20.4 Posição adotada ...</w:t>
      </w:r>
      <w:r w:rsidR="005855A8">
        <w:rPr>
          <w:szCs w:val="21"/>
        </w:rPr>
        <w:t>.............................................................................</w:t>
      </w:r>
      <w:r w:rsidRPr="00F03402">
        <w:rPr>
          <w:szCs w:val="21"/>
        </w:rPr>
        <w:t>..... 11</w:t>
      </w:r>
      <w:r>
        <w:rPr>
          <w:szCs w:val="21"/>
        </w:rPr>
        <w:t>61</w:t>
      </w:r>
    </w:p>
    <w:p w14:paraId="119CA1FB" w14:textId="6BFC9E28" w:rsidR="003A005E" w:rsidRPr="00F03402" w:rsidRDefault="003A005E" w:rsidP="00CA34C0">
      <w:pPr>
        <w:keepNext/>
        <w:pBdr>
          <w:bottom w:val="single" w:sz="8" w:space="4" w:color="B89B5E"/>
        </w:pBdr>
        <w:spacing w:after="0" w:line="240" w:lineRule="auto"/>
        <w:ind w:right="-171"/>
        <w:rPr>
          <w:szCs w:val="21"/>
        </w:rPr>
      </w:pPr>
      <w:r w:rsidRPr="00F03402">
        <w:rPr>
          <w:szCs w:val="21"/>
        </w:rPr>
        <w:t>21.21 Consolidação das posições adotadas ......</w:t>
      </w:r>
      <w:r w:rsidR="005855A8">
        <w:rPr>
          <w:szCs w:val="21"/>
        </w:rPr>
        <w:t>................................................</w:t>
      </w:r>
      <w:r w:rsidRPr="00F03402">
        <w:rPr>
          <w:szCs w:val="21"/>
        </w:rPr>
        <w:t>.. 11</w:t>
      </w:r>
      <w:r>
        <w:rPr>
          <w:szCs w:val="21"/>
        </w:rPr>
        <w:t>62</w:t>
      </w:r>
    </w:p>
    <w:p w14:paraId="40FEC6FE" w14:textId="53FBCF28" w:rsidR="003A005E" w:rsidRDefault="003A005E" w:rsidP="00CA34C0">
      <w:pPr>
        <w:keepNext/>
        <w:pBdr>
          <w:bottom w:val="single" w:sz="8" w:space="4" w:color="B89B5E"/>
        </w:pBdr>
        <w:spacing w:after="0" w:line="240" w:lineRule="auto"/>
        <w:ind w:right="-171"/>
        <w:rPr>
          <w:szCs w:val="21"/>
        </w:rPr>
      </w:pPr>
      <w:r w:rsidRPr="00E56701">
        <w:rPr>
          <w:szCs w:val="21"/>
        </w:rPr>
        <w:t>PARTE VI — PROCESSO PREVIDENCIÁRIO NOS JEFS ....................... 1</w:t>
      </w:r>
      <w:r>
        <w:rPr>
          <w:szCs w:val="21"/>
        </w:rPr>
        <w:t>167</w:t>
      </w:r>
    </w:p>
    <w:p w14:paraId="0924C994" w14:textId="609C1957" w:rsidR="003A005E" w:rsidRDefault="003A005E" w:rsidP="00CA34C0">
      <w:pPr>
        <w:keepNext/>
        <w:pBdr>
          <w:bottom w:val="single" w:sz="8" w:space="4" w:color="B89B5E"/>
        </w:pBdr>
        <w:spacing w:after="0" w:line="240" w:lineRule="auto"/>
        <w:ind w:right="-171"/>
        <w:rPr>
          <w:szCs w:val="21"/>
        </w:rPr>
      </w:pPr>
      <w:r w:rsidRPr="00E56701">
        <w:rPr>
          <w:szCs w:val="21"/>
        </w:rPr>
        <w:t>Capítulo 22 — Processo Administrativo Previdenciário .................................. 1</w:t>
      </w:r>
      <w:r>
        <w:rPr>
          <w:szCs w:val="21"/>
        </w:rPr>
        <w:t>168</w:t>
      </w:r>
    </w:p>
    <w:p w14:paraId="749665DA" w14:textId="7250466D" w:rsidR="003A005E" w:rsidRPr="00F73DD5" w:rsidRDefault="003A005E" w:rsidP="00CA34C0">
      <w:pPr>
        <w:keepNext/>
        <w:pBdr>
          <w:bottom w:val="single" w:sz="8" w:space="4" w:color="B89B5E"/>
        </w:pBdr>
        <w:spacing w:after="0" w:line="240" w:lineRule="auto"/>
        <w:ind w:right="-171"/>
        <w:rPr>
          <w:szCs w:val="21"/>
        </w:rPr>
      </w:pPr>
      <w:r w:rsidRPr="00F73DD5">
        <w:rPr>
          <w:szCs w:val="21"/>
        </w:rPr>
        <w:t>22.1 Introdução: o processo administrativo como fase necessária ..</w:t>
      </w:r>
      <w:r w:rsidR="005855A8">
        <w:rPr>
          <w:szCs w:val="21"/>
        </w:rPr>
        <w:t>...........</w:t>
      </w:r>
      <w:r w:rsidRPr="00F73DD5">
        <w:rPr>
          <w:szCs w:val="21"/>
        </w:rPr>
        <w:t>........ 1168</w:t>
      </w:r>
    </w:p>
    <w:p w14:paraId="48CE54D4" w14:textId="67B91738" w:rsidR="003A005E" w:rsidRPr="00F73DD5" w:rsidRDefault="003A005E" w:rsidP="00CA34C0">
      <w:pPr>
        <w:keepNext/>
        <w:pBdr>
          <w:bottom w:val="single" w:sz="8" w:space="4" w:color="B89B5E"/>
        </w:pBdr>
        <w:spacing w:after="0" w:line="240" w:lineRule="auto"/>
        <w:ind w:right="-171"/>
        <w:rPr>
          <w:szCs w:val="21"/>
        </w:rPr>
      </w:pPr>
      <w:r w:rsidRPr="00F73DD5">
        <w:rPr>
          <w:szCs w:val="21"/>
        </w:rPr>
        <w:t>22.2 Estrutura organizacional do INSS ......</w:t>
      </w:r>
      <w:r w:rsidR="005855A8">
        <w:rPr>
          <w:szCs w:val="21"/>
        </w:rPr>
        <w:t>....................................................</w:t>
      </w:r>
      <w:r w:rsidRPr="00F73DD5">
        <w:rPr>
          <w:szCs w:val="21"/>
        </w:rPr>
        <w:t>.... 117</w:t>
      </w:r>
      <w:r>
        <w:rPr>
          <w:szCs w:val="21"/>
        </w:rPr>
        <w:t>0</w:t>
      </w:r>
    </w:p>
    <w:p w14:paraId="2E9933F1" w14:textId="011315C2" w:rsidR="003A005E" w:rsidRPr="00F73DD5" w:rsidRDefault="003A005E" w:rsidP="00CA34C0">
      <w:pPr>
        <w:keepNext/>
        <w:pBdr>
          <w:bottom w:val="single" w:sz="8" w:space="4" w:color="B89B5E"/>
        </w:pBdr>
        <w:spacing w:after="0" w:line="240" w:lineRule="auto"/>
        <w:ind w:right="-171"/>
        <w:rPr>
          <w:szCs w:val="21"/>
        </w:rPr>
      </w:pPr>
      <w:r w:rsidRPr="00F73DD5">
        <w:rPr>
          <w:szCs w:val="21"/>
        </w:rPr>
        <w:t>22.3 Canais de atendimento: Meu INSS, Central 135 e atendimento presencial .</w:t>
      </w:r>
      <w:r w:rsidR="005855A8">
        <w:rPr>
          <w:szCs w:val="21"/>
        </w:rPr>
        <w:t>............................................................................................................................</w:t>
      </w:r>
      <w:r w:rsidRPr="00F73DD5">
        <w:rPr>
          <w:szCs w:val="21"/>
        </w:rPr>
        <w:t>. 117</w:t>
      </w:r>
      <w:r>
        <w:rPr>
          <w:szCs w:val="21"/>
        </w:rPr>
        <w:t>3</w:t>
      </w:r>
    </w:p>
    <w:p w14:paraId="466A5FBE" w14:textId="050EFC5A" w:rsidR="003A005E" w:rsidRPr="00F73DD5" w:rsidRDefault="003A005E" w:rsidP="00CA34C0">
      <w:pPr>
        <w:keepNext/>
        <w:pBdr>
          <w:bottom w:val="single" w:sz="8" w:space="4" w:color="B89B5E"/>
        </w:pBdr>
        <w:spacing w:after="0" w:line="240" w:lineRule="auto"/>
        <w:ind w:right="-171"/>
        <w:rPr>
          <w:szCs w:val="21"/>
        </w:rPr>
      </w:pPr>
      <w:r w:rsidRPr="00F73DD5">
        <w:rPr>
          <w:szCs w:val="21"/>
        </w:rPr>
        <w:t>22.4 Sistemas informatizados do INSS e sua relevância forense ......</w:t>
      </w:r>
      <w:r w:rsidR="005855A8">
        <w:rPr>
          <w:szCs w:val="21"/>
        </w:rPr>
        <w:t>..............</w:t>
      </w:r>
      <w:r w:rsidRPr="00F73DD5">
        <w:rPr>
          <w:szCs w:val="21"/>
        </w:rPr>
        <w:t>.... 117</w:t>
      </w:r>
      <w:r>
        <w:rPr>
          <w:szCs w:val="21"/>
        </w:rPr>
        <w:t>5</w:t>
      </w:r>
    </w:p>
    <w:p w14:paraId="79E7E8E4" w14:textId="1BDCA979" w:rsidR="003A005E" w:rsidRPr="00F73DD5" w:rsidRDefault="003A005E" w:rsidP="00CA34C0">
      <w:pPr>
        <w:keepNext/>
        <w:pBdr>
          <w:bottom w:val="single" w:sz="8" w:space="4" w:color="B89B5E"/>
        </w:pBdr>
        <w:spacing w:after="0" w:line="240" w:lineRule="auto"/>
        <w:ind w:right="-171"/>
        <w:rPr>
          <w:szCs w:val="21"/>
        </w:rPr>
      </w:pPr>
      <w:r w:rsidRPr="00F73DD5">
        <w:rPr>
          <w:szCs w:val="21"/>
        </w:rPr>
        <w:t>22.5 Requerimento administrativo: procedimento e documentação ........</w:t>
      </w:r>
      <w:r w:rsidR="005855A8">
        <w:rPr>
          <w:szCs w:val="21"/>
        </w:rPr>
        <w:t>.....</w:t>
      </w:r>
      <w:r w:rsidRPr="00F73DD5">
        <w:rPr>
          <w:szCs w:val="21"/>
        </w:rPr>
        <w:t>.. 11</w:t>
      </w:r>
      <w:r>
        <w:rPr>
          <w:szCs w:val="21"/>
        </w:rPr>
        <w:t>78</w:t>
      </w:r>
    </w:p>
    <w:p w14:paraId="50DE701C" w14:textId="70C13750" w:rsidR="003A005E" w:rsidRPr="00F73DD5" w:rsidRDefault="003A005E" w:rsidP="00CA34C0">
      <w:pPr>
        <w:keepNext/>
        <w:pBdr>
          <w:bottom w:val="single" w:sz="8" w:space="4" w:color="B89B5E"/>
        </w:pBdr>
        <w:spacing w:after="0" w:line="240" w:lineRule="auto"/>
        <w:ind w:right="-171"/>
        <w:rPr>
          <w:szCs w:val="21"/>
        </w:rPr>
      </w:pPr>
      <w:r w:rsidRPr="00F73DD5">
        <w:rPr>
          <w:szCs w:val="21"/>
        </w:rPr>
        <w:t>22.6 Análise do requerimento: prazos legais e mora administrativa ....</w:t>
      </w:r>
      <w:r w:rsidR="005855A8">
        <w:rPr>
          <w:szCs w:val="21"/>
        </w:rPr>
        <w:t>........</w:t>
      </w:r>
      <w:r w:rsidRPr="00F73DD5">
        <w:rPr>
          <w:szCs w:val="21"/>
        </w:rPr>
        <w:t>...... 118</w:t>
      </w:r>
      <w:r>
        <w:rPr>
          <w:szCs w:val="21"/>
        </w:rPr>
        <w:t>1</w:t>
      </w:r>
    </w:p>
    <w:p w14:paraId="007FB0A0" w14:textId="2AC673C7" w:rsidR="003A005E" w:rsidRPr="00F73DD5" w:rsidRDefault="003A005E" w:rsidP="00CA34C0">
      <w:pPr>
        <w:keepNext/>
        <w:pBdr>
          <w:bottom w:val="single" w:sz="8" w:space="4" w:color="B89B5E"/>
        </w:pBdr>
        <w:spacing w:after="0" w:line="240" w:lineRule="auto"/>
        <w:ind w:right="-171"/>
        <w:rPr>
          <w:szCs w:val="21"/>
        </w:rPr>
      </w:pPr>
      <w:r w:rsidRPr="00F73DD5">
        <w:rPr>
          <w:szCs w:val="21"/>
        </w:rPr>
        <w:t>22.7 Perícia médica administrativa: modalidades e regime jurídico ....</w:t>
      </w:r>
      <w:r w:rsidR="005855A8">
        <w:rPr>
          <w:szCs w:val="21"/>
        </w:rPr>
        <w:t>........</w:t>
      </w:r>
      <w:r w:rsidRPr="00F73DD5">
        <w:rPr>
          <w:szCs w:val="21"/>
        </w:rPr>
        <w:t>...... 118</w:t>
      </w:r>
      <w:r>
        <w:rPr>
          <w:szCs w:val="21"/>
        </w:rPr>
        <w:t>4</w:t>
      </w:r>
    </w:p>
    <w:p w14:paraId="3DA7A46B" w14:textId="3498339C" w:rsidR="003A005E" w:rsidRPr="00F73DD5" w:rsidRDefault="003A005E" w:rsidP="00CA34C0">
      <w:pPr>
        <w:keepNext/>
        <w:pBdr>
          <w:bottom w:val="single" w:sz="8" w:space="4" w:color="B89B5E"/>
        </w:pBdr>
        <w:spacing w:after="0" w:line="240" w:lineRule="auto"/>
        <w:ind w:right="-171"/>
        <w:rPr>
          <w:szCs w:val="21"/>
        </w:rPr>
      </w:pPr>
      <w:r w:rsidRPr="00F73DD5">
        <w:rPr>
          <w:szCs w:val="21"/>
        </w:rPr>
        <w:t>22.8 Alta programada (COPES): regime jurídico e constitucionalidade .......... 11</w:t>
      </w:r>
      <w:r>
        <w:rPr>
          <w:szCs w:val="21"/>
        </w:rPr>
        <w:t>87</w:t>
      </w:r>
    </w:p>
    <w:p w14:paraId="635B82D9" w14:textId="1962803B" w:rsidR="003A005E" w:rsidRPr="00F73DD5" w:rsidRDefault="003A005E" w:rsidP="00CA34C0">
      <w:pPr>
        <w:keepNext/>
        <w:pBdr>
          <w:bottom w:val="single" w:sz="8" w:space="4" w:color="B89B5E"/>
        </w:pBdr>
        <w:spacing w:after="0" w:line="240" w:lineRule="auto"/>
        <w:ind w:right="-171"/>
        <w:rPr>
          <w:szCs w:val="21"/>
        </w:rPr>
      </w:pPr>
      <w:r w:rsidRPr="00F73DD5">
        <w:rPr>
          <w:szCs w:val="21"/>
        </w:rPr>
        <w:t>22.9 Decisão administrativa: concessão, indeferimento e o dever do melhor benefício .....</w:t>
      </w:r>
      <w:r w:rsidR="005855A8">
        <w:rPr>
          <w:szCs w:val="21"/>
        </w:rPr>
        <w:t>..............................................................................................................</w:t>
      </w:r>
      <w:r w:rsidRPr="00F73DD5">
        <w:rPr>
          <w:szCs w:val="21"/>
        </w:rPr>
        <w:t>..... 11</w:t>
      </w:r>
      <w:r>
        <w:rPr>
          <w:szCs w:val="21"/>
        </w:rPr>
        <w:t>89</w:t>
      </w:r>
    </w:p>
    <w:p w14:paraId="48B7AC4D" w14:textId="54C73721" w:rsidR="003A005E" w:rsidRPr="00F73DD5" w:rsidRDefault="003A005E" w:rsidP="00CA34C0">
      <w:pPr>
        <w:keepNext/>
        <w:pBdr>
          <w:bottom w:val="single" w:sz="8" w:space="4" w:color="B89B5E"/>
        </w:pBdr>
        <w:spacing w:after="0" w:line="240" w:lineRule="auto"/>
        <w:ind w:right="-171"/>
        <w:rPr>
          <w:szCs w:val="21"/>
        </w:rPr>
      </w:pPr>
      <w:r w:rsidRPr="00F73DD5">
        <w:rPr>
          <w:szCs w:val="21"/>
        </w:rPr>
        <w:t>22.10 Conselho de Recursos da Previdência Social (CRPS): estrutura e competência ......</w:t>
      </w:r>
      <w:r w:rsidR="005855A8">
        <w:rPr>
          <w:szCs w:val="21"/>
        </w:rPr>
        <w:t>..............................................................................................................</w:t>
      </w:r>
      <w:r w:rsidRPr="00F73DD5">
        <w:rPr>
          <w:szCs w:val="21"/>
        </w:rPr>
        <w:t>.... 119</w:t>
      </w:r>
      <w:r>
        <w:rPr>
          <w:szCs w:val="21"/>
        </w:rPr>
        <w:t>2</w:t>
      </w:r>
    </w:p>
    <w:p w14:paraId="4959EE46" w14:textId="1DEDC857" w:rsidR="003A005E" w:rsidRPr="00F73DD5" w:rsidRDefault="003A005E" w:rsidP="00CA34C0">
      <w:pPr>
        <w:keepNext/>
        <w:pBdr>
          <w:bottom w:val="single" w:sz="8" w:space="4" w:color="B89B5E"/>
        </w:pBdr>
        <w:spacing w:after="0" w:line="240" w:lineRule="auto"/>
        <w:ind w:right="-171"/>
        <w:rPr>
          <w:szCs w:val="21"/>
        </w:rPr>
      </w:pPr>
      <w:r w:rsidRPr="00F73DD5">
        <w:rPr>
          <w:szCs w:val="21"/>
        </w:rPr>
        <w:t>22.11 Recurso ordinário às Juntas de Recursos ...</w:t>
      </w:r>
      <w:r w:rsidR="005855A8">
        <w:rPr>
          <w:szCs w:val="21"/>
        </w:rPr>
        <w:t>.......................................</w:t>
      </w:r>
      <w:r w:rsidRPr="00F73DD5">
        <w:rPr>
          <w:szCs w:val="21"/>
        </w:rPr>
        <w:t>....... 1</w:t>
      </w:r>
      <w:r>
        <w:rPr>
          <w:szCs w:val="21"/>
        </w:rPr>
        <w:t>195</w:t>
      </w:r>
    </w:p>
    <w:p w14:paraId="1A16C747" w14:textId="4A9964D0" w:rsidR="003A005E" w:rsidRPr="00F73DD5" w:rsidRDefault="003A005E" w:rsidP="00CA34C0">
      <w:pPr>
        <w:keepNext/>
        <w:pBdr>
          <w:bottom w:val="single" w:sz="8" w:space="4" w:color="B89B5E"/>
        </w:pBdr>
        <w:spacing w:after="0" w:line="240" w:lineRule="auto"/>
        <w:ind w:right="-171"/>
        <w:rPr>
          <w:szCs w:val="21"/>
        </w:rPr>
      </w:pPr>
      <w:r w:rsidRPr="00F73DD5">
        <w:rPr>
          <w:szCs w:val="21"/>
        </w:rPr>
        <w:t>22.12 Recurso especial às Câmaras de Julgamento ..</w:t>
      </w:r>
      <w:r w:rsidR="005855A8">
        <w:rPr>
          <w:szCs w:val="21"/>
        </w:rPr>
        <w:t>..................................</w:t>
      </w:r>
      <w:r w:rsidRPr="00F73DD5">
        <w:rPr>
          <w:szCs w:val="21"/>
        </w:rPr>
        <w:t>........ 1</w:t>
      </w:r>
      <w:r>
        <w:rPr>
          <w:szCs w:val="21"/>
        </w:rPr>
        <w:t>198</w:t>
      </w:r>
    </w:p>
    <w:p w14:paraId="76E7AC15" w14:textId="416B01B4" w:rsidR="003A005E" w:rsidRPr="00F73DD5" w:rsidRDefault="003A005E" w:rsidP="00CA34C0">
      <w:pPr>
        <w:keepNext/>
        <w:pBdr>
          <w:bottom w:val="single" w:sz="8" w:space="4" w:color="B89B5E"/>
        </w:pBdr>
        <w:spacing w:after="0" w:line="240" w:lineRule="auto"/>
        <w:ind w:right="-171"/>
        <w:rPr>
          <w:szCs w:val="21"/>
        </w:rPr>
      </w:pPr>
      <w:r w:rsidRPr="00F73DD5">
        <w:rPr>
          <w:szCs w:val="21"/>
        </w:rPr>
        <w:t>22.13 Enunciados do CRPS e sua força normativa ......</w:t>
      </w:r>
      <w:r w:rsidR="005855A8">
        <w:rPr>
          <w:szCs w:val="21"/>
        </w:rPr>
        <w:t>..................................</w:t>
      </w:r>
      <w:r w:rsidRPr="00F73DD5">
        <w:rPr>
          <w:szCs w:val="21"/>
        </w:rPr>
        <w:t>.... 12</w:t>
      </w:r>
      <w:r>
        <w:rPr>
          <w:szCs w:val="21"/>
        </w:rPr>
        <w:t>01</w:t>
      </w:r>
    </w:p>
    <w:p w14:paraId="30C191CC" w14:textId="28EB90FD" w:rsidR="003A005E" w:rsidRPr="00F73DD5" w:rsidRDefault="003A005E" w:rsidP="00CA34C0">
      <w:pPr>
        <w:keepNext/>
        <w:pBdr>
          <w:bottom w:val="single" w:sz="8" w:space="4" w:color="B89B5E"/>
        </w:pBdr>
        <w:spacing w:after="0" w:line="240" w:lineRule="auto"/>
        <w:ind w:right="-171"/>
        <w:rPr>
          <w:szCs w:val="21"/>
        </w:rPr>
      </w:pPr>
      <w:r w:rsidRPr="00F73DD5">
        <w:rPr>
          <w:szCs w:val="21"/>
        </w:rPr>
        <w:t>22.14 Esgotamento da via administrativa vs. mero requerimento .....</w:t>
      </w:r>
      <w:r w:rsidR="005855A8">
        <w:rPr>
          <w:szCs w:val="21"/>
        </w:rPr>
        <w:t>...........</w:t>
      </w:r>
      <w:r w:rsidRPr="00F73DD5">
        <w:rPr>
          <w:szCs w:val="21"/>
        </w:rPr>
        <w:t>..... 12</w:t>
      </w:r>
      <w:r>
        <w:rPr>
          <w:szCs w:val="21"/>
        </w:rPr>
        <w:t>04</w:t>
      </w:r>
    </w:p>
    <w:p w14:paraId="0D0315CE" w14:textId="0ED5350D" w:rsidR="003A005E" w:rsidRPr="00F73DD5" w:rsidRDefault="003A005E" w:rsidP="00CA34C0">
      <w:pPr>
        <w:keepNext/>
        <w:pBdr>
          <w:bottom w:val="single" w:sz="8" w:space="4" w:color="B89B5E"/>
        </w:pBdr>
        <w:spacing w:after="0" w:line="240" w:lineRule="auto"/>
        <w:ind w:right="-171"/>
        <w:rPr>
          <w:szCs w:val="21"/>
        </w:rPr>
      </w:pPr>
      <w:r w:rsidRPr="00F73DD5">
        <w:rPr>
          <w:szCs w:val="21"/>
        </w:rPr>
        <w:t>22.15 Revisão administrativa pelo INSS: autotutela e limites .....</w:t>
      </w:r>
      <w:r w:rsidR="005855A8">
        <w:rPr>
          <w:szCs w:val="21"/>
        </w:rPr>
        <w:t>.................</w:t>
      </w:r>
      <w:r w:rsidRPr="00F73DD5">
        <w:rPr>
          <w:szCs w:val="21"/>
        </w:rPr>
        <w:t>..... 12</w:t>
      </w:r>
      <w:r>
        <w:rPr>
          <w:szCs w:val="21"/>
        </w:rPr>
        <w:t>0</w:t>
      </w:r>
      <w:r w:rsidRPr="00F73DD5">
        <w:rPr>
          <w:szCs w:val="21"/>
        </w:rPr>
        <w:t>6</w:t>
      </w:r>
    </w:p>
    <w:p w14:paraId="4A683961" w14:textId="1512A549" w:rsidR="003A005E" w:rsidRPr="00F73DD5" w:rsidRDefault="003A005E" w:rsidP="005855A8">
      <w:pPr>
        <w:keepNext/>
        <w:pBdr>
          <w:bottom w:val="single" w:sz="8" w:space="4" w:color="B89B5E"/>
        </w:pBdr>
        <w:spacing w:after="0" w:line="240" w:lineRule="auto"/>
        <w:ind w:right="-171"/>
        <w:rPr>
          <w:szCs w:val="21"/>
        </w:rPr>
      </w:pPr>
      <w:r w:rsidRPr="00F73DD5">
        <w:rPr>
          <w:szCs w:val="21"/>
        </w:rPr>
        <w:t>22.16 Cessação administrativa de benefícios: procedimento e garantias .....</w:t>
      </w:r>
      <w:r w:rsidR="005855A8">
        <w:rPr>
          <w:szCs w:val="21"/>
        </w:rPr>
        <w:t>.</w:t>
      </w:r>
      <w:r w:rsidRPr="00F73DD5">
        <w:rPr>
          <w:szCs w:val="21"/>
        </w:rPr>
        <w:t>..... 12</w:t>
      </w:r>
      <w:r>
        <w:rPr>
          <w:szCs w:val="21"/>
        </w:rPr>
        <w:t>0</w:t>
      </w:r>
      <w:r w:rsidRPr="00F73DD5">
        <w:rPr>
          <w:szCs w:val="21"/>
        </w:rPr>
        <w:t>8</w:t>
      </w:r>
    </w:p>
    <w:p w14:paraId="1B6E2B43" w14:textId="025039A2" w:rsidR="003A005E" w:rsidRPr="00F73DD5" w:rsidRDefault="003A005E" w:rsidP="005855A8">
      <w:pPr>
        <w:keepNext/>
        <w:pBdr>
          <w:bottom w:val="single" w:sz="8" w:space="4" w:color="B89B5E"/>
        </w:pBdr>
        <w:spacing w:after="0" w:line="240" w:lineRule="auto"/>
        <w:ind w:right="-171"/>
        <w:rPr>
          <w:szCs w:val="21"/>
        </w:rPr>
      </w:pPr>
      <w:r w:rsidRPr="00F73DD5">
        <w:rPr>
          <w:szCs w:val="21"/>
        </w:rPr>
        <w:t>22.17 Tema 1.157/STJ: cancelamento administrativo de benefício concedido judicialmente ...</w:t>
      </w:r>
      <w:r w:rsidR="005855A8">
        <w:rPr>
          <w:szCs w:val="21"/>
        </w:rPr>
        <w:t>...................................................................................................</w:t>
      </w:r>
      <w:r w:rsidRPr="00F73DD5">
        <w:rPr>
          <w:szCs w:val="21"/>
        </w:rPr>
        <w:t>....... 12</w:t>
      </w:r>
      <w:r>
        <w:rPr>
          <w:szCs w:val="21"/>
        </w:rPr>
        <w:t>10</w:t>
      </w:r>
    </w:p>
    <w:p w14:paraId="6C7E67D4" w14:textId="7B9BC091" w:rsidR="003A005E" w:rsidRPr="00F73DD5" w:rsidRDefault="003A005E" w:rsidP="005855A8">
      <w:pPr>
        <w:keepNext/>
        <w:pBdr>
          <w:bottom w:val="single" w:sz="8" w:space="4" w:color="B89B5E"/>
        </w:pBdr>
        <w:spacing w:after="0" w:line="240" w:lineRule="auto"/>
        <w:ind w:right="-171"/>
        <w:rPr>
          <w:szCs w:val="21"/>
        </w:rPr>
      </w:pPr>
      <w:r w:rsidRPr="00F73DD5">
        <w:rPr>
          <w:szCs w:val="21"/>
        </w:rPr>
        <w:t>22.18 Programa de combate a fraudes: operações de revisão em massa .......</w:t>
      </w:r>
      <w:r w:rsidR="005855A8">
        <w:rPr>
          <w:szCs w:val="21"/>
        </w:rPr>
        <w:t>...</w:t>
      </w:r>
      <w:r w:rsidRPr="00F73DD5">
        <w:rPr>
          <w:szCs w:val="21"/>
        </w:rPr>
        <w:t>... 12</w:t>
      </w:r>
      <w:r>
        <w:rPr>
          <w:szCs w:val="21"/>
        </w:rPr>
        <w:t>12</w:t>
      </w:r>
    </w:p>
    <w:p w14:paraId="48621C96" w14:textId="3C8E7F39" w:rsidR="003A005E" w:rsidRPr="00F73DD5" w:rsidRDefault="003A005E" w:rsidP="005855A8">
      <w:pPr>
        <w:keepNext/>
        <w:pBdr>
          <w:bottom w:val="single" w:sz="8" w:space="4" w:color="B89B5E"/>
        </w:pBdr>
        <w:spacing w:after="0" w:line="240" w:lineRule="auto"/>
        <w:ind w:right="-171"/>
        <w:rPr>
          <w:szCs w:val="21"/>
        </w:rPr>
      </w:pPr>
      <w:r w:rsidRPr="00F73DD5">
        <w:rPr>
          <w:szCs w:val="21"/>
        </w:rPr>
        <w:t>22.19 Processo administrativo e benefícios assistenciais (BPC/LOAS) .....</w:t>
      </w:r>
      <w:r w:rsidR="005855A8">
        <w:rPr>
          <w:szCs w:val="21"/>
        </w:rPr>
        <w:t>..</w:t>
      </w:r>
      <w:r w:rsidRPr="00F73DD5">
        <w:rPr>
          <w:szCs w:val="21"/>
        </w:rPr>
        <w:t>..... 12</w:t>
      </w:r>
      <w:r>
        <w:rPr>
          <w:szCs w:val="21"/>
        </w:rPr>
        <w:t>15</w:t>
      </w:r>
    </w:p>
    <w:p w14:paraId="76EF87F9" w14:textId="0204DB46" w:rsidR="003A005E" w:rsidRPr="00F73DD5" w:rsidRDefault="003A005E" w:rsidP="005855A8">
      <w:pPr>
        <w:keepNext/>
        <w:pBdr>
          <w:bottom w:val="single" w:sz="8" w:space="4" w:color="B89B5E"/>
        </w:pBdr>
        <w:spacing w:after="0" w:line="240" w:lineRule="auto"/>
        <w:ind w:right="-171"/>
        <w:rPr>
          <w:szCs w:val="21"/>
        </w:rPr>
      </w:pPr>
      <w:r w:rsidRPr="00F73DD5">
        <w:rPr>
          <w:szCs w:val="21"/>
        </w:rPr>
        <w:t>22.20 Quando judicializar: critérios de decisão ......</w:t>
      </w:r>
      <w:r w:rsidR="005855A8">
        <w:rPr>
          <w:szCs w:val="21"/>
        </w:rPr>
        <w:t>........................................</w:t>
      </w:r>
      <w:r w:rsidRPr="00F73DD5">
        <w:rPr>
          <w:szCs w:val="21"/>
        </w:rPr>
        <w:t>.... 12</w:t>
      </w:r>
      <w:r>
        <w:rPr>
          <w:szCs w:val="21"/>
        </w:rPr>
        <w:t>16</w:t>
      </w:r>
    </w:p>
    <w:p w14:paraId="5E40415C" w14:textId="456B367F" w:rsidR="003A005E" w:rsidRPr="00F73DD5" w:rsidRDefault="003A005E" w:rsidP="005855A8">
      <w:pPr>
        <w:keepNext/>
        <w:pBdr>
          <w:bottom w:val="single" w:sz="8" w:space="4" w:color="B89B5E"/>
        </w:pBdr>
        <w:spacing w:after="0" w:line="240" w:lineRule="auto"/>
        <w:ind w:right="-171"/>
        <w:rPr>
          <w:szCs w:val="21"/>
        </w:rPr>
      </w:pPr>
      <w:r w:rsidRPr="00F73DD5">
        <w:rPr>
          <w:szCs w:val="21"/>
        </w:rPr>
        <w:t>22.21 Instruindo a ação judicial com o processo administrativo ...</w:t>
      </w:r>
      <w:r w:rsidR="005855A8">
        <w:rPr>
          <w:szCs w:val="21"/>
        </w:rPr>
        <w:t>.............</w:t>
      </w:r>
      <w:r w:rsidRPr="00F73DD5">
        <w:rPr>
          <w:szCs w:val="21"/>
        </w:rPr>
        <w:t>....... 12</w:t>
      </w:r>
      <w:r>
        <w:rPr>
          <w:szCs w:val="21"/>
        </w:rPr>
        <w:t>18</w:t>
      </w:r>
    </w:p>
    <w:p w14:paraId="62184175" w14:textId="36C08DCF" w:rsidR="003A005E" w:rsidRPr="00F73DD5" w:rsidRDefault="003A005E" w:rsidP="005855A8">
      <w:pPr>
        <w:keepNext/>
        <w:pBdr>
          <w:bottom w:val="single" w:sz="8" w:space="4" w:color="B89B5E"/>
        </w:pBdr>
        <w:spacing w:after="0" w:line="240" w:lineRule="auto"/>
        <w:ind w:right="-171"/>
        <w:rPr>
          <w:szCs w:val="21"/>
        </w:rPr>
      </w:pPr>
      <w:r w:rsidRPr="00F73DD5">
        <w:rPr>
          <w:szCs w:val="21"/>
        </w:rPr>
        <w:t>22.22 Prévio requerimento administrativo: aprofundamento do Tema 350/STF ....</w:t>
      </w:r>
      <w:r w:rsidR="005855A8">
        <w:rPr>
          <w:szCs w:val="21"/>
        </w:rPr>
        <w:t>....................................................................................................................</w:t>
      </w:r>
      <w:r w:rsidRPr="00F73DD5">
        <w:rPr>
          <w:szCs w:val="21"/>
        </w:rPr>
        <w:t>...... 12</w:t>
      </w:r>
      <w:r>
        <w:rPr>
          <w:szCs w:val="21"/>
        </w:rPr>
        <w:t>21</w:t>
      </w:r>
    </w:p>
    <w:p w14:paraId="579419F1" w14:textId="0853878E" w:rsidR="003A005E" w:rsidRPr="00F73DD5" w:rsidRDefault="003A005E" w:rsidP="005855A8">
      <w:pPr>
        <w:keepNext/>
        <w:pBdr>
          <w:bottom w:val="single" w:sz="8" w:space="4" w:color="B89B5E"/>
        </w:pBdr>
        <w:spacing w:after="0" w:line="240" w:lineRule="auto"/>
        <w:ind w:right="-171"/>
        <w:rPr>
          <w:szCs w:val="21"/>
        </w:rPr>
      </w:pPr>
      <w:r w:rsidRPr="00F73DD5">
        <w:rPr>
          <w:szCs w:val="21"/>
        </w:rPr>
        <w:t>22.23 O processo administrativo como fonte de prova judicial ......</w:t>
      </w:r>
      <w:r w:rsidR="005855A8">
        <w:rPr>
          <w:szCs w:val="21"/>
        </w:rPr>
        <w:t>...............</w:t>
      </w:r>
      <w:r w:rsidRPr="00F73DD5">
        <w:rPr>
          <w:szCs w:val="21"/>
        </w:rPr>
        <w:t>.... 12</w:t>
      </w:r>
      <w:r>
        <w:rPr>
          <w:szCs w:val="21"/>
        </w:rPr>
        <w:t>22</w:t>
      </w:r>
    </w:p>
    <w:p w14:paraId="67B416BA" w14:textId="494FBBCD" w:rsidR="003A005E" w:rsidRPr="00F73DD5" w:rsidRDefault="003A005E" w:rsidP="005855A8">
      <w:pPr>
        <w:keepNext/>
        <w:pBdr>
          <w:bottom w:val="single" w:sz="8" w:space="4" w:color="B89B5E"/>
        </w:pBdr>
        <w:spacing w:after="0" w:line="240" w:lineRule="auto"/>
        <w:ind w:right="-171"/>
        <w:rPr>
          <w:szCs w:val="21"/>
        </w:rPr>
      </w:pPr>
      <w:r w:rsidRPr="00F73DD5">
        <w:rPr>
          <w:szCs w:val="21"/>
        </w:rPr>
        <w:t>22.24 Consolidação das posições adotadas ......</w:t>
      </w:r>
      <w:r w:rsidR="005855A8">
        <w:rPr>
          <w:szCs w:val="21"/>
        </w:rPr>
        <w:t>..............................................</w:t>
      </w:r>
      <w:r w:rsidRPr="00F73DD5">
        <w:rPr>
          <w:szCs w:val="21"/>
        </w:rPr>
        <w:t>.... 12</w:t>
      </w:r>
      <w:r>
        <w:rPr>
          <w:szCs w:val="21"/>
        </w:rPr>
        <w:t>24</w:t>
      </w:r>
    </w:p>
    <w:p w14:paraId="02D8D828" w14:textId="56C49F15" w:rsidR="003A005E" w:rsidRDefault="003A005E" w:rsidP="005855A8">
      <w:pPr>
        <w:keepNext/>
        <w:pBdr>
          <w:bottom w:val="single" w:sz="8" w:space="4" w:color="B89B5E"/>
        </w:pBdr>
        <w:spacing w:after="0" w:line="240" w:lineRule="auto"/>
        <w:ind w:right="-171"/>
        <w:rPr>
          <w:szCs w:val="21"/>
        </w:rPr>
      </w:pPr>
      <w:r w:rsidRPr="00E56701">
        <w:rPr>
          <w:szCs w:val="21"/>
        </w:rPr>
        <w:t>Capítulo 23 — Competência e Procedimento no JEF ....................................... 1</w:t>
      </w:r>
      <w:r>
        <w:rPr>
          <w:szCs w:val="21"/>
        </w:rPr>
        <w:t>228</w:t>
      </w:r>
    </w:p>
    <w:p w14:paraId="53E9304D" w14:textId="77777777" w:rsidR="003A005E" w:rsidRDefault="003A005E" w:rsidP="005855A8">
      <w:pPr>
        <w:keepNext/>
        <w:pBdr>
          <w:bottom w:val="single" w:sz="8" w:space="4" w:color="B89B5E"/>
        </w:pBdr>
        <w:spacing w:after="0" w:line="240" w:lineRule="auto"/>
        <w:ind w:right="-171"/>
        <w:rPr>
          <w:szCs w:val="21"/>
        </w:rPr>
      </w:pPr>
    </w:p>
    <w:p w14:paraId="33EED58A" w14:textId="39B345B5" w:rsidR="003A005E" w:rsidRPr="00483E12" w:rsidRDefault="003A005E" w:rsidP="005855A8">
      <w:pPr>
        <w:keepNext/>
        <w:pBdr>
          <w:bottom w:val="single" w:sz="8" w:space="4" w:color="B89B5E"/>
        </w:pBdr>
        <w:spacing w:after="0" w:line="240" w:lineRule="auto"/>
        <w:ind w:right="-171"/>
        <w:rPr>
          <w:szCs w:val="21"/>
        </w:rPr>
      </w:pPr>
      <w:r w:rsidRPr="00483E12">
        <w:rPr>
          <w:szCs w:val="21"/>
        </w:rPr>
        <w:t>23.1 Criação e fundamento constitucional dos JEFs ..............</w:t>
      </w:r>
      <w:r w:rsidR="005855A8">
        <w:rPr>
          <w:szCs w:val="21"/>
        </w:rPr>
        <w:t>.................</w:t>
      </w:r>
      <w:r w:rsidRPr="00483E12">
        <w:rPr>
          <w:szCs w:val="21"/>
        </w:rPr>
        <w:t>.......... 1229</w:t>
      </w:r>
    </w:p>
    <w:p w14:paraId="6C82D843" w14:textId="1F30B538" w:rsidR="003A005E" w:rsidRPr="00483E12" w:rsidRDefault="003A005E" w:rsidP="005855A8">
      <w:pPr>
        <w:keepNext/>
        <w:pBdr>
          <w:bottom w:val="single" w:sz="8" w:space="4" w:color="B89B5E"/>
        </w:pBdr>
        <w:spacing w:after="0" w:line="240" w:lineRule="auto"/>
        <w:ind w:right="-171"/>
        <w:rPr>
          <w:szCs w:val="21"/>
        </w:rPr>
      </w:pPr>
      <w:r w:rsidRPr="00483E12">
        <w:rPr>
          <w:szCs w:val="21"/>
        </w:rPr>
        <w:t>23.2 Competência material: matéria previdenciária ................</w:t>
      </w:r>
      <w:r w:rsidR="005855A8">
        <w:rPr>
          <w:szCs w:val="21"/>
        </w:rPr>
        <w:t>..................</w:t>
      </w:r>
      <w:r w:rsidRPr="00483E12">
        <w:rPr>
          <w:szCs w:val="21"/>
        </w:rPr>
        <w:t>........ 123</w:t>
      </w:r>
      <w:r>
        <w:rPr>
          <w:szCs w:val="21"/>
        </w:rPr>
        <w:t>1</w:t>
      </w:r>
    </w:p>
    <w:p w14:paraId="72AF66F7" w14:textId="4E44C936" w:rsidR="003A005E" w:rsidRPr="00483E12" w:rsidRDefault="003A005E" w:rsidP="005855A8">
      <w:pPr>
        <w:keepNext/>
        <w:pBdr>
          <w:bottom w:val="single" w:sz="8" w:space="4" w:color="B89B5E"/>
        </w:pBdr>
        <w:spacing w:after="0" w:line="240" w:lineRule="auto"/>
        <w:ind w:right="-171"/>
        <w:rPr>
          <w:szCs w:val="21"/>
        </w:rPr>
      </w:pPr>
      <w:r w:rsidRPr="00483E12">
        <w:rPr>
          <w:szCs w:val="21"/>
        </w:rPr>
        <w:t>23.3 Competência em razão do valor da causa .................</w:t>
      </w:r>
      <w:r w:rsidR="005855A8">
        <w:rPr>
          <w:szCs w:val="21"/>
        </w:rPr>
        <w:t>...........................</w:t>
      </w:r>
      <w:r w:rsidRPr="00483E12">
        <w:rPr>
          <w:szCs w:val="21"/>
        </w:rPr>
        <w:t>....... 123</w:t>
      </w:r>
      <w:r>
        <w:rPr>
          <w:szCs w:val="21"/>
        </w:rPr>
        <w:t>2</w:t>
      </w:r>
    </w:p>
    <w:p w14:paraId="4E0E0FD6" w14:textId="53B9BF79" w:rsidR="003A005E" w:rsidRPr="00483E12" w:rsidRDefault="003A005E" w:rsidP="005855A8">
      <w:pPr>
        <w:keepNext/>
        <w:pBdr>
          <w:bottom w:val="single" w:sz="8" w:space="4" w:color="B89B5E"/>
        </w:pBdr>
        <w:spacing w:after="0" w:line="240" w:lineRule="auto"/>
        <w:ind w:right="-171"/>
        <w:rPr>
          <w:szCs w:val="21"/>
        </w:rPr>
      </w:pPr>
      <w:r w:rsidRPr="00483E12">
        <w:rPr>
          <w:szCs w:val="21"/>
        </w:rPr>
        <w:t>23.4 Cálculo do valor da causa nas ações previdenciárias .........</w:t>
      </w:r>
      <w:r w:rsidR="005855A8">
        <w:rPr>
          <w:szCs w:val="21"/>
        </w:rPr>
        <w:t>...........</w:t>
      </w:r>
      <w:r w:rsidRPr="00483E12">
        <w:rPr>
          <w:szCs w:val="21"/>
        </w:rPr>
        <w:t>............... 123</w:t>
      </w:r>
      <w:r>
        <w:rPr>
          <w:szCs w:val="21"/>
        </w:rPr>
        <w:t>4</w:t>
      </w:r>
    </w:p>
    <w:p w14:paraId="0C825332" w14:textId="0FA163BA" w:rsidR="003A005E" w:rsidRPr="00483E12" w:rsidRDefault="003A005E" w:rsidP="005855A8">
      <w:pPr>
        <w:keepNext/>
        <w:pBdr>
          <w:bottom w:val="single" w:sz="8" w:space="4" w:color="B89B5E"/>
        </w:pBdr>
        <w:spacing w:after="0" w:line="240" w:lineRule="auto"/>
        <w:ind w:right="-171"/>
        <w:rPr>
          <w:szCs w:val="21"/>
        </w:rPr>
      </w:pPr>
      <w:r w:rsidRPr="00483E12">
        <w:rPr>
          <w:szCs w:val="21"/>
        </w:rPr>
        <w:t>23.5 Renúncia ao valor excedente ................</w:t>
      </w:r>
      <w:r w:rsidR="005855A8">
        <w:rPr>
          <w:szCs w:val="21"/>
        </w:rPr>
        <w:t>..............................................</w:t>
      </w:r>
      <w:r w:rsidRPr="00483E12">
        <w:rPr>
          <w:szCs w:val="21"/>
        </w:rPr>
        <w:t>........ 123</w:t>
      </w:r>
      <w:r>
        <w:rPr>
          <w:szCs w:val="21"/>
        </w:rPr>
        <w:t>5</w:t>
      </w:r>
    </w:p>
    <w:p w14:paraId="7EBE5F74" w14:textId="4394BE8F" w:rsidR="003A005E" w:rsidRPr="00483E12" w:rsidRDefault="003A005E" w:rsidP="005855A8">
      <w:pPr>
        <w:keepNext/>
        <w:pBdr>
          <w:bottom w:val="single" w:sz="8" w:space="4" w:color="B89B5E"/>
        </w:pBdr>
        <w:spacing w:after="0" w:line="240" w:lineRule="auto"/>
        <w:ind w:right="-171"/>
        <w:rPr>
          <w:szCs w:val="21"/>
        </w:rPr>
      </w:pPr>
      <w:r w:rsidRPr="00483E12">
        <w:rPr>
          <w:szCs w:val="21"/>
        </w:rPr>
        <w:t>23.6 Competência territorial ..............</w:t>
      </w:r>
      <w:r w:rsidR="005855A8">
        <w:rPr>
          <w:szCs w:val="21"/>
        </w:rPr>
        <w:t>......................................................</w:t>
      </w:r>
      <w:r w:rsidRPr="00483E12">
        <w:rPr>
          <w:szCs w:val="21"/>
        </w:rPr>
        <w:t>.......... 123</w:t>
      </w:r>
      <w:r>
        <w:rPr>
          <w:szCs w:val="21"/>
        </w:rPr>
        <w:t>7</w:t>
      </w:r>
    </w:p>
    <w:p w14:paraId="6860F17B" w14:textId="6B390EA1" w:rsidR="003A005E" w:rsidRPr="00483E12" w:rsidRDefault="003A005E" w:rsidP="005855A8">
      <w:pPr>
        <w:keepNext/>
        <w:pBdr>
          <w:bottom w:val="single" w:sz="8" w:space="4" w:color="B89B5E"/>
        </w:pBdr>
        <w:spacing w:after="0" w:line="240" w:lineRule="auto"/>
        <w:ind w:right="-171"/>
        <w:rPr>
          <w:szCs w:val="21"/>
        </w:rPr>
      </w:pPr>
      <w:r w:rsidRPr="00483E12">
        <w:rPr>
          <w:szCs w:val="21"/>
        </w:rPr>
        <w:t>23.7 Competência delegada à Justiça Estadual ..........</w:t>
      </w:r>
      <w:r w:rsidR="005855A8">
        <w:rPr>
          <w:szCs w:val="21"/>
        </w:rPr>
        <w:t>...........................</w:t>
      </w:r>
      <w:r w:rsidRPr="00483E12">
        <w:rPr>
          <w:szCs w:val="21"/>
        </w:rPr>
        <w:t>.............. 12</w:t>
      </w:r>
      <w:r>
        <w:rPr>
          <w:szCs w:val="21"/>
        </w:rPr>
        <w:t>39</w:t>
      </w:r>
    </w:p>
    <w:p w14:paraId="6A1CDDC3" w14:textId="4AB3AD69" w:rsidR="003A005E" w:rsidRPr="00483E12" w:rsidRDefault="003A005E" w:rsidP="005855A8">
      <w:pPr>
        <w:keepNext/>
        <w:pBdr>
          <w:bottom w:val="single" w:sz="8" w:space="4" w:color="B89B5E"/>
        </w:pBdr>
        <w:spacing w:after="0" w:line="240" w:lineRule="auto"/>
        <w:ind w:right="-171"/>
        <w:rPr>
          <w:szCs w:val="21"/>
        </w:rPr>
      </w:pPr>
      <w:r w:rsidRPr="00483E12">
        <w:rPr>
          <w:szCs w:val="21"/>
        </w:rPr>
        <w:t>23.8 Prévio requerimento administrativo: condição da ação ..........</w:t>
      </w:r>
      <w:r w:rsidR="005855A8">
        <w:rPr>
          <w:szCs w:val="21"/>
        </w:rPr>
        <w:t>....</w:t>
      </w:r>
      <w:r w:rsidRPr="00483E12">
        <w:rPr>
          <w:szCs w:val="21"/>
        </w:rPr>
        <w:t>.............. 12</w:t>
      </w:r>
      <w:r>
        <w:rPr>
          <w:szCs w:val="21"/>
        </w:rPr>
        <w:t>41</w:t>
      </w:r>
    </w:p>
    <w:p w14:paraId="70747920" w14:textId="155D2550" w:rsidR="003A005E" w:rsidRPr="00483E12" w:rsidRDefault="003A005E" w:rsidP="005855A8">
      <w:pPr>
        <w:keepNext/>
        <w:pBdr>
          <w:bottom w:val="single" w:sz="8" w:space="4" w:color="B89B5E"/>
        </w:pBdr>
        <w:spacing w:after="0" w:line="240" w:lineRule="auto"/>
        <w:ind w:right="-171"/>
        <w:rPr>
          <w:szCs w:val="21"/>
        </w:rPr>
      </w:pPr>
      <w:r w:rsidRPr="00483E12">
        <w:rPr>
          <w:szCs w:val="21"/>
        </w:rPr>
        <w:t>23.9 Jus postulandi: dispensa de advogado em primeiro grau ..........</w:t>
      </w:r>
      <w:r w:rsidR="005855A8">
        <w:rPr>
          <w:szCs w:val="21"/>
        </w:rPr>
        <w:t>...</w:t>
      </w:r>
      <w:r w:rsidRPr="00483E12">
        <w:rPr>
          <w:szCs w:val="21"/>
        </w:rPr>
        <w:t>.............. 124</w:t>
      </w:r>
      <w:r>
        <w:rPr>
          <w:szCs w:val="21"/>
        </w:rPr>
        <w:t>3</w:t>
      </w:r>
    </w:p>
    <w:p w14:paraId="3F57A10F" w14:textId="3ADD9C96" w:rsidR="003A005E" w:rsidRPr="00483E12" w:rsidRDefault="003A005E" w:rsidP="005855A8">
      <w:pPr>
        <w:keepNext/>
        <w:pBdr>
          <w:bottom w:val="single" w:sz="8" w:space="4" w:color="B89B5E"/>
        </w:pBdr>
        <w:spacing w:after="0" w:line="240" w:lineRule="auto"/>
        <w:ind w:right="-171"/>
        <w:rPr>
          <w:szCs w:val="21"/>
        </w:rPr>
      </w:pPr>
      <w:r w:rsidRPr="00483E12">
        <w:rPr>
          <w:szCs w:val="21"/>
        </w:rPr>
        <w:t>23.10 Procedimento sumaríssimo: princípios e características ........</w:t>
      </w:r>
      <w:r w:rsidR="005855A8">
        <w:rPr>
          <w:szCs w:val="21"/>
        </w:rPr>
        <w:t>..</w:t>
      </w:r>
      <w:r w:rsidRPr="00483E12">
        <w:rPr>
          <w:szCs w:val="21"/>
        </w:rPr>
        <w:t>................ 124</w:t>
      </w:r>
      <w:r>
        <w:rPr>
          <w:szCs w:val="21"/>
        </w:rPr>
        <w:t>4</w:t>
      </w:r>
    </w:p>
    <w:p w14:paraId="1FCA8D99" w14:textId="2DB744E0" w:rsidR="003A005E" w:rsidRPr="00483E12" w:rsidRDefault="003A005E" w:rsidP="005855A8">
      <w:pPr>
        <w:keepNext/>
        <w:pBdr>
          <w:bottom w:val="single" w:sz="8" w:space="4" w:color="B89B5E"/>
        </w:pBdr>
        <w:spacing w:after="0" w:line="240" w:lineRule="auto"/>
        <w:ind w:right="-171"/>
        <w:rPr>
          <w:szCs w:val="21"/>
        </w:rPr>
      </w:pPr>
      <w:r w:rsidRPr="00483E12">
        <w:rPr>
          <w:szCs w:val="21"/>
        </w:rPr>
        <w:t>23.11 Petição inicial e distribuição .....</w:t>
      </w:r>
      <w:r w:rsidR="005855A8">
        <w:rPr>
          <w:szCs w:val="21"/>
        </w:rPr>
        <w:t>.............................................</w:t>
      </w:r>
      <w:r w:rsidRPr="00483E12">
        <w:rPr>
          <w:szCs w:val="21"/>
        </w:rPr>
        <w:t>................... 12</w:t>
      </w:r>
      <w:r>
        <w:rPr>
          <w:szCs w:val="21"/>
        </w:rPr>
        <w:t>46</w:t>
      </w:r>
    </w:p>
    <w:p w14:paraId="38A6F58F" w14:textId="288264A0" w:rsidR="003A005E" w:rsidRPr="00483E12" w:rsidRDefault="003A005E" w:rsidP="005855A8">
      <w:pPr>
        <w:keepNext/>
        <w:pBdr>
          <w:bottom w:val="single" w:sz="8" w:space="4" w:color="B89B5E"/>
        </w:pBdr>
        <w:spacing w:after="0" w:line="240" w:lineRule="auto"/>
        <w:ind w:right="-171"/>
        <w:rPr>
          <w:szCs w:val="21"/>
        </w:rPr>
      </w:pPr>
      <w:r w:rsidRPr="00483E12">
        <w:rPr>
          <w:szCs w:val="21"/>
        </w:rPr>
        <w:t>23.12 Citação e contestação do INSS .......</w:t>
      </w:r>
      <w:r w:rsidR="005855A8">
        <w:rPr>
          <w:szCs w:val="21"/>
        </w:rPr>
        <w:t>.........................................</w:t>
      </w:r>
      <w:r w:rsidRPr="00483E12">
        <w:rPr>
          <w:szCs w:val="21"/>
        </w:rPr>
        <w:t>................. 12</w:t>
      </w:r>
      <w:r>
        <w:rPr>
          <w:szCs w:val="21"/>
        </w:rPr>
        <w:t>47</w:t>
      </w:r>
    </w:p>
    <w:p w14:paraId="782733A8" w14:textId="08DA7545" w:rsidR="003A005E" w:rsidRPr="00483E12" w:rsidRDefault="003A005E" w:rsidP="005855A8">
      <w:pPr>
        <w:keepNext/>
        <w:pBdr>
          <w:bottom w:val="single" w:sz="8" w:space="4" w:color="B89B5E"/>
        </w:pBdr>
        <w:spacing w:after="0" w:line="240" w:lineRule="auto"/>
        <w:ind w:right="-171"/>
        <w:rPr>
          <w:szCs w:val="21"/>
        </w:rPr>
      </w:pPr>
      <w:r w:rsidRPr="00483E12">
        <w:rPr>
          <w:szCs w:val="21"/>
        </w:rPr>
        <w:t>23.13 Audiência de conciliação ..............</w:t>
      </w:r>
      <w:r w:rsidR="005855A8">
        <w:rPr>
          <w:szCs w:val="21"/>
        </w:rPr>
        <w:t>..................................................</w:t>
      </w:r>
      <w:r w:rsidRPr="00483E12">
        <w:rPr>
          <w:szCs w:val="21"/>
        </w:rPr>
        <w:t>.......... 12</w:t>
      </w:r>
      <w:r>
        <w:rPr>
          <w:szCs w:val="21"/>
        </w:rPr>
        <w:t>48</w:t>
      </w:r>
    </w:p>
    <w:p w14:paraId="12F5A387" w14:textId="77AB8072" w:rsidR="003A005E" w:rsidRPr="00483E12" w:rsidRDefault="003A005E" w:rsidP="005855A8">
      <w:pPr>
        <w:keepNext/>
        <w:pBdr>
          <w:bottom w:val="single" w:sz="8" w:space="4" w:color="B89B5E"/>
        </w:pBdr>
        <w:spacing w:after="0" w:line="240" w:lineRule="auto"/>
        <w:ind w:right="-171"/>
        <w:rPr>
          <w:szCs w:val="21"/>
        </w:rPr>
      </w:pPr>
      <w:r w:rsidRPr="00483E12">
        <w:rPr>
          <w:szCs w:val="21"/>
        </w:rPr>
        <w:t>23.14 Audiência de instrução e julgamento .........</w:t>
      </w:r>
      <w:r w:rsidR="00A5371C">
        <w:rPr>
          <w:szCs w:val="21"/>
        </w:rPr>
        <w:t>...............................</w:t>
      </w:r>
      <w:r w:rsidRPr="00483E12">
        <w:rPr>
          <w:szCs w:val="21"/>
        </w:rPr>
        <w:t>............... 125</w:t>
      </w:r>
      <w:r>
        <w:rPr>
          <w:szCs w:val="21"/>
        </w:rPr>
        <w:t>0</w:t>
      </w:r>
    </w:p>
    <w:p w14:paraId="748F304E" w14:textId="4E1AF0A2" w:rsidR="003A005E" w:rsidRPr="00483E12" w:rsidRDefault="003A005E" w:rsidP="005855A8">
      <w:pPr>
        <w:keepNext/>
        <w:pBdr>
          <w:bottom w:val="single" w:sz="8" w:space="4" w:color="B89B5E"/>
        </w:pBdr>
        <w:spacing w:after="0" w:line="240" w:lineRule="auto"/>
        <w:ind w:right="-171"/>
        <w:rPr>
          <w:szCs w:val="21"/>
        </w:rPr>
      </w:pPr>
      <w:r w:rsidRPr="00483E12">
        <w:rPr>
          <w:szCs w:val="21"/>
        </w:rPr>
        <w:t>23.15 Prova pericial nos JEFs previdenciários ............</w:t>
      </w:r>
      <w:r w:rsidR="00A5371C">
        <w:rPr>
          <w:szCs w:val="21"/>
        </w:rPr>
        <w:t>............................</w:t>
      </w:r>
      <w:r w:rsidRPr="00483E12">
        <w:rPr>
          <w:szCs w:val="21"/>
        </w:rPr>
        <w:t>............ 125</w:t>
      </w:r>
      <w:r>
        <w:rPr>
          <w:szCs w:val="21"/>
        </w:rPr>
        <w:t>2</w:t>
      </w:r>
    </w:p>
    <w:p w14:paraId="343D1E5E" w14:textId="527793CC" w:rsidR="003A005E" w:rsidRPr="00483E12" w:rsidRDefault="003A005E" w:rsidP="005855A8">
      <w:pPr>
        <w:keepNext/>
        <w:pBdr>
          <w:bottom w:val="single" w:sz="8" w:space="4" w:color="B89B5E"/>
        </w:pBdr>
        <w:spacing w:after="0" w:line="240" w:lineRule="auto"/>
        <w:ind w:right="-171"/>
        <w:rPr>
          <w:szCs w:val="21"/>
        </w:rPr>
      </w:pPr>
      <w:r w:rsidRPr="00483E12">
        <w:rPr>
          <w:szCs w:val="21"/>
        </w:rPr>
        <w:t>23.16 Tutela de urgência nos JEFs previdenciários ............</w:t>
      </w:r>
      <w:r w:rsidR="00A5371C">
        <w:rPr>
          <w:szCs w:val="21"/>
        </w:rPr>
        <w:t>....................</w:t>
      </w:r>
      <w:r w:rsidRPr="00483E12">
        <w:rPr>
          <w:szCs w:val="21"/>
        </w:rPr>
        <w:t>............ 12</w:t>
      </w:r>
      <w:r>
        <w:rPr>
          <w:szCs w:val="21"/>
        </w:rPr>
        <w:t>53</w:t>
      </w:r>
    </w:p>
    <w:p w14:paraId="27C2C3B5" w14:textId="33966EBE" w:rsidR="003A005E" w:rsidRPr="00483E12" w:rsidRDefault="003A005E" w:rsidP="005855A8">
      <w:pPr>
        <w:keepNext/>
        <w:pBdr>
          <w:bottom w:val="single" w:sz="8" w:space="4" w:color="B89B5E"/>
        </w:pBdr>
        <w:spacing w:after="0" w:line="240" w:lineRule="auto"/>
        <w:ind w:right="-171"/>
        <w:rPr>
          <w:szCs w:val="21"/>
        </w:rPr>
      </w:pPr>
      <w:r w:rsidRPr="00483E12">
        <w:rPr>
          <w:szCs w:val="21"/>
        </w:rPr>
        <w:t>23.17 Sentença nos JEFs previdenciários ..............</w:t>
      </w:r>
      <w:r w:rsidR="00A5371C">
        <w:rPr>
          <w:szCs w:val="21"/>
        </w:rPr>
        <w:t>...................................</w:t>
      </w:r>
      <w:r w:rsidRPr="00483E12">
        <w:rPr>
          <w:szCs w:val="21"/>
        </w:rPr>
        <w:t>.......... 12</w:t>
      </w:r>
      <w:r>
        <w:rPr>
          <w:szCs w:val="21"/>
        </w:rPr>
        <w:t>54</w:t>
      </w:r>
    </w:p>
    <w:p w14:paraId="75DABC22" w14:textId="2C405975" w:rsidR="003A005E" w:rsidRPr="00483E12" w:rsidRDefault="003A005E" w:rsidP="005855A8">
      <w:pPr>
        <w:keepNext/>
        <w:pBdr>
          <w:bottom w:val="single" w:sz="8" w:space="4" w:color="B89B5E"/>
        </w:pBdr>
        <w:spacing w:after="0" w:line="240" w:lineRule="auto"/>
        <w:ind w:right="-171"/>
        <w:rPr>
          <w:szCs w:val="21"/>
        </w:rPr>
      </w:pPr>
      <w:r w:rsidRPr="00483E12">
        <w:rPr>
          <w:szCs w:val="21"/>
        </w:rPr>
        <w:t>23.18 Recurso inominado e Turma Recursal .........</w:t>
      </w:r>
      <w:r w:rsidR="00A5371C">
        <w:rPr>
          <w:szCs w:val="21"/>
        </w:rPr>
        <w:t>............................</w:t>
      </w:r>
      <w:r w:rsidRPr="00483E12">
        <w:rPr>
          <w:szCs w:val="21"/>
        </w:rPr>
        <w:t>............... 12</w:t>
      </w:r>
      <w:r>
        <w:rPr>
          <w:szCs w:val="21"/>
        </w:rPr>
        <w:t>56</w:t>
      </w:r>
    </w:p>
    <w:p w14:paraId="63706C32" w14:textId="5FACC0DA" w:rsidR="003A005E" w:rsidRPr="00483E12" w:rsidRDefault="003A005E" w:rsidP="005855A8">
      <w:pPr>
        <w:keepNext/>
        <w:pBdr>
          <w:bottom w:val="single" w:sz="8" w:space="4" w:color="B89B5E"/>
        </w:pBdr>
        <w:spacing w:after="0" w:line="240" w:lineRule="auto"/>
        <w:ind w:right="-171"/>
        <w:rPr>
          <w:szCs w:val="21"/>
        </w:rPr>
      </w:pPr>
      <w:r w:rsidRPr="00483E12">
        <w:rPr>
          <w:szCs w:val="21"/>
        </w:rPr>
        <w:t>23.19 Pedido de uniformização e TNU .............</w:t>
      </w:r>
      <w:r w:rsidR="00A5371C">
        <w:rPr>
          <w:szCs w:val="21"/>
        </w:rPr>
        <w:t>.....................................</w:t>
      </w:r>
      <w:r w:rsidRPr="00483E12">
        <w:rPr>
          <w:szCs w:val="21"/>
        </w:rPr>
        <w:t>........... 12</w:t>
      </w:r>
      <w:r>
        <w:rPr>
          <w:szCs w:val="21"/>
        </w:rPr>
        <w:t>58</w:t>
      </w:r>
    </w:p>
    <w:p w14:paraId="6AF3A024" w14:textId="466C43DC" w:rsidR="003A005E" w:rsidRPr="00483E12" w:rsidRDefault="003A005E" w:rsidP="005855A8">
      <w:pPr>
        <w:keepNext/>
        <w:pBdr>
          <w:bottom w:val="single" w:sz="8" w:space="4" w:color="B89B5E"/>
        </w:pBdr>
        <w:spacing w:after="0" w:line="240" w:lineRule="auto"/>
        <w:ind w:right="-171"/>
        <w:rPr>
          <w:szCs w:val="21"/>
        </w:rPr>
      </w:pPr>
      <w:r w:rsidRPr="00483E12">
        <w:rPr>
          <w:szCs w:val="21"/>
        </w:rPr>
        <w:t>23.20 Execução da sentença: RPV e precatório .......</w:t>
      </w:r>
      <w:r w:rsidR="00A5371C">
        <w:rPr>
          <w:szCs w:val="21"/>
        </w:rPr>
        <w:t>.........................</w:t>
      </w:r>
      <w:r w:rsidRPr="00483E12">
        <w:rPr>
          <w:szCs w:val="21"/>
        </w:rPr>
        <w:t>................. 12</w:t>
      </w:r>
      <w:r>
        <w:rPr>
          <w:szCs w:val="21"/>
        </w:rPr>
        <w:t>59</w:t>
      </w:r>
    </w:p>
    <w:p w14:paraId="1F536716" w14:textId="020EF0DF" w:rsidR="003A005E" w:rsidRPr="00483E12" w:rsidRDefault="003A005E" w:rsidP="005855A8">
      <w:pPr>
        <w:keepNext/>
        <w:pBdr>
          <w:bottom w:val="single" w:sz="8" w:space="4" w:color="B89B5E"/>
        </w:pBdr>
        <w:spacing w:after="0" w:line="240" w:lineRule="auto"/>
        <w:ind w:right="-171"/>
        <w:rPr>
          <w:szCs w:val="21"/>
        </w:rPr>
      </w:pPr>
      <w:r w:rsidRPr="00483E12">
        <w:rPr>
          <w:szCs w:val="21"/>
        </w:rPr>
        <w:t>23.21 Honorários advocatícios e custas nos JEFs ...........</w:t>
      </w:r>
      <w:r w:rsidR="00A5371C">
        <w:rPr>
          <w:szCs w:val="21"/>
        </w:rPr>
        <w:t>.......................</w:t>
      </w:r>
      <w:r w:rsidRPr="00483E12">
        <w:rPr>
          <w:szCs w:val="21"/>
        </w:rPr>
        <w:t>............. 12</w:t>
      </w:r>
      <w:r>
        <w:rPr>
          <w:szCs w:val="21"/>
        </w:rPr>
        <w:t>63</w:t>
      </w:r>
    </w:p>
    <w:p w14:paraId="5DA680F2" w14:textId="3A9C3BC4" w:rsidR="003A005E" w:rsidRPr="00483E12" w:rsidRDefault="003A005E" w:rsidP="005855A8">
      <w:pPr>
        <w:keepNext/>
        <w:pBdr>
          <w:bottom w:val="single" w:sz="8" w:space="4" w:color="B89B5E"/>
        </w:pBdr>
        <w:spacing w:after="0" w:line="240" w:lineRule="auto"/>
        <w:ind w:right="-171"/>
        <w:rPr>
          <w:szCs w:val="21"/>
        </w:rPr>
      </w:pPr>
      <w:r w:rsidRPr="00483E12">
        <w:rPr>
          <w:szCs w:val="21"/>
        </w:rPr>
        <w:t>23.22 Tutela de evidência em matéria previdenciária ............</w:t>
      </w:r>
      <w:r w:rsidR="00A5371C">
        <w:rPr>
          <w:szCs w:val="21"/>
        </w:rPr>
        <w:t>................</w:t>
      </w:r>
      <w:r w:rsidRPr="00483E12">
        <w:rPr>
          <w:szCs w:val="21"/>
        </w:rPr>
        <w:t>............ 12</w:t>
      </w:r>
      <w:r>
        <w:rPr>
          <w:szCs w:val="21"/>
        </w:rPr>
        <w:t>6</w:t>
      </w:r>
      <w:r w:rsidRPr="00483E12">
        <w:rPr>
          <w:szCs w:val="21"/>
        </w:rPr>
        <w:t>5</w:t>
      </w:r>
    </w:p>
    <w:p w14:paraId="57ADA877" w14:textId="2A391878" w:rsidR="003A005E" w:rsidRPr="00483E12" w:rsidRDefault="003A005E" w:rsidP="005855A8">
      <w:pPr>
        <w:keepNext/>
        <w:pBdr>
          <w:bottom w:val="single" w:sz="8" w:space="4" w:color="B89B5E"/>
        </w:pBdr>
        <w:spacing w:after="0" w:line="240" w:lineRule="auto"/>
        <w:ind w:right="-171"/>
        <w:rPr>
          <w:szCs w:val="21"/>
        </w:rPr>
      </w:pPr>
      <w:r w:rsidRPr="00483E12">
        <w:rPr>
          <w:szCs w:val="21"/>
        </w:rPr>
        <w:t>23.23 Desistência, extinção e arquivamento ...............</w:t>
      </w:r>
      <w:r w:rsidR="00A5371C">
        <w:rPr>
          <w:szCs w:val="21"/>
        </w:rPr>
        <w:t>..............................</w:t>
      </w:r>
      <w:r w:rsidRPr="00483E12">
        <w:rPr>
          <w:szCs w:val="21"/>
        </w:rPr>
        <w:t>......... 12</w:t>
      </w:r>
      <w:r>
        <w:rPr>
          <w:szCs w:val="21"/>
        </w:rPr>
        <w:t>65</w:t>
      </w:r>
    </w:p>
    <w:p w14:paraId="3C24D44B" w14:textId="680908CB" w:rsidR="003A005E" w:rsidRPr="00483E12" w:rsidRDefault="003A005E" w:rsidP="005855A8">
      <w:pPr>
        <w:keepNext/>
        <w:pBdr>
          <w:bottom w:val="single" w:sz="8" w:space="4" w:color="B89B5E"/>
        </w:pBdr>
        <w:spacing w:after="0" w:line="240" w:lineRule="auto"/>
        <w:ind w:right="-171"/>
        <w:rPr>
          <w:szCs w:val="21"/>
        </w:rPr>
      </w:pPr>
      <w:r w:rsidRPr="00483E12">
        <w:rPr>
          <w:szCs w:val="21"/>
        </w:rPr>
        <w:t>23.24 Cumprimento de sentença e obrigação de fazer .........</w:t>
      </w:r>
      <w:r w:rsidR="00A5371C">
        <w:rPr>
          <w:szCs w:val="21"/>
        </w:rPr>
        <w:t>...............</w:t>
      </w:r>
      <w:r w:rsidRPr="00483E12">
        <w:rPr>
          <w:szCs w:val="21"/>
        </w:rPr>
        <w:t>............... 12</w:t>
      </w:r>
      <w:r>
        <w:rPr>
          <w:szCs w:val="21"/>
        </w:rPr>
        <w:t>6</w:t>
      </w:r>
      <w:r w:rsidRPr="00483E12">
        <w:rPr>
          <w:szCs w:val="21"/>
        </w:rPr>
        <w:t>7</w:t>
      </w:r>
    </w:p>
    <w:p w14:paraId="6BF10CC5" w14:textId="2909FA3F" w:rsidR="003A005E" w:rsidRPr="00483E12" w:rsidRDefault="003A005E" w:rsidP="005855A8">
      <w:pPr>
        <w:keepNext/>
        <w:pBdr>
          <w:bottom w:val="single" w:sz="8" w:space="4" w:color="B89B5E"/>
        </w:pBdr>
        <w:spacing w:after="0" w:line="240" w:lineRule="auto"/>
        <w:ind w:right="-171"/>
        <w:rPr>
          <w:szCs w:val="21"/>
        </w:rPr>
      </w:pPr>
      <w:r w:rsidRPr="00483E12">
        <w:rPr>
          <w:szCs w:val="21"/>
        </w:rPr>
        <w:t>23.25 Competência para execução de título judicial ..........</w:t>
      </w:r>
      <w:r w:rsidR="00A5371C">
        <w:rPr>
          <w:szCs w:val="21"/>
        </w:rPr>
        <w:t>..................</w:t>
      </w:r>
      <w:r w:rsidRPr="00483E12">
        <w:rPr>
          <w:szCs w:val="21"/>
        </w:rPr>
        <w:t>.............. 12</w:t>
      </w:r>
      <w:r>
        <w:rPr>
          <w:szCs w:val="21"/>
        </w:rPr>
        <w:t>68</w:t>
      </w:r>
    </w:p>
    <w:p w14:paraId="1983E55E" w14:textId="3F284982" w:rsidR="003A005E" w:rsidRPr="00483E12" w:rsidRDefault="003A005E" w:rsidP="005855A8">
      <w:pPr>
        <w:keepNext/>
        <w:pBdr>
          <w:bottom w:val="single" w:sz="8" w:space="4" w:color="B89B5E"/>
        </w:pBdr>
        <w:spacing w:after="0" w:line="240" w:lineRule="auto"/>
        <w:ind w:right="-171"/>
        <w:rPr>
          <w:szCs w:val="21"/>
        </w:rPr>
      </w:pPr>
      <w:r w:rsidRPr="00483E12">
        <w:rPr>
          <w:szCs w:val="21"/>
        </w:rPr>
        <w:t>23.26 Particularidades da litigância previdenciária nos JEFs .........</w:t>
      </w:r>
      <w:r w:rsidR="00A5371C">
        <w:rPr>
          <w:szCs w:val="21"/>
        </w:rPr>
        <w:t>.....</w:t>
      </w:r>
      <w:r w:rsidRPr="00483E12">
        <w:rPr>
          <w:szCs w:val="21"/>
        </w:rPr>
        <w:t>............... 12</w:t>
      </w:r>
      <w:r>
        <w:rPr>
          <w:szCs w:val="21"/>
        </w:rPr>
        <w:t>69</w:t>
      </w:r>
    </w:p>
    <w:p w14:paraId="74030E1A" w14:textId="6AE97C2E" w:rsidR="003A005E" w:rsidRPr="00483E12" w:rsidRDefault="003A005E" w:rsidP="005855A8">
      <w:pPr>
        <w:keepNext/>
        <w:pBdr>
          <w:bottom w:val="single" w:sz="8" w:space="4" w:color="B89B5E"/>
        </w:pBdr>
        <w:spacing w:after="0" w:line="240" w:lineRule="auto"/>
        <w:ind w:right="-171"/>
        <w:rPr>
          <w:szCs w:val="21"/>
        </w:rPr>
      </w:pPr>
      <w:r w:rsidRPr="00483E12">
        <w:rPr>
          <w:szCs w:val="21"/>
        </w:rPr>
        <w:t>23.27 Questões processuais recorrentes ................</w:t>
      </w:r>
      <w:r w:rsidR="00A5371C">
        <w:rPr>
          <w:szCs w:val="21"/>
        </w:rPr>
        <w:t>.....................................</w:t>
      </w:r>
      <w:r w:rsidRPr="00483E12">
        <w:rPr>
          <w:szCs w:val="21"/>
        </w:rPr>
        <w:t>........ 12</w:t>
      </w:r>
      <w:r>
        <w:rPr>
          <w:szCs w:val="21"/>
        </w:rPr>
        <w:t>70</w:t>
      </w:r>
    </w:p>
    <w:p w14:paraId="3440FC2C" w14:textId="47F8F857" w:rsidR="003A005E" w:rsidRPr="00483E12" w:rsidRDefault="003A005E" w:rsidP="005855A8">
      <w:pPr>
        <w:keepNext/>
        <w:pBdr>
          <w:bottom w:val="single" w:sz="8" w:space="4" w:color="B89B5E"/>
        </w:pBdr>
        <w:spacing w:after="0" w:line="240" w:lineRule="auto"/>
        <w:ind w:right="-171"/>
        <w:rPr>
          <w:szCs w:val="21"/>
        </w:rPr>
      </w:pPr>
      <w:r w:rsidRPr="00483E12">
        <w:rPr>
          <w:szCs w:val="21"/>
        </w:rPr>
        <w:t>23.28 Gratuidade de justiça nos JEFs ............</w:t>
      </w:r>
      <w:r w:rsidR="00A5371C">
        <w:rPr>
          <w:szCs w:val="21"/>
        </w:rPr>
        <w:t>.........................................</w:t>
      </w:r>
      <w:r w:rsidRPr="00483E12">
        <w:rPr>
          <w:szCs w:val="21"/>
        </w:rPr>
        <w:t>............ 12</w:t>
      </w:r>
      <w:r>
        <w:rPr>
          <w:szCs w:val="21"/>
        </w:rPr>
        <w:t>72</w:t>
      </w:r>
    </w:p>
    <w:p w14:paraId="3C170039" w14:textId="39654ED8" w:rsidR="003A005E" w:rsidRPr="00483E12" w:rsidRDefault="003A005E" w:rsidP="005855A8">
      <w:pPr>
        <w:keepNext/>
        <w:pBdr>
          <w:bottom w:val="single" w:sz="8" w:space="4" w:color="B89B5E"/>
        </w:pBdr>
        <w:spacing w:after="0" w:line="240" w:lineRule="auto"/>
        <w:ind w:right="-171"/>
        <w:rPr>
          <w:szCs w:val="21"/>
        </w:rPr>
      </w:pPr>
      <w:r w:rsidRPr="00483E12">
        <w:rPr>
          <w:szCs w:val="21"/>
        </w:rPr>
        <w:t>23.29 Embargos de declaração nos JEFs ........</w:t>
      </w:r>
      <w:r w:rsidR="00A5371C">
        <w:rPr>
          <w:szCs w:val="21"/>
        </w:rPr>
        <w:t>.....................................</w:t>
      </w:r>
      <w:r w:rsidRPr="00483E12">
        <w:rPr>
          <w:szCs w:val="21"/>
        </w:rPr>
        <w:t>................ 12</w:t>
      </w:r>
      <w:r>
        <w:rPr>
          <w:szCs w:val="21"/>
        </w:rPr>
        <w:t>73</w:t>
      </w:r>
    </w:p>
    <w:p w14:paraId="5970552F" w14:textId="297B669B" w:rsidR="003A005E" w:rsidRPr="00483E12" w:rsidRDefault="003A005E" w:rsidP="005855A8">
      <w:pPr>
        <w:keepNext/>
        <w:pBdr>
          <w:bottom w:val="single" w:sz="8" w:space="4" w:color="B89B5E"/>
        </w:pBdr>
        <w:spacing w:after="0" w:line="240" w:lineRule="auto"/>
        <w:ind w:right="-171"/>
        <w:rPr>
          <w:szCs w:val="21"/>
        </w:rPr>
      </w:pPr>
      <w:r w:rsidRPr="00483E12">
        <w:rPr>
          <w:szCs w:val="21"/>
        </w:rPr>
        <w:t>23.30 Contagem de prazos nos JEFs .........</w:t>
      </w:r>
      <w:r w:rsidR="00A5371C">
        <w:rPr>
          <w:szCs w:val="21"/>
        </w:rPr>
        <w:t>...........................................</w:t>
      </w:r>
      <w:r w:rsidRPr="00483E12">
        <w:rPr>
          <w:szCs w:val="21"/>
        </w:rPr>
        <w:t>............... 12</w:t>
      </w:r>
      <w:r>
        <w:rPr>
          <w:szCs w:val="21"/>
        </w:rPr>
        <w:t>74</w:t>
      </w:r>
    </w:p>
    <w:p w14:paraId="4580DB0B" w14:textId="517CF31E" w:rsidR="003A005E" w:rsidRPr="00483E12" w:rsidRDefault="003A005E" w:rsidP="005855A8">
      <w:pPr>
        <w:keepNext/>
        <w:pBdr>
          <w:bottom w:val="single" w:sz="8" w:space="4" w:color="B89B5E"/>
        </w:pBdr>
        <w:spacing w:after="0" w:line="240" w:lineRule="auto"/>
        <w:ind w:right="-171"/>
        <w:rPr>
          <w:szCs w:val="21"/>
        </w:rPr>
      </w:pPr>
      <w:r w:rsidRPr="00483E12">
        <w:rPr>
          <w:szCs w:val="21"/>
        </w:rPr>
        <w:t>23.31 Prova documental e o CNIS como elemento de prova ........</w:t>
      </w:r>
      <w:r w:rsidR="00A5371C">
        <w:rPr>
          <w:szCs w:val="21"/>
        </w:rPr>
        <w:t>....</w:t>
      </w:r>
      <w:r w:rsidRPr="00483E12">
        <w:rPr>
          <w:szCs w:val="21"/>
        </w:rPr>
        <w:t>................ 12</w:t>
      </w:r>
      <w:r>
        <w:rPr>
          <w:szCs w:val="21"/>
        </w:rPr>
        <w:t>76</w:t>
      </w:r>
    </w:p>
    <w:p w14:paraId="7B600F35" w14:textId="4AEA95B8" w:rsidR="003A005E" w:rsidRPr="00483E12" w:rsidRDefault="003A005E" w:rsidP="005855A8">
      <w:pPr>
        <w:keepNext/>
        <w:pBdr>
          <w:bottom w:val="single" w:sz="8" w:space="4" w:color="B89B5E"/>
        </w:pBdr>
        <w:spacing w:after="0" w:line="240" w:lineRule="auto"/>
        <w:ind w:right="-171"/>
        <w:rPr>
          <w:szCs w:val="21"/>
        </w:rPr>
      </w:pPr>
      <w:r w:rsidRPr="00483E12">
        <w:rPr>
          <w:szCs w:val="21"/>
        </w:rPr>
        <w:t>23.32 Litispendência e coisa julgada em matéria previdenciária ........................ 12</w:t>
      </w:r>
      <w:r>
        <w:rPr>
          <w:szCs w:val="21"/>
        </w:rPr>
        <w:t>78</w:t>
      </w:r>
    </w:p>
    <w:p w14:paraId="2F3458C5" w14:textId="2B92362B" w:rsidR="003A005E" w:rsidRPr="00483E12" w:rsidRDefault="003A005E" w:rsidP="005855A8">
      <w:pPr>
        <w:keepNext/>
        <w:pBdr>
          <w:bottom w:val="single" w:sz="8" w:space="4" w:color="B89B5E"/>
        </w:pBdr>
        <w:spacing w:after="0" w:line="240" w:lineRule="auto"/>
        <w:ind w:right="-171"/>
        <w:rPr>
          <w:szCs w:val="21"/>
        </w:rPr>
      </w:pPr>
      <w:r w:rsidRPr="00483E12">
        <w:rPr>
          <w:szCs w:val="21"/>
        </w:rPr>
        <w:t>23.33 Cumulação de pedidos no JEF .................</w:t>
      </w:r>
      <w:r w:rsidR="00A5371C">
        <w:rPr>
          <w:szCs w:val="21"/>
        </w:rPr>
        <w:t>.........................................</w:t>
      </w:r>
      <w:r w:rsidRPr="00483E12">
        <w:rPr>
          <w:szCs w:val="21"/>
        </w:rPr>
        <w:t>....... 12</w:t>
      </w:r>
      <w:r>
        <w:rPr>
          <w:szCs w:val="21"/>
        </w:rPr>
        <w:t>79</w:t>
      </w:r>
    </w:p>
    <w:p w14:paraId="063E426E" w14:textId="0B67A506" w:rsidR="003A005E" w:rsidRPr="00483E12" w:rsidRDefault="003A005E" w:rsidP="00A5371C">
      <w:pPr>
        <w:keepNext/>
        <w:pBdr>
          <w:bottom w:val="single" w:sz="8" w:space="4" w:color="B89B5E"/>
        </w:pBdr>
        <w:spacing w:after="0" w:line="240" w:lineRule="auto"/>
        <w:ind w:right="-171"/>
        <w:rPr>
          <w:szCs w:val="21"/>
        </w:rPr>
      </w:pPr>
      <w:r w:rsidRPr="00483E12">
        <w:rPr>
          <w:szCs w:val="21"/>
        </w:rPr>
        <w:t>23.34 Incidente de uniformização ao STJ ..............</w:t>
      </w:r>
      <w:r w:rsidR="00A5371C">
        <w:rPr>
          <w:szCs w:val="21"/>
        </w:rPr>
        <w:t>..................................</w:t>
      </w:r>
      <w:r w:rsidRPr="00483E12">
        <w:rPr>
          <w:szCs w:val="21"/>
        </w:rPr>
        <w:t>.......... 12</w:t>
      </w:r>
      <w:r>
        <w:rPr>
          <w:szCs w:val="21"/>
        </w:rPr>
        <w:t>80</w:t>
      </w:r>
    </w:p>
    <w:p w14:paraId="1D8726AB" w14:textId="5DF9D97F" w:rsidR="003A005E" w:rsidRPr="00483E12" w:rsidRDefault="003A005E" w:rsidP="00A5371C">
      <w:pPr>
        <w:keepNext/>
        <w:pBdr>
          <w:bottom w:val="single" w:sz="8" w:space="4" w:color="B89B5E"/>
        </w:pBdr>
        <w:spacing w:after="0" w:line="240" w:lineRule="auto"/>
        <w:ind w:right="-171"/>
        <w:rPr>
          <w:szCs w:val="21"/>
        </w:rPr>
      </w:pPr>
      <w:r w:rsidRPr="00483E12">
        <w:rPr>
          <w:szCs w:val="21"/>
        </w:rPr>
        <w:t>23.35 Ação rescisória e querela nullitatis no microssistema dos JEFs ................ 12</w:t>
      </w:r>
      <w:r>
        <w:rPr>
          <w:szCs w:val="21"/>
        </w:rPr>
        <w:t>81</w:t>
      </w:r>
    </w:p>
    <w:p w14:paraId="64E32424" w14:textId="51EFACD0" w:rsidR="003A005E" w:rsidRPr="00483E12" w:rsidRDefault="003A005E" w:rsidP="00A5371C">
      <w:pPr>
        <w:keepNext/>
        <w:pBdr>
          <w:bottom w:val="single" w:sz="8" w:space="4" w:color="B89B5E"/>
        </w:pBdr>
        <w:spacing w:after="0" w:line="240" w:lineRule="auto"/>
        <w:ind w:right="-171"/>
        <w:rPr>
          <w:szCs w:val="21"/>
        </w:rPr>
      </w:pPr>
      <w:r w:rsidRPr="00483E12">
        <w:rPr>
          <w:szCs w:val="21"/>
        </w:rPr>
        <w:lastRenderedPageBreak/>
        <w:t>23.36 Procedimentos específicos do BPC/LOAS no JEF ................</w:t>
      </w:r>
      <w:r w:rsidR="00A5371C">
        <w:rPr>
          <w:szCs w:val="21"/>
        </w:rPr>
        <w:t>.........</w:t>
      </w:r>
      <w:r w:rsidRPr="00483E12">
        <w:rPr>
          <w:szCs w:val="21"/>
        </w:rPr>
        <w:t>........ 12</w:t>
      </w:r>
      <w:r>
        <w:rPr>
          <w:szCs w:val="21"/>
        </w:rPr>
        <w:t>82</w:t>
      </w:r>
    </w:p>
    <w:p w14:paraId="78EE77DB" w14:textId="46661EE5" w:rsidR="003A005E" w:rsidRPr="00483E12" w:rsidRDefault="003A005E" w:rsidP="00A5371C">
      <w:pPr>
        <w:keepNext/>
        <w:pBdr>
          <w:bottom w:val="single" w:sz="8" w:space="4" w:color="B89B5E"/>
        </w:pBdr>
        <w:spacing w:after="0" w:line="240" w:lineRule="auto"/>
        <w:ind w:right="-171"/>
        <w:rPr>
          <w:szCs w:val="21"/>
        </w:rPr>
      </w:pPr>
      <w:r w:rsidRPr="00483E12">
        <w:rPr>
          <w:szCs w:val="21"/>
        </w:rPr>
        <w:t>23.37 Recurso extraordinário ao STF em matéria dos JEFs .................</w:t>
      </w:r>
      <w:r w:rsidR="00A5371C">
        <w:rPr>
          <w:szCs w:val="21"/>
        </w:rPr>
        <w:t>.......</w:t>
      </w:r>
      <w:r w:rsidRPr="00483E12">
        <w:rPr>
          <w:szCs w:val="21"/>
        </w:rPr>
        <w:t>....... 12</w:t>
      </w:r>
      <w:r>
        <w:rPr>
          <w:szCs w:val="21"/>
        </w:rPr>
        <w:t>84</w:t>
      </w:r>
    </w:p>
    <w:p w14:paraId="6F78F348" w14:textId="653510C0" w:rsidR="003A005E" w:rsidRPr="00483E12" w:rsidRDefault="003A005E" w:rsidP="00A5371C">
      <w:pPr>
        <w:keepNext/>
        <w:pBdr>
          <w:bottom w:val="single" w:sz="8" w:space="4" w:color="B89B5E"/>
        </w:pBdr>
        <w:spacing w:after="0" w:line="240" w:lineRule="auto"/>
        <w:ind w:right="-171"/>
        <w:rPr>
          <w:szCs w:val="21"/>
        </w:rPr>
      </w:pPr>
      <w:r w:rsidRPr="00483E12">
        <w:rPr>
          <w:szCs w:val="21"/>
        </w:rPr>
        <w:t>23.38 Correção monetária, juros e atualização das condenações .................</w:t>
      </w:r>
      <w:r w:rsidR="00A5371C">
        <w:rPr>
          <w:szCs w:val="21"/>
        </w:rPr>
        <w:t>.</w:t>
      </w:r>
      <w:r w:rsidRPr="00483E12">
        <w:rPr>
          <w:szCs w:val="21"/>
        </w:rPr>
        <w:t>..... 1</w:t>
      </w:r>
      <w:r>
        <w:rPr>
          <w:szCs w:val="21"/>
        </w:rPr>
        <w:t>285</w:t>
      </w:r>
    </w:p>
    <w:p w14:paraId="0E1A1290" w14:textId="7CE48928" w:rsidR="003A005E" w:rsidRDefault="003A005E" w:rsidP="00A5371C">
      <w:pPr>
        <w:keepNext/>
        <w:pBdr>
          <w:bottom w:val="single" w:sz="8" w:space="4" w:color="B89B5E"/>
        </w:pBdr>
        <w:spacing w:after="0" w:line="240" w:lineRule="auto"/>
        <w:ind w:right="-171"/>
        <w:rPr>
          <w:szCs w:val="21"/>
        </w:rPr>
      </w:pPr>
      <w:r w:rsidRPr="00483E12">
        <w:rPr>
          <w:szCs w:val="21"/>
        </w:rPr>
        <w:t>23.39 Consolidação das posições adotadas ...............</w:t>
      </w:r>
      <w:r w:rsidR="00A5371C">
        <w:rPr>
          <w:szCs w:val="21"/>
        </w:rPr>
        <w:t>................................</w:t>
      </w:r>
      <w:r w:rsidRPr="00483E12">
        <w:rPr>
          <w:szCs w:val="21"/>
        </w:rPr>
        <w:t>......... 1</w:t>
      </w:r>
      <w:r>
        <w:rPr>
          <w:szCs w:val="21"/>
        </w:rPr>
        <w:t>288</w:t>
      </w:r>
    </w:p>
    <w:p w14:paraId="1946C61A" w14:textId="065CC799" w:rsidR="003A005E" w:rsidRDefault="003A005E" w:rsidP="00A5371C">
      <w:pPr>
        <w:keepNext/>
        <w:pBdr>
          <w:bottom w:val="single" w:sz="8" w:space="4" w:color="B89B5E"/>
        </w:pBdr>
        <w:spacing w:after="0" w:line="240" w:lineRule="auto"/>
        <w:ind w:right="-171"/>
        <w:rPr>
          <w:szCs w:val="21"/>
        </w:rPr>
      </w:pPr>
      <w:r>
        <w:rPr>
          <w:szCs w:val="21"/>
        </w:rPr>
        <w:t>Referências.........</w:t>
      </w:r>
      <w:r w:rsidR="00A5371C">
        <w:rPr>
          <w:szCs w:val="21"/>
        </w:rPr>
        <w:t>.................................................................</w:t>
      </w:r>
      <w:r>
        <w:rPr>
          <w:szCs w:val="21"/>
        </w:rPr>
        <w:t>................................ 1292</w:t>
      </w:r>
    </w:p>
    <w:p w14:paraId="4B2A983B" w14:textId="34C4C2C2" w:rsidR="003A005E" w:rsidRDefault="003A005E" w:rsidP="00A5371C">
      <w:pPr>
        <w:keepNext/>
        <w:pBdr>
          <w:bottom w:val="single" w:sz="8" w:space="4" w:color="B89B5E"/>
        </w:pBdr>
        <w:spacing w:after="0" w:line="240" w:lineRule="auto"/>
        <w:ind w:right="-171"/>
        <w:rPr>
          <w:szCs w:val="21"/>
        </w:rPr>
      </w:pPr>
      <w:r>
        <w:rPr>
          <w:szCs w:val="21"/>
        </w:rPr>
        <w:t>Índice Remissivo ........</w:t>
      </w:r>
      <w:r w:rsidR="00A5371C">
        <w:rPr>
          <w:szCs w:val="21"/>
        </w:rPr>
        <w:t>..................................................</w:t>
      </w:r>
      <w:r>
        <w:rPr>
          <w:szCs w:val="21"/>
        </w:rPr>
        <w:t>....................................... 1315</w:t>
      </w:r>
    </w:p>
    <w:p w14:paraId="3C1EDF88" w14:textId="0AE101F8" w:rsidR="003A005E" w:rsidRPr="00483E12" w:rsidRDefault="003A005E" w:rsidP="00A5371C">
      <w:pPr>
        <w:keepNext/>
        <w:pBdr>
          <w:bottom w:val="single" w:sz="8" w:space="4" w:color="B89B5E"/>
        </w:pBdr>
        <w:spacing w:after="0" w:line="240" w:lineRule="auto"/>
        <w:ind w:right="-171"/>
        <w:rPr>
          <w:szCs w:val="21"/>
        </w:rPr>
      </w:pPr>
      <w:r>
        <w:rPr>
          <w:szCs w:val="21"/>
        </w:rPr>
        <w:t>Sobre os autores ...................</w:t>
      </w:r>
      <w:r w:rsidR="000374F0">
        <w:rPr>
          <w:szCs w:val="21"/>
        </w:rPr>
        <w:t>........................................................................</w:t>
      </w:r>
      <w:r>
        <w:rPr>
          <w:szCs w:val="21"/>
        </w:rPr>
        <w:t>....... 1325</w:t>
      </w:r>
    </w:p>
    <w:p w14:paraId="7D72EFF8" w14:textId="77777777" w:rsidR="005F6554" w:rsidRDefault="005F6554" w:rsidP="00A5371C">
      <w:pPr>
        <w:spacing w:after="0" w:line="240" w:lineRule="auto"/>
        <w:ind w:right="-171"/>
      </w:pPr>
    </w:p>
    <w:p w14:paraId="6B4223CC" w14:textId="77777777" w:rsidR="003A005E" w:rsidRDefault="003A005E">
      <w:pPr>
        <w:sectPr w:rsidR="003A005E">
          <w:headerReference w:type="even" r:id="rId44"/>
          <w:headerReference w:type="default" r:id="rId45"/>
          <w:footerReference w:type="even" r:id="rId46"/>
          <w:footerReference w:type="default" r:id="rId47"/>
          <w:headerReference w:type="first" r:id="rId48"/>
          <w:footerReference w:type="first" r:id="rId49"/>
          <w:pgSz w:w="8391" w:h="11906"/>
          <w:pgMar w:top="935" w:right="879" w:bottom="964" w:left="1162" w:header="454" w:footer="425" w:gutter="0"/>
          <w:pgNumType w:fmt="lowerRoman"/>
          <w:cols w:space="720"/>
          <w:titlePg/>
          <w:docGrid w:linePitch="360"/>
        </w:sectPr>
      </w:pPr>
    </w:p>
    <w:p w14:paraId="63642738" w14:textId="77777777" w:rsidR="005A5FCC" w:rsidRDefault="005A5FCC">
      <w:pPr>
        <w:spacing w:after="0" w:line="240" w:lineRule="auto"/>
      </w:pPr>
    </w:p>
    <w:p w14:paraId="14417CF8" w14:textId="77777777" w:rsidR="005A5FCC" w:rsidRDefault="005A5FCC">
      <w:pPr>
        <w:spacing w:after="0" w:line="240" w:lineRule="auto"/>
      </w:pPr>
    </w:p>
    <w:p w14:paraId="2F63DF9B" w14:textId="77777777" w:rsidR="005A5FCC" w:rsidRDefault="005A5FCC">
      <w:pPr>
        <w:spacing w:after="0" w:line="240" w:lineRule="auto"/>
      </w:pPr>
    </w:p>
    <w:p w14:paraId="258608EA" w14:textId="77777777" w:rsidR="005A5FCC" w:rsidRDefault="005A5FCC">
      <w:pPr>
        <w:spacing w:after="0" w:line="240" w:lineRule="auto"/>
      </w:pPr>
    </w:p>
    <w:p w14:paraId="2210B70D" w14:textId="77777777" w:rsidR="005A5FCC" w:rsidRDefault="005A5FCC">
      <w:pPr>
        <w:spacing w:after="0" w:line="240" w:lineRule="auto"/>
      </w:pPr>
    </w:p>
    <w:p w14:paraId="764B307B" w14:textId="77777777" w:rsidR="005A5FCC" w:rsidRDefault="005A5FCC">
      <w:pPr>
        <w:spacing w:after="0" w:line="240" w:lineRule="auto"/>
      </w:pPr>
    </w:p>
    <w:p w14:paraId="3D8FD8D1" w14:textId="77777777" w:rsidR="005A5FCC" w:rsidRDefault="00A21C81">
      <w:pPr>
        <w:spacing w:after="120" w:line="240" w:lineRule="auto"/>
        <w:jc w:val="center"/>
      </w:pPr>
      <w:r>
        <w:rPr>
          <w:rFonts w:ascii="Noto Sans" w:hAnsi="Noto Sans" w:cs="Noto Sans"/>
          <w:b/>
          <w:caps/>
          <w:color w:val="8A6A2A"/>
          <w:kern w:val="16"/>
          <w:sz w:val="20"/>
          <w14:ligatures w14:val="standardContextual"/>
        </w:rPr>
        <w:t>PARTE I</w:t>
      </w:r>
    </w:p>
    <w:p w14:paraId="527DA6C3" w14:textId="77777777" w:rsidR="005A5FCC" w:rsidRDefault="00A21C81">
      <w:pPr>
        <w:pStyle w:val="Ttulo1"/>
        <w:spacing w:line="252" w:lineRule="auto"/>
      </w:pPr>
      <w:r>
        <w:rPr>
          <w:rFonts w:ascii="EB Garamond" w:hAnsi="EB Garamond" w:cs="EB Garamond"/>
          <w:caps/>
          <w:kern w:val="16"/>
          <w14:ligatures w14:val="standardContextual"/>
        </w:rPr>
        <w:t>Fundamentos do Regime Geral de Previdência Social</w:t>
      </w:r>
    </w:p>
    <w:p w14:paraId="397362B4" w14:textId="77777777" w:rsidR="005A5FCC" w:rsidRDefault="00A21C81">
      <w:pPr>
        <w:spacing w:before="160" w:after="0" w:line="240" w:lineRule="auto"/>
        <w:jc w:val="center"/>
      </w:pPr>
      <w:r>
        <w:rPr>
          <w:rFonts w:cs="EB Garamond"/>
          <w:color w:val="B78B37"/>
          <w:kern w:val="16"/>
          <w:sz w:val="18"/>
          <w14:ligatures w14:val="standardContextual"/>
        </w:rPr>
        <w:t>━━━━━  ◆  ◆  ◆  ━━━━━</w:t>
      </w:r>
    </w:p>
    <w:p w14:paraId="7826A4FD" w14:textId="77777777" w:rsidR="005A5FCC" w:rsidRDefault="005A5FCC">
      <w:pPr>
        <w:sectPr w:rsidR="005A5FCC">
          <w:headerReference w:type="even" r:id="rId50"/>
          <w:headerReference w:type="default" r:id="rId51"/>
          <w:footerReference w:type="even" r:id="rId52"/>
          <w:footerReference w:type="default" r:id="rId53"/>
          <w:headerReference w:type="first" r:id="rId54"/>
          <w:footerReference w:type="first" r:id="rId55"/>
          <w:type w:val="oddPage"/>
          <w:pgSz w:w="8391" w:h="11906"/>
          <w:pgMar w:top="935" w:right="879" w:bottom="964" w:left="1162" w:header="454" w:footer="425" w:gutter="0"/>
          <w:pgNumType w:start="1"/>
          <w:cols w:space="720"/>
          <w:titlePg/>
          <w:docGrid w:linePitch="360"/>
        </w:sectPr>
      </w:pPr>
    </w:p>
    <w:p w14:paraId="7D9480BB" w14:textId="77777777" w:rsidR="005A5FCC" w:rsidRDefault="00A21C81">
      <w:pPr>
        <w:keepNext/>
        <w:spacing w:before="240" w:after="80" w:line="240" w:lineRule="auto"/>
        <w:jc w:val="center"/>
      </w:pPr>
      <w:r>
        <w:rPr>
          <w:rFonts w:ascii="Noto Sans" w:hAnsi="Noto Sans" w:cs="Noto Sans"/>
          <w:b/>
          <w:caps/>
          <w:color w:val="8A6A2A"/>
          <w:kern w:val="16"/>
          <w:sz w:val="19"/>
          <w14:ligatures w14:val="standardContextual"/>
        </w:rPr>
        <w:lastRenderedPageBreak/>
        <w:t>CAPÍTULO 1</w:t>
      </w:r>
    </w:p>
    <w:p w14:paraId="451B8BD5" w14:textId="77777777" w:rsidR="005A5FCC" w:rsidRDefault="00A21C81">
      <w:pPr>
        <w:pStyle w:val="Ttulo2"/>
        <w:spacing w:line="240" w:lineRule="auto"/>
      </w:pPr>
      <w:r>
        <w:rPr>
          <w:rFonts w:ascii="EB Garamond" w:hAnsi="EB Garamond" w:cs="EB Garamond"/>
          <w:caps/>
          <w:kern w:val="16"/>
          <w14:ligatures w14:val="standardContextual"/>
        </w:rPr>
        <w:t>Evolução Histórica e Princípios Constitucionais</w:t>
      </w:r>
    </w:p>
    <w:p w14:paraId="4CD034A2" w14:textId="77777777" w:rsidR="005A5FCC" w:rsidRDefault="00A21C81">
      <w:pPr>
        <w:spacing w:after="240" w:line="240" w:lineRule="auto"/>
        <w:jc w:val="center"/>
      </w:pPr>
      <w:r>
        <w:rPr>
          <w:rFonts w:cs="EB Garamond"/>
          <w:color w:val="B78B37"/>
          <w:kern w:val="16"/>
          <w:sz w:val="18"/>
          <w14:ligatures w14:val="standardContextual"/>
        </w:rPr>
        <w:t>━━━━  ◆  ━━━━</w:t>
      </w:r>
    </w:p>
    <w:p w14:paraId="6A8004EA" w14:textId="0D043D25" w:rsidR="005A5FCC" w:rsidRDefault="00F82CF8">
      <w:pPr>
        <w:keepNext/>
        <w:pBdr>
          <w:bottom w:val="single" w:sz="8" w:space="4" w:color="B89B5E"/>
        </w:pBdr>
        <w:spacing w:before="360" w:after="140" w:line="240" w:lineRule="auto"/>
        <w:jc w:val="left"/>
      </w:pPr>
      <w:r>
        <w:rPr>
          <w:rFonts w:cs="EB Garamond"/>
          <w:b/>
          <w:color w:val="3A3128"/>
          <w:kern w:val="16"/>
          <w:sz w:val="31"/>
          <w14:ligatures w14:val="standardContextual"/>
        </w:rPr>
        <w:t xml:space="preserve">1.1 </w:t>
      </w:r>
      <w:r w:rsidR="00A21C81">
        <w:rPr>
          <w:rFonts w:cs="EB Garamond"/>
          <w:b/>
          <w:color w:val="3A3128"/>
          <w:kern w:val="16"/>
          <w:sz w:val="31"/>
          <w14:ligatures w14:val="standardContextual"/>
        </w:rPr>
        <w:t>Introdução: o direito previdenciário como construção histórica</w:t>
      </w:r>
    </w:p>
    <w:p w14:paraId="4C496B9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37B12685" w14:textId="77777777" w:rsidR="005A5FCC" w:rsidRDefault="00A21C81">
      <w:r>
        <w:rPr>
          <w:rFonts w:cs="EB Garamond"/>
          <w:kern w:val="16"/>
          <w14:ligatures w14:val="standardContextual"/>
        </w:rPr>
        <w:t xml:space="preserve"> direito previdenciário brasileiro não nasceu pronto. Ele é resultado de mais de um século de disputas políticas, pressões sociais, crises econômicas e escolhas institucionais que moldaram progressivamente o sistema de proteção social que conhecemos. Cada norma vigente carrega em si a marca das circunstâncias históricas que a produziram, e compreender essas circunstâncias é, antes de qualquer erudição acadêmica, ferramenta indispensável para quem opera o sistema na prática cotidiana dos Juizados Especiais Federais. Os problemas que chegam diariamente às varas federais — reconhecimento de tempo rural anterior a 1991, cômputo de períodos em regimes extintos, aplicação de regras de transição entre reformas constitucionais — só se resolvem adequadamente quando o julgador conhece a lógica que presidiu cada etapa da construção do sistema.</w:t>
      </w:r>
    </w:p>
    <w:p w14:paraId="221F8BAB" w14:textId="77777777" w:rsidR="005A5FCC" w:rsidRDefault="00A21C81">
      <w:pPr>
        <w:ind w:firstLine="238"/>
      </w:pPr>
      <w:r>
        <w:rPr>
          <w:rFonts w:cs="EB Garamond"/>
          <w:kern w:val="16"/>
          <w14:ligatures w14:val="standardContextual"/>
        </w:rPr>
        <w:t xml:space="preserve">Adotamos nesta obra a premissa de que três grandes eixos evolutivos explicam a trajetória da proteção social no Brasil. O primeiro diz respeito à passagem da caridade privada para a proteção social estatal: durante séculos, o amparo aos necessitados foi atribuição exclusiva de instituições religiosas e da solidariedade familiar, sem qualquer participação do poder público. O segundo eixo refere-se à transição da fragmentação corporativa para a universalização: o sistema previdenciário nasceu setorizado, oferecendo proteção apenas a categorias profissionais específicas, e caminhou gradativamente rumo à cobertura de todos os trabalhadores. O terceiro eixo trata da superação do assistencialismo pelo modelo </w:t>
      </w:r>
      <w:r>
        <w:rPr>
          <w:rFonts w:cs="EB Garamond"/>
          <w:kern w:val="16"/>
          <w14:ligatures w14:val="standardContextual"/>
        </w:rPr>
        <w:lastRenderedPageBreak/>
        <w:t>contributivo-solidário: a proteção deixou de ser favor estatal para tornar-se direito subjetivo condicionado à participação no financiamento do sistema.</w:t>
      </w:r>
    </w:p>
    <w:p w14:paraId="2F3DE04F" w14:textId="77777777" w:rsidR="005A5FCC" w:rsidRDefault="00A21C81">
      <w:pPr>
        <w:ind w:firstLine="238"/>
      </w:pPr>
      <w:r>
        <w:rPr>
          <w:rFonts w:cs="EB Garamond"/>
          <w:kern w:val="16"/>
          <w14:ligatures w14:val="standardContextual"/>
        </w:rPr>
        <w:t>Esses três eixos convergem na Constituição Federal de 1988, que representou o ponto de inflexão mais significativo da história previdenciária brasileira. A Carta de 1988 criou o conceito de seguridade social como sistema integrado que articula saúde, previdência e assistência social, combinando influências do modelo bismarckiano (contributividade, seguro social, proporcionalidade) e do modelo beveridgiano (universalidade, responsabilidade estatal, financiamento solidário). O Brasil adotou, assim, um modelo híbrido: bismarckiano na previdência social e beveridgiano na saúde e na assistência. Essa opção constitucional gera uma tensão constitutiva que permeia todo o regime jurídico previdenciário e que o operador do direito precisa compreender para interpretar corretamente as normas aplicáveis.</w:t>
      </w:r>
    </w:p>
    <w:p w14:paraId="73D31196" w14:textId="49C558B1" w:rsidR="005A5FCC" w:rsidRDefault="00A21C81">
      <w:pPr>
        <w:ind w:firstLine="238"/>
      </w:pPr>
      <w:r>
        <w:rPr>
          <w:rFonts w:cs="EB Garamond"/>
          <w:kern w:val="16"/>
          <w14:ligatures w14:val="standardContextual"/>
        </w:rPr>
        <w:t>A evolução histórica também explica por que o sistema atual sofreu reformas tão profundas nas últimas três décadas. A EC 20/1998 substituiu o tempo de serviço pelo tempo de contribuição e constitucionalizou o equilíbrio financeiro e atuarial. A EC 41/2003 reformou os regimes próprios com reflexos no RGPS. A EC 103/2019 redesenhou inteiramente a arquitetura do regime geral, instituindo idade mínima obrigatória, nova fórmula de cálculo e regras de transição de elevada complexidade. A EC 132/2023 reestruturou a base de financiamento da seguridade com a reforma tributária. A EC 136/2025 alterou o regime de correção monetária dos precatórios. Cada uma dessas reformas só pode ser compreendida à luz do processo histórico que a antecedeu e das pressões políticas e econômicas que a motivaram.</w:t>
      </w:r>
    </w:p>
    <w:p w14:paraId="03568E00" w14:textId="77777777" w:rsidR="005A5FCC" w:rsidRDefault="00A21C81">
      <w:pPr>
        <w:ind w:firstLine="238"/>
      </w:pPr>
      <w:r>
        <w:rPr>
          <w:rFonts w:cs="EB Garamond"/>
          <w:kern w:val="16"/>
          <w14:ligatures w14:val="standardContextual"/>
        </w:rPr>
        <w:t xml:space="preserve">Este capítulo organiza-se em quatro partes. Na primeira, examinamos a evolução histórica da proteção social no Brasil, desde as primeiras formas de assistência no período colonial até a criação do sistema de seguridade social pela CF/88. Na segunda, analisamos os princípios constitucionais da seguridade social previstos no art. 194, parágrafo único, da Constituição, com ênfase na sua aplicação prática nos JEFs. Na terceira, tratamos dos princípios específicos da previdência social (art. 201, CF/88), com destaque para o caráter contributivo, o equilíbrio financeiro e atuarial e a solidariedade intergeracional. Na quarta, examinamos as reformas constitucionais e seus impactos concretos no RGPS. A função do capítulo é </w:t>
      </w:r>
      <w:r>
        <w:rPr>
          <w:rFonts w:cs="EB Garamond"/>
          <w:kern w:val="16"/>
          <w14:ligatures w14:val="standardContextual"/>
        </w:rPr>
        <w:lastRenderedPageBreak/>
        <w:t>dupla: oferecer ao leitor uma narrativa histórica coerente que permita compreender por que o sistema tem a configuração que tem, e fornecer um repertório principiológico operacional que sirva como ferramenta de argumentação e decisão na atuação forense dos Juizados Especiais Federais.</w:t>
      </w:r>
    </w:p>
    <w:p w14:paraId="2A9235B2"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1.2 Origens da proteção social: Bismarck, Beveridge e os primeiros marcos internacionais</w:t>
      </w:r>
    </w:p>
    <w:p w14:paraId="4622C122"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3E581C87" w14:textId="77777777" w:rsidR="005A5FCC" w:rsidRDefault="00A21C81">
      <w:r>
        <w:rPr>
          <w:rFonts w:cs="EB Garamond"/>
          <w:kern w:val="16"/>
          <w14:ligatures w14:val="standardContextual"/>
        </w:rPr>
        <w:t>s dois grandes modelos históricos de proteção social, o bismarckiano e o beveridgiano, constituem as matrizes que influenciaram e continuam influenciando o desenho institucional do sistema brasileiro. A identificação de qual modelo inspira cada componente do nosso sistema permite ao intérprete compreender a lógica interna das normas e resolver adequadamente as tensões que surgem entre a contributividade previdenciária e a universalidade da seguridade.</w:t>
      </w:r>
    </w:p>
    <w:p w14:paraId="554B4574" w14:textId="77777777" w:rsidR="005A5FCC" w:rsidRDefault="00A21C81">
      <w:pPr>
        <w:ind w:firstLine="238"/>
      </w:pPr>
      <w:r>
        <w:rPr>
          <w:rFonts w:cs="EB Garamond"/>
          <w:kern w:val="16"/>
          <w14:ligatures w14:val="standardContextual"/>
        </w:rPr>
        <w:t>A proteção social não é invenção do Estado moderno. Na Europa medieval, as guildas de artesãos e as corporações de ofício já organizavam fundos de socorro mútuo para amparar seus membros em caso de doença, invalidez ou morte. Essas formas privadas e associativas de proteção coletiva constituíam a única rede de amparo disponível numa época em que o poder público não assumia qualquer responsabilidade pelo bem-estar dos trabalhadores. O socorro mútuo, todavia, era limitado pela capacidade financeira de cada corporação, restrito aos seus membros e desprovido de qualquer garantia estatal.</w:t>
      </w:r>
    </w:p>
    <w:p w14:paraId="43B447E2" w14:textId="77777777" w:rsidR="005A5FCC" w:rsidRDefault="00A21C81">
      <w:pPr>
        <w:ind w:firstLine="238"/>
      </w:pPr>
      <w:r>
        <w:rPr>
          <w:rFonts w:cs="EB Garamond"/>
          <w:kern w:val="16"/>
          <w14:ligatures w14:val="standardContextual"/>
        </w:rPr>
        <w:t>O modelo bismarckiano nasceu na Alemanha entre 1883 e 1889, quando o chanceler Otto von Bismarck instituiu o primeiro sistema de seguro social obrigatório da história. As três leis fundamentais, seguro-doença (1883), seguro contra acidentes de trabalho (1884) e seguro de invalidez e velhice (1889), criaram um modelo de proteção social com características bem definidas: contributividade (o financiamento provinha de contribuições de empregados e empregadores), proporcionalidade entre contribuição e benefício, filiação obrigatória dos trabalhadores formais, e gestão tripartite envolvendo Estado, empregadores e tra</w:t>
      </w:r>
      <w:r>
        <w:rPr>
          <w:rFonts w:cs="EB Garamond"/>
          <w:kern w:val="16"/>
          <w14:ligatures w14:val="standardContextual"/>
        </w:rPr>
        <w:lastRenderedPageBreak/>
        <w:t>balhadores. O contexto político em que esse modelo surgiu não pode ser ignorado: Bismarck implementou o seguro social como estratégia para conter a ascensão do movimento operário socialista, oferecendo aos trabalhadores benefícios concretos que os vinculassem ao Estado e os afastassem das propostas revolucionárias. A influência do modelo bismarckiano no RGPS brasileiro é direta e reconhecível: o regime geral é contributivo, de filiação obrigatória, com benefícios proporcionais às contribuições vertidas pelo segurado ao longo de sua vida laboral.</w:t>
      </w:r>
    </w:p>
    <w:p w14:paraId="763693A6" w14:textId="77777777" w:rsidR="005A5FCC" w:rsidRDefault="00A21C81">
      <w:pPr>
        <w:ind w:firstLine="238"/>
      </w:pPr>
      <w:r>
        <w:rPr>
          <w:rFonts w:cs="EB Garamond"/>
          <w:kern w:val="16"/>
          <w14:ligatures w14:val="standardContextual"/>
        </w:rPr>
        <w:t>O modelo beveridgiano, por sua vez, surgiu no Reino Unido em 1942, com a publicação do Relatório Beveridge ("Social Insurance and Allied Services"). William Beveridge propunha um sistema de proteção social universal, financiado por impostos gerais e não por contribuições individuais, com benefícios uniformes destinados a garantir um mínimo vital a todos os cidadãos, independentemente de vínculo empregatício ou capacidade contributiva. Enquanto o modelo bismarckiano protegia o trabalhador na medida de sua contribuição, o beveridgiano protegia o cidadão pelo simples fato de pertencer à comunidade política. A influência do modelo beveridgiano no Brasil manifesta-se na saúde pública (o Sistema Único de Saúde é universal e não contributivo, nos termos do art. 196 da CF/88) e na assistência social (o Benefício de Prestação Continuada é concedido independentemente de contribuição, conforme o art. 203 da Constituição).</w:t>
      </w:r>
    </w:p>
    <w:p w14:paraId="26CB2C63" w14:textId="77777777" w:rsidR="005A5FCC" w:rsidRDefault="00A21C81">
      <w:pPr>
        <w:ind w:firstLine="238"/>
      </w:pPr>
      <w:r>
        <w:rPr>
          <w:rFonts w:cs="EB Garamond"/>
          <w:kern w:val="16"/>
          <w14:ligatures w14:val="standardContextual"/>
        </w:rPr>
        <w:t>A Declaração Universal dos Direitos Humanos (1948), em seus artigos 22 e 25, consagrou o direito à seguridade social e a um padrão de vida adequado como direitos humanos fundamentais. A Convenção 102 da Organização Internacional do Trabalho (1952) estabeleceu normas mínimas de seguridade social, definindo nove contingências que todo sistema nacional deveria cobrir: assistência médica, auxílio por incapacidade temporária, prestações de desemprego, prestações de velhice, prestações em caso de acidente de trabalho, prestações familiares, prestações de maternidade, prestações de invalidez e prestações de sobreviventes. Esses instrumentos internacionais influenciaram diretamente a constitucionalização da seguridade social no Brasil em 1988. O sistema brasileiro configura-se, portanto, como modelo híbrido: a previdência social opera sob lógica bismarcki</w:t>
      </w:r>
      <w:r>
        <w:rPr>
          <w:rFonts w:cs="EB Garamond"/>
          <w:kern w:val="16"/>
          <w14:ligatures w14:val="standardContextual"/>
        </w:rPr>
        <w:lastRenderedPageBreak/>
        <w:t>ana (contributiva, obrigatória, proporcional), inserida num sistema de seguridade de inspiração beveridgiana (universal na saúde, seletiva na assistência, solidário no financiamento).</w:t>
      </w:r>
    </w:p>
    <w:tbl>
      <w:tblPr>
        <w:tblW w:w="5000" w:type="pct"/>
        <w:jc w:val="center"/>
        <w:tblLayout w:type="fixed"/>
        <w:tblLook w:val="04A0" w:firstRow="1" w:lastRow="0" w:firstColumn="1" w:lastColumn="0" w:noHBand="0" w:noVBand="1"/>
      </w:tblPr>
      <w:tblGrid>
        <w:gridCol w:w="6311"/>
      </w:tblGrid>
      <w:tr w:rsidR="005A5FCC" w14:paraId="50C7E97C" w14:textId="77777777">
        <w:trPr>
          <w:cantSplit/>
          <w:jc w:val="center"/>
        </w:trPr>
        <w:tc>
          <w:tcPr>
            <w:tcW w:w="6350" w:type="dxa"/>
            <w:tcBorders>
              <w:top w:val="single" w:sz="7" w:space="0" w:color="A09882"/>
              <w:left w:val="single" w:sz="24" w:space="0" w:color="6B6256"/>
              <w:bottom w:val="single" w:sz="7" w:space="0" w:color="A09882"/>
              <w:right w:val="single" w:sz="7" w:space="0" w:color="A09882"/>
            </w:tcBorders>
            <w:shd w:val="clear" w:color="auto" w:fill="F5F3EF"/>
            <w:tcMar>
              <w:top w:w="150" w:type="dxa"/>
              <w:left w:w="220" w:type="dxa"/>
              <w:bottom w:w="150" w:type="dxa"/>
              <w:right w:w="180" w:type="dxa"/>
            </w:tcMar>
          </w:tcPr>
          <w:p w14:paraId="5B7286CA" w14:textId="77777777" w:rsidR="005A5FCC" w:rsidRDefault="00A21C81">
            <w:pPr>
              <w:spacing w:after="60" w:line="240" w:lineRule="auto"/>
              <w:jc w:val="left"/>
            </w:pPr>
            <w:r>
              <w:rPr>
                <w:rFonts w:ascii="Noto Sans" w:hAnsi="Noto Sans" w:cs="Noto Sans"/>
                <w:b/>
                <w:caps/>
                <w:color w:val="6B6256"/>
                <w:kern w:val="16"/>
                <w:sz w:val="16"/>
                <w14:ligatures w14:val="standardContextual"/>
              </w:rPr>
              <w:t>QUADRO</w:t>
            </w:r>
          </w:p>
          <w:p w14:paraId="53A9CF65" w14:textId="77777777" w:rsidR="005A5FCC" w:rsidRDefault="00A21C81">
            <w:pPr>
              <w:spacing w:after="60" w:line="247" w:lineRule="auto"/>
            </w:pPr>
            <w:r>
              <w:rPr>
                <w:rFonts w:cs="EB Garamond"/>
                <w:b/>
                <w:kern w:val="16"/>
                <w:sz w:val="19"/>
                <w14:ligatures w14:val="standardContextual"/>
              </w:rPr>
              <w:t>Quadro 1.1 — Comparação entre os modelos de proteção social</w:t>
            </w:r>
          </w:p>
          <w:tbl>
            <w:tblPr>
              <w:tblW w:w="5000" w:type="pct"/>
              <w:jc w:val="center"/>
              <w:tblLook w:val="04A0" w:firstRow="1" w:lastRow="0" w:firstColumn="1" w:lastColumn="0" w:noHBand="0" w:noVBand="1"/>
            </w:tblPr>
            <w:tblGrid>
              <w:gridCol w:w="1476"/>
              <w:gridCol w:w="1475"/>
              <w:gridCol w:w="1475"/>
              <w:gridCol w:w="1475"/>
            </w:tblGrid>
            <w:tr w:rsidR="005A5FCC" w14:paraId="2D986310" w14:textId="77777777">
              <w:trPr>
                <w:tblHeader/>
                <w:jc w:val="center"/>
              </w:trPr>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348631A1" w14:textId="77777777" w:rsidR="005A5FCC" w:rsidRDefault="00A21C81">
                  <w:pPr>
                    <w:spacing w:before="30" w:after="30" w:line="240" w:lineRule="auto"/>
                    <w:jc w:val="center"/>
                  </w:pPr>
                  <w:r>
                    <w:rPr>
                      <w:rFonts w:cs="EB Garamond"/>
                      <w:b/>
                      <w:color w:val="2F2923"/>
                      <w:kern w:val="16"/>
                      <w:sz w:val="16"/>
                      <w14:ligatures w14:val="standardContextual"/>
                    </w:rPr>
                    <w:t>Aspecto</w:t>
                  </w:r>
                </w:p>
              </w:tc>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1B2AC276" w14:textId="77777777" w:rsidR="005A5FCC" w:rsidRDefault="00A21C81">
                  <w:pPr>
                    <w:spacing w:before="30" w:after="30" w:line="240" w:lineRule="auto"/>
                    <w:jc w:val="center"/>
                  </w:pPr>
                  <w:r>
                    <w:rPr>
                      <w:rFonts w:cs="EB Garamond"/>
                      <w:b/>
                      <w:color w:val="2F2923"/>
                      <w:kern w:val="16"/>
                      <w:sz w:val="16"/>
                      <w14:ligatures w14:val="standardContextual"/>
                    </w:rPr>
                    <w:t>Modelo Bismarckiano (1883)</w:t>
                  </w:r>
                </w:p>
              </w:tc>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5272DB98" w14:textId="77777777" w:rsidR="005A5FCC" w:rsidRDefault="00A21C81">
                  <w:pPr>
                    <w:spacing w:before="30" w:after="30" w:line="240" w:lineRule="auto"/>
                    <w:jc w:val="center"/>
                  </w:pPr>
                  <w:r>
                    <w:rPr>
                      <w:rFonts w:cs="EB Garamond"/>
                      <w:b/>
                      <w:color w:val="2F2923"/>
                      <w:kern w:val="16"/>
                      <w:sz w:val="16"/>
                      <w14:ligatures w14:val="standardContextual"/>
                    </w:rPr>
                    <w:t>Modelo Beveridgiano (1942)</w:t>
                  </w:r>
                </w:p>
              </w:tc>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1B5F2EF0" w14:textId="77777777" w:rsidR="005A5FCC" w:rsidRDefault="00A21C81">
                  <w:pPr>
                    <w:spacing w:before="30" w:after="30" w:line="240" w:lineRule="auto"/>
                    <w:jc w:val="center"/>
                  </w:pPr>
                  <w:r>
                    <w:rPr>
                      <w:rFonts w:cs="EB Garamond"/>
                      <w:b/>
                      <w:color w:val="2F2923"/>
                      <w:kern w:val="16"/>
                      <w:sz w:val="16"/>
                      <w14:ligatures w14:val="standardContextual"/>
                    </w:rPr>
                    <w:t>Sistema Brasileiro (CF/88)</w:t>
                  </w:r>
                </w:p>
              </w:tc>
            </w:tr>
            <w:tr w:rsidR="005A5FCC" w14:paraId="64BEA764"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4A1D274A" w14:textId="77777777" w:rsidR="005A5FCC" w:rsidRDefault="00A21C81">
                  <w:pPr>
                    <w:spacing w:before="20" w:after="20" w:line="240" w:lineRule="auto"/>
                    <w:jc w:val="left"/>
                  </w:pPr>
                  <w:r>
                    <w:rPr>
                      <w:rFonts w:cs="EB Garamond"/>
                      <w:kern w:val="16"/>
                      <w:sz w:val="16"/>
                      <w14:ligatures w14:val="standardContextual"/>
                    </w:rPr>
                    <w:t>Financiamento</w:t>
                  </w:r>
                </w:p>
              </w:tc>
              <w:tc>
                <w:tcPr>
                  <w:tcW w:w="1587" w:type="dxa"/>
                  <w:tcBorders>
                    <w:top w:val="single" w:sz="4" w:space="0" w:color="D2C9B8"/>
                    <w:left w:val="single" w:sz="4" w:space="0" w:color="D2C9B8"/>
                    <w:bottom w:val="single" w:sz="4" w:space="0" w:color="D2C9B8"/>
                    <w:right w:val="single" w:sz="4" w:space="0" w:color="D2C9B8"/>
                  </w:tcBorders>
                </w:tcPr>
                <w:p w14:paraId="5B7930DA" w14:textId="77777777" w:rsidR="005A5FCC" w:rsidRDefault="00A21C81">
                  <w:pPr>
                    <w:spacing w:before="20" w:after="20" w:line="240" w:lineRule="auto"/>
                    <w:jc w:val="left"/>
                  </w:pPr>
                  <w:r>
                    <w:rPr>
                      <w:rFonts w:cs="EB Garamond"/>
                      <w:kern w:val="16"/>
                      <w:sz w:val="16"/>
                      <w14:ligatures w14:val="standardContextual"/>
                    </w:rPr>
                    <w:t>Contribuições de empregados e empregadores</w:t>
                  </w:r>
                </w:p>
              </w:tc>
              <w:tc>
                <w:tcPr>
                  <w:tcW w:w="1587" w:type="dxa"/>
                  <w:tcBorders>
                    <w:top w:val="single" w:sz="4" w:space="0" w:color="D2C9B8"/>
                    <w:left w:val="single" w:sz="4" w:space="0" w:color="D2C9B8"/>
                    <w:bottom w:val="single" w:sz="4" w:space="0" w:color="D2C9B8"/>
                    <w:right w:val="single" w:sz="4" w:space="0" w:color="D2C9B8"/>
                  </w:tcBorders>
                </w:tcPr>
                <w:p w14:paraId="5353F568" w14:textId="77777777" w:rsidR="005A5FCC" w:rsidRDefault="00A21C81">
                  <w:pPr>
                    <w:spacing w:before="20" w:after="20" w:line="240" w:lineRule="auto"/>
                    <w:jc w:val="left"/>
                  </w:pPr>
                  <w:r>
                    <w:rPr>
                      <w:rFonts w:cs="EB Garamond"/>
                      <w:kern w:val="16"/>
                      <w:sz w:val="16"/>
                      <w14:ligatures w14:val="standardContextual"/>
                    </w:rPr>
                    <w:t>Impostos gerais</w:t>
                  </w:r>
                </w:p>
              </w:tc>
              <w:tc>
                <w:tcPr>
                  <w:tcW w:w="1587" w:type="dxa"/>
                  <w:tcBorders>
                    <w:top w:val="single" w:sz="4" w:space="0" w:color="D2C9B8"/>
                    <w:left w:val="single" w:sz="4" w:space="0" w:color="D2C9B8"/>
                    <w:bottom w:val="single" w:sz="4" w:space="0" w:color="D2C9B8"/>
                    <w:right w:val="single" w:sz="4" w:space="0" w:color="D2C9B8"/>
                  </w:tcBorders>
                </w:tcPr>
                <w:p w14:paraId="56FA8B4B" w14:textId="77777777" w:rsidR="005A5FCC" w:rsidRDefault="00A21C81">
                  <w:pPr>
                    <w:spacing w:before="20" w:after="20" w:line="240" w:lineRule="auto"/>
                    <w:jc w:val="left"/>
                  </w:pPr>
                  <w:r>
                    <w:rPr>
                      <w:rFonts w:cs="EB Garamond"/>
                      <w:kern w:val="16"/>
                      <w:sz w:val="16"/>
                      <w14:ligatures w14:val="standardContextual"/>
                    </w:rPr>
                    <w:t>Híbrido: contribuições (previdência) + impostos (saúde/assistência)</w:t>
                  </w:r>
                </w:p>
              </w:tc>
            </w:tr>
            <w:tr w:rsidR="005A5FCC" w14:paraId="06F8AAE0"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01289DCB" w14:textId="77777777" w:rsidR="005A5FCC" w:rsidRDefault="00A21C81">
                  <w:pPr>
                    <w:spacing w:before="20" w:after="20" w:line="240" w:lineRule="auto"/>
                    <w:jc w:val="left"/>
                  </w:pPr>
                  <w:r>
                    <w:rPr>
                      <w:rFonts w:cs="EB Garamond"/>
                      <w:kern w:val="16"/>
                      <w:sz w:val="16"/>
                      <w14:ligatures w14:val="standardContextual"/>
                    </w:rPr>
                    <w:t>Cobertura</w:t>
                  </w:r>
                </w:p>
              </w:tc>
              <w:tc>
                <w:tcPr>
                  <w:tcW w:w="1587" w:type="dxa"/>
                  <w:tcBorders>
                    <w:top w:val="single" w:sz="4" w:space="0" w:color="D2C9B8"/>
                    <w:left w:val="single" w:sz="4" w:space="0" w:color="D2C9B8"/>
                    <w:bottom w:val="single" w:sz="4" w:space="0" w:color="D2C9B8"/>
                    <w:right w:val="single" w:sz="4" w:space="0" w:color="D2C9B8"/>
                  </w:tcBorders>
                </w:tcPr>
                <w:p w14:paraId="0E3A2EE5" w14:textId="77777777" w:rsidR="005A5FCC" w:rsidRDefault="00A21C81">
                  <w:pPr>
                    <w:spacing w:before="20" w:after="20" w:line="240" w:lineRule="auto"/>
                    <w:jc w:val="left"/>
                  </w:pPr>
                  <w:r>
                    <w:rPr>
                      <w:rFonts w:cs="EB Garamond"/>
                      <w:kern w:val="16"/>
                      <w:sz w:val="16"/>
                      <w14:ligatures w14:val="standardContextual"/>
                    </w:rPr>
                    <w:t>Trabalhadores formais</w:t>
                  </w:r>
                </w:p>
              </w:tc>
              <w:tc>
                <w:tcPr>
                  <w:tcW w:w="1587" w:type="dxa"/>
                  <w:tcBorders>
                    <w:top w:val="single" w:sz="4" w:space="0" w:color="D2C9B8"/>
                    <w:left w:val="single" w:sz="4" w:space="0" w:color="D2C9B8"/>
                    <w:bottom w:val="single" w:sz="4" w:space="0" w:color="D2C9B8"/>
                    <w:right w:val="single" w:sz="4" w:space="0" w:color="D2C9B8"/>
                  </w:tcBorders>
                </w:tcPr>
                <w:p w14:paraId="6925B8DE" w14:textId="77777777" w:rsidR="005A5FCC" w:rsidRDefault="00A21C81">
                  <w:pPr>
                    <w:spacing w:before="20" w:after="20" w:line="240" w:lineRule="auto"/>
                    <w:jc w:val="left"/>
                  </w:pPr>
                  <w:r>
                    <w:rPr>
                      <w:rFonts w:cs="EB Garamond"/>
                      <w:kern w:val="16"/>
                      <w:sz w:val="16"/>
                      <w14:ligatures w14:val="standardContextual"/>
                    </w:rPr>
                    <w:t>Universal (todos os cidadãos)</w:t>
                  </w:r>
                </w:p>
              </w:tc>
              <w:tc>
                <w:tcPr>
                  <w:tcW w:w="1587" w:type="dxa"/>
                  <w:tcBorders>
                    <w:top w:val="single" w:sz="4" w:space="0" w:color="D2C9B8"/>
                    <w:left w:val="single" w:sz="4" w:space="0" w:color="D2C9B8"/>
                    <w:bottom w:val="single" w:sz="4" w:space="0" w:color="D2C9B8"/>
                    <w:right w:val="single" w:sz="4" w:space="0" w:color="D2C9B8"/>
                  </w:tcBorders>
                </w:tcPr>
                <w:p w14:paraId="67321265" w14:textId="77777777" w:rsidR="005A5FCC" w:rsidRDefault="00A21C81">
                  <w:pPr>
                    <w:spacing w:before="20" w:after="20" w:line="240" w:lineRule="auto"/>
                    <w:jc w:val="left"/>
                  </w:pPr>
                  <w:r>
                    <w:rPr>
                      <w:rFonts w:cs="EB Garamond"/>
                      <w:kern w:val="16"/>
                      <w:sz w:val="16"/>
                      <w14:ligatures w14:val="standardContextual"/>
                    </w:rPr>
                    <w:t>Previdência: segurados; Saúde/Assistência: universal</w:t>
                  </w:r>
                </w:p>
              </w:tc>
            </w:tr>
            <w:tr w:rsidR="005A5FCC" w14:paraId="76692288"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0CC0025C" w14:textId="77777777" w:rsidR="005A5FCC" w:rsidRDefault="00A21C81">
                  <w:pPr>
                    <w:spacing w:before="20" w:after="20" w:line="240" w:lineRule="auto"/>
                    <w:jc w:val="left"/>
                  </w:pPr>
                  <w:r>
                    <w:rPr>
                      <w:rFonts w:cs="EB Garamond"/>
                      <w:kern w:val="16"/>
                      <w:sz w:val="16"/>
                      <w14:ligatures w14:val="standardContextual"/>
                    </w:rPr>
                    <w:t>Benefícios</w:t>
                  </w:r>
                </w:p>
              </w:tc>
              <w:tc>
                <w:tcPr>
                  <w:tcW w:w="1587" w:type="dxa"/>
                  <w:tcBorders>
                    <w:top w:val="single" w:sz="4" w:space="0" w:color="D2C9B8"/>
                    <w:left w:val="single" w:sz="4" w:space="0" w:color="D2C9B8"/>
                    <w:bottom w:val="single" w:sz="4" w:space="0" w:color="D2C9B8"/>
                    <w:right w:val="single" w:sz="4" w:space="0" w:color="D2C9B8"/>
                  </w:tcBorders>
                </w:tcPr>
                <w:p w14:paraId="3D2732A1" w14:textId="77777777" w:rsidR="005A5FCC" w:rsidRDefault="00A21C81">
                  <w:pPr>
                    <w:spacing w:before="20" w:after="20" w:line="240" w:lineRule="auto"/>
                    <w:jc w:val="left"/>
                  </w:pPr>
                  <w:r>
                    <w:rPr>
                      <w:rFonts w:cs="EB Garamond"/>
                      <w:kern w:val="16"/>
                      <w:sz w:val="16"/>
                      <w14:ligatures w14:val="standardContextual"/>
                    </w:rPr>
                    <w:t>Proporcionais à contribuição</w:t>
                  </w:r>
                </w:p>
              </w:tc>
              <w:tc>
                <w:tcPr>
                  <w:tcW w:w="1587" w:type="dxa"/>
                  <w:tcBorders>
                    <w:top w:val="single" w:sz="4" w:space="0" w:color="D2C9B8"/>
                    <w:left w:val="single" w:sz="4" w:space="0" w:color="D2C9B8"/>
                    <w:bottom w:val="single" w:sz="4" w:space="0" w:color="D2C9B8"/>
                    <w:right w:val="single" w:sz="4" w:space="0" w:color="D2C9B8"/>
                  </w:tcBorders>
                </w:tcPr>
                <w:p w14:paraId="23CE0E9A" w14:textId="77777777" w:rsidR="005A5FCC" w:rsidRDefault="00A21C81">
                  <w:pPr>
                    <w:spacing w:before="20" w:after="20" w:line="240" w:lineRule="auto"/>
                    <w:jc w:val="left"/>
                  </w:pPr>
                  <w:r>
                    <w:rPr>
                      <w:rFonts w:cs="EB Garamond"/>
                      <w:kern w:val="16"/>
                      <w:sz w:val="16"/>
                      <w14:ligatures w14:val="standardContextual"/>
                    </w:rPr>
                    <w:t>Uniformes (mínimo vital)</w:t>
                  </w:r>
                </w:p>
              </w:tc>
              <w:tc>
                <w:tcPr>
                  <w:tcW w:w="1587" w:type="dxa"/>
                  <w:tcBorders>
                    <w:top w:val="single" w:sz="4" w:space="0" w:color="D2C9B8"/>
                    <w:left w:val="single" w:sz="4" w:space="0" w:color="D2C9B8"/>
                    <w:bottom w:val="single" w:sz="4" w:space="0" w:color="D2C9B8"/>
                    <w:right w:val="single" w:sz="4" w:space="0" w:color="D2C9B8"/>
                  </w:tcBorders>
                </w:tcPr>
                <w:p w14:paraId="3312E1B1" w14:textId="77777777" w:rsidR="005A5FCC" w:rsidRDefault="00A21C81">
                  <w:pPr>
                    <w:spacing w:before="20" w:after="20" w:line="240" w:lineRule="auto"/>
                    <w:jc w:val="left"/>
                  </w:pPr>
                  <w:r>
                    <w:rPr>
                      <w:rFonts w:cs="EB Garamond"/>
                      <w:kern w:val="16"/>
                      <w:sz w:val="16"/>
                      <w14:ligatures w14:val="standardContextual"/>
                    </w:rPr>
                    <w:t>Previdência: proporcionais; BPC: uniforme (1 SM)</w:t>
                  </w:r>
                </w:p>
              </w:tc>
            </w:tr>
            <w:tr w:rsidR="005A5FCC" w14:paraId="03E5D102"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3A5EB670" w14:textId="77777777" w:rsidR="005A5FCC" w:rsidRDefault="00A21C81">
                  <w:pPr>
                    <w:spacing w:before="20" w:after="20" w:line="240" w:lineRule="auto"/>
                    <w:jc w:val="left"/>
                  </w:pPr>
                  <w:r>
                    <w:rPr>
                      <w:rFonts w:cs="EB Garamond"/>
                      <w:kern w:val="16"/>
                      <w:sz w:val="16"/>
                      <w14:ligatures w14:val="standardContextual"/>
                    </w:rPr>
                    <w:t>Gestão</w:t>
                  </w:r>
                </w:p>
              </w:tc>
              <w:tc>
                <w:tcPr>
                  <w:tcW w:w="1587" w:type="dxa"/>
                  <w:tcBorders>
                    <w:top w:val="single" w:sz="4" w:space="0" w:color="D2C9B8"/>
                    <w:left w:val="single" w:sz="4" w:space="0" w:color="D2C9B8"/>
                    <w:bottom w:val="single" w:sz="4" w:space="0" w:color="D2C9B8"/>
                    <w:right w:val="single" w:sz="4" w:space="0" w:color="D2C9B8"/>
                  </w:tcBorders>
                </w:tcPr>
                <w:p w14:paraId="5E89CA6A" w14:textId="77777777" w:rsidR="005A5FCC" w:rsidRDefault="00A21C81">
                  <w:pPr>
                    <w:spacing w:before="20" w:after="20" w:line="240" w:lineRule="auto"/>
                    <w:jc w:val="left"/>
                  </w:pPr>
                  <w:r>
                    <w:rPr>
                      <w:rFonts w:cs="EB Garamond"/>
                      <w:kern w:val="16"/>
                      <w:sz w:val="16"/>
                      <w14:ligatures w14:val="standardContextual"/>
                    </w:rPr>
                    <w:t>Tripartite</w:t>
                  </w:r>
                </w:p>
              </w:tc>
              <w:tc>
                <w:tcPr>
                  <w:tcW w:w="1587" w:type="dxa"/>
                  <w:tcBorders>
                    <w:top w:val="single" w:sz="4" w:space="0" w:color="D2C9B8"/>
                    <w:left w:val="single" w:sz="4" w:space="0" w:color="D2C9B8"/>
                    <w:bottom w:val="single" w:sz="4" w:space="0" w:color="D2C9B8"/>
                    <w:right w:val="single" w:sz="4" w:space="0" w:color="D2C9B8"/>
                  </w:tcBorders>
                </w:tcPr>
                <w:p w14:paraId="67273BA4" w14:textId="77777777" w:rsidR="005A5FCC" w:rsidRDefault="00A21C81">
                  <w:pPr>
                    <w:spacing w:before="20" w:after="20" w:line="240" w:lineRule="auto"/>
                    <w:jc w:val="left"/>
                  </w:pPr>
                  <w:r>
                    <w:rPr>
                      <w:rFonts w:cs="EB Garamond"/>
                      <w:kern w:val="16"/>
                      <w:sz w:val="16"/>
                      <w14:ligatures w14:val="standardContextual"/>
                    </w:rPr>
                    <w:t>Estatal centralizada</w:t>
                  </w:r>
                </w:p>
              </w:tc>
              <w:tc>
                <w:tcPr>
                  <w:tcW w:w="1587" w:type="dxa"/>
                  <w:tcBorders>
                    <w:top w:val="single" w:sz="4" w:space="0" w:color="D2C9B8"/>
                    <w:left w:val="single" w:sz="4" w:space="0" w:color="D2C9B8"/>
                    <w:bottom w:val="single" w:sz="4" w:space="0" w:color="D2C9B8"/>
                    <w:right w:val="single" w:sz="4" w:space="0" w:color="D2C9B8"/>
                  </w:tcBorders>
                </w:tcPr>
                <w:p w14:paraId="6727FB6F" w14:textId="77777777" w:rsidR="005A5FCC" w:rsidRDefault="00A21C81">
                  <w:pPr>
                    <w:spacing w:before="20" w:after="20" w:line="240" w:lineRule="auto"/>
                    <w:jc w:val="left"/>
                  </w:pPr>
                  <w:r>
                    <w:rPr>
                      <w:rFonts w:cs="EB Garamond"/>
                      <w:kern w:val="16"/>
                      <w:sz w:val="16"/>
                      <w14:ligatures w14:val="standardContextual"/>
                    </w:rPr>
                    <w:t>Quadripartite (art. 194, VII, CF)</w:t>
                  </w:r>
                </w:p>
              </w:tc>
            </w:tr>
            <w:tr w:rsidR="005A5FCC" w14:paraId="74F43EA3"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228FDA9F" w14:textId="77777777" w:rsidR="005A5FCC" w:rsidRDefault="00A21C81">
                  <w:pPr>
                    <w:spacing w:before="20" w:after="20" w:line="240" w:lineRule="auto"/>
                    <w:jc w:val="left"/>
                  </w:pPr>
                  <w:r>
                    <w:rPr>
                      <w:rFonts w:cs="EB Garamond"/>
                      <w:kern w:val="16"/>
                      <w:sz w:val="16"/>
                      <w14:ligatures w14:val="standardContextual"/>
                    </w:rPr>
                    <w:t>Princípio motor</w:t>
                  </w:r>
                </w:p>
              </w:tc>
              <w:tc>
                <w:tcPr>
                  <w:tcW w:w="1587" w:type="dxa"/>
                  <w:tcBorders>
                    <w:top w:val="single" w:sz="4" w:space="0" w:color="D2C9B8"/>
                    <w:left w:val="single" w:sz="4" w:space="0" w:color="D2C9B8"/>
                    <w:bottom w:val="single" w:sz="4" w:space="0" w:color="D2C9B8"/>
                    <w:right w:val="single" w:sz="4" w:space="0" w:color="D2C9B8"/>
                  </w:tcBorders>
                </w:tcPr>
                <w:p w14:paraId="03C2D5A4" w14:textId="77777777" w:rsidR="005A5FCC" w:rsidRDefault="00A21C81">
                  <w:pPr>
                    <w:spacing w:before="20" w:after="20" w:line="240" w:lineRule="auto"/>
                    <w:jc w:val="left"/>
                  </w:pPr>
                  <w:r>
                    <w:rPr>
                      <w:rFonts w:cs="EB Garamond"/>
                      <w:kern w:val="16"/>
                      <w:sz w:val="16"/>
                      <w14:ligatures w14:val="standardContextual"/>
                    </w:rPr>
                    <w:t>Contributividade</w:t>
                  </w:r>
                </w:p>
              </w:tc>
              <w:tc>
                <w:tcPr>
                  <w:tcW w:w="1587" w:type="dxa"/>
                  <w:tcBorders>
                    <w:top w:val="single" w:sz="4" w:space="0" w:color="D2C9B8"/>
                    <w:left w:val="single" w:sz="4" w:space="0" w:color="D2C9B8"/>
                    <w:bottom w:val="single" w:sz="4" w:space="0" w:color="D2C9B8"/>
                    <w:right w:val="single" w:sz="4" w:space="0" w:color="D2C9B8"/>
                  </w:tcBorders>
                </w:tcPr>
                <w:p w14:paraId="648A99D1" w14:textId="77777777" w:rsidR="005A5FCC" w:rsidRDefault="00A21C81">
                  <w:pPr>
                    <w:spacing w:before="20" w:after="20" w:line="240" w:lineRule="auto"/>
                    <w:jc w:val="left"/>
                  </w:pPr>
                  <w:r>
                    <w:rPr>
                      <w:rFonts w:cs="EB Garamond"/>
                      <w:kern w:val="16"/>
                      <w:sz w:val="16"/>
                      <w14:ligatures w14:val="standardContextual"/>
                    </w:rPr>
                    <w:t>Solidariedade universal</w:t>
                  </w:r>
                </w:p>
              </w:tc>
              <w:tc>
                <w:tcPr>
                  <w:tcW w:w="1587" w:type="dxa"/>
                  <w:tcBorders>
                    <w:top w:val="single" w:sz="4" w:space="0" w:color="D2C9B8"/>
                    <w:left w:val="single" w:sz="4" w:space="0" w:color="D2C9B8"/>
                    <w:bottom w:val="single" w:sz="4" w:space="0" w:color="D2C9B8"/>
                    <w:right w:val="single" w:sz="4" w:space="0" w:color="D2C9B8"/>
                  </w:tcBorders>
                </w:tcPr>
                <w:p w14:paraId="343BCB55" w14:textId="77777777" w:rsidR="005A5FCC" w:rsidRDefault="00A21C81">
                  <w:pPr>
                    <w:spacing w:before="20" w:after="20" w:line="240" w:lineRule="auto"/>
                    <w:jc w:val="left"/>
                  </w:pPr>
                  <w:r>
                    <w:rPr>
                      <w:rFonts w:cs="EB Garamond"/>
                      <w:kern w:val="16"/>
                      <w:sz w:val="16"/>
                      <w14:ligatures w14:val="standardContextual"/>
                    </w:rPr>
                    <w:t>Solidariedade + contributividade</w:t>
                  </w:r>
                </w:p>
              </w:tc>
            </w:tr>
          </w:tbl>
          <w:p w14:paraId="5913ED59" w14:textId="77777777" w:rsidR="005A5FCC" w:rsidRDefault="005A5FCC"/>
          <w:p w14:paraId="6C854C2A" w14:textId="77777777" w:rsidR="005A5FCC" w:rsidRDefault="005A5FCC">
            <w:pPr>
              <w:spacing w:after="0" w:line="240" w:lineRule="auto"/>
            </w:pPr>
          </w:p>
        </w:tc>
      </w:tr>
    </w:tbl>
    <w:p w14:paraId="20550833" w14:textId="77777777" w:rsidR="005A5FCC" w:rsidRDefault="005A5FCC">
      <w:pPr>
        <w:spacing w:after="80" w:line="240" w:lineRule="auto"/>
      </w:pPr>
    </w:p>
    <w:p w14:paraId="7928514F"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1.3 Primórdios no Brasil: das confrarias de Misericórdia à lei Eloy Chaves (1543–1923)</w:t>
      </w:r>
    </w:p>
    <w:p w14:paraId="1AC43A2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74F81779" w14:textId="77777777" w:rsidR="005A5FCC" w:rsidRDefault="00A21C81">
      <w:r>
        <w:rPr>
          <w:rFonts w:cs="EB Garamond"/>
          <w:kern w:val="16"/>
          <w14:ligatures w14:val="standardContextual"/>
        </w:rPr>
        <w:t xml:space="preserve"> história da proteção social no Brasil começa bem antes da existência de qualquer norma previdenciária, com formas privadas e religiosas de assistência que nada tinham de seguro social em sentido técnico, mas que constituem os antecedentes remotos do sistema atual. A compreensão desses primórdios permite situar o nascimento da previdência social brasileira no contexto adequado: o de um país que chegou tardio à proteção social estatal e que, quando </w:t>
      </w:r>
      <w:r>
        <w:rPr>
          <w:rFonts w:cs="EB Garamond"/>
          <w:kern w:val="16"/>
          <w14:ligatures w14:val="standardContextual"/>
        </w:rPr>
        <w:lastRenderedPageBreak/>
        <w:t>a adotou, o fez de forma fragmentária e corporativa, com consequências que persistem até hoje na jurisprudência dos JEFs.</w:t>
      </w:r>
    </w:p>
    <w:p w14:paraId="6CA98254" w14:textId="77777777" w:rsidR="005A5FCC" w:rsidRDefault="00A21C81">
      <w:pPr>
        <w:ind w:firstLine="238"/>
      </w:pPr>
      <w:r>
        <w:rPr>
          <w:rFonts w:cs="EB Garamond"/>
          <w:kern w:val="16"/>
          <w14:ligatures w14:val="standardContextual"/>
        </w:rPr>
        <w:t>No período colonial, as Santas Casas de Misericórdia foram as primeiras instituições de assistência social a operar no território brasileiro. A Santa Casa de Santos, fundada em 1543, é considerada a mais antiga do país. Essas instituições, de natureza religiosa e caritativa, prestavam socorro a doentes, órfãos e desamparados sem qualquer caráter contributivo ou estatal. O amparo dependia exclusivamente da generosidade de benfeitores e da caridade cristã, e não havia qualquer obrigação jurídica de prestação por parte do poder público. No Império, surgiram os montepios e as sociedades de socorro mútuo, organizados por funcionários públicos e por trabalhadores de determinados ofícios. Esses fundos, de caráter privado e voluntário, destinavam-se a amparar viúvas e órfãos dos participantes, mediante contribuições periódicas dos associados. Tratava-se de mutualismo, não de previdência social: a participação era facultativa, a gestão era privada e o Estado não garantia qualquer prestação.</w:t>
      </w:r>
    </w:p>
    <w:p w14:paraId="3DF9B6A5" w14:textId="77777777" w:rsidR="005A5FCC" w:rsidRDefault="00A21C81">
      <w:pPr>
        <w:ind w:firstLine="238"/>
      </w:pPr>
      <w:r>
        <w:rPr>
          <w:rFonts w:cs="EB Garamond"/>
          <w:kern w:val="16"/>
          <w14:ligatures w14:val="standardContextual"/>
        </w:rPr>
        <w:t>O primeiro ato normativo a estabelecer aposentadoria no Brasil foi o Decreto n. 9.912-A, de 26 de março de 1888, que concedeu aposentadoria aos empregados dos Correios, com requisito de 60 anos de idade e 30 anos de serviço efetivo. A Constituição de 1891, em seu art. 75, trouxe a primeira menção constitucional à aposentadoria, limitada, contudo, aos funcionários públicos em caso de invalidez a serviço da Nação. Essas disposições iniciais não configuravam ainda um sistema de seguro social: eram benefícios graciosos, concedidos pelo Estado a seus próprios servidores, sem contrapartida contributiva e sem extensão aos trabalhadores do setor privado.</w:t>
      </w:r>
    </w:p>
    <w:p w14:paraId="2FE0A199" w14:textId="77777777" w:rsidR="005A5FCC" w:rsidRDefault="00A21C81">
      <w:pPr>
        <w:ind w:firstLine="238"/>
      </w:pPr>
      <w:r>
        <w:rPr>
          <w:rFonts w:cs="EB Garamond"/>
          <w:kern w:val="16"/>
          <w14:ligatures w14:val="standardContextual"/>
        </w:rPr>
        <w:t xml:space="preserve">Nas primeiras décadas do século XX, o Brasil experimentou um processo acelerado de industrialização, concentrado inicialmente nos setores ferroviário, portuário e têxtil. A expansão das ferrovias para escoamento do café, a movimentação portuária em Santos e no Rio de Janeiro e as primeiras fábricas de tecidos em São Paulo e Minas Gerais geraram uma classe operária urbana numericamente significativa, que passou a organizar-se em sindicatos e associações e a reivindicar proteção contra os riscos inerentes ao trabalho. O Decreto Legislativo n. 3.724, de 15 de janeiro de 1919, representou o primeiro reconhecimento legislativo do risco social laboral ao regulamentar a responsabilidade do empregador por acidentes </w:t>
      </w:r>
      <w:r>
        <w:rPr>
          <w:rFonts w:cs="EB Garamond"/>
          <w:kern w:val="16"/>
          <w14:ligatures w14:val="standardContextual"/>
        </w:rPr>
        <w:lastRenderedPageBreak/>
        <w:t>de trabalho. O modelo adotado, porém, era de responsabilidade civil do empregador (obrigação de indenizar), e não de seguro social propriamente dito. O trabalhador acidentado dependia da solvência do empregador e da comprovação da culpa patronal — mecanismo insuficiente para oferecer proteção efetiva.</w:t>
      </w:r>
    </w:p>
    <w:p w14:paraId="57A43343" w14:textId="77777777" w:rsidR="005A5FCC" w:rsidRDefault="00A21C81">
      <w:pPr>
        <w:ind w:firstLine="238"/>
      </w:pPr>
      <w:r>
        <w:rPr>
          <w:rFonts w:cs="EB Garamond"/>
          <w:kern w:val="16"/>
          <w14:ligatures w14:val="standardContextual"/>
        </w:rPr>
        <w:t>O marco fundador da previdência social brasileira é o Decreto Legislativo n. 4.682, de 24 de janeiro de 1923, a célebre Lei Eloy Chaves, que recebeu o nome do deputado paulista que a propôs. Essa lei criou as Caixas de Aposentadorias e Pensões (CAPs) para os empregados das empresas ferroviárias, estabelecendo pela primeira vez no país um sistema de seguro social obrigatório. Os benefícios previstos incluíam aposentadoria por invalidez (atual aposentadoria por incapacidade permanente), aposentadoria ordinária (por tempo de serviço), pensão por morte e assistência médica. O financiamento era tripartite: contribuições dos empregados (3% do salário), dos empregadores (1% da receita bruta) e dos usuários dos serviços ferroviários (pequeno acréscimo sobre tarifas de passageiros e fretes). A gestão de cada Caixa era exercida por colegiado composto de representantes dos empregados e dos empregadores da respectiva empresa, sem participação direta do Estado na administração cotidiana.</w:t>
      </w:r>
    </w:p>
    <w:p w14:paraId="514F7285" w14:textId="77777777" w:rsidR="005A5FCC" w:rsidRDefault="00A21C81">
      <w:pPr>
        <w:ind w:firstLine="238"/>
      </w:pPr>
      <w:r>
        <w:rPr>
          <w:rFonts w:cs="EB Garamond"/>
          <w:kern w:val="16"/>
          <w14:ligatures w14:val="standardContextual"/>
        </w:rPr>
        <w:t>A limitação fundamental da Lei Eloy Chaves residia no seu alcance: a proteção era restrita aos ferroviários, configurando modelo de proteção corporativa vinculada a uma única categoria profissional. Ainda assim, seu significado histórico é inegável: pela primeira vez, o Estado brasileiro impunha a obrigatoriedade da proteção previdenciária, ainda que circunscrita a um segmento específico da força de trabalho. A escolha dos ferroviários como primeira categoria protegida não foi acidental: os trabalhadores das estradas de ferro constituíam, à época, o segmento mais organizado e politicamente relevante da classe operária brasileira, com forte capacidade de pressão sobre o governo federal, dado o papel estratégico das ferrovias no escoamento da produção cafeeira.</w:t>
      </w:r>
    </w:p>
    <w:p w14:paraId="6FE948B5"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1.4 Caixas de aposentadorias e pensões e institutos de aposentadorias e pensões (1923–1960)</w:t>
      </w:r>
    </w:p>
    <w:p w14:paraId="6397334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3A96F772" w14:textId="77777777" w:rsidR="005A5FCC" w:rsidRDefault="00A21C81">
      <w:r>
        <w:rPr>
          <w:rFonts w:cs="EB Garamond"/>
          <w:kern w:val="16"/>
          <w14:ligatures w14:val="standardContextual"/>
        </w:rPr>
        <w:t>pós a edição da Lei Eloy Chaves, o modelo das Caixas de Aposentadorias e Pensões foi rapidamente estendido a outras categorias profissionais. Em 1926, a proteção alcançou os portuários e marítimos; em 1928, os trabalhadores nos serviços telegráficos e radiotelegráficos; em 1932, os mineradores. A característica fundamental das CAPs era a organização por empresa, não por categoria profissional: cada empresa ferroviária, portuária ou mineradora possuía sua própria Caixa, com regras de benefícios, alíquotas de contribuição e patrimônio distintos. Essa fragmentação gerou centenas de entidades previdenciárias espalhadas pelo território nacional, cada qual com autonomia administrativa e financeira, sob a supervisão do Conselho Nacional do Trabalho. A consequência era previsível: desigualdade entre os trabalhadores protegidos, ausência de padronização e impossibilidade de transferência de direitos entre Caixas distintas.</w:t>
      </w:r>
    </w:p>
    <w:p w14:paraId="4C9FA349" w14:textId="77777777" w:rsidR="005A5FCC" w:rsidRDefault="00A21C81">
      <w:pPr>
        <w:ind w:firstLine="238"/>
      </w:pPr>
      <w:r>
        <w:rPr>
          <w:rFonts w:cs="EB Garamond"/>
          <w:kern w:val="16"/>
          <w14:ligatures w14:val="standardContextual"/>
        </w:rPr>
        <w:t>A Era Vargas (1930–1945) promoveu transformação profunda na estrutura da proteção social brasileira. A lógica organizacional mudou das Caixas por empresa para os Institutos por categoria profissional. O primeiro Instituto de Aposentadorias e Pensões foi o IAPM (Marítimos), criado pelo Decreto n. 22.872, de 29 de junho de 1933. Seguiram-se o IAPC, o IAPB, o IAPI, o IAPETC e o IPASE. Os IAPs adotavam gestão tripartite, governo, empregadores e trabalhadores, de clara inspiração bismarckiana, e representavam avanço significativo em relação às CAPs: a organização por categoria profissional ampliava o universo de segurados e permitia maior uniformização de regras dentro de cada Instituto.</w:t>
      </w:r>
    </w:p>
    <w:p w14:paraId="2347FD51" w14:textId="77777777" w:rsidR="005A5FCC" w:rsidRDefault="00A21C81">
      <w:pPr>
        <w:ind w:firstLine="238"/>
      </w:pPr>
      <w:r>
        <w:rPr>
          <w:rFonts w:cs="EB Garamond"/>
          <w:kern w:val="16"/>
          <w14:ligatures w14:val="standardContextual"/>
        </w:rPr>
        <w:t>Os IAPs exerceram função política que transcendia a proteção previdenciária. Na análise clássica de Wanderley Guilherme dos Santos (1987), Vargas utilizou os Institutos como instrumento de cooptação das classes trabalhadoras, vinculando o acesso à proteção social ao reconhecimento da profissão pelo Estado. O conceito de "cidadania regulada" descreve com precisão esse mecanismo: só era cidadão pleno quem tinha profissão reconhecida e regulamentada pelo Ministério do Trabalho, e só quem era cidadão pleno acessava os benefícios previdenciá</w:t>
      </w:r>
      <w:r>
        <w:rPr>
          <w:rFonts w:cs="EB Garamond"/>
          <w:kern w:val="16"/>
          <w14:ligatures w14:val="standardContextual"/>
        </w:rPr>
        <w:lastRenderedPageBreak/>
        <w:t>rios administrados pelo respectivo IAP. Os trabalhadores informais, rurais e domésticos ficavam excluídos do sistema. A desigualdade entre os próprios IAPs era também significativa: bancários e comerciários dispunham de benefícios superiores aos dos industriários, porque cada Instituto tinha regras e alíquotas próprias, refletindo o poder de negociação política de cada categoria.</w:t>
      </w:r>
    </w:p>
    <w:p w14:paraId="1BCDBF14" w14:textId="77777777" w:rsidR="005A5FCC" w:rsidRDefault="00A21C81">
      <w:pPr>
        <w:ind w:firstLine="238"/>
      </w:pPr>
      <w:r>
        <w:rPr>
          <w:rFonts w:cs="EB Garamond"/>
          <w:kern w:val="16"/>
          <w14:ligatures w14:val="standardContextual"/>
        </w:rPr>
        <w:t>No período democrático que se seguiu ao Estado Novo (1945–1960), a heterogeneidade dos IAPs tornou-se questão política central. Trabalhadores de categorias distintas percebiam que contribuições semelhantes geravam benefícios diferentes conforme o Instituto a que estavam vinculados. O IAPB (Bancários), por exemplo, oferecia aposentadoria ordinária com proventos integrais após 30 anos de serviço, ao passo que o IAPI (Industriários) exigia 35 anos para o mesmo tipo de prestação e concedia valores inferiores. As alíquotas de contribuição também variavam: enquanto alguns IAPs exigiam 5% do salário, outros chegavam a 8%. Essa desigualdade alimentava tensões entre categorias e pressionava o Congresso Nacional pela unificação. O debate legislativo estendeu-se por mais de uma década, até que a Lei n. 3.807, de 26 de agosto de 1960, a Lei Orgânica da Previdência Social (LOPS), estabeleceu regras uniformes de benefícios e contribuições para todos os IAPs, sem, contudo, unificá-los administrativamente. A LOPS foi o primeiro passo efetivo rumo à universalização da proteção previdenciária no Brasil, embora limitada aos trabalhadores urbanos formais. A unificação administrativa só viria em 1966, com a criação do INPS.</w:t>
      </w:r>
    </w:p>
    <w:tbl>
      <w:tblPr>
        <w:tblW w:w="5000" w:type="pct"/>
        <w:jc w:val="center"/>
        <w:tblLayout w:type="fixed"/>
        <w:tblLook w:val="04A0" w:firstRow="1" w:lastRow="0" w:firstColumn="1" w:lastColumn="0" w:noHBand="0" w:noVBand="1"/>
      </w:tblPr>
      <w:tblGrid>
        <w:gridCol w:w="6311"/>
      </w:tblGrid>
      <w:tr w:rsidR="005A5FCC" w14:paraId="7A3C00E1"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3F283403" w14:textId="77777777" w:rsidR="005A5FCC" w:rsidRDefault="00A21C81">
            <w:pPr>
              <w:spacing w:after="60" w:line="240" w:lineRule="auto"/>
              <w:jc w:val="left"/>
            </w:pPr>
            <w:r>
              <w:rPr>
                <w:rFonts w:ascii="Noto Sans" w:hAnsi="Noto Sans" w:cs="Noto Sans"/>
                <w:b/>
                <w:caps/>
                <w:color w:val="B78B37"/>
                <w:kern w:val="16"/>
                <w:sz w:val="16"/>
                <w14:ligatures w14:val="standardContextual"/>
              </w:rPr>
              <w:lastRenderedPageBreak/>
              <w:t>ATENÇÃO</w:t>
            </w:r>
          </w:p>
          <w:p w14:paraId="04603774" w14:textId="77777777" w:rsidR="005A5FCC" w:rsidRDefault="00A21C81">
            <w:pPr>
              <w:spacing w:after="60" w:line="247" w:lineRule="auto"/>
            </w:pPr>
            <w:r>
              <w:rPr>
                <w:rFonts w:cs="EB Garamond"/>
                <w:b/>
                <w:kern w:val="16"/>
                <w:sz w:val="19"/>
                <w14:ligatures w14:val="standardContextual"/>
              </w:rPr>
              <w:t>O legado das CAPs e dos IAPs na jurisprudência dos JEFs.</w:t>
            </w:r>
            <w:r>
              <w:rPr>
                <w:rFonts w:cs="EB Garamond"/>
                <w:kern w:val="16"/>
                <w:sz w:val="19"/>
                <w14:ligatures w14:val="standardContextual"/>
              </w:rPr>
              <w:t xml:space="preserve"> Processos que envolvem cômputo de tempo de serviço anterior a 1960 frequentemente exigem do julgador a compreensão da estrutura das CAPs e dos IAPs: qual era o regime jurídico aplicável à categoria do segurado, quais benefícios existiam naquele período, como era feita a contagem de tempo. A extinção dessas entidades não eliminou os direitos adquiridos sob seus regimes. A jurisprudência admite certidões expedidas pelas antigas CAPs e IAPs como início de prova material para fins de averbação de tempo de serviço, desde que corroboradas por outros elementos (Súmula 149/STJ, por analogia). Na instrução de processos que envolvam períodos anteriores a 1960, sustentamos que o julgador deve investigar a qual CAP ou IAP o segurado esteve vinculado, pois as regras de contagem e os benefícios variavam conforme a entidade gestora.</w:t>
            </w:r>
          </w:p>
        </w:tc>
      </w:tr>
    </w:tbl>
    <w:p w14:paraId="6AFAAA3A" w14:textId="77777777" w:rsidR="005A5FCC" w:rsidRDefault="005A5FCC">
      <w:pPr>
        <w:spacing w:after="80" w:line="240" w:lineRule="auto"/>
      </w:pPr>
    </w:p>
    <w:p w14:paraId="2D6161E4"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1.5 Unificação institucional: LOPS, Funrural e SINPAS (1960–1988)</w:t>
      </w:r>
    </w:p>
    <w:p w14:paraId="0BF5342F"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58DFA612" w14:textId="77777777" w:rsidR="005A5FCC" w:rsidRDefault="00A21C81">
      <w:r>
        <w:rPr>
          <w:rFonts w:cs="EB Garamond"/>
          <w:kern w:val="16"/>
          <w14:ligatures w14:val="standardContextual"/>
        </w:rPr>
        <w:t xml:space="preserve"> Lei Orgânica da Previdência Social (Lei n. 3.807, de 26 de agosto de 1960) representou a primeira tentativa séria de superar a fragmentação herdada da era das CAPs e dos IAPs. A LOPS promoveu a unificação legislativa: todos os Institutos passaram a seguir as mesmas regras de benefícios e contribuições, com padronização de prestações que incluíam aposentadoria por invalidez (atual aposentadoria por incapacidade permanente), aposentadoria por velhice, aposentadoria por tempo de serviço, auxílio-doença (atual auxílio por incapacidade temporária), pensão por morte, auxílio-natalidade e auxílio-funeral, entre outros. A lei criou também o salário-família, posteriormente regulamentado pela Lei n. 4.266/1963. A LOPS, porém, manteve a pluralidade administrativa: cada IAP continuou existindo como entidade autônoma, com quadro funcional e patrimônio próprios. A unificação era de regras, não de instituições. Ainda assim, o significado histórico da LOPS é claro: pela primeira vez, buscou-se tratar de forma igualitária todos os trabalhadores urbanos formais, independentemente da categoria profissional a que pertenciam.</w:t>
      </w:r>
    </w:p>
    <w:p w14:paraId="16F2E6D2" w14:textId="3EC93B88" w:rsidR="005A5FCC" w:rsidRDefault="00A21C81">
      <w:pPr>
        <w:ind w:firstLine="238"/>
      </w:pPr>
      <w:r>
        <w:rPr>
          <w:rFonts w:cs="EB Garamond"/>
          <w:kern w:val="16"/>
          <w14:ligatures w14:val="standardContextual"/>
        </w:rPr>
        <w:lastRenderedPageBreak/>
        <w:t xml:space="preserve">A extensão da proteção previdenciária ao campo ocorreu de forma lenta e marcada por insuficiências estruturais. O Estatuto do Trabalhador Rural (Lei n. 4.214, de 2 de junho de 1963) criou o Fundo de Assistência ao Trabalhador Rural (Funrural), mas sua implementação ficou aquém das promessas legislativas: a estrutura administrativa para atendimento da população rural era praticamente inexistente, e o financiamento previsto mostrou-se insuficiente. Foi somente com o PRORURAL (Lei Complementar n. 11, de 25 de maio de 1971) que o trabalhador rural passou a contar com programa efetivo de assistência, ainda que com benefícios de valor fixo (meio </w:t>
      </w:r>
      <w:r w:rsidR="00F82CF8">
        <w:rPr>
          <w:rFonts w:cs="EB Garamond"/>
          <w:kern w:val="16"/>
          <w14:ligatures w14:val="standardContextual"/>
        </w:rPr>
        <w:t>salário-mínimo</w:t>
      </w:r>
      <w:r>
        <w:rPr>
          <w:rFonts w:cs="EB Garamond"/>
          <w:kern w:val="16"/>
          <w14:ligatures w14:val="standardContextual"/>
        </w:rPr>
        <w:t xml:space="preserve">) e sem proporcionalidade em relação às contribuições. O financiamento do PRORURAL provinha de contribuição incidente sobre a comercialização da produção rural (2,1% sobre o valor da produção, depois elevado a 2,5%), sem exigência de contribuição individual do trabalhador. As prestações cobertas limitavam-se à aposentadoria por velhice aos 65 anos, à pensão por morte (correspondente a 70% da aposentadoria do falecido) e ao auxílio-funeral, todas em valor fixo de meio </w:t>
      </w:r>
      <w:r w:rsidR="00F82CF8">
        <w:rPr>
          <w:rFonts w:cs="EB Garamond"/>
          <w:kern w:val="16"/>
          <w14:ligatures w14:val="standardContextual"/>
        </w:rPr>
        <w:t>salário-mínimo</w:t>
      </w:r>
      <w:r>
        <w:rPr>
          <w:rFonts w:cs="EB Garamond"/>
          <w:kern w:val="16"/>
          <w14:ligatures w14:val="standardContextual"/>
        </w:rPr>
        <w:t xml:space="preserve">. A proteção ao rurícola, portanto, permanecia substancialmente inferior à do trabalhador urbano, tanto em termos de valor quanto de abrangência de contingências cobertas. Essa desigualdade estrutural só seria superada pela Constituição de 1988, que consagrou o princípio da uniformidade e equivalência dos benefícios entre as populações urbana e rural (art. 194, parágrafo único, II) e elevou o piso dos benefícios rurais para um </w:t>
      </w:r>
      <w:r w:rsidR="00F82CF8">
        <w:rPr>
          <w:rFonts w:cs="EB Garamond"/>
          <w:kern w:val="16"/>
          <w14:ligatures w14:val="standardContextual"/>
        </w:rPr>
        <w:t>salário-mínimo</w:t>
      </w:r>
      <w:r>
        <w:rPr>
          <w:rFonts w:cs="EB Garamond"/>
          <w:kern w:val="16"/>
          <w14:ligatures w14:val="standardContextual"/>
        </w:rPr>
        <w:t>.</w:t>
      </w:r>
    </w:p>
    <w:p w14:paraId="7F8DB770" w14:textId="77777777" w:rsidR="005A5FCC" w:rsidRDefault="00A21C81">
      <w:pPr>
        <w:ind w:firstLine="238"/>
      </w:pPr>
      <w:r>
        <w:rPr>
          <w:rFonts w:cs="EB Garamond"/>
          <w:kern w:val="16"/>
          <w14:ligatures w14:val="standardContextual"/>
        </w:rPr>
        <w:t>A unificação administrativa que a LOPS não realizara veio com o Decreto-Lei n. 72, de 21 de novembro de 1966, que determinou a fusão de todos os IAPs no Instituto Nacional de Previdência Social (INPS). Pela primeira vez na história brasileira, um único órgão administrava a previdência de todos os trabalhadores urbanos. A criação do INPS representou a eliminação definitiva da fragmentação corporativa que caracterizara o período anterior: não haveria mais Institutos separados para bancários, comerciários, industriários e transportadores, mas uma única autarquia federal responsável pela concessão e manutenção de todos os benefícios previdenciários dos trabalhadores do setor privado.</w:t>
      </w:r>
    </w:p>
    <w:p w14:paraId="7AC349E1" w14:textId="77777777" w:rsidR="005A5FCC" w:rsidRDefault="00A21C81">
      <w:pPr>
        <w:ind w:firstLine="238"/>
      </w:pPr>
      <w:r>
        <w:rPr>
          <w:rFonts w:cs="EB Garamond"/>
          <w:kern w:val="16"/>
          <w14:ligatures w14:val="standardContextual"/>
        </w:rPr>
        <w:t xml:space="preserve">A criação do INPS também possibilitou a extensão da proteção previdenciária a categorias até então excluídas. Os trabalhadores domésticos foram incluídos como segurados obrigatórios pela Lei n. 5.859, de 11 de dezembro de 1972, e os </w:t>
      </w:r>
      <w:r>
        <w:rPr>
          <w:rFonts w:cs="EB Garamond"/>
          <w:kern w:val="16"/>
          <w14:ligatures w14:val="standardContextual"/>
        </w:rPr>
        <w:lastRenderedPageBreak/>
        <w:t>trabalhadores autônomos (atuais contribuintes individuais) tiveram sua filiação obrigatória consolidada no mesmo período. A base de segurados do RGPS expandiu-se significativamente, embora o trabalhador rural permanecesse em regime apartado e inferior até a CF/88.</w:t>
      </w:r>
    </w:p>
    <w:p w14:paraId="30F6493B" w14:textId="77777777" w:rsidR="005A5FCC" w:rsidRDefault="00A21C81">
      <w:pPr>
        <w:ind w:firstLine="238"/>
      </w:pPr>
      <w:r>
        <w:rPr>
          <w:rFonts w:cs="EB Garamond"/>
          <w:kern w:val="16"/>
          <w14:ligatures w14:val="standardContextual"/>
        </w:rPr>
        <w:t>A década de 1970 trouxe nova reorganização com a criação do SINPAS — Sistema Nacional de Previdência e Assistência Social, instituído pela Lei n. 6.439, de 1º de setembro de 1977. O SINPAS reunia órgãos especializados numa estrutura integrada: o INPS (concessão e manutenção de benefícios), o IAPAS (arrecadação e fiscalização de contribuições), o INAMPS (assistência médica dos segurados), a LBA (assistência social), a FUNABEM (assistência ao menor), a DATAPREV (processamento de dados) e a CEME (produção de medicamentos). A separação entre INPS e INAMPS já prenunciava a distinção que a CF/88 consagraria entre previdência e saúde como subsistemas autônomos da seguridade social. A crise financeira dos anos 1980 atingiu o SINPAS com particular severidade: os recursos previdenciários eram sistematicamente desviados para financiar a saúde pública e programas assistenciais, gerando déficit estrutural. Essa crise foi determinante para a configuração que a seguridade social receberia na Constituição de 1988, com a separação formal entre previdência, saúde e assistência e a previsão de orçamento próprio da seguridade.</w:t>
      </w:r>
    </w:p>
    <w:tbl>
      <w:tblPr>
        <w:tblW w:w="5000" w:type="pct"/>
        <w:jc w:val="center"/>
        <w:tblLayout w:type="fixed"/>
        <w:tblLook w:val="04A0" w:firstRow="1" w:lastRow="0" w:firstColumn="1" w:lastColumn="0" w:noHBand="0" w:noVBand="1"/>
      </w:tblPr>
      <w:tblGrid>
        <w:gridCol w:w="6311"/>
      </w:tblGrid>
      <w:tr w:rsidR="005A5FCC" w14:paraId="3138B1D1"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73642616"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64160909" w14:textId="77777777" w:rsidR="005A5FCC" w:rsidRDefault="00A21C81">
            <w:pPr>
              <w:spacing w:after="60" w:line="247" w:lineRule="auto"/>
            </w:pPr>
            <w:r>
              <w:rPr>
                <w:rFonts w:cs="EB Garamond"/>
                <w:b/>
                <w:kern w:val="16"/>
                <w:sz w:val="19"/>
                <w14:ligatures w14:val="standardContextual"/>
              </w:rPr>
              <w:t>Linha do tempo: marcos da previdência social brasileira (1923–1988)</w:t>
            </w:r>
          </w:p>
          <w:p w14:paraId="3C657F9A" w14:textId="77777777" w:rsidR="005A5FCC" w:rsidRDefault="00A21C81">
            <w:pPr>
              <w:spacing w:after="30" w:line="240" w:lineRule="auto"/>
              <w:ind w:left="227" w:hanging="142"/>
            </w:pPr>
            <w:r>
              <w:rPr>
                <w:rFonts w:cs="EB Garamond"/>
                <w:kern w:val="16"/>
                <w:sz w:val="19"/>
                <w14:ligatures w14:val="standardContextual"/>
              </w:rPr>
              <w:t xml:space="preserve">• </w:t>
            </w:r>
            <w:r>
              <w:rPr>
                <w:rFonts w:cs="EB Garamond"/>
                <w:b/>
                <w:kern w:val="16"/>
                <w:sz w:val="19"/>
                <w14:ligatures w14:val="standardContextual"/>
              </w:rPr>
              <w:t>1923</w:t>
            </w:r>
            <w:r>
              <w:rPr>
                <w:rFonts w:cs="EB Garamond"/>
                <w:kern w:val="16"/>
                <w:sz w:val="19"/>
                <w14:ligatures w14:val="standardContextual"/>
              </w:rPr>
              <w:t xml:space="preserve"> — Lei Eloy Chaves (Decreto Legislativo n. 4.682): criação das Caixas de Aposentadorias e Pensões (CAPs) para ferroviários</w:t>
            </w:r>
          </w:p>
          <w:p w14:paraId="1CDD0EEA" w14:textId="77777777" w:rsidR="005A5FCC" w:rsidRDefault="00A21C81">
            <w:pPr>
              <w:spacing w:after="30" w:line="240" w:lineRule="auto"/>
              <w:ind w:left="227" w:hanging="142"/>
            </w:pPr>
            <w:r>
              <w:rPr>
                <w:rFonts w:cs="EB Garamond"/>
                <w:kern w:val="16"/>
                <w:sz w:val="19"/>
                <w14:ligatures w14:val="standardContextual"/>
              </w:rPr>
              <w:t xml:space="preserve">• </w:t>
            </w:r>
            <w:r>
              <w:rPr>
                <w:rFonts w:cs="EB Garamond"/>
                <w:b/>
                <w:kern w:val="16"/>
                <w:sz w:val="19"/>
                <w14:ligatures w14:val="standardContextual"/>
              </w:rPr>
              <w:t>1933</w:t>
            </w:r>
            <w:r>
              <w:rPr>
                <w:rFonts w:cs="EB Garamond"/>
                <w:kern w:val="16"/>
                <w:sz w:val="19"/>
                <w14:ligatures w14:val="standardContextual"/>
              </w:rPr>
              <w:t xml:space="preserve"> — Decreto n. 22.872: criação do IAPM (Marítimos), primeiro Instituto de Aposentadorias e Pensões</w:t>
            </w:r>
          </w:p>
          <w:p w14:paraId="6791E3EC" w14:textId="77777777" w:rsidR="005A5FCC" w:rsidRDefault="00A21C81">
            <w:pPr>
              <w:spacing w:after="30" w:line="240" w:lineRule="auto"/>
              <w:ind w:left="227" w:hanging="142"/>
            </w:pPr>
            <w:r>
              <w:rPr>
                <w:rFonts w:cs="EB Garamond"/>
                <w:kern w:val="16"/>
                <w:sz w:val="19"/>
                <w14:ligatures w14:val="standardContextual"/>
              </w:rPr>
              <w:t xml:space="preserve">• </w:t>
            </w:r>
            <w:r>
              <w:rPr>
                <w:rFonts w:cs="EB Garamond"/>
                <w:b/>
                <w:kern w:val="16"/>
                <w:sz w:val="19"/>
                <w14:ligatures w14:val="standardContextual"/>
              </w:rPr>
              <w:t>1934–1938</w:t>
            </w:r>
            <w:r>
              <w:rPr>
                <w:rFonts w:cs="EB Garamond"/>
                <w:kern w:val="16"/>
                <w:sz w:val="19"/>
                <w14:ligatures w14:val="standardContextual"/>
              </w:rPr>
              <w:t xml:space="preserve"> — Criação dos demais IAPs: Comerciários, Bancários, Industriários, Transportadores, Servidores</w:t>
            </w:r>
          </w:p>
          <w:p w14:paraId="62E1C86C" w14:textId="77777777" w:rsidR="005A5FCC" w:rsidRDefault="00A21C81">
            <w:pPr>
              <w:spacing w:after="30" w:line="240" w:lineRule="auto"/>
              <w:ind w:left="227" w:hanging="142"/>
            </w:pPr>
            <w:r>
              <w:rPr>
                <w:rFonts w:cs="EB Garamond"/>
                <w:kern w:val="16"/>
                <w:sz w:val="19"/>
                <w14:ligatures w14:val="standardContextual"/>
              </w:rPr>
              <w:t xml:space="preserve">• </w:t>
            </w:r>
            <w:r>
              <w:rPr>
                <w:rFonts w:cs="EB Garamond"/>
                <w:b/>
                <w:kern w:val="16"/>
                <w:sz w:val="19"/>
                <w14:ligatures w14:val="standardContextual"/>
              </w:rPr>
              <w:t>1960</w:t>
            </w:r>
            <w:r>
              <w:rPr>
                <w:rFonts w:cs="EB Garamond"/>
                <w:kern w:val="16"/>
                <w:sz w:val="19"/>
                <w14:ligatures w14:val="standardContextual"/>
              </w:rPr>
              <w:t xml:space="preserve"> — LOPS (Lei n. 3.807): unificação legislativa dos benefícios e contribuições de todos os IAPs</w:t>
            </w:r>
          </w:p>
          <w:p w14:paraId="0AD2C276" w14:textId="77777777" w:rsidR="005A5FCC" w:rsidRDefault="00A21C81">
            <w:pPr>
              <w:spacing w:after="30" w:line="240" w:lineRule="auto"/>
              <w:ind w:left="227" w:hanging="142"/>
            </w:pPr>
            <w:r>
              <w:rPr>
                <w:rFonts w:cs="EB Garamond"/>
                <w:kern w:val="16"/>
                <w:sz w:val="19"/>
                <w14:ligatures w14:val="standardContextual"/>
              </w:rPr>
              <w:t xml:space="preserve">• </w:t>
            </w:r>
            <w:r>
              <w:rPr>
                <w:rFonts w:cs="EB Garamond"/>
                <w:b/>
                <w:kern w:val="16"/>
                <w:sz w:val="19"/>
                <w14:ligatures w14:val="standardContextual"/>
              </w:rPr>
              <w:t>1966</w:t>
            </w:r>
            <w:r>
              <w:rPr>
                <w:rFonts w:cs="EB Garamond"/>
                <w:kern w:val="16"/>
                <w:sz w:val="19"/>
                <w14:ligatures w14:val="standardContextual"/>
              </w:rPr>
              <w:t xml:space="preserve"> — Decreto-Lei n. 72: fusão dos IAPs no INPS (unificação administrativa)</w:t>
            </w:r>
          </w:p>
          <w:p w14:paraId="527AD992" w14:textId="77777777" w:rsidR="005A5FCC" w:rsidRDefault="00A21C81">
            <w:pPr>
              <w:spacing w:after="30" w:line="240" w:lineRule="auto"/>
              <w:ind w:left="227" w:hanging="142"/>
            </w:pPr>
            <w:r>
              <w:rPr>
                <w:rFonts w:cs="EB Garamond"/>
                <w:kern w:val="16"/>
                <w:sz w:val="19"/>
                <w14:ligatures w14:val="standardContextual"/>
              </w:rPr>
              <w:t xml:space="preserve">• </w:t>
            </w:r>
            <w:r>
              <w:rPr>
                <w:rFonts w:cs="EB Garamond"/>
                <w:b/>
                <w:kern w:val="16"/>
                <w:sz w:val="19"/>
                <w14:ligatures w14:val="standardContextual"/>
              </w:rPr>
              <w:t>1971</w:t>
            </w:r>
            <w:r>
              <w:rPr>
                <w:rFonts w:cs="EB Garamond"/>
                <w:kern w:val="16"/>
                <w:sz w:val="19"/>
                <w14:ligatures w14:val="standardContextual"/>
              </w:rPr>
              <w:t xml:space="preserve"> — PRORURAL (LC n. 11): extensão da proteção previdenciária ao trabalhador rural (benefício de meio SM)</w:t>
            </w:r>
          </w:p>
          <w:p w14:paraId="4DF9926D" w14:textId="77777777" w:rsidR="005A5FCC" w:rsidRDefault="00A21C81">
            <w:pPr>
              <w:spacing w:after="30" w:line="240" w:lineRule="auto"/>
              <w:ind w:left="227" w:hanging="142"/>
            </w:pPr>
            <w:r>
              <w:rPr>
                <w:rFonts w:cs="EB Garamond"/>
                <w:kern w:val="16"/>
                <w:sz w:val="19"/>
                <w14:ligatures w14:val="standardContextual"/>
              </w:rPr>
              <w:t xml:space="preserve">• </w:t>
            </w:r>
            <w:r>
              <w:rPr>
                <w:rFonts w:cs="EB Garamond"/>
                <w:b/>
                <w:kern w:val="16"/>
                <w:sz w:val="19"/>
                <w14:ligatures w14:val="standardContextual"/>
              </w:rPr>
              <w:t>1977</w:t>
            </w:r>
            <w:r>
              <w:rPr>
                <w:rFonts w:cs="EB Garamond"/>
                <w:kern w:val="16"/>
                <w:sz w:val="19"/>
                <w14:ligatures w14:val="standardContextual"/>
              </w:rPr>
              <w:t xml:space="preserve"> — Lei n. 6.439: criação do SINPAS (INPS + IAPAS + INAMPS + LBA + FUNABEM + DATAPREV + CEME)</w:t>
            </w:r>
          </w:p>
          <w:p w14:paraId="7A733803" w14:textId="77777777" w:rsidR="005A5FCC" w:rsidRDefault="00A21C81">
            <w:pPr>
              <w:spacing w:after="30" w:line="240" w:lineRule="auto"/>
              <w:ind w:left="227" w:hanging="142"/>
            </w:pPr>
            <w:r>
              <w:rPr>
                <w:rFonts w:cs="EB Garamond"/>
                <w:kern w:val="16"/>
                <w:sz w:val="19"/>
                <w14:ligatures w14:val="standardContextual"/>
              </w:rPr>
              <w:t xml:space="preserve">• </w:t>
            </w:r>
            <w:r>
              <w:rPr>
                <w:rFonts w:cs="EB Garamond"/>
                <w:b/>
                <w:kern w:val="16"/>
                <w:sz w:val="19"/>
                <w14:ligatures w14:val="standardContextual"/>
              </w:rPr>
              <w:t>1988</w:t>
            </w:r>
            <w:r>
              <w:rPr>
                <w:rFonts w:cs="EB Garamond"/>
                <w:kern w:val="16"/>
                <w:sz w:val="19"/>
                <w14:ligatures w14:val="standardContextual"/>
              </w:rPr>
              <w:t xml:space="preserve"> — Constituição Federal: criação da seguridade social (saúde + previdência + assistência) e equiparação rural-urbana</w:t>
            </w:r>
          </w:p>
        </w:tc>
      </w:tr>
    </w:tbl>
    <w:p w14:paraId="670A79F6" w14:textId="77777777" w:rsidR="005A5FCC" w:rsidRDefault="005A5FCC">
      <w:pPr>
        <w:spacing w:after="80" w:line="240" w:lineRule="auto"/>
      </w:pPr>
    </w:p>
    <w:p w14:paraId="17F5C6CF"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1.6 A Constituição de 1988 e a criação do sistema de seguridade social</w:t>
      </w:r>
    </w:p>
    <w:p w14:paraId="4AD8B104"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760BBAAB" w14:textId="77777777" w:rsidR="005A5FCC" w:rsidRDefault="00A21C81">
      <w:r>
        <w:rPr>
          <w:rFonts w:cs="EB Garamond"/>
          <w:kern w:val="16"/>
          <w14:ligatures w14:val="standardContextual"/>
        </w:rPr>
        <w:t xml:space="preserve"> Assembleia Nacional Constituinte de 1987–1988 trabalhou sob a marca da redemocratização e do compromisso com a construção de um Estado social. No campo da proteção social, a Constituição de 1988 promoveu ruptura com o modelo anterior ao criar o conceito de seguridade social como inovação constitucional brasileira. O art. 194, caput, define a seguridade social como "conjunto integrado de ações de iniciativa dos Poderes Públicos e da sociedade, destinadas a assegurar os direitos relativos à saúde, à previdência e à assistência social". A tripartição — saúde (arts. 196–200), previdência (arts. 201–202) e assistência social (arts. 203–204) — constitui os três pilares de um sistema que, na concepção original, deveria funcionar de modo articulado e complementar, com financiamento solidário e cobertura universal.</w:t>
      </w:r>
    </w:p>
    <w:p w14:paraId="3B05389E" w14:textId="77777777" w:rsidR="005A5FCC" w:rsidRDefault="00A21C81">
      <w:pPr>
        <w:ind w:firstLine="238"/>
      </w:pPr>
      <w:r>
        <w:rPr>
          <w:rFonts w:cs="EB Garamond"/>
          <w:kern w:val="16"/>
          <w14:ligatures w14:val="standardContextual"/>
        </w:rPr>
        <w:lastRenderedPageBreak/>
        <w:t>A influência beveridgiana é reconhecível na concepção geral do sistema: cobertura universal, responsabilidade estatal, financiamento pela sociedade como um todo. A influência bismarckiana, por sua vez, permaneceu na previdência social especificamente: regime contributivo, filiação obrigatória, benefícios proporcionais à contribuição. Essa combinação constitui o que denominamos de hibridismo estrutural do modelo brasileiro: a saúde é direito de todos, independentemente de contribuição; a assistência social é devida a quem dela necessita, sem exigência de contrapartida; mas a previdência social é seguro contributivo, condicionado à filiação e ao pagamento de contribuições. Entender esse hibridismo é essencial para a atuação nos JEFs, pois o juiz federal decide tanto ações previdenciárias (RGPS) quanto assistenciais (BPC/LOAS), e a lógica jurídica que rege cada uma dessas prestações é fundamentalmente distinta.</w:t>
      </w:r>
    </w:p>
    <w:p w14:paraId="5259E109" w14:textId="4DA7868F" w:rsidR="005A5FCC" w:rsidRDefault="00A21C81">
      <w:pPr>
        <w:ind w:firstLine="238"/>
      </w:pPr>
      <w:r>
        <w:rPr>
          <w:rFonts w:cs="EB Garamond"/>
          <w:kern w:val="16"/>
          <w14:ligatures w14:val="standardContextual"/>
        </w:rPr>
        <w:t xml:space="preserve">A universalização foi a conquista mais significativa da CF/88 no campo previdenciário. O art. 194, parágrafo único, inciso II, consagrou a uniformidade e equivalência dos benefícios e serviços às populações urbana e rural. Pela primeira vez na história brasileira, o trabalhador rural passou a ter direito a benefício no valor mínimo de um </w:t>
      </w:r>
      <w:r w:rsidR="00F82CF8">
        <w:rPr>
          <w:rFonts w:cs="EB Garamond"/>
          <w:kern w:val="16"/>
          <w14:ligatures w14:val="standardContextual"/>
        </w:rPr>
        <w:t>salário-mínimo</w:t>
      </w:r>
      <w:r>
        <w:rPr>
          <w:rFonts w:cs="EB Garamond"/>
          <w:kern w:val="16"/>
          <w14:ligatures w14:val="standardContextual"/>
        </w:rPr>
        <w:t>, superando-se a discriminação que prevalecera durante todo o período anterior, quando o PRORURAL concedia ao rurícola benefício equivalente a meio salário</w:t>
      </w:r>
      <w:r w:rsidR="00F82CF8">
        <w:rPr>
          <w:rFonts w:cs="EB Garamond"/>
          <w:kern w:val="16"/>
          <w14:ligatures w14:val="standardContextual"/>
        </w:rPr>
        <w:t>-</w:t>
      </w:r>
      <w:r>
        <w:rPr>
          <w:rFonts w:cs="EB Garamond"/>
          <w:kern w:val="16"/>
          <w14:ligatures w14:val="standardContextual"/>
        </w:rPr>
        <w:t>mínimo. Na saúde, o art. 196 estabeleceu que a saúde é direito de todos e dever do Estado, superando o modelo do INAMPS, que restringia a assistência médica aos segurados da previdência social. Na assistência social, o art. 203 instituiu o BPC como direito de quem necessita, independentemente de contribuição, prestação regulamentada pela Lei n. 8.742/1993 (LOAS) e que constitui, ainda hoje, parcela expressiva da demanda dos JEFs.</w:t>
      </w:r>
    </w:p>
    <w:p w14:paraId="5D1AF5BA" w14:textId="77777777" w:rsidR="005A5FCC" w:rsidRDefault="00A21C81">
      <w:pPr>
        <w:ind w:firstLine="238"/>
      </w:pPr>
      <w:r>
        <w:rPr>
          <w:rFonts w:cs="EB Garamond"/>
          <w:kern w:val="16"/>
          <w14:ligatures w14:val="standardContextual"/>
        </w:rPr>
        <w:t xml:space="preserve">O financiamento da seguridade social foi desenhado com base no princípio da diversidade da base de financiamento (art. 195, CF). O orçamento da seguridade é composto por contribuições de múltiplas fontes: empregadores (incidentes sobre folha de salários, faturamento e lucro), trabalhadores, receita de concursos de prognósticos e, a partir da EC 42/2003, importadores de bens e serviços do exterior. A Constituição concebeu a seguridade como sistema integrado de financiamento: na teoria, os três subsistemas compartilham essa base comum de custeio, o que significa que as receitas de COFINS, CSLL, PIS/PASEP e contribuição </w:t>
      </w:r>
      <w:r>
        <w:rPr>
          <w:rFonts w:cs="EB Garamond"/>
          <w:kern w:val="16"/>
          <w14:ligatures w14:val="standardContextual"/>
        </w:rPr>
        <w:lastRenderedPageBreak/>
        <w:t>sobre a folha compõem um fundo único destinado a custear saúde, previdência e assistência. Na prática, a Desvinculação de Receitas da União (DRU), criada pela EC 27/2000 e mantida por sucessivas prorrogações até a EC 93/2016, permitiu ao governo federal desvincular até 30% das receitas de contribuições sociais para uso livre, alimentando o debate sobre a existência ou inexistência de "déficit" previdenciário. A tese do déficit depende fundamentalmente da metodologia contábil adotada: se computadas apenas as receitas da contribuição sobre a folha de pagamento em confronto com as despesas do RGPS, o resultado é deficitário; se computadas todas as fontes de custeio previstas no art. 195, o resultado pode ser distinto.</w:t>
      </w:r>
    </w:p>
    <w:p w14:paraId="6E51CA24" w14:textId="77777777" w:rsidR="005A5FCC" w:rsidRDefault="00A21C81">
      <w:pPr>
        <w:ind w:firstLine="238"/>
      </w:pPr>
      <w:r>
        <w:rPr>
          <w:rFonts w:cs="EB Garamond"/>
          <w:kern w:val="16"/>
          <w14:ligatures w14:val="standardContextual"/>
        </w:rPr>
        <w:t>A implementação infraconstitucional do sistema desenhado pela CF/88 deu-se em duas frentes. No plano institucional, a Lei n. 8.029, de 12 de abril de 1990, regulamentada pelo Decreto n. 99.350/1990, promoveu a fusão do INPS (benefícios) com o IAPAS (arrecadação) numa única autarquia: o Instituto Nacional do Seguro Social. O INSS reuniu em uma só entidade as funções de arrecadação de contribuições, concessão de benefícios e atendimento ao segurado, eliminando a dualidade que caracterizara o período do SINPAS. O INAMPS foi extinto em 1993 (Lei n. 8.689/1993), com suas atribuições transferidas ao SUS, consolidando a separação entre previdência e saúde que a Constituição havia determinado. O INSS tornou-se, assim, a autarquia responsável pela concessão e manutenção de benefícios previdenciários e assistenciais (BPC), posição que ocupa até hoje como réu na esmagadora maioria das ações que tramitam nos JEFs.</w:t>
      </w:r>
    </w:p>
    <w:p w14:paraId="52C4C4A8" w14:textId="77777777" w:rsidR="005A5FCC" w:rsidRDefault="00A21C81">
      <w:pPr>
        <w:ind w:firstLine="238"/>
      </w:pPr>
      <w:r>
        <w:rPr>
          <w:rFonts w:cs="EB Garamond"/>
          <w:kern w:val="16"/>
          <w14:ligatures w14:val="standardContextual"/>
        </w:rPr>
        <w:t xml:space="preserve">No plano normativo, a Lei n. 8.212, de 24 de julho de 1991 (Plano de Custeio da Seguridade Social), e a Lei n. 8.213, de 24 de julho de 1991 (Plano de Benefícios da Previdência Social), regulamentaram o regime previdenciário constitucional. As duas leis foram publicadas na mesma data, formando o binômio normativo que estrutura todo o RGPS: a primeira disciplina as fontes de custeio, as contribuições devidas e a forma de arrecadação; a segunda define os beneficiários, os benefícios, os requisitos de concessão e as regras de cálculo. A Lei 8.213/91 permanece, até hoje, como a lei orgânica do RGPS, embora extensivamente reformada por dezenas de leis ordinárias e complementares, além das emendas constitucionais que alteraram diretamente o texto do art. 201 da Constituição. O Decreto n. 3.048, de 6 de maio de 1999 (Regulamento da Previdência Social </w:t>
      </w:r>
      <w:r>
        <w:rPr>
          <w:rFonts w:cs="EB Garamond"/>
          <w:kern w:val="16"/>
          <w14:ligatures w14:val="standardContextual"/>
        </w:rPr>
        <w:lastRenderedPageBreak/>
        <w:t>— RPS), consolidou a regulamentação infralegal numa única norma, e a Instrução Normativa INSS/PRES n. 128/2022 detalha os procedimentos operacionais de concessão e manutenção de benefícios, constituindo o principal instrumento normativo interno que orienta a atuação dos servidores do INSS.</w:t>
      </w:r>
    </w:p>
    <w:tbl>
      <w:tblPr>
        <w:tblW w:w="5000" w:type="pct"/>
        <w:jc w:val="center"/>
        <w:tblLayout w:type="fixed"/>
        <w:tblLook w:val="04A0" w:firstRow="1" w:lastRow="0" w:firstColumn="1" w:lastColumn="0" w:noHBand="0" w:noVBand="1"/>
      </w:tblPr>
      <w:tblGrid>
        <w:gridCol w:w="6311"/>
      </w:tblGrid>
      <w:tr w:rsidR="005A5FCC" w14:paraId="442B8690"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61B94B5A" w14:textId="77777777" w:rsidR="005A5FCC" w:rsidRDefault="00A21C81">
            <w:pPr>
              <w:spacing w:after="60" w:line="240" w:lineRule="auto"/>
              <w:jc w:val="left"/>
            </w:pPr>
            <w:r>
              <w:rPr>
                <w:rFonts w:ascii="Noto Sans" w:hAnsi="Noto Sans" w:cs="Noto Sans"/>
                <w:b/>
                <w:caps/>
                <w:color w:val="4D6F8A"/>
                <w:kern w:val="16"/>
                <w:sz w:val="16"/>
                <w14:ligatures w14:val="standardContextual"/>
              </w:rPr>
              <w:t>JURISPRUDÊNCIA EM DESTAQUE</w:t>
            </w:r>
          </w:p>
          <w:p w14:paraId="1C8CB23C" w14:textId="77777777" w:rsidR="005A5FCC" w:rsidRDefault="00A21C81">
            <w:pPr>
              <w:spacing w:after="60" w:line="247" w:lineRule="auto"/>
            </w:pPr>
            <w:r>
              <w:rPr>
                <w:rFonts w:cs="EB Garamond"/>
                <w:b/>
                <w:kern w:val="16"/>
                <w:sz w:val="19"/>
                <w14:ligatures w14:val="standardContextual"/>
              </w:rPr>
              <w:t>A equiparação rural-urbana na CF/88 e seus reflexos nos JEFs</w:t>
            </w:r>
          </w:p>
          <w:p w14:paraId="5C9E68E8" w14:textId="77777777" w:rsidR="005A5FCC" w:rsidRDefault="00A21C81">
            <w:pPr>
              <w:spacing w:after="60" w:line="247" w:lineRule="auto"/>
            </w:pPr>
            <w:r>
              <w:rPr>
                <w:rFonts w:cs="EB Garamond"/>
                <w:kern w:val="16"/>
                <w:sz w:val="19"/>
                <w14:ligatures w14:val="standardContextual"/>
              </w:rPr>
              <w:t>A universalização promovida pela CF/88 gerou um dos maiores volumes de demandas nos Juizados Especiais Federais: o reconhecimento de tempo de atividade rural anterior a novembro de 1991. O art. 55, § 2º, da Lei 8.213/91 permite o cômputo desse tempo independentemente de contribuição, desde que comprovado por início de prova material corroborado por testemunhos. A Súmula 149/STJ consolidou que a prova exclusivamente testemunhal não basta para a comprovação de atividade rural. O Tema 533/STJ definiu os critérios de extensão da prova material a membros do grupo familiar em regime de economia familiar, firmando que essa extensão não é possível quando o integrante em nome de quem está o documento passa a exercer trabalho incompatível com o labor rurícola, como o de natureza urbana. Essa demanda massiva nos JEFs é herança direta da transição entre o modelo corporativo-fragmentado, que excluía o trabalhador rural da proteção plena, e o modelo universalista da CF/88, que lhe reconheceu direitos equivalentes aos do trabalhador urbano.</w:t>
            </w:r>
          </w:p>
        </w:tc>
      </w:tr>
    </w:tbl>
    <w:p w14:paraId="54D62CEF" w14:textId="77777777" w:rsidR="005A5FCC" w:rsidRDefault="005A5FCC">
      <w:pPr>
        <w:spacing w:after="80" w:line="240" w:lineRule="auto"/>
      </w:pPr>
    </w:p>
    <w:p w14:paraId="3786B8DF"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1.7 Art. 194 da CF/88: conceito e organização da seguridade social</w:t>
      </w:r>
    </w:p>
    <w:p w14:paraId="466F1A01"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2F456DC8" w14:textId="77777777" w:rsidR="005A5FCC" w:rsidRDefault="00A21C81">
      <w:r>
        <w:rPr>
          <w:rFonts w:cs="EB Garamond"/>
          <w:kern w:val="16"/>
          <w14:ligatures w14:val="standardContextual"/>
        </w:rPr>
        <w:t xml:space="preserve"> seguridade social é o gênero de que a previdência, a saúde e a assistência social são espécies. Essa distinção, que parece elementar em sede doutrinária, tem relevância operacional direta nos JEFs. O juiz federal julga ações previdenciárias (benefícios do RGPS) e assistenciais (BPC/LOAS), mas não julga ações de saúde quando o réu é exclusivamente o Estado ou o Município (competência estadual, em regra). A correta identificação da natureza da prestação pleiteada determina o regime jurídico aplicável, os requisitos de concessão, a legitimidade passiva e, em última análise, o resultado do julgamento. Confundir </w:t>
      </w:r>
      <w:r>
        <w:rPr>
          <w:rFonts w:cs="EB Garamond"/>
          <w:kern w:val="16"/>
          <w14:ligatures w14:val="standardContextual"/>
        </w:rPr>
        <w:lastRenderedPageBreak/>
        <w:t>previdência com assistência ou tratar a seguridade como bloco monolítico conduz a erros de enquadramento que comprometem a tutela do direito.</w:t>
      </w:r>
    </w:p>
    <w:p w14:paraId="15916E32" w14:textId="77777777" w:rsidR="005A5FCC" w:rsidRDefault="00A21C81">
      <w:pPr>
        <w:ind w:firstLine="238"/>
      </w:pPr>
      <w:r>
        <w:rPr>
          <w:rFonts w:cs="EB Garamond"/>
          <w:kern w:val="16"/>
          <w14:ligatures w14:val="standardContextual"/>
        </w:rPr>
        <w:t>O parágrafo único do art. 194 da Constituição elenca sete objetivos que orientam a organização da seguridade social. A doutrina trata esses objetivos como autênticos princípios constitucionais, e essa qualificação não é meramente terminológica. Os sete princípios — universalidade da cobertura e do atendimento (I), uniformidade e equivalência dos benefícios e serviços às populações urbana e rural (II), seletividade e distributividade na prestação dos benefícios e serviços (III), irredutibilidade do valor dos benefícios (IV), equidade na forma de participação no custeio (V), diversidade da base de financiamento (VI) e caráter democrático e descentralizado da administração, mediante gestão quadripartite (VII) — vinculam o legislador ordinário, orientam a interpretação judicial e limitam a atuação administrativa do INSS. São, portanto, normas jurídicas dotadas de força vinculante, aptas a produzir efeitos concretos na resolução de litígios previdenciários, e não meras diretrizes programáticas ou declarações de intenção constitucional.</w:t>
      </w:r>
    </w:p>
    <w:p w14:paraId="073D3428" w14:textId="77777777" w:rsidR="005A5FCC" w:rsidRDefault="00A21C81">
      <w:pPr>
        <w:ind w:firstLine="238"/>
      </w:pPr>
      <w:r>
        <w:rPr>
          <w:rFonts w:cs="EB Garamond"/>
          <w:kern w:val="16"/>
          <w14:ligatures w14:val="standardContextual"/>
        </w:rPr>
        <w:t>Sustentamos que cada um desses princípios gera consequências práticas identificáveis na atuação dos Juizados Especiais Federais. Longe de figurarem como referências decorativas, invocáveis apenas em obiter dictum ou em preâmbulos de sentenças, funcionam como ferramentas de decisão que fundamentam a interpretação de normas, a superação de lacunas e o controle de atos administrativos do INSS. Quando o INSS indefere benefício com fundamento em interpretação restritiva de norma infralegal, o advogado pode invocar a universalidade como argumento de ampliação da cobertura. Quando o juiz enfrenta lacuna legislativa sobre situação não expressamente prevista, pode recorrer à distributividade para estender a proteção ao segurado em condição de vulnerabilidade. Quando a constitucionalidade de norma reformadora é questionada, a irredutibilidade e a vedação do retrocesso social oferecem parâmetros objetivos de controle.</w:t>
      </w:r>
    </w:p>
    <w:p w14:paraId="52069AA7" w14:textId="77777777" w:rsidR="005A5FCC" w:rsidRDefault="00A21C81">
      <w:pPr>
        <w:ind w:firstLine="238"/>
      </w:pPr>
      <w:r>
        <w:rPr>
          <w:rFonts w:cs="EB Garamond"/>
          <w:kern w:val="16"/>
          <w14:ligatures w14:val="standardContextual"/>
        </w:rPr>
        <w:t xml:space="preserve">As seções seguintes analisam cada princípio individualmente, com ênfase nessa dimensão operacional. A estrutura é deliberada: para cada princípio, apresentamos seu conteúdo normativo, suas manifestações concretas no RGPS e sua </w:t>
      </w:r>
      <w:r>
        <w:rPr>
          <w:rFonts w:cs="EB Garamond"/>
          <w:kern w:val="16"/>
          <w14:ligatures w14:val="standardContextual"/>
        </w:rPr>
        <w:lastRenderedPageBreak/>
        <w:t>aplicação prática nos JEFs, com exemplos jurisprudenciais sempre que pertinentes. A remissão aos capítulos subsequentes da obra será feita quando o detalhamento do tema extrapolar o escopo deste capítulo inaugural.</w:t>
      </w:r>
    </w:p>
    <w:p w14:paraId="6267D461"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1.8 Universalidade da cobertura e do atendimento</w:t>
      </w:r>
    </w:p>
    <w:p w14:paraId="444B73A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1DA12637" w14:textId="77777777" w:rsidR="005A5FCC" w:rsidRDefault="00A21C81">
      <w:r>
        <w:rPr>
          <w:rFonts w:cs="EB Garamond"/>
          <w:kern w:val="16"/>
          <w14:ligatures w14:val="standardContextual"/>
        </w:rPr>
        <w:t xml:space="preserve"> princípio da universalidade da cobertura e do atendimento (art. 194, parágrafo único, I, CF/88) possui dupla dimensão que precisa ser adequadamente compreendida. A universalidade da cobertura, em sua dimensão objetiva, determina que todos os riscos sociais relevantes devem ser cobertos pelo sistema de seguridade: doença, invalidez, morte, velhice, maternidade, desemprego involuntário, reclusão. A universalidade do atendimento, em sua dimensão subjetiva, exige que todas as pessoas tenham acesso à proteção social, sem discriminação por raça, gênero, nacionalidade, condição econômica ou vínculo empregatício. A conjugação dessas duas dimensões aponta para um sistema que aspira a proteger todos os indivíduos contra todas as contingências sociais relevantes.</w:t>
      </w:r>
    </w:p>
    <w:p w14:paraId="4A43BD35" w14:textId="77777777" w:rsidR="005A5FCC" w:rsidRDefault="00A21C81">
      <w:pPr>
        <w:ind w:firstLine="238"/>
      </w:pPr>
      <w:r>
        <w:rPr>
          <w:rFonts w:cs="EB Garamond"/>
          <w:kern w:val="16"/>
          <w14:ligatures w14:val="standardContextual"/>
        </w:rPr>
        <w:t>Essa aspiração, contudo, encontra limites que o próprio texto constitucional reconhece e que variam conforme o subsistema de seguridade considerado. Na saúde, a universalidade é efetiva: o art. 196 garante acesso universal e igualitário, independentemente de qualquer contribuição ou condição prévia. Na assistência social, a universalidade é seletiva: o art. 203 destina a proteção a quem dela necessita, exigindo demonstração de vulnerabilidade socioeconômica. Na previdência social, a universalidade é potencial: a filiação obrigatória abrange todos os que exercem atividade remunerada, e qualquer pessoa pode filiar-se voluntariamente como segurada facultativa (art. 13 da Lei 8.213/91), mas a proteção previdenciária depende de contribuição — quem não contribui (nem por obrigação, nem por opção) não tem direito a benefício previdenciário. A universalidade previdenciária, portanto, não é universalidade incondicional: é universalidade condicionada à participação no custeio, salvo no caso do segurado especial, cuja contribuição incide sobre a produção rural (art. 25 da Lei 8.212/91), não sobre remuneração individual.</w:t>
      </w:r>
    </w:p>
    <w:p w14:paraId="23BE810F" w14:textId="77777777" w:rsidR="005A5FCC" w:rsidRDefault="00A21C81">
      <w:pPr>
        <w:ind w:firstLine="238"/>
      </w:pPr>
      <w:r>
        <w:rPr>
          <w:rFonts w:cs="EB Garamond"/>
          <w:kern w:val="16"/>
          <w14:ligatures w14:val="standardContextual"/>
        </w:rPr>
        <w:lastRenderedPageBreak/>
        <w:t>A aplicação desse princípio nos JEFs é direta e recorrente. Entendemos que a universalidade funciona como vetor hermenêutico: na dúvida entre duas interpretações possíveis de uma norma de filiação, deve prevalecer aquela que amplia a cobertura, não a que a restringe. Esse vetor orienta, por exemplo, a interpretação extensiva das hipóteses de segurado especial (art. 11, VII, da Lei 8.213/91): a proteção do trabalhador rural em regime de economia familiar é expressão direta da universalidade, alcançando quem historicamente foi excluído do sistema. O Tema 350/STF (RE 631.240), ao dispensar o prévio requerimento administrativo nas hipóteses em que o INSS adota posição notoriamente contrária ao direito do segurado, reflete a universalidade no acesso à Justiça previdenciária: o formalismo processual não pode converter-se em barreira que impeça o segurado de obter a prestação a que faz jus.</w:t>
      </w:r>
    </w:p>
    <w:p w14:paraId="5E69D804" w14:textId="77777777" w:rsidR="005A5FCC" w:rsidRDefault="00A21C81">
      <w:pPr>
        <w:ind w:firstLine="238"/>
      </w:pPr>
      <w:r>
        <w:rPr>
          <w:rFonts w:cs="EB Garamond"/>
          <w:kern w:val="16"/>
          <w14:ligatures w14:val="standardContextual"/>
        </w:rPr>
        <w:t>A filiação automática do segurado empregado decorre do exercício da atividade remunerada, independentemente de inscrição formal ou de recolhimento pelo empregador, e materializa a universalidade como regra de inclusão, não de exclusão. Se o empregador não registra o trabalhador e não recolhe as contribuições, a consequência jurídica recai sobre o empregador (devedor tributário), não sobre o empregado, que mantém a qualidade de segurado. Esse entendimento ancora-se nos arts. 30, I, e 33, § 5º, da Lei 8.212/91 — que atribuem ao empregador o ônus de arrecadar e recolher as contribuições e presumem feito o desconto, vedando que a omissão patronal recaia sobre o trabalhador — e está consolidado na jurisprudência: o segurado empregado não pode ser prejudicado pela inadimplência do empregador.</w:t>
      </w:r>
    </w:p>
    <w:p w14:paraId="1D90FACE" w14:textId="77777777" w:rsidR="005A5FCC" w:rsidRDefault="00A21C81">
      <w:pPr>
        <w:ind w:firstLine="238"/>
      </w:pPr>
      <w:r>
        <w:rPr>
          <w:rFonts w:cs="EB Garamond"/>
          <w:kern w:val="16"/>
          <w14:ligatures w14:val="standardContextual"/>
        </w:rPr>
        <w:t>A universalidade também se expressa na criação do segurado facultativo (art. 13 da Lei 8.213/91), que permite a filiação voluntária de quem não exerce atividade remunerada obrigatória — estudantes, donas de casa, desempregados —, e na instituição do sistema especial de inclusão previdenciária (art. 201, § 12, CF, incluído pela EC 47/2005), que possibilita alíquotas reduzidas para trabalhadores de baixa renda e pessoas sem renda própria dedicadas ao trabalho doméstico (remissão ao Cap. 2 para o detalhamento das categorias de segurados).</w:t>
      </w:r>
    </w:p>
    <w:p w14:paraId="5DF27325"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1.9 Uniformidade e equivalência dos benefícios entre populações urbana e rural</w:t>
      </w:r>
    </w:p>
    <w:p w14:paraId="39384921"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3F5A460A" w14:textId="7CE0120E" w:rsidR="005A5FCC" w:rsidRDefault="00A21C81">
      <w:r>
        <w:rPr>
          <w:rFonts w:cs="EB Garamond"/>
          <w:kern w:val="16"/>
          <w14:ligatures w14:val="standardContextual"/>
        </w:rPr>
        <w:t xml:space="preserve"> princípio da uniformidade e equivalência dos benefícios e serviços às populações urbana e rural (art. 194, parágrafo único, II, CF/88)</w:t>
      </w:r>
      <w:r w:rsidR="00B75FE7">
        <w:rPr>
          <w:rFonts w:cs="EB Garamond"/>
          <w:kern w:val="16"/>
          <w14:ligatures w14:val="standardContextual"/>
        </w:rPr>
        <w:t>, conforme</w:t>
      </w:r>
      <w:r>
        <w:rPr>
          <w:rFonts w:cs="EB Garamond"/>
          <w:kern w:val="16"/>
          <w14:ligatures w14:val="standardContextual"/>
        </w:rPr>
        <w:t xml:space="preserve"> Castro e Lazzari (2025), só pode ser plenamente compreendido à luz do contexto histórico que o produziu. Conforme examinamos na seção 1.5, até a promulgação da CF/88, o trabalhador rural recebia benefícios substancialmente inferiores ao do urbano: o PRORURAL concedia prestações de valor fixo equivalentes a meio </w:t>
      </w:r>
      <w:r w:rsidR="00F82CF8">
        <w:rPr>
          <w:rFonts w:cs="EB Garamond"/>
          <w:kern w:val="16"/>
          <w14:ligatures w14:val="standardContextual"/>
        </w:rPr>
        <w:t>salário-mínimo</w:t>
      </w:r>
      <w:r>
        <w:rPr>
          <w:rFonts w:cs="EB Garamond"/>
          <w:kern w:val="16"/>
          <w14:ligatures w14:val="standardContextual"/>
        </w:rPr>
        <w:t xml:space="preserve">, sem proporcionalidade em relação à contribuição e com cobertura limitada a contingências básicas. A CF/88 corrigiu essa distorção histórica ao estabelecer que nenhum benefício da seguridade social pode ser inferior a um </w:t>
      </w:r>
      <w:r w:rsidR="00F82CF8">
        <w:rPr>
          <w:rFonts w:cs="EB Garamond"/>
          <w:kern w:val="16"/>
          <w14:ligatures w14:val="standardContextual"/>
        </w:rPr>
        <w:t>salário-mínimo</w:t>
      </w:r>
      <w:r>
        <w:rPr>
          <w:rFonts w:cs="EB Garamond"/>
          <w:kern w:val="16"/>
          <w14:ligatures w14:val="standardContextual"/>
        </w:rPr>
        <w:t xml:space="preserve"> (art. 201, § 2º) e que os tipos de prestações e seus valores devem ser equivalentes para trabalhadores urbanos e rurais.</w:t>
      </w:r>
    </w:p>
    <w:p w14:paraId="053DB950" w14:textId="77777777" w:rsidR="005A5FCC" w:rsidRDefault="00A21C81">
      <w:pPr>
        <w:ind w:firstLine="238"/>
      </w:pPr>
      <w:r>
        <w:rPr>
          <w:rFonts w:cs="EB Garamond"/>
          <w:kern w:val="16"/>
          <w14:ligatures w14:val="standardContextual"/>
        </w:rPr>
        <w:t>O princípio desdobra-se em duas dimensões complementares. A uniformidade exige que os mesmos tipos de benefícios sejam oferecidos a urbanos e rurais: aposentadoria por idade, aposentadoria por incapacidade permanente, auxílio por incapacidade temporária, pensão por morte, salário-maternidade e demais prestações previstas em lei. Não se admite a existência de benefícios exclusivos para trabalhadores urbanos, com exclusão dos rurais, nem vice-versa. Antes da CF/88, o PRORURAL não previa, por exemplo, auxílio por incapacidade temporária para o trabalhador rural — esse tipo de lacuna não é mais admissível sob o regime constitucional vigente. A equivalência, por sua vez, exige que os benefícios tenham o mesmo valor quando a situação fática for idêntica: um trabalhador rural incapacitado tem direito ao mesmo benefício que um trabalhador urbano incapacitado nas mesmas condições. A uniformidade e equivalência vedam que o INSS negue ao rurícola benefício que concederia ao trabalhador urbano em idêntica situação.</w:t>
      </w:r>
    </w:p>
    <w:p w14:paraId="2BFAF713" w14:textId="77777777" w:rsidR="005A5FCC" w:rsidRDefault="00A21C81">
      <w:pPr>
        <w:ind w:firstLine="238"/>
      </w:pPr>
      <w:r>
        <w:rPr>
          <w:rFonts w:cs="EB Garamond"/>
          <w:kern w:val="16"/>
          <w14:ligatures w14:val="standardContextual"/>
        </w:rPr>
        <w:t xml:space="preserve">Entendemos, contudo, que equivalência não é identidade absoluta. O próprio texto constitucional autoriza diferenciações entre trabalhadores urbanos e rurais quando essas diferenciações se justificam como mecanismo de compensação. O </w:t>
      </w:r>
      <w:r>
        <w:rPr>
          <w:rFonts w:cs="EB Garamond"/>
          <w:kern w:val="16"/>
          <w14:ligatures w14:val="standardContextual"/>
        </w:rPr>
        <w:lastRenderedPageBreak/>
        <w:t>exemplo mais expressivo é a redução de cinco anos na idade mínima para aposentadoria do trabalhador rural (art. 201, § 7º, II, CF/88): o segurado especial pode aposentar-se por idade aos 60 anos (homem) e 55 anos (mulher), enquanto os urbanos necessitam de 65 e 62 anos, respectivamente. Cumpre observar que, após a EC 103/2019, a idade reduzida do art. 201, § 7º, II, aplica-se especificamente ao segurado especial, não a todo trabalhador rural indistintamente; o trabalhador rural empregado ou contribuinte individual pode estar sujeito a regras de transição distintas. Essa diferenciação não viola a equivalência; ao contrário, materializa-a ao compensar as condições mais severas do trabalho rural — exposição a intempéries, esforço físico intenso, menor acesso a serviços de saúde, início precoce da vida laboral. A LC 142/2013, ao disciplinar a aposentadoria da pessoa com deficiência com requisitos diferenciados, adota lógica semelhante: a diferenciação não viola a uniformidade, mas a promove ao reconhecer desigualdades materiais que exigem tratamento jurídico diferenciado.</w:t>
      </w:r>
    </w:p>
    <w:p w14:paraId="55E5528B" w14:textId="7AD09224" w:rsidR="005A5FCC" w:rsidRDefault="00A21C81">
      <w:pPr>
        <w:ind w:firstLine="238"/>
      </w:pPr>
      <w:r>
        <w:rPr>
          <w:rFonts w:cs="EB Garamond"/>
          <w:kern w:val="16"/>
          <w14:ligatures w14:val="standardContextual"/>
        </w:rPr>
        <w:t xml:space="preserve">É nas ações de aposentadoria rural por idade — historicamente a espécie de maior volume nos Juizados — que o princípio revela toda a sua força operacional. A prova da atividade rural se faz por início de prova material corroborado por testemunhos (art. 55, § 3º, da Lei 8.213/91; Súmula 149/STJ). O cômputo do tempo de atividade rural anterior a novembro de 1991 independe de contribuição (art. 55, § 2º, Lei 8.213/91), regra que materializa a universalização promovida pela CF/88. O Tema 533/STJ, por sua vez, definiu questão probatória específica: a extensão de documentos em nome de um membro do grupo familiar como início de prova material para os demais integrantes, em regime de economia familiar, esclarecendo que tal extensão encontra limite quando o integrante em nome de quem está o documento passa a exercer trabalho incompatível com o labor rurícola, como o de natureza urbana. São questões distintas — a primeira diz respeito à dispensa de contribuição; a segunda, à flexibilização da prova. Ambas refletem a preocupação do sistema com a efetividade do princípio da uniformidade: exigir do trabalhador rural a mesma qualidade de prova documental disponível para o urbano equivaleria a negar-lhe, na prática, a proteção que a Constituição lhe assegurou. O segurado especial, cuja proteção é garantida pelo art. 39 da Lei 8.213/91, recebe benefício de um </w:t>
      </w:r>
      <w:r w:rsidR="00F82CF8">
        <w:rPr>
          <w:rFonts w:cs="EB Garamond"/>
          <w:kern w:val="16"/>
          <w14:ligatures w14:val="standardContextual"/>
        </w:rPr>
        <w:t>salário-mínimo</w:t>
      </w:r>
      <w:r>
        <w:rPr>
          <w:rFonts w:cs="EB Garamond"/>
          <w:kern w:val="16"/>
          <w14:ligatures w14:val="standardContextual"/>
        </w:rPr>
        <w:t xml:space="preserve"> independentemente de contribuição individual, financiado pela contribuição sobre a produção </w:t>
      </w:r>
      <w:r>
        <w:rPr>
          <w:rFonts w:cs="EB Garamond"/>
          <w:kern w:val="16"/>
          <w14:ligatures w14:val="standardContextual"/>
        </w:rPr>
        <w:lastRenderedPageBreak/>
        <w:t>rural (art. 25 da Lei 8.212/91), mecanismo que entendemos como conciliação engenhosa entre o princípio da contributividade e a universalidade da cobertura (remissão ao Cap. 2 para exame detalhado do segurado especial).</w:t>
      </w:r>
    </w:p>
    <w:tbl>
      <w:tblPr>
        <w:tblW w:w="5000" w:type="pct"/>
        <w:jc w:val="center"/>
        <w:tblLayout w:type="fixed"/>
        <w:tblLook w:val="04A0" w:firstRow="1" w:lastRow="0" w:firstColumn="1" w:lastColumn="0" w:noHBand="0" w:noVBand="1"/>
      </w:tblPr>
      <w:tblGrid>
        <w:gridCol w:w="6311"/>
      </w:tblGrid>
      <w:tr w:rsidR="005A5FCC" w14:paraId="6FC916B4"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599C72A4"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61E6D6BE" w14:textId="77777777" w:rsidR="005A5FCC" w:rsidRDefault="00A21C81">
            <w:pPr>
              <w:spacing w:after="60" w:line="247" w:lineRule="auto"/>
            </w:pPr>
            <w:r>
              <w:rPr>
                <w:rFonts w:cs="EB Garamond"/>
                <w:b/>
                <w:kern w:val="16"/>
                <w:sz w:val="19"/>
                <w14:ligatures w14:val="standardContextual"/>
              </w:rPr>
              <w:t>Uniformidade não é identidade: diferenciações legítimas.</w:t>
            </w:r>
            <w:r>
              <w:rPr>
                <w:rFonts w:cs="EB Garamond"/>
                <w:kern w:val="16"/>
                <w:sz w:val="19"/>
                <w14:ligatures w14:val="standardContextual"/>
              </w:rPr>
              <w:t xml:space="preserve"> A equivalência entre benefícios rurais e urbanos não impede que o legislador estabeleça diferenciações justificadas. A idade reduzida em cinco anos para aposentadoria rural (art. 201, § 7º, II, CF) e os requisitos diferenciados da LC 142/2013 para aposentadoria da pessoa com deficiência são expressões legítimas do princípio, porque visam a compensar desigualdades materiais. Nos JEFs, sustentamos que o intérprete deve distinguir entre diferenciação compensatória (constitucional) e discriminação injustificada (inconstitucional): a primeira realiza a equivalência material; a segunda viola a uniformidade.</w:t>
            </w:r>
          </w:p>
        </w:tc>
      </w:tr>
    </w:tbl>
    <w:p w14:paraId="1078F5DF" w14:textId="77777777" w:rsidR="005A5FCC" w:rsidRDefault="005A5FCC">
      <w:pPr>
        <w:spacing w:after="80" w:line="240" w:lineRule="auto"/>
      </w:pPr>
    </w:p>
    <w:p w14:paraId="0B7D36DE"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1.10 Seletividade e distributividade na prestação de benefícios e serviços</w:t>
      </w:r>
    </w:p>
    <w:p w14:paraId="5DAEA7BB"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10659CE9" w14:textId="77777777" w:rsidR="005A5FCC" w:rsidRDefault="00A21C81">
      <w:r>
        <w:rPr>
          <w:rFonts w:cs="EB Garamond"/>
          <w:kern w:val="16"/>
          <w14:ligatures w14:val="standardContextual"/>
        </w:rPr>
        <w:t xml:space="preserve"> princípio da seletividade e distributividade (art. 194, parágrafo único, III, CF/88) reconhece uma realidade que nenhum sistema de proteção social pode ignorar: os recursos são finitos, e a cobertura de todos os riscos sociais com a mesma intensidade é objetivo permanente, não condição já realizada. A seletividade e a distributividade operam como critérios orientadores tanto para o legislador, na conformação das prestações, quanto para o intérprete, na aplicação das normas ao caso concreto.</w:t>
      </w:r>
    </w:p>
    <w:p w14:paraId="2541404E" w14:textId="1C1049F9" w:rsidR="005A5FCC" w:rsidRDefault="00A21C81">
      <w:pPr>
        <w:ind w:firstLine="238"/>
      </w:pPr>
      <w:r>
        <w:rPr>
          <w:rFonts w:cs="EB Garamond"/>
          <w:kern w:val="16"/>
          <w14:ligatures w14:val="standardContextual"/>
        </w:rPr>
        <w:t xml:space="preserve">A seletividade confere ao legislador a prerrogativa de selecionar os riscos sociais que serão cobertos e as contingências que gerarão direito a prestações. Essa escolha legislativa é ato de conformação, orientado pela relevância social de cada contingência e pela capacidade financeira do sistema. O legislador pode, por exemplo, </w:t>
      </w:r>
      <w:r w:rsidR="00F82CF8">
        <w:rPr>
          <w:rFonts w:cs="EB Garamond"/>
          <w:kern w:val="16"/>
          <w14:ligatures w14:val="standardContextual"/>
        </w:rPr>
        <w:t>criar</w:t>
      </w:r>
      <w:r>
        <w:rPr>
          <w:rFonts w:cs="EB Garamond"/>
          <w:kern w:val="16"/>
          <w14:ligatures w14:val="standardContextual"/>
        </w:rPr>
        <w:t xml:space="preserve"> benefícios, extinguir os existentes ou redefinir seus requisitos, desde que respeite o núcleo essencial dos direitos sociais previdenciários. A extinção do auxílio-natalidade e do auxílio-funeral pela Lei n. 8.742/1993, com transferência dessas </w:t>
      </w:r>
      <w:r>
        <w:rPr>
          <w:rFonts w:cs="EB Garamond"/>
          <w:kern w:val="16"/>
          <w14:ligatures w14:val="standardContextual"/>
        </w:rPr>
        <w:lastRenderedPageBreak/>
        <w:t>prestações para a esfera assistencial, é exemplo de seletividade legislativa que não gerou maior controvérsia. A EC 103/2019, por outro lado, ao reduzir a base de cálculo dos benefícios por incapacidade (de 100% para 60% da média, salvo incapacidade acidentária), exerceu seletividade que suscitou debate intenso sobre seus limites constitucionais, pois atingiu o núcleo de proteção contra contingência particularmente grave.</w:t>
      </w:r>
    </w:p>
    <w:p w14:paraId="534CC9E0" w14:textId="09D3D8B6" w:rsidR="005A5FCC" w:rsidRDefault="00A21C81">
      <w:pPr>
        <w:ind w:firstLine="238"/>
      </w:pPr>
      <w:r>
        <w:rPr>
          <w:rFonts w:cs="EB Garamond"/>
          <w:kern w:val="16"/>
          <w14:ligatures w14:val="standardContextual"/>
        </w:rPr>
        <w:t xml:space="preserve">A distributividade complementa a seletividade ao exigir que as prestações sejam distribuídas de forma a atender prioritariamente os mais necessitados. O sistema previdenciário não é neutro do ponto de vista redistributivo: o piso de um </w:t>
      </w:r>
      <w:r w:rsidR="00F82CF8">
        <w:rPr>
          <w:rFonts w:cs="EB Garamond"/>
          <w:kern w:val="16"/>
          <w14:ligatures w14:val="standardContextual"/>
        </w:rPr>
        <w:t>salário-mínimo</w:t>
      </w:r>
      <w:r>
        <w:rPr>
          <w:rFonts w:cs="EB Garamond"/>
          <w:kern w:val="16"/>
          <w14:ligatures w14:val="standardContextual"/>
        </w:rPr>
        <w:t xml:space="preserve"> (art. 201, § 2º, CF) garante renda mínima independentemente do valor das contribuições vertidas ao longo da vida laboral, beneficiando proporcionalmente mais os segurados de menor renda. Um segurado que contribuiu durante 20 anos sobre o </w:t>
      </w:r>
      <w:r w:rsidR="00F82CF8">
        <w:rPr>
          <w:rFonts w:cs="EB Garamond"/>
          <w:kern w:val="16"/>
          <w14:ligatures w14:val="standardContextual"/>
        </w:rPr>
        <w:t>salário-mínimo</w:t>
      </w:r>
      <w:r>
        <w:rPr>
          <w:rFonts w:cs="EB Garamond"/>
          <w:kern w:val="16"/>
          <w14:ligatures w14:val="standardContextual"/>
        </w:rPr>
        <w:t xml:space="preserve"> recebe aposentadoria de R$ 1.621,00, idêntica à de quem nunca pôde contribuir sobre base superior. Já um segurado que contribuiu sobre o teto (R$ 8.475,55) durante o mesmo período recebe aposentadoria calculada em 60% de sua média salarial, ou seja, proporcionalmente </w:t>
      </w:r>
      <w:r w:rsidR="00F82CF8">
        <w:rPr>
          <w:rFonts w:cs="EB Garamond"/>
          <w:kern w:val="16"/>
          <w14:ligatures w14:val="standardContextual"/>
        </w:rPr>
        <w:t>menor</w:t>
      </w:r>
      <w:r>
        <w:rPr>
          <w:rFonts w:cs="EB Garamond"/>
          <w:kern w:val="16"/>
          <w14:ligatures w14:val="standardContextual"/>
        </w:rPr>
        <w:t xml:space="preserve"> do que verteu ao sistema. Essa redistribuição implícita é inerente ao modelo solidário e decorre diretamente do princípio da distributividade.</w:t>
      </w:r>
    </w:p>
    <w:p w14:paraId="43E97289" w14:textId="77777777" w:rsidR="005A5FCC" w:rsidRDefault="00A21C81">
      <w:pPr>
        <w:ind w:firstLine="238"/>
      </w:pPr>
      <w:r>
        <w:rPr>
          <w:rFonts w:cs="EB Garamond"/>
          <w:kern w:val="16"/>
          <w14:ligatures w14:val="standardContextual"/>
        </w:rPr>
        <w:t>As alíquotas progressivas introduzidas pela EC 103/2019 (7,5% a 14%, aplicadas por faixa salarial) materializam a distributividade no custeio: quem recebe remuneração maior contribui com alíquota efetiva superior. A fórmula de cálculo do benefício pós-EC 103 (60% da média + 2% por ano que exceder 15/20 anos de contribuição) também expressa lógica seletiva, embora sua compatibilidade com a proteção constitucional mínima seja objeto de debate, especialmente para segurados com poucos anos de contribuição que se aposentam com coeficiente significativamente inferior a 100% da média. Os limites dessa margem seletiva já foram, aliás, ultrapassados em um ponto específico: na ADI 6.309 (j. 03/06/2026), o STF declarou inconstitucional a idade mínima da aposentadoria especial introduzida pela EC 103, conservadas a vedação à conversão de tempo especial em comum e a nova forma de cálculo (remissão ao capítulo da aposentadoria especial).</w:t>
      </w:r>
    </w:p>
    <w:p w14:paraId="6DDBDBA4" w14:textId="77777777" w:rsidR="005A5FCC" w:rsidRDefault="00A21C81">
      <w:pPr>
        <w:ind w:firstLine="238"/>
      </w:pPr>
      <w:r>
        <w:rPr>
          <w:rFonts w:cs="EB Garamond"/>
          <w:kern w:val="16"/>
          <w14:ligatures w14:val="standardContextual"/>
        </w:rPr>
        <w:lastRenderedPageBreak/>
        <w:t>No cotidiano dos JEFs, o julgador precisa reconhecer tanto a margem de conformação do legislador quanto seus limites. A seletividade não autoriza o esvaziamento do conteúdo essencial de um direito social previdenciário. A jurisprudência do STF reconhece que a vedação do retrocesso social e a proteção ao mínimo existencial funcionam como limites à discricionariedade legislativa. O juiz pode, legitimamente, invocar a distributividade para interpretar normas de forma a favorecer segurados em situação de maior vulnerabilidade. A dispensa de carência para concessão de benefício por incapacidade em caso de doenças graves (art. 26, II, da Lei 8.213/91) é exemplo de seletividade legislativa orientada pela distributividade: o legislador identificou contingências especialmente graves e dispensou requisito que, em tais circunstâncias, poderia inviabilizar a proteção de quem mais precisa (remissão ao Cap. 3 para exame detalhado da carência e suas dispensas).</w:t>
      </w:r>
    </w:p>
    <w:tbl>
      <w:tblPr>
        <w:tblW w:w="5000" w:type="pct"/>
        <w:jc w:val="center"/>
        <w:tblLayout w:type="fixed"/>
        <w:tblLook w:val="04A0" w:firstRow="1" w:lastRow="0" w:firstColumn="1" w:lastColumn="0" w:noHBand="0" w:noVBand="1"/>
      </w:tblPr>
      <w:tblGrid>
        <w:gridCol w:w="6311"/>
      </w:tblGrid>
      <w:tr w:rsidR="005A5FCC" w14:paraId="2BA55606"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268615AB"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00FA1AF7" w14:textId="77777777" w:rsidR="005A5FCC" w:rsidRDefault="00A21C81">
            <w:pPr>
              <w:spacing w:after="60" w:line="247" w:lineRule="auto"/>
            </w:pPr>
            <w:r>
              <w:rPr>
                <w:rFonts w:cs="EB Garamond"/>
                <w:b/>
                <w:kern w:val="16"/>
                <w:sz w:val="19"/>
                <w14:ligatures w14:val="standardContextual"/>
              </w:rPr>
              <w:t>Como invocar os princípios do art. 194 em petições e sentenças</w:t>
            </w:r>
          </w:p>
          <w:p w14:paraId="15E9210B" w14:textId="77777777" w:rsidR="005A5FCC" w:rsidRDefault="00A21C81">
            <w:pPr>
              <w:spacing w:after="60" w:line="247" w:lineRule="auto"/>
            </w:pPr>
            <w:r>
              <w:rPr>
                <w:rFonts w:cs="EB Garamond"/>
                <w:kern w:val="16"/>
                <w:sz w:val="19"/>
                <w14:ligatures w14:val="standardContextual"/>
              </w:rPr>
              <w:t>Os princípios da seguridade social não são meros enunciados teóricos: na prática dos JEFs, cumprem cinco funções argumentativas que se encadeiam. Operam, antes de tudo, como vetor hermenêutico, de modo que, na dúvida entre duas interpretações possíveis de uma norma previdenciária, prevalece a que melhor realiza a universalidade, a uniformidade e a distributividade. Quando a interpretação conforme não basta, prestam-se a fundamentar a inconstitucionalidade: norma infraconstitucional que viole o núcleo essencial de um princípio pode ser afastada em controle difuso pelo próprio juiz do JEF. Diante de lacuna, convertem-se em argumento de integração, autorizando a concessão de prestação por analogia ou interpretação extensiva na ausência de norma expressa. Servem, ainda, de limite à discricionariedade regulamentar — assim, se a IN 128/2022 impõe requisito não previsto na Lei 8.213/91, o juiz pode afastar a exigência administrativa invocando a universalidade da cobertura. Por fim, funcionam como parâmetro de proporcionalidade no controle de reformas legislativas: a restrição de direito só é legítima quando atende a finalidade constitucional, como o equilíbrio do sistema, por meio adequado e proporcional.</w:t>
            </w:r>
          </w:p>
        </w:tc>
      </w:tr>
    </w:tbl>
    <w:p w14:paraId="00E1FDE9" w14:textId="77777777" w:rsidR="005A5FCC" w:rsidRDefault="005A5FCC">
      <w:pPr>
        <w:spacing w:after="80" w:line="240" w:lineRule="auto"/>
      </w:pPr>
    </w:p>
    <w:p w14:paraId="78D687AE"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1.11 Irredutibilidade do valor dos benefícios</w:t>
      </w:r>
    </w:p>
    <w:p w14:paraId="592010F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3E37ACF8" w14:textId="77777777" w:rsidR="005A5FCC" w:rsidRDefault="00A21C81">
      <w:r>
        <w:rPr>
          <w:rFonts w:cs="EB Garamond"/>
          <w:kern w:val="16"/>
          <w14:ligatures w14:val="standardContextual"/>
        </w:rPr>
        <w:t xml:space="preserve"> princípio da irredutibilidade do valor dos benefícios (art. 194, parágrafo único, IV, CF/88), conjugado com a garantia de preservação do valor real (art. 201, § 4º), constitui uma das proteções mais invocadas na jurisprudência previdenciária dos JEFs. A compreensão adequada desse princípio exige que se distingam suas duas dimensões: a irredutibilidade nominal e a preservação do valor real, pois cada uma delas opera com lógica jurídica distinta e produz consequências práticas diferentes.</w:t>
      </w:r>
    </w:p>
    <w:p w14:paraId="78F38CBE" w14:textId="77777777" w:rsidR="005A5FCC" w:rsidRDefault="00A21C81">
      <w:pPr>
        <w:ind w:firstLine="238"/>
      </w:pPr>
      <w:r>
        <w:rPr>
          <w:rFonts w:cs="EB Garamond"/>
          <w:kern w:val="16"/>
          <w14:ligatures w14:val="standardContextual"/>
        </w:rPr>
        <w:t>Conforme Ibrahim, Bragança e Folmann (2025), a irredutibilidade nominal significa que o valor em reais do benefício não pode ser diminuído por ato administrativo ou legislativo. Trata-se de garantia absoluta, que não admite exceção: se o segurado recebe R$ 3.000,00 de aposentadoria, esse valor nominal não pode ser reduzido para R$ 2.800,00 por nenhum ato do INSS, do legislador ou do Poder Executivo. A preservação do valor real, por sua vez, exige que o benefício mantenha o poder de compra ao longo do tempo, acompanhando a evolução dos preços. Essa segunda dimensão é garantia relativa, porque depende de índice de reajuste definido em lei. O STF, no julgamento do RE 376.846, decidiu que a Constituição garante a preservação do valor real, mas delega ao legislador a definição do índice de correção. Posteriormente, no Tema 824/STF, a Corte reconheceu que a questão relativa ao índice de reajuste aplicável aos benefícios previdenciários, para fins de preservação de seu valor real, tem natureza infraconstitucional, sem repercussão geral. O direito constitucional é à preservação do poder aquisitivo, não à adoção de um índice específico. O legislador pode escolher entre INPC, IPCA ou outro índice, desde que o resultado preserve razoavelmente o poder de compra do benefício.</w:t>
      </w:r>
    </w:p>
    <w:p w14:paraId="326B4F62" w14:textId="50409307" w:rsidR="005A5FCC" w:rsidRDefault="00A21C81">
      <w:pPr>
        <w:ind w:firstLine="238"/>
      </w:pPr>
      <w:r>
        <w:rPr>
          <w:rFonts w:cs="EB Garamond"/>
          <w:kern w:val="16"/>
          <w14:ligatures w14:val="standardContextual"/>
        </w:rPr>
        <w:t xml:space="preserve">O reajuste anual dos benefícios do RGPS é regulado pelo art. 41-A da Lei 8.213/91 (incluído pela Lei n. 11.430/2006), que determina o reajuste na mesma data do reajuste do </w:t>
      </w:r>
      <w:r w:rsidR="00F82CF8">
        <w:rPr>
          <w:rFonts w:cs="EB Garamond"/>
          <w:kern w:val="16"/>
          <w14:ligatures w14:val="standardContextual"/>
        </w:rPr>
        <w:t>salário-mínimo</w:t>
      </w:r>
      <w:r>
        <w:rPr>
          <w:rFonts w:cs="EB Garamond"/>
          <w:kern w:val="16"/>
          <w14:ligatures w14:val="standardContextual"/>
        </w:rPr>
        <w:t xml:space="preserve">, pelo índice do INPC acumulado. Os benefícios de valor superior ao </w:t>
      </w:r>
      <w:r w:rsidR="00F82CF8">
        <w:rPr>
          <w:rFonts w:cs="EB Garamond"/>
          <w:kern w:val="16"/>
          <w14:ligatures w14:val="standardContextual"/>
        </w:rPr>
        <w:t>salário-mínimo</w:t>
      </w:r>
      <w:r>
        <w:rPr>
          <w:rFonts w:cs="EB Garamond"/>
          <w:kern w:val="16"/>
          <w14:ligatures w14:val="standardContextual"/>
        </w:rPr>
        <w:t xml:space="preserve"> são reajustados pelo INPC, podendo ter reajuste percentual inferior ao do </w:t>
      </w:r>
      <w:r w:rsidR="00F82CF8">
        <w:rPr>
          <w:rFonts w:cs="EB Garamond"/>
          <w:kern w:val="16"/>
          <w14:ligatures w14:val="standardContextual"/>
        </w:rPr>
        <w:t>salário-mínimo</w:t>
      </w:r>
      <w:r>
        <w:rPr>
          <w:rFonts w:cs="EB Garamond"/>
          <w:kern w:val="16"/>
          <w14:ligatures w14:val="standardContextual"/>
        </w:rPr>
        <w:t xml:space="preserve"> em anos de política de valorização real do piso. Os benefícios de valor igual ao piso (um </w:t>
      </w:r>
      <w:r w:rsidR="00F82CF8">
        <w:rPr>
          <w:rFonts w:cs="EB Garamond"/>
          <w:kern w:val="16"/>
          <w14:ligatures w14:val="standardContextual"/>
        </w:rPr>
        <w:t>salário-mínimo</w:t>
      </w:r>
      <w:r>
        <w:rPr>
          <w:rFonts w:cs="EB Garamond"/>
          <w:kern w:val="16"/>
          <w14:ligatures w14:val="standardContextual"/>
        </w:rPr>
        <w:t>, atual</w:t>
      </w:r>
      <w:r>
        <w:rPr>
          <w:rFonts w:cs="EB Garamond"/>
          <w:kern w:val="16"/>
          <w14:ligatures w14:val="standardContextual"/>
        </w:rPr>
        <w:lastRenderedPageBreak/>
        <w:t xml:space="preserve">mente R$ 1.621,00) acompanham automaticamente o reajuste do </w:t>
      </w:r>
      <w:r w:rsidR="00F82CF8">
        <w:rPr>
          <w:rFonts w:cs="EB Garamond"/>
          <w:kern w:val="16"/>
          <w14:ligatures w14:val="standardContextual"/>
        </w:rPr>
        <w:t>salário-mínimo</w:t>
      </w:r>
      <w:r>
        <w:rPr>
          <w:rFonts w:cs="EB Garamond"/>
          <w:kern w:val="16"/>
          <w14:ligatures w14:val="standardContextual"/>
        </w:rPr>
        <w:t>, que historicamente tem superado a inflação medida pelo INPC. Essa diferença de critério de reajuste gera o fenômeno da compressão da pirâmide de benefícios: o piso sobe mais que os benefícios intermediários, reduzindo progressivamente a distância entre eles.</w:t>
      </w:r>
    </w:p>
    <w:p w14:paraId="59D12DE7" w14:textId="77777777" w:rsidR="005A5FCC" w:rsidRDefault="00A21C81">
      <w:pPr>
        <w:ind w:firstLine="238"/>
      </w:pPr>
      <w:r>
        <w:rPr>
          <w:rFonts w:cs="EB Garamond"/>
          <w:kern w:val="16"/>
          <w14:ligatures w14:val="standardContextual"/>
        </w:rPr>
        <w:t>A irredutibilidade foi argumento central em dois grupos de ações que geraram volume expressivo de demandas nos JEFs. No primeiro, as ações de "desaposentação" buscavam a renúncia à aposentadoria vigente para obtenção de nova aposentadoria com valor maior, incorporando contribuições vertidas após a aposentadoria original. O STF, no Tema 503 (RE 661.256), julgou improcedente a pretensão, entendendo que a CF/88 não prevê o direito à desaposentação. No segundo grupo, as ações de revisão de teto decorrentes das ECs 20/1998 e 41/2003 invocavam a irredutibilidade para readequar ao novo teto benefícios que, quando concedidos, haviam sido limitados pelo teto anterior. O STF reconheceu esse direito no RE 564.354 (Tema 76/STF), fixando que a elevação do teto permite a readequação dos benefícios até o novo limite, como desdobramento direto do princípio da irredutibilidade e da preservação do valor real.</w:t>
      </w:r>
    </w:p>
    <w:p w14:paraId="48DAE5D0" w14:textId="77777777" w:rsidR="005A5FCC" w:rsidRDefault="00A21C81">
      <w:pPr>
        <w:ind w:firstLine="238"/>
      </w:pPr>
      <w:r>
        <w:rPr>
          <w:rFonts w:cs="EB Garamond"/>
          <w:kern w:val="16"/>
          <w14:ligatures w14:val="standardContextual"/>
        </w:rPr>
        <w:t xml:space="preserve">Na prática dos JEFs, as ações de revisão por aplicação de índice incorreto de reajuste são recorrentes. Discussões sobre o IRSM 39,67%, a conversão para URV, e a readequação pelo teto das emendas constitucionais ilustram a operacionalidade cotidiana desse princípio. A jurisprudência distingue com precisão entre a irredutibilidade (garantia contra a redução nominal) e o direito adquirido a critério de cálculo. O Tema 1.102/STF (RE 1.276.977) abordou essa distinção ao examinar a chamada revisão da vida toda: ao julgar o mérito do tema, em dezembro de 2022, o STF chegou a reconhecer o direito do segurado a optar pela regra definitiva de cálculo quando mais favorável; essa posição, contudo, foi superada em 2024, quando o STF declarou constitucional o art. 3º da Lei 9.876/1999 no julgamento das ADIs 2.110/DF e 2.111/DF (cuja ata de julgamento do mérito foi publicada em 5 de abril de 2024), assentando que o segurado não pode optar pela regra do art. 29, I e II, da Lei 8.213/1991, ainda que lhe seja mais favorável. Prevalece, portanto, a regra de transição do art. 3º da Lei 9.876/1999 (apuração a partir de julho de 1994), tendo o STF modulado os efeitos da decisão para resguardar valores já recebidos de boa-fé e afastar a cobrança de honorários, custas e </w:t>
      </w:r>
      <w:r>
        <w:rPr>
          <w:rFonts w:cs="EB Garamond"/>
          <w:kern w:val="16"/>
          <w14:ligatures w14:val="standardContextual"/>
        </w:rPr>
        <w:lastRenderedPageBreak/>
        <w:t>perícias dos autores das ações pendentes até a referida data. O Tema 999/STJ, por sua vez, trata de matéria diversa — a regra de cálculo do art. 29 em confronto com o art. 3º da Lei 9.876/1999 —, e não deve ser confundido com a revisão da vida toda. Registre-se que o Tema 999/STJ permaneceu sobrestado na origem, atrelado ao desfecho do Tema 1.102/STF. Em síntese, a irredutibilidade impõe ao sistema previdenciário um compromisso de mão dupla: o valor nominal do benefício jamais pode ser reduzido (garantia absoluta), e o poder de compra deve ser preservado ao longo do tempo mediante reajuste periódico por índice que reflita a evolução dos preços (garantia relativa, mas efetiva). O descumprimento de qualquer dessas duas dimensões autoriza o segurado a buscar a tutela judicial nos JEFs, com base direta no art. 194, IV, e no art. 201, § 4º, da Constituição.</w:t>
      </w:r>
    </w:p>
    <w:p w14:paraId="10AF2FD0"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1.12 Equidade na forma de participação no custeio</w:t>
      </w:r>
    </w:p>
    <w:p w14:paraId="2BC9EA79"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7C34E85D" w14:textId="77777777" w:rsidR="005A5FCC" w:rsidRDefault="00A21C81">
      <w:r>
        <w:rPr>
          <w:rFonts w:cs="EB Garamond"/>
          <w:kern w:val="16"/>
          <w14:ligatures w14:val="standardContextual"/>
        </w:rPr>
        <w:t xml:space="preserve"> princípio da equidade na forma de participação no custeio (art. 194, parágrafo único, V, CF/88) rege o financiamento da seguridade social segundo uma lógica redistributiva: quem pode mais, contribui mais; quem pode menos, contribui menos. A equidade aqui referida não se confunde com igualdade formal — não se trata de exigir a mesma contribuição de todos, mas de dosar a participação de cada um conforme sua capacidade contributiva. O princípio da equidade atua como ponte entre a solidariedade (fundamento axiológico do sistema) e a capacidade contributiva (limite objetivo do financiamento), impedindo que a carga de custeio recaia desproporcionalmente sobre determinados segmentos da população.</w:t>
      </w:r>
    </w:p>
    <w:p w14:paraId="14C331C5" w14:textId="48B4EB08" w:rsidR="005A5FCC" w:rsidRDefault="00A21C81">
      <w:pPr>
        <w:ind w:firstLine="238"/>
      </w:pPr>
      <w:r>
        <w:rPr>
          <w:rFonts w:cs="EB Garamond"/>
          <w:kern w:val="16"/>
          <w14:ligatures w14:val="standardContextual"/>
        </w:rPr>
        <w:t xml:space="preserve">O princípio da equidade no custeio manifesta-se concretamente nas alíquotas progressivas do segurado empregado (faixas de 7,5%, 9%, 12% e 14%, EC 103/2019), na contribuição patronal de 20% sobre a folha e nas alíquotas diferenciadas previstas para o MEI (5% sobre o </w:t>
      </w:r>
      <w:r w:rsidR="00B75FE7">
        <w:rPr>
          <w:rFonts w:cs="EB Garamond"/>
          <w:kern w:val="16"/>
          <w14:ligatures w14:val="standardContextual"/>
        </w:rPr>
        <w:t>salário-mínimo</w:t>
      </w:r>
      <w:r>
        <w:rPr>
          <w:rFonts w:cs="EB Garamond"/>
          <w:kern w:val="16"/>
          <w14:ligatures w14:val="standardContextual"/>
        </w:rPr>
        <w:t xml:space="preserve">, art. 18-A, § 3º, VI, LC 123/2006), o segurado facultativo de baixa renda (5%, art. 21, § 2º, II, Lei 8.212/91) e o plano simplificado (11%). Os requisitos e limites de cada modalidade são examinados no Cap. 2 (segurado facultativo) e no Cap. 4 (contribuições </w:t>
      </w:r>
      <w:r>
        <w:rPr>
          <w:rFonts w:cs="EB Garamond"/>
          <w:kern w:val="16"/>
          <w14:ligatures w14:val="standardContextual"/>
        </w:rPr>
        <w:lastRenderedPageBreak/>
        <w:t>e custeio). Todas essas diferenciações de alíquota materializam a equidade: a contribuição é graduada conforme a capacidade econômica do segurado.</w:t>
      </w:r>
    </w:p>
    <w:p w14:paraId="1F592152" w14:textId="77777777" w:rsidR="005A5FCC" w:rsidRDefault="00A21C81">
      <w:pPr>
        <w:ind w:firstLine="238"/>
      </w:pPr>
      <w:r>
        <w:rPr>
          <w:rFonts w:cs="EB Garamond"/>
          <w:kern w:val="16"/>
          <w14:ligatures w14:val="standardContextual"/>
        </w:rPr>
        <w:t>O princípio da equidade funciona também como critério de constitucionalidade de normas de custeio. A majoração de alíquota que torne a contribuição confiscatória viola o princípio da equidade e, por extensão, o art. 150, IV, da CF/88 (vedação do confisco tributário). O limite entre carga contributiva legítima e confisco não está definido em percentual fixo, mas depende da análise do impacto concreto sobre a capacidade econômica do contribuinte, considerada a totalidade da carga tributária a que está submetido. A CF/88 veda a incidência de contribuição previdenciária sobre aposentadorias e pensões no RGPS (art. 195, II) — vedação que entendemos como expressão da equidade, pois o aposentado já cumpriu seu dever contributivo durante toda a vida ativa e não deve ser compelido a financiar novamente o sistema do qual já é beneficiário. No regime próprio (RPPS), a EC 41/2003 instituiu contribuição de inativos (11% sobre o que exceder o teto do RGPS), e o STF julgou constitucional a medida na ADI 3.105, invocando a solidariedade como fundamento. A diferença de tratamento entre o RGPS (sem contribuição de inativos) e o RPPS (com contribuição) não constitui violação da equidade, mas reconhecimento de que os dois regimes operam sob lógicas distintas e com bases de financiamento diferentes. O detalhamento das alíquotas, bases de cálculo e regras específicas de custeio será examinado no Cap. 4.</w:t>
      </w:r>
    </w:p>
    <w:p w14:paraId="395FF698"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1.13 Diversidade da base de financiamento</w:t>
      </w:r>
    </w:p>
    <w:p w14:paraId="3183FAB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N</w:t>
      </w:r>
    </w:p>
    <w:p w14:paraId="2F35FBA0" w14:textId="03074ADF" w:rsidR="005A5FCC" w:rsidRDefault="00A21C81">
      <w:r>
        <w:rPr>
          <w:rFonts w:cs="EB Garamond"/>
          <w:kern w:val="16"/>
          <w14:ligatures w14:val="standardContextual"/>
        </w:rPr>
        <w:t xml:space="preserve">enhum sistema de proteção social sobrevive amarrado a uma só fonte de custeio, e foi exatamente essa lição que o constituinte de 1988 incorporou ao exigir a diversidade da base de financiamento (art. 194, parágrafo único, VI, CF/88). </w:t>
      </w:r>
      <w:r w:rsidR="00B75FE7">
        <w:rPr>
          <w:rFonts w:cs="EB Garamond"/>
          <w:kern w:val="16"/>
          <w14:ligatures w14:val="standardContextual"/>
        </w:rPr>
        <w:t>Conforme</w:t>
      </w:r>
      <w:r>
        <w:rPr>
          <w:rFonts w:cs="EB Garamond"/>
          <w:kern w:val="16"/>
          <w14:ligatures w14:val="standardContextual"/>
        </w:rPr>
        <w:t xml:space="preserve"> Ibrahim, Bragança e Folmann (2025), o art. 195 da Constituição é o dispositivo que dá concretude a essa exigência, ao prever que o orçamento da seguridade social será composto por contribuições de múltiplas origens: do empregador, incidentes sobre a folha de salários, o faturamento e o lucro (inciso I); do trabalhador e dos demais segurados da previdência social (inciso II); </w:t>
      </w:r>
      <w:r>
        <w:rPr>
          <w:rFonts w:cs="EB Garamond"/>
          <w:kern w:val="16"/>
          <w14:ligatures w14:val="standardContextual"/>
        </w:rPr>
        <w:lastRenderedPageBreak/>
        <w:t>da receita de concursos de prognósticos, como as loterias (inciso III); e do importador de bens ou serviços do exterior (inciso IV, incluído pela EC 42/2003). A diversificação das fontes protege o sistema contra flutuações econômicas e crises setoriais: se a arrecadação sobre a folha de pagamento cai em razão do aumento do desemprego, as contribuições sobre faturamento e lucro podem compensar parcialmente a queda.</w:t>
      </w:r>
    </w:p>
    <w:p w14:paraId="4502E4FE" w14:textId="77777777" w:rsidR="005A5FCC" w:rsidRDefault="00A21C81">
      <w:pPr>
        <w:ind w:firstLine="238"/>
      </w:pPr>
      <w:r>
        <w:rPr>
          <w:rFonts w:cs="EB Garamond"/>
          <w:kern w:val="16"/>
          <w14:ligatures w14:val="standardContextual"/>
        </w:rPr>
        <w:t>A distinção entre contribuições sociais e impostos é relevante para a compreensão do financiamento da seguridade e para o debate sobre o chamado "déficit" previdenciário. As contribuições sociais do art. 195 possuem vinculação constitucional à seguridade social: os recursos arrecadados devem ser destinados ao financiamento de saúde, previdência e assistência. Os impostos, por outro lado, são receitas gerais, não vinculadas a finalidades específicas (salvo as exceções previstas na própria Constituição). Essa distinção tem implicação prática direta no debate sobre sustentabilidade: quando se contabilizam todas as contribuições do art. 195 (COFINS, CSLL, PIS/PASEP, contribuição sobre a folha), a seguridade social pode apresentar-se superavitária; o "déficit" surge quando se considera isoladamente a contribuição sobre a folha de pagamento e se a confronta com as despesas previdenciárias, desconsiderando as demais fontes de custeio.</w:t>
      </w:r>
    </w:p>
    <w:p w14:paraId="1B17C323" w14:textId="77777777" w:rsidR="005A5FCC" w:rsidRDefault="00A21C81">
      <w:pPr>
        <w:ind w:firstLine="238"/>
      </w:pPr>
      <w:r>
        <w:rPr>
          <w:rFonts w:cs="EB Garamond"/>
          <w:kern w:val="16"/>
          <w14:ligatures w14:val="standardContextual"/>
        </w:rPr>
        <w:t>A Desvinculação de Receitas da União (DRU) intensificou esse debate. Criada pela EC 27/2000 e renovada por emendas sucessivas até a EC 93/2016, a DRU permitia ao governo federal desvincular até 30% das receitas de contribuições sociais para utilização livre, reduzindo artificialmente a receita alocada à seguridade e alimentando o discurso de déficit. A EC 132/2023 (Reforma Tributária) trouxe nova dimensão ao princípio da diversidade da base de financiamento ao promover a substituição progressiva do PIS/COFINS pela CBS (Contribuição sobre Bens e Serviços) e pelo IBS (Imposto sobre Bens e Serviços). A CBS é formalmente contribuição social vinculada ao financiamento da seguridade (art. 195, V, CF, na nova redação), mas a transição entre os dois sistemas (2026–2033) gera incertezas sobre a adequação dos recursos que serão efetivamente destinados à previdência, à saúde e à assistência social.</w:t>
      </w:r>
    </w:p>
    <w:p w14:paraId="79A5C78A" w14:textId="77777777" w:rsidR="005A5FCC" w:rsidRDefault="00A21C81">
      <w:pPr>
        <w:ind w:firstLine="238"/>
      </w:pPr>
      <w:r>
        <w:rPr>
          <w:rFonts w:cs="EB Garamond"/>
          <w:kern w:val="16"/>
          <w14:ligatures w14:val="standardContextual"/>
        </w:rPr>
        <w:t xml:space="preserve">A aplicação do princípio da diversidade da base nos JEFs é mais limitada que a dos demais princípios do art. 194, pois as controvérsias sobre a base de cálculo </w:t>
      </w:r>
      <w:r>
        <w:rPr>
          <w:rFonts w:cs="EB Garamond"/>
          <w:kern w:val="16"/>
          <w14:ligatures w14:val="standardContextual"/>
        </w:rPr>
        <w:lastRenderedPageBreak/>
        <w:t>das contribuições patronais são, em regra, de competência da Justiça Federal comum, não dos Juizados. O princípio, contudo, é relevante como argumento em ações de revisão que invoquem a capacidade financeira do sistema ou em discussões sobre a constitucionalidade de reformas que alterem as fontes de custeio. O juiz do JEF pode, legitimamente, considerar que o sistema de seguridade dispõe de base de financiamento diversificada ao afastar argumentos de defesa do INSS fundados exclusivamente na alegação de déficit. Entendemos que a análise isolada da relação entre arrecadação sobre a folha e despesas com benefícios, sem considerar as demais fontes de custeio previstas no art. 195, constitui visão parcial e metodologicamente inadequada do financiamento da seguridade. Em síntese, a diversidade da base não é apenas princípio de organização financeira: é garantia de que o sistema resista a conjunturas adversas sem comprometer a proteção dos segurados, e sua violação — seja pela desvinculação de receitas, seja pela concentração excessiva do custeio em uma única base — fragiliza estruturalmente o sistema e a sustentabilidade dos benefícios (remissão ao Cap. 4 para exame detalhado das contribuições e do orçamento da seguridade).</w:t>
      </w:r>
    </w:p>
    <w:p w14:paraId="67E4F151"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1.14 Caráter democrático e descentralizado da administração</w:t>
      </w:r>
    </w:p>
    <w:p w14:paraId="550A97C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126C8D19" w14:textId="77777777" w:rsidR="005A5FCC" w:rsidRDefault="00A21C81">
      <w:r>
        <w:rPr>
          <w:rFonts w:cs="EB Garamond"/>
          <w:kern w:val="16"/>
          <w14:ligatures w14:val="standardContextual"/>
        </w:rPr>
        <w:t xml:space="preserve"> princípio do caráter democrático e descentralizado da administração, mediante gestão quadripartite (art. 194, parágrafo único, VII, CF/88), encerra o elenco de princípios da seguridade social com uma exigência organizacional que transcende a mera estruturação administrativa: a gestão do sistema deve incorporar a participação direta dos quatro segmentos interessados: trabalhadores, empregadores, aposentados e governo. Esse princípio reflete a opção constitucional por um modelo de controle social sobre a administração da seguridade, impedindo que as decisões sobre proteção social fiquem concentradas exclusivamente nas mãos da burocracia estatal.</w:t>
      </w:r>
    </w:p>
    <w:p w14:paraId="696DC495" w14:textId="77777777" w:rsidR="005A5FCC" w:rsidRDefault="00A21C81">
      <w:pPr>
        <w:ind w:firstLine="238"/>
      </w:pPr>
      <w:r>
        <w:rPr>
          <w:rFonts w:cs="EB Garamond"/>
          <w:kern w:val="16"/>
          <w14:ligatures w14:val="standardContextual"/>
        </w:rPr>
        <w:t xml:space="preserve">A materialização institucional desse princípio se dá por meio de conselhos deliberativos e consultivos em cada vertente da seguridade. O Conselho Nacional </w:t>
      </w:r>
      <w:r>
        <w:rPr>
          <w:rFonts w:cs="EB Garamond"/>
          <w:kern w:val="16"/>
          <w14:ligatures w14:val="standardContextual"/>
        </w:rPr>
        <w:lastRenderedPageBreak/>
        <w:t>de Previdência Social (CNPS), previsto no art. 3º da Lei 8.213/91, é o órgão colegiado de gestão quadripartite da previdência social, composto por seis representantes do governo e nove representantes da sociedade (três trabalhadores, três empregadores, três aposentados e pensionistas). O CNPS tem competência para acompanhar e avaliar a gestão do RGPS, apreciar e aprovar as propostas orçamentárias e propor políticas de previdência social. A saúde conta com o Conselho Nacional de Saúde (CNS), de gestão participativa, e a assistência social com o Conselho Nacional de Assistência Social (CNAS), igualmente de composição quadripartite. A existência desses conselhos expressa a compreensão constitucional de que a proteção social não é assunto exclusivo do governo: todos os atores envolvidos, os que financiam, os que se beneficiam e os que administram, devem participar das decisões sobre o sistema.</w:t>
      </w:r>
    </w:p>
    <w:p w14:paraId="331B736D" w14:textId="77777777" w:rsidR="005A5FCC" w:rsidRDefault="00A21C81">
      <w:pPr>
        <w:ind w:firstLine="238"/>
      </w:pPr>
      <w:r>
        <w:rPr>
          <w:rFonts w:cs="EB Garamond"/>
          <w:kern w:val="16"/>
          <w14:ligatures w14:val="standardContextual"/>
        </w:rPr>
        <w:t>A descentralização constitui a segunda dimensão do princípio. O INSS opera com estrutura capilarizada, compreendendo mais de 1.500 Agências da Previdência Social (APS) distribuídas pelo território nacional. A descentralização é princípio organizacional, não federativo: o RGPS é regime federal, gerido pela União, mas o atendimento ao segurado deve ser descentralizado para alcançá-lo onde ele está. Essa exigência enfrenta, na atualidade, tensão significativa com o movimento de digitalização dos serviços previdenciários. A plataforma Meu INSS e o sistema Atestmed concentram a análise de requerimentos em servidores lotados nas Centrais de Análise de Benefícios, fisicamente distantes do segurado. A eficiência operacional obtida pela centralização digital, redução de filas, padronização de decisões, celeridade na concessão, convive com a preocupação de que o segurado perca o contato direto com o servidor que decide seu requerimento. A jurisprudência dos JEFs reflete essa tensão: ações que questionam indeferimentos administrativos baseados em análise documental remota, sem contato com o segurado, multiplicam-se nas pautas dos Juizados.</w:t>
      </w:r>
    </w:p>
    <w:p w14:paraId="3F27FAA2" w14:textId="77777777" w:rsidR="005A5FCC" w:rsidRDefault="00A21C81">
      <w:pPr>
        <w:ind w:firstLine="238"/>
      </w:pPr>
      <w:r>
        <w:rPr>
          <w:rFonts w:cs="EB Garamond"/>
          <w:kern w:val="16"/>
          <w14:ligatures w14:val="standardContextual"/>
        </w:rPr>
        <w:t xml:space="preserve">A gestão democrática fundamenta o dever de transparência do INSS perante o segurado. Entendemos que desse princípio decorre o direito de acesso ao processo administrativo, aos critérios de decisão empregados pela autarquia e aos dados registrados no Cadastro Nacional de Informações Sociais (CNIS). Quando o INSS indefere benefício com base em informação do CNIS divergente da realidade contributiva do segurado, a transparência impõe que a autarquia forneça </w:t>
      </w:r>
      <w:r>
        <w:rPr>
          <w:rFonts w:cs="EB Garamond"/>
          <w:kern w:val="16"/>
          <w14:ligatures w14:val="standardContextual"/>
        </w:rPr>
        <w:lastRenderedPageBreak/>
        <w:t>ao segurado os elementos que fundamentaram a decisão, permitindo-lhe exercer o contraditório administrativo. Essa exigência ganha contornos concretos no contexto da automação crescente dos processos de concessão: quando algoritmos e sistemas informatizados processam requerimentos de benefícios, o segurado tem o direito de conhecer os critérios que levaram ao indeferimento, sob pena de a digitalização converter-se em obstáculo ao exercício de direitos (remissão ao Cap. 22, seção 22.4, para o tratamento do processo administrativo previdenciário).</w:t>
      </w:r>
    </w:p>
    <w:p w14:paraId="7BC6F11D" w14:textId="77777777" w:rsidR="005A5FCC" w:rsidRDefault="00A21C81">
      <w:pPr>
        <w:ind w:firstLine="238"/>
      </w:pPr>
      <w:r>
        <w:rPr>
          <w:rFonts w:cs="EB Garamond"/>
          <w:kern w:val="16"/>
          <w14:ligatures w14:val="standardContextual"/>
        </w:rPr>
        <w:t>A ausência de controle social efetivo sobre o INSS, aliada ao funcionamento intermitente do CNPS e à sua reduzida visibilidade pública, é tema recorrente na doutrina previdenciária. Sustentamos que o déficit de participação social na gestão do RGPS não se resolve apenas pela existência formal de conselhos: é necessário que esses órgãos funcionem de modo regular, com pauta deliberativa efetiva, acesso a dados atuariais e capacidade real de influenciar as políticas de concessão e manutenção de benefícios. Na esfera judicial, o princípio democrático fundamenta a participação de entidades de classe como amicus curiae em processos previdenciários de repercussão geral, ampliando o debate sobre questões que afetam coletivamente os segurados e contribuindo para decisões mais informadas e legítimas. O princípio democrático também reforça a legitimidade dos JEFs como instância de controle da atuação administrativa do INSS: ao julgar ações individuais, o juiz federal exerce, em certa medida, função de controle democrático sobre a administração previdenciária, assegurando que os direitos dos segurados sejam efetivamente respeitados pela autarquia gestora do sistema.</w:t>
      </w:r>
    </w:p>
    <w:p w14:paraId="1A1CE4B1"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1.15 Art. 201 da CF/88: a previdência social como regime geral contributivo</w:t>
      </w:r>
    </w:p>
    <w:p w14:paraId="617E173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3D4D8CAC" w14:textId="77777777" w:rsidR="005A5FCC" w:rsidRDefault="00A21C81">
      <w:r>
        <w:rPr>
          <w:rFonts w:cs="EB Garamond"/>
          <w:kern w:val="16"/>
          <w14:ligatures w14:val="standardContextual"/>
        </w:rPr>
        <w:t xml:space="preserve"> previdência social ocupa posição singular dentro da seguridade social desenhada pela Constituição de 1988. Enquanto a saúde (arts. 196-200) opera sob lógica universal e não contributiva, e a assistência social (arts. 203-204) destina-se a quem dela necessitar independentemente de qualquer con</w:t>
      </w:r>
      <w:r>
        <w:rPr>
          <w:rFonts w:cs="EB Garamond"/>
          <w:kern w:val="16"/>
          <w14:ligatures w14:val="standardContextual"/>
        </w:rPr>
        <w:lastRenderedPageBreak/>
        <w:t>tribuição prévia, a previdência organiza-se como seguro social de caráter contributivo e filiação obrigatória. O art. 201, caput, da CF/88, com a redação conferida pela EC 20/1998, estabelece que a previdência social será organizada sob a forma de regime geral, de caráter contributivo e de filiação obrigatória, observados critérios que preservem o equilíbrio financeiro e atuarial. Essa formulação condensa, em um único dispositivo, os três pilares que sustentam o RGPS: contributividade, obrigatoriedade e sustentabilidade.</w:t>
      </w:r>
    </w:p>
    <w:p w14:paraId="631A6757" w14:textId="77777777" w:rsidR="005A5FCC" w:rsidRDefault="00A21C81">
      <w:pPr>
        <w:ind w:firstLine="238"/>
      </w:pPr>
      <w:r>
        <w:rPr>
          <w:rFonts w:cs="EB Garamond"/>
          <w:kern w:val="16"/>
          <w14:ligatures w14:val="standardContextual"/>
        </w:rPr>
        <w:t>O RGPS opera por repartição simples. A instituição de um regime de capitalização, prevista na redação original da PEC 6/2019, foi retirada durante a tramitação e não integrou o texto promulgado da EC 103/2019. O RGPS permanece, em 2026, exclusivamente como regime de repartição simples, e a solidariedade intergeracional que o sustenta é ao mesmo tempo sua maior força institucional e sua principal vulnerabilidade demográfica.</w:t>
      </w:r>
    </w:p>
    <w:p w14:paraId="06FB720A" w14:textId="77777777" w:rsidR="005A5FCC" w:rsidRDefault="00A21C81">
      <w:pPr>
        <w:ind w:firstLine="238"/>
      </w:pPr>
      <w:r>
        <w:rPr>
          <w:rFonts w:cs="EB Garamond"/>
          <w:kern w:val="16"/>
          <w14:ligatures w14:val="standardContextual"/>
        </w:rPr>
        <w:t>A relação jurídica previdenciária nasce com a filiação, que se opera automaticamente pelo exercício de atividade remunerada abrangida pelo RGPS (art. 11, Lei 8.213/91). A inscrição formal junto ao INSS é ato declaratório, não constitutivo: o vínculo previdenciário preexiste ao cadastro administrativo. Essa distinção tem consequências diretas na prática dos Juizados Especiais Federais, especialmente quando o segurado comprova atividade laborativa sem que o empregador tenha procedido à inscrição ou ao recolhimento das contribuições. A contribuição, por sua vez, é prestação pecuniária que condiciona o acesso aos benefícios, e o benefício é a contraprestação devida pelo RGPS quando se materializa o risco social coberto. O detalhamento das categorias de segurados está no Cap. 2; o regime das contribuições, no Cap. 4.</w:t>
      </w:r>
    </w:p>
    <w:p w14:paraId="77529FA7" w14:textId="77777777" w:rsidR="005A5FCC" w:rsidRDefault="00A21C81">
      <w:pPr>
        <w:ind w:firstLine="238"/>
      </w:pPr>
      <w:r>
        <w:rPr>
          <w:rFonts w:cs="EB Garamond"/>
          <w:kern w:val="16"/>
          <w14:ligatures w14:val="standardContextual"/>
        </w:rPr>
        <w:t>O art. 201 elenca os riscos sociais cobertos pelo RGPS: incapacidade temporária ou permanente para o trabalho (inciso I), idade avançada (inciso II), morte e reclusão do segurado (inciso III), proteção à maternidade (inciso IV) e desemprego involuntário (inciso V, administrado fora do INSS). Cada um desses riscos corresponde a um ou mais benefícios em espécie, tratados nos capítulos específicos desta obra (Caps. 6-16). O regime geral é complementado pela previdência complementar do art. 202 da Constituição. Essa previdência, de natureza facultativa, opera em regime de capitalização por entidades fechadas e abertas e não integra o objeto deste livro.</w:t>
      </w:r>
    </w:p>
    <w:p w14:paraId="37C3C873" w14:textId="77777777" w:rsidR="005A5FCC" w:rsidRDefault="00A21C81">
      <w:pPr>
        <w:ind w:firstLine="238"/>
      </w:pPr>
      <w:r>
        <w:rPr>
          <w:rFonts w:cs="EB Garamond"/>
          <w:kern w:val="16"/>
          <w14:ligatures w14:val="standardContextual"/>
        </w:rPr>
        <w:lastRenderedPageBreak/>
        <w:t>A compreensão da arquitetura do art. 201 é indispensável para a atuação nos JEFs e pressupõe situar o RGPS no conjunto dos regimes previdenciários brasileiros. Convivem no país, além do Regime Geral (RGPS), os Regimes Próprios de Previdência Social (RPPS) dos servidores efetivos (art. 40, CF), o Regime de Previdência Complementar (RPC), de caráter facultativo e capitalização (art. 202, CF), e o sistema protetivo dos militares (art. 142, § 3º, X, CF). A distinção entre o RGPS — contributivo, obrigatório, de repartição simples, administrado pelo INSS — e esses demais regimes define competências, legitima partes e delimita o objeto das ações nos JEFs. Adotamos, ao longo de toda a obra, a premissa de que o RGPS é o regime geral e residual: todo trabalhador que exerce atividade remunerada e não está vinculado a regime próprio de previdência (RPPS) é, por definição, segurado do RGPS. O Quadro 1.2 sintetiza os regimes em vigor.</w:t>
      </w:r>
    </w:p>
    <w:tbl>
      <w:tblPr>
        <w:tblW w:w="5000" w:type="pct"/>
        <w:jc w:val="center"/>
        <w:tblLayout w:type="fixed"/>
        <w:tblLook w:val="04A0" w:firstRow="1" w:lastRow="0" w:firstColumn="1" w:lastColumn="0" w:noHBand="0" w:noVBand="1"/>
      </w:tblPr>
      <w:tblGrid>
        <w:gridCol w:w="6311"/>
      </w:tblGrid>
      <w:tr w:rsidR="005A5FCC" w14:paraId="7057E018" w14:textId="77777777">
        <w:trPr>
          <w:cantSplit/>
          <w:jc w:val="center"/>
        </w:trPr>
        <w:tc>
          <w:tcPr>
            <w:tcW w:w="6350" w:type="dxa"/>
            <w:tcBorders>
              <w:top w:val="single" w:sz="7" w:space="0" w:color="A09882"/>
              <w:left w:val="single" w:sz="24" w:space="0" w:color="6B6256"/>
              <w:bottom w:val="single" w:sz="7" w:space="0" w:color="A09882"/>
              <w:right w:val="single" w:sz="7" w:space="0" w:color="A09882"/>
            </w:tcBorders>
            <w:shd w:val="clear" w:color="auto" w:fill="F5F3EF"/>
            <w:tcMar>
              <w:top w:w="150" w:type="dxa"/>
              <w:left w:w="220" w:type="dxa"/>
              <w:bottom w:w="150" w:type="dxa"/>
              <w:right w:w="180" w:type="dxa"/>
            </w:tcMar>
          </w:tcPr>
          <w:p w14:paraId="6CEDA423" w14:textId="77777777" w:rsidR="005A5FCC" w:rsidRDefault="00A21C81">
            <w:pPr>
              <w:spacing w:after="60" w:line="240" w:lineRule="auto"/>
              <w:jc w:val="left"/>
            </w:pPr>
            <w:r>
              <w:rPr>
                <w:rFonts w:ascii="Noto Sans" w:hAnsi="Noto Sans" w:cs="Noto Sans"/>
                <w:b/>
                <w:caps/>
                <w:color w:val="6B6256"/>
                <w:kern w:val="16"/>
                <w:sz w:val="16"/>
                <w14:ligatures w14:val="standardContextual"/>
              </w:rPr>
              <w:t>QUADRO</w:t>
            </w:r>
          </w:p>
          <w:p w14:paraId="73BED40A" w14:textId="77777777" w:rsidR="005A5FCC" w:rsidRDefault="00A21C81">
            <w:pPr>
              <w:spacing w:after="60" w:line="247" w:lineRule="auto"/>
            </w:pPr>
            <w:r>
              <w:rPr>
                <w:rFonts w:cs="EB Garamond"/>
                <w:b/>
                <w:kern w:val="16"/>
                <w:sz w:val="19"/>
                <w14:ligatures w14:val="standardContextual"/>
              </w:rPr>
              <w:t>Quadro 1.2 — Regimes previdenciários no Brasil</w:t>
            </w:r>
          </w:p>
          <w:tbl>
            <w:tblPr>
              <w:tblW w:w="5000" w:type="pct"/>
              <w:jc w:val="center"/>
              <w:tblLook w:val="04A0" w:firstRow="1" w:lastRow="0" w:firstColumn="1" w:lastColumn="0" w:noHBand="0" w:noVBand="1"/>
            </w:tblPr>
            <w:tblGrid>
              <w:gridCol w:w="1181"/>
              <w:gridCol w:w="1180"/>
              <w:gridCol w:w="1180"/>
              <w:gridCol w:w="1180"/>
              <w:gridCol w:w="1180"/>
            </w:tblGrid>
            <w:tr w:rsidR="005A5FCC" w14:paraId="314EF932" w14:textId="77777777">
              <w:trPr>
                <w:tblHeader/>
                <w:jc w:val="center"/>
              </w:trPr>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7AD97140" w14:textId="77777777" w:rsidR="005A5FCC" w:rsidRDefault="00A21C81">
                  <w:pPr>
                    <w:spacing w:before="30" w:after="30" w:line="240" w:lineRule="auto"/>
                    <w:jc w:val="center"/>
                  </w:pPr>
                  <w:r>
                    <w:rPr>
                      <w:rFonts w:cs="EB Garamond"/>
                      <w:b/>
                      <w:color w:val="2F2923"/>
                      <w:kern w:val="16"/>
                      <w:sz w:val="16"/>
                      <w14:ligatures w14:val="standardContextual"/>
                    </w:rPr>
                    <w:t>Regime</w:t>
                  </w:r>
                </w:p>
              </w:tc>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02DA9A91" w14:textId="77777777" w:rsidR="005A5FCC" w:rsidRDefault="00A21C81">
                  <w:pPr>
                    <w:spacing w:before="30" w:after="30" w:line="240" w:lineRule="auto"/>
                    <w:jc w:val="center"/>
                  </w:pPr>
                  <w:r>
                    <w:rPr>
                      <w:rFonts w:cs="EB Garamond"/>
                      <w:b/>
                      <w:color w:val="2F2923"/>
                      <w:kern w:val="16"/>
                      <w:sz w:val="16"/>
                      <w14:ligatures w14:val="standardContextual"/>
                    </w:rPr>
                    <w:t>Base legal</w:t>
                  </w:r>
                </w:p>
              </w:tc>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176858F6" w14:textId="77777777" w:rsidR="005A5FCC" w:rsidRDefault="00A21C81">
                  <w:pPr>
                    <w:spacing w:before="30" w:after="30" w:line="240" w:lineRule="auto"/>
                    <w:jc w:val="center"/>
                  </w:pPr>
                  <w:r>
                    <w:rPr>
                      <w:rFonts w:cs="EB Garamond"/>
                      <w:b/>
                      <w:color w:val="2F2923"/>
                      <w:kern w:val="16"/>
                      <w:sz w:val="16"/>
                      <w14:ligatures w14:val="standardContextual"/>
                    </w:rPr>
                    <w:t>Beneficiários</w:t>
                  </w:r>
                </w:p>
              </w:tc>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19299643" w14:textId="77777777" w:rsidR="005A5FCC" w:rsidRDefault="00A21C81">
                  <w:pPr>
                    <w:spacing w:before="30" w:after="30" w:line="240" w:lineRule="auto"/>
                    <w:jc w:val="center"/>
                  </w:pPr>
                  <w:r>
                    <w:rPr>
                      <w:rFonts w:cs="EB Garamond"/>
                      <w:b/>
                      <w:color w:val="2F2923"/>
                      <w:kern w:val="16"/>
                      <w:sz w:val="16"/>
                      <w14:ligatures w14:val="standardContextual"/>
                    </w:rPr>
                    <w:t>Caráter</w:t>
                  </w:r>
                </w:p>
              </w:tc>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6B7637FE" w14:textId="77777777" w:rsidR="005A5FCC" w:rsidRDefault="00A21C81">
                  <w:pPr>
                    <w:spacing w:before="30" w:after="30" w:line="240" w:lineRule="auto"/>
                    <w:jc w:val="center"/>
                  </w:pPr>
                  <w:r>
                    <w:rPr>
                      <w:rFonts w:cs="EB Garamond"/>
                      <w:b/>
                      <w:color w:val="2F2923"/>
                      <w:kern w:val="16"/>
                      <w:sz w:val="16"/>
                      <w14:ligatures w14:val="standardContextual"/>
                    </w:rPr>
                    <w:t>Gestão</w:t>
                  </w:r>
                </w:p>
              </w:tc>
            </w:tr>
            <w:tr w:rsidR="005A5FCC" w14:paraId="5CDF6474"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3DBAB8A0" w14:textId="77777777" w:rsidR="005A5FCC" w:rsidRDefault="00A21C81">
                  <w:pPr>
                    <w:spacing w:before="20" w:after="20" w:line="240" w:lineRule="auto"/>
                    <w:jc w:val="left"/>
                  </w:pPr>
                  <w:r>
                    <w:rPr>
                      <w:rFonts w:cs="EB Garamond"/>
                      <w:kern w:val="16"/>
                      <w:sz w:val="16"/>
                      <w14:ligatures w14:val="standardContextual"/>
                    </w:rPr>
                    <w:t>RGPS</w:t>
                  </w:r>
                </w:p>
              </w:tc>
              <w:tc>
                <w:tcPr>
                  <w:tcW w:w="1270" w:type="dxa"/>
                  <w:tcBorders>
                    <w:top w:val="single" w:sz="4" w:space="0" w:color="D2C9B8"/>
                    <w:left w:val="single" w:sz="4" w:space="0" w:color="D2C9B8"/>
                    <w:bottom w:val="single" w:sz="4" w:space="0" w:color="D2C9B8"/>
                    <w:right w:val="single" w:sz="4" w:space="0" w:color="D2C9B8"/>
                  </w:tcBorders>
                </w:tcPr>
                <w:p w14:paraId="3F499436" w14:textId="77777777" w:rsidR="005A5FCC" w:rsidRDefault="00A21C81">
                  <w:pPr>
                    <w:spacing w:before="20" w:after="20" w:line="240" w:lineRule="auto"/>
                    <w:jc w:val="left"/>
                  </w:pPr>
                  <w:r>
                    <w:rPr>
                      <w:rFonts w:cs="EB Garamond"/>
                      <w:kern w:val="16"/>
                      <w:sz w:val="16"/>
                      <w14:ligatures w14:val="standardContextual"/>
                    </w:rPr>
                    <w:t>Art. 201, CF; Lei 8.213/91</w:t>
                  </w:r>
                </w:p>
              </w:tc>
              <w:tc>
                <w:tcPr>
                  <w:tcW w:w="1270" w:type="dxa"/>
                  <w:tcBorders>
                    <w:top w:val="single" w:sz="4" w:space="0" w:color="D2C9B8"/>
                    <w:left w:val="single" w:sz="4" w:space="0" w:color="D2C9B8"/>
                    <w:bottom w:val="single" w:sz="4" w:space="0" w:color="D2C9B8"/>
                    <w:right w:val="single" w:sz="4" w:space="0" w:color="D2C9B8"/>
                  </w:tcBorders>
                </w:tcPr>
                <w:p w14:paraId="04C7BD67" w14:textId="77777777" w:rsidR="005A5FCC" w:rsidRDefault="00A21C81">
                  <w:pPr>
                    <w:spacing w:before="20" w:after="20" w:line="240" w:lineRule="auto"/>
                    <w:jc w:val="left"/>
                  </w:pPr>
                  <w:r>
                    <w:rPr>
                      <w:rFonts w:cs="EB Garamond"/>
                      <w:kern w:val="16"/>
                      <w:sz w:val="16"/>
                      <w14:ligatures w14:val="standardContextual"/>
                    </w:rPr>
                    <w:t>Trabalhadores da iniciativa privada, empregados públicos celetistas</w:t>
                  </w:r>
                </w:p>
              </w:tc>
              <w:tc>
                <w:tcPr>
                  <w:tcW w:w="1270" w:type="dxa"/>
                  <w:tcBorders>
                    <w:top w:val="single" w:sz="4" w:space="0" w:color="D2C9B8"/>
                    <w:left w:val="single" w:sz="4" w:space="0" w:color="D2C9B8"/>
                    <w:bottom w:val="single" w:sz="4" w:space="0" w:color="D2C9B8"/>
                    <w:right w:val="single" w:sz="4" w:space="0" w:color="D2C9B8"/>
                  </w:tcBorders>
                </w:tcPr>
                <w:p w14:paraId="7DB9CD77" w14:textId="77777777" w:rsidR="005A5FCC" w:rsidRDefault="00A21C81">
                  <w:pPr>
                    <w:spacing w:before="20" w:after="20" w:line="240" w:lineRule="auto"/>
                    <w:jc w:val="left"/>
                  </w:pPr>
                  <w:r>
                    <w:rPr>
                      <w:rFonts w:cs="EB Garamond"/>
                      <w:kern w:val="16"/>
                      <w:sz w:val="16"/>
                      <w14:ligatures w14:val="standardContextual"/>
                    </w:rPr>
                    <w:t>Contributivo, obrigatório, repartição simples</w:t>
                  </w:r>
                </w:p>
              </w:tc>
              <w:tc>
                <w:tcPr>
                  <w:tcW w:w="1270" w:type="dxa"/>
                  <w:tcBorders>
                    <w:top w:val="single" w:sz="4" w:space="0" w:color="D2C9B8"/>
                    <w:left w:val="single" w:sz="4" w:space="0" w:color="D2C9B8"/>
                    <w:bottom w:val="single" w:sz="4" w:space="0" w:color="D2C9B8"/>
                    <w:right w:val="single" w:sz="4" w:space="0" w:color="D2C9B8"/>
                  </w:tcBorders>
                </w:tcPr>
                <w:p w14:paraId="5C0C3F25" w14:textId="77777777" w:rsidR="005A5FCC" w:rsidRDefault="00A21C81">
                  <w:pPr>
                    <w:spacing w:before="20" w:after="20" w:line="240" w:lineRule="auto"/>
                    <w:jc w:val="left"/>
                  </w:pPr>
                  <w:r>
                    <w:rPr>
                      <w:rFonts w:cs="EB Garamond"/>
                      <w:kern w:val="16"/>
                      <w:sz w:val="16"/>
                      <w14:ligatures w14:val="standardContextual"/>
                    </w:rPr>
                    <w:t>INSS (União)</w:t>
                  </w:r>
                </w:p>
              </w:tc>
            </w:tr>
            <w:tr w:rsidR="005A5FCC" w14:paraId="44531AB3"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011D9335" w14:textId="77777777" w:rsidR="005A5FCC" w:rsidRDefault="00A21C81">
                  <w:pPr>
                    <w:spacing w:before="20" w:after="20" w:line="240" w:lineRule="auto"/>
                    <w:jc w:val="left"/>
                  </w:pPr>
                  <w:r>
                    <w:rPr>
                      <w:rFonts w:cs="EB Garamond"/>
                      <w:kern w:val="16"/>
                      <w:sz w:val="16"/>
                      <w14:ligatures w14:val="standardContextual"/>
                    </w:rPr>
                    <w:t>RPPS</w:t>
                  </w:r>
                </w:p>
              </w:tc>
              <w:tc>
                <w:tcPr>
                  <w:tcW w:w="1270" w:type="dxa"/>
                  <w:tcBorders>
                    <w:top w:val="single" w:sz="4" w:space="0" w:color="D2C9B8"/>
                    <w:left w:val="single" w:sz="4" w:space="0" w:color="D2C9B8"/>
                    <w:bottom w:val="single" w:sz="4" w:space="0" w:color="D2C9B8"/>
                    <w:right w:val="single" w:sz="4" w:space="0" w:color="D2C9B8"/>
                  </w:tcBorders>
                </w:tcPr>
                <w:p w14:paraId="66A4FC4B" w14:textId="77777777" w:rsidR="005A5FCC" w:rsidRDefault="00A21C81">
                  <w:pPr>
                    <w:spacing w:before="20" w:after="20" w:line="240" w:lineRule="auto"/>
                    <w:jc w:val="left"/>
                  </w:pPr>
                  <w:r>
                    <w:rPr>
                      <w:rFonts w:cs="EB Garamond"/>
                      <w:kern w:val="16"/>
                      <w:sz w:val="16"/>
                      <w14:ligatures w14:val="standardContextual"/>
                    </w:rPr>
                    <w:t>Art. 40, CF; leis de cada ente</w:t>
                  </w:r>
                </w:p>
              </w:tc>
              <w:tc>
                <w:tcPr>
                  <w:tcW w:w="1270" w:type="dxa"/>
                  <w:tcBorders>
                    <w:top w:val="single" w:sz="4" w:space="0" w:color="D2C9B8"/>
                    <w:left w:val="single" w:sz="4" w:space="0" w:color="D2C9B8"/>
                    <w:bottom w:val="single" w:sz="4" w:space="0" w:color="D2C9B8"/>
                    <w:right w:val="single" w:sz="4" w:space="0" w:color="D2C9B8"/>
                  </w:tcBorders>
                </w:tcPr>
                <w:p w14:paraId="626FB13F" w14:textId="77777777" w:rsidR="005A5FCC" w:rsidRDefault="00A21C81">
                  <w:pPr>
                    <w:spacing w:before="20" w:after="20" w:line="240" w:lineRule="auto"/>
                    <w:jc w:val="left"/>
                  </w:pPr>
                  <w:r>
                    <w:rPr>
                      <w:rFonts w:cs="EB Garamond"/>
                      <w:kern w:val="16"/>
                      <w:sz w:val="16"/>
                      <w14:ligatures w14:val="standardContextual"/>
                    </w:rPr>
                    <w:t>Servidores públicos efetivos</w:t>
                  </w:r>
                </w:p>
              </w:tc>
              <w:tc>
                <w:tcPr>
                  <w:tcW w:w="1270" w:type="dxa"/>
                  <w:tcBorders>
                    <w:top w:val="single" w:sz="4" w:space="0" w:color="D2C9B8"/>
                    <w:left w:val="single" w:sz="4" w:space="0" w:color="D2C9B8"/>
                    <w:bottom w:val="single" w:sz="4" w:space="0" w:color="D2C9B8"/>
                    <w:right w:val="single" w:sz="4" w:space="0" w:color="D2C9B8"/>
                  </w:tcBorders>
                </w:tcPr>
                <w:p w14:paraId="71EFA7AF" w14:textId="77777777" w:rsidR="005A5FCC" w:rsidRDefault="00A21C81">
                  <w:pPr>
                    <w:spacing w:before="20" w:after="20" w:line="240" w:lineRule="auto"/>
                    <w:jc w:val="left"/>
                  </w:pPr>
                  <w:r>
                    <w:rPr>
                      <w:rFonts w:cs="EB Garamond"/>
                      <w:kern w:val="16"/>
                      <w:sz w:val="16"/>
                      <w14:ligatures w14:val="standardContextual"/>
                    </w:rPr>
                    <w:t>Contributivo, obrigatório, repartição simples</w:t>
                  </w:r>
                </w:p>
              </w:tc>
              <w:tc>
                <w:tcPr>
                  <w:tcW w:w="1270" w:type="dxa"/>
                  <w:tcBorders>
                    <w:top w:val="single" w:sz="4" w:space="0" w:color="D2C9B8"/>
                    <w:left w:val="single" w:sz="4" w:space="0" w:color="D2C9B8"/>
                    <w:bottom w:val="single" w:sz="4" w:space="0" w:color="D2C9B8"/>
                    <w:right w:val="single" w:sz="4" w:space="0" w:color="D2C9B8"/>
                  </w:tcBorders>
                </w:tcPr>
                <w:p w14:paraId="1200D0B3" w14:textId="77777777" w:rsidR="005A5FCC" w:rsidRDefault="00A21C81">
                  <w:pPr>
                    <w:spacing w:before="20" w:after="20" w:line="240" w:lineRule="auto"/>
                    <w:jc w:val="left"/>
                  </w:pPr>
                  <w:r>
                    <w:rPr>
                      <w:rFonts w:cs="EB Garamond"/>
                      <w:kern w:val="16"/>
                      <w:sz w:val="16"/>
                      <w14:ligatures w14:val="standardContextual"/>
                    </w:rPr>
                    <w:t>Cada ente federativo</w:t>
                  </w:r>
                </w:p>
              </w:tc>
            </w:tr>
            <w:tr w:rsidR="005A5FCC" w14:paraId="43C813A5"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43341D4B" w14:textId="77777777" w:rsidR="005A5FCC" w:rsidRDefault="00A21C81">
                  <w:pPr>
                    <w:spacing w:before="20" w:after="20" w:line="240" w:lineRule="auto"/>
                    <w:jc w:val="left"/>
                  </w:pPr>
                  <w:r>
                    <w:rPr>
                      <w:rFonts w:cs="EB Garamond"/>
                      <w:kern w:val="16"/>
                      <w:sz w:val="16"/>
                      <w14:ligatures w14:val="standardContextual"/>
                    </w:rPr>
                    <w:t>RPC</w:t>
                  </w:r>
                </w:p>
              </w:tc>
              <w:tc>
                <w:tcPr>
                  <w:tcW w:w="1270" w:type="dxa"/>
                  <w:tcBorders>
                    <w:top w:val="single" w:sz="4" w:space="0" w:color="D2C9B8"/>
                    <w:left w:val="single" w:sz="4" w:space="0" w:color="D2C9B8"/>
                    <w:bottom w:val="single" w:sz="4" w:space="0" w:color="D2C9B8"/>
                    <w:right w:val="single" w:sz="4" w:space="0" w:color="D2C9B8"/>
                  </w:tcBorders>
                </w:tcPr>
                <w:p w14:paraId="41549F09" w14:textId="77777777" w:rsidR="005A5FCC" w:rsidRDefault="00A21C81">
                  <w:pPr>
                    <w:spacing w:before="20" w:after="20" w:line="240" w:lineRule="auto"/>
                    <w:jc w:val="left"/>
                  </w:pPr>
                  <w:r>
                    <w:rPr>
                      <w:rFonts w:cs="EB Garamond"/>
                      <w:kern w:val="16"/>
                      <w:sz w:val="16"/>
                      <w14:ligatures w14:val="standardContextual"/>
                    </w:rPr>
                    <w:t>Art. 202, CF; LC 108 e 109/2001</w:t>
                  </w:r>
                </w:p>
              </w:tc>
              <w:tc>
                <w:tcPr>
                  <w:tcW w:w="1270" w:type="dxa"/>
                  <w:tcBorders>
                    <w:top w:val="single" w:sz="4" w:space="0" w:color="D2C9B8"/>
                    <w:left w:val="single" w:sz="4" w:space="0" w:color="D2C9B8"/>
                    <w:bottom w:val="single" w:sz="4" w:space="0" w:color="D2C9B8"/>
                    <w:right w:val="single" w:sz="4" w:space="0" w:color="D2C9B8"/>
                  </w:tcBorders>
                </w:tcPr>
                <w:p w14:paraId="6665FF79" w14:textId="77777777" w:rsidR="005A5FCC" w:rsidRDefault="00A21C81">
                  <w:pPr>
                    <w:spacing w:before="20" w:after="20" w:line="240" w:lineRule="auto"/>
                    <w:jc w:val="left"/>
                  </w:pPr>
                  <w:r>
                    <w:rPr>
                      <w:rFonts w:cs="EB Garamond"/>
                      <w:kern w:val="16"/>
                      <w:sz w:val="16"/>
                      <w14:ligatures w14:val="standardContextual"/>
                    </w:rPr>
                    <w:t>Qualquer pessoa (complementar)</w:t>
                  </w:r>
                </w:p>
              </w:tc>
              <w:tc>
                <w:tcPr>
                  <w:tcW w:w="1270" w:type="dxa"/>
                  <w:tcBorders>
                    <w:top w:val="single" w:sz="4" w:space="0" w:color="D2C9B8"/>
                    <w:left w:val="single" w:sz="4" w:space="0" w:color="D2C9B8"/>
                    <w:bottom w:val="single" w:sz="4" w:space="0" w:color="D2C9B8"/>
                    <w:right w:val="single" w:sz="4" w:space="0" w:color="D2C9B8"/>
                  </w:tcBorders>
                </w:tcPr>
                <w:p w14:paraId="7206B1AD" w14:textId="77777777" w:rsidR="005A5FCC" w:rsidRDefault="00A21C81">
                  <w:pPr>
                    <w:spacing w:before="20" w:after="20" w:line="240" w:lineRule="auto"/>
                    <w:jc w:val="left"/>
                  </w:pPr>
                  <w:r>
                    <w:rPr>
                      <w:rFonts w:cs="EB Garamond"/>
                      <w:kern w:val="16"/>
                      <w:sz w:val="16"/>
                      <w14:ligatures w14:val="standardContextual"/>
                    </w:rPr>
                    <w:t>Contributivo, facultativo, capitalização</w:t>
                  </w:r>
                </w:p>
              </w:tc>
              <w:tc>
                <w:tcPr>
                  <w:tcW w:w="1270" w:type="dxa"/>
                  <w:tcBorders>
                    <w:top w:val="single" w:sz="4" w:space="0" w:color="D2C9B8"/>
                    <w:left w:val="single" w:sz="4" w:space="0" w:color="D2C9B8"/>
                    <w:bottom w:val="single" w:sz="4" w:space="0" w:color="D2C9B8"/>
                    <w:right w:val="single" w:sz="4" w:space="0" w:color="D2C9B8"/>
                  </w:tcBorders>
                </w:tcPr>
                <w:p w14:paraId="05DB2932" w14:textId="77777777" w:rsidR="005A5FCC" w:rsidRDefault="00A21C81">
                  <w:pPr>
                    <w:spacing w:before="20" w:after="20" w:line="240" w:lineRule="auto"/>
                    <w:jc w:val="left"/>
                  </w:pPr>
                  <w:r>
                    <w:rPr>
                      <w:rFonts w:cs="EB Garamond"/>
                      <w:kern w:val="16"/>
                      <w:sz w:val="16"/>
                      <w14:ligatures w14:val="standardContextual"/>
                    </w:rPr>
                    <w:t>Entidades abertas e fechadas</w:t>
                  </w:r>
                </w:p>
              </w:tc>
            </w:tr>
            <w:tr w:rsidR="005A5FCC" w14:paraId="1804C85D"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6DA6686C" w14:textId="77777777" w:rsidR="005A5FCC" w:rsidRDefault="00A21C81">
                  <w:pPr>
                    <w:spacing w:before="20" w:after="20" w:line="240" w:lineRule="auto"/>
                    <w:jc w:val="left"/>
                  </w:pPr>
                  <w:r>
                    <w:rPr>
                      <w:rFonts w:cs="EB Garamond"/>
                      <w:kern w:val="16"/>
                      <w:sz w:val="16"/>
                      <w14:ligatures w14:val="standardContextual"/>
                    </w:rPr>
                    <w:t>RPPM</w:t>
                  </w:r>
                </w:p>
              </w:tc>
              <w:tc>
                <w:tcPr>
                  <w:tcW w:w="1270" w:type="dxa"/>
                  <w:tcBorders>
                    <w:top w:val="single" w:sz="4" w:space="0" w:color="D2C9B8"/>
                    <w:left w:val="single" w:sz="4" w:space="0" w:color="D2C9B8"/>
                    <w:bottom w:val="single" w:sz="4" w:space="0" w:color="D2C9B8"/>
                    <w:right w:val="single" w:sz="4" w:space="0" w:color="D2C9B8"/>
                  </w:tcBorders>
                </w:tcPr>
                <w:p w14:paraId="2400DC04" w14:textId="77777777" w:rsidR="005A5FCC" w:rsidRDefault="00A21C81">
                  <w:pPr>
                    <w:spacing w:before="20" w:after="20" w:line="240" w:lineRule="auto"/>
                    <w:jc w:val="left"/>
                  </w:pPr>
                  <w:r>
                    <w:rPr>
                      <w:rFonts w:cs="EB Garamond"/>
                      <w:kern w:val="16"/>
                      <w:sz w:val="16"/>
                      <w14:ligatures w14:val="standardContextual"/>
                    </w:rPr>
                    <w:t>Art. 142, § 3º, X, CF; leis específicas</w:t>
                  </w:r>
                </w:p>
              </w:tc>
              <w:tc>
                <w:tcPr>
                  <w:tcW w:w="1270" w:type="dxa"/>
                  <w:tcBorders>
                    <w:top w:val="single" w:sz="4" w:space="0" w:color="D2C9B8"/>
                    <w:left w:val="single" w:sz="4" w:space="0" w:color="D2C9B8"/>
                    <w:bottom w:val="single" w:sz="4" w:space="0" w:color="D2C9B8"/>
                    <w:right w:val="single" w:sz="4" w:space="0" w:color="D2C9B8"/>
                  </w:tcBorders>
                </w:tcPr>
                <w:p w14:paraId="500544C4" w14:textId="77777777" w:rsidR="005A5FCC" w:rsidRDefault="00A21C81">
                  <w:pPr>
                    <w:spacing w:before="20" w:after="20" w:line="240" w:lineRule="auto"/>
                    <w:jc w:val="left"/>
                  </w:pPr>
                  <w:r>
                    <w:rPr>
                      <w:rFonts w:cs="EB Garamond"/>
                      <w:kern w:val="16"/>
                      <w:sz w:val="16"/>
                      <w14:ligatures w14:val="standardContextual"/>
                    </w:rPr>
                    <w:t>Militares das Forças Armadas e estados</w:t>
                  </w:r>
                </w:p>
              </w:tc>
              <w:tc>
                <w:tcPr>
                  <w:tcW w:w="1270" w:type="dxa"/>
                  <w:tcBorders>
                    <w:top w:val="single" w:sz="4" w:space="0" w:color="D2C9B8"/>
                    <w:left w:val="single" w:sz="4" w:space="0" w:color="D2C9B8"/>
                    <w:bottom w:val="single" w:sz="4" w:space="0" w:color="D2C9B8"/>
                    <w:right w:val="single" w:sz="4" w:space="0" w:color="D2C9B8"/>
                  </w:tcBorders>
                </w:tcPr>
                <w:p w14:paraId="752BFFB2" w14:textId="77777777" w:rsidR="005A5FCC" w:rsidRDefault="00A21C81">
                  <w:pPr>
                    <w:spacing w:before="20" w:after="20" w:line="240" w:lineRule="auto"/>
                    <w:jc w:val="left"/>
                  </w:pPr>
                  <w:r>
                    <w:rPr>
                      <w:rFonts w:cs="EB Garamond"/>
                      <w:kern w:val="16"/>
                      <w:sz w:val="16"/>
                      <w14:ligatures w14:val="standardContextual"/>
                    </w:rPr>
                    <w:t>Sistema próprio (não é previdência stricto sensu)</w:t>
                  </w:r>
                </w:p>
              </w:tc>
              <w:tc>
                <w:tcPr>
                  <w:tcW w:w="1270" w:type="dxa"/>
                  <w:tcBorders>
                    <w:top w:val="single" w:sz="4" w:space="0" w:color="D2C9B8"/>
                    <w:left w:val="single" w:sz="4" w:space="0" w:color="D2C9B8"/>
                    <w:bottom w:val="single" w:sz="4" w:space="0" w:color="D2C9B8"/>
                    <w:right w:val="single" w:sz="4" w:space="0" w:color="D2C9B8"/>
                  </w:tcBorders>
                </w:tcPr>
                <w:p w14:paraId="33FD5078" w14:textId="77777777" w:rsidR="005A5FCC" w:rsidRDefault="00A21C81">
                  <w:pPr>
                    <w:spacing w:before="20" w:after="20" w:line="240" w:lineRule="auto"/>
                    <w:jc w:val="left"/>
                  </w:pPr>
                  <w:r>
                    <w:rPr>
                      <w:rFonts w:cs="EB Garamond"/>
                      <w:kern w:val="16"/>
                      <w:sz w:val="16"/>
                      <w14:ligatures w14:val="standardContextual"/>
                    </w:rPr>
                    <w:t>Cada ente federativo</w:t>
                  </w:r>
                </w:p>
              </w:tc>
            </w:tr>
          </w:tbl>
          <w:p w14:paraId="0A87572E" w14:textId="77777777" w:rsidR="005A5FCC" w:rsidRDefault="005A5FCC"/>
          <w:p w14:paraId="05282674" w14:textId="77777777" w:rsidR="005A5FCC" w:rsidRDefault="005A5FCC">
            <w:pPr>
              <w:spacing w:after="0" w:line="240" w:lineRule="auto"/>
            </w:pPr>
          </w:p>
        </w:tc>
      </w:tr>
    </w:tbl>
    <w:p w14:paraId="763CDC25" w14:textId="77777777" w:rsidR="005A5FCC" w:rsidRDefault="005A5FCC">
      <w:pPr>
        <w:spacing w:after="80" w:line="240" w:lineRule="auto"/>
      </w:pPr>
    </w:p>
    <w:p w14:paraId="17D67925"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1.16 Filiação obrigatória e caráter contributivo</w:t>
      </w:r>
    </w:p>
    <w:p w14:paraId="19F2441B"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7E2B741B" w14:textId="77777777" w:rsidR="005A5FCC" w:rsidRDefault="00A21C81">
      <w:r>
        <w:rPr>
          <w:rFonts w:cs="EB Garamond"/>
          <w:kern w:val="16"/>
          <w14:ligatures w14:val="standardContextual"/>
        </w:rPr>
        <w:t xml:space="preserve"> obrigatoriedade da filiação ao RGPS decorre da própria natureza do regime de repartição simples e da solidariedade que o fundamenta, e não de uma escolha legislativa arbitrária. Se a adesão fosse voluntária, a tendência racional de cada indivíduo seria postergar a contribuição ou dela se esquivar, especialmente entre os trabalhadores jovens e saudáveis para quem os riscos de incapacidade e velhice parecem distantes. Esse fenômeno, que a economia denomina seleção adversa, inviabilizaria o financiamento coletivo do sistema. A obrigatoriedade resolve essa falha estrutural: todo aquele que exerce atividade remunerada abrangida pelo RGPS é compulsoriamente filiado, independentemente de sua vontade ou da formalização do vínculo empregatício.</w:t>
      </w:r>
    </w:p>
    <w:p w14:paraId="641227C4" w14:textId="77777777" w:rsidR="005A5FCC" w:rsidRDefault="00A21C81">
      <w:pPr>
        <w:ind w:firstLine="238"/>
      </w:pPr>
      <w:r>
        <w:rPr>
          <w:rFonts w:cs="EB Garamond"/>
          <w:kern w:val="16"/>
          <w14:ligatures w14:val="standardContextual"/>
        </w:rPr>
        <w:t>A filiação do segurado empregado é automática. Nasce com o primeiro dia de exercício da atividade remunerada (art. 11, Lei 8.213/91), e não com a assinatura da carteira de trabalho, a inscrição no CNIS ou o primeiro recolhimento de contribuição. Essa automaticidade tem consequência prática de primeira importância nos JEFs: o segurado empregado cujo empregador não recolheu as contribuições devidas não perde, por essa razão, a qualidade de segurado. O ônus do recolhimento recai sobre o empregador (art. 30, I, Lei 8.212/91), e o inadimplemento patronal não pode prejudicar o trabalhador. Esse entendimento, consolidado na jurisprudência a partir da própria sistemática do art. 30, I, e do art. 33, § 5º, da Lei 8.212/91, traduz com precisão a lógica protetiva do sistema: entre o risco de o INSS não receber a contribuição e o risco de o trabalhador perder a proteção previdenciária, o sistema absorve o primeiro e repudia o segundo.</w:t>
      </w:r>
    </w:p>
    <w:p w14:paraId="278C8310" w14:textId="5F397DCF" w:rsidR="005A5FCC" w:rsidRDefault="00A21C81">
      <w:pPr>
        <w:ind w:firstLine="238"/>
      </w:pPr>
      <w:r>
        <w:rPr>
          <w:rFonts w:cs="EB Garamond"/>
          <w:kern w:val="16"/>
          <w14:ligatures w14:val="standardContextual"/>
        </w:rPr>
        <w:t xml:space="preserve">O segurado facultativo (art. 13, Lei 8.213/91) representa aparente exceção ao princípio da obrigatoriedade, mas a contradição é apenas superficial. A obrigatoriedade incide sobre quem exerce atividade remunerada; o facultativo é precisamente aquele que, não exercendo atividade abrangida pelo RGPS, opta voluntariamente pela filiação. A categoria existe para ampliar a cobertura previdenciária a pessoas que, de outro modo, ficariam desprotegidas: estudantes, donas de casa, desempregados. O plano simplificado de contribuição (11% sobre o </w:t>
      </w:r>
      <w:r w:rsidR="00B75FE7">
        <w:rPr>
          <w:rFonts w:cs="EB Garamond"/>
          <w:kern w:val="16"/>
          <w14:ligatures w14:val="standardContextual"/>
        </w:rPr>
        <w:t>salário-mínimo</w:t>
      </w:r>
      <w:r>
        <w:rPr>
          <w:rFonts w:cs="EB Garamond"/>
          <w:kern w:val="16"/>
          <w14:ligatures w14:val="standardContextual"/>
        </w:rPr>
        <w:t>) e a alíquota reduzida para o segurado facultativo de baixa renda (5% sobre o salário</w:t>
      </w:r>
      <w:r w:rsidR="00B75FE7">
        <w:rPr>
          <w:rFonts w:cs="EB Garamond"/>
          <w:kern w:val="16"/>
          <w14:ligatures w14:val="standardContextual"/>
        </w:rPr>
        <w:t>-</w:t>
      </w:r>
      <w:r>
        <w:rPr>
          <w:rFonts w:cs="EB Garamond"/>
          <w:kern w:val="16"/>
          <w14:ligatures w14:val="standardContextual"/>
        </w:rPr>
        <w:t xml:space="preserve">mínimo, art. 21, § 2º, II, Lei 8.212/91) são instrumentos de inclusão </w:t>
      </w:r>
      <w:r>
        <w:rPr>
          <w:rFonts w:cs="EB Garamond"/>
          <w:kern w:val="16"/>
          <w14:ligatures w14:val="standardContextual"/>
        </w:rPr>
        <w:lastRenderedPageBreak/>
        <w:t>previdenciária criados pelas ECs 41/2003 e 47/2005, que conciliam contributividade e universalidade.</w:t>
      </w:r>
    </w:p>
    <w:p w14:paraId="548CD620" w14:textId="77777777" w:rsidR="005A5FCC" w:rsidRDefault="00A21C81">
      <w:pPr>
        <w:ind w:firstLine="238"/>
      </w:pPr>
      <w:r>
        <w:rPr>
          <w:rFonts w:cs="EB Garamond"/>
          <w:kern w:val="16"/>
          <w14:ligatures w14:val="standardContextual"/>
        </w:rPr>
        <w:t>O caráter contributivo gera consequências jurídicas estruturantes. A primeira e mais evidente: não há benefício previdenciário sem contribuição prévia. A exceção mais relevante é o segurado especial (art. 11, VII, Lei 8.213/91), que contribui indiretamente, sobre a receita da comercialização da produção rural (art. 25, Lei 8.212/91). Mesmo nesse caso, a contributividade está presente, ainda que em forma distinta da contribuição individualizada dos demais segurados. A segunda consequência: a contributividade fundamenta a exigência de carência, que é o número mínimo de contribuições mensais necessárias para o acesso a determinados benefícios. O detalhamento da carência está no Cap. 3; a distinção entre benefícios previdenciários (contributivos) e o BPC/LOAS (assistencial, não contributivo), no Cap. 18.</w:t>
      </w:r>
    </w:p>
    <w:p w14:paraId="39FF773F" w14:textId="77777777" w:rsidR="005A5FCC" w:rsidRDefault="00A21C81">
      <w:pPr>
        <w:ind w:firstLine="238"/>
      </w:pPr>
      <w:r>
        <w:rPr>
          <w:rFonts w:cs="EB Garamond"/>
          <w:kern w:val="16"/>
          <w14:ligatures w14:val="standardContextual"/>
        </w:rPr>
        <w:t>A tensão entre contributividade e universalidade atravessa todo o direito previdenciário brasileiro. A contributividade exclui de proteção previdenciária quem não contribui; a universalidade aspira a que todos estejam cobertos. A CF/88 resolveu essa tensão por três vias: (a) a filiação obrigatória de todos os que exercem atividade remunerada; (b) a categoria do segurado facultativo para inclusão voluntária; e (c) a assistência social (BPC) como rede de proteção para quem não tem condições de contribuir. Essa arquitetura constitucional não elimina a tensão, mas a administra. Na prática dos JEFs, o operador do direito deve identificar, em cada caso concreto, se a situação do requerente se insere na lógica contributiva do RGPS ou na lógica assistencial do BPC, pois os pressupostos, os requisitos e a fundamentação jurídica são substancialmente distintos.</w:t>
      </w:r>
    </w:p>
    <w:p w14:paraId="188E7BC3"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1.17 Equilíbrio financeiro e atuarial</w:t>
      </w:r>
    </w:p>
    <w:p w14:paraId="2D2EB372"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73A6DA74" w14:textId="77777777" w:rsidR="005A5FCC" w:rsidRDefault="00A21C81">
      <w:r>
        <w:rPr>
          <w:rFonts w:cs="EB Garamond"/>
          <w:kern w:val="16"/>
          <w14:ligatures w14:val="standardContextual"/>
        </w:rPr>
        <w:t xml:space="preserve"> art. 201, caput, da CF/88, na redação dada pela EC 20/1998, exige que a previdência social observe critérios que preservem o equilíbrio financeiro e atuarial. A constitucionalização desse princípio, conforme Ibrahim, Bragança e Folmann (2025) e Horvath Júnior (2025), foi resposta direta à crise financeira que o sistema previdenciário enfrentou ao longo dos anos 1990, quando as </w:t>
      </w:r>
      <w:r>
        <w:rPr>
          <w:rFonts w:cs="EB Garamond"/>
          <w:kern w:val="16"/>
          <w14:ligatures w14:val="standardContextual"/>
        </w:rPr>
        <w:lastRenderedPageBreak/>
        <w:t>despesas com benefícios cresceram em ritmo superior à arrecadação, impulsionadas pelo envelhecimento populacional, pela informalidade do mercado de trabalho e pela generosidade das regras de concessão vigentes sob a redação original da CF/88. Com a EC 20/1998, o equilíbrio deixou de ser mera aspiração administrativa e passou a integrar o núcleo normativo do sistema.</w:t>
      </w:r>
    </w:p>
    <w:p w14:paraId="63177D43" w14:textId="77777777" w:rsidR="005A5FCC" w:rsidRDefault="00A21C81">
      <w:pPr>
        <w:ind w:firstLine="238"/>
      </w:pPr>
      <w:r>
        <w:rPr>
          <w:rFonts w:cs="EB Garamond"/>
          <w:kern w:val="16"/>
          <w14:ligatures w14:val="standardContextual"/>
        </w:rPr>
        <w:t>O equilíbrio financeiro e o equilíbrio atuarial, embora frequentemente referidos em conjunto, operam em dimensões temporais distintas. O equilíbrio financeiro diz respeito ao curto prazo: as receitas correntes devem ser suficientes para cobrir as despesas correntes, evitando que o sistema gaste mais do que arrecada em cada exercício. O equilíbrio atuarial projeta-se no longo prazo: a relação entre contribuições recolhidas e benefícios concedidos deve ser sustentável ao longo de décadas, considerando variáveis demográficas (expectativa de vida, taxa de natalidade, razão entre ativos e inativos) e econômicas (crescimento da massa salarial, produtividade, formalização do mercado de trabalho). Um sistema pode estar financeiramente equilibrado em determinado exercício e ser atuarialmente insustentável, se as projeções indicarem que a pirâmide demográfica se inverterá nas décadas seguintes.</w:t>
      </w:r>
    </w:p>
    <w:p w14:paraId="172D6D8D" w14:textId="77777777" w:rsidR="005A5FCC" w:rsidRDefault="00A21C81">
      <w:pPr>
        <w:ind w:firstLine="238"/>
      </w:pPr>
      <w:r>
        <w:rPr>
          <w:rFonts w:cs="EB Garamond"/>
          <w:kern w:val="16"/>
          <w14:ligatures w14:val="standardContextual"/>
        </w:rPr>
        <w:t>O fator previdenciário, instituído pela Lei 9.876/1999, foi o primeiro instrumento legal concebido especificamente para promover o equilíbrio atuarial no RGPS. A fórmula ponderava tempo de contribuição, idade na data do requerimento e expectativa de sobrevida do segurado, ajustando o valor do benefício de modo a desincentivar aposentadorias precoces. O fator foi criticado por penalizar desproporcionalmente trabalhadores de baixa renda, que ingressam cedo no mercado de trabalho e acumulam longo tempo de contribuição, mas se aposentam com idades relativamente jovens. A Lei 13.183/2015 criou a regra dos pontos (85/95) como alternativa ao fator, e a EC 103/2019 tornou-o residual, aplicável apenas na regra de transição do pedágio de 50% (art. 17, EC 103/2019).</w:t>
      </w:r>
    </w:p>
    <w:p w14:paraId="44D07784" w14:textId="77777777" w:rsidR="005A5FCC" w:rsidRDefault="00A21C81">
      <w:pPr>
        <w:ind w:firstLine="238"/>
      </w:pPr>
      <w:r>
        <w:rPr>
          <w:rFonts w:cs="EB Garamond"/>
          <w:kern w:val="16"/>
          <w14:ligatures w14:val="standardContextual"/>
        </w:rPr>
        <w:t>A EC 103/2019 foi integralmente justificada pelo imperativo de equilíbrio do RGPS. Os mecanismos nela previstos refletem essa orientação: idade mínima obrigatória para aposentadoria programada (65 anos para homens, 62 para mulheres), nova fórmula de cálculo que toma a média de todas as contribuições desde julho de 1994 (sem exclusão dos 20% menores), coeficiente de 60% da mé</w:t>
      </w:r>
      <w:r>
        <w:rPr>
          <w:rFonts w:cs="EB Garamond"/>
          <w:kern w:val="16"/>
          <w14:ligatures w14:val="standardContextual"/>
        </w:rPr>
        <w:lastRenderedPageBreak/>
        <w:t>dia acrescido de 2% por ano de contribuição que exceder o piso mínimo, e alíquotas progressivas por faixa de remuneração. A efetividade dessas medidas para o equilíbrio de longo prazo é objeto de debate entre economistas e atuários, e os resultados concretos dependem de variáveis que transcendem o desenho normativo, como o comportamento do mercado de trabalho e a evolução demográfica.</w:t>
      </w:r>
    </w:p>
    <w:p w14:paraId="0C85CCC3" w14:textId="77777777" w:rsidR="005A5FCC" w:rsidRDefault="00A21C81">
      <w:pPr>
        <w:ind w:firstLine="238"/>
      </w:pPr>
      <w:r>
        <w:rPr>
          <w:rFonts w:cs="EB Garamond"/>
          <w:kern w:val="16"/>
          <w14:ligatures w14:val="standardContextual"/>
        </w:rPr>
        <w:t>Sustentamos, com a doutrina previdenciária amplamente majoritária, que o princípio do equilíbrio financeiro e atuarial rege a atividade legislativa de conformação do sistema, e não a atividade jurisdicional de concessão de benefícios individuais. O juiz do JEF não pode indeferir benefício requerido por segurado que preenche os requisitos legais com fundamento em genérico argumento de sustentabilidade do sistema ou déficit previdenciário. A concessão de benefício a segurado que satisfaz os pressupostos da lei é ato vinculado, e a autarquia previdenciária não dispõe de margem de discricionariedade para recusá-lo por razões fiscais. A confusão entre política previdenciária (competência do Poder Legislativo) e adjudicação de direitos (competência do Poder Judiciário) é erro de categorias que compromete a racionalidade do sistema.</w:t>
      </w:r>
    </w:p>
    <w:tbl>
      <w:tblPr>
        <w:tblW w:w="5000" w:type="pct"/>
        <w:jc w:val="center"/>
        <w:tblLayout w:type="fixed"/>
        <w:tblLook w:val="04A0" w:firstRow="1" w:lastRow="0" w:firstColumn="1" w:lastColumn="0" w:noHBand="0" w:noVBand="1"/>
      </w:tblPr>
      <w:tblGrid>
        <w:gridCol w:w="6311"/>
      </w:tblGrid>
      <w:tr w:rsidR="005A5FCC" w14:paraId="66CF182C"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040D0519"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028942AA" w14:textId="77777777" w:rsidR="005A5FCC" w:rsidRDefault="00A21C81">
            <w:pPr>
              <w:spacing w:after="60" w:line="247" w:lineRule="auto"/>
            </w:pPr>
            <w:r>
              <w:rPr>
                <w:rFonts w:cs="EB Garamond"/>
                <w:b/>
                <w:kern w:val="16"/>
                <w:sz w:val="19"/>
                <w14:ligatures w14:val="standardContextual"/>
              </w:rPr>
              <w:t>O equilíbrio financeiro e atuarial não é argumento de defesa do INSS para indeferir benefício individual.</w:t>
            </w:r>
            <w:r>
              <w:rPr>
                <w:rFonts w:cs="EB Garamond"/>
                <w:kern w:val="16"/>
                <w:sz w:val="19"/>
                <w14:ligatures w14:val="standardContextual"/>
              </w:rPr>
              <w:t xml:space="preserve"> O princípio do equilíbrio rege a política legislativa (desenho de regras, alíquotas, idades mínimas), não a aplicação judicial ao caso concreto. Se o segurado preenche os requisitos legais para o benefício, a concessão é ato vinculado. O INSS não pode invocar "déficit" ou "sustentabilidade" como fundamento para indeferimento. Esse argumento é dirigido ao Congresso Nacional, não à agência da previdência social ou ao juízo do JEF.</w:t>
            </w:r>
          </w:p>
        </w:tc>
      </w:tr>
    </w:tbl>
    <w:p w14:paraId="31DF3477" w14:textId="77777777" w:rsidR="005A5FCC" w:rsidRDefault="005A5FCC">
      <w:pPr>
        <w:spacing w:after="80" w:line="240" w:lineRule="auto"/>
      </w:pPr>
    </w:p>
    <w:p w14:paraId="5AEC99F6"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1.18 Solidariedade, pacto intergeracional e vedação do retrocesso social</w:t>
      </w:r>
    </w:p>
    <w:p w14:paraId="41DB5F5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17E45DF3" w14:textId="77777777" w:rsidR="005A5FCC" w:rsidRDefault="00A21C81">
      <w:r>
        <w:rPr>
          <w:rFonts w:cs="EB Garamond"/>
          <w:kern w:val="16"/>
          <w14:ligatures w14:val="standardContextual"/>
        </w:rPr>
        <w:t xml:space="preserve"> solidariedade é o fundamento axiológico que confere coerência ao regime de repartição simples adotado pelo RGPS. O art. 3º, I, da CF/88 erige a </w:t>
      </w:r>
      <w:r>
        <w:rPr>
          <w:rFonts w:cs="EB Garamond"/>
          <w:kern w:val="16"/>
          <w14:ligatures w14:val="standardContextual"/>
        </w:rPr>
        <w:lastRenderedPageBreak/>
        <w:t>construção de uma sociedade solidária como objetivo fundamental da República, e essa diretriz projeta-se com intensidade particular sobre a previdência social. O mecanismo de repartição simples pressupõe um pacto tácito entre gerações: a geração economicamente ativa aceita financiar, mediante contribuições compulsórias, os benefícios devidos à geração que já se retirou do mercado de trabalho, sob a confiança institucional de que a geração seguinte assumirá o mesmo compromisso. Essa solidariedade não é caridade nem benevolência: é arranjo institucional de distribuição de riscos sociais ao longo do tempo, juridicamente vinculante e constitucionalmente protegido.</w:t>
      </w:r>
    </w:p>
    <w:p w14:paraId="2EF4FD9C" w14:textId="27F16C3F" w:rsidR="005A5FCC" w:rsidRDefault="00A21C81">
      <w:pPr>
        <w:ind w:firstLine="238"/>
      </w:pPr>
      <w:r>
        <w:rPr>
          <w:rFonts w:cs="EB Garamond"/>
          <w:kern w:val="16"/>
          <w14:ligatures w14:val="standardContextual"/>
        </w:rPr>
        <w:t xml:space="preserve">A solidariedade previdenciária opera em duas direções simultâneas. Na direção vertical (intergeracional), cada geração sustenta a anterior e será sustentada pela posterior. Na direção horizontal (intrageracional), há redistribuição implícita dentro da mesma geração: segurados de maior renda contribuem proporcionalmente mais (alíquotas progressivas de 7,5% a 14% pós-EC 103/2019) e podem aposentar-se com valores proporcionalmente menores em relação às suas contribuições, subsidiando indiretamente os benefícios de piso (um </w:t>
      </w:r>
      <w:r w:rsidR="00B75FE7">
        <w:rPr>
          <w:rFonts w:cs="EB Garamond"/>
          <w:kern w:val="16"/>
          <w14:ligatures w14:val="standardContextual"/>
        </w:rPr>
        <w:t>salário-mínimo</w:t>
      </w:r>
      <w:r>
        <w:rPr>
          <w:rFonts w:cs="EB Garamond"/>
          <w:kern w:val="16"/>
          <w14:ligatures w14:val="standardContextual"/>
        </w:rPr>
        <w:t>). O STF invocou expressamente a solidariedade como fundamento para julgar constitucional a contribuição de inativos no RPPS (ADI 3.105): quem já recebe benefício pode ser chamado a contribuir para a sustentabilidade do sistema, porque a previdência não é poupança individual, mas mecanismo coletivo de proteção social.</w:t>
      </w:r>
    </w:p>
    <w:p w14:paraId="07B20458" w14:textId="77777777" w:rsidR="005A5FCC" w:rsidRDefault="00A21C81">
      <w:pPr>
        <w:ind w:firstLine="238"/>
      </w:pPr>
      <w:r>
        <w:rPr>
          <w:rFonts w:cs="EB Garamond"/>
          <w:kern w:val="16"/>
          <w14:ligatures w14:val="standardContextual"/>
        </w:rPr>
        <w:t xml:space="preserve">A vedação do retrocesso social é princípio constitucional implícito que a doutrina extrai de uma leitura conjugada de dispositivos da CF/88: o art. 5º, § 2º (cláusula de abertura dos direitos fundamentais), o art. 7º, caput (direitos dos trabalhadores que visem à melhoria de sua condição social) e o caráter progressivo inerente aos direitos sociais consagrados nos arts. 6º e 194-204. O princípio não está formulado em texto expresso, mas integra o repertório argumentativo tanto da doutrina quanto da jurisprudência do STF, ainda que este último nunca tenha, até 2026, declarado inconstitucional uma reforma previdenciária exclusivamente com esse fundamento. Na prática jurisprudencial, a vedação do retrocesso funciona como ônus argumentativo agravado imposto ao legislador reformador: a redução de proteção social previdenciária é constitucionalmente possível, mas </w:t>
      </w:r>
      <w:r>
        <w:rPr>
          <w:rFonts w:cs="EB Garamond"/>
          <w:kern w:val="16"/>
          <w14:ligatures w14:val="standardContextual"/>
        </w:rPr>
        <w:lastRenderedPageBreak/>
        <w:t>exige justificativa reforçada, ancorada em valores constitucionais de igual hierarquia, como o equilíbrio atuarial, a sustentabilidade fiscal ou a proteção das futuras gerações.</w:t>
      </w:r>
    </w:p>
    <w:p w14:paraId="535D600F" w14:textId="2143ECF9" w:rsidR="005A5FCC" w:rsidRDefault="00A21C81">
      <w:pPr>
        <w:ind w:firstLine="238"/>
      </w:pPr>
      <w:r>
        <w:rPr>
          <w:rFonts w:cs="EB Garamond"/>
          <w:kern w:val="16"/>
          <w14:ligatures w14:val="standardContextual"/>
        </w:rPr>
        <w:t xml:space="preserve">Reconhecemos que a vedação do retrocesso não transforma o ordenamento previdenciário em bloco normativo petrificado. O legislador constituinte derivado pode alterar regras de acesso, cálculo e valor dos benefícios, desde que não suprima arbitrariamente a proteção conquistada e desde que preserve o núcleo essencial dos direitos sociais previdenciários. A EC 103/2019 testou os limites desse princípio ao reduzir o valor dos benefícios por incapacidade permanente de 100% para 60% da média dos salários de contribuição (acrescidos de 2% por ano excedente). Há argumentos sérios de que essa redução atinge o núcleo essencial da proteção à incapacidade laborativa, especialmente para segurados de baixa renda que, aposentando-se com 60% de uma média já reduzida, receberiam valor próximo ao </w:t>
      </w:r>
      <w:r w:rsidR="00B75FE7">
        <w:rPr>
          <w:rFonts w:cs="EB Garamond"/>
          <w:kern w:val="16"/>
          <w14:ligatures w14:val="standardContextual"/>
        </w:rPr>
        <w:t>salário-mínimo</w:t>
      </w:r>
      <w:r>
        <w:rPr>
          <w:rFonts w:cs="EB Garamond"/>
          <w:kern w:val="16"/>
          <w14:ligatures w14:val="standardContextual"/>
        </w:rPr>
        <w:t>. Ao julgar o Tema 1.300 (RE 1.469.150, j. 18/12/2025), o STF declarou constitucional a regra geral de cálculo (v. Cap. 6, seção 6.7.3); ainda assim, sustentamos que, na aplicação da norma aos casos concretos, a análise judicial deve considerar o impacto da redução sobre a capacidade do benefício de assegurar condições dignas de subsistência ao segurado incapacitado.</w:t>
      </w:r>
    </w:p>
    <w:p w14:paraId="403B1337" w14:textId="77777777" w:rsidR="005A5FCC" w:rsidRDefault="00A21C81">
      <w:pPr>
        <w:ind w:firstLine="238"/>
      </w:pPr>
      <w:r>
        <w:rPr>
          <w:rFonts w:cs="EB Garamond"/>
          <w:kern w:val="16"/>
          <w14:ligatures w14:val="standardContextual"/>
        </w:rPr>
        <w:t>O princípio pro misero, também referido como in dubio pro segurado, guarda relação com a vedação do retrocesso, embora não se confunda com ela. Esse princípio hermenêutico sustenta que, havendo dúvida razoável na interpretação de norma previdenciária, deve-se adotar a exegese mais favorável ao segurado, em coerência com a função protetiva do sistema. A jurisprudência não o acolhe de forma unânime, e tribunais frequentemente advertem que o princípio não autoriza interpretação contra legem. Entendemos que o princípio pro misero tem aplicação legítima como critério de desempate hermenêutico: quando duas interpretações da mesma norma são igualmente defensáveis sob os cânones tradicionais, a que melhor realiza a proteção social deve prevalecer. Tal escolha constitui aplicação coerente dos princípios constitucionais que informam o sistema, e não a manifestação de ativismo judicial que por vezes se lhe atribui.</w:t>
      </w:r>
    </w:p>
    <w:tbl>
      <w:tblPr>
        <w:tblW w:w="5000" w:type="pct"/>
        <w:jc w:val="center"/>
        <w:tblLayout w:type="fixed"/>
        <w:tblLook w:val="04A0" w:firstRow="1" w:lastRow="0" w:firstColumn="1" w:lastColumn="0" w:noHBand="0" w:noVBand="1"/>
      </w:tblPr>
      <w:tblGrid>
        <w:gridCol w:w="6311"/>
      </w:tblGrid>
      <w:tr w:rsidR="005A5FCC" w14:paraId="7E69AFC8"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355CF0CF" w14:textId="77777777" w:rsidR="005A5FCC" w:rsidRDefault="00A21C81">
            <w:pPr>
              <w:spacing w:after="60" w:line="240" w:lineRule="auto"/>
              <w:jc w:val="left"/>
            </w:pPr>
            <w:r>
              <w:rPr>
                <w:rFonts w:ascii="Noto Sans" w:hAnsi="Noto Sans" w:cs="Noto Sans"/>
                <w:b/>
                <w:caps/>
                <w:color w:val="4D6F8A"/>
                <w:kern w:val="16"/>
                <w:sz w:val="16"/>
                <w14:ligatures w14:val="standardContextual"/>
              </w:rPr>
              <w:lastRenderedPageBreak/>
              <w:t>JURISPRUDÊNCIA EM DESTAQUE</w:t>
            </w:r>
          </w:p>
          <w:p w14:paraId="498F0825" w14:textId="77777777" w:rsidR="005A5FCC" w:rsidRDefault="00A21C81">
            <w:pPr>
              <w:spacing w:after="60" w:line="247" w:lineRule="auto"/>
            </w:pPr>
            <w:r>
              <w:rPr>
                <w:rFonts w:cs="EB Garamond"/>
                <w:b/>
                <w:kern w:val="16"/>
                <w:sz w:val="19"/>
                <w14:ligatures w14:val="standardContextual"/>
              </w:rPr>
              <w:t>Vedação do retrocesso social e a redução de benefícios pela EC 103/2019</w:t>
            </w:r>
          </w:p>
          <w:p w14:paraId="0F385035" w14:textId="77777777" w:rsidR="005A5FCC" w:rsidRDefault="00A21C81">
            <w:pPr>
              <w:spacing w:after="60" w:line="247" w:lineRule="auto"/>
            </w:pPr>
            <w:r>
              <w:rPr>
                <w:rFonts w:cs="EB Garamond"/>
                <w:kern w:val="16"/>
                <w:sz w:val="19"/>
                <w14:ligatures w14:val="standardContextual"/>
              </w:rPr>
              <w:t>A redução do coeficiente de cálculo dos benefícios por incapacidade permanente — de 100% da média para 60% acrescidos de 2% por ano de contribuição que exceda 20 anos (homem) ou 15 anos (mulher) — ilustra a tensão entre a margem de conformação do legislador reformador e a vedação do retrocesso social: o segurado que se torna permanentemente incapaz após poucos anos de contribuição passa a receber benefício substancialmente inferior ao que lhe asseguraria o regime anterior. Suscitada à luz dos arts. 6º e 201 da CF/88, a controvérsia foi enfrentada pelo STF no Tema 1.300 (RE 1.469.150, rel. Min. Luís Roberto Barroso, j. 18/12/2025), que declarou constitucional a regra geral do art. 26, § 2º, da EC 103/2019. A tese e suas consequências práticas nos JEFs — onde os benefícios por incapacidade representam parcela expressiva das ações — são examinadas no Cap. 6 (seção 6.7.3); no plano principiológico, o episódio mostra a vedação do retrocesso operando como parâmetro de controle das reformas, ainda que, neste caso, a norma tenha sido validada.</w:t>
            </w:r>
          </w:p>
        </w:tc>
      </w:tr>
    </w:tbl>
    <w:p w14:paraId="37898424" w14:textId="77777777" w:rsidR="005A5FCC" w:rsidRDefault="005A5FCC">
      <w:pPr>
        <w:spacing w:after="80" w:line="240" w:lineRule="auto"/>
      </w:pPr>
    </w:p>
    <w:p w14:paraId="319F35EA"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1.19 EC 20/1998: o paradigma do tempo de contribuição</w:t>
      </w:r>
    </w:p>
    <w:p w14:paraId="43E42DDF"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23C09204" w14:textId="10A78C0A" w:rsidR="005A5FCC" w:rsidRDefault="00A21C81">
      <w:r>
        <w:rPr>
          <w:rFonts w:cs="EB Garamond"/>
          <w:kern w:val="16"/>
          <w14:ligatures w14:val="standardContextual"/>
        </w:rPr>
        <w:t xml:space="preserve"> Emenda Constitucional 20, de 15 de dezembro de 1998, inaugurou o ciclo de reformas que, ao longo de duas décadas e meia, redesenhou o RGPS brasileiro. Aprovada no governo Fernando Henrique Cardoso após intenso debate parlamentar, a EC 20 partiu de um diagnóstico que se tornaria recorrente nas reformas subsequentes: o modelo previdenciário desenhado pela CF/88 era financeiramente insustentável no médio prazo. A aposentadoria por tempo de serviço, sem exigência de idade mínima, permitia que trabalhadores que ingressavam no mercado aos 14 ou 16 anos se aposentassem antes dos 50, com benefícios calculados sobre os últimos salários. A ausência de condicionamento atuarial explícito na redação original do art. 201 deixava o sistema exposto a desequilíbrios crescentes à medida que a expectativa de vida aumentava e a base contributiva se erodia pela informalidade.</w:t>
      </w:r>
      <w:r w:rsidR="00B75FE7">
        <w:rPr>
          <w:rFonts w:cs="EB Garamond"/>
          <w:kern w:val="16"/>
          <w14:ligatures w14:val="standardContextual"/>
        </w:rPr>
        <w:t xml:space="preserve"> </w:t>
      </w:r>
    </w:p>
    <w:p w14:paraId="2DAE5A4D" w14:textId="77777777" w:rsidR="005A5FCC" w:rsidRDefault="00A21C81">
      <w:pPr>
        <w:ind w:firstLine="238"/>
      </w:pPr>
      <w:r>
        <w:rPr>
          <w:rFonts w:cs="EB Garamond"/>
          <w:kern w:val="16"/>
          <w14:ligatures w14:val="standardContextual"/>
        </w:rPr>
        <w:lastRenderedPageBreak/>
        <w:t>A alteração central promovida pela EC 20/1998 foi a substituição do "tempo de serviço" pelo "tempo de contribuição" como critério para a aposentadoria (art. 201, § 7º). A mudança não foi apenas terminológica. Sob o regime anterior, bastava ao segurado comprovar o exercício de atividade laboral pelo tempo exigido, ainda que sem contribuição efetiva. Com a EC 20, o vínculo passou a exigir prova de contribuição, reforçando a lógica contributiva do sistema. Na prática, períodos de trabalho informal sem recolhimento deixaram de ser computáveis automaticamente, exigindo-se a indenização prevista no art. 45-A da Lei 8.212/91. A exceção mais relevante permaneceu intocada: o tempo de atividade rural anterior a novembro de 1991 continua dispensado de contribuição para fins de contagem recíproca (art. 55, § 2º, Lei 8.213/91), reconhecimento que reflete a universalização promovida pela CF/88.</w:t>
      </w:r>
    </w:p>
    <w:p w14:paraId="14CB1451" w14:textId="77777777" w:rsidR="005A5FCC" w:rsidRDefault="00A21C81">
      <w:pPr>
        <w:ind w:firstLine="238"/>
      </w:pPr>
      <w:r>
        <w:rPr>
          <w:rFonts w:cs="EB Garamond"/>
          <w:kern w:val="16"/>
          <w14:ligatures w14:val="standardContextual"/>
        </w:rPr>
        <w:t>A EC 20 constitucionalizou o princípio do equilíbrio financeiro e atuarial, inserindo-o no caput do art. 201. Antes da reforma, a Constituição tratava a previdência como direito social puro, sem referência a condicionamentos fiscais ou atuariais. A partir de 1998, o equilíbrio passou a operar como princípio de contenção, autorizando o legislador a desenhar regras que assegurassem a sustentabilidade do sistema. A mesma emenda fixou o teto do RGPS (art. 201, § 5º), inicialmente em R$ 1.200,00, atualizado para R$ 8.475,55 em 2026, delimitando o valor máximo do benefício e remetendo à previdência complementar quem desejasse renda superior. Outra inovação relevante foi a vedação de critérios diferenciados para concessão de benefícios, salvo para atividades exercidas em condições prejudiciais à saúde ou à integridade física (art. 201, § 1º), que constitui a base constitucional da aposentadoria especial. Registre-se, sobre essa base constitucional, que a idade mínima da aposentadoria especial — introduzida pela EC 103/2019 — foi declarada inconstitucional pelo STF na ADI 6.309 (j. 03/06/2026), preservadas a vedação à conversão de tempo especial em comum e a nova forma de cálculo; o tema é desenvolvido no capítulo próprio da aposentadoria especial.</w:t>
      </w:r>
    </w:p>
    <w:p w14:paraId="4DD720D2" w14:textId="77777777" w:rsidR="005A5FCC" w:rsidRDefault="00A21C81">
      <w:pPr>
        <w:ind w:firstLine="238"/>
      </w:pPr>
      <w:r>
        <w:rPr>
          <w:rFonts w:cs="EB Garamond"/>
          <w:kern w:val="16"/>
          <w14:ligatures w14:val="standardContextual"/>
        </w:rPr>
        <w:t xml:space="preserve">As regras de transição da EC 20/1998 introduziram o mecanismo do pedágio, que seria retomado pela EC 103/2019. Para a aposentadoria proporcional (extinta pela reforma, mas acessível aos que já estavam no sistema), exigia-se o cumprimento de pedágio de 40% sobre o tempo restante, além de idade mínima de 48 </w:t>
      </w:r>
      <w:r>
        <w:rPr>
          <w:rFonts w:cs="EB Garamond"/>
          <w:kern w:val="16"/>
          <w14:ligatures w14:val="standardContextual"/>
        </w:rPr>
        <w:lastRenderedPageBreak/>
        <w:t>anos (mulher) e 53 anos (homem). Para a aposentadoria integral, o pedágio era de 20%, sem idade mínima. Convém distinguir os planos: na regra permanente do RGPS, a EC 20 não instituiu idade mínima, exigência que ficou restrita ao servidor público e só alcançaria o regime geral vinte e um anos depois, com a EC 103/2019. Nas regras de transição do RGPS, porém, a própria EC 20 já impusera idade mínima para a aposentadoria proporcional (48/53 anos), como se acaba de expor — de modo que a inexistência de idade mínima dizia respeito apenas à regra permanente, não a todo o regime geral.</w:t>
      </w:r>
    </w:p>
    <w:p w14:paraId="5112F75F" w14:textId="77777777" w:rsidR="005A5FCC" w:rsidRDefault="00A21C81">
      <w:pPr>
        <w:ind w:firstLine="238"/>
      </w:pPr>
      <w:r>
        <w:rPr>
          <w:rFonts w:cs="EB Garamond"/>
          <w:kern w:val="16"/>
          <w14:ligatures w14:val="standardContextual"/>
        </w:rPr>
        <w:t>O fator previdenciário, instituído pela Lei 9.876/1999 como consequência direta da reforma de 1998, merece registro nesta seção por sua relevância histórica. A fórmula ajustava o valor do benefício conforme a idade e a expectativa de sobrevida do segurado na data do requerimento, operando como incentivo econômico para que o trabalhador adiasse a aposentadoria. Criticado por penalizar especialmente mulheres e trabalhadores de baixa renda que ingressam cedo no mercado, o fator foi parcialmente neutralizado pela regra 85/95 (Lei 13.183/2015) e tornou-se residual após a EC 103/2019, aplicável apenas à regra de transição do pedágio de 50% (art. 17). O impacto da EC 20 nos JEFs foi massivo: milhões de ações discutiram, ao longo das duas décadas seguintes, a aplicação das regras de transição, o cômputo de tempo de serviço versus tempo de contribuição, e a incidência do fator previdenciário.</w:t>
      </w:r>
    </w:p>
    <w:p w14:paraId="5FA8E49B"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1.20 EC 41/2003 e EC 47/2005: reformas dos regimes próprios com reflexos no RGPS</w:t>
      </w:r>
    </w:p>
    <w:p w14:paraId="6D56FA21"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3CC6AC70" w14:textId="77777777" w:rsidR="005A5FCC" w:rsidRDefault="00A21C81">
      <w:r>
        <w:rPr>
          <w:rFonts w:cs="EB Garamond"/>
          <w:kern w:val="16"/>
          <w14:ligatures w14:val="standardContextual"/>
        </w:rPr>
        <w:t xml:space="preserve"> Emenda Constitucional 41, de 19 de dezembro de 2003, aprovada no governo Lula, direcionou-se primariamente ao Regime Próprio de Previdência Social (RPPS) dos servidores públicos, mas produziu reflexos significativos no RGPS. A EC 47, de 5 de julho de 2005, conhecida como PEC Paralela, foi editada para atenuar os efeitos mais gravosos da EC 41 sobre servidores que haviam ingressado no serviço público antes da reforma. Juntas, essas emendas compõem a segunda onda de reformas previdenciárias pós-CF/88, completando </w:t>
      </w:r>
      <w:r>
        <w:rPr>
          <w:rFonts w:cs="EB Garamond"/>
          <w:kern w:val="16"/>
          <w14:ligatures w14:val="standardContextual"/>
        </w:rPr>
        <w:lastRenderedPageBreak/>
        <w:t>o processo iniciado pela EC 20/1998 e preparando o terreno institucional para a reestruturação promovida pela EC 103/2019.</w:t>
      </w:r>
    </w:p>
    <w:p w14:paraId="2CD2269F" w14:textId="77777777" w:rsidR="005A5FCC" w:rsidRDefault="00A21C81">
      <w:pPr>
        <w:ind w:firstLine="238"/>
      </w:pPr>
      <w:r>
        <w:rPr>
          <w:rFonts w:cs="EB Garamond"/>
          <w:kern w:val="16"/>
          <w14:ligatures w14:val="standardContextual"/>
        </w:rPr>
        <w:t>As principais alterações da EC 41/2003 no RPPS foram o fim da integralidade (o benefício deixou de corresponder à última remuneração do cargo efetivo) e da paridade (os reajustes dos inativos passaram a seguir critérios próprios, desvinculados dos reajustes dos servidores ativos). A emenda instituiu a contribuição de inativos no RPPS, fixada em 11% sobre o valor do benefício que excedesse o teto do RGPS. A constitucionalidade dessa contribuição foi confirmada pelo STF no julgamento da ADI 3.105, com fundamento no princípio da solidariedade: o aposentado que recebe benefício do regime próprio pode ser chamado a contribuir para a sustentabilidade do sistema que o ampara. Esse precedente é relevante para o RGPS porque consolidou a solidariedade como fundamento autônomo para imposição de contribuições previdenciárias, mesmo sobre quem já se retirou da atividade laboral. Registramos que, no RGPS, a CF/88 veda a contribuição sobre aposentadorias e pensões (art. 195, II), de modo que a contribuição de inativos é exclusividade do RPPS.</w:t>
      </w:r>
    </w:p>
    <w:p w14:paraId="152064C0" w14:textId="77777777" w:rsidR="005A5FCC" w:rsidRDefault="00A21C81">
      <w:pPr>
        <w:ind w:firstLine="238"/>
      </w:pPr>
      <w:r>
        <w:rPr>
          <w:rFonts w:cs="EB Garamond"/>
          <w:kern w:val="16"/>
          <w14:ligatures w14:val="standardContextual"/>
        </w:rPr>
        <w:t>Para o RGPS especificamente, a EC 41/2003 promoveu a elevação do teto de contribuição e benefício para R$ 2.400,00 (art. 5º da emenda), valor que foi sendo reajustado anualmente e alcança R$ 8.475,55 em 2026. A emenda também reafirmou o caráter contributivo e o equilíbrio financeiro e atuarial como pilares do sistema, e previu a criação de previdência complementar para os servidores públicos, implementada em 2012 com a criação da Funpresp.</w:t>
      </w:r>
    </w:p>
    <w:p w14:paraId="16C5DC10" w14:textId="1A0DE2E4" w:rsidR="005A5FCC" w:rsidRDefault="00A21C81">
      <w:pPr>
        <w:ind w:firstLine="238"/>
      </w:pPr>
      <w:r>
        <w:rPr>
          <w:rFonts w:cs="EB Garamond"/>
          <w:kern w:val="16"/>
          <w14:ligatures w14:val="standardContextual"/>
        </w:rPr>
        <w:t xml:space="preserve">A EC 47/2005 trouxe contribuição mais direta ao RGPS. O art. 10 da emenda acrescentou o § 12 ao art. 201 da CF/88, prevendo um sistema especial de inclusão previdenciária para trabalhadores de baixa renda e para aqueles que, sem renda própria, se dedicam exclusivamente ao trabalho doméstico no âmbito de sua residência. Esse dispositivo constitucional foi a base para a criação da alíquota reduzida do MEI (5% sobre o </w:t>
      </w:r>
      <w:r w:rsidR="00B75FE7">
        <w:rPr>
          <w:rFonts w:cs="EB Garamond"/>
          <w:kern w:val="16"/>
          <w14:ligatures w14:val="standardContextual"/>
        </w:rPr>
        <w:t>salário-mínimo</w:t>
      </w:r>
      <w:r>
        <w:rPr>
          <w:rFonts w:cs="EB Garamond"/>
          <w:kern w:val="16"/>
          <w14:ligatures w14:val="standardContextual"/>
        </w:rPr>
        <w:t>, regulamentada pela LC 123/2006) e do segurado facultativo de baixa renda (5% sobre o salário</w:t>
      </w:r>
      <w:r w:rsidR="00B75FE7">
        <w:rPr>
          <w:rFonts w:cs="EB Garamond"/>
          <w:kern w:val="16"/>
          <w14:ligatures w14:val="standardContextual"/>
        </w:rPr>
        <w:t>-</w:t>
      </w:r>
      <w:r>
        <w:rPr>
          <w:rFonts w:cs="EB Garamond"/>
          <w:kern w:val="16"/>
          <w14:ligatures w14:val="standardContextual"/>
        </w:rPr>
        <w:t>mínimo, regulamentado pela Lei 12.470/2011). A EC 47 também incluiu o inciso I no § 4º do art. 201, prevendo aposentadoria com critérios diferenciados para segurados com deficiência, fundamento constitucional que viabilizou a edição da LC 142/2013.</w:t>
      </w:r>
    </w:p>
    <w:p w14:paraId="3F982223" w14:textId="77777777" w:rsidR="005A5FCC" w:rsidRDefault="00A21C81">
      <w:pPr>
        <w:ind w:firstLine="238"/>
      </w:pPr>
      <w:r>
        <w:rPr>
          <w:rFonts w:cs="EB Garamond"/>
          <w:kern w:val="16"/>
          <w14:ligatures w14:val="standardContextual"/>
        </w:rPr>
        <w:lastRenderedPageBreak/>
        <w:t>A compreensão dessas emendas é relevante para a atuação nos JEFs por duas razões principais. A primeira diz respeito ao direito intertemporal: segurados que completaram os requisitos para aposentadoria antes da EC 41 ou entre a EC 41 e a EC 103 podem ter direito adquirido a regras mais favoráveis, e a identificação da regra aplicável exige domínio da cronologia das reformas. A segunda razão é substantiva: os mecanismos de inclusão previdenciária criados pela EC 47 (alíquotas reduzidas, plano simplificado) ampliaram o universo de segurados do RGPS, gerando novas categorias de litígios nos JEFs, como discussões sobre o alcance da cobertura do plano simplificado e a possibilidade de complementação de contribuições para acesso à aposentadoria por tempo de contribuição.</w:t>
      </w:r>
    </w:p>
    <w:tbl>
      <w:tblPr>
        <w:tblW w:w="5000" w:type="pct"/>
        <w:jc w:val="center"/>
        <w:tblLayout w:type="fixed"/>
        <w:tblLook w:val="04A0" w:firstRow="1" w:lastRow="0" w:firstColumn="1" w:lastColumn="0" w:noHBand="0" w:noVBand="1"/>
      </w:tblPr>
      <w:tblGrid>
        <w:gridCol w:w="6311"/>
      </w:tblGrid>
      <w:tr w:rsidR="005A5FCC" w14:paraId="2209C41D"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4A6267C4"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3C3395E2" w14:textId="77777777" w:rsidR="005A5FCC" w:rsidRDefault="00A21C81">
            <w:pPr>
              <w:spacing w:after="60" w:line="247" w:lineRule="auto"/>
            </w:pPr>
            <w:r>
              <w:rPr>
                <w:rFonts w:cs="EB Garamond"/>
                <w:b/>
                <w:kern w:val="16"/>
                <w:sz w:val="19"/>
                <w14:ligatures w14:val="standardContextual"/>
              </w:rPr>
              <w:t>Direito intertemporal previdenciário: as reformas não retroagem.</w:t>
            </w:r>
            <w:r>
              <w:rPr>
                <w:rFonts w:cs="EB Garamond"/>
                <w:kern w:val="16"/>
                <w:sz w:val="19"/>
                <w14:ligatures w14:val="standardContextual"/>
              </w:rPr>
              <w:t xml:space="preserve"> O segurado que completou todos os requisitos para a aposentadoria antes da entrada em vigor de uma reforma constitucional tem direito adquirido ao benefício pelas regras anteriores, ainda que só o requeira anos depois. A jurisprudência do STF confirma o direito adquirido ao melhor benefício, e o art. 3º da EC 103/2019 preservou expressamente os direitos adquiridos antes de 13/11/2019. Registre-se que o Tema 1.102/STF (RE 1.276.977), que no julgamento de mérito de dezembro de 2022 havia reconhecido o direito à chamada revisão da vida toda, foi superado em 2024: ao declarar constitucional o art. 3º da Lei 9.876/1999 nas ADIs 2.110/DF e 2.111/DF (ata do mérito publicada em 5 de abril de 2024, com modulação de efeitos), o STF afastou a tese de que o segurado poderia optar pela regra de cálculo considerando todo o período contributivo, inclusive anterior a julho de 1994. Nos JEFs, a questão prática é identificar a regra vigente na data em que o segurado preencheu os requisitos. Essa tarefa exige domínio do direito intertemporal previdenciário e capacidade de simular o cálculo do benefício sob múltiplas regras, para assegurar ao segurado o resultado mais vantajoso.</w:t>
            </w:r>
          </w:p>
        </w:tc>
      </w:tr>
    </w:tbl>
    <w:p w14:paraId="6BB54B2C" w14:textId="77777777" w:rsidR="005A5FCC" w:rsidRDefault="005A5FCC">
      <w:pPr>
        <w:spacing w:after="80" w:line="240" w:lineRule="auto"/>
      </w:pPr>
    </w:p>
    <w:p w14:paraId="2511D17E"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1.21 EC 103/2019: a reforma estrutural — nova arquitetura do RGPS</w:t>
      </w:r>
    </w:p>
    <w:p w14:paraId="379EA804"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5CA061BD" w14:textId="77777777" w:rsidR="005A5FCC" w:rsidRDefault="00A21C81">
      <w:r>
        <w:rPr>
          <w:rFonts w:cs="EB Garamond"/>
          <w:kern w:val="16"/>
          <w14:ligatures w14:val="standardContextual"/>
        </w:rPr>
        <w:t xml:space="preserve"> Emenda Constitucional 103, de 12 de novembro de 2019, redesenhou a arquitetura do RGPS com profundidade sem precedente desde a promulgação da CF/88. Aprovada no governo Bolsonaro após tramitação de aproximadamente dez meses no Congresso Nacional, a EC 103 foi denominada "Nova Previdência" e alterou simultaneamente as regras de acesso, a fórmula de cálculo, os critérios de acumulação de benefícios, as alíquotas de contribuição e o regime de transição para segurados já filiados. Nenhuma das reformas anteriores havia promovido alteração tão abrangente do RGPS em uma única emenda constitucional.</w:t>
      </w:r>
    </w:p>
    <w:p w14:paraId="0FD28A05" w14:textId="77777777" w:rsidR="005A5FCC" w:rsidRDefault="00A21C81">
      <w:pPr>
        <w:ind w:firstLine="238"/>
      </w:pPr>
      <w:r>
        <w:rPr>
          <w:rFonts w:cs="EB Garamond"/>
          <w:kern w:val="16"/>
          <w14:ligatures w14:val="standardContextual"/>
        </w:rPr>
        <w:t>A mudança estrutural de maior impacto foi a introdução da idade mínima obrigatória para toda aposentadoria programada. O art. 201, § 7º, I e II, na redação da EC 103, fixou os requisitos cumulativos de 65 anos de idade e 20 anos de contribuição para homens, e 62 anos de idade e 15 anos de contribuição para mulheres. A aposentadoria por tempo de contribuição, que permitia ao segurado aposentar-se independentemente da idade desde que completasse 30 anos (mulher) ou 35 anos (homem), foi extinta como modalidade autônoma. A idade mínima tornou-se requisito inafastável para o acesso à aposentadoria programada, ressalvadas as regras de transição aplicáveis a quem já era filiado em 13/11/2019. A aposentadoria do segurado especial (trabalhador rural em regime de economia familiar) manteve a idade de 55 anos (mulher) e 60 anos (homem), com 15 anos de contribuição (art. 201, § 7º, II). Nota de atualização: em 03/06/2026, ao julgar a ADI 6.309, o STF declarou inconstitucional a idade mínima da aposentadoria especial introduzida pela EC 103, mantidas a vedação à conversão de tempo especial em comum e a nova fórmula de cálculo; o exame aprofundado é diferido ao capítulo da aposentadoria especial.</w:t>
      </w:r>
    </w:p>
    <w:p w14:paraId="1B05AD0C" w14:textId="77777777" w:rsidR="005A5FCC" w:rsidRDefault="00A21C81">
      <w:pPr>
        <w:ind w:firstLine="238"/>
      </w:pPr>
      <w:r>
        <w:rPr>
          <w:rFonts w:cs="EB Garamond"/>
          <w:kern w:val="16"/>
          <w14:ligatures w14:val="standardContextual"/>
        </w:rPr>
        <w:t xml:space="preserve">A nova fórmula de cálculo, conforme detalhado por Castro e Lazzari (2025), alterou tanto a base quanto o coeficiente do benefício. A base passou a ser a média aritmética simples de todos os salários de contribuição desde julho de 1994 (ou desde o início das contribuições, se posterior), eliminando-se a regra anterior que </w:t>
      </w:r>
      <w:r>
        <w:rPr>
          <w:rFonts w:cs="EB Garamond"/>
          <w:kern w:val="16"/>
          <w14:ligatures w14:val="standardContextual"/>
        </w:rPr>
        <w:lastRenderedPageBreak/>
        <w:t>permitia o descarte dos 20% menores salários. O coeficiente foi fixado em 60% dessa média, acrescido de 2% por ano de contribuição que exceder 20 anos (homem) ou 15 anos (mulher). Consequência aritmética direta: para obter 100% da média, o homem precisa acumular 40 anos de contribuição e a mulher 35 anos. A maioria dos segurados aposenta-se com coeficiente inferior a 100%, o que resultou em redução significativa do valor médio dos benefícios concedidos após a reforma.</w:t>
      </w:r>
    </w:p>
    <w:p w14:paraId="43CC66EC" w14:textId="631DC960" w:rsidR="005A5FCC" w:rsidRDefault="00A21C81">
      <w:pPr>
        <w:ind w:firstLine="238"/>
      </w:pPr>
      <w:r>
        <w:rPr>
          <w:rFonts w:cs="EB Garamond"/>
          <w:kern w:val="16"/>
          <w14:ligatures w14:val="standardContextual"/>
        </w:rPr>
        <w:t xml:space="preserve">Os benefícios por incapacidade foram os mais atingidos pela reforma. A aposentadoria por incapacidade permanente (anterior aposentadoria por invalidez, na nomenclatura pré-EC 103) passou a ser calculada pelo mesmo coeficiente de 60% + 2% por ano excedente, quando antes correspondia a 100% da média dos salários de contribuição. A exceção ficou reservada à incapacidade decorrente de acidente de trabalho, para a qual o coeficiente permaneceu em 100% (art. 26, § 3º, II, EC 103). Convém esclarecer que os arts. 15 a 26 da EC 103/2019 são disposições transitórias da própria emenda, e não artigos inseridos no corpo permanente da Constituição. O auxílio por incapacidade temporária (anterior auxílio-doença) manteve o coeficiente de 91% da média. A pensão por morte também foi substancialmente reformulada: a nova fórmula prevê 50% do valor da aposentadoria do falecido acrescidos de 10% por dependente, até o máximo de 100%. Uma família com dependente único recebe 60% do valor da aposentadoria, não mais 100%. O benefício, contudo, não pode ser inferior a um </w:t>
      </w:r>
      <w:r w:rsidR="00B75FE7">
        <w:rPr>
          <w:rFonts w:cs="EB Garamond"/>
          <w:kern w:val="16"/>
          <w14:ligatures w14:val="standardContextual"/>
        </w:rPr>
        <w:t>salário-mínimo</w:t>
      </w:r>
      <w:r>
        <w:rPr>
          <w:rFonts w:cs="EB Garamond"/>
          <w:kern w:val="16"/>
          <w14:ligatures w14:val="standardContextual"/>
        </w:rPr>
        <w:t xml:space="preserve"> quando o dependente não possua outra fonte de renda.</w:t>
      </w:r>
    </w:p>
    <w:p w14:paraId="1395431B" w14:textId="00C1D30B" w:rsidR="005A5FCC" w:rsidRDefault="00A21C81">
      <w:pPr>
        <w:ind w:firstLine="238"/>
      </w:pPr>
      <w:r>
        <w:rPr>
          <w:rFonts w:cs="EB Garamond"/>
          <w:kern w:val="16"/>
          <w14:ligatures w14:val="standardContextual"/>
        </w:rPr>
        <w:t xml:space="preserve">A EC 103/2019 introduziu regras de vedação de acumulação integral de benefícios (art. 24, § 2º, EC 103). Quando o segurado fizer jus a mais de um benefício do RGPS ou de regimes distintos (por exemplo, aposentadoria própria e pensão por morte do cônjuge), receberá integralmente o de maior valor e uma parcela escalonada de cada um dos demais: 60% do valor que exceder um </w:t>
      </w:r>
      <w:r w:rsidR="00B75FE7">
        <w:rPr>
          <w:rFonts w:cs="EB Garamond"/>
          <w:kern w:val="16"/>
          <w14:ligatures w14:val="standardContextual"/>
        </w:rPr>
        <w:t>salário-mínimo</w:t>
      </w:r>
      <w:r>
        <w:rPr>
          <w:rFonts w:cs="EB Garamond"/>
          <w:kern w:val="16"/>
          <w14:ligatures w14:val="standardContextual"/>
        </w:rPr>
        <w:t>, até o limite de dois salários</w:t>
      </w:r>
      <w:r w:rsidR="00B75FE7">
        <w:rPr>
          <w:rFonts w:cs="EB Garamond"/>
          <w:kern w:val="16"/>
          <w14:ligatures w14:val="standardContextual"/>
        </w:rPr>
        <w:t>-</w:t>
      </w:r>
      <w:r>
        <w:rPr>
          <w:rFonts w:cs="EB Garamond"/>
          <w:kern w:val="16"/>
          <w14:ligatures w14:val="standardContextual"/>
        </w:rPr>
        <w:t>mínimos; 40% do que exceder dois, até três salários mínimos; 20% do que exceder três, até quatro salários</w:t>
      </w:r>
      <w:r w:rsidR="00B75FE7">
        <w:rPr>
          <w:rFonts w:cs="EB Garamond"/>
          <w:kern w:val="16"/>
          <w14:ligatures w14:val="standardContextual"/>
        </w:rPr>
        <w:t>-</w:t>
      </w:r>
      <w:r>
        <w:rPr>
          <w:rFonts w:cs="EB Garamond"/>
          <w:kern w:val="16"/>
          <w14:ligatures w14:val="standardContextual"/>
        </w:rPr>
        <w:t>mínimos; e 10% do que exceder quatro salários</w:t>
      </w:r>
      <w:r w:rsidR="00B75FE7">
        <w:rPr>
          <w:rFonts w:cs="EB Garamond"/>
          <w:kern w:val="16"/>
          <w14:ligatures w14:val="standardContextual"/>
        </w:rPr>
        <w:t>-</w:t>
      </w:r>
      <w:r>
        <w:rPr>
          <w:rFonts w:cs="EB Garamond"/>
          <w:kern w:val="16"/>
          <w14:ligatures w14:val="standardContextual"/>
        </w:rPr>
        <w:t xml:space="preserve">mínimos. Os percentuais aqui indicados seguem o texto literal do art. 24, § 2º, da EC 103; o detalhamento das hipóteses de acumulação, exceções e cálculos práticos é desenvolvido no Cap. 20. As alíquotas de contribuição do segurado empregado foram substituídas por faixas progressivas </w:t>
      </w:r>
      <w:r>
        <w:rPr>
          <w:rFonts w:cs="EB Garamond"/>
          <w:kern w:val="16"/>
          <w14:ligatures w14:val="standardContextual"/>
        </w:rPr>
        <w:lastRenderedPageBreak/>
        <w:t>(7,5%, 9%, 12% e 14%), aplicadas por faixa de remuneração, sistema análogo ao do imposto de renda. O detalhamento dessas alíquotas e seu impacto no custeio está no Cap. 4.</w:t>
      </w:r>
    </w:p>
    <w:p w14:paraId="603C0E57" w14:textId="77777777" w:rsidR="005A5FCC" w:rsidRDefault="00A21C81">
      <w:pPr>
        <w:ind w:firstLine="238"/>
      </w:pPr>
      <w:r>
        <w:rPr>
          <w:rFonts w:cs="EB Garamond"/>
          <w:kern w:val="16"/>
          <w14:ligatures w14:val="standardContextual"/>
        </w:rPr>
        <w:t>Os princípios constitucionais analisados ao longo deste capítulo estiveram em permanente tensão na tramitação e na aplicação da EC 103. A reforma reforçou o equilíbrio financeiro e atuarial como diretriz central do sistema, justificando as restrições ao acesso e ao valor dos benefícios pela necessidade de sustentabilidade. A solidariedade fundamentou as alíquotas progressivas. A seletividade justificou a diferenciação entre incapacidade acidentária e não acidentária. A vedação do retrocesso, por outro lado, foi o principal argumento dos que questionaram a constitucionalidade das reduções no valor dos benefícios, especialmente os de incapacidade permanente. Essa tensão entre princípios não se resolve em abstrato: cada situação concreta trazida ao JEF exige do julgador a ponderação dos valores em jogo, à luz das circunstâncias do caso.</w:t>
      </w:r>
    </w:p>
    <w:p w14:paraId="7AFF0DE6"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1.22 Regras de transição da EC 103/2019 no RGPS</w:t>
      </w:r>
    </w:p>
    <w:p w14:paraId="25C518C8"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15547D9C" w14:textId="77777777" w:rsidR="005A5FCC" w:rsidRDefault="00A21C81">
      <w:r>
        <w:rPr>
          <w:rFonts w:cs="EB Garamond"/>
          <w:kern w:val="16"/>
          <w14:ligatures w14:val="standardContextual"/>
        </w:rPr>
        <w:t xml:space="preserve"> EC 103/2019 criou cinco regras de transição para os segurados que já estavam filiados ao RGPS antes de 13 de novembro de 2019, mas que não haviam completado os requisitos para aposentadoria na data de entrada em vigor da emenda. Cada regra combina de maneira distinta os critérios de idade, tempo de contribuição, pontuação e pedágio, e o segurado que preenche os requisitos de mais de uma delas tem direito à que lhe for mais vantajosa. A complexidade desse regime de transição gera expressivo volume de ações nos JEFs, tanto para reconhecimento do direito à aposentadoria quanto para revisão de benefícios concedidos administrativamente sem observância da regra mais favorável.</w:t>
      </w:r>
    </w:p>
    <w:p w14:paraId="6563920D" w14:textId="77777777" w:rsidR="005A5FCC" w:rsidRDefault="00A21C81">
      <w:pPr>
        <w:ind w:firstLine="238"/>
      </w:pPr>
      <w:r>
        <w:rPr>
          <w:rFonts w:cs="EB Garamond"/>
          <w:kern w:val="16"/>
          <w14:ligatures w14:val="standardContextual"/>
        </w:rPr>
        <w:t xml:space="preserve">As cinco regras de transição são: (i) sistema de pontos (art. 15), que exige pontuação mínima progressiva — 93 pontos para mulheres e 103 para homens em 2026, com teto de 100 (mulheres, em 2033) e 105 (homens, em 2028), além de tempo mínimo de contribuição de 30/35 anos. A progressão decorre do próprio art. 15, § 1º, da EC 103/2019, que partiu de 86 (mulher) e 96 (homem) no ano </w:t>
      </w:r>
      <w:r>
        <w:rPr>
          <w:rFonts w:cs="EB Garamond"/>
          <w:kern w:val="16"/>
          <w14:ligatures w14:val="standardContextual"/>
        </w:rPr>
        <w:lastRenderedPageBreak/>
        <w:t>de entrada em vigor e prevê acréscimo de um ponto a cada ano: em 2026, após sete acréscimos anuais, alcançam-se 93 e 103 pontos, respectivamente; (ii) idade mínima progressiva (art. 16), com idade de 59 anos e seis meses para mulheres e 64 anos e seis meses para homens em 2026, além de 30/35 anos de contribuição; (iii) pedágio de 50% (art. 17), acessível a quem estava a dois anos ou menos de completar o tempo mínimo em 13/11/2019, com aplicação do fator previdenciário; (iv) pedágio de 100% (art. 20, § 1º), que exige idade mínima fixa de 57/60 anos e concede benefício de 100% da média, sem o coeficiente redutor de 60% + 2%; e (v) transição da aposentadoria por idade (art. 18), com idade de 62 anos para mulheres (estabilizada desde 2023) e 65 para homens, e 15 anos de contribuição. Para professores, a pontuação exigida na regra dos pontos é reduzida em cinco pontos (v. Cap. 11). A análise detalhada de cada regra, com simulações numéricas e quadros comparativos, é desenvolvida nos Caps. 10 e 11.</w:t>
      </w:r>
    </w:p>
    <w:tbl>
      <w:tblPr>
        <w:tblW w:w="5000" w:type="pct"/>
        <w:jc w:val="center"/>
        <w:tblLayout w:type="fixed"/>
        <w:tblLook w:val="04A0" w:firstRow="1" w:lastRow="0" w:firstColumn="1" w:lastColumn="0" w:noHBand="0" w:noVBand="1"/>
      </w:tblPr>
      <w:tblGrid>
        <w:gridCol w:w="6311"/>
      </w:tblGrid>
      <w:tr w:rsidR="005A5FCC" w14:paraId="4311F48C" w14:textId="77777777">
        <w:trPr>
          <w:cantSplit/>
          <w:jc w:val="center"/>
        </w:trPr>
        <w:tc>
          <w:tcPr>
            <w:tcW w:w="6350" w:type="dxa"/>
            <w:tcBorders>
              <w:top w:val="single" w:sz="7" w:space="0" w:color="A09882"/>
              <w:left w:val="single" w:sz="24" w:space="0" w:color="6B6256"/>
              <w:bottom w:val="single" w:sz="7" w:space="0" w:color="A09882"/>
              <w:right w:val="single" w:sz="7" w:space="0" w:color="A09882"/>
            </w:tcBorders>
            <w:shd w:val="clear" w:color="auto" w:fill="F5F3EF"/>
            <w:tcMar>
              <w:top w:w="150" w:type="dxa"/>
              <w:left w:w="220" w:type="dxa"/>
              <w:bottom w:w="150" w:type="dxa"/>
              <w:right w:w="180" w:type="dxa"/>
            </w:tcMar>
          </w:tcPr>
          <w:p w14:paraId="37E6E865" w14:textId="77777777" w:rsidR="005A5FCC" w:rsidRDefault="00A21C81">
            <w:pPr>
              <w:spacing w:after="60" w:line="240" w:lineRule="auto"/>
              <w:jc w:val="left"/>
            </w:pPr>
            <w:r>
              <w:rPr>
                <w:rFonts w:ascii="Noto Sans" w:hAnsi="Noto Sans" w:cs="Noto Sans"/>
                <w:b/>
                <w:caps/>
                <w:color w:val="6B6256"/>
                <w:kern w:val="16"/>
                <w:sz w:val="16"/>
                <w14:ligatures w14:val="standardContextual"/>
              </w:rPr>
              <w:t>QUADRO</w:t>
            </w:r>
          </w:p>
          <w:p w14:paraId="306E4535" w14:textId="77777777" w:rsidR="005A5FCC" w:rsidRDefault="00A21C81">
            <w:pPr>
              <w:spacing w:after="60" w:line="247" w:lineRule="auto"/>
            </w:pPr>
            <w:r>
              <w:rPr>
                <w:rFonts w:cs="EB Garamond"/>
                <w:b/>
                <w:kern w:val="16"/>
                <w:sz w:val="19"/>
                <w14:ligatures w14:val="standardContextual"/>
              </w:rPr>
              <w:t>Quadro 1.3 — Regras de transição da EC 103/2019: comparativo (posição em 2026)</w:t>
            </w:r>
          </w:p>
          <w:tbl>
            <w:tblPr>
              <w:tblW w:w="5000" w:type="pct"/>
              <w:jc w:val="center"/>
              <w:tblLook w:val="04A0" w:firstRow="1" w:lastRow="0" w:firstColumn="1" w:lastColumn="0" w:noHBand="0" w:noVBand="1"/>
            </w:tblPr>
            <w:tblGrid>
              <w:gridCol w:w="1181"/>
              <w:gridCol w:w="1180"/>
              <w:gridCol w:w="1180"/>
              <w:gridCol w:w="1180"/>
              <w:gridCol w:w="1180"/>
            </w:tblGrid>
            <w:tr w:rsidR="005A5FCC" w14:paraId="3AEF64CF" w14:textId="77777777">
              <w:trPr>
                <w:tblHeader/>
                <w:jc w:val="center"/>
              </w:trPr>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1161C5EB" w14:textId="77777777" w:rsidR="005A5FCC" w:rsidRDefault="00A21C81">
                  <w:pPr>
                    <w:spacing w:before="30" w:after="30" w:line="240" w:lineRule="auto"/>
                    <w:jc w:val="center"/>
                  </w:pPr>
                  <w:r>
                    <w:rPr>
                      <w:rFonts w:cs="EB Garamond"/>
                      <w:b/>
                      <w:color w:val="2F2923"/>
                      <w:kern w:val="16"/>
                      <w:sz w:val="16"/>
                      <w14:ligatures w14:val="standardContextual"/>
                    </w:rPr>
                    <w:t>Regra</w:t>
                  </w:r>
                </w:p>
              </w:tc>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6EF27CAB" w14:textId="77777777" w:rsidR="005A5FCC" w:rsidRDefault="00A21C81">
                  <w:pPr>
                    <w:spacing w:before="30" w:after="30" w:line="240" w:lineRule="auto"/>
                    <w:jc w:val="center"/>
                  </w:pPr>
                  <w:r>
                    <w:rPr>
                      <w:rFonts w:cs="EB Garamond"/>
                      <w:b/>
                      <w:color w:val="2F2923"/>
                      <w:kern w:val="16"/>
                      <w:sz w:val="16"/>
                      <w14:ligatures w14:val="standardContextual"/>
                    </w:rPr>
                    <w:t>Idade mínima (2026)</w:t>
                  </w:r>
                </w:p>
              </w:tc>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67A5A414" w14:textId="77777777" w:rsidR="005A5FCC" w:rsidRDefault="00A21C81">
                  <w:pPr>
                    <w:spacing w:before="30" w:after="30" w:line="240" w:lineRule="auto"/>
                    <w:jc w:val="center"/>
                  </w:pPr>
                  <w:r>
                    <w:rPr>
                      <w:rFonts w:cs="EB Garamond"/>
                      <w:b/>
                      <w:color w:val="2F2923"/>
                      <w:kern w:val="16"/>
                      <w:sz w:val="16"/>
                      <w14:ligatures w14:val="standardContextual"/>
                    </w:rPr>
                    <w:t>Tempo de contribuição</w:t>
                  </w:r>
                </w:p>
              </w:tc>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58948C20" w14:textId="77777777" w:rsidR="005A5FCC" w:rsidRDefault="00A21C81">
                  <w:pPr>
                    <w:spacing w:before="30" w:after="30" w:line="240" w:lineRule="auto"/>
                    <w:jc w:val="center"/>
                  </w:pPr>
                  <w:r>
                    <w:rPr>
                      <w:rFonts w:cs="EB Garamond"/>
                      <w:b/>
                      <w:color w:val="2F2923"/>
                      <w:kern w:val="16"/>
                      <w:sz w:val="16"/>
                      <w14:ligatures w14:val="standardContextual"/>
                    </w:rPr>
                    <w:t>Pontos (2026)</w:t>
                  </w:r>
                </w:p>
              </w:tc>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55D080F0" w14:textId="77777777" w:rsidR="005A5FCC" w:rsidRDefault="00A21C81">
                  <w:pPr>
                    <w:spacing w:before="30" w:after="30" w:line="240" w:lineRule="auto"/>
                    <w:jc w:val="center"/>
                  </w:pPr>
                  <w:r>
                    <w:rPr>
                      <w:rFonts w:cs="EB Garamond"/>
                      <w:b/>
                      <w:color w:val="2F2923"/>
                      <w:kern w:val="16"/>
                      <w:sz w:val="16"/>
                      <w14:ligatures w14:val="standardContextual"/>
                    </w:rPr>
                    <w:t>Cálculo do benefício</w:t>
                  </w:r>
                </w:p>
              </w:tc>
            </w:tr>
            <w:tr w:rsidR="005A5FCC" w14:paraId="7913AA93"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0CFB2914" w14:textId="77777777" w:rsidR="005A5FCC" w:rsidRDefault="00A21C81">
                  <w:pPr>
                    <w:spacing w:before="20" w:after="20" w:line="240" w:lineRule="auto"/>
                    <w:jc w:val="left"/>
                  </w:pPr>
                  <w:r>
                    <w:rPr>
                      <w:rFonts w:cs="EB Garamond"/>
                      <w:kern w:val="16"/>
                      <w:sz w:val="16"/>
                      <w14:ligatures w14:val="standardContextual"/>
                    </w:rPr>
                    <w:t>Pontos (art. 15)</w:t>
                  </w:r>
                </w:p>
              </w:tc>
              <w:tc>
                <w:tcPr>
                  <w:tcW w:w="1270" w:type="dxa"/>
                  <w:tcBorders>
                    <w:top w:val="single" w:sz="4" w:space="0" w:color="D2C9B8"/>
                    <w:left w:val="single" w:sz="4" w:space="0" w:color="D2C9B8"/>
                    <w:bottom w:val="single" w:sz="4" w:space="0" w:color="D2C9B8"/>
                    <w:right w:val="single" w:sz="4" w:space="0" w:color="D2C9B8"/>
                  </w:tcBorders>
                </w:tcPr>
                <w:p w14:paraId="1A638982" w14:textId="77777777" w:rsidR="005A5FCC" w:rsidRDefault="00A21C81">
                  <w:pPr>
                    <w:spacing w:before="20" w:after="20" w:line="240" w:lineRule="auto"/>
                    <w:jc w:val="left"/>
                  </w:pPr>
                  <w:r>
                    <w:rPr>
                      <w:rFonts w:cs="EB Garamond"/>
                      <w:kern w:val="16"/>
                      <w:sz w:val="16"/>
                      <w14:ligatures w14:val="standardContextual"/>
                    </w:rPr>
                    <w:t>Sem exigência</w:t>
                  </w:r>
                </w:p>
              </w:tc>
              <w:tc>
                <w:tcPr>
                  <w:tcW w:w="1270" w:type="dxa"/>
                  <w:tcBorders>
                    <w:top w:val="single" w:sz="4" w:space="0" w:color="D2C9B8"/>
                    <w:left w:val="single" w:sz="4" w:space="0" w:color="D2C9B8"/>
                    <w:bottom w:val="single" w:sz="4" w:space="0" w:color="D2C9B8"/>
                    <w:right w:val="single" w:sz="4" w:space="0" w:color="D2C9B8"/>
                  </w:tcBorders>
                </w:tcPr>
                <w:p w14:paraId="779EFE44" w14:textId="77777777" w:rsidR="005A5FCC" w:rsidRDefault="00A21C81">
                  <w:pPr>
                    <w:spacing w:before="20" w:after="20" w:line="240" w:lineRule="auto"/>
                    <w:jc w:val="left"/>
                  </w:pPr>
                  <w:r>
                    <w:rPr>
                      <w:rFonts w:cs="EB Garamond"/>
                      <w:kern w:val="16"/>
                      <w:sz w:val="16"/>
                      <w14:ligatures w14:val="standardContextual"/>
                    </w:rPr>
                    <w:t>30 M / 35 H</w:t>
                  </w:r>
                </w:p>
              </w:tc>
              <w:tc>
                <w:tcPr>
                  <w:tcW w:w="1270" w:type="dxa"/>
                  <w:tcBorders>
                    <w:top w:val="single" w:sz="4" w:space="0" w:color="D2C9B8"/>
                    <w:left w:val="single" w:sz="4" w:space="0" w:color="D2C9B8"/>
                    <w:bottom w:val="single" w:sz="4" w:space="0" w:color="D2C9B8"/>
                    <w:right w:val="single" w:sz="4" w:space="0" w:color="D2C9B8"/>
                  </w:tcBorders>
                </w:tcPr>
                <w:p w14:paraId="298D5FD4" w14:textId="77777777" w:rsidR="005A5FCC" w:rsidRDefault="00A21C81">
                  <w:pPr>
                    <w:spacing w:before="20" w:after="20" w:line="240" w:lineRule="auto"/>
                    <w:jc w:val="left"/>
                  </w:pPr>
                  <w:r>
                    <w:rPr>
                      <w:rFonts w:cs="EB Garamond"/>
                      <w:kern w:val="16"/>
                      <w:sz w:val="16"/>
                      <w14:ligatures w14:val="standardContextual"/>
                    </w:rPr>
                    <w:t>93 M / 103 H</w:t>
                  </w:r>
                </w:p>
              </w:tc>
              <w:tc>
                <w:tcPr>
                  <w:tcW w:w="1270" w:type="dxa"/>
                  <w:tcBorders>
                    <w:top w:val="single" w:sz="4" w:space="0" w:color="D2C9B8"/>
                    <w:left w:val="single" w:sz="4" w:space="0" w:color="D2C9B8"/>
                    <w:bottom w:val="single" w:sz="4" w:space="0" w:color="D2C9B8"/>
                    <w:right w:val="single" w:sz="4" w:space="0" w:color="D2C9B8"/>
                  </w:tcBorders>
                </w:tcPr>
                <w:p w14:paraId="2FA21BDD" w14:textId="77777777" w:rsidR="005A5FCC" w:rsidRDefault="00A21C81">
                  <w:pPr>
                    <w:spacing w:before="20" w:after="20" w:line="240" w:lineRule="auto"/>
                    <w:jc w:val="left"/>
                  </w:pPr>
                  <w:r>
                    <w:rPr>
                      <w:rFonts w:cs="EB Garamond"/>
                      <w:kern w:val="16"/>
                      <w:sz w:val="16"/>
                      <w14:ligatures w14:val="standardContextual"/>
                    </w:rPr>
                    <w:t>60% + 2%/ano excedente</w:t>
                  </w:r>
                </w:p>
              </w:tc>
            </w:tr>
            <w:tr w:rsidR="005A5FCC" w14:paraId="1B5B5367"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0283B993" w14:textId="77777777" w:rsidR="005A5FCC" w:rsidRDefault="00A21C81">
                  <w:pPr>
                    <w:spacing w:before="20" w:after="20" w:line="240" w:lineRule="auto"/>
                    <w:jc w:val="left"/>
                  </w:pPr>
                  <w:r>
                    <w:rPr>
                      <w:rFonts w:cs="EB Garamond"/>
                      <w:kern w:val="16"/>
                      <w:sz w:val="16"/>
                      <w14:ligatures w14:val="standardContextual"/>
                    </w:rPr>
                    <w:t>Idade progressiva (art. 16)</w:t>
                  </w:r>
                </w:p>
              </w:tc>
              <w:tc>
                <w:tcPr>
                  <w:tcW w:w="1270" w:type="dxa"/>
                  <w:tcBorders>
                    <w:top w:val="single" w:sz="4" w:space="0" w:color="D2C9B8"/>
                    <w:left w:val="single" w:sz="4" w:space="0" w:color="D2C9B8"/>
                    <w:bottom w:val="single" w:sz="4" w:space="0" w:color="D2C9B8"/>
                    <w:right w:val="single" w:sz="4" w:space="0" w:color="D2C9B8"/>
                  </w:tcBorders>
                </w:tcPr>
                <w:p w14:paraId="1272ECBC" w14:textId="77777777" w:rsidR="005A5FCC" w:rsidRDefault="00A21C81">
                  <w:pPr>
                    <w:spacing w:before="20" w:after="20" w:line="240" w:lineRule="auto"/>
                    <w:jc w:val="left"/>
                  </w:pPr>
                  <w:r>
                    <w:rPr>
                      <w:rFonts w:cs="EB Garamond"/>
                      <w:kern w:val="16"/>
                      <w:sz w:val="16"/>
                      <w14:ligatures w14:val="standardContextual"/>
                    </w:rPr>
                    <w:t>59,5 M / 64,5 H</w:t>
                  </w:r>
                </w:p>
              </w:tc>
              <w:tc>
                <w:tcPr>
                  <w:tcW w:w="1270" w:type="dxa"/>
                  <w:tcBorders>
                    <w:top w:val="single" w:sz="4" w:space="0" w:color="D2C9B8"/>
                    <w:left w:val="single" w:sz="4" w:space="0" w:color="D2C9B8"/>
                    <w:bottom w:val="single" w:sz="4" w:space="0" w:color="D2C9B8"/>
                    <w:right w:val="single" w:sz="4" w:space="0" w:color="D2C9B8"/>
                  </w:tcBorders>
                </w:tcPr>
                <w:p w14:paraId="5DF0A1D8" w14:textId="77777777" w:rsidR="005A5FCC" w:rsidRDefault="00A21C81">
                  <w:pPr>
                    <w:spacing w:before="20" w:after="20" w:line="240" w:lineRule="auto"/>
                    <w:jc w:val="left"/>
                  </w:pPr>
                  <w:r>
                    <w:rPr>
                      <w:rFonts w:cs="EB Garamond"/>
                      <w:kern w:val="16"/>
                      <w:sz w:val="16"/>
                      <w14:ligatures w14:val="standardContextual"/>
                    </w:rPr>
                    <w:t>30 M / 35 H</w:t>
                  </w:r>
                </w:p>
              </w:tc>
              <w:tc>
                <w:tcPr>
                  <w:tcW w:w="1270" w:type="dxa"/>
                  <w:tcBorders>
                    <w:top w:val="single" w:sz="4" w:space="0" w:color="D2C9B8"/>
                    <w:left w:val="single" w:sz="4" w:space="0" w:color="D2C9B8"/>
                    <w:bottom w:val="single" w:sz="4" w:space="0" w:color="D2C9B8"/>
                    <w:right w:val="single" w:sz="4" w:space="0" w:color="D2C9B8"/>
                  </w:tcBorders>
                </w:tcPr>
                <w:p w14:paraId="737DB920" w14:textId="77777777" w:rsidR="005A5FCC" w:rsidRDefault="00A21C81">
                  <w:pPr>
                    <w:spacing w:before="20" w:after="20" w:line="240" w:lineRule="auto"/>
                    <w:jc w:val="left"/>
                  </w:pPr>
                  <w:r>
                    <w:rPr>
                      <w:rFonts w:cs="EB Garamond"/>
                      <w:kern w:val="16"/>
                      <w:sz w:val="16"/>
                      <w14:ligatures w14:val="standardContextual"/>
                    </w:rPr>
                    <w:t>---</w:t>
                  </w:r>
                </w:p>
              </w:tc>
              <w:tc>
                <w:tcPr>
                  <w:tcW w:w="1270" w:type="dxa"/>
                  <w:tcBorders>
                    <w:top w:val="single" w:sz="4" w:space="0" w:color="D2C9B8"/>
                    <w:left w:val="single" w:sz="4" w:space="0" w:color="D2C9B8"/>
                    <w:bottom w:val="single" w:sz="4" w:space="0" w:color="D2C9B8"/>
                    <w:right w:val="single" w:sz="4" w:space="0" w:color="D2C9B8"/>
                  </w:tcBorders>
                </w:tcPr>
                <w:p w14:paraId="393402C7" w14:textId="77777777" w:rsidR="005A5FCC" w:rsidRDefault="00A21C81">
                  <w:pPr>
                    <w:spacing w:before="20" w:after="20" w:line="240" w:lineRule="auto"/>
                    <w:jc w:val="left"/>
                  </w:pPr>
                  <w:r>
                    <w:rPr>
                      <w:rFonts w:cs="EB Garamond"/>
                      <w:kern w:val="16"/>
                      <w:sz w:val="16"/>
                      <w14:ligatures w14:val="standardContextual"/>
                    </w:rPr>
                    <w:t>60% + 2%/ano excedente</w:t>
                  </w:r>
                </w:p>
              </w:tc>
            </w:tr>
            <w:tr w:rsidR="005A5FCC" w14:paraId="6CAECEBB"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199B585C" w14:textId="77777777" w:rsidR="005A5FCC" w:rsidRDefault="00A21C81">
                  <w:pPr>
                    <w:spacing w:before="20" w:after="20" w:line="240" w:lineRule="auto"/>
                    <w:jc w:val="left"/>
                  </w:pPr>
                  <w:r>
                    <w:rPr>
                      <w:rFonts w:cs="EB Garamond"/>
                      <w:kern w:val="16"/>
                      <w:sz w:val="16"/>
                      <w14:ligatures w14:val="standardContextual"/>
                    </w:rPr>
                    <w:t>Pedágio 50% (art. 17)</w:t>
                  </w:r>
                </w:p>
              </w:tc>
              <w:tc>
                <w:tcPr>
                  <w:tcW w:w="1270" w:type="dxa"/>
                  <w:tcBorders>
                    <w:top w:val="single" w:sz="4" w:space="0" w:color="D2C9B8"/>
                    <w:left w:val="single" w:sz="4" w:space="0" w:color="D2C9B8"/>
                    <w:bottom w:val="single" w:sz="4" w:space="0" w:color="D2C9B8"/>
                    <w:right w:val="single" w:sz="4" w:space="0" w:color="D2C9B8"/>
                  </w:tcBorders>
                </w:tcPr>
                <w:p w14:paraId="77996EE6" w14:textId="77777777" w:rsidR="005A5FCC" w:rsidRDefault="00A21C81">
                  <w:pPr>
                    <w:spacing w:before="20" w:after="20" w:line="240" w:lineRule="auto"/>
                    <w:jc w:val="left"/>
                  </w:pPr>
                  <w:r>
                    <w:rPr>
                      <w:rFonts w:cs="EB Garamond"/>
                      <w:kern w:val="16"/>
                      <w:sz w:val="16"/>
                      <w14:ligatures w14:val="standardContextual"/>
                    </w:rPr>
                    <w:t>Sem exigência</w:t>
                  </w:r>
                </w:p>
              </w:tc>
              <w:tc>
                <w:tcPr>
                  <w:tcW w:w="1270" w:type="dxa"/>
                  <w:tcBorders>
                    <w:top w:val="single" w:sz="4" w:space="0" w:color="D2C9B8"/>
                    <w:left w:val="single" w:sz="4" w:space="0" w:color="D2C9B8"/>
                    <w:bottom w:val="single" w:sz="4" w:space="0" w:color="D2C9B8"/>
                    <w:right w:val="single" w:sz="4" w:space="0" w:color="D2C9B8"/>
                  </w:tcBorders>
                </w:tcPr>
                <w:p w14:paraId="54407792" w14:textId="77777777" w:rsidR="005A5FCC" w:rsidRDefault="00A21C81">
                  <w:pPr>
                    <w:spacing w:before="20" w:after="20" w:line="240" w:lineRule="auto"/>
                    <w:jc w:val="left"/>
                  </w:pPr>
                  <w:r>
                    <w:rPr>
                      <w:rFonts w:cs="EB Garamond"/>
                      <w:kern w:val="16"/>
                      <w:sz w:val="16"/>
                      <w14:ligatures w14:val="standardContextual"/>
                    </w:rPr>
                    <w:t>30 M / 35 H + pedágio</w:t>
                  </w:r>
                </w:p>
              </w:tc>
              <w:tc>
                <w:tcPr>
                  <w:tcW w:w="1270" w:type="dxa"/>
                  <w:tcBorders>
                    <w:top w:val="single" w:sz="4" w:space="0" w:color="D2C9B8"/>
                    <w:left w:val="single" w:sz="4" w:space="0" w:color="D2C9B8"/>
                    <w:bottom w:val="single" w:sz="4" w:space="0" w:color="D2C9B8"/>
                    <w:right w:val="single" w:sz="4" w:space="0" w:color="D2C9B8"/>
                  </w:tcBorders>
                </w:tcPr>
                <w:p w14:paraId="48380C5B" w14:textId="77777777" w:rsidR="005A5FCC" w:rsidRDefault="00A21C81">
                  <w:pPr>
                    <w:spacing w:before="20" w:after="20" w:line="240" w:lineRule="auto"/>
                    <w:jc w:val="left"/>
                  </w:pPr>
                  <w:r>
                    <w:rPr>
                      <w:rFonts w:cs="EB Garamond"/>
                      <w:kern w:val="16"/>
                      <w:sz w:val="16"/>
                      <w14:ligatures w14:val="standardContextual"/>
                    </w:rPr>
                    <w:t>---</w:t>
                  </w:r>
                </w:p>
              </w:tc>
              <w:tc>
                <w:tcPr>
                  <w:tcW w:w="1270" w:type="dxa"/>
                  <w:tcBorders>
                    <w:top w:val="single" w:sz="4" w:space="0" w:color="D2C9B8"/>
                    <w:left w:val="single" w:sz="4" w:space="0" w:color="D2C9B8"/>
                    <w:bottom w:val="single" w:sz="4" w:space="0" w:color="D2C9B8"/>
                    <w:right w:val="single" w:sz="4" w:space="0" w:color="D2C9B8"/>
                  </w:tcBorders>
                </w:tcPr>
                <w:p w14:paraId="293EE39D" w14:textId="77777777" w:rsidR="005A5FCC" w:rsidRDefault="00A21C81">
                  <w:pPr>
                    <w:spacing w:before="20" w:after="20" w:line="240" w:lineRule="auto"/>
                    <w:jc w:val="left"/>
                  </w:pPr>
                  <w:r>
                    <w:rPr>
                      <w:rFonts w:cs="EB Garamond"/>
                      <w:kern w:val="16"/>
                      <w:sz w:val="16"/>
                      <w14:ligatures w14:val="standardContextual"/>
                    </w:rPr>
                    <w:t>Com fator previdenciário</w:t>
                  </w:r>
                </w:p>
              </w:tc>
            </w:tr>
            <w:tr w:rsidR="005A5FCC" w14:paraId="57C88A47"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093DCDD4" w14:textId="77777777" w:rsidR="005A5FCC" w:rsidRDefault="00A21C81">
                  <w:pPr>
                    <w:spacing w:before="20" w:after="20" w:line="240" w:lineRule="auto"/>
                    <w:jc w:val="left"/>
                  </w:pPr>
                  <w:r>
                    <w:rPr>
                      <w:rFonts w:cs="EB Garamond"/>
                      <w:kern w:val="16"/>
                      <w:sz w:val="16"/>
                      <w14:ligatures w14:val="standardContextual"/>
                    </w:rPr>
                    <w:t>Pedágio 100% (art. 20)</w:t>
                  </w:r>
                </w:p>
              </w:tc>
              <w:tc>
                <w:tcPr>
                  <w:tcW w:w="1270" w:type="dxa"/>
                  <w:tcBorders>
                    <w:top w:val="single" w:sz="4" w:space="0" w:color="D2C9B8"/>
                    <w:left w:val="single" w:sz="4" w:space="0" w:color="D2C9B8"/>
                    <w:bottom w:val="single" w:sz="4" w:space="0" w:color="D2C9B8"/>
                    <w:right w:val="single" w:sz="4" w:space="0" w:color="D2C9B8"/>
                  </w:tcBorders>
                </w:tcPr>
                <w:p w14:paraId="230DF517" w14:textId="77777777" w:rsidR="005A5FCC" w:rsidRDefault="00A21C81">
                  <w:pPr>
                    <w:spacing w:before="20" w:after="20" w:line="240" w:lineRule="auto"/>
                    <w:jc w:val="left"/>
                  </w:pPr>
                  <w:r>
                    <w:rPr>
                      <w:rFonts w:cs="EB Garamond"/>
                      <w:kern w:val="16"/>
                      <w:sz w:val="16"/>
                      <w14:ligatures w14:val="standardContextual"/>
                    </w:rPr>
                    <w:t>57 M / 60 H</w:t>
                  </w:r>
                </w:p>
              </w:tc>
              <w:tc>
                <w:tcPr>
                  <w:tcW w:w="1270" w:type="dxa"/>
                  <w:tcBorders>
                    <w:top w:val="single" w:sz="4" w:space="0" w:color="D2C9B8"/>
                    <w:left w:val="single" w:sz="4" w:space="0" w:color="D2C9B8"/>
                    <w:bottom w:val="single" w:sz="4" w:space="0" w:color="D2C9B8"/>
                    <w:right w:val="single" w:sz="4" w:space="0" w:color="D2C9B8"/>
                  </w:tcBorders>
                </w:tcPr>
                <w:p w14:paraId="69803A3C" w14:textId="77777777" w:rsidR="005A5FCC" w:rsidRDefault="00A21C81">
                  <w:pPr>
                    <w:spacing w:before="20" w:after="20" w:line="240" w:lineRule="auto"/>
                    <w:jc w:val="left"/>
                  </w:pPr>
                  <w:r>
                    <w:rPr>
                      <w:rFonts w:cs="EB Garamond"/>
                      <w:kern w:val="16"/>
                      <w:sz w:val="16"/>
                      <w14:ligatures w14:val="standardContextual"/>
                    </w:rPr>
                    <w:t>30 M / 35 H + pedágio</w:t>
                  </w:r>
                </w:p>
              </w:tc>
              <w:tc>
                <w:tcPr>
                  <w:tcW w:w="1270" w:type="dxa"/>
                  <w:tcBorders>
                    <w:top w:val="single" w:sz="4" w:space="0" w:color="D2C9B8"/>
                    <w:left w:val="single" w:sz="4" w:space="0" w:color="D2C9B8"/>
                    <w:bottom w:val="single" w:sz="4" w:space="0" w:color="D2C9B8"/>
                    <w:right w:val="single" w:sz="4" w:space="0" w:color="D2C9B8"/>
                  </w:tcBorders>
                </w:tcPr>
                <w:p w14:paraId="7747098D" w14:textId="77777777" w:rsidR="005A5FCC" w:rsidRDefault="00A21C81">
                  <w:pPr>
                    <w:spacing w:before="20" w:after="20" w:line="240" w:lineRule="auto"/>
                    <w:jc w:val="left"/>
                  </w:pPr>
                  <w:r>
                    <w:rPr>
                      <w:rFonts w:cs="EB Garamond"/>
                      <w:kern w:val="16"/>
                      <w:sz w:val="16"/>
                      <w14:ligatures w14:val="standardContextual"/>
                    </w:rPr>
                    <w:t>---</w:t>
                  </w:r>
                </w:p>
              </w:tc>
              <w:tc>
                <w:tcPr>
                  <w:tcW w:w="1270" w:type="dxa"/>
                  <w:tcBorders>
                    <w:top w:val="single" w:sz="4" w:space="0" w:color="D2C9B8"/>
                    <w:left w:val="single" w:sz="4" w:space="0" w:color="D2C9B8"/>
                    <w:bottom w:val="single" w:sz="4" w:space="0" w:color="D2C9B8"/>
                    <w:right w:val="single" w:sz="4" w:space="0" w:color="D2C9B8"/>
                  </w:tcBorders>
                </w:tcPr>
                <w:p w14:paraId="7B466CCA" w14:textId="77777777" w:rsidR="005A5FCC" w:rsidRDefault="00A21C81">
                  <w:pPr>
                    <w:spacing w:before="20" w:after="20" w:line="240" w:lineRule="auto"/>
                    <w:jc w:val="left"/>
                  </w:pPr>
                  <w:r>
                    <w:rPr>
                      <w:rFonts w:cs="EB Garamond"/>
                      <w:kern w:val="16"/>
                      <w:sz w:val="16"/>
                      <w14:ligatures w14:val="standardContextual"/>
                    </w:rPr>
                    <w:t>100% da média</w:t>
                  </w:r>
                </w:p>
              </w:tc>
            </w:tr>
            <w:tr w:rsidR="005A5FCC" w14:paraId="106CE4B8"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436D9A3D" w14:textId="77777777" w:rsidR="005A5FCC" w:rsidRDefault="00A21C81">
                  <w:pPr>
                    <w:spacing w:before="20" w:after="20" w:line="240" w:lineRule="auto"/>
                    <w:jc w:val="left"/>
                  </w:pPr>
                  <w:r>
                    <w:rPr>
                      <w:rFonts w:cs="EB Garamond"/>
                      <w:kern w:val="16"/>
                      <w:sz w:val="16"/>
                      <w14:ligatures w14:val="standardContextual"/>
                    </w:rPr>
                    <w:t>Idade (art. 18)</w:t>
                  </w:r>
                </w:p>
              </w:tc>
              <w:tc>
                <w:tcPr>
                  <w:tcW w:w="1270" w:type="dxa"/>
                  <w:tcBorders>
                    <w:top w:val="single" w:sz="4" w:space="0" w:color="D2C9B8"/>
                    <w:left w:val="single" w:sz="4" w:space="0" w:color="D2C9B8"/>
                    <w:bottom w:val="single" w:sz="4" w:space="0" w:color="D2C9B8"/>
                    <w:right w:val="single" w:sz="4" w:space="0" w:color="D2C9B8"/>
                  </w:tcBorders>
                </w:tcPr>
                <w:p w14:paraId="5EC2E4D5" w14:textId="77777777" w:rsidR="005A5FCC" w:rsidRDefault="00A21C81">
                  <w:pPr>
                    <w:spacing w:before="20" w:after="20" w:line="240" w:lineRule="auto"/>
                    <w:jc w:val="left"/>
                  </w:pPr>
                  <w:r>
                    <w:rPr>
                      <w:rFonts w:cs="EB Garamond"/>
                      <w:kern w:val="16"/>
                      <w:sz w:val="16"/>
                      <w14:ligatures w14:val="standardContextual"/>
                    </w:rPr>
                    <w:t>62 M / 65 H</w:t>
                  </w:r>
                </w:p>
              </w:tc>
              <w:tc>
                <w:tcPr>
                  <w:tcW w:w="1270" w:type="dxa"/>
                  <w:tcBorders>
                    <w:top w:val="single" w:sz="4" w:space="0" w:color="D2C9B8"/>
                    <w:left w:val="single" w:sz="4" w:space="0" w:color="D2C9B8"/>
                    <w:bottom w:val="single" w:sz="4" w:space="0" w:color="D2C9B8"/>
                    <w:right w:val="single" w:sz="4" w:space="0" w:color="D2C9B8"/>
                  </w:tcBorders>
                </w:tcPr>
                <w:p w14:paraId="75D1B4F0" w14:textId="77777777" w:rsidR="005A5FCC" w:rsidRDefault="00A21C81">
                  <w:pPr>
                    <w:spacing w:before="20" w:after="20" w:line="240" w:lineRule="auto"/>
                    <w:jc w:val="left"/>
                  </w:pPr>
                  <w:r>
                    <w:rPr>
                      <w:rFonts w:cs="EB Garamond"/>
                      <w:kern w:val="16"/>
                      <w:sz w:val="16"/>
                      <w14:ligatures w14:val="standardContextual"/>
                    </w:rPr>
                    <w:t>15 M / 15 H</w:t>
                  </w:r>
                </w:p>
              </w:tc>
              <w:tc>
                <w:tcPr>
                  <w:tcW w:w="1270" w:type="dxa"/>
                  <w:tcBorders>
                    <w:top w:val="single" w:sz="4" w:space="0" w:color="D2C9B8"/>
                    <w:left w:val="single" w:sz="4" w:space="0" w:color="D2C9B8"/>
                    <w:bottom w:val="single" w:sz="4" w:space="0" w:color="D2C9B8"/>
                    <w:right w:val="single" w:sz="4" w:space="0" w:color="D2C9B8"/>
                  </w:tcBorders>
                </w:tcPr>
                <w:p w14:paraId="09175B2B" w14:textId="77777777" w:rsidR="005A5FCC" w:rsidRDefault="00A21C81">
                  <w:pPr>
                    <w:spacing w:before="20" w:after="20" w:line="240" w:lineRule="auto"/>
                    <w:jc w:val="left"/>
                  </w:pPr>
                  <w:r>
                    <w:rPr>
                      <w:rFonts w:cs="EB Garamond"/>
                      <w:kern w:val="16"/>
                      <w:sz w:val="16"/>
                      <w14:ligatures w14:val="standardContextual"/>
                    </w:rPr>
                    <w:t>---</w:t>
                  </w:r>
                </w:p>
              </w:tc>
              <w:tc>
                <w:tcPr>
                  <w:tcW w:w="1270" w:type="dxa"/>
                  <w:tcBorders>
                    <w:top w:val="single" w:sz="4" w:space="0" w:color="D2C9B8"/>
                    <w:left w:val="single" w:sz="4" w:space="0" w:color="D2C9B8"/>
                    <w:bottom w:val="single" w:sz="4" w:space="0" w:color="D2C9B8"/>
                    <w:right w:val="single" w:sz="4" w:space="0" w:color="D2C9B8"/>
                  </w:tcBorders>
                </w:tcPr>
                <w:p w14:paraId="60113D63" w14:textId="77777777" w:rsidR="005A5FCC" w:rsidRDefault="00A21C81">
                  <w:pPr>
                    <w:spacing w:before="20" w:after="20" w:line="240" w:lineRule="auto"/>
                    <w:jc w:val="left"/>
                  </w:pPr>
                  <w:r>
                    <w:rPr>
                      <w:rFonts w:cs="EB Garamond"/>
                      <w:kern w:val="16"/>
                      <w:sz w:val="16"/>
                      <w14:ligatures w14:val="standardContextual"/>
                    </w:rPr>
                    <w:t>60% + 2%/ano excedente</w:t>
                  </w:r>
                </w:p>
              </w:tc>
            </w:tr>
          </w:tbl>
          <w:p w14:paraId="3C8F33F2" w14:textId="77777777" w:rsidR="005A5FCC" w:rsidRDefault="005A5FCC"/>
          <w:p w14:paraId="5CC8A13B" w14:textId="77777777" w:rsidR="005A5FCC" w:rsidRDefault="005A5FCC">
            <w:pPr>
              <w:spacing w:after="0" w:line="240" w:lineRule="auto"/>
            </w:pPr>
          </w:p>
          <w:p w14:paraId="17DE37DE" w14:textId="77777777" w:rsidR="005A5FCC" w:rsidRDefault="00A21C81">
            <w:pPr>
              <w:spacing w:after="60" w:line="247" w:lineRule="auto"/>
            </w:pPr>
            <w:r>
              <w:rPr>
                <w:rFonts w:cs="EB Garamond"/>
                <w:kern w:val="16"/>
                <w:sz w:val="19"/>
                <w14:ligatures w14:val="standardContextual"/>
              </w:rPr>
              <w:t>M = mulher; H = homem. Pontuação do art. 15: base de 86 M / 96 H na vigência da EC 103/2019, com acréscimo de 1 ponto por ano (art. 15, § 1º) até o teto de 100 M (2033) e 105 H (2028); em 2026, 93 M / 103 H.</w:t>
            </w:r>
          </w:p>
        </w:tc>
      </w:tr>
    </w:tbl>
    <w:p w14:paraId="22DF81D7" w14:textId="77777777" w:rsidR="005A5FCC" w:rsidRDefault="005A5FCC">
      <w:pPr>
        <w:spacing w:after="80" w:line="240" w:lineRule="auto"/>
      </w:pPr>
    </w:p>
    <w:p w14:paraId="7384ECEB"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O</w:t>
      </w:r>
    </w:p>
    <w:p w14:paraId="4D81EF14" w14:textId="77777777" w:rsidR="005A5FCC" w:rsidRDefault="00A21C81">
      <w:r>
        <w:rPr>
          <w:rFonts w:cs="EB Garamond"/>
          <w:kern w:val="16"/>
          <w14:ligatures w14:val="standardContextual"/>
        </w:rPr>
        <w:t xml:space="preserve"> direito ao melhor benefício nas regras de transição é ponto central para a prática nos JEFs. O segurado que preenche os requisitos de mais de uma regra tem direito àquela que resulte no benefício mais vantajoso. A IN INSS/PRES 128/2022 (art. 687) impõe ao INSS o dever de calcular o benefício por todas as regras de transição aplicáveis e conceder o que apresentar maior valor. Na prática administrativa, esse dever nem sempre é cumprido. Os capítulos dedicados às aposentadorias em espécie (Caps. 8-10) detalham a aplicação de cada regra de transição ao benefício respectivo, com simulações numéricas para os diversos perfis de segurados.</w:t>
      </w:r>
    </w:p>
    <w:p w14:paraId="0CBDA7EA"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1.23 EC 132/2023 (reforma tributária) e EC 136/2025: desdobramentos recentes</w:t>
      </w:r>
    </w:p>
    <w:p w14:paraId="62DF60B9"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2E8E7333" w14:textId="77777777" w:rsidR="005A5FCC" w:rsidRDefault="00A21C81">
      <w:r>
        <w:rPr>
          <w:rFonts w:cs="EB Garamond"/>
          <w:kern w:val="16"/>
          <w14:ligatures w14:val="standardContextual"/>
        </w:rPr>
        <w:t xml:space="preserve"> Emenda Constitucional 132, de 20 de dezembro de 2023, reformou o sistema tributário nacional e produziu impacto indireto, mas potencialmente relevante, sobre o financiamento da seguridade social. A principal alteração consistiu na substituição progressiva do PIS/COFINS pela CBS (Contribuição sobre Bens e Serviços) e do ICMS e ISS pelo IBS (Imposto sobre Bens e Serviços). A CBS, por ser formalmente contribuição social, mantém vinculação constitucional ao financiamento da seguridade (art. 195, V, CF, na nova redação). A transição entre os sistemas tributários ocorrerá de 2026 a 2033, período durante o qual os tributos antigos coexistirão com os novos. Essa coexistência gera incertezas quanto ao volume de recursos destinados à seguridade social, pois a partilha federativa da receita do IBS e a regulamentação complementar da CBS ainda estão em consolidação.</w:t>
      </w:r>
    </w:p>
    <w:p w14:paraId="29E624C6" w14:textId="7D3EFA2F" w:rsidR="005A5FCC" w:rsidRDefault="00A21C81">
      <w:pPr>
        <w:ind w:firstLine="238"/>
      </w:pPr>
      <w:r>
        <w:rPr>
          <w:rFonts w:cs="EB Garamond"/>
          <w:kern w:val="16"/>
          <w14:ligatures w14:val="standardContextual"/>
        </w:rPr>
        <w:t xml:space="preserve">Para o RGPS especificamente, o impacto da EC 132/2023 é indireto. A contribuição previdenciária sobre a folha de pagamento, que constitui a principal receita do RGPS, não foi alterada pela reforma tributária. As mudanças afetam primariamente as contribuições sobre faturamento e lucro (PIS/COFINS/CSLL), que integram o orçamento amplo da seguridade </w:t>
      </w:r>
      <w:r w:rsidR="00B75FE7">
        <w:rPr>
          <w:rFonts w:cs="EB Garamond"/>
          <w:kern w:val="16"/>
          <w14:ligatures w14:val="standardContextual"/>
        </w:rPr>
        <w:t>social,</w:t>
      </w:r>
      <w:r>
        <w:rPr>
          <w:rFonts w:cs="EB Garamond"/>
          <w:kern w:val="16"/>
          <w14:ligatures w14:val="standardContextual"/>
        </w:rPr>
        <w:t xml:space="preserve"> mas não financiam diretamente o RGPS. A questão que se coloca é se a reestruturação das fontes de financiamento da seguridade, no seu conjunto, afetará a capacidade do sistema de </w:t>
      </w:r>
      <w:r>
        <w:rPr>
          <w:rFonts w:cs="EB Garamond"/>
          <w:kern w:val="16"/>
          <w14:ligatures w14:val="standardContextual"/>
        </w:rPr>
        <w:lastRenderedPageBreak/>
        <w:t>absorver as despesas com benefícios previdenciários no médio e longo prazo. A desoneração da folha de pagamento para determinados setores econômicos (Lei 14.784/2023, prorrogada até 2027), que substitui a contribuição patronal de 20% sobre a folha por alíquotas sobre a receita bruta, adiciona complexidade ao quadro, pois a compensação pelo Tesouro Nacional é objeto de controvérsia recorrente.</w:t>
      </w:r>
    </w:p>
    <w:p w14:paraId="7D1D9113" w14:textId="77777777" w:rsidR="005A5FCC" w:rsidRDefault="00A21C81">
      <w:pPr>
        <w:ind w:firstLine="238"/>
      </w:pPr>
      <w:r>
        <w:rPr>
          <w:rFonts w:cs="EB Garamond"/>
          <w:kern w:val="16"/>
          <w14:ligatures w14:val="standardContextual"/>
        </w:rPr>
        <w:t>A Emenda Constitucional 136, promulgada em 2025 (cuja redação final deve ser conferida no Diário Oficial da União, dado que a emenda foi promulgada durante a elaboração desta obra), introduziu alterações no regime de pagamento de precatórios e requisições de pequeno valor (RPVs) que repercutem diretamente na execução de condenações em ações previdenciárias. A mudança de maior impacto para os segurados que litigam nos JEFs foi a substituição da taxa SELIC por IPCA + 2% ao ano, limitado à SELIC, como índice de correção monetária e juros de mora nos precatórios federais. Em cenário de SELIC elevada, como o verificado em 2026 (14,50% ao ano), a diferença entre os dois critérios é substancial. Se o IPCA acumulado em doze meses for de 5%, a correção pelo novo regime resulta em aproximadamente 7% ao ano, contra 14,50% pelo regime anterior. A redução atinge diretamente o valor que o segurado recebe ao final de ações previdenciárias de longo trâmite, especialmente aquelas que tramitam por anos até o trânsito em julgado e a expedição do precatório ou da RPV.</w:t>
      </w:r>
    </w:p>
    <w:p w14:paraId="72537B3D" w14:textId="4467D12A" w:rsidR="005A5FCC" w:rsidRDefault="00A21C81">
      <w:pPr>
        <w:ind w:firstLine="238"/>
      </w:pPr>
      <w:r>
        <w:rPr>
          <w:rFonts w:cs="EB Garamond"/>
          <w:kern w:val="16"/>
          <w14:ligatures w14:val="standardContextual"/>
        </w:rPr>
        <w:t xml:space="preserve">A questão mais relevante suscitada pela EC 136/2025 diz respeito à sua aplicabilidade temporal e ao seu alcance material. Aplica-se apenas a precatórios expedidos após a promulgação da emenda, ou alcança também os já inscritos e pendentes de pagamento? Abrange apenas precatórios propriamente ditos, ou estende-se às RPVs (até 60 </w:t>
      </w:r>
      <w:r w:rsidR="00B75FE7">
        <w:rPr>
          <w:rFonts w:cs="EB Garamond"/>
          <w:kern w:val="16"/>
          <w14:ligatures w14:val="standardContextual"/>
        </w:rPr>
        <w:t>salários-mínimos</w:t>
      </w:r>
      <w:r>
        <w:rPr>
          <w:rFonts w:cs="EB Garamond"/>
          <w:kern w:val="16"/>
          <w14:ligatures w14:val="standardContextual"/>
        </w:rPr>
        <w:t>, equivalentes a R$ 97.260,00 em 2026), que constituem a esmagadora maioria dos pagamentos em ações previdenciárias nos JEFs? Essas questões estão em discussão no STF, com ADIs já ajuizadas questionando a constitucionalidade da alteração. Os argumentos dos impugnantes fundam-se na irredutibilidade do valor dos benefícios (art. 194, parágrafo único, IV, CF), na preservação do valor real (art. 201, § 4º, CF) e na vedação do retrocesso social: se o crédito do segurado contra a Fazenda Pública já havia sido reconhecido judicialmente com base em determinado índice de correção, a alte</w:t>
      </w:r>
      <w:r>
        <w:rPr>
          <w:rFonts w:cs="EB Garamond"/>
          <w:kern w:val="16"/>
          <w14:ligatures w14:val="standardContextual"/>
        </w:rPr>
        <w:lastRenderedPageBreak/>
        <w:t>ração superveniente do critério configuraria redução do valor efetivamente devido. O tratamento detalhado da correção monetária e dos juros em ações previdenciárias está no Cap. 17, seções 17.3 a 17.5.</w:t>
      </w:r>
    </w:p>
    <w:tbl>
      <w:tblPr>
        <w:tblW w:w="5000" w:type="pct"/>
        <w:jc w:val="center"/>
        <w:tblLayout w:type="fixed"/>
        <w:tblLook w:val="04A0" w:firstRow="1" w:lastRow="0" w:firstColumn="1" w:lastColumn="0" w:noHBand="0" w:noVBand="1"/>
      </w:tblPr>
      <w:tblGrid>
        <w:gridCol w:w="6311"/>
      </w:tblGrid>
      <w:tr w:rsidR="005A5FCC" w14:paraId="1E1EB589"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07ABBE63" w14:textId="77777777" w:rsidR="005A5FCC" w:rsidRDefault="00A21C81">
            <w:pPr>
              <w:spacing w:after="60" w:line="240" w:lineRule="auto"/>
              <w:jc w:val="left"/>
            </w:pPr>
            <w:r>
              <w:rPr>
                <w:rFonts w:ascii="Noto Sans" w:hAnsi="Noto Sans" w:cs="Noto Sans"/>
                <w:b/>
                <w:caps/>
                <w:color w:val="4D6F8A"/>
                <w:kern w:val="16"/>
                <w:sz w:val="16"/>
                <w14:ligatures w14:val="standardContextual"/>
              </w:rPr>
              <w:t>JURISPRUDÊNCIA EM DESTAQUE</w:t>
            </w:r>
          </w:p>
          <w:p w14:paraId="62B38CBE" w14:textId="77777777" w:rsidR="005A5FCC" w:rsidRDefault="00A21C81">
            <w:pPr>
              <w:spacing w:after="60" w:line="247" w:lineRule="auto"/>
            </w:pPr>
            <w:r>
              <w:rPr>
                <w:rFonts w:cs="EB Garamond"/>
                <w:b/>
                <w:kern w:val="16"/>
                <w:sz w:val="19"/>
                <w14:ligatures w14:val="standardContextual"/>
              </w:rPr>
              <w:t>EC 136/2025 e o novo regime de correção de precatórios</w:t>
            </w:r>
            <w:r>
              <w:rPr>
                <w:rFonts w:cs="EB Garamond"/>
                <w:kern w:val="16"/>
                <w:sz w:val="19"/>
                <w14:ligatures w14:val="standardContextual"/>
              </w:rPr>
              <w:t xml:space="preserve"> </w:t>
            </w:r>
            <w:r>
              <w:rPr>
                <w:rFonts w:cs="EB Garamond"/>
                <w:i/>
                <w:kern w:val="16"/>
                <w:sz w:val="19"/>
                <w14:ligatures w14:val="standardContextual"/>
              </w:rPr>
              <w:t>(nota: verificar redação final no DOU)</w:t>
            </w:r>
          </w:p>
          <w:p w14:paraId="1D2B3861" w14:textId="77777777" w:rsidR="005A5FCC" w:rsidRDefault="00A21C81">
            <w:pPr>
              <w:spacing w:after="60" w:line="247" w:lineRule="auto"/>
            </w:pPr>
            <w:r>
              <w:rPr>
                <w:rFonts w:cs="EB Garamond"/>
                <w:kern w:val="16"/>
                <w:sz w:val="19"/>
                <w14:ligatures w14:val="standardContextual"/>
              </w:rPr>
              <w:t>A EC 136/2025 substituiu a taxa SELIC por IPCA + 2% ao ano (limitado à SELIC) como critério de correção monetária e juros de mora nos precatórios federais. Em cenário de SELIC a 14,50% a.a. E IPCA a 5%, a nova regra resulta em correção de aproximadamente 7% ao ano, menos da metade do regime anterior. A mudança afeta diretamente o valor que o segurado recebe ao final de ações previdenciárias de longo trâmite. A constitucionalidade da medida está sendo questionada no STF, com argumentos fundados na irredutibilidade do valor dos benefícios (art. 194, IV), na preservação do valor real (art. 201, § 4º) e na vedação do retrocesso social. Para os JEFs, a questão prática imediata é a definição do índice aplicável aos cálculos de liquidação em execuções já em curso.</w:t>
            </w:r>
          </w:p>
        </w:tc>
      </w:tr>
    </w:tbl>
    <w:p w14:paraId="1B270983" w14:textId="77777777" w:rsidR="005A5FCC" w:rsidRDefault="005A5FCC">
      <w:pPr>
        <w:spacing w:after="80" w:line="240" w:lineRule="auto"/>
      </w:pPr>
    </w:p>
    <w:p w14:paraId="43A497AB"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1.24 Consolidação das posições adotadas</w:t>
      </w:r>
    </w:p>
    <w:p w14:paraId="1C5B53FD"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76B1D4B8" w14:textId="77777777" w:rsidR="005A5FCC" w:rsidRDefault="00A21C81">
      <w:r>
        <w:rPr>
          <w:rFonts w:cs="EB Garamond"/>
          <w:kern w:val="16"/>
          <w14:ligatures w14:val="standardContextual"/>
        </w:rPr>
        <w:t>o longo deste capítulo, examinamos a evolução histórica da proteção social no Brasil, os princípios constitucionais que informam a seguridade e a previdência social, e as reformas constitucionais que redesenharam o RGPS ao longo das últimas três décadas. Cada tema analisado reflete posições interpretativas que adotamos e que orientarão o tratamento dos institutos específicos nos capítulos subsequentes. Consolidamos aqui essas posições, com remissão às seções em que foram desenvolvidas, para que o leitor possa consultá-las de forma sistematizada.</w:t>
      </w:r>
    </w:p>
    <w:p w14:paraId="1F3A7F72" w14:textId="281F801F" w:rsidR="005A5FCC" w:rsidRDefault="00A21C81">
      <w:pPr>
        <w:ind w:firstLine="238"/>
      </w:pPr>
      <w:r>
        <w:rPr>
          <w:rFonts w:cs="EB Garamond"/>
          <w:b/>
          <w:kern w:val="16"/>
          <w14:ligatures w14:val="standardContextual"/>
        </w:rPr>
        <w:t>Posição 1</w:t>
      </w:r>
      <w:r w:rsidR="00766268">
        <w:rPr>
          <w:rFonts w:cs="EB Garamond"/>
          <w:b/>
          <w:kern w:val="16"/>
          <w14:ligatures w14:val="standardContextual"/>
        </w:rPr>
        <w:t xml:space="preserve"> –</w:t>
      </w:r>
      <w:r>
        <w:rPr>
          <w:rFonts w:cs="EB Garamond"/>
          <w:b/>
          <w:kern w:val="16"/>
          <w14:ligatures w14:val="standardContextual"/>
        </w:rPr>
        <w:t xml:space="preserve"> a previdência social brasileira é sistema contributivo de repartição simples, fundado na solidariedade intergeracional.</w:t>
      </w:r>
      <w:r>
        <w:rPr>
          <w:rFonts w:cs="EB Garamond"/>
          <w:kern w:val="16"/>
          <w14:ligatures w14:val="standardContextual"/>
        </w:rPr>
        <w:t xml:space="preserve"> O RGPS opera sob modelo bismarckiano (contributividade, filiação obrigatória, proporcionalidade entre contribuição e benefício), inserido em um sistema de seguridade beveridgiano (universalidade, responsabilidade estatal, financiamento solidário). A </w:t>
      </w:r>
      <w:r>
        <w:rPr>
          <w:rFonts w:cs="EB Garamond"/>
          <w:kern w:val="16"/>
          <w14:ligatures w14:val="standardContextual"/>
        </w:rPr>
        <w:lastRenderedPageBreak/>
        <w:t>contributividade é pressuposto do direito ao benefício previdenciário, mas a solidariedade impõe redistribuição interna e proteção mínima a quem não pode contribuir, por meio da assistência social (Seções 1.6, 1.15 e 1.18)</w:t>
      </w:r>
      <w:r w:rsidR="00B75FE7">
        <w:rPr>
          <w:rFonts w:cs="EB Garamond"/>
          <w:kern w:val="16"/>
          <w14:ligatures w14:val="standardContextual"/>
        </w:rPr>
        <w:t>.</w:t>
      </w:r>
    </w:p>
    <w:p w14:paraId="223801C5" w14:textId="69545003" w:rsidR="005A5FCC" w:rsidRDefault="00A21C81">
      <w:pPr>
        <w:ind w:firstLine="238"/>
      </w:pPr>
      <w:r>
        <w:rPr>
          <w:rFonts w:cs="EB Garamond"/>
          <w:b/>
          <w:kern w:val="16"/>
          <w14:ligatures w14:val="standardContextual"/>
        </w:rPr>
        <w:t>Posição 2</w:t>
      </w:r>
      <w:r w:rsidR="00766268">
        <w:rPr>
          <w:rFonts w:cs="EB Garamond"/>
          <w:b/>
          <w:kern w:val="16"/>
          <w14:ligatures w14:val="standardContextual"/>
        </w:rPr>
        <w:t xml:space="preserve"> –</w:t>
      </w:r>
      <w:r>
        <w:rPr>
          <w:rFonts w:cs="EB Garamond"/>
          <w:b/>
          <w:kern w:val="16"/>
          <w14:ligatures w14:val="standardContextual"/>
        </w:rPr>
        <w:t xml:space="preserve"> os princípios do art. 194 da CF/88 são normas jurídicas vinculantes, não diretrizes programáticas.</w:t>
      </w:r>
      <w:r>
        <w:rPr>
          <w:rFonts w:cs="EB Garamond"/>
          <w:kern w:val="16"/>
          <w14:ligatures w14:val="standardContextual"/>
        </w:rPr>
        <w:t xml:space="preserve"> Universalidade, uniformidade, seletividade, irredutibilidade, equidade no custeio, diversidade da base de financiamento e gestão democrática vinculam o legislador, orientam a interpretação judicial e limitam a atuação administrativa do INSS. O juiz do JEF pode e deve invocar esses princípios como fundamento de decisões, seja para interpretar norma infraconstitucional, seja para afastar ato administrativo incompatível com a Constituição (Seções 1.7 a 1.14)</w:t>
      </w:r>
      <w:r w:rsidR="00B75FE7">
        <w:rPr>
          <w:rFonts w:cs="EB Garamond"/>
          <w:kern w:val="16"/>
          <w14:ligatures w14:val="standardContextual"/>
        </w:rPr>
        <w:t>.</w:t>
      </w:r>
    </w:p>
    <w:p w14:paraId="59A8B5BC" w14:textId="7E00E921" w:rsidR="005A5FCC" w:rsidRDefault="00A21C81">
      <w:pPr>
        <w:ind w:firstLine="238"/>
      </w:pPr>
      <w:r>
        <w:rPr>
          <w:rFonts w:cs="EB Garamond"/>
          <w:b/>
          <w:kern w:val="16"/>
          <w14:ligatures w14:val="standardContextual"/>
        </w:rPr>
        <w:t>Posição 3</w:t>
      </w:r>
      <w:r w:rsidR="00766268">
        <w:rPr>
          <w:rFonts w:cs="EB Garamond"/>
          <w:b/>
          <w:kern w:val="16"/>
          <w14:ligatures w14:val="standardContextual"/>
        </w:rPr>
        <w:t xml:space="preserve"> –</w:t>
      </w:r>
      <w:r>
        <w:rPr>
          <w:rFonts w:cs="EB Garamond"/>
          <w:b/>
          <w:kern w:val="16"/>
          <w14:ligatures w14:val="standardContextual"/>
        </w:rPr>
        <w:t xml:space="preserve"> a universalidade da cobertura é vetor hermenêutico: na dúvida, reconhece-se a filiação.</w:t>
      </w:r>
      <w:r>
        <w:rPr>
          <w:rFonts w:cs="EB Garamond"/>
          <w:kern w:val="16"/>
          <w14:ligatures w14:val="standardContextual"/>
        </w:rPr>
        <w:t xml:space="preserve"> A universalidade previdenciária é potencial, pois depende de contribuição, mas funciona como princípio de inclusão. Normas de filiação devem ser interpretadas extensivamente, e o exercício de atividade remunerada gera filiação automática ao RGPS, independentemente de inscrição formal ou de recolhimento pelo empregador. A proteção do segurado empregado não pode ser condicionada à regularidade fiscal do empregador (art. 30, I, da Lei 8.212/91 e jurisprudência consolidada) (Seção 1.8)</w:t>
      </w:r>
      <w:r w:rsidR="00B75FE7">
        <w:rPr>
          <w:rFonts w:cs="EB Garamond"/>
          <w:kern w:val="16"/>
          <w14:ligatures w14:val="standardContextual"/>
        </w:rPr>
        <w:t>.</w:t>
      </w:r>
    </w:p>
    <w:p w14:paraId="3850DEF7" w14:textId="42BEF8DC" w:rsidR="005A5FCC" w:rsidRDefault="00A21C81">
      <w:pPr>
        <w:ind w:firstLine="238"/>
      </w:pPr>
      <w:r>
        <w:rPr>
          <w:rFonts w:cs="EB Garamond"/>
          <w:b/>
          <w:kern w:val="16"/>
          <w14:ligatures w14:val="standardContextual"/>
        </w:rPr>
        <w:t>Posição 4</w:t>
      </w:r>
      <w:r w:rsidR="00766268">
        <w:rPr>
          <w:rFonts w:cs="EB Garamond"/>
          <w:b/>
          <w:kern w:val="16"/>
          <w14:ligatures w14:val="standardContextual"/>
        </w:rPr>
        <w:t xml:space="preserve"> –</w:t>
      </w:r>
      <w:r>
        <w:rPr>
          <w:rFonts w:cs="EB Garamond"/>
          <w:b/>
          <w:kern w:val="16"/>
          <w14:ligatures w14:val="standardContextual"/>
        </w:rPr>
        <w:t xml:space="preserve"> a irredutibilidade garante a preservação do valor real, mas o índice de reajuste é definição legislativa.</w:t>
      </w:r>
      <w:r>
        <w:rPr>
          <w:rFonts w:cs="EB Garamond"/>
          <w:kern w:val="16"/>
          <w14:ligatures w14:val="standardContextual"/>
        </w:rPr>
        <w:t xml:space="preserve"> A CF/88 assegura que os benefícios não perderão poder de compra, mas delega ao legislador a escolha do índice de correção. O INPC é o índice legal atual (art. 41-A, Lei 8.213/91). A irredutibilidade nominal é garantia absoluta; a preservação do valor real é garantia de resultado, não de meio. O juiz pode afastar índice que, aplicado concretamente, não preserve o poder de compra do benefício, mas não pode substituir o índice legal por outro de sua preferência sem fundamento constitucional específico (Seção 1.11)</w:t>
      </w:r>
      <w:r w:rsidR="00B75FE7">
        <w:rPr>
          <w:rFonts w:cs="EB Garamond"/>
          <w:kern w:val="16"/>
          <w14:ligatures w14:val="standardContextual"/>
        </w:rPr>
        <w:t>.</w:t>
      </w:r>
    </w:p>
    <w:p w14:paraId="11867244" w14:textId="123AF6D5" w:rsidR="005A5FCC" w:rsidRDefault="00A21C81">
      <w:pPr>
        <w:ind w:firstLine="238"/>
      </w:pPr>
      <w:r>
        <w:rPr>
          <w:rFonts w:cs="EB Garamond"/>
          <w:b/>
          <w:kern w:val="16"/>
          <w14:ligatures w14:val="standardContextual"/>
        </w:rPr>
        <w:t>Posição 5</w:t>
      </w:r>
      <w:r w:rsidR="00766268">
        <w:rPr>
          <w:rFonts w:cs="EB Garamond"/>
          <w:b/>
          <w:kern w:val="16"/>
          <w14:ligatures w14:val="standardContextual"/>
        </w:rPr>
        <w:t xml:space="preserve"> –</w:t>
      </w:r>
      <w:r>
        <w:rPr>
          <w:rFonts w:cs="EB Garamond"/>
          <w:b/>
          <w:kern w:val="16"/>
          <w14:ligatures w14:val="standardContextual"/>
        </w:rPr>
        <w:t xml:space="preserve"> o equilíbrio financeiro e atuarial rege a política legislativa, não a concessão individual de benefícios.</w:t>
      </w:r>
      <w:r>
        <w:rPr>
          <w:rFonts w:cs="EB Garamond"/>
          <w:kern w:val="16"/>
          <w14:ligatures w14:val="standardContextual"/>
        </w:rPr>
        <w:t xml:space="preserve"> O princípio do equilíbrio orienta o legislador no desenho de regras, alíquotas e requisitos de acesso, mas não autoriza </w:t>
      </w:r>
      <w:r>
        <w:rPr>
          <w:rFonts w:cs="EB Garamond"/>
          <w:kern w:val="16"/>
          <w14:ligatures w14:val="standardContextual"/>
        </w:rPr>
        <w:lastRenderedPageBreak/>
        <w:t>o INSS a indeferir benefício individual com fundamento em déficit ou sustentabilidade do sistema. Se o segurado preenche os requisitos legais, a concessão é ato vinculado. A confusão entre política previdenciária (competência legislativa) e adjudicação de direitos (competência jurisdicional) é erro de categorias que compromete a racionalidade do sistema (Seção 1.17)</w:t>
      </w:r>
      <w:r w:rsidR="00B75FE7">
        <w:rPr>
          <w:rFonts w:cs="EB Garamond"/>
          <w:kern w:val="16"/>
          <w14:ligatures w14:val="standardContextual"/>
        </w:rPr>
        <w:t>.</w:t>
      </w:r>
    </w:p>
    <w:p w14:paraId="6DDA4795" w14:textId="5C50F0BE" w:rsidR="005A5FCC" w:rsidRDefault="00A21C81">
      <w:pPr>
        <w:ind w:firstLine="238"/>
      </w:pPr>
      <w:r>
        <w:rPr>
          <w:rFonts w:cs="EB Garamond"/>
          <w:b/>
          <w:kern w:val="16"/>
          <w14:ligatures w14:val="standardContextual"/>
        </w:rPr>
        <w:t>Posição 6</w:t>
      </w:r>
      <w:r w:rsidR="00766268">
        <w:rPr>
          <w:rFonts w:cs="EB Garamond"/>
          <w:b/>
          <w:kern w:val="16"/>
          <w14:ligatures w14:val="standardContextual"/>
        </w:rPr>
        <w:t xml:space="preserve"> –</w:t>
      </w:r>
      <w:r>
        <w:rPr>
          <w:rFonts w:cs="EB Garamond"/>
          <w:b/>
          <w:kern w:val="16"/>
          <w14:ligatures w14:val="standardContextual"/>
        </w:rPr>
        <w:t xml:space="preserve"> a vedação do retrocesso social impõe ônus argumentativo agravado, mas não impede toda reforma restritiva.</w:t>
      </w:r>
      <w:r>
        <w:rPr>
          <w:rFonts w:cs="EB Garamond"/>
          <w:kern w:val="16"/>
          <w14:ligatures w14:val="standardContextual"/>
        </w:rPr>
        <w:t xml:space="preserve"> O legislador constituinte derivado pode alterar regras previdenciárias, desde que justifique constitucionalmente a restrição e preserve o núcleo essencial da proteção social. Reformas que suprimam proteção sem justificativa adequada ou que atinjam o mínimo existencial são constitucionalmente questionáveis. A redução do coeficiente dos benefícios por incapacidade permanente pela EC 103/2019 (de 100% para 60% + 2% por ano excedente) suscita questão séria de compatibilidade com esse princípio (Seção 1.18)</w:t>
      </w:r>
      <w:r w:rsidR="00B75FE7">
        <w:rPr>
          <w:rFonts w:cs="EB Garamond"/>
          <w:kern w:val="16"/>
          <w14:ligatures w14:val="standardContextual"/>
        </w:rPr>
        <w:t>.</w:t>
      </w:r>
    </w:p>
    <w:p w14:paraId="69F917C3" w14:textId="23BAB072" w:rsidR="005A5FCC" w:rsidRDefault="00A21C81">
      <w:pPr>
        <w:ind w:firstLine="238"/>
      </w:pPr>
      <w:r>
        <w:rPr>
          <w:rFonts w:cs="EB Garamond"/>
          <w:b/>
          <w:kern w:val="16"/>
          <w14:ligatures w14:val="standardContextual"/>
        </w:rPr>
        <w:t>Posição 7</w:t>
      </w:r>
      <w:r w:rsidR="00766268">
        <w:rPr>
          <w:rFonts w:cs="EB Garamond"/>
          <w:b/>
          <w:kern w:val="16"/>
          <w14:ligatures w14:val="standardContextual"/>
        </w:rPr>
        <w:t xml:space="preserve"> –</w:t>
      </w:r>
      <w:r>
        <w:rPr>
          <w:rFonts w:cs="EB Garamond"/>
          <w:b/>
          <w:kern w:val="16"/>
          <w14:ligatures w14:val="standardContextual"/>
        </w:rPr>
        <w:t xml:space="preserve"> o segurado que preencheu os requisitos antes de reforma constitucional tem direito adquirido ao benefício pelas regras anteriores.</w:t>
      </w:r>
      <w:r>
        <w:rPr>
          <w:rFonts w:cs="EB Garamond"/>
          <w:kern w:val="16"/>
          <w14:ligatures w14:val="standardContextual"/>
        </w:rPr>
        <w:t xml:space="preserve"> O art. 3º da EC 103/2019 preserva o direito adquirido ao benefício mais vantajoso. Registre-se que o Tema 1.102/STF (RE 1.276.977), favorável à tese da revisão da vida toda no julgamento de mérito de dezembro de 2022, foi superado em 2024 pela declaração de constitucionalidade do art. 3º da Lei 9.876/1999 nas ADIs 2.110/DF e 2.111/DF (ata do mérito publicada em 5 de abril de 2024, com modulação de efeitos), afastando a possibilidade de opção pela regra de cálculo que considerasse todo o período contributivo anterior a julho de 1994. Sem prejuízo dessa reversão, permanece o princípio de que o segurado pode optar pela regra vigente na data em que primeiro preencheu todos os requisitos, ainda que requeira o benefício em momento posterior. O dever do INSS e do juiz é identificar, em cada caso concreto, qual regra vigente gerou situação mais favorável ao segurado (Seções 1.19 a 1.22)</w:t>
      </w:r>
      <w:r w:rsidR="00B75FE7">
        <w:rPr>
          <w:rFonts w:cs="EB Garamond"/>
          <w:kern w:val="16"/>
          <w14:ligatures w14:val="standardContextual"/>
        </w:rPr>
        <w:t>.</w:t>
      </w:r>
    </w:p>
    <w:p w14:paraId="14117EC4" w14:textId="794BA12E" w:rsidR="005A5FCC" w:rsidRDefault="00A21C81">
      <w:pPr>
        <w:ind w:firstLine="238"/>
      </w:pPr>
      <w:r>
        <w:rPr>
          <w:rFonts w:cs="EB Garamond"/>
          <w:b/>
          <w:kern w:val="16"/>
          <w14:ligatures w14:val="standardContextual"/>
        </w:rPr>
        <w:t>Posição 8</w:t>
      </w:r>
      <w:r w:rsidR="00766268">
        <w:rPr>
          <w:rFonts w:cs="EB Garamond"/>
          <w:b/>
          <w:kern w:val="16"/>
          <w14:ligatures w14:val="standardContextual"/>
        </w:rPr>
        <w:t xml:space="preserve"> –</w:t>
      </w:r>
      <w:r>
        <w:rPr>
          <w:rFonts w:cs="EB Garamond"/>
          <w:b/>
          <w:kern w:val="16"/>
          <w14:ligatures w14:val="standardContextual"/>
        </w:rPr>
        <w:t xml:space="preserve"> a complexidade das regras de transição da EC 103/2019 impõe ao INSS o dever de conceder o benefício pela regra mais vantajosa.</w:t>
      </w:r>
      <w:r>
        <w:rPr>
          <w:rFonts w:cs="EB Garamond"/>
          <w:kern w:val="16"/>
          <w14:ligatures w14:val="standardContextual"/>
        </w:rPr>
        <w:t xml:space="preserve"> O art. 687 da IN INSS/PRES 128/2022 obriga o INSS a calcular o benefício por todas as regras de transição aplicáveis e a conceder o mais vantajoso. O descumprimento desse dever gera direito à revisão judicial. A decadência decenal do art. </w:t>
      </w:r>
      <w:r>
        <w:rPr>
          <w:rFonts w:cs="EB Garamond"/>
          <w:kern w:val="16"/>
          <w14:ligatures w14:val="standardContextual"/>
        </w:rPr>
        <w:lastRenderedPageBreak/>
        <w:t>103 da Lei 8.213/91 incide sobre a revisão do ato de concessão do benefício, inclusive quanto a aspectos não expressamente examinados pelo INSS na concessão (Tema 975/STJ). Assim, o segurado prejudicado pela concessão sob regra menos favorável deve buscar a revisão judicial dentro do prazo decadencial de dez anos, contados do primeiro dia do mês seguinte ao do recebimento da primeira prestação (Seção 1.22)</w:t>
      </w:r>
      <w:r w:rsidR="00B75FE7">
        <w:rPr>
          <w:rFonts w:cs="EB Garamond"/>
          <w:kern w:val="16"/>
          <w14:ligatures w14:val="standardContextual"/>
        </w:rPr>
        <w:t>.</w:t>
      </w:r>
    </w:p>
    <w:tbl>
      <w:tblPr>
        <w:tblW w:w="5000" w:type="pct"/>
        <w:jc w:val="center"/>
        <w:tblLayout w:type="fixed"/>
        <w:tblLook w:val="04A0" w:firstRow="1" w:lastRow="0" w:firstColumn="1" w:lastColumn="0" w:noHBand="0" w:noVBand="1"/>
      </w:tblPr>
      <w:tblGrid>
        <w:gridCol w:w="6311"/>
      </w:tblGrid>
      <w:tr w:rsidR="005A5FCC" w14:paraId="49B28BC1"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7E38E065"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67056F8F" w14:textId="77777777" w:rsidR="005A5FCC" w:rsidRDefault="00A21C81">
            <w:pPr>
              <w:spacing w:after="60" w:line="247" w:lineRule="auto"/>
            </w:pPr>
            <w:r>
              <w:rPr>
                <w:rFonts w:cs="EB Garamond"/>
                <w:b/>
                <w:kern w:val="16"/>
                <w:sz w:val="19"/>
                <w14:ligatures w14:val="standardContextual"/>
              </w:rPr>
              <w:t>Checklist: qual regra de transição é mais vantajosa para o segurado?</w:t>
            </w:r>
          </w:p>
          <w:p w14:paraId="5695BE4E" w14:textId="74E343A5" w:rsidR="005A5FCC" w:rsidRDefault="00A21C81">
            <w:pPr>
              <w:spacing w:after="60" w:line="247" w:lineRule="auto"/>
            </w:pPr>
            <w:r>
              <w:rPr>
                <w:rFonts w:cs="EB Garamond"/>
                <w:kern w:val="16"/>
                <w:sz w:val="19"/>
                <w14:ligatures w14:val="standardContextual"/>
              </w:rPr>
              <w:t xml:space="preserve">1. Identificar a data de filiação ao RGPS e confirmar que é anterior a 13/11/2019 2. Levantar o tempo de contribuição e a idade do segurado na DER (data de entrada do requerimento) e em 13/11/2019 3. Verificar se o segurado já havia preenchido os requisitos de alguma aposentadoria antes de 13/11/2019 (direito adquirido) 4. Calcular os requisitos de cada regra de transição aplicável:  — Pontos (art. 15): somar idade + tempo de contribuição e comparar com a pontuação exigida no ano da DER  — Idade progressiva (art. 16): verificar se atinge a idade mínima progressiva no ano da DER  — Pedágio de 50% (art. 17): verificar se faltavam 2 anos ou menos de TC em 13/11/2019  — Pedágio de 100% (art. 20): verificar se atinge a idade mínima fixa (57 M / 60 H) e o TC com pedágio  — Idade (art. 18): verificar se atinge 62 anos (mulher) ou 65 anos (homem) com 15 anos de TC 5. Para cada regra cujos requisitos sejam preenchidos, calcular o valor do benefício:  — Regras 1, 2 e 5: 60% da média + 2% por ano excedente a 15 (M) ou 20 (H) </w:t>
            </w:r>
            <w:r w:rsidR="00B75FE7">
              <w:rPr>
                <w:rFonts w:cs="EB Garamond"/>
                <w:kern w:val="16"/>
                <w:sz w:val="19"/>
                <w14:ligatures w14:val="standardContextual"/>
              </w:rPr>
              <w:t>anos —</w:t>
            </w:r>
            <w:r>
              <w:rPr>
                <w:rFonts w:cs="EB Garamond"/>
                <w:kern w:val="16"/>
                <w:sz w:val="19"/>
                <w14:ligatures w14:val="standardContextual"/>
              </w:rPr>
              <w:t xml:space="preserve"> Regra 3: média integral com aplicação do fator </w:t>
            </w:r>
            <w:r w:rsidR="00B75FE7">
              <w:rPr>
                <w:rFonts w:cs="EB Garamond"/>
                <w:kern w:val="16"/>
                <w:sz w:val="19"/>
                <w14:ligatures w14:val="standardContextual"/>
              </w:rPr>
              <w:t>previdenciário —</w:t>
            </w:r>
            <w:r>
              <w:rPr>
                <w:rFonts w:cs="EB Garamond"/>
                <w:kern w:val="16"/>
                <w:sz w:val="19"/>
                <w14:ligatures w14:val="standardContextual"/>
              </w:rPr>
              <w:t xml:space="preserve"> Regra 4: 100% da média (sem coeficiente redutor) 6. Comparar os valores e requerer a concessão pela regra que resulte no maior benefício mensal 7. Se o INSS concedeu por regra menos vantajosa, fundamentar o pedido de revisão com cálculos comparativos</w:t>
            </w:r>
          </w:p>
        </w:tc>
      </w:tr>
    </w:tbl>
    <w:p w14:paraId="61A847A6" w14:textId="77777777" w:rsidR="005A5FCC" w:rsidRDefault="005A5FCC">
      <w:pPr>
        <w:spacing w:after="80" w:line="240" w:lineRule="auto"/>
      </w:pPr>
    </w:p>
    <w:p w14:paraId="4C41B9C9" w14:textId="77777777" w:rsidR="005A5FCC" w:rsidRDefault="005A5FCC">
      <w:pPr>
        <w:sectPr w:rsidR="005A5FCC">
          <w:headerReference w:type="even" r:id="rId56"/>
          <w:headerReference w:type="default" r:id="rId57"/>
          <w:footerReference w:type="even" r:id="rId58"/>
          <w:footerReference w:type="default" r:id="rId59"/>
          <w:headerReference w:type="first" r:id="rId60"/>
          <w:footerReference w:type="first" r:id="rId61"/>
          <w:pgSz w:w="8391" w:h="11906"/>
          <w:pgMar w:top="935" w:right="879" w:bottom="964" w:left="1162" w:header="454" w:footer="425" w:gutter="0"/>
          <w:cols w:space="720"/>
          <w:titlePg/>
          <w:docGrid w:linePitch="360"/>
        </w:sectPr>
      </w:pPr>
    </w:p>
    <w:p w14:paraId="1081325C" w14:textId="77777777" w:rsidR="005A5FCC" w:rsidRDefault="00A21C81">
      <w:pPr>
        <w:keepNext/>
        <w:spacing w:before="240" w:after="80" w:line="240" w:lineRule="auto"/>
        <w:jc w:val="center"/>
      </w:pPr>
      <w:r>
        <w:rPr>
          <w:rFonts w:ascii="Noto Sans" w:hAnsi="Noto Sans" w:cs="Noto Sans"/>
          <w:b/>
          <w:caps/>
          <w:color w:val="8A6A2A"/>
          <w:kern w:val="16"/>
          <w:sz w:val="19"/>
          <w14:ligatures w14:val="standardContextual"/>
        </w:rPr>
        <w:lastRenderedPageBreak/>
        <w:t>CAPÍTULO 2</w:t>
      </w:r>
    </w:p>
    <w:p w14:paraId="47759AD6" w14:textId="77777777" w:rsidR="005A5FCC" w:rsidRDefault="00A21C81">
      <w:pPr>
        <w:pStyle w:val="Ttulo2"/>
        <w:spacing w:line="240" w:lineRule="auto"/>
      </w:pPr>
      <w:r>
        <w:rPr>
          <w:rFonts w:ascii="EB Garamond" w:hAnsi="EB Garamond" w:cs="EB Garamond"/>
          <w:caps/>
          <w:kern w:val="16"/>
          <w14:ligatures w14:val="standardContextual"/>
        </w:rPr>
        <w:t>Segurados e Dependentes</w:t>
      </w:r>
    </w:p>
    <w:p w14:paraId="05C1CC0D" w14:textId="77777777" w:rsidR="005A5FCC" w:rsidRDefault="00A21C81">
      <w:pPr>
        <w:spacing w:after="240" w:line="240" w:lineRule="auto"/>
        <w:jc w:val="center"/>
      </w:pPr>
      <w:r>
        <w:rPr>
          <w:rFonts w:cs="EB Garamond"/>
          <w:color w:val="B78B37"/>
          <w:kern w:val="16"/>
          <w:sz w:val="18"/>
          <w14:ligatures w14:val="standardContextual"/>
        </w:rPr>
        <w:t>━━━━  ◆  ━━━━</w:t>
      </w:r>
    </w:p>
    <w:p w14:paraId="76BDCD0F"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6A70BD72" w14:textId="21B68A05" w:rsidR="005A5FCC" w:rsidRDefault="00A21C81">
      <w:r>
        <w:rPr>
          <w:rFonts w:cs="EB Garamond"/>
          <w:kern w:val="16"/>
          <w14:ligatures w14:val="standardContextual"/>
        </w:rPr>
        <w:t xml:space="preserve"> proteção previdenciária no Regime Geral de Previdência Social pressupõe a existência de um vínculo jurídico entre o indivíduo e o sistema. Esse vínculo se estabelece, de um lado, pela condição de segurado — aquele que contribui, direta ou indiretamente, para o financiamento da previdência social — e, de outro, pela condição de dependente, pessoa que, sem contribuir, mantém com o segurado relação de dependência econômica reconhecida pela lei. </w:t>
      </w:r>
      <w:r w:rsidR="00620F43">
        <w:rPr>
          <w:rFonts w:cs="EB Garamond"/>
          <w:kern w:val="16"/>
          <w14:ligatures w14:val="standardContextual"/>
        </w:rPr>
        <w:t>D</w:t>
      </w:r>
      <w:r>
        <w:rPr>
          <w:rFonts w:cs="EB Garamond"/>
          <w:kern w:val="16"/>
          <w14:ligatures w14:val="standardContextual"/>
        </w:rPr>
        <w:t>ependentes são pessoas que, embora não contribuindo para a Seguridade Social, a Lei de Benefícios elenca como possíveis beneficiários do Regime Geral de Previdência Social.</w:t>
      </w:r>
    </w:p>
    <w:p w14:paraId="0220A824" w14:textId="77777777" w:rsidR="005A5FCC" w:rsidRDefault="00A21C81">
      <w:pPr>
        <w:ind w:firstLine="238"/>
      </w:pPr>
      <w:r>
        <w:rPr>
          <w:rFonts w:cs="EB Garamond"/>
          <w:kern w:val="16"/>
          <w14:ligatures w14:val="standardContextual"/>
        </w:rPr>
        <w:t>O art. 201 da Constituição Federal organiza a previdência social sob a forma do RGPS, com caráter contributivo e filiação obrigatória. Dessas duas características decorrem as categorias de segurados que a legislação infraconstitucional detalha, bem como as regras sobre a extensão protetiva aos dependentes.</w:t>
      </w:r>
    </w:p>
    <w:p w14:paraId="39DF2BDE" w14:textId="77777777" w:rsidR="005A5FCC" w:rsidRDefault="00A21C81">
      <w:pPr>
        <w:ind w:firstLine="238"/>
      </w:pPr>
      <w:r>
        <w:rPr>
          <w:rFonts w:cs="EB Garamond"/>
          <w:kern w:val="16"/>
          <w14:ligatures w14:val="standardContextual"/>
        </w:rPr>
        <w:t>A intenção do legislador constituinte foi conferir proteção previdenciária a todos os que trabalham. Para alguns, a lei estabeleceu a obrigatoriedade da cobertura; para outros, possibilitou a opção voluntária de ingresso no sistema. Segurados obrigatórios e segurados facultativos constituem o universo de beneficiários diretos. Ao seu lado, os dependentes formam o universo dos beneficiários indiretos, cuja proteção se estabelece por intermédio do vínculo que mantêm com o segurado.</w:t>
      </w:r>
    </w:p>
    <w:p w14:paraId="41A2C5BB" w14:textId="77777777" w:rsidR="005A5FCC" w:rsidRDefault="00A21C81">
      <w:pPr>
        <w:ind w:firstLine="238"/>
      </w:pPr>
      <w:r>
        <w:rPr>
          <w:rFonts w:cs="EB Garamond"/>
          <w:kern w:val="16"/>
          <w14:ligatures w14:val="standardContextual"/>
        </w:rPr>
        <w:t>O enquadramento correto do segurado determina as regras de filiação, inscrição, contribuição e acesso aos benefícios. O reconhecimento adequado dos dependentes condiciona a concessão de pensão por morte, auxílio-reclusão e serviços previdenciários. Erros de enquadramento, tanto na via administrativa quanto na judicial, comprometem a efetividade da proteção social.</w:t>
      </w:r>
    </w:p>
    <w:p w14:paraId="1C887EDD"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2.1 Segurados obrigatórios</w:t>
      </w:r>
    </w:p>
    <w:p w14:paraId="3B77954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75A709C7" w14:textId="77777777" w:rsidR="005A5FCC" w:rsidRDefault="00A21C81">
      <w:r>
        <w:rPr>
          <w:rFonts w:cs="EB Garamond"/>
          <w:kern w:val="16"/>
          <w14:ligatures w14:val="standardContextual"/>
        </w:rPr>
        <w:t xml:space="preserve"> Lei n. 8.213, de 24 de julho de 1991, enumera, em seu art. 11, as categorias de segurados obrigatórios da Previdência Social. Trata-se de rol taxativo, que compreende cinco espécies: empregado, empregado doméstico, contribuinte individual, trabalhador avulso e segurado especial. Para cada uma dessas categorias, a filiação é automática, decorrendo do simples exercício da atividade remunerada, independentemente de qualquer ato formal de inscrição. A inscrição, por sua vez, é ato administrativo meramente declaratório, que formaliza perante o INSS uma condição já existente.</w:t>
      </w:r>
    </w:p>
    <w:p w14:paraId="242F0597" w14:textId="77777777" w:rsidR="005A5FCC" w:rsidRDefault="00A21C81">
      <w:pPr>
        <w:ind w:firstLine="238"/>
      </w:pPr>
      <w:r>
        <w:rPr>
          <w:rFonts w:cs="EB Garamond"/>
          <w:kern w:val="16"/>
          <w14:ligatures w14:val="standardContextual"/>
        </w:rPr>
        <w:t>Quatro regras gerais regem o enquadramento dos segurados obrigatórios. Pela automaticidade, o exercício de atividade remunerada sujeita o trabalhador à filiação obrigatória ao RGPS (art. 9º, § 12, do Decreto 3.048/99), e, quando concomitantes as atividades, a multiplicidade de vínculos impõe a filiação em cada uma delas, com recolhimento de contribuição sobre cada remuneração (art. 11, § 2º, da Lei 8.213/91). Acrescem a essas a regra do retorno do aposentado — aquele que, já aposentado pelo RGPS, volta a exercer atividade abrangida pelo regime torna-se segurado obrigatório em relação a ela, pagando a contribuição respectiva (art. 11, § 3º) — e a da continuidade do enquadramento, pela qual o dirigente sindical, enquanto no exercício do mandato eletivo, conserva o mesmo enquadramento no RGPS de antes da investidura, nos termos do art. 9º, § 3º, do Decreto 3.048/99.</w:t>
      </w:r>
    </w:p>
    <w:p w14:paraId="3AF633B8" w14:textId="77777777" w:rsidR="005A5FCC" w:rsidRDefault="00A21C81">
      <w:pPr>
        <w:spacing w:before="260" w:after="80" w:line="240" w:lineRule="auto"/>
        <w:jc w:val="left"/>
      </w:pPr>
      <w:r>
        <w:rPr>
          <w:rFonts w:cs="EB Garamond"/>
          <w:b/>
          <w:color w:val="3A3128"/>
          <w:kern w:val="16"/>
          <w:sz w:val="25"/>
          <w14:ligatures w14:val="standardContextual"/>
        </w:rPr>
        <w:t>2.1.1 O empregado</w:t>
      </w:r>
    </w:p>
    <w:p w14:paraId="122AE6B9"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12E2089F" w14:textId="77777777" w:rsidR="005A5FCC" w:rsidRDefault="00A21C81">
      <w:r>
        <w:rPr>
          <w:rFonts w:cs="EB Garamond"/>
          <w:kern w:val="16"/>
          <w14:ligatures w14:val="standardContextual"/>
        </w:rPr>
        <w:t xml:space="preserve"> segurado empregado é aquele que presta serviço de natureza urbana ou rural a empresa, em caráter não eventual, sob sua subordinação e mediante remuneração. A caracterização dessa categoria exige a presença simultânea de quatro elementos: pessoalidade, habitualidade, subordinação e onerosidade. O conceito é amplo e abrange situações que transcendem a relação empregatícia clássica. O Decreto 3.048/99, em seu art. 9º, § 4º, considera prestado em caráter não eventual o serviço relacionado direta ou indiretamente com as atividades normais da empresa.</w:t>
      </w:r>
    </w:p>
    <w:p w14:paraId="04718532" w14:textId="77AF3E33" w:rsidR="005A5FCC" w:rsidRDefault="00A21C81">
      <w:pPr>
        <w:ind w:firstLine="238"/>
      </w:pPr>
      <w:r>
        <w:rPr>
          <w:rFonts w:cs="EB Garamond"/>
          <w:kern w:val="16"/>
          <w14:ligatures w14:val="standardContextual"/>
        </w:rPr>
        <w:lastRenderedPageBreak/>
        <w:t xml:space="preserve">O rol do art. 11, inciso I, alíneas </w:t>
      </w:r>
      <w:r w:rsidR="00486D4A">
        <w:rPr>
          <w:rFonts w:cs="EB Garamond"/>
          <w:kern w:val="16"/>
          <w14:ligatures w14:val="standardContextual"/>
        </w:rPr>
        <w:t>“</w:t>
      </w:r>
      <w:r>
        <w:rPr>
          <w:rFonts w:cs="EB Garamond"/>
          <w:kern w:val="16"/>
          <w14:ligatures w14:val="standardContextual"/>
        </w:rPr>
        <w:t>a</w:t>
      </w:r>
      <w:r w:rsidR="00486D4A">
        <w:rPr>
          <w:rFonts w:cs="EB Garamond"/>
          <w:kern w:val="16"/>
          <w14:ligatures w14:val="standardContextual"/>
        </w:rPr>
        <w:t>”</w:t>
      </w:r>
      <w:r>
        <w:rPr>
          <w:rFonts w:cs="EB Garamond"/>
          <w:kern w:val="16"/>
          <w14:ligatures w14:val="standardContextual"/>
        </w:rPr>
        <w:t xml:space="preserve"> a </w:t>
      </w:r>
      <w:r w:rsidR="00486D4A">
        <w:rPr>
          <w:rFonts w:cs="EB Garamond"/>
          <w:kern w:val="16"/>
          <w14:ligatures w14:val="standardContextual"/>
        </w:rPr>
        <w:t>“</w:t>
      </w:r>
      <w:r>
        <w:rPr>
          <w:rFonts w:cs="EB Garamond"/>
          <w:kern w:val="16"/>
          <w14:ligatures w14:val="standardContextual"/>
        </w:rPr>
        <w:t>j</w:t>
      </w:r>
      <w:r w:rsidR="00486D4A">
        <w:rPr>
          <w:rFonts w:cs="EB Garamond"/>
          <w:kern w:val="16"/>
          <w14:ligatures w14:val="standardContextual"/>
        </w:rPr>
        <w:t>”</w:t>
      </w:r>
      <w:r>
        <w:rPr>
          <w:rFonts w:cs="EB Garamond"/>
          <w:kern w:val="16"/>
          <w14:ligatures w14:val="standardContextual"/>
        </w:rPr>
        <w:t>, da Lei 8.213/91 enumera diversas figuras equiparadas ao empregado para fins previdenciários, que podem ser organizadas em quatro grupos: o tipo básico, as situações transfronteiriças, os servidores em cargo em comissão e os exercentes de mandato eletivo.</w:t>
      </w:r>
    </w:p>
    <w:p w14:paraId="120F82F1" w14:textId="77777777" w:rsidR="005A5FCC" w:rsidRDefault="00A21C81">
      <w:pPr>
        <w:ind w:firstLine="238"/>
      </w:pPr>
      <w:r>
        <w:rPr>
          <w:rFonts w:cs="EB Garamond"/>
          <w:kern w:val="16"/>
          <w14:ligatures w14:val="standardContextual"/>
        </w:rPr>
        <w:t>O tipo básico (alínea a) compreende o trabalhador urbano ou rural que presta serviço à empresa sob relação de emprego, inclusive como diretor empregado. Nesse conceito se incluem os trabalhadores rurais denominados "boias-frias", que a jurisprudência há muito qualifica como segurados empregados para fins previdenciários, apesar da frequente exclusão do emprego formal. Igualmente se enquadra como empregado o trabalhador temporário contratado por empresa de trabalho temporário, nos termos da Lei n. 6.019/1974, alterada pela Lei n. 13.429/2017, para atender a necessidade transitória de substituição de pessoal regular ou a demanda complementar de serviços (alínea b).</w:t>
      </w:r>
    </w:p>
    <w:p w14:paraId="781F1EBB" w14:textId="77777777" w:rsidR="005A5FCC" w:rsidRDefault="00A21C81">
      <w:pPr>
        <w:ind w:firstLine="238"/>
      </w:pPr>
      <w:r>
        <w:rPr>
          <w:rFonts w:cs="EB Garamond"/>
          <w:kern w:val="16"/>
          <w14:ligatures w14:val="standardContextual"/>
        </w:rPr>
        <w:t>As situações transfronteiriças abrangem cinco hipóteses previstas nas alíneas c, d, e, f e i do inciso I, entre as quais se destacam: o brasileiro ou estrangeiro domiciliado e contratado no Brasil para trabalhar como empregado em sucursal ou agência de empresa nacional no exterior (alínea c); o brasileiro civil que trabalha para a União no exterior em organismos oficiais brasileiros ou internacionais dos quais o Brasil seja membro efetivo (alínea e); e o empregado de organismo oficial internacional ou estrangeiro em funcionamento no Brasil, salvo quando coberto por regime próprio (alínea i). As alíneas d e f completam o grupo, alcançando demais arranjos de contratação no Brasil com prestação de serviço vinculada a empresa ou repartição com elemento de estraneidade — situações em que o trabalhador é recrutado no território nacional, mas a relação laboral apresenta conexão internacional. A finalidade comum dessas alíneas é assegurar que nenhum trabalhador brasileiro, ou estrangeiro com residência permanente, fique sem proteção previdenciária em razão de arranjos laborais com componente internacional.</w:t>
      </w:r>
    </w:p>
    <w:p w14:paraId="5CEADB33" w14:textId="77777777" w:rsidR="005A5FCC" w:rsidRDefault="00A21C81">
      <w:pPr>
        <w:ind w:firstLine="238"/>
      </w:pPr>
      <w:r>
        <w:rPr>
          <w:rFonts w:cs="EB Garamond"/>
          <w:kern w:val="16"/>
          <w14:ligatures w14:val="standardContextual"/>
        </w:rPr>
        <w:t xml:space="preserve">O servidor público ocupante de cargo em comissão, sem vínculo efetivo com a União, Estados, Distrito Federal ou Municípios, suas autarquias e fundações, é segurado obrigatório do RGPS na qualidade de empregado (alínea g e § 5º). Essa regra decorre da EC n. 20/1998, que excluiu do regime próprio os servidores não </w:t>
      </w:r>
      <w:r>
        <w:rPr>
          <w:rFonts w:cs="EB Garamond"/>
          <w:kern w:val="16"/>
          <w14:ligatures w14:val="standardContextual"/>
        </w:rPr>
        <w:lastRenderedPageBreak/>
        <w:t>titulares de cargos efetivos. O STF, ao julgar a ADI 2.024/DF (rel. Min. Sepúlveda Pertence), reconheceu a constitucionalidade da submissão ao RGPS dos servidores ocupantes exclusivamente de cargo em comissão.</w:t>
      </w:r>
    </w:p>
    <w:p w14:paraId="38E829B1" w14:textId="77777777" w:rsidR="005A5FCC" w:rsidRDefault="00A21C81">
      <w:pPr>
        <w:ind w:firstLine="238"/>
      </w:pPr>
      <w:r>
        <w:rPr>
          <w:rFonts w:cs="EB Garamond"/>
          <w:kern w:val="16"/>
          <w14:ligatures w14:val="standardContextual"/>
        </w:rPr>
        <w:t>A alínea h, incluída pela Lei n. 9.506/1997, e a alínea j, incluída pela Lei n. 10.887/2004, enquadram como empregado o exercente de mandato eletivo federal, estadual ou municipal, desde que não vinculado a regime próprio de previdência social. Registre-se que a alínea h foi declarada inconstitucional pelo STF no RE 351.717/PR (2003), que invalidou a contribuição previdenciária dos exercentes de mandato eletivo instituída pela Lei 9.506/97; a alínea j, inserida pela Lei 10.887/2004 em cumprimento à EC n. 41/2003, restabeleceu o enquadramento em bases constitucionais válidas, absorvendo materialmente o conteúdo da alínea declarada inconstitucional.</w:t>
      </w:r>
    </w:p>
    <w:p w14:paraId="3D942FF0" w14:textId="77777777" w:rsidR="005A5FCC" w:rsidRDefault="00A21C81">
      <w:pPr>
        <w:ind w:firstLine="238"/>
      </w:pPr>
      <w:r>
        <w:rPr>
          <w:rFonts w:cs="EB Garamond"/>
          <w:kern w:val="16"/>
          <w14:ligatures w14:val="standardContextual"/>
        </w:rPr>
        <w:t>A contribuição previdenciária do empregado é descontada diretamente pela empresa sobre a remuneração. No que se refere à contribuição patronal, o STF, no Tema 20 da repercussão geral (RE 565.160/SC, rel. Min. Marco Aurélio, j. 29/03/2017), fixou que a contribuição social a cargo do empregador incide sobre os ganhos habituais do empregado, independentemente de serem anteriores ou posteriores à EC 20/1998. A lógica se projeta sobre a base de cálculo de ambas as contribuições (patronal e do empregado): verbas de natureza habitual — gorjetas, comissões, horas extras habituais — integram a base, ao passo que parcelas indenizatórias ficam excluídas. O art. 201, § 11, da Constituição reforça essa diretriz ao determinar a incorporação de todos os ganhos habituais ao salário para efeitos previdenciários.</w:t>
      </w:r>
    </w:p>
    <w:tbl>
      <w:tblPr>
        <w:tblW w:w="5000" w:type="pct"/>
        <w:jc w:val="center"/>
        <w:tblLayout w:type="fixed"/>
        <w:tblLook w:val="04A0" w:firstRow="1" w:lastRow="0" w:firstColumn="1" w:lastColumn="0" w:noHBand="0" w:noVBand="1"/>
      </w:tblPr>
      <w:tblGrid>
        <w:gridCol w:w="6311"/>
      </w:tblGrid>
      <w:tr w:rsidR="005A5FCC" w14:paraId="385F4498"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78FFCC59"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084F5B16" w14:textId="77777777" w:rsidR="005A5FCC" w:rsidRDefault="00A21C81">
            <w:pPr>
              <w:spacing w:after="60" w:line="247" w:lineRule="auto"/>
            </w:pPr>
            <w:r>
              <w:rPr>
                <w:rFonts w:cs="EB Garamond"/>
                <w:kern w:val="16"/>
                <w:sz w:val="19"/>
                <w14:ligatures w14:val="standardContextual"/>
              </w:rPr>
              <w:t>Questão recorrente nos JEFs envolve o enquadramento do menor aprendiz e do aluno-aprendiz. O menor aprendiz é segurado empregado por expressa disposição legal. Quanto ao aluno-aprendiz de escola técnica, a Súmula 18 da TNU admite o cômputo do tempo de serviço quando comprovada remuneração, ainda que indireta, à conta do Orçamento da União. Os quatro requisitos para esse reconhecimento decorrem da própria construção que deu origem à Súmula 18/TNU, amparada na jurisprudência do STJ firmada em julgados sobre aluno-aprendiz de escola técnica federal:</w:t>
            </w:r>
          </w:p>
          <w:p w14:paraId="67660C11" w14:textId="77777777" w:rsidR="005A5FCC" w:rsidRDefault="00A21C81">
            <w:pPr>
              <w:spacing w:after="60" w:line="247" w:lineRule="auto"/>
            </w:pPr>
            <w:r>
              <w:rPr>
                <w:rFonts w:cs="EB Garamond"/>
                <w:kern w:val="16"/>
                <w:sz w:val="19"/>
                <w14:ligatures w14:val="standardContextual"/>
              </w:rPr>
              <w:t>(i) retribuição consubstanciada em prestação pecuniária ou em auxílios materiais; (ii) à conta do Orçamento; (iii) a título de contraprestação por labor; e (iv) na execução de bens e serviços destinados a terceiros.</w:t>
            </w:r>
          </w:p>
          <w:p w14:paraId="50E9E767" w14:textId="19A7BACB" w:rsidR="005A5FCC" w:rsidRDefault="00A21C81">
            <w:pPr>
              <w:spacing w:after="60" w:line="247" w:lineRule="auto"/>
            </w:pPr>
            <w:r>
              <w:rPr>
                <w:rFonts w:cs="EB Garamond"/>
                <w:kern w:val="16"/>
                <w:sz w:val="19"/>
                <w14:ligatures w14:val="standardContextual"/>
              </w:rPr>
              <w:t>Na ótica do julgador, ao apreciar o cômputo do tempo de aluno-aprendiz</w:t>
            </w:r>
            <w:r w:rsidR="00486D4A">
              <w:rPr>
                <w:rFonts w:cs="EB Garamond"/>
                <w:kern w:val="16"/>
                <w:sz w:val="19"/>
                <w14:ligatures w14:val="standardContextual"/>
              </w:rPr>
              <w:t>,</w:t>
            </w:r>
            <w:r>
              <w:rPr>
                <w:rFonts w:cs="EB Garamond"/>
                <w:kern w:val="16"/>
                <w:sz w:val="19"/>
                <w14:ligatures w14:val="standardContextual"/>
              </w:rPr>
              <w:t xml:space="preserve"> cabe aferir, no caso concreto, a efetiva presença desses quatro requisitos — em especial a retribuição custeada pelo Orçamento e a contraprestação por labor em bens ou serviços destinados a terceiros —, não bastando a simples matrícula em escola técnica. A sentença deve indicar o início de prova material que ampara cada requisito (certidão da instituição, registros de produção, comprovantes de auxílio material), evitando reconhecimento fundado em prova exclusivamente testemunhal ou em mera presunção decorrente da frequência ao curso. Registre-se, por fim, que o estagiário que presta serviço em desacordo com a Lei n. 11.788/2008 mantém, na verdade, autêntica relação de emprego e deve ser enquadrado como segurado empregado.</w:t>
            </w:r>
          </w:p>
        </w:tc>
      </w:tr>
    </w:tbl>
    <w:p w14:paraId="39D73D75" w14:textId="77777777" w:rsidR="005A5FCC" w:rsidRDefault="005A5FCC">
      <w:pPr>
        <w:spacing w:after="80" w:line="240" w:lineRule="auto"/>
      </w:pPr>
    </w:p>
    <w:p w14:paraId="115D7ADD" w14:textId="77777777" w:rsidR="005A5FCC" w:rsidRDefault="00A21C81">
      <w:pPr>
        <w:spacing w:before="260" w:after="80" w:line="240" w:lineRule="auto"/>
        <w:jc w:val="left"/>
      </w:pPr>
      <w:r>
        <w:rPr>
          <w:rFonts w:cs="EB Garamond"/>
          <w:b/>
          <w:color w:val="3A3128"/>
          <w:kern w:val="16"/>
          <w:sz w:val="25"/>
          <w14:ligatures w14:val="standardContextual"/>
        </w:rPr>
        <w:t>2.1.2 O empregado doméstico</w:t>
      </w:r>
    </w:p>
    <w:p w14:paraId="4A3F1D18"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724BED05" w14:textId="5E590F2B" w:rsidR="005A5FCC" w:rsidRDefault="00A21C81">
      <w:r>
        <w:rPr>
          <w:rFonts w:cs="EB Garamond"/>
          <w:kern w:val="16"/>
          <w14:ligatures w14:val="standardContextual"/>
        </w:rPr>
        <w:t xml:space="preserve"> empregado doméstico é aquele que presta serviço de forma contínua, subordinada, onerosa e pessoal, de finalidade não lucrativa, à pessoa ou à família, no âmbito residencial destas. A Lei Complementar n. 150, de 1º de junho de 2015, trouxe definição precisa ao estabelecer que se considera empregado doméstico quem presta serviços "por mais de 2 (dois) dias por semana" à mesma família. A </w:t>
      </w:r>
      <w:r w:rsidR="00486D4A">
        <w:rPr>
          <w:rFonts w:cs="EB Garamond"/>
          <w:kern w:val="16"/>
          <w14:ligatures w14:val="standardContextual"/>
        </w:rPr>
        <w:t>contrário</w:t>
      </w:r>
      <w:r>
        <w:rPr>
          <w:rFonts w:cs="EB Garamond"/>
          <w:kern w:val="16"/>
          <w14:ligatures w14:val="standardContextual"/>
        </w:rPr>
        <w:t xml:space="preserve"> sensu, quem trabalha até dois dias por semana para o mesmo tomador não mantém vínculo de emprego doméstico com aquele con</w:t>
      </w:r>
      <w:r>
        <w:rPr>
          <w:rFonts w:cs="EB Garamond"/>
          <w:kern w:val="16"/>
          <w14:ligatures w14:val="standardContextual"/>
        </w:rPr>
        <w:lastRenderedPageBreak/>
        <w:t>tratante, podendo qualificar-se como contribuinte individual, se exercer a atividade de forma habitual e por conta própria, ou filiar-se voluntariamente como segurado facultativo.</w:t>
      </w:r>
    </w:p>
    <w:p w14:paraId="65D0C7B5" w14:textId="77777777" w:rsidR="005A5FCC" w:rsidRDefault="00A21C81">
      <w:pPr>
        <w:ind w:firstLine="238"/>
      </w:pPr>
      <w:r>
        <w:rPr>
          <w:rFonts w:cs="EB Garamond"/>
          <w:kern w:val="16"/>
          <w14:ligatures w14:val="standardContextual"/>
        </w:rPr>
        <w:t>A proteção previdenciária obrigatória do empregado doméstico tem início com a Lei n. 5.859, de 11 de dezembro de 1972, regulamentada pelo Decreto n. 71.885/1973. Antes dessa lei, o empregado doméstico somente poderia ter proteção previdenciária se se inscrevesse como segurado facultativo. Mesmo que o empregador registrasse o contrato na Carteira de Trabalho, os efeitos eram exclusivamente trabalhistas, sem repercussão previdenciária, pois não havia obrigação legal de recolhimento. A partir da competência abril de 1973, admite-se o enquadramento como empregado doméstico para fins previdenciários.</w:t>
      </w:r>
    </w:p>
    <w:p w14:paraId="158A645E" w14:textId="77777777" w:rsidR="005A5FCC" w:rsidRDefault="00A21C81">
      <w:pPr>
        <w:ind w:firstLine="238"/>
      </w:pPr>
      <w:r>
        <w:rPr>
          <w:rFonts w:cs="EB Garamond"/>
          <w:kern w:val="16"/>
          <w14:ligatures w14:val="standardContextual"/>
        </w:rPr>
        <w:t>A Emenda Constitucional n. 72, de 2 de abril de 2013, ampliou os direitos trabalhistas dos empregados domésticos ao alterar o parágrafo único do art. 7º da Constituição, com reflexos diretos na vida previdenciária dessa categoria. A LC 150/2015, que regulamentou a emenda, representou um marco definitivo. Antes de sua vigência, o empregado doméstico não tinha direito ao seguro contra acidentes de trabalho, ao FGTS obrigatório nem à multa rescisória. O chamado Simples Doméstico unificou a arrecadação por meio do Documento de Arrecadação do eSocial, com alíquota patronal de 8% para o INSS, acrescida de 0,8% para o seguro acidentário e 8% para o FGTS.</w:t>
      </w:r>
    </w:p>
    <w:p w14:paraId="7939160E" w14:textId="77777777" w:rsidR="005A5FCC" w:rsidRDefault="00A21C81">
      <w:pPr>
        <w:ind w:firstLine="238"/>
      </w:pPr>
      <w:r>
        <w:rPr>
          <w:rFonts w:cs="EB Garamond"/>
          <w:kern w:val="16"/>
          <w14:ligatures w14:val="standardContextual"/>
        </w:rPr>
        <w:t>A distinção entre empregado doméstico e diarista é essencial para o correto enquadramento previdenciário. O Decreto 3.048/99, em seu art. 9º, § 15, VI, com a redação dada pelo Decreto 10.410/2020, considera contribuinte individual aquele "que presta serviço de natureza não contínua, por conta própria, a pessoa ou família, no âmbito residencial desta, sem fins lucrativos". Trata-se do diarista doméstico: se a frequência de trabalho na mesma residência é de até dois dias por semana, não há vínculo empregatício doméstico; se configurada prestação por mais de dois dias, o enquadramento como empregado doméstico é obrigatório.</w:t>
      </w:r>
    </w:p>
    <w:p w14:paraId="1E1001DC" w14:textId="77777777" w:rsidR="005A5FCC" w:rsidRDefault="00A21C81">
      <w:pPr>
        <w:ind w:firstLine="238"/>
      </w:pPr>
      <w:r>
        <w:rPr>
          <w:rFonts w:cs="EB Garamond"/>
          <w:kern w:val="16"/>
          <w14:ligatures w14:val="standardContextual"/>
        </w:rPr>
        <w:t xml:space="preserve">Dois outros requisitos são indispensáveis para a caracterização do trabalho doméstico: a pessoa do contratante, que deve ser pessoa física (pessoa jurídica descaracteriza o vínculo doméstico), e a ausência de finalidade lucrativa na atividade. </w:t>
      </w:r>
      <w:r>
        <w:rPr>
          <w:rFonts w:cs="EB Garamond"/>
          <w:kern w:val="16"/>
          <w14:ligatures w14:val="standardContextual"/>
        </w:rPr>
        <w:lastRenderedPageBreak/>
        <w:t>Se o empregador utiliza o trabalho do contratado para atividade econômica, por exemplo, para produzir alimentos destinados à comercialização, resta descaracterizado o vínculo doméstico, configurando-se relação de emprego comum.</w:t>
      </w:r>
    </w:p>
    <w:p w14:paraId="6724289D" w14:textId="77777777" w:rsidR="005A5FCC" w:rsidRDefault="00A21C81">
      <w:pPr>
        <w:ind w:firstLine="238"/>
      </w:pPr>
      <w:r>
        <w:rPr>
          <w:rFonts w:cs="EB Garamond"/>
          <w:kern w:val="16"/>
          <w14:ligatures w14:val="standardContextual"/>
        </w:rPr>
        <w:t>O trabalho doméstico é proibido para menores de 18 anos, conforme o Decreto n. 6.481/2008, que regulamenta a Convenção 182 da OIT sobre as piores formas de trabalho infantil, e o art. 1º, parágrafo único, da LC 150/2015.</w:t>
      </w:r>
    </w:p>
    <w:tbl>
      <w:tblPr>
        <w:tblW w:w="5000" w:type="pct"/>
        <w:jc w:val="center"/>
        <w:tblLayout w:type="fixed"/>
        <w:tblLook w:val="04A0" w:firstRow="1" w:lastRow="0" w:firstColumn="1" w:lastColumn="0" w:noHBand="0" w:noVBand="1"/>
      </w:tblPr>
      <w:tblGrid>
        <w:gridCol w:w="6311"/>
      </w:tblGrid>
      <w:tr w:rsidR="005A5FCC" w14:paraId="3EB1CCDB"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71370B1D"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67B24FF1" w14:textId="77777777" w:rsidR="005A5FCC" w:rsidRDefault="00A21C81">
            <w:pPr>
              <w:spacing w:after="60" w:line="247" w:lineRule="auto"/>
            </w:pPr>
            <w:r>
              <w:rPr>
                <w:rFonts w:cs="EB Garamond"/>
                <w:kern w:val="16"/>
                <w:sz w:val="19"/>
                <w14:ligatures w14:val="standardContextual"/>
              </w:rPr>
              <w:t>Ao atender cliente que trabalha como diarista em mais de uma residência, é essencial verificar a frequência semanal em cada domicílio. Se a prestação ocorre por mais de dois dias por semana na mesma residência, configura-se vínculo de emprego doméstico, e o tomador é responsável pelo recolhimento previdenciário. Se a frequência é de até dois dias, não há vínculo doméstico com aquele tomador, e a trabalhadora poderá recolher como contribuinte individual ou, caso preencha os requisitos do CadÚnico e não exerça outra atividade remunerada obrigatória, filiar-se como segurada facultativa de baixa renda, com alíquota de 5%. Quanto à carência do empregado doméstico, a regra geral é a contagem a partir da data da filiação ao RGPS (art. 28, I, do Decreto 3.048/99), presumindo-se efetuado o recolhimento das contribuições retidas e devidas pelo empregador, ainda que este as tenha pago em atraso — solução coerente com a responsabilidade tributária do tomador e com a vedação ao prejuízo do segurado pela inadimplência de terceiro.</w:t>
            </w:r>
          </w:p>
        </w:tc>
      </w:tr>
    </w:tbl>
    <w:p w14:paraId="460CD483" w14:textId="77777777" w:rsidR="005A5FCC" w:rsidRDefault="005A5FCC">
      <w:pPr>
        <w:spacing w:after="80" w:line="240" w:lineRule="auto"/>
      </w:pPr>
    </w:p>
    <w:p w14:paraId="75416F17" w14:textId="77777777" w:rsidR="005A5FCC" w:rsidRDefault="00A21C81">
      <w:pPr>
        <w:spacing w:before="260" w:after="80" w:line="240" w:lineRule="auto"/>
        <w:jc w:val="left"/>
      </w:pPr>
      <w:r>
        <w:rPr>
          <w:rFonts w:cs="EB Garamond"/>
          <w:b/>
          <w:color w:val="3A3128"/>
          <w:kern w:val="16"/>
          <w:sz w:val="25"/>
          <w14:ligatures w14:val="standardContextual"/>
        </w:rPr>
        <w:t>2.1.3 O contribuinte individual</w:t>
      </w:r>
    </w:p>
    <w:p w14:paraId="6A4FCCD3"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1271A414" w14:textId="77777777" w:rsidR="005A5FCC" w:rsidRDefault="00A21C81">
      <w:r>
        <w:rPr>
          <w:rFonts w:cs="EB Garamond"/>
          <w:kern w:val="16"/>
          <w14:ligatures w14:val="standardContextual"/>
        </w:rPr>
        <w:t xml:space="preserve"> contribuinte individual abrange um universo heterogêneo de trabalhadores que exercem atividade remunerada por conta própria ou sem relação de emprego. A categoria surgiu da reunião de três espécies previstas na legislação anterior, o empresário, o trabalhador autônomo e o equiparado a autônomo, unificadas pela Lei n. 9.876, de 26 de novembro de 1999, no atual inciso V do art. 11 da Lei 8.213/91. A nomenclatura "autônomo" ainda é utilizada na linguagem comum, mas foi extirpada da legislação de regência. Do ponto de vista lógico-sistemático, a categoria do contribuinte individual possui caráter residual: será contribuinte individual todo aquele que desenvolve atividade remunerada e que não se enquadra em nenhuma das demais espécies de segurado obrigatório.</w:t>
      </w:r>
    </w:p>
    <w:p w14:paraId="2CB05C8C" w14:textId="77777777" w:rsidR="005A5FCC" w:rsidRDefault="00A21C81">
      <w:pPr>
        <w:ind w:firstLine="238"/>
      </w:pPr>
      <w:r>
        <w:rPr>
          <w:rFonts w:cs="EB Garamond"/>
          <w:kern w:val="16"/>
          <w14:ligatures w14:val="standardContextual"/>
        </w:rPr>
        <w:lastRenderedPageBreak/>
        <w:t>O art. 11, inciso V, da Lei 8.213/91 enumera as seguintes alíneas:</w:t>
      </w:r>
    </w:p>
    <w:p w14:paraId="04DB3311" w14:textId="77777777" w:rsidR="005A5FCC" w:rsidRDefault="00A21C81">
      <w:pPr>
        <w:ind w:firstLine="238"/>
      </w:pPr>
      <w:r>
        <w:rPr>
          <w:rFonts w:cs="EB Garamond"/>
          <w:b/>
          <w:kern w:val="16"/>
          <w14:ligatures w14:val="standardContextual"/>
        </w:rPr>
        <w:t>a) O produtor rural pessoa física descaracterizado como segurado especial.</w:t>
      </w:r>
      <w:r>
        <w:rPr>
          <w:rFonts w:cs="EB Garamond"/>
          <w:kern w:val="16"/>
          <w14:ligatures w14:val="standardContextual"/>
        </w:rPr>
        <w:t xml:space="preserve"> Trata-se da pessoa física, proprietária ou não, que explora atividade agropecuária, a qualquer título, em caráter permanente ou temporário, em área superior a 4 módulos fiscais; ou, quando em área igual ou inferior a 4 módulos fiscais ou atividade pesqueira, com auxílio de empregados ou por intermédio de prepostos. A hipótese abrange essencialmente o produtor rural que não se enquadra como segurado especial, seja pelo tamanho da área explorada, pela contratação de mão de obra acima dos limites permitidos, ou por qualquer outra razão descaracterizadora. O cônjuge ou companheiro que participa da exploração da mesma atividade é igualmente enquadrado como contribuinte individual.</w:t>
      </w:r>
    </w:p>
    <w:p w14:paraId="6842BC3C" w14:textId="77777777" w:rsidR="005A5FCC" w:rsidRDefault="00A21C81">
      <w:pPr>
        <w:ind w:firstLine="238"/>
      </w:pPr>
      <w:r>
        <w:rPr>
          <w:rFonts w:cs="EB Garamond"/>
          <w:b/>
          <w:kern w:val="16"/>
          <w14:ligatures w14:val="standardContextual"/>
        </w:rPr>
        <w:t>b) O garimpeiro.</w:t>
      </w:r>
      <w:r>
        <w:rPr>
          <w:rFonts w:cs="EB Garamond"/>
          <w:kern w:val="16"/>
          <w14:ligatures w14:val="standardContextual"/>
        </w:rPr>
        <w:t xml:space="preserve"> A pessoa física que explora atividade de extração mineral em caráter permanente ou temporário, diretamente ou por intermédio de prepostos. Na redação original da Lei 8.213/91, o garimpeiro era segurado especial; a Lei n. 8.398/1992 retirou-o dessa condição e, com a unificação das categorias promovida pela Lei 9.876/99, passou a integrar a categoria de contribuinte individual. A consequência é direta: o garimpeiro contribui sobre o resultado de sua atividade. Há, contudo, ressalva relevante quanto à aposentadoria por idade: embora enquadrado como contribuinte individual, o garimpeiro que comprovar trabalho em regime de economia familiar faz jus à redução do requisito etário — sessenta anos, se homem, e cinquenta e cinco anos, se mulher —, por força do art. 56 do Decreto 3.048/99 (antigo art. 51, renumerado pelo Decreto 10.410/2020), que estende expressamente a essa hipótese o mesmo tratamento etário conferido aos trabalhadores rurais referidos no art. 201, § 7º, II, da Constituição. Fora dessa hipótese específica — ausente o regime de economia familiar —, o garimpeiro submete-se às condições gerais da aposentadoria por idade do contribuinte individual, cujo alcance é examinado no Capítulo 9.</w:t>
      </w:r>
    </w:p>
    <w:p w14:paraId="633C3850" w14:textId="77777777" w:rsidR="005A5FCC" w:rsidRDefault="00A21C81">
      <w:pPr>
        <w:ind w:firstLine="238"/>
      </w:pPr>
      <w:r>
        <w:rPr>
          <w:rFonts w:cs="EB Garamond"/>
          <w:b/>
          <w:kern w:val="16"/>
          <w14:ligatures w14:val="standardContextual"/>
        </w:rPr>
        <w:t>c) O ministro de confissão religiosa e o membro de instituto de vida consagrada.</w:t>
      </w:r>
      <w:r>
        <w:rPr>
          <w:rFonts w:cs="EB Garamond"/>
          <w:kern w:val="16"/>
          <w14:ligatures w14:val="standardContextual"/>
        </w:rPr>
        <w:t xml:space="preserve"> Os religiosos só passaram a ter proteção previdenciária obrigatória a partir da Lei n. 6.696/1979. Para fins previdenciários, são contribuintes individuais, e seu ingresso na Previdência Social não implica reconhecimento de relação de emprego com a entidade religiosa.</w:t>
      </w:r>
    </w:p>
    <w:p w14:paraId="65A69014" w14:textId="724A05F7" w:rsidR="00486D4A" w:rsidRDefault="00486D4A">
      <w:pPr>
        <w:ind w:firstLine="238"/>
      </w:pPr>
      <w:r>
        <w:rPr>
          <w:rFonts w:cs="EB Garamond"/>
          <w:b/>
          <w:kern w:val="16"/>
          <w14:ligatures w14:val="standardContextual"/>
        </w:rPr>
        <w:lastRenderedPageBreak/>
        <w:t xml:space="preserve">d) </w:t>
      </w:r>
      <w:r w:rsidRPr="00486D4A">
        <w:rPr>
          <w:rFonts w:cs="EB Garamond"/>
          <w:bCs/>
          <w:kern w:val="16"/>
          <w14:ligatures w14:val="standardContextual"/>
        </w:rPr>
        <w:t>Revogada pela Lei n. 9.876/1999.</w:t>
      </w:r>
    </w:p>
    <w:p w14:paraId="4FE308AD" w14:textId="1BDF3553" w:rsidR="005A5FCC" w:rsidRDefault="00A21C81">
      <w:pPr>
        <w:ind w:firstLine="238"/>
      </w:pPr>
      <w:r>
        <w:rPr>
          <w:rFonts w:cs="EB Garamond"/>
          <w:b/>
          <w:kern w:val="16"/>
          <w14:ligatures w14:val="standardContextual"/>
        </w:rPr>
        <w:t>e) O brasileiro civil que trabalha no exterior para organismo oficial internacional do qual o Brasil é membro efetivo</w:t>
      </w:r>
      <w:r w:rsidR="00486D4A" w:rsidRPr="00486D4A">
        <w:rPr>
          <w:rFonts w:cs="EB Garamond"/>
          <w:b/>
          <w:kern w:val="16"/>
          <w14:ligatures w14:val="standardContextual"/>
        </w:rPr>
        <w:t>,</w:t>
      </w:r>
      <w:r w:rsidRPr="00486D4A">
        <w:rPr>
          <w:rFonts w:cs="EB Garamond"/>
          <w:b/>
          <w:kern w:val="16"/>
          <w14:ligatures w14:val="standardContextual"/>
        </w:rPr>
        <w:t xml:space="preserve"> </w:t>
      </w:r>
      <w:r w:rsidR="00486D4A" w:rsidRPr="00486D4A">
        <w:rPr>
          <w:rFonts w:cs="EB Garamond"/>
          <w:b/>
          <w:kern w:val="16"/>
          <w14:ligatures w14:val="standardContextual"/>
        </w:rPr>
        <w:t>q</w:t>
      </w:r>
      <w:r w:rsidRPr="00486D4A">
        <w:rPr>
          <w:rFonts w:cs="EB Garamond"/>
          <w:b/>
          <w:kern w:val="16"/>
          <w14:ligatures w14:val="standardContextual"/>
        </w:rPr>
        <w:t>uando não coberto por regime próprio de previdência social.</w:t>
      </w:r>
      <w:r>
        <w:rPr>
          <w:rFonts w:cs="EB Garamond"/>
          <w:kern w:val="16"/>
          <w14:ligatures w14:val="standardContextual"/>
        </w:rPr>
        <w:t xml:space="preserve"> Trata-se de hipótese que o legislador optou por enquadrar como contribuinte individual, embora situações análogas sejam enquadradas como empregado (alínea e do inciso I).</w:t>
      </w:r>
    </w:p>
    <w:p w14:paraId="53D0BDBF" w14:textId="667B3EEA" w:rsidR="005A5FCC" w:rsidRDefault="00A21C81">
      <w:pPr>
        <w:ind w:firstLine="238"/>
      </w:pPr>
      <w:r>
        <w:rPr>
          <w:rFonts w:cs="EB Garamond"/>
          <w:b/>
          <w:kern w:val="16"/>
          <w14:ligatures w14:val="standardContextual"/>
        </w:rPr>
        <w:t>f) Gestores e administradores.</w:t>
      </w:r>
      <w:r>
        <w:rPr>
          <w:rFonts w:cs="EB Garamond"/>
          <w:kern w:val="16"/>
          <w14:ligatures w14:val="standardContextual"/>
        </w:rPr>
        <w:t xml:space="preserve"> O titular de firma individual urbana ou rural, o diretor não empregado e o membro de conselho de administração de sociedade anônima, o sócio solidário, o sócio de indústria, o sócio gerente e o sócio cotista que recebam remuneração decorrente de seu trabalho, e o associado eleito para cargo de direção em cooperativa, associação ou entidade de qualquer natureza ou finalidade, bem como o síndico ou administrador eleito para exercer atividade de direção condominial, desde que recebam remuneração. O enquadramento do síndico como contribuinte individual pressupõe a percepção de remuneração pelo exercício do encargo (art. 12, V, f, da Lei 8.212/91 e art. 9º do Decreto 3.048/99). A controvérsia diz respeito à dispensa da taxa de condomínio: a orientação que prevalece equipara essa isenção a remuneração indireta, de modo que o síndico isento da contribuição condominial é tido por remunerado e, portanto, por contribuinte individual obrigatório. Trata-se de equiparação que decorre da interpretação do conceito de remuneração do art. 12 da Lei 8.212/91 e dos atos infralegais que o regulamentam — e não da Lei n. 9.506/1997, cujo objeto era a contribuição dos exercentes de mandato eletivo. O síndico não remunerado nem isento da taxa condominial não é segurado obrigatório, podendo filiar-se como facultativo.</w:t>
      </w:r>
    </w:p>
    <w:p w14:paraId="0A0C2D9E" w14:textId="77777777" w:rsidR="005A5FCC" w:rsidRDefault="00A21C81">
      <w:pPr>
        <w:ind w:firstLine="238"/>
      </w:pPr>
      <w:r>
        <w:rPr>
          <w:rFonts w:cs="EB Garamond"/>
          <w:b/>
          <w:kern w:val="16"/>
          <w14:ligatures w14:val="standardContextual"/>
        </w:rPr>
        <w:t>g) O trabalhador eventual.</w:t>
      </w:r>
      <w:r>
        <w:rPr>
          <w:rFonts w:cs="EB Garamond"/>
          <w:kern w:val="16"/>
          <w14:ligatures w14:val="standardContextual"/>
        </w:rPr>
        <w:t xml:space="preserve"> Quem presta serviço de natureza urbana ou rural, em caráter eventual, a uma ou mais empresas, sem relação de emprego. Falta-lhe o requisito da habitualidade que caracteriza o empregado.</w:t>
      </w:r>
    </w:p>
    <w:p w14:paraId="103EC916" w14:textId="77777777" w:rsidR="005A5FCC" w:rsidRDefault="00A21C81">
      <w:pPr>
        <w:ind w:firstLine="238"/>
      </w:pPr>
      <w:r>
        <w:rPr>
          <w:rFonts w:cs="EB Garamond"/>
          <w:b/>
          <w:kern w:val="16"/>
          <w14:ligatures w14:val="standardContextual"/>
        </w:rPr>
        <w:t>h) O trabalhador autônomo genérico.</w:t>
      </w:r>
      <w:r>
        <w:rPr>
          <w:rFonts w:cs="EB Garamond"/>
          <w:kern w:val="16"/>
          <w14:ligatures w14:val="standardContextual"/>
        </w:rPr>
        <w:t xml:space="preserve"> A pessoa física que exerce, por conta própria, atividade econômica de natureza urbana, com fins lucrativos ou não. Trata-se de cláusula residual, apta a abarcar virtualmente todas as hipóteses de trabalhadores que desenvolvem atividade urbana remunerada e que não possam ser enquadrados em outras categorias. O Decreto 3.048/99, em seu art. 9º, § 15, </w:t>
      </w:r>
      <w:r>
        <w:rPr>
          <w:rFonts w:cs="EB Garamond"/>
          <w:kern w:val="16"/>
          <w14:ligatures w14:val="standardContextual"/>
        </w:rPr>
        <w:lastRenderedPageBreak/>
        <w:t>detalha extenso rol exemplificativo, incluindo o comerciante ambulante, o notário ou tabelião, o médico-residente, o árbitro de jogos desportivos, o membro de conselho tutelar remunerado e o cooperado de cooperativa de produção.</w:t>
      </w:r>
    </w:p>
    <w:p w14:paraId="53B51DCB" w14:textId="77777777" w:rsidR="005A5FCC" w:rsidRDefault="00A21C81">
      <w:pPr>
        <w:ind w:firstLine="238"/>
      </w:pPr>
      <w:r>
        <w:rPr>
          <w:rFonts w:cs="EB Garamond"/>
          <w:kern w:val="16"/>
          <w14:ligatures w14:val="standardContextual"/>
        </w:rPr>
        <w:t>A Lei n. 10.666, de 8 de maio de 2003, transferiu à empresa tomadora de serviços a obrigação de arrecadar e recolher a contribuição previdenciária do contribuinte individual, descontando-a da remuneração paga. Antes dessa lei, cabia ao próprio contribuinte individual a responsabilidade integral pelo recolhimento, o que gerava elevada inadimplência. A alteração repercute diretamente na contagem de carência (v. Cap. 3, seção 3.4, para o detalhamento das regras de cômputo).</w:t>
      </w:r>
    </w:p>
    <w:p w14:paraId="6644D58D" w14:textId="77777777" w:rsidR="005A5FCC" w:rsidRDefault="00A21C81">
      <w:pPr>
        <w:ind w:firstLine="238"/>
      </w:pPr>
      <w:r>
        <w:rPr>
          <w:rFonts w:cs="EB Garamond"/>
          <w:kern w:val="16"/>
          <w14:ligatures w14:val="standardContextual"/>
        </w:rPr>
        <w:t>No que toca à alíquota, o contribuinte individual contribui, em regra, à razão de 20% sobre o salário de contribuição (art. 21 da Lei 8.212/91). A esse regime soma-se o chamado plano simplificado de contribuição, com alíquota reduzida de 11% sobre o salário mínimo — fixado em R$ 1.621,00 para o exercício de 2026 —, que exclui o direito à aposentadoria por tempo de contribuição (art. 21, § 2º, I, da Lei 8.212/91); o segurado que, tendo optado por esse plano, pretenda computar o período para aposentadoria por tempo de contribuição ou para contagem recíproca deverá complementar o recolhimento até a alíquota integral, indenizando a diferença (art. 21, § 3º).</w:t>
      </w:r>
    </w:p>
    <w:p w14:paraId="79C17622" w14:textId="20724872" w:rsidR="005A5FCC" w:rsidRDefault="00A21C81">
      <w:pPr>
        <w:ind w:firstLine="238"/>
      </w:pPr>
      <w:r>
        <w:rPr>
          <w:rFonts w:cs="EB Garamond"/>
          <w:kern w:val="16"/>
          <w14:ligatures w14:val="standardContextual"/>
        </w:rPr>
        <w:t xml:space="preserve">O </w:t>
      </w:r>
      <w:r w:rsidR="00486D4A">
        <w:rPr>
          <w:rFonts w:cs="EB Garamond"/>
          <w:kern w:val="16"/>
          <w14:ligatures w14:val="standardContextual"/>
        </w:rPr>
        <w:t>M</w:t>
      </w:r>
      <w:r>
        <w:rPr>
          <w:rFonts w:cs="EB Garamond"/>
          <w:kern w:val="16"/>
          <w14:ligatures w14:val="standardContextual"/>
        </w:rPr>
        <w:t xml:space="preserve">icroempreendedor Individual </w:t>
      </w:r>
      <w:r w:rsidR="00486D4A">
        <w:rPr>
          <w:rFonts w:cs="EB Garamond"/>
          <w:kern w:val="16"/>
          <w14:ligatures w14:val="standardContextual"/>
        </w:rPr>
        <w:t xml:space="preserve">(MEI) </w:t>
      </w:r>
      <w:r>
        <w:rPr>
          <w:rFonts w:cs="EB Garamond"/>
          <w:kern w:val="16"/>
          <w14:ligatures w14:val="standardContextual"/>
        </w:rPr>
        <w:t>constitui modalidade especial de contribuinte individual, com regime tributário simplificado e alíquota reduzida de 5% sobre o salário mínimo, nos termos da Lei n. 12.470/2011 combinada com a Lei Complementar n. 123/2006. Essa alíquota reduzida, contudo, exclui o direito à aposentadoria por tempo de contribuição — restrição que subsiste mesmo após a extinção dessa espécie de aposentadoria pela EC 103/2019, pois permanece relevante para o cômputo do tempo de contribuição nas regras de transição, como as que exigem pedágio. Se o MEI desejar computar o período contributivo para aposentadoria por tempo de contribuição ou para contagem recíproca com outro regime, deverá complementar a contribuição até a alíquota integral, indenizando a diferença (art. 21, § 3º, da Lei 8.212/91).</w:t>
      </w:r>
    </w:p>
    <w:p w14:paraId="0DDDF67B" w14:textId="77777777" w:rsidR="005A5FCC" w:rsidRDefault="00A21C81">
      <w:pPr>
        <w:spacing w:before="260" w:after="80" w:line="240" w:lineRule="auto"/>
        <w:jc w:val="left"/>
      </w:pPr>
      <w:r>
        <w:rPr>
          <w:rFonts w:cs="EB Garamond"/>
          <w:b/>
          <w:color w:val="3A3128"/>
          <w:kern w:val="16"/>
          <w:sz w:val="25"/>
          <w14:ligatures w14:val="standardContextual"/>
        </w:rPr>
        <w:t>2.1.4 O trabalhador avulso</w:t>
      </w:r>
    </w:p>
    <w:p w14:paraId="1745978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O</w:t>
      </w:r>
    </w:p>
    <w:p w14:paraId="63D34E37" w14:textId="77777777" w:rsidR="005A5FCC" w:rsidRDefault="00A21C81">
      <w:r>
        <w:rPr>
          <w:rFonts w:cs="EB Garamond"/>
          <w:kern w:val="16"/>
          <w14:ligatures w14:val="standardContextual"/>
        </w:rPr>
        <w:t xml:space="preserve"> trabalhador avulso é aquele que presta serviço a diversas empresas, sem vínculo empregatício, com intermediação obrigatória de sindicato da categoria ou do Órgão Gestor de Mão de Obra. A definição genérica do art. 11, inciso VI, da Lei 8.213/91 foi detalhada pelo art. 9º, VI, do Decreto 3.048/99, que distingue duas modalidades: o trabalhador avulso portuário e o trabalhador avulso não portuário.</w:t>
      </w:r>
    </w:p>
    <w:p w14:paraId="3C6C7FF4" w14:textId="0154824C" w:rsidR="005A5FCC" w:rsidRDefault="00A21C81">
      <w:pPr>
        <w:ind w:firstLine="238"/>
      </w:pPr>
      <w:r>
        <w:rPr>
          <w:rFonts w:cs="EB Garamond"/>
          <w:kern w:val="16"/>
          <w14:ligatures w14:val="standardContextual"/>
        </w:rPr>
        <w:t>O trabalhador avulso portuário exerce suas atividades com intermediação do Órgão Gestor de Mão de Obra (OGMO), nos termos da Lei n. 12.815, de 5 de junho de 2013 (Lei dos Portos). O Decreto 3.048/99 relaciona expressamente as atividades portuárias: capatazia, estiva, conferência e conserto de carga, vigilância de embarcação e bloco, estiva de mercadorias de qualquer natureza (inclusive carvão e minério), trabalho em alvarenga, amarração de embarcação, ensaque de café, cacau e sal, trabalho na indústria de extração de sal, carregamento de bagagem em porto, prático de barra, guindasteiro e classificação, movimentação e empacotamento de mercadorias em portos. O trabalhador avulso não portuário exerce atividade de movimentação de mercadorias em geral, nos termos da Lei n. 12.023, de 27 de agosto de 2009, com intermediação obrigatória do sindicato da categoria.</w:t>
      </w:r>
    </w:p>
    <w:p w14:paraId="297583AA" w14:textId="77777777" w:rsidR="005A5FCC" w:rsidRDefault="00A21C81">
      <w:pPr>
        <w:ind w:firstLine="238"/>
      </w:pPr>
      <w:r>
        <w:rPr>
          <w:rFonts w:cs="EB Garamond"/>
          <w:kern w:val="16"/>
          <w14:ligatures w14:val="standardContextual"/>
        </w:rPr>
        <w:t>A Constituição Federal, no art. 7º, inciso XXXIV, assegura "igualdade de direitos entre o trabalhador com vínculo empregatício permanente e o trabalhador avulso". Essa equiparação constitucional possui alcance pleno no campo previdenciário: o trabalhador avulso tem direito a todas as prestações previstas para o segurado empregado, incluindo o salário-família e a cobertura acidentária. A legislação infraconstitucional não pode, em regra, estabelecer distinções entre as duas categorias.</w:t>
      </w:r>
    </w:p>
    <w:p w14:paraId="1C48EA4D" w14:textId="77777777" w:rsidR="005A5FCC" w:rsidRDefault="00A21C81">
      <w:pPr>
        <w:ind w:firstLine="238"/>
      </w:pPr>
      <w:r>
        <w:rPr>
          <w:rFonts w:cs="EB Garamond"/>
          <w:kern w:val="16"/>
          <w14:ligatures w14:val="standardContextual"/>
        </w:rPr>
        <w:t>Quando comparado à relação de emprego, o trabalho avulso se distingue essencialmente pela ausência do requisito da pessoalidade e pelo caráter intermediado da prestação. O trabalhador avulso não escolhe para quem trabalha — é escalado pelo OGMO ou pelo sindicato conforme as demandas das empresas tomadoras. Essa peculiaridade não reduz, contudo, a proteção previdenciária, que é integral e equiparada à do empregado.</w:t>
      </w:r>
    </w:p>
    <w:p w14:paraId="345141C6" w14:textId="77777777" w:rsidR="005A5FCC" w:rsidRDefault="00A21C81">
      <w:pPr>
        <w:ind w:firstLine="238"/>
      </w:pPr>
      <w:r>
        <w:rPr>
          <w:rFonts w:cs="EB Garamond"/>
          <w:kern w:val="16"/>
          <w14:ligatures w14:val="standardContextual"/>
        </w:rPr>
        <w:lastRenderedPageBreak/>
        <w:t>A intermediação obrigatória do OGMO, nos termos da Lei 12.815/2013, desempenha função essencial no sistema de proteção previdenciária do avulso portuário. Cabe ao OGMO administrar o fornecimento de mão de obra, manter o registro e o cadastro dos trabalhadores, promover a formação profissional e arrecadar as contribuições previdenciárias devidas pelas empresas operadoras portuárias. A responsabilidade solidária do OGMO pelo recolhimento das contribuições previdenciárias constitui garantia relevante para o trabalhador avulso, pois evita que a pulverização entre múltiplos tomadores comprometa a regularidade contributiva. Para o trabalhador avulso não portuário, a Lei 12.023/2009 atribui ao sindicato da categoria função análoga à do OGMO, intermediando a contratação por meio de acordo ou convenção coletiva de trabalho.</w:t>
      </w:r>
    </w:p>
    <w:p w14:paraId="2C550C71" w14:textId="77777777" w:rsidR="005A5FCC" w:rsidRDefault="00A21C81">
      <w:pPr>
        <w:ind w:firstLine="238"/>
      </w:pPr>
      <w:r>
        <w:rPr>
          <w:rFonts w:cs="EB Garamond"/>
          <w:kern w:val="16"/>
          <w14:ligatures w14:val="standardContextual"/>
        </w:rPr>
        <w:t>A contribuição previdenciária incidente sobre a remuneração do trabalhador avulso segue as mesmas alíquotas aplicáveis ao empregado, variando conforme a faixa salarial (art. 198 do Decreto 3.048/99). A empresa tomadora de serviço é responsável pelo desconto e recolhimento, à semelhança do que ocorre com o empregado. Essa sistemática assegura que o trabalhador avulso não seja onerado pela complexidade de sua relação de trabalho multiempregadora. O período de carência, de igual modo, é computado a partir da filiação, independentemente do efetivo recolhimento — cabendo à empresa tomadora a responsabilidade tributária.</w:t>
      </w:r>
    </w:p>
    <w:p w14:paraId="55CB17C7" w14:textId="64CBA685" w:rsidR="005A5FCC" w:rsidRDefault="00A21C81">
      <w:pPr>
        <w:ind w:firstLine="238"/>
      </w:pPr>
      <w:r>
        <w:rPr>
          <w:rFonts w:cs="EB Garamond"/>
          <w:kern w:val="16"/>
          <w14:ligatures w14:val="standardContextual"/>
        </w:rPr>
        <w:t xml:space="preserve">No foro dos Juizados, as demandas envolvendo trabalhadores avulsos frequentemente dizem respeito ao reconhecimento de períodos de atividade portuária anteriores à informatização dos registros do OGMO, à comprovação de vínculo para fins de aposentadoria especial por exposição a agentes nocivos no ambiente portuário (poeira, ruído, agentes químicos) e à cobertura acidentária. O </w:t>
      </w:r>
      <w:r w:rsidR="00E32D8B">
        <w:rPr>
          <w:rFonts w:cs="EB Garamond"/>
          <w:kern w:val="16"/>
          <w14:ligatures w14:val="standardContextual"/>
        </w:rPr>
        <w:t>Perfil Profissiográfico Previdenciário (</w:t>
      </w:r>
      <w:r>
        <w:rPr>
          <w:rFonts w:cs="EB Garamond"/>
          <w:kern w:val="16"/>
          <w14:ligatures w14:val="standardContextual"/>
        </w:rPr>
        <w:t>PPP</w:t>
      </w:r>
      <w:r w:rsidR="00E32D8B">
        <w:rPr>
          <w:rFonts w:cs="EB Garamond"/>
          <w:kern w:val="16"/>
          <w14:ligatures w14:val="standardContextual"/>
        </w:rPr>
        <w:t>)</w:t>
      </w:r>
      <w:r>
        <w:rPr>
          <w:rFonts w:cs="EB Garamond"/>
          <w:kern w:val="16"/>
          <w14:ligatures w14:val="standardContextual"/>
        </w:rPr>
        <w:t xml:space="preserve"> do trabalhador avulso portuário deve ser emitido pelo OGMO ou, na sua falta, pelo sindicato da categoria, nos termos do art. 68, § 8º, do Decreto 3.048/99.</w:t>
      </w:r>
    </w:p>
    <w:p w14:paraId="6B5C0721" w14:textId="77777777" w:rsidR="005A5FCC" w:rsidRDefault="00A21C81">
      <w:pPr>
        <w:spacing w:before="260" w:after="80" w:line="240" w:lineRule="auto"/>
        <w:jc w:val="left"/>
      </w:pPr>
      <w:r>
        <w:rPr>
          <w:rFonts w:cs="EB Garamond"/>
          <w:b/>
          <w:color w:val="3A3128"/>
          <w:kern w:val="16"/>
          <w:sz w:val="25"/>
          <w14:ligatures w14:val="standardContextual"/>
        </w:rPr>
        <w:t>2.1.5 O segurado especial</w:t>
      </w:r>
    </w:p>
    <w:p w14:paraId="448A750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0EB840B9" w14:textId="77777777" w:rsidR="005A5FCC" w:rsidRDefault="00A21C81">
      <w:r>
        <w:rPr>
          <w:rFonts w:cs="EB Garamond"/>
          <w:kern w:val="16"/>
          <w14:ligatures w14:val="standardContextual"/>
        </w:rPr>
        <w:t xml:space="preserve"> segurado especial é a pessoa física residente no imóvel rural ou em aglomerado urbano ou rural próximo que, individualmente ou em regime de economia familiar, ainda que com o auxílio eventual de terceiros, exerce atividade na condição de: (a) produtor agropecuário em área de até quatro módulos </w:t>
      </w:r>
      <w:r>
        <w:rPr>
          <w:rFonts w:cs="EB Garamond"/>
          <w:kern w:val="16"/>
          <w14:ligatures w14:val="standardContextual"/>
        </w:rPr>
        <w:lastRenderedPageBreak/>
        <w:t>fiscais, seringueiro ou extrativista vegetal; (b) pescador artesanal ou assemelhado; (c) cônjuge, companheiro ou filho maior de 16 anos que comprovadamente trabalhe com o grupo familiar (art. 11, VII, da Lei 8.213/91, com a redação da Lei n. 11.718/2008).</w:t>
      </w:r>
    </w:p>
    <w:p w14:paraId="4D97AF01" w14:textId="0805302C" w:rsidR="005A5FCC" w:rsidRDefault="00A21C81">
      <w:pPr>
        <w:ind w:firstLine="238"/>
      </w:pPr>
      <w:r>
        <w:rPr>
          <w:rFonts w:cs="EB Garamond"/>
          <w:kern w:val="16"/>
          <w14:ligatures w14:val="standardContextual"/>
        </w:rPr>
        <w:t xml:space="preserve">A Constituição Federal, no art. 195, § 8º, prevê contribuição diferenciada para esses trabalhadores, incidente sobre o resultado da comercialização da produção. Todos os membros do grupo familiar que trabalham em regime de economia familiar são segurados especiais e têm direito à cobertura prevista no art. 39 da Lei 8.213/91, com renda mensal de um </w:t>
      </w:r>
      <w:r w:rsidR="00486D4A">
        <w:rPr>
          <w:rFonts w:cs="EB Garamond"/>
          <w:kern w:val="16"/>
          <w14:ligatures w14:val="standardContextual"/>
        </w:rPr>
        <w:t>salário-mínimo</w:t>
      </w:r>
      <w:r>
        <w:rPr>
          <w:rFonts w:cs="EB Garamond"/>
          <w:kern w:val="16"/>
          <w14:ligatures w14:val="standardContextual"/>
        </w:rPr>
        <w:t xml:space="preserve"> (R$ 1.621,00 em 2026): aposentadoria por idade, aposentadoria por incapacidade permanente, auxílio por incapacidade temporária, auxílio-acidente (a partir da Lei 12.873/2013), auxílio-reclusão e pensão por morte. A segurada especial tem direito ao salário-maternidade com renda de um </w:t>
      </w:r>
      <w:r w:rsidR="00486D4A">
        <w:rPr>
          <w:rFonts w:cs="EB Garamond"/>
          <w:kern w:val="16"/>
          <w14:ligatures w14:val="standardContextual"/>
        </w:rPr>
        <w:t>salário-mínimo</w:t>
      </w:r>
      <w:r>
        <w:rPr>
          <w:rFonts w:cs="EB Garamond"/>
          <w:kern w:val="16"/>
          <w14:ligatures w14:val="standardContextual"/>
        </w:rPr>
        <w:t>.</w:t>
      </w:r>
    </w:p>
    <w:p w14:paraId="4F21A33D" w14:textId="77777777" w:rsidR="005A5FCC" w:rsidRDefault="00A21C81">
      <w:pPr>
        <w:ind w:firstLine="238"/>
      </w:pPr>
      <w:r>
        <w:rPr>
          <w:rFonts w:cs="EB Garamond"/>
          <w:kern w:val="16"/>
          <w14:ligatures w14:val="standardContextual"/>
        </w:rPr>
        <w:t>O regime de economia familiar (§ 1º do art. 11) exige que o trabalho dos membros da família seja indispensável à subsistência do núcleo, exercido em mútua dependência e colaboração, sem empregados permanentes. A lei admite o auxílio eventual de terceiros (Decreto 3.048/99, art. 9º, § 6º) e, desde as Leis 11.718/2008 e 12.873/2013, a contratação de empregados por prazo determinado em épocas de safra, até 120 pessoas-dia no ano civil (art. 11, § 8º). O limite de quatro módulos fiscais (Lei 11.718/2008) funciona como elemento indiciário, e não como causa automática de exclusão: o STJ, no Tema Repetitivo 1115, fixou que a propriedade de área superior não descaracteriza, por si só, o regime de economia familiar, desde que comprovados os demais requisitos do enquadramento. As atividades que não descaracterizam o enquadramento (§§ 8º e 9º do art. 11), a extensa jurisprudência do STJ (Temas 532, 533, 554 e 1115; Súmula 149) e da TNU (Súmulas 30, 41 e 46) e a prova da atividade rural são examinados em profundidade no Capítulo 9, ao qual remetemos o leitor.</w:t>
      </w:r>
    </w:p>
    <w:tbl>
      <w:tblPr>
        <w:tblW w:w="5000" w:type="pct"/>
        <w:jc w:val="center"/>
        <w:tblLayout w:type="fixed"/>
        <w:tblLook w:val="04A0" w:firstRow="1" w:lastRow="0" w:firstColumn="1" w:lastColumn="0" w:noHBand="0" w:noVBand="1"/>
      </w:tblPr>
      <w:tblGrid>
        <w:gridCol w:w="6311"/>
      </w:tblGrid>
      <w:tr w:rsidR="005A5FCC" w14:paraId="227CC703"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588027E3"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4787094E" w14:textId="77777777" w:rsidR="005A5FCC" w:rsidRDefault="00A21C81">
            <w:pPr>
              <w:spacing w:after="60" w:line="247" w:lineRule="auto"/>
            </w:pPr>
            <w:r>
              <w:rPr>
                <w:rFonts w:cs="EB Garamond"/>
                <w:kern w:val="16"/>
                <w:sz w:val="19"/>
                <w14:ligatures w14:val="standardContextual"/>
              </w:rPr>
              <w:t>Quando o objeto da demanda é o reconhecimento da condição de segurado especial, documentos como notas fiscais de produtor rural, cadastro no INCRA, contratos de parceria ou arrendamento, Declaração de Aptidão ao PRONAF, CNIS com vínculos rurais, certidão de casamento com profissão "lavrador", título de eleitor com zona rural e prontuários de saúde de postos rurais constituem início de prova material. Para o segurado especial que deseja benefícios com renda mensal superior a um salário mínimo, ou aposentadoria por tempo de contribuição nas regras de transição, é necessário contribuir adicionalmente como contribuinte individual ou facultativo, na forma do art. 39, II, da Lei 8.213/91. Essa contribuição complementar não descaracteriza a condição de segurado especial.</w:t>
            </w:r>
          </w:p>
        </w:tc>
      </w:tr>
    </w:tbl>
    <w:p w14:paraId="27EB711E" w14:textId="77777777" w:rsidR="005A5FCC" w:rsidRDefault="005A5FCC">
      <w:pPr>
        <w:spacing w:after="80" w:line="240" w:lineRule="auto"/>
      </w:pPr>
    </w:p>
    <w:p w14:paraId="0E5F5A20"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2.2 Segurado facultativo</w:t>
      </w:r>
    </w:p>
    <w:p w14:paraId="7B11496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6138DA37" w14:textId="77777777" w:rsidR="005A5FCC" w:rsidRDefault="00A21C81">
      <w:r>
        <w:rPr>
          <w:rFonts w:cs="EB Garamond"/>
          <w:kern w:val="16"/>
          <w14:ligatures w14:val="standardContextual"/>
        </w:rPr>
        <w:t xml:space="preserve"> art. 13 da Lei 8.213/91 estabelece que é segurado facultativo o maior de 14 anos de idade que se filiar ao RGPS mediante contribuição, desde que não incluído nas categorias de segurado obrigatório. Trata-se da única categoria cuja filiação não é automática — depende da manifestação de vontade do interessado, concretizada pela inscrição acompanhada do primeiro recolhimento. O enquadramento como segurado facultativo é residual: somente pode filiar-se nessa categoria quem não exerce atividade remunerada que o enquadre como segurado obrigatório do RGPS ou de Regime Próprio de Previdência Social.</w:t>
      </w:r>
    </w:p>
    <w:p w14:paraId="5D185103" w14:textId="77777777" w:rsidR="005A5FCC" w:rsidRDefault="00A21C81">
      <w:pPr>
        <w:ind w:firstLine="238"/>
      </w:pPr>
      <w:r>
        <w:rPr>
          <w:rFonts w:cs="EB Garamond"/>
          <w:kern w:val="16"/>
          <w14:ligatures w14:val="standardContextual"/>
        </w:rPr>
        <w:t xml:space="preserve">Há divergência entre a lei e o regulamento nesse ponto. O Decreto n. 3.048, de 6 de maio de 1999, em seu art. 11, eleva a idade mínima para 16 anos, com fundamento na Emenda Constitucional n. 20/1998, que proibiu o trabalho de menores de 16 anos, salvo na condição de aprendiz a partir dos 14. Prevalece na doutrina majoritária que a disposição regulamentar está correta, pois a EC 20/98 alterou o art. 7º, XXXIII, da Constituição. A vedação constitucional ao trabalho de menores de 16 anos afeta reflexamente a idade mínima para filiação ao RGPS, já que o segurado facultativo se filia precisamente por não exercer atividade remunerada que lhe confira enquadramento obrigatório. Há, contudo, corrente minoritária que sustenta a prevalência da lei (14 anos), argumentando que a vedação </w:t>
      </w:r>
      <w:r>
        <w:rPr>
          <w:rFonts w:cs="EB Garamond"/>
          <w:kern w:val="16"/>
          <w14:ligatures w14:val="standardContextual"/>
        </w:rPr>
        <w:lastRenderedPageBreak/>
        <w:t>constitucional se dirige ao trabalho e não à proteção previdenciária voluntária. Na prática administrativa, o INSS aplica a idade de 16 anos.</w:t>
      </w:r>
    </w:p>
    <w:p w14:paraId="08E8C28D" w14:textId="77777777" w:rsidR="005A5FCC" w:rsidRDefault="00A21C81">
      <w:pPr>
        <w:ind w:firstLine="238"/>
      </w:pPr>
      <w:r>
        <w:rPr>
          <w:rFonts w:cs="EB Garamond"/>
          <w:kern w:val="16"/>
          <w14:ligatures w14:val="standardContextual"/>
        </w:rPr>
        <w:t>O art. 201, § 5º, da Constituição Federal, com a redação dada pela EC 103/2019, veda expressamente a filiação ao RGPS, na qualidade de segurado facultativo, de pessoa participante de regime próprio de previdência social — vedação cujo alcance é detalhado na seção 2.6, ao tratar das regras aplicáveis ao servidor público. Para o que aqui importa, basta registrar que o INSS tem entendido que até mesmo o aposentado por RPPS não pode filiar-se como facultativo do RGPS, orientação inicialmente veiculada pela IN PRES/INSS 128/2022 (art. 107, § 5º, II). Como os atos administrativos da autarquia são periodicamente reeditados — a IN 128/2022 foi sucedida por instruções posteriores —, a referência normativa precisa deve ser sempre conferida na instrução normativa do INSS em vigor à época da análise, preservada a substância da orientação aqui descrita.</w:t>
      </w:r>
    </w:p>
    <w:p w14:paraId="647C4242" w14:textId="77777777" w:rsidR="005A5FCC" w:rsidRDefault="00A21C81">
      <w:pPr>
        <w:ind w:firstLine="238"/>
      </w:pPr>
      <w:r>
        <w:rPr>
          <w:rFonts w:cs="EB Garamond"/>
          <w:kern w:val="16"/>
          <w14:ligatures w14:val="standardContextual"/>
        </w:rPr>
        <w:t>São exemplos típicos de segurados facultativos a dona de casa, o síndico de condomínio não remunerado, o estudante (a partir de 16 anos), o brasileiro que acompanha cônjuge que presta serviço no exterior, o ex-segurado obrigatório que cessou suas atividades, o bolsista em tempo integral de pesquisa ou pós-graduação, o preso que não exerce atividade remunerada e o brasileiro residente no exterior. O estagiário que presta serviço em conformidade com a Lei n. 11.788/2008 pode inscrever-se como facultativo (art. 12, § 2º, da Lei 11.788/2008). Igualmente, o segurado recolhido à prisão sob regime fechado ou semiaberto que presta serviço dentro ou fora da unidade penal pode filiar-se como facultativo (art. 11, § 1º, XI, do Decreto 3.048/99).</w:t>
      </w:r>
    </w:p>
    <w:p w14:paraId="0E06D02C" w14:textId="2C919D86" w:rsidR="005A5FCC" w:rsidRDefault="00A21C81">
      <w:pPr>
        <w:ind w:firstLine="238"/>
      </w:pPr>
      <w:r>
        <w:rPr>
          <w:rFonts w:cs="EB Garamond"/>
          <w:kern w:val="16"/>
          <w14:ligatures w14:val="standardContextual"/>
        </w:rPr>
        <w:t>O segurado facultativo de baixa renda — dona de casa ou pessoa dedicada ao trabalho doméstico na própria residência, sem renda própria, inscrita no Cad</w:t>
      </w:r>
      <w:r w:rsidR="00E32D8B">
        <w:rPr>
          <w:rFonts w:cs="EB Garamond"/>
          <w:kern w:val="16"/>
          <w14:ligatures w14:val="standardContextual"/>
        </w:rPr>
        <w:t>Ú</w:t>
      </w:r>
      <w:r>
        <w:rPr>
          <w:rFonts w:cs="EB Garamond"/>
          <w:kern w:val="16"/>
          <w14:ligatures w14:val="standardContextual"/>
        </w:rPr>
        <w:t xml:space="preserve">nico, com renda familiar de até dois </w:t>
      </w:r>
      <w:r w:rsidR="00E32D8B">
        <w:rPr>
          <w:rFonts w:cs="EB Garamond"/>
          <w:kern w:val="16"/>
          <w14:ligatures w14:val="standardContextual"/>
        </w:rPr>
        <w:t>salários-mínimos</w:t>
      </w:r>
      <w:r>
        <w:rPr>
          <w:rFonts w:cs="EB Garamond"/>
          <w:kern w:val="16"/>
          <w14:ligatures w14:val="standardContextual"/>
        </w:rPr>
        <w:t xml:space="preserve"> — contribui com alíquota reduzida de 5% sobre o salário</w:t>
      </w:r>
      <w:r w:rsidR="00E32D8B">
        <w:rPr>
          <w:rFonts w:cs="EB Garamond"/>
          <w:kern w:val="16"/>
          <w14:ligatures w14:val="standardContextual"/>
        </w:rPr>
        <w:t>-</w:t>
      </w:r>
      <w:r>
        <w:rPr>
          <w:rFonts w:cs="EB Garamond"/>
          <w:kern w:val="16"/>
          <w14:ligatures w14:val="standardContextual"/>
        </w:rPr>
        <w:t xml:space="preserve">mínimo (Lei 12.470/2011 c/c art. 21 da Lei 8.212/91). Existe também a possibilidade de contribuição com alíquota de 11% sobre o </w:t>
      </w:r>
      <w:r w:rsidR="00E32D8B">
        <w:rPr>
          <w:rFonts w:cs="EB Garamond"/>
          <w:kern w:val="16"/>
          <w14:ligatures w14:val="standardContextual"/>
        </w:rPr>
        <w:t>salário-mínimo</w:t>
      </w:r>
      <w:r>
        <w:rPr>
          <w:rFonts w:cs="EB Garamond"/>
          <w:kern w:val="16"/>
          <w14:ligatures w14:val="standardContextual"/>
        </w:rPr>
        <w:t xml:space="preserve"> para o segurado facultativo que opte pela exclusão do direito à aposentadoria por tempo de contribuição. Em ambos os casos, se posteriormente desejar computar o período para aposentadoria por tempo de contribuição ou para contagem recíproca, deverá complementar a contribuição até a alíquota integral.</w:t>
      </w:r>
    </w:p>
    <w:tbl>
      <w:tblPr>
        <w:tblW w:w="5000" w:type="pct"/>
        <w:jc w:val="center"/>
        <w:tblLayout w:type="fixed"/>
        <w:tblLook w:val="04A0" w:firstRow="1" w:lastRow="0" w:firstColumn="1" w:lastColumn="0" w:noHBand="0" w:noVBand="1"/>
      </w:tblPr>
      <w:tblGrid>
        <w:gridCol w:w="6311"/>
      </w:tblGrid>
      <w:tr w:rsidR="005A5FCC" w14:paraId="590EEC94"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366CD491" w14:textId="77777777" w:rsidR="005A5FCC" w:rsidRDefault="00A21C81">
            <w:pPr>
              <w:spacing w:after="60" w:line="240" w:lineRule="auto"/>
              <w:jc w:val="left"/>
            </w:pPr>
            <w:r>
              <w:rPr>
                <w:rFonts w:ascii="Noto Sans" w:hAnsi="Noto Sans" w:cs="Noto Sans"/>
                <w:b/>
                <w:caps/>
                <w:color w:val="B78B37"/>
                <w:kern w:val="16"/>
                <w:sz w:val="16"/>
                <w14:ligatures w14:val="standardContextual"/>
              </w:rPr>
              <w:lastRenderedPageBreak/>
              <w:t>ATENÇÃO</w:t>
            </w:r>
          </w:p>
          <w:p w14:paraId="08239B71" w14:textId="77777777" w:rsidR="005A5FCC" w:rsidRDefault="00A21C81">
            <w:pPr>
              <w:spacing w:after="60" w:line="247" w:lineRule="auto"/>
            </w:pPr>
            <w:r>
              <w:rPr>
                <w:rFonts w:cs="EB Garamond"/>
                <w:kern w:val="16"/>
                <w:sz w:val="19"/>
                <w14:ligatures w14:val="standardContextual"/>
              </w:rPr>
              <w:t>A jurisprudência encontra dificuldade para delimitar a contingência de incapacidade em relação ao segurado facultativo, que por definição não exerce atividade remunerada. A EC 103/2019 agravou a questão ao substituir, no art. 201, I, da Constituição, a "cobertura de eventos de doença e invalidez" pela "cobertura dos eventos de incapacidade temporária ou permanente para o trabalho". A regulamentação do novo texto poderá resultar na exclusão do direito ao auxílio por incapacidade temporária para segurados facultativos que não exercem atividade laborativa, sob o fundamento de que não existe trabalho do qual se afastar. Até que sobrevenha regulamentação, permanece o direito na forma da legislação vigente.</w:t>
            </w:r>
          </w:p>
        </w:tc>
      </w:tr>
    </w:tbl>
    <w:p w14:paraId="2C96E240" w14:textId="77777777" w:rsidR="005A5FCC" w:rsidRDefault="005A5FCC">
      <w:pPr>
        <w:spacing w:after="80" w:line="240" w:lineRule="auto"/>
      </w:pPr>
    </w:p>
    <w:p w14:paraId="33728E16"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2.3 Filiação e inscrição</w:t>
      </w:r>
    </w:p>
    <w:p w14:paraId="4CC1BDDB"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F</w:t>
      </w:r>
    </w:p>
    <w:p w14:paraId="3F9D488F" w14:textId="77777777" w:rsidR="005A5FCC" w:rsidRDefault="00A21C81">
      <w:r>
        <w:rPr>
          <w:rFonts w:cs="EB Garamond"/>
          <w:kern w:val="16"/>
          <w14:ligatures w14:val="standardContextual"/>
        </w:rPr>
        <w:t>iliação e inscrição são conceitos distintos, e confundi-los gera consequências práticas relevantes. A filiação é o vínculo jurídico entre o segurado e a Previdência Social, do qual decorrem a qualidade de segurado, a obrigação contributiva e o acesso potencial às prestações. Para o segurado obrigatório, a filiação é automática: o simples exercício de atividade remunerada torna a pessoa segurada do RGPS, independentemente de qualquer ato formal.</w:t>
      </w:r>
    </w:p>
    <w:p w14:paraId="0FF5732A" w14:textId="251B2691" w:rsidR="005A5FCC" w:rsidRDefault="00A21C81">
      <w:pPr>
        <w:ind w:firstLine="238"/>
      </w:pPr>
      <w:r>
        <w:rPr>
          <w:rFonts w:cs="EB Garamond"/>
          <w:kern w:val="16"/>
          <w14:ligatures w14:val="standardContextual"/>
        </w:rPr>
        <w:t xml:space="preserve">Para o segurado facultativo, a filiação ocorre com a inscrição acompanhada do primeiro recolhimento, </w:t>
      </w:r>
      <w:r w:rsidR="00E32D8B">
        <w:rPr>
          <w:rFonts w:cs="EB Garamond"/>
          <w:kern w:val="16"/>
          <w14:ligatures w14:val="standardContextual"/>
        </w:rPr>
        <w:t>sendo</w:t>
      </w:r>
      <w:r>
        <w:rPr>
          <w:rFonts w:cs="EB Garamond"/>
          <w:kern w:val="16"/>
          <w14:ligatures w14:val="standardContextual"/>
        </w:rPr>
        <w:t xml:space="preserve"> necessários ambos os atos (inscrição + pagamento), sob pena de inexistir o vínculo. Trata-se de ato voluntário e constitutivo.</w:t>
      </w:r>
    </w:p>
    <w:p w14:paraId="564FC43C" w14:textId="1D3E53B3" w:rsidR="005A5FCC" w:rsidRDefault="00A21C81">
      <w:pPr>
        <w:ind w:firstLine="238"/>
      </w:pPr>
      <w:r>
        <w:rPr>
          <w:rFonts w:cs="EB Garamond"/>
          <w:kern w:val="16"/>
          <w14:ligatures w14:val="standardContextual"/>
        </w:rPr>
        <w:t>A inscrição, por sua vez, é o ato formal pelo qual o segurado é cadastrado no sistema previdenciário. Conforme o art. 18 do Decreto 3.048/99, "considera-se inscrição de segurado para os efeitos da previdência social o ato pelo qual o segurado é cadastrado no RGPS, por meio da comprovação dos dados pessoais". Para o segurado obrigatório, a inscrição é meramente declaratória — reconhece perante o INSS uma condição já existente pela automaticidade da filiação. Para o segurado facultativo, a inscrição é constitutiva</w:t>
      </w:r>
      <w:r w:rsidR="00E32D8B">
        <w:rPr>
          <w:rFonts w:cs="EB Garamond"/>
          <w:kern w:val="16"/>
          <w14:ligatures w14:val="standardContextual"/>
        </w:rPr>
        <w:t>;</w:t>
      </w:r>
      <w:r>
        <w:rPr>
          <w:rFonts w:cs="EB Garamond"/>
          <w:kern w:val="16"/>
          <w14:ligatures w14:val="standardContextual"/>
        </w:rPr>
        <w:t xml:space="preserve"> sem ela, não há filiação.</w:t>
      </w:r>
    </w:p>
    <w:p w14:paraId="4D28118E" w14:textId="77777777" w:rsidR="005A5FCC" w:rsidRDefault="00A21C81">
      <w:pPr>
        <w:ind w:firstLine="238"/>
      </w:pPr>
      <w:r>
        <w:rPr>
          <w:rFonts w:cs="EB Garamond"/>
          <w:kern w:val="16"/>
          <w14:ligatures w14:val="standardContextual"/>
        </w:rPr>
        <w:lastRenderedPageBreak/>
        <w:t>Há controvérsia doutrinária em relação ao contribuinte individual que é responsável pelo recolhimento de sua própria contribuição. Uma corrente, capitaneada por Santos (2025), sustenta que, nesse caso, a filiação somente se perfectibiliza com a inscrição e o recolhimento da primeira contribuição, à semelhança do segurado facultativo, pois sem a contribuição efetiva não se estabelece o vínculo obrigacional recíproco. Outra corrente, majoritária, mantém que a filiação é automática pelo exercício da atividade remunerada, mas que a inscrição e o recolhimento são condições para a eficácia dos direitos previdenciários. A questão possui relevância prática: se a filiação do contribuinte individual depende do recolhimento, o período de atividade anterior ao primeiro pagamento não gera efeitos previdenciários; se é automática pelo exercício da atividade, gera ao menos a obrigação contributiva, podendo ser reconhecida judicialmente.</w:t>
      </w:r>
    </w:p>
    <w:p w14:paraId="153653AC" w14:textId="77777777" w:rsidR="005A5FCC" w:rsidRDefault="00A21C81">
      <w:pPr>
        <w:ind w:firstLine="238"/>
      </w:pPr>
      <w:r>
        <w:rPr>
          <w:rFonts w:cs="EB Garamond"/>
          <w:kern w:val="16"/>
          <w14:ligatures w14:val="standardContextual"/>
        </w:rPr>
        <w:t>O Decreto 3.048/99, em seu art. 18, § 5º-B, incluído pelo Decreto 10.410/2020, veda expressamente a inscrição post mortem de segurado contribuinte individual e de segurado facultativo. Essa vedação impede que dependentes regularizem a situação previdenciária do falecido após o óbito para fins de obtenção de pensão por morte. A Súmula 52 da TNU reforça: "Para fins de concessão de pensão por morte, é incabível a regularização do recolhimento de contribuições de segurado contribuinte individual posteriormente a seu óbito, exceto quando as contribuições devam ser arrecadadas por empresa tomadora de serviços". A exceção é significativa: quando a empresa tomadora era responsável tributária pelo recolhimento, a filiação decorre do exercício da atividade e não pode ser prejudicada pela inadimplência do responsável tributário.</w:t>
      </w:r>
    </w:p>
    <w:p w14:paraId="6034B437" w14:textId="77777777" w:rsidR="005A5FCC" w:rsidRDefault="00A21C81">
      <w:pPr>
        <w:ind w:firstLine="238"/>
      </w:pPr>
      <w:r>
        <w:rPr>
          <w:rFonts w:cs="EB Garamond"/>
          <w:kern w:val="16"/>
          <w14:ligatures w14:val="standardContextual"/>
        </w:rPr>
        <w:t>O Cadastro Nacional de Informações Sociais (CNIS) consolida vínculos, remunerações e contribuições do segurado, com presunção relativa de veracidade conferida pelo art. 29-A da Lei 8.213/91, incluído pela Lei n. 10.403/2002. Na prática dos JEFs, o extrato do CNIS é documento de consulta obrigatória em qualquer demanda previdenciária. Lacunas nos registros, contudo, não significam ausência de filiação: a Súmula 75 da TNU reconhece a CTPS como documento hábil para comprovar salários de contribuição, com presunção de recolhimento. A natureza jurídica do CNIS, sua força probatória e os mecanismos de retificação são examinados no Capítulo 5, seção 5.2.</w:t>
      </w:r>
    </w:p>
    <w:p w14:paraId="60F28DCD" w14:textId="77777777" w:rsidR="005A5FCC" w:rsidRDefault="00A21C81">
      <w:pPr>
        <w:ind w:firstLine="238"/>
      </w:pPr>
      <w:r>
        <w:rPr>
          <w:rFonts w:cs="EB Garamond"/>
          <w:kern w:val="16"/>
          <w14:ligatures w14:val="standardContextual"/>
        </w:rPr>
        <w:lastRenderedPageBreak/>
        <w:t>O art. 12 da Lei 8.213/91 estabelece a regra de exclusão: servidores civis ocupantes de cargo efetivo e militares amparados por regime próprio são excluídos do RGPS. Há, contudo, uma exceção relevante: o exercício concomitante de atividade abrangida pelo RGPS torna o servidor segurado obrigatório em relação a essa atividade, mantendo dupla filiação. O regime de exclusão do servidor e suas exceções são retomados, com maior detalhe, na seção 2.6.</w:t>
      </w:r>
    </w:p>
    <w:p w14:paraId="5436D9EC"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2.4 Dependentes</w:t>
      </w:r>
    </w:p>
    <w:p w14:paraId="57531484"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2946E75E" w14:textId="77777777" w:rsidR="005A5FCC" w:rsidRDefault="00A21C81">
      <w:r>
        <w:rPr>
          <w:rFonts w:cs="EB Garamond"/>
          <w:kern w:val="16"/>
          <w14:ligatures w14:val="standardContextual"/>
        </w:rPr>
        <w:t xml:space="preserve"> condição de dependente caracteriza-se justamente pela vinculação indireta ao sistema. "se a relação jurídica do segurado com a Previdência Social é direta ou imediata, o dependente vincula-se à Previdência Social de modo indireto, por intermédio do vínculo de dependência econômica que mantém com o segurado". É a partir dessa premissa que a lei organiza a proteção dos beneficiários indiretos.</w:t>
      </w:r>
    </w:p>
    <w:p w14:paraId="2026CBB4" w14:textId="18CB4D5A" w:rsidR="005A5FCC" w:rsidRDefault="00A21C81">
      <w:pPr>
        <w:ind w:firstLine="238"/>
      </w:pPr>
      <w:r>
        <w:rPr>
          <w:rFonts w:cs="EB Garamond"/>
          <w:kern w:val="16"/>
          <w14:ligatures w14:val="standardContextual"/>
        </w:rPr>
        <w:t xml:space="preserve">A legislação previdenciária organiza os dependentes em três classes hierarquizadas, previstas no art. 16 da Lei 8.213/91. A existência de dependente de qualquer das classes exclui do direito às prestações os das classes seguintes — regra que impõe uma ordem de preferência absoluta. O dependente é uma figura que não possui vínculo de filiação em sentido contributivo com a previdência social: sua relação se estabelece por intermédio do segurado, com o qual mantém liame de parentesco ou afinidade. Nessa relação, o segurado é denominado "instituidor" — termo técnico largamente utilizado na prática previdenciária. Os dependentes fazem jus a pensão por morte, auxílio-reclusão, serviço social e reabilitação profissional. Convém recordar, para a delimitação da competência, que o valor de tais benefícios observa o teto do RGPS (R$ 8.475,55 em 2026) e que a competência do Juizado Especial Federal alcança as causas de até 60 </w:t>
      </w:r>
      <w:r w:rsidR="00E32D8B">
        <w:rPr>
          <w:rFonts w:cs="EB Garamond"/>
          <w:kern w:val="16"/>
          <w14:ligatures w14:val="standardContextual"/>
        </w:rPr>
        <w:t>salários-mínimos</w:t>
      </w:r>
      <w:r>
        <w:rPr>
          <w:rFonts w:cs="EB Garamond"/>
          <w:kern w:val="16"/>
          <w14:ligatures w14:val="standardContextual"/>
        </w:rPr>
        <w:t xml:space="preserve"> (R$ 97.260,00 em 2026), parâmetro que baliza o processamento das demandas de pensão por morte e de auxílio-reclusão na sede aqui examinada.</w:t>
      </w:r>
    </w:p>
    <w:p w14:paraId="0B6187F8" w14:textId="77777777" w:rsidR="005A5FCC" w:rsidRDefault="00A21C81">
      <w:pPr>
        <w:spacing w:before="260" w:after="80" w:line="240" w:lineRule="auto"/>
        <w:jc w:val="left"/>
      </w:pPr>
      <w:r>
        <w:rPr>
          <w:rFonts w:cs="EB Garamond"/>
          <w:b/>
          <w:color w:val="3A3128"/>
          <w:kern w:val="16"/>
          <w:sz w:val="25"/>
          <w14:ligatures w14:val="standardContextual"/>
        </w:rPr>
        <w:t>2.4.1 Classe I — cônjuge, companheiro e filhos</w:t>
      </w:r>
    </w:p>
    <w:p w14:paraId="37A9E4D3"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A</w:t>
      </w:r>
    </w:p>
    <w:p w14:paraId="0BBC412E" w14:textId="77777777" w:rsidR="005A5FCC" w:rsidRDefault="00A21C81">
      <w:r>
        <w:rPr>
          <w:rFonts w:cs="EB Garamond"/>
          <w:kern w:val="16"/>
          <w14:ligatures w14:val="standardContextual"/>
        </w:rPr>
        <w:t xml:space="preserve"> primeira classe compreende o cônjuge, a companheira, o companheiro e o filho não emancipado, de qualquer condição, menor de 21 anos ou inválido ou que tenha deficiência intelectual ou mental ou deficiência grave. A dependência econômica desses beneficiários é presumida, dispensando comprovação. A doutrina majoritária sustenta que essa presunção, no caso do cônjuge e do companheiro, é de natureza absoluta, juris et de jure, não admitindo prova em contrário. A Turma Nacional de Uniformização tem reiteradamente acolhido esse entendimento.</w:t>
      </w:r>
    </w:p>
    <w:p w14:paraId="501D42F9" w14:textId="77777777" w:rsidR="005A5FCC" w:rsidRDefault="00A21C81">
      <w:pPr>
        <w:ind w:firstLine="238"/>
      </w:pPr>
      <w:r>
        <w:rPr>
          <w:rFonts w:cs="EB Garamond"/>
          <w:b/>
          <w:kern w:val="16"/>
          <w14:ligatures w14:val="standardContextual"/>
        </w:rPr>
        <w:t>A união estável</w:t>
      </w:r>
      <w:r>
        <w:rPr>
          <w:rFonts w:cs="EB Garamond"/>
          <w:kern w:val="16"/>
          <w14:ligatures w14:val="standardContextual"/>
        </w:rPr>
        <w:t xml:space="preserve"> segue a definição do § 3º do art. 226 da Constituição Federal. Em decisão histórica, o Supremo Tribunal Federal, no julgamento conjunto da ADI 4.277 e da ADPF 132/RJ (rel. Min. Ayres Britto, j. 05/05/2011), reconheceu por unanimidade a união estável entre pessoas do mesmo sexo como entidade familiar, com aplicação do mesmo regime jurídico da união estável heteroafetiva. O companheiro homoafetivo integra plenamente a classe I de dependentes, com presunção de dependência econômica e direito a todos os benefícios. O INSS regulamentou o reconhecimento administrativo por meio da Instrução Normativa 128/2022.</w:t>
      </w:r>
    </w:p>
    <w:tbl>
      <w:tblPr>
        <w:tblW w:w="5000" w:type="pct"/>
        <w:jc w:val="center"/>
        <w:tblLayout w:type="fixed"/>
        <w:tblLook w:val="04A0" w:firstRow="1" w:lastRow="0" w:firstColumn="1" w:lastColumn="0" w:noHBand="0" w:noVBand="1"/>
      </w:tblPr>
      <w:tblGrid>
        <w:gridCol w:w="6311"/>
      </w:tblGrid>
      <w:tr w:rsidR="005A5FCC" w14:paraId="2DB66AD9"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0D9F2C51"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2E73DB72" w14:textId="77777777" w:rsidR="005A5FCC" w:rsidRDefault="00A21C81">
            <w:pPr>
              <w:spacing w:after="60" w:line="247" w:lineRule="auto"/>
            </w:pPr>
            <w:r>
              <w:rPr>
                <w:rFonts w:cs="EB Garamond"/>
                <w:kern w:val="16"/>
                <w:sz w:val="19"/>
                <w14:ligatures w14:val="standardContextual"/>
              </w:rPr>
              <w:t>A exigência de início de prova material para comprovação de união estável e dependência econômica tem dois marcos temporais distintos. A MP 871, de 18 de janeiro de 2019, introduziu a regra com vigência imediata, acrescentando os §§ 5º e 6º ao art. 16 da Lei 8.213/91. A Lei n. 13.846, de 18 de junho de 2019, converteu a MP em lei, consolidando a exigência. A prova deve ser produzida em período não superior a 24 meses anterior ao óbito ou ao recolhimento à prisão do segurado, não admitida a prova exclusivamente testemunhal, exceto em caso de força maior ou caso fortuito. Para fins de direito intertemporal, o marco relevante é a data de vigência da MP 871 (18/01/2019), não a da lei de conversão. A orientação que prevalece na jurisprudência da TNU é a de que a dispensa de início de prova material, antes admitida com amparo na Súmula 63/TNU, fica restrita aos óbitos (ou recolhimentos à prisão) ocorridos antes da vigência da MP 871/2019; para os eventos posteriores, exige-se a prova material contemporânea nos termos dos §§ 5º e 6º do art. 16.</w:t>
            </w:r>
          </w:p>
        </w:tc>
      </w:tr>
    </w:tbl>
    <w:p w14:paraId="4A2DD6C8" w14:textId="77777777" w:rsidR="005A5FCC" w:rsidRDefault="005A5FCC">
      <w:pPr>
        <w:spacing w:after="80" w:line="240" w:lineRule="auto"/>
      </w:pPr>
    </w:p>
    <w:p w14:paraId="5B95893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A</w:t>
      </w:r>
    </w:p>
    <w:p w14:paraId="12BE565B" w14:textId="77777777" w:rsidR="005A5FCC" w:rsidRDefault="00A21C81">
      <w:r>
        <w:rPr>
          <w:rFonts w:cs="EB Garamond"/>
          <w:kern w:val="16"/>
          <w14:ligatures w14:val="standardContextual"/>
        </w:rPr>
        <w:t xml:space="preserve"> questão do concubinato impuro (união paralela ao casamento) é objeto de forte polêmica jurisprudencial. O STF, no julgamento do RE 1.045.273 pela sistemática da repercussão geral (Tema 529), confirmou o entendimento de que a concubina não pode dividir a pensão com a viúva. Havendo, porém, separação de fato, admite-se a união estável para fins previdenciários. O cônjuge divorciado ou separado judicialmente ou de fato que recebia pensão alimentícia concorre em igualdade de condições com os dependentes de primeira classe. Nessa hipótese, a pensão por morte é rateada em partes iguais entre o ex-cônjuge alimentado e o cônjuge ou companheiro atual, na forma do art. 76, § 2º, da Lei 8.213/91, cuja mecânica de divisão e de reversão de cotas é examinada no capítulo dedicado à pensão por morte. A Súmula 336 do STJ vai além: "A mulher que renunciou aos alimentos na separação judicial tem direito à pensão previdenciária por morte do ex-marido, comprovada a necessidade econômica superveniente".</w:t>
      </w:r>
    </w:p>
    <w:p w14:paraId="2B03A432" w14:textId="77777777" w:rsidR="005A5FCC" w:rsidRDefault="00A21C81">
      <w:pPr>
        <w:ind w:firstLine="238"/>
      </w:pPr>
      <w:r>
        <w:rPr>
          <w:rFonts w:cs="EB Garamond"/>
          <w:b/>
          <w:kern w:val="16"/>
          <w14:ligatures w14:val="standardContextual"/>
        </w:rPr>
        <w:t>Quanto ao filho</w:t>
      </w:r>
      <w:r>
        <w:rPr>
          <w:rFonts w:cs="EB Garamond"/>
          <w:kern w:val="16"/>
          <w14:ligatures w14:val="standardContextual"/>
        </w:rPr>
        <w:t>, é dependente até os 21 anos de idade, independentemente da frequência a curso universitário. A Súmula 37 da TNU é clara: "A pensão por morte, devida ao filho até os 21 anos de idade, não se prorroga pela pendência do curso universitário". O INSS somente admite como dependente o filho inválido se a invalidez surgiu até os 21 anos de idade. Há, contudo, orientação jurisprudencial — majoritária, embora ainda sem uniformização vinculante por súmula ou tema repetitivo — no sentido de que basta a invalidez ter surgido antes do falecimento do instituidor, ainda que após os 21 anos, desde que mantida a dependência econômica. Em qualquer caso, se o dependente já recebia pensão por morte como menor e se torna inválido antes de completar 21 anos, o direito ao benefício perdura.</w:t>
      </w:r>
    </w:p>
    <w:p w14:paraId="45BEE26A" w14:textId="77777777" w:rsidR="005A5FCC" w:rsidRDefault="00A21C81">
      <w:pPr>
        <w:ind w:firstLine="238"/>
      </w:pPr>
      <w:r>
        <w:rPr>
          <w:rFonts w:cs="EB Garamond"/>
          <w:b/>
          <w:kern w:val="16"/>
          <w14:ligatures w14:val="standardContextual"/>
        </w:rPr>
        <w:t>O enteado, o menor sob tutela e o menor sob guarda judicial</w:t>
      </w:r>
      <w:r>
        <w:rPr>
          <w:rFonts w:cs="EB Garamond"/>
          <w:kern w:val="16"/>
          <w14:ligatures w14:val="standardContextual"/>
        </w:rPr>
        <w:t xml:space="preserve"> são equiparados a filho pelo § 2º do art. 16, mediante declaração do segurado e comprovação da dependência econômica. A questão do menor sob guarda, contudo, gerou uma das mais longas controvérsias do direito previdenciário.</w:t>
      </w:r>
    </w:p>
    <w:p w14:paraId="4700C497" w14:textId="730B45DB" w:rsidR="005A5FCC" w:rsidRDefault="00A21C81">
      <w:pPr>
        <w:ind w:firstLine="238"/>
      </w:pPr>
      <w:r>
        <w:rPr>
          <w:rFonts w:cs="EB Garamond"/>
          <w:kern w:val="16"/>
          <w14:ligatures w14:val="standardContextual"/>
        </w:rPr>
        <w:t xml:space="preserve">A Lei n. 9.528, de 10 de dezembro de 1997, excluiu o menor sob guarda do rol de dependentes. Essa exclusão foi sistematicamente contestada, por colidir com o princípio da proteção integral (art. 227 da CF) e com o art. 33, § 3º, do ECA, que confere à guarda a condição de dependente "para todos os fins e efeitos </w:t>
      </w:r>
      <w:r>
        <w:rPr>
          <w:rFonts w:cs="EB Garamond"/>
          <w:kern w:val="16"/>
          <w14:ligatures w14:val="standardContextual"/>
        </w:rPr>
        <w:lastRenderedPageBreak/>
        <w:t xml:space="preserve">de direito, inclusive previdenciários". O STJ, no Tema Repetitivo 732 (REsp 1.411.258/RS, rel. Min. Napoleão Nunes Maia Filho, j. 11/10/2017), decidiu favoravelmente à inclusão. O STF, em sentido convergente — mas em controle concentrado e com fundamento próprio —, julgou as ADIs 4.878 e 5.083 (rel. </w:t>
      </w:r>
      <w:r w:rsidR="00141527">
        <w:rPr>
          <w:rFonts w:cs="EB Garamond"/>
          <w:kern w:val="16"/>
          <w14:ligatures w14:val="standardContextual"/>
        </w:rPr>
        <w:t>p</w:t>
      </w:r>
      <w:r>
        <w:rPr>
          <w:rFonts w:cs="EB Garamond"/>
          <w:kern w:val="16"/>
          <w14:ligatures w14:val="standardContextual"/>
        </w:rPr>
        <w:t>/ acórdão Min. Edson Fachin, j. 07/06/2021), por 6 a 5, conferindo interpretação conforme a Constituição ao § 2º do art. 16, condicionada à comprovação de dependência econômica. Não se trata, tecnicamente, de confirmação do repetitivo do STJ: as ADIs têm objeto e fundamento autônomos, embora o resultado tenha caminhado no mesmo sentido da tese firmada no Tema 732.</w:t>
      </w:r>
    </w:p>
    <w:tbl>
      <w:tblPr>
        <w:tblW w:w="5000" w:type="pct"/>
        <w:jc w:val="center"/>
        <w:tblLayout w:type="fixed"/>
        <w:tblLook w:val="04A0" w:firstRow="1" w:lastRow="0" w:firstColumn="1" w:lastColumn="0" w:noHBand="0" w:noVBand="1"/>
      </w:tblPr>
      <w:tblGrid>
        <w:gridCol w:w="6311"/>
      </w:tblGrid>
      <w:tr w:rsidR="005A5FCC" w14:paraId="2A5BB349"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0382A4A8" w14:textId="77777777" w:rsidR="005A5FCC" w:rsidRDefault="00A21C81">
            <w:pPr>
              <w:spacing w:after="60" w:line="240" w:lineRule="auto"/>
              <w:jc w:val="left"/>
            </w:pPr>
            <w:r>
              <w:rPr>
                <w:rFonts w:ascii="Noto Sans" w:hAnsi="Noto Sans" w:cs="Noto Sans"/>
                <w:b/>
                <w:caps/>
                <w:color w:val="4D6F8A"/>
                <w:kern w:val="16"/>
                <w:sz w:val="16"/>
                <w14:ligatures w14:val="standardContextual"/>
              </w:rPr>
              <w:t>JURISPRUDÊNCIA EM DESTAQUE</w:t>
            </w:r>
          </w:p>
          <w:p w14:paraId="45F385AA" w14:textId="77777777" w:rsidR="005A5FCC" w:rsidRDefault="00A21C81">
            <w:pPr>
              <w:spacing w:after="60" w:line="247" w:lineRule="auto"/>
            </w:pPr>
            <w:r>
              <w:rPr>
                <w:rFonts w:cs="EB Garamond"/>
                <w:kern w:val="16"/>
                <w:sz w:val="19"/>
                <w14:ligatures w14:val="standardContextual"/>
              </w:rPr>
              <w:t>A questão do menor sob guarda ganhou novo capítulo com a EC 103/2019, cujo art. 23, § 6º, dispõe que "equiparam-se a filho, para fins de recebimento da pensão por morte, exclusivamente o enteado e o menor tutelado, desde que comprovada a dependência econômica". É preciso situar topograficamente o dispositivo: o art. 23 da EC 103/2019 integra o conjunto de regras de transição da pensão por morte, e seu § 6º não alterou a literalidade do art. 16 da Lei 8.213/91 (tampouco a do regime estatutário), limitando-se a fixar, no plano constitucional, quem se equipara a filho para fins de pensão. Daí que a repercussão da norma sobre o rol de dependentes do RGPS não decorre de revogação direta do art. 16, mas de interpretação e integração: discute-se se o comando do § 6º, por sua dicção "exclusivamente", projeta-se sobre o RGPS a ponto de afastar o menor sob guarda, ou se a regra constitucional disciplina apenas o regime dos servidores e dos benefícios reformados, remanescendo o art. 16, § 2º, da Lei 8.213/91 como fonte normativa própria do regime geral. O alcance da norma constitucional sobre o RGPS é, portanto, controvertido, e a resposta condiciona toda a discussão que segue. A norma, na leitura restritiva, excluiria a criança e o adolescente sob guarda do rol de dependentes para pensão por morte. O STF reconheceu repercussão geral no Tema 1.271 (RE 1.442.021, rel. Min. André Mendonça) e em janeiro de 2025 determinou a suspensão nacional de todos os processos. Paralelamente, a Lei n. 15.108, de 13 de março de 2025, reincorporou legislativamente o menor sob guarda ao rol de dependentes do art. 16, § 2º. Subsiste a tensão entre a norma constitucional (EC 103/2019) e a norma legal (Lei 15.108/2025), cuja resolução depende do STF. Note-se que a EC 103/2019 não menciona o auxílio-reclusão, pelo que se pode discutir se o menor sob guarda permanece como dependente para esse benefício e para os serviços previdenciários.</w:t>
            </w:r>
          </w:p>
        </w:tc>
      </w:tr>
    </w:tbl>
    <w:p w14:paraId="1AF9B9E9" w14:textId="77777777" w:rsidR="005A5FCC" w:rsidRDefault="005A5FCC">
      <w:pPr>
        <w:spacing w:after="80" w:line="240" w:lineRule="auto"/>
      </w:pPr>
    </w:p>
    <w:p w14:paraId="795DD092" w14:textId="77777777" w:rsidR="005A5FCC" w:rsidRDefault="00A21C81">
      <w:pPr>
        <w:spacing w:before="260" w:after="80" w:line="240" w:lineRule="auto"/>
        <w:jc w:val="left"/>
      </w:pPr>
      <w:r>
        <w:rPr>
          <w:rFonts w:cs="EB Garamond"/>
          <w:b/>
          <w:color w:val="3A3128"/>
          <w:kern w:val="16"/>
          <w:sz w:val="25"/>
          <w14:ligatures w14:val="standardContextual"/>
        </w:rPr>
        <w:lastRenderedPageBreak/>
        <w:t>2.4.2 Classe II — pais</w:t>
      </w:r>
    </w:p>
    <w:p w14:paraId="1F176255"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5F2422EE" w14:textId="77777777" w:rsidR="005A5FCC" w:rsidRDefault="00A21C81">
      <w:r>
        <w:rPr>
          <w:rFonts w:cs="EB Garamond"/>
          <w:kern w:val="16"/>
          <w14:ligatures w14:val="standardContextual"/>
        </w:rPr>
        <w:t>s pais do segurado constituem a segunda classe de dependentes. Para habilitação, devem comprovar a dependência econômica em relação ao segurado, pois a presunção legal não se aplica a essa classe. A comprovação pode ser feita por qualquer meio de prova admitido em direito.</w:t>
      </w:r>
    </w:p>
    <w:p w14:paraId="085CEC51" w14:textId="77777777" w:rsidR="005A5FCC" w:rsidRDefault="00A21C81">
      <w:pPr>
        <w:ind w:firstLine="238"/>
      </w:pPr>
      <w:r>
        <w:rPr>
          <w:rFonts w:cs="EB Garamond"/>
          <w:kern w:val="16"/>
          <w14:ligatures w14:val="standardContextual"/>
        </w:rPr>
        <w:t>O padrão probatório exigido — o standard, na terminologia processual — é o da dependência econômica relevante, e não necessariamente exclusiva: a jurisprudência admite a dependência econômica parcial, isto é, aquela em que o auxílio financeiro do segurado, embora não seja a única fonte de renda dos pais, representa parcela significativa de seu sustento. O ônus da prova recai sobre os pais requerentes, observado o regime de início de prova material contemporânea complementada por prova testemunhal. Dois pontos merecem destaque na qualificação desse padrão. A existência de outros filhos com capacidade econômica não exclui, por si só, a dependência dos pais em relação ao segurado falecido, devendo cada caso ser avaliado conforme as circunstâncias concretas; tampouco se contenta a jurisprudência com auxílios esporádicos ou pontuais, exigindo que a colaboração do segurado se revele habitual e estável. O roteiro probatório operacional correspondente — com a documentação típica das classes II e III — é detalhado no boxe prático da seção 2.4.4.</w:t>
      </w:r>
    </w:p>
    <w:p w14:paraId="6FE28975" w14:textId="77777777" w:rsidR="005A5FCC" w:rsidRDefault="00A21C81">
      <w:pPr>
        <w:ind w:firstLine="238"/>
      </w:pPr>
      <w:r>
        <w:rPr>
          <w:rFonts w:cs="EB Garamond"/>
          <w:kern w:val="16"/>
          <w14:ligatures w14:val="standardContextual"/>
        </w:rPr>
        <w:t>A segunda classe de dependentes apresenta questão relevante quanto ao padrasto e à madrasta: a legislação previdenciária não os inclui expressamente no conceito de "pais". Há, contudo, corrente doutrinária e decisões isoladas que admitem a equiparação, com fundamento na parentalidade socioafetiva reconhecida pelo direito de família (arts. 1.593 e 1.596 do Código Civil, conforme interpretação do STF no RE 898.060, Tema 622). A questão permanece controvertida e sem uniformização vinculante.</w:t>
      </w:r>
    </w:p>
    <w:p w14:paraId="60C049E2" w14:textId="77777777" w:rsidR="005A5FCC" w:rsidRDefault="00A21C81">
      <w:pPr>
        <w:ind w:firstLine="238"/>
      </w:pPr>
      <w:r>
        <w:rPr>
          <w:rFonts w:cs="EB Garamond"/>
          <w:kern w:val="16"/>
          <w14:ligatures w14:val="standardContextual"/>
        </w:rPr>
        <w:t xml:space="preserve">O STJ, em precedente isolado de Turma, ampliou o conceito de genitores para fins previdenciários. No REsp 1.574.859 — julgado que, registre-se, não tem caráter repetitivo nem foi convertido em enunciado sumular —, a Corte reconheceu aos avós de segurado falecido o direito ao recebimento de pensão por morte em razão de terem sido os responsáveis pela criação do neto, ocupando verdadeiro papel de genitores. Em síntese, o STJ equiparou os avós a dependentes da segunda </w:t>
      </w:r>
      <w:r>
        <w:rPr>
          <w:rFonts w:cs="EB Garamond"/>
          <w:kern w:val="16"/>
          <w14:ligatures w14:val="standardContextual"/>
        </w:rPr>
        <w:lastRenderedPageBreak/>
        <w:t>classe quando comprovado que exerceram a função parental. A decisão, por seu caráter casuístico, não firma tese vinculante, mas oferece subsídio relevante para a interpretação extensiva do conceito de "pais" na legislação previdenciária, com fundamento no princípio da proteção e na realidade sociológica das famílias brasileiras.</w:t>
      </w:r>
    </w:p>
    <w:p w14:paraId="4BDF5105" w14:textId="77777777" w:rsidR="005A5FCC" w:rsidRDefault="00A21C81">
      <w:pPr>
        <w:spacing w:before="260" w:after="80" w:line="240" w:lineRule="auto"/>
        <w:jc w:val="left"/>
      </w:pPr>
      <w:r>
        <w:rPr>
          <w:rFonts w:cs="EB Garamond"/>
          <w:b/>
          <w:color w:val="3A3128"/>
          <w:kern w:val="16"/>
          <w:sz w:val="25"/>
          <w14:ligatures w14:val="standardContextual"/>
        </w:rPr>
        <w:t>2.4.3 Classe III — irmãos</w:t>
      </w:r>
    </w:p>
    <w:p w14:paraId="5134189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569F2DCB" w14:textId="77777777" w:rsidR="005A5FCC" w:rsidRDefault="00A21C81">
      <w:r>
        <w:rPr>
          <w:rFonts w:cs="EB Garamond"/>
          <w:kern w:val="16"/>
          <w14:ligatures w14:val="standardContextual"/>
        </w:rPr>
        <w:t xml:space="preserve"> terceira classe compreende o irmão não emancipado, de qualquer condição, menor de 21 anos ou inválido ou que tenha deficiência intelectual ou mental ou deficiência grave. A dependência econômica, assim como para os pais, deve ser comprovada. A redação atual, dada pela Lei n. 13.146, de 6 de julho de 2015, harmonizou a terminologia com o Estatuto da Pessoa com Deficiência, substituindo a expressão "deficiente mental" por "deficiência intelectual ou mental ou deficiência grave".</w:t>
      </w:r>
    </w:p>
    <w:p w14:paraId="33ACAAA6" w14:textId="77777777" w:rsidR="005A5FCC" w:rsidRDefault="00A21C81">
      <w:pPr>
        <w:ind w:firstLine="238"/>
      </w:pPr>
      <w:r>
        <w:rPr>
          <w:rFonts w:cs="EB Garamond"/>
          <w:kern w:val="16"/>
          <w14:ligatures w14:val="standardContextual"/>
        </w:rPr>
        <w:t>No cotidiano das varas previdenciárias, demandas envolvendo dependentes de terceira classe são estatisticamente raras, pois a existência de qualquer dependente de classe anterior exclui automaticamente os irmãos. A habilitação ocorre, tipicamente, quando o segurado falecido era solteiro, sem filhos, e cujos pais já eram falecidos ou não comprovaram dependência econômica. A prova da dependência econômica do irmão segue os mesmos parâmetros das demais classes não presumidas: início de prova material contemporânea ao óbito, complementada por prova testemunhal. O irmão maior de 21 anos somente será dependente se inválido ou se portador de deficiência intelectual, mental ou grave, exigindo-se, além da comprovação da dependência econômica, a demonstração da invalidez ou deficiência por meio de laudo pericial. A invalidez deve ser preexistente ao óbito do segurado instituidor — não se admite invalidez superveniente como fundamento para habilitação na terceira classe.</w:t>
      </w:r>
    </w:p>
    <w:p w14:paraId="021B7D59" w14:textId="56C8543A" w:rsidR="005A5FCC" w:rsidRDefault="00A21C81">
      <w:pPr>
        <w:ind w:firstLine="238"/>
      </w:pPr>
      <w:r>
        <w:rPr>
          <w:rFonts w:cs="EB Garamond"/>
          <w:kern w:val="16"/>
          <w14:ligatures w14:val="standardContextual"/>
        </w:rPr>
        <w:t xml:space="preserve">Entendemos que a organização dos dependentes em classes hierarquizadas, embora promova segurança jurídica e previsibilidade, pode gerar situações de desamparo quando os pais ou irmãos do segurado mantêm efetiva dependência </w:t>
      </w:r>
      <w:r w:rsidR="00E32D8B">
        <w:rPr>
          <w:rFonts w:cs="EB Garamond"/>
          <w:kern w:val="16"/>
          <w14:ligatures w14:val="standardContextual"/>
        </w:rPr>
        <w:t>econômica,</w:t>
      </w:r>
      <w:r>
        <w:rPr>
          <w:rFonts w:cs="EB Garamond"/>
          <w:kern w:val="16"/>
          <w14:ligatures w14:val="standardContextual"/>
        </w:rPr>
        <w:t xml:space="preserve"> mas são excluídos pela existência de cônjuge ou filho na classe I. A rigidez do sistema de classes é atenuada, na atuação forense, pela possibilidade de rateio entre dependentes da mesma classe e pela autonomia das prestações. O rateio </w:t>
      </w:r>
      <w:r>
        <w:rPr>
          <w:rFonts w:cs="EB Garamond"/>
          <w:kern w:val="16"/>
          <w14:ligatures w14:val="standardContextual"/>
        </w:rPr>
        <w:lastRenderedPageBreak/>
        <w:t>opera de forma igualitária: havendo mais de um dependente na mesma classe, a prestação será dividida em partes iguais entre todos, revertendo-se em favor dos demais a parte daquele cujo direito cessar (art. 77 da Lei 8.213/91).</w:t>
      </w:r>
    </w:p>
    <w:p w14:paraId="73A4670B" w14:textId="77777777" w:rsidR="005A5FCC" w:rsidRDefault="00A21C81">
      <w:pPr>
        <w:spacing w:before="260" w:after="80" w:line="240" w:lineRule="auto"/>
        <w:jc w:val="left"/>
      </w:pPr>
      <w:r>
        <w:rPr>
          <w:rFonts w:cs="EB Garamond"/>
          <w:b/>
          <w:color w:val="3A3128"/>
          <w:kern w:val="16"/>
          <w:sz w:val="25"/>
          <w14:ligatures w14:val="standardContextual"/>
        </w:rPr>
        <w:t>2.4.4 Perda da qualidade de dependente</w:t>
      </w:r>
    </w:p>
    <w:p w14:paraId="0511F52E"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1CF7AA93" w14:textId="43D0874B" w:rsidR="005A5FCC" w:rsidRDefault="00A21C81">
      <w:r>
        <w:rPr>
          <w:rFonts w:cs="EB Garamond"/>
          <w:kern w:val="16"/>
          <w14:ligatures w14:val="standardContextual"/>
        </w:rPr>
        <w:t xml:space="preserve"> condição de dependente não é permanente. O art. 17 do Decreto 3.048/99 enumera as hipóteses de perda da qualidade de dependente, que variam conforme a espécie. Para o cônjuge, a perda ocorre pelo divórcio ou separação judicial sem prestação de alimentos, pela anulação do casamento ou pelo óbito. Para o companheiro, pela cessação da união estável, desde que não receba alimentos. Para o filho e equiparados, pela emancipação ou pelo implemento da idade de 21 anos, salvo se inválido ou com deficiência. Para os pais e irmãos, pela cessação da dependência econômica. No caso do filho ou do irmão maior de 21 anos cuja condição de dependente decorra exclusivamente da invalidez ou da deficiência, a cessação </w:t>
      </w:r>
      <w:r w:rsidR="00141527" w:rsidRPr="00141527">
        <w:rPr>
          <w:rFonts w:cs="EB Garamond"/>
          <w:kern w:val="16"/>
          <w14:ligatures w14:val="standardContextual"/>
        </w:rPr>
        <w:t>da condição que fundamenta a dependência</w:t>
      </w:r>
      <w:r w:rsidR="00141527">
        <w:rPr>
          <w:rFonts w:cs="EB Garamond"/>
          <w:kern w:val="16"/>
          <w14:ligatures w14:val="standardContextual"/>
        </w:rPr>
        <w:t xml:space="preserve"> </w:t>
      </w:r>
      <w:r>
        <w:rPr>
          <w:rFonts w:cs="EB Garamond"/>
          <w:kern w:val="16"/>
          <w14:ligatures w14:val="standardContextual"/>
        </w:rPr>
        <w:t>— apurada em perícia, hipótese frequente no JEF — também acarreta a perda da qualidade de dependente, ressalvada a reabilitação ou o agravamento ulterior que restabeleça a incapacidade enquanto subsistir o vínculo previdenciário.</w:t>
      </w:r>
    </w:p>
    <w:p w14:paraId="64577A1B" w14:textId="6B35BC00" w:rsidR="005A5FCC" w:rsidRDefault="00A21C81">
      <w:pPr>
        <w:ind w:firstLine="238"/>
      </w:pPr>
      <w:r>
        <w:rPr>
          <w:rFonts w:cs="EB Garamond"/>
          <w:kern w:val="16"/>
          <w14:ligatures w14:val="standardContextual"/>
        </w:rPr>
        <w:t xml:space="preserve">A pessoa designada como dependente não existe mais no sistema previdenciário: a Súmula 4 da TNU estabelece que "não há direito adquirido à condição de dependente de pessoa designada, quando o falecimento do segurado </w:t>
      </w:r>
      <w:r w:rsidR="00E32D8B">
        <w:rPr>
          <w:rFonts w:cs="EB Garamond"/>
          <w:kern w:val="16"/>
          <w14:ligatures w14:val="standardContextual"/>
        </w:rPr>
        <w:t>se deu</w:t>
      </w:r>
      <w:r>
        <w:rPr>
          <w:rFonts w:cs="EB Garamond"/>
          <w:kern w:val="16"/>
          <w14:ligatures w14:val="standardContextual"/>
        </w:rPr>
        <w:t xml:space="preserve"> após o advento da Lei 9.032/95". A redação anterior da Lei 8.213/91 permitia ao segurado designar dependentes, o que foi suprimido pela Lei 9.032/95.</w:t>
      </w:r>
    </w:p>
    <w:tbl>
      <w:tblPr>
        <w:tblW w:w="5000" w:type="pct"/>
        <w:jc w:val="center"/>
        <w:tblLayout w:type="fixed"/>
        <w:tblLook w:val="04A0" w:firstRow="1" w:lastRow="0" w:firstColumn="1" w:lastColumn="0" w:noHBand="0" w:noVBand="1"/>
      </w:tblPr>
      <w:tblGrid>
        <w:gridCol w:w="6311"/>
      </w:tblGrid>
      <w:tr w:rsidR="005A5FCC" w14:paraId="6E60A8BC"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0AF43A33"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56696894" w14:textId="77777777" w:rsidR="005A5FCC" w:rsidRDefault="00A21C81">
            <w:pPr>
              <w:spacing w:after="60" w:line="247" w:lineRule="auto"/>
            </w:pPr>
            <w:r>
              <w:rPr>
                <w:rFonts w:cs="EB Garamond"/>
                <w:kern w:val="16"/>
                <w:sz w:val="19"/>
                <w14:ligatures w14:val="standardContextual"/>
              </w:rPr>
              <w:t>Na habilitação de dependentes de classes II e III, o advogado deve reunir documentação robusta que demonstre a dependência econômica efetiva. Comprovantes de transferências bancárias regulares do segurado para o dependente, declarações de imposto de renda que incluam o dependente, recibos de pagamento de despesas (aluguel, plano de saúde, mensalidade escolar), comprovante de residência em comum e declarações de vizinhos e conhecidos constituem acervo probatório relevante. O início de prova material, complementado por prova testemunhal, é o standard exigido. Para a ex-cônjuge que renunciou aos alimentos, a Súmula 336 do STJ admite a pensão por morte mediante comprovação de necessidade econômica superveniente ao divórcio. Na habilitação de companheiro homoafetivo, aplicam-se as mesmas regras da união estável heteroafetiva, por força da ADI 4.277/STF e da IN 128/2022 do INSS, sendo exigida a prova material contemporânea nos termos da Lei 13.846/2019 para óbitos posteriores à MP 871/2019.</w:t>
            </w:r>
          </w:p>
          <w:p w14:paraId="24DDDC7F" w14:textId="77777777" w:rsidR="005A5FCC" w:rsidRDefault="00A21C81">
            <w:pPr>
              <w:spacing w:after="60" w:line="247" w:lineRule="auto"/>
            </w:pPr>
            <w:r>
              <w:rPr>
                <w:rFonts w:cs="EB Garamond"/>
                <w:kern w:val="16"/>
                <w:sz w:val="19"/>
                <w14:ligatures w14:val="standardContextual"/>
              </w:rPr>
              <w:t>Do ponto de vista do julgador, a valoração dessa prova reclama atenção a alguns pontos centrais. Cabe ao magistrado verificar a contemporaneidade do início de prova material ao óbito ou à reclusão (em regra, dentro dos 24 meses anteriores ao evento, na forma dos §§ 5º e 6º do art. 16), examinar se a dependência econômica é habitual e relevante — e não meramente esporádica —, e ponderar que a existência de outros filhos com capacidade econômica não afasta, por si só, a dependência dos pais. A prova exclusivamente testemunhal não basta para a habilitação das classes II e III, salvo a hipótese de força maior ou caso fortuito; na fundamentação da sentença, recomenda-se explicitar qual documento serviu de início de prova material e de que modo a prova oral o corroborou, sobretudo nos casos de renúncia a alimentos (Súmula 336 do STJ), em que se exige a demonstração da necessidade econômica superveniente.</w:t>
            </w:r>
          </w:p>
        </w:tc>
      </w:tr>
    </w:tbl>
    <w:p w14:paraId="0D3621C5" w14:textId="77777777" w:rsidR="005A5FCC" w:rsidRDefault="005A5FCC">
      <w:pPr>
        <w:spacing w:after="80" w:line="240" w:lineRule="auto"/>
      </w:pPr>
    </w:p>
    <w:p w14:paraId="70BA4493"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2.5 Manutenção e perda da qualidade de segurado</w:t>
      </w:r>
    </w:p>
    <w:p w14:paraId="34E5BC94"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6C80594C" w14:textId="77777777" w:rsidR="005A5FCC" w:rsidRDefault="00A21C81">
      <w:r>
        <w:rPr>
          <w:rFonts w:cs="EB Garamond"/>
          <w:kern w:val="16"/>
          <w14:ligatures w14:val="standardContextual"/>
        </w:rPr>
        <w:t xml:space="preserve"> art. 15 da Lei 8.213/91 estabelece o período de graça — lapso temporal em que o segurado mantém essa qualidade e todos os direitos perante a Previdência Social, ainda que não esteja contribuindo. O instituto protege </w:t>
      </w:r>
      <w:r>
        <w:rPr>
          <w:rFonts w:cs="EB Garamond"/>
          <w:kern w:val="16"/>
          <w14:ligatures w14:val="standardContextual"/>
        </w:rPr>
        <w:lastRenderedPageBreak/>
        <w:t>o segurado e seus dependentes contra a perda abrupta de cobertura previdenciária.</w:t>
      </w:r>
    </w:p>
    <w:p w14:paraId="12EEA928" w14:textId="77777777" w:rsidR="005A5FCC" w:rsidRDefault="00A21C81">
      <w:pPr>
        <w:ind w:firstLine="238"/>
      </w:pPr>
      <w:r>
        <w:rPr>
          <w:rFonts w:cs="EB Garamond"/>
          <w:kern w:val="16"/>
          <w14:ligatures w14:val="standardContextual"/>
        </w:rPr>
        <w:t>O período básico de manutenção é de 12 meses após a cessação das contribuições, prorrogável para 24 meses (quando vertidas mais de 120 contribuições) e até 36 meses (com comprovação de desemprego involuntário). Para o segurado facultativo, o prazo é de 6 meses. As hipóteses legais completas, os mecanismos de prorrogação, o cálculo da data exata de perda da qualidade, a extensão ao contribuinte individual (TNU, Tema 239), os efeitos da EC 103/2019 sobre contribuições inferiores ao mínimo e as consequências jurídicas da perda (art. 102 da Lei 8.213/91) são examinados em profundidade no Capítulo 3 (seções 3.5 a 3.8). Para consulta autônoma deste capítulo, sintetizamos os prazos no quadro abaixo.</w:t>
      </w:r>
    </w:p>
    <w:tbl>
      <w:tblPr>
        <w:tblW w:w="5000" w:type="pct"/>
        <w:jc w:val="center"/>
        <w:tblLook w:val="04A0" w:firstRow="1" w:lastRow="0" w:firstColumn="1" w:lastColumn="0" w:noHBand="0" w:noVBand="1"/>
      </w:tblPr>
      <w:tblGrid>
        <w:gridCol w:w="2114"/>
        <w:gridCol w:w="2113"/>
        <w:gridCol w:w="2113"/>
      </w:tblGrid>
      <w:tr w:rsidR="005A5FCC" w14:paraId="40DDACCC" w14:textId="77777777">
        <w:trPr>
          <w:tblHeader/>
          <w:jc w:val="center"/>
        </w:trPr>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68DC1069" w14:textId="77777777" w:rsidR="005A5FCC" w:rsidRDefault="00A21C81">
            <w:pPr>
              <w:spacing w:before="40" w:after="40" w:line="240" w:lineRule="auto"/>
              <w:jc w:val="center"/>
            </w:pPr>
            <w:r>
              <w:rPr>
                <w:rFonts w:cs="EB Garamond"/>
                <w:b/>
                <w:color w:val="2F2923"/>
                <w:kern w:val="16"/>
                <w:sz w:val="18"/>
                <w14:ligatures w14:val="standardContextual"/>
              </w:rPr>
              <w:t>Situação do segurado</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5D6E84C7" w14:textId="77777777" w:rsidR="005A5FCC" w:rsidRDefault="00A21C81">
            <w:pPr>
              <w:spacing w:before="40" w:after="40" w:line="240" w:lineRule="auto"/>
              <w:jc w:val="center"/>
            </w:pPr>
            <w:r>
              <w:rPr>
                <w:rFonts w:cs="EB Garamond"/>
                <w:b/>
                <w:color w:val="2F2923"/>
                <w:kern w:val="16"/>
                <w:sz w:val="18"/>
                <w14:ligatures w14:val="standardContextual"/>
              </w:rPr>
              <w:t>Prazo-base</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73E8B110" w14:textId="77777777" w:rsidR="005A5FCC" w:rsidRDefault="00A21C81">
            <w:pPr>
              <w:spacing w:before="40" w:after="40" w:line="240" w:lineRule="auto"/>
              <w:jc w:val="center"/>
            </w:pPr>
            <w:r>
              <w:rPr>
                <w:rFonts w:cs="EB Garamond"/>
                <w:b/>
                <w:color w:val="2F2923"/>
                <w:kern w:val="16"/>
                <w:sz w:val="18"/>
                <w14:ligatures w14:val="standardContextual"/>
              </w:rPr>
              <w:t>Condição</w:t>
            </w:r>
          </w:p>
        </w:tc>
      </w:tr>
      <w:tr w:rsidR="005A5FCC" w14:paraId="64B43D56"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133ADCDD" w14:textId="77777777" w:rsidR="005A5FCC" w:rsidRDefault="00A21C81">
            <w:pPr>
              <w:spacing w:before="20" w:after="20" w:line="240" w:lineRule="auto"/>
              <w:jc w:val="left"/>
            </w:pPr>
            <w:r>
              <w:rPr>
                <w:rFonts w:cs="EB Garamond"/>
                <w:kern w:val="16"/>
                <w:sz w:val="18"/>
                <w14:ligatures w14:val="standardContextual"/>
              </w:rPr>
              <w:t>Segurado que se afasta da atividade ou cessa contribuições (art. 15, II)</w:t>
            </w:r>
          </w:p>
        </w:tc>
        <w:tc>
          <w:tcPr>
            <w:tcW w:w="2117" w:type="dxa"/>
            <w:tcBorders>
              <w:top w:val="single" w:sz="4" w:space="0" w:color="D2C9B8"/>
              <w:left w:val="single" w:sz="4" w:space="0" w:color="D2C9B8"/>
              <w:bottom w:val="single" w:sz="4" w:space="0" w:color="D2C9B8"/>
              <w:right w:val="single" w:sz="4" w:space="0" w:color="D2C9B8"/>
            </w:tcBorders>
          </w:tcPr>
          <w:p w14:paraId="5437BA17" w14:textId="77777777" w:rsidR="005A5FCC" w:rsidRDefault="00A21C81">
            <w:pPr>
              <w:spacing w:before="20" w:after="20" w:line="240" w:lineRule="auto"/>
              <w:jc w:val="left"/>
            </w:pPr>
            <w:r>
              <w:rPr>
                <w:rFonts w:cs="EB Garamond"/>
                <w:kern w:val="16"/>
                <w:sz w:val="18"/>
                <w14:ligatures w14:val="standardContextual"/>
              </w:rPr>
              <w:t>12 meses</w:t>
            </w:r>
          </w:p>
        </w:tc>
        <w:tc>
          <w:tcPr>
            <w:tcW w:w="2117" w:type="dxa"/>
            <w:tcBorders>
              <w:top w:val="single" w:sz="4" w:space="0" w:color="D2C9B8"/>
              <w:left w:val="single" w:sz="4" w:space="0" w:color="D2C9B8"/>
              <w:bottom w:val="single" w:sz="4" w:space="0" w:color="D2C9B8"/>
              <w:right w:val="single" w:sz="4" w:space="0" w:color="D2C9B8"/>
            </w:tcBorders>
          </w:tcPr>
          <w:p w14:paraId="78EAD9D8" w14:textId="77777777" w:rsidR="005A5FCC" w:rsidRDefault="00A21C81">
            <w:pPr>
              <w:spacing w:before="20" w:after="20" w:line="240" w:lineRule="auto"/>
              <w:jc w:val="left"/>
            </w:pPr>
            <w:r>
              <w:rPr>
                <w:rFonts w:cs="EB Garamond"/>
                <w:kern w:val="16"/>
                <w:sz w:val="18"/>
                <w14:ligatures w14:val="standardContextual"/>
              </w:rPr>
              <w:t>Regra geral</w:t>
            </w:r>
          </w:p>
        </w:tc>
      </w:tr>
      <w:tr w:rsidR="005A5FCC" w14:paraId="1ACEF88A"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71A1EE78" w14:textId="77777777" w:rsidR="005A5FCC" w:rsidRDefault="00A21C81">
            <w:pPr>
              <w:spacing w:before="20" w:after="20" w:line="240" w:lineRule="auto"/>
              <w:jc w:val="left"/>
            </w:pPr>
            <w:r>
              <w:rPr>
                <w:rFonts w:cs="EB Garamond"/>
                <w:kern w:val="16"/>
                <w:sz w:val="18"/>
                <w14:ligatures w14:val="standardContextual"/>
              </w:rPr>
              <w:t>Acréscimo por mais de 120 contribuições sem perda da qualidade (art. 15, § 1º)</w:t>
            </w:r>
          </w:p>
        </w:tc>
        <w:tc>
          <w:tcPr>
            <w:tcW w:w="2117" w:type="dxa"/>
            <w:tcBorders>
              <w:top w:val="single" w:sz="4" w:space="0" w:color="D2C9B8"/>
              <w:left w:val="single" w:sz="4" w:space="0" w:color="D2C9B8"/>
              <w:bottom w:val="single" w:sz="4" w:space="0" w:color="D2C9B8"/>
              <w:right w:val="single" w:sz="4" w:space="0" w:color="D2C9B8"/>
            </w:tcBorders>
          </w:tcPr>
          <w:p w14:paraId="6C4676D0" w14:textId="77777777" w:rsidR="005A5FCC" w:rsidRDefault="00A21C81">
            <w:pPr>
              <w:spacing w:before="20" w:after="20" w:line="240" w:lineRule="auto"/>
              <w:jc w:val="left"/>
            </w:pPr>
            <w:r>
              <w:rPr>
                <w:rFonts w:cs="EB Garamond"/>
                <w:kern w:val="16"/>
                <w:sz w:val="18"/>
                <w14:ligatures w14:val="standardContextual"/>
              </w:rPr>
              <w:t>+ 12 meses (total de 24)</w:t>
            </w:r>
          </w:p>
        </w:tc>
        <w:tc>
          <w:tcPr>
            <w:tcW w:w="2117" w:type="dxa"/>
            <w:tcBorders>
              <w:top w:val="single" w:sz="4" w:space="0" w:color="D2C9B8"/>
              <w:left w:val="single" w:sz="4" w:space="0" w:color="D2C9B8"/>
              <w:bottom w:val="single" w:sz="4" w:space="0" w:color="D2C9B8"/>
              <w:right w:val="single" w:sz="4" w:space="0" w:color="D2C9B8"/>
            </w:tcBorders>
          </w:tcPr>
          <w:p w14:paraId="66490844" w14:textId="77777777" w:rsidR="005A5FCC" w:rsidRDefault="00A21C81">
            <w:pPr>
              <w:spacing w:before="20" w:after="20" w:line="240" w:lineRule="auto"/>
              <w:jc w:val="left"/>
            </w:pPr>
            <w:r>
              <w:rPr>
                <w:rFonts w:cs="EB Garamond"/>
                <w:kern w:val="16"/>
                <w:sz w:val="18"/>
                <w14:ligatures w14:val="standardContextual"/>
              </w:rPr>
              <w:t>Comprovação de mais de 120 contribuições mensais</w:t>
            </w:r>
          </w:p>
        </w:tc>
      </w:tr>
      <w:tr w:rsidR="005A5FCC" w14:paraId="78018CB2"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112185D3" w14:textId="77777777" w:rsidR="005A5FCC" w:rsidRDefault="00A21C81">
            <w:pPr>
              <w:spacing w:before="20" w:after="20" w:line="240" w:lineRule="auto"/>
              <w:jc w:val="left"/>
            </w:pPr>
            <w:r>
              <w:rPr>
                <w:rFonts w:cs="EB Garamond"/>
                <w:kern w:val="16"/>
                <w:sz w:val="18"/>
                <w14:ligatures w14:val="standardContextual"/>
              </w:rPr>
              <w:t>Acréscimo por desemprego involuntário (art. 15, § 2º)</w:t>
            </w:r>
          </w:p>
        </w:tc>
        <w:tc>
          <w:tcPr>
            <w:tcW w:w="2117" w:type="dxa"/>
            <w:tcBorders>
              <w:top w:val="single" w:sz="4" w:space="0" w:color="D2C9B8"/>
              <w:left w:val="single" w:sz="4" w:space="0" w:color="D2C9B8"/>
              <w:bottom w:val="single" w:sz="4" w:space="0" w:color="D2C9B8"/>
              <w:right w:val="single" w:sz="4" w:space="0" w:color="D2C9B8"/>
            </w:tcBorders>
          </w:tcPr>
          <w:p w14:paraId="4E17B243" w14:textId="77777777" w:rsidR="005A5FCC" w:rsidRDefault="00A21C81">
            <w:pPr>
              <w:spacing w:before="20" w:after="20" w:line="240" w:lineRule="auto"/>
              <w:jc w:val="left"/>
            </w:pPr>
            <w:r>
              <w:rPr>
                <w:rFonts w:cs="EB Garamond"/>
                <w:kern w:val="16"/>
                <w:sz w:val="18"/>
                <w14:ligatures w14:val="standardContextual"/>
              </w:rPr>
              <w:t>+ 12 meses (total de até 36)</w:t>
            </w:r>
          </w:p>
        </w:tc>
        <w:tc>
          <w:tcPr>
            <w:tcW w:w="2117" w:type="dxa"/>
            <w:tcBorders>
              <w:top w:val="single" w:sz="4" w:space="0" w:color="D2C9B8"/>
              <w:left w:val="single" w:sz="4" w:space="0" w:color="D2C9B8"/>
              <w:bottom w:val="single" w:sz="4" w:space="0" w:color="D2C9B8"/>
              <w:right w:val="single" w:sz="4" w:space="0" w:color="D2C9B8"/>
            </w:tcBorders>
          </w:tcPr>
          <w:p w14:paraId="7E1EA088" w14:textId="77777777" w:rsidR="005A5FCC" w:rsidRDefault="00A21C81">
            <w:pPr>
              <w:spacing w:before="20" w:after="20" w:line="240" w:lineRule="auto"/>
              <w:jc w:val="left"/>
            </w:pPr>
            <w:r>
              <w:rPr>
                <w:rFonts w:cs="EB Garamond"/>
                <w:kern w:val="16"/>
                <w:sz w:val="18"/>
                <w14:ligatures w14:val="standardContextual"/>
              </w:rPr>
              <w:t>Situação de desemprego involuntário comprovada por qualquer meio de prova</w:t>
            </w:r>
          </w:p>
        </w:tc>
      </w:tr>
      <w:tr w:rsidR="005A5FCC" w14:paraId="1CC6FFA3"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6E7F7C47" w14:textId="77777777" w:rsidR="005A5FCC" w:rsidRDefault="00A21C81">
            <w:pPr>
              <w:spacing w:before="20" w:after="20" w:line="240" w:lineRule="auto"/>
              <w:jc w:val="left"/>
            </w:pPr>
            <w:r>
              <w:rPr>
                <w:rFonts w:cs="EB Garamond"/>
                <w:kern w:val="16"/>
                <w:sz w:val="18"/>
                <w14:ligatures w14:val="standardContextual"/>
              </w:rPr>
              <w:t>Segurado facultativo (art. 15, VI)</w:t>
            </w:r>
          </w:p>
        </w:tc>
        <w:tc>
          <w:tcPr>
            <w:tcW w:w="2117" w:type="dxa"/>
            <w:tcBorders>
              <w:top w:val="single" w:sz="4" w:space="0" w:color="D2C9B8"/>
              <w:left w:val="single" w:sz="4" w:space="0" w:color="D2C9B8"/>
              <w:bottom w:val="single" w:sz="4" w:space="0" w:color="D2C9B8"/>
              <w:right w:val="single" w:sz="4" w:space="0" w:color="D2C9B8"/>
            </w:tcBorders>
          </w:tcPr>
          <w:p w14:paraId="2BCF9420" w14:textId="77777777" w:rsidR="005A5FCC" w:rsidRDefault="00A21C81">
            <w:pPr>
              <w:spacing w:before="20" w:after="20" w:line="240" w:lineRule="auto"/>
              <w:jc w:val="left"/>
            </w:pPr>
            <w:r>
              <w:rPr>
                <w:rFonts w:cs="EB Garamond"/>
                <w:kern w:val="16"/>
                <w:sz w:val="18"/>
                <w14:ligatures w14:val="standardContextual"/>
              </w:rPr>
              <w:t>6 meses</w:t>
            </w:r>
          </w:p>
        </w:tc>
        <w:tc>
          <w:tcPr>
            <w:tcW w:w="2117" w:type="dxa"/>
            <w:tcBorders>
              <w:top w:val="single" w:sz="4" w:space="0" w:color="D2C9B8"/>
              <w:left w:val="single" w:sz="4" w:space="0" w:color="D2C9B8"/>
              <w:bottom w:val="single" w:sz="4" w:space="0" w:color="D2C9B8"/>
              <w:right w:val="single" w:sz="4" w:space="0" w:color="D2C9B8"/>
            </w:tcBorders>
          </w:tcPr>
          <w:p w14:paraId="55724B7E" w14:textId="77777777" w:rsidR="005A5FCC" w:rsidRDefault="00A21C81">
            <w:pPr>
              <w:spacing w:before="20" w:after="20" w:line="240" w:lineRule="auto"/>
              <w:jc w:val="left"/>
            </w:pPr>
            <w:r>
              <w:rPr>
                <w:rFonts w:cs="EB Garamond"/>
                <w:kern w:val="16"/>
                <w:sz w:val="18"/>
                <w14:ligatures w14:val="standardContextual"/>
              </w:rPr>
              <w:t>Cessação do recolhimento</w:t>
            </w:r>
          </w:p>
        </w:tc>
      </w:tr>
      <w:tr w:rsidR="005A5FCC" w14:paraId="43D47199"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1949C20B" w14:textId="77777777" w:rsidR="005A5FCC" w:rsidRDefault="00A21C81">
            <w:pPr>
              <w:spacing w:before="20" w:after="20" w:line="240" w:lineRule="auto"/>
              <w:jc w:val="left"/>
            </w:pPr>
            <w:r>
              <w:rPr>
                <w:rFonts w:cs="EB Garamond"/>
                <w:kern w:val="16"/>
                <w:sz w:val="18"/>
                <w14:ligatures w14:val="standardContextual"/>
              </w:rPr>
              <w:t>Segurado retido ou recluso (art. 15, IV)</w:t>
            </w:r>
          </w:p>
        </w:tc>
        <w:tc>
          <w:tcPr>
            <w:tcW w:w="2117" w:type="dxa"/>
            <w:tcBorders>
              <w:top w:val="single" w:sz="4" w:space="0" w:color="D2C9B8"/>
              <w:left w:val="single" w:sz="4" w:space="0" w:color="D2C9B8"/>
              <w:bottom w:val="single" w:sz="4" w:space="0" w:color="D2C9B8"/>
              <w:right w:val="single" w:sz="4" w:space="0" w:color="D2C9B8"/>
            </w:tcBorders>
          </w:tcPr>
          <w:p w14:paraId="3DA5F1D1" w14:textId="77777777" w:rsidR="005A5FCC" w:rsidRDefault="00A21C81">
            <w:pPr>
              <w:spacing w:before="20" w:after="20" w:line="240" w:lineRule="auto"/>
              <w:jc w:val="left"/>
            </w:pPr>
            <w:r>
              <w:rPr>
                <w:rFonts w:cs="EB Garamond"/>
                <w:kern w:val="16"/>
                <w:sz w:val="18"/>
                <w14:ligatures w14:val="standardContextual"/>
              </w:rPr>
              <w:t>12 meses</w:t>
            </w:r>
          </w:p>
        </w:tc>
        <w:tc>
          <w:tcPr>
            <w:tcW w:w="2117" w:type="dxa"/>
            <w:tcBorders>
              <w:top w:val="single" w:sz="4" w:space="0" w:color="D2C9B8"/>
              <w:left w:val="single" w:sz="4" w:space="0" w:color="D2C9B8"/>
              <w:bottom w:val="single" w:sz="4" w:space="0" w:color="D2C9B8"/>
              <w:right w:val="single" w:sz="4" w:space="0" w:color="D2C9B8"/>
            </w:tcBorders>
          </w:tcPr>
          <w:p w14:paraId="223AC641" w14:textId="77777777" w:rsidR="005A5FCC" w:rsidRDefault="00A21C81">
            <w:pPr>
              <w:spacing w:before="20" w:after="20" w:line="240" w:lineRule="auto"/>
              <w:jc w:val="left"/>
            </w:pPr>
            <w:r>
              <w:rPr>
                <w:rFonts w:cs="EB Garamond"/>
                <w:kern w:val="16"/>
                <w:sz w:val="18"/>
                <w14:ligatures w14:val="standardContextual"/>
              </w:rPr>
              <w:t>Após o livramento</w:t>
            </w:r>
          </w:p>
        </w:tc>
      </w:tr>
      <w:tr w:rsidR="005A5FCC" w14:paraId="6E87FD9D"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4816C715" w14:textId="77777777" w:rsidR="005A5FCC" w:rsidRDefault="00A21C81">
            <w:pPr>
              <w:spacing w:before="20" w:after="20" w:line="240" w:lineRule="auto"/>
              <w:jc w:val="left"/>
            </w:pPr>
            <w:r>
              <w:rPr>
                <w:rFonts w:cs="EB Garamond"/>
                <w:kern w:val="16"/>
                <w:sz w:val="18"/>
                <w14:ligatures w14:val="standardContextual"/>
              </w:rPr>
              <w:t>Segurado incorporado ao serviço militar — conscrito (art. 15, V)</w:t>
            </w:r>
          </w:p>
        </w:tc>
        <w:tc>
          <w:tcPr>
            <w:tcW w:w="2117" w:type="dxa"/>
            <w:tcBorders>
              <w:top w:val="single" w:sz="4" w:space="0" w:color="D2C9B8"/>
              <w:left w:val="single" w:sz="4" w:space="0" w:color="D2C9B8"/>
              <w:bottom w:val="single" w:sz="4" w:space="0" w:color="D2C9B8"/>
              <w:right w:val="single" w:sz="4" w:space="0" w:color="D2C9B8"/>
            </w:tcBorders>
          </w:tcPr>
          <w:p w14:paraId="2CE05BED" w14:textId="77777777" w:rsidR="005A5FCC" w:rsidRDefault="00A21C81">
            <w:pPr>
              <w:spacing w:before="20" w:after="20" w:line="240" w:lineRule="auto"/>
              <w:jc w:val="left"/>
            </w:pPr>
            <w:r>
              <w:rPr>
                <w:rFonts w:cs="EB Garamond"/>
                <w:kern w:val="16"/>
                <w:sz w:val="18"/>
                <w14:ligatures w14:val="standardContextual"/>
              </w:rPr>
              <w:t>3 meses</w:t>
            </w:r>
          </w:p>
        </w:tc>
        <w:tc>
          <w:tcPr>
            <w:tcW w:w="2117" w:type="dxa"/>
            <w:tcBorders>
              <w:top w:val="single" w:sz="4" w:space="0" w:color="D2C9B8"/>
              <w:left w:val="single" w:sz="4" w:space="0" w:color="D2C9B8"/>
              <w:bottom w:val="single" w:sz="4" w:space="0" w:color="D2C9B8"/>
              <w:right w:val="single" w:sz="4" w:space="0" w:color="D2C9B8"/>
            </w:tcBorders>
          </w:tcPr>
          <w:p w14:paraId="36337122" w14:textId="77777777" w:rsidR="005A5FCC" w:rsidRDefault="00A21C81">
            <w:pPr>
              <w:spacing w:before="20" w:after="20" w:line="240" w:lineRule="auto"/>
              <w:jc w:val="left"/>
            </w:pPr>
            <w:r>
              <w:rPr>
                <w:rFonts w:cs="EB Garamond"/>
                <w:kern w:val="16"/>
                <w:sz w:val="18"/>
                <w14:ligatures w14:val="standardContextual"/>
              </w:rPr>
              <w:t>Após o licenciamento (prazo próprio, que não afasta o eventual aproveitamento da regra geral de 12 meses do art. 15, II)</w:t>
            </w:r>
          </w:p>
        </w:tc>
      </w:tr>
    </w:tbl>
    <w:p w14:paraId="72196F30" w14:textId="77777777" w:rsidR="005A5FCC" w:rsidRDefault="005A5FCC">
      <w:pPr>
        <w:spacing w:after="80" w:line="240" w:lineRule="auto"/>
      </w:pPr>
    </w:p>
    <w:p w14:paraId="54CB67B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V</w:t>
      </w:r>
    </w:p>
    <w:p w14:paraId="1A56CB3F" w14:textId="77777777" w:rsidR="005A5FCC" w:rsidRDefault="00A21C81">
      <w:r>
        <w:rPr>
          <w:rFonts w:cs="EB Garamond"/>
          <w:kern w:val="16"/>
          <w14:ligatures w14:val="standardContextual"/>
        </w:rPr>
        <w:t xml:space="preserve">encido o período de graça, a perda da qualidade de segurado não ocorre no último dia desse lapso, mas no dia seguinte ao do vencimento do prazo de recolhimento da contribuição do contribuinte individual relativa ao mês imediatamente posterior ao término do período (art. 15, § 4º, da Lei 8.213/91). </w:t>
      </w:r>
      <w:r>
        <w:rPr>
          <w:rFonts w:cs="EB Garamond"/>
          <w:kern w:val="16"/>
          <w14:ligatures w14:val="standardContextual"/>
        </w:rPr>
        <w:lastRenderedPageBreak/>
        <w:t>Na prática, isso desloca a perda para o dia 16 do segundo mês subsequente ao término do período de graça. A título de exemplo: o segurado que cessou as contribuições em janeiro e dispõe do período-base de 12 meses mantém a qualidade até janeiro do ano seguinte; o prazo de graça encerra-se ao fim desse mês, mas a perda só se consuma em 16 de março, dia seguinte ao vencimento do recolhimento (15 de março) relativo à competência de fevereiro. Esse detalhe de contagem é frequentemente decisivo no JEF para aferir a qualidade de segurado na data do evento, e o cálculo é detalhado no Capítulo 3 (seção 3.6).</w:t>
      </w:r>
    </w:p>
    <w:p w14:paraId="0EBFFBB8" w14:textId="77777777" w:rsidR="005A5FCC" w:rsidRDefault="00A21C81">
      <w:pPr>
        <w:ind w:firstLine="238"/>
      </w:pPr>
      <w:r>
        <w:rPr>
          <w:rFonts w:cs="EB Garamond"/>
          <w:kern w:val="16"/>
          <w14:ligatures w14:val="standardContextual"/>
        </w:rPr>
        <w:t>A prova do desemprego involuntário para o terceiro acréscimo de 12 meses admite qualquer meio de prova. A Súmula 27 da TNU já assentava que "a ausência de registro em órgão do Ministério do Trabalho não impede a comprovação do desemprego por outros meios admitidos em direito". O Superior Tribunal de Justiça, no Tema Repetitivo 1360, consolidou e expandiu esse entendimento ao fixar que, para a prorrogação do período de graça (art. 15, § 2º), o registro perante o órgão competente "pode ser suprido por outros meios de prova admitidos em Direito, tanto na via administrativa quanto na judicial, desde que demonstrada a situação de desemprego involuntário, não sendo suficiente para esse fim a mera ausência de anotações laborais na CTPS ou no CNIS". Exige-se, portanto, prova positiva da situação de desemprego, e não apenas a inexistência de vínculos formais. O tema é aprofundado no Capítulo 3, seção 3.7.</w:t>
      </w:r>
    </w:p>
    <w:p w14:paraId="76286E6C"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2.6 Exclusão do servidor público e regras especiais</w:t>
      </w:r>
    </w:p>
    <w:p w14:paraId="0821285D"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7B162676" w14:textId="77777777" w:rsidR="005A5FCC" w:rsidRDefault="00A21C81">
      <w:r>
        <w:rPr>
          <w:rFonts w:cs="EB Garamond"/>
          <w:kern w:val="16"/>
          <w14:ligatures w14:val="standardContextual"/>
        </w:rPr>
        <w:t xml:space="preserve"> art. 12 da Lei 8.213/91 exclui do RGPS o servidor civil ocupante de cargo efetivo e o militar da União, dos Estados, do Distrito Federal e dos Municípios, bem como os das respectivas autarquias e fundações, desde que amparados por regime próprio de previdência social. O Decreto 3.048/99, em seu art. 10, § 3º, define regime próprio como aquele que assegura pelo menos as aposentadorias e pensão por morte previstas no art. 40 da Constituição Federal. A </w:t>
      </w:r>
      <w:r>
        <w:rPr>
          <w:rFonts w:cs="EB Garamond"/>
          <w:kern w:val="16"/>
          <w14:ligatures w14:val="standardContextual"/>
        </w:rPr>
        <w:lastRenderedPageBreak/>
        <w:t>exclusão decorre da coexistência de sistemas previdenciários paralelos expressamente autorizada pela Constituição (art. 40 para os servidores, art. 201 para os trabalhadores da iniciativa privada).</w:t>
      </w:r>
    </w:p>
    <w:p w14:paraId="1BCE834B" w14:textId="77777777" w:rsidR="005A5FCC" w:rsidRDefault="00A21C81">
      <w:pPr>
        <w:ind w:firstLine="238"/>
      </w:pPr>
      <w:r>
        <w:rPr>
          <w:rFonts w:cs="EB Garamond"/>
          <w:kern w:val="16"/>
          <w14:ligatures w14:val="standardContextual"/>
        </w:rPr>
        <w:t>Se o ente público com o qual o servidor mantém vínculo funcional não ostentar regime próprio, situação comum em municípios de menor porte, o servidor público titular de cargo efetivo será filiado ao RGPS como segurado empregado. O empregado público contratado pelo regime celetista é, em qualquer caso, vinculado ao RGPS.</w:t>
      </w:r>
    </w:p>
    <w:p w14:paraId="5C8F82A0" w14:textId="77777777" w:rsidR="005A5FCC" w:rsidRDefault="00A21C81">
      <w:pPr>
        <w:ind w:firstLine="238"/>
      </w:pPr>
      <w:r>
        <w:rPr>
          <w:rFonts w:cs="EB Garamond"/>
          <w:kern w:val="16"/>
          <w14:ligatures w14:val="standardContextual"/>
        </w:rPr>
        <w:t>O parágrafo único do art. 12 ressalva a hipótese de exercício concomitante: o servidor ou militar que exerce, simultaneamente, atividade abrangida pelo RGPS é segurado obrigatório em relação a essa atividade. Assim, o juiz federal que leciona em universidade particular é segurado obrigatório do RGPS na qualidade de contribuinte individual em relação à atividade docente, mantendo vinculação ao RPPS na condição de magistrado.</w:t>
      </w:r>
    </w:p>
    <w:p w14:paraId="08931EAD" w14:textId="77777777" w:rsidR="005A5FCC" w:rsidRDefault="00A21C81">
      <w:pPr>
        <w:ind w:firstLine="238"/>
      </w:pPr>
      <w:r>
        <w:rPr>
          <w:rFonts w:cs="EB Garamond"/>
          <w:kern w:val="16"/>
          <w14:ligatures w14:val="standardContextual"/>
        </w:rPr>
        <w:t>O art. 201, § 5º, da CF/88, com a redação dada pela EC 103/2019, veda a filiação ao RGPS, na qualidade de segurado facultativo, de pessoa participante de regime próprio. Essa vedação impede que o servidor público vinculado a RPPS opte por contribuir voluntariamente ao RGPS, salvo quando exerce efetivamente atividade remunerada abrangida pelo regime geral. A regra visa impedir que servidores públicos acumulem benefícios dos dois regimes sem a correspondente atividade contributiva no RGPS.</w:t>
      </w:r>
    </w:p>
    <w:p w14:paraId="0F0C9191" w14:textId="77777777" w:rsidR="005A5FCC" w:rsidRDefault="00A21C81">
      <w:pPr>
        <w:ind w:firstLine="238"/>
      </w:pPr>
      <w:r>
        <w:rPr>
          <w:rFonts w:cs="EB Garamond"/>
          <w:kern w:val="16"/>
          <w14:ligatures w14:val="standardContextual"/>
        </w:rPr>
        <w:t>Os advogados nomeados pelo Presidente da República para compor o TSE ou os TREs (art. 119, II, e art. 120, § 1º, III, da CF) mantêm o mesmo enquadramento no RGPS de antes da investidura no cargo, nos termos do art. 9º, § 11, do Decreto 3.048/99. Trata-se de exceção à regra geral de enquadramento como contribuinte individual aplicável aos demais membros temporários desses tribunais.</w:t>
      </w:r>
    </w:p>
    <w:p w14:paraId="70391C6C" w14:textId="77777777" w:rsidR="005A5FCC" w:rsidRDefault="00A21C81">
      <w:pPr>
        <w:ind w:firstLine="238"/>
      </w:pPr>
      <w:r>
        <w:rPr>
          <w:rFonts w:cs="EB Garamond"/>
          <w:kern w:val="16"/>
          <w14:ligatures w14:val="standardContextual"/>
        </w:rPr>
        <w:t xml:space="preserve">A contagem recíproca de tempo de contribuição entre RGPS e RPPS, prevista no art. 201, § 9º-A, da Constituição Federal (com a redação da EC 103/2019) e regulamentada pelos arts. 94 a 99 da Lei 8.213/91, permite ao segurado que tenha contribuído para ambos os regimes aproveitar, em um deles, o tempo de contribuição vertido no outro, para fins de aposentadoria. A contagem recíproca exige a emissão de Certidão de Tempo de Contribuição (CTC) pelo regime de origem, </w:t>
      </w:r>
      <w:r>
        <w:rPr>
          <w:rFonts w:cs="EB Garamond"/>
          <w:kern w:val="16"/>
          <w14:ligatures w14:val="standardContextual"/>
        </w:rPr>
        <w:lastRenderedPageBreak/>
        <w:t>nos termos do art. 130 do Decreto 3.048/99, com a redação dada pelo Decreto 10.410/2020. A CTC deve conter a indicação precisa dos períodos de contribuição, das remunerações e das eventuais restrições. A EC 103/2019, em seu art. 25, § 1º, vedou a emissão de CTC sem a comprovação de contribuição efetiva, encerrando a possibilidade de contagem de tempo ficto — prática que gerava distorções, especialmente no cômputo de tempo de serviço militar e de licenças não remuneradas. Na prática dos JEFs, a contagem recíproca é frequentemente invocada por segurados que transitaram entre o serviço público e a iniciativa privada ao longo de suas carreiras, sendo indispensável verificar a regularidade da CTC e a inexistência de sobreposição de vínculos.</w:t>
      </w:r>
    </w:p>
    <w:p w14:paraId="5A0456A4" w14:textId="77777777" w:rsidR="005A5FCC" w:rsidRDefault="00A21C81">
      <w:pPr>
        <w:ind w:firstLine="238"/>
      </w:pPr>
      <w:r>
        <w:rPr>
          <w:rFonts w:cs="EB Garamond"/>
          <w:kern w:val="16"/>
          <w14:ligatures w14:val="standardContextual"/>
        </w:rPr>
        <w:t>Quanto aos militares, a regra geral é a exclusão do RGPS, pois são amparados por regime próprio previsto nos arts. 42 e 142 da Constituição Federal. Os militares das Forças Armadas (Exército, Marinha e Aeronáutica) são regidos pela Lei n. 6.880, de 9 de dezembro de 1980 (Estatuto dos Militares), enquanto os militares dos Estados, do Distrito Federal e dos Territórios são regidos pelas legislações estaduais respectivas. O prestador de serviço militar obrigatório (conscrito), durante o período de incorporação, é segurado obrigatório do RGPS na condição de contribuinte individual (art. 9º, § 1º, XII, do Decreto 3.048/99, com a redação do Decreto 10.410/2020), e após o licenciamento mantém a qualidade de segurado por 3 meses (art. 15, V, da Lei 8.213/91), prazo fixo, sem cláusula de variação. Registre-se, contudo, que esse prazo específico do art. 15, V, não exclui a incidência da regra geral do art. 15, II (12 meses), quando o segurado já reunisse, antes da incorporação, contribuições aptas a lhe assegurar o período de graça ordinário — hipótese em que prevalece o prazo que for mais favorável à manutenção da qualidade de segurado.</w:t>
      </w:r>
    </w:p>
    <w:p w14:paraId="737CB1B5" w14:textId="3E2F5283" w:rsidR="005A5FCC" w:rsidRDefault="00141527">
      <w:pPr>
        <w:keepNext/>
        <w:pBdr>
          <w:bottom w:val="single" w:sz="8" w:space="4" w:color="B89B5E"/>
        </w:pBdr>
        <w:spacing w:before="360" w:after="140" w:line="240" w:lineRule="auto"/>
        <w:jc w:val="left"/>
      </w:pPr>
      <w:r>
        <w:rPr>
          <w:rFonts w:cs="EB Garamond"/>
          <w:b/>
          <w:color w:val="3A3128"/>
          <w:kern w:val="16"/>
          <w:sz w:val="31"/>
          <w14:ligatures w14:val="standardContextual"/>
        </w:rPr>
        <w:t xml:space="preserve">2.7 </w:t>
      </w:r>
      <w:r w:rsidR="00A21C81">
        <w:rPr>
          <w:rFonts w:cs="EB Garamond"/>
          <w:b/>
          <w:color w:val="3A3128"/>
          <w:kern w:val="16"/>
          <w:sz w:val="31"/>
          <w14:ligatures w14:val="standardContextual"/>
        </w:rPr>
        <w:t>Conclusão</w:t>
      </w:r>
    </w:p>
    <w:p w14:paraId="11BA6EAF"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3834E1DA" w14:textId="77777777" w:rsidR="005A5FCC" w:rsidRDefault="00A21C81">
      <w:r>
        <w:rPr>
          <w:rFonts w:cs="EB Garamond"/>
          <w:kern w:val="16"/>
          <w14:ligatures w14:val="standardContextual"/>
        </w:rPr>
        <w:t xml:space="preserve">s cinco categorias de segurados obrigatórios abrangem virtualmente todas as formas de trabalho remunerado; o segurado facultativo estende a proteção àqueles que não exercem atividade econômica; os dependentes, organizados em três classes hierarquizadas, completam o quadro protetivo. A matéria, contudo, não é estática. As reformas da EC 20/1998 à EC 103/2019, passando </w:t>
      </w:r>
      <w:r>
        <w:rPr>
          <w:rFonts w:cs="EB Garamond"/>
          <w:kern w:val="16"/>
          <w14:ligatures w14:val="standardContextual"/>
        </w:rPr>
        <w:lastRenderedPageBreak/>
        <w:t>pela LC 150/2015, pela Lei 13.846/2019 e pela Lei 15.108/2025, vêm redesenhando os contornos do sistema. O Decreto 10.410/2020 refinou conceitos e procedimentos com impacto direto na prática administrativa e na instrução processual.</w:t>
      </w:r>
    </w:p>
    <w:p w14:paraId="5FC93D76" w14:textId="77777777" w:rsidR="005A5FCC" w:rsidRDefault="00A21C81">
      <w:pPr>
        <w:ind w:firstLine="238"/>
      </w:pPr>
      <w:r>
        <w:rPr>
          <w:rFonts w:cs="EB Garamond"/>
          <w:kern w:val="16"/>
          <w14:ligatures w14:val="standardContextual"/>
        </w:rPr>
        <w:t>Na atuação nos JEFs, três aspectos exigem atenção permanente: o enquadramento correto do segurado, que determina filiação, contribuição e carência; a comprovação da condição de dependente, especialmente após a exigência de prova material contemporânea introduzida pela MP 871/2019 (convertida na Lei 13.846/2019); e a verificação da qualidade de segurado na data do evento gerador, tema aprofundado no capítulo seguinte.</w:t>
      </w:r>
    </w:p>
    <w:p w14:paraId="4647CCD5" w14:textId="77777777" w:rsidR="005A5FCC" w:rsidRDefault="00A21C81">
      <w:pPr>
        <w:ind w:firstLine="238"/>
      </w:pPr>
      <w:r>
        <w:rPr>
          <w:rFonts w:cs="EB Garamond"/>
          <w:kern w:val="16"/>
          <w14:ligatures w14:val="standardContextual"/>
        </w:rPr>
        <w:t>Questões como o reconhecimento do menor sob guarda como dependente (tensão entre a EC 103/2019 e a Lei 15.108/2025), a extensão do período de graça ao contribuinte individual e a prova da atividade do segurado especial permanecem em aberto e exigem do magistrado e do advogado previdenciarista atualização constante.</w:t>
      </w:r>
    </w:p>
    <w:p w14:paraId="30D60BDA" w14:textId="77777777" w:rsidR="005A5FCC" w:rsidRDefault="005A5FCC">
      <w:pPr>
        <w:sectPr w:rsidR="005A5FCC">
          <w:headerReference w:type="even" r:id="rId62"/>
          <w:headerReference w:type="default" r:id="rId63"/>
          <w:footerReference w:type="even" r:id="rId64"/>
          <w:footerReference w:type="default" r:id="rId65"/>
          <w:headerReference w:type="first" r:id="rId66"/>
          <w:footerReference w:type="first" r:id="rId67"/>
          <w:pgSz w:w="8391" w:h="11906"/>
          <w:pgMar w:top="935" w:right="879" w:bottom="964" w:left="1162" w:header="454" w:footer="425" w:gutter="0"/>
          <w:cols w:space="720"/>
          <w:titlePg/>
          <w:docGrid w:linePitch="360"/>
        </w:sectPr>
      </w:pPr>
    </w:p>
    <w:p w14:paraId="1E9174D4" w14:textId="77777777" w:rsidR="005A5FCC" w:rsidRDefault="00A21C81">
      <w:pPr>
        <w:keepNext/>
        <w:spacing w:before="240" w:after="80" w:line="240" w:lineRule="auto"/>
        <w:jc w:val="center"/>
      </w:pPr>
      <w:r>
        <w:rPr>
          <w:rFonts w:ascii="Noto Sans" w:hAnsi="Noto Sans" w:cs="Noto Sans"/>
          <w:b/>
          <w:caps/>
          <w:color w:val="8A6A2A"/>
          <w:kern w:val="16"/>
          <w:sz w:val="19"/>
          <w14:ligatures w14:val="standardContextual"/>
        </w:rPr>
        <w:lastRenderedPageBreak/>
        <w:t>CAPÍTULO 3</w:t>
      </w:r>
    </w:p>
    <w:p w14:paraId="4D3B9932" w14:textId="77777777" w:rsidR="005A5FCC" w:rsidRDefault="00A21C81">
      <w:pPr>
        <w:pStyle w:val="Ttulo2"/>
        <w:spacing w:line="240" w:lineRule="auto"/>
      </w:pPr>
      <w:r>
        <w:rPr>
          <w:rFonts w:ascii="EB Garamond" w:hAnsi="EB Garamond" w:cs="EB Garamond"/>
          <w:caps/>
          <w:kern w:val="16"/>
          <w14:ligatures w14:val="standardContextual"/>
        </w:rPr>
        <w:t>Período de Carência e Manutenção da Qualidade de Segurado</w:t>
      </w:r>
    </w:p>
    <w:p w14:paraId="0270E524" w14:textId="77777777" w:rsidR="005A5FCC" w:rsidRDefault="00A21C81">
      <w:pPr>
        <w:spacing w:after="240" w:line="240" w:lineRule="auto"/>
        <w:jc w:val="center"/>
      </w:pPr>
      <w:r>
        <w:rPr>
          <w:rFonts w:cs="EB Garamond"/>
          <w:color w:val="B78B37"/>
          <w:kern w:val="16"/>
          <w:sz w:val="18"/>
          <w14:ligatures w14:val="standardContextual"/>
        </w:rPr>
        <w:t>━━━━  ◆  ━━━━</w:t>
      </w:r>
    </w:p>
    <w:p w14:paraId="40133E9D"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3D55F124" w14:textId="77777777" w:rsidR="005A5FCC" w:rsidRDefault="00A21C81">
      <w:r>
        <w:rPr>
          <w:rFonts w:cs="EB Garamond"/>
          <w:kern w:val="16"/>
          <w14:ligatures w14:val="standardContextual"/>
        </w:rPr>
        <w:t xml:space="preserve"> acesso aos benefícios previdenciários no Regime Geral de Previdência Social não se esgota na condição de segurado. Além da filiação e da ocorrência do evento coberto (incapacidade, idade avançada, morte, maternidade), a legislação exige, como regra, o cumprimento de um período mínimo de contribuições prévias, denominado carência. Paralelamente, a manutenção da qualidade de segurado constitui pressuposto de proteção que se prolonga, em determinadas hipóteses, mesmo após a cessação das contribuições, por meio do chamado período de graça.</w:t>
      </w:r>
    </w:p>
    <w:p w14:paraId="2510D656" w14:textId="16D1FC07" w:rsidR="005A5FCC" w:rsidRDefault="00A21C81">
      <w:pPr>
        <w:ind w:firstLine="238"/>
      </w:pPr>
      <w:r>
        <w:rPr>
          <w:rFonts w:cs="EB Garamond"/>
          <w:kern w:val="16"/>
          <w14:ligatures w14:val="standardContextual"/>
        </w:rPr>
        <w:t>Carência e qualidade de segurado são conceitos autônomos, mas funcionalmente conectados. A carência consiste no número mínimo de contribuições exigido para o acesso ao benefício. A qualidade de segurado define o arco temporal dentro do qual o trabalhador permanece sob a proteção previdenciária. A perda de qualquer desses requisitos impede, em regra, a concessão do benefício pleiteado. Na prática dos Juizados Especiais Federais, carência e qualidade de segurado são quest</w:t>
      </w:r>
      <w:r w:rsidR="005140C3">
        <w:rPr>
          <w:rFonts w:cs="EB Garamond"/>
          <w:kern w:val="16"/>
          <w14:ligatures w14:val="standardContextual"/>
        </w:rPr>
        <w:t>ões</w:t>
      </w:r>
      <w:r>
        <w:rPr>
          <w:rFonts w:cs="EB Garamond"/>
          <w:kern w:val="16"/>
          <w14:ligatures w14:val="standardContextual"/>
        </w:rPr>
        <w:t xml:space="preserve"> preliminar</w:t>
      </w:r>
      <w:r w:rsidR="005140C3">
        <w:rPr>
          <w:rFonts w:cs="EB Garamond"/>
          <w:kern w:val="16"/>
          <w14:ligatures w14:val="standardContextual"/>
        </w:rPr>
        <w:t>es</w:t>
      </w:r>
      <w:r>
        <w:rPr>
          <w:rFonts w:cs="EB Garamond"/>
          <w:kern w:val="16"/>
          <w14:ligatures w14:val="standardContextual"/>
        </w:rPr>
        <w:t xml:space="preserve"> em quase toda ação previdenciária.</w:t>
      </w:r>
    </w:p>
    <w:p w14:paraId="11FB5612" w14:textId="77777777" w:rsidR="005A5FCC" w:rsidRDefault="00A21C81">
      <w:pPr>
        <w:ind w:firstLine="238"/>
      </w:pPr>
      <w:r>
        <w:rPr>
          <w:rFonts w:cs="EB Garamond"/>
          <w:kern w:val="16"/>
          <w14:ligatures w14:val="standardContextual"/>
        </w:rPr>
        <w:t xml:space="preserve">A importância prática desses institutos revela-se na constatação de que carência e qualidade de segurado constituem, ao lado da ocorrência do fato gerador, os três pressupostos genéricos de concessão de benefícios previdenciários. A ausência de qualquer um deles, salvo nos casos expressamente ressalvados pela legislação, acarreta o indeferimento administrativo ou a improcedência do pedido judicial. A análise desses pressupostos antecede o exame do mérito propriamente dito e, não raro, constitui o fundamento exclusivo da decisão. Não por acaso, Porto (2024) os denomina "parte geral do plano de benefícios": a compreensão articulada dos institutos é pré-requisito indispensável para o estudo das prestações em </w:t>
      </w:r>
      <w:r>
        <w:rPr>
          <w:rFonts w:cs="EB Garamond"/>
          <w:kern w:val="16"/>
          <w14:ligatures w14:val="standardContextual"/>
        </w:rPr>
        <w:lastRenderedPageBreak/>
        <w:t>espécie, daí a conveniência de isolá-los para análise autônoma antes de adentrar os contornos específicos de cada benefício. Esse enfoque sistemático será adotado no presente capítulo, que busca esgotar os aspectos mais relevantes da carência e da qualidade de segurado para a prática previdenciária nos JEFs.</w:t>
      </w:r>
    </w:p>
    <w:p w14:paraId="7221A62F"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3.1 Conceito e natureza jurídica da carência</w:t>
      </w:r>
    </w:p>
    <w:p w14:paraId="0FF15B61"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394B46EB" w14:textId="77777777" w:rsidR="005A5FCC" w:rsidRDefault="00A21C81">
      <w:r>
        <w:rPr>
          <w:rFonts w:cs="EB Garamond"/>
          <w:kern w:val="16"/>
          <w14:ligatures w14:val="standardContextual"/>
        </w:rPr>
        <w:t xml:space="preserve"> art. 24 da Lei n. 8.213, de 24 de julho de 1991, define o período de carência como "o número mínimo de contribuições mensais indispensáveis para que o beneficiário faça jus ao benefício, consideradas a partir do transcurso do primeiro dia dos meses de suas competências". A doutrina majoritária classifica a carência como requisito objetivo de concessão do benefício previdenciário, ao lado da qualidade de segurado e da ocorrência do fato gerador. Ibrahim situa a carência na hipótese de incidência da norma previdenciária, conectando-a à função atuarial do sistema: assegurar que o acesso aos benefícios seja restrito a segurados com vínculo contributivo efetivo e contínuo.</w:t>
      </w:r>
    </w:p>
    <w:p w14:paraId="17EC856F" w14:textId="77777777" w:rsidR="005A5FCC" w:rsidRDefault="00A21C81">
      <w:pPr>
        <w:ind w:firstLine="238"/>
      </w:pPr>
      <w:r>
        <w:rPr>
          <w:rFonts w:cs="EB Garamond"/>
          <w:kern w:val="16"/>
          <w14:ligatures w14:val="standardContextual"/>
        </w:rPr>
        <w:t>Porto (2024) sintetiza o conceito com objetividade: a carência consiste em um número mínimo de contribuições mensais (ou de atividade laborativa, no caso do segurado especial) exigido para a concessão de certos benefícios. Assim, há benefícios que não exigem carência e outros que a exigem, sendo variável o número de contribuições mensais conforme a espécie. O conceito é simples de enunciar, mas a sua aplicação concreta depende da correta identificação da categoria do segurado, do regime temporal aplicável e da natureza do evento gerador — e é justamente nesse ponto que, em nossa experiência judicante, residem as maiores dificuldades.</w:t>
      </w:r>
    </w:p>
    <w:p w14:paraId="67C7A18E" w14:textId="77777777" w:rsidR="005A5FCC" w:rsidRDefault="00A21C81">
      <w:pPr>
        <w:ind w:firstLine="238"/>
      </w:pPr>
      <w:r>
        <w:rPr>
          <w:rFonts w:cs="EB Garamond"/>
          <w:kern w:val="16"/>
          <w14:ligatures w14:val="standardContextual"/>
        </w:rPr>
        <w:t xml:space="preserve">A natureza jurídica da carência é objeto de debate doutrinário. A corrente majoritária a classifica como condição objetiva de acesso ao benefício, de natureza diversa tanto da qualidade de segurado (que é condição subjetiva de proteção) quanto do fato gerador (que é o evento coberto pelo seguro). Trata-se, em essência, de requisito atuarial que reflete o princípio do equilíbrio financeiro e atuarial consagrado no art. 201, caput, da Constituição Federal: exige-se um período mínimo de contribuição para que o beneficiário demonstre participação efetiva no custeio do sistema antes de usufruir de suas prestações. Essa exigência distingue a </w:t>
      </w:r>
      <w:r>
        <w:rPr>
          <w:rFonts w:cs="EB Garamond"/>
          <w:kern w:val="16"/>
          <w14:ligatures w14:val="standardContextual"/>
        </w:rPr>
        <w:lastRenderedPageBreak/>
        <w:t>previdência social da assistência social, na qual o acesso independe de contribuição prévia.</w:t>
      </w:r>
    </w:p>
    <w:p w14:paraId="708DA132" w14:textId="77777777" w:rsidR="005A5FCC" w:rsidRDefault="00A21C81">
      <w:pPr>
        <w:spacing w:before="260" w:after="80" w:line="240" w:lineRule="auto"/>
        <w:jc w:val="left"/>
      </w:pPr>
      <w:r>
        <w:rPr>
          <w:rFonts w:cs="EB Garamond"/>
          <w:b/>
          <w:color w:val="3A3128"/>
          <w:kern w:val="16"/>
          <w:sz w:val="25"/>
          <w14:ligatures w14:val="standardContextual"/>
        </w:rPr>
        <w:t>3.1.1 Carência versus tempo de contribuição</w:t>
      </w:r>
    </w:p>
    <w:p w14:paraId="046DE87D"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P</w:t>
      </w:r>
    </w:p>
    <w:p w14:paraId="077CB77D" w14:textId="77777777" w:rsidR="005A5FCC" w:rsidRDefault="00A21C81">
      <w:r>
        <w:rPr>
          <w:rFonts w:cs="EB Garamond"/>
          <w:kern w:val="16"/>
          <w14:ligatures w14:val="standardContextual"/>
        </w:rPr>
        <w:t>oucos equívocos chegam com tanta frequência aos JEFs quanto a confusão entre carência e tempo de contribuição, sobre a qual Kertzman (2025) expressamente adverte. A carência é contada em número de contribuições mensais válidas, ao passo que o tempo de contribuição compreende o cômputo total de períodos laborais em dias, meses e anos, podendo incluir períodos indenizados, ficcionais e retroativos. Contribuições recolhidas em atraso, por exemplo, são computadas para tempo de contribuição, mas não necessariamente para carência (art. 27, II, da Lei 8.213/91). A Turma Nacional de Uniformização consolidou essa distinção no Tema 358 (rel. Juiz Federal Giovani Bigolin, j. 16/10/2024), fixando a tese de que "tempo de contribuição e carência são institutos distintos" e que "a carência consiste em contribuições tempestivas", esclarecendo ainda que "o art. 18 da EC n. 103/2019 não dispensa o requisito da carência para concessão de aposentadoria".</w:t>
      </w:r>
    </w:p>
    <w:p w14:paraId="5697F31A" w14:textId="77777777" w:rsidR="005A5FCC" w:rsidRDefault="00A21C81">
      <w:pPr>
        <w:ind w:firstLine="238"/>
      </w:pPr>
      <w:r>
        <w:rPr>
          <w:rFonts w:cs="EB Garamond"/>
          <w:kern w:val="16"/>
          <w14:ligatures w14:val="standardContextual"/>
        </w:rPr>
        <w:t>A distinção adquire relevância prática quando se considera que o segurado pode reunir tempo de contribuição suficiente para aposentadoria sem ter cumprido a carência correspondente, e vice-versa. Isso ocorre, por exemplo, quando o contribuinte individual recolhe contribuições em atraso para completar o tempo necessário: essas contribuições contam para tempo de contribuição, mas não para carência, exceto se recolhidas após o primeiro pagamento tempestivo e dentro do período de qualidade de segurado. A consequência é que dois segurados com idêntico tempo de contribuição podem ostentar situações radicalmente distintas quanto à carência, a depender da regularidade e da tempestividade de seus recolhimentos.</w:t>
      </w:r>
    </w:p>
    <w:p w14:paraId="1E560B3B" w14:textId="7D14D698" w:rsidR="005A5FCC" w:rsidRDefault="00A21C81">
      <w:pPr>
        <w:ind w:firstLine="238"/>
      </w:pPr>
      <w:r>
        <w:rPr>
          <w:rFonts w:cs="EB Garamond"/>
          <w:kern w:val="16"/>
          <w14:ligatures w14:val="standardContextual"/>
        </w:rPr>
        <w:t xml:space="preserve">Porto (2024) oferece exemplo esclarecedor: para os benefícios programados (aposentadorias por idade, especial e por tempo de contribuição), que não exigem qualidade de segurado na data do requerimento por força do art. 3º da Lei n. 10.666/2003, basta reunir ao longo de toda a vida laborativa os 180 meses de contribuição exigidos como carência, ainda que de forma espaçada no tempo. Já para </w:t>
      </w:r>
      <w:r>
        <w:rPr>
          <w:rFonts w:cs="EB Garamond"/>
          <w:kern w:val="16"/>
          <w14:ligatures w14:val="standardContextual"/>
        </w:rPr>
        <w:lastRenderedPageBreak/>
        <w:t>os benefícios não programados (auxílio por incapacidade temporária, aposentadoria por incapacidade permanente e auxílio-reclusão), o cômputo da carência deve observar contribuições sequenciais, de modo que entre todas elas não tenha havido perda da qualidade de segurado. A perda da qualidade acarreta, salvo as exceções legais, a caducidade da carência anteriormente cumprida.</w:t>
      </w:r>
    </w:p>
    <w:p w14:paraId="65F9A7A7" w14:textId="77777777" w:rsidR="005A5FCC" w:rsidRDefault="00A21C81">
      <w:pPr>
        <w:spacing w:before="260" w:after="80" w:line="240" w:lineRule="auto"/>
        <w:jc w:val="left"/>
      </w:pPr>
      <w:r>
        <w:rPr>
          <w:rFonts w:cs="EB Garamond"/>
          <w:b/>
          <w:color w:val="3A3128"/>
          <w:kern w:val="16"/>
          <w:sz w:val="25"/>
          <w14:ligatures w14:val="standardContextual"/>
        </w:rPr>
        <w:t>3.1.2 Função atuarial e dimensão constitucional da carência</w:t>
      </w:r>
    </w:p>
    <w:p w14:paraId="35A1ADF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169C1069" w14:textId="77777777" w:rsidR="005A5FCC" w:rsidRDefault="00A21C81">
      <w:r>
        <w:rPr>
          <w:rFonts w:cs="EB Garamond"/>
          <w:kern w:val="16"/>
          <w14:ligatures w14:val="standardContextual"/>
        </w:rPr>
        <w:t xml:space="preserve"> carência desempenha função atuarial no sistema previdenciário ao evitar que segurados recém-ingressantes acessem imediatamente benefícios cujo custeio pressupõe contribuição mínima pretérita. Sem esse filtro, o sistema enfrentaria desequilíbrio financeiro decorrente da concessão de prestações a segurados que contribuíram por período ínfimo. A Constituição Federal, ao consagrar o princípio do equilíbrio financeiro e atuarial (art. 201, caput), fornece o fundamento para a exigência de carência, embora não a imponha diretamente, delegando ao legislador ordinário a definição dos períodos aplicáveis.</w:t>
      </w:r>
    </w:p>
    <w:p w14:paraId="7C2E55A5" w14:textId="77777777" w:rsidR="005A5FCC" w:rsidRDefault="00A21C81">
      <w:pPr>
        <w:ind w:firstLine="238"/>
      </w:pPr>
      <w:r>
        <w:rPr>
          <w:rFonts w:cs="EB Garamond"/>
          <w:kern w:val="16"/>
          <w14:ligatures w14:val="standardContextual"/>
        </w:rPr>
        <w:t>A função atuarial da carência não a coloca, porém, acima do controle de constitucionalidade. Ao apreciar as ADIs 2.110 e 2.111, que tinham por objeto a carência de 10 contribuições mensais exigida das seguradas contribuinte individual, especial e facultativa para o salário-maternidade (art. 25, III, da Lei 8.213/91), o Supremo Tribunal Federal declarou-a inconstitucional. Embora a tese tenha alcance circunscrito ao salário-maternidade, dela se extrai diretriz de projeção mais ampla: a carência, ainda que legítima em sua função atuarial, encontra limites nos princípios constitucionais que regem a seguridade social, em especial a isonomia. Os fundamentos dessa decisão são examinados em detalhe adiante (seção 3.3.5), com destaque sintético também no box de jurisprudência da seção 3.2.4.</w:t>
      </w:r>
    </w:p>
    <w:p w14:paraId="1898A26A"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3.2 Prazos de carência por espécie de benefício</w:t>
      </w:r>
    </w:p>
    <w:p w14:paraId="329B7F92"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1279CD52" w14:textId="77777777" w:rsidR="005A5FCC" w:rsidRDefault="00A21C81">
      <w:r>
        <w:rPr>
          <w:rFonts w:cs="EB Garamond"/>
          <w:kern w:val="16"/>
          <w14:ligatures w14:val="standardContextual"/>
        </w:rPr>
        <w:t xml:space="preserve"> art. 25 da Lei 8.213/91 estabelece os períodos de carência exigidos para cada espécie de benefício, adotando critério que reflete a natureza e a previsibilidade do evento coberto: benefícios relacionados a eventos imprevisíveis exigem carência menor, enquanto aposentadorias programadas demandam período contributivo mais extenso.</w:t>
      </w:r>
    </w:p>
    <w:p w14:paraId="65C68EFD" w14:textId="77777777" w:rsidR="005A5FCC" w:rsidRDefault="00A21C81">
      <w:pPr>
        <w:spacing w:before="260" w:after="80" w:line="240" w:lineRule="auto"/>
        <w:jc w:val="left"/>
      </w:pPr>
      <w:r>
        <w:rPr>
          <w:rFonts w:cs="EB Garamond"/>
          <w:b/>
          <w:color w:val="3A3128"/>
          <w:kern w:val="16"/>
          <w:sz w:val="25"/>
          <w14:ligatures w14:val="standardContextual"/>
        </w:rPr>
        <w:lastRenderedPageBreak/>
        <w:t>3.2.1 Benefícios por incapacidade: 12 contribuições mensais</w:t>
      </w:r>
    </w:p>
    <w:p w14:paraId="0D6875B3"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7B781C2E" w14:textId="04E57F1E" w:rsidR="005A5FCC" w:rsidRDefault="00A21C81">
      <w:r>
        <w:rPr>
          <w:rFonts w:cs="EB Garamond"/>
          <w:kern w:val="16"/>
          <w14:ligatures w14:val="standardContextual"/>
        </w:rPr>
        <w:t xml:space="preserve"> auxílio por incapacidade temporária (antigo auxílio-doença) e a aposentadoria por incapacidade permanente (antiga aposentadoria por invalidez) exigem 12 contribuições mensais (art. 25, inciso I). A carência relativamente reduzida se justifica pela natureza imprevisível do evento incapacitante: não seria razoável exigir período contributivo extenso para proteção contra riscos que independem da vontade do segurado. </w:t>
      </w:r>
      <w:r w:rsidR="005140C3">
        <w:rPr>
          <w:rFonts w:cs="EB Garamond"/>
          <w:kern w:val="16"/>
          <w14:ligatures w14:val="standardContextual"/>
        </w:rPr>
        <w:t>U</w:t>
      </w:r>
      <w:r>
        <w:rPr>
          <w:rFonts w:cs="EB Garamond"/>
          <w:kern w:val="16"/>
          <w14:ligatures w14:val="standardContextual"/>
        </w:rPr>
        <w:t>ma vez perdida a qualidade de segurado, o art. 27-A exige que o segurado cumpra novamente metade da carência (6 contribuições) a partir da nova filiação para readquirir o direito ao benefício por incapacidade, regra que será examinada em detalhe na seção 3.8.</w:t>
      </w:r>
    </w:p>
    <w:p w14:paraId="49DE0DD7" w14:textId="05CB54C6" w:rsidR="005A5FCC" w:rsidRDefault="00A21C81">
      <w:pPr>
        <w:ind w:firstLine="238"/>
      </w:pPr>
      <w:r>
        <w:rPr>
          <w:rFonts w:cs="EB Garamond"/>
          <w:kern w:val="16"/>
          <w14:ligatures w14:val="standardContextual"/>
        </w:rPr>
        <w:t xml:space="preserve">A nomenclatura dos benefícios por incapacidade foi alterada após a EC 103/2019. O INSS passou a adotar as denominações "aposentadoria por incapacidade permanente" e "auxílio por incapacidade temporária", decorrentes da nova redação do art. 201, I, da Constituição. </w:t>
      </w:r>
      <w:r w:rsidR="005140C3">
        <w:rPr>
          <w:rFonts w:cs="EB Garamond"/>
          <w:kern w:val="16"/>
          <w14:ligatures w14:val="standardContextual"/>
        </w:rPr>
        <w:t>A</w:t>
      </w:r>
      <w:r>
        <w:rPr>
          <w:rFonts w:cs="EB Garamond"/>
          <w:kern w:val="16"/>
          <w14:ligatures w14:val="standardContextual"/>
        </w:rPr>
        <w:t xml:space="preserve"> legislação ordinária ainda não incorporou formalmente a nova nomenclatura, embora o Decreto 10.410/2020 já a tenha adotado no Regulamento da Previdência Social.</w:t>
      </w:r>
    </w:p>
    <w:p w14:paraId="66C5D821" w14:textId="77777777" w:rsidR="005A5FCC" w:rsidRDefault="00A21C81">
      <w:pPr>
        <w:spacing w:before="260" w:after="80" w:line="240" w:lineRule="auto"/>
        <w:jc w:val="left"/>
      </w:pPr>
      <w:r>
        <w:rPr>
          <w:rFonts w:cs="EB Garamond"/>
          <w:b/>
          <w:color w:val="3A3128"/>
          <w:kern w:val="16"/>
          <w:sz w:val="25"/>
          <w14:ligatures w14:val="standardContextual"/>
        </w:rPr>
        <w:t>3.2.2 Aposentadorias programadas: 180 contribuições mensais</w:t>
      </w:r>
    </w:p>
    <w:p w14:paraId="4F0160D3"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02EC5BA4" w14:textId="77777777" w:rsidR="005A5FCC" w:rsidRDefault="00A21C81">
      <w:r>
        <w:rPr>
          <w:rFonts w:cs="EB Garamond"/>
          <w:kern w:val="16"/>
          <w14:ligatures w14:val="standardContextual"/>
        </w:rPr>
        <w:t>s aposentadorias por idade, por tempo de contribuição e especial demandam 180 contribuições mensais (art. 25, inciso II). Trata-se do período de carência mais extenso do sistema, coerente com a natureza programada desses benefícios: o segurado pode planejar antecipadamente o cumprimento dos requisitos. A exigência de 180 contribuições aplica-se também à aposentadoria programada instituída pela EC 103/2019 — que substituiu as antigas aposentadorias por idade e por tempo de contribuição para os segurados ingressos no RGPS após 13 de novembro de 2019 —, sem que isso represente inovação infralegal: a base normativa do requisito permanece sendo o art. 25, II, da Lei 8.213/91, tendo o Decreto 10.410/2020 apenas explicitado, no Regulamento, a aplicação dessa carência ao novo desenho da aposentadoria programada.</w:t>
      </w:r>
    </w:p>
    <w:p w14:paraId="40846604" w14:textId="77777777" w:rsidR="005A5FCC" w:rsidRDefault="00A21C81">
      <w:pPr>
        <w:ind w:firstLine="238"/>
      </w:pPr>
      <w:r>
        <w:rPr>
          <w:rFonts w:cs="EB Garamond"/>
          <w:kern w:val="16"/>
          <w14:ligatures w14:val="standardContextual"/>
        </w:rPr>
        <w:t xml:space="preserve">A tabela de transição prevista no art. 142 da Lei 8.213/91 ainda pode ser relevante para situações pretéritas. Esse dispositivo estabelecia carência progressiva </w:t>
      </w:r>
      <w:r>
        <w:rPr>
          <w:rFonts w:cs="EB Garamond"/>
          <w:kern w:val="16"/>
          <w14:ligatures w14:val="standardContextual"/>
        </w:rPr>
        <w:lastRenderedPageBreak/>
        <w:t>para segurados inscritos no RGPS até 24 de julho de 1991 (data de publicação da Lei 8.213/91), partindo de 60 contribuições mensais em 1991 e alcançando 180 contribuições a partir de 2011. A tabela foi integralmente cumprida e deixou de ter aplicação prática para novos requerimentos, mas permanece relevante para análise de direito adquirido em ações envolvendo segurados que preencheram requisitos antes de 2011.</w:t>
      </w:r>
    </w:p>
    <w:p w14:paraId="324A6D37" w14:textId="77777777" w:rsidR="005A5FCC" w:rsidRDefault="00A21C81">
      <w:pPr>
        <w:spacing w:before="260" w:after="80" w:line="240" w:lineRule="auto"/>
        <w:jc w:val="left"/>
      </w:pPr>
      <w:r>
        <w:rPr>
          <w:rFonts w:cs="EB Garamond"/>
          <w:b/>
          <w:color w:val="3A3128"/>
          <w:kern w:val="16"/>
          <w:sz w:val="25"/>
          <w14:ligatures w14:val="standardContextual"/>
        </w:rPr>
        <w:t>3.2.3 Auxílio-reclusão e salário-maternidade</w:t>
      </w:r>
    </w:p>
    <w:p w14:paraId="6C4CA594"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53790D5C" w14:textId="77777777" w:rsidR="005A5FCC" w:rsidRDefault="00A21C81">
      <w:r>
        <w:rPr>
          <w:rFonts w:cs="EB Garamond"/>
          <w:kern w:val="16"/>
          <w14:ligatures w14:val="standardContextual"/>
        </w:rPr>
        <w:t xml:space="preserve"> salário-maternidade das seguradas contribuinte individual, especial e facultativa exigia 10 contribuições mensais (art. 25, inciso III) — exigência hoje superada, pois o dispositivo foi declarado inconstitucional pelo STF nas ADIs 2.110 e 2.111, de modo que a prestação não está mais sujeita a carência para nenhuma categoria de segurada (v. Seção 3.3.5). O auxílio-reclusão, por sua vez, passou a exigir 24 contribuições mensais (art. 25, inciso IV), exigência introduzida pela Medida Provisória n. 871/2019, a partir de 18 de janeiro de 2019, e posteriormente confirmada pela Lei n. 13.846, de 18 de junho de 2019.</w:t>
      </w:r>
    </w:p>
    <w:p w14:paraId="66026028" w14:textId="77777777" w:rsidR="005A5FCC" w:rsidRDefault="00A21C81">
      <w:pPr>
        <w:ind w:firstLine="238"/>
      </w:pPr>
      <w:r>
        <w:rPr>
          <w:rFonts w:cs="EB Garamond"/>
          <w:kern w:val="16"/>
          <w14:ligatures w14:val="standardContextual"/>
        </w:rPr>
        <w:t>A alteração promovida pela Lei 13.846/2019 em relação ao auxílio-reclusão é significativa. Até a vigência da Medida Provisória n. 871/2019 (18/01/2019), o auxílio-reclusão dispensava carência, figurando no rol do art. 26, inciso I, da Lei 8.213/91. A partir dessa data, a prestação passou a exigir 24 contribuições mensais (art. 25, IV), a mais elevada carência entre os benefícios que não são aposentadoria — circunstância que Porto (2024) também sublinha ao registrar a retirada do benefício do rol do art. 26, I. A modificação, cumulada à exigência de baixa renda que a EC 103/2019 posteriormente constitucionalizou, restringiu substancialmente o acesso de dependentes de segurados recolhidos à prisão. Daí a importância prática do regime temporal: requerimentos cujo fato gerador (recolhimento à prisão) seja anterior a 18 de janeiro de 2019 seguem o regime antigo, sem carência, enquanto os posteriores submetem-se às 24 contribuições.</w:t>
      </w:r>
    </w:p>
    <w:p w14:paraId="042FC14A" w14:textId="77777777" w:rsidR="005A5FCC" w:rsidRDefault="00A21C81">
      <w:pPr>
        <w:spacing w:before="260" w:after="80" w:line="240" w:lineRule="auto"/>
        <w:jc w:val="left"/>
      </w:pPr>
      <w:r>
        <w:rPr>
          <w:rFonts w:cs="EB Garamond"/>
          <w:b/>
          <w:color w:val="3A3128"/>
          <w:kern w:val="16"/>
          <w:sz w:val="25"/>
          <w14:ligatures w14:val="standardContextual"/>
        </w:rPr>
        <w:t>3.2.4 Impactos da EC 103/2019 nos prazos de carência</w:t>
      </w:r>
    </w:p>
    <w:p w14:paraId="3716F6CB"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0706AB75" w14:textId="77777777" w:rsidR="005A5FCC" w:rsidRDefault="00A21C81">
      <w:r>
        <w:rPr>
          <w:rFonts w:cs="EB Garamond"/>
          <w:kern w:val="16"/>
          <w14:ligatures w14:val="standardContextual"/>
        </w:rPr>
        <w:t xml:space="preserve"> EC 103/2019, embora tenha promovido profunda reforma no sistema previdenciário, não alterou diretamente os períodos de carência previstos </w:t>
      </w:r>
      <w:r>
        <w:rPr>
          <w:rFonts w:cs="EB Garamond"/>
          <w:kern w:val="16"/>
          <w14:ligatures w14:val="standardContextual"/>
        </w:rPr>
        <w:lastRenderedPageBreak/>
        <w:t>na Lei 8.213/91. A emenda, contudo, introduziu a exigência de tempo mínimo de contribuição de 20 anos para homens e 15 anos para mulheres nas novas regras de aposentadoria (art. 201, § 7º, I, da Constituição), o que representa, na prática, requisito superior à carência legal de 180 meses para os segurados do sexo masculino que ingressarem no RGPS após a reforma.</w:t>
      </w:r>
    </w:p>
    <w:p w14:paraId="25EC5596" w14:textId="1B3DC7B2" w:rsidR="005A5FCC" w:rsidRDefault="005140C3">
      <w:pPr>
        <w:ind w:firstLine="238"/>
      </w:pPr>
      <w:r>
        <w:rPr>
          <w:rFonts w:cs="EB Garamond"/>
          <w:kern w:val="16"/>
          <w14:ligatures w14:val="standardContextual"/>
        </w:rPr>
        <w:t>A</w:t>
      </w:r>
      <w:r w:rsidR="00A21C81">
        <w:rPr>
          <w:rFonts w:cs="EB Garamond"/>
          <w:kern w:val="16"/>
          <w14:ligatures w14:val="standardContextual"/>
        </w:rPr>
        <w:t xml:space="preserve"> EC 103/2019, ao dar nova redação ao art. 201, § 7º, I, da Constituição, fixou tempo mínimo de contribuição de 15 anos para a mulher e 20 anos para o homem na aposentadoria programada, requisito detalhado nos arts. 15 e 18 da própria emenda. Na atuação forense, opera-se verdadeira equiparação entre carência e tempo mínimo de contribuição, superando a distinção que anteriormente existia entre os dois institutos para as aposentadorias programadas. A PEC 133/2019, conhecida como PEC paralela, propôs a redução do tempo mínimo do homem para 15 anos, mas até o presente momento não foi aprovada.</w:t>
      </w:r>
    </w:p>
    <w:tbl>
      <w:tblPr>
        <w:tblW w:w="5000" w:type="pct"/>
        <w:jc w:val="center"/>
        <w:tblLayout w:type="fixed"/>
        <w:tblLook w:val="04A0" w:firstRow="1" w:lastRow="0" w:firstColumn="1" w:lastColumn="0" w:noHBand="0" w:noVBand="1"/>
      </w:tblPr>
      <w:tblGrid>
        <w:gridCol w:w="6311"/>
      </w:tblGrid>
      <w:tr w:rsidR="005A5FCC" w14:paraId="0E498BFB"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769C2A2A" w14:textId="77777777" w:rsidR="005A5FCC" w:rsidRDefault="00A21C81">
            <w:pPr>
              <w:spacing w:after="60" w:line="240" w:lineRule="auto"/>
              <w:jc w:val="left"/>
            </w:pPr>
            <w:r>
              <w:rPr>
                <w:rFonts w:ascii="Noto Sans" w:hAnsi="Noto Sans" w:cs="Noto Sans"/>
                <w:b/>
                <w:caps/>
                <w:color w:val="4D6F8A"/>
                <w:kern w:val="16"/>
                <w:sz w:val="16"/>
                <w14:ligatures w14:val="standardContextual"/>
              </w:rPr>
              <w:t>JURISPRUDÊNCIA EM DESTAQUE</w:t>
            </w:r>
          </w:p>
          <w:p w14:paraId="600A82D2" w14:textId="77777777" w:rsidR="005A5FCC" w:rsidRDefault="00A21C81">
            <w:pPr>
              <w:spacing w:after="60" w:line="247" w:lineRule="auto"/>
            </w:pPr>
            <w:r>
              <w:rPr>
                <w:rFonts w:cs="EB Garamond"/>
                <w:kern w:val="16"/>
                <w:sz w:val="19"/>
                <w14:ligatures w14:val="standardContextual"/>
              </w:rPr>
              <w:t>No julgamento conjunto das ADIs 2.110 e 2.111, o Supremo Tribunal Federal declarou inconstitucional a exigência de carência de 10 contribuições mensais prevista no inciso III do art. 25 da Lei 8.213/91 para o salário-maternidade das seguradas contribuinte individual, especial e facultativa, com efeitos retroativos à data de publicação da Lei n. 9.876/1999 (29/11/1999), que havia inserido o inciso. O exame dos fundamentos dessa decisão — em especial a violação à isonomia — e de seus desdobramentos práticos é desenvolvido na seção 3.3.5, à qual remetemos.</w:t>
            </w:r>
          </w:p>
        </w:tc>
      </w:tr>
    </w:tbl>
    <w:p w14:paraId="368BDFEB" w14:textId="77777777" w:rsidR="005A5FCC" w:rsidRDefault="005A5FCC">
      <w:pPr>
        <w:spacing w:after="80" w:line="240" w:lineRule="auto"/>
      </w:pPr>
    </w:p>
    <w:p w14:paraId="2F1A1C01"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3.3 Dispensa de carência</w:t>
      </w:r>
    </w:p>
    <w:p w14:paraId="17B11FD8"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011F4DE8" w14:textId="77777777" w:rsidR="005A5FCC" w:rsidRDefault="00A21C81">
      <w:r>
        <w:rPr>
          <w:rFonts w:cs="EB Garamond"/>
          <w:kern w:val="16"/>
          <w14:ligatures w14:val="standardContextual"/>
        </w:rPr>
        <w:t xml:space="preserve"> art. 26 da Lei 8.213/91 enumera as prestações cuja concessão independe de carência. A norma contempla duas categorias de hipóteses: benefícios intrinsecamente dispensados (pensão por morte, salário-família, auxílio-acidente, serviço social e reabilitação profissional) e benefícios condicionalmente dispensados, nos quais a isenção depende da natureza do evento causador. A compreensão detalhada dessas hipóteses é essencial para a prática nos JEFs, pois a </w:t>
      </w:r>
      <w:r>
        <w:rPr>
          <w:rFonts w:cs="EB Garamond"/>
          <w:kern w:val="16"/>
          <w14:ligatures w14:val="standardContextual"/>
        </w:rPr>
        <w:lastRenderedPageBreak/>
        <w:t>dispensa de carência frequentemente constitui o fundamento central do pedido inicial em ações previdenciárias.</w:t>
      </w:r>
    </w:p>
    <w:p w14:paraId="28FC65BF" w14:textId="77777777" w:rsidR="005A5FCC" w:rsidRDefault="00A21C81">
      <w:pPr>
        <w:spacing w:before="260" w:after="80" w:line="240" w:lineRule="auto"/>
        <w:jc w:val="left"/>
      </w:pPr>
      <w:r>
        <w:rPr>
          <w:rFonts w:cs="EB Garamond"/>
          <w:b/>
          <w:color w:val="3A3128"/>
          <w:kern w:val="16"/>
          <w:sz w:val="25"/>
          <w14:ligatures w14:val="standardContextual"/>
        </w:rPr>
        <w:t>3.3.1 Benefícios intrinsecamente dispensados</w:t>
      </w:r>
    </w:p>
    <w:p w14:paraId="75D80728"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7B978CC4" w14:textId="77777777" w:rsidR="005A5FCC" w:rsidRDefault="00A21C81">
      <w:r>
        <w:rPr>
          <w:rFonts w:cs="EB Garamond"/>
          <w:kern w:val="16"/>
          <w14:ligatures w14:val="standardContextual"/>
        </w:rPr>
        <w:t xml:space="preserve"> primeiro grupo de benefícios dispensados de carência abrange aqueles cuja natureza é incompatível com a exigência de período contributivo prévio. A pensão por morte, o salário-família e o auxílio-acidente independem de carência por expressa disposição do art. 26, I, da Lei 8.213/91. O serviço social e a reabilitação profissional, que são serviços (e não benefícios em sentido estrito), também figuram no rol de prestações dispensadas (art. 26, V).</w:t>
      </w:r>
    </w:p>
    <w:p w14:paraId="00002DC6" w14:textId="3B819D1E" w:rsidR="005A5FCC" w:rsidRDefault="005140C3">
      <w:pPr>
        <w:ind w:firstLine="238"/>
      </w:pPr>
      <w:r w:rsidRPr="005140C3">
        <w:rPr>
          <w:rFonts w:cs="EB Garamond"/>
          <w:kern w:val="16"/>
          <w14:ligatures w14:val="standardContextual"/>
        </w:rPr>
        <w:t>Essas hipóteses possuem natureza distinta</w:t>
      </w:r>
      <w:r w:rsidR="00A21C81">
        <w:rPr>
          <w:rFonts w:cs="EB Garamond"/>
          <w:kern w:val="16"/>
          <w14:ligatures w14:val="standardContextual"/>
        </w:rPr>
        <w:t>: a pensão por morte, o salário-família e o auxílio-acidente são benefícios em espécie, destinados a cobrir eventos cuja ocorrência independe de qualquer previsibilidade; já o serviço social e a reabilitação profissional são serviços que integram o plano de prestações do RGPS e cuja finalidade seria frustrada pela imposição de carência.</w:t>
      </w:r>
    </w:p>
    <w:p w14:paraId="21E8AE11" w14:textId="7C19D1C6" w:rsidR="005A5FCC" w:rsidRDefault="00A21C81">
      <w:pPr>
        <w:ind w:firstLine="238"/>
      </w:pPr>
      <w:r>
        <w:rPr>
          <w:rFonts w:cs="EB Garamond"/>
          <w:kern w:val="16"/>
          <w14:ligatures w14:val="standardContextual"/>
        </w:rPr>
        <w:t xml:space="preserve">O segurado especial possui regra própria: a carência é substituída pela exigência de comprovação do exercício de atividade rural pelo período equivalente ao que se exige como carência dos demais segurados (art. 39, I, da Lei 8.213/91). </w:t>
      </w:r>
      <w:r w:rsidR="005140C3">
        <w:rPr>
          <w:rFonts w:cs="EB Garamond"/>
          <w:kern w:val="16"/>
          <w14:ligatures w14:val="standardContextual"/>
        </w:rPr>
        <w:t>E</w:t>
      </w:r>
      <w:r>
        <w:rPr>
          <w:rFonts w:cs="EB Garamond"/>
          <w:kern w:val="16"/>
          <w14:ligatures w14:val="standardContextual"/>
        </w:rPr>
        <w:t>mbora no linguajar forense seja comum tratar esse período de atividade rural como "carência", tecnicamente não se trata de carência propriamente dita, mas de requisito funcional equivalente.</w:t>
      </w:r>
    </w:p>
    <w:p w14:paraId="766A914C" w14:textId="77777777" w:rsidR="005A5FCC" w:rsidRDefault="00A21C81">
      <w:pPr>
        <w:ind w:firstLine="238"/>
      </w:pPr>
      <w:r>
        <w:rPr>
          <w:rFonts w:cs="EB Garamond"/>
          <w:kern w:val="16"/>
          <w14:ligatures w14:val="standardContextual"/>
        </w:rPr>
        <w:t>A regra projeta-se também para a aposentadoria por idade do trabalhador rural: o art. 48, § 2º, da Lei 8.213/91 admite a concessão do benefício mediante comprovação do exercício de atividade rural, ainda que de forma descontínua, no período imediatamente anterior ao requerimento, por tempo igual ao número de meses correspondente à carência exigida. Em vez de contribuições, o que se exige do segurado especial é a prova do labor campesino. Esse ponto tem peso desproporcional nos JEFs, onde as ações rurais são numerosas e a controvérsia raramente recai sobre o direito em tese, e quase sempre sobre a prova.</w:t>
      </w:r>
    </w:p>
    <w:p w14:paraId="71551767" w14:textId="77777777" w:rsidR="005A5FCC" w:rsidRDefault="00A21C81">
      <w:pPr>
        <w:ind w:firstLine="238"/>
      </w:pPr>
      <w:r>
        <w:rPr>
          <w:rFonts w:cs="EB Garamond"/>
          <w:kern w:val="16"/>
          <w14:ligatures w14:val="standardContextual"/>
        </w:rPr>
        <w:t xml:space="preserve">Vale converter a regra em números, espelhando os exemplos das demais categorias. Para a aposentadoria por idade rural, em que a carência legal corresponde a 180 contribuições, exige-se do segurado especial a comprovação de 180 meses </w:t>
      </w:r>
      <w:r>
        <w:rPr>
          <w:rFonts w:cs="EB Garamond"/>
          <w:kern w:val="16"/>
          <w14:ligatures w14:val="standardContextual"/>
        </w:rPr>
        <w:lastRenderedPageBreak/>
        <w:t>de exercício de atividade rural — equivalentes a 15 anos —, ainda que de forma descontínua. Suponha-se um segurado especial que requeira o benefício em março de 2026: a aferição recai sobre o período imediatamente anterior ao requerimento, no qual o lavrador deverá demonstrar, somando trechos eventualmente intercalados, os 180 meses de labor campesino. Diferentemente do contribuinte individual, não há aqui marco de "primeira contribuição tempestiva" nem recolhimentos a conferir; o que se conta são meses de atividade rural comprovada por início de prova material idôneo, na forma examinada a seguir. Assim, dois lavradores com idêntica idade podem ostentar situações distintas conforme a robustez da prova de seus 180 meses, e não conforme o histórico de recolhimentos.</w:t>
      </w:r>
    </w:p>
    <w:p w14:paraId="686FC1ED" w14:textId="77777777" w:rsidR="005A5FCC" w:rsidRDefault="00A21C81">
      <w:pPr>
        <w:ind w:firstLine="238"/>
      </w:pPr>
      <w:r>
        <w:rPr>
          <w:rFonts w:cs="EB Garamond"/>
          <w:kern w:val="16"/>
          <w14:ligatures w14:val="standardContextual"/>
        </w:rPr>
        <w:t>A comprovação observa o regime do art. 55, § 3º, da Lei 8.213/91, que veda a prova exclusivamente testemunhal: exige-se início de prova material contemporâneo aos fatos, corroborado por prova testemunhal idônea. A autodeclaração do segurado especial, hoje colhida pelo INSS e cotejada com bases governamentais (art. 38-B da Lei 8.213/91), e os registros do CNIS rural funcionam como elementos de partida, mas não dispensam o início de prova material quando impugnados. Vale registrar, porém, que a Súmula 577 do STJ admite o reconhecimento de tempo de serviço rural anterior ao documento mais antigo apresentado, desde que amparado por convincente prova testemunhal colhida sob o contraditório — diretriz que flexibiliza a contemporaneidade estrita da prova material. A matéria — meios de prova admitidos, valor da autodeclaração e eficácia probatória de cada documento — é tratada de modo próprio no capítulo dedicado à comprovação da atividade rural, ao qual remetemos para o aprofundamento devido.</w:t>
      </w:r>
    </w:p>
    <w:p w14:paraId="226F9683" w14:textId="77777777" w:rsidR="005A5FCC" w:rsidRDefault="00A21C81">
      <w:pPr>
        <w:spacing w:before="260" w:after="80" w:line="240" w:lineRule="auto"/>
        <w:jc w:val="left"/>
      </w:pPr>
      <w:r>
        <w:rPr>
          <w:rFonts w:cs="EB Garamond"/>
          <w:b/>
          <w:color w:val="3A3128"/>
          <w:kern w:val="16"/>
          <w:sz w:val="25"/>
          <w14:ligatures w14:val="standardContextual"/>
        </w:rPr>
        <w:t>3.3.2 Dispensa por acidente de qualquer natureza</w:t>
      </w:r>
    </w:p>
    <w:p w14:paraId="2DEDEB45"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1B677B14" w14:textId="77777777" w:rsidR="005A5FCC" w:rsidRDefault="00A21C81">
      <w:r>
        <w:rPr>
          <w:rFonts w:cs="EB Garamond"/>
          <w:kern w:val="16"/>
          <w14:ligatures w14:val="standardContextual"/>
        </w:rPr>
        <w:t xml:space="preserve"> inciso II do art. 26 é o que mais comparece na rotina dos JEFs. Dispensa ele a carência para auxílio por incapacidade temporária e aposentadoria por incapacidade permanente nos casos de "acidente de qualquer natureza ou causa" e de "doença profissional ou do trabalho", bem como quando o segurado, após filiar-se ao RGPS, for acometido de doença grave constante de lista elaborada pelos Ministérios da Saúde e da Previdência Social. A doutrina é convergente na interpretação de que a expressão "acidente de qualquer natureza" abrange </w:t>
      </w:r>
      <w:r>
        <w:rPr>
          <w:rFonts w:cs="EB Garamond"/>
          <w:kern w:val="16"/>
          <w14:ligatures w14:val="standardContextual"/>
        </w:rPr>
        <w:lastRenderedPageBreak/>
        <w:t>tanto o acidente de trabalho (art. 19 da Lei 8.213/91) quanto o acidente de qualquer outra causa, inclusive doméstico, de trânsito ou esportivo.</w:t>
      </w:r>
    </w:p>
    <w:p w14:paraId="6BE96CE7" w14:textId="77777777" w:rsidR="005A5FCC" w:rsidRDefault="00A21C81">
      <w:pPr>
        <w:ind w:firstLine="238"/>
      </w:pPr>
      <w:r>
        <w:rPr>
          <w:rFonts w:cs="EB Garamond"/>
          <w:kern w:val="16"/>
          <w14:ligatures w14:val="standardContextual"/>
        </w:rPr>
        <w:t>A amplitude da expressão legal é significativa: a lei não distingue entre acidente de trabalho e acidente comum para fins de dispensa de carência. A dispensa abrange toda e qualquer incapacidade decorrente de evento acidentário, independentemente do nexo com a atividade laboral. A distinção entre acidente de trabalho e acidente de outra natureza permanece relevante para outros fins (como a estabilidade provisória do art. 118 da Lei 8.213/91 e o cálculo diferenciado da aposentadoria por incapacidade permanente após a EC 103/2019), mas não para a carência.</w:t>
      </w:r>
    </w:p>
    <w:p w14:paraId="7503D46C" w14:textId="77777777" w:rsidR="005A5FCC" w:rsidRDefault="00A21C81">
      <w:pPr>
        <w:spacing w:before="260" w:after="80" w:line="240" w:lineRule="auto"/>
        <w:jc w:val="left"/>
      </w:pPr>
      <w:r>
        <w:rPr>
          <w:rFonts w:cs="EB Garamond"/>
          <w:b/>
          <w:color w:val="3A3128"/>
          <w:kern w:val="16"/>
          <w:sz w:val="25"/>
          <w14:ligatures w14:val="standardContextual"/>
        </w:rPr>
        <w:t>3.3.3 Doenças graves e o rol do art. 151</w:t>
      </w:r>
    </w:p>
    <w:p w14:paraId="2EF932D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29202278" w14:textId="77777777" w:rsidR="005A5FCC" w:rsidRDefault="00A21C81">
      <w:r>
        <w:rPr>
          <w:rFonts w:cs="EB Garamond"/>
          <w:kern w:val="16"/>
          <w14:ligatures w14:val="standardContextual"/>
        </w:rPr>
        <w:t xml:space="preserve"> rol de doenças graves que dispensam carência encontra-se atualmente disciplinado por duas fontes normativas complementares. O art. 151 da Lei 8.213/91 enumera, em caráter transitório, as doenças que dispensam carência até a elaboração da lista ministerial prevista no inciso II do art. 26. A Portaria Interministerial MTP/MS n. 22, de 31 de agosto de 2022, atualizou e ampliou esse rol, estabelecendo as seguintes doenças e afecções: (I) tuberculose ativa; (II) hanseníase; (III) transtorno mental grave, desde que cursando com alienação mental; (IV) neoplasia maligna; (V) cegueira; (VI) paralisia irreversível e incapacitante; (VII) cardiopatia grave; (VIII) doença de Parkinson; (IX) espondilite anquilosante; (X) nefropatia grave; (XI) estado avançado da doença de Paget (osteíte deformante); (XII) síndrome da deficiência imunológica adquirida (AIDS); (XIII) contaminação por radiação, com base em conclusão da medicina especializada; (XIV) hepatopatia grave; (XV) esclerose múltipla; (XVI) acidente vascular encefálico (agudo); e (XVII) abdome agudo cirúrgico.</w:t>
      </w:r>
    </w:p>
    <w:p w14:paraId="50D7308E" w14:textId="77777777" w:rsidR="005A5FCC" w:rsidRDefault="00A21C81">
      <w:pPr>
        <w:ind w:firstLine="238"/>
      </w:pPr>
      <w:r>
        <w:rPr>
          <w:rFonts w:cs="EB Garamond"/>
          <w:kern w:val="16"/>
          <w14:ligatures w14:val="standardContextual"/>
        </w:rPr>
        <w:t>As doenças listadas nos incisos XVI e XVII (AVE agudo e abdome agudo cirúrgico) constituem novidade da Portaria Interministerial de 2022 e serão enquadradas como isentas de carência quando apresentarem quadro de evolução aguda e atenderem a critérios de gravidade. Essas inclusões refletem a orientação do art. 26, II, da Lei 8.213/91, que exige "especificidade e gravidade que mereçam tratamento particularizado" como critério para figurar na lista.</w:t>
      </w:r>
    </w:p>
    <w:p w14:paraId="6A6EA50E" w14:textId="77777777" w:rsidR="005A5FCC" w:rsidRDefault="00A21C81">
      <w:pPr>
        <w:ind w:firstLine="238"/>
      </w:pPr>
      <w:r>
        <w:rPr>
          <w:rFonts w:cs="EB Garamond"/>
          <w:kern w:val="16"/>
          <w14:ligatures w14:val="standardContextual"/>
        </w:rPr>
        <w:lastRenderedPageBreak/>
        <w:t>A questão sobre a taxatividade desse rol foi enfrentada pela TNU no Tema 220 (j. 28/04/2021), que firmou tese em três pontos: o rol é exaustivo quanto às hipóteses de dispensa (não se admite a criação de novas categorias por analogia); a lista de doenças admite, contudo, interpretação extensiva dentro das categorias nosológicas já previstas, desde que demonstrada especificidade e gravidade equivalente (por exemplo, variantes de cardiopatia grave não nominadas expressamente); e a gravidez de alto risco, com recomendação médica de afastamento superior a 15 dias, autoriza a dispensa de carência para benefícios por incapacidade.</w:t>
      </w:r>
    </w:p>
    <w:tbl>
      <w:tblPr>
        <w:tblW w:w="5000" w:type="pct"/>
        <w:jc w:val="center"/>
        <w:tblLayout w:type="fixed"/>
        <w:tblLook w:val="04A0" w:firstRow="1" w:lastRow="0" w:firstColumn="1" w:lastColumn="0" w:noHBand="0" w:noVBand="1"/>
      </w:tblPr>
      <w:tblGrid>
        <w:gridCol w:w="6311"/>
      </w:tblGrid>
      <w:tr w:rsidR="005A5FCC" w14:paraId="24E44FDB"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31BEF263"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056593D0" w14:textId="77777777" w:rsidR="005A5FCC" w:rsidRDefault="00A21C81">
            <w:pPr>
              <w:spacing w:after="60" w:line="247" w:lineRule="auto"/>
            </w:pPr>
            <w:r>
              <w:rPr>
                <w:rFonts w:cs="EB Garamond"/>
                <w:kern w:val="16"/>
                <w:sz w:val="19"/>
                <w14:ligatures w14:val="standardContextual"/>
              </w:rPr>
              <w:t>Saber se o rol é taxativo ou comporta interpretação extensiva decide muitos casos concretos. O exame costuma seguir uma sequência simples. Primeiro, verifica-se se a doença do segurado está expressamente prevista no art. 151 ou na Portaria Interministerial MTP/MS 22/2022; em caso positivo, a dispensa é automática. Não estando listada, indaga-se se apresenta especificidade e gravidade equivalentes às doenças do rol, hipótese em que se sustenta a dispensa por interpretação extensiva, nos termos do Tema 220/TNU. Resta ainda a gravidez de alto risco com afastamento superior a 15 dias, que a TNU incluiu na cobertura da dispensa. Em qualquer dessas situações, a prova pericial é indispensável, pois é dela que dependerá a demonstração da natureza e da gravidade da enfermidade.</w:t>
            </w:r>
          </w:p>
        </w:tc>
      </w:tr>
    </w:tbl>
    <w:p w14:paraId="65D84E5C" w14:textId="77777777" w:rsidR="005A5FCC" w:rsidRDefault="005A5FCC">
      <w:pPr>
        <w:spacing w:after="80" w:line="240" w:lineRule="auto"/>
      </w:pPr>
    </w:p>
    <w:p w14:paraId="36431C67" w14:textId="77777777" w:rsidR="005A5FCC" w:rsidRDefault="00A21C81">
      <w:pPr>
        <w:spacing w:before="260" w:after="80" w:line="240" w:lineRule="auto"/>
        <w:jc w:val="left"/>
      </w:pPr>
      <w:r>
        <w:rPr>
          <w:rFonts w:cs="EB Garamond"/>
          <w:b/>
          <w:color w:val="3A3128"/>
          <w:kern w:val="16"/>
          <w:sz w:val="25"/>
          <w14:ligatures w14:val="standardContextual"/>
        </w:rPr>
        <w:t>3.3.4 Doença preexistente e a distinção DID/DII</w:t>
      </w:r>
    </w:p>
    <w:tbl>
      <w:tblPr>
        <w:tblW w:w="5000" w:type="pct"/>
        <w:jc w:val="center"/>
        <w:tblLayout w:type="fixed"/>
        <w:tblLook w:val="04A0" w:firstRow="1" w:lastRow="0" w:firstColumn="1" w:lastColumn="0" w:noHBand="0" w:noVBand="1"/>
      </w:tblPr>
      <w:tblGrid>
        <w:gridCol w:w="6311"/>
      </w:tblGrid>
      <w:tr w:rsidR="005A5FCC" w14:paraId="59406101"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47A5745C"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316DB834" w14:textId="77777777" w:rsidR="005A5FCC" w:rsidRDefault="00A21C81">
            <w:pPr>
              <w:spacing w:after="60" w:line="247" w:lineRule="auto"/>
            </w:pPr>
            <w:r>
              <w:rPr>
                <w:rFonts w:cs="EB Garamond"/>
                <w:kern w:val="16"/>
                <w:sz w:val="19"/>
                <w14:ligatures w14:val="standardContextual"/>
              </w:rPr>
              <w:t>A questão da doença preexistente à filiação exige atenção redobrada. O art. 26, II, pressupõe que a doença tenha se manifestado após a filiação ao RGPS. Quando o segurado reingressa no sistema já portador de enfermidade, não faz jus à dispensa de carência. A jurisprudência, contudo, consolidou distinção fundamental entre a data de início da doença (DID) e a data de início da incapacidade (DII): o dado juridicamente relevante não é quando surgiu a doença, mas quando se instalou a incapacidade laboral. O art. 42, § 2º, da Lei 8.213/91 permite expressamente o benefício quando a incapacidade sobrevém por motivo de progressão ou agravamento de doença preexistente. Savaris (2023) enfatiza que o juiz, nesses casos, deve determinar prova pericial ampla para verificar se houve progressão posterior à filiação.</w:t>
            </w:r>
          </w:p>
        </w:tc>
      </w:tr>
    </w:tbl>
    <w:p w14:paraId="15D65375" w14:textId="77777777" w:rsidR="005A5FCC" w:rsidRDefault="005A5FCC">
      <w:pPr>
        <w:spacing w:after="80" w:line="240" w:lineRule="auto"/>
      </w:pPr>
    </w:p>
    <w:p w14:paraId="5A4C7F2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P</w:t>
      </w:r>
    </w:p>
    <w:p w14:paraId="43B6D83B" w14:textId="77777777" w:rsidR="005A5FCC" w:rsidRDefault="00A21C81">
      <w:r>
        <w:rPr>
          <w:rFonts w:cs="EB Garamond"/>
          <w:kern w:val="16"/>
          <w14:ligatures w14:val="standardContextual"/>
        </w:rPr>
        <w:t>orto (2024) formula a regra com precisão: caso o segurado já fosse portador da doença antes da filiação, não cabe dispensa de carência em qualquer hipótese. Contudo, se a incapacidade sobrevier por motivo de progressão ou agravamento da doença ou lesão preexistente, a concessão do benefício será admitida desde que cumprida a carência exigida. Trata-se de leitura conjugada do art. 26, II, com o art. 42, § 2º, e o art. 59, § 1º, da Lei 8.213/91.</w:t>
      </w:r>
    </w:p>
    <w:p w14:paraId="589219D6" w14:textId="53148FC8" w:rsidR="005A5FCC" w:rsidRDefault="00776FD2">
      <w:pPr>
        <w:ind w:firstLine="238"/>
      </w:pPr>
      <w:r>
        <w:rPr>
          <w:rFonts w:cs="EB Garamond"/>
          <w:kern w:val="16"/>
          <w14:ligatures w14:val="standardContextual"/>
        </w:rPr>
        <w:t>A</w:t>
      </w:r>
      <w:r w:rsidR="00A21C81">
        <w:rPr>
          <w:rFonts w:cs="EB Garamond"/>
          <w:kern w:val="16"/>
          <w14:ligatures w14:val="standardContextual"/>
        </w:rPr>
        <w:t xml:space="preserve"> jurisprudência dominante firmou-se no sentido de que a contingência se configura com a existência da incapacidade total e permanente (ou temporária), e não com a mera existência da doença. Nesse sentido, a Súmula 53 da TNU dispõe que "Não há direito a auxílio-doença (atual auxílio por incapacidade temporária) ou a aposentadoria por invalidez (atual aposentadoria por incapacidade permanente) quando a incapacidade para o trabalho é preexistente ao reingresso do segurado no Regime Geral de Previdência Social". A distinção entre doença preexistente (que não impede o benefício) e incapacidade preexistente (que impede) é determinante na análise dos casos concretos nos JEFs.</w:t>
      </w:r>
    </w:p>
    <w:p w14:paraId="77F60EBD" w14:textId="77777777" w:rsidR="005A5FCC" w:rsidRDefault="00A21C81">
      <w:pPr>
        <w:ind w:firstLine="238"/>
      </w:pPr>
      <w:r>
        <w:rPr>
          <w:rFonts w:cs="EB Garamond"/>
          <w:kern w:val="16"/>
          <w14:ligatures w14:val="standardContextual"/>
        </w:rPr>
        <w:t>Situação particular envolve os portadores do vírus HIV. A Súmula 78 da TNU orienta que, comprovada a condição de portador do vírus HIV, cabe ao julgador analisar a incapacidade em sentido amplo, levando em conta as condições pessoais e socioeconômicas do segurado e a elevada estigmatização social associada à doença. Por trás dessa diretriz há uma divisão jurisprudencial bem mapeada na doutrina: entre exigir a manifestação de doenças oportunistas (incapacidade clínica) e reconhecer a incapacidade pela simples contaminação (incapacidade social), o estigma e o preconceito frequentemente transformam portadores do HIV em incapazes do ponto de vista socioprofissional, ainda que clinicamente aptos ao trabalho.</w:t>
      </w:r>
    </w:p>
    <w:p w14:paraId="35A06D5C" w14:textId="77777777" w:rsidR="005A5FCC" w:rsidRDefault="00A21C81">
      <w:pPr>
        <w:spacing w:before="260" w:after="80" w:line="240" w:lineRule="auto"/>
        <w:jc w:val="left"/>
      </w:pPr>
      <w:r>
        <w:rPr>
          <w:rFonts w:cs="EB Garamond"/>
          <w:b/>
          <w:color w:val="3A3128"/>
          <w:kern w:val="16"/>
          <w:sz w:val="25"/>
          <w14:ligatures w14:val="standardContextual"/>
        </w:rPr>
        <w:t>3.3.5 Salário-maternidade: inconstitucionalidade da carência</w:t>
      </w:r>
    </w:p>
    <w:p w14:paraId="66903045"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4498BCB4" w14:textId="77777777" w:rsidR="005A5FCC" w:rsidRDefault="00A21C81">
      <w:r>
        <w:rPr>
          <w:rFonts w:cs="EB Garamond"/>
          <w:kern w:val="16"/>
          <w14:ligatures w14:val="standardContextual"/>
        </w:rPr>
        <w:t xml:space="preserve"> salário-maternidade das seguradas empregada, trabalhadora avulsa e empregada doméstica é dispensado de carência pelo inciso VI do art. 26. Após a declaração de inconstitucionalidade do inciso III do art. 25 pelo STF nas ADIs 2.110 e 2.111, com efeitos retroativos à data de publicação da Lei n. </w:t>
      </w:r>
      <w:r>
        <w:rPr>
          <w:rFonts w:cs="EB Garamond"/>
          <w:kern w:val="16"/>
          <w14:ligatures w14:val="standardContextual"/>
        </w:rPr>
        <w:lastRenderedPageBreak/>
        <w:t>9.876/1999 (29/11/1999), o salário-maternidade de todas as categorias de seguradas passou a independer de carência, resultado que a doutrina já defendia com fundamento na isonomia constitucional.</w:t>
      </w:r>
    </w:p>
    <w:p w14:paraId="328C25F9" w14:textId="77777777" w:rsidR="005A5FCC" w:rsidRDefault="00A21C81">
      <w:pPr>
        <w:ind w:firstLine="238"/>
      </w:pPr>
      <w:r>
        <w:rPr>
          <w:rFonts w:cs="EB Garamond"/>
          <w:kern w:val="16"/>
          <w14:ligatures w14:val="standardContextual"/>
        </w:rPr>
        <w:t>Convém deter-nos sobre os fundamentos dessa decisão do STF, que este capítulo concentra neste ponto. O fundamento central foi a violação ao princípio da isonomia (art. 5º, caput, da Constituição Federal): a exigência de carência de 10 contribuições mensais recaía exclusivamente sobre seguradas contribuinte individual, especial e facultativa, enquanto empregadas, domésticas e avulsas eram integralmente dispensadas. Não havia justificativa razoável para essa distinção, que penalizava precisamente as categorias com menor proteção laboral. A retroatividade dos efeitos à data de publicação da Lei n. 9.876/1999 (29/11/1999), diploma que inserira o inciso III, significa que ações envolvendo salário-maternidade negado por falta de carência ao longo de todo o período de vigência do dispositivo podem ser revisitadas, o que representa significativo impacto para ações em tramitação nos JEFs.</w:t>
      </w:r>
    </w:p>
    <w:p w14:paraId="4599A077" w14:textId="71D5598B" w:rsidR="005A5FCC" w:rsidRDefault="00A21C81">
      <w:pPr>
        <w:ind w:firstLine="238"/>
      </w:pPr>
      <w:r>
        <w:rPr>
          <w:rFonts w:cs="EB Garamond"/>
          <w:kern w:val="16"/>
          <w14:ligatures w14:val="standardContextual"/>
        </w:rPr>
        <w:t xml:space="preserve">Importa fixar a conclusão sem margem para dúvida: depois da inconstitucionalidade do art. 25, III, nenhuma categoria de segurada está sujeita à carência para o salário-maternidade. A prestação independe de carência tanto para </w:t>
      </w:r>
      <w:r w:rsidR="00776FD2">
        <w:rPr>
          <w:rFonts w:cs="EB Garamond"/>
          <w:kern w:val="16"/>
          <w14:ligatures w14:val="standardContextual"/>
        </w:rPr>
        <w:t xml:space="preserve">a </w:t>
      </w:r>
      <w:r>
        <w:rPr>
          <w:rFonts w:cs="EB Garamond"/>
          <w:kern w:val="16"/>
          <w14:ligatures w14:val="standardContextual"/>
        </w:rPr>
        <w:t xml:space="preserve">empregada, </w:t>
      </w:r>
      <w:r w:rsidR="00776FD2">
        <w:rPr>
          <w:rFonts w:cs="EB Garamond"/>
          <w:kern w:val="16"/>
          <w14:ligatures w14:val="standardContextual"/>
        </w:rPr>
        <w:t xml:space="preserve">a trabalhadora </w:t>
      </w:r>
      <w:r>
        <w:rPr>
          <w:rFonts w:cs="EB Garamond"/>
          <w:kern w:val="16"/>
          <w14:ligatures w14:val="standardContextual"/>
        </w:rPr>
        <w:t xml:space="preserve">avulsa e </w:t>
      </w:r>
      <w:r w:rsidR="00776FD2">
        <w:rPr>
          <w:rFonts w:cs="EB Garamond"/>
          <w:kern w:val="16"/>
          <w14:ligatures w14:val="standardContextual"/>
        </w:rPr>
        <w:t xml:space="preserve">a empregada </w:t>
      </w:r>
      <w:r>
        <w:rPr>
          <w:rFonts w:cs="EB Garamond"/>
          <w:kern w:val="16"/>
          <w14:ligatures w14:val="standardContextual"/>
        </w:rPr>
        <w:t>doméstica (que já a dispensavam pelo art. 26, VI) quanto para</w:t>
      </w:r>
      <w:r w:rsidR="00776FD2">
        <w:rPr>
          <w:rFonts w:cs="EB Garamond"/>
          <w:kern w:val="16"/>
          <w14:ligatures w14:val="standardContextual"/>
        </w:rPr>
        <w:t xml:space="preserve"> a</w:t>
      </w:r>
      <w:r>
        <w:rPr>
          <w:rFonts w:cs="EB Garamond"/>
          <w:kern w:val="16"/>
          <w14:ligatures w14:val="standardContextual"/>
        </w:rPr>
        <w:t xml:space="preserve"> contribuinte individual, </w:t>
      </w:r>
      <w:r w:rsidR="00776FD2">
        <w:rPr>
          <w:rFonts w:cs="EB Garamond"/>
          <w:kern w:val="16"/>
          <w14:ligatures w14:val="standardContextual"/>
        </w:rPr>
        <w:t xml:space="preserve">a </w:t>
      </w:r>
      <w:r>
        <w:rPr>
          <w:rFonts w:cs="EB Garamond"/>
          <w:kern w:val="16"/>
          <w14:ligatures w14:val="standardContextual"/>
        </w:rPr>
        <w:t xml:space="preserve">facultativa e </w:t>
      </w:r>
      <w:r w:rsidR="00776FD2">
        <w:rPr>
          <w:rFonts w:cs="EB Garamond"/>
          <w:kern w:val="16"/>
          <w14:ligatures w14:val="standardContextual"/>
        </w:rPr>
        <w:t xml:space="preserve">a </w:t>
      </w:r>
      <w:r>
        <w:rPr>
          <w:rFonts w:cs="EB Garamond"/>
          <w:kern w:val="16"/>
          <w14:ligatures w14:val="standardContextual"/>
        </w:rPr>
        <w:t>segurada especial. A única ressalva diz respeito à segurada especial, de quem se exige não carência em sentido próprio, mas a comprovação do exercício de atividade rural nos meses imediatamente anteriores ao parto (art. 39, parágrafo único, da Lei 8.213/91) — requisito funcional equivalente, e não contributivo, na linha do que se expôs na seção 3.3.1.</w:t>
      </w:r>
    </w:p>
    <w:p w14:paraId="31ADDB5C"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3.4 Contagem do período de carência</w:t>
      </w:r>
    </w:p>
    <w:p w14:paraId="75C5220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26B64214" w14:textId="77777777" w:rsidR="005A5FCC" w:rsidRDefault="00A21C81">
      <w:r>
        <w:rPr>
          <w:rFonts w:cs="EB Garamond"/>
          <w:kern w:val="16"/>
          <w14:ligatures w14:val="standardContextual"/>
        </w:rPr>
        <w:t xml:space="preserve"> art. 27 da Lei 8.213/91 estabelece regras distintas de contagem conforme a categoria do segurado (sobre as categorias em espécie, v. Capítulo 2), refletindo a diferente posição que cada categoria ocupa em relação à responsabilidade pelo recolhimento das contribuições. Calcular corretamente a carência </w:t>
      </w:r>
      <w:r>
        <w:rPr>
          <w:rFonts w:cs="EB Garamond"/>
          <w:kern w:val="16"/>
          <w14:ligatures w14:val="standardContextual"/>
        </w:rPr>
        <w:lastRenderedPageBreak/>
        <w:t>segundo a categoria do segurado é tarefa diária na análise de requerimentos previdenciários nos JEFs, e nem sempre trivial.</w:t>
      </w:r>
    </w:p>
    <w:p w14:paraId="3911B848" w14:textId="77777777" w:rsidR="005A5FCC" w:rsidRDefault="00A21C81">
      <w:pPr>
        <w:spacing w:before="260" w:after="80" w:line="240" w:lineRule="auto"/>
        <w:jc w:val="left"/>
      </w:pPr>
      <w:r>
        <w:rPr>
          <w:rFonts w:cs="EB Garamond"/>
          <w:b/>
          <w:color w:val="3A3128"/>
          <w:kern w:val="16"/>
          <w:sz w:val="25"/>
          <w14:ligatures w14:val="standardContextual"/>
        </w:rPr>
        <w:t>3.4.1 Segurados empregado e trabalhador avulso</w:t>
      </w:r>
    </w:p>
    <w:p w14:paraId="77D772C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P</w:t>
      </w:r>
    </w:p>
    <w:p w14:paraId="1F5B2738" w14:textId="77777777" w:rsidR="005A5FCC" w:rsidRDefault="00A21C81">
      <w:r>
        <w:rPr>
          <w:rFonts w:cs="EB Garamond"/>
          <w:kern w:val="16"/>
          <w14:ligatures w14:val="standardContextual"/>
        </w:rPr>
        <w:t>ara empregados e trabalhadores avulsos, a carência é contada a partir da data de filiação ao RGPS (art. 27, inciso I). A razão é simples: o empregado não é responsável pelo recolhimento de sua contribuição, que incumbe ao empregador. Seria injusto imputar ao segurado empregado as consequências da inadimplência patronal.</w:t>
      </w:r>
    </w:p>
    <w:p w14:paraId="06FC4A9E" w14:textId="77777777" w:rsidR="005A5FCC" w:rsidRDefault="00A21C81">
      <w:pPr>
        <w:ind w:firstLine="238"/>
      </w:pPr>
      <w:r>
        <w:rPr>
          <w:rFonts w:cs="EB Garamond"/>
          <w:kern w:val="16"/>
          <w14:ligatures w14:val="standardContextual"/>
        </w:rPr>
        <w:t>A diferença entre as duas regras é substancial. O segurado empregado conta a carência desde a filiação, mesmo que o empregador não tenha efetivamente recolhido as contribuições, cabendo ao INSS cobrar o débito do empregador sem prejuízo do direito do segurado. Essa proteção decorre do princípio da automaticidade das prestações previdenciárias, que impede que a responsabilidade pelo inadimplemento do empregador seja transferida ao trabalhador. O mesmo raciocínio aplica-se ao trabalhador avulso, que, nos termos do art. 7º, XXXIV, da Constituição Federal, goza de igualdade de direitos em relação ao empregado.</w:t>
      </w:r>
    </w:p>
    <w:p w14:paraId="17C73684" w14:textId="77777777" w:rsidR="005A5FCC" w:rsidRDefault="00A21C81">
      <w:pPr>
        <w:ind w:firstLine="238"/>
      </w:pPr>
      <w:r>
        <w:rPr>
          <w:rFonts w:cs="EB Garamond"/>
          <w:kern w:val="16"/>
          <w14:ligatures w14:val="standardContextual"/>
        </w:rPr>
        <w:t>Porto (2024) enfatiza que a regra do art. 27, I, aplica-se também quando o contribuinte individual não é responsável pelo recolhimento de sua própria contribuição. O § 4º do art. 26 do Decreto 3.048/99 dispõe que, para o contribuinte individual cujo recolhimento é de responsabilidade do empregador ou contratante, a carência é computada a partir do exercício da atividade remunerada, tal como para o empregado. Essa distinção é relevante na prática, pois nem todo contribuinte individual é responsável tributário pelo próprio recolhimento.</w:t>
      </w:r>
    </w:p>
    <w:p w14:paraId="50831263" w14:textId="77777777" w:rsidR="005A5FCC" w:rsidRDefault="00A21C81">
      <w:pPr>
        <w:spacing w:before="260" w:after="80" w:line="240" w:lineRule="auto"/>
        <w:jc w:val="left"/>
      </w:pPr>
      <w:r>
        <w:rPr>
          <w:rFonts w:cs="EB Garamond"/>
          <w:b/>
          <w:color w:val="3A3128"/>
          <w:kern w:val="16"/>
          <w:sz w:val="25"/>
          <w14:ligatures w14:val="standardContextual"/>
        </w:rPr>
        <w:t>3.4.2 O empregado doméstico antes e depois da LC 150/2015</w:t>
      </w:r>
    </w:p>
    <w:p w14:paraId="4F652EC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77C0D884" w14:textId="77777777" w:rsidR="005A5FCC" w:rsidRDefault="00A21C81">
      <w:r>
        <w:rPr>
          <w:rFonts w:cs="EB Garamond"/>
          <w:kern w:val="16"/>
          <w14:ligatures w14:val="standardContextual"/>
        </w:rPr>
        <w:t xml:space="preserve"> empregado doméstico apresenta particularidades decorrentes da evolução legislativa que sofreu. Antes da Lei Complementar n. 150, de 1º de junho de 2015, o empregado doméstico não estava expressamente incluído no inciso I do art. 27, o que gerava a aplicação do regime mais rigoroso do inciso II (contagem a partir do efetivo recolhimento). A doutrina criticava essa exclusão, pois o doméstico, à semelhança do empregado comum, não era responsável pelo </w:t>
      </w:r>
      <w:r>
        <w:rPr>
          <w:rFonts w:cs="EB Garamond"/>
          <w:kern w:val="16"/>
          <w14:ligatures w14:val="standardContextual"/>
        </w:rPr>
        <w:lastRenderedPageBreak/>
        <w:t>recolhimento de sua contribuição, que incumbia ao empregador. A própria TNU já vinha afastando essa limitação antes mesmo da alteração legislativa, equiparando o doméstico ao empregado comum para fins de contagem da carência a partir da filiação — orientação depois positivada pela LC 150/2015.</w:t>
      </w:r>
    </w:p>
    <w:p w14:paraId="3C3F37B0" w14:textId="77777777" w:rsidR="005A5FCC" w:rsidRDefault="00A21C81">
      <w:pPr>
        <w:ind w:firstLine="238"/>
      </w:pPr>
      <w:r>
        <w:rPr>
          <w:rFonts w:cs="EB Garamond"/>
          <w:kern w:val="16"/>
          <w14:ligatures w14:val="standardContextual"/>
        </w:rPr>
        <w:t>A LC 150/2015 corrigiu a distorção ao incluir expressamente o empregado doméstico no inciso I do art. 27, passando a carência a ser contada desde a data de filiação, e não mais do efetivo recolhimento. O Decreto 10.410/2020 detalhou a aplicação temporal da regra em três dispositivos inseridos no art. 26 do Regulamento (§§ 4º-A, 4º-B e 4º-C): (a) a partir da competência junho de 2015, presume-se o recolhimento das contribuições descontadas pelo empregador doméstico; (b) para o empregado doméstico filiado ao RGPS nessa condição até 31 de maio de 2015, o período de carência é contado a partir da data do efetivo recolhimento da primeira contribuição sem atraso; e (c) para o período de filiação comprovado como empregado doméstico sem comprovação do recolhimento, será reconhecido o direito ao benefício no valor de um salário mínimo.</w:t>
      </w:r>
    </w:p>
    <w:tbl>
      <w:tblPr>
        <w:tblW w:w="5000" w:type="pct"/>
        <w:jc w:val="center"/>
        <w:tblLayout w:type="fixed"/>
        <w:tblLook w:val="04A0" w:firstRow="1" w:lastRow="0" w:firstColumn="1" w:lastColumn="0" w:noHBand="0" w:noVBand="1"/>
      </w:tblPr>
      <w:tblGrid>
        <w:gridCol w:w="6311"/>
      </w:tblGrid>
      <w:tr w:rsidR="005A5FCC" w14:paraId="165E2941"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60483EF7"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4EA47660" w14:textId="77777777" w:rsidR="005A5FCC" w:rsidRDefault="00A21C81">
            <w:pPr>
              <w:spacing w:after="60" w:line="247" w:lineRule="auto"/>
            </w:pPr>
            <w:r>
              <w:rPr>
                <w:rFonts w:cs="EB Garamond"/>
                <w:kern w:val="16"/>
                <w:sz w:val="19"/>
                <w14:ligatures w14:val="standardContextual"/>
              </w:rPr>
              <w:t>A regra de transição do empregado doméstico ganha relevo nas ações cujo fato gerador é anterior a junho de 2015. Diante de um CNIS de segurado que trabalhou como doméstico antes da LC 150/2015, alguns cuidados se impõem. Convém verificar se há recolhimentos efetivos registrados, pois a carência anterior a 01/06/2015 só é computada a partir do primeiro recolhimento tempestivo. É útil identificar se o empregador doméstico foi regularizado pelo eSocial, que passou a operar para a categoria a partir de outubro de 2015. E não se deve perder de vista que, mesmo sem comprovação de recolhimento, o segurado pode fazer jus ao benefício no valor de um salário mínimo, nos termos do § 4º-C do art. 26 do Decreto 3.048/99. Em nossa prática, é nessa última hipótese que se concentram os litígios mais frequentes da categoria.</w:t>
            </w:r>
          </w:p>
        </w:tc>
      </w:tr>
    </w:tbl>
    <w:p w14:paraId="35615710" w14:textId="77777777" w:rsidR="005A5FCC" w:rsidRDefault="005A5FCC">
      <w:pPr>
        <w:spacing w:after="80" w:line="240" w:lineRule="auto"/>
      </w:pPr>
    </w:p>
    <w:p w14:paraId="7255E058" w14:textId="77777777" w:rsidR="005A5FCC" w:rsidRDefault="00A21C81">
      <w:pPr>
        <w:spacing w:before="260" w:after="80" w:line="240" w:lineRule="auto"/>
        <w:jc w:val="left"/>
      </w:pPr>
      <w:r>
        <w:rPr>
          <w:rFonts w:cs="EB Garamond"/>
          <w:b/>
          <w:color w:val="3A3128"/>
          <w:kern w:val="16"/>
          <w:sz w:val="25"/>
          <w14:ligatures w14:val="standardContextual"/>
        </w:rPr>
        <w:t>3.4.3 Contribuinte individual, segurado especial e facultativo</w:t>
      </w:r>
    </w:p>
    <w:p w14:paraId="638C8082"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P</w:t>
      </w:r>
    </w:p>
    <w:p w14:paraId="202AF4D6" w14:textId="77777777" w:rsidR="005A5FCC" w:rsidRDefault="00A21C81">
      <w:r>
        <w:rPr>
          <w:rFonts w:cs="EB Garamond"/>
          <w:kern w:val="16"/>
          <w14:ligatures w14:val="standardContextual"/>
        </w:rPr>
        <w:t>ara contribuintes individuais, segurados especiais e facultativos, a contagem inicia na data do efetivo pagamento da primeira contribuição sem atraso, não sendo consideradas as contribuições recolhidas com atraso referentes a competências anteriores (art. 27, inciso II). Como resume Porto (2024), uma vez feita a primeira contribuição tempestiva, caso haja atraso no recolhimento das subsequentes, a jurisprudência admite o pagamento a destempo como computável para carência, desde que não tenha havido perda da qualidade de segurado.</w:t>
      </w:r>
    </w:p>
    <w:p w14:paraId="2AFF8804" w14:textId="77777777" w:rsidR="005A5FCC" w:rsidRDefault="00A21C81">
      <w:pPr>
        <w:ind w:firstLine="238"/>
      </w:pPr>
      <w:r>
        <w:rPr>
          <w:rFonts w:cs="EB Garamond"/>
          <w:kern w:val="16"/>
          <w14:ligatures w14:val="standardContextual"/>
        </w:rPr>
        <w:t>O contribuinte individual tem a carência condicionada ao recolhimento tempestivo, o que gera consequências práticas severas para trabalhadores autônomos com histórico irregular de pagamentos. A vedação de inscrição post mortem e de regularização de contribuições após o óbito (Súmula 52 da TNU e § 5º-B do art. 18 do Decreto 3.048/99) é examinada no Capítulo 2, seção 2.3.</w:t>
      </w:r>
    </w:p>
    <w:p w14:paraId="2811C5DD" w14:textId="77777777" w:rsidR="005A5FCC" w:rsidRDefault="00A21C81">
      <w:pPr>
        <w:ind w:firstLine="238"/>
      </w:pPr>
      <w:r>
        <w:rPr>
          <w:rFonts w:cs="EB Garamond"/>
          <w:kern w:val="16"/>
          <w14:ligatures w14:val="standardContextual"/>
        </w:rPr>
        <w:t>A TNU, no Tema 192, firmou tese esclarecedora: contribuições recolhidas com atraso anteriores ao pagamento da primeira contribuição sem atraso não são computadas para fins de carência; contribuições recolhidas com atraso posteriores ao primeiro pagamento tempestivo podem ser computadas, desde que não tenha havido perda da qualidade de segurado no intervalo. Na prática, o marco inicial da carência para o contribuinte individual é fixado pelo primeiro recolhimento pontual, e toda contribuição em atraso anterior a esse marco vale apenas para tempo de contribuição, não para carência.</w:t>
      </w:r>
    </w:p>
    <w:p w14:paraId="4CE082E8" w14:textId="77777777" w:rsidR="005A5FCC" w:rsidRDefault="00A21C81">
      <w:pPr>
        <w:ind w:firstLine="238"/>
      </w:pPr>
      <w:r>
        <w:rPr>
          <w:rFonts w:cs="EB Garamond"/>
          <w:kern w:val="16"/>
          <w14:ligatures w14:val="standardContextual"/>
        </w:rPr>
        <w:t>O Conselho de Recursos da Previdência Social consolidou esse entendimento no Enunciado 5, incisos III e IV, que estabelecem: as contribuições recolhidas em atraso pelo contribuinte individual após o período de graça não são computadas como carência nem para fins de manutenção da qualidade de segurado, mas apenas como tempo de contribuição; havendo perda da qualidade de segurado, somente são consideradas para carência as contribuições efetivadas sem atraso, após nova filiação. Essa posição da instância administrativa reforça a orientação jurisprudencial e é frequentemente invocada nas contestações do INSS nos JEFs.</w:t>
      </w:r>
    </w:p>
    <w:tbl>
      <w:tblPr>
        <w:tblW w:w="5000" w:type="pct"/>
        <w:jc w:val="center"/>
        <w:tblLayout w:type="fixed"/>
        <w:tblLook w:val="04A0" w:firstRow="1" w:lastRow="0" w:firstColumn="1" w:lastColumn="0" w:noHBand="0" w:noVBand="1"/>
      </w:tblPr>
      <w:tblGrid>
        <w:gridCol w:w="6311"/>
      </w:tblGrid>
      <w:tr w:rsidR="005A5FCC" w14:paraId="3552E866"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5C0ACD08"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25688213" w14:textId="77777777" w:rsidR="005A5FCC" w:rsidRDefault="00A21C81">
            <w:pPr>
              <w:spacing w:after="60" w:line="247" w:lineRule="auto"/>
            </w:pPr>
            <w:r>
              <w:rPr>
                <w:rFonts w:cs="EB Garamond"/>
                <w:kern w:val="16"/>
                <w:sz w:val="19"/>
                <w14:ligatures w14:val="standardContextual"/>
              </w:rPr>
              <w:t>O CNIS do contribuinte individual costuma chegar aos JEFs com recolhimentos irregulares, e é aí que o exame exige rigor. Ao aferir o direito à aposentadoria ou a benefício por incapacidade, convém identificar a data do primeiro recolhimento sem atraso, que define o marco inicial da carência; apurar se houve perda da qualidade de segurado no período, o que reinicia a contagem conforme o art. 27-A; e confirmar se as contribuições em atraso posteriores ao marco se situam dentro de período em que a qualidade de segurado se manteve. Fixe-se aqui, como alerta de referência para todo o capítulo, uma advertência que a experiência torna recorrente: a mera existência de 180 contribuições no CNIS não assegura o cumprimento da carência se parte delas foi recolhida com atraso antes do primeiro pagamento tempestivo. É a tempestividade, e não o número bruto de registros, que define a carência do contribuinte individual.</w:t>
            </w:r>
          </w:p>
        </w:tc>
      </w:tr>
    </w:tbl>
    <w:p w14:paraId="48AA4E32" w14:textId="77777777" w:rsidR="005A5FCC" w:rsidRDefault="005A5FCC">
      <w:pPr>
        <w:spacing w:after="80" w:line="240" w:lineRule="auto"/>
      </w:pPr>
    </w:p>
    <w:p w14:paraId="4886B665" w14:textId="77777777" w:rsidR="005A5FCC" w:rsidRDefault="00A21C81">
      <w:pPr>
        <w:spacing w:before="260" w:after="80" w:line="240" w:lineRule="auto"/>
        <w:jc w:val="left"/>
      </w:pPr>
      <w:r>
        <w:rPr>
          <w:rFonts w:cs="EB Garamond"/>
          <w:b/>
          <w:color w:val="3A3128"/>
          <w:kern w:val="16"/>
          <w:sz w:val="25"/>
          <w14:ligatures w14:val="standardContextual"/>
        </w:rPr>
        <w:t>3.4.4 Cômputo de períodos de afastamento por incapacidade</w:t>
      </w:r>
    </w:p>
    <w:p w14:paraId="73101F8C"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U</w:t>
      </w:r>
    </w:p>
    <w:p w14:paraId="4C973C6A" w14:textId="77777777" w:rsidR="005A5FCC" w:rsidRDefault="00A21C81">
      <w:r>
        <w:rPr>
          <w:rFonts w:cs="EB Garamond"/>
          <w:kern w:val="16"/>
          <w14:ligatures w14:val="standardContextual"/>
        </w:rPr>
        <w:t>ma questão recorrente nos JEFs é o cômputo de períodos em gozo de benefício por incapacidade para fins de carência. A Súmula 73 da TNU dispõe que "O tempo de gozo de auxílio-doença (atual auxílio por incapacidade temporária) ou de aposentadoria por invalidez (atual aposentadoria por incapacidade permanente) não decorrentes de acidente de trabalho só pode ser computado como tempo de contribuição ou para fins de carência quando intercalado entre períodos nos quais houve recolhimento de contribuições para a previdência social" (redação original com atualização terminológica). O STJ adota entendimento similar, exigindo a intercalação entre períodos contributivos.</w:t>
      </w:r>
    </w:p>
    <w:p w14:paraId="60F58067" w14:textId="77777777" w:rsidR="005A5FCC" w:rsidRDefault="00A21C81">
      <w:pPr>
        <w:ind w:firstLine="238"/>
      </w:pPr>
      <w:r>
        <w:rPr>
          <w:rFonts w:cs="EB Garamond"/>
          <w:kern w:val="16"/>
          <w14:ligatures w14:val="standardContextual"/>
        </w:rPr>
        <w:t>Em sentido convergente, e com raciocínio análogo, o STJ entende que o período de recebimento de auxílio por incapacidade temporária não acidentário deve ser considerado no cômputo do prazo de carência da aposentadoria por idade, se intercalado com períodos contributivos. A exigência de intercalação visa impedir que segurados com longos períodos de afastamento por incapacidade, desacompanhados de qualquer contribuição posterior, computem esse tempo para carência.</w:t>
      </w:r>
    </w:p>
    <w:p w14:paraId="454BDDB6" w14:textId="2FD9EE48" w:rsidR="005A5FCC" w:rsidRDefault="00A21C81">
      <w:pPr>
        <w:ind w:firstLine="238"/>
      </w:pPr>
      <w:r>
        <w:rPr>
          <w:rFonts w:cs="EB Garamond"/>
          <w:kern w:val="16"/>
          <w14:ligatures w14:val="standardContextual"/>
        </w:rPr>
        <w:lastRenderedPageBreak/>
        <w:t xml:space="preserve">O Supremo Tribunal Federal enfrentou a matéria no Tema 1.125 da repercussão geral (RE 1.298.832, rel. Min. Luiz Fux, então Presidente da Corte, j. 19/02/2021), decidido por reafirmação de jurisprudência no Plenário Virtual. O Tribunal reconheceu a repercussão geral por unanimidade e, no mérito, por maioria, reafirmou a jurisprudência dominante, vencido o Min. Nunes Marques. Com o trânsito em julgado, fixou-se a seguinte tese: "É constitucional o cômputo, para fins de carência, do período no qual o segurado esteve em gozo do benefício de auxílio-doença, desde que intercalado com atividade laborativa." A decisão confirmou, em sede constitucional, a orientação da Súmula 73 da TNU, mantendo a exigência de intercalação como condição para o cômputo do período de afastamento por incapacidade na carência. Note-se que a tese fixada pelo STF </w:t>
      </w:r>
      <w:r w:rsidR="00776FD2">
        <w:rPr>
          <w:rFonts w:cs="EB Garamond"/>
          <w:kern w:val="16"/>
          <w14:ligatures w14:val="standardContextual"/>
        </w:rPr>
        <w:t>se refere</w:t>
      </w:r>
      <w:r>
        <w:rPr>
          <w:rFonts w:cs="EB Garamond"/>
          <w:kern w:val="16"/>
          <w14:ligatures w14:val="standardContextual"/>
        </w:rPr>
        <w:t xml:space="preserve"> expressamente ao auxílio-doença (atual auxílio por incapacidade temporária), não abrangendo a aposentadoria por incapacidade permanente, cuja extensão analógica permanece objeto de debate doutrinário e jurisprudencial.</w:t>
      </w:r>
    </w:p>
    <w:tbl>
      <w:tblPr>
        <w:tblW w:w="5000" w:type="pct"/>
        <w:jc w:val="center"/>
        <w:tblLayout w:type="fixed"/>
        <w:tblLook w:val="04A0" w:firstRow="1" w:lastRow="0" w:firstColumn="1" w:lastColumn="0" w:noHBand="0" w:noVBand="1"/>
      </w:tblPr>
      <w:tblGrid>
        <w:gridCol w:w="6311"/>
      </w:tblGrid>
      <w:tr w:rsidR="005A5FCC" w14:paraId="63AB413E"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0A857759"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3D4037D8" w14:textId="77777777" w:rsidR="005A5FCC" w:rsidRDefault="00A21C81">
            <w:pPr>
              <w:spacing w:after="60" w:line="247" w:lineRule="auto"/>
            </w:pPr>
            <w:r>
              <w:rPr>
                <w:rFonts w:cs="EB Garamond"/>
                <w:kern w:val="16"/>
                <w:sz w:val="19"/>
                <w14:ligatures w14:val="standardContextual"/>
              </w:rPr>
              <w:t>Com o julgamento do Tema 1.125 pelo STF (RE 1.298.832, rel. Min. Luiz Fux, então Presidente da Corte, j. 19/02/2021, trânsito em julgado), a exigência de intercalação com atividade laborativa para o cômputo de período de gozo de auxílio por incapacidade temporária na carência está definitivamente confirmada em sede constitucional, em consonância com a Súmula 73 da TNU. Para benefícios por incapacidade decorrentes de acidente de trabalho, o período de afastamento é computado para carência independentemente de intercalação, nos termos do art. 60, III, do Decreto 3.048/99. Essa distinção entre benefício acidentário e não acidentário deve ser observada na análise dos casos concretos. Registre-se que a tese do STF abrange expressamente apenas o auxílio-doença (atual auxílio por incapacidade temporária); a aplicabilidade do mesmo regime à aposentadoria por incapacidade permanente não foi objeto da decisão e segue controvertida.</w:t>
            </w:r>
          </w:p>
        </w:tc>
      </w:tr>
    </w:tbl>
    <w:p w14:paraId="3BF2D751" w14:textId="77777777" w:rsidR="005A5FCC" w:rsidRDefault="005A5FCC">
      <w:pPr>
        <w:spacing w:after="80" w:line="240" w:lineRule="auto"/>
      </w:pPr>
    </w:p>
    <w:p w14:paraId="6E3B1890"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3.5 Contribuição inferior ao mínimo e os mecanismos da EC 103/2019</w:t>
      </w:r>
    </w:p>
    <w:p w14:paraId="6C2A39DB"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2AFA75FB" w14:textId="4D85B412" w:rsidR="005A5FCC" w:rsidRDefault="00A21C81">
      <w:r>
        <w:rPr>
          <w:rFonts w:cs="EB Garamond"/>
          <w:kern w:val="16"/>
          <w14:ligatures w14:val="standardContextual"/>
        </w:rPr>
        <w:t xml:space="preserve"> EC 103/2019 introduziu regra com profundo impacto na contagem de carência dos segurados de baixa renda. O § 14 do art. 195 da Constituição Federal, na redação dada pela emenda, estabeleceu que "o segurado somente terá reconhecidas como tempo de contribuição ao Regime Geral de Previdência Social as competências cuja contribuição seja igual ou superior à contribuição mínima mensal exigida para sua categoria". Essa disposição atinge diretamente trabalhadores que recebem remuneração inferior ao </w:t>
      </w:r>
      <w:r w:rsidR="00776FD2">
        <w:rPr>
          <w:rFonts w:cs="EB Garamond"/>
          <w:kern w:val="16"/>
          <w14:ligatures w14:val="standardContextual"/>
        </w:rPr>
        <w:t>salário-mínimo</w:t>
      </w:r>
      <w:r>
        <w:rPr>
          <w:rFonts w:cs="EB Garamond"/>
          <w:kern w:val="16"/>
          <w14:ligatures w14:val="standardContextual"/>
        </w:rPr>
        <w:t xml:space="preserve"> mensal, cujas contribuições ficam abaixo do piso.</w:t>
      </w:r>
    </w:p>
    <w:p w14:paraId="658CD58E" w14:textId="77777777" w:rsidR="005A5FCC" w:rsidRDefault="00A21C81">
      <w:pPr>
        <w:ind w:firstLine="238"/>
      </w:pPr>
      <w:r>
        <w:rPr>
          <w:rFonts w:cs="EB Garamond"/>
          <w:kern w:val="16"/>
          <w14:ligatures w14:val="standardContextual"/>
        </w:rPr>
        <w:t>Para mitigar o impacto dessa regra sobre trabalhadores vulneráveis, o mesmo dispositivo constitucional previu três mecanismos: (a) a complementação da contribuição, mediante recolhimento da diferença entre o valor efetivamente pago e a contribuição mínima mensal; (b) a utilização do excedente de contribuição superior ao mínimo em outra competência para suprir a insuficiência em competência diversa; e (c) o agrupamento de contribuições inferiores ao mínimo de diferentes competências para alcançar o valor mínimo mensal exigido.</w:t>
      </w:r>
    </w:p>
    <w:p w14:paraId="66E98B57" w14:textId="2A8152A8" w:rsidR="005A5FCC" w:rsidRDefault="00A21C81">
      <w:pPr>
        <w:ind w:firstLine="238"/>
      </w:pPr>
      <w:r>
        <w:rPr>
          <w:rFonts w:cs="EB Garamond"/>
          <w:kern w:val="16"/>
          <w14:ligatures w14:val="standardContextual"/>
        </w:rPr>
        <w:t xml:space="preserve">Os §§ 7º e 8º do art. 13 do Decreto 3.048/99, inseridos pelo Decreto 10.410/2020, regulamentaram a matéria, dispondo que a contribuição recolhida em valor inferior ao </w:t>
      </w:r>
      <w:r w:rsidR="00776FD2">
        <w:rPr>
          <w:rFonts w:cs="EB Garamond"/>
          <w:kern w:val="16"/>
          <w14:ligatures w14:val="standardContextual"/>
        </w:rPr>
        <w:t>salário-mínimo</w:t>
      </w:r>
      <w:r>
        <w:rPr>
          <w:rFonts w:cs="EB Garamond"/>
          <w:kern w:val="16"/>
          <w14:ligatures w14:val="standardContextual"/>
        </w:rPr>
        <w:t xml:space="preserve"> não será útil para a manutenção da qualidade de segurado, de modo que o período de graça se inicia no primeiro dia do mês subsequente ao da última contribuição com valor igual ou superior ao salário</w:t>
      </w:r>
      <w:r w:rsidR="00776FD2">
        <w:rPr>
          <w:rFonts w:cs="EB Garamond"/>
          <w:kern w:val="16"/>
          <w14:ligatures w14:val="standardContextual"/>
        </w:rPr>
        <w:t>-</w:t>
      </w:r>
      <w:r>
        <w:rPr>
          <w:rFonts w:cs="EB Garamond"/>
          <w:kern w:val="16"/>
          <w14:ligatures w14:val="standardContextual"/>
        </w:rPr>
        <w:t>mínimo, salvo se o segurado se valer dos mecanismos de complementação, utilização ou agrupamento.</w:t>
      </w:r>
    </w:p>
    <w:p w14:paraId="289371E2" w14:textId="28BBFFD9" w:rsidR="005A5FCC" w:rsidRDefault="00A21C81">
      <w:pPr>
        <w:ind w:firstLine="238"/>
      </w:pPr>
      <w:r>
        <w:rPr>
          <w:rFonts w:cs="EB Garamond"/>
          <w:kern w:val="16"/>
          <w14:ligatures w14:val="standardContextual"/>
        </w:rPr>
        <w:t xml:space="preserve">Convém ancorar esses mecanismos em valores concretos, tomando por base o </w:t>
      </w:r>
      <w:r w:rsidR="00776FD2">
        <w:rPr>
          <w:rFonts w:cs="EB Garamond"/>
          <w:kern w:val="16"/>
          <w14:ligatures w14:val="standardContextual"/>
        </w:rPr>
        <w:t>salário-mínimo</w:t>
      </w:r>
      <w:r>
        <w:rPr>
          <w:rFonts w:cs="EB Garamond"/>
          <w:kern w:val="16"/>
          <w14:ligatures w14:val="standardContextual"/>
        </w:rPr>
        <w:t xml:space="preserve"> de 2026, fixado em R$ 1.621,00. A contribuição mínima mensal varia conforme a alíquota da categoria: o contribuinte individual e o facultativo que optam pelo plano simplificado recolhem 11% sobre o piso, isto é, R$ 178,31; o facultativo de baixa renda e o microempreendedor individual recolhem 5%, ou R$ 81,05; e a alíquota cheia de 20% corresponde a R$ 324,20. Suponha-se um diarista que, em determinada competência de 2026, tenha auferido apenas R$ </w:t>
      </w:r>
      <w:r>
        <w:rPr>
          <w:rFonts w:cs="EB Garamond"/>
          <w:kern w:val="16"/>
          <w14:ligatures w14:val="standardContextual"/>
        </w:rPr>
        <w:lastRenderedPageBreak/>
        <w:t xml:space="preserve">900,00 e, por isso, recolhido 20% sobre essa base (R$ 180,00), aquém do mínimo exigido para a competência (R$ 324,20). Pela via da </w:t>
      </w:r>
      <w:r>
        <w:rPr>
          <w:rFonts w:cs="EB Garamond"/>
          <w:b/>
          <w:kern w:val="16"/>
          <w14:ligatures w14:val="standardContextual"/>
        </w:rPr>
        <w:t>complementação</w:t>
      </w:r>
      <w:r>
        <w:rPr>
          <w:rFonts w:cs="EB Garamond"/>
          <w:kern w:val="16"/>
          <w14:ligatures w14:val="standardContextual"/>
        </w:rPr>
        <w:t xml:space="preserve">, basta recolher a diferença de R$ 144,20 para que a competência seja integralmente aproveitada. Pela via do </w:t>
      </w:r>
      <w:r>
        <w:rPr>
          <w:rFonts w:cs="EB Garamond"/>
          <w:b/>
          <w:kern w:val="16"/>
          <w14:ligatures w14:val="standardContextual"/>
        </w:rPr>
        <w:t>agrupamento</w:t>
      </w:r>
      <w:r>
        <w:rPr>
          <w:rFonts w:cs="EB Garamond"/>
          <w:kern w:val="16"/>
          <w14:ligatures w14:val="standardContextual"/>
        </w:rPr>
        <w:t xml:space="preserve">, se em uma competência o segurado tiver contribuído sobre R$ 900,00 e em outra sobre R$ 800,00 — ambas isoladamente abaixo do piso —, a soma das bases (R$ 1.700,00) supera o </w:t>
      </w:r>
      <w:r w:rsidR="00776FD2">
        <w:rPr>
          <w:rFonts w:cs="EB Garamond"/>
          <w:kern w:val="16"/>
          <w14:ligatures w14:val="standardContextual"/>
        </w:rPr>
        <w:t>salário-mínimo</w:t>
      </w:r>
      <w:r>
        <w:rPr>
          <w:rFonts w:cs="EB Garamond"/>
          <w:kern w:val="16"/>
          <w14:ligatures w14:val="standardContextual"/>
        </w:rPr>
        <w:t xml:space="preserve"> e permite o aproveitamento de uma competência, com o excedente projetado para outra. O exemplo evidencia que os três mecanismos não são abstrações regulamentares: traduzem-se em pequenas quantias cuja correta operação define o cômputo da carência e a preservação da qualidade de segurado.</w:t>
      </w:r>
    </w:p>
    <w:p w14:paraId="3B84A672" w14:textId="77777777" w:rsidR="005A5FCC" w:rsidRDefault="00A21C81">
      <w:pPr>
        <w:ind w:firstLine="238"/>
      </w:pPr>
      <w:r>
        <w:rPr>
          <w:rFonts w:cs="EB Garamond"/>
          <w:kern w:val="16"/>
          <w14:ligatures w14:val="standardContextual"/>
        </w:rPr>
        <w:t>A TNU contribuiu para a densificação desse tema com o Tema 349 (Processo 0504017-94.2022.4.05.8400/RN, rel. Juiz Federal Neian Milhomem Cruz, j. 16/10/2024), que fixou a tese de que o recolhimento de contribuição previdenciária em valor inferior ao mínimo mensal da categoria, na ausência de previsão legal, não impede o reconhecimento da qualidade de segurado obrigatório, inclusive após o advento da EC n. 103/2019. A decisão protege trabalhadores de baixa renda cujas contribuições ficam abaixo do piso mensal, assegurando que a qualidade de segurado não seja recusada pelo INSS com fundamento no valor insuficiente do recolhimento.</w:t>
      </w:r>
    </w:p>
    <w:tbl>
      <w:tblPr>
        <w:tblW w:w="5000" w:type="pct"/>
        <w:jc w:val="center"/>
        <w:tblLayout w:type="fixed"/>
        <w:tblLook w:val="04A0" w:firstRow="1" w:lastRow="0" w:firstColumn="1" w:lastColumn="0" w:noHBand="0" w:noVBand="1"/>
      </w:tblPr>
      <w:tblGrid>
        <w:gridCol w:w="6311"/>
      </w:tblGrid>
      <w:tr w:rsidR="005A5FCC" w14:paraId="19F0D9EF"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6AF237DB"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6955C198" w14:textId="3A74A332" w:rsidR="005A5FCC" w:rsidRDefault="00A21C81">
            <w:pPr>
              <w:spacing w:after="60" w:line="247" w:lineRule="auto"/>
            </w:pPr>
            <w:r>
              <w:rPr>
                <w:rFonts w:cs="EB Garamond"/>
                <w:kern w:val="16"/>
                <w:sz w:val="19"/>
                <w14:ligatures w14:val="standardContextual"/>
              </w:rPr>
              <w:t xml:space="preserve">A contribuição inferior ao mínimo assume contornos críticos para trabalhadores intermitentes (art. 443, § 3º, da CLT), diaristas que prestam serviço por menos de três dias na semana a um mesmo contratante e segurados com múltiplos vínculos de baixa remuneração. O ponto de atenção no CNIS são as competências em que a remuneração registrada fica abaixo do </w:t>
            </w:r>
            <w:r w:rsidR="00776FD2">
              <w:rPr>
                <w:rFonts w:cs="EB Garamond"/>
                <w:kern w:val="16"/>
                <w:sz w:val="19"/>
                <w14:ligatures w14:val="standardContextual"/>
              </w:rPr>
              <w:t>salário-mínimo</w:t>
            </w:r>
            <w:r>
              <w:rPr>
                <w:rFonts w:cs="EB Garamond"/>
                <w:kern w:val="16"/>
                <w:sz w:val="19"/>
                <w14:ligatures w14:val="standardContextual"/>
              </w:rPr>
              <w:t>. Para elas, o segurado pode complementar a contribuição mediante GPS com o código específico ou agrupar competências distintas — mecanismos ilustrados, com valores de 2026, logo acima —, restando ainda invocar o Tema 349/TNU para sustentar que a qualidade de segurado não se perdeu. O INSS, com apoio nos §§ 7º e 8º do art. 13 do Decreto 3.048/99, tende a desconsiderar essas competências; cabe ao Judiciário a correção caso a caso, que, sob a diretriz do Tema 349, vem prevalecendo.</w:t>
            </w:r>
          </w:p>
        </w:tc>
      </w:tr>
    </w:tbl>
    <w:p w14:paraId="47E56703" w14:textId="77777777" w:rsidR="005A5FCC" w:rsidRDefault="005A5FCC">
      <w:pPr>
        <w:spacing w:after="80" w:line="240" w:lineRule="auto"/>
      </w:pPr>
    </w:p>
    <w:p w14:paraId="46ADB8F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H</w:t>
      </w:r>
    </w:p>
    <w:p w14:paraId="119E3553" w14:textId="16BF1BC7" w:rsidR="005A5FCC" w:rsidRDefault="00A21C81">
      <w:r>
        <w:rPr>
          <w:rFonts w:cs="EB Garamond"/>
          <w:kern w:val="16"/>
          <w14:ligatures w14:val="standardContextual"/>
        </w:rPr>
        <w:t xml:space="preserve">á tensão evidente entre a posição da TNU no Tema 349 e a regulamentação do Decreto 10.410/2020. O Decreto estabelece, nos §§ 7º e 8º do art. 13 do RPS, que a contribuição inferior ao mínimo não é útil para manutenção da qualidade de segurado nem para carência. A TNU, contudo, firmou que essa restrição não encontra amparo na legislação e que a EC 103/2019, ao prever os mecanismos de complementação, utilização e agrupamento, não autorizou a desconsideração automática das competências com contribuição abaixo do piso. A consequência prática é que o INSS indeferirá administrativamente os benefícios com base no Decreto, mas o Judiciário, com base no Tema 349, tenderá a reconhecer a qualidade de segurado e o cômputo para carência. Para os segurados que optam pela alíquota reduzida de 11% (art. 21, § 2º, da Lei 8.212/91), excluindo o direito à aposentadoria por tempo de contribuição, ou pela alíquota de 5% (segurado facultativo de baixa renda e microempreendedor individual), a complementação posterior é expressamente admitida pela legislação, mediante recolhimento da diferença acrescida de juros moratórios. </w:t>
      </w:r>
      <w:r w:rsidR="00776FD2">
        <w:rPr>
          <w:rFonts w:cs="EB Garamond"/>
          <w:kern w:val="16"/>
          <w14:ligatures w14:val="standardContextual"/>
        </w:rPr>
        <w:t>E</w:t>
      </w:r>
      <w:r>
        <w:rPr>
          <w:rFonts w:cs="EB Garamond"/>
          <w:kern w:val="16"/>
          <w14:ligatures w14:val="standardContextual"/>
        </w:rPr>
        <w:t>sse período contributivo com alíquota reduzida, embora não conte para aposentadoria por tempo de contribuição, é plenamente válido para os demais benefícios (incapacidade, idade, pensão por morte), desde que observados os requisitos de carência e qualidade de segurado.</w:t>
      </w:r>
    </w:p>
    <w:p w14:paraId="7D707735"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3.6 Manutenção da qualidade de segurado e período de graça</w:t>
      </w:r>
    </w:p>
    <w:p w14:paraId="5E9A261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5AB40151" w14:textId="77777777" w:rsidR="005A5FCC" w:rsidRDefault="00A21C81">
      <w:r>
        <w:rPr>
          <w:rFonts w:cs="EB Garamond"/>
          <w:kern w:val="16"/>
          <w14:ligatures w14:val="standardContextual"/>
        </w:rPr>
        <w:t xml:space="preserve"> art. 15 da Lei 8.213/91 estabelece o período de graça, durante o qual o segurado mantém essa qualidade e todos os direitos perante a Previdência Social, independentemente de contribuições. O instituto, já mencionado no capítulo anterior ao tratar dos segurados obrigatórios e facultativos, é agora examinado em profundidade. Horvath Júnior (2025) identifica no período de graça expressão do fundamento solidarístico da previdência social: o instituto impede a cessação abrupta da proteção em momentos de vulnerabilidade, quando circunstâncias alheias à vontade do segurado, como o desemprego involuntário ou a doença, impedem a continuidade contributiva.</w:t>
      </w:r>
    </w:p>
    <w:p w14:paraId="46A36CC6" w14:textId="77777777" w:rsidR="005A5FCC" w:rsidRDefault="00A21C81">
      <w:pPr>
        <w:ind w:firstLine="238"/>
      </w:pPr>
      <w:r>
        <w:rPr>
          <w:rFonts w:cs="EB Garamond"/>
          <w:kern w:val="16"/>
          <w14:ligatures w14:val="standardContextual"/>
        </w:rPr>
        <w:lastRenderedPageBreak/>
        <w:t>Porto (2024) apresenta o período de graça como modalidade de manutenção extraordinária da qualidade de segurado, distinguindo-a da manutenção ordinária, que se dá pela contribuição (segurado facultativo) ou pela permanência em relação contributiva (segurado obrigatório). A expressão "período de graça" traduz exatamente essa ideia: trata-se da manutenção "gratuita" da qualidade de segurado durante período variável, conforme as circunstâncias que motivaram a cessação contributiva.</w:t>
      </w:r>
    </w:p>
    <w:p w14:paraId="0690B46F" w14:textId="77777777" w:rsidR="005A5FCC" w:rsidRDefault="00A21C81">
      <w:pPr>
        <w:spacing w:before="260" w:after="80" w:line="240" w:lineRule="auto"/>
        <w:jc w:val="left"/>
      </w:pPr>
      <w:r>
        <w:rPr>
          <w:rFonts w:cs="EB Garamond"/>
          <w:b/>
          <w:color w:val="3A3128"/>
          <w:kern w:val="16"/>
          <w:sz w:val="25"/>
          <w14:ligatures w14:val="standardContextual"/>
        </w:rPr>
        <w:t>3.6.1 Fundamento e hipóteses legais</w:t>
      </w:r>
    </w:p>
    <w:p w14:paraId="7866CB41"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1A908104" w14:textId="19D6BDF5" w:rsidR="005A5FCC" w:rsidRDefault="00A21C81">
      <w:r>
        <w:rPr>
          <w:rFonts w:cs="EB Garamond"/>
          <w:kern w:val="16"/>
          <w14:ligatures w14:val="standardContextual"/>
        </w:rPr>
        <w:t xml:space="preserve"> período básico é de 12 meses após a cessação das contribuições ou do exercício de atividade remunerada (art. 15, II). Para o segurado em gozo de benefício, a qualidade é mantida sem limite de prazo (inciso I), com a ressalva introduzida pela MP 871/2019 (a partir de 18/01/2019), confirmada pela Lei 13.846/2019, que excluiu dessa proteção o beneficiário de auxílio-acidente. </w:t>
      </w:r>
      <w:r w:rsidR="00776FD2">
        <w:rPr>
          <w:rFonts w:cs="EB Garamond"/>
          <w:kern w:val="16"/>
          <w14:ligatures w14:val="standardContextual"/>
        </w:rPr>
        <w:t>A</w:t>
      </w:r>
      <w:r>
        <w:rPr>
          <w:rFonts w:cs="EB Garamond"/>
          <w:kern w:val="16"/>
          <w14:ligatures w14:val="standardContextual"/>
        </w:rPr>
        <w:t xml:space="preserve"> inserção dessa exceção ocorreu com o advento da MP 871/2019, convertida na Lei 13.846/2019, e que, até então, não estava expresso que a percepção isolada do auxílio-acidente não permitiria a manutenção da qualidade de segurado, havendo forte controvérsia doutrinária em razão da natureza meramente indenizatória desse benefício. O STJ firmou, ainda, que a manutenção da qualidade prevista no art. 15, I, inclui os benefícios deferidos por decisão de caráter provisório, ainda que futuramente revogada (STJ, AREsp 2.023.456, rel. Min. Gurgel de Faria, Primeira Turma, j. 20/06/2023, DJe 17/08/2023). O fundamento decisivo foi o de que o art. 15, I, não diferencia a natureza da concessão do benefício e de que o segurado em gozo de prestação por incapacidade concedida por tutela de urgência não pode, nesse intervalo, verter contribuições na condição de segurado obrigatório ou facultativo; logo, não seria razoável imputar-lhe a perda da qualidade pela posterior revogação da medida precária.</w:t>
      </w:r>
    </w:p>
    <w:p w14:paraId="34B2286E" w14:textId="77777777" w:rsidR="005A5FCC" w:rsidRDefault="00A21C81">
      <w:pPr>
        <w:ind w:firstLine="238"/>
      </w:pPr>
      <w:r>
        <w:rPr>
          <w:rFonts w:cs="EB Garamond"/>
          <w:kern w:val="16"/>
          <w14:ligatures w14:val="standardContextual"/>
        </w:rPr>
        <w:t xml:space="preserve">O segurado acometido de doença de segregação compulsória mantém a qualidade por 12 meses após cessar a segregação (inciso III). O segurado retido ou recluso conserva-a por 12 meses após o livramento (inciso IV). Conforme o parágrafo único do art. 118 do Decreto 3.048/99, aquele que ostentava qualidade de segurado por ocasião da reclusão a mantém enquanto recluso, independentemente da duração do encarceramento. O incorporado às Forças Armadas dispõe </w:t>
      </w:r>
      <w:r>
        <w:rPr>
          <w:rFonts w:cs="EB Garamond"/>
          <w:kern w:val="16"/>
          <w14:ligatures w14:val="standardContextual"/>
        </w:rPr>
        <w:lastRenderedPageBreak/>
        <w:t>de 3 meses após o licenciamento (inciso V), e o segurado facultativo de 6 meses após a cessação das contribuições (inciso VI). Além disso, nos termos do art. 11, § 1º, XI, do Decreto 3.048/99, o segurado recolhido à prisão sob regime fechado ou semiaberto que preste serviço dentro ou fora da unidade penal poderá inscrever-se como segurado facultativo, o que constitui via adicional de manutenção da qualidade de segurado durante o período de reclusão.</w:t>
      </w:r>
    </w:p>
    <w:p w14:paraId="31C5E3B8" w14:textId="77777777" w:rsidR="005A5FCC" w:rsidRDefault="00A21C81">
      <w:pPr>
        <w:ind w:firstLine="238"/>
      </w:pPr>
      <w:r>
        <w:rPr>
          <w:rFonts w:cs="EB Garamond"/>
          <w:kern w:val="16"/>
          <w14:ligatures w14:val="standardContextual"/>
        </w:rPr>
        <w:t>Durante o período de graça, a qualidade de segurado está preservada, o que permite ao interessado conservar todos os seus direitos perante a Previdência Social (§ 3º do art. 15). Em regra, contudo, esse período não é computado como tempo de contribuição: serve apenas para manter os direitos inerentes à qualidade de segurado e à carência eventualmente já cumprida, na precisa observação de Porto (2024). Sobrevindo a perda da qualidade, será necessária nova filiação, nos mesmos moldes da original, para readquiri-la.</w:t>
      </w:r>
    </w:p>
    <w:p w14:paraId="0FBDE8EE" w14:textId="77777777" w:rsidR="005A5FCC" w:rsidRDefault="00A21C81">
      <w:pPr>
        <w:spacing w:before="260" w:after="80" w:line="240" w:lineRule="auto"/>
        <w:jc w:val="left"/>
      </w:pPr>
      <w:r>
        <w:rPr>
          <w:rFonts w:cs="EB Garamond"/>
          <w:b/>
          <w:color w:val="3A3128"/>
          <w:kern w:val="16"/>
          <w:sz w:val="25"/>
          <w14:ligatures w14:val="standardContextual"/>
        </w:rPr>
        <w:t>3.6.2 Mecanismos de prorrogação</w:t>
      </w:r>
    </w:p>
    <w:p w14:paraId="039DB932"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D</w:t>
      </w:r>
    </w:p>
    <w:p w14:paraId="54D6789F" w14:textId="77777777" w:rsidR="005A5FCC" w:rsidRDefault="00A21C81">
      <w:r>
        <w:rPr>
          <w:rFonts w:cs="EB Garamond"/>
          <w:kern w:val="16"/>
          <w14:ligatures w14:val="standardContextual"/>
        </w:rPr>
        <w:t>ois mecanismos de prorrogação ampliam o período básico do inciso II. O § 1º do art. 15 estende o prazo para 24 meses quando o segurado já tiver vertido mais de 120 contribuições mensais sem interrupção que acarrete a perda da qualidade. O § 2º acrescenta 12 meses adicionais quando comprovada situação de desemprego involuntário. A combinação desses dois acréscimos pode elevar o período de graça ao máximo de 36 meses.</w:t>
      </w:r>
    </w:p>
    <w:p w14:paraId="42DE5436" w14:textId="2B1CC2E3" w:rsidR="005A5FCC" w:rsidRDefault="00776FD2">
      <w:pPr>
        <w:ind w:firstLine="238"/>
      </w:pPr>
      <w:r>
        <w:rPr>
          <w:rFonts w:cs="EB Garamond"/>
          <w:kern w:val="16"/>
          <w14:ligatures w14:val="standardContextual"/>
        </w:rPr>
        <w:t>A</w:t>
      </w:r>
      <w:r w:rsidR="00A21C81">
        <w:rPr>
          <w:rFonts w:cs="EB Garamond"/>
          <w:kern w:val="16"/>
          <w14:ligatures w14:val="standardContextual"/>
        </w:rPr>
        <w:t>s duas situações de prorrogação podem ser aproveitadas isoladamente (atingindo-se, em qualquer caso, 24 meses) ou cumuladas, hipótese em que o prazo total alcança 36 meses. Essa cumulação é expressamente admitida pela jurisprudência e constitui cenário relativamente comum nos JEFs: segurados com longo histórico contributivo que, ao perder o emprego, acumulam a prorrogação por 120 contribuições (§ 1º) com a prorrogação por desemprego involuntário (§ 2º).</w:t>
      </w:r>
    </w:p>
    <w:tbl>
      <w:tblPr>
        <w:tblW w:w="5000" w:type="pct"/>
        <w:jc w:val="center"/>
        <w:tblLayout w:type="fixed"/>
        <w:tblLook w:val="04A0" w:firstRow="1" w:lastRow="0" w:firstColumn="1" w:lastColumn="0" w:noHBand="0" w:noVBand="1"/>
      </w:tblPr>
      <w:tblGrid>
        <w:gridCol w:w="6311"/>
      </w:tblGrid>
      <w:tr w:rsidR="005A5FCC" w14:paraId="63F3FF25"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66517D66" w14:textId="77777777" w:rsidR="005A5FCC" w:rsidRDefault="00A21C81">
            <w:pPr>
              <w:spacing w:after="60" w:line="240" w:lineRule="auto"/>
              <w:jc w:val="left"/>
            </w:pPr>
            <w:r>
              <w:rPr>
                <w:rFonts w:ascii="Noto Sans" w:hAnsi="Noto Sans" w:cs="Noto Sans"/>
                <w:b/>
                <w:caps/>
                <w:color w:val="4D6F8A"/>
                <w:kern w:val="16"/>
                <w:sz w:val="16"/>
                <w14:ligatures w14:val="standardContextual"/>
              </w:rPr>
              <w:lastRenderedPageBreak/>
              <w:t>JURISPRUDÊNCIA EM DESTAQUE</w:t>
            </w:r>
          </w:p>
          <w:p w14:paraId="5F448D77" w14:textId="77777777" w:rsidR="005A5FCC" w:rsidRDefault="00A21C81">
            <w:pPr>
              <w:spacing w:after="60" w:line="247" w:lineRule="auto"/>
            </w:pPr>
            <w:r>
              <w:rPr>
                <w:rFonts w:cs="EB Garamond"/>
                <w:kern w:val="16"/>
                <w:sz w:val="19"/>
                <w14:ligatures w14:val="standardContextual"/>
              </w:rPr>
              <w:t>A TNU, no Tema 365 (Processo 0500120-68.2021.4.05.8311/PE, rel. Originária Juíza Federal Lílian Oliveira da Costa Tourinho, redator para acórdão Juiz Federal Ivanir César Ireno Júnior, j. 12/11/2025), firmou a tese de que "não é possível o cômputo do período de gozo de benefício por incapacidade intercalado entre contribuições para fins de aferição das mais de 120 contribuições mensais exigidas para a prorrogação do período de graça, nos termos do art. 15, § 1º, da Lei n. 8.213/91". A decisão impede que segurados com longos períodos de afastamento por incapacidade se beneficiem da prorrogação automática do período de graça (de 12 para 24 meses) sem terem efetivamente vertido as contribuições exigidas.</w:t>
            </w:r>
          </w:p>
        </w:tc>
      </w:tr>
    </w:tbl>
    <w:p w14:paraId="22902461" w14:textId="77777777" w:rsidR="005A5FCC" w:rsidRDefault="005A5FCC">
      <w:pPr>
        <w:spacing w:after="80" w:line="240" w:lineRule="auto"/>
      </w:pPr>
    </w:p>
    <w:p w14:paraId="0ED07356" w14:textId="77777777" w:rsidR="005A5FCC" w:rsidRDefault="00A21C81">
      <w:pPr>
        <w:spacing w:before="260" w:after="80" w:line="240" w:lineRule="auto"/>
        <w:jc w:val="left"/>
      </w:pPr>
      <w:r>
        <w:rPr>
          <w:rFonts w:cs="EB Garamond"/>
          <w:b/>
          <w:color w:val="3A3128"/>
          <w:kern w:val="16"/>
          <w:sz w:val="25"/>
          <w14:ligatures w14:val="standardContextual"/>
        </w:rPr>
        <w:t>3.6.3 Cálculo da data exata de perda da qualidade</w:t>
      </w:r>
    </w:p>
    <w:p w14:paraId="6DE5526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1197210C" w14:textId="77777777" w:rsidR="005A5FCC" w:rsidRDefault="00A21C81">
      <w:r>
        <w:rPr>
          <w:rFonts w:cs="EB Garamond"/>
          <w:kern w:val="16"/>
          <w14:ligatures w14:val="standardContextual"/>
        </w:rPr>
        <w:t xml:space="preserve"> perda efetiva da qualidade de segurado não ocorre no último dia do período de graça, mas em momento posterior, conforme a regra do § 4º do art. 15. Segundo esse dispositivo, a perda se dá no dia seguinte ao término do prazo de recolhimento da contribuição referente ao mês imediatamente posterior ao final do período de graça. O Decreto 3.048/99, em seu art. 14, complementa: o reconhecimento da perda ocorre no dia seguinte ao do vencimento da contribuição do contribuinte individual relativa ao mês imediatamente posterior ao término dos prazos.</w:t>
      </w:r>
    </w:p>
    <w:p w14:paraId="6DDB84ED" w14:textId="77777777" w:rsidR="005A5FCC" w:rsidRDefault="00A21C81">
      <w:pPr>
        <w:ind w:firstLine="238"/>
      </w:pPr>
      <w:r>
        <w:rPr>
          <w:rFonts w:cs="EB Garamond"/>
          <w:kern w:val="16"/>
          <w14:ligatures w14:val="standardContextual"/>
        </w:rPr>
        <w:t>Na prática administrativa e na contagem judicial, isso significa que o segurado dispõe de um mês adicional além do período de graça propriamente dito, acrescido do prazo até o vencimento da contribuição daquele mês. Porto (2024) oferece exemplo numérico esclarecedor: se o período de graça é de 12 meses e o último mês de trabalho foi janeiro de 2015, o período de graça vai de fevereiro de 2015 até janeiro de 2016; para não perder a qualidade, o segurado precisaria voltar a contribuir em fevereiro de 2016, cujo recolhimento vence em 15 de março de 2016 (para o contribuinte individual), resultando em período efetivo de proteção de 13 meses e 15 dias. A mesma extensão aplica-se aos demais prazos.</w:t>
      </w:r>
    </w:p>
    <w:p w14:paraId="19876173" w14:textId="77777777" w:rsidR="005A5FCC" w:rsidRDefault="00A21C81">
      <w:pPr>
        <w:ind w:firstLine="238"/>
      </w:pPr>
      <w:r>
        <w:rPr>
          <w:rFonts w:cs="EB Garamond"/>
          <w:kern w:val="16"/>
          <w14:ligatures w14:val="standardContextual"/>
        </w:rPr>
        <w:t xml:space="preserve">Esse cálculo exige atenção minuciosa, pois um erro de dias pode alterar a conclusão sobre a manutenção ou perda da qualidade de segurado na data do evento gerador. Nos JEFs, o cálculo preciso dessa data é determinante para o resultado </w:t>
      </w:r>
      <w:r>
        <w:rPr>
          <w:rFonts w:cs="EB Garamond"/>
          <w:kern w:val="16"/>
          <w14:ligatures w14:val="standardContextual"/>
        </w:rPr>
        <w:lastRenderedPageBreak/>
        <w:t>do processo, especialmente em ações de pensão por morte (em que o evento é o óbito) e de benefícios por incapacidade (em que o evento é a data de início da incapacidade).</w:t>
      </w:r>
    </w:p>
    <w:p w14:paraId="79B23B3C"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3.7 Prorrogação do período de graça e jurisprudência</w:t>
      </w:r>
    </w:p>
    <w:p w14:paraId="4597716C"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5DE70331" w14:textId="77777777" w:rsidR="005A5FCC" w:rsidRDefault="00A21C81">
      <w:r>
        <w:rPr>
          <w:rFonts w:cs="EB Garamond"/>
          <w:kern w:val="16"/>
          <w14:ligatures w14:val="standardContextual"/>
        </w:rPr>
        <w:t xml:space="preserve"> prova do desemprego involuntário, exigida para obtenção do acréscimo de 12 meses previsto no § 2º do art. 15, figura entre as questões mais litigadas em torno da qualidade de segurado. A lei reclama comprovação por meio de "registro no órgão próprio do Ministério do Trabalho e da Previdência Social", o que suscitou longa controvérsia sobre a taxatividade desse meio de prova.</w:t>
      </w:r>
    </w:p>
    <w:p w14:paraId="0272492B" w14:textId="77777777" w:rsidR="005A5FCC" w:rsidRDefault="00A21C81">
      <w:pPr>
        <w:spacing w:before="260" w:after="80" w:line="240" w:lineRule="auto"/>
        <w:jc w:val="left"/>
      </w:pPr>
      <w:r>
        <w:rPr>
          <w:rFonts w:cs="EB Garamond"/>
          <w:b/>
          <w:color w:val="3A3128"/>
          <w:kern w:val="16"/>
          <w:sz w:val="25"/>
          <w14:ligatures w14:val="standardContextual"/>
        </w:rPr>
        <w:t>3.7.1 Prova do desemprego involuntário</w:t>
      </w:r>
    </w:p>
    <w:p w14:paraId="756DAC5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0B798EE1" w14:textId="77777777" w:rsidR="005A5FCC" w:rsidRDefault="00A21C81">
      <w:r>
        <w:rPr>
          <w:rFonts w:cs="EB Garamond"/>
          <w:kern w:val="16"/>
          <w14:ligatures w14:val="standardContextual"/>
        </w:rPr>
        <w:t xml:space="preserve"> TNU, por meio da Súmula 27, firmou que a ausência de registro em órgão do Ministério do Trabalho não impede a comprovação do desemprego por outros meios admitidos em direito. Porto (2024), em nota doutrinária, registra que o STJ exige prova mais robusta do que a mera ausência de anotação posterior na CTPS, ou seja, a prova negativa não é suficiente; é necessário elemento positivo que demonstre a condição de desempregado.</w:t>
      </w:r>
    </w:p>
    <w:p w14:paraId="516B0F4D" w14:textId="77777777" w:rsidR="005A5FCC" w:rsidRDefault="00A21C81">
      <w:pPr>
        <w:ind w:firstLine="238"/>
      </w:pPr>
      <w:r>
        <w:rPr>
          <w:rFonts w:cs="EB Garamond"/>
          <w:kern w:val="16"/>
          <w14:ligatures w14:val="standardContextual"/>
        </w:rPr>
        <w:t>O Superior Tribunal de Justiça, no julgamento do Tema Repetitivo 1360 (rel. Min. Afrânio Vilela, j. 11/03/2026), consolidou e expandiu esse entendimento, fixando que o registro perante o Ministério do Trabalho pode ser suprido por outros meios de prova, tanto na via administrativa quanto na judicial, desde que demonstrada a situação de desemprego involuntário. A Corte ressalvou que a mera ausência de anotações na CTPS ou no CNIS não é suficiente isoladamente, exigindo prova positiva da condição de desempregado, como FGTS movimentado, recibo de seguro-desemprego, Termo de Rescisão ou documentação equivalente.</w:t>
      </w:r>
    </w:p>
    <w:p w14:paraId="1336D458" w14:textId="77777777" w:rsidR="005A5FCC" w:rsidRDefault="00A21C81">
      <w:pPr>
        <w:spacing w:before="260" w:after="80" w:line="240" w:lineRule="auto"/>
        <w:jc w:val="left"/>
      </w:pPr>
      <w:r>
        <w:rPr>
          <w:rFonts w:cs="EB Garamond"/>
          <w:b/>
          <w:color w:val="3A3128"/>
          <w:kern w:val="16"/>
          <w:sz w:val="25"/>
          <w14:ligatures w14:val="standardContextual"/>
        </w:rPr>
        <w:t>3.7.2 Extensão ao contribuinte individual</w:t>
      </w:r>
    </w:p>
    <w:p w14:paraId="397CDF81"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A</w:t>
      </w:r>
    </w:p>
    <w:p w14:paraId="06971FCC" w14:textId="77777777" w:rsidR="005A5FCC" w:rsidRDefault="00A21C81">
      <w:r>
        <w:rPr>
          <w:rFonts w:cs="EB Garamond"/>
          <w:kern w:val="16"/>
          <w14:ligatures w14:val="standardContextual"/>
        </w:rPr>
        <w:t xml:space="preserve"> prorrogação por desemprego involuntário alcança também o contribuinte individual. A TNU, no Tema 239 (PEDILEF 0504272-91.2018.4.05.8400, j. 28/04/2021), firmou a tese de que a prorrogação prevista no § 2º do art. 15 estende-se ao segurado contribuinte individual, quando comprovado que a cessação da atividade econômica decorreu de causa involuntária, além da ausência de atividade subsequente. Savaris (2023), que foi pioneiro na defesa dessa extensão antes de seu acolhimento jurisprudencial, fundamenta a tese no princípio da adequada proteção previdenciária, sustentando que o período de graça é concretização do direito fundamental à proteção social.</w:t>
      </w:r>
    </w:p>
    <w:p w14:paraId="6EAB96F8" w14:textId="77777777" w:rsidR="005A5FCC" w:rsidRDefault="00A21C81">
      <w:pPr>
        <w:ind w:firstLine="238"/>
      </w:pPr>
      <w:r>
        <w:rPr>
          <w:rFonts w:cs="EB Garamond"/>
          <w:kern w:val="16"/>
          <w14:ligatures w14:val="standardContextual"/>
        </w:rPr>
        <w:t>Porto (2024) anota que, tradicionalmente, entendia-se que o termo "desempregado" abarcaria apenas o segurado empregado (inclusive o doméstico e o trabalhador avulso) em situação de desemprego. A evolução jurisprudencial, contudo, expandiu o conceito para incluir o contribuinte individual que comprove situação de "desocupação" (termo tecnicamente mais adequado que "desemprego" para essa categoria). A ressalva é que o contribuinte individual deve demonstrar não apenas a cessação involuntária de sua atividade, mas também a ausência de atividade remunerada subsequente.</w:t>
      </w:r>
    </w:p>
    <w:p w14:paraId="47CB9B55" w14:textId="77777777" w:rsidR="005A5FCC" w:rsidRDefault="00A21C81">
      <w:pPr>
        <w:spacing w:before="260" w:after="80" w:line="240" w:lineRule="auto"/>
        <w:jc w:val="left"/>
      </w:pPr>
      <w:r>
        <w:rPr>
          <w:rFonts w:cs="EB Garamond"/>
          <w:b/>
          <w:color w:val="3A3128"/>
          <w:kern w:val="16"/>
          <w:sz w:val="25"/>
          <w14:ligatures w14:val="standardContextual"/>
        </w:rPr>
        <w:t>3.7.3 Limbo previdenciário</w:t>
      </w:r>
    </w:p>
    <w:p w14:paraId="6912F3CD"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S</w:t>
      </w:r>
    </w:p>
    <w:p w14:paraId="171FFD35" w14:textId="77777777" w:rsidR="005A5FCC" w:rsidRDefault="00A21C81">
      <w:r>
        <w:rPr>
          <w:rFonts w:cs="EB Garamond"/>
          <w:kern w:val="16"/>
          <w14:ligatures w14:val="standardContextual"/>
        </w:rPr>
        <w:t>ituação peculiar envolve o chamado limbo previdenciário, que ocorre quando o INSS cessa o benefício por incapacidade, considerando o segurado apto ao trabalho, mas o empregador recusa seu retorno por considerá-lo inapto. A TNU enfrentou a questão no Tema 300 (Processo 05130308820204058400, j. 07/12/2022), fixando que, nessa hipótese, a qualidade de segurado se mantém até o encerramento do vínculo de trabalho, que ocorrerá com a rescisão contratual, momento a partir do qual se inicia a contagem do período de graça do art. 15, inciso II. A tese protege o segurado em situação de vulnerabilidade, impedindo que a perda da qualidade seja contada a partir da cessação do benefício pelo INSS quando o trabalhador permanece vinculado ao emprego sem poder exercê-lo nem contribuir.</w:t>
      </w:r>
    </w:p>
    <w:p w14:paraId="414185CA" w14:textId="77777777" w:rsidR="005A5FCC" w:rsidRDefault="00A21C81">
      <w:pPr>
        <w:ind w:firstLine="238"/>
      </w:pPr>
      <w:r>
        <w:rPr>
          <w:rFonts w:cs="EB Garamond"/>
          <w:kern w:val="16"/>
          <w14:ligatures w14:val="standardContextual"/>
        </w:rPr>
        <w:t xml:space="preserve">O limbo previdenciário situa-se na fronteira entre o direito previdenciário e o direito do trabalho, e essa dupla natureza explica boa parte de sua dificuldade. O </w:t>
      </w:r>
      <w:r>
        <w:rPr>
          <w:rFonts w:cs="EB Garamond"/>
          <w:kern w:val="16"/>
          <w14:ligatures w14:val="standardContextual"/>
        </w:rPr>
        <w:lastRenderedPageBreak/>
        <w:t>trabalhador que se encontra nessa situação não recebe remuneração do empregador (que recusa o retorno) nem benefício previdenciário (que foi cessado), ficando em completo desamparo. A tese firmada no Tema 300/TNU garante que, ao menos para fins previdenciários, a qualidade de segurado seja preservada durante o período de limbo, mas não resolve a questão trabalhista. Nos JEFs, a solução usual é o restabelecimento do benefício por incapacidade quando demonstrada a persistência da incapacidade, ou a fixação do termo inicial do período de graça na data da efetiva rescisão contratual.</w:t>
      </w:r>
    </w:p>
    <w:p w14:paraId="09B65E51" w14:textId="77777777" w:rsidR="005A5FCC" w:rsidRDefault="00A21C81">
      <w:pPr>
        <w:spacing w:before="260" w:after="80" w:line="240" w:lineRule="auto"/>
        <w:jc w:val="left"/>
      </w:pPr>
      <w:r>
        <w:rPr>
          <w:rFonts w:cs="EB Garamond"/>
          <w:b/>
          <w:color w:val="3A3128"/>
          <w:kern w:val="16"/>
          <w:sz w:val="25"/>
          <w14:ligatures w14:val="standardContextual"/>
        </w:rPr>
        <w:t>3.7.4 Início da contagem após cessação de benefício por incapacidade</w:t>
      </w:r>
    </w:p>
    <w:p w14:paraId="344D0B4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0AB6E2C3" w14:textId="77777777" w:rsidR="005A5FCC" w:rsidRDefault="00A21C81">
      <w:r>
        <w:rPr>
          <w:rFonts w:cs="EB Garamond"/>
          <w:kern w:val="16"/>
          <w14:ligatures w14:val="standardContextual"/>
        </w:rPr>
        <w:t xml:space="preserve"> início da contagem do período de graça após a cessação de benefício por incapacidade foi uniformizado pela TNU no Tema 251 (Processo 0501223-27.2018.4.05.8405/RN, rel. Juíza Federal Isadora Segalla Afanasieff, j. 16/10/2020): "o início da contagem do período de graça para o segurado que se encontra em gozo de auxílio por incapacidade temporária, para fins de aplicação do disposto no art. 15, inciso II e §§ 1º e 2º da Lei n. 8.213/1991, é o primeiro dia do mês seguinte à data de cessação do benefício previdenciário por incapacidade". Essa uniformização é essencial para o cálculo preciso da qualidade de segurado em ações de concessão de novos benefícios ou de pensão por morte.</w:t>
      </w:r>
    </w:p>
    <w:tbl>
      <w:tblPr>
        <w:tblW w:w="5000" w:type="pct"/>
        <w:jc w:val="center"/>
        <w:tblLayout w:type="fixed"/>
        <w:tblLook w:val="04A0" w:firstRow="1" w:lastRow="0" w:firstColumn="1" w:lastColumn="0" w:noHBand="0" w:noVBand="1"/>
      </w:tblPr>
      <w:tblGrid>
        <w:gridCol w:w="6311"/>
      </w:tblGrid>
      <w:tr w:rsidR="005A5FCC" w14:paraId="7DF13F22"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25261441"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40E3CB0B" w14:textId="77777777" w:rsidR="005A5FCC" w:rsidRDefault="00A21C81">
            <w:pPr>
              <w:spacing w:after="60" w:line="247" w:lineRule="auto"/>
            </w:pPr>
            <w:r>
              <w:rPr>
                <w:rFonts w:cs="EB Garamond"/>
                <w:kern w:val="16"/>
                <w:sz w:val="19"/>
                <w14:ligatures w14:val="standardContextual"/>
              </w:rPr>
              <w:t>O cálculo do período de graça concentra boa parte das controvérsias sobre qualidade de segurado, e por isso convém reduzi-lo a uma sequência ordenada: (1) identificar a data de cessação das contribuições ou do último benefício por incapacidade (Tema 251/TNU: primeiro dia do mês seguinte à cessação); (2) verificar se o segurado conta com mais de 120 contribuições efetivas (prorrogação para 24 meses, conforme o § 1º, exigindo contribuições efetivas nos termos do Tema 365/TNU, sem cômputo de período em gozo de benefício por incapacidade intercalado); (3) verificar se há prova de desemprego involuntário (acréscimo de 12 meses, conforme o § 2º, admitindo qualquer meio de prova nos termos do Tema 1360/STJ e extensível ao contribuinte individual conforme Tema 239/TNU); (4) aplicar a regra do § 4º para determinar a data exata da perda (dia seguinte ao vencimento da contribuição do mês imediatamente posterior ao término do período de graça); e (5) em caso de limbo previdenciário, considerar o Tema 300/TNU para fixar o termo inicial da contagem na data da rescisão contratual. É desse cálculo, frequentemente disputado por questão de dias, que depende a conclusão sobre a manutenção da qualidade na data do evento gerador (incapacidade, óbito, recolhimento à prisão).</w:t>
            </w:r>
          </w:p>
        </w:tc>
      </w:tr>
    </w:tbl>
    <w:p w14:paraId="2B0FE8E6" w14:textId="77777777" w:rsidR="005A5FCC" w:rsidRDefault="005A5FCC">
      <w:pPr>
        <w:spacing w:after="80" w:line="240" w:lineRule="auto"/>
      </w:pPr>
    </w:p>
    <w:p w14:paraId="1C66889D"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3.8 Perda e reaquisição da qualidade de segurado</w:t>
      </w:r>
    </w:p>
    <w:p w14:paraId="2493A65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4F60E6AA" w14:textId="77777777" w:rsidR="005A5FCC" w:rsidRDefault="00A21C81">
      <w:r>
        <w:rPr>
          <w:rFonts w:cs="EB Garamond"/>
          <w:kern w:val="16"/>
          <w14:ligatures w14:val="standardContextual"/>
        </w:rPr>
        <w:t xml:space="preserve"> perda da qualidade de segurado produz, como efeito principal, a caducidade dos direitos inerentes a essa condição, nos termos do art. 102 da Lei 8.213/91. O ex-segurado perde o acesso a benefícios cujo fato gerador ocorra após a perda, e seus dependentes ficam desprotegidos para fins de pensão por morte e auxílio-reclusão. Porto (2024) sintetiza a consequência: perdida a qualidade de segurado, será necessária nova filiação ("refiliação"), nos mesmos moldes da filiação original, para readquiri-la. Para os benefícios não programados, a perda acarreta também a caducidade da carência anteriormente cumprida. Há, contudo, exceções relevantes que merecem exame detalhado.</w:t>
      </w:r>
    </w:p>
    <w:p w14:paraId="537DF527" w14:textId="77777777" w:rsidR="005A5FCC" w:rsidRDefault="00A21C81">
      <w:pPr>
        <w:spacing w:before="260" w:after="80" w:line="240" w:lineRule="auto"/>
        <w:jc w:val="left"/>
      </w:pPr>
      <w:r>
        <w:rPr>
          <w:rFonts w:cs="EB Garamond"/>
          <w:b/>
          <w:color w:val="3A3128"/>
          <w:kern w:val="16"/>
          <w:sz w:val="25"/>
          <w14:ligatures w14:val="standardContextual"/>
        </w:rPr>
        <w:t>3.8.1 Efeitos da perda e exceções legais</w:t>
      </w:r>
    </w:p>
    <w:p w14:paraId="2232BA81"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A</w:t>
      </w:r>
    </w:p>
    <w:p w14:paraId="0F299878" w14:textId="77777777" w:rsidR="005A5FCC" w:rsidRDefault="00A21C81">
      <w:r>
        <w:rPr>
          <w:rFonts w:cs="EB Garamond"/>
          <w:kern w:val="16"/>
          <w14:ligatures w14:val="standardContextual"/>
        </w:rPr>
        <w:t xml:space="preserve"> primeira exceção é o direito adquirido à aposentadoria. O § 1º do art. 102 estabelece que a perda da qualidade não prejudica o direito à aposentadoria cujos requisitos já tenham sido integralmente preenchidos segundo a legislação vigente à época. A Lei n. 10.666, de 8 de maio de 2003, ampliou esse entendimento em seu art. 3º, dispondo que a perda da qualidade de segurado não será considerada para a concessão das aposentadorias por tempo de contribuição e especial. Essa norma dispensa a manutenção da qualidade de segurado para essas espécies de aposentadoria, bastando o cumprimento da carência e do tempo exigidos. O Decreto 3.048/99, em seus §§ 5º e 6º do art. 13, estendeu a mesma lógica à aposentadoria por idade, desde que o segurado conte com a carência mínima exigida.</w:t>
      </w:r>
    </w:p>
    <w:p w14:paraId="49CAF083" w14:textId="6B9FAA9C" w:rsidR="005A5FCC" w:rsidRDefault="00776FD2">
      <w:pPr>
        <w:ind w:firstLine="238"/>
      </w:pPr>
      <w:r>
        <w:rPr>
          <w:rFonts w:cs="EB Garamond"/>
          <w:kern w:val="16"/>
          <w14:ligatures w14:val="standardContextual"/>
        </w:rPr>
        <w:t>A</w:t>
      </w:r>
      <w:r w:rsidR="00A21C81">
        <w:rPr>
          <w:rFonts w:cs="EB Garamond"/>
          <w:kern w:val="16"/>
          <w14:ligatures w14:val="standardContextual"/>
        </w:rPr>
        <w:t xml:space="preserve"> regra do art. 102, § 1º, constitui norma que respeita o direito adquirido do segurado e que tem reflexo na cobertura previdenciária até de seus dependentes. Não teria sentido que, cumpridos os requisitos para aposentar-se, deixando o segurado de contribuir e perdendo essa condição, perdesse o direito ao benefício. A regra foi repetida pelo art. 3º da Lei n. 10.666/2003, acolhendo entendimento então dominante na jurisprudência.</w:t>
      </w:r>
    </w:p>
    <w:p w14:paraId="09799EEB" w14:textId="77777777" w:rsidR="005A5FCC" w:rsidRDefault="00A21C81">
      <w:pPr>
        <w:ind w:firstLine="238"/>
      </w:pPr>
      <w:r>
        <w:rPr>
          <w:rFonts w:cs="EB Garamond"/>
          <w:kern w:val="16"/>
          <w14:ligatures w14:val="standardContextual"/>
        </w:rPr>
        <w:t>A segunda exceção protege os dependentes. O § 2º do art. 102 veda a concessão de pensão por morte aos dependentes do segurado que falecer após a perda da qualidade, salvo se o falecido já havia preenchido todos os requisitos para aposentadoria na forma do § 1º. Essa ressalva é aplicação direta da Súmula 416 do STJ, que consagra o entendimento de que "é devida a pensão por morte aos dependentes do segurado que, apesar de ter perdido essa qualidade, preencheu os requisitos legais para a obtenção de aposentadoria até a data do seu óbito". A identificação do regime jurídico aplicável segue o princípio consagrado na Súmula 340 do STJ, segundo a qual a lei vigente na data do óbito é a que rege a concessão da pensão, o que exige atenção ao marco temporal em ações envolvendo óbitos ocorridos antes e depois da EC 103/2019.</w:t>
      </w:r>
    </w:p>
    <w:p w14:paraId="19D2623C" w14:textId="77777777" w:rsidR="005A5FCC" w:rsidRDefault="00A21C81">
      <w:pPr>
        <w:spacing w:before="260" w:after="80" w:line="240" w:lineRule="auto"/>
        <w:jc w:val="left"/>
      </w:pPr>
      <w:r>
        <w:rPr>
          <w:rFonts w:cs="EB Garamond"/>
          <w:b/>
          <w:color w:val="3A3128"/>
          <w:kern w:val="16"/>
          <w:sz w:val="25"/>
          <w14:ligatures w14:val="standardContextual"/>
        </w:rPr>
        <w:t>3.8.2 A regra geral do art. 24, parágrafo único</w:t>
      </w:r>
    </w:p>
    <w:p w14:paraId="370F488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605D32E3" w14:textId="77777777" w:rsidR="005A5FCC" w:rsidRDefault="00A21C81">
      <w:r>
        <w:rPr>
          <w:rFonts w:cs="EB Garamond"/>
          <w:kern w:val="16"/>
          <w14:ligatures w14:val="standardContextual"/>
        </w:rPr>
        <w:t xml:space="preserve"> reaquisição da qualidade de segurado após sua perda suscita a questão do aproveitamento das contribuições anteriores para fins de carência. O art. 24, parágrafo único, da Lei 8.213/91 estabelece regra geral segundo a qual </w:t>
      </w:r>
      <w:r>
        <w:rPr>
          <w:rFonts w:cs="EB Garamond"/>
          <w:kern w:val="16"/>
          <w14:ligatures w14:val="standardContextual"/>
        </w:rPr>
        <w:lastRenderedPageBreak/>
        <w:t>as contribuições anteriores à perda da qualidade só serão computadas para carência depois que o segurado contar, a partir da nova filiação, com no mínimo um terço do número de contribuições exigidas para o benefício pretendido. Na prática, para aposentadorias que exigem 180 contribuições, é necessário reunir 60 novas contribuições para aproveitar as anteriores; para benefícios por incapacidade que exigem 12, bastariam 4.</w:t>
      </w:r>
    </w:p>
    <w:p w14:paraId="727606E1" w14:textId="77777777" w:rsidR="005A5FCC" w:rsidRDefault="00A21C81">
      <w:pPr>
        <w:ind w:firstLine="238"/>
      </w:pPr>
      <w:r>
        <w:rPr>
          <w:rFonts w:cs="EB Garamond"/>
          <w:kern w:val="16"/>
          <w14:ligatures w14:val="standardContextual"/>
        </w:rPr>
        <w:t>Essa regra geral aplica-se aos benefícios não abrangidos pelo art. 27-A, que constitui norma especial. Atualmente, o campo de aplicação residual do art. 24, parágrafo único, é relativamente restrito: na prática forense, predomina a invocação do art. 27-A para benefícios por incapacidade, salário-maternidade e auxílio-reclusão.</w:t>
      </w:r>
    </w:p>
    <w:p w14:paraId="34F2CC77" w14:textId="77777777" w:rsidR="005A5FCC" w:rsidRDefault="00A21C81">
      <w:pPr>
        <w:spacing w:before="260" w:after="80" w:line="240" w:lineRule="auto"/>
        <w:jc w:val="left"/>
      </w:pPr>
      <w:r>
        <w:rPr>
          <w:rFonts w:cs="EB Garamond"/>
          <w:b/>
          <w:color w:val="3A3128"/>
          <w:kern w:val="16"/>
          <w:sz w:val="25"/>
          <w14:ligatures w14:val="standardContextual"/>
        </w:rPr>
        <w:t>3.8.3 O art. 27-A e a regra da metade</w:t>
      </w:r>
    </w:p>
    <w:p w14:paraId="619ACC44"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0A9B4125" w14:textId="77777777" w:rsidR="005A5FCC" w:rsidRDefault="00A21C81">
      <w:r>
        <w:rPr>
          <w:rFonts w:cs="EB Garamond"/>
          <w:kern w:val="16"/>
          <w14:ligatures w14:val="standardContextual"/>
        </w:rPr>
        <w:t xml:space="preserve"> MP 871/2019, convertida na Lei 13.846/2019, inseriu o art. 27-A na redação vigente, que constitui norma especial para benefícios por incapacidade, </w:t>
      </w:r>
      <w:commentRangeStart w:id="0"/>
      <w:r>
        <w:rPr>
          <w:rFonts w:cs="EB Garamond"/>
          <w:kern w:val="16"/>
          <w14:ligatures w14:val="standardContextual"/>
        </w:rPr>
        <w:t xml:space="preserve">salário-maternidade </w:t>
      </w:r>
      <w:commentRangeEnd w:id="0"/>
      <w:r w:rsidR="004B4FD4">
        <w:rPr>
          <w:rStyle w:val="Refdecomentrio"/>
          <w:rFonts w:cs="EB Garamond"/>
          <w:kern w:val="16"/>
          <w:sz w:val="21"/>
          <w:szCs w:val="22"/>
          <w14:ligatures w14:val="standardContextual"/>
        </w:rPr>
        <w:commentReference w:id="0"/>
      </w:r>
      <w:r>
        <w:rPr>
          <w:rFonts w:cs="EB Garamond"/>
          <w:kern w:val="16"/>
          <w14:ligatures w14:val="standardContextual"/>
        </w:rPr>
        <w:t>e auxílio-reclusão. Por essa regra, o segurado que perdeu a qualidade deve contar, a partir da nova filiação, com metade dos períodos previstos nos incisos I, III e IV do art. 25. Na prática, para benefícios por incapacidade, a exigência é de 6 contribuições (metade de 12) após a nova filiação; para o auxílio-reclusão, 12 contribuições (metade de 24). Essa norma representou agravamento em relação à regra anterior: sob o regime do parágrafo único do art. 24, bastavam 4 contribuições (um terço de 12) para readquirir o aproveitamento pleno das contribuições pretéritas.</w:t>
      </w:r>
    </w:p>
    <w:p w14:paraId="011EE643" w14:textId="77777777" w:rsidR="005A5FCC" w:rsidRDefault="00A21C81">
      <w:pPr>
        <w:ind w:firstLine="238"/>
      </w:pPr>
      <w:r>
        <w:rPr>
          <w:rFonts w:cs="EB Garamond"/>
          <w:kern w:val="16"/>
          <w14:ligatures w14:val="standardContextual"/>
        </w:rPr>
        <w:t>Porto (2024) denomina essa exigência de "resgate da carência" ou "carência de reingresso", observando que a regra da metade foi introduzida pela MP 871/2019 e estabilizada pela Lei 13.846/2019. Após o cumprimento da carência de reingresso, o segurado pode aproveitar as contribuições anteriores à perda da qualidade para completar a carência total exigida para o benefício.</w:t>
      </w:r>
    </w:p>
    <w:p w14:paraId="19744633" w14:textId="77777777" w:rsidR="005A5FCC" w:rsidRDefault="00A21C81">
      <w:pPr>
        <w:ind w:firstLine="238"/>
      </w:pPr>
      <w:r>
        <w:rPr>
          <w:rFonts w:cs="EB Garamond"/>
          <w:kern w:val="16"/>
          <w14:ligatures w14:val="standardContextual"/>
        </w:rPr>
        <w:t>Exemplo prático: segurado contribuinte individual que verteu 120 contribuições, perdeu a qualidade de segurado por cessação das contribuições e, após dois anos, refiliou-se ao RGPS. Para obter auxílio por incapacidade temporária (ca</w:t>
      </w:r>
      <w:r>
        <w:rPr>
          <w:rFonts w:cs="EB Garamond"/>
          <w:kern w:val="16"/>
          <w14:ligatures w14:val="standardContextual"/>
        </w:rPr>
        <w:lastRenderedPageBreak/>
        <w:t>rência de 12 contribuições), deve cumprir 6 novas contribuições tempestivas (metade de 12) após a refiliação. Cumprida essa "carência de reingresso", as 120 contribuições anteriores são reaproveitadas, e o segurado terá 126 contribuições computadas para carência. Se, contudo, não cumprir as 6 contribuições necessárias antes do evento incapacitante, não terá direito ao benefício por falta de carência, mesmo tendo vertido 120 contribuições ao longo de sua vida laboral.</w:t>
      </w:r>
    </w:p>
    <w:p w14:paraId="1CB5CC4D" w14:textId="77777777" w:rsidR="005A5FCC" w:rsidRDefault="00A21C81">
      <w:pPr>
        <w:spacing w:before="260" w:after="80" w:line="240" w:lineRule="auto"/>
        <w:jc w:val="left"/>
      </w:pPr>
      <w:r>
        <w:rPr>
          <w:rFonts w:cs="EB Garamond"/>
          <w:b/>
          <w:color w:val="3A3128"/>
          <w:kern w:val="16"/>
          <w:sz w:val="25"/>
          <w14:ligatures w14:val="standardContextual"/>
        </w:rPr>
        <w:t>3.8.4 Histórico legislativo do art. 27-A (2016-2019)</w:t>
      </w:r>
    </w:p>
    <w:tbl>
      <w:tblPr>
        <w:tblW w:w="5000" w:type="pct"/>
        <w:jc w:val="center"/>
        <w:tblLayout w:type="fixed"/>
        <w:tblLook w:val="04A0" w:firstRow="1" w:lastRow="0" w:firstColumn="1" w:lastColumn="0" w:noHBand="0" w:noVBand="1"/>
      </w:tblPr>
      <w:tblGrid>
        <w:gridCol w:w="6311"/>
      </w:tblGrid>
      <w:tr w:rsidR="005A5FCC" w14:paraId="5B80B0DE"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056B66AD"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044EBBA1" w14:textId="77777777" w:rsidR="005A5FCC" w:rsidRDefault="00A21C81">
            <w:pPr>
              <w:spacing w:after="60" w:line="247" w:lineRule="auto"/>
            </w:pPr>
            <w:r>
              <w:rPr>
                <w:rFonts w:cs="EB Garamond"/>
                <w:kern w:val="16"/>
                <w:sz w:val="19"/>
                <w14:ligatures w14:val="standardContextual"/>
              </w:rPr>
              <w:t>O histórico legislativo do art. 27-A revela instabilidade normativa sem precedentes. Entre julho de 2016 e junho de 2019, o regime de reaquisição da carência após a perda da qualidade foi alterado cinco vezes: MP 739/2016 (exigiu carência integral, expirou sem conversão), MP 767/2017, Lei 13.457/2017 (converteu a MP 767), MP 871/2019 (introduziu a regra da metade) e Lei 13.846/2019 (converteu a MP 871 e estabilizou a regra vigente). Registra que, nesse período, o operador do direito precisou lidar com cinco regimes distintos em menos de três anos. Para ações nos JEFs envolvendo incapacidade surgida entre 2016 e 2019, é essencial verificar qual regime estava vigente na data de início da incapacidade.</w:t>
            </w:r>
          </w:p>
        </w:tc>
      </w:tr>
    </w:tbl>
    <w:p w14:paraId="730E1EA2" w14:textId="77777777" w:rsidR="005A5FCC" w:rsidRDefault="005A5FCC">
      <w:pPr>
        <w:spacing w:after="80" w:line="240" w:lineRule="auto"/>
      </w:pPr>
    </w:p>
    <w:p w14:paraId="7FBA173F"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211AC965" w14:textId="77777777" w:rsidR="005A5FCC" w:rsidRDefault="00A21C81">
      <w:r>
        <w:rPr>
          <w:rFonts w:cs="EB Garamond"/>
          <w:kern w:val="16"/>
          <w14:ligatures w14:val="standardContextual"/>
        </w:rPr>
        <w:t xml:space="preserve"> cronologia detalhada é indispensável para a correta aplicação do direito intertemporal:</w:t>
      </w:r>
    </w:p>
    <w:p w14:paraId="1BACE4C3" w14:textId="77777777" w:rsidR="005A5FCC" w:rsidRDefault="00A21C81">
      <w:pPr>
        <w:ind w:firstLine="238"/>
      </w:pPr>
      <w:r>
        <w:rPr>
          <w:rFonts w:cs="EB Garamond"/>
          <w:kern w:val="16"/>
          <w14:ligatures w14:val="standardContextual"/>
        </w:rPr>
        <w:t>(a) Regime anterior a 18/07/2016: aplicava-se exclusivamente o art. 24, parágrafo único, com exigência de um terço da carência (4 contribuições para benefícios por incapacidade com carência de 12). Não havia o art. 27-A.</w:t>
      </w:r>
    </w:p>
    <w:p w14:paraId="52D0C1BD" w14:textId="77777777" w:rsidR="005A5FCC" w:rsidRDefault="00A21C81">
      <w:pPr>
        <w:ind w:firstLine="238"/>
      </w:pPr>
      <w:r>
        <w:rPr>
          <w:rFonts w:cs="EB Garamond"/>
          <w:kern w:val="16"/>
          <w14:ligatures w14:val="standardContextual"/>
        </w:rPr>
        <w:t>(b) MP 739/2016 (18/07/2016 a 04/01/2017): introduziu pela primeira vez o art. 27-A, exigindo o cumprimento integral da carência após a perda da qualidade, sem aproveitamento de contribuições pretéritas. A medida era extremamente restritiva e expirou sem conversão em lei.</w:t>
      </w:r>
    </w:p>
    <w:p w14:paraId="2DA552A4" w14:textId="77777777" w:rsidR="005A5FCC" w:rsidRDefault="00A21C81">
      <w:pPr>
        <w:ind w:firstLine="238"/>
      </w:pPr>
      <w:r>
        <w:rPr>
          <w:rFonts w:cs="EB Garamond"/>
          <w:kern w:val="16"/>
          <w14:ligatures w14:val="standardContextual"/>
        </w:rPr>
        <w:t>(c) MP 767/2017 (06/01/2017 a 26/06/2017): reintroduziu o art. 27-A com redação semelhante à da MP 739/2016, mantendo a exigência de carência integral. Foi posteriormente convertida na Lei 13.457/2017.</w:t>
      </w:r>
    </w:p>
    <w:p w14:paraId="3A603565" w14:textId="77777777" w:rsidR="005A5FCC" w:rsidRDefault="00A21C81">
      <w:pPr>
        <w:ind w:firstLine="238"/>
      </w:pPr>
      <w:r>
        <w:rPr>
          <w:rFonts w:cs="EB Garamond"/>
          <w:kern w:val="16"/>
          <w14:ligatures w14:val="standardContextual"/>
        </w:rPr>
        <w:lastRenderedPageBreak/>
        <w:t>(d) Lei 13.457/2017 (27/06/2017 a 17/01/2019): converteu a MP 767/2017, mantendo a exigência de carência integral para benefícios por incapacidade e salário-maternidade, nos mesmos termos das MPs anteriores.</w:t>
      </w:r>
    </w:p>
    <w:p w14:paraId="17ED390A" w14:textId="77777777" w:rsidR="005A5FCC" w:rsidRDefault="00A21C81">
      <w:pPr>
        <w:ind w:firstLine="238"/>
      </w:pPr>
      <w:r>
        <w:rPr>
          <w:rFonts w:cs="EB Garamond"/>
          <w:kern w:val="16"/>
          <w14:ligatures w14:val="standardContextual"/>
        </w:rPr>
        <w:t>(e) MP 871/2019 (18/01/2019 a 17/06/2019): reformulou o art. 27-A, substituindo a exigência de carência integral pela regra da metade e incluindo expressamente o auxílio-reclusão (que havia passado a exigir carência de 24 contribuições pela mesma MP).</w:t>
      </w:r>
    </w:p>
    <w:p w14:paraId="02B1E3D7" w14:textId="77777777" w:rsidR="005A5FCC" w:rsidRDefault="00A21C81">
      <w:pPr>
        <w:ind w:firstLine="238"/>
      </w:pPr>
      <w:r>
        <w:rPr>
          <w:rFonts w:cs="EB Garamond"/>
          <w:kern w:val="16"/>
          <w14:ligatures w14:val="standardContextual"/>
        </w:rPr>
        <w:t>(f) Lei 13.846/2019 (a partir de 18/06/2019): converteu a MP 871/2019 e estabilizou o regime vigente, com a regra da metade aplicável a benefícios por incapacidade (6 contribuições), salário-maternidade e auxílio-reclusão (12 contribuições).</w:t>
      </w:r>
    </w:p>
    <w:p w14:paraId="7D7E7336" w14:textId="77777777" w:rsidR="005A5FCC" w:rsidRDefault="00A21C81">
      <w:pPr>
        <w:ind w:firstLine="238"/>
      </w:pPr>
      <w:r>
        <w:rPr>
          <w:rFonts w:cs="EB Garamond"/>
          <w:kern w:val="16"/>
          <w14:ligatures w14:val="standardContextual"/>
        </w:rPr>
        <w:t xml:space="preserve">A aplicação do princípio tempus regit actum impõe que se identifique qual regime estava vigente na data do fato gerador. Para benefícios por incapacidade, o marco relevante é a data de início da incapacidade (DII); para o auxílio-reclusão, a data do recolhimento à prisão; para o salário-maternidade, a data do parto ou do evento que gera o direito ao benefício. A importância dessa verificação temporal não pode ser subestimada: um segurado que perdeu a qualidade em março de 2017 e sofreu incapacidade em maio de 2017, sob o regime da MP 767/2017 (vigente desde 06/01/2017), precisava cumprir a carência integral (12 contribuições) após a refiliação. Se o mesmo segurado tivesse sofrido a incapacidade em dezembro de 2016, sob o regime da MP 739/2016, idêntica exigência se aplicaria (carência integral de 12 contribuições). </w:t>
      </w:r>
      <w:commentRangeStart w:id="1"/>
      <w:r>
        <w:rPr>
          <w:rFonts w:cs="EB Garamond"/>
          <w:kern w:val="16"/>
          <w14:ligatures w14:val="standardContextual"/>
        </w:rPr>
        <w:t>E se a incapacidade tivesse ocorrido em fevereiro de 2017, após a caducidade da MP 739/2016 e antes da edição da MP 767/2017</w:t>
      </w:r>
      <w:commentRangeEnd w:id="1"/>
      <w:r w:rsidR="004B4FD4">
        <w:rPr>
          <w:rStyle w:val="Refdecomentrio"/>
          <w:rFonts w:cs="EB Garamond"/>
          <w:kern w:val="16"/>
          <w:sz w:val="21"/>
          <w:szCs w:val="22"/>
          <w14:ligatures w14:val="standardContextual"/>
        </w:rPr>
        <w:commentReference w:id="1"/>
      </w:r>
      <w:r>
        <w:rPr>
          <w:rFonts w:cs="EB Garamond"/>
          <w:kern w:val="16"/>
          <w14:ligatures w14:val="standardContextual"/>
        </w:rPr>
        <w:t>, aplicava-se a regra geral do art. 24, parágrafo único (um terço, ou seja, 4 contribuições), regime substancialmente mais favorável. Já para incapacidade surgida a partir de 18/01/2019, sob o regime da MP 871/2019 (posteriormente convertida na Lei 13.846/2019), a exigência passou a ser de metade da carência (6 contribuições), representando abrandamento em relação à carência integral das MPs e da Lei anteriores. Essa oscilação normativa exige do advogado e do juiz nos JEFs meticulosa atenção à cronologia legislativa.</w:t>
      </w:r>
    </w:p>
    <w:p w14:paraId="7716E317" w14:textId="77777777" w:rsidR="005A5FCC" w:rsidRDefault="00A21C81">
      <w:pPr>
        <w:spacing w:before="260" w:after="80" w:line="240" w:lineRule="auto"/>
        <w:jc w:val="left"/>
      </w:pPr>
      <w:r>
        <w:rPr>
          <w:rFonts w:cs="EB Garamond"/>
          <w:b/>
          <w:color w:val="3A3128"/>
          <w:kern w:val="16"/>
          <w:sz w:val="25"/>
          <w14:ligatures w14:val="standardContextual"/>
        </w:rPr>
        <w:t>3.8.5 Complementação de contribuições após o óbito</w:t>
      </w:r>
    </w:p>
    <w:p w14:paraId="4412DFAB"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P</w:t>
      </w:r>
    </w:p>
    <w:p w14:paraId="231B75C5" w14:textId="77777777" w:rsidR="005A5FCC" w:rsidRDefault="00A21C81">
      <w:r>
        <w:rPr>
          <w:rFonts w:cs="EB Garamond"/>
          <w:kern w:val="16"/>
          <w14:ligatures w14:val="standardContextual"/>
        </w:rPr>
        <w:t>or fim, admite-se a possibilidade de complementação de contribuições após o óbito do segurado. A TNU, no Tema 286 (rel. Juiz Federal Ivanir César Ireno Júnior, j. 23/06/2022), admitiu que os dependentes complementem, após o óbito, as contribuições recolhidas em vida pelo segurado contribuinte de baixa renda (de 5% para 11% ou 20%), nos termos do art. 21, § 2º, II, "b", da Lei 8.212/91, em caso de não validação das contribuições originais. Essa complementação não se confunde com o recolhimento intempestivo de contribuições, que permanece vedado pela jurisprudência consolidada. A distinção é relevante: complementar a alíquota de contribuição tempestiva é permitido; recolher contribuição intempestiva após o óbito para criar carência é vedado.</w:t>
      </w:r>
    </w:p>
    <w:p w14:paraId="6F81C774" w14:textId="77777777" w:rsidR="005A5FCC" w:rsidRDefault="00A21C81">
      <w:pPr>
        <w:ind w:firstLine="238"/>
      </w:pPr>
      <w:r>
        <w:rPr>
          <w:rFonts w:cs="EB Garamond"/>
          <w:kern w:val="16"/>
          <w14:ligatures w14:val="standardContextual"/>
        </w:rPr>
        <w:t>A vedação de inscrição post mortem e de regularização de contribuições após o óbito (§ 5º-B do art. 18 do Decreto 3.048/99 e Súmula 52 da TNU), já examinada no Capítulo 2 (seção 2.3), não se confunde com a complementação de alíquota aqui tratada. A regra protege a integridade atuarial do sistema, impedindo que dependentes criem retroativamente situações contributivas que nunca existiram, mas admite a mera complementação quando o segurado já havia recolhido tempestivamente, ainda que em valor insuficiente para gerar todos os efeitos previdenciários.</w:t>
      </w:r>
    </w:p>
    <w:tbl>
      <w:tblPr>
        <w:tblW w:w="5000" w:type="pct"/>
        <w:jc w:val="center"/>
        <w:tblLayout w:type="fixed"/>
        <w:tblLook w:val="04A0" w:firstRow="1" w:lastRow="0" w:firstColumn="1" w:lastColumn="0" w:noHBand="0" w:noVBand="1"/>
      </w:tblPr>
      <w:tblGrid>
        <w:gridCol w:w="6311"/>
      </w:tblGrid>
      <w:tr w:rsidR="005A5FCC" w14:paraId="067E69FC"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60CD9284" w14:textId="77777777" w:rsidR="005A5FCC" w:rsidRDefault="00A21C81">
            <w:pPr>
              <w:spacing w:after="60" w:line="240" w:lineRule="auto"/>
              <w:jc w:val="left"/>
            </w:pPr>
            <w:r>
              <w:rPr>
                <w:rFonts w:ascii="Noto Sans" w:hAnsi="Noto Sans" w:cs="Noto Sans"/>
                <w:b/>
                <w:caps/>
                <w:color w:val="4D6F8A"/>
                <w:kern w:val="16"/>
                <w:sz w:val="16"/>
                <w14:ligatures w14:val="standardContextual"/>
              </w:rPr>
              <w:t>JURISPRUDÊNCIA EM DESTAQUE</w:t>
            </w:r>
          </w:p>
          <w:p w14:paraId="497AC904" w14:textId="16BB20D7" w:rsidR="005A5FCC" w:rsidRDefault="00A21C81">
            <w:pPr>
              <w:spacing w:after="60" w:line="247" w:lineRule="auto"/>
            </w:pPr>
            <w:r>
              <w:rPr>
                <w:rFonts w:cs="EB Garamond"/>
                <w:kern w:val="16"/>
                <w:sz w:val="19"/>
                <w14:ligatures w14:val="standardContextual"/>
              </w:rPr>
              <w:t xml:space="preserve">A conjugação dos Temas 286 e 349 da TNU oferece proteção significativa aos dependentes de segurados de baixa renda. O Tema 349 — já examinado em detalhe na seção 3.5, à qual remetemos — assegura que a contribuição em valor inferior ao mínimo não impede o reconhecimento da qualidade de segurado obrigatório; o Tema 286, por sua vez, admite a complementação post mortem da alíquota reduzida. O que importa aqui é a soma dos dois: o dependente de segurado falecido que recolheu em vida contribuições de 5% sobre o </w:t>
            </w:r>
            <w:r w:rsidR="00D911B3">
              <w:rPr>
                <w:rFonts w:cs="EB Garamond"/>
                <w:kern w:val="16"/>
                <w:sz w:val="19"/>
                <w14:ligatures w14:val="standardContextual"/>
              </w:rPr>
              <w:t>salário-mínimo</w:t>
            </w:r>
            <w:r>
              <w:rPr>
                <w:rFonts w:cs="EB Garamond"/>
                <w:kern w:val="16"/>
                <w:sz w:val="19"/>
                <w14:ligatures w14:val="standardContextual"/>
              </w:rPr>
              <w:t xml:space="preserve"> (R$ 81,05 em 2026) pode, de um lado, complementar a alíquota para 11% ou 20% e, de outro, ver reconhecida a qualidade de segurado ainda que alguma competência tenha ficado abaixo do piso, </w:t>
            </w:r>
            <w:commentRangeStart w:id="2"/>
            <w:r>
              <w:rPr>
                <w:rFonts w:cs="EB Garamond"/>
                <w:kern w:val="16"/>
                <w:sz w:val="19"/>
                <w14:ligatures w14:val="standardContextual"/>
              </w:rPr>
              <w:t>obtendo pensão por morte com cômputo integral da carência</w:t>
            </w:r>
            <w:commentRangeEnd w:id="2"/>
            <w:r w:rsidR="00D911B3">
              <w:rPr>
                <w:rStyle w:val="Refdecomentrio"/>
                <w:rFonts w:cs="EB Garamond"/>
                <w:kern w:val="16"/>
                <w:sz w:val="19"/>
                <w:szCs w:val="22"/>
                <w14:ligatures w14:val="standardContextual"/>
              </w:rPr>
              <w:commentReference w:id="2"/>
            </w:r>
            <w:r>
              <w:rPr>
                <w:rFonts w:cs="EB Garamond"/>
                <w:kern w:val="16"/>
                <w:sz w:val="19"/>
                <w14:ligatures w14:val="standardContextual"/>
              </w:rPr>
              <w:t>. Essa combinação de teses é especialmente relevante para ações de pensão por morte nos JEFs envolvendo segurados que contribuíram como microempreendedores individuais (MEI) ou como segurados facultativos de baixa renda.</w:t>
            </w:r>
          </w:p>
        </w:tc>
      </w:tr>
    </w:tbl>
    <w:p w14:paraId="3AB49F9F" w14:textId="77777777" w:rsidR="005A5FCC" w:rsidRDefault="005A5FCC">
      <w:pPr>
        <w:spacing w:after="80" w:line="240" w:lineRule="auto"/>
      </w:pPr>
    </w:p>
    <w:p w14:paraId="3E5C5DA5" w14:textId="260C4EB1" w:rsidR="005A5FCC" w:rsidRDefault="00D911B3">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 xml:space="preserve">3.9 </w:t>
      </w:r>
      <w:r w:rsidR="00A21C81">
        <w:rPr>
          <w:rFonts w:cs="EB Garamond"/>
          <w:b/>
          <w:color w:val="3A3128"/>
          <w:kern w:val="16"/>
          <w:sz w:val="31"/>
          <w14:ligatures w14:val="standardContextual"/>
        </w:rPr>
        <w:t>Conclusão</w:t>
      </w:r>
    </w:p>
    <w:p w14:paraId="78815655"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S</w:t>
      </w:r>
    </w:p>
    <w:p w14:paraId="14DA0174" w14:textId="77777777" w:rsidR="005A5FCC" w:rsidRDefault="00A21C81">
      <w:r>
        <w:rPr>
          <w:rFonts w:cs="EB Garamond"/>
          <w:kern w:val="16"/>
          <w14:ligatures w14:val="standardContextual"/>
        </w:rPr>
        <w:t>ustentamos que o sistema de perda e reaquisição da qualidade de segurado, tal como configurado pela conjugação dos arts. 15, 24 (parágrafo único), 27-A e 102 da Lei 8.213/91, constitui mecanismo complexo que demanda do operador do direito atenção tanto ao regime temporal aplicável quanto à natureza do benefício pretendido. A regra da metade do art. 27-A, embora represente agravamento em relação ao regime anterior, ainda preserva espaço de proteção razoável ao permitir que segurados com histórico contributivo anterior reaproveitem esse tempo após período relativamente curto de nova filiação. A proteção dos dependentes, assegurada pela conjugação da Súmula 416 do STJ com o § 2º do art. 102, constitui garantia essencial que impede o desamparo completo das famílias de ex-segurados que preencheram requisitos de aposentadoria antes da perda da qualidade.</w:t>
      </w:r>
    </w:p>
    <w:p w14:paraId="0A767B50" w14:textId="77777777" w:rsidR="005A5FCC" w:rsidRDefault="00A21C81">
      <w:pPr>
        <w:ind w:firstLine="238"/>
      </w:pPr>
      <w:r>
        <w:rPr>
          <w:rFonts w:cs="EB Garamond"/>
          <w:kern w:val="16"/>
          <w14:ligatures w14:val="standardContextual"/>
        </w:rPr>
        <w:t>Carência e qualidade de segurado, embora conceitos juridicamente autônomos, operam em interdependência funcional. A carência pressupõe a qualidade de segurado para os benefícios não programados; a perda da qualidade acarreta, como efeito reflexo, a caducidade da carência para esses mesmos benefícios. A jurisprudência atual da TNU e do STJ, examinada ao longo deste capítulo, oferece ao juiz, à defesa e ao próprio INSS balizas suficientes para a correta análise desses pressupostos, tanto na esfera administrativa quanto na judicial.</w:t>
      </w:r>
    </w:p>
    <w:p w14:paraId="1841F49A" w14:textId="77777777" w:rsidR="005A5FCC" w:rsidRDefault="005A5FCC">
      <w:pPr>
        <w:sectPr w:rsidR="005A5FCC">
          <w:headerReference w:type="even" r:id="rId72"/>
          <w:headerReference w:type="default" r:id="rId73"/>
          <w:footerReference w:type="even" r:id="rId74"/>
          <w:footerReference w:type="default" r:id="rId75"/>
          <w:headerReference w:type="first" r:id="rId76"/>
          <w:footerReference w:type="first" r:id="rId77"/>
          <w:pgSz w:w="8391" w:h="11906"/>
          <w:pgMar w:top="935" w:right="879" w:bottom="964" w:left="1162" w:header="454" w:footer="425" w:gutter="0"/>
          <w:cols w:space="720"/>
          <w:titlePg/>
          <w:docGrid w:linePitch="360"/>
        </w:sectPr>
      </w:pPr>
    </w:p>
    <w:p w14:paraId="355168F3" w14:textId="77777777" w:rsidR="005A5FCC" w:rsidRDefault="00A21C81">
      <w:pPr>
        <w:keepNext/>
        <w:spacing w:before="240" w:after="80" w:line="240" w:lineRule="auto"/>
        <w:jc w:val="center"/>
      </w:pPr>
      <w:r>
        <w:rPr>
          <w:rFonts w:ascii="Noto Sans" w:hAnsi="Noto Sans" w:cs="Noto Sans"/>
          <w:b/>
          <w:caps/>
          <w:color w:val="8A6A2A"/>
          <w:kern w:val="16"/>
          <w:sz w:val="19"/>
          <w14:ligatures w14:val="standardContextual"/>
        </w:rPr>
        <w:lastRenderedPageBreak/>
        <w:t>CAPÍTULO 4</w:t>
      </w:r>
    </w:p>
    <w:p w14:paraId="0F34042D" w14:textId="77777777" w:rsidR="005A5FCC" w:rsidRDefault="00A21C81">
      <w:pPr>
        <w:pStyle w:val="Ttulo2"/>
        <w:spacing w:line="240" w:lineRule="auto"/>
      </w:pPr>
      <w:r>
        <w:rPr>
          <w:rFonts w:ascii="EB Garamond" w:hAnsi="EB Garamond" w:cs="EB Garamond"/>
          <w:caps/>
          <w:kern w:val="16"/>
          <w14:ligatures w14:val="standardContextual"/>
        </w:rPr>
        <w:t>Contribuições Previdenciárias e Custeio do RGPS</w:t>
      </w:r>
    </w:p>
    <w:p w14:paraId="5990FA47" w14:textId="77777777" w:rsidR="005A5FCC" w:rsidRDefault="00A21C81">
      <w:pPr>
        <w:spacing w:after="240" w:line="240" w:lineRule="auto"/>
        <w:jc w:val="center"/>
      </w:pPr>
      <w:r>
        <w:rPr>
          <w:rFonts w:cs="EB Garamond"/>
          <w:color w:val="B78B37"/>
          <w:kern w:val="16"/>
          <w:sz w:val="18"/>
          <w14:ligatures w14:val="standardContextual"/>
        </w:rPr>
        <w:t>━━━━  ◆  ━━━━</w:t>
      </w:r>
    </w:p>
    <w:p w14:paraId="29DE5E05" w14:textId="04ACFC66" w:rsidR="005A5FCC" w:rsidRDefault="002406F8">
      <w:pPr>
        <w:keepNext/>
        <w:pBdr>
          <w:bottom w:val="single" w:sz="8" w:space="4" w:color="B89B5E"/>
        </w:pBdr>
        <w:spacing w:before="360" w:after="140" w:line="240" w:lineRule="auto"/>
        <w:jc w:val="left"/>
      </w:pPr>
      <w:r>
        <w:rPr>
          <w:rFonts w:cs="EB Garamond"/>
          <w:b/>
          <w:color w:val="3A3128"/>
          <w:kern w:val="16"/>
          <w:sz w:val="31"/>
          <w14:ligatures w14:val="standardContextual"/>
        </w:rPr>
        <w:t xml:space="preserve">4.1 </w:t>
      </w:r>
      <w:r w:rsidR="00A21C81">
        <w:rPr>
          <w:rFonts w:cs="EB Garamond"/>
          <w:b/>
          <w:color w:val="3A3128"/>
          <w:kern w:val="16"/>
          <w:sz w:val="31"/>
          <w14:ligatures w14:val="standardContextual"/>
        </w:rPr>
        <w:t>Introdução: o financiamento da previdência social</w:t>
      </w:r>
    </w:p>
    <w:p w14:paraId="52C9B2B1"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1ED91814" w14:textId="77777777" w:rsidR="005A5FCC" w:rsidRDefault="00A21C81">
      <w:r>
        <w:rPr>
          <w:rFonts w:cs="EB Garamond"/>
          <w:kern w:val="16"/>
          <w14:ligatures w14:val="standardContextual"/>
        </w:rPr>
        <w:t xml:space="preserve"> sistema previdenciário brasileiro sustenta-se sobre a lógica do pacto intergeracional: trabalhadores ativos financiam os benefícios dos inativos por meio de contribuições compulsórias. A CF/88 consolidou essa estrutura no art. 195, distribuindo o ônus entre empregadores, trabalhadores e Estado.</w:t>
      </w:r>
    </w:p>
    <w:p w14:paraId="097D80B3" w14:textId="77777777" w:rsidR="005A5FCC" w:rsidRDefault="00A21C81">
      <w:pPr>
        <w:ind w:firstLine="238"/>
      </w:pPr>
      <w:r>
        <w:rPr>
          <w:rFonts w:cs="EB Garamond"/>
          <w:kern w:val="16"/>
          <w14:ligatures w14:val="standardContextual"/>
        </w:rPr>
        <w:t>Questões de contribuição permeiam a concessão de quase todos os benefícios: a carência depende de contribuições efetivamente recolhidas; o tempo de contribuição pressupõe prova do recolhimento ou da atividade que o dispensa; o valor do benefício é calculado a partir dos salários de contribuição registrados no CNIS. Não há como litigar nos JEFs sem dominar o custeio.</w:t>
      </w:r>
    </w:p>
    <w:p w14:paraId="2EBF06CE" w14:textId="77777777" w:rsidR="005A5FCC" w:rsidRDefault="00A21C81">
      <w:pPr>
        <w:ind w:firstLine="238"/>
      </w:pPr>
      <w:r>
        <w:rPr>
          <w:rFonts w:cs="EB Garamond"/>
          <w:kern w:val="16"/>
          <w14:ligatures w14:val="standardContextual"/>
        </w:rPr>
        <w:t>Neste capítulo, examinaremos as contribuições devidas tanto pelo segurado quanto pelo empregador, porque ambas geram controvérsias nos JEFs. Ações previdenciárias rotineiramente envolvem períodos sem recolhimento, contribuições em atraso, complementações do plano simplificado, divergências entre o CNIS e a realidade contributiva do segurado, além de questões sobre a base de cálculo patronal, desoneração da folha e imunidade de entidades beneficentes. Sem domínio do mecanismo de financiamento, o litígio previdenciário perde eficiência.</w:t>
      </w:r>
    </w:p>
    <w:p w14:paraId="7174D404" w14:textId="77777777" w:rsidR="005A5FCC" w:rsidRDefault="00A21C81">
      <w:pPr>
        <w:ind w:firstLine="238"/>
      </w:pPr>
      <w:r>
        <w:rPr>
          <w:rFonts w:cs="EB Garamond"/>
          <w:kern w:val="16"/>
          <w14:ligatures w14:val="standardContextual"/>
        </w:rPr>
        <w:t xml:space="preserve">O art. 195, caput, da Constituição Federal estabelece o financiamento da seguridade social por toda a sociedade, de forma direta e indireta. Para o RGPS, a fonte primária são as contribuições dos empregadores sobre a folha de salários e </w:t>
      </w:r>
      <w:r>
        <w:rPr>
          <w:rFonts w:cs="EB Garamond"/>
          <w:kern w:val="16"/>
          <w14:ligatures w14:val="standardContextual"/>
        </w:rPr>
        <w:lastRenderedPageBreak/>
        <w:t>dos trabalhadores sobre a remuneração — a tríplice forma de custeio que sustenta o financiamento solidário.</w:t>
      </w:r>
    </w:p>
    <w:p w14:paraId="29F68CB9" w14:textId="51C6048A" w:rsidR="005A5FCC" w:rsidRDefault="00A21C81">
      <w:pPr>
        <w:ind w:firstLine="238"/>
      </w:pPr>
      <w:r>
        <w:rPr>
          <w:rFonts w:cs="EB Garamond"/>
          <w:kern w:val="16"/>
          <w14:ligatures w14:val="standardContextual"/>
        </w:rPr>
        <w:t>O princípio da equidade na forma de participação no custeio (art. 194, parágrafo único, V, CF/88) determina que a contribuição deve ser proporcional à capacidade contributiva do segurado. A EC 103/2019 levou esse princípio às últimas consequências ao instituir alíquotas progressivas para o segurado empregado, doméstico e trabalhador avulso — tema central deste capítulo.</w:t>
      </w:r>
    </w:p>
    <w:p w14:paraId="72816501" w14:textId="77777777" w:rsidR="005A5FCC" w:rsidRDefault="00A21C81">
      <w:pPr>
        <w:ind w:firstLine="238"/>
      </w:pPr>
      <w:r>
        <w:rPr>
          <w:rFonts w:cs="EB Garamond"/>
          <w:kern w:val="16"/>
          <w14:ligatures w14:val="standardContextual"/>
        </w:rPr>
        <w:t>Além da equidade, dois outros princípios constitucionais norteiam o custeio previdenciário. O princípio da preexistência do custeio (art. 195, § 5º, CF/88), segundo o qual nenhum benefício pode ser criado, majorado ou estendido sem a correspondente fonte de custeio total, funciona como freio à expansão irresponsável da cobertura. E o princípio da diversidade da base de financiamento (art. 194, parágrafo único, VI, CF/88) distribui os encargos entre diversas fontes, reduzindo a vulnerabilidade do sistema a oscilações em uma única base tributária.</w:t>
      </w:r>
    </w:p>
    <w:p w14:paraId="690CC25C" w14:textId="7AF130B8" w:rsidR="005A5FCC" w:rsidRDefault="00A21C81">
      <w:pPr>
        <w:ind w:firstLine="238"/>
      </w:pPr>
      <w:r>
        <w:rPr>
          <w:rFonts w:cs="EB Garamond"/>
          <w:kern w:val="16"/>
          <w14:ligatures w14:val="standardContextual"/>
        </w:rPr>
        <w:t>Essas regras de custeio ganham vida concreta quando se percebe que uma contribuição não recolhida pode impedir a aposentadoria de um trabalhador com 35 anos de labor, ou que uma complementação de R$ 3.000 pode viabilizar economicamente um benefício vitalício. Na prática dos JEFs, verificamos que boa parte das demandas previdenciárias tem, em seu núcleo, uma questão de custeio mal resolvida na via administrativa. O capítulo organiza-se em blocos temáticos. Primeiro, examinamos as contribuições por categoria de segurado (empregado, contribuinte individual, MEI, facultativo, doméstico, segurado especial) e a contribuição patronal. Em seguida, tratamos do salário de contribuição como base de cálculo e dos mecanismos de regularização (contribuição em atraso, complementação, retenção). Por fim, abordamos temas transversais, fiscalização, imunidades, restituição e os aspectos práticos nos JEFs.</w:t>
      </w:r>
    </w:p>
    <w:p w14:paraId="29892BF3"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4.2 Alíquotas progressivas do segurado empregado</w:t>
      </w:r>
    </w:p>
    <w:p w14:paraId="0E67CBAB" w14:textId="77777777" w:rsidR="005A5FCC" w:rsidRDefault="00A21C81">
      <w:pPr>
        <w:spacing w:before="260" w:after="80" w:line="240" w:lineRule="auto"/>
        <w:jc w:val="left"/>
      </w:pPr>
      <w:r>
        <w:rPr>
          <w:rFonts w:cs="EB Garamond"/>
          <w:b/>
          <w:color w:val="3A3128"/>
          <w:kern w:val="16"/>
          <w:sz w:val="25"/>
          <w14:ligatures w14:val="standardContextual"/>
        </w:rPr>
        <w:t>4.2.1 O modelo anterior à EC 103/2019</w:t>
      </w:r>
    </w:p>
    <w:p w14:paraId="3EFD100D"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A</w:t>
      </w:r>
    </w:p>
    <w:p w14:paraId="0D5D8DA8" w14:textId="77777777" w:rsidR="005A5FCC" w:rsidRDefault="00A21C81">
      <w:r>
        <w:rPr>
          <w:rFonts w:cs="EB Garamond"/>
          <w:kern w:val="16"/>
          <w14:ligatures w14:val="standardContextual"/>
        </w:rPr>
        <w:t>ntes da Reforma da Previdência, vigoravam três faixas com alíquotas de 8%, 9% e 11%, aplicadas sobre o total da remuneração conforme a faixa salarial em que o segurado se enquadrava. O sistema era proporcional (alíquota única sobre toda a remuneração), não progressivo. Um empregado que recebesse um centavo acima do limite inferior da faixa seguinte já pagava a alíquota superior sobre toda a remuneração, gerando distorções nos valores líquidos de salários próximos às faixas de transição.</w:t>
      </w:r>
    </w:p>
    <w:p w14:paraId="59100BB8" w14:textId="77777777" w:rsidR="005A5FCC" w:rsidRDefault="00A21C81">
      <w:pPr>
        <w:ind w:firstLine="238"/>
      </w:pPr>
      <w:r>
        <w:rPr>
          <w:rFonts w:cs="EB Garamond"/>
          <w:kern w:val="16"/>
          <w14:ligatures w14:val="standardContextual"/>
        </w:rPr>
        <w:t>Esse modelo vigorou por décadas e gerava o chamado "efeito degrau": um aumento salarial nominal podia resultar em redução do salário líquido quando o segurado mudava de faixa. A EC 103/2019 corrigiu essa distorção adotando a progressividade por faixas.</w:t>
      </w:r>
    </w:p>
    <w:p w14:paraId="579E79B1" w14:textId="77777777" w:rsidR="005A5FCC" w:rsidRDefault="00A21C81">
      <w:pPr>
        <w:spacing w:before="260" w:after="80" w:line="240" w:lineRule="auto"/>
        <w:jc w:val="left"/>
      </w:pPr>
      <w:r>
        <w:rPr>
          <w:rFonts w:cs="EB Garamond"/>
          <w:b/>
          <w:color w:val="3A3128"/>
          <w:kern w:val="16"/>
          <w:sz w:val="25"/>
          <w14:ligatures w14:val="standardContextual"/>
        </w:rPr>
        <w:t>4.2.2 O modelo progressivo pós-EC 103/2019</w:t>
      </w:r>
    </w:p>
    <w:p w14:paraId="75AF720F"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66B7A5D4" w14:textId="77777777" w:rsidR="005A5FCC" w:rsidRDefault="00A21C81">
      <w:r>
        <w:rPr>
          <w:rFonts w:cs="EB Garamond"/>
          <w:kern w:val="16"/>
          <w14:ligatures w14:val="standardContextual"/>
        </w:rPr>
        <w:t xml:space="preserve"> EC 103/2019 introduziu a progressividade por faixas, inspirada na sistemática do Imposto de Renda. Registre-se que o art. 28 da EC 103/2019 disciplina primariamente as alíquotas progressivas do RPPS (servidores públicos federais). Para o RGPS, as alíquotas progressivas foram inseridas no art. 28, § 1º, da Lei 8.212/91, com redação dada pela própria EC 103/2019. A contribuição incide de forma escalonada: cada parcela da remuneração é tributada pela alíquota correspondente à sua faixa. As alíquotas são:</w:t>
      </w:r>
    </w:p>
    <w:tbl>
      <w:tblPr>
        <w:tblW w:w="5000" w:type="pct"/>
        <w:jc w:val="center"/>
        <w:tblLook w:val="04A0" w:firstRow="1" w:lastRow="0" w:firstColumn="1" w:lastColumn="0" w:noHBand="0" w:noVBand="1"/>
      </w:tblPr>
      <w:tblGrid>
        <w:gridCol w:w="2113"/>
        <w:gridCol w:w="2114"/>
        <w:gridCol w:w="2113"/>
      </w:tblGrid>
      <w:tr w:rsidR="005A5FCC" w14:paraId="3FDD194B" w14:textId="77777777">
        <w:trPr>
          <w:tblHeader/>
          <w:jc w:val="center"/>
        </w:trPr>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2E61A3F0" w14:textId="77777777" w:rsidR="005A5FCC" w:rsidRDefault="00A21C81">
            <w:pPr>
              <w:spacing w:before="40" w:after="40" w:line="240" w:lineRule="auto"/>
              <w:jc w:val="center"/>
            </w:pPr>
            <w:r>
              <w:rPr>
                <w:rFonts w:cs="EB Garamond"/>
                <w:b/>
                <w:color w:val="2F2923"/>
                <w:kern w:val="16"/>
                <w:sz w:val="18"/>
                <w14:ligatures w14:val="standardContextual"/>
              </w:rPr>
              <w:t>Faixa</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72DAF391" w14:textId="77777777" w:rsidR="005A5FCC" w:rsidRDefault="00A21C81">
            <w:pPr>
              <w:spacing w:before="40" w:after="40" w:line="240" w:lineRule="auto"/>
              <w:jc w:val="center"/>
            </w:pPr>
            <w:r>
              <w:rPr>
                <w:rFonts w:cs="EB Garamond"/>
                <w:b/>
                <w:color w:val="2F2923"/>
                <w:kern w:val="16"/>
                <w:sz w:val="18"/>
                <w14:ligatures w14:val="standardContextual"/>
              </w:rPr>
              <w:t>Base de cálculo (2026)</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54BF0985" w14:textId="77777777" w:rsidR="005A5FCC" w:rsidRDefault="00A21C81">
            <w:pPr>
              <w:spacing w:before="40" w:after="40" w:line="240" w:lineRule="auto"/>
              <w:jc w:val="center"/>
            </w:pPr>
            <w:r>
              <w:rPr>
                <w:rFonts w:cs="EB Garamond"/>
                <w:b/>
                <w:color w:val="2F2923"/>
                <w:kern w:val="16"/>
                <w:sz w:val="18"/>
                <w14:ligatures w14:val="standardContextual"/>
              </w:rPr>
              <w:t>Alíquota</w:t>
            </w:r>
          </w:p>
        </w:tc>
      </w:tr>
      <w:tr w:rsidR="005A5FCC" w14:paraId="5EDF6E21"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20203441" w14:textId="77777777" w:rsidR="005A5FCC" w:rsidRDefault="00A21C81">
            <w:pPr>
              <w:spacing w:before="20" w:after="20" w:line="240" w:lineRule="auto"/>
              <w:jc w:val="left"/>
            </w:pPr>
            <w:r>
              <w:rPr>
                <w:rFonts w:cs="EB Garamond"/>
                <w:kern w:val="16"/>
                <w:sz w:val="18"/>
                <w14:ligatures w14:val="standardContextual"/>
              </w:rPr>
              <w:t>1ª</w:t>
            </w:r>
          </w:p>
        </w:tc>
        <w:tc>
          <w:tcPr>
            <w:tcW w:w="2117" w:type="dxa"/>
            <w:tcBorders>
              <w:top w:val="single" w:sz="4" w:space="0" w:color="D2C9B8"/>
              <w:left w:val="single" w:sz="4" w:space="0" w:color="D2C9B8"/>
              <w:bottom w:val="single" w:sz="4" w:space="0" w:color="D2C9B8"/>
              <w:right w:val="single" w:sz="4" w:space="0" w:color="D2C9B8"/>
            </w:tcBorders>
          </w:tcPr>
          <w:p w14:paraId="0E816B92" w14:textId="77777777" w:rsidR="005A5FCC" w:rsidRDefault="00A21C81">
            <w:pPr>
              <w:spacing w:before="20" w:after="20" w:line="240" w:lineRule="auto"/>
              <w:jc w:val="left"/>
            </w:pPr>
            <w:r>
              <w:rPr>
                <w:rFonts w:cs="EB Garamond"/>
                <w:kern w:val="16"/>
                <w:sz w:val="18"/>
                <w14:ligatures w14:val="standardContextual"/>
              </w:rPr>
              <w:t>Até R$ 1.621,00 (1 SM)</w:t>
            </w:r>
          </w:p>
        </w:tc>
        <w:tc>
          <w:tcPr>
            <w:tcW w:w="2117" w:type="dxa"/>
            <w:tcBorders>
              <w:top w:val="single" w:sz="4" w:space="0" w:color="D2C9B8"/>
              <w:left w:val="single" w:sz="4" w:space="0" w:color="D2C9B8"/>
              <w:bottom w:val="single" w:sz="4" w:space="0" w:color="D2C9B8"/>
              <w:right w:val="single" w:sz="4" w:space="0" w:color="D2C9B8"/>
            </w:tcBorders>
          </w:tcPr>
          <w:p w14:paraId="16087E3C" w14:textId="77777777" w:rsidR="005A5FCC" w:rsidRDefault="00A21C81">
            <w:pPr>
              <w:spacing w:before="20" w:after="20" w:line="240" w:lineRule="auto"/>
              <w:jc w:val="left"/>
            </w:pPr>
            <w:r>
              <w:rPr>
                <w:rFonts w:cs="EB Garamond"/>
                <w:kern w:val="16"/>
                <w:sz w:val="18"/>
                <w14:ligatures w14:val="standardContextual"/>
              </w:rPr>
              <w:t>7,5%</w:t>
            </w:r>
          </w:p>
        </w:tc>
      </w:tr>
      <w:tr w:rsidR="005A5FCC" w14:paraId="70DB35D3"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3C90D9E1" w14:textId="77777777" w:rsidR="005A5FCC" w:rsidRDefault="00A21C81">
            <w:pPr>
              <w:spacing w:before="20" w:after="20" w:line="240" w:lineRule="auto"/>
              <w:jc w:val="left"/>
            </w:pPr>
            <w:r>
              <w:rPr>
                <w:rFonts w:cs="EB Garamond"/>
                <w:kern w:val="16"/>
                <w:sz w:val="18"/>
                <w14:ligatures w14:val="standardContextual"/>
              </w:rPr>
              <w:t>2ª</w:t>
            </w:r>
          </w:p>
        </w:tc>
        <w:tc>
          <w:tcPr>
            <w:tcW w:w="2117" w:type="dxa"/>
            <w:tcBorders>
              <w:top w:val="single" w:sz="4" w:space="0" w:color="D2C9B8"/>
              <w:left w:val="single" w:sz="4" w:space="0" w:color="D2C9B8"/>
              <w:bottom w:val="single" w:sz="4" w:space="0" w:color="D2C9B8"/>
              <w:right w:val="single" w:sz="4" w:space="0" w:color="D2C9B8"/>
            </w:tcBorders>
          </w:tcPr>
          <w:p w14:paraId="1C036A2D" w14:textId="77777777" w:rsidR="005A5FCC" w:rsidRDefault="00A21C81">
            <w:pPr>
              <w:spacing w:before="20" w:after="20" w:line="240" w:lineRule="auto"/>
              <w:jc w:val="left"/>
            </w:pPr>
            <w:r>
              <w:rPr>
                <w:rFonts w:cs="EB Garamond"/>
                <w:kern w:val="16"/>
                <w:sz w:val="18"/>
                <w14:ligatures w14:val="standardContextual"/>
              </w:rPr>
              <w:t>De R$ 1.621,01 até R$ 2.902,84</w:t>
            </w:r>
          </w:p>
        </w:tc>
        <w:tc>
          <w:tcPr>
            <w:tcW w:w="2117" w:type="dxa"/>
            <w:tcBorders>
              <w:top w:val="single" w:sz="4" w:space="0" w:color="D2C9B8"/>
              <w:left w:val="single" w:sz="4" w:space="0" w:color="D2C9B8"/>
              <w:bottom w:val="single" w:sz="4" w:space="0" w:color="D2C9B8"/>
              <w:right w:val="single" w:sz="4" w:space="0" w:color="D2C9B8"/>
            </w:tcBorders>
          </w:tcPr>
          <w:p w14:paraId="4A0D073B" w14:textId="77777777" w:rsidR="005A5FCC" w:rsidRDefault="00A21C81">
            <w:pPr>
              <w:spacing w:before="20" w:after="20" w:line="240" w:lineRule="auto"/>
              <w:jc w:val="left"/>
            </w:pPr>
            <w:r>
              <w:rPr>
                <w:rFonts w:cs="EB Garamond"/>
                <w:kern w:val="16"/>
                <w:sz w:val="18"/>
                <w14:ligatures w14:val="standardContextual"/>
              </w:rPr>
              <w:t>9,0%</w:t>
            </w:r>
          </w:p>
        </w:tc>
      </w:tr>
      <w:tr w:rsidR="005A5FCC" w14:paraId="7A48541C"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24ACE63A" w14:textId="77777777" w:rsidR="005A5FCC" w:rsidRDefault="00A21C81">
            <w:pPr>
              <w:spacing w:before="20" w:after="20" w:line="240" w:lineRule="auto"/>
              <w:jc w:val="left"/>
            </w:pPr>
            <w:r>
              <w:rPr>
                <w:rFonts w:cs="EB Garamond"/>
                <w:kern w:val="16"/>
                <w:sz w:val="18"/>
                <w14:ligatures w14:val="standardContextual"/>
              </w:rPr>
              <w:t>3ª</w:t>
            </w:r>
          </w:p>
        </w:tc>
        <w:tc>
          <w:tcPr>
            <w:tcW w:w="2117" w:type="dxa"/>
            <w:tcBorders>
              <w:top w:val="single" w:sz="4" w:space="0" w:color="D2C9B8"/>
              <w:left w:val="single" w:sz="4" w:space="0" w:color="D2C9B8"/>
              <w:bottom w:val="single" w:sz="4" w:space="0" w:color="D2C9B8"/>
              <w:right w:val="single" w:sz="4" w:space="0" w:color="D2C9B8"/>
            </w:tcBorders>
          </w:tcPr>
          <w:p w14:paraId="1808FB3E" w14:textId="77777777" w:rsidR="005A5FCC" w:rsidRDefault="00A21C81">
            <w:pPr>
              <w:spacing w:before="20" w:after="20" w:line="240" w:lineRule="auto"/>
              <w:jc w:val="left"/>
            </w:pPr>
            <w:r>
              <w:rPr>
                <w:rFonts w:cs="EB Garamond"/>
                <w:kern w:val="16"/>
                <w:sz w:val="18"/>
                <w14:ligatures w14:val="standardContextual"/>
              </w:rPr>
              <w:t>De R$ 2.902,85 até R$ 4.354,27</w:t>
            </w:r>
          </w:p>
        </w:tc>
        <w:tc>
          <w:tcPr>
            <w:tcW w:w="2117" w:type="dxa"/>
            <w:tcBorders>
              <w:top w:val="single" w:sz="4" w:space="0" w:color="D2C9B8"/>
              <w:left w:val="single" w:sz="4" w:space="0" w:color="D2C9B8"/>
              <w:bottom w:val="single" w:sz="4" w:space="0" w:color="D2C9B8"/>
              <w:right w:val="single" w:sz="4" w:space="0" w:color="D2C9B8"/>
            </w:tcBorders>
          </w:tcPr>
          <w:p w14:paraId="2B9B2788" w14:textId="77777777" w:rsidR="005A5FCC" w:rsidRDefault="00A21C81">
            <w:pPr>
              <w:spacing w:before="20" w:after="20" w:line="240" w:lineRule="auto"/>
              <w:jc w:val="left"/>
            </w:pPr>
            <w:r>
              <w:rPr>
                <w:rFonts w:cs="EB Garamond"/>
                <w:kern w:val="16"/>
                <w:sz w:val="18"/>
                <w14:ligatures w14:val="standardContextual"/>
              </w:rPr>
              <w:t>12,0%</w:t>
            </w:r>
          </w:p>
        </w:tc>
      </w:tr>
      <w:tr w:rsidR="005A5FCC" w14:paraId="21E789D6"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43CFAFDB" w14:textId="77777777" w:rsidR="005A5FCC" w:rsidRDefault="00A21C81">
            <w:pPr>
              <w:spacing w:before="20" w:after="20" w:line="240" w:lineRule="auto"/>
              <w:jc w:val="left"/>
            </w:pPr>
            <w:r>
              <w:rPr>
                <w:rFonts w:cs="EB Garamond"/>
                <w:kern w:val="16"/>
                <w:sz w:val="18"/>
                <w14:ligatures w14:val="standardContextual"/>
              </w:rPr>
              <w:t>4ª</w:t>
            </w:r>
          </w:p>
        </w:tc>
        <w:tc>
          <w:tcPr>
            <w:tcW w:w="2117" w:type="dxa"/>
            <w:tcBorders>
              <w:top w:val="single" w:sz="4" w:space="0" w:color="D2C9B8"/>
              <w:left w:val="single" w:sz="4" w:space="0" w:color="D2C9B8"/>
              <w:bottom w:val="single" w:sz="4" w:space="0" w:color="D2C9B8"/>
              <w:right w:val="single" w:sz="4" w:space="0" w:color="D2C9B8"/>
            </w:tcBorders>
          </w:tcPr>
          <w:p w14:paraId="119A3DCD" w14:textId="77777777" w:rsidR="005A5FCC" w:rsidRDefault="00A21C81">
            <w:pPr>
              <w:spacing w:before="20" w:after="20" w:line="240" w:lineRule="auto"/>
              <w:jc w:val="left"/>
            </w:pPr>
            <w:r>
              <w:rPr>
                <w:rFonts w:cs="EB Garamond"/>
                <w:kern w:val="16"/>
                <w:sz w:val="18"/>
                <w14:ligatures w14:val="standardContextual"/>
              </w:rPr>
              <w:t>De R$ 4.354,28 até R$ 8.475,55 (teto)</w:t>
            </w:r>
          </w:p>
        </w:tc>
        <w:tc>
          <w:tcPr>
            <w:tcW w:w="2117" w:type="dxa"/>
            <w:tcBorders>
              <w:top w:val="single" w:sz="4" w:space="0" w:color="D2C9B8"/>
              <w:left w:val="single" w:sz="4" w:space="0" w:color="D2C9B8"/>
              <w:bottom w:val="single" w:sz="4" w:space="0" w:color="D2C9B8"/>
              <w:right w:val="single" w:sz="4" w:space="0" w:color="D2C9B8"/>
            </w:tcBorders>
          </w:tcPr>
          <w:p w14:paraId="6541A1C2" w14:textId="77777777" w:rsidR="005A5FCC" w:rsidRDefault="00A21C81">
            <w:pPr>
              <w:spacing w:before="20" w:after="20" w:line="240" w:lineRule="auto"/>
              <w:jc w:val="left"/>
            </w:pPr>
            <w:r>
              <w:rPr>
                <w:rFonts w:cs="EB Garamond"/>
                <w:kern w:val="16"/>
                <w:sz w:val="18"/>
                <w14:ligatures w14:val="standardContextual"/>
              </w:rPr>
              <w:t>14,0%</w:t>
            </w:r>
          </w:p>
        </w:tc>
      </w:tr>
    </w:tbl>
    <w:p w14:paraId="4A9FA1F8" w14:textId="77777777" w:rsidR="005A5FCC" w:rsidRDefault="005A5FCC">
      <w:pPr>
        <w:spacing w:after="80" w:line="240" w:lineRule="auto"/>
      </w:pPr>
    </w:p>
    <w:tbl>
      <w:tblPr>
        <w:tblW w:w="5000" w:type="pct"/>
        <w:jc w:val="center"/>
        <w:tblLayout w:type="fixed"/>
        <w:tblLook w:val="04A0" w:firstRow="1" w:lastRow="0" w:firstColumn="1" w:lastColumn="0" w:noHBand="0" w:noVBand="1"/>
      </w:tblPr>
      <w:tblGrid>
        <w:gridCol w:w="6311"/>
      </w:tblGrid>
      <w:tr w:rsidR="005A5FCC" w14:paraId="10EDFEF9"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69158F04" w14:textId="77777777" w:rsidR="005A5FCC" w:rsidRDefault="00A21C81">
            <w:pPr>
              <w:spacing w:after="60" w:line="240" w:lineRule="auto"/>
              <w:jc w:val="left"/>
            </w:pPr>
            <w:r>
              <w:rPr>
                <w:rFonts w:ascii="Noto Sans" w:hAnsi="Noto Sans" w:cs="Noto Sans"/>
                <w:b/>
                <w:caps/>
                <w:color w:val="B78B37"/>
                <w:kern w:val="16"/>
                <w:sz w:val="16"/>
                <w14:ligatures w14:val="standardContextual"/>
              </w:rPr>
              <w:lastRenderedPageBreak/>
              <w:t>ATENÇÃO</w:t>
            </w:r>
          </w:p>
          <w:p w14:paraId="7B1C8A2E" w14:textId="77777777" w:rsidR="005A5FCC" w:rsidRDefault="00A21C81">
            <w:pPr>
              <w:spacing w:after="60" w:line="247" w:lineRule="auto"/>
            </w:pPr>
            <w:r>
              <w:rPr>
                <w:rFonts w:cs="EB Garamond"/>
                <w:b/>
                <w:kern w:val="16"/>
                <w:sz w:val="19"/>
                <w14:ligatures w14:val="standardContextual"/>
              </w:rPr>
              <w:t>Atenção:</w:t>
            </w:r>
            <w:r>
              <w:rPr>
                <w:rFonts w:cs="EB Garamond"/>
                <w:kern w:val="16"/>
                <w:sz w:val="19"/>
                <w14:ligatures w14:val="standardContextual"/>
              </w:rPr>
              <w:t xml:space="preserve"> Os valores das faixas são atualizados anualmente por portaria interministerial. Os valores acima referem-se ao exercício de 2026 (Portaria Interministerial MPS/MF n. 13, de 09/01/2026). A alíquota é aplicada POR FAIXA, não sobre o total da remuneração. Um segurado que receba R$ 4.000,00 não paga 12% sobre R$ 4.000,00. Paga 7,5% sobre a primeira faixa, 9% sobre a segunda e 12% sobre o excedente até seu salário.</w:t>
            </w:r>
          </w:p>
        </w:tc>
      </w:tr>
    </w:tbl>
    <w:p w14:paraId="155B5E77" w14:textId="77777777" w:rsidR="005A5FCC" w:rsidRDefault="005A5FCC">
      <w:pPr>
        <w:spacing w:after="80" w:line="240" w:lineRule="auto"/>
      </w:pPr>
    </w:p>
    <w:p w14:paraId="6D43C40F" w14:textId="77777777" w:rsidR="005A5FCC" w:rsidRDefault="00A21C81">
      <w:pPr>
        <w:spacing w:before="260" w:after="80" w:line="240" w:lineRule="auto"/>
        <w:jc w:val="left"/>
      </w:pPr>
      <w:r>
        <w:rPr>
          <w:rFonts w:cs="EB Garamond"/>
          <w:b/>
          <w:color w:val="3A3128"/>
          <w:kern w:val="16"/>
          <w:sz w:val="25"/>
          <w14:ligatures w14:val="standardContextual"/>
        </w:rPr>
        <w:t>4.2.3 Cálculo prático da contribuição por faixas</w:t>
      </w:r>
    </w:p>
    <w:p w14:paraId="5BC56291"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3E633CE7" w14:textId="77777777" w:rsidR="005A5FCC" w:rsidRDefault="00A21C81">
      <w:r>
        <w:rPr>
          <w:rFonts w:cs="EB Garamond"/>
          <w:kern w:val="16"/>
          <w14:ligatures w14:val="standardContextual"/>
        </w:rPr>
        <w:t xml:space="preserve"> mecanismo de aplicação por faixas opera da seguinte forma: cada parcela da remuneração correspondente a determinada faixa recebe incidência apenas da alíquota respectiva. Esse procedimento resulta numa alíquota efetiva inferior à alíquota nominal da faixa em que o segurado se enquadra.</w:t>
      </w:r>
    </w:p>
    <w:p w14:paraId="002436CC" w14:textId="77777777" w:rsidR="005A5FCC" w:rsidRDefault="00A21C81">
      <w:pPr>
        <w:ind w:firstLine="238"/>
      </w:pPr>
      <w:r>
        <w:rPr>
          <w:rFonts w:cs="EB Garamond"/>
          <w:kern w:val="16"/>
          <w14:ligatures w14:val="standardContextual"/>
        </w:rPr>
        <w:t>Nos exemplos a seguir, adotamos um único critério de arredondamento para todo o capítulo: a contribuição de cada faixa é arredondada para dois decimais pelo critério do meio para cima (arredondamento comercial — a terceira casa igual ou superior a 5 eleva a segunda), e o total é a soma das parcelas já arredondadas. É por isso que a 1ª faixa de R$ 1.621,00 (R$ 1.621,00 × 7,5% = R$ 121,575) aparece como R$ 121,58. Diferenças de centavo entre eventuais sistemas de folha decorrem apenas da escolha entre arredondar ou truncar; a metodologia adotada aqui é uniforme em todas as tabelas.</w:t>
      </w:r>
    </w:p>
    <w:tbl>
      <w:tblPr>
        <w:tblW w:w="5000" w:type="pct"/>
        <w:jc w:val="center"/>
        <w:tblLayout w:type="fixed"/>
        <w:tblLook w:val="04A0" w:firstRow="1" w:lastRow="0" w:firstColumn="1" w:lastColumn="0" w:noHBand="0" w:noVBand="1"/>
      </w:tblPr>
      <w:tblGrid>
        <w:gridCol w:w="6311"/>
      </w:tblGrid>
      <w:tr w:rsidR="005A5FCC" w14:paraId="4C63FD69"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0856F187"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0A7C6B1D" w14:textId="77777777" w:rsidR="005A5FCC" w:rsidRDefault="00A21C81">
            <w:pPr>
              <w:spacing w:after="60" w:line="247" w:lineRule="auto"/>
            </w:pPr>
            <w:r>
              <w:rPr>
                <w:rFonts w:cs="EB Garamond"/>
                <w:b/>
                <w:kern w:val="16"/>
                <w:sz w:val="19"/>
                <w14:ligatures w14:val="standardContextual"/>
              </w:rPr>
              <w:t>Exemplo de cálculo — Segurado empregado com remuneração de R$ 4.000,00 (2026):</w:t>
            </w:r>
          </w:p>
          <w:tbl>
            <w:tblPr>
              <w:tblW w:w="5000" w:type="pct"/>
              <w:jc w:val="center"/>
              <w:tblLook w:val="04A0" w:firstRow="1" w:lastRow="0" w:firstColumn="1" w:lastColumn="0" w:noHBand="0" w:noVBand="1"/>
            </w:tblPr>
            <w:tblGrid>
              <w:gridCol w:w="1476"/>
              <w:gridCol w:w="1475"/>
              <w:gridCol w:w="1475"/>
              <w:gridCol w:w="1475"/>
            </w:tblGrid>
            <w:tr w:rsidR="005A5FCC" w14:paraId="6CD0F7C8" w14:textId="77777777">
              <w:trPr>
                <w:tblHeader/>
                <w:jc w:val="center"/>
              </w:trPr>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6225F9B0" w14:textId="77777777" w:rsidR="005A5FCC" w:rsidRDefault="00A21C81">
                  <w:pPr>
                    <w:spacing w:before="30" w:after="30" w:line="240" w:lineRule="auto"/>
                    <w:jc w:val="center"/>
                  </w:pPr>
                  <w:r>
                    <w:rPr>
                      <w:rFonts w:cs="EB Garamond"/>
                      <w:b/>
                      <w:color w:val="2F2923"/>
                      <w:kern w:val="16"/>
                      <w:sz w:val="16"/>
                      <w14:ligatures w14:val="standardContextual"/>
                    </w:rPr>
                    <w:t>Faixa</w:t>
                  </w:r>
                </w:p>
              </w:tc>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65E8AE6E" w14:textId="77777777" w:rsidR="005A5FCC" w:rsidRDefault="00A21C81">
                  <w:pPr>
                    <w:spacing w:before="30" w:after="30" w:line="240" w:lineRule="auto"/>
                    <w:jc w:val="center"/>
                  </w:pPr>
                  <w:r>
                    <w:rPr>
                      <w:rFonts w:cs="EB Garamond"/>
                      <w:b/>
                      <w:color w:val="2F2923"/>
                      <w:kern w:val="16"/>
                      <w:sz w:val="16"/>
                      <w14:ligatures w14:val="standardContextual"/>
                    </w:rPr>
                    <w:t>Base</w:t>
                  </w:r>
                </w:p>
              </w:tc>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2A788E93" w14:textId="77777777" w:rsidR="005A5FCC" w:rsidRDefault="00A21C81">
                  <w:pPr>
                    <w:spacing w:before="30" w:after="30" w:line="240" w:lineRule="auto"/>
                    <w:jc w:val="center"/>
                  </w:pPr>
                  <w:r>
                    <w:rPr>
                      <w:rFonts w:cs="EB Garamond"/>
                      <w:b/>
                      <w:color w:val="2F2923"/>
                      <w:kern w:val="16"/>
                      <w:sz w:val="16"/>
                      <w14:ligatures w14:val="standardContextual"/>
                    </w:rPr>
                    <w:t>Alíquota</w:t>
                  </w:r>
                </w:p>
              </w:tc>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6E02645B" w14:textId="77777777" w:rsidR="005A5FCC" w:rsidRDefault="00A21C81">
                  <w:pPr>
                    <w:spacing w:before="30" w:after="30" w:line="240" w:lineRule="auto"/>
                    <w:jc w:val="center"/>
                  </w:pPr>
                  <w:r>
                    <w:rPr>
                      <w:rFonts w:cs="EB Garamond"/>
                      <w:b/>
                      <w:color w:val="2F2923"/>
                      <w:kern w:val="16"/>
                      <w:sz w:val="16"/>
                      <w14:ligatures w14:val="standardContextual"/>
                    </w:rPr>
                    <w:t>Contribuição</w:t>
                  </w:r>
                </w:p>
              </w:tc>
            </w:tr>
            <w:tr w:rsidR="005A5FCC" w14:paraId="2E49E552"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27BEB642" w14:textId="77777777" w:rsidR="005A5FCC" w:rsidRDefault="00A21C81">
                  <w:pPr>
                    <w:spacing w:before="20" w:after="20" w:line="240" w:lineRule="auto"/>
                    <w:jc w:val="left"/>
                  </w:pPr>
                  <w:r>
                    <w:rPr>
                      <w:rFonts w:cs="EB Garamond"/>
                      <w:kern w:val="16"/>
                      <w:sz w:val="16"/>
                      <w14:ligatures w14:val="standardContextual"/>
                    </w:rPr>
                    <w:t>1ª</w:t>
                  </w:r>
                </w:p>
              </w:tc>
              <w:tc>
                <w:tcPr>
                  <w:tcW w:w="1587" w:type="dxa"/>
                  <w:tcBorders>
                    <w:top w:val="single" w:sz="4" w:space="0" w:color="D2C9B8"/>
                    <w:left w:val="single" w:sz="4" w:space="0" w:color="D2C9B8"/>
                    <w:bottom w:val="single" w:sz="4" w:space="0" w:color="D2C9B8"/>
                    <w:right w:val="single" w:sz="4" w:space="0" w:color="D2C9B8"/>
                  </w:tcBorders>
                </w:tcPr>
                <w:p w14:paraId="5A62CC87" w14:textId="77777777" w:rsidR="005A5FCC" w:rsidRDefault="00A21C81">
                  <w:pPr>
                    <w:spacing w:before="20" w:after="20" w:line="240" w:lineRule="auto"/>
                    <w:jc w:val="left"/>
                  </w:pPr>
                  <w:r>
                    <w:rPr>
                      <w:rFonts w:cs="EB Garamond"/>
                      <w:kern w:val="16"/>
                      <w:sz w:val="16"/>
                      <w14:ligatures w14:val="standardContextual"/>
                    </w:rPr>
                    <w:t>R$ 1.621,00</w:t>
                  </w:r>
                </w:p>
              </w:tc>
              <w:tc>
                <w:tcPr>
                  <w:tcW w:w="1587" w:type="dxa"/>
                  <w:tcBorders>
                    <w:top w:val="single" w:sz="4" w:space="0" w:color="D2C9B8"/>
                    <w:left w:val="single" w:sz="4" w:space="0" w:color="D2C9B8"/>
                    <w:bottom w:val="single" w:sz="4" w:space="0" w:color="D2C9B8"/>
                    <w:right w:val="single" w:sz="4" w:space="0" w:color="D2C9B8"/>
                  </w:tcBorders>
                </w:tcPr>
                <w:p w14:paraId="1B4D4CFC" w14:textId="77777777" w:rsidR="005A5FCC" w:rsidRDefault="00A21C81">
                  <w:pPr>
                    <w:spacing w:before="20" w:after="20" w:line="240" w:lineRule="auto"/>
                    <w:jc w:val="left"/>
                  </w:pPr>
                  <w:r>
                    <w:rPr>
                      <w:rFonts w:cs="EB Garamond"/>
                      <w:kern w:val="16"/>
                      <w:sz w:val="16"/>
                      <w14:ligatures w14:val="standardContextual"/>
                    </w:rPr>
                    <w:t>7,5%</w:t>
                  </w:r>
                </w:p>
              </w:tc>
              <w:tc>
                <w:tcPr>
                  <w:tcW w:w="1587" w:type="dxa"/>
                  <w:tcBorders>
                    <w:top w:val="single" w:sz="4" w:space="0" w:color="D2C9B8"/>
                    <w:left w:val="single" w:sz="4" w:space="0" w:color="D2C9B8"/>
                    <w:bottom w:val="single" w:sz="4" w:space="0" w:color="D2C9B8"/>
                    <w:right w:val="single" w:sz="4" w:space="0" w:color="D2C9B8"/>
                  </w:tcBorders>
                </w:tcPr>
                <w:p w14:paraId="7F8F0F46" w14:textId="77777777" w:rsidR="005A5FCC" w:rsidRDefault="00A21C81">
                  <w:pPr>
                    <w:spacing w:before="20" w:after="20" w:line="240" w:lineRule="auto"/>
                    <w:jc w:val="left"/>
                  </w:pPr>
                  <w:r>
                    <w:rPr>
                      <w:rFonts w:cs="EB Garamond"/>
                      <w:kern w:val="16"/>
                      <w:sz w:val="16"/>
                      <w14:ligatures w14:val="standardContextual"/>
                    </w:rPr>
                    <w:t>R$ 121,58</w:t>
                  </w:r>
                </w:p>
              </w:tc>
            </w:tr>
            <w:tr w:rsidR="005A5FCC" w14:paraId="00541C0F"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63EF3C0D" w14:textId="77777777" w:rsidR="005A5FCC" w:rsidRDefault="00A21C81">
                  <w:pPr>
                    <w:spacing w:before="20" w:after="20" w:line="240" w:lineRule="auto"/>
                    <w:jc w:val="left"/>
                  </w:pPr>
                  <w:r>
                    <w:rPr>
                      <w:rFonts w:cs="EB Garamond"/>
                      <w:kern w:val="16"/>
                      <w:sz w:val="16"/>
                      <w14:ligatures w14:val="standardContextual"/>
                    </w:rPr>
                    <w:t>2ª</w:t>
                  </w:r>
                </w:p>
              </w:tc>
              <w:tc>
                <w:tcPr>
                  <w:tcW w:w="1587" w:type="dxa"/>
                  <w:tcBorders>
                    <w:top w:val="single" w:sz="4" w:space="0" w:color="D2C9B8"/>
                    <w:left w:val="single" w:sz="4" w:space="0" w:color="D2C9B8"/>
                    <w:bottom w:val="single" w:sz="4" w:space="0" w:color="D2C9B8"/>
                    <w:right w:val="single" w:sz="4" w:space="0" w:color="D2C9B8"/>
                  </w:tcBorders>
                </w:tcPr>
                <w:p w14:paraId="6BDFA094" w14:textId="77777777" w:rsidR="005A5FCC" w:rsidRDefault="00A21C81">
                  <w:pPr>
                    <w:spacing w:before="20" w:after="20" w:line="240" w:lineRule="auto"/>
                    <w:jc w:val="left"/>
                  </w:pPr>
                  <w:r>
                    <w:rPr>
                      <w:rFonts w:cs="EB Garamond"/>
                      <w:kern w:val="16"/>
                      <w:sz w:val="16"/>
                      <w14:ligatures w14:val="standardContextual"/>
                    </w:rPr>
                    <w:t>R$ 1.281,84 (2.902,84 - 1.621,00)</w:t>
                  </w:r>
                </w:p>
              </w:tc>
              <w:tc>
                <w:tcPr>
                  <w:tcW w:w="1587" w:type="dxa"/>
                  <w:tcBorders>
                    <w:top w:val="single" w:sz="4" w:space="0" w:color="D2C9B8"/>
                    <w:left w:val="single" w:sz="4" w:space="0" w:color="D2C9B8"/>
                    <w:bottom w:val="single" w:sz="4" w:space="0" w:color="D2C9B8"/>
                    <w:right w:val="single" w:sz="4" w:space="0" w:color="D2C9B8"/>
                  </w:tcBorders>
                </w:tcPr>
                <w:p w14:paraId="7D203025" w14:textId="77777777" w:rsidR="005A5FCC" w:rsidRDefault="00A21C81">
                  <w:pPr>
                    <w:spacing w:before="20" w:after="20" w:line="240" w:lineRule="auto"/>
                    <w:jc w:val="left"/>
                  </w:pPr>
                  <w:r>
                    <w:rPr>
                      <w:rFonts w:cs="EB Garamond"/>
                      <w:kern w:val="16"/>
                      <w:sz w:val="16"/>
                      <w14:ligatures w14:val="standardContextual"/>
                    </w:rPr>
                    <w:t>9,0%</w:t>
                  </w:r>
                </w:p>
              </w:tc>
              <w:tc>
                <w:tcPr>
                  <w:tcW w:w="1587" w:type="dxa"/>
                  <w:tcBorders>
                    <w:top w:val="single" w:sz="4" w:space="0" w:color="D2C9B8"/>
                    <w:left w:val="single" w:sz="4" w:space="0" w:color="D2C9B8"/>
                    <w:bottom w:val="single" w:sz="4" w:space="0" w:color="D2C9B8"/>
                    <w:right w:val="single" w:sz="4" w:space="0" w:color="D2C9B8"/>
                  </w:tcBorders>
                </w:tcPr>
                <w:p w14:paraId="56E3E850" w14:textId="77777777" w:rsidR="005A5FCC" w:rsidRDefault="00A21C81">
                  <w:pPr>
                    <w:spacing w:before="20" w:after="20" w:line="240" w:lineRule="auto"/>
                    <w:jc w:val="left"/>
                  </w:pPr>
                  <w:r>
                    <w:rPr>
                      <w:rFonts w:cs="EB Garamond"/>
                      <w:kern w:val="16"/>
                      <w:sz w:val="16"/>
                      <w14:ligatures w14:val="standardContextual"/>
                    </w:rPr>
                    <w:t>R$ 115,37</w:t>
                  </w:r>
                </w:p>
              </w:tc>
            </w:tr>
            <w:tr w:rsidR="005A5FCC" w14:paraId="0F91B16D"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35C51A81" w14:textId="77777777" w:rsidR="005A5FCC" w:rsidRDefault="00A21C81">
                  <w:pPr>
                    <w:spacing w:before="20" w:after="20" w:line="240" w:lineRule="auto"/>
                    <w:jc w:val="left"/>
                  </w:pPr>
                  <w:r>
                    <w:rPr>
                      <w:rFonts w:cs="EB Garamond"/>
                      <w:kern w:val="16"/>
                      <w:sz w:val="16"/>
                      <w14:ligatures w14:val="standardContextual"/>
                    </w:rPr>
                    <w:t>3ª</w:t>
                  </w:r>
                </w:p>
              </w:tc>
              <w:tc>
                <w:tcPr>
                  <w:tcW w:w="1587" w:type="dxa"/>
                  <w:tcBorders>
                    <w:top w:val="single" w:sz="4" w:space="0" w:color="D2C9B8"/>
                    <w:left w:val="single" w:sz="4" w:space="0" w:color="D2C9B8"/>
                    <w:bottom w:val="single" w:sz="4" w:space="0" w:color="D2C9B8"/>
                    <w:right w:val="single" w:sz="4" w:space="0" w:color="D2C9B8"/>
                  </w:tcBorders>
                </w:tcPr>
                <w:p w14:paraId="6596A366" w14:textId="77777777" w:rsidR="005A5FCC" w:rsidRDefault="00A21C81">
                  <w:pPr>
                    <w:spacing w:before="20" w:after="20" w:line="240" w:lineRule="auto"/>
                    <w:jc w:val="left"/>
                  </w:pPr>
                  <w:r>
                    <w:rPr>
                      <w:rFonts w:cs="EB Garamond"/>
                      <w:kern w:val="16"/>
                      <w:sz w:val="16"/>
                      <w14:ligatures w14:val="standardContextual"/>
                    </w:rPr>
                    <w:t>R$ 1.097,16 (4.000,00 - 2.902,84)</w:t>
                  </w:r>
                </w:p>
              </w:tc>
              <w:tc>
                <w:tcPr>
                  <w:tcW w:w="1587" w:type="dxa"/>
                  <w:tcBorders>
                    <w:top w:val="single" w:sz="4" w:space="0" w:color="D2C9B8"/>
                    <w:left w:val="single" w:sz="4" w:space="0" w:color="D2C9B8"/>
                    <w:bottom w:val="single" w:sz="4" w:space="0" w:color="D2C9B8"/>
                    <w:right w:val="single" w:sz="4" w:space="0" w:color="D2C9B8"/>
                  </w:tcBorders>
                </w:tcPr>
                <w:p w14:paraId="5F0774CB" w14:textId="77777777" w:rsidR="005A5FCC" w:rsidRDefault="00A21C81">
                  <w:pPr>
                    <w:spacing w:before="20" w:after="20" w:line="240" w:lineRule="auto"/>
                    <w:jc w:val="left"/>
                  </w:pPr>
                  <w:r>
                    <w:rPr>
                      <w:rFonts w:cs="EB Garamond"/>
                      <w:kern w:val="16"/>
                      <w:sz w:val="16"/>
                      <w14:ligatures w14:val="standardContextual"/>
                    </w:rPr>
                    <w:t>12,0%</w:t>
                  </w:r>
                </w:p>
              </w:tc>
              <w:tc>
                <w:tcPr>
                  <w:tcW w:w="1587" w:type="dxa"/>
                  <w:tcBorders>
                    <w:top w:val="single" w:sz="4" w:space="0" w:color="D2C9B8"/>
                    <w:left w:val="single" w:sz="4" w:space="0" w:color="D2C9B8"/>
                    <w:bottom w:val="single" w:sz="4" w:space="0" w:color="D2C9B8"/>
                    <w:right w:val="single" w:sz="4" w:space="0" w:color="D2C9B8"/>
                  </w:tcBorders>
                </w:tcPr>
                <w:p w14:paraId="3C186970" w14:textId="77777777" w:rsidR="005A5FCC" w:rsidRDefault="00A21C81">
                  <w:pPr>
                    <w:spacing w:before="20" w:after="20" w:line="240" w:lineRule="auto"/>
                    <w:jc w:val="left"/>
                  </w:pPr>
                  <w:r>
                    <w:rPr>
                      <w:rFonts w:cs="EB Garamond"/>
                      <w:kern w:val="16"/>
                      <w:sz w:val="16"/>
                      <w14:ligatures w14:val="standardContextual"/>
                    </w:rPr>
                    <w:t>R$ 131,66</w:t>
                  </w:r>
                </w:p>
              </w:tc>
            </w:tr>
            <w:tr w:rsidR="005A5FCC" w14:paraId="4CC3B796"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63505DDD" w14:textId="77777777" w:rsidR="005A5FCC" w:rsidRDefault="00A21C81">
                  <w:pPr>
                    <w:spacing w:before="20" w:after="20" w:line="240" w:lineRule="auto"/>
                    <w:jc w:val="left"/>
                  </w:pPr>
                  <w:r>
                    <w:rPr>
                      <w:rFonts w:cs="EB Garamond"/>
                      <w:kern w:val="16"/>
                      <w:sz w:val="16"/>
                      <w14:ligatures w14:val="standardContextual"/>
                    </w:rPr>
                    <w:t>4ª</w:t>
                  </w:r>
                </w:p>
              </w:tc>
              <w:tc>
                <w:tcPr>
                  <w:tcW w:w="1587" w:type="dxa"/>
                  <w:tcBorders>
                    <w:top w:val="single" w:sz="4" w:space="0" w:color="D2C9B8"/>
                    <w:left w:val="single" w:sz="4" w:space="0" w:color="D2C9B8"/>
                    <w:bottom w:val="single" w:sz="4" w:space="0" w:color="D2C9B8"/>
                    <w:right w:val="single" w:sz="4" w:space="0" w:color="D2C9B8"/>
                  </w:tcBorders>
                </w:tcPr>
                <w:p w14:paraId="1D2DDB20" w14:textId="77777777" w:rsidR="005A5FCC" w:rsidRDefault="00A21C81">
                  <w:pPr>
                    <w:spacing w:before="20" w:after="20" w:line="240" w:lineRule="auto"/>
                    <w:jc w:val="left"/>
                  </w:pPr>
                  <w:r>
                    <w:rPr>
                      <w:rFonts w:cs="EB Garamond"/>
                      <w:kern w:val="16"/>
                      <w:sz w:val="16"/>
                      <w14:ligatures w14:val="standardContextual"/>
                    </w:rPr>
                    <w:t>—</w:t>
                  </w:r>
                </w:p>
              </w:tc>
              <w:tc>
                <w:tcPr>
                  <w:tcW w:w="1587" w:type="dxa"/>
                  <w:tcBorders>
                    <w:top w:val="single" w:sz="4" w:space="0" w:color="D2C9B8"/>
                    <w:left w:val="single" w:sz="4" w:space="0" w:color="D2C9B8"/>
                    <w:bottom w:val="single" w:sz="4" w:space="0" w:color="D2C9B8"/>
                    <w:right w:val="single" w:sz="4" w:space="0" w:color="D2C9B8"/>
                  </w:tcBorders>
                </w:tcPr>
                <w:p w14:paraId="033C2D6D" w14:textId="77777777" w:rsidR="005A5FCC" w:rsidRDefault="00A21C81">
                  <w:pPr>
                    <w:spacing w:before="20" w:after="20" w:line="240" w:lineRule="auto"/>
                    <w:jc w:val="left"/>
                  </w:pPr>
                  <w:r>
                    <w:rPr>
                      <w:rFonts w:cs="EB Garamond"/>
                      <w:kern w:val="16"/>
                      <w:sz w:val="16"/>
                      <w14:ligatures w14:val="standardContextual"/>
                    </w:rPr>
                    <w:t>14,0%</w:t>
                  </w:r>
                </w:p>
              </w:tc>
              <w:tc>
                <w:tcPr>
                  <w:tcW w:w="1587" w:type="dxa"/>
                  <w:tcBorders>
                    <w:top w:val="single" w:sz="4" w:space="0" w:color="D2C9B8"/>
                    <w:left w:val="single" w:sz="4" w:space="0" w:color="D2C9B8"/>
                    <w:bottom w:val="single" w:sz="4" w:space="0" w:color="D2C9B8"/>
                    <w:right w:val="single" w:sz="4" w:space="0" w:color="D2C9B8"/>
                  </w:tcBorders>
                </w:tcPr>
                <w:p w14:paraId="36A7570F" w14:textId="77777777" w:rsidR="005A5FCC" w:rsidRDefault="00A21C81">
                  <w:pPr>
                    <w:spacing w:before="20" w:after="20" w:line="240" w:lineRule="auto"/>
                    <w:jc w:val="left"/>
                  </w:pPr>
                  <w:r>
                    <w:rPr>
                      <w:rFonts w:cs="EB Garamond"/>
                      <w:kern w:val="16"/>
                      <w:sz w:val="16"/>
                      <w14:ligatures w14:val="standardContextual"/>
                    </w:rPr>
                    <w:t>—</w:t>
                  </w:r>
                </w:p>
              </w:tc>
            </w:tr>
            <w:tr w:rsidR="005A5FCC" w14:paraId="5FB1FBAD"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0B66DDDF" w14:textId="77777777" w:rsidR="005A5FCC" w:rsidRDefault="00A21C81">
                  <w:pPr>
                    <w:spacing w:before="20" w:after="20" w:line="240" w:lineRule="auto"/>
                    <w:jc w:val="left"/>
                  </w:pPr>
                  <w:r>
                    <w:rPr>
                      <w:rFonts w:cs="EB Garamond"/>
                      <w:b/>
                      <w:kern w:val="16"/>
                      <w:sz w:val="16"/>
                      <w14:ligatures w14:val="standardContextual"/>
                    </w:rPr>
                    <w:t>Total</w:t>
                  </w:r>
                </w:p>
              </w:tc>
              <w:tc>
                <w:tcPr>
                  <w:tcW w:w="1587" w:type="dxa"/>
                  <w:tcBorders>
                    <w:top w:val="single" w:sz="4" w:space="0" w:color="D2C9B8"/>
                    <w:left w:val="single" w:sz="4" w:space="0" w:color="D2C9B8"/>
                    <w:bottom w:val="single" w:sz="4" w:space="0" w:color="D2C9B8"/>
                    <w:right w:val="single" w:sz="4" w:space="0" w:color="D2C9B8"/>
                  </w:tcBorders>
                </w:tcPr>
                <w:p w14:paraId="045A6877" w14:textId="77777777" w:rsidR="005A5FCC" w:rsidRDefault="00A21C81">
                  <w:pPr>
                    <w:spacing w:before="20" w:after="20" w:line="240" w:lineRule="auto"/>
                    <w:jc w:val="left"/>
                  </w:pPr>
                  <w:r>
                    <w:rPr>
                      <w:rFonts w:cs="EB Garamond"/>
                      <w:b/>
                      <w:kern w:val="16"/>
                      <w:sz w:val="16"/>
                      <w14:ligatures w14:val="standardContextual"/>
                    </w:rPr>
                    <w:t>R$ 4.000,00</w:t>
                  </w:r>
                </w:p>
              </w:tc>
              <w:tc>
                <w:tcPr>
                  <w:tcW w:w="1587" w:type="dxa"/>
                  <w:tcBorders>
                    <w:top w:val="single" w:sz="4" w:space="0" w:color="D2C9B8"/>
                    <w:left w:val="single" w:sz="4" w:space="0" w:color="D2C9B8"/>
                    <w:bottom w:val="single" w:sz="4" w:space="0" w:color="D2C9B8"/>
                    <w:right w:val="single" w:sz="4" w:space="0" w:color="D2C9B8"/>
                  </w:tcBorders>
                </w:tcPr>
                <w:p w14:paraId="1B665667" w14:textId="77777777" w:rsidR="005A5FCC" w:rsidRDefault="00A21C81">
                  <w:pPr>
                    <w:spacing w:before="20" w:after="20" w:line="240" w:lineRule="auto"/>
                    <w:jc w:val="left"/>
                  </w:pPr>
                  <w:r>
                    <w:rPr>
                      <w:rFonts w:cs="EB Garamond"/>
                      <w:b/>
                      <w:kern w:val="16"/>
                      <w:sz w:val="16"/>
                      <w14:ligatures w14:val="standardContextual"/>
                    </w:rPr>
                    <w:t>Efetiva: 9,22%</w:t>
                  </w:r>
                </w:p>
              </w:tc>
              <w:tc>
                <w:tcPr>
                  <w:tcW w:w="1587" w:type="dxa"/>
                  <w:tcBorders>
                    <w:top w:val="single" w:sz="4" w:space="0" w:color="D2C9B8"/>
                    <w:left w:val="single" w:sz="4" w:space="0" w:color="D2C9B8"/>
                    <w:bottom w:val="single" w:sz="4" w:space="0" w:color="D2C9B8"/>
                    <w:right w:val="single" w:sz="4" w:space="0" w:color="D2C9B8"/>
                  </w:tcBorders>
                </w:tcPr>
                <w:p w14:paraId="400D7799" w14:textId="77777777" w:rsidR="005A5FCC" w:rsidRDefault="00A21C81">
                  <w:pPr>
                    <w:spacing w:before="20" w:after="20" w:line="240" w:lineRule="auto"/>
                    <w:jc w:val="left"/>
                  </w:pPr>
                  <w:r>
                    <w:rPr>
                      <w:rFonts w:cs="EB Garamond"/>
                      <w:b/>
                      <w:kern w:val="16"/>
                      <w:sz w:val="16"/>
                      <w14:ligatures w14:val="standardContextual"/>
                    </w:rPr>
                    <w:t>R$ 368,61</w:t>
                  </w:r>
                </w:p>
              </w:tc>
            </w:tr>
          </w:tbl>
          <w:p w14:paraId="4A11068C" w14:textId="77777777" w:rsidR="005A5FCC" w:rsidRDefault="005A5FCC"/>
          <w:p w14:paraId="0A34F584" w14:textId="77777777" w:rsidR="005A5FCC" w:rsidRDefault="005A5FCC">
            <w:pPr>
              <w:spacing w:after="0" w:line="240" w:lineRule="auto"/>
            </w:pPr>
          </w:p>
          <w:p w14:paraId="2CBB7576" w14:textId="77777777" w:rsidR="005A5FCC" w:rsidRDefault="00A21C81">
            <w:pPr>
              <w:spacing w:after="60" w:line="247" w:lineRule="auto"/>
            </w:pPr>
            <w:r>
              <w:rPr>
                <w:rFonts w:cs="EB Garamond"/>
                <w:kern w:val="16"/>
                <w:sz w:val="19"/>
                <w14:ligatures w14:val="standardContextual"/>
              </w:rPr>
              <w:t>Se o modelo antigo estivesse em vigor, esse segurado pagaria 11% sobre R$ 4.000,00 = R$ 440,00. A economia com a progressividade é de R$ 71,39/mês.</w:t>
            </w:r>
          </w:p>
          <w:p w14:paraId="2E9605A9" w14:textId="77777777" w:rsidR="005A5FCC" w:rsidRDefault="00A21C81">
            <w:pPr>
              <w:spacing w:after="60" w:line="247" w:lineRule="auto"/>
            </w:pPr>
            <w:r>
              <w:rPr>
                <w:rFonts w:cs="EB Garamond"/>
                <w:b/>
                <w:kern w:val="16"/>
                <w:sz w:val="19"/>
                <w14:ligatures w14:val="standardContextual"/>
              </w:rPr>
              <w:t>Alíquota efetiva</w:t>
            </w:r>
            <w:r>
              <w:rPr>
                <w:rFonts w:cs="EB Garamond"/>
                <w:kern w:val="16"/>
                <w:sz w:val="19"/>
                <w14:ligatures w14:val="standardContextual"/>
              </w:rPr>
              <w:t xml:space="preserve"> = contribuição total / remuneração = 368,61 / 4.000 = 9,22%</w:t>
            </w:r>
          </w:p>
        </w:tc>
      </w:tr>
    </w:tbl>
    <w:p w14:paraId="32FD76E4" w14:textId="77777777" w:rsidR="005A5FCC" w:rsidRDefault="005A5FCC">
      <w:pPr>
        <w:spacing w:after="80" w:line="240" w:lineRule="auto"/>
      </w:pPr>
    </w:p>
    <w:tbl>
      <w:tblPr>
        <w:tblW w:w="5000" w:type="pct"/>
        <w:jc w:val="center"/>
        <w:tblLayout w:type="fixed"/>
        <w:tblLook w:val="04A0" w:firstRow="1" w:lastRow="0" w:firstColumn="1" w:lastColumn="0" w:noHBand="0" w:noVBand="1"/>
      </w:tblPr>
      <w:tblGrid>
        <w:gridCol w:w="6311"/>
      </w:tblGrid>
      <w:tr w:rsidR="005A5FCC" w14:paraId="45A5C9DB"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40C6E930"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29ECA08B" w14:textId="77777777" w:rsidR="005A5FCC" w:rsidRDefault="00A21C81">
            <w:pPr>
              <w:spacing w:after="60" w:line="247" w:lineRule="auto"/>
            </w:pPr>
            <w:r>
              <w:rPr>
                <w:rFonts w:cs="EB Garamond"/>
                <w:b/>
                <w:kern w:val="16"/>
                <w:sz w:val="19"/>
                <w14:ligatures w14:val="standardContextual"/>
              </w:rPr>
              <w:t>Exemplo de cálculo — Segurado empregado com remuneração no teto (R$ 8.475,55 em 2026):</w:t>
            </w:r>
          </w:p>
          <w:tbl>
            <w:tblPr>
              <w:tblW w:w="5000" w:type="pct"/>
              <w:jc w:val="center"/>
              <w:tblLook w:val="04A0" w:firstRow="1" w:lastRow="0" w:firstColumn="1" w:lastColumn="0" w:noHBand="0" w:noVBand="1"/>
            </w:tblPr>
            <w:tblGrid>
              <w:gridCol w:w="1476"/>
              <w:gridCol w:w="1475"/>
              <w:gridCol w:w="1475"/>
              <w:gridCol w:w="1475"/>
            </w:tblGrid>
            <w:tr w:rsidR="005A5FCC" w14:paraId="6097B238" w14:textId="77777777">
              <w:trPr>
                <w:tblHeader/>
                <w:jc w:val="center"/>
              </w:trPr>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75D7C09F" w14:textId="77777777" w:rsidR="005A5FCC" w:rsidRDefault="00A21C81">
                  <w:pPr>
                    <w:spacing w:before="30" w:after="30" w:line="240" w:lineRule="auto"/>
                    <w:jc w:val="center"/>
                  </w:pPr>
                  <w:r>
                    <w:rPr>
                      <w:rFonts w:cs="EB Garamond"/>
                      <w:b/>
                      <w:color w:val="2F2923"/>
                      <w:kern w:val="16"/>
                      <w:sz w:val="16"/>
                      <w14:ligatures w14:val="standardContextual"/>
                    </w:rPr>
                    <w:t>Faixa</w:t>
                  </w:r>
                </w:p>
              </w:tc>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71058294" w14:textId="77777777" w:rsidR="005A5FCC" w:rsidRDefault="00A21C81">
                  <w:pPr>
                    <w:spacing w:before="30" w:after="30" w:line="240" w:lineRule="auto"/>
                    <w:jc w:val="center"/>
                  </w:pPr>
                  <w:r>
                    <w:rPr>
                      <w:rFonts w:cs="EB Garamond"/>
                      <w:b/>
                      <w:color w:val="2F2923"/>
                      <w:kern w:val="16"/>
                      <w:sz w:val="16"/>
                      <w14:ligatures w14:val="standardContextual"/>
                    </w:rPr>
                    <w:t>Base</w:t>
                  </w:r>
                </w:p>
              </w:tc>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7B6F5A7A" w14:textId="77777777" w:rsidR="005A5FCC" w:rsidRDefault="00A21C81">
                  <w:pPr>
                    <w:spacing w:before="30" w:after="30" w:line="240" w:lineRule="auto"/>
                    <w:jc w:val="center"/>
                  </w:pPr>
                  <w:r>
                    <w:rPr>
                      <w:rFonts w:cs="EB Garamond"/>
                      <w:b/>
                      <w:color w:val="2F2923"/>
                      <w:kern w:val="16"/>
                      <w:sz w:val="16"/>
                      <w14:ligatures w14:val="standardContextual"/>
                    </w:rPr>
                    <w:t>Alíquota</w:t>
                  </w:r>
                </w:p>
              </w:tc>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79EEFE1E" w14:textId="77777777" w:rsidR="005A5FCC" w:rsidRDefault="00A21C81">
                  <w:pPr>
                    <w:spacing w:before="30" w:after="30" w:line="240" w:lineRule="auto"/>
                    <w:jc w:val="center"/>
                  </w:pPr>
                  <w:r>
                    <w:rPr>
                      <w:rFonts w:cs="EB Garamond"/>
                      <w:b/>
                      <w:color w:val="2F2923"/>
                      <w:kern w:val="16"/>
                      <w:sz w:val="16"/>
                      <w14:ligatures w14:val="standardContextual"/>
                    </w:rPr>
                    <w:t>Contribuição</w:t>
                  </w:r>
                </w:p>
              </w:tc>
            </w:tr>
            <w:tr w:rsidR="005A5FCC" w14:paraId="123F8106"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369CE8C8" w14:textId="77777777" w:rsidR="005A5FCC" w:rsidRDefault="00A21C81">
                  <w:pPr>
                    <w:spacing w:before="20" w:after="20" w:line="240" w:lineRule="auto"/>
                    <w:jc w:val="left"/>
                  </w:pPr>
                  <w:r>
                    <w:rPr>
                      <w:rFonts w:cs="EB Garamond"/>
                      <w:kern w:val="16"/>
                      <w:sz w:val="16"/>
                      <w14:ligatures w14:val="standardContextual"/>
                    </w:rPr>
                    <w:t>1ª</w:t>
                  </w:r>
                </w:p>
              </w:tc>
              <w:tc>
                <w:tcPr>
                  <w:tcW w:w="1587" w:type="dxa"/>
                  <w:tcBorders>
                    <w:top w:val="single" w:sz="4" w:space="0" w:color="D2C9B8"/>
                    <w:left w:val="single" w:sz="4" w:space="0" w:color="D2C9B8"/>
                    <w:bottom w:val="single" w:sz="4" w:space="0" w:color="D2C9B8"/>
                    <w:right w:val="single" w:sz="4" w:space="0" w:color="D2C9B8"/>
                  </w:tcBorders>
                </w:tcPr>
                <w:p w14:paraId="3C9B23B6" w14:textId="77777777" w:rsidR="005A5FCC" w:rsidRDefault="00A21C81">
                  <w:pPr>
                    <w:spacing w:before="20" w:after="20" w:line="240" w:lineRule="auto"/>
                    <w:jc w:val="left"/>
                  </w:pPr>
                  <w:r>
                    <w:rPr>
                      <w:rFonts w:cs="EB Garamond"/>
                      <w:kern w:val="16"/>
                      <w:sz w:val="16"/>
                      <w14:ligatures w14:val="standardContextual"/>
                    </w:rPr>
                    <w:t>R$ 1.621,00</w:t>
                  </w:r>
                </w:p>
              </w:tc>
              <w:tc>
                <w:tcPr>
                  <w:tcW w:w="1587" w:type="dxa"/>
                  <w:tcBorders>
                    <w:top w:val="single" w:sz="4" w:space="0" w:color="D2C9B8"/>
                    <w:left w:val="single" w:sz="4" w:space="0" w:color="D2C9B8"/>
                    <w:bottom w:val="single" w:sz="4" w:space="0" w:color="D2C9B8"/>
                    <w:right w:val="single" w:sz="4" w:space="0" w:color="D2C9B8"/>
                  </w:tcBorders>
                </w:tcPr>
                <w:p w14:paraId="26B5DBE7" w14:textId="77777777" w:rsidR="005A5FCC" w:rsidRDefault="00A21C81">
                  <w:pPr>
                    <w:spacing w:before="20" w:after="20" w:line="240" w:lineRule="auto"/>
                    <w:jc w:val="left"/>
                  </w:pPr>
                  <w:r>
                    <w:rPr>
                      <w:rFonts w:cs="EB Garamond"/>
                      <w:kern w:val="16"/>
                      <w:sz w:val="16"/>
                      <w14:ligatures w14:val="standardContextual"/>
                    </w:rPr>
                    <w:t>7,5%</w:t>
                  </w:r>
                </w:p>
              </w:tc>
              <w:tc>
                <w:tcPr>
                  <w:tcW w:w="1587" w:type="dxa"/>
                  <w:tcBorders>
                    <w:top w:val="single" w:sz="4" w:space="0" w:color="D2C9B8"/>
                    <w:left w:val="single" w:sz="4" w:space="0" w:color="D2C9B8"/>
                    <w:bottom w:val="single" w:sz="4" w:space="0" w:color="D2C9B8"/>
                    <w:right w:val="single" w:sz="4" w:space="0" w:color="D2C9B8"/>
                  </w:tcBorders>
                </w:tcPr>
                <w:p w14:paraId="29C1FE24" w14:textId="77777777" w:rsidR="005A5FCC" w:rsidRDefault="00A21C81">
                  <w:pPr>
                    <w:spacing w:before="20" w:after="20" w:line="240" w:lineRule="auto"/>
                    <w:jc w:val="left"/>
                  </w:pPr>
                  <w:r>
                    <w:rPr>
                      <w:rFonts w:cs="EB Garamond"/>
                      <w:kern w:val="16"/>
                      <w:sz w:val="16"/>
                      <w14:ligatures w14:val="standardContextual"/>
                    </w:rPr>
                    <w:t>R$ 121,58</w:t>
                  </w:r>
                </w:p>
              </w:tc>
            </w:tr>
            <w:tr w:rsidR="005A5FCC" w14:paraId="35BAFF6E"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294583C5" w14:textId="77777777" w:rsidR="005A5FCC" w:rsidRDefault="00A21C81">
                  <w:pPr>
                    <w:spacing w:before="20" w:after="20" w:line="240" w:lineRule="auto"/>
                    <w:jc w:val="left"/>
                  </w:pPr>
                  <w:r>
                    <w:rPr>
                      <w:rFonts w:cs="EB Garamond"/>
                      <w:kern w:val="16"/>
                      <w:sz w:val="16"/>
                      <w14:ligatures w14:val="standardContextual"/>
                    </w:rPr>
                    <w:t>2ª</w:t>
                  </w:r>
                </w:p>
              </w:tc>
              <w:tc>
                <w:tcPr>
                  <w:tcW w:w="1587" w:type="dxa"/>
                  <w:tcBorders>
                    <w:top w:val="single" w:sz="4" w:space="0" w:color="D2C9B8"/>
                    <w:left w:val="single" w:sz="4" w:space="0" w:color="D2C9B8"/>
                    <w:bottom w:val="single" w:sz="4" w:space="0" w:color="D2C9B8"/>
                    <w:right w:val="single" w:sz="4" w:space="0" w:color="D2C9B8"/>
                  </w:tcBorders>
                </w:tcPr>
                <w:p w14:paraId="6ADCE612" w14:textId="77777777" w:rsidR="005A5FCC" w:rsidRDefault="00A21C81">
                  <w:pPr>
                    <w:spacing w:before="20" w:after="20" w:line="240" w:lineRule="auto"/>
                    <w:jc w:val="left"/>
                  </w:pPr>
                  <w:r>
                    <w:rPr>
                      <w:rFonts w:cs="EB Garamond"/>
                      <w:kern w:val="16"/>
                      <w:sz w:val="16"/>
                      <w14:ligatures w14:val="standardContextual"/>
                    </w:rPr>
                    <w:t>R$ 1.281,84</w:t>
                  </w:r>
                </w:p>
              </w:tc>
              <w:tc>
                <w:tcPr>
                  <w:tcW w:w="1587" w:type="dxa"/>
                  <w:tcBorders>
                    <w:top w:val="single" w:sz="4" w:space="0" w:color="D2C9B8"/>
                    <w:left w:val="single" w:sz="4" w:space="0" w:color="D2C9B8"/>
                    <w:bottom w:val="single" w:sz="4" w:space="0" w:color="D2C9B8"/>
                    <w:right w:val="single" w:sz="4" w:space="0" w:color="D2C9B8"/>
                  </w:tcBorders>
                </w:tcPr>
                <w:p w14:paraId="377321A6" w14:textId="77777777" w:rsidR="005A5FCC" w:rsidRDefault="00A21C81">
                  <w:pPr>
                    <w:spacing w:before="20" w:after="20" w:line="240" w:lineRule="auto"/>
                    <w:jc w:val="left"/>
                  </w:pPr>
                  <w:r>
                    <w:rPr>
                      <w:rFonts w:cs="EB Garamond"/>
                      <w:kern w:val="16"/>
                      <w:sz w:val="16"/>
                      <w14:ligatures w14:val="standardContextual"/>
                    </w:rPr>
                    <w:t>9,0%</w:t>
                  </w:r>
                </w:p>
              </w:tc>
              <w:tc>
                <w:tcPr>
                  <w:tcW w:w="1587" w:type="dxa"/>
                  <w:tcBorders>
                    <w:top w:val="single" w:sz="4" w:space="0" w:color="D2C9B8"/>
                    <w:left w:val="single" w:sz="4" w:space="0" w:color="D2C9B8"/>
                    <w:bottom w:val="single" w:sz="4" w:space="0" w:color="D2C9B8"/>
                    <w:right w:val="single" w:sz="4" w:space="0" w:color="D2C9B8"/>
                  </w:tcBorders>
                </w:tcPr>
                <w:p w14:paraId="56DEA05D" w14:textId="77777777" w:rsidR="005A5FCC" w:rsidRDefault="00A21C81">
                  <w:pPr>
                    <w:spacing w:before="20" w:after="20" w:line="240" w:lineRule="auto"/>
                    <w:jc w:val="left"/>
                  </w:pPr>
                  <w:r>
                    <w:rPr>
                      <w:rFonts w:cs="EB Garamond"/>
                      <w:kern w:val="16"/>
                      <w:sz w:val="16"/>
                      <w14:ligatures w14:val="standardContextual"/>
                    </w:rPr>
                    <w:t>R$ 115,37</w:t>
                  </w:r>
                </w:p>
              </w:tc>
            </w:tr>
            <w:tr w:rsidR="005A5FCC" w14:paraId="15F5CBE8"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61E5EB29" w14:textId="77777777" w:rsidR="005A5FCC" w:rsidRDefault="00A21C81">
                  <w:pPr>
                    <w:spacing w:before="20" w:after="20" w:line="240" w:lineRule="auto"/>
                    <w:jc w:val="left"/>
                  </w:pPr>
                  <w:r>
                    <w:rPr>
                      <w:rFonts w:cs="EB Garamond"/>
                      <w:kern w:val="16"/>
                      <w:sz w:val="16"/>
                      <w14:ligatures w14:val="standardContextual"/>
                    </w:rPr>
                    <w:t>3ª</w:t>
                  </w:r>
                </w:p>
              </w:tc>
              <w:tc>
                <w:tcPr>
                  <w:tcW w:w="1587" w:type="dxa"/>
                  <w:tcBorders>
                    <w:top w:val="single" w:sz="4" w:space="0" w:color="D2C9B8"/>
                    <w:left w:val="single" w:sz="4" w:space="0" w:color="D2C9B8"/>
                    <w:bottom w:val="single" w:sz="4" w:space="0" w:color="D2C9B8"/>
                    <w:right w:val="single" w:sz="4" w:space="0" w:color="D2C9B8"/>
                  </w:tcBorders>
                </w:tcPr>
                <w:p w14:paraId="4C7B79AE" w14:textId="77777777" w:rsidR="005A5FCC" w:rsidRDefault="00A21C81">
                  <w:pPr>
                    <w:spacing w:before="20" w:after="20" w:line="240" w:lineRule="auto"/>
                    <w:jc w:val="left"/>
                  </w:pPr>
                  <w:r>
                    <w:rPr>
                      <w:rFonts w:cs="EB Garamond"/>
                      <w:kern w:val="16"/>
                      <w:sz w:val="16"/>
                      <w14:ligatures w14:val="standardContextual"/>
                    </w:rPr>
                    <w:t>R$ 1.451,43 (4.354,27 - 2.902,84)</w:t>
                  </w:r>
                </w:p>
              </w:tc>
              <w:tc>
                <w:tcPr>
                  <w:tcW w:w="1587" w:type="dxa"/>
                  <w:tcBorders>
                    <w:top w:val="single" w:sz="4" w:space="0" w:color="D2C9B8"/>
                    <w:left w:val="single" w:sz="4" w:space="0" w:color="D2C9B8"/>
                    <w:bottom w:val="single" w:sz="4" w:space="0" w:color="D2C9B8"/>
                    <w:right w:val="single" w:sz="4" w:space="0" w:color="D2C9B8"/>
                  </w:tcBorders>
                </w:tcPr>
                <w:p w14:paraId="37F7F6BB" w14:textId="77777777" w:rsidR="005A5FCC" w:rsidRDefault="00A21C81">
                  <w:pPr>
                    <w:spacing w:before="20" w:after="20" w:line="240" w:lineRule="auto"/>
                    <w:jc w:val="left"/>
                  </w:pPr>
                  <w:r>
                    <w:rPr>
                      <w:rFonts w:cs="EB Garamond"/>
                      <w:kern w:val="16"/>
                      <w:sz w:val="16"/>
                      <w14:ligatures w14:val="standardContextual"/>
                    </w:rPr>
                    <w:t>12,0%</w:t>
                  </w:r>
                </w:p>
              </w:tc>
              <w:tc>
                <w:tcPr>
                  <w:tcW w:w="1587" w:type="dxa"/>
                  <w:tcBorders>
                    <w:top w:val="single" w:sz="4" w:space="0" w:color="D2C9B8"/>
                    <w:left w:val="single" w:sz="4" w:space="0" w:color="D2C9B8"/>
                    <w:bottom w:val="single" w:sz="4" w:space="0" w:color="D2C9B8"/>
                    <w:right w:val="single" w:sz="4" w:space="0" w:color="D2C9B8"/>
                  </w:tcBorders>
                </w:tcPr>
                <w:p w14:paraId="3EC13AB3" w14:textId="77777777" w:rsidR="005A5FCC" w:rsidRDefault="00A21C81">
                  <w:pPr>
                    <w:spacing w:before="20" w:after="20" w:line="240" w:lineRule="auto"/>
                    <w:jc w:val="left"/>
                  </w:pPr>
                  <w:r>
                    <w:rPr>
                      <w:rFonts w:cs="EB Garamond"/>
                      <w:kern w:val="16"/>
                      <w:sz w:val="16"/>
                      <w14:ligatures w14:val="standardContextual"/>
                    </w:rPr>
                    <w:t>R$ 174,17</w:t>
                  </w:r>
                </w:p>
              </w:tc>
            </w:tr>
            <w:tr w:rsidR="005A5FCC" w14:paraId="786E2A3F"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119C45D2" w14:textId="77777777" w:rsidR="005A5FCC" w:rsidRDefault="00A21C81">
                  <w:pPr>
                    <w:spacing w:before="20" w:after="20" w:line="240" w:lineRule="auto"/>
                    <w:jc w:val="left"/>
                  </w:pPr>
                  <w:r>
                    <w:rPr>
                      <w:rFonts w:cs="EB Garamond"/>
                      <w:kern w:val="16"/>
                      <w:sz w:val="16"/>
                      <w14:ligatures w14:val="standardContextual"/>
                    </w:rPr>
                    <w:t>4ª</w:t>
                  </w:r>
                </w:p>
              </w:tc>
              <w:tc>
                <w:tcPr>
                  <w:tcW w:w="1587" w:type="dxa"/>
                  <w:tcBorders>
                    <w:top w:val="single" w:sz="4" w:space="0" w:color="D2C9B8"/>
                    <w:left w:val="single" w:sz="4" w:space="0" w:color="D2C9B8"/>
                    <w:bottom w:val="single" w:sz="4" w:space="0" w:color="D2C9B8"/>
                    <w:right w:val="single" w:sz="4" w:space="0" w:color="D2C9B8"/>
                  </w:tcBorders>
                </w:tcPr>
                <w:p w14:paraId="332F4828" w14:textId="77777777" w:rsidR="005A5FCC" w:rsidRDefault="00A21C81">
                  <w:pPr>
                    <w:spacing w:before="20" w:after="20" w:line="240" w:lineRule="auto"/>
                    <w:jc w:val="left"/>
                  </w:pPr>
                  <w:r>
                    <w:rPr>
                      <w:rFonts w:cs="EB Garamond"/>
                      <w:kern w:val="16"/>
                      <w:sz w:val="16"/>
                      <w14:ligatures w14:val="standardContextual"/>
                    </w:rPr>
                    <w:t>R$ 4.121,28 (8.475,55 - 4.354,27)</w:t>
                  </w:r>
                </w:p>
              </w:tc>
              <w:tc>
                <w:tcPr>
                  <w:tcW w:w="1587" w:type="dxa"/>
                  <w:tcBorders>
                    <w:top w:val="single" w:sz="4" w:space="0" w:color="D2C9B8"/>
                    <w:left w:val="single" w:sz="4" w:space="0" w:color="D2C9B8"/>
                    <w:bottom w:val="single" w:sz="4" w:space="0" w:color="D2C9B8"/>
                    <w:right w:val="single" w:sz="4" w:space="0" w:color="D2C9B8"/>
                  </w:tcBorders>
                </w:tcPr>
                <w:p w14:paraId="37EFE938" w14:textId="77777777" w:rsidR="005A5FCC" w:rsidRDefault="00A21C81">
                  <w:pPr>
                    <w:spacing w:before="20" w:after="20" w:line="240" w:lineRule="auto"/>
                    <w:jc w:val="left"/>
                  </w:pPr>
                  <w:r>
                    <w:rPr>
                      <w:rFonts w:cs="EB Garamond"/>
                      <w:kern w:val="16"/>
                      <w:sz w:val="16"/>
                      <w14:ligatures w14:val="standardContextual"/>
                    </w:rPr>
                    <w:t>14,0%</w:t>
                  </w:r>
                </w:p>
              </w:tc>
              <w:tc>
                <w:tcPr>
                  <w:tcW w:w="1587" w:type="dxa"/>
                  <w:tcBorders>
                    <w:top w:val="single" w:sz="4" w:space="0" w:color="D2C9B8"/>
                    <w:left w:val="single" w:sz="4" w:space="0" w:color="D2C9B8"/>
                    <w:bottom w:val="single" w:sz="4" w:space="0" w:color="D2C9B8"/>
                    <w:right w:val="single" w:sz="4" w:space="0" w:color="D2C9B8"/>
                  </w:tcBorders>
                </w:tcPr>
                <w:p w14:paraId="09D2D626" w14:textId="77777777" w:rsidR="005A5FCC" w:rsidRDefault="00A21C81">
                  <w:pPr>
                    <w:spacing w:before="20" w:after="20" w:line="240" w:lineRule="auto"/>
                    <w:jc w:val="left"/>
                  </w:pPr>
                  <w:r>
                    <w:rPr>
                      <w:rFonts w:cs="EB Garamond"/>
                      <w:kern w:val="16"/>
                      <w:sz w:val="16"/>
                      <w14:ligatures w14:val="standardContextual"/>
                    </w:rPr>
                    <w:t>R$ 576,98</w:t>
                  </w:r>
                </w:p>
              </w:tc>
            </w:tr>
            <w:tr w:rsidR="005A5FCC" w14:paraId="50A3DCE7"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3557A6CD" w14:textId="77777777" w:rsidR="005A5FCC" w:rsidRDefault="00A21C81">
                  <w:pPr>
                    <w:spacing w:before="20" w:after="20" w:line="240" w:lineRule="auto"/>
                    <w:jc w:val="left"/>
                  </w:pPr>
                  <w:r>
                    <w:rPr>
                      <w:rFonts w:cs="EB Garamond"/>
                      <w:b/>
                      <w:kern w:val="16"/>
                      <w:sz w:val="16"/>
                      <w14:ligatures w14:val="standardContextual"/>
                    </w:rPr>
                    <w:t>Total</w:t>
                  </w:r>
                </w:p>
              </w:tc>
              <w:tc>
                <w:tcPr>
                  <w:tcW w:w="1587" w:type="dxa"/>
                  <w:tcBorders>
                    <w:top w:val="single" w:sz="4" w:space="0" w:color="D2C9B8"/>
                    <w:left w:val="single" w:sz="4" w:space="0" w:color="D2C9B8"/>
                    <w:bottom w:val="single" w:sz="4" w:space="0" w:color="D2C9B8"/>
                    <w:right w:val="single" w:sz="4" w:space="0" w:color="D2C9B8"/>
                  </w:tcBorders>
                </w:tcPr>
                <w:p w14:paraId="7EA6E04F" w14:textId="77777777" w:rsidR="005A5FCC" w:rsidRDefault="00A21C81">
                  <w:pPr>
                    <w:spacing w:before="20" w:after="20" w:line="240" w:lineRule="auto"/>
                    <w:jc w:val="left"/>
                  </w:pPr>
                  <w:r>
                    <w:rPr>
                      <w:rFonts w:cs="EB Garamond"/>
                      <w:b/>
                      <w:kern w:val="16"/>
                      <w:sz w:val="16"/>
                      <w14:ligatures w14:val="standardContextual"/>
                    </w:rPr>
                    <w:t>R$ 8.475,55</w:t>
                  </w:r>
                </w:p>
              </w:tc>
              <w:tc>
                <w:tcPr>
                  <w:tcW w:w="1587" w:type="dxa"/>
                  <w:tcBorders>
                    <w:top w:val="single" w:sz="4" w:space="0" w:color="D2C9B8"/>
                    <w:left w:val="single" w:sz="4" w:space="0" w:color="D2C9B8"/>
                    <w:bottom w:val="single" w:sz="4" w:space="0" w:color="D2C9B8"/>
                    <w:right w:val="single" w:sz="4" w:space="0" w:color="D2C9B8"/>
                  </w:tcBorders>
                </w:tcPr>
                <w:p w14:paraId="62F82EBC" w14:textId="77777777" w:rsidR="005A5FCC" w:rsidRDefault="00A21C81">
                  <w:pPr>
                    <w:spacing w:before="20" w:after="20" w:line="240" w:lineRule="auto"/>
                    <w:jc w:val="left"/>
                  </w:pPr>
                  <w:r>
                    <w:rPr>
                      <w:rFonts w:cs="EB Garamond"/>
                      <w:b/>
                      <w:kern w:val="16"/>
                      <w:sz w:val="16"/>
                      <w14:ligatures w14:val="standardContextual"/>
                    </w:rPr>
                    <w:t>Efetiva: 11,66%</w:t>
                  </w:r>
                </w:p>
              </w:tc>
              <w:tc>
                <w:tcPr>
                  <w:tcW w:w="1587" w:type="dxa"/>
                  <w:tcBorders>
                    <w:top w:val="single" w:sz="4" w:space="0" w:color="D2C9B8"/>
                    <w:left w:val="single" w:sz="4" w:space="0" w:color="D2C9B8"/>
                    <w:bottom w:val="single" w:sz="4" w:space="0" w:color="D2C9B8"/>
                    <w:right w:val="single" w:sz="4" w:space="0" w:color="D2C9B8"/>
                  </w:tcBorders>
                </w:tcPr>
                <w:p w14:paraId="6625BBD6" w14:textId="77777777" w:rsidR="005A5FCC" w:rsidRDefault="00A21C81">
                  <w:pPr>
                    <w:spacing w:before="20" w:after="20" w:line="240" w:lineRule="auto"/>
                    <w:jc w:val="left"/>
                  </w:pPr>
                  <w:r>
                    <w:rPr>
                      <w:rFonts w:cs="EB Garamond"/>
                      <w:b/>
                      <w:kern w:val="16"/>
                      <w:sz w:val="16"/>
                      <w14:ligatures w14:val="standardContextual"/>
                    </w:rPr>
                    <w:t>R$ 988,10</w:t>
                  </w:r>
                </w:p>
              </w:tc>
            </w:tr>
          </w:tbl>
          <w:p w14:paraId="395E73CB" w14:textId="77777777" w:rsidR="005A5FCC" w:rsidRDefault="005A5FCC"/>
          <w:p w14:paraId="778CFF78" w14:textId="77777777" w:rsidR="005A5FCC" w:rsidRDefault="005A5FCC">
            <w:pPr>
              <w:spacing w:after="0" w:line="240" w:lineRule="auto"/>
            </w:pPr>
          </w:p>
          <w:p w14:paraId="77319ECB" w14:textId="77777777" w:rsidR="005A5FCC" w:rsidRDefault="00A21C81">
            <w:pPr>
              <w:spacing w:after="60" w:line="247" w:lineRule="auto"/>
            </w:pPr>
            <w:r>
              <w:rPr>
                <w:rFonts w:cs="EB Garamond"/>
                <w:kern w:val="16"/>
                <w:sz w:val="19"/>
                <w14:ligatures w14:val="standardContextual"/>
              </w:rPr>
              <w:t>A alíquota efetiva máxima é de aproximadamente 11,66%. Nenhum segurado empregado paga efetivamente 14% sobre toda a remuneração.</w:t>
            </w:r>
          </w:p>
        </w:tc>
      </w:tr>
    </w:tbl>
    <w:p w14:paraId="043DB6FF" w14:textId="77777777" w:rsidR="005A5FCC" w:rsidRDefault="005A5FCC">
      <w:pPr>
        <w:spacing w:after="80" w:line="240" w:lineRule="auto"/>
      </w:pPr>
    </w:p>
    <w:p w14:paraId="4EA1FF58" w14:textId="77777777" w:rsidR="005A5FCC" w:rsidRDefault="00A21C81">
      <w:pPr>
        <w:spacing w:before="260" w:after="80" w:line="240" w:lineRule="auto"/>
        <w:jc w:val="left"/>
      </w:pPr>
      <w:r>
        <w:rPr>
          <w:rFonts w:cs="EB Garamond"/>
          <w:b/>
          <w:color w:val="3A3128"/>
          <w:kern w:val="16"/>
          <w:sz w:val="25"/>
          <w14:ligatures w14:val="standardContextual"/>
        </w:rPr>
        <w:t>4.2.4 Alíquota efetiva máxima e mínima</w:t>
      </w:r>
    </w:p>
    <w:p w14:paraId="37CDC15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6B7EEF6F" w14:textId="77777777" w:rsidR="005A5FCC" w:rsidRDefault="00A21C81">
      <w:r>
        <w:rPr>
          <w:rFonts w:cs="EB Garamond"/>
          <w:kern w:val="16"/>
          <w14:ligatures w14:val="standardContextual"/>
        </w:rPr>
        <w:t xml:space="preserve"> segurado que recebe exatamente 1 SM paga a alíquota efetiva mínima de 7,5% (R$ 121,58 em 2026). O segurado que recebe valor igual ou superior ao teto atinge a alíquota efetiva máxima, que não chega a 14% porque as faixas inferiores são tributadas com alíquotas menores. Com o teto de R$ 8.475,55 para 2026 (Portaria Interministerial MPS/MF n. 13, de 09/01/2026), a contribuição máxima do segurado empregado é de aproximadamente R$ 988,10, resultando em alíquota efetiva de cerca de 11,66%.</w:t>
      </w:r>
    </w:p>
    <w:p w14:paraId="7FB46470" w14:textId="77777777" w:rsidR="005A5FCC" w:rsidRDefault="00A21C81">
      <w:pPr>
        <w:spacing w:before="260" w:after="80" w:line="240" w:lineRule="auto"/>
        <w:jc w:val="left"/>
      </w:pPr>
      <w:r>
        <w:rPr>
          <w:rFonts w:cs="EB Garamond"/>
          <w:b/>
          <w:color w:val="3A3128"/>
          <w:kern w:val="16"/>
          <w:sz w:val="25"/>
          <w14:ligatures w14:val="standardContextual"/>
        </w:rPr>
        <w:t>4.2.5 Vigência e regra de transição</w:t>
      </w:r>
    </w:p>
    <w:p w14:paraId="467E2B4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714F0FBE" w14:textId="77777777" w:rsidR="005A5FCC" w:rsidRDefault="00A21C81">
      <w:r>
        <w:rPr>
          <w:rFonts w:cs="EB Garamond"/>
          <w:kern w:val="16"/>
          <w14:ligatures w14:val="standardContextual"/>
        </w:rPr>
        <w:t xml:space="preserve"> regime progressivo entrou em vigor no primeiro dia do quarto mês seguinte ao da publicação da EC 103/2019 (publicada em 13/11/2019), ou seja, em 1º de março de 2020 (novembro conta como mês da publicação; os quatro meses seguintes são dezembro, janeiro, fevereiro e março). Não houve </w:t>
      </w:r>
      <w:r>
        <w:rPr>
          <w:rFonts w:cs="EB Garamond"/>
          <w:kern w:val="16"/>
          <w14:ligatures w14:val="standardContextual"/>
        </w:rPr>
        <w:lastRenderedPageBreak/>
        <w:t>regra de transição para as alíquotas: a partir daquela data, todo empregado, doméstico e avulso passou a contribuir pelo sistema progressivo, independentemente da data de filiação ao RGPS.</w:t>
      </w:r>
    </w:p>
    <w:p w14:paraId="011BDAC6" w14:textId="77777777" w:rsidR="005A5FCC" w:rsidRDefault="00A21C81">
      <w:pPr>
        <w:spacing w:before="260" w:after="80" w:line="240" w:lineRule="auto"/>
        <w:jc w:val="left"/>
      </w:pPr>
      <w:r>
        <w:rPr>
          <w:rFonts w:cs="EB Garamond"/>
          <w:b/>
          <w:color w:val="3A3128"/>
          <w:kern w:val="16"/>
          <w:sz w:val="25"/>
          <w14:ligatures w14:val="standardContextual"/>
        </w:rPr>
        <w:t>4.2.6 Impacto no CNIS e na prova judicial</w:t>
      </w:r>
    </w:p>
    <w:p w14:paraId="24A47D0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555D37A1" w14:textId="77777777" w:rsidR="005A5FCC" w:rsidRDefault="00A21C81">
      <w:r>
        <w:rPr>
          <w:rFonts w:cs="EB Garamond"/>
          <w:kern w:val="16"/>
          <w14:ligatures w14:val="standardContextual"/>
        </w:rPr>
        <w:t xml:space="preserve"> CNIS registra o salário de contribuição mensal do segurado, não a alíquota aplicada. Para fins de cálculo de benefícios, o que importa é o salário de contribuição (limitado ao teto), não o valor efetivamente recolhido como contribuição. A progressividade não altera o salário de benefício — ela apenas reduz o custo para o trabalhador. No JEF, esse ponto raramente gera controvérsia para empregados, pois o empregador é o responsável pelo recolhimento (art. 30, I, Lei 8.212/91). A questão torna-se relevante quando há divergência entre a remuneração efetiva e o valor registrado no CNIS, hipótese em que o segurado pode buscar a retificação judicial (tema tratado no Capítulo 5).</w:t>
      </w:r>
    </w:p>
    <w:p w14:paraId="742C08C5" w14:textId="77777777" w:rsidR="005A5FCC" w:rsidRDefault="00A21C81">
      <w:pPr>
        <w:spacing w:before="260" w:after="80" w:line="240" w:lineRule="auto"/>
        <w:jc w:val="left"/>
      </w:pPr>
      <w:r>
        <w:rPr>
          <w:rFonts w:cs="EB Garamond"/>
          <w:b/>
          <w:color w:val="3A3128"/>
          <w:kern w:val="16"/>
          <w:sz w:val="25"/>
          <w14:ligatures w14:val="standardContextual"/>
        </w:rPr>
        <w:t>4.2.7 Evolução histórica das alíquotas do empregado</w:t>
      </w:r>
    </w:p>
    <w:p w14:paraId="585957A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7684F663" w14:textId="77777777" w:rsidR="005A5FCC" w:rsidRDefault="00A21C81">
      <w:r>
        <w:rPr>
          <w:rFonts w:cs="EB Garamond"/>
          <w:kern w:val="16"/>
          <w14:ligatures w14:val="standardContextual"/>
        </w:rPr>
        <w:t>s alíquotas de contribuição do segurado empregado sofreram alterações sucessivas ao longo da história do RGPS. A evolução importa para o cálculo de benefícios com períodos contributivos anteriores, sobretudo nas revisões de aposentadorias concedidas antes da EC 103/2019.</w:t>
      </w:r>
    </w:p>
    <w:p w14:paraId="65ED27CD" w14:textId="77777777" w:rsidR="005A5FCC" w:rsidRDefault="00A21C81">
      <w:pPr>
        <w:ind w:firstLine="238"/>
      </w:pPr>
      <w:r>
        <w:rPr>
          <w:rFonts w:cs="EB Garamond"/>
          <w:kern w:val="16"/>
          <w14:ligatures w14:val="standardContextual"/>
        </w:rPr>
        <w:t>Nos primórdios do sistema, a contribuição do empregado era fixada pelas legislações dos Institutos de Aposentadoria e Pensão (IAPs) e, posteriormente, pela LOPS (Lei 3.807/60). Embora o Decreto-Lei 5.452/43 (CLT) tenha consolidado a legislação trabalhista, as contribuições previdenciárias eram regidas por normas específicas de cada instituto, geralmente em torno de 8% sobre o salário, sem progressividade. A Lei 8.212/91 manteve alíquotas proporcionais (não progressivas) de 8%, 9% e 11%, distribuídas em três faixas salariais. Essa estrutura permaneceu por quase 30 anos, com atualização periódica dos valores-limites das faixas por portaria ministerial.</w:t>
      </w:r>
    </w:p>
    <w:p w14:paraId="561CDCC8" w14:textId="77777777" w:rsidR="005A5FCC" w:rsidRDefault="00A21C81">
      <w:pPr>
        <w:ind w:firstLine="238"/>
      </w:pPr>
      <w:r>
        <w:rPr>
          <w:rFonts w:cs="EB Garamond"/>
          <w:kern w:val="16"/>
          <w14:ligatures w14:val="standardContextual"/>
        </w:rPr>
        <w:t xml:space="preserve">A EC 103/2019 rompeu com esse modelo ao adotar a progressividade por faixas, aproximando a contribuição previdenciária da sistemática do Imposto de </w:t>
      </w:r>
      <w:r>
        <w:rPr>
          <w:rFonts w:cs="EB Garamond"/>
          <w:kern w:val="16"/>
          <w14:ligatures w14:val="standardContextual"/>
        </w:rPr>
        <w:lastRenderedPageBreak/>
        <w:t>Renda. A mudança dá concretude ao princípio da equidade na forma de participação no custeio (art. 194, V, CF/88): quem ganha mais, contribui proporcionalmente mais. A progressividade beneficia os segurados de baixa e média renda, que passaram a contribuir com alíquotas efetivas menores do que as anteriores.</w:t>
      </w:r>
    </w:p>
    <w:p w14:paraId="2C4EC16B" w14:textId="77777777" w:rsidR="005A5FCC" w:rsidRDefault="00A21C81">
      <w:pPr>
        <w:ind w:firstLine="238"/>
      </w:pPr>
      <w:r>
        <w:rPr>
          <w:rFonts w:cs="EB Garamond"/>
          <w:kern w:val="16"/>
          <w14:ligatures w14:val="standardContextual"/>
        </w:rPr>
        <w:t>Para o cálculo judicial de benefícios, o advogado deve atentar que o modelo de alíquotas não afeta o salário de contribuição (que é a remuneração, limitada ao teto), mas sim o valor efetivamente descontado do trabalhador. Ações que discutem o valor do benefício baseiam-se nos salários de contribuição registrados no CNIS, não nas alíquotas aplicadas em cada período.</w:t>
      </w:r>
    </w:p>
    <w:tbl>
      <w:tblPr>
        <w:tblW w:w="5000" w:type="pct"/>
        <w:jc w:val="center"/>
        <w:tblLayout w:type="fixed"/>
        <w:tblLook w:val="04A0" w:firstRow="1" w:lastRow="0" w:firstColumn="1" w:lastColumn="0" w:noHBand="0" w:noVBand="1"/>
      </w:tblPr>
      <w:tblGrid>
        <w:gridCol w:w="6311"/>
      </w:tblGrid>
      <w:tr w:rsidR="005A5FCC" w14:paraId="29337874"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645EFAC3"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2AC70353" w14:textId="77777777" w:rsidR="005A5FCC" w:rsidRDefault="00A21C81">
            <w:pPr>
              <w:spacing w:after="60" w:line="247" w:lineRule="auto"/>
            </w:pPr>
            <w:r>
              <w:rPr>
                <w:rFonts w:cs="EB Garamond"/>
                <w:b/>
                <w:kern w:val="16"/>
                <w:sz w:val="19"/>
                <w14:ligatures w14:val="standardContextual"/>
              </w:rPr>
              <w:t>Evolução das alíquotas do segurado empregado:</w:t>
            </w:r>
          </w:p>
          <w:tbl>
            <w:tblPr>
              <w:tblW w:w="5000" w:type="pct"/>
              <w:jc w:val="center"/>
              <w:tblLook w:val="04A0" w:firstRow="1" w:lastRow="0" w:firstColumn="1" w:lastColumn="0" w:noHBand="0" w:noVBand="1"/>
            </w:tblPr>
            <w:tblGrid>
              <w:gridCol w:w="1967"/>
              <w:gridCol w:w="1967"/>
              <w:gridCol w:w="1967"/>
            </w:tblGrid>
            <w:tr w:rsidR="005A5FCC" w14:paraId="666F18BF" w14:textId="77777777">
              <w:trPr>
                <w:tblHeader/>
                <w:jc w:val="center"/>
              </w:trPr>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2FD763FD" w14:textId="77777777" w:rsidR="005A5FCC" w:rsidRDefault="00A21C81">
                  <w:pPr>
                    <w:spacing w:before="30" w:after="30" w:line="240" w:lineRule="auto"/>
                    <w:jc w:val="center"/>
                  </w:pPr>
                  <w:r>
                    <w:rPr>
                      <w:rFonts w:cs="EB Garamond"/>
                      <w:b/>
                      <w:color w:val="2F2923"/>
                      <w:kern w:val="16"/>
                      <w:sz w:val="16"/>
                      <w14:ligatures w14:val="standardContextual"/>
                    </w:rPr>
                    <w:t>Período</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7523BCC5" w14:textId="77777777" w:rsidR="005A5FCC" w:rsidRDefault="00A21C81">
                  <w:pPr>
                    <w:spacing w:before="30" w:after="30" w:line="240" w:lineRule="auto"/>
                    <w:jc w:val="center"/>
                  </w:pPr>
                  <w:r>
                    <w:rPr>
                      <w:rFonts w:cs="EB Garamond"/>
                      <w:b/>
                      <w:color w:val="2F2923"/>
                      <w:kern w:val="16"/>
                      <w:sz w:val="16"/>
                      <w14:ligatures w14:val="standardContextual"/>
                    </w:rPr>
                    <w:t>Alíquotas</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770DC5ED" w14:textId="77777777" w:rsidR="005A5FCC" w:rsidRDefault="00A21C81">
                  <w:pPr>
                    <w:spacing w:before="30" w:after="30" w:line="240" w:lineRule="auto"/>
                    <w:jc w:val="center"/>
                  </w:pPr>
                  <w:r>
                    <w:rPr>
                      <w:rFonts w:cs="EB Garamond"/>
                      <w:b/>
                      <w:color w:val="2F2923"/>
                      <w:kern w:val="16"/>
                      <w:sz w:val="16"/>
                      <w14:ligatures w14:val="standardContextual"/>
                    </w:rPr>
                    <w:t>Sistema</w:t>
                  </w:r>
                </w:p>
              </w:tc>
            </w:tr>
            <w:tr w:rsidR="005A5FCC" w14:paraId="2EE9B0D0"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4F1536C5" w14:textId="77777777" w:rsidR="005A5FCC" w:rsidRDefault="00A21C81">
                  <w:pPr>
                    <w:spacing w:before="20" w:after="20" w:line="240" w:lineRule="auto"/>
                    <w:jc w:val="left"/>
                  </w:pPr>
                  <w:r>
                    <w:rPr>
                      <w:rFonts w:cs="EB Garamond"/>
                      <w:kern w:val="16"/>
                      <w:sz w:val="16"/>
                      <w14:ligatures w14:val="standardContextual"/>
                    </w:rPr>
                    <w:t>Até 1991</w:t>
                  </w:r>
                </w:p>
              </w:tc>
              <w:tc>
                <w:tcPr>
                  <w:tcW w:w="2117" w:type="dxa"/>
                  <w:tcBorders>
                    <w:top w:val="single" w:sz="4" w:space="0" w:color="D2C9B8"/>
                    <w:left w:val="single" w:sz="4" w:space="0" w:color="D2C9B8"/>
                    <w:bottom w:val="single" w:sz="4" w:space="0" w:color="D2C9B8"/>
                    <w:right w:val="single" w:sz="4" w:space="0" w:color="D2C9B8"/>
                  </w:tcBorders>
                </w:tcPr>
                <w:p w14:paraId="7BE3062B" w14:textId="77777777" w:rsidR="005A5FCC" w:rsidRDefault="00A21C81">
                  <w:pPr>
                    <w:spacing w:before="20" w:after="20" w:line="240" w:lineRule="auto"/>
                    <w:jc w:val="left"/>
                  </w:pPr>
                  <w:r>
                    <w:rPr>
                      <w:rFonts w:cs="EB Garamond"/>
                      <w:kern w:val="16"/>
                      <w:sz w:val="16"/>
                      <w14:ligatures w14:val="standardContextual"/>
                    </w:rPr>
                    <w:t>8% fixa</w:t>
                  </w:r>
                </w:p>
              </w:tc>
              <w:tc>
                <w:tcPr>
                  <w:tcW w:w="2117" w:type="dxa"/>
                  <w:tcBorders>
                    <w:top w:val="single" w:sz="4" w:space="0" w:color="D2C9B8"/>
                    <w:left w:val="single" w:sz="4" w:space="0" w:color="D2C9B8"/>
                    <w:bottom w:val="single" w:sz="4" w:space="0" w:color="D2C9B8"/>
                    <w:right w:val="single" w:sz="4" w:space="0" w:color="D2C9B8"/>
                  </w:tcBorders>
                </w:tcPr>
                <w:p w14:paraId="4F70A152" w14:textId="77777777" w:rsidR="005A5FCC" w:rsidRDefault="00A21C81">
                  <w:pPr>
                    <w:spacing w:before="20" w:after="20" w:line="240" w:lineRule="auto"/>
                    <w:jc w:val="left"/>
                  </w:pPr>
                  <w:r>
                    <w:rPr>
                      <w:rFonts w:cs="EB Garamond"/>
                      <w:kern w:val="16"/>
                      <w:sz w:val="16"/>
                      <w14:ligatures w14:val="standardContextual"/>
                    </w:rPr>
                    <w:t>Proporcional</w:t>
                  </w:r>
                </w:p>
              </w:tc>
            </w:tr>
            <w:tr w:rsidR="005A5FCC" w14:paraId="0106F0D9"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5630F63A" w14:textId="77777777" w:rsidR="005A5FCC" w:rsidRDefault="00A21C81">
                  <w:pPr>
                    <w:spacing w:before="20" w:after="20" w:line="240" w:lineRule="auto"/>
                    <w:jc w:val="left"/>
                  </w:pPr>
                  <w:r>
                    <w:rPr>
                      <w:rFonts w:cs="EB Garamond"/>
                      <w:kern w:val="16"/>
                      <w:sz w:val="16"/>
                      <w14:ligatures w14:val="standardContextual"/>
                    </w:rPr>
                    <w:t>1991-2020 (Lei 8.212)</w:t>
                  </w:r>
                </w:p>
              </w:tc>
              <w:tc>
                <w:tcPr>
                  <w:tcW w:w="2117" w:type="dxa"/>
                  <w:tcBorders>
                    <w:top w:val="single" w:sz="4" w:space="0" w:color="D2C9B8"/>
                    <w:left w:val="single" w:sz="4" w:space="0" w:color="D2C9B8"/>
                    <w:bottom w:val="single" w:sz="4" w:space="0" w:color="D2C9B8"/>
                    <w:right w:val="single" w:sz="4" w:space="0" w:color="D2C9B8"/>
                  </w:tcBorders>
                </w:tcPr>
                <w:p w14:paraId="2F62E0AB" w14:textId="77777777" w:rsidR="005A5FCC" w:rsidRDefault="00A21C81">
                  <w:pPr>
                    <w:spacing w:before="20" w:after="20" w:line="240" w:lineRule="auto"/>
                    <w:jc w:val="left"/>
                  </w:pPr>
                  <w:r>
                    <w:rPr>
                      <w:rFonts w:cs="EB Garamond"/>
                      <w:kern w:val="16"/>
                      <w:sz w:val="16"/>
                      <w14:ligatures w14:val="standardContextual"/>
                    </w:rPr>
                    <w:t>8%, 9%, 11%</w:t>
                  </w:r>
                </w:p>
              </w:tc>
              <w:tc>
                <w:tcPr>
                  <w:tcW w:w="2117" w:type="dxa"/>
                  <w:tcBorders>
                    <w:top w:val="single" w:sz="4" w:space="0" w:color="D2C9B8"/>
                    <w:left w:val="single" w:sz="4" w:space="0" w:color="D2C9B8"/>
                    <w:bottom w:val="single" w:sz="4" w:space="0" w:color="D2C9B8"/>
                    <w:right w:val="single" w:sz="4" w:space="0" w:color="D2C9B8"/>
                  </w:tcBorders>
                </w:tcPr>
                <w:p w14:paraId="7F51D28A" w14:textId="77777777" w:rsidR="005A5FCC" w:rsidRDefault="00A21C81">
                  <w:pPr>
                    <w:spacing w:before="20" w:after="20" w:line="240" w:lineRule="auto"/>
                    <w:jc w:val="left"/>
                  </w:pPr>
                  <w:r>
                    <w:rPr>
                      <w:rFonts w:cs="EB Garamond"/>
                      <w:kern w:val="16"/>
                      <w:sz w:val="16"/>
                      <w14:ligatures w14:val="standardContextual"/>
                    </w:rPr>
                    <w:t>Proporcional por faixa</w:t>
                  </w:r>
                </w:p>
              </w:tc>
            </w:tr>
            <w:tr w:rsidR="005A5FCC" w14:paraId="78E0FB5B"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025259ED" w14:textId="77777777" w:rsidR="005A5FCC" w:rsidRDefault="00A21C81">
                  <w:pPr>
                    <w:spacing w:before="20" w:after="20" w:line="240" w:lineRule="auto"/>
                    <w:jc w:val="left"/>
                  </w:pPr>
                  <w:r>
                    <w:rPr>
                      <w:rFonts w:cs="EB Garamond"/>
                      <w:kern w:val="16"/>
                      <w:sz w:val="16"/>
                      <w14:ligatures w14:val="standardContextual"/>
                    </w:rPr>
                    <w:t>Mar/2020 em diante (EC 103)</w:t>
                  </w:r>
                </w:p>
              </w:tc>
              <w:tc>
                <w:tcPr>
                  <w:tcW w:w="2117" w:type="dxa"/>
                  <w:tcBorders>
                    <w:top w:val="single" w:sz="4" w:space="0" w:color="D2C9B8"/>
                    <w:left w:val="single" w:sz="4" w:space="0" w:color="D2C9B8"/>
                    <w:bottom w:val="single" w:sz="4" w:space="0" w:color="D2C9B8"/>
                    <w:right w:val="single" w:sz="4" w:space="0" w:color="D2C9B8"/>
                  </w:tcBorders>
                </w:tcPr>
                <w:p w14:paraId="2C508934" w14:textId="77777777" w:rsidR="005A5FCC" w:rsidRDefault="00A21C81">
                  <w:pPr>
                    <w:spacing w:before="20" w:after="20" w:line="240" w:lineRule="auto"/>
                    <w:jc w:val="left"/>
                  </w:pPr>
                  <w:r>
                    <w:rPr>
                      <w:rFonts w:cs="EB Garamond"/>
                      <w:kern w:val="16"/>
                      <w:sz w:val="16"/>
                      <w14:ligatures w14:val="standardContextual"/>
                    </w:rPr>
                    <w:t>7,5%, 9%, 12%, 14%</w:t>
                  </w:r>
                </w:p>
              </w:tc>
              <w:tc>
                <w:tcPr>
                  <w:tcW w:w="2117" w:type="dxa"/>
                  <w:tcBorders>
                    <w:top w:val="single" w:sz="4" w:space="0" w:color="D2C9B8"/>
                    <w:left w:val="single" w:sz="4" w:space="0" w:color="D2C9B8"/>
                    <w:bottom w:val="single" w:sz="4" w:space="0" w:color="D2C9B8"/>
                    <w:right w:val="single" w:sz="4" w:space="0" w:color="D2C9B8"/>
                  </w:tcBorders>
                </w:tcPr>
                <w:p w14:paraId="28AC6665" w14:textId="77777777" w:rsidR="005A5FCC" w:rsidRDefault="00A21C81">
                  <w:pPr>
                    <w:spacing w:before="20" w:after="20" w:line="240" w:lineRule="auto"/>
                    <w:jc w:val="left"/>
                  </w:pPr>
                  <w:r>
                    <w:rPr>
                      <w:rFonts w:cs="EB Garamond"/>
                      <w:kern w:val="16"/>
                      <w:sz w:val="16"/>
                      <w14:ligatures w14:val="standardContextual"/>
                    </w:rPr>
                    <w:t>Progressivo por faixa</w:t>
                  </w:r>
                </w:p>
              </w:tc>
            </w:tr>
          </w:tbl>
          <w:p w14:paraId="6A17BF44" w14:textId="77777777" w:rsidR="005A5FCC" w:rsidRDefault="005A5FCC"/>
          <w:p w14:paraId="2C1176D6" w14:textId="77777777" w:rsidR="005A5FCC" w:rsidRDefault="005A5FCC">
            <w:pPr>
              <w:spacing w:after="0" w:line="240" w:lineRule="auto"/>
            </w:pPr>
          </w:p>
          <w:p w14:paraId="3508AF22" w14:textId="77777777" w:rsidR="005A5FCC" w:rsidRDefault="00A21C81">
            <w:pPr>
              <w:spacing w:after="60" w:line="247" w:lineRule="auto"/>
            </w:pPr>
            <w:r>
              <w:rPr>
                <w:rFonts w:cs="EB Garamond"/>
                <w:b/>
                <w:kern w:val="16"/>
                <w:sz w:val="19"/>
                <w14:ligatures w14:val="standardContextual"/>
              </w:rPr>
              <w:t>Exemplo comparativo (salário R$ 4.000,00):</w:t>
            </w:r>
            <w:r>
              <w:rPr>
                <w:rFonts w:cs="EB Garamond"/>
                <w:kern w:val="16"/>
                <w:sz w:val="19"/>
                <w14:ligatures w14:val="standardContextual"/>
              </w:rPr>
              <w:t xml:space="preserve"> - Sistema antigo (11% fixa): R$ 440,00 - Sistema progressivo (EC 103): R$ 368,61 - Economia para o segurado: R$ 71,39/mês (R$ 856,68/ano)</w:t>
            </w:r>
          </w:p>
        </w:tc>
      </w:tr>
    </w:tbl>
    <w:p w14:paraId="36A0D075" w14:textId="77777777" w:rsidR="005A5FCC" w:rsidRDefault="005A5FCC">
      <w:pPr>
        <w:spacing w:after="80" w:line="240" w:lineRule="auto"/>
      </w:pPr>
    </w:p>
    <w:p w14:paraId="5269FBEF"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4.3 Contribuição patronal, RAT e FAP</w:t>
      </w:r>
    </w:p>
    <w:p w14:paraId="46F2DB16" w14:textId="77777777" w:rsidR="005A5FCC" w:rsidRDefault="00A21C81">
      <w:pPr>
        <w:spacing w:before="260" w:after="80" w:line="240" w:lineRule="auto"/>
        <w:jc w:val="left"/>
      </w:pPr>
      <w:r>
        <w:rPr>
          <w:rFonts w:cs="EB Garamond"/>
          <w:b/>
          <w:color w:val="3A3128"/>
          <w:kern w:val="16"/>
          <w:sz w:val="25"/>
          <w14:ligatures w14:val="standardContextual"/>
        </w:rPr>
        <w:t>4.3.1 Estrutura da contribuição do empregador</w:t>
      </w:r>
    </w:p>
    <w:p w14:paraId="6DCBBDF8"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3C43D146" w14:textId="77777777" w:rsidR="005A5FCC" w:rsidRDefault="00A21C81">
      <w:r>
        <w:rPr>
          <w:rFonts w:cs="EB Garamond"/>
          <w:kern w:val="16"/>
          <w14:ligatures w14:val="standardContextual"/>
        </w:rPr>
        <w:t xml:space="preserve"> contribuição patronal previdenciária é a principal fonte de custeio do RGPS e incide sobre a totalidade das remunerações pagas, devidas ou creditadas a qualquer título, durante o mês, aos segurados empregados e trabalhadores avulsos que prestem serviços à empresa. O art. 22, incisos I a III, da Lei 8.212/91 disciplina a contribuição patronal em três componentes (o inciso </w:t>
      </w:r>
      <w:r>
        <w:rPr>
          <w:rFonts w:cs="EB Garamond"/>
          <w:kern w:val="16"/>
          <w14:ligatures w14:val="standardContextual"/>
        </w:rPr>
        <w:lastRenderedPageBreak/>
        <w:t>IV, que previa contribuição de 15% sobre o valor da nota fiscal de serviços prestados por cooperativas de trabalho, foi declarado inconstitucional pelo STF no Tema 166 — RE 595.838, j. 23/04/2014):</w:t>
      </w:r>
    </w:p>
    <w:p w14:paraId="10C03FC7" w14:textId="72BE3EE9" w:rsidR="005A5FCC" w:rsidRDefault="00A21C81">
      <w:pPr>
        <w:ind w:firstLine="238"/>
      </w:pPr>
      <w:r>
        <w:rPr>
          <w:rFonts w:cs="EB Garamond"/>
          <w:kern w:val="16"/>
          <w14:ligatures w14:val="standardContextual"/>
        </w:rPr>
        <w:t xml:space="preserve">a) </w:t>
      </w:r>
      <w:r>
        <w:rPr>
          <w:rFonts w:cs="EB Garamond"/>
          <w:b/>
          <w:kern w:val="16"/>
          <w14:ligatures w14:val="standardContextual"/>
        </w:rPr>
        <w:t>Contribuição básica (cota patronal):</w:t>
      </w:r>
      <w:r>
        <w:rPr>
          <w:rFonts w:cs="EB Garamond"/>
          <w:kern w:val="16"/>
          <w14:ligatures w14:val="standardContextual"/>
        </w:rPr>
        <w:t xml:space="preserve"> 20% sobre o total das remunerações pagas aos segurados empregados e avulsos (art. 22, I). Essa alíquota é fixa, não progressiva</w:t>
      </w:r>
      <w:r w:rsidR="007F4914">
        <w:rPr>
          <w:rFonts w:cs="EB Garamond"/>
          <w:kern w:val="16"/>
          <w14:ligatures w14:val="standardContextual"/>
        </w:rPr>
        <w:t>. A</w:t>
      </w:r>
      <w:r>
        <w:rPr>
          <w:rFonts w:cs="EB Garamond"/>
          <w:kern w:val="16"/>
          <w14:ligatures w14:val="standardContextual"/>
        </w:rPr>
        <w:t>o contrário da contribuição do segurado, que varia por faixa, o empregador paga 20% sobre toda a folha, sem limite de teto por segurado.</w:t>
      </w:r>
    </w:p>
    <w:p w14:paraId="3A5B6480" w14:textId="77777777" w:rsidR="005A5FCC" w:rsidRDefault="00A21C81">
      <w:pPr>
        <w:ind w:firstLine="238"/>
      </w:pPr>
      <w:r>
        <w:rPr>
          <w:rFonts w:cs="EB Garamond"/>
          <w:kern w:val="16"/>
          <w14:ligatures w14:val="standardContextual"/>
        </w:rPr>
        <w:t xml:space="preserve">b) </w:t>
      </w:r>
      <w:r>
        <w:rPr>
          <w:rFonts w:cs="EB Garamond"/>
          <w:b/>
          <w:kern w:val="16"/>
          <w14:ligatures w14:val="standardContextual"/>
        </w:rPr>
        <w:t>RAT — Riscos Ambientais do Trabalho:</w:t>
      </w:r>
      <w:r>
        <w:rPr>
          <w:rFonts w:cs="EB Garamond"/>
          <w:kern w:val="16"/>
          <w14:ligatures w14:val="standardContextual"/>
        </w:rPr>
        <w:t xml:space="preserve"> Contribuição adicional destinada ao financiamento de aposentadorias especiais e benefícios decorrentes de acidentes de trabalho e doenças ocupacionais. O art. 22, II, da Lei 8.212/91 fixa as alíquotas em 1%, 2% ou 3%, conforme o grau de risco da atividade preponderante da empresa (leve, médio ou grave, respectivamente). A classificação do risco segue o CNAE (Classificação Nacional de Atividades Econômicas) da empresa, conforme o Anexo V do Decreto 3.048/99 (Regulamento da Previdência Social), com redação dada pelo Decreto 6.957/2009.</w:t>
      </w:r>
    </w:p>
    <w:p w14:paraId="5F2B469C" w14:textId="77777777" w:rsidR="005A5FCC" w:rsidRDefault="00A21C81">
      <w:pPr>
        <w:ind w:firstLine="238"/>
      </w:pPr>
      <w:r>
        <w:rPr>
          <w:rFonts w:cs="EB Garamond"/>
          <w:kern w:val="16"/>
          <w14:ligatures w14:val="standardContextual"/>
        </w:rPr>
        <w:t xml:space="preserve">c) </w:t>
      </w:r>
      <w:r>
        <w:rPr>
          <w:rFonts w:cs="EB Garamond"/>
          <w:b/>
          <w:kern w:val="16"/>
          <w14:ligatures w14:val="standardContextual"/>
        </w:rPr>
        <w:t>Contribuição sobre a remuneração de contribuintes individuais:</w:t>
      </w:r>
      <w:r>
        <w:rPr>
          <w:rFonts w:cs="EB Garamond"/>
          <w:kern w:val="16"/>
          <w14:ligatures w14:val="standardContextual"/>
        </w:rPr>
        <w:t xml:space="preserve"> 20% sobre o total das remunerações pagas ou creditadas a contribuintes individuais que prestem serviço à empresa (art. 22, III).</w:t>
      </w:r>
    </w:p>
    <w:tbl>
      <w:tblPr>
        <w:tblW w:w="5000" w:type="pct"/>
        <w:jc w:val="center"/>
        <w:tblLayout w:type="fixed"/>
        <w:tblLook w:val="04A0" w:firstRow="1" w:lastRow="0" w:firstColumn="1" w:lastColumn="0" w:noHBand="0" w:noVBand="1"/>
      </w:tblPr>
      <w:tblGrid>
        <w:gridCol w:w="6311"/>
      </w:tblGrid>
      <w:tr w:rsidR="005A5FCC" w14:paraId="210DB9B8"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1A40ACC9"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3E3153E4" w14:textId="77777777" w:rsidR="005A5FCC" w:rsidRDefault="00A21C81">
            <w:pPr>
              <w:spacing w:after="60" w:line="247" w:lineRule="auto"/>
            </w:pPr>
            <w:r>
              <w:rPr>
                <w:rFonts w:cs="EB Garamond"/>
                <w:b/>
                <w:kern w:val="16"/>
                <w:sz w:val="19"/>
                <w14:ligatures w14:val="standardContextual"/>
              </w:rPr>
              <w:t>Duas obrigações autônomas: a patronal e a do empregado não se confundem</w:t>
            </w:r>
          </w:p>
          <w:p w14:paraId="056C2680" w14:textId="77777777" w:rsidR="005A5FCC" w:rsidRDefault="00A21C81">
            <w:pPr>
              <w:spacing w:after="60" w:line="247" w:lineRule="auto"/>
            </w:pPr>
            <w:r>
              <w:rPr>
                <w:rFonts w:cs="EB Garamond"/>
                <w:kern w:val="16"/>
                <w:sz w:val="19"/>
                <w14:ligatures w14:val="standardContextual"/>
              </w:rPr>
              <w:t>A contribuição patronal (20%) incide sobre a folha de pagamento da empresa, sem limite de teto por empregado. A contribuição do empregado (7,5% a 14%) incide sobre a remuneração individual, limitada ao teto. As duas obrigações são autônomas e cumulativas. Assim, sobre uma remuneração de R$ 10.000,00 (acima do teto), o empregador paga 20% sobre R$ 10.000,00 (= R$ 2.000,00), enquanto o empregado contribui com ~R$ 988,10 (limitado ao teto de R$ 8.475,55).</w:t>
            </w:r>
          </w:p>
        </w:tc>
      </w:tr>
    </w:tbl>
    <w:p w14:paraId="269A8AAF" w14:textId="77777777" w:rsidR="005A5FCC" w:rsidRDefault="005A5FCC">
      <w:pPr>
        <w:spacing w:after="80" w:line="240" w:lineRule="auto"/>
      </w:pPr>
    </w:p>
    <w:p w14:paraId="11C70FF4" w14:textId="77777777" w:rsidR="005A5FCC" w:rsidRDefault="00A21C81">
      <w:pPr>
        <w:spacing w:before="260" w:after="80" w:line="240" w:lineRule="auto"/>
        <w:jc w:val="left"/>
      </w:pPr>
      <w:r>
        <w:rPr>
          <w:rFonts w:cs="EB Garamond"/>
          <w:b/>
          <w:color w:val="3A3128"/>
          <w:kern w:val="16"/>
          <w:sz w:val="25"/>
          <w14:ligatures w14:val="standardContextual"/>
        </w:rPr>
        <w:t>4.3.2 RAT: graus de risco e enquadramento</w:t>
      </w:r>
    </w:p>
    <w:p w14:paraId="1CBBB5D8"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683BEDC4" w14:textId="77777777" w:rsidR="005A5FCC" w:rsidRDefault="00A21C81">
      <w:r>
        <w:rPr>
          <w:rFonts w:cs="EB Garamond"/>
          <w:kern w:val="16"/>
          <w14:ligatures w14:val="standardContextual"/>
        </w:rPr>
        <w:t xml:space="preserve"> Riscos Ambientais do Trabalho (RAT), que substituiu a antiga denominação SAT (Seguro de Acidente do Trabalho), classifica as atividades econômicas em três graus de risco:</w:t>
      </w:r>
    </w:p>
    <w:tbl>
      <w:tblPr>
        <w:tblW w:w="5000" w:type="pct"/>
        <w:jc w:val="center"/>
        <w:tblLook w:val="04A0" w:firstRow="1" w:lastRow="0" w:firstColumn="1" w:lastColumn="0" w:noHBand="0" w:noVBand="1"/>
      </w:tblPr>
      <w:tblGrid>
        <w:gridCol w:w="2114"/>
        <w:gridCol w:w="2113"/>
        <w:gridCol w:w="2113"/>
      </w:tblGrid>
      <w:tr w:rsidR="005A5FCC" w14:paraId="1738125F" w14:textId="77777777">
        <w:trPr>
          <w:tblHeader/>
          <w:jc w:val="center"/>
        </w:trPr>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5E1D7149" w14:textId="77777777" w:rsidR="005A5FCC" w:rsidRDefault="00A21C81">
            <w:pPr>
              <w:spacing w:before="40" w:after="40" w:line="240" w:lineRule="auto"/>
              <w:jc w:val="center"/>
            </w:pPr>
            <w:r>
              <w:rPr>
                <w:rFonts w:cs="EB Garamond"/>
                <w:b/>
                <w:color w:val="2F2923"/>
                <w:kern w:val="16"/>
                <w:sz w:val="18"/>
                <w14:ligatures w14:val="standardContextual"/>
              </w:rPr>
              <w:lastRenderedPageBreak/>
              <w:t>Grau de risco</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2A8FEBBE" w14:textId="77777777" w:rsidR="005A5FCC" w:rsidRDefault="00A21C81">
            <w:pPr>
              <w:spacing w:before="40" w:after="40" w:line="240" w:lineRule="auto"/>
              <w:jc w:val="center"/>
            </w:pPr>
            <w:r>
              <w:rPr>
                <w:rFonts w:cs="EB Garamond"/>
                <w:b/>
                <w:color w:val="2F2923"/>
                <w:kern w:val="16"/>
                <w:sz w:val="18"/>
                <w14:ligatures w14:val="standardContextual"/>
              </w:rPr>
              <w:t>Alíquota RAT</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6E5392EA" w14:textId="77777777" w:rsidR="005A5FCC" w:rsidRDefault="00A21C81">
            <w:pPr>
              <w:spacing w:before="40" w:after="40" w:line="240" w:lineRule="auto"/>
              <w:jc w:val="center"/>
            </w:pPr>
            <w:r>
              <w:rPr>
                <w:rFonts w:cs="EB Garamond"/>
                <w:b/>
                <w:color w:val="2F2923"/>
                <w:kern w:val="16"/>
                <w:sz w:val="18"/>
                <w14:ligatures w14:val="standardContextual"/>
              </w:rPr>
              <w:t>Exemplos</w:t>
            </w:r>
          </w:p>
        </w:tc>
      </w:tr>
      <w:tr w:rsidR="005A5FCC" w14:paraId="2EFE4A72"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5D25879F" w14:textId="77777777" w:rsidR="005A5FCC" w:rsidRDefault="00A21C81">
            <w:pPr>
              <w:spacing w:before="20" w:after="20" w:line="240" w:lineRule="auto"/>
              <w:jc w:val="left"/>
            </w:pPr>
            <w:r>
              <w:rPr>
                <w:rFonts w:cs="EB Garamond"/>
                <w:kern w:val="16"/>
                <w:sz w:val="18"/>
                <w14:ligatures w14:val="standardContextual"/>
              </w:rPr>
              <w:t>Leve (1)</w:t>
            </w:r>
          </w:p>
        </w:tc>
        <w:tc>
          <w:tcPr>
            <w:tcW w:w="2117" w:type="dxa"/>
            <w:tcBorders>
              <w:top w:val="single" w:sz="4" w:space="0" w:color="D2C9B8"/>
              <w:left w:val="single" w:sz="4" w:space="0" w:color="D2C9B8"/>
              <w:bottom w:val="single" w:sz="4" w:space="0" w:color="D2C9B8"/>
              <w:right w:val="single" w:sz="4" w:space="0" w:color="D2C9B8"/>
            </w:tcBorders>
          </w:tcPr>
          <w:p w14:paraId="03D0D90C" w14:textId="77777777" w:rsidR="005A5FCC" w:rsidRDefault="00A21C81">
            <w:pPr>
              <w:spacing w:before="20" w:after="20" w:line="240" w:lineRule="auto"/>
              <w:jc w:val="left"/>
            </w:pPr>
            <w:r>
              <w:rPr>
                <w:rFonts w:cs="EB Garamond"/>
                <w:kern w:val="16"/>
                <w:sz w:val="18"/>
                <w14:ligatures w14:val="standardContextual"/>
              </w:rPr>
              <w:t>1%</w:t>
            </w:r>
          </w:p>
        </w:tc>
        <w:tc>
          <w:tcPr>
            <w:tcW w:w="2117" w:type="dxa"/>
            <w:tcBorders>
              <w:top w:val="single" w:sz="4" w:space="0" w:color="D2C9B8"/>
              <w:left w:val="single" w:sz="4" w:space="0" w:color="D2C9B8"/>
              <w:bottom w:val="single" w:sz="4" w:space="0" w:color="D2C9B8"/>
              <w:right w:val="single" w:sz="4" w:space="0" w:color="D2C9B8"/>
            </w:tcBorders>
          </w:tcPr>
          <w:p w14:paraId="7E23659E" w14:textId="77777777" w:rsidR="005A5FCC" w:rsidRDefault="00A21C81">
            <w:pPr>
              <w:spacing w:before="20" w:after="20" w:line="240" w:lineRule="auto"/>
              <w:jc w:val="left"/>
            </w:pPr>
            <w:r>
              <w:rPr>
                <w:rFonts w:cs="EB Garamond"/>
                <w:kern w:val="16"/>
                <w:sz w:val="18"/>
                <w14:ligatures w14:val="standardContextual"/>
              </w:rPr>
              <w:t>Comércio varejista, serviços administrativos, tecnologia</w:t>
            </w:r>
          </w:p>
        </w:tc>
      </w:tr>
      <w:tr w:rsidR="005A5FCC" w14:paraId="75EB924F"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6C7ACE8E" w14:textId="77777777" w:rsidR="005A5FCC" w:rsidRDefault="00A21C81">
            <w:pPr>
              <w:spacing w:before="20" w:after="20" w:line="240" w:lineRule="auto"/>
              <w:jc w:val="left"/>
            </w:pPr>
            <w:r>
              <w:rPr>
                <w:rFonts w:cs="EB Garamond"/>
                <w:kern w:val="16"/>
                <w:sz w:val="18"/>
                <w14:ligatures w14:val="standardContextual"/>
              </w:rPr>
              <w:t>Médio (2)</w:t>
            </w:r>
          </w:p>
        </w:tc>
        <w:tc>
          <w:tcPr>
            <w:tcW w:w="2117" w:type="dxa"/>
            <w:tcBorders>
              <w:top w:val="single" w:sz="4" w:space="0" w:color="D2C9B8"/>
              <w:left w:val="single" w:sz="4" w:space="0" w:color="D2C9B8"/>
              <w:bottom w:val="single" w:sz="4" w:space="0" w:color="D2C9B8"/>
              <w:right w:val="single" w:sz="4" w:space="0" w:color="D2C9B8"/>
            </w:tcBorders>
          </w:tcPr>
          <w:p w14:paraId="3E5300F1" w14:textId="77777777" w:rsidR="005A5FCC" w:rsidRDefault="00A21C81">
            <w:pPr>
              <w:spacing w:before="20" w:after="20" w:line="240" w:lineRule="auto"/>
              <w:jc w:val="left"/>
            </w:pPr>
            <w:r>
              <w:rPr>
                <w:rFonts w:cs="EB Garamond"/>
                <w:kern w:val="16"/>
                <w:sz w:val="18"/>
                <w14:ligatures w14:val="standardContextual"/>
              </w:rPr>
              <w:t>2%</w:t>
            </w:r>
          </w:p>
        </w:tc>
        <w:tc>
          <w:tcPr>
            <w:tcW w:w="2117" w:type="dxa"/>
            <w:tcBorders>
              <w:top w:val="single" w:sz="4" w:space="0" w:color="D2C9B8"/>
              <w:left w:val="single" w:sz="4" w:space="0" w:color="D2C9B8"/>
              <w:bottom w:val="single" w:sz="4" w:space="0" w:color="D2C9B8"/>
              <w:right w:val="single" w:sz="4" w:space="0" w:color="D2C9B8"/>
            </w:tcBorders>
          </w:tcPr>
          <w:p w14:paraId="1157F200" w14:textId="77777777" w:rsidR="005A5FCC" w:rsidRDefault="00A21C81">
            <w:pPr>
              <w:spacing w:before="20" w:after="20" w:line="240" w:lineRule="auto"/>
              <w:jc w:val="left"/>
            </w:pPr>
            <w:r>
              <w:rPr>
                <w:rFonts w:cs="EB Garamond"/>
                <w:kern w:val="16"/>
                <w:sz w:val="18"/>
                <w14:ligatures w14:val="standardContextual"/>
              </w:rPr>
              <w:t>Indústria alimentícia, transporte, saúde</w:t>
            </w:r>
          </w:p>
        </w:tc>
      </w:tr>
      <w:tr w:rsidR="005A5FCC" w14:paraId="20F50536"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6958D642" w14:textId="77777777" w:rsidR="005A5FCC" w:rsidRDefault="00A21C81">
            <w:pPr>
              <w:spacing w:before="20" w:after="20" w:line="240" w:lineRule="auto"/>
              <w:jc w:val="left"/>
            </w:pPr>
            <w:r>
              <w:rPr>
                <w:rFonts w:cs="EB Garamond"/>
                <w:kern w:val="16"/>
                <w:sz w:val="18"/>
                <w14:ligatures w14:val="standardContextual"/>
              </w:rPr>
              <w:t>Grave (3)</w:t>
            </w:r>
          </w:p>
        </w:tc>
        <w:tc>
          <w:tcPr>
            <w:tcW w:w="2117" w:type="dxa"/>
            <w:tcBorders>
              <w:top w:val="single" w:sz="4" w:space="0" w:color="D2C9B8"/>
              <w:left w:val="single" w:sz="4" w:space="0" w:color="D2C9B8"/>
              <w:bottom w:val="single" w:sz="4" w:space="0" w:color="D2C9B8"/>
              <w:right w:val="single" w:sz="4" w:space="0" w:color="D2C9B8"/>
            </w:tcBorders>
          </w:tcPr>
          <w:p w14:paraId="1020A208" w14:textId="77777777" w:rsidR="005A5FCC" w:rsidRDefault="00A21C81">
            <w:pPr>
              <w:spacing w:before="20" w:after="20" w:line="240" w:lineRule="auto"/>
              <w:jc w:val="left"/>
            </w:pPr>
            <w:r>
              <w:rPr>
                <w:rFonts w:cs="EB Garamond"/>
                <w:kern w:val="16"/>
                <w:sz w:val="18"/>
                <w14:ligatures w14:val="standardContextual"/>
              </w:rPr>
              <w:t>3%</w:t>
            </w:r>
          </w:p>
        </w:tc>
        <w:tc>
          <w:tcPr>
            <w:tcW w:w="2117" w:type="dxa"/>
            <w:tcBorders>
              <w:top w:val="single" w:sz="4" w:space="0" w:color="D2C9B8"/>
              <w:left w:val="single" w:sz="4" w:space="0" w:color="D2C9B8"/>
              <w:bottom w:val="single" w:sz="4" w:space="0" w:color="D2C9B8"/>
              <w:right w:val="single" w:sz="4" w:space="0" w:color="D2C9B8"/>
            </w:tcBorders>
          </w:tcPr>
          <w:p w14:paraId="4EF4D0A4" w14:textId="77777777" w:rsidR="005A5FCC" w:rsidRDefault="00A21C81">
            <w:pPr>
              <w:spacing w:before="20" w:after="20" w:line="240" w:lineRule="auto"/>
              <w:jc w:val="left"/>
            </w:pPr>
            <w:r>
              <w:rPr>
                <w:rFonts w:cs="EB Garamond"/>
                <w:kern w:val="16"/>
                <w:sz w:val="18"/>
                <w14:ligatures w14:val="standardContextual"/>
              </w:rPr>
              <w:t>Mineração, construção civil, metalurgia, petroquímica</w:t>
            </w:r>
          </w:p>
        </w:tc>
      </w:tr>
    </w:tbl>
    <w:p w14:paraId="72D5B617" w14:textId="77777777" w:rsidR="005A5FCC" w:rsidRDefault="005A5FCC">
      <w:pPr>
        <w:spacing w:after="80" w:line="240" w:lineRule="auto"/>
      </w:pPr>
    </w:p>
    <w:p w14:paraId="0BB78985"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1B235BDB" w14:textId="77777777" w:rsidR="005A5FCC" w:rsidRDefault="00A21C81">
      <w:r>
        <w:rPr>
          <w:rFonts w:cs="EB Garamond"/>
          <w:kern w:val="16"/>
          <w14:ligatures w14:val="standardContextual"/>
        </w:rPr>
        <w:t xml:space="preserve"> enquadramento é feito pelo CNAE da atividade preponderante da empresa, conforme o Anexo V do Decreto 3.048/99, com redação dada pelo Decreto 6.957/2009 (e alterações posteriores, inclusive pelo Decreto 10.410/2020). Atividade preponderante é aquela que ocupa o maior número de empregados na empresa, considerando todos os estabelecimentos (matriz e filiais).</w:t>
      </w:r>
    </w:p>
    <w:p w14:paraId="36879E4D" w14:textId="77777777" w:rsidR="005A5FCC" w:rsidRDefault="00A21C81">
      <w:pPr>
        <w:ind w:firstLine="238"/>
      </w:pPr>
      <w:r>
        <w:rPr>
          <w:rFonts w:cs="EB Garamond"/>
          <w:kern w:val="16"/>
          <w14:ligatures w14:val="standardContextual"/>
        </w:rPr>
        <w:t>Na prática forense, a classificação do grau de risco gera litígios frequentes na Justiça Federal (varas federais de execução fiscal, não JEFs), quando a empresa contesta a alíquota do RAT atribuída pela RFB. Nos JEFs, o impacto é indireto: o RAT financia as aposentadorias especiais (art. 57, § 6º, Lei 8.213/91), e sua arrecadação repercute na viabilidade atuarial desses benefícios.</w:t>
      </w:r>
    </w:p>
    <w:p w14:paraId="0BD0BD3A" w14:textId="77777777" w:rsidR="005A5FCC" w:rsidRDefault="00A21C81">
      <w:pPr>
        <w:spacing w:before="260" w:after="80" w:line="240" w:lineRule="auto"/>
        <w:jc w:val="left"/>
      </w:pPr>
      <w:r>
        <w:rPr>
          <w:rFonts w:cs="EB Garamond"/>
          <w:b/>
          <w:color w:val="3A3128"/>
          <w:kern w:val="16"/>
          <w:sz w:val="25"/>
          <w14:ligatures w14:val="standardContextual"/>
        </w:rPr>
        <w:t>4.3.3 FAP — fator acidentário de prevenção</w:t>
      </w:r>
    </w:p>
    <w:p w14:paraId="61F817F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05BC138F" w14:textId="77777777" w:rsidR="005A5FCC" w:rsidRDefault="00A21C81">
      <w:r>
        <w:rPr>
          <w:rFonts w:cs="EB Garamond"/>
          <w:kern w:val="16"/>
          <w14:ligatures w14:val="standardContextual"/>
        </w:rPr>
        <w:t xml:space="preserve"> FAP é um multiplicador que individualiza a alíquota do RAT para cada empresa, conforme seu histórico de acidentes do trabalho e doenças ocupacionais. Instituído pela Lei 10.666/2003 (art. 10) e regulamentado pelo Decreto 6.042/2007, o FAP varia de 0,5000 a 2,0000, funcionando como bônus (redução) ou malus (majoração) da alíquota do RAT.</w:t>
      </w:r>
    </w:p>
    <w:p w14:paraId="1B470A9A" w14:textId="77777777" w:rsidR="005A5FCC" w:rsidRDefault="00A21C81">
      <w:pPr>
        <w:ind w:firstLine="238"/>
      </w:pPr>
      <w:r>
        <w:rPr>
          <w:rFonts w:cs="EB Garamond"/>
          <w:kern w:val="16"/>
          <w14:ligatures w14:val="standardContextual"/>
        </w:rPr>
        <w:t>A fórmula da contribuição acidentária individualizada é:</w:t>
      </w:r>
    </w:p>
    <w:p w14:paraId="0F6E6B86" w14:textId="77777777" w:rsidR="005A5FCC" w:rsidRDefault="00A21C81">
      <w:pPr>
        <w:ind w:firstLine="238"/>
      </w:pPr>
      <w:r>
        <w:rPr>
          <w:rFonts w:cs="EB Garamond"/>
          <w:b/>
          <w:kern w:val="16"/>
          <w14:ligatures w14:val="standardContextual"/>
        </w:rPr>
        <w:t>Contribuição = Folha de pagamento × RAT × FAP</w:t>
      </w:r>
    </w:p>
    <w:tbl>
      <w:tblPr>
        <w:tblW w:w="5000" w:type="pct"/>
        <w:jc w:val="center"/>
        <w:tblLayout w:type="fixed"/>
        <w:tblLook w:val="04A0" w:firstRow="1" w:lastRow="0" w:firstColumn="1" w:lastColumn="0" w:noHBand="0" w:noVBand="1"/>
      </w:tblPr>
      <w:tblGrid>
        <w:gridCol w:w="6311"/>
      </w:tblGrid>
      <w:tr w:rsidR="005A5FCC" w14:paraId="2EA4181E"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1A1FA24A"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4AA1A39C" w14:textId="77777777" w:rsidR="005A5FCC" w:rsidRDefault="00A21C81">
            <w:pPr>
              <w:spacing w:after="60" w:line="247" w:lineRule="auto"/>
            </w:pPr>
            <w:r>
              <w:rPr>
                <w:rFonts w:cs="EB Garamond"/>
                <w:b/>
                <w:kern w:val="16"/>
                <w:sz w:val="19"/>
                <w14:ligatures w14:val="standardContextual"/>
              </w:rPr>
              <w:t>Exemplo — Cálculo do RAT ajustado pelo FAP:</w:t>
            </w:r>
          </w:p>
          <w:p w14:paraId="360E7063" w14:textId="77777777" w:rsidR="005A5FCC" w:rsidRDefault="00A21C81">
            <w:pPr>
              <w:spacing w:after="60" w:line="247" w:lineRule="auto"/>
            </w:pPr>
            <w:r>
              <w:rPr>
                <w:rFonts w:cs="EB Garamond"/>
                <w:kern w:val="16"/>
                <w:sz w:val="19"/>
                <w14:ligatures w14:val="standardContextual"/>
              </w:rPr>
              <w:t>Empresa de construção civil (CNAE 4120-4/00): - Folha de pagamento mensal: R$ 500.000,00 - RAT (grau grave): 3% - FAP atribuído: 1,8500 (empresa com alto índice de acidentes) - Alíquota efetiva: 3% × 1,8500 = 5,55% - Contribuição RAT mensal: R$ 500.000 × 5,55% = R$ 27.750,00</w:t>
            </w:r>
          </w:p>
          <w:p w14:paraId="62FA6233" w14:textId="77777777" w:rsidR="005A5FCC" w:rsidRDefault="00A21C81">
            <w:pPr>
              <w:spacing w:after="60" w:line="247" w:lineRule="auto"/>
            </w:pPr>
            <w:r>
              <w:rPr>
                <w:rFonts w:cs="EB Garamond"/>
                <w:kern w:val="16"/>
                <w:sz w:val="19"/>
                <w14:ligatures w14:val="standardContextual"/>
              </w:rPr>
              <w:t>Se a mesma empresa tivesse FAP de 0,5000 (poucos acidentes): - Alíquota efetiva: 3% × 0,5000 = 1,50% - Contribuição RAT mensal: R$ 500.000 × 1,50% = R$ 7.500,00</w:t>
            </w:r>
          </w:p>
          <w:p w14:paraId="3A962F5F" w14:textId="77777777" w:rsidR="005A5FCC" w:rsidRDefault="00A21C81">
            <w:pPr>
              <w:spacing w:after="60" w:line="247" w:lineRule="auto"/>
            </w:pPr>
            <w:r>
              <w:rPr>
                <w:rFonts w:cs="EB Garamond"/>
                <w:kern w:val="16"/>
                <w:sz w:val="19"/>
                <w14:ligatures w14:val="standardContextual"/>
              </w:rPr>
              <w:t>A diferença é de R$ 20.250,00/mês — incentivo econômico expressivo para investimento em prevenção de acidentes. Na nossa experiência, a política de bônus-malus do FAP é o mecanismo mais eficaz de indução à prevenção de acidentes no direito previdenciário brasileiro.</w:t>
            </w:r>
          </w:p>
        </w:tc>
      </w:tr>
    </w:tbl>
    <w:p w14:paraId="683E111C" w14:textId="77777777" w:rsidR="005A5FCC" w:rsidRDefault="005A5FCC">
      <w:pPr>
        <w:spacing w:after="80" w:line="240" w:lineRule="auto"/>
      </w:pPr>
    </w:p>
    <w:p w14:paraId="302353B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564E4BB8" w14:textId="77777777" w:rsidR="005A5FCC" w:rsidRDefault="00A21C81">
      <w:r>
        <w:rPr>
          <w:rFonts w:cs="EB Garamond"/>
          <w:kern w:val="16"/>
          <w14:ligatures w14:val="standardContextual"/>
        </w:rPr>
        <w:t xml:space="preserve"> FAP é calculado anualmente pela Previdência Social com base nos dados de acidentes e benefícios acidentários dos dois anos anteriores, sendo disponibilizado em setembro para vigência no exercício seguinte. A empresa pode contestar o FAP atribuído no prazo de 30 dias da publicação, por meio de formulário eletrônico (Portal da Previdência Social).</w:t>
      </w:r>
    </w:p>
    <w:p w14:paraId="14BBC84F" w14:textId="77777777" w:rsidR="005A5FCC" w:rsidRDefault="00A21C81">
      <w:pPr>
        <w:spacing w:before="260" w:after="80" w:line="240" w:lineRule="auto"/>
        <w:jc w:val="left"/>
      </w:pPr>
      <w:r>
        <w:rPr>
          <w:rFonts w:cs="EB Garamond"/>
          <w:b/>
          <w:color w:val="3A3128"/>
          <w:kern w:val="16"/>
          <w:sz w:val="25"/>
          <w14:ligatures w14:val="standardContextual"/>
        </w:rPr>
        <w:t>4.3.4 RAT ajustado e aposentadoria especial</w:t>
      </w:r>
    </w:p>
    <w:p w14:paraId="030038D9"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3A918E83" w14:textId="77777777" w:rsidR="005A5FCC" w:rsidRDefault="00A21C81">
      <w:r>
        <w:rPr>
          <w:rFonts w:cs="EB Garamond"/>
          <w:kern w:val="16"/>
          <w14:ligatures w14:val="standardContextual"/>
        </w:rPr>
        <w:t xml:space="preserve"> financiamento da aposentadoria especial (art. 57 e 58 da Lei 8.213/91) é feito por meio do acréscimo sobre o RAT, previsto no art. 22, § 6º, da Lei 8.212/91. As alíquotas adicionais são:</w:t>
      </w:r>
    </w:p>
    <w:tbl>
      <w:tblPr>
        <w:tblW w:w="5000" w:type="pct"/>
        <w:jc w:val="center"/>
        <w:tblLook w:val="04A0" w:firstRow="1" w:lastRow="0" w:firstColumn="1" w:lastColumn="0" w:noHBand="0" w:noVBand="1"/>
      </w:tblPr>
      <w:tblGrid>
        <w:gridCol w:w="3170"/>
        <w:gridCol w:w="3170"/>
      </w:tblGrid>
      <w:tr w:rsidR="005A5FCC" w14:paraId="0D2AB894" w14:textId="77777777">
        <w:trPr>
          <w:tblHeader/>
          <w:jc w:val="center"/>
        </w:trPr>
        <w:tc>
          <w:tcPr>
            <w:tcW w:w="3175" w:type="dxa"/>
            <w:tcBorders>
              <w:top w:val="single" w:sz="4" w:space="0" w:color="D2C9B8"/>
              <w:left w:val="single" w:sz="4" w:space="0" w:color="D2C9B8"/>
              <w:bottom w:val="single" w:sz="4" w:space="0" w:color="D2C9B8"/>
              <w:right w:val="single" w:sz="4" w:space="0" w:color="D2C9B8"/>
            </w:tcBorders>
            <w:shd w:val="clear" w:color="auto" w:fill="F0EDE6"/>
          </w:tcPr>
          <w:p w14:paraId="7D14FB79" w14:textId="77777777" w:rsidR="005A5FCC" w:rsidRDefault="00A21C81">
            <w:pPr>
              <w:spacing w:before="40" w:after="40" w:line="240" w:lineRule="auto"/>
              <w:jc w:val="center"/>
            </w:pPr>
            <w:r>
              <w:rPr>
                <w:rFonts w:cs="EB Garamond"/>
                <w:b/>
                <w:color w:val="2F2923"/>
                <w:kern w:val="16"/>
                <w:sz w:val="18"/>
                <w14:ligatures w14:val="standardContextual"/>
              </w:rPr>
              <w:t>Tempo especial</w:t>
            </w:r>
          </w:p>
        </w:tc>
        <w:tc>
          <w:tcPr>
            <w:tcW w:w="3175" w:type="dxa"/>
            <w:tcBorders>
              <w:top w:val="single" w:sz="4" w:space="0" w:color="D2C9B8"/>
              <w:left w:val="single" w:sz="4" w:space="0" w:color="D2C9B8"/>
              <w:bottom w:val="single" w:sz="4" w:space="0" w:color="D2C9B8"/>
              <w:right w:val="single" w:sz="4" w:space="0" w:color="D2C9B8"/>
            </w:tcBorders>
            <w:shd w:val="clear" w:color="auto" w:fill="F0EDE6"/>
          </w:tcPr>
          <w:p w14:paraId="29005788" w14:textId="77777777" w:rsidR="005A5FCC" w:rsidRDefault="00A21C81">
            <w:pPr>
              <w:spacing w:before="40" w:after="40" w:line="240" w:lineRule="auto"/>
              <w:jc w:val="center"/>
            </w:pPr>
            <w:r>
              <w:rPr>
                <w:rFonts w:cs="EB Garamond"/>
                <w:b/>
                <w:color w:val="2F2923"/>
                <w:kern w:val="16"/>
                <w:sz w:val="18"/>
                <w14:ligatures w14:val="standardContextual"/>
              </w:rPr>
              <w:t>Adicional sobre RAT</w:t>
            </w:r>
          </w:p>
        </w:tc>
      </w:tr>
      <w:tr w:rsidR="005A5FCC" w14:paraId="7F459288"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3AF7B3C6" w14:textId="77777777" w:rsidR="005A5FCC" w:rsidRDefault="00A21C81">
            <w:pPr>
              <w:spacing w:before="20" w:after="20" w:line="240" w:lineRule="auto"/>
              <w:jc w:val="left"/>
            </w:pPr>
            <w:r>
              <w:rPr>
                <w:rFonts w:cs="EB Garamond"/>
                <w:kern w:val="16"/>
                <w:sz w:val="18"/>
                <w14:ligatures w14:val="standardContextual"/>
              </w:rPr>
              <w:t>15 anos</w:t>
            </w:r>
          </w:p>
        </w:tc>
        <w:tc>
          <w:tcPr>
            <w:tcW w:w="3175" w:type="dxa"/>
            <w:tcBorders>
              <w:top w:val="single" w:sz="4" w:space="0" w:color="D2C9B8"/>
              <w:left w:val="single" w:sz="4" w:space="0" w:color="D2C9B8"/>
              <w:bottom w:val="single" w:sz="4" w:space="0" w:color="D2C9B8"/>
              <w:right w:val="single" w:sz="4" w:space="0" w:color="D2C9B8"/>
            </w:tcBorders>
          </w:tcPr>
          <w:p w14:paraId="4BB87AA3" w14:textId="77777777" w:rsidR="005A5FCC" w:rsidRDefault="00A21C81">
            <w:pPr>
              <w:spacing w:before="20" w:after="20" w:line="240" w:lineRule="auto"/>
              <w:jc w:val="left"/>
            </w:pPr>
            <w:r>
              <w:rPr>
                <w:rFonts w:cs="EB Garamond"/>
                <w:kern w:val="16"/>
                <w:sz w:val="18"/>
                <w14:ligatures w14:val="standardContextual"/>
              </w:rPr>
              <w:t>12%</w:t>
            </w:r>
          </w:p>
        </w:tc>
      </w:tr>
      <w:tr w:rsidR="005A5FCC" w14:paraId="61B9C71A"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2B136B03" w14:textId="77777777" w:rsidR="005A5FCC" w:rsidRDefault="00A21C81">
            <w:pPr>
              <w:spacing w:before="20" w:after="20" w:line="240" w:lineRule="auto"/>
              <w:jc w:val="left"/>
            </w:pPr>
            <w:r>
              <w:rPr>
                <w:rFonts w:cs="EB Garamond"/>
                <w:kern w:val="16"/>
                <w:sz w:val="18"/>
                <w14:ligatures w14:val="standardContextual"/>
              </w:rPr>
              <w:t>20 anos</w:t>
            </w:r>
          </w:p>
        </w:tc>
        <w:tc>
          <w:tcPr>
            <w:tcW w:w="3175" w:type="dxa"/>
            <w:tcBorders>
              <w:top w:val="single" w:sz="4" w:space="0" w:color="D2C9B8"/>
              <w:left w:val="single" w:sz="4" w:space="0" w:color="D2C9B8"/>
              <w:bottom w:val="single" w:sz="4" w:space="0" w:color="D2C9B8"/>
              <w:right w:val="single" w:sz="4" w:space="0" w:color="D2C9B8"/>
            </w:tcBorders>
          </w:tcPr>
          <w:p w14:paraId="22FD1275" w14:textId="77777777" w:rsidR="005A5FCC" w:rsidRDefault="00A21C81">
            <w:pPr>
              <w:spacing w:before="20" w:after="20" w:line="240" w:lineRule="auto"/>
              <w:jc w:val="left"/>
            </w:pPr>
            <w:r>
              <w:rPr>
                <w:rFonts w:cs="EB Garamond"/>
                <w:kern w:val="16"/>
                <w:sz w:val="18"/>
                <w14:ligatures w14:val="standardContextual"/>
              </w:rPr>
              <w:t>9%</w:t>
            </w:r>
          </w:p>
        </w:tc>
      </w:tr>
      <w:tr w:rsidR="005A5FCC" w14:paraId="04D3E48C"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2F181DEB" w14:textId="77777777" w:rsidR="005A5FCC" w:rsidRDefault="00A21C81">
            <w:pPr>
              <w:spacing w:before="20" w:after="20" w:line="240" w:lineRule="auto"/>
              <w:jc w:val="left"/>
            </w:pPr>
            <w:r>
              <w:rPr>
                <w:rFonts w:cs="EB Garamond"/>
                <w:kern w:val="16"/>
                <w:sz w:val="18"/>
                <w14:ligatures w14:val="standardContextual"/>
              </w:rPr>
              <w:t>25 anos</w:t>
            </w:r>
          </w:p>
        </w:tc>
        <w:tc>
          <w:tcPr>
            <w:tcW w:w="3175" w:type="dxa"/>
            <w:tcBorders>
              <w:top w:val="single" w:sz="4" w:space="0" w:color="D2C9B8"/>
              <w:left w:val="single" w:sz="4" w:space="0" w:color="D2C9B8"/>
              <w:bottom w:val="single" w:sz="4" w:space="0" w:color="D2C9B8"/>
              <w:right w:val="single" w:sz="4" w:space="0" w:color="D2C9B8"/>
            </w:tcBorders>
          </w:tcPr>
          <w:p w14:paraId="4B40824F" w14:textId="77777777" w:rsidR="005A5FCC" w:rsidRDefault="00A21C81">
            <w:pPr>
              <w:spacing w:before="20" w:after="20" w:line="240" w:lineRule="auto"/>
              <w:jc w:val="left"/>
            </w:pPr>
            <w:r>
              <w:rPr>
                <w:rFonts w:cs="EB Garamond"/>
                <w:kern w:val="16"/>
                <w:sz w:val="18"/>
                <w14:ligatures w14:val="standardContextual"/>
              </w:rPr>
              <w:t>6%</w:t>
            </w:r>
          </w:p>
        </w:tc>
      </w:tr>
    </w:tbl>
    <w:p w14:paraId="4FF38C26" w14:textId="77777777" w:rsidR="005A5FCC" w:rsidRDefault="005A5FCC">
      <w:pPr>
        <w:spacing w:after="80" w:line="240" w:lineRule="auto"/>
      </w:pPr>
    </w:p>
    <w:p w14:paraId="4D547DF9"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E</w:t>
      </w:r>
    </w:p>
    <w:p w14:paraId="3D719013" w14:textId="77777777" w:rsidR="005A5FCC" w:rsidRDefault="00A21C81">
      <w:r>
        <w:rPr>
          <w:rFonts w:cs="EB Garamond"/>
          <w:kern w:val="16"/>
          <w14:ligatures w14:val="standardContextual"/>
        </w:rPr>
        <w:t xml:space="preserve">ssas alíquotas incidem sobre a remuneração dos segurados expostos a agentes nocivos que ensejam aposentadoria especial. A empresa é obrigada a informar esses segurados no PPP (Perfil Profissiográfico Previdenciário) e no </w:t>
      </w:r>
      <w:r>
        <w:rPr>
          <w:rFonts w:cs="EB Garamond"/>
          <w:kern w:val="16"/>
          <w14:ligatures w14:val="standardContextual"/>
        </w:rPr>
        <w:lastRenderedPageBreak/>
        <w:t>eSocial (evento S-2240 — Condições Ambientais do Trabalho), com indicação dos agentes nocivos e do período de exposição.</w:t>
      </w:r>
    </w:p>
    <w:tbl>
      <w:tblPr>
        <w:tblW w:w="5000" w:type="pct"/>
        <w:jc w:val="center"/>
        <w:tblLayout w:type="fixed"/>
        <w:tblLook w:val="04A0" w:firstRow="1" w:lastRow="0" w:firstColumn="1" w:lastColumn="0" w:noHBand="0" w:noVBand="1"/>
      </w:tblPr>
      <w:tblGrid>
        <w:gridCol w:w="6311"/>
      </w:tblGrid>
      <w:tr w:rsidR="005A5FCC" w14:paraId="0ECCF6E2"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48B101D8"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49A0863F" w14:textId="77777777" w:rsidR="005A5FCC" w:rsidRDefault="00A21C81">
            <w:pPr>
              <w:spacing w:after="60" w:line="247" w:lineRule="auto"/>
            </w:pPr>
            <w:r>
              <w:rPr>
                <w:rFonts w:cs="EB Garamond"/>
                <w:b/>
                <w:kern w:val="16"/>
                <w:sz w:val="19"/>
                <w14:ligatures w14:val="standardContextual"/>
              </w:rPr>
              <w:t>A omissão do empregador no recolhimento do adicional não prejudica o segurado</w:t>
            </w:r>
          </w:p>
          <w:p w14:paraId="2E4B035E" w14:textId="77777777" w:rsidR="005A5FCC" w:rsidRDefault="00A21C81">
            <w:pPr>
              <w:spacing w:after="60" w:line="247" w:lineRule="auto"/>
            </w:pPr>
            <w:r>
              <w:rPr>
                <w:rFonts w:cs="EB Garamond"/>
                <w:kern w:val="16"/>
                <w:sz w:val="19"/>
                <w14:ligatures w14:val="standardContextual"/>
              </w:rPr>
              <w:t>A ausência de recolhimento do adicional de RAT pelo empregador NÃO pode prejudicar o segurado na concessão da aposentadoria especial. Conforme jurisprudência consolidada no STJ (AgInt no REsp 1.478.682/RS, 2ª Turma, j. 16/05/2017), a responsabilidade pelo recolhimento é da empresa, e o segurado não pode ser penalizado por omissão do empregador. Nos JEFs, o INSS frequentemente nega a aposentadoria especial alegando ausência de recolhimento do adicional, conduta reiteradamente rechaçada pela jurisprudência. O tema é aprofundado no Capítulo 8 (Aposentadoria Especial).</w:t>
            </w:r>
          </w:p>
        </w:tc>
      </w:tr>
    </w:tbl>
    <w:p w14:paraId="6827E563" w14:textId="77777777" w:rsidR="005A5FCC" w:rsidRDefault="005A5FCC">
      <w:pPr>
        <w:spacing w:after="80" w:line="240" w:lineRule="auto"/>
      </w:pPr>
    </w:p>
    <w:p w14:paraId="5D97E406" w14:textId="77777777" w:rsidR="005A5FCC" w:rsidRDefault="00A21C81">
      <w:pPr>
        <w:spacing w:before="260" w:after="80" w:line="240" w:lineRule="auto"/>
        <w:jc w:val="left"/>
      </w:pPr>
      <w:r>
        <w:rPr>
          <w:rFonts w:cs="EB Garamond"/>
          <w:b/>
          <w:color w:val="3A3128"/>
          <w:kern w:val="16"/>
          <w:sz w:val="25"/>
          <w14:ligatures w14:val="standardContextual"/>
        </w:rPr>
        <w:t>4.3.5 Contribuição patronal sobre a remuneração de contribuintes individuais</w:t>
      </w:r>
    </w:p>
    <w:p w14:paraId="2713AAF3"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3891EDEA" w14:textId="77777777" w:rsidR="005A5FCC" w:rsidRDefault="00A21C81">
      <w:r>
        <w:rPr>
          <w:rFonts w:cs="EB Garamond"/>
          <w:kern w:val="16"/>
          <w14:ligatures w14:val="standardContextual"/>
        </w:rPr>
        <w:t>lém da contribuição sobre empregados e avulsos, a empresa deve recolher 20% sobre o total das remunerações pagas ou creditadas a contribuintes individuais que lhe prestem serviço (art. 22, III, Lei 8.212/91). Essa obrigação abrange:</w:t>
      </w:r>
    </w:p>
    <w:p w14:paraId="51610857"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Profissionais autônomos contratados pela empresa (médicos, advogados, engenheiros, consultores)</w:t>
      </w:r>
    </w:p>
    <w:p w14:paraId="1289E5BF"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Cooperados que prestam serviço à empresa por intermédio de cooperativa de trabalho</w:t>
      </w:r>
    </w:p>
    <w:p w14:paraId="4F3F98B1"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Transportadores autônomos (sobre 20% do valor do frete — base reduzida pelo art. 201, § 4º, Decreto 3.048/99)</w:t>
      </w:r>
    </w:p>
    <w:p w14:paraId="55D1A301" w14:textId="77777777" w:rsidR="005A5FCC" w:rsidRDefault="005A5FCC">
      <w:pPr>
        <w:spacing w:after="60" w:line="240" w:lineRule="auto"/>
      </w:pPr>
    </w:p>
    <w:p w14:paraId="66673BFF"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21758F4A" w14:textId="77777777" w:rsidR="005A5FCC" w:rsidRDefault="00A21C81">
      <w:r>
        <w:rPr>
          <w:rFonts w:cs="EB Garamond"/>
          <w:kern w:val="16"/>
          <w14:ligatures w14:val="standardContextual"/>
        </w:rPr>
        <w:t xml:space="preserve"> contribuição patronal sobre o CI é adicional à retenção de 11% que a empresa faz da remuneração do próprio CI (art. 216, § 26, Decreto 3.048/99). São obrigações distintas: a retenção é da contribuição do CI (descontada dele); a patronal é ônus da empresa.</w:t>
      </w:r>
    </w:p>
    <w:p w14:paraId="3606C1B5" w14:textId="77777777" w:rsidR="005A5FCC" w:rsidRDefault="00A21C81">
      <w:pPr>
        <w:spacing w:before="260" w:after="80" w:line="240" w:lineRule="auto"/>
        <w:jc w:val="left"/>
      </w:pPr>
      <w:r>
        <w:rPr>
          <w:rFonts w:cs="EB Garamond"/>
          <w:b/>
          <w:color w:val="3A3128"/>
          <w:kern w:val="16"/>
          <w:sz w:val="25"/>
          <w14:ligatures w14:val="standardContextual"/>
        </w:rPr>
        <w:lastRenderedPageBreak/>
        <w:t>4.3.6 Contribuição sobre a receita bruta: COFINS e PIS</w:t>
      </w:r>
    </w:p>
    <w:p w14:paraId="3C41FC98"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E</w:t>
      </w:r>
    </w:p>
    <w:p w14:paraId="4A8423C4" w14:textId="77777777" w:rsidR="005A5FCC" w:rsidRDefault="00A21C81">
      <w:r>
        <w:rPr>
          <w:rFonts w:cs="EB Garamond"/>
          <w:kern w:val="16"/>
          <w14:ligatures w14:val="standardContextual"/>
        </w:rPr>
        <w:t>mbora não sejam contribuições previdenciárias em sentido estrito, as contribuições sociais sobre a receita bruta (COFINS — art. 195, I, b, CF/88) e sobre o faturamento (PIS/PASEP) integram o financiamento da seguridade social como um todo. A COFINS é destinada ao financiamento da seguridade social (saúde, previdência e assistência), enquanto o PIS/PASEP financia o seguro-desemprego e o abono salarial.</w:t>
      </w:r>
    </w:p>
    <w:p w14:paraId="4A5CFA28" w14:textId="77777777" w:rsidR="005A5FCC" w:rsidRDefault="00A21C81">
      <w:pPr>
        <w:ind w:firstLine="238"/>
      </w:pPr>
      <w:r>
        <w:rPr>
          <w:rFonts w:cs="EB Garamond"/>
          <w:kern w:val="16"/>
          <w14:ligatures w14:val="standardContextual"/>
        </w:rPr>
        <w:t>Para o advogado previdenciarista, a relevância dessas contribuições é sobretudo conceitual: quando se debate a sustentabilidade do sistema previdenciário, é preciso considerar que o RGPS não é financiado exclusivamente pelas contribuições sobre a folha de salários. As contribuições sobre receita, lucro e importação compõem o orçamento da seguridade social e devem ser computadas na análise do equilíbrio atuarial do regime.</w:t>
      </w:r>
    </w:p>
    <w:p w14:paraId="6BF5B635"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4.4 Desoneração da folha de pagamento e CPRB</w:t>
      </w:r>
    </w:p>
    <w:p w14:paraId="4C5BFBC0" w14:textId="77777777" w:rsidR="005A5FCC" w:rsidRDefault="00A21C81">
      <w:pPr>
        <w:spacing w:before="260" w:after="80" w:line="240" w:lineRule="auto"/>
        <w:jc w:val="left"/>
      </w:pPr>
      <w:r>
        <w:rPr>
          <w:rFonts w:cs="EB Garamond"/>
          <w:b/>
          <w:color w:val="3A3128"/>
          <w:kern w:val="16"/>
          <w:sz w:val="25"/>
          <w14:ligatures w14:val="standardContextual"/>
        </w:rPr>
        <w:t>4.4.1 Conceito e fundamento legal</w:t>
      </w:r>
    </w:p>
    <w:p w14:paraId="7FD5CF2F"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487A477E" w14:textId="77777777" w:rsidR="005A5FCC" w:rsidRDefault="00A21C81">
      <w:r>
        <w:rPr>
          <w:rFonts w:cs="EB Garamond"/>
          <w:kern w:val="16"/>
          <w14:ligatures w14:val="standardContextual"/>
        </w:rPr>
        <w:t xml:space="preserve"> desoneração da folha de pagamento consiste na substituição da contribuição patronal de 20% sobre a folha de salários por uma contribuição sobre a receita bruta (CPRB — Contribuição Previdenciária sobre a Receita Bruta). Instituída originalmente pela Lei 12.546/2011 como medida temporária de estímulo econômico no âmbito do Plano Brasil Maior, a desoneração foi prorrogada diversas vezes e permanece vigente em 2026 para setores específicos da economia, conforme a Lei 14.784/2023 (com prorrogação e reoneração gradual estabelecida pela Lei 14.973/2024).</w:t>
      </w:r>
    </w:p>
    <w:p w14:paraId="16158BB6" w14:textId="77777777" w:rsidR="005A5FCC" w:rsidRDefault="00A21C81">
      <w:pPr>
        <w:ind w:firstLine="238"/>
      </w:pPr>
      <w:r>
        <w:rPr>
          <w:rFonts w:cs="EB Garamond"/>
          <w:kern w:val="16"/>
          <w14:ligatures w14:val="standardContextual"/>
        </w:rPr>
        <w:t xml:space="preserve">A lógica econômica da desoneração é simples: empresas com alta intensidade de mão de obra (folha de pagamento proporcionalmente elevada em relação à receita) pagavam contribuição patronal desproporcional. Ao substituir a base "folha" pela base "receita", a desoneração redistribui o ônus: empresas intensivas em trabalho pagam menos; empresas com alta receita e poucos empregados pagam </w:t>
      </w:r>
      <w:r>
        <w:rPr>
          <w:rFonts w:cs="EB Garamond"/>
          <w:kern w:val="16"/>
          <w14:ligatures w14:val="standardContextual"/>
        </w:rPr>
        <w:lastRenderedPageBreak/>
        <w:t>proporcionalmente mais. A opção pela CPRB é facultativa para os setores contemplados.</w:t>
      </w:r>
    </w:p>
    <w:p w14:paraId="539D7DE9" w14:textId="77777777" w:rsidR="005A5FCC" w:rsidRDefault="00A21C81">
      <w:pPr>
        <w:spacing w:before="260" w:after="80" w:line="240" w:lineRule="auto"/>
        <w:jc w:val="left"/>
      </w:pPr>
      <w:r>
        <w:rPr>
          <w:rFonts w:cs="EB Garamond"/>
          <w:b/>
          <w:color w:val="3A3128"/>
          <w:kern w:val="16"/>
          <w:sz w:val="25"/>
          <w14:ligatures w14:val="standardContextual"/>
        </w:rPr>
        <w:t>4.4.2 Alíquotas e setores beneficiados</w:t>
      </w:r>
    </w:p>
    <w:p w14:paraId="5BF447B5"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456FD274" w14:textId="77777777" w:rsidR="005A5FCC" w:rsidRDefault="00A21C81">
      <w:r>
        <w:rPr>
          <w:rFonts w:cs="EB Garamond"/>
          <w:kern w:val="16"/>
          <w14:ligatures w14:val="standardContextual"/>
        </w:rPr>
        <w:t xml:space="preserve"> Lei 12.546/2011 (com alterações subsequentes) estabelece duas alíquotas de CPRB, conforme o setor:</w:t>
      </w:r>
    </w:p>
    <w:tbl>
      <w:tblPr>
        <w:tblW w:w="5000" w:type="pct"/>
        <w:jc w:val="center"/>
        <w:tblLook w:val="04A0" w:firstRow="1" w:lastRow="0" w:firstColumn="1" w:lastColumn="0" w:noHBand="0" w:noVBand="1"/>
      </w:tblPr>
      <w:tblGrid>
        <w:gridCol w:w="3170"/>
        <w:gridCol w:w="3170"/>
      </w:tblGrid>
      <w:tr w:rsidR="005A5FCC" w14:paraId="0E60C83C" w14:textId="77777777">
        <w:trPr>
          <w:tblHeader/>
          <w:jc w:val="center"/>
        </w:trPr>
        <w:tc>
          <w:tcPr>
            <w:tcW w:w="3175" w:type="dxa"/>
            <w:tcBorders>
              <w:top w:val="single" w:sz="4" w:space="0" w:color="D2C9B8"/>
              <w:left w:val="single" w:sz="4" w:space="0" w:color="D2C9B8"/>
              <w:bottom w:val="single" w:sz="4" w:space="0" w:color="D2C9B8"/>
              <w:right w:val="single" w:sz="4" w:space="0" w:color="D2C9B8"/>
            </w:tcBorders>
            <w:shd w:val="clear" w:color="auto" w:fill="F0EDE6"/>
          </w:tcPr>
          <w:p w14:paraId="6DE994F6" w14:textId="77777777" w:rsidR="005A5FCC" w:rsidRDefault="00A21C81">
            <w:pPr>
              <w:spacing w:before="40" w:after="40" w:line="240" w:lineRule="auto"/>
              <w:jc w:val="center"/>
            </w:pPr>
            <w:r>
              <w:rPr>
                <w:rFonts w:cs="EB Garamond"/>
                <w:b/>
                <w:color w:val="2F2923"/>
                <w:kern w:val="16"/>
                <w:sz w:val="18"/>
                <w14:ligatures w14:val="standardContextual"/>
              </w:rPr>
              <w:t>Alíquota CPRB</w:t>
            </w:r>
          </w:p>
        </w:tc>
        <w:tc>
          <w:tcPr>
            <w:tcW w:w="3175" w:type="dxa"/>
            <w:tcBorders>
              <w:top w:val="single" w:sz="4" w:space="0" w:color="D2C9B8"/>
              <w:left w:val="single" w:sz="4" w:space="0" w:color="D2C9B8"/>
              <w:bottom w:val="single" w:sz="4" w:space="0" w:color="D2C9B8"/>
              <w:right w:val="single" w:sz="4" w:space="0" w:color="D2C9B8"/>
            </w:tcBorders>
            <w:shd w:val="clear" w:color="auto" w:fill="F0EDE6"/>
          </w:tcPr>
          <w:p w14:paraId="3504A5FE" w14:textId="77777777" w:rsidR="005A5FCC" w:rsidRDefault="00A21C81">
            <w:pPr>
              <w:spacing w:before="40" w:after="40" w:line="240" w:lineRule="auto"/>
              <w:jc w:val="center"/>
            </w:pPr>
            <w:r>
              <w:rPr>
                <w:rFonts w:cs="EB Garamond"/>
                <w:b/>
                <w:color w:val="2F2923"/>
                <w:kern w:val="16"/>
                <w:sz w:val="18"/>
                <w14:ligatures w14:val="standardContextual"/>
              </w:rPr>
              <w:t>Setores</w:t>
            </w:r>
          </w:p>
        </w:tc>
      </w:tr>
      <w:tr w:rsidR="005A5FCC" w14:paraId="7F083811"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31EE59CC" w14:textId="77777777" w:rsidR="005A5FCC" w:rsidRDefault="00A21C81">
            <w:pPr>
              <w:spacing w:before="20" w:after="20" w:line="240" w:lineRule="auto"/>
              <w:jc w:val="left"/>
            </w:pPr>
            <w:r>
              <w:rPr>
                <w:rFonts w:cs="EB Garamond"/>
                <w:kern w:val="16"/>
                <w:sz w:val="18"/>
                <w14:ligatures w14:val="standardContextual"/>
              </w:rPr>
              <w:t>1% sobre receita bruta</w:t>
            </w:r>
          </w:p>
        </w:tc>
        <w:tc>
          <w:tcPr>
            <w:tcW w:w="3175" w:type="dxa"/>
            <w:tcBorders>
              <w:top w:val="single" w:sz="4" w:space="0" w:color="D2C9B8"/>
              <w:left w:val="single" w:sz="4" w:space="0" w:color="D2C9B8"/>
              <w:bottom w:val="single" w:sz="4" w:space="0" w:color="D2C9B8"/>
              <w:right w:val="single" w:sz="4" w:space="0" w:color="D2C9B8"/>
            </w:tcBorders>
          </w:tcPr>
          <w:p w14:paraId="1FF7C333" w14:textId="77777777" w:rsidR="005A5FCC" w:rsidRDefault="00A21C81">
            <w:pPr>
              <w:spacing w:before="20" w:after="20" w:line="240" w:lineRule="auto"/>
              <w:jc w:val="left"/>
            </w:pPr>
            <w:r>
              <w:rPr>
                <w:rFonts w:cs="EB Garamond"/>
                <w:kern w:val="16"/>
                <w:sz w:val="18"/>
                <w14:ligatures w14:val="standardContextual"/>
              </w:rPr>
              <w:t>Empresas de TI/TIC (tecnologia da informação), call centers, fabricantes de veículos, máquinas e equipamentos</w:t>
            </w:r>
          </w:p>
        </w:tc>
      </w:tr>
      <w:tr w:rsidR="005A5FCC" w14:paraId="0EF6B71A"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795BDB62" w14:textId="77777777" w:rsidR="005A5FCC" w:rsidRDefault="00A21C81">
            <w:pPr>
              <w:spacing w:before="20" w:after="20" w:line="240" w:lineRule="auto"/>
              <w:jc w:val="left"/>
            </w:pPr>
            <w:r>
              <w:rPr>
                <w:rFonts w:cs="EB Garamond"/>
                <w:kern w:val="16"/>
                <w:sz w:val="18"/>
                <w14:ligatures w14:val="standardContextual"/>
              </w:rPr>
              <w:t>2% sobre receita bruta</w:t>
            </w:r>
          </w:p>
        </w:tc>
        <w:tc>
          <w:tcPr>
            <w:tcW w:w="3175" w:type="dxa"/>
            <w:tcBorders>
              <w:top w:val="single" w:sz="4" w:space="0" w:color="D2C9B8"/>
              <w:left w:val="single" w:sz="4" w:space="0" w:color="D2C9B8"/>
              <w:bottom w:val="single" w:sz="4" w:space="0" w:color="D2C9B8"/>
              <w:right w:val="single" w:sz="4" w:space="0" w:color="D2C9B8"/>
            </w:tcBorders>
          </w:tcPr>
          <w:p w14:paraId="53FC3E81" w14:textId="77777777" w:rsidR="005A5FCC" w:rsidRDefault="00A21C81">
            <w:pPr>
              <w:spacing w:before="20" w:after="20" w:line="240" w:lineRule="auto"/>
              <w:jc w:val="left"/>
            </w:pPr>
            <w:r>
              <w:rPr>
                <w:rFonts w:cs="EB Garamond"/>
                <w:kern w:val="16"/>
                <w:sz w:val="18"/>
                <w14:ligatures w14:val="standardContextual"/>
              </w:rPr>
              <w:t>Empresas de construção civil, transporte rodoviário, comunicação, confecções, calçados</w:t>
            </w:r>
          </w:p>
        </w:tc>
      </w:tr>
    </w:tbl>
    <w:p w14:paraId="29DB2AED" w14:textId="77777777" w:rsidR="005A5FCC" w:rsidRDefault="005A5FCC">
      <w:pPr>
        <w:spacing w:after="80" w:line="240" w:lineRule="auto"/>
      </w:pPr>
    </w:p>
    <w:p w14:paraId="580A8EB4"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C</w:t>
      </w:r>
    </w:p>
    <w:p w14:paraId="2811699B" w14:textId="77777777" w:rsidR="005A5FCC" w:rsidRDefault="00A21C81">
      <w:r>
        <w:rPr>
          <w:rFonts w:cs="EB Garamond"/>
          <w:kern w:val="16"/>
          <w14:ligatures w14:val="standardContextual"/>
        </w:rPr>
        <w:t>om a reoneração gradual prevista na Lei 14.973/2024, as alíquotas de CPRB serão progressivamente reduzidas enquanto a contribuição sobre a folha retorna gradualmente:</w:t>
      </w:r>
    </w:p>
    <w:tbl>
      <w:tblPr>
        <w:tblW w:w="5000" w:type="pct"/>
        <w:jc w:val="center"/>
        <w:tblLook w:val="04A0" w:firstRow="1" w:lastRow="0" w:firstColumn="1" w:lastColumn="0" w:noHBand="0" w:noVBand="1"/>
      </w:tblPr>
      <w:tblGrid>
        <w:gridCol w:w="2113"/>
        <w:gridCol w:w="2114"/>
        <w:gridCol w:w="2113"/>
      </w:tblGrid>
      <w:tr w:rsidR="005A5FCC" w14:paraId="45E629C9" w14:textId="77777777">
        <w:trPr>
          <w:tblHeader/>
          <w:jc w:val="center"/>
        </w:trPr>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3F0D2D76" w14:textId="77777777" w:rsidR="005A5FCC" w:rsidRDefault="00A21C81">
            <w:pPr>
              <w:spacing w:before="40" w:after="40" w:line="240" w:lineRule="auto"/>
              <w:jc w:val="center"/>
            </w:pPr>
            <w:r>
              <w:rPr>
                <w:rFonts w:cs="EB Garamond"/>
                <w:b/>
                <w:color w:val="2F2923"/>
                <w:kern w:val="16"/>
                <w:sz w:val="18"/>
                <w14:ligatures w14:val="standardContextual"/>
              </w:rPr>
              <w:t>Ano</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7795CCA6" w14:textId="77777777" w:rsidR="005A5FCC" w:rsidRDefault="00A21C81">
            <w:pPr>
              <w:spacing w:before="40" w:after="40" w:line="240" w:lineRule="auto"/>
              <w:jc w:val="center"/>
            </w:pPr>
            <w:r>
              <w:rPr>
                <w:rFonts w:cs="EB Garamond"/>
                <w:b/>
                <w:color w:val="2F2923"/>
                <w:kern w:val="16"/>
                <w:sz w:val="18"/>
                <w14:ligatures w14:val="standardContextual"/>
              </w:rPr>
              <w:t>CPRB (% aplicável)</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48D8F2C4" w14:textId="77777777" w:rsidR="005A5FCC" w:rsidRDefault="00A21C81">
            <w:pPr>
              <w:spacing w:before="40" w:after="40" w:line="240" w:lineRule="auto"/>
              <w:jc w:val="center"/>
            </w:pPr>
            <w:r>
              <w:rPr>
                <w:rFonts w:cs="EB Garamond"/>
                <w:b/>
                <w:color w:val="2F2923"/>
                <w:kern w:val="16"/>
                <w:sz w:val="18"/>
                <w14:ligatures w14:val="standardContextual"/>
              </w:rPr>
              <w:t>Contribuição sobre folha (% da patronal padrão)</w:t>
            </w:r>
          </w:p>
        </w:tc>
      </w:tr>
      <w:tr w:rsidR="005A5FCC" w14:paraId="0CBC0EE4"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29DDE308" w14:textId="77777777" w:rsidR="005A5FCC" w:rsidRDefault="00A21C81">
            <w:pPr>
              <w:spacing w:before="20" w:after="20" w:line="240" w:lineRule="auto"/>
              <w:jc w:val="left"/>
            </w:pPr>
            <w:r>
              <w:rPr>
                <w:rFonts w:cs="EB Garamond"/>
                <w:kern w:val="16"/>
                <w:sz w:val="18"/>
                <w14:ligatures w14:val="standardContextual"/>
              </w:rPr>
              <w:t>2025</w:t>
            </w:r>
          </w:p>
        </w:tc>
        <w:tc>
          <w:tcPr>
            <w:tcW w:w="2117" w:type="dxa"/>
            <w:tcBorders>
              <w:top w:val="single" w:sz="4" w:space="0" w:color="D2C9B8"/>
              <w:left w:val="single" w:sz="4" w:space="0" w:color="D2C9B8"/>
              <w:bottom w:val="single" w:sz="4" w:space="0" w:color="D2C9B8"/>
              <w:right w:val="single" w:sz="4" w:space="0" w:color="D2C9B8"/>
            </w:tcBorders>
          </w:tcPr>
          <w:p w14:paraId="405B69AC" w14:textId="77777777" w:rsidR="005A5FCC" w:rsidRDefault="00A21C81">
            <w:pPr>
              <w:spacing w:before="20" w:after="20" w:line="240" w:lineRule="auto"/>
              <w:jc w:val="left"/>
            </w:pPr>
            <w:r>
              <w:rPr>
                <w:rFonts w:cs="EB Garamond"/>
                <w:kern w:val="16"/>
                <w:sz w:val="18"/>
                <w14:ligatures w14:val="standardContextual"/>
              </w:rPr>
              <w:t>100%</w:t>
            </w:r>
          </w:p>
        </w:tc>
        <w:tc>
          <w:tcPr>
            <w:tcW w:w="2117" w:type="dxa"/>
            <w:tcBorders>
              <w:top w:val="single" w:sz="4" w:space="0" w:color="D2C9B8"/>
              <w:left w:val="single" w:sz="4" w:space="0" w:color="D2C9B8"/>
              <w:bottom w:val="single" w:sz="4" w:space="0" w:color="D2C9B8"/>
              <w:right w:val="single" w:sz="4" w:space="0" w:color="D2C9B8"/>
            </w:tcBorders>
          </w:tcPr>
          <w:p w14:paraId="0DF1B511" w14:textId="77777777" w:rsidR="005A5FCC" w:rsidRDefault="00A21C81">
            <w:pPr>
              <w:spacing w:before="20" w:after="20" w:line="240" w:lineRule="auto"/>
              <w:jc w:val="left"/>
            </w:pPr>
            <w:r>
              <w:rPr>
                <w:rFonts w:cs="EB Garamond"/>
                <w:kern w:val="16"/>
                <w:sz w:val="18"/>
                <w14:ligatures w14:val="standardContextual"/>
              </w:rPr>
              <w:t>0% (desoneração total)</w:t>
            </w:r>
          </w:p>
        </w:tc>
      </w:tr>
      <w:tr w:rsidR="005A5FCC" w14:paraId="25D3E026"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2593FFC5" w14:textId="77777777" w:rsidR="005A5FCC" w:rsidRDefault="00A21C81">
            <w:pPr>
              <w:spacing w:before="20" w:after="20" w:line="240" w:lineRule="auto"/>
              <w:jc w:val="left"/>
            </w:pPr>
            <w:r>
              <w:rPr>
                <w:rFonts w:cs="EB Garamond"/>
                <w:kern w:val="16"/>
                <w:sz w:val="18"/>
                <w14:ligatures w14:val="standardContextual"/>
              </w:rPr>
              <w:t>2026</w:t>
            </w:r>
          </w:p>
        </w:tc>
        <w:tc>
          <w:tcPr>
            <w:tcW w:w="2117" w:type="dxa"/>
            <w:tcBorders>
              <w:top w:val="single" w:sz="4" w:space="0" w:color="D2C9B8"/>
              <w:left w:val="single" w:sz="4" w:space="0" w:color="D2C9B8"/>
              <w:bottom w:val="single" w:sz="4" w:space="0" w:color="D2C9B8"/>
              <w:right w:val="single" w:sz="4" w:space="0" w:color="D2C9B8"/>
            </w:tcBorders>
          </w:tcPr>
          <w:p w14:paraId="39C7F239" w14:textId="77777777" w:rsidR="005A5FCC" w:rsidRDefault="00A21C81">
            <w:pPr>
              <w:spacing w:before="20" w:after="20" w:line="240" w:lineRule="auto"/>
              <w:jc w:val="left"/>
            </w:pPr>
            <w:r>
              <w:rPr>
                <w:rFonts w:cs="EB Garamond"/>
                <w:kern w:val="16"/>
                <w:sz w:val="18"/>
                <w14:ligatures w14:val="standardContextual"/>
              </w:rPr>
              <w:t>80%</w:t>
            </w:r>
          </w:p>
        </w:tc>
        <w:tc>
          <w:tcPr>
            <w:tcW w:w="2117" w:type="dxa"/>
            <w:tcBorders>
              <w:top w:val="single" w:sz="4" w:space="0" w:color="D2C9B8"/>
              <w:left w:val="single" w:sz="4" w:space="0" w:color="D2C9B8"/>
              <w:bottom w:val="single" w:sz="4" w:space="0" w:color="D2C9B8"/>
              <w:right w:val="single" w:sz="4" w:space="0" w:color="D2C9B8"/>
            </w:tcBorders>
          </w:tcPr>
          <w:p w14:paraId="46A43D63" w14:textId="77777777" w:rsidR="005A5FCC" w:rsidRDefault="00A21C81">
            <w:pPr>
              <w:spacing w:before="20" w:after="20" w:line="240" w:lineRule="auto"/>
              <w:jc w:val="left"/>
            </w:pPr>
            <w:r>
              <w:rPr>
                <w:rFonts w:cs="EB Garamond"/>
                <w:kern w:val="16"/>
                <w:sz w:val="18"/>
                <w14:ligatures w14:val="standardContextual"/>
              </w:rPr>
              <w:t>5% (sobre folha = 1% efetivo)</w:t>
            </w:r>
          </w:p>
        </w:tc>
      </w:tr>
      <w:tr w:rsidR="005A5FCC" w14:paraId="18D5A331"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4C4ADBD5" w14:textId="77777777" w:rsidR="005A5FCC" w:rsidRDefault="00A21C81">
            <w:pPr>
              <w:spacing w:before="20" w:after="20" w:line="240" w:lineRule="auto"/>
              <w:jc w:val="left"/>
            </w:pPr>
            <w:r>
              <w:rPr>
                <w:rFonts w:cs="EB Garamond"/>
                <w:kern w:val="16"/>
                <w:sz w:val="18"/>
                <w14:ligatures w14:val="standardContextual"/>
              </w:rPr>
              <w:t>2027</w:t>
            </w:r>
          </w:p>
        </w:tc>
        <w:tc>
          <w:tcPr>
            <w:tcW w:w="2117" w:type="dxa"/>
            <w:tcBorders>
              <w:top w:val="single" w:sz="4" w:space="0" w:color="D2C9B8"/>
              <w:left w:val="single" w:sz="4" w:space="0" w:color="D2C9B8"/>
              <w:bottom w:val="single" w:sz="4" w:space="0" w:color="D2C9B8"/>
              <w:right w:val="single" w:sz="4" w:space="0" w:color="D2C9B8"/>
            </w:tcBorders>
          </w:tcPr>
          <w:p w14:paraId="6EE065E6" w14:textId="77777777" w:rsidR="005A5FCC" w:rsidRDefault="00A21C81">
            <w:pPr>
              <w:spacing w:before="20" w:after="20" w:line="240" w:lineRule="auto"/>
              <w:jc w:val="left"/>
            </w:pPr>
            <w:r>
              <w:rPr>
                <w:rFonts w:cs="EB Garamond"/>
                <w:kern w:val="16"/>
                <w:sz w:val="18"/>
                <w14:ligatures w14:val="standardContextual"/>
              </w:rPr>
              <w:t>60%</w:t>
            </w:r>
          </w:p>
        </w:tc>
        <w:tc>
          <w:tcPr>
            <w:tcW w:w="2117" w:type="dxa"/>
            <w:tcBorders>
              <w:top w:val="single" w:sz="4" w:space="0" w:color="D2C9B8"/>
              <w:left w:val="single" w:sz="4" w:space="0" w:color="D2C9B8"/>
              <w:bottom w:val="single" w:sz="4" w:space="0" w:color="D2C9B8"/>
              <w:right w:val="single" w:sz="4" w:space="0" w:color="D2C9B8"/>
            </w:tcBorders>
          </w:tcPr>
          <w:p w14:paraId="31B21B7F" w14:textId="77777777" w:rsidR="005A5FCC" w:rsidRDefault="00A21C81">
            <w:pPr>
              <w:spacing w:before="20" w:after="20" w:line="240" w:lineRule="auto"/>
              <w:jc w:val="left"/>
            </w:pPr>
            <w:r>
              <w:rPr>
                <w:rFonts w:cs="EB Garamond"/>
                <w:kern w:val="16"/>
                <w:sz w:val="18"/>
                <w14:ligatures w14:val="standardContextual"/>
              </w:rPr>
              <w:t>10% (sobre folha = 2% efetivo)</w:t>
            </w:r>
          </w:p>
        </w:tc>
      </w:tr>
      <w:tr w:rsidR="005A5FCC" w14:paraId="29A394E8"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56E25049" w14:textId="77777777" w:rsidR="005A5FCC" w:rsidRDefault="00A21C81">
            <w:pPr>
              <w:spacing w:before="20" w:after="20" w:line="240" w:lineRule="auto"/>
              <w:jc w:val="left"/>
            </w:pPr>
            <w:r>
              <w:rPr>
                <w:rFonts w:cs="EB Garamond"/>
                <w:kern w:val="16"/>
                <w:sz w:val="18"/>
                <w14:ligatures w14:val="standardContextual"/>
              </w:rPr>
              <w:t>2028</w:t>
            </w:r>
          </w:p>
        </w:tc>
        <w:tc>
          <w:tcPr>
            <w:tcW w:w="2117" w:type="dxa"/>
            <w:tcBorders>
              <w:top w:val="single" w:sz="4" w:space="0" w:color="D2C9B8"/>
              <w:left w:val="single" w:sz="4" w:space="0" w:color="D2C9B8"/>
              <w:bottom w:val="single" w:sz="4" w:space="0" w:color="D2C9B8"/>
              <w:right w:val="single" w:sz="4" w:space="0" w:color="D2C9B8"/>
            </w:tcBorders>
          </w:tcPr>
          <w:p w14:paraId="432EF748" w14:textId="77777777" w:rsidR="005A5FCC" w:rsidRDefault="00A21C81">
            <w:pPr>
              <w:spacing w:before="20" w:after="20" w:line="240" w:lineRule="auto"/>
              <w:jc w:val="left"/>
            </w:pPr>
            <w:r>
              <w:rPr>
                <w:rFonts w:cs="EB Garamond"/>
                <w:kern w:val="16"/>
                <w:sz w:val="18"/>
                <w14:ligatures w14:val="standardContextual"/>
              </w:rPr>
              <w:t>40%</w:t>
            </w:r>
          </w:p>
        </w:tc>
        <w:tc>
          <w:tcPr>
            <w:tcW w:w="2117" w:type="dxa"/>
            <w:tcBorders>
              <w:top w:val="single" w:sz="4" w:space="0" w:color="D2C9B8"/>
              <w:left w:val="single" w:sz="4" w:space="0" w:color="D2C9B8"/>
              <w:bottom w:val="single" w:sz="4" w:space="0" w:color="D2C9B8"/>
              <w:right w:val="single" w:sz="4" w:space="0" w:color="D2C9B8"/>
            </w:tcBorders>
          </w:tcPr>
          <w:p w14:paraId="7BD15B2C" w14:textId="77777777" w:rsidR="005A5FCC" w:rsidRDefault="00A21C81">
            <w:pPr>
              <w:spacing w:before="20" w:after="20" w:line="240" w:lineRule="auto"/>
              <w:jc w:val="left"/>
            </w:pPr>
            <w:r>
              <w:rPr>
                <w:rFonts w:cs="EB Garamond"/>
                <w:kern w:val="16"/>
                <w:sz w:val="18"/>
                <w14:ligatures w14:val="standardContextual"/>
              </w:rPr>
              <w:t>15% (sobre folha = 3% efetivo)</w:t>
            </w:r>
          </w:p>
        </w:tc>
      </w:tr>
      <w:tr w:rsidR="005A5FCC" w14:paraId="27332721"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03944DBE" w14:textId="77777777" w:rsidR="005A5FCC" w:rsidRDefault="00A21C81">
            <w:pPr>
              <w:spacing w:before="20" w:after="20" w:line="240" w:lineRule="auto"/>
              <w:jc w:val="left"/>
            </w:pPr>
            <w:r>
              <w:rPr>
                <w:rFonts w:cs="EB Garamond"/>
                <w:kern w:val="16"/>
                <w:sz w:val="18"/>
                <w14:ligatures w14:val="standardContextual"/>
              </w:rPr>
              <w:t>2029</w:t>
            </w:r>
          </w:p>
        </w:tc>
        <w:tc>
          <w:tcPr>
            <w:tcW w:w="2117" w:type="dxa"/>
            <w:tcBorders>
              <w:top w:val="single" w:sz="4" w:space="0" w:color="D2C9B8"/>
              <w:left w:val="single" w:sz="4" w:space="0" w:color="D2C9B8"/>
              <w:bottom w:val="single" w:sz="4" w:space="0" w:color="D2C9B8"/>
              <w:right w:val="single" w:sz="4" w:space="0" w:color="D2C9B8"/>
            </w:tcBorders>
          </w:tcPr>
          <w:p w14:paraId="6B77341C" w14:textId="77777777" w:rsidR="005A5FCC" w:rsidRDefault="00A21C81">
            <w:pPr>
              <w:spacing w:before="20" w:after="20" w:line="240" w:lineRule="auto"/>
              <w:jc w:val="left"/>
            </w:pPr>
            <w:r>
              <w:rPr>
                <w:rFonts w:cs="EB Garamond"/>
                <w:kern w:val="16"/>
                <w:sz w:val="18"/>
                <w14:ligatures w14:val="standardContextual"/>
              </w:rPr>
              <w:t>0% (extinção CPRB)</w:t>
            </w:r>
          </w:p>
        </w:tc>
        <w:tc>
          <w:tcPr>
            <w:tcW w:w="2117" w:type="dxa"/>
            <w:tcBorders>
              <w:top w:val="single" w:sz="4" w:space="0" w:color="D2C9B8"/>
              <w:left w:val="single" w:sz="4" w:space="0" w:color="D2C9B8"/>
              <w:bottom w:val="single" w:sz="4" w:space="0" w:color="D2C9B8"/>
              <w:right w:val="single" w:sz="4" w:space="0" w:color="D2C9B8"/>
            </w:tcBorders>
          </w:tcPr>
          <w:p w14:paraId="5716F7F4" w14:textId="77777777" w:rsidR="005A5FCC" w:rsidRDefault="00A21C81">
            <w:pPr>
              <w:spacing w:before="20" w:after="20" w:line="240" w:lineRule="auto"/>
              <w:jc w:val="left"/>
            </w:pPr>
            <w:r>
              <w:rPr>
                <w:rFonts w:cs="EB Garamond"/>
                <w:kern w:val="16"/>
                <w:sz w:val="18"/>
                <w14:ligatures w14:val="standardContextual"/>
              </w:rPr>
              <w:t>20% (retorno à patronal integral)</w:t>
            </w:r>
          </w:p>
        </w:tc>
      </w:tr>
    </w:tbl>
    <w:p w14:paraId="7070EE82" w14:textId="77777777" w:rsidR="005A5FCC" w:rsidRDefault="005A5FCC">
      <w:pPr>
        <w:spacing w:after="80" w:line="240" w:lineRule="auto"/>
      </w:pPr>
    </w:p>
    <w:tbl>
      <w:tblPr>
        <w:tblW w:w="5000" w:type="pct"/>
        <w:jc w:val="center"/>
        <w:tblLayout w:type="fixed"/>
        <w:tblLook w:val="04A0" w:firstRow="1" w:lastRow="0" w:firstColumn="1" w:lastColumn="0" w:noHBand="0" w:noVBand="1"/>
      </w:tblPr>
      <w:tblGrid>
        <w:gridCol w:w="6311"/>
      </w:tblGrid>
      <w:tr w:rsidR="005A5FCC" w14:paraId="12E625B6"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377AE30B" w14:textId="77777777" w:rsidR="005A5FCC" w:rsidRDefault="00A21C81">
            <w:pPr>
              <w:spacing w:after="60" w:line="240" w:lineRule="auto"/>
              <w:jc w:val="left"/>
            </w:pPr>
            <w:r>
              <w:rPr>
                <w:rFonts w:ascii="Noto Sans" w:hAnsi="Noto Sans" w:cs="Noto Sans"/>
                <w:b/>
                <w:caps/>
                <w:color w:val="B78B37"/>
                <w:kern w:val="16"/>
                <w:sz w:val="16"/>
                <w14:ligatures w14:val="standardContextual"/>
              </w:rPr>
              <w:lastRenderedPageBreak/>
              <w:t>ATENÇÃO</w:t>
            </w:r>
          </w:p>
          <w:p w14:paraId="0064F38B" w14:textId="77777777" w:rsidR="005A5FCC" w:rsidRDefault="00A21C81">
            <w:pPr>
              <w:spacing w:after="60" w:line="247" w:lineRule="auto"/>
            </w:pPr>
            <w:r>
              <w:rPr>
                <w:rFonts w:cs="EB Garamond"/>
                <w:b/>
                <w:kern w:val="16"/>
                <w:sz w:val="19"/>
                <w14:ligatures w14:val="standardContextual"/>
              </w:rPr>
              <w:t>Atenção — Reoneração gradual a partir de 2026:</w:t>
            </w:r>
          </w:p>
          <w:p w14:paraId="3BDFC71B" w14:textId="77777777" w:rsidR="005A5FCC" w:rsidRDefault="00A21C81">
            <w:pPr>
              <w:spacing w:after="60" w:line="247" w:lineRule="auto"/>
            </w:pPr>
            <w:r>
              <w:rPr>
                <w:rFonts w:cs="EB Garamond"/>
                <w:kern w:val="16"/>
                <w:sz w:val="19"/>
                <w14:ligatures w14:val="standardContextual"/>
              </w:rPr>
              <w:t xml:space="preserve">A Lei 14.973/2024 estabeleceu cronograma de reoneração gradual entre 2025 e 2028, com extinção da CPRB a partir de 2029. Contudo, a trajetória depende da manutenção da lei — prorrogações legislativas são recorrentes nessa matéria. Em 2026, empresas dos setores contemplados aplicam alíquota de CPRB reduzida a 80% do valor original e recolhem 5% de contribuição patronal sobre a folha. </w:t>
            </w:r>
            <w:commentRangeStart w:id="3"/>
            <w:r>
              <w:rPr>
                <w:rFonts w:cs="EB Garamond"/>
                <w:kern w:val="16"/>
                <w:sz w:val="19"/>
                <w14:ligatures w14:val="standardContextual"/>
              </w:rPr>
              <w:t>Verificar vigência atualizada antes da publicação.</w:t>
            </w:r>
            <w:commentRangeEnd w:id="3"/>
            <w:r w:rsidR="007F4914">
              <w:rPr>
                <w:rStyle w:val="Refdecomentrio"/>
                <w:sz w:val="21"/>
                <w:szCs w:val="22"/>
              </w:rPr>
              <w:commentReference w:id="3"/>
            </w:r>
          </w:p>
        </w:tc>
      </w:tr>
    </w:tbl>
    <w:p w14:paraId="2241833F" w14:textId="77777777" w:rsidR="005A5FCC" w:rsidRDefault="005A5FCC">
      <w:pPr>
        <w:spacing w:after="80" w:line="240" w:lineRule="auto"/>
      </w:pPr>
    </w:p>
    <w:p w14:paraId="4654D058" w14:textId="77777777" w:rsidR="005A5FCC" w:rsidRDefault="00A21C81">
      <w:pPr>
        <w:spacing w:before="260" w:after="80" w:line="240" w:lineRule="auto"/>
        <w:jc w:val="left"/>
      </w:pPr>
      <w:r>
        <w:rPr>
          <w:rFonts w:cs="EB Garamond"/>
          <w:b/>
          <w:color w:val="3A3128"/>
          <w:kern w:val="16"/>
          <w:sz w:val="25"/>
          <w14:ligatures w14:val="standardContextual"/>
        </w:rPr>
        <w:t>4.4.3 Impacto da desoneração no CNIS e nos benefícios</w:t>
      </w:r>
    </w:p>
    <w:p w14:paraId="3EC98C3F"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55162347" w14:textId="77777777" w:rsidR="005A5FCC" w:rsidRDefault="00A21C81">
      <w:r>
        <w:rPr>
          <w:rFonts w:cs="EB Garamond"/>
          <w:kern w:val="16"/>
          <w14:ligatures w14:val="standardContextual"/>
        </w:rPr>
        <w:t xml:space="preserve"> desoneração da folha não afeta diretamente o valor dos benefícios do segurado. O salário de contribuição do empregado permanece inalterado — a desoneração substitui apenas a parcela patronal, mantendo integralmente a contribuição do segurado (alíquotas progressivas). O CNIS registra normalmente a remuneração e a contribuição do empregado, independentemente de o empregador ter optado pela CPRB ou pela contribuição sobre a folha.</w:t>
      </w:r>
    </w:p>
    <w:p w14:paraId="4D544531" w14:textId="77777777" w:rsidR="005A5FCC" w:rsidRDefault="00A21C81">
      <w:pPr>
        <w:ind w:firstLine="238"/>
      </w:pPr>
      <w:r>
        <w:rPr>
          <w:rFonts w:cs="EB Garamond"/>
          <w:kern w:val="16"/>
          <w14:ligatures w14:val="standardContextual"/>
        </w:rPr>
        <w:t>Nos JEFs, a desoneração pode surgir como questão incidental em ações de restituição propostas por empresas que optaram pela CPRB e posteriormente constataram recolhimento a maior (dupla incidência — folha + receita bruta). Porém, essas ações geralmente ultrapassam o teto de 60 SM e tramitam nas varas federais ordinárias, não nos JEFs.</w:t>
      </w:r>
    </w:p>
    <w:p w14:paraId="34EF3FF2" w14:textId="77777777" w:rsidR="005A5FCC" w:rsidRDefault="00A21C81">
      <w:pPr>
        <w:spacing w:before="260" w:after="80" w:line="240" w:lineRule="auto"/>
        <w:jc w:val="left"/>
      </w:pPr>
      <w:r>
        <w:rPr>
          <w:rFonts w:cs="EB Garamond"/>
          <w:b/>
          <w:color w:val="3A3128"/>
          <w:kern w:val="16"/>
          <w:sz w:val="25"/>
          <w14:ligatures w14:val="standardContextual"/>
        </w:rPr>
        <w:t>4.4.4 Relevância para o segurado</w:t>
      </w:r>
    </w:p>
    <w:p w14:paraId="5974E3E8"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E</w:t>
      </w:r>
    </w:p>
    <w:p w14:paraId="74580F93" w14:textId="77777777" w:rsidR="005A5FCC" w:rsidRDefault="00A21C81">
      <w:r>
        <w:rPr>
          <w:rFonts w:cs="EB Garamond"/>
          <w:kern w:val="16"/>
          <w14:ligatures w14:val="standardContextual"/>
        </w:rPr>
        <w:t>mbora a desoneração seja primariamente uma questão tributária do empregador, o advogado previdenciarista deve compreender o instituto por três razões práticas:</w:t>
      </w:r>
    </w:p>
    <w:p w14:paraId="715A6180" w14:textId="77777777" w:rsidR="005A5FCC" w:rsidRDefault="00A21C81">
      <w:pPr>
        <w:ind w:firstLine="238"/>
      </w:pPr>
      <w:r>
        <w:rPr>
          <w:rFonts w:cs="EB Garamond"/>
          <w:kern w:val="16"/>
          <w14:ligatures w14:val="standardContextual"/>
        </w:rPr>
        <w:t xml:space="preserve">a) </w:t>
      </w:r>
      <w:r>
        <w:rPr>
          <w:rFonts w:cs="EB Garamond"/>
          <w:b/>
          <w:kern w:val="16"/>
          <w14:ligatures w14:val="standardContextual"/>
        </w:rPr>
        <w:t>Planejamento empresarial de clientes CI/MEI:</w:t>
      </w:r>
      <w:r>
        <w:rPr>
          <w:rFonts w:cs="EB Garamond"/>
          <w:kern w:val="16"/>
          <w14:ligatures w14:val="standardContextual"/>
        </w:rPr>
        <w:t xml:space="preserve"> Empresários que migram de MEI para microempresa precisam decidir entre a contribuição patronal convencional e a CPRB (quando o setor for contemplado), o que afeta o custo total da operação.</w:t>
      </w:r>
    </w:p>
    <w:p w14:paraId="335B694E" w14:textId="45D3EB5C" w:rsidR="005A5FCC" w:rsidRDefault="00A21C81">
      <w:pPr>
        <w:ind w:firstLine="238"/>
      </w:pPr>
      <w:r>
        <w:rPr>
          <w:rFonts w:cs="EB Garamond"/>
          <w:kern w:val="16"/>
          <w14:ligatures w14:val="standardContextual"/>
        </w:rPr>
        <w:lastRenderedPageBreak/>
        <w:t xml:space="preserve">b) </w:t>
      </w:r>
      <w:r>
        <w:rPr>
          <w:rFonts w:cs="EB Garamond"/>
          <w:b/>
          <w:kern w:val="16"/>
          <w14:ligatures w14:val="standardContextual"/>
        </w:rPr>
        <w:t>Ações de retificação de CNIS:</w:t>
      </w:r>
      <w:r>
        <w:rPr>
          <w:rFonts w:cs="EB Garamond"/>
          <w:kern w:val="16"/>
          <w14:ligatures w14:val="standardContextual"/>
        </w:rPr>
        <w:t xml:space="preserve"> Empregados de empresas desoneradas podem encontrar divergências no CNIS se o empregador declarou incorretamente a base no eSocial durante a transição entre regimes (folha vs. </w:t>
      </w:r>
      <w:r w:rsidR="007F4914">
        <w:rPr>
          <w:rFonts w:cs="EB Garamond"/>
          <w:kern w:val="16"/>
          <w14:ligatures w14:val="standardContextual"/>
        </w:rPr>
        <w:t>r</w:t>
      </w:r>
      <w:r>
        <w:rPr>
          <w:rFonts w:cs="EB Garamond"/>
          <w:kern w:val="16"/>
          <w14:ligatures w14:val="standardContextual"/>
        </w:rPr>
        <w:t>eceita).</w:t>
      </w:r>
    </w:p>
    <w:p w14:paraId="54E3AE46" w14:textId="77777777" w:rsidR="005A5FCC" w:rsidRDefault="00A21C81">
      <w:pPr>
        <w:ind w:firstLine="238"/>
      </w:pPr>
      <w:r>
        <w:rPr>
          <w:rFonts w:cs="EB Garamond"/>
          <w:kern w:val="16"/>
          <w14:ligatures w14:val="standardContextual"/>
        </w:rPr>
        <w:t xml:space="preserve">c) </w:t>
      </w:r>
      <w:r>
        <w:rPr>
          <w:rFonts w:cs="EB Garamond"/>
          <w:b/>
          <w:kern w:val="16"/>
          <w14:ligatures w14:val="standardContextual"/>
        </w:rPr>
        <w:t>Discussão sobre equilíbrio atuarial:</w:t>
      </w:r>
      <w:r>
        <w:rPr>
          <w:rFonts w:cs="EB Garamond"/>
          <w:kern w:val="16"/>
          <w14:ligatures w14:val="standardContextual"/>
        </w:rPr>
        <w:t xml:space="preserve"> Em ações que envolvem a constitucionalidade de regras previdenciárias, a desoneração é frequentemente invocada como argumento de que o déficit previdenciário decorre de renúncias fiscais concedidas pelo governo, não da generosidade dos benefícios — argumento relevante em ações de revisão (Capítulo 17).</w:t>
      </w:r>
    </w:p>
    <w:p w14:paraId="3DA1A492"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4.5 Contribuição do contribuinte individual</w:t>
      </w:r>
    </w:p>
    <w:p w14:paraId="7D335984" w14:textId="77777777" w:rsidR="005A5FCC" w:rsidRDefault="00A21C81">
      <w:pPr>
        <w:spacing w:before="260" w:after="80" w:line="240" w:lineRule="auto"/>
        <w:jc w:val="left"/>
      </w:pPr>
      <w:r>
        <w:rPr>
          <w:rFonts w:cs="EB Garamond"/>
          <w:b/>
          <w:color w:val="3A3128"/>
          <w:kern w:val="16"/>
          <w:sz w:val="25"/>
          <w14:ligatures w14:val="standardContextual"/>
        </w:rPr>
        <w:t>4.5.1 Regra geral: 20% sobre a remuneração</w:t>
      </w:r>
    </w:p>
    <w:p w14:paraId="35FE0D0C"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6E475501" w14:textId="03D42181" w:rsidR="005A5FCC" w:rsidRDefault="00A21C81">
      <w:r>
        <w:rPr>
          <w:rFonts w:cs="EB Garamond"/>
          <w:kern w:val="16"/>
          <w14:ligatures w14:val="standardContextual"/>
        </w:rPr>
        <w:t xml:space="preserve"> contribuinte individual (CI), autônomo, empresário, profissional liberal, recolhe 20% sobre sua remuneração mensal, observados o piso (SM) e o teto (limite máximo do salário de contribuição). Diferentemente do empregado, cuja contribuição é retida na fonte pelo empregador, o CI é responsável pelo próprio recolhimento, o que gera frequentes irregularidades e lacunas contributivas.</w:t>
      </w:r>
    </w:p>
    <w:p w14:paraId="41950ACA" w14:textId="77777777" w:rsidR="005A5FCC" w:rsidRDefault="00A21C81">
      <w:pPr>
        <w:ind w:firstLine="238"/>
      </w:pPr>
      <w:r>
        <w:rPr>
          <w:rFonts w:cs="EB Garamond"/>
          <w:kern w:val="16"/>
          <w14:ligatures w14:val="standardContextual"/>
        </w:rPr>
        <w:t>O art. 21, caput, da Lei 8.212/91 fixa essa alíquota de 20%. A base de cálculo é a remuneração auferida no mês, respeitados os limites mínimo e máximo. Se o CI recebe R$ 3.000,00 em determinado mês, recolhe R$ 600,00 (20% de R$ 3.000,00). Se recebe acima do teto, recolhe 20% sobre o teto.</w:t>
      </w:r>
    </w:p>
    <w:tbl>
      <w:tblPr>
        <w:tblW w:w="5000" w:type="pct"/>
        <w:jc w:val="center"/>
        <w:tblLayout w:type="fixed"/>
        <w:tblLook w:val="04A0" w:firstRow="1" w:lastRow="0" w:firstColumn="1" w:lastColumn="0" w:noHBand="0" w:noVBand="1"/>
      </w:tblPr>
      <w:tblGrid>
        <w:gridCol w:w="6311"/>
      </w:tblGrid>
      <w:tr w:rsidR="005A5FCC" w14:paraId="7EE0F5EE"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0DCBB1F1"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5A7613C3" w14:textId="77777777" w:rsidR="005A5FCC" w:rsidRDefault="00A21C81">
            <w:pPr>
              <w:spacing w:after="60" w:line="247" w:lineRule="auto"/>
            </w:pPr>
            <w:r>
              <w:rPr>
                <w:rFonts w:cs="EB Garamond"/>
                <w:b/>
                <w:kern w:val="16"/>
                <w:sz w:val="19"/>
                <w14:ligatures w14:val="standardContextual"/>
              </w:rPr>
              <w:t>Atenção:</w:t>
            </w:r>
            <w:r>
              <w:rPr>
                <w:rFonts w:cs="EB Garamond"/>
                <w:kern w:val="16"/>
                <w:sz w:val="19"/>
                <w14:ligatures w14:val="standardContextual"/>
              </w:rPr>
              <w:t xml:space="preserve"> O CI que presta serviço a uma ou mais empresas tem tratamento diferenciado. A empresa contratante é obrigada a reter 11% da remuneração paga ao CI (art. 216, § 26, Decreto 3.048/99), limitado ao teto. O CI pode abater esse valor do total devido (20%), recolhendo apenas os 9% restantes sobre a mesma base. Se o total retido pelas empresas já equivale a 20% do teto, nada mais é devido pelo CI naquele mês.</w:t>
            </w:r>
          </w:p>
        </w:tc>
      </w:tr>
    </w:tbl>
    <w:p w14:paraId="1747A05A" w14:textId="77777777" w:rsidR="005A5FCC" w:rsidRDefault="005A5FCC">
      <w:pPr>
        <w:spacing w:after="80" w:line="240" w:lineRule="auto"/>
      </w:pPr>
    </w:p>
    <w:p w14:paraId="31DF5DF6" w14:textId="7350925A" w:rsidR="005A5FCC" w:rsidRDefault="00A21C81">
      <w:pPr>
        <w:spacing w:before="260" w:after="80" w:line="240" w:lineRule="auto"/>
        <w:jc w:val="left"/>
      </w:pPr>
      <w:r>
        <w:rPr>
          <w:rFonts w:cs="EB Garamond"/>
          <w:b/>
          <w:color w:val="3A3128"/>
          <w:kern w:val="16"/>
          <w:sz w:val="25"/>
          <w14:ligatures w14:val="standardContextual"/>
        </w:rPr>
        <w:lastRenderedPageBreak/>
        <w:t xml:space="preserve">4.5.2 Plano simplificado: 11% sobre o </w:t>
      </w:r>
      <w:r w:rsidR="007F4914">
        <w:rPr>
          <w:rFonts w:cs="EB Garamond"/>
          <w:b/>
          <w:color w:val="3A3128"/>
          <w:kern w:val="16"/>
          <w:sz w:val="25"/>
          <w14:ligatures w14:val="standardContextual"/>
        </w:rPr>
        <w:t>salário-mínimo</w:t>
      </w:r>
    </w:p>
    <w:p w14:paraId="612461DC"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I</w:t>
      </w:r>
    </w:p>
    <w:p w14:paraId="4BCB174D" w14:textId="77777777" w:rsidR="005A5FCC" w:rsidRDefault="00A21C81">
      <w:r>
        <w:rPr>
          <w:rFonts w:cs="EB Garamond"/>
          <w:kern w:val="16"/>
          <w14:ligatures w14:val="standardContextual"/>
        </w:rPr>
        <w:t>nstituído pela LC 123/2006 e previsto no art. 21, § 2º, da Lei 8.212/91, o plano simplificado permite que o CI sem relação de trabalho com empresa (autônomo conta-própria) recolha apenas 11% sobre o salário mínimo. Em 2026, isso equivale a R$ 178,31/mês (11% x R$ 1.621,00).</w:t>
      </w:r>
    </w:p>
    <w:p w14:paraId="4949D1C5" w14:textId="77777777" w:rsidR="005A5FCC" w:rsidRDefault="00A21C81">
      <w:pPr>
        <w:ind w:firstLine="238"/>
      </w:pPr>
      <w:r>
        <w:rPr>
          <w:rFonts w:cs="EB Garamond"/>
          <w:kern w:val="16"/>
          <w14:ligatures w14:val="standardContextual"/>
        </w:rPr>
        <w:t>A contrapartida é significativa: o segurado que opta pelo plano simplificado não tem direito à aposentadoria por tempo de contribuição. Somente poderá obter aposentadoria por idade (quando cumprir a idade mínima e a carência de 180 contribuições) ou aposentadoria programada nos termos da EC 103/2019.</w:t>
      </w:r>
    </w:p>
    <w:p w14:paraId="30014284" w14:textId="77777777" w:rsidR="005A5FCC" w:rsidRDefault="00A21C81">
      <w:pPr>
        <w:spacing w:before="260" w:after="80" w:line="240" w:lineRule="auto"/>
        <w:jc w:val="left"/>
      </w:pPr>
      <w:r>
        <w:rPr>
          <w:rFonts w:cs="EB Garamond"/>
          <w:b/>
          <w:color w:val="3A3128"/>
          <w:kern w:val="16"/>
          <w:sz w:val="25"/>
          <w14:ligatures w14:val="standardContextual"/>
        </w:rPr>
        <w:t>4.5.3 Quem pode optar pelo plano simplificado</w:t>
      </w:r>
    </w:p>
    <w:p w14:paraId="3B61948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298BB8F7" w14:textId="77777777" w:rsidR="005A5FCC" w:rsidRDefault="00A21C81">
      <w:r>
        <w:rPr>
          <w:rFonts w:cs="EB Garamond"/>
          <w:kern w:val="16"/>
          <w14:ligatures w14:val="standardContextual"/>
        </w:rPr>
        <w:t xml:space="preserve"> art. 21, § 2º, Lei 8.212/91, com redação dada pela LC 123/2006, restringe o plano simplificado ao contribuinte individual que trabalha por conta própria, sem relação de trabalho com empresa ou equiparado. Na prática, enquadram-se:</w:t>
      </w:r>
    </w:p>
    <w:p w14:paraId="70439EDD"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Profissionais liberais que atendem apenas pessoas físicas (encanador, eletricista, diarista que não é doméstico)</w:t>
      </w:r>
    </w:p>
    <w:p w14:paraId="6D327AE5"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Comerciantes informais sem CNPJ</w:t>
      </w:r>
    </w:p>
    <w:p w14:paraId="44A191B6"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Prestadores de serviço eventual a pessoas físicas</w:t>
      </w:r>
    </w:p>
    <w:p w14:paraId="055FC9F7" w14:textId="77777777" w:rsidR="005A5FCC" w:rsidRDefault="005A5FCC">
      <w:pPr>
        <w:spacing w:after="60" w:line="240" w:lineRule="auto"/>
      </w:pPr>
    </w:p>
    <w:p w14:paraId="46D3A9D9"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N</w:t>
      </w:r>
    </w:p>
    <w:p w14:paraId="4127CE9C" w14:textId="77777777" w:rsidR="005A5FCC" w:rsidRDefault="00A21C81">
      <w:r>
        <w:rPr>
          <w:rFonts w:cs="EB Garamond"/>
          <w:kern w:val="16"/>
          <w14:ligatures w14:val="standardContextual"/>
        </w:rPr>
        <w:t>ão pode optar pelo plano simplificado o CI que presta serviço a empresa, pois nesse caso a empresa já retém 11% e o segurado complementa até 20%.</w:t>
      </w:r>
    </w:p>
    <w:p w14:paraId="1978ABC4" w14:textId="77777777" w:rsidR="007F4914" w:rsidRDefault="007F4914">
      <w:pPr>
        <w:spacing w:before="260" w:after="80" w:line="240" w:lineRule="auto"/>
        <w:jc w:val="left"/>
        <w:rPr>
          <w:rFonts w:cs="EB Garamond"/>
          <w:b/>
          <w:color w:val="3A3128"/>
          <w:kern w:val="16"/>
          <w:sz w:val="25"/>
          <w14:ligatures w14:val="standardContextual"/>
        </w:rPr>
      </w:pPr>
    </w:p>
    <w:p w14:paraId="2F2E1C47" w14:textId="34A783D1" w:rsidR="005A5FCC" w:rsidRDefault="00A21C81">
      <w:pPr>
        <w:spacing w:before="260" w:after="80" w:line="240" w:lineRule="auto"/>
        <w:jc w:val="left"/>
      </w:pPr>
      <w:r>
        <w:rPr>
          <w:rFonts w:cs="EB Garamond"/>
          <w:b/>
          <w:color w:val="3A3128"/>
          <w:kern w:val="16"/>
          <w:sz w:val="25"/>
          <w14:ligatures w14:val="standardContextual"/>
        </w:rPr>
        <w:t>4.5.4 Tabela comparativa: planos do contribuinte individual</w:t>
      </w:r>
    </w:p>
    <w:tbl>
      <w:tblPr>
        <w:tblW w:w="5000" w:type="pct"/>
        <w:jc w:val="center"/>
        <w:tblLook w:val="04A0" w:firstRow="1" w:lastRow="0" w:firstColumn="1" w:lastColumn="0" w:noHBand="0" w:noVBand="1"/>
      </w:tblPr>
      <w:tblGrid>
        <w:gridCol w:w="1267"/>
        <w:gridCol w:w="1268"/>
        <w:gridCol w:w="1268"/>
        <w:gridCol w:w="1269"/>
        <w:gridCol w:w="1268"/>
      </w:tblGrid>
      <w:tr w:rsidR="005A5FCC" w14:paraId="2885ED4A" w14:textId="77777777">
        <w:trPr>
          <w:tblHeader/>
          <w:jc w:val="center"/>
        </w:trPr>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16FF8EF6" w14:textId="77777777" w:rsidR="005A5FCC" w:rsidRDefault="00A21C81">
            <w:pPr>
              <w:spacing w:before="40" w:after="40" w:line="240" w:lineRule="auto"/>
              <w:jc w:val="center"/>
            </w:pPr>
            <w:r>
              <w:rPr>
                <w:rFonts w:cs="EB Garamond"/>
                <w:b/>
                <w:color w:val="2F2923"/>
                <w:kern w:val="16"/>
                <w:sz w:val="18"/>
                <w14:ligatures w14:val="standardContextual"/>
              </w:rPr>
              <w:t>Plano</w:t>
            </w:r>
          </w:p>
        </w:tc>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651C2B90" w14:textId="77777777" w:rsidR="005A5FCC" w:rsidRDefault="00A21C81">
            <w:pPr>
              <w:spacing w:before="40" w:after="40" w:line="240" w:lineRule="auto"/>
              <w:jc w:val="center"/>
            </w:pPr>
            <w:r>
              <w:rPr>
                <w:rFonts w:cs="EB Garamond"/>
                <w:b/>
                <w:color w:val="2F2923"/>
                <w:kern w:val="16"/>
                <w:sz w:val="18"/>
                <w14:ligatures w14:val="standardContextual"/>
              </w:rPr>
              <w:t>Base</w:t>
            </w:r>
          </w:p>
        </w:tc>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04C015FF" w14:textId="77777777" w:rsidR="005A5FCC" w:rsidRDefault="00A21C81">
            <w:pPr>
              <w:spacing w:before="40" w:after="40" w:line="240" w:lineRule="auto"/>
              <w:jc w:val="center"/>
            </w:pPr>
            <w:r>
              <w:rPr>
                <w:rFonts w:cs="EB Garamond"/>
                <w:b/>
                <w:color w:val="2F2923"/>
                <w:kern w:val="16"/>
                <w:sz w:val="18"/>
                <w14:ligatures w14:val="standardContextual"/>
              </w:rPr>
              <w:t>Alíquota</w:t>
            </w:r>
          </w:p>
        </w:tc>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58189394" w14:textId="77777777" w:rsidR="005A5FCC" w:rsidRDefault="00A21C81">
            <w:pPr>
              <w:spacing w:before="40" w:after="40" w:line="240" w:lineRule="auto"/>
              <w:jc w:val="center"/>
            </w:pPr>
            <w:r>
              <w:rPr>
                <w:rFonts w:cs="EB Garamond"/>
                <w:b/>
                <w:color w:val="2F2923"/>
                <w:kern w:val="16"/>
                <w:sz w:val="18"/>
                <w14:ligatures w14:val="standardContextual"/>
              </w:rPr>
              <w:t>Valor (2026)</w:t>
            </w:r>
          </w:p>
        </w:tc>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41E27A98" w14:textId="77777777" w:rsidR="005A5FCC" w:rsidRDefault="00A21C81">
            <w:pPr>
              <w:spacing w:before="40" w:after="40" w:line="240" w:lineRule="auto"/>
              <w:jc w:val="center"/>
            </w:pPr>
            <w:r>
              <w:rPr>
                <w:rFonts w:cs="EB Garamond"/>
                <w:b/>
                <w:color w:val="2F2923"/>
                <w:kern w:val="16"/>
                <w:sz w:val="18"/>
                <w14:ligatures w14:val="standardContextual"/>
              </w:rPr>
              <w:t>Aposentadoria por TC?</w:t>
            </w:r>
          </w:p>
        </w:tc>
      </w:tr>
      <w:tr w:rsidR="005A5FCC" w14:paraId="2BF128E5"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34ED0215" w14:textId="77777777" w:rsidR="005A5FCC" w:rsidRDefault="00A21C81">
            <w:pPr>
              <w:spacing w:before="20" w:after="20" w:line="240" w:lineRule="auto"/>
              <w:jc w:val="left"/>
            </w:pPr>
            <w:r>
              <w:rPr>
                <w:rFonts w:cs="EB Garamond"/>
                <w:kern w:val="16"/>
                <w:sz w:val="18"/>
                <w14:ligatures w14:val="standardContextual"/>
              </w:rPr>
              <w:t>Normal</w:t>
            </w:r>
          </w:p>
        </w:tc>
        <w:tc>
          <w:tcPr>
            <w:tcW w:w="1270" w:type="dxa"/>
            <w:tcBorders>
              <w:top w:val="single" w:sz="4" w:space="0" w:color="D2C9B8"/>
              <w:left w:val="single" w:sz="4" w:space="0" w:color="D2C9B8"/>
              <w:bottom w:val="single" w:sz="4" w:space="0" w:color="D2C9B8"/>
              <w:right w:val="single" w:sz="4" w:space="0" w:color="D2C9B8"/>
            </w:tcBorders>
          </w:tcPr>
          <w:p w14:paraId="03759D13" w14:textId="77777777" w:rsidR="005A5FCC" w:rsidRDefault="00A21C81">
            <w:pPr>
              <w:spacing w:before="20" w:after="20" w:line="240" w:lineRule="auto"/>
              <w:jc w:val="left"/>
            </w:pPr>
            <w:r>
              <w:rPr>
                <w:rFonts w:cs="EB Garamond"/>
                <w:kern w:val="16"/>
                <w:sz w:val="18"/>
                <w14:ligatures w14:val="standardContextual"/>
              </w:rPr>
              <w:t>Remuneração (SM a teto)</w:t>
            </w:r>
          </w:p>
        </w:tc>
        <w:tc>
          <w:tcPr>
            <w:tcW w:w="1270" w:type="dxa"/>
            <w:tcBorders>
              <w:top w:val="single" w:sz="4" w:space="0" w:color="D2C9B8"/>
              <w:left w:val="single" w:sz="4" w:space="0" w:color="D2C9B8"/>
              <w:bottom w:val="single" w:sz="4" w:space="0" w:color="D2C9B8"/>
              <w:right w:val="single" w:sz="4" w:space="0" w:color="D2C9B8"/>
            </w:tcBorders>
          </w:tcPr>
          <w:p w14:paraId="52179348" w14:textId="77777777" w:rsidR="005A5FCC" w:rsidRDefault="00A21C81">
            <w:pPr>
              <w:spacing w:before="20" w:after="20" w:line="240" w:lineRule="auto"/>
              <w:jc w:val="left"/>
            </w:pPr>
            <w:r>
              <w:rPr>
                <w:rFonts w:cs="EB Garamond"/>
                <w:kern w:val="16"/>
                <w:sz w:val="18"/>
                <w14:ligatures w14:val="standardContextual"/>
              </w:rPr>
              <w:t>20%</w:t>
            </w:r>
          </w:p>
        </w:tc>
        <w:tc>
          <w:tcPr>
            <w:tcW w:w="1270" w:type="dxa"/>
            <w:tcBorders>
              <w:top w:val="single" w:sz="4" w:space="0" w:color="D2C9B8"/>
              <w:left w:val="single" w:sz="4" w:space="0" w:color="D2C9B8"/>
              <w:bottom w:val="single" w:sz="4" w:space="0" w:color="D2C9B8"/>
              <w:right w:val="single" w:sz="4" w:space="0" w:color="D2C9B8"/>
            </w:tcBorders>
          </w:tcPr>
          <w:p w14:paraId="6D79FF87" w14:textId="77777777" w:rsidR="005A5FCC" w:rsidRDefault="00A21C81">
            <w:pPr>
              <w:spacing w:before="20" w:after="20" w:line="240" w:lineRule="auto"/>
              <w:jc w:val="left"/>
            </w:pPr>
            <w:r>
              <w:rPr>
                <w:rFonts w:cs="EB Garamond"/>
                <w:kern w:val="16"/>
                <w:sz w:val="18"/>
                <w14:ligatures w14:val="standardContextual"/>
              </w:rPr>
              <w:t>R$ 324,20 a R$ 1.695,11</w:t>
            </w:r>
          </w:p>
        </w:tc>
        <w:tc>
          <w:tcPr>
            <w:tcW w:w="1270" w:type="dxa"/>
            <w:tcBorders>
              <w:top w:val="single" w:sz="4" w:space="0" w:color="D2C9B8"/>
              <w:left w:val="single" w:sz="4" w:space="0" w:color="D2C9B8"/>
              <w:bottom w:val="single" w:sz="4" w:space="0" w:color="D2C9B8"/>
              <w:right w:val="single" w:sz="4" w:space="0" w:color="D2C9B8"/>
            </w:tcBorders>
          </w:tcPr>
          <w:p w14:paraId="7C4CDE18" w14:textId="77777777" w:rsidR="005A5FCC" w:rsidRDefault="00A21C81">
            <w:pPr>
              <w:spacing w:before="20" w:after="20" w:line="240" w:lineRule="auto"/>
              <w:jc w:val="left"/>
            </w:pPr>
            <w:r>
              <w:rPr>
                <w:rFonts w:cs="EB Garamond"/>
                <w:kern w:val="16"/>
                <w:sz w:val="18"/>
                <w14:ligatures w14:val="standardContextual"/>
              </w:rPr>
              <w:t>Sim</w:t>
            </w:r>
          </w:p>
        </w:tc>
      </w:tr>
      <w:tr w:rsidR="005A5FCC" w14:paraId="28AF82CA"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5DBA9B80" w14:textId="77777777" w:rsidR="005A5FCC" w:rsidRDefault="00A21C81">
            <w:pPr>
              <w:spacing w:before="20" w:after="20" w:line="240" w:lineRule="auto"/>
              <w:jc w:val="left"/>
            </w:pPr>
            <w:r>
              <w:rPr>
                <w:rFonts w:cs="EB Garamond"/>
                <w:kern w:val="16"/>
                <w:sz w:val="18"/>
                <w14:ligatures w14:val="standardContextual"/>
              </w:rPr>
              <w:t>Simplificado</w:t>
            </w:r>
          </w:p>
        </w:tc>
        <w:tc>
          <w:tcPr>
            <w:tcW w:w="1270" w:type="dxa"/>
            <w:tcBorders>
              <w:top w:val="single" w:sz="4" w:space="0" w:color="D2C9B8"/>
              <w:left w:val="single" w:sz="4" w:space="0" w:color="D2C9B8"/>
              <w:bottom w:val="single" w:sz="4" w:space="0" w:color="D2C9B8"/>
              <w:right w:val="single" w:sz="4" w:space="0" w:color="D2C9B8"/>
            </w:tcBorders>
          </w:tcPr>
          <w:p w14:paraId="5AEC742F" w14:textId="77777777" w:rsidR="005A5FCC" w:rsidRDefault="00A21C81">
            <w:pPr>
              <w:spacing w:before="20" w:after="20" w:line="240" w:lineRule="auto"/>
              <w:jc w:val="left"/>
            </w:pPr>
            <w:r>
              <w:rPr>
                <w:rFonts w:cs="EB Garamond"/>
                <w:kern w:val="16"/>
                <w:sz w:val="18"/>
                <w14:ligatures w14:val="standardContextual"/>
              </w:rPr>
              <w:t>1 SM</w:t>
            </w:r>
          </w:p>
        </w:tc>
        <w:tc>
          <w:tcPr>
            <w:tcW w:w="1270" w:type="dxa"/>
            <w:tcBorders>
              <w:top w:val="single" w:sz="4" w:space="0" w:color="D2C9B8"/>
              <w:left w:val="single" w:sz="4" w:space="0" w:color="D2C9B8"/>
              <w:bottom w:val="single" w:sz="4" w:space="0" w:color="D2C9B8"/>
              <w:right w:val="single" w:sz="4" w:space="0" w:color="D2C9B8"/>
            </w:tcBorders>
          </w:tcPr>
          <w:p w14:paraId="3C32247D" w14:textId="77777777" w:rsidR="005A5FCC" w:rsidRDefault="00A21C81">
            <w:pPr>
              <w:spacing w:before="20" w:after="20" w:line="240" w:lineRule="auto"/>
              <w:jc w:val="left"/>
            </w:pPr>
            <w:r>
              <w:rPr>
                <w:rFonts w:cs="EB Garamond"/>
                <w:kern w:val="16"/>
                <w:sz w:val="18"/>
                <w14:ligatures w14:val="standardContextual"/>
              </w:rPr>
              <w:t>11%</w:t>
            </w:r>
          </w:p>
        </w:tc>
        <w:tc>
          <w:tcPr>
            <w:tcW w:w="1270" w:type="dxa"/>
            <w:tcBorders>
              <w:top w:val="single" w:sz="4" w:space="0" w:color="D2C9B8"/>
              <w:left w:val="single" w:sz="4" w:space="0" w:color="D2C9B8"/>
              <w:bottom w:val="single" w:sz="4" w:space="0" w:color="D2C9B8"/>
              <w:right w:val="single" w:sz="4" w:space="0" w:color="D2C9B8"/>
            </w:tcBorders>
          </w:tcPr>
          <w:p w14:paraId="6AAE9B16" w14:textId="77777777" w:rsidR="005A5FCC" w:rsidRDefault="00A21C81">
            <w:pPr>
              <w:spacing w:before="20" w:after="20" w:line="240" w:lineRule="auto"/>
              <w:jc w:val="left"/>
            </w:pPr>
            <w:r>
              <w:rPr>
                <w:rFonts w:cs="EB Garamond"/>
                <w:kern w:val="16"/>
                <w:sz w:val="18"/>
                <w14:ligatures w14:val="standardContextual"/>
              </w:rPr>
              <w:t>R$ 178,31</w:t>
            </w:r>
          </w:p>
        </w:tc>
        <w:tc>
          <w:tcPr>
            <w:tcW w:w="1270" w:type="dxa"/>
            <w:tcBorders>
              <w:top w:val="single" w:sz="4" w:space="0" w:color="D2C9B8"/>
              <w:left w:val="single" w:sz="4" w:space="0" w:color="D2C9B8"/>
              <w:bottom w:val="single" w:sz="4" w:space="0" w:color="D2C9B8"/>
              <w:right w:val="single" w:sz="4" w:space="0" w:color="D2C9B8"/>
            </w:tcBorders>
          </w:tcPr>
          <w:p w14:paraId="4780865D" w14:textId="77777777" w:rsidR="005A5FCC" w:rsidRDefault="00A21C81">
            <w:pPr>
              <w:spacing w:before="20" w:after="20" w:line="240" w:lineRule="auto"/>
              <w:jc w:val="left"/>
            </w:pPr>
            <w:r>
              <w:rPr>
                <w:rFonts w:cs="EB Garamond"/>
                <w:kern w:val="16"/>
                <w:sz w:val="18"/>
                <w14:ligatures w14:val="standardContextual"/>
              </w:rPr>
              <w:t>Não</w:t>
            </w:r>
          </w:p>
        </w:tc>
      </w:tr>
      <w:tr w:rsidR="005A5FCC" w14:paraId="05F42E4B"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70395386" w14:textId="77777777" w:rsidR="005A5FCC" w:rsidRDefault="00A21C81">
            <w:pPr>
              <w:spacing w:before="20" w:after="20" w:line="240" w:lineRule="auto"/>
              <w:jc w:val="left"/>
            </w:pPr>
            <w:r>
              <w:rPr>
                <w:rFonts w:cs="EB Garamond"/>
                <w:kern w:val="16"/>
                <w:sz w:val="18"/>
                <w14:ligatures w14:val="standardContextual"/>
              </w:rPr>
              <w:lastRenderedPageBreak/>
              <w:t>Com retenção</w:t>
            </w:r>
          </w:p>
        </w:tc>
        <w:tc>
          <w:tcPr>
            <w:tcW w:w="1270" w:type="dxa"/>
            <w:tcBorders>
              <w:top w:val="single" w:sz="4" w:space="0" w:color="D2C9B8"/>
              <w:left w:val="single" w:sz="4" w:space="0" w:color="D2C9B8"/>
              <w:bottom w:val="single" w:sz="4" w:space="0" w:color="D2C9B8"/>
              <w:right w:val="single" w:sz="4" w:space="0" w:color="D2C9B8"/>
            </w:tcBorders>
          </w:tcPr>
          <w:p w14:paraId="62463B35" w14:textId="77777777" w:rsidR="005A5FCC" w:rsidRDefault="00A21C81">
            <w:pPr>
              <w:spacing w:before="20" w:after="20" w:line="240" w:lineRule="auto"/>
              <w:jc w:val="left"/>
            </w:pPr>
            <w:r>
              <w:rPr>
                <w:rFonts w:cs="EB Garamond"/>
                <w:kern w:val="16"/>
                <w:sz w:val="18"/>
                <w14:ligatures w14:val="standardContextual"/>
              </w:rPr>
              <w:t>Remuneração até teto</w:t>
            </w:r>
          </w:p>
        </w:tc>
        <w:tc>
          <w:tcPr>
            <w:tcW w:w="1270" w:type="dxa"/>
            <w:tcBorders>
              <w:top w:val="single" w:sz="4" w:space="0" w:color="D2C9B8"/>
              <w:left w:val="single" w:sz="4" w:space="0" w:color="D2C9B8"/>
              <w:bottom w:val="single" w:sz="4" w:space="0" w:color="D2C9B8"/>
              <w:right w:val="single" w:sz="4" w:space="0" w:color="D2C9B8"/>
            </w:tcBorders>
          </w:tcPr>
          <w:p w14:paraId="3B5A4016" w14:textId="77777777" w:rsidR="005A5FCC" w:rsidRDefault="00A21C81">
            <w:pPr>
              <w:spacing w:before="20" w:after="20" w:line="240" w:lineRule="auto"/>
              <w:jc w:val="left"/>
            </w:pPr>
            <w:r>
              <w:rPr>
                <w:rFonts w:cs="EB Garamond"/>
                <w:kern w:val="16"/>
                <w:sz w:val="18"/>
                <w14:ligatures w14:val="standardContextual"/>
              </w:rPr>
              <w:t>11% (empresa) + 9% (CI)</w:t>
            </w:r>
          </w:p>
        </w:tc>
        <w:tc>
          <w:tcPr>
            <w:tcW w:w="1270" w:type="dxa"/>
            <w:tcBorders>
              <w:top w:val="single" w:sz="4" w:space="0" w:color="D2C9B8"/>
              <w:left w:val="single" w:sz="4" w:space="0" w:color="D2C9B8"/>
              <w:bottom w:val="single" w:sz="4" w:space="0" w:color="D2C9B8"/>
              <w:right w:val="single" w:sz="4" w:space="0" w:color="D2C9B8"/>
            </w:tcBorders>
          </w:tcPr>
          <w:p w14:paraId="1059720C" w14:textId="77777777" w:rsidR="005A5FCC" w:rsidRDefault="00A21C81">
            <w:pPr>
              <w:spacing w:before="20" w:after="20" w:line="240" w:lineRule="auto"/>
              <w:jc w:val="left"/>
            </w:pPr>
            <w:r>
              <w:rPr>
                <w:rFonts w:cs="EB Garamond"/>
                <w:kern w:val="16"/>
                <w:sz w:val="18"/>
                <w14:ligatures w14:val="standardContextual"/>
              </w:rPr>
              <w:t>Variável</w:t>
            </w:r>
          </w:p>
        </w:tc>
        <w:tc>
          <w:tcPr>
            <w:tcW w:w="1270" w:type="dxa"/>
            <w:tcBorders>
              <w:top w:val="single" w:sz="4" w:space="0" w:color="D2C9B8"/>
              <w:left w:val="single" w:sz="4" w:space="0" w:color="D2C9B8"/>
              <w:bottom w:val="single" w:sz="4" w:space="0" w:color="D2C9B8"/>
              <w:right w:val="single" w:sz="4" w:space="0" w:color="D2C9B8"/>
            </w:tcBorders>
          </w:tcPr>
          <w:p w14:paraId="5278F8F8" w14:textId="77777777" w:rsidR="005A5FCC" w:rsidRDefault="00A21C81">
            <w:pPr>
              <w:spacing w:before="20" w:after="20" w:line="240" w:lineRule="auto"/>
              <w:jc w:val="left"/>
            </w:pPr>
            <w:r>
              <w:rPr>
                <w:rFonts w:cs="EB Garamond"/>
                <w:kern w:val="16"/>
                <w:sz w:val="18"/>
                <w14:ligatures w14:val="standardContextual"/>
              </w:rPr>
              <w:t>Sim</w:t>
            </w:r>
          </w:p>
        </w:tc>
      </w:tr>
    </w:tbl>
    <w:p w14:paraId="03A0B1D1" w14:textId="77777777" w:rsidR="005A5FCC" w:rsidRDefault="005A5FCC">
      <w:pPr>
        <w:spacing w:after="80" w:line="240" w:lineRule="auto"/>
      </w:pPr>
    </w:p>
    <w:p w14:paraId="46D245BD"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4.6 Retenção de 11% sobre o CI e cessão de mão de obra</w:t>
      </w:r>
    </w:p>
    <w:p w14:paraId="0BCA40F3" w14:textId="77777777" w:rsidR="005A5FCC" w:rsidRDefault="00A21C81">
      <w:pPr>
        <w:spacing w:before="260" w:after="80" w:line="240" w:lineRule="auto"/>
        <w:jc w:val="left"/>
      </w:pPr>
      <w:r>
        <w:rPr>
          <w:rFonts w:cs="EB Garamond"/>
          <w:b/>
          <w:color w:val="3A3128"/>
          <w:kern w:val="16"/>
          <w:sz w:val="25"/>
          <w14:ligatures w14:val="standardContextual"/>
        </w:rPr>
        <w:t>4.6.1 Mecanismo da retenção obrigatória</w:t>
      </w:r>
    </w:p>
    <w:p w14:paraId="692A6338"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1A2D5D59" w14:textId="23B63FD5" w:rsidR="005A5FCC" w:rsidRDefault="00A21C81">
      <w:r>
        <w:rPr>
          <w:rFonts w:cs="EB Garamond"/>
          <w:kern w:val="16"/>
          <w14:ligatures w14:val="standardContextual"/>
        </w:rPr>
        <w:t xml:space="preserve"> empresa que contrata serviços de contribuinte individual é obrigada a reter 11% da remuneração paga, a título de contribuição previdenciária do CI (art. 4º, Lei 10.666/2003, c/c art. 216, § 26, Decreto 3.048/99). Essa retenção tem a natureza de antecipação</w:t>
      </w:r>
      <w:r w:rsidR="00737540">
        <w:rPr>
          <w:rFonts w:cs="EB Garamond"/>
          <w:kern w:val="16"/>
          <w14:ligatures w14:val="standardContextual"/>
        </w:rPr>
        <w:t>. O</w:t>
      </w:r>
      <w:r>
        <w:rPr>
          <w:rFonts w:cs="EB Garamond"/>
          <w:kern w:val="16"/>
          <w14:ligatures w14:val="standardContextual"/>
        </w:rPr>
        <w:t xml:space="preserve"> CI que contribui pela alíquota de 20% deve recolher por GPS apenas a diferença de 9% sobre a mesma base. Se o CI presta serviço a diversas empresas no mesmo mês, a soma das retenções será abatida do total devido.</w:t>
      </w:r>
    </w:p>
    <w:p w14:paraId="5962D86D" w14:textId="77777777" w:rsidR="005A5FCC" w:rsidRDefault="00A21C81">
      <w:pPr>
        <w:ind w:firstLine="238"/>
      </w:pPr>
      <w:r>
        <w:rPr>
          <w:rFonts w:cs="EB Garamond"/>
          <w:kern w:val="16"/>
          <w14:ligatures w14:val="standardContextual"/>
        </w:rPr>
        <w:t>O mecanismo de retenção transfere a responsabilidade operacional do recolhimento para a empresa, reduzindo a inadimplência. O CI que presta serviço exclusivamente a empresas pode sequer precisar recolher GPS própria, desde que as retenções de 11% atinjam o valor devido.</w:t>
      </w:r>
    </w:p>
    <w:tbl>
      <w:tblPr>
        <w:tblW w:w="5000" w:type="pct"/>
        <w:jc w:val="center"/>
        <w:tblLayout w:type="fixed"/>
        <w:tblLook w:val="04A0" w:firstRow="1" w:lastRow="0" w:firstColumn="1" w:lastColumn="0" w:noHBand="0" w:noVBand="1"/>
      </w:tblPr>
      <w:tblGrid>
        <w:gridCol w:w="6311"/>
      </w:tblGrid>
      <w:tr w:rsidR="005A5FCC" w14:paraId="3A33E27E"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4015B72C"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1C20EA34" w14:textId="77777777" w:rsidR="005A5FCC" w:rsidRDefault="00A21C81">
            <w:pPr>
              <w:spacing w:after="60" w:line="247" w:lineRule="auto"/>
            </w:pPr>
            <w:r>
              <w:rPr>
                <w:rFonts w:cs="EB Garamond"/>
                <w:b/>
                <w:kern w:val="16"/>
                <w:sz w:val="19"/>
                <w14:ligatures w14:val="standardContextual"/>
              </w:rPr>
              <w:t>Exemplo — CI com múltiplas fontes pagadoras:</w:t>
            </w:r>
          </w:p>
          <w:p w14:paraId="35C590DA" w14:textId="77777777" w:rsidR="005A5FCC" w:rsidRDefault="00A21C81">
            <w:pPr>
              <w:spacing w:after="60" w:line="247" w:lineRule="auto"/>
            </w:pPr>
            <w:r>
              <w:rPr>
                <w:rFonts w:cs="EB Garamond"/>
                <w:kern w:val="16"/>
                <w:sz w:val="19"/>
                <w14:ligatures w14:val="standardContextual"/>
              </w:rPr>
              <w:t>Dra. Carla, médica, presta serviço como CI a três hospitais em janeiro/2026: - Hospital A: remuneração R$ 4.000,00 → retenção 11% = R$ 440,00 - Hospital B: remuneração R$ 3.500,00 → retenção 11% = R$ 385,00 - Hospital C: remuneração R$ 2.500,00 → retenção 11% = R$ 275,00</w:t>
            </w:r>
          </w:p>
          <w:p w14:paraId="7752CB5E" w14:textId="77777777" w:rsidR="005A5FCC" w:rsidRDefault="00A21C81">
            <w:pPr>
              <w:spacing w:after="60" w:line="247" w:lineRule="auto"/>
            </w:pPr>
            <w:r>
              <w:rPr>
                <w:rFonts w:cs="EB Garamond"/>
                <w:kern w:val="16"/>
                <w:sz w:val="19"/>
                <w14:ligatures w14:val="standardContextual"/>
              </w:rPr>
              <w:t>Total da remuneração: R$ 10.000,00 (acima do teto de R$ 8.475,55) Total retido: R$ 1.100,00</w:t>
            </w:r>
          </w:p>
          <w:p w14:paraId="3E50BCA0" w14:textId="77777777" w:rsidR="005A5FCC" w:rsidRDefault="00A21C81">
            <w:pPr>
              <w:spacing w:after="60" w:line="247" w:lineRule="auto"/>
            </w:pPr>
            <w:r>
              <w:rPr>
                <w:rFonts w:cs="EB Garamond"/>
                <w:kern w:val="16"/>
                <w:sz w:val="19"/>
                <w14:ligatures w14:val="standardContextual"/>
              </w:rPr>
              <w:t>Contribuição devida: 20% sobre o teto = R$ 1.695,11 Total retido: R$ 1.100,00 Diferença a recolher por GPS (código 1007): R$ 595,11</w:t>
            </w:r>
          </w:p>
          <w:p w14:paraId="3A611A1F" w14:textId="77777777" w:rsidR="005A5FCC" w:rsidRDefault="00A21C81">
            <w:pPr>
              <w:spacing w:after="60" w:line="247" w:lineRule="auto"/>
            </w:pPr>
            <w:r>
              <w:rPr>
                <w:rFonts w:cs="EB Garamond"/>
                <w:b/>
                <w:kern w:val="16"/>
                <w:sz w:val="19"/>
                <w14:ligatures w14:val="standardContextual"/>
              </w:rPr>
              <w:t>Observação:</w:t>
            </w:r>
            <w:r>
              <w:rPr>
                <w:rFonts w:cs="EB Garamond"/>
                <w:kern w:val="16"/>
                <w:sz w:val="19"/>
                <w14:ligatures w14:val="standardContextual"/>
              </w:rPr>
              <w:t xml:space="preserve"> O CI deve acompanhar mensalmente as retenções para verificar se atingem o limite do teto. Quando a soma das remunerações ultrapassa o teto, o CI deve informar à empresa pagadora para que a retenção seja cessada ou reduzida a partir do limite. Na prática, essa comunicação raramente ocorre e o CI pode ter retenção a maior — situação que gera direito à restituição (seção 4.20).</w:t>
            </w:r>
          </w:p>
        </w:tc>
      </w:tr>
    </w:tbl>
    <w:p w14:paraId="7384BD55" w14:textId="77777777" w:rsidR="005A5FCC" w:rsidRDefault="005A5FCC">
      <w:pPr>
        <w:spacing w:after="80" w:line="240" w:lineRule="auto"/>
      </w:pPr>
    </w:p>
    <w:p w14:paraId="4660639C" w14:textId="77777777" w:rsidR="005A5FCC" w:rsidRDefault="00A21C81">
      <w:pPr>
        <w:spacing w:before="260" w:after="80" w:line="240" w:lineRule="auto"/>
        <w:jc w:val="left"/>
      </w:pPr>
      <w:r>
        <w:rPr>
          <w:rFonts w:cs="EB Garamond"/>
          <w:b/>
          <w:color w:val="3A3128"/>
          <w:kern w:val="16"/>
          <w:sz w:val="25"/>
          <w14:ligatures w14:val="standardContextual"/>
        </w:rPr>
        <w:t>4.6.2 Retenção de 11% na cessão de mão de obra (art. 31, lei 8.212/91)</w:t>
      </w:r>
    </w:p>
    <w:p w14:paraId="7ADA29B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1E7F4DB7" w14:textId="77777777" w:rsidR="005A5FCC" w:rsidRDefault="00A21C81">
      <w:r>
        <w:rPr>
          <w:rFonts w:cs="EB Garamond"/>
          <w:kern w:val="16"/>
          <w14:ligatures w14:val="standardContextual"/>
        </w:rPr>
        <w:t xml:space="preserve"> cessão de mão de obra é instituto distinto da contratação individual de CI. Quando uma empresa (cedente) coloca trabalhadores à disposição de outra empresa (contratante) para executar serviços contínuos, mediante cessão de mão de obra ou empreitada, a contratante é obrigada a reter 11% do valor bruto da nota fiscal ou fatura de prestação de serviços (art. 31 da Lei 8.212/91, com redação dada pela Lei 9.711/98).</w:t>
      </w:r>
    </w:p>
    <w:p w14:paraId="14D51F41" w14:textId="77777777" w:rsidR="005A5FCC" w:rsidRDefault="00A21C81">
      <w:pPr>
        <w:ind w:firstLine="238"/>
      </w:pPr>
      <w:r>
        <w:rPr>
          <w:rFonts w:cs="EB Garamond"/>
          <w:kern w:val="16"/>
          <w14:ligatures w14:val="standardContextual"/>
        </w:rPr>
        <w:t>Essa retenção incide sobre o valor total dos serviços, não sobre a remuneração individual dos trabalhadores. A empresa cedente (prestadora de serviço) compensa o valor retido com as contribuições previdenciárias devidas sobre sua folha de pagamento.</w:t>
      </w:r>
    </w:p>
    <w:p w14:paraId="4F1CB5D0" w14:textId="77777777" w:rsidR="005A5FCC" w:rsidRDefault="00A21C81">
      <w:pPr>
        <w:ind w:firstLine="238"/>
      </w:pPr>
      <w:r>
        <w:rPr>
          <w:rFonts w:cs="EB Garamond"/>
          <w:kern w:val="16"/>
          <w14:ligatures w14:val="standardContextual"/>
        </w:rPr>
        <w:t>Os serviços sujeitos à retenção do art. 31 estão listados no art. 117 da IN RFB 2.110/2022 e incluem, entre outros:</w:t>
      </w:r>
    </w:p>
    <w:p w14:paraId="1B77C50E"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Limpeza, conservação e zeladoria</w:t>
      </w:r>
    </w:p>
    <w:p w14:paraId="5CCF716B" w14:textId="77777777" w:rsidR="005A5FCC" w:rsidRDefault="00A21C81">
      <w:pPr>
        <w:spacing w:after="40" w:line="252" w:lineRule="auto"/>
        <w:ind w:left="340" w:hanging="198"/>
      </w:pPr>
      <w:r>
        <w:rPr>
          <w:rFonts w:cs="EB Garamond"/>
          <w:color w:val="3A3128"/>
          <w:kern w:val="16"/>
          <w:sz w:val="20"/>
          <w14:ligatures w14:val="standardContextual"/>
        </w:rPr>
        <w:lastRenderedPageBreak/>
        <w:t xml:space="preserve">• </w:t>
      </w:r>
      <w:r>
        <w:rPr>
          <w:rFonts w:cs="EB Garamond"/>
          <w:kern w:val="16"/>
          <w:sz w:val="20"/>
          <w14:ligatures w14:val="standardContextual"/>
        </w:rPr>
        <w:t>Vigilância e segurança</w:t>
      </w:r>
    </w:p>
    <w:p w14:paraId="1D3EECB7"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Construção civil (empreitada de mão de obra)</w:t>
      </w:r>
    </w:p>
    <w:p w14:paraId="120BEFF7"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Manutenção de instalações e equipamentos</w:t>
      </w:r>
    </w:p>
    <w:p w14:paraId="6F019525"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Transporte de valores e cargas</w:t>
      </w:r>
    </w:p>
    <w:p w14:paraId="2AC3920C"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Portaria, recepção e ascensorista</w:t>
      </w:r>
    </w:p>
    <w:p w14:paraId="2BC69587"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Serviços de informática (quando há cessão de pessoal)</w:t>
      </w:r>
    </w:p>
    <w:p w14:paraId="7C63143C" w14:textId="77777777" w:rsidR="005A5FCC" w:rsidRDefault="005A5FCC">
      <w:pPr>
        <w:spacing w:after="60" w:line="240" w:lineRule="auto"/>
      </w:pPr>
    </w:p>
    <w:tbl>
      <w:tblPr>
        <w:tblW w:w="5000" w:type="pct"/>
        <w:jc w:val="center"/>
        <w:tblLayout w:type="fixed"/>
        <w:tblLook w:val="04A0" w:firstRow="1" w:lastRow="0" w:firstColumn="1" w:lastColumn="0" w:noHBand="0" w:noVBand="1"/>
      </w:tblPr>
      <w:tblGrid>
        <w:gridCol w:w="6311"/>
      </w:tblGrid>
      <w:tr w:rsidR="005A5FCC" w14:paraId="36139067"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000C4AD8"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729FFC7C" w14:textId="77777777" w:rsidR="005A5FCC" w:rsidRDefault="00A21C81">
            <w:pPr>
              <w:spacing w:after="60" w:line="247" w:lineRule="auto"/>
            </w:pPr>
            <w:r>
              <w:rPr>
                <w:rFonts w:cs="EB Garamond"/>
                <w:b/>
                <w:kern w:val="16"/>
                <w:sz w:val="19"/>
                <w14:ligatures w14:val="standardContextual"/>
              </w:rPr>
              <w:t>Atenção — Retenção do art. 31 vs. Retenção do CI:</w:t>
            </w:r>
          </w:p>
          <w:p w14:paraId="7EA60DD7" w14:textId="77777777" w:rsidR="005A5FCC" w:rsidRDefault="00A21C81">
            <w:pPr>
              <w:spacing w:after="60" w:line="247" w:lineRule="auto"/>
            </w:pPr>
            <w:r>
              <w:rPr>
                <w:rFonts w:cs="EB Garamond"/>
                <w:kern w:val="16"/>
                <w:sz w:val="19"/>
                <w14:ligatures w14:val="standardContextual"/>
              </w:rPr>
              <w:t>São institutos distintos com regimes jurídicos diferentes:</w:t>
            </w:r>
          </w:p>
          <w:tbl>
            <w:tblPr>
              <w:tblW w:w="5000" w:type="pct"/>
              <w:jc w:val="center"/>
              <w:tblLook w:val="04A0" w:firstRow="1" w:lastRow="0" w:firstColumn="1" w:lastColumn="0" w:noHBand="0" w:noVBand="1"/>
            </w:tblPr>
            <w:tblGrid>
              <w:gridCol w:w="1967"/>
              <w:gridCol w:w="1967"/>
              <w:gridCol w:w="1967"/>
            </w:tblGrid>
            <w:tr w:rsidR="005A5FCC" w14:paraId="3DBC5EBA" w14:textId="77777777">
              <w:trPr>
                <w:tblHeader/>
                <w:jc w:val="center"/>
              </w:trPr>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436DF534" w14:textId="77777777" w:rsidR="005A5FCC" w:rsidRDefault="00A21C81">
                  <w:pPr>
                    <w:spacing w:before="30" w:after="30" w:line="240" w:lineRule="auto"/>
                    <w:jc w:val="center"/>
                  </w:pPr>
                  <w:r>
                    <w:rPr>
                      <w:rFonts w:cs="EB Garamond"/>
                      <w:b/>
                      <w:color w:val="2F2923"/>
                      <w:kern w:val="16"/>
                      <w:sz w:val="16"/>
                      <w14:ligatures w14:val="standardContextual"/>
                    </w:rPr>
                    <w:t>Aspecto</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6C64AEB8" w14:textId="77777777" w:rsidR="005A5FCC" w:rsidRDefault="00A21C81">
                  <w:pPr>
                    <w:spacing w:before="30" w:after="30" w:line="240" w:lineRule="auto"/>
                    <w:jc w:val="center"/>
                  </w:pPr>
                  <w:r>
                    <w:rPr>
                      <w:rFonts w:cs="EB Garamond"/>
                      <w:b/>
                      <w:color w:val="2F2923"/>
                      <w:kern w:val="16"/>
                      <w:sz w:val="16"/>
                      <w14:ligatures w14:val="standardContextual"/>
                    </w:rPr>
                    <w:t>Retenção CI (art. 216, §26, Dec. 3.048)</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6D8FB915" w14:textId="77777777" w:rsidR="005A5FCC" w:rsidRDefault="00A21C81">
                  <w:pPr>
                    <w:spacing w:before="30" w:after="30" w:line="240" w:lineRule="auto"/>
                    <w:jc w:val="center"/>
                  </w:pPr>
                  <w:r>
                    <w:rPr>
                      <w:rFonts w:cs="EB Garamond"/>
                      <w:b/>
                      <w:color w:val="2F2923"/>
                      <w:kern w:val="16"/>
                      <w:sz w:val="16"/>
                      <w14:ligatures w14:val="standardContextual"/>
                    </w:rPr>
                    <w:t>Retenção art. 31 (Lei 8.212/91)</w:t>
                  </w:r>
                </w:p>
              </w:tc>
            </w:tr>
            <w:tr w:rsidR="005A5FCC" w14:paraId="68C3F8B9"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7E8AE866" w14:textId="77777777" w:rsidR="005A5FCC" w:rsidRDefault="00A21C81">
                  <w:pPr>
                    <w:spacing w:before="20" w:after="20" w:line="240" w:lineRule="auto"/>
                    <w:jc w:val="left"/>
                  </w:pPr>
                  <w:r>
                    <w:rPr>
                      <w:rFonts w:cs="EB Garamond"/>
                      <w:kern w:val="16"/>
                      <w:sz w:val="16"/>
                      <w14:ligatures w14:val="standardContextual"/>
                    </w:rPr>
                    <w:t>Incidência</w:t>
                  </w:r>
                </w:p>
              </w:tc>
              <w:tc>
                <w:tcPr>
                  <w:tcW w:w="2117" w:type="dxa"/>
                  <w:tcBorders>
                    <w:top w:val="single" w:sz="4" w:space="0" w:color="D2C9B8"/>
                    <w:left w:val="single" w:sz="4" w:space="0" w:color="D2C9B8"/>
                    <w:bottom w:val="single" w:sz="4" w:space="0" w:color="D2C9B8"/>
                    <w:right w:val="single" w:sz="4" w:space="0" w:color="D2C9B8"/>
                  </w:tcBorders>
                </w:tcPr>
                <w:p w14:paraId="3202814C" w14:textId="77777777" w:rsidR="005A5FCC" w:rsidRDefault="00A21C81">
                  <w:pPr>
                    <w:spacing w:before="20" w:after="20" w:line="240" w:lineRule="auto"/>
                    <w:jc w:val="left"/>
                  </w:pPr>
                  <w:r>
                    <w:rPr>
                      <w:rFonts w:cs="EB Garamond"/>
                      <w:kern w:val="16"/>
                      <w:sz w:val="16"/>
                      <w14:ligatures w14:val="standardContextual"/>
                    </w:rPr>
                    <w:t>Remuneração do CI pessoa física</w:t>
                  </w:r>
                </w:p>
              </w:tc>
              <w:tc>
                <w:tcPr>
                  <w:tcW w:w="2117" w:type="dxa"/>
                  <w:tcBorders>
                    <w:top w:val="single" w:sz="4" w:space="0" w:color="D2C9B8"/>
                    <w:left w:val="single" w:sz="4" w:space="0" w:color="D2C9B8"/>
                    <w:bottom w:val="single" w:sz="4" w:space="0" w:color="D2C9B8"/>
                    <w:right w:val="single" w:sz="4" w:space="0" w:color="D2C9B8"/>
                  </w:tcBorders>
                </w:tcPr>
                <w:p w14:paraId="25271E59" w14:textId="77777777" w:rsidR="005A5FCC" w:rsidRDefault="00A21C81">
                  <w:pPr>
                    <w:spacing w:before="20" w:after="20" w:line="240" w:lineRule="auto"/>
                    <w:jc w:val="left"/>
                  </w:pPr>
                  <w:r>
                    <w:rPr>
                      <w:rFonts w:cs="EB Garamond"/>
                      <w:kern w:val="16"/>
                      <w:sz w:val="16"/>
                      <w14:ligatures w14:val="standardContextual"/>
                    </w:rPr>
                    <w:t>Nota fiscal da empresa prestadora</w:t>
                  </w:r>
                </w:p>
              </w:tc>
            </w:tr>
            <w:tr w:rsidR="005A5FCC" w14:paraId="5BEB7CAE"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4129BA7B" w14:textId="77777777" w:rsidR="005A5FCC" w:rsidRDefault="00A21C81">
                  <w:pPr>
                    <w:spacing w:before="20" w:after="20" w:line="240" w:lineRule="auto"/>
                    <w:jc w:val="left"/>
                  </w:pPr>
                  <w:r>
                    <w:rPr>
                      <w:rFonts w:cs="EB Garamond"/>
                      <w:kern w:val="16"/>
                      <w:sz w:val="16"/>
                      <w14:ligatures w14:val="standardContextual"/>
                    </w:rPr>
                    <w:t>Natureza</w:t>
                  </w:r>
                </w:p>
              </w:tc>
              <w:tc>
                <w:tcPr>
                  <w:tcW w:w="2117" w:type="dxa"/>
                  <w:tcBorders>
                    <w:top w:val="single" w:sz="4" w:space="0" w:color="D2C9B8"/>
                    <w:left w:val="single" w:sz="4" w:space="0" w:color="D2C9B8"/>
                    <w:bottom w:val="single" w:sz="4" w:space="0" w:color="D2C9B8"/>
                    <w:right w:val="single" w:sz="4" w:space="0" w:color="D2C9B8"/>
                  </w:tcBorders>
                </w:tcPr>
                <w:p w14:paraId="78E3E263" w14:textId="77777777" w:rsidR="005A5FCC" w:rsidRDefault="00A21C81">
                  <w:pPr>
                    <w:spacing w:before="20" w:after="20" w:line="240" w:lineRule="auto"/>
                    <w:jc w:val="left"/>
                  </w:pPr>
                  <w:r>
                    <w:rPr>
                      <w:rFonts w:cs="EB Garamond"/>
                      <w:kern w:val="16"/>
                      <w:sz w:val="16"/>
                      <w14:ligatures w14:val="standardContextual"/>
                    </w:rPr>
                    <w:t>Contribuição do segurado CI</w:t>
                  </w:r>
                </w:p>
              </w:tc>
              <w:tc>
                <w:tcPr>
                  <w:tcW w:w="2117" w:type="dxa"/>
                  <w:tcBorders>
                    <w:top w:val="single" w:sz="4" w:space="0" w:color="D2C9B8"/>
                    <w:left w:val="single" w:sz="4" w:space="0" w:color="D2C9B8"/>
                    <w:bottom w:val="single" w:sz="4" w:space="0" w:color="D2C9B8"/>
                    <w:right w:val="single" w:sz="4" w:space="0" w:color="D2C9B8"/>
                  </w:tcBorders>
                </w:tcPr>
                <w:p w14:paraId="5970EAC5" w14:textId="77777777" w:rsidR="005A5FCC" w:rsidRDefault="00A21C81">
                  <w:pPr>
                    <w:spacing w:before="20" w:after="20" w:line="240" w:lineRule="auto"/>
                    <w:jc w:val="left"/>
                  </w:pPr>
                  <w:r>
                    <w:rPr>
                      <w:rFonts w:cs="EB Garamond"/>
                      <w:kern w:val="16"/>
                      <w:sz w:val="16"/>
                      <w14:ligatures w14:val="standardContextual"/>
                    </w:rPr>
                    <w:t>Sub-rogação da contribuição patronal</w:t>
                  </w:r>
                </w:p>
              </w:tc>
            </w:tr>
            <w:tr w:rsidR="005A5FCC" w14:paraId="6D64C6C9"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741AF560" w14:textId="77777777" w:rsidR="005A5FCC" w:rsidRDefault="00A21C81">
                  <w:pPr>
                    <w:spacing w:before="20" w:after="20" w:line="240" w:lineRule="auto"/>
                    <w:jc w:val="left"/>
                  </w:pPr>
                  <w:r>
                    <w:rPr>
                      <w:rFonts w:cs="EB Garamond"/>
                      <w:kern w:val="16"/>
                      <w:sz w:val="16"/>
                      <w14:ligatures w14:val="standardContextual"/>
                    </w:rPr>
                    <w:t>Alíquota</w:t>
                  </w:r>
                </w:p>
              </w:tc>
              <w:tc>
                <w:tcPr>
                  <w:tcW w:w="2117" w:type="dxa"/>
                  <w:tcBorders>
                    <w:top w:val="single" w:sz="4" w:space="0" w:color="D2C9B8"/>
                    <w:left w:val="single" w:sz="4" w:space="0" w:color="D2C9B8"/>
                    <w:bottom w:val="single" w:sz="4" w:space="0" w:color="D2C9B8"/>
                    <w:right w:val="single" w:sz="4" w:space="0" w:color="D2C9B8"/>
                  </w:tcBorders>
                </w:tcPr>
                <w:p w14:paraId="49445FBB" w14:textId="77777777" w:rsidR="005A5FCC" w:rsidRDefault="00A21C81">
                  <w:pPr>
                    <w:spacing w:before="20" w:after="20" w:line="240" w:lineRule="auto"/>
                    <w:jc w:val="left"/>
                  </w:pPr>
                  <w:r>
                    <w:rPr>
                      <w:rFonts w:cs="EB Garamond"/>
                      <w:kern w:val="16"/>
                      <w:sz w:val="16"/>
                      <w14:ligatures w14:val="standardContextual"/>
                    </w:rPr>
                    <w:t>11%</w:t>
                  </w:r>
                </w:p>
              </w:tc>
              <w:tc>
                <w:tcPr>
                  <w:tcW w:w="2117" w:type="dxa"/>
                  <w:tcBorders>
                    <w:top w:val="single" w:sz="4" w:space="0" w:color="D2C9B8"/>
                    <w:left w:val="single" w:sz="4" w:space="0" w:color="D2C9B8"/>
                    <w:bottom w:val="single" w:sz="4" w:space="0" w:color="D2C9B8"/>
                    <w:right w:val="single" w:sz="4" w:space="0" w:color="D2C9B8"/>
                  </w:tcBorders>
                </w:tcPr>
                <w:p w14:paraId="5F196C83" w14:textId="77777777" w:rsidR="005A5FCC" w:rsidRDefault="00A21C81">
                  <w:pPr>
                    <w:spacing w:before="20" w:after="20" w:line="240" w:lineRule="auto"/>
                    <w:jc w:val="left"/>
                  </w:pPr>
                  <w:r>
                    <w:rPr>
                      <w:rFonts w:cs="EB Garamond"/>
                      <w:kern w:val="16"/>
                      <w:sz w:val="16"/>
                      <w14:ligatures w14:val="standardContextual"/>
                    </w:rPr>
                    <w:t>11% (regra) ou 3,5% (desonerada)</w:t>
                  </w:r>
                </w:p>
              </w:tc>
            </w:tr>
            <w:tr w:rsidR="005A5FCC" w14:paraId="272E320A"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4E2B0E1F" w14:textId="77777777" w:rsidR="005A5FCC" w:rsidRDefault="00A21C81">
                  <w:pPr>
                    <w:spacing w:before="20" w:after="20" w:line="240" w:lineRule="auto"/>
                    <w:jc w:val="left"/>
                  </w:pPr>
                  <w:r>
                    <w:rPr>
                      <w:rFonts w:cs="EB Garamond"/>
                      <w:kern w:val="16"/>
                      <w:sz w:val="16"/>
                      <w14:ligatures w14:val="standardContextual"/>
                    </w:rPr>
                    <w:t>Quem retém</w:t>
                  </w:r>
                </w:p>
              </w:tc>
              <w:tc>
                <w:tcPr>
                  <w:tcW w:w="2117" w:type="dxa"/>
                  <w:tcBorders>
                    <w:top w:val="single" w:sz="4" w:space="0" w:color="D2C9B8"/>
                    <w:left w:val="single" w:sz="4" w:space="0" w:color="D2C9B8"/>
                    <w:bottom w:val="single" w:sz="4" w:space="0" w:color="D2C9B8"/>
                    <w:right w:val="single" w:sz="4" w:space="0" w:color="D2C9B8"/>
                  </w:tcBorders>
                </w:tcPr>
                <w:p w14:paraId="64C993E6" w14:textId="77777777" w:rsidR="005A5FCC" w:rsidRDefault="00A21C81">
                  <w:pPr>
                    <w:spacing w:before="20" w:after="20" w:line="240" w:lineRule="auto"/>
                    <w:jc w:val="left"/>
                  </w:pPr>
                  <w:r>
                    <w:rPr>
                      <w:rFonts w:cs="EB Garamond"/>
                      <w:kern w:val="16"/>
                      <w:sz w:val="16"/>
                      <w14:ligatures w14:val="standardContextual"/>
                    </w:rPr>
                    <w:t>Empresa tomadora</w:t>
                  </w:r>
                </w:p>
              </w:tc>
              <w:tc>
                <w:tcPr>
                  <w:tcW w:w="2117" w:type="dxa"/>
                  <w:tcBorders>
                    <w:top w:val="single" w:sz="4" w:space="0" w:color="D2C9B8"/>
                    <w:left w:val="single" w:sz="4" w:space="0" w:color="D2C9B8"/>
                    <w:bottom w:val="single" w:sz="4" w:space="0" w:color="D2C9B8"/>
                    <w:right w:val="single" w:sz="4" w:space="0" w:color="D2C9B8"/>
                  </w:tcBorders>
                </w:tcPr>
                <w:p w14:paraId="243BDA30" w14:textId="77777777" w:rsidR="005A5FCC" w:rsidRDefault="00A21C81">
                  <w:pPr>
                    <w:spacing w:before="20" w:after="20" w:line="240" w:lineRule="auto"/>
                    <w:jc w:val="left"/>
                  </w:pPr>
                  <w:r>
                    <w:rPr>
                      <w:rFonts w:cs="EB Garamond"/>
                      <w:kern w:val="16"/>
                      <w:sz w:val="16"/>
                      <w14:ligatures w14:val="standardContextual"/>
                    </w:rPr>
                    <w:t>Empresa contratante</w:t>
                  </w:r>
                </w:p>
              </w:tc>
            </w:tr>
            <w:tr w:rsidR="005A5FCC" w14:paraId="49DDB550"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324271DD" w14:textId="77777777" w:rsidR="005A5FCC" w:rsidRDefault="00A21C81">
                  <w:pPr>
                    <w:spacing w:before="20" w:after="20" w:line="240" w:lineRule="auto"/>
                    <w:jc w:val="left"/>
                  </w:pPr>
                  <w:r>
                    <w:rPr>
                      <w:rFonts w:cs="EB Garamond"/>
                      <w:kern w:val="16"/>
                      <w:sz w:val="16"/>
                      <w14:ligatures w14:val="standardContextual"/>
                    </w:rPr>
                    <w:t>Quem é beneficiado</w:t>
                  </w:r>
                </w:p>
              </w:tc>
              <w:tc>
                <w:tcPr>
                  <w:tcW w:w="2117" w:type="dxa"/>
                  <w:tcBorders>
                    <w:top w:val="single" w:sz="4" w:space="0" w:color="D2C9B8"/>
                    <w:left w:val="single" w:sz="4" w:space="0" w:color="D2C9B8"/>
                    <w:bottom w:val="single" w:sz="4" w:space="0" w:color="D2C9B8"/>
                    <w:right w:val="single" w:sz="4" w:space="0" w:color="D2C9B8"/>
                  </w:tcBorders>
                </w:tcPr>
                <w:p w14:paraId="3A170905" w14:textId="77777777" w:rsidR="005A5FCC" w:rsidRDefault="00A21C81">
                  <w:pPr>
                    <w:spacing w:before="20" w:after="20" w:line="240" w:lineRule="auto"/>
                    <w:jc w:val="left"/>
                  </w:pPr>
                  <w:r>
                    <w:rPr>
                      <w:rFonts w:cs="EB Garamond"/>
                      <w:kern w:val="16"/>
                      <w:sz w:val="16"/>
                      <w14:ligatures w14:val="standardContextual"/>
                    </w:rPr>
                    <w:t>O CI (deduz de sua contribuição)</w:t>
                  </w:r>
                </w:p>
              </w:tc>
              <w:tc>
                <w:tcPr>
                  <w:tcW w:w="2117" w:type="dxa"/>
                  <w:tcBorders>
                    <w:top w:val="single" w:sz="4" w:space="0" w:color="D2C9B8"/>
                    <w:left w:val="single" w:sz="4" w:space="0" w:color="D2C9B8"/>
                    <w:bottom w:val="single" w:sz="4" w:space="0" w:color="D2C9B8"/>
                    <w:right w:val="single" w:sz="4" w:space="0" w:color="D2C9B8"/>
                  </w:tcBorders>
                </w:tcPr>
                <w:p w14:paraId="20C1E793" w14:textId="77777777" w:rsidR="005A5FCC" w:rsidRDefault="00A21C81">
                  <w:pPr>
                    <w:spacing w:before="20" w:after="20" w:line="240" w:lineRule="auto"/>
                    <w:jc w:val="left"/>
                  </w:pPr>
                  <w:r>
                    <w:rPr>
                      <w:rFonts w:cs="EB Garamond"/>
                      <w:kern w:val="16"/>
                      <w:sz w:val="16"/>
                      <w14:ligatures w14:val="standardContextual"/>
                    </w:rPr>
                    <w:t>A empresa prestadora (compensa com folha)</w:t>
                  </w:r>
                </w:p>
              </w:tc>
            </w:tr>
          </w:tbl>
          <w:p w14:paraId="59819FC5" w14:textId="77777777" w:rsidR="005A5FCC" w:rsidRDefault="005A5FCC"/>
          <w:p w14:paraId="5CDB1D02" w14:textId="77777777" w:rsidR="005A5FCC" w:rsidRDefault="005A5FCC">
            <w:pPr>
              <w:spacing w:after="0" w:line="240" w:lineRule="auto"/>
            </w:pPr>
          </w:p>
          <w:p w14:paraId="5CF4CAC3" w14:textId="77777777" w:rsidR="005A5FCC" w:rsidRDefault="00A21C81">
            <w:pPr>
              <w:spacing w:after="60" w:line="247" w:lineRule="auto"/>
            </w:pPr>
            <w:r>
              <w:rPr>
                <w:rFonts w:cs="EB Garamond"/>
                <w:kern w:val="16"/>
                <w:sz w:val="19"/>
                <w14:ligatures w14:val="standardContextual"/>
              </w:rPr>
              <w:t>No JEF, a confusão entre os dois regimes pode gerar demandas equivocadas. O segurado (pessoa física) não é parte na relação de retenção do art. 31 — esta é relação entre empresas. Mas o segurado pode ser prejudicado se a empresa prestadora não repassar corretamente os valores ao CNIS.</w:t>
            </w:r>
          </w:p>
        </w:tc>
      </w:tr>
    </w:tbl>
    <w:p w14:paraId="27979909" w14:textId="77777777" w:rsidR="005A5FCC" w:rsidRDefault="005A5FCC">
      <w:pPr>
        <w:spacing w:after="80" w:line="240" w:lineRule="auto"/>
      </w:pPr>
    </w:p>
    <w:p w14:paraId="7DD6AB08" w14:textId="77777777" w:rsidR="005A5FCC" w:rsidRDefault="00A21C81">
      <w:pPr>
        <w:spacing w:before="260" w:after="80" w:line="240" w:lineRule="auto"/>
        <w:jc w:val="left"/>
      </w:pPr>
      <w:r>
        <w:rPr>
          <w:rFonts w:cs="EB Garamond"/>
          <w:b/>
          <w:color w:val="3A3128"/>
          <w:kern w:val="16"/>
          <w:sz w:val="25"/>
          <w14:ligatures w14:val="standardContextual"/>
        </w:rPr>
        <w:t>4.6.3 Retenção e prova no JEF</w:t>
      </w:r>
    </w:p>
    <w:p w14:paraId="2F6C5E0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N</w:t>
      </w:r>
    </w:p>
    <w:p w14:paraId="6B5FD96E" w14:textId="77777777" w:rsidR="005A5FCC" w:rsidRDefault="00A21C81">
      <w:r>
        <w:rPr>
          <w:rFonts w:cs="EB Garamond"/>
          <w:kern w:val="16"/>
          <w14:ligatures w14:val="standardContextual"/>
        </w:rPr>
        <w:t>os JEFs, a retenção sobre o CI gera dois tipos de demanda:</w:t>
      </w:r>
    </w:p>
    <w:p w14:paraId="57253537" w14:textId="77777777" w:rsidR="005A5FCC" w:rsidRDefault="00A21C81">
      <w:pPr>
        <w:ind w:firstLine="238"/>
      </w:pPr>
      <w:r>
        <w:rPr>
          <w:rFonts w:cs="EB Garamond"/>
          <w:kern w:val="16"/>
          <w14:ligatures w14:val="standardContextual"/>
        </w:rPr>
        <w:t xml:space="preserve">a) </w:t>
      </w:r>
      <w:r>
        <w:rPr>
          <w:rFonts w:cs="EB Garamond"/>
          <w:b/>
          <w:kern w:val="16"/>
          <w14:ligatures w14:val="standardContextual"/>
        </w:rPr>
        <w:t>CNIS com divergência por retenção não repassada:</w:t>
      </w:r>
      <w:r>
        <w:rPr>
          <w:rFonts w:cs="EB Garamond"/>
          <w:kern w:val="16"/>
          <w14:ligatures w14:val="standardContextual"/>
        </w:rPr>
        <w:t xml:space="preserve"> A empresa reteve 11% do CI mas não repassou ao INSS. O CI tem direito ao cômputo </w:t>
      </w:r>
      <w:r>
        <w:rPr>
          <w:rFonts w:cs="EB Garamond"/>
          <w:kern w:val="16"/>
          <w14:ligatures w14:val="standardContextual"/>
        </w:rPr>
        <w:lastRenderedPageBreak/>
        <w:t>do período porque a obrigação de recolher era da empresa (princípio da automaticidade). O segurado comprova a retenção com recibos de pagamento ou com a própria declaração de IR (que registra a retenção como "contribuição previdenciária").</w:t>
      </w:r>
    </w:p>
    <w:p w14:paraId="49775A51" w14:textId="77777777" w:rsidR="005A5FCC" w:rsidRDefault="00A21C81">
      <w:pPr>
        <w:ind w:firstLine="238"/>
      </w:pPr>
      <w:r>
        <w:rPr>
          <w:rFonts w:cs="EB Garamond"/>
          <w:kern w:val="16"/>
          <w14:ligatures w14:val="standardContextual"/>
        </w:rPr>
        <w:t xml:space="preserve">b) </w:t>
      </w:r>
      <w:r>
        <w:rPr>
          <w:rFonts w:cs="EB Garamond"/>
          <w:b/>
          <w:kern w:val="16"/>
          <w14:ligatures w14:val="standardContextual"/>
        </w:rPr>
        <w:t>Restituição de retenção a maior:</w:t>
      </w:r>
      <w:r>
        <w:rPr>
          <w:rFonts w:cs="EB Garamond"/>
          <w:kern w:val="16"/>
          <w14:ligatures w14:val="standardContextual"/>
        </w:rPr>
        <w:t xml:space="preserve"> O CI que teve retenção de 11% por diversas empresas, totalizando valor superior à contribuição devida (20% do teto), tem direito à restituição do excedente. O pedido é feito à RFB (PER/DCOMP), mas pode ser judicializado no JEF se houver negativa administrativa.</w:t>
      </w:r>
    </w:p>
    <w:p w14:paraId="02D0BF61"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4.7 MEI — microempreendedor individual</w:t>
      </w:r>
    </w:p>
    <w:p w14:paraId="1D4A9993" w14:textId="77777777" w:rsidR="005A5FCC" w:rsidRDefault="00A21C81">
      <w:pPr>
        <w:spacing w:before="260" w:after="80" w:line="240" w:lineRule="auto"/>
        <w:jc w:val="left"/>
      </w:pPr>
      <w:r>
        <w:rPr>
          <w:rFonts w:cs="EB Garamond"/>
          <w:b/>
          <w:color w:val="3A3128"/>
          <w:kern w:val="16"/>
          <w:sz w:val="25"/>
          <w14:ligatures w14:val="standardContextual"/>
        </w:rPr>
        <w:t>4.7.1 Enquadramento e alíquota diferenciada</w:t>
      </w:r>
    </w:p>
    <w:p w14:paraId="51F24BC2"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57513A86" w14:textId="6C93ECD3" w:rsidR="005A5FCC" w:rsidRDefault="00A21C81">
      <w:r>
        <w:rPr>
          <w:rFonts w:cs="EB Garamond"/>
          <w:kern w:val="16"/>
          <w14:ligatures w14:val="standardContextual"/>
        </w:rPr>
        <w:t xml:space="preserve"> Microempreendedor Individual é figura jurídica criada pela LC 123/2006, alterada pela LC 128/2008, que permite ao pequeno empreendedor individual formalizar-se com benefícios tributários e previdenciários simplificados, o MEI recolhe contribuição previdenciária de 5% sobre o </w:t>
      </w:r>
      <w:r w:rsidR="00737540">
        <w:rPr>
          <w:rFonts w:cs="EB Garamond"/>
          <w:kern w:val="16"/>
          <w14:ligatures w14:val="standardContextual"/>
        </w:rPr>
        <w:t>salário-mínimo</w:t>
      </w:r>
      <w:r>
        <w:rPr>
          <w:rFonts w:cs="EB Garamond"/>
          <w:kern w:val="16"/>
          <w14:ligatures w14:val="standardContextual"/>
        </w:rPr>
        <w:t>, integrada ao Documento de Arrecadação do Simples (DAS-MEI).</w:t>
      </w:r>
    </w:p>
    <w:p w14:paraId="623F19D8" w14:textId="77777777" w:rsidR="005A5FCC" w:rsidRDefault="00A21C81">
      <w:pPr>
        <w:ind w:firstLine="238"/>
      </w:pPr>
      <w:r>
        <w:rPr>
          <w:rFonts w:cs="EB Garamond"/>
          <w:kern w:val="16"/>
          <w14:ligatures w14:val="standardContextual"/>
        </w:rPr>
        <w:t>Em 2026, a contribuição previdenciária do MEI é de R$ 81,05/mês (5% x R$ 1.621,00), acrescida de R$ 1,00 de ICMS (comércio/indústria) e/ou R$ 5,00 de ISS (serviços), conforme a atividade.</w:t>
      </w:r>
    </w:p>
    <w:p w14:paraId="29CF5447" w14:textId="77777777" w:rsidR="005A5FCC" w:rsidRDefault="00A21C81">
      <w:pPr>
        <w:spacing w:before="260" w:after="80" w:line="240" w:lineRule="auto"/>
        <w:jc w:val="left"/>
      </w:pPr>
      <w:r>
        <w:rPr>
          <w:rFonts w:cs="EB Garamond"/>
          <w:b/>
          <w:color w:val="3A3128"/>
          <w:kern w:val="16"/>
          <w:sz w:val="25"/>
          <w14:ligatures w14:val="standardContextual"/>
        </w:rPr>
        <w:t>4.7.2 Requisitos para enquadramento como MEI</w:t>
      </w:r>
    </w:p>
    <w:p w14:paraId="11E0F559"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7E310ABB" w14:textId="77777777" w:rsidR="005A5FCC" w:rsidRDefault="00A21C81">
      <w:r>
        <w:rPr>
          <w:rFonts w:cs="EB Garamond"/>
          <w:kern w:val="16"/>
          <w14:ligatures w14:val="standardContextual"/>
        </w:rPr>
        <w:t xml:space="preserve"> art. 18-A da LC 123/2006 estabelece os requisitos cumulativos:</w:t>
      </w:r>
    </w:p>
    <w:p w14:paraId="3A759900"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Receita bruta anual de até R$ 81.000,00</w:t>
      </w:r>
    </w:p>
    <w:p w14:paraId="4C7B7296"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Não ser sócio, administrador ou titular de outra empresa</w:t>
      </w:r>
    </w:p>
    <w:p w14:paraId="36E7B950"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Ter no máximo um empregado que receba 1 SM ou o piso da categoria</w:t>
      </w:r>
    </w:p>
    <w:p w14:paraId="72BCFD36"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Exercer atividade permitida (lista CNAE do Anexo XI da Resolução CGSN)</w:t>
      </w:r>
    </w:p>
    <w:p w14:paraId="574B07F0" w14:textId="77777777" w:rsidR="005A5FCC" w:rsidRDefault="005A5FCC">
      <w:pPr>
        <w:spacing w:after="60" w:line="240" w:lineRule="auto"/>
      </w:pPr>
    </w:p>
    <w:p w14:paraId="747C5DD2" w14:textId="77777777" w:rsidR="005A5FCC" w:rsidRDefault="00A21C81">
      <w:pPr>
        <w:spacing w:before="260" w:after="80" w:line="240" w:lineRule="auto"/>
        <w:jc w:val="left"/>
      </w:pPr>
      <w:r>
        <w:rPr>
          <w:rFonts w:cs="EB Garamond"/>
          <w:b/>
          <w:color w:val="3A3128"/>
          <w:kern w:val="16"/>
          <w:sz w:val="25"/>
          <w14:ligatures w14:val="standardContextual"/>
        </w:rPr>
        <w:t>4.7.3 Cobertura previdenciária reduzida</w:t>
      </w:r>
    </w:p>
    <w:p w14:paraId="6228471C"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O</w:t>
      </w:r>
    </w:p>
    <w:p w14:paraId="3E3CE6E5" w14:textId="77777777" w:rsidR="005A5FCC" w:rsidRDefault="00A21C81">
      <w:r>
        <w:rPr>
          <w:rFonts w:cs="EB Garamond"/>
          <w:kern w:val="16"/>
          <w14:ligatures w14:val="standardContextual"/>
        </w:rPr>
        <w:t xml:space="preserve"> MEI tem acesso aos seguintes benefícios previdenciários:</w:t>
      </w:r>
    </w:p>
    <w:p w14:paraId="4172C458"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Aposentadoria por idade (65/62 anos + 180 contribuições)</w:t>
      </w:r>
    </w:p>
    <w:p w14:paraId="6AE3460C"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Aposentadoria por incapacidade permanente</w:t>
      </w:r>
    </w:p>
    <w:p w14:paraId="2C0331A6"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Auxílio por incapacidade temporária</w:t>
      </w:r>
    </w:p>
    <w:p w14:paraId="11946761"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Salário-maternidade</w:t>
      </w:r>
    </w:p>
    <w:p w14:paraId="054E9EF4"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Pensão por morte (para dependentes)</w:t>
      </w:r>
    </w:p>
    <w:p w14:paraId="34349849"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Auxílio-reclusão (para dependentes)</w:t>
      </w:r>
    </w:p>
    <w:p w14:paraId="60C2F159" w14:textId="77777777" w:rsidR="005A5FCC" w:rsidRDefault="005A5FCC">
      <w:pPr>
        <w:spacing w:after="60" w:line="240" w:lineRule="auto"/>
      </w:pPr>
    </w:p>
    <w:tbl>
      <w:tblPr>
        <w:tblW w:w="5000" w:type="pct"/>
        <w:jc w:val="center"/>
        <w:tblLayout w:type="fixed"/>
        <w:tblLook w:val="04A0" w:firstRow="1" w:lastRow="0" w:firstColumn="1" w:lastColumn="0" w:noHBand="0" w:noVBand="1"/>
      </w:tblPr>
      <w:tblGrid>
        <w:gridCol w:w="6311"/>
      </w:tblGrid>
      <w:tr w:rsidR="005A5FCC" w14:paraId="68FD095E"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31B1D274"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0DE36DEE" w14:textId="77777777" w:rsidR="005A5FCC" w:rsidRDefault="00A21C81">
            <w:pPr>
              <w:spacing w:after="60" w:line="247" w:lineRule="auto"/>
            </w:pPr>
            <w:r>
              <w:rPr>
                <w:rFonts w:cs="EB Garamond"/>
                <w:b/>
                <w:kern w:val="16"/>
                <w:sz w:val="19"/>
                <w14:ligatures w14:val="standardContextual"/>
              </w:rPr>
              <w:t>Atenção:</w:t>
            </w:r>
            <w:r>
              <w:rPr>
                <w:rFonts w:cs="EB Garamond"/>
                <w:kern w:val="16"/>
                <w:sz w:val="19"/>
                <w14:ligatures w14:val="standardContextual"/>
              </w:rPr>
              <w:t xml:space="preserve"> O MEI que contribui apenas com 5% sobre o SM NÃO tem direito à aposentadoria por tempo de contribuição. Os meses recolhidos como MEI contam apenas para aposentadoria por idade/programada, não para TC. Se o segurado desejar contar esse período para aposentadoria por TC, deve complementar a contribuição.</w:t>
            </w:r>
          </w:p>
        </w:tc>
      </w:tr>
    </w:tbl>
    <w:p w14:paraId="4E5D470B" w14:textId="77777777" w:rsidR="005A5FCC" w:rsidRDefault="005A5FCC">
      <w:pPr>
        <w:spacing w:after="80" w:line="240" w:lineRule="auto"/>
      </w:pPr>
    </w:p>
    <w:p w14:paraId="6B7B606A" w14:textId="77777777" w:rsidR="005A5FCC" w:rsidRDefault="00A21C81">
      <w:pPr>
        <w:spacing w:before="260" w:after="80" w:line="240" w:lineRule="auto"/>
        <w:jc w:val="left"/>
      </w:pPr>
      <w:r>
        <w:rPr>
          <w:rFonts w:cs="EB Garamond"/>
          <w:b/>
          <w:color w:val="3A3128"/>
          <w:kern w:val="16"/>
          <w:sz w:val="25"/>
          <w14:ligatures w14:val="standardContextual"/>
        </w:rPr>
        <w:t>4.7.4 Complementação para cômputo de tempo de contribuição</w:t>
      </w:r>
    </w:p>
    <w:p w14:paraId="772EA02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52C36D8F" w14:textId="77777777" w:rsidR="005A5FCC" w:rsidRDefault="00A21C81">
      <w:r>
        <w:rPr>
          <w:rFonts w:cs="EB Garamond"/>
          <w:kern w:val="16"/>
          <w14:ligatures w14:val="standardContextual"/>
        </w:rPr>
        <w:t xml:space="preserve"> MEI pode, a qualquer tempo, complementar suas contribuições para fins de contagem de tempo. A complementação corresponde à diferença entre a alíquota paga (5%) e a alíquota do plano normal (20%), aplicada sobre o salário mínimo vigente à época de cada competência:</w:t>
      </w:r>
    </w:p>
    <w:p w14:paraId="2E4EDBFF"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Complementação = 15% sobre o SM da competência</w:t>
      </w:r>
    </w:p>
    <w:p w14:paraId="225A7F55"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Código GPS: 1910 (complementação mensal) ou cálculo retroativo</w:t>
      </w:r>
    </w:p>
    <w:p w14:paraId="04D3B47A" w14:textId="77777777" w:rsidR="005A5FCC" w:rsidRDefault="005A5FCC">
      <w:pPr>
        <w:spacing w:after="60" w:line="240" w:lineRule="auto"/>
      </w:pPr>
    </w:p>
    <w:tbl>
      <w:tblPr>
        <w:tblW w:w="5000" w:type="pct"/>
        <w:jc w:val="center"/>
        <w:tblLayout w:type="fixed"/>
        <w:tblLook w:val="04A0" w:firstRow="1" w:lastRow="0" w:firstColumn="1" w:lastColumn="0" w:noHBand="0" w:noVBand="1"/>
      </w:tblPr>
      <w:tblGrid>
        <w:gridCol w:w="6311"/>
      </w:tblGrid>
      <w:tr w:rsidR="005A5FCC" w14:paraId="7CDDF42E"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48BF6291"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713541FE" w14:textId="77777777" w:rsidR="005A5FCC" w:rsidRDefault="00A21C81">
            <w:pPr>
              <w:spacing w:after="60" w:line="247" w:lineRule="auto"/>
            </w:pPr>
            <w:r>
              <w:rPr>
                <w:rFonts w:cs="EB Garamond"/>
                <w:b/>
                <w:kern w:val="16"/>
                <w:sz w:val="19"/>
                <w14:ligatures w14:val="standardContextual"/>
              </w:rPr>
              <w:t>Cálculo da complementação MEI (competência 2026):</w:t>
            </w:r>
          </w:p>
          <w:p w14:paraId="2331AE01" w14:textId="77777777" w:rsidR="005A5FCC" w:rsidRDefault="00A21C81">
            <w:pPr>
              <w:spacing w:after="60" w:line="247" w:lineRule="auto"/>
            </w:pPr>
            <w:r>
              <w:rPr>
                <w:rFonts w:cs="EB Garamond"/>
                <w:kern w:val="16"/>
                <w:sz w:val="19"/>
                <w14:ligatures w14:val="standardContextual"/>
              </w:rPr>
              <w:t>Contribuição MEI paga: 5% x R$ 1.621,00 = R$ 81,05 Complementação devida: 15% x R$ 1.621,00 = R$ 243,15 Total efetivo: 20% x R$ 1.621,00 = R$ 324,20</w:t>
            </w:r>
          </w:p>
          <w:p w14:paraId="43ED123D" w14:textId="77777777" w:rsidR="005A5FCC" w:rsidRDefault="00A21C81">
            <w:pPr>
              <w:spacing w:after="60" w:line="247" w:lineRule="auto"/>
            </w:pPr>
            <w:r>
              <w:rPr>
                <w:rFonts w:cs="EB Garamond"/>
                <w:b/>
                <w:kern w:val="16"/>
                <w:sz w:val="19"/>
                <w14:ligatures w14:val="standardContextual"/>
              </w:rPr>
              <w:t>Atenção:</w:t>
            </w:r>
            <w:r>
              <w:rPr>
                <w:rFonts w:cs="EB Garamond"/>
                <w:kern w:val="16"/>
                <w:sz w:val="19"/>
                <w14:ligatures w14:val="standardContextual"/>
              </w:rPr>
              <w:t xml:space="preserve"> A complementação é calculada sobre o SM vigente na competência original, não no SM atual. Se o MEI deseja complementar competências de 2022 (SM = R$ 1.212,00), paga 15% x R$ 1.212,00 = R$ 181,80 por mês de 2022.</w:t>
            </w:r>
          </w:p>
          <w:p w14:paraId="78E178A3" w14:textId="77777777" w:rsidR="005A5FCC" w:rsidRDefault="00A21C81">
            <w:pPr>
              <w:spacing w:after="60" w:line="247" w:lineRule="auto"/>
            </w:pPr>
            <w:r>
              <w:rPr>
                <w:rFonts w:cs="EB Garamond"/>
                <w:kern w:val="16"/>
                <w:sz w:val="19"/>
                <w14:ligatures w14:val="standardContextual"/>
              </w:rPr>
              <w:t>Não incide juros nem multa sobre a complementação, desde que recolhida dentro do prazo de decadência (5 anos). Para competências anteriores, aplica-se atualização monetária.</w:t>
            </w:r>
          </w:p>
        </w:tc>
      </w:tr>
    </w:tbl>
    <w:p w14:paraId="69ED895C" w14:textId="77777777" w:rsidR="005A5FCC" w:rsidRDefault="005A5FCC">
      <w:pPr>
        <w:spacing w:after="80" w:line="240" w:lineRule="auto"/>
      </w:pPr>
    </w:p>
    <w:p w14:paraId="58BB89FA" w14:textId="77777777" w:rsidR="005A5FCC" w:rsidRDefault="00A21C81">
      <w:pPr>
        <w:spacing w:before="260" w:after="80" w:line="240" w:lineRule="auto"/>
        <w:jc w:val="left"/>
      </w:pPr>
      <w:r>
        <w:rPr>
          <w:rFonts w:cs="EB Garamond"/>
          <w:b/>
          <w:color w:val="3A3128"/>
          <w:kern w:val="16"/>
          <w:sz w:val="25"/>
          <w14:ligatures w14:val="standardContextual"/>
        </w:rPr>
        <w:t>4.7.5 MEI caminhoneiro</w:t>
      </w:r>
    </w:p>
    <w:p w14:paraId="2DA929D1"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4DB60347" w14:textId="77777777" w:rsidR="005A5FCC" w:rsidRDefault="00A21C81">
      <w:r>
        <w:rPr>
          <w:rFonts w:cs="EB Garamond"/>
          <w:kern w:val="16"/>
          <w14:ligatures w14:val="standardContextual"/>
        </w:rPr>
        <w:t xml:space="preserve"> Lei 14.260/2021 (vigência a partir de 2022) criou a figura do MEI Caminhoneiro Transportador Autônomo de Cargas, com receita bruta anual de até R$ 251.600,00 e alíquota previdenciária diferenciada de 12% sobre o salário mínimo. A complementação para TC é de apenas 8% (20% - 12%).</w:t>
      </w:r>
    </w:p>
    <w:p w14:paraId="5AA89827" w14:textId="77777777" w:rsidR="005A5FCC" w:rsidRDefault="00A21C81">
      <w:pPr>
        <w:ind w:firstLine="238"/>
      </w:pPr>
      <w:r>
        <w:rPr>
          <w:rFonts w:cs="EB Garamond"/>
          <w:kern w:val="16"/>
          <w14:ligatures w14:val="standardContextual"/>
        </w:rPr>
        <w:t>Em 2026: contribuição previdenciária do MEI Caminhoneiro = 12% x R$ 1.621,00 = R$ 194,52/mês.</w:t>
      </w:r>
    </w:p>
    <w:p w14:paraId="10E1F673" w14:textId="77777777" w:rsidR="005A5FCC" w:rsidRDefault="00A21C81">
      <w:pPr>
        <w:spacing w:before="260" w:after="80" w:line="240" w:lineRule="auto"/>
        <w:jc w:val="left"/>
      </w:pPr>
      <w:r>
        <w:rPr>
          <w:rFonts w:cs="EB Garamond"/>
          <w:b/>
          <w:color w:val="3A3128"/>
          <w:kern w:val="16"/>
          <w:sz w:val="25"/>
          <w14:ligatures w14:val="standardContextual"/>
        </w:rPr>
        <w:t>4.7.6 MEI e a questão do desenquadramento</w:t>
      </w:r>
    </w:p>
    <w:p w14:paraId="47B84AEE"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041F6C4C" w14:textId="77777777" w:rsidR="005A5FCC" w:rsidRDefault="00A21C81">
      <w:r>
        <w:rPr>
          <w:rFonts w:cs="EB Garamond"/>
          <w:kern w:val="16"/>
          <w14:ligatures w14:val="standardContextual"/>
        </w:rPr>
        <w:t xml:space="preserve"> MEI que ultrapassa o limite de faturamento anual (R$ 81.000,00) ou descumpre outros requisitos (contrata mais de um empregado, torna-se sócio de outra empresa) é desenquadrado automaticamente e passa a contribuir como contribuinte individual na alíquota ordinária (20%). O desenquadramento pode ocorrer de ofício (pela RFB) ou por comunicação do próprio MEI (via Portal do Simples Nacional).</w:t>
      </w:r>
    </w:p>
    <w:p w14:paraId="448A5F4C" w14:textId="77777777" w:rsidR="005A5FCC" w:rsidRDefault="00A21C81">
      <w:pPr>
        <w:ind w:firstLine="238"/>
      </w:pPr>
      <w:r>
        <w:rPr>
          <w:rFonts w:cs="EB Garamond"/>
          <w:kern w:val="16"/>
          <w14:ligatures w14:val="standardContextual"/>
        </w:rPr>
        <w:t>As consequências previdenciárias do desenquadramento são relevantes:</w:t>
      </w:r>
    </w:p>
    <w:p w14:paraId="0B76CF96" w14:textId="77777777" w:rsidR="005A5FCC" w:rsidRDefault="00A21C81">
      <w:pPr>
        <w:ind w:firstLine="238"/>
      </w:pPr>
      <w:r>
        <w:rPr>
          <w:rFonts w:cs="EB Garamond"/>
          <w:kern w:val="16"/>
          <w14:ligatures w14:val="standardContextual"/>
        </w:rPr>
        <w:t xml:space="preserve">a) </w:t>
      </w:r>
      <w:r>
        <w:rPr>
          <w:rFonts w:cs="EB Garamond"/>
          <w:b/>
          <w:kern w:val="16"/>
          <w14:ligatures w14:val="standardContextual"/>
        </w:rPr>
        <w:t>Período como MEI:</w:t>
      </w:r>
      <w:r>
        <w:rPr>
          <w:rFonts w:cs="EB Garamond"/>
          <w:kern w:val="16"/>
          <w14:ligatures w14:val="standardContextual"/>
        </w:rPr>
        <w:t xml:space="preserve"> As contribuições recolhidas como MEI (5%) permanecem válidas, mas contam apenas para aposentadoria por idade. Se o segurado deseja que contem para TC, deve complementar (15% sobre o SM de cada competência).</w:t>
      </w:r>
    </w:p>
    <w:p w14:paraId="68067353" w14:textId="77777777" w:rsidR="005A5FCC" w:rsidRDefault="00A21C81">
      <w:pPr>
        <w:ind w:firstLine="238"/>
      </w:pPr>
      <w:r>
        <w:rPr>
          <w:rFonts w:cs="EB Garamond"/>
          <w:kern w:val="16"/>
          <w14:ligatures w14:val="standardContextual"/>
        </w:rPr>
        <w:lastRenderedPageBreak/>
        <w:t xml:space="preserve">b) </w:t>
      </w:r>
      <w:r>
        <w:rPr>
          <w:rFonts w:cs="EB Garamond"/>
          <w:b/>
          <w:kern w:val="16"/>
          <w14:ligatures w14:val="standardContextual"/>
        </w:rPr>
        <w:t>Período pós-desenquadramento:</w:t>
      </w:r>
      <w:r>
        <w:rPr>
          <w:rFonts w:cs="EB Garamond"/>
          <w:kern w:val="16"/>
          <w14:ligatures w14:val="standardContextual"/>
        </w:rPr>
        <w:t xml:space="preserve"> O segurado passa a contribuir como CI (20% sobre a remuneração, limitada ao teto). Se presta serviço a empresa, esta retém 11% e o CI complementa 9%.</w:t>
      </w:r>
    </w:p>
    <w:p w14:paraId="5A831C14" w14:textId="77777777" w:rsidR="005A5FCC" w:rsidRDefault="00A21C81">
      <w:pPr>
        <w:ind w:firstLine="238"/>
      </w:pPr>
      <w:r>
        <w:rPr>
          <w:rFonts w:cs="EB Garamond"/>
          <w:kern w:val="16"/>
          <w14:ligatures w14:val="standardContextual"/>
        </w:rPr>
        <w:t xml:space="preserve">c) </w:t>
      </w:r>
      <w:r>
        <w:rPr>
          <w:rFonts w:cs="EB Garamond"/>
          <w:b/>
          <w:kern w:val="16"/>
          <w14:ligatures w14:val="standardContextual"/>
        </w:rPr>
        <w:t>Transição:</w:t>
      </w:r>
      <w:r>
        <w:rPr>
          <w:rFonts w:cs="EB Garamond"/>
          <w:kern w:val="16"/>
          <w14:ligatures w14:val="standardContextual"/>
        </w:rPr>
        <w:t xml:space="preserve"> Não há solução de continuidade na filiação. O segurado permanece filiado ao RGPS — muda apenas a categoria e a alíquota.</w:t>
      </w:r>
    </w:p>
    <w:tbl>
      <w:tblPr>
        <w:tblW w:w="5000" w:type="pct"/>
        <w:jc w:val="center"/>
        <w:tblLayout w:type="fixed"/>
        <w:tblLook w:val="04A0" w:firstRow="1" w:lastRow="0" w:firstColumn="1" w:lastColumn="0" w:noHBand="0" w:noVBand="1"/>
      </w:tblPr>
      <w:tblGrid>
        <w:gridCol w:w="6311"/>
      </w:tblGrid>
      <w:tr w:rsidR="005A5FCC" w14:paraId="04EAC28D"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72D91ECD"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0E7FA220" w14:textId="77777777" w:rsidR="005A5FCC" w:rsidRDefault="00A21C81">
            <w:pPr>
              <w:spacing w:after="60" w:line="247" w:lineRule="auto"/>
            </w:pPr>
            <w:r>
              <w:rPr>
                <w:rFonts w:cs="EB Garamond"/>
                <w:b/>
                <w:kern w:val="16"/>
                <w:sz w:val="19"/>
                <w14:ligatures w14:val="standardContextual"/>
              </w:rPr>
              <w:t>Uma armadilha frequente: o desenquadramento retroativo do MEI</w:t>
            </w:r>
          </w:p>
          <w:p w14:paraId="517B5EA5" w14:textId="77777777" w:rsidR="005A5FCC" w:rsidRDefault="00A21C81">
            <w:pPr>
              <w:spacing w:after="60" w:line="247" w:lineRule="auto"/>
            </w:pPr>
            <w:r>
              <w:rPr>
                <w:rFonts w:cs="EB Garamond"/>
                <w:kern w:val="16"/>
                <w:sz w:val="19"/>
                <w14:ligatures w14:val="standardContextual"/>
              </w:rPr>
              <w:t>Se o MEI ultrapassou o faturamento de R$ 81.000,00 durante o ano-calendário em mais de 20%, o desenquadramento é retroativo a janeiro daquele ano. Todas as contribuições do período são recalculadas como se fossem de CI, gerando diferenças a recolher com juros e multa. Nos JEFs, surgem ações em que o segurado busca aposentadoria e o INSS identifica, no cruzamento de dados, que houve faturamento acima do limite como MEI em determinados anos. As contribuições do período são consideradas insuficientes (recolheu 5% quando deveria ter recolhido 20%), e o INSS desconta os meses da carência e do tempo de contribuição. O advogado deve verificar o histórico de faturamento do cliente MEI antes do ajuizamento.</w:t>
            </w:r>
          </w:p>
        </w:tc>
      </w:tr>
    </w:tbl>
    <w:p w14:paraId="3D365033" w14:textId="77777777" w:rsidR="005A5FCC" w:rsidRDefault="005A5FCC">
      <w:pPr>
        <w:spacing w:after="80" w:line="240" w:lineRule="auto"/>
      </w:pPr>
    </w:p>
    <w:p w14:paraId="67AF781C" w14:textId="77777777" w:rsidR="005A5FCC" w:rsidRDefault="00A21C81">
      <w:pPr>
        <w:spacing w:before="260" w:after="80" w:line="240" w:lineRule="auto"/>
        <w:jc w:val="left"/>
      </w:pPr>
      <w:r>
        <w:rPr>
          <w:rFonts w:cs="EB Garamond"/>
          <w:b/>
          <w:color w:val="3A3128"/>
          <w:kern w:val="16"/>
          <w:sz w:val="25"/>
          <w14:ligatures w14:val="standardContextual"/>
        </w:rPr>
        <w:t>4.7.7 MEI com empregado: obrigações patronais</w:t>
      </w:r>
    </w:p>
    <w:p w14:paraId="519FC43B"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7937E126" w14:textId="77777777" w:rsidR="005A5FCC" w:rsidRDefault="00A21C81">
      <w:r>
        <w:rPr>
          <w:rFonts w:cs="EB Garamond"/>
          <w:kern w:val="16"/>
          <w14:ligatures w14:val="standardContextual"/>
        </w:rPr>
        <w:t xml:space="preserve"> MEI que possui empregado registrado assume obrigações previdenciárias adicionais. Deve recolher contribuição patronal de 3% sobre a remuneração do empregado (alíquota reduzida — art. 18-C, § 1º, I, LC 123/2006), acrescida de 8% de FGTS. O recolhimento é feito pelo DAE (Documento de Arrecadação do eSocial), com vencimento no dia 7 do mês seguinte.</w:t>
      </w:r>
    </w:p>
    <w:p w14:paraId="6FC56736" w14:textId="77777777" w:rsidR="005A5FCC" w:rsidRDefault="00A21C81">
      <w:pPr>
        <w:ind w:firstLine="238"/>
      </w:pPr>
      <w:r>
        <w:rPr>
          <w:rFonts w:cs="EB Garamond"/>
          <w:kern w:val="16"/>
          <w14:ligatures w14:val="standardContextual"/>
        </w:rPr>
        <w:t>Essa contribuição patronal reduzida (3% em vez de 20%) é benefício exclusivo do MEI. Caso o empresário perca o enquadramento como MEI (por ultrapassar o faturamento ou contratar mais de um empregado), a contribuição patronal passa a seguir as regras ordinárias (20% + RAT).</w:t>
      </w:r>
    </w:p>
    <w:p w14:paraId="03157EED"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4.8 Segurado facultativo</w:t>
      </w:r>
    </w:p>
    <w:p w14:paraId="6AB30AC2" w14:textId="77777777" w:rsidR="005A5FCC" w:rsidRDefault="00A21C81">
      <w:pPr>
        <w:spacing w:before="260" w:after="80" w:line="240" w:lineRule="auto"/>
        <w:jc w:val="left"/>
      </w:pPr>
      <w:r>
        <w:rPr>
          <w:rFonts w:cs="EB Garamond"/>
          <w:b/>
          <w:color w:val="3A3128"/>
          <w:kern w:val="16"/>
          <w:sz w:val="25"/>
          <w14:ligatures w14:val="standardContextual"/>
        </w:rPr>
        <w:t>4.8.1 Conceito e opções de contribuição</w:t>
      </w:r>
    </w:p>
    <w:p w14:paraId="71B0AB5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21A9100E" w14:textId="0447AA31" w:rsidR="005A5FCC" w:rsidRDefault="00A21C81">
      <w:r>
        <w:rPr>
          <w:rFonts w:cs="EB Garamond"/>
          <w:kern w:val="16"/>
          <w14:ligatures w14:val="standardContextual"/>
        </w:rPr>
        <w:t xml:space="preserve"> segurado facultativo (conceituado no Capítulo 2) é o maior de 16 anos que se filia ao RGPS por ato volitivo, sem exercer atividade remunerada que o enquadre como segurado obrigatório. Exemplos clássicos: estudantes, donas de casa, desempregados que optam por manter a filiação, síndicos não remunerados, bolsistas</w:t>
      </w:r>
      <w:r w:rsidR="00737540">
        <w:rPr>
          <w:rFonts w:cs="EB Garamond"/>
          <w:kern w:val="16"/>
          <w14:ligatures w14:val="standardContextual"/>
        </w:rPr>
        <w:t xml:space="preserve"> de</w:t>
      </w:r>
      <w:r>
        <w:rPr>
          <w:rFonts w:cs="EB Garamond"/>
          <w:kern w:val="16"/>
          <w14:ligatures w14:val="standardContextual"/>
        </w:rPr>
        <w:t xml:space="preserve"> dedicação exclusiva.</w:t>
      </w:r>
    </w:p>
    <w:p w14:paraId="6DD9A374" w14:textId="77777777" w:rsidR="005A5FCC" w:rsidRDefault="00A21C81">
      <w:pPr>
        <w:ind w:firstLine="238"/>
      </w:pPr>
      <w:r>
        <w:rPr>
          <w:rFonts w:cs="EB Garamond"/>
          <w:kern w:val="16"/>
          <w14:ligatures w14:val="standardContextual"/>
        </w:rPr>
        <w:t>O facultativo dispõe de três opções de contribuição:</w:t>
      </w:r>
    </w:p>
    <w:tbl>
      <w:tblPr>
        <w:tblW w:w="5000" w:type="pct"/>
        <w:jc w:val="center"/>
        <w:tblLook w:val="04A0" w:firstRow="1" w:lastRow="0" w:firstColumn="1" w:lastColumn="0" w:noHBand="0" w:noVBand="1"/>
      </w:tblPr>
      <w:tblGrid>
        <w:gridCol w:w="1267"/>
        <w:gridCol w:w="1268"/>
        <w:gridCol w:w="1268"/>
        <w:gridCol w:w="1269"/>
        <w:gridCol w:w="1268"/>
      </w:tblGrid>
      <w:tr w:rsidR="005A5FCC" w14:paraId="715EC2FB" w14:textId="77777777">
        <w:trPr>
          <w:tblHeader/>
          <w:jc w:val="center"/>
        </w:trPr>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51608616" w14:textId="77777777" w:rsidR="005A5FCC" w:rsidRDefault="00A21C81">
            <w:pPr>
              <w:spacing w:before="40" w:after="40" w:line="240" w:lineRule="auto"/>
              <w:jc w:val="center"/>
            </w:pPr>
            <w:r>
              <w:rPr>
                <w:rFonts w:cs="EB Garamond"/>
                <w:b/>
                <w:color w:val="2F2923"/>
                <w:kern w:val="16"/>
                <w:sz w:val="18"/>
                <w14:ligatures w14:val="standardContextual"/>
              </w:rPr>
              <w:t>Plano</w:t>
            </w:r>
          </w:p>
        </w:tc>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7F04D806" w14:textId="77777777" w:rsidR="005A5FCC" w:rsidRDefault="00A21C81">
            <w:pPr>
              <w:spacing w:before="40" w:after="40" w:line="240" w:lineRule="auto"/>
              <w:jc w:val="center"/>
            </w:pPr>
            <w:r>
              <w:rPr>
                <w:rFonts w:cs="EB Garamond"/>
                <w:b/>
                <w:color w:val="2F2923"/>
                <w:kern w:val="16"/>
                <w:sz w:val="18"/>
                <w14:ligatures w14:val="standardContextual"/>
              </w:rPr>
              <w:t>Base</w:t>
            </w:r>
          </w:p>
        </w:tc>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77E05CCE" w14:textId="77777777" w:rsidR="005A5FCC" w:rsidRDefault="00A21C81">
            <w:pPr>
              <w:spacing w:before="40" w:after="40" w:line="240" w:lineRule="auto"/>
              <w:jc w:val="center"/>
            </w:pPr>
            <w:r>
              <w:rPr>
                <w:rFonts w:cs="EB Garamond"/>
                <w:b/>
                <w:color w:val="2F2923"/>
                <w:kern w:val="16"/>
                <w:sz w:val="18"/>
                <w14:ligatures w14:val="standardContextual"/>
              </w:rPr>
              <w:t>Alíquota</w:t>
            </w:r>
          </w:p>
        </w:tc>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75554A23" w14:textId="77777777" w:rsidR="005A5FCC" w:rsidRDefault="00A21C81">
            <w:pPr>
              <w:spacing w:before="40" w:after="40" w:line="240" w:lineRule="auto"/>
              <w:jc w:val="center"/>
            </w:pPr>
            <w:r>
              <w:rPr>
                <w:rFonts w:cs="EB Garamond"/>
                <w:b/>
                <w:color w:val="2F2923"/>
                <w:kern w:val="16"/>
                <w:sz w:val="18"/>
                <w14:ligatures w14:val="standardContextual"/>
              </w:rPr>
              <w:t>Valor (2026)</w:t>
            </w:r>
          </w:p>
        </w:tc>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640A11EE" w14:textId="77777777" w:rsidR="005A5FCC" w:rsidRDefault="00A21C81">
            <w:pPr>
              <w:spacing w:before="40" w:after="40" w:line="240" w:lineRule="auto"/>
              <w:jc w:val="center"/>
            </w:pPr>
            <w:r>
              <w:rPr>
                <w:rFonts w:cs="EB Garamond"/>
                <w:b/>
                <w:color w:val="2F2923"/>
                <w:kern w:val="16"/>
                <w:sz w:val="18"/>
                <w14:ligatures w14:val="standardContextual"/>
              </w:rPr>
              <w:t>Aposentadoria TC?</w:t>
            </w:r>
          </w:p>
        </w:tc>
      </w:tr>
      <w:tr w:rsidR="005A5FCC" w14:paraId="2B84BBF5"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5B6B0A1F" w14:textId="77777777" w:rsidR="005A5FCC" w:rsidRDefault="00A21C81">
            <w:pPr>
              <w:spacing w:before="20" w:after="20" w:line="240" w:lineRule="auto"/>
              <w:jc w:val="left"/>
            </w:pPr>
            <w:r>
              <w:rPr>
                <w:rFonts w:cs="EB Garamond"/>
                <w:kern w:val="16"/>
                <w:sz w:val="18"/>
                <w14:ligatures w14:val="standardContextual"/>
              </w:rPr>
              <w:t>Normal</w:t>
            </w:r>
          </w:p>
        </w:tc>
        <w:tc>
          <w:tcPr>
            <w:tcW w:w="1270" w:type="dxa"/>
            <w:tcBorders>
              <w:top w:val="single" w:sz="4" w:space="0" w:color="D2C9B8"/>
              <w:left w:val="single" w:sz="4" w:space="0" w:color="D2C9B8"/>
              <w:bottom w:val="single" w:sz="4" w:space="0" w:color="D2C9B8"/>
              <w:right w:val="single" w:sz="4" w:space="0" w:color="D2C9B8"/>
            </w:tcBorders>
          </w:tcPr>
          <w:p w14:paraId="347039AE" w14:textId="77777777" w:rsidR="005A5FCC" w:rsidRDefault="00A21C81">
            <w:pPr>
              <w:spacing w:before="20" w:after="20" w:line="240" w:lineRule="auto"/>
              <w:jc w:val="left"/>
            </w:pPr>
            <w:r>
              <w:rPr>
                <w:rFonts w:cs="EB Garamond"/>
                <w:kern w:val="16"/>
                <w:sz w:val="18"/>
                <w14:ligatures w14:val="standardContextual"/>
              </w:rPr>
              <w:t>SM a teto</w:t>
            </w:r>
          </w:p>
        </w:tc>
        <w:tc>
          <w:tcPr>
            <w:tcW w:w="1270" w:type="dxa"/>
            <w:tcBorders>
              <w:top w:val="single" w:sz="4" w:space="0" w:color="D2C9B8"/>
              <w:left w:val="single" w:sz="4" w:space="0" w:color="D2C9B8"/>
              <w:bottom w:val="single" w:sz="4" w:space="0" w:color="D2C9B8"/>
              <w:right w:val="single" w:sz="4" w:space="0" w:color="D2C9B8"/>
            </w:tcBorders>
          </w:tcPr>
          <w:p w14:paraId="506189B3" w14:textId="77777777" w:rsidR="005A5FCC" w:rsidRDefault="00A21C81">
            <w:pPr>
              <w:spacing w:before="20" w:after="20" w:line="240" w:lineRule="auto"/>
              <w:jc w:val="left"/>
            </w:pPr>
            <w:r>
              <w:rPr>
                <w:rFonts w:cs="EB Garamond"/>
                <w:kern w:val="16"/>
                <w:sz w:val="18"/>
                <w14:ligatures w14:val="standardContextual"/>
              </w:rPr>
              <w:t>20%</w:t>
            </w:r>
          </w:p>
        </w:tc>
        <w:tc>
          <w:tcPr>
            <w:tcW w:w="1270" w:type="dxa"/>
            <w:tcBorders>
              <w:top w:val="single" w:sz="4" w:space="0" w:color="D2C9B8"/>
              <w:left w:val="single" w:sz="4" w:space="0" w:color="D2C9B8"/>
              <w:bottom w:val="single" w:sz="4" w:space="0" w:color="D2C9B8"/>
              <w:right w:val="single" w:sz="4" w:space="0" w:color="D2C9B8"/>
            </w:tcBorders>
          </w:tcPr>
          <w:p w14:paraId="48EC686D" w14:textId="77777777" w:rsidR="005A5FCC" w:rsidRDefault="00A21C81">
            <w:pPr>
              <w:spacing w:before="20" w:after="20" w:line="240" w:lineRule="auto"/>
              <w:jc w:val="left"/>
            </w:pPr>
            <w:r>
              <w:rPr>
                <w:rFonts w:cs="EB Garamond"/>
                <w:kern w:val="16"/>
                <w:sz w:val="18"/>
                <w14:ligatures w14:val="standardContextual"/>
              </w:rPr>
              <w:t>R$ 324,20 a R$ 1.695,11</w:t>
            </w:r>
          </w:p>
        </w:tc>
        <w:tc>
          <w:tcPr>
            <w:tcW w:w="1270" w:type="dxa"/>
            <w:tcBorders>
              <w:top w:val="single" w:sz="4" w:space="0" w:color="D2C9B8"/>
              <w:left w:val="single" w:sz="4" w:space="0" w:color="D2C9B8"/>
              <w:bottom w:val="single" w:sz="4" w:space="0" w:color="D2C9B8"/>
              <w:right w:val="single" w:sz="4" w:space="0" w:color="D2C9B8"/>
            </w:tcBorders>
          </w:tcPr>
          <w:p w14:paraId="306EF39E" w14:textId="77777777" w:rsidR="005A5FCC" w:rsidRDefault="00A21C81">
            <w:pPr>
              <w:spacing w:before="20" w:after="20" w:line="240" w:lineRule="auto"/>
              <w:jc w:val="left"/>
            </w:pPr>
            <w:r>
              <w:rPr>
                <w:rFonts w:cs="EB Garamond"/>
                <w:kern w:val="16"/>
                <w:sz w:val="18"/>
                <w14:ligatures w14:val="standardContextual"/>
              </w:rPr>
              <w:t>Sim</w:t>
            </w:r>
          </w:p>
        </w:tc>
      </w:tr>
      <w:tr w:rsidR="005A5FCC" w14:paraId="48B90ED0"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1E2B6B64" w14:textId="77777777" w:rsidR="005A5FCC" w:rsidRDefault="00A21C81">
            <w:pPr>
              <w:spacing w:before="20" w:after="20" w:line="240" w:lineRule="auto"/>
              <w:jc w:val="left"/>
            </w:pPr>
            <w:r>
              <w:rPr>
                <w:rFonts w:cs="EB Garamond"/>
                <w:kern w:val="16"/>
                <w:sz w:val="18"/>
                <w14:ligatures w14:val="standardContextual"/>
              </w:rPr>
              <w:t>Simplificado</w:t>
            </w:r>
          </w:p>
        </w:tc>
        <w:tc>
          <w:tcPr>
            <w:tcW w:w="1270" w:type="dxa"/>
            <w:tcBorders>
              <w:top w:val="single" w:sz="4" w:space="0" w:color="D2C9B8"/>
              <w:left w:val="single" w:sz="4" w:space="0" w:color="D2C9B8"/>
              <w:bottom w:val="single" w:sz="4" w:space="0" w:color="D2C9B8"/>
              <w:right w:val="single" w:sz="4" w:space="0" w:color="D2C9B8"/>
            </w:tcBorders>
          </w:tcPr>
          <w:p w14:paraId="02C39673" w14:textId="77777777" w:rsidR="005A5FCC" w:rsidRDefault="00A21C81">
            <w:pPr>
              <w:spacing w:before="20" w:after="20" w:line="240" w:lineRule="auto"/>
              <w:jc w:val="left"/>
            </w:pPr>
            <w:r>
              <w:rPr>
                <w:rFonts w:cs="EB Garamond"/>
                <w:kern w:val="16"/>
                <w:sz w:val="18"/>
                <w14:ligatures w14:val="standardContextual"/>
              </w:rPr>
              <w:t>SM</w:t>
            </w:r>
          </w:p>
        </w:tc>
        <w:tc>
          <w:tcPr>
            <w:tcW w:w="1270" w:type="dxa"/>
            <w:tcBorders>
              <w:top w:val="single" w:sz="4" w:space="0" w:color="D2C9B8"/>
              <w:left w:val="single" w:sz="4" w:space="0" w:color="D2C9B8"/>
              <w:bottom w:val="single" w:sz="4" w:space="0" w:color="D2C9B8"/>
              <w:right w:val="single" w:sz="4" w:space="0" w:color="D2C9B8"/>
            </w:tcBorders>
          </w:tcPr>
          <w:p w14:paraId="246F7952" w14:textId="77777777" w:rsidR="005A5FCC" w:rsidRDefault="00A21C81">
            <w:pPr>
              <w:spacing w:before="20" w:after="20" w:line="240" w:lineRule="auto"/>
              <w:jc w:val="left"/>
            </w:pPr>
            <w:r>
              <w:rPr>
                <w:rFonts w:cs="EB Garamond"/>
                <w:kern w:val="16"/>
                <w:sz w:val="18"/>
                <w14:ligatures w14:val="standardContextual"/>
              </w:rPr>
              <w:t>11%</w:t>
            </w:r>
          </w:p>
        </w:tc>
        <w:tc>
          <w:tcPr>
            <w:tcW w:w="1270" w:type="dxa"/>
            <w:tcBorders>
              <w:top w:val="single" w:sz="4" w:space="0" w:color="D2C9B8"/>
              <w:left w:val="single" w:sz="4" w:space="0" w:color="D2C9B8"/>
              <w:bottom w:val="single" w:sz="4" w:space="0" w:color="D2C9B8"/>
              <w:right w:val="single" w:sz="4" w:space="0" w:color="D2C9B8"/>
            </w:tcBorders>
          </w:tcPr>
          <w:p w14:paraId="638DF377" w14:textId="77777777" w:rsidR="005A5FCC" w:rsidRDefault="00A21C81">
            <w:pPr>
              <w:spacing w:before="20" w:after="20" w:line="240" w:lineRule="auto"/>
              <w:jc w:val="left"/>
            </w:pPr>
            <w:r>
              <w:rPr>
                <w:rFonts w:cs="EB Garamond"/>
                <w:kern w:val="16"/>
                <w:sz w:val="18"/>
                <w14:ligatures w14:val="standardContextual"/>
              </w:rPr>
              <w:t>R$ 178,31</w:t>
            </w:r>
          </w:p>
        </w:tc>
        <w:tc>
          <w:tcPr>
            <w:tcW w:w="1270" w:type="dxa"/>
            <w:tcBorders>
              <w:top w:val="single" w:sz="4" w:space="0" w:color="D2C9B8"/>
              <w:left w:val="single" w:sz="4" w:space="0" w:color="D2C9B8"/>
              <w:bottom w:val="single" w:sz="4" w:space="0" w:color="D2C9B8"/>
              <w:right w:val="single" w:sz="4" w:space="0" w:color="D2C9B8"/>
            </w:tcBorders>
          </w:tcPr>
          <w:p w14:paraId="57C2014F" w14:textId="77777777" w:rsidR="005A5FCC" w:rsidRDefault="00A21C81">
            <w:pPr>
              <w:spacing w:before="20" w:after="20" w:line="240" w:lineRule="auto"/>
              <w:jc w:val="left"/>
            </w:pPr>
            <w:r>
              <w:rPr>
                <w:rFonts w:cs="EB Garamond"/>
                <w:kern w:val="16"/>
                <w:sz w:val="18"/>
                <w14:ligatures w14:val="standardContextual"/>
              </w:rPr>
              <w:t>Não</w:t>
            </w:r>
          </w:p>
        </w:tc>
      </w:tr>
      <w:tr w:rsidR="005A5FCC" w14:paraId="5490DDC1"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7E7A169A" w14:textId="77777777" w:rsidR="005A5FCC" w:rsidRDefault="00A21C81">
            <w:pPr>
              <w:spacing w:before="20" w:after="20" w:line="240" w:lineRule="auto"/>
              <w:jc w:val="left"/>
            </w:pPr>
            <w:r>
              <w:rPr>
                <w:rFonts w:cs="EB Garamond"/>
                <w:kern w:val="16"/>
                <w:sz w:val="18"/>
                <w14:ligatures w14:val="standardContextual"/>
              </w:rPr>
              <w:t>Baixa renda</w:t>
            </w:r>
          </w:p>
        </w:tc>
        <w:tc>
          <w:tcPr>
            <w:tcW w:w="1270" w:type="dxa"/>
            <w:tcBorders>
              <w:top w:val="single" w:sz="4" w:space="0" w:color="D2C9B8"/>
              <w:left w:val="single" w:sz="4" w:space="0" w:color="D2C9B8"/>
              <w:bottom w:val="single" w:sz="4" w:space="0" w:color="D2C9B8"/>
              <w:right w:val="single" w:sz="4" w:space="0" w:color="D2C9B8"/>
            </w:tcBorders>
          </w:tcPr>
          <w:p w14:paraId="2CC2185E" w14:textId="77777777" w:rsidR="005A5FCC" w:rsidRDefault="00A21C81">
            <w:pPr>
              <w:spacing w:before="20" w:after="20" w:line="240" w:lineRule="auto"/>
              <w:jc w:val="left"/>
            </w:pPr>
            <w:r>
              <w:rPr>
                <w:rFonts w:cs="EB Garamond"/>
                <w:kern w:val="16"/>
                <w:sz w:val="18"/>
                <w14:ligatures w14:val="standardContextual"/>
              </w:rPr>
              <w:t>SM</w:t>
            </w:r>
          </w:p>
        </w:tc>
        <w:tc>
          <w:tcPr>
            <w:tcW w:w="1270" w:type="dxa"/>
            <w:tcBorders>
              <w:top w:val="single" w:sz="4" w:space="0" w:color="D2C9B8"/>
              <w:left w:val="single" w:sz="4" w:space="0" w:color="D2C9B8"/>
              <w:bottom w:val="single" w:sz="4" w:space="0" w:color="D2C9B8"/>
              <w:right w:val="single" w:sz="4" w:space="0" w:color="D2C9B8"/>
            </w:tcBorders>
          </w:tcPr>
          <w:p w14:paraId="2D2DA2E5" w14:textId="77777777" w:rsidR="005A5FCC" w:rsidRDefault="00A21C81">
            <w:pPr>
              <w:spacing w:before="20" w:after="20" w:line="240" w:lineRule="auto"/>
              <w:jc w:val="left"/>
            </w:pPr>
            <w:r>
              <w:rPr>
                <w:rFonts w:cs="EB Garamond"/>
                <w:kern w:val="16"/>
                <w:sz w:val="18"/>
                <w14:ligatures w14:val="standardContextual"/>
              </w:rPr>
              <w:t>5%</w:t>
            </w:r>
          </w:p>
        </w:tc>
        <w:tc>
          <w:tcPr>
            <w:tcW w:w="1270" w:type="dxa"/>
            <w:tcBorders>
              <w:top w:val="single" w:sz="4" w:space="0" w:color="D2C9B8"/>
              <w:left w:val="single" w:sz="4" w:space="0" w:color="D2C9B8"/>
              <w:bottom w:val="single" w:sz="4" w:space="0" w:color="D2C9B8"/>
              <w:right w:val="single" w:sz="4" w:space="0" w:color="D2C9B8"/>
            </w:tcBorders>
          </w:tcPr>
          <w:p w14:paraId="4ACEEF60" w14:textId="77777777" w:rsidR="005A5FCC" w:rsidRDefault="00A21C81">
            <w:pPr>
              <w:spacing w:before="20" w:after="20" w:line="240" w:lineRule="auto"/>
              <w:jc w:val="left"/>
            </w:pPr>
            <w:r>
              <w:rPr>
                <w:rFonts w:cs="EB Garamond"/>
                <w:kern w:val="16"/>
                <w:sz w:val="18"/>
                <w14:ligatures w14:val="standardContextual"/>
              </w:rPr>
              <w:t>R$ 81,05</w:t>
            </w:r>
          </w:p>
        </w:tc>
        <w:tc>
          <w:tcPr>
            <w:tcW w:w="1270" w:type="dxa"/>
            <w:tcBorders>
              <w:top w:val="single" w:sz="4" w:space="0" w:color="D2C9B8"/>
              <w:left w:val="single" w:sz="4" w:space="0" w:color="D2C9B8"/>
              <w:bottom w:val="single" w:sz="4" w:space="0" w:color="D2C9B8"/>
              <w:right w:val="single" w:sz="4" w:space="0" w:color="D2C9B8"/>
            </w:tcBorders>
          </w:tcPr>
          <w:p w14:paraId="7FC21AF3" w14:textId="77777777" w:rsidR="005A5FCC" w:rsidRDefault="00A21C81">
            <w:pPr>
              <w:spacing w:before="20" w:after="20" w:line="240" w:lineRule="auto"/>
              <w:jc w:val="left"/>
            </w:pPr>
            <w:r>
              <w:rPr>
                <w:rFonts w:cs="EB Garamond"/>
                <w:kern w:val="16"/>
                <w:sz w:val="18"/>
                <w14:ligatures w14:val="standardContextual"/>
              </w:rPr>
              <w:t>Não</w:t>
            </w:r>
          </w:p>
        </w:tc>
      </w:tr>
    </w:tbl>
    <w:p w14:paraId="54980A28" w14:textId="77777777" w:rsidR="005A5FCC" w:rsidRDefault="005A5FCC">
      <w:pPr>
        <w:spacing w:after="80" w:line="240" w:lineRule="auto"/>
      </w:pPr>
    </w:p>
    <w:p w14:paraId="67CA8096" w14:textId="77777777" w:rsidR="005A5FCC" w:rsidRDefault="00A21C81">
      <w:pPr>
        <w:spacing w:before="260" w:after="80" w:line="240" w:lineRule="auto"/>
        <w:jc w:val="left"/>
      </w:pPr>
      <w:r>
        <w:rPr>
          <w:rFonts w:cs="EB Garamond"/>
          <w:b/>
          <w:color w:val="3A3128"/>
          <w:kern w:val="16"/>
          <w:sz w:val="25"/>
          <w14:ligatures w14:val="standardContextual"/>
        </w:rPr>
        <w:t>4.8.2 Plano simplificado do facultativo (11%)</w:t>
      </w:r>
    </w:p>
    <w:p w14:paraId="5EB3F573"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38DC1964" w14:textId="5C5959AA" w:rsidR="005A5FCC" w:rsidRDefault="00A21C81">
      <w:r>
        <w:rPr>
          <w:rFonts w:cs="EB Garamond"/>
          <w:kern w:val="16"/>
          <w14:ligatures w14:val="standardContextual"/>
        </w:rPr>
        <w:t xml:space="preserve">plica-se a qualquer segurado facultativo, sem requisito de renda. O código GPS é 1473. A restrição é a mesma do CI simplificado: sem direito a aposentadoria por tempo de contribuição. A base é sempre o </w:t>
      </w:r>
      <w:r w:rsidR="00737540">
        <w:rPr>
          <w:rFonts w:cs="EB Garamond"/>
          <w:kern w:val="16"/>
          <w14:ligatures w14:val="standardContextual"/>
        </w:rPr>
        <w:t>salário-mínimo</w:t>
      </w:r>
      <w:r>
        <w:rPr>
          <w:rFonts w:cs="EB Garamond"/>
          <w:kern w:val="16"/>
          <w14:ligatures w14:val="standardContextual"/>
        </w:rPr>
        <w:t>.</w:t>
      </w:r>
    </w:p>
    <w:p w14:paraId="6EC6D848" w14:textId="77777777" w:rsidR="005A5FCC" w:rsidRDefault="00A21C81">
      <w:pPr>
        <w:spacing w:before="260" w:after="80" w:line="240" w:lineRule="auto"/>
        <w:jc w:val="left"/>
      </w:pPr>
      <w:r>
        <w:rPr>
          <w:rFonts w:cs="EB Garamond"/>
          <w:b/>
          <w:color w:val="3A3128"/>
          <w:kern w:val="16"/>
          <w:sz w:val="25"/>
          <w14:ligatures w14:val="standardContextual"/>
        </w:rPr>
        <w:t>4.8.3 Facultativo baixa renda: alíquota de 5%</w:t>
      </w:r>
    </w:p>
    <w:p w14:paraId="5D6442E2"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6A66B456" w14:textId="77777777" w:rsidR="005A5FCC" w:rsidRDefault="00A21C81">
      <w:r>
        <w:rPr>
          <w:rFonts w:cs="EB Garamond"/>
          <w:kern w:val="16"/>
          <w14:ligatures w14:val="standardContextual"/>
        </w:rPr>
        <w:t xml:space="preserve"> Lei 12.470/2011, ao dar nova redação ao art. 21, § 2º, inciso II, alínea 'b', da Lei 8.212/91, criou a alíquota reduzida de 5% sobre o SM para o segurado facultativo de baixa renda. Os requisitos são cumulativos e devem persistir durante todo o período contributivo:</w:t>
      </w:r>
    </w:p>
    <w:p w14:paraId="0779FAF1" w14:textId="77777777" w:rsidR="00737540" w:rsidRDefault="00A21C81">
      <w:pPr>
        <w:ind w:firstLine="238"/>
        <w:rPr>
          <w:rFonts w:cs="EB Garamond"/>
          <w:kern w:val="16"/>
          <w14:ligatures w14:val="standardContextual"/>
        </w:rPr>
      </w:pPr>
      <w:r>
        <w:rPr>
          <w:rFonts w:cs="EB Garamond"/>
          <w:kern w:val="16"/>
          <w14:ligatures w14:val="standardContextual"/>
        </w:rPr>
        <w:t xml:space="preserve">a) Não possuir renda própria de qualquer natureza; </w:t>
      </w:r>
    </w:p>
    <w:p w14:paraId="2BD1049B" w14:textId="77777777" w:rsidR="00737540" w:rsidRDefault="00A21C81">
      <w:pPr>
        <w:ind w:firstLine="238"/>
        <w:rPr>
          <w:rFonts w:cs="EB Garamond"/>
          <w:kern w:val="16"/>
          <w14:ligatures w14:val="standardContextual"/>
        </w:rPr>
      </w:pPr>
      <w:r>
        <w:rPr>
          <w:rFonts w:cs="EB Garamond"/>
          <w:kern w:val="16"/>
          <w14:ligatures w14:val="standardContextual"/>
        </w:rPr>
        <w:t xml:space="preserve">b) Dedicar-se exclusivamente ao trabalho doméstico no âmbito de sua residência; </w:t>
      </w:r>
    </w:p>
    <w:p w14:paraId="03E87A7B" w14:textId="08AF8566" w:rsidR="00737540" w:rsidRDefault="00A21C81">
      <w:pPr>
        <w:ind w:firstLine="238"/>
        <w:rPr>
          <w:rFonts w:cs="EB Garamond"/>
          <w:kern w:val="16"/>
          <w14:ligatures w14:val="standardContextual"/>
        </w:rPr>
      </w:pPr>
      <w:r>
        <w:rPr>
          <w:rFonts w:cs="EB Garamond"/>
          <w:kern w:val="16"/>
          <w14:ligatures w14:val="standardContextual"/>
        </w:rPr>
        <w:lastRenderedPageBreak/>
        <w:t xml:space="preserve">c) Pertencer a família inscrita no Cadastro Único para Programas Sociais (CadÚnico); </w:t>
      </w:r>
      <w:r w:rsidR="00737540">
        <w:rPr>
          <w:rFonts w:cs="EB Garamond"/>
          <w:kern w:val="16"/>
          <w14:ligatures w14:val="standardContextual"/>
        </w:rPr>
        <w:t>e</w:t>
      </w:r>
    </w:p>
    <w:p w14:paraId="01213817" w14:textId="0CAA7F76" w:rsidR="005A5FCC" w:rsidRDefault="00A21C81">
      <w:pPr>
        <w:ind w:firstLine="238"/>
      </w:pPr>
      <w:r>
        <w:rPr>
          <w:rFonts w:cs="EB Garamond"/>
          <w:kern w:val="16"/>
          <w14:ligatures w14:val="standardContextual"/>
        </w:rPr>
        <w:t xml:space="preserve">d) Renda mensal familiar de até 2 </w:t>
      </w:r>
      <w:r w:rsidR="00737540">
        <w:rPr>
          <w:rFonts w:cs="EB Garamond"/>
          <w:kern w:val="16"/>
          <w14:ligatures w14:val="standardContextual"/>
        </w:rPr>
        <w:t>salários-mínimos</w:t>
      </w:r>
      <w:r>
        <w:rPr>
          <w:rFonts w:cs="EB Garamond"/>
          <w:kern w:val="16"/>
          <w14:ligatures w14:val="standardContextual"/>
        </w:rPr>
        <w:t>.</w:t>
      </w:r>
    </w:p>
    <w:tbl>
      <w:tblPr>
        <w:tblW w:w="5000" w:type="pct"/>
        <w:jc w:val="center"/>
        <w:tblLayout w:type="fixed"/>
        <w:tblLook w:val="04A0" w:firstRow="1" w:lastRow="0" w:firstColumn="1" w:lastColumn="0" w:noHBand="0" w:noVBand="1"/>
      </w:tblPr>
      <w:tblGrid>
        <w:gridCol w:w="6311"/>
      </w:tblGrid>
      <w:tr w:rsidR="005A5FCC" w14:paraId="5649880C"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72716C98"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046003CD" w14:textId="77777777" w:rsidR="005A5FCC" w:rsidRDefault="00A21C81">
            <w:pPr>
              <w:spacing w:after="60" w:line="247" w:lineRule="auto"/>
            </w:pPr>
            <w:r>
              <w:rPr>
                <w:rFonts w:cs="EB Garamond"/>
                <w:b/>
                <w:kern w:val="16"/>
                <w:sz w:val="19"/>
                <w14:ligatures w14:val="standardContextual"/>
              </w:rPr>
              <w:t>Atenção — Armadilhas do plano 5%:</w:t>
            </w:r>
          </w:p>
          <w:p w14:paraId="727E82CC" w14:textId="77777777" w:rsidR="005A5FCC" w:rsidRDefault="00A21C81">
            <w:pPr>
              <w:spacing w:after="30" w:line="240" w:lineRule="auto"/>
              <w:ind w:left="227" w:hanging="142"/>
            </w:pPr>
            <w:r>
              <w:rPr>
                <w:rFonts w:cs="EB Garamond"/>
                <w:kern w:val="16"/>
                <w:sz w:val="19"/>
                <w14:ligatures w14:val="standardContextual"/>
              </w:rPr>
              <w:t>1. A inscrição no CadÚnico deve estar ATUALIZADA (a cada 2 anos). Se o CadÚnico está desatualizado, o INSS pode negar o cômputo das contribuições.</w:t>
            </w:r>
          </w:p>
          <w:p w14:paraId="7A6CB634" w14:textId="4AC2B815" w:rsidR="005A5FCC" w:rsidRDefault="00A21C81">
            <w:pPr>
              <w:spacing w:after="30" w:line="240" w:lineRule="auto"/>
              <w:ind w:left="227" w:hanging="142"/>
            </w:pPr>
            <w:r>
              <w:rPr>
                <w:rFonts w:cs="EB Garamond"/>
                <w:kern w:val="16"/>
                <w:sz w:val="19"/>
                <w14:ligatures w14:val="standardContextual"/>
              </w:rPr>
              <w:t>2. "Sem renda própria" inclui qualquer fonte</w:t>
            </w:r>
            <w:r w:rsidR="00737540">
              <w:rPr>
                <w:rFonts w:cs="EB Garamond"/>
                <w:kern w:val="16"/>
                <w:sz w:val="19"/>
                <w14:ligatures w14:val="standardContextual"/>
              </w:rPr>
              <w:t>. S</w:t>
            </w:r>
            <w:r>
              <w:rPr>
                <w:rFonts w:cs="EB Garamond"/>
                <w:kern w:val="16"/>
                <w:sz w:val="19"/>
                <w14:ligatures w14:val="standardContextual"/>
              </w:rPr>
              <w:t>e o segurado recebe pensão alimentícia, aluguel ou pensão por morte, perde o direito à alíquota de 5%.</w:t>
            </w:r>
          </w:p>
          <w:p w14:paraId="3796F0E3" w14:textId="77777777" w:rsidR="005A5FCC" w:rsidRDefault="00A21C81">
            <w:pPr>
              <w:spacing w:after="30" w:line="240" w:lineRule="auto"/>
              <w:ind w:left="227" w:hanging="142"/>
            </w:pPr>
            <w:r>
              <w:rPr>
                <w:rFonts w:cs="EB Garamond"/>
                <w:kern w:val="16"/>
                <w:sz w:val="19"/>
                <w14:ligatures w14:val="standardContextual"/>
              </w:rPr>
              <w:t>3. O benefício de aposentadoria será de 1 SM. Não há possibilidade de aposentadoria com valor superior, pois a base de contribuição é sempre o mínimo.</w:t>
            </w:r>
          </w:p>
          <w:p w14:paraId="34A40204" w14:textId="77777777" w:rsidR="005A5FCC" w:rsidRDefault="00A21C81">
            <w:pPr>
              <w:spacing w:after="30" w:line="240" w:lineRule="auto"/>
              <w:ind w:left="227" w:hanging="142"/>
            </w:pPr>
            <w:r>
              <w:rPr>
                <w:rFonts w:cs="EB Garamond"/>
                <w:kern w:val="16"/>
                <w:sz w:val="19"/>
                <w14:ligatures w14:val="standardContextual"/>
              </w:rPr>
              <w:t>4. Se o segurado deixar de preencher os requisitos (ex.: conseguir emprego), deve migrar para outra categoria imediatamente. Contribuições feitas como baixa renda após a perda dos requisitos são inválidas.</w:t>
            </w:r>
          </w:p>
          <w:p w14:paraId="12EE2D38" w14:textId="77777777" w:rsidR="005A5FCC" w:rsidRDefault="00A21C81">
            <w:pPr>
              <w:spacing w:after="30" w:line="240" w:lineRule="auto"/>
              <w:ind w:left="227" w:hanging="142"/>
            </w:pPr>
            <w:r>
              <w:rPr>
                <w:rFonts w:cs="EB Garamond"/>
                <w:kern w:val="16"/>
                <w:sz w:val="19"/>
                <w14:ligatures w14:val="standardContextual"/>
              </w:rPr>
              <w:t>5. QUALQUER atividade remunerada, ainda que informal, descaracteriza a condição, conforme a TNU fixou no Tema 241 (vide box jurisprudencial abaixo).</w:t>
            </w:r>
          </w:p>
        </w:tc>
      </w:tr>
    </w:tbl>
    <w:p w14:paraId="5DF511DE" w14:textId="77777777" w:rsidR="005A5FCC" w:rsidRDefault="005A5FCC">
      <w:pPr>
        <w:spacing w:after="80" w:line="240" w:lineRule="auto"/>
      </w:pPr>
    </w:p>
    <w:tbl>
      <w:tblPr>
        <w:tblW w:w="5000" w:type="pct"/>
        <w:jc w:val="center"/>
        <w:tblLayout w:type="fixed"/>
        <w:tblLook w:val="04A0" w:firstRow="1" w:lastRow="0" w:firstColumn="1" w:lastColumn="0" w:noHBand="0" w:noVBand="1"/>
      </w:tblPr>
      <w:tblGrid>
        <w:gridCol w:w="6311"/>
      </w:tblGrid>
      <w:tr w:rsidR="005A5FCC" w14:paraId="07C2A2CC"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1DBB65DD" w14:textId="77777777" w:rsidR="005A5FCC" w:rsidRDefault="00A21C81">
            <w:pPr>
              <w:spacing w:after="60" w:line="240" w:lineRule="auto"/>
              <w:jc w:val="left"/>
            </w:pPr>
            <w:r>
              <w:rPr>
                <w:rFonts w:ascii="Noto Sans" w:hAnsi="Noto Sans" w:cs="Noto Sans"/>
                <w:b/>
                <w:caps/>
                <w:color w:val="4D6F8A"/>
                <w:kern w:val="16"/>
                <w:sz w:val="16"/>
                <w14:ligatures w14:val="standardContextual"/>
              </w:rPr>
              <w:t>JURISPRUDÊNCIA EM DESTAQUE</w:t>
            </w:r>
          </w:p>
          <w:p w14:paraId="393F9E8F" w14:textId="77777777" w:rsidR="005A5FCC" w:rsidRDefault="00A21C81">
            <w:pPr>
              <w:spacing w:after="60" w:line="247" w:lineRule="auto"/>
            </w:pPr>
            <w:r>
              <w:rPr>
                <w:rFonts w:cs="EB Garamond"/>
                <w:b/>
                <w:kern w:val="16"/>
                <w:sz w:val="19"/>
                <w14:ligatures w14:val="standardContextual"/>
              </w:rPr>
              <w:t>TNU — Tema 241 (j. 21/10/2021)</w:t>
            </w:r>
          </w:p>
          <w:p w14:paraId="58B2B488" w14:textId="77777777" w:rsidR="005A5FCC" w:rsidRDefault="00A21C81">
            <w:pPr>
              <w:spacing w:after="60" w:line="247" w:lineRule="auto"/>
            </w:pPr>
            <w:r>
              <w:rPr>
                <w:rFonts w:cs="EB Garamond"/>
                <w:b/>
                <w:kern w:val="16"/>
                <w:sz w:val="19"/>
                <w14:ligatures w14:val="standardContextual"/>
              </w:rPr>
              <w:t>Tese fixada:</w:t>
            </w:r>
            <w:r>
              <w:rPr>
                <w:rFonts w:cs="EB Garamond"/>
                <w:kern w:val="16"/>
                <w:sz w:val="19"/>
                <w14:ligatures w14:val="standardContextual"/>
              </w:rPr>
              <w:t xml:space="preserve"> "O exercício de atividade remunerada, ainda que informal e de baixa expressão econômica, obsta o enquadramento como segurado facultativo de baixa renda, na forma do art. 21, § 2º, inciso II, alínea 'b', da Lei n. 8.212/1991, impedindo a validação das contribuições recolhidas sob a alíquota de 5%."</w:t>
            </w:r>
          </w:p>
          <w:p w14:paraId="5AC4A46A" w14:textId="77777777" w:rsidR="005A5FCC" w:rsidRDefault="00A21C81">
            <w:pPr>
              <w:spacing w:after="60" w:line="247" w:lineRule="auto"/>
            </w:pPr>
            <w:r>
              <w:rPr>
                <w:rFonts w:cs="EB Garamond"/>
                <w:b/>
                <w:kern w:val="16"/>
                <w:sz w:val="19"/>
                <w14:ligatures w14:val="standardContextual"/>
              </w:rPr>
              <w:t>Consequência prática:</w:t>
            </w:r>
            <w:r>
              <w:rPr>
                <w:rFonts w:cs="EB Garamond"/>
                <w:kern w:val="16"/>
                <w:sz w:val="19"/>
                <w14:ligatures w14:val="standardContextual"/>
              </w:rPr>
              <w:t xml:space="preserve"> A dona de casa que eventualmente faz "bicos" (faxinas, venda de salgados, artesanato) perde o direito à alíquota de 5%, mesmo que a renda obtida seja ínfima. Nesses casos, a formalização como MEI (5% sobre SM com cobertura previdenciária) pode ser alternativa mais segura, pois o MEI pode exercer atividade remunerada sem a restrição de "renda própria".</w:t>
            </w:r>
          </w:p>
          <w:p w14:paraId="44E45CA3" w14:textId="77777777" w:rsidR="005A5FCC" w:rsidRDefault="00A21C81">
            <w:pPr>
              <w:spacing w:after="60" w:line="247" w:lineRule="auto"/>
            </w:pPr>
            <w:r>
              <w:rPr>
                <w:rFonts w:cs="EB Garamond"/>
                <w:b/>
                <w:kern w:val="16"/>
                <w:sz w:val="19"/>
                <w14:ligatures w14:val="standardContextual"/>
              </w:rPr>
              <w:t>Impacto no JEF:</w:t>
            </w:r>
            <w:r>
              <w:rPr>
                <w:rFonts w:cs="EB Garamond"/>
                <w:kern w:val="16"/>
                <w:sz w:val="19"/>
                <w14:ligatures w14:val="standardContextual"/>
              </w:rPr>
              <w:t xml:space="preserve"> Frequentes ações de restabelecimento/concessão em que o INSS invalida contribuições feitas sob o código 1929 ao constatar (via CNIS, CadÚnico ou cruzamento de dados) que o segurado exercia atividade remunerada. As contribuições invalidadas não são devolvidas, são convertidas para o código 1473 (11% sobre SM) mediante complementação de 6%, ou simplesmente não computadas.</w:t>
            </w:r>
          </w:p>
        </w:tc>
      </w:tr>
    </w:tbl>
    <w:p w14:paraId="50EC2DD2" w14:textId="77777777" w:rsidR="005A5FCC" w:rsidRDefault="005A5FCC">
      <w:pPr>
        <w:spacing w:after="80" w:line="240" w:lineRule="auto"/>
      </w:pPr>
    </w:p>
    <w:p w14:paraId="0FA6B698" w14:textId="77777777" w:rsidR="005A5FCC" w:rsidRDefault="00A21C81">
      <w:pPr>
        <w:spacing w:before="260" w:after="80" w:line="240" w:lineRule="auto"/>
        <w:jc w:val="left"/>
      </w:pPr>
      <w:r>
        <w:rPr>
          <w:rFonts w:cs="EB Garamond"/>
          <w:b/>
          <w:color w:val="3A3128"/>
          <w:kern w:val="16"/>
          <w:sz w:val="25"/>
          <w14:ligatures w14:val="standardContextual"/>
        </w:rPr>
        <w:t>4.8.4 Complementação do facultativo</w:t>
      </w:r>
    </w:p>
    <w:p w14:paraId="09B7AEE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66BC900E" w14:textId="77777777" w:rsidR="005A5FCC" w:rsidRDefault="00A21C81">
      <w:r>
        <w:rPr>
          <w:rFonts w:cs="EB Garamond"/>
          <w:kern w:val="16"/>
          <w14:ligatures w14:val="standardContextual"/>
        </w:rPr>
        <w:t>ssim como o MEI, o segurado facultativo que contribuiu pelo plano simplificado (11%) ou pelo plano baixa renda (5%) pode complementar para obter contagem de tempo de contribuição:</w:t>
      </w:r>
    </w:p>
    <w:p w14:paraId="6AEF4A44"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Plano 11% → complementar 9% (para atingir 20% sobre SM)</w:t>
      </w:r>
    </w:p>
    <w:p w14:paraId="79010318"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Plano 5% → complementar 15% (para atingir 20% sobre SM)</w:t>
      </w:r>
    </w:p>
    <w:p w14:paraId="36E09B3E" w14:textId="77777777" w:rsidR="005A5FCC" w:rsidRDefault="005A5FCC">
      <w:pPr>
        <w:spacing w:after="60" w:line="240" w:lineRule="auto"/>
      </w:pPr>
    </w:p>
    <w:p w14:paraId="61B0662C"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474C9F38" w14:textId="77777777" w:rsidR="005A5FCC" w:rsidRDefault="00A21C81">
      <w:r>
        <w:rPr>
          <w:rFonts w:cs="EB Garamond"/>
          <w:kern w:val="16"/>
          <w14:ligatures w14:val="standardContextual"/>
        </w:rPr>
        <w:t xml:space="preserve"> código GPS para complementação é o 1686 (facultativo complementar). A complementação somente produz efeitos se recolhida antes do requerimento do benefício.</w:t>
      </w:r>
    </w:p>
    <w:p w14:paraId="6184FD23"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4.9 Contribuição do empregado doméstico</w:t>
      </w:r>
    </w:p>
    <w:p w14:paraId="45F000BB" w14:textId="77777777" w:rsidR="005A5FCC" w:rsidRDefault="00A21C81">
      <w:pPr>
        <w:spacing w:before="260" w:after="80" w:line="240" w:lineRule="auto"/>
        <w:jc w:val="left"/>
      </w:pPr>
      <w:r>
        <w:rPr>
          <w:rFonts w:cs="EB Garamond"/>
          <w:b/>
          <w:color w:val="3A3128"/>
          <w:kern w:val="16"/>
          <w:sz w:val="25"/>
          <w14:ligatures w14:val="standardContextual"/>
        </w:rPr>
        <w:t>4.9.1 Regime especial do empregado doméstico</w:t>
      </w:r>
    </w:p>
    <w:p w14:paraId="2358D7AF"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22570E92" w14:textId="77777777" w:rsidR="005A5FCC" w:rsidRDefault="00A21C81">
      <w:r>
        <w:rPr>
          <w:rFonts w:cs="EB Garamond"/>
          <w:kern w:val="16"/>
          <w14:ligatures w14:val="standardContextual"/>
        </w:rPr>
        <w:t xml:space="preserve"> empregado doméstico possui regime contributivo próprio, disciplinado pela LC 150/2015 (que regulamentou a EC 72/2013) e operacionalizado exclusivamente pelo módulo eSocial Doméstico. A contribuição do empregado doméstico segue as mesmas alíquotas progressivas do empregado comum (7,5% a 14%, por faixas), mas o recolhimento é feito pelo empregador por meio do DAE — Documento de Arrecadação do eSocial.</w:t>
      </w:r>
    </w:p>
    <w:p w14:paraId="00D6C126" w14:textId="77777777" w:rsidR="005A5FCC" w:rsidRDefault="00A21C81">
      <w:pPr>
        <w:ind w:firstLine="238"/>
      </w:pPr>
      <w:r>
        <w:rPr>
          <w:rFonts w:cs="EB Garamond"/>
          <w:kern w:val="16"/>
          <w14:ligatures w14:val="standardContextual"/>
        </w:rPr>
        <w:t>O DAE unifica, em guia mensal única, todas as obrigações do empregador doméstico:</w:t>
      </w:r>
    </w:p>
    <w:p w14:paraId="49BC7491"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Contribuição previdenciária do empregado (alíquotas progressivas)</w:t>
      </w:r>
    </w:p>
    <w:p w14:paraId="5DD0CD7F"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Contribuição patronal previdenciária (8%)</w:t>
      </w:r>
    </w:p>
    <w:p w14:paraId="2E6858E1"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Seguro contra acidentes de trabalho — GILRAT (0,8%)</w:t>
      </w:r>
    </w:p>
    <w:p w14:paraId="74267E1C"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FGTS (8%)</w:t>
      </w:r>
    </w:p>
    <w:p w14:paraId="03C0F83A"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FGTS, reserva indenizatória (3,2%)</w:t>
      </w:r>
    </w:p>
    <w:p w14:paraId="1CFF8CE2" w14:textId="77777777" w:rsidR="005A5FCC" w:rsidRDefault="005A5FCC">
      <w:pPr>
        <w:spacing w:after="60" w:line="240" w:lineRule="auto"/>
      </w:pPr>
    </w:p>
    <w:p w14:paraId="12CC7C5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O</w:t>
      </w:r>
    </w:p>
    <w:p w14:paraId="49CADEF6" w14:textId="5F910DAC" w:rsidR="005A5FCC" w:rsidRDefault="00A21C81">
      <w:r>
        <w:rPr>
          <w:rFonts w:cs="EB Garamond"/>
          <w:kern w:val="16"/>
          <w14:ligatures w14:val="standardContextual"/>
        </w:rPr>
        <w:t xml:space="preserve"> vencimento </w:t>
      </w:r>
      <w:r w:rsidR="00737540">
        <w:rPr>
          <w:rFonts w:cs="EB Garamond"/>
          <w:kern w:val="16"/>
          <w14:ligatures w14:val="standardContextual"/>
        </w:rPr>
        <w:t>ocorre no</w:t>
      </w:r>
      <w:r>
        <w:rPr>
          <w:rFonts w:cs="EB Garamond"/>
          <w:kern w:val="16"/>
          <w14:ligatures w14:val="standardContextual"/>
        </w:rPr>
        <w:t xml:space="preserve"> dia 7 do mês seguinte à competência. O empregador gera e paga a guia pelo portal do eSocial (login Gov.br, nível prata ou ouro).</w:t>
      </w:r>
    </w:p>
    <w:p w14:paraId="06D8568B" w14:textId="77777777" w:rsidR="005A5FCC" w:rsidRDefault="00A21C81">
      <w:pPr>
        <w:spacing w:before="260" w:after="80" w:line="240" w:lineRule="auto"/>
        <w:jc w:val="left"/>
      </w:pPr>
      <w:r>
        <w:rPr>
          <w:rFonts w:cs="EB Garamond"/>
          <w:b/>
          <w:color w:val="3A3128"/>
          <w:kern w:val="16"/>
          <w:sz w:val="25"/>
          <w14:ligatures w14:val="standardContextual"/>
        </w:rPr>
        <w:t>4.9.2 Relevância nos JEFs: doméstico sem registro</w:t>
      </w:r>
    </w:p>
    <w:p w14:paraId="347CB77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S</w:t>
      </w:r>
    </w:p>
    <w:p w14:paraId="2F960C38" w14:textId="77777777" w:rsidR="005A5FCC" w:rsidRDefault="00A21C81">
      <w:r>
        <w:rPr>
          <w:rFonts w:cs="EB Garamond"/>
          <w:kern w:val="16"/>
          <w14:ligatures w14:val="standardContextual"/>
        </w:rPr>
        <w:t>ituação comum nos JEFs: o empregado doméstico que trabalhou sem registro formal (antes ou depois da LC 150/2015) e busca o reconhecimento de vínculo para cômputo de tempo de contribuição e carência. A prova é particularmente difícil pela natureza da relação — trabalho prestado na intimidade do lar, frequentemente sem documentação.</w:t>
      </w:r>
    </w:p>
    <w:p w14:paraId="2A5F9397" w14:textId="77777777" w:rsidR="005A5FCC" w:rsidRDefault="00A21C81">
      <w:pPr>
        <w:ind w:firstLine="238"/>
      </w:pPr>
      <w:r>
        <w:rPr>
          <w:rFonts w:cs="EB Garamond"/>
          <w:kern w:val="16"/>
          <w14:ligatures w14:val="standardContextual"/>
        </w:rPr>
        <w:t>O INSS resiste ao reconhecimento de vínculo doméstico sem contribuições formais, mas o JEF pode reconhecer o vínculo mediante prova testemunhal corroborada por indícios materiais (recibos de pagamento, mensagens, declarações de IR do empregador, comprovantes de coabitação). Uma vez reconhecido o vínculo, as contribuições são devidas pelo empregador, e o segurado não precisa indenizar, pois a obrigação de recolher era do empregador (princípio da automaticidade da filiação).</w:t>
      </w:r>
    </w:p>
    <w:tbl>
      <w:tblPr>
        <w:tblW w:w="5000" w:type="pct"/>
        <w:jc w:val="center"/>
        <w:tblLayout w:type="fixed"/>
        <w:tblLook w:val="04A0" w:firstRow="1" w:lastRow="0" w:firstColumn="1" w:lastColumn="0" w:noHBand="0" w:noVBand="1"/>
      </w:tblPr>
      <w:tblGrid>
        <w:gridCol w:w="6311"/>
      </w:tblGrid>
      <w:tr w:rsidR="005A5FCC" w14:paraId="6AC37AC4"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2FADDA21"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3B95E866" w14:textId="77777777" w:rsidR="005A5FCC" w:rsidRDefault="00A21C81">
            <w:pPr>
              <w:spacing w:after="60" w:line="247" w:lineRule="auto"/>
            </w:pPr>
            <w:r>
              <w:rPr>
                <w:rFonts w:cs="EB Garamond"/>
                <w:b/>
                <w:kern w:val="16"/>
                <w:sz w:val="19"/>
                <w14:ligatures w14:val="standardContextual"/>
              </w:rPr>
              <w:t>Prova de vínculo doméstico no JEF — documentos úteis:</w:t>
            </w:r>
          </w:p>
          <w:p w14:paraId="010164AE" w14:textId="77777777" w:rsidR="005A5FCC" w:rsidRDefault="00A21C81">
            <w:pPr>
              <w:spacing w:after="30" w:line="240" w:lineRule="auto"/>
              <w:ind w:left="227" w:hanging="142"/>
            </w:pPr>
            <w:r>
              <w:rPr>
                <w:rFonts w:cs="EB Garamond"/>
                <w:kern w:val="16"/>
                <w:sz w:val="19"/>
                <w14:ligatures w14:val="standardContextual"/>
              </w:rPr>
              <w:t>• Declaração de IR do empregador com pagamento a pessoa física (mesmo sem identificação como "doméstico")</w:t>
            </w:r>
          </w:p>
          <w:p w14:paraId="2D800F99" w14:textId="77777777" w:rsidR="005A5FCC" w:rsidRDefault="00A21C81">
            <w:pPr>
              <w:spacing w:after="30" w:line="240" w:lineRule="auto"/>
              <w:ind w:left="227" w:hanging="142"/>
            </w:pPr>
            <w:r>
              <w:rPr>
                <w:rFonts w:cs="EB Garamond"/>
                <w:kern w:val="16"/>
                <w:sz w:val="19"/>
                <w14:ligatures w14:val="standardContextual"/>
              </w:rPr>
              <w:t>• Comprovantes de transferência/PIX periódicos do empregador para o trabalhador</w:t>
            </w:r>
          </w:p>
          <w:p w14:paraId="24E336C1" w14:textId="77777777" w:rsidR="005A5FCC" w:rsidRDefault="00A21C81">
            <w:pPr>
              <w:spacing w:after="30" w:line="240" w:lineRule="auto"/>
              <w:ind w:left="227" w:hanging="142"/>
            </w:pPr>
            <w:r>
              <w:rPr>
                <w:rFonts w:cs="EB Garamond"/>
                <w:kern w:val="16"/>
                <w:sz w:val="19"/>
                <w14:ligatures w14:val="standardContextual"/>
              </w:rPr>
              <w:t>• Comunicação via mensagens (WhatsApp) sobre escala, pagamento, tarefas</w:t>
            </w:r>
          </w:p>
          <w:p w14:paraId="3BB844BF" w14:textId="77777777" w:rsidR="005A5FCC" w:rsidRDefault="00A21C81">
            <w:pPr>
              <w:spacing w:after="30" w:line="240" w:lineRule="auto"/>
              <w:ind w:left="227" w:hanging="142"/>
            </w:pPr>
            <w:r>
              <w:rPr>
                <w:rFonts w:cs="EB Garamond"/>
                <w:kern w:val="16"/>
                <w:sz w:val="19"/>
                <w14:ligatures w14:val="standardContextual"/>
              </w:rPr>
              <w:t>• Testemunhos de vizinhos, porteiros, familiares</w:t>
            </w:r>
          </w:p>
          <w:p w14:paraId="27321F2E" w14:textId="77777777" w:rsidR="005A5FCC" w:rsidRDefault="00A21C81">
            <w:pPr>
              <w:spacing w:after="30" w:line="240" w:lineRule="auto"/>
              <w:ind w:left="227" w:hanging="142"/>
            </w:pPr>
            <w:r>
              <w:rPr>
                <w:rFonts w:cs="EB Garamond"/>
                <w:kern w:val="16"/>
                <w:sz w:val="19"/>
                <w14:ligatures w14:val="standardContextual"/>
              </w:rPr>
              <w:t>• Fotos ou registros no local de trabalho</w:t>
            </w:r>
          </w:p>
          <w:p w14:paraId="48E2E3F4" w14:textId="77777777" w:rsidR="005A5FCC" w:rsidRDefault="00A21C81">
            <w:pPr>
              <w:spacing w:after="30" w:line="240" w:lineRule="auto"/>
              <w:ind w:left="227" w:hanging="142"/>
            </w:pPr>
            <w:r>
              <w:rPr>
                <w:rFonts w:cs="EB Garamond"/>
                <w:kern w:val="16"/>
                <w:sz w:val="19"/>
                <w14:ligatures w14:val="standardContextual"/>
              </w:rPr>
              <w:t>• Cadastro no CadÚnico ou programas sociais indicando "trabalho doméstico"</w:t>
            </w:r>
          </w:p>
          <w:p w14:paraId="434FE2FA" w14:textId="77777777" w:rsidR="005A5FCC" w:rsidRDefault="00A21C81">
            <w:pPr>
              <w:spacing w:after="60" w:line="247" w:lineRule="auto"/>
            </w:pPr>
            <w:r>
              <w:rPr>
                <w:rFonts w:cs="EB Garamond"/>
                <w:b/>
                <w:kern w:val="16"/>
                <w:sz w:val="19"/>
                <w14:ligatures w14:val="standardContextual"/>
              </w:rPr>
              <w:t>Atenção:</w:t>
            </w:r>
            <w:r>
              <w:rPr>
                <w:rFonts w:cs="EB Garamond"/>
                <w:kern w:val="16"/>
                <w:sz w:val="19"/>
                <w14:ligatures w14:val="standardContextual"/>
              </w:rPr>
              <w:t xml:space="preserve"> A ausência de CTPS assinada não impede o reconhecimento. O vínculo empregatício doméstico configura-se pelos requisitos do art. 1º da LC 150/2015: prestação de serviços de forma contínua, subordinada, onerosa e pessoal, por mais de 2 dias por semana, a pessoa ou família no âmbito residencial.</w:t>
            </w:r>
          </w:p>
        </w:tc>
      </w:tr>
    </w:tbl>
    <w:p w14:paraId="6849AB42" w14:textId="77777777" w:rsidR="005A5FCC" w:rsidRDefault="005A5FCC">
      <w:pPr>
        <w:spacing w:after="80" w:line="240" w:lineRule="auto"/>
      </w:pPr>
    </w:p>
    <w:p w14:paraId="6D3BFF0E"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4.10 Contribuição do segurado especial</w:t>
      </w:r>
    </w:p>
    <w:p w14:paraId="31B4B47F" w14:textId="77777777" w:rsidR="005A5FCC" w:rsidRDefault="00A21C81">
      <w:pPr>
        <w:spacing w:before="260" w:after="80" w:line="240" w:lineRule="auto"/>
        <w:jc w:val="left"/>
      </w:pPr>
      <w:r>
        <w:rPr>
          <w:rFonts w:cs="EB Garamond"/>
          <w:b/>
          <w:color w:val="3A3128"/>
          <w:kern w:val="16"/>
          <w:sz w:val="25"/>
          <w14:ligatures w14:val="standardContextual"/>
        </w:rPr>
        <w:t>4.10.1 Regime diferenciado de custeio</w:t>
      </w:r>
    </w:p>
    <w:p w14:paraId="7C7D4213"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6C5CE037" w14:textId="77777777" w:rsidR="005A5FCC" w:rsidRDefault="00A21C81">
      <w:r>
        <w:rPr>
          <w:rFonts w:cs="EB Garamond"/>
          <w:kern w:val="16"/>
          <w14:ligatures w14:val="standardContextual"/>
        </w:rPr>
        <w:t xml:space="preserve"> segurado especial, pequeno produtor rural, pescador artesanal, extrativista, possui regime de custeio singular no RGPS. Diferentemente de todos os demais segurados, sua contribuição não incide sobre salário ou remuneração, mas sobre a receita bruta da comercialização da produção rural (art. 25, Lei 8.212/91):</w:t>
      </w:r>
    </w:p>
    <w:p w14:paraId="42128E00"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 xml:space="preserve">Alíquota: 1,2% da receita bruta de comercialização (contribuição básica, art. 25, I, Lei 8.212/91) + 0,1% (SAT/GILRAT, art. 25, II, Lei 8.212/91) = </w:t>
      </w:r>
      <w:r>
        <w:rPr>
          <w:rFonts w:cs="EB Garamond"/>
          <w:b/>
          <w:kern w:val="16"/>
          <w:sz w:val="20"/>
          <w14:ligatures w14:val="standardContextual"/>
        </w:rPr>
        <w:t>1,3% total</w:t>
      </w:r>
    </w:p>
    <w:p w14:paraId="5CDE5EC1"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Responsável pelo recolhimento: adquirente da produção (empresa, cooperativa, intermediário)</w:t>
      </w:r>
    </w:p>
    <w:p w14:paraId="59E5FA43"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Sub-rogação: o adquirente retém e recolhe a contribuição do segurado especial</w:t>
      </w:r>
    </w:p>
    <w:p w14:paraId="66BEC89C" w14:textId="77777777" w:rsidR="005A5FCC" w:rsidRDefault="005A5FCC">
      <w:pPr>
        <w:spacing w:after="60" w:line="240" w:lineRule="auto"/>
      </w:pPr>
    </w:p>
    <w:p w14:paraId="4022F492"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N</w:t>
      </w:r>
    </w:p>
    <w:p w14:paraId="180D4E19" w14:textId="77777777" w:rsidR="005A5FCC" w:rsidRDefault="00A21C81">
      <w:r>
        <w:rPr>
          <w:rFonts w:cs="EB Garamond"/>
          <w:kern w:val="16"/>
          <w14:ligatures w14:val="standardContextual"/>
        </w:rPr>
        <w:t>a prática, o segurado especial geralmente não recolhe diretamente nenhuma contribuição. A empresa que adquire sua produção é responsável pela retenção e recolhimento. Se o segurado vende diretamente ao consumidor final (feiras, beira de estrada), deveria recolher sobre a receita bruta, mas essa obrigação raramente é cumprida e não impede a obtenção de benefícios.</w:t>
      </w:r>
    </w:p>
    <w:p w14:paraId="5179CC61" w14:textId="77777777" w:rsidR="005A5FCC" w:rsidRDefault="00A21C81">
      <w:pPr>
        <w:spacing w:before="260" w:after="80" w:line="240" w:lineRule="auto"/>
        <w:jc w:val="left"/>
      </w:pPr>
      <w:r>
        <w:rPr>
          <w:rFonts w:cs="EB Garamond"/>
          <w:b/>
          <w:color w:val="3A3128"/>
          <w:kern w:val="16"/>
          <w:sz w:val="25"/>
          <w14:ligatures w14:val="standardContextual"/>
        </w:rPr>
        <w:t>4.10.2 Dispensa de contribuição formal para benefícios básicos</w:t>
      </w:r>
    </w:p>
    <w:p w14:paraId="48A2810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1D3CB094" w14:textId="77777777" w:rsidR="005A5FCC" w:rsidRDefault="00A21C81">
      <w:r>
        <w:rPr>
          <w:rFonts w:cs="EB Garamond"/>
          <w:kern w:val="16"/>
          <w14:ligatures w14:val="standardContextual"/>
        </w:rPr>
        <w:t xml:space="preserve"> art. 39, I, da Lei 8.213/91 garante ao segurado especial o acesso a benefícios no valor de 1 salário mínimo independentemente de contribuição formal, desde que comprove o exercício de atividade rural pelo período de carência:</w:t>
      </w:r>
    </w:p>
    <w:p w14:paraId="3C4ED8BC"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Aposentadoria por idade rural (55F/60M)</w:t>
      </w:r>
    </w:p>
    <w:p w14:paraId="37DD7C43"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Aposentadoria por incapacidade permanente</w:t>
      </w:r>
    </w:p>
    <w:p w14:paraId="46F4F99F"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Auxílio por incapacidade temporária</w:t>
      </w:r>
    </w:p>
    <w:p w14:paraId="3F191617"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Salário-maternidade</w:t>
      </w:r>
    </w:p>
    <w:p w14:paraId="40713537"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Pensão por morte e auxílio-reclusão (dependentes)</w:t>
      </w:r>
    </w:p>
    <w:p w14:paraId="5213560C" w14:textId="77777777" w:rsidR="005A5FCC" w:rsidRDefault="005A5FCC">
      <w:pPr>
        <w:spacing w:after="60" w:line="240" w:lineRule="auto"/>
      </w:pPr>
    </w:p>
    <w:p w14:paraId="4AD8E6BF"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P</w:t>
      </w:r>
    </w:p>
    <w:p w14:paraId="7E1905CC" w14:textId="77777777" w:rsidR="005A5FCC" w:rsidRDefault="00A21C81">
      <w:r>
        <w:rPr>
          <w:rFonts w:cs="EB Garamond"/>
          <w:kern w:val="16"/>
          <w14:ligatures w14:val="standardContextual"/>
        </w:rPr>
        <w:t>ara obter benefício em valor superior a 1 SM, o segurado especial deve contribuir facultativamente sobre o salário mínimo (código GPS 1503 — 20% sobre SM), além da contribuição sobre a comercialização.</w:t>
      </w:r>
    </w:p>
    <w:tbl>
      <w:tblPr>
        <w:tblW w:w="5000" w:type="pct"/>
        <w:jc w:val="center"/>
        <w:tblLayout w:type="fixed"/>
        <w:tblLook w:val="04A0" w:firstRow="1" w:lastRow="0" w:firstColumn="1" w:lastColumn="0" w:noHBand="0" w:noVBand="1"/>
      </w:tblPr>
      <w:tblGrid>
        <w:gridCol w:w="6311"/>
      </w:tblGrid>
      <w:tr w:rsidR="005A5FCC" w14:paraId="0941F8EF"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21007034"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28DD2F91" w14:textId="77777777" w:rsidR="005A5FCC" w:rsidRDefault="00A21C81">
            <w:pPr>
              <w:spacing w:after="60" w:line="247" w:lineRule="auto"/>
            </w:pPr>
            <w:r>
              <w:rPr>
                <w:rFonts w:cs="EB Garamond"/>
                <w:b/>
                <w:kern w:val="16"/>
                <w:sz w:val="19"/>
                <w14:ligatures w14:val="standardContextual"/>
              </w:rPr>
              <w:t>Atenção — Interface custeio x prova de atividade rural:</w:t>
            </w:r>
          </w:p>
          <w:p w14:paraId="48769BC0" w14:textId="77777777" w:rsidR="005A5FCC" w:rsidRDefault="00A21C81">
            <w:pPr>
              <w:spacing w:after="60" w:line="247" w:lineRule="auto"/>
            </w:pPr>
            <w:r>
              <w:rPr>
                <w:rFonts w:cs="EB Garamond"/>
                <w:kern w:val="16"/>
                <w:sz w:val="19"/>
                <w14:ligatures w14:val="standardContextual"/>
              </w:rPr>
              <w:t>Nos JEFs, o INSS frequentemente nega benefícios rurais alegando ausência de comprovação da comercialização (e, consequentemente, da contribuição). Contudo, a jurisprudência consolidou que a contribuição do segurado especial NÃO é requisito para a concessão do benefício, basta a comprovação da atividade rural pelo período de carência. A contribuição sobre a comercialização é obrigação tributária do adquirente (sub-rogação), não do segurado. O tema é aprofundado no Capítulo 9 (Aposentadoria do Segurado Rural).</w:t>
            </w:r>
          </w:p>
        </w:tc>
      </w:tr>
    </w:tbl>
    <w:p w14:paraId="42F796AE" w14:textId="77777777" w:rsidR="005A5FCC" w:rsidRDefault="005A5FCC">
      <w:pPr>
        <w:spacing w:after="80" w:line="240" w:lineRule="auto"/>
      </w:pPr>
    </w:p>
    <w:p w14:paraId="2F5C7158" w14:textId="77777777" w:rsidR="005A5FCC" w:rsidRDefault="00A21C81">
      <w:pPr>
        <w:spacing w:before="260" w:after="80" w:line="240" w:lineRule="auto"/>
        <w:jc w:val="left"/>
      </w:pPr>
      <w:r>
        <w:rPr>
          <w:rFonts w:cs="EB Garamond"/>
          <w:b/>
          <w:color w:val="3A3128"/>
          <w:kern w:val="16"/>
          <w:sz w:val="25"/>
          <w14:ligatures w14:val="standardContextual"/>
        </w:rPr>
        <w:t>4.10.3 Contribuição facultativa do segurado especial</w:t>
      </w:r>
    </w:p>
    <w:p w14:paraId="08751889"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0F3AF1E6" w14:textId="77777777" w:rsidR="005A5FCC" w:rsidRDefault="00A21C81">
      <w:r>
        <w:rPr>
          <w:rFonts w:cs="EB Garamond"/>
          <w:kern w:val="16"/>
          <w14:ligatures w14:val="standardContextual"/>
        </w:rPr>
        <w:t xml:space="preserve"> segurado especial que deseja aposentadoria por tempo de contribuição, ou que pretende benefício superior a 1 SM, pode contribuir facultativamente:</w:t>
      </w:r>
    </w:p>
    <w:p w14:paraId="635ECBE2"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Código GPS: 1503 (facultativo segurado especial)</w:t>
      </w:r>
    </w:p>
    <w:p w14:paraId="46C09A4F" w14:textId="6DAE2DF0"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 xml:space="preserve">Base: </w:t>
      </w:r>
      <w:r w:rsidR="00737540">
        <w:rPr>
          <w:rFonts w:cs="EB Garamond"/>
          <w:kern w:val="16"/>
          <w:sz w:val="20"/>
          <w14:ligatures w14:val="standardContextual"/>
        </w:rPr>
        <w:t>salário-mínimo</w:t>
      </w:r>
    </w:p>
    <w:p w14:paraId="65EC902E"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Alíquota: 20%</w:t>
      </w:r>
    </w:p>
    <w:p w14:paraId="3F64197D"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Valor (2026): R$ 324,20/mês</w:t>
      </w:r>
    </w:p>
    <w:p w14:paraId="7E32B602" w14:textId="77777777" w:rsidR="005A5FCC" w:rsidRDefault="005A5FCC">
      <w:pPr>
        <w:spacing w:after="60" w:line="240" w:lineRule="auto"/>
      </w:pPr>
    </w:p>
    <w:p w14:paraId="7A7D769D"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E</w:t>
      </w:r>
    </w:p>
    <w:p w14:paraId="3A3C6A09" w14:textId="77777777" w:rsidR="005A5FCC" w:rsidRDefault="00A21C81">
      <w:r>
        <w:rPr>
          <w:rFonts w:cs="EB Garamond"/>
          <w:kern w:val="16"/>
          <w14:ligatures w14:val="standardContextual"/>
        </w:rPr>
        <w:t>ssa contribuição é cumulativa com a incidência sobre a comercialização (1,2% de contribuição básica + 0,1% de SAT/GILRAT = 1,3% total, na forma do art. 25, I e II, da Lei 8.212/91), pois têm naturezas e finalidades distintas. A contribuição sobre a comercialização custeia o sistema; a contribuição facultativa amplia a cobertura individual do segurado.</w:t>
      </w:r>
    </w:p>
    <w:p w14:paraId="3ABC9EA1"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4.11 Contribuição do produtor rural pessoa física e pessoa jurídica</w:t>
      </w:r>
    </w:p>
    <w:p w14:paraId="711E6BA4" w14:textId="77777777" w:rsidR="005A5FCC" w:rsidRDefault="00A21C81">
      <w:pPr>
        <w:spacing w:before="260" w:after="80" w:line="240" w:lineRule="auto"/>
        <w:jc w:val="left"/>
      </w:pPr>
      <w:r>
        <w:rPr>
          <w:rFonts w:cs="EB Garamond"/>
          <w:b/>
          <w:color w:val="3A3128"/>
          <w:kern w:val="16"/>
          <w:sz w:val="25"/>
          <w14:ligatures w14:val="standardContextual"/>
        </w:rPr>
        <w:t>4.11.1 Produtor rural pessoa física (empregador rural)</w:t>
      </w:r>
    </w:p>
    <w:p w14:paraId="371454A9"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2200A865" w14:textId="77777777" w:rsidR="005A5FCC" w:rsidRDefault="00A21C81">
      <w:r>
        <w:rPr>
          <w:rFonts w:cs="EB Garamond"/>
          <w:kern w:val="16"/>
          <w14:ligatures w14:val="standardContextual"/>
        </w:rPr>
        <w:t xml:space="preserve"> produtor rural pessoa física que emprega trabalhadores rurais possui regime de contribuição próprio, previsto no art. 25 da Lei 8.212/91 (redação dada pela Lei 10.256/2001). Diferentemente do empregador urbano, que contribui com 20% sobre a folha de salários, o produtor rural PF contribui sobre a receita bruta da comercialização da produção:</w:t>
      </w:r>
    </w:p>
    <w:p w14:paraId="0E48EBBC"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 xml:space="preserve">Alíquota total: 1,2% (RGPS) + 0,1% (GILRAT) + 0,2% (SENAR) = </w:t>
      </w:r>
      <w:r>
        <w:rPr>
          <w:rFonts w:cs="EB Garamond"/>
          <w:b/>
          <w:kern w:val="16"/>
          <w:sz w:val="20"/>
          <w14:ligatures w14:val="standardContextual"/>
        </w:rPr>
        <w:t>1,5%</w:t>
      </w:r>
    </w:p>
    <w:p w14:paraId="1E8831E3"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Base: receita bruta proveniente da comercialização da produção rural</w:t>
      </w:r>
    </w:p>
    <w:p w14:paraId="69EE99D8"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Responsável: o próprio produtor ou o adquirente (por sub-rogação)</w:t>
      </w:r>
    </w:p>
    <w:p w14:paraId="0190DF25" w14:textId="77777777" w:rsidR="005A5FCC" w:rsidRDefault="005A5FCC">
      <w:pPr>
        <w:spacing w:after="60" w:line="240" w:lineRule="auto"/>
      </w:pPr>
    </w:p>
    <w:p w14:paraId="2DCD4298"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368084E2" w14:textId="77777777" w:rsidR="005A5FCC" w:rsidRDefault="00A21C81">
      <w:r>
        <w:rPr>
          <w:rFonts w:cs="EB Garamond"/>
          <w:kern w:val="16"/>
          <w14:ligatures w14:val="standardContextual"/>
        </w:rPr>
        <w:t xml:space="preserve"> contribuição sobre a receita bruta substitui integralmente a contribuição patronal de 20% sobre a folha. Essa substituição é a razão pela qual o custeio do setor rural é frequentemente apontado como deficitário, as alíquotas sobre a receita são muito inferiores ao que seria devido sobre a folha.</w:t>
      </w:r>
    </w:p>
    <w:tbl>
      <w:tblPr>
        <w:tblW w:w="5000" w:type="pct"/>
        <w:jc w:val="center"/>
        <w:tblLayout w:type="fixed"/>
        <w:tblLook w:val="04A0" w:firstRow="1" w:lastRow="0" w:firstColumn="1" w:lastColumn="0" w:noHBand="0" w:noVBand="1"/>
      </w:tblPr>
      <w:tblGrid>
        <w:gridCol w:w="6311"/>
      </w:tblGrid>
      <w:tr w:rsidR="005A5FCC" w14:paraId="152BE173"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7B7691E6" w14:textId="77777777" w:rsidR="005A5FCC" w:rsidRDefault="00A21C81">
            <w:pPr>
              <w:spacing w:after="60" w:line="240" w:lineRule="auto"/>
              <w:jc w:val="left"/>
            </w:pPr>
            <w:r>
              <w:rPr>
                <w:rFonts w:ascii="Noto Sans" w:hAnsi="Noto Sans" w:cs="Noto Sans"/>
                <w:b/>
                <w:caps/>
                <w:color w:val="4D6F8A"/>
                <w:kern w:val="16"/>
                <w:sz w:val="16"/>
                <w14:ligatures w14:val="standardContextual"/>
              </w:rPr>
              <w:lastRenderedPageBreak/>
              <w:t>JURISPRUDÊNCIA EM DESTAQUE</w:t>
            </w:r>
          </w:p>
          <w:p w14:paraId="0EC82B21" w14:textId="77777777" w:rsidR="005A5FCC" w:rsidRDefault="00A21C81">
            <w:pPr>
              <w:spacing w:after="60" w:line="247" w:lineRule="auto"/>
            </w:pPr>
            <w:r>
              <w:rPr>
                <w:rFonts w:cs="EB Garamond"/>
                <w:b/>
                <w:kern w:val="16"/>
                <w:sz w:val="19"/>
                <w14:ligatures w14:val="standardContextual"/>
              </w:rPr>
              <w:t>STF — RE 718.874 (Tema 669, j. 30/03/2017)</w:t>
            </w:r>
          </w:p>
          <w:p w14:paraId="302B4D28" w14:textId="77777777" w:rsidR="005A5FCC" w:rsidRDefault="00A21C81">
            <w:pPr>
              <w:spacing w:after="60" w:line="247" w:lineRule="auto"/>
            </w:pPr>
            <w:r>
              <w:rPr>
                <w:rFonts w:cs="EB Garamond"/>
                <w:b/>
                <w:kern w:val="16"/>
                <w:sz w:val="19"/>
                <w14:ligatures w14:val="standardContextual"/>
              </w:rPr>
              <w:t>Tese fixada:</w:t>
            </w:r>
            <w:r>
              <w:rPr>
                <w:rFonts w:cs="EB Garamond"/>
                <w:kern w:val="16"/>
                <w:sz w:val="19"/>
                <w14:ligatures w14:val="standardContextual"/>
              </w:rPr>
              <w:t xml:space="preserve"> "É constitucional formal e materialmente a contribuição social do empregador rural pessoa física, instituída pela Lei 10.256/2001, incidente sobre a receita bruta obtida com a comercialização de sua produção."</w:t>
            </w:r>
          </w:p>
          <w:p w14:paraId="083BCBE7" w14:textId="77777777" w:rsidR="005A5FCC" w:rsidRDefault="00A21C81">
            <w:pPr>
              <w:spacing w:after="60" w:line="247" w:lineRule="auto"/>
            </w:pPr>
            <w:r>
              <w:rPr>
                <w:rFonts w:cs="EB Garamond"/>
                <w:b/>
                <w:kern w:val="16"/>
                <w:sz w:val="19"/>
                <w14:ligatures w14:val="standardContextual"/>
              </w:rPr>
              <w:t>Fundamento:</w:t>
            </w:r>
            <w:r>
              <w:rPr>
                <w:rFonts w:cs="EB Garamond"/>
                <w:kern w:val="16"/>
                <w:sz w:val="19"/>
                <w14:ligatures w14:val="standardContextual"/>
              </w:rPr>
              <w:t xml:space="preserve"> O art. 195, I, b, CF/88 (com redação da EC 20/1998) autoriza contribuição social sobre a receita. A Lei 10.256/2001 foi editada após a EC 20/1998, suprindo o vício formal que invalidara a contribuição anterior (Lei 8.540/92, declarada inconstitucional no RE 363.852; a cobrança rural sobre a receita anterior à EC 20/1998 é objeto do Tema 202/STF — RE 596.177, j. 01/08/2011).</w:t>
            </w:r>
          </w:p>
          <w:p w14:paraId="790A249F" w14:textId="77777777" w:rsidR="005A5FCC" w:rsidRDefault="00A21C81">
            <w:pPr>
              <w:spacing w:after="60" w:line="247" w:lineRule="auto"/>
            </w:pPr>
            <w:r>
              <w:rPr>
                <w:rFonts w:cs="EB Garamond"/>
                <w:b/>
                <w:kern w:val="16"/>
                <w:sz w:val="19"/>
                <w14:ligatures w14:val="standardContextual"/>
              </w:rPr>
              <w:t>Impacto prático:</w:t>
            </w:r>
            <w:r>
              <w:rPr>
                <w:rFonts w:cs="EB Garamond"/>
                <w:kern w:val="16"/>
                <w:sz w:val="19"/>
                <w14:ligatures w14:val="standardContextual"/>
              </w:rPr>
              <w:t xml:space="preserve"> Encerrou a longa controvérsia sobre a constitucionalidade da contribuição rural sobre a receita. Para o advogado previdenciarista, a consequência é que o empregador rural PF contribui pelo regime especial do art. 25 da Lei 8.212/91 (sobre receita bruta), não pela regra geral do art. 22, I (sobre folha), o que reduz sua carga tributária previdenciária de modo substancial.</w:t>
            </w:r>
          </w:p>
        </w:tc>
      </w:tr>
    </w:tbl>
    <w:p w14:paraId="4F74ABA7" w14:textId="77777777" w:rsidR="005A5FCC" w:rsidRDefault="005A5FCC">
      <w:pPr>
        <w:spacing w:after="80" w:line="240" w:lineRule="auto"/>
      </w:pPr>
    </w:p>
    <w:p w14:paraId="49EA0C52" w14:textId="77777777" w:rsidR="005A5FCC" w:rsidRDefault="00A21C81">
      <w:pPr>
        <w:spacing w:before="260" w:after="80" w:line="240" w:lineRule="auto"/>
        <w:jc w:val="left"/>
      </w:pPr>
      <w:r>
        <w:rPr>
          <w:rFonts w:cs="EB Garamond"/>
          <w:b/>
          <w:color w:val="3A3128"/>
          <w:kern w:val="16"/>
          <w:sz w:val="25"/>
          <w14:ligatures w14:val="standardContextual"/>
        </w:rPr>
        <w:t>4.11.2 Produtor rural pessoa jurídica</w:t>
      </w:r>
    </w:p>
    <w:p w14:paraId="32E779C9"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7537DF3F" w14:textId="77777777" w:rsidR="005A5FCC" w:rsidRDefault="00A21C81">
      <w:r>
        <w:rPr>
          <w:rFonts w:cs="EB Garamond"/>
          <w:kern w:val="16"/>
          <w14:ligatures w14:val="standardContextual"/>
        </w:rPr>
        <w:t xml:space="preserve"> produtor rural constituído como pessoa jurídica (empresa rural) também contribui sobre a receita bruta da comercialização, conforme art. 25 da Lei 8.870/94. A alíquota é distinta:</w:t>
      </w:r>
    </w:p>
    <w:p w14:paraId="7B7C5BCF"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 xml:space="preserve">Alíquota total: 1,7% (RGPS) + 0,1% (GILRAT) + 0,25% (SENAR) = </w:t>
      </w:r>
      <w:r>
        <w:rPr>
          <w:rFonts w:cs="EB Garamond"/>
          <w:b/>
          <w:kern w:val="16"/>
          <w:sz w:val="20"/>
          <w14:ligatures w14:val="standardContextual"/>
        </w:rPr>
        <w:t>2,05%</w:t>
      </w:r>
    </w:p>
    <w:p w14:paraId="6CDB1200" w14:textId="77777777" w:rsidR="005A5FCC" w:rsidRDefault="005A5FCC">
      <w:pPr>
        <w:spacing w:after="60" w:line="240" w:lineRule="auto"/>
      </w:pPr>
    </w:p>
    <w:tbl>
      <w:tblPr>
        <w:tblW w:w="5000" w:type="pct"/>
        <w:jc w:val="center"/>
        <w:tblLayout w:type="fixed"/>
        <w:tblLook w:val="04A0" w:firstRow="1" w:lastRow="0" w:firstColumn="1" w:lastColumn="0" w:noHBand="0" w:noVBand="1"/>
      </w:tblPr>
      <w:tblGrid>
        <w:gridCol w:w="6311"/>
      </w:tblGrid>
      <w:tr w:rsidR="005A5FCC" w14:paraId="2A3D363A"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2B4E894E"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7EF64030" w14:textId="77777777" w:rsidR="005A5FCC" w:rsidRDefault="00A21C81">
            <w:pPr>
              <w:spacing w:after="60" w:line="247" w:lineRule="auto"/>
            </w:pPr>
            <w:r>
              <w:rPr>
                <w:rFonts w:cs="EB Garamond"/>
                <w:b/>
                <w:kern w:val="16"/>
                <w:sz w:val="19"/>
                <w14:ligatures w14:val="standardContextual"/>
              </w:rPr>
              <w:t>Atenção — Opção pela contribuição sobre a folha:</w:t>
            </w:r>
          </w:p>
          <w:p w14:paraId="48095CE2" w14:textId="77777777" w:rsidR="005A5FCC" w:rsidRDefault="00A21C81">
            <w:pPr>
              <w:spacing w:after="60" w:line="247" w:lineRule="auto"/>
            </w:pPr>
            <w:r>
              <w:rPr>
                <w:rFonts w:cs="EB Garamond"/>
                <w:kern w:val="16"/>
                <w:sz w:val="19"/>
                <w14:ligatures w14:val="standardContextual"/>
              </w:rPr>
              <w:t>A Lei 13.606/2018 (art. 15) facultou ao produtor rural PJ optar pela contribuição patronal convencional (20% sobre a folha de salários + RAT) em substituição à contribuição sobre a receita bruta. Essa opção é irretratável para o ano-calendário e deve ser manifestada no pagamento da competência janeiro (ou na primeira competência do ano em que houver receita). Para empresas com receita bruta elevada e folha de pagamento reduzida (alto grau de mecanização), a contribuição sobre a folha pode ser mais vantajosa. Trata-se de planejamento tributário legítimo.</w:t>
            </w:r>
          </w:p>
        </w:tc>
      </w:tr>
    </w:tbl>
    <w:p w14:paraId="095606AC" w14:textId="77777777" w:rsidR="005A5FCC" w:rsidRDefault="005A5FCC">
      <w:pPr>
        <w:spacing w:after="80" w:line="240" w:lineRule="auto"/>
      </w:pPr>
    </w:p>
    <w:p w14:paraId="444A9F6B" w14:textId="77777777" w:rsidR="005A5FCC" w:rsidRDefault="00A21C81">
      <w:pPr>
        <w:spacing w:before="260" w:after="80" w:line="240" w:lineRule="auto"/>
        <w:jc w:val="left"/>
      </w:pPr>
      <w:r>
        <w:rPr>
          <w:rFonts w:cs="EB Garamond"/>
          <w:b/>
          <w:color w:val="3A3128"/>
          <w:kern w:val="16"/>
          <w:sz w:val="25"/>
          <w14:ligatures w14:val="standardContextual"/>
        </w:rPr>
        <w:t>4.11.3 Sub-rogação do adquirente</w:t>
      </w:r>
    </w:p>
    <w:p w14:paraId="7DD2A8C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15A1E37D" w14:textId="77777777" w:rsidR="005A5FCC" w:rsidRDefault="00A21C81">
      <w:r>
        <w:rPr>
          <w:rFonts w:cs="EB Garamond"/>
          <w:kern w:val="16"/>
          <w14:ligatures w14:val="standardContextual"/>
        </w:rPr>
        <w:t xml:space="preserve"> empresa adquirente de produção rural (indústria alimentícia, cooperativa, frigorífico) é sub-rogada na obrigação de reter e recolher a contribuição do produtor rural PF (art. 30, IV, Lei 8.212/91). Na prática:</w:t>
      </w:r>
    </w:p>
    <w:p w14:paraId="7EA0FC5C" w14:textId="77777777" w:rsidR="005A5FCC" w:rsidRDefault="00A21C81">
      <w:pPr>
        <w:spacing w:after="40" w:line="252" w:lineRule="auto"/>
        <w:ind w:left="340" w:hanging="198"/>
      </w:pPr>
      <w:r>
        <w:rPr>
          <w:rFonts w:cs="EB Garamond"/>
          <w:color w:val="3A3128"/>
          <w:kern w:val="16"/>
          <w:sz w:val="20"/>
          <w14:ligatures w14:val="standardContextual"/>
        </w:rPr>
        <w:t xml:space="preserve">1. </w:t>
      </w:r>
      <w:r>
        <w:rPr>
          <w:rFonts w:cs="EB Garamond"/>
          <w:kern w:val="16"/>
          <w:sz w:val="20"/>
          <w14:ligatures w14:val="standardContextual"/>
        </w:rPr>
        <w:t>O produtor rural PF vende sua produção à empresa.</w:t>
      </w:r>
    </w:p>
    <w:p w14:paraId="00FE6058" w14:textId="77777777" w:rsidR="005A5FCC" w:rsidRDefault="00A21C81">
      <w:pPr>
        <w:spacing w:after="40" w:line="252" w:lineRule="auto"/>
        <w:ind w:left="340" w:hanging="198"/>
      </w:pPr>
      <w:r>
        <w:rPr>
          <w:rFonts w:cs="EB Garamond"/>
          <w:color w:val="3A3128"/>
          <w:kern w:val="16"/>
          <w:sz w:val="20"/>
          <w14:ligatures w14:val="standardContextual"/>
        </w:rPr>
        <w:t xml:space="preserve">2. </w:t>
      </w:r>
      <w:r>
        <w:rPr>
          <w:rFonts w:cs="EB Garamond"/>
          <w:kern w:val="16"/>
          <w:sz w:val="20"/>
          <w14:ligatures w14:val="standardContextual"/>
        </w:rPr>
        <w:t>A empresa retém 1,5% do valor da nota fiscal (contribuição do produtor).</w:t>
      </w:r>
    </w:p>
    <w:p w14:paraId="39C2BA74" w14:textId="77777777" w:rsidR="005A5FCC" w:rsidRDefault="00A21C81">
      <w:pPr>
        <w:spacing w:after="40" w:line="252" w:lineRule="auto"/>
        <w:ind w:left="340" w:hanging="198"/>
      </w:pPr>
      <w:r>
        <w:rPr>
          <w:rFonts w:cs="EB Garamond"/>
          <w:color w:val="3A3128"/>
          <w:kern w:val="16"/>
          <w:sz w:val="20"/>
          <w14:ligatures w14:val="standardContextual"/>
        </w:rPr>
        <w:t xml:space="preserve">3. </w:t>
      </w:r>
      <w:r>
        <w:rPr>
          <w:rFonts w:cs="EB Garamond"/>
          <w:kern w:val="16"/>
          <w:sz w:val="20"/>
          <w14:ligatures w14:val="standardContextual"/>
        </w:rPr>
        <w:t>A empresa recolhe o valor retido via DARF (DCTF-Web).</w:t>
      </w:r>
    </w:p>
    <w:p w14:paraId="7E77CD9A" w14:textId="77777777" w:rsidR="005A5FCC" w:rsidRDefault="00A21C81">
      <w:pPr>
        <w:spacing w:after="40" w:line="252" w:lineRule="auto"/>
        <w:ind w:left="340" w:hanging="198"/>
      </w:pPr>
      <w:r>
        <w:rPr>
          <w:rFonts w:cs="EB Garamond"/>
          <w:color w:val="3A3128"/>
          <w:kern w:val="16"/>
          <w:sz w:val="20"/>
          <w14:ligatures w14:val="standardContextual"/>
        </w:rPr>
        <w:t xml:space="preserve">4. </w:t>
      </w:r>
      <w:r>
        <w:rPr>
          <w:rFonts w:cs="EB Garamond"/>
          <w:kern w:val="16"/>
          <w:sz w:val="20"/>
          <w14:ligatures w14:val="standardContextual"/>
        </w:rPr>
        <w:t>O produtor recebe o preço líquido (valor da NF menos a retenção).</w:t>
      </w:r>
    </w:p>
    <w:p w14:paraId="551793F7" w14:textId="77777777" w:rsidR="005A5FCC" w:rsidRDefault="005A5FCC">
      <w:pPr>
        <w:spacing w:after="60" w:line="240" w:lineRule="auto"/>
      </w:pPr>
    </w:p>
    <w:p w14:paraId="049450DD"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S</w:t>
      </w:r>
    </w:p>
    <w:p w14:paraId="48EED180" w14:textId="77777777" w:rsidR="005A5FCC" w:rsidRDefault="00A21C81">
      <w:r>
        <w:rPr>
          <w:rFonts w:cs="EB Garamond"/>
          <w:kern w:val="16"/>
          <w14:ligatures w14:val="standardContextual"/>
        </w:rPr>
        <w:t>e a venda é feita diretamente ao consumidor final (feira livre, beira de estrada), não há sub-rogação — o próprio produtor deveria recolher. Na atuação forense, como mencionado, essa obrigação raramente é cumprida nas vendas diretas.</w:t>
      </w:r>
    </w:p>
    <w:tbl>
      <w:tblPr>
        <w:tblW w:w="5000" w:type="pct"/>
        <w:jc w:val="center"/>
        <w:tblLayout w:type="fixed"/>
        <w:tblLook w:val="04A0" w:firstRow="1" w:lastRow="0" w:firstColumn="1" w:lastColumn="0" w:noHBand="0" w:noVBand="1"/>
      </w:tblPr>
      <w:tblGrid>
        <w:gridCol w:w="6311"/>
      </w:tblGrid>
      <w:tr w:rsidR="005A5FCC" w14:paraId="672973D5"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0CE80394"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3BDE03B5" w14:textId="77777777" w:rsidR="005A5FCC" w:rsidRDefault="00A21C81">
            <w:pPr>
              <w:spacing w:after="60" w:line="247" w:lineRule="auto"/>
            </w:pPr>
            <w:r>
              <w:rPr>
                <w:rFonts w:cs="EB Garamond"/>
                <w:b/>
                <w:kern w:val="16"/>
                <w:sz w:val="19"/>
                <w14:ligatures w14:val="standardContextual"/>
              </w:rPr>
              <w:t>Exemplo — Contribuição do produtor rural PF:</w:t>
            </w:r>
          </w:p>
          <w:p w14:paraId="4F410068" w14:textId="77777777" w:rsidR="005A5FCC" w:rsidRDefault="00A21C81">
            <w:pPr>
              <w:spacing w:after="60" w:line="247" w:lineRule="auto"/>
            </w:pPr>
            <w:r>
              <w:rPr>
                <w:rFonts w:cs="EB Garamond"/>
                <w:kern w:val="16"/>
                <w:sz w:val="19"/>
                <w14:ligatures w14:val="standardContextual"/>
              </w:rPr>
              <w:t>João, produtor rural familiar, vendeu em fevereiro/2026: - Para cooperativa local (NF R$ 15.000,00): retenção sub-rogada de 1,5% = R$ 225,00 (a cooperativa retém e recolhe) - Na feira municipal (R$ 3.000,00): deveria recolher 1,5% = R$ 45,00 (raramente ocorre)</w:t>
            </w:r>
          </w:p>
          <w:p w14:paraId="0BB984D4" w14:textId="77777777" w:rsidR="005A5FCC" w:rsidRDefault="00A21C81">
            <w:pPr>
              <w:spacing w:after="60" w:line="247" w:lineRule="auto"/>
            </w:pPr>
            <w:r>
              <w:rPr>
                <w:rFonts w:cs="EB Garamond"/>
                <w:kern w:val="16"/>
                <w:sz w:val="19"/>
                <w14:ligatures w14:val="standardContextual"/>
              </w:rPr>
              <w:t>O CNIS de João registrará a comercialização declarada pela cooperativa (R$ 15.000,00), mas não a venda na feira. Para efeito de enquadramento como segurado especial, o que importa é a comprovação da atividade rural, não o valor exato da comercialização.</w:t>
            </w:r>
          </w:p>
        </w:tc>
      </w:tr>
    </w:tbl>
    <w:p w14:paraId="3C4DA2C6" w14:textId="77777777" w:rsidR="005A5FCC" w:rsidRDefault="005A5FCC">
      <w:pPr>
        <w:spacing w:after="80" w:line="240" w:lineRule="auto"/>
      </w:pPr>
    </w:p>
    <w:p w14:paraId="096A4B18" w14:textId="77777777" w:rsidR="005A5FCC" w:rsidRDefault="00A21C81">
      <w:pPr>
        <w:spacing w:before="260" w:after="80" w:line="240" w:lineRule="auto"/>
        <w:jc w:val="left"/>
      </w:pPr>
      <w:r>
        <w:rPr>
          <w:rFonts w:cs="EB Garamond"/>
          <w:b/>
          <w:color w:val="3A3128"/>
          <w:kern w:val="16"/>
          <w:sz w:val="25"/>
          <w14:ligatures w14:val="standardContextual"/>
        </w:rPr>
        <w:t>4.11.4 Consórcio simplificado de produtores rurais</w:t>
      </w:r>
    </w:p>
    <w:p w14:paraId="4DCF7DEF"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2C1F05BA" w14:textId="77777777" w:rsidR="005A5FCC" w:rsidRDefault="00A21C81">
      <w:r>
        <w:rPr>
          <w:rFonts w:cs="EB Garamond"/>
          <w:kern w:val="16"/>
          <w14:ligatures w14:val="standardContextual"/>
        </w:rPr>
        <w:t xml:space="preserve"> Lei 10.256/2001 (art. 25-A, Lei 8.212/91) instituiu o consórcio simplificado de produtores rurais pessoas físicas, que consiste na união de produ</w:t>
      </w:r>
      <w:r>
        <w:rPr>
          <w:rFonts w:cs="EB Garamond"/>
          <w:kern w:val="16"/>
          <w14:ligatures w14:val="standardContextual"/>
        </w:rPr>
        <w:lastRenderedPageBreak/>
        <w:t>tores para contratação coletiva de empregados rurais. O consórcio é equiparado ao empregador rural PF para fins previdenciários — contribui sobre a receita bruta da comercialização (1,5%), não sobre a folha.</w:t>
      </w:r>
    </w:p>
    <w:p w14:paraId="3D2B8A7C" w14:textId="77777777" w:rsidR="005A5FCC" w:rsidRDefault="00A21C81">
      <w:pPr>
        <w:ind w:firstLine="238"/>
      </w:pPr>
      <w:r>
        <w:rPr>
          <w:rFonts w:cs="EB Garamond"/>
          <w:kern w:val="16"/>
          <w14:ligatures w14:val="standardContextual"/>
        </w:rPr>
        <w:t>Essa figura é relevante nas regiões de agricultura familiar, onde pequenos produtores se associam para compartilhar mão de obra sazonal (colheita, plantio). O consórcio não tem personalidade jurídica — é administrado por um dos produtores, que assume a responsabilidade pelas obrigações trabalhistas e previdenciárias perante o INSS.</w:t>
      </w:r>
    </w:p>
    <w:p w14:paraId="4A6C8FB0" w14:textId="77777777" w:rsidR="005A5FCC" w:rsidRDefault="00A21C81">
      <w:pPr>
        <w:ind w:firstLine="238"/>
      </w:pPr>
      <w:r>
        <w:rPr>
          <w:rFonts w:cs="EB Garamond"/>
          <w:kern w:val="16"/>
          <w14:ligatures w14:val="standardContextual"/>
        </w:rPr>
        <w:t>Nos JEFs, trabalhadores contratados por consórcio simplificado frequentemente enfrentam dificuldade de comprovação de vínculo, pois o registro no CNIS pode estar vinculado ao CEI/CAEPF do produtor responsável, não ao consórcio. A prova de atividade rural nesses casos segue as mesmas regras do empregado rural comum (CTPS, contratos, recibos de pagamento, ficha de registro).</w:t>
      </w:r>
    </w:p>
    <w:p w14:paraId="41D12835" w14:textId="77777777" w:rsidR="005A5FCC" w:rsidRDefault="00A21C81">
      <w:pPr>
        <w:spacing w:before="260" w:after="80" w:line="240" w:lineRule="auto"/>
        <w:jc w:val="left"/>
      </w:pPr>
      <w:r>
        <w:rPr>
          <w:rFonts w:cs="EB Garamond"/>
          <w:b/>
          <w:color w:val="3A3128"/>
          <w:kern w:val="16"/>
          <w:sz w:val="25"/>
          <w14:ligatures w14:val="standardContextual"/>
        </w:rPr>
        <w:t>4.11.5 Agroindústria</w:t>
      </w:r>
    </w:p>
    <w:p w14:paraId="100047DB"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75D164C9" w14:textId="77777777" w:rsidR="005A5FCC" w:rsidRDefault="00A21C81">
      <w:r>
        <w:rPr>
          <w:rFonts w:cs="EB Garamond"/>
          <w:kern w:val="16"/>
          <w14:ligatures w14:val="standardContextual"/>
        </w:rPr>
        <w:t xml:space="preserve"> agroindústria (pessoa jurídica cuja atividade econômica é a industrialização de produção rural própria ou de produção rural própria e adquirida de terceiros) contribui sobre a receita bruta com alíquota de 2,5% (RGPS) + 0,1% (GILRAT) = 2,6%, conforme art. 22-A da Lei 8.212/91 (incluído pela Lei 10.256/2001). Essa alíquota substituiu a contribuição patronal sobre a folha.</w:t>
      </w:r>
    </w:p>
    <w:p w14:paraId="7D14771D" w14:textId="77777777" w:rsidR="005A5FCC" w:rsidRDefault="00A21C81">
      <w:pPr>
        <w:ind w:firstLine="238"/>
      </w:pPr>
      <w:r>
        <w:rPr>
          <w:rFonts w:cs="EB Garamond"/>
          <w:kern w:val="16"/>
          <w14:ligatures w14:val="standardContextual"/>
        </w:rPr>
        <w:t>A exceção são as agroindústrias de piscicultura, carcinicultura, suinocultura e avicultura, que contribuem pelo regime geral (20% sobre folha + RAT), por expressa disposição do art. 22-A, § 4º, da Lei 8.212/91.</w:t>
      </w:r>
    </w:p>
    <w:p w14:paraId="152A9CBB"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4.12 Salário de contribuição: conceito, limites e parcelas</w:t>
      </w:r>
    </w:p>
    <w:p w14:paraId="1ECB7BE4" w14:textId="77777777" w:rsidR="005A5FCC" w:rsidRDefault="00A21C81">
      <w:pPr>
        <w:spacing w:before="260" w:after="80" w:line="240" w:lineRule="auto"/>
        <w:jc w:val="left"/>
      </w:pPr>
      <w:r>
        <w:rPr>
          <w:rFonts w:cs="EB Garamond"/>
          <w:b/>
          <w:color w:val="3A3128"/>
          <w:kern w:val="16"/>
          <w:sz w:val="25"/>
          <w14:ligatures w14:val="standardContextual"/>
        </w:rPr>
        <w:t>4.12.1 Definição legal</w:t>
      </w:r>
    </w:p>
    <w:p w14:paraId="7F5C9804"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O</w:t>
      </w:r>
    </w:p>
    <w:p w14:paraId="1E40C884" w14:textId="77777777" w:rsidR="005A5FCC" w:rsidRDefault="00A21C81">
      <w:r>
        <w:rPr>
          <w:rFonts w:cs="EB Garamond"/>
          <w:kern w:val="16"/>
          <w14:ligatures w14:val="standardContextual"/>
        </w:rPr>
        <w:t xml:space="preserve"> salário de contribuição é a base de cálculo sobre a qual incide a contribuição previdenciária do segurado. Está definido no art. 28 da Lei 8.212/91 para cada categoria:</w:t>
      </w:r>
    </w:p>
    <w:p w14:paraId="36593B8F"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Empregado e avulso:</w:t>
      </w:r>
      <w:r>
        <w:rPr>
          <w:rFonts w:cs="EB Garamond"/>
          <w:kern w:val="16"/>
          <w:sz w:val="20"/>
          <w14:ligatures w14:val="standardContextual"/>
        </w:rPr>
        <w:t xml:space="preserve"> Remuneração auferida em uma ou mais empresas, assim entendida a totalidade dos rendimentos pagos, devidos ou creditados a qualquer título, durante o mês, destinados a retribuir o trabalho</w:t>
      </w:r>
    </w:p>
    <w:p w14:paraId="184E9AFE"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Empregado doméstico:</w:t>
      </w:r>
      <w:r>
        <w:rPr>
          <w:rFonts w:cs="EB Garamond"/>
          <w:kern w:val="16"/>
          <w:sz w:val="20"/>
          <w14:ligatures w14:val="standardContextual"/>
        </w:rPr>
        <w:t xml:space="preserve"> Remuneração registrada na CTPS ou no eSocial</w:t>
      </w:r>
    </w:p>
    <w:p w14:paraId="1A9CC50A"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Contribuinte individual:</w:t>
      </w:r>
      <w:r>
        <w:rPr>
          <w:rFonts w:cs="EB Garamond"/>
          <w:kern w:val="16"/>
          <w:sz w:val="20"/>
          <w14:ligatures w14:val="standardContextual"/>
        </w:rPr>
        <w:t xml:space="preserve"> Remuneração auferida no mês pelo exercício de atividade por conta própria ou prestação de serviço a empresa ou equiparado</w:t>
      </w:r>
    </w:p>
    <w:p w14:paraId="0B3FBE0B"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Segurado facultativo:</w:t>
      </w:r>
      <w:r>
        <w:rPr>
          <w:rFonts w:cs="EB Garamond"/>
          <w:kern w:val="16"/>
          <w:sz w:val="20"/>
          <w14:ligatures w14:val="standardContextual"/>
        </w:rPr>
        <w:t xml:space="preserve"> Valor por ele declarado, observados os limites mínimo e máximo</w:t>
      </w:r>
    </w:p>
    <w:p w14:paraId="276A6252" w14:textId="77777777" w:rsidR="005A5FCC" w:rsidRDefault="005A5FCC">
      <w:pPr>
        <w:spacing w:after="60" w:line="240" w:lineRule="auto"/>
      </w:pPr>
    </w:p>
    <w:p w14:paraId="374AB1B7" w14:textId="77777777" w:rsidR="005A5FCC" w:rsidRDefault="00A21C81">
      <w:pPr>
        <w:spacing w:before="260" w:after="80" w:line="240" w:lineRule="auto"/>
        <w:jc w:val="left"/>
      </w:pPr>
      <w:r>
        <w:rPr>
          <w:rFonts w:cs="EB Garamond"/>
          <w:b/>
          <w:color w:val="3A3128"/>
          <w:kern w:val="16"/>
          <w:sz w:val="25"/>
          <w14:ligatures w14:val="standardContextual"/>
        </w:rPr>
        <w:t>4.12.2 Limite mínimo e máximo</w:t>
      </w:r>
    </w:p>
    <w:p w14:paraId="47908FB9"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0FE688AC" w14:textId="77777777" w:rsidR="005A5FCC" w:rsidRDefault="00A21C81">
      <w:r>
        <w:rPr>
          <w:rFonts w:cs="EB Garamond"/>
          <w:kern w:val="16"/>
          <w14:ligatures w14:val="standardContextual"/>
        </w:rPr>
        <w:t xml:space="preserve"> salário de contribuição está limitado entre:</w:t>
      </w:r>
    </w:p>
    <w:p w14:paraId="1A15E782" w14:textId="54A498CC"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Piso:</w:t>
      </w:r>
      <w:r>
        <w:rPr>
          <w:rFonts w:cs="EB Garamond"/>
          <w:kern w:val="16"/>
          <w:sz w:val="20"/>
          <w14:ligatures w14:val="standardContextual"/>
        </w:rPr>
        <w:t xml:space="preserve"> </w:t>
      </w:r>
      <w:r w:rsidR="001763D5">
        <w:rPr>
          <w:rFonts w:cs="EB Garamond"/>
          <w:kern w:val="16"/>
          <w:sz w:val="20"/>
          <w14:ligatures w14:val="standardContextual"/>
        </w:rPr>
        <w:t>Salário-mínimo</w:t>
      </w:r>
      <w:r>
        <w:rPr>
          <w:rFonts w:cs="EB Garamond"/>
          <w:kern w:val="16"/>
          <w:sz w:val="20"/>
          <w14:ligatures w14:val="standardContextual"/>
        </w:rPr>
        <w:t xml:space="preserve"> (R$ 1.621,00 em 2026) ou piso salarial da categoria</w:t>
      </w:r>
    </w:p>
    <w:p w14:paraId="555F2278"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Teto:</w:t>
      </w:r>
      <w:r>
        <w:rPr>
          <w:rFonts w:cs="EB Garamond"/>
          <w:kern w:val="16"/>
          <w:sz w:val="20"/>
          <w14:ligatures w14:val="standardContextual"/>
        </w:rPr>
        <w:t xml:space="preserve"> Limite máximo do salário de contribuição (R$ 8.475,55 em 2026)</w:t>
      </w:r>
    </w:p>
    <w:p w14:paraId="3DBA30EF" w14:textId="77777777" w:rsidR="005A5FCC" w:rsidRDefault="005A5FCC">
      <w:pPr>
        <w:spacing w:after="60" w:line="240" w:lineRule="auto"/>
      </w:pPr>
    </w:p>
    <w:p w14:paraId="2AF40469"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N</w:t>
      </w:r>
    </w:p>
    <w:p w14:paraId="6E5A03D6" w14:textId="77777777" w:rsidR="005A5FCC" w:rsidRDefault="00A21C81">
      <w:r>
        <w:rPr>
          <w:rFonts w:cs="EB Garamond"/>
          <w:kern w:val="16"/>
          <w14:ligatures w14:val="standardContextual"/>
        </w:rPr>
        <w:t>enhum segurado pode contribuir sobre valor inferior ao SM. A consequência prática é que o empregado que recebe remuneração inferior ao mínimo (tempo parcial, por exemplo) deve complementar a contribuição até atingir a alíquota sobre 1 SM, sob pena de o mês não ser computado para carência e tempo de contribuição.</w:t>
      </w:r>
    </w:p>
    <w:tbl>
      <w:tblPr>
        <w:tblW w:w="5000" w:type="pct"/>
        <w:jc w:val="center"/>
        <w:tblLayout w:type="fixed"/>
        <w:tblLook w:val="04A0" w:firstRow="1" w:lastRow="0" w:firstColumn="1" w:lastColumn="0" w:noHBand="0" w:noVBand="1"/>
      </w:tblPr>
      <w:tblGrid>
        <w:gridCol w:w="6311"/>
      </w:tblGrid>
      <w:tr w:rsidR="005A5FCC" w14:paraId="2FD5DD2D"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0E5224D4"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005B84B4" w14:textId="77777777" w:rsidR="005A5FCC" w:rsidRDefault="00A21C81">
            <w:pPr>
              <w:spacing w:after="60" w:line="247" w:lineRule="auto"/>
            </w:pPr>
            <w:r>
              <w:rPr>
                <w:rFonts w:cs="EB Garamond"/>
                <w:b/>
                <w:kern w:val="16"/>
                <w:sz w:val="19"/>
                <w14:ligatures w14:val="standardContextual"/>
              </w:rPr>
              <w:t>Atenção — Trabalhador com mais de um vínculo:</w:t>
            </w:r>
          </w:p>
          <w:p w14:paraId="51FE9CE5" w14:textId="77777777" w:rsidR="005A5FCC" w:rsidRDefault="00A21C81">
            <w:pPr>
              <w:spacing w:after="60" w:line="247" w:lineRule="auto"/>
            </w:pPr>
            <w:r>
              <w:rPr>
                <w:rFonts w:cs="EB Garamond"/>
                <w:kern w:val="16"/>
                <w:sz w:val="19"/>
                <w14:ligatures w14:val="standardContextual"/>
              </w:rPr>
              <w:t>O empregado que trabalha em duas ou mais empresas tem a contribuição calculada sobre a soma das remunerações, respeitado o teto. Se a soma ultrapassa o teto, deve informar ao segundo empregador para que a retenção seja ajustada. Na prática, quando há divergência, o INSS consolida os vínculos no CNIS. No JEF, o problema surge quando o segurado reclama que contribuiu acima do teto e pleiteia restituição ou que o período não foi computado adequadamente.</w:t>
            </w:r>
          </w:p>
        </w:tc>
      </w:tr>
    </w:tbl>
    <w:p w14:paraId="3A92E35C" w14:textId="77777777" w:rsidR="005A5FCC" w:rsidRDefault="005A5FCC">
      <w:pPr>
        <w:spacing w:after="80" w:line="240" w:lineRule="auto"/>
      </w:pPr>
    </w:p>
    <w:p w14:paraId="30291C5C" w14:textId="1E8597B5" w:rsidR="005A5FCC" w:rsidRDefault="00A21C81">
      <w:pPr>
        <w:spacing w:before="260" w:after="80" w:line="240" w:lineRule="auto"/>
        <w:jc w:val="left"/>
      </w:pPr>
      <w:r>
        <w:rPr>
          <w:rFonts w:cs="EB Garamond"/>
          <w:b/>
          <w:color w:val="3A3128"/>
          <w:kern w:val="16"/>
          <w:sz w:val="25"/>
          <w14:ligatures w14:val="standardContextual"/>
        </w:rPr>
        <w:lastRenderedPageBreak/>
        <w:t xml:space="preserve">4.12.3 Trabalhador com remuneração inferior ao </w:t>
      </w:r>
      <w:r w:rsidR="001763D5">
        <w:rPr>
          <w:rFonts w:cs="EB Garamond"/>
          <w:b/>
          <w:color w:val="3A3128"/>
          <w:kern w:val="16"/>
          <w:sz w:val="25"/>
          <w14:ligatures w14:val="standardContextual"/>
        </w:rPr>
        <w:t>salário-mínimo</w:t>
      </w:r>
    </w:p>
    <w:p w14:paraId="3431CA64"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752E376A" w14:textId="25AD7789" w:rsidR="005A5FCC" w:rsidRDefault="00A21C81">
      <w:r>
        <w:rPr>
          <w:rFonts w:cs="EB Garamond"/>
          <w:kern w:val="16"/>
          <w14:ligatures w14:val="standardContextual"/>
        </w:rPr>
        <w:t xml:space="preserve"> EC 103/2019 introduziu regra específica para o trabalhador cuja remuneração mensal é inferior ao </w:t>
      </w:r>
      <w:r w:rsidR="001763D5">
        <w:rPr>
          <w:rFonts w:cs="EB Garamond"/>
          <w:kern w:val="16"/>
          <w14:ligatures w14:val="standardContextual"/>
        </w:rPr>
        <w:t>salário-mínimo</w:t>
      </w:r>
      <w:r>
        <w:rPr>
          <w:rFonts w:cs="EB Garamond"/>
          <w:kern w:val="16"/>
          <w14:ligatures w14:val="standardContextual"/>
        </w:rPr>
        <w:t xml:space="preserve"> (tempo parcial, trabalho intermitente). O art. 195, § 14, da CF/88, incluído pela EC 103/2019, determina que o segurado somente terá reconhecido como tempo de contribuição e carência o mês cuja contribuição seja igual ou superior à contribuição mínima mensal exigida para sua categoria. O mês em que a contribuição for inferior à contribuição mínima (7,5% x SM = R$ 121,58 em 2026) não será computado para fins de carência e tempo de contribuição, salvo se o segurado complementar a contribuição até atingir o piso.</w:t>
      </w:r>
    </w:p>
    <w:p w14:paraId="0910DC97" w14:textId="77777777" w:rsidR="005A5FCC" w:rsidRDefault="00A21C81">
      <w:pPr>
        <w:ind w:firstLine="238"/>
      </w:pPr>
      <w:r>
        <w:rPr>
          <w:rFonts w:cs="EB Garamond"/>
          <w:kern w:val="16"/>
          <w14:ligatures w14:val="standardContextual"/>
        </w:rPr>
        <w:t>As opções do segurado são:</w:t>
      </w:r>
    </w:p>
    <w:p w14:paraId="66EB42BA"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Complementar a contribuição:</w:t>
      </w:r>
      <w:r>
        <w:rPr>
          <w:rFonts w:cs="EB Garamond"/>
          <w:kern w:val="16"/>
          <w:sz w:val="20"/>
          <w14:ligatures w14:val="standardContextual"/>
        </w:rPr>
        <w:t xml:space="preserve"> Recolher a diferença entre o valor efetivamente descontado e 7,5% do SM, via GPS código específico;</w:t>
      </w:r>
    </w:p>
    <w:p w14:paraId="6A6BCA69"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Agrupar competências:</w:t>
      </w:r>
      <w:r>
        <w:rPr>
          <w:rFonts w:cs="EB Garamond"/>
          <w:kern w:val="16"/>
          <w:sz w:val="20"/>
          <w14:ligatures w14:val="standardContextual"/>
        </w:rPr>
        <w:t xml:space="preserve"> Somar remunerações de meses diferentes até atingir o valor mínimo, "utilizando" um único mês de carência para o período agrupado;</w:t>
      </w:r>
    </w:p>
    <w:p w14:paraId="44410D1D"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Utilizar contribuições de outro vínculo:</w:t>
      </w:r>
      <w:r>
        <w:rPr>
          <w:rFonts w:cs="EB Garamond"/>
          <w:kern w:val="16"/>
          <w:sz w:val="20"/>
          <w14:ligatures w14:val="standardContextual"/>
        </w:rPr>
        <w:t xml:space="preserve"> Se o segurado tem dois empregos, a soma das remunerações pode ultrapassar o SM, validando automaticamente ambas as competências.</w:t>
      </w:r>
    </w:p>
    <w:p w14:paraId="0EA0EBC1" w14:textId="77777777" w:rsidR="005A5FCC" w:rsidRDefault="005A5FCC">
      <w:pPr>
        <w:spacing w:after="60" w:line="240" w:lineRule="auto"/>
      </w:pPr>
    </w:p>
    <w:tbl>
      <w:tblPr>
        <w:tblW w:w="5000" w:type="pct"/>
        <w:jc w:val="center"/>
        <w:tblLayout w:type="fixed"/>
        <w:tblLook w:val="04A0" w:firstRow="1" w:lastRow="0" w:firstColumn="1" w:lastColumn="0" w:noHBand="0" w:noVBand="1"/>
      </w:tblPr>
      <w:tblGrid>
        <w:gridCol w:w="6311"/>
      </w:tblGrid>
      <w:tr w:rsidR="005A5FCC" w14:paraId="0D8C4CEC"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4E80F2E6"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43F34CB4" w14:textId="77777777" w:rsidR="005A5FCC" w:rsidRDefault="00A21C81">
            <w:pPr>
              <w:spacing w:after="60" w:line="247" w:lineRule="auto"/>
            </w:pPr>
            <w:r>
              <w:rPr>
                <w:rFonts w:cs="EB Garamond"/>
                <w:b/>
                <w:kern w:val="16"/>
                <w:sz w:val="19"/>
                <w14:ligatures w14:val="standardContextual"/>
              </w:rPr>
              <w:t>Atenção — Trabalho intermitente e custeio:</w:t>
            </w:r>
          </w:p>
          <w:p w14:paraId="67D2657D" w14:textId="77777777" w:rsidR="005A5FCC" w:rsidRDefault="00A21C81">
            <w:pPr>
              <w:spacing w:after="60" w:line="247" w:lineRule="auto"/>
            </w:pPr>
            <w:r>
              <w:rPr>
                <w:rFonts w:cs="EB Garamond"/>
                <w:kern w:val="16"/>
                <w:sz w:val="19"/>
                <w14:ligatures w14:val="standardContextual"/>
              </w:rPr>
              <w:t>O trabalhador intermitente (art. 443, § 3º, CLT) é particularmente afetado por essa regra. Meses em que não é convocado ou em que a remuneração total é inferior ao SM geram contribuição abaixo do mínimo. Esses meses ficam "em aberto" no CNIS — não contam para carência nem para tempo de contribuição até que o segurado complemente. Na prática dos JEFs, surgem ações em que o segurado intermitente pleiteia aposentadoria por idade e o INSS desconta os meses "incompletos" da carência. O advogado deve verificar se a complementação é possível e viável antes do ajuizamento.</w:t>
            </w:r>
          </w:p>
        </w:tc>
      </w:tr>
    </w:tbl>
    <w:p w14:paraId="5A6FAB69" w14:textId="77777777" w:rsidR="005A5FCC" w:rsidRDefault="005A5FCC">
      <w:pPr>
        <w:spacing w:after="80" w:line="240" w:lineRule="auto"/>
      </w:pPr>
    </w:p>
    <w:p w14:paraId="090FC566" w14:textId="77777777" w:rsidR="005A5FCC" w:rsidRDefault="00A21C81">
      <w:pPr>
        <w:spacing w:before="260" w:after="80" w:line="240" w:lineRule="auto"/>
        <w:jc w:val="left"/>
      </w:pPr>
      <w:r>
        <w:rPr>
          <w:rFonts w:cs="EB Garamond"/>
          <w:b/>
          <w:color w:val="3A3128"/>
          <w:kern w:val="16"/>
          <w:sz w:val="25"/>
          <w14:ligatures w14:val="standardContextual"/>
        </w:rPr>
        <w:lastRenderedPageBreak/>
        <w:t>4.12.4 Parcelas integrantes do salário de contribuição</w:t>
      </w:r>
    </w:p>
    <w:p w14:paraId="3D147CE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I</w:t>
      </w:r>
    </w:p>
    <w:p w14:paraId="560848CA" w14:textId="77777777" w:rsidR="005A5FCC" w:rsidRDefault="00A21C81">
      <w:r>
        <w:rPr>
          <w:rFonts w:cs="EB Garamond"/>
          <w:kern w:val="16"/>
          <w14:ligatures w14:val="standardContextual"/>
        </w:rPr>
        <w:t>ntegram o salário de contribuição todas as parcelas de natureza remuneratória pagas ao empregado. O conceito operacional é: toda verba destinada a retribuir o trabalho, habitual ou não, inclusive gorjetas, gratificações e comissões, integra a base de cálculo. O art. 28, I, da Lei 8.212/91 adota uma definição ampla, e as exclusões são taxativas (previstas no § 9º do mesmo artigo).</w:t>
      </w:r>
    </w:p>
    <w:p w14:paraId="16DD40EE" w14:textId="77777777" w:rsidR="005A5FCC" w:rsidRDefault="00A21C81">
      <w:pPr>
        <w:ind w:firstLine="238"/>
      </w:pPr>
      <w:r>
        <w:rPr>
          <w:rFonts w:cs="EB Garamond"/>
          <w:kern w:val="16"/>
          <w14:ligatures w14:val="standardContextual"/>
        </w:rPr>
        <w:t>Parcelas que integram o salário de contribuição:</w:t>
      </w:r>
    </w:p>
    <w:p w14:paraId="4110B23E"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Salário-base e adicionais (insalubridade, periculosidade, noturno, hora extra)</w:t>
      </w:r>
    </w:p>
    <w:p w14:paraId="3892CED0"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Gratificações e comissões</w:t>
      </w:r>
    </w:p>
    <w:p w14:paraId="7314D6AE"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13º salário (contribuição calculada separadamente, no mês de dezembro)</w:t>
      </w:r>
    </w:p>
    <w:p w14:paraId="017CB83E"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Gorjetas (compulsórias ou espontâneas)</w:t>
      </w:r>
    </w:p>
    <w:p w14:paraId="28B4CCB6"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Terço constitucional de férias (desde o Tema 985/STF — ver abaixo)</w:t>
      </w:r>
    </w:p>
    <w:p w14:paraId="3B1E1FB6"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Salário in natura (moradia, alimentação fora do PAT, veículo para uso pessoal)</w:t>
      </w:r>
    </w:p>
    <w:p w14:paraId="0DB353F0"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Diárias excedentes a 50% da remuneração (quando não sujeitas à prestação de contas)</w:t>
      </w:r>
    </w:p>
    <w:p w14:paraId="33A7CCA5"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Prêmios e bonificações habituais</w:t>
      </w:r>
    </w:p>
    <w:p w14:paraId="4762A118"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Remuneração do intervalo intrajornada suprimido</w:t>
      </w:r>
    </w:p>
    <w:p w14:paraId="2DCAF6AD" w14:textId="77777777" w:rsidR="005A5FCC" w:rsidRDefault="005A5FCC">
      <w:pPr>
        <w:spacing w:after="60" w:line="240" w:lineRule="auto"/>
      </w:pPr>
    </w:p>
    <w:p w14:paraId="5E662655" w14:textId="77777777" w:rsidR="005A5FCC" w:rsidRDefault="00A21C81">
      <w:pPr>
        <w:spacing w:before="260" w:after="80" w:line="240" w:lineRule="auto"/>
        <w:jc w:val="left"/>
      </w:pPr>
      <w:r>
        <w:rPr>
          <w:rFonts w:cs="EB Garamond"/>
          <w:b/>
          <w:color w:val="3A3128"/>
          <w:kern w:val="16"/>
          <w:sz w:val="25"/>
          <w14:ligatures w14:val="standardContextual"/>
        </w:rPr>
        <w:t>4.12.5 Parcelas não integrantes do salário de contribuição</w:t>
      </w:r>
    </w:p>
    <w:p w14:paraId="0FD982C4"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267A64A8" w14:textId="77777777" w:rsidR="005A5FCC" w:rsidRDefault="00A21C81">
      <w:r>
        <w:rPr>
          <w:rFonts w:cs="EB Garamond"/>
          <w:kern w:val="16"/>
          <w14:ligatures w14:val="standardContextual"/>
        </w:rPr>
        <w:t xml:space="preserve"> art. 28, § 9º, da Lei 8.212/91 lista exaustivamente as parcelas excluídas da base de cálculo. A natureza dessas parcelas é predominantemente indenizatória, ressarcitória ou de caráter social. Destacam-se:</w:t>
      </w:r>
    </w:p>
    <w:p w14:paraId="40745780" w14:textId="77777777" w:rsidR="005A5FCC" w:rsidRDefault="00A21C81">
      <w:pPr>
        <w:ind w:firstLine="238"/>
      </w:pPr>
      <w:r>
        <w:rPr>
          <w:rFonts w:cs="EB Garamond"/>
          <w:kern w:val="16"/>
          <w14:ligatures w14:val="standardContextual"/>
        </w:rPr>
        <w:t xml:space="preserve">a) </w:t>
      </w:r>
      <w:r>
        <w:rPr>
          <w:rFonts w:cs="EB Garamond"/>
          <w:b/>
          <w:kern w:val="16"/>
          <w14:ligatures w14:val="standardContextual"/>
        </w:rPr>
        <w:t>Benefícios da Previdência Social</w:t>
      </w:r>
      <w:r>
        <w:rPr>
          <w:rFonts w:cs="EB Garamond"/>
          <w:kern w:val="16"/>
          <w14:ligatures w14:val="standardContextual"/>
        </w:rPr>
        <w:t xml:space="preserve"> (aposentadoria, pensão), exceto quando o aposentado retorna ao trabalho, caso em que a remuneração do novo emprego integra o SC.</w:t>
      </w:r>
    </w:p>
    <w:p w14:paraId="4A4D9481" w14:textId="61BF826B" w:rsidR="005A5FCC" w:rsidRDefault="00A21C81">
      <w:pPr>
        <w:ind w:firstLine="238"/>
      </w:pPr>
      <w:r>
        <w:rPr>
          <w:rFonts w:cs="EB Garamond"/>
          <w:kern w:val="16"/>
          <w14:ligatures w14:val="standardContextual"/>
        </w:rPr>
        <w:t xml:space="preserve">b) </w:t>
      </w:r>
      <w:r>
        <w:rPr>
          <w:rFonts w:cs="EB Garamond"/>
          <w:b/>
          <w:kern w:val="16"/>
          <w14:ligatures w14:val="standardContextual"/>
        </w:rPr>
        <w:t>Ajuda de custo e diárias para viagem</w:t>
      </w:r>
      <w:r>
        <w:rPr>
          <w:rFonts w:cs="EB Garamond"/>
          <w:kern w:val="16"/>
          <w14:ligatures w14:val="standardContextual"/>
        </w:rPr>
        <w:t xml:space="preserve"> não integram desde que compatíveis com a necessidade (a Lei 13.467/2017 eliminou o antigo limite de 50% da remuneração, mas a RFB mantém o critério de razoabilidade na fiscalização).</w:t>
      </w:r>
    </w:p>
    <w:p w14:paraId="1D46EBE3" w14:textId="77777777" w:rsidR="005A5FCC" w:rsidRDefault="00A21C81">
      <w:pPr>
        <w:ind w:firstLine="238"/>
      </w:pPr>
      <w:r>
        <w:rPr>
          <w:rFonts w:cs="EB Garamond"/>
          <w:kern w:val="16"/>
          <w14:ligatures w14:val="standardContextual"/>
        </w:rPr>
        <w:lastRenderedPageBreak/>
        <w:t xml:space="preserve">c) </w:t>
      </w:r>
      <w:r>
        <w:rPr>
          <w:rFonts w:cs="EB Garamond"/>
          <w:b/>
          <w:kern w:val="16"/>
          <w14:ligatures w14:val="standardContextual"/>
        </w:rPr>
        <w:t>Vale-transporte</w:t>
      </w:r>
      <w:r>
        <w:rPr>
          <w:rFonts w:cs="EB Garamond"/>
          <w:kern w:val="16"/>
          <w14:ligatures w14:val="standardContextual"/>
        </w:rPr>
        <w:t xml:space="preserve"> — independentemente da forma de pagamento (vales, cartão ou dinheiro), conforme posição consolidada pelo STF (RE 478.410, Plenário, j. 14/05/2010).</w:t>
      </w:r>
    </w:p>
    <w:p w14:paraId="44D420D5" w14:textId="77777777" w:rsidR="005A5FCC" w:rsidRDefault="00A21C81">
      <w:pPr>
        <w:ind w:firstLine="238"/>
      </w:pPr>
      <w:r>
        <w:rPr>
          <w:rFonts w:cs="EB Garamond"/>
          <w:kern w:val="16"/>
          <w14:ligatures w14:val="standardContextual"/>
        </w:rPr>
        <w:t xml:space="preserve">d) </w:t>
      </w:r>
      <w:r>
        <w:rPr>
          <w:rFonts w:cs="EB Garamond"/>
          <w:b/>
          <w:kern w:val="16"/>
          <w14:ligatures w14:val="standardContextual"/>
        </w:rPr>
        <w:t>Alimentação fornecida conforme o PAT</w:t>
      </w:r>
      <w:r>
        <w:rPr>
          <w:rFonts w:cs="EB Garamond"/>
          <w:kern w:val="16"/>
          <w14:ligatures w14:val="standardContextual"/>
        </w:rPr>
        <w:t xml:space="preserve"> (Programa de Alimentação do Trabalhador), desde que a empresa esteja inscrita no PAT. Vale-alimentação ou vale-refeição sem inscrição no PAT pode ser considerado salário in natura e integrar o SC.</w:t>
      </w:r>
    </w:p>
    <w:p w14:paraId="18FC5C28" w14:textId="77777777" w:rsidR="005A5FCC" w:rsidRDefault="00A21C81">
      <w:pPr>
        <w:ind w:firstLine="238"/>
      </w:pPr>
      <w:r>
        <w:rPr>
          <w:rFonts w:cs="EB Garamond"/>
          <w:kern w:val="16"/>
          <w14:ligatures w14:val="standardContextual"/>
        </w:rPr>
        <w:t xml:space="preserve">e) </w:t>
      </w:r>
      <w:r>
        <w:rPr>
          <w:rFonts w:cs="EB Garamond"/>
          <w:b/>
          <w:kern w:val="16"/>
          <w14:ligatures w14:val="standardContextual"/>
        </w:rPr>
        <w:t>PLR, Participação nos Lucros e Resultados</w:t>
      </w:r>
      <w:r>
        <w:rPr>
          <w:rFonts w:cs="EB Garamond"/>
          <w:kern w:val="16"/>
          <w14:ligatures w14:val="standardContextual"/>
        </w:rPr>
        <w:t>, não integra o SC, desde que paga nos termos da Lei 10.101/2000 (negociação prévia, periodicidade mínima semestral, critérios claros).</w:t>
      </w:r>
    </w:p>
    <w:p w14:paraId="246816AB" w14:textId="77777777" w:rsidR="005A5FCC" w:rsidRDefault="00A21C81">
      <w:pPr>
        <w:ind w:firstLine="238"/>
      </w:pPr>
      <w:r>
        <w:rPr>
          <w:rFonts w:cs="EB Garamond"/>
          <w:kern w:val="16"/>
          <w14:ligatures w14:val="standardContextual"/>
        </w:rPr>
        <w:t xml:space="preserve">f) </w:t>
      </w:r>
      <w:r>
        <w:rPr>
          <w:rFonts w:cs="EB Garamond"/>
          <w:b/>
          <w:kern w:val="16"/>
          <w14:ligatures w14:val="standardContextual"/>
        </w:rPr>
        <w:t>Indenização por rescisão</w:t>
      </w:r>
      <w:r>
        <w:rPr>
          <w:rFonts w:cs="EB Garamond"/>
          <w:kern w:val="16"/>
          <w14:ligatures w14:val="standardContextual"/>
        </w:rPr>
        <w:t>, multa de 40% do FGTS, aviso prévio indenizado, férias indenizadas (sobre a indenização principal, não sobre o terço).</w:t>
      </w:r>
    </w:p>
    <w:p w14:paraId="483A5112" w14:textId="77777777" w:rsidR="005A5FCC" w:rsidRDefault="00A21C81">
      <w:pPr>
        <w:ind w:firstLine="238"/>
      </w:pPr>
      <w:r>
        <w:rPr>
          <w:rFonts w:cs="EB Garamond"/>
          <w:kern w:val="16"/>
          <w14:ligatures w14:val="standardContextual"/>
        </w:rPr>
        <w:t xml:space="preserve">g) </w:t>
      </w:r>
      <w:r>
        <w:rPr>
          <w:rFonts w:cs="EB Garamond"/>
          <w:b/>
          <w:kern w:val="16"/>
          <w14:ligatures w14:val="standardContextual"/>
        </w:rPr>
        <w:t>Bolsa de estágio</w:t>
      </w:r>
      <w:r>
        <w:rPr>
          <w:rFonts w:cs="EB Garamond"/>
          <w:kern w:val="16"/>
          <w14:ligatures w14:val="standardContextual"/>
        </w:rPr>
        <w:t>, quando o estágio observa a Lei 11.788/2008 (supervisão, termo de compromisso, compatibilidade horária).</w:t>
      </w:r>
    </w:p>
    <w:p w14:paraId="00450D2A" w14:textId="076328DF" w:rsidR="005A5FCC" w:rsidRDefault="00A21C81">
      <w:pPr>
        <w:ind w:firstLine="238"/>
      </w:pPr>
      <w:r>
        <w:rPr>
          <w:rFonts w:cs="EB Garamond"/>
          <w:kern w:val="16"/>
          <w14:ligatures w14:val="standardContextual"/>
        </w:rPr>
        <w:t xml:space="preserve">h) </w:t>
      </w:r>
      <w:r>
        <w:rPr>
          <w:rFonts w:cs="EB Garamond"/>
          <w:b/>
          <w:kern w:val="16"/>
          <w14:ligatures w14:val="standardContextual"/>
        </w:rPr>
        <w:t>Prêmios e abonos</w:t>
      </w:r>
      <w:r w:rsidR="00E35EC3">
        <w:rPr>
          <w:rFonts w:cs="EB Garamond"/>
          <w:kern w:val="16"/>
          <w14:ligatures w14:val="standardContextual"/>
        </w:rPr>
        <w:t>: a</w:t>
      </w:r>
      <w:r>
        <w:rPr>
          <w:rFonts w:cs="EB Garamond"/>
          <w:kern w:val="16"/>
          <w14:ligatures w14:val="standardContextual"/>
        </w:rPr>
        <w:t xml:space="preserve"> Reforma Trabalhista (Lei 13.467/2017) excluiu os prêmios pagos até duas vezes ao ano da base do SC, definindo-os como "liberalidades concedidas em razão de desempenho superior ao ordinariamente esperado" (art. 457, § 4º, CLT). Essa exclusão está sujeita a fiscalização rigorosa da RFB.</w:t>
      </w:r>
    </w:p>
    <w:tbl>
      <w:tblPr>
        <w:tblW w:w="5000" w:type="pct"/>
        <w:jc w:val="center"/>
        <w:tblLayout w:type="fixed"/>
        <w:tblLook w:val="04A0" w:firstRow="1" w:lastRow="0" w:firstColumn="1" w:lastColumn="0" w:noHBand="0" w:noVBand="1"/>
      </w:tblPr>
      <w:tblGrid>
        <w:gridCol w:w="6311"/>
      </w:tblGrid>
      <w:tr w:rsidR="005A5FCC" w14:paraId="7A36A032"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7416ADC4"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25152A2C" w14:textId="77777777" w:rsidR="005A5FCC" w:rsidRDefault="00A21C81">
            <w:pPr>
              <w:spacing w:after="60" w:line="247" w:lineRule="auto"/>
            </w:pPr>
            <w:r>
              <w:rPr>
                <w:rFonts w:cs="EB Garamond"/>
                <w:b/>
                <w:kern w:val="16"/>
                <w:sz w:val="19"/>
                <w14:ligatures w14:val="standardContextual"/>
              </w:rPr>
              <w:t>Quadro comparativo — Parcelas integrantes vs. Não integrantes:</w:t>
            </w:r>
          </w:p>
          <w:tbl>
            <w:tblPr>
              <w:tblW w:w="5000" w:type="pct"/>
              <w:jc w:val="center"/>
              <w:tblLook w:val="04A0" w:firstRow="1" w:lastRow="0" w:firstColumn="1" w:lastColumn="0" w:noHBand="0" w:noVBand="1"/>
            </w:tblPr>
            <w:tblGrid>
              <w:gridCol w:w="1967"/>
              <w:gridCol w:w="1967"/>
              <w:gridCol w:w="1967"/>
            </w:tblGrid>
            <w:tr w:rsidR="005A5FCC" w14:paraId="0281D2A2" w14:textId="77777777">
              <w:trPr>
                <w:tblHeader/>
                <w:jc w:val="center"/>
              </w:trPr>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37FFA67D" w14:textId="77777777" w:rsidR="005A5FCC" w:rsidRDefault="00A21C81">
                  <w:pPr>
                    <w:spacing w:before="30" w:after="30" w:line="240" w:lineRule="auto"/>
                    <w:jc w:val="center"/>
                  </w:pPr>
                  <w:r>
                    <w:rPr>
                      <w:rFonts w:cs="EB Garamond"/>
                      <w:b/>
                      <w:color w:val="2F2923"/>
                      <w:kern w:val="16"/>
                      <w:sz w:val="16"/>
                      <w14:ligatures w14:val="standardContextual"/>
                    </w:rPr>
                    <w:t>Parcela</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65A2CE58" w14:textId="77777777" w:rsidR="005A5FCC" w:rsidRDefault="00A21C81">
                  <w:pPr>
                    <w:spacing w:before="30" w:after="30" w:line="240" w:lineRule="auto"/>
                    <w:jc w:val="center"/>
                  </w:pPr>
                  <w:r>
                    <w:rPr>
                      <w:rFonts w:cs="EB Garamond"/>
                      <w:b/>
                      <w:color w:val="2F2923"/>
                      <w:kern w:val="16"/>
                      <w:sz w:val="16"/>
                      <w14:ligatures w14:val="standardContextual"/>
                    </w:rPr>
                    <w:t>Integra SC?</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31D2E401" w14:textId="77777777" w:rsidR="005A5FCC" w:rsidRDefault="00A21C81">
                  <w:pPr>
                    <w:spacing w:before="30" w:after="30" w:line="240" w:lineRule="auto"/>
                    <w:jc w:val="center"/>
                  </w:pPr>
                  <w:r>
                    <w:rPr>
                      <w:rFonts w:cs="EB Garamond"/>
                      <w:b/>
                      <w:color w:val="2F2923"/>
                      <w:kern w:val="16"/>
                      <w:sz w:val="16"/>
                      <w14:ligatures w14:val="standardContextual"/>
                    </w:rPr>
                    <w:t>Fundamento</w:t>
                  </w:r>
                </w:p>
              </w:tc>
            </w:tr>
            <w:tr w:rsidR="005A5FCC" w14:paraId="617446D9"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497A4347" w14:textId="77777777" w:rsidR="005A5FCC" w:rsidRDefault="00A21C81">
                  <w:pPr>
                    <w:spacing w:before="20" w:after="20" w:line="240" w:lineRule="auto"/>
                    <w:jc w:val="left"/>
                  </w:pPr>
                  <w:r>
                    <w:rPr>
                      <w:rFonts w:cs="EB Garamond"/>
                      <w:kern w:val="16"/>
                      <w:sz w:val="16"/>
                      <w14:ligatures w14:val="standardContextual"/>
                    </w:rPr>
                    <w:t>Salário-base</w:t>
                  </w:r>
                </w:p>
              </w:tc>
              <w:tc>
                <w:tcPr>
                  <w:tcW w:w="2117" w:type="dxa"/>
                  <w:tcBorders>
                    <w:top w:val="single" w:sz="4" w:space="0" w:color="D2C9B8"/>
                    <w:left w:val="single" w:sz="4" w:space="0" w:color="D2C9B8"/>
                    <w:bottom w:val="single" w:sz="4" w:space="0" w:color="D2C9B8"/>
                    <w:right w:val="single" w:sz="4" w:space="0" w:color="D2C9B8"/>
                  </w:tcBorders>
                </w:tcPr>
                <w:p w14:paraId="7273DDFF" w14:textId="77777777" w:rsidR="005A5FCC" w:rsidRDefault="00A21C81">
                  <w:pPr>
                    <w:spacing w:before="20" w:after="20" w:line="240" w:lineRule="auto"/>
                    <w:jc w:val="left"/>
                  </w:pPr>
                  <w:r>
                    <w:rPr>
                      <w:rFonts w:cs="EB Garamond"/>
                      <w:kern w:val="16"/>
                      <w:sz w:val="16"/>
                      <w14:ligatures w14:val="standardContextual"/>
                    </w:rPr>
                    <w:t>Sim</w:t>
                  </w:r>
                </w:p>
              </w:tc>
              <w:tc>
                <w:tcPr>
                  <w:tcW w:w="2117" w:type="dxa"/>
                  <w:tcBorders>
                    <w:top w:val="single" w:sz="4" w:space="0" w:color="D2C9B8"/>
                    <w:left w:val="single" w:sz="4" w:space="0" w:color="D2C9B8"/>
                    <w:bottom w:val="single" w:sz="4" w:space="0" w:color="D2C9B8"/>
                    <w:right w:val="single" w:sz="4" w:space="0" w:color="D2C9B8"/>
                  </w:tcBorders>
                </w:tcPr>
                <w:p w14:paraId="6218835C" w14:textId="77777777" w:rsidR="005A5FCC" w:rsidRDefault="00A21C81">
                  <w:pPr>
                    <w:spacing w:before="20" w:after="20" w:line="240" w:lineRule="auto"/>
                    <w:jc w:val="left"/>
                  </w:pPr>
                  <w:r>
                    <w:rPr>
                      <w:rFonts w:cs="EB Garamond"/>
                      <w:kern w:val="16"/>
                      <w:sz w:val="16"/>
                      <w14:ligatures w14:val="standardContextual"/>
                    </w:rPr>
                    <w:t>Art. 28, I, Lei 8.212</w:t>
                  </w:r>
                </w:p>
              </w:tc>
            </w:tr>
            <w:tr w:rsidR="005A5FCC" w14:paraId="7F162A63"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44CED849" w14:textId="77777777" w:rsidR="005A5FCC" w:rsidRDefault="00A21C81">
                  <w:pPr>
                    <w:spacing w:before="20" w:after="20" w:line="240" w:lineRule="auto"/>
                    <w:jc w:val="left"/>
                  </w:pPr>
                  <w:r>
                    <w:rPr>
                      <w:rFonts w:cs="EB Garamond"/>
                      <w:kern w:val="16"/>
                      <w:sz w:val="16"/>
                      <w14:ligatures w14:val="standardContextual"/>
                    </w:rPr>
                    <w:t>Hora extra</w:t>
                  </w:r>
                </w:p>
              </w:tc>
              <w:tc>
                <w:tcPr>
                  <w:tcW w:w="2117" w:type="dxa"/>
                  <w:tcBorders>
                    <w:top w:val="single" w:sz="4" w:space="0" w:color="D2C9B8"/>
                    <w:left w:val="single" w:sz="4" w:space="0" w:color="D2C9B8"/>
                    <w:bottom w:val="single" w:sz="4" w:space="0" w:color="D2C9B8"/>
                    <w:right w:val="single" w:sz="4" w:space="0" w:color="D2C9B8"/>
                  </w:tcBorders>
                </w:tcPr>
                <w:p w14:paraId="4E4C401C" w14:textId="77777777" w:rsidR="005A5FCC" w:rsidRDefault="00A21C81">
                  <w:pPr>
                    <w:spacing w:before="20" w:after="20" w:line="240" w:lineRule="auto"/>
                    <w:jc w:val="left"/>
                  </w:pPr>
                  <w:r>
                    <w:rPr>
                      <w:rFonts w:cs="EB Garamond"/>
                      <w:kern w:val="16"/>
                      <w:sz w:val="16"/>
                      <w14:ligatures w14:val="standardContextual"/>
                    </w:rPr>
                    <w:t>Sim</w:t>
                  </w:r>
                </w:p>
              </w:tc>
              <w:tc>
                <w:tcPr>
                  <w:tcW w:w="2117" w:type="dxa"/>
                  <w:tcBorders>
                    <w:top w:val="single" w:sz="4" w:space="0" w:color="D2C9B8"/>
                    <w:left w:val="single" w:sz="4" w:space="0" w:color="D2C9B8"/>
                    <w:bottom w:val="single" w:sz="4" w:space="0" w:color="D2C9B8"/>
                    <w:right w:val="single" w:sz="4" w:space="0" w:color="D2C9B8"/>
                  </w:tcBorders>
                </w:tcPr>
                <w:p w14:paraId="5E4458F9" w14:textId="77777777" w:rsidR="005A5FCC" w:rsidRDefault="00A21C81">
                  <w:pPr>
                    <w:spacing w:before="20" w:after="20" w:line="240" w:lineRule="auto"/>
                    <w:jc w:val="left"/>
                  </w:pPr>
                  <w:r>
                    <w:rPr>
                      <w:rFonts w:cs="EB Garamond"/>
                      <w:kern w:val="16"/>
                      <w:sz w:val="16"/>
                      <w14:ligatures w14:val="standardContextual"/>
                    </w:rPr>
                    <w:t>Art. 28, I</w:t>
                  </w:r>
                </w:p>
              </w:tc>
            </w:tr>
            <w:tr w:rsidR="005A5FCC" w14:paraId="011A9262"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10650151" w14:textId="77777777" w:rsidR="005A5FCC" w:rsidRDefault="00A21C81">
                  <w:pPr>
                    <w:spacing w:before="20" w:after="20" w:line="240" w:lineRule="auto"/>
                    <w:jc w:val="left"/>
                  </w:pPr>
                  <w:r>
                    <w:rPr>
                      <w:rFonts w:cs="EB Garamond"/>
                      <w:kern w:val="16"/>
                      <w:sz w:val="16"/>
                      <w14:ligatures w14:val="standardContextual"/>
                    </w:rPr>
                    <w:t>Adicional noturno</w:t>
                  </w:r>
                </w:p>
              </w:tc>
              <w:tc>
                <w:tcPr>
                  <w:tcW w:w="2117" w:type="dxa"/>
                  <w:tcBorders>
                    <w:top w:val="single" w:sz="4" w:space="0" w:color="D2C9B8"/>
                    <w:left w:val="single" w:sz="4" w:space="0" w:color="D2C9B8"/>
                    <w:bottom w:val="single" w:sz="4" w:space="0" w:color="D2C9B8"/>
                    <w:right w:val="single" w:sz="4" w:space="0" w:color="D2C9B8"/>
                  </w:tcBorders>
                </w:tcPr>
                <w:p w14:paraId="0DF042E4" w14:textId="77777777" w:rsidR="005A5FCC" w:rsidRDefault="00A21C81">
                  <w:pPr>
                    <w:spacing w:before="20" w:after="20" w:line="240" w:lineRule="auto"/>
                    <w:jc w:val="left"/>
                  </w:pPr>
                  <w:r>
                    <w:rPr>
                      <w:rFonts w:cs="EB Garamond"/>
                      <w:kern w:val="16"/>
                      <w:sz w:val="16"/>
                      <w14:ligatures w14:val="standardContextual"/>
                    </w:rPr>
                    <w:t>Sim</w:t>
                  </w:r>
                </w:p>
              </w:tc>
              <w:tc>
                <w:tcPr>
                  <w:tcW w:w="2117" w:type="dxa"/>
                  <w:tcBorders>
                    <w:top w:val="single" w:sz="4" w:space="0" w:color="D2C9B8"/>
                    <w:left w:val="single" w:sz="4" w:space="0" w:color="D2C9B8"/>
                    <w:bottom w:val="single" w:sz="4" w:space="0" w:color="D2C9B8"/>
                    <w:right w:val="single" w:sz="4" w:space="0" w:color="D2C9B8"/>
                  </w:tcBorders>
                </w:tcPr>
                <w:p w14:paraId="5542DCB9" w14:textId="77777777" w:rsidR="005A5FCC" w:rsidRDefault="00A21C81">
                  <w:pPr>
                    <w:spacing w:before="20" w:after="20" w:line="240" w:lineRule="auto"/>
                    <w:jc w:val="left"/>
                  </w:pPr>
                  <w:r>
                    <w:rPr>
                      <w:rFonts w:cs="EB Garamond"/>
                      <w:kern w:val="16"/>
                      <w:sz w:val="16"/>
                      <w14:ligatures w14:val="standardContextual"/>
                    </w:rPr>
                    <w:t>Art. 28, I</w:t>
                  </w:r>
                </w:p>
              </w:tc>
            </w:tr>
            <w:tr w:rsidR="005A5FCC" w14:paraId="676A74B9"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736E5FAA" w14:textId="77777777" w:rsidR="005A5FCC" w:rsidRDefault="00A21C81">
                  <w:pPr>
                    <w:spacing w:before="20" w:after="20" w:line="240" w:lineRule="auto"/>
                    <w:jc w:val="left"/>
                  </w:pPr>
                  <w:r>
                    <w:rPr>
                      <w:rFonts w:cs="EB Garamond"/>
                      <w:kern w:val="16"/>
                      <w:sz w:val="16"/>
                      <w14:ligatures w14:val="standardContextual"/>
                    </w:rPr>
                    <w:t>Insalubridade/Periculosidade</w:t>
                  </w:r>
                </w:p>
              </w:tc>
              <w:tc>
                <w:tcPr>
                  <w:tcW w:w="2117" w:type="dxa"/>
                  <w:tcBorders>
                    <w:top w:val="single" w:sz="4" w:space="0" w:color="D2C9B8"/>
                    <w:left w:val="single" w:sz="4" w:space="0" w:color="D2C9B8"/>
                    <w:bottom w:val="single" w:sz="4" w:space="0" w:color="D2C9B8"/>
                    <w:right w:val="single" w:sz="4" w:space="0" w:color="D2C9B8"/>
                  </w:tcBorders>
                </w:tcPr>
                <w:p w14:paraId="6C58E116" w14:textId="77777777" w:rsidR="005A5FCC" w:rsidRDefault="00A21C81">
                  <w:pPr>
                    <w:spacing w:before="20" w:after="20" w:line="240" w:lineRule="auto"/>
                    <w:jc w:val="left"/>
                  </w:pPr>
                  <w:r>
                    <w:rPr>
                      <w:rFonts w:cs="EB Garamond"/>
                      <w:kern w:val="16"/>
                      <w:sz w:val="16"/>
                      <w14:ligatures w14:val="standardContextual"/>
                    </w:rPr>
                    <w:t>Sim</w:t>
                  </w:r>
                </w:p>
              </w:tc>
              <w:tc>
                <w:tcPr>
                  <w:tcW w:w="2117" w:type="dxa"/>
                  <w:tcBorders>
                    <w:top w:val="single" w:sz="4" w:space="0" w:color="D2C9B8"/>
                    <w:left w:val="single" w:sz="4" w:space="0" w:color="D2C9B8"/>
                    <w:bottom w:val="single" w:sz="4" w:space="0" w:color="D2C9B8"/>
                    <w:right w:val="single" w:sz="4" w:space="0" w:color="D2C9B8"/>
                  </w:tcBorders>
                </w:tcPr>
                <w:p w14:paraId="28BFF6C4" w14:textId="77777777" w:rsidR="005A5FCC" w:rsidRDefault="00A21C81">
                  <w:pPr>
                    <w:spacing w:before="20" w:after="20" w:line="240" w:lineRule="auto"/>
                    <w:jc w:val="left"/>
                  </w:pPr>
                  <w:r>
                    <w:rPr>
                      <w:rFonts w:cs="EB Garamond"/>
                      <w:kern w:val="16"/>
                      <w:sz w:val="16"/>
                      <w14:ligatures w14:val="standardContextual"/>
                    </w:rPr>
                    <w:t>Art. 28, I; STJ Tema 1.252</w:t>
                  </w:r>
                </w:p>
              </w:tc>
            </w:tr>
            <w:tr w:rsidR="005A5FCC" w14:paraId="04409C8E"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7A0CCDE5" w14:textId="77777777" w:rsidR="005A5FCC" w:rsidRDefault="00A21C81">
                  <w:pPr>
                    <w:spacing w:before="20" w:after="20" w:line="240" w:lineRule="auto"/>
                    <w:jc w:val="left"/>
                  </w:pPr>
                  <w:r>
                    <w:rPr>
                      <w:rFonts w:cs="EB Garamond"/>
                      <w:kern w:val="16"/>
                      <w:sz w:val="16"/>
                      <w14:ligatures w14:val="standardContextual"/>
                    </w:rPr>
                    <w:t>Remuneração do aprendiz (art. 428 CLT)</w:t>
                  </w:r>
                </w:p>
              </w:tc>
              <w:tc>
                <w:tcPr>
                  <w:tcW w:w="2117" w:type="dxa"/>
                  <w:tcBorders>
                    <w:top w:val="single" w:sz="4" w:space="0" w:color="D2C9B8"/>
                    <w:left w:val="single" w:sz="4" w:space="0" w:color="D2C9B8"/>
                    <w:bottom w:val="single" w:sz="4" w:space="0" w:color="D2C9B8"/>
                    <w:right w:val="single" w:sz="4" w:space="0" w:color="D2C9B8"/>
                  </w:tcBorders>
                </w:tcPr>
                <w:p w14:paraId="5843D196" w14:textId="77777777" w:rsidR="005A5FCC" w:rsidRDefault="00A21C81">
                  <w:pPr>
                    <w:spacing w:before="20" w:after="20" w:line="240" w:lineRule="auto"/>
                    <w:jc w:val="left"/>
                  </w:pPr>
                  <w:r>
                    <w:rPr>
                      <w:rFonts w:cs="EB Garamond"/>
                      <w:kern w:val="16"/>
                      <w:sz w:val="16"/>
                      <w14:ligatures w14:val="standardContextual"/>
                    </w:rPr>
                    <w:t>Sim</w:t>
                  </w:r>
                </w:p>
              </w:tc>
              <w:tc>
                <w:tcPr>
                  <w:tcW w:w="2117" w:type="dxa"/>
                  <w:tcBorders>
                    <w:top w:val="single" w:sz="4" w:space="0" w:color="D2C9B8"/>
                    <w:left w:val="single" w:sz="4" w:space="0" w:color="D2C9B8"/>
                    <w:bottom w:val="single" w:sz="4" w:space="0" w:color="D2C9B8"/>
                    <w:right w:val="single" w:sz="4" w:space="0" w:color="D2C9B8"/>
                  </w:tcBorders>
                </w:tcPr>
                <w:p w14:paraId="3CCC4A06" w14:textId="77777777" w:rsidR="005A5FCC" w:rsidRDefault="00A21C81">
                  <w:pPr>
                    <w:spacing w:before="20" w:after="20" w:line="240" w:lineRule="auto"/>
                    <w:jc w:val="left"/>
                  </w:pPr>
                  <w:r>
                    <w:rPr>
                      <w:rFonts w:cs="EB Garamond"/>
                      <w:kern w:val="16"/>
                      <w:sz w:val="16"/>
                      <w14:ligatures w14:val="standardContextual"/>
                    </w:rPr>
                    <w:t>STJ Tema 1.342</w:t>
                  </w:r>
                </w:p>
              </w:tc>
            </w:tr>
            <w:tr w:rsidR="005A5FCC" w14:paraId="718B2DEA"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3DC294EE" w14:textId="77777777" w:rsidR="005A5FCC" w:rsidRDefault="00A21C81">
                  <w:pPr>
                    <w:spacing w:before="20" w:after="20" w:line="240" w:lineRule="auto"/>
                    <w:jc w:val="left"/>
                  </w:pPr>
                  <w:r>
                    <w:rPr>
                      <w:rFonts w:cs="EB Garamond"/>
                      <w:kern w:val="16"/>
                      <w:sz w:val="16"/>
                      <w14:ligatures w14:val="standardContextual"/>
                    </w:rPr>
                    <w:t>13º salário</w:t>
                  </w:r>
                </w:p>
              </w:tc>
              <w:tc>
                <w:tcPr>
                  <w:tcW w:w="2117" w:type="dxa"/>
                  <w:tcBorders>
                    <w:top w:val="single" w:sz="4" w:space="0" w:color="D2C9B8"/>
                    <w:left w:val="single" w:sz="4" w:space="0" w:color="D2C9B8"/>
                    <w:bottom w:val="single" w:sz="4" w:space="0" w:color="D2C9B8"/>
                    <w:right w:val="single" w:sz="4" w:space="0" w:color="D2C9B8"/>
                  </w:tcBorders>
                </w:tcPr>
                <w:p w14:paraId="6CD841C7" w14:textId="77777777" w:rsidR="005A5FCC" w:rsidRDefault="00A21C81">
                  <w:pPr>
                    <w:spacing w:before="20" w:after="20" w:line="240" w:lineRule="auto"/>
                    <w:jc w:val="left"/>
                  </w:pPr>
                  <w:r>
                    <w:rPr>
                      <w:rFonts w:cs="EB Garamond"/>
                      <w:kern w:val="16"/>
                      <w:sz w:val="16"/>
                      <w14:ligatures w14:val="standardContextual"/>
                    </w:rPr>
                    <w:t>Sim (separado)</w:t>
                  </w:r>
                </w:p>
              </w:tc>
              <w:tc>
                <w:tcPr>
                  <w:tcW w:w="2117" w:type="dxa"/>
                  <w:tcBorders>
                    <w:top w:val="single" w:sz="4" w:space="0" w:color="D2C9B8"/>
                    <w:left w:val="single" w:sz="4" w:space="0" w:color="D2C9B8"/>
                    <w:bottom w:val="single" w:sz="4" w:space="0" w:color="D2C9B8"/>
                    <w:right w:val="single" w:sz="4" w:space="0" w:color="D2C9B8"/>
                  </w:tcBorders>
                </w:tcPr>
                <w:p w14:paraId="3F606EE5" w14:textId="77777777" w:rsidR="005A5FCC" w:rsidRDefault="00A21C81">
                  <w:pPr>
                    <w:spacing w:before="20" w:after="20" w:line="240" w:lineRule="auto"/>
                    <w:jc w:val="left"/>
                  </w:pPr>
                  <w:r>
                    <w:rPr>
                      <w:rFonts w:cs="EB Garamond"/>
                      <w:kern w:val="16"/>
                      <w:sz w:val="16"/>
                      <w14:ligatures w14:val="standardContextual"/>
                    </w:rPr>
                    <w:t>Art. 28, § 7º</w:t>
                  </w:r>
                </w:p>
              </w:tc>
            </w:tr>
            <w:tr w:rsidR="005A5FCC" w14:paraId="02D2057B"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036D6B57" w14:textId="77777777" w:rsidR="005A5FCC" w:rsidRDefault="00A21C81">
                  <w:pPr>
                    <w:spacing w:before="20" w:after="20" w:line="240" w:lineRule="auto"/>
                    <w:jc w:val="left"/>
                  </w:pPr>
                  <w:r>
                    <w:rPr>
                      <w:rFonts w:cs="EB Garamond"/>
                      <w:kern w:val="16"/>
                      <w:sz w:val="16"/>
                      <w14:ligatures w14:val="standardContextual"/>
                    </w:rPr>
                    <w:t>Terço de férias</w:t>
                  </w:r>
                </w:p>
              </w:tc>
              <w:tc>
                <w:tcPr>
                  <w:tcW w:w="2117" w:type="dxa"/>
                  <w:tcBorders>
                    <w:top w:val="single" w:sz="4" w:space="0" w:color="D2C9B8"/>
                    <w:left w:val="single" w:sz="4" w:space="0" w:color="D2C9B8"/>
                    <w:bottom w:val="single" w:sz="4" w:space="0" w:color="D2C9B8"/>
                    <w:right w:val="single" w:sz="4" w:space="0" w:color="D2C9B8"/>
                  </w:tcBorders>
                </w:tcPr>
                <w:p w14:paraId="17BB8980" w14:textId="77777777" w:rsidR="005A5FCC" w:rsidRDefault="00A21C81">
                  <w:pPr>
                    <w:spacing w:before="20" w:after="20" w:line="240" w:lineRule="auto"/>
                    <w:jc w:val="left"/>
                  </w:pPr>
                  <w:r>
                    <w:rPr>
                      <w:rFonts w:cs="EB Garamond"/>
                      <w:kern w:val="16"/>
                      <w:sz w:val="16"/>
                      <w14:ligatures w14:val="standardContextual"/>
                    </w:rPr>
                    <w:t>Sim</w:t>
                  </w:r>
                </w:p>
              </w:tc>
              <w:tc>
                <w:tcPr>
                  <w:tcW w:w="2117" w:type="dxa"/>
                  <w:tcBorders>
                    <w:top w:val="single" w:sz="4" w:space="0" w:color="D2C9B8"/>
                    <w:left w:val="single" w:sz="4" w:space="0" w:color="D2C9B8"/>
                    <w:bottom w:val="single" w:sz="4" w:space="0" w:color="D2C9B8"/>
                    <w:right w:val="single" w:sz="4" w:space="0" w:color="D2C9B8"/>
                  </w:tcBorders>
                </w:tcPr>
                <w:p w14:paraId="1096C360" w14:textId="77777777" w:rsidR="005A5FCC" w:rsidRDefault="00A21C81">
                  <w:pPr>
                    <w:spacing w:before="20" w:after="20" w:line="240" w:lineRule="auto"/>
                    <w:jc w:val="left"/>
                  </w:pPr>
                  <w:r>
                    <w:rPr>
                      <w:rFonts w:cs="EB Garamond"/>
                      <w:kern w:val="16"/>
                      <w:sz w:val="16"/>
                      <w14:ligatures w14:val="standardContextual"/>
                    </w:rPr>
                    <w:t>STF Tema 985</w:t>
                  </w:r>
                </w:p>
              </w:tc>
            </w:tr>
            <w:tr w:rsidR="005A5FCC" w14:paraId="0637A84B"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4E28FDB9" w14:textId="77777777" w:rsidR="005A5FCC" w:rsidRDefault="00A21C81">
                  <w:pPr>
                    <w:spacing w:before="20" w:after="20" w:line="240" w:lineRule="auto"/>
                    <w:jc w:val="left"/>
                  </w:pPr>
                  <w:r>
                    <w:rPr>
                      <w:rFonts w:cs="EB Garamond"/>
                      <w:kern w:val="16"/>
                      <w:sz w:val="16"/>
                      <w14:ligatures w14:val="standardContextual"/>
                    </w:rPr>
                    <w:t>Gorjetas</w:t>
                  </w:r>
                </w:p>
              </w:tc>
              <w:tc>
                <w:tcPr>
                  <w:tcW w:w="2117" w:type="dxa"/>
                  <w:tcBorders>
                    <w:top w:val="single" w:sz="4" w:space="0" w:color="D2C9B8"/>
                    <w:left w:val="single" w:sz="4" w:space="0" w:color="D2C9B8"/>
                    <w:bottom w:val="single" w:sz="4" w:space="0" w:color="D2C9B8"/>
                    <w:right w:val="single" w:sz="4" w:space="0" w:color="D2C9B8"/>
                  </w:tcBorders>
                </w:tcPr>
                <w:p w14:paraId="159A8B56" w14:textId="77777777" w:rsidR="005A5FCC" w:rsidRDefault="00A21C81">
                  <w:pPr>
                    <w:spacing w:before="20" w:after="20" w:line="240" w:lineRule="auto"/>
                    <w:jc w:val="left"/>
                  </w:pPr>
                  <w:r>
                    <w:rPr>
                      <w:rFonts w:cs="EB Garamond"/>
                      <w:kern w:val="16"/>
                      <w:sz w:val="16"/>
                      <w14:ligatures w14:val="standardContextual"/>
                    </w:rPr>
                    <w:t>Sim</w:t>
                  </w:r>
                </w:p>
              </w:tc>
              <w:tc>
                <w:tcPr>
                  <w:tcW w:w="2117" w:type="dxa"/>
                  <w:tcBorders>
                    <w:top w:val="single" w:sz="4" w:space="0" w:color="D2C9B8"/>
                    <w:left w:val="single" w:sz="4" w:space="0" w:color="D2C9B8"/>
                    <w:bottom w:val="single" w:sz="4" w:space="0" w:color="D2C9B8"/>
                    <w:right w:val="single" w:sz="4" w:space="0" w:color="D2C9B8"/>
                  </w:tcBorders>
                </w:tcPr>
                <w:p w14:paraId="64E026A6" w14:textId="77777777" w:rsidR="005A5FCC" w:rsidRDefault="00A21C81">
                  <w:pPr>
                    <w:spacing w:before="20" w:after="20" w:line="240" w:lineRule="auto"/>
                    <w:jc w:val="left"/>
                  </w:pPr>
                  <w:r>
                    <w:rPr>
                      <w:rFonts w:cs="EB Garamond"/>
                      <w:kern w:val="16"/>
                      <w:sz w:val="16"/>
                      <w14:ligatures w14:val="standardContextual"/>
                    </w:rPr>
                    <w:t>Art. 28, I</w:t>
                  </w:r>
                </w:p>
              </w:tc>
            </w:tr>
            <w:tr w:rsidR="005A5FCC" w14:paraId="361A4134"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203FEDA2" w14:textId="77777777" w:rsidR="005A5FCC" w:rsidRDefault="00A21C81">
                  <w:pPr>
                    <w:spacing w:before="20" w:after="20" w:line="240" w:lineRule="auto"/>
                    <w:jc w:val="left"/>
                  </w:pPr>
                  <w:r>
                    <w:rPr>
                      <w:rFonts w:cs="EB Garamond"/>
                      <w:kern w:val="16"/>
                      <w:sz w:val="16"/>
                      <w14:ligatures w14:val="standardContextual"/>
                    </w:rPr>
                    <w:t>Comissões</w:t>
                  </w:r>
                </w:p>
              </w:tc>
              <w:tc>
                <w:tcPr>
                  <w:tcW w:w="2117" w:type="dxa"/>
                  <w:tcBorders>
                    <w:top w:val="single" w:sz="4" w:space="0" w:color="D2C9B8"/>
                    <w:left w:val="single" w:sz="4" w:space="0" w:color="D2C9B8"/>
                    <w:bottom w:val="single" w:sz="4" w:space="0" w:color="D2C9B8"/>
                    <w:right w:val="single" w:sz="4" w:space="0" w:color="D2C9B8"/>
                  </w:tcBorders>
                </w:tcPr>
                <w:p w14:paraId="4F8C3605" w14:textId="77777777" w:rsidR="005A5FCC" w:rsidRDefault="00A21C81">
                  <w:pPr>
                    <w:spacing w:before="20" w:after="20" w:line="240" w:lineRule="auto"/>
                    <w:jc w:val="left"/>
                  </w:pPr>
                  <w:r>
                    <w:rPr>
                      <w:rFonts w:cs="EB Garamond"/>
                      <w:kern w:val="16"/>
                      <w:sz w:val="16"/>
                      <w14:ligatures w14:val="standardContextual"/>
                    </w:rPr>
                    <w:t>Sim</w:t>
                  </w:r>
                </w:p>
              </w:tc>
              <w:tc>
                <w:tcPr>
                  <w:tcW w:w="2117" w:type="dxa"/>
                  <w:tcBorders>
                    <w:top w:val="single" w:sz="4" w:space="0" w:color="D2C9B8"/>
                    <w:left w:val="single" w:sz="4" w:space="0" w:color="D2C9B8"/>
                    <w:bottom w:val="single" w:sz="4" w:space="0" w:color="D2C9B8"/>
                    <w:right w:val="single" w:sz="4" w:space="0" w:color="D2C9B8"/>
                  </w:tcBorders>
                </w:tcPr>
                <w:p w14:paraId="5101334F" w14:textId="77777777" w:rsidR="005A5FCC" w:rsidRDefault="00A21C81">
                  <w:pPr>
                    <w:spacing w:before="20" w:after="20" w:line="240" w:lineRule="auto"/>
                    <w:jc w:val="left"/>
                  </w:pPr>
                  <w:r>
                    <w:rPr>
                      <w:rFonts w:cs="EB Garamond"/>
                      <w:kern w:val="16"/>
                      <w:sz w:val="16"/>
                      <w14:ligatures w14:val="standardContextual"/>
                    </w:rPr>
                    <w:t>Art. 28, I</w:t>
                  </w:r>
                </w:p>
              </w:tc>
            </w:tr>
            <w:tr w:rsidR="005A5FCC" w14:paraId="5560B2F6"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28444A20" w14:textId="77777777" w:rsidR="005A5FCC" w:rsidRDefault="00A21C81">
                  <w:pPr>
                    <w:spacing w:before="20" w:after="20" w:line="240" w:lineRule="auto"/>
                    <w:jc w:val="left"/>
                  </w:pPr>
                  <w:r>
                    <w:rPr>
                      <w:rFonts w:cs="EB Garamond"/>
                      <w:kern w:val="16"/>
                      <w:sz w:val="16"/>
                      <w14:ligatures w14:val="standardContextual"/>
                    </w:rPr>
                    <w:t>PLR</w:t>
                  </w:r>
                </w:p>
              </w:tc>
              <w:tc>
                <w:tcPr>
                  <w:tcW w:w="2117" w:type="dxa"/>
                  <w:tcBorders>
                    <w:top w:val="single" w:sz="4" w:space="0" w:color="D2C9B8"/>
                    <w:left w:val="single" w:sz="4" w:space="0" w:color="D2C9B8"/>
                    <w:bottom w:val="single" w:sz="4" w:space="0" w:color="D2C9B8"/>
                    <w:right w:val="single" w:sz="4" w:space="0" w:color="D2C9B8"/>
                  </w:tcBorders>
                </w:tcPr>
                <w:p w14:paraId="5EDC661F" w14:textId="77777777" w:rsidR="005A5FCC" w:rsidRDefault="00A21C81">
                  <w:pPr>
                    <w:spacing w:before="20" w:after="20" w:line="240" w:lineRule="auto"/>
                    <w:jc w:val="left"/>
                  </w:pPr>
                  <w:r>
                    <w:rPr>
                      <w:rFonts w:cs="EB Garamond"/>
                      <w:kern w:val="16"/>
                      <w:sz w:val="16"/>
                      <w14:ligatures w14:val="standardContextual"/>
                    </w:rPr>
                    <w:t>Não</w:t>
                  </w:r>
                </w:p>
              </w:tc>
              <w:tc>
                <w:tcPr>
                  <w:tcW w:w="2117" w:type="dxa"/>
                  <w:tcBorders>
                    <w:top w:val="single" w:sz="4" w:space="0" w:color="D2C9B8"/>
                    <w:left w:val="single" w:sz="4" w:space="0" w:color="D2C9B8"/>
                    <w:bottom w:val="single" w:sz="4" w:space="0" w:color="D2C9B8"/>
                    <w:right w:val="single" w:sz="4" w:space="0" w:color="D2C9B8"/>
                  </w:tcBorders>
                </w:tcPr>
                <w:p w14:paraId="48468B74" w14:textId="77777777" w:rsidR="005A5FCC" w:rsidRDefault="00A21C81">
                  <w:pPr>
                    <w:spacing w:before="20" w:after="20" w:line="240" w:lineRule="auto"/>
                    <w:jc w:val="left"/>
                  </w:pPr>
                  <w:r>
                    <w:rPr>
                      <w:rFonts w:cs="EB Garamond"/>
                      <w:kern w:val="16"/>
                      <w:sz w:val="16"/>
                      <w14:ligatures w14:val="standardContextual"/>
                    </w:rPr>
                    <w:t>Art. 28, § 9º, j</w:t>
                  </w:r>
                </w:p>
              </w:tc>
            </w:tr>
            <w:tr w:rsidR="005A5FCC" w14:paraId="5F33ADDF"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79BE6EB1" w14:textId="77777777" w:rsidR="005A5FCC" w:rsidRDefault="00A21C81">
                  <w:pPr>
                    <w:spacing w:before="20" w:after="20" w:line="240" w:lineRule="auto"/>
                    <w:jc w:val="left"/>
                  </w:pPr>
                  <w:r>
                    <w:rPr>
                      <w:rFonts w:cs="EB Garamond"/>
                      <w:kern w:val="16"/>
                      <w:sz w:val="16"/>
                      <w14:ligatures w14:val="standardContextual"/>
                    </w:rPr>
                    <w:t>Vale-transporte</w:t>
                  </w:r>
                </w:p>
              </w:tc>
              <w:tc>
                <w:tcPr>
                  <w:tcW w:w="2117" w:type="dxa"/>
                  <w:tcBorders>
                    <w:top w:val="single" w:sz="4" w:space="0" w:color="D2C9B8"/>
                    <w:left w:val="single" w:sz="4" w:space="0" w:color="D2C9B8"/>
                    <w:bottom w:val="single" w:sz="4" w:space="0" w:color="D2C9B8"/>
                    <w:right w:val="single" w:sz="4" w:space="0" w:color="D2C9B8"/>
                  </w:tcBorders>
                </w:tcPr>
                <w:p w14:paraId="19A968A6" w14:textId="77777777" w:rsidR="005A5FCC" w:rsidRDefault="00A21C81">
                  <w:pPr>
                    <w:spacing w:before="20" w:after="20" w:line="240" w:lineRule="auto"/>
                    <w:jc w:val="left"/>
                  </w:pPr>
                  <w:r>
                    <w:rPr>
                      <w:rFonts w:cs="EB Garamond"/>
                      <w:kern w:val="16"/>
                      <w:sz w:val="16"/>
                      <w14:ligatures w14:val="standardContextual"/>
                    </w:rPr>
                    <w:t>Não</w:t>
                  </w:r>
                </w:p>
              </w:tc>
              <w:tc>
                <w:tcPr>
                  <w:tcW w:w="2117" w:type="dxa"/>
                  <w:tcBorders>
                    <w:top w:val="single" w:sz="4" w:space="0" w:color="D2C9B8"/>
                    <w:left w:val="single" w:sz="4" w:space="0" w:color="D2C9B8"/>
                    <w:bottom w:val="single" w:sz="4" w:space="0" w:color="D2C9B8"/>
                    <w:right w:val="single" w:sz="4" w:space="0" w:color="D2C9B8"/>
                  </w:tcBorders>
                </w:tcPr>
                <w:p w14:paraId="132074F6" w14:textId="77777777" w:rsidR="005A5FCC" w:rsidRDefault="00A21C81">
                  <w:pPr>
                    <w:spacing w:before="20" w:after="20" w:line="240" w:lineRule="auto"/>
                    <w:jc w:val="left"/>
                  </w:pPr>
                  <w:r>
                    <w:rPr>
                      <w:rFonts w:cs="EB Garamond"/>
                      <w:kern w:val="16"/>
                      <w:sz w:val="16"/>
                      <w14:ligatures w14:val="standardContextual"/>
                    </w:rPr>
                    <w:t>Art. 28, § 9º, f</w:t>
                  </w:r>
                </w:p>
              </w:tc>
            </w:tr>
            <w:tr w:rsidR="005A5FCC" w14:paraId="05DF9DBB"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5CA2402B" w14:textId="77777777" w:rsidR="005A5FCC" w:rsidRDefault="00A21C81">
                  <w:pPr>
                    <w:spacing w:before="20" w:after="20" w:line="240" w:lineRule="auto"/>
                    <w:jc w:val="left"/>
                  </w:pPr>
                  <w:r>
                    <w:rPr>
                      <w:rFonts w:cs="EB Garamond"/>
                      <w:kern w:val="16"/>
                      <w:sz w:val="16"/>
                      <w14:ligatures w14:val="standardContextual"/>
                    </w:rPr>
                    <w:t>Vale-alimentação (PAT)</w:t>
                  </w:r>
                </w:p>
              </w:tc>
              <w:tc>
                <w:tcPr>
                  <w:tcW w:w="2117" w:type="dxa"/>
                  <w:tcBorders>
                    <w:top w:val="single" w:sz="4" w:space="0" w:color="D2C9B8"/>
                    <w:left w:val="single" w:sz="4" w:space="0" w:color="D2C9B8"/>
                    <w:bottom w:val="single" w:sz="4" w:space="0" w:color="D2C9B8"/>
                    <w:right w:val="single" w:sz="4" w:space="0" w:color="D2C9B8"/>
                  </w:tcBorders>
                </w:tcPr>
                <w:p w14:paraId="57848AA3" w14:textId="77777777" w:rsidR="005A5FCC" w:rsidRDefault="00A21C81">
                  <w:pPr>
                    <w:spacing w:before="20" w:after="20" w:line="240" w:lineRule="auto"/>
                    <w:jc w:val="left"/>
                  </w:pPr>
                  <w:r>
                    <w:rPr>
                      <w:rFonts w:cs="EB Garamond"/>
                      <w:kern w:val="16"/>
                      <w:sz w:val="16"/>
                      <w14:ligatures w14:val="standardContextual"/>
                    </w:rPr>
                    <w:t>Não</w:t>
                  </w:r>
                </w:p>
              </w:tc>
              <w:tc>
                <w:tcPr>
                  <w:tcW w:w="2117" w:type="dxa"/>
                  <w:tcBorders>
                    <w:top w:val="single" w:sz="4" w:space="0" w:color="D2C9B8"/>
                    <w:left w:val="single" w:sz="4" w:space="0" w:color="D2C9B8"/>
                    <w:bottom w:val="single" w:sz="4" w:space="0" w:color="D2C9B8"/>
                    <w:right w:val="single" w:sz="4" w:space="0" w:color="D2C9B8"/>
                  </w:tcBorders>
                </w:tcPr>
                <w:p w14:paraId="12C760F7" w14:textId="77777777" w:rsidR="005A5FCC" w:rsidRDefault="00A21C81">
                  <w:pPr>
                    <w:spacing w:before="20" w:after="20" w:line="240" w:lineRule="auto"/>
                    <w:jc w:val="left"/>
                  </w:pPr>
                  <w:r>
                    <w:rPr>
                      <w:rFonts w:cs="EB Garamond"/>
                      <w:kern w:val="16"/>
                      <w:sz w:val="16"/>
                      <w14:ligatures w14:val="standardContextual"/>
                    </w:rPr>
                    <w:t>Art. 28, § 9º, c</w:t>
                  </w:r>
                </w:p>
              </w:tc>
            </w:tr>
            <w:tr w:rsidR="005A5FCC" w14:paraId="1B7E4513"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6EB2B2AC" w14:textId="77777777" w:rsidR="005A5FCC" w:rsidRDefault="00A21C81">
                  <w:pPr>
                    <w:spacing w:before="20" w:after="20" w:line="240" w:lineRule="auto"/>
                    <w:jc w:val="left"/>
                  </w:pPr>
                  <w:r>
                    <w:rPr>
                      <w:rFonts w:cs="EB Garamond"/>
                      <w:kern w:val="16"/>
                      <w:sz w:val="16"/>
                      <w14:ligatures w14:val="standardContextual"/>
                    </w:rPr>
                    <w:t>Ajuda de custo</w:t>
                  </w:r>
                </w:p>
              </w:tc>
              <w:tc>
                <w:tcPr>
                  <w:tcW w:w="2117" w:type="dxa"/>
                  <w:tcBorders>
                    <w:top w:val="single" w:sz="4" w:space="0" w:color="D2C9B8"/>
                    <w:left w:val="single" w:sz="4" w:space="0" w:color="D2C9B8"/>
                    <w:bottom w:val="single" w:sz="4" w:space="0" w:color="D2C9B8"/>
                    <w:right w:val="single" w:sz="4" w:space="0" w:color="D2C9B8"/>
                  </w:tcBorders>
                </w:tcPr>
                <w:p w14:paraId="587D62F9" w14:textId="77777777" w:rsidR="005A5FCC" w:rsidRDefault="00A21C81">
                  <w:pPr>
                    <w:spacing w:before="20" w:after="20" w:line="240" w:lineRule="auto"/>
                    <w:jc w:val="left"/>
                  </w:pPr>
                  <w:r>
                    <w:rPr>
                      <w:rFonts w:cs="EB Garamond"/>
                      <w:kern w:val="16"/>
                      <w:sz w:val="16"/>
                      <w14:ligatures w14:val="standardContextual"/>
                    </w:rPr>
                    <w:t>Não</w:t>
                  </w:r>
                </w:p>
              </w:tc>
              <w:tc>
                <w:tcPr>
                  <w:tcW w:w="2117" w:type="dxa"/>
                  <w:tcBorders>
                    <w:top w:val="single" w:sz="4" w:space="0" w:color="D2C9B8"/>
                    <w:left w:val="single" w:sz="4" w:space="0" w:color="D2C9B8"/>
                    <w:bottom w:val="single" w:sz="4" w:space="0" w:color="D2C9B8"/>
                    <w:right w:val="single" w:sz="4" w:space="0" w:color="D2C9B8"/>
                  </w:tcBorders>
                </w:tcPr>
                <w:p w14:paraId="5D4AD946" w14:textId="77777777" w:rsidR="005A5FCC" w:rsidRDefault="00A21C81">
                  <w:pPr>
                    <w:spacing w:before="20" w:after="20" w:line="240" w:lineRule="auto"/>
                    <w:jc w:val="left"/>
                  </w:pPr>
                  <w:r>
                    <w:rPr>
                      <w:rFonts w:cs="EB Garamond"/>
                      <w:kern w:val="16"/>
                      <w:sz w:val="16"/>
                      <w14:ligatures w14:val="standardContextual"/>
                    </w:rPr>
                    <w:t>Art. 28, § 9º, g</w:t>
                  </w:r>
                </w:p>
              </w:tc>
            </w:tr>
            <w:tr w:rsidR="005A5FCC" w14:paraId="0B3CAD2C"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562C99EE" w14:textId="77777777" w:rsidR="005A5FCC" w:rsidRDefault="00A21C81">
                  <w:pPr>
                    <w:spacing w:before="20" w:after="20" w:line="240" w:lineRule="auto"/>
                    <w:jc w:val="left"/>
                  </w:pPr>
                  <w:r>
                    <w:rPr>
                      <w:rFonts w:cs="EB Garamond"/>
                      <w:kern w:val="16"/>
                      <w:sz w:val="16"/>
                      <w14:ligatures w14:val="standardContextual"/>
                    </w:rPr>
                    <w:t>Diárias p/ viagem</w:t>
                  </w:r>
                </w:p>
              </w:tc>
              <w:tc>
                <w:tcPr>
                  <w:tcW w:w="2117" w:type="dxa"/>
                  <w:tcBorders>
                    <w:top w:val="single" w:sz="4" w:space="0" w:color="D2C9B8"/>
                    <w:left w:val="single" w:sz="4" w:space="0" w:color="D2C9B8"/>
                    <w:bottom w:val="single" w:sz="4" w:space="0" w:color="D2C9B8"/>
                    <w:right w:val="single" w:sz="4" w:space="0" w:color="D2C9B8"/>
                  </w:tcBorders>
                </w:tcPr>
                <w:p w14:paraId="081A29DD" w14:textId="77777777" w:rsidR="005A5FCC" w:rsidRDefault="00A21C81">
                  <w:pPr>
                    <w:spacing w:before="20" w:after="20" w:line="240" w:lineRule="auto"/>
                    <w:jc w:val="left"/>
                  </w:pPr>
                  <w:r>
                    <w:rPr>
                      <w:rFonts w:cs="EB Garamond"/>
                      <w:kern w:val="16"/>
                      <w:sz w:val="16"/>
                      <w14:ligatures w14:val="standardContextual"/>
                    </w:rPr>
                    <w:t>Não</w:t>
                  </w:r>
                </w:p>
              </w:tc>
              <w:tc>
                <w:tcPr>
                  <w:tcW w:w="2117" w:type="dxa"/>
                  <w:tcBorders>
                    <w:top w:val="single" w:sz="4" w:space="0" w:color="D2C9B8"/>
                    <w:left w:val="single" w:sz="4" w:space="0" w:color="D2C9B8"/>
                    <w:bottom w:val="single" w:sz="4" w:space="0" w:color="D2C9B8"/>
                    <w:right w:val="single" w:sz="4" w:space="0" w:color="D2C9B8"/>
                  </w:tcBorders>
                </w:tcPr>
                <w:p w14:paraId="6EC4B410" w14:textId="77777777" w:rsidR="005A5FCC" w:rsidRDefault="00A21C81">
                  <w:pPr>
                    <w:spacing w:before="20" w:after="20" w:line="240" w:lineRule="auto"/>
                    <w:jc w:val="left"/>
                  </w:pPr>
                  <w:r>
                    <w:rPr>
                      <w:rFonts w:cs="EB Garamond"/>
                      <w:kern w:val="16"/>
                      <w:sz w:val="16"/>
                      <w14:ligatures w14:val="standardContextual"/>
                    </w:rPr>
                    <w:t>Art. 28, § 9º, h</w:t>
                  </w:r>
                </w:p>
              </w:tc>
            </w:tr>
            <w:tr w:rsidR="005A5FCC" w14:paraId="73719361"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31CC1F11" w14:textId="77777777" w:rsidR="005A5FCC" w:rsidRDefault="00A21C81">
                  <w:pPr>
                    <w:spacing w:before="20" w:after="20" w:line="240" w:lineRule="auto"/>
                    <w:jc w:val="left"/>
                  </w:pPr>
                  <w:r>
                    <w:rPr>
                      <w:rFonts w:cs="EB Garamond"/>
                      <w:kern w:val="16"/>
                      <w:sz w:val="16"/>
                      <w14:ligatures w14:val="standardContextual"/>
                    </w:rPr>
                    <w:t>Aviso prévio indenizado</w:t>
                  </w:r>
                </w:p>
              </w:tc>
              <w:tc>
                <w:tcPr>
                  <w:tcW w:w="2117" w:type="dxa"/>
                  <w:tcBorders>
                    <w:top w:val="single" w:sz="4" w:space="0" w:color="D2C9B8"/>
                    <w:left w:val="single" w:sz="4" w:space="0" w:color="D2C9B8"/>
                    <w:bottom w:val="single" w:sz="4" w:space="0" w:color="D2C9B8"/>
                    <w:right w:val="single" w:sz="4" w:space="0" w:color="D2C9B8"/>
                  </w:tcBorders>
                </w:tcPr>
                <w:p w14:paraId="7ED09DD9" w14:textId="77777777" w:rsidR="005A5FCC" w:rsidRDefault="00A21C81">
                  <w:pPr>
                    <w:spacing w:before="20" w:after="20" w:line="240" w:lineRule="auto"/>
                    <w:jc w:val="left"/>
                  </w:pPr>
                  <w:r>
                    <w:rPr>
                      <w:rFonts w:cs="EB Garamond"/>
                      <w:kern w:val="16"/>
                      <w:sz w:val="16"/>
                      <w14:ligatures w14:val="standardContextual"/>
                    </w:rPr>
                    <w:t>Não</w:t>
                  </w:r>
                </w:p>
              </w:tc>
              <w:tc>
                <w:tcPr>
                  <w:tcW w:w="2117" w:type="dxa"/>
                  <w:tcBorders>
                    <w:top w:val="single" w:sz="4" w:space="0" w:color="D2C9B8"/>
                    <w:left w:val="single" w:sz="4" w:space="0" w:color="D2C9B8"/>
                    <w:bottom w:val="single" w:sz="4" w:space="0" w:color="D2C9B8"/>
                    <w:right w:val="single" w:sz="4" w:space="0" w:color="D2C9B8"/>
                  </w:tcBorders>
                </w:tcPr>
                <w:p w14:paraId="24448366" w14:textId="77777777" w:rsidR="005A5FCC" w:rsidRDefault="00A21C81">
                  <w:pPr>
                    <w:spacing w:before="20" w:after="20" w:line="240" w:lineRule="auto"/>
                    <w:jc w:val="left"/>
                  </w:pPr>
                  <w:r>
                    <w:rPr>
                      <w:rFonts w:cs="EB Garamond"/>
                      <w:kern w:val="16"/>
                      <w:sz w:val="16"/>
                      <w14:ligatures w14:val="standardContextual"/>
                    </w:rPr>
                    <w:t>Art. 28, § 9º, e</w:t>
                  </w:r>
                </w:p>
              </w:tc>
            </w:tr>
            <w:tr w:rsidR="005A5FCC" w14:paraId="7A27C9FD"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672FDA56" w14:textId="77777777" w:rsidR="005A5FCC" w:rsidRDefault="00A21C81">
                  <w:pPr>
                    <w:spacing w:before="20" w:after="20" w:line="240" w:lineRule="auto"/>
                    <w:jc w:val="left"/>
                  </w:pPr>
                  <w:r>
                    <w:rPr>
                      <w:rFonts w:cs="EB Garamond"/>
                      <w:kern w:val="16"/>
                      <w:sz w:val="16"/>
                      <w14:ligatures w14:val="standardContextual"/>
                    </w:rPr>
                    <w:t>FGTS 40% (multa)</w:t>
                  </w:r>
                </w:p>
              </w:tc>
              <w:tc>
                <w:tcPr>
                  <w:tcW w:w="2117" w:type="dxa"/>
                  <w:tcBorders>
                    <w:top w:val="single" w:sz="4" w:space="0" w:color="D2C9B8"/>
                    <w:left w:val="single" w:sz="4" w:space="0" w:color="D2C9B8"/>
                    <w:bottom w:val="single" w:sz="4" w:space="0" w:color="D2C9B8"/>
                    <w:right w:val="single" w:sz="4" w:space="0" w:color="D2C9B8"/>
                  </w:tcBorders>
                </w:tcPr>
                <w:p w14:paraId="31D7F6E0" w14:textId="77777777" w:rsidR="005A5FCC" w:rsidRDefault="00A21C81">
                  <w:pPr>
                    <w:spacing w:before="20" w:after="20" w:line="240" w:lineRule="auto"/>
                    <w:jc w:val="left"/>
                  </w:pPr>
                  <w:r>
                    <w:rPr>
                      <w:rFonts w:cs="EB Garamond"/>
                      <w:kern w:val="16"/>
                      <w:sz w:val="16"/>
                      <w14:ligatures w14:val="standardContextual"/>
                    </w:rPr>
                    <w:t>Não</w:t>
                  </w:r>
                </w:p>
              </w:tc>
              <w:tc>
                <w:tcPr>
                  <w:tcW w:w="2117" w:type="dxa"/>
                  <w:tcBorders>
                    <w:top w:val="single" w:sz="4" w:space="0" w:color="D2C9B8"/>
                    <w:left w:val="single" w:sz="4" w:space="0" w:color="D2C9B8"/>
                    <w:bottom w:val="single" w:sz="4" w:space="0" w:color="D2C9B8"/>
                    <w:right w:val="single" w:sz="4" w:space="0" w:color="D2C9B8"/>
                  </w:tcBorders>
                </w:tcPr>
                <w:p w14:paraId="4526BCDA" w14:textId="77777777" w:rsidR="005A5FCC" w:rsidRDefault="00A21C81">
                  <w:pPr>
                    <w:spacing w:before="20" w:after="20" w:line="240" w:lineRule="auto"/>
                    <w:jc w:val="left"/>
                  </w:pPr>
                  <w:r>
                    <w:rPr>
                      <w:rFonts w:cs="EB Garamond"/>
                      <w:kern w:val="16"/>
                      <w:sz w:val="16"/>
                      <w14:ligatures w14:val="standardContextual"/>
                    </w:rPr>
                    <w:t>Art. 28, § 9º, e</w:t>
                  </w:r>
                </w:p>
              </w:tc>
            </w:tr>
            <w:tr w:rsidR="005A5FCC" w14:paraId="6E81815B"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637CE419" w14:textId="77777777" w:rsidR="005A5FCC" w:rsidRDefault="00A21C81">
                  <w:pPr>
                    <w:spacing w:before="20" w:after="20" w:line="240" w:lineRule="auto"/>
                    <w:jc w:val="left"/>
                  </w:pPr>
                  <w:r>
                    <w:rPr>
                      <w:rFonts w:cs="EB Garamond"/>
                      <w:kern w:val="16"/>
                      <w:sz w:val="16"/>
                      <w14:ligatures w14:val="standardContextual"/>
                    </w:rPr>
                    <w:t>Bolsa estágio (Lei 11.788)</w:t>
                  </w:r>
                </w:p>
              </w:tc>
              <w:tc>
                <w:tcPr>
                  <w:tcW w:w="2117" w:type="dxa"/>
                  <w:tcBorders>
                    <w:top w:val="single" w:sz="4" w:space="0" w:color="D2C9B8"/>
                    <w:left w:val="single" w:sz="4" w:space="0" w:color="D2C9B8"/>
                    <w:bottom w:val="single" w:sz="4" w:space="0" w:color="D2C9B8"/>
                    <w:right w:val="single" w:sz="4" w:space="0" w:color="D2C9B8"/>
                  </w:tcBorders>
                </w:tcPr>
                <w:p w14:paraId="49477038" w14:textId="77777777" w:rsidR="005A5FCC" w:rsidRDefault="00A21C81">
                  <w:pPr>
                    <w:spacing w:before="20" w:after="20" w:line="240" w:lineRule="auto"/>
                    <w:jc w:val="left"/>
                  </w:pPr>
                  <w:r>
                    <w:rPr>
                      <w:rFonts w:cs="EB Garamond"/>
                      <w:kern w:val="16"/>
                      <w:sz w:val="16"/>
                      <w14:ligatures w14:val="standardContextual"/>
                    </w:rPr>
                    <w:t>Não</w:t>
                  </w:r>
                </w:p>
              </w:tc>
              <w:tc>
                <w:tcPr>
                  <w:tcW w:w="2117" w:type="dxa"/>
                  <w:tcBorders>
                    <w:top w:val="single" w:sz="4" w:space="0" w:color="D2C9B8"/>
                    <w:left w:val="single" w:sz="4" w:space="0" w:color="D2C9B8"/>
                    <w:bottom w:val="single" w:sz="4" w:space="0" w:color="D2C9B8"/>
                    <w:right w:val="single" w:sz="4" w:space="0" w:color="D2C9B8"/>
                  </w:tcBorders>
                </w:tcPr>
                <w:p w14:paraId="54A8E5B7" w14:textId="77777777" w:rsidR="005A5FCC" w:rsidRDefault="00A21C81">
                  <w:pPr>
                    <w:spacing w:before="20" w:after="20" w:line="240" w:lineRule="auto"/>
                    <w:jc w:val="left"/>
                  </w:pPr>
                  <w:r>
                    <w:rPr>
                      <w:rFonts w:cs="EB Garamond"/>
                      <w:kern w:val="16"/>
                      <w:sz w:val="16"/>
                      <w14:ligatures w14:val="standardContextual"/>
                    </w:rPr>
                    <w:t>Art. 28, § 9º, i</w:t>
                  </w:r>
                </w:p>
              </w:tc>
            </w:tr>
            <w:tr w:rsidR="005A5FCC" w14:paraId="2A7C51F6"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794C8521" w14:textId="77777777" w:rsidR="005A5FCC" w:rsidRDefault="00A21C81">
                  <w:pPr>
                    <w:spacing w:before="20" w:after="20" w:line="240" w:lineRule="auto"/>
                    <w:jc w:val="left"/>
                  </w:pPr>
                  <w:r>
                    <w:rPr>
                      <w:rFonts w:cs="EB Garamond"/>
                      <w:kern w:val="16"/>
                      <w:sz w:val="16"/>
                      <w14:ligatures w14:val="standardContextual"/>
                    </w:rPr>
                    <w:t>Prêmios (até 2x/ano)</w:t>
                  </w:r>
                </w:p>
              </w:tc>
              <w:tc>
                <w:tcPr>
                  <w:tcW w:w="2117" w:type="dxa"/>
                  <w:tcBorders>
                    <w:top w:val="single" w:sz="4" w:space="0" w:color="D2C9B8"/>
                    <w:left w:val="single" w:sz="4" w:space="0" w:color="D2C9B8"/>
                    <w:bottom w:val="single" w:sz="4" w:space="0" w:color="D2C9B8"/>
                    <w:right w:val="single" w:sz="4" w:space="0" w:color="D2C9B8"/>
                  </w:tcBorders>
                </w:tcPr>
                <w:p w14:paraId="079C339C" w14:textId="77777777" w:rsidR="005A5FCC" w:rsidRDefault="00A21C81">
                  <w:pPr>
                    <w:spacing w:before="20" w:after="20" w:line="240" w:lineRule="auto"/>
                    <w:jc w:val="left"/>
                  </w:pPr>
                  <w:r>
                    <w:rPr>
                      <w:rFonts w:cs="EB Garamond"/>
                      <w:kern w:val="16"/>
                      <w:sz w:val="16"/>
                      <w14:ligatures w14:val="standardContextual"/>
                    </w:rPr>
                    <w:t>Não</w:t>
                  </w:r>
                </w:p>
              </w:tc>
              <w:tc>
                <w:tcPr>
                  <w:tcW w:w="2117" w:type="dxa"/>
                  <w:tcBorders>
                    <w:top w:val="single" w:sz="4" w:space="0" w:color="D2C9B8"/>
                    <w:left w:val="single" w:sz="4" w:space="0" w:color="D2C9B8"/>
                    <w:bottom w:val="single" w:sz="4" w:space="0" w:color="D2C9B8"/>
                    <w:right w:val="single" w:sz="4" w:space="0" w:color="D2C9B8"/>
                  </w:tcBorders>
                </w:tcPr>
                <w:p w14:paraId="0E749B73" w14:textId="77777777" w:rsidR="005A5FCC" w:rsidRDefault="00A21C81">
                  <w:pPr>
                    <w:spacing w:before="20" w:after="20" w:line="240" w:lineRule="auto"/>
                    <w:jc w:val="left"/>
                  </w:pPr>
                  <w:r>
                    <w:rPr>
                      <w:rFonts w:cs="EB Garamond"/>
                      <w:kern w:val="16"/>
                      <w:sz w:val="16"/>
                      <w14:ligatures w14:val="standardContextual"/>
                    </w:rPr>
                    <w:t>Art. 457, § 4º, CLT</w:t>
                  </w:r>
                </w:p>
              </w:tc>
            </w:tr>
          </w:tbl>
          <w:p w14:paraId="7E611345" w14:textId="77777777" w:rsidR="005A5FCC" w:rsidRDefault="005A5FCC"/>
          <w:p w14:paraId="6D2D3427" w14:textId="77777777" w:rsidR="005A5FCC" w:rsidRDefault="005A5FCC">
            <w:pPr>
              <w:spacing w:after="0" w:line="240" w:lineRule="auto"/>
            </w:pPr>
          </w:p>
        </w:tc>
      </w:tr>
    </w:tbl>
    <w:p w14:paraId="1CAC8AE3" w14:textId="77777777" w:rsidR="005A5FCC" w:rsidRDefault="005A5FCC">
      <w:pPr>
        <w:spacing w:after="80" w:line="240" w:lineRule="auto"/>
      </w:pPr>
    </w:p>
    <w:p w14:paraId="2258EF86" w14:textId="77777777" w:rsidR="005A5FCC" w:rsidRDefault="00A21C81">
      <w:pPr>
        <w:spacing w:before="260" w:after="80" w:line="240" w:lineRule="auto"/>
        <w:jc w:val="left"/>
      </w:pPr>
      <w:r>
        <w:rPr>
          <w:rFonts w:cs="EB Garamond"/>
          <w:b/>
          <w:color w:val="3A3128"/>
          <w:kern w:val="16"/>
          <w:sz w:val="25"/>
          <w14:ligatures w14:val="standardContextual"/>
        </w:rPr>
        <w:t>4.12.6 A base de cálculo da contribuição patronal nos repetitivos recentes do STJ</w:t>
      </w:r>
    </w:p>
    <w:p w14:paraId="48E99EF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E</w:t>
      </w:r>
    </w:p>
    <w:p w14:paraId="4584B89C" w14:textId="77777777" w:rsidR="005A5FCC" w:rsidRDefault="00A21C81">
      <w:r>
        <w:rPr>
          <w:rFonts w:cs="EB Garamond"/>
          <w:kern w:val="16"/>
          <w14:ligatures w14:val="standardContextual"/>
        </w:rPr>
        <w:t>mbora a seção trate primordialmente do salário de contribuição do segurado, o conceito de remuneração que o delimita é o mesmo que define a base de cálculo da contribuição patronal (art. 22, I, da Lei 8.212/91). Por isso, os recursos repetitivos julgados pelo STJ em 2024 e 2025 sobre quais parcelas integram (ou não) a base patronal repercutem diretamente sobre a definição de salário de contribuição. Três teses recentes consolidam o entendimento.</w:t>
      </w:r>
    </w:p>
    <w:p w14:paraId="0FAAFFB5" w14:textId="77777777" w:rsidR="005A5FCC" w:rsidRDefault="00A21C81">
      <w:pPr>
        <w:ind w:firstLine="238"/>
      </w:pPr>
      <w:r>
        <w:rPr>
          <w:rFonts w:cs="EB Garamond"/>
          <w:kern w:val="16"/>
          <w14:ligatures w14:val="standardContextual"/>
        </w:rPr>
        <w:lastRenderedPageBreak/>
        <w:t>A primeira (Tema 1.174) afasta da base patronal as verbas que o empregador apenas desconta em folha por imposição legal, mas que continuam pertencendo ao próprio trabalhador: a lógica é que tais descontos são meras técnicas de arrecadação ou de repasse, e não acréscimo patrimonial do empregador, de modo que não alteram o conceito de salário ou de salário de contribuição. A segunda (Tema 1.252) confirma a incidência sobre o adicional de insalubridade, em razão de sua natureza remuneratória. A terceira (Tema 1.342) define que a remuneração paga ao aprendiz integra a base patronal, do GILRAT e das contribuições de terceiros.</w:t>
      </w:r>
    </w:p>
    <w:tbl>
      <w:tblPr>
        <w:tblW w:w="5000" w:type="pct"/>
        <w:jc w:val="center"/>
        <w:tblLayout w:type="fixed"/>
        <w:tblLook w:val="04A0" w:firstRow="1" w:lastRow="0" w:firstColumn="1" w:lastColumn="0" w:noHBand="0" w:noVBand="1"/>
      </w:tblPr>
      <w:tblGrid>
        <w:gridCol w:w="6311"/>
      </w:tblGrid>
      <w:tr w:rsidR="005A5FCC" w14:paraId="672DCF75"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2E207DB9" w14:textId="77777777" w:rsidR="005A5FCC" w:rsidRDefault="00A21C81">
            <w:pPr>
              <w:spacing w:after="60" w:line="240" w:lineRule="auto"/>
              <w:jc w:val="left"/>
            </w:pPr>
            <w:r>
              <w:rPr>
                <w:rFonts w:ascii="Noto Sans" w:hAnsi="Noto Sans" w:cs="Noto Sans"/>
                <w:b/>
                <w:caps/>
                <w:color w:val="4D6F8A"/>
                <w:kern w:val="16"/>
                <w:sz w:val="16"/>
                <w14:ligatures w14:val="standardContextual"/>
              </w:rPr>
              <w:lastRenderedPageBreak/>
              <w:t>JURISPRUDÊNCIA EM DESTAQUE</w:t>
            </w:r>
          </w:p>
          <w:p w14:paraId="2F83FA2D" w14:textId="77777777" w:rsidR="005A5FCC" w:rsidRDefault="00A21C81">
            <w:pPr>
              <w:spacing w:after="60" w:line="247" w:lineRule="auto"/>
            </w:pPr>
            <w:r>
              <w:rPr>
                <w:rFonts w:cs="EB Garamond"/>
                <w:b/>
                <w:kern w:val="16"/>
                <w:sz w:val="19"/>
                <w14:ligatures w14:val="standardContextual"/>
              </w:rPr>
              <w:t>STJ — A base de cálculo da contribuição patronal em três repetitivos (2024-2025)</w:t>
            </w:r>
          </w:p>
          <w:p w14:paraId="75214D43" w14:textId="77777777" w:rsidR="005A5FCC" w:rsidRDefault="00A21C81">
            <w:pPr>
              <w:spacing w:after="60" w:line="247" w:lineRule="auto"/>
            </w:pPr>
            <w:r>
              <w:rPr>
                <w:rFonts w:cs="EB Garamond"/>
                <w:b/>
                <w:kern w:val="16"/>
                <w:sz w:val="19"/>
                <w14:ligatures w14:val="standardContextual"/>
              </w:rPr>
              <w:t>Tema 1.174 (REsp 2.005.029/PR, Rel. Min. Herman Benjamin, 1ª Seção, j. 14/08/2024) — o que NÃO integra a base patronal:</w:t>
            </w:r>
          </w:p>
          <w:p w14:paraId="199DF708" w14:textId="77777777" w:rsidR="005A5FCC" w:rsidRDefault="00A21C81">
            <w:pPr>
              <w:spacing w:after="60" w:line="247" w:lineRule="auto"/>
            </w:pPr>
            <w:r>
              <w:rPr>
                <w:rFonts w:cs="EB Garamond"/>
                <w:kern w:val="16"/>
                <w:sz w:val="19"/>
                <w14:ligatures w14:val="standardContextual"/>
              </w:rPr>
              <w:t>Tese fixada: "As parcelas relativas ao vale-transporte, vale-refeição/alimentação, plano de assistência à saúde (auxílio-saúde, odontológico e farmácia), ao Imposto de Renda retido na fonte (IRRF) dos empregados e à contribuição previdenciária dos empregados, descontadas na folha de pagamento do trabalhador, constituem simples técnica de arrecadação ou de garantia para recebimento do credor, e não modificam o conceito de salário ou de salário contribuição, e, portanto, não modificam a base de cálculo da contribuição previdenciária patronal, do SAT e da contribuição de terceiros."</w:t>
            </w:r>
          </w:p>
          <w:p w14:paraId="5C1AB2C4" w14:textId="77777777" w:rsidR="005A5FCC" w:rsidRDefault="00A21C81">
            <w:pPr>
              <w:spacing w:after="60" w:line="247" w:lineRule="auto"/>
            </w:pPr>
            <w:r>
              <w:rPr>
                <w:rFonts w:cs="EB Garamond"/>
                <w:kern w:val="16"/>
                <w:sz w:val="19"/>
                <w14:ligatures w14:val="standardContextual"/>
              </w:rPr>
              <w:t>Em síntese: o valor descontado do empregado (sua contribuição previdenciária, o IRRF, a coparticipação no vale-transporte, no vale-refeição/alimentação e no plano de saúde) é despesa do trabalhador retida na fonte, não do empregador. Por isso não pode ser somado à base sobre a qual incidem os 20% patronais (e o RAT/SAT e as contribuições a terceiros).</w:t>
            </w:r>
          </w:p>
          <w:p w14:paraId="0748E046" w14:textId="77777777" w:rsidR="005A5FCC" w:rsidRDefault="00A21C81">
            <w:pPr>
              <w:spacing w:after="60" w:line="247" w:lineRule="auto"/>
            </w:pPr>
            <w:r>
              <w:rPr>
                <w:rFonts w:cs="EB Garamond"/>
                <w:b/>
                <w:kern w:val="16"/>
                <w:sz w:val="19"/>
                <w14:ligatures w14:val="standardContextual"/>
              </w:rPr>
              <w:t>Tema 1.252 (REsp 2.050.498, Rel. Min. Herman Benjamin, 1ª Seção, j. 20/06/2024) — o que INTEGRA a base patronal:</w:t>
            </w:r>
          </w:p>
          <w:p w14:paraId="11D09375" w14:textId="77777777" w:rsidR="005A5FCC" w:rsidRDefault="00A21C81">
            <w:pPr>
              <w:spacing w:after="60" w:line="247" w:lineRule="auto"/>
            </w:pPr>
            <w:r>
              <w:rPr>
                <w:rFonts w:cs="EB Garamond"/>
                <w:kern w:val="16"/>
                <w:sz w:val="19"/>
                <w14:ligatures w14:val="standardContextual"/>
              </w:rPr>
              <w:t>Tese fixada: "Incide a Contribuição Previdenciária patronal sobre o Adicional de Insalubridade, em razão da sua natureza remuneratória."</w:t>
            </w:r>
          </w:p>
          <w:p w14:paraId="09B5A18F" w14:textId="77777777" w:rsidR="005A5FCC" w:rsidRDefault="00A21C81">
            <w:pPr>
              <w:spacing w:after="60" w:line="247" w:lineRule="auto"/>
            </w:pPr>
            <w:r>
              <w:rPr>
                <w:rFonts w:cs="EB Garamond"/>
                <w:b/>
                <w:kern w:val="16"/>
                <w:sz w:val="19"/>
                <w14:ligatures w14:val="standardContextual"/>
              </w:rPr>
              <w:t>Tema 1.342 (REsp 2.191.479, Rel. Min. Maria Thereza de Assis Moura, 1ª Seção, j. 13/08/2025) — o que INTEGRA a base patronal:</w:t>
            </w:r>
          </w:p>
          <w:p w14:paraId="1803AB51" w14:textId="77777777" w:rsidR="005A5FCC" w:rsidRDefault="00A21C81">
            <w:pPr>
              <w:spacing w:after="60" w:line="247" w:lineRule="auto"/>
            </w:pPr>
            <w:r>
              <w:rPr>
                <w:rFonts w:cs="EB Garamond"/>
                <w:kern w:val="16"/>
                <w:sz w:val="19"/>
                <w14:ligatures w14:val="standardContextual"/>
              </w:rPr>
              <w:t>Tese fixada: "A remuneração decorrente do contrato de aprendizagem (art. 428 da CLT) integra a base de cálculo da contribuição previdenciária patronal, da Contribuição do Grau de Incidência de Incapacidade Laborativa decorrente dos Riscos Ambientais do Trabalho (GIIL-RAT) e das contribuições a terceiros."</w:t>
            </w:r>
          </w:p>
          <w:p w14:paraId="5FCFF706" w14:textId="77777777" w:rsidR="005A5FCC" w:rsidRDefault="00A21C81">
            <w:pPr>
              <w:spacing w:after="60" w:line="247" w:lineRule="auto"/>
            </w:pPr>
            <w:r>
              <w:rPr>
                <w:rFonts w:cs="EB Garamond"/>
                <w:b/>
                <w:kern w:val="16"/>
                <w:sz w:val="19"/>
                <w14:ligatures w14:val="standardContextual"/>
              </w:rPr>
              <w:t>Quadro-síntese:</w:t>
            </w:r>
          </w:p>
          <w:tbl>
            <w:tblPr>
              <w:tblW w:w="5000" w:type="pct"/>
              <w:jc w:val="center"/>
              <w:tblLook w:val="04A0" w:firstRow="1" w:lastRow="0" w:firstColumn="1" w:lastColumn="0" w:noHBand="0" w:noVBand="1"/>
            </w:tblPr>
            <w:tblGrid>
              <w:gridCol w:w="1967"/>
              <w:gridCol w:w="1967"/>
              <w:gridCol w:w="1967"/>
            </w:tblGrid>
            <w:tr w:rsidR="005A5FCC" w14:paraId="40D89FD3" w14:textId="77777777">
              <w:trPr>
                <w:tblHeader/>
                <w:jc w:val="center"/>
              </w:trPr>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48448EA6" w14:textId="77777777" w:rsidR="005A5FCC" w:rsidRDefault="00A21C81">
                  <w:pPr>
                    <w:spacing w:before="30" w:after="30" w:line="240" w:lineRule="auto"/>
                    <w:jc w:val="center"/>
                  </w:pPr>
                  <w:r>
                    <w:rPr>
                      <w:rFonts w:cs="EB Garamond"/>
                      <w:b/>
                      <w:color w:val="2F2923"/>
                      <w:kern w:val="16"/>
                      <w:sz w:val="16"/>
                      <w14:ligatures w14:val="standardContextual"/>
                    </w:rPr>
                    <w:t>Parcela</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09215E9C" w14:textId="77777777" w:rsidR="005A5FCC" w:rsidRDefault="00A21C81">
                  <w:pPr>
                    <w:spacing w:before="30" w:after="30" w:line="240" w:lineRule="auto"/>
                    <w:jc w:val="center"/>
                  </w:pPr>
                  <w:r>
                    <w:rPr>
                      <w:rFonts w:cs="EB Garamond"/>
                      <w:b/>
                      <w:color w:val="2F2923"/>
                      <w:kern w:val="16"/>
                      <w:sz w:val="16"/>
                      <w14:ligatures w14:val="standardContextual"/>
                    </w:rPr>
                    <w:t>Integra a base patronal?</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60373427" w14:textId="77777777" w:rsidR="005A5FCC" w:rsidRDefault="00A21C81">
                  <w:pPr>
                    <w:spacing w:before="30" w:after="30" w:line="240" w:lineRule="auto"/>
                    <w:jc w:val="center"/>
                  </w:pPr>
                  <w:r>
                    <w:rPr>
                      <w:rFonts w:cs="EB Garamond"/>
                      <w:b/>
                      <w:color w:val="2F2923"/>
                      <w:kern w:val="16"/>
                      <w:sz w:val="16"/>
                      <w14:ligatures w14:val="standardContextual"/>
                    </w:rPr>
                    <w:t>Precedente STJ</w:t>
                  </w:r>
                </w:p>
              </w:tc>
            </w:tr>
            <w:tr w:rsidR="005A5FCC" w14:paraId="0B0FC9AC"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51782B75" w14:textId="77777777" w:rsidR="005A5FCC" w:rsidRDefault="00A21C81">
                  <w:pPr>
                    <w:spacing w:before="20" w:after="20" w:line="240" w:lineRule="auto"/>
                    <w:jc w:val="left"/>
                  </w:pPr>
                  <w:r>
                    <w:rPr>
                      <w:rFonts w:cs="EB Garamond"/>
                      <w:kern w:val="16"/>
                      <w:sz w:val="16"/>
                      <w14:ligatures w14:val="standardContextual"/>
                    </w:rPr>
                    <w:t>Contribuição previdenciária do empregado (descontada em folha)</w:t>
                  </w:r>
                </w:p>
              </w:tc>
              <w:tc>
                <w:tcPr>
                  <w:tcW w:w="2117" w:type="dxa"/>
                  <w:tcBorders>
                    <w:top w:val="single" w:sz="4" w:space="0" w:color="D2C9B8"/>
                    <w:left w:val="single" w:sz="4" w:space="0" w:color="D2C9B8"/>
                    <w:bottom w:val="single" w:sz="4" w:space="0" w:color="D2C9B8"/>
                    <w:right w:val="single" w:sz="4" w:space="0" w:color="D2C9B8"/>
                  </w:tcBorders>
                </w:tcPr>
                <w:p w14:paraId="0A27FE20" w14:textId="77777777" w:rsidR="005A5FCC" w:rsidRDefault="00A21C81">
                  <w:pPr>
                    <w:spacing w:before="20" w:after="20" w:line="240" w:lineRule="auto"/>
                    <w:jc w:val="left"/>
                  </w:pPr>
                  <w:r>
                    <w:rPr>
                      <w:rFonts w:cs="EB Garamond"/>
                      <w:kern w:val="16"/>
                      <w:sz w:val="16"/>
                      <w14:ligatures w14:val="standardContextual"/>
                    </w:rPr>
                    <w:t>Não</w:t>
                  </w:r>
                </w:p>
              </w:tc>
              <w:tc>
                <w:tcPr>
                  <w:tcW w:w="2117" w:type="dxa"/>
                  <w:tcBorders>
                    <w:top w:val="single" w:sz="4" w:space="0" w:color="D2C9B8"/>
                    <w:left w:val="single" w:sz="4" w:space="0" w:color="D2C9B8"/>
                    <w:bottom w:val="single" w:sz="4" w:space="0" w:color="D2C9B8"/>
                    <w:right w:val="single" w:sz="4" w:space="0" w:color="D2C9B8"/>
                  </w:tcBorders>
                </w:tcPr>
                <w:p w14:paraId="3B4CC434" w14:textId="77777777" w:rsidR="005A5FCC" w:rsidRDefault="00A21C81">
                  <w:pPr>
                    <w:spacing w:before="20" w:after="20" w:line="240" w:lineRule="auto"/>
                    <w:jc w:val="left"/>
                  </w:pPr>
                  <w:r>
                    <w:rPr>
                      <w:rFonts w:cs="EB Garamond"/>
                      <w:kern w:val="16"/>
                      <w:sz w:val="16"/>
                      <w14:ligatures w14:val="standardContextual"/>
                    </w:rPr>
                    <w:t>Tema 1.174</w:t>
                  </w:r>
                </w:p>
              </w:tc>
            </w:tr>
            <w:tr w:rsidR="005A5FCC" w14:paraId="510E6346"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77B88999" w14:textId="77777777" w:rsidR="005A5FCC" w:rsidRDefault="00A21C81">
                  <w:pPr>
                    <w:spacing w:before="20" w:after="20" w:line="240" w:lineRule="auto"/>
                    <w:jc w:val="left"/>
                  </w:pPr>
                  <w:r>
                    <w:rPr>
                      <w:rFonts w:cs="EB Garamond"/>
                      <w:kern w:val="16"/>
                      <w:sz w:val="16"/>
                      <w14:ligatures w14:val="standardContextual"/>
                    </w:rPr>
                    <w:t>IRRF do empregado (retido na fonte)</w:t>
                  </w:r>
                </w:p>
              </w:tc>
              <w:tc>
                <w:tcPr>
                  <w:tcW w:w="2117" w:type="dxa"/>
                  <w:tcBorders>
                    <w:top w:val="single" w:sz="4" w:space="0" w:color="D2C9B8"/>
                    <w:left w:val="single" w:sz="4" w:space="0" w:color="D2C9B8"/>
                    <w:bottom w:val="single" w:sz="4" w:space="0" w:color="D2C9B8"/>
                    <w:right w:val="single" w:sz="4" w:space="0" w:color="D2C9B8"/>
                  </w:tcBorders>
                </w:tcPr>
                <w:p w14:paraId="7D83A2AC" w14:textId="77777777" w:rsidR="005A5FCC" w:rsidRDefault="00A21C81">
                  <w:pPr>
                    <w:spacing w:before="20" w:after="20" w:line="240" w:lineRule="auto"/>
                    <w:jc w:val="left"/>
                  </w:pPr>
                  <w:r>
                    <w:rPr>
                      <w:rFonts w:cs="EB Garamond"/>
                      <w:kern w:val="16"/>
                      <w:sz w:val="16"/>
                      <w14:ligatures w14:val="standardContextual"/>
                    </w:rPr>
                    <w:t>Não</w:t>
                  </w:r>
                </w:p>
              </w:tc>
              <w:tc>
                <w:tcPr>
                  <w:tcW w:w="2117" w:type="dxa"/>
                  <w:tcBorders>
                    <w:top w:val="single" w:sz="4" w:space="0" w:color="D2C9B8"/>
                    <w:left w:val="single" w:sz="4" w:space="0" w:color="D2C9B8"/>
                    <w:bottom w:val="single" w:sz="4" w:space="0" w:color="D2C9B8"/>
                    <w:right w:val="single" w:sz="4" w:space="0" w:color="D2C9B8"/>
                  </w:tcBorders>
                </w:tcPr>
                <w:p w14:paraId="3E04967F" w14:textId="77777777" w:rsidR="005A5FCC" w:rsidRDefault="00A21C81">
                  <w:pPr>
                    <w:spacing w:before="20" w:after="20" w:line="240" w:lineRule="auto"/>
                    <w:jc w:val="left"/>
                  </w:pPr>
                  <w:r>
                    <w:rPr>
                      <w:rFonts w:cs="EB Garamond"/>
                      <w:kern w:val="16"/>
                      <w:sz w:val="16"/>
                      <w14:ligatures w14:val="standardContextual"/>
                    </w:rPr>
                    <w:t>Tema 1.174</w:t>
                  </w:r>
                </w:p>
              </w:tc>
            </w:tr>
            <w:tr w:rsidR="005A5FCC" w14:paraId="2593440A"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300345CE" w14:textId="77777777" w:rsidR="005A5FCC" w:rsidRDefault="00A21C81">
                  <w:pPr>
                    <w:spacing w:before="20" w:after="20" w:line="240" w:lineRule="auto"/>
                    <w:jc w:val="left"/>
                  </w:pPr>
                  <w:r>
                    <w:rPr>
                      <w:rFonts w:cs="EB Garamond"/>
                      <w:kern w:val="16"/>
                      <w:sz w:val="16"/>
                      <w14:ligatures w14:val="standardContextual"/>
                    </w:rPr>
                    <w:lastRenderedPageBreak/>
                    <w:t>Vale-transporte (coparticipação descontada)</w:t>
                  </w:r>
                </w:p>
              </w:tc>
              <w:tc>
                <w:tcPr>
                  <w:tcW w:w="2117" w:type="dxa"/>
                  <w:tcBorders>
                    <w:top w:val="single" w:sz="4" w:space="0" w:color="D2C9B8"/>
                    <w:left w:val="single" w:sz="4" w:space="0" w:color="D2C9B8"/>
                    <w:bottom w:val="single" w:sz="4" w:space="0" w:color="D2C9B8"/>
                    <w:right w:val="single" w:sz="4" w:space="0" w:color="D2C9B8"/>
                  </w:tcBorders>
                </w:tcPr>
                <w:p w14:paraId="0899AD5B" w14:textId="77777777" w:rsidR="005A5FCC" w:rsidRDefault="00A21C81">
                  <w:pPr>
                    <w:spacing w:before="20" w:after="20" w:line="240" w:lineRule="auto"/>
                    <w:jc w:val="left"/>
                  </w:pPr>
                  <w:r>
                    <w:rPr>
                      <w:rFonts w:cs="EB Garamond"/>
                      <w:kern w:val="16"/>
                      <w:sz w:val="16"/>
                      <w14:ligatures w14:val="standardContextual"/>
                    </w:rPr>
                    <w:t>Não</w:t>
                  </w:r>
                </w:p>
              </w:tc>
              <w:tc>
                <w:tcPr>
                  <w:tcW w:w="2117" w:type="dxa"/>
                  <w:tcBorders>
                    <w:top w:val="single" w:sz="4" w:space="0" w:color="D2C9B8"/>
                    <w:left w:val="single" w:sz="4" w:space="0" w:color="D2C9B8"/>
                    <w:bottom w:val="single" w:sz="4" w:space="0" w:color="D2C9B8"/>
                    <w:right w:val="single" w:sz="4" w:space="0" w:color="D2C9B8"/>
                  </w:tcBorders>
                </w:tcPr>
                <w:p w14:paraId="0A9C3469" w14:textId="77777777" w:rsidR="005A5FCC" w:rsidRDefault="00A21C81">
                  <w:pPr>
                    <w:spacing w:before="20" w:after="20" w:line="240" w:lineRule="auto"/>
                    <w:jc w:val="left"/>
                  </w:pPr>
                  <w:r>
                    <w:rPr>
                      <w:rFonts w:cs="EB Garamond"/>
                      <w:kern w:val="16"/>
                      <w:sz w:val="16"/>
                      <w14:ligatures w14:val="standardContextual"/>
                    </w:rPr>
                    <w:t>Tema 1.174</w:t>
                  </w:r>
                </w:p>
              </w:tc>
            </w:tr>
            <w:tr w:rsidR="005A5FCC" w14:paraId="5CF18FC1"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1DA5E756" w14:textId="77777777" w:rsidR="005A5FCC" w:rsidRDefault="00A21C81">
                  <w:pPr>
                    <w:spacing w:before="20" w:after="20" w:line="240" w:lineRule="auto"/>
                    <w:jc w:val="left"/>
                  </w:pPr>
                  <w:r>
                    <w:rPr>
                      <w:rFonts w:cs="EB Garamond"/>
                      <w:kern w:val="16"/>
                      <w:sz w:val="16"/>
                      <w14:ligatures w14:val="standardContextual"/>
                    </w:rPr>
                    <w:t>Vale-refeição/alimentação (coparticipação descontada)</w:t>
                  </w:r>
                </w:p>
              </w:tc>
              <w:tc>
                <w:tcPr>
                  <w:tcW w:w="2117" w:type="dxa"/>
                  <w:tcBorders>
                    <w:top w:val="single" w:sz="4" w:space="0" w:color="D2C9B8"/>
                    <w:left w:val="single" w:sz="4" w:space="0" w:color="D2C9B8"/>
                    <w:bottom w:val="single" w:sz="4" w:space="0" w:color="D2C9B8"/>
                    <w:right w:val="single" w:sz="4" w:space="0" w:color="D2C9B8"/>
                  </w:tcBorders>
                </w:tcPr>
                <w:p w14:paraId="00A88E76" w14:textId="77777777" w:rsidR="005A5FCC" w:rsidRDefault="00A21C81">
                  <w:pPr>
                    <w:spacing w:before="20" w:after="20" w:line="240" w:lineRule="auto"/>
                    <w:jc w:val="left"/>
                  </w:pPr>
                  <w:r>
                    <w:rPr>
                      <w:rFonts w:cs="EB Garamond"/>
                      <w:kern w:val="16"/>
                      <w:sz w:val="16"/>
                      <w14:ligatures w14:val="standardContextual"/>
                    </w:rPr>
                    <w:t>Não</w:t>
                  </w:r>
                </w:p>
              </w:tc>
              <w:tc>
                <w:tcPr>
                  <w:tcW w:w="2117" w:type="dxa"/>
                  <w:tcBorders>
                    <w:top w:val="single" w:sz="4" w:space="0" w:color="D2C9B8"/>
                    <w:left w:val="single" w:sz="4" w:space="0" w:color="D2C9B8"/>
                    <w:bottom w:val="single" w:sz="4" w:space="0" w:color="D2C9B8"/>
                    <w:right w:val="single" w:sz="4" w:space="0" w:color="D2C9B8"/>
                  </w:tcBorders>
                </w:tcPr>
                <w:p w14:paraId="5D6DEB87" w14:textId="77777777" w:rsidR="005A5FCC" w:rsidRDefault="00A21C81">
                  <w:pPr>
                    <w:spacing w:before="20" w:after="20" w:line="240" w:lineRule="auto"/>
                    <w:jc w:val="left"/>
                  </w:pPr>
                  <w:r>
                    <w:rPr>
                      <w:rFonts w:cs="EB Garamond"/>
                      <w:kern w:val="16"/>
                      <w:sz w:val="16"/>
                      <w14:ligatures w14:val="standardContextual"/>
                    </w:rPr>
                    <w:t>Tema 1.174</w:t>
                  </w:r>
                </w:p>
              </w:tc>
            </w:tr>
            <w:tr w:rsidR="005A5FCC" w14:paraId="5EA8BC7E"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3A24D221" w14:textId="77777777" w:rsidR="005A5FCC" w:rsidRDefault="00A21C81">
                  <w:pPr>
                    <w:spacing w:before="20" w:after="20" w:line="240" w:lineRule="auto"/>
                    <w:jc w:val="left"/>
                  </w:pPr>
                  <w:r>
                    <w:rPr>
                      <w:rFonts w:cs="EB Garamond"/>
                      <w:kern w:val="16"/>
                      <w:sz w:val="16"/>
                      <w14:ligatures w14:val="standardContextual"/>
                    </w:rPr>
                    <w:t>Plano de assistência à saúde/odontológico/farmácia (coparticipação descontada)</w:t>
                  </w:r>
                </w:p>
              </w:tc>
              <w:tc>
                <w:tcPr>
                  <w:tcW w:w="2117" w:type="dxa"/>
                  <w:tcBorders>
                    <w:top w:val="single" w:sz="4" w:space="0" w:color="D2C9B8"/>
                    <w:left w:val="single" w:sz="4" w:space="0" w:color="D2C9B8"/>
                    <w:bottom w:val="single" w:sz="4" w:space="0" w:color="D2C9B8"/>
                    <w:right w:val="single" w:sz="4" w:space="0" w:color="D2C9B8"/>
                  </w:tcBorders>
                </w:tcPr>
                <w:p w14:paraId="319E0EDC" w14:textId="77777777" w:rsidR="005A5FCC" w:rsidRDefault="00A21C81">
                  <w:pPr>
                    <w:spacing w:before="20" w:after="20" w:line="240" w:lineRule="auto"/>
                    <w:jc w:val="left"/>
                  </w:pPr>
                  <w:r>
                    <w:rPr>
                      <w:rFonts w:cs="EB Garamond"/>
                      <w:kern w:val="16"/>
                      <w:sz w:val="16"/>
                      <w14:ligatures w14:val="standardContextual"/>
                    </w:rPr>
                    <w:t>Não</w:t>
                  </w:r>
                </w:p>
              </w:tc>
              <w:tc>
                <w:tcPr>
                  <w:tcW w:w="2117" w:type="dxa"/>
                  <w:tcBorders>
                    <w:top w:val="single" w:sz="4" w:space="0" w:color="D2C9B8"/>
                    <w:left w:val="single" w:sz="4" w:space="0" w:color="D2C9B8"/>
                    <w:bottom w:val="single" w:sz="4" w:space="0" w:color="D2C9B8"/>
                    <w:right w:val="single" w:sz="4" w:space="0" w:color="D2C9B8"/>
                  </w:tcBorders>
                </w:tcPr>
                <w:p w14:paraId="17ACE3B8" w14:textId="77777777" w:rsidR="005A5FCC" w:rsidRDefault="00A21C81">
                  <w:pPr>
                    <w:spacing w:before="20" w:after="20" w:line="240" w:lineRule="auto"/>
                    <w:jc w:val="left"/>
                  </w:pPr>
                  <w:r>
                    <w:rPr>
                      <w:rFonts w:cs="EB Garamond"/>
                      <w:kern w:val="16"/>
                      <w:sz w:val="16"/>
                      <w14:ligatures w14:val="standardContextual"/>
                    </w:rPr>
                    <w:t>Tema 1.174</w:t>
                  </w:r>
                </w:p>
              </w:tc>
            </w:tr>
            <w:tr w:rsidR="005A5FCC" w14:paraId="06999B97"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0A5425E3" w14:textId="77777777" w:rsidR="005A5FCC" w:rsidRDefault="00A21C81">
                  <w:pPr>
                    <w:spacing w:before="20" w:after="20" w:line="240" w:lineRule="auto"/>
                    <w:jc w:val="left"/>
                  </w:pPr>
                  <w:r>
                    <w:rPr>
                      <w:rFonts w:cs="EB Garamond"/>
                      <w:kern w:val="16"/>
                      <w:sz w:val="16"/>
                      <w14:ligatures w14:val="standardContextual"/>
                    </w:rPr>
                    <w:t>Adicional de insalubridade</w:t>
                  </w:r>
                </w:p>
              </w:tc>
              <w:tc>
                <w:tcPr>
                  <w:tcW w:w="2117" w:type="dxa"/>
                  <w:tcBorders>
                    <w:top w:val="single" w:sz="4" w:space="0" w:color="D2C9B8"/>
                    <w:left w:val="single" w:sz="4" w:space="0" w:color="D2C9B8"/>
                    <w:bottom w:val="single" w:sz="4" w:space="0" w:color="D2C9B8"/>
                    <w:right w:val="single" w:sz="4" w:space="0" w:color="D2C9B8"/>
                  </w:tcBorders>
                </w:tcPr>
                <w:p w14:paraId="593E2F75" w14:textId="77777777" w:rsidR="005A5FCC" w:rsidRDefault="00A21C81">
                  <w:pPr>
                    <w:spacing w:before="20" w:after="20" w:line="240" w:lineRule="auto"/>
                    <w:jc w:val="left"/>
                  </w:pPr>
                  <w:r>
                    <w:rPr>
                      <w:rFonts w:cs="EB Garamond"/>
                      <w:kern w:val="16"/>
                      <w:sz w:val="16"/>
                      <w14:ligatures w14:val="standardContextual"/>
                    </w:rPr>
                    <w:t>Sim</w:t>
                  </w:r>
                </w:p>
              </w:tc>
              <w:tc>
                <w:tcPr>
                  <w:tcW w:w="2117" w:type="dxa"/>
                  <w:tcBorders>
                    <w:top w:val="single" w:sz="4" w:space="0" w:color="D2C9B8"/>
                    <w:left w:val="single" w:sz="4" w:space="0" w:color="D2C9B8"/>
                    <w:bottom w:val="single" w:sz="4" w:space="0" w:color="D2C9B8"/>
                    <w:right w:val="single" w:sz="4" w:space="0" w:color="D2C9B8"/>
                  </w:tcBorders>
                </w:tcPr>
                <w:p w14:paraId="41AF8BF9" w14:textId="77777777" w:rsidR="005A5FCC" w:rsidRDefault="00A21C81">
                  <w:pPr>
                    <w:spacing w:before="20" w:after="20" w:line="240" w:lineRule="auto"/>
                    <w:jc w:val="left"/>
                  </w:pPr>
                  <w:r>
                    <w:rPr>
                      <w:rFonts w:cs="EB Garamond"/>
                      <w:kern w:val="16"/>
                      <w:sz w:val="16"/>
                      <w14:ligatures w14:val="standardContextual"/>
                    </w:rPr>
                    <w:t>Tema 1.252</w:t>
                  </w:r>
                </w:p>
              </w:tc>
            </w:tr>
            <w:tr w:rsidR="005A5FCC" w14:paraId="096B254C"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4DF291F3" w14:textId="77777777" w:rsidR="005A5FCC" w:rsidRDefault="00A21C81">
                  <w:pPr>
                    <w:spacing w:before="20" w:after="20" w:line="240" w:lineRule="auto"/>
                    <w:jc w:val="left"/>
                  </w:pPr>
                  <w:r>
                    <w:rPr>
                      <w:rFonts w:cs="EB Garamond"/>
                      <w:kern w:val="16"/>
                      <w:sz w:val="16"/>
                      <w14:ligatures w14:val="standardContextual"/>
                    </w:rPr>
                    <w:t>Remuneração do contrato de aprendizagem (art. 428 CLT)</w:t>
                  </w:r>
                </w:p>
              </w:tc>
              <w:tc>
                <w:tcPr>
                  <w:tcW w:w="2117" w:type="dxa"/>
                  <w:tcBorders>
                    <w:top w:val="single" w:sz="4" w:space="0" w:color="D2C9B8"/>
                    <w:left w:val="single" w:sz="4" w:space="0" w:color="D2C9B8"/>
                    <w:bottom w:val="single" w:sz="4" w:space="0" w:color="D2C9B8"/>
                    <w:right w:val="single" w:sz="4" w:space="0" w:color="D2C9B8"/>
                  </w:tcBorders>
                </w:tcPr>
                <w:p w14:paraId="6DD5E38D" w14:textId="77777777" w:rsidR="005A5FCC" w:rsidRDefault="00A21C81">
                  <w:pPr>
                    <w:spacing w:before="20" w:after="20" w:line="240" w:lineRule="auto"/>
                    <w:jc w:val="left"/>
                  </w:pPr>
                  <w:r>
                    <w:rPr>
                      <w:rFonts w:cs="EB Garamond"/>
                      <w:kern w:val="16"/>
                      <w:sz w:val="16"/>
                      <w14:ligatures w14:val="standardContextual"/>
                    </w:rPr>
                    <w:t>Sim</w:t>
                  </w:r>
                </w:p>
              </w:tc>
              <w:tc>
                <w:tcPr>
                  <w:tcW w:w="2117" w:type="dxa"/>
                  <w:tcBorders>
                    <w:top w:val="single" w:sz="4" w:space="0" w:color="D2C9B8"/>
                    <w:left w:val="single" w:sz="4" w:space="0" w:color="D2C9B8"/>
                    <w:bottom w:val="single" w:sz="4" w:space="0" w:color="D2C9B8"/>
                    <w:right w:val="single" w:sz="4" w:space="0" w:color="D2C9B8"/>
                  </w:tcBorders>
                </w:tcPr>
                <w:p w14:paraId="418794FA" w14:textId="77777777" w:rsidR="005A5FCC" w:rsidRDefault="00A21C81">
                  <w:pPr>
                    <w:spacing w:before="20" w:after="20" w:line="240" w:lineRule="auto"/>
                    <w:jc w:val="left"/>
                  </w:pPr>
                  <w:r>
                    <w:rPr>
                      <w:rFonts w:cs="EB Garamond"/>
                      <w:kern w:val="16"/>
                      <w:sz w:val="16"/>
                      <w14:ligatures w14:val="standardContextual"/>
                    </w:rPr>
                    <w:t>Tema 1.342</w:t>
                  </w:r>
                </w:p>
              </w:tc>
            </w:tr>
          </w:tbl>
          <w:p w14:paraId="6E828C5A" w14:textId="77777777" w:rsidR="005A5FCC" w:rsidRDefault="005A5FCC"/>
          <w:p w14:paraId="214F5E4B" w14:textId="77777777" w:rsidR="005A5FCC" w:rsidRDefault="005A5FCC">
            <w:pPr>
              <w:spacing w:after="0" w:line="240" w:lineRule="auto"/>
            </w:pPr>
          </w:p>
          <w:p w14:paraId="7CE137FD" w14:textId="77777777" w:rsidR="005A5FCC" w:rsidRDefault="00A21C81">
            <w:pPr>
              <w:spacing w:after="60" w:line="247" w:lineRule="auto"/>
            </w:pPr>
            <w:r>
              <w:rPr>
                <w:rFonts w:cs="EB Garamond"/>
                <w:b/>
                <w:kern w:val="16"/>
                <w:sz w:val="19"/>
                <w14:ligatures w14:val="standardContextual"/>
              </w:rPr>
              <w:t>Impacto prático:</w:t>
            </w:r>
            <w:r>
              <w:rPr>
                <w:rFonts w:cs="EB Garamond"/>
                <w:kern w:val="16"/>
                <w:sz w:val="19"/>
                <w14:ligatures w14:val="standardContextual"/>
              </w:rPr>
              <w:t xml:space="preserve"> Esses repetitivos interessam sobretudo às ações tributárias do empregador (em regra fora dos JEFs, por ultrapassarem o teto de 60 SM). Para o segurado, o reflexo é indireto, mas relevante na retificação de CNIS: como o adicional de insalubridade e a remuneração do aprendiz têm natureza remuneratória, integram o salário de contribuição e devem compor a média do PBC. Já as parcelas afastadas pelo Tema 1.174 (descontos do próprio empregado) jamais foram acréscimo à remuneração — sua exclusão da base patronal não reduz o salário de contribuição do segurado, que continua calculado sobre a remuneração bruta a ele devida.</w:t>
            </w:r>
          </w:p>
        </w:tc>
      </w:tr>
    </w:tbl>
    <w:p w14:paraId="637CA0BB" w14:textId="77777777" w:rsidR="005A5FCC" w:rsidRDefault="005A5FCC">
      <w:pPr>
        <w:spacing w:after="80" w:line="240" w:lineRule="auto"/>
      </w:pPr>
    </w:p>
    <w:p w14:paraId="3F2F0EFC" w14:textId="77777777" w:rsidR="005A5FCC" w:rsidRDefault="00A21C81">
      <w:pPr>
        <w:spacing w:before="260" w:after="80" w:line="240" w:lineRule="auto"/>
        <w:jc w:val="left"/>
      </w:pPr>
      <w:r>
        <w:rPr>
          <w:rFonts w:cs="EB Garamond"/>
          <w:b/>
          <w:color w:val="3A3128"/>
          <w:kern w:val="16"/>
          <w:sz w:val="25"/>
          <w14:ligatures w14:val="standardContextual"/>
        </w:rPr>
        <w:t>4.12.7 O terço constitucional de férias e o tema 985/STF</w:t>
      </w:r>
    </w:p>
    <w:p w14:paraId="0B5EA65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49208524" w14:textId="77777777" w:rsidR="005A5FCC" w:rsidRDefault="00A21C81">
      <w:r>
        <w:rPr>
          <w:rFonts w:cs="EB Garamond"/>
          <w:kern w:val="16"/>
          <w14:ligatures w14:val="standardContextual"/>
        </w:rPr>
        <w:t xml:space="preserve"> incidência de contribuição previdenciária sobre o terço constitucional de férias foi uma das questões previdenciárias mais litigadas no Brasil durante duas décadas. O STJ manteve, durante anos, jurisprudência pacificada no sentido de que o terço de férias tinha natureza indenizatória e, portanto, não integrava o salário de contribuição.</w:t>
      </w:r>
    </w:p>
    <w:tbl>
      <w:tblPr>
        <w:tblW w:w="5000" w:type="pct"/>
        <w:jc w:val="center"/>
        <w:tblLayout w:type="fixed"/>
        <w:tblLook w:val="04A0" w:firstRow="1" w:lastRow="0" w:firstColumn="1" w:lastColumn="0" w:noHBand="0" w:noVBand="1"/>
      </w:tblPr>
      <w:tblGrid>
        <w:gridCol w:w="6311"/>
      </w:tblGrid>
      <w:tr w:rsidR="005A5FCC" w14:paraId="547D9B9A"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7FA083A0" w14:textId="77777777" w:rsidR="005A5FCC" w:rsidRDefault="00A21C81">
            <w:pPr>
              <w:spacing w:after="60" w:line="240" w:lineRule="auto"/>
              <w:jc w:val="left"/>
            </w:pPr>
            <w:r>
              <w:rPr>
                <w:rFonts w:ascii="Noto Sans" w:hAnsi="Noto Sans" w:cs="Noto Sans"/>
                <w:b/>
                <w:caps/>
                <w:color w:val="4D6F8A"/>
                <w:kern w:val="16"/>
                <w:sz w:val="16"/>
                <w14:ligatures w14:val="standardContextual"/>
              </w:rPr>
              <w:lastRenderedPageBreak/>
              <w:t>JURISPRUDÊNCIA EM DESTAQUE</w:t>
            </w:r>
          </w:p>
          <w:p w14:paraId="4BE69141" w14:textId="77777777" w:rsidR="005A5FCC" w:rsidRDefault="00A21C81">
            <w:pPr>
              <w:spacing w:after="60" w:line="247" w:lineRule="auto"/>
            </w:pPr>
            <w:r>
              <w:rPr>
                <w:rFonts w:cs="EB Garamond"/>
                <w:b/>
                <w:kern w:val="16"/>
                <w:sz w:val="19"/>
                <w14:ligatures w14:val="standardContextual"/>
              </w:rPr>
              <w:t>STF — Tema 985 (RE 1.072.485, Rel. Min. Luís Roberto Barroso, j. 31/08/2020)</w:t>
            </w:r>
          </w:p>
          <w:p w14:paraId="675F3577" w14:textId="77777777" w:rsidR="005A5FCC" w:rsidRDefault="00A21C81">
            <w:pPr>
              <w:spacing w:after="60" w:line="247" w:lineRule="auto"/>
            </w:pPr>
            <w:r>
              <w:rPr>
                <w:rFonts w:cs="EB Garamond"/>
                <w:b/>
                <w:kern w:val="16"/>
                <w:sz w:val="19"/>
                <w14:ligatures w14:val="standardContextual"/>
              </w:rPr>
              <w:t>Tese fixada:</w:t>
            </w:r>
            <w:r>
              <w:rPr>
                <w:rFonts w:cs="EB Garamond"/>
                <w:kern w:val="16"/>
                <w:sz w:val="19"/>
                <w14:ligatures w14:val="standardContextual"/>
              </w:rPr>
              <w:t xml:space="preserve"> "É legítima a incidência de contribuição social sobre o valor satisfeito a título de terço constitucional de férias."</w:t>
            </w:r>
          </w:p>
          <w:p w14:paraId="4A9301AD" w14:textId="77777777" w:rsidR="005A5FCC" w:rsidRDefault="00A21C81">
            <w:pPr>
              <w:spacing w:after="60" w:line="247" w:lineRule="auto"/>
            </w:pPr>
            <w:r>
              <w:rPr>
                <w:rFonts w:cs="EB Garamond"/>
                <w:b/>
                <w:kern w:val="16"/>
                <w:sz w:val="19"/>
                <w14:ligatures w14:val="standardContextual"/>
              </w:rPr>
              <w:t>Contexto:</w:t>
            </w:r>
            <w:r>
              <w:rPr>
                <w:rFonts w:cs="EB Garamond"/>
                <w:kern w:val="16"/>
                <w:sz w:val="19"/>
                <w14:ligatures w14:val="standardContextual"/>
              </w:rPr>
              <w:t xml:space="preserve"> Reverteu jurisprudência consolidada do STJ (que excluía o terço do SC). A partir de setembro/2020, é pacífico que o terço de férias integra o salário de contribuição.</w:t>
            </w:r>
          </w:p>
          <w:p w14:paraId="04B435D3" w14:textId="77777777" w:rsidR="005A5FCC" w:rsidRDefault="00A21C81">
            <w:pPr>
              <w:spacing w:after="60" w:line="247" w:lineRule="auto"/>
            </w:pPr>
            <w:r>
              <w:rPr>
                <w:rFonts w:cs="EB Garamond"/>
                <w:b/>
                <w:kern w:val="16"/>
                <w:sz w:val="19"/>
                <w14:ligatures w14:val="standardContextual"/>
              </w:rPr>
              <w:t>Modulação:</w:t>
            </w:r>
            <w:r>
              <w:rPr>
                <w:rFonts w:cs="EB Garamond"/>
                <w:kern w:val="16"/>
                <w:sz w:val="19"/>
                <w14:ligatures w14:val="standardContextual"/>
              </w:rPr>
              <w:t xml:space="preserve"> Aplicação ex nunc. Contribuintes que obtiveram decisão transitada em julgado excluindo o terço mantêm o direito (até eventual rescisória). Para novas ações, não cabe mais a discussão.</w:t>
            </w:r>
          </w:p>
          <w:p w14:paraId="10818951" w14:textId="77777777" w:rsidR="005A5FCC" w:rsidRDefault="00A21C81">
            <w:pPr>
              <w:spacing w:after="60" w:line="247" w:lineRule="auto"/>
            </w:pPr>
            <w:r>
              <w:rPr>
                <w:rFonts w:cs="EB Garamond"/>
                <w:b/>
                <w:kern w:val="16"/>
                <w:sz w:val="19"/>
                <w14:ligatures w14:val="standardContextual"/>
              </w:rPr>
              <w:t>Impacto para o segurado (JEF):</w:t>
            </w:r>
            <w:r>
              <w:rPr>
                <w:rFonts w:cs="EB Garamond"/>
                <w:kern w:val="16"/>
                <w:sz w:val="19"/>
                <w14:ligatures w14:val="standardContextual"/>
              </w:rPr>
              <w:t xml:space="preserve"> Indiretamente favorável — a incidência do terço sobre o SC eleva a média dos salários de contribuição no PBC, resultando em salário de benefício (e RMI) ligeiramente maior. O advogado previdenciarista deve atentar: para segurados que obtiveram exclusão judicial do terço antes do Tema 985, os salários de contribuição registrados no CNIS para aquele período estarão menores do que deveriam, podendo justificar ação de retificação para inclusão do terço e consequente revisão do benefício.</w:t>
            </w:r>
          </w:p>
        </w:tc>
      </w:tr>
    </w:tbl>
    <w:p w14:paraId="71C73F1B" w14:textId="77777777" w:rsidR="005A5FCC" w:rsidRDefault="005A5FCC">
      <w:pPr>
        <w:spacing w:after="80" w:line="240" w:lineRule="auto"/>
      </w:pPr>
    </w:p>
    <w:p w14:paraId="03CCD8B0" w14:textId="77777777" w:rsidR="005A5FCC" w:rsidRDefault="00A21C81">
      <w:pPr>
        <w:spacing w:before="260" w:after="80" w:line="240" w:lineRule="auto"/>
        <w:jc w:val="left"/>
      </w:pPr>
      <w:r>
        <w:rPr>
          <w:rFonts w:cs="EB Garamond"/>
          <w:b/>
          <w:color w:val="3A3128"/>
          <w:kern w:val="16"/>
          <w:sz w:val="25"/>
          <w14:ligatures w14:val="standardContextual"/>
        </w:rPr>
        <w:t>4.12.8 Evolução histórica do teto</w:t>
      </w:r>
    </w:p>
    <w:p w14:paraId="64A17E6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227A09AF" w14:textId="77777777" w:rsidR="005A5FCC" w:rsidRDefault="00A21C81">
      <w:r>
        <w:rPr>
          <w:rFonts w:cs="EB Garamond"/>
          <w:kern w:val="16"/>
          <w14:ligatures w14:val="standardContextual"/>
        </w:rPr>
        <w:t xml:space="preserve"> limite máximo do salário de contribuição (teto) sofreu diversas alterações ao longo do tempo. Para o cálculo de benefícios, o teto vigente na data de cada competência limita o salário de contribuição daquele mês. Os principais marcos são:</w:t>
      </w:r>
    </w:p>
    <w:tbl>
      <w:tblPr>
        <w:tblW w:w="5000" w:type="pct"/>
        <w:jc w:val="center"/>
        <w:tblLook w:val="04A0" w:firstRow="1" w:lastRow="0" w:firstColumn="1" w:lastColumn="0" w:noHBand="0" w:noVBand="1"/>
      </w:tblPr>
      <w:tblGrid>
        <w:gridCol w:w="3170"/>
        <w:gridCol w:w="3170"/>
      </w:tblGrid>
      <w:tr w:rsidR="005A5FCC" w14:paraId="583C6408" w14:textId="77777777">
        <w:trPr>
          <w:tblHeader/>
          <w:jc w:val="center"/>
        </w:trPr>
        <w:tc>
          <w:tcPr>
            <w:tcW w:w="3175" w:type="dxa"/>
            <w:tcBorders>
              <w:top w:val="single" w:sz="4" w:space="0" w:color="D2C9B8"/>
              <w:left w:val="single" w:sz="4" w:space="0" w:color="D2C9B8"/>
              <w:bottom w:val="single" w:sz="4" w:space="0" w:color="D2C9B8"/>
              <w:right w:val="single" w:sz="4" w:space="0" w:color="D2C9B8"/>
            </w:tcBorders>
            <w:shd w:val="clear" w:color="auto" w:fill="F0EDE6"/>
          </w:tcPr>
          <w:p w14:paraId="3ED24C20" w14:textId="77777777" w:rsidR="005A5FCC" w:rsidRDefault="00A21C81">
            <w:pPr>
              <w:spacing w:before="40" w:after="40" w:line="240" w:lineRule="auto"/>
              <w:jc w:val="center"/>
            </w:pPr>
            <w:r>
              <w:rPr>
                <w:rFonts w:cs="EB Garamond"/>
                <w:b/>
                <w:color w:val="2F2923"/>
                <w:kern w:val="16"/>
                <w:sz w:val="18"/>
                <w14:ligatures w14:val="standardContextual"/>
              </w:rPr>
              <w:t>Período</w:t>
            </w:r>
          </w:p>
        </w:tc>
        <w:tc>
          <w:tcPr>
            <w:tcW w:w="3175" w:type="dxa"/>
            <w:tcBorders>
              <w:top w:val="single" w:sz="4" w:space="0" w:color="D2C9B8"/>
              <w:left w:val="single" w:sz="4" w:space="0" w:color="D2C9B8"/>
              <w:bottom w:val="single" w:sz="4" w:space="0" w:color="D2C9B8"/>
              <w:right w:val="single" w:sz="4" w:space="0" w:color="D2C9B8"/>
            </w:tcBorders>
            <w:shd w:val="clear" w:color="auto" w:fill="F0EDE6"/>
          </w:tcPr>
          <w:p w14:paraId="24BF4164" w14:textId="77777777" w:rsidR="005A5FCC" w:rsidRDefault="00A21C81">
            <w:pPr>
              <w:spacing w:before="40" w:after="40" w:line="240" w:lineRule="auto"/>
              <w:jc w:val="center"/>
            </w:pPr>
            <w:r>
              <w:rPr>
                <w:rFonts w:cs="EB Garamond"/>
                <w:b/>
                <w:color w:val="2F2923"/>
                <w:kern w:val="16"/>
                <w:sz w:val="18"/>
                <w14:ligatures w14:val="standardContextual"/>
              </w:rPr>
              <w:t>Teto</w:t>
            </w:r>
          </w:p>
        </w:tc>
      </w:tr>
      <w:tr w:rsidR="005A5FCC" w14:paraId="1F8ECA7C"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1FD6646B" w14:textId="77777777" w:rsidR="005A5FCC" w:rsidRDefault="00A21C81">
            <w:pPr>
              <w:spacing w:before="20" w:after="20" w:line="240" w:lineRule="auto"/>
              <w:jc w:val="left"/>
            </w:pPr>
            <w:r>
              <w:rPr>
                <w:rFonts w:cs="EB Garamond"/>
                <w:kern w:val="16"/>
                <w:sz w:val="18"/>
                <w14:ligatures w14:val="standardContextual"/>
              </w:rPr>
              <w:t>Até 11/1994</w:t>
            </w:r>
          </w:p>
        </w:tc>
        <w:tc>
          <w:tcPr>
            <w:tcW w:w="3175" w:type="dxa"/>
            <w:tcBorders>
              <w:top w:val="single" w:sz="4" w:space="0" w:color="D2C9B8"/>
              <w:left w:val="single" w:sz="4" w:space="0" w:color="D2C9B8"/>
              <w:bottom w:val="single" w:sz="4" w:space="0" w:color="D2C9B8"/>
              <w:right w:val="single" w:sz="4" w:space="0" w:color="D2C9B8"/>
            </w:tcBorders>
          </w:tcPr>
          <w:p w14:paraId="7ED72AB8" w14:textId="77777777" w:rsidR="005A5FCC" w:rsidRDefault="00A21C81">
            <w:pPr>
              <w:spacing w:before="20" w:after="20" w:line="240" w:lineRule="auto"/>
              <w:jc w:val="left"/>
            </w:pPr>
            <w:r>
              <w:rPr>
                <w:rFonts w:cs="EB Garamond"/>
                <w:kern w:val="16"/>
                <w:sz w:val="18"/>
                <w14:ligatures w14:val="standardContextual"/>
              </w:rPr>
              <w:t>Variável conforme legislação</w:t>
            </w:r>
          </w:p>
        </w:tc>
      </w:tr>
      <w:tr w:rsidR="005A5FCC" w14:paraId="3ED16C07"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43FAB16B" w14:textId="77777777" w:rsidR="005A5FCC" w:rsidRDefault="00A21C81">
            <w:pPr>
              <w:spacing w:before="20" w:after="20" w:line="240" w:lineRule="auto"/>
              <w:jc w:val="left"/>
            </w:pPr>
            <w:r>
              <w:rPr>
                <w:rFonts w:cs="EB Garamond"/>
                <w:kern w:val="16"/>
                <w:sz w:val="18"/>
                <w14:ligatures w14:val="standardContextual"/>
              </w:rPr>
              <w:t>12/1998 (EC 20)</w:t>
            </w:r>
          </w:p>
        </w:tc>
        <w:tc>
          <w:tcPr>
            <w:tcW w:w="3175" w:type="dxa"/>
            <w:tcBorders>
              <w:top w:val="single" w:sz="4" w:space="0" w:color="D2C9B8"/>
              <w:left w:val="single" w:sz="4" w:space="0" w:color="D2C9B8"/>
              <w:bottom w:val="single" w:sz="4" w:space="0" w:color="D2C9B8"/>
              <w:right w:val="single" w:sz="4" w:space="0" w:color="D2C9B8"/>
            </w:tcBorders>
          </w:tcPr>
          <w:p w14:paraId="03751C75" w14:textId="77777777" w:rsidR="005A5FCC" w:rsidRDefault="00A21C81">
            <w:pPr>
              <w:spacing w:before="20" w:after="20" w:line="240" w:lineRule="auto"/>
              <w:jc w:val="left"/>
            </w:pPr>
            <w:r>
              <w:rPr>
                <w:rFonts w:cs="EB Garamond"/>
                <w:kern w:val="16"/>
                <w:sz w:val="18"/>
                <w14:ligatures w14:val="standardContextual"/>
              </w:rPr>
              <w:t>R$ 1.200,00</w:t>
            </w:r>
          </w:p>
        </w:tc>
      </w:tr>
      <w:tr w:rsidR="005A5FCC" w14:paraId="537A4674"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032A12E0" w14:textId="77777777" w:rsidR="005A5FCC" w:rsidRDefault="00A21C81">
            <w:pPr>
              <w:spacing w:before="20" w:after="20" w:line="240" w:lineRule="auto"/>
              <w:jc w:val="left"/>
            </w:pPr>
            <w:r>
              <w:rPr>
                <w:rFonts w:cs="EB Garamond"/>
                <w:kern w:val="16"/>
                <w:sz w:val="18"/>
                <w14:ligatures w14:val="standardContextual"/>
              </w:rPr>
              <w:t>01/2004 (EC 41/2003)</w:t>
            </w:r>
          </w:p>
        </w:tc>
        <w:tc>
          <w:tcPr>
            <w:tcW w:w="3175" w:type="dxa"/>
            <w:tcBorders>
              <w:top w:val="single" w:sz="4" w:space="0" w:color="D2C9B8"/>
              <w:left w:val="single" w:sz="4" w:space="0" w:color="D2C9B8"/>
              <w:bottom w:val="single" w:sz="4" w:space="0" w:color="D2C9B8"/>
              <w:right w:val="single" w:sz="4" w:space="0" w:color="D2C9B8"/>
            </w:tcBorders>
          </w:tcPr>
          <w:p w14:paraId="0022D60C" w14:textId="77777777" w:rsidR="005A5FCC" w:rsidRDefault="00A21C81">
            <w:pPr>
              <w:spacing w:before="20" w:after="20" w:line="240" w:lineRule="auto"/>
              <w:jc w:val="left"/>
            </w:pPr>
            <w:r>
              <w:rPr>
                <w:rFonts w:cs="EB Garamond"/>
                <w:kern w:val="16"/>
                <w:sz w:val="18"/>
                <w14:ligatures w14:val="standardContextual"/>
              </w:rPr>
              <w:t>R$ 2.400,00</w:t>
            </w:r>
          </w:p>
        </w:tc>
      </w:tr>
      <w:tr w:rsidR="005A5FCC" w14:paraId="28CB22D0"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14EDB48B" w14:textId="77777777" w:rsidR="005A5FCC" w:rsidRDefault="00A21C81">
            <w:pPr>
              <w:spacing w:before="20" w:after="20" w:line="240" w:lineRule="auto"/>
              <w:jc w:val="left"/>
            </w:pPr>
            <w:r>
              <w:rPr>
                <w:rFonts w:cs="EB Garamond"/>
                <w:kern w:val="16"/>
                <w:sz w:val="18"/>
                <w14:ligatures w14:val="standardContextual"/>
              </w:rPr>
              <w:t>02/2009</w:t>
            </w:r>
          </w:p>
        </w:tc>
        <w:tc>
          <w:tcPr>
            <w:tcW w:w="3175" w:type="dxa"/>
            <w:tcBorders>
              <w:top w:val="single" w:sz="4" w:space="0" w:color="D2C9B8"/>
              <w:left w:val="single" w:sz="4" w:space="0" w:color="D2C9B8"/>
              <w:bottom w:val="single" w:sz="4" w:space="0" w:color="D2C9B8"/>
              <w:right w:val="single" w:sz="4" w:space="0" w:color="D2C9B8"/>
            </w:tcBorders>
          </w:tcPr>
          <w:p w14:paraId="7E33EAFF" w14:textId="77777777" w:rsidR="005A5FCC" w:rsidRDefault="00A21C81">
            <w:pPr>
              <w:spacing w:before="20" w:after="20" w:line="240" w:lineRule="auto"/>
              <w:jc w:val="left"/>
            </w:pPr>
            <w:r>
              <w:rPr>
                <w:rFonts w:cs="EB Garamond"/>
                <w:kern w:val="16"/>
                <w:sz w:val="18"/>
                <w14:ligatures w14:val="standardContextual"/>
              </w:rPr>
              <w:t>R$ 3.038,99</w:t>
            </w:r>
          </w:p>
        </w:tc>
      </w:tr>
      <w:tr w:rsidR="005A5FCC" w14:paraId="78649E13"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140347E1" w14:textId="77777777" w:rsidR="005A5FCC" w:rsidRDefault="00A21C81">
            <w:pPr>
              <w:spacing w:before="20" w:after="20" w:line="240" w:lineRule="auto"/>
              <w:jc w:val="left"/>
            </w:pPr>
            <w:r>
              <w:rPr>
                <w:rFonts w:cs="EB Garamond"/>
                <w:kern w:val="16"/>
                <w:sz w:val="18"/>
                <w14:ligatures w14:val="standardContextual"/>
              </w:rPr>
              <w:t>01/2012</w:t>
            </w:r>
          </w:p>
        </w:tc>
        <w:tc>
          <w:tcPr>
            <w:tcW w:w="3175" w:type="dxa"/>
            <w:tcBorders>
              <w:top w:val="single" w:sz="4" w:space="0" w:color="D2C9B8"/>
              <w:left w:val="single" w:sz="4" w:space="0" w:color="D2C9B8"/>
              <w:bottom w:val="single" w:sz="4" w:space="0" w:color="D2C9B8"/>
              <w:right w:val="single" w:sz="4" w:space="0" w:color="D2C9B8"/>
            </w:tcBorders>
          </w:tcPr>
          <w:p w14:paraId="5CE92CB2" w14:textId="77777777" w:rsidR="005A5FCC" w:rsidRDefault="00A21C81">
            <w:pPr>
              <w:spacing w:before="20" w:after="20" w:line="240" w:lineRule="auto"/>
              <w:jc w:val="left"/>
            </w:pPr>
            <w:r>
              <w:rPr>
                <w:rFonts w:cs="EB Garamond"/>
                <w:kern w:val="16"/>
                <w:sz w:val="18"/>
                <w14:ligatures w14:val="standardContextual"/>
              </w:rPr>
              <w:t>R$ 3.916,20</w:t>
            </w:r>
          </w:p>
        </w:tc>
      </w:tr>
      <w:tr w:rsidR="005A5FCC" w14:paraId="10249A7B"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471130F1" w14:textId="77777777" w:rsidR="005A5FCC" w:rsidRDefault="00A21C81">
            <w:pPr>
              <w:spacing w:before="20" w:after="20" w:line="240" w:lineRule="auto"/>
              <w:jc w:val="left"/>
            </w:pPr>
            <w:r>
              <w:rPr>
                <w:rFonts w:cs="EB Garamond"/>
                <w:kern w:val="16"/>
                <w:sz w:val="18"/>
                <w14:ligatures w14:val="standardContextual"/>
              </w:rPr>
              <w:t>01/2016</w:t>
            </w:r>
          </w:p>
        </w:tc>
        <w:tc>
          <w:tcPr>
            <w:tcW w:w="3175" w:type="dxa"/>
            <w:tcBorders>
              <w:top w:val="single" w:sz="4" w:space="0" w:color="D2C9B8"/>
              <w:left w:val="single" w:sz="4" w:space="0" w:color="D2C9B8"/>
              <w:bottom w:val="single" w:sz="4" w:space="0" w:color="D2C9B8"/>
              <w:right w:val="single" w:sz="4" w:space="0" w:color="D2C9B8"/>
            </w:tcBorders>
          </w:tcPr>
          <w:p w14:paraId="798F7912" w14:textId="77777777" w:rsidR="005A5FCC" w:rsidRDefault="00A21C81">
            <w:pPr>
              <w:spacing w:before="20" w:after="20" w:line="240" w:lineRule="auto"/>
              <w:jc w:val="left"/>
            </w:pPr>
            <w:r>
              <w:rPr>
                <w:rFonts w:cs="EB Garamond"/>
                <w:kern w:val="16"/>
                <w:sz w:val="18"/>
                <w14:ligatures w14:val="standardContextual"/>
              </w:rPr>
              <w:t>R$ 5.189,82</w:t>
            </w:r>
          </w:p>
        </w:tc>
      </w:tr>
      <w:tr w:rsidR="005A5FCC" w14:paraId="08545235"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67472CBC" w14:textId="77777777" w:rsidR="005A5FCC" w:rsidRDefault="00A21C81">
            <w:pPr>
              <w:spacing w:before="20" w:after="20" w:line="240" w:lineRule="auto"/>
              <w:jc w:val="left"/>
            </w:pPr>
            <w:r>
              <w:rPr>
                <w:rFonts w:cs="EB Garamond"/>
                <w:kern w:val="16"/>
                <w:sz w:val="18"/>
                <w14:ligatures w14:val="standardContextual"/>
              </w:rPr>
              <w:t>01/2020</w:t>
            </w:r>
          </w:p>
        </w:tc>
        <w:tc>
          <w:tcPr>
            <w:tcW w:w="3175" w:type="dxa"/>
            <w:tcBorders>
              <w:top w:val="single" w:sz="4" w:space="0" w:color="D2C9B8"/>
              <w:left w:val="single" w:sz="4" w:space="0" w:color="D2C9B8"/>
              <w:bottom w:val="single" w:sz="4" w:space="0" w:color="D2C9B8"/>
              <w:right w:val="single" w:sz="4" w:space="0" w:color="D2C9B8"/>
            </w:tcBorders>
          </w:tcPr>
          <w:p w14:paraId="308C1026" w14:textId="77777777" w:rsidR="005A5FCC" w:rsidRDefault="00A21C81">
            <w:pPr>
              <w:spacing w:before="20" w:after="20" w:line="240" w:lineRule="auto"/>
              <w:jc w:val="left"/>
            </w:pPr>
            <w:r>
              <w:rPr>
                <w:rFonts w:cs="EB Garamond"/>
                <w:kern w:val="16"/>
                <w:sz w:val="18"/>
                <w14:ligatures w14:val="standardContextual"/>
              </w:rPr>
              <w:t>R$ 6.101,06</w:t>
            </w:r>
          </w:p>
        </w:tc>
      </w:tr>
      <w:tr w:rsidR="005A5FCC" w14:paraId="0CDB7447"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25E26AE9" w14:textId="77777777" w:rsidR="005A5FCC" w:rsidRDefault="00A21C81">
            <w:pPr>
              <w:spacing w:before="20" w:after="20" w:line="240" w:lineRule="auto"/>
              <w:jc w:val="left"/>
            </w:pPr>
            <w:r>
              <w:rPr>
                <w:rFonts w:cs="EB Garamond"/>
                <w:kern w:val="16"/>
                <w:sz w:val="18"/>
                <w14:ligatures w14:val="standardContextual"/>
              </w:rPr>
              <w:lastRenderedPageBreak/>
              <w:t>01/2024</w:t>
            </w:r>
          </w:p>
        </w:tc>
        <w:tc>
          <w:tcPr>
            <w:tcW w:w="3175" w:type="dxa"/>
            <w:tcBorders>
              <w:top w:val="single" w:sz="4" w:space="0" w:color="D2C9B8"/>
              <w:left w:val="single" w:sz="4" w:space="0" w:color="D2C9B8"/>
              <w:bottom w:val="single" w:sz="4" w:space="0" w:color="D2C9B8"/>
              <w:right w:val="single" w:sz="4" w:space="0" w:color="D2C9B8"/>
            </w:tcBorders>
          </w:tcPr>
          <w:p w14:paraId="7A2C3433" w14:textId="77777777" w:rsidR="005A5FCC" w:rsidRDefault="00A21C81">
            <w:pPr>
              <w:spacing w:before="20" w:after="20" w:line="240" w:lineRule="auto"/>
              <w:jc w:val="left"/>
            </w:pPr>
            <w:r>
              <w:rPr>
                <w:rFonts w:cs="EB Garamond"/>
                <w:kern w:val="16"/>
                <w:sz w:val="18"/>
                <w14:ligatures w14:val="standardContextual"/>
              </w:rPr>
              <w:t>R$ 7.786,02</w:t>
            </w:r>
          </w:p>
        </w:tc>
      </w:tr>
      <w:tr w:rsidR="005A5FCC" w14:paraId="67954BAD"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5A08830F" w14:textId="77777777" w:rsidR="005A5FCC" w:rsidRDefault="00A21C81">
            <w:pPr>
              <w:spacing w:before="20" w:after="20" w:line="240" w:lineRule="auto"/>
              <w:jc w:val="left"/>
            </w:pPr>
            <w:r>
              <w:rPr>
                <w:rFonts w:cs="EB Garamond"/>
                <w:kern w:val="16"/>
                <w:sz w:val="18"/>
                <w14:ligatures w14:val="standardContextual"/>
              </w:rPr>
              <w:t>01/2025</w:t>
            </w:r>
          </w:p>
        </w:tc>
        <w:tc>
          <w:tcPr>
            <w:tcW w:w="3175" w:type="dxa"/>
            <w:tcBorders>
              <w:top w:val="single" w:sz="4" w:space="0" w:color="D2C9B8"/>
              <w:left w:val="single" w:sz="4" w:space="0" w:color="D2C9B8"/>
              <w:bottom w:val="single" w:sz="4" w:space="0" w:color="D2C9B8"/>
              <w:right w:val="single" w:sz="4" w:space="0" w:color="D2C9B8"/>
            </w:tcBorders>
          </w:tcPr>
          <w:p w14:paraId="1398CA4B" w14:textId="77777777" w:rsidR="005A5FCC" w:rsidRDefault="00A21C81">
            <w:pPr>
              <w:spacing w:before="20" w:after="20" w:line="240" w:lineRule="auto"/>
              <w:jc w:val="left"/>
            </w:pPr>
            <w:r>
              <w:rPr>
                <w:rFonts w:cs="EB Garamond"/>
                <w:kern w:val="16"/>
                <w:sz w:val="18"/>
                <w14:ligatures w14:val="standardContextual"/>
              </w:rPr>
              <w:t>R$ 8.157,41</w:t>
            </w:r>
          </w:p>
        </w:tc>
      </w:tr>
      <w:tr w:rsidR="005A5FCC" w14:paraId="292DEE28"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65852109" w14:textId="77777777" w:rsidR="005A5FCC" w:rsidRDefault="00A21C81">
            <w:pPr>
              <w:spacing w:before="20" w:after="20" w:line="240" w:lineRule="auto"/>
              <w:jc w:val="left"/>
            </w:pPr>
            <w:r>
              <w:rPr>
                <w:rFonts w:cs="EB Garamond"/>
                <w:kern w:val="16"/>
                <w:sz w:val="18"/>
                <w14:ligatures w14:val="standardContextual"/>
              </w:rPr>
              <w:t>01/2026</w:t>
            </w:r>
          </w:p>
        </w:tc>
        <w:tc>
          <w:tcPr>
            <w:tcW w:w="3175" w:type="dxa"/>
            <w:tcBorders>
              <w:top w:val="single" w:sz="4" w:space="0" w:color="D2C9B8"/>
              <w:left w:val="single" w:sz="4" w:space="0" w:color="D2C9B8"/>
              <w:bottom w:val="single" w:sz="4" w:space="0" w:color="D2C9B8"/>
              <w:right w:val="single" w:sz="4" w:space="0" w:color="D2C9B8"/>
            </w:tcBorders>
          </w:tcPr>
          <w:p w14:paraId="3F513368" w14:textId="77777777" w:rsidR="005A5FCC" w:rsidRDefault="00A21C81">
            <w:pPr>
              <w:spacing w:before="20" w:after="20" w:line="240" w:lineRule="auto"/>
              <w:jc w:val="left"/>
            </w:pPr>
            <w:r>
              <w:rPr>
                <w:rFonts w:cs="EB Garamond"/>
                <w:kern w:val="16"/>
                <w:sz w:val="18"/>
                <w14:ligatures w14:val="standardContextual"/>
              </w:rPr>
              <w:t>R$ 8.475,55</w:t>
            </w:r>
          </w:p>
        </w:tc>
      </w:tr>
    </w:tbl>
    <w:p w14:paraId="6216320C" w14:textId="77777777" w:rsidR="005A5FCC" w:rsidRDefault="005A5FCC">
      <w:pPr>
        <w:spacing w:after="80" w:line="240" w:lineRule="auto"/>
      </w:pPr>
    </w:p>
    <w:tbl>
      <w:tblPr>
        <w:tblW w:w="5000" w:type="pct"/>
        <w:jc w:val="center"/>
        <w:tblLayout w:type="fixed"/>
        <w:tblLook w:val="04A0" w:firstRow="1" w:lastRow="0" w:firstColumn="1" w:lastColumn="0" w:noHBand="0" w:noVBand="1"/>
      </w:tblPr>
      <w:tblGrid>
        <w:gridCol w:w="6311"/>
      </w:tblGrid>
      <w:tr w:rsidR="005A5FCC" w14:paraId="47F481C7"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088AD513"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511CDDCB" w14:textId="77777777" w:rsidR="005A5FCC" w:rsidRDefault="00A21C81">
            <w:pPr>
              <w:spacing w:after="60" w:line="247" w:lineRule="auto"/>
            </w:pPr>
            <w:r>
              <w:rPr>
                <w:rFonts w:cs="EB Garamond"/>
                <w:b/>
                <w:kern w:val="16"/>
                <w:sz w:val="19"/>
                <w14:ligatures w14:val="standardContextual"/>
              </w:rPr>
              <w:t>Atenção — Revisão de benefícios limitados pelo teto:</w:t>
            </w:r>
          </w:p>
          <w:p w14:paraId="5B758ECF" w14:textId="77777777" w:rsidR="005A5FCC" w:rsidRDefault="00A21C81">
            <w:pPr>
              <w:spacing w:after="60" w:line="247" w:lineRule="auto"/>
            </w:pPr>
            <w:r>
              <w:rPr>
                <w:rFonts w:cs="EB Garamond"/>
                <w:kern w:val="16"/>
                <w:sz w:val="19"/>
                <w14:ligatures w14:val="standardContextual"/>
              </w:rPr>
              <w:t>O STJ, no julgamento do REsp 1.113.222/SC (1ª Seção, j. 23/02/2012), fixou que os benefícios concedidos com base em salários de contribuição limitados ao teto vigente à época devem ser reajustados com observância do novo teto sempre que este for majorado por emenda constitucional. Essa tese resultou na chamada "revisão do teto" — aplicável a benefícios concedidos entre 05/04/1991 (Lei 8.213) e 31/12/2003, cujo salário de benefício foi limitado pelo teto então vigente mas que, recalculado com os tetos da EC 20/1998 (R$ 1.200,00) e da EC 41/2003 (R$ 2.400,00), resultaria em valor superior. A revisão é objeto frequente de ações nos JEFs.</w:t>
            </w:r>
          </w:p>
        </w:tc>
      </w:tr>
    </w:tbl>
    <w:p w14:paraId="0A237C53" w14:textId="77777777" w:rsidR="005A5FCC" w:rsidRDefault="005A5FCC">
      <w:pPr>
        <w:spacing w:after="80" w:line="240" w:lineRule="auto"/>
      </w:pPr>
    </w:p>
    <w:p w14:paraId="0E652524" w14:textId="77777777" w:rsidR="005A5FCC" w:rsidRDefault="00A21C81">
      <w:pPr>
        <w:spacing w:before="260" w:after="80" w:line="240" w:lineRule="auto"/>
        <w:jc w:val="left"/>
      </w:pPr>
      <w:r>
        <w:rPr>
          <w:rFonts w:cs="EB Garamond"/>
          <w:b/>
          <w:color w:val="3A3128"/>
          <w:kern w:val="16"/>
          <w:sz w:val="25"/>
          <w14:ligatures w14:val="standardContextual"/>
        </w:rPr>
        <w:t>4.12.9 Salário in natura e sua incidência</w:t>
      </w:r>
    </w:p>
    <w:p w14:paraId="594E9744"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370DE698" w14:textId="77777777" w:rsidR="005A5FCC" w:rsidRDefault="00A21C81">
      <w:r>
        <w:rPr>
          <w:rFonts w:cs="EB Garamond"/>
          <w:kern w:val="16"/>
          <w14:ligatures w14:val="standardContextual"/>
        </w:rPr>
        <w:t xml:space="preserve"> salário in natura, também chamado de salário-utilidade, consiste em prestações não monetárias fornecidas habitualmente pelo empregador ao empregado. A CLT, no art. 458, estabelece que, além do pagamento em dinheiro, compreendem-se no salário as prestações in natura que a empresa fornecer habitualmente ao empregado.</w:t>
      </w:r>
    </w:p>
    <w:p w14:paraId="2B54155C" w14:textId="77777777" w:rsidR="005A5FCC" w:rsidRDefault="00A21C81">
      <w:pPr>
        <w:ind w:firstLine="238"/>
      </w:pPr>
      <w:r>
        <w:rPr>
          <w:rFonts w:cs="EB Garamond"/>
          <w:kern w:val="16"/>
          <w14:ligatures w14:val="standardContextual"/>
        </w:rPr>
        <w:t>Para fins previdenciários, a questão central é: o que fornecido pelo empregador integra o salário de contribuição? A resposta depende da destinação da utilidade:</w:t>
      </w:r>
    </w:p>
    <w:p w14:paraId="53C4307B" w14:textId="77777777" w:rsidR="005A5FCC" w:rsidRDefault="00A21C81">
      <w:pPr>
        <w:ind w:firstLine="238"/>
      </w:pPr>
      <w:r>
        <w:rPr>
          <w:rFonts w:cs="EB Garamond"/>
          <w:kern w:val="16"/>
          <w14:ligatures w14:val="standardContextual"/>
        </w:rPr>
        <w:t xml:space="preserve">a) </w:t>
      </w:r>
      <w:r>
        <w:rPr>
          <w:rFonts w:cs="EB Garamond"/>
          <w:b/>
          <w:kern w:val="16"/>
          <w14:ligatures w14:val="standardContextual"/>
        </w:rPr>
        <w:t>Integra o SC (caráter retributivo):</w:t>
      </w:r>
      <w:r>
        <w:rPr>
          <w:rFonts w:cs="EB Garamond"/>
          <w:kern w:val="16"/>
          <w14:ligatures w14:val="standardContextual"/>
        </w:rPr>
        <w:t xml:space="preserve"> Moradia cedida pelo empregador sem vinculação à necessidade do serviço, veículo para uso pessoal, alimentação fora do PAT, vestuário não profissional.</w:t>
      </w:r>
    </w:p>
    <w:p w14:paraId="2884B228" w14:textId="77777777" w:rsidR="005A5FCC" w:rsidRDefault="00A21C81">
      <w:pPr>
        <w:ind w:firstLine="238"/>
      </w:pPr>
      <w:r>
        <w:rPr>
          <w:rFonts w:cs="EB Garamond"/>
          <w:kern w:val="16"/>
          <w14:ligatures w14:val="standardContextual"/>
        </w:rPr>
        <w:lastRenderedPageBreak/>
        <w:t xml:space="preserve">b) </w:t>
      </w:r>
      <w:r>
        <w:rPr>
          <w:rFonts w:cs="EB Garamond"/>
          <w:b/>
          <w:kern w:val="16"/>
          <w14:ligatures w14:val="standardContextual"/>
        </w:rPr>
        <w:t>Não integra o SC (caráter instrumental):</w:t>
      </w:r>
      <w:r>
        <w:rPr>
          <w:rFonts w:cs="EB Garamond"/>
          <w:kern w:val="16"/>
          <w14:ligatures w14:val="standardContextual"/>
        </w:rPr>
        <w:t xml:space="preserve"> Moradia fornecida por necessidade do serviço (zelador que mora no prédio, gerente de fazenda), veículo utilizado exclusivamente para o trabalho, equipamentos de proteção individual (EPIs), ferramentas de trabalho.</w:t>
      </w:r>
    </w:p>
    <w:p w14:paraId="05B36959" w14:textId="77777777" w:rsidR="005A5FCC" w:rsidRDefault="00A21C81">
      <w:pPr>
        <w:ind w:firstLine="238"/>
      </w:pPr>
      <w:r>
        <w:rPr>
          <w:rFonts w:cs="EB Garamond"/>
          <w:kern w:val="16"/>
          <w14:ligatures w14:val="standardContextual"/>
        </w:rPr>
        <w:t>A Lei 10.243/2001 alterou o § 2º do art. 458 da CLT, excluindo expressamente do salário: educação (matrícula, mensalidade, material didático), assistência médica, seguro de vida, previdência privada e vale-cultura. Essas exclusões aplicam-se tanto para fins trabalhistas quanto previdenciários.</w:t>
      </w:r>
    </w:p>
    <w:tbl>
      <w:tblPr>
        <w:tblW w:w="5000" w:type="pct"/>
        <w:jc w:val="center"/>
        <w:tblLayout w:type="fixed"/>
        <w:tblLook w:val="04A0" w:firstRow="1" w:lastRow="0" w:firstColumn="1" w:lastColumn="0" w:noHBand="0" w:noVBand="1"/>
      </w:tblPr>
      <w:tblGrid>
        <w:gridCol w:w="6311"/>
      </w:tblGrid>
      <w:tr w:rsidR="005A5FCC" w14:paraId="3EDCFA03"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4EDD3361"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1708E4FC" w14:textId="77777777" w:rsidR="005A5FCC" w:rsidRDefault="00A21C81">
            <w:pPr>
              <w:spacing w:after="60" w:line="247" w:lineRule="auto"/>
            </w:pPr>
            <w:r>
              <w:rPr>
                <w:rFonts w:cs="EB Garamond"/>
                <w:b/>
                <w:kern w:val="16"/>
                <w:sz w:val="19"/>
                <w14:ligatures w14:val="standardContextual"/>
              </w:rPr>
              <w:t>Impacto prático no JEF:</w:t>
            </w:r>
          </w:p>
          <w:p w14:paraId="4B455BBB" w14:textId="77777777" w:rsidR="005A5FCC" w:rsidRDefault="00A21C81">
            <w:pPr>
              <w:spacing w:after="60" w:line="247" w:lineRule="auto"/>
            </w:pPr>
            <w:r>
              <w:rPr>
                <w:rFonts w:cs="EB Garamond"/>
                <w:kern w:val="16"/>
                <w:sz w:val="19"/>
                <w14:ligatures w14:val="standardContextual"/>
              </w:rPr>
              <w:t>Nas ações de retificação de CNIS, a discussão sobre salário in natura pode surgir quando o segurado alega que recebia parcela não registrada no CNIS (moradia, alimentação) que deveria integrar o SC e, consequentemente, elevar o salário de benefício. O ônus da prova é do segurado, que deve demonstrar: (i) o fornecimento habitual da utilidade; (ii) o caráter retributivo (não instrumental); (iii) o valor mensal da utilidade. Comprovados esses elementos, o juiz determina a retificação do CNIS com inclusão da parcela in natura no salário de contribuição dos períodos correspondentes.</w:t>
            </w:r>
          </w:p>
        </w:tc>
      </w:tr>
    </w:tbl>
    <w:p w14:paraId="3E702034" w14:textId="77777777" w:rsidR="005A5FCC" w:rsidRDefault="005A5FCC">
      <w:pPr>
        <w:spacing w:after="80" w:line="240" w:lineRule="auto"/>
      </w:pPr>
    </w:p>
    <w:p w14:paraId="6E903FEF" w14:textId="77777777" w:rsidR="005A5FCC" w:rsidRDefault="00A21C81">
      <w:pPr>
        <w:spacing w:before="260" w:after="80" w:line="240" w:lineRule="auto"/>
        <w:jc w:val="left"/>
      </w:pPr>
      <w:r>
        <w:rPr>
          <w:rFonts w:cs="EB Garamond"/>
          <w:b/>
          <w:color w:val="3A3128"/>
          <w:kern w:val="16"/>
          <w:sz w:val="25"/>
          <w14:ligatures w14:val="standardContextual"/>
        </w:rPr>
        <w:t>4.12.10 Décimo terceiro salário e contribuição</w:t>
      </w:r>
    </w:p>
    <w:p w14:paraId="2EF193E2"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04C319D9" w14:textId="77777777" w:rsidR="005A5FCC" w:rsidRDefault="00A21C81">
      <w:r>
        <w:rPr>
          <w:rFonts w:cs="EB Garamond"/>
          <w:kern w:val="16"/>
          <w14:ligatures w14:val="standardContextual"/>
        </w:rPr>
        <w:t xml:space="preserve"> 13º salário integra o salário de contribuição, mas com peculiaridade: sua contribuição é calculada separadamente da remuneração mensal (art. 28, § 7º, Lei 8.212/91). Isso significa que o 13º tem incidência autônoma — não é somado ao salário do mês de pagamento para efeito de enquadramento nas faixas progressivas. A contribuição sobre o 13º é recolhida em dezembro (ou na rescisão, proporcionalmente), utilizando-se as faixas progressivas sobre o valor integral do 13º.</w:t>
      </w:r>
    </w:p>
    <w:p w14:paraId="4BC35E04" w14:textId="77777777" w:rsidR="005A5FCC" w:rsidRDefault="00A21C81">
      <w:pPr>
        <w:ind w:firstLine="238"/>
      </w:pPr>
      <w:r>
        <w:rPr>
          <w:rFonts w:cs="EB Garamond"/>
          <w:kern w:val="16"/>
          <w14:ligatures w14:val="standardContextual"/>
        </w:rPr>
        <w:t xml:space="preserve">A razão para a incidência separada é evitar distorções no enquadramento por faixas. Cabe destacar que o 13º salário gera contribuição previdenciária autônoma (art. 28, § 7º, Lei 8.212/91), mas NÃO gera competência adicional para </w:t>
      </w:r>
      <w:r>
        <w:rPr>
          <w:rFonts w:cs="EB Garamond"/>
          <w:kern w:val="16"/>
          <w14:ligatures w14:val="standardContextual"/>
        </w:rPr>
        <w:lastRenderedPageBreak/>
        <w:t>fins de cálculo do benefício. O art. 29, § 3º, da Lei 8.213/91 exclui o 13º do período básico de cálculo (PBC): os salários de contribuição referentes ao 13º não integram a média aritmética utilizada para apuração do salário de benefício. Assim, o 13º não eleva o número de "competências" nem aumenta a média do PBC.</w:t>
      </w:r>
    </w:p>
    <w:p w14:paraId="20FAA489"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4.13 Contribuições em atraso e indenização</w:t>
      </w:r>
    </w:p>
    <w:p w14:paraId="4A86D085" w14:textId="705CED40" w:rsidR="005A5FCC" w:rsidRDefault="00A21C81">
      <w:pPr>
        <w:spacing w:before="260" w:after="80" w:line="240" w:lineRule="auto"/>
        <w:jc w:val="left"/>
      </w:pPr>
      <w:r>
        <w:rPr>
          <w:rFonts w:cs="EB Garamond"/>
          <w:b/>
          <w:color w:val="3A3128"/>
          <w:kern w:val="16"/>
          <w:sz w:val="25"/>
          <w14:ligatures w14:val="standardContextual"/>
        </w:rPr>
        <w:t xml:space="preserve">4.13.1 Distinção fundamental: atraso com filiação vs. </w:t>
      </w:r>
      <w:r w:rsidR="00E35EC3">
        <w:rPr>
          <w:rFonts w:cs="EB Garamond"/>
          <w:b/>
          <w:color w:val="3A3128"/>
          <w:kern w:val="16"/>
          <w:sz w:val="25"/>
          <w14:ligatures w14:val="standardContextual"/>
        </w:rPr>
        <w:t>i</w:t>
      </w:r>
      <w:r>
        <w:rPr>
          <w:rFonts w:cs="EB Garamond"/>
          <w:b/>
          <w:color w:val="3A3128"/>
          <w:kern w:val="16"/>
          <w:sz w:val="25"/>
          <w14:ligatures w14:val="standardContextual"/>
        </w:rPr>
        <w:t>ndenização sem filiação</w:t>
      </w:r>
    </w:p>
    <w:p w14:paraId="30FA535C"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E</w:t>
      </w:r>
    </w:p>
    <w:p w14:paraId="0E5CD07C" w14:textId="77777777" w:rsidR="005A5FCC" w:rsidRDefault="00A21C81">
      <w:r>
        <w:rPr>
          <w:rFonts w:cs="EB Garamond"/>
          <w:kern w:val="16"/>
          <w14:ligatures w14:val="standardContextual"/>
        </w:rPr>
        <w:t>sta distinção é uma das mais litigadas nos JEFs em matéria previdenciária e frequentemente confundida por advogados menos experientes. São dois institutos juridicamente distintos:</w:t>
      </w:r>
    </w:p>
    <w:p w14:paraId="19B6D348" w14:textId="77777777" w:rsidR="005A5FCC" w:rsidRDefault="00A21C81">
      <w:pPr>
        <w:ind w:firstLine="238"/>
      </w:pPr>
      <w:r>
        <w:rPr>
          <w:rFonts w:cs="EB Garamond"/>
          <w:b/>
          <w:kern w:val="16"/>
          <w14:ligatures w14:val="standardContextual"/>
        </w:rPr>
        <w:t>a) Contribuição em atraso (CI com filiação anterior):</w:t>
      </w:r>
      <w:r>
        <w:rPr>
          <w:rFonts w:cs="EB Garamond"/>
          <w:kern w:val="16"/>
          <w14:ligatures w14:val="standardContextual"/>
        </w:rPr>
        <w:t xml:space="preserve"> O contribuinte individual que exerceu atividade remunerada, manteve filiação ao RGPS, mas não recolheu tempestivamente suas contribuições, pode recolhê-las em atraso. O recolhimento extemporâneo está previsto no art. 45-A da Lei 8.212/91 e regulamentado pelos arts. 62 a 66 da IN INSS/PRES 128/2022.</w:t>
      </w:r>
    </w:p>
    <w:p w14:paraId="15D42768" w14:textId="77777777" w:rsidR="005A5FCC" w:rsidRDefault="00A21C81">
      <w:pPr>
        <w:ind w:firstLine="238"/>
      </w:pPr>
      <w:r>
        <w:rPr>
          <w:rFonts w:cs="EB Garamond"/>
          <w:b/>
          <w:kern w:val="16"/>
          <w14:ligatures w14:val="standardContextual"/>
        </w:rPr>
        <w:t>b) Indenização (período anterior à filiação):</w:t>
      </w:r>
      <w:r>
        <w:rPr>
          <w:rFonts w:cs="EB Garamond"/>
          <w:kern w:val="16"/>
          <w14:ligatures w14:val="standardContextual"/>
        </w:rPr>
        <w:t xml:space="preserve"> Pessoa que exerceu atividade remunerada antes de inscrever-se como segurado, ou em período sem filiação reconhecida, e pretende computar esse tempo. Trata-se de verdadeira indenização, calculada na forma do art. 45-A.</w:t>
      </w:r>
    </w:p>
    <w:p w14:paraId="06F887BE" w14:textId="77777777" w:rsidR="005A5FCC" w:rsidRDefault="00A21C81">
      <w:pPr>
        <w:spacing w:before="260" w:after="80" w:line="240" w:lineRule="auto"/>
        <w:jc w:val="left"/>
      </w:pPr>
      <w:r>
        <w:rPr>
          <w:rFonts w:cs="EB Garamond"/>
          <w:b/>
          <w:color w:val="3A3128"/>
          <w:kern w:val="16"/>
          <w:sz w:val="25"/>
          <w14:ligatures w14:val="standardContextual"/>
        </w:rPr>
        <w:t>4.13.2 Requisitos para o recolhimento em atraso</w:t>
      </w:r>
    </w:p>
    <w:p w14:paraId="077C380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P</w:t>
      </w:r>
    </w:p>
    <w:p w14:paraId="437E1A44" w14:textId="77777777" w:rsidR="005A5FCC" w:rsidRDefault="00A21C81">
      <w:r>
        <w:rPr>
          <w:rFonts w:cs="EB Garamond"/>
          <w:kern w:val="16"/>
          <w14:ligatures w14:val="standardContextual"/>
        </w:rPr>
        <w:t>ara o CI que tinha filiação e deixou de recolher:</w:t>
      </w:r>
    </w:p>
    <w:p w14:paraId="57C2859B"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Comprovação da atividade no período (contratos, recibos, declaração IR, inscrição municipal)</w:t>
      </w:r>
    </w:p>
    <w:p w14:paraId="5C8C8285"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Cálculo do valor: média dos 80% maiores salários de contribuição (desde julho/1994) x alíquota de 20% x n.º de competências em atraso, com juros moratórios e multa</w:t>
      </w:r>
    </w:p>
    <w:p w14:paraId="157801C9" w14:textId="77777777" w:rsidR="005A5FCC" w:rsidRDefault="005A5FCC">
      <w:pPr>
        <w:spacing w:after="60" w:line="240" w:lineRule="auto"/>
      </w:pPr>
    </w:p>
    <w:p w14:paraId="37E92AD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P</w:t>
      </w:r>
    </w:p>
    <w:p w14:paraId="071DB4D5" w14:textId="77777777" w:rsidR="005A5FCC" w:rsidRDefault="00A21C81">
      <w:r>
        <w:rPr>
          <w:rFonts w:cs="EB Garamond"/>
          <w:kern w:val="16"/>
          <w14:ligatures w14:val="standardContextual"/>
        </w:rPr>
        <w:t>ara o período sem filiação anterior (indenização propriamente dita):</w:t>
      </w:r>
    </w:p>
    <w:p w14:paraId="19AEF55F"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Comprovação robusta da atividade (início de prova material)</w:t>
      </w:r>
    </w:p>
    <w:p w14:paraId="6807F482"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Cálculo: média aritmética simples dos 80% maiores salários de contribuição x alíquota de 20% x n.º de meses x juros legais (taxa SELIC)</w:t>
      </w:r>
    </w:p>
    <w:p w14:paraId="143C0582" w14:textId="77777777" w:rsidR="005A5FCC" w:rsidRDefault="005A5FCC">
      <w:pPr>
        <w:spacing w:after="60" w:line="240" w:lineRule="auto"/>
      </w:pPr>
    </w:p>
    <w:tbl>
      <w:tblPr>
        <w:tblW w:w="5000" w:type="pct"/>
        <w:jc w:val="center"/>
        <w:tblLayout w:type="fixed"/>
        <w:tblLook w:val="04A0" w:firstRow="1" w:lastRow="0" w:firstColumn="1" w:lastColumn="0" w:noHBand="0" w:noVBand="1"/>
      </w:tblPr>
      <w:tblGrid>
        <w:gridCol w:w="6311"/>
      </w:tblGrid>
      <w:tr w:rsidR="005A5FCC" w14:paraId="30A76837"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5DABFD61"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2A245213" w14:textId="77777777" w:rsidR="005A5FCC" w:rsidRDefault="00A21C81">
            <w:pPr>
              <w:spacing w:after="60" w:line="247" w:lineRule="auto"/>
            </w:pPr>
            <w:r>
              <w:rPr>
                <w:rFonts w:cs="EB Garamond"/>
                <w:b/>
                <w:kern w:val="16"/>
                <w:sz w:val="19"/>
                <w14:ligatures w14:val="standardContextual"/>
              </w:rPr>
              <w:t>Exemplo — CI que exerceu atividade de 2010 a 2015 sem recolher (com filiação):</w:t>
            </w:r>
          </w:p>
          <w:p w14:paraId="4E6D6297" w14:textId="77777777" w:rsidR="005A5FCC" w:rsidRDefault="00A21C81">
            <w:pPr>
              <w:spacing w:after="60" w:line="247" w:lineRule="auto"/>
            </w:pPr>
            <w:r>
              <w:rPr>
                <w:rFonts w:cs="EB Garamond"/>
                <w:kern w:val="16"/>
                <w:sz w:val="19"/>
                <w14:ligatures w14:val="standardContextual"/>
              </w:rPr>
              <w:t>Dados hipotéticos: - Período: jan/2010 a dez/2015 (72 meses) - Média dos 80% maiores SC (todo o período contributivo): R$ 2.500,00 - Cálculo base: R$ 2.500,00 x 20% = R$ 500,00/mês - Total base: 72 x R$ 500,00 = R$ 36.000,00 - Acréscimos: juros moratórios + multa (variável conforme data) - O INSS calcula via sistema (SAL — Sistema de Acréscimos Legais)</w:t>
            </w:r>
          </w:p>
          <w:p w14:paraId="556C23D4" w14:textId="77777777" w:rsidR="005A5FCC" w:rsidRDefault="00A21C81">
            <w:pPr>
              <w:spacing w:after="60" w:line="247" w:lineRule="auto"/>
            </w:pPr>
            <w:r>
              <w:rPr>
                <w:rFonts w:cs="EB Garamond"/>
                <w:b/>
                <w:kern w:val="16"/>
                <w:sz w:val="19"/>
                <w14:ligatures w14:val="standardContextual"/>
              </w:rPr>
              <w:t>O segurado pode parcelar?</w:t>
            </w:r>
            <w:r>
              <w:rPr>
                <w:rFonts w:cs="EB Garamond"/>
                <w:kern w:val="16"/>
                <w:sz w:val="19"/>
                <w14:ligatures w14:val="standardContextual"/>
              </w:rPr>
              <w:t xml:space="preserve"> Não. A indenização deve ser paga integralmente antes da concessão do benefício. Admite-se pagamento parcial (recolher apenas os meses necessários para atingir carência ou tempo mínimo).</w:t>
            </w:r>
          </w:p>
        </w:tc>
      </w:tr>
    </w:tbl>
    <w:p w14:paraId="2155C48C" w14:textId="77777777" w:rsidR="005A5FCC" w:rsidRDefault="005A5FCC">
      <w:pPr>
        <w:spacing w:after="80" w:line="240" w:lineRule="auto"/>
      </w:pPr>
    </w:p>
    <w:p w14:paraId="7261FC08" w14:textId="77777777" w:rsidR="005A5FCC" w:rsidRDefault="00A21C81">
      <w:pPr>
        <w:spacing w:before="260" w:after="80" w:line="240" w:lineRule="auto"/>
        <w:jc w:val="left"/>
      </w:pPr>
      <w:r>
        <w:rPr>
          <w:rFonts w:cs="EB Garamond"/>
          <w:b/>
          <w:color w:val="3A3128"/>
          <w:kern w:val="16"/>
          <w:sz w:val="25"/>
          <w14:ligatures w14:val="standardContextual"/>
        </w:rPr>
        <w:t>4.13.3 A controvérsia: contribuição em atraso conta para carência?</w:t>
      </w:r>
    </w:p>
    <w:p w14:paraId="340EC28E"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E</w:t>
      </w:r>
    </w:p>
    <w:p w14:paraId="354AA0F8" w14:textId="77777777" w:rsidR="005A5FCC" w:rsidRDefault="00A21C81">
      <w:r>
        <w:rPr>
          <w:rFonts w:cs="EB Garamond"/>
          <w:kern w:val="16"/>
          <w14:ligatures w14:val="standardContextual"/>
        </w:rPr>
        <w:t>ste é o ponto nevrálgico. A carência, definida no art. 24 da Lei 8.213/91, consiste no "número mínimo de contribuições mensais indispensáveis para que o beneficiário faça jus ao benefício". A questão é: contribuições recolhidas em atraso ou pagas a título de indenização integram esse "número mínimo"?</w:t>
      </w:r>
    </w:p>
    <w:tbl>
      <w:tblPr>
        <w:tblW w:w="5000" w:type="pct"/>
        <w:jc w:val="center"/>
        <w:tblLayout w:type="fixed"/>
        <w:tblLook w:val="04A0" w:firstRow="1" w:lastRow="0" w:firstColumn="1" w:lastColumn="0" w:noHBand="0" w:noVBand="1"/>
      </w:tblPr>
      <w:tblGrid>
        <w:gridCol w:w="6311"/>
      </w:tblGrid>
      <w:tr w:rsidR="005A5FCC" w14:paraId="1D0D8CA9"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0B0E2CB4" w14:textId="77777777" w:rsidR="005A5FCC" w:rsidRDefault="00A21C81">
            <w:pPr>
              <w:spacing w:after="60" w:line="240" w:lineRule="auto"/>
              <w:jc w:val="left"/>
            </w:pPr>
            <w:r>
              <w:rPr>
                <w:rFonts w:ascii="Noto Sans" w:hAnsi="Noto Sans" w:cs="Noto Sans"/>
                <w:b/>
                <w:caps/>
                <w:color w:val="4D6F8A"/>
                <w:kern w:val="16"/>
                <w:sz w:val="16"/>
                <w14:ligatures w14:val="standardContextual"/>
              </w:rPr>
              <w:lastRenderedPageBreak/>
              <w:t>JURISPRUDÊNCIA EM DESTAQUE</w:t>
            </w:r>
          </w:p>
          <w:p w14:paraId="39D5AA5E" w14:textId="77777777" w:rsidR="005A5FCC" w:rsidRDefault="00A21C81">
            <w:pPr>
              <w:spacing w:after="60" w:line="247" w:lineRule="auto"/>
            </w:pPr>
            <w:r>
              <w:rPr>
                <w:rFonts w:cs="EB Garamond"/>
                <w:b/>
                <w:kern w:val="16"/>
                <w:sz w:val="19"/>
                <w14:ligatures w14:val="standardContextual"/>
              </w:rPr>
              <w:t>STJ — Tema 1.103 (REsp 1.914.019/SC, Rel. Min. Og Fernandes, 1ª Seção, j. 11/05/2022)</w:t>
            </w:r>
          </w:p>
          <w:p w14:paraId="54F59BBC" w14:textId="77777777" w:rsidR="005A5FCC" w:rsidRDefault="00A21C81">
            <w:pPr>
              <w:spacing w:after="60" w:line="247" w:lineRule="auto"/>
            </w:pPr>
            <w:r>
              <w:rPr>
                <w:rFonts w:cs="EB Garamond"/>
                <w:b/>
                <w:kern w:val="16"/>
                <w:sz w:val="19"/>
                <w14:ligatures w14:val="standardContextual"/>
              </w:rPr>
              <w:t>Tese fixada:</w:t>
            </w:r>
            <w:r>
              <w:rPr>
                <w:rFonts w:cs="EB Garamond"/>
                <w:kern w:val="16"/>
                <w:sz w:val="19"/>
                <w14:ligatures w14:val="standardContextual"/>
              </w:rPr>
              <w:t xml:space="preserve"> "As contribuições previdenciárias não recolhidas no momento oportuno sofrerão o acréscimo de multa e de juros apenas quando o período a ser indenizado for posterior à edição da Medida Provisória n. 1.523/1996 (convertida na Lei n. 9.528/1997)."</w:t>
            </w:r>
          </w:p>
          <w:p w14:paraId="6D644EFD" w14:textId="77777777" w:rsidR="005A5FCC" w:rsidRDefault="00A21C81">
            <w:pPr>
              <w:spacing w:after="60" w:line="247" w:lineRule="auto"/>
            </w:pPr>
            <w:r>
              <w:rPr>
                <w:rFonts w:cs="EB Garamond"/>
                <w:b/>
                <w:kern w:val="16"/>
                <w:sz w:val="19"/>
                <w14:ligatures w14:val="standardContextual"/>
              </w:rPr>
              <w:t>Fundamento:</w:t>
            </w:r>
            <w:r>
              <w:rPr>
                <w:rFonts w:cs="EB Garamond"/>
                <w:kern w:val="16"/>
                <w:sz w:val="19"/>
                <w14:ligatures w14:val="standardContextual"/>
              </w:rPr>
              <w:t xml:space="preserve"> A incidência de juros e multa sobre a indenização exige previsão legal expressa, e a norma que disciplinou tais acréscimos somente surgiu com a MP 1.523/96 (11/10/1996). Para períodos de atividade anteriores a essa data, o segurado pode indenizar pagando apenas o valor principal, sem multa nem juros moratórios.</w:t>
            </w:r>
          </w:p>
          <w:p w14:paraId="3C373BFE" w14:textId="77777777" w:rsidR="005A5FCC" w:rsidRDefault="00A21C81">
            <w:pPr>
              <w:spacing w:after="60" w:line="247" w:lineRule="auto"/>
            </w:pPr>
            <w:r>
              <w:rPr>
                <w:rFonts w:cs="EB Garamond"/>
                <w:b/>
                <w:kern w:val="16"/>
                <w:sz w:val="19"/>
                <w14:ligatures w14:val="standardContextual"/>
              </w:rPr>
              <w:t>Impacto prático no JEF:</w:t>
            </w:r>
            <w:r>
              <w:rPr>
                <w:rFonts w:cs="EB Garamond"/>
                <w:kern w:val="16"/>
                <w:sz w:val="19"/>
                <w14:ligatures w14:val="standardContextual"/>
              </w:rPr>
              <w:t xml:space="preserve"> Para segurados que exerceram atividade na informalidade nas décadas de 1970 a 1996, a indenização fica significativamente mais barata. Um período de 10 anos (1986-1996) que poderia custar R$ 60.000 com juros/multa pode ser regularizado por cerca de R$ 35.000 (apenas o valor base). Essa diferença frequentemente viabiliza economicamente o recolhimento.</w:t>
            </w:r>
          </w:p>
          <w:p w14:paraId="2E055152" w14:textId="77777777" w:rsidR="005A5FCC" w:rsidRDefault="00A21C81">
            <w:pPr>
              <w:spacing w:after="60" w:line="247" w:lineRule="auto"/>
            </w:pPr>
            <w:r>
              <w:rPr>
                <w:rFonts w:cs="EB Garamond"/>
                <w:b/>
                <w:kern w:val="16"/>
                <w:sz w:val="19"/>
                <w14:ligatures w14:val="standardContextual"/>
              </w:rPr>
              <w:t>Observação:</w:t>
            </w:r>
            <w:r>
              <w:rPr>
                <w:rFonts w:cs="EB Garamond"/>
                <w:kern w:val="16"/>
                <w:sz w:val="19"/>
                <w14:ligatures w14:val="standardContextual"/>
              </w:rPr>
              <w:t xml:space="preserve"> O Tema 1.103 NÃO trata da controvérsia sobre cômputo de contribuições em atraso para fins de carência (questão distinta, ainda debatida nas Turmas Recursais). A tese fixa apenas os limites temporais dos acréscimos moratórios.</w:t>
            </w:r>
          </w:p>
        </w:tc>
      </w:tr>
    </w:tbl>
    <w:p w14:paraId="2BD9E904" w14:textId="77777777" w:rsidR="005A5FCC" w:rsidRDefault="005A5FCC">
      <w:pPr>
        <w:spacing w:after="80" w:line="240" w:lineRule="auto"/>
      </w:pPr>
    </w:p>
    <w:tbl>
      <w:tblPr>
        <w:tblW w:w="5000" w:type="pct"/>
        <w:jc w:val="center"/>
        <w:tblLayout w:type="fixed"/>
        <w:tblLook w:val="04A0" w:firstRow="1" w:lastRow="0" w:firstColumn="1" w:lastColumn="0" w:noHBand="0" w:noVBand="1"/>
      </w:tblPr>
      <w:tblGrid>
        <w:gridCol w:w="6311"/>
      </w:tblGrid>
      <w:tr w:rsidR="005A5FCC" w14:paraId="6A633C03"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61CD0C14" w14:textId="77777777" w:rsidR="005A5FCC" w:rsidRDefault="00A21C81">
            <w:pPr>
              <w:spacing w:after="60" w:line="240" w:lineRule="auto"/>
              <w:jc w:val="left"/>
            </w:pPr>
            <w:r>
              <w:rPr>
                <w:rFonts w:ascii="Noto Sans" w:hAnsi="Noto Sans" w:cs="Noto Sans"/>
                <w:b/>
                <w:caps/>
                <w:color w:val="B78B37"/>
                <w:kern w:val="16"/>
                <w:sz w:val="16"/>
                <w14:ligatures w14:val="standardContextual"/>
              </w:rPr>
              <w:lastRenderedPageBreak/>
              <w:t>ATENÇÃO</w:t>
            </w:r>
          </w:p>
          <w:p w14:paraId="12553C00" w14:textId="77777777" w:rsidR="005A5FCC" w:rsidRDefault="00A21C81">
            <w:pPr>
              <w:spacing w:after="60" w:line="247" w:lineRule="auto"/>
            </w:pPr>
            <w:r>
              <w:rPr>
                <w:rFonts w:cs="EB Garamond"/>
                <w:b/>
                <w:kern w:val="16"/>
                <w:sz w:val="19"/>
                <w14:ligatures w14:val="standardContextual"/>
              </w:rPr>
              <w:t>Controvérsia não resolvida — contribuição em atraso e carência:</w:t>
            </w:r>
          </w:p>
          <w:p w14:paraId="6AEB9295" w14:textId="77777777" w:rsidR="005A5FCC" w:rsidRDefault="00A21C81">
            <w:pPr>
              <w:spacing w:after="60" w:line="247" w:lineRule="auto"/>
            </w:pPr>
            <w:r>
              <w:rPr>
                <w:rFonts w:cs="EB Garamond"/>
                <w:kern w:val="16"/>
                <w:sz w:val="19"/>
                <w14:ligatures w14:val="standardContextual"/>
              </w:rPr>
              <w:t>A questão de fundo permanece aberta: contribuições recolhidas em atraso (indenizadas) contam para fins de carência? A posição majoritária nas Turmas Recursais e na TNU é negativa: o recolhimento extemporâneo computa tempo de contribuição, mas não satisfaz a carência, que pressupõe contribuições efetivamente vertidas mês a mês. Há, contudo, decisões isoladas admitindo o cômputo para carência quando a filiação estava ativa e o segurado apenas não formalizou o recolhimento. Entendemos que a distinção correta é entre o CI que mantinha filiação ativa (caso em que a contribuição em atraso deveria contar para carência, pois a filiação já existia) e o período sem filiação anterior (indenização pura, que gera apenas tempo). Até que o STJ fixe tese específica, contudo, o advogado prudente não deve planejar a aposentadoria do cliente contando exclusivamente com contribuições em atraso para atingir a carência mínima.</w:t>
            </w:r>
          </w:p>
        </w:tc>
      </w:tr>
    </w:tbl>
    <w:p w14:paraId="7C022FDB" w14:textId="77777777" w:rsidR="005A5FCC" w:rsidRDefault="005A5FCC">
      <w:pPr>
        <w:spacing w:after="80" w:line="240" w:lineRule="auto"/>
      </w:pPr>
    </w:p>
    <w:p w14:paraId="7AF2CC8E" w14:textId="77777777" w:rsidR="005A5FCC" w:rsidRDefault="00A21C81">
      <w:pPr>
        <w:spacing w:before="260" w:after="80" w:line="240" w:lineRule="auto"/>
        <w:jc w:val="left"/>
      </w:pPr>
      <w:r>
        <w:rPr>
          <w:rFonts w:cs="EB Garamond"/>
          <w:b/>
          <w:color w:val="3A3128"/>
          <w:kern w:val="16"/>
          <w:sz w:val="25"/>
          <w14:ligatures w14:val="standardContextual"/>
        </w:rPr>
        <w:t>4.13.4 Contribuição em atraso do segurado especial</w:t>
      </w:r>
    </w:p>
    <w:p w14:paraId="4F9E6849"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0B138660" w14:textId="77777777" w:rsidR="005A5FCC" w:rsidRDefault="00A21C81">
      <w:r>
        <w:rPr>
          <w:rFonts w:cs="EB Garamond"/>
          <w:kern w:val="16"/>
          <w14:ligatures w14:val="standardContextual"/>
        </w:rPr>
        <w:t xml:space="preserve"> segurado especial (agricultor familiar) tem regime diferenciado. Conforme o art. 39, I, da Lei 8.213/91, pode obter aposentadoria por idade rural sem contribuição formal, desde que comprove atividade rural pelo período de carência. Para fins de aposentadoria por TC, entretanto, o segurado especial que queira computar período posterior a novembro/1991 como tempo de contribuição (e não como carência rural) deve recolher facultativamente ou indenizar nos termos do art. 45-A.</w:t>
      </w:r>
    </w:p>
    <w:p w14:paraId="0716B9CA" w14:textId="77777777" w:rsidR="005A5FCC" w:rsidRDefault="00A21C81">
      <w:pPr>
        <w:ind w:firstLine="238"/>
      </w:pPr>
      <w:r>
        <w:rPr>
          <w:rFonts w:cs="EB Garamond"/>
          <w:kern w:val="16"/>
          <w14:ligatures w14:val="standardContextual"/>
        </w:rPr>
        <w:t>A Súmula 74 da TNU estabelece que o período de atividade rural posterior a novembro/1991, devidamente comprovado, pode ser computado como tempo de contribuição independentemente do recolhimento. Esta súmula aplica-se ao cômputo de tempo, não de carência para benefícios programados (exceto aposentadoria por idade rural).</w:t>
      </w:r>
    </w:p>
    <w:p w14:paraId="0DE2349B" w14:textId="77777777" w:rsidR="005A5FCC" w:rsidRDefault="00A21C81">
      <w:pPr>
        <w:spacing w:before="260" w:after="80" w:line="240" w:lineRule="auto"/>
        <w:jc w:val="left"/>
      </w:pPr>
      <w:r>
        <w:rPr>
          <w:rFonts w:cs="EB Garamond"/>
          <w:b/>
          <w:color w:val="3A3128"/>
          <w:kern w:val="16"/>
          <w:sz w:val="25"/>
          <w14:ligatures w14:val="standardContextual"/>
        </w:rPr>
        <w:t>4.13.5 Aspectos processuais nos JEFs</w:t>
      </w:r>
    </w:p>
    <w:p w14:paraId="3A08D6F4"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N</w:t>
      </w:r>
    </w:p>
    <w:p w14:paraId="002B34C6" w14:textId="77777777" w:rsidR="005A5FCC" w:rsidRDefault="00A21C81">
      <w:r>
        <w:rPr>
          <w:rFonts w:cs="EB Garamond"/>
          <w:kern w:val="16"/>
          <w14:ligatures w14:val="standardContextual"/>
        </w:rPr>
        <w:t>as ações previdenciárias perante os JEFs, a questão do recolhimento em atraso geralmente surge em dois contextos:</w:t>
      </w:r>
    </w:p>
    <w:p w14:paraId="14943326" w14:textId="77777777" w:rsidR="005A5FCC" w:rsidRDefault="00A21C81">
      <w:pPr>
        <w:ind w:firstLine="238"/>
      </w:pPr>
      <w:r>
        <w:rPr>
          <w:rFonts w:cs="EB Garamond"/>
          <w:kern w:val="16"/>
          <w14:ligatures w14:val="standardContextual"/>
        </w:rPr>
        <w:t xml:space="preserve">a) </w:t>
      </w:r>
      <w:r>
        <w:rPr>
          <w:rFonts w:cs="EB Garamond"/>
          <w:b/>
          <w:kern w:val="16"/>
          <w14:ligatures w14:val="standardContextual"/>
        </w:rPr>
        <w:t>Pedido de cômputo de tempo:</w:t>
      </w:r>
      <w:r>
        <w:rPr>
          <w:rFonts w:cs="EB Garamond"/>
          <w:kern w:val="16"/>
          <w14:ligatures w14:val="standardContextual"/>
        </w:rPr>
        <w:t xml:space="preserve"> O segurado comprova atividade de CI, o INSS reconhece a atividade, mas exige a indenização do art. 45-A como condição para cômputo. O juiz pode determinar o cômputo condicionado ao pagamento da indenização, fixando prazo para recolhimento.</w:t>
      </w:r>
    </w:p>
    <w:p w14:paraId="147AFA85" w14:textId="77777777" w:rsidR="005A5FCC" w:rsidRDefault="00A21C81">
      <w:pPr>
        <w:ind w:firstLine="238"/>
      </w:pPr>
      <w:r>
        <w:rPr>
          <w:rFonts w:cs="EB Garamond"/>
          <w:kern w:val="16"/>
          <w14:ligatures w14:val="standardContextual"/>
        </w:rPr>
        <w:t xml:space="preserve">b) </w:t>
      </w:r>
      <w:r>
        <w:rPr>
          <w:rFonts w:cs="EB Garamond"/>
          <w:b/>
          <w:kern w:val="16"/>
          <w14:ligatures w14:val="standardContextual"/>
        </w:rPr>
        <w:t>Reafirmação da DER com contribuições em atraso:</w:t>
      </w:r>
      <w:r>
        <w:rPr>
          <w:rFonts w:cs="EB Garamond"/>
          <w:kern w:val="16"/>
          <w14:ligatures w14:val="standardContextual"/>
        </w:rPr>
        <w:t xml:space="preserve"> O segurado ajuíza ação e, durante o processo, recolhe contribuições em atraso para completar o tempo necessário. O STJ (Tema 995) admite a reafirmação da DER, mas o cômputo de contribuições recolhidas após o ajuizamento para fins de carência permanece controverso nas Turmas Recursais. Já os acréscimos moratórios da indenização seguem a tese do Tema 1.103/STJ (sem juros/multa para períodos anteriores a outubro/1996).</w:t>
      </w:r>
    </w:p>
    <w:p w14:paraId="4CE98DA0"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4.14 Complementação de contribuições</w:t>
      </w:r>
    </w:p>
    <w:p w14:paraId="36EAFFD5" w14:textId="77777777" w:rsidR="005A5FCC" w:rsidRDefault="00A21C81">
      <w:pPr>
        <w:spacing w:before="260" w:after="80" w:line="240" w:lineRule="auto"/>
        <w:jc w:val="left"/>
      </w:pPr>
      <w:r>
        <w:rPr>
          <w:rFonts w:cs="EB Garamond"/>
          <w:b/>
          <w:color w:val="3A3128"/>
          <w:kern w:val="16"/>
          <w:sz w:val="25"/>
          <w14:ligatures w14:val="standardContextual"/>
        </w:rPr>
        <w:t>4.14.1 Conceito e finalidade</w:t>
      </w:r>
    </w:p>
    <w:p w14:paraId="70657015"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7E89D06F" w14:textId="77777777" w:rsidR="005A5FCC" w:rsidRDefault="00A21C81">
      <w:r>
        <w:rPr>
          <w:rFonts w:cs="EB Garamond"/>
          <w:kern w:val="16"/>
          <w14:ligatures w14:val="standardContextual"/>
        </w:rPr>
        <w:t xml:space="preserve"> complementação distingue-se do recolhimento em atraso: como ensina Porto (2024, p. 312), não se trata de contribuição não recolhida, mas de adição de valor a uma contribuição já efetivada em alíquota reduzida. O segurado que optou pelo plano simplificado (11%) ou pelo DAS-MEI (5%) pagou sua contribuição em dia e está adimplente perante o INSS. Ocorre que essa contribuição, pela alíquota reduzida, não dá direito à aposentadoria por tempo de contribuição.</w:t>
      </w:r>
    </w:p>
    <w:p w14:paraId="080E2771" w14:textId="77777777" w:rsidR="005A5FCC" w:rsidRDefault="00A21C81">
      <w:pPr>
        <w:ind w:firstLine="238"/>
      </w:pPr>
      <w:r>
        <w:rPr>
          <w:rFonts w:cs="EB Garamond"/>
          <w:kern w:val="16"/>
          <w14:ligatures w14:val="standardContextual"/>
        </w:rPr>
        <w:t>Se o segurado, posteriormente, desejar que aquele período conte para TC, poderá complementar a diferença até atingir os 20% sobre o salário mínimo. A previsão legal está no art. 21, § 3º, da Lei 8.212/91.</w:t>
      </w:r>
    </w:p>
    <w:p w14:paraId="220BC9EF" w14:textId="77777777" w:rsidR="005A5FCC" w:rsidRDefault="00A21C81">
      <w:pPr>
        <w:spacing w:before="260" w:after="80" w:line="240" w:lineRule="auto"/>
        <w:jc w:val="left"/>
      </w:pPr>
      <w:r>
        <w:rPr>
          <w:rFonts w:cs="EB Garamond"/>
          <w:b/>
          <w:color w:val="3A3128"/>
          <w:kern w:val="16"/>
          <w:sz w:val="25"/>
          <w14:ligatures w14:val="standardContextual"/>
        </w:rPr>
        <w:t>4.14.2 Procedimento de complementação</w:t>
      </w:r>
    </w:p>
    <w:p w14:paraId="394E8BEC"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A</w:t>
      </w:r>
    </w:p>
    <w:p w14:paraId="155ABC1F" w14:textId="77777777" w:rsidR="005A5FCC" w:rsidRDefault="00A21C81">
      <w:r>
        <w:rPr>
          <w:rFonts w:cs="EB Garamond"/>
          <w:kern w:val="16"/>
          <w14:ligatures w14:val="standardContextual"/>
        </w:rPr>
        <w:t xml:space="preserve"> complementação é feita mediante GPS com código específico:</w:t>
      </w:r>
    </w:p>
    <w:p w14:paraId="54EFAD81"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Código 1295:</w:t>
      </w:r>
      <w:r>
        <w:rPr>
          <w:rFonts w:cs="EB Garamond"/>
          <w:kern w:val="16"/>
          <w:sz w:val="20"/>
          <w14:ligatures w14:val="standardContextual"/>
        </w:rPr>
        <w:t xml:space="preserve"> Complementação CI (de 11% para 20%)</w:t>
      </w:r>
    </w:p>
    <w:p w14:paraId="09E00934"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Código 1686:</w:t>
      </w:r>
      <w:r>
        <w:rPr>
          <w:rFonts w:cs="EB Garamond"/>
          <w:kern w:val="16"/>
          <w:sz w:val="20"/>
          <w14:ligatures w14:val="standardContextual"/>
        </w:rPr>
        <w:t xml:space="preserve"> Complementação Facultativo (de 11% para 20%)</w:t>
      </w:r>
    </w:p>
    <w:p w14:paraId="72CDD379"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Código 1910:</w:t>
      </w:r>
      <w:r>
        <w:rPr>
          <w:rFonts w:cs="EB Garamond"/>
          <w:kern w:val="16"/>
          <w:sz w:val="20"/>
          <w14:ligatures w14:val="standardContextual"/>
        </w:rPr>
        <w:t xml:space="preserve"> Complementação MEI (de 5% para 20%)</w:t>
      </w:r>
    </w:p>
    <w:p w14:paraId="5D36C304" w14:textId="77777777" w:rsidR="005A5FCC" w:rsidRDefault="005A5FCC">
      <w:pPr>
        <w:spacing w:after="60" w:line="240" w:lineRule="auto"/>
      </w:pPr>
    </w:p>
    <w:tbl>
      <w:tblPr>
        <w:tblW w:w="5000" w:type="pct"/>
        <w:jc w:val="center"/>
        <w:tblLayout w:type="fixed"/>
        <w:tblLook w:val="04A0" w:firstRow="1" w:lastRow="0" w:firstColumn="1" w:lastColumn="0" w:noHBand="0" w:noVBand="1"/>
      </w:tblPr>
      <w:tblGrid>
        <w:gridCol w:w="6311"/>
      </w:tblGrid>
      <w:tr w:rsidR="005A5FCC" w14:paraId="6DD4C15D"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18E44640"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0867B7E8" w14:textId="77777777" w:rsidR="005A5FCC" w:rsidRDefault="00A21C81">
            <w:pPr>
              <w:spacing w:after="60" w:line="247" w:lineRule="auto"/>
            </w:pPr>
            <w:r>
              <w:rPr>
                <w:rFonts w:cs="EB Garamond"/>
                <w:b/>
                <w:kern w:val="16"/>
                <w:sz w:val="19"/>
                <w14:ligatures w14:val="standardContextual"/>
              </w:rPr>
              <w:t>Passo a passo — Complementação MEI para Tempo de Contribuição:</w:t>
            </w:r>
          </w:p>
          <w:p w14:paraId="0E06EAAB" w14:textId="77777777" w:rsidR="005A5FCC" w:rsidRDefault="00A21C81">
            <w:pPr>
              <w:spacing w:after="30" w:line="240" w:lineRule="auto"/>
              <w:ind w:left="227" w:hanging="142"/>
            </w:pPr>
            <w:r>
              <w:rPr>
                <w:rFonts w:cs="EB Garamond"/>
                <w:kern w:val="16"/>
                <w:sz w:val="19"/>
                <w14:ligatures w14:val="standardContextual"/>
              </w:rPr>
              <w:t>1. Identificar as competências que deseja complementar</w:t>
            </w:r>
          </w:p>
          <w:p w14:paraId="3A655C1E" w14:textId="77777777" w:rsidR="005A5FCC" w:rsidRDefault="00A21C81">
            <w:pPr>
              <w:spacing w:after="30" w:line="240" w:lineRule="auto"/>
              <w:ind w:left="227" w:hanging="142"/>
            </w:pPr>
            <w:r>
              <w:rPr>
                <w:rFonts w:cs="EB Garamond"/>
                <w:kern w:val="16"/>
                <w:sz w:val="19"/>
                <w14:ligatures w14:val="standardContextual"/>
              </w:rPr>
              <w:t>2. Verificar o SM vigente em cada competência</w:t>
            </w:r>
          </w:p>
          <w:p w14:paraId="5D8BB500" w14:textId="77777777" w:rsidR="005A5FCC" w:rsidRDefault="00A21C81">
            <w:pPr>
              <w:spacing w:after="30" w:line="240" w:lineRule="auto"/>
              <w:ind w:left="227" w:hanging="142"/>
            </w:pPr>
            <w:r>
              <w:rPr>
                <w:rFonts w:cs="EB Garamond"/>
                <w:kern w:val="16"/>
                <w:sz w:val="19"/>
                <w14:ligatures w14:val="standardContextual"/>
              </w:rPr>
              <w:t>3. Calcular: 15% x SM da competência = valor da complementação por mês</w:t>
            </w:r>
          </w:p>
          <w:p w14:paraId="53ABB37D" w14:textId="77777777" w:rsidR="005A5FCC" w:rsidRDefault="00A21C81">
            <w:pPr>
              <w:spacing w:after="30" w:line="240" w:lineRule="auto"/>
              <w:ind w:left="227" w:hanging="142"/>
            </w:pPr>
            <w:r>
              <w:rPr>
                <w:rFonts w:cs="EB Garamond"/>
                <w:kern w:val="16"/>
                <w:sz w:val="19"/>
                <w14:ligatures w14:val="standardContextual"/>
              </w:rPr>
              <w:t>4. Gerar GPS (código 1910) para cada competência ou em lote</w:t>
            </w:r>
          </w:p>
          <w:p w14:paraId="7D11B13A" w14:textId="77777777" w:rsidR="005A5FCC" w:rsidRDefault="00A21C81">
            <w:pPr>
              <w:spacing w:after="30" w:line="240" w:lineRule="auto"/>
              <w:ind w:left="227" w:hanging="142"/>
            </w:pPr>
            <w:r>
              <w:rPr>
                <w:rFonts w:cs="EB Garamond"/>
                <w:kern w:val="16"/>
                <w:sz w:val="19"/>
                <w14:ligatures w14:val="standardContextual"/>
              </w:rPr>
              <w:t>5. Pagar antes do requerimento administrativo do benefício</w:t>
            </w:r>
          </w:p>
          <w:p w14:paraId="2AC8F0B6" w14:textId="77777777" w:rsidR="005A5FCC" w:rsidRDefault="00A21C81">
            <w:pPr>
              <w:spacing w:after="60" w:line="247" w:lineRule="auto"/>
            </w:pPr>
            <w:r>
              <w:rPr>
                <w:rFonts w:cs="EB Garamond"/>
                <w:b/>
                <w:kern w:val="16"/>
                <w:sz w:val="19"/>
                <w14:ligatures w14:val="standardContextual"/>
              </w:rPr>
              <w:t>Exemplo:</w:t>
            </w:r>
            <w:r>
              <w:rPr>
                <w:rFonts w:cs="EB Garamond"/>
                <w:kern w:val="16"/>
                <w:sz w:val="19"/>
                <w14:ligatures w14:val="standardContextual"/>
              </w:rPr>
              <w:t xml:space="preserve"> MEI deseja complementar jan/2020 a dez/2022 (36 meses): - 2020 (SM R$ 1.045,00): 15% x R$ 1.045,00 = R$ 156,75/mês x 12 = R$ 1.881,00 - 2021 (SM R$ 1.100,00): 15% x R$ 1.100,00 = R$ 165,00/mês x 12 = R$ 1.980,00 - 2022 (SM R$ 1.212,00): 15% x R$ 1.212,00 = R$ 181,80/mês x 12 = R$ 2.181,60 - </w:t>
            </w:r>
            <w:r>
              <w:rPr>
                <w:rFonts w:cs="EB Garamond"/>
                <w:b/>
                <w:kern w:val="16"/>
                <w:sz w:val="19"/>
                <w14:ligatures w14:val="standardContextual"/>
              </w:rPr>
              <w:t>Total da complementação:</w:t>
            </w:r>
            <w:r>
              <w:rPr>
                <w:rFonts w:cs="EB Garamond"/>
                <w:kern w:val="16"/>
                <w:sz w:val="19"/>
                <w14:ligatures w14:val="standardContextual"/>
              </w:rPr>
              <w:t xml:space="preserve"> R$ 6.042,60 (sem juros/multa — é complementação, não atraso)</w:t>
            </w:r>
          </w:p>
          <w:p w14:paraId="79C74CA8" w14:textId="77777777" w:rsidR="005A5FCC" w:rsidRDefault="00A21C81">
            <w:pPr>
              <w:spacing w:after="60" w:line="247" w:lineRule="auto"/>
            </w:pPr>
            <w:r>
              <w:rPr>
                <w:rFonts w:cs="EB Garamond"/>
                <w:b/>
                <w:kern w:val="16"/>
                <w:sz w:val="19"/>
                <w14:ligatures w14:val="standardContextual"/>
              </w:rPr>
              <w:t>Resultado:</w:t>
            </w:r>
            <w:r>
              <w:rPr>
                <w:rFonts w:cs="EB Garamond"/>
                <w:kern w:val="16"/>
                <w:sz w:val="19"/>
                <w14:ligatures w14:val="standardContextual"/>
              </w:rPr>
              <w:t xml:space="preserve"> 36 meses passam a contar como tempo de contribuição efetivo.</w:t>
            </w:r>
          </w:p>
        </w:tc>
      </w:tr>
    </w:tbl>
    <w:p w14:paraId="160B0233" w14:textId="77777777" w:rsidR="005A5FCC" w:rsidRDefault="005A5FCC">
      <w:pPr>
        <w:spacing w:after="80" w:line="240" w:lineRule="auto"/>
      </w:pPr>
    </w:p>
    <w:p w14:paraId="3F602A48" w14:textId="77777777" w:rsidR="005A5FCC" w:rsidRDefault="00A21C81">
      <w:pPr>
        <w:spacing w:before="260" w:after="80" w:line="240" w:lineRule="auto"/>
        <w:jc w:val="left"/>
      </w:pPr>
      <w:r>
        <w:rPr>
          <w:rFonts w:cs="EB Garamond"/>
          <w:b/>
          <w:color w:val="3A3128"/>
          <w:kern w:val="16"/>
          <w:sz w:val="25"/>
          <w14:ligatures w14:val="standardContextual"/>
        </w:rPr>
        <w:t>4.14.3 Efeitos retroativos da complementação</w:t>
      </w:r>
    </w:p>
    <w:tbl>
      <w:tblPr>
        <w:tblW w:w="5000" w:type="pct"/>
        <w:jc w:val="center"/>
        <w:tblLayout w:type="fixed"/>
        <w:tblLook w:val="04A0" w:firstRow="1" w:lastRow="0" w:firstColumn="1" w:lastColumn="0" w:noHBand="0" w:noVBand="1"/>
      </w:tblPr>
      <w:tblGrid>
        <w:gridCol w:w="6311"/>
      </w:tblGrid>
      <w:tr w:rsidR="005A5FCC" w14:paraId="5BB6D192"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6742D822" w14:textId="77777777" w:rsidR="005A5FCC" w:rsidRDefault="00A21C81">
            <w:pPr>
              <w:spacing w:after="60" w:line="240" w:lineRule="auto"/>
              <w:jc w:val="left"/>
            </w:pPr>
            <w:r>
              <w:rPr>
                <w:rFonts w:ascii="Noto Sans" w:hAnsi="Noto Sans" w:cs="Noto Sans"/>
                <w:b/>
                <w:caps/>
                <w:color w:val="4D6F8A"/>
                <w:kern w:val="16"/>
                <w:sz w:val="16"/>
                <w14:ligatures w14:val="standardContextual"/>
              </w:rPr>
              <w:lastRenderedPageBreak/>
              <w:t>JURISPRUDÊNCIA EM DESTAQUE</w:t>
            </w:r>
          </w:p>
          <w:p w14:paraId="0A6A713D" w14:textId="77777777" w:rsidR="005A5FCC" w:rsidRDefault="00A21C81">
            <w:pPr>
              <w:spacing w:after="60" w:line="247" w:lineRule="auto"/>
            </w:pPr>
            <w:r>
              <w:rPr>
                <w:rFonts w:cs="EB Garamond"/>
                <w:b/>
                <w:kern w:val="16"/>
                <w:sz w:val="19"/>
                <w14:ligatures w14:val="standardContextual"/>
              </w:rPr>
              <w:t>Art. 21, § 3º, da Lei 8.212/91 — Complementação de contribuições</w:t>
            </w:r>
          </w:p>
          <w:p w14:paraId="3086DF51" w14:textId="77777777" w:rsidR="005A5FCC" w:rsidRDefault="00A21C81">
            <w:pPr>
              <w:spacing w:after="60" w:line="247" w:lineRule="auto"/>
            </w:pPr>
            <w:r>
              <w:rPr>
                <w:rFonts w:cs="EB Garamond"/>
                <w:b/>
                <w:kern w:val="16"/>
                <w:sz w:val="19"/>
                <w14:ligatures w14:val="standardContextual"/>
              </w:rPr>
              <w:t>Regra:</w:t>
            </w:r>
            <w:r>
              <w:rPr>
                <w:rFonts w:cs="EB Garamond"/>
                <w:kern w:val="16"/>
                <w:sz w:val="19"/>
                <w14:ligatures w14:val="standardContextual"/>
              </w:rPr>
              <w:t xml:space="preserve"> O segurado que verteu contribuições previdenciárias sob a alíquota reduzida (11% ou 5%) pode, a qualquer tempo, complementar a contribuição para fins de contagem recíproca ou cômputo como tempo de contribuição, com efeitos retroativos à data da competência original.</w:t>
            </w:r>
          </w:p>
          <w:p w14:paraId="4131FC12" w14:textId="512702E5" w:rsidR="005A5FCC" w:rsidRDefault="00A21C81">
            <w:pPr>
              <w:spacing w:after="60" w:line="247" w:lineRule="auto"/>
            </w:pPr>
            <w:r>
              <w:rPr>
                <w:rFonts w:cs="EB Garamond"/>
                <w:b/>
                <w:kern w:val="16"/>
                <w:sz w:val="19"/>
                <w14:ligatures w14:val="standardContextual"/>
              </w:rPr>
              <w:t>Fundamento:</w:t>
            </w:r>
            <w:r>
              <w:rPr>
                <w:rFonts w:cs="EB Garamond"/>
                <w:kern w:val="16"/>
                <w:sz w:val="19"/>
                <w14:ligatures w14:val="standardContextual"/>
              </w:rPr>
              <w:t xml:space="preserve"> Art. 21, § 3º, Lei 8.212/91 — "O segurado que tenha contribuído na forma do § 2º deste artigo e pretenda contar o tempo de contribuição correspondente para fins de obtenção da aposentadoria por tempo de contribuição ou da contagem recíproca do tempo de contribuição </w:t>
            </w:r>
            <w:r w:rsidR="00E35EC3">
              <w:rPr>
                <w:rFonts w:cs="EB Garamond"/>
                <w:kern w:val="16"/>
                <w:sz w:val="19"/>
                <w14:ligatures w14:val="standardContextual"/>
              </w:rPr>
              <w:t>[.</w:t>
            </w:r>
            <w:r>
              <w:rPr>
                <w:rFonts w:cs="EB Garamond"/>
                <w:kern w:val="16"/>
                <w:sz w:val="19"/>
                <w14:ligatures w14:val="standardContextual"/>
              </w:rPr>
              <w:t>..</w:t>
            </w:r>
            <w:r w:rsidR="00E35EC3">
              <w:rPr>
                <w:rFonts w:cs="EB Garamond"/>
                <w:kern w:val="16"/>
                <w:sz w:val="19"/>
                <w14:ligatures w14:val="standardContextual"/>
              </w:rPr>
              <w:t>]</w:t>
            </w:r>
            <w:r>
              <w:rPr>
                <w:rFonts w:cs="EB Garamond"/>
                <w:kern w:val="16"/>
                <w:sz w:val="19"/>
                <w14:ligatures w14:val="standardContextual"/>
              </w:rPr>
              <w:t xml:space="preserve"> deverá complementar a respectiva contribuição mensal."</w:t>
            </w:r>
          </w:p>
          <w:p w14:paraId="35A0099E" w14:textId="77777777" w:rsidR="005A5FCC" w:rsidRDefault="00A21C81">
            <w:pPr>
              <w:spacing w:after="60" w:line="247" w:lineRule="auto"/>
            </w:pPr>
            <w:r>
              <w:rPr>
                <w:rFonts w:cs="EB Garamond"/>
                <w:b/>
                <w:kern w:val="16"/>
                <w:sz w:val="19"/>
                <w14:ligatures w14:val="standardContextual"/>
              </w:rPr>
              <w:t>Nota:</w:t>
            </w:r>
            <w:r>
              <w:rPr>
                <w:rFonts w:cs="EB Garamond"/>
                <w:kern w:val="16"/>
                <w:sz w:val="19"/>
                <w14:ligatures w14:val="standardContextual"/>
              </w:rPr>
              <w:t xml:space="preserve"> O Tema 1.070/STJ (REsp 1.870.793/RS) não trata de complementação de contribuições, mas sim do cálculo de benefícios com atividades concomitantes (art. 32 da Lei 8.213/91, com redação dada pela Lei 13.846/2019). A base legal para a complementação é diretamente o art. 21, § 3º, da Lei 8.212/91.</w:t>
            </w:r>
          </w:p>
          <w:p w14:paraId="579DCC63" w14:textId="77777777" w:rsidR="005A5FCC" w:rsidRDefault="00A21C81">
            <w:pPr>
              <w:spacing w:after="60" w:line="247" w:lineRule="auto"/>
            </w:pPr>
            <w:r>
              <w:rPr>
                <w:rFonts w:cs="EB Garamond"/>
                <w:b/>
                <w:kern w:val="16"/>
                <w:sz w:val="19"/>
                <w14:ligatures w14:val="standardContextual"/>
              </w:rPr>
              <w:t>Impacto prático:</w:t>
            </w:r>
            <w:r>
              <w:rPr>
                <w:rFonts w:cs="EB Garamond"/>
                <w:kern w:val="16"/>
                <w:sz w:val="19"/>
                <w14:ligatures w14:val="standardContextual"/>
              </w:rPr>
              <w:t xml:space="preserve"> A complementação pode ser feita a qualquer tempo, sem decadência, e retroage à competência original. Não há necessidade de requerimento prévio ao INSS para complementar, o segurado paga a GPS e o CNIS deve ser atualizado automaticamente.</w:t>
            </w:r>
          </w:p>
        </w:tc>
      </w:tr>
    </w:tbl>
    <w:p w14:paraId="0F92C58E" w14:textId="77777777" w:rsidR="005A5FCC" w:rsidRDefault="005A5FCC">
      <w:pPr>
        <w:spacing w:after="80" w:line="240" w:lineRule="auto"/>
      </w:pPr>
    </w:p>
    <w:p w14:paraId="0CB18133" w14:textId="77777777" w:rsidR="005A5FCC" w:rsidRDefault="00A21C81">
      <w:pPr>
        <w:spacing w:before="260" w:after="80" w:line="240" w:lineRule="auto"/>
        <w:jc w:val="left"/>
      </w:pPr>
      <w:r>
        <w:rPr>
          <w:rFonts w:cs="EB Garamond"/>
          <w:b/>
          <w:color w:val="3A3128"/>
          <w:kern w:val="16"/>
          <w:sz w:val="25"/>
          <w14:ligatures w14:val="standardContextual"/>
        </w:rPr>
        <w:t>4.14.4 Complementação parcial: estratégia</w:t>
      </w:r>
    </w:p>
    <w:p w14:paraId="10B6463D"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N</w:t>
      </w:r>
    </w:p>
    <w:p w14:paraId="3BB15B4A" w14:textId="77777777" w:rsidR="005A5FCC" w:rsidRDefault="00A21C81">
      <w:r>
        <w:rPr>
          <w:rFonts w:cs="EB Garamond"/>
          <w:kern w:val="16"/>
          <w14:ligatures w14:val="standardContextual"/>
        </w:rPr>
        <w:t>ão há obrigação de complementar todo o período. O segurado pode selecionar apenas as competências necessárias para atingir o tempo de contribuição mínimo. Essa estratégia é comum quando o segurado precisa de poucos meses adicionais para completar os requisitos de uma regra de transição da EC 103/2019.</w:t>
      </w:r>
    </w:p>
    <w:tbl>
      <w:tblPr>
        <w:tblW w:w="5000" w:type="pct"/>
        <w:jc w:val="center"/>
        <w:tblLayout w:type="fixed"/>
        <w:tblLook w:val="04A0" w:firstRow="1" w:lastRow="0" w:firstColumn="1" w:lastColumn="0" w:noHBand="0" w:noVBand="1"/>
      </w:tblPr>
      <w:tblGrid>
        <w:gridCol w:w="6311"/>
      </w:tblGrid>
      <w:tr w:rsidR="005A5FCC" w14:paraId="1D2D476D"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1E080A84"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35881B42" w14:textId="77777777" w:rsidR="005A5FCC" w:rsidRDefault="00A21C81">
            <w:pPr>
              <w:spacing w:after="60" w:line="247" w:lineRule="auto"/>
            </w:pPr>
            <w:r>
              <w:rPr>
                <w:rFonts w:cs="EB Garamond"/>
                <w:b/>
                <w:kern w:val="16"/>
                <w:sz w:val="19"/>
                <w14:ligatures w14:val="standardContextual"/>
              </w:rPr>
              <w:t>Estratégia — Complementação seletiva:</w:t>
            </w:r>
          </w:p>
          <w:p w14:paraId="418A7A62" w14:textId="77777777" w:rsidR="005A5FCC" w:rsidRDefault="00A21C81">
            <w:pPr>
              <w:spacing w:after="60" w:line="247" w:lineRule="auto"/>
            </w:pPr>
            <w:r>
              <w:rPr>
                <w:rFonts w:cs="EB Garamond"/>
                <w:kern w:val="16"/>
                <w:sz w:val="19"/>
                <w14:ligatures w14:val="standardContextual"/>
              </w:rPr>
              <w:t>Maria, 59 anos em 2026, MEI desde jan/2020, com 28 anos de contribuição anterior (como empregada CLT de 1992 a 2019). Precisa de 30 anos de TC + 57 anos de idade para a regra de transição do art. 16 da EC 103/2019 (idade mínima progressiva para mulheres em 2026).</w:t>
            </w:r>
          </w:p>
          <w:p w14:paraId="7885DF69" w14:textId="77777777" w:rsidR="005A5FCC" w:rsidRDefault="00A21C81">
            <w:pPr>
              <w:spacing w:after="60" w:line="247" w:lineRule="auto"/>
            </w:pPr>
            <w:r>
              <w:rPr>
                <w:rFonts w:cs="EB Garamond"/>
                <w:kern w:val="16"/>
                <w:sz w:val="19"/>
                <w14:ligatures w14:val="standardContextual"/>
              </w:rPr>
              <w:t>Situação atual: 28 anos (CLT) + 0 anos como MEI (sem complementação) = 28 anos de TC. Se complementar os 72 meses de MEI (jan/2020 a dez/2025): passa a ter 28 + 6 = 34 anos de TC. Já ultrapassa os 30 anos exigidos. E a idade (59 anos) supera os 57 exigidos para mulheres em 2026.</w:t>
            </w:r>
          </w:p>
          <w:p w14:paraId="42D8A8DE" w14:textId="77777777" w:rsidR="005A5FCC" w:rsidRDefault="00A21C81">
            <w:pPr>
              <w:spacing w:after="60" w:line="247" w:lineRule="auto"/>
            </w:pPr>
            <w:r>
              <w:rPr>
                <w:rFonts w:cs="EB Garamond"/>
                <w:kern w:val="16"/>
                <w:sz w:val="19"/>
                <w14:ligatures w14:val="standardContextual"/>
              </w:rPr>
              <w:t xml:space="preserve">Custo da complementação seletiva (bastam 24 meses para atingir 30 anos): - 2020: 15% x R$ 1.045,00 = R$ 156,75/mês x 12 = R$ 1.881,00 - 2021: 15% x R$ 1.100,00 = R$ 165,00/mês x 12 = R$ 1.980,00 - </w:t>
            </w:r>
            <w:r>
              <w:rPr>
                <w:rFonts w:cs="EB Garamond"/>
                <w:b/>
                <w:kern w:val="16"/>
                <w:sz w:val="19"/>
                <w14:ligatures w14:val="standardContextual"/>
              </w:rPr>
              <w:t>Total mínimo para atingir 30 anos:</w:t>
            </w:r>
            <w:r>
              <w:rPr>
                <w:rFonts w:cs="EB Garamond"/>
                <w:kern w:val="16"/>
                <w:sz w:val="19"/>
                <w14:ligatures w14:val="standardContextual"/>
              </w:rPr>
              <w:t xml:space="preserve"> R$ 3.861,00 (24 meses)</w:t>
            </w:r>
          </w:p>
          <w:p w14:paraId="0CD331E1" w14:textId="77777777" w:rsidR="005A5FCC" w:rsidRDefault="00A21C81">
            <w:pPr>
              <w:spacing w:after="60" w:line="247" w:lineRule="auto"/>
            </w:pPr>
            <w:r>
              <w:rPr>
                <w:rFonts w:cs="EB Garamond"/>
                <w:kern w:val="16"/>
                <w:sz w:val="19"/>
                <w14:ligatures w14:val="standardContextual"/>
              </w:rPr>
              <w:t>Benefício estimado: aposentadoria com RMI de ~2 SM (R$ 3.242,00/mês). Retorno do investimento: pouco mais de 1 mês de benefício.</w:t>
            </w:r>
          </w:p>
        </w:tc>
      </w:tr>
    </w:tbl>
    <w:p w14:paraId="6D19ED66" w14:textId="77777777" w:rsidR="005A5FCC" w:rsidRDefault="005A5FCC">
      <w:pPr>
        <w:spacing w:after="80" w:line="240" w:lineRule="auto"/>
      </w:pPr>
    </w:p>
    <w:p w14:paraId="16B542DD"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4.15 Contribuição em atraso: casos especiais e estratégias</w:t>
      </w:r>
    </w:p>
    <w:p w14:paraId="42D2E5D6" w14:textId="77777777" w:rsidR="005A5FCC" w:rsidRDefault="00A21C81">
      <w:pPr>
        <w:spacing w:before="260" w:after="80" w:line="240" w:lineRule="auto"/>
        <w:jc w:val="left"/>
      </w:pPr>
      <w:r>
        <w:rPr>
          <w:rFonts w:cs="EB Garamond"/>
          <w:b/>
          <w:color w:val="3A3128"/>
          <w:kern w:val="16"/>
          <w:sz w:val="25"/>
          <w14:ligatures w14:val="standardContextual"/>
        </w:rPr>
        <w:t>4.15.1 O CI que nunca se inscreveu</w:t>
      </w:r>
    </w:p>
    <w:p w14:paraId="2FC81C82"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S</w:t>
      </w:r>
    </w:p>
    <w:p w14:paraId="2AFA71EF" w14:textId="77777777" w:rsidR="005A5FCC" w:rsidRDefault="00A21C81">
      <w:r>
        <w:rPr>
          <w:rFonts w:cs="EB Garamond"/>
          <w:kern w:val="16"/>
          <w14:ligatures w14:val="standardContextual"/>
        </w:rPr>
        <w:t>ituação distinta da indenização do art. 45-A ocorre quando o trabalhador jamais se inscreveu perante o INSS. Até a vigência da Lei 10.666/2003, a inscrição como contribuinte individual dependia de ato formal (requerimento administrativo). A pessoa que exercia atividade por conta própria sem inscrição não era sequer filiada ao RGPS — e, portanto, não tinha direito a recolher contribuições em atraso, pois não havia "atraso" a regularizar.</w:t>
      </w:r>
    </w:p>
    <w:p w14:paraId="64F194F8" w14:textId="77777777" w:rsidR="005A5FCC" w:rsidRDefault="00A21C81">
      <w:pPr>
        <w:ind w:firstLine="238"/>
      </w:pPr>
      <w:r>
        <w:rPr>
          <w:rFonts w:cs="EB Garamond"/>
          <w:kern w:val="16"/>
          <w14:ligatures w14:val="standardContextual"/>
        </w:rPr>
        <w:t xml:space="preserve">A Lei 10.666/2003 (art. 4º) estabeleceu que a filiação do CI decorre automaticamente do exercício de atividade remunerada. Com isso, todo o período de atividade comprovada (ainda que sem inscrição formal) passou a ser passível de </w:t>
      </w:r>
      <w:r>
        <w:rPr>
          <w:rFonts w:cs="EB Garamond"/>
          <w:kern w:val="16"/>
          <w14:ligatures w14:val="standardContextual"/>
        </w:rPr>
        <w:lastRenderedPageBreak/>
        <w:t>indenização. Para o período anterior à Lei 10.666/2003, a possibilidade de indenização depende da comprovação de que havia filiação de fato (exercício de atividade que geraria enquadramento como CI).</w:t>
      </w:r>
    </w:p>
    <w:tbl>
      <w:tblPr>
        <w:tblW w:w="5000" w:type="pct"/>
        <w:jc w:val="center"/>
        <w:tblLayout w:type="fixed"/>
        <w:tblLook w:val="04A0" w:firstRow="1" w:lastRow="0" w:firstColumn="1" w:lastColumn="0" w:noHBand="0" w:noVBand="1"/>
      </w:tblPr>
      <w:tblGrid>
        <w:gridCol w:w="6311"/>
      </w:tblGrid>
      <w:tr w:rsidR="005A5FCC" w14:paraId="07EB22B8"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22ECE24F"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74B2BFF8" w14:textId="77777777" w:rsidR="005A5FCC" w:rsidRDefault="00A21C81">
            <w:pPr>
              <w:spacing w:after="60" w:line="247" w:lineRule="auto"/>
            </w:pPr>
            <w:r>
              <w:rPr>
                <w:rFonts w:cs="EB Garamond"/>
                <w:b/>
                <w:kern w:val="16"/>
                <w:sz w:val="19"/>
                <w14:ligatures w14:val="standardContextual"/>
              </w:rPr>
              <w:t>Fluxograma — Recolhimento em atraso do CI:</w:t>
            </w:r>
          </w:p>
          <w:p w14:paraId="087B940B" w14:textId="77777777" w:rsidR="005A5FCC" w:rsidRDefault="00A21C81">
            <w:pPr>
              <w:spacing w:after="60" w:line="247" w:lineRule="auto"/>
            </w:pPr>
            <w:r>
              <w:rPr>
                <w:rFonts w:cs="EB Garamond"/>
                <w:kern w:val="16"/>
                <w:sz w:val="19"/>
                <w14:ligatures w14:val="standardContextual"/>
              </w:rPr>
              <w:t>1. O segurado exerceu atividade como CI? Sim: Próximo 2. O período é posterior à Lei 10.666/2003 (maio/2003)?  - Sim: Filiação automática. Pode indenizar (art. 45-A).  - Não: O segurado tinha inscrição formal na época?  - Sim: Pode indenizar (filiação comprovada por inscrição).  - Não: Deve comprovar atividade + filiação de fato (início de prova material robusta). 3. O período é anterior a outubro/1996 (MP 1.523)?  - Sim: Sem juros/multa (Tema 1.103/STJ). Apenas valor base.  - Não: Juros + multa incidentes. Cálculo pelo SAL (Sistema de Acréscimos Legais). 4. Pagou a indenização?  - Sim: Cômputo como tempo de contribuição. NÃO como carência (posição majoritária).  - Não: Sem cômputo.</w:t>
            </w:r>
          </w:p>
        </w:tc>
      </w:tr>
    </w:tbl>
    <w:p w14:paraId="629FB393" w14:textId="77777777" w:rsidR="005A5FCC" w:rsidRDefault="005A5FCC">
      <w:pPr>
        <w:spacing w:after="80" w:line="240" w:lineRule="auto"/>
      </w:pPr>
    </w:p>
    <w:p w14:paraId="23B8FA3A" w14:textId="77777777" w:rsidR="005A5FCC" w:rsidRDefault="00A21C81">
      <w:pPr>
        <w:spacing w:before="260" w:after="80" w:line="240" w:lineRule="auto"/>
        <w:jc w:val="left"/>
      </w:pPr>
      <w:r>
        <w:rPr>
          <w:rFonts w:cs="EB Garamond"/>
          <w:b/>
          <w:color w:val="3A3128"/>
          <w:kern w:val="16"/>
          <w:sz w:val="25"/>
          <w14:ligatures w14:val="standardContextual"/>
        </w:rPr>
        <w:t>4.15.2 Atividades concomitantes e contribuição</w:t>
      </w:r>
    </w:p>
    <w:p w14:paraId="0A644529"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43BDF150" w14:textId="77777777" w:rsidR="005A5FCC" w:rsidRDefault="00A21C81">
      <w:r>
        <w:rPr>
          <w:rFonts w:cs="EB Garamond"/>
          <w:kern w:val="16"/>
          <w14:ligatures w14:val="standardContextual"/>
        </w:rPr>
        <w:t xml:space="preserve"> segurado que exerce simultaneamente mais de uma atividade como CI (médico que atende em consultório e também é perito judicial, por exemplo) deve contribuir sobre a soma das remunerações, limitada ao teto do salário de contribuição. Se a soma ultrapassa o teto, recolhe 20% sobre o teto.</w:t>
      </w:r>
    </w:p>
    <w:p w14:paraId="68DF6579" w14:textId="77777777" w:rsidR="005A5FCC" w:rsidRDefault="00A21C81">
      <w:pPr>
        <w:ind w:firstLine="238"/>
      </w:pPr>
      <w:r>
        <w:rPr>
          <w:rFonts w:cs="EB Garamond"/>
          <w:kern w:val="16"/>
          <w14:ligatures w14:val="standardContextual"/>
        </w:rPr>
        <w:t>Quando uma das atividades é exercida como empregado e outra como CI, a contribuição como empregado (retida pelo empregador) é prioritária. O CI só recolhe sobre a diferença entre o teto e o salário de contribuição como empregado:</w:t>
      </w:r>
    </w:p>
    <w:tbl>
      <w:tblPr>
        <w:tblW w:w="5000" w:type="pct"/>
        <w:jc w:val="center"/>
        <w:tblLayout w:type="fixed"/>
        <w:tblLook w:val="04A0" w:firstRow="1" w:lastRow="0" w:firstColumn="1" w:lastColumn="0" w:noHBand="0" w:noVBand="1"/>
      </w:tblPr>
      <w:tblGrid>
        <w:gridCol w:w="6311"/>
      </w:tblGrid>
      <w:tr w:rsidR="005A5FCC" w14:paraId="7EE0D7E3"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5D44C3DF"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321B37F3" w14:textId="77777777" w:rsidR="005A5FCC" w:rsidRDefault="00A21C81">
            <w:pPr>
              <w:spacing w:after="60" w:line="247" w:lineRule="auto"/>
            </w:pPr>
            <w:r>
              <w:rPr>
                <w:rFonts w:cs="EB Garamond"/>
                <w:b/>
                <w:kern w:val="16"/>
                <w:sz w:val="19"/>
                <w14:ligatures w14:val="standardContextual"/>
              </w:rPr>
              <w:t>Exemplo — Atividades concomitantes (empregado + CI):</w:t>
            </w:r>
          </w:p>
          <w:p w14:paraId="593E3B5E" w14:textId="77777777" w:rsidR="005A5FCC" w:rsidRDefault="00A21C81">
            <w:pPr>
              <w:spacing w:after="60" w:line="247" w:lineRule="auto"/>
            </w:pPr>
            <w:r>
              <w:rPr>
                <w:rFonts w:cs="EB Garamond"/>
                <w:kern w:val="16"/>
                <w:sz w:val="19"/>
                <w14:ligatures w14:val="standardContextual"/>
              </w:rPr>
              <w:t>José é engenheiro: - Empregado na Empresa X: salário R$ 6.000,00 — contribuição retida na fonte pelas alíquotas progressivas, resultando em ~R$ 641,52 - Consultor autônomo (CI): renda R$ 3.000,00/mês prestando a pessoas físicas</w:t>
            </w:r>
          </w:p>
          <w:p w14:paraId="43787A09" w14:textId="77777777" w:rsidR="005A5FCC" w:rsidRDefault="00A21C81">
            <w:pPr>
              <w:spacing w:after="60" w:line="247" w:lineRule="auto"/>
            </w:pPr>
            <w:r>
              <w:rPr>
                <w:rFonts w:cs="EB Garamond"/>
                <w:kern w:val="16"/>
                <w:sz w:val="19"/>
                <w14:ligatures w14:val="standardContextual"/>
              </w:rPr>
              <w:t>Teto 2026: R$ 8.475,55 Diferença: R$ 8.475,55 − R$ 6.000,00 = R$ 2.475,55</w:t>
            </w:r>
          </w:p>
          <w:p w14:paraId="7FEE92E4" w14:textId="77777777" w:rsidR="005A5FCC" w:rsidRDefault="00A21C81">
            <w:pPr>
              <w:spacing w:after="60" w:line="247" w:lineRule="auto"/>
            </w:pPr>
            <w:r>
              <w:rPr>
                <w:rFonts w:cs="EB Garamond"/>
                <w:kern w:val="16"/>
                <w:sz w:val="19"/>
                <w14:ligatures w14:val="standardContextual"/>
              </w:rPr>
              <w:t>A contribuição como empregado é prioritária e consome a base até R$ 6.000,00. Como CI, José recolhe 20% apenas sobre a diferença entre o teto e o seu salário de empregado, ou seja, 20% × R$ 2.475,55 = R$ 495,11 (não 20% × R$ 3.000,00). Embora sua renda como CI seja de R$ 3.000,00, a parcela que excede o teto (R$ 524,45) não é tributada.</w:t>
            </w:r>
          </w:p>
          <w:p w14:paraId="7E863D0B" w14:textId="77777777" w:rsidR="005A5FCC" w:rsidRDefault="00A21C81">
            <w:pPr>
              <w:spacing w:after="60" w:line="247" w:lineRule="auto"/>
            </w:pPr>
            <w:r>
              <w:rPr>
                <w:rFonts w:cs="EB Garamond"/>
                <w:kern w:val="16"/>
                <w:sz w:val="19"/>
                <w14:ligatures w14:val="standardContextual"/>
              </w:rPr>
              <w:t>Em síntese: sobre os R$ 6.000,00 de emprego incidem as alíquotas progressivas (~R$ 641,52, retidos na fonte pela Empresa X); sobre a diferença até o teto incidem os 20% de CI (R$ 495,11). As duas contribuições, somadas, esgotam o teto sem duplicar a base.</w:t>
            </w:r>
          </w:p>
        </w:tc>
      </w:tr>
    </w:tbl>
    <w:p w14:paraId="12C71A47" w14:textId="77777777" w:rsidR="005A5FCC" w:rsidRDefault="005A5FCC">
      <w:pPr>
        <w:spacing w:after="80" w:line="240" w:lineRule="auto"/>
      </w:pPr>
    </w:p>
    <w:p w14:paraId="7B47BE2D" w14:textId="77777777" w:rsidR="005A5FCC" w:rsidRDefault="00A21C81">
      <w:pPr>
        <w:spacing w:before="260" w:after="80" w:line="240" w:lineRule="auto"/>
        <w:jc w:val="left"/>
      </w:pPr>
      <w:r>
        <w:rPr>
          <w:rFonts w:cs="EB Garamond"/>
          <w:b/>
          <w:color w:val="3A3128"/>
          <w:kern w:val="16"/>
          <w:sz w:val="25"/>
          <w14:ligatures w14:val="standardContextual"/>
        </w:rPr>
        <w:t>4.15.3 Prescrição e decadência do direito de recolher em atraso</w:t>
      </w:r>
    </w:p>
    <w:p w14:paraId="0A57C0E2"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638F4D61" w14:textId="77777777" w:rsidR="005A5FCC" w:rsidRDefault="00A21C81">
      <w:r>
        <w:rPr>
          <w:rFonts w:cs="EB Garamond"/>
          <w:kern w:val="16"/>
          <w14:ligatures w14:val="standardContextual"/>
        </w:rPr>
        <w:t xml:space="preserve"> art. 45 da Lei 8.212/91 (com redação dada pela Lei 11.941/2009) prevê prazo decadencial de 5 anos para a constituição do crédito previdenciário pela Receita Federal. Essa regra aplica-se à cobrança do INSS contra o segurado. Mas e o direito do segurado de recolher em atraso para cômputo de tempo?</w:t>
      </w:r>
    </w:p>
    <w:p w14:paraId="0B9873AF" w14:textId="77777777" w:rsidR="005A5FCC" w:rsidRDefault="00A21C81">
      <w:pPr>
        <w:ind w:firstLine="238"/>
      </w:pPr>
      <w:r>
        <w:rPr>
          <w:rFonts w:cs="EB Garamond"/>
          <w:kern w:val="16"/>
          <w14:ligatures w14:val="standardContextual"/>
        </w:rPr>
        <w:t>A jurisprudência consolidou que o segurado pode indenizar contribuições em atraso a qualquer tempo, sem prazo prescricional ou decadencial. Isso porque a indenização é faculdade do segurado (não obrigação imposta pelo fisco), e o art. 45-A não estabelece prazo para exercício desse direito. Todavia, quanto mais antigo o período, mais difícil será a comprovação da atividade — e o INSS exige documentação robusta.</w:t>
      </w:r>
    </w:p>
    <w:tbl>
      <w:tblPr>
        <w:tblW w:w="5000" w:type="pct"/>
        <w:jc w:val="center"/>
        <w:tblLayout w:type="fixed"/>
        <w:tblLook w:val="04A0" w:firstRow="1" w:lastRow="0" w:firstColumn="1" w:lastColumn="0" w:noHBand="0" w:noVBand="1"/>
      </w:tblPr>
      <w:tblGrid>
        <w:gridCol w:w="6311"/>
      </w:tblGrid>
      <w:tr w:rsidR="005A5FCC" w14:paraId="517676AB"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729AB432" w14:textId="77777777" w:rsidR="005A5FCC" w:rsidRDefault="00A21C81">
            <w:pPr>
              <w:spacing w:after="60" w:line="240" w:lineRule="auto"/>
              <w:jc w:val="left"/>
            </w:pPr>
            <w:r>
              <w:rPr>
                <w:rFonts w:ascii="Noto Sans" w:hAnsi="Noto Sans" w:cs="Noto Sans"/>
                <w:b/>
                <w:caps/>
                <w:color w:val="B78B37"/>
                <w:kern w:val="16"/>
                <w:sz w:val="16"/>
                <w14:ligatures w14:val="standardContextual"/>
              </w:rPr>
              <w:lastRenderedPageBreak/>
              <w:t>ATENÇÃO</w:t>
            </w:r>
          </w:p>
          <w:p w14:paraId="33FFE823" w14:textId="77777777" w:rsidR="005A5FCC" w:rsidRDefault="00A21C81">
            <w:pPr>
              <w:spacing w:after="60" w:line="247" w:lineRule="auto"/>
            </w:pPr>
            <w:r>
              <w:rPr>
                <w:rFonts w:cs="EB Garamond"/>
                <w:b/>
                <w:kern w:val="16"/>
                <w:sz w:val="19"/>
                <w14:ligatures w14:val="standardContextual"/>
              </w:rPr>
              <w:t>Não confundir: prescrição tributária e direito de indenizar são institutos distintos</w:t>
            </w:r>
          </w:p>
          <w:p w14:paraId="7B7957DC" w14:textId="77777777" w:rsidR="005A5FCC" w:rsidRDefault="00A21C81">
            <w:pPr>
              <w:spacing w:after="30" w:line="240" w:lineRule="auto"/>
              <w:ind w:left="227" w:hanging="142"/>
            </w:pPr>
            <w:r>
              <w:rPr>
                <w:rFonts w:cs="EB Garamond"/>
                <w:kern w:val="16"/>
                <w:sz w:val="19"/>
                <w14:ligatures w14:val="standardContextual"/>
              </w:rPr>
              <w:t xml:space="preserve">• </w:t>
            </w:r>
            <w:r>
              <w:rPr>
                <w:rFonts w:cs="EB Garamond"/>
                <w:b/>
                <w:kern w:val="16"/>
                <w:sz w:val="19"/>
                <w14:ligatures w14:val="standardContextual"/>
              </w:rPr>
              <w:t>Prescrição tributária (5 anos):</w:t>
            </w:r>
            <w:r>
              <w:rPr>
                <w:rFonts w:cs="EB Garamond"/>
                <w:kern w:val="16"/>
                <w:sz w:val="19"/>
                <w14:ligatures w14:val="standardContextual"/>
              </w:rPr>
              <w:t xml:space="preserve"> O INSS/RFB não pode cobrar contribuições devidas há mais de 5 anos. Decai o crédito tributário.</w:t>
            </w:r>
          </w:p>
          <w:p w14:paraId="792C8842" w14:textId="77777777" w:rsidR="005A5FCC" w:rsidRDefault="00A21C81">
            <w:pPr>
              <w:spacing w:after="30" w:line="240" w:lineRule="auto"/>
              <w:ind w:left="227" w:hanging="142"/>
            </w:pPr>
            <w:r>
              <w:rPr>
                <w:rFonts w:cs="EB Garamond"/>
                <w:kern w:val="16"/>
                <w:sz w:val="19"/>
                <w14:ligatures w14:val="standardContextual"/>
              </w:rPr>
              <w:t xml:space="preserve">• </w:t>
            </w:r>
            <w:r>
              <w:rPr>
                <w:rFonts w:cs="EB Garamond"/>
                <w:b/>
                <w:kern w:val="16"/>
                <w:sz w:val="19"/>
                <w14:ligatures w14:val="standardContextual"/>
              </w:rPr>
              <w:t>Direito de indenizar (sem prazo):</w:t>
            </w:r>
            <w:r>
              <w:rPr>
                <w:rFonts w:cs="EB Garamond"/>
                <w:kern w:val="16"/>
                <w:sz w:val="19"/>
                <w14:ligatures w14:val="standardContextual"/>
              </w:rPr>
              <w:t xml:space="preserve"> O segurado pode voluntariamente pagar contribuições de qualquer período pretérito, desde que comprove atividade. Não há prazo extintivo para esse direito.</w:t>
            </w:r>
          </w:p>
          <w:p w14:paraId="3C743733" w14:textId="50D5437B" w:rsidR="005A5FCC" w:rsidRDefault="00A21C81">
            <w:pPr>
              <w:spacing w:after="60" w:line="247" w:lineRule="auto"/>
            </w:pPr>
            <w:r>
              <w:rPr>
                <w:rFonts w:cs="EB Garamond"/>
                <w:kern w:val="16"/>
                <w:sz w:val="19"/>
                <w14:ligatures w14:val="standardContextual"/>
              </w:rPr>
              <w:t xml:space="preserve">Na prática: um segurado pode indenizar período de 1985-1990 em 2026, mesmo que a RFB não pudesse mais cobrar essas contribuições. São institutos distintos (faculdade vs. </w:t>
            </w:r>
            <w:r w:rsidR="00F378AC">
              <w:rPr>
                <w:rFonts w:cs="EB Garamond"/>
                <w:kern w:val="16"/>
                <w:sz w:val="19"/>
                <w14:ligatures w14:val="standardContextual"/>
              </w:rPr>
              <w:t>c</w:t>
            </w:r>
            <w:r>
              <w:rPr>
                <w:rFonts w:cs="EB Garamond"/>
                <w:kern w:val="16"/>
                <w:sz w:val="19"/>
                <w14:ligatures w14:val="standardContextual"/>
              </w:rPr>
              <w:t>obrança).</w:t>
            </w:r>
          </w:p>
        </w:tc>
      </w:tr>
    </w:tbl>
    <w:p w14:paraId="48B3617A" w14:textId="77777777" w:rsidR="005A5FCC" w:rsidRDefault="005A5FCC">
      <w:pPr>
        <w:spacing w:after="80" w:line="240" w:lineRule="auto"/>
      </w:pPr>
    </w:p>
    <w:p w14:paraId="24AF599E"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4.16 Contribuição durante gozo de benefício e situações especiais</w:t>
      </w:r>
    </w:p>
    <w:p w14:paraId="760DC322" w14:textId="77777777" w:rsidR="005A5FCC" w:rsidRDefault="00A21C81">
      <w:pPr>
        <w:spacing w:before="260" w:after="80" w:line="240" w:lineRule="auto"/>
        <w:jc w:val="left"/>
      </w:pPr>
      <w:r>
        <w:rPr>
          <w:rFonts w:cs="EB Garamond"/>
          <w:b/>
          <w:color w:val="3A3128"/>
          <w:kern w:val="16"/>
          <w:sz w:val="25"/>
          <w14:ligatures w14:val="standardContextual"/>
        </w:rPr>
        <w:t>4.16.1 Segurado em gozo de benefício por incapacidade</w:t>
      </w:r>
    </w:p>
    <w:p w14:paraId="0903ED29"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76ADF078" w14:textId="77777777" w:rsidR="005A5FCC" w:rsidRDefault="00A21C81">
      <w:r>
        <w:rPr>
          <w:rFonts w:cs="EB Garamond"/>
          <w:kern w:val="16"/>
          <w14:ligatures w14:val="standardContextual"/>
        </w:rPr>
        <w:t xml:space="preserve"> segurado que recebe auxílio por incapacidade temporária (antigo auxílio-doença) ou aposentadoria por incapacidade permanente (antiga aposentadoria por invalidez) não precisa contribuir para manter a qualidade de segurado durante o período de gozo. O tempo de benefício é computado como tempo de contribuição (art. 55, II, Lei 8.213/91), sem necessidade de recolhimento.</w:t>
      </w:r>
    </w:p>
    <w:p w14:paraId="09EF1CBD" w14:textId="77777777" w:rsidR="005A5FCC" w:rsidRDefault="00A21C81">
      <w:pPr>
        <w:ind w:firstLine="238"/>
      </w:pPr>
      <w:r>
        <w:rPr>
          <w:rFonts w:cs="EB Garamond"/>
          <w:kern w:val="16"/>
          <w14:ligatures w14:val="standardContextual"/>
        </w:rPr>
        <w:t>É preciso, contudo, não confundir três institutos que costumam ser tratados em conjunto:</w:t>
      </w:r>
    </w:p>
    <w:p w14:paraId="352E3CED" w14:textId="77777777" w:rsidR="005A5FCC" w:rsidRDefault="00A21C81">
      <w:pPr>
        <w:ind w:firstLine="238"/>
      </w:pPr>
      <w:r>
        <w:rPr>
          <w:rFonts w:cs="EB Garamond"/>
          <w:kern w:val="16"/>
          <w14:ligatures w14:val="standardContextual"/>
        </w:rPr>
        <w:t xml:space="preserve">a) </w:t>
      </w:r>
      <w:r>
        <w:rPr>
          <w:rFonts w:cs="EB Garamond"/>
          <w:b/>
          <w:kern w:val="16"/>
          <w14:ligatures w14:val="standardContextual"/>
        </w:rPr>
        <w:t>Período de graça (manutenção da qualidade de segurado):</w:t>
      </w:r>
      <w:r>
        <w:rPr>
          <w:rFonts w:cs="EB Garamond"/>
          <w:kern w:val="16"/>
          <w14:ligatures w14:val="standardContextual"/>
        </w:rPr>
        <w:t xml:space="preserve"> o </w:t>
      </w:r>
      <w:commentRangeStart w:id="4"/>
      <w:r>
        <w:rPr>
          <w:rFonts w:cs="EB Garamond"/>
          <w:kern w:val="16"/>
          <w14:ligatures w14:val="standardContextual"/>
        </w:rPr>
        <w:t>art. 15, II, da Lei 8.213/91</w:t>
      </w:r>
      <w:commentRangeEnd w:id="4"/>
      <w:r w:rsidR="006D20F5">
        <w:rPr>
          <w:rStyle w:val="Refdecomentrio"/>
          <w:rFonts w:cs="EB Garamond"/>
          <w:kern w:val="16"/>
          <w:sz w:val="21"/>
          <w:szCs w:val="22"/>
          <w14:ligatures w14:val="standardContextual"/>
        </w:rPr>
        <w:commentReference w:id="4"/>
      </w:r>
      <w:r>
        <w:rPr>
          <w:rFonts w:cs="EB Garamond"/>
          <w:kern w:val="16"/>
          <w14:ligatures w14:val="standardContextual"/>
        </w:rPr>
        <w:t xml:space="preserve"> mantém a qualidade de segurado de quem está em gozo de benefício, independentemente de contribuição. O art. 15, § 1º, por sua vez, </w:t>
      </w:r>
      <w:r>
        <w:rPr>
          <w:rFonts w:cs="EB Garamond"/>
          <w:i/>
          <w:kern w:val="16"/>
          <w14:ligatures w14:val="standardContextual"/>
        </w:rPr>
        <w:t>amplia</w:t>
      </w:r>
      <w:r>
        <w:rPr>
          <w:rFonts w:cs="EB Garamond"/>
          <w:kern w:val="16"/>
          <w14:ligatures w14:val="standardContextual"/>
        </w:rPr>
        <w:t xml:space="preserve"> esse período de graça em mais 12 meses para o segurado que já tiver pago mais de 120 contribuições mensais sem perda da qualidade. O § 1º trata, portanto, de extensão do período de graça — não de carência. A propósito, a TNU fixou no </w:t>
      </w:r>
      <w:r>
        <w:rPr>
          <w:rFonts w:cs="EB Garamond"/>
          <w:kern w:val="16"/>
          <w14:ligatures w14:val="standardContextual"/>
        </w:rPr>
        <w:lastRenderedPageBreak/>
        <w:t>Tema 365 que o período de gozo de benefício por incapacidade intercalado entre contribuições não pode ser computado para integrar essas 120 contribuições exigidas para a prorrogação do período de graça.</w:t>
      </w:r>
    </w:p>
    <w:p w14:paraId="49E427C3" w14:textId="77777777" w:rsidR="005A5FCC" w:rsidRDefault="00A21C81">
      <w:pPr>
        <w:ind w:firstLine="238"/>
      </w:pPr>
      <w:r>
        <w:rPr>
          <w:rFonts w:cs="EB Garamond"/>
          <w:kern w:val="16"/>
          <w14:ligatures w14:val="standardContextual"/>
        </w:rPr>
        <w:t xml:space="preserve">b) </w:t>
      </w:r>
      <w:r>
        <w:rPr>
          <w:rFonts w:cs="EB Garamond"/>
          <w:b/>
          <w:kern w:val="16"/>
          <w14:ligatures w14:val="standardContextual"/>
        </w:rPr>
        <w:t>Tempo de contribuição:</w:t>
      </w:r>
      <w:r>
        <w:rPr>
          <w:rFonts w:cs="EB Garamond"/>
          <w:kern w:val="16"/>
          <w14:ligatures w14:val="standardContextual"/>
        </w:rPr>
        <w:t xml:space="preserve"> o período de gozo do benefício por incapacidade conta integralmente como tempo de contribuição (art. 55, II, Lei 8.213/91), sem necessidade de recolhimento.</w:t>
      </w:r>
    </w:p>
    <w:p w14:paraId="50D6519C" w14:textId="77777777" w:rsidR="005A5FCC" w:rsidRDefault="00A21C81">
      <w:pPr>
        <w:ind w:firstLine="238"/>
      </w:pPr>
      <w:r>
        <w:rPr>
          <w:rFonts w:cs="EB Garamond"/>
          <w:kern w:val="16"/>
          <w14:ligatures w14:val="standardContextual"/>
        </w:rPr>
        <w:t xml:space="preserve">c) </w:t>
      </w:r>
      <w:r>
        <w:rPr>
          <w:rFonts w:cs="EB Garamond"/>
          <w:b/>
          <w:kern w:val="16"/>
          <w14:ligatures w14:val="standardContextual"/>
        </w:rPr>
        <w:t>Carência:</w:t>
      </w:r>
      <w:r>
        <w:rPr>
          <w:rFonts w:cs="EB Garamond"/>
          <w:kern w:val="16"/>
          <w14:ligatures w14:val="standardContextual"/>
        </w:rPr>
        <w:t xml:space="preserve"> o cômputo do tempo de gozo como carência segue regra própria. Para o segurado empregado, o período de benefício por incapacidade pode contar para carência quando </w:t>
      </w:r>
      <w:r>
        <w:rPr>
          <w:rFonts w:cs="EB Garamond"/>
          <w:i/>
          <w:kern w:val="16"/>
          <w14:ligatures w14:val="standardContextual"/>
        </w:rPr>
        <w:t>intercalado</w:t>
      </w:r>
      <w:r>
        <w:rPr>
          <w:rFonts w:cs="EB Garamond"/>
          <w:kern w:val="16"/>
          <w14:ligatures w14:val="standardContextual"/>
        </w:rPr>
        <w:t xml:space="preserve"> com períodos de atividade ou contribuição, conforme entendimento consolidado na jurisprudência da TNU e do STJ </w:t>
      </w:r>
      <w:commentRangeStart w:id="5"/>
      <w:r>
        <w:rPr>
          <w:rFonts w:cs="EB Garamond"/>
          <w:kern w:val="16"/>
          <w14:ligatures w14:val="standardContextual"/>
        </w:rPr>
        <w:t>(tema sobre o qual se deve consultar a posição atualizada antes do ajuizamento)</w:t>
      </w:r>
      <w:commentRangeEnd w:id="5"/>
      <w:r w:rsidR="006D20F5">
        <w:rPr>
          <w:rStyle w:val="Refdecomentrio"/>
          <w:rFonts w:cs="EB Garamond"/>
          <w:kern w:val="16"/>
          <w:sz w:val="21"/>
          <w:szCs w:val="22"/>
          <w14:ligatures w14:val="standardContextual"/>
        </w:rPr>
        <w:commentReference w:id="5"/>
      </w:r>
      <w:r>
        <w:rPr>
          <w:rFonts w:cs="EB Garamond"/>
          <w:kern w:val="16"/>
          <w14:ligatures w14:val="standardContextual"/>
        </w:rPr>
        <w:t>. Fora da hipótese de intercalação, o tempo de gozo, embora seja tempo de contribuição, não é automaticamente computado como carência.</w:t>
      </w:r>
    </w:p>
    <w:p w14:paraId="4905AB7B" w14:textId="77777777" w:rsidR="005A5FCC" w:rsidRDefault="00A21C81">
      <w:pPr>
        <w:ind w:firstLine="238"/>
      </w:pPr>
      <w:r>
        <w:rPr>
          <w:rFonts w:cs="EB Garamond"/>
          <w:kern w:val="16"/>
          <w14:ligatures w14:val="standardContextual"/>
        </w:rPr>
        <w:t>Situação distinta ocorre com o aposentado que retorna ao trabalho: o aposentado por idade ou tempo de contribuição que volta a exercer atividade remunerada é segurado obrigatório e deve contribuir normalmente (art. 12, § 4º, Lei 8.212/91). Contudo, essas contribuições não geram novo benefício (vedação à desaposentação — Tema 503/STF), salvo o salário-família e a reabilitação profissional.</w:t>
      </w:r>
    </w:p>
    <w:p w14:paraId="79907767" w14:textId="77777777" w:rsidR="005A5FCC" w:rsidRDefault="00A21C81">
      <w:pPr>
        <w:spacing w:before="260" w:after="80" w:line="240" w:lineRule="auto"/>
        <w:jc w:val="left"/>
      </w:pPr>
      <w:r>
        <w:rPr>
          <w:rFonts w:cs="EB Garamond"/>
          <w:b/>
          <w:color w:val="3A3128"/>
          <w:kern w:val="16"/>
          <w:sz w:val="25"/>
          <w14:ligatures w14:val="standardContextual"/>
        </w:rPr>
        <w:t>4.16.2 Período de gozo de salário-maternidade</w:t>
      </w:r>
    </w:p>
    <w:p w14:paraId="3641B5EF"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D</w:t>
      </w:r>
    </w:p>
    <w:p w14:paraId="11ED740F" w14:textId="77777777" w:rsidR="005A5FCC" w:rsidRDefault="00A21C81">
      <w:r>
        <w:rPr>
          <w:rFonts w:cs="EB Garamond"/>
          <w:kern w:val="16"/>
          <w14:ligatures w14:val="standardContextual"/>
        </w:rPr>
        <w:t>urante o salário-maternidade, a segurada não precisa recolher contribuição previdenciária de sua parte. O período é considerado como tempo de contribuição e carência automaticamente. Para a empregada, a empresa paga o salário-maternidade e compensa integralmente com as contribuições devidas (art. 72, § 1º, Lei 8.213/91). Para a segurada especial, o benefício é pago diretamente pelo INSS (1 SM) sem qualquer contribuição.</w:t>
      </w:r>
    </w:p>
    <w:p w14:paraId="5D8A1BF2" w14:textId="77777777" w:rsidR="005A5FCC" w:rsidRDefault="00A21C81">
      <w:pPr>
        <w:ind w:firstLine="238"/>
      </w:pPr>
      <w:r>
        <w:rPr>
          <w:rFonts w:cs="EB Garamond"/>
          <w:kern w:val="16"/>
          <w14:ligatures w14:val="standardContextual"/>
        </w:rPr>
        <w:t>Para a contribuinte individual e a facultativa, o INSS paga o salário-maternidade diretamente, e o período conta para carência e tempo de contribuição sem necessidade de recolhimento por GPS durante os 120 dias.</w:t>
      </w:r>
    </w:p>
    <w:p w14:paraId="165EEB1C" w14:textId="77777777" w:rsidR="005A5FCC" w:rsidRDefault="00A21C81">
      <w:pPr>
        <w:spacing w:before="260" w:after="80" w:line="240" w:lineRule="auto"/>
        <w:jc w:val="left"/>
      </w:pPr>
      <w:r>
        <w:rPr>
          <w:rFonts w:cs="EB Garamond"/>
          <w:b/>
          <w:color w:val="3A3128"/>
          <w:kern w:val="16"/>
          <w:sz w:val="25"/>
          <w14:ligatures w14:val="standardContextual"/>
        </w:rPr>
        <w:t>4.16.3 Período de serviço militar obrigatório</w:t>
      </w:r>
    </w:p>
    <w:p w14:paraId="526E3CA1"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O</w:t>
      </w:r>
    </w:p>
    <w:p w14:paraId="6A18D3D0" w14:textId="77777777" w:rsidR="005A5FCC" w:rsidRDefault="00A21C81">
      <w:r>
        <w:rPr>
          <w:rFonts w:cs="EB Garamond"/>
          <w:kern w:val="16"/>
          <w14:ligatures w14:val="standardContextual"/>
        </w:rPr>
        <w:t xml:space="preserve"> tempo de serviço militar obrigatório é computado como tempo de contribuição independentemente de qualquer contribuição ao RGPS (art. 55, I, Lei 8.213/91). Não há necessidade de indenização. Basta apresentar o Certificado de Reservista ou documento equivalente expedido pelo Ministério da Defesa.</w:t>
      </w:r>
    </w:p>
    <w:p w14:paraId="5582BEE8" w14:textId="77777777" w:rsidR="005A5FCC" w:rsidRDefault="00A21C81">
      <w:pPr>
        <w:spacing w:before="260" w:after="80" w:line="240" w:lineRule="auto"/>
        <w:jc w:val="left"/>
      </w:pPr>
      <w:r>
        <w:rPr>
          <w:rFonts w:cs="EB Garamond"/>
          <w:b/>
          <w:color w:val="3A3128"/>
          <w:kern w:val="16"/>
          <w:sz w:val="25"/>
          <w14:ligatures w14:val="standardContextual"/>
        </w:rPr>
        <w:t>4.16.4 Período de afastamento por acidente de trabalho</w:t>
      </w:r>
    </w:p>
    <w:p w14:paraId="13E2BD2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7C7F1FBC" w14:textId="77777777" w:rsidR="005A5FCC" w:rsidRDefault="00A21C81">
      <w:r>
        <w:rPr>
          <w:rFonts w:cs="EB Garamond"/>
          <w:kern w:val="16"/>
          <w14:ligatures w14:val="standardContextual"/>
        </w:rPr>
        <w:t xml:space="preserve"> segurado afastado por acidente de trabalho ou doença ocupacional mantém a condição de segurado durante todo o período de gozo do benefício acidentário. As contribuições do empregador continuam devidas durante os primeiros 15 dias de afastamento (período de responsabilidade da empresa), incluindo o depósito de FGTS (art. 15, § 5º, Lei 8.036/90).</w:t>
      </w:r>
    </w:p>
    <w:p w14:paraId="33F173B2" w14:textId="77777777" w:rsidR="005A5FCC" w:rsidRDefault="00A21C81">
      <w:pPr>
        <w:ind w:firstLine="238"/>
      </w:pPr>
      <w:r>
        <w:rPr>
          <w:rFonts w:cs="EB Garamond"/>
          <w:kern w:val="16"/>
          <w14:ligatures w14:val="standardContextual"/>
        </w:rPr>
        <w:t>A partir do 16º dia, quando o INSS assume o pagamento do benefício por incapacidade temporária acidentário (B91), o período é integralmente computado como tempo de contribuição sem necessidade de recolhimento pelo segurado. A empresa mantém a obrigação de depositar o FGTS durante todo o afastamento acidentário — obrigação que não se confunde com a contribuição previdenciária.</w:t>
      </w:r>
    </w:p>
    <w:p w14:paraId="50F04C01" w14:textId="77777777" w:rsidR="005A5FCC" w:rsidRDefault="00A21C81">
      <w:pPr>
        <w:ind w:firstLine="238"/>
      </w:pPr>
      <w:r>
        <w:rPr>
          <w:rFonts w:cs="EB Garamond"/>
          <w:kern w:val="16"/>
          <w14:ligatures w14:val="standardContextual"/>
        </w:rPr>
        <w:t>Nos JEFs, a questão acidentária repercute no custeio quando o segurado retorna ao trabalho e o INSS não computa corretamente o período de afastamento como tempo de contribuição. A retificação do CNIS para inclusão do período acidentário é demanda frequente, especialmente para segurados com múltiplos afastamentos (recidiva da lesão, reagravamento).</w:t>
      </w:r>
    </w:p>
    <w:p w14:paraId="2DA0A220" w14:textId="77777777" w:rsidR="005A5FCC" w:rsidRDefault="00A21C81">
      <w:pPr>
        <w:spacing w:before="260" w:after="80" w:line="240" w:lineRule="auto"/>
        <w:jc w:val="left"/>
      </w:pPr>
      <w:r>
        <w:rPr>
          <w:rFonts w:cs="EB Garamond"/>
          <w:b/>
          <w:color w:val="3A3128"/>
          <w:kern w:val="16"/>
          <w:sz w:val="25"/>
          <w14:ligatures w14:val="standardContextual"/>
        </w:rPr>
        <w:t>4.16.5 Recebimento de seguro-desemprego</w:t>
      </w:r>
    </w:p>
    <w:p w14:paraId="06785E59"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52C84310" w14:textId="77777777" w:rsidR="005A5FCC" w:rsidRDefault="00A21C81">
      <w:r>
        <w:rPr>
          <w:rFonts w:cs="EB Garamond"/>
          <w:kern w:val="16"/>
          <w14:ligatures w14:val="standardContextual"/>
        </w:rPr>
        <w:t xml:space="preserve"> período em que o trabalhador recebe seguro-desemprego conta como período de graça (manutenção da qualidade de segurado), mas não gera tempo de contribuição nem carência. Se o desempregado deseja manter a contagem de tempo, pode inscrever-se como segurado facultativo e contribuir voluntariamente.</w:t>
      </w:r>
    </w:p>
    <w:tbl>
      <w:tblPr>
        <w:tblW w:w="5000" w:type="pct"/>
        <w:jc w:val="center"/>
        <w:tblLayout w:type="fixed"/>
        <w:tblLook w:val="04A0" w:firstRow="1" w:lastRow="0" w:firstColumn="1" w:lastColumn="0" w:noHBand="0" w:noVBand="1"/>
      </w:tblPr>
      <w:tblGrid>
        <w:gridCol w:w="6311"/>
      </w:tblGrid>
      <w:tr w:rsidR="005A5FCC" w14:paraId="5459939F"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67C1A8A2"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0B6F374E" w14:textId="77777777" w:rsidR="005A5FCC" w:rsidRDefault="00A21C81">
            <w:pPr>
              <w:spacing w:after="60" w:line="247" w:lineRule="auto"/>
            </w:pPr>
            <w:r>
              <w:rPr>
                <w:rFonts w:cs="EB Garamond"/>
                <w:b/>
                <w:kern w:val="16"/>
                <w:sz w:val="19"/>
                <w14:ligatures w14:val="standardContextual"/>
              </w:rPr>
              <w:t>Estratégia — Manutenção da carência durante desemprego:</w:t>
            </w:r>
          </w:p>
          <w:p w14:paraId="44A966C1" w14:textId="77777777" w:rsidR="005A5FCC" w:rsidRDefault="00A21C81">
            <w:pPr>
              <w:spacing w:after="60" w:line="247" w:lineRule="auto"/>
            </w:pPr>
            <w:r>
              <w:rPr>
                <w:rFonts w:cs="EB Garamond"/>
                <w:kern w:val="16"/>
                <w:sz w:val="19"/>
                <w14:ligatures w14:val="standardContextual"/>
              </w:rPr>
              <w:t>Carlos, 55 anos, foi demitido após 28 anos de CLT. Tem 168 meses de carência contados no CNIS. Precisa de 180 (15 anos) para aposentadoria programada.</w:t>
            </w:r>
          </w:p>
          <w:p w14:paraId="31D7D587" w14:textId="77777777" w:rsidR="005A5FCC" w:rsidRDefault="00A21C81">
            <w:pPr>
              <w:spacing w:after="60" w:line="247" w:lineRule="auto"/>
            </w:pPr>
            <w:r>
              <w:rPr>
                <w:rFonts w:cs="EB Garamond"/>
                <w:kern w:val="16"/>
                <w:sz w:val="19"/>
                <w14:ligatures w14:val="standardContextual"/>
              </w:rPr>
              <w:t>Opção 1: Inscrever-se como facultativo (código 1406/1473) e contribuir os 12 meses restantes. - Custo (plano simplificado): 12 x R$ 178,31 = R$ 2.139,72 - Resultado: completa 180 contribuições de carência em 12 meses.</w:t>
            </w:r>
          </w:p>
          <w:p w14:paraId="40276699" w14:textId="77777777" w:rsidR="005A5FCC" w:rsidRDefault="00A21C81">
            <w:pPr>
              <w:spacing w:after="60" w:line="247" w:lineRule="auto"/>
            </w:pPr>
            <w:r>
              <w:rPr>
                <w:rFonts w:cs="EB Garamond"/>
                <w:kern w:val="16"/>
                <w:sz w:val="19"/>
                <w14:ligatures w14:val="standardContextual"/>
              </w:rPr>
              <w:t>Opção 2: Aguardar nova colocação e contar o período de emprego futuro. - Risco: se o período de graça expirar antes de nova contribuição, perde a qualidade de segurado e a carência anterior não será aproveitada diretamente (</w:t>
            </w:r>
            <w:commentRangeStart w:id="6"/>
            <w:r>
              <w:rPr>
                <w:rFonts w:cs="EB Garamond"/>
                <w:kern w:val="16"/>
                <w:sz w:val="19"/>
                <w14:ligatures w14:val="standardContextual"/>
              </w:rPr>
              <w:t>art. 24, parágrafo único</w:t>
            </w:r>
            <w:commentRangeEnd w:id="6"/>
            <w:r w:rsidR="00D927D5">
              <w:rPr>
                <w:rStyle w:val="Refdecomentrio"/>
                <w:rFonts w:cs="EB Garamond"/>
                <w:kern w:val="16"/>
                <w:sz w:val="19"/>
                <w:szCs w:val="22"/>
                <w14:ligatures w14:val="standardContextual"/>
              </w:rPr>
              <w:commentReference w:id="6"/>
            </w:r>
            <w:r>
              <w:rPr>
                <w:rFonts w:cs="EB Garamond"/>
                <w:kern w:val="16"/>
                <w:sz w:val="19"/>
                <w14:ligatures w14:val="standardContextual"/>
              </w:rPr>
              <w:t>, Lei 8.213/91).</w:t>
            </w:r>
          </w:p>
          <w:p w14:paraId="4297CB28" w14:textId="77777777" w:rsidR="005A5FCC" w:rsidRDefault="00A21C81">
            <w:pPr>
              <w:spacing w:after="60" w:line="247" w:lineRule="auto"/>
            </w:pPr>
            <w:r>
              <w:rPr>
                <w:rFonts w:cs="EB Garamond"/>
                <w:b/>
                <w:kern w:val="16"/>
                <w:sz w:val="19"/>
                <w14:ligatures w14:val="standardContextual"/>
              </w:rPr>
              <w:t>Recomendação:</w:t>
            </w:r>
            <w:r>
              <w:rPr>
                <w:rFonts w:cs="EB Garamond"/>
                <w:kern w:val="16"/>
                <w:sz w:val="19"/>
                <w14:ligatures w14:val="standardContextual"/>
              </w:rPr>
              <w:t xml:space="preserve"> Para segurados próximos de completar carência ou tempo de contribuição, a contribuição como facultativo durante o desemprego é investimento de retorno garantido.</w:t>
            </w:r>
          </w:p>
        </w:tc>
      </w:tr>
    </w:tbl>
    <w:p w14:paraId="0B812FA7" w14:textId="77777777" w:rsidR="005A5FCC" w:rsidRDefault="005A5FCC">
      <w:pPr>
        <w:spacing w:after="80" w:line="240" w:lineRule="auto"/>
      </w:pPr>
    </w:p>
    <w:p w14:paraId="760DDAED"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4.17 Compensação previdenciária entre regimes</w:t>
      </w:r>
    </w:p>
    <w:p w14:paraId="0C94BE52" w14:textId="77777777" w:rsidR="005A5FCC" w:rsidRDefault="00A21C81">
      <w:pPr>
        <w:spacing w:before="260" w:after="80" w:line="240" w:lineRule="auto"/>
        <w:jc w:val="left"/>
      </w:pPr>
      <w:r>
        <w:rPr>
          <w:rFonts w:cs="EB Garamond"/>
          <w:b/>
          <w:color w:val="3A3128"/>
          <w:kern w:val="16"/>
          <w:sz w:val="25"/>
          <w14:ligatures w14:val="standardContextual"/>
        </w:rPr>
        <w:t>4.17.1 Fundamento legal e finalidade</w:t>
      </w:r>
    </w:p>
    <w:p w14:paraId="41560BF5"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1D158A60" w14:textId="77777777" w:rsidR="005A5FCC" w:rsidRDefault="00A21C81">
      <w:r>
        <w:rPr>
          <w:rFonts w:cs="EB Garamond"/>
          <w:kern w:val="16"/>
          <w14:ligatures w14:val="standardContextual"/>
        </w:rPr>
        <w:t xml:space="preserve"> Lei 9.796/99, regulamentada pelo Decreto 10.188/2019 (que revogou o antigo Decreto 3.112/99), instituiu a compensação financeira entre o RGPS e os Regimes Próprios de Previdência Social (RPPSs). O mecanismo visa equilibrar os fluxos financeiros quando um segurado contribuiu para mais de um regime e obtém benefício em apenas um deles, com cômputo de tempo do outro (contagem recíproca).</w:t>
      </w:r>
    </w:p>
    <w:p w14:paraId="5E6A4C94" w14:textId="77777777" w:rsidR="005A5FCC" w:rsidRDefault="00A21C81">
      <w:pPr>
        <w:ind w:firstLine="238"/>
      </w:pPr>
      <w:r>
        <w:rPr>
          <w:rFonts w:cs="EB Garamond"/>
          <w:kern w:val="16"/>
          <w14:ligatures w14:val="standardContextual"/>
        </w:rPr>
        <w:t>O art. 201, § 9º, da CF/88 prevê a contagem recíproca entre o RGPS e os RPPSs. Quando um servidor público, por exemplo, averba no RPPS período contributivo ao RGPS (via Certidão de Tempo de Contribuição — CTC), o regime que concede o benefício (instituidor) tem direito a ser compensado pelo regime que recebeu as contribuições (de origem).</w:t>
      </w:r>
    </w:p>
    <w:p w14:paraId="2F08C373" w14:textId="77777777" w:rsidR="005A5FCC" w:rsidRDefault="00A21C81">
      <w:pPr>
        <w:spacing w:before="260" w:after="80" w:line="240" w:lineRule="auto"/>
        <w:jc w:val="left"/>
      </w:pPr>
      <w:r>
        <w:rPr>
          <w:rFonts w:cs="EB Garamond"/>
          <w:b/>
          <w:color w:val="3A3128"/>
          <w:kern w:val="16"/>
          <w:sz w:val="25"/>
          <w14:ligatures w14:val="standardContextual"/>
        </w:rPr>
        <w:t>4.17.2 COMPREV: o sistema de compensação</w:t>
      </w:r>
    </w:p>
    <w:p w14:paraId="7E3EEC03"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O</w:t>
      </w:r>
    </w:p>
    <w:p w14:paraId="4EF13C1B" w14:textId="77777777" w:rsidR="005A5FCC" w:rsidRDefault="00A21C81">
      <w:r>
        <w:rPr>
          <w:rFonts w:cs="EB Garamond"/>
          <w:kern w:val="16"/>
          <w14:ligatures w14:val="standardContextual"/>
        </w:rPr>
        <w:t xml:space="preserve"> COMPREV é o sistema informatizado que operacionaliza a compensação previdenciária. Administrado pela Secretaria de Previdência (vinculada ao Ministério da Fazenda), processa os requerimentos de compensação e efetua os cálculos conforme os parâmetros legais. A compensação é devida mensalmente, enquanto perdurar o pagamento do benefício. O tratamento detalhado do COMPREV é feito no Capítulo 5, ao tratar da contagem recíproca e da CTC.</w:t>
      </w:r>
    </w:p>
    <w:tbl>
      <w:tblPr>
        <w:tblW w:w="5000" w:type="pct"/>
        <w:jc w:val="center"/>
        <w:tblLayout w:type="fixed"/>
        <w:tblLook w:val="04A0" w:firstRow="1" w:lastRow="0" w:firstColumn="1" w:lastColumn="0" w:noHBand="0" w:noVBand="1"/>
      </w:tblPr>
      <w:tblGrid>
        <w:gridCol w:w="6311"/>
      </w:tblGrid>
      <w:tr w:rsidR="005A5FCC" w14:paraId="4446587D"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179BABF5"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4A2088CE" w14:textId="77777777" w:rsidR="005A5FCC" w:rsidRDefault="00A21C81">
            <w:pPr>
              <w:spacing w:after="60" w:line="247" w:lineRule="auto"/>
            </w:pPr>
            <w:r>
              <w:rPr>
                <w:rFonts w:cs="EB Garamond"/>
                <w:b/>
                <w:kern w:val="16"/>
                <w:sz w:val="19"/>
                <w14:ligatures w14:val="standardContextual"/>
              </w:rPr>
              <w:t>Exemplo de compensação previdenciária:</w:t>
            </w:r>
          </w:p>
          <w:p w14:paraId="5D2D2685" w14:textId="77777777" w:rsidR="005A5FCC" w:rsidRDefault="00A21C81">
            <w:pPr>
              <w:spacing w:after="60" w:line="247" w:lineRule="auto"/>
            </w:pPr>
            <w:r>
              <w:rPr>
                <w:rFonts w:cs="EB Garamond"/>
                <w:kern w:val="16"/>
                <w:sz w:val="19"/>
                <w14:ligatures w14:val="standardContextual"/>
              </w:rPr>
              <w:t>Ana trabalhou 15 anos como servidora pública estadual (RPPS) e 20 anos na iniciativa privada (RGPS). Aposenta-se pelo RGPS com contagem recíproca (CTC do RPPS averbada no INSS).</w:t>
            </w:r>
          </w:p>
          <w:p w14:paraId="282B946F" w14:textId="77777777" w:rsidR="005A5FCC" w:rsidRDefault="00A21C81">
            <w:pPr>
              <w:spacing w:after="30" w:line="240" w:lineRule="auto"/>
              <w:ind w:left="227" w:hanging="142"/>
            </w:pPr>
            <w:r>
              <w:rPr>
                <w:rFonts w:cs="EB Garamond"/>
                <w:kern w:val="16"/>
                <w:sz w:val="19"/>
                <w14:ligatures w14:val="standardContextual"/>
              </w:rPr>
              <w:t>• Tempo total: 35 anos</w:t>
            </w:r>
          </w:p>
          <w:p w14:paraId="2AEA312E" w14:textId="77777777" w:rsidR="005A5FCC" w:rsidRDefault="00A21C81">
            <w:pPr>
              <w:spacing w:after="30" w:line="240" w:lineRule="auto"/>
              <w:ind w:left="227" w:hanging="142"/>
            </w:pPr>
            <w:r>
              <w:rPr>
                <w:rFonts w:cs="EB Garamond"/>
                <w:kern w:val="16"/>
                <w:sz w:val="19"/>
                <w14:ligatures w14:val="standardContextual"/>
              </w:rPr>
              <w:t>• Tempo no RPPS (regime de origem): 15 anos (42,86%)</w:t>
            </w:r>
          </w:p>
          <w:p w14:paraId="756D76CB" w14:textId="77777777" w:rsidR="005A5FCC" w:rsidRDefault="00A21C81">
            <w:pPr>
              <w:spacing w:after="30" w:line="240" w:lineRule="auto"/>
              <w:ind w:left="227" w:hanging="142"/>
            </w:pPr>
            <w:r>
              <w:rPr>
                <w:rFonts w:cs="EB Garamond"/>
                <w:kern w:val="16"/>
                <w:sz w:val="19"/>
                <w14:ligatures w14:val="standardContextual"/>
              </w:rPr>
              <w:t>• Tempo no RGPS: 20 anos (57,14%)</w:t>
            </w:r>
          </w:p>
          <w:p w14:paraId="037335B9" w14:textId="77777777" w:rsidR="005A5FCC" w:rsidRDefault="00A21C81">
            <w:pPr>
              <w:spacing w:after="30" w:line="240" w:lineRule="auto"/>
              <w:ind w:left="227" w:hanging="142"/>
            </w:pPr>
            <w:r>
              <w:rPr>
                <w:rFonts w:cs="EB Garamond"/>
                <w:kern w:val="16"/>
                <w:sz w:val="19"/>
                <w14:ligatures w14:val="standardContextual"/>
              </w:rPr>
              <w:t>• Benefício mensal: R$ 4.000,00</w:t>
            </w:r>
          </w:p>
          <w:p w14:paraId="75E0A3F0" w14:textId="77777777" w:rsidR="005A5FCC" w:rsidRDefault="00A21C81">
            <w:pPr>
              <w:spacing w:after="60" w:line="247" w:lineRule="auto"/>
            </w:pPr>
            <w:r>
              <w:rPr>
                <w:rFonts w:cs="EB Garamond"/>
                <w:b/>
                <w:kern w:val="16"/>
                <w:sz w:val="19"/>
                <w14:ligatures w14:val="standardContextual"/>
              </w:rPr>
              <w:t>Compensação devida pelo RPPS estadual ao INSS:</w:t>
            </w:r>
            <w:r>
              <w:rPr>
                <w:rFonts w:cs="EB Garamond"/>
                <w:kern w:val="16"/>
                <w:sz w:val="19"/>
                <w14:ligatures w14:val="standardContextual"/>
              </w:rPr>
              <w:t xml:space="preserve"> 42,86% x R$ 4.000,00 = R$ 1.714,40/mês (enquanto perdurar o benefício).</w:t>
            </w:r>
          </w:p>
          <w:p w14:paraId="45FE350F" w14:textId="77777777" w:rsidR="005A5FCC" w:rsidRDefault="00A21C81">
            <w:pPr>
              <w:spacing w:after="60" w:line="247" w:lineRule="auto"/>
            </w:pPr>
            <w:r>
              <w:rPr>
                <w:rFonts w:cs="EB Garamond"/>
                <w:kern w:val="16"/>
                <w:sz w:val="19"/>
                <w14:ligatures w14:val="standardContextual"/>
              </w:rPr>
              <w:t>O RPPS estadual paga ao INSS essa parcela mensal, pois recebeu contribuições de Ana durante 15 anos e não está pagando nenhum benefício.</w:t>
            </w:r>
          </w:p>
        </w:tc>
      </w:tr>
    </w:tbl>
    <w:p w14:paraId="59BD9DA8" w14:textId="77777777" w:rsidR="005A5FCC" w:rsidRDefault="005A5FCC">
      <w:pPr>
        <w:spacing w:after="80" w:line="240" w:lineRule="auto"/>
      </w:pPr>
    </w:p>
    <w:p w14:paraId="5A562599" w14:textId="77777777" w:rsidR="005A5FCC" w:rsidRDefault="00A21C81">
      <w:pPr>
        <w:spacing w:before="260" w:after="80" w:line="240" w:lineRule="auto"/>
        <w:jc w:val="left"/>
      </w:pPr>
      <w:r>
        <w:rPr>
          <w:rFonts w:cs="EB Garamond"/>
          <w:b/>
          <w:color w:val="3A3128"/>
          <w:kern w:val="16"/>
          <w:sz w:val="25"/>
          <w14:ligatures w14:val="standardContextual"/>
        </w:rPr>
        <w:t>4.17.3 Relevância nos JEFs</w:t>
      </w:r>
    </w:p>
    <w:p w14:paraId="35ED4A2E"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N</w:t>
      </w:r>
    </w:p>
    <w:p w14:paraId="6B439A41" w14:textId="77777777" w:rsidR="005A5FCC" w:rsidRDefault="00A21C81">
      <w:r>
        <w:rPr>
          <w:rFonts w:cs="EB Garamond"/>
          <w:kern w:val="16"/>
          <w14:ligatures w14:val="standardContextual"/>
        </w:rPr>
        <w:t>os Juizados Especiais Federais, a compensação previdenciária surge em situações específicas:</w:t>
      </w:r>
    </w:p>
    <w:p w14:paraId="1B819DC3" w14:textId="77777777" w:rsidR="005A5FCC" w:rsidRDefault="00A21C81">
      <w:pPr>
        <w:ind w:firstLine="238"/>
      </w:pPr>
      <w:r>
        <w:rPr>
          <w:rFonts w:cs="EB Garamond"/>
          <w:kern w:val="16"/>
          <w14:ligatures w14:val="standardContextual"/>
        </w:rPr>
        <w:t xml:space="preserve">a) </w:t>
      </w:r>
      <w:r>
        <w:rPr>
          <w:rFonts w:cs="EB Garamond"/>
          <w:b/>
          <w:kern w:val="16"/>
          <w14:ligatures w14:val="standardContextual"/>
        </w:rPr>
        <w:t>Aposentadoria com contagem recíproca:</w:t>
      </w:r>
      <w:r>
        <w:rPr>
          <w:rFonts w:cs="EB Garamond"/>
          <w:kern w:val="16"/>
          <w14:ligatures w14:val="standardContextual"/>
        </w:rPr>
        <w:t xml:space="preserve"> Segurado que trabalhou parte no serviço público (RPPS) e parte na iniciativa privada (RGPS), aposentando-se pelo RGPS com cômputo de CTC. O INSS paga o benefício integral e busca compensação do RPPS.</w:t>
      </w:r>
    </w:p>
    <w:p w14:paraId="568DF5EA" w14:textId="77777777" w:rsidR="005A5FCC" w:rsidRDefault="00A21C81">
      <w:pPr>
        <w:ind w:firstLine="238"/>
      </w:pPr>
      <w:r>
        <w:rPr>
          <w:rFonts w:cs="EB Garamond"/>
          <w:kern w:val="16"/>
          <w14:ligatures w14:val="standardContextual"/>
        </w:rPr>
        <w:t xml:space="preserve">b) </w:t>
      </w:r>
      <w:r>
        <w:rPr>
          <w:rFonts w:cs="EB Garamond"/>
          <w:b/>
          <w:kern w:val="16"/>
          <w14:ligatures w14:val="standardContextual"/>
        </w:rPr>
        <w:t>Impacto indireto:</w:t>
      </w:r>
      <w:r>
        <w:rPr>
          <w:rFonts w:cs="EB Garamond"/>
          <w:kern w:val="16"/>
          <w14:ligatures w14:val="standardContextual"/>
        </w:rPr>
        <w:t xml:space="preserve"> A compensação não afeta diretamente o valor do benefício do segurado — é relação entre regimes. Entretanto, atrasos na compensação podem gerar resistência administrativa na emissão de CTCs ou na averbação de tempo.</w:t>
      </w:r>
    </w:p>
    <w:tbl>
      <w:tblPr>
        <w:tblW w:w="5000" w:type="pct"/>
        <w:jc w:val="center"/>
        <w:tblLayout w:type="fixed"/>
        <w:tblLook w:val="04A0" w:firstRow="1" w:lastRow="0" w:firstColumn="1" w:lastColumn="0" w:noHBand="0" w:noVBand="1"/>
      </w:tblPr>
      <w:tblGrid>
        <w:gridCol w:w="6311"/>
      </w:tblGrid>
      <w:tr w:rsidR="005A5FCC" w14:paraId="06BFCFCF"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1F1FF511" w14:textId="77777777" w:rsidR="005A5FCC" w:rsidRDefault="00A21C81">
            <w:pPr>
              <w:spacing w:after="60" w:line="240" w:lineRule="auto"/>
              <w:jc w:val="left"/>
            </w:pPr>
            <w:r>
              <w:rPr>
                <w:rFonts w:ascii="Noto Sans" w:hAnsi="Noto Sans" w:cs="Noto Sans"/>
                <w:b/>
                <w:caps/>
                <w:color w:val="B78B37"/>
                <w:kern w:val="16"/>
                <w:sz w:val="16"/>
                <w14:ligatures w14:val="standardContextual"/>
              </w:rPr>
              <w:lastRenderedPageBreak/>
              <w:t>ATENÇÃO</w:t>
            </w:r>
          </w:p>
          <w:p w14:paraId="28094599" w14:textId="77777777" w:rsidR="005A5FCC" w:rsidRDefault="00A21C81">
            <w:pPr>
              <w:spacing w:after="60" w:line="247" w:lineRule="auto"/>
            </w:pPr>
            <w:r>
              <w:rPr>
                <w:rFonts w:cs="EB Garamond"/>
                <w:b/>
                <w:kern w:val="16"/>
                <w:sz w:val="19"/>
                <w14:ligatures w14:val="standardContextual"/>
              </w:rPr>
              <w:t>Atenção:</w:t>
            </w:r>
            <w:r>
              <w:rPr>
                <w:rFonts w:cs="EB Garamond"/>
                <w:kern w:val="16"/>
                <w:sz w:val="19"/>
                <w14:ligatures w14:val="standardContextual"/>
              </w:rPr>
              <w:t xml:space="preserve"> O segurado não é parte na relação de compensação entre regimes. Se o INSS condicionar a concessão de benefício ao acerto financeiro com o RPPS, trata-se de conduta ilegal. O benefício deve ser concedido independentemente da compensação (art. 10, Lei 9.796/99). Havendo resistência, cabe mandado de segurança ou ação ordinária no JEF.</w:t>
            </w:r>
          </w:p>
        </w:tc>
      </w:tr>
    </w:tbl>
    <w:p w14:paraId="0793E7C8" w14:textId="77777777" w:rsidR="005A5FCC" w:rsidRDefault="005A5FCC">
      <w:pPr>
        <w:spacing w:after="80" w:line="240" w:lineRule="auto"/>
      </w:pPr>
    </w:p>
    <w:p w14:paraId="502FA43E"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4.18 Fiscalização, decadência e prescrição tributária previdenciária</w:t>
      </w:r>
    </w:p>
    <w:p w14:paraId="4EBCCE64" w14:textId="77777777" w:rsidR="005A5FCC" w:rsidRDefault="00A21C81">
      <w:pPr>
        <w:spacing w:before="260" w:after="80" w:line="240" w:lineRule="auto"/>
        <w:jc w:val="left"/>
      </w:pPr>
      <w:r>
        <w:rPr>
          <w:rFonts w:cs="EB Garamond"/>
          <w:b/>
          <w:color w:val="3A3128"/>
          <w:kern w:val="16"/>
          <w:sz w:val="25"/>
          <w14:ligatures w14:val="standardContextual"/>
        </w:rPr>
        <w:t>4.18.1 Competência fiscalizatória</w:t>
      </w:r>
    </w:p>
    <w:p w14:paraId="3C46B37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D</w:t>
      </w:r>
    </w:p>
    <w:p w14:paraId="7F5E92BF" w14:textId="77777777" w:rsidR="005A5FCC" w:rsidRDefault="00A21C81">
      <w:r>
        <w:rPr>
          <w:rFonts w:cs="EB Garamond"/>
          <w:kern w:val="16"/>
          <w14:ligatures w14:val="standardContextual"/>
        </w:rPr>
        <w:t>esde a Lei 11.457/2007, a fiscalização e a arrecadação das contribuições previdenciárias são competência da Receita Federal do Brasil (RFB), por meio da Secretaria Especial da Receita Federal. O INSS perdeu a competência para lançar e cobrar contribuições, mantendo apenas a função de analisar e conceder benefícios. Essa separação orgânica entre arrecadação (RFB) e benefícios (INSS) condiciona toda a dinâmica das ações nos JEFs.</w:t>
      </w:r>
    </w:p>
    <w:p w14:paraId="6A309907" w14:textId="77777777" w:rsidR="005A5FCC" w:rsidRDefault="00A21C81">
      <w:pPr>
        <w:ind w:firstLine="238"/>
      </w:pPr>
      <w:r>
        <w:rPr>
          <w:rFonts w:cs="EB Garamond"/>
          <w:kern w:val="16"/>
          <w14:ligatures w14:val="standardContextual"/>
        </w:rPr>
        <w:t>Na prática, o segurado que busca regularizar contribuições em atraso deve lidar com dois órgãos distintos: o INSS (para reconhecimento de atividade e cálculo da indenização) e a RFB (para emissão da guia e processamento do pagamento). A falta de integração entre os sistemas do INSS e da RFB é fonte frequente de problemas: o INSS reconhece a atividade, o segurado paga a indenização, mas o CNIS demora meses para refletir o pagamento — gerando necessidade de ação de retificação no JEF.</w:t>
      </w:r>
    </w:p>
    <w:p w14:paraId="656B9442" w14:textId="77777777" w:rsidR="005A5FCC" w:rsidRDefault="00A21C81">
      <w:pPr>
        <w:spacing w:before="260" w:after="80" w:line="240" w:lineRule="auto"/>
        <w:jc w:val="left"/>
      </w:pPr>
      <w:r>
        <w:rPr>
          <w:rFonts w:cs="EB Garamond"/>
          <w:b/>
          <w:color w:val="3A3128"/>
          <w:kern w:val="16"/>
          <w:sz w:val="25"/>
          <w14:ligatures w14:val="standardContextual"/>
        </w:rPr>
        <w:t>4.18.2 Decadência do direito de lançar (art. 45, lei 8.212/91)</w:t>
      </w:r>
    </w:p>
    <w:p w14:paraId="6B23855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4CBF1A85" w14:textId="77777777" w:rsidR="005A5FCC" w:rsidRDefault="00A21C81">
      <w:r>
        <w:rPr>
          <w:rFonts w:cs="EB Garamond"/>
          <w:kern w:val="16"/>
          <w14:ligatures w14:val="standardContextual"/>
        </w:rPr>
        <w:t xml:space="preserve"> art. 45 da Lei 8.212/91 fixa o prazo decadencial de 5 anos para que a RFB constitua o crédito tributário previdenciário. A contagem inicia-se no primeiro dia do exercício seguinte àquele em que o lançamento poderia ter </w:t>
      </w:r>
      <w:r>
        <w:rPr>
          <w:rFonts w:cs="EB Garamond"/>
          <w:kern w:val="16"/>
          <w14:ligatures w14:val="standardContextual"/>
        </w:rPr>
        <w:lastRenderedPageBreak/>
        <w:t>sido efetuado (regra geral do art. 173, I, do CTN, aplicável às contribuições previdenciárias após a unificação promovida pela Lei 11.457/2007).</w:t>
      </w:r>
    </w:p>
    <w:p w14:paraId="5A6937E8" w14:textId="77777777" w:rsidR="005A5FCC" w:rsidRDefault="00A21C81">
      <w:pPr>
        <w:ind w:firstLine="238"/>
      </w:pPr>
      <w:r>
        <w:rPr>
          <w:rFonts w:cs="EB Garamond"/>
          <w:kern w:val="16"/>
          <w14:ligatures w14:val="standardContextual"/>
        </w:rPr>
        <w:t>A decadência atinge o poder-dever da administração de lançar. Uma vez expirado o prazo, a RFB não pode mais constituir o crédito — e, consequentemente, não pode cobrar a contribuição.</w:t>
      </w:r>
    </w:p>
    <w:tbl>
      <w:tblPr>
        <w:tblW w:w="5000" w:type="pct"/>
        <w:jc w:val="center"/>
        <w:tblLayout w:type="fixed"/>
        <w:tblLook w:val="04A0" w:firstRow="1" w:lastRow="0" w:firstColumn="1" w:lastColumn="0" w:noHBand="0" w:noVBand="1"/>
      </w:tblPr>
      <w:tblGrid>
        <w:gridCol w:w="6311"/>
      </w:tblGrid>
      <w:tr w:rsidR="005A5FCC" w14:paraId="0AB054D9"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1192A616"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41FA558F" w14:textId="77777777" w:rsidR="005A5FCC" w:rsidRDefault="00A21C81">
            <w:pPr>
              <w:spacing w:after="60" w:line="247" w:lineRule="auto"/>
            </w:pPr>
            <w:r>
              <w:rPr>
                <w:rFonts w:cs="EB Garamond"/>
                <w:b/>
                <w:kern w:val="16"/>
                <w:sz w:val="19"/>
                <w14:ligatures w14:val="standardContextual"/>
              </w:rPr>
              <w:t>Atenção — A decadência do lançamento NÃO afeta o direito de indenizar:</w:t>
            </w:r>
          </w:p>
          <w:p w14:paraId="3BB1384D" w14:textId="77777777" w:rsidR="005A5FCC" w:rsidRDefault="00A21C81">
            <w:pPr>
              <w:spacing w:after="60" w:line="247" w:lineRule="auto"/>
            </w:pPr>
            <w:r>
              <w:rPr>
                <w:rFonts w:cs="EB Garamond"/>
                <w:kern w:val="16"/>
                <w:sz w:val="19"/>
                <w14:ligatures w14:val="standardContextual"/>
              </w:rPr>
              <w:t>O fato de a RFB não poder mais cobrar as contribuições de determinado período (decadência) não impede o segurado de voluntariamente indenizar esse período para cômputo de tempo. São relações jurídicas distintas: a cobrança é pretensão do fisco contra o devedor; a indenização é faculdade do segurado que busca ampliar seu tempo de contribuição.</w:t>
            </w:r>
          </w:p>
          <w:p w14:paraId="18C9A449" w14:textId="77777777" w:rsidR="005A5FCC" w:rsidRDefault="00A21C81">
            <w:pPr>
              <w:spacing w:after="60" w:line="247" w:lineRule="auto"/>
            </w:pPr>
            <w:r>
              <w:rPr>
                <w:rFonts w:cs="EB Garamond"/>
                <w:kern w:val="16"/>
                <w:sz w:val="19"/>
                <w14:ligatures w14:val="standardContextual"/>
              </w:rPr>
              <w:t>Exemplo prático: contribuições de competência 01/2015. A RFB teria até 01/2021 para lançar (5 anos). Em 2026, a cobrança estaria decaída. Mas o segurado pode, em 2026, voluntariamente indenizar janeiro/2015 para cômputo de tempo, mediante pagamento via GPS.</w:t>
            </w:r>
          </w:p>
        </w:tc>
      </w:tr>
    </w:tbl>
    <w:p w14:paraId="29B3B185" w14:textId="77777777" w:rsidR="005A5FCC" w:rsidRDefault="005A5FCC">
      <w:pPr>
        <w:spacing w:after="80" w:line="240" w:lineRule="auto"/>
      </w:pPr>
    </w:p>
    <w:p w14:paraId="6DAE06FE" w14:textId="77777777" w:rsidR="005A5FCC" w:rsidRDefault="00A21C81">
      <w:pPr>
        <w:spacing w:before="260" w:after="80" w:line="240" w:lineRule="auto"/>
        <w:jc w:val="left"/>
      </w:pPr>
      <w:r>
        <w:rPr>
          <w:rFonts w:cs="EB Garamond"/>
          <w:b/>
          <w:color w:val="3A3128"/>
          <w:kern w:val="16"/>
          <w:sz w:val="25"/>
          <w14:ligatures w14:val="standardContextual"/>
        </w:rPr>
        <w:t>4.18.3 Prescrição da ação de cobrança (art. 46, lei 8.212/91)</w:t>
      </w:r>
    </w:p>
    <w:p w14:paraId="484F29A5"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C</w:t>
      </w:r>
    </w:p>
    <w:p w14:paraId="1FFD8406" w14:textId="77777777" w:rsidR="005A5FCC" w:rsidRDefault="00A21C81">
      <w:r>
        <w:rPr>
          <w:rFonts w:cs="EB Garamond"/>
          <w:kern w:val="16"/>
          <w14:ligatures w14:val="standardContextual"/>
        </w:rPr>
        <w:t>onstituído o crédito pelo lançamento, a RFB tem 5 anos para ajuizar a execução fiscal (prescrição da pretensão executória). O prazo prescricional corre da data da constituição definitiva do crédito (inscrição em dívida ativa).</w:t>
      </w:r>
    </w:p>
    <w:p w14:paraId="5BBE8EEE" w14:textId="77777777" w:rsidR="005A5FCC" w:rsidRDefault="00A21C81">
      <w:pPr>
        <w:ind w:firstLine="238"/>
      </w:pPr>
      <w:r>
        <w:rPr>
          <w:rFonts w:cs="EB Garamond"/>
          <w:kern w:val="16"/>
          <w14:ligatures w14:val="standardContextual"/>
        </w:rPr>
        <w:t>Para o segurado, a prescrição da cobrança tem impacto direto: contribuições devidas e não cobradas dentro do prazo prescricional não podem mais ser exigidas. O segurado não é executado, mas também não tem o período computado como tempo de contribuição (salvo se voluntariamente indenizar).</w:t>
      </w:r>
    </w:p>
    <w:p w14:paraId="387E1581" w14:textId="77777777" w:rsidR="005A5FCC" w:rsidRDefault="00A21C81">
      <w:pPr>
        <w:spacing w:before="260" w:after="80" w:line="240" w:lineRule="auto"/>
        <w:jc w:val="left"/>
      </w:pPr>
      <w:r>
        <w:rPr>
          <w:rFonts w:cs="EB Garamond"/>
          <w:b/>
          <w:color w:val="3A3128"/>
          <w:kern w:val="16"/>
          <w:sz w:val="25"/>
          <w14:ligatures w14:val="standardContextual"/>
        </w:rPr>
        <w:t>4.18.4 Prazo decadencial para revisão de benefício (art. 103, lei 8.213/91)</w:t>
      </w:r>
    </w:p>
    <w:p w14:paraId="580BD5EC"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A</w:t>
      </w:r>
    </w:p>
    <w:p w14:paraId="591A9354" w14:textId="77777777" w:rsidR="005A5FCC" w:rsidRDefault="00A21C81">
      <w:r>
        <w:rPr>
          <w:rFonts w:cs="EB Garamond"/>
          <w:kern w:val="16"/>
          <w14:ligatures w14:val="standardContextual"/>
        </w:rPr>
        <w:t xml:space="preserve"> decadência previdenciária (art. 103, Lei 8.213/91 — prazo de 10 anos para revisão do ato de concessão) não se confunde com a decadência tributária que rege as contribuições. Se o INSS concedeu benefício sem computar corretamente as contribuições, o segurado tem 10 anos para pleitear a revisão. O regime completo da decadência e da prescrição previdenciária é tratado no Capítulo 21.</w:t>
      </w:r>
    </w:p>
    <w:tbl>
      <w:tblPr>
        <w:tblW w:w="5000" w:type="pct"/>
        <w:jc w:val="center"/>
        <w:tblLayout w:type="fixed"/>
        <w:tblLook w:val="04A0" w:firstRow="1" w:lastRow="0" w:firstColumn="1" w:lastColumn="0" w:noHBand="0" w:noVBand="1"/>
      </w:tblPr>
      <w:tblGrid>
        <w:gridCol w:w="6311"/>
      </w:tblGrid>
      <w:tr w:rsidR="005A5FCC" w14:paraId="54B3F31D"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6B92DA20"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7BC6EAF1" w14:textId="77777777" w:rsidR="005A5FCC" w:rsidRDefault="00A21C81">
            <w:pPr>
              <w:spacing w:after="60" w:line="247" w:lineRule="auto"/>
            </w:pPr>
            <w:r>
              <w:rPr>
                <w:rFonts w:cs="EB Garamond"/>
                <w:b/>
                <w:kern w:val="16"/>
                <w:sz w:val="19"/>
                <w14:ligatures w14:val="standardContextual"/>
              </w:rPr>
              <w:t>Quadro-resumo dos prazos:</w:t>
            </w:r>
          </w:p>
          <w:tbl>
            <w:tblPr>
              <w:tblW w:w="5000" w:type="pct"/>
              <w:jc w:val="center"/>
              <w:tblLook w:val="04A0" w:firstRow="1" w:lastRow="0" w:firstColumn="1" w:lastColumn="0" w:noHBand="0" w:noVBand="1"/>
            </w:tblPr>
            <w:tblGrid>
              <w:gridCol w:w="1476"/>
              <w:gridCol w:w="1475"/>
              <w:gridCol w:w="1475"/>
              <w:gridCol w:w="1475"/>
            </w:tblGrid>
            <w:tr w:rsidR="005A5FCC" w14:paraId="3657ED6B" w14:textId="77777777">
              <w:trPr>
                <w:tblHeader/>
                <w:jc w:val="center"/>
              </w:trPr>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1930205B" w14:textId="77777777" w:rsidR="005A5FCC" w:rsidRDefault="00A21C81">
                  <w:pPr>
                    <w:spacing w:before="30" w:after="30" w:line="240" w:lineRule="auto"/>
                    <w:jc w:val="center"/>
                  </w:pPr>
                  <w:r>
                    <w:rPr>
                      <w:rFonts w:cs="EB Garamond"/>
                      <w:b/>
                      <w:color w:val="2F2923"/>
                      <w:kern w:val="16"/>
                      <w:sz w:val="16"/>
                      <w14:ligatures w14:val="standardContextual"/>
                    </w:rPr>
                    <w:t>Prazo</w:t>
                  </w:r>
                </w:p>
              </w:tc>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6655FFD3" w14:textId="77777777" w:rsidR="005A5FCC" w:rsidRDefault="00A21C81">
                  <w:pPr>
                    <w:spacing w:before="30" w:after="30" w:line="240" w:lineRule="auto"/>
                    <w:jc w:val="center"/>
                  </w:pPr>
                  <w:r>
                    <w:rPr>
                      <w:rFonts w:cs="EB Garamond"/>
                      <w:b/>
                      <w:color w:val="2F2923"/>
                      <w:kern w:val="16"/>
                      <w:sz w:val="16"/>
                      <w14:ligatures w14:val="standardContextual"/>
                    </w:rPr>
                    <w:t>Objeto</w:t>
                  </w:r>
                </w:p>
              </w:tc>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0C442769" w14:textId="77777777" w:rsidR="005A5FCC" w:rsidRDefault="00A21C81">
                  <w:pPr>
                    <w:spacing w:before="30" w:after="30" w:line="240" w:lineRule="auto"/>
                    <w:jc w:val="center"/>
                  </w:pPr>
                  <w:r>
                    <w:rPr>
                      <w:rFonts w:cs="EB Garamond"/>
                      <w:b/>
                      <w:color w:val="2F2923"/>
                      <w:kern w:val="16"/>
                      <w:sz w:val="16"/>
                      <w14:ligatures w14:val="standardContextual"/>
                    </w:rPr>
                    <w:t>Fundamento</w:t>
                  </w:r>
                </w:p>
              </w:tc>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2DA88DE2" w14:textId="77777777" w:rsidR="005A5FCC" w:rsidRDefault="00A21C81">
                  <w:pPr>
                    <w:spacing w:before="30" w:after="30" w:line="240" w:lineRule="auto"/>
                    <w:jc w:val="center"/>
                  </w:pPr>
                  <w:r>
                    <w:rPr>
                      <w:rFonts w:cs="EB Garamond"/>
                      <w:b/>
                      <w:color w:val="2F2923"/>
                      <w:kern w:val="16"/>
                      <w:sz w:val="16"/>
                      <w14:ligatures w14:val="standardContextual"/>
                    </w:rPr>
                    <w:t>Prazo</w:t>
                  </w:r>
                </w:p>
              </w:tc>
            </w:tr>
            <w:tr w:rsidR="005A5FCC" w14:paraId="6BBEB783"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663C054D" w14:textId="77777777" w:rsidR="005A5FCC" w:rsidRDefault="00A21C81">
                  <w:pPr>
                    <w:spacing w:before="20" w:after="20" w:line="240" w:lineRule="auto"/>
                    <w:jc w:val="left"/>
                  </w:pPr>
                  <w:r>
                    <w:rPr>
                      <w:rFonts w:cs="EB Garamond"/>
                      <w:kern w:val="16"/>
                      <w:sz w:val="16"/>
                      <w14:ligatures w14:val="standardContextual"/>
                    </w:rPr>
                    <w:t>Decadência tributária</w:t>
                  </w:r>
                </w:p>
              </w:tc>
              <w:tc>
                <w:tcPr>
                  <w:tcW w:w="1587" w:type="dxa"/>
                  <w:tcBorders>
                    <w:top w:val="single" w:sz="4" w:space="0" w:color="D2C9B8"/>
                    <w:left w:val="single" w:sz="4" w:space="0" w:color="D2C9B8"/>
                    <w:bottom w:val="single" w:sz="4" w:space="0" w:color="D2C9B8"/>
                    <w:right w:val="single" w:sz="4" w:space="0" w:color="D2C9B8"/>
                  </w:tcBorders>
                </w:tcPr>
                <w:p w14:paraId="27A4363D" w14:textId="77777777" w:rsidR="005A5FCC" w:rsidRDefault="00A21C81">
                  <w:pPr>
                    <w:spacing w:before="20" w:after="20" w:line="240" w:lineRule="auto"/>
                    <w:jc w:val="left"/>
                  </w:pPr>
                  <w:r>
                    <w:rPr>
                      <w:rFonts w:cs="EB Garamond"/>
                      <w:kern w:val="16"/>
                      <w:sz w:val="16"/>
                      <w14:ligatures w14:val="standardContextual"/>
                    </w:rPr>
                    <w:t>Lançamento pela RFB</w:t>
                  </w:r>
                </w:p>
              </w:tc>
              <w:tc>
                <w:tcPr>
                  <w:tcW w:w="1587" w:type="dxa"/>
                  <w:tcBorders>
                    <w:top w:val="single" w:sz="4" w:space="0" w:color="D2C9B8"/>
                    <w:left w:val="single" w:sz="4" w:space="0" w:color="D2C9B8"/>
                    <w:bottom w:val="single" w:sz="4" w:space="0" w:color="D2C9B8"/>
                    <w:right w:val="single" w:sz="4" w:space="0" w:color="D2C9B8"/>
                  </w:tcBorders>
                </w:tcPr>
                <w:p w14:paraId="61C17EC7" w14:textId="77777777" w:rsidR="005A5FCC" w:rsidRDefault="00A21C81">
                  <w:pPr>
                    <w:spacing w:before="20" w:after="20" w:line="240" w:lineRule="auto"/>
                    <w:jc w:val="left"/>
                  </w:pPr>
                  <w:r>
                    <w:rPr>
                      <w:rFonts w:cs="EB Garamond"/>
                      <w:kern w:val="16"/>
                      <w:sz w:val="16"/>
                      <w14:ligatures w14:val="standardContextual"/>
                    </w:rPr>
                    <w:t>Art. 45, Lei 8.212/91</w:t>
                  </w:r>
                </w:p>
              </w:tc>
              <w:tc>
                <w:tcPr>
                  <w:tcW w:w="1587" w:type="dxa"/>
                  <w:tcBorders>
                    <w:top w:val="single" w:sz="4" w:space="0" w:color="D2C9B8"/>
                    <w:left w:val="single" w:sz="4" w:space="0" w:color="D2C9B8"/>
                    <w:bottom w:val="single" w:sz="4" w:space="0" w:color="D2C9B8"/>
                    <w:right w:val="single" w:sz="4" w:space="0" w:color="D2C9B8"/>
                  </w:tcBorders>
                </w:tcPr>
                <w:p w14:paraId="5729701C" w14:textId="77777777" w:rsidR="005A5FCC" w:rsidRDefault="00A21C81">
                  <w:pPr>
                    <w:spacing w:before="20" w:after="20" w:line="240" w:lineRule="auto"/>
                    <w:jc w:val="left"/>
                  </w:pPr>
                  <w:r>
                    <w:rPr>
                      <w:rFonts w:cs="EB Garamond"/>
                      <w:kern w:val="16"/>
                      <w:sz w:val="16"/>
                      <w14:ligatures w14:val="standardContextual"/>
                    </w:rPr>
                    <w:t>5 anos</w:t>
                  </w:r>
                </w:p>
              </w:tc>
            </w:tr>
            <w:tr w:rsidR="005A5FCC" w14:paraId="4AAD29CD"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0E931886" w14:textId="77777777" w:rsidR="005A5FCC" w:rsidRDefault="00A21C81">
                  <w:pPr>
                    <w:spacing w:before="20" w:after="20" w:line="240" w:lineRule="auto"/>
                    <w:jc w:val="left"/>
                  </w:pPr>
                  <w:r>
                    <w:rPr>
                      <w:rFonts w:cs="EB Garamond"/>
                      <w:kern w:val="16"/>
                      <w:sz w:val="16"/>
                      <w14:ligatures w14:val="standardContextual"/>
                    </w:rPr>
                    <w:t>Prescrição tributária</w:t>
                  </w:r>
                </w:p>
              </w:tc>
              <w:tc>
                <w:tcPr>
                  <w:tcW w:w="1587" w:type="dxa"/>
                  <w:tcBorders>
                    <w:top w:val="single" w:sz="4" w:space="0" w:color="D2C9B8"/>
                    <w:left w:val="single" w:sz="4" w:space="0" w:color="D2C9B8"/>
                    <w:bottom w:val="single" w:sz="4" w:space="0" w:color="D2C9B8"/>
                    <w:right w:val="single" w:sz="4" w:space="0" w:color="D2C9B8"/>
                  </w:tcBorders>
                </w:tcPr>
                <w:p w14:paraId="3C2090F1" w14:textId="77777777" w:rsidR="005A5FCC" w:rsidRDefault="00A21C81">
                  <w:pPr>
                    <w:spacing w:before="20" w:after="20" w:line="240" w:lineRule="auto"/>
                    <w:jc w:val="left"/>
                  </w:pPr>
                  <w:r>
                    <w:rPr>
                      <w:rFonts w:cs="EB Garamond"/>
                      <w:kern w:val="16"/>
                      <w:sz w:val="16"/>
                      <w14:ligatures w14:val="standardContextual"/>
                    </w:rPr>
                    <w:t>Cobrança (execução fiscal)</w:t>
                  </w:r>
                </w:p>
              </w:tc>
              <w:tc>
                <w:tcPr>
                  <w:tcW w:w="1587" w:type="dxa"/>
                  <w:tcBorders>
                    <w:top w:val="single" w:sz="4" w:space="0" w:color="D2C9B8"/>
                    <w:left w:val="single" w:sz="4" w:space="0" w:color="D2C9B8"/>
                    <w:bottom w:val="single" w:sz="4" w:space="0" w:color="D2C9B8"/>
                    <w:right w:val="single" w:sz="4" w:space="0" w:color="D2C9B8"/>
                  </w:tcBorders>
                </w:tcPr>
                <w:p w14:paraId="4865333C" w14:textId="77777777" w:rsidR="005A5FCC" w:rsidRDefault="00A21C81">
                  <w:pPr>
                    <w:spacing w:before="20" w:after="20" w:line="240" w:lineRule="auto"/>
                    <w:jc w:val="left"/>
                  </w:pPr>
                  <w:r>
                    <w:rPr>
                      <w:rFonts w:cs="EB Garamond"/>
                      <w:kern w:val="16"/>
                      <w:sz w:val="16"/>
                      <w14:ligatures w14:val="standardContextual"/>
                    </w:rPr>
                    <w:t>Art. 46, Lei 8.212/91</w:t>
                  </w:r>
                </w:p>
              </w:tc>
              <w:tc>
                <w:tcPr>
                  <w:tcW w:w="1587" w:type="dxa"/>
                  <w:tcBorders>
                    <w:top w:val="single" w:sz="4" w:space="0" w:color="D2C9B8"/>
                    <w:left w:val="single" w:sz="4" w:space="0" w:color="D2C9B8"/>
                    <w:bottom w:val="single" w:sz="4" w:space="0" w:color="D2C9B8"/>
                    <w:right w:val="single" w:sz="4" w:space="0" w:color="D2C9B8"/>
                  </w:tcBorders>
                </w:tcPr>
                <w:p w14:paraId="6D6B5BC9" w14:textId="77777777" w:rsidR="005A5FCC" w:rsidRDefault="00A21C81">
                  <w:pPr>
                    <w:spacing w:before="20" w:after="20" w:line="240" w:lineRule="auto"/>
                    <w:jc w:val="left"/>
                  </w:pPr>
                  <w:r>
                    <w:rPr>
                      <w:rFonts w:cs="EB Garamond"/>
                      <w:kern w:val="16"/>
                      <w:sz w:val="16"/>
                      <w14:ligatures w14:val="standardContextual"/>
                    </w:rPr>
                    <w:t>5 anos</w:t>
                  </w:r>
                </w:p>
              </w:tc>
            </w:tr>
            <w:tr w:rsidR="005A5FCC" w14:paraId="3E5B1B14"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70297A02" w14:textId="77777777" w:rsidR="005A5FCC" w:rsidRDefault="00A21C81">
                  <w:pPr>
                    <w:spacing w:before="20" w:after="20" w:line="240" w:lineRule="auto"/>
                    <w:jc w:val="left"/>
                  </w:pPr>
                  <w:r>
                    <w:rPr>
                      <w:rFonts w:cs="EB Garamond"/>
                      <w:kern w:val="16"/>
                      <w:sz w:val="16"/>
                      <w14:ligatures w14:val="standardContextual"/>
                    </w:rPr>
                    <w:t>Decadência revisional</w:t>
                  </w:r>
                </w:p>
              </w:tc>
              <w:tc>
                <w:tcPr>
                  <w:tcW w:w="1587" w:type="dxa"/>
                  <w:tcBorders>
                    <w:top w:val="single" w:sz="4" w:space="0" w:color="D2C9B8"/>
                    <w:left w:val="single" w:sz="4" w:space="0" w:color="D2C9B8"/>
                    <w:bottom w:val="single" w:sz="4" w:space="0" w:color="D2C9B8"/>
                    <w:right w:val="single" w:sz="4" w:space="0" w:color="D2C9B8"/>
                  </w:tcBorders>
                </w:tcPr>
                <w:p w14:paraId="023A8515" w14:textId="77777777" w:rsidR="005A5FCC" w:rsidRDefault="00A21C81">
                  <w:pPr>
                    <w:spacing w:before="20" w:after="20" w:line="240" w:lineRule="auto"/>
                    <w:jc w:val="left"/>
                  </w:pPr>
                  <w:r>
                    <w:rPr>
                      <w:rFonts w:cs="EB Garamond"/>
                      <w:kern w:val="16"/>
                      <w:sz w:val="16"/>
                      <w14:ligatures w14:val="standardContextual"/>
                    </w:rPr>
                    <w:t>Revisão do ato de concessão</w:t>
                  </w:r>
                </w:p>
              </w:tc>
              <w:tc>
                <w:tcPr>
                  <w:tcW w:w="1587" w:type="dxa"/>
                  <w:tcBorders>
                    <w:top w:val="single" w:sz="4" w:space="0" w:color="D2C9B8"/>
                    <w:left w:val="single" w:sz="4" w:space="0" w:color="D2C9B8"/>
                    <w:bottom w:val="single" w:sz="4" w:space="0" w:color="D2C9B8"/>
                    <w:right w:val="single" w:sz="4" w:space="0" w:color="D2C9B8"/>
                  </w:tcBorders>
                </w:tcPr>
                <w:p w14:paraId="1A102EE7" w14:textId="77777777" w:rsidR="005A5FCC" w:rsidRDefault="00A21C81">
                  <w:pPr>
                    <w:spacing w:before="20" w:after="20" w:line="240" w:lineRule="auto"/>
                    <w:jc w:val="left"/>
                  </w:pPr>
                  <w:r>
                    <w:rPr>
                      <w:rFonts w:cs="EB Garamond"/>
                      <w:kern w:val="16"/>
                      <w:sz w:val="16"/>
                      <w14:ligatures w14:val="standardContextual"/>
                    </w:rPr>
                    <w:t>Art. 103, Lei 8.213/91</w:t>
                  </w:r>
                </w:p>
              </w:tc>
              <w:tc>
                <w:tcPr>
                  <w:tcW w:w="1587" w:type="dxa"/>
                  <w:tcBorders>
                    <w:top w:val="single" w:sz="4" w:space="0" w:color="D2C9B8"/>
                    <w:left w:val="single" w:sz="4" w:space="0" w:color="D2C9B8"/>
                    <w:bottom w:val="single" w:sz="4" w:space="0" w:color="D2C9B8"/>
                    <w:right w:val="single" w:sz="4" w:space="0" w:color="D2C9B8"/>
                  </w:tcBorders>
                </w:tcPr>
                <w:p w14:paraId="79E41734" w14:textId="77777777" w:rsidR="005A5FCC" w:rsidRDefault="00A21C81">
                  <w:pPr>
                    <w:spacing w:before="20" w:after="20" w:line="240" w:lineRule="auto"/>
                    <w:jc w:val="left"/>
                  </w:pPr>
                  <w:r>
                    <w:rPr>
                      <w:rFonts w:cs="EB Garamond"/>
                      <w:kern w:val="16"/>
                      <w:sz w:val="16"/>
                      <w14:ligatures w14:val="standardContextual"/>
                    </w:rPr>
                    <w:t>10 anos</w:t>
                  </w:r>
                </w:p>
              </w:tc>
            </w:tr>
            <w:tr w:rsidR="005A5FCC" w14:paraId="714F6DF9"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482AAB67" w14:textId="77777777" w:rsidR="005A5FCC" w:rsidRDefault="00A21C81">
                  <w:pPr>
                    <w:spacing w:before="20" w:after="20" w:line="240" w:lineRule="auto"/>
                    <w:jc w:val="left"/>
                  </w:pPr>
                  <w:r>
                    <w:rPr>
                      <w:rFonts w:cs="EB Garamond"/>
                      <w:kern w:val="16"/>
                      <w:sz w:val="16"/>
                      <w14:ligatures w14:val="standardContextual"/>
                    </w:rPr>
                    <w:t>Prescrição das parcelas</w:t>
                  </w:r>
                </w:p>
              </w:tc>
              <w:tc>
                <w:tcPr>
                  <w:tcW w:w="1587" w:type="dxa"/>
                  <w:tcBorders>
                    <w:top w:val="single" w:sz="4" w:space="0" w:color="D2C9B8"/>
                    <w:left w:val="single" w:sz="4" w:space="0" w:color="D2C9B8"/>
                    <w:bottom w:val="single" w:sz="4" w:space="0" w:color="D2C9B8"/>
                    <w:right w:val="single" w:sz="4" w:space="0" w:color="D2C9B8"/>
                  </w:tcBorders>
                </w:tcPr>
                <w:p w14:paraId="27FE5FCB" w14:textId="77777777" w:rsidR="005A5FCC" w:rsidRDefault="00A21C81">
                  <w:pPr>
                    <w:spacing w:before="20" w:after="20" w:line="240" w:lineRule="auto"/>
                    <w:jc w:val="left"/>
                  </w:pPr>
                  <w:r>
                    <w:rPr>
                      <w:rFonts w:cs="EB Garamond"/>
                      <w:kern w:val="16"/>
                      <w:sz w:val="16"/>
                      <w14:ligatures w14:val="standardContextual"/>
                    </w:rPr>
                    <w:t>Parcelas de benefício não pagas</w:t>
                  </w:r>
                </w:p>
              </w:tc>
              <w:tc>
                <w:tcPr>
                  <w:tcW w:w="1587" w:type="dxa"/>
                  <w:tcBorders>
                    <w:top w:val="single" w:sz="4" w:space="0" w:color="D2C9B8"/>
                    <w:left w:val="single" w:sz="4" w:space="0" w:color="D2C9B8"/>
                    <w:bottom w:val="single" w:sz="4" w:space="0" w:color="D2C9B8"/>
                    <w:right w:val="single" w:sz="4" w:space="0" w:color="D2C9B8"/>
                  </w:tcBorders>
                </w:tcPr>
                <w:p w14:paraId="64ADAC43" w14:textId="77777777" w:rsidR="005A5FCC" w:rsidRDefault="00A21C81">
                  <w:pPr>
                    <w:spacing w:before="20" w:after="20" w:line="240" w:lineRule="auto"/>
                    <w:jc w:val="left"/>
                  </w:pPr>
                  <w:r>
                    <w:rPr>
                      <w:rFonts w:cs="EB Garamond"/>
                      <w:kern w:val="16"/>
                      <w:sz w:val="16"/>
                      <w14:ligatures w14:val="standardContextual"/>
                    </w:rPr>
                    <w:t>Art. 103, par. ún.</w:t>
                  </w:r>
                </w:p>
              </w:tc>
              <w:tc>
                <w:tcPr>
                  <w:tcW w:w="1587" w:type="dxa"/>
                  <w:tcBorders>
                    <w:top w:val="single" w:sz="4" w:space="0" w:color="D2C9B8"/>
                    <w:left w:val="single" w:sz="4" w:space="0" w:color="D2C9B8"/>
                    <w:bottom w:val="single" w:sz="4" w:space="0" w:color="D2C9B8"/>
                    <w:right w:val="single" w:sz="4" w:space="0" w:color="D2C9B8"/>
                  </w:tcBorders>
                </w:tcPr>
                <w:p w14:paraId="75B6650C" w14:textId="77777777" w:rsidR="005A5FCC" w:rsidRDefault="00A21C81">
                  <w:pPr>
                    <w:spacing w:before="20" w:after="20" w:line="240" w:lineRule="auto"/>
                    <w:jc w:val="left"/>
                  </w:pPr>
                  <w:r>
                    <w:rPr>
                      <w:rFonts w:cs="EB Garamond"/>
                      <w:kern w:val="16"/>
                      <w:sz w:val="16"/>
                      <w14:ligatures w14:val="standardContextual"/>
                    </w:rPr>
                    <w:t>5 anos</w:t>
                  </w:r>
                </w:p>
              </w:tc>
            </w:tr>
            <w:tr w:rsidR="005A5FCC" w14:paraId="42DFBE59"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0F3AE9F6" w14:textId="77777777" w:rsidR="005A5FCC" w:rsidRDefault="00A21C81">
                  <w:pPr>
                    <w:spacing w:before="20" w:after="20" w:line="240" w:lineRule="auto"/>
                    <w:jc w:val="left"/>
                  </w:pPr>
                  <w:r>
                    <w:rPr>
                      <w:rFonts w:cs="EB Garamond"/>
                      <w:kern w:val="16"/>
                      <w:sz w:val="16"/>
                      <w14:ligatures w14:val="standardContextual"/>
                    </w:rPr>
                    <w:t>Direito de indenizar</w:t>
                  </w:r>
                </w:p>
              </w:tc>
              <w:tc>
                <w:tcPr>
                  <w:tcW w:w="1587" w:type="dxa"/>
                  <w:tcBorders>
                    <w:top w:val="single" w:sz="4" w:space="0" w:color="D2C9B8"/>
                    <w:left w:val="single" w:sz="4" w:space="0" w:color="D2C9B8"/>
                    <w:bottom w:val="single" w:sz="4" w:space="0" w:color="D2C9B8"/>
                    <w:right w:val="single" w:sz="4" w:space="0" w:color="D2C9B8"/>
                  </w:tcBorders>
                </w:tcPr>
                <w:p w14:paraId="622E499F" w14:textId="77777777" w:rsidR="005A5FCC" w:rsidRDefault="00A21C81">
                  <w:pPr>
                    <w:spacing w:before="20" w:after="20" w:line="240" w:lineRule="auto"/>
                    <w:jc w:val="left"/>
                  </w:pPr>
                  <w:r>
                    <w:rPr>
                      <w:rFonts w:cs="EB Garamond"/>
                      <w:kern w:val="16"/>
                      <w:sz w:val="16"/>
                      <w14:ligatures w14:val="standardContextual"/>
                    </w:rPr>
                    <w:t>Pagamento voluntário de contribuições</w:t>
                  </w:r>
                </w:p>
              </w:tc>
              <w:tc>
                <w:tcPr>
                  <w:tcW w:w="1587" w:type="dxa"/>
                  <w:tcBorders>
                    <w:top w:val="single" w:sz="4" w:space="0" w:color="D2C9B8"/>
                    <w:left w:val="single" w:sz="4" w:space="0" w:color="D2C9B8"/>
                    <w:bottom w:val="single" w:sz="4" w:space="0" w:color="D2C9B8"/>
                    <w:right w:val="single" w:sz="4" w:space="0" w:color="D2C9B8"/>
                  </w:tcBorders>
                </w:tcPr>
                <w:p w14:paraId="24CB4F00" w14:textId="77777777" w:rsidR="005A5FCC" w:rsidRDefault="00A21C81">
                  <w:pPr>
                    <w:spacing w:before="20" w:after="20" w:line="240" w:lineRule="auto"/>
                    <w:jc w:val="left"/>
                  </w:pPr>
                  <w:r>
                    <w:rPr>
                      <w:rFonts w:cs="EB Garamond"/>
                      <w:kern w:val="16"/>
                      <w:sz w:val="16"/>
                      <w14:ligatures w14:val="standardContextual"/>
                    </w:rPr>
                    <w:t>Art. 45-A</w:t>
                  </w:r>
                </w:p>
              </w:tc>
              <w:tc>
                <w:tcPr>
                  <w:tcW w:w="1587" w:type="dxa"/>
                  <w:tcBorders>
                    <w:top w:val="single" w:sz="4" w:space="0" w:color="D2C9B8"/>
                    <w:left w:val="single" w:sz="4" w:space="0" w:color="D2C9B8"/>
                    <w:bottom w:val="single" w:sz="4" w:space="0" w:color="D2C9B8"/>
                    <w:right w:val="single" w:sz="4" w:space="0" w:color="D2C9B8"/>
                  </w:tcBorders>
                </w:tcPr>
                <w:p w14:paraId="26A27E9B" w14:textId="77777777" w:rsidR="005A5FCC" w:rsidRDefault="00A21C81">
                  <w:pPr>
                    <w:spacing w:before="20" w:after="20" w:line="240" w:lineRule="auto"/>
                    <w:jc w:val="left"/>
                  </w:pPr>
                  <w:r>
                    <w:rPr>
                      <w:rFonts w:cs="EB Garamond"/>
                      <w:kern w:val="16"/>
                      <w:sz w:val="16"/>
                      <w14:ligatures w14:val="standardContextual"/>
                    </w:rPr>
                    <w:t>SEM PRAZO</w:t>
                  </w:r>
                </w:p>
              </w:tc>
            </w:tr>
          </w:tbl>
          <w:p w14:paraId="1C964575" w14:textId="77777777" w:rsidR="005A5FCC" w:rsidRDefault="005A5FCC"/>
          <w:p w14:paraId="4BF36D46" w14:textId="77777777" w:rsidR="005A5FCC" w:rsidRDefault="005A5FCC">
            <w:pPr>
              <w:spacing w:after="0" w:line="240" w:lineRule="auto"/>
            </w:pPr>
          </w:p>
        </w:tc>
      </w:tr>
    </w:tbl>
    <w:p w14:paraId="168293D4" w14:textId="77777777" w:rsidR="005A5FCC" w:rsidRDefault="005A5FCC">
      <w:pPr>
        <w:spacing w:after="80" w:line="240" w:lineRule="auto"/>
      </w:pPr>
    </w:p>
    <w:p w14:paraId="2A6DDBE5" w14:textId="77777777" w:rsidR="005A5FCC" w:rsidRDefault="00A21C81">
      <w:pPr>
        <w:spacing w:before="260" w:after="80" w:line="240" w:lineRule="auto"/>
        <w:jc w:val="left"/>
      </w:pPr>
      <w:r>
        <w:rPr>
          <w:rFonts w:cs="EB Garamond"/>
          <w:b/>
          <w:color w:val="3A3128"/>
          <w:kern w:val="16"/>
          <w:sz w:val="25"/>
          <w14:ligatures w14:val="standardContextual"/>
        </w:rPr>
        <w:t>4.18.5 Auto de infração e procedimento fiscal</w:t>
      </w:r>
    </w:p>
    <w:p w14:paraId="5399BCA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Q</w:t>
      </w:r>
    </w:p>
    <w:p w14:paraId="4BE7320D" w14:textId="77777777" w:rsidR="005A5FCC" w:rsidRDefault="00A21C81">
      <w:r>
        <w:rPr>
          <w:rFonts w:cs="EB Garamond"/>
          <w:kern w:val="16"/>
          <w14:ligatures w14:val="standardContextual"/>
        </w:rPr>
        <w:t>uando a RFB constata irregularidades no recolhimento de contribuições (omissão, subregistro de remuneração, classificação indevida de parcelas como indenizatórias), lavra auto de infração com a constituição do crédito tributário. O empregador pode impugnar administrativamente (Delegacia de Julgamento da RFB — DRJ, com recurso ao CARF) ou judicialmente (ação anulatória).</w:t>
      </w:r>
    </w:p>
    <w:p w14:paraId="7F77FF53" w14:textId="77777777" w:rsidR="005A5FCC" w:rsidRDefault="00A21C81">
      <w:pPr>
        <w:ind w:firstLine="238"/>
      </w:pPr>
      <w:r>
        <w:rPr>
          <w:rFonts w:cs="EB Garamond"/>
          <w:kern w:val="16"/>
          <w14:ligatures w14:val="standardContextual"/>
        </w:rPr>
        <w:t xml:space="preserve">Para o segurado, o resultado do procedimento fiscal pode ter impacto positivo: se a RFB obriga o empregador a recolher diferenças de contribuição, o CNIS será retificado para refletir a remuneração correta — elevando o salário de contribuição e, potencialmente, o valor do benefício. Nos JEFs, o segurado pode invocar </w:t>
      </w:r>
      <w:r>
        <w:rPr>
          <w:rFonts w:cs="EB Garamond"/>
          <w:kern w:val="16"/>
          <w14:ligatures w14:val="standardContextual"/>
        </w:rPr>
        <w:lastRenderedPageBreak/>
        <w:t>os autos de infração lavrados contra o empregador como prova da remuneração efetiva em ações de retificação de CNIS.</w:t>
      </w:r>
    </w:p>
    <w:p w14:paraId="398B14DB" w14:textId="77777777" w:rsidR="005A5FCC" w:rsidRDefault="00A21C81">
      <w:pPr>
        <w:spacing w:before="260" w:after="80" w:line="240" w:lineRule="auto"/>
        <w:jc w:val="left"/>
      </w:pPr>
      <w:r>
        <w:rPr>
          <w:rFonts w:cs="EB Garamond"/>
          <w:b/>
          <w:color w:val="3A3128"/>
          <w:kern w:val="16"/>
          <w:sz w:val="25"/>
          <w14:ligatures w14:val="standardContextual"/>
        </w:rPr>
        <w:t>4.18.6 Obrigações acessórias e penalidades</w:t>
      </w:r>
    </w:p>
    <w:p w14:paraId="27ABD938"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06B91403" w14:textId="77777777" w:rsidR="005A5FCC" w:rsidRDefault="00A21C81">
      <w:r>
        <w:rPr>
          <w:rFonts w:cs="EB Garamond"/>
          <w:kern w:val="16"/>
          <w14:ligatures w14:val="standardContextual"/>
        </w:rPr>
        <w:t>lém do recolhimento das contribuições (obrigação principal), empregadores e segurados estão sujeitos a diversas obrigações acessórias cujo descumprimento gera multas administrativas. As principais obrigações acessórias no âmbito previdenciário são:</w:t>
      </w:r>
    </w:p>
    <w:p w14:paraId="05416254" w14:textId="77777777" w:rsidR="005A5FCC" w:rsidRDefault="00A21C81">
      <w:pPr>
        <w:ind w:firstLine="238"/>
      </w:pPr>
      <w:r>
        <w:rPr>
          <w:rFonts w:cs="EB Garamond"/>
          <w:kern w:val="16"/>
          <w14:ligatures w14:val="standardContextual"/>
        </w:rPr>
        <w:t xml:space="preserve">a) </w:t>
      </w:r>
      <w:r>
        <w:rPr>
          <w:rFonts w:cs="EB Garamond"/>
          <w:b/>
          <w:kern w:val="16"/>
          <w14:ligatures w14:val="standardContextual"/>
        </w:rPr>
        <w:t>eSocial (empregadores):</w:t>
      </w:r>
      <w:r>
        <w:rPr>
          <w:rFonts w:cs="EB Garamond"/>
          <w:kern w:val="16"/>
          <w14:ligatures w14:val="standardContextual"/>
        </w:rPr>
        <w:t xml:space="preserve"> Envio tempestivo dos eventos de admissão (S-2200, até o dia anterior ao início do trabalho), remuneração (S-1200, mensal), desligamento (S-2299) e condições ambientais (S-2240). Atraso ou omissão gera multa administrativa de R$ 500,00 a R$ 1.500,00 por evento, conforme art. 47, § 2º, Lei 8.212/91.</w:t>
      </w:r>
    </w:p>
    <w:p w14:paraId="3865DC93" w14:textId="77777777" w:rsidR="005A5FCC" w:rsidRDefault="00A21C81">
      <w:pPr>
        <w:ind w:firstLine="238"/>
      </w:pPr>
      <w:r>
        <w:rPr>
          <w:rFonts w:cs="EB Garamond"/>
          <w:kern w:val="16"/>
          <w14:ligatures w14:val="standardContextual"/>
        </w:rPr>
        <w:t xml:space="preserve">b) </w:t>
      </w:r>
      <w:r>
        <w:rPr>
          <w:rFonts w:cs="EB Garamond"/>
          <w:b/>
          <w:kern w:val="16"/>
          <w14:ligatures w14:val="standardContextual"/>
        </w:rPr>
        <w:t>GFIP/SEFIP (obrigação residual):</w:t>
      </w:r>
      <w:r>
        <w:rPr>
          <w:rFonts w:cs="EB Garamond"/>
          <w:kern w:val="16"/>
          <w14:ligatures w14:val="standardContextual"/>
        </w:rPr>
        <w:t xml:space="preserve"> Empresas que ainda não migraram integralmente para o eSocial devem enviar a GFIP mensalmente. A omissão gera multa de 2% ao mês-calendário sobre o montante das contribuições informadas, limitada a 20% (art. 32-A, Lei 8.212/91).</w:t>
      </w:r>
    </w:p>
    <w:p w14:paraId="36CBC5C0" w14:textId="77777777" w:rsidR="005A5FCC" w:rsidRDefault="00A21C81">
      <w:pPr>
        <w:ind w:firstLine="238"/>
      </w:pPr>
      <w:r>
        <w:rPr>
          <w:rFonts w:cs="EB Garamond"/>
          <w:kern w:val="16"/>
          <w14:ligatures w14:val="standardContextual"/>
        </w:rPr>
        <w:t xml:space="preserve">c) </w:t>
      </w:r>
      <w:r>
        <w:rPr>
          <w:rFonts w:cs="EB Garamond"/>
          <w:b/>
          <w:kern w:val="16"/>
          <w14:ligatures w14:val="standardContextual"/>
        </w:rPr>
        <w:t>PPP — Perfil Profissiográfico Previdenciário:</w:t>
      </w:r>
      <w:r>
        <w:rPr>
          <w:rFonts w:cs="EB Garamond"/>
          <w:kern w:val="16"/>
          <w14:ligatures w14:val="standardContextual"/>
        </w:rPr>
        <w:t xml:space="preserve"> A empresa deve manter e disponibilizar o PPP atualizado de cada empregado exposto a agentes nocivos. O PPP é documento essencial para a concessão de aposentadoria especial, e sua ausência ou incorreção gera multa administrativa e pode prejudicar o segurado (embora a jurisprudência dos JEFs não permita que o segurado seja penalizado por falha da empresa).</w:t>
      </w:r>
    </w:p>
    <w:p w14:paraId="426E2221" w14:textId="77777777" w:rsidR="005A5FCC" w:rsidRDefault="00A21C81">
      <w:pPr>
        <w:ind w:firstLine="238"/>
      </w:pPr>
      <w:r>
        <w:rPr>
          <w:rFonts w:cs="EB Garamond"/>
          <w:kern w:val="16"/>
          <w14:ligatures w14:val="standardContextual"/>
        </w:rPr>
        <w:t xml:space="preserve">d) </w:t>
      </w:r>
      <w:r>
        <w:rPr>
          <w:rFonts w:cs="EB Garamond"/>
          <w:b/>
          <w:kern w:val="16"/>
          <w14:ligatures w14:val="standardContextual"/>
        </w:rPr>
        <w:t>Comunicação de Acidente de Trabalho (CAT):</w:t>
      </w:r>
      <w:r>
        <w:rPr>
          <w:rFonts w:cs="EB Garamond"/>
          <w:kern w:val="16"/>
          <w14:ligatures w14:val="standardContextual"/>
        </w:rPr>
        <w:t xml:space="preserve"> A empresa deve comunicar o acidente de trabalho à Previdência Social até o primeiro dia útil seguinte ao da ocorrência (art. 22, Lei 8.213/91). A omissão na emissão da CAT constitui infração que sujeita a empresa a multa variável entre o limite mínimo e o limite máximo do salário de contribuição. Nos JEFs, a ausência de CAT não impede o reconhecimento do acidente de trabalho, o segurado pode comprovar por outros meios (laudo médico, boletim de ocorrência, testemunhos).</w:t>
      </w:r>
    </w:p>
    <w:tbl>
      <w:tblPr>
        <w:tblW w:w="5000" w:type="pct"/>
        <w:jc w:val="center"/>
        <w:tblLayout w:type="fixed"/>
        <w:tblLook w:val="04A0" w:firstRow="1" w:lastRow="0" w:firstColumn="1" w:lastColumn="0" w:noHBand="0" w:noVBand="1"/>
      </w:tblPr>
      <w:tblGrid>
        <w:gridCol w:w="6311"/>
      </w:tblGrid>
      <w:tr w:rsidR="005A5FCC" w14:paraId="38F45CC2"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16201B7D" w14:textId="77777777" w:rsidR="005A5FCC" w:rsidRDefault="00A21C81">
            <w:pPr>
              <w:spacing w:after="60" w:line="240" w:lineRule="auto"/>
              <w:jc w:val="left"/>
            </w:pPr>
            <w:r>
              <w:rPr>
                <w:rFonts w:ascii="Noto Sans" w:hAnsi="Noto Sans" w:cs="Noto Sans"/>
                <w:b/>
                <w:caps/>
                <w:color w:val="B78B37"/>
                <w:kern w:val="16"/>
                <w:sz w:val="16"/>
                <w14:ligatures w14:val="standardContextual"/>
              </w:rPr>
              <w:lastRenderedPageBreak/>
              <w:t>ATENÇÃO</w:t>
            </w:r>
          </w:p>
          <w:p w14:paraId="68CB5988" w14:textId="77777777" w:rsidR="005A5FCC" w:rsidRDefault="00A21C81">
            <w:pPr>
              <w:spacing w:after="60" w:line="247" w:lineRule="auto"/>
            </w:pPr>
            <w:r>
              <w:rPr>
                <w:rFonts w:cs="EB Garamond"/>
                <w:b/>
                <w:kern w:val="16"/>
                <w:sz w:val="19"/>
                <w14:ligatures w14:val="standardContextual"/>
              </w:rPr>
              <w:t>Atenção — Multas do eSocial na prática:</w:t>
            </w:r>
          </w:p>
          <w:p w14:paraId="5C36AF6A" w14:textId="77777777" w:rsidR="005A5FCC" w:rsidRDefault="00A21C81">
            <w:pPr>
              <w:spacing w:after="60" w:line="247" w:lineRule="auto"/>
            </w:pPr>
            <w:r>
              <w:rPr>
                <w:rFonts w:cs="EB Garamond"/>
                <w:kern w:val="16"/>
                <w:sz w:val="19"/>
                <w14:ligatures w14:val="standardContextual"/>
              </w:rPr>
              <w:t>A fiscalização das obrigações do eSocial tem se intensificado desde 2023. Empregadores domésticos são os mais afetados: a multa por não registrar o empregado no eSocial doméstico pode chegar a R$ 3.000,00. Para o advogado previdenciarista, o impacto é indireto, empregadores que não registram corretamente prejudicam o CNIS do empregado, gerando lacunas contributivas que só serão sanadas judicialmente. A multa por omissão de informações no eSocial pode, ainda, servir como prova indireta da existência do vínculo quando o empregador é autuado por não registrar empregados.</w:t>
            </w:r>
          </w:p>
        </w:tc>
      </w:tr>
    </w:tbl>
    <w:p w14:paraId="119763DC" w14:textId="77777777" w:rsidR="005A5FCC" w:rsidRDefault="005A5FCC">
      <w:pPr>
        <w:spacing w:after="80" w:line="240" w:lineRule="auto"/>
      </w:pPr>
    </w:p>
    <w:p w14:paraId="77DE992E"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4.19 Imunidade e isenção de contribuições previdenciárias</w:t>
      </w:r>
    </w:p>
    <w:p w14:paraId="31A764A3" w14:textId="77777777" w:rsidR="005A5FCC" w:rsidRDefault="00A21C81">
      <w:pPr>
        <w:spacing w:before="260" w:after="80" w:line="240" w:lineRule="auto"/>
        <w:jc w:val="left"/>
      </w:pPr>
      <w:r>
        <w:rPr>
          <w:rFonts w:cs="EB Garamond"/>
          <w:b/>
          <w:color w:val="3A3128"/>
          <w:kern w:val="16"/>
          <w:sz w:val="25"/>
          <w14:ligatures w14:val="standardContextual"/>
        </w:rPr>
        <w:t>4.19.1 Imunidade das entidades beneficentes (art. 195, § 7º, CF/88)</w:t>
      </w:r>
    </w:p>
    <w:p w14:paraId="7DCC7C7B"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28D06E86" w14:textId="77777777" w:rsidR="005A5FCC" w:rsidRDefault="00A21C81">
      <w:r>
        <w:rPr>
          <w:rFonts w:cs="EB Garamond"/>
          <w:kern w:val="16"/>
          <w14:ligatures w14:val="standardContextual"/>
        </w:rPr>
        <w:t xml:space="preserve"> art. 195, § 7º, da Constituição Federal estabelece que "são isentas de contribuição para a seguridade social as entidades beneficentes de assistência social que atendam às exigências estabelecidas em lei". Apesar da terminologia constitucional ("isentas"), o STF reconhece tratar-se de imunidade tributária, pois prevista na própria Constituição — e, portanto, não pode ser restringida por lei infraconstitucional (RE 566.622, Tema 32, Rel. Min. Marco Aurélio, j. 23/02/2017).</w:t>
      </w:r>
    </w:p>
    <w:p w14:paraId="5F2CDDA0" w14:textId="77777777" w:rsidR="005A5FCC" w:rsidRDefault="00A21C81">
      <w:pPr>
        <w:ind w:firstLine="238"/>
      </w:pPr>
      <w:r>
        <w:rPr>
          <w:rFonts w:cs="EB Garamond"/>
          <w:kern w:val="16"/>
          <w14:ligatures w14:val="standardContextual"/>
        </w:rPr>
        <w:t xml:space="preserve">A </w:t>
      </w:r>
      <w:commentRangeStart w:id="7"/>
      <w:r>
        <w:rPr>
          <w:rFonts w:cs="EB Garamond"/>
          <w:kern w:val="16"/>
          <w14:ligatures w14:val="standardContextual"/>
        </w:rPr>
        <w:t>Lei 12.101/2009</w:t>
      </w:r>
      <w:commentRangeEnd w:id="7"/>
      <w:r w:rsidR="00D927D5">
        <w:rPr>
          <w:rStyle w:val="Refdecomentrio"/>
          <w:rFonts w:cs="EB Garamond"/>
          <w:kern w:val="16"/>
          <w:sz w:val="21"/>
          <w:szCs w:val="22"/>
          <w14:ligatures w14:val="standardContextual"/>
        </w:rPr>
        <w:commentReference w:id="7"/>
      </w:r>
      <w:r>
        <w:rPr>
          <w:rFonts w:cs="EB Garamond"/>
          <w:kern w:val="16"/>
          <w14:ligatures w14:val="standardContextual"/>
        </w:rPr>
        <w:t xml:space="preserve"> regula os requisitos para a certificação de entidade beneficente de assistência social (CEBAS), indispensável para o gozo da imunidade. Os principais requisitos são:</w:t>
      </w:r>
    </w:p>
    <w:p w14:paraId="573F1FE3" w14:textId="77777777" w:rsidR="005A5FCC" w:rsidRDefault="00A21C81">
      <w:pPr>
        <w:ind w:firstLine="238"/>
      </w:pPr>
      <w:r>
        <w:rPr>
          <w:rFonts w:cs="EB Garamond"/>
          <w:kern w:val="16"/>
          <w14:ligatures w14:val="standardContextual"/>
        </w:rPr>
        <w:t xml:space="preserve">a) </w:t>
      </w:r>
      <w:r>
        <w:rPr>
          <w:rFonts w:cs="EB Garamond"/>
          <w:b/>
          <w:kern w:val="16"/>
          <w14:ligatures w14:val="standardContextual"/>
        </w:rPr>
        <w:t>Certificação CEBAS vigente:</w:t>
      </w:r>
      <w:r>
        <w:rPr>
          <w:rFonts w:cs="EB Garamond"/>
          <w:kern w:val="16"/>
          <w14:ligatures w14:val="standardContextual"/>
        </w:rPr>
        <w:t xml:space="preserve"> Concedida pelos Ministérios da Educação (entidades de educação), da Saúde (entidades de saúde) ou do Desenvolvimento Social (entidades de assistência social), com vigência de 3 a 5 anos, renovável.</w:t>
      </w:r>
    </w:p>
    <w:p w14:paraId="2BB71C5C" w14:textId="77777777" w:rsidR="005A5FCC" w:rsidRDefault="00A21C81">
      <w:pPr>
        <w:ind w:firstLine="238"/>
      </w:pPr>
      <w:r>
        <w:rPr>
          <w:rFonts w:cs="EB Garamond"/>
          <w:kern w:val="16"/>
          <w14:ligatures w14:val="standardContextual"/>
        </w:rPr>
        <w:lastRenderedPageBreak/>
        <w:t xml:space="preserve">b) </w:t>
      </w:r>
      <w:r>
        <w:rPr>
          <w:rFonts w:cs="EB Garamond"/>
          <w:b/>
          <w:kern w:val="16"/>
          <w14:ligatures w14:val="standardContextual"/>
        </w:rPr>
        <w:t>Gratuidade mínima:</w:t>
      </w:r>
      <w:r>
        <w:rPr>
          <w:rFonts w:cs="EB Garamond"/>
          <w:kern w:val="16"/>
          <w14:ligatures w14:val="standardContextual"/>
        </w:rPr>
        <w:t xml:space="preserve"> Entidades de educação devem conceder bolsas integrais e parciais correspondentes a, no mínimo, 20% da receita anual efetivamente recebida; entidades de saúde devem prestar no mínimo 60% de seus serviços ao SUS.</w:t>
      </w:r>
    </w:p>
    <w:p w14:paraId="2AC7C78B" w14:textId="77777777" w:rsidR="005A5FCC" w:rsidRDefault="00A21C81">
      <w:pPr>
        <w:ind w:firstLine="238"/>
      </w:pPr>
      <w:r>
        <w:rPr>
          <w:rFonts w:cs="EB Garamond"/>
          <w:kern w:val="16"/>
          <w14:ligatures w14:val="standardContextual"/>
        </w:rPr>
        <w:t xml:space="preserve">c) </w:t>
      </w:r>
      <w:r>
        <w:rPr>
          <w:rFonts w:cs="EB Garamond"/>
          <w:b/>
          <w:kern w:val="16"/>
          <w14:ligatures w14:val="standardContextual"/>
        </w:rPr>
        <w:t>Não distribuição de lucros ou excedentes:</w:t>
      </w:r>
      <w:r>
        <w:rPr>
          <w:rFonts w:cs="EB Garamond"/>
          <w:kern w:val="16"/>
          <w14:ligatures w14:val="standardContextual"/>
        </w:rPr>
        <w:t xml:space="preserve"> A entidade não pode distribuir rendas, lucros ou excedentes operacionais a nenhuma pessoa (diretores, conselheiros, associados, instituidores ou mantenedores).</w:t>
      </w:r>
    </w:p>
    <w:p w14:paraId="4D3EFC55" w14:textId="77777777" w:rsidR="005A5FCC" w:rsidRDefault="00A21C81">
      <w:pPr>
        <w:ind w:firstLine="238"/>
      </w:pPr>
      <w:r>
        <w:rPr>
          <w:rFonts w:cs="EB Garamond"/>
          <w:kern w:val="16"/>
          <w14:ligatures w14:val="standardContextual"/>
        </w:rPr>
        <w:t xml:space="preserve">d) </w:t>
      </w:r>
      <w:r>
        <w:rPr>
          <w:rFonts w:cs="EB Garamond"/>
          <w:b/>
          <w:kern w:val="16"/>
          <w14:ligatures w14:val="standardContextual"/>
        </w:rPr>
        <w:t>Aplicação integral das rendas:</w:t>
      </w:r>
      <w:r>
        <w:rPr>
          <w:rFonts w:cs="EB Garamond"/>
          <w:kern w:val="16"/>
          <w14:ligatures w14:val="standardContextual"/>
        </w:rPr>
        <w:t xml:space="preserve"> Todos os recursos devem ser aplicados na manutenção e desenvolvimento dos objetivos institucionais.</w:t>
      </w:r>
    </w:p>
    <w:p w14:paraId="046324BF" w14:textId="77777777" w:rsidR="005A5FCC" w:rsidRDefault="00A21C81">
      <w:pPr>
        <w:ind w:firstLine="238"/>
      </w:pPr>
      <w:r>
        <w:rPr>
          <w:rFonts w:cs="EB Garamond"/>
          <w:kern w:val="16"/>
          <w14:ligatures w14:val="standardContextual"/>
        </w:rPr>
        <w:t xml:space="preserve">e) </w:t>
      </w:r>
      <w:r>
        <w:rPr>
          <w:rFonts w:cs="EB Garamond"/>
          <w:b/>
          <w:kern w:val="16"/>
          <w14:ligatures w14:val="standardContextual"/>
        </w:rPr>
        <w:t>Escrituração contábil regular:</w:t>
      </w:r>
      <w:r>
        <w:rPr>
          <w:rFonts w:cs="EB Garamond"/>
          <w:kern w:val="16"/>
          <w14:ligatures w14:val="standardContextual"/>
        </w:rPr>
        <w:t xml:space="preserve"> Conforme normas do Conselho Federal de Contabilidade.</w:t>
      </w:r>
    </w:p>
    <w:p w14:paraId="6A855B06" w14:textId="77777777" w:rsidR="005A5FCC" w:rsidRDefault="00A21C81">
      <w:pPr>
        <w:spacing w:before="260" w:after="80" w:line="240" w:lineRule="auto"/>
        <w:jc w:val="left"/>
      </w:pPr>
      <w:r>
        <w:rPr>
          <w:rFonts w:cs="EB Garamond"/>
          <w:b/>
          <w:color w:val="3A3128"/>
          <w:kern w:val="16"/>
          <w:sz w:val="25"/>
          <w14:ligatures w14:val="standardContextual"/>
        </w:rPr>
        <w:t>4.19.2 Alcance da imunidade</w:t>
      </w:r>
    </w:p>
    <w:p w14:paraId="1901D265"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75F11EAA" w14:textId="77777777" w:rsidR="005A5FCC" w:rsidRDefault="00A21C81">
      <w:r>
        <w:rPr>
          <w:rFonts w:cs="EB Garamond"/>
          <w:kern w:val="16"/>
          <w14:ligatures w14:val="standardContextual"/>
        </w:rPr>
        <w:t xml:space="preserve"> imunidade do art. 195, § 7º, CF/88, abrange todas as contribuições para a seguridade social:</w:t>
      </w:r>
    </w:p>
    <w:p w14:paraId="3E3265E1"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Contribuição patronal sobre a folha (art. 22, Lei 8.212/91)</w:t>
      </w:r>
    </w:p>
    <w:p w14:paraId="2E7B47F9"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COFINS</w:t>
      </w:r>
    </w:p>
    <w:p w14:paraId="4A84F020"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PIS/PASEP</w:t>
      </w:r>
    </w:p>
    <w:p w14:paraId="68FCDF34"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CSLL</w:t>
      </w:r>
    </w:p>
    <w:p w14:paraId="480BB717"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RAT/GILRAT</w:t>
      </w:r>
    </w:p>
    <w:p w14:paraId="047BC819" w14:textId="77777777" w:rsidR="005A5FCC" w:rsidRDefault="005A5FCC">
      <w:pPr>
        <w:spacing w:after="60" w:line="240" w:lineRule="auto"/>
      </w:pPr>
    </w:p>
    <w:p w14:paraId="1BB81949"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00AED3D3" w14:textId="77777777" w:rsidR="005A5FCC" w:rsidRDefault="00A21C81">
      <w:r>
        <w:rPr>
          <w:rFonts w:cs="EB Garamond"/>
          <w:kern w:val="16"/>
          <w14:ligatures w14:val="standardContextual"/>
        </w:rPr>
        <w:t xml:space="preserve"> imunidade NÃO abrange a contribuição do segurado empregado (que é retida na fonte). A entidade beneficente continua obrigada a reter e recolher a contribuição dos seus empregados (alíquotas progressivas), atuando como responsável tributário. O que é imune é a parcela patronal.</w:t>
      </w:r>
    </w:p>
    <w:tbl>
      <w:tblPr>
        <w:tblW w:w="5000" w:type="pct"/>
        <w:jc w:val="center"/>
        <w:tblLayout w:type="fixed"/>
        <w:tblLook w:val="04A0" w:firstRow="1" w:lastRow="0" w:firstColumn="1" w:lastColumn="0" w:noHBand="0" w:noVBand="1"/>
      </w:tblPr>
      <w:tblGrid>
        <w:gridCol w:w="6311"/>
      </w:tblGrid>
      <w:tr w:rsidR="005A5FCC" w14:paraId="1B4DEF78"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4E00F202" w14:textId="77777777" w:rsidR="005A5FCC" w:rsidRDefault="00A21C81">
            <w:pPr>
              <w:spacing w:after="60" w:line="240" w:lineRule="auto"/>
              <w:jc w:val="left"/>
            </w:pPr>
            <w:r>
              <w:rPr>
                <w:rFonts w:ascii="Noto Sans" w:hAnsi="Noto Sans" w:cs="Noto Sans"/>
                <w:b/>
                <w:caps/>
                <w:color w:val="4D6F8A"/>
                <w:kern w:val="16"/>
                <w:sz w:val="16"/>
                <w14:ligatures w14:val="standardContextual"/>
              </w:rPr>
              <w:lastRenderedPageBreak/>
              <w:t>JURISPRUDÊNCIA EM DESTAQUE</w:t>
            </w:r>
          </w:p>
          <w:p w14:paraId="155124F3" w14:textId="77777777" w:rsidR="005A5FCC" w:rsidRDefault="00A21C81">
            <w:pPr>
              <w:spacing w:after="60" w:line="247" w:lineRule="auto"/>
            </w:pPr>
            <w:r>
              <w:rPr>
                <w:rFonts w:cs="EB Garamond"/>
                <w:b/>
                <w:kern w:val="16"/>
                <w:sz w:val="19"/>
                <w14:ligatures w14:val="standardContextual"/>
              </w:rPr>
              <w:t>STF — Tema 32 (RE 566.622, Rel. Min. Marco Aurélio, j. 23/02/2017)</w:t>
            </w:r>
          </w:p>
          <w:p w14:paraId="650344A2" w14:textId="77777777" w:rsidR="005A5FCC" w:rsidRDefault="00A21C81">
            <w:pPr>
              <w:spacing w:after="60" w:line="247" w:lineRule="auto"/>
            </w:pPr>
            <w:r>
              <w:rPr>
                <w:rFonts w:cs="EB Garamond"/>
                <w:b/>
                <w:kern w:val="16"/>
                <w:sz w:val="19"/>
                <w14:ligatures w14:val="standardContextual"/>
              </w:rPr>
              <w:t>Tese fixada:</w:t>
            </w:r>
            <w:r>
              <w:rPr>
                <w:rFonts w:cs="EB Garamond"/>
                <w:kern w:val="16"/>
                <w:sz w:val="19"/>
                <w14:ligatures w14:val="standardContextual"/>
              </w:rPr>
              <w:t xml:space="preserve"> "Os requisitos para o gozo de imunidade hão de estar previstos em lei complementar."</w:t>
            </w:r>
          </w:p>
          <w:p w14:paraId="496CEA32" w14:textId="77777777" w:rsidR="005A5FCC" w:rsidRDefault="00A21C81">
            <w:pPr>
              <w:spacing w:after="60" w:line="247" w:lineRule="auto"/>
            </w:pPr>
            <w:r>
              <w:rPr>
                <w:rFonts w:cs="EB Garamond"/>
                <w:b/>
                <w:kern w:val="16"/>
                <w:sz w:val="19"/>
                <w14:ligatures w14:val="standardContextual"/>
              </w:rPr>
              <w:t>Fundamento:</w:t>
            </w:r>
            <w:r>
              <w:rPr>
                <w:rFonts w:cs="EB Garamond"/>
                <w:kern w:val="16"/>
                <w:sz w:val="19"/>
                <w14:ligatures w14:val="standardContextual"/>
              </w:rPr>
              <w:t xml:space="preserve"> A imunidade do art. 195, § 7º, CF/88 é norma de eficácia limitada — depende de lei complementar para definir seus requisitos. A lei que define os requisitos deve ser complementar (art. 146, II, CF/88), não ordinária. Contudo, o STF admitiu que a Lei 12.101/2009 (lei ordinária) é constitucional na medida em que regulamenta requisitos já previstos no art. 14 do CTN (recepcionado como lei complementar).</w:t>
            </w:r>
          </w:p>
          <w:p w14:paraId="726156DA" w14:textId="77777777" w:rsidR="005A5FCC" w:rsidRDefault="00A21C81">
            <w:pPr>
              <w:spacing w:after="60" w:line="247" w:lineRule="auto"/>
            </w:pPr>
            <w:r>
              <w:rPr>
                <w:rFonts w:cs="EB Garamond"/>
                <w:b/>
                <w:kern w:val="16"/>
                <w:sz w:val="19"/>
                <w14:ligatures w14:val="standardContextual"/>
              </w:rPr>
              <w:t>Repercussão na prática forense:</w:t>
            </w:r>
            <w:r>
              <w:rPr>
                <w:rFonts w:cs="EB Garamond"/>
                <w:kern w:val="16"/>
                <w:sz w:val="19"/>
                <w14:ligatures w14:val="standardContextual"/>
              </w:rPr>
              <w:t xml:space="preserve"> A discussão sobre a natureza formal da lei regulamentadora perdeu relevância prática após o Tema 32, os requisitos do art. 14 do CTN e da Lei 12.101/2009 são os parâmetros vigentes. A controvérsia residual é sobre requisitos adicionais impostos por normas infralegais (portarias, decretos) que eventualmente restringem a imunidade além do previsto na lei.</w:t>
            </w:r>
          </w:p>
        </w:tc>
      </w:tr>
    </w:tbl>
    <w:p w14:paraId="17E89541" w14:textId="77777777" w:rsidR="005A5FCC" w:rsidRDefault="005A5FCC">
      <w:pPr>
        <w:spacing w:after="80" w:line="240" w:lineRule="auto"/>
      </w:pPr>
    </w:p>
    <w:p w14:paraId="50B29D1A" w14:textId="77777777" w:rsidR="005A5FCC" w:rsidRDefault="00A21C81">
      <w:pPr>
        <w:spacing w:before="260" w:after="80" w:line="240" w:lineRule="auto"/>
        <w:jc w:val="left"/>
      </w:pPr>
      <w:r>
        <w:rPr>
          <w:rFonts w:cs="EB Garamond"/>
          <w:b/>
          <w:color w:val="3A3128"/>
          <w:kern w:val="16"/>
          <w:sz w:val="25"/>
          <w14:ligatures w14:val="standardContextual"/>
        </w:rPr>
        <w:t>4.19.3 Santas casas e hospitais filantrópicos</w:t>
      </w:r>
    </w:p>
    <w:p w14:paraId="6F41DB04"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4C7C09DC" w14:textId="77777777" w:rsidR="005A5FCC" w:rsidRDefault="00A21C81">
      <w:r>
        <w:rPr>
          <w:rFonts w:cs="EB Garamond"/>
          <w:kern w:val="16"/>
          <w14:ligatures w14:val="standardContextual"/>
        </w:rPr>
        <w:t>s Santas Casas de Misericórdia e hospitais filantrópicos são os beneficiários mais emblemáticos da imunidade previdenciária. Com certificação CEBAS na área de saúde, essas entidades ficam dispensadas da contribuição patronal sobre a folha — economia que pode ultrapassar R$ 1 milhão/ano em hospitais de grande porte.</w:t>
      </w:r>
    </w:p>
    <w:p w14:paraId="4D931BDB" w14:textId="77777777" w:rsidR="005A5FCC" w:rsidRDefault="00A21C81">
      <w:pPr>
        <w:ind w:firstLine="238"/>
      </w:pPr>
      <w:r>
        <w:rPr>
          <w:rFonts w:cs="EB Garamond"/>
          <w:kern w:val="16"/>
          <w14:ligatures w14:val="standardContextual"/>
        </w:rPr>
        <w:t>Nos JEFs, a questão surge quando empregados de Santas Casas ou hospitais filantrópicos buscam benefícios previdenciários e o INSS aponta irregularidades no recolhimento. Se a entidade perdeu a certificação CEBAS em determinado período e deixou de recolher a contribuição patronal, o segurado não é prejudicado — o INSS deve reconhecer o tempo de serviço independentemente do recolhimento patronal, pois a obrigação de contribuir era da entidade, não do empregado.</w:t>
      </w:r>
    </w:p>
    <w:p w14:paraId="1FA07FB8" w14:textId="77777777" w:rsidR="005A5FCC" w:rsidRDefault="00A21C81">
      <w:pPr>
        <w:spacing w:before="260" w:after="80" w:line="240" w:lineRule="auto"/>
        <w:jc w:val="left"/>
      </w:pPr>
      <w:r>
        <w:rPr>
          <w:rFonts w:cs="EB Garamond"/>
          <w:b/>
          <w:color w:val="3A3128"/>
          <w:kern w:val="16"/>
          <w:sz w:val="25"/>
          <w14:ligatures w14:val="standardContextual"/>
        </w:rPr>
        <w:t>4.19.4 Perda e suspensão da certificação CEBAS</w:t>
      </w:r>
    </w:p>
    <w:p w14:paraId="6B50838B"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A</w:t>
      </w:r>
    </w:p>
    <w:p w14:paraId="0AD35333" w14:textId="77777777" w:rsidR="005A5FCC" w:rsidRDefault="00A21C81">
      <w:r>
        <w:rPr>
          <w:rFonts w:cs="EB Garamond"/>
          <w:kern w:val="16"/>
          <w14:ligatures w14:val="standardContextual"/>
        </w:rPr>
        <w:t xml:space="preserve"> perda da certificação CEBAS, por descumprimento dos requisitos legais, irregularidades contábeis, ou não renovação tempestiva, acarreta a perda da imunidade e a obrigação de recolher as contribuições patronais de forma integral. A Lei 12.101/2009 estabelece que a perda retroage ao período em que os requisitos deixaram de ser cumpridos, gerando débito tributário que pode ser lançado pela RFB.</w:t>
      </w:r>
    </w:p>
    <w:p w14:paraId="682B8DFD" w14:textId="77777777" w:rsidR="005A5FCC" w:rsidRDefault="00A21C81">
      <w:pPr>
        <w:ind w:firstLine="238"/>
      </w:pPr>
      <w:r>
        <w:rPr>
          <w:rFonts w:cs="EB Garamond"/>
          <w:kern w:val="16"/>
          <w14:ligatures w14:val="standardContextual"/>
        </w:rPr>
        <w:t>Na prática dos JEFs, a perda da CEBAS pode gerar duas situações distintas:</w:t>
      </w:r>
    </w:p>
    <w:p w14:paraId="69F3012B" w14:textId="77777777" w:rsidR="005A5FCC" w:rsidRDefault="00A21C81">
      <w:pPr>
        <w:ind w:firstLine="238"/>
      </w:pPr>
      <w:r>
        <w:rPr>
          <w:rFonts w:cs="EB Garamond"/>
          <w:kern w:val="16"/>
          <w14:ligatures w14:val="standardContextual"/>
        </w:rPr>
        <w:t xml:space="preserve">a) </w:t>
      </w:r>
      <w:r>
        <w:rPr>
          <w:rFonts w:cs="EB Garamond"/>
          <w:b/>
          <w:kern w:val="16"/>
          <w14:ligatures w14:val="standardContextual"/>
        </w:rPr>
        <w:t>Empregados da entidade:</w:t>
      </w:r>
      <w:r>
        <w:rPr>
          <w:rFonts w:cs="EB Garamond"/>
          <w:kern w:val="16"/>
          <w14:ligatures w14:val="standardContextual"/>
        </w:rPr>
        <w:t xml:space="preserve"> Os segurados empregados NÃO são prejudicados pela perda da imunidade do empregador. O vínculo empregatício e as contribuições do segurado (retidas na fonte) são válidas independentemente da situação fiscal da entidade. O INSS não pode negar benefício ao empregado sob o argumento de que o empregador não recolheu a parcela patronal.</w:t>
      </w:r>
    </w:p>
    <w:p w14:paraId="2A80BBCB" w14:textId="77777777" w:rsidR="005A5FCC" w:rsidRDefault="00A21C81">
      <w:pPr>
        <w:ind w:firstLine="238"/>
      </w:pPr>
      <w:r>
        <w:rPr>
          <w:rFonts w:cs="EB Garamond"/>
          <w:kern w:val="16"/>
          <w14:ligatures w14:val="standardContextual"/>
        </w:rPr>
        <w:t xml:space="preserve">b) </w:t>
      </w:r>
      <w:r>
        <w:rPr>
          <w:rFonts w:cs="EB Garamond"/>
          <w:b/>
          <w:kern w:val="16"/>
          <w14:ligatures w14:val="standardContextual"/>
        </w:rPr>
        <w:t>A própria entidade:</w:t>
      </w:r>
      <w:r>
        <w:rPr>
          <w:rFonts w:cs="EB Garamond"/>
          <w:kern w:val="16"/>
          <w14:ligatures w14:val="standardContextual"/>
        </w:rPr>
        <w:t xml:space="preserve"> A RFB pode constituir crédito tributário referente às contribuições patronais não recolhidas durante o período de irregularidade. A cobrança segue o rito da execução fiscal (Lei 6.830/80) perante as Varas Federais, não os JEFs.</w:t>
      </w:r>
    </w:p>
    <w:tbl>
      <w:tblPr>
        <w:tblW w:w="5000" w:type="pct"/>
        <w:jc w:val="center"/>
        <w:tblLayout w:type="fixed"/>
        <w:tblLook w:val="04A0" w:firstRow="1" w:lastRow="0" w:firstColumn="1" w:lastColumn="0" w:noHBand="0" w:noVBand="1"/>
      </w:tblPr>
      <w:tblGrid>
        <w:gridCol w:w="6311"/>
      </w:tblGrid>
      <w:tr w:rsidR="005A5FCC" w14:paraId="737B039E"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27B1272D"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5238A750" w14:textId="77777777" w:rsidR="005A5FCC" w:rsidRDefault="00A21C81">
            <w:pPr>
              <w:spacing w:after="60" w:line="247" w:lineRule="auto"/>
            </w:pPr>
            <w:r>
              <w:rPr>
                <w:rFonts w:cs="EB Garamond"/>
                <w:b/>
                <w:kern w:val="16"/>
                <w:sz w:val="19"/>
                <w14:ligatures w14:val="standardContextual"/>
              </w:rPr>
              <w:t>Caso prático — Santa Casa que perdeu a CEBAS:</w:t>
            </w:r>
          </w:p>
          <w:p w14:paraId="62778A37" w14:textId="77777777" w:rsidR="005A5FCC" w:rsidRDefault="00A21C81">
            <w:pPr>
              <w:spacing w:after="60" w:line="247" w:lineRule="auto"/>
            </w:pPr>
            <w:r>
              <w:rPr>
                <w:rFonts w:cs="EB Garamond"/>
                <w:kern w:val="16"/>
                <w:sz w:val="19"/>
                <w14:ligatures w14:val="standardContextual"/>
              </w:rPr>
              <w:t>A Santa Casa de Misericórdia de determinado município teve a CEBAS cassada em 2022 por não atingir o percentual mínimo de 60% de atendimento ao SUS. A RFB lançou crédito tributário referente às contribuições patronais de 2020-2022 (período de irregularidade).</w:t>
            </w:r>
          </w:p>
          <w:p w14:paraId="1EFE5E3D" w14:textId="77777777" w:rsidR="005A5FCC" w:rsidRDefault="00A21C81">
            <w:pPr>
              <w:spacing w:after="60" w:line="247" w:lineRule="auto"/>
            </w:pPr>
            <w:r>
              <w:rPr>
                <w:rFonts w:cs="EB Garamond"/>
                <w:kern w:val="16"/>
                <w:sz w:val="19"/>
                <w14:ligatures w14:val="standardContextual"/>
              </w:rPr>
              <w:t>Consequências para os empregados: - Contribuições do empregado (retidas na fonte): válidas e computadas no CNIS - Tempo de serviço: integralmente reconhecido - Benefícios: concedidos normalmente - Responsabilidade pelo débito patronal: exclusiva da Santa Casa</w:t>
            </w:r>
          </w:p>
          <w:p w14:paraId="1F72001C" w14:textId="77777777" w:rsidR="005A5FCC" w:rsidRDefault="00A21C81">
            <w:pPr>
              <w:spacing w:after="60" w:line="247" w:lineRule="auto"/>
            </w:pPr>
            <w:r>
              <w:rPr>
                <w:rFonts w:cs="EB Garamond"/>
                <w:kern w:val="16"/>
                <w:sz w:val="19"/>
                <w14:ligatures w14:val="standardContextual"/>
              </w:rPr>
              <w:t>O advogado previdenciarista deve orientar empregados de entidades beneficentes a verificar se seus vínculos estão corretamente registrados no CNIS, independentemente da situação fiscal do empregador.</w:t>
            </w:r>
          </w:p>
        </w:tc>
      </w:tr>
    </w:tbl>
    <w:p w14:paraId="5146AF3F" w14:textId="77777777" w:rsidR="005A5FCC" w:rsidRDefault="005A5FCC">
      <w:pPr>
        <w:spacing w:after="80" w:line="240" w:lineRule="auto"/>
      </w:pPr>
    </w:p>
    <w:p w14:paraId="1FBDDEA1" w14:textId="77777777" w:rsidR="005A5FCC" w:rsidRDefault="00A21C81">
      <w:pPr>
        <w:spacing w:before="260" w:after="80" w:line="240" w:lineRule="auto"/>
        <w:jc w:val="left"/>
      </w:pPr>
      <w:r>
        <w:rPr>
          <w:rFonts w:cs="EB Garamond"/>
          <w:b/>
          <w:color w:val="3A3128"/>
          <w:kern w:val="16"/>
          <w:sz w:val="25"/>
          <w14:ligatures w14:val="standardContextual"/>
        </w:rPr>
        <w:lastRenderedPageBreak/>
        <w:t>4.19.5 Isenção de contribuição para entidades religiosas e partidos políticos</w:t>
      </w:r>
    </w:p>
    <w:p w14:paraId="521278B1"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D</w:t>
      </w:r>
    </w:p>
    <w:p w14:paraId="29ACEC9A" w14:textId="77777777" w:rsidR="005A5FCC" w:rsidRDefault="00A21C81">
      <w:r>
        <w:rPr>
          <w:rFonts w:cs="EB Garamond"/>
          <w:kern w:val="16"/>
          <w14:ligatures w14:val="standardContextual"/>
        </w:rPr>
        <w:t xml:space="preserve">istinta da imunidade das entidades beneficentes, a </w:t>
      </w:r>
      <w:commentRangeStart w:id="8"/>
      <w:r>
        <w:rPr>
          <w:rFonts w:cs="EB Garamond"/>
          <w:kern w:val="16"/>
          <w14:ligatures w14:val="standardContextual"/>
        </w:rPr>
        <w:t>isenção</w:t>
      </w:r>
      <w:commentRangeEnd w:id="8"/>
      <w:r w:rsidR="00D927D5">
        <w:rPr>
          <w:rStyle w:val="Refdecomentrio"/>
          <w:rFonts w:cs="EB Garamond"/>
          <w:kern w:val="16"/>
          <w:sz w:val="21"/>
          <w:szCs w:val="22"/>
          <w14:ligatures w14:val="standardContextual"/>
        </w:rPr>
        <w:commentReference w:id="8"/>
      </w:r>
      <w:r>
        <w:rPr>
          <w:rFonts w:cs="EB Garamond"/>
          <w:kern w:val="16"/>
          <w14:ligatures w14:val="standardContextual"/>
        </w:rPr>
        <w:t xml:space="preserve"> para organizações religiosas, partidos políticos e entidades de educação ou assistência social sem fins lucrativos está prevista no art. 150, VI, c, CF/88 (imunidade de impostos) e alcança as contribuições sociais apenas nos termos da legislação específica. A partir da EC 132/2023 (Reforma Tributária), o regime de imunidades e isenções de contribuições sociais está em transição, com regulamentação pendente.</w:t>
      </w:r>
    </w:p>
    <w:p w14:paraId="69FDA2AA" w14:textId="77777777" w:rsidR="005A5FCC" w:rsidRDefault="00A21C81">
      <w:pPr>
        <w:ind w:firstLine="238"/>
      </w:pPr>
      <w:r>
        <w:rPr>
          <w:rFonts w:cs="EB Garamond"/>
          <w:kern w:val="16"/>
          <w14:ligatures w14:val="standardContextual"/>
        </w:rPr>
        <w:t>Para o advogado previdenciarista, o ponto relevante é: os empregados dessas entidades são segurados obrigatórios do RGPS e têm os mesmos direitos que qualquer empregado. A isenção é do empregador, não do empregado. Se a entidade não recolhe a contribuição patronal, o segurado mantém seu direito ao benefício.</w:t>
      </w:r>
    </w:p>
    <w:p w14:paraId="425641FA"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4.20 Restituição e compensação de contribuições indevidas</w:t>
      </w:r>
    </w:p>
    <w:p w14:paraId="022DF515" w14:textId="77777777" w:rsidR="005A5FCC" w:rsidRDefault="00A21C81">
      <w:pPr>
        <w:spacing w:before="260" w:after="80" w:line="240" w:lineRule="auto"/>
        <w:jc w:val="left"/>
      </w:pPr>
      <w:r>
        <w:rPr>
          <w:rFonts w:cs="EB Garamond"/>
          <w:b/>
          <w:color w:val="3A3128"/>
          <w:kern w:val="16"/>
          <w:sz w:val="25"/>
          <w14:ligatures w14:val="standardContextual"/>
        </w:rPr>
        <w:t>4.20.1 Direito à restituição</w:t>
      </w:r>
    </w:p>
    <w:p w14:paraId="381FD144"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37ABDEBE" w14:textId="77777777" w:rsidR="005A5FCC" w:rsidRDefault="00A21C81">
      <w:r>
        <w:rPr>
          <w:rFonts w:cs="EB Garamond"/>
          <w:kern w:val="16"/>
          <w14:ligatures w14:val="standardContextual"/>
        </w:rPr>
        <w:t xml:space="preserve"> segurado que recolheu contribuições previdenciárias indevidas ou a maior tem direito à restituição, conforme art. 89 da Lei 8.212/91. As hipóteses mais comuns de recolhimento indevido são:</w:t>
      </w:r>
    </w:p>
    <w:p w14:paraId="578D02FA" w14:textId="77777777" w:rsidR="005A5FCC" w:rsidRDefault="00A21C81">
      <w:pPr>
        <w:ind w:firstLine="238"/>
      </w:pPr>
      <w:r>
        <w:rPr>
          <w:rFonts w:cs="EB Garamond"/>
          <w:kern w:val="16"/>
          <w14:ligatures w14:val="standardContextual"/>
        </w:rPr>
        <w:t xml:space="preserve">a) </w:t>
      </w:r>
      <w:r>
        <w:rPr>
          <w:rFonts w:cs="EB Garamond"/>
          <w:b/>
          <w:kern w:val="16"/>
          <w14:ligatures w14:val="standardContextual"/>
        </w:rPr>
        <w:t>Recolhimento acima do teto:</w:t>
      </w:r>
      <w:r>
        <w:rPr>
          <w:rFonts w:cs="EB Garamond"/>
          <w:kern w:val="16"/>
          <w14:ligatures w14:val="standardContextual"/>
        </w:rPr>
        <w:t xml:space="preserve"> Segurado com dois vínculos simultâneos cuja soma de remunerações ultrapassa o teto, e ambos os empregadores retiveram a contribuição integral, sem considerar o outro vínculo. O excedente ao teto gera direito à restituição.</w:t>
      </w:r>
    </w:p>
    <w:p w14:paraId="57B8167F" w14:textId="77777777" w:rsidR="005A5FCC" w:rsidRDefault="00A21C81">
      <w:pPr>
        <w:ind w:firstLine="238"/>
      </w:pPr>
      <w:r>
        <w:rPr>
          <w:rFonts w:cs="EB Garamond"/>
          <w:kern w:val="16"/>
          <w14:ligatures w14:val="standardContextual"/>
        </w:rPr>
        <w:t xml:space="preserve">b) </w:t>
      </w:r>
      <w:r>
        <w:rPr>
          <w:rFonts w:cs="EB Garamond"/>
          <w:b/>
          <w:kern w:val="16"/>
          <w14:ligatures w14:val="standardContextual"/>
        </w:rPr>
        <w:t>Recolhimento em categoria incorreta:</w:t>
      </w:r>
      <w:r>
        <w:rPr>
          <w:rFonts w:cs="EB Garamond"/>
          <w:kern w:val="16"/>
          <w14:ligatures w14:val="standardContextual"/>
        </w:rPr>
        <w:t xml:space="preserve"> O segurado que era empregado (contribuição retida pelo empregador) mas que, por erro, também recolheu como CI sobre a mesma atividade.</w:t>
      </w:r>
    </w:p>
    <w:p w14:paraId="4C43F2A2" w14:textId="77777777" w:rsidR="005A5FCC" w:rsidRDefault="00A21C81">
      <w:pPr>
        <w:ind w:firstLine="238"/>
      </w:pPr>
      <w:r>
        <w:rPr>
          <w:rFonts w:cs="EB Garamond"/>
          <w:kern w:val="16"/>
          <w14:ligatures w14:val="standardContextual"/>
        </w:rPr>
        <w:lastRenderedPageBreak/>
        <w:t xml:space="preserve">c) </w:t>
      </w:r>
      <w:r>
        <w:rPr>
          <w:rFonts w:cs="EB Garamond"/>
          <w:b/>
          <w:kern w:val="16"/>
          <w14:ligatures w14:val="standardContextual"/>
        </w:rPr>
        <w:t>Contribuições após aposentadoria:</w:t>
      </w:r>
      <w:r>
        <w:rPr>
          <w:rFonts w:cs="EB Garamond"/>
          <w:kern w:val="16"/>
          <w14:ligatures w14:val="standardContextual"/>
        </w:rPr>
        <w:t xml:space="preserve"> O aposentado que retorna ao trabalho contribui obrigatoriamente, mas essas contribuições não geram novo benefício (Tema 503/STF). Se o segurado recolheu voluntariamente como facultativo após a aposentadoria, o recolhimento é indevido e pode ser restituído.</w:t>
      </w:r>
    </w:p>
    <w:p w14:paraId="65C00B4A" w14:textId="77777777" w:rsidR="005A5FCC" w:rsidRDefault="00A21C81">
      <w:pPr>
        <w:ind w:firstLine="238"/>
      </w:pPr>
      <w:r>
        <w:rPr>
          <w:rFonts w:cs="EB Garamond"/>
          <w:kern w:val="16"/>
          <w14:ligatures w14:val="standardContextual"/>
        </w:rPr>
        <w:t xml:space="preserve">d) </w:t>
      </w:r>
      <w:r>
        <w:rPr>
          <w:rFonts w:cs="EB Garamond"/>
          <w:b/>
          <w:kern w:val="16"/>
          <w14:ligatures w14:val="standardContextual"/>
        </w:rPr>
        <w:t>Invalidação de contribuições:</w:t>
      </w:r>
      <w:r>
        <w:rPr>
          <w:rFonts w:cs="EB Garamond"/>
          <w:kern w:val="16"/>
          <w14:ligatures w14:val="standardContextual"/>
        </w:rPr>
        <w:t xml:space="preserve"> Contribuições recolhidas sob o código de facultativo baixa renda (1929) que são posteriormente invalidadas pelo INSS (Tema 241/TNU). O segurado pode pleitear restituição se não desejar converter para o código 1473 (mediante complementação).</w:t>
      </w:r>
    </w:p>
    <w:p w14:paraId="137DF8F1" w14:textId="77777777" w:rsidR="005A5FCC" w:rsidRDefault="00A21C81">
      <w:pPr>
        <w:spacing w:before="260" w:after="80" w:line="240" w:lineRule="auto"/>
        <w:jc w:val="left"/>
      </w:pPr>
      <w:r>
        <w:rPr>
          <w:rFonts w:cs="EB Garamond"/>
          <w:b/>
          <w:color w:val="3A3128"/>
          <w:kern w:val="16"/>
          <w:sz w:val="25"/>
          <w14:ligatures w14:val="standardContextual"/>
        </w:rPr>
        <w:t>4.20.2 Procedimento administrativo e judicial</w:t>
      </w:r>
    </w:p>
    <w:p w14:paraId="62C3EDF8"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118D3AAF" w14:textId="77777777" w:rsidR="005A5FCC" w:rsidRDefault="00A21C81">
      <w:r>
        <w:rPr>
          <w:rFonts w:cs="EB Garamond"/>
          <w:kern w:val="16"/>
          <w14:ligatures w14:val="standardContextual"/>
        </w:rPr>
        <w:t xml:space="preserve"> pedido de restituição é feito à Receita Federal pelo PER/DCOMP (Pedido Eletrônico de Restituição, Ressarcimento ou Reembolso e Declaração de Compensação), disponível no e-CAC. O prazo para requerer a restituição é de 5 anos contados do pagamento indevido (art. 168, I, CTN).</w:t>
      </w:r>
    </w:p>
    <w:p w14:paraId="7210FB27" w14:textId="77777777" w:rsidR="005A5FCC" w:rsidRDefault="00A21C81">
      <w:pPr>
        <w:ind w:firstLine="238"/>
      </w:pPr>
      <w:r>
        <w:rPr>
          <w:rFonts w:cs="EB Garamond"/>
          <w:kern w:val="16"/>
          <w14:ligatures w14:val="standardContextual"/>
        </w:rPr>
        <w:t>Se a RFB negar o pedido ou não se manifestar em prazo razoável, o segurado pode ajuizar ação no JEF, desde que o valor não ultrapasse 60 SM (R$ 97.260,00 em 2026). O valor da causa é o montante atualizado das contribuições a restituir.</w:t>
      </w:r>
    </w:p>
    <w:tbl>
      <w:tblPr>
        <w:tblW w:w="5000" w:type="pct"/>
        <w:jc w:val="center"/>
        <w:tblLayout w:type="fixed"/>
        <w:tblLook w:val="04A0" w:firstRow="1" w:lastRow="0" w:firstColumn="1" w:lastColumn="0" w:noHBand="0" w:noVBand="1"/>
      </w:tblPr>
      <w:tblGrid>
        <w:gridCol w:w="6311"/>
      </w:tblGrid>
      <w:tr w:rsidR="005A5FCC" w14:paraId="717D1F67"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107FEE1F"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16DEE4EB" w14:textId="77777777" w:rsidR="005A5FCC" w:rsidRDefault="00A21C81">
            <w:pPr>
              <w:spacing w:after="60" w:line="247" w:lineRule="auto"/>
            </w:pPr>
            <w:r>
              <w:rPr>
                <w:rFonts w:cs="EB Garamond"/>
                <w:b/>
                <w:kern w:val="16"/>
                <w:sz w:val="19"/>
                <w14:ligatures w14:val="standardContextual"/>
              </w:rPr>
              <w:t>Exemplo — Restituição por recolhimento acima do teto:</w:t>
            </w:r>
          </w:p>
          <w:p w14:paraId="0000D40E" w14:textId="77777777" w:rsidR="005A5FCC" w:rsidRDefault="00A21C81">
            <w:pPr>
              <w:spacing w:after="60" w:line="247" w:lineRule="auto"/>
            </w:pPr>
            <w:r>
              <w:rPr>
                <w:rFonts w:cs="EB Garamond"/>
                <w:kern w:val="16"/>
                <w:sz w:val="19"/>
                <w14:ligatures w14:val="standardContextual"/>
              </w:rPr>
              <w:t>Fernanda trabalha como empregada na Empresa A (salário R$ 5.000,00) e na Empresa B (salário R$ 4.500,00). Cada empregador, isoladamente, aplica as alíquotas progressivas sobre a sua própria folha, como se aquele fosse o único vínculo da segurada. A retenção, portanto, recomeça em cada empresa pela 1ª faixa (7,5%).</w:t>
            </w:r>
          </w:p>
          <w:p w14:paraId="3AD3D7E8" w14:textId="77777777" w:rsidR="005A5FCC" w:rsidRDefault="00A21C81">
            <w:pPr>
              <w:spacing w:after="60" w:line="247" w:lineRule="auto"/>
            </w:pPr>
            <w:r>
              <w:rPr>
                <w:rFonts w:cs="EB Garamond"/>
                <w:kern w:val="16"/>
                <w:sz w:val="19"/>
                <w14:ligatures w14:val="standardContextual"/>
              </w:rPr>
              <w:t>Contribuição retida pela Empresa A (progressiva sobre R$ 5.000,00) — R$ 501,52:</w:t>
            </w:r>
          </w:p>
          <w:tbl>
            <w:tblPr>
              <w:tblW w:w="5000" w:type="pct"/>
              <w:jc w:val="center"/>
              <w:tblLook w:val="04A0" w:firstRow="1" w:lastRow="0" w:firstColumn="1" w:lastColumn="0" w:noHBand="0" w:noVBand="1"/>
            </w:tblPr>
            <w:tblGrid>
              <w:gridCol w:w="1476"/>
              <w:gridCol w:w="1475"/>
              <w:gridCol w:w="1475"/>
              <w:gridCol w:w="1475"/>
            </w:tblGrid>
            <w:tr w:rsidR="005A5FCC" w14:paraId="36C37659" w14:textId="77777777">
              <w:trPr>
                <w:tblHeader/>
                <w:jc w:val="center"/>
              </w:trPr>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6C0EA94F" w14:textId="77777777" w:rsidR="005A5FCC" w:rsidRDefault="00A21C81">
                  <w:pPr>
                    <w:spacing w:before="30" w:after="30" w:line="240" w:lineRule="auto"/>
                    <w:jc w:val="center"/>
                  </w:pPr>
                  <w:r>
                    <w:rPr>
                      <w:rFonts w:cs="EB Garamond"/>
                      <w:b/>
                      <w:color w:val="2F2923"/>
                      <w:kern w:val="16"/>
                      <w:sz w:val="16"/>
                      <w14:ligatures w14:val="standardContextual"/>
                    </w:rPr>
                    <w:t>Faixa</w:t>
                  </w:r>
                </w:p>
              </w:tc>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09823503" w14:textId="77777777" w:rsidR="005A5FCC" w:rsidRDefault="00A21C81">
                  <w:pPr>
                    <w:spacing w:before="30" w:after="30" w:line="240" w:lineRule="auto"/>
                    <w:jc w:val="center"/>
                  </w:pPr>
                  <w:r>
                    <w:rPr>
                      <w:rFonts w:cs="EB Garamond"/>
                      <w:b/>
                      <w:color w:val="2F2923"/>
                      <w:kern w:val="16"/>
                      <w:sz w:val="16"/>
                      <w14:ligatures w14:val="standardContextual"/>
                    </w:rPr>
                    <w:t>Base</w:t>
                  </w:r>
                </w:p>
              </w:tc>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63386A90" w14:textId="77777777" w:rsidR="005A5FCC" w:rsidRDefault="00A21C81">
                  <w:pPr>
                    <w:spacing w:before="30" w:after="30" w:line="240" w:lineRule="auto"/>
                    <w:jc w:val="center"/>
                  </w:pPr>
                  <w:r>
                    <w:rPr>
                      <w:rFonts w:cs="EB Garamond"/>
                      <w:b/>
                      <w:color w:val="2F2923"/>
                      <w:kern w:val="16"/>
                      <w:sz w:val="16"/>
                      <w14:ligatures w14:val="standardContextual"/>
                    </w:rPr>
                    <w:t>Alíquota</w:t>
                  </w:r>
                </w:p>
              </w:tc>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065CF22E" w14:textId="77777777" w:rsidR="005A5FCC" w:rsidRDefault="00A21C81">
                  <w:pPr>
                    <w:spacing w:before="30" w:after="30" w:line="240" w:lineRule="auto"/>
                    <w:jc w:val="center"/>
                  </w:pPr>
                  <w:r>
                    <w:rPr>
                      <w:rFonts w:cs="EB Garamond"/>
                      <w:b/>
                      <w:color w:val="2F2923"/>
                      <w:kern w:val="16"/>
                      <w:sz w:val="16"/>
                      <w14:ligatures w14:val="standardContextual"/>
                    </w:rPr>
                    <w:t>Contribuição</w:t>
                  </w:r>
                </w:p>
              </w:tc>
            </w:tr>
            <w:tr w:rsidR="005A5FCC" w14:paraId="2179703A"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03A0118C" w14:textId="77777777" w:rsidR="005A5FCC" w:rsidRDefault="00A21C81">
                  <w:pPr>
                    <w:spacing w:before="20" w:after="20" w:line="240" w:lineRule="auto"/>
                    <w:jc w:val="left"/>
                  </w:pPr>
                  <w:r>
                    <w:rPr>
                      <w:rFonts w:cs="EB Garamond"/>
                      <w:kern w:val="16"/>
                      <w:sz w:val="16"/>
                      <w14:ligatures w14:val="standardContextual"/>
                    </w:rPr>
                    <w:t>1ª</w:t>
                  </w:r>
                </w:p>
              </w:tc>
              <w:tc>
                <w:tcPr>
                  <w:tcW w:w="1587" w:type="dxa"/>
                  <w:tcBorders>
                    <w:top w:val="single" w:sz="4" w:space="0" w:color="D2C9B8"/>
                    <w:left w:val="single" w:sz="4" w:space="0" w:color="D2C9B8"/>
                    <w:bottom w:val="single" w:sz="4" w:space="0" w:color="D2C9B8"/>
                    <w:right w:val="single" w:sz="4" w:space="0" w:color="D2C9B8"/>
                  </w:tcBorders>
                </w:tcPr>
                <w:p w14:paraId="2ECDD9D7" w14:textId="77777777" w:rsidR="005A5FCC" w:rsidRDefault="00A21C81">
                  <w:pPr>
                    <w:spacing w:before="20" w:after="20" w:line="240" w:lineRule="auto"/>
                    <w:jc w:val="left"/>
                  </w:pPr>
                  <w:r>
                    <w:rPr>
                      <w:rFonts w:cs="EB Garamond"/>
                      <w:kern w:val="16"/>
                      <w:sz w:val="16"/>
                      <w14:ligatures w14:val="standardContextual"/>
                    </w:rPr>
                    <w:t>R$ 1.621,00</w:t>
                  </w:r>
                </w:p>
              </w:tc>
              <w:tc>
                <w:tcPr>
                  <w:tcW w:w="1587" w:type="dxa"/>
                  <w:tcBorders>
                    <w:top w:val="single" w:sz="4" w:space="0" w:color="D2C9B8"/>
                    <w:left w:val="single" w:sz="4" w:space="0" w:color="D2C9B8"/>
                    <w:bottom w:val="single" w:sz="4" w:space="0" w:color="D2C9B8"/>
                    <w:right w:val="single" w:sz="4" w:space="0" w:color="D2C9B8"/>
                  </w:tcBorders>
                </w:tcPr>
                <w:p w14:paraId="2A2AC681" w14:textId="77777777" w:rsidR="005A5FCC" w:rsidRDefault="00A21C81">
                  <w:pPr>
                    <w:spacing w:before="20" w:after="20" w:line="240" w:lineRule="auto"/>
                    <w:jc w:val="left"/>
                  </w:pPr>
                  <w:r>
                    <w:rPr>
                      <w:rFonts w:cs="EB Garamond"/>
                      <w:kern w:val="16"/>
                      <w:sz w:val="16"/>
                      <w14:ligatures w14:val="standardContextual"/>
                    </w:rPr>
                    <w:t>7,5%</w:t>
                  </w:r>
                </w:p>
              </w:tc>
              <w:tc>
                <w:tcPr>
                  <w:tcW w:w="1587" w:type="dxa"/>
                  <w:tcBorders>
                    <w:top w:val="single" w:sz="4" w:space="0" w:color="D2C9B8"/>
                    <w:left w:val="single" w:sz="4" w:space="0" w:color="D2C9B8"/>
                    <w:bottom w:val="single" w:sz="4" w:space="0" w:color="D2C9B8"/>
                    <w:right w:val="single" w:sz="4" w:space="0" w:color="D2C9B8"/>
                  </w:tcBorders>
                </w:tcPr>
                <w:p w14:paraId="460DFB95" w14:textId="77777777" w:rsidR="005A5FCC" w:rsidRDefault="00A21C81">
                  <w:pPr>
                    <w:spacing w:before="20" w:after="20" w:line="240" w:lineRule="auto"/>
                    <w:jc w:val="left"/>
                  </w:pPr>
                  <w:r>
                    <w:rPr>
                      <w:rFonts w:cs="EB Garamond"/>
                      <w:kern w:val="16"/>
                      <w:sz w:val="16"/>
                      <w14:ligatures w14:val="standardContextual"/>
                    </w:rPr>
                    <w:t>R$ 121,58</w:t>
                  </w:r>
                </w:p>
              </w:tc>
            </w:tr>
            <w:tr w:rsidR="005A5FCC" w14:paraId="5236518E"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4AD32687" w14:textId="77777777" w:rsidR="005A5FCC" w:rsidRDefault="00A21C81">
                  <w:pPr>
                    <w:spacing w:before="20" w:after="20" w:line="240" w:lineRule="auto"/>
                    <w:jc w:val="left"/>
                  </w:pPr>
                  <w:r>
                    <w:rPr>
                      <w:rFonts w:cs="EB Garamond"/>
                      <w:kern w:val="16"/>
                      <w:sz w:val="16"/>
                      <w14:ligatures w14:val="standardContextual"/>
                    </w:rPr>
                    <w:t>2ª</w:t>
                  </w:r>
                </w:p>
              </w:tc>
              <w:tc>
                <w:tcPr>
                  <w:tcW w:w="1587" w:type="dxa"/>
                  <w:tcBorders>
                    <w:top w:val="single" w:sz="4" w:space="0" w:color="D2C9B8"/>
                    <w:left w:val="single" w:sz="4" w:space="0" w:color="D2C9B8"/>
                    <w:bottom w:val="single" w:sz="4" w:space="0" w:color="D2C9B8"/>
                    <w:right w:val="single" w:sz="4" w:space="0" w:color="D2C9B8"/>
                  </w:tcBorders>
                </w:tcPr>
                <w:p w14:paraId="2179F17F" w14:textId="77777777" w:rsidR="005A5FCC" w:rsidRDefault="00A21C81">
                  <w:pPr>
                    <w:spacing w:before="20" w:after="20" w:line="240" w:lineRule="auto"/>
                    <w:jc w:val="left"/>
                  </w:pPr>
                  <w:r>
                    <w:rPr>
                      <w:rFonts w:cs="EB Garamond"/>
                      <w:kern w:val="16"/>
                      <w:sz w:val="16"/>
                      <w14:ligatures w14:val="standardContextual"/>
                    </w:rPr>
                    <w:t>R$ 1.281,84</w:t>
                  </w:r>
                </w:p>
              </w:tc>
              <w:tc>
                <w:tcPr>
                  <w:tcW w:w="1587" w:type="dxa"/>
                  <w:tcBorders>
                    <w:top w:val="single" w:sz="4" w:space="0" w:color="D2C9B8"/>
                    <w:left w:val="single" w:sz="4" w:space="0" w:color="D2C9B8"/>
                    <w:bottom w:val="single" w:sz="4" w:space="0" w:color="D2C9B8"/>
                    <w:right w:val="single" w:sz="4" w:space="0" w:color="D2C9B8"/>
                  </w:tcBorders>
                </w:tcPr>
                <w:p w14:paraId="5E32508E" w14:textId="77777777" w:rsidR="005A5FCC" w:rsidRDefault="00A21C81">
                  <w:pPr>
                    <w:spacing w:before="20" w:after="20" w:line="240" w:lineRule="auto"/>
                    <w:jc w:val="left"/>
                  </w:pPr>
                  <w:r>
                    <w:rPr>
                      <w:rFonts w:cs="EB Garamond"/>
                      <w:kern w:val="16"/>
                      <w:sz w:val="16"/>
                      <w14:ligatures w14:val="standardContextual"/>
                    </w:rPr>
                    <w:t>9,0%</w:t>
                  </w:r>
                </w:p>
              </w:tc>
              <w:tc>
                <w:tcPr>
                  <w:tcW w:w="1587" w:type="dxa"/>
                  <w:tcBorders>
                    <w:top w:val="single" w:sz="4" w:space="0" w:color="D2C9B8"/>
                    <w:left w:val="single" w:sz="4" w:space="0" w:color="D2C9B8"/>
                    <w:bottom w:val="single" w:sz="4" w:space="0" w:color="D2C9B8"/>
                    <w:right w:val="single" w:sz="4" w:space="0" w:color="D2C9B8"/>
                  </w:tcBorders>
                </w:tcPr>
                <w:p w14:paraId="4B493300" w14:textId="77777777" w:rsidR="005A5FCC" w:rsidRDefault="00A21C81">
                  <w:pPr>
                    <w:spacing w:before="20" w:after="20" w:line="240" w:lineRule="auto"/>
                    <w:jc w:val="left"/>
                  </w:pPr>
                  <w:r>
                    <w:rPr>
                      <w:rFonts w:cs="EB Garamond"/>
                      <w:kern w:val="16"/>
                      <w:sz w:val="16"/>
                      <w14:ligatures w14:val="standardContextual"/>
                    </w:rPr>
                    <w:t>R$ 115,37</w:t>
                  </w:r>
                </w:p>
              </w:tc>
            </w:tr>
            <w:tr w:rsidR="005A5FCC" w14:paraId="20762F23"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08E3842A" w14:textId="77777777" w:rsidR="005A5FCC" w:rsidRDefault="00A21C81">
                  <w:pPr>
                    <w:spacing w:before="20" w:after="20" w:line="240" w:lineRule="auto"/>
                    <w:jc w:val="left"/>
                  </w:pPr>
                  <w:r>
                    <w:rPr>
                      <w:rFonts w:cs="EB Garamond"/>
                      <w:kern w:val="16"/>
                      <w:sz w:val="16"/>
                      <w14:ligatures w14:val="standardContextual"/>
                    </w:rPr>
                    <w:t>3ª</w:t>
                  </w:r>
                </w:p>
              </w:tc>
              <w:tc>
                <w:tcPr>
                  <w:tcW w:w="1587" w:type="dxa"/>
                  <w:tcBorders>
                    <w:top w:val="single" w:sz="4" w:space="0" w:color="D2C9B8"/>
                    <w:left w:val="single" w:sz="4" w:space="0" w:color="D2C9B8"/>
                    <w:bottom w:val="single" w:sz="4" w:space="0" w:color="D2C9B8"/>
                    <w:right w:val="single" w:sz="4" w:space="0" w:color="D2C9B8"/>
                  </w:tcBorders>
                </w:tcPr>
                <w:p w14:paraId="1B51EEFD" w14:textId="77777777" w:rsidR="005A5FCC" w:rsidRDefault="00A21C81">
                  <w:pPr>
                    <w:spacing w:before="20" w:after="20" w:line="240" w:lineRule="auto"/>
                    <w:jc w:val="left"/>
                  </w:pPr>
                  <w:r>
                    <w:rPr>
                      <w:rFonts w:cs="EB Garamond"/>
                      <w:kern w:val="16"/>
                      <w:sz w:val="16"/>
                      <w14:ligatures w14:val="standardContextual"/>
                    </w:rPr>
                    <w:t>R$ 1.451,43</w:t>
                  </w:r>
                </w:p>
              </w:tc>
              <w:tc>
                <w:tcPr>
                  <w:tcW w:w="1587" w:type="dxa"/>
                  <w:tcBorders>
                    <w:top w:val="single" w:sz="4" w:space="0" w:color="D2C9B8"/>
                    <w:left w:val="single" w:sz="4" w:space="0" w:color="D2C9B8"/>
                    <w:bottom w:val="single" w:sz="4" w:space="0" w:color="D2C9B8"/>
                    <w:right w:val="single" w:sz="4" w:space="0" w:color="D2C9B8"/>
                  </w:tcBorders>
                </w:tcPr>
                <w:p w14:paraId="314A2E70" w14:textId="77777777" w:rsidR="005A5FCC" w:rsidRDefault="00A21C81">
                  <w:pPr>
                    <w:spacing w:before="20" w:after="20" w:line="240" w:lineRule="auto"/>
                    <w:jc w:val="left"/>
                  </w:pPr>
                  <w:r>
                    <w:rPr>
                      <w:rFonts w:cs="EB Garamond"/>
                      <w:kern w:val="16"/>
                      <w:sz w:val="16"/>
                      <w14:ligatures w14:val="standardContextual"/>
                    </w:rPr>
                    <w:t>12,0%</w:t>
                  </w:r>
                </w:p>
              </w:tc>
              <w:tc>
                <w:tcPr>
                  <w:tcW w:w="1587" w:type="dxa"/>
                  <w:tcBorders>
                    <w:top w:val="single" w:sz="4" w:space="0" w:color="D2C9B8"/>
                    <w:left w:val="single" w:sz="4" w:space="0" w:color="D2C9B8"/>
                    <w:bottom w:val="single" w:sz="4" w:space="0" w:color="D2C9B8"/>
                    <w:right w:val="single" w:sz="4" w:space="0" w:color="D2C9B8"/>
                  </w:tcBorders>
                </w:tcPr>
                <w:p w14:paraId="05E43FF4" w14:textId="77777777" w:rsidR="005A5FCC" w:rsidRDefault="00A21C81">
                  <w:pPr>
                    <w:spacing w:before="20" w:after="20" w:line="240" w:lineRule="auto"/>
                    <w:jc w:val="left"/>
                  </w:pPr>
                  <w:r>
                    <w:rPr>
                      <w:rFonts w:cs="EB Garamond"/>
                      <w:kern w:val="16"/>
                      <w:sz w:val="16"/>
                      <w14:ligatures w14:val="standardContextual"/>
                    </w:rPr>
                    <w:t>R$ 174,17</w:t>
                  </w:r>
                </w:p>
              </w:tc>
            </w:tr>
            <w:tr w:rsidR="005A5FCC" w14:paraId="269A2AC5"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70FB0DBB" w14:textId="77777777" w:rsidR="005A5FCC" w:rsidRDefault="00A21C81">
                  <w:pPr>
                    <w:spacing w:before="20" w:after="20" w:line="240" w:lineRule="auto"/>
                    <w:jc w:val="left"/>
                  </w:pPr>
                  <w:r>
                    <w:rPr>
                      <w:rFonts w:cs="EB Garamond"/>
                      <w:kern w:val="16"/>
                      <w:sz w:val="16"/>
                      <w14:ligatures w14:val="standardContextual"/>
                    </w:rPr>
                    <w:t>4ª</w:t>
                  </w:r>
                </w:p>
              </w:tc>
              <w:tc>
                <w:tcPr>
                  <w:tcW w:w="1587" w:type="dxa"/>
                  <w:tcBorders>
                    <w:top w:val="single" w:sz="4" w:space="0" w:color="D2C9B8"/>
                    <w:left w:val="single" w:sz="4" w:space="0" w:color="D2C9B8"/>
                    <w:bottom w:val="single" w:sz="4" w:space="0" w:color="D2C9B8"/>
                    <w:right w:val="single" w:sz="4" w:space="0" w:color="D2C9B8"/>
                  </w:tcBorders>
                </w:tcPr>
                <w:p w14:paraId="6A4AABBA" w14:textId="77777777" w:rsidR="005A5FCC" w:rsidRDefault="00A21C81">
                  <w:pPr>
                    <w:spacing w:before="20" w:after="20" w:line="240" w:lineRule="auto"/>
                    <w:jc w:val="left"/>
                  </w:pPr>
                  <w:r>
                    <w:rPr>
                      <w:rFonts w:cs="EB Garamond"/>
                      <w:kern w:val="16"/>
                      <w:sz w:val="16"/>
                      <w14:ligatures w14:val="standardContextual"/>
                    </w:rPr>
                    <w:t>R$ 645,73 (5.000,00 − 4.354,27)</w:t>
                  </w:r>
                </w:p>
              </w:tc>
              <w:tc>
                <w:tcPr>
                  <w:tcW w:w="1587" w:type="dxa"/>
                  <w:tcBorders>
                    <w:top w:val="single" w:sz="4" w:space="0" w:color="D2C9B8"/>
                    <w:left w:val="single" w:sz="4" w:space="0" w:color="D2C9B8"/>
                    <w:bottom w:val="single" w:sz="4" w:space="0" w:color="D2C9B8"/>
                    <w:right w:val="single" w:sz="4" w:space="0" w:color="D2C9B8"/>
                  </w:tcBorders>
                </w:tcPr>
                <w:p w14:paraId="4DAAF4E2" w14:textId="77777777" w:rsidR="005A5FCC" w:rsidRDefault="00A21C81">
                  <w:pPr>
                    <w:spacing w:before="20" w:after="20" w:line="240" w:lineRule="auto"/>
                    <w:jc w:val="left"/>
                  </w:pPr>
                  <w:r>
                    <w:rPr>
                      <w:rFonts w:cs="EB Garamond"/>
                      <w:kern w:val="16"/>
                      <w:sz w:val="16"/>
                      <w14:ligatures w14:val="standardContextual"/>
                    </w:rPr>
                    <w:t>14,0%</w:t>
                  </w:r>
                </w:p>
              </w:tc>
              <w:tc>
                <w:tcPr>
                  <w:tcW w:w="1587" w:type="dxa"/>
                  <w:tcBorders>
                    <w:top w:val="single" w:sz="4" w:space="0" w:color="D2C9B8"/>
                    <w:left w:val="single" w:sz="4" w:space="0" w:color="D2C9B8"/>
                    <w:bottom w:val="single" w:sz="4" w:space="0" w:color="D2C9B8"/>
                    <w:right w:val="single" w:sz="4" w:space="0" w:color="D2C9B8"/>
                  </w:tcBorders>
                </w:tcPr>
                <w:p w14:paraId="328154AC" w14:textId="77777777" w:rsidR="005A5FCC" w:rsidRDefault="00A21C81">
                  <w:pPr>
                    <w:spacing w:before="20" w:after="20" w:line="240" w:lineRule="auto"/>
                    <w:jc w:val="left"/>
                  </w:pPr>
                  <w:r>
                    <w:rPr>
                      <w:rFonts w:cs="EB Garamond"/>
                      <w:kern w:val="16"/>
                      <w:sz w:val="16"/>
                      <w14:ligatures w14:val="standardContextual"/>
                    </w:rPr>
                    <w:t>R$ 90,40</w:t>
                  </w:r>
                </w:p>
              </w:tc>
            </w:tr>
          </w:tbl>
          <w:p w14:paraId="03678AB5" w14:textId="77777777" w:rsidR="005A5FCC" w:rsidRDefault="005A5FCC"/>
          <w:p w14:paraId="3640EBA4" w14:textId="77777777" w:rsidR="005A5FCC" w:rsidRDefault="005A5FCC">
            <w:pPr>
              <w:spacing w:after="0" w:line="240" w:lineRule="auto"/>
            </w:pPr>
          </w:p>
          <w:p w14:paraId="739CBAA8" w14:textId="77777777" w:rsidR="005A5FCC" w:rsidRDefault="00A21C81">
            <w:pPr>
              <w:spacing w:after="60" w:line="247" w:lineRule="auto"/>
            </w:pPr>
            <w:r>
              <w:rPr>
                <w:rFonts w:cs="EB Garamond"/>
                <w:kern w:val="16"/>
                <w:sz w:val="19"/>
                <w14:ligatures w14:val="standardContextual"/>
              </w:rPr>
              <w:t>Contribuição retida pela Empresa B (progressiva sobre R$ 4.500,00) — R$ 431,52:</w:t>
            </w:r>
          </w:p>
          <w:tbl>
            <w:tblPr>
              <w:tblW w:w="5000" w:type="pct"/>
              <w:jc w:val="center"/>
              <w:tblLook w:val="04A0" w:firstRow="1" w:lastRow="0" w:firstColumn="1" w:lastColumn="0" w:noHBand="0" w:noVBand="1"/>
            </w:tblPr>
            <w:tblGrid>
              <w:gridCol w:w="1476"/>
              <w:gridCol w:w="1475"/>
              <w:gridCol w:w="1475"/>
              <w:gridCol w:w="1475"/>
            </w:tblGrid>
            <w:tr w:rsidR="005A5FCC" w14:paraId="23FE2771" w14:textId="77777777">
              <w:trPr>
                <w:tblHeader/>
                <w:jc w:val="center"/>
              </w:trPr>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5EB1B531" w14:textId="77777777" w:rsidR="005A5FCC" w:rsidRDefault="00A21C81">
                  <w:pPr>
                    <w:spacing w:before="30" w:after="30" w:line="240" w:lineRule="auto"/>
                    <w:jc w:val="center"/>
                  </w:pPr>
                  <w:r>
                    <w:rPr>
                      <w:rFonts w:cs="EB Garamond"/>
                      <w:b/>
                      <w:color w:val="2F2923"/>
                      <w:kern w:val="16"/>
                      <w:sz w:val="16"/>
                      <w14:ligatures w14:val="standardContextual"/>
                    </w:rPr>
                    <w:t>Faixa</w:t>
                  </w:r>
                </w:p>
              </w:tc>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628103DF" w14:textId="77777777" w:rsidR="005A5FCC" w:rsidRDefault="00A21C81">
                  <w:pPr>
                    <w:spacing w:before="30" w:after="30" w:line="240" w:lineRule="auto"/>
                    <w:jc w:val="center"/>
                  </w:pPr>
                  <w:r>
                    <w:rPr>
                      <w:rFonts w:cs="EB Garamond"/>
                      <w:b/>
                      <w:color w:val="2F2923"/>
                      <w:kern w:val="16"/>
                      <w:sz w:val="16"/>
                      <w14:ligatures w14:val="standardContextual"/>
                    </w:rPr>
                    <w:t>Base</w:t>
                  </w:r>
                </w:p>
              </w:tc>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0A7E7182" w14:textId="77777777" w:rsidR="005A5FCC" w:rsidRDefault="00A21C81">
                  <w:pPr>
                    <w:spacing w:before="30" w:after="30" w:line="240" w:lineRule="auto"/>
                    <w:jc w:val="center"/>
                  </w:pPr>
                  <w:r>
                    <w:rPr>
                      <w:rFonts w:cs="EB Garamond"/>
                      <w:b/>
                      <w:color w:val="2F2923"/>
                      <w:kern w:val="16"/>
                      <w:sz w:val="16"/>
                      <w14:ligatures w14:val="standardContextual"/>
                    </w:rPr>
                    <w:t>Alíquota</w:t>
                  </w:r>
                </w:p>
              </w:tc>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2FD5467E" w14:textId="77777777" w:rsidR="005A5FCC" w:rsidRDefault="00A21C81">
                  <w:pPr>
                    <w:spacing w:before="30" w:after="30" w:line="240" w:lineRule="auto"/>
                    <w:jc w:val="center"/>
                  </w:pPr>
                  <w:r>
                    <w:rPr>
                      <w:rFonts w:cs="EB Garamond"/>
                      <w:b/>
                      <w:color w:val="2F2923"/>
                      <w:kern w:val="16"/>
                      <w:sz w:val="16"/>
                      <w14:ligatures w14:val="standardContextual"/>
                    </w:rPr>
                    <w:t>Contribuição</w:t>
                  </w:r>
                </w:p>
              </w:tc>
            </w:tr>
            <w:tr w:rsidR="005A5FCC" w14:paraId="48583311"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683BE175" w14:textId="77777777" w:rsidR="005A5FCC" w:rsidRDefault="00A21C81">
                  <w:pPr>
                    <w:spacing w:before="20" w:after="20" w:line="240" w:lineRule="auto"/>
                    <w:jc w:val="left"/>
                  </w:pPr>
                  <w:r>
                    <w:rPr>
                      <w:rFonts w:cs="EB Garamond"/>
                      <w:kern w:val="16"/>
                      <w:sz w:val="16"/>
                      <w14:ligatures w14:val="standardContextual"/>
                    </w:rPr>
                    <w:t>1ª</w:t>
                  </w:r>
                </w:p>
              </w:tc>
              <w:tc>
                <w:tcPr>
                  <w:tcW w:w="1587" w:type="dxa"/>
                  <w:tcBorders>
                    <w:top w:val="single" w:sz="4" w:space="0" w:color="D2C9B8"/>
                    <w:left w:val="single" w:sz="4" w:space="0" w:color="D2C9B8"/>
                    <w:bottom w:val="single" w:sz="4" w:space="0" w:color="D2C9B8"/>
                    <w:right w:val="single" w:sz="4" w:space="0" w:color="D2C9B8"/>
                  </w:tcBorders>
                </w:tcPr>
                <w:p w14:paraId="5C452350" w14:textId="77777777" w:rsidR="005A5FCC" w:rsidRDefault="00A21C81">
                  <w:pPr>
                    <w:spacing w:before="20" w:after="20" w:line="240" w:lineRule="auto"/>
                    <w:jc w:val="left"/>
                  </w:pPr>
                  <w:r>
                    <w:rPr>
                      <w:rFonts w:cs="EB Garamond"/>
                      <w:kern w:val="16"/>
                      <w:sz w:val="16"/>
                      <w14:ligatures w14:val="standardContextual"/>
                    </w:rPr>
                    <w:t>R$ 1.621,00</w:t>
                  </w:r>
                </w:p>
              </w:tc>
              <w:tc>
                <w:tcPr>
                  <w:tcW w:w="1587" w:type="dxa"/>
                  <w:tcBorders>
                    <w:top w:val="single" w:sz="4" w:space="0" w:color="D2C9B8"/>
                    <w:left w:val="single" w:sz="4" w:space="0" w:color="D2C9B8"/>
                    <w:bottom w:val="single" w:sz="4" w:space="0" w:color="D2C9B8"/>
                    <w:right w:val="single" w:sz="4" w:space="0" w:color="D2C9B8"/>
                  </w:tcBorders>
                </w:tcPr>
                <w:p w14:paraId="63689DC9" w14:textId="77777777" w:rsidR="005A5FCC" w:rsidRDefault="00A21C81">
                  <w:pPr>
                    <w:spacing w:before="20" w:after="20" w:line="240" w:lineRule="auto"/>
                    <w:jc w:val="left"/>
                  </w:pPr>
                  <w:r>
                    <w:rPr>
                      <w:rFonts w:cs="EB Garamond"/>
                      <w:kern w:val="16"/>
                      <w:sz w:val="16"/>
                      <w14:ligatures w14:val="standardContextual"/>
                    </w:rPr>
                    <w:t>7,5%</w:t>
                  </w:r>
                </w:p>
              </w:tc>
              <w:tc>
                <w:tcPr>
                  <w:tcW w:w="1587" w:type="dxa"/>
                  <w:tcBorders>
                    <w:top w:val="single" w:sz="4" w:space="0" w:color="D2C9B8"/>
                    <w:left w:val="single" w:sz="4" w:space="0" w:color="D2C9B8"/>
                    <w:bottom w:val="single" w:sz="4" w:space="0" w:color="D2C9B8"/>
                    <w:right w:val="single" w:sz="4" w:space="0" w:color="D2C9B8"/>
                  </w:tcBorders>
                </w:tcPr>
                <w:p w14:paraId="3F7A0D2C" w14:textId="77777777" w:rsidR="005A5FCC" w:rsidRDefault="00A21C81">
                  <w:pPr>
                    <w:spacing w:before="20" w:after="20" w:line="240" w:lineRule="auto"/>
                    <w:jc w:val="left"/>
                  </w:pPr>
                  <w:r>
                    <w:rPr>
                      <w:rFonts w:cs="EB Garamond"/>
                      <w:kern w:val="16"/>
                      <w:sz w:val="16"/>
                      <w14:ligatures w14:val="standardContextual"/>
                    </w:rPr>
                    <w:t>R$ 121,58</w:t>
                  </w:r>
                </w:p>
              </w:tc>
            </w:tr>
            <w:tr w:rsidR="005A5FCC" w14:paraId="4F0FB7F1"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7AABE418" w14:textId="77777777" w:rsidR="005A5FCC" w:rsidRDefault="00A21C81">
                  <w:pPr>
                    <w:spacing w:before="20" w:after="20" w:line="240" w:lineRule="auto"/>
                    <w:jc w:val="left"/>
                  </w:pPr>
                  <w:r>
                    <w:rPr>
                      <w:rFonts w:cs="EB Garamond"/>
                      <w:kern w:val="16"/>
                      <w:sz w:val="16"/>
                      <w14:ligatures w14:val="standardContextual"/>
                    </w:rPr>
                    <w:t>2ª</w:t>
                  </w:r>
                </w:p>
              </w:tc>
              <w:tc>
                <w:tcPr>
                  <w:tcW w:w="1587" w:type="dxa"/>
                  <w:tcBorders>
                    <w:top w:val="single" w:sz="4" w:space="0" w:color="D2C9B8"/>
                    <w:left w:val="single" w:sz="4" w:space="0" w:color="D2C9B8"/>
                    <w:bottom w:val="single" w:sz="4" w:space="0" w:color="D2C9B8"/>
                    <w:right w:val="single" w:sz="4" w:space="0" w:color="D2C9B8"/>
                  </w:tcBorders>
                </w:tcPr>
                <w:p w14:paraId="2F5A7384" w14:textId="77777777" w:rsidR="005A5FCC" w:rsidRDefault="00A21C81">
                  <w:pPr>
                    <w:spacing w:before="20" w:after="20" w:line="240" w:lineRule="auto"/>
                    <w:jc w:val="left"/>
                  </w:pPr>
                  <w:r>
                    <w:rPr>
                      <w:rFonts w:cs="EB Garamond"/>
                      <w:kern w:val="16"/>
                      <w:sz w:val="16"/>
                      <w14:ligatures w14:val="standardContextual"/>
                    </w:rPr>
                    <w:t>R$ 1.281,84</w:t>
                  </w:r>
                </w:p>
              </w:tc>
              <w:tc>
                <w:tcPr>
                  <w:tcW w:w="1587" w:type="dxa"/>
                  <w:tcBorders>
                    <w:top w:val="single" w:sz="4" w:space="0" w:color="D2C9B8"/>
                    <w:left w:val="single" w:sz="4" w:space="0" w:color="D2C9B8"/>
                    <w:bottom w:val="single" w:sz="4" w:space="0" w:color="D2C9B8"/>
                    <w:right w:val="single" w:sz="4" w:space="0" w:color="D2C9B8"/>
                  </w:tcBorders>
                </w:tcPr>
                <w:p w14:paraId="3C0E601A" w14:textId="77777777" w:rsidR="005A5FCC" w:rsidRDefault="00A21C81">
                  <w:pPr>
                    <w:spacing w:before="20" w:after="20" w:line="240" w:lineRule="auto"/>
                    <w:jc w:val="left"/>
                  </w:pPr>
                  <w:r>
                    <w:rPr>
                      <w:rFonts w:cs="EB Garamond"/>
                      <w:kern w:val="16"/>
                      <w:sz w:val="16"/>
                      <w14:ligatures w14:val="standardContextual"/>
                    </w:rPr>
                    <w:t>9,0%</w:t>
                  </w:r>
                </w:p>
              </w:tc>
              <w:tc>
                <w:tcPr>
                  <w:tcW w:w="1587" w:type="dxa"/>
                  <w:tcBorders>
                    <w:top w:val="single" w:sz="4" w:space="0" w:color="D2C9B8"/>
                    <w:left w:val="single" w:sz="4" w:space="0" w:color="D2C9B8"/>
                    <w:bottom w:val="single" w:sz="4" w:space="0" w:color="D2C9B8"/>
                    <w:right w:val="single" w:sz="4" w:space="0" w:color="D2C9B8"/>
                  </w:tcBorders>
                </w:tcPr>
                <w:p w14:paraId="0E89946C" w14:textId="77777777" w:rsidR="005A5FCC" w:rsidRDefault="00A21C81">
                  <w:pPr>
                    <w:spacing w:before="20" w:after="20" w:line="240" w:lineRule="auto"/>
                    <w:jc w:val="left"/>
                  </w:pPr>
                  <w:r>
                    <w:rPr>
                      <w:rFonts w:cs="EB Garamond"/>
                      <w:kern w:val="16"/>
                      <w:sz w:val="16"/>
                      <w14:ligatures w14:val="standardContextual"/>
                    </w:rPr>
                    <w:t>R$ 115,37</w:t>
                  </w:r>
                </w:p>
              </w:tc>
            </w:tr>
            <w:tr w:rsidR="005A5FCC" w14:paraId="1EE0CFB9"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2910880C" w14:textId="77777777" w:rsidR="005A5FCC" w:rsidRDefault="00A21C81">
                  <w:pPr>
                    <w:spacing w:before="20" w:after="20" w:line="240" w:lineRule="auto"/>
                    <w:jc w:val="left"/>
                  </w:pPr>
                  <w:r>
                    <w:rPr>
                      <w:rFonts w:cs="EB Garamond"/>
                      <w:kern w:val="16"/>
                      <w:sz w:val="16"/>
                      <w14:ligatures w14:val="standardContextual"/>
                    </w:rPr>
                    <w:t>3ª</w:t>
                  </w:r>
                </w:p>
              </w:tc>
              <w:tc>
                <w:tcPr>
                  <w:tcW w:w="1587" w:type="dxa"/>
                  <w:tcBorders>
                    <w:top w:val="single" w:sz="4" w:space="0" w:color="D2C9B8"/>
                    <w:left w:val="single" w:sz="4" w:space="0" w:color="D2C9B8"/>
                    <w:bottom w:val="single" w:sz="4" w:space="0" w:color="D2C9B8"/>
                    <w:right w:val="single" w:sz="4" w:space="0" w:color="D2C9B8"/>
                  </w:tcBorders>
                </w:tcPr>
                <w:p w14:paraId="7A3FF29F" w14:textId="77777777" w:rsidR="005A5FCC" w:rsidRDefault="00A21C81">
                  <w:pPr>
                    <w:spacing w:before="20" w:after="20" w:line="240" w:lineRule="auto"/>
                    <w:jc w:val="left"/>
                  </w:pPr>
                  <w:r>
                    <w:rPr>
                      <w:rFonts w:cs="EB Garamond"/>
                      <w:kern w:val="16"/>
                      <w:sz w:val="16"/>
                      <w14:ligatures w14:val="standardContextual"/>
                    </w:rPr>
                    <w:t>R$ 1.451,43</w:t>
                  </w:r>
                </w:p>
              </w:tc>
              <w:tc>
                <w:tcPr>
                  <w:tcW w:w="1587" w:type="dxa"/>
                  <w:tcBorders>
                    <w:top w:val="single" w:sz="4" w:space="0" w:color="D2C9B8"/>
                    <w:left w:val="single" w:sz="4" w:space="0" w:color="D2C9B8"/>
                    <w:bottom w:val="single" w:sz="4" w:space="0" w:color="D2C9B8"/>
                    <w:right w:val="single" w:sz="4" w:space="0" w:color="D2C9B8"/>
                  </w:tcBorders>
                </w:tcPr>
                <w:p w14:paraId="024BBBCC" w14:textId="77777777" w:rsidR="005A5FCC" w:rsidRDefault="00A21C81">
                  <w:pPr>
                    <w:spacing w:before="20" w:after="20" w:line="240" w:lineRule="auto"/>
                    <w:jc w:val="left"/>
                  </w:pPr>
                  <w:r>
                    <w:rPr>
                      <w:rFonts w:cs="EB Garamond"/>
                      <w:kern w:val="16"/>
                      <w:sz w:val="16"/>
                      <w14:ligatures w14:val="standardContextual"/>
                    </w:rPr>
                    <w:t>12,0%</w:t>
                  </w:r>
                </w:p>
              </w:tc>
              <w:tc>
                <w:tcPr>
                  <w:tcW w:w="1587" w:type="dxa"/>
                  <w:tcBorders>
                    <w:top w:val="single" w:sz="4" w:space="0" w:color="D2C9B8"/>
                    <w:left w:val="single" w:sz="4" w:space="0" w:color="D2C9B8"/>
                    <w:bottom w:val="single" w:sz="4" w:space="0" w:color="D2C9B8"/>
                    <w:right w:val="single" w:sz="4" w:space="0" w:color="D2C9B8"/>
                  </w:tcBorders>
                </w:tcPr>
                <w:p w14:paraId="2E70224E" w14:textId="77777777" w:rsidR="005A5FCC" w:rsidRDefault="00A21C81">
                  <w:pPr>
                    <w:spacing w:before="20" w:after="20" w:line="240" w:lineRule="auto"/>
                    <w:jc w:val="left"/>
                  </w:pPr>
                  <w:r>
                    <w:rPr>
                      <w:rFonts w:cs="EB Garamond"/>
                      <w:kern w:val="16"/>
                      <w:sz w:val="16"/>
                      <w14:ligatures w14:val="standardContextual"/>
                    </w:rPr>
                    <w:t>R$ 174,17</w:t>
                  </w:r>
                </w:p>
              </w:tc>
            </w:tr>
            <w:tr w:rsidR="005A5FCC" w14:paraId="5C8B2B7D"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318DBE54" w14:textId="77777777" w:rsidR="005A5FCC" w:rsidRDefault="00A21C81">
                  <w:pPr>
                    <w:spacing w:before="20" w:after="20" w:line="240" w:lineRule="auto"/>
                    <w:jc w:val="left"/>
                  </w:pPr>
                  <w:r>
                    <w:rPr>
                      <w:rFonts w:cs="EB Garamond"/>
                      <w:kern w:val="16"/>
                      <w:sz w:val="16"/>
                      <w14:ligatures w14:val="standardContextual"/>
                    </w:rPr>
                    <w:t>4ª</w:t>
                  </w:r>
                </w:p>
              </w:tc>
              <w:tc>
                <w:tcPr>
                  <w:tcW w:w="1587" w:type="dxa"/>
                  <w:tcBorders>
                    <w:top w:val="single" w:sz="4" w:space="0" w:color="D2C9B8"/>
                    <w:left w:val="single" w:sz="4" w:space="0" w:color="D2C9B8"/>
                    <w:bottom w:val="single" w:sz="4" w:space="0" w:color="D2C9B8"/>
                    <w:right w:val="single" w:sz="4" w:space="0" w:color="D2C9B8"/>
                  </w:tcBorders>
                </w:tcPr>
                <w:p w14:paraId="25CB795B" w14:textId="77777777" w:rsidR="005A5FCC" w:rsidRDefault="00A21C81">
                  <w:pPr>
                    <w:spacing w:before="20" w:after="20" w:line="240" w:lineRule="auto"/>
                    <w:jc w:val="left"/>
                  </w:pPr>
                  <w:r>
                    <w:rPr>
                      <w:rFonts w:cs="EB Garamond"/>
                      <w:kern w:val="16"/>
                      <w:sz w:val="16"/>
                      <w14:ligatures w14:val="standardContextual"/>
                    </w:rPr>
                    <w:t>R$ 145,73 (4.500,00 − 4.354,27)</w:t>
                  </w:r>
                </w:p>
              </w:tc>
              <w:tc>
                <w:tcPr>
                  <w:tcW w:w="1587" w:type="dxa"/>
                  <w:tcBorders>
                    <w:top w:val="single" w:sz="4" w:space="0" w:color="D2C9B8"/>
                    <w:left w:val="single" w:sz="4" w:space="0" w:color="D2C9B8"/>
                    <w:bottom w:val="single" w:sz="4" w:space="0" w:color="D2C9B8"/>
                    <w:right w:val="single" w:sz="4" w:space="0" w:color="D2C9B8"/>
                  </w:tcBorders>
                </w:tcPr>
                <w:p w14:paraId="09FB4D90" w14:textId="77777777" w:rsidR="005A5FCC" w:rsidRDefault="00A21C81">
                  <w:pPr>
                    <w:spacing w:before="20" w:after="20" w:line="240" w:lineRule="auto"/>
                    <w:jc w:val="left"/>
                  </w:pPr>
                  <w:r>
                    <w:rPr>
                      <w:rFonts w:cs="EB Garamond"/>
                      <w:kern w:val="16"/>
                      <w:sz w:val="16"/>
                      <w14:ligatures w14:val="standardContextual"/>
                    </w:rPr>
                    <w:t>14,0%</w:t>
                  </w:r>
                </w:p>
              </w:tc>
              <w:tc>
                <w:tcPr>
                  <w:tcW w:w="1587" w:type="dxa"/>
                  <w:tcBorders>
                    <w:top w:val="single" w:sz="4" w:space="0" w:color="D2C9B8"/>
                    <w:left w:val="single" w:sz="4" w:space="0" w:color="D2C9B8"/>
                    <w:bottom w:val="single" w:sz="4" w:space="0" w:color="D2C9B8"/>
                    <w:right w:val="single" w:sz="4" w:space="0" w:color="D2C9B8"/>
                  </w:tcBorders>
                </w:tcPr>
                <w:p w14:paraId="08DB34F4" w14:textId="77777777" w:rsidR="005A5FCC" w:rsidRDefault="00A21C81">
                  <w:pPr>
                    <w:spacing w:before="20" w:after="20" w:line="240" w:lineRule="auto"/>
                    <w:jc w:val="left"/>
                  </w:pPr>
                  <w:r>
                    <w:rPr>
                      <w:rFonts w:cs="EB Garamond"/>
                      <w:kern w:val="16"/>
                      <w:sz w:val="16"/>
                      <w14:ligatures w14:val="standardContextual"/>
                    </w:rPr>
                    <w:t>R$ 20,40</w:t>
                  </w:r>
                </w:p>
              </w:tc>
            </w:tr>
          </w:tbl>
          <w:p w14:paraId="621032C0" w14:textId="77777777" w:rsidR="005A5FCC" w:rsidRDefault="005A5FCC"/>
          <w:p w14:paraId="2277CF83" w14:textId="77777777" w:rsidR="005A5FCC" w:rsidRDefault="005A5FCC">
            <w:pPr>
              <w:spacing w:after="0" w:line="240" w:lineRule="auto"/>
            </w:pPr>
          </w:p>
          <w:p w14:paraId="69608D4F" w14:textId="77777777" w:rsidR="005A5FCC" w:rsidRDefault="00A21C81">
            <w:pPr>
              <w:spacing w:after="60" w:line="247" w:lineRule="auto"/>
            </w:pPr>
            <w:r>
              <w:rPr>
                <w:rFonts w:cs="EB Garamond"/>
                <w:kern w:val="16"/>
                <w:sz w:val="19"/>
                <w14:ligatures w14:val="standardContextual"/>
              </w:rPr>
              <w:t>Total retido: R$ 933,04 (R$ 501,52 + R$ 431,52)</w:t>
            </w:r>
          </w:p>
          <w:p w14:paraId="3819FCCC" w14:textId="77777777" w:rsidR="005A5FCC" w:rsidRDefault="00A21C81">
            <w:pPr>
              <w:spacing w:after="60" w:line="247" w:lineRule="auto"/>
            </w:pPr>
            <w:r>
              <w:rPr>
                <w:rFonts w:cs="EB Garamond"/>
                <w:kern w:val="16"/>
                <w:sz w:val="19"/>
                <w14:ligatures w14:val="standardContextual"/>
              </w:rPr>
              <w:t>Soma das remunerações: R$ 9.500,00 (acima do teto de R$ 8.475,55) Contribuição devida sobre o teto: ~R$ 988,10</w:t>
            </w:r>
          </w:p>
          <w:p w14:paraId="5803E391" w14:textId="77777777" w:rsidR="005A5FCC" w:rsidRDefault="00A21C81">
            <w:pPr>
              <w:spacing w:after="60" w:line="247" w:lineRule="auto"/>
            </w:pPr>
            <w:r>
              <w:rPr>
                <w:rFonts w:cs="EB Garamond"/>
                <w:kern w:val="16"/>
                <w:sz w:val="19"/>
                <w14:ligatures w14:val="standardContextual"/>
              </w:rPr>
              <w:t>Neste caso específico, a retenção somada (R$ 933,04) ainda fica abaixo do máximo devido sobre o teto (~R$ 988,10), de modo que não há excesso a restituir. O excesso surge quando a soma das duas retenções, calculadas isoladamente, supera a contribuição-teto. Basta elevar os dois salários: se ambos fossem de R$ 6.000,00, cada vínculo geraria retenção de R$ 641,52, somando R$ 1.283,04 — quase R$ 295,00 acima do teto de ~R$ 988,10, valor integralmente restituível. A distorção decorre de cada empregador reiniciar a progressividade pela 1ª faixa e agrava-se a cada vínculo adicional.</w:t>
            </w:r>
          </w:p>
          <w:p w14:paraId="283E1A21" w14:textId="77777777" w:rsidR="005A5FCC" w:rsidRDefault="00A21C81">
            <w:pPr>
              <w:spacing w:after="60" w:line="247" w:lineRule="auto"/>
            </w:pPr>
            <w:r>
              <w:rPr>
                <w:rFonts w:cs="EB Garamond"/>
                <w:b/>
                <w:kern w:val="16"/>
                <w:sz w:val="19"/>
                <w14:ligatures w14:val="standardContextual"/>
              </w:rPr>
              <w:lastRenderedPageBreak/>
              <w:t>Procedimento:</w:t>
            </w:r>
            <w:r>
              <w:rPr>
                <w:rFonts w:cs="EB Garamond"/>
                <w:kern w:val="16"/>
                <w:sz w:val="19"/>
                <w14:ligatures w14:val="standardContextual"/>
              </w:rPr>
              <w:t xml:space="preserve"> 1. Obter extrato detalhado do CNIS com todas as remunerações e contribuições 2. Calcular a contribuição devida sobre o teto (limite máximo) 3. Identificar o excedente retido 4. Requerer restituição via PER/DCOMP na RFB 5. Se indeferido: ação no JEF (valor da causa = excedente atualizado)</w:t>
            </w:r>
          </w:p>
        </w:tc>
      </w:tr>
    </w:tbl>
    <w:p w14:paraId="682AB431" w14:textId="77777777" w:rsidR="005A5FCC" w:rsidRDefault="005A5FCC">
      <w:pPr>
        <w:spacing w:after="80" w:line="240" w:lineRule="auto"/>
      </w:pPr>
    </w:p>
    <w:p w14:paraId="494FACB8" w14:textId="77777777" w:rsidR="005A5FCC" w:rsidRDefault="00A21C81">
      <w:pPr>
        <w:spacing w:before="260" w:after="80" w:line="240" w:lineRule="auto"/>
        <w:jc w:val="left"/>
      </w:pPr>
      <w:r>
        <w:rPr>
          <w:rFonts w:cs="EB Garamond"/>
          <w:b/>
          <w:color w:val="3A3128"/>
          <w:kern w:val="16"/>
          <w:sz w:val="25"/>
          <w14:ligatures w14:val="standardContextual"/>
        </w:rPr>
        <w:t>4.20.3 Compensação entre contribuintes (empresas)</w:t>
      </w:r>
    </w:p>
    <w:p w14:paraId="10A1DE6C"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2CDE84F7" w14:textId="77777777" w:rsidR="005A5FCC" w:rsidRDefault="00A21C81">
      <w:r>
        <w:rPr>
          <w:rFonts w:cs="EB Garamond"/>
          <w:kern w:val="16"/>
          <w14:ligatures w14:val="standardContextual"/>
        </w:rPr>
        <w:t xml:space="preserve"> compensação tributária, instituto pelo qual o contribuinte abate créditos (valores pagos a maior ou indevidamente) de débitos vincendos, é disciplinada pelo art. 89 da Lei 8.212/91 e pela IN RFB 2.055/2021. No âmbito previdenciário, a compensação segue regras específicas:</w:t>
      </w:r>
    </w:p>
    <w:p w14:paraId="6F9FC641" w14:textId="77777777" w:rsidR="005A5FCC" w:rsidRDefault="00A21C81">
      <w:pPr>
        <w:ind w:firstLine="238"/>
      </w:pPr>
      <w:r>
        <w:rPr>
          <w:rFonts w:cs="EB Garamond"/>
          <w:kern w:val="16"/>
          <w14:ligatures w14:val="standardContextual"/>
        </w:rPr>
        <w:t xml:space="preserve">a) </w:t>
      </w:r>
      <w:r>
        <w:rPr>
          <w:rFonts w:cs="EB Garamond"/>
          <w:b/>
          <w:kern w:val="16"/>
          <w14:ligatures w14:val="standardContextual"/>
        </w:rPr>
        <w:t>Contribuições previdenciárias podem ser compensadas com outros tributos federais</w:t>
      </w:r>
      <w:r>
        <w:rPr>
          <w:rFonts w:cs="EB Garamond"/>
          <w:kern w:val="16"/>
          <w14:ligatures w14:val="standardContextual"/>
        </w:rPr>
        <w:t xml:space="preserve"> administrados pela RFB (IR, CSLL, PIS, COFINS), desde a Lei 13.670/2018 e conforme a IN RFB 2.055/2021.</w:t>
      </w:r>
    </w:p>
    <w:p w14:paraId="5F85933D" w14:textId="77777777" w:rsidR="005A5FCC" w:rsidRDefault="00A21C81">
      <w:pPr>
        <w:ind w:firstLine="238"/>
      </w:pPr>
      <w:r>
        <w:rPr>
          <w:rFonts w:cs="EB Garamond"/>
          <w:kern w:val="16"/>
          <w14:ligatures w14:val="standardContextual"/>
        </w:rPr>
        <w:t xml:space="preserve">b) </w:t>
      </w:r>
      <w:r>
        <w:rPr>
          <w:rFonts w:cs="EB Garamond"/>
          <w:b/>
          <w:kern w:val="16"/>
          <w14:ligatures w14:val="standardContextual"/>
        </w:rPr>
        <w:t>Vedação para contribuições do segurado:</w:t>
      </w:r>
      <w:r>
        <w:rPr>
          <w:rFonts w:cs="EB Garamond"/>
          <w:kern w:val="16"/>
          <w14:ligatures w14:val="standardContextual"/>
        </w:rPr>
        <w:t xml:space="preserve"> A empresa não pode compensar contribuições retidas dos empregados com outros débitos. A retenção é tributo do empregado, não da empresa — o empregador atua como mero responsável tributário.</w:t>
      </w:r>
    </w:p>
    <w:p w14:paraId="226E6D18" w14:textId="77777777" w:rsidR="005A5FCC" w:rsidRDefault="00A21C81">
      <w:pPr>
        <w:ind w:firstLine="238"/>
      </w:pPr>
      <w:r>
        <w:rPr>
          <w:rFonts w:cs="EB Garamond"/>
          <w:kern w:val="16"/>
          <w14:ligatures w14:val="standardContextual"/>
        </w:rPr>
        <w:t xml:space="preserve">c) </w:t>
      </w:r>
      <w:r>
        <w:rPr>
          <w:rFonts w:cs="EB Garamond"/>
          <w:b/>
          <w:kern w:val="16"/>
          <w14:ligatures w14:val="standardContextual"/>
        </w:rPr>
        <w:t>Prazo:</w:t>
      </w:r>
      <w:r>
        <w:rPr>
          <w:rFonts w:cs="EB Garamond"/>
          <w:kern w:val="16"/>
          <w14:ligatures w14:val="standardContextual"/>
        </w:rPr>
        <w:t xml:space="preserve"> 5 anos do pagamento indevido (art. 168, I, CTN).</w:t>
      </w:r>
    </w:p>
    <w:p w14:paraId="015BF4B5" w14:textId="77777777" w:rsidR="005A5FCC" w:rsidRDefault="00A21C81">
      <w:pPr>
        <w:spacing w:before="260" w:after="80" w:line="240" w:lineRule="auto"/>
        <w:jc w:val="left"/>
      </w:pPr>
      <w:r>
        <w:rPr>
          <w:rFonts w:cs="EB Garamond"/>
          <w:b/>
          <w:color w:val="3A3128"/>
          <w:kern w:val="16"/>
          <w:sz w:val="25"/>
          <w14:ligatures w14:val="standardContextual"/>
        </w:rPr>
        <w:t>4.20.4 Restituição de contribuições do aposentado que retorna ao trabalho</w:t>
      </w:r>
    </w:p>
    <w:p w14:paraId="3FC78611"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646F0A80" w14:textId="77777777" w:rsidR="005A5FCC" w:rsidRDefault="00A21C81">
      <w:r>
        <w:rPr>
          <w:rFonts w:cs="EB Garamond"/>
          <w:kern w:val="16"/>
          <w14:ligatures w14:val="standardContextual"/>
        </w:rPr>
        <w:t xml:space="preserve"> aposentado que retorna ao trabalho é segurado obrigatório e contribui normalmente (art. 12, § 4º, Lei 8.212/91). Essas contribuições, contudo, não geram direito a novo benefício (vedação à desaposentação, STF Tema 503). A questão da legitimidade dessa cobrança sem contraprestação individual está, hoje, juridicamente pacificada: ao apreciar o Tema 503, o STF considerou-a constitucional, fundamentando que a contribuição previdenciária tem natureza tributária e solidária — o aposentado contribui para o sistema, não para si. De lege lata, portanto, a exigência é válida e as ações que a impugnam estão fadadas </w:t>
      </w:r>
      <w:r>
        <w:rPr>
          <w:rFonts w:cs="EB Garamond"/>
          <w:kern w:val="16"/>
          <w14:ligatures w14:val="standardContextual"/>
        </w:rPr>
        <w:lastRenderedPageBreak/>
        <w:t>ao insucesso. Registramos, de lege ferenda, a crítica de que a cobrança gera situação de desequilíbrio para o aposentado, que contribui compulsoriamente sem qualquer perspectiva de benefício próprio — ressalva que, todavia, não infirma a higidez constitucional já reconhecida pela Suprema Corte.</w:t>
      </w:r>
    </w:p>
    <w:p w14:paraId="12F2AB04" w14:textId="77777777" w:rsidR="005A5FCC" w:rsidRDefault="00A21C81">
      <w:pPr>
        <w:ind w:firstLine="238"/>
      </w:pPr>
      <w:r>
        <w:rPr>
          <w:rFonts w:cs="EB Garamond"/>
          <w:kern w:val="16"/>
          <w14:ligatures w14:val="standardContextual"/>
        </w:rPr>
        <w:t>Há, contudo, uma exceção relevante: o aposentado por incapacidade permanente (antiga invalidez) que retorna ao trabalho tem seu benefício cessado (art. 46, Lei 8.213/91). Nesse caso, as contribuições pós-retorno geram direito a novo período de carência e tempo de contribuição, pois o segurado não está mais aposentado.</w:t>
      </w:r>
    </w:p>
    <w:p w14:paraId="02977C1E" w14:textId="77777777" w:rsidR="005A5FCC" w:rsidRDefault="00A21C81">
      <w:pPr>
        <w:ind w:firstLine="238"/>
      </w:pPr>
      <w:r>
        <w:rPr>
          <w:rFonts w:cs="EB Garamond"/>
          <w:kern w:val="16"/>
          <w14:ligatures w14:val="standardContextual"/>
        </w:rPr>
        <w:t>Na prática dos JEFs, surgem demandas de aposentados que pleiteiam a restituição das contribuições vertidas após a aposentadoria, sob o argumento de que a contribuição sem contraprestação violaria o caráter sinalagmático do sistema. Essas ações são sistematicamente rejeitadas após o Tema 503/STF. Restam ao aposentado apenas os direitos ao salário-família e à reabilitação profissional como contraprestação das contribuições pós-aposentadoria.</w:t>
      </w:r>
    </w:p>
    <w:tbl>
      <w:tblPr>
        <w:tblW w:w="5000" w:type="pct"/>
        <w:jc w:val="center"/>
        <w:tblLayout w:type="fixed"/>
        <w:tblLook w:val="04A0" w:firstRow="1" w:lastRow="0" w:firstColumn="1" w:lastColumn="0" w:noHBand="0" w:noVBand="1"/>
      </w:tblPr>
      <w:tblGrid>
        <w:gridCol w:w="6311"/>
      </w:tblGrid>
      <w:tr w:rsidR="005A5FCC" w14:paraId="07813762"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08813F34"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61625920" w14:textId="77777777" w:rsidR="005A5FCC" w:rsidRDefault="00A21C81">
            <w:pPr>
              <w:spacing w:after="60" w:line="247" w:lineRule="auto"/>
            </w:pPr>
            <w:r>
              <w:rPr>
                <w:rFonts w:cs="EB Garamond"/>
                <w:b/>
                <w:kern w:val="16"/>
                <w:sz w:val="19"/>
                <w14:ligatures w14:val="standardContextual"/>
              </w:rPr>
              <w:t>Atenção — Desaposentação vedada (STF Tema 503):</w:t>
            </w:r>
          </w:p>
          <w:p w14:paraId="15020A0B" w14:textId="77777777" w:rsidR="005A5FCC" w:rsidRDefault="00A21C81">
            <w:pPr>
              <w:spacing w:after="60" w:line="247" w:lineRule="auto"/>
            </w:pPr>
            <w:r>
              <w:rPr>
                <w:rFonts w:cs="EB Garamond"/>
                <w:kern w:val="16"/>
                <w:sz w:val="19"/>
                <w14:ligatures w14:val="standardContextual"/>
              </w:rPr>
              <w:t>O STF, no julgamento do RE 661.256 (Tema 503, j. 26/10/2016, julgado em conjunto com o RE 381.367 e o RE 827.833), fixou que "no âmbito do Regime Geral de Previdência Social — RGPS, somente lei pode criar benefícios e vantagens previdenciárias, não havendo, por ora, previsão legal do direito à 'desaposentação', sendo constitucional a regra do art. 18, § 2º, da Lei n. 8.213/91." Essa decisão encerrou definitivamente a controvérsia sobre a possibilidade de o aposentado renunciar à aposentadoria para obter outra mais vantajosa, computando as contribuições posteriores.</w:t>
            </w:r>
          </w:p>
          <w:p w14:paraId="0A4801FF" w14:textId="77777777" w:rsidR="005A5FCC" w:rsidRDefault="00A21C81">
            <w:pPr>
              <w:spacing w:after="60" w:line="247" w:lineRule="auto"/>
            </w:pPr>
            <w:r>
              <w:rPr>
                <w:rFonts w:cs="EB Garamond"/>
                <w:i/>
                <w:kern w:val="16"/>
                <w:sz w:val="19"/>
                <w14:ligatures w14:val="standardContextual"/>
              </w:rPr>
              <w:t>Nota sobre a relatoria:</w:t>
            </w:r>
            <w:r>
              <w:rPr>
                <w:rFonts w:cs="EB Garamond"/>
                <w:kern w:val="16"/>
                <w:sz w:val="19"/>
                <w14:ligatures w14:val="standardContextual"/>
              </w:rPr>
              <w:t xml:space="preserve"> o RE 661.256 foi originalmente distribuído ao Min. Roberto Barroso (relator), prevalecendo, contudo, a divergência inaugurada pelo Min. Teori Zavascki; o acórdão foi redigido pelo Min. Dias Toffoli, designado redator para o acórdão. Por isso, é comum a referência ao Tema 503 sob a relatoria do Min. Dias Toffoli, embora a relatoria originária seja do Min. Roberto Barroso.</w:t>
            </w:r>
          </w:p>
        </w:tc>
      </w:tr>
    </w:tbl>
    <w:p w14:paraId="0336505F" w14:textId="77777777" w:rsidR="005A5FCC" w:rsidRDefault="005A5FCC">
      <w:pPr>
        <w:spacing w:after="80" w:line="240" w:lineRule="auto"/>
      </w:pPr>
    </w:p>
    <w:p w14:paraId="55B5EE9A" w14:textId="77777777" w:rsidR="005A5FCC" w:rsidRDefault="00A21C81">
      <w:pPr>
        <w:spacing w:before="260" w:after="80" w:line="240" w:lineRule="auto"/>
        <w:jc w:val="left"/>
      </w:pPr>
      <w:r>
        <w:rPr>
          <w:rFonts w:cs="EB Garamond"/>
          <w:b/>
          <w:color w:val="3A3128"/>
          <w:kern w:val="16"/>
          <w:sz w:val="25"/>
          <w14:ligatures w14:val="standardContextual"/>
        </w:rPr>
        <w:t>4.20.5 Impacto da restituição no benefício</w:t>
      </w:r>
    </w:p>
    <w:p w14:paraId="3F8F7C9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S</w:t>
      </w:r>
    </w:p>
    <w:p w14:paraId="7EAB73E2" w14:textId="77777777" w:rsidR="005A5FCC" w:rsidRDefault="00A21C81">
      <w:r>
        <w:rPr>
          <w:rFonts w:cs="EB Garamond"/>
          <w:kern w:val="16"/>
          <w14:ligatures w14:val="standardContextual"/>
        </w:rPr>
        <w:t>e o segurado obtém restituição de contribuições, o CNIS deve ser ajustado para refletir apenas as contribuições efetivamente devidas. Isso pode impactar o salário de benefício se a restituição alterar a base de cálculo (salário de contribuição) de alguma competência. Na prática, a restituição de excedente acima do teto não afeta o benefício, pois o cálculo já considera o teto como limite.</w:t>
      </w:r>
    </w:p>
    <w:p w14:paraId="1289ACCD" w14:textId="22CBF414"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4.21 GPS, DARF e e</w:t>
      </w:r>
      <w:r w:rsidR="00786894">
        <w:rPr>
          <w:rFonts w:cs="EB Garamond"/>
          <w:b/>
          <w:color w:val="3A3128"/>
          <w:kern w:val="16"/>
          <w:sz w:val="31"/>
          <w14:ligatures w14:val="standardContextual"/>
        </w:rPr>
        <w:t>S</w:t>
      </w:r>
      <w:r>
        <w:rPr>
          <w:rFonts w:cs="EB Garamond"/>
          <w:b/>
          <w:color w:val="3A3128"/>
          <w:kern w:val="16"/>
          <w:sz w:val="31"/>
          <w14:ligatures w14:val="standardContextual"/>
        </w:rPr>
        <w:t>ocial: instrumentos de recolhimento</w:t>
      </w:r>
    </w:p>
    <w:p w14:paraId="46B6E626" w14:textId="4B0655FA" w:rsidR="005A5FCC" w:rsidRDefault="00A21C81">
      <w:pPr>
        <w:spacing w:before="260" w:after="80" w:line="240" w:lineRule="auto"/>
        <w:jc w:val="left"/>
      </w:pPr>
      <w:r>
        <w:rPr>
          <w:rFonts w:cs="EB Garamond"/>
          <w:b/>
          <w:color w:val="3A3128"/>
          <w:kern w:val="16"/>
          <w:sz w:val="25"/>
          <w14:ligatures w14:val="standardContextual"/>
        </w:rPr>
        <w:t xml:space="preserve">4.21.1 GPS — </w:t>
      </w:r>
      <w:r w:rsidR="00786894">
        <w:rPr>
          <w:rFonts w:cs="EB Garamond"/>
          <w:b/>
          <w:color w:val="3A3128"/>
          <w:kern w:val="16"/>
          <w:sz w:val="25"/>
          <w14:ligatures w14:val="standardContextual"/>
        </w:rPr>
        <w:t>G</w:t>
      </w:r>
      <w:r>
        <w:rPr>
          <w:rFonts w:cs="EB Garamond"/>
          <w:b/>
          <w:color w:val="3A3128"/>
          <w:kern w:val="16"/>
          <w:sz w:val="25"/>
          <w14:ligatures w14:val="standardContextual"/>
        </w:rPr>
        <w:t xml:space="preserve">uia da </w:t>
      </w:r>
      <w:r w:rsidR="00786894">
        <w:rPr>
          <w:rFonts w:cs="EB Garamond"/>
          <w:b/>
          <w:color w:val="3A3128"/>
          <w:kern w:val="16"/>
          <w:sz w:val="25"/>
          <w14:ligatures w14:val="standardContextual"/>
        </w:rPr>
        <w:t>P</w:t>
      </w:r>
      <w:r>
        <w:rPr>
          <w:rFonts w:cs="EB Garamond"/>
          <w:b/>
          <w:color w:val="3A3128"/>
          <w:kern w:val="16"/>
          <w:sz w:val="25"/>
          <w14:ligatures w14:val="standardContextual"/>
        </w:rPr>
        <w:t xml:space="preserve">revidência </w:t>
      </w:r>
      <w:r w:rsidR="00786894">
        <w:rPr>
          <w:rFonts w:cs="EB Garamond"/>
          <w:b/>
          <w:color w:val="3A3128"/>
          <w:kern w:val="16"/>
          <w:sz w:val="25"/>
          <w14:ligatures w14:val="standardContextual"/>
        </w:rPr>
        <w:t>S</w:t>
      </w:r>
      <w:r>
        <w:rPr>
          <w:rFonts w:cs="EB Garamond"/>
          <w:b/>
          <w:color w:val="3A3128"/>
          <w:kern w:val="16"/>
          <w:sz w:val="25"/>
          <w14:ligatures w14:val="standardContextual"/>
        </w:rPr>
        <w:t>ocial</w:t>
      </w:r>
    </w:p>
    <w:p w14:paraId="71A82A0D"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5B62244A" w14:textId="77777777" w:rsidR="005A5FCC" w:rsidRDefault="00A21C81">
      <w:r>
        <w:rPr>
          <w:rFonts w:cs="EB Garamond"/>
          <w:kern w:val="16"/>
          <w14:ligatures w14:val="standardContextual"/>
        </w:rPr>
        <w:t xml:space="preserve"> GPS é o instrumento de pagamento da contribuição previdenciária para contribuintes individuais, facultativos e empregadores domésticos (estes últimos quando não utilizam o eSocial/DAE). Os principais códigos são:</w:t>
      </w:r>
    </w:p>
    <w:tbl>
      <w:tblPr>
        <w:tblW w:w="5000" w:type="pct"/>
        <w:jc w:val="center"/>
        <w:tblLook w:val="04A0" w:firstRow="1" w:lastRow="0" w:firstColumn="1" w:lastColumn="0" w:noHBand="0" w:noVBand="1"/>
      </w:tblPr>
      <w:tblGrid>
        <w:gridCol w:w="1585"/>
        <w:gridCol w:w="1585"/>
        <w:gridCol w:w="1585"/>
        <w:gridCol w:w="1585"/>
      </w:tblGrid>
      <w:tr w:rsidR="005A5FCC" w14:paraId="7A2DD28D" w14:textId="77777777">
        <w:trPr>
          <w:tblHeader/>
          <w:jc w:val="center"/>
        </w:trPr>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5F17168E" w14:textId="77777777" w:rsidR="005A5FCC" w:rsidRDefault="00A21C81">
            <w:pPr>
              <w:spacing w:before="40" w:after="40" w:line="240" w:lineRule="auto"/>
              <w:jc w:val="center"/>
            </w:pPr>
            <w:r>
              <w:rPr>
                <w:rFonts w:cs="EB Garamond"/>
                <w:b/>
                <w:color w:val="2F2923"/>
                <w:kern w:val="16"/>
                <w:sz w:val="18"/>
                <w14:ligatures w14:val="standardContextual"/>
              </w:rPr>
              <w:t>Código</w:t>
            </w:r>
          </w:p>
        </w:tc>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13C9201A" w14:textId="77777777" w:rsidR="005A5FCC" w:rsidRDefault="00A21C81">
            <w:pPr>
              <w:spacing w:before="40" w:after="40" w:line="240" w:lineRule="auto"/>
              <w:jc w:val="center"/>
            </w:pPr>
            <w:r>
              <w:rPr>
                <w:rFonts w:cs="EB Garamond"/>
                <w:b/>
                <w:color w:val="2F2923"/>
                <w:kern w:val="16"/>
                <w:sz w:val="18"/>
                <w14:ligatures w14:val="standardContextual"/>
              </w:rPr>
              <w:t>Destinatário</w:t>
            </w:r>
          </w:p>
        </w:tc>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25E1491C" w14:textId="77777777" w:rsidR="005A5FCC" w:rsidRDefault="00A21C81">
            <w:pPr>
              <w:spacing w:before="40" w:after="40" w:line="240" w:lineRule="auto"/>
              <w:jc w:val="center"/>
            </w:pPr>
            <w:r>
              <w:rPr>
                <w:rFonts w:cs="EB Garamond"/>
                <w:b/>
                <w:color w:val="2F2923"/>
                <w:kern w:val="16"/>
                <w:sz w:val="18"/>
                <w14:ligatures w14:val="standardContextual"/>
              </w:rPr>
              <w:t>Alíquota</w:t>
            </w:r>
          </w:p>
        </w:tc>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4EBE6B79" w14:textId="77777777" w:rsidR="005A5FCC" w:rsidRDefault="00A21C81">
            <w:pPr>
              <w:spacing w:before="40" w:after="40" w:line="240" w:lineRule="auto"/>
              <w:jc w:val="center"/>
            </w:pPr>
            <w:r>
              <w:rPr>
                <w:rFonts w:cs="EB Garamond"/>
                <w:b/>
                <w:color w:val="2F2923"/>
                <w:kern w:val="16"/>
                <w:sz w:val="18"/>
                <w14:ligatures w14:val="standardContextual"/>
              </w:rPr>
              <w:t>Observação</w:t>
            </w:r>
          </w:p>
        </w:tc>
      </w:tr>
      <w:tr w:rsidR="005A5FCC" w14:paraId="0D3A53E6"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4AF36402" w14:textId="77777777" w:rsidR="005A5FCC" w:rsidRDefault="00A21C81">
            <w:pPr>
              <w:spacing w:before="20" w:after="20" w:line="240" w:lineRule="auto"/>
              <w:jc w:val="left"/>
            </w:pPr>
            <w:r>
              <w:rPr>
                <w:rFonts w:cs="EB Garamond"/>
                <w:kern w:val="16"/>
                <w:sz w:val="18"/>
                <w14:ligatures w14:val="standardContextual"/>
              </w:rPr>
              <w:t>1007</w:t>
            </w:r>
          </w:p>
        </w:tc>
        <w:tc>
          <w:tcPr>
            <w:tcW w:w="1587" w:type="dxa"/>
            <w:tcBorders>
              <w:top w:val="single" w:sz="4" w:space="0" w:color="D2C9B8"/>
              <w:left w:val="single" w:sz="4" w:space="0" w:color="D2C9B8"/>
              <w:bottom w:val="single" w:sz="4" w:space="0" w:color="D2C9B8"/>
              <w:right w:val="single" w:sz="4" w:space="0" w:color="D2C9B8"/>
            </w:tcBorders>
          </w:tcPr>
          <w:p w14:paraId="76507312" w14:textId="77777777" w:rsidR="005A5FCC" w:rsidRDefault="00A21C81">
            <w:pPr>
              <w:spacing w:before="20" w:after="20" w:line="240" w:lineRule="auto"/>
              <w:jc w:val="left"/>
            </w:pPr>
            <w:r>
              <w:rPr>
                <w:rFonts w:cs="EB Garamond"/>
                <w:kern w:val="16"/>
                <w:sz w:val="18"/>
                <w14:ligatures w14:val="standardContextual"/>
              </w:rPr>
              <w:t>CI — plano normal</w:t>
            </w:r>
          </w:p>
        </w:tc>
        <w:tc>
          <w:tcPr>
            <w:tcW w:w="1587" w:type="dxa"/>
            <w:tcBorders>
              <w:top w:val="single" w:sz="4" w:space="0" w:color="D2C9B8"/>
              <w:left w:val="single" w:sz="4" w:space="0" w:color="D2C9B8"/>
              <w:bottom w:val="single" w:sz="4" w:space="0" w:color="D2C9B8"/>
              <w:right w:val="single" w:sz="4" w:space="0" w:color="D2C9B8"/>
            </w:tcBorders>
          </w:tcPr>
          <w:p w14:paraId="075B6B49" w14:textId="77777777" w:rsidR="005A5FCC" w:rsidRDefault="00A21C81">
            <w:pPr>
              <w:spacing w:before="20" w:after="20" w:line="240" w:lineRule="auto"/>
              <w:jc w:val="left"/>
            </w:pPr>
            <w:r>
              <w:rPr>
                <w:rFonts w:cs="EB Garamond"/>
                <w:kern w:val="16"/>
                <w:sz w:val="18"/>
                <w14:ligatures w14:val="standardContextual"/>
              </w:rPr>
              <w:t>20%</w:t>
            </w:r>
          </w:p>
        </w:tc>
        <w:tc>
          <w:tcPr>
            <w:tcW w:w="1587" w:type="dxa"/>
            <w:tcBorders>
              <w:top w:val="single" w:sz="4" w:space="0" w:color="D2C9B8"/>
              <w:left w:val="single" w:sz="4" w:space="0" w:color="D2C9B8"/>
              <w:bottom w:val="single" w:sz="4" w:space="0" w:color="D2C9B8"/>
              <w:right w:val="single" w:sz="4" w:space="0" w:color="D2C9B8"/>
            </w:tcBorders>
          </w:tcPr>
          <w:p w14:paraId="592F78CE" w14:textId="77777777" w:rsidR="005A5FCC" w:rsidRDefault="00A21C81">
            <w:pPr>
              <w:spacing w:before="20" w:after="20" w:line="240" w:lineRule="auto"/>
              <w:jc w:val="left"/>
            </w:pPr>
            <w:r>
              <w:rPr>
                <w:rFonts w:cs="EB Garamond"/>
                <w:kern w:val="16"/>
                <w:sz w:val="18"/>
                <w14:ligatures w14:val="standardContextual"/>
              </w:rPr>
              <w:t>Trimestral permitido</w:t>
            </w:r>
          </w:p>
        </w:tc>
      </w:tr>
      <w:tr w:rsidR="005A5FCC" w14:paraId="5B5AEE24"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11B168F6" w14:textId="77777777" w:rsidR="005A5FCC" w:rsidRDefault="00A21C81">
            <w:pPr>
              <w:spacing w:before="20" w:after="20" w:line="240" w:lineRule="auto"/>
              <w:jc w:val="left"/>
            </w:pPr>
            <w:r>
              <w:rPr>
                <w:rFonts w:cs="EB Garamond"/>
                <w:kern w:val="16"/>
                <w:sz w:val="18"/>
                <w14:ligatures w14:val="standardContextual"/>
              </w:rPr>
              <w:t>1104</w:t>
            </w:r>
          </w:p>
        </w:tc>
        <w:tc>
          <w:tcPr>
            <w:tcW w:w="1587" w:type="dxa"/>
            <w:tcBorders>
              <w:top w:val="single" w:sz="4" w:space="0" w:color="D2C9B8"/>
              <w:left w:val="single" w:sz="4" w:space="0" w:color="D2C9B8"/>
              <w:bottom w:val="single" w:sz="4" w:space="0" w:color="D2C9B8"/>
              <w:right w:val="single" w:sz="4" w:space="0" w:color="D2C9B8"/>
            </w:tcBorders>
          </w:tcPr>
          <w:p w14:paraId="5E146701" w14:textId="77777777" w:rsidR="005A5FCC" w:rsidRDefault="00A21C81">
            <w:pPr>
              <w:spacing w:before="20" w:after="20" w:line="240" w:lineRule="auto"/>
              <w:jc w:val="left"/>
            </w:pPr>
            <w:r>
              <w:rPr>
                <w:rFonts w:cs="EB Garamond"/>
                <w:kern w:val="16"/>
                <w:sz w:val="18"/>
                <w14:ligatures w14:val="standardContextual"/>
              </w:rPr>
              <w:t>CI, plano normal (trimestral)</w:t>
            </w:r>
          </w:p>
        </w:tc>
        <w:tc>
          <w:tcPr>
            <w:tcW w:w="1587" w:type="dxa"/>
            <w:tcBorders>
              <w:top w:val="single" w:sz="4" w:space="0" w:color="D2C9B8"/>
              <w:left w:val="single" w:sz="4" w:space="0" w:color="D2C9B8"/>
              <w:bottom w:val="single" w:sz="4" w:space="0" w:color="D2C9B8"/>
              <w:right w:val="single" w:sz="4" w:space="0" w:color="D2C9B8"/>
            </w:tcBorders>
          </w:tcPr>
          <w:p w14:paraId="4FC06FB3" w14:textId="77777777" w:rsidR="005A5FCC" w:rsidRDefault="00A21C81">
            <w:pPr>
              <w:spacing w:before="20" w:after="20" w:line="240" w:lineRule="auto"/>
              <w:jc w:val="left"/>
            </w:pPr>
            <w:r>
              <w:rPr>
                <w:rFonts w:cs="EB Garamond"/>
                <w:kern w:val="16"/>
                <w:sz w:val="18"/>
                <w14:ligatures w14:val="standardContextual"/>
              </w:rPr>
              <w:t>20%</w:t>
            </w:r>
          </w:p>
        </w:tc>
        <w:tc>
          <w:tcPr>
            <w:tcW w:w="1587" w:type="dxa"/>
            <w:tcBorders>
              <w:top w:val="single" w:sz="4" w:space="0" w:color="D2C9B8"/>
              <w:left w:val="single" w:sz="4" w:space="0" w:color="D2C9B8"/>
              <w:bottom w:val="single" w:sz="4" w:space="0" w:color="D2C9B8"/>
              <w:right w:val="single" w:sz="4" w:space="0" w:color="D2C9B8"/>
            </w:tcBorders>
          </w:tcPr>
          <w:p w14:paraId="2489F3CE" w14:textId="77777777" w:rsidR="005A5FCC" w:rsidRDefault="00A21C81">
            <w:pPr>
              <w:spacing w:before="20" w:after="20" w:line="240" w:lineRule="auto"/>
              <w:jc w:val="left"/>
            </w:pPr>
            <w:r>
              <w:rPr>
                <w:rFonts w:cs="EB Garamond"/>
                <w:kern w:val="16"/>
                <w:sz w:val="18"/>
                <w14:ligatures w14:val="standardContextual"/>
              </w:rPr>
              <w:t>Trimestral sobre SM</w:t>
            </w:r>
          </w:p>
        </w:tc>
      </w:tr>
      <w:tr w:rsidR="005A5FCC" w14:paraId="4B7A8C0F"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4A6EBFC8" w14:textId="77777777" w:rsidR="005A5FCC" w:rsidRDefault="00A21C81">
            <w:pPr>
              <w:spacing w:before="20" w:after="20" w:line="240" w:lineRule="auto"/>
              <w:jc w:val="left"/>
            </w:pPr>
            <w:r>
              <w:rPr>
                <w:rFonts w:cs="EB Garamond"/>
                <w:kern w:val="16"/>
                <w:sz w:val="18"/>
                <w14:ligatures w14:val="standardContextual"/>
              </w:rPr>
              <w:t>1163</w:t>
            </w:r>
          </w:p>
        </w:tc>
        <w:tc>
          <w:tcPr>
            <w:tcW w:w="1587" w:type="dxa"/>
            <w:tcBorders>
              <w:top w:val="single" w:sz="4" w:space="0" w:color="D2C9B8"/>
              <w:left w:val="single" w:sz="4" w:space="0" w:color="D2C9B8"/>
              <w:bottom w:val="single" w:sz="4" w:space="0" w:color="D2C9B8"/>
              <w:right w:val="single" w:sz="4" w:space="0" w:color="D2C9B8"/>
            </w:tcBorders>
          </w:tcPr>
          <w:p w14:paraId="15C03A4B" w14:textId="77777777" w:rsidR="005A5FCC" w:rsidRDefault="00A21C81">
            <w:pPr>
              <w:spacing w:before="20" w:after="20" w:line="240" w:lineRule="auto"/>
              <w:jc w:val="left"/>
            </w:pPr>
            <w:r>
              <w:rPr>
                <w:rFonts w:cs="EB Garamond"/>
                <w:kern w:val="16"/>
                <w:sz w:val="18"/>
                <w14:ligatures w14:val="standardContextual"/>
              </w:rPr>
              <w:t>CI, plano simplificado</w:t>
            </w:r>
          </w:p>
        </w:tc>
        <w:tc>
          <w:tcPr>
            <w:tcW w:w="1587" w:type="dxa"/>
            <w:tcBorders>
              <w:top w:val="single" w:sz="4" w:space="0" w:color="D2C9B8"/>
              <w:left w:val="single" w:sz="4" w:space="0" w:color="D2C9B8"/>
              <w:bottom w:val="single" w:sz="4" w:space="0" w:color="D2C9B8"/>
              <w:right w:val="single" w:sz="4" w:space="0" w:color="D2C9B8"/>
            </w:tcBorders>
          </w:tcPr>
          <w:p w14:paraId="0A891289" w14:textId="77777777" w:rsidR="005A5FCC" w:rsidRDefault="00A21C81">
            <w:pPr>
              <w:spacing w:before="20" w:after="20" w:line="240" w:lineRule="auto"/>
              <w:jc w:val="left"/>
            </w:pPr>
            <w:r>
              <w:rPr>
                <w:rFonts w:cs="EB Garamond"/>
                <w:kern w:val="16"/>
                <w:sz w:val="18"/>
                <w14:ligatures w14:val="standardContextual"/>
              </w:rPr>
              <w:t>11%</w:t>
            </w:r>
          </w:p>
        </w:tc>
        <w:tc>
          <w:tcPr>
            <w:tcW w:w="1587" w:type="dxa"/>
            <w:tcBorders>
              <w:top w:val="single" w:sz="4" w:space="0" w:color="D2C9B8"/>
              <w:left w:val="single" w:sz="4" w:space="0" w:color="D2C9B8"/>
              <w:bottom w:val="single" w:sz="4" w:space="0" w:color="D2C9B8"/>
              <w:right w:val="single" w:sz="4" w:space="0" w:color="D2C9B8"/>
            </w:tcBorders>
          </w:tcPr>
          <w:p w14:paraId="4798C997" w14:textId="77777777" w:rsidR="005A5FCC" w:rsidRDefault="00A21C81">
            <w:pPr>
              <w:spacing w:before="20" w:after="20" w:line="240" w:lineRule="auto"/>
              <w:jc w:val="left"/>
            </w:pPr>
            <w:r>
              <w:rPr>
                <w:rFonts w:cs="EB Garamond"/>
                <w:kern w:val="16"/>
                <w:sz w:val="18"/>
                <w14:ligatures w14:val="standardContextual"/>
              </w:rPr>
              <w:t>Apenas sobre SM</w:t>
            </w:r>
          </w:p>
        </w:tc>
      </w:tr>
      <w:tr w:rsidR="005A5FCC" w14:paraId="5A70045B"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375BEBFF" w14:textId="77777777" w:rsidR="005A5FCC" w:rsidRDefault="00A21C81">
            <w:pPr>
              <w:spacing w:before="20" w:after="20" w:line="240" w:lineRule="auto"/>
              <w:jc w:val="left"/>
            </w:pPr>
            <w:r>
              <w:rPr>
                <w:rFonts w:cs="EB Garamond"/>
                <w:kern w:val="16"/>
                <w:sz w:val="18"/>
                <w14:ligatures w14:val="standardContextual"/>
              </w:rPr>
              <w:t>1406</w:t>
            </w:r>
          </w:p>
        </w:tc>
        <w:tc>
          <w:tcPr>
            <w:tcW w:w="1587" w:type="dxa"/>
            <w:tcBorders>
              <w:top w:val="single" w:sz="4" w:space="0" w:color="D2C9B8"/>
              <w:left w:val="single" w:sz="4" w:space="0" w:color="D2C9B8"/>
              <w:bottom w:val="single" w:sz="4" w:space="0" w:color="D2C9B8"/>
              <w:right w:val="single" w:sz="4" w:space="0" w:color="D2C9B8"/>
            </w:tcBorders>
          </w:tcPr>
          <w:p w14:paraId="5C797997" w14:textId="77777777" w:rsidR="005A5FCC" w:rsidRDefault="00A21C81">
            <w:pPr>
              <w:spacing w:before="20" w:after="20" w:line="240" w:lineRule="auto"/>
              <w:jc w:val="left"/>
            </w:pPr>
            <w:r>
              <w:rPr>
                <w:rFonts w:cs="EB Garamond"/>
                <w:kern w:val="16"/>
                <w:sz w:val="18"/>
                <w14:ligatures w14:val="standardContextual"/>
              </w:rPr>
              <w:t>Facultativo, plano normal</w:t>
            </w:r>
          </w:p>
        </w:tc>
        <w:tc>
          <w:tcPr>
            <w:tcW w:w="1587" w:type="dxa"/>
            <w:tcBorders>
              <w:top w:val="single" w:sz="4" w:space="0" w:color="D2C9B8"/>
              <w:left w:val="single" w:sz="4" w:space="0" w:color="D2C9B8"/>
              <w:bottom w:val="single" w:sz="4" w:space="0" w:color="D2C9B8"/>
              <w:right w:val="single" w:sz="4" w:space="0" w:color="D2C9B8"/>
            </w:tcBorders>
          </w:tcPr>
          <w:p w14:paraId="3B3A7B89" w14:textId="77777777" w:rsidR="005A5FCC" w:rsidRDefault="00A21C81">
            <w:pPr>
              <w:spacing w:before="20" w:after="20" w:line="240" w:lineRule="auto"/>
              <w:jc w:val="left"/>
            </w:pPr>
            <w:r>
              <w:rPr>
                <w:rFonts w:cs="EB Garamond"/>
                <w:kern w:val="16"/>
                <w:sz w:val="18"/>
                <w14:ligatures w14:val="standardContextual"/>
              </w:rPr>
              <w:t>20%</w:t>
            </w:r>
          </w:p>
        </w:tc>
        <w:tc>
          <w:tcPr>
            <w:tcW w:w="1587" w:type="dxa"/>
            <w:tcBorders>
              <w:top w:val="single" w:sz="4" w:space="0" w:color="D2C9B8"/>
              <w:left w:val="single" w:sz="4" w:space="0" w:color="D2C9B8"/>
              <w:bottom w:val="single" w:sz="4" w:space="0" w:color="D2C9B8"/>
              <w:right w:val="single" w:sz="4" w:space="0" w:color="D2C9B8"/>
            </w:tcBorders>
          </w:tcPr>
          <w:p w14:paraId="4DA1FCE7" w14:textId="77777777" w:rsidR="005A5FCC" w:rsidRDefault="00A21C81">
            <w:pPr>
              <w:spacing w:before="20" w:after="20" w:line="240" w:lineRule="auto"/>
              <w:jc w:val="left"/>
            </w:pPr>
            <w:r>
              <w:rPr>
                <w:rFonts w:cs="EB Garamond"/>
                <w:kern w:val="16"/>
                <w:sz w:val="18"/>
                <w14:ligatures w14:val="standardContextual"/>
              </w:rPr>
              <w:t>—</w:t>
            </w:r>
          </w:p>
        </w:tc>
      </w:tr>
      <w:tr w:rsidR="005A5FCC" w14:paraId="6CDFFEDB"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1663FA1E" w14:textId="77777777" w:rsidR="005A5FCC" w:rsidRDefault="00A21C81">
            <w:pPr>
              <w:spacing w:before="20" w:after="20" w:line="240" w:lineRule="auto"/>
              <w:jc w:val="left"/>
            </w:pPr>
            <w:r>
              <w:rPr>
                <w:rFonts w:cs="EB Garamond"/>
                <w:kern w:val="16"/>
                <w:sz w:val="18"/>
                <w14:ligatures w14:val="standardContextual"/>
              </w:rPr>
              <w:t>1473</w:t>
            </w:r>
          </w:p>
        </w:tc>
        <w:tc>
          <w:tcPr>
            <w:tcW w:w="1587" w:type="dxa"/>
            <w:tcBorders>
              <w:top w:val="single" w:sz="4" w:space="0" w:color="D2C9B8"/>
              <w:left w:val="single" w:sz="4" w:space="0" w:color="D2C9B8"/>
              <w:bottom w:val="single" w:sz="4" w:space="0" w:color="D2C9B8"/>
              <w:right w:val="single" w:sz="4" w:space="0" w:color="D2C9B8"/>
            </w:tcBorders>
          </w:tcPr>
          <w:p w14:paraId="147F0953" w14:textId="77777777" w:rsidR="005A5FCC" w:rsidRDefault="00A21C81">
            <w:pPr>
              <w:spacing w:before="20" w:after="20" w:line="240" w:lineRule="auto"/>
              <w:jc w:val="left"/>
            </w:pPr>
            <w:r>
              <w:rPr>
                <w:rFonts w:cs="EB Garamond"/>
                <w:kern w:val="16"/>
                <w:sz w:val="18"/>
                <w14:ligatures w14:val="standardContextual"/>
              </w:rPr>
              <w:t>Facultativo, simplificado</w:t>
            </w:r>
          </w:p>
        </w:tc>
        <w:tc>
          <w:tcPr>
            <w:tcW w:w="1587" w:type="dxa"/>
            <w:tcBorders>
              <w:top w:val="single" w:sz="4" w:space="0" w:color="D2C9B8"/>
              <w:left w:val="single" w:sz="4" w:space="0" w:color="D2C9B8"/>
              <w:bottom w:val="single" w:sz="4" w:space="0" w:color="D2C9B8"/>
              <w:right w:val="single" w:sz="4" w:space="0" w:color="D2C9B8"/>
            </w:tcBorders>
          </w:tcPr>
          <w:p w14:paraId="68956002" w14:textId="77777777" w:rsidR="005A5FCC" w:rsidRDefault="00A21C81">
            <w:pPr>
              <w:spacing w:before="20" w:after="20" w:line="240" w:lineRule="auto"/>
              <w:jc w:val="left"/>
            </w:pPr>
            <w:r>
              <w:rPr>
                <w:rFonts w:cs="EB Garamond"/>
                <w:kern w:val="16"/>
                <w:sz w:val="18"/>
                <w14:ligatures w14:val="standardContextual"/>
              </w:rPr>
              <w:t>11%</w:t>
            </w:r>
          </w:p>
        </w:tc>
        <w:tc>
          <w:tcPr>
            <w:tcW w:w="1587" w:type="dxa"/>
            <w:tcBorders>
              <w:top w:val="single" w:sz="4" w:space="0" w:color="D2C9B8"/>
              <w:left w:val="single" w:sz="4" w:space="0" w:color="D2C9B8"/>
              <w:bottom w:val="single" w:sz="4" w:space="0" w:color="D2C9B8"/>
              <w:right w:val="single" w:sz="4" w:space="0" w:color="D2C9B8"/>
            </w:tcBorders>
          </w:tcPr>
          <w:p w14:paraId="45912908" w14:textId="77777777" w:rsidR="005A5FCC" w:rsidRDefault="00A21C81">
            <w:pPr>
              <w:spacing w:before="20" w:after="20" w:line="240" w:lineRule="auto"/>
              <w:jc w:val="left"/>
            </w:pPr>
            <w:r>
              <w:rPr>
                <w:rFonts w:cs="EB Garamond"/>
                <w:kern w:val="16"/>
                <w:sz w:val="18"/>
                <w14:ligatures w14:val="standardContextual"/>
              </w:rPr>
              <w:t>Apenas sobre SM</w:t>
            </w:r>
          </w:p>
        </w:tc>
      </w:tr>
      <w:tr w:rsidR="005A5FCC" w14:paraId="6E3D13A8"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6841076D" w14:textId="77777777" w:rsidR="005A5FCC" w:rsidRDefault="00A21C81">
            <w:pPr>
              <w:spacing w:before="20" w:after="20" w:line="240" w:lineRule="auto"/>
              <w:jc w:val="left"/>
            </w:pPr>
            <w:r>
              <w:rPr>
                <w:rFonts w:cs="EB Garamond"/>
                <w:kern w:val="16"/>
                <w:sz w:val="18"/>
                <w14:ligatures w14:val="standardContextual"/>
              </w:rPr>
              <w:t>1929</w:t>
            </w:r>
          </w:p>
        </w:tc>
        <w:tc>
          <w:tcPr>
            <w:tcW w:w="1587" w:type="dxa"/>
            <w:tcBorders>
              <w:top w:val="single" w:sz="4" w:space="0" w:color="D2C9B8"/>
              <w:left w:val="single" w:sz="4" w:space="0" w:color="D2C9B8"/>
              <w:bottom w:val="single" w:sz="4" w:space="0" w:color="D2C9B8"/>
              <w:right w:val="single" w:sz="4" w:space="0" w:color="D2C9B8"/>
            </w:tcBorders>
          </w:tcPr>
          <w:p w14:paraId="21C6C1C8" w14:textId="77777777" w:rsidR="005A5FCC" w:rsidRDefault="00A21C81">
            <w:pPr>
              <w:spacing w:before="20" w:after="20" w:line="240" w:lineRule="auto"/>
              <w:jc w:val="left"/>
            </w:pPr>
            <w:r>
              <w:rPr>
                <w:rFonts w:cs="EB Garamond"/>
                <w:kern w:val="16"/>
                <w:sz w:val="18"/>
                <w14:ligatures w14:val="standardContextual"/>
              </w:rPr>
              <w:t>Facultativo, baixa renda</w:t>
            </w:r>
          </w:p>
        </w:tc>
        <w:tc>
          <w:tcPr>
            <w:tcW w:w="1587" w:type="dxa"/>
            <w:tcBorders>
              <w:top w:val="single" w:sz="4" w:space="0" w:color="D2C9B8"/>
              <w:left w:val="single" w:sz="4" w:space="0" w:color="D2C9B8"/>
              <w:bottom w:val="single" w:sz="4" w:space="0" w:color="D2C9B8"/>
              <w:right w:val="single" w:sz="4" w:space="0" w:color="D2C9B8"/>
            </w:tcBorders>
          </w:tcPr>
          <w:p w14:paraId="6104DFAF" w14:textId="77777777" w:rsidR="005A5FCC" w:rsidRDefault="00A21C81">
            <w:pPr>
              <w:spacing w:before="20" w:after="20" w:line="240" w:lineRule="auto"/>
              <w:jc w:val="left"/>
            </w:pPr>
            <w:r>
              <w:rPr>
                <w:rFonts w:cs="EB Garamond"/>
                <w:kern w:val="16"/>
                <w:sz w:val="18"/>
                <w14:ligatures w14:val="standardContextual"/>
              </w:rPr>
              <w:t>5%</w:t>
            </w:r>
          </w:p>
        </w:tc>
        <w:tc>
          <w:tcPr>
            <w:tcW w:w="1587" w:type="dxa"/>
            <w:tcBorders>
              <w:top w:val="single" w:sz="4" w:space="0" w:color="D2C9B8"/>
              <w:left w:val="single" w:sz="4" w:space="0" w:color="D2C9B8"/>
              <w:bottom w:val="single" w:sz="4" w:space="0" w:color="D2C9B8"/>
              <w:right w:val="single" w:sz="4" w:space="0" w:color="D2C9B8"/>
            </w:tcBorders>
          </w:tcPr>
          <w:p w14:paraId="13062819" w14:textId="77777777" w:rsidR="005A5FCC" w:rsidRDefault="00A21C81">
            <w:pPr>
              <w:spacing w:before="20" w:after="20" w:line="240" w:lineRule="auto"/>
              <w:jc w:val="left"/>
            </w:pPr>
            <w:r>
              <w:rPr>
                <w:rFonts w:cs="EB Garamond"/>
                <w:kern w:val="16"/>
                <w:sz w:val="18"/>
                <w14:ligatures w14:val="standardContextual"/>
              </w:rPr>
              <w:t>CadÚnico obrigatório</w:t>
            </w:r>
          </w:p>
        </w:tc>
      </w:tr>
      <w:tr w:rsidR="005A5FCC" w14:paraId="1120CD41"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3828064C" w14:textId="77777777" w:rsidR="005A5FCC" w:rsidRDefault="00A21C81">
            <w:pPr>
              <w:spacing w:before="20" w:after="20" w:line="240" w:lineRule="auto"/>
              <w:jc w:val="left"/>
            </w:pPr>
            <w:r>
              <w:rPr>
                <w:rFonts w:cs="EB Garamond"/>
                <w:kern w:val="16"/>
                <w:sz w:val="18"/>
                <w14:ligatures w14:val="standardContextual"/>
              </w:rPr>
              <w:t>1910</w:t>
            </w:r>
          </w:p>
        </w:tc>
        <w:tc>
          <w:tcPr>
            <w:tcW w:w="1587" w:type="dxa"/>
            <w:tcBorders>
              <w:top w:val="single" w:sz="4" w:space="0" w:color="D2C9B8"/>
              <w:left w:val="single" w:sz="4" w:space="0" w:color="D2C9B8"/>
              <w:bottom w:val="single" w:sz="4" w:space="0" w:color="D2C9B8"/>
              <w:right w:val="single" w:sz="4" w:space="0" w:color="D2C9B8"/>
            </w:tcBorders>
          </w:tcPr>
          <w:p w14:paraId="72866B98" w14:textId="77777777" w:rsidR="005A5FCC" w:rsidRDefault="00A21C81">
            <w:pPr>
              <w:spacing w:before="20" w:after="20" w:line="240" w:lineRule="auto"/>
              <w:jc w:val="left"/>
            </w:pPr>
            <w:r>
              <w:rPr>
                <w:rFonts w:cs="EB Garamond"/>
                <w:kern w:val="16"/>
                <w:sz w:val="18"/>
                <w14:ligatures w14:val="standardContextual"/>
              </w:rPr>
              <w:t>MEI, complementação</w:t>
            </w:r>
          </w:p>
        </w:tc>
        <w:tc>
          <w:tcPr>
            <w:tcW w:w="1587" w:type="dxa"/>
            <w:tcBorders>
              <w:top w:val="single" w:sz="4" w:space="0" w:color="D2C9B8"/>
              <w:left w:val="single" w:sz="4" w:space="0" w:color="D2C9B8"/>
              <w:bottom w:val="single" w:sz="4" w:space="0" w:color="D2C9B8"/>
              <w:right w:val="single" w:sz="4" w:space="0" w:color="D2C9B8"/>
            </w:tcBorders>
          </w:tcPr>
          <w:p w14:paraId="29DAAC31" w14:textId="77777777" w:rsidR="005A5FCC" w:rsidRDefault="00A21C81">
            <w:pPr>
              <w:spacing w:before="20" w:after="20" w:line="240" w:lineRule="auto"/>
              <w:jc w:val="left"/>
            </w:pPr>
            <w:r>
              <w:rPr>
                <w:rFonts w:cs="EB Garamond"/>
                <w:kern w:val="16"/>
                <w:sz w:val="18"/>
                <w14:ligatures w14:val="standardContextual"/>
              </w:rPr>
              <w:t>15%</w:t>
            </w:r>
          </w:p>
        </w:tc>
        <w:tc>
          <w:tcPr>
            <w:tcW w:w="1587" w:type="dxa"/>
            <w:tcBorders>
              <w:top w:val="single" w:sz="4" w:space="0" w:color="D2C9B8"/>
              <w:left w:val="single" w:sz="4" w:space="0" w:color="D2C9B8"/>
              <w:bottom w:val="single" w:sz="4" w:space="0" w:color="D2C9B8"/>
              <w:right w:val="single" w:sz="4" w:space="0" w:color="D2C9B8"/>
            </w:tcBorders>
          </w:tcPr>
          <w:p w14:paraId="450CA4F3" w14:textId="77777777" w:rsidR="005A5FCC" w:rsidRDefault="00A21C81">
            <w:pPr>
              <w:spacing w:before="20" w:after="20" w:line="240" w:lineRule="auto"/>
              <w:jc w:val="left"/>
            </w:pPr>
            <w:r>
              <w:rPr>
                <w:rFonts w:cs="EB Garamond"/>
                <w:kern w:val="16"/>
                <w:sz w:val="18"/>
                <w14:ligatures w14:val="standardContextual"/>
              </w:rPr>
              <w:t>Para cômputo TC</w:t>
            </w:r>
          </w:p>
        </w:tc>
      </w:tr>
      <w:tr w:rsidR="005A5FCC" w14:paraId="57F22B7E"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326EFB53" w14:textId="77777777" w:rsidR="005A5FCC" w:rsidRDefault="00A21C81">
            <w:pPr>
              <w:spacing w:before="20" w:after="20" w:line="240" w:lineRule="auto"/>
              <w:jc w:val="left"/>
            </w:pPr>
            <w:r>
              <w:rPr>
                <w:rFonts w:cs="EB Garamond"/>
                <w:kern w:val="16"/>
                <w:sz w:val="18"/>
                <w14:ligatures w14:val="standardContextual"/>
              </w:rPr>
              <w:t>1295</w:t>
            </w:r>
          </w:p>
        </w:tc>
        <w:tc>
          <w:tcPr>
            <w:tcW w:w="1587" w:type="dxa"/>
            <w:tcBorders>
              <w:top w:val="single" w:sz="4" w:space="0" w:color="D2C9B8"/>
              <w:left w:val="single" w:sz="4" w:space="0" w:color="D2C9B8"/>
              <w:bottom w:val="single" w:sz="4" w:space="0" w:color="D2C9B8"/>
              <w:right w:val="single" w:sz="4" w:space="0" w:color="D2C9B8"/>
            </w:tcBorders>
          </w:tcPr>
          <w:p w14:paraId="66AC6848" w14:textId="77777777" w:rsidR="005A5FCC" w:rsidRDefault="00A21C81">
            <w:pPr>
              <w:spacing w:before="20" w:after="20" w:line="240" w:lineRule="auto"/>
              <w:jc w:val="left"/>
            </w:pPr>
            <w:r>
              <w:rPr>
                <w:rFonts w:cs="EB Garamond"/>
                <w:kern w:val="16"/>
                <w:sz w:val="18"/>
                <w14:ligatures w14:val="standardContextual"/>
              </w:rPr>
              <w:t>CI, complementação</w:t>
            </w:r>
          </w:p>
        </w:tc>
        <w:tc>
          <w:tcPr>
            <w:tcW w:w="1587" w:type="dxa"/>
            <w:tcBorders>
              <w:top w:val="single" w:sz="4" w:space="0" w:color="D2C9B8"/>
              <w:left w:val="single" w:sz="4" w:space="0" w:color="D2C9B8"/>
              <w:bottom w:val="single" w:sz="4" w:space="0" w:color="D2C9B8"/>
              <w:right w:val="single" w:sz="4" w:space="0" w:color="D2C9B8"/>
            </w:tcBorders>
          </w:tcPr>
          <w:p w14:paraId="7F2976C8" w14:textId="77777777" w:rsidR="005A5FCC" w:rsidRDefault="00A21C81">
            <w:pPr>
              <w:spacing w:before="20" w:after="20" w:line="240" w:lineRule="auto"/>
              <w:jc w:val="left"/>
            </w:pPr>
            <w:r>
              <w:rPr>
                <w:rFonts w:cs="EB Garamond"/>
                <w:kern w:val="16"/>
                <w:sz w:val="18"/>
                <w14:ligatures w14:val="standardContextual"/>
              </w:rPr>
              <w:t>9%</w:t>
            </w:r>
          </w:p>
        </w:tc>
        <w:tc>
          <w:tcPr>
            <w:tcW w:w="1587" w:type="dxa"/>
            <w:tcBorders>
              <w:top w:val="single" w:sz="4" w:space="0" w:color="D2C9B8"/>
              <w:left w:val="single" w:sz="4" w:space="0" w:color="D2C9B8"/>
              <w:bottom w:val="single" w:sz="4" w:space="0" w:color="D2C9B8"/>
              <w:right w:val="single" w:sz="4" w:space="0" w:color="D2C9B8"/>
            </w:tcBorders>
          </w:tcPr>
          <w:p w14:paraId="74BED4AF" w14:textId="77777777" w:rsidR="005A5FCC" w:rsidRDefault="00A21C81">
            <w:pPr>
              <w:spacing w:before="20" w:after="20" w:line="240" w:lineRule="auto"/>
              <w:jc w:val="left"/>
            </w:pPr>
            <w:r>
              <w:rPr>
                <w:rFonts w:cs="EB Garamond"/>
                <w:kern w:val="16"/>
                <w:sz w:val="18"/>
                <w14:ligatures w14:val="standardContextual"/>
              </w:rPr>
              <w:t>Simplificado para normal</w:t>
            </w:r>
          </w:p>
        </w:tc>
      </w:tr>
      <w:tr w:rsidR="005A5FCC" w14:paraId="3921988B"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007B6C99" w14:textId="77777777" w:rsidR="005A5FCC" w:rsidRDefault="00A21C81">
            <w:pPr>
              <w:spacing w:before="20" w:after="20" w:line="240" w:lineRule="auto"/>
              <w:jc w:val="left"/>
            </w:pPr>
            <w:r>
              <w:rPr>
                <w:rFonts w:cs="EB Garamond"/>
                <w:kern w:val="16"/>
                <w:sz w:val="18"/>
                <w14:ligatures w14:val="standardContextual"/>
              </w:rPr>
              <w:t>1686</w:t>
            </w:r>
          </w:p>
        </w:tc>
        <w:tc>
          <w:tcPr>
            <w:tcW w:w="1587" w:type="dxa"/>
            <w:tcBorders>
              <w:top w:val="single" w:sz="4" w:space="0" w:color="D2C9B8"/>
              <w:left w:val="single" w:sz="4" w:space="0" w:color="D2C9B8"/>
              <w:bottom w:val="single" w:sz="4" w:space="0" w:color="D2C9B8"/>
              <w:right w:val="single" w:sz="4" w:space="0" w:color="D2C9B8"/>
            </w:tcBorders>
          </w:tcPr>
          <w:p w14:paraId="1A01EBAC" w14:textId="77777777" w:rsidR="005A5FCC" w:rsidRDefault="00A21C81">
            <w:pPr>
              <w:spacing w:before="20" w:after="20" w:line="240" w:lineRule="auto"/>
              <w:jc w:val="left"/>
            </w:pPr>
            <w:r>
              <w:rPr>
                <w:rFonts w:cs="EB Garamond"/>
                <w:kern w:val="16"/>
                <w:sz w:val="18"/>
                <w14:ligatures w14:val="standardContextual"/>
              </w:rPr>
              <w:t>Facultativo, complementação</w:t>
            </w:r>
          </w:p>
        </w:tc>
        <w:tc>
          <w:tcPr>
            <w:tcW w:w="1587" w:type="dxa"/>
            <w:tcBorders>
              <w:top w:val="single" w:sz="4" w:space="0" w:color="D2C9B8"/>
              <w:left w:val="single" w:sz="4" w:space="0" w:color="D2C9B8"/>
              <w:bottom w:val="single" w:sz="4" w:space="0" w:color="D2C9B8"/>
              <w:right w:val="single" w:sz="4" w:space="0" w:color="D2C9B8"/>
            </w:tcBorders>
          </w:tcPr>
          <w:p w14:paraId="56BAE0E7" w14:textId="77777777" w:rsidR="005A5FCC" w:rsidRDefault="00A21C81">
            <w:pPr>
              <w:spacing w:before="20" w:after="20" w:line="240" w:lineRule="auto"/>
              <w:jc w:val="left"/>
            </w:pPr>
            <w:r>
              <w:rPr>
                <w:rFonts w:cs="EB Garamond"/>
                <w:kern w:val="16"/>
                <w:sz w:val="18"/>
                <w14:ligatures w14:val="standardContextual"/>
              </w:rPr>
              <w:t>9%</w:t>
            </w:r>
          </w:p>
        </w:tc>
        <w:tc>
          <w:tcPr>
            <w:tcW w:w="1587" w:type="dxa"/>
            <w:tcBorders>
              <w:top w:val="single" w:sz="4" w:space="0" w:color="D2C9B8"/>
              <w:left w:val="single" w:sz="4" w:space="0" w:color="D2C9B8"/>
              <w:bottom w:val="single" w:sz="4" w:space="0" w:color="D2C9B8"/>
              <w:right w:val="single" w:sz="4" w:space="0" w:color="D2C9B8"/>
            </w:tcBorders>
          </w:tcPr>
          <w:p w14:paraId="5A52E4D5" w14:textId="77777777" w:rsidR="005A5FCC" w:rsidRDefault="00A21C81">
            <w:pPr>
              <w:spacing w:before="20" w:after="20" w:line="240" w:lineRule="auto"/>
              <w:jc w:val="left"/>
            </w:pPr>
            <w:r>
              <w:rPr>
                <w:rFonts w:cs="EB Garamond"/>
                <w:kern w:val="16"/>
                <w:sz w:val="18"/>
                <w14:ligatures w14:val="standardContextual"/>
              </w:rPr>
              <w:t>Simplificado para normal</w:t>
            </w:r>
          </w:p>
        </w:tc>
      </w:tr>
    </w:tbl>
    <w:p w14:paraId="58E5EC2E" w14:textId="77777777" w:rsidR="005A5FCC" w:rsidRDefault="005A5FCC">
      <w:pPr>
        <w:spacing w:after="80" w:line="240" w:lineRule="auto"/>
      </w:pPr>
    </w:p>
    <w:tbl>
      <w:tblPr>
        <w:tblW w:w="5000" w:type="pct"/>
        <w:jc w:val="center"/>
        <w:tblLayout w:type="fixed"/>
        <w:tblLook w:val="04A0" w:firstRow="1" w:lastRow="0" w:firstColumn="1" w:lastColumn="0" w:noHBand="0" w:noVBand="1"/>
      </w:tblPr>
      <w:tblGrid>
        <w:gridCol w:w="6311"/>
      </w:tblGrid>
      <w:tr w:rsidR="005A5FCC" w14:paraId="5E7697BE"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07A278D5"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7F0227DE" w14:textId="77777777" w:rsidR="005A5FCC" w:rsidRDefault="00A21C81">
            <w:pPr>
              <w:spacing w:after="60" w:line="247" w:lineRule="auto"/>
            </w:pPr>
            <w:r>
              <w:rPr>
                <w:rFonts w:cs="EB Garamond"/>
                <w:b/>
                <w:kern w:val="16"/>
                <w:sz w:val="19"/>
                <w14:ligatures w14:val="standardContextual"/>
              </w:rPr>
              <w:t>Preenchimento da GPS (contribuinte individual, plano normal):</w:t>
            </w:r>
          </w:p>
          <w:p w14:paraId="10C05B19" w14:textId="77777777" w:rsidR="005A5FCC" w:rsidRDefault="00A21C81">
            <w:pPr>
              <w:spacing w:after="30" w:line="240" w:lineRule="auto"/>
              <w:ind w:left="227" w:hanging="142"/>
            </w:pPr>
            <w:r>
              <w:rPr>
                <w:rFonts w:cs="EB Garamond"/>
                <w:kern w:val="16"/>
                <w:sz w:val="19"/>
                <w14:ligatures w14:val="standardContextual"/>
              </w:rPr>
              <w:t>• Campo 1 (Nome/Razão Social): Nome do contribuinte</w:t>
            </w:r>
          </w:p>
          <w:p w14:paraId="3E7393D7" w14:textId="77777777" w:rsidR="005A5FCC" w:rsidRDefault="00A21C81">
            <w:pPr>
              <w:spacing w:after="30" w:line="240" w:lineRule="auto"/>
              <w:ind w:left="227" w:hanging="142"/>
            </w:pPr>
            <w:r>
              <w:rPr>
                <w:rFonts w:cs="EB Garamond"/>
                <w:kern w:val="16"/>
                <w:sz w:val="19"/>
                <w14:ligatures w14:val="standardContextual"/>
              </w:rPr>
              <w:t>• Campo 3 (Código de pagamento): 1007</w:t>
            </w:r>
          </w:p>
          <w:p w14:paraId="72FB7D10" w14:textId="77777777" w:rsidR="005A5FCC" w:rsidRDefault="00A21C81">
            <w:pPr>
              <w:spacing w:after="30" w:line="240" w:lineRule="auto"/>
              <w:ind w:left="227" w:hanging="142"/>
            </w:pPr>
            <w:r>
              <w:rPr>
                <w:rFonts w:cs="EB Garamond"/>
                <w:kern w:val="16"/>
                <w:sz w:val="19"/>
                <w14:ligatures w14:val="standardContextual"/>
              </w:rPr>
              <w:t>• Campo 4 (Competência): MM/AAAA (ex.: 01/2026)</w:t>
            </w:r>
          </w:p>
          <w:p w14:paraId="34F9C679" w14:textId="77777777" w:rsidR="005A5FCC" w:rsidRDefault="00A21C81">
            <w:pPr>
              <w:spacing w:after="30" w:line="240" w:lineRule="auto"/>
              <w:ind w:left="227" w:hanging="142"/>
            </w:pPr>
            <w:r>
              <w:rPr>
                <w:rFonts w:cs="EB Garamond"/>
                <w:kern w:val="16"/>
                <w:sz w:val="19"/>
                <w14:ligatures w14:val="standardContextual"/>
              </w:rPr>
              <w:t>• Campo 5 (Identificador — NIT/PIS/PASEP): Número de inscrição</w:t>
            </w:r>
          </w:p>
          <w:p w14:paraId="6D3FECF1" w14:textId="77777777" w:rsidR="005A5FCC" w:rsidRDefault="00A21C81">
            <w:pPr>
              <w:spacing w:after="30" w:line="240" w:lineRule="auto"/>
              <w:ind w:left="227" w:hanging="142"/>
            </w:pPr>
            <w:r>
              <w:rPr>
                <w:rFonts w:cs="EB Garamond"/>
                <w:kern w:val="16"/>
                <w:sz w:val="19"/>
                <w14:ligatures w14:val="standardContextual"/>
              </w:rPr>
              <w:t>• Campo 6 (Valor devido INSS): 20% x salário de contribuição</w:t>
            </w:r>
          </w:p>
          <w:p w14:paraId="4871C359" w14:textId="77777777" w:rsidR="005A5FCC" w:rsidRDefault="00A21C81">
            <w:pPr>
              <w:spacing w:after="30" w:line="240" w:lineRule="auto"/>
              <w:ind w:left="227" w:hanging="142"/>
            </w:pPr>
            <w:r>
              <w:rPr>
                <w:rFonts w:cs="EB Garamond"/>
                <w:kern w:val="16"/>
                <w:sz w:val="19"/>
                <w14:ligatures w14:val="standardContextual"/>
              </w:rPr>
              <w:t>• Campo 11 (Total): Igual ao campo 6</w:t>
            </w:r>
          </w:p>
          <w:p w14:paraId="4F601974" w14:textId="77777777" w:rsidR="005A5FCC" w:rsidRDefault="00A21C81">
            <w:pPr>
              <w:spacing w:after="60" w:line="247" w:lineRule="auto"/>
            </w:pPr>
            <w:r>
              <w:rPr>
                <w:rFonts w:cs="EB Garamond"/>
                <w:b/>
                <w:kern w:val="16"/>
                <w:sz w:val="19"/>
                <w14:ligatures w14:val="standardContextual"/>
              </w:rPr>
              <w:t>Vencimento:</w:t>
            </w:r>
            <w:r>
              <w:rPr>
                <w:rFonts w:cs="EB Garamond"/>
                <w:kern w:val="16"/>
                <w:sz w:val="19"/>
                <w14:ligatures w14:val="standardContextual"/>
              </w:rPr>
              <w:t xml:space="preserve"> Dia 15 do mês seguinte à competência. Se cair em feriado/fim de semana, antecipa-se para o dia útil anterior.</w:t>
            </w:r>
          </w:p>
          <w:p w14:paraId="34BD551A" w14:textId="77777777" w:rsidR="005A5FCC" w:rsidRDefault="00A21C81">
            <w:pPr>
              <w:spacing w:after="60" w:line="247" w:lineRule="auto"/>
            </w:pPr>
            <w:r>
              <w:rPr>
                <w:rFonts w:cs="EB Garamond"/>
                <w:b/>
                <w:kern w:val="16"/>
                <w:sz w:val="19"/>
                <w14:ligatures w14:val="standardContextual"/>
              </w:rPr>
              <w:t>Recolhimento trimestral:</w:t>
            </w:r>
            <w:r>
              <w:rPr>
                <w:rFonts w:cs="EB Garamond"/>
                <w:kern w:val="16"/>
                <w:sz w:val="19"/>
                <w14:ligatures w14:val="standardContextual"/>
              </w:rPr>
              <w:t xml:space="preserve"> CI e facultativo com contribuição sobre 1 SM podem recolher trimestralmente (vencimento: dia 15 do mês seguinte ao trimestre). Códigos específicos: 1104 (CI), 1457 (facultativo).</w:t>
            </w:r>
          </w:p>
        </w:tc>
      </w:tr>
    </w:tbl>
    <w:p w14:paraId="06A830F0" w14:textId="77777777" w:rsidR="005A5FCC" w:rsidRDefault="005A5FCC">
      <w:pPr>
        <w:spacing w:after="80" w:line="240" w:lineRule="auto"/>
      </w:pPr>
    </w:p>
    <w:p w14:paraId="7D6A23A7" w14:textId="771A8EA1" w:rsidR="005A5FCC" w:rsidRDefault="00A21C81">
      <w:pPr>
        <w:spacing w:before="260" w:after="80" w:line="240" w:lineRule="auto"/>
        <w:jc w:val="left"/>
      </w:pPr>
      <w:r>
        <w:rPr>
          <w:rFonts w:cs="EB Garamond"/>
          <w:b/>
          <w:color w:val="3A3128"/>
          <w:kern w:val="16"/>
          <w:sz w:val="25"/>
          <w14:ligatures w14:val="standardContextual"/>
        </w:rPr>
        <w:t>4.21.2 E</w:t>
      </w:r>
      <w:r w:rsidR="00786894">
        <w:rPr>
          <w:rFonts w:cs="EB Garamond"/>
          <w:b/>
          <w:color w:val="3A3128"/>
          <w:kern w:val="16"/>
          <w:sz w:val="25"/>
          <w14:ligatures w14:val="standardContextual"/>
        </w:rPr>
        <w:t>S</w:t>
      </w:r>
      <w:r>
        <w:rPr>
          <w:rFonts w:cs="EB Garamond"/>
          <w:b/>
          <w:color w:val="3A3128"/>
          <w:kern w:val="16"/>
          <w:sz w:val="25"/>
          <w14:ligatures w14:val="standardContextual"/>
        </w:rPr>
        <w:t>ocial e DCTF-Web</w:t>
      </w:r>
    </w:p>
    <w:p w14:paraId="6BE6ADE9"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0BAAA162" w14:textId="77777777" w:rsidR="005A5FCC" w:rsidRDefault="00A21C81">
      <w:r>
        <w:rPr>
          <w:rFonts w:cs="EB Garamond"/>
          <w:kern w:val="16"/>
          <w14:ligatures w14:val="standardContextual"/>
        </w:rPr>
        <w:t xml:space="preserve"> eSocial revolucionou a forma de prestação de informações previdenciárias pelas empresas. Desde sua implantação completa (2018-2023, em fases), substituiu a GFIP/SEFIP como instrumento de declaração do empregador. A partir de outubro de 2021, a DCTF-Web passou a ser o único instrumento declaratório para empresas já obrigadas ao eSocial, e o recolhimento patronal migrou da GPS para o DARF previdenciário. Em janeiro de 2025, a IN RFB 2.237/2024 consolidou a DCTF-Web como forma exclusiva de declaração de todas as obrigações previdenciárias federais dos empregadores.</w:t>
      </w:r>
    </w:p>
    <w:p w14:paraId="2BFDE912" w14:textId="77777777" w:rsidR="005A5FCC" w:rsidRDefault="00A21C81">
      <w:pPr>
        <w:ind w:firstLine="238"/>
      </w:pPr>
      <w:r>
        <w:rPr>
          <w:rFonts w:cs="EB Garamond"/>
          <w:kern w:val="16"/>
          <w14:ligatures w14:val="standardContextual"/>
        </w:rPr>
        <w:t>O quadro abaixo resume o instrumento de recolhimento por categoria em 2026:</w:t>
      </w:r>
    </w:p>
    <w:tbl>
      <w:tblPr>
        <w:tblW w:w="5000" w:type="pct"/>
        <w:jc w:val="center"/>
        <w:tblLook w:val="04A0" w:firstRow="1" w:lastRow="0" w:firstColumn="1" w:lastColumn="0" w:noHBand="0" w:noVBand="1"/>
      </w:tblPr>
      <w:tblGrid>
        <w:gridCol w:w="2113"/>
        <w:gridCol w:w="2114"/>
        <w:gridCol w:w="2113"/>
      </w:tblGrid>
      <w:tr w:rsidR="005A5FCC" w14:paraId="37A53F4E" w14:textId="77777777">
        <w:trPr>
          <w:tblHeader/>
          <w:jc w:val="center"/>
        </w:trPr>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46E3216B" w14:textId="77777777" w:rsidR="005A5FCC" w:rsidRDefault="00A21C81">
            <w:pPr>
              <w:spacing w:before="40" w:after="40" w:line="240" w:lineRule="auto"/>
              <w:jc w:val="center"/>
            </w:pPr>
            <w:r>
              <w:rPr>
                <w:rFonts w:cs="EB Garamond"/>
                <w:b/>
                <w:color w:val="2F2923"/>
                <w:kern w:val="16"/>
                <w:sz w:val="18"/>
                <w14:ligatures w14:val="standardContextual"/>
              </w:rPr>
              <w:t>Contribuinte</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1285E376" w14:textId="77777777" w:rsidR="005A5FCC" w:rsidRDefault="00A21C81">
            <w:pPr>
              <w:spacing w:before="40" w:after="40" w:line="240" w:lineRule="auto"/>
              <w:jc w:val="center"/>
            </w:pPr>
            <w:r>
              <w:rPr>
                <w:rFonts w:cs="EB Garamond"/>
                <w:b/>
                <w:color w:val="2F2923"/>
                <w:kern w:val="16"/>
                <w:sz w:val="18"/>
                <w14:ligatures w14:val="standardContextual"/>
              </w:rPr>
              <w:t>Instrumento</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3573D453" w14:textId="77777777" w:rsidR="005A5FCC" w:rsidRDefault="00A21C81">
            <w:pPr>
              <w:spacing w:before="40" w:after="40" w:line="240" w:lineRule="auto"/>
              <w:jc w:val="center"/>
            </w:pPr>
            <w:r>
              <w:rPr>
                <w:rFonts w:cs="EB Garamond"/>
                <w:b/>
                <w:color w:val="2F2923"/>
                <w:kern w:val="16"/>
                <w:sz w:val="18"/>
                <w14:ligatures w14:val="standardContextual"/>
              </w:rPr>
              <w:t>Vencimento</w:t>
            </w:r>
          </w:p>
        </w:tc>
      </w:tr>
      <w:tr w:rsidR="005A5FCC" w14:paraId="0C4548BF"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597A744B" w14:textId="77777777" w:rsidR="005A5FCC" w:rsidRDefault="00A21C81">
            <w:pPr>
              <w:spacing w:before="20" w:after="20" w:line="240" w:lineRule="auto"/>
              <w:jc w:val="left"/>
            </w:pPr>
            <w:r>
              <w:rPr>
                <w:rFonts w:cs="EB Garamond"/>
                <w:kern w:val="16"/>
                <w:sz w:val="18"/>
                <w14:ligatures w14:val="standardContextual"/>
              </w:rPr>
              <w:t>Empresa (empregados)</w:t>
            </w:r>
          </w:p>
        </w:tc>
        <w:tc>
          <w:tcPr>
            <w:tcW w:w="2117" w:type="dxa"/>
            <w:tcBorders>
              <w:top w:val="single" w:sz="4" w:space="0" w:color="D2C9B8"/>
              <w:left w:val="single" w:sz="4" w:space="0" w:color="D2C9B8"/>
              <w:bottom w:val="single" w:sz="4" w:space="0" w:color="D2C9B8"/>
              <w:right w:val="single" w:sz="4" w:space="0" w:color="D2C9B8"/>
            </w:tcBorders>
          </w:tcPr>
          <w:p w14:paraId="49CC3CBC" w14:textId="77777777" w:rsidR="005A5FCC" w:rsidRDefault="00A21C81">
            <w:pPr>
              <w:spacing w:before="20" w:after="20" w:line="240" w:lineRule="auto"/>
              <w:jc w:val="left"/>
            </w:pPr>
            <w:r>
              <w:rPr>
                <w:rFonts w:cs="EB Garamond"/>
                <w:kern w:val="16"/>
                <w:sz w:val="18"/>
                <w14:ligatures w14:val="standardContextual"/>
              </w:rPr>
              <w:t>DARF via DCTF-Web</w:t>
            </w:r>
          </w:p>
        </w:tc>
        <w:tc>
          <w:tcPr>
            <w:tcW w:w="2117" w:type="dxa"/>
            <w:tcBorders>
              <w:top w:val="single" w:sz="4" w:space="0" w:color="D2C9B8"/>
              <w:left w:val="single" w:sz="4" w:space="0" w:color="D2C9B8"/>
              <w:bottom w:val="single" w:sz="4" w:space="0" w:color="D2C9B8"/>
              <w:right w:val="single" w:sz="4" w:space="0" w:color="D2C9B8"/>
            </w:tcBorders>
          </w:tcPr>
          <w:p w14:paraId="3B42C9D2" w14:textId="77777777" w:rsidR="005A5FCC" w:rsidRDefault="00A21C81">
            <w:pPr>
              <w:spacing w:before="20" w:after="20" w:line="240" w:lineRule="auto"/>
              <w:jc w:val="left"/>
            </w:pPr>
            <w:r>
              <w:rPr>
                <w:rFonts w:cs="EB Garamond"/>
                <w:kern w:val="16"/>
                <w:sz w:val="18"/>
                <w14:ligatures w14:val="standardContextual"/>
              </w:rPr>
              <w:t>Dia 20 do mês seguinte</w:t>
            </w:r>
          </w:p>
        </w:tc>
      </w:tr>
      <w:tr w:rsidR="005A5FCC" w14:paraId="1EFD30CB"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5904777D" w14:textId="77777777" w:rsidR="005A5FCC" w:rsidRDefault="00A21C81">
            <w:pPr>
              <w:spacing w:before="20" w:after="20" w:line="240" w:lineRule="auto"/>
              <w:jc w:val="left"/>
            </w:pPr>
            <w:r>
              <w:rPr>
                <w:rFonts w:cs="EB Garamond"/>
                <w:kern w:val="16"/>
                <w:sz w:val="18"/>
                <w14:ligatures w14:val="standardContextual"/>
              </w:rPr>
              <w:t>Empregador doméstico</w:t>
            </w:r>
          </w:p>
        </w:tc>
        <w:tc>
          <w:tcPr>
            <w:tcW w:w="2117" w:type="dxa"/>
            <w:tcBorders>
              <w:top w:val="single" w:sz="4" w:space="0" w:color="D2C9B8"/>
              <w:left w:val="single" w:sz="4" w:space="0" w:color="D2C9B8"/>
              <w:bottom w:val="single" w:sz="4" w:space="0" w:color="D2C9B8"/>
              <w:right w:val="single" w:sz="4" w:space="0" w:color="D2C9B8"/>
            </w:tcBorders>
          </w:tcPr>
          <w:p w14:paraId="1B68E7C7" w14:textId="77777777" w:rsidR="005A5FCC" w:rsidRDefault="00A21C81">
            <w:pPr>
              <w:spacing w:before="20" w:after="20" w:line="240" w:lineRule="auto"/>
              <w:jc w:val="left"/>
            </w:pPr>
            <w:r>
              <w:rPr>
                <w:rFonts w:cs="EB Garamond"/>
                <w:kern w:val="16"/>
                <w:sz w:val="18"/>
                <w14:ligatures w14:val="standardContextual"/>
              </w:rPr>
              <w:t>DAE (eSocial doméstico)</w:t>
            </w:r>
          </w:p>
        </w:tc>
        <w:tc>
          <w:tcPr>
            <w:tcW w:w="2117" w:type="dxa"/>
            <w:tcBorders>
              <w:top w:val="single" w:sz="4" w:space="0" w:color="D2C9B8"/>
              <w:left w:val="single" w:sz="4" w:space="0" w:color="D2C9B8"/>
              <w:bottom w:val="single" w:sz="4" w:space="0" w:color="D2C9B8"/>
              <w:right w:val="single" w:sz="4" w:space="0" w:color="D2C9B8"/>
            </w:tcBorders>
          </w:tcPr>
          <w:p w14:paraId="22909051" w14:textId="77777777" w:rsidR="005A5FCC" w:rsidRDefault="00A21C81">
            <w:pPr>
              <w:spacing w:before="20" w:after="20" w:line="240" w:lineRule="auto"/>
              <w:jc w:val="left"/>
            </w:pPr>
            <w:r>
              <w:rPr>
                <w:rFonts w:cs="EB Garamond"/>
                <w:kern w:val="16"/>
                <w:sz w:val="18"/>
                <w14:ligatures w14:val="standardContextual"/>
              </w:rPr>
              <w:t>Dia 7 do mês seguinte</w:t>
            </w:r>
          </w:p>
        </w:tc>
      </w:tr>
      <w:tr w:rsidR="005A5FCC" w14:paraId="2AF9EEF1"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7245AC84" w14:textId="77777777" w:rsidR="005A5FCC" w:rsidRDefault="00A21C81">
            <w:pPr>
              <w:spacing w:before="20" w:after="20" w:line="240" w:lineRule="auto"/>
              <w:jc w:val="left"/>
            </w:pPr>
            <w:r>
              <w:rPr>
                <w:rFonts w:cs="EB Garamond"/>
                <w:kern w:val="16"/>
                <w:sz w:val="18"/>
                <w14:ligatures w14:val="standardContextual"/>
              </w:rPr>
              <w:t>Contribuinte individual</w:t>
            </w:r>
          </w:p>
        </w:tc>
        <w:tc>
          <w:tcPr>
            <w:tcW w:w="2117" w:type="dxa"/>
            <w:tcBorders>
              <w:top w:val="single" w:sz="4" w:space="0" w:color="D2C9B8"/>
              <w:left w:val="single" w:sz="4" w:space="0" w:color="D2C9B8"/>
              <w:bottom w:val="single" w:sz="4" w:space="0" w:color="D2C9B8"/>
              <w:right w:val="single" w:sz="4" w:space="0" w:color="D2C9B8"/>
            </w:tcBorders>
          </w:tcPr>
          <w:p w14:paraId="75F83CCF" w14:textId="77777777" w:rsidR="005A5FCC" w:rsidRDefault="00A21C81">
            <w:pPr>
              <w:spacing w:before="20" w:after="20" w:line="240" w:lineRule="auto"/>
              <w:jc w:val="left"/>
            </w:pPr>
            <w:r>
              <w:rPr>
                <w:rFonts w:cs="EB Garamond"/>
                <w:kern w:val="16"/>
                <w:sz w:val="18"/>
                <w14:ligatures w14:val="standardContextual"/>
              </w:rPr>
              <w:t>GPS</w:t>
            </w:r>
          </w:p>
        </w:tc>
        <w:tc>
          <w:tcPr>
            <w:tcW w:w="2117" w:type="dxa"/>
            <w:tcBorders>
              <w:top w:val="single" w:sz="4" w:space="0" w:color="D2C9B8"/>
              <w:left w:val="single" w:sz="4" w:space="0" w:color="D2C9B8"/>
              <w:bottom w:val="single" w:sz="4" w:space="0" w:color="D2C9B8"/>
              <w:right w:val="single" w:sz="4" w:space="0" w:color="D2C9B8"/>
            </w:tcBorders>
          </w:tcPr>
          <w:p w14:paraId="4F41D0F4" w14:textId="77777777" w:rsidR="005A5FCC" w:rsidRDefault="00A21C81">
            <w:pPr>
              <w:spacing w:before="20" w:after="20" w:line="240" w:lineRule="auto"/>
              <w:jc w:val="left"/>
            </w:pPr>
            <w:r>
              <w:rPr>
                <w:rFonts w:cs="EB Garamond"/>
                <w:kern w:val="16"/>
                <w:sz w:val="18"/>
                <w14:ligatures w14:val="standardContextual"/>
              </w:rPr>
              <w:t>Dia 15 do mês seguinte</w:t>
            </w:r>
          </w:p>
        </w:tc>
      </w:tr>
      <w:tr w:rsidR="005A5FCC" w14:paraId="624FBB4A"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51506645" w14:textId="77777777" w:rsidR="005A5FCC" w:rsidRDefault="00A21C81">
            <w:pPr>
              <w:spacing w:before="20" w:after="20" w:line="240" w:lineRule="auto"/>
              <w:jc w:val="left"/>
            </w:pPr>
            <w:r>
              <w:rPr>
                <w:rFonts w:cs="EB Garamond"/>
                <w:kern w:val="16"/>
                <w:sz w:val="18"/>
                <w14:ligatures w14:val="standardContextual"/>
              </w:rPr>
              <w:t>Segurado facultativo</w:t>
            </w:r>
          </w:p>
        </w:tc>
        <w:tc>
          <w:tcPr>
            <w:tcW w:w="2117" w:type="dxa"/>
            <w:tcBorders>
              <w:top w:val="single" w:sz="4" w:space="0" w:color="D2C9B8"/>
              <w:left w:val="single" w:sz="4" w:space="0" w:color="D2C9B8"/>
              <w:bottom w:val="single" w:sz="4" w:space="0" w:color="D2C9B8"/>
              <w:right w:val="single" w:sz="4" w:space="0" w:color="D2C9B8"/>
            </w:tcBorders>
          </w:tcPr>
          <w:p w14:paraId="1470534A" w14:textId="77777777" w:rsidR="005A5FCC" w:rsidRDefault="00A21C81">
            <w:pPr>
              <w:spacing w:before="20" w:after="20" w:line="240" w:lineRule="auto"/>
              <w:jc w:val="left"/>
            </w:pPr>
            <w:r>
              <w:rPr>
                <w:rFonts w:cs="EB Garamond"/>
                <w:kern w:val="16"/>
                <w:sz w:val="18"/>
                <w14:ligatures w14:val="standardContextual"/>
              </w:rPr>
              <w:t>GPS</w:t>
            </w:r>
          </w:p>
        </w:tc>
        <w:tc>
          <w:tcPr>
            <w:tcW w:w="2117" w:type="dxa"/>
            <w:tcBorders>
              <w:top w:val="single" w:sz="4" w:space="0" w:color="D2C9B8"/>
              <w:left w:val="single" w:sz="4" w:space="0" w:color="D2C9B8"/>
              <w:bottom w:val="single" w:sz="4" w:space="0" w:color="D2C9B8"/>
              <w:right w:val="single" w:sz="4" w:space="0" w:color="D2C9B8"/>
            </w:tcBorders>
          </w:tcPr>
          <w:p w14:paraId="3437F8C7" w14:textId="77777777" w:rsidR="005A5FCC" w:rsidRDefault="00A21C81">
            <w:pPr>
              <w:spacing w:before="20" w:after="20" w:line="240" w:lineRule="auto"/>
              <w:jc w:val="left"/>
            </w:pPr>
            <w:r>
              <w:rPr>
                <w:rFonts w:cs="EB Garamond"/>
                <w:kern w:val="16"/>
                <w:sz w:val="18"/>
                <w14:ligatures w14:val="standardContextual"/>
              </w:rPr>
              <w:t>Dia 15 do mês seguinte</w:t>
            </w:r>
          </w:p>
        </w:tc>
      </w:tr>
      <w:tr w:rsidR="005A5FCC" w14:paraId="3279D6EA"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27D0ED49" w14:textId="77777777" w:rsidR="005A5FCC" w:rsidRDefault="00A21C81">
            <w:pPr>
              <w:spacing w:before="20" w:after="20" w:line="240" w:lineRule="auto"/>
              <w:jc w:val="left"/>
            </w:pPr>
            <w:r>
              <w:rPr>
                <w:rFonts w:cs="EB Garamond"/>
                <w:kern w:val="16"/>
                <w:sz w:val="18"/>
                <w14:ligatures w14:val="standardContextual"/>
              </w:rPr>
              <w:t>MEI (próprio)</w:t>
            </w:r>
          </w:p>
        </w:tc>
        <w:tc>
          <w:tcPr>
            <w:tcW w:w="2117" w:type="dxa"/>
            <w:tcBorders>
              <w:top w:val="single" w:sz="4" w:space="0" w:color="D2C9B8"/>
              <w:left w:val="single" w:sz="4" w:space="0" w:color="D2C9B8"/>
              <w:bottom w:val="single" w:sz="4" w:space="0" w:color="D2C9B8"/>
              <w:right w:val="single" w:sz="4" w:space="0" w:color="D2C9B8"/>
            </w:tcBorders>
          </w:tcPr>
          <w:p w14:paraId="152BD679" w14:textId="77777777" w:rsidR="005A5FCC" w:rsidRDefault="00A21C81">
            <w:pPr>
              <w:spacing w:before="20" w:after="20" w:line="240" w:lineRule="auto"/>
              <w:jc w:val="left"/>
            </w:pPr>
            <w:r>
              <w:rPr>
                <w:rFonts w:cs="EB Garamond"/>
                <w:kern w:val="16"/>
                <w:sz w:val="18"/>
                <w14:ligatures w14:val="standardContextual"/>
              </w:rPr>
              <w:t>DAS-MEI</w:t>
            </w:r>
          </w:p>
        </w:tc>
        <w:tc>
          <w:tcPr>
            <w:tcW w:w="2117" w:type="dxa"/>
            <w:tcBorders>
              <w:top w:val="single" w:sz="4" w:space="0" w:color="D2C9B8"/>
              <w:left w:val="single" w:sz="4" w:space="0" w:color="D2C9B8"/>
              <w:bottom w:val="single" w:sz="4" w:space="0" w:color="D2C9B8"/>
              <w:right w:val="single" w:sz="4" w:space="0" w:color="D2C9B8"/>
            </w:tcBorders>
          </w:tcPr>
          <w:p w14:paraId="4DCFA856" w14:textId="77777777" w:rsidR="005A5FCC" w:rsidRDefault="00A21C81">
            <w:pPr>
              <w:spacing w:before="20" w:after="20" w:line="240" w:lineRule="auto"/>
              <w:jc w:val="left"/>
            </w:pPr>
            <w:r>
              <w:rPr>
                <w:rFonts w:cs="EB Garamond"/>
                <w:kern w:val="16"/>
                <w:sz w:val="18"/>
                <w14:ligatures w14:val="standardContextual"/>
              </w:rPr>
              <w:t>Dia 20 do mês seguinte</w:t>
            </w:r>
          </w:p>
        </w:tc>
      </w:tr>
      <w:tr w:rsidR="005A5FCC" w14:paraId="22B1E1AA"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0736A986" w14:textId="77777777" w:rsidR="005A5FCC" w:rsidRDefault="00A21C81">
            <w:pPr>
              <w:spacing w:before="20" w:after="20" w:line="240" w:lineRule="auto"/>
              <w:jc w:val="left"/>
            </w:pPr>
            <w:r>
              <w:rPr>
                <w:rFonts w:cs="EB Garamond"/>
                <w:kern w:val="16"/>
                <w:sz w:val="18"/>
                <w14:ligatures w14:val="standardContextual"/>
              </w:rPr>
              <w:lastRenderedPageBreak/>
              <w:t>MEI com empregado</w:t>
            </w:r>
          </w:p>
        </w:tc>
        <w:tc>
          <w:tcPr>
            <w:tcW w:w="2117" w:type="dxa"/>
            <w:tcBorders>
              <w:top w:val="single" w:sz="4" w:space="0" w:color="D2C9B8"/>
              <w:left w:val="single" w:sz="4" w:space="0" w:color="D2C9B8"/>
              <w:bottom w:val="single" w:sz="4" w:space="0" w:color="D2C9B8"/>
              <w:right w:val="single" w:sz="4" w:space="0" w:color="D2C9B8"/>
            </w:tcBorders>
          </w:tcPr>
          <w:p w14:paraId="57123D57" w14:textId="77777777" w:rsidR="005A5FCC" w:rsidRDefault="00A21C81">
            <w:pPr>
              <w:spacing w:before="20" w:after="20" w:line="240" w:lineRule="auto"/>
              <w:jc w:val="left"/>
            </w:pPr>
            <w:r>
              <w:rPr>
                <w:rFonts w:cs="EB Garamond"/>
                <w:kern w:val="16"/>
                <w:sz w:val="18"/>
                <w14:ligatures w14:val="standardContextual"/>
              </w:rPr>
              <w:t>DAE simplificado</w:t>
            </w:r>
          </w:p>
        </w:tc>
        <w:tc>
          <w:tcPr>
            <w:tcW w:w="2117" w:type="dxa"/>
            <w:tcBorders>
              <w:top w:val="single" w:sz="4" w:space="0" w:color="D2C9B8"/>
              <w:left w:val="single" w:sz="4" w:space="0" w:color="D2C9B8"/>
              <w:bottom w:val="single" w:sz="4" w:space="0" w:color="D2C9B8"/>
              <w:right w:val="single" w:sz="4" w:space="0" w:color="D2C9B8"/>
            </w:tcBorders>
          </w:tcPr>
          <w:p w14:paraId="71C80D44" w14:textId="77777777" w:rsidR="005A5FCC" w:rsidRDefault="00A21C81">
            <w:pPr>
              <w:spacing w:before="20" w:after="20" w:line="240" w:lineRule="auto"/>
              <w:jc w:val="left"/>
            </w:pPr>
            <w:r>
              <w:rPr>
                <w:rFonts w:cs="EB Garamond"/>
                <w:kern w:val="16"/>
                <w:sz w:val="18"/>
                <w14:ligatures w14:val="standardContextual"/>
              </w:rPr>
              <w:t>Dia 7 do mês seguinte</w:t>
            </w:r>
          </w:p>
        </w:tc>
      </w:tr>
    </w:tbl>
    <w:p w14:paraId="1D2B0942" w14:textId="77777777" w:rsidR="005A5FCC" w:rsidRDefault="005A5FCC">
      <w:pPr>
        <w:spacing w:after="80" w:line="240" w:lineRule="auto"/>
      </w:pPr>
    </w:p>
    <w:p w14:paraId="170EDBEE"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P</w:t>
      </w:r>
    </w:p>
    <w:p w14:paraId="301800B8" w14:textId="77777777" w:rsidR="005A5FCC" w:rsidRDefault="00A21C81">
      <w:r>
        <w:rPr>
          <w:rFonts w:cs="EB Garamond"/>
          <w:kern w:val="16"/>
          <w14:ligatures w14:val="standardContextual"/>
        </w:rPr>
        <w:t>ara o advogado previdenciarista que atua nos JEFs, a transição eSocial trouxe consequências práticas relevantes:</w:t>
      </w:r>
    </w:p>
    <w:p w14:paraId="23E062B8" w14:textId="77777777" w:rsidR="005A5FCC" w:rsidRDefault="00A21C81">
      <w:pPr>
        <w:ind w:firstLine="238"/>
      </w:pPr>
      <w:r>
        <w:rPr>
          <w:rFonts w:cs="EB Garamond"/>
          <w:kern w:val="16"/>
          <w14:ligatures w14:val="standardContextual"/>
        </w:rPr>
        <w:t xml:space="preserve">a) </w:t>
      </w:r>
      <w:r>
        <w:rPr>
          <w:rFonts w:cs="EB Garamond"/>
          <w:b/>
          <w:kern w:val="16"/>
          <w14:ligatures w14:val="standardContextual"/>
        </w:rPr>
        <w:t>CNIS mais preciso:</w:t>
      </w:r>
      <w:r>
        <w:rPr>
          <w:rFonts w:cs="EB Garamond"/>
          <w:kern w:val="16"/>
          <w14:ligatures w14:val="standardContextual"/>
        </w:rPr>
        <w:t xml:space="preserve"> O eSocial alimenta diretamente o CNIS com informações de remuneração (evento S-1200), admissão (S-2200) e desligamento (S-2299), reduzindo divergências entre remuneração efetiva e valores registrados.</w:t>
      </w:r>
    </w:p>
    <w:p w14:paraId="7237F872" w14:textId="77777777" w:rsidR="005A5FCC" w:rsidRDefault="00A21C81">
      <w:pPr>
        <w:ind w:firstLine="238"/>
      </w:pPr>
      <w:r>
        <w:rPr>
          <w:rFonts w:cs="EB Garamond"/>
          <w:kern w:val="16"/>
          <w14:ligatures w14:val="standardContextual"/>
        </w:rPr>
        <w:t xml:space="preserve">b) </w:t>
      </w:r>
      <w:r>
        <w:rPr>
          <w:rFonts w:cs="EB Garamond"/>
          <w:b/>
          <w:kern w:val="16"/>
          <w14:ligatures w14:val="standardContextual"/>
        </w:rPr>
        <w:t>Prova de vínculo fortalecida:</w:t>
      </w:r>
      <w:r>
        <w:rPr>
          <w:rFonts w:cs="EB Garamond"/>
          <w:kern w:val="16"/>
          <w14:ligatures w14:val="standardContextual"/>
        </w:rPr>
        <w:t xml:space="preserve"> Os eventos do eSocial geram registro automático no CNIS. A tendência é que, nos próximos anos, ações de retificação de CNIS para vínculos posteriores a 2018 se tornem raras.</w:t>
      </w:r>
    </w:p>
    <w:p w14:paraId="684311D1" w14:textId="77777777" w:rsidR="005A5FCC" w:rsidRDefault="00A21C81">
      <w:pPr>
        <w:ind w:firstLine="238"/>
      </w:pPr>
      <w:r>
        <w:rPr>
          <w:rFonts w:cs="EB Garamond"/>
          <w:kern w:val="16"/>
          <w14:ligatures w14:val="standardContextual"/>
        </w:rPr>
        <w:t xml:space="preserve">c) </w:t>
      </w:r>
      <w:r>
        <w:rPr>
          <w:rFonts w:cs="EB Garamond"/>
          <w:b/>
          <w:kern w:val="16"/>
          <w14:ligatures w14:val="standardContextual"/>
        </w:rPr>
        <w:t>Problemas de transição:</w:t>
      </w:r>
      <w:r>
        <w:rPr>
          <w:rFonts w:cs="EB Garamond"/>
          <w:kern w:val="16"/>
          <w14:ligatures w14:val="standardContextual"/>
        </w:rPr>
        <w:t xml:space="preserve"> Empregadores que migraram incorretamente da GFIP para o eSocial podem ter gerado lacunas ou duplicidades no CNIS dos empregados — motivo frequente de ações de retificação no JEF, especialmente para o período de 2018-2021 (fases de implantação).</w:t>
      </w:r>
    </w:p>
    <w:p w14:paraId="700F680C" w14:textId="77777777" w:rsidR="005A5FCC" w:rsidRDefault="00A21C81">
      <w:pPr>
        <w:ind w:firstLine="238"/>
      </w:pPr>
      <w:r>
        <w:rPr>
          <w:rFonts w:cs="EB Garamond"/>
          <w:kern w:val="16"/>
          <w14:ligatures w14:val="standardContextual"/>
        </w:rPr>
        <w:t xml:space="preserve">d) </w:t>
      </w:r>
      <w:r>
        <w:rPr>
          <w:rFonts w:cs="EB Garamond"/>
          <w:b/>
          <w:kern w:val="16"/>
          <w14:ligatures w14:val="standardContextual"/>
        </w:rPr>
        <w:t>Empregado doméstico:</w:t>
      </w:r>
      <w:r>
        <w:rPr>
          <w:rFonts w:cs="EB Garamond"/>
          <w:kern w:val="16"/>
          <w14:ligatures w14:val="standardContextual"/>
        </w:rPr>
        <w:t xml:space="preserve"> Desde 2015, o recolhimento é feito pelo DAE (Documento de Arrecadação do eSocial), que unifica contribuição patronal (8%), FGTS (8%), seguro acidente (0,8%) e contribuição do empregado (progressiva) em guia única.</w:t>
      </w:r>
    </w:p>
    <w:p w14:paraId="1A178E7F" w14:textId="77777777" w:rsidR="005A5FCC" w:rsidRDefault="00A21C81">
      <w:pPr>
        <w:ind w:firstLine="238"/>
      </w:pPr>
      <w:r>
        <w:rPr>
          <w:rFonts w:cs="EB Garamond"/>
          <w:kern w:val="16"/>
          <w14:ligatures w14:val="standardContextual"/>
        </w:rPr>
        <w:t xml:space="preserve">e) </w:t>
      </w:r>
      <w:r>
        <w:rPr>
          <w:rFonts w:cs="EB Garamond"/>
          <w:b/>
          <w:kern w:val="16"/>
          <w14:ligatures w14:val="standardContextual"/>
        </w:rPr>
        <w:t>CPF como identificador universal:</w:t>
      </w:r>
      <w:r>
        <w:rPr>
          <w:rFonts w:cs="EB Garamond"/>
          <w:kern w:val="16"/>
          <w14:ligatures w14:val="standardContextual"/>
        </w:rPr>
        <w:t xml:space="preserve"> A partir de 2026, o CPF substitui definitivamente o NIT/PIS/PASEP como identificador único no eSocial. As inconsistências cadastrais (NIT duplicado, PIS sem vinculação) estão sendo corrigidas de ofício pela RFB.</w:t>
      </w:r>
    </w:p>
    <w:p w14:paraId="14C2549D" w14:textId="77777777" w:rsidR="005A5FCC" w:rsidRDefault="00A21C81">
      <w:pPr>
        <w:spacing w:before="260" w:after="80" w:line="240" w:lineRule="auto"/>
        <w:jc w:val="left"/>
      </w:pPr>
      <w:r>
        <w:rPr>
          <w:rFonts w:cs="EB Garamond"/>
          <w:b/>
          <w:color w:val="3A3128"/>
          <w:kern w:val="16"/>
          <w:sz w:val="25"/>
          <w14:ligatures w14:val="standardContextual"/>
        </w:rPr>
        <w:t>4.21.3 CNIS como espelho das contribuições</w:t>
      </w:r>
    </w:p>
    <w:p w14:paraId="7E34C088"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48CB15C5" w14:textId="77777777" w:rsidR="005A5FCC" w:rsidRDefault="00A21C81">
      <w:r>
        <w:rPr>
          <w:rFonts w:cs="EB Garamond"/>
          <w:kern w:val="16"/>
          <w14:ligatures w14:val="standardContextual"/>
        </w:rPr>
        <w:t xml:space="preserve"> CNIS funciona como espelho das contribuições, consolidando vínculos, remunerações e recolhimentos do segurado, e permitindo ao INSS e ao próprio segurado verificar a regularidade dos recolhimentos. Quando há divergência entre o CNIS e a realidade contributiva, o segurado pode requerer retificação administrativa (via Meu INSS) ou judicial (ação no JEF). Sobre a natureza jurídica do CNIS, sua força probatória (art. 29-A, Lei 8.213/91) e os mecanismos de retificação, v. Capítulo 5, seção 5.2.</w:t>
      </w:r>
    </w:p>
    <w:p w14:paraId="320F03DA"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4.22 Aspectos práticos nos juizados especiais federais</w:t>
      </w:r>
    </w:p>
    <w:p w14:paraId="0513A182" w14:textId="77777777" w:rsidR="005A5FCC" w:rsidRDefault="00A21C81">
      <w:pPr>
        <w:spacing w:before="260" w:after="80" w:line="240" w:lineRule="auto"/>
        <w:jc w:val="left"/>
      </w:pPr>
      <w:r>
        <w:rPr>
          <w:rFonts w:cs="EB Garamond"/>
          <w:b/>
          <w:color w:val="3A3128"/>
          <w:kern w:val="16"/>
          <w:sz w:val="25"/>
          <w14:ligatures w14:val="standardContextual"/>
        </w:rPr>
        <w:t>4.22.1 Competência do JEF para questões de custeio</w:t>
      </w:r>
    </w:p>
    <w:p w14:paraId="5D27AD8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5637E6F5" w14:textId="77777777" w:rsidR="005A5FCC" w:rsidRDefault="00A21C81">
      <w:r>
        <w:rPr>
          <w:rFonts w:cs="EB Garamond"/>
          <w:kern w:val="16"/>
          <w14:ligatures w14:val="standardContextual"/>
        </w:rPr>
        <w:t>s JEFs têm competência absoluta para causas de até 60 salários mínimos contra a União, autarquias e fundações públicas federais (art. 3º, Lei 10.259/2001). Isso abrange as questões de custeio previdenciário em que o INSS é parte, como:</w:t>
      </w:r>
    </w:p>
    <w:p w14:paraId="39A42E94"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Restituição de contribuições recolhidas indevidamente</w:t>
      </w:r>
    </w:p>
    <w:p w14:paraId="6A9BBAFB"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Declaração de inexigibilidade de contribuição</w:t>
      </w:r>
    </w:p>
    <w:p w14:paraId="73611981"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Averbação de período mediante indenização art. 45-A</w:t>
      </w:r>
    </w:p>
    <w:p w14:paraId="6F1C6066"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Retificação de CNIS quanto a valores de contribuição</w:t>
      </w:r>
    </w:p>
    <w:p w14:paraId="2EAB10AF" w14:textId="77777777" w:rsidR="005A5FCC" w:rsidRDefault="005A5FCC">
      <w:pPr>
        <w:spacing w:after="60" w:line="240" w:lineRule="auto"/>
      </w:pPr>
    </w:p>
    <w:p w14:paraId="73ABC524"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1FB6DF6E" w14:textId="77777777" w:rsidR="005A5FCC" w:rsidRDefault="00A21C81">
      <w:r>
        <w:rPr>
          <w:rFonts w:cs="EB Garamond"/>
          <w:kern w:val="16"/>
          <w14:ligatures w14:val="standardContextual"/>
        </w:rPr>
        <w:t xml:space="preserve"> competência do JEF não alcança a execução fiscal (cobrança de contribuições pelo INSS ou pela União), que segue rito próprio (Lei 6.830/80) perante as Varas Federais de execução fiscal.</w:t>
      </w:r>
    </w:p>
    <w:p w14:paraId="45A6416C" w14:textId="77777777" w:rsidR="005A5FCC" w:rsidRDefault="00A21C81">
      <w:pPr>
        <w:spacing w:before="260" w:after="80" w:line="240" w:lineRule="auto"/>
        <w:jc w:val="left"/>
      </w:pPr>
      <w:r>
        <w:rPr>
          <w:rFonts w:cs="EB Garamond"/>
          <w:b/>
          <w:color w:val="3A3128"/>
          <w:kern w:val="16"/>
          <w:sz w:val="25"/>
          <w14:ligatures w14:val="standardContextual"/>
        </w:rPr>
        <w:t>4.22.2 Questões de custeio incidentais</w:t>
      </w:r>
    </w:p>
    <w:p w14:paraId="1628AA7F"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N</w:t>
      </w:r>
    </w:p>
    <w:p w14:paraId="312190F2" w14:textId="77777777" w:rsidR="005A5FCC" w:rsidRDefault="00A21C81">
      <w:r>
        <w:rPr>
          <w:rFonts w:cs="EB Garamond"/>
          <w:kern w:val="16"/>
          <w14:ligatures w14:val="standardContextual"/>
        </w:rPr>
        <w:t>a maioria das ações previdenciárias, o custeio aparece como questão incidental, não como objeto principal. O juiz analisa a regularidade contributiva como pressuposto para a concessão do benefício, sem constituir crédito tributário. Exemplos:</w:t>
      </w:r>
    </w:p>
    <w:p w14:paraId="6FC26057" w14:textId="77777777" w:rsidR="005A5FCC" w:rsidRDefault="00A21C81">
      <w:pPr>
        <w:ind w:firstLine="238"/>
      </w:pPr>
      <w:r>
        <w:rPr>
          <w:rFonts w:cs="EB Garamond"/>
          <w:kern w:val="16"/>
          <w14:ligatures w14:val="standardContextual"/>
        </w:rPr>
        <w:t xml:space="preserve">a) </w:t>
      </w:r>
      <w:r>
        <w:rPr>
          <w:rFonts w:cs="EB Garamond"/>
          <w:b/>
          <w:kern w:val="16"/>
          <w14:ligatures w14:val="standardContextual"/>
        </w:rPr>
        <w:t>Aposentadoria:</w:t>
      </w:r>
      <w:r>
        <w:rPr>
          <w:rFonts w:cs="EB Garamond"/>
          <w:kern w:val="16"/>
          <w14:ligatures w14:val="standardContextual"/>
        </w:rPr>
        <w:t xml:space="preserve"> O INSS alega insuficiência de contribuições para carência. O juiz verifica se há contribuições válidas, se o recolhimento em atraso é admissível e se a carência está preenchida.</w:t>
      </w:r>
    </w:p>
    <w:p w14:paraId="0EF6CDF0" w14:textId="77777777" w:rsidR="005A5FCC" w:rsidRDefault="00A21C81">
      <w:pPr>
        <w:ind w:firstLine="238"/>
      </w:pPr>
      <w:r>
        <w:rPr>
          <w:rFonts w:cs="EB Garamond"/>
          <w:kern w:val="16"/>
          <w14:ligatures w14:val="standardContextual"/>
        </w:rPr>
        <w:t xml:space="preserve">b) </w:t>
      </w:r>
      <w:r>
        <w:rPr>
          <w:rFonts w:cs="EB Garamond"/>
          <w:b/>
          <w:kern w:val="16"/>
          <w14:ligatures w14:val="standardContextual"/>
        </w:rPr>
        <w:t>Tempo de contribuição:</w:t>
      </w:r>
      <w:r>
        <w:rPr>
          <w:rFonts w:cs="EB Garamond"/>
          <w:kern w:val="16"/>
          <w14:ligatures w14:val="standardContextual"/>
        </w:rPr>
        <w:t xml:space="preserve"> O segurado pleiteia cômputo de período como CI. O juiz reconhece a atividade e condiciona o cômputo ao pagamento da indenização (se necessário), ou entende que a atividade comprovada basta (segurado especial).</w:t>
      </w:r>
    </w:p>
    <w:p w14:paraId="2D472C0F" w14:textId="77777777" w:rsidR="005A5FCC" w:rsidRDefault="00A21C81">
      <w:pPr>
        <w:ind w:firstLine="238"/>
      </w:pPr>
      <w:r>
        <w:rPr>
          <w:rFonts w:cs="EB Garamond"/>
          <w:kern w:val="16"/>
          <w14:ligatures w14:val="standardContextual"/>
        </w:rPr>
        <w:lastRenderedPageBreak/>
        <w:t xml:space="preserve">c) </w:t>
      </w:r>
      <w:r>
        <w:rPr>
          <w:rFonts w:cs="EB Garamond"/>
          <w:b/>
          <w:kern w:val="16"/>
          <w14:ligatures w14:val="standardContextual"/>
        </w:rPr>
        <w:t>Retificação de CNIS:</w:t>
      </w:r>
      <w:r>
        <w:rPr>
          <w:rFonts w:cs="EB Garamond"/>
          <w:kern w:val="16"/>
          <w14:ligatures w14:val="standardContextual"/>
        </w:rPr>
        <w:t xml:space="preserve"> Divergência entre remuneração efetiva e valor registrado. O juiz determina a correção e, consequentemente, o recálculo do benefício.</w:t>
      </w:r>
    </w:p>
    <w:tbl>
      <w:tblPr>
        <w:tblW w:w="5000" w:type="pct"/>
        <w:jc w:val="center"/>
        <w:tblLayout w:type="fixed"/>
        <w:tblLook w:val="04A0" w:firstRow="1" w:lastRow="0" w:firstColumn="1" w:lastColumn="0" w:noHBand="0" w:noVBand="1"/>
      </w:tblPr>
      <w:tblGrid>
        <w:gridCol w:w="6311"/>
      </w:tblGrid>
      <w:tr w:rsidR="005A5FCC" w14:paraId="1AB216E9"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1E71F3F3"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14A8631C" w14:textId="77777777" w:rsidR="005A5FCC" w:rsidRDefault="00A21C81">
            <w:pPr>
              <w:spacing w:after="60" w:line="247" w:lineRule="auto"/>
            </w:pPr>
            <w:r>
              <w:rPr>
                <w:rFonts w:cs="EB Garamond"/>
                <w:b/>
                <w:kern w:val="16"/>
                <w:sz w:val="19"/>
                <w14:ligatures w14:val="standardContextual"/>
              </w:rPr>
              <w:t>Modelo de pedido — Cômputo de tempo com indenização art. 45-A:</w:t>
            </w:r>
          </w:p>
          <w:p w14:paraId="1AEED4A2" w14:textId="77777777" w:rsidR="005A5FCC" w:rsidRDefault="00A21C81">
            <w:pPr>
              <w:spacing w:after="60" w:line="247" w:lineRule="auto"/>
            </w:pPr>
            <w:r>
              <w:rPr>
                <w:rFonts w:cs="EB Garamond"/>
                <w:kern w:val="16"/>
                <w:sz w:val="19"/>
                <w14:ligatures w14:val="standardContextual"/>
              </w:rPr>
              <w:t>"Requer seja reconhecido o exercício de atividade como contribuinte individual no período de [DATA] a [DATA], determinando-se ao INSS que proceda ao cômputo do referido período como tempo de contribuição, condicionado ao recolhimento da indenização prevista no art. 45-A da Lei 8.212/91, cujo cálculo deverá ser elaborado pela autarquia após o trânsito em julgado, observando-se como base o valor da média dos salários de contribuição do segurado."</w:t>
            </w:r>
          </w:p>
          <w:p w14:paraId="57600BD0" w14:textId="77777777" w:rsidR="005A5FCC" w:rsidRDefault="00A21C81">
            <w:pPr>
              <w:spacing w:after="60" w:line="247" w:lineRule="auto"/>
            </w:pPr>
            <w:r>
              <w:rPr>
                <w:rFonts w:cs="EB Garamond"/>
                <w:b/>
                <w:kern w:val="16"/>
                <w:sz w:val="19"/>
                <w14:ligatures w14:val="standardContextual"/>
              </w:rPr>
              <w:t>Observação:</w:t>
            </w:r>
            <w:r>
              <w:rPr>
                <w:rFonts w:cs="EB Garamond"/>
                <w:kern w:val="16"/>
                <w:sz w:val="19"/>
                <w14:ligatures w14:val="standardContextual"/>
              </w:rPr>
              <w:t xml:space="preserve"> O juiz não calcula a indenização na sentença — determina que o INSS o faça na fase de cumprimento. O segurado paga e o INSS averba o tempo. Se o segurado não paga dentro do prazo (geralmente 30-60 dias fixados em sentença), perde o direito ao cômputo.</w:t>
            </w:r>
          </w:p>
        </w:tc>
      </w:tr>
    </w:tbl>
    <w:p w14:paraId="3D25B526" w14:textId="77777777" w:rsidR="005A5FCC" w:rsidRDefault="005A5FCC">
      <w:pPr>
        <w:spacing w:after="80" w:line="240" w:lineRule="auto"/>
      </w:pPr>
    </w:p>
    <w:p w14:paraId="6AA337BD" w14:textId="77777777" w:rsidR="005A5FCC" w:rsidRDefault="00A21C81">
      <w:pPr>
        <w:spacing w:before="260" w:after="80" w:line="240" w:lineRule="auto"/>
        <w:jc w:val="left"/>
      </w:pPr>
      <w:r>
        <w:rPr>
          <w:rFonts w:cs="EB Garamond"/>
          <w:b/>
          <w:color w:val="3A3128"/>
          <w:kern w:val="16"/>
          <w:sz w:val="25"/>
          <w14:ligatures w14:val="standardContextual"/>
        </w:rPr>
        <w:t>4.22.3 Prova do recolhimento</w:t>
      </w:r>
    </w:p>
    <w:p w14:paraId="129E2BB3"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N</w:t>
      </w:r>
    </w:p>
    <w:p w14:paraId="58FF23EE" w14:textId="77777777" w:rsidR="005A5FCC" w:rsidRDefault="00A21C81">
      <w:r>
        <w:rPr>
          <w:rFonts w:cs="EB Garamond"/>
          <w:kern w:val="16"/>
          <w14:ligatures w14:val="standardContextual"/>
        </w:rPr>
        <w:t>os JEFs, a prova do recolhimento ou da atividade que gera obrigação contributiva assume papel central. O CNIS é prova presumida (art. 29-A, Lei 8.213/91), mas admite prova em contrário — tanto pelo INSS quanto pelo segurado. Os meios de prova mais comuns:</w:t>
      </w:r>
    </w:p>
    <w:p w14:paraId="4F123A40"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CNIS (extrato previdenciário):</w:t>
      </w:r>
      <w:r>
        <w:rPr>
          <w:rFonts w:cs="EB Garamond"/>
          <w:kern w:val="16"/>
          <w:sz w:val="20"/>
          <w14:ligatures w14:val="standardContextual"/>
        </w:rPr>
        <w:t xml:space="preserve"> Prova primária</w:t>
      </w:r>
    </w:p>
    <w:p w14:paraId="09518C75"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Carnês GPS originais:</w:t>
      </w:r>
      <w:r>
        <w:rPr>
          <w:rFonts w:cs="EB Garamond"/>
          <w:kern w:val="16"/>
          <w:sz w:val="20"/>
          <w14:ligatures w14:val="standardContextual"/>
        </w:rPr>
        <w:t xml:space="preserve"> Comprovam pagamento efetivo</w:t>
      </w:r>
    </w:p>
    <w:p w14:paraId="18862ADD"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Microfichas/GFIP:</w:t>
      </w:r>
      <w:r>
        <w:rPr>
          <w:rFonts w:cs="EB Garamond"/>
          <w:kern w:val="16"/>
          <w:sz w:val="20"/>
          <w14:ligatures w14:val="standardContextual"/>
        </w:rPr>
        <w:t xml:space="preserve"> Períodos anteriores ao CNIS digital</w:t>
      </w:r>
    </w:p>
    <w:p w14:paraId="6E272943"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Declaração IR:</w:t>
      </w:r>
      <w:r>
        <w:rPr>
          <w:rFonts w:cs="EB Garamond"/>
          <w:kern w:val="16"/>
          <w:sz w:val="20"/>
          <w14:ligatures w14:val="standardContextual"/>
        </w:rPr>
        <w:t xml:space="preserve"> Comprova rendimentos de CI</w:t>
      </w:r>
    </w:p>
    <w:p w14:paraId="6F66EC65"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Contratos de prestação de serviço:</w:t>
      </w:r>
      <w:r>
        <w:rPr>
          <w:rFonts w:cs="EB Garamond"/>
          <w:kern w:val="16"/>
          <w:sz w:val="20"/>
          <w14:ligatures w14:val="standardContextual"/>
        </w:rPr>
        <w:t xml:space="preserve"> Comprovam atividade de CI</w:t>
      </w:r>
    </w:p>
    <w:p w14:paraId="5A87BEAC"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Inscrição municipal/alvará:</w:t>
      </w:r>
      <w:r>
        <w:rPr>
          <w:rFonts w:cs="EB Garamond"/>
          <w:kern w:val="16"/>
          <w:sz w:val="20"/>
          <w14:ligatures w14:val="standardContextual"/>
        </w:rPr>
        <w:t xml:space="preserve"> Comprova atividade empresarial</w:t>
      </w:r>
    </w:p>
    <w:p w14:paraId="24AAC08D"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Prova testemunhal:</w:t>
      </w:r>
      <w:r>
        <w:rPr>
          <w:rFonts w:cs="EB Garamond"/>
          <w:kern w:val="16"/>
          <w:sz w:val="20"/>
          <w14:ligatures w14:val="standardContextual"/>
        </w:rPr>
        <w:t xml:space="preserve"> Admitida como prova complementar; sustentamos, porém, que não deve ser meio exclusivo em questões de custeio, dada a natureza tributária da obrigação</w:t>
      </w:r>
    </w:p>
    <w:p w14:paraId="45A9A28F" w14:textId="77777777" w:rsidR="005A5FCC" w:rsidRDefault="005A5FCC">
      <w:pPr>
        <w:spacing w:after="60" w:line="240" w:lineRule="auto"/>
      </w:pPr>
    </w:p>
    <w:p w14:paraId="17CE30C7" w14:textId="77777777" w:rsidR="005A5FCC" w:rsidRDefault="00A21C81">
      <w:pPr>
        <w:spacing w:before="260" w:after="80" w:line="240" w:lineRule="auto"/>
        <w:jc w:val="left"/>
      </w:pPr>
      <w:r>
        <w:rPr>
          <w:rFonts w:cs="EB Garamond"/>
          <w:b/>
          <w:color w:val="3A3128"/>
          <w:kern w:val="16"/>
          <w:sz w:val="25"/>
          <w14:ligatures w14:val="standardContextual"/>
        </w:rPr>
        <w:lastRenderedPageBreak/>
        <w:t>4.22.4 Orientação ao segurado: planejamento contributivo</w:t>
      </w:r>
    </w:p>
    <w:p w14:paraId="5C31FA3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U</w:t>
      </w:r>
    </w:p>
    <w:p w14:paraId="0457F09D" w14:textId="77777777" w:rsidR="005A5FCC" w:rsidRDefault="00A21C81">
      <w:r>
        <w:rPr>
          <w:rFonts w:cs="EB Garamond"/>
          <w:kern w:val="16"/>
          <w14:ligatures w14:val="standardContextual"/>
        </w:rPr>
        <w:t>ma dimensão frequentemente negligenciada da atuação previdenciarista nos JEFs é a orientação prospectiva ao segurado. Muitas ações poderiam ser evitadas se o advogado auxiliasse o cliente a regularizar sua situação contributiva antes do requerimento administrativo. O planejamento contributivo envolve:</w:t>
      </w:r>
    </w:p>
    <w:p w14:paraId="3CB65D19" w14:textId="77777777" w:rsidR="005A5FCC" w:rsidRDefault="00A21C81">
      <w:pPr>
        <w:ind w:firstLine="238"/>
      </w:pPr>
      <w:r>
        <w:rPr>
          <w:rFonts w:cs="EB Garamond"/>
          <w:kern w:val="16"/>
          <w14:ligatures w14:val="standardContextual"/>
        </w:rPr>
        <w:t xml:space="preserve">a) </w:t>
      </w:r>
      <w:r>
        <w:rPr>
          <w:rFonts w:cs="EB Garamond"/>
          <w:b/>
          <w:kern w:val="16"/>
          <w14:ligatures w14:val="standardContextual"/>
        </w:rPr>
        <w:t>Análise do CNIS:</w:t>
      </w:r>
      <w:r>
        <w:rPr>
          <w:rFonts w:cs="EB Garamond"/>
          <w:kern w:val="16"/>
          <w14:ligatures w14:val="standardContextual"/>
        </w:rPr>
        <w:t xml:space="preserve"> Verificar lacunas, valores divergentes, vínculos não registrados. O extrato do CNIS está disponível no Meu INSS (aplicativo ou site) e deve ser o primeiro documento analisado pelo advogado.</w:t>
      </w:r>
    </w:p>
    <w:p w14:paraId="3B1E6C69" w14:textId="77777777" w:rsidR="005A5FCC" w:rsidRDefault="00A21C81">
      <w:pPr>
        <w:ind w:firstLine="238"/>
      </w:pPr>
      <w:r>
        <w:rPr>
          <w:rFonts w:cs="EB Garamond"/>
          <w:kern w:val="16"/>
          <w14:ligatures w14:val="standardContextual"/>
        </w:rPr>
        <w:t xml:space="preserve">b) </w:t>
      </w:r>
      <w:r>
        <w:rPr>
          <w:rFonts w:cs="EB Garamond"/>
          <w:b/>
          <w:kern w:val="16"/>
          <w14:ligatures w14:val="standardContextual"/>
        </w:rPr>
        <w:t>Simulação de tempo:</w:t>
      </w:r>
      <w:r>
        <w:rPr>
          <w:rFonts w:cs="EB Garamond"/>
          <w:kern w:val="16"/>
          <w14:ligatures w14:val="standardContextual"/>
        </w:rPr>
        <w:t xml:space="preserve"> Calcular o tempo de contribuição total, identificando o que falta para cada regra de aposentadoria. O próprio Meu INSS disponibiliza simulador, mas frequentemente desconsidera períodos não registrados.</w:t>
      </w:r>
    </w:p>
    <w:p w14:paraId="1931DA4E" w14:textId="77777777" w:rsidR="005A5FCC" w:rsidRDefault="00A21C81">
      <w:pPr>
        <w:ind w:firstLine="238"/>
      </w:pPr>
      <w:r>
        <w:rPr>
          <w:rFonts w:cs="EB Garamond"/>
          <w:kern w:val="16"/>
          <w14:ligatures w14:val="standardContextual"/>
        </w:rPr>
        <w:t xml:space="preserve">c) </w:t>
      </w:r>
      <w:r>
        <w:rPr>
          <w:rFonts w:cs="EB Garamond"/>
          <w:b/>
          <w:kern w:val="16"/>
          <w14:ligatures w14:val="standardContextual"/>
        </w:rPr>
        <w:t>Estratégia de regularização:</w:t>
      </w:r>
      <w:r>
        <w:rPr>
          <w:rFonts w:cs="EB Garamond"/>
          <w:kern w:val="16"/>
          <w14:ligatures w14:val="standardContextual"/>
        </w:rPr>
        <w:t xml:space="preserve"> Decidir se convém indenizar (art. 45-A), complementar (plano simplificado para normal), ou simplesmente aguardar (contribuir mês a mês até completar).</w:t>
      </w:r>
    </w:p>
    <w:p w14:paraId="289093DE" w14:textId="77777777" w:rsidR="005A5FCC" w:rsidRDefault="00A21C81">
      <w:pPr>
        <w:ind w:firstLine="238"/>
      </w:pPr>
      <w:r>
        <w:rPr>
          <w:rFonts w:cs="EB Garamond"/>
          <w:kern w:val="16"/>
          <w14:ligatures w14:val="standardContextual"/>
        </w:rPr>
        <w:t xml:space="preserve">d) </w:t>
      </w:r>
      <w:r>
        <w:rPr>
          <w:rFonts w:cs="EB Garamond"/>
          <w:b/>
          <w:kern w:val="16"/>
          <w14:ligatures w14:val="standardContextual"/>
        </w:rPr>
        <w:t>Análise de custo-benefício:</w:t>
      </w:r>
      <w:r>
        <w:rPr>
          <w:rFonts w:cs="EB Garamond"/>
          <w:kern w:val="16"/>
          <w14:ligatures w14:val="standardContextual"/>
        </w:rPr>
        <w:t xml:space="preserve"> Comparar o custo total da regularização com o valor esperado do benefício. Uma indenização de R$ 50.000 pode não justificar se o aumento no benefício for marginal.</w:t>
      </w:r>
    </w:p>
    <w:tbl>
      <w:tblPr>
        <w:tblW w:w="5000" w:type="pct"/>
        <w:jc w:val="center"/>
        <w:tblLayout w:type="fixed"/>
        <w:tblLook w:val="04A0" w:firstRow="1" w:lastRow="0" w:firstColumn="1" w:lastColumn="0" w:noHBand="0" w:noVBand="1"/>
      </w:tblPr>
      <w:tblGrid>
        <w:gridCol w:w="6311"/>
      </w:tblGrid>
      <w:tr w:rsidR="005A5FCC" w14:paraId="7C3C2915"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4D856199"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10FDFC08" w14:textId="77777777" w:rsidR="005A5FCC" w:rsidRDefault="00A21C81">
            <w:pPr>
              <w:spacing w:after="60" w:line="247" w:lineRule="auto"/>
            </w:pPr>
            <w:r>
              <w:rPr>
                <w:rFonts w:cs="EB Garamond"/>
                <w:b/>
                <w:kern w:val="16"/>
                <w:sz w:val="19"/>
                <w14:ligatures w14:val="standardContextual"/>
              </w:rPr>
              <w:t>Checklist pré-requerimento administrativo:</w:t>
            </w:r>
          </w:p>
          <w:p w14:paraId="7ABA8363" w14:textId="77777777" w:rsidR="005A5FCC" w:rsidRDefault="00A21C81">
            <w:pPr>
              <w:spacing w:after="30" w:line="240" w:lineRule="auto"/>
              <w:ind w:left="227" w:hanging="142"/>
            </w:pPr>
            <w:r>
              <w:rPr>
                <w:rFonts w:cs="EB Garamond"/>
                <w:kern w:val="16"/>
                <w:sz w:val="19"/>
                <w14:ligatures w14:val="standardContextual"/>
              </w:rPr>
              <w:t>1. Extrair CNIS atualizado (Meu INSS)</w:t>
            </w:r>
          </w:p>
          <w:p w14:paraId="604F6DEA" w14:textId="77777777" w:rsidR="005A5FCC" w:rsidRDefault="00A21C81">
            <w:pPr>
              <w:spacing w:after="30" w:line="240" w:lineRule="auto"/>
              <w:ind w:left="227" w:hanging="142"/>
            </w:pPr>
            <w:r>
              <w:rPr>
                <w:rFonts w:cs="EB Garamond"/>
                <w:kern w:val="16"/>
                <w:sz w:val="19"/>
                <w14:ligatures w14:val="standardContextual"/>
              </w:rPr>
              <w:t>2. Conferir todos os vínculos empregatícios (datas, valores)</w:t>
            </w:r>
          </w:p>
          <w:p w14:paraId="62389B13" w14:textId="77777777" w:rsidR="005A5FCC" w:rsidRDefault="00A21C81">
            <w:pPr>
              <w:spacing w:after="30" w:line="240" w:lineRule="auto"/>
              <w:ind w:left="227" w:hanging="142"/>
            </w:pPr>
            <w:r>
              <w:rPr>
                <w:rFonts w:cs="EB Garamond"/>
                <w:kern w:val="16"/>
                <w:sz w:val="19"/>
                <w14:ligatures w14:val="standardContextual"/>
              </w:rPr>
              <w:t>3. Identificar lacunas contributivas (meses sem contribuição)</w:t>
            </w:r>
          </w:p>
          <w:p w14:paraId="30A2056A" w14:textId="77777777" w:rsidR="005A5FCC" w:rsidRDefault="00A21C81">
            <w:pPr>
              <w:spacing w:after="30" w:line="240" w:lineRule="auto"/>
              <w:ind w:left="227" w:hanging="142"/>
            </w:pPr>
            <w:r>
              <w:rPr>
                <w:rFonts w:cs="EB Garamond"/>
                <w:kern w:val="16"/>
                <w:sz w:val="19"/>
                <w14:ligatures w14:val="standardContextual"/>
              </w:rPr>
              <w:t>4. Para cada lacuna: determinar se era empregado (responsabilidade do empregador), CI (pode indenizar), ou se estava sem atividade</w:t>
            </w:r>
          </w:p>
          <w:p w14:paraId="52B6815C" w14:textId="77777777" w:rsidR="005A5FCC" w:rsidRDefault="00A21C81">
            <w:pPr>
              <w:spacing w:after="30" w:line="240" w:lineRule="auto"/>
              <w:ind w:left="227" w:hanging="142"/>
            </w:pPr>
            <w:r>
              <w:rPr>
                <w:rFonts w:cs="EB Garamond"/>
                <w:kern w:val="16"/>
                <w:sz w:val="19"/>
                <w14:ligatures w14:val="standardContextual"/>
              </w:rPr>
              <w:t>5. Verificar se há contribuições como MEI/simplificado que precisam de complementação</w:t>
            </w:r>
          </w:p>
          <w:p w14:paraId="3E8D75B2" w14:textId="77777777" w:rsidR="005A5FCC" w:rsidRDefault="00A21C81">
            <w:pPr>
              <w:spacing w:after="30" w:line="240" w:lineRule="auto"/>
              <w:ind w:left="227" w:hanging="142"/>
            </w:pPr>
            <w:r>
              <w:rPr>
                <w:rFonts w:cs="EB Garamond"/>
                <w:kern w:val="16"/>
                <w:sz w:val="19"/>
                <w14:ligatures w14:val="standardContextual"/>
              </w:rPr>
              <w:t>6. Calcular carência e tempo de contribuição disponíveis</w:t>
            </w:r>
          </w:p>
          <w:p w14:paraId="53E90E3F" w14:textId="77777777" w:rsidR="005A5FCC" w:rsidRDefault="00A21C81">
            <w:pPr>
              <w:spacing w:after="30" w:line="240" w:lineRule="auto"/>
              <w:ind w:left="227" w:hanging="142"/>
            </w:pPr>
            <w:r>
              <w:rPr>
                <w:rFonts w:cs="EB Garamond"/>
                <w:kern w:val="16"/>
                <w:sz w:val="19"/>
                <w14:ligatures w14:val="standardContextual"/>
              </w:rPr>
              <w:t>7. Simular qual regra de aposentadoria é mais vantajosa</w:t>
            </w:r>
          </w:p>
          <w:p w14:paraId="2ED465E6" w14:textId="77777777" w:rsidR="005A5FCC" w:rsidRDefault="00A21C81">
            <w:pPr>
              <w:spacing w:after="30" w:line="240" w:lineRule="auto"/>
              <w:ind w:left="227" w:hanging="142"/>
            </w:pPr>
            <w:r>
              <w:rPr>
                <w:rFonts w:cs="EB Garamond"/>
                <w:kern w:val="16"/>
                <w:sz w:val="19"/>
                <w14:ligatures w14:val="standardContextual"/>
              </w:rPr>
              <w:t>8. Se necessário, providenciar complementações/indenizações ANTES do requerimento</w:t>
            </w:r>
          </w:p>
          <w:p w14:paraId="2555E852" w14:textId="77777777" w:rsidR="005A5FCC" w:rsidRDefault="00A21C81">
            <w:pPr>
              <w:spacing w:after="30" w:line="240" w:lineRule="auto"/>
              <w:ind w:left="227" w:hanging="142"/>
            </w:pPr>
            <w:r>
              <w:rPr>
                <w:rFonts w:cs="EB Garamond"/>
                <w:kern w:val="16"/>
                <w:sz w:val="19"/>
                <w14:ligatures w14:val="standardContextual"/>
              </w:rPr>
              <w:t>9. Reunir documentos comprobatórios de atividade (para indenização)</w:t>
            </w:r>
          </w:p>
          <w:p w14:paraId="6BBE5B5E" w14:textId="77777777" w:rsidR="005A5FCC" w:rsidRDefault="00A21C81">
            <w:pPr>
              <w:spacing w:after="30" w:line="240" w:lineRule="auto"/>
              <w:ind w:left="227" w:hanging="142"/>
            </w:pPr>
            <w:r>
              <w:rPr>
                <w:rFonts w:cs="EB Garamond"/>
                <w:kern w:val="16"/>
                <w:sz w:val="19"/>
                <w14:ligatures w14:val="standardContextual"/>
              </w:rPr>
              <w:t>10. Protocolar requerimento administrativo com toda a documentação</w:t>
            </w:r>
          </w:p>
          <w:p w14:paraId="00C40D3A" w14:textId="77777777" w:rsidR="005A5FCC" w:rsidRDefault="00A21C81">
            <w:pPr>
              <w:spacing w:after="60" w:line="247" w:lineRule="auto"/>
            </w:pPr>
            <w:r>
              <w:rPr>
                <w:rFonts w:cs="EB Garamond"/>
                <w:b/>
                <w:kern w:val="16"/>
                <w:sz w:val="19"/>
                <w14:ligatures w14:val="standardContextual"/>
              </w:rPr>
              <w:t>Atenção:</w:t>
            </w:r>
            <w:r>
              <w:rPr>
                <w:rFonts w:cs="EB Garamond"/>
                <w:kern w:val="16"/>
                <w:sz w:val="19"/>
                <w14:ligatures w14:val="standardContextual"/>
              </w:rPr>
              <w:t xml:space="preserve"> O requerimento administrativo é obrigatório antes do ajuizamento (Tema 350/STF), salvo exceções. A documentação deve estar completa desde o início para evitar indeferimento por insuficiência probatória.</w:t>
            </w:r>
          </w:p>
        </w:tc>
      </w:tr>
    </w:tbl>
    <w:p w14:paraId="2B01019E" w14:textId="77777777" w:rsidR="005A5FCC" w:rsidRDefault="005A5FCC">
      <w:pPr>
        <w:spacing w:after="80" w:line="240" w:lineRule="auto"/>
      </w:pPr>
    </w:p>
    <w:p w14:paraId="60A7DA7F" w14:textId="77777777" w:rsidR="005A5FCC" w:rsidRDefault="00A21C81">
      <w:pPr>
        <w:spacing w:before="260" w:after="80" w:line="240" w:lineRule="auto"/>
        <w:jc w:val="left"/>
      </w:pPr>
      <w:r>
        <w:rPr>
          <w:rFonts w:cs="EB Garamond"/>
          <w:b/>
          <w:color w:val="3A3128"/>
          <w:kern w:val="16"/>
          <w:sz w:val="25"/>
          <w14:ligatures w14:val="standardContextual"/>
        </w:rPr>
        <w:t>4.22.5 Causas mais comuns no JEF envolvendo custeio</w:t>
      </w:r>
    </w:p>
    <w:p w14:paraId="22761AA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C</w:t>
      </w:r>
    </w:p>
    <w:p w14:paraId="27E903FC" w14:textId="77777777" w:rsidR="005A5FCC" w:rsidRDefault="00A21C81">
      <w:r>
        <w:rPr>
          <w:rFonts w:cs="EB Garamond"/>
          <w:kern w:val="16"/>
          <w14:ligatures w14:val="standardContextual"/>
        </w:rPr>
        <w:t>om base na experiência forense, as demandas previdenciárias com maior interface com questões de custeio nos JEFs são:</w:t>
      </w:r>
    </w:p>
    <w:p w14:paraId="314A9E6F" w14:textId="77777777" w:rsidR="005A5FCC" w:rsidRDefault="00A21C81">
      <w:pPr>
        <w:ind w:firstLine="238"/>
      </w:pPr>
      <w:r>
        <w:rPr>
          <w:rFonts w:cs="EB Garamond"/>
          <w:b/>
          <w:kern w:val="16"/>
          <w14:ligatures w14:val="standardContextual"/>
        </w:rPr>
        <w:t>a) Reconhecimento de tempo de contribuição como CI informal:</w:t>
      </w:r>
      <w:r>
        <w:rPr>
          <w:rFonts w:cs="EB Garamond"/>
          <w:kern w:val="16"/>
          <w14:ligatures w14:val="standardContextual"/>
        </w:rPr>
        <w:t xml:space="preserve"> O segurado exerceu atividade autônoma sem registro (pedreiro, costureira, vendedor ambulante) e precisa desse tempo para aposentadoria. O INSS exige indenização. O juiz analisa: houve atividade? Há início de prova material? Aplica-se a Súmula 74/TNU? A indenização é condição ou consequência?</w:t>
      </w:r>
    </w:p>
    <w:p w14:paraId="16ACD188" w14:textId="77777777" w:rsidR="005A5FCC" w:rsidRDefault="00A21C81">
      <w:pPr>
        <w:ind w:firstLine="238"/>
      </w:pPr>
      <w:r>
        <w:rPr>
          <w:rFonts w:cs="EB Garamond"/>
          <w:b/>
          <w:kern w:val="16"/>
          <w14:ligatures w14:val="standardContextual"/>
        </w:rPr>
        <w:t>b) Retificação de CNIS por subregistro de remuneração:</w:t>
      </w:r>
      <w:r>
        <w:rPr>
          <w:rFonts w:cs="EB Garamond"/>
          <w:kern w:val="16"/>
          <w14:ligatures w14:val="standardContextual"/>
        </w:rPr>
        <w:t xml:space="preserve"> O empregador recolheu sobre valor inferior à remuneração efetiva. O segurado comprova (contracheques, IR, recibos) que recebia mais. O juiz determina a retificação, o que eleva o salário de benefício.</w:t>
      </w:r>
    </w:p>
    <w:p w14:paraId="7EEF13A3" w14:textId="77777777" w:rsidR="005A5FCC" w:rsidRDefault="00A21C81">
      <w:pPr>
        <w:ind w:firstLine="238"/>
      </w:pPr>
      <w:r>
        <w:rPr>
          <w:rFonts w:cs="EB Garamond"/>
          <w:b/>
          <w:kern w:val="16"/>
          <w14:ligatures w14:val="standardContextual"/>
        </w:rPr>
        <w:lastRenderedPageBreak/>
        <w:t>c) Invalidação de contribuições de baixa renda:</w:t>
      </w:r>
      <w:r>
        <w:rPr>
          <w:rFonts w:cs="EB Garamond"/>
          <w:kern w:val="16"/>
          <w14:ligatures w14:val="standardContextual"/>
        </w:rPr>
        <w:t xml:space="preserve"> O INSS constata que o segurado facultativo de baixa renda exercia atividade remunerada (Tema 241/TNU). As contribuições são invalidadas, a carência cai, e o benefício é cessado ou negado. O segurado busca no JEF a validação das contribuições ou, subsidiariamente, a conversão para código 1473 mediante complementação.</w:t>
      </w:r>
    </w:p>
    <w:p w14:paraId="34D14E20" w14:textId="77777777" w:rsidR="005A5FCC" w:rsidRDefault="00A21C81">
      <w:pPr>
        <w:ind w:firstLine="238"/>
      </w:pPr>
      <w:r>
        <w:rPr>
          <w:rFonts w:cs="EB Garamond"/>
          <w:b/>
          <w:kern w:val="16"/>
          <w14:ligatures w14:val="standardContextual"/>
        </w:rPr>
        <w:t>d) Devolução de contribuições recolhidas indevidamente:</w:t>
      </w:r>
      <w:r>
        <w:rPr>
          <w:rFonts w:cs="EB Garamond"/>
          <w:kern w:val="16"/>
          <w14:ligatures w14:val="standardContextual"/>
        </w:rPr>
        <w:t xml:space="preserve"> O segurado contribuiu acima do teto (dois vínculos simultâneos) ou recolheu como CI quando era empregado (contribuição indevida). Pleiteia restituição ou compensação.</w:t>
      </w:r>
    </w:p>
    <w:p w14:paraId="5CAEE97B" w14:textId="77777777" w:rsidR="005A5FCC" w:rsidRDefault="00A21C81">
      <w:pPr>
        <w:ind w:firstLine="238"/>
      </w:pPr>
      <w:r>
        <w:rPr>
          <w:rFonts w:cs="EB Garamond"/>
          <w:b/>
          <w:kern w:val="16"/>
          <w14:ligatures w14:val="standardContextual"/>
        </w:rPr>
        <w:t>e) Cômputo de tempo com indenização condicionada:</w:t>
      </w:r>
      <w:r>
        <w:rPr>
          <w:rFonts w:cs="EB Garamond"/>
          <w:kern w:val="16"/>
          <w14:ligatures w14:val="standardContextual"/>
        </w:rPr>
        <w:t xml:space="preserve"> O JEF reconhece a atividade e determina o cômputo, condicionando-o ao pagamento da indenização. O segurado não paga no prazo. O que ocorre? A sentença perde eficácia quanto ao cômputo, mas o reconhecimento da atividade transita em julgado. O segurado pode, a qualquer tempo, pagar e requerer a averbação.</w:t>
      </w:r>
    </w:p>
    <w:tbl>
      <w:tblPr>
        <w:tblW w:w="5000" w:type="pct"/>
        <w:jc w:val="center"/>
        <w:tblLayout w:type="fixed"/>
        <w:tblLook w:val="04A0" w:firstRow="1" w:lastRow="0" w:firstColumn="1" w:lastColumn="0" w:noHBand="0" w:noVBand="1"/>
      </w:tblPr>
      <w:tblGrid>
        <w:gridCol w:w="6311"/>
      </w:tblGrid>
      <w:tr w:rsidR="005A5FCC" w14:paraId="4DF2934A"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3D3FF4F1"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59A4928C" w14:textId="77777777" w:rsidR="005A5FCC" w:rsidRDefault="00A21C81">
            <w:pPr>
              <w:spacing w:after="60" w:line="247" w:lineRule="auto"/>
            </w:pPr>
            <w:r>
              <w:rPr>
                <w:rFonts w:cs="EB Garamond"/>
                <w:b/>
                <w:kern w:val="16"/>
                <w:sz w:val="19"/>
                <w14:ligatures w14:val="standardContextual"/>
              </w:rPr>
              <w:t>Atenção — Honorários e custas nas ações de custeio:</w:t>
            </w:r>
          </w:p>
          <w:p w14:paraId="1996EC43" w14:textId="77777777" w:rsidR="005A5FCC" w:rsidRDefault="00A21C81">
            <w:pPr>
              <w:spacing w:after="60" w:line="247" w:lineRule="auto"/>
            </w:pPr>
            <w:r>
              <w:rPr>
                <w:rFonts w:cs="EB Garamond"/>
                <w:kern w:val="16"/>
                <w:sz w:val="19"/>
                <w14:ligatures w14:val="standardContextual"/>
              </w:rPr>
              <w:t>Nos JEFs, não há condenação em honorários advocatícios na primeira instância (art. 55, Lei 9.099/95, c/c art. 1º, Lei 10.259/2001). Também não há custas processuais. Essa gratuidade estimula a judicialização de questões de custeio que, no procedimento comum, seriam antieconômicas. O advogado deve ponderar, contudo, se a demanda tem chance razoável de êxito — demandas temerárias podem gerar multa por litigância de má-fé.</w:t>
            </w:r>
          </w:p>
        </w:tc>
      </w:tr>
    </w:tbl>
    <w:p w14:paraId="6E096CA0" w14:textId="77777777" w:rsidR="005A5FCC" w:rsidRDefault="005A5FCC">
      <w:pPr>
        <w:spacing w:after="80" w:line="240" w:lineRule="auto"/>
      </w:pPr>
    </w:p>
    <w:p w14:paraId="7A9921CB" w14:textId="77777777" w:rsidR="005A5FCC" w:rsidRDefault="00A21C81">
      <w:pPr>
        <w:spacing w:before="260" w:after="80" w:line="240" w:lineRule="auto"/>
        <w:jc w:val="left"/>
      </w:pPr>
      <w:r>
        <w:rPr>
          <w:rFonts w:cs="EB Garamond"/>
          <w:b/>
          <w:color w:val="3A3128"/>
          <w:kern w:val="16"/>
          <w:sz w:val="25"/>
          <w14:ligatures w14:val="standardContextual"/>
        </w:rPr>
        <w:t>4.22.6 Tutela de urgência em ações de custeio</w:t>
      </w:r>
    </w:p>
    <w:p w14:paraId="5FB269B2"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E</w:t>
      </w:r>
    </w:p>
    <w:p w14:paraId="5A8DC2BB" w14:textId="77777777" w:rsidR="005A5FCC" w:rsidRDefault="00A21C81">
      <w:r>
        <w:rPr>
          <w:rFonts w:cs="EB Garamond"/>
          <w:kern w:val="16"/>
          <w14:ligatures w14:val="standardContextual"/>
        </w:rPr>
        <w:t>m ações de custeio nos JEFs, a tutela de urgência (art. 300, CPC, c/c art. 4º, Lei 10.259/2001) pode ser concedida em situações específicas:</w:t>
      </w:r>
    </w:p>
    <w:p w14:paraId="0B745D73" w14:textId="77777777" w:rsidR="005A5FCC" w:rsidRDefault="00A21C81">
      <w:pPr>
        <w:ind w:firstLine="238"/>
      </w:pPr>
      <w:r>
        <w:rPr>
          <w:rFonts w:cs="EB Garamond"/>
          <w:kern w:val="16"/>
          <w14:ligatures w14:val="standardContextual"/>
        </w:rPr>
        <w:t xml:space="preserve">a) </w:t>
      </w:r>
      <w:r>
        <w:rPr>
          <w:rFonts w:cs="EB Garamond"/>
          <w:b/>
          <w:kern w:val="16"/>
          <w14:ligatures w14:val="standardContextual"/>
        </w:rPr>
        <w:t>Restituição de contribuição indevida com urgência:</w:t>
      </w:r>
      <w:r>
        <w:rPr>
          <w:rFonts w:cs="EB Garamond"/>
          <w:kern w:val="16"/>
          <w14:ligatures w14:val="standardContextual"/>
        </w:rPr>
        <w:t xml:space="preserve"> Quando o segurado demonstra que o recolhimento indevido compromete sua subsistência (aposentado que teve valores descontados indevidamente, por exemplo), pode obter tutela antecipada para suspender os descontos.</w:t>
      </w:r>
    </w:p>
    <w:p w14:paraId="0A31AC45" w14:textId="77777777" w:rsidR="005A5FCC" w:rsidRDefault="00A21C81">
      <w:pPr>
        <w:ind w:firstLine="238"/>
      </w:pPr>
      <w:r>
        <w:rPr>
          <w:rFonts w:cs="EB Garamond"/>
          <w:kern w:val="16"/>
          <w14:ligatures w14:val="standardContextual"/>
        </w:rPr>
        <w:lastRenderedPageBreak/>
        <w:t xml:space="preserve">b) </w:t>
      </w:r>
      <w:r>
        <w:rPr>
          <w:rFonts w:cs="EB Garamond"/>
          <w:b/>
          <w:kern w:val="16"/>
          <w14:ligatures w14:val="standardContextual"/>
        </w:rPr>
        <w:t>Retificação urgente de CNIS:</w:t>
      </w:r>
      <w:r>
        <w:rPr>
          <w:rFonts w:cs="EB Garamond"/>
          <w:kern w:val="16"/>
          <w14:ligatures w14:val="standardContextual"/>
        </w:rPr>
        <w:t xml:space="preserve"> Quando a incorreção no CNIS impede a concessão de benefício já requerido administrativamente. O juiz pode determinar, liminarmente, que o INSS proceda à retificação e analise o benefício com base nos dados corrigidos.</w:t>
      </w:r>
    </w:p>
    <w:p w14:paraId="2EAA7BFB" w14:textId="77777777" w:rsidR="005A5FCC" w:rsidRDefault="00A21C81">
      <w:pPr>
        <w:ind w:firstLine="238"/>
      </w:pPr>
      <w:r>
        <w:rPr>
          <w:rFonts w:cs="EB Garamond"/>
          <w:kern w:val="16"/>
          <w14:ligatures w14:val="standardContextual"/>
        </w:rPr>
        <w:t xml:space="preserve">c) </w:t>
      </w:r>
      <w:r>
        <w:rPr>
          <w:rFonts w:cs="EB Garamond"/>
          <w:b/>
          <w:kern w:val="16"/>
          <w14:ligatures w14:val="standardContextual"/>
        </w:rPr>
        <w:t>Suspensão de cobrança indevida:</w:t>
      </w:r>
      <w:r>
        <w:rPr>
          <w:rFonts w:cs="EB Garamond"/>
          <w:kern w:val="16"/>
          <w14:ligatures w14:val="standardContextual"/>
        </w:rPr>
        <w:t xml:space="preserve"> Segurado que recebe notificação da RFB para pagamento de contribuições supostamente devidas pode buscar no JEF a declaração de inexigibilidade, com pedido de tutela para suspender a cobrança.</w:t>
      </w:r>
    </w:p>
    <w:p w14:paraId="5D630667" w14:textId="77777777" w:rsidR="005A5FCC" w:rsidRDefault="00A21C81">
      <w:pPr>
        <w:ind w:firstLine="238"/>
      </w:pPr>
      <w:r>
        <w:rPr>
          <w:rFonts w:cs="EB Garamond"/>
          <w:kern w:val="16"/>
          <w14:ligatures w14:val="standardContextual"/>
        </w:rPr>
        <w:t>A tutela de urgência em matéria de custeio previdenciário exige cautela redobrada: a irreversibilidade da medida (art. 300, § 3º, CPC) é frequentemente arguida pelo INSS, especialmente em pedidos de restituição em dinheiro. Nesses casos, o juiz pode optar pela tutela cautelar (suspensão da cobrança) em vez da satisfativa (restituição imediata).</w:t>
      </w:r>
    </w:p>
    <w:p w14:paraId="3AF97C6D" w14:textId="77777777" w:rsidR="005A5FCC" w:rsidRDefault="00A21C81">
      <w:pPr>
        <w:spacing w:before="260" w:after="80" w:line="240" w:lineRule="auto"/>
        <w:jc w:val="left"/>
      </w:pPr>
      <w:r>
        <w:rPr>
          <w:rFonts w:cs="EB Garamond"/>
          <w:b/>
          <w:color w:val="3A3128"/>
          <w:kern w:val="16"/>
          <w:sz w:val="25"/>
          <w14:ligatures w14:val="standardContextual"/>
        </w:rPr>
        <w:t>4.22.7 Jurisprudência selecionada: custeio nos JEFs</w:t>
      </w:r>
    </w:p>
    <w:tbl>
      <w:tblPr>
        <w:tblW w:w="5000" w:type="pct"/>
        <w:jc w:val="center"/>
        <w:tblLayout w:type="fixed"/>
        <w:tblLook w:val="04A0" w:firstRow="1" w:lastRow="0" w:firstColumn="1" w:lastColumn="0" w:noHBand="0" w:noVBand="1"/>
      </w:tblPr>
      <w:tblGrid>
        <w:gridCol w:w="6311"/>
      </w:tblGrid>
      <w:tr w:rsidR="005A5FCC" w14:paraId="7E4FDDA6"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102747BA" w14:textId="77777777" w:rsidR="005A5FCC" w:rsidRDefault="00A21C81">
            <w:pPr>
              <w:spacing w:after="60" w:line="240" w:lineRule="auto"/>
              <w:jc w:val="left"/>
            </w:pPr>
            <w:r>
              <w:rPr>
                <w:rFonts w:ascii="Noto Sans" w:hAnsi="Noto Sans" w:cs="Noto Sans"/>
                <w:b/>
                <w:caps/>
                <w:color w:val="4D6F8A"/>
                <w:kern w:val="16"/>
                <w:sz w:val="16"/>
                <w14:ligatures w14:val="standardContextual"/>
              </w:rPr>
              <w:t>JURISPRUDÊNCIA EM DESTAQUE</w:t>
            </w:r>
          </w:p>
          <w:p w14:paraId="4DF77426" w14:textId="77777777" w:rsidR="005A5FCC" w:rsidRDefault="00A21C81">
            <w:pPr>
              <w:spacing w:after="60" w:line="247" w:lineRule="auto"/>
            </w:pPr>
            <w:r>
              <w:rPr>
                <w:rFonts w:cs="EB Garamond"/>
                <w:b/>
                <w:kern w:val="16"/>
                <w:sz w:val="19"/>
                <w14:ligatures w14:val="standardContextual"/>
              </w:rPr>
              <w:t>TNU — Súmula 74 (2016)</w:t>
            </w:r>
          </w:p>
          <w:p w14:paraId="292FBDE2" w14:textId="77777777" w:rsidR="005A5FCC" w:rsidRDefault="00A21C81">
            <w:pPr>
              <w:spacing w:after="60" w:line="247" w:lineRule="auto"/>
            </w:pPr>
            <w:r>
              <w:rPr>
                <w:rFonts w:cs="EB Garamond"/>
                <w:kern w:val="16"/>
                <w:sz w:val="19"/>
                <w14:ligatures w14:val="standardContextual"/>
              </w:rPr>
              <w:t>"Aplica-se o disposto no art. 55, § 3º, da Lei 8.213/91 ao trabalhador rural que exerce atividade em regime de economia familiar, ficando dispensada a comprovação de contribuições para cômputo do período de atividade rural anterior à competência novembro de 1991."</w:t>
            </w:r>
          </w:p>
          <w:p w14:paraId="2794460B" w14:textId="77777777" w:rsidR="005A5FCC" w:rsidRDefault="00A21C81">
            <w:pPr>
              <w:spacing w:after="60" w:line="247" w:lineRule="auto"/>
            </w:pPr>
            <w:r>
              <w:rPr>
                <w:rFonts w:cs="EB Garamond"/>
                <w:b/>
                <w:kern w:val="16"/>
                <w:sz w:val="19"/>
                <w14:ligatures w14:val="standardContextual"/>
              </w:rPr>
              <w:t>Impacto no custeio:</w:t>
            </w:r>
            <w:r>
              <w:rPr>
                <w:rFonts w:cs="EB Garamond"/>
                <w:kern w:val="16"/>
                <w:sz w:val="19"/>
                <w14:ligatures w14:val="standardContextual"/>
              </w:rPr>
              <w:t xml:space="preserve"> O segurado especial (e o trabalhador rural em geral) que comprova atividade anterior a novembro/1991 tem o tempo computado independentemente de qualquer contribuição ou indenização. A atividade comprovada basta. Essa súmula é frequentemente invocada quando o INSS exige indenização para cômputo de período rural antigo, exigência ilegal conforme a Súmula 74.</w:t>
            </w:r>
          </w:p>
        </w:tc>
      </w:tr>
    </w:tbl>
    <w:p w14:paraId="58F71859" w14:textId="77777777" w:rsidR="005A5FCC" w:rsidRDefault="005A5FCC">
      <w:pPr>
        <w:spacing w:after="80" w:line="240" w:lineRule="auto"/>
      </w:pPr>
    </w:p>
    <w:tbl>
      <w:tblPr>
        <w:tblW w:w="5000" w:type="pct"/>
        <w:jc w:val="center"/>
        <w:tblLayout w:type="fixed"/>
        <w:tblLook w:val="04A0" w:firstRow="1" w:lastRow="0" w:firstColumn="1" w:lastColumn="0" w:noHBand="0" w:noVBand="1"/>
      </w:tblPr>
      <w:tblGrid>
        <w:gridCol w:w="6311"/>
      </w:tblGrid>
      <w:tr w:rsidR="005A5FCC" w14:paraId="3ECCAF85"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1A6DEFAB" w14:textId="77777777" w:rsidR="005A5FCC" w:rsidRDefault="00A21C81">
            <w:pPr>
              <w:spacing w:after="60" w:line="240" w:lineRule="auto"/>
              <w:jc w:val="left"/>
            </w:pPr>
            <w:r>
              <w:rPr>
                <w:rFonts w:ascii="Noto Sans" w:hAnsi="Noto Sans" w:cs="Noto Sans"/>
                <w:b/>
                <w:caps/>
                <w:color w:val="4D6F8A"/>
                <w:kern w:val="16"/>
                <w:sz w:val="16"/>
                <w14:ligatures w14:val="standardContextual"/>
              </w:rPr>
              <w:lastRenderedPageBreak/>
              <w:t>JURISPRUDÊNCIA EM DESTAQUE</w:t>
            </w:r>
          </w:p>
          <w:p w14:paraId="069024BA" w14:textId="77777777" w:rsidR="005A5FCC" w:rsidRDefault="00A21C81">
            <w:pPr>
              <w:spacing w:after="60" w:line="247" w:lineRule="auto"/>
            </w:pPr>
            <w:r>
              <w:rPr>
                <w:rFonts w:cs="EB Garamond"/>
                <w:b/>
                <w:kern w:val="16"/>
                <w:sz w:val="19"/>
                <w14:ligatures w14:val="standardContextual"/>
              </w:rPr>
              <w:t>STF — Tema 350 (RE 631.240, j. 03/09/2014)</w:t>
            </w:r>
          </w:p>
          <w:p w14:paraId="62DDB07C" w14:textId="77777777" w:rsidR="005A5FCC" w:rsidRDefault="00A21C81">
            <w:pPr>
              <w:spacing w:after="60" w:line="247" w:lineRule="auto"/>
            </w:pPr>
            <w:r>
              <w:rPr>
                <w:rFonts w:cs="EB Garamond"/>
                <w:b/>
                <w:kern w:val="16"/>
                <w:sz w:val="19"/>
                <w14:ligatures w14:val="standardContextual"/>
              </w:rPr>
              <w:t>Tese:</w:t>
            </w:r>
            <w:r>
              <w:rPr>
                <w:rFonts w:cs="EB Garamond"/>
                <w:kern w:val="16"/>
                <w:sz w:val="19"/>
                <w14:ligatures w14:val="standardContextual"/>
              </w:rPr>
              <w:t xml:space="preserve"> "A concessão de benefícios previdenciários depende de requerimento administrativo prévio junto ao INSS, salvo quando comprovada a resistência notória da autarquia."</w:t>
            </w:r>
          </w:p>
          <w:p w14:paraId="6DC878BC" w14:textId="77777777" w:rsidR="005A5FCC" w:rsidRDefault="00A21C81">
            <w:pPr>
              <w:spacing w:after="60" w:line="247" w:lineRule="auto"/>
            </w:pPr>
            <w:r>
              <w:rPr>
                <w:rFonts w:cs="EB Garamond"/>
                <w:b/>
                <w:kern w:val="16"/>
                <w:sz w:val="19"/>
                <w14:ligatures w14:val="standardContextual"/>
              </w:rPr>
              <w:t>Interface com custeio:</w:t>
            </w:r>
            <w:r>
              <w:rPr>
                <w:rFonts w:cs="EB Garamond"/>
                <w:kern w:val="16"/>
                <w:sz w:val="19"/>
                <w14:ligatures w14:val="standardContextual"/>
              </w:rPr>
              <w:t xml:space="preserve"> O requerimento administrativo é o momento em que o INSS analisa a situação contributiva do segurado. Se o INSS aponta lacunas ou exige indenização na via administrativa, o segurado fica ciente da necessidade de regularização. Sem requerimento prévio, o juiz não tem como avaliar se a controvérsia é real. Exceção: quando o segurado sequer é atendido (sistema indisponível, agência sem vaga) ou quando o INSS já demonstrou resistência à tese em casos idênticos.</w:t>
            </w:r>
          </w:p>
        </w:tc>
      </w:tr>
    </w:tbl>
    <w:p w14:paraId="4D765875" w14:textId="77777777" w:rsidR="005A5FCC" w:rsidRDefault="005A5FCC">
      <w:pPr>
        <w:spacing w:after="80" w:line="240" w:lineRule="auto"/>
      </w:pPr>
    </w:p>
    <w:p w14:paraId="502C63DC" w14:textId="77777777" w:rsidR="005A5FCC" w:rsidRDefault="00A21C81">
      <w:pPr>
        <w:spacing w:before="260" w:after="80" w:line="240" w:lineRule="auto"/>
        <w:jc w:val="left"/>
      </w:pPr>
      <w:r>
        <w:rPr>
          <w:rFonts w:cs="EB Garamond"/>
          <w:b/>
          <w:color w:val="3A3128"/>
          <w:kern w:val="16"/>
          <w:sz w:val="25"/>
          <w14:ligatures w14:val="standardContextual"/>
        </w:rPr>
        <w:t>4.22.8 Cooperativas de trabalho e contribuição previdenciária</w:t>
      </w:r>
    </w:p>
    <w:p w14:paraId="51FFC33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5BF0FC15" w14:textId="77777777" w:rsidR="005A5FCC" w:rsidRDefault="00A21C81">
      <w:r>
        <w:rPr>
          <w:rFonts w:cs="EB Garamond"/>
          <w:kern w:val="16"/>
          <w14:ligatures w14:val="standardContextual"/>
        </w:rPr>
        <w:t>s cooperativas de trabalho geram questões específicas de custeio previdenciário. O cooperado que presta serviço por intermédio de cooperativa de trabalho é contribuinte individual (art. 12, V, g, Lei 8.212/91). A contribuição incide sobre a remuneração efetivamente recebida pelo cooperado.</w:t>
      </w:r>
    </w:p>
    <w:p w14:paraId="47038912" w14:textId="77777777" w:rsidR="005A5FCC" w:rsidRDefault="00A21C81">
      <w:pPr>
        <w:ind w:firstLine="238"/>
      </w:pPr>
      <w:r>
        <w:rPr>
          <w:rFonts w:cs="EB Garamond"/>
          <w:kern w:val="16"/>
          <w14:ligatures w14:val="standardContextual"/>
        </w:rPr>
        <w:t xml:space="preserve">É essencial advertir, de saída, que a contribuição patronal de 15% da empresa tomadora sobre o valor da nota fiscal de cooperativas de trabalho </w:t>
      </w:r>
      <w:r>
        <w:rPr>
          <w:rFonts w:cs="EB Garamond"/>
          <w:b/>
          <w:kern w:val="16"/>
          <w14:ligatures w14:val="standardContextual"/>
        </w:rPr>
        <w:t>não está mais em vigor</w:t>
      </w:r>
      <w:r>
        <w:rPr>
          <w:rFonts w:cs="EB Garamond"/>
          <w:kern w:val="16"/>
          <w14:ligatures w14:val="standardContextual"/>
        </w:rPr>
        <w:t>: o art. 22, IV, da Lei 8.212/91 foi declarado inconstitucional pelo STF no Tema 166 (RE 595.838, j. 23/04/2014), como detalha o box adiante. A descrição que segue tem, pois, valor histórico e serve à compreensão de períodos pretéritos e da ratio do precedente. Antes da declaração de inconstitucionalidade, a empresa tomadora de serviços prestados por cooperativa de trabalho contribuía com 15% sobre o valor bruto da nota fiscal ou fatura de prestação de serviços (art. 22, IV, Lei 8.212/91 — contribuição patronal sobre cooperativa), alíquota que substituía a contribuição patronal de 20% que incidiria se o cooperado fosse contratado como CI diretamente pela empresa.</w:t>
      </w:r>
    </w:p>
    <w:tbl>
      <w:tblPr>
        <w:tblW w:w="5000" w:type="pct"/>
        <w:jc w:val="center"/>
        <w:tblLayout w:type="fixed"/>
        <w:tblLook w:val="04A0" w:firstRow="1" w:lastRow="0" w:firstColumn="1" w:lastColumn="0" w:noHBand="0" w:noVBand="1"/>
      </w:tblPr>
      <w:tblGrid>
        <w:gridCol w:w="6311"/>
      </w:tblGrid>
      <w:tr w:rsidR="005A5FCC" w14:paraId="5B1E3FFB"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6DAE5067" w14:textId="77777777" w:rsidR="005A5FCC" w:rsidRDefault="00A21C81">
            <w:pPr>
              <w:spacing w:after="60" w:line="240" w:lineRule="auto"/>
              <w:jc w:val="left"/>
            </w:pPr>
            <w:r>
              <w:rPr>
                <w:rFonts w:ascii="Noto Sans" w:hAnsi="Noto Sans" w:cs="Noto Sans"/>
                <w:b/>
                <w:caps/>
                <w:color w:val="4D6F8A"/>
                <w:kern w:val="16"/>
                <w:sz w:val="16"/>
                <w14:ligatures w14:val="standardContextual"/>
              </w:rPr>
              <w:lastRenderedPageBreak/>
              <w:t>JURISPRUDÊNCIA EM DESTAQUE</w:t>
            </w:r>
          </w:p>
          <w:p w14:paraId="534F6997" w14:textId="77777777" w:rsidR="005A5FCC" w:rsidRDefault="00A21C81">
            <w:pPr>
              <w:spacing w:after="60" w:line="247" w:lineRule="auto"/>
            </w:pPr>
            <w:r>
              <w:rPr>
                <w:rFonts w:cs="EB Garamond"/>
                <w:b/>
                <w:kern w:val="16"/>
                <w:sz w:val="19"/>
                <w14:ligatures w14:val="standardContextual"/>
              </w:rPr>
              <w:t>STF, RE 595.838 (Tema 166, declaração de inconstitucionalidade parcial)</w:t>
            </w:r>
          </w:p>
          <w:p w14:paraId="2892AE88" w14:textId="77777777" w:rsidR="005A5FCC" w:rsidRDefault="00A21C81">
            <w:pPr>
              <w:spacing w:after="60" w:line="247" w:lineRule="auto"/>
            </w:pPr>
            <w:r>
              <w:rPr>
                <w:rFonts w:cs="EB Garamond"/>
                <w:kern w:val="16"/>
                <w:sz w:val="19"/>
                <w14:ligatures w14:val="standardContextual"/>
              </w:rPr>
              <w:t>O STF, no julgamento do RE 595.838 (Tema 166, j. 23/04/2014), declarou a inconstitucionalidade do art. 22, IV, da Lei 8.212/91 no tocante às cooperativas de trabalho. A contribuição patronal de 15% sobre o valor bruto da nota fiscal de serviços prestados por cooperativas de trabalho foi considerada incompatível com o art. 195, I, a, da CF/88. Para as demais cooperativas de trabalho, a questão requer análise caso a caso à luz da tese fixada.</w:t>
            </w:r>
          </w:p>
          <w:p w14:paraId="1E3E67BB" w14:textId="77777777" w:rsidR="005A5FCC" w:rsidRDefault="00A21C81">
            <w:pPr>
              <w:spacing w:after="60" w:line="247" w:lineRule="auto"/>
            </w:pPr>
            <w:r>
              <w:rPr>
                <w:rFonts w:cs="EB Garamond"/>
                <w:b/>
                <w:kern w:val="16"/>
                <w:sz w:val="19"/>
                <w14:ligatures w14:val="standardContextual"/>
              </w:rPr>
              <w:t>Impacto prático:</w:t>
            </w:r>
            <w:r>
              <w:rPr>
                <w:rFonts w:cs="EB Garamond"/>
                <w:kern w:val="16"/>
                <w:sz w:val="19"/>
                <w14:ligatures w14:val="standardContextual"/>
              </w:rPr>
              <w:t xml:space="preserve"> A tese fixada pelo STF no Tema 166 alcança as cooperativas de trabalho em geral, não apenas as médicas. A contribuição de 15% sobre a nota fiscal de cooperativas de trabalho foi declarada inconstitucional. A questão remanescente é a aplicação da tese às cooperativas de produção, que têm regime distinto.</w:t>
            </w:r>
          </w:p>
        </w:tc>
      </w:tr>
    </w:tbl>
    <w:p w14:paraId="3289723A" w14:textId="77777777" w:rsidR="005A5FCC" w:rsidRDefault="005A5FCC">
      <w:pPr>
        <w:spacing w:after="80" w:line="240" w:lineRule="auto"/>
      </w:pPr>
    </w:p>
    <w:p w14:paraId="5DEFE014"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56744445" w14:textId="77777777" w:rsidR="005A5FCC" w:rsidRDefault="00A21C81">
      <w:r>
        <w:rPr>
          <w:rFonts w:cs="EB Garamond"/>
          <w:kern w:val="16"/>
          <w14:ligatures w14:val="standardContextual"/>
        </w:rPr>
        <w:t xml:space="preserve"> situação do cooperado como segurado é análoga à do CI: deve contribuir com 20% sobre a remuneração (ou 11% pelo plano simplificado, se não presta serviço a empresa). A cooperativa, embora não seja empregadora dos cooperados, pode reter a contribuição dos cooperados e repassar ao INSS, por conveniência operacional, prática prevista no art. 216, § 26-A, do Decreto 3.048/99.</w:t>
      </w:r>
    </w:p>
    <w:p w14:paraId="456BDF36" w14:textId="77777777" w:rsidR="005A5FCC" w:rsidRDefault="00A21C81">
      <w:pPr>
        <w:ind w:firstLine="238"/>
      </w:pPr>
      <w:r>
        <w:rPr>
          <w:rFonts w:cs="EB Garamond"/>
          <w:kern w:val="16"/>
          <w14:ligatures w14:val="standardContextual"/>
        </w:rPr>
        <w:t>Nos JEFs, cooperados frequentemente buscam reconhecimento de vínculo empregatício (descaracterização da relação cooperativa), caso em que as contribuições devem ser recalculadas como se fossem de empregado. A questão é primariamente trabalhista (competência da Justiça do Trabalho), mas repercute na esfera previdenciária quando o cooperado/empregado busca benefício no INSS e o CNIS registra contribuições como CI em vez de empregado.</w:t>
      </w:r>
    </w:p>
    <w:tbl>
      <w:tblPr>
        <w:tblW w:w="5000" w:type="pct"/>
        <w:jc w:val="center"/>
        <w:tblLayout w:type="fixed"/>
        <w:tblLook w:val="04A0" w:firstRow="1" w:lastRow="0" w:firstColumn="1" w:lastColumn="0" w:noHBand="0" w:noVBand="1"/>
      </w:tblPr>
      <w:tblGrid>
        <w:gridCol w:w="6311"/>
      </w:tblGrid>
      <w:tr w:rsidR="005A5FCC" w14:paraId="0FC39810"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565EF3C8" w14:textId="77777777" w:rsidR="005A5FCC" w:rsidRDefault="00A21C81">
            <w:pPr>
              <w:spacing w:after="60" w:line="240" w:lineRule="auto"/>
              <w:jc w:val="left"/>
            </w:pPr>
            <w:r>
              <w:rPr>
                <w:rFonts w:ascii="Noto Sans" w:hAnsi="Noto Sans" w:cs="Noto Sans"/>
                <w:b/>
                <w:caps/>
                <w:color w:val="B78B37"/>
                <w:kern w:val="16"/>
                <w:sz w:val="16"/>
                <w14:ligatures w14:val="standardContextual"/>
              </w:rPr>
              <w:lastRenderedPageBreak/>
              <w:t>ATENÇÃO</w:t>
            </w:r>
          </w:p>
          <w:p w14:paraId="13BB1F58" w14:textId="77777777" w:rsidR="005A5FCC" w:rsidRDefault="00A21C81">
            <w:pPr>
              <w:spacing w:after="60" w:line="247" w:lineRule="auto"/>
            </w:pPr>
            <w:r>
              <w:rPr>
                <w:rFonts w:cs="EB Garamond"/>
                <w:b/>
                <w:kern w:val="16"/>
                <w:sz w:val="19"/>
                <w14:ligatures w14:val="standardContextual"/>
              </w:rPr>
              <w:t>Cooperativa "de fachada": a fraude que descaracteriza o vínculo</w:t>
            </w:r>
          </w:p>
          <w:p w14:paraId="0CAE24B9" w14:textId="77777777" w:rsidR="005A5FCC" w:rsidRDefault="00A21C81">
            <w:pPr>
              <w:spacing w:after="60" w:line="247" w:lineRule="auto"/>
            </w:pPr>
            <w:r>
              <w:rPr>
                <w:rFonts w:cs="EB Garamond"/>
                <w:kern w:val="16"/>
                <w:sz w:val="19"/>
                <w14:ligatures w14:val="standardContextual"/>
              </w:rPr>
              <w:t xml:space="preserve">Algumas empresas constituem cooperativas fictícias para reduzir o custo previdenciário, em vez de contratar empregados (contribuição patronal de 20% + RAT), contratam cooperativa </w:t>
            </w:r>
            <w:commentRangeStart w:id="9"/>
            <w:r>
              <w:rPr>
                <w:rFonts w:cs="EB Garamond"/>
                <w:kern w:val="16"/>
                <w:sz w:val="19"/>
                <w14:ligatures w14:val="standardContextual"/>
              </w:rPr>
              <w:t>(15% sobre NF)</w:t>
            </w:r>
            <w:commentRangeEnd w:id="9"/>
            <w:r w:rsidR="00786894">
              <w:rPr>
                <w:rStyle w:val="Refdecomentrio"/>
                <w:rFonts w:cs="EB Garamond"/>
                <w:kern w:val="16"/>
                <w:sz w:val="19"/>
                <w:szCs w:val="22"/>
                <w14:ligatures w14:val="standardContextual"/>
              </w:rPr>
              <w:commentReference w:id="9"/>
            </w:r>
            <w:r>
              <w:rPr>
                <w:rFonts w:cs="EB Garamond"/>
                <w:kern w:val="16"/>
                <w:sz w:val="19"/>
                <w14:ligatures w14:val="standardContextual"/>
              </w:rPr>
              <w:t>. O vínculo de subordinação, habitualidade e pessoalidade descaracteriza a relação cooperativa e configura fraude trabalhista e previdenciária. Nos JEFs, o segurado pode comprovar a fraude e obter o reconhecimento do vínculo empregatício, com reflexos no cálculo do benefício (salário de contribuição mais elevado como empregado do que como cooperado/CI).</w:t>
            </w:r>
          </w:p>
        </w:tc>
      </w:tr>
    </w:tbl>
    <w:p w14:paraId="5DAD62E5" w14:textId="77777777" w:rsidR="005A5FCC" w:rsidRDefault="005A5FCC">
      <w:pPr>
        <w:spacing w:after="80" w:line="240" w:lineRule="auto"/>
      </w:pPr>
    </w:p>
    <w:p w14:paraId="5FB7D729"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4.23 Síntese e quadro comparativo</w:t>
      </w:r>
    </w:p>
    <w:tbl>
      <w:tblPr>
        <w:tblW w:w="5000" w:type="pct"/>
        <w:jc w:val="center"/>
        <w:tblLayout w:type="fixed"/>
        <w:tblLook w:val="04A0" w:firstRow="1" w:lastRow="0" w:firstColumn="1" w:lastColumn="0" w:noHBand="0" w:noVBand="1"/>
      </w:tblPr>
      <w:tblGrid>
        <w:gridCol w:w="6311"/>
      </w:tblGrid>
      <w:tr w:rsidR="005A5FCC" w14:paraId="120EA562"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2AC63648"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111D41B3" w14:textId="77777777" w:rsidR="005A5FCC" w:rsidRDefault="00A21C81">
            <w:pPr>
              <w:spacing w:after="60" w:line="247" w:lineRule="auto"/>
            </w:pPr>
            <w:r>
              <w:rPr>
                <w:rFonts w:cs="EB Garamond"/>
                <w:b/>
                <w:kern w:val="16"/>
                <w:sz w:val="19"/>
                <w14:ligatures w14:val="standardContextual"/>
              </w:rPr>
              <w:t>Quadro-resumo das contribuições previdenciárias (valores 2026):</w:t>
            </w:r>
          </w:p>
          <w:tbl>
            <w:tblPr>
              <w:tblW w:w="5000" w:type="pct"/>
              <w:jc w:val="center"/>
              <w:tblLook w:val="04A0" w:firstRow="1" w:lastRow="0" w:firstColumn="1" w:lastColumn="0" w:noHBand="0" w:noVBand="1"/>
            </w:tblPr>
            <w:tblGrid>
              <w:gridCol w:w="1181"/>
              <w:gridCol w:w="1180"/>
              <w:gridCol w:w="1180"/>
              <w:gridCol w:w="1180"/>
              <w:gridCol w:w="1180"/>
            </w:tblGrid>
            <w:tr w:rsidR="005A5FCC" w14:paraId="2E75A9AE" w14:textId="77777777">
              <w:trPr>
                <w:tblHeader/>
                <w:jc w:val="center"/>
              </w:trPr>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2A6E25D4" w14:textId="77777777" w:rsidR="005A5FCC" w:rsidRDefault="00A21C81">
                  <w:pPr>
                    <w:spacing w:before="30" w:after="30" w:line="240" w:lineRule="auto"/>
                    <w:jc w:val="center"/>
                  </w:pPr>
                  <w:r>
                    <w:rPr>
                      <w:rFonts w:cs="EB Garamond"/>
                      <w:b/>
                      <w:color w:val="2F2923"/>
                      <w:kern w:val="16"/>
                      <w:sz w:val="16"/>
                      <w14:ligatures w14:val="standardContextual"/>
                    </w:rPr>
                    <w:t>Categoria</w:t>
                  </w:r>
                </w:p>
              </w:tc>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5EADF986" w14:textId="77777777" w:rsidR="005A5FCC" w:rsidRDefault="00A21C81">
                  <w:pPr>
                    <w:spacing w:before="30" w:after="30" w:line="240" w:lineRule="auto"/>
                    <w:jc w:val="center"/>
                  </w:pPr>
                  <w:r>
                    <w:rPr>
                      <w:rFonts w:cs="EB Garamond"/>
                      <w:b/>
                      <w:color w:val="2F2923"/>
                      <w:kern w:val="16"/>
                      <w:sz w:val="16"/>
                      <w14:ligatures w14:val="standardContextual"/>
                    </w:rPr>
                    <w:t>Alíquota</w:t>
                  </w:r>
                </w:p>
              </w:tc>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534A7CC5" w14:textId="77777777" w:rsidR="005A5FCC" w:rsidRDefault="00A21C81">
                  <w:pPr>
                    <w:spacing w:before="30" w:after="30" w:line="240" w:lineRule="auto"/>
                    <w:jc w:val="center"/>
                  </w:pPr>
                  <w:r>
                    <w:rPr>
                      <w:rFonts w:cs="EB Garamond"/>
                      <w:b/>
                      <w:color w:val="2F2923"/>
                      <w:kern w:val="16"/>
                      <w:sz w:val="16"/>
                      <w14:ligatures w14:val="standardContextual"/>
                    </w:rPr>
                    <w:t>Base</w:t>
                  </w:r>
                </w:p>
              </w:tc>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6BA16B67" w14:textId="77777777" w:rsidR="005A5FCC" w:rsidRDefault="00A21C81">
                  <w:pPr>
                    <w:spacing w:before="30" w:after="30" w:line="240" w:lineRule="auto"/>
                    <w:jc w:val="center"/>
                  </w:pPr>
                  <w:r>
                    <w:rPr>
                      <w:rFonts w:cs="EB Garamond"/>
                      <w:b/>
                      <w:color w:val="2F2923"/>
                      <w:kern w:val="16"/>
                      <w:sz w:val="16"/>
                      <w14:ligatures w14:val="standardContextual"/>
                    </w:rPr>
                    <w:t>Valor mensal</w:t>
                  </w:r>
                </w:p>
              </w:tc>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2AA24674" w14:textId="77777777" w:rsidR="005A5FCC" w:rsidRDefault="00A21C81">
                  <w:pPr>
                    <w:spacing w:before="30" w:after="30" w:line="240" w:lineRule="auto"/>
                    <w:jc w:val="center"/>
                  </w:pPr>
                  <w:r>
                    <w:rPr>
                      <w:rFonts w:cs="EB Garamond"/>
                      <w:b/>
                      <w:color w:val="2F2923"/>
                      <w:kern w:val="16"/>
                      <w:sz w:val="16"/>
                      <w14:ligatures w14:val="standardContextual"/>
                    </w:rPr>
                    <w:t>Aposent. TC?</w:t>
                  </w:r>
                </w:p>
              </w:tc>
            </w:tr>
            <w:tr w:rsidR="005A5FCC" w14:paraId="39CCE158"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72FB545F" w14:textId="77777777" w:rsidR="005A5FCC" w:rsidRDefault="00A21C81">
                  <w:pPr>
                    <w:spacing w:before="20" w:after="20" w:line="240" w:lineRule="auto"/>
                    <w:jc w:val="left"/>
                  </w:pPr>
                  <w:r>
                    <w:rPr>
                      <w:rFonts w:cs="EB Garamond"/>
                      <w:kern w:val="16"/>
                      <w:sz w:val="16"/>
                      <w14:ligatures w14:val="standardContextual"/>
                    </w:rPr>
                    <w:t>Empregado (1ª faixa)</w:t>
                  </w:r>
                </w:p>
              </w:tc>
              <w:tc>
                <w:tcPr>
                  <w:tcW w:w="1270" w:type="dxa"/>
                  <w:tcBorders>
                    <w:top w:val="single" w:sz="4" w:space="0" w:color="D2C9B8"/>
                    <w:left w:val="single" w:sz="4" w:space="0" w:color="D2C9B8"/>
                    <w:bottom w:val="single" w:sz="4" w:space="0" w:color="D2C9B8"/>
                    <w:right w:val="single" w:sz="4" w:space="0" w:color="D2C9B8"/>
                  </w:tcBorders>
                </w:tcPr>
                <w:p w14:paraId="2EE0AA63" w14:textId="77777777" w:rsidR="005A5FCC" w:rsidRDefault="00A21C81">
                  <w:pPr>
                    <w:spacing w:before="20" w:after="20" w:line="240" w:lineRule="auto"/>
                    <w:jc w:val="left"/>
                  </w:pPr>
                  <w:r>
                    <w:rPr>
                      <w:rFonts w:cs="EB Garamond"/>
                      <w:kern w:val="16"/>
                      <w:sz w:val="16"/>
                      <w14:ligatures w14:val="standardContextual"/>
                    </w:rPr>
                    <w:t>7,5%</w:t>
                  </w:r>
                </w:p>
              </w:tc>
              <w:tc>
                <w:tcPr>
                  <w:tcW w:w="1270" w:type="dxa"/>
                  <w:tcBorders>
                    <w:top w:val="single" w:sz="4" w:space="0" w:color="D2C9B8"/>
                    <w:left w:val="single" w:sz="4" w:space="0" w:color="D2C9B8"/>
                    <w:bottom w:val="single" w:sz="4" w:space="0" w:color="D2C9B8"/>
                    <w:right w:val="single" w:sz="4" w:space="0" w:color="D2C9B8"/>
                  </w:tcBorders>
                </w:tcPr>
                <w:p w14:paraId="7BF564C3" w14:textId="77777777" w:rsidR="005A5FCC" w:rsidRDefault="00A21C81">
                  <w:pPr>
                    <w:spacing w:before="20" w:after="20" w:line="240" w:lineRule="auto"/>
                    <w:jc w:val="left"/>
                  </w:pPr>
                  <w:r>
                    <w:rPr>
                      <w:rFonts w:cs="EB Garamond"/>
                      <w:kern w:val="16"/>
                      <w:sz w:val="16"/>
                      <w14:ligatures w14:val="standardContextual"/>
                    </w:rPr>
                    <w:t>Até 1 SM</w:t>
                  </w:r>
                </w:p>
              </w:tc>
              <w:tc>
                <w:tcPr>
                  <w:tcW w:w="1270" w:type="dxa"/>
                  <w:tcBorders>
                    <w:top w:val="single" w:sz="4" w:space="0" w:color="D2C9B8"/>
                    <w:left w:val="single" w:sz="4" w:space="0" w:color="D2C9B8"/>
                    <w:bottom w:val="single" w:sz="4" w:space="0" w:color="D2C9B8"/>
                    <w:right w:val="single" w:sz="4" w:space="0" w:color="D2C9B8"/>
                  </w:tcBorders>
                </w:tcPr>
                <w:p w14:paraId="10279404" w14:textId="77777777" w:rsidR="005A5FCC" w:rsidRDefault="00A21C81">
                  <w:pPr>
                    <w:spacing w:before="20" w:after="20" w:line="240" w:lineRule="auto"/>
                    <w:jc w:val="left"/>
                  </w:pPr>
                  <w:r>
                    <w:rPr>
                      <w:rFonts w:cs="EB Garamond"/>
                      <w:kern w:val="16"/>
                      <w:sz w:val="16"/>
                      <w14:ligatures w14:val="standardContextual"/>
                    </w:rPr>
                    <w:t>Até R$ 121,58</w:t>
                  </w:r>
                </w:p>
              </w:tc>
              <w:tc>
                <w:tcPr>
                  <w:tcW w:w="1270" w:type="dxa"/>
                  <w:tcBorders>
                    <w:top w:val="single" w:sz="4" w:space="0" w:color="D2C9B8"/>
                    <w:left w:val="single" w:sz="4" w:space="0" w:color="D2C9B8"/>
                    <w:bottom w:val="single" w:sz="4" w:space="0" w:color="D2C9B8"/>
                    <w:right w:val="single" w:sz="4" w:space="0" w:color="D2C9B8"/>
                  </w:tcBorders>
                </w:tcPr>
                <w:p w14:paraId="596604A4" w14:textId="77777777" w:rsidR="005A5FCC" w:rsidRDefault="00A21C81">
                  <w:pPr>
                    <w:spacing w:before="20" w:after="20" w:line="240" w:lineRule="auto"/>
                    <w:jc w:val="left"/>
                  </w:pPr>
                  <w:r>
                    <w:rPr>
                      <w:rFonts w:cs="EB Garamond"/>
                      <w:kern w:val="16"/>
                      <w:sz w:val="16"/>
                      <w14:ligatures w14:val="standardContextual"/>
                    </w:rPr>
                    <w:t>Sim</w:t>
                  </w:r>
                </w:p>
              </w:tc>
            </w:tr>
            <w:tr w:rsidR="005A5FCC" w14:paraId="2D7E3B8B"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03EDB7AD" w14:textId="77777777" w:rsidR="005A5FCC" w:rsidRDefault="00A21C81">
                  <w:pPr>
                    <w:spacing w:before="20" w:after="20" w:line="240" w:lineRule="auto"/>
                    <w:jc w:val="left"/>
                  </w:pPr>
                  <w:r>
                    <w:rPr>
                      <w:rFonts w:cs="EB Garamond"/>
                      <w:kern w:val="16"/>
                      <w:sz w:val="16"/>
                      <w14:ligatures w14:val="standardContextual"/>
                    </w:rPr>
                    <w:t>Empregado (teto)</w:t>
                  </w:r>
                </w:p>
              </w:tc>
              <w:tc>
                <w:tcPr>
                  <w:tcW w:w="1270" w:type="dxa"/>
                  <w:tcBorders>
                    <w:top w:val="single" w:sz="4" w:space="0" w:color="D2C9B8"/>
                    <w:left w:val="single" w:sz="4" w:space="0" w:color="D2C9B8"/>
                    <w:bottom w:val="single" w:sz="4" w:space="0" w:color="D2C9B8"/>
                    <w:right w:val="single" w:sz="4" w:space="0" w:color="D2C9B8"/>
                  </w:tcBorders>
                </w:tcPr>
                <w:p w14:paraId="51AC1EFE" w14:textId="77777777" w:rsidR="005A5FCC" w:rsidRDefault="00A21C81">
                  <w:pPr>
                    <w:spacing w:before="20" w:after="20" w:line="240" w:lineRule="auto"/>
                    <w:jc w:val="left"/>
                  </w:pPr>
                  <w:r>
                    <w:rPr>
                      <w:rFonts w:cs="EB Garamond"/>
                      <w:kern w:val="16"/>
                      <w:sz w:val="16"/>
                      <w14:ligatures w14:val="standardContextual"/>
                    </w:rPr>
                    <w:t>Efetiva ~11,66%</w:t>
                  </w:r>
                </w:p>
              </w:tc>
              <w:tc>
                <w:tcPr>
                  <w:tcW w:w="1270" w:type="dxa"/>
                  <w:tcBorders>
                    <w:top w:val="single" w:sz="4" w:space="0" w:color="D2C9B8"/>
                    <w:left w:val="single" w:sz="4" w:space="0" w:color="D2C9B8"/>
                    <w:bottom w:val="single" w:sz="4" w:space="0" w:color="D2C9B8"/>
                    <w:right w:val="single" w:sz="4" w:space="0" w:color="D2C9B8"/>
                  </w:tcBorders>
                </w:tcPr>
                <w:p w14:paraId="532DEA7D" w14:textId="77777777" w:rsidR="005A5FCC" w:rsidRDefault="00A21C81">
                  <w:pPr>
                    <w:spacing w:before="20" w:after="20" w:line="240" w:lineRule="auto"/>
                    <w:jc w:val="left"/>
                  </w:pPr>
                  <w:r>
                    <w:rPr>
                      <w:rFonts w:cs="EB Garamond"/>
                      <w:kern w:val="16"/>
                      <w:sz w:val="16"/>
                      <w14:ligatures w14:val="standardContextual"/>
                    </w:rPr>
                    <w:t>Até teto</w:t>
                  </w:r>
                </w:p>
              </w:tc>
              <w:tc>
                <w:tcPr>
                  <w:tcW w:w="1270" w:type="dxa"/>
                  <w:tcBorders>
                    <w:top w:val="single" w:sz="4" w:space="0" w:color="D2C9B8"/>
                    <w:left w:val="single" w:sz="4" w:space="0" w:color="D2C9B8"/>
                    <w:bottom w:val="single" w:sz="4" w:space="0" w:color="D2C9B8"/>
                    <w:right w:val="single" w:sz="4" w:space="0" w:color="D2C9B8"/>
                  </w:tcBorders>
                </w:tcPr>
                <w:p w14:paraId="23898CB0" w14:textId="77777777" w:rsidR="005A5FCC" w:rsidRDefault="00A21C81">
                  <w:pPr>
                    <w:spacing w:before="20" w:after="20" w:line="240" w:lineRule="auto"/>
                    <w:jc w:val="left"/>
                  </w:pPr>
                  <w:r>
                    <w:rPr>
                      <w:rFonts w:cs="EB Garamond"/>
                      <w:kern w:val="16"/>
                      <w:sz w:val="16"/>
                      <w14:ligatures w14:val="standardContextual"/>
                    </w:rPr>
                    <w:t>~R$ 988,10</w:t>
                  </w:r>
                </w:p>
              </w:tc>
              <w:tc>
                <w:tcPr>
                  <w:tcW w:w="1270" w:type="dxa"/>
                  <w:tcBorders>
                    <w:top w:val="single" w:sz="4" w:space="0" w:color="D2C9B8"/>
                    <w:left w:val="single" w:sz="4" w:space="0" w:color="D2C9B8"/>
                    <w:bottom w:val="single" w:sz="4" w:space="0" w:color="D2C9B8"/>
                    <w:right w:val="single" w:sz="4" w:space="0" w:color="D2C9B8"/>
                  </w:tcBorders>
                </w:tcPr>
                <w:p w14:paraId="6EE6F627" w14:textId="77777777" w:rsidR="005A5FCC" w:rsidRDefault="00A21C81">
                  <w:pPr>
                    <w:spacing w:before="20" w:after="20" w:line="240" w:lineRule="auto"/>
                    <w:jc w:val="left"/>
                  </w:pPr>
                  <w:r>
                    <w:rPr>
                      <w:rFonts w:cs="EB Garamond"/>
                      <w:kern w:val="16"/>
                      <w:sz w:val="16"/>
                      <w14:ligatures w14:val="standardContextual"/>
                    </w:rPr>
                    <w:t>Sim</w:t>
                  </w:r>
                </w:p>
              </w:tc>
            </w:tr>
            <w:tr w:rsidR="005A5FCC" w14:paraId="4946522E"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5EBF0342" w14:textId="77777777" w:rsidR="005A5FCC" w:rsidRDefault="00A21C81">
                  <w:pPr>
                    <w:spacing w:before="20" w:after="20" w:line="240" w:lineRule="auto"/>
                    <w:jc w:val="left"/>
                  </w:pPr>
                  <w:r>
                    <w:rPr>
                      <w:rFonts w:cs="EB Garamond"/>
                      <w:kern w:val="16"/>
                      <w:sz w:val="16"/>
                      <w14:ligatures w14:val="standardContextual"/>
                    </w:rPr>
                    <w:t>CI normal</w:t>
                  </w:r>
                </w:p>
              </w:tc>
              <w:tc>
                <w:tcPr>
                  <w:tcW w:w="1270" w:type="dxa"/>
                  <w:tcBorders>
                    <w:top w:val="single" w:sz="4" w:space="0" w:color="D2C9B8"/>
                    <w:left w:val="single" w:sz="4" w:space="0" w:color="D2C9B8"/>
                    <w:bottom w:val="single" w:sz="4" w:space="0" w:color="D2C9B8"/>
                    <w:right w:val="single" w:sz="4" w:space="0" w:color="D2C9B8"/>
                  </w:tcBorders>
                </w:tcPr>
                <w:p w14:paraId="60ECEAEB" w14:textId="77777777" w:rsidR="005A5FCC" w:rsidRDefault="00A21C81">
                  <w:pPr>
                    <w:spacing w:before="20" w:after="20" w:line="240" w:lineRule="auto"/>
                    <w:jc w:val="left"/>
                  </w:pPr>
                  <w:r>
                    <w:rPr>
                      <w:rFonts w:cs="EB Garamond"/>
                      <w:kern w:val="16"/>
                      <w:sz w:val="16"/>
                      <w14:ligatures w14:val="standardContextual"/>
                    </w:rPr>
                    <w:t>20%</w:t>
                  </w:r>
                </w:p>
              </w:tc>
              <w:tc>
                <w:tcPr>
                  <w:tcW w:w="1270" w:type="dxa"/>
                  <w:tcBorders>
                    <w:top w:val="single" w:sz="4" w:space="0" w:color="D2C9B8"/>
                    <w:left w:val="single" w:sz="4" w:space="0" w:color="D2C9B8"/>
                    <w:bottom w:val="single" w:sz="4" w:space="0" w:color="D2C9B8"/>
                    <w:right w:val="single" w:sz="4" w:space="0" w:color="D2C9B8"/>
                  </w:tcBorders>
                </w:tcPr>
                <w:p w14:paraId="7BFD2171" w14:textId="77777777" w:rsidR="005A5FCC" w:rsidRDefault="00A21C81">
                  <w:pPr>
                    <w:spacing w:before="20" w:after="20" w:line="240" w:lineRule="auto"/>
                    <w:jc w:val="left"/>
                  </w:pPr>
                  <w:r>
                    <w:rPr>
                      <w:rFonts w:cs="EB Garamond"/>
                      <w:kern w:val="16"/>
                      <w:sz w:val="16"/>
                      <w14:ligatures w14:val="standardContextual"/>
                    </w:rPr>
                    <w:t>SM a teto</w:t>
                  </w:r>
                </w:p>
              </w:tc>
              <w:tc>
                <w:tcPr>
                  <w:tcW w:w="1270" w:type="dxa"/>
                  <w:tcBorders>
                    <w:top w:val="single" w:sz="4" w:space="0" w:color="D2C9B8"/>
                    <w:left w:val="single" w:sz="4" w:space="0" w:color="D2C9B8"/>
                    <w:bottom w:val="single" w:sz="4" w:space="0" w:color="D2C9B8"/>
                    <w:right w:val="single" w:sz="4" w:space="0" w:color="D2C9B8"/>
                  </w:tcBorders>
                </w:tcPr>
                <w:p w14:paraId="38F8F7B8" w14:textId="77777777" w:rsidR="005A5FCC" w:rsidRDefault="00A21C81">
                  <w:pPr>
                    <w:spacing w:before="20" w:after="20" w:line="240" w:lineRule="auto"/>
                    <w:jc w:val="left"/>
                  </w:pPr>
                  <w:r>
                    <w:rPr>
                      <w:rFonts w:cs="EB Garamond"/>
                      <w:kern w:val="16"/>
                      <w:sz w:val="16"/>
                      <w14:ligatures w14:val="standardContextual"/>
                    </w:rPr>
                    <w:t>R$ 324,20 a R$ 1.695,11</w:t>
                  </w:r>
                </w:p>
              </w:tc>
              <w:tc>
                <w:tcPr>
                  <w:tcW w:w="1270" w:type="dxa"/>
                  <w:tcBorders>
                    <w:top w:val="single" w:sz="4" w:space="0" w:color="D2C9B8"/>
                    <w:left w:val="single" w:sz="4" w:space="0" w:color="D2C9B8"/>
                    <w:bottom w:val="single" w:sz="4" w:space="0" w:color="D2C9B8"/>
                    <w:right w:val="single" w:sz="4" w:space="0" w:color="D2C9B8"/>
                  </w:tcBorders>
                </w:tcPr>
                <w:p w14:paraId="42441780" w14:textId="77777777" w:rsidR="005A5FCC" w:rsidRDefault="00A21C81">
                  <w:pPr>
                    <w:spacing w:before="20" w:after="20" w:line="240" w:lineRule="auto"/>
                    <w:jc w:val="left"/>
                  </w:pPr>
                  <w:r>
                    <w:rPr>
                      <w:rFonts w:cs="EB Garamond"/>
                      <w:kern w:val="16"/>
                      <w:sz w:val="16"/>
                      <w14:ligatures w14:val="standardContextual"/>
                    </w:rPr>
                    <w:t>Sim</w:t>
                  </w:r>
                </w:p>
              </w:tc>
            </w:tr>
            <w:tr w:rsidR="005A5FCC" w14:paraId="5CC45495"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29CB8FE5" w14:textId="77777777" w:rsidR="005A5FCC" w:rsidRDefault="00A21C81">
                  <w:pPr>
                    <w:spacing w:before="20" w:after="20" w:line="240" w:lineRule="auto"/>
                    <w:jc w:val="left"/>
                  </w:pPr>
                  <w:r>
                    <w:rPr>
                      <w:rFonts w:cs="EB Garamond"/>
                      <w:kern w:val="16"/>
                      <w:sz w:val="16"/>
                      <w14:ligatures w14:val="standardContextual"/>
                    </w:rPr>
                    <w:t>CI simplificado</w:t>
                  </w:r>
                </w:p>
              </w:tc>
              <w:tc>
                <w:tcPr>
                  <w:tcW w:w="1270" w:type="dxa"/>
                  <w:tcBorders>
                    <w:top w:val="single" w:sz="4" w:space="0" w:color="D2C9B8"/>
                    <w:left w:val="single" w:sz="4" w:space="0" w:color="D2C9B8"/>
                    <w:bottom w:val="single" w:sz="4" w:space="0" w:color="D2C9B8"/>
                    <w:right w:val="single" w:sz="4" w:space="0" w:color="D2C9B8"/>
                  </w:tcBorders>
                </w:tcPr>
                <w:p w14:paraId="015C0E3A" w14:textId="77777777" w:rsidR="005A5FCC" w:rsidRDefault="00A21C81">
                  <w:pPr>
                    <w:spacing w:before="20" w:after="20" w:line="240" w:lineRule="auto"/>
                    <w:jc w:val="left"/>
                  </w:pPr>
                  <w:r>
                    <w:rPr>
                      <w:rFonts w:cs="EB Garamond"/>
                      <w:kern w:val="16"/>
                      <w:sz w:val="16"/>
                      <w14:ligatures w14:val="standardContextual"/>
                    </w:rPr>
                    <w:t>11%</w:t>
                  </w:r>
                </w:p>
              </w:tc>
              <w:tc>
                <w:tcPr>
                  <w:tcW w:w="1270" w:type="dxa"/>
                  <w:tcBorders>
                    <w:top w:val="single" w:sz="4" w:space="0" w:color="D2C9B8"/>
                    <w:left w:val="single" w:sz="4" w:space="0" w:color="D2C9B8"/>
                    <w:bottom w:val="single" w:sz="4" w:space="0" w:color="D2C9B8"/>
                    <w:right w:val="single" w:sz="4" w:space="0" w:color="D2C9B8"/>
                  </w:tcBorders>
                </w:tcPr>
                <w:p w14:paraId="439A65DE" w14:textId="77777777" w:rsidR="005A5FCC" w:rsidRDefault="00A21C81">
                  <w:pPr>
                    <w:spacing w:before="20" w:after="20" w:line="240" w:lineRule="auto"/>
                    <w:jc w:val="left"/>
                  </w:pPr>
                  <w:r>
                    <w:rPr>
                      <w:rFonts w:cs="EB Garamond"/>
                      <w:kern w:val="16"/>
                      <w:sz w:val="16"/>
                      <w14:ligatures w14:val="standardContextual"/>
                    </w:rPr>
                    <w:t>SM</w:t>
                  </w:r>
                </w:p>
              </w:tc>
              <w:tc>
                <w:tcPr>
                  <w:tcW w:w="1270" w:type="dxa"/>
                  <w:tcBorders>
                    <w:top w:val="single" w:sz="4" w:space="0" w:color="D2C9B8"/>
                    <w:left w:val="single" w:sz="4" w:space="0" w:color="D2C9B8"/>
                    <w:bottom w:val="single" w:sz="4" w:space="0" w:color="D2C9B8"/>
                    <w:right w:val="single" w:sz="4" w:space="0" w:color="D2C9B8"/>
                  </w:tcBorders>
                </w:tcPr>
                <w:p w14:paraId="1542C23B" w14:textId="77777777" w:rsidR="005A5FCC" w:rsidRDefault="00A21C81">
                  <w:pPr>
                    <w:spacing w:before="20" w:after="20" w:line="240" w:lineRule="auto"/>
                    <w:jc w:val="left"/>
                  </w:pPr>
                  <w:r>
                    <w:rPr>
                      <w:rFonts w:cs="EB Garamond"/>
                      <w:kern w:val="16"/>
                      <w:sz w:val="16"/>
                      <w14:ligatures w14:val="standardContextual"/>
                    </w:rPr>
                    <w:t>R$ 178,31</w:t>
                  </w:r>
                </w:p>
              </w:tc>
              <w:tc>
                <w:tcPr>
                  <w:tcW w:w="1270" w:type="dxa"/>
                  <w:tcBorders>
                    <w:top w:val="single" w:sz="4" w:space="0" w:color="D2C9B8"/>
                    <w:left w:val="single" w:sz="4" w:space="0" w:color="D2C9B8"/>
                    <w:bottom w:val="single" w:sz="4" w:space="0" w:color="D2C9B8"/>
                    <w:right w:val="single" w:sz="4" w:space="0" w:color="D2C9B8"/>
                  </w:tcBorders>
                </w:tcPr>
                <w:p w14:paraId="3D220270" w14:textId="77777777" w:rsidR="005A5FCC" w:rsidRDefault="00A21C81">
                  <w:pPr>
                    <w:spacing w:before="20" w:after="20" w:line="240" w:lineRule="auto"/>
                    <w:jc w:val="left"/>
                  </w:pPr>
                  <w:r>
                    <w:rPr>
                      <w:rFonts w:cs="EB Garamond"/>
                      <w:kern w:val="16"/>
                      <w:sz w:val="16"/>
                      <w14:ligatures w14:val="standardContextual"/>
                    </w:rPr>
                    <w:t>Não</w:t>
                  </w:r>
                </w:p>
              </w:tc>
            </w:tr>
            <w:tr w:rsidR="005A5FCC" w14:paraId="79058142"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72EDC66C" w14:textId="77777777" w:rsidR="005A5FCC" w:rsidRDefault="00A21C81">
                  <w:pPr>
                    <w:spacing w:before="20" w:after="20" w:line="240" w:lineRule="auto"/>
                    <w:jc w:val="left"/>
                  </w:pPr>
                  <w:r>
                    <w:rPr>
                      <w:rFonts w:cs="EB Garamond"/>
                      <w:kern w:val="16"/>
                      <w:sz w:val="16"/>
                      <w14:ligatures w14:val="standardContextual"/>
                    </w:rPr>
                    <w:t>CI com retenção</w:t>
                  </w:r>
                </w:p>
              </w:tc>
              <w:tc>
                <w:tcPr>
                  <w:tcW w:w="1270" w:type="dxa"/>
                  <w:tcBorders>
                    <w:top w:val="single" w:sz="4" w:space="0" w:color="D2C9B8"/>
                    <w:left w:val="single" w:sz="4" w:space="0" w:color="D2C9B8"/>
                    <w:bottom w:val="single" w:sz="4" w:space="0" w:color="D2C9B8"/>
                    <w:right w:val="single" w:sz="4" w:space="0" w:color="D2C9B8"/>
                  </w:tcBorders>
                </w:tcPr>
                <w:p w14:paraId="26E20576" w14:textId="77777777" w:rsidR="005A5FCC" w:rsidRDefault="00A21C81">
                  <w:pPr>
                    <w:spacing w:before="20" w:after="20" w:line="240" w:lineRule="auto"/>
                    <w:jc w:val="left"/>
                  </w:pPr>
                  <w:r>
                    <w:rPr>
                      <w:rFonts w:cs="EB Garamond"/>
                      <w:kern w:val="16"/>
                      <w:sz w:val="16"/>
                      <w14:ligatures w14:val="standardContextual"/>
                    </w:rPr>
                    <w:t>20% (11+9)</w:t>
                  </w:r>
                </w:p>
              </w:tc>
              <w:tc>
                <w:tcPr>
                  <w:tcW w:w="1270" w:type="dxa"/>
                  <w:tcBorders>
                    <w:top w:val="single" w:sz="4" w:space="0" w:color="D2C9B8"/>
                    <w:left w:val="single" w:sz="4" w:space="0" w:color="D2C9B8"/>
                    <w:bottom w:val="single" w:sz="4" w:space="0" w:color="D2C9B8"/>
                    <w:right w:val="single" w:sz="4" w:space="0" w:color="D2C9B8"/>
                  </w:tcBorders>
                </w:tcPr>
                <w:p w14:paraId="47F84CD2" w14:textId="77777777" w:rsidR="005A5FCC" w:rsidRDefault="00A21C81">
                  <w:pPr>
                    <w:spacing w:before="20" w:after="20" w:line="240" w:lineRule="auto"/>
                    <w:jc w:val="left"/>
                  </w:pPr>
                  <w:r>
                    <w:rPr>
                      <w:rFonts w:cs="EB Garamond"/>
                      <w:kern w:val="16"/>
                      <w:sz w:val="16"/>
                      <w14:ligatures w14:val="standardContextual"/>
                    </w:rPr>
                    <w:t>Remuneração</w:t>
                  </w:r>
                </w:p>
              </w:tc>
              <w:tc>
                <w:tcPr>
                  <w:tcW w:w="1270" w:type="dxa"/>
                  <w:tcBorders>
                    <w:top w:val="single" w:sz="4" w:space="0" w:color="D2C9B8"/>
                    <w:left w:val="single" w:sz="4" w:space="0" w:color="D2C9B8"/>
                    <w:bottom w:val="single" w:sz="4" w:space="0" w:color="D2C9B8"/>
                    <w:right w:val="single" w:sz="4" w:space="0" w:color="D2C9B8"/>
                  </w:tcBorders>
                </w:tcPr>
                <w:p w14:paraId="1BA7DCAC" w14:textId="77777777" w:rsidR="005A5FCC" w:rsidRDefault="00A21C81">
                  <w:pPr>
                    <w:spacing w:before="20" w:after="20" w:line="240" w:lineRule="auto"/>
                    <w:jc w:val="left"/>
                  </w:pPr>
                  <w:r>
                    <w:rPr>
                      <w:rFonts w:cs="EB Garamond"/>
                      <w:kern w:val="16"/>
                      <w:sz w:val="16"/>
                      <w14:ligatures w14:val="standardContextual"/>
                    </w:rPr>
                    <w:t>Variável</w:t>
                  </w:r>
                </w:p>
              </w:tc>
              <w:tc>
                <w:tcPr>
                  <w:tcW w:w="1270" w:type="dxa"/>
                  <w:tcBorders>
                    <w:top w:val="single" w:sz="4" w:space="0" w:color="D2C9B8"/>
                    <w:left w:val="single" w:sz="4" w:space="0" w:color="D2C9B8"/>
                    <w:bottom w:val="single" w:sz="4" w:space="0" w:color="D2C9B8"/>
                    <w:right w:val="single" w:sz="4" w:space="0" w:color="D2C9B8"/>
                  </w:tcBorders>
                </w:tcPr>
                <w:p w14:paraId="11C977CC" w14:textId="77777777" w:rsidR="005A5FCC" w:rsidRDefault="00A21C81">
                  <w:pPr>
                    <w:spacing w:before="20" w:after="20" w:line="240" w:lineRule="auto"/>
                    <w:jc w:val="left"/>
                  </w:pPr>
                  <w:r>
                    <w:rPr>
                      <w:rFonts w:cs="EB Garamond"/>
                      <w:kern w:val="16"/>
                      <w:sz w:val="16"/>
                      <w14:ligatures w14:val="standardContextual"/>
                    </w:rPr>
                    <w:t>Sim</w:t>
                  </w:r>
                </w:p>
              </w:tc>
            </w:tr>
            <w:tr w:rsidR="005A5FCC" w14:paraId="26200FA8"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633CAB00" w14:textId="77777777" w:rsidR="005A5FCC" w:rsidRDefault="00A21C81">
                  <w:pPr>
                    <w:spacing w:before="20" w:after="20" w:line="240" w:lineRule="auto"/>
                    <w:jc w:val="left"/>
                  </w:pPr>
                  <w:r>
                    <w:rPr>
                      <w:rFonts w:cs="EB Garamond"/>
                      <w:kern w:val="16"/>
                      <w:sz w:val="16"/>
                      <w14:ligatures w14:val="standardContextual"/>
                    </w:rPr>
                    <w:t>Facultativo normal</w:t>
                  </w:r>
                </w:p>
              </w:tc>
              <w:tc>
                <w:tcPr>
                  <w:tcW w:w="1270" w:type="dxa"/>
                  <w:tcBorders>
                    <w:top w:val="single" w:sz="4" w:space="0" w:color="D2C9B8"/>
                    <w:left w:val="single" w:sz="4" w:space="0" w:color="D2C9B8"/>
                    <w:bottom w:val="single" w:sz="4" w:space="0" w:color="D2C9B8"/>
                    <w:right w:val="single" w:sz="4" w:space="0" w:color="D2C9B8"/>
                  </w:tcBorders>
                </w:tcPr>
                <w:p w14:paraId="2978F9BD" w14:textId="77777777" w:rsidR="005A5FCC" w:rsidRDefault="00A21C81">
                  <w:pPr>
                    <w:spacing w:before="20" w:after="20" w:line="240" w:lineRule="auto"/>
                    <w:jc w:val="left"/>
                  </w:pPr>
                  <w:r>
                    <w:rPr>
                      <w:rFonts w:cs="EB Garamond"/>
                      <w:kern w:val="16"/>
                      <w:sz w:val="16"/>
                      <w14:ligatures w14:val="standardContextual"/>
                    </w:rPr>
                    <w:t>20%</w:t>
                  </w:r>
                </w:p>
              </w:tc>
              <w:tc>
                <w:tcPr>
                  <w:tcW w:w="1270" w:type="dxa"/>
                  <w:tcBorders>
                    <w:top w:val="single" w:sz="4" w:space="0" w:color="D2C9B8"/>
                    <w:left w:val="single" w:sz="4" w:space="0" w:color="D2C9B8"/>
                    <w:bottom w:val="single" w:sz="4" w:space="0" w:color="D2C9B8"/>
                    <w:right w:val="single" w:sz="4" w:space="0" w:color="D2C9B8"/>
                  </w:tcBorders>
                </w:tcPr>
                <w:p w14:paraId="2111A03A" w14:textId="77777777" w:rsidR="005A5FCC" w:rsidRDefault="00A21C81">
                  <w:pPr>
                    <w:spacing w:before="20" w:after="20" w:line="240" w:lineRule="auto"/>
                    <w:jc w:val="left"/>
                  </w:pPr>
                  <w:r>
                    <w:rPr>
                      <w:rFonts w:cs="EB Garamond"/>
                      <w:kern w:val="16"/>
                      <w:sz w:val="16"/>
                      <w14:ligatures w14:val="standardContextual"/>
                    </w:rPr>
                    <w:t>SM a teto</w:t>
                  </w:r>
                </w:p>
              </w:tc>
              <w:tc>
                <w:tcPr>
                  <w:tcW w:w="1270" w:type="dxa"/>
                  <w:tcBorders>
                    <w:top w:val="single" w:sz="4" w:space="0" w:color="D2C9B8"/>
                    <w:left w:val="single" w:sz="4" w:space="0" w:color="D2C9B8"/>
                    <w:bottom w:val="single" w:sz="4" w:space="0" w:color="D2C9B8"/>
                    <w:right w:val="single" w:sz="4" w:space="0" w:color="D2C9B8"/>
                  </w:tcBorders>
                </w:tcPr>
                <w:p w14:paraId="3C3C9F5F" w14:textId="77777777" w:rsidR="005A5FCC" w:rsidRDefault="00A21C81">
                  <w:pPr>
                    <w:spacing w:before="20" w:after="20" w:line="240" w:lineRule="auto"/>
                    <w:jc w:val="left"/>
                  </w:pPr>
                  <w:r>
                    <w:rPr>
                      <w:rFonts w:cs="EB Garamond"/>
                      <w:kern w:val="16"/>
                      <w:sz w:val="16"/>
                      <w14:ligatures w14:val="standardContextual"/>
                    </w:rPr>
                    <w:t>R$ 324,20 a R$ 1.695,11</w:t>
                  </w:r>
                </w:p>
              </w:tc>
              <w:tc>
                <w:tcPr>
                  <w:tcW w:w="1270" w:type="dxa"/>
                  <w:tcBorders>
                    <w:top w:val="single" w:sz="4" w:space="0" w:color="D2C9B8"/>
                    <w:left w:val="single" w:sz="4" w:space="0" w:color="D2C9B8"/>
                    <w:bottom w:val="single" w:sz="4" w:space="0" w:color="D2C9B8"/>
                    <w:right w:val="single" w:sz="4" w:space="0" w:color="D2C9B8"/>
                  </w:tcBorders>
                </w:tcPr>
                <w:p w14:paraId="7CBAD23B" w14:textId="77777777" w:rsidR="005A5FCC" w:rsidRDefault="00A21C81">
                  <w:pPr>
                    <w:spacing w:before="20" w:after="20" w:line="240" w:lineRule="auto"/>
                    <w:jc w:val="left"/>
                  </w:pPr>
                  <w:r>
                    <w:rPr>
                      <w:rFonts w:cs="EB Garamond"/>
                      <w:kern w:val="16"/>
                      <w:sz w:val="16"/>
                      <w14:ligatures w14:val="standardContextual"/>
                    </w:rPr>
                    <w:t>Sim</w:t>
                  </w:r>
                </w:p>
              </w:tc>
            </w:tr>
            <w:tr w:rsidR="005A5FCC" w14:paraId="42EBDF00"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37055B00" w14:textId="77777777" w:rsidR="005A5FCC" w:rsidRDefault="00A21C81">
                  <w:pPr>
                    <w:spacing w:before="20" w:after="20" w:line="240" w:lineRule="auto"/>
                    <w:jc w:val="left"/>
                  </w:pPr>
                  <w:r>
                    <w:rPr>
                      <w:rFonts w:cs="EB Garamond"/>
                      <w:kern w:val="16"/>
                      <w:sz w:val="16"/>
                      <w14:ligatures w14:val="standardContextual"/>
                    </w:rPr>
                    <w:t>Facultativo simpl.</w:t>
                  </w:r>
                </w:p>
              </w:tc>
              <w:tc>
                <w:tcPr>
                  <w:tcW w:w="1270" w:type="dxa"/>
                  <w:tcBorders>
                    <w:top w:val="single" w:sz="4" w:space="0" w:color="D2C9B8"/>
                    <w:left w:val="single" w:sz="4" w:space="0" w:color="D2C9B8"/>
                    <w:bottom w:val="single" w:sz="4" w:space="0" w:color="D2C9B8"/>
                    <w:right w:val="single" w:sz="4" w:space="0" w:color="D2C9B8"/>
                  </w:tcBorders>
                </w:tcPr>
                <w:p w14:paraId="6380E6F7" w14:textId="77777777" w:rsidR="005A5FCC" w:rsidRDefault="00A21C81">
                  <w:pPr>
                    <w:spacing w:before="20" w:after="20" w:line="240" w:lineRule="auto"/>
                    <w:jc w:val="left"/>
                  </w:pPr>
                  <w:r>
                    <w:rPr>
                      <w:rFonts w:cs="EB Garamond"/>
                      <w:kern w:val="16"/>
                      <w:sz w:val="16"/>
                      <w14:ligatures w14:val="standardContextual"/>
                    </w:rPr>
                    <w:t>11%</w:t>
                  </w:r>
                </w:p>
              </w:tc>
              <w:tc>
                <w:tcPr>
                  <w:tcW w:w="1270" w:type="dxa"/>
                  <w:tcBorders>
                    <w:top w:val="single" w:sz="4" w:space="0" w:color="D2C9B8"/>
                    <w:left w:val="single" w:sz="4" w:space="0" w:color="D2C9B8"/>
                    <w:bottom w:val="single" w:sz="4" w:space="0" w:color="D2C9B8"/>
                    <w:right w:val="single" w:sz="4" w:space="0" w:color="D2C9B8"/>
                  </w:tcBorders>
                </w:tcPr>
                <w:p w14:paraId="63297502" w14:textId="77777777" w:rsidR="005A5FCC" w:rsidRDefault="00A21C81">
                  <w:pPr>
                    <w:spacing w:before="20" w:after="20" w:line="240" w:lineRule="auto"/>
                    <w:jc w:val="left"/>
                  </w:pPr>
                  <w:r>
                    <w:rPr>
                      <w:rFonts w:cs="EB Garamond"/>
                      <w:kern w:val="16"/>
                      <w:sz w:val="16"/>
                      <w14:ligatures w14:val="standardContextual"/>
                    </w:rPr>
                    <w:t>SM</w:t>
                  </w:r>
                </w:p>
              </w:tc>
              <w:tc>
                <w:tcPr>
                  <w:tcW w:w="1270" w:type="dxa"/>
                  <w:tcBorders>
                    <w:top w:val="single" w:sz="4" w:space="0" w:color="D2C9B8"/>
                    <w:left w:val="single" w:sz="4" w:space="0" w:color="D2C9B8"/>
                    <w:bottom w:val="single" w:sz="4" w:space="0" w:color="D2C9B8"/>
                    <w:right w:val="single" w:sz="4" w:space="0" w:color="D2C9B8"/>
                  </w:tcBorders>
                </w:tcPr>
                <w:p w14:paraId="487AC16A" w14:textId="77777777" w:rsidR="005A5FCC" w:rsidRDefault="00A21C81">
                  <w:pPr>
                    <w:spacing w:before="20" w:after="20" w:line="240" w:lineRule="auto"/>
                    <w:jc w:val="left"/>
                  </w:pPr>
                  <w:r>
                    <w:rPr>
                      <w:rFonts w:cs="EB Garamond"/>
                      <w:kern w:val="16"/>
                      <w:sz w:val="16"/>
                      <w14:ligatures w14:val="standardContextual"/>
                    </w:rPr>
                    <w:t>R$ 178,31</w:t>
                  </w:r>
                </w:p>
              </w:tc>
              <w:tc>
                <w:tcPr>
                  <w:tcW w:w="1270" w:type="dxa"/>
                  <w:tcBorders>
                    <w:top w:val="single" w:sz="4" w:space="0" w:color="D2C9B8"/>
                    <w:left w:val="single" w:sz="4" w:space="0" w:color="D2C9B8"/>
                    <w:bottom w:val="single" w:sz="4" w:space="0" w:color="D2C9B8"/>
                    <w:right w:val="single" w:sz="4" w:space="0" w:color="D2C9B8"/>
                  </w:tcBorders>
                </w:tcPr>
                <w:p w14:paraId="285AEABB" w14:textId="77777777" w:rsidR="005A5FCC" w:rsidRDefault="00A21C81">
                  <w:pPr>
                    <w:spacing w:before="20" w:after="20" w:line="240" w:lineRule="auto"/>
                    <w:jc w:val="left"/>
                  </w:pPr>
                  <w:r>
                    <w:rPr>
                      <w:rFonts w:cs="EB Garamond"/>
                      <w:kern w:val="16"/>
                      <w:sz w:val="16"/>
                      <w14:ligatures w14:val="standardContextual"/>
                    </w:rPr>
                    <w:t>Não</w:t>
                  </w:r>
                </w:p>
              </w:tc>
            </w:tr>
            <w:tr w:rsidR="005A5FCC" w14:paraId="262B2EDE"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6DD6DF62" w14:textId="77777777" w:rsidR="005A5FCC" w:rsidRDefault="00A21C81">
                  <w:pPr>
                    <w:spacing w:before="20" w:after="20" w:line="240" w:lineRule="auto"/>
                    <w:jc w:val="left"/>
                  </w:pPr>
                  <w:r>
                    <w:rPr>
                      <w:rFonts w:cs="EB Garamond"/>
                      <w:kern w:val="16"/>
                      <w:sz w:val="16"/>
                      <w14:ligatures w14:val="standardContextual"/>
                    </w:rPr>
                    <w:t>Facultativo baixa renda</w:t>
                  </w:r>
                </w:p>
              </w:tc>
              <w:tc>
                <w:tcPr>
                  <w:tcW w:w="1270" w:type="dxa"/>
                  <w:tcBorders>
                    <w:top w:val="single" w:sz="4" w:space="0" w:color="D2C9B8"/>
                    <w:left w:val="single" w:sz="4" w:space="0" w:color="D2C9B8"/>
                    <w:bottom w:val="single" w:sz="4" w:space="0" w:color="D2C9B8"/>
                    <w:right w:val="single" w:sz="4" w:space="0" w:color="D2C9B8"/>
                  </w:tcBorders>
                </w:tcPr>
                <w:p w14:paraId="6744B161" w14:textId="77777777" w:rsidR="005A5FCC" w:rsidRDefault="00A21C81">
                  <w:pPr>
                    <w:spacing w:before="20" w:after="20" w:line="240" w:lineRule="auto"/>
                    <w:jc w:val="left"/>
                  </w:pPr>
                  <w:r>
                    <w:rPr>
                      <w:rFonts w:cs="EB Garamond"/>
                      <w:kern w:val="16"/>
                      <w:sz w:val="16"/>
                      <w14:ligatures w14:val="standardContextual"/>
                    </w:rPr>
                    <w:t>5%</w:t>
                  </w:r>
                </w:p>
              </w:tc>
              <w:tc>
                <w:tcPr>
                  <w:tcW w:w="1270" w:type="dxa"/>
                  <w:tcBorders>
                    <w:top w:val="single" w:sz="4" w:space="0" w:color="D2C9B8"/>
                    <w:left w:val="single" w:sz="4" w:space="0" w:color="D2C9B8"/>
                    <w:bottom w:val="single" w:sz="4" w:space="0" w:color="D2C9B8"/>
                    <w:right w:val="single" w:sz="4" w:space="0" w:color="D2C9B8"/>
                  </w:tcBorders>
                </w:tcPr>
                <w:p w14:paraId="5155BCF7" w14:textId="77777777" w:rsidR="005A5FCC" w:rsidRDefault="00A21C81">
                  <w:pPr>
                    <w:spacing w:before="20" w:after="20" w:line="240" w:lineRule="auto"/>
                    <w:jc w:val="left"/>
                  </w:pPr>
                  <w:r>
                    <w:rPr>
                      <w:rFonts w:cs="EB Garamond"/>
                      <w:kern w:val="16"/>
                      <w:sz w:val="16"/>
                      <w14:ligatures w14:val="standardContextual"/>
                    </w:rPr>
                    <w:t>SM</w:t>
                  </w:r>
                </w:p>
              </w:tc>
              <w:tc>
                <w:tcPr>
                  <w:tcW w:w="1270" w:type="dxa"/>
                  <w:tcBorders>
                    <w:top w:val="single" w:sz="4" w:space="0" w:color="D2C9B8"/>
                    <w:left w:val="single" w:sz="4" w:space="0" w:color="D2C9B8"/>
                    <w:bottom w:val="single" w:sz="4" w:space="0" w:color="D2C9B8"/>
                    <w:right w:val="single" w:sz="4" w:space="0" w:color="D2C9B8"/>
                  </w:tcBorders>
                </w:tcPr>
                <w:p w14:paraId="613F2AB1" w14:textId="77777777" w:rsidR="005A5FCC" w:rsidRDefault="00A21C81">
                  <w:pPr>
                    <w:spacing w:before="20" w:after="20" w:line="240" w:lineRule="auto"/>
                    <w:jc w:val="left"/>
                  </w:pPr>
                  <w:r>
                    <w:rPr>
                      <w:rFonts w:cs="EB Garamond"/>
                      <w:kern w:val="16"/>
                      <w:sz w:val="16"/>
                      <w14:ligatures w14:val="standardContextual"/>
                    </w:rPr>
                    <w:t>R$ 81,05</w:t>
                  </w:r>
                </w:p>
              </w:tc>
              <w:tc>
                <w:tcPr>
                  <w:tcW w:w="1270" w:type="dxa"/>
                  <w:tcBorders>
                    <w:top w:val="single" w:sz="4" w:space="0" w:color="D2C9B8"/>
                    <w:left w:val="single" w:sz="4" w:space="0" w:color="D2C9B8"/>
                    <w:bottom w:val="single" w:sz="4" w:space="0" w:color="D2C9B8"/>
                    <w:right w:val="single" w:sz="4" w:space="0" w:color="D2C9B8"/>
                  </w:tcBorders>
                </w:tcPr>
                <w:p w14:paraId="4F55B5C5" w14:textId="77777777" w:rsidR="005A5FCC" w:rsidRDefault="00A21C81">
                  <w:pPr>
                    <w:spacing w:before="20" w:after="20" w:line="240" w:lineRule="auto"/>
                    <w:jc w:val="left"/>
                  </w:pPr>
                  <w:r>
                    <w:rPr>
                      <w:rFonts w:cs="EB Garamond"/>
                      <w:kern w:val="16"/>
                      <w:sz w:val="16"/>
                      <w14:ligatures w14:val="standardContextual"/>
                    </w:rPr>
                    <w:t>Não</w:t>
                  </w:r>
                </w:p>
              </w:tc>
            </w:tr>
            <w:tr w:rsidR="005A5FCC" w14:paraId="5F50FA1A"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61B1CE7E" w14:textId="77777777" w:rsidR="005A5FCC" w:rsidRDefault="00A21C81">
                  <w:pPr>
                    <w:spacing w:before="20" w:after="20" w:line="240" w:lineRule="auto"/>
                    <w:jc w:val="left"/>
                  </w:pPr>
                  <w:r>
                    <w:rPr>
                      <w:rFonts w:cs="EB Garamond"/>
                      <w:kern w:val="16"/>
                      <w:sz w:val="16"/>
                      <w14:ligatures w14:val="standardContextual"/>
                    </w:rPr>
                    <w:t>MEI</w:t>
                  </w:r>
                </w:p>
              </w:tc>
              <w:tc>
                <w:tcPr>
                  <w:tcW w:w="1270" w:type="dxa"/>
                  <w:tcBorders>
                    <w:top w:val="single" w:sz="4" w:space="0" w:color="D2C9B8"/>
                    <w:left w:val="single" w:sz="4" w:space="0" w:color="D2C9B8"/>
                    <w:bottom w:val="single" w:sz="4" w:space="0" w:color="D2C9B8"/>
                    <w:right w:val="single" w:sz="4" w:space="0" w:color="D2C9B8"/>
                  </w:tcBorders>
                </w:tcPr>
                <w:p w14:paraId="7D4B9B6D" w14:textId="77777777" w:rsidR="005A5FCC" w:rsidRDefault="00A21C81">
                  <w:pPr>
                    <w:spacing w:before="20" w:after="20" w:line="240" w:lineRule="auto"/>
                    <w:jc w:val="left"/>
                  </w:pPr>
                  <w:r>
                    <w:rPr>
                      <w:rFonts w:cs="EB Garamond"/>
                      <w:kern w:val="16"/>
                      <w:sz w:val="16"/>
                      <w14:ligatures w14:val="standardContextual"/>
                    </w:rPr>
                    <w:t>5%</w:t>
                  </w:r>
                </w:p>
              </w:tc>
              <w:tc>
                <w:tcPr>
                  <w:tcW w:w="1270" w:type="dxa"/>
                  <w:tcBorders>
                    <w:top w:val="single" w:sz="4" w:space="0" w:color="D2C9B8"/>
                    <w:left w:val="single" w:sz="4" w:space="0" w:color="D2C9B8"/>
                    <w:bottom w:val="single" w:sz="4" w:space="0" w:color="D2C9B8"/>
                    <w:right w:val="single" w:sz="4" w:space="0" w:color="D2C9B8"/>
                  </w:tcBorders>
                </w:tcPr>
                <w:p w14:paraId="589694C4" w14:textId="77777777" w:rsidR="005A5FCC" w:rsidRDefault="00A21C81">
                  <w:pPr>
                    <w:spacing w:before="20" w:after="20" w:line="240" w:lineRule="auto"/>
                    <w:jc w:val="left"/>
                  </w:pPr>
                  <w:r>
                    <w:rPr>
                      <w:rFonts w:cs="EB Garamond"/>
                      <w:kern w:val="16"/>
                      <w:sz w:val="16"/>
                      <w14:ligatures w14:val="standardContextual"/>
                    </w:rPr>
                    <w:t>SM</w:t>
                  </w:r>
                </w:p>
              </w:tc>
              <w:tc>
                <w:tcPr>
                  <w:tcW w:w="1270" w:type="dxa"/>
                  <w:tcBorders>
                    <w:top w:val="single" w:sz="4" w:space="0" w:color="D2C9B8"/>
                    <w:left w:val="single" w:sz="4" w:space="0" w:color="D2C9B8"/>
                    <w:bottom w:val="single" w:sz="4" w:space="0" w:color="D2C9B8"/>
                    <w:right w:val="single" w:sz="4" w:space="0" w:color="D2C9B8"/>
                  </w:tcBorders>
                </w:tcPr>
                <w:p w14:paraId="23D5F9E6" w14:textId="77777777" w:rsidR="005A5FCC" w:rsidRDefault="00A21C81">
                  <w:pPr>
                    <w:spacing w:before="20" w:after="20" w:line="240" w:lineRule="auto"/>
                    <w:jc w:val="left"/>
                  </w:pPr>
                  <w:r>
                    <w:rPr>
                      <w:rFonts w:cs="EB Garamond"/>
                      <w:kern w:val="16"/>
                      <w:sz w:val="16"/>
                      <w14:ligatures w14:val="standardContextual"/>
                    </w:rPr>
                    <w:t>R$ 81,05</w:t>
                  </w:r>
                </w:p>
              </w:tc>
              <w:tc>
                <w:tcPr>
                  <w:tcW w:w="1270" w:type="dxa"/>
                  <w:tcBorders>
                    <w:top w:val="single" w:sz="4" w:space="0" w:color="D2C9B8"/>
                    <w:left w:val="single" w:sz="4" w:space="0" w:color="D2C9B8"/>
                    <w:bottom w:val="single" w:sz="4" w:space="0" w:color="D2C9B8"/>
                    <w:right w:val="single" w:sz="4" w:space="0" w:color="D2C9B8"/>
                  </w:tcBorders>
                </w:tcPr>
                <w:p w14:paraId="62E0A619" w14:textId="77777777" w:rsidR="005A5FCC" w:rsidRDefault="00A21C81">
                  <w:pPr>
                    <w:spacing w:before="20" w:after="20" w:line="240" w:lineRule="auto"/>
                    <w:jc w:val="left"/>
                  </w:pPr>
                  <w:r>
                    <w:rPr>
                      <w:rFonts w:cs="EB Garamond"/>
                      <w:kern w:val="16"/>
                      <w:sz w:val="16"/>
                      <w14:ligatures w14:val="standardContextual"/>
                    </w:rPr>
                    <w:t>Não</w:t>
                  </w:r>
                </w:p>
              </w:tc>
            </w:tr>
            <w:tr w:rsidR="005A5FCC" w14:paraId="53B57CD5"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40979C4D" w14:textId="77777777" w:rsidR="005A5FCC" w:rsidRDefault="00A21C81">
                  <w:pPr>
                    <w:spacing w:before="20" w:after="20" w:line="240" w:lineRule="auto"/>
                    <w:jc w:val="left"/>
                  </w:pPr>
                  <w:r>
                    <w:rPr>
                      <w:rFonts w:cs="EB Garamond"/>
                      <w:kern w:val="16"/>
                      <w:sz w:val="16"/>
                      <w14:ligatures w14:val="standardContextual"/>
                    </w:rPr>
                    <w:t>MEI caminhoneiro</w:t>
                  </w:r>
                </w:p>
              </w:tc>
              <w:tc>
                <w:tcPr>
                  <w:tcW w:w="1270" w:type="dxa"/>
                  <w:tcBorders>
                    <w:top w:val="single" w:sz="4" w:space="0" w:color="D2C9B8"/>
                    <w:left w:val="single" w:sz="4" w:space="0" w:color="D2C9B8"/>
                    <w:bottom w:val="single" w:sz="4" w:space="0" w:color="D2C9B8"/>
                    <w:right w:val="single" w:sz="4" w:space="0" w:color="D2C9B8"/>
                  </w:tcBorders>
                </w:tcPr>
                <w:p w14:paraId="1353FC2F" w14:textId="77777777" w:rsidR="005A5FCC" w:rsidRDefault="00A21C81">
                  <w:pPr>
                    <w:spacing w:before="20" w:after="20" w:line="240" w:lineRule="auto"/>
                    <w:jc w:val="left"/>
                  </w:pPr>
                  <w:r>
                    <w:rPr>
                      <w:rFonts w:cs="EB Garamond"/>
                      <w:kern w:val="16"/>
                      <w:sz w:val="16"/>
                      <w14:ligatures w14:val="standardContextual"/>
                    </w:rPr>
                    <w:t>12%</w:t>
                  </w:r>
                </w:p>
              </w:tc>
              <w:tc>
                <w:tcPr>
                  <w:tcW w:w="1270" w:type="dxa"/>
                  <w:tcBorders>
                    <w:top w:val="single" w:sz="4" w:space="0" w:color="D2C9B8"/>
                    <w:left w:val="single" w:sz="4" w:space="0" w:color="D2C9B8"/>
                    <w:bottom w:val="single" w:sz="4" w:space="0" w:color="D2C9B8"/>
                    <w:right w:val="single" w:sz="4" w:space="0" w:color="D2C9B8"/>
                  </w:tcBorders>
                </w:tcPr>
                <w:p w14:paraId="17FE521F" w14:textId="77777777" w:rsidR="005A5FCC" w:rsidRDefault="00A21C81">
                  <w:pPr>
                    <w:spacing w:before="20" w:after="20" w:line="240" w:lineRule="auto"/>
                    <w:jc w:val="left"/>
                  </w:pPr>
                  <w:r>
                    <w:rPr>
                      <w:rFonts w:cs="EB Garamond"/>
                      <w:kern w:val="16"/>
                      <w:sz w:val="16"/>
                      <w14:ligatures w14:val="standardContextual"/>
                    </w:rPr>
                    <w:t>SM</w:t>
                  </w:r>
                </w:p>
              </w:tc>
              <w:tc>
                <w:tcPr>
                  <w:tcW w:w="1270" w:type="dxa"/>
                  <w:tcBorders>
                    <w:top w:val="single" w:sz="4" w:space="0" w:color="D2C9B8"/>
                    <w:left w:val="single" w:sz="4" w:space="0" w:color="D2C9B8"/>
                    <w:bottom w:val="single" w:sz="4" w:space="0" w:color="D2C9B8"/>
                    <w:right w:val="single" w:sz="4" w:space="0" w:color="D2C9B8"/>
                  </w:tcBorders>
                </w:tcPr>
                <w:p w14:paraId="12A127D6" w14:textId="77777777" w:rsidR="005A5FCC" w:rsidRDefault="00A21C81">
                  <w:pPr>
                    <w:spacing w:before="20" w:after="20" w:line="240" w:lineRule="auto"/>
                    <w:jc w:val="left"/>
                  </w:pPr>
                  <w:r>
                    <w:rPr>
                      <w:rFonts w:cs="EB Garamond"/>
                      <w:kern w:val="16"/>
                      <w:sz w:val="16"/>
                      <w14:ligatures w14:val="standardContextual"/>
                    </w:rPr>
                    <w:t>R$ 194,52</w:t>
                  </w:r>
                </w:p>
              </w:tc>
              <w:tc>
                <w:tcPr>
                  <w:tcW w:w="1270" w:type="dxa"/>
                  <w:tcBorders>
                    <w:top w:val="single" w:sz="4" w:space="0" w:color="D2C9B8"/>
                    <w:left w:val="single" w:sz="4" w:space="0" w:color="D2C9B8"/>
                    <w:bottom w:val="single" w:sz="4" w:space="0" w:color="D2C9B8"/>
                    <w:right w:val="single" w:sz="4" w:space="0" w:color="D2C9B8"/>
                  </w:tcBorders>
                </w:tcPr>
                <w:p w14:paraId="4B81F58A" w14:textId="77777777" w:rsidR="005A5FCC" w:rsidRDefault="00A21C81">
                  <w:pPr>
                    <w:spacing w:before="20" w:after="20" w:line="240" w:lineRule="auto"/>
                    <w:jc w:val="left"/>
                  </w:pPr>
                  <w:r>
                    <w:rPr>
                      <w:rFonts w:cs="EB Garamond"/>
                      <w:kern w:val="16"/>
                      <w:sz w:val="16"/>
                      <w14:ligatures w14:val="standardContextual"/>
                    </w:rPr>
                    <w:t>Não*</w:t>
                  </w:r>
                </w:p>
              </w:tc>
            </w:tr>
            <w:tr w:rsidR="005A5FCC" w14:paraId="0D5F6FBF"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7482DF14" w14:textId="77777777" w:rsidR="005A5FCC" w:rsidRDefault="00A21C81">
                  <w:pPr>
                    <w:spacing w:before="20" w:after="20" w:line="240" w:lineRule="auto"/>
                    <w:jc w:val="left"/>
                  </w:pPr>
                  <w:r>
                    <w:rPr>
                      <w:rFonts w:cs="EB Garamond"/>
                      <w:kern w:val="16"/>
                      <w:sz w:val="16"/>
                      <w14:ligatures w14:val="standardContextual"/>
                    </w:rPr>
                    <w:t>Patronal (empresa)</w:t>
                  </w:r>
                </w:p>
              </w:tc>
              <w:tc>
                <w:tcPr>
                  <w:tcW w:w="1270" w:type="dxa"/>
                  <w:tcBorders>
                    <w:top w:val="single" w:sz="4" w:space="0" w:color="D2C9B8"/>
                    <w:left w:val="single" w:sz="4" w:space="0" w:color="D2C9B8"/>
                    <w:bottom w:val="single" w:sz="4" w:space="0" w:color="D2C9B8"/>
                    <w:right w:val="single" w:sz="4" w:space="0" w:color="D2C9B8"/>
                  </w:tcBorders>
                </w:tcPr>
                <w:p w14:paraId="5BB4EB17" w14:textId="77777777" w:rsidR="005A5FCC" w:rsidRDefault="00A21C81">
                  <w:pPr>
                    <w:spacing w:before="20" w:after="20" w:line="240" w:lineRule="auto"/>
                    <w:jc w:val="left"/>
                  </w:pPr>
                  <w:r>
                    <w:rPr>
                      <w:rFonts w:cs="EB Garamond"/>
                      <w:kern w:val="16"/>
                      <w:sz w:val="16"/>
                      <w14:ligatures w14:val="standardContextual"/>
                    </w:rPr>
                    <w:t>20%</w:t>
                  </w:r>
                </w:p>
              </w:tc>
              <w:tc>
                <w:tcPr>
                  <w:tcW w:w="1270" w:type="dxa"/>
                  <w:tcBorders>
                    <w:top w:val="single" w:sz="4" w:space="0" w:color="D2C9B8"/>
                    <w:left w:val="single" w:sz="4" w:space="0" w:color="D2C9B8"/>
                    <w:bottom w:val="single" w:sz="4" w:space="0" w:color="D2C9B8"/>
                    <w:right w:val="single" w:sz="4" w:space="0" w:color="D2C9B8"/>
                  </w:tcBorders>
                </w:tcPr>
                <w:p w14:paraId="46ABAFB1" w14:textId="77777777" w:rsidR="005A5FCC" w:rsidRDefault="00A21C81">
                  <w:pPr>
                    <w:spacing w:before="20" w:after="20" w:line="240" w:lineRule="auto"/>
                    <w:jc w:val="left"/>
                  </w:pPr>
                  <w:r>
                    <w:rPr>
                      <w:rFonts w:cs="EB Garamond"/>
                      <w:kern w:val="16"/>
                      <w:sz w:val="16"/>
                      <w14:ligatures w14:val="standardContextual"/>
                    </w:rPr>
                    <w:t>Folha total</w:t>
                  </w:r>
                </w:p>
              </w:tc>
              <w:tc>
                <w:tcPr>
                  <w:tcW w:w="1270" w:type="dxa"/>
                  <w:tcBorders>
                    <w:top w:val="single" w:sz="4" w:space="0" w:color="D2C9B8"/>
                    <w:left w:val="single" w:sz="4" w:space="0" w:color="D2C9B8"/>
                    <w:bottom w:val="single" w:sz="4" w:space="0" w:color="D2C9B8"/>
                    <w:right w:val="single" w:sz="4" w:space="0" w:color="D2C9B8"/>
                  </w:tcBorders>
                </w:tcPr>
                <w:p w14:paraId="437FE714" w14:textId="77777777" w:rsidR="005A5FCC" w:rsidRDefault="00A21C81">
                  <w:pPr>
                    <w:spacing w:before="20" w:after="20" w:line="240" w:lineRule="auto"/>
                    <w:jc w:val="left"/>
                  </w:pPr>
                  <w:r>
                    <w:rPr>
                      <w:rFonts w:cs="EB Garamond"/>
                      <w:kern w:val="16"/>
                      <w:sz w:val="16"/>
                      <w14:ligatures w14:val="standardContextual"/>
                    </w:rPr>
                    <w:t>Variável</w:t>
                  </w:r>
                </w:p>
              </w:tc>
              <w:tc>
                <w:tcPr>
                  <w:tcW w:w="1270" w:type="dxa"/>
                  <w:tcBorders>
                    <w:top w:val="single" w:sz="4" w:space="0" w:color="D2C9B8"/>
                    <w:left w:val="single" w:sz="4" w:space="0" w:color="D2C9B8"/>
                    <w:bottom w:val="single" w:sz="4" w:space="0" w:color="D2C9B8"/>
                    <w:right w:val="single" w:sz="4" w:space="0" w:color="D2C9B8"/>
                  </w:tcBorders>
                </w:tcPr>
                <w:p w14:paraId="1CD0B293" w14:textId="77777777" w:rsidR="005A5FCC" w:rsidRDefault="00A21C81">
                  <w:pPr>
                    <w:spacing w:before="20" w:after="20" w:line="240" w:lineRule="auto"/>
                    <w:jc w:val="left"/>
                  </w:pPr>
                  <w:r>
                    <w:rPr>
                      <w:rFonts w:cs="EB Garamond"/>
                      <w:kern w:val="16"/>
                      <w:sz w:val="16"/>
                      <w14:ligatures w14:val="standardContextual"/>
                    </w:rPr>
                    <w:t>—</w:t>
                  </w:r>
                </w:p>
              </w:tc>
            </w:tr>
            <w:tr w:rsidR="005A5FCC" w14:paraId="67C0889D"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214EAAA9" w14:textId="77777777" w:rsidR="005A5FCC" w:rsidRDefault="00A21C81">
                  <w:pPr>
                    <w:spacing w:before="20" w:after="20" w:line="240" w:lineRule="auto"/>
                    <w:jc w:val="left"/>
                  </w:pPr>
                  <w:r>
                    <w:rPr>
                      <w:rFonts w:cs="EB Garamond"/>
                      <w:kern w:val="16"/>
                      <w:sz w:val="16"/>
                      <w14:ligatures w14:val="standardContextual"/>
                    </w:rPr>
                    <w:t>Patronal (doméstico)</w:t>
                  </w:r>
                </w:p>
              </w:tc>
              <w:tc>
                <w:tcPr>
                  <w:tcW w:w="1270" w:type="dxa"/>
                  <w:tcBorders>
                    <w:top w:val="single" w:sz="4" w:space="0" w:color="D2C9B8"/>
                    <w:left w:val="single" w:sz="4" w:space="0" w:color="D2C9B8"/>
                    <w:bottom w:val="single" w:sz="4" w:space="0" w:color="D2C9B8"/>
                    <w:right w:val="single" w:sz="4" w:space="0" w:color="D2C9B8"/>
                  </w:tcBorders>
                </w:tcPr>
                <w:p w14:paraId="61F5D8AE" w14:textId="77777777" w:rsidR="005A5FCC" w:rsidRDefault="00A21C81">
                  <w:pPr>
                    <w:spacing w:before="20" w:after="20" w:line="240" w:lineRule="auto"/>
                    <w:jc w:val="left"/>
                  </w:pPr>
                  <w:r>
                    <w:rPr>
                      <w:rFonts w:cs="EB Garamond"/>
                      <w:kern w:val="16"/>
                      <w:sz w:val="16"/>
                      <w14:ligatures w14:val="standardContextual"/>
                    </w:rPr>
                    <w:t>8%</w:t>
                  </w:r>
                </w:p>
              </w:tc>
              <w:tc>
                <w:tcPr>
                  <w:tcW w:w="1270" w:type="dxa"/>
                  <w:tcBorders>
                    <w:top w:val="single" w:sz="4" w:space="0" w:color="D2C9B8"/>
                    <w:left w:val="single" w:sz="4" w:space="0" w:color="D2C9B8"/>
                    <w:bottom w:val="single" w:sz="4" w:space="0" w:color="D2C9B8"/>
                    <w:right w:val="single" w:sz="4" w:space="0" w:color="D2C9B8"/>
                  </w:tcBorders>
                </w:tcPr>
                <w:p w14:paraId="2F866966" w14:textId="77777777" w:rsidR="005A5FCC" w:rsidRDefault="00A21C81">
                  <w:pPr>
                    <w:spacing w:before="20" w:after="20" w:line="240" w:lineRule="auto"/>
                    <w:jc w:val="left"/>
                  </w:pPr>
                  <w:r>
                    <w:rPr>
                      <w:rFonts w:cs="EB Garamond"/>
                      <w:kern w:val="16"/>
                      <w:sz w:val="16"/>
                      <w14:ligatures w14:val="standardContextual"/>
                    </w:rPr>
                    <w:t>Remuneração</w:t>
                  </w:r>
                </w:p>
              </w:tc>
              <w:tc>
                <w:tcPr>
                  <w:tcW w:w="1270" w:type="dxa"/>
                  <w:tcBorders>
                    <w:top w:val="single" w:sz="4" w:space="0" w:color="D2C9B8"/>
                    <w:left w:val="single" w:sz="4" w:space="0" w:color="D2C9B8"/>
                    <w:bottom w:val="single" w:sz="4" w:space="0" w:color="D2C9B8"/>
                    <w:right w:val="single" w:sz="4" w:space="0" w:color="D2C9B8"/>
                  </w:tcBorders>
                </w:tcPr>
                <w:p w14:paraId="52862DE5" w14:textId="77777777" w:rsidR="005A5FCC" w:rsidRDefault="00A21C81">
                  <w:pPr>
                    <w:spacing w:before="20" w:after="20" w:line="240" w:lineRule="auto"/>
                    <w:jc w:val="left"/>
                  </w:pPr>
                  <w:r>
                    <w:rPr>
                      <w:rFonts w:cs="EB Garamond"/>
                      <w:kern w:val="16"/>
                      <w:sz w:val="16"/>
                      <w14:ligatures w14:val="standardContextual"/>
                    </w:rPr>
                    <w:t>Variável</w:t>
                  </w:r>
                </w:p>
              </w:tc>
              <w:tc>
                <w:tcPr>
                  <w:tcW w:w="1270" w:type="dxa"/>
                  <w:tcBorders>
                    <w:top w:val="single" w:sz="4" w:space="0" w:color="D2C9B8"/>
                    <w:left w:val="single" w:sz="4" w:space="0" w:color="D2C9B8"/>
                    <w:bottom w:val="single" w:sz="4" w:space="0" w:color="D2C9B8"/>
                    <w:right w:val="single" w:sz="4" w:space="0" w:color="D2C9B8"/>
                  </w:tcBorders>
                </w:tcPr>
                <w:p w14:paraId="009B7ABE" w14:textId="77777777" w:rsidR="005A5FCC" w:rsidRDefault="00A21C81">
                  <w:pPr>
                    <w:spacing w:before="20" w:after="20" w:line="240" w:lineRule="auto"/>
                    <w:jc w:val="left"/>
                  </w:pPr>
                  <w:r>
                    <w:rPr>
                      <w:rFonts w:cs="EB Garamond"/>
                      <w:kern w:val="16"/>
                      <w:sz w:val="16"/>
                      <w14:ligatures w14:val="standardContextual"/>
                    </w:rPr>
                    <w:t>—</w:t>
                  </w:r>
                </w:p>
              </w:tc>
            </w:tr>
            <w:tr w:rsidR="005A5FCC" w14:paraId="4AF96F0E"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6045D4B6" w14:textId="77777777" w:rsidR="005A5FCC" w:rsidRDefault="00A21C81">
                  <w:pPr>
                    <w:spacing w:before="20" w:after="20" w:line="240" w:lineRule="auto"/>
                    <w:jc w:val="left"/>
                  </w:pPr>
                  <w:r>
                    <w:rPr>
                      <w:rFonts w:cs="EB Garamond"/>
                      <w:kern w:val="16"/>
                      <w:sz w:val="16"/>
                      <w14:ligatures w14:val="standardContextual"/>
                    </w:rPr>
                    <w:t>Patronal (MEI c/ empr.)</w:t>
                  </w:r>
                </w:p>
              </w:tc>
              <w:tc>
                <w:tcPr>
                  <w:tcW w:w="1270" w:type="dxa"/>
                  <w:tcBorders>
                    <w:top w:val="single" w:sz="4" w:space="0" w:color="D2C9B8"/>
                    <w:left w:val="single" w:sz="4" w:space="0" w:color="D2C9B8"/>
                    <w:bottom w:val="single" w:sz="4" w:space="0" w:color="D2C9B8"/>
                    <w:right w:val="single" w:sz="4" w:space="0" w:color="D2C9B8"/>
                  </w:tcBorders>
                </w:tcPr>
                <w:p w14:paraId="71FE4213" w14:textId="77777777" w:rsidR="005A5FCC" w:rsidRDefault="00A21C81">
                  <w:pPr>
                    <w:spacing w:before="20" w:after="20" w:line="240" w:lineRule="auto"/>
                    <w:jc w:val="left"/>
                  </w:pPr>
                  <w:r>
                    <w:rPr>
                      <w:rFonts w:cs="EB Garamond"/>
                      <w:kern w:val="16"/>
                      <w:sz w:val="16"/>
                      <w14:ligatures w14:val="standardContextual"/>
                    </w:rPr>
                    <w:t>3%</w:t>
                  </w:r>
                </w:p>
              </w:tc>
              <w:tc>
                <w:tcPr>
                  <w:tcW w:w="1270" w:type="dxa"/>
                  <w:tcBorders>
                    <w:top w:val="single" w:sz="4" w:space="0" w:color="D2C9B8"/>
                    <w:left w:val="single" w:sz="4" w:space="0" w:color="D2C9B8"/>
                    <w:bottom w:val="single" w:sz="4" w:space="0" w:color="D2C9B8"/>
                    <w:right w:val="single" w:sz="4" w:space="0" w:color="D2C9B8"/>
                  </w:tcBorders>
                </w:tcPr>
                <w:p w14:paraId="4239CBB0" w14:textId="77777777" w:rsidR="005A5FCC" w:rsidRDefault="00A21C81">
                  <w:pPr>
                    <w:spacing w:before="20" w:after="20" w:line="240" w:lineRule="auto"/>
                    <w:jc w:val="left"/>
                  </w:pPr>
                  <w:r>
                    <w:rPr>
                      <w:rFonts w:cs="EB Garamond"/>
                      <w:kern w:val="16"/>
                      <w:sz w:val="16"/>
                      <w14:ligatures w14:val="standardContextual"/>
                    </w:rPr>
                    <w:t>Remuneração</w:t>
                  </w:r>
                </w:p>
              </w:tc>
              <w:tc>
                <w:tcPr>
                  <w:tcW w:w="1270" w:type="dxa"/>
                  <w:tcBorders>
                    <w:top w:val="single" w:sz="4" w:space="0" w:color="D2C9B8"/>
                    <w:left w:val="single" w:sz="4" w:space="0" w:color="D2C9B8"/>
                    <w:bottom w:val="single" w:sz="4" w:space="0" w:color="D2C9B8"/>
                    <w:right w:val="single" w:sz="4" w:space="0" w:color="D2C9B8"/>
                  </w:tcBorders>
                </w:tcPr>
                <w:p w14:paraId="3E47F149" w14:textId="77777777" w:rsidR="005A5FCC" w:rsidRDefault="00A21C81">
                  <w:pPr>
                    <w:spacing w:before="20" w:after="20" w:line="240" w:lineRule="auto"/>
                    <w:jc w:val="left"/>
                  </w:pPr>
                  <w:r>
                    <w:rPr>
                      <w:rFonts w:cs="EB Garamond"/>
                      <w:kern w:val="16"/>
                      <w:sz w:val="16"/>
                      <w14:ligatures w14:val="standardContextual"/>
                    </w:rPr>
                    <w:t>Variável</w:t>
                  </w:r>
                </w:p>
              </w:tc>
              <w:tc>
                <w:tcPr>
                  <w:tcW w:w="1270" w:type="dxa"/>
                  <w:tcBorders>
                    <w:top w:val="single" w:sz="4" w:space="0" w:color="D2C9B8"/>
                    <w:left w:val="single" w:sz="4" w:space="0" w:color="D2C9B8"/>
                    <w:bottom w:val="single" w:sz="4" w:space="0" w:color="D2C9B8"/>
                    <w:right w:val="single" w:sz="4" w:space="0" w:color="D2C9B8"/>
                  </w:tcBorders>
                </w:tcPr>
                <w:p w14:paraId="690048E5" w14:textId="77777777" w:rsidR="005A5FCC" w:rsidRDefault="00A21C81">
                  <w:pPr>
                    <w:spacing w:before="20" w:after="20" w:line="240" w:lineRule="auto"/>
                    <w:jc w:val="left"/>
                  </w:pPr>
                  <w:r>
                    <w:rPr>
                      <w:rFonts w:cs="EB Garamond"/>
                      <w:kern w:val="16"/>
                      <w:sz w:val="16"/>
                      <w14:ligatures w14:val="standardContextual"/>
                    </w:rPr>
                    <w:t>—</w:t>
                  </w:r>
                </w:p>
              </w:tc>
            </w:tr>
            <w:tr w:rsidR="005A5FCC" w14:paraId="41A831BA"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5E263B35" w14:textId="77777777" w:rsidR="005A5FCC" w:rsidRDefault="00A21C81">
                  <w:pPr>
                    <w:spacing w:before="20" w:after="20" w:line="240" w:lineRule="auto"/>
                    <w:jc w:val="left"/>
                  </w:pPr>
                  <w:r>
                    <w:rPr>
                      <w:rFonts w:cs="EB Garamond"/>
                      <w:kern w:val="16"/>
                      <w:sz w:val="16"/>
                      <w14:ligatures w14:val="standardContextual"/>
                    </w:rPr>
                    <w:t>RAT</w:t>
                  </w:r>
                </w:p>
              </w:tc>
              <w:tc>
                <w:tcPr>
                  <w:tcW w:w="1270" w:type="dxa"/>
                  <w:tcBorders>
                    <w:top w:val="single" w:sz="4" w:space="0" w:color="D2C9B8"/>
                    <w:left w:val="single" w:sz="4" w:space="0" w:color="D2C9B8"/>
                    <w:bottom w:val="single" w:sz="4" w:space="0" w:color="D2C9B8"/>
                    <w:right w:val="single" w:sz="4" w:space="0" w:color="D2C9B8"/>
                  </w:tcBorders>
                </w:tcPr>
                <w:p w14:paraId="7BBA5943" w14:textId="77777777" w:rsidR="005A5FCC" w:rsidRDefault="00A21C81">
                  <w:pPr>
                    <w:spacing w:before="20" w:after="20" w:line="240" w:lineRule="auto"/>
                    <w:jc w:val="left"/>
                  </w:pPr>
                  <w:r>
                    <w:rPr>
                      <w:rFonts w:cs="EB Garamond"/>
                      <w:kern w:val="16"/>
                      <w:sz w:val="16"/>
                      <w14:ligatures w14:val="standardContextual"/>
                    </w:rPr>
                    <w:t>1% a 3%</w:t>
                  </w:r>
                </w:p>
              </w:tc>
              <w:tc>
                <w:tcPr>
                  <w:tcW w:w="1270" w:type="dxa"/>
                  <w:tcBorders>
                    <w:top w:val="single" w:sz="4" w:space="0" w:color="D2C9B8"/>
                    <w:left w:val="single" w:sz="4" w:space="0" w:color="D2C9B8"/>
                    <w:bottom w:val="single" w:sz="4" w:space="0" w:color="D2C9B8"/>
                    <w:right w:val="single" w:sz="4" w:space="0" w:color="D2C9B8"/>
                  </w:tcBorders>
                </w:tcPr>
                <w:p w14:paraId="36FF4698" w14:textId="77777777" w:rsidR="005A5FCC" w:rsidRDefault="00A21C81">
                  <w:pPr>
                    <w:spacing w:before="20" w:after="20" w:line="240" w:lineRule="auto"/>
                    <w:jc w:val="left"/>
                  </w:pPr>
                  <w:r>
                    <w:rPr>
                      <w:rFonts w:cs="EB Garamond"/>
                      <w:kern w:val="16"/>
                      <w:sz w:val="16"/>
                      <w14:ligatures w14:val="standardContextual"/>
                    </w:rPr>
                    <w:t>Folha total</w:t>
                  </w:r>
                </w:p>
              </w:tc>
              <w:tc>
                <w:tcPr>
                  <w:tcW w:w="1270" w:type="dxa"/>
                  <w:tcBorders>
                    <w:top w:val="single" w:sz="4" w:space="0" w:color="D2C9B8"/>
                    <w:left w:val="single" w:sz="4" w:space="0" w:color="D2C9B8"/>
                    <w:bottom w:val="single" w:sz="4" w:space="0" w:color="D2C9B8"/>
                    <w:right w:val="single" w:sz="4" w:space="0" w:color="D2C9B8"/>
                  </w:tcBorders>
                </w:tcPr>
                <w:p w14:paraId="7A43F461" w14:textId="77777777" w:rsidR="005A5FCC" w:rsidRDefault="00A21C81">
                  <w:pPr>
                    <w:spacing w:before="20" w:after="20" w:line="240" w:lineRule="auto"/>
                    <w:jc w:val="left"/>
                  </w:pPr>
                  <w:r>
                    <w:rPr>
                      <w:rFonts w:cs="EB Garamond"/>
                      <w:kern w:val="16"/>
                      <w:sz w:val="16"/>
                      <w14:ligatures w14:val="standardContextual"/>
                    </w:rPr>
                    <w:t>Variável</w:t>
                  </w:r>
                </w:p>
              </w:tc>
              <w:tc>
                <w:tcPr>
                  <w:tcW w:w="1270" w:type="dxa"/>
                  <w:tcBorders>
                    <w:top w:val="single" w:sz="4" w:space="0" w:color="D2C9B8"/>
                    <w:left w:val="single" w:sz="4" w:space="0" w:color="D2C9B8"/>
                    <w:bottom w:val="single" w:sz="4" w:space="0" w:color="D2C9B8"/>
                    <w:right w:val="single" w:sz="4" w:space="0" w:color="D2C9B8"/>
                  </w:tcBorders>
                </w:tcPr>
                <w:p w14:paraId="1C03322A" w14:textId="77777777" w:rsidR="005A5FCC" w:rsidRDefault="00A21C81">
                  <w:pPr>
                    <w:spacing w:before="20" w:after="20" w:line="240" w:lineRule="auto"/>
                    <w:jc w:val="left"/>
                  </w:pPr>
                  <w:r>
                    <w:rPr>
                      <w:rFonts w:cs="EB Garamond"/>
                      <w:kern w:val="16"/>
                      <w:sz w:val="16"/>
                      <w14:ligatures w14:val="standardContextual"/>
                    </w:rPr>
                    <w:t>—</w:t>
                  </w:r>
                </w:p>
              </w:tc>
            </w:tr>
            <w:tr w:rsidR="005A5FCC" w14:paraId="650A2557"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6C887672" w14:textId="77777777" w:rsidR="005A5FCC" w:rsidRDefault="00A21C81">
                  <w:pPr>
                    <w:spacing w:before="20" w:after="20" w:line="240" w:lineRule="auto"/>
                    <w:jc w:val="left"/>
                  </w:pPr>
                  <w:r>
                    <w:rPr>
                      <w:rFonts w:cs="EB Garamond"/>
                      <w:kern w:val="16"/>
                      <w:sz w:val="16"/>
                      <w14:ligatures w14:val="standardContextual"/>
                    </w:rPr>
                    <w:t>Prod. Rural PF</w:t>
                  </w:r>
                </w:p>
              </w:tc>
              <w:tc>
                <w:tcPr>
                  <w:tcW w:w="1270" w:type="dxa"/>
                  <w:tcBorders>
                    <w:top w:val="single" w:sz="4" w:space="0" w:color="D2C9B8"/>
                    <w:left w:val="single" w:sz="4" w:space="0" w:color="D2C9B8"/>
                    <w:bottom w:val="single" w:sz="4" w:space="0" w:color="D2C9B8"/>
                    <w:right w:val="single" w:sz="4" w:space="0" w:color="D2C9B8"/>
                  </w:tcBorders>
                </w:tcPr>
                <w:p w14:paraId="4A34F75D" w14:textId="77777777" w:rsidR="005A5FCC" w:rsidRDefault="00A21C81">
                  <w:pPr>
                    <w:spacing w:before="20" w:after="20" w:line="240" w:lineRule="auto"/>
                    <w:jc w:val="left"/>
                  </w:pPr>
                  <w:r>
                    <w:rPr>
                      <w:rFonts w:cs="EB Garamond"/>
                      <w:kern w:val="16"/>
                      <w:sz w:val="16"/>
                      <w14:ligatures w14:val="standardContextual"/>
                    </w:rPr>
                    <w:t>1,5%</w:t>
                  </w:r>
                </w:p>
              </w:tc>
              <w:tc>
                <w:tcPr>
                  <w:tcW w:w="1270" w:type="dxa"/>
                  <w:tcBorders>
                    <w:top w:val="single" w:sz="4" w:space="0" w:color="D2C9B8"/>
                    <w:left w:val="single" w:sz="4" w:space="0" w:color="D2C9B8"/>
                    <w:bottom w:val="single" w:sz="4" w:space="0" w:color="D2C9B8"/>
                    <w:right w:val="single" w:sz="4" w:space="0" w:color="D2C9B8"/>
                  </w:tcBorders>
                </w:tcPr>
                <w:p w14:paraId="6D027FAD" w14:textId="77777777" w:rsidR="005A5FCC" w:rsidRDefault="00A21C81">
                  <w:pPr>
                    <w:spacing w:before="20" w:after="20" w:line="240" w:lineRule="auto"/>
                    <w:jc w:val="left"/>
                  </w:pPr>
                  <w:r>
                    <w:rPr>
                      <w:rFonts w:cs="EB Garamond"/>
                      <w:kern w:val="16"/>
                      <w:sz w:val="16"/>
                      <w14:ligatures w14:val="standardContextual"/>
                    </w:rPr>
                    <w:t>Receita bruta</w:t>
                  </w:r>
                </w:p>
              </w:tc>
              <w:tc>
                <w:tcPr>
                  <w:tcW w:w="1270" w:type="dxa"/>
                  <w:tcBorders>
                    <w:top w:val="single" w:sz="4" w:space="0" w:color="D2C9B8"/>
                    <w:left w:val="single" w:sz="4" w:space="0" w:color="D2C9B8"/>
                    <w:bottom w:val="single" w:sz="4" w:space="0" w:color="D2C9B8"/>
                    <w:right w:val="single" w:sz="4" w:space="0" w:color="D2C9B8"/>
                  </w:tcBorders>
                </w:tcPr>
                <w:p w14:paraId="13E90856" w14:textId="77777777" w:rsidR="005A5FCC" w:rsidRDefault="00A21C81">
                  <w:pPr>
                    <w:spacing w:before="20" w:after="20" w:line="240" w:lineRule="auto"/>
                    <w:jc w:val="left"/>
                  </w:pPr>
                  <w:r>
                    <w:rPr>
                      <w:rFonts w:cs="EB Garamond"/>
                      <w:kern w:val="16"/>
                      <w:sz w:val="16"/>
                      <w14:ligatures w14:val="standardContextual"/>
                    </w:rPr>
                    <w:t>Variável</w:t>
                  </w:r>
                </w:p>
              </w:tc>
              <w:tc>
                <w:tcPr>
                  <w:tcW w:w="1270" w:type="dxa"/>
                  <w:tcBorders>
                    <w:top w:val="single" w:sz="4" w:space="0" w:color="D2C9B8"/>
                    <w:left w:val="single" w:sz="4" w:space="0" w:color="D2C9B8"/>
                    <w:bottom w:val="single" w:sz="4" w:space="0" w:color="D2C9B8"/>
                    <w:right w:val="single" w:sz="4" w:space="0" w:color="D2C9B8"/>
                  </w:tcBorders>
                </w:tcPr>
                <w:p w14:paraId="6DF181B6" w14:textId="77777777" w:rsidR="005A5FCC" w:rsidRDefault="00A21C81">
                  <w:pPr>
                    <w:spacing w:before="20" w:after="20" w:line="240" w:lineRule="auto"/>
                    <w:jc w:val="left"/>
                  </w:pPr>
                  <w:r>
                    <w:rPr>
                      <w:rFonts w:cs="EB Garamond"/>
                      <w:kern w:val="16"/>
                      <w:sz w:val="16"/>
                      <w14:ligatures w14:val="standardContextual"/>
                    </w:rPr>
                    <w:t>—</w:t>
                  </w:r>
                </w:p>
              </w:tc>
            </w:tr>
            <w:tr w:rsidR="005A5FCC" w14:paraId="0419E53E"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51476F1E" w14:textId="77777777" w:rsidR="005A5FCC" w:rsidRDefault="00A21C81">
                  <w:pPr>
                    <w:spacing w:before="20" w:after="20" w:line="240" w:lineRule="auto"/>
                    <w:jc w:val="left"/>
                  </w:pPr>
                  <w:r>
                    <w:rPr>
                      <w:rFonts w:cs="EB Garamond"/>
                      <w:kern w:val="16"/>
                      <w:sz w:val="16"/>
                      <w14:ligatures w14:val="standardContextual"/>
                    </w:rPr>
                    <w:t>Prod. Rural PJ</w:t>
                  </w:r>
                </w:p>
              </w:tc>
              <w:tc>
                <w:tcPr>
                  <w:tcW w:w="1270" w:type="dxa"/>
                  <w:tcBorders>
                    <w:top w:val="single" w:sz="4" w:space="0" w:color="D2C9B8"/>
                    <w:left w:val="single" w:sz="4" w:space="0" w:color="D2C9B8"/>
                    <w:bottom w:val="single" w:sz="4" w:space="0" w:color="D2C9B8"/>
                    <w:right w:val="single" w:sz="4" w:space="0" w:color="D2C9B8"/>
                  </w:tcBorders>
                </w:tcPr>
                <w:p w14:paraId="3C7EBD0C" w14:textId="77777777" w:rsidR="005A5FCC" w:rsidRDefault="00A21C81">
                  <w:pPr>
                    <w:spacing w:before="20" w:after="20" w:line="240" w:lineRule="auto"/>
                    <w:jc w:val="left"/>
                  </w:pPr>
                  <w:r>
                    <w:rPr>
                      <w:rFonts w:cs="EB Garamond"/>
                      <w:kern w:val="16"/>
                      <w:sz w:val="16"/>
                      <w14:ligatures w14:val="standardContextual"/>
                    </w:rPr>
                    <w:t>2,05%</w:t>
                  </w:r>
                </w:p>
              </w:tc>
              <w:tc>
                <w:tcPr>
                  <w:tcW w:w="1270" w:type="dxa"/>
                  <w:tcBorders>
                    <w:top w:val="single" w:sz="4" w:space="0" w:color="D2C9B8"/>
                    <w:left w:val="single" w:sz="4" w:space="0" w:color="D2C9B8"/>
                    <w:bottom w:val="single" w:sz="4" w:space="0" w:color="D2C9B8"/>
                    <w:right w:val="single" w:sz="4" w:space="0" w:color="D2C9B8"/>
                  </w:tcBorders>
                </w:tcPr>
                <w:p w14:paraId="65274575" w14:textId="77777777" w:rsidR="005A5FCC" w:rsidRDefault="00A21C81">
                  <w:pPr>
                    <w:spacing w:before="20" w:after="20" w:line="240" w:lineRule="auto"/>
                    <w:jc w:val="left"/>
                  </w:pPr>
                  <w:r>
                    <w:rPr>
                      <w:rFonts w:cs="EB Garamond"/>
                      <w:kern w:val="16"/>
                      <w:sz w:val="16"/>
                      <w14:ligatures w14:val="standardContextual"/>
                    </w:rPr>
                    <w:t>Receita bruta</w:t>
                  </w:r>
                </w:p>
              </w:tc>
              <w:tc>
                <w:tcPr>
                  <w:tcW w:w="1270" w:type="dxa"/>
                  <w:tcBorders>
                    <w:top w:val="single" w:sz="4" w:space="0" w:color="D2C9B8"/>
                    <w:left w:val="single" w:sz="4" w:space="0" w:color="D2C9B8"/>
                    <w:bottom w:val="single" w:sz="4" w:space="0" w:color="D2C9B8"/>
                    <w:right w:val="single" w:sz="4" w:space="0" w:color="D2C9B8"/>
                  </w:tcBorders>
                </w:tcPr>
                <w:p w14:paraId="2EA07A03" w14:textId="77777777" w:rsidR="005A5FCC" w:rsidRDefault="00A21C81">
                  <w:pPr>
                    <w:spacing w:before="20" w:after="20" w:line="240" w:lineRule="auto"/>
                    <w:jc w:val="left"/>
                  </w:pPr>
                  <w:r>
                    <w:rPr>
                      <w:rFonts w:cs="EB Garamond"/>
                      <w:kern w:val="16"/>
                      <w:sz w:val="16"/>
                      <w14:ligatures w14:val="standardContextual"/>
                    </w:rPr>
                    <w:t>Variável</w:t>
                  </w:r>
                </w:p>
              </w:tc>
              <w:tc>
                <w:tcPr>
                  <w:tcW w:w="1270" w:type="dxa"/>
                  <w:tcBorders>
                    <w:top w:val="single" w:sz="4" w:space="0" w:color="D2C9B8"/>
                    <w:left w:val="single" w:sz="4" w:space="0" w:color="D2C9B8"/>
                    <w:bottom w:val="single" w:sz="4" w:space="0" w:color="D2C9B8"/>
                    <w:right w:val="single" w:sz="4" w:space="0" w:color="D2C9B8"/>
                  </w:tcBorders>
                </w:tcPr>
                <w:p w14:paraId="5D759D21" w14:textId="77777777" w:rsidR="005A5FCC" w:rsidRDefault="00A21C81">
                  <w:pPr>
                    <w:spacing w:before="20" w:after="20" w:line="240" w:lineRule="auto"/>
                    <w:jc w:val="left"/>
                  </w:pPr>
                  <w:r>
                    <w:rPr>
                      <w:rFonts w:cs="EB Garamond"/>
                      <w:kern w:val="16"/>
                      <w:sz w:val="16"/>
                      <w14:ligatures w14:val="standardContextual"/>
                    </w:rPr>
                    <w:t>—</w:t>
                  </w:r>
                </w:p>
              </w:tc>
            </w:tr>
            <w:tr w:rsidR="005A5FCC" w14:paraId="5C2972D9"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707C1E5D" w14:textId="77777777" w:rsidR="005A5FCC" w:rsidRDefault="00A21C81">
                  <w:pPr>
                    <w:spacing w:before="20" w:after="20" w:line="240" w:lineRule="auto"/>
                    <w:jc w:val="left"/>
                  </w:pPr>
                  <w:r>
                    <w:rPr>
                      <w:rFonts w:cs="EB Garamond"/>
                      <w:kern w:val="16"/>
                      <w:sz w:val="16"/>
                      <w14:ligatures w14:val="standardContextual"/>
                    </w:rPr>
                    <w:t>Segurado especial</w:t>
                  </w:r>
                </w:p>
              </w:tc>
              <w:tc>
                <w:tcPr>
                  <w:tcW w:w="1270" w:type="dxa"/>
                  <w:tcBorders>
                    <w:top w:val="single" w:sz="4" w:space="0" w:color="D2C9B8"/>
                    <w:left w:val="single" w:sz="4" w:space="0" w:color="D2C9B8"/>
                    <w:bottom w:val="single" w:sz="4" w:space="0" w:color="D2C9B8"/>
                    <w:right w:val="single" w:sz="4" w:space="0" w:color="D2C9B8"/>
                  </w:tcBorders>
                </w:tcPr>
                <w:p w14:paraId="64A5C161" w14:textId="77777777" w:rsidR="005A5FCC" w:rsidRDefault="00A21C81">
                  <w:pPr>
                    <w:spacing w:before="20" w:after="20" w:line="240" w:lineRule="auto"/>
                    <w:jc w:val="left"/>
                  </w:pPr>
                  <w:r>
                    <w:rPr>
                      <w:rFonts w:cs="EB Garamond"/>
                      <w:kern w:val="16"/>
                      <w:sz w:val="16"/>
                      <w14:ligatures w14:val="standardContextual"/>
                    </w:rPr>
                    <w:t>1,2% + 0,1% (SAT) = 1,3%</w:t>
                  </w:r>
                </w:p>
              </w:tc>
              <w:tc>
                <w:tcPr>
                  <w:tcW w:w="1270" w:type="dxa"/>
                  <w:tcBorders>
                    <w:top w:val="single" w:sz="4" w:space="0" w:color="D2C9B8"/>
                    <w:left w:val="single" w:sz="4" w:space="0" w:color="D2C9B8"/>
                    <w:bottom w:val="single" w:sz="4" w:space="0" w:color="D2C9B8"/>
                    <w:right w:val="single" w:sz="4" w:space="0" w:color="D2C9B8"/>
                  </w:tcBorders>
                </w:tcPr>
                <w:p w14:paraId="45F8A026" w14:textId="77777777" w:rsidR="005A5FCC" w:rsidRDefault="00A21C81">
                  <w:pPr>
                    <w:spacing w:before="20" w:after="20" w:line="240" w:lineRule="auto"/>
                    <w:jc w:val="left"/>
                  </w:pPr>
                  <w:r>
                    <w:rPr>
                      <w:rFonts w:cs="EB Garamond"/>
                      <w:kern w:val="16"/>
                      <w:sz w:val="16"/>
                      <w14:ligatures w14:val="standardContextual"/>
                    </w:rPr>
                    <w:t>Comercialização</w:t>
                  </w:r>
                </w:p>
              </w:tc>
              <w:tc>
                <w:tcPr>
                  <w:tcW w:w="1270" w:type="dxa"/>
                  <w:tcBorders>
                    <w:top w:val="single" w:sz="4" w:space="0" w:color="D2C9B8"/>
                    <w:left w:val="single" w:sz="4" w:space="0" w:color="D2C9B8"/>
                    <w:bottom w:val="single" w:sz="4" w:space="0" w:color="D2C9B8"/>
                    <w:right w:val="single" w:sz="4" w:space="0" w:color="D2C9B8"/>
                  </w:tcBorders>
                </w:tcPr>
                <w:p w14:paraId="6E249995" w14:textId="77777777" w:rsidR="005A5FCC" w:rsidRDefault="00A21C81">
                  <w:pPr>
                    <w:spacing w:before="20" w:after="20" w:line="240" w:lineRule="auto"/>
                    <w:jc w:val="left"/>
                  </w:pPr>
                  <w:r>
                    <w:rPr>
                      <w:rFonts w:cs="EB Garamond"/>
                      <w:kern w:val="16"/>
                      <w:sz w:val="16"/>
                      <w14:ligatures w14:val="standardContextual"/>
                    </w:rPr>
                    <w:t>Variável</w:t>
                  </w:r>
                </w:p>
              </w:tc>
              <w:tc>
                <w:tcPr>
                  <w:tcW w:w="1270" w:type="dxa"/>
                  <w:tcBorders>
                    <w:top w:val="single" w:sz="4" w:space="0" w:color="D2C9B8"/>
                    <w:left w:val="single" w:sz="4" w:space="0" w:color="D2C9B8"/>
                    <w:bottom w:val="single" w:sz="4" w:space="0" w:color="D2C9B8"/>
                    <w:right w:val="single" w:sz="4" w:space="0" w:color="D2C9B8"/>
                  </w:tcBorders>
                </w:tcPr>
                <w:p w14:paraId="0D24E9C9" w14:textId="77777777" w:rsidR="005A5FCC" w:rsidRDefault="00A21C81">
                  <w:pPr>
                    <w:spacing w:before="20" w:after="20" w:line="240" w:lineRule="auto"/>
                    <w:jc w:val="left"/>
                  </w:pPr>
                  <w:r>
                    <w:rPr>
                      <w:rFonts w:cs="EB Garamond"/>
                      <w:kern w:val="16"/>
                      <w:sz w:val="16"/>
                      <w14:ligatures w14:val="standardContextual"/>
                    </w:rPr>
                    <w:t>—</w:t>
                  </w:r>
                </w:p>
              </w:tc>
            </w:tr>
          </w:tbl>
          <w:p w14:paraId="3D27DCD4" w14:textId="77777777" w:rsidR="005A5FCC" w:rsidRDefault="005A5FCC"/>
          <w:p w14:paraId="3D4F7D5E" w14:textId="77777777" w:rsidR="005A5FCC" w:rsidRDefault="005A5FCC">
            <w:pPr>
              <w:spacing w:after="0" w:line="240" w:lineRule="auto"/>
            </w:pPr>
          </w:p>
          <w:p w14:paraId="2D895C83" w14:textId="77777777" w:rsidR="005A5FCC" w:rsidRDefault="00A21C81">
            <w:pPr>
              <w:spacing w:after="60" w:line="247" w:lineRule="auto"/>
            </w:pPr>
            <w:r>
              <w:rPr>
                <w:rFonts w:cs="EB Garamond"/>
                <w:kern w:val="16"/>
                <w:sz w:val="19"/>
                <w14:ligatures w14:val="standardContextual"/>
              </w:rPr>
              <w:t>*MEI caminhoneiro: 12% não dá direito a TC. Complementando 8%, totaliza 20% e passa a contar.</w:t>
            </w:r>
          </w:p>
          <w:p w14:paraId="09AECD82" w14:textId="77777777" w:rsidR="005A5FCC" w:rsidRDefault="00A21C81">
            <w:pPr>
              <w:spacing w:after="60" w:line="247" w:lineRule="auto"/>
            </w:pPr>
            <w:r>
              <w:rPr>
                <w:rFonts w:cs="EB Garamond"/>
                <w:b/>
                <w:kern w:val="16"/>
                <w:sz w:val="19"/>
                <w14:ligatures w14:val="standardContextual"/>
              </w:rPr>
              <w:t>Observação final:</w:t>
            </w:r>
            <w:r>
              <w:rPr>
                <w:rFonts w:cs="EB Garamond"/>
                <w:kern w:val="16"/>
                <w:sz w:val="19"/>
                <w14:ligatures w14:val="standardContextual"/>
              </w:rPr>
              <w:t xml:space="preserve"> Este quadro reflete os valores e alíquotas vigentes em 2026 (Portaria Interministerial MPS/MF n. 13, de 09/01/2026). Os limites das faixas e o teto </w:t>
            </w:r>
            <w:r>
              <w:rPr>
                <w:rFonts w:cs="EB Garamond"/>
                <w:kern w:val="16"/>
                <w:sz w:val="19"/>
                <w14:ligatures w14:val="standardContextual"/>
              </w:rPr>
              <w:lastRenderedPageBreak/>
              <w:t>do salário de contribuição são atualizados anualmente. O advogado previdenciarista deve verificar os valores vigentes na data do requerimento administrativo ou da distribuição da ação, pois alterações retroativas são raras, cada competência é regida pela legislação e pelos valores de seu próprio período.</w:t>
            </w:r>
          </w:p>
        </w:tc>
      </w:tr>
    </w:tbl>
    <w:p w14:paraId="56EB5A12" w14:textId="77777777" w:rsidR="005A5FCC" w:rsidRDefault="005A5FCC">
      <w:pPr>
        <w:spacing w:after="80" w:line="240" w:lineRule="auto"/>
      </w:pPr>
    </w:p>
    <w:tbl>
      <w:tblPr>
        <w:tblW w:w="5000" w:type="pct"/>
        <w:jc w:val="center"/>
        <w:tblLayout w:type="fixed"/>
        <w:tblLook w:val="04A0" w:firstRow="1" w:lastRow="0" w:firstColumn="1" w:lastColumn="0" w:noHBand="0" w:noVBand="1"/>
      </w:tblPr>
      <w:tblGrid>
        <w:gridCol w:w="6311"/>
      </w:tblGrid>
      <w:tr w:rsidR="005A5FCC" w14:paraId="609B5B36"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1DEB4A98"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66996BD4" w14:textId="77777777" w:rsidR="005A5FCC" w:rsidRDefault="00A21C81">
            <w:pPr>
              <w:spacing w:after="60" w:line="247" w:lineRule="auto"/>
            </w:pPr>
            <w:r>
              <w:rPr>
                <w:rFonts w:cs="EB Garamond"/>
                <w:b/>
                <w:kern w:val="16"/>
                <w:sz w:val="19"/>
                <w14:ligatures w14:val="standardContextual"/>
              </w:rPr>
              <w:t>Quadro-resumo dos prazos de custeio previdenciário:</w:t>
            </w:r>
          </w:p>
          <w:tbl>
            <w:tblPr>
              <w:tblW w:w="5000" w:type="pct"/>
              <w:jc w:val="center"/>
              <w:tblLook w:val="04A0" w:firstRow="1" w:lastRow="0" w:firstColumn="1" w:lastColumn="0" w:noHBand="0" w:noVBand="1"/>
            </w:tblPr>
            <w:tblGrid>
              <w:gridCol w:w="1967"/>
              <w:gridCol w:w="1967"/>
              <w:gridCol w:w="1967"/>
            </w:tblGrid>
            <w:tr w:rsidR="005A5FCC" w14:paraId="71FE8A8D" w14:textId="77777777">
              <w:trPr>
                <w:tblHeader/>
                <w:jc w:val="center"/>
              </w:trPr>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26CA9037" w14:textId="77777777" w:rsidR="005A5FCC" w:rsidRDefault="00A21C81">
                  <w:pPr>
                    <w:spacing w:before="30" w:after="30" w:line="240" w:lineRule="auto"/>
                    <w:jc w:val="center"/>
                  </w:pPr>
                  <w:r>
                    <w:rPr>
                      <w:rFonts w:cs="EB Garamond"/>
                      <w:b/>
                      <w:color w:val="2F2923"/>
                      <w:kern w:val="16"/>
                      <w:sz w:val="16"/>
                      <w14:ligatures w14:val="standardContextual"/>
                    </w:rPr>
                    <w:t>Prazo</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440B4C8C" w14:textId="77777777" w:rsidR="005A5FCC" w:rsidRDefault="00A21C81">
                  <w:pPr>
                    <w:spacing w:before="30" w:after="30" w:line="240" w:lineRule="auto"/>
                    <w:jc w:val="center"/>
                  </w:pPr>
                  <w:r>
                    <w:rPr>
                      <w:rFonts w:cs="EB Garamond"/>
                      <w:b/>
                      <w:color w:val="2F2923"/>
                      <w:kern w:val="16"/>
                      <w:sz w:val="16"/>
                      <w14:ligatures w14:val="standardContextual"/>
                    </w:rPr>
                    <w:t>Descrição</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0084640A" w14:textId="77777777" w:rsidR="005A5FCC" w:rsidRDefault="00A21C81">
                  <w:pPr>
                    <w:spacing w:before="30" w:after="30" w:line="240" w:lineRule="auto"/>
                    <w:jc w:val="center"/>
                  </w:pPr>
                  <w:r>
                    <w:rPr>
                      <w:rFonts w:cs="EB Garamond"/>
                      <w:b/>
                      <w:color w:val="2F2923"/>
                      <w:kern w:val="16"/>
                      <w:sz w:val="16"/>
                      <w14:ligatures w14:val="standardContextual"/>
                    </w:rPr>
                    <w:t>Fundamento</w:t>
                  </w:r>
                </w:p>
              </w:tc>
            </w:tr>
            <w:tr w:rsidR="005A5FCC" w14:paraId="323F46B2"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4D1648E5" w14:textId="77777777" w:rsidR="005A5FCC" w:rsidRDefault="00A21C81">
                  <w:pPr>
                    <w:spacing w:before="20" w:after="20" w:line="240" w:lineRule="auto"/>
                    <w:jc w:val="left"/>
                  </w:pPr>
                  <w:r>
                    <w:rPr>
                      <w:rFonts w:cs="EB Garamond"/>
                      <w:kern w:val="16"/>
                      <w:sz w:val="16"/>
                      <w14:ligatures w14:val="standardContextual"/>
                    </w:rPr>
                    <w:t>5 anos</w:t>
                  </w:r>
                </w:p>
              </w:tc>
              <w:tc>
                <w:tcPr>
                  <w:tcW w:w="2117" w:type="dxa"/>
                  <w:tcBorders>
                    <w:top w:val="single" w:sz="4" w:space="0" w:color="D2C9B8"/>
                    <w:left w:val="single" w:sz="4" w:space="0" w:color="D2C9B8"/>
                    <w:bottom w:val="single" w:sz="4" w:space="0" w:color="D2C9B8"/>
                    <w:right w:val="single" w:sz="4" w:space="0" w:color="D2C9B8"/>
                  </w:tcBorders>
                </w:tcPr>
                <w:p w14:paraId="6AF7605E" w14:textId="77777777" w:rsidR="005A5FCC" w:rsidRDefault="00A21C81">
                  <w:pPr>
                    <w:spacing w:before="20" w:after="20" w:line="240" w:lineRule="auto"/>
                    <w:jc w:val="left"/>
                  </w:pPr>
                  <w:r>
                    <w:rPr>
                      <w:rFonts w:cs="EB Garamond"/>
                      <w:kern w:val="16"/>
                      <w:sz w:val="16"/>
                      <w14:ligatures w14:val="standardContextual"/>
                    </w:rPr>
                    <w:t>Decadência do lançamento (RFB)</w:t>
                  </w:r>
                </w:p>
              </w:tc>
              <w:tc>
                <w:tcPr>
                  <w:tcW w:w="2117" w:type="dxa"/>
                  <w:tcBorders>
                    <w:top w:val="single" w:sz="4" w:space="0" w:color="D2C9B8"/>
                    <w:left w:val="single" w:sz="4" w:space="0" w:color="D2C9B8"/>
                    <w:bottom w:val="single" w:sz="4" w:space="0" w:color="D2C9B8"/>
                    <w:right w:val="single" w:sz="4" w:space="0" w:color="D2C9B8"/>
                  </w:tcBorders>
                </w:tcPr>
                <w:p w14:paraId="2F38D48F" w14:textId="77777777" w:rsidR="005A5FCC" w:rsidRDefault="00A21C81">
                  <w:pPr>
                    <w:spacing w:before="20" w:after="20" w:line="240" w:lineRule="auto"/>
                    <w:jc w:val="left"/>
                  </w:pPr>
                  <w:r>
                    <w:rPr>
                      <w:rFonts w:cs="EB Garamond"/>
                      <w:kern w:val="16"/>
                      <w:sz w:val="16"/>
                      <w14:ligatures w14:val="standardContextual"/>
                    </w:rPr>
                    <w:t>Art. 45, Lei 8.212/91</w:t>
                  </w:r>
                </w:p>
              </w:tc>
            </w:tr>
            <w:tr w:rsidR="005A5FCC" w14:paraId="29063F86"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4087DED9" w14:textId="77777777" w:rsidR="005A5FCC" w:rsidRDefault="00A21C81">
                  <w:pPr>
                    <w:spacing w:before="20" w:after="20" w:line="240" w:lineRule="auto"/>
                    <w:jc w:val="left"/>
                  </w:pPr>
                  <w:r>
                    <w:rPr>
                      <w:rFonts w:cs="EB Garamond"/>
                      <w:kern w:val="16"/>
                      <w:sz w:val="16"/>
                      <w14:ligatures w14:val="standardContextual"/>
                    </w:rPr>
                    <w:t>5 anos</w:t>
                  </w:r>
                </w:p>
              </w:tc>
              <w:tc>
                <w:tcPr>
                  <w:tcW w:w="2117" w:type="dxa"/>
                  <w:tcBorders>
                    <w:top w:val="single" w:sz="4" w:space="0" w:color="D2C9B8"/>
                    <w:left w:val="single" w:sz="4" w:space="0" w:color="D2C9B8"/>
                    <w:bottom w:val="single" w:sz="4" w:space="0" w:color="D2C9B8"/>
                    <w:right w:val="single" w:sz="4" w:space="0" w:color="D2C9B8"/>
                  </w:tcBorders>
                </w:tcPr>
                <w:p w14:paraId="377D0FE9" w14:textId="77777777" w:rsidR="005A5FCC" w:rsidRDefault="00A21C81">
                  <w:pPr>
                    <w:spacing w:before="20" w:after="20" w:line="240" w:lineRule="auto"/>
                    <w:jc w:val="left"/>
                  </w:pPr>
                  <w:r>
                    <w:rPr>
                      <w:rFonts w:cs="EB Garamond"/>
                      <w:kern w:val="16"/>
                      <w:sz w:val="16"/>
                      <w14:ligatures w14:val="standardContextual"/>
                    </w:rPr>
                    <w:t>Prescrição da execução fiscal</w:t>
                  </w:r>
                </w:p>
              </w:tc>
              <w:tc>
                <w:tcPr>
                  <w:tcW w:w="2117" w:type="dxa"/>
                  <w:tcBorders>
                    <w:top w:val="single" w:sz="4" w:space="0" w:color="D2C9B8"/>
                    <w:left w:val="single" w:sz="4" w:space="0" w:color="D2C9B8"/>
                    <w:bottom w:val="single" w:sz="4" w:space="0" w:color="D2C9B8"/>
                    <w:right w:val="single" w:sz="4" w:space="0" w:color="D2C9B8"/>
                  </w:tcBorders>
                </w:tcPr>
                <w:p w14:paraId="53D838C2" w14:textId="77777777" w:rsidR="005A5FCC" w:rsidRDefault="00A21C81">
                  <w:pPr>
                    <w:spacing w:before="20" w:after="20" w:line="240" w:lineRule="auto"/>
                    <w:jc w:val="left"/>
                  </w:pPr>
                  <w:r>
                    <w:rPr>
                      <w:rFonts w:cs="EB Garamond"/>
                      <w:kern w:val="16"/>
                      <w:sz w:val="16"/>
                      <w14:ligatures w14:val="standardContextual"/>
                    </w:rPr>
                    <w:t>Art. 46, Lei 8.212/91</w:t>
                  </w:r>
                </w:p>
              </w:tc>
            </w:tr>
            <w:tr w:rsidR="005A5FCC" w14:paraId="465BB415"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6FBFB15F" w14:textId="77777777" w:rsidR="005A5FCC" w:rsidRDefault="00A21C81">
                  <w:pPr>
                    <w:spacing w:before="20" w:after="20" w:line="240" w:lineRule="auto"/>
                    <w:jc w:val="left"/>
                  </w:pPr>
                  <w:r>
                    <w:rPr>
                      <w:rFonts w:cs="EB Garamond"/>
                      <w:kern w:val="16"/>
                      <w:sz w:val="16"/>
                      <w14:ligatures w14:val="standardContextual"/>
                    </w:rPr>
                    <w:t>10 anos</w:t>
                  </w:r>
                </w:p>
              </w:tc>
              <w:tc>
                <w:tcPr>
                  <w:tcW w:w="2117" w:type="dxa"/>
                  <w:tcBorders>
                    <w:top w:val="single" w:sz="4" w:space="0" w:color="D2C9B8"/>
                    <w:left w:val="single" w:sz="4" w:space="0" w:color="D2C9B8"/>
                    <w:bottom w:val="single" w:sz="4" w:space="0" w:color="D2C9B8"/>
                    <w:right w:val="single" w:sz="4" w:space="0" w:color="D2C9B8"/>
                  </w:tcBorders>
                </w:tcPr>
                <w:p w14:paraId="28048479" w14:textId="77777777" w:rsidR="005A5FCC" w:rsidRDefault="00A21C81">
                  <w:pPr>
                    <w:spacing w:before="20" w:after="20" w:line="240" w:lineRule="auto"/>
                    <w:jc w:val="left"/>
                  </w:pPr>
                  <w:r>
                    <w:rPr>
                      <w:rFonts w:cs="EB Garamond"/>
                      <w:kern w:val="16"/>
                      <w:sz w:val="16"/>
                      <w14:ligatures w14:val="standardContextual"/>
                    </w:rPr>
                    <w:t>Decadência da revisão de benefício</w:t>
                  </w:r>
                </w:p>
              </w:tc>
              <w:tc>
                <w:tcPr>
                  <w:tcW w:w="2117" w:type="dxa"/>
                  <w:tcBorders>
                    <w:top w:val="single" w:sz="4" w:space="0" w:color="D2C9B8"/>
                    <w:left w:val="single" w:sz="4" w:space="0" w:color="D2C9B8"/>
                    <w:bottom w:val="single" w:sz="4" w:space="0" w:color="D2C9B8"/>
                    <w:right w:val="single" w:sz="4" w:space="0" w:color="D2C9B8"/>
                  </w:tcBorders>
                </w:tcPr>
                <w:p w14:paraId="505ACC48" w14:textId="77777777" w:rsidR="005A5FCC" w:rsidRDefault="00A21C81">
                  <w:pPr>
                    <w:spacing w:before="20" w:after="20" w:line="240" w:lineRule="auto"/>
                    <w:jc w:val="left"/>
                  </w:pPr>
                  <w:r>
                    <w:rPr>
                      <w:rFonts w:cs="EB Garamond"/>
                      <w:kern w:val="16"/>
                      <w:sz w:val="16"/>
                      <w14:ligatures w14:val="standardContextual"/>
                    </w:rPr>
                    <w:t>Art. 103, Lei 8.213/91</w:t>
                  </w:r>
                </w:p>
              </w:tc>
            </w:tr>
            <w:tr w:rsidR="005A5FCC" w14:paraId="44F5E336"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47185FDF" w14:textId="77777777" w:rsidR="005A5FCC" w:rsidRDefault="00A21C81">
                  <w:pPr>
                    <w:spacing w:before="20" w:after="20" w:line="240" w:lineRule="auto"/>
                    <w:jc w:val="left"/>
                  </w:pPr>
                  <w:r>
                    <w:rPr>
                      <w:rFonts w:cs="EB Garamond"/>
                      <w:kern w:val="16"/>
                      <w:sz w:val="16"/>
                      <w14:ligatures w14:val="standardContextual"/>
                    </w:rPr>
                    <w:t>5 anos</w:t>
                  </w:r>
                </w:p>
              </w:tc>
              <w:tc>
                <w:tcPr>
                  <w:tcW w:w="2117" w:type="dxa"/>
                  <w:tcBorders>
                    <w:top w:val="single" w:sz="4" w:space="0" w:color="D2C9B8"/>
                    <w:left w:val="single" w:sz="4" w:space="0" w:color="D2C9B8"/>
                    <w:bottom w:val="single" w:sz="4" w:space="0" w:color="D2C9B8"/>
                    <w:right w:val="single" w:sz="4" w:space="0" w:color="D2C9B8"/>
                  </w:tcBorders>
                </w:tcPr>
                <w:p w14:paraId="0D22CA7A" w14:textId="77777777" w:rsidR="005A5FCC" w:rsidRDefault="00A21C81">
                  <w:pPr>
                    <w:spacing w:before="20" w:after="20" w:line="240" w:lineRule="auto"/>
                    <w:jc w:val="left"/>
                  </w:pPr>
                  <w:r>
                    <w:rPr>
                      <w:rFonts w:cs="EB Garamond"/>
                      <w:kern w:val="16"/>
                      <w:sz w:val="16"/>
                      <w14:ligatures w14:val="standardContextual"/>
                    </w:rPr>
                    <w:t>Prescrição parcelas não pagas</w:t>
                  </w:r>
                </w:p>
              </w:tc>
              <w:tc>
                <w:tcPr>
                  <w:tcW w:w="2117" w:type="dxa"/>
                  <w:tcBorders>
                    <w:top w:val="single" w:sz="4" w:space="0" w:color="D2C9B8"/>
                    <w:left w:val="single" w:sz="4" w:space="0" w:color="D2C9B8"/>
                    <w:bottom w:val="single" w:sz="4" w:space="0" w:color="D2C9B8"/>
                    <w:right w:val="single" w:sz="4" w:space="0" w:color="D2C9B8"/>
                  </w:tcBorders>
                </w:tcPr>
                <w:p w14:paraId="0ABE6358" w14:textId="77777777" w:rsidR="005A5FCC" w:rsidRDefault="00A21C81">
                  <w:pPr>
                    <w:spacing w:before="20" w:after="20" w:line="240" w:lineRule="auto"/>
                    <w:jc w:val="left"/>
                  </w:pPr>
                  <w:r>
                    <w:rPr>
                      <w:rFonts w:cs="EB Garamond"/>
                      <w:kern w:val="16"/>
                      <w:sz w:val="16"/>
                      <w14:ligatures w14:val="standardContextual"/>
                    </w:rPr>
                    <w:t>Art. 103, par. ún.</w:t>
                  </w:r>
                </w:p>
              </w:tc>
            </w:tr>
            <w:tr w:rsidR="005A5FCC" w14:paraId="16B1F1F2"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281A69F5" w14:textId="77777777" w:rsidR="005A5FCC" w:rsidRDefault="00A21C81">
                  <w:pPr>
                    <w:spacing w:before="20" w:after="20" w:line="240" w:lineRule="auto"/>
                    <w:jc w:val="left"/>
                  </w:pPr>
                  <w:r>
                    <w:rPr>
                      <w:rFonts w:cs="EB Garamond"/>
                      <w:kern w:val="16"/>
                      <w:sz w:val="16"/>
                      <w14:ligatures w14:val="standardContextual"/>
                    </w:rPr>
                    <w:t>5 anos</w:t>
                  </w:r>
                </w:p>
              </w:tc>
              <w:tc>
                <w:tcPr>
                  <w:tcW w:w="2117" w:type="dxa"/>
                  <w:tcBorders>
                    <w:top w:val="single" w:sz="4" w:space="0" w:color="D2C9B8"/>
                    <w:left w:val="single" w:sz="4" w:space="0" w:color="D2C9B8"/>
                    <w:bottom w:val="single" w:sz="4" w:space="0" w:color="D2C9B8"/>
                    <w:right w:val="single" w:sz="4" w:space="0" w:color="D2C9B8"/>
                  </w:tcBorders>
                </w:tcPr>
                <w:p w14:paraId="185F9F98" w14:textId="77777777" w:rsidR="005A5FCC" w:rsidRDefault="00A21C81">
                  <w:pPr>
                    <w:spacing w:before="20" w:after="20" w:line="240" w:lineRule="auto"/>
                    <w:jc w:val="left"/>
                  </w:pPr>
                  <w:r>
                    <w:rPr>
                      <w:rFonts w:cs="EB Garamond"/>
                      <w:kern w:val="16"/>
                      <w:sz w:val="16"/>
                      <w14:ligatures w14:val="standardContextual"/>
                    </w:rPr>
                    <w:t>Restituição de pagamento indevido</w:t>
                  </w:r>
                </w:p>
              </w:tc>
              <w:tc>
                <w:tcPr>
                  <w:tcW w:w="2117" w:type="dxa"/>
                  <w:tcBorders>
                    <w:top w:val="single" w:sz="4" w:space="0" w:color="D2C9B8"/>
                    <w:left w:val="single" w:sz="4" w:space="0" w:color="D2C9B8"/>
                    <w:bottom w:val="single" w:sz="4" w:space="0" w:color="D2C9B8"/>
                    <w:right w:val="single" w:sz="4" w:space="0" w:color="D2C9B8"/>
                  </w:tcBorders>
                </w:tcPr>
                <w:p w14:paraId="277A378D" w14:textId="77777777" w:rsidR="005A5FCC" w:rsidRDefault="00A21C81">
                  <w:pPr>
                    <w:spacing w:before="20" w:after="20" w:line="240" w:lineRule="auto"/>
                    <w:jc w:val="left"/>
                  </w:pPr>
                  <w:r>
                    <w:rPr>
                      <w:rFonts w:cs="EB Garamond"/>
                      <w:kern w:val="16"/>
                      <w:sz w:val="16"/>
                      <w14:ligatures w14:val="standardContextual"/>
                    </w:rPr>
                    <w:t>Art. 168, I, CTN</w:t>
                  </w:r>
                </w:p>
              </w:tc>
            </w:tr>
            <w:tr w:rsidR="005A5FCC" w14:paraId="1F105C78"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439B7C99" w14:textId="77777777" w:rsidR="005A5FCC" w:rsidRDefault="00A21C81">
                  <w:pPr>
                    <w:spacing w:before="20" w:after="20" w:line="240" w:lineRule="auto"/>
                    <w:jc w:val="left"/>
                  </w:pPr>
                  <w:r>
                    <w:rPr>
                      <w:rFonts w:cs="EB Garamond"/>
                      <w:kern w:val="16"/>
                      <w:sz w:val="16"/>
                      <w14:ligatures w14:val="standardContextual"/>
                    </w:rPr>
                    <w:t>Sem prazo</w:t>
                  </w:r>
                </w:p>
              </w:tc>
              <w:tc>
                <w:tcPr>
                  <w:tcW w:w="2117" w:type="dxa"/>
                  <w:tcBorders>
                    <w:top w:val="single" w:sz="4" w:space="0" w:color="D2C9B8"/>
                    <w:left w:val="single" w:sz="4" w:space="0" w:color="D2C9B8"/>
                    <w:bottom w:val="single" w:sz="4" w:space="0" w:color="D2C9B8"/>
                    <w:right w:val="single" w:sz="4" w:space="0" w:color="D2C9B8"/>
                  </w:tcBorders>
                </w:tcPr>
                <w:p w14:paraId="3F07CF73" w14:textId="77777777" w:rsidR="005A5FCC" w:rsidRDefault="00A21C81">
                  <w:pPr>
                    <w:spacing w:before="20" w:after="20" w:line="240" w:lineRule="auto"/>
                    <w:jc w:val="left"/>
                  </w:pPr>
                  <w:r>
                    <w:rPr>
                      <w:rFonts w:cs="EB Garamond"/>
                      <w:kern w:val="16"/>
                      <w:sz w:val="16"/>
                      <w14:ligatures w14:val="standardContextual"/>
                    </w:rPr>
                    <w:t>Indenização voluntária (art. 45-A)</w:t>
                  </w:r>
                </w:p>
              </w:tc>
              <w:tc>
                <w:tcPr>
                  <w:tcW w:w="2117" w:type="dxa"/>
                  <w:tcBorders>
                    <w:top w:val="single" w:sz="4" w:space="0" w:color="D2C9B8"/>
                    <w:left w:val="single" w:sz="4" w:space="0" w:color="D2C9B8"/>
                    <w:bottom w:val="single" w:sz="4" w:space="0" w:color="D2C9B8"/>
                    <w:right w:val="single" w:sz="4" w:space="0" w:color="D2C9B8"/>
                  </w:tcBorders>
                </w:tcPr>
                <w:p w14:paraId="29AE4EC3" w14:textId="77777777" w:rsidR="005A5FCC" w:rsidRDefault="00A21C81">
                  <w:pPr>
                    <w:spacing w:before="20" w:after="20" w:line="240" w:lineRule="auto"/>
                    <w:jc w:val="left"/>
                  </w:pPr>
                  <w:r>
                    <w:rPr>
                      <w:rFonts w:cs="EB Garamond"/>
                      <w:kern w:val="16"/>
                      <w:sz w:val="16"/>
                      <w14:ligatures w14:val="standardContextual"/>
                    </w:rPr>
                    <w:t>Jurisprudência consolidada</w:t>
                  </w:r>
                </w:p>
              </w:tc>
            </w:tr>
            <w:tr w:rsidR="005A5FCC" w14:paraId="1B2EA59C"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51B821F6" w14:textId="77777777" w:rsidR="005A5FCC" w:rsidRDefault="00A21C81">
                  <w:pPr>
                    <w:spacing w:before="20" w:after="20" w:line="240" w:lineRule="auto"/>
                    <w:jc w:val="left"/>
                  </w:pPr>
                  <w:r>
                    <w:rPr>
                      <w:rFonts w:cs="EB Garamond"/>
                      <w:kern w:val="16"/>
                      <w:sz w:val="16"/>
                      <w14:ligatures w14:val="standardContextual"/>
                    </w:rPr>
                    <w:t>Sem prazo</w:t>
                  </w:r>
                </w:p>
              </w:tc>
              <w:tc>
                <w:tcPr>
                  <w:tcW w:w="2117" w:type="dxa"/>
                  <w:tcBorders>
                    <w:top w:val="single" w:sz="4" w:space="0" w:color="D2C9B8"/>
                    <w:left w:val="single" w:sz="4" w:space="0" w:color="D2C9B8"/>
                    <w:bottom w:val="single" w:sz="4" w:space="0" w:color="D2C9B8"/>
                    <w:right w:val="single" w:sz="4" w:space="0" w:color="D2C9B8"/>
                  </w:tcBorders>
                </w:tcPr>
                <w:p w14:paraId="1FFBC751" w14:textId="77777777" w:rsidR="005A5FCC" w:rsidRDefault="00A21C81">
                  <w:pPr>
                    <w:spacing w:before="20" w:after="20" w:line="240" w:lineRule="auto"/>
                    <w:jc w:val="left"/>
                  </w:pPr>
                  <w:r>
                    <w:rPr>
                      <w:rFonts w:cs="EB Garamond"/>
                      <w:kern w:val="16"/>
                      <w:sz w:val="16"/>
                      <w14:ligatures w14:val="standardContextual"/>
                    </w:rPr>
                    <w:t>Complementação (simplificado/MEI)</w:t>
                  </w:r>
                </w:p>
              </w:tc>
              <w:tc>
                <w:tcPr>
                  <w:tcW w:w="2117" w:type="dxa"/>
                  <w:tcBorders>
                    <w:top w:val="single" w:sz="4" w:space="0" w:color="D2C9B8"/>
                    <w:left w:val="single" w:sz="4" w:space="0" w:color="D2C9B8"/>
                    <w:bottom w:val="single" w:sz="4" w:space="0" w:color="D2C9B8"/>
                    <w:right w:val="single" w:sz="4" w:space="0" w:color="D2C9B8"/>
                  </w:tcBorders>
                </w:tcPr>
                <w:p w14:paraId="191A25F3" w14:textId="77777777" w:rsidR="005A5FCC" w:rsidRDefault="00A21C81">
                  <w:pPr>
                    <w:spacing w:before="20" w:after="20" w:line="240" w:lineRule="auto"/>
                    <w:jc w:val="left"/>
                  </w:pPr>
                  <w:r>
                    <w:rPr>
                      <w:rFonts w:cs="EB Garamond"/>
                      <w:kern w:val="16"/>
                      <w:sz w:val="16"/>
                      <w14:ligatures w14:val="standardContextual"/>
                    </w:rPr>
                    <w:t>Art. 21, § 3º, Lei 8.212</w:t>
                  </w:r>
                </w:p>
              </w:tc>
            </w:tr>
          </w:tbl>
          <w:p w14:paraId="67940C57" w14:textId="77777777" w:rsidR="005A5FCC" w:rsidRDefault="005A5FCC"/>
          <w:p w14:paraId="35AA4810" w14:textId="77777777" w:rsidR="005A5FCC" w:rsidRDefault="005A5FCC">
            <w:pPr>
              <w:spacing w:after="0" w:line="240" w:lineRule="auto"/>
            </w:pPr>
          </w:p>
        </w:tc>
      </w:tr>
    </w:tbl>
    <w:p w14:paraId="430718CF" w14:textId="77777777" w:rsidR="005A5FCC" w:rsidRDefault="005A5FCC">
      <w:pPr>
        <w:spacing w:after="80" w:line="240" w:lineRule="auto"/>
      </w:pPr>
    </w:p>
    <w:p w14:paraId="635028F4" w14:textId="4348F853" w:rsidR="005A5FCC" w:rsidRDefault="005A5FCC">
      <w:pPr>
        <w:sectPr w:rsidR="005A5FCC">
          <w:headerReference w:type="even" r:id="rId78"/>
          <w:headerReference w:type="default" r:id="rId79"/>
          <w:footerReference w:type="even" r:id="rId80"/>
          <w:footerReference w:type="default" r:id="rId81"/>
          <w:headerReference w:type="first" r:id="rId82"/>
          <w:footerReference w:type="first" r:id="rId83"/>
          <w:pgSz w:w="8391" w:h="11906"/>
          <w:pgMar w:top="935" w:right="879" w:bottom="964" w:left="1162" w:header="454" w:footer="425" w:gutter="0"/>
          <w:cols w:space="720"/>
          <w:titlePg/>
          <w:docGrid w:linePitch="360"/>
        </w:sectPr>
      </w:pPr>
    </w:p>
    <w:p w14:paraId="15400C1C" w14:textId="77777777" w:rsidR="005A5FCC" w:rsidRDefault="00A21C81">
      <w:pPr>
        <w:keepNext/>
        <w:spacing w:before="240" w:after="80" w:line="240" w:lineRule="auto"/>
        <w:jc w:val="center"/>
      </w:pPr>
      <w:r>
        <w:rPr>
          <w:rFonts w:ascii="Noto Sans" w:hAnsi="Noto Sans" w:cs="Noto Sans"/>
          <w:b/>
          <w:caps/>
          <w:color w:val="8A6A2A"/>
          <w:kern w:val="16"/>
          <w:sz w:val="19"/>
          <w14:ligatures w14:val="standardContextual"/>
        </w:rPr>
        <w:lastRenderedPageBreak/>
        <w:t>CAPÍTULO 5</w:t>
      </w:r>
    </w:p>
    <w:p w14:paraId="551D3E20" w14:textId="77777777" w:rsidR="005A5FCC" w:rsidRDefault="00A21C81">
      <w:pPr>
        <w:pStyle w:val="Ttulo2"/>
        <w:spacing w:line="240" w:lineRule="auto"/>
      </w:pPr>
      <w:r>
        <w:rPr>
          <w:rFonts w:ascii="EB Garamond" w:hAnsi="EB Garamond" w:cs="EB Garamond"/>
          <w:caps/>
          <w:kern w:val="16"/>
          <w14:ligatures w14:val="standardContextual"/>
        </w:rPr>
        <w:t>Reconhecimento, Cômputo e Averbação de Tempo de Contribuição</w:t>
      </w:r>
    </w:p>
    <w:p w14:paraId="5DE5350E" w14:textId="77777777" w:rsidR="005A5FCC" w:rsidRDefault="00A21C81">
      <w:pPr>
        <w:spacing w:after="240" w:line="240" w:lineRule="auto"/>
        <w:jc w:val="center"/>
      </w:pPr>
      <w:r>
        <w:rPr>
          <w:rFonts w:cs="EB Garamond"/>
          <w:color w:val="B78B37"/>
          <w:kern w:val="16"/>
          <w:sz w:val="18"/>
          <w14:ligatures w14:val="standardContextual"/>
        </w:rPr>
        <w:t>━━━━  ◆  ━━━━</w:t>
      </w:r>
    </w:p>
    <w:p w14:paraId="3D313559" w14:textId="4E59CE4C" w:rsidR="005A5FCC" w:rsidRDefault="006B3E6F">
      <w:pPr>
        <w:keepNext/>
        <w:pBdr>
          <w:bottom w:val="single" w:sz="8" w:space="4" w:color="B89B5E"/>
        </w:pBdr>
        <w:spacing w:before="360" w:after="140" w:line="240" w:lineRule="auto"/>
        <w:jc w:val="left"/>
      </w:pPr>
      <w:r>
        <w:rPr>
          <w:rFonts w:cs="EB Garamond"/>
          <w:b/>
          <w:color w:val="3A3128"/>
          <w:kern w:val="16"/>
          <w:sz w:val="31"/>
          <w14:ligatures w14:val="standardContextual"/>
        </w:rPr>
        <w:t xml:space="preserve">5.1 </w:t>
      </w:r>
      <w:r w:rsidR="00A21C81">
        <w:rPr>
          <w:rFonts w:cs="EB Garamond"/>
          <w:b/>
          <w:color w:val="3A3128"/>
          <w:kern w:val="16"/>
          <w:sz w:val="31"/>
          <w14:ligatures w14:val="standardContextual"/>
        </w:rPr>
        <w:t>Introdução: a centralidade do tempo de contribuição no direito previdenciário</w:t>
      </w:r>
    </w:p>
    <w:p w14:paraId="23D87A5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42D926E1" w14:textId="77777777" w:rsidR="005A5FCC" w:rsidRDefault="00A21C81">
      <w:r>
        <w:rPr>
          <w:rFonts w:cs="EB Garamond"/>
          <w:kern w:val="16"/>
          <w14:ligatures w14:val="standardContextual"/>
        </w:rPr>
        <w:t xml:space="preserve"> tempo de contribuição constitui o eixo gravitacional do sistema previdenciário brasileiro. Sua correta apuração determina não apenas o direito à aposentadoria, mas também o valor do benefício, a aplicação das regras de transição e a possibilidade de acumulação de tempo em regimes distintos. Para o advogado que atua nos Juizados Especiais Federais, compreender os mecanismos de reconhecimento, cômputo e averbação é pressuposto de qualquer estratégia previdenciária eficaz.</w:t>
      </w:r>
    </w:p>
    <w:p w14:paraId="1FB55B15" w14:textId="77777777" w:rsidR="005A5FCC" w:rsidRDefault="00A21C81">
      <w:pPr>
        <w:ind w:firstLine="238"/>
      </w:pPr>
      <w:r>
        <w:rPr>
          <w:rFonts w:cs="EB Garamond"/>
          <w:kern w:val="16"/>
          <w14:ligatures w14:val="standardContextual"/>
        </w:rPr>
        <w:t>A EC 103/2019 elevou a importância do tempo de contribuição ao convertê-lo em requisito cumulativo com a idade mínima para todas as modalidades de aposentadoria programada. Antes da Reforma, a aposentadoria por tempo de contribuição prescindia de idade mínima (exceto pela incidência do fator previdenciário); após a EC 103, o tempo de contribuição opera sempre em conjugação com requisito etário, seja na regra definitiva, seja nas regras de transição. A consequência prática é que cada mês reconhecido pode ser decisivo para o enquadramento do segurado na regra mais favorável.</w:t>
      </w:r>
    </w:p>
    <w:p w14:paraId="0B740A33" w14:textId="77777777" w:rsidR="005A5FCC" w:rsidRDefault="00A21C81">
      <w:pPr>
        <w:ind w:firstLine="238"/>
      </w:pPr>
      <w:r>
        <w:rPr>
          <w:rFonts w:cs="EB Garamond"/>
          <w:kern w:val="16"/>
          <w14:ligatures w14:val="standardContextual"/>
        </w:rPr>
        <w:t xml:space="preserve">Neste capítulo, percorreremos o itinerário completo da prova e do cômputo do tempo de contribuição: desde a fonte primária de informações, o Cadastro Nacional de Informações Sociais (CNIS), até situações específicas que exigem tratamento diferenciado, como a atividade rural anterior a novembro de 1991, o serviço militar obrigatório, o tempo de aluno-aprendiz, a contagem recíproca entre </w:t>
      </w:r>
      <w:r>
        <w:rPr>
          <w:rFonts w:cs="EB Garamond"/>
          <w:kern w:val="16"/>
          <w14:ligatures w14:val="standardContextual"/>
        </w:rPr>
        <w:lastRenderedPageBreak/>
        <w:t>regimes, as atividades concomitantes, a vedação ao tempo fictício, a conversão de tempo especial em comum e os acordos internacionais previdenciários.</w:t>
      </w:r>
    </w:p>
    <w:p w14:paraId="7DB80AA2" w14:textId="77777777" w:rsidR="005A5FCC" w:rsidRDefault="00A21C81">
      <w:pPr>
        <w:ind w:firstLine="238"/>
      </w:pPr>
      <w:r>
        <w:rPr>
          <w:rFonts w:cs="EB Garamond"/>
          <w:kern w:val="16"/>
          <w14:ligatures w14:val="standardContextual"/>
        </w:rPr>
        <w:t>O capítulo segue ordem lógica: inicia pelo CNIS (repositório central de informações) e sua retificação; prossegue com os períodos especiais de cômputo (rural, militar, aluno-aprendiz); examina a contagem recíproca e seu instrumento formal (CTC); analisa as atividades concomitantes e a vedação ao tempo fictício; encerra com a conversão de tempo especial em comum e os acordos internacionais. Os quadros comparativos, exemplos numéricos e boxes de prática forense servem como guia para situações concretas.</w:t>
      </w:r>
    </w:p>
    <w:p w14:paraId="187CED54" w14:textId="77777777" w:rsidR="005A5FCC" w:rsidRDefault="00A21C81">
      <w:pPr>
        <w:ind w:firstLine="238"/>
      </w:pPr>
      <w:r>
        <w:rPr>
          <w:rFonts w:cs="EB Garamond"/>
          <w:kern w:val="16"/>
          <w14:ligatures w14:val="standardContextual"/>
        </w:rPr>
        <w:t>Tempo de contribuição não se confunde com carência, conforme demonstrado no Capítulo 3. Enquanto a carência exige contribuições efetivamente recolhidas em competências determinadas, o tempo de contribuição admite períodos computáveis por força de lei mesmo sem recolhimento, como é o caso paradigmático da atividade rural anterior a novembro de 1991. Da mesma forma, contribuições em atraso indenizadas na forma do art. 45-A da Lei 8.212/91 (Capítulo 4) geram tempo de contribuição, mas não contam para carência. Essa distinção permeia todo o capítulo e tem consequências decisivas na concessão de benefícios.</w:t>
      </w:r>
    </w:p>
    <w:p w14:paraId="0BA96864"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5.2 CNIS: o cadastro nacional de informações sociais</w:t>
      </w:r>
    </w:p>
    <w:p w14:paraId="7D1672A1" w14:textId="77777777" w:rsidR="005A5FCC" w:rsidRDefault="00A21C81">
      <w:pPr>
        <w:spacing w:before="260" w:after="80" w:line="240" w:lineRule="auto"/>
        <w:jc w:val="left"/>
      </w:pPr>
      <w:r>
        <w:rPr>
          <w:rFonts w:cs="EB Garamond"/>
          <w:b/>
          <w:color w:val="3A3128"/>
          <w:kern w:val="16"/>
          <w:sz w:val="25"/>
          <w14:ligatures w14:val="standardContextual"/>
        </w:rPr>
        <w:t>5.2.1 Natureza jurídica e força probatória</w:t>
      </w:r>
    </w:p>
    <w:p w14:paraId="6138946E"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52A3293C" w14:textId="77777777" w:rsidR="005A5FCC" w:rsidRDefault="00A21C81">
      <w:r>
        <w:rPr>
          <w:rFonts w:cs="EB Garamond"/>
          <w:kern w:val="16"/>
          <w14:ligatures w14:val="standardContextual"/>
        </w:rPr>
        <w:t xml:space="preserve"> Cadastro Nacional de Informações Sociais é o repositório eletrônico que concentra os dados relativos a vínculos empregatícios, remunerações, contribuições e filiações dos segurados do RGPS. Instituído pela Lei 8.212/91 e regulamentado pelo Decreto 3.048/99, o CNIS assumiu papel central na administração previdenciária brasileira a partir de 1997, quando passou a ser alimentado sistematicamente pelo sistema de arrecadação.</w:t>
      </w:r>
    </w:p>
    <w:p w14:paraId="5871C481" w14:textId="77777777" w:rsidR="005A5FCC" w:rsidRDefault="00A21C81">
      <w:pPr>
        <w:ind w:firstLine="238"/>
      </w:pPr>
      <w:r>
        <w:rPr>
          <w:rFonts w:cs="EB Garamond"/>
          <w:kern w:val="16"/>
          <w14:ligatures w14:val="standardContextual"/>
        </w:rPr>
        <w:t xml:space="preserve">O art. 29-A da Lei 8.213/91 confere ao CNIS a natureza de fonte primária de informações para cálculo e concessão de benefícios. Nos termos do § 5º do </w:t>
      </w:r>
      <w:r>
        <w:rPr>
          <w:rFonts w:cs="EB Garamond"/>
          <w:kern w:val="16"/>
          <w14:ligatures w14:val="standardContextual"/>
        </w:rPr>
        <w:lastRenderedPageBreak/>
        <w:t>mesmo dispositivo, os dados constantes do CNIS valem, para todos os efeitos, como prova de filiação à Previdência Social, tempo de contribuição e salários de contribuição. Trata-se de presunção legal de veracidade, que dispensa o segurado de apresentar documentos adicionais quando os registros do CNIS estiverem completos e regulares.</w:t>
      </w:r>
    </w:p>
    <w:p w14:paraId="1F8C5D4F" w14:textId="77777777" w:rsidR="005A5FCC" w:rsidRDefault="00A21C81">
      <w:pPr>
        <w:ind w:firstLine="238"/>
      </w:pPr>
      <w:r>
        <w:rPr>
          <w:rFonts w:cs="EB Garamond"/>
          <w:kern w:val="16"/>
          <w14:ligatures w14:val="standardContextual"/>
        </w:rPr>
        <w:t>A presunção, contudo, é relativa (juris tantum). O art. 19-B do Decreto 3.048/99 explicita que as informações do CNIS são passíveis de contestação tanto pelo segurado quanto pela Administração. O segurado pode demonstrar que os dados registrados não correspondem à realidade — por exemplo, que o salário de contribuição era superior ao informado pelo empregador, ou que existiu vínculo empregatício não registrado. De sua parte, o INSS pode questionar informações cuja regularidade seja duvidosa, especialmente aquelas inseridas extemporaneamente no sistema.</w:t>
      </w:r>
    </w:p>
    <w:tbl>
      <w:tblPr>
        <w:tblW w:w="5000" w:type="pct"/>
        <w:jc w:val="center"/>
        <w:tblLayout w:type="fixed"/>
        <w:tblLook w:val="04A0" w:firstRow="1" w:lastRow="0" w:firstColumn="1" w:lastColumn="0" w:noHBand="0" w:noVBand="1"/>
      </w:tblPr>
      <w:tblGrid>
        <w:gridCol w:w="6311"/>
      </w:tblGrid>
      <w:tr w:rsidR="005A5FCC" w14:paraId="10EABD16"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66E46E5F"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646B2813" w14:textId="77777777" w:rsidR="005A5FCC" w:rsidRDefault="00A21C81">
            <w:pPr>
              <w:spacing w:after="60" w:line="247" w:lineRule="auto"/>
            </w:pPr>
            <w:r>
              <w:rPr>
                <w:rFonts w:cs="EB Garamond"/>
                <w:b/>
                <w:kern w:val="16"/>
                <w:sz w:val="19"/>
                <w14:ligatures w14:val="standardContextual"/>
              </w:rPr>
              <w:t>Dica prática: CNIS como ponto de partida</w:t>
            </w:r>
          </w:p>
          <w:p w14:paraId="7DED3A83" w14:textId="77777777" w:rsidR="005A5FCC" w:rsidRDefault="00A21C81">
            <w:pPr>
              <w:spacing w:after="60" w:line="247" w:lineRule="auto"/>
            </w:pPr>
            <w:r>
              <w:rPr>
                <w:rFonts w:cs="EB Garamond"/>
                <w:kern w:val="16"/>
                <w:sz w:val="19"/>
                <w14:ligatures w14:val="standardContextual"/>
              </w:rPr>
              <w:t>Antes de qualquer ação previdenciária, o primeiro passo do advogado deve ser a obtenção do extrato do CNIS atualizado (via Meu INSS ou requerimento administrativo). A análise do CNIS revela: (a) vínculos reconhecidos e seus períodos; (b) remunerações registradas; (c) lacunas contributivas; (d) indicadores de extemporaneidade; (e) marcações de pendência. Cada inconsistência identificada no CNIS é potencial fundamento para ação de retificação ou reconhecimento de tempo.</w:t>
            </w:r>
          </w:p>
        </w:tc>
      </w:tr>
    </w:tbl>
    <w:p w14:paraId="1864B476" w14:textId="77777777" w:rsidR="005A5FCC" w:rsidRDefault="005A5FCC">
      <w:pPr>
        <w:spacing w:after="80" w:line="240" w:lineRule="auto"/>
      </w:pPr>
    </w:p>
    <w:p w14:paraId="6A6BC092" w14:textId="77777777" w:rsidR="005A5FCC" w:rsidRDefault="00A21C81">
      <w:pPr>
        <w:spacing w:before="260" w:after="80" w:line="240" w:lineRule="auto"/>
        <w:jc w:val="left"/>
      </w:pPr>
      <w:r>
        <w:rPr>
          <w:rFonts w:cs="EB Garamond"/>
          <w:b/>
          <w:color w:val="3A3128"/>
          <w:kern w:val="16"/>
          <w:sz w:val="25"/>
          <w14:ligatures w14:val="standardContextual"/>
        </w:rPr>
        <w:t>5.2.2 Alimentação do CNIS</w:t>
      </w:r>
    </w:p>
    <w:p w14:paraId="42C79999"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7E5C6662" w14:textId="77777777" w:rsidR="005A5FCC" w:rsidRDefault="00A21C81">
      <w:r>
        <w:rPr>
          <w:rFonts w:cs="EB Garamond"/>
          <w:kern w:val="16"/>
          <w14:ligatures w14:val="standardContextual"/>
        </w:rPr>
        <w:t xml:space="preserve"> CNIS é alimentado por múltiplas fontes, cuja evolução reflete a modernização da arrecadação previdenciária:</w:t>
      </w:r>
    </w:p>
    <w:p w14:paraId="39D0BBB5"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eSocial (a partir de 2018, faseado):</w:t>
      </w:r>
      <w:r>
        <w:rPr>
          <w:rFonts w:cs="EB Garamond"/>
          <w:kern w:val="16"/>
          <w:sz w:val="20"/>
          <w14:ligatures w14:val="standardContextual"/>
        </w:rPr>
        <w:t xml:space="preserve"> Sistema de escrituração digital das obrigações fiscais, previdenciárias e trabalhistas que substituiu a GFIP/SEFIP para empregadores. Transmite automaticamente ao CNIS as informações de vínculos, remunerações e eventos trabalhistas.</w:t>
      </w:r>
    </w:p>
    <w:p w14:paraId="17BDDD35" w14:textId="77777777" w:rsidR="005A5FCC" w:rsidRDefault="005A5FCC">
      <w:pPr>
        <w:spacing w:after="60" w:line="240" w:lineRule="auto"/>
      </w:pPr>
    </w:p>
    <w:p w14:paraId="69DBF48C" w14:textId="77777777" w:rsidR="005A5FCC" w:rsidRDefault="00A21C81">
      <w:pPr>
        <w:spacing w:after="40" w:line="252" w:lineRule="auto"/>
        <w:ind w:left="340" w:hanging="198"/>
      </w:pPr>
      <w:r>
        <w:rPr>
          <w:rFonts w:cs="EB Garamond"/>
          <w:color w:val="3A3128"/>
          <w:kern w:val="16"/>
          <w:sz w:val="20"/>
          <w14:ligatures w14:val="standardContextual"/>
        </w:rPr>
        <w:lastRenderedPageBreak/>
        <w:t xml:space="preserve">• </w:t>
      </w:r>
      <w:r>
        <w:rPr>
          <w:rFonts w:cs="EB Garamond"/>
          <w:b/>
          <w:kern w:val="16"/>
          <w:sz w:val="20"/>
          <w14:ligatures w14:val="standardContextual"/>
        </w:rPr>
        <w:t>GFIP/SEFIP (1999 a 2018):</w:t>
      </w:r>
      <w:r>
        <w:rPr>
          <w:rFonts w:cs="EB Garamond"/>
          <w:kern w:val="16"/>
          <w:sz w:val="20"/>
          <w14:ligatures w14:val="standardContextual"/>
        </w:rPr>
        <w:t xml:space="preserve"> Guia de Recolhimento do FGTS e de Informações à Previdência Social — principal meio de alimentação do CNIS durante quase duas décadas. Ainda existem registros remanescentes desse período no sistema.</w:t>
      </w:r>
    </w:p>
    <w:p w14:paraId="364184D6" w14:textId="77777777" w:rsidR="005A5FCC" w:rsidRDefault="005A5FCC">
      <w:pPr>
        <w:spacing w:after="60" w:line="240" w:lineRule="auto"/>
      </w:pPr>
    </w:p>
    <w:p w14:paraId="0A91E7C1"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GPS (contribuintes individuais e facultativos):</w:t>
      </w:r>
      <w:r>
        <w:rPr>
          <w:rFonts w:cs="EB Garamond"/>
          <w:kern w:val="16"/>
          <w:sz w:val="20"/>
          <w14:ligatures w14:val="standardContextual"/>
        </w:rPr>
        <w:t xml:space="preserve"> Guia da Previdência Social — utilizada para recolhimentos avulsos. O pagamento da GPS gera registro no CNIS do período contributivo correspondente.</w:t>
      </w:r>
    </w:p>
    <w:p w14:paraId="1A747AB5" w14:textId="77777777" w:rsidR="005A5FCC" w:rsidRDefault="005A5FCC">
      <w:pPr>
        <w:spacing w:after="60" w:line="240" w:lineRule="auto"/>
      </w:pPr>
    </w:p>
    <w:p w14:paraId="01942FF3"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RAIS e CAGED (complementação):</w:t>
      </w:r>
      <w:r>
        <w:rPr>
          <w:rFonts w:cs="EB Garamond"/>
          <w:kern w:val="16"/>
          <w:sz w:val="20"/>
          <w14:ligatures w14:val="standardContextual"/>
        </w:rPr>
        <w:t xml:space="preserve"> Relação Anual de Informações Sociais e Cadastro Geral de Empregados e Desempregados, fontes complementares que alimentam o CNIS com dados de admissões, desligamentos e remunerações.</w:t>
      </w:r>
    </w:p>
    <w:p w14:paraId="2D00279D" w14:textId="77777777" w:rsidR="005A5FCC" w:rsidRDefault="005A5FCC">
      <w:pPr>
        <w:spacing w:after="60" w:line="240" w:lineRule="auto"/>
      </w:pPr>
    </w:p>
    <w:p w14:paraId="79FC7D90"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CTC e informações de RPPS:</w:t>
      </w:r>
      <w:r>
        <w:rPr>
          <w:rFonts w:cs="EB Garamond"/>
          <w:kern w:val="16"/>
          <w:sz w:val="20"/>
          <w14:ligatures w14:val="standardContextual"/>
        </w:rPr>
        <w:t xml:space="preserve"> Certidões de Tempo de Contribuição expedidas por regimes próprios alimentam o CNIS quando averbadas no RGPS.</w:t>
      </w:r>
    </w:p>
    <w:p w14:paraId="6669E63F" w14:textId="77777777" w:rsidR="005A5FCC" w:rsidRDefault="005A5FCC">
      <w:pPr>
        <w:spacing w:after="60" w:line="240" w:lineRule="auto"/>
      </w:pPr>
    </w:p>
    <w:p w14:paraId="07B2FAE6"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Informações das Forças Armadas:</w:t>
      </w:r>
      <w:r>
        <w:rPr>
          <w:rFonts w:cs="EB Garamond"/>
          <w:kern w:val="16"/>
          <w:sz w:val="20"/>
          <w14:ligatures w14:val="standardContextual"/>
        </w:rPr>
        <w:t xml:space="preserve"> Dados do serviço militar transmitidos pelos órgãos militares ao CNIS.</w:t>
      </w:r>
    </w:p>
    <w:p w14:paraId="784FEE44" w14:textId="77777777" w:rsidR="005A5FCC" w:rsidRDefault="005A5FCC">
      <w:pPr>
        <w:spacing w:after="60" w:line="240" w:lineRule="auto"/>
      </w:pPr>
    </w:p>
    <w:p w14:paraId="2D74A70F"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6F39A3C4" w14:textId="77777777" w:rsidR="005A5FCC" w:rsidRDefault="00A21C81">
      <w:r>
        <w:rPr>
          <w:rFonts w:cs="EB Garamond"/>
          <w:kern w:val="16"/>
          <w14:ligatures w14:val="standardContextual"/>
        </w:rPr>
        <w:t xml:space="preserve"> multiplicidade de fontes gera, inevitavelmente, inconsistências. Vínculos informados pela RAIS podem não coincidir com os registrados na GFIP; remunerações declaradas no eSocial podem divergir de valores constantes da CTPS. Cada inconsistência é potencial foco de controvérsia administrativa ou judicial.</w:t>
      </w:r>
    </w:p>
    <w:p w14:paraId="114C94AF" w14:textId="77777777" w:rsidR="005A5FCC" w:rsidRDefault="00A21C81">
      <w:pPr>
        <w:spacing w:before="260" w:after="80" w:line="240" w:lineRule="auto"/>
        <w:jc w:val="left"/>
      </w:pPr>
      <w:r>
        <w:rPr>
          <w:rFonts w:cs="EB Garamond"/>
          <w:b/>
          <w:color w:val="3A3128"/>
          <w:kern w:val="16"/>
          <w:sz w:val="25"/>
          <w14:ligatures w14:val="standardContextual"/>
        </w:rPr>
        <w:t>5.2.3 Extemporaneidade e indicadores de pendência</w:t>
      </w:r>
    </w:p>
    <w:p w14:paraId="41F0C86E"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4D45E90B" w14:textId="77777777" w:rsidR="005A5FCC" w:rsidRDefault="00A21C81">
      <w:r>
        <w:rPr>
          <w:rFonts w:cs="EB Garamond"/>
          <w:kern w:val="16"/>
          <w14:ligatures w14:val="standardContextual"/>
        </w:rPr>
        <w:t xml:space="preserve"> Decreto 3.048/99, em seu art. 19-C (incluído pelo Decreto 10.410/2020), trata das informações inseridas extemporaneamente no CNIS. O prazo de referência para configuração da extemporaneidade — 120 dias contados do fato gerador — decorre da regulamentação administrativa (IN INSS/PRES 128/2022). As informações extemporâneas ficam pendentes de confirmação, e o INSS pode exigir documentos comprobatórios adicionais antes de reconhecê-las para efeitos previdenciários.</w:t>
      </w:r>
    </w:p>
    <w:p w14:paraId="0E0A36F9" w14:textId="77777777" w:rsidR="005A5FCC" w:rsidRDefault="00A21C81">
      <w:pPr>
        <w:ind w:firstLine="238"/>
      </w:pPr>
      <w:r>
        <w:rPr>
          <w:rFonts w:cs="EB Garamond"/>
          <w:kern w:val="16"/>
          <w14:ligatures w14:val="standardContextual"/>
        </w:rPr>
        <w:lastRenderedPageBreak/>
        <w:t>Na prática administrativa, o INSS utiliza indicadores no CNIS para sinalizar potenciais irregularidades: o indicador "PEXT" (pendência de extemporaneidade), o indicador "PREC" (pendência de reclamatória trabalhista), o indicador "PVIN-IRREG" (vínculo irregular) e outros. A presença desses indicadores não significa necessariamente que o vínculo ou a remuneração sejam inválidos, mas impõe ao segurado o ônus de apresentar prova complementar.</w:t>
      </w:r>
    </w:p>
    <w:tbl>
      <w:tblPr>
        <w:tblW w:w="5000" w:type="pct"/>
        <w:jc w:val="center"/>
        <w:tblLayout w:type="fixed"/>
        <w:tblLook w:val="04A0" w:firstRow="1" w:lastRow="0" w:firstColumn="1" w:lastColumn="0" w:noHBand="0" w:noVBand="1"/>
      </w:tblPr>
      <w:tblGrid>
        <w:gridCol w:w="6311"/>
      </w:tblGrid>
      <w:tr w:rsidR="005A5FCC" w14:paraId="053A12B6"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38EB981E"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41379070" w14:textId="77777777" w:rsidR="005A5FCC" w:rsidRDefault="00A21C81">
            <w:pPr>
              <w:spacing w:after="60" w:line="247" w:lineRule="auto"/>
            </w:pPr>
            <w:r>
              <w:rPr>
                <w:rFonts w:cs="EB Garamond"/>
                <w:b/>
                <w:kern w:val="16"/>
                <w:sz w:val="19"/>
                <w14:ligatures w14:val="standardContextual"/>
              </w:rPr>
              <w:t>Alerta: Extemporaneidade não invalida automaticamente o vínculo</w:t>
            </w:r>
          </w:p>
          <w:p w14:paraId="0BACF4DA" w14:textId="77777777" w:rsidR="005A5FCC" w:rsidRDefault="00A21C81">
            <w:pPr>
              <w:spacing w:after="60" w:line="247" w:lineRule="auto"/>
            </w:pPr>
            <w:r>
              <w:rPr>
                <w:rFonts w:cs="EB Garamond"/>
                <w:kern w:val="16"/>
                <w:sz w:val="19"/>
                <w14:ligatures w14:val="standardContextual"/>
              </w:rPr>
              <w:t>É frequente o INSS indeferir pedidos de cômputo de tempo exclusivamente com fundamento na extemporaneidade dos dados no CNIS. Essa prática é equivocada. A extemporaneidade gera presunção relativa de irregularidade, mas o segurado pode supri-la mediante apresentação de documentos contemporâneos ao vínculo: CTPS com anotações regulares, contracheques, extratos de FGTS, termos de rescisão contratual, declaração do empregador. A TNU Súmula 75 é expressa: "A CTPS em que não conste rasura ou emenda goza de presunção relativa de veracidade, constituindo meio de prova suficiente do tempo de serviço para efeitos previdenciários, mesmo quando as anotações não constem do CNIS."</w:t>
            </w:r>
          </w:p>
        </w:tc>
      </w:tr>
    </w:tbl>
    <w:p w14:paraId="1FEC767C" w14:textId="77777777" w:rsidR="005A5FCC" w:rsidRDefault="005A5FCC">
      <w:pPr>
        <w:spacing w:after="80" w:line="240" w:lineRule="auto"/>
      </w:pPr>
    </w:p>
    <w:p w14:paraId="4D8A2686" w14:textId="77777777" w:rsidR="005A5FCC" w:rsidRDefault="00A21C81">
      <w:pPr>
        <w:spacing w:before="260" w:after="80" w:line="240" w:lineRule="auto"/>
        <w:jc w:val="left"/>
      </w:pPr>
      <w:r>
        <w:rPr>
          <w:rFonts w:cs="EB Garamond"/>
          <w:b/>
          <w:color w:val="3A3128"/>
          <w:kern w:val="16"/>
          <w:sz w:val="25"/>
          <w14:ligatures w14:val="standardContextual"/>
        </w:rPr>
        <w:t>5.2.4 CNIS e a inversão do ônus da prova</w:t>
      </w:r>
    </w:p>
    <w:p w14:paraId="47F4B45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11B7BA17" w14:textId="77777777" w:rsidR="005A5FCC" w:rsidRDefault="00A21C81">
      <w:r>
        <w:rPr>
          <w:rFonts w:cs="EB Garamond"/>
          <w:kern w:val="16"/>
          <w14:ligatures w14:val="standardContextual"/>
        </w:rPr>
        <w:t xml:space="preserve"> sistemática do art. 29-A da Lei 8.213/91 opera verdadeira inversão do ônus probatório em matéria previdenciária. Quando os dados do CNIS são completos e regulares, o ônus de demonstrar irregularidade recai sobre o INSS. Quando existem lacunas ou indicadores de pendência, o ônus retorna ao segurado, que deve apresentar documentação comprobatória.</w:t>
      </w:r>
    </w:p>
    <w:p w14:paraId="506AAC37" w14:textId="77777777" w:rsidR="005A5FCC" w:rsidRDefault="00A21C81">
      <w:pPr>
        <w:ind w:firstLine="238"/>
      </w:pPr>
      <w:r>
        <w:rPr>
          <w:rFonts w:cs="EB Garamond"/>
          <w:kern w:val="16"/>
          <w14:ligatures w14:val="standardContextual"/>
        </w:rPr>
        <w:t>Essa dinâmica tem consequências processuais relevantes nos JEFs. O juiz deve analisar o CNIS como ponto de partida probatório: se o INSS indeferiu o benefício desconsiderando dados regulares do CNIS, há presunção de irregularidade do ato administrativo. Se, ao contrário, o segurado pretende reconhecer período não registrado no CNIS, deve trazer aos autos prova robusta da existência do vínculo ou da atividade.</w:t>
      </w:r>
    </w:p>
    <w:tbl>
      <w:tblPr>
        <w:tblW w:w="5000" w:type="pct"/>
        <w:jc w:val="center"/>
        <w:tblLayout w:type="fixed"/>
        <w:tblLook w:val="04A0" w:firstRow="1" w:lastRow="0" w:firstColumn="1" w:lastColumn="0" w:noHBand="0" w:noVBand="1"/>
      </w:tblPr>
      <w:tblGrid>
        <w:gridCol w:w="6311"/>
      </w:tblGrid>
      <w:tr w:rsidR="005A5FCC" w14:paraId="1128B067"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275DAC19" w14:textId="77777777" w:rsidR="005A5FCC" w:rsidRDefault="00A21C81">
            <w:pPr>
              <w:spacing w:after="60" w:line="240" w:lineRule="auto"/>
              <w:jc w:val="left"/>
            </w:pPr>
            <w:r>
              <w:rPr>
                <w:rFonts w:ascii="Noto Sans" w:hAnsi="Noto Sans" w:cs="Noto Sans"/>
                <w:b/>
                <w:caps/>
                <w:color w:val="4D6F8A"/>
                <w:kern w:val="16"/>
                <w:sz w:val="16"/>
                <w14:ligatures w14:val="standardContextual"/>
              </w:rPr>
              <w:lastRenderedPageBreak/>
              <w:t>JURISPRUDÊNCIA EM DESTAQUE</w:t>
            </w:r>
          </w:p>
          <w:p w14:paraId="4FA0070F" w14:textId="77777777" w:rsidR="005A5FCC" w:rsidRDefault="00A21C81">
            <w:pPr>
              <w:spacing w:after="60" w:line="247" w:lineRule="auto"/>
            </w:pPr>
            <w:r>
              <w:rPr>
                <w:rFonts w:cs="EB Garamond"/>
                <w:b/>
                <w:kern w:val="16"/>
                <w:sz w:val="19"/>
                <w14:ligatures w14:val="standardContextual"/>
              </w:rPr>
              <w:t>TNU Súmula 75 — CTPS e CNIS</w:t>
            </w:r>
          </w:p>
          <w:p w14:paraId="493BAB55" w14:textId="77777777" w:rsidR="005A5FCC" w:rsidRDefault="00A21C81">
            <w:pPr>
              <w:spacing w:after="60" w:line="247" w:lineRule="auto"/>
            </w:pPr>
            <w:r>
              <w:rPr>
                <w:rFonts w:cs="EB Garamond"/>
                <w:kern w:val="16"/>
                <w:sz w:val="19"/>
                <w14:ligatures w14:val="standardContextual"/>
              </w:rPr>
              <w:t>"A Carteira de Trabalho e Previdência Social em que não conste rasura ou emenda goza de presunção relativa de veracidade, constituindo meio de prova suficiente do tempo de serviço para efeitos previdenciários, mesmo quando as anotações não constem do CNIS." O enunciado reconhece que o CNIS não é exclusivo e que documentos tradicionais, como a CTPS sem defeitos formais, mantêm plena eficácia probatória mesmo quando o sistema informatizado não contempla o vínculo.</w:t>
            </w:r>
          </w:p>
        </w:tc>
      </w:tr>
    </w:tbl>
    <w:p w14:paraId="61040EB2" w14:textId="77777777" w:rsidR="005A5FCC" w:rsidRDefault="005A5FCC">
      <w:pPr>
        <w:spacing w:after="80" w:line="240" w:lineRule="auto"/>
      </w:pPr>
    </w:p>
    <w:p w14:paraId="73B4B41A" w14:textId="77777777" w:rsidR="005A5FCC" w:rsidRDefault="00A21C81">
      <w:pPr>
        <w:spacing w:before="260" w:after="80" w:line="240" w:lineRule="auto"/>
        <w:jc w:val="left"/>
      </w:pPr>
      <w:r>
        <w:rPr>
          <w:rFonts w:cs="EB Garamond"/>
          <w:b/>
          <w:color w:val="3A3128"/>
          <w:kern w:val="16"/>
          <w:sz w:val="25"/>
          <w14:ligatures w14:val="standardContextual"/>
        </w:rPr>
        <w:t>5.2.5 Reclamatória trabalhista e reflexos no CNIS</w:t>
      </w:r>
    </w:p>
    <w:p w14:paraId="766E49CB"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0011F6CC" w14:textId="77777777" w:rsidR="005A5FCC" w:rsidRDefault="00A21C81">
      <w:r>
        <w:rPr>
          <w:rFonts w:cs="EB Garamond"/>
          <w:kern w:val="16"/>
          <w14:ligatures w14:val="standardContextual"/>
        </w:rPr>
        <w:t xml:space="preserve"> reflexo das sentenças trabalhistas no CNIS gera controvérsia frequente nos JEFs. Quando o segurado obtém reconhecimento de vínculo empregatício na Justiça do Trabalho, a sentença transitada em julgado deve ser comunicada ao INSS para inclusão no CNIS. Contudo, o INSS frequentemente resiste à averbação de vínculos reconhecidos judicialmente, especialmente quando a sentença trabalhista é proferida sem amplo contraditório previdenciário (o INSS não é parte na reclamatória trabalhista).</w:t>
      </w:r>
    </w:p>
    <w:p w14:paraId="4C35A1F0" w14:textId="77777777" w:rsidR="005A5FCC" w:rsidRDefault="00A21C81">
      <w:pPr>
        <w:ind w:firstLine="238"/>
      </w:pPr>
      <w:r>
        <w:rPr>
          <w:rFonts w:cs="EB Garamond"/>
          <w:kern w:val="16"/>
          <w14:ligatures w14:val="standardContextual"/>
        </w:rPr>
        <w:t>A jurisprudência dos TRFs e da TNU é consolidada no sentido de que a sentença trabalhista constitui início de prova material do vínculo empregatício, mas não vincula o INSS de forma absoluta quando proferida com base exclusivamente em revelia do empregador ou em acordo judicial homologado sem instrução probatória. Nesses casos, o INSS pode exigir documentos complementares para confirmar a existência efetiva do vínculo.</w:t>
      </w:r>
    </w:p>
    <w:p w14:paraId="40924603" w14:textId="77777777" w:rsidR="005A5FCC" w:rsidRDefault="00A21C81">
      <w:pPr>
        <w:ind w:firstLine="238"/>
      </w:pPr>
      <w:r>
        <w:rPr>
          <w:rFonts w:cs="EB Garamond"/>
          <w:kern w:val="16"/>
          <w14:ligatures w14:val="standardContextual"/>
        </w:rPr>
        <w:t xml:space="preserve">Esse entendimento foi recentemente consolidado pelo STJ em sede de recursos repetitivos. No julgamento do </w:t>
      </w:r>
      <w:r>
        <w:rPr>
          <w:rFonts w:cs="EB Garamond"/>
          <w:b/>
          <w:kern w:val="16"/>
          <w14:ligatures w14:val="standardContextual"/>
        </w:rPr>
        <w:t>Tema 1.188</w:t>
      </w:r>
      <w:r>
        <w:rPr>
          <w:rFonts w:cs="EB Garamond"/>
          <w:kern w:val="16"/>
          <w14:ligatures w14:val="standardContextual"/>
        </w:rPr>
        <w:t xml:space="preserve"> (REsp 1.938.265, Rel. Min. Benedito Gonçalves, Primeira Seção, j. 11/09/2024), a Corte distinguiu a sentença trabalhista propriamente cognitiva — fruto de instrução probatória — daquela meramente homologatória de acordo, que não examina o mérito do vínculo. Para esta última, exigem-se elementos de prova contemporâneos ao período que se pretende reconhecer.</w:t>
      </w:r>
    </w:p>
    <w:tbl>
      <w:tblPr>
        <w:tblW w:w="5000" w:type="pct"/>
        <w:jc w:val="center"/>
        <w:tblLayout w:type="fixed"/>
        <w:tblLook w:val="04A0" w:firstRow="1" w:lastRow="0" w:firstColumn="1" w:lastColumn="0" w:noHBand="0" w:noVBand="1"/>
      </w:tblPr>
      <w:tblGrid>
        <w:gridCol w:w="6311"/>
      </w:tblGrid>
      <w:tr w:rsidR="005A5FCC" w14:paraId="3491D3D6"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4694AFB1" w14:textId="77777777" w:rsidR="005A5FCC" w:rsidRDefault="00A21C81">
            <w:pPr>
              <w:spacing w:after="60" w:line="240" w:lineRule="auto"/>
              <w:jc w:val="left"/>
            </w:pPr>
            <w:r>
              <w:rPr>
                <w:rFonts w:ascii="Noto Sans" w:hAnsi="Noto Sans" w:cs="Noto Sans"/>
                <w:b/>
                <w:caps/>
                <w:color w:val="4D6F8A"/>
                <w:kern w:val="16"/>
                <w:sz w:val="16"/>
                <w14:ligatures w14:val="standardContextual"/>
              </w:rPr>
              <w:lastRenderedPageBreak/>
              <w:t>JURISPRUDÊNCIA EM DESTAQUE</w:t>
            </w:r>
          </w:p>
          <w:p w14:paraId="5124E188" w14:textId="77777777" w:rsidR="005A5FCC" w:rsidRDefault="00A21C81">
            <w:pPr>
              <w:spacing w:after="60" w:line="247" w:lineRule="auto"/>
            </w:pPr>
            <w:r>
              <w:rPr>
                <w:rFonts w:cs="EB Garamond"/>
                <w:b/>
                <w:kern w:val="16"/>
                <w:sz w:val="19"/>
                <w14:ligatures w14:val="standardContextual"/>
              </w:rPr>
              <w:t>STJ Tema 1.188 — Sentença trabalhista homologatória de acordo como início de prova material</w:t>
            </w:r>
          </w:p>
          <w:p w14:paraId="0EECFC25" w14:textId="77777777" w:rsidR="005A5FCC" w:rsidRDefault="00A21C81">
            <w:pPr>
              <w:spacing w:after="60" w:line="247" w:lineRule="auto"/>
            </w:pPr>
            <w:r>
              <w:rPr>
                <w:rFonts w:cs="EB Garamond"/>
                <w:kern w:val="16"/>
                <w:sz w:val="19"/>
                <w14:ligatures w14:val="standardContextual"/>
              </w:rPr>
              <w:t>No REsp 1.938.265 (Rel. Min. Benedito Gonçalves, Primeira Seção, j. 11/09/2024), o STJ fixou a seguinte tese: "A sentença trabalhista homologatória de acordo, assim como a anotação na CTPS e demais documentos dela decorrentes, somente será considerada início de prova material válida, conforme o disposto no art. 55, § 3º, da Lei 8.213/91, quando houver nos autos elementos probatórios contemporâneos que comprovem os fatos alegados e sejam aptos a demonstrar o tempo de serviço no período que se pretende reconhecer na ação previdenciária, exceto na hipótese de caso fortuito ou força maior." Na prática, a sentença homologatória de acordo, isoladamente, não basta para o reconhecimento do tempo de serviço perante o INSS: é indispensável que o segurado apresente documentação contemporânea ao vínculo (contracheques, registros funcionais, recolhimentos de FGTS, anotações regulares na CTPS acompanhadas de outros indícios). Ressalva-se a hipótese de caso fortuito ou força maior que tenha impossibilitado a preservação dos documentos da época.</w:t>
            </w:r>
          </w:p>
        </w:tc>
      </w:tr>
    </w:tbl>
    <w:p w14:paraId="59787BA7" w14:textId="77777777" w:rsidR="005A5FCC" w:rsidRDefault="005A5FCC">
      <w:pPr>
        <w:spacing w:after="80" w:line="240" w:lineRule="auto"/>
      </w:pPr>
    </w:p>
    <w:p w14:paraId="7E2C975F"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N</w:t>
      </w:r>
    </w:p>
    <w:p w14:paraId="0FB81253" w14:textId="77777777" w:rsidR="005A5FCC" w:rsidRDefault="00A21C81">
      <w:r>
        <w:rPr>
          <w:rFonts w:cs="EB Garamond"/>
          <w:kern w:val="16"/>
          <w14:ligatures w14:val="standardContextual"/>
        </w:rPr>
        <w:t>o CNIS, os vínculos decorrentes de reclamatória trabalhista recebem o indicador "PREC" (pendência de reclamatória), sinalizando que a inclusão foi feita por via judicial e que pode haver necessidade de verificação adicional. O indicador não invalida o vínculo, mas autoriza o INSS a requerer documentação complementar.</w:t>
      </w:r>
    </w:p>
    <w:tbl>
      <w:tblPr>
        <w:tblW w:w="5000" w:type="pct"/>
        <w:jc w:val="center"/>
        <w:tblLayout w:type="fixed"/>
        <w:tblLook w:val="04A0" w:firstRow="1" w:lastRow="0" w:firstColumn="1" w:lastColumn="0" w:noHBand="0" w:noVBand="1"/>
      </w:tblPr>
      <w:tblGrid>
        <w:gridCol w:w="6311"/>
      </w:tblGrid>
      <w:tr w:rsidR="005A5FCC" w14:paraId="279A09BD"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23A3A28A"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579F5E4D" w14:textId="77777777" w:rsidR="005A5FCC" w:rsidRDefault="00A21C81">
            <w:pPr>
              <w:spacing w:after="60" w:line="247" w:lineRule="auto"/>
            </w:pPr>
            <w:r>
              <w:rPr>
                <w:rFonts w:cs="EB Garamond"/>
                <w:b/>
                <w:kern w:val="16"/>
                <w:sz w:val="19"/>
                <w14:ligatures w14:val="standardContextual"/>
              </w:rPr>
              <w:t>Reclamatória trabalhista como prova no JEF</w:t>
            </w:r>
          </w:p>
          <w:p w14:paraId="17F18578" w14:textId="77777777" w:rsidR="005A5FCC" w:rsidRDefault="00A21C81">
            <w:pPr>
              <w:spacing w:after="60" w:line="247" w:lineRule="auto"/>
            </w:pPr>
            <w:r>
              <w:rPr>
                <w:rFonts w:cs="EB Garamond"/>
                <w:kern w:val="16"/>
                <w:sz w:val="19"/>
                <w14:ligatures w14:val="standardContextual"/>
              </w:rPr>
              <w:t>Ao instruir ação previdenciária com vínculo reconhecido em reclamatória trabalhista, o advogado deve juntar: (a) cópia integral da sentença trabalhista (não apenas certidão de objeto e pé); (b) provas documentais produzidas no processo trabalhista (contracheques, depoimentos testemunhais); (c) comprovante de recolhimento das contribuições previdenciárias determinado pela sentença trabalhista (ou certidão de que o empregador foi condenado ao recolhimento). Essa documentação robustece o pedido e dificulta a recusa do INSS.</w:t>
            </w:r>
          </w:p>
        </w:tc>
      </w:tr>
    </w:tbl>
    <w:p w14:paraId="5B745387" w14:textId="77777777" w:rsidR="005A5FCC" w:rsidRDefault="005A5FCC">
      <w:pPr>
        <w:spacing w:after="80" w:line="240" w:lineRule="auto"/>
      </w:pPr>
    </w:p>
    <w:p w14:paraId="18B540E8"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Q</w:t>
      </w:r>
    </w:p>
    <w:p w14:paraId="7C87B61B" w14:textId="77777777" w:rsidR="005A5FCC" w:rsidRDefault="00A21C81">
      <w:r>
        <w:rPr>
          <w:rFonts w:cs="EB Garamond"/>
          <w:kern w:val="16"/>
          <w14:ligatures w14:val="standardContextual"/>
        </w:rPr>
        <w:t xml:space="preserve">uestão correlata, decorrente da rescisão do contrato de trabalho, é a do </w:t>
      </w:r>
      <w:r>
        <w:rPr>
          <w:rFonts w:cs="EB Garamond"/>
          <w:b/>
          <w:kern w:val="16"/>
          <w14:ligatures w14:val="standardContextual"/>
        </w:rPr>
        <w:t>aviso prévio indenizado</w:t>
      </w:r>
      <w:r>
        <w:rPr>
          <w:rFonts w:cs="EB Garamond"/>
          <w:kern w:val="16"/>
          <w14:ligatures w14:val="standardContextual"/>
        </w:rPr>
        <w:t xml:space="preserve">. Não raro o segurado pretende somar ao tempo de contribuição o período correspondente ao aviso prévio que, não trabalhado, foi pago em pecúnia na rescisão. O STJ pacificou a controvérsia, em sentido desfavorável ao segurado, no julgamento do </w:t>
      </w:r>
      <w:r>
        <w:rPr>
          <w:rFonts w:cs="EB Garamond"/>
          <w:b/>
          <w:kern w:val="16"/>
          <w14:ligatures w14:val="standardContextual"/>
        </w:rPr>
        <w:t>Tema 1.238</w:t>
      </w:r>
      <w:r>
        <w:rPr>
          <w:rFonts w:cs="EB Garamond"/>
          <w:kern w:val="16"/>
          <w14:ligatures w14:val="standardContextual"/>
        </w:rPr>
        <w:t xml:space="preserve"> (REsp 2.068.311, Rel. Min. Mauro Campbell Marques, Primeira Seção, j. 06/02/2025), fixando a tese de que "Não é possível o cômputo do período de aviso prévio indenizado como tempo de serviço para fins previdenciários." A razão de decidir reside na natureza indenizatória (e não remuneratória de efetiva prestação de serviço) da parcela: como não houve trabalho nem filiação no interregno correspondente, falta o suporte fático para o reconhecimento do período como tempo de contribuição. Distingue-se, portanto, o aviso prévio </w:t>
      </w:r>
      <w:r>
        <w:rPr>
          <w:rFonts w:cs="EB Garamond"/>
          <w:i/>
          <w:kern w:val="16"/>
          <w14:ligatures w14:val="standardContextual"/>
        </w:rPr>
        <w:t>trabalhado</w:t>
      </w:r>
      <w:r>
        <w:rPr>
          <w:rFonts w:cs="EB Garamond"/>
          <w:kern w:val="16"/>
          <w14:ligatures w14:val="standardContextual"/>
        </w:rPr>
        <w:t xml:space="preserve"> — durante o qual há efetiva prestação de serviço e, consequentemente, tempo computável — do aviso prévio </w:t>
      </w:r>
      <w:r>
        <w:rPr>
          <w:rFonts w:cs="EB Garamond"/>
          <w:i/>
          <w:kern w:val="16"/>
          <w14:ligatures w14:val="standardContextual"/>
        </w:rPr>
        <w:t>indenizado</w:t>
      </w:r>
      <w:r>
        <w:rPr>
          <w:rFonts w:cs="EB Garamond"/>
          <w:kern w:val="16"/>
          <w14:ligatures w14:val="standardContextual"/>
        </w:rPr>
        <w:t>, cujo lapso não se converte em tempo de serviço previdenciário.</w:t>
      </w:r>
    </w:p>
    <w:tbl>
      <w:tblPr>
        <w:tblW w:w="5000" w:type="pct"/>
        <w:jc w:val="center"/>
        <w:tblLayout w:type="fixed"/>
        <w:tblLook w:val="04A0" w:firstRow="1" w:lastRow="0" w:firstColumn="1" w:lastColumn="0" w:noHBand="0" w:noVBand="1"/>
      </w:tblPr>
      <w:tblGrid>
        <w:gridCol w:w="6311"/>
      </w:tblGrid>
      <w:tr w:rsidR="005A5FCC" w14:paraId="5D80BFD5"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7D6221FD"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38BEF49A" w14:textId="77777777" w:rsidR="005A5FCC" w:rsidRDefault="00A21C81">
            <w:pPr>
              <w:spacing w:after="60" w:line="247" w:lineRule="auto"/>
            </w:pPr>
            <w:r>
              <w:rPr>
                <w:rFonts w:cs="EB Garamond"/>
                <w:b/>
                <w:kern w:val="16"/>
                <w:sz w:val="19"/>
                <w14:ligatures w14:val="standardContextual"/>
              </w:rPr>
              <w:t>STJ Tema 1.238 — Aviso prévio indenizado não é tempo de contribuição</w:t>
            </w:r>
          </w:p>
          <w:p w14:paraId="10BA7E02" w14:textId="77777777" w:rsidR="005A5FCC" w:rsidRDefault="00A21C81">
            <w:pPr>
              <w:spacing w:after="60" w:line="247" w:lineRule="auto"/>
            </w:pPr>
            <w:r>
              <w:rPr>
                <w:rFonts w:cs="EB Garamond"/>
                <w:kern w:val="16"/>
                <w:sz w:val="19"/>
                <w14:ligatures w14:val="standardContextual"/>
              </w:rPr>
              <w:t>No REsp 2.068.311 (Rel. Min. Mauro Campbell Marques, Primeira Seção, j. 06/02/2025), o STJ firmou que "Não é possível o cômputo do período de aviso prévio indenizado como tempo de serviço para fins previdenciários." A consequência prática é direta: o intervalo de 30 dias (ou mais, na projeção proporcional da Lei 12.506/2011) pago a título de aviso prévio indenizado não estende a data de baixa do vínculo para fins de cômputo de tempo de contribuição. O advogado deve atentar para essa limitação ao calcular o tempo total do segurado, especialmente em situações-limite nas quais poucos dias seriam decisivos para o enquadramento em regra de transição. A tese alcança apenas o aviso prévio indenizado; o aviso prévio efetivamente trabalhado segue computável como qualquer período de atividade.</w:t>
            </w:r>
          </w:p>
        </w:tc>
      </w:tr>
    </w:tbl>
    <w:p w14:paraId="2F4C358E" w14:textId="77777777" w:rsidR="005A5FCC" w:rsidRDefault="005A5FCC">
      <w:pPr>
        <w:spacing w:after="80" w:line="240" w:lineRule="auto"/>
      </w:pPr>
    </w:p>
    <w:p w14:paraId="19AF6700" w14:textId="77777777" w:rsidR="005A5FCC" w:rsidRDefault="00A21C81">
      <w:pPr>
        <w:spacing w:before="260" w:after="80" w:line="240" w:lineRule="auto"/>
        <w:jc w:val="left"/>
      </w:pPr>
      <w:r>
        <w:rPr>
          <w:rFonts w:cs="EB Garamond"/>
          <w:b/>
          <w:color w:val="3A3128"/>
          <w:kern w:val="16"/>
          <w:sz w:val="25"/>
          <w14:ligatures w14:val="standardContextual"/>
        </w:rPr>
        <w:t>5.2.6 O CNIS como instrumento de planejamento previdenciário</w:t>
      </w:r>
    </w:p>
    <w:p w14:paraId="790F1961"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P</w:t>
      </w:r>
    </w:p>
    <w:p w14:paraId="534D88C9" w14:textId="77777777" w:rsidR="005A5FCC" w:rsidRDefault="00A21C81">
      <w:r>
        <w:rPr>
          <w:rFonts w:cs="EB Garamond"/>
          <w:kern w:val="16"/>
          <w14:ligatures w14:val="standardContextual"/>
        </w:rPr>
        <w:t>ara além de sua função probatória, o CNIS constitui ferramenta indispensável de planejamento previdenciário. A análise do extrato permite identificar: (a) a data provável de implementação dos requisitos para aposentadoria; (b) a regra de transição mais favorável ao segurado; (c) lacunas contributivas que podem ser supridas (mediante recolhimento em atraso ou reconhecimento de tempo); (d) remunerações inconsistentes que impactam negativamente o cálculo do benefício.</w:t>
      </w:r>
    </w:p>
    <w:p w14:paraId="60856C3F" w14:textId="77777777" w:rsidR="005A5FCC" w:rsidRDefault="00A21C81">
      <w:pPr>
        <w:ind w:firstLine="238"/>
      </w:pPr>
      <w:r>
        <w:rPr>
          <w:rFonts w:cs="EB Garamond"/>
          <w:kern w:val="16"/>
          <w14:ligatures w14:val="standardContextual"/>
        </w:rPr>
        <w:t>O advogado previdenciário deve dominar a leitura do CNIS e compreender seus códigos e indicadores. O extrato pode ser obtido gratuitamente pelo portal Meu INSS (www.meu.inss.gov.br) ou pelo aplicativo do INSS. A versão detalhada (CNIS analítico) contém informações sobre remunerações, códigos de afastamento, indicadores de pendência e data de inclusão de cada registro — dados essenciais para identificar inconsistências e planejar a estratégia processual.</w:t>
      </w:r>
    </w:p>
    <w:p w14:paraId="799695EF"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5.3 Retificação de dados do CNIS</w:t>
      </w:r>
    </w:p>
    <w:p w14:paraId="2102E4FE" w14:textId="77777777" w:rsidR="005A5FCC" w:rsidRDefault="00A21C81">
      <w:pPr>
        <w:spacing w:before="260" w:after="80" w:line="240" w:lineRule="auto"/>
        <w:jc w:val="left"/>
      </w:pPr>
      <w:r>
        <w:rPr>
          <w:rFonts w:cs="EB Garamond"/>
          <w:b/>
          <w:color w:val="3A3128"/>
          <w:kern w:val="16"/>
          <w:sz w:val="25"/>
          <w14:ligatures w14:val="standardContextual"/>
        </w:rPr>
        <w:t>5.3.1 Via administrativa (INSS)</w:t>
      </w:r>
    </w:p>
    <w:p w14:paraId="07179ECC"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3033A644" w14:textId="77777777" w:rsidR="005A5FCC" w:rsidRDefault="00A21C81">
      <w:r>
        <w:rPr>
          <w:rFonts w:cs="EB Garamond"/>
          <w:kern w:val="16"/>
          <w14:ligatures w14:val="standardContextual"/>
        </w:rPr>
        <w:t xml:space="preserve"> art. 29-A, § 2º, da Lei 8.213/91 assegura ao segurado o direito de solicitar, a qualquer tempo, a inclusão, exclusão ou retificação de informações constantes do CNIS. O requerimento deve ser dirigido ao INSS, acompanhado dos documentos que demonstrem a divergência entre os dados registrados e a realidade contributiva.</w:t>
      </w:r>
    </w:p>
    <w:p w14:paraId="487E5459" w14:textId="77777777" w:rsidR="005A5FCC" w:rsidRDefault="00A21C81">
      <w:pPr>
        <w:ind w:firstLine="238"/>
      </w:pPr>
      <w:r>
        <w:rPr>
          <w:rFonts w:cs="EB Garamond"/>
          <w:kern w:val="16"/>
          <w14:ligatures w14:val="standardContextual"/>
        </w:rPr>
        <w:t>A IN INSS/PRES 128/2022 disciplina o procedimento de retificação administrativa em seus arts. 85 a 88. O art. 85 determina que o INSS deve considerar os dados do CNIS independentemente de apresentação de documentos pelo segurado, quando estes estiverem regulares. O art. 86 trata da hipótese de discordância: o segurado apresenta documentos para demonstrar que os dados registrados são incorretos ou incompletos. O art. 87 prevê a retificação de ofício pelo INSS quando este detectar inconsistências nos registros. O art. 88 trata especificamente da análise diferenciada de vínculos inseridos extemporaneamente (após 120 dias do fato gerador).</w:t>
      </w:r>
    </w:p>
    <w:p w14:paraId="3176A569" w14:textId="77777777" w:rsidR="005A5FCC" w:rsidRDefault="00A21C81">
      <w:pPr>
        <w:ind w:firstLine="238"/>
      </w:pPr>
      <w:r>
        <w:rPr>
          <w:rFonts w:cs="EB Garamond"/>
          <w:kern w:val="16"/>
          <w14:ligatures w14:val="standardContextual"/>
        </w:rPr>
        <w:lastRenderedPageBreak/>
        <w:t>Os documentos aceitos para retificação incluem, de forma exemplificativa: CTPS com anotações regulares, contracheques ou recibos de pagamento, declaração do empregador em formulário próprio, termos de rescisão contratual homologados, comprovantes de depósito de FGTS, ação trabalhista com sentença transitada em julgado, entre outros. A IN 128/2022 admite cópias simples (em papel ou digitalizadas), dispensando autenticação administrativa, salvo em casos de fundada dúvida quanto à autenticidade.</w:t>
      </w:r>
    </w:p>
    <w:p w14:paraId="2FB48722" w14:textId="77777777" w:rsidR="005A5FCC" w:rsidRDefault="00A21C81">
      <w:pPr>
        <w:ind w:firstLine="238"/>
      </w:pPr>
      <w:r>
        <w:rPr>
          <w:rFonts w:cs="EB Garamond"/>
          <w:kern w:val="16"/>
          <w14:ligatures w14:val="standardContextual"/>
        </w:rPr>
        <w:t>O prazo para decisão administrativa é de 30 dias (art. 41-A, § 5º, Lei 8.213/91), embora na prática o INSS frequentemente exceda esse prazo. O silêncio administrativo após 30 dias caracteriza mora da Administração e autoriza o ajuizamento de ação judicial sem necessidade de aguardar decisão expressa.</w:t>
      </w:r>
    </w:p>
    <w:p w14:paraId="3BB102F6" w14:textId="77777777" w:rsidR="005A5FCC" w:rsidRDefault="00A21C81">
      <w:pPr>
        <w:spacing w:before="260" w:after="80" w:line="240" w:lineRule="auto"/>
        <w:jc w:val="left"/>
      </w:pPr>
      <w:r>
        <w:rPr>
          <w:rFonts w:cs="EB Garamond"/>
          <w:b/>
          <w:color w:val="3A3128"/>
          <w:kern w:val="16"/>
          <w:sz w:val="25"/>
          <w14:ligatures w14:val="standardContextual"/>
        </w:rPr>
        <w:t>5.3.2 Via judicial (JEF)</w:t>
      </w:r>
    </w:p>
    <w:p w14:paraId="10CB6885"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66755EED" w14:textId="77777777" w:rsidR="005A5FCC" w:rsidRDefault="00A21C81">
      <w:r>
        <w:rPr>
          <w:rFonts w:cs="EB Garamond"/>
          <w:kern w:val="16"/>
          <w14:ligatures w14:val="standardContextual"/>
        </w:rPr>
        <w:t xml:space="preserve"> via judicial é cabível quando o INSS indefere o pedido de retificação administrativa ou quando permanece inerte após o prazo legal. A competência é do Juizado Especial Federal quando o valor da causa (diferença no benefício) não ultrapassar 60 salários mínimos (R$ 97.260,00 em 2026).</w:t>
      </w:r>
    </w:p>
    <w:p w14:paraId="3FC7952C" w14:textId="77777777" w:rsidR="005A5FCC" w:rsidRDefault="00A21C81">
      <w:pPr>
        <w:ind w:firstLine="238"/>
      </w:pPr>
      <w:r>
        <w:rPr>
          <w:rFonts w:cs="EB Garamond"/>
          <w:kern w:val="16"/>
          <w14:ligatures w14:val="standardContextual"/>
        </w:rPr>
        <w:t>O prévio requerimento administrativo é condição para o ajuizamento. O STF, no RE 631.240 (Tema 350), fixou essa exigência como condição para ação previdenciária. Assim, o segurado deve primeiramente requerer a retificação ao INSS antes de buscar a via judicial. Exceções existem: quando o INSS adota posição notoriamente contrária ao pedido (dispensando a submissão formal), ou quando o segurado comprova que o pedido seria inútil diante da prática administrativa consolidada.</w:t>
      </w:r>
    </w:p>
    <w:p w14:paraId="66B2821D" w14:textId="77777777" w:rsidR="005A5FCC" w:rsidRDefault="00A21C81">
      <w:pPr>
        <w:ind w:firstLine="238"/>
      </w:pPr>
      <w:r>
        <w:rPr>
          <w:rFonts w:cs="EB Garamond"/>
          <w:kern w:val="16"/>
          <w14:ligatures w14:val="standardContextual"/>
        </w:rPr>
        <w:t>Na ação judicial de retificação do CNIS, o juiz pode determinar:</w:t>
      </w:r>
    </w:p>
    <w:p w14:paraId="69367729"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A inclusão de vínculos não registrados, mediante prova documental e testemunhal;</w:t>
      </w:r>
    </w:p>
    <w:p w14:paraId="69865DEC"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A correção de remunerações incorretas, com base em documentos contemporâneos;</w:t>
      </w:r>
    </w:p>
    <w:p w14:paraId="62CE1481"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A exclusão de indicadores de pendência indevidos;</w:t>
      </w:r>
    </w:p>
    <w:p w14:paraId="16F576AD"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O reconhecimento de períodos contributivos não computados;</w:t>
      </w:r>
    </w:p>
    <w:p w14:paraId="61D68E35"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A unificação de NIT/PIS quando o segurado possui cadastros duplicados.</w:t>
      </w:r>
    </w:p>
    <w:p w14:paraId="7F1A6C67" w14:textId="77777777" w:rsidR="005A5FCC" w:rsidRDefault="005A5FCC">
      <w:pPr>
        <w:spacing w:after="60" w:line="240" w:lineRule="auto"/>
      </w:pPr>
    </w:p>
    <w:tbl>
      <w:tblPr>
        <w:tblW w:w="5000" w:type="pct"/>
        <w:jc w:val="center"/>
        <w:tblLayout w:type="fixed"/>
        <w:tblLook w:val="04A0" w:firstRow="1" w:lastRow="0" w:firstColumn="1" w:lastColumn="0" w:noHBand="0" w:noVBand="1"/>
      </w:tblPr>
      <w:tblGrid>
        <w:gridCol w:w="6311"/>
      </w:tblGrid>
      <w:tr w:rsidR="005A5FCC" w14:paraId="4813ADE7"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33BDB3DD"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0FA9F649" w14:textId="77777777" w:rsidR="005A5FCC" w:rsidRDefault="00A21C81">
            <w:pPr>
              <w:spacing w:after="60" w:line="247" w:lineRule="auto"/>
            </w:pPr>
            <w:r>
              <w:rPr>
                <w:rFonts w:cs="EB Garamond"/>
                <w:b/>
                <w:kern w:val="16"/>
                <w:sz w:val="19"/>
                <w14:ligatures w14:val="standardContextual"/>
              </w:rPr>
              <w:t>Modelo de fundamentação — Retificação de CNIS no JEF</w:t>
            </w:r>
          </w:p>
          <w:p w14:paraId="065A0F90" w14:textId="77777777" w:rsidR="005A5FCC" w:rsidRDefault="00A21C81">
            <w:pPr>
              <w:spacing w:after="60" w:line="247" w:lineRule="auto"/>
            </w:pPr>
            <w:r>
              <w:rPr>
                <w:rFonts w:cs="EB Garamond"/>
                <w:kern w:val="16"/>
                <w:sz w:val="19"/>
                <w14:ligatures w14:val="standardContextual"/>
              </w:rPr>
              <w:t>Em petições iniciais de retificação de CNIS, o advogado deve: (1) individualizar cada período ou dado objeto de retificação; (2) indicar o que consta no CNIS e o que deveria constar; (3) apresentar a documentação comprobatória de cada divergência; (4) explicitar o impacto da retificação no direito ao benefício. A objetividade facilita a instrução e acelera o julgamento. Evite pedidos genéricos ("retificar todo o CNIS") — o juiz precisa saber exatamente o que está sendo pedido e por quê.</w:t>
            </w:r>
          </w:p>
        </w:tc>
      </w:tr>
    </w:tbl>
    <w:p w14:paraId="36033F4D" w14:textId="77777777" w:rsidR="005A5FCC" w:rsidRDefault="005A5FCC">
      <w:pPr>
        <w:spacing w:after="80" w:line="240" w:lineRule="auto"/>
      </w:pPr>
    </w:p>
    <w:p w14:paraId="35A03248" w14:textId="77777777" w:rsidR="005A5FCC" w:rsidRDefault="00A21C81">
      <w:pPr>
        <w:spacing w:before="260" w:after="80" w:line="240" w:lineRule="auto"/>
        <w:jc w:val="left"/>
      </w:pPr>
      <w:r>
        <w:rPr>
          <w:rFonts w:cs="EB Garamond"/>
          <w:b/>
          <w:color w:val="3A3128"/>
          <w:kern w:val="16"/>
          <w:sz w:val="25"/>
          <w14:ligatures w14:val="standardContextual"/>
        </w:rPr>
        <w:t>5.3.3 Retificação de remunerações — impacto no cálculo do benefício</w:t>
      </w:r>
    </w:p>
    <w:p w14:paraId="5DB5CEAB"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22C66026" w14:textId="77777777" w:rsidR="005A5FCC" w:rsidRDefault="00A21C81">
      <w:r>
        <w:rPr>
          <w:rFonts w:cs="EB Garamond"/>
          <w:kern w:val="16"/>
          <w14:ligatures w14:val="standardContextual"/>
        </w:rPr>
        <w:t>lém da retificação de vínculos e períodos, é igualmente relevante a retificação dos valores de remuneração registrados no CNIS. Salários de contribuição incorretos (geralmente inferiores ao efetivamente recebido) impactam diretamente o cálculo do salário de benefício, reduzindo o valor da aposentadoria. Essa situação é especialmente comum em vínculos antigos (décadas de 1980 e 1990), quando o preenchimento da GFIP era manual e sujeito a erros frequentes.</w:t>
      </w:r>
    </w:p>
    <w:p w14:paraId="2F63461B" w14:textId="77777777" w:rsidR="005A5FCC" w:rsidRDefault="00A21C81">
      <w:pPr>
        <w:ind w:firstLine="238"/>
      </w:pPr>
      <w:r>
        <w:rPr>
          <w:rFonts w:cs="EB Garamond"/>
          <w:kern w:val="16"/>
          <w14:ligatures w14:val="standardContextual"/>
        </w:rPr>
        <w:t>Para a retificação de remunerações, o segurado deve apresentar documentos que comprovem os valores efetivamente recebidos: contracheques, fichas financeiras, declarações de imposto de renda com rendimentos informados pelo empregador, ou sentença trabalhista que fixou os valores corretos. Na ausência de documentos específicos do período, a jurisprudência admite a utilização de registros de acordos coletivos ou convenções da categoria profissional como parâmetro subsidiário.</w:t>
      </w:r>
    </w:p>
    <w:tbl>
      <w:tblPr>
        <w:tblW w:w="5000" w:type="pct"/>
        <w:jc w:val="center"/>
        <w:tblLayout w:type="fixed"/>
        <w:tblLook w:val="04A0" w:firstRow="1" w:lastRow="0" w:firstColumn="1" w:lastColumn="0" w:noHBand="0" w:noVBand="1"/>
      </w:tblPr>
      <w:tblGrid>
        <w:gridCol w:w="6311"/>
      </w:tblGrid>
      <w:tr w:rsidR="005A5FCC" w14:paraId="1729178A"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0E854B69"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2AAAA734" w14:textId="77777777" w:rsidR="005A5FCC" w:rsidRDefault="00A21C81">
            <w:pPr>
              <w:spacing w:after="60" w:line="247" w:lineRule="auto"/>
            </w:pPr>
            <w:r>
              <w:rPr>
                <w:rFonts w:cs="EB Garamond"/>
                <w:b/>
                <w:kern w:val="16"/>
                <w:sz w:val="19"/>
                <w14:ligatures w14:val="standardContextual"/>
              </w:rPr>
              <w:t>Impacto financeiro da retificação de remunerações</w:t>
            </w:r>
          </w:p>
          <w:p w14:paraId="6FDD483C" w14:textId="77777777" w:rsidR="005A5FCC" w:rsidRDefault="00A21C81">
            <w:pPr>
              <w:spacing w:after="60" w:line="247" w:lineRule="auto"/>
            </w:pPr>
            <w:r>
              <w:rPr>
                <w:rFonts w:cs="EB Garamond"/>
                <w:kern w:val="16"/>
                <w:sz w:val="19"/>
                <w14:ligatures w14:val="standardContextual"/>
              </w:rPr>
              <w:t>Considere um segurado cujo CNIS registra salário de contribuição de R$ 1.000,00 em determinado período, quando na verdade recebia R$ 2.000,00 (conforme contracheques preservados). Se esse período integra o cálculo do salário de benefício (média dos 80% maiores SC), a retificação pode incrementar significativamente o valor da aposentadoria. Para segurados com poucos anos de contribuição acima do mínimo, a correção de remunerações pode representar diferença de centenas de reais mensais no benefício. A verificação detalhada dos valores registrados no CNIS deve ser etapa obrigatória do planejamento previdenciário.</w:t>
            </w:r>
          </w:p>
        </w:tc>
      </w:tr>
    </w:tbl>
    <w:p w14:paraId="1E78D8C9" w14:textId="77777777" w:rsidR="005A5FCC" w:rsidRDefault="005A5FCC">
      <w:pPr>
        <w:spacing w:after="80" w:line="240" w:lineRule="auto"/>
      </w:pPr>
    </w:p>
    <w:p w14:paraId="1D214DB8" w14:textId="77777777" w:rsidR="005A5FCC" w:rsidRDefault="00A21C81">
      <w:pPr>
        <w:spacing w:before="260" w:after="80" w:line="240" w:lineRule="auto"/>
        <w:jc w:val="left"/>
      </w:pPr>
      <w:r>
        <w:rPr>
          <w:rFonts w:cs="EB Garamond"/>
          <w:b/>
          <w:color w:val="3A3128"/>
          <w:kern w:val="16"/>
          <w:sz w:val="25"/>
          <w14:ligatures w14:val="standardContextual"/>
        </w:rPr>
        <w:t>5.3.4 Retificação decorrente de sentença trabalhista</w:t>
      </w:r>
    </w:p>
    <w:p w14:paraId="21AF564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Q</w:t>
      </w:r>
    </w:p>
    <w:p w14:paraId="5E8C96E3" w14:textId="77777777" w:rsidR="005A5FCC" w:rsidRDefault="00A21C81">
      <w:r>
        <w:rPr>
          <w:rFonts w:cs="EB Garamond"/>
          <w:kern w:val="16"/>
          <w14:ligatures w14:val="standardContextual"/>
        </w:rPr>
        <w:t>uando o segurado obtém sentença trabalhista reconhecendo diferenças salariais ou verbas não pagas, os valores devem ser refletidos no CNIS para fins previdenciários. O procedimento regular é: (a) na fase de execução trabalhista, são calculadas as contribuições previdenciárias incidentes sobre as diferenças; (b) o empregador é condenado ao recolhimento (GPS judicial); (c) os valores são incluídos no CNIS pelo sistema informatizado da Receita Federal/INSS.</w:t>
      </w:r>
    </w:p>
    <w:p w14:paraId="528560CC" w14:textId="77777777" w:rsidR="005A5FCC" w:rsidRDefault="00A21C81">
      <w:pPr>
        <w:ind w:firstLine="238"/>
      </w:pPr>
      <w:r>
        <w:rPr>
          <w:rFonts w:cs="EB Garamond"/>
          <w:kern w:val="16"/>
          <w14:ligatures w14:val="standardContextual"/>
        </w:rPr>
        <w:t>Na prática, falhas no sistema fazem com que muitos valores de sentenças trabalhistas não sejam refletidos no CNIS. O segurado deve verificar, após a execução trabalhista, se os valores foram efetivamente incluídos. Caso contrário, deve requerer a retificação ao INSS, instruindo o pedido com: certidão de objeto e pé da ação trabalhista, planilha de cálculos judiciais, comprovantes de recolhimento das contribuições previdenciárias (GPS judicial) e sentença/acórdão.</w:t>
      </w:r>
    </w:p>
    <w:p w14:paraId="61DF663F" w14:textId="77777777" w:rsidR="005A5FCC" w:rsidRDefault="00A21C81">
      <w:pPr>
        <w:spacing w:before="260" w:after="80" w:line="240" w:lineRule="auto"/>
        <w:jc w:val="left"/>
      </w:pPr>
      <w:r>
        <w:rPr>
          <w:rFonts w:cs="EB Garamond"/>
          <w:b/>
          <w:color w:val="3A3128"/>
          <w:kern w:val="16"/>
          <w:sz w:val="25"/>
          <w14:ligatures w14:val="standardContextual"/>
        </w:rPr>
        <w:t>5.3.5 Retificação e o prazo decadencial — questão controversa</w:t>
      </w:r>
    </w:p>
    <w:p w14:paraId="52626D8E"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I</w:t>
      </w:r>
    </w:p>
    <w:p w14:paraId="2511C54B" w14:textId="77777777" w:rsidR="005A5FCC" w:rsidRDefault="00A21C81">
      <w:r>
        <w:rPr>
          <w:rFonts w:cs="EB Garamond"/>
          <w:kern w:val="16"/>
          <w14:ligatures w14:val="standardContextual"/>
        </w:rPr>
        <w:t>ndaga-se com frequência se o prazo decadencial de 10 anos do art. 103 da Lei 8.213/91 aplica-se à retificação do CNIS. A resposta depende do contexto:</w:t>
      </w:r>
    </w:p>
    <w:p w14:paraId="35CA8685" w14:textId="77777777" w:rsidR="005A5FCC" w:rsidRDefault="00A21C81">
      <w:pPr>
        <w:spacing w:after="40" w:line="252" w:lineRule="auto"/>
        <w:ind w:left="340" w:hanging="198"/>
      </w:pPr>
      <w:r>
        <w:rPr>
          <w:rFonts w:cs="EB Garamond"/>
          <w:color w:val="3A3128"/>
          <w:kern w:val="16"/>
          <w:sz w:val="20"/>
          <w14:ligatures w14:val="standardContextual"/>
        </w:rPr>
        <w:lastRenderedPageBreak/>
        <w:t xml:space="preserve">• </w:t>
      </w:r>
      <w:r>
        <w:rPr>
          <w:rFonts w:cs="EB Garamond"/>
          <w:b/>
          <w:kern w:val="16"/>
          <w:sz w:val="20"/>
          <w14:ligatures w14:val="standardContextual"/>
        </w:rPr>
        <w:t>Retificação para concessão de novo benefício:</w:t>
      </w:r>
      <w:r>
        <w:rPr>
          <w:rFonts w:cs="EB Garamond"/>
          <w:kern w:val="16"/>
          <w:sz w:val="20"/>
          <w14:ligatures w14:val="standardContextual"/>
        </w:rPr>
        <w:t xml:space="preserve"> Não há decadência, pois o segurado ainda não está aposentado. A retificação é pressuposto da concessão, e o direito de requerer benefício não decai (apenas prescreve).</w:t>
      </w:r>
    </w:p>
    <w:p w14:paraId="35975F9A" w14:textId="77777777" w:rsidR="005A5FCC" w:rsidRDefault="005A5FCC">
      <w:pPr>
        <w:spacing w:after="60" w:line="240" w:lineRule="auto"/>
      </w:pPr>
    </w:p>
    <w:p w14:paraId="0B3B7522"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Retificação para revisão de benefício já concedido:</w:t>
      </w:r>
      <w:r>
        <w:rPr>
          <w:rFonts w:cs="EB Garamond"/>
          <w:kern w:val="16"/>
          <w:sz w:val="20"/>
          <w14:ligatures w14:val="standardContextual"/>
        </w:rPr>
        <w:t xml:space="preserve"> Aplica-se o prazo decadencial de 10 anos contados do primeiro pagamento. Se o segurado pretende incluir períodos ou corrigir remunerações para majorar benefício já concedido, deve observar esse prazo.</w:t>
      </w:r>
    </w:p>
    <w:p w14:paraId="03095932" w14:textId="77777777" w:rsidR="005A5FCC" w:rsidRDefault="005A5FCC">
      <w:pPr>
        <w:spacing w:after="60" w:line="240" w:lineRule="auto"/>
      </w:pPr>
    </w:p>
    <w:p w14:paraId="18AF7D5A"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Retificação como ação autônoma (sem pedido de benefício):</w:t>
      </w:r>
      <w:r>
        <w:rPr>
          <w:rFonts w:cs="EB Garamond"/>
          <w:kern w:val="16"/>
          <w:sz w:val="20"/>
          <w14:ligatures w14:val="standardContextual"/>
        </w:rPr>
        <w:t xml:space="preserve"> Há divergência. A corrente majoritária entende que a retificação de dados cadastrais não se sujeita a prazo decadencial, pois não se confunde com "revisão do ato de concessão." O CNIS é registro administrativo cuja correção pode ser requerida a qualquer tempo (art. 29-A, § 2º: "a qualquer tempo").</w:t>
      </w:r>
    </w:p>
    <w:p w14:paraId="1F68A34B" w14:textId="77777777" w:rsidR="005A5FCC" w:rsidRDefault="005A5FCC">
      <w:pPr>
        <w:spacing w:after="60" w:line="240" w:lineRule="auto"/>
      </w:pPr>
    </w:p>
    <w:tbl>
      <w:tblPr>
        <w:tblW w:w="5000" w:type="pct"/>
        <w:jc w:val="center"/>
        <w:tblLayout w:type="fixed"/>
        <w:tblLook w:val="04A0" w:firstRow="1" w:lastRow="0" w:firstColumn="1" w:lastColumn="0" w:noHBand="0" w:noVBand="1"/>
      </w:tblPr>
      <w:tblGrid>
        <w:gridCol w:w="6311"/>
      </w:tblGrid>
      <w:tr w:rsidR="005A5FCC" w14:paraId="292FD0AF"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0C4D2434" w14:textId="77777777" w:rsidR="005A5FCC" w:rsidRDefault="00A21C81">
            <w:pPr>
              <w:spacing w:after="60" w:line="240" w:lineRule="auto"/>
              <w:jc w:val="left"/>
            </w:pPr>
            <w:r>
              <w:rPr>
                <w:rFonts w:ascii="Noto Sans" w:hAnsi="Noto Sans" w:cs="Noto Sans"/>
                <w:b/>
                <w:caps/>
                <w:color w:val="4D6F8A"/>
                <w:kern w:val="16"/>
                <w:sz w:val="16"/>
                <w14:ligatures w14:val="standardContextual"/>
              </w:rPr>
              <w:t>JURISPRUDÊNCIA EM DESTAQUE</w:t>
            </w:r>
          </w:p>
          <w:p w14:paraId="06729BF6" w14:textId="77777777" w:rsidR="005A5FCC" w:rsidRDefault="00A21C81">
            <w:pPr>
              <w:spacing w:after="60" w:line="247" w:lineRule="auto"/>
            </w:pPr>
            <w:r>
              <w:rPr>
                <w:rFonts w:cs="EB Garamond"/>
                <w:b/>
                <w:kern w:val="16"/>
                <w:sz w:val="19"/>
                <w14:ligatures w14:val="standardContextual"/>
              </w:rPr>
              <w:t>Retificação de CNIS não se sujeita à decadência do art. 103</w:t>
            </w:r>
          </w:p>
          <w:p w14:paraId="75D5E143" w14:textId="77777777" w:rsidR="005A5FCC" w:rsidRDefault="00A21C81">
            <w:pPr>
              <w:spacing w:after="60" w:line="247" w:lineRule="auto"/>
            </w:pPr>
            <w:r>
              <w:rPr>
                <w:rFonts w:cs="EB Garamond"/>
                <w:kern w:val="16"/>
                <w:sz w:val="19"/>
                <w14:ligatures w14:val="standardContextual"/>
              </w:rPr>
              <w:t>A TNU e diversos TRFs consolidaram o entendimento de que o pedido de retificação de dados do CNIS não se confunde com o pedido de revisão do ato de concessão de benefício. O direito de ter seus dados cadastrais corretos é imprescritível e não decai, pois decorre da própria personalidade. Contudo, se a retificação é veículo para obter diferenças financeiras em benefício já concedido, os efeitos financeiros retroativos ficam limitados à prescrição quinquenal e o direito revisional sujeito à decadência decenal.</w:t>
            </w:r>
          </w:p>
        </w:tc>
      </w:tr>
    </w:tbl>
    <w:p w14:paraId="2A65A177" w14:textId="77777777" w:rsidR="005A5FCC" w:rsidRDefault="005A5FCC">
      <w:pPr>
        <w:spacing w:after="80" w:line="240" w:lineRule="auto"/>
      </w:pPr>
    </w:p>
    <w:p w14:paraId="17F02E8B" w14:textId="77777777" w:rsidR="005A5FCC" w:rsidRDefault="00A21C81">
      <w:pPr>
        <w:spacing w:before="260" w:after="80" w:line="240" w:lineRule="auto"/>
        <w:jc w:val="left"/>
      </w:pPr>
      <w:r>
        <w:rPr>
          <w:rFonts w:cs="EB Garamond"/>
          <w:b/>
          <w:color w:val="3A3128"/>
          <w:kern w:val="16"/>
          <w:sz w:val="25"/>
          <w14:ligatures w14:val="standardContextual"/>
        </w:rPr>
        <w:t>5.3.6 Competência e cumulação de pedidos</w:t>
      </w:r>
    </w:p>
    <w:p w14:paraId="74365BF1"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64721766" w14:textId="77777777" w:rsidR="005A5FCC" w:rsidRDefault="00A21C81">
      <w:r>
        <w:rPr>
          <w:rFonts w:cs="EB Garamond"/>
          <w:kern w:val="16"/>
          <w14:ligatures w14:val="standardContextual"/>
        </w:rPr>
        <w:t xml:space="preserve"> ação de retificação do CNIS pode ser cumulada com o pedido de concessão ou revisão do benefício na mesma demanda, desde que observado o limite de alçada do JEF. Na prática, a cumulação é a estratégia mais eficiente: o juiz reconhece o tempo, retifica o CNIS e, na mesma sentença, concede ou revisa o benefício. Essa cumulação evita a multiplicação de processos e a necessidade de novo requerimento administrativo após a retificação judicial.</w:t>
      </w:r>
    </w:p>
    <w:p w14:paraId="07F87ECC" w14:textId="77777777" w:rsidR="005A5FCC" w:rsidRDefault="00A21C81">
      <w:pPr>
        <w:ind w:firstLine="238"/>
      </w:pPr>
      <w:r>
        <w:rPr>
          <w:rFonts w:cs="EB Garamond"/>
          <w:kern w:val="16"/>
          <w14:ligatures w14:val="standardContextual"/>
        </w:rPr>
        <w:lastRenderedPageBreak/>
        <w:t>A competência para a retificação do CNIS é sempre da Justiça Federal (art. 109, I, CF), por envolver o INSS (autarquia federal). Quando a retificação decorre de sentença trabalhista, o segurado pode apresentá-la administrativamente ao INSS; se este recusar a averbação, a via adequada é o JEF, não a Justiça do Trabalho (que já esgotou sua competência ao julgar a relação de emprego).</w:t>
      </w:r>
    </w:p>
    <w:p w14:paraId="63250A4F"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5.4 Atividade rural anterior a novembro de 1991</w:t>
      </w:r>
    </w:p>
    <w:p w14:paraId="1F096D5D" w14:textId="77777777" w:rsidR="005A5FCC" w:rsidRDefault="00A21C81">
      <w:pPr>
        <w:spacing w:before="260" w:after="80" w:line="240" w:lineRule="auto"/>
        <w:jc w:val="left"/>
      </w:pPr>
      <w:r>
        <w:rPr>
          <w:rFonts w:cs="EB Garamond"/>
          <w:b/>
          <w:color w:val="3A3128"/>
          <w:kern w:val="16"/>
          <w:sz w:val="25"/>
          <w14:ligatures w14:val="standardContextual"/>
        </w:rPr>
        <w:t>5.4.1 Fundamento legal e regra geral</w:t>
      </w:r>
    </w:p>
    <w:p w14:paraId="47B55B81"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13845216" w14:textId="77777777" w:rsidR="005A5FCC" w:rsidRDefault="00A21C81">
      <w:r>
        <w:rPr>
          <w:rFonts w:cs="EB Garamond"/>
          <w:kern w:val="16"/>
          <w14:ligatures w14:val="standardContextual"/>
        </w:rPr>
        <w:t xml:space="preserve"> art. 55, § 2º, da Lei 8.213/91, combinado com o art. 143 do mesmo diploma, permite o cômputo de tempo de serviço rural anterior à vigência da Lei (25 de julho de 1991) como tempo de contribuição, independentemente do recolhimento de contribuições previdenciárias. Trata-se de norma de transição que reconheceu a atividade rural exercida em período no qual não existia obrigatoriedade de contribuição para a grande maioria dos trabalhadores rurais.</w:t>
      </w:r>
    </w:p>
    <w:p w14:paraId="564DD0E3" w14:textId="77777777" w:rsidR="005A5FCC" w:rsidRDefault="00A21C81">
      <w:pPr>
        <w:ind w:firstLine="238"/>
      </w:pPr>
      <w:r>
        <w:rPr>
          <w:rFonts w:cs="EB Garamond"/>
          <w:kern w:val="16"/>
          <w14:ligatures w14:val="standardContextual"/>
        </w:rPr>
        <w:t>A regra aplica-se ao segurado especial (regime de economia familiar) e ao empregado rural que exerceu atividade antes da Lei 8.213/91. A distinção é relevante: o segurado especial tem seu tempo computado independentemente de contribuição, mesmo para períodos posteriores a 1991, por força do art. 39, I, da Lei 8.213/91 (para aposentadoria por idade rural); já o contribuinte individual rural que exerceu atividade após novembro de 1991 precisa indenizar o período na forma do art. 45-A da Lei 8.212/91 para ter o tempo reconhecido (cf. Capítulo 4).</w:t>
      </w:r>
    </w:p>
    <w:tbl>
      <w:tblPr>
        <w:tblW w:w="5000" w:type="pct"/>
        <w:jc w:val="center"/>
        <w:tblLayout w:type="fixed"/>
        <w:tblLook w:val="04A0" w:firstRow="1" w:lastRow="0" w:firstColumn="1" w:lastColumn="0" w:noHBand="0" w:noVBand="1"/>
      </w:tblPr>
      <w:tblGrid>
        <w:gridCol w:w="6311"/>
      </w:tblGrid>
      <w:tr w:rsidR="005A5FCC" w14:paraId="1D187234"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02536577" w14:textId="77777777" w:rsidR="005A5FCC" w:rsidRDefault="00A21C81">
            <w:pPr>
              <w:spacing w:after="60" w:line="240" w:lineRule="auto"/>
              <w:jc w:val="left"/>
            </w:pPr>
            <w:r>
              <w:rPr>
                <w:rFonts w:ascii="Noto Sans" w:hAnsi="Noto Sans" w:cs="Noto Sans"/>
                <w:b/>
                <w:caps/>
                <w:color w:val="B78B37"/>
                <w:kern w:val="16"/>
                <w:sz w:val="16"/>
                <w14:ligatures w14:val="standardContextual"/>
              </w:rPr>
              <w:lastRenderedPageBreak/>
              <w:t>ATENÇÃO</w:t>
            </w:r>
          </w:p>
          <w:p w14:paraId="54684744" w14:textId="77777777" w:rsidR="005A5FCC" w:rsidRDefault="00A21C81">
            <w:pPr>
              <w:spacing w:after="60" w:line="247" w:lineRule="auto"/>
            </w:pPr>
            <w:r>
              <w:rPr>
                <w:rFonts w:cs="EB Garamond"/>
                <w:b/>
                <w:kern w:val="16"/>
                <w:sz w:val="19"/>
                <w14:ligatures w14:val="standardContextual"/>
              </w:rPr>
              <w:t>Distinção fundamental: efeito do cômputo rural pré-1991</w:t>
            </w:r>
          </w:p>
          <w:p w14:paraId="3F82EF05" w14:textId="77777777" w:rsidR="005A5FCC" w:rsidRDefault="00A21C81">
            <w:pPr>
              <w:spacing w:after="60" w:line="247" w:lineRule="auto"/>
            </w:pPr>
            <w:r>
              <w:rPr>
                <w:rFonts w:cs="EB Garamond"/>
                <w:kern w:val="16"/>
                <w:sz w:val="19"/>
                <w14:ligatures w14:val="standardContextual"/>
              </w:rPr>
              <w:t>O tempo rural anterior a novembro de 1991 conta como tempo de contribuição, mas NÃO como carência (art. 55, § 2º, parte final, Lei 8.213/91). Isso significa que o segurado pode usar esse período para completar os anos exigidos de tempo de contribuição nas regras de transição, mas não pode utilizá-lo para atingir as 180 contribuições de carência. Exceção: o trabalhador rural com registro em CTPS (empregado rural formal) tem o período contado também para carência, pois a obrigação de recolhimento era do empregador.</w:t>
            </w:r>
          </w:p>
        </w:tc>
      </w:tr>
    </w:tbl>
    <w:p w14:paraId="4DE1F122" w14:textId="77777777" w:rsidR="005A5FCC" w:rsidRDefault="005A5FCC">
      <w:pPr>
        <w:spacing w:after="80" w:line="240" w:lineRule="auto"/>
      </w:pPr>
    </w:p>
    <w:p w14:paraId="6FEC80B0" w14:textId="77777777" w:rsidR="005A5FCC" w:rsidRDefault="00A21C81">
      <w:pPr>
        <w:spacing w:before="260" w:after="80" w:line="240" w:lineRule="auto"/>
        <w:jc w:val="left"/>
      </w:pPr>
      <w:r>
        <w:rPr>
          <w:rFonts w:cs="EB Garamond"/>
          <w:b/>
          <w:color w:val="3A3128"/>
          <w:kern w:val="16"/>
          <w:sz w:val="25"/>
          <w14:ligatures w14:val="standardContextual"/>
        </w:rPr>
        <w:t>5.4.2 Exigência de início de prova material</w:t>
      </w:r>
    </w:p>
    <w:p w14:paraId="5F11C9E2"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487ADD4F" w14:textId="77777777" w:rsidR="005A5FCC" w:rsidRDefault="00A21C81">
      <w:r>
        <w:rPr>
          <w:rFonts w:cs="EB Garamond"/>
          <w:kern w:val="16"/>
          <w14:ligatures w14:val="standardContextual"/>
        </w:rPr>
        <w:t xml:space="preserve"> comprovação da atividade rural exige início de prova material, nos termos do art. 55, § 3º, da Lei 8.213/91 e da Súmula 149 do STJ: "A prova exclusivamente testemunhal não basta à comprovação da atividade rurícola, para efeito da obtenção de benefício previdenciário." A exigência tem dupla finalidade: prevenir fraudes e assegurar um mínimo de documentação que empreste verossimilhança ao relato do segurado.</w:t>
      </w:r>
    </w:p>
    <w:p w14:paraId="2C89035B" w14:textId="77777777" w:rsidR="005A5FCC" w:rsidRDefault="00A21C81">
      <w:pPr>
        <w:ind w:firstLine="238"/>
      </w:pPr>
      <w:r>
        <w:rPr>
          <w:rFonts w:cs="EB Garamond"/>
          <w:kern w:val="16"/>
          <w14:ligatures w14:val="standardContextual"/>
        </w:rPr>
        <w:t>A jurisprudência consolidada admite como início de prova material uma ampla gama de documentos, desde que contemporâneos à época dos fatos alegados (TNU Súmula 34). São exemplos frequentes:</w:t>
      </w:r>
    </w:p>
    <w:p w14:paraId="1F5283DE"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Certidão de casamento com qualificação do cônjuge como lavrador/agricultor;</w:t>
      </w:r>
    </w:p>
    <w:p w14:paraId="3B998BE7"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Certidão de nascimento dos filhos com indicação da profissão rural dos pais;</w:t>
      </w:r>
    </w:p>
    <w:p w14:paraId="0C98F5DC"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Certificado de reservista com profissão "lavrador" ou "agricultor";</w:t>
      </w:r>
    </w:p>
    <w:p w14:paraId="631CC3B3"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Título de eleitor com qualificação rural;</w:t>
      </w:r>
    </w:p>
    <w:p w14:paraId="618C8E81"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Ficha de inscrição em sindicato rural;</w:t>
      </w:r>
    </w:p>
    <w:p w14:paraId="6843DAF4"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Documentos do INCRA (certificado de cadastro, DAP/CAF);</w:t>
      </w:r>
    </w:p>
    <w:p w14:paraId="0E33B8A8"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Notas fiscais de produtor rural;</w:t>
      </w:r>
    </w:p>
    <w:p w14:paraId="713FBBBA"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Contratos de arrendamento ou parceria;</w:t>
      </w:r>
    </w:p>
    <w:p w14:paraId="3511BF57"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Declaração de aptidão ao PRONAF (DAP) ou Cadastro Nacional da Agricultura Familiar (CAF);</w:t>
      </w:r>
    </w:p>
    <w:p w14:paraId="04E62E52"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Comprovante de recebimento de benefício rural por membro da família;</w:t>
      </w:r>
    </w:p>
    <w:p w14:paraId="0D8BBEBB" w14:textId="77777777" w:rsidR="005A5FCC" w:rsidRDefault="00A21C81">
      <w:pPr>
        <w:spacing w:after="40" w:line="252" w:lineRule="auto"/>
        <w:ind w:left="340" w:hanging="198"/>
      </w:pPr>
      <w:r>
        <w:rPr>
          <w:rFonts w:cs="EB Garamond"/>
          <w:color w:val="3A3128"/>
          <w:kern w:val="16"/>
          <w:sz w:val="20"/>
          <w14:ligatures w14:val="standardContextual"/>
        </w:rPr>
        <w:lastRenderedPageBreak/>
        <w:t xml:space="preserve">• </w:t>
      </w:r>
      <w:r>
        <w:rPr>
          <w:rFonts w:cs="EB Garamond"/>
          <w:kern w:val="16"/>
          <w:sz w:val="20"/>
          <w14:ligatures w14:val="standardContextual"/>
        </w:rPr>
        <w:t>Histórico escolar de escola rural;</w:t>
      </w:r>
    </w:p>
    <w:p w14:paraId="4520D597"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Escritura de imóvel rural;</w:t>
      </w:r>
    </w:p>
    <w:p w14:paraId="17AECA8A"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Prontuário médico com indicação da profissão rural.</w:t>
      </w:r>
    </w:p>
    <w:p w14:paraId="279CCAF4" w14:textId="77777777" w:rsidR="005A5FCC" w:rsidRDefault="005A5FCC">
      <w:pPr>
        <w:spacing w:after="60" w:line="240" w:lineRule="auto"/>
      </w:pPr>
    </w:p>
    <w:p w14:paraId="4522BCAB" w14:textId="77777777" w:rsidR="005A5FCC" w:rsidRDefault="00A21C81">
      <w:pPr>
        <w:spacing w:before="260" w:after="80" w:line="240" w:lineRule="auto"/>
        <w:jc w:val="left"/>
      </w:pPr>
      <w:r>
        <w:rPr>
          <w:rFonts w:cs="EB Garamond"/>
          <w:b/>
          <w:color w:val="3A3128"/>
          <w:kern w:val="16"/>
          <w:sz w:val="25"/>
          <w14:ligatures w14:val="standardContextual"/>
        </w:rPr>
        <w:t>5.4.3 Extensão temporal da prova — súmula 577/STJ</w:t>
      </w:r>
    </w:p>
    <w:p w14:paraId="60ACD7A4"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61D9A184" w14:textId="77777777" w:rsidR="005A5FCC" w:rsidRDefault="00A21C81">
      <w:r>
        <w:rPr>
          <w:rFonts w:cs="EB Garamond"/>
          <w:kern w:val="16"/>
          <w14:ligatures w14:val="standardContextual"/>
        </w:rPr>
        <w:t xml:space="preserve"> Súmula 577 do STJ estabelece que "é possível reconhecer o tempo de serviço rural anterior ao documento mais antigo apresentado, desde que amparado em convincente prova testemunhal colhida sob o contraditório." Essa súmula tem grande impacto prático: o segurado que apresenta como documento mais antigo uma certidão de casamento de 1985 (com qualificação de "lavrador") pode ter reconhecido período rural anterior a 1985, desde que a prova testemunhal seja convincente e coerente.</w:t>
      </w:r>
    </w:p>
    <w:p w14:paraId="75163737" w14:textId="77777777" w:rsidR="005A5FCC" w:rsidRDefault="00A21C81">
      <w:pPr>
        <w:ind w:firstLine="238"/>
      </w:pPr>
      <w:r>
        <w:rPr>
          <w:rFonts w:cs="EB Garamond"/>
          <w:kern w:val="16"/>
          <w14:ligatures w14:val="standardContextual"/>
        </w:rPr>
        <w:t>A extensão temporal, contudo, possui limites. A prova testemunhal deve ser robusta, com depoimentos de testemunhas que efetivamente presenciaram o trabalho rural no período anterior ao documento. Testemunhas com conhecimento indireto (ouviram dizer que o segurado trabalhava na roça) não suprem a exigência. Além disso, a extensão deve ser razoável: reconhecer cinco ou seis anos antes do documento mais antigo é admissível; reconhecer décadas sem qualquer referência documental intermediária é temerário.</w:t>
      </w:r>
    </w:p>
    <w:p w14:paraId="70513941" w14:textId="77777777" w:rsidR="005A5FCC" w:rsidRDefault="00A21C81">
      <w:pPr>
        <w:spacing w:before="260" w:after="80" w:line="240" w:lineRule="auto"/>
        <w:jc w:val="left"/>
      </w:pPr>
      <w:r>
        <w:rPr>
          <w:rFonts w:cs="EB Garamond"/>
          <w:b/>
          <w:color w:val="3A3128"/>
          <w:kern w:val="16"/>
          <w:sz w:val="25"/>
          <w14:ligatures w14:val="standardContextual"/>
        </w:rPr>
        <w:t>5.4.4 Documentos em nome de terceiros — cônjuge e família</w:t>
      </w:r>
    </w:p>
    <w:p w14:paraId="770E719D"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00298FBF" w14:textId="77777777" w:rsidR="005A5FCC" w:rsidRDefault="00A21C81">
      <w:r>
        <w:rPr>
          <w:rFonts w:cs="EB Garamond"/>
          <w:kern w:val="16"/>
          <w14:ligatures w14:val="standardContextual"/>
        </w:rPr>
        <w:t xml:space="preserve"> TNU, no Tema 327, firmou o entendimento de que documentação em nome do cônjuge ou companheiro, na condição de empregado rural, constitui início de prova material para fins de concessão de benefício previdenciário ao outro cônjuge. Essa orientação é complementada pela Súmula 6 da TNU ("A certidão de casamento ou outro documento idôneo que evidencie a condição de trabalhador rural do cônjuge constitui início razoável de prova material da atividade rurícola") e pela Súmula 73 do TRF4.</w:t>
      </w:r>
    </w:p>
    <w:p w14:paraId="557C41AA" w14:textId="77777777" w:rsidR="005A5FCC" w:rsidRDefault="00A21C81">
      <w:pPr>
        <w:ind w:firstLine="238"/>
      </w:pPr>
      <w:r>
        <w:rPr>
          <w:rFonts w:cs="EB Garamond"/>
          <w:kern w:val="16"/>
          <w14:ligatures w14:val="standardContextual"/>
        </w:rPr>
        <w:t xml:space="preserve">Na prática, isso significa que a esposa do trabalhador rural pode utilizar documentos em nome do marido (e vice-versa) como início de prova material de sua </w:t>
      </w:r>
      <w:r>
        <w:rPr>
          <w:rFonts w:cs="EB Garamond"/>
          <w:kern w:val="16"/>
          <w14:ligatures w14:val="standardContextual"/>
        </w:rPr>
        <w:lastRenderedPageBreak/>
        <w:t>própria atividade rural, desde que demonstrada a participação no regime de economia familiar. A mesma lógica aplica-se a filhos que trabalharam na propriedade da família: documentos em nome dos pais servem como ponto de partida para a comprovação.</w:t>
      </w:r>
    </w:p>
    <w:tbl>
      <w:tblPr>
        <w:tblW w:w="5000" w:type="pct"/>
        <w:jc w:val="center"/>
        <w:tblLayout w:type="fixed"/>
        <w:tblLook w:val="04A0" w:firstRow="1" w:lastRow="0" w:firstColumn="1" w:lastColumn="0" w:noHBand="0" w:noVBand="1"/>
      </w:tblPr>
      <w:tblGrid>
        <w:gridCol w:w="6311"/>
      </w:tblGrid>
      <w:tr w:rsidR="005A5FCC" w14:paraId="0EA59178"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1AF00834" w14:textId="77777777" w:rsidR="005A5FCC" w:rsidRDefault="00A21C81">
            <w:pPr>
              <w:spacing w:after="60" w:line="240" w:lineRule="auto"/>
              <w:jc w:val="left"/>
            </w:pPr>
            <w:r>
              <w:rPr>
                <w:rFonts w:ascii="Noto Sans" w:hAnsi="Noto Sans" w:cs="Noto Sans"/>
                <w:b/>
                <w:caps/>
                <w:color w:val="4D6F8A"/>
                <w:kern w:val="16"/>
                <w:sz w:val="16"/>
                <w14:ligatures w14:val="standardContextual"/>
              </w:rPr>
              <w:t>JURISPRUDÊNCIA EM DESTAQUE</w:t>
            </w:r>
          </w:p>
          <w:p w14:paraId="057774E8" w14:textId="77777777" w:rsidR="005A5FCC" w:rsidRDefault="00A21C81">
            <w:pPr>
              <w:spacing w:after="60" w:line="247" w:lineRule="auto"/>
            </w:pPr>
            <w:r>
              <w:rPr>
                <w:rFonts w:cs="EB Garamond"/>
                <w:b/>
                <w:kern w:val="16"/>
                <w:sz w:val="19"/>
                <w14:ligatures w14:val="standardContextual"/>
              </w:rPr>
              <w:t>STJ Tema 629, REsp 1.352.721/SP, Rel. Min. Napoleão Nunes Maia Filho — efeito processual da ausência de prova material</w:t>
            </w:r>
          </w:p>
          <w:p w14:paraId="52CC9CBB" w14:textId="77777777" w:rsidR="005A5FCC" w:rsidRDefault="00A21C81">
            <w:pPr>
              <w:spacing w:after="60" w:line="247" w:lineRule="auto"/>
            </w:pPr>
            <w:r>
              <w:rPr>
                <w:rFonts w:cs="EB Garamond"/>
                <w:kern w:val="16"/>
                <w:sz w:val="19"/>
                <w14:ligatures w14:val="standardContextual"/>
              </w:rPr>
              <w:t xml:space="preserve">A regra de que "o tempo de serviço do segurado trabalhador rural, anterior à data de início de vigência da Lei n. 8.213/91, pode ser computado para fins de aposentadoria no Regime Geral de Previdência Social, independentemente do recolhimento de contribuições, exceto para efeito de carência" decorre do art. 55, § 2º, da Lei 8.213/91 (e da jurisprudência consolidada). A tese efetivamente firmada no </w:t>
            </w:r>
            <w:r>
              <w:rPr>
                <w:rFonts w:cs="EB Garamond"/>
                <w:b/>
                <w:kern w:val="16"/>
                <w:sz w:val="19"/>
                <w14:ligatures w14:val="standardContextual"/>
              </w:rPr>
              <w:t>Tema 629/STJ</w:t>
            </w:r>
            <w:r>
              <w:rPr>
                <w:rFonts w:cs="EB Garamond"/>
                <w:kern w:val="16"/>
                <w:sz w:val="19"/>
                <w14:ligatures w14:val="standardContextual"/>
              </w:rPr>
              <w:t xml:space="preserve">, contudo, é de natureza </w:t>
            </w:r>
            <w:r>
              <w:rPr>
                <w:rFonts w:cs="EB Garamond"/>
                <w:b/>
                <w:kern w:val="16"/>
                <w:sz w:val="19"/>
                <w14:ligatures w14:val="standardContextual"/>
              </w:rPr>
              <w:t>processual</w:t>
            </w:r>
            <w:r>
              <w:rPr>
                <w:rFonts w:cs="EB Garamond"/>
                <w:kern w:val="16"/>
                <w:sz w:val="19"/>
                <w14:ligatures w14:val="standardContextual"/>
              </w:rPr>
              <w:t xml:space="preserve">: quando não há início de prova material suficiente a instruir a inicial, a ação deve ser extinta </w:t>
            </w:r>
            <w:r>
              <w:rPr>
                <w:rFonts w:cs="EB Garamond"/>
                <w:b/>
                <w:kern w:val="16"/>
                <w:sz w:val="19"/>
                <w14:ligatures w14:val="standardContextual"/>
              </w:rPr>
              <w:t>sem resolução do mérito</w:t>
            </w:r>
            <w:r>
              <w:rPr>
                <w:rFonts w:cs="EB Garamond"/>
                <w:kern w:val="16"/>
                <w:sz w:val="19"/>
                <w14:ligatures w14:val="standardContextual"/>
              </w:rPr>
              <w:t xml:space="preserve"> (art. 485, IV, CPC), possibilitando nova propositura com documentação mais robusta. A extinção com mérito (improcedência) forma coisa julgada material e impede nova ação com o mesmo fundamento.</w:t>
            </w:r>
          </w:p>
        </w:tc>
      </w:tr>
    </w:tbl>
    <w:p w14:paraId="00CA72C7" w14:textId="77777777" w:rsidR="005A5FCC" w:rsidRDefault="005A5FCC">
      <w:pPr>
        <w:spacing w:after="80" w:line="240" w:lineRule="auto"/>
      </w:pPr>
    </w:p>
    <w:p w14:paraId="71A1E906" w14:textId="77777777" w:rsidR="005A5FCC" w:rsidRDefault="00A21C81">
      <w:pPr>
        <w:spacing w:before="260" w:after="80" w:line="240" w:lineRule="auto"/>
        <w:jc w:val="left"/>
      </w:pPr>
      <w:r>
        <w:rPr>
          <w:rFonts w:cs="EB Garamond"/>
          <w:b/>
          <w:color w:val="3A3128"/>
          <w:kern w:val="16"/>
          <w:sz w:val="25"/>
          <w14:ligatures w14:val="standardContextual"/>
        </w:rPr>
        <w:t>5.4.5 O limite etário e o trabalho rural na infância</w:t>
      </w:r>
    </w:p>
    <w:p w14:paraId="6B7575E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P</w:t>
      </w:r>
    </w:p>
    <w:p w14:paraId="143810EF" w14:textId="77777777" w:rsidR="005A5FCC" w:rsidRDefault="00A21C81">
      <w:r>
        <w:rPr>
          <w:rFonts w:cs="EB Garamond"/>
          <w:kern w:val="16"/>
          <w14:ligatures w14:val="standardContextual"/>
        </w:rPr>
        <w:t>oucos temas suscitam tanta hesitação na instrução das ações rurais quanto a idade mínima para o reconhecimento do trabalho no campo. A Constituição Federal proíbe o trabalho de menores de 16 anos (salvo como aprendiz a partir dos 14 — art. 7º, XXXIII). Contudo, a jurisprudência previdenciária consolidou o entendimento de que a vedação constitucional visa proteger o menor, não prejudicá-lo: se o menor efetivamente trabalhou, o reconhecimento do tempo é direito seu, sob pena de penalizá-lo duplamente (trabalhou irregularmente na infância e ainda se veria privado do cômputo do período).</w:t>
      </w:r>
    </w:p>
    <w:p w14:paraId="45EE4C5C" w14:textId="77777777" w:rsidR="005A5FCC" w:rsidRDefault="00A21C81">
      <w:pPr>
        <w:ind w:firstLine="238"/>
      </w:pPr>
      <w:r>
        <w:rPr>
          <w:rFonts w:cs="EB Garamond"/>
          <w:kern w:val="16"/>
          <w14:ligatures w14:val="standardContextual"/>
        </w:rPr>
        <w:t xml:space="preserve">A TNU e os TRFs reconhecem atividade rural a partir dos 12 anos de idade (idade mínima usual na jurisprudência, embora haja precedentes que admitem períodos a partir dos 10 anos em casos excepcionais). Essa posição encontra respaldo na realidade socioeconômica do campo brasileiro, onde o trabalho infantil </w:t>
      </w:r>
      <w:r>
        <w:rPr>
          <w:rFonts w:cs="EB Garamond"/>
          <w:kern w:val="16"/>
          <w14:ligatures w14:val="standardContextual"/>
        </w:rPr>
        <w:lastRenderedPageBreak/>
        <w:t>em regime de economia familiar era, e em muitas regiões ainda é, prática generalizada.</w:t>
      </w:r>
    </w:p>
    <w:tbl>
      <w:tblPr>
        <w:tblW w:w="5000" w:type="pct"/>
        <w:jc w:val="center"/>
        <w:tblLayout w:type="fixed"/>
        <w:tblLook w:val="04A0" w:firstRow="1" w:lastRow="0" w:firstColumn="1" w:lastColumn="0" w:noHBand="0" w:noVBand="1"/>
      </w:tblPr>
      <w:tblGrid>
        <w:gridCol w:w="6311"/>
      </w:tblGrid>
      <w:tr w:rsidR="005A5FCC" w14:paraId="4558EF99"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61F42D5A"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6F7CBDEB" w14:textId="77777777" w:rsidR="005A5FCC" w:rsidRDefault="00A21C81">
            <w:pPr>
              <w:spacing w:after="60" w:line="247" w:lineRule="auto"/>
            </w:pPr>
            <w:r>
              <w:rPr>
                <w:rFonts w:cs="EB Garamond"/>
                <w:b/>
                <w:kern w:val="16"/>
                <w:sz w:val="19"/>
                <w14:ligatures w14:val="standardContextual"/>
              </w:rPr>
              <w:t>Estratégia processual: comprovação de atividade rural na infância/adolescência</w:t>
            </w:r>
          </w:p>
          <w:p w14:paraId="1F8ED39D" w14:textId="77777777" w:rsidR="005A5FCC" w:rsidRDefault="00A21C81">
            <w:pPr>
              <w:spacing w:after="60" w:line="247" w:lineRule="auto"/>
            </w:pPr>
            <w:r>
              <w:rPr>
                <w:rFonts w:cs="EB Garamond"/>
                <w:kern w:val="16"/>
                <w:sz w:val="19"/>
                <w14:ligatures w14:val="standardContextual"/>
              </w:rPr>
              <w:t>Para períodos rurais na infância (12 a 16 anos), a estratégia probatória deve ser reforçada: (a) documentos da família (pais como proprietários rurais ou empregados rurais); (b) certidão de escola rural demonstrando endereço no campo; (c) testemunhas que presenciaram o trabalho do menor; (d) declarações de sindicato rural. É útil incluir na petição inicial a fundamentação constitucional da tese (proteção do menor que efetivamente trabalhou) e citar a jurisprudência dominante da TNU sobre o tema.</w:t>
            </w:r>
          </w:p>
        </w:tc>
      </w:tr>
    </w:tbl>
    <w:p w14:paraId="7FEC97F2" w14:textId="77777777" w:rsidR="005A5FCC" w:rsidRDefault="005A5FCC">
      <w:pPr>
        <w:spacing w:after="80" w:line="240" w:lineRule="auto"/>
      </w:pPr>
    </w:p>
    <w:p w14:paraId="328E172D" w14:textId="77777777" w:rsidR="005A5FCC" w:rsidRDefault="00A21C81">
      <w:pPr>
        <w:spacing w:before="260" w:after="80" w:line="240" w:lineRule="auto"/>
        <w:jc w:val="left"/>
      </w:pPr>
      <w:r>
        <w:rPr>
          <w:rFonts w:cs="EB Garamond"/>
          <w:b/>
          <w:color w:val="3A3128"/>
          <w:kern w:val="16"/>
          <w:sz w:val="25"/>
          <w14:ligatures w14:val="standardContextual"/>
        </w:rPr>
        <w:t>5.4.6 Descontinuidade da atividade rural e descaracterização</w:t>
      </w:r>
    </w:p>
    <w:p w14:paraId="101BE15B"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18A128E4" w14:textId="77777777" w:rsidR="005A5FCC" w:rsidRDefault="00A21C81">
      <w:r>
        <w:rPr>
          <w:rFonts w:cs="EB Garamond"/>
          <w:kern w:val="16"/>
          <w14:ligatures w14:val="standardContextual"/>
        </w:rPr>
        <w:t xml:space="preserve"> descontinuidade da atividade rural e seus efeitos sobre o reconhecimento do tempo merecem exame à parte. O segurado que intercalou períodos rurais com períodos urbanos pode ter dificuldades em demonstrar a contemporaneidade da prova material e a continuidade do trabalho agrícola.</w:t>
      </w:r>
    </w:p>
    <w:p w14:paraId="79AA7B95" w14:textId="77777777" w:rsidR="005A5FCC" w:rsidRDefault="00A21C81">
      <w:pPr>
        <w:ind w:firstLine="238"/>
      </w:pPr>
      <w:r>
        <w:rPr>
          <w:rFonts w:cs="EB Garamond"/>
          <w:kern w:val="16"/>
          <w14:ligatures w14:val="standardContextual"/>
        </w:rPr>
        <w:t>A jurisprudência dos TRFs e da TNU tem sido relativamente flexível nesse aspecto. O STJ, no Tema 1.007, reconheceu que "tempo rural remoto e descontínuo, anterior à Lei 8.213/91, pode ser computado para aposentadoria híbrida sem recolhimento de contribuições, independentemente da predominância do labor misto ou do tipo de trabalho no implemento etário." A orientação aplica-se também ao cômputo de tempo rural para aposentadoria por tempo de contribuição, desde que o período específico esteja adequadamente comprovado.</w:t>
      </w:r>
    </w:p>
    <w:p w14:paraId="1C53EB48" w14:textId="77777777" w:rsidR="005A5FCC" w:rsidRDefault="00A21C81">
      <w:pPr>
        <w:ind w:firstLine="238"/>
      </w:pPr>
      <w:r>
        <w:rPr>
          <w:rFonts w:cs="EB Garamond"/>
          <w:kern w:val="16"/>
          <w14:ligatures w14:val="standardContextual"/>
        </w:rPr>
        <w:t xml:space="preserve">A descaracterização da condição de segurado especial (para período pós-1991) pode decorrer de: (a) exercício de atividade urbana por período superior a 120 dias no ano; (b) aquisição de propriedade com área superior a 4 módulos fiscais (ressalvado o entendimento do STJ Tema 1.115, que admite análise caso a caso); </w:t>
      </w:r>
      <w:r>
        <w:rPr>
          <w:rFonts w:cs="EB Garamond"/>
          <w:kern w:val="16"/>
          <w14:ligatures w14:val="standardContextual"/>
        </w:rPr>
        <w:lastRenderedPageBreak/>
        <w:t>(c) obtenção de renda significativa de fonte não rural; (d) contratação de empregados permanentes (limite de 2 empregados admitido pela Lei 11.718/2008). Cada uma dessas circunstâncias exige análise individualizada pelo juiz.</w:t>
      </w:r>
    </w:p>
    <w:tbl>
      <w:tblPr>
        <w:tblW w:w="5000" w:type="pct"/>
        <w:jc w:val="center"/>
        <w:tblLayout w:type="fixed"/>
        <w:tblLook w:val="04A0" w:firstRow="1" w:lastRow="0" w:firstColumn="1" w:lastColumn="0" w:noHBand="0" w:noVBand="1"/>
      </w:tblPr>
      <w:tblGrid>
        <w:gridCol w:w="6311"/>
      </w:tblGrid>
      <w:tr w:rsidR="005A5FCC" w14:paraId="524CCD20"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5A75EF37"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7966E473" w14:textId="77777777" w:rsidR="005A5FCC" w:rsidRDefault="00A21C81">
            <w:pPr>
              <w:spacing w:after="60" w:line="247" w:lineRule="auto"/>
            </w:pPr>
            <w:r>
              <w:rPr>
                <w:rFonts w:cs="EB Garamond"/>
                <w:b/>
                <w:kern w:val="16"/>
                <w:sz w:val="19"/>
                <w14:ligatures w14:val="standardContextual"/>
              </w:rPr>
              <w:t>Descontinuidade não impede cômputo parcial</w:t>
            </w:r>
          </w:p>
          <w:p w14:paraId="7B56F6F3" w14:textId="77777777" w:rsidR="005A5FCC" w:rsidRDefault="00A21C81">
            <w:pPr>
              <w:spacing w:after="60" w:line="247" w:lineRule="auto"/>
            </w:pPr>
            <w:r>
              <w:rPr>
                <w:rFonts w:cs="EB Garamond"/>
                <w:kern w:val="16"/>
                <w:sz w:val="19"/>
                <w14:ligatures w14:val="standardContextual"/>
              </w:rPr>
              <w:t>O fato de o segurado ter se afastado da atividade rural por determinado período (por exemplo, trabalhou no campo de 1975 a 1985, migrou para a cidade de 1986 a 1990, e retornou ao campo em 1991) não impede o reconhecimento do período efetivamente comprovado (1975-1985). O cômputo é parcial: reconhece-se o que foi demonstrado. A descontinuidade pode fragilizar a prova testemunhal (testemunhas que conheceram o segurado apenas no segundo período rural não podem atestar o primeiro), mas não constitui impedimento legal ao reconhecimento dos períodos documentados.</w:t>
            </w:r>
          </w:p>
        </w:tc>
      </w:tr>
    </w:tbl>
    <w:p w14:paraId="67662069" w14:textId="77777777" w:rsidR="005A5FCC" w:rsidRDefault="005A5FCC">
      <w:pPr>
        <w:spacing w:after="80" w:line="240" w:lineRule="auto"/>
      </w:pPr>
    </w:p>
    <w:p w14:paraId="53F6498A" w14:textId="77777777" w:rsidR="005A5FCC" w:rsidRDefault="00A21C81">
      <w:pPr>
        <w:spacing w:before="260" w:after="80" w:line="240" w:lineRule="auto"/>
        <w:jc w:val="left"/>
      </w:pPr>
      <w:r>
        <w:rPr>
          <w:rFonts w:cs="EB Garamond"/>
          <w:b/>
          <w:color w:val="3A3128"/>
          <w:kern w:val="16"/>
          <w:sz w:val="25"/>
          <w14:ligatures w14:val="standardContextual"/>
        </w:rPr>
        <w:t>5.4.7 Atividade rural e aposentadoria por tempo de contribuição urbana</w:t>
      </w:r>
    </w:p>
    <w:p w14:paraId="2A70147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U</w:t>
      </w:r>
    </w:p>
    <w:p w14:paraId="28CDF133" w14:textId="77777777" w:rsidR="005A5FCC" w:rsidRDefault="00A21C81">
      <w:r>
        <w:rPr>
          <w:rFonts w:cs="EB Garamond"/>
          <w:kern w:val="16"/>
          <w14:ligatures w14:val="standardContextual"/>
        </w:rPr>
        <w:t>m dos pedidos mais frequentes nos JEFs é o cômputo de atividade rural (geralmente da infância/adolescência) para somar ao tempo de contribuição urbana e viabilizar aposentadoria por tempo de contribuição ou enquadramento em regra de transição. Nesse cenário, o segurado que trabalhou na roça dos 12 aos 20 anos e depois migrou para a cidade pode agregar até 8 anos de tempo rural ao tempo urbano, potencialmente antecipando em vários anos a data de implementação dos requisitos para aposentadoria.</w:t>
      </w:r>
    </w:p>
    <w:p w14:paraId="7FAAEE71" w14:textId="77777777" w:rsidR="005A5FCC" w:rsidRDefault="00A21C81">
      <w:pPr>
        <w:ind w:firstLine="238"/>
      </w:pPr>
      <w:r>
        <w:rPr>
          <w:rFonts w:cs="EB Garamond"/>
          <w:kern w:val="16"/>
          <w14:ligatures w14:val="standardContextual"/>
        </w:rPr>
        <w:t>A viabilidade desse pedido depende de prova material adequada (certidão de nascimento com pais rurais, certidão de casamento dos pais, matrícula em escola rural, certificado de reservista com profissão "lavrador", documentos do INCRA da família, etc.) e de prova testemunhal convincente. Para períodos remotos (décadas de 1960 a 1980), a dificuldade probatória é significativa, mas não intransponível.</w:t>
      </w:r>
    </w:p>
    <w:tbl>
      <w:tblPr>
        <w:tblW w:w="5000" w:type="pct"/>
        <w:jc w:val="center"/>
        <w:tblLayout w:type="fixed"/>
        <w:tblLook w:val="04A0" w:firstRow="1" w:lastRow="0" w:firstColumn="1" w:lastColumn="0" w:noHBand="0" w:noVBand="1"/>
      </w:tblPr>
      <w:tblGrid>
        <w:gridCol w:w="6311"/>
      </w:tblGrid>
      <w:tr w:rsidR="005A5FCC" w14:paraId="18C6AC03"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5B8A58BD"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657B35E1" w14:textId="77777777" w:rsidR="005A5FCC" w:rsidRDefault="00A21C81">
            <w:pPr>
              <w:spacing w:after="60" w:line="247" w:lineRule="auto"/>
            </w:pPr>
            <w:r>
              <w:rPr>
                <w:rFonts w:cs="EB Garamond"/>
                <w:b/>
                <w:kern w:val="16"/>
                <w:sz w:val="19"/>
                <w14:ligatures w14:val="standardContextual"/>
              </w:rPr>
              <w:t>Exemplo: impacto do reconhecimento de tempo rural na aposentadoria</w:t>
            </w:r>
          </w:p>
          <w:p w14:paraId="42CEF62B" w14:textId="77777777" w:rsidR="005A5FCC" w:rsidRDefault="00A21C81">
            <w:pPr>
              <w:spacing w:after="60" w:line="247" w:lineRule="auto"/>
            </w:pPr>
            <w:r>
              <w:rPr>
                <w:rFonts w:cs="EB Garamond"/>
                <w:kern w:val="16"/>
                <w:sz w:val="19"/>
                <w14:ligatures w14:val="standardContextual"/>
              </w:rPr>
              <w:t>Maria trabalhou na roça com os pais de 1978 (quando tinha 12 anos) até 1986 (quando migrou para a cidade aos 20 anos). Apresenta: certidão de nascimento com pai qualificado como "lavrador"; matrícula em escola rural (1980-1984); certificado de reservista do irmão com profissão "agricultor"; duas testemunhas que confirmam o trabalho familiar. Se reconhecido, o período rural (8 anos) soma-se aos 27 anos de tempo urbano comprovado, totalizando 35 anos de contribuição — suficiente para enquadramento na regra de transição por pontos (com a pontuação necessária em 2026). Sem o reconhecimento rural, Maria precisaria trabalhar mais 8 anos para atingir o requisito.</w:t>
            </w:r>
          </w:p>
        </w:tc>
      </w:tr>
    </w:tbl>
    <w:p w14:paraId="18C1A125" w14:textId="77777777" w:rsidR="005A5FCC" w:rsidRDefault="005A5FCC">
      <w:pPr>
        <w:spacing w:after="80" w:line="240" w:lineRule="auto"/>
      </w:pPr>
    </w:p>
    <w:p w14:paraId="574FC8CE" w14:textId="77777777" w:rsidR="005A5FCC" w:rsidRDefault="00A21C81">
      <w:pPr>
        <w:spacing w:before="260" w:after="80" w:line="240" w:lineRule="auto"/>
        <w:jc w:val="left"/>
      </w:pPr>
      <w:r>
        <w:rPr>
          <w:rFonts w:cs="EB Garamond"/>
          <w:b/>
          <w:color w:val="3A3128"/>
          <w:kern w:val="16"/>
          <w:sz w:val="25"/>
          <w14:ligatures w14:val="standardContextual"/>
        </w:rPr>
        <w:t>5.4.8 Atividade rural pós-1991: a exigência de contribuição ou indenização</w:t>
      </w:r>
    </w:p>
    <w:p w14:paraId="2AD761CD"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P</w:t>
      </w:r>
    </w:p>
    <w:p w14:paraId="23CFBC95" w14:textId="77777777" w:rsidR="005A5FCC" w:rsidRDefault="00A21C81">
      <w:r>
        <w:rPr>
          <w:rFonts w:cs="EB Garamond"/>
          <w:kern w:val="16"/>
          <w14:ligatures w14:val="standardContextual"/>
        </w:rPr>
        <w:t>ara períodos posteriores a novembro de 1991, o tratamento varia conforme a categoria do segurado (v. Cap. 2 para o detalhamento de cada categoria):</w:t>
      </w:r>
    </w:p>
    <w:p w14:paraId="73826210"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Segurado especial (art. 11, VII):</w:t>
      </w:r>
      <w:r>
        <w:rPr>
          <w:rFonts w:cs="EB Garamond"/>
          <w:kern w:val="16"/>
          <w:sz w:val="20"/>
          <w14:ligatures w14:val="standardContextual"/>
        </w:rPr>
        <w:t xml:space="preserve"> Continua com direito à aposentadoria por idade rural (60 anos homem / 55 anos mulher) sem necessidade de contribuição, bastando a comprovação de 180 meses de atividade rural (art. 39, I, Lei 8.213/91). Porém, se pretender aposentadoria por tempo de contribuição, o período pós-1991 somente será computado mediante recolhimento ou indenização.</w:t>
      </w:r>
    </w:p>
    <w:p w14:paraId="6BF8FA05" w14:textId="77777777" w:rsidR="005A5FCC" w:rsidRDefault="005A5FCC">
      <w:pPr>
        <w:spacing w:after="60" w:line="240" w:lineRule="auto"/>
      </w:pPr>
    </w:p>
    <w:p w14:paraId="499C758C"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Contribuinte individual rural (art. 11, V, "a"):</w:t>
      </w:r>
      <w:r>
        <w:rPr>
          <w:rFonts w:cs="EB Garamond"/>
          <w:kern w:val="16"/>
          <w:sz w:val="20"/>
          <w14:ligatures w14:val="standardContextual"/>
        </w:rPr>
        <w:t xml:space="preserve"> O período posterior a 1991 exige recolhimento de contribuições ou indenização (art. 45-A, Lei 8.212/91) para cômputo como tempo de contribuição.</w:t>
      </w:r>
    </w:p>
    <w:p w14:paraId="12564CB6" w14:textId="77777777" w:rsidR="005A5FCC" w:rsidRDefault="005A5FCC">
      <w:pPr>
        <w:spacing w:after="60" w:line="240" w:lineRule="auto"/>
      </w:pPr>
    </w:p>
    <w:p w14:paraId="13C99539"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Empregado rural (art. 11, I, "a"):</w:t>
      </w:r>
      <w:r>
        <w:rPr>
          <w:rFonts w:cs="EB Garamond"/>
          <w:kern w:val="16"/>
          <w:sz w:val="20"/>
          <w14:ligatures w14:val="standardContextual"/>
        </w:rPr>
        <w:t xml:space="preserve"> O recolhimento é obrigação do empregador. Se o empregador não recolheu, o período é reconhecido com base na relação de emprego comprovada, independentemente da efetivação do recolhimento (o empregado não pode ser prejudicado pela inadimplência patronal).</w:t>
      </w:r>
    </w:p>
    <w:p w14:paraId="376E5A8A" w14:textId="77777777" w:rsidR="005A5FCC" w:rsidRDefault="005A5FCC">
      <w:pPr>
        <w:spacing w:after="60" w:line="240" w:lineRule="auto"/>
      </w:pPr>
    </w:p>
    <w:p w14:paraId="1F9427C4"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A</w:t>
      </w:r>
    </w:p>
    <w:p w14:paraId="11C6568F" w14:textId="77777777" w:rsidR="005A5FCC" w:rsidRDefault="00A21C81">
      <w:r>
        <w:rPr>
          <w:rFonts w:cs="EB Garamond"/>
          <w:kern w:val="16"/>
          <w14:ligatures w14:val="standardContextual"/>
        </w:rPr>
        <w:t xml:space="preserve"> TNU Súmula 74 sintetiza a matéria: "O exercício de atividade rural posterior a novembro de 1991, comprovado mediante início de prova material, autoriza o cômputo como tempo de contribuição, </w:t>
      </w:r>
      <w:commentRangeStart w:id="10"/>
      <w:r>
        <w:rPr>
          <w:rFonts w:cs="EB Garamond"/>
          <w:kern w:val="16"/>
          <w14:ligatures w14:val="standardContextual"/>
        </w:rPr>
        <w:t>independentemente do recolhimento das contribuições previdenciárias relativas ao período rural." Esse enunciado refere-se especificamente ao segurado especial</w:t>
      </w:r>
      <w:commentRangeEnd w:id="10"/>
      <w:r w:rsidR="009C2D59">
        <w:rPr>
          <w:rStyle w:val="Refdecomentrio"/>
          <w:rFonts w:cs="EB Garamond"/>
          <w:kern w:val="16"/>
          <w:sz w:val="21"/>
          <w:szCs w:val="22"/>
          <w14:ligatures w14:val="standardContextual"/>
        </w:rPr>
        <w:commentReference w:id="10"/>
      </w:r>
      <w:r>
        <w:rPr>
          <w:rFonts w:cs="EB Garamond"/>
          <w:kern w:val="16"/>
          <w14:ligatures w14:val="standardContextual"/>
        </w:rPr>
        <w:t>, cuja contribuição social incide sobre a receita bruta da comercialização da produção (art. 25, Lei 8.212/91), não sobre salário de contribuição individual.</w:t>
      </w:r>
    </w:p>
    <w:p w14:paraId="00F362F3"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5.5 Tempo de serviço militar obrigatório</w:t>
      </w:r>
    </w:p>
    <w:p w14:paraId="1427C432" w14:textId="77777777" w:rsidR="005A5FCC" w:rsidRDefault="00A21C81">
      <w:pPr>
        <w:spacing w:before="260" w:after="80" w:line="240" w:lineRule="auto"/>
        <w:jc w:val="left"/>
      </w:pPr>
      <w:r>
        <w:rPr>
          <w:rFonts w:cs="EB Garamond"/>
          <w:b/>
          <w:color w:val="3A3128"/>
          <w:kern w:val="16"/>
          <w:sz w:val="25"/>
          <w14:ligatures w14:val="standardContextual"/>
        </w:rPr>
        <w:t>5.5.1 Fundamento legal e natureza do cômputo</w:t>
      </w:r>
    </w:p>
    <w:p w14:paraId="549E6351"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5B5505C2" w14:textId="77777777" w:rsidR="005A5FCC" w:rsidRDefault="00A21C81">
      <w:r>
        <w:rPr>
          <w:rFonts w:cs="EB Garamond"/>
          <w:kern w:val="16"/>
          <w14:ligatures w14:val="standardContextual"/>
        </w:rPr>
        <w:t xml:space="preserve"> art. 55, inciso I, da Lei 8.213/91 assegura o cômputo, como tempo de contribuição, do período de serviço militar, inclusive o obrigatório. Trata-se de disposição expressa que não exige filiação prévia ao RGPS nem recolhimento de contribuição pelo militar durante o período de serviço. O fundamento é constitucional: o art. 143, caput e § 2º, da Constituição Federal estabelece a obrigatoriedade do serviço militar nos termos da lei, cabendo aos brasileiros do sexo masculino a prestação do serviço (Lei 4.375/1964). Essa imposição estatal não pode gerar prejuízo previdenciário ao cidadão.</w:t>
      </w:r>
    </w:p>
    <w:p w14:paraId="67CAD836" w14:textId="77777777" w:rsidR="005A5FCC" w:rsidRDefault="00A21C81">
      <w:pPr>
        <w:ind w:firstLine="238"/>
      </w:pPr>
      <w:r>
        <w:rPr>
          <w:rFonts w:cs="EB Garamond"/>
          <w:kern w:val="16"/>
          <w14:ligatures w14:val="standardContextual"/>
        </w:rPr>
        <w:t>O cômputo abrange tanto o serviço militar obrigatório (conscrito) quanto o serviço militar voluntário (engajamento posterior), e aplica-se a todas as Forças Armadas (Exército, Marinha e Aeronáutica), bem como às Forças Auxiliares (Polícias Militares e Corpos de Bombeiros, quando em serviço federal).</w:t>
      </w:r>
    </w:p>
    <w:p w14:paraId="6BD58FAB" w14:textId="77777777" w:rsidR="005A5FCC" w:rsidRDefault="00A21C81">
      <w:pPr>
        <w:ind w:firstLine="238"/>
      </w:pPr>
      <w:r>
        <w:rPr>
          <w:rFonts w:cs="EB Garamond"/>
          <w:kern w:val="16"/>
          <w14:ligatures w14:val="standardContextual"/>
        </w:rPr>
        <w:t>O período de serviço militar obrigatório é geralmente de 12 meses, podendo estender-se em situações excepcionais (engajamento, situação de conflito, etc.). Na prática previdenciária, o cômputo desse período é relativamente simples: basta a apresentação do Certificado de Reservista com as datas de incorporação e licenciamento.</w:t>
      </w:r>
    </w:p>
    <w:p w14:paraId="7AF57D37" w14:textId="77777777" w:rsidR="005A5FCC" w:rsidRDefault="00A21C81">
      <w:pPr>
        <w:spacing w:before="260" w:after="80" w:line="240" w:lineRule="auto"/>
        <w:jc w:val="left"/>
      </w:pPr>
      <w:r>
        <w:rPr>
          <w:rFonts w:cs="EB Garamond"/>
          <w:b/>
          <w:color w:val="3A3128"/>
          <w:kern w:val="16"/>
          <w:sz w:val="25"/>
          <w14:ligatures w14:val="standardContextual"/>
        </w:rPr>
        <w:t>5.5.2 Documentos comprobatórios</w:t>
      </w:r>
    </w:p>
    <w:p w14:paraId="36D1AEF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A</w:t>
      </w:r>
    </w:p>
    <w:p w14:paraId="25327A60" w14:textId="77777777" w:rsidR="005A5FCC" w:rsidRDefault="00A21C81">
      <w:r>
        <w:rPr>
          <w:rFonts w:cs="EB Garamond"/>
          <w:kern w:val="16"/>
          <w14:ligatures w14:val="standardContextual"/>
        </w:rPr>
        <w:t xml:space="preserve"> IN INSS/PRES 128/2022, em seu art. 83, especifica os documentos aceitos para comprovação do tempo de serviço militar:</w:t>
      </w:r>
    </w:p>
    <w:p w14:paraId="1C8D6847"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Certificado de Reservista:</w:t>
      </w:r>
      <w:r>
        <w:rPr>
          <w:rFonts w:cs="EB Garamond"/>
          <w:kern w:val="16"/>
          <w:sz w:val="20"/>
          <w14:ligatures w14:val="standardContextual"/>
        </w:rPr>
        <w:t xml:space="preserve"> Documento padrão que consigna as datas de incorporação e licenciamento. É o meio de prova mais comum e geralmente suficiente.</w:t>
      </w:r>
    </w:p>
    <w:p w14:paraId="77E6367E" w14:textId="77777777" w:rsidR="005A5FCC" w:rsidRDefault="005A5FCC">
      <w:pPr>
        <w:spacing w:after="60" w:line="240" w:lineRule="auto"/>
      </w:pPr>
    </w:p>
    <w:p w14:paraId="55C583A5"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Certidão expedida pelo órgão militar competente:</w:t>
      </w:r>
      <w:r>
        <w:rPr>
          <w:rFonts w:cs="EB Garamond"/>
          <w:kern w:val="16"/>
          <w:sz w:val="20"/>
          <w14:ligatures w14:val="standardContextual"/>
        </w:rPr>
        <w:t xml:space="preserve"> Documento mais detalhado, emitido pelo Ministério da Defesa ou pela respectiva Força, contendo período exato de serviço, datas e eventuais afastamentos.</w:t>
      </w:r>
    </w:p>
    <w:p w14:paraId="15584528" w14:textId="77777777" w:rsidR="005A5FCC" w:rsidRDefault="005A5FCC">
      <w:pPr>
        <w:spacing w:after="60" w:line="240" w:lineRule="auto"/>
      </w:pPr>
    </w:p>
    <w:p w14:paraId="7661DECD"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Informação transmitida ao CNIS pelas Forças Armadas:</w:t>
      </w:r>
      <w:r>
        <w:rPr>
          <w:rFonts w:cs="EB Garamond"/>
          <w:kern w:val="16"/>
          <w:sz w:val="20"/>
          <w14:ligatures w14:val="standardContextual"/>
        </w:rPr>
        <w:t xml:space="preserve"> Dados inseridos diretamente no sistema informatizado, dispensando a apresentação de documento pelo segurado.</w:t>
      </w:r>
    </w:p>
    <w:p w14:paraId="23AD656C" w14:textId="77777777" w:rsidR="005A5FCC" w:rsidRDefault="005A5FCC">
      <w:pPr>
        <w:spacing w:after="60" w:line="240" w:lineRule="auto"/>
      </w:pPr>
    </w:p>
    <w:p w14:paraId="4E1898F4"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Q</w:t>
      </w:r>
    </w:p>
    <w:p w14:paraId="20B0B5BD" w14:textId="77777777" w:rsidR="005A5FCC" w:rsidRDefault="00A21C81">
      <w:r>
        <w:rPr>
          <w:rFonts w:cs="EB Garamond"/>
          <w:kern w:val="16"/>
          <w14:ligatures w14:val="standardContextual"/>
        </w:rPr>
        <w:t>uando o Certificado de Reservista não contém as datas específicas de incorporação e licenciamento (modelos mais antigos), o segurado deve requerer certidão ao órgão militar. Essa certidão pode ser obtida nas Juntas de Serviço Militar ou diretamente junto à unidade onde serviu.</w:t>
      </w:r>
    </w:p>
    <w:tbl>
      <w:tblPr>
        <w:tblW w:w="5000" w:type="pct"/>
        <w:jc w:val="center"/>
        <w:tblLayout w:type="fixed"/>
        <w:tblLook w:val="04A0" w:firstRow="1" w:lastRow="0" w:firstColumn="1" w:lastColumn="0" w:noHBand="0" w:noVBand="1"/>
      </w:tblPr>
      <w:tblGrid>
        <w:gridCol w:w="6311"/>
      </w:tblGrid>
      <w:tr w:rsidR="005A5FCC" w14:paraId="1E40A7F3"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3638D91F"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3DEE3C59" w14:textId="77777777" w:rsidR="005A5FCC" w:rsidRDefault="00A21C81">
            <w:pPr>
              <w:spacing w:after="60" w:line="247" w:lineRule="auto"/>
            </w:pPr>
            <w:r>
              <w:rPr>
                <w:rFonts w:cs="EB Garamond"/>
                <w:b/>
                <w:kern w:val="16"/>
                <w:sz w:val="19"/>
                <w14:ligatures w14:val="standardContextual"/>
              </w:rPr>
              <w:t>Cômputo do serviço militar na prática</w:t>
            </w:r>
          </w:p>
          <w:p w14:paraId="778E041C" w14:textId="77777777" w:rsidR="005A5FCC" w:rsidRDefault="00A21C81">
            <w:pPr>
              <w:spacing w:after="60" w:line="247" w:lineRule="auto"/>
            </w:pPr>
            <w:r>
              <w:rPr>
                <w:rFonts w:cs="EB Garamond"/>
                <w:kern w:val="16"/>
                <w:sz w:val="19"/>
                <w14:ligatures w14:val="standardContextual"/>
              </w:rPr>
              <w:t>Embora aparentemente simples, o cômputo do serviço militar pode gerar controvérsias em situações específicas: (a) quando o segurado serviu em período anterior à sua primeira filiação ao RGPS, o cômputo é devido mesmo assim; (b) quando o serviço militar coincide parcialmente com outro vínculo, não há concomitância vedada, pois o art. 96 proíbe apenas concomitância entre RGPS e RPPS; (c) quando o Certificado de Reservista foi extraviado — a certidão militar é meio de prova admitido. Na atuação forense dos JEFs, o indeferimento pelo INSS do cômputo de serviço militar é relativamente raro, mas ocorre quando o segurado não possui documentação ou quando há dúvida sobre o período efetivo.</w:t>
            </w:r>
          </w:p>
        </w:tc>
      </w:tr>
    </w:tbl>
    <w:p w14:paraId="3177DFD5" w14:textId="77777777" w:rsidR="005A5FCC" w:rsidRDefault="005A5FCC">
      <w:pPr>
        <w:spacing w:after="80" w:line="240" w:lineRule="auto"/>
      </w:pPr>
    </w:p>
    <w:p w14:paraId="5ED2BDF4" w14:textId="77777777" w:rsidR="005A5FCC" w:rsidRDefault="00A21C81">
      <w:pPr>
        <w:spacing w:before="260" w:after="80" w:line="240" w:lineRule="auto"/>
        <w:jc w:val="left"/>
      </w:pPr>
      <w:r>
        <w:rPr>
          <w:rFonts w:cs="EB Garamond"/>
          <w:b/>
          <w:color w:val="3A3128"/>
          <w:kern w:val="16"/>
          <w:sz w:val="25"/>
          <w14:ligatures w14:val="standardContextual"/>
        </w:rPr>
        <w:t>5.5.3 Efeitos do cômputo</w:t>
      </w:r>
    </w:p>
    <w:p w14:paraId="55CE0FBB"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O</w:t>
      </w:r>
    </w:p>
    <w:p w14:paraId="5D3E6DD2" w14:textId="77777777" w:rsidR="005A5FCC" w:rsidRDefault="00A21C81">
      <w:r>
        <w:rPr>
          <w:rFonts w:cs="EB Garamond"/>
          <w:kern w:val="16"/>
          <w14:ligatures w14:val="standardContextual"/>
        </w:rPr>
        <w:t xml:space="preserve"> tempo de serviço militar obrigatório, quando computado no RGPS:</w:t>
      </w:r>
    </w:p>
    <w:p w14:paraId="3F07F8EA"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Conta como tempo de contribuição para todos os efeitos (aposentadoria, regras de transição, pontuação);</w:t>
      </w:r>
    </w:p>
    <w:p w14:paraId="2FE50ADE"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Conta para carência, segundo entendimento consolidado (o segurado não pode ser prejudicado pela imposição estatal);</w:t>
      </w:r>
    </w:p>
    <w:p w14:paraId="00DEA2AC"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Não gera obrigação de indenização ou recolhimento retroativo;</w:t>
      </w:r>
    </w:p>
    <w:p w14:paraId="7813408D"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Pode ser certificado via CTC quando o segurado pretende averbá-lo em RPPS.</w:t>
      </w:r>
    </w:p>
    <w:p w14:paraId="15A0578A" w14:textId="77777777" w:rsidR="005A5FCC" w:rsidRDefault="005A5FCC">
      <w:pPr>
        <w:spacing w:after="60" w:line="240" w:lineRule="auto"/>
      </w:pPr>
    </w:p>
    <w:p w14:paraId="434B00F4"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2F7076D8" w14:textId="77777777" w:rsidR="005A5FCC" w:rsidRDefault="00A21C81">
      <w:r>
        <w:rPr>
          <w:rFonts w:cs="EB Garamond"/>
          <w:kern w:val="16"/>
          <w14:ligatures w14:val="standardContextual"/>
        </w:rPr>
        <w:t xml:space="preserve"> questão da contagem para carência merece aprofundamento. Embora o art. 55, § 2º, da Lei 8.213/91 ressalve a carência para a atividade rural, não há ressalva equivalente para o serviço militar. A interpretação dominante nos tribunais é de que o serviço militar conta integralmente, inclusive para carência, dado que a imposição estatal substitui a contribuição que o segurado teria recolhido se estivesse no mercado de trabalho civil.</w:t>
      </w:r>
    </w:p>
    <w:p w14:paraId="088C0D05" w14:textId="77777777" w:rsidR="005A5FCC" w:rsidRDefault="00A21C81">
      <w:pPr>
        <w:spacing w:before="260" w:after="80" w:line="240" w:lineRule="auto"/>
        <w:jc w:val="left"/>
      </w:pPr>
      <w:r>
        <w:rPr>
          <w:rFonts w:cs="EB Garamond"/>
          <w:b/>
          <w:color w:val="3A3128"/>
          <w:kern w:val="16"/>
          <w:sz w:val="25"/>
          <w14:ligatures w14:val="standardContextual"/>
        </w:rPr>
        <w:t>5.5.4 Tiro de guerra e outros serviços auxiliares</w:t>
      </w:r>
    </w:p>
    <w:p w14:paraId="7FDC366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M</w:t>
      </w:r>
    </w:p>
    <w:p w14:paraId="3E201976" w14:textId="77777777" w:rsidR="005A5FCC" w:rsidRDefault="00A21C81">
      <w:r>
        <w:rPr>
          <w:rFonts w:cs="EB Garamond"/>
          <w:kern w:val="16"/>
          <w14:ligatures w14:val="standardContextual"/>
        </w:rPr>
        <w:t>erece tratamento específico o Tiro de Guerra — modalidade de serviço militar obrigatório prestado em municípios que não possuem Organização Militar. O período de Tiro de Guerra é geralmente inferior ao serviço militar regular (em torno de 6 a 10 meses), mas é igualmente reconhecido como tempo de contribuição. O documento comprobatório é o Certificado de Reservista de 2ª categoria ou a certidão do Tiro de Guerra.</w:t>
      </w:r>
    </w:p>
    <w:p w14:paraId="707D8A13" w14:textId="77777777" w:rsidR="005A5FCC" w:rsidRDefault="00A21C81">
      <w:pPr>
        <w:ind w:firstLine="238"/>
      </w:pPr>
      <w:r>
        <w:rPr>
          <w:rFonts w:cs="EB Garamond"/>
          <w:kern w:val="16"/>
          <w14:ligatures w14:val="standardContextual"/>
        </w:rPr>
        <w:t>Outra hipótese é o CPOR (Centro de Preparação de Oficiais da Reserva) e o NPOR (Núcleo de Preparação de Oficiais da Reserva), nos quais o reservista frequenta cursos de formação por período determinado. O tempo de CPOR/NPOR também é computável como tempo de contribuição, mediante certidão específica do órgão militar.</w:t>
      </w:r>
    </w:p>
    <w:tbl>
      <w:tblPr>
        <w:tblW w:w="5000" w:type="pct"/>
        <w:jc w:val="center"/>
        <w:tblLayout w:type="fixed"/>
        <w:tblLook w:val="04A0" w:firstRow="1" w:lastRow="0" w:firstColumn="1" w:lastColumn="0" w:noHBand="0" w:noVBand="1"/>
      </w:tblPr>
      <w:tblGrid>
        <w:gridCol w:w="6311"/>
      </w:tblGrid>
      <w:tr w:rsidR="005A5FCC" w14:paraId="41D977CA"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1B26DC50"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3CDEA1A2" w14:textId="77777777" w:rsidR="005A5FCC" w:rsidRDefault="00A21C81">
            <w:pPr>
              <w:spacing w:after="60" w:line="247" w:lineRule="auto"/>
            </w:pPr>
            <w:r>
              <w:rPr>
                <w:rFonts w:cs="EB Garamond"/>
                <w:b/>
                <w:kern w:val="16"/>
                <w:sz w:val="19"/>
                <w14:ligatures w14:val="standardContextual"/>
              </w:rPr>
              <w:t>Dica: consulta ao sistema do Exército para obtenção de certidão</w:t>
            </w:r>
          </w:p>
          <w:p w14:paraId="43EBA303" w14:textId="77777777" w:rsidR="005A5FCC" w:rsidRDefault="00A21C81">
            <w:pPr>
              <w:spacing w:after="60" w:line="247" w:lineRule="auto"/>
            </w:pPr>
            <w:r>
              <w:rPr>
                <w:rFonts w:cs="EB Garamond"/>
                <w:kern w:val="16"/>
                <w:sz w:val="19"/>
                <w14:ligatures w14:val="standardContextual"/>
              </w:rPr>
              <w:t>Quando o segurado perdeu o Certificado de Reservista ou quando o documento não contém as datas precisas, a certidão pode ser obtida junto ao Centro de Recrutamento Regional (CRR) da área de alistamento ou pelo portal de serviços das Forças Armadas. Para o Exército: https://www.eb.mil.br (serviços ao cidadão). Para Marinha e Aeronáutica: respectivos portais ou unidades militares. O prazo de emissão varia de 15 a 60 dias. A certidão é gratuita.</w:t>
            </w:r>
          </w:p>
        </w:tc>
      </w:tr>
    </w:tbl>
    <w:p w14:paraId="4ED56815" w14:textId="77777777" w:rsidR="005A5FCC" w:rsidRDefault="005A5FCC">
      <w:pPr>
        <w:spacing w:after="80" w:line="240" w:lineRule="auto"/>
      </w:pPr>
    </w:p>
    <w:p w14:paraId="6C06D674"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5.6 Tempo de aluno-aprendiz</w:t>
      </w:r>
    </w:p>
    <w:p w14:paraId="5D5DFE66" w14:textId="77777777" w:rsidR="005A5FCC" w:rsidRDefault="00A21C81">
      <w:pPr>
        <w:spacing w:before="260" w:after="80" w:line="240" w:lineRule="auto"/>
        <w:jc w:val="left"/>
      </w:pPr>
      <w:r>
        <w:rPr>
          <w:rFonts w:cs="EB Garamond"/>
          <w:b/>
          <w:color w:val="3A3128"/>
          <w:kern w:val="16"/>
          <w:sz w:val="25"/>
          <w14:ligatures w14:val="standardContextual"/>
        </w:rPr>
        <w:t>5.6.1 Origem e fundamento — súmula 96/TCU</w:t>
      </w:r>
    </w:p>
    <w:p w14:paraId="79F57C5F"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59B1493D" w14:textId="77777777" w:rsidR="005A5FCC" w:rsidRDefault="00A21C81">
      <w:r>
        <w:rPr>
          <w:rFonts w:cs="EB Garamond"/>
          <w:kern w:val="16"/>
          <w14:ligatures w14:val="standardContextual"/>
        </w:rPr>
        <w:t xml:space="preserve"> Súmula 96 do Tribunal de Contas da União estabelece: "Conta-se para todos os efeitos, como tempo de serviço público, o período de trabalho prestado, na qualidade de aluno-aprendiz, em Escola Pública Profissional, desde que comprovada a retribuição pecuniária à conta do Orçamento, admitindo-se, como tal, o recebimento de alimentação, fardamento, material escolar e parcela de renda auferida com a execução de encomendas para terceiros."</w:t>
      </w:r>
    </w:p>
    <w:p w14:paraId="01538567" w14:textId="77777777" w:rsidR="005A5FCC" w:rsidRDefault="00A21C81">
      <w:pPr>
        <w:ind w:firstLine="238"/>
      </w:pPr>
      <w:r>
        <w:rPr>
          <w:rFonts w:cs="EB Garamond"/>
          <w:kern w:val="16"/>
          <w14:ligatures w14:val="standardContextual"/>
        </w:rPr>
        <w:t xml:space="preserve">Embora a Súmula tenha sido editada no contexto do serviço público, sua aplicação estendeu-se ao RGPS por força do </w:t>
      </w:r>
      <w:commentRangeStart w:id="11"/>
      <w:r>
        <w:rPr>
          <w:rFonts w:cs="EB Garamond"/>
          <w:kern w:val="16"/>
          <w14:ligatures w14:val="standardContextual"/>
        </w:rPr>
        <w:t>Decreto 3.048/99, que inclui o período de aluno-aprendiz em escola técnica entre os períodos computáveis como tempo de contribuição, desde que comprovados a retribuição à conta do orçamento público (ainda que indireta) e o vínculo empregatício</w:t>
      </w:r>
      <w:commentRangeEnd w:id="11"/>
      <w:r w:rsidR="009C2D59">
        <w:rPr>
          <w:rStyle w:val="Refdecomentrio"/>
          <w:rFonts w:cs="EB Garamond"/>
          <w:kern w:val="16"/>
          <w:sz w:val="21"/>
          <w:szCs w:val="22"/>
          <w14:ligatures w14:val="standardContextual"/>
        </w:rPr>
        <w:commentReference w:id="11"/>
      </w:r>
      <w:r>
        <w:rPr>
          <w:rFonts w:cs="EB Garamond"/>
          <w:kern w:val="16"/>
          <w14:ligatures w14:val="standardContextual"/>
        </w:rPr>
        <w:t>. A previsão constava originalmente do art. 60, inciso XXII, revogado pelo Decreto 10.410/2020, que a reposicionou no art. 188-G, inciso IX, do mesmo Regulamento — dispositivo vigente.</w:t>
      </w:r>
    </w:p>
    <w:p w14:paraId="7C316488" w14:textId="77777777" w:rsidR="005A5FCC" w:rsidRDefault="00A21C81">
      <w:pPr>
        <w:ind w:firstLine="238"/>
      </w:pPr>
      <w:r>
        <w:rPr>
          <w:rFonts w:cs="EB Garamond"/>
          <w:kern w:val="16"/>
          <w14:ligatures w14:val="standardContextual"/>
        </w:rPr>
        <w:t xml:space="preserve">O período típico abrangido situa-se entre as décadas de 1950 e 1990, quando as Escolas Técnicas Federais (ETFs), Escolas Agrotécnicas Federais e instituições como SENAI e SENAC mantinham programas de formação profissional nos </w:t>
      </w:r>
      <w:r>
        <w:rPr>
          <w:rFonts w:cs="EB Garamond"/>
          <w:kern w:val="16"/>
          <w14:ligatures w14:val="standardContextual"/>
        </w:rPr>
        <w:lastRenderedPageBreak/>
        <w:t>quais os alunos executavam trabalhos produtivos para terceiros, com retribuição, em dinheiro, alimentação ou fardamento, custeada pelo orçamento público.</w:t>
      </w:r>
    </w:p>
    <w:p w14:paraId="0DEAA461" w14:textId="77777777" w:rsidR="005A5FCC" w:rsidRDefault="00A21C81">
      <w:pPr>
        <w:spacing w:before="260" w:after="80" w:line="240" w:lineRule="auto"/>
        <w:jc w:val="left"/>
      </w:pPr>
      <w:r>
        <w:rPr>
          <w:rFonts w:cs="EB Garamond"/>
          <w:b/>
          <w:color w:val="3A3128"/>
          <w:kern w:val="16"/>
          <w:sz w:val="25"/>
          <w14:ligatures w14:val="standardContextual"/>
        </w:rPr>
        <w:t>5.6.2 Requisitos para o cômputo — TNU tema 216</w:t>
      </w:r>
    </w:p>
    <w:p w14:paraId="7DB0DCB3"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050FB977" w14:textId="77777777" w:rsidR="005A5FCC" w:rsidRDefault="00A21C81">
      <w:r>
        <w:rPr>
          <w:rFonts w:cs="EB Garamond"/>
          <w:kern w:val="16"/>
          <w14:ligatures w14:val="standardContextual"/>
        </w:rPr>
        <w:t xml:space="preserve"> TNU, no Tema 216 (PEDILEF 0525048-76.2017.4.05.8100/CE, julgado em 14/02/2020), fixou critérios mais rigorosos para o cômputo do tempo de aluno-aprendiz, alterando a Súmula 18 da TNU. Os requisitos são cumulativos:</w:t>
      </w:r>
    </w:p>
    <w:p w14:paraId="474AB637" w14:textId="77777777" w:rsidR="005A5FCC" w:rsidRDefault="00A21C81">
      <w:pPr>
        <w:spacing w:after="40" w:line="252" w:lineRule="auto"/>
        <w:ind w:left="340" w:hanging="198"/>
      </w:pPr>
      <w:r>
        <w:rPr>
          <w:rFonts w:cs="EB Garamond"/>
          <w:color w:val="3A3128"/>
          <w:kern w:val="16"/>
          <w:sz w:val="20"/>
          <w14:ligatures w14:val="standardContextual"/>
        </w:rPr>
        <w:t xml:space="preserve">1. </w:t>
      </w:r>
      <w:r>
        <w:rPr>
          <w:rFonts w:cs="EB Garamond"/>
          <w:b/>
          <w:kern w:val="16"/>
          <w:sz w:val="20"/>
          <w14:ligatures w14:val="standardContextual"/>
        </w:rPr>
        <w:t>Retribuição consistente em pagamento pecuniário ou assistência material</w:t>
      </w:r>
      <w:r>
        <w:rPr>
          <w:rFonts w:cs="EB Garamond"/>
          <w:kern w:val="16"/>
          <w:sz w:val="20"/>
          <w14:ligatures w14:val="standardContextual"/>
        </w:rPr>
        <w:t>, o aluno deve ter recebido alguma forma de contraprestação (dinheiro, alimentação, fardamento, material escolar, parcela de renda);</w:t>
      </w:r>
    </w:p>
    <w:p w14:paraId="183D275C" w14:textId="77777777" w:rsidR="005A5FCC" w:rsidRDefault="005A5FCC">
      <w:pPr>
        <w:spacing w:after="60" w:line="240" w:lineRule="auto"/>
      </w:pPr>
    </w:p>
    <w:p w14:paraId="7D1BC3EB" w14:textId="45770BF1" w:rsidR="005A5FCC" w:rsidRDefault="009C2D59">
      <w:pPr>
        <w:spacing w:after="40" w:line="252" w:lineRule="auto"/>
        <w:ind w:left="340" w:hanging="198"/>
      </w:pPr>
      <w:r>
        <w:rPr>
          <w:rFonts w:cs="EB Garamond"/>
          <w:color w:val="3A3128"/>
          <w:kern w:val="16"/>
          <w:sz w:val="20"/>
          <w14:ligatures w14:val="standardContextual"/>
        </w:rPr>
        <w:t>2</w:t>
      </w:r>
      <w:r w:rsidR="00A21C81">
        <w:rPr>
          <w:rFonts w:cs="EB Garamond"/>
          <w:color w:val="3A3128"/>
          <w:kern w:val="16"/>
          <w:sz w:val="20"/>
          <w14:ligatures w14:val="standardContextual"/>
        </w:rPr>
        <w:t xml:space="preserve">. </w:t>
      </w:r>
      <w:r w:rsidR="00A21C81">
        <w:rPr>
          <w:rFonts w:cs="EB Garamond"/>
          <w:b/>
          <w:kern w:val="16"/>
          <w:sz w:val="20"/>
          <w14:ligatures w14:val="standardContextual"/>
        </w:rPr>
        <w:t>À conta do Orçamento</w:t>
      </w:r>
      <w:r w:rsidR="00A21C81">
        <w:rPr>
          <w:rFonts w:cs="EB Garamond"/>
          <w:kern w:val="16"/>
          <w:sz w:val="20"/>
          <w14:ligatures w14:val="standardContextual"/>
        </w:rPr>
        <w:t>, a retribuição deve provir de verba orçamentária pública, não de recursos privados;</w:t>
      </w:r>
    </w:p>
    <w:p w14:paraId="2D3803DC" w14:textId="77777777" w:rsidR="005A5FCC" w:rsidRDefault="005A5FCC">
      <w:pPr>
        <w:spacing w:after="60" w:line="240" w:lineRule="auto"/>
      </w:pPr>
    </w:p>
    <w:p w14:paraId="58F8E191" w14:textId="63B025CA" w:rsidR="005A5FCC" w:rsidRDefault="009C2D59">
      <w:pPr>
        <w:spacing w:after="40" w:line="252" w:lineRule="auto"/>
        <w:ind w:left="340" w:hanging="198"/>
      </w:pPr>
      <w:r>
        <w:rPr>
          <w:rFonts w:cs="EB Garamond"/>
          <w:color w:val="3A3128"/>
          <w:kern w:val="16"/>
          <w:sz w:val="20"/>
          <w14:ligatures w14:val="standardContextual"/>
        </w:rPr>
        <w:t>3</w:t>
      </w:r>
      <w:r w:rsidR="00A21C81">
        <w:rPr>
          <w:rFonts w:cs="EB Garamond"/>
          <w:color w:val="3A3128"/>
          <w:kern w:val="16"/>
          <w:sz w:val="20"/>
          <w14:ligatures w14:val="standardContextual"/>
        </w:rPr>
        <w:t xml:space="preserve">. </w:t>
      </w:r>
      <w:r w:rsidR="00A21C81">
        <w:rPr>
          <w:rFonts w:cs="EB Garamond"/>
          <w:b/>
          <w:kern w:val="16"/>
          <w:sz w:val="20"/>
          <w14:ligatures w14:val="standardContextual"/>
        </w:rPr>
        <w:t>Como contraprestação por labor</w:t>
      </w:r>
      <w:r w:rsidR="00A21C81">
        <w:rPr>
          <w:rFonts w:cs="EB Garamond"/>
          <w:kern w:val="16"/>
          <w:sz w:val="20"/>
          <w14:ligatures w14:val="standardContextual"/>
        </w:rPr>
        <w:t xml:space="preserve"> — não se trata de mera bolsa de estudo ou assistência estudantil, mas de remuneração por trabalho efetivamente prestado;</w:t>
      </w:r>
    </w:p>
    <w:p w14:paraId="5EF25EED" w14:textId="77777777" w:rsidR="005A5FCC" w:rsidRDefault="005A5FCC">
      <w:pPr>
        <w:spacing w:after="60" w:line="240" w:lineRule="auto"/>
      </w:pPr>
    </w:p>
    <w:p w14:paraId="13308F7B" w14:textId="50C04C4A" w:rsidR="005A5FCC" w:rsidRDefault="009C2D59">
      <w:pPr>
        <w:spacing w:after="40" w:line="252" w:lineRule="auto"/>
        <w:ind w:left="340" w:hanging="198"/>
      </w:pPr>
      <w:r>
        <w:rPr>
          <w:rFonts w:cs="EB Garamond"/>
          <w:color w:val="3A3128"/>
          <w:kern w:val="16"/>
          <w:sz w:val="20"/>
          <w14:ligatures w14:val="standardContextual"/>
        </w:rPr>
        <w:t>4</w:t>
      </w:r>
      <w:r w:rsidR="00A21C81">
        <w:rPr>
          <w:rFonts w:cs="EB Garamond"/>
          <w:color w:val="3A3128"/>
          <w:kern w:val="16"/>
          <w:sz w:val="20"/>
          <w14:ligatures w14:val="standardContextual"/>
        </w:rPr>
        <w:t xml:space="preserve">. </w:t>
      </w:r>
      <w:r w:rsidR="00A21C81">
        <w:rPr>
          <w:rFonts w:cs="EB Garamond"/>
          <w:b/>
          <w:kern w:val="16"/>
          <w:sz w:val="20"/>
          <w14:ligatures w14:val="standardContextual"/>
        </w:rPr>
        <w:t>Na execução de bens e serviços destinados a terceiros</w:t>
      </w:r>
      <w:r w:rsidR="00A21C81">
        <w:rPr>
          <w:rFonts w:cs="EB Garamond"/>
          <w:kern w:val="16"/>
          <w:sz w:val="20"/>
          <w14:ligatures w14:val="standardContextual"/>
        </w:rPr>
        <w:t>, o trabalho deve ter natureza produtiva, com destinação a terceiros (oficinas que produziam peças, serrarias que beneficiavam madeira para clientes, oficinas mecânicas que atendiam o público externo, etc.).</w:t>
      </w:r>
    </w:p>
    <w:p w14:paraId="48FD0BF1" w14:textId="77777777" w:rsidR="005A5FCC" w:rsidRDefault="005A5FCC">
      <w:pPr>
        <w:spacing w:after="60" w:line="240" w:lineRule="auto"/>
      </w:pPr>
    </w:p>
    <w:tbl>
      <w:tblPr>
        <w:tblW w:w="5000" w:type="pct"/>
        <w:jc w:val="center"/>
        <w:tblLayout w:type="fixed"/>
        <w:tblLook w:val="04A0" w:firstRow="1" w:lastRow="0" w:firstColumn="1" w:lastColumn="0" w:noHBand="0" w:noVBand="1"/>
      </w:tblPr>
      <w:tblGrid>
        <w:gridCol w:w="6311"/>
      </w:tblGrid>
      <w:tr w:rsidR="005A5FCC" w14:paraId="6CCE99C8"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2EC0077A"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17EB8E84" w14:textId="77777777" w:rsidR="005A5FCC" w:rsidRDefault="00A21C81">
            <w:pPr>
              <w:spacing w:after="60" w:line="247" w:lineRule="auto"/>
            </w:pPr>
            <w:r>
              <w:rPr>
                <w:rFonts w:cs="EB Garamond"/>
                <w:b/>
                <w:kern w:val="16"/>
                <w:sz w:val="19"/>
                <w14:ligatures w14:val="standardContextual"/>
              </w:rPr>
              <w:t>Requisitos cumulativos do TNU Tema 216</w:t>
            </w:r>
          </w:p>
          <w:p w14:paraId="42C72476" w14:textId="77777777" w:rsidR="005A5FCC" w:rsidRDefault="00A21C81">
            <w:pPr>
              <w:spacing w:after="60" w:line="247" w:lineRule="auto"/>
            </w:pPr>
            <w:r>
              <w:rPr>
                <w:rFonts w:cs="EB Garamond"/>
                <w:kern w:val="16"/>
                <w:sz w:val="19"/>
                <w14:ligatures w14:val="standardContextual"/>
              </w:rPr>
              <w:t>O entendimento atual da TNU é mais restritivo que a literalidade da Súmula 96/TCU. Não basta comprovar que o aluno recebia alimentação e fardamento: é necessário demonstrar que a retribuição era contraprestação por labor produtivo destinado a terceiros, não mera atividade didática interna. Assim, o simples fato de frequentar escola técnica federal com auxílio-alimentação não garante o cômputo do tempo — é preciso provar que o aluno efetivamente trabalhou na produção de bens ou serviços para o público externo.</w:t>
            </w:r>
          </w:p>
        </w:tc>
      </w:tr>
    </w:tbl>
    <w:p w14:paraId="4CEE8278" w14:textId="77777777" w:rsidR="005A5FCC" w:rsidRDefault="005A5FCC">
      <w:pPr>
        <w:spacing w:after="80" w:line="240" w:lineRule="auto"/>
      </w:pPr>
    </w:p>
    <w:p w14:paraId="75101653" w14:textId="77777777" w:rsidR="005A5FCC" w:rsidRDefault="00A21C81">
      <w:pPr>
        <w:spacing w:before="260" w:after="80" w:line="240" w:lineRule="auto"/>
        <w:jc w:val="left"/>
      </w:pPr>
      <w:r>
        <w:rPr>
          <w:rFonts w:cs="EB Garamond"/>
          <w:b/>
          <w:color w:val="3A3128"/>
          <w:kern w:val="16"/>
          <w:sz w:val="25"/>
          <w14:ligatures w14:val="standardContextual"/>
        </w:rPr>
        <w:t>5.6.3 Prova do tempo de aluno-aprendiz</w:t>
      </w:r>
    </w:p>
    <w:p w14:paraId="05355B1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6AF4AC1D" w14:textId="77777777" w:rsidR="005A5FCC" w:rsidRDefault="00A21C81">
      <w:r>
        <w:rPr>
          <w:rFonts w:cs="EB Garamond"/>
          <w:kern w:val="16"/>
          <w14:ligatures w14:val="standardContextual"/>
        </w:rPr>
        <w:t xml:space="preserve"> comprovação exige documentos emitidos pela instituição de ensino:</w:t>
      </w:r>
    </w:p>
    <w:p w14:paraId="477BD32A"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Certidão da escola</w:t>
      </w:r>
      <w:r>
        <w:rPr>
          <w:rFonts w:cs="EB Garamond"/>
          <w:kern w:val="16"/>
          <w:sz w:val="20"/>
          <w14:ligatures w14:val="standardContextual"/>
        </w:rPr>
        <w:t xml:space="preserve"> contendo: período de matrícula, natureza do curso, informação sobre execução de encomendas para terceiros, fonte de retribuição;</w:t>
      </w:r>
    </w:p>
    <w:p w14:paraId="7460CB32"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Ficha individual do aluno</w:t>
      </w:r>
      <w:r>
        <w:rPr>
          <w:rFonts w:cs="EB Garamond"/>
          <w:kern w:val="16"/>
          <w:sz w:val="20"/>
          <w14:ligatures w14:val="standardContextual"/>
        </w:rPr>
        <w:t xml:space="preserve"> com registros de pagamento ou assistência material;</w:t>
      </w:r>
    </w:p>
    <w:p w14:paraId="40602E4E"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Listas de pagamento</w:t>
      </w:r>
      <w:r>
        <w:rPr>
          <w:rFonts w:cs="EB Garamond"/>
          <w:kern w:val="16"/>
          <w:sz w:val="20"/>
          <w14:ligatures w14:val="standardContextual"/>
        </w:rPr>
        <w:t xml:space="preserve"> ou planilhas demonstrando retribuição à conta do orçamento;</w:t>
      </w:r>
    </w:p>
    <w:p w14:paraId="44DD4AF7"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Documentos comprobatórios da natureza produtiva</w:t>
      </w:r>
      <w:r>
        <w:rPr>
          <w:rFonts w:cs="EB Garamond"/>
          <w:kern w:val="16"/>
          <w:sz w:val="20"/>
          <w14:ligatures w14:val="standardContextual"/>
        </w:rPr>
        <w:t xml:space="preserve"> — contratos de prestação de serviços a terceiros, notas fiscais de produtos fabricados, registros de oficinas que atendiam público externo.</w:t>
      </w:r>
    </w:p>
    <w:p w14:paraId="7891BD65" w14:textId="77777777" w:rsidR="005A5FCC" w:rsidRDefault="005A5FCC">
      <w:pPr>
        <w:spacing w:after="60" w:line="240" w:lineRule="auto"/>
      </w:pPr>
    </w:p>
    <w:p w14:paraId="0A1BB97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64A6C1C0" w14:textId="77777777" w:rsidR="005A5FCC" w:rsidRDefault="00A21C81">
      <w:r>
        <w:rPr>
          <w:rFonts w:cs="EB Garamond"/>
          <w:kern w:val="16"/>
          <w14:ligatures w14:val="standardContextual"/>
        </w:rPr>
        <w:t xml:space="preserve"> dificuldade probatória é agravada pelo tempo decorrido: muitas ETFs foram transformadas em Institutos Federais (IFs) e nem sempre mantiveram acervos completos das décadas de 1960 a 1980. O segurado deve buscar certidões junto às instituições sucessoras e, na impossibilidade, requerer justificação judicial para suprir a ausência documental.</w:t>
      </w:r>
    </w:p>
    <w:tbl>
      <w:tblPr>
        <w:tblW w:w="5000" w:type="pct"/>
        <w:jc w:val="center"/>
        <w:tblLayout w:type="fixed"/>
        <w:tblLook w:val="04A0" w:firstRow="1" w:lastRow="0" w:firstColumn="1" w:lastColumn="0" w:noHBand="0" w:noVBand="1"/>
      </w:tblPr>
      <w:tblGrid>
        <w:gridCol w:w="6311"/>
      </w:tblGrid>
      <w:tr w:rsidR="005A5FCC" w14:paraId="51D95043"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6C63D371"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4CB37715" w14:textId="77777777" w:rsidR="005A5FCC" w:rsidRDefault="00A21C81">
            <w:pPr>
              <w:spacing w:after="60" w:line="247" w:lineRule="auto"/>
            </w:pPr>
            <w:r>
              <w:rPr>
                <w:rFonts w:cs="EB Garamond"/>
                <w:b/>
                <w:kern w:val="16"/>
                <w:sz w:val="19"/>
                <w14:ligatures w14:val="standardContextual"/>
              </w:rPr>
              <w:t>Dica: requerimento de certidão ao Instituto Federal</w:t>
            </w:r>
          </w:p>
          <w:p w14:paraId="1BEC432A" w14:textId="77777777" w:rsidR="005A5FCC" w:rsidRDefault="00A21C81">
            <w:pPr>
              <w:spacing w:after="60" w:line="247" w:lineRule="auto"/>
            </w:pPr>
            <w:r>
              <w:rPr>
                <w:rFonts w:cs="EB Garamond"/>
                <w:kern w:val="16"/>
                <w:sz w:val="19"/>
                <w14:ligatures w14:val="standardContextual"/>
              </w:rPr>
              <w:t>Antes de ajuizar ação, o advogado deve requerer formalmente ao Instituto Federal (sucessor da antiga ETF) certidão circunstanciada contendo: (a) período de matrícula do aluno; (b) existência de programa de aprendizagem com produção para terceiros; (c) natureza da retribuição (pecuniária, alimentação, fardamento); (d) origem orçamentária da retribuição. Se a instituição declarar impossibilidade de fornecer tais informações, o documento de recusa serve como prova da dificuldade probatória e justifica a produção de prova testemunhal em juízo.</w:t>
            </w:r>
          </w:p>
        </w:tc>
      </w:tr>
    </w:tbl>
    <w:p w14:paraId="18E9086A" w14:textId="77777777" w:rsidR="005A5FCC" w:rsidRDefault="005A5FCC">
      <w:pPr>
        <w:spacing w:after="80" w:line="240" w:lineRule="auto"/>
      </w:pPr>
    </w:p>
    <w:p w14:paraId="3EF47777"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5.7 Contagem recíproca entre regimes (RGPS/RPPS)</w:t>
      </w:r>
    </w:p>
    <w:p w14:paraId="4397E978" w14:textId="77777777" w:rsidR="005A5FCC" w:rsidRDefault="00A21C81">
      <w:pPr>
        <w:spacing w:before="260" w:after="80" w:line="240" w:lineRule="auto"/>
        <w:jc w:val="left"/>
      </w:pPr>
      <w:r>
        <w:rPr>
          <w:rFonts w:cs="EB Garamond"/>
          <w:b/>
          <w:color w:val="3A3128"/>
          <w:kern w:val="16"/>
          <w:sz w:val="25"/>
          <w14:ligatures w14:val="standardContextual"/>
        </w:rPr>
        <w:t>5.7.1 Fundamento constitucional e legislativo</w:t>
      </w:r>
    </w:p>
    <w:p w14:paraId="35E4873F"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1B254FE2" w14:textId="77777777" w:rsidR="005A5FCC" w:rsidRDefault="00A21C81">
      <w:r>
        <w:rPr>
          <w:rFonts w:cs="EB Garamond"/>
          <w:kern w:val="16"/>
          <w14:ligatures w14:val="standardContextual"/>
        </w:rPr>
        <w:t xml:space="preserve"> contagem recíproca — possibilidade de somar tempo de contribuição cumprido no RGPS com tempo de contribuição cumprido em Regime Próprio de Previdência Social (RPPS), e vice-versa, para efeito de aposentadoria — é instituto amplamente examinado pela doutrina e encontra fundamento no art. 201, § 9º, da Constituição Federal: "Para fins de aposentadoria, será assegurada a contagem recíproca do tempo de contribuição entre o Regime Geral de Previdência Social e os regimes próprios de previdência social, e destes entre si, observada a compensação financeira, de acordo com os critérios estabelecidos em lei."</w:t>
      </w:r>
    </w:p>
    <w:p w14:paraId="01765C55" w14:textId="77777777" w:rsidR="005A5FCC" w:rsidRDefault="00A21C81">
      <w:pPr>
        <w:ind w:firstLine="238"/>
      </w:pPr>
      <w:r>
        <w:rPr>
          <w:rFonts w:cs="EB Garamond"/>
          <w:kern w:val="16"/>
          <w14:ligatures w14:val="standardContextual"/>
        </w:rPr>
        <w:t>O dispositivo constitucional consagra três elementos: (a) o direito à contagem recíproca; (b) a obrigatoriedade de compensação financeira entre regimes; (c) a remissão à lei para critérios operacionais. A legislação infraconstitucional que disciplina a matéria inclui a Lei 6.226/75 (primeira a prever contagem recíproca para servidores federais), a Lei 6.864/80 (extensão a estados e municípios), os arts. 94 a 99 da Lei 8.213/91 e a Lei 9.796/99 (compensação previdenciária).</w:t>
      </w:r>
    </w:p>
    <w:p w14:paraId="34C0EA71" w14:textId="77777777" w:rsidR="005A5FCC" w:rsidRDefault="00A21C81">
      <w:pPr>
        <w:spacing w:before="260" w:after="80" w:line="240" w:lineRule="auto"/>
        <w:jc w:val="left"/>
      </w:pPr>
      <w:r>
        <w:rPr>
          <w:rFonts w:cs="EB Garamond"/>
          <w:b/>
          <w:color w:val="3A3128"/>
          <w:kern w:val="16"/>
          <w:sz w:val="25"/>
          <w14:ligatures w14:val="standardContextual"/>
        </w:rPr>
        <w:t>5.7.2 Mecanismo da contagem recíproca</w:t>
      </w:r>
    </w:p>
    <w:p w14:paraId="67EEC86B"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4E8B8E45" w14:textId="77777777" w:rsidR="005A5FCC" w:rsidRDefault="00A21C81">
      <w:r>
        <w:rPr>
          <w:rFonts w:cs="EB Garamond"/>
          <w:kern w:val="16"/>
          <w14:ligatures w14:val="standardContextual"/>
        </w:rPr>
        <w:t xml:space="preserve"> mecanismo opera da seguinte forma: o segurado que contribuiu para mais de um regime previdenciário (RGPS e RPPS, ou diferentes RPPSs) pode somar os períodos contributivos para fins de aposentadoria em um único regime. O regime onde o segurado se aposentará é denominado "regime instituidor"; o regime onde as contribuições foram vertidas é o "regime de origem". O instrumento formal dessa soma é a Certidão de Tempo de Contribuição (CTC), emitida pelo regime de origem e averbada no regime instituidor.</w:t>
      </w:r>
    </w:p>
    <w:p w14:paraId="5ADDC3AF" w14:textId="77777777" w:rsidR="005A5FCC" w:rsidRDefault="00A21C81">
      <w:pPr>
        <w:ind w:firstLine="238"/>
      </w:pPr>
      <w:r>
        <w:rPr>
          <w:rFonts w:cs="EB Garamond"/>
          <w:kern w:val="16"/>
          <w14:ligatures w14:val="standardContextual"/>
        </w:rPr>
        <w:t xml:space="preserve">A compensação financeira opera entre os regimes para evitar enriquecimento sem causa: o regime de origem (que arrecadou as contribuições) compensa financeiramente o regime instituidor (que pagará o benefício) proporcionalmente ao </w:t>
      </w:r>
      <w:r>
        <w:rPr>
          <w:rFonts w:cs="EB Garamond"/>
          <w:kern w:val="16"/>
          <w14:ligatures w14:val="standardContextual"/>
        </w:rPr>
        <w:lastRenderedPageBreak/>
        <w:t>tempo certificado. Esse mecanismo é disciplinado pela Lei 9.796/99 e operacionalizado pelo sistema COMPREV (Compensação Previdenciária).</w:t>
      </w:r>
    </w:p>
    <w:p w14:paraId="08A8E985" w14:textId="77777777" w:rsidR="005A5FCC" w:rsidRDefault="00A21C81">
      <w:pPr>
        <w:spacing w:before="260" w:after="80" w:line="240" w:lineRule="auto"/>
        <w:jc w:val="left"/>
      </w:pPr>
      <w:r>
        <w:rPr>
          <w:rFonts w:cs="EB Garamond"/>
          <w:b/>
          <w:color w:val="3A3128"/>
          <w:kern w:val="16"/>
          <w:sz w:val="25"/>
          <w14:ligatures w14:val="standardContextual"/>
        </w:rPr>
        <w:t>5.7.3 Vedações legais</w:t>
      </w:r>
    </w:p>
    <w:p w14:paraId="531337BB"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234DE56A" w14:textId="77777777" w:rsidR="005A5FCC" w:rsidRDefault="00A21C81">
      <w:r>
        <w:rPr>
          <w:rFonts w:cs="EB Garamond"/>
          <w:kern w:val="16"/>
          <w14:ligatures w14:val="standardContextual"/>
        </w:rPr>
        <w:t xml:space="preserve"> art. 96 da Lei 8.213/91 estabelece vedações expressas à contagem recíproca. Após as alterações da Lei 13.846/2019 (conversão da MP 871/2019), o dispositivo contém nove incisos (I a IX). Os principais, para a atuação nos JEFs, devem ser distinguidos com precisão:</w:t>
      </w:r>
    </w:p>
    <w:p w14:paraId="7E66DD3C"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Contagem simultânea (inciso I):</w:t>
      </w:r>
      <w:r>
        <w:rPr>
          <w:rFonts w:cs="EB Garamond"/>
          <w:kern w:val="16"/>
          <w:sz w:val="20"/>
          <w14:ligatures w14:val="standardContextual"/>
        </w:rPr>
        <w:t xml:space="preserve"> O mesmo tempo não pode ser computado em mais de um regime simultaneamente. Se o segurado contribuiu para RGPS e RPPS no mesmo período (por exemplo, era servidor municipal e mantinha atividade privada paralela), somente pode usar o período em um dos regimes.</w:t>
      </w:r>
    </w:p>
    <w:p w14:paraId="4B423CCF" w14:textId="77777777" w:rsidR="005A5FCC" w:rsidRDefault="005A5FCC">
      <w:pPr>
        <w:spacing w:after="60" w:line="240" w:lineRule="auto"/>
      </w:pPr>
    </w:p>
    <w:p w14:paraId="4723AE56"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Dupla aposentadoria com mesmo tempo (inciso II):</w:t>
      </w:r>
      <w:r>
        <w:rPr>
          <w:rFonts w:cs="EB Garamond"/>
          <w:kern w:val="16"/>
          <w:sz w:val="20"/>
          <w14:ligatures w14:val="standardContextual"/>
        </w:rPr>
        <w:t xml:space="preserve"> Vedado utilizar o mesmo período para obter aposentadoria em dois regimes distintos.</w:t>
      </w:r>
    </w:p>
    <w:p w14:paraId="3EE3EA9D" w14:textId="77777777" w:rsidR="005A5FCC" w:rsidRDefault="005A5FCC">
      <w:pPr>
        <w:spacing w:after="60" w:line="240" w:lineRule="auto"/>
      </w:pPr>
    </w:p>
    <w:p w14:paraId="48AC6CEA"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Exigência de CTC:</w:t>
      </w:r>
      <w:r>
        <w:rPr>
          <w:rFonts w:cs="EB Garamond"/>
          <w:kern w:val="16"/>
          <w:sz w:val="20"/>
          <w14:ligatures w14:val="standardContextual"/>
        </w:rPr>
        <w:t xml:space="preserve"> A contagem recíproca exige emissão formal de Certidão de Tempo de Contribuição pelo regime de origem. Essa exigência decorre do sistema da contagem recíproca (arts. 94 a 99 da Lei 8.213/91), sendo operacionalizada pelo art. 130 e seguintes do Decreto 3.048/99.</w:t>
      </w:r>
    </w:p>
    <w:p w14:paraId="19DB2BB8" w14:textId="77777777" w:rsidR="005A5FCC" w:rsidRDefault="005A5FCC">
      <w:pPr>
        <w:spacing w:after="60" w:line="240" w:lineRule="auto"/>
      </w:pPr>
    </w:p>
    <w:p w14:paraId="0828FC1A"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Vedação de desaverbação de tempo que gerou vantagens (art. 96, VIII, da Lei 8.213/91):</w:t>
      </w:r>
      <w:r>
        <w:rPr>
          <w:rFonts w:cs="EB Garamond"/>
          <w:kern w:val="16"/>
          <w:sz w:val="20"/>
          <w14:ligatures w14:val="standardContextual"/>
        </w:rPr>
        <w:t xml:space="preserve"> Proibida a desaverbação (retirada) de tempo que tenha sido utilizado para obtenção de vantagens remuneratórias ao servidor em atividade (como anuênios, quinquênios, progressão funcional). Essa vedação foi inserida no inciso VIII do art. 96 da Lei 8.213/91 pela Lei 13.846/2019.</w:t>
      </w:r>
    </w:p>
    <w:p w14:paraId="275C2526" w14:textId="77777777" w:rsidR="005A5FCC" w:rsidRDefault="005A5FCC">
      <w:pPr>
        <w:spacing w:after="60" w:line="240" w:lineRule="auto"/>
      </w:pPr>
    </w:p>
    <w:tbl>
      <w:tblPr>
        <w:tblW w:w="5000" w:type="pct"/>
        <w:jc w:val="center"/>
        <w:tblLayout w:type="fixed"/>
        <w:tblLook w:val="04A0" w:firstRow="1" w:lastRow="0" w:firstColumn="1" w:lastColumn="0" w:noHBand="0" w:noVBand="1"/>
      </w:tblPr>
      <w:tblGrid>
        <w:gridCol w:w="6311"/>
      </w:tblGrid>
      <w:tr w:rsidR="005A5FCC" w14:paraId="1CCBED7B"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1509E305" w14:textId="77777777" w:rsidR="005A5FCC" w:rsidRDefault="00A21C81">
            <w:pPr>
              <w:spacing w:after="60" w:line="240" w:lineRule="auto"/>
              <w:jc w:val="left"/>
            </w:pPr>
            <w:r>
              <w:rPr>
                <w:rFonts w:ascii="Noto Sans" w:hAnsi="Noto Sans" w:cs="Noto Sans"/>
                <w:b/>
                <w:caps/>
                <w:color w:val="B78B37"/>
                <w:kern w:val="16"/>
                <w:sz w:val="16"/>
                <w14:ligatures w14:val="standardContextual"/>
              </w:rPr>
              <w:lastRenderedPageBreak/>
              <w:t>ATENÇÃO</w:t>
            </w:r>
          </w:p>
          <w:p w14:paraId="375703D8" w14:textId="77777777" w:rsidR="005A5FCC" w:rsidRDefault="00A21C81">
            <w:pPr>
              <w:spacing w:after="60" w:line="247" w:lineRule="auto"/>
            </w:pPr>
            <w:r>
              <w:rPr>
                <w:rFonts w:cs="EB Garamond"/>
                <w:b/>
                <w:kern w:val="16"/>
                <w:sz w:val="19"/>
                <w14:ligatures w14:val="standardContextual"/>
              </w:rPr>
              <w:t>Vedação de desaverbação — armadilha para o segurado</w:t>
            </w:r>
          </w:p>
          <w:p w14:paraId="203B44D2" w14:textId="77777777" w:rsidR="005A5FCC" w:rsidRDefault="00A21C81">
            <w:pPr>
              <w:spacing w:after="60" w:line="247" w:lineRule="auto"/>
            </w:pPr>
            <w:r>
              <w:rPr>
                <w:rFonts w:cs="EB Garamond"/>
                <w:kern w:val="16"/>
                <w:sz w:val="19"/>
                <w14:ligatures w14:val="standardContextual"/>
              </w:rPr>
              <w:t>O servidor público que utilizou tempo de serviço para obter progressão funcional ou anuênios não pode desaverbar esse tempo para levá-lo ao RGPS (ou a outro RPPS). A vedação do art. 96, VIII, da Lei 8.213/91 é expressa. O advogado deve verificar, antes de requerer CTC, se o tempo pretendido foi utilizado para qualquer vantagem no cargo público. Se foi, o tempo está "comprometido" e não pode ser certificado. Exceção reconhecida pela jurisprudência: tempo excedente, que não impactou a composição de qualquer vantagem, pode ser certificado.</w:t>
            </w:r>
          </w:p>
        </w:tc>
      </w:tr>
    </w:tbl>
    <w:p w14:paraId="56623C35" w14:textId="77777777" w:rsidR="005A5FCC" w:rsidRDefault="005A5FCC">
      <w:pPr>
        <w:spacing w:after="80" w:line="240" w:lineRule="auto"/>
      </w:pPr>
    </w:p>
    <w:p w14:paraId="11ACA3C2" w14:textId="77777777" w:rsidR="005A5FCC" w:rsidRDefault="00A21C81">
      <w:pPr>
        <w:spacing w:before="260" w:after="80" w:line="240" w:lineRule="auto"/>
        <w:jc w:val="left"/>
      </w:pPr>
      <w:r>
        <w:rPr>
          <w:rFonts w:cs="EB Garamond"/>
          <w:b/>
          <w:color w:val="3A3128"/>
          <w:kern w:val="16"/>
          <w:sz w:val="25"/>
          <w14:ligatures w14:val="standardContextual"/>
        </w:rPr>
        <w:t>5.7.4 Situações práticas nos JEFs</w:t>
      </w:r>
    </w:p>
    <w:p w14:paraId="27130F89"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N</w:t>
      </w:r>
    </w:p>
    <w:p w14:paraId="2147CE3E" w14:textId="77777777" w:rsidR="005A5FCC" w:rsidRDefault="00A21C81">
      <w:r>
        <w:rPr>
          <w:rFonts w:cs="EB Garamond"/>
          <w:kern w:val="16"/>
          <w14:ligatures w14:val="standardContextual"/>
        </w:rPr>
        <w:t>os Juizados Especiais Federais, as questões de contagem recíproca surgem em diversos cenários:</w:t>
      </w:r>
    </w:p>
    <w:p w14:paraId="5ABFE156"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Ex-servidor que busca aposentadoria no RGPS:</w:t>
      </w:r>
      <w:r>
        <w:rPr>
          <w:rFonts w:cs="EB Garamond"/>
          <w:kern w:val="16"/>
          <w:sz w:val="20"/>
          <w14:ligatures w14:val="standardContextual"/>
        </w:rPr>
        <w:t xml:space="preserve"> O segurado que deixou o serviço público sem se aposentar pelo RPPS pode requerer CTC e averbá-la no RGPS, somando o tempo de serviço público ao tempo de atividade privada.</w:t>
      </w:r>
    </w:p>
    <w:p w14:paraId="0E347EA8" w14:textId="77777777" w:rsidR="005A5FCC" w:rsidRDefault="005A5FCC">
      <w:pPr>
        <w:spacing w:after="60" w:line="240" w:lineRule="auto"/>
      </w:pPr>
    </w:p>
    <w:p w14:paraId="0EEBA16A"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Servidor que ingressou no serviço público após atividade privada:</w:t>
      </w:r>
      <w:r>
        <w:rPr>
          <w:rFonts w:cs="EB Garamond"/>
          <w:kern w:val="16"/>
          <w:sz w:val="20"/>
          <w14:ligatures w14:val="standardContextual"/>
        </w:rPr>
        <w:t xml:space="preserve"> Situação inversa — o segurado que trabalhou na iniciativa privada e depois tomou posse em cargo público pode levar o tempo de RGPS para o RPPS (via CTC emitida pelo INSS). Essa hipótese é mais comum na Justiça Estadual ou Federal não-JEF.</w:t>
      </w:r>
    </w:p>
    <w:p w14:paraId="009C23B2" w14:textId="77777777" w:rsidR="005A5FCC" w:rsidRDefault="005A5FCC">
      <w:pPr>
        <w:spacing w:after="60" w:line="240" w:lineRule="auto"/>
      </w:pPr>
    </w:p>
    <w:p w14:paraId="01122262"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Negativa de emissão de CTC pelo INSS:</w:t>
      </w:r>
      <w:r>
        <w:rPr>
          <w:rFonts w:cs="EB Garamond"/>
          <w:kern w:val="16"/>
          <w:sz w:val="20"/>
          <w14:ligatures w14:val="standardContextual"/>
        </w:rPr>
        <w:t xml:space="preserve"> Quando o INSS se recusa a emitir CTC (por pendências contributivas, dados inconsistentes no CNIS, etc.), o segurado pode ajuizar ação no JEF para obter a certificação.</w:t>
      </w:r>
    </w:p>
    <w:p w14:paraId="2FBDBE5B" w14:textId="77777777" w:rsidR="005A5FCC" w:rsidRDefault="005A5FCC">
      <w:pPr>
        <w:spacing w:after="60" w:line="240" w:lineRule="auto"/>
      </w:pPr>
    </w:p>
    <w:p w14:paraId="1D3C633E"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Negativa de averbação de CTC pelo RPPS:</w:t>
      </w:r>
      <w:r>
        <w:rPr>
          <w:rFonts w:cs="EB Garamond"/>
          <w:kern w:val="16"/>
          <w:sz w:val="20"/>
          <w14:ligatures w14:val="standardContextual"/>
        </w:rPr>
        <w:t xml:space="preserve"> Quando o regime próprio se recusa a averbar CTC emitida pelo INSS, a competência depende do ente: se for RPPS federal (União), a ação vai para a Justiça Federal; </w:t>
      </w:r>
      <w:commentRangeStart w:id="12"/>
      <w:r>
        <w:rPr>
          <w:rFonts w:cs="EB Garamond"/>
          <w:kern w:val="16"/>
          <w:sz w:val="20"/>
          <w14:ligatures w14:val="standardContextual"/>
        </w:rPr>
        <w:t>se for RPPS estadual ou municipal, para a Justiça Estadual ou a Justiça Federal conforme a circunstância</w:t>
      </w:r>
      <w:commentRangeEnd w:id="12"/>
      <w:r w:rsidR="009C2D59">
        <w:rPr>
          <w:rStyle w:val="Refdecomentrio"/>
          <w:rFonts w:cs="EB Garamond"/>
          <w:kern w:val="16"/>
          <w:sz w:val="20"/>
          <w:szCs w:val="22"/>
          <w14:ligatures w14:val="standardContextual"/>
        </w:rPr>
        <w:commentReference w:id="12"/>
      </w:r>
      <w:r>
        <w:rPr>
          <w:rFonts w:cs="EB Garamond"/>
          <w:kern w:val="16"/>
          <w:sz w:val="20"/>
          <w14:ligatures w14:val="standardContextual"/>
        </w:rPr>
        <w:t>.</w:t>
      </w:r>
    </w:p>
    <w:p w14:paraId="30B7F2DD" w14:textId="77777777" w:rsidR="005A5FCC" w:rsidRDefault="005A5FCC">
      <w:pPr>
        <w:spacing w:after="60" w:line="240" w:lineRule="auto"/>
      </w:pPr>
    </w:p>
    <w:p w14:paraId="1BECE65C" w14:textId="77777777" w:rsidR="005A5FCC" w:rsidRDefault="00A21C81">
      <w:pPr>
        <w:spacing w:before="260" w:after="80" w:line="240" w:lineRule="auto"/>
        <w:jc w:val="left"/>
      </w:pPr>
      <w:r>
        <w:rPr>
          <w:rFonts w:cs="EB Garamond"/>
          <w:b/>
          <w:color w:val="3A3128"/>
          <w:kern w:val="16"/>
          <w:sz w:val="25"/>
          <w14:ligatures w14:val="standardContextual"/>
        </w:rPr>
        <w:lastRenderedPageBreak/>
        <w:t>5.7.5 Compensação previdenciária (COMPREV) — aspectos operacionais</w:t>
      </w:r>
    </w:p>
    <w:p w14:paraId="6A4E1FFD"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522E16D2" w14:textId="77777777" w:rsidR="005A5FCC" w:rsidRDefault="00A21C81">
      <w:r>
        <w:rPr>
          <w:rFonts w:cs="EB Garamond"/>
          <w:kern w:val="16"/>
          <w14:ligatures w14:val="standardContextual"/>
        </w:rPr>
        <w:t xml:space="preserve"> compensação previdenciária entre regimes, disciplinada pela Lei 9.796/99 e operacionalizada pelo Decreto 10.188/2019 (que revogou o Decreto 3.112/99), funciona como mecanismo de acerto financeiro entre o regime de origem e o regime instituidor. Os fundamentos legais, o funcionamento do sistema e os aspectos tributários da compensação são tratados em detalhes no Capítulo 4 (seção 4.17). Nesta seção, examinamos apenas os aspectos operacionais relevantes para a contagem recíproca e a emissão de CTC. Quando um segurado se aposenta em determinado regime utilizando tempo contribuído em outro, o regime de origem deve compensar financeiramente o regime instituidor, proporcionalmente ao tempo certificado.</w:t>
      </w:r>
    </w:p>
    <w:p w14:paraId="4D2E59A5" w14:textId="77777777" w:rsidR="005A5FCC" w:rsidRDefault="00A21C81">
      <w:pPr>
        <w:ind w:firstLine="238"/>
      </w:pPr>
      <w:r>
        <w:rPr>
          <w:rFonts w:cs="EB Garamond"/>
          <w:kern w:val="16"/>
          <w14:ligatures w14:val="standardContextual"/>
        </w:rPr>
        <w:t>O sistema COMPREV (Compensação Previdenciária) é a plataforma informatizada que operacionaliza essa compensação. Os requisitos para que um RPPS participe do COMPREV incluem: (a) Certificado de Regularidade Previdenciária (CRP) válido; (b) Certidão Negativa de Débito ou CPD-EN em relação às contribuições previdenciárias; (c) cadastro atualizado no sistema.</w:t>
      </w:r>
    </w:p>
    <w:p w14:paraId="0631E33D" w14:textId="77777777" w:rsidR="005A5FCC" w:rsidRDefault="00A21C81">
      <w:pPr>
        <w:ind w:firstLine="238"/>
      </w:pPr>
      <w:r>
        <w:rPr>
          <w:rFonts w:cs="EB Garamond"/>
          <w:kern w:val="16"/>
          <w14:ligatures w14:val="standardContextual"/>
        </w:rPr>
        <w:t>Na prática dos JEFs, a compensação previdenciária raramente é matéria de litígio direto entre o segurado e o INSS. As disputas sobre compensação ocorrem entre os próprios regimes (RGPS × RPPS ou RPPS × RPPS). Contudo, situações podem surgir quando o INSS condiciona a concessão de benefício ao resultado da compensação, ou quando alega que a CTC apresenta irregularidades que impedem o processamento no COMPREV. Em tais casos, o segurado não pode ser prejudicado por questões burocráticas internas entre regimes.</w:t>
      </w:r>
    </w:p>
    <w:tbl>
      <w:tblPr>
        <w:tblW w:w="5000" w:type="pct"/>
        <w:jc w:val="center"/>
        <w:tblLayout w:type="fixed"/>
        <w:tblLook w:val="04A0" w:firstRow="1" w:lastRow="0" w:firstColumn="1" w:lastColumn="0" w:noHBand="0" w:noVBand="1"/>
      </w:tblPr>
      <w:tblGrid>
        <w:gridCol w:w="6311"/>
      </w:tblGrid>
      <w:tr w:rsidR="005A5FCC" w14:paraId="163D90AD"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42E75BE6" w14:textId="77777777" w:rsidR="005A5FCC" w:rsidRDefault="00A21C81">
            <w:pPr>
              <w:spacing w:after="60" w:line="240" w:lineRule="auto"/>
              <w:jc w:val="left"/>
            </w:pPr>
            <w:r>
              <w:rPr>
                <w:rFonts w:ascii="Noto Sans" w:hAnsi="Noto Sans" w:cs="Noto Sans"/>
                <w:b/>
                <w:caps/>
                <w:color w:val="4D6F8A"/>
                <w:kern w:val="16"/>
                <w:sz w:val="16"/>
                <w14:ligatures w14:val="standardContextual"/>
              </w:rPr>
              <w:t>JURISPRUDÊNCIA EM DESTAQUE</w:t>
            </w:r>
          </w:p>
          <w:p w14:paraId="40BD5DFF" w14:textId="77777777" w:rsidR="005A5FCC" w:rsidRDefault="00A21C81">
            <w:pPr>
              <w:spacing w:after="60" w:line="247" w:lineRule="auto"/>
            </w:pPr>
            <w:r>
              <w:rPr>
                <w:rFonts w:cs="EB Garamond"/>
                <w:b/>
                <w:kern w:val="16"/>
                <w:sz w:val="19"/>
                <w14:ligatures w14:val="standardContextual"/>
              </w:rPr>
              <w:t>Compensação entre regimes — segurado não é parte</w:t>
            </w:r>
          </w:p>
          <w:p w14:paraId="3BCBD881" w14:textId="77777777" w:rsidR="005A5FCC" w:rsidRDefault="00A21C81">
            <w:pPr>
              <w:spacing w:after="60" w:line="247" w:lineRule="auto"/>
            </w:pPr>
            <w:r>
              <w:rPr>
                <w:rFonts w:cs="EB Garamond"/>
                <w:kern w:val="16"/>
                <w:sz w:val="19"/>
                <w14:ligatures w14:val="standardContextual"/>
              </w:rPr>
              <w:t>A jurisprudência é firme: o segurado não pode ser prejudicado pela ausência de compensação financeira entre regimes. Se cumpriu os requisitos para a aposentadoria mediante contagem recíproca, o benefício deve ser concedido independentemente da efetivação da compensação no COMPREV. Eventuais pendências financeiras entre os regimes devem ser resolvidas entre eles próprios, sem reflexo na concessão do benefício ao segurado.</w:t>
            </w:r>
          </w:p>
        </w:tc>
      </w:tr>
    </w:tbl>
    <w:p w14:paraId="52E3FF15" w14:textId="77777777" w:rsidR="005A5FCC" w:rsidRDefault="005A5FCC">
      <w:pPr>
        <w:spacing w:after="80" w:line="240" w:lineRule="auto"/>
      </w:pPr>
    </w:p>
    <w:p w14:paraId="0FBDB85A" w14:textId="77777777" w:rsidR="005A5FCC" w:rsidRDefault="00A21C81">
      <w:pPr>
        <w:spacing w:before="260" w:after="80" w:line="240" w:lineRule="auto"/>
        <w:jc w:val="left"/>
      </w:pPr>
      <w:r>
        <w:rPr>
          <w:rFonts w:cs="EB Garamond"/>
          <w:b/>
          <w:color w:val="3A3128"/>
          <w:kern w:val="16"/>
          <w:sz w:val="25"/>
          <w14:ligatures w14:val="standardContextual"/>
        </w:rPr>
        <w:t>5.7.6 Contagem recíproca e a EC 103/2019</w:t>
      </w:r>
    </w:p>
    <w:p w14:paraId="7C56018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0A847D2B" w14:textId="77777777" w:rsidR="005A5FCC" w:rsidRDefault="00A21C81">
      <w:r>
        <w:rPr>
          <w:rFonts w:cs="EB Garamond"/>
          <w:kern w:val="16"/>
          <w14:ligatures w14:val="standardContextual"/>
        </w:rPr>
        <w:t xml:space="preserve"> EC 103/2019 não alterou o direito à contagem recíproca (que permanece assegurado pelo art. 201, § 9º, CF), mas trouxe impacto indireto relevante. O art. 201, § 9º-A, incluído pela EC 103, reitera a obrigatoriedade de compensação e remete à lei a disciplina dos critérios de cálculo. A vedação ao tempo fictício (art. 201, § 14, da CF, com redação da EC 103) tem reflexos na contagem recíproca: períodos de "tempo fictício" reconhecidos por legislações estaduais anteriores à EC 20/1998 não podem ser objeto de CTC para averbação no RGPS (salvo direito adquirido — período anterior a 16/12/1998).</w:t>
      </w:r>
    </w:p>
    <w:p w14:paraId="17C2A33B" w14:textId="77777777" w:rsidR="005A5FCC" w:rsidRDefault="00A21C81">
      <w:pPr>
        <w:ind w:firstLine="238"/>
      </w:pPr>
      <w:r>
        <w:rPr>
          <w:rFonts w:cs="EB Garamond"/>
          <w:kern w:val="16"/>
          <w14:ligatures w14:val="standardContextual"/>
        </w:rPr>
        <w:t xml:space="preserve">Outro impacto relevante: o STF, no Tema 942 (RE 1.014.286, Rel. Min. Edson Fachin), reconheceu o direito do </w:t>
      </w:r>
      <w:r>
        <w:rPr>
          <w:rFonts w:cs="EB Garamond"/>
          <w:b/>
          <w:kern w:val="16"/>
          <w14:ligatures w14:val="standardContextual"/>
        </w:rPr>
        <w:t>servidor público</w:t>
      </w:r>
      <w:r>
        <w:rPr>
          <w:rFonts w:cs="EB Garamond"/>
          <w:kern w:val="16"/>
          <w14:ligatures w14:val="standardContextual"/>
        </w:rPr>
        <w:t xml:space="preserve"> à conversão, em tempo comum, do período prestado sob condições especiais que prejudiquem a saúde ou a integridade física (hipótese do então vigente art. 40, § 4º, III, da CF), aplicando-se as normas do Regime Geral de Previdência Social relativas à aposentadoria especial (Lei 8.213/91), até a edição da EC 103/2019. Em termos práticos, esse entendimento alcança o segurado que exerceu atividade especial e a leva, via contagem recíproca, para o regime próprio: o tempo especial pode ser convertido (com o acréscimo do fator de 1,40/1,20) e averbado no RPPS por meio de CTC. Esse direito limita-se a períodos anteriores à EC 103/2019, em razão da vedação à conversão para períodos posteriores.</w:t>
      </w:r>
    </w:p>
    <w:p w14:paraId="20FCC249"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5.8 Certidão de tempo de contribuição (CTC)</w:t>
      </w:r>
    </w:p>
    <w:p w14:paraId="1BB638AC" w14:textId="77777777" w:rsidR="005A5FCC" w:rsidRDefault="00A21C81">
      <w:pPr>
        <w:spacing w:before="260" w:after="80" w:line="240" w:lineRule="auto"/>
        <w:jc w:val="left"/>
      </w:pPr>
      <w:r>
        <w:rPr>
          <w:rFonts w:cs="EB Garamond"/>
          <w:b/>
          <w:color w:val="3A3128"/>
          <w:kern w:val="16"/>
          <w:sz w:val="25"/>
          <w14:ligatures w14:val="standardContextual"/>
        </w:rPr>
        <w:t>5.8.1 Conceito e requisitos formais</w:t>
      </w:r>
    </w:p>
    <w:p w14:paraId="38A8E345"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42239E2A" w14:textId="77777777" w:rsidR="005A5FCC" w:rsidRDefault="00A21C81">
      <w:r>
        <w:rPr>
          <w:rFonts w:cs="EB Garamond"/>
          <w:kern w:val="16"/>
          <w14:ligatures w14:val="standardContextual"/>
        </w:rPr>
        <w:t xml:space="preserve"> Certidão de Tempo de Contribuição é o documento formal que instrumentaliza a contagem recíproca. Disciplinada nos arts. 125 a 134 do Decreto 3.048/99, a CTC deve conter obrigatoriamente:</w:t>
      </w:r>
    </w:p>
    <w:p w14:paraId="6B7791C3"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Identificação completa do segurado (nome, matrícula, RG, CPF, data de nascimento);</w:t>
      </w:r>
    </w:p>
    <w:p w14:paraId="651FE43E"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Órgão ou empresa de vínculo, cargo exercido e regime jurídico;</w:t>
      </w:r>
    </w:p>
    <w:p w14:paraId="138408DA" w14:textId="77777777" w:rsidR="005A5FCC" w:rsidRDefault="00A21C81">
      <w:pPr>
        <w:spacing w:after="40" w:line="252" w:lineRule="auto"/>
        <w:ind w:left="340" w:hanging="198"/>
      </w:pPr>
      <w:r>
        <w:rPr>
          <w:rFonts w:cs="EB Garamond"/>
          <w:color w:val="3A3128"/>
          <w:kern w:val="16"/>
          <w:sz w:val="20"/>
          <w14:ligatures w14:val="standardContextual"/>
        </w:rPr>
        <w:lastRenderedPageBreak/>
        <w:t xml:space="preserve">• </w:t>
      </w:r>
      <w:r>
        <w:rPr>
          <w:rFonts w:cs="EB Garamond"/>
          <w:kern w:val="16"/>
          <w:sz w:val="20"/>
          <w14:ligatures w14:val="standardContextual"/>
        </w:rPr>
        <w:t>Período certificado (datas de início e fim), com discriminação de eventuais interrupções;</w:t>
      </w:r>
    </w:p>
    <w:p w14:paraId="4B543D01"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Tempo líquido de efetiva contribuição (em dias, ou anos/meses/dias);</w:t>
      </w:r>
    </w:p>
    <w:p w14:paraId="79B536D6"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Natureza do vínculo (celetista, estatutário, militar, etc.);</w:t>
      </w:r>
    </w:p>
    <w:p w14:paraId="3805AA07"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Valores dos salários de contribuição (quando necessário para cálculo do benefício);</w:t>
      </w:r>
    </w:p>
    <w:p w14:paraId="4C5892CD"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Declaração de que o tempo não foi utilizado para qualquer vantagem no regime de origem;</w:t>
      </w:r>
    </w:p>
    <w:p w14:paraId="7D04AE84"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Assinatura do responsável pela emissão e do dirigente do órgão.</w:t>
      </w:r>
    </w:p>
    <w:p w14:paraId="37A7FB4F" w14:textId="77777777" w:rsidR="005A5FCC" w:rsidRDefault="005A5FCC">
      <w:pPr>
        <w:spacing w:after="60" w:line="240" w:lineRule="auto"/>
      </w:pPr>
    </w:p>
    <w:p w14:paraId="4260DB31"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18C5CA4F" w14:textId="77777777" w:rsidR="005A5FCC" w:rsidRDefault="00A21C81">
      <w:r>
        <w:rPr>
          <w:rFonts w:cs="EB Garamond"/>
          <w:kern w:val="16"/>
          <w14:ligatures w14:val="standardContextual"/>
        </w:rPr>
        <w:t xml:space="preserve"> CTC é emitida em duas vias: a primeira entregue ao interessado, a segunda arquivada pelo órgão emissor com recibo de entrega. Quando o segurado possui cargos constitucionalmente acumuláveis, admite-se CTC única com destinação para até dois órgãos distintos.</w:t>
      </w:r>
    </w:p>
    <w:p w14:paraId="76EEF490" w14:textId="77777777" w:rsidR="005A5FCC" w:rsidRDefault="00A21C81">
      <w:pPr>
        <w:spacing w:before="260" w:after="80" w:line="240" w:lineRule="auto"/>
        <w:jc w:val="left"/>
      </w:pPr>
      <w:r>
        <w:rPr>
          <w:rFonts w:cs="EB Garamond"/>
          <w:b/>
          <w:color w:val="3A3128"/>
          <w:kern w:val="16"/>
          <w:sz w:val="25"/>
          <w14:ligatures w14:val="standardContextual"/>
        </w:rPr>
        <w:t>5.8.2 Irreversibilidade — vedação de desaverbação</w:t>
      </w:r>
    </w:p>
    <w:p w14:paraId="48293D89"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712A891B" w14:textId="77777777" w:rsidR="005A5FCC" w:rsidRDefault="00A21C81">
      <w:r>
        <w:rPr>
          <w:rFonts w:cs="EB Garamond"/>
          <w:kern w:val="16"/>
          <w14:ligatures w14:val="standardContextual"/>
        </w:rPr>
        <w:t xml:space="preserve"> art. 130, § 14, do Decreto 3.048/99 consagra o princípio da irreversibilidade da CTC: uma vez averbada no regime instituidor, o tempo certificado não pode ser "devolvido" ao regime de origem. Essa vedação impede o chamado "turismo previdenciário" — prática pela qual o segurado levava tempo de um regime para outro em busca de condições mais vantajosas, retornando ao regime original se a operação não se mostrasse proveitosa.</w:t>
      </w:r>
    </w:p>
    <w:p w14:paraId="07DAD6EF" w14:textId="77777777" w:rsidR="005A5FCC" w:rsidRDefault="00A21C81">
      <w:pPr>
        <w:ind w:firstLine="238"/>
      </w:pPr>
      <w:r>
        <w:rPr>
          <w:rFonts w:cs="EB Garamond"/>
          <w:kern w:val="16"/>
          <w14:ligatures w14:val="standardContextual"/>
        </w:rPr>
        <w:t>A irreversibilidade tem consequência prática severa: o segurado deve ponderar cuidadosamente antes de requerer CTC, pois a decisão é definitiva. Se levar o tempo do RGPS para o RPPS e depois se arrepender (por exemplo, porque as regras do RPPS se tornaram menos vantajosas após uma reforma), não poderá recuperar o tempo no RGPS.</w:t>
      </w:r>
    </w:p>
    <w:tbl>
      <w:tblPr>
        <w:tblW w:w="5000" w:type="pct"/>
        <w:jc w:val="center"/>
        <w:tblLayout w:type="fixed"/>
        <w:tblLook w:val="04A0" w:firstRow="1" w:lastRow="0" w:firstColumn="1" w:lastColumn="0" w:noHBand="0" w:noVBand="1"/>
      </w:tblPr>
      <w:tblGrid>
        <w:gridCol w:w="6311"/>
      </w:tblGrid>
      <w:tr w:rsidR="005A5FCC" w14:paraId="1031FD73"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717447B1"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14EF4C56" w14:textId="77777777" w:rsidR="005A5FCC" w:rsidRDefault="00A21C81">
            <w:pPr>
              <w:spacing w:after="60" w:line="247" w:lineRule="auto"/>
            </w:pPr>
            <w:r>
              <w:rPr>
                <w:rFonts w:cs="EB Garamond"/>
                <w:b/>
                <w:kern w:val="16"/>
                <w:sz w:val="19"/>
                <w14:ligatures w14:val="standardContextual"/>
              </w:rPr>
              <w:t>Cautela na emissão de CTC — análise de cenários</w:t>
            </w:r>
          </w:p>
          <w:p w14:paraId="3B503C9C" w14:textId="77777777" w:rsidR="005A5FCC" w:rsidRDefault="00A21C81">
            <w:pPr>
              <w:spacing w:after="60" w:line="247" w:lineRule="auto"/>
            </w:pPr>
            <w:r>
              <w:rPr>
                <w:rFonts w:cs="EB Garamond"/>
                <w:kern w:val="16"/>
                <w:sz w:val="19"/>
                <w14:ligatures w14:val="standardContextual"/>
              </w:rPr>
              <w:t>O advogado deve simular os cenários antes de orientar o cliente a requerer CTC: (1) qual seria a aposentadoria no RGPS sem a contagem recíproca? (2) qual seria a aposentadoria no RPPS com a averbação? (3) há regras de transição mais favoráveis em um dos regimes? (4) o tempo a ser certificado já gerou alguma vantagem funcional no regime de origem? Somente após essa análise comparativa é que se deve requerer a emissão da CTC. A decisão é irreversível.</w:t>
            </w:r>
          </w:p>
        </w:tc>
      </w:tr>
    </w:tbl>
    <w:p w14:paraId="68D4D0E8" w14:textId="77777777" w:rsidR="005A5FCC" w:rsidRDefault="005A5FCC">
      <w:pPr>
        <w:spacing w:after="80" w:line="240" w:lineRule="auto"/>
      </w:pPr>
    </w:p>
    <w:p w14:paraId="475F53F5" w14:textId="77777777" w:rsidR="005A5FCC" w:rsidRDefault="00A21C81">
      <w:pPr>
        <w:spacing w:before="260" w:after="80" w:line="240" w:lineRule="auto"/>
        <w:jc w:val="left"/>
      </w:pPr>
      <w:r>
        <w:rPr>
          <w:rFonts w:cs="EB Garamond"/>
          <w:b/>
          <w:color w:val="3A3128"/>
          <w:kern w:val="16"/>
          <w:sz w:val="25"/>
          <w14:ligatures w14:val="standardContextual"/>
        </w:rPr>
        <w:t>5.8.3 Emissão de CTC pelo INSS</w:t>
      </w:r>
    </w:p>
    <w:p w14:paraId="2F24CBA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Q</w:t>
      </w:r>
    </w:p>
    <w:p w14:paraId="31A48900" w14:textId="77777777" w:rsidR="005A5FCC" w:rsidRDefault="00A21C81">
      <w:r>
        <w:rPr>
          <w:rFonts w:cs="EB Garamond"/>
          <w:kern w:val="16"/>
          <w14:ligatures w14:val="standardContextual"/>
        </w:rPr>
        <w:t>uando o segurado pretende levar tempo do RGPS para RPPS, a CTC é emitida pelo INSS. O requerimento pode ser feito no portal Meu INSS ou presencialmente em agência. O INSS verificará se o período requerido consta no CNIS, se há pendências contributivas e se o tempo não foi utilizado para concessão de benefício no RGPS (não se pode emitir CTC de período que já integra aposentadoria concedida no RGPS).</w:t>
      </w:r>
    </w:p>
    <w:p w14:paraId="1028909B" w14:textId="77777777" w:rsidR="005A5FCC" w:rsidRDefault="00A21C81">
      <w:pPr>
        <w:ind w:firstLine="238"/>
      </w:pPr>
      <w:r>
        <w:rPr>
          <w:rFonts w:cs="EB Garamond"/>
          <w:kern w:val="16"/>
          <w14:ligatures w14:val="standardContextual"/>
        </w:rPr>
        <w:t>O prazo de análise segue a regra geral de 30 dias (art. 41-A, § 5º, Lei 8.213/91). Se o INSS indefere a emissão ou permanece inerte, cabe ação judicial no JEF.</w:t>
      </w:r>
    </w:p>
    <w:p w14:paraId="7F404858" w14:textId="77777777" w:rsidR="005A5FCC" w:rsidRDefault="00A21C81">
      <w:pPr>
        <w:spacing w:before="260" w:after="80" w:line="240" w:lineRule="auto"/>
        <w:jc w:val="left"/>
      </w:pPr>
      <w:r>
        <w:rPr>
          <w:rFonts w:cs="EB Garamond"/>
          <w:b/>
          <w:color w:val="3A3128"/>
          <w:kern w:val="16"/>
          <w:sz w:val="25"/>
          <w14:ligatures w14:val="standardContextual"/>
        </w:rPr>
        <w:t>5.8.4 CTC e os novos regimes de previdência complementar</w:t>
      </w:r>
    </w:p>
    <w:p w14:paraId="60246774"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U</w:t>
      </w:r>
    </w:p>
    <w:p w14:paraId="6FA1C759" w14:textId="77777777" w:rsidR="005A5FCC" w:rsidRDefault="00A21C81">
      <w:r>
        <w:rPr>
          <w:rFonts w:cs="EB Garamond"/>
          <w:kern w:val="16"/>
          <w14:ligatures w14:val="standardContextual"/>
        </w:rPr>
        <w:t>ma questão contemporânea relevante é a interação entre a CTC e os regimes de previdência complementar dos servidores públicos (FUNPRESP-Exe, FUNPRESP-Jud, FUNPRESP-Leg). Servidores federais que ingressaram após a instituição do regime complementar contribuem para o RPPS apenas até o teto do RGPS, complementando a previdência por regime de capitalização. Quando esses servidores requerem CTC para levar tempo ao RGPS, surge a questão: a CTC certifica apenas o período com base de contribuição até o teto (regime básico) ou inclui os valores complementares?</w:t>
      </w:r>
    </w:p>
    <w:p w14:paraId="2C6984FD" w14:textId="77777777" w:rsidR="005A5FCC" w:rsidRDefault="00A21C81">
      <w:pPr>
        <w:ind w:firstLine="238"/>
      </w:pPr>
      <w:r>
        <w:rPr>
          <w:rFonts w:cs="EB Garamond"/>
          <w:kern w:val="16"/>
          <w14:ligatures w14:val="standardContextual"/>
        </w:rPr>
        <w:t xml:space="preserve">A resposta é que a CTC certifica apenas o tempo e os valores contributivos ao RPPS (regime básico), não incluindo valores da previdência complementar. O segurado que levar esse tempo para o RGPS terá seu benefício calculado com </w:t>
      </w:r>
      <w:r>
        <w:rPr>
          <w:rFonts w:cs="EB Garamond"/>
          <w:kern w:val="16"/>
          <w14:ligatures w14:val="standardContextual"/>
        </w:rPr>
        <w:lastRenderedPageBreak/>
        <w:t>base nos salários de contribuição registrados na CTC, limitados ao teto do RPPS básico — que coincide com o teto do RGPS (R$ 8.475,55 em 2026). Os valores investidos na FUNPRESP permanecem como benefício privado do servidor.</w:t>
      </w:r>
    </w:p>
    <w:tbl>
      <w:tblPr>
        <w:tblW w:w="5000" w:type="pct"/>
        <w:jc w:val="center"/>
        <w:tblLayout w:type="fixed"/>
        <w:tblLook w:val="04A0" w:firstRow="1" w:lastRow="0" w:firstColumn="1" w:lastColumn="0" w:noHBand="0" w:noVBand="1"/>
      </w:tblPr>
      <w:tblGrid>
        <w:gridCol w:w="6311"/>
      </w:tblGrid>
      <w:tr w:rsidR="005A5FCC" w14:paraId="5967675D"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671FA7DD"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4477ADD7" w14:textId="77777777" w:rsidR="005A5FCC" w:rsidRDefault="00A21C81">
            <w:pPr>
              <w:spacing w:after="60" w:line="247" w:lineRule="auto"/>
            </w:pPr>
            <w:r>
              <w:rPr>
                <w:rFonts w:cs="EB Garamond"/>
                <w:b/>
                <w:kern w:val="16"/>
                <w:sz w:val="19"/>
                <w14:ligatures w14:val="standardContextual"/>
              </w:rPr>
              <w:t>CTC de servidor com previdência complementar</w:t>
            </w:r>
          </w:p>
          <w:p w14:paraId="3E54E1CE" w14:textId="77777777" w:rsidR="005A5FCC" w:rsidRDefault="00A21C81">
            <w:pPr>
              <w:spacing w:after="60" w:line="247" w:lineRule="auto"/>
            </w:pPr>
            <w:r>
              <w:rPr>
                <w:rFonts w:cs="EB Garamond"/>
                <w:kern w:val="16"/>
                <w:sz w:val="19"/>
                <w14:ligatures w14:val="standardContextual"/>
              </w:rPr>
              <w:t>Para servidores federais pós-FUNPRESP (ingressados a partir de fev/2013), a CTC reflete apenas o regime básico (contribuição até o teto). Se esse servidor pedir exoneração e quiser aposentar-se no RGPS, seu benefício será necessariamente limitado ao teto do RGPS — não haverá forma de incorporar os valores da previdência complementar ao cálculo do RGPS. Os valores da FUNPRESP serão resgatados ou transformados em benefício complementar privado, conforme o regulamento do plano. O advogado deve alertar o servidor sobre essa limitação antes de orientar a emissão de CTC.</w:t>
            </w:r>
          </w:p>
        </w:tc>
      </w:tr>
    </w:tbl>
    <w:p w14:paraId="6EF53838" w14:textId="77777777" w:rsidR="005A5FCC" w:rsidRDefault="005A5FCC">
      <w:pPr>
        <w:spacing w:after="80" w:line="240" w:lineRule="auto"/>
      </w:pPr>
    </w:p>
    <w:p w14:paraId="507AA997" w14:textId="77777777" w:rsidR="005A5FCC" w:rsidRDefault="00A21C81">
      <w:pPr>
        <w:spacing w:before="260" w:after="80" w:line="240" w:lineRule="auto"/>
        <w:jc w:val="left"/>
      </w:pPr>
      <w:r>
        <w:rPr>
          <w:rFonts w:cs="EB Garamond"/>
          <w:b/>
          <w:color w:val="3A3128"/>
          <w:kern w:val="16"/>
          <w:sz w:val="25"/>
          <w14:ligatures w14:val="standardContextual"/>
        </w:rPr>
        <w:t>5.8.5 CTC e a vedação da desaposentação</w:t>
      </w:r>
    </w:p>
    <w:p w14:paraId="0CC8D96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10490C34" w14:textId="77777777" w:rsidR="005A5FCC" w:rsidRDefault="00A21C81">
      <w:r>
        <w:rPr>
          <w:rFonts w:cs="EB Garamond"/>
          <w:kern w:val="16"/>
          <w14:ligatures w14:val="standardContextual"/>
        </w:rPr>
        <w:t xml:space="preserve"> irreversibilidade da CTC guarda relação com a vedação da desaposentação (STF Tema 503). Assim como não é possível renunciar à aposentadoria para obter nova aposentadoria mais vantajosa (desaposentação), também não é possível "devolver" CTC já averbada. Ambas as vedações decorrem do mesmo princípio: a segurança jurídica e o equilíbrio atuarial dos regimes previdenciários.</w:t>
      </w:r>
    </w:p>
    <w:p w14:paraId="5D65DAD1"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5.9 Atividades concomitantes</w:t>
      </w:r>
    </w:p>
    <w:p w14:paraId="2788590C" w14:textId="5BD9D2C8" w:rsidR="005A5FCC" w:rsidRDefault="00A21C81">
      <w:pPr>
        <w:spacing w:before="260" w:after="80" w:line="240" w:lineRule="auto"/>
        <w:jc w:val="left"/>
      </w:pPr>
      <w:r>
        <w:rPr>
          <w:rFonts w:cs="EB Garamond"/>
          <w:b/>
          <w:color w:val="3A3128"/>
          <w:kern w:val="16"/>
          <w:sz w:val="25"/>
          <w14:ligatures w14:val="standardContextual"/>
        </w:rPr>
        <w:t xml:space="preserve">5.9.1 Regime anterior à </w:t>
      </w:r>
      <w:r w:rsidR="00FC0B7C">
        <w:rPr>
          <w:rFonts w:cs="EB Garamond"/>
          <w:b/>
          <w:color w:val="3A3128"/>
          <w:kern w:val="16"/>
          <w:sz w:val="25"/>
          <w14:ligatures w14:val="standardContextual"/>
        </w:rPr>
        <w:t>L</w:t>
      </w:r>
      <w:r>
        <w:rPr>
          <w:rFonts w:cs="EB Garamond"/>
          <w:b/>
          <w:color w:val="3A3128"/>
          <w:kern w:val="16"/>
          <w:sz w:val="25"/>
          <w14:ligatures w14:val="standardContextual"/>
        </w:rPr>
        <w:t>ei 13.846/2019</w:t>
      </w:r>
    </w:p>
    <w:p w14:paraId="34CCE20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3307D0A7" w14:textId="77777777" w:rsidR="005A5FCC" w:rsidRDefault="00A21C81">
      <w:r>
        <w:rPr>
          <w:rFonts w:cs="EB Garamond"/>
          <w:kern w:val="16"/>
          <w14:ligatures w14:val="standardContextual"/>
        </w:rPr>
        <w:t xml:space="preserve">ntes da alteração legislativa promovida inicialmente pela MP 871, de 18/01/2019, e consolidada pela Lei 13.846, de 18/06/2019 (que converteu a MP), o art. 32 da Lei 8.213/91 estabelecia regime complexo de cálculo para segurados que exerciam atividades concomitantes (simultâneas) vinculadas </w:t>
      </w:r>
      <w:r>
        <w:rPr>
          <w:rFonts w:cs="EB Garamond"/>
          <w:kern w:val="16"/>
          <w14:ligatures w14:val="standardContextual"/>
        </w:rPr>
        <w:lastRenderedPageBreak/>
        <w:t>ao RGPS. O sistema distinguia a "atividade principal" (geralmente a de maior remuneração ou a última exercida) das "atividades secundárias", aplicando cálculo proporcional ao tempo de contribuição em cada atividade.</w:t>
      </w:r>
    </w:p>
    <w:p w14:paraId="4DDC73A7" w14:textId="77777777" w:rsidR="005A5FCC" w:rsidRDefault="00A21C81">
      <w:pPr>
        <w:ind w:firstLine="238"/>
      </w:pPr>
      <w:r>
        <w:rPr>
          <w:rFonts w:cs="EB Garamond"/>
          <w:kern w:val="16"/>
          <w14:ligatures w14:val="standardContextual"/>
        </w:rPr>
        <w:t>O cálculo proporcional funcionava da seguinte forma: o salário de benefício era composto (a) integralmente pelo salário de contribuição da atividade principal, e (b) proporcionalmente pelos salários de contribuição das atividades secundárias, na proporção do número de meses de contribuição em cada atividade em relação ao número de meses exigidos para a carência do benefício. Na prática, o segurado que exercia duas atividades raramente recebia benefício correspondente à soma integral de ambos os salários.</w:t>
      </w:r>
    </w:p>
    <w:p w14:paraId="1D4DB778" w14:textId="77777777" w:rsidR="005A5FCC" w:rsidRDefault="00A21C81">
      <w:pPr>
        <w:ind w:firstLine="238"/>
      </w:pPr>
      <w:r>
        <w:rPr>
          <w:rFonts w:cs="EB Garamond"/>
          <w:kern w:val="16"/>
          <w14:ligatures w14:val="standardContextual"/>
        </w:rPr>
        <w:t>Esse regime gerava distorções evidentes: o segurado contribuía sobre a totalidade das remunerações (respeitado o teto), mas recebia benefício calculado proporcionalmente, em valor inferior à soma das contribuições. A incongruência era especialmente prejudicial para profissionais que mantinham múltiplos vínculos (professores, médicos, contadores, etc.).</w:t>
      </w:r>
    </w:p>
    <w:p w14:paraId="49843C5A" w14:textId="77777777" w:rsidR="005A5FCC" w:rsidRDefault="00A21C81">
      <w:pPr>
        <w:spacing w:before="260" w:after="80" w:line="240" w:lineRule="auto"/>
        <w:jc w:val="left"/>
      </w:pPr>
      <w:r>
        <w:rPr>
          <w:rFonts w:cs="EB Garamond"/>
          <w:b/>
          <w:color w:val="3A3128"/>
          <w:kern w:val="16"/>
          <w:sz w:val="25"/>
          <w14:ligatures w14:val="standardContextual"/>
        </w:rPr>
        <w:t>5.9.2 Regime atual — lei 13.846/2019</w:t>
      </w:r>
    </w:p>
    <w:p w14:paraId="710C26A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7A33CC53" w14:textId="77777777" w:rsidR="005A5FCC" w:rsidRDefault="00A21C81">
      <w:r>
        <w:rPr>
          <w:rFonts w:cs="EB Garamond"/>
          <w:kern w:val="16"/>
          <w14:ligatures w14:val="standardContextual"/>
        </w:rPr>
        <w:t xml:space="preserve"> MP 871/2019 (18/01/2019), convertida na Lei 13.846/2019 (18/06/2019), ao dar nova redação ao art. 32 da Lei 8.213/91, eliminou o cálculo proporcional. A nova regra é simples e direta: o salário de benefício é calculado com base na soma dos salários de contribuição de todas as atividades exercidas concomitantemente, respeitado o limite máximo do salário de contribuição (teto do RGPS).</w:t>
      </w:r>
    </w:p>
    <w:p w14:paraId="30328F81" w14:textId="77777777" w:rsidR="005A5FCC" w:rsidRDefault="00A21C81">
      <w:pPr>
        <w:ind w:firstLine="238"/>
      </w:pPr>
      <w:r>
        <w:rPr>
          <w:rFonts w:cs="EB Garamond"/>
          <w:kern w:val="16"/>
          <w14:ligatures w14:val="standardContextual"/>
        </w:rPr>
        <w:t>A redação atual do art. 32, § 1º: "Quando o segurado satisfizer, em relação a cada atividade, as condições do benefício requerido, o salário de benefício será calculado com base na soma dos salários de contribuição das atividades exercidas na data do requerimento ou do óbito, ou no período básico de cálculo, observado o limite máximo desse salário."</w:t>
      </w:r>
    </w:p>
    <w:p w14:paraId="1EB80B60" w14:textId="77777777" w:rsidR="005A5FCC" w:rsidRDefault="00A21C81">
      <w:pPr>
        <w:spacing w:before="260" w:after="80" w:line="240" w:lineRule="auto"/>
        <w:jc w:val="left"/>
      </w:pPr>
      <w:r>
        <w:rPr>
          <w:rFonts w:cs="EB Garamond"/>
          <w:b/>
          <w:color w:val="3A3128"/>
          <w:kern w:val="16"/>
          <w:sz w:val="25"/>
          <w14:ligatures w14:val="standardContextual"/>
        </w:rPr>
        <w:t>5.9.3 STJ tema 1.070 — efeitos retroativos</w:t>
      </w:r>
    </w:p>
    <w:p w14:paraId="15992E9B"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O</w:t>
      </w:r>
    </w:p>
    <w:p w14:paraId="309DA3C9" w14:textId="77777777" w:rsidR="005A5FCC" w:rsidRDefault="00A21C81">
      <w:r>
        <w:rPr>
          <w:rFonts w:cs="EB Garamond"/>
          <w:kern w:val="16"/>
          <w14:ligatures w14:val="standardContextual"/>
        </w:rPr>
        <w:t xml:space="preserve"> STJ, no Tema 1.070 (REsp 1.870.793/RS), fixou tese com alcance temporal relevante: "Após o advento da Lei 9.876/99, e para fins de cálculo do benefício de aposentadoria, no caso do exercício de atividades concomitantes pelo segurado, o salário de contribuição deverá ser composto da soma de todas as contribuições previdenciárias por ele vertidas ao sistema, respeitado o teto previdenciário."</w:t>
      </w:r>
    </w:p>
    <w:p w14:paraId="2AA127B1" w14:textId="77777777" w:rsidR="005A5FCC" w:rsidRDefault="00A21C81">
      <w:pPr>
        <w:ind w:firstLine="238"/>
      </w:pPr>
      <w:r>
        <w:rPr>
          <w:rFonts w:cs="EB Garamond"/>
          <w:kern w:val="16"/>
          <w14:ligatures w14:val="standardContextual"/>
        </w:rPr>
        <w:t>A tese tem dois efeitos práticos:</w:t>
      </w:r>
    </w:p>
    <w:p w14:paraId="037C8AB2" w14:textId="77777777" w:rsidR="005A5FCC" w:rsidRDefault="00A21C81">
      <w:pPr>
        <w:spacing w:after="40" w:line="252" w:lineRule="auto"/>
        <w:ind w:left="340" w:hanging="198"/>
      </w:pPr>
      <w:r>
        <w:rPr>
          <w:rFonts w:cs="EB Garamond"/>
          <w:color w:val="3A3128"/>
          <w:kern w:val="16"/>
          <w:sz w:val="20"/>
          <w14:ligatures w14:val="standardContextual"/>
        </w:rPr>
        <w:t xml:space="preserve">1. </w:t>
      </w:r>
      <w:r>
        <w:rPr>
          <w:rFonts w:cs="EB Garamond"/>
          <w:b/>
          <w:kern w:val="16"/>
          <w:sz w:val="20"/>
          <w14:ligatures w14:val="standardContextual"/>
        </w:rPr>
        <w:t>Para benefícios concedidos após 18/06/2019 (vigência da Lei 13.846/2019):</w:t>
      </w:r>
      <w:r>
        <w:rPr>
          <w:rFonts w:cs="EB Garamond"/>
          <w:kern w:val="16"/>
          <w:sz w:val="20"/>
          <w14:ligatures w14:val="standardContextual"/>
        </w:rPr>
        <w:t xml:space="preserve"> A soma já é regra legal, sem controvérsia.</w:t>
      </w:r>
    </w:p>
    <w:p w14:paraId="5BE17686" w14:textId="77777777" w:rsidR="005A5FCC" w:rsidRDefault="005A5FCC">
      <w:pPr>
        <w:spacing w:after="60" w:line="240" w:lineRule="auto"/>
      </w:pPr>
    </w:p>
    <w:p w14:paraId="738CE4CB" w14:textId="02CE46C2" w:rsidR="005A5FCC" w:rsidRDefault="00FC0B7C">
      <w:pPr>
        <w:spacing w:after="40" w:line="252" w:lineRule="auto"/>
        <w:ind w:left="340" w:hanging="198"/>
      </w:pPr>
      <w:r>
        <w:rPr>
          <w:rFonts w:cs="EB Garamond"/>
          <w:color w:val="3A3128"/>
          <w:kern w:val="16"/>
          <w:sz w:val="20"/>
          <w14:ligatures w14:val="standardContextual"/>
        </w:rPr>
        <w:t>2</w:t>
      </w:r>
      <w:r w:rsidR="00A21C81">
        <w:rPr>
          <w:rFonts w:cs="EB Garamond"/>
          <w:color w:val="3A3128"/>
          <w:kern w:val="16"/>
          <w:sz w:val="20"/>
          <w14:ligatures w14:val="standardContextual"/>
        </w:rPr>
        <w:t xml:space="preserve">. </w:t>
      </w:r>
      <w:r w:rsidR="00A21C81">
        <w:rPr>
          <w:rFonts w:cs="EB Garamond"/>
          <w:b/>
          <w:kern w:val="16"/>
          <w:sz w:val="20"/>
          <w14:ligatures w14:val="standardContextual"/>
        </w:rPr>
        <w:t>Para benefícios concedidos entre a Lei 9.876/99 (29/11/1999) e a Lei 13.846/2019 (18/06/2019):</w:t>
      </w:r>
      <w:r w:rsidR="00A21C81">
        <w:rPr>
          <w:rFonts w:cs="EB Garamond"/>
          <w:kern w:val="16"/>
          <w:sz w:val="20"/>
          <w14:ligatures w14:val="standardContextual"/>
        </w:rPr>
        <w:t xml:space="preserve"> O Tema 1.070 reconhece que mesmo sob a vigência do antigo art. 32, a interpretação correta já era a soma integral, desde a Lei 9.876/99.</w:t>
      </w:r>
    </w:p>
    <w:p w14:paraId="7F323215" w14:textId="77777777" w:rsidR="005A5FCC" w:rsidRDefault="005A5FCC">
      <w:pPr>
        <w:spacing w:after="60" w:line="240" w:lineRule="auto"/>
      </w:pPr>
    </w:p>
    <w:tbl>
      <w:tblPr>
        <w:tblW w:w="5000" w:type="pct"/>
        <w:jc w:val="center"/>
        <w:tblLayout w:type="fixed"/>
        <w:tblLook w:val="04A0" w:firstRow="1" w:lastRow="0" w:firstColumn="1" w:lastColumn="0" w:noHBand="0" w:noVBand="1"/>
      </w:tblPr>
      <w:tblGrid>
        <w:gridCol w:w="6311"/>
      </w:tblGrid>
      <w:tr w:rsidR="005A5FCC" w14:paraId="1A98B01F"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43B85706" w14:textId="77777777" w:rsidR="005A5FCC" w:rsidRDefault="00A21C81">
            <w:pPr>
              <w:spacing w:after="60" w:line="240" w:lineRule="auto"/>
              <w:jc w:val="left"/>
            </w:pPr>
            <w:r>
              <w:rPr>
                <w:rFonts w:ascii="Noto Sans" w:hAnsi="Noto Sans" w:cs="Noto Sans"/>
                <w:b/>
                <w:caps/>
                <w:color w:val="4D6F8A"/>
                <w:kern w:val="16"/>
                <w:sz w:val="16"/>
                <w14:ligatures w14:val="standardContextual"/>
              </w:rPr>
              <w:t>JURISPRUDÊNCIA EM DESTAQUE</w:t>
            </w:r>
          </w:p>
          <w:p w14:paraId="11EF63B7" w14:textId="77777777" w:rsidR="005A5FCC" w:rsidRDefault="00A21C81">
            <w:pPr>
              <w:spacing w:after="60" w:line="247" w:lineRule="auto"/>
            </w:pPr>
            <w:r>
              <w:rPr>
                <w:rFonts w:cs="EB Garamond"/>
                <w:b/>
                <w:kern w:val="16"/>
                <w:sz w:val="19"/>
                <w14:ligatures w14:val="standardContextual"/>
              </w:rPr>
              <w:t>STJ Tema 1.070 — Revisão de benefícios por atividades concomitantes</w:t>
            </w:r>
          </w:p>
          <w:p w14:paraId="27D1117D" w14:textId="77777777" w:rsidR="005A5FCC" w:rsidRDefault="00A21C81">
            <w:pPr>
              <w:spacing w:after="60" w:line="247" w:lineRule="auto"/>
            </w:pPr>
            <w:r>
              <w:rPr>
                <w:rFonts w:cs="EB Garamond"/>
                <w:kern w:val="16"/>
                <w:sz w:val="19"/>
                <w14:ligatures w14:val="standardContextual"/>
              </w:rPr>
              <w:t>A tese fixada pelo STJ viabiliza a revisão de benefícios concedidos entre 29/11/1999 e 18/06/2019 que foram calculados pelo método proporcional (antigo art. 32). O impacto dessa tese no cálculo do salário de benefício e as implicações para a revisão de benefícios em manutenção são examinados no Capítulo 16, seção 16.10, ao qual se remete o leitor para o detalhamento das fórmulas e cenários de cálculo. O prazo decadencial de 10 anos (art. 103, Lei 8.213/91) conta da data de início do benefício — muitos segurados aposentados antes de 2015 já perderam o prazo revisional.</w:t>
            </w:r>
          </w:p>
        </w:tc>
      </w:tr>
    </w:tbl>
    <w:p w14:paraId="6EA94237" w14:textId="77777777" w:rsidR="005A5FCC" w:rsidRDefault="005A5FCC">
      <w:pPr>
        <w:spacing w:after="80" w:line="240" w:lineRule="auto"/>
      </w:pPr>
    </w:p>
    <w:p w14:paraId="6E5E3795" w14:textId="7DF557A2" w:rsidR="005A5FCC" w:rsidRDefault="00A21C81">
      <w:pPr>
        <w:spacing w:before="260" w:after="80" w:line="240" w:lineRule="auto"/>
        <w:jc w:val="left"/>
      </w:pPr>
      <w:r>
        <w:rPr>
          <w:rFonts w:cs="EB Garamond"/>
          <w:b/>
          <w:color w:val="3A3128"/>
          <w:kern w:val="16"/>
          <w:sz w:val="25"/>
          <w14:ligatures w14:val="standardContextual"/>
        </w:rPr>
        <w:t xml:space="preserve">5.9.4 Exemplo numérico detalhado: cálculo proporcional vs. </w:t>
      </w:r>
      <w:r w:rsidR="00FC0B7C">
        <w:rPr>
          <w:rFonts w:cs="EB Garamond"/>
          <w:b/>
          <w:color w:val="3A3128"/>
          <w:kern w:val="16"/>
          <w:sz w:val="25"/>
          <w14:ligatures w14:val="standardContextual"/>
        </w:rPr>
        <w:t>s</w:t>
      </w:r>
      <w:r>
        <w:rPr>
          <w:rFonts w:cs="EB Garamond"/>
          <w:b/>
          <w:color w:val="3A3128"/>
          <w:kern w:val="16"/>
          <w:sz w:val="25"/>
          <w14:ligatures w14:val="standardContextual"/>
        </w:rPr>
        <w:t>oma integral</w:t>
      </w:r>
    </w:p>
    <w:p w14:paraId="2F8735DB"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P</w:t>
      </w:r>
    </w:p>
    <w:p w14:paraId="7129ED98" w14:textId="77777777" w:rsidR="005A5FCC" w:rsidRDefault="00A21C81">
      <w:r>
        <w:rPr>
          <w:rFonts w:cs="EB Garamond"/>
          <w:kern w:val="16"/>
          <w14:ligatures w14:val="standardContextual"/>
        </w:rPr>
        <w:t>ara compreender o impacto da mudança legislativa, considere o seguinte exemplo:</w:t>
      </w:r>
    </w:p>
    <w:p w14:paraId="708CD4A8" w14:textId="77777777" w:rsidR="005A5FCC" w:rsidRDefault="00A21C81">
      <w:pPr>
        <w:ind w:firstLine="238"/>
      </w:pPr>
      <w:r>
        <w:rPr>
          <w:rFonts w:cs="EB Garamond"/>
          <w:b/>
          <w:kern w:val="16"/>
          <w14:ligatures w14:val="standardContextual"/>
        </w:rPr>
        <w:t>Segurado Pedro</w:t>
      </w:r>
      <w:r>
        <w:rPr>
          <w:rFonts w:cs="EB Garamond"/>
          <w:kern w:val="16"/>
          <w14:ligatures w14:val="standardContextual"/>
        </w:rPr>
        <w:t xml:space="preserve"> aposentou-se em março de 2018 (antes da Lei 13.846/2019) com dois vínculos concomitantes:</w:t>
      </w:r>
    </w:p>
    <w:p w14:paraId="65C7155C" w14:textId="77777777" w:rsidR="005A5FCC" w:rsidRDefault="00A21C81">
      <w:pPr>
        <w:spacing w:after="40" w:line="252" w:lineRule="auto"/>
        <w:ind w:left="340" w:hanging="198"/>
      </w:pPr>
      <w:r>
        <w:rPr>
          <w:rFonts w:cs="EB Garamond"/>
          <w:color w:val="3A3128"/>
          <w:kern w:val="16"/>
          <w:sz w:val="20"/>
          <w14:ligatures w14:val="standardContextual"/>
        </w:rPr>
        <w:lastRenderedPageBreak/>
        <w:t xml:space="preserve">• </w:t>
      </w:r>
      <w:r>
        <w:rPr>
          <w:rFonts w:cs="EB Garamond"/>
          <w:kern w:val="16"/>
          <w:sz w:val="20"/>
          <w14:ligatures w14:val="standardContextual"/>
        </w:rPr>
        <w:t>Atividade principal (Professor): salário de contribuição R$ 4.000,00 — 300 contribuições (atividade mais longa, eleita como principal)</w:t>
      </w:r>
    </w:p>
    <w:p w14:paraId="218B4CA8"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Atividade secundária (Contabilista autônomo): salário de contribuição R$ 3.000,00 — apenas 108 contribuições (nove anos de exercício paralelo)</w:t>
      </w:r>
    </w:p>
    <w:p w14:paraId="78088186" w14:textId="77777777" w:rsidR="005A5FCC" w:rsidRDefault="005A5FCC">
      <w:pPr>
        <w:spacing w:after="60" w:line="240" w:lineRule="auto"/>
      </w:pPr>
    </w:p>
    <w:p w14:paraId="795DF03B"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P</w:t>
      </w:r>
    </w:p>
    <w:p w14:paraId="23D5FFB2" w14:textId="77777777" w:rsidR="005A5FCC" w:rsidRDefault="00A21C81">
      <w:r>
        <w:rPr>
          <w:rFonts w:cs="EB Garamond"/>
          <w:b/>
          <w:kern w:val="16"/>
          <w14:ligatures w14:val="standardContextual"/>
        </w:rPr>
        <w:t>elo cálculo proporcional antigo (art. 32, incisos I a III, Lei 8.213/91, redação original):</w:t>
      </w:r>
    </w:p>
    <w:p w14:paraId="63BF17AB" w14:textId="77777777" w:rsidR="005A5FCC" w:rsidRDefault="00A21C81">
      <w:pPr>
        <w:ind w:firstLine="238"/>
      </w:pPr>
      <w:r>
        <w:rPr>
          <w:rFonts w:cs="EB Garamond"/>
          <w:kern w:val="16"/>
          <w14:ligatures w14:val="standardContextual"/>
        </w:rPr>
        <w:t xml:space="preserve">Na sistemática histórica, o salário de benefício da atividade secundária não entrava integralmente: tomava-se o salário de benefício </w:t>
      </w:r>
      <w:r>
        <w:rPr>
          <w:rFonts w:cs="EB Garamond"/>
          <w:i/>
          <w:kern w:val="16"/>
          <w14:ligatures w14:val="standardContextual"/>
        </w:rPr>
        <w:t>daquela</w:t>
      </w:r>
      <w:r>
        <w:rPr>
          <w:rFonts w:cs="EB Garamond"/>
          <w:kern w:val="16"/>
          <w14:ligatures w14:val="standardContextual"/>
        </w:rPr>
        <w:t xml:space="preserve"> atividade e aplicava-se a proporção entre o número de meses de contribuição na atividade secundária e o número de meses exigidos para a carência do benefício pretendido (no caso, 180 meses para a aposentadoria por tempo de contribuição). Assim:</w:t>
      </w:r>
    </w:p>
    <w:p w14:paraId="34FBEA51"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Atividade principal: salário de benefício de R$ 4.000,00 (integral, por ser a atividade preponderante)</w:t>
      </w:r>
    </w:p>
    <w:p w14:paraId="3F58EE2E"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Atividade secundária: R$ 3.000,00 × (108/180) = R$ 3.000,00 × 0,60 = R$ 1.800,00</w:t>
      </w:r>
    </w:p>
    <w:p w14:paraId="51B642DC"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Salário de benefício total: R$ 4.000,00 + R$ 1.800,00 = R$ 5.800,00</w:t>
      </w:r>
    </w:p>
    <w:p w14:paraId="582FDE31" w14:textId="77777777" w:rsidR="005A5FCC" w:rsidRDefault="005A5FCC">
      <w:pPr>
        <w:spacing w:after="60" w:line="240" w:lineRule="auto"/>
      </w:pPr>
    </w:p>
    <w:p w14:paraId="3F6BE9B3"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P</w:t>
      </w:r>
    </w:p>
    <w:p w14:paraId="29F14116" w14:textId="77777777" w:rsidR="005A5FCC" w:rsidRDefault="00A21C81">
      <w:r>
        <w:rPr>
          <w:rFonts w:cs="EB Garamond"/>
          <w:b/>
          <w:kern w:val="16"/>
          <w14:ligatures w14:val="standardContextual"/>
        </w:rPr>
        <w:t>ela soma integral (entendimento do Tema 1.070/STJ):</w:t>
      </w:r>
    </w:p>
    <w:p w14:paraId="275AA04B"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R$ 4.000,00 + R$ 3.000,00 = R$ 7.000,00 (respeitado o teto)</w:t>
      </w:r>
    </w:p>
    <w:p w14:paraId="5AC412AB" w14:textId="77777777" w:rsidR="005A5FCC" w:rsidRDefault="005A5FCC">
      <w:pPr>
        <w:spacing w:after="60" w:line="240" w:lineRule="auto"/>
      </w:pPr>
    </w:p>
    <w:p w14:paraId="2F0D1785"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D</w:t>
      </w:r>
    </w:p>
    <w:p w14:paraId="244C0449" w14:textId="77777777" w:rsidR="005A5FCC" w:rsidRDefault="00A21C81">
      <w:r>
        <w:rPr>
          <w:rFonts w:cs="EB Garamond"/>
          <w:b/>
          <w:kern w:val="16"/>
          <w14:ligatures w14:val="standardContextual"/>
        </w:rPr>
        <w:t>iferença mensal: R$ 1.200,00.</w:t>
      </w:r>
      <w:r>
        <w:rPr>
          <w:rFonts w:cs="EB Garamond"/>
          <w:kern w:val="16"/>
          <w14:ligatures w14:val="standardContextual"/>
        </w:rPr>
        <w:t xml:space="preserve"> Como Pedro tinha menos de 180 contribuições na atividade secundária, o cálculo proporcional reduziu o aproveitamento daquele salário a 60% do seu valor, gerando prejuízo direto. Esse é exatamente o efeito distorcivo que o Tema 1.070 corrige: o segurado contribuiu sobre os R$ 3.000,00 integrais, mas via apenas R$ 1.800,00 refletidos no benefício.</w:t>
      </w:r>
    </w:p>
    <w:p w14:paraId="134D3C7D" w14:textId="77777777" w:rsidR="005A5FCC" w:rsidRDefault="00A21C81">
      <w:pPr>
        <w:ind w:firstLine="238"/>
      </w:pPr>
      <w:r>
        <w:rPr>
          <w:rFonts w:cs="EB Garamond"/>
          <w:kern w:val="16"/>
          <w14:ligatures w14:val="standardContextual"/>
        </w:rPr>
        <w:t xml:space="preserve">Quanto menor o número de contribuições na atividade secundária em relação aos 180 meses de carência, mais severo o prejuízo. Um segurado com apenas 90 contribuições na atividade secundária veria esse salário reduzido à metade (90/180 = 0,50), e um com 36 contribuições, a um quinto (36/180 = 0,20). Essa diferença mensal — que pode alcançar centenas ou milhares de reais — justifica </w:t>
      </w:r>
      <w:r>
        <w:rPr>
          <w:rFonts w:cs="EB Garamond"/>
          <w:kern w:val="16"/>
          <w14:ligatures w14:val="standardContextual"/>
        </w:rPr>
        <w:lastRenderedPageBreak/>
        <w:t>amplamente a ação de revisão baseada no Tema 1.070/STJ, observado o prazo decadencial.</w:t>
      </w:r>
    </w:p>
    <w:tbl>
      <w:tblPr>
        <w:tblW w:w="5000" w:type="pct"/>
        <w:jc w:val="center"/>
        <w:tblLayout w:type="fixed"/>
        <w:tblLook w:val="04A0" w:firstRow="1" w:lastRow="0" w:firstColumn="1" w:lastColumn="0" w:noHBand="0" w:noVBand="1"/>
      </w:tblPr>
      <w:tblGrid>
        <w:gridCol w:w="6311"/>
      </w:tblGrid>
      <w:tr w:rsidR="005A5FCC" w14:paraId="6A463394"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15164454"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124817D8" w14:textId="77777777" w:rsidR="005A5FCC" w:rsidRDefault="00A21C81">
            <w:pPr>
              <w:spacing w:after="60" w:line="247" w:lineRule="auto"/>
            </w:pPr>
            <w:r>
              <w:rPr>
                <w:rFonts w:cs="EB Garamond"/>
                <w:b/>
                <w:kern w:val="16"/>
                <w:sz w:val="19"/>
                <w14:ligatures w14:val="standardContextual"/>
              </w:rPr>
              <w:t>Cálculo da prescrição e decadência na revisão por concomitância</w:t>
            </w:r>
          </w:p>
          <w:p w14:paraId="72C77E53" w14:textId="77777777" w:rsidR="005A5FCC" w:rsidRDefault="00A21C81">
            <w:pPr>
              <w:spacing w:after="60" w:line="247" w:lineRule="auto"/>
            </w:pPr>
            <w:r>
              <w:rPr>
                <w:rFonts w:cs="EB Garamond"/>
                <w:kern w:val="16"/>
                <w:sz w:val="19"/>
                <w14:ligatures w14:val="standardContextual"/>
              </w:rPr>
              <w:t>Para ações de revisão pelo Tema 1.070: (a) Decadência do direito de revisão: 10 anos contados do primeiro dia do mês seguinte ao recebimento da primeira prestação (art. 103, Lei 8.213/91); (b) Prescrição das parcelas: 5 anos retroativos contados do ajuizamento da ação. Assim, para um benefício concedido em março de 2015, o prazo decadencial expira em abril de 2025, ação ajuizada após essa data será extinta com mérito (decadência). Para benefício de 2016 em diante, o prazo ainda está aberto em 2026.</w:t>
            </w:r>
          </w:p>
        </w:tc>
      </w:tr>
    </w:tbl>
    <w:p w14:paraId="2235B7AB" w14:textId="77777777" w:rsidR="005A5FCC" w:rsidRDefault="005A5FCC">
      <w:pPr>
        <w:spacing w:after="80" w:line="240" w:lineRule="auto"/>
      </w:pPr>
    </w:p>
    <w:p w14:paraId="01D3DB1D" w14:textId="77777777" w:rsidR="005A5FCC" w:rsidRDefault="00A21C81">
      <w:pPr>
        <w:spacing w:before="260" w:after="80" w:line="240" w:lineRule="auto"/>
        <w:jc w:val="left"/>
      </w:pPr>
      <w:r>
        <w:rPr>
          <w:rFonts w:cs="EB Garamond"/>
          <w:b/>
          <w:color w:val="3A3128"/>
          <w:kern w:val="16"/>
          <w:sz w:val="25"/>
          <w14:ligatures w14:val="standardContextual"/>
        </w:rPr>
        <w:t>5.9.5 Aspectos práticos da concomitância nos JEFs</w:t>
      </w:r>
    </w:p>
    <w:p w14:paraId="37899FA8"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N</w:t>
      </w:r>
    </w:p>
    <w:p w14:paraId="35BECBBF" w14:textId="77777777" w:rsidR="005A5FCC" w:rsidRDefault="00A21C81">
      <w:r>
        <w:rPr>
          <w:rFonts w:cs="EB Garamond"/>
          <w:kern w:val="16"/>
          <w14:ligatures w14:val="standardContextual"/>
        </w:rPr>
        <w:t>o JEF, as questões de atividades concomitantes surgem em dois contextos principais:</w:t>
      </w:r>
    </w:p>
    <w:p w14:paraId="739B3573"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Ação de concessão:</w:t>
      </w:r>
      <w:r>
        <w:rPr>
          <w:rFonts w:cs="EB Garamond"/>
          <w:kern w:val="16"/>
          <w:sz w:val="20"/>
          <w14:ligatures w14:val="standardContextual"/>
        </w:rPr>
        <w:t xml:space="preserve"> O segurado requer aposentadoria com cômputo simultâneo de dois ou mais vínculos. Desde a Lei 13.846/2019, o INSS deve somar integralmente os salários de contribuição. Se o INSS aplicar indevidamente o cálculo proporcional, cabe ação revisional.</w:t>
      </w:r>
    </w:p>
    <w:p w14:paraId="245E7F87" w14:textId="77777777" w:rsidR="005A5FCC" w:rsidRDefault="005A5FCC">
      <w:pPr>
        <w:spacing w:after="60" w:line="240" w:lineRule="auto"/>
      </w:pPr>
    </w:p>
    <w:p w14:paraId="584F3688"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Ação de revisão (Tema 1.070):</w:t>
      </w:r>
      <w:r>
        <w:rPr>
          <w:rFonts w:cs="EB Garamond"/>
          <w:kern w:val="16"/>
          <w:sz w:val="20"/>
          <w14:ligatures w14:val="standardContextual"/>
        </w:rPr>
        <w:t xml:space="preserve"> O segurado já aposentado requer recálculo do benefício com aplicação da soma integral. A revisão é cabível para benefícios concedidos após 29/11/1999 (Lei 9.876/99), observado o prazo decadencial de 10 anos.</w:t>
      </w:r>
    </w:p>
    <w:p w14:paraId="71EBED19" w14:textId="77777777" w:rsidR="005A5FCC" w:rsidRDefault="005A5FCC">
      <w:pPr>
        <w:spacing w:after="60" w:line="240" w:lineRule="auto"/>
      </w:pPr>
    </w:p>
    <w:p w14:paraId="02F3D54B"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5F4A3F70" w14:textId="77777777" w:rsidR="005A5FCC" w:rsidRDefault="00A21C81">
      <w:r>
        <w:rPr>
          <w:rFonts w:cs="EB Garamond"/>
          <w:kern w:val="16"/>
          <w14:ligatures w14:val="standardContextual"/>
        </w:rPr>
        <w:t xml:space="preserve"> concomitância deve ser distinguida da pluralidade de vínculos sucessivos: se os vínculos não são simultâneos, não se trata de atividades concomitantes e o cálculo segue a regra geral (média dos salários de contribuição de todo o período contributivo).</w:t>
      </w:r>
    </w:p>
    <w:tbl>
      <w:tblPr>
        <w:tblW w:w="5000" w:type="pct"/>
        <w:jc w:val="center"/>
        <w:tblLayout w:type="fixed"/>
        <w:tblLook w:val="04A0" w:firstRow="1" w:lastRow="0" w:firstColumn="1" w:lastColumn="0" w:noHBand="0" w:noVBand="1"/>
      </w:tblPr>
      <w:tblGrid>
        <w:gridCol w:w="6311"/>
      </w:tblGrid>
      <w:tr w:rsidR="005A5FCC" w14:paraId="2BA62C22"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3E709770"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006E75D0" w14:textId="77777777" w:rsidR="005A5FCC" w:rsidRDefault="00A21C81">
            <w:pPr>
              <w:spacing w:after="60" w:line="247" w:lineRule="auto"/>
            </w:pPr>
            <w:r>
              <w:rPr>
                <w:rFonts w:cs="EB Garamond"/>
                <w:b/>
                <w:kern w:val="16"/>
                <w:sz w:val="19"/>
                <w14:ligatures w14:val="standardContextual"/>
              </w:rPr>
              <w:t>Exemplo numérico: impacto da soma integral</w:t>
            </w:r>
          </w:p>
          <w:p w14:paraId="28AA630A" w14:textId="77777777" w:rsidR="005A5FCC" w:rsidRDefault="00A21C81">
            <w:pPr>
              <w:spacing w:after="60" w:line="247" w:lineRule="auto"/>
            </w:pPr>
            <w:r>
              <w:rPr>
                <w:rFonts w:cs="EB Garamond"/>
                <w:kern w:val="16"/>
                <w:sz w:val="19"/>
                <w14:ligatures w14:val="standardContextual"/>
              </w:rPr>
              <w:t>João aposentou-se em 2015 com dois vínculos simultâneos: professor (SC de R$ 3.000) e contador autônomo (SC de R$ 2.000). Pelo cálculo proporcional antigo, seu salário de benefício foi de R$ 3.600 (R$ 3.000 da atividade principal + 60% de R$ 2.000 da secundária). Com a aplicação do Tema 1.070, o correto seria R$ 5.000 (soma integral, abaixo do teto). A diferença mensal de R$ 1.400 justifica ação revisional — se ajuizada dentro do prazo decadencial de 10 anos (até 2025, no caso).</w:t>
            </w:r>
          </w:p>
        </w:tc>
      </w:tr>
    </w:tbl>
    <w:p w14:paraId="20F7EDDB" w14:textId="77777777" w:rsidR="005A5FCC" w:rsidRDefault="005A5FCC">
      <w:pPr>
        <w:spacing w:after="80" w:line="240" w:lineRule="auto"/>
      </w:pPr>
    </w:p>
    <w:p w14:paraId="626CB00E"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5.10 Tempo fictício: vedação pela EC 103/2019</w:t>
      </w:r>
    </w:p>
    <w:p w14:paraId="7EAAE1D6" w14:textId="77777777" w:rsidR="005A5FCC" w:rsidRDefault="00A21C81">
      <w:pPr>
        <w:spacing w:before="260" w:after="80" w:line="240" w:lineRule="auto"/>
        <w:jc w:val="left"/>
      </w:pPr>
      <w:r>
        <w:rPr>
          <w:rFonts w:cs="EB Garamond"/>
          <w:b/>
          <w:color w:val="3A3128"/>
          <w:kern w:val="16"/>
          <w:sz w:val="25"/>
          <w14:ligatures w14:val="standardContextual"/>
        </w:rPr>
        <w:t>5.10.1 Conceito de tempo fictício</w:t>
      </w:r>
    </w:p>
    <w:p w14:paraId="7CA6C1AE"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T</w:t>
      </w:r>
    </w:p>
    <w:p w14:paraId="246122A1" w14:textId="77777777" w:rsidR="005A5FCC" w:rsidRDefault="00A21C81">
      <w:r>
        <w:rPr>
          <w:rFonts w:cs="EB Garamond"/>
          <w:kern w:val="16"/>
          <w14:ligatures w14:val="standardContextual"/>
        </w:rPr>
        <w:t>empo fictício é aquele computado para fins de aposentadoria sem que tenha havido efetiva prestação de serviço ou correspondente recolhimento de contribuição previdenciária. Trata-se de um "tempo presumido" por ficção legal, que existia em diversas legislações estaduais e federais anteriores à EC 20/1998.</w:t>
      </w:r>
    </w:p>
    <w:p w14:paraId="3D7A3C0D" w14:textId="77777777" w:rsidR="005A5FCC" w:rsidRDefault="00A21C81">
      <w:pPr>
        <w:ind w:firstLine="238"/>
      </w:pPr>
      <w:r>
        <w:rPr>
          <w:rFonts w:cs="EB Garamond"/>
          <w:kern w:val="16"/>
          <w14:ligatures w14:val="standardContextual"/>
        </w:rPr>
        <w:t>Exemplos históricos de tempo fictício:</w:t>
      </w:r>
    </w:p>
    <w:p w14:paraId="155E9618"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Licença-prêmio não usufruída contada em dobro para aposentadoria;</w:t>
      </w:r>
    </w:p>
    <w:p w14:paraId="68B0C240"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Férias não gozadas convertidas em tempo de serviço;</w:t>
      </w:r>
    </w:p>
    <w:p w14:paraId="6018FF8B"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Períodos de afastamento sem contribuição computados como tempo de serviço;</w:t>
      </w:r>
    </w:p>
    <w:p w14:paraId="3A105FB9"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Tempo de residência médica computado em dobro;</w:t>
      </w:r>
    </w:p>
    <w:p w14:paraId="21350916"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"Tempo insalubre" computado com acréscimo sem efetivo exercício em condições especiais.</w:t>
      </w:r>
    </w:p>
    <w:p w14:paraId="0AAA5268" w14:textId="77777777" w:rsidR="005A5FCC" w:rsidRDefault="005A5FCC">
      <w:pPr>
        <w:spacing w:after="60" w:line="240" w:lineRule="auto"/>
      </w:pPr>
    </w:p>
    <w:p w14:paraId="4328293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76C1D6C1" w14:textId="77777777" w:rsidR="005A5FCC" w:rsidRDefault="00A21C81">
      <w:r>
        <w:rPr>
          <w:rFonts w:cs="EB Garamond"/>
          <w:kern w:val="16"/>
          <w14:ligatures w14:val="standardContextual"/>
        </w:rPr>
        <w:t xml:space="preserve"> tempo fictício era mais comum no âmbito dos Regimes Próprios (RPPSs) estaduais e municipais, onde legislações locais frequentemente criavam mecanismos de majoração artificial do tempo de serviço. No RGPS, o instituto era menos disseminado, embora existissem hipóteses pontuais.</w:t>
      </w:r>
    </w:p>
    <w:p w14:paraId="055897AA" w14:textId="77777777" w:rsidR="005A5FCC" w:rsidRDefault="00A21C81">
      <w:pPr>
        <w:spacing w:before="260" w:after="80" w:line="240" w:lineRule="auto"/>
        <w:jc w:val="left"/>
      </w:pPr>
      <w:r>
        <w:rPr>
          <w:rFonts w:cs="EB Garamond"/>
          <w:b/>
          <w:color w:val="3A3128"/>
          <w:kern w:val="16"/>
          <w:sz w:val="25"/>
          <w14:ligatures w14:val="standardContextual"/>
        </w:rPr>
        <w:lastRenderedPageBreak/>
        <w:t>5.10.2 Evolução normativa da vedação</w:t>
      </w:r>
    </w:p>
    <w:p w14:paraId="32BEF773"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6327D470" w14:textId="77777777" w:rsidR="005A5FCC" w:rsidRDefault="00A21C81">
      <w:r>
        <w:rPr>
          <w:rFonts w:cs="EB Garamond"/>
          <w:kern w:val="16"/>
          <w14:ligatures w14:val="standardContextual"/>
        </w:rPr>
        <w:t xml:space="preserve"> vedação ao tempo fictício passou por três marcos normativos:</w:t>
      </w:r>
    </w:p>
    <w:p w14:paraId="0A0DA87A" w14:textId="77777777" w:rsidR="005A5FCC" w:rsidRDefault="00A21C81">
      <w:pPr>
        <w:ind w:firstLine="238"/>
      </w:pPr>
      <w:r>
        <w:rPr>
          <w:rFonts w:cs="EB Garamond"/>
          <w:b/>
          <w:kern w:val="16"/>
          <w14:ligatures w14:val="standardContextual"/>
        </w:rPr>
        <w:t>1. Lei 6.226/75, art. 4º, I:</w:t>
      </w:r>
      <w:r>
        <w:rPr>
          <w:rFonts w:cs="EB Garamond"/>
          <w:kern w:val="16"/>
          <w14:ligatures w14:val="standardContextual"/>
        </w:rPr>
        <w:t xml:space="preserve"> A primeira lei de contagem recíproca já vedava o cômputo de tempo fictício na transferência de tempo entre regimes. A lógica era evitar que uma ficção legal de um regime onerasse outro regime que não a previu.</w:t>
      </w:r>
    </w:p>
    <w:p w14:paraId="4905175A" w14:textId="77777777" w:rsidR="005A5FCC" w:rsidRDefault="00A21C81">
      <w:pPr>
        <w:ind w:firstLine="238"/>
      </w:pPr>
      <w:r>
        <w:rPr>
          <w:rFonts w:cs="EB Garamond"/>
          <w:b/>
          <w:kern w:val="16"/>
          <w14:ligatures w14:val="standardContextual"/>
        </w:rPr>
        <w:t>2. EC 20/1998, art. 40, § 10, CF:</w:t>
      </w:r>
      <w:r>
        <w:rPr>
          <w:rFonts w:cs="EB Garamond"/>
          <w:kern w:val="16"/>
          <w14:ligatures w14:val="standardContextual"/>
        </w:rPr>
        <w:t xml:space="preserve"> Constitucionalizou a vedação: "A lei não poderá estabelecer qualquer forma de contagem de tempo de contribuição fictício." A vedação operava como proibição dirigida ao legislador infraconstitucional, impedindo a criação de novos tempos fictícios. Tempos fictícios já adquiridos antes da EC 20/1998 foram preservados como direito adquirido.</w:t>
      </w:r>
    </w:p>
    <w:p w14:paraId="635DB906" w14:textId="77777777" w:rsidR="005A5FCC" w:rsidRDefault="00A21C81">
      <w:pPr>
        <w:ind w:firstLine="238"/>
      </w:pPr>
      <w:r>
        <w:rPr>
          <w:rFonts w:cs="EB Garamond"/>
          <w:b/>
          <w:kern w:val="16"/>
          <w14:ligatures w14:val="standardContextual"/>
        </w:rPr>
        <w:t>3. EC 103/2019 — constitucionalização da vedação (art. 201, § 14, da CF):</w:t>
      </w:r>
      <w:r>
        <w:rPr>
          <w:rFonts w:cs="EB Garamond"/>
          <w:kern w:val="16"/>
          <w14:ligatures w14:val="standardContextual"/>
        </w:rPr>
        <w:t xml:space="preserve"> A reforma elevou a vedação ao patamar constitucional, dando a seguinte redação ao art. 201, § 14, da Constituição: "É vedada a contagem de tempo de contribuição fictício para efeito de concessão dos benefícios previdenciários e de contagem recíproca." O art. 25, § 2º, da própria EC 103, por sua vez, cuida de tema distinto — a conversão de tempo especial em comum —, examinado na seção 5.11.3.</w:t>
      </w:r>
    </w:p>
    <w:p w14:paraId="1D901983" w14:textId="77777777" w:rsidR="005A5FCC" w:rsidRDefault="00A21C81">
      <w:pPr>
        <w:spacing w:before="260" w:after="80" w:line="240" w:lineRule="auto"/>
        <w:jc w:val="left"/>
      </w:pPr>
      <w:r>
        <w:rPr>
          <w:rFonts w:cs="EB Garamond"/>
          <w:b/>
          <w:color w:val="3A3128"/>
          <w:kern w:val="16"/>
          <w:sz w:val="25"/>
          <w14:ligatures w14:val="standardContextual"/>
        </w:rPr>
        <w:t>5.10.3 Exceções mantidas: períodos legalmente equiparados</w:t>
      </w:r>
    </w:p>
    <w:p w14:paraId="3C2F7382"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036F0F8E" w14:textId="77777777" w:rsidR="005A5FCC" w:rsidRDefault="00A21C81">
      <w:r>
        <w:rPr>
          <w:rFonts w:cs="EB Garamond"/>
          <w:kern w:val="16"/>
          <w14:ligatures w14:val="standardContextual"/>
        </w:rPr>
        <w:t xml:space="preserve"> vedação ao tempo fictício não atinge períodos que a própria lei expressamente equipara a tempo de contribuição, pois nesses casos existe previsão legal específica (não se trata de ficção, mas de equiparação legislativa). São mantidos como válidos:</w:t>
      </w:r>
    </w:p>
    <w:p w14:paraId="56B47F72"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Atividade rural anterior a 1991</w:t>
      </w:r>
      <w:r>
        <w:rPr>
          <w:rFonts w:cs="EB Garamond"/>
          <w:kern w:val="16"/>
          <w:sz w:val="20"/>
          <w14:ligatures w14:val="standardContextual"/>
        </w:rPr>
        <w:t xml:space="preserve"> (art. 55, § 2º, Lei 8.213/91): embora não haja recolhimento, existe exercício efetivo de atividade e previsão legal expressa;</w:t>
      </w:r>
    </w:p>
    <w:p w14:paraId="658A0F7B"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Serviço militar obrigatório</w:t>
      </w:r>
      <w:r>
        <w:rPr>
          <w:rFonts w:cs="EB Garamond"/>
          <w:kern w:val="16"/>
          <w:sz w:val="20"/>
          <w14:ligatures w14:val="standardContextual"/>
        </w:rPr>
        <w:t xml:space="preserve"> (art. 55, I, Lei 8.213/91): a imposição estatal justifica o cômputo;</w:t>
      </w:r>
    </w:p>
    <w:p w14:paraId="7C80BE11"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Aluno-aprendiz</w:t>
      </w:r>
      <w:r>
        <w:rPr>
          <w:rFonts w:cs="EB Garamond"/>
          <w:kern w:val="16"/>
          <w:sz w:val="20"/>
          <w14:ligatures w14:val="standardContextual"/>
        </w:rPr>
        <w:t xml:space="preserve"> (art. 188-G, IX, Decreto 3.048/99): existe retribuição e previsão normativa;</w:t>
      </w:r>
    </w:p>
    <w:p w14:paraId="720890F4"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Gozo de benefício por incapacidade intercalado</w:t>
      </w:r>
      <w:r>
        <w:rPr>
          <w:rFonts w:cs="EB Garamond"/>
          <w:kern w:val="16"/>
          <w:sz w:val="20"/>
          <w14:ligatures w14:val="standardContextual"/>
        </w:rPr>
        <w:t xml:space="preserve"> (art. 55, § 2º, Lei 8.213/91): o afastamento decorre de contingência social protegida;</w:t>
      </w:r>
    </w:p>
    <w:p w14:paraId="4DADC75E" w14:textId="77777777" w:rsidR="005A5FCC" w:rsidRDefault="00A21C81">
      <w:pPr>
        <w:spacing w:after="40" w:line="252" w:lineRule="auto"/>
        <w:ind w:left="340" w:hanging="198"/>
      </w:pPr>
      <w:r>
        <w:rPr>
          <w:rFonts w:cs="EB Garamond"/>
          <w:color w:val="3A3128"/>
          <w:kern w:val="16"/>
          <w:sz w:val="20"/>
          <w14:ligatures w14:val="standardContextual"/>
        </w:rPr>
        <w:lastRenderedPageBreak/>
        <w:t xml:space="preserve">• </w:t>
      </w:r>
      <w:r>
        <w:rPr>
          <w:rFonts w:cs="EB Garamond"/>
          <w:b/>
          <w:kern w:val="16"/>
          <w:sz w:val="20"/>
          <w14:ligatures w14:val="standardContextual"/>
        </w:rPr>
        <w:t>Conversão de tempo especial em comum</w:t>
      </w:r>
      <w:r>
        <w:rPr>
          <w:rFonts w:cs="EB Garamond"/>
          <w:kern w:val="16"/>
          <w:sz w:val="20"/>
          <w14:ligatures w14:val="standardContextual"/>
        </w:rPr>
        <w:t xml:space="preserve"> (para períodos anteriores a 13/11/2019): existe exercício efetivo em condições nocivas que justifica o acréscimo.</w:t>
      </w:r>
    </w:p>
    <w:p w14:paraId="1EC63C30" w14:textId="77777777" w:rsidR="005A5FCC" w:rsidRDefault="005A5FCC">
      <w:pPr>
        <w:spacing w:after="60" w:line="240" w:lineRule="auto"/>
      </w:pPr>
    </w:p>
    <w:tbl>
      <w:tblPr>
        <w:tblW w:w="5000" w:type="pct"/>
        <w:jc w:val="center"/>
        <w:tblLayout w:type="fixed"/>
        <w:tblLook w:val="04A0" w:firstRow="1" w:lastRow="0" w:firstColumn="1" w:lastColumn="0" w:noHBand="0" w:noVBand="1"/>
      </w:tblPr>
      <w:tblGrid>
        <w:gridCol w:w="6311"/>
      </w:tblGrid>
      <w:tr w:rsidR="005A5FCC" w14:paraId="0213B828"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35FFCB84"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312F44C5" w14:textId="77777777" w:rsidR="005A5FCC" w:rsidRDefault="00A21C81">
            <w:pPr>
              <w:spacing w:after="60" w:line="247" w:lineRule="auto"/>
            </w:pPr>
            <w:r>
              <w:rPr>
                <w:rFonts w:cs="EB Garamond"/>
                <w:b/>
                <w:kern w:val="16"/>
                <w:sz w:val="19"/>
                <w14:ligatures w14:val="standardContextual"/>
              </w:rPr>
              <w:t>Tempo fictício × tempo sem contribuição com previsão legal</w:t>
            </w:r>
          </w:p>
          <w:p w14:paraId="7D6E0DC8" w14:textId="77777777" w:rsidR="005A5FCC" w:rsidRDefault="00A21C81">
            <w:pPr>
              <w:spacing w:after="60" w:line="247" w:lineRule="auto"/>
            </w:pPr>
            <w:r>
              <w:rPr>
                <w:rFonts w:cs="EB Garamond"/>
                <w:kern w:val="16"/>
                <w:sz w:val="19"/>
                <w14:ligatures w14:val="standardContextual"/>
              </w:rPr>
              <w:t>Não se deve confundir tempo fictício (cômputo artificial, sem trabalho nem contribuição) com tempo sem contribuição previsto em lei (cômputo de período efetivamente trabalhado, mas sem recolhimento). O trabalhador rural que laborou de 1975 a 1991 sem recolher contribuição exerceu atividade real — o cômputo não é ficção. O servidor que convertia licença-prêmio não usufruída em tempo de serviço em dobro não trabalhou durante esse "dobro" — isso é tempo fictício. A distinção é conceitual e tem consequências práticas.</w:t>
            </w:r>
          </w:p>
        </w:tc>
      </w:tr>
    </w:tbl>
    <w:p w14:paraId="498C8BCE" w14:textId="77777777" w:rsidR="005A5FCC" w:rsidRDefault="005A5FCC">
      <w:pPr>
        <w:spacing w:after="80" w:line="240" w:lineRule="auto"/>
      </w:pPr>
    </w:p>
    <w:p w14:paraId="2FDC3D4C" w14:textId="77777777" w:rsidR="005A5FCC" w:rsidRDefault="00A21C81">
      <w:pPr>
        <w:spacing w:before="260" w:after="80" w:line="240" w:lineRule="auto"/>
        <w:jc w:val="left"/>
      </w:pPr>
      <w:r>
        <w:rPr>
          <w:rFonts w:cs="EB Garamond"/>
          <w:b/>
          <w:color w:val="3A3128"/>
          <w:kern w:val="16"/>
          <w:sz w:val="25"/>
          <w14:ligatures w14:val="standardContextual"/>
        </w:rPr>
        <w:t>5.10.4 Direito adquirido ao tempo fictício: marco temporal</w:t>
      </w:r>
    </w:p>
    <w:p w14:paraId="2F2866D3"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3BFD7ACE" w14:textId="77777777" w:rsidR="005A5FCC" w:rsidRDefault="00A21C81">
      <w:r>
        <w:rPr>
          <w:rFonts w:cs="EB Garamond"/>
          <w:kern w:val="16"/>
          <w14:ligatures w14:val="standardContextual"/>
        </w:rPr>
        <w:t xml:space="preserve"> direito adquirido ao tempo fictício é garantido pelo art. 5º, XXXVI, da Constituição Federal. Períodos de tempo fictício reconhecidos e incorporados ao patrimônio jurídico do servidor antes da vedação constitucional (EC 20/1998) são preservados. Assim:</w:t>
      </w:r>
    </w:p>
    <w:p w14:paraId="065CF5A0"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Tempo fictício adquirido até 15/12/1998 (véspera da EC 20):</w:t>
      </w:r>
      <w:r>
        <w:rPr>
          <w:rFonts w:cs="EB Garamond"/>
          <w:kern w:val="16"/>
          <w:sz w:val="20"/>
          <w14:ligatures w14:val="standardContextual"/>
        </w:rPr>
        <w:t xml:space="preserve"> Mantido integralmente, pode ser certificado via CTC e utilizado para aposentadoria no RGPS, desde que a legislação estadual ou municipal vigente à época o permitisse.</w:t>
      </w:r>
    </w:p>
    <w:p w14:paraId="3747A4DC" w14:textId="77777777" w:rsidR="005A5FCC" w:rsidRDefault="005A5FCC">
      <w:pPr>
        <w:spacing w:after="60" w:line="240" w:lineRule="auto"/>
      </w:pPr>
    </w:p>
    <w:p w14:paraId="528C6C6E"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Tempo fictício previsto em legislação estadual/municipal vigente em 15/12/1998, mas cujo período se refere a fatos posteriores:</w:t>
      </w:r>
      <w:r>
        <w:rPr>
          <w:rFonts w:cs="EB Garamond"/>
          <w:kern w:val="16"/>
          <w:sz w:val="20"/>
          <w14:ligatures w14:val="standardContextual"/>
        </w:rPr>
        <w:t xml:space="preserve"> A questão é controversa. A posição majoritária é que a vedação da EC 20 impede o cômputo de novos períodos fictícios a partir de sua vigência, mesmo que a lei local não tenha sido formalmente revogada. A lei que previa o cômputo perdeu eficácia por incompatibilidade superveniente com a Constituição.</w:t>
      </w:r>
    </w:p>
    <w:p w14:paraId="70289000" w14:textId="77777777" w:rsidR="005A5FCC" w:rsidRDefault="005A5FCC">
      <w:pPr>
        <w:spacing w:after="60" w:line="240" w:lineRule="auto"/>
      </w:pPr>
    </w:p>
    <w:p w14:paraId="5F293A3F"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Licença-prêmio não usufruída:</w:t>
      </w:r>
      <w:r>
        <w:rPr>
          <w:rFonts w:cs="EB Garamond"/>
          <w:kern w:val="16"/>
          <w:sz w:val="20"/>
          <w14:ligatures w14:val="standardContextual"/>
        </w:rPr>
        <w:t xml:space="preserve"> O exemplo mais frequente. Se o servidor adquiriu o direito à licença-prêmio antes da EC 20/1998 e a legislação local permitia a </w:t>
      </w:r>
      <w:r>
        <w:rPr>
          <w:rFonts w:cs="EB Garamond"/>
          <w:kern w:val="16"/>
          <w:sz w:val="20"/>
          <w14:ligatures w14:val="standardContextual"/>
        </w:rPr>
        <w:lastRenderedPageBreak/>
        <w:t>conversão em dobro para aposentadoria, esse direito é preservado. Se a licença-prêmio foi adquirida após a EC 20, não há direito à contagem em dobro.</w:t>
      </w:r>
    </w:p>
    <w:p w14:paraId="4BAC729B" w14:textId="77777777" w:rsidR="005A5FCC" w:rsidRDefault="005A5FCC">
      <w:pPr>
        <w:spacing w:after="60" w:line="240" w:lineRule="auto"/>
      </w:pPr>
    </w:p>
    <w:tbl>
      <w:tblPr>
        <w:tblW w:w="5000" w:type="pct"/>
        <w:jc w:val="center"/>
        <w:tblLayout w:type="fixed"/>
        <w:tblLook w:val="04A0" w:firstRow="1" w:lastRow="0" w:firstColumn="1" w:lastColumn="0" w:noHBand="0" w:noVBand="1"/>
      </w:tblPr>
      <w:tblGrid>
        <w:gridCol w:w="6311"/>
      </w:tblGrid>
      <w:tr w:rsidR="005A5FCC" w14:paraId="3510804C"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31B5777B" w14:textId="77777777" w:rsidR="005A5FCC" w:rsidRDefault="00A21C81">
            <w:pPr>
              <w:spacing w:after="60" w:line="240" w:lineRule="auto"/>
              <w:jc w:val="left"/>
            </w:pPr>
            <w:r>
              <w:rPr>
                <w:rFonts w:ascii="Noto Sans" w:hAnsi="Noto Sans" w:cs="Noto Sans"/>
                <w:b/>
                <w:caps/>
                <w:color w:val="4D6F8A"/>
                <w:kern w:val="16"/>
                <w:sz w:val="16"/>
                <w14:ligatures w14:val="standardContextual"/>
              </w:rPr>
              <w:t>JURISPRUDÊNCIA EM DESTAQUE</w:t>
            </w:r>
          </w:p>
          <w:p w14:paraId="19B574FD" w14:textId="77777777" w:rsidR="005A5FCC" w:rsidRDefault="00A21C81">
            <w:pPr>
              <w:spacing w:after="60" w:line="247" w:lineRule="auto"/>
            </w:pPr>
            <w:r>
              <w:rPr>
                <w:rFonts w:cs="EB Garamond"/>
                <w:b/>
                <w:kern w:val="16"/>
                <w:sz w:val="19"/>
                <w14:ligatures w14:val="standardContextual"/>
              </w:rPr>
              <w:t>STF Tema 840 (RE 683.621) — Vedação ao tempo fictício</w:t>
            </w:r>
          </w:p>
          <w:p w14:paraId="6155D670" w14:textId="77777777" w:rsidR="005A5FCC" w:rsidRDefault="00A21C81">
            <w:pPr>
              <w:spacing w:after="60" w:line="247" w:lineRule="auto"/>
            </w:pPr>
            <w:r>
              <w:rPr>
                <w:rFonts w:cs="EB Garamond"/>
                <w:kern w:val="16"/>
                <w:sz w:val="19"/>
                <w14:ligatures w14:val="standardContextual"/>
              </w:rPr>
              <w:t xml:space="preserve">A vedação constitucional ao tempo fictício foi consolidada pelo STF no </w:t>
            </w:r>
            <w:r>
              <w:rPr>
                <w:rFonts w:cs="EB Garamond"/>
                <w:b/>
                <w:kern w:val="16"/>
                <w:sz w:val="19"/>
                <w14:ligatures w14:val="standardContextual"/>
              </w:rPr>
              <w:t>Tema 840 de repercussão geral (RE 683.621)</w:t>
            </w:r>
            <w:r>
              <w:rPr>
                <w:rFonts w:cs="EB Garamond"/>
                <w:kern w:val="16"/>
                <w:sz w:val="19"/>
                <w14:ligatures w14:val="standardContextual"/>
              </w:rPr>
              <w:t>, no qual se firmou a tese de que "a expressão 'serviço efetivo, em qualquer regime jurídico', considerado o disposto no artigo 53 do Ato das Disposições Constitucionais Transitórias, não aproveita tempo ficto". O entendimento reforça que, a partir da EC 20/1998, nenhuma legislação infraconstitucional pode criar novas formas de contagem de tempo sem efetiva contribuição ou exercício de atividade. Por se tratar de tese fixada em repercussão geral, vincula os demais órgãos do Poder Judiciário e a Administração. Para o RGPS, o impacto é indireto: a vedação atinge principalmente os RPPSs, mas reflete-se na contagem recíproca (CTC com tempo fictício é recusada pelo INSS).</w:t>
            </w:r>
          </w:p>
        </w:tc>
      </w:tr>
    </w:tbl>
    <w:p w14:paraId="5516B5E1" w14:textId="77777777" w:rsidR="005A5FCC" w:rsidRDefault="005A5FCC">
      <w:pPr>
        <w:spacing w:after="80" w:line="240" w:lineRule="auto"/>
      </w:pPr>
    </w:p>
    <w:p w14:paraId="634C6382" w14:textId="77777777" w:rsidR="005A5FCC" w:rsidRDefault="00A21C81">
      <w:pPr>
        <w:spacing w:before="260" w:after="80" w:line="240" w:lineRule="auto"/>
        <w:jc w:val="left"/>
      </w:pPr>
      <w:r>
        <w:rPr>
          <w:rFonts w:cs="EB Garamond"/>
          <w:b/>
          <w:color w:val="3A3128"/>
          <w:kern w:val="16"/>
          <w:sz w:val="25"/>
          <w14:ligatures w14:val="standardContextual"/>
        </w:rPr>
        <w:t>5.10.5 Impacto da vedação no RGPS</w:t>
      </w:r>
    </w:p>
    <w:p w14:paraId="04926C3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N</w:t>
      </w:r>
    </w:p>
    <w:p w14:paraId="004E225F" w14:textId="77777777" w:rsidR="005A5FCC" w:rsidRDefault="00A21C81">
      <w:r>
        <w:rPr>
          <w:rFonts w:cs="EB Garamond"/>
          <w:kern w:val="16"/>
          <w14:ligatures w14:val="standardContextual"/>
        </w:rPr>
        <w:t>o RGPS, o impacto prático da vedação ao tempo fictício é limitado, pois o regime sempre operou predominantemente com base em tempo efetivo. As situações em que a vedação pode ser invocada nos JEFs são:</w:t>
      </w:r>
    </w:p>
    <w:p w14:paraId="50894651"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Tentativa de cômputo de licença-prêmio em dobro por ex-servidor:</w:t>
      </w:r>
      <w:r>
        <w:rPr>
          <w:rFonts w:cs="EB Garamond"/>
          <w:kern w:val="16"/>
          <w:sz w:val="20"/>
          <w14:ligatures w14:val="standardContextual"/>
        </w:rPr>
        <w:t xml:space="preserve"> Quando o ex-servidor busca aposentadoria no RGPS e pretende levar tempo fictício (licença-prêmio em dobro) via CTC, o INSS pode recusar com fundamento na vedação.</w:t>
      </w:r>
    </w:p>
    <w:p w14:paraId="3D5B66EC" w14:textId="77777777" w:rsidR="005A5FCC" w:rsidRDefault="005A5FCC">
      <w:pPr>
        <w:spacing w:after="60" w:line="240" w:lineRule="auto"/>
      </w:pPr>
    </w:p>
    <w:p w14:paraId="76883742"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Conversão de tempo especial pós-EC 103:</w:t>
      </w:r>
      <w:r>
        <w:rPr>
          <w:rFonts w:cs="EB Garamond"/>
          <w:kern w:val="16"/>
          <w:sz w:val="20"/>
          <w14:ligatures w14:val="standardContextual"/>
        </w:rPr>
        <w:t xml:space="preserve"> A vedação é invocada pelo INSS para negar a conversão de tempo especial em comum para períodos posteriores a 13/11/2019, argumentando que o acréscimo resultante da conversão configura tempo fictício. No julgamento da ADI 6.309 (j. 03/06/2026), o STF manteve a constitucionalidade dessa vedação para períodos posteriores a 13/11/2019 (afastando, no mesmo julgado, a exigência de idade mínima da aposentadoria especial).</w:t>
      </w:r>
    </w:p>
    <w:p w14:paraId="62BCE2C6" w14:textId="77777777" w:rsidR="005A5FCC" w:rsidRDefault="005A5FCC">
      <w:pPr>
        <w:spacing w:after="60" w:line="240" w:lineRule="auto"/>
      </w:pPr>
    </w:p>
    <w:p w14:paraId="0354B341"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Tempo residência médica:</w:t>
      </w:r>
      <w:r>
        <w:rPr>
          <w:rFonts w:cs="EB Garamond"/>
          <w:kern w:val="16"/>
          <w:sz w:val="20"/>
          <w14:ligatures w14:val="standardContextual"/>
        </w:rPr>
        <w:t xml:space="preserve"> Algumas legislações estaduais anteriormente computavam a residência médica em dobro. Com a vedação, esse cômputo não é mais admitido em nenhum regime.</w:t>
      </w:r>
    </w:p>
    <w:p w14:paraId="636D789D" w14:textId="77777777" w:rsidR="005A5FCC" w:rsidRDefault="005A5FCC">
      <w:pPr>
        <w:spacing w:after="60" w:line="240" w:lineRule="auto"/>
      </w:pPr>
    </w:p>
    <w:p w14:paraId="79B8FB1F"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5.11 Conversão de tempo especial em comum</w:t>
      </w:r>
    </w:p>
    <w:p w14:paraId="4886CE2B" w14:textId="77777777" w:rsidR="005A5FCC" w:rsidRDefault="00A21C81">
      <w:pPr>
        <w:spacing w:before="260" w:after="80" w:line="240" w:lineRule="auto"/>
        <w:jc w:val="left"/>
      </w:pPr>
      <w:r>
        <w:rPr>
          <w:rFonts w:cs="EB Garamond"/>
          <w:b/>
          <w:color w:val="3A3128"/>
          <w:kern w:val="16"/>
          <w:sz w:val="25"/>
          <w14:ligatures w14:val="standardContextual"/>
        </w:rPr>
        <w:t>5.11.1 Mecanismo da conversão e fatores aplicáveis</w:t>
      </w:r>
    </w:p>
    <w:p w14:paraId="76A035D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7B3E5A5C" w14:textId="75C4E4B0" w:rsidR="005A5FCC" w:rsidRDefault="00A21C81">
      <w:r>
        <w:rPr>
          <w:rFonts w:cs="EB Garamond"/>
          <w:kern w:val="16"/>
          <w14:ligatures w14:val="standardContextual"/>
        </w:rPr>
        <w:t xml:space="preserve"> conversão de tempo especial em comum</w:t>
      </w:r>
      <w:r w:rsidR="00FC0B7C">
        <w:rPr>
          <w:rFonts w:cs="EB Garamond"/>
          <w:kern w:val="16"/>
          <w14:ligatures w14:val="standardContextual"/>
        </w:rPr>
        <w:t>, conforme</w:t>
      </w:r>
      <w:r>
        <w:rPr>
          <w:rFonts w:cs="EB Garamond"/>
          <w:kern w:val="16"/>
          <w14:ligatures w14:val="standardContextual"/>
        </w:rPr>
        <w:t xml:space="preserve"> Castro e Lazzari (2025), é o instrumento pelo qual o segurado que exerceu atividade em condições nocivas à saúde ou à integridade física, mas não completou o tempo necessário para aposentadoria especial (15, 20 ou 25 anos), pode transformar o período especial em tempo de contribuição comum mediante aplicação de fator multiplicador. O mecanismo está previsto no art. 57, § 5º, da Lei 8.213/91 e regulamentado pelo art. 70 do Decreto 3.048/99.</w:t>
      </w:r>
    </w:p>
    <w:p w14:paraId="221D72EF" w14:textId="77777777" w:rsidR="005A5FCC" w:rsidRDefault="00A21C81">
      <w:pPr>
        <w:ind w:firstLine="238"/>
      </w:pPr>
      <w:r>
        <w:rPr>
          <w:rFonts w:cs="EB Garamond"/>
          <w:kern w:val="16"/>
          <w14:ligatures w14:val="standardContextual"/>
        </w:rPr>
        <w:t>Os fatores de conversão são calculados pela razão entre o tempo máximo de contribuição para aposentadoria comum (35 anos para homem, 30 para mulher) e o tempo exigido para aposentadoria especial:</w:t>
      </w:r>
    </w:p>
    <w:tbl>
      <w:tblPr>
        <w:tblW w:w="5000" w:type="pct"/>
        <w:jc w:val="center"/>
        <w:tblLook w:val="04A0" w:firstRow="1" w:lastRow="0" w:firstColumn="1" w:lastColumn="0" w:noHBand="0" w:noVBand="1"/>
      </w:tblPr>
      <w:tblGrid>
        <w:gridCol w:w="1585"/>
        <w:gridCol w:w="1585"/>
        <w:gridCol w:w="1585"/>
        <w:gridCol w:w="1585"/>
      </w:tblGrid>
      <w:tr w:rsidR="005A5FCC" w14:paraId="787B6E59" w14:textId="77777777">
        <w:trPr>
          <w:tblHeader/>
          <w:jc w:val="center"/>
        </w:trPr>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5ECF09DF" w14:textId="77777777" w:rsidR="005A5FCC" w:rsidRDefault="00A21C81">
            <w:pPr>
              <w:spacing w:before="40" w:after="40" w:line="240" w:lineRule="auto"/>
              <w:jc w:val="center"/>
            </w:pPr>
            <w:r>
              <w:rPr>
                <w:rFonts w:cs="EB Garamond"/>
                <w:b/>
                <w:color w:val="2F2923"/>
                <w:kern w:val="16"/>
                <w:sz w:val="18"/>
                <w14:ligatures w14:val="standardContextual"/>
              </w:rPr>
              <w:t>Tempo especial</w:t>
            </w:r>
          </w:p>
        </w:tc>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47BAA20D" w14:textId="77777777" w:rsidR="005A5FCC" w:rsidRDefault="00A21C81">
            <w:pPr>
              <w:spacing w:before="40" w:after="40" w:line="240" w:lineRule="auto"/>
              <w:jc w:val="center"/>
            </w:pPr>
            <w:r>
              <w:rPr>
                <w:rFonts w:cs="EB Garamond"/>
                <w:b/>
                <w:color w:val="2F2923"/>
                <w:kern w:val="16"/>
                <w:sz w:val="18"/>
                <w14:ligatures w14:val="standardContextual"/>
              </w:rPr>
              <w:t>Fator (Homem)</w:t>
            </w:r>
          </w:p>
        </w:tc>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5DE7B818" w14:textId="77777777" w:rsidR="005A5FCC" w:rsidRDefault="00A21C81">
            <w:pPr>
              <w:spacing w:before="40" w:after="40" w:line="240" w:lineRule="auto"/>
              <w:jc w:val="center"/>
            </w:pPr>
            <w:r>
              <w:rPr>
                <w:rFonts w:cs="EB Garamond"/>
                <w:b/>
                <w:color w:val="2F2923"/>
                <w:kern w:val="16"/>
                <w:sz w:val="18"/>
                <w14:ligatures w14:val="standardContextual"/>
              </w:rPr>
              <w:t>Fator (Mulher)</w:t>
            </w:r>
          </w:p>
        </w:tc>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1D8E55B9" w14:textId="77777777" w:rsidR="005A5FCC" w:rsidRDefault="00A21C81">
            <w:pPr>
              <w:spacing w:before="40" w:after="40" w:line="240" w:lineRule="auto"/>
              <w:jc w:val="center"/>
            </w:pPr>
            <w:r>
              <w:rPr>
                <w:rFonts w:cs="EB Garamond"/>
                <w:b/>
                <w:color w:val="2F2923"/>
                <w:kern w:val="16"/>
                <w:sz w:val="18"/>
                <w14:ligatures w14:val="standardContextual"/>
              </w:rPr>
              <w:t>Cálculo</w:t>
            </w:r>
          </w:p>
        </w:tc>
      </w:tr>
      <w:tr w:rsidR="005A5FCC" w14:paraId="0543F7A2"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32454BDC" w14:textId="77777777" w:rsidR="005A5FCC" w:rsidRDefault="00A21C81">
            <w:pPr>
              <w:spacing w:before="20" w:after="20" w:line="240" w:lineRule="auto"/>
              <w:jc w:val="left"/>
            </w:pPr>
            <w:r>
              <w:rPr>
                <w:rFonts w:cs="EB Garamond"/>
                <w:kern w:val="16"/>
                <w:sz w:val="18"/>
                <w14:ligatures w14:val="standardContextual"/>
              </w:rPr>
              <w:t>25 anos</w:t>
            </w:r>
          </w:p>
        </w:tc>
        <w:tc>
          <w:tcPr>
            <w:tcW w:w="1587" w:type="dxa"/>
            <w:tcBorders>
              <w:top w:val="single" w:sz="4" w:space="0" w:color="D2C9B8"/>
              <w:left w:val="single" w:sz="4" w:space="0" w:color="D2C9B8"/>
              <w:bottom w:val="single" w:sz="4" w:space="0" w:color="D2C9B8"/>
              <w:right w:val="single" w:sz="4" w:space="0" w:color="D2C9B8"/>
            </w:tcBorders>
          </w:tcPr>
          <w:p w14:paraId="277C16C2" w14:textId="77777777" w:rsidR="005A5FCC" w:rsidRDefault="00A21C81">
            <w:pPr>
              <w:spacing w:before="20" w:after="20" w:line="240" w:lineRule="auto"/>
              <w:jc w:val="left"/>
            </w:pPr>
            <w:r>
              <w:rPr>
                <w:rFonts w:cs="EB Garamond"/>
                <w:kern w:val="16"/>
                <w:sz w:val="18"/>
                <w14:ligatures w14:val="standardContextual"/>
              </w:rPr>
              <w:t>1,40</w:t>
            </w:r>
          </w:p>
        </w:tc>
        <w:tc>
          <w:tcPr>
            <w:tcW w:w="1587" w:type="dxa"/>
            <w:tcBorders>
              <w:top w:val="single" w:sz="4" w:space="0" w:color="D2C9B8"/>
              <w:left w:val="single" w:sz="4" w:space="0" w:color="D2C9B8"/>
              <w:bottom w:val="single" w:sz="4" w:space="0" w:color="D2C9B8"/>
              <w:right w:val="single" w:sz="4" w:space="0" w:color="D2C9B8"/>
            </w:tcBorders>
          </w:tcPr>
          <w:p w14:paraId="5E81D02A" w14:textId="77777777" w:rsidR="005A5FCC" w:rsidRDefault="00A21C81">
            <w:pPr>
              <w:spacing w:before="20" w:after="20" w:line="240" w:lineRule="auto"/>
              <w:jc w:val="left"/>
            </w:pPr>
            <w:r>
              <w:rPr>
                <w:rFonts w:cs="EB Garamond"/>
                <w:kern w:val="16"/>
                <w:sz w:val="18"/>
                <w14:ligatures w14:val="standardContextual"/>
              </w:rPr>
              <w:t>1,20</w:t>
            </w:r>
          </w:p>
        </w:tc>
        <w:tc>
          <w:tcPr>
            <w:tcW w:w="1587" w:type="dxa"/>
            <w:tcBorders>
              <w:top w:val="single" w:sz="4" w:space="0" w:color="D2C9B8"/>
              <w:left w:val="single" w:sz="4" w:space="0" w:color="D2C9B8"/>
              <w:bottom w:val="single" w:sz="4" w:space="0" w:color="D2C9B8"/>
              <w:right w:val="single" w:sz="4" w:space="0" w:color="D2C9B8"/>
            </w:tcBorders>
          </w:tcPr>
          <w:p w14:paraId="351BC43C" w14:textId="77777777" w:rsidR="005A5FCC" w:rsidRDefault="00A21C81">
            <w:pPr>
              <w:spacing w:before="20" w:after="20" w:line="240" w:lineRule="auto"/>
              <w:jc w:val="left"/>
            </w:pPr>
            <w:r>
              <w:rPr>
                <w:rFonts w:cs="EB Garamond"/>
                <w:kern w:val="16"/>
                <w:sz w:val="18"/>
                <w14:ligatures w14:val="standardContextual"/>
              </w:rPr>
              <w:t>35/25 = 1,40; 30/25 = 1,20</w:t>
            </w:r>
          </w:p>
        </w:tc>
      </w:tr>
      <w:tr w:rsidR="005A5FCC" w14:paraId="7F08A6E2"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1B7FC06B" w14:textId="77777777" w:rsidR="005A5FCC" w:rsidRDefault="00A21C81">
            <w:pPr>
              <w:spacing w:before="20" w:after="20" w:line="240" w:lineRule="auto"/>
              <w:jc w:val="left"/>
            </w:pPr>
            <w:r>
              <w:rPr>
                <w:rFonts w:cs="EB Garamond"/>
                <w:kern w:val="16"/>
                <w:sz w:val="18"/>
                <w14:ligatures w14:val="standardContextual"/>
              </w:rPr>
              <w:t>20 anos</w:t>
            </w:r>
          </w:p>
        </w:tc>
        <w:tc>
          <w:tcPr>
            <w:tcW w:w="1587" w:type="dxa"/>
            <w:tcBorders>
              <w:top w:val="single" w:sz="4" w:space="0" w:color="D2C9B8"/>
              <w:left w:val="single" w:sz="4" w:space="0" w:color="D2C9B8"/>
              <w:bottom w:val="single" w:sz="4" w:space="0" w:color="D2C9B8"/>
              <w:right w:val="single" w:sz="4" w:space="0" w:color="D2C9B8"/>
            </w:tcBorders>
          </w:tcPr>
          <w:p w14:paraId="0F05960D" w14:textId="77777777" w:rsidR="005A5FCC" w:rsidRDefault="00A21C81">
            <w:pPr>
              <w:spacing w:before="20" w:after="20" w:line="240" w:lineRule="auto"/>
              <w:jc w:val="left"/>
            </w:pPr>
            <w:r>
              <w:rPr>
                <w:rFonts w:cs="EB Garamond"/>
                <w:kern w:val="16"/>
                <w:sz w:val="18"/>
                <w14:ligatures w14:val="standardContextual"/>
              </w:rPr>
              <w:t>1,75</w:t>
            </w:r>
          </w:p>
        </w:tc>
        <w:tc>
          <w:tcPr>
            <w:tcW w:w="1587" w:type="dxa"/>
            <w:tcBorders>
              <w:top w:val="single" w:sz="4" w:space="0" w:color="D2C9B8"/>
              <w:left w:val="single" w:sz="4" w:space="0" w:color="D2C9B8"/>
              <w:bottom w:val="single" w:sz="4" w:space="0" w:color="D2C9B8"/>
              <w:right w:val="single" w:sz="4" w:space="0" w:color="D2C9B8"/>
            </w:tcBorders>
          </w:tcPr>
          <w:p w14:paraId="645A27A5" w14:textId="77777777" w:rsidR="005A5FCC" w:rsidRDefault="00A21C81">
            <w:pPr>
              <w:spacing w:before="20" w:after="20" w:line="240" w:lineRule="auto"/>
              <w:jc w:val="left"/>
            </w:pPr>
            <w:r>
              <w:rPr>
                <w:rFonts w:cs="EB Garamond"/>
                <w:kern w:val="16"/>
                <w:sz w:val="18"/>
                <w14:ligatures w14:val="standardContextual"/>
              </w:rPr>
              <w:t>1,50</w:t>
            </w:r>
          </w:p>
        </w:tc>
        <w:tc>
          <w:tcPr>
            <w:tcW w:w="1587" w:type="dxa"/>
            <w:tcBorders>
              <w:top w:val="single" w:sz="4" w:space="0" w:color="D2C9B8"/>
              <w:left w:val="single" w:sz="4" w:space="0" w:color="D2C9B8"/>
              <w:bottom w:val="single" w:sz="4" w:space="0" w:color="D2C9B8"/>
              <w:right w:val="single" w:sz="4" w:space="0" w:color="D2C9B8"/>
            </w:tcBorders>
          </w:tcPr>
          <w:p w14:paraId="71AFC43F" w14:textId="77777777" w:rsidR="005A5FCC" w:rsidRDefault="00A21C81">
            <w:pPr>
              <w:spacing w:before="20" w:after="20" w:line="240" w:lineRule="auto"/>
              <w:jc w:val="left"/>
            </w:pPr>
            <w:r>
              <w:rPr>
                <w:rFonts w:cs="EB Garamond"/>
                <w:kern w:val="16"/>
                <w:sz w:val="18"/>
                <w14:ligatures w14:val="standardContextual"/>
              </w:rPr>
              <w:t>35/20 = 1,75; 30/20 = 1,50</w:t>
            </w:r>
          </w:p>
        </w:tc>
      </w:tr>
      <w:tr w:rsidR="005A5FCC" w14:paraId="31C4DC71"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09F73201" w14:textId="77777777" w:rsidR="005A5FCC" w:rsidRDefault="00A21C81">
            <w:pPr>
              <w:spacing w:before="20" w:after="20" w:line="240" w:lineRule="auto"/>
              <w:jc w:val="left"/>
            </w:pPr>
            <w:r>
              <w:rPr>
                <w:rFonts w:cs="EB Garamond"/>
                <w:kern w:val="16"/>
                <w:sz w:val="18"/>
                <w14:ligatures w14:val="standardContextual"/>
              </w:rPr>
              <w:t>15 anos</w:t>
            </w:r>
          </w:p>
        </w:tc>
        <w:tc>
          <w:tcPr>
            <w:tcW w:w="1587" w:type="dxa"/>
            <w:tcBorders>
              <w:top w:val="single" w:sz="4" w:space="0" w:color="D2C9B8"/>
              <w:left w:val="single" w:sz="4" w:space="0" w:color="D2C9B8"/>
              <w:bottom w:val="single" w:sz="4" w:space="0" w:color="D2C9B8"/>
              <w:right w:val="single" w:sz="4" w:space="0" w:color="D2C9B8"/>
            </w:tcBorders>
          </w:tcPr>
          <w:p w14:paraId="6B45F440" w14:textId="77777777" w:rsidR="005A5FCC" w:rsidRDefault="00A21C81">
            <w:pPr>
              <w:spacing w:before="20" w:after="20" w:line="240" w:lineRule="auto"/>
              <w:jc w:val="left"/>
            </w:pPr>
            <w:r>
              <w:rPr>
                <w:rFonts w:cs="EB Garamond"/>
                <w:kern w:val="16"/>
                <w:sz w:val="18"/>
                <w14:ligatures w14:val="standardContextual"/>
              </w:rPr>
              <w:t>2,33</w:t>
            </w:r>
          </w:p>
        </w:tc>
        <w:tc>
          <w:tcPr>
            <w:tcW w:w="1587" w:type="dxa"/>
            <w:tcBorders>
              <w:top w:val="single" w:sz="4" w:space="0" w:color="D2C9B8"/>
              <w:left w:val="single" w:sz="4" w:space="0" w:color="D2C9B8"/>
              <w:bottom w:val="single" w:sz="4" w:space="0" w:color="D2C9B8"/>
              <w:right w:val="single" w:sz="4" w:space="0" w:color="D2C9B8"/>
            </w:tcBorders>
          </w:tcPr>
          <w:p w14:paraId="75B83BAD" w14:textId="77777777" w:rsidR="005A5FCC" w:rsidRDefault="00A21C81">
            <w:pPr>
              <w:spacing w:before="20" w:after="20" w:line="240" w:lineRule="auto"/>
              <w:jc w:val="left"/>
            </w:pPr>
            <w:r>
              <w:rPr>
                <w:rFonts w:cs="EB Garamond"/>
                <w:kern w:val="16"/>
                <w:sz w:val="18"/>
                <w14:ligatures w14:val="standardContextual"/>
              </w:rPr>
              <w:t>2,00</w:t>
            </w:r>
          </w:p>
        </w:tc>
        <w:tc>
          <w:tcPr>
            <w:tcW w:w="1587" w:type="dxa"/>
            <w:tcBorders>
              <w:top w:val="single" w:sz="4" w:space="0" w:color="D2C9B8"/>
              <w:left w:val="single" w:sz="4" w:space="0" w:color="D2C9B8"/>
              <w:bottom w:val="single" w:sz="4" w:space="0" w:color="D2C9B8"/>
              <w:right w:val="single" w:sz="4" w:space="0" w:color="D2C9B8"/>
            </w:tcBorders>
          </w:tcPr>
          <w:p w14:paraId="37D64293" w14:textId="77777777" w:rsidR="005A5FCC" w:rsidRDefault="00A21C81">
            <w:pPr>
              <w:spacing w:before="20" w:after="20" w:line="240" w:lineRule="auto"/>
              <w:jc w:val="left"/>
            </w:pPr>
            <w:r>
              <w:rPr>
                <w:rFonts w:cs="EB Garamond"/>
                <w:kern w:val="16"/>
                <w:sz w:val="18"/>
                <w14:ligatures w14:val="standardContextual"/>
              </w:rPr>
              <w:t>35/15 = 2,33; 30/15 = 2,00</w:t>
            </w:r>
          </w:p>
        </w:tc>
      </w:tr>
    </w:tbl>
    <w:p w14:paraId="6849A920" w14:textId="77777777" w:rsidR="005A5FCC" w:rsidRDefault="005A5FCC">
      <w:pPr>
        <w:spacing w:after="80" w:line="240" w:lineRule="auto"/>
      </w:pPr>
    </w:p>
    <w:p w14:paraId="6CEA14CD"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6B2CF70E" w14:textId="77777777" w:rsidR="005A5FCC" w:rsidRDefault="00A21C81">
      <w:r>
        <w:rPr>
          <w:rFonts w:cs="EB Garamond"/>
          <w:kern w:val="16"/>
          <w14:ligatures w14:val="standardContextual"/>
        </w:rPr>
        <w:t xml:space="preserve"> aplicação é simples: multiplica-se o tempo de atividade especial pelo fator correspondente. Assim, 10 anos de atividade especial (25 anos) de um segurado homem convertem-se em 14 anos de tempo comum (10 × 1,40 = 14). O segurado "ganha" 4 anos de tempo de contribuição pelo exercício de atividade em condições nocivas.</w:t>
      </w:r>
    </w:p>
    <w:p w14:paraId="370EB438" w14:textId="77777777" w:rsidR="005A5FCC" w:rsidRDefault="00A21C81">
      <w:pPr>
        <w:spacing w:before="260" w:after="80" w:line="240" w:lineRule="auto"/>
        <w:jc w:val="left"/>
      </w:pPr>
      <w:r>
        <w:rPr>
          <w:rFonts w:cs="EB Garamond"/>
          <w:b/>
          <w:color w:val="3A3128"/>
          <w:kern w:val="16"/>
          <w:sz w:val="25"/>
          <w14:ligatures w14:val="standardContextual"/>
        </w:rPr>
        <w:lastRenderedPageBreak/>
        <w:t>5.11.2 STJ temas 422, 423 e 546 — direito à conversão e fator aplicável</w:t>
      </w:r>
    </w:p>
    <w:p w14:paraId="4A24A3FB"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N</w:t>
      </w:r>
    </w:p>
    <w:p w14:paraId="7AB3B3A4" w14:textId="77777777" w:rsidR="005A5FCC" w:rsidRDefault="00A21C81">
      <w:r>
        <w:rPr>
          <w:rFonts w:cs="EB Garamond"/>
          <w:kern w:val="16"/>
          <w14:ligatures w14:val="standardContextual"/>
        </w:rPr>
        <w:t xml:space="preserve">o julgamento do REsp 1.151.363/MG (Rel. Min. Jorge Mussi), leading case dos </w:t>
      </w:r>
      <w:r>
        <w:rPr>
          <w:rFonts w:cs="EB Garamond"/>
          <w:b/>
          <w:kern w:val="16"/>
          <w14:ligatures w14:val="standardContextual"/>
        </w:rPr>
        <w:t>Temas 422 e 423</w:t>
      </w:r>
      <w:r>
        <w:rPr>
          <w:rFonts w:cs="EB Garamond"/>
          <w:kern w:val="16"/>
          <w14:ligatures w14:val="standardContextual"/>
        </w:rPr>
        <w:t>, o STJ firmou duas proposições essenciais sobre a conversão de tempo especial em comum:</w:t>
      </w:r>
    </w:p>
    <w:p w14:paraId="5AFF8427" w14:textId="77777777" w:rsidR="005A5FCC" w:rsidRDefault="00A21C81">
      <w:pPr>
        <w:spacing w:after="40" w:line="252" w:lineRule="auto"/>
        <w:ind w:left="340" w:hanging="198"/>
      </w:pPr>
      <w:r>
        <w:rPr>
          <w:rFonts w:cs="EB Garamond"/>
          <w:color w:val="3A3128"/>
          <w:kern w:val="16"/>
          <w:sz w:val="20"/>
          <w14:ligatures w14:val="standardContextual"/>
        </w:rPr>
        <w:t xml:space="preserve">1. </w:t>
      </w:r>
      <w:r>
        <w:rPr>
          <w:rFonts w:cs="EB Garamond"/>
          <w:b/>
          <w:kern w:val="16"/>
          <w:sz w:val="20"/>
          <w14:ligatures w14:val="standardContextual"/>
        </w:rPr>
        <w:t>Permanência do direito à conversão (Tema 422):</w:t>
      </w:r>
      <w:r>
        <w:rPr>
          <w:rFonts w:cs="EB Garamond"/>
          <w:kern w:val="16"/>
          <w:sz w:val="20"/>
          <w14:ligatures w14:val="standardContextual"/>
        </w:rPr>
        <w:t xml:space="preserve"> A possibilidade de conversão do tempo especial em comum permanece vigente para qualquer período trabalhado, inclusive após 28/05/1998. A controvérsia sobre a supressão do direito decorreu da MP 1.663-10/1998 (e suas reedições), que tentou extinguir a conversão. Porém, a conversão dessa MP na Lei 9.711/1998 não manteve a supressão do § 5º do art. 57 da Lei 8.213/91, preservando o direito.</w:t>
      </w:r>
    </w:p>
    <w:p w14:paraId="177DA376" w14:textId="77777777" w:rsidR="005A5FCC" w:rsidRDefault="005A5FCC">
      <w:pPr>
        <w:spacing w:after="60" w:line="240" w:lineRule="auto"/>
      </w:pPr>
    </w:p>
    <w:p w14:paraId="49F4B0CC" w14:textId="3DB99B36" w:rsidR="005A5FCC" w:rsidRDefault="00FC0B7C">
      <w:pPr>
        <w:spacing w:after="40" w:line="252" w:lineRule="auto"/>
        <w:ind w:left="340" w:hanging="198"/>
      </w:pPr>
      <w:r>
        <w:rPr>
          <w:rFonts w:cs="EB Garamond"/>
          <w:color w:val="3A3128"/>
          <w:kern w:val="16"/>
          <w:sz w:val="20"/>
          <w14:ligatures w14:val="standardContextual"/>
        </w:rPr>
        <w:t>2</w:t>
      </w:r>
      <w:r w:rsidR="00A21C81">
        <w:rPr>
          <w:rFonts w:cs="EB Garamond"/>
          <w:color w:val="3A3128"/>
          <w:kern w:val="16"/>
          <w:sz w:val="20"/>
          <w14:ligatures w14:val="standardContextual"/>
        </w:rPr>
        <w:t xml:space="preserve">. </w:t>
      </w:r>
      <w:r w:rsidR="00A21C81">
        <w:rPr>
          <w:rFonts w:cs="EB Garamond"/>
          <w:b/>
          <w:kern w:val="16"/>
          <w:sz w:val="20"/>
          <w14:ligatures w14:val="standardContextual"/>
        </w:rPr>
        <w:t>Natureza do fator de conversão (Tema 423):</w:t>
      </w:r>
      <w:r w:rsidR="00A21C81">
        <w:rPr>
          <w:rFonts w:cs="EB Garamond"/>
          <w:kern w:val="16"/>
          <w:sz w:val="20"/>
          <w14:ligatures w14:val="standardContextual"/>
        </w:rPr>
        <w:t xml:space="preserve"> A adoção deste ou daquele fator de conversão (1,40, 1,75 ou 2,33, conforme o caso) não constitui regra previdenciária de direito material, mas mero cálculo matemático: o fator corresponde à proporção entre o tempo total exigido para a aposentadoria integral e o tempo exigido para a aposentadoria especial. É operação aritmética, não escolha discricionária.</w:t>
      </w:r>
    </w:p>
    <w:p w14:paraId="4B2F4E29" w14:textId="77777777" w:rsidR="005A5FCC" w:rsidRDefault="005A5FCC">
      <w:pPr>
        <w:spacing w:after="60" w:line="240" w:lineRule="auto"/>
      </w:pPr>
    </w:p>
    <w:p w14:paraId="70D662BE"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6B9709C8" w14:textId="77777777" w:rsidR="005A5FCC" w:rsidRDefault="00A21C81">
      <w:r>
        <w:rPr>
          <w:rFonts w:cs="EB Garamond"/>
          <w:kern w:val="16"/>
          <w14:ligatures w14:val="standardContextual"/>
        </w:rPr>
        <w:t xml:space="preserve"> esses dois enunciados soma-se uma terceira diretriz, fixada em julgamento autônomo e frequentemente confundida com o Tema 423: o </w:t>
      </w:r>
      <w:r>
        <w:rPr>
          <w:rFonts w:cs="EB Garamond"/>
          <w:b/>
          <w:kern w:val="16"/>
          <w14:ligatures w14:val="standardContextual"/>
        </w:rPr>
        <w:t>Tema 546/STJ</w:t>
      </w:r>
      <w:r>
        <w:rPr>
          <w:rFonts w:cs="EB Garamond"/>
          <w:kern w:val="16"/>
          <w14:ligatures w14:val="standardContextual"/>
        </w:rPr>
        <w:t xml:space="preserve"> (REsp 1.310.034/PR), segundo o qual "a lei vigente por ocasião da aposentadoria é a aplicável ao direito à conversão entre tempos de serviço especial e comum, independentemente do regime jurídico à época da prestação do serviço". É essa tese — e não a do Tema 423 — que autoriza converter períodos especiais remotos (décadas de 1970/1980) pelos fatores em vigor na data da aposentadoria (1,40/1,20 para 25 anos). A distinção é relevante na peça processual: o advogado deve invocar o Tema 422 para a permanência do direito após 1998, o Tema 423 para a natureza matemática do fator e o Tema 546 para a definição do fator pela legislação vigente na data da concessão.</w:t>
      </w:r>
    </w:p>
    <w:p w14:paraId="1C5F3A1D" w14:textId="77777777" w:rsidR="005A5FCC" w:rsidRDefault="00A21C81">
      <w:pPr>
        <w:spacing w:before="260" w:after="80" w:line="240" w:lineRule="auto"/>
        <w:jc w:val="left"/>
      </w:pPr>
      <w:r>
        <w:rPr>
          <w:rFonts w:cs="EB Garamond"/>
          <w:b/>
          <w:color w:val="3A3128"/>
          <w:kern w:val="16"/>
          <w:sz w:val="25"/>
          <w14:ligatures w14:val="standardContextual"/>
        </w:rPr>
        <w:t>5.11.3 Vedação pela EC 103/2019 — art. 25, § 2º</w:t>
      </w:r>
    </w:p>
    <w:p w14:paraId="0C453923"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O</w:t>
      </w:r>
    </w:p>
    <w:p w14:paraId="56ADBBF2" w14:textId="77777777" w:rsidR="005A5FCC" w:rsidRDefault="00A21C81">
      <w:r>
        <w:rPr>
          <w:rFonts w:cs="EB Garamond"/>
          <w:kern w:val="16"/>
          <w14:ligatures w14:val="standardContextual"/>
        </w:rPr>
        <w:t xml:space="preserve"> art. 25, § 2º, da EC 103/2019 dispõe que será reconhecida a conversão de tempo especial em comum apenas para o trabalho exercido até a data de entrada em vigor da emenda (13/11/2019). Para períodos trabalhados em condições especiais após essa data, a conversão está vedada.</w:t>
      </w:r>
    </w:p>
    <w:p w14:paraId="621010A6" w14:textId="77777777" w:rsidR="005A5FCC" w:rsidRDefault="00A21C81">
      <w:pPr>
        <w:ind w:firstLine="238"/>
      </w:pPr>
      <w:r>
        <w:rPr>
          <w:rFonts w:cs="EB Garamond"/>
          <w:kern w:val="16"/>
          <w14:ligatures w14:val="standardContextual"/>
        </w:rPr>
        <w:t>A vedação significa que o segurado que trabalha em condições nocivas após 13/11/2019 somente poderá utilizar esse tempo para fins de aposentadoria especial (observado o tempo de exposição exigido), mas não poderá converter o período em tempo comum para aposentadoria programada. A restrição é significativa, especialmente para segurados que não completarão 25 anos de atividade especial e que, sob o regime anterior, poderiam converter os anos especiais trabalhados em tempo comum com acréscimo.</w:t>
      </w:r>
    </w:p>
    <w:tbl>
      <w:tblPr>
        <w:tblW w:w="5000" w:type="pct"/>
        <w:jc w:val="center"/>
        <w:tblLayout w:type="fixed"/>
        <w:tblLook w:val="04A0" w:firstRow="1" w:lastRow="0" w:firstColumn="1" w:lastColumn="0" w:noHBand="0" w:noVBand="1"/>
      </w:tblPr>
      <w:tblGrid>
        <w:gridCol w:w="6311"/>
      </w:tblGrid>
      <w:tr w:rsidR="005A5FCC" w14:paraId="0DDC1E75"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1D5B9310" w14:textId="77777777" w:rsidR="005A5FCC" w:rsidRDefault="00A21C81">
            <w:pPr>
              <w:spacing w:after="60" w:line="240" w:lineRule="auto"/>
              <w:jc w:val="left"/>
            </w:pPr>
            <w:r>
              <w:rPr>
                <w:rFonts w:ascii="Noto Sans" w:hAnsi="Noto Sans" w:cs="Noto Sans"/>
                <w:b/>
                <w:caps/>
                <w:color w:val="4D6F8A"/>
                <w:kern w:val="16"/>
                <w:sz w:val="16"/>
                <w14:ligatures w14:val="standardContextual"/>
              </w:rPr>
              <w:t>JURISPRUDÊNCIA EM DESTAQUE</w:t>
            </w:r>
          </w:p>
          <w:p w14:paraId="5D258FB9" w14:textId="77777777" w:rsidR="005A5FCC" w:rsidRDefault="00A21C81">
            <w:pPr>
              <w:spacing w:after="60" w:line="247" w:lineRule="auto"/>
            </w:pPr>
            <w:r>
              <w:rPr>
                <w:rFonts w:cs="EB Garamond"/>
                <w:b/>
                <w:kern w:val="16"/>
                <w:sz w:val="19"/>
                <w14:ligatures w14:val="standardContextual"/>
              </w:rPr>
              <w:t>ADI 6.309 — Constitucionalidade da vedação à conversão (confirmada)</w:t>
            </w:r>
          </w:p>
          <w:p w14:paraId="05078DEB" w14:textId="77777777" w:rsidR="005A5FCC" w:rsidRDefault="00A21C81">
            <w:pPr>
              <w:spacing w:after="60" w:line="247" w:lineRule="auto"/>
            </w:pPr>
            <w:r>
              <w:rPr>
                <w:rFonts w:cs="EB Garamond"/>
                <w:kern w:val="16"/>
                <w:sz w:val="19"/>
                <w14:ligatures w14:val="standardContextual"/>
              </w:rPr>
              <w:t xml:space="preserve">A CNTI (Confederação Nacional dos Trabalhadores na Indústria) ajuizou a ADI 6.309 questionando, entre outros pontos, a constitucionalidade da vedação à conversão de tempo especial em comum pelo art. 25, § 2º, da EC 103/2019. O argumento central era que a conversão constitui compensação pelo exercício de atividade nociva à saúde, tendo natureza indenizatória — sua supressão violaria o princípio da proteção ao trabalhador e a vedação ao retrocesso social. No julgamento de 03/06/2026 (ADI 6.309, Rel. Orig. Min. Luís Roberto Barroso, red. P/ acórdão Min. André Mendonça), o Tribunal Pleno do STF, por 6 votos a 5, </w:t>
            </w:r>
            <w:r>
              <w:rPr>
                <w:rFonts w:cs="EB Garamond"/>
                <w:b/>
                <w:kern w:val="16"/>
                <w:sz w:val="19"/>
                <w14:ligatures w14:val="standardContextual"/>
              </w:rPr>
              <w:t>confirmou a constitucionalidade da vedação à conversão</w:t>
            </w:r>
            <w:r>
              <w:rPr>
                <w:rFonts w:cs="EB Garamond"/>
                <w:kern w:val="16"/>
                <w:sz w:val="19"/>
                <w14:ligatures w14:val="standardContextual"/>
              </w:rPr>
              <w:t xml:space="preserve"> para períodos posteriores a 13/11/2019, não acolhendo, nesse ponto, o argumento de lacuna de proteção. No mesmo julgamento, contudo, o Tribunal </w:t>
            </w:r>
            <w:r>
              <w:rPr>
                <w:rFonts w:cs="EB Garamond"/>
                <w:b/>
                <w:kern w:val="16"/>
                <w:sz w:val="19"/>
                <w14:ligatures w14:val="standardContextual"/>
              </w:rPr>
              <w:t>declarou inconstitucional a exigência de idade mínima</w:t>
            </w:r>
            <w:r>
              <w:rPr>
                <w:rFonts w:cs="EB Garamond"/>
                <w:kern w:val="16"/>
                <w:sz w:val="19"/>
                <w14:ligatures w14:val="standardContextual"/>
              </w:rPr>
              <w:t xml:space="preserve"> da aposentadoria especial, mantendo a nova forma de cálculo. </w:t>
            </w:r>
            <w:commentRangeStart w:id="13"/>
            <w:r>
              <w:rPr>
                <w:rFonts w:cs="EB Garamond"/>
                <w:kern w:val="16"/>
                <w:sz w:val="19"/>
                <w14:ligatures w14:val="standardContextual"/>
              </w:rPr>
              <w:t>A eventual modulação de efeitos será definida na publicação do acórdão</w:t>
            </w:r>
            <w:commentRangeEnd w:id="13"/>
            <w:r w:rsidR="00F959B3">
              <w:rPr>
                <w:rStyle w:val="Refdecomentrio"/>
                <w:rFonts w:cs="EB Garamond"/>
                <w:kern w:val="16"/>
                <w:sz w:val="19"/>
                <w:szCs w:val="22"/>
                <w14:ligatures w14:val="standardContextual"/>
              </w:rPr>
              <w:commentReference w:id="13"/>
            </w:r>
            <w:r>
              <w:rPr>
                <w:rFonts w:cs="EB Garamond"/>
                <w:kern w:val="16"/>
                <w:sz w:val="19"/>
                <w14:ligatures w14:val="standardContextual"/>
              </w:rPr>
              <w:t>. Conclusão prática: a vedação à conversão pós-13/11/2019 permanece vigente.</w:t>
            </w:r>
          </w:p>
        </w:tc>
      </w:tr>
    </w:tbl>
    <w:p w14:paraId="508916D1" w14:textId="77777777" w:rsidR="005A5FCC" w:rsidRDefault="005A5FCC">
      <w:pPr>
        <w:spacing w:after="80" w:line="240" w:lineRule="auto"/>
      </w:pPr>
    </w:p>
    <w:p w14:paraId="363D1F20" w14:textId="77777777" w:rsidR="005A5FCC" w:rsidRDefault="00A21C81">
      <w:pPr>
        <w:spacing w:before="260" w:after="80" w:line="240" w:lineRule="auto"/>
        <w:jc w:val="left"/>
      </w:pPr>
      <w:r>
        <w:rPr>
          <w:rFonts w:cs="EB Garamond"/>
          <w:b/>
          <w:color w:val="3A3128"/>
          <w:kern w:val="16"/>
          <w:sz w:val="25"/>
          <w14:ligatures w14:val="standardContextual"/>
        </w:rPr>
        <w:t>5.11.4 Direito adquirido e marco temporal</w:t>
      </w:r>
    </w:p>
    <w:p w14:paraId="61DFE83D"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65DD4F4A" w14:textId="77777777" w:rsidR="005A5FCC" w:rsidRDefault="00A21C81">
      <w:r>
        <w:rPr>
          <w:rFonts w:cs="EB Garamond"/>
          <w:kern w:val="16"/>
          <w14:ligatures w14:val="standardContextual"/>
        </w:rPr>
        <w:t xml:space="preserve"> questão do marco temporal é crucial: o segurado que exerceu atividade especial até 13/11/2019 mantém o direito de converter esse período específico em tempo comum, mesmo que requeira a aposentadoria anos depois. </w:t>
      </w:r>
      <w:r>
        <w:rPr>
          <w:rFonts w:cs="EB Garamond"/>
          <w:kern w:val="16"/>
          <w14:ligatures w14:val="standardContextual"/>
        </w:rPr>
        <w:lastRenderedPageBreak/>
        <w:t>A vedação atinge apenas períodos trabalhados após a publicação da EC 103/2019.</w:t>
      </w:r>
    </w:p>
    <w:p w14:paraId="7637AFA2" w14:textId="77777777" w:rsidR="005A5FCC" w:rsidRDefault="00A21C81">
      <w:pPr>
        <w:ind w:firstLine="238"/>
      </w:pPr>
      <w:r>
        <w:rPr>
          <w:rFonts w:cs="EB Garamond"/>
          <w:kern w:val="16"/>
          <w14:ligatures w14:val="standardContextual"/>
        </w:rPr>
        <w:t>Um segurado que trabalhou em condições especiais de 2000 a 2025, por exemplo, terá duas "parcelas" de tempo especial:</w:t>
      </w:r>
    </w:p>
    <w:p w14:paraId="5159CD51"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De 2000 a 13/11/2019</w:t>
      </w:r>
      <w:r>
        <w:rPr>
          <w:rFonts w:cs="EB Garamond"/>
          <w:kern w:val="16"/>
          <w:sz w:val="20"/>
          <w14:ligatures w14:val="standardContextual"/>
        </w:rPr>
        <w:t xml:space="preserve"> (19 anos e ~10 meses): conversível em tempo comum (× 1,40 para homem = ~27 anos e 9 meses);</w:t>
      </w:r>
    </w:p>
    <w:p w14:paraId="7D2672D1"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De 14/11/2019 a 2025</w:t>
      </w:r>
      <w:r>
        <w:rPr>
          <w:rFonts w:cs="EB Garamond"/>
          <w:kern w:val="16"/>
          <w:sz w:val="20"/>
          <w14:ligatures w14:val="standardContextual"/>
        </w:rPr>
        <w:t xml:space="preserve"> (~5 anos e 1 mês): não conversível, aproveitável apenas para aposentadoria especial.</w:t>
      </w:r>
    </w:p>
    <w:p w14:paraId="470FA653" w14:textId="77777777" w:rsidR="005A5FCC" w:rsidRDefault="005A5FCC">
      <w:pPr>
        <w:spacing w:after="60" w:line="240" w:lineRule="auto"/>
      </w:pPr>
    </w:p>
    <w:tbl>
      <w:tblPr>
        <w:tblW w:w="5000" w:type="pct"/>
        <w:jc w:val="center"/>
        <w:tblLayout w:type="fixed"/>
        <w:tblLook w:val="04A0" w:firstRow="1" w:lastRow="0" w:firstColumn="1" w:lastColumn="0" w:noHBand="0" w:noVBand="1"/>
      </w:tblPr>
      <w:tblGrid>
        <w:gridCol w:w="6311"/>
      </w:tblGrid>
      <w:tr w:rsidR="005A5FCC" w14:paraId="1CA95C44"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3E6C954B"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66A84199" w14:textId="77777777" w:rsidR="005A5FCC" w:rsidRDefault="00A21C81">
            <w:pPr>
              <w:spacing w:after="60" w:line="247" w:lineRule="auto"/>
            </w:pPr>
            <w:r>
              <w:rPr>
                <w:rFonts w:cs="EB Garamond"/>
                <w:b/>
                <w:kern w:val="16"/>
                <w:sz w:val="19"/>
                <w14:ligatures w14:val="standardContextual"/>
              </w:rPr>
              <w:t>Estratégia para período especial misto (antes/depois da EC 103)</w:t>
            </w:r>
          </w:p>
          <w:p w14:paraId="5FE9853D" w14:textId="77777777" w:rsidR="005A5FCC" w:rsidRDefault="00A21C81">
            <w:pPr>
              <w:spacing w:after="60" w:line="247" w:lineRule="auto"/>
            </w:pPr>
            <w:r>
              <w:rPr>
                <w:rFonts w:cs="EB Garamond"/>
                <w:kern w:val="16"/>
                <w:sz w:val="19"/>
                <w14:ligatures w14:val="standardContextual"/>
              </w:rPr>
              <w:t>Para segurados com período especial que transpassa 13/11/2019, a melhor estratégia é: (1) converter o período anterior à EC em tempo comum (fator 1,40/1,20); (2) avaliar se o período posterior, somado ao anterior, completará os 25 anos de exposição para aposentadoria especial (afastada a exigência de idade mínima pela ADI 6.309); (3) se não completar, usar o tempo convertido para aposentadoria programada pela regra de transição mais favorável. Essa análise deve considerar a idade atual do segurado e o tempo faltante em cada cenário.</w:t>
            </w:r>
          </w:p>
        </w:tc>
      </w:tr>
    </w:tbl>
    <w:p w14:paraId="28454DC8" w14:textId="77777777" w:rsidR="005A5FCC" w:rsidRDefault="005A5FCC">
      <w:pPr>
        <w:spacing w:after="80" w:line="240" w:lineRule="auto"/>
      </w:pPr>
    </w:p>
    <w:p w14:paraId="05C5CA86" w14:textId="77777777" w:rsidR="005A5FCC" w:rsidRDefault="00A21C81">
      <w:pPr>
        <w:spacing w:before="260" w:after="80" w:line="240" w:lineRule="auto"/>
        <w:jc w:val="left"/>
      </w:pPr>
      <w:r>
        <w:rPr>
          <w:rFonts w:cs="EB Garamond"/>
          <w:b/>
          <w:color w:val="3A3128"/>
          <w:kern w:val="16"/>
          <w:sz w:val="25"/>
          <w14:ligatures w14:val="standardContextual"/>
        </w:rPr>
        <w:t>5.11.5 Exemplos numéricos de conversão</w:t>
      </w:r>
    </w:p>
    <w:p w14:paraId="0FF73A7E"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E</w:t>
      </w:r>
    </w:p>
    <w:p w14:paraId="1A8BB603" w14:textId="77777777" w:rsidR="005A5FCC" w:rsidRDefault="00A21C81">
      <w:r>
        <w:rPr>
          <w:rFonts w:cs="EB Garamond"/>
          <w:b/>
          <w:kern w:val="16"/>
          <w14:ligatures w14:val="standardContextual"/>
        </w:rPr>
        <w:t>xemplo 1 — Conversão simples (período integral anterior à EC 103):</w:t>
      </w:r>
    </w:p>
    <w:p w14:paraId="7CD25A71" w14:textId="77777777" w:rsidR="005A5FCC" w:rsidRDefault="00A21C81">
      <w:pPr>
        <w:ind w:firstLine="238"/>
      </w:pPr>
      <w:r>
        <w:rPr>
          <w:rFonts w:cs="EB Garamond"/>
          <w:kern w:val="16"/>
          <w14:ligatures w14:val="standardContextual"/>
        </w:rPr>
        <w:t>Carlos trabalhou como eletricista (atividade especial de 25 anos) em indústria de 1990 a 2015 (25 anos). Em vez de requerer aposentadoria especial (cuja exigência de idade mínima introduzida pela EC 103/2019 foi, posteriormente, declarada inconstitucional pelo STF na ADI 6.309, j. 03/06/2026), Carlos pode converter todo o período:</w:t>
      </w:r>
    </w:p>
    <w:p w14:paraId="2CE49A96"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25 anos × 1,40 = 35 anos de tempo comum</w:t>
      </w:r>
    </w:p>
    <w:p w14:paraId="590B37F2"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Com 35 anos de tempo comum, Carlos pode se aposentar pela regra de transição do pedágio 50% (se faltavam menos de 2 anos em 13/11/2019) ou pela regra de pontos.</w:t>
      </w:r>
    </w:p>
    <w:p w14:paraId="1E6E1562" w14:textId="77777777" w:rsidR="005A5FCC" w:rsidRDefault="005A5FCC">
      <w:pPr>
        <w:spacing w:after="60" w:line="240" w:lineRule="auto"/>
      </w:pPr>
    </w:p>
    <w:p w14:paraId="00371B9C"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E</w:t>
      </w:r>
    </w:p>
    <w:p w14:paraId="5D2ADC54" w14:textId="77777777" w:rsidR="005A5FCC" w:rsidRDefault="00A21C81">
      <w:r>
        <w:rPr>
          <w:rFonts w:cs="EB Garamond"/>
          <w:b/>
          <w:kern w:val="16"/>
          <w14:ligatures w14:val="standardContextual"/>
        </w:rPr>
        <w:t>xemplo 2 — Conversão parcial (período misto):</w:t>
      </w:r>
    </w:p>
    <w:p w14:paraId="5053663F" w14:textId="77777777" w:rsidR="005A5FCC" w:rsidRDefault="00A21C81">
      <w:pPr>
        <w:ind w:firstLine="238"/>
      </w:pPr>
      <w:r>
        <w:rPr>
          <w:rFonts w:cs="EB Garamond"/>
          <w:kern w:val="16"/>
          <w14:ligatures w14:val="standardContextual"/>
        </w:rPr>
        <w:t>Ana trabalhou como enfermeira em UTI hospitalar (atividade especial de 25 anos) de 2005 a 2026 (21 anos). Ela também tem 10 anos de atividade administrativa (não especial) anterior:</w:t>
      </w:r>
    </w:p>
    <w:p w14:paraId="2A865E0C"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Período especial até 13/11/2019: 14 anos e 10 meses (2005 a 13/11/2019)</w:t>
      </w:r>
    </w:p>
    <w:p w14:paraId="7FD2C00E"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Período especial após 13/11/2019: 6 anos e 2 meses (14/11/2019 a 2026), não conversível</w:t>
      </w:r>
    </w:p>
    <w:p w14:paraId="531EE726"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Conversão do período anterior: 14 anos e 10 meses × 1,20 = 17 anos e 10 meses</w:t>
      </w:r>
    </w:p>
    <w:p w14:paraId="639685A1"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Tempo comum administrativo: 10 anos</w:t>
      </w:r>
    </w:p>
    <w:p w14:paraId="20914FC0"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Total para aposentadoria programada: 27 anos e 10 meses</w:t>
      </w:r>
    </w:p>
    <w:p w14:paraId="01AD3F90"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 xml:space="preserve">Período especial total (sem conversão): 21 anos, insuficiente para aposentadoria especial (exige 25 anos </w:t>
      </w:r>
      <w:commentRangeStart w:id="14"/>
      <w:r>
        <w:rPr>
          <w:rFonts w:cs="EB Garamond"/>
          <w:kern w:val="16"/>
          <w:sz w:val="20"/>
          <w14:ligatures w14:val="standardContextual"/>
        </w:rPr>
        <w:t>+ idade</w:t>
      </w:r>
      <w:commentRangeEnd w:id="14"/>
      <w:r w:rsidR="00F959B3">
        <w:rPr>
          <w:rStyle w:val="Refdecomentrio"/>
          <w:rFonts w:cs="EB Garamond"/>
          <w:kern w:val="16"/>
          <w:sz w:val="20"/>
          <w:szCs w:val="22"/>
          <w14:ligatures w14:val="standardContextual"/>
        </w:rPr>
        <w:commentReference w:id="14"/>
      </w:r>
      <w:r>
        <w:rPr>
          <w:rFonts w:cs="EB Garamond"/>
          <w:kern w:val="16"/>
          <w:sz w:val="20"/>
          <w14:ligatures w14:val="standardContextual"/>
        </w:rPr>
        <w:t>)</w:t>
      </w:r>
    </w:p>
    <w:p w14:paraId="6E6C1D60" w14:textId="77777777" w:rsidR="005A5FCC" w:rsidRDefault="005A5FCC">
      <w:pPr>
        <w:spacing w:after="60" w:line="240" w:lineRule="auto"/>
      </w:pPr>
    </w:p>
    <w:p w14:paraId="44AFD035"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N</w:t>
      </w:r>
    </w:p>
    <w:p w14:paraId="27D3540D" w14:textId="77777777" w:rsidR="005A5FCC" w:rsidRDefault="00A21C81">
      <w:r>
        <w:rPr>
          <w:rFonts w:cs="EB Garamond"/>
          <w:kern w:val="16"/>
          <w14:ligatures w14:val="standardContextual"/>
        </w:rPr>
        <w:t>este cenário, Ana não atinge nem a aposentadoria especial (faltam 4 anos) nem a aposentadoria programada (faltam 2 anos e 2 meses de tempo, mais idade de 62 anos). Porém, a conversão lhe acresceu 3 anos adicionais decorrentes do fator de conversão (17a10m - 14a10m = 3 anos), aproximando-a da aposentadoria — acréscimo que não constitui tempo fictício, pois corresponde a exercício efetivo em condições nocivas (seção 5.10.3).</w:t>
      </w:r>
    </w:p>
    <w:p w14:paraId="714C458B" w14:textId="77777777" w:rsidR="005A5FCC" w:rsidRDefault="00A21C81">
      <w:pPr>
        <w:ind w:firstLine="238"/>
      </w:pPr>
      <w:r>
        <w:rPr>
          <w:rFonts w:cs="EB Garamond"/>
          <w:b/>
          <w:kern w:val="16"/>
          <w14:ligatures w14:val="standardContextual"/>
        </w:rPr>
        <w:t>Exemplo 3 — Impacto financeiro da conversão na pontuação:</w:t>
      </w:r>
    </w:p>
    <w:p w14:paraId="1614E900" w14:textId="77777777" w:rsidR="005A5FCC" w:rsidRDefault="00A21C81">
      <w:pPr>
        <w:ind w:firstLine="238"/>
      </w:pPr>
      <w:r>
        <w:rPr>
          <w:rFonts w:cs="EB Garamond"/>
          <w:kern w:val="16"/>
          <w14:ligatures w14:val="standardContextual"/>
        </w:rPr>
        <w:t>Roberto, 58 anos em 2026, tem 32 anos de tempo comum urbano. Se reconhecidos 5 anos de atividade especial (exposição a ruído) no início da carreira:</w:t>
      </w:r>
    </w:p>
    <w:p w14:paraId="3B3B5016"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Sem conversão: 32 anos de TC + 58 de idade = 90 pontos. A regra de pontos exige 103 pontos em 2026 (art. 15 da EC 103/2019: o patamar era de 96 pontos em 2019 e acresce 1 ponto a cada ano, alcançando 103 para homens e 93 para mulheres em 2026, até o teto de 105 pontos para homens, fixado em 2028). Faltam, portanto, 13 pontos.</w:t>
      </w:r>
    </w:p>
    <w:p w14:paraId="6D7C2079"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 xml:space="preserve">Com conversão: 5 anos × 1,40 = 7 anos convertidos. TC total = 32 - 5 + 7 = 34 anos. Pontos = 34 + 58 = 92 — ainda insuficiente em 2026, mas faltam apenas 11. O efeito da conversão é um acréscimo único de 2 pontos de TC (de 90 para 92), e não uma alteração na velocidade de acumulação: tanto com quanto sem conversão, cada ano de trabalho adiante soma 2 pontos (1 de idade e 1 de tempo de contribuição). O ganho está em antecipar o requisito — Roberto parte de um </w:t>
      </w:r>
      <w:r>
        <w:rPr>
          <w:rFonts w:cs="EB Garamond"/>
          <w:kern w:val="16"/>
          <w:sz w:val="20"/>
          <w14:ligatures w14:val="standardContextual"/>
        </w:rPr>
        <w:lastRenderedPageBreak/>
        <w:t>patamar mais alto e, mantendo-se em atividade, cumpre os pontos exigidos um ano antes do que cumpriria sem a conversão.</w:t>
      </w:r>
    </w:p>
    <w:p w14:paraId="4DF6C2E8" w14:textId="77777777" w:rsidR="005A5FCC" w:rsidRDefault="005A5FCC">
      <w:pPr>
        <w:spacing w:after="60" w:line="240" w:lineRule="auto"/>
      </w:pPr>
    </w:p>
    <w:tbl>
      <w:tblPr>
        <w:tblW w:w="5000" w:type="pct"/>
        <w:jc w:val="center"/>
        <w:tblLayout w:type="fixed"/>
        <w:tblLook w:val="04A0" w:firstRow="1" w:lastRow="0" w:firstColumn="1" w:lastColumn="0" w:noHBand="0" w:noVBand="1"/>
      </w:tblPr>
      <w:tblGrid>
        <w:gridCol w:w="6311"/>
      </w:tblGrid>
      <w:tr w:rsidR="005A5FCC" w14:paraId="3508C274"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0EA02F5A"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324546D8" w14:textId="77777777" w:rsidR="005A5FCC" w:rsidRDefault="00A21C81">
            <w:pPr>
              <w:spacing w:after="60" w:line="247" w:lineRule="auto"/>
            </w:pPr>
            <w:r>
              <w:rPr>
                <w:rFonts w:cs="EB Garamond"/>
                <w:b/>
                <w:kern w:val="16"/>
                <w:sz w:val="19"/>
                <w14:ligatures w14:val="standardContextual"/>
              </w:rPr>
              <w:t>Tabela de referência rápida, ganho de tempo pela conversão</w:t>
            </w:r>
          </w:p>
          <w:tbl>
            <w:tblPr>
              <w:tblW w:w="5000" w:type="pct"/>
              <w:jc w:val="center"/>
              <w:tblLook w:val="04A0" w:firstRow="1" w:lastRow="0" w:firstColumn="1" w:lastColumn="0" w:noHBand="0" w:noVBand="1"/>
            </w:tblPr>
            <w:tblGrid>
              <w:gridCol w:w="1181"/>
              <w:gridCol w:w="1180"/>
              <w:gridCol w:w="1180"/>
              <w:gridCol w:w="1180"/>
              <w:gridCol w:w="1180"/>
            </w:tblGrid>
            <w:tr w:rsidR="005A5FCC" w14:paraId="5FFF1F1C" w14:textId="77777777">
              <w:trPr>
                <w:tblHeader/>
                <w:jc w:val="center"/>
              </w:trPr>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26BB9A52" w14:textId="77777777" w:rsidR="005A5FCC" w:rsidRDefault="00A21C81">
                  <w:pPr>
                    <w:spacing w:before="30" w:after="30" w:line="240" w:lineRule="auto"/>
                    <w:jc w:val="center"/>
                  </w:pPr>
                  <w:r>
                    <w:rPr>
                      <w:rFonts w:cs="EB Garamond"/>
                      <w:b/>
                      <w:color w:val="2F2923"/>
                      <w:kern w:val="16"/>
                      <w:sz w:val="16"/>
                      <w14:ligatures w14:val="standardContextual"/>
                    </w:rPr>
                    <w:t>Tempo especial (25 anos)</w:t>
                  </w:r>
                </w:p>
              </w:tc>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061C0B11" w14:textId="77777777" w:rsidR="005A5FCC" w:rsidRDefault="00A21C81">
                  <w:pPr>
                    <w:spacing w:before="30" w:after="30" w:line="240" w:lineRule="auto"/>
                    <w:jc w:val="center"/>
                  </w:pPr>
                  <w:r>
                    <w:rPr>
                      <w:rFonts w:cs="EB Garamond"/>
                      <w:b/>
                      <w:color w:val="2F2923"/>
                      <w:kern w:val="16"/>
                      <w:sz w:val="16"/>
                      <w14:ligatures w14:val="standardContextual"/>
                    </w:rPr>
                    <w:t>Conversão Homem (×1,40)</w:t>
                  </w:r>
                </w:p>
              </w:tc>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7CE14564" w14:textId="77777777" w:rsidR="005A5FCC" w:rsidRDefault="00A21C81">
                  <w:pPr>
                    <w:spacing w:before="30" w:after="30" w:line="240" w:lineRule="auto"/>
                    <w:jc w:val="center"/>
                  </w:pPr>
                  <w:r>
                    <w:rPr>
                      <w:rFonts w:cs="EB Garamond"/>
                      <w:b/>
                      <w:color w:val="2F2923"/>
                      <w:kern w:val="16"/>
                      <w:sz w:val="16"/>
                      <w14:ligatures w14:val="standardContextual"/>
                    </w:rPr>
                    <w:t>Ganho</w:t>
                  </w:r>
                </w:p>
              </w:tc>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693012B3" w14:textId="77777777" w:rsidR="005A5FCC" w:rsidRDefault="00A21C81">
                  <w:pPr>
                    <w:spacing w:before="30" w:after="30" w:line="240" w:lineRule="auto"/>
                    <w:jc w:val="center"/>
                  </w:pPr>
                  <w:r>
                    <w:rPr>
                      <w:rFonts w:cs="EB Garamond"/>
                      <w:b/>
                      <w:color w:val="2F2923"/>
                      <w:kern w:val="16"/>
                      <w:sz w:val="16"/>
                      <w14:ligatures w14:val="standardContextual"/>
                    </w:rPr>
                    <w:t>Conversão Mulher (×1,20)</w:t>
                  </w:r>
                </w:p>
              </w:tc>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744A4327" w14:textId="77777777" w:rsidR="005A5FCC" w:rsidRDefault="00A21C81">
                  <w:pPr>
                    <w:spacing w:before="30" w:after="30" w:line="240" w:lineRule="auto"/>
                    <w:jc w:val="center"/>
                  </w:pPr>
                  <w:r>
                    <w:rPr>
                      <w:rFonts w:cs="EB Garamond"/>
                      <w:b/>
                      <w:color w:val="2F2923"/>
                      <w:kern w:val="16"/>
                      <w:sz w:val="16"/>
                      <w14:ligatures w14:val="standardContextual"/>
                    </w:rPr>
                    <w:t>Ganho</w:t>
                  </w:r>
                </w:p>
              </w:tc>
            </w:tr>
            <w:tr w:rsidR="005A5FCC" w14:paraId="6ECC7CD1"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59595D65" w14:textId="77777777" w:rsidR="005A5FCC" w:rsidRDefault="00A21C81">
                  <w:pPr>
                    <w:spacing w:before="20" w:after="20" w:line="240" w:lineRule="auto"/>
                    <w:jc w:val="left"/>
                  </w:pPr>
                  <w:r>
                    <w:rPr>
                      <w:rFonts w:cs="EB Garamond"/>
                      <w:kern w:val="16"/>
                      <w:sz w:val="16"/>
                      <w14:ligatures w14:val="standardContextual"/>
                    </w:rPr>
                    <w:t>5 anos</w:t>
                  </w:r>
                </w:p>
              </w:tc>
              <w:tc>
                <w:tcPr>
                  <w:tcW w:w="1270" w:type="dxa"/>
                  <w:tcBorders>
                    <w:top w:val="single" w:sz="4" w:space="0" w:color="D2C9B8"/>
                    <w:left w:val="single" w:sz="4" w:space="0" w:color="D2C9B8"/>
                    <w:bottom w:val="single" w:sz="4" w:space="0" w:color="D2C9B8"/>
                    <w:right w:val="single" w:sz="4" w:space="0" w:color="D2C9B8"/>
                  </w:tcBorders>
                </w:tcPr>
                <w:p w14:paraId="5460DEEE" w14:textId="77777777" w:rsidR="005A5FCC" w:rsidRDefault="00A21C81">
                  <w:pPr>
                    <w:spacing w:before="20" w:after="20" w:line="240" w:lineRule="auto"/>
                    <w:jc w:val="left"/>
                  </w:pPr>
                  <w:r>
                    <w:rPr>
                      <w:rFonts w:cs="EB Garamond"/>
                      <w:kern w:val="16"/>
                      <w:sz w:val="16"/>
                      <w14:ligatures w14:val="standardContextual"/>
                    </w:rPr>
                    <w:t>7 anos</w:t>
                  </w:r>
                </w:p>
              </w:tc>
              <w:tc>
                <w:tcPr>
                  <w:tcW w:w="1270" w:type="dxa"/>
                  <w:tcBorders>
                    <w:top w:val="single" w:sz="4" w:space="0" w:color="D2C9B8"/>
                    <w:left w:val="single" w:sz="4" w:space="0" w:color="D2C9B8"/>
                    <w:bottom w:val="single" w:sz="4" w:space="0" w:color="D2C9B8"/>
                    <w:right w:val="single" w:sz="4" w:space="0" w:color="D2C9B8"/>
                  </w:tcBorders>
                </w:tcPr>
                <w:p w14:paraId="2355383D" w14:textId="77777777" w:rsidR="005A5FCC" w:rsidRDefault="00A21C81">
                  <w:pPr>
                    <w:spacing w:before="20" w:after="20" w:line="240" w:lineRule="auto"/>
                    <w:jc w:val="left"/>
                  </w:pPr>
                  <w:r>
                    <w:rPr>
                      <w:rFonts w:cs="EB Garamond"/>
                      <w:kern w:val="16"/>
                      <w:sz w:val="16"/>
                      <w14:ligatures w14:val="standardContextual"/>
                    </w:rPr>
                    <w:t>+2 anos</w:t>
                  </w:r>
                </w:p>
              </w:tc>
              <w:tc>
                <w:tcPr>
                  <w:tcW w:w="1270" w:type="dxa"/>
                  <w:tcBorders>
                    <w:top w:val="single" w:sz="4" w:space="0" w:color="D2C9B8"/>
                    <w:left w:val="single" w:sz="4" w:space="0" w:color="D2C9B8"/>
                    <w:bottom w:val="single" w:sz="4" w:space="0" w:color="D2C9B8"/>
                    <w:right w:val="single" w:sz="4" w:space="0" w:color="D2C9B8"/>
                  </w:tcBorders>
                </w:tcPr>
                <w:p w14:paraId="175B4598" w14:textId="77777777" w:rsidR="005A5FCC" w:rsidRDefault="00A21C81">
                  <w:pPr>
                    <w:spacing w:before="20" w:after="20" w:line="240" w:lineRule="auto"/>
                    <w:jc w:val="left"/>
                  </w:pPr>
                  <w:r>
                    <w:rPr>
                      <w:rFonts w:cs="EB Garamond"/>
                      <w:kern w:val="16"/>
                      <w:sz w:val="16"/>
                      <w14:ligatures w14:val="standardContextual"/>
                    </w:rPr>
                    <w:t>6 anos</w:t>
                  </w:r>
                </w:p>
              </w:tc>
              <w:tc>
                <w:tcPr>
                  <w:tcW w:w="1270" w:type="dxa"/>
                  <w:tcBorders>
                    <w:top w:val="single" w:sz="4" w:space="0" w:color="D2C9B8"/>
                    <w:left w:val="single" w:sz="4" w:space="0" w:color="D2C9B8"/>
                    <w:bottom w:val="single" w:sz="4" w:space="0" w:color="D2C9B8"/>
                    <w:right w:val="single" w:sz="4" w:space="0" w:color="D2C9B8"/>
                  </w:tcBorders>
                </w:tcPr>
                <w:p w14:paraId="23898BFF" w14:textId="77777777" w:rsidR="005A5FCC" w:rsidRDefault="00A21C81">
                  <w:pPr>
                    <w:spacing w:before="20" w:after="20" w:line="240" w:lineRule="auto"/>
                    <w:jc w:val="left"/>
                  </w:pPr>
                  <w:r>
                    <w:rPr>
                      <w:rFonts w:cs="EB Garamond"/>
                      <w:kern w:val="16"/>
                      <w:sz w:val="16"/>
                      <w14:ligatures w14:val="standardContextual"/>
                    </w:rPr>
                    <w:t>+1 ano</w:t>
                  </w:r>
                </w:p>
              </w:tc>
            </w:tr>
            <w:tr w:rsidR="005A5FCC" w14:paraId="44341C38"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35DD4D32" w14:textId="77777777" w:rsidR="005A5FCC" w:rsidRDefault="00A21C81">
                  <w:pPr>
                    <w:spacing w:before="20" w:after="20" w:line="240" w:lineRule="auto"/>
                    <w:jc w:val="left"/>
                  </w:pPr>
                  <w:r>
                    <w:rPr>
                      <w:rFonts w:cs="EB Garamond"/>
                      <w:kern w:val="16"/>
                      <w:sz w:val="16"/>
                      <w14:ligatures w14:val="standardContextual"/>
                    </w:rPr>
                    <w:t>10 anos</w:t>
                  </w:r>
                </w:p>
              </w:tc>
              <w:tc>
                <w:tcPr>
                  <w:tcW w:w="1270" w:type="dxa"/>
                  <w:tcBorders>
                    <w:top w:val="single" w:sz="4" w:space="0" w:color="D2C9B8"/>
                    <w:left w:val="single" w:sz="4" w:space="0" w:color="D2C9B8"/>
                    <w:bottom w:val="single" w:sz="4" w:space="0" w:color="D2C9B8"/>
                    <w:right w:val="single" w:sz="4" w:space="0" w:color="D2C9B8"/>
                  </w:tcBorders>
                </w:tcPr>
                <w:p w14:paraId="05E746F7" w14:textId="77777777" w:rsidR="005A5FCC" w:rsidRDefault="00A21C81">
                  <w:pPr>
                    <w:spacing w:before="20" w:after="20" w:line="240" w:lineRule="auto"/>
                    <w:jc w:val="left"/>
                  </w:pPr>
                  <w:r>
                    <w:rPr>
                      <w:rFonts w:cs="EB Garamond"/>
                      <w:kern w:val="16"/>
                      <w:sz w:val="16"/>
                      <w14:ligatures w14:val="standardContextual"/>
                    </w:rPr>
                    <w:t>14 anos</w:t>
                  </w:r>
                </w:p>
              </w:tc>
              <w:tc>
                <w:tcPr>
                  <w:tcW w:w="1270" w:type="dxa"/>
                  <w:tcBorders>
                    <w:top w:val="single" w:sz="4" w:space="0" w:color="D2C9B8"/>
                    <w:left w:val="single" w:sz="4" w:space="0" w:color="D2C9B8"/>
                    <w:bottom w:val="single" w:sz="4" w:space="0" w:color="D2C9B8"/>
                    <w:right w:val="single" w:sz="4" w:space="0" w:color="D2C9B8"/>
                  </w:tcBorders>
                </w:tcPr>
                <w:p w14:paraId="149A365E" w14:textId="77777777" w:rsidR="005A5FCC" w:rsidRDefault="00A21C81">
                  <w:pPr>
                    <w:spacing w:before="20" w:after="20" w:line="240" w:lineRule="auto"/>
                    <w:jc w:val="left"/>
                  </w:pPr>
                  <w:r>
                    <w:rPr>
                      <w:rFonts w:cs="EB Garamond"/>
                      <w:kern w:val="16"/>
                      <w:sz w:val="16"/>
                      <w14:ligatures w14:val="standardContextual"/>
                    </w:rPr>
                    <w:t>+4 anos</w:t>
                  </w:r>
                </w:p>
              </w:tc>
              <w:tc>
                <w:tcPr>
                  <w:tcW w:w="1270" w:type="dxa"/>
                  <w:tcBorders>
                    <w:top w:val="single" w:sz="4" w:space="0" w:color="D2C9B8"/>
                    <w:left w:val="single" w:sz="4" w:space="0" w:color="D2C9B8"/>
                    <w:bottom w:val="single" w:sz="4" w:space="0" w:color="D2C9B8"/>
                    <w:right w:val="single" w:sz="4" w:space="0" w:color="D2C9B8"/>
                  </w:tcBorders>
                </w:tcPr>
                <w:p w14:paraId="7B24764F" w14:textId="77777777" w:rsidR="005A5FCC" w:rsidRDefault="00A21C81">
                  <w:pPr>
                    <w:spacing w:before="20" w:after="20" w:line="240" w:lineRule="auto"/>
                    <w:jc w:val="left"/>
                  </w:pPr>
                  <w:r>
                    <w:rPr>
                      <w:rFonts w:cs="EB Garamond"/>
                      <w:kern w:val="16"/>
                      <w:sz w:val="16"/>
                      <w14:ligatures w14:val="standardContextual"/>
                    </w:rPr>
                    <w:t>12 anos</w:t>
                  </w:r>
                </w:p>
              </w:tc>
              <w:tc>
                <w:tcPr>
                  <w:tcW w:w="1270" w:type="dxa"/>
                  <w:tcBorders>
                    <w:top w:val="single" w:sz="4" w:space="0" w:color="D2C9B8"/>
                    <w:left w:val="single" w:sz="4" w:space="0" w:color="D2C9B8"/>
                    <w:bottom w:val="single" w:sz="4" w:space="0" w:color="D2C9B8"/>
                    <w:right w:val="single" w:sz="4" w:space="0" w:color="D2C9B8"/>
                  </w:tcBorders>
                </w:tcPr>
                <w:p w14:paraId="40DB9D73" w14:textId="77777777" w:rsidR="005A5FCC" w:rsidRDefault="00A21C81">
                  <w:pPr>
                    <w:spacing w:before="20" w:after="20" w:line="240" w:lineRule="auto"/>
                    <w:jc w:val="left"/>
                  </w:pPr>
                  <w:r>
                    <w:rPr>
                      <w:rFonts w:cs="EB Garamond"/>
                      <w:kern w:val="16"/>
                      <w:sz w:val="16"/>
                      <w14:ligatures w14:val="standardContextual"/>
                    </w:rPr>
                    <w:t>+2 anos</w:t>
                  </w:r>
                </w:p>
              </w:tc>
            </w:tr>
            <w:tr w:rsidR="005A5FCC" w14:paraId="1EBAD908"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1E2B6936" w14:textId="77777777" w:rsidR="005A5FCC" w:rsidRDefault="00A21C81">
                  <w:pPr>
                    <w:spacing w:before="20" w:after="20" w:line="240" w:lineRule="auto"/>
                    <w:jc w:val="left"/>
                  </w:pPr>
                  <w:r>
                    <w:rPr>
                      <w:rFonts w:cs="EB Garamond"/>
                      <w:kern w:val="16"/>
                      <w:sz w:val="16"/>
                      <w14:ligatures w14:val="standardContextual"/>
                    </w:rPr>
                    <w:t>15 anos</w:t>
                  </w:r>
                </w:p>
              </w:tc>
              <w:tc>
                <w:tcPr>
                  <w:tcW w:w="1270" w:type="dxa"/>
                  <w:tcBorders>
                    <w:top w:val="single" w:sz="4" w:space="0" w:color="D2C9B8"/>
                    <w:left w:val="single" w:sz="4" w:space="0" w:color="D2C9B8"/>
                    <w:bottom w:val="single" w:sz="4" w:space="0" w:color="D2C9B8"/>
                    <w:right w:val="single" w:sz="4" w:space="0" w:color="D2C9B8"/>
                  </w:tcBorders>
                </w:tcPr>
                <w:p w14:paraId="0270006E" w14:textId="77777777" w:rsidR="005A5FCC" w:rsidRDefault="00A21C81">
                  <w:pPr>
                    <w:spacing w:before="20" w:after="20" w:line="240" w:lineRule="auto"/>
                    <w:jc w:val="left"/>
                  </w:pPr>
                  <w:r>
                    <w:rPr>
                      <w:rFonts w:cs="EB Garamond"/>
                      <w:kern w:val="16"/>
                      <w:sz w:val="16"/>
                      <w14:ligatures w14:val="standardContextual"/>
                    </w:rPr>
                    <w:t>21 anos</w:t>
                  </w:r>
                </w:p>
              </w:tc>
              <w:tc>
                <w:tcPr>
                  <w:tcW w:w="1270" w:type="dxa"/>
                  <w:tcBorders>
                    <w:top w:val="single" w:sz="4" w:space="0" w:color="D2C9B8"/>
                    <w:left w:val="single" w:sz="4" w:space="0" w:color="D2C9B8"/>
                    <w:bottom w:val="single" w:sz="4" w:space="0" w:color="D2C9B8"/>
                    <w:right w:val="single" w:sz="4" w:space="0" w:color="D2C9B8"/>
                  </w:tcBorders>
                </w:tcPr>
                <w:p w14:paraId="1DCD3E33" w14:textId="77777777" w:rsidR="005A5FCC" w:rsidRDefault="00A21C81">
                  <w:pPr>
                    <w:spacing w:before="20" w:after="20" w:line="240" w:lineRule="auto"/>
                    <w:jc w:val="left"/>
                  </w:pPr>
                  <w:r>
                    <w:rPr>
                      <w:rFonts w:cs="EB Garamond"/>
                      <w:kern w:val="16"/>
                      <w:sz w:val="16"/>
                      <w14:ligatures w14:val="standardContextual"/>
                    </w:rPr>
                    <w:t>+6 anos</w:t>
                  </w:r>
                </w:p>
              </w:tc>
              <w:tc>
                <w:tcPr>
                  <w:tcW w:w="1270" w:type="dxa"/>
                  <w:tcBorders>
                    <w:top w:val="single" w:sz="4" w:space="0" w:color="D2C9B8"/>
                    <w:left w:val="single" w:sz="4" w:space="0" w:color="D2C9B8"/>
                    <w:bottom w:val="single" w:sz="4" w:space="0" w:color="D2C9B8"/>
                    <w:right w:val="single" w:sz="4" w:space="0" w:color="D2C9B8"/>
                  </w:tcBorders>
                </w:tcPr>
                <w:p w14:paraId="65D7F3E2" w14:textId="77777777" w:rsidR="005A5FCC" w:rsidRDefault="00A21C81">
                  <w:pPr>
                    <w:spacing w:before="20" w:after="20" w:line="240" w:lineRule="auto"/>
                    <w:jc w:val="left"/>
                  </w:pPr>
                  <w:r>
                    <w:rPr>
                      <w:rFonts w:cs="EB Garamond"/>
                      <w:kern w:val="16"/>
                      <w:sz w:val="16"/>
                      <w14:ligatures w14:val="standardContextual"/>
                    </w:rPr>
                    <w:t>18 anos</w:t>
                  </w:r>
                </w:p>
              </w:tc>
              <w:tc>
                <w:tcPr>
                  <w:tcW w:w="1270" w:type="dxa"/>
                  <w:tcBorders>
                    <w:top w:val="single" w:sz="4" w:space="0" w:color="D2C9B8"/>
                    <w:left w:val="single" w:sz="4" w:space="0" w:color="D2C9B8"/>
                    <w:bottom w:val="single" w:sz="4" w:space="0" w:color="D2C9B8"/>
                    <w:right w:val="single" w:sz="4" w:space="0" w:color="D2C9B8"/>
                  </w:tcBorders>
                </w:tcPr>
                <w:p w14:paraId="28B40F47" w14:textId="77777777" w:rsidR="005A5FCC" w:rsidRDefault="00A21C81">
                  <w:pPr>
                    <w:spacing w:before="20" w:after="20" w:line="240" w:lineRule="auto"/>
                    <w:jc w:val="left"/>
                  </w:pPr>
                  <w:r>
                    <w:rPr>
                      <w:rFonts w:cs="EB Garamond"/>
                      <w:kern w:val="16"/>
                      <w:sz w:val="16"/>
                      <w14:ligatures w14:val="standardContextual"/>
                    </w:rPr>
                    <w:t>+3 anos</w:t>
                  </w:r>
                </w:p>
              </w:tc>
            </w:tr>
            <w:tr w:rsidR="005A5FCC" w14:paraId="7DDBD476"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0124D144" w14:textId="77777777" w:rsidR="005A5FCC" w:rsidRDefault="00A21C81">
                  <w:pPr>
                    <w:spacing w:before="20" w:after="20" w:line="240" w:lineRule="auto"/>
                    <w:jc w:val="left"/>
                  </w:pPr>
                  <w:r>
                    <w:rPr>
                      <w:rFonts w:cs="EB Garamond"/>
                      <w:kern w:val="16"/>
                      <w:sz w:val="16"/>
                      <w14:ligatures w14:val="standardContextual"/>
                    </w:rPr>
                    <w:t>20 anos</w:t>
                  </w:r>
                </w:p>
              </w:tc>
              <w:tc>
                <w:tcPr>
                  <w:tcW w:w="1270" w:type="dxa"/>
                  <w:tcBorders>
                    <w:top w:val="single" w:sz="4" w:space="0" w:color="D2C9B8"/>
                    <w:left w:val="single" w:sz="4" w:space="0" w:color="D2C9B8"/>
                    <w:bottom w:val="single" w:sz="4" w:space="0" w:color="D2C9B8"/>
                    <w:right w:val="single" w:sz="4" w:space="0" w:color="D2C9B8"/>
                  </w:tcBorders>
                </w:tcPr>
                <w:p w14:paraId="7C7CCA82" w14:textId="77777777" w:rsidR="005A5FCC" w:rsidRDefault="00A21C81">
                  <w:pPr>
                    <w:spacing w:before="20" w:after="20" w:line="240" w:lineRule="auto"/>
                    <w:jc w:val="left"/>
                  </w:pPr>
                  <w:r>
                    <w:rPr>
                      <w:rFonts w:cs="EB Garamond"/>
                      <w:kern w:val="16"/>
                      <w:sz w:val="16"/>
                      <w14:ligatures w14:val="standardContextual"/>
                    </w:rPr>
                    <w:t>28 anos</w:t>
                  </w:r>
                </w:p>
              </w:tc>
              <w:tc>
                <w:tcPr>
                  <w:tcW w:w="1270" w:type="dxa"/>
                  <w:tcBorders>
                    <w:top w:val="single" w:sz="4" w:space="0" w:color="D2C9B8"/>
                    <w:left w:val="single" w:sz="4" w:space="0" w:color="D2C9B8"/>
                    <w:bottom w:val="single" w:sz="4" w:space="0" w:color="D2C9B8"/>
                    <w:right w:val="single" w:sz="4" w:space="0" w:color="D2C9B8"/>
                  </w:tcBorders>
                </w:tcPr>
                <w:p w14:paraId="5A71CEE5" w14:textId="77777777" w:rsidR="005A5FCC" w:rsidRDefault="00A21C81">
                  <w:pPr>
                    <w:spacing w:before="20" w:after="20" w:line="240" w:lineRule="auto"/>
                    <w:jc w:val="left"/>
                  </w:pPr>
                  <w:r>
                    <w:rPr>
                      <w:rFonts w:cs="EB Garamond"/>
                      <w:kern w:val="16"/>
                      <w:sz w:val="16"/>
                      <w14:ligatures w14:val="standardContextual"/>
                    </w:rPr>
                    <w:t>+8 anos</w:t>
                  </w:r>
                </w:p>
              </w:tc>
              <w:tc>
                <w:tcPr>
                  <w:tcW w:w="1270" w:type="dxa"/>
                  <w:tcBorders>
                    <w:top w:val="single" w:sz="4" w:space="0" w:color="D2C9B8"/>
                    <w:left w:val="single" w:sz="4" w:space="0" w:color="D2C9B8"/>
                    <w:bottom w:val="single" w:sz="4" w:space="0" w:color="D2C9B8"/>
                    <w:right w:val="single" w:sz="4" w:space="0" w:color="D2C9B8"/>
                  </w:tcBorders>
                </w:tcPr>
                <w:p w14:paraId="5B1AFB56" w14:textId="77777777" w:rsidR="005A5FCC" w:rsidRDefault="00A21C81">
                  <w:pPr>
                    <w:spacing w:before="20" w:after="20" w:line="240" w:lineRule="auto"/>
                    <w:jc w:val="left"/>
                  </w:pPr>
                  <w:r>
                    <w:rPr>
                      <w:rFonts w:cs="EB Garamond"/>
                      <w:kern w:val="16"/>
                      <w:sz w:val="16"/>
                      <w14:ligatures w14:val="standardContextual"/>
                    </w:rPr>
                    <w:t>24 anos</w:t>
                  </w:r>
                </w:p>
              </w:tc>
              <w:tc>
                <w:tcPr>
                  <w:tcW w:w="1270" w:type="dxa"/>
                  <w:tcBorders>
                    <w:top w:val="single" w:sz="4" w:space="0" w:color="D2C9B8"/>
                    <w:left w:val="single" w:sz="4" w:space="0" w:color="D2C9B8"/>
                    <w:bottom w:val="single" w:sz="4" w:space="0" w:color="D2C9B8"/>
                    <w:right w:val="single" w:sz="4" w:space="0" w:color="D2C9B8"/>
                  </w:tcBorders>
                </w:tcPr>
                <w:p w14:paraId="3528EB68" w14:textId="77777777" w:rsidR="005A5FCC" w:rsidRDefault="00A21C81">
                  <w:pPr>
                    <w:spacing w:before="20" w:after="20" w:line="240" w:lineRule="auto"/>
                    <w:jc w:val="left"/>
                  </w:pPr>
                  <w:r>
                    <w:rPr>
                      <w:rFonts w:cs="EB Garamond"/>
                      <w:kern w:val="16"/>
                      <w:sz w:val="16"/>
                      <w14:ligatures w14:val="standardContextual"/>
                    </w:rPr>
                    <w:t>+4 anos</w:t>
                  </w:r>
                </w:p>
              </w:tc>
            </w:tr>
            <w:tr w:rsidR="005A5FCC" w14:paraId="1E654207"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7572B158" w14:textId="77777777" w:rsidR="005A5FCC" w:rsidRDefault="00A21C81">
                  <w:pPr>
                    <w:spacing w:before="20" w:after="20" w:line="240" w:lineRule="auto"/>
                    <w:jc w:val="left"/>
                  </w:pPr>
                  <w:r>
                    <w:rPr>
                      <w:rFonts w:cs="EB Garamond"/>
                      <w:kern w:val="16"/>
                      <w:sz w:val="16"/>
                      <w14:ligatures w14:val="standardContextual"/>
                    </w:rPr>
                    <w:t>25 anos</w:t>
                  </w:r>
                </w:p>
              </w:tc>
              <w:tc>
                <w:tcPr>
                  <w:tcW w:w="1270" w:type="dxa"/>
                  <w:tcBorders>
                    <w:top w:val="single" w:sz="4" w:space="0" w:color="D2C9B8"/>
                    <w:left w:val="single" w:sz="4" w:space="0" w:color="D2C9B8"/>
                    <w:bottom w:val="single" w:sz="4" w:space="0" w:color="D2C9B8"/>
                    <w:right w:val="single" w:sz="4" w:space="0" w:color="D2C9B8"/>
                  </w:tcBorders>
                </w:tcPr>
                <w:p w14:paraId="4C0A6E2F" w14:textId="77777777" w:rsidR="005A5FCC" w:rsidRDefault="00A21C81">
                  <w:pPr>
                    <w:spacing w:before="20" w:after="20" w:line="240" w:lineRule="auto"/>
                    <w:jc w:val="left"/>
                  </w:pPr>
                  <w:r>
                    <w:rPr>
                      <w:rFonts w:cs="EB Garamond"/>
                      <w:kern w:val="16"/>
                      <w:sz w:val="16"/>
                      <w14:ligatures w14:val="standardContextual"/>
                    </w:rPr>
                    <w:t>35 anos</w:t>
                  </w:r>
                </w:p>
              </w:tc>
              <w:tc>
                <w:tcPr>
                  <w:tcW w:w="1270" w:type="dxa"/>
                  <w:tcBorders>
                    <w:top w:val="single" w:sz="4" w:space="0" w:color="D2C9B8"/>
                    <w:left w:val="single" w:sz="4" w:space="0" w:color="D2C9B8"/>
                    <w:bottom w:val="single" w:sz="4" w:space="0" w:color="D2C9B8"/>
                    <w:right w:val="single" w:sz="4" w:space="0" w:color="D2C9B8"/>
                  </w:tcBorders>
                </w:tcPr>
                <w:p w14:paraId="4731EC99" w14:textId="77777777" w:rsidR="005A5FCC" w:rsidRDefault="00A21C81">
                  <w:pPr>
                    <w:spacing w:before="20" w:after="20" w:line="240" w:lineRule="auto"/>
                    <w:jc w:val="left"/>
                  </w:pPr>
                  <w:r>
                    <w:rPr>
                      <w:rFonts w:cs="EB Garamond"/>
                      <w:kern w:val="16"/>
                      <w:sz w:val="16"/>
                      <w14:ligatures w14:val="standardContextual"/>
                    </w:rPr>
                    <w:t>+10 anos</w:t>
                  </w:r>
                </w:p>
              </w:tc>
              <w:tc>
                <w:tcPr>
                  <w:tcW w:w="1270" w:type="dxa"/>
                  <w:tcBorders>
                    <w:top w:val="single" w:sz="4" w:space="0" w:color="D2C9B8"/>
                    <w:left w:val="single" w:sz="4" w:space="0" w:color="D2C9B8"/>
                    <w:bottom w:val="single" w:sz="4" w:space="0" w:color="D2C9B8"/>
                    <w:right w:val="single" w:sz="4" w:space="0" w:color="D2C9B8"/>
                  </w:tcBorders>
                </w:tcPr>
                <w:p w14:paraId="614E7628" w14:textId="77777777" w:rsidR="005A5FCC" w:rsidRDefault="00A21C81">
                  <w:pPr>
                    <w:spacing w:before="20" w:after="20" w:line="240" w:lineRule="auto"/>
                    <w:jc w:val="left"/>
                  </w:pPr>
                  <w:r>
                    <w:rPr>
                      <w:rFonts w:cs="EB Garamond"/>
                      <w:kern w:val="16"/>
                      <w:sz w:val="16"/>
                      <w14:ligatures w14:val="standardContextual"/>
                    </w:rPr>
                    <w:t>30 anos</w:t>
                  </w:r>
                </w:p>
              </w:tc>
              <w:tc>
                <w:tcPr>
                  <w:tcW w:w="1270" w:type="dxa"/>
                  <w:tcBorders>
                    <w:top w:val="single" w:sz="4" w:space="0" w:color="D2C9B8"/>
                    <w:left w:val="single" w:sz="4" w:space="0" w:color="D2C9B8"/>
                    <w:bottom w:val="single" w:sz="4" w:space="0" w:color="D2C9B8"/>
                    <w:right w:val="single" w:sz="4" w:space="0" w:color="D2C9B8"/>
                  </w:tcBorders>
                </w:tcPr>
                <w:p w14:paraId="1A17CECD" w14:textId="77777777" w:rsidR="005A5FCC" w:rsidRDefault="00A21C81">
                  <w:pPr>
                    <w:spacing w:before="20" w:after="20" w:line="240" w:lineRule="auto"/>
                    <w:jc w:val="left"/>
                  </w:pPr>
                  <w:r>
                    <w:rPr>
                      <w:rFonts w:cs="EB Garamond"/>
                      <w:kern w:val="16"/>
                      <w:sz w:val="16"/>
                      <w14:ligatures w14:val="standardContextual"/>
                    </w:rPr>
                    <w:t>+5 anos</w:t>
                  </w:r>
                </w:p>
              </w:tc>
            </w:tr>
          </w:tbl>
          <w:p w14:paraId="2DA2B8D2" w14:textId="77777777" w:rsidR="005A5FCC" w:rsidRDefault="005A5FCC"/>
          <w:p w14:paraId="5699258E" w14:textId="77777777" w:rsidR="005A5FCC" w:rsidRDefault="005A5FCC">
            <w:pPr>
              <w:spacing w:after="0" w:line="240" w:lineRule="auto"/>
            </w:pPr>
          </w:p>
          <w:p w14:paraId="4C42AD8C" w14:textId="77777777" w:rsidR="005A5FCC" w:rsidRDefault="00A21C81">
            <w:pPr>
              <w:spacing w:after="60" w:line="247" w:lineRule="auto"/>
            </w:pPr>
            <w:r>
              <w:rPr>
                <w:rFonts w:cs="EB Garamond"/>
                <w:kern w:val="16"/>
                <w:sz w:val="19"/>
                <w14:ligatures w14:val="standardContextual"/>
              </w:rPr>
              <w:t>Para atividades com enquadramento em 20 anos (mineração subterrânea, exposição a asbesto): Homem ×1,75 (ganho de 75%); Mulher ×1,50 (ganho de 50%). Para 15 anos: Homem ×2,33; Mulher ×2,00.</w:t>
            </w:r>
          </w:p>
        </w:tc>
      </w:tr>
    </w:tbl>
    <w:p w14:paraId="2C18B9E1" w14:textId="77777777" w:rsidR="005A5FCC" w:rsidRDefault="005A5FCC">
      <w:pPr>
        <w:spacing w:after="80" w:line="240" w:lineRule="auto"/>
      </w:pPr>
    </w:p>
    <w:p w14:paraId="4B9FA921" w14:textId="77777777" w:rsidR="005A5FCC" w:rsidRDefault="00A21C81">
      <w:pPr>
        <w:spacing w:before="260" w:after="80" w:line="240" w:lineRule="auto"/>
        <w:jc w:val="left"/>
      </w:pPr>
      <w:r>
        <w:rPr>
          <w:rFonts w:cs="EB Garamond"/>
          <w:b/>
          <w:color w:val="3A3128"/>
          <w:kern w:val="16"/>
          <w:sz w:val="25"/>
          <w14:ligatures w14:val="standardContextual"/>
        </w:rPr>
        <w:t>5.11.6 Enquadramento profissional e períodos especiais antigos</w:t>
      </w:r>
    </w:p>
    <w:p w14:paraId="47284043"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P</w:t>
      </w:r>
    </w:p>
    <w:p w14:paraId="6E362C0B" w14:textId="77777777" w:rsidR="005A5FCC" w:rsidRDefault="00A21C81">
      <w:r>
        <w:rPr>
          <w:rFonts w:cs="EB Garamond"/>
          <w:kern w:val="16"/>
          <w14:ligatures w14:val="standardContextual"/>
        </w:rPr>
        <w:t>ara períodos anteriores a 29/04/1995 (véspera da Lei 9.032/1995), o reconhecimento da atividade especial pode se dar por enquadramento na categoria profissional, sem necessidade de prova de exposição efetiva a agentes nocivos. Os Decretos 53.831/1964 e 83.080/1979 listavam categorias profissionais presumidamente expostas (médicos, enfermeiros, engenheiros elétricos, motoristas de ônibus, frentistas, etc.).</w:t>
      </w:r>
    </w:p>
    <w:p w14:paraId="2F449CCE" w14:textId="77777777" w:rsidR="005A5FCC" w:rsidRDefault="00A21C81">
      <w:pPr>
        <w:ind w:firstLine="238"/>
      </w:pPr>
      <w:r>
        <w:rPr>
          <w:rFonts w:cs="EB Garamond"/>
          <w:kern w:val="16"/>
          <w14:ligatures w14:val="standardContextual"/>
        </w:rPr>
        <w:t>Para períodos entre 29/04/1995 e 05/03/1997, admite-se o enquadramento por categoria profissional ou por comprovação de exposição a agentes nocivos por qualquer meio (inclusive formulários SB-40, DISES-BE 5235, DSS 8030).</w:t>
      </w:r>
    </w:p>
    <w:p w14:paraId="76405995" w14:textId="77777777" w:rsidR="005A5FCC" w:rsidRDefault="00A21C81">
      <w:pPr>
        <w:ind w:firstLine="238"/>
      </w:pPr>
      <w:r>
        <w:rPr>
          <w:rFonts w:cs="EB Garamond"/>
          <w:kern w:val="16"/>
          <w14:ligatures w14:val="standardContextual"/>
        </w:rPr>
        <w:lastRenderedPageBreak/>
        <w:t>Para períodos a partir de 06/03/1997 (Decreto 2.172/1997), exige-se laudo técnico — e a partir de 01/01/2004, o PPP (Perfil Profissiográfico Previdenciário) é obrigatório.</w:t>
      </w:r>
    </w:p>
    <w:p w14:paraId="1DB9A5AA" w14:textId="77777777" w:rsidR="005A5FCC" w:rsidRDefault="00A21C81">
      <w:pPr>
        <w:ind w:firstLine="238"/>
      </w:pPr>
      <w:r>
        <w:rPr>
          <w:rFonts w:cs="EB Garamond"/>
          <w:kern w:val="16"/>
          <w14:ligatures w14:val="standardContextual"/>
        </w:rPr>
        <w:t>Essa evolução temporal repercute diretamente na conversão: períodos especiais antigos (décadas de 1970/1980) podem ser reconhecidos apenas pela categoria profissional, convertidos com o fator 1,40/1,20, e somados ao tempo comum, sem necessidade de laudos técnicos ou PPP.</w:t>
      </w:r>
    </w:p>
    <w:tbl>
      <w:tblPr>
        <w:tblW w:w="5000" w:type="pct"/>
        <w:jc w:val="center"/>
        <w:tblLayout w:type="fixed"/>
        <w:tblLook w:val="04A0" w:firstRow="1" w:lastRow="0" w:firstColumn="1" w:lastColumn="0" w:noHBand="0" w:noVBand="1"/>
      </w:tblPr>
      <w:tblGrid>
        <w:gridCol w:w="6311"/>
      </w:tblGrid>
      <w:tr w:rsidR="005A5FCC" w14:paraId="7599D8CC"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76151A09" w14:textId="77777777" w:rsidR="005A5FCC" w:rsidRDefault="00A21C81">
            <w:pPr>
              <w:spacing w:after="60" w:line="240" w:lineRule="auto"/>
              <w:jc w:val="left"/>
            </w:pPr>
            <w:r>
              <w:rPr>
                <w:rFonts w:ascii="Noto Sans" w:hAnsi="Noto Sans" w:cs="Noto Sans"/>
                <w:b/>
                <w:caps/>
                <w:color w:val="4D6F8A"/>
                <w:kern w:val="16"/>
                <w:sz w:val="16"/>
                <w14:ligatures w14:val="standardContextual"/>
              </w:rPr>
              <w:t>JURISPRUDÊNCIA EM DESTAQUE</w:t>
            </w:r>
          </w:p>
          <w:p w14:paraId="2294BCB7" w14:textId="77777777" w:rsidR="005A5FCC" w:rsidRDefault="00A21C81">
            <w:pPr>
              <w:spacing w:after="60" w:line="247" w:lineRule="auto"/>
            </w:pPr>
            <w:r>
              <w:rPr>
                <w:rFonts w:cs="EB Garamond"/>
                <w:b/>
                <w:kern w:val="16"/>
                <w:sz w:val="19"/>
                <w14:ligatures w14:val="standardContextual"/>
              </w:rPr>
              <w:t>Jurisprudência consolidada do STJ — Enquadramento por categoria profissional</w:t>
            </w:r>
          </w:p>
          <w:p w14:paraId="3F186C42" w14:textId="77777777" w:rsidR="005A5FCC" w:rsidRDefault="00A21C81">
            <w:pPr>
              <w:spacing w:after="60" w:line="247" w:lineRule="auto"/>
            </w:pPr>
            <w:r>
              <w:rPr>
                <w:rFonts w:cs="EB Garamond"/>
                <w:kern w:val="16"/>
                <w:sz w:val="19"/>
                <w14:ligatures w14:val="standardContextual"/>
              </w:rPr>
              <w:t>O STJ consolidou o entendimento de que, para o período anterior à Lei 9.032/1995, o reconhecimento da atividade especial pode se dar por enquadramento na categoria profissional prevista nos Decretos 53.831/1964 e 83.080/1979. Não se exige laudo técnico ou PPP para esses períodos. A tese beneficia especialmente trabalhadores que exerceram profissões típicas de exposição (vigilantes, telefonistas, motoristas) em épocas nas quais a documentação patronal era precária.</w:t>
            </w:r>
          </w:p>
          <w:p w14:paraId="26FDE729" w14:textId="77777777" w:rsidR="005A5FCC" w:rsidRDefault="00A21C81">
            <w:pPr>
              <w:spacing w:after="60" w:line="247" w:lineRule="auto"/>
            </w:pPr>
            <w:r>
              <w:rPr>
                <w:rFonts w:cs="EB Garamond"/>
                <w:b/>
                <w:kern w:val="16"/>
                <w:sz w:val="19"/>
                <w14:ligatures w14:val="standardContextual"/>
              </w:rPr>
              <w:t>Ressalva importante:</w:t>
            </w:r>
            <w:r>
              <w:rPr>
                <w:rFonts w:cs="EB Garamond"/>
                <w:kern w:val="16"/>
                <w:sz w:val="19"/>
                <w14:ligatures w14:val="standardContextual"/>
              </w:rPr>
              <w:t xml:space="preserve"> o enquadramento por categoria profissional até 1995 não dispensa a análise específica de cada agente e de cada atividade — e a matéria comporta nuances que serão aprofundadas no capítulo de aposentadoria especial. O exemplo do vigilante é ilustrativo: o STF, no Tema 1.209 (RE 1.368.225, j. 18/02/2026), firmou que a atividade de vigilante não se caracteriza como especial — com ou sem o uso de arma de fogo — quando fundada apenas na periculosidade (risco de assalto ou de violência); o reconhecimento da especialidade exige a efetiva exposição habitual e permanente a agentes nocivos à saúde, não bastando a periculosidade da função nem a nomenclatura do cargo. Assim, a citação de "vigilantes, telefonistas e motoristas" neste capítulo serve apenas como exemplo histórico de categorias listadas nos decretos da época, não como afirmação de que toda atividade dessas categorias seja automaticamente especial. Remete-se o leitor ao capítulo próprio para o exame de cada agente nocivo e da evolução jurisprudencial respectiva.</w:t>
            </w:r>
          </w:p>
        </w:tc>
      </w:tr>
    </w:tbl>
    <w:p w14:paraId="2A1F0033" w14:textId="77777777" w:rsidR="005A5FCC" w:rsidRDefault="005A5FCC">
      <w:pPr>
        <w:spacing w:after="80" w:line="240" w:lineRule="auto"/>
      </w:pPr>
    </w:p>
    <w:p w14:paraId="02576233" w14:textId="77777777" w:rsidR="005A5FCC" w:rsidRDefault="00A21C81">
      <w:pPr>
        <w:spacing w:before="260" w:after="80" w:line="240" w:lineRule="auto"/>
        <w:jc w:val="left"/>
      </w:pPr>
      <w:r>
        <w:rPr>
          <w:rFonts w:cs="EB Garamond"/>
          <w:b/>
          <w:color w:val="3A3128"/>
          <w:kern w:val="16"/>
          <w:sz w:val="25"/>
          <w14:ligatures w14:val="standardContextual"/>
        </w:rPr>
        <w:t>5.11.7 Conversão inversa: tempo comum em especial</w:t>
      </w:r>
    </w:p>
    <w:p w14:paraId="6D5EDE72"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O</w:t>
      </w:r>
    </w:p>
    <w:p w14:paraId="6B88A3CA" w14:textId="77777777" w:rsidR="005A5FCC" w:rsidRDefault="00A21C81">
      <w:r>
        <w:rPr>
          <w:rFonts w:cs="EB Garamond"/>
          <w:kern w:val="16"/>
          <w14:ligatures w14:val="standardContextual"/>
        </w:rPr>
        <w:t xml:space="preserve"> art. 70, § 2º, do Decreto 3.048/99 vedou a conversão inversa (tempo comum em tempo especial) a partir de 28/05/1998. Para períodos anteriores a essa data, a conversão inversa era admitida, com fatores invertidos (0,71 para homem, 0,83 para mulher, no caso de 25 anos). Atualmente, a conversão opera exclusivamente em sentido unidirecional: de especial para comum.</w:t>
      </w:r>
    </w:p>
    <w:p w14:paraId="74006E32"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5.12 Acordos internacionais previdenciários</w:t>
      </w:r>
    </w:p>
    <w:p w14:paraId="4F907112" w14:textId="77777777" w:rsidR="005A5FCC" w:rsidRDefault="00A21C81">
      <w:pPr>
        <w:spacing w:before="260" w:after="80" w:line="240" w:lineRule="auto"/>
        <w:jc w:val="left"/>
      </w:pPr>
      <w:r>
        <w:rPr>
          <w:rFonts w:cs="EB Garamond"/>
          <w:b/>
          <w:color w:val="3A3128"/>
          <w:kern w:val="16"/>
          <w:sz w:val="25"/>
          <w14:ligatures w14:val="standardContextual"/>
        </w:rPr>
        <w:t>5.12.1 Fundamento e natureza jurídica</w:t>
      </w:r>
    </w:p>
    <w:p w14:paraId="734E9195"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2833FD5D" w14:textId="77777777" w:rsidR="005A5FCC" w:rsidRDefault="00A21C81">
      <w:r>
        <w:rPr>
          <w:rFonts w:cs="EB Garamond"/>
          <w:kern w:val="16"/>
          <w14:ligatures w14:val="standardContextual"/>
        </w:rPr>
        <w:t>s acordos internacionais previdenciários são tratados bilaterais ou multilaterais firmados pelo Brasil com outros países, com o objetivo de garantir a proteção previdenciária de trabalhadores que exercem ou exerceram atividade em mais de um país signatário. Esses acordos têm status supralegal no ordenamento brasileiro (abaixo da Constituição, acima da lei ordinária) e são promulgados por decreto presidencial após aprovação legislativa.</w:t>
      </w:r>
    </w:p>
    <w:p w14:paraId="6D8B928D" w14:textId="77777777" w:rsidR="005A5FCC" w:rsidRDefault="00A21C81">
      <w:pPr>
        <w:ind w:firstLine="238"/>
      </w:pPr>
      <w:r>
        <w:rPr>
          <w:rFonts w:cs="EB Garamond"/>
          <w:kern w:val="16"/>
          <w14:ligatures w14:val="standardContextual"/>
        </w:rPr>
        <w:t>O Decreto 3.048/99, em seu art. 150-A (incluído pelo Decreto 10.410/2020), disciplina as regras gerais de aplicação dos acordos internacionais no âmbito do RGPS. O INSS é o órgão de ligação brasileiro (liaison body) responsável pela operacionalização dos acordos.</w:t>
      </w:r>
    </w:p>
    <w:p w14:paraId="1E822D27" w14:textId="77777777" w:rsidR="005A5FCC" w:rsidRDefault="00A21C81">
      <w:pPr>
        <w:spacing w:before="260" w:after="80" w:line="240" w:lineRule="auto"/>
        <w:jc w:val="left"/>
      </w:pPr>
      <w:r>
        <w:rPr>
          <w:rFonts w:cs="EB Garamond"/>
          <w:b/>
          <w:color w:val="3A3128"/>
          <w:kern w:val="16"/>
          <w:sz w:val="25"/>
          <w14:ligatures w14:val="standardContextual"/>
        </w:rPr>
        <w:t>5.12.2 Mecanismo de totalização</w:t>
      </w:r>
    </w:p>
    <w:p w14:paraId="030AE373"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53C461AE" w14:textId="77777777" w:rsidR="005A5FCC" w:rsidRDefault="00A21C81">
      <w:r>
        <w:rPr>
          <w:rFonts w:cs="EB Garamond"/>
          <w:kern w:val="16"/>
          <w14:ligatures w14:val="standardContextual"/>
        </w:rPr>
        <w:t xml:space="preserve"> princípio fundamental dos acordos internacionais previdenciários é a totalização: os períodos de contribuição cumpridos em cada país signatário são somados para que o segurado atinja os requisitos mínimos de aposentadoria (tempo de contribuição e/ou carência) em um dos países.</w:t>
      </w:r>
    </w:p>
    <w:p w14:paraId="2FE4452D" w14:textId="77777777" w:rsidR="005A5FCC" w:rsidRDefault="00A21C81">
      <w:pPr>
        <w:ind w:firstLine="238"/>
      </w:pPr>
      <w:r>
        <w:rPr>
          <w:rFonts w:cs="EB Garamond"/>
          <w:kern w:val="16"/>
          <w14:ligatures w14:val="standardContextual"/>
        </w:rPr>
        <w:t>O mecanismo opera da seguinte forma:</w:t>
      </w:r>
    </w:p>
    <w:p w14:paraId="633EAE94" w14:textId="77777777" w:rsidR="005A5FCC" w:rsidRDefault="00A21C81">
      <w:pPr>
        <w:spacing w:after="40" w:line="252" w:lineRule="auto"/>
        <w:ind w:left="340" w:hanging="198"/>
      </w:pPr>
      <w:r>
        <w:rPr>
          <w:rFonts w:cs="EB Garamond"/>
          <w:color w:val="3A3128"/>
          <w:kern w:val="16"/>
          <w:sz w:val="20"/>
          <w14:ligatures w14:val="standardContextual"/>
        </w:rPr>
        <w:t xml:space="preserve">1. </w:t>
      </w:r>
      <w:r>
        <w:rPr>
          <w:rFonts w:cs="EB Garamond"/>
          <w:kern w:val="16"/>
          <w:sz w:val="20"/>
          <w14:ligatures w14:val="standardContextual"/>
        </w:rPr>
        <w:t>O segurado que trabalhou no Brasil e em país signatário solicita aposentadoria ao INSS (ou à instituição previdenciária do outro país);</w:t>
      </w:r>
    </w:p>
    <w:p w14:paraId="76BC5ECB" w14:textId="77777777" w:rsidR="005A5FCC" w:rsidRDefault="00A21C81">
      <w:pPr>
        <w:spacing w:after="40" w:line="252" w:lineRule="auto"/>
        <w:ind w:left="340" w:hanging="198"/>
      </w:pPr>
      <w:r>
        <w:rPr>
          <w:rFonts w:cs="EB Garamond"/>
          <w:color w:val="3A3128"/>
          <w:kern w:val="16"/>
          <w:sz w:val="20"/>
          <w14:ligatures w14:val="standardContextual"/>
        </w:rPr>
        <w:t xml:space="preserve">2. </w:t>
      </w:r>
      <w:r>
        <w:rPr>
          <w:rFonts w:cs="EB Garamond"/>
          <w:kern w:val="16"/>
          <w:sz w:val="20"/>
          <w14:ligatures w14:val="standardContextual"/>
        </w:rPr>
        <w:t>O órgão de ligação consulta o país contraparte para obter informações sobre os períodos cumpridos naquele território;</w:t>
      </w:r>
    </w:p>
    <w:p w14:paraId="338D9BB1" w14:textId="77777777" w:rsidR="005A5FCC" w:rsidRDefault="00A21C81">
      <w:pPr>
        <w:spacing w:after="40" w:line="252" w:lineRule="auto"/>
        <w:ind w:left="340" w:hanging="198"/>
      </w:pPr>
      <w:r>
        <w:rPr>
          <w:rFonts w:cs="EB Garamond"/>
          <w:color w:val="3A3128"/>
          <w:kern w:val="16"/>
          <w:sz w:val="20"/>
          <w14:ligatures w14:val="standardContextual"/>
        </w:rPr>
        <w:lastRenderedPageBreak/>
        <w:t xml:space="preserve">3. </w:t>
      </w:r>
      <w:r>
        <w:rPr>
          <w:rFonts w:cs="EB Garamond"/>
          <w:kern w:val="16"/>
          <w:sz w:val="20"/>
          <w14:ligatures w14:val="standardContextual"/>
        </w:rPr>
        <w:t>Os períodos são somados (totalizados) para verificar se o segurado cumpre os requisitos;</w:t>
      </w:r>
    </w:p>
    <w:p w14:paraId="5A9A9836" w14:textId="77777777" w:rsidR="005A5FCC" w:rsidRDefault="00A21C81">
      <w:pPr>
        <w:spacing w:after="40" w:line="252" w:lineRule="auto"/>
        <w:ind w:left="340" w:hanging="198"/>
      </w:pPr>
      <w:r>
        <w:rPr>
          <w:rFonts w:cs="EB Garamond"/>
          <w:color w:val="3A3128"/>
          <w:kern w:val="16"/>
          <w:sz w:val="20"/>
          <w14:ligatures w14:val="standardContextual"/>
        </w:rPr>
        <w:t xml:space="preserve">4. </w:t>
      </w:r>
      <w:r>
        <w:rPr>
          <w:rFonts w:cs="EB Garamond"/>
          <w:kern w:val="16"/>
          <w:sz w:val="20"/>
          <w14:ligatures w14:val="standardContextual"/>
        </w:rPr>
        <w:t>Se o benefício for concedido, cada país paga proporcionalmente ao tempo de contribuição nele cumprido (cálculo pro rata temporis).</w:t>
      </w:r>
    </w:p>
    <w:p w14:paraId="77CE3152" w14:textId="77777777" w:rsidR="005A5FCC" w:rsidRDefault="005A5FCC">
      <w:pPr>
        <w:spacing w:after="60" w:line="240" w:lineRule="auto"/>
      </w:pPr>
    </w:p>
    <w:p w14:paraId="3C471199" w14:textId="77777777" w:rsidR="005A5FCC" w:rsidRDefault="00A21C81">
      <w:pPr>
        <w:spacing w:before="260" w:after="80" w:line="240" w:lineRule="auto"/>
        <w:jc w:val="left"/>
      </w:pPr>
      <w:r>
        <w:rPr>
          <w:rFonts w:cs="EB Garamond"/>
          <w:b/>
          <w:color w:val="3A3128"/>
          <w:kern w:val="16"/>
          <w:sz w:val="25"/>
          <w14:ligatures w14:val="standardContextual"/>
        </w:rPr>
        <w:t>5.12.3 Cálculo pro rata temporis</w:t>
      </w:r>
    </w:p>
    <w:p w14:paraId="0D7AE95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3F56380C" w14:textId="77777777" w:rsidR="005A5FCC" w:rsidRDefault="00A21C81">
      <w:r>
        <w:rPr>
          <w:rFonts w:cs="EB Garamond"/>
          <w:kern w:val="16"/>
          <w14:ligatures w14:val="standardContextual"/>
        </w:rPr>
        <w:t xml:space="preserve"> cálculo pro rata temporis determina que cada país paga uma parcela do benefício proporcional ao tempo de contribuição nele cumprido. Exemplo: se o segurado trabalhou 20 anos no Brasil e 10 anos em Portugal, cumprindo os 30 anos exigidos para aposentadoria pelo acordo bilateral:</w:t>
      </w:r>
    </w:p>
    <w:p w14:paraId="69B0F9DA"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Brasil paga 2/3 do benefício (20/30);</w:t>
      </w:r>
    </w:p>
    <w:p w14:paraId="456E03B3"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Portugal paga 1/3 do benefício (10/30).</w:t>
      </w:r>
    </w:p>
    <w:p w14:paraId="2890CC43" w14:textId="77777777" w:rsidR="005A5FCC" w:rsidRDefault="005A5FCC">
      <w:pPr>
        <w:spacing w:after="60" w:line="240" w:lineRule="auto"/>
      </w:pPr>
    </w:p>
    <w:p w14:paraId="55F8DED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C</w:t>
      </w:r>
    </w:p>
    <w:p w14:paraId="47898FEF" w14:textId="77777777" w:rsidR="005A5FCC" w:rsidRDefault="00A21C81">
      <w:r>
        <w:rPr>
          <w:rFonts w:cs="EB Garamond"/>
          <w:kern w:val="16"/>
          <w14:ligatures w14:val="standardContextual"/>
        </w:rPr>
        <w:t>ada país calcula sua parcela segundo sua própria legislação interna, aplicando os percentuais e critérios locais. O resultado pode variar significativamente conforme as regras previdenciárias de cada país.</w:t>
      </w:r>
    </w:p>
    <w:p w14:paraId="036395A6" w14:textId="77777777" w:rsidR="005A5FCC" w:rsidRDefault="00A21C81">
      <w:pPr>
        <w:ind w:firstLine="238"/>
      </w:pPr>
      <w:r>
        <w:rPr>
          <w:rFonts w:cs="EB Garamond"/>
          <w:kern w:val="16"/>
          <w14:ligatures w14:val="standardContextual"/>
        </w:rPr>
        <w:t>Alguns acordos preveem cláusula de benefício integral: quando o segurado cumpre todos os requisitos de um país considerando apenas o tempo cumprido naquele país (sem totalização), ele recebe o benefício integral daquele país, sem necessidade de pro rata.</w:t>
      </w:r>
    </w:p>
    <w:p w14:paraId="1E70C245" w14:textId="77777777" w:rsidR="005A5FCC" w:rsidRDefault="00A21C81">
      <w:pPr>
        <w:spacing w:before="260" w:after="80" w:line="240" w:lineRule="auto"/>
        <w:jc w:val="left"/>
      </w:pPr>
      <w:r>
        <w:rPr>
          <w:rFonts w:cs="EB Garamond"/>
          <w:b/>
          <w:color w:val="3A3128"/>
          <w:kern w:val="16"/>
          <w:sz w:val="25"/>
          <w14:ligatures w14:val="standardContextual"/>
        </w:rPr>
        <w:t>5.12.4 Principais acordos bilaterais</w:t>
      </w:r>
    </w:p>
    <w:p w14:paraId="66D9970C"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44849A39" w14:textId="77777777" w:rsidR="005A5FCC" w:rsidRDefault="00A21C81">
      <w:r>
        <w:rPr>
          <w:rFonts w:cs="EB Garamond"/>
          <w:kern w:val="16"/>
          <w14:ligatures w14:val="standardContextual"/>
        </w:rPr>
        <w:t xml:space="preserve"> Brasil mantém acordos previdenciários — bilaterais e multilaterais — com diversos países e blocos. Entre os mais relevantes para a prática nos JEFs, destacam-se os seguintes instrumentos:</w:t>
      </w:r>
    </w:p>
    <w:tbl>
      <w:tblPr>
        <w:tblW w:w="5000" w:type="pct"/>
        <w:jc w:val="center"/>
        <w:tblLook w:val="04A0" w:firstRow="1" w:lastRow="0" w:firstColumn="1" w:lastColumn="0" w:noHBand="0" w:noVBand="1"/>
      </w:tblPr>
      <w:tblGrid>
        <w:gridCol w:w="2114"/>
        <w:gridCol w:w="2113"/>
        <w:gridCol w:w="2113"/>
      </w:tblGrid>
      <w:tr w:rsidR="005A5FCC" w14:paraId="0E364B95" w14:textId="77777777">
        <w:trPr>
          <w:tblHeader/>
          <w:jc w:val="center"/>
        </w:trPr>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2E1D6801" w14:textId="77777777" w:rsidR="005A5FCC" w:rsidRDefault="00A21C81">
            <w:pPr>
              <w:spacing w:before="40" w:after="40" w:line="240" w:lineRule="auto"/>
              <w:jc w:val="center"/>
            </w:pPr>
            <w:r>
              <w:rPr>
                <w:rFonts w:cs="EB Garamond"/>
                <w:b/>
                <w:color w:val="2F2923"/>
                <w:kern w:val="16"/>
                <w:sz w:val="18"/>
                <w14:ligatures w14:val="standardContextual"/>
              </w:rPr>
              <w:t>País/Bloco</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392BCC66" w14:textId="77777777" w:rsidR="005A5FCC" w:rsidRDefault="00A21C81">
            <w:pPr>
              <w:spacing w:before="40" w:after="40" w:line="240" w:lineRule="auto"/>
              <w:jc w:val="center"/>
            </w:pPr>
            <w:r>
              <w:rPr>
                <w:rFonts w:cs="EB Garamond"/>
                <w:b/>
                <w:color w:val="2F2923"/>
                <w:kern w:val="16"/>
                <w:sz w:val="18"/>
                <w14:ligatures w14:val="standardContextual"/>
              </w:rPr>
              <w:t>Decreto</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604D3D52" w14:textId="77777777" w:rsidR="005A5FCC" w:rsidRDefault="00A21C81">
            <w:pPr>
              <w:spacing w:before="40" w:after="40" w:line="240" w:lineRule="auto"/>
              <w:jc w:val="center"/>
            </w:pPr>
            <w:r>
              <w:rPr>
                <w:rFonts w:cs="EB Garamond"/>
                <w:b/>
                <w:color w:val="2F2923"/>
                <w:kern w:val="16"/>
                <w:sz w:val="18"/>
                <w14:ligatures w14:val="standardContextual"/>
              </w:rPr>
              <w:t>Vigência</w:t>
            </w:r>
          </w:p>
        </w:tc>
      </w:tr>
      <w:tr w:rsidR="005A5FCC" w14:paraId="3351DDF9"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53FE4FF8" w14:textId="77777777" w:rsidR="005A5FCC" w:rsidRDefault="00A21C81">
            <w:pPr>
              <w:spacing w:before="20" w:after="20" w:line="240" w:lineRule="auto"/>
              <w:jc w:val="left"/>
            </w:pPr>
            <w:r>
              <w:rPr>
                <w:rFonts w:cs="EB Garamond"/>
                <w:kern w:val="16"/>
                <w:sz w:val="18"/>
                <w14:ligatures w14:val="standardContextual"/>
              </w:rPr>
              <w:t>Portugal</w:t>
            </w:r>
          </w:p>
        </w:tc>
        <w:tc>
          <w:tcPr>
            <w:tcW w:w="2117" w:type="dxa"/>
            <w:tcBorders>
              <w:top w:val="single" w:sz="4" w:space="0" w:color="D2C9B8"/>
              <w:left w:val="single" w:sz="4" w:space="0" w:color="D2C9B8"/>
              <w:bottom w:val="single" w:sz="4" w:space="0" w:color="D2C9B8"/>
              <w:right w:val="single" w:sz="4" w:space="0" w:color="D2C9B8"/>
            </w:tcBorders>
          </w:tcPr>
          <w:p w14:paraId="5E4EC9D0" w14:textId="77777777" w:rsidR="005A5FCC" w:rsidRDefault="00A21C81">
            <w:pPr>
              <w:spacing w:before="20" w:after="20" w:line="240" w:lineRule="auto"/>
              <w:jc w:val="left"/>
            </w:pPr>
            <w:r>
              <w:rPr>
                <w:rFonts w:cs="EB Garamond"/>
                <w:kern w:val="16"/>
                <w:sz w:val="18"/>
                <w14:ligatures w14:val="standardContextual"/>
              </w:rPr>
              <w:t>Dec. 1.457/1995</w:t>
            </w:r>
          </w:p>
        </w:tc>
        <w:tc>
          <w:tcPr>
            <w:tcW w:w="2117" w:type="dxa"/>
            <w:tcBorders>
              <w:top w:val="single" w:sz="4" w:space="0" w:color="D2C9B8"/>
              <w:left w:val="single" w:sz="4" w:space="0" w:color="D2C9B8"/>
              <w:bottom w:val="single" w:sz="4" w:space="0" w:color="D2C9B8"/>
              <w:right w:val="single" w:sz="4" w:space="0" w:color="D2C9B8"/>
            </w:tcBorders>
          </w:tcPr>
          <w:p w14:paraId="0FA11FE9" w14:textId="77777777" w:rsidR="005A5FCC" w:rsidRDefault="00A21C81">
            <w:pPr>
              <w:spacing w:before="20" w:after="20" w:line="240" w:lineRule="auto"/>
              <w:jc w:val="left"/>
            </w:pPr>
            <w:r>
              <w:rPr>
                <w:rFonts w:cs="EB Garamond"/>
                <w:kern w:val="16"/>
                <w:sz w:val="18"/>
                <w14:ligatures w14:val="standardContextual"/>
              </w:rPr>
              <w:t>1995</w:t>
            </w:r>
          </w:p>
        </w:tc>
      </w:tr>
      <w:tr w:rsidR="005A5FCC" w14:paraId="7CBD3C81"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66BD795D" w14:textId="77777777" w:rsidR="005A5FCC" w:rsidRDefault="00A21C81">
            <w:pPr>
              <w:spacing w:before="20" w:after="20" w:line="240" w:lineRule="auto"/>
              <w:jc w:val="left"/>
            </w:pPr>
            <w:r>
              <w:rPr>
                <w:rFonts w:cs="EB Garamond"/>
                <w:kern w:val="16"/>
                <w:sz w:val="18"/>
                <w14:ligatures w14:val="standardContextual"/>
              </w:rPr>
              <w:t>Espanha</w:t>
            </w:r>
          </w:p>
        </w:tc>
        <w:tc>
          <w:tcPr>
            <w:tcW w:w="2117" w:type="dxa"/>
            <w:tcBorders>
              <w:top w:val="single" w:sz="4" w:space="0" w:color="D2C9B8"/>
              <w:left w:val="single" w:sz="4" w:space="0" w:color="D2C9B8"/>
              <w:bottom w:val="single" w:sz="4" w:space="0" w:color="D2C9B8"/>
              <w:right w:val="single" w:sz="4" w:space="0" w:color="D2C9B8"/>
            </w:tcBorders>
          </w:tcPr>
          <w:p w14:paraId="0DE5D1CF" w14:textId="77777777" w:rsidR="005A5FCC" w:rsidRDefault="00A21C81">
            <w:pPr>
              <w:spacing w:before="20" w:after="20" w:line="240" w:lineRule="auto"/>
              <w:jc w:val="left"/>
            </w:pPr>
            <w:r>
              <w:rPr>
                <w:rFonts w:cs="EB Garamond"/>
                <w:kern w:val="16"/>
                <w:sz w:val="18"/>
                <w14:ligatures w14:val="standardContextual"/>
              </w:rPr>
              <w:t>Dec. 1.681/1995</w:t>
            </w:r>
          </w:p>
        </w:tc>
        <w:tc>
          <w:tcPr>
            <w:tcW w:w="2117" w:type="dxa"/>
            <w:tcBorders>
              <w:top w:val="single" w:sz="4" w:space="0" w:color="D2C9B8"/>
              <w:left w:val="single" w:sz="4" w:space="0" w:color="D2C9B8"/>
              <w:bottom w:val="single" w:sz="4" w:space="0" w:color="D2C9B8"/>
              <w:right w:val="single" w:sz="4" w:space="0" w:color="D2C9B8"/>
            </w:tcBorders>
          </w:tcPr>
          <w:p w14:paraId="44AEB0B1" w14:textId="77777777" w:rsidR="005A5FCC" w:rsidRDefault="00A21C81">
            <w:pPr>
              <w:spacing w:before="20" w:after="20" w:line="240" w:lineRule="auto"/>
              <w:jc w:val="left"/>
            </w:pPr>
            <w:r>
              <w:rPr>
                <w:rFonts w:cs="EB Garamond"/>
                <w:kern w:val="16"/>
                <w:sz w:val="18"/>
                <w14:ligatures w14:val="standardContextual"/>
              </w:rPr>
              <w:t>1995</w:t>
            </w:r>
          </w:p>
        </w:tc>
      </w:tr>
      <w:tr w:rsidR="005A5FCC" w14:paraId="5004E46A"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02C728A3" w14:textId="77777777" w:rsidR="005A5FCC" w:rsidRDefault="00A21C81">
            <w:pPr>
              <w:spacing w:before="20" w:after="20" w:line="240" w:lineRule="auto"/>
              <w:jc w:val="left"/>
            </w:pPr>
            <w:r>
              <w:rPr>
                <w:rFonts w:cs="EB Garamond"/>
                <w:kern w:val="16"/>
                <w:sz w:val="18"/>
                <w14:ligatures w14:val="standardContextual"/>
              </w:rPr>
              <w:t>Itália</w:t>
            </w:r>
          </w:p>
        </w:tc>
        <w:tc>
          <w:tcPr>
            <w:tcW w:w="2117" w:type="dxa"/>
            <w:tcBorders>
              <w:top w:val="single" w:sz="4" w:space="0" w:color="D2C9B8"/>
              <w:left w:val="single" w:sz="4" w:space="0" w:color="D2C9B8"/>
              <w:bottom w:val="single" w:sz="4" w:space="0" w:color="D2C9B8"/>
              <w:right w:val="single" w:sz="4" w:space="0" w:color="D2C9B8"/>
            </w:tcBorders>
          </w:tcPr>
          <w:p w14:paraId="2D6EADCA" w14:textId="77777777" w:rsidR="005A5FCC" w:rsidRDefault="00A21C81">
            <w:pPr>
              <w:spacing w:before="20" w:after="20" w:line="240" w:lineRule="auto"/>
              <w:jc w:val="left"/>
            </w:pPr>
            <w:r>
              <w:rPr>
                <w:rFonts w:cs="EB Garamond"/>
                <w:kern w:val="16"/>
                <w:sz w:val="18"/>
                <w14:ligatures w14:val="standardContextual"/>
              </w:rPr>
              <w:t>Dec. 1.576/1995</w:t>
            </w:r>
          </w:p>
        </w:tc>
        <w:tc>
          <w:tcPr>
            <w:tcW w:w="2117" w:type="dxa"/>
            <w:tcBorders>
              <w:top w:val="single" w:sz="4" w:space="0" w:color="D2C9B8"/>
              <w:left w:val="single" w:sz="4" w:space="0" w:color="D2C9B8"/>
              <w:bottom w:val="single" w:sz="4" w:space="0" w:color="D2C9B8"/>
              <w:right w:val="single" w:sz="4" w:space="0" w:color="D2C9B8"/>
            </w:tcBorders>
          </w:tcPr>
          <w:p w14:paraId="0A0DD72F" w14:textId="77777777" w:rsidR="005A5FCC" w:rsidRDefault="00A21C81">
            <w:pPr>
              <w:spacing w:before="20" w:after="20" w:line="240" w:lineRule="auto"/>
              <w:jc w:val="left"/>
            </w:pPr>
            <w:r>
              <w:rPr>
                <w:rFonts w:cs="EB Garamond"/>
                <w:kern w:val="16"/>
                <w:sz w:val="18"/>
                <w14:ligatures w14:val="standardContextual"/>
              </w:rPr>
              <w:t>1995</w:t>
            </w:r>
          </w:p>
        </w:tc>
      </w:tr>
      <w:tr w:rsidR="005A5FCC" w14:paraId="590BA250"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66BB9524" w14:textId="77777777" w:rsidR="005A5FCC" w:rsidRDefault="00A21C81">
            <w:pPr>
              <w:spacing w:before="20" w:after="20" w:line="240" w:lineRule="auto"/>
              <w:jc w:val="left"/>
            </w:pPr>
            <w:r>
              <w:rPr>
                <w:rFonts w:cs="EB Garamond"/>
                <w:kern w:val="16"/>
                <w:sz w:val="18"/>
                <w14:ligatures w14:val="standardContextual"/>
              </w:rPr>
              <w:t>Alemanha</w:t>
            </w:r>
          </w:p>
        </w:tc>
        <w:tc>
          <w:tcPr>
            <w:tcW w:w="2117" w:type="dxa"/>
            <w:tcBorders>
              <w:top w:val="single" w:sz="4" w:space="0" w:color="D2C9B8"/>
              <w:left w:val="single" w:sz="4" w:space="0" w:color="D2C9B8"/>
              <w:bottom w:val="single" w:sz="4" w:space="0" w:color="D2C9B8"/>
              <w:right w:val="single" w:sz="4" w:space="0" w:color="D2C9B8"/>
            </w:tcBorders>
          </w:tcPr>
          <w:p w14:paraId="45556FBA" w14:textId="77777777" w:rsidR="005A5FCC" w:rsidRDefault="00A21C81">
            <w:pPr>
              <w:spacing w:before="20" w:after="20" w:line="240" w:lineRule="auto"/>
              <w:jc w:val="left"/>
            </w:pPr>
            <w:r>
              <w:rPr>
                <w:rFonts w:cs="EB Garamond"/>
                <w:kern w:val="16"/>
                <w:sz w:val="18"/>
                <w14:ligatures w14:val="standardContextual"/>
              </w:rPr>
              <w:t>Dec. 99.377/1990</w:t>
            </w:r>
          </w:p>
        </w:tc>
        <w:tc>
          <w:tcPr>
            <w:tcW w:w="2117" w:type="dxa"/>
            <w:tcBorders>
              <w:top w:val="single" w:sz="4" w:space="0" w:color="D2C9B8"/>
              <w:left w:val="single" w:sz="4" w:space="0" w:color="D2C9B8"/>
              <w:bottom w:val="single" w:sz="4" w:space="0" w:color="D2C9B8"/>
              <w:right w:val="single" w:sz="4" w:space="0" w:color="D2C9B8"/>
            </w:tcBorders>
          </w:tcPr>
          <w:p w14:paraId="79AC10C1" w14:textId="77777777" w:rsidR="005A5FCC" w:rsidRDefault="00A21C81">
            <w:pPr>
              <w:spacing w:before="20" w:after="20" w:line="240" w:lineRule="auto"/>
              <w:jc w:val="left"/>
            </w:pPr>
            <w:r>
              <w:rPr>
                <w:rFonts w:cs="EB Garamond"/>
                <w:kern w:val="16"/>
                <w:sz w:val="18"/>
                <w14:ligatures w14:val="standardContextual"/>
              </w:rPr>
              <w:t>1990</w:t>
            </w:r>
          </w:p>
        </w:tc>
      </w:tr>
      <w:tr w:rsidR="005A5FCC" w14:paraId="5A49B6C9"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2E5ECDFA" w14:textId="77777777" w:rsidR="005A5FCC" w:rsidRDefault="00A21C81">
            <w:pPr>
              <w:spacing w:before="20" w:after="20" w:line="240" w:lineRule="auto"/>
              <w:jc w:val="left"/>
            </w:pPr>
            <w:r>
              <w:rPr>
                <w:rFonts w:cs="EB Garamond"/>
                <w:kern w:val="16"/>
                <w:sz w:val="18"/>
                <w14:ligatures w14:val="standardContextual"/>
              </w:rPr>
              <w:t>Japão</w:t>
            </w:r>
          </w:p>
        </w:tc>
        <w:tc>
          <w:tcPr>
            <w:tcW w:w="2117" w:type="dxa"/>
            <w:tcBorders>
              <w:top w:val="single" w:sz="4" w:space="0" w:color="D2C9B8"/>
              <w:left w:val="single" w:sz="4" w:space="0" w:color="D2C9B8"/>
              <w:bottom w:val="single" w:sz="4" w:space="0" w:color="D2C9B8"/>
              <w:right w:val="single" w:sz="4" w:space="0" w:color="D2C9B8"/>
            </w:tcBorders>
          </w:tcPr>
          <w:p w14:paraId="0610AD6A" w14:textId="77777777" w:rsidR="005A5FCC" w:rsidRDefault="00A21C81">
            <w:pPr>
              <w:spacing w:before="20" w:after="20" w:line="240" w:lineRule="auto"/>
              <w:jc w:val="left"/>
            </w:pPr>
            <w:r>
              <w:rPr>
                <w:rFonts w:cs="EB Garamond"/>
                <w:kern w:val="16"/>
                <w:sz w:val="18"/>
                <w14:ligatures w14:val="standardContextual"/>
              </w:rPr>
              <w:t>Dec. 7.702/2012</w:t>
            </w:r>
          </w:p>
        </w:tc>
        <w:tc>
          <w:tcPr>
            <w:tcW w:w="2117" w:type="dxa"/>
            <w:tcBorders>
              <w:top w:val="single" w:sz="4" w:space="0" w:color="D2C9B8"/>
              <w:left w:val="single" w:sz="4" w:space="0" w:color="D2C9B8"/>
              <w:bottom w:val="single" w:sz="4" w:space="0" w:color="D2C9B8"/>
              <w:right w:val="single" w:sz="4" w:space="0" w:color="D2C9B8"/>
            </w:tcBorders>
          </w:tcPr>
          <w:p w14:paraId="48D97AD2" w14:textId="77777777" w:rsidR="005A5FCC" w:rsidRDefault="00A21C81">
            <w:pPr>
              <w:spacing w:before="20" w:after="20" w:line="240" w:lineRule="auto"/>
              <w:jc w:val="left"/>
            </w:pPr>
            <w:r>
              <w:rPr>
                <w:rFonts w:cs="EB Garamond"/>
                <w:kern w:val="16"/>
                <w:sz w:val="18"/>
                <w14:ligatures w14:val="standardContextual"/>
              </w:rPr>
              <w:t>2012</w:t>
            </w:r>
          </w:p>
        </w:tc>
      </w:tr>
      <w:tr w:rsidR="005A5FCC" w14:paraId="168E0F99"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58F61775" w14:textId="77777777" w:rsidR="005A5FCC" w:rsidRDefault="00A21C81">
            <w:pPr>
              <w:spacing w:before="20" w:after="20" w:line="240" w:lineRule="auto"/>
              <w:jc w:val="left"/>
            </w:pPr>
            <w:r>
              <w:rPr>
                <w:rFonts w:cs="EB Garamond"/>
                <w:kern w:val="16"/>
                <w:sz w:val="18"/>
                <w14:ligatures w14:val="standardContextual"/>
              </w:rPr>
              <w:lastRenderedPageBreak/>
              <w:t>EUA</w:t>
            </w:r>
          </w:p>
        </w:tc>
        <w:tc>
          <w:tcPr>
            <w:tcW w:w="2117" w:type="dxa"/>
            <w:tcBorders>
              <w:top w:val="single" w:sz="4" w:space="0" w:color="D2C9B8"/>
              <w:left w:val="single" w:sz="4" w:space="0" w:color="D2C9B8"/>
              <w:bottom w:val="single" w:sz="4" w:space="0" w:color="D2C9B8"/>
              <w:right w:val="single" w:sz="4" w:space="0" w:color="D2C9B8"/>
            </w:tcBorders>
          </w:tcPr>
          <w:p w14:paraId="73EEC68E" w14:textId="77777777" w:rsidR="005A5FCC" w:rsidRDefault="00A21C81">
            <w:pPr>
              <w:spacing w:before="20" w:after="20" w:line="240" w:lineRule="auto"/>
              <w:jc w:val="left"/>
            </w:pPr>
            <w:r>
              <w:rPr>
                <w:rFonts w:cs="EB Garamond"/>
                <w:kern w:val="16"/>
                <w:sz w:val="18"/>
                <w14:ligatures w14:val="standardContextual"/>
              </w:rPr>
              <w:t>Dec. 9.422/2018</w:t>
            </w:r>
          </w:p>
        </w:tc>
        <w:tc>
          <w:tcPr>
            <w:tcW w:w="2117" w:type="dxa"/>
            <w:tcBorders>
              <w:top w:val="single" w:sz="4" w:space="0" w:color="D2C9B8"/>
              <w:left w:val="single" w:sz="4" w:space="0" w:color="D2C9B8"/>
              <w:bottom w:val="single" w:sz="4" w:space="0" w:color="D2C9B8"/>
              <w:right w:val="single" w:sz="4" w:space="0" w:color="D2C9B8"/>
            </w:tcBorders>
          </w:tcPr>
          <w:p w14:paraId="2A443ABC" w14:textId="77777777" w:rsidR="005A5FCC" w:rsidRDefault="00A21C81">
            <w:pPr>
              <w:spacing w:before="20" w:after="20" w:line="240" w:lineRule="auto"/>
              <w:jc w:val="left"/>
            </w:pPr>
            <w:r>
              <w:rPr>
                <w:rFonts w:cs="EB Garamond"/>
                <w:kern w:val="16"/>
                <w:sz w:val="18"/>
                <w14:ligatures w14:val="standardContextual"/>
              </w:rPr>
              <w:t>2018 (efetivo em 01/10/2018)</w:t>
            </w:r>
          </w:p>
        </w:tc>
      </w:tr>
      <w:tr w:rsidR="005A5FCC" w14:paraId="204C3035"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62F91721" w14:textId="77777777" w:rsidR="005A5FCC" w:rsidRDefault="00A21C81">
            <w:pPr>
              <w:spacing w:before="20" w:after="20" w:line="240" w:lineRule="auto"/>
              <w:jc w:val="left"/>
            </w:pPr>
            <w:r>
              <w:rPr>
                <w:rFonts w:cs="EB Garamond"/>
                <w:kern w:val="16"/>
                <w:sz w:val="18"/>
                <w14:ligatures w14:val="standardContextual"/>
              </w:rPr>
              <w:t>França</w:t>
            </w:r>
          </w:p>
        </w:tc>
        <w:tc>
          <w:tcPr>
            <w:tcW w:w="2117" w:type="dxa"/>
            <w:tcBorders>
              <w:top w:val="single" w:sz="4" w:space="0" w:color="D2C9B8"/>
              <w:left w:val="single" w:sz="4" w:space="0" w:color="D2C9B8"/>
              <w:bottom w:val="single" w:sz="4" w:space="0" w:color="D2C9B8"/>
              <w:right w:val="single" w:sz="4" w:space="0" w:color="D2C9B8"/>
            </w:tcBorders>
          </w:tcPr>
          <w:p w14:paraId="08F92FD3" w14:textId="77777777" w:rsidR="005A5FCC" w:rsidRDefault="00A21C81">
            <w:pPr>
              <w:spacing w:before="20" w:after="20" w:line="240" w:lineRule="auto"/>
              <w:jc w:val="left"/>
            </w:pPr>
            <w:r>
              <w:rPr>
                <w:rFonts w:cs="EB Garamond"/>
                <w:kern w:val="16"/>
                <w:sz w:val="18"/>
                <w14:ligatures w14:val="standardContextual"/>
              </w:rPr>
              <w:t>Dec. 3.598/2000</w:t>
            </w:r>
          </w:p>
        </w:tc>
        <w:tc>
          <w:tcPr>
            <w:tcW w:w="2117" w:type="dxa"/>
            <w:tcBorders>
              <w:top w:val="single" w:sz="4" w:space="0" w:color="D2C9B8"/>
              <w:left w:val="single" w:sz="4" w:space="0" w:color="D2C9B8"/>
              <w:bottom w:val="single" w:sz="4" w:space="0" w:color="D2C9B8"/>
              <w:right w:val="single" w:sz="4" w:space="0" w:color="D2C9B8"/>
            </w:tcBorders>
          </w:tcPr>
          <w:p w14:paraId="5AAC552B" w14:textId="77777777" w:rsidR="005A5FCC" w:rsidRDefault="00A21C81">
            <w:pPr>
              <w:spacing w:before="20" w:after="20" w:line="240" w:lineRule="auto"/>
              <w:jc w:val="left"/>
            </w:pPr>
            <w:r>
              <w:rPr>
                <w:rFonts w:cs="EB Garamond"/>
                <w:kern w:val="16"/>
                <w:sz w:val="18"/>
                <w14:ligatures w14:val="standardContextual"/>
              </w:rPr>
              <w:t>2000</w:t>
            </w:r>
          </w:p>
        </w:tc>
      </w:tr>
      <w:tr w:rsidR="005A5FCC" w14:paraId="499225A2"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25E23613" w14:textId="77777777" w:rsidR="005A5FCC" w:rsidRDefault="00A21C81">
            <w:pPr>
              <w:spacing w:before="20" w:after="20" w:line="240" w:lineRule="auto"/>
              <w:jc w:val="left"/>
            </w:pPr>
            <w:r>
              <w:rPr>
                <w:rFonts w:cs="EB Garamond"/>
                <w:kern w:val="16"/>
                <w:sz w:val="18"/>
                <w14:ligatures w14:val="standardContextual"/>
              </w:rPr>
              <w:t>Chile</w:t>
            </w:r>
          </w:p>
        </w:tc>
        <w:tc>
          <w:tcPr>
            <w:tcW w:w="2117" w:type="dxa"/>
            <w:tcBorders>
              <w:top w:val="single" w:sz="4" w:space="0" w:color="D2C9B8"/>
              <w:left w:val="single" w:sz="4" w:space="0" w:color="D2C9B8"/>
              <w:bottom w:val="single" w:sz="4" w:space="0" w:color="D2C9B8"/>
              <w:right w:val="single" w:sz="4" w:space="0" w:color="D2C9B8"/>
            </w:tcBorders>
          </w:tcPr>
          <w:p w14:paraId="7241420D" w14:textId="77777777" w:rsidR="005A5FCC" w:rsidRDefault="00A21C81">
            <w:pPr>
              <w:spacing w:before="20" w:after="20" w:line="240" w:lineRule="auto"/>
              <w:jc w:val="left"/>
            </w:pPr>
            <w:r>
              <w:rPr>
                <w:rFonts w:cs="EB Garamond"/>
                <w:kern w:val="16"/>
                <w:sz w:val="18"/>
                <w14:ligatures w14:val="standardContextual"/>
              </w:rPr>
              <w:t>Dec. 2.860/1998</w:t>
            </w:r>
          </w:p>
        </w:tc>
        <w:tc>
          <w:tcPr>
            <w:tcW w:w="2117" w:type="dxa"/>
            <w:tcBorders>
              <w:top w:val="single" w:sz="4" w:space="0" w:color="D2C9B8"/>
              <w:left w:val="single" w:sz="4" w:space="0" w:color="D2C9B8"/>
              <w:bottom w:val="single" w:sz="4" w:space="0" w:color="D2C9B8"/>
              <w:right w:val="single" w:sz="4" w:space="0" w:color="D2C9B8"/>
            </w:tcBorders>
          </w:tcPr>
          <w:p w14:paraId="4C8FF40B" w14:textId="77777777" w:rsidR="005A5FCC" w:rsidRDefault="00A21C81">
            <w:pPr>
              <w:spacing w:before="20" w:after="20" w:line="240" w:lineRule="auto"/>
              <w:jc w:val="left"/>
            </w:pPr>
            <w:r>
              <w:rPr>
                <w:rFonts w:cs="EB Garamond"/>
                <w:kern w:val="16"/>
                <w:sz w:val="18"/>
                <w14:ligatures w14:val="standardContextual"/>
              </w:rPr>
              <w:t>1998</w:t>
            </w:r>
          </w:p>
        </w:tc>
      </w:tr>
      <w:tr w:rsidR="005A5FCC" w14:paraId="11E2DB45"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06BA9750" w14:textId="77777777" w:rsidR="005A5FCC" w:rsidRDefault="00A21C81">
            <w:pPr>
              <w:spacing w:before="20" w:after="20" w:line="240" w:lineRule="auto"/>
              <w:jc w:val="left"/>
            </w:pPr>
            <w:r>
              <w:rPr>
                <w:rFonts w:cs="EB Garamond"/>
                <w:kern w:val="16"/>
                <w:sz w:val="18"/>
                <w14:ligatures w14:val="standardContextual"/>
              </w:rPr>
              <w:t>Coreia do Sul</w:t>
            </w:r>
          </w:p>
        </w:tc>
        <w:tc>
          <w:tcPr>
            <w:tcW w:w="2117" w:type="dxa"/>
            <w:tcBorders>
              <w:top w:val="single" w:sz="4" w:space="0" w:color="D2C9B8"/>
              <w:left w:val="single" w:sz="4" w:space="0" w:color="D2C9B8"/>
              <w:bottom w:val="single" w:sz="4" w:space="0" w:color="D2C9B8"/>
              <w:right w:val="single" w:sz="4" w:space="0" w:color="D2C9B8"/>
            </w:tcBorders>
          </w:tcPr>
          <w:p w14:paraId="3F4B9B46" w14:textId="77777777" w:rsidR="005A5FCC" w:rsidRDefault="00A21C81">
            <w:pPr>
              <w:spacing w:before="20" w:after="20" w:line="240" w:lineRule="auto"/>
              <w:jc w:val="left"/>
            </w:pPr>
            <w:r>
              <w:rPr>
                <w:rFonts w:cs="EB Garamond"/>
                <w:kern w:val="16"/>
                <w:sz w:val="18"/>
                <w14:ligatures w14:val="standardContextual"/>
              </w:rPr>
              <w:t>Dec. 10.514/2020</w:t>
            </w:r>
          </w:p>
        </w:tc>
        <w:tc>
          <w:tcPr>
            <w:tcW w:w="2117" w:type="dxa"/>
            <w:tcBorders>
              <w:top w:val="single" w:sz="4" w:space="0" w:color="D2C9B8"/>
              <w:left w:val="single" w:sz="4" w:space="0" w:color="D2C9B8"/>
              <w:bottom w:val="single" w:sz="4" w:space="0" w:color="D2C9B8"/>
              <w:right w:val="single" w:sz="4" w:space="0" w:color="D2C9B8"/>
            </w:tcBorders>
          </w:tcPr>
          <w:p w14:paraId="5290A3A5" w14:textId="77777777" w:rsidR="005A5FCC" w:rsidRDefault="00A21C81">
            <w:pPr>
              <w:spacing w:before="20" w:after="20" w:line="240" w:lineRule="auto"/>
              <w:jc w:val="left"/>
            </w:pPr>
            <w:r>
              <w:rPr>
                <w:rFonts w:cs="EB Garamond"/>
                <w:kern w:val="16"/>
                <w:sz w:val="18"/>
                <w14:ligatures w14:val="standardContextual"/>
              </w:rPr>
              <w:t>2020</w:t>
            </w:r>
          </w:p>
        </w:tc>
      </w:tr>
      <w:tr w:rsidR="005A5FCC" w14:paraId="294B6929"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47028FE0" w14:textId="77777777" w:rsidR="005A5FCC" w:rsidRDefault="00A21C81">
            <w:pPr>
              <w:spacing w:before="20" w:after="20" w:line="240" w:lineRule="auto"/>
              <w:jc w:val="left"/>
            </w:pPr>
            <w:r>
              <w:rPr>
                <w:rFonts w:cs="EB Garamond"/>
                <w:kern w:val="16"/>
                <w:sz w:val="18"/>
                <w14:ligatures w14:val="standardContextual"/>
              </w:rPr>
              <w:t>Suíça</w:t>
            </w:r>
          </w:p>
        </w:tc>
        <w:tc>
          <w:tcPr>
            <w:tcW w:w="2117" w:type="dxa"/>
            <w:tcBorders>
              <w:top w:val="single" w:sz="4" w:space="0" w:color="D2C9B8"/>
              <w:left w:val="single" w:sz="4" w:space="0" w:color="D2C9B8"/>
              <w:bottom w:val="single" w:sz="4" w:space="0" w:color="D2C9B8"/>
              <w:right w:val="single" w:sz="4" w:space="0" w:color="D2C9B8"/>
            </w:tcBorders>
          </w:tcPr>
          <w:p w14:paraId="48566BDA" w14:textId="77777777" w:rsidR="005A5FCC" w:rsidRDefault="00A21C81">
            <w:pPr>
              <w:spacing w:before="20" w:after="20" w:line="240" w:lineRule="auto"/>
              <w:jc w:val="left"/>
            </w:pPr>
            <w:r>
              <w:rPr>
                <w:rFonts w:cs="EB Garamond"/>
                <w:kern w:val="16"/>
                <w:sz w:val="18"/>
                <w14:ligatures w14:val="standardContextual"/>
              </w:rPr>
              <w:t>Dec. 11.076/2022</w:t>
            </w:r>
          </w:p>
        </w:tc>
        <w:tc>
          <w:tcPr>
            <w:tcW w:w="2117" w:type="dxa"/>
            <w:tcBorders>
              <w:top w:val="single" w:sz="4" w:space="0" w:color="D2C9B8"/>
              <w:left w:val="single" w:sz="4" w:space="0" w:color="D2C9B8"/>
              <w:bottom w:val="single" w:sz="4" w:space="0" w:color="D2C9B8"/>
              <w:right w:val="single" w:sz="4" w:space="0" w:color="D2C9B8"/>
            </w:tcBorders>
          </w:tcPr>
          <w:p w14:paraId="36745E1E" w14:textId="77777777" w:rsidR="005A5FCC" w:rsidRDefault="00A21C81">
            <w:pPr>
              <w:spacing w:before="20" w:after="20" w:line="240" w:lineRule="auto"/>
              <w:jc w:val="left"/>
            </w:pPr>
            <w:r>
              <w:rPr>
                <w:rFonts w:cs="EB Garamond"/>
                <w:kern w:val="16"/>
                <w:sz w:val="18"/>
                <w14:ligatures w14:val="standardContextual"/>
              </w:rPr>
              <w:t>2022</w:t>
            </w:r>
          </w:p>
        </w:tc>
      </w:tr>
      <w:tr w:rsidR="005A5FCC" w14:paraId="302287BB"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4D0E0F94" w14:textId="77777777" w:rsidR="005A5FCC" w:rsidRDefault="00A21C81">
            <w:pPr>
              <w:spacing w:before="20" w:after="20" w:line="240" w:lineRule="auto"/>
              <w:jc w:val="left"/>
            </w:pPr>
            <w:r>
              <w:rPr>
                <w:rFonts w:cs="EB Garamond"/>
                <w:kern w:val="16"/>
                <w:sz w:val="18"/>
                <w14:ligatures w14:val="standardContextual"/>
              </w:rPr>
              <w:t>Índia</w:t>
            </w:r>
          </w:p>
        </w:tc>
        <w:tc>
          <w:tcPr>
            <w:tcW w:w="2117" w:type="dxa"/>
            <w:tcBorders>
              <w:top w:val="single" w:sz="4" w:space="0" w:color="D2C9B8"/>
              <w:left w:val="single" w:sz="4" w:space="0" w:color="D2C9B8"/>
              <w:bottom w:val="single" w:sz="4" w:space="0" w:color="D2C9B8"/>
              <w:right w:val="single" w:sz="4" w:space="0" w:color="D2C9B8"/>
            </w:tcBorders>
          </w:tcPr>
          <w:p w14:paraId="2F7877C2" w14:textId="77777777" w:rsidR="005A5FCC" w:rsidRDefault="00A21C81">
            <w:pPr>
              <w:spacing w:before="20" w:after="20" w:line="240" w:lineRule="auto"/>
              <w:jc w:val="left"/>
            </w:pPr>
            <w:r>
              <w:rPr>
                <w:rFonts w:cs="EB Garamond"/>
                <w:kern w:val="16"/>
                <w:sz w:val="18"/>
                <w14:ligatures w14:val="standardContextual"/>
              </w:rPr>
              <w:t>Dec. 11.075/2022</w:t>
            </w:r>
          </w:p>
        </w:tc>
        <w:tc>
          <w:tcPr>
            <w:tcW w:w="2117" w:type="dxa"/>
            <w:tcBorders>
              <w:top w:val="single" w:sz="4" w:space="0" w:color="D2C9B8"/>
              <w:left w:val="single" w:sz="4" w:space="0" w:color="D2C9B8"/>
              <w:bottom w:val="single" w:sz="4" w:space="0" w:color="D2C9B8"/>
              <w:right w:val="single" w:sz="4" w:space="0" w:color="D2C9B8"/>
            </w:tcBorders>
          </w:tcPr>
          <w:p w14:paraId="3B9722E5" w14:textId="77777777" w:rsidR="005A5FCC" w:rsidRDefault="00A21C81">
            <w:pPr>
              <w:spacing w:before="20" w:after="20" w:line="240" w:lineRule="auto"/>
              <w:jc w:val="left"/>
            </w:pPr>
            <w:r>
              <w:rPr>
                <w:rFonts w:cs="EB Garamond"/>
                <w:kern w:val="16"/>
                <w:sz w:val="18"/>
                <w14:ligatures w14:val="standardContextual"/>
              </w:rPr>
              <w:t>2022</w:t>
            </w:r>
          </w:p>
        </w:tc>
      </w:tr>
      <w:tr w:rsidR="005A5FCC" w14:paraId="23A76B84"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37BDD0EC" w14:textId="77777777" w:rsidR="005A5FCC" w:rsidRDefault="00A21C81">
            <w:pPr>
              <w:spacing w:before="20" w:after="20" w:line="240" w:lineRule="auto"/>
              <w:jc w:val="left"/>
            </w:pPr>
            <w:r>
              <w:rPr>
                <w:rFonts w:cs="EB Garamond"/>
                <w:kern w:val="16"/>
                <w:sz w:val="18"/>
                <w14:ligatures w14:val="standardContextual"/>
              </w:rPr>
              <w:t>Luxemburgo</w:t>
            </w:r>
          </w:p>
        </w:tc>
        <w:tc>
          <w:tcPr>
            <w:tcW w:w="2117" w:type="dxa"/>
            <w:tcBorders>
              <w:top w:val="single" w:sz="4" w:space="0" w:color="D2C9B8"/>
              <w:left w:val="single" w:sz="4" w:space="0" w:color="D2C9B8"/>
              <w:bottom w:val="single" w:sz="4" w:space="0" w:color="D2C9B8"/>
              <w:right w:val="single" w:sz="4" w:space="0" w:color="D2C9B8"/>
            </w:tcBorders>
          </w:tcPr>
          <w:p w14:paraId="0804CC39" w14:textId="77777777" w:rsidR="005A5FCC" w:rsidRDefault="00A21C81">
            <w:pPr>
              <w:spacing w:before="20" w:after="20" w:line="240" w:lineRule="auto"/>
              <w:jc w:val="left"/>
            </w:pPr>
            <w:r>
              <w:rPr>
                <w:rFonts w:cs="EB Garamond"/>
                <w:kern w:val="16"/>
                <w:sz w:val="18"/>
                <w14:ligatures w14:val="standardContextual"/>
              </w:rPr>
              <w:t>Dec. 11.020/2022</w:t>
            </w:r>
          </w:p>
        </w:tc>
        <w:tc>
          <w:tcPr>
            <w:tcW w:w="2117" w:type="dxa"/>
            <w:tcBorders>
              <w:top w:val="single" w:sz="4" w:space="0" w:color="D2C9B8"/>
              <w:left w:val="single" w:sz="4" w:space="0" w:color="D2C9B8"/>
              <w:bottom w:val="single" w:sz="4" w:space="0" w:color="D2C9B8"/>
              <w:right w:val="single" w:sz="4" w:space="0" w:color="D2C9B8"/>
            </w:tcBorders>
          </w:tcPr>
          <w:p w14:paraId="3B1B5C0E" w14:textId="77777777" w:rsidR="005A5FCC" w:rsidRDefault="00A21C81">
            <w:pPr>
              <w:spacing w:before="20" w:after="20" w:line="240" w:lineRule="auto"/>
              <w:jc w:val="left"/>
            </w:pPr>
            <w:r>
              <w:rPr>
                <w:rFonts w:cs="EB Garamond"/>
                <w:kern w:val="16"/>
                <w:sz w:val="18"/>
                <w14:ligatures w14:val="standardContextual"/>
              </w:rPr>
              <w:t>2022</w:t>
            </w:r>
          </w:p>
        </w:tc>
      </w:tr>
      <w:tr w:rsidR="005A5FCC" w14:paraId="78D77F2D"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68D4660A" w14:textId="77777777" w:rsidR="005A5FCC" w:rsidRDefault="00A21C81">
            <w:pPr>
              <w:spacing w:before="20" w:after="20" w:line="240" w:lineRule="auto"/>
              <w:jc w:val="left"/>
            </w:pPr>
            <w:r>
              <w:rPr>
                <w:rFonts w:cs="EB Garamond"/>
                <w:kern w:val="16"/>
                <w:sz w:val="18"/>
                <w14:ligatures w14:val="standardContextual"/>
              </w:rPr>
              <w:t>Mercosul (multilateral)</w:t>
            </w:r>
          </w:p>
        </w:tc>
        <w:tc>
          <w:tcPr>
            <w:tcW w:w="2117" w:type="dxa"/>
            <w:tcBorders>
              <w:top w:val="single" w:sz="4" w:space="0" w:color="D2C9B8"/>
              <w:left w:val="single" w:sz="4" w:space="0" w:color="D2C9B8"/>
              <w:bottom w:val="single" w:sz="4" w:space="0" w:color="D2C9B8"/>
              <w:right w:val="single" w:sz="4" w:space="0" w:color="D2C9B8"/>
            </w:tcBorders>
          </w:tcPr>
          <w:p w14:paraId="375B8B97" w14:textId="77777777" w:rsidR="005A5FCC" w:rsidRDefault="00A21C81">
            <w:pPr>
              <w:spacing w:before="20" w:after="20" w:line="240" w:lineRule="auto"/>
              <w:jc w:val="left"/>
            </w:pPr>
            <w:r>
              <w:rPr>
                <w:rFonts w:cs="EB Garamond"/>
                <w:kern w:val="16"/>
                <w:sz w:val="18"/>
                <w14:ligatures w14:val="standardContextual"/>
              </w:rPr>
              <w:t>Dec. 5.722/2006</w:t>
            </w:r>
          </w:p>
        </w:tc>
        <w:tc>
          <w:tcPr>
            <w:tcW w:w="2117" w:type="dxa"/>
            <w:tcBorders>
              <w:top w:val="single" w:sz="4" w:space="0" w:color="D2C9B8"/>
              <w:left w:val="single" w:sz="4" w:space="0" w:color="D2C9B8"/>
              <w:bottom w:val="single" w:sz="4" w:space="0" w:color="D2C9B8"/>
              <w:right w:val="single" w:sz="4" w:space="0" w:color="D2C9B8"/>
            </w:tcBorders>
          </w:tcPr>
          <w:p w14:paraId="4E06E04B" w14:textId="77777777" w:rsidR="005A5FCC" w:rsidRDefault="00A21C81">
            <w:pPr>
              <w:spacing w:before="20" w:after="20" w:line="240" w:lineRule="auto"/>
              <w:jc w:val="left"/>
            </w:pPr>
            <w:r>
              <w:rPr>
                <w:rFonts w:cs="EB Garamond"/>
                <w:kern w:val="16"/>
                <w:sz w:val="18"/>
                <w14:ligatures w14:val="standardContextual"/>
              </w:rPr>
              <w:t>2006</w:t>
            </w:r>
          </w:p>
        </w:tc>
      </w:tr>
      <w:tr w:rsidR="005A5FCC" w14:paraId="1F50F12A"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7E36CAB2" w14:textId="77777777" w:rsidR="005A5FCC" w:rsidRDefault="00A21C81">
            <w:pPr>
              <w:spacing w:before="20" w:after="20" w:line="240" w:lineRule="auto"/>
              <w:jc w:val="left"/>
            </w:pPr>
            <w:r>
              <w:rPr>
                <w:rFonts w:cs="EB Garamond"/>
                <w:kern w:val="16"/>
                <w:sz w:val="18"/>
                <w14:ligatures w14:val="standardContextual"/>
              </w:rPr>
              <w:t>Ibero-Americano (multilateral)</w:t>
            </w:r>
          </w:p>
        </w:tc>
        <w:tc>
          <w:tcPr>
            <w:tcW w:w="2117" w:type="dxa"/>
            <w:tcBorders>
              <w:top w:val="single" w:sz="4" w:space="0" w:color="D2C9B8"/>
              <w:left w:val="single" w:sz="4" w:space="0" w:color="D2C9B8"/>
              <w:bottom w:val="single" w:sz="4" w:space="0" w:color="D2C9B8"/>
              <w:right w:val="single" w:sz="4" w:space="0" w:color="D2C9B8"/>
            </w:tcBorders>
          </w:tcPr>
          <w:p w14:paraId="170AF77E" w14:textId="77777777" w:rsidR="005A5FCC" w:rsidRDefault="00A21C81">
            <w:pPr>
              <w:spacing w:before="20" w:after="20" w:line="240" w:lineRule="auto"/>
              <w:jc w:val="left"/>
            </w:pPr>
            <w:r>
              <w:rPr>
                <w:rFonts w:cs="EB Garamond"/>
                <w:kern w:val="16"/>
                <w:sz w:val="18"/>
                <w14:ligatures w14:val="standardContextual"/>
              </w:rPr>
              <w:t>Dec. 8.358/2014</w:t>
            </w:r>
          </w:p>
        </w:tc>
        <w:tc>
          <w:tcPr>
            <w:tcW w:w="2117" w:type="dxa"/>
            <w:tcBorders>
              <w:top w:val="single" w:sz="4" w:space="0" w:color="D2C9B8"/>
              <w:left w:val="single" w:sz="4" w:space="0" w:color="D2C9B8"/>
              <w:bottom w:val="single" w:sz="4" w:space="0" w:color="D2C9B8"/>
              <w:right w:val="single" w:sz="4" w:space="0" w:color="D2C9B8"/>
            </w:tcBorders>
          </w:tcPr>
          <w:p w14:paraId="1AC554BF" w14:textId="77777777" w:rsidR="005A5FCC" w:rsidRDefault="00A21C81">
            <w:pPr>
              <w:spacing w:before="20" w:after="20" w:line="240" w:lineRule="auto"/>
              <w:jc w:val="left"/>
            </w:pPr>
            <w:r>
              <w:rPr>
                <w:rFonts w:cs="EB Garamond"/>
                <w:kern w:val="16"/>
                <w:sz w:val="18"/>
                <w14:ligatures w14:val="standardContextual"/>
              </w:rPr>
              <w:t>2014</w:t>
            </w:r>
          </w:p>
        </w:tc>
      </w:tr>
    </w:tbl>
    <w:p w14:paraId="7F40A08F" w14:textId="77777777" w:rsidR="005A5FCC" w:rsidRDefault="005A5FCC">
      <w:pPr>
        <w:spacing w:after="80" w:line="240" w:lineRule="auto"/>
      </w:pPr>
    </w:p>
    <w:p w14:paraId="6D5C9904" w14:textId="77777777" w:rsidR="005A5FCC" w:rsidRDefault="00A21C81">
      <w:pPr>
        <w:spacing w:before="260" w:after="80" w:line="240" w:lineRule="auto"/>
        <w:jc w:val="left"/>
      </w:pPr>
      <w:r>
        <w:rPr>
          <w:rFonts w:cs="EB Garamond"/>
          <w:b/>
          <w:color w:val="3A3128"/>
          <w:kern w:val="16"/>
          <w:sz w:val="25"/>
          <w14:ligatures w14:val="standardContextual"/>
        </w:rPr>
        <w:t>5.12.5 Acordo multilateral do Mercosul</w:t>
      </w:r>
    </w:p>
    <w:p w14:paraId="14670D1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506DEEB7" w14:textId="77777777" w:rsidR="005A5FCC" w:rsidRDefault="00A21C81">
      <w:r>
        <w:rPr>
          <w:rFonts w:cs="EB Garamond"/>
          <w:kern w:val="16"/>
          <w14:ligatures w14:val="standardContextual"/>
        </w:rPr>
        <w:t xml:space="preserve"> Acordo Multilateral de Seguridade Social do Mercosul (Argentina, Brasil, Paraguai e Uruguai), promulgado pelo Decreto 5.722/2006, permite a totalização de períodos cumpridos em qualquer dos países membros. O acordo abrange: aposentadoria por idade, aposentadoria por incapacidade permanente, pensão por morte e, em alguns casos, auxílio por incapacidade temporária.</w:t>
      </w:r>
    </w:p>
    <w:p w14:paraId="246BC7A3" w14:textId="77777777" w:rsidR="005A5FCC" w:rsidRDefault="00A21C81">
      <w:pPr>
        <w:ind w:firstLine="238"/>
      </w:pPr>
      <w:r>
        <w:rPr>
          <w:rFonts w:cs="EB Garamond"/>
          <w:kern w:val="16"/>
          <w14:ligatures w14:val="standardContextual"/>
        </w:rPr>
        <w:t>O segurado que trabalhou em dois ou mais países do Mercosul apresenta o requerimento ao organismo de ligação de seu país de residência, que coordena a troca de informações com os demais países. O processamento pode ser demorado (6 meses a 2 anos), dada a necessidade de comunicação entre múltiplos organismos.</w:t>
      </w:r>
    </w:p>
    <w:tbl>
      <w:tblPr>
        <w:tblW w:w="5000" w:type="pct"/>
        <w:jc w:val="center"/>
        <w:tblLayout w:type="fixed"/>
        <w:tblLook w:val="04A0" w:firstRow="1" w:lastRow="0" w:firstColumn="1" w:lastColumn="0" w:noHBand="0" w:noVBand="1"/>
      </w:tblPr>
      <w:tblGrid>
        <w:gridCol w:w="6311"/>
      </w:tblGrid>
      <w:tr w:rsidR="005A5FCC" w14:paraId="012D145E"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55D673EF"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1F2A68C0" w14:textId="77777777" w:rsidR="005A5FCC" w:rsidRDefault="00A21C81">
            <w:pPr>
              <w:spacing w:after="60" w:line="247" w:lineRule="auto"/>
            </w:pPr>
            <w:r>
              <w:rPr>
                <w:rFonts w:cs="EB Garamond"/>
                <w:b/>
                <w:kern w:val="16"/>
                <w:sz w:val="19"/>
                <w14:ligatures w14:val="standardContextual"/>
              </w:rPr>
              <w:t>Requerimento de totalização — aspectos práticos</w:t>
            </w:r>
          </w:p>
          <w:p w14:paraId="390147D2" w14:textId="77777777" w:rsidR="005A5FCC" w:rsidRDefault="00A21C81">
            <w:pPr>
              <w:spacing w:after="60" w:line="247" w:lineRule="auto"/>
            </w:pPr>
            <w:r>
              <w:rPr>
                <w:rFonts w:cs="EB Garamond"/>
                <w:kern w:val="16"/>
                <w:sz w:val="19"/>
                <w14:ligatures w14:val="standardContextual"/>
              </w:rPr>
              <w:t>O requerimento de benefício com totalização internacional é feito no INSS, mediante formulário específico (requerimento de acordo internacional). O segurado deve informar: país(es) onde trabalhou, períodos aproximados, número de inscrição no sistema previdenciário estrangeiro (se disponível). O INSS encaminha o pedido à Divisão de Acordos Internacionais, que promove a comunicação com o organismo de ligação do outro país. Nos JEFs, ações envolvendo acordos internacionais são admissíveis quando o INSS indefere a totalização ou demora excessivamente na análise. A competência é do JEF quando o valor da causa não ultrapassa 60 SM.</w:t>
            </w:r>
          </w:p>
        </w:tc>
      </w:tr>
    </w:tbl>
    <w:p w14:paraId="3972FBCB" w14:textId="77777777" w:rsidR="005A5FCC" w:rsidRDefault="005A5FCC">
      <w:pPr>
        <w:spacing w:after="80" w:line="240" w:lineRule="auto"/>
      </w:pPr>
    </w:p>
    <w:p w14:paraId="0B326395" w14:textId="77777777" w:rsidR="005A5FCC" w:rsidRDefault="00A21C81">
      <w:pPr>
        <w:spacing w:before="260" w:after="80" w:line="240" w:lineRule="auto"/>
        <w:jc w:val="left"/>
      </w:pPr>
      <w:r>
        <w:rPr>
          <w:rFonts w:cs="EB Garamond"/>
          <w:b/>
          <w:color w:val="3A3128"/>
          <w:kern w:val="16"/>
          <w:sz w:val="25"/>
          <w14:ligatures w14:val="standardContextual"/>
        </w:rPr>
        <w:t>5.12.6 Acordo Brasil-Japão: particularidades</w:t>
      </w:r>
    </w:p>
    <w:p w14:paraId="2722F8FD"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03B6BBAF" w14:textId="77777777" w:rsidR="005A5FCC" w:rsidRDefault="00A21C81">
      <w:r>
        <w:rPr>
          <w:rFonts w:cs="EB Garamond"/>
          <w:kern w:val="16"/>
          <w14:ligatures w14:val="standardContextual"/>
        </w:rPr>
        <w:t xml:space="preserve"> acordo previdenciário Brasil-Japão (Decreto 7.702/2012) tem especial relevância diante da significativa comunidade nipo-brasileira. O acordo permite:</w:t>
      </w:r>
    </w:p>
    <w:p w14:paraId="144ADDC7"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Totalização de períodos cumpridos nos dois países;</w:t>
      </w:r>
    </w:p>
    <w:p w14:paraId="172ACD6C"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Isenção de contribuição obrigatória (trabalhador deslocado temporariamente contribui apenas no país de origem);</w:t>
      </w:r>
    </w:p>
    <w:p w14:paraId="60176F91"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Cálculo pro rata temporis para aposentadoria.</w:t>
      </w:r>
    </w:p>
    <w:p w14:paraId="7E1FE484" w14:textId="77777777" w:rsidR="005A5FCC" w:rsidRDefault="005A5FCC">
      <w:pPr>
        <w:spacing w:after="60" w:line="240" w:lineRule="auto"/>
      </w:pPr>
    </w:p>
    <w:p w14:paraId="288E89CD"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7F493C09" w14:textId="77777777" w:rsidR="005A5FCC" w:rsidRDefault="00A21C81">
      <w:r>
        <w:rPr>
          <w:rFonts w:cs="EB Garamond"/>
          <w:kern w:val="16"/>
          <w14:ligatures w14:val="standardContextual"/>
        </w:rPr>
        <w:t xml:space="preserve"> particularidade do acordo japonês é a existência de efeitos retroativos: períodos de contribuição no Japão anteriores à vigência do acordo podem ser totalizados, beneficiando os chamados "dekasseguis" (brasileiros que trabalharam no Japão nas décadas de 1990 e 2000). Essa retroatividade amplia o universo de beneficiários.</w:t>
      </w:r>
    </w:p>
    <w:p w14:paraId="379118CF" w14:textId="77777777" w:rsidR="005A5FCC" w:rsidRDefault="00A21C81">
      <w:pPr>
        <w:spacing w:before="260" w:after="80" w:line="240" w:lineRule="auto"/>
        <w:jc w:val="left"/>
      </w:pPr>
      <w:r>
        <w:rPr>
          <w:rFonts w:cs="EB Garamond"/>
          <w:b/>
          <w:color w:val="3A3128"/>
          <w:kern w:val="16"/>
          <w:sz w:val="25"/>
          <w14:ligatures w14:val="standardContextual"/>
        </w:rPr>
        <w:t>5.12.7 Acordo Brasil-EUA: aspectos relevantes</w:t>
      </w:r>
    </w:p>
    <w:p w14:paraId="54719AA2"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25462619" w14:textId="77777777" w:rsidR="005A5FCC" w:rsidRDefault="00A21C81">
      <w:r>
        <w:rPr>
          <w:rFonts w:cs="EB Garamond"/>
          <w:kern w:val="16"/>
          <w14:ligatures w14:val="standardContextual"/>
        </w:rPr>
        <w:t xml:space="preserve"> acordo previdenciário entre Brasil e Estados Unidos (Decreto 9.422/2018, em vigor desde 01/10/2018) é relativamente recente e tem impacto crescente, dada a significativa comunidade de brasileiros que trabalham ou trabalharam nos EUA. O acordo permite:</w:t>
      </w:r>
    </w:p>
    <w:p w14:paraId="0F30607B" w14:textId="77777777" w:rsidR="005A5FCC" w:rsidRDefault="00A21C81">
      <w:pPr>
        <w:spacing w:after="40" w:line="252" w:lineRule="auto"/>
        <w:ind w:left="340" w:hanging="198"/>
      </w:pPr>
      <w:r>
        <w:rPr>
          <w:rFonts w:cs="EB Garamond"/>
          <w:color w:val="3A3128"/>
          <w:kern w:val="16"/>
          <w:sz w:val="20"/>
          <w14:ligatures w14:val="standardContextual"/>
        </w:rPr>
        <w:lastRenderedPageBreak/>
        <w:t xml:space="preserve">• </w:t>
      </w:r>
      <w:r>
        <w:rPr>
          <w:rFonts w:cs="EB Garamond"/>
          <w:b/>
          <w:kern w:val="16"/>
          <w:sz w:val="20"/>
          <w14:ligatures w14:val="standardContextual"/>
        </w:rPr>
        <w:t>Totalização de períodos:</w:t>
      </w:r>
      <w:r>
        <w:rPr>
          <w:rFonts w:cs="EB Garamond"/>
          <w:kern w:val="16"/>
          <w:sz w:val="20"/>
          <w14:ligatures w14:val="standardContextual"/>
        </w:rPr>
        <w:t xml:space="preserve"> Contribuições ao Social Security americano podem ser somadas ao tempo brasileiro para cumprimento de requisitos;</w:t>
      </w:r>
    </w:p>
    <w:p w14:paraId="4DF20887"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Isenção de dupla contribuição:</w:t>
      </w:r>
      <w:r>
        <w:rPr>
          <w:rFonts w:cs="EB Garamond"/>
          <w:kern w:val="16"/>
          <w:sz w:val="20"/>
          <w14:ligatures w14:val="standardContextual"/>
        </w:rPr>
        <w:t xml:space="preserve"> Trabalhadores deslocados temporariamente (até 5 anos) contribuem apenas no país de origem;</w:t>
      </w:r>
    </w:p>
    <w:p w14:paraId="593E0593"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Benefícios abrangidos:</w:t>
      </w:r>
      <w:r>
        <w:rPr>
          <w:rFonts w:cs="EB Garamond"/>
          <w:kern w:val="16"/>
          <w:sz w:val="20"/>
          <w14:ligatures w14:val="standardContextual"/>
        </w:rPr>
        <w:t xml:space="preserve"> Aposentadoria por idade, aposentadoria por incapacidade permanente e pensão por morte (survivor benefits). Não abrange Medicare ou Medicaid.</w:t>
      </w:r>
    </w:p>
    <w:p w14:paraId="3B68ACC6" w14:textId="77777777" w:rsidR="005A5FCC" w:rsidRDefault="005A5FCC">
      <w:pPr>
        <w:spacing w:after="60" w:line="240" w:lineRule="auto"/>
      </w:pPr>
    </w:p>
    <w:p w14:paraId="39B8EFA3"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06CE138A" w14:textId="77777777" w:rsidR="005A5FCC" w:rsidRDefault="00A21C81">
      <w:r>
        <w:rPr>
          <w:rFonts w:cs="EB Garamond"/>
          <w:kern w:val="16"/>
          <w14:ligatures w14:val="standardContextual"/>
        </w:rPr>
        <w:t xml:space="preserve"> particularidade do acordo com os EUA é o sistema de "créditos" americano: o Social Security exige 40 créditos (aproximadamente 10 anos de trabalho) para full retirement benefits. Com a totalização, o brasileiro que trabalhou 6 anos nos EUA e 20 anos no Brasil pode usar os 26 anos totais para atingir os requisitos em ambos os países (recebendo parcelas proporcionais de cada).</w:t>
      </w:r>
    </w:p>
    <w:tbl>
      <w:tblPr>
        <w:tblW w:w="5000" w:type="pct"/>
        <w:jc w:val="center"/>
        <w:tblLayout w:type="fixed"/>
        <w:tblLook w:val="04A0" w:firstRow="1" w:lastRow="0" w:firstColumn="1" w:lastColumn="0" w:noHBand="0" w:noVBand="1"/>
      </w:tblPr>
      <w:tblGrid>
        <w:gridCol w:w="6311"/>
      </w:tblGrid>
      <w:tr w:rsidR="005A5FCC" w14:paraId="732A0506"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2AD04803"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13675B62" w14:textId="77777777" w:rsidR="005A5FCC" w:rsidRDefault="00A21C81">
            <w:pPr>
              <w:spacing w:after="60" w:line="247" w:lineRule="auto"/>
            </w:pPr>
            <w:r>
              <w:rPr>
                <w:rFonts w:cs="EB Garamond"/>
                <w:b/>
                <w:kern w:val="16"/>
                <w:sz w:val="19"/>
                <w14:ligatures w14:val="standardContextual"/>
              </w:rPr>
              <w:t>Dekasseguis e o acordo Brasil-Japão — caso prático</w:t>
            </w:r>
          </w:p>
          <w:p w14:paraId="7F296C3B" w14:textId="7B064A4F" w:rsidR="005A5FCC" w:rsidRDefault="00A21C81">
            <w:pPr>
              <w:spacing w:after="60" w:line="247" w:lineRule="auto"/>
            </w:pPr>
            <w:r>
              <w:rPr>
                <w:rFonts w:cs="EB Garamond"/>
                <w:kern w:val="16"/>
                <w:sz w:val="19"/>
                <w14:ligatures w14:val="standardContextual"/>
              </w:rPr>
              <w:t>Situação comum nos JEFs: Marcos, brasileiro, trabalhou no Japão de 1995 a 2010 (15 anos) e retornou ao Brasil, onde contribuiu de 2010 a 2026 (16 anos). Sem totalização, Marcos não completa os requisitos em nenhum dos países isoladamente. Com o acordo bilateral (Decreto 7.702/2012): totalização de 31 anos atinge os requisitos no Brasil (regra de transição com 31 anos + idade). O benefício brasileiro será calculado pro rata: 16/31 do valor integral. O Japão pagará sua parcela: 15/31 conforme regras japonesas. Marcos receberá dois pagamentos parciais, um de cada país. O requerimento é feito no INSS, que aciona o organismo japonês.</w:t>
            </w:r>
          </w:p>
        </w:tc>
      </w:tr>
    </w:tbl>
    <w:p w14:paraId="2E0F9F1B" w14:textId="77777777" w:rsidR="005A5FCC" w:rsidRDefault="005A5FCC">
      <w:pPr>
        <w:spacing w:after="80" w:line="240" w:lineRule="auto"/>
      </w:pPr>
    </w:p>
    <w:p w14:paraId="2857A640" w14:textId="77777777" w:rsidR="005A5FCC" w:rsidRDefault="00A21C81">
      <w:pPr>
        <w:spacing w:before="260" w:after="80" w:line="240" w:lineRule="auto"/>
        <w:jc w:val="left"/>
      </w:pPr>
      <w:r>
        <w:rPr>
          <w:rFonts w:cs="EB Garamond"/>
          <w:b/>
          <w:color w:val="3A3128"/>
          <w:kern w:val="16"/>
          <w:sz w:val="25"/>
          <w14:ligatures w14:val="standardContextual"/>
        </w:rPr>
        <w:t>5.12.8 Dificuldades práticas na operacionalização dos acordos</w:t>
      </w:r>
    </w:p>
    <w:p w14:paraId="4591BE1D"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033748B6" w14:textId="77777777" w:rsidR="005A5FCC" w:rsidRDefault="00A21C81">
      <w:r>
        <w:rPr>
          <w:rFonts w:cs="EB Garamond"/>
          <w:kern w:val="16"/>
          <w14:ligatures w14:val="standardContextual"/>
        </w:rPr>
        <w:t xml:space="preserve"> experiência nos JEFs revela que o gargalo dos acordos internacionais raramente está no direito material e quase sempre na operacionalização. O obstáculo mais sensível é a demora no processamento: a comunicação entre os organismos de ligação — mediante formulários próprios de cada acordo (BRA/JPN para o Japão, BRA/USA para os Estados Unidos, e assim por diante) — depende da confirmação do país contraparte e pode arrastar-se por meses ou </w:t>
      </w:r>
      <w:r>
        <w:rPr>
          <w:rFonts w:cs="EB Garamond"/>
          <w:kern w:val="16"/>
          <w14:ligatures w14:val="standardContextual"/>
        </w:rPr>
        <w:lastRenderedPageBreak/>
        <w:t>anos. A essa lentidão soma-se a dificuldade de obtenção da documentação estrangeira, agravada nos países sem cooperação administrativa ágil e diante de segurados que, décadas depois, já não conservam os comprovantes do período trabalhado no exterior. Quando os documentos finalmente chegam, surgem entraves adicionais: a conversão de valores entre sistemas previdenciários de bases de cálculo distintas, necessária ao cálculo pro rata, e a exigência de tradução juramentada para a juntada em juízo. O quadro torna-se ainda mais delicado na pensão por morte decorrente de óbito ocorrido no exterior, cuja certificação pelos organismos de ligação costuma ser extremamente morosa.</w:t>
      </w:r>
    </w:p>
    <w:p w14:paraId="7AED305A" w14:textId="77777777" w:rsidR="005A5FCC" w:rsidRDefault="00A21C81">
      <w:pPr>
        <w:ind w:firstLine="238"/>
      </w:pPr>
      <w:r>
        <w:rPr>
          <w:rFonts w:cs="EB Garamond"/>
          <w:kern w:val="16"/>
          <w14:ligatures w14:val="standardContextual"/>
        </w:rPr>
        <w:t>Diante desse cenário, a orientação prática ao advogado que atua nos JEFs é metódica: verificar, de início, se existe acordo com o país em questão; identificar os formulários específicos daquele instrumento; instruir o requerimento administrativo com toda a documentação disponível do período no exterior; e, havendo indeferimento ou demora injustificada (superior a um ano), ajuizar ação no JEF com pedido de antecipação de tutela para que o INSS processe o requerimento.</w:t>
      </w:r>
    </w:p>
    <w:p w14:paraId="7864DC6A" w14:textId="77777777" w:rsidR="005A5FCC" w:rsidRDefault="00A21C81">
      <w:pPr>
        <w:spacing w:before="260" w:after="80" w:line="240" w:lineRule="auto"/>
        <w:jc w:val="left"/>
      </w:pPr>
      <w:r>
        <w:rPr>
          <w:rFonts w:cs="EB Garamond"/>
          <w:b/>
          <w:color w:val="3A3128"/>
          <w:kern w:val="16"/>
          <w:sz w:val="25"/>
          <w14:ligatures w14:val="standardContextual"/>
        </w:rPr>
        <w:t>5.12.9 Competência judicial e questões processuais</w:t>
      </w:r>
    </w:p>
    <w:p w14:paraId="5068B8AE"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5C81D3E2" w14:textId="77777777" w:rsidR="005A5FCC" w:rsidRDefault="00A21C81">
      <w:r>
        <w:rPr>
          <w:rFonts w:cs="EB Garamond"/>
          <w:kern w:val="16"/>
          <w14:ligatures w14:val="standardContextual"/>
        </w:rPr>
        <w:t>ções envolvendo acordos internacionais previdenciários são de competência da Justiça Federal (art. 109, I e III, CF), pois envolvem o INSS e podem implicar aplicação de tratado internacional. A competência do JEF é determinada pelo valor da causa (até 60 SM). Na prática, a maioria das ações de totalização internacional se enquadra na competência dos JEFs, pois o valor em discussão é o próprio benefício mensal multiplicado por 12 (raras vezes ultrapassa o teto de alçada).</w:t>
      </w:r>
    </w:p>
    <w:p w14:paraId="7BAA7BC9" w14:textId="77777777" w:rsidR="005A5FCC" w:rsidRDefault="00A21C81">
      <w:pPr>
        <w:ind w:firstLine="238"/>
      </w:pPr>
      <w:r>
        <w:rPr>
          <w:rFonts w:cs="EB Garamond"/>
          <w:kern w:val="16"/>
          <w14:ligatures w14:val="standardContextual"/>
        </w:rPr>
        <w:t>As dificuldades processuais são significativas: a obtenção de documentos do exterior pode exigir carta rogatória ou auxílio direto; a comunicação entre os organismos de ligação é lenta; as legislações estrangeiras devem ser provadas pela parte (art. 376, CPC). No cotidiano dos JEFs, os juízes têm admitido a expedição de ofício ao INSS (Divisão de Acordos Internacionais) para obtenção das informações, dispensando o segurado de providenciar diretamente a documentação estrangeira.</w:t>
      </w:r>
    </w:p>
    <w:p w14:paraId="565BC36E"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5.13 Aspectos práticos no JEF: estratégias de reconhecimento de tempo</w:t>
      </w:r>
    </w:p>
    <w:p w14:paraId="19654514" w14:textId="77777777" w:rsidR="005A5FCC" w:rsidRDefault="00A21C81">
      <w:pPr>
        <w:spacing w:before="260" w:after="80" w:line="240" w:lineRule="auto"/>
        <w:jc w:val="left"/>
      </w:pPr>
      <w:r>
        <w:rPr>
          <w:rFonts w:cs="EB Garamond"/>
          <w:b/>
          <w:color w:val="3A3128"/>
          <w:kern w:val="16"/>
          <w:sz w:val="25"/>
          <w14:ligatures w14:val="standardContextual"/>
        </w:rPr>
        <w:t>5.13.1 Competência e valor da causa</w:t>
      </w:r>
    </w:p>
    <w:p w14:paraId="5D17DC3E"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77691767" w14:textId="77777777" w:rsidR="005A5FCC" w:rsidRDefault="00A21C81">
      <w:r>
        <w:rPr>
          <w:rFonts w:cs="EB Garamond"/>
          <w:kern w:val="16"/>
          <w14:ligatures w14:val="standardContextual"/>
        </w:rPr>
        <w:t xml:space="preserve"> competência do Juizado Especial Federal para ações de reconhecimento de tempo de contribuição é determinada pelo art. 3º da Lei 10.259/2001: causas de até 60 salários mínimos (R$ 97.260,00 em 2026). O valor da causa corresponde ao benefício econômico pretendido: se o objetivo é a concessão de aposentadoria, o valor é 12 parcelas do benefício estimado mais as prestações vencidas; se é revisão, o valor é a diferença mensal multiplicada por 12 mais as diferenças pretéritas (limitadas a 5 anos).</w:t>
      </w:r>
    </w:p>
    <w:p w14:paraId="15B3C54E" w14:textId="77777777" w:rsidR="005A5FCC" w:rsidRDefault="00A21C81">
      <w:pPr>
        <w:ind w:firstLine="238"/>
      </w:pPr>
      <w:r>
        <w:rPr>
          <w:rFonts w:cs="EB Garamond"/>
          <w:kern w:val="16"/>
          <w14:ligatures w14:val="standardContextual"/>
        </w:rPr>
        <w:t>Importante: a ação de mero reconhecimento de tempo (sem concessão ou revisão de benefício) tem valor inestimável e, segundo a jurisprudência dominante, enquadra-se na competência do JEF por se tratar de obrigação de fazer contra autarquia federal. Essa interpretação é relevante para segurados que pretendem apenas a retificação do CNIS sem pedido imediato de benefício.</w:t>
      </w:r>
    </w:p>
    <w:p w14:paraId="2CA4F09E" w14:textId="77777777" w:rsidR="005A5FCC" w:rsidRDefault="00A21C81">
      <w:pPr>
        <w:spacing w:before="260" w:after="80" w:line="240" w:lineRule="auto"/>
        <w:jc w:val="left"/>
      </w:pPr>
      <w:r>
        <w:rPr>
          <w:rFonts w:cs="EB Garamond"/>
          <w:b/>
          <w:color w:val="3A3128"/>
          <w:kern w:val="16"/>
          <w:sz w:val="25"/>
          <w14:ligatures w14:val="standardContextual"/>
        </w:rPr>
        <w:t>5.13.2 Prévio requerimento administrativo</w:t>
      </w:r>
    </w:p>
    <w:p w14:paraId="4EAFA87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43DF2A4F" w14:textId="77777777" w:rsidR="005A5FCC" w:rsidRDefault="00A21C81">
      <w:r>
        <w:rPr>
          <w:rFonts w:cs="EB Garamond"/>
          <w:kern w:val="16"/>
          <w14:ligatures w14:val="standardContextual"/>
        </w:rPr>
        <w:t xml:space="preserve"> STF, no RE 631.240 (Tema 350), fixou a necessidade de prévio requerimento administrativo para ações previdenciárias. Para ações de reconhecimento de tempo de contribuição, o segurado deve primeiramente requerer ao INSS o cômputo do período pretendido. O indeferimento (ou a inércia após 30 dias) configura o interesse processual necessário para o ajuizamento.</w:t>
      </w:r>
    </w:p>
    <w:p w14:paraId="6366F84E" w14:textId="77777777" w:rsidR="005A5FCC" w:rsidRDefault="00A21C81">
      <w:pPr>
        <w:ind w:firstLine="238"/>
      </w:pPr>
      <w:r>
        <w:rPr>
          <w:rFonts w:cs="EB Garamond"/>
          <w:kern w:val="16"/>
          <w14:ligatures w14:val="standardContextual"/>
        </w:rPr>
        <w:t>Exceção relevante: quando o INSS já indeferiu benefício desconsiderando o período que o segurado pretende reconhecer, o prévio requerimento específico de retificação é dispensável — o indeferimento do benefício evidencia a resistência do INSS ao reconhecimento do tempo.</w:t>
      </w:r>
    </w:p>
    <w:p w14:paraId="0050BFDA" w14:textId="77777777" w:rsidR="005A5FCC" w:rsidRDefault="00A21C81">
      <w:pPr>
        <w:spacing w:before="260" w:after="80" w:line="240" w:lineRule="auto"/>
        <w:jc w:val="left"/>
      </w:pPr>
      <w:r>
        <w:rPr>
          <w:rFonts w:cs="EB Garamond"/>
          <w:b/>
          <w:color w:val="3A3128"/>
          <w:kern w:val="16"/>
          <w:sz w:val="25"/>
          <w14:ligatures w14:val="standardContextual"/>
        </w:rPr>
        <w:t>5.13.3 Justificação administrativa e judicial</w:t>
      </w:r>
    </w:p>
    <w:p w14:paraId="34DCB6CF"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A</w:t>
      </w:r>
    </w:p>
    <w:p w14:paraId="125DE7EA" w14:textId="77777777" w:rsidR="005A5FCC" w:rsidRDefault="00A21C81">
      <w:r>
        <w:rPr>
          <w:rFonts w:cs="EB Garamond"/>
          <w:kern w:val="16"/>
          <w14:ligatures w14:val="standardContextual"/>
        </w:rPr>
        <w:t xml:space="preserve"> justificação administrativa (art. 108, Lei 8.213/91, c/c arts. 571 a 578, IN 128/2022) é procedimento para produção de prova testemunhal perante o INSS, utilizada quando o segurado necessita de prova oral para complementar documentos. A justificação administrativa tem caráter meramente probatório — o INSS avalia as declarações e decide discricionariamente sobre o reconhecimento do tempo.</w:t>
      </w:r>
    </w:p>
    <w:p w14:paraId="3796AD29" w14:textId="77777777" w:rsidR="005A5FCC" w:rsidRDefault="00A21C81">
      <w:pPr>
        <w:ind w:firstLine="238"/>
      </w:pPr>
      <w:r>
        <w:rPr>
          <w:rFonts w:cs="EB Garamond"/>
          <w:kern w:val="16"/>
          <w14:ligatures w14:val="standardContextual"/>
        </w:rPr>
        <w:t>A justificação judicial (art. 381, CPC) é procedimento cautelar de produção antecipada de prova, utilizada quando: (a) há risco de perecimento da prova (testemunha idosa ou enferma); (b) o segurado ainda não possui elementos para ajuizar a ação principal mas precisa produzir prova oral. A justificação judicial produz prova perante o juízo, com contraditório (intimação do INSS), e pode ser utilizada tanto no processo principal quanto em novo requerimento administrativo.</w:t>
      </w:r>
    </w:p>
    <w:tbl>
      <w:tblPr>
        <w:tblW w:w="5000" w:type="pct"/>
        <w:jc w:val="center"/>
        <w:tblLayout w:type="fixed"/>
        <w:tblLook w:val="04A0" w:firstRow="1" w:lastRow="0" w:firstColumn="1" w:lastColumn="0" w:noHBand="0" w:noVBand="1"/>
      </w:tblPr>
      <w:tblGrid>
        <w:gridCol w:w="6311"/>
      </w:tblGrid>
      <w:tr w:rsidR="005A5FCC" w14:paraId="22FA627F"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2A7DDDBB"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39B00EA0" w14:textId="5253651B" w:rsidR="005A5FCC" w:rsidRDefault="00A21C81">
            <w:pPr>
              <w:spacing w:after="60" w:line="247" w:lineRule="auto"/>
            </w:pPr>
            <w:r>
              <w:rPr>
                <w:rFonts w:cs="EB Garamond"/>
                <w:b/>
                <w:kern w:val="16"/>
                <w:sz w:val="19"/>
                <w14:ligatures w14:val="standardContextual"/>
              </w:rPr>
              <w:t xml:space="preserve">Quando usar justificação administrativa vs. </w:t>
            </w:r>
            <w:r w:rsidR="00F959B3">
              <w:rPr>
                <w:rFonts w:cs="EB Garamond"/>
                <w:b/>
                <w:kern w:val="16"/>
                <w:sz w:val="19"/>
                <w14:ligatures w14:val="standardContextual"/>
              </w:rPr>
              <w:t>j</w:t>
            </w:r>
            <w:r>
              <w:rPr>
                <w:rFonts w:cs="EB Garamond"/>
                <w:b/>
                <w:kern w:val="16"/>
                <w:sz w:val="19"/>
                <w14:ligatures w14:val="standardContextual"/>
              </w:rPr>
              <w:t>udicial</w:t>
            </w:r>
          </w:p>
          <w:p w14:paraId="322DD2BD" w14:textId="77777777" w:rsidR="005A5FCC" w:rsidRDefault="00A21C81">
            <w:pPr>
              <w:spacing w:after="60" w:line="247" w:lineRule="auto"/>
            </w:pPr>
            <w:r>
              <w:rPr>
                <w:rFonts w:cs="EB Garamond"/>
                <w:kern w:val="16"/>
                <w:sz w:val="19"/>
                <w14:ligatures w14:val="standardContextual"/>
              </w:rPr>
              <w:t>A justificação administrativa é mais rápida e menos onerosa — deve ser preferida quando o segurado tem documentação razoável e a prova testemunhal é complementar. A justificação judicial é indicada quando: (a) o INSS já indeferiu justificação administrativa anterior; (b) as testemunhas são muito idosas e há urgência; (c) o segurado precisa de prova com valor judicial desde logo (para instruir ação de concessão). Na prática, muitos advogados optam por ajuizar diretamente a ação de concessão com pedido de produção de prova oral em audiência, dispensando a justificação prévia.</w:t>
            </w:r>
          </w:p>
        </w:tc>
      </w:tr>
    </w:tbl>
    <w:p w14:paraId="7AA160B3" w14:textId="77777777" w:rsidR="005A5FCC" w:rsidRDefault="005A5FCC">
      <w:pPr>
        <w:spacing w:after="80" w:line="240" w:lineRule="auto"/>
      </w:pPr>
    </w:p>
    <w:p w14:paraId="1C07A692" w14:textId="77777777" w:rsidR="005A5FCC" w:rsidRDefault="00A21C81">
      <w:pPr>
        <w:spacing w:before="260" w:after="80" w:line="240" w:lineRule="auto"/>
        <w:jc w:val="left"/>
      </w:pPr>
      <w:r>
        <w:rPr>
          <w:rFonts w:cs="EB Garamond"/>
          <w:b/>
          <w:color w:val="3A3128"/>
          <w:kern w:val="16"/>
          <w:sz w:val="25"/>
          <w14:ligatures w14:val="standardContextual"/>
        </w:rPr>
        <w:t>5.13.4 Ônus da prova e regras de experiência</w:t>
      </w:r>
    </w:p>
    <w:p w14:paraId="6C8DE61C"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N</w:t>
      </w:r>
    </w:p>
    <w:p w14:paraId="1AC1AD6C" w14:textId="77777777" w:rsidR="005A5FCC" w:rsidRDefault="00A21C81">
      <w:r>
        <w:rPr>
          <w:rFonts w:cs="EB Garamond"/>
          <w:kern w:val="16"/>
          <w14:ligatures w14:val="standardContextual"/>
        </w:rPr>
        <w:t>o processo previdenciário nos JEFs, a distribuição do ônus da prova segue regras específicas:</w:t>
      </w:r>
    </w:p>
    <w:p w14:paraId="1326B56B"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Dados regulares no CNIS:</w:t>
      </w:r>
      <w:r>
        <w:rPr>
          <w:rFonts w:cs="EB Garamond"/>
          <w:kern w:val="16"/>
          <w:sz w:val="20"/>
          <w14:ligatures w14:val="standardContextual"/>
        </w:rPr>
        <w:t xml:space="preserve"> Presunção a favor do segurado — ônus do INSS demonstrar irregularidade;</w:t>
      </w:r>
    </w:p>
    <w:p w14:paraId="4F0A91A7"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Dados com indicador de pendência:</w:t>
      </w:r>
      <w:r>
        <w:rPr>
          <w:rFonts w:cs="EB Garamond"/>
          <w:kern w:val="16"/>
          <w:sz w:val="20"/>
          <w14:ligatures w14:val="standardContextual"/>
        </w:rPr>
        <w:t xml:space="preserve"> Ônus do segurado apresentar documentação complementar;</w:t>
      </w:r>
    </w:p>
    <w:p w14:paraId="63828DF4" w14:textId="77777777" w:rsidR="005A5FCC" w:rsidRDefault="00A21C81">
      <w:pPr>
        <w:spacing w:after="40" w:line="252" w:lineRule="auto"/>
        <w:ind w:left="340" w:hanging="198"/>
      </w:pPr>
      <w:r>
        <w:rPr>
          <w:rFonts w:cs="EB Garamond"/>
          <w:color w:val="3A3128"/>
          <w:kern w:val="16"/>
          <w:sz w:val="20"/>
          <w14:ligatures w14:val="standardContextual"/>
        </w:rPr>
        <w:lastRenderedPageBreak/>
        <w:t xml:space="preserve">• </w:t>
      </w:r>
      <w:r>
        <w:rPr>
          <w:rFonts w:cs="EB Garamond"/>
          <w:b/>
          <w:kern w:val="16"/>
          <w:sz w:val="20"/>
          <w14:ligatures w14:val="standardContextual"/>
        </w:rPr>
        <w:t>Período não registrado no CNIS:</w:t>
      </w:r>
      <w:r>
        <w:rPr>
          <w:rFonts w:cs="EB Garamond"/>
          <w:kern w:val="16"/>
          <w:sz w:val="20"/>
          <w14:ligatures w14:val="standardContextual"/>
        </w:rPr>
        <w:t xml:space="preserve"> Ônus do segurado demonstrar a existência do vínculo ou atividade;</w:t>
      </w:r>
    </w:p>
    <w:p w14:paraId="228CC520"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Atividade rural:</w:t>
      </w:r>
      <w:r>
        <w:rPr>
          <w:rFonts w:cs="EB Garamond"/>
          <w:kern w:val="16"/>
          <w:sz w:val="20"/>
          <w14:ligatures w14:val="standardContextual"/>
        </w:rPr>
        <w:t xml:space="preserve"> Início de prova material é ônus do segurado; sua adequação e extensão temporal seguem o princípio pro misero.</w:t>
      </w:r>
    </w:p>
    <w:p w14:paraId="0D731D4B" w14:textId="77777777" w:rsidR="005A5FCC" w:rsidRDefault="005A5FCC">
      <w:pPr>
        <w:spacing w:after="60" w:line="240" w:lineRule="auto"/>
      </w:pPr>
    </w:p>
    <w:p w14:paraId="1437705C"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2DDE300C" w14:textId="77777777" w:rsidR="005A5FCC" w:rsidRDefault="00A21C81">
      <w:r>
        <w:rPr>
          <w:rFonts w:cs="EB Garamond"/>
          <w:kern w:val="16"/>
          <w14:ligatures w14:val="standardContextual"/>
        </w:rPr>
        <w:t xml:space="preserve"> juiz pode (e deve) aplicar regras de experiência na valoração da prova: é notório que empregadores rurais de pequeno porte frequentemente não formalizavam vínculos; que empresas extintas não mantinham arquivos; que trabalhadores informais das décadas de 1970/1980 não possuíam documentação. Essas circunstâncias não podem obstar o reconhecimento de direitos previdenciários quando o conjunto probatório, ainda que imperfeito, forma convicção razoável.</w:t>
      </w:r>
    </w:p>
    <w:p w14:paraId="3FE5FFCC" w14:textId="77777777" w:rsidR="005A5FCC" w:rsidRDefault="00A21C81">
      <w:pPr>
        <w:spacing w:before="260" w:after="80" w:line="240" w:lineRule="auto"/>
        <w:jc w:val="left"/>
      </w:pPr>
      <w:r>
        <w:rPr>
          <w:rFonts w:cs="EB Garamond"/>
          <w:b/>
          <w:color w:val="3A3128"/>
          <w:kern w:val="16"/>
          <w:sz w:val="25"/>
          <w14:ligatures w14:val="standardContextual"/>
        </w:rPr>
        <w:t>5.13.5 Tutela provisória em ações de cômputo de tempo</w:t>
      </w:r>
    </w:p>
    <w:p w14:paraId="7592FADD"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E</w:t>
      </w:r>
    </w:p>
    <w:p w14:paraId="22AEF49C" w14:textId="77777777" w:rsidR="005A5FCC" w:rsidRDefault="00A21C81">
      <w:r>
        <w:rPr>
          <w:rFonts w:cs="EB Garamond"/>
          <w:kern w:val="16"/>
          <w14:ligatures w14:val="standardContextual"/>
        </w:rPr>
        <w:t>m ações de concessão de aposentadoria que dependem do reconhecimento de tempo, a tutela provisória (antecipação dos efeitos da tutela) pode ser concedida quando presentes a probabilidade do direito e o perigo de dano. A jurisprudência dos JEFs é relativamente generosa na concessão de tutela antecipada em matéria previdenciária, especialmente quando o segurado é idoso ou tem saúde comprometida.</w:t>
      </w:r>
    </w:p>
    <w:p w14:paraId="2CEAD61F" w14:textId="77777777" w:rsidR="005A5FCC" w:rsidRDefault="00A21C81">
      <w:pPr>
        <w:ind w:firstLine="238"/>
      </w:pPr>
      <w:r>
        <w:rPr>
          <w:rFonts w:cs="EB Garamond"/>
          <w:kern w:val="16"/>
          <w14:ligatures w14:val="standardContextual"/>
        </w:rPr>
        <w:t>Para ações de mero reconhecimento de tempo (sem concessão imediata de benefício), a tutela provisória pode determinar a inclusão do período no CNIS, permitindo que o segurado requeira administrativamente o benefício sem aguardar o trânsito em julgado.</w:t>
      </w:r>
    </w:p>
    <w:p w14:paraId="482527BF" w14:textId="77777777" w:rsidR="005A5FCC" w:rsidRDefault="00A21C81">
      <w:pPr>
        <w:spacing w:before="260" w:after="80" w:line="240" w:lineRule="auto"/>
        <w:jc w:val="left"/>
      </w:pPr>
      <w:r>
        <w:rPr>
          <w:rFonts w:cs="EB Garamond"/>
          <w:b/>
          <w:color w:val="3A3128"/>
          <w:kern w:val="16"/>
          <w:sz w:val="25"/>
          <w14:ligatures w14:val="standardContextual"/>
        </w:rPr>
        <w:t>5.13.6 Audiência de instrução em ações de reconhecimento de tempo</w:t>
      </w:r>
    </w:p>
    <w:p w14:paraId="5472A4F9"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4D2FD573" w14:textId="77777777" w:rsidR="005A5FCC" w:rsidRDefault="00A21C81">
      <w:r>
        <w:rPr>
          <w:rFonts w:cs="EB Garamond"/>
          <w:kern w:val="16"/>
          <w14:ligatures w14:val="standardContextual"/>
        </w:rPr>
        <w:t xml:space="preserve"> audiência de instrução nos JEFs em ações de reconhecimento de tempo de contribuição (especialmente atividade rural) possui particularidades que o advogado deve conhecer:</w:t>
      </w:r>
    </w:p>
    <w:p w14:paraId="3F1C7352" w14:textId="77777777" w:rsidR="005A5FCC" w:rsidRDefault="00A21C81">
      <w:pPr>
        <w:ind w:firstLine="238"/>
      </w:pPr>
      <w:r>
        <w:rPr>
          <w:rFonts w:cs="EB Garamond"/>
          <w:b/>
          <w:kern w:val="16"/>
          <w14:ligatures w14:val="standardContextual"/>
        </w:rPr>
        <w:lastRenderedPageBreak/>
        <w:t>Oitiva de testemunhas:</w:t>
      </w:r>
      <w:r>
        <w:rPr>
          <w:rFonts w:cs="EB Garamond"/>
          <w:kern w:val="16"/>
          <w14:ligatures w14:val="standardContextual"/>
        </w:rPr>
        <w:t xml:space="preserve"> Geralmente são ouvidas 2 a 3 testemunhas por parte (limite do JEF). As testemunhas devem ter conhecimento direto e contemporâneo da atividade alegada. Perguntas sugestivas (leading questions) são inadmissíveis. O juiz valorará a espontaneidade, a coerência e a riqueza de detalhes dos depoimentos.</w:t>
      </w:r>
    </w:p>
    <w:p w14:paraId="4180E2C3" w14:textId="0499B5BA" w:rsidR="005A5FCC" w:rsidRDefault="00A21C81">
      <w:pPr>
        <w:ind w:firstLine="238"/>
      </w:pPr>
      <w:r>
        <w:rPr>
          <w:rFonts w:cs="EB Garamond"/>
          <w:b/>
          <w:kern w:val="16"/>
          <w14:ligatures w14:val="standardContextual"/>
        </w:rPr>
        <w:t>Depoimento pessoal do autor:</w:t>
      </w:r>
      <w:r>
        <w:rPr>
          <w:rFonts w:cs="EB Garamond"/>
          <w:kern w:val="16"/>
          <w14:ligatures w14:val="standardContextual"/>
        </w:rPr>
        <w:t xml:space="preserve"> O juiz frequentemente inquire o próprio segurado sobre as condições do trabalho rural: tipo de cultura, extensão da propriedade, quem mais trabalhava, se havia empregados, qual era a renda da família, quando e por que deixou o campo. Inconsistências entre o depoimento do autor e </w:t>
      </w:r>
      <w:r w:rsidR="00F959B3">
        <w:rPr>
          <w:rFonts w:cs="EB Garamond"/>
          <w:kern w:val="16"/>
          <w14:ligatures w14:val="standardContextual"/>
        </w:rPr>
        <w:t>das testemunhas</w:t>
      </w:r>
      <w:r>
        <w:rPr>
          <w:rFonts w:cs="EB Garamond"/>
          <w:kern w:val="16"/>
          <w14:ligatures w14:val="standardContextual"/>
        </w:rPr>
        <w:t xml:space="preserve"> enfraquecem a credibilidade da prova.</w:t>
      </w:r>
    </w:p>
    <w:p w14:paraId="088821BE" w14:textId="77777777" w:rsidR="005A5FCC" w:rsidRDefault="00A21C81">
      <w:pPr>
        <w:ind w:firstLine="238"/>
      </w:pPr>
      <w:r>
        <w:rPr>
          <w:rFonts w:cs="EB Garamond"/>
          <w:b/>
          <w:kern w:val="16"/>
          <w14:ligatures w14:val="standardContextual"/>
        </w:rPr>
        <w:t>Audiência por videoconferência:</w:t>
      </w:r>
      <w:r>
        <w:rPr>
          <w:rFonts w:cs="EB Garamond"/>
          <w:kern w:val="16"/>
          <w14:ligatures w14:val="standardContextual"/>
        </w:rPr>
        <w:t xml:space="preserve"> Após a pandemia, os JEFs ampliaram o uso de audiências por videoconferência (art. 12, § 1º, Lei 10.259/2001, c/c Resolução 354/2020 do CNJ). Para testemunhas rurais em localidades remotas, a videoconferência pode ser realizada em agências do INSS, Casas de Cidadania ou unidades de atendimento do JEF itinerante.</w:t>
      </w:r>
    </w:p>
    <w:p w14:paraId="698333C3" w14:textId="77777777" w:rsidR="005A5FCC" w:rsidRDefault="00A21C81">
      <w:pPr>
        <w:ind w:firstLine="238"/>
      </w:pPr>
      <w:r>
        <w:rPr>
          <w:rFonts w:cs="EB Garamond"/>
          <w:b/>
          <w:kern w:val="16"/>
          <w14:ligatures w14:val="standardContextual"/>
        </w:rPr>
        <w:t>Inspeção judicial in loco:</w:t>
      </w:r>
      <w:r>
        <w:rPr>
          <w:rFonts w:cs="EB Garamond"/>
          <w:kern w:val="16"/>
          <w14:ligatures w14:val="standardContextual"/>
        </w:rPr>
        <w:t xml:space="preserve"> Em casos excepcionais, o juiz pode determinar inspeção judicial na propriedade rural para verificar vestígios de atividade agrícola (galpões, equipamentos, cercas, plantações). Embora rara, a inspeção é admitida quando a prova documental e testemunhal é insuficiente para formar convicção.</w:t>
      </w:r>
    </w:p>
    <w:tbl>
      <w:tblPr>
        <w:tblW w:w="5000" w:type="pct"/>
        <w:jc w:val="center"/>
        <w:tblLayout w:type="fixed"/>
        <w:tblLook w:val="04A0" w:firstRow="1" w:lastRow="0" w:firstColumn="1" w:lastColumn="0" w:noHBand="0" w:noVBand="1"/>
      </w:tblPr>
      <w:tblGrid>
        <w:gridCol w:w="6311"/>
      </w:tblGrid>
      <w:tr w:rsidR="005A5FCC" w14:paraId="062EF1D4"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6965B374"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7DA24D64" w14:textId="77777777" w:rsidR="005A5FCC" w:rsidRDefault="00A21C81">
            <w:pPr>
              <w:spacing w:after="60" w:line="247" w:lineRule="auto"/>
            </w:pPr>
            <w:r>
              <w:rPr>
                <w:rFonts w:cs="EB Garamond"/>
                <w:b/>
                <w:kern w:val="16"/>
                <w:sz w:val="19"/>
                <w14:ligatures w14:val="standardContextual"/>
              </w:rPr>
              <w:t>Preparação de testemunhas para audiência de atividade rural</w:t>
            </w:r>
          </w:p>
          <w:p w14:paraId="567FF6E1" w14:textId="77777777" w:rsidR="005A5FCC" w:rsidRDefault="00A21C81">
            <w:pPr>
              <w:spacing w:after="60" w:line="247" w:lineRule="auto"/>
            </w:pPr>
            <w:r>
              <w:rPr>
                <w:rFonts w:cs="EB Garamond"/>
                <w:kern w:val="16"/>
                <w:sz w:val="19"/>
                <w14:ligatures w14:val="standardContextual"/>
              </w:rPr>
              <w:t>O advogado deve orientar (sem direcionar ou instruir depoimento) suas testemunhas sobre os pontos relevantes que serão abordados: localização da propriedade, período de trabalho, tipo de atividade (agricultura, pecuária, pesca), membros da família que trabalhavam, condições de moradia, se havia escola rural na região. Testemunhas que conhecem o segurado apenas do "bairro" ou da "cidade" não servem para comprovar atividade rural — devem ser pessoas que efetivamente presenciaram o trabalho no campo.</w:t>
            </w:r>
          </w:p>
        </w:tc>
      </w:tr>
    </w:tbl>
    <w:p w14:paraId="52000E8F" w14:textId="77777777" w:rsidR="005A5FCC" w:rsidRDefault="005A5FCC">
      <w:pPr>
        <w:spacing w:after="80" w:line="240" w:lineRule="auto"/>
      </w:pPr>
    </w:p>
    <w:p w14:paraId="673B54CB" w14:textId="77777777" w:rsidR="005A5FCC" w:rsidRDefault="00A21C81">
      <w:pPr>
        <w:spacing w:before="260" w:after="80" w:line="240" w:lineRule="auto"/>
        <w:jc w:val="left"/>
      </w:pPr>
      <w:r>
        <w:rPr>
          <w:rFonts w:cs="EB Garamond"/>
          <w:b/>
          <w:color w:val="3A3128"/>
          <w:kern w:val="16"/>
          <w:sz w:val="25"/>
          <w14:ligatures w14:val="standardContextual"/>
        </w:rPr>
        <w:t>5.13.7 Prova pericial e inspeção judicial</w:t>
      </w:r>
    </w:p>
    <w:p w14:paraId="6A30EF92"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E</w:t>
      </w:r>
    </w:p>
    <w:p w14:paraId="7263AF98" w14:textId="77777777" w:rsidR="005A5FCC" w:rsidRDefault="00A21C81">
      <w:r>
        <w:rPr>
          <w:rFonts w:cs="EB Garamond"/>
          <w:kern w:val="16"/>
          <w14:ligatures w14:val="standardContextual"/>
        </w:rPr>
        <w:t>m determinadas situações, a prova do tempo de contribuição pode exigir medidas instrutórias especiais:</w:t>
      </w:r>
    </w:p>
    <w:p w14:paraId="75544836"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Prova pericial grafotécnica:</w:t>
      </w:r>
      <w:r>
        <w:rPr>
          <w:rFonts w:cs="EB Garamond"/>
          <w:kern w:val="16"/>
          <w:sz w:val="20"/>
          <w14:ligatures w14:val="standardContextual"/>
        </w:rPr>
        <w:t xml:space="preserve"> Quando há impugnação da autenticidade de documentos (CTPS com suspeita de adulteração, certidões com indícios de falsidade);</w:t>
      </w:r>
    </w:p>
    <w:p w14:paraId="3D633255"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Perícia contábil:</w:t>
      </w:r>
      <w:r>
        <w:rPr>
          <w:rFonts w:cs="EB Garamond"/>
          <w:kern w:val="16"/>
          <w:sz w:val="20"/>
          <w14:ligatures w14:val="standardContextual"/>
        </w:rPr>
        <w:t xml:space="preserve"> Para verificação de valores de salários de contribuição em casos complexos (múltiplas fontes, divergências entre documentos e CNIS);</w:t>
      </w:r>
    </w:p>
    <w:p w14:paraId="218EC451"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Inspeção judicial:</w:t>
      </w:r>
      <w:r>
        <w:rPr>
          <w:rFonts w:cs="EB Garamond"/>
          <w:kern w:val="16"/>
          <w:sz w:val="20"/>
          <w14:ligatures w14:val="standardContextual"/>
        </w:rPr>
        <w:t xml:space="preserve"> Raramente utilizada, mas cabível quando é necessário verificar in loco a existência de atividade rural (propriedade rural, vestígios de atividade agrícola);</w:t>
      </w:r>
    </w:p>
    <w:p w14:paraId="7D0E1E4E"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Prova emprestada:</w:t>
      </w:r>
      <w:r>
        <w:rPr>
          <w:rFonts w:cs="EB Garamond"/>
          <w:kern w:val="16"/>
          <w:sz w:val="20"/>
          <w14:ligatures w14:val="standardContextual"/>
        </w:rPr>
        <w:t xml:space="preserve"> Depoimentos colhidos em outros processos (trabalhista, criminal, etc.) podem ser utilizados como prova emprestada no JEF, desde que garantido o contraditório.</w:t>
      </w:r>
    </w:p>
    <w:p w14:paraId="21AD9019" w14:textId="77777777" w:rsidR="005A5FCC" w:rsidRDefault="005A5FCC">
      <w:pPr>
        <w:spacing w:after="60" w:line="240" w:lineRule="auto"/>
      </w:pPr>
    </w:p>
    <w:p w14:paraId="1A7DC901" w14:textId="77777777" w:rsidR="005A5FCC" w:rsidRDefault="00A21C81">
      <w:pPr>
        <w:spacing w:before="260" w:after="80" w:line="240" w:lineRule="auto"/>
        <w:jc w:val="left"/>
      </w:pPr>
      <w:r>
        <w:rPr>
          <w:rFonts w:cs="EB Garamond"/>
          <w:b/>
          <w:color w:val="3A3128"/>
          <w:kern w:val="16"/>
          <w:sz w:val="25"/>
          <w14:ligatures w14:val="standardContextual"/>
        </w:rPr>
        <w:t>5.13.8 Coisa julgada e possibilidade de nova ação</w:t>
      </w:r>
    </w:p>
    <w:p w14:paraId="6694EE7F"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7A8E74BF" w14:textId="77777777" w:rsidR="005A5FCC" w:rsidRDefault="00A21C81">
      <w:r>
        <w:rPr>
          <w:rFonts w:cs="EB Garamond"/>
          <w:kern w:val="16"/>
          <w14:ligatures w14:val="standardContextual"/>
        </w:rPr>
        <w:t xml:space="preserve"> sentença de improcedência em ação de reconhecimento de tempo forma coisa julgada material, impedindo nova ação com os mesmos fundamentos. Contudo, se surgirem documentos novos (que o segurado desconhecia ou não podia obter quando da primeira ação), é possível ação rescisória ou nova ação com fundamento diverso.</w:t>
      </w:r>
    </w:p>
    <w:p w14:paraId="4621B1D5" w14:textId="77777777" w:rsidR="005A5FCC" w:rsidRDefault="00A21C81">
      <w:pPr>
        <w:ind w:firstLine="238"/>
      </w:pPr>
      <w:r>
        <w:rPr>
          <w:rFonts w:cs="EB Garamond"/>
          <w:kern w:val="16"/>
          <w14:ligatures w14:val="standardContextual"/>
        </w:rPr>
        <w:t>Já a sentença de extinção sem mérito (por ausência de início de prova material, conforme STJ Tema 629) não impede a propositura de nova ação com documentação mais robusta, pois não há coisa julgada sobre o mérito.</w:t>
      </w:r>
    </w:p>
    <w:tbl>
      <w:tblPr>
        <w:tblW w:w="5000" w:type="pct"/>
        <w:jc w:val="center"/>
        <w:tblLayout w:type="fixed"/>
        <w:tblLook w:val="04A0" w:firstRow="1" w:lastRow="0" w:firstColumn="1" w:lastColumn="0" w:noHBand="0" w:noVBand="1"/>
      </w:tblPr>
      <w:tblGrid>
        <w:gridCol w:w="6311"/>
      </w:tblGrid>
      <w:tr w:rsidR="005A5FCC" w14:paraId="41A7FBEE"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15B00855"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1D3C5117" w14:textId="77777777" w:rsidR="005A5FCC" w:rsidRDefault="00A21C81">
            <w:pPr>
              <w:spacing w:after="60" w:line="247" w:lineRule="auto"/>
            </w:pPr>
            <w:r>
              <w:rPr>
                <w:rFonts w:cs="EB Garamond"/>
                <w:b/>
                <w:kern w:val="16"/>
                <w:sz w:val="19"/>
                <w14:ligatures w14:val="standardContextual"/>
              </w:rPr>
              <w:t>Cuidado: fundamentação do pedido de reconhecimento</w:t>
            </w:r>
          </w:p>
          <w:p w14:paraId="2DFF9947" w14:textId="77777777" w:rsidR="005A5FCC" w:rsidRDefault="00A21C81">
            <w:pPr>
              <w:spacing w:after="60" w:line="247" w:lineRule="auto"/>
            </w:pPr>
            <w:r>
              <w:rPr>
                <w:rFonts w:cs="EB Garamond"/>
                <w:kern w:val="16"/>
                <w:sz w:val="19"/>
                <w14:ligatures w14:val="standardContextual"/>
              </w:rPr>
              <w:t>Ao redigir a petição inicial de reconhecimento de tempo, o advogado deve individualizar cada período e seu respectivo fundamento jurídico. Não basta pedir genericamente "o reconhecimento de todo o tempo de contribuição": é necessário especificar se o período é rural (art. 55, § 2º), militar (art. 55, I), de aluno-aprendiz (Súmula 96/TCU), de atividade especial (art. 57), etc. A individualização evita decisões genéricas e facilita a execução da sentença.</w:t>
            </w:r>
          </w:p>
        </w:tc>
      </w:tr>
    </w:tbl>
    <w:p w14:paraId="6478A9B5" w14:textId="77777777" w:rsidR="005A5FCC" w:rsidRDefault="005A5FCC">
      <w:pPr>
        <w:spacing w:after="80" w:line="240" w:lineRule="auto"/>
      </w:pPr>
    </w:p>
    <w:p w14:paraId="04137334" w14:textId="77777777" w:rsidR="005A5FCC" w:rsidRDefault="00A21C81">
      <w:pPr>
        <w:spacing w:before="260" w:after="80" w:line="240" w:lineRule="auto"/>
        <w:jc w:val="left"/>
      </w:pPr>
      <w:r>
        <w:rPr>
          <w:rFonts w:cs="EB Garamond"/>
          <w:b/>
          <w:color w:val="3A3128"/>
          <w:kern w:val="16"/>
          <w:sz w:val="25"/>
          <w14:ligatures w14:val="standardContextual"/>
        </w:rPr>
        <w:t>5.13.9 Cumprimento de sentença e efetivação no CNIS</w:t>
      </w:r>
    </w:p>
    <w:p w14:paraId="79373B53"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56EBCA26" w14:textId="77777777" w:rsidR="005A5FCC" w:rsidRDefault="00A21C81">
      <w:r>
        <w:rPr>
          <w:rFonts w:cs="EB Garamond"/>
          <w:kern w:val="16"/>
          <w14:ligatures w14:val="standardContextual"/>
        </w:rPr>
        <w:t>pós o trânsito em julgado de sentença favorável, o cumprimento se dá mediante comunicação ao INSS para: (a) inclusão dos períodos reconhecidos no CNIS; (b) concessão ou revisão do benefício conforme o caso; (c) pagamento de parcelas vencidas. No JEF, o pagamento de atrasados segue o sistema de RPV (Requisição de Pequeno Valor) quando não ultrapassa 60 SM, dispensando precatório.</w:t>
      </w:r>
    </w:p>
    <w:p w14:paraId="2EB6FC55" w14:textId="77777777" w:rsidR="005A5FCC" w:rsidRDefault="00A21C81">
      <w:pPr>
        <w:ind w:firstLine="238"/>
      </w:pPr>
      <w:r>
        <w:rPr>
          <w:rFonts w:cs="EB Garamond"/>
          <w:kern w:val="16"/>
          <w14:ligatures w14:val="standardContextual"/>
        </w:rPr>
        <w:t>A resistência do INSS ao cumprimento da sentença previdenciária é, infelizmente, recorrente. Casos de demora no cumprimento, aplicação incorreta dos parâmetros da sentença ou recusa em incluir períodos no CNIS autorizam a imposição de multa (astreintes) e, em casos graves, a responsabilização por crime de desobediência ou improbidade administrativa.</w:t>
      </w:r>
    </w:p>
    <w:p w14:paraId="3CFB0B44" w14:textId="77777777" w:rsidR="005A5FCC" w:rsidRDefault="00A21C81">
      <w:pPr>
        <w:spacing w:before="260" w:after="80" w:line="240" w:lineRule="auto"/>
        <w:jc w:val="left"/>
      </w:pPr>
      <w:r>
        <w:rPr>
          <w:rFonts w:cs="EB Garamond"/>
          <w:b/>
          <w:color w:val="3A3128"/>
          <w:kern w:val="16"/>
          <w:sz w:val="25"/>
          <w14:ligatures w14:val="standardContextual"/>
        </w:rPr>
        <w:t>5.13.10 Recurso inominado e questões recorrentes</w:t>
      </w:r>
    </w:p>
    <w:p w14:paraId="05EC070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N</w:t>
      </w:r>
    </w:p>
    <w:p w14:paraId="4AD52F91" w14:textId="77777777" w:rsidR="005A5FCC" w:rsidRDefault="00A21C81">
      <w:r>
        <w:rPr>
          <w:rFonts w:cs="EB Garamond"/>
          <w:kern w:val="16"/>
          <w14:ligatures w14:val="standardContextual"/>
        </w:rPr>
        <w:t>o JEF, o recurso contra a sentença é o recurso inominado, dirigido à Turma Recursal (art. 41, Lei 9.099/95 c/c art. 1º, Lei 10.259/2001). O prazo é de 10 dias, sem efeito suspensivo (salvo decisão expressa do relator). Em matéria de reconhecimento de tempo, as questões recorrentes nos recursos incluem:</w:t>
      </w:r>
    </w:p>
    <w:p w14:paraId="6F8E99BA"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Valoração da prova:</w:t>
      </w:r>
      <w:r>
        <w:rPr>
          <w:rFonts w:cs="EB Garamond"/>
          <w:kern w:val="16"/>
          <w:sz w:val="20"/>
          <w14:ligatures w14:val="standardContextual"/>
        </w:rPr>
        <w:t xml:space="preserve"> Insurgência contra a análise do conjunto probatório (início de prova material + depoimentos); contudo, a Turma Recursal não deve reexaminar fatos e provas, limitando-se a verificar se a sentença observou os critérios legais e jurisprudenciais;</w:t>
      </w:r>
    </w:p>
    <w:p w14:paraId="4CAC5C6C"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Extensão temporal da prova rural:</w:t>
      </w:r>
      <w:r>
        <w:rPr>
          <w:rFonts w:cs="EB Garamond"/>
          <w:kern w:val="16"/>
          <w:sz w:val="20"/>
          <w14:ligatures w14:val="standardContextual"/>
        </w:rPr>
        <w:t xml:space="preserve"> Discussão sobre os limites do reconhecimento anterior ao documento mais antigo (Súmula 577/STJ);</w:t>
      </w:r>
    </w:p>
    <w:p w14:paraId="0B626BC9"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Enquadramento de atividade especial:</w:t>
      </w:r>
      <w:r>
        <w:rPr>
          <w:rFonts w:cs="EB Garamond"/>
          <w:kern w:val="16"/>
          <w:sz w:val="20"/>
          <w14:ligatures w14:val="standardContextual"/>
        </w:rPr>
        <w:t xml:space="preserve"> Controvérsia sobre o agente nocivo, a suficiência do PPP, ou a eficácia do EPI;</w:t>
      </w:r>
    </w:p>
    <w:p w14:paraId="59CDBB9C"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Limites do pedido e da sentença:</w:t>
      </w:r>
      <w:r>
        <w:rPr>
          <w:rFonts w:cs="EB Garamond"/>
          <w:kern w:val="16"/>
          <w:sz w:val="20"/>
          <w14:ligatures w14:val="standardContextual"/>
        </w:rPr>
        <w:t xml:space="preserve"> Eventual julgamento ultra ou extra petita quando o juiz reconhece período não expressamente pleiteado.</w:t>
      </w:r>
    </w:p>
    <w:p w14:paraId="44A33559" w14:textId="77777777" w:rsidR="005A5FCC" w:rsidRDefault="005A5FCC">
      <w:pPr>
        <w:spacing w:after="60" w:line="240" w:lineRule="auto"/>
      </w:pPr>
    </w:p>
    <w:p w14:paraId="444283D4"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P</w:t>
      </w:r>
    </w:p>
    <w:p w14:paraId="46C83674" w14:textId="77777777" w:rsidR="005A5FCC" w:rsidRDefault="00A21C81">
      <w:r>
        <w:rPr>
          <w:rFonts w:cs="EB Garamond"/>
          <w:kern w:val="16"/>
          <w14:ligatures w14:val="standardContextual"/>
        </w:rPr>
        <w:t>ara uniformização da jurisprudência, cabe Pedido de Uniformização à TNU (art. 14, § 2º, Lei 10.259/2001) quando a sentença da Turma Recursal divergir de súmula ou jurisprudência dominante do STJ, ou de entendimento de outra Turma Recursal.</w:t>
      </w:r>
    </w:p>
    <w:p w14:paraId="09DDE333" w14:textId="77777777" w:rsidR="005A5FCC" w:rsidRDefault="00A21C81">
      <w:pPr>
        <w:spacing w:before="260" w:after="80" w:line="240" w:lineRule="auto"/>
        <w:jc w:val="left"/>
      </w:pPr>
      <w:r>
        <w:rPr>
          <w:rFonts w:cs="EB Garamond"/>
          <w:b/>
          <w:color w:val="3A3128"/>
          <w:kern w:val="16"/>
          <w:sz w:val="25"/>
          <w14:ligatures w14:val="standardContextual"/>
        </w:rPr>
        <w:t>5.13.11 Questões frequentes: perguntas e respostas</w:t>
      </w:r>
    </w:p>
    <w:p w14:paraId="2061D3F3"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P</w:t>
      </w:r>
    </w:p>
    <w:p w14:paraId="640CE27F" w14:textId="77777777" w:rsidR="005A5FCC" w:rsidRDefault="00A21C81">
      <w:r>
        <w:rPr>
          <w:rFonts w:cs="EB Garamond"/>
          <w:kern w:val="16"/>
          <w14:ligatures w14:val="standardContextual"/>
        </w:rPr>
        <w:t>ara consolidar os conceitos estudados neste capítulo, apresentamos as questões mais frequentes na prática forense dos JEFs:</w:t>
      </w:r>
    </w:p>
    <w:p w14:paraId="5D5A1E71" w14:textId="77777777" w:rsidR="005A5FCC" w:rsidRDefault="00A21C81">
      <w:pPr>
        <w:ind w:firstLine="238"/>
      </w:pPr>
      <w:r>
        <w:rPr>
          <w:rFonts w:cs="EB Garamond"/>
          <w:b/>
          <w:kern w:val="16"/>
          <w14:ligatures w14:val="standardContextual"/>
        </w:rPr>
        <w:t>P: Contribuição em atraso (art. 45-A) conta como carência?</w:t>
      </w:r>
      <w:r>
        <w:rPr>
          <w:rFonts w:cs="EB Garamond"/>
          <w:kern w:val="16"/>
          <w14:ligatures w14:val="standardContextual"/>
        </w:rPr>
        <w:t xml:space="preserve"> R: Não. A indenização gera tempo de contribuição, mas não carência (Capítulo 4, seção 4.6). O segurado precisa de contribuições tempestivas para atingir a carência exigida.</w:t>
      </w:r>
    </w:p>
    <w:p w14:paraId="654EBC00" w14:textId="77777777" w:rsidR="005A5FCC" w:rsidRDefault="00A21C81">
      <w:pPr>
        <w:ind w:firstLine="238"/>
      </w:pPr>
      <w:r>
        <w:rPr>
          <w:rFonts w:cs="EB Garamond"/>
          <w:b/>
          <w:kern w:val="16"/>
          <w14:ligatures w14:val="standardContextual"/>
        </w:rPr>
        <w:t>P: Período de gozo de auxílio por incapacidade temporária conta como tempo de contribuição?</w:t>
      </w:r>
      <w:r>
        <w:rPr>
          <w:rFonts w:cs="EB Garamond"/>
          <w:kern w:val="16"/>
          <w14:ligatures w14:val="standardContextual"/>
        </w:rPr>
        <w:t xml:space="preserve"> R: Sim, quando intercalado entre períodos de atividade (art. 55, § 2º, Lei 8.213/91 e art. 60, III, Decreto 3.048/99). Não conta quando precedido de perda da qualidade de segurado.</w:t>
      </w:r>
    </w:p>
    <w:p w14:paraId="188F3BDF" w14:textId="77777777" w:rsidR="005A5FCC" w:rsidRDefault="00A21C81">
      <w:pPr>
        <w:ind w:firstLine="238"/>
      </w:pPr>
      <w:r>
        <w:rPr>
          <w:rFonts w:cs="EB Garamond"/>
          <w:b/>
          <w:kern w:val="16"/>
          <w14:ligatures w14:val="standardContextual"/>
        </w:rPr>
        <w:t>P: Posso levar tempo do RGPS para o RPPS e depois me arrepender?</w:t>
      </w:r>
      <w:r>
        <w:rPr>
          <w:rFonts w:cs="EB Garamond"/>
          <w:kern w:val="16"/>
          <w14:ligatures w14:val="standardContextual"/>
        </w:rPr>
        <w:t xml:space="preserve"> R: Não. A CTC é irreversível (art. 130, § 14, Decreto 3.048/99). Uma vez averbada no regime instituidor, o tempo não retorna ao regime de origem.</w:t>
      </w:r>
    </w:p>
    <w:p w14:paraId="49F894C1" w14:textId="77777777" w:rsidR="005A5FCC" w:rsidRDefault="00A21C81">
      <w:pPr>
        <w:ind w:firstLine="238"/>
      </w:pPr>
      <w:r>
        <w:rPr>
          <w:rFonts w:cs="EB Garamond"/>
          <w:b/>
          <w:kern w:val="16"/>
          <w14:ligatures w14:val="standardContextual"/>
        </w:rPr>
        <w:t>P: Atividade rural após 1991 como segurado especial exige contribuição?</w:t>
      </w:r>
      <w:r>
        <w:rPr>
          <w:rFonts w:cs="EB Garamond"/>
          <w:kern w:val="16"/>
          <w14:ligatures w14:val="standardContextual"/>
        </w:rPr>
        <w:t xml:space="preserve"> R: Depende do benefício. Para aposentadoria por idade rural (60 anos homem / 55 anos mulher): não exige. Para aposentadoria por tempo de contribuição ou programada: exige indenização (art. 45-A). Para cômputo como segurado especial em aposentadoria híbrida: não exige (STJ Tema 1.007).</w:t>
      </w:r>
    </w:p>
    <w:p w14:paraId="606F9989" w14:textId="77777777" w:rsidR="005A5FCC" w:rsidRDefault="00A21C81">
      <w:pPr>
        <w:ind w:firstLine="238"/>
      </w:pPr>
      <w:r>
        <w:rPr>
          <w:rFonts w:cs="EB Garamond"/>
          <w:b/>
          <w:kern w:val="16"/>
          <w14:ligatures w14:val="standardContextual"/>
        </w:rPr>
        <w:t>P: A conversão de tempo especial para período anterior à EC 103 pode ser feita a qualquer tempo?</w:t>
      </w:r>
      <w:r>
        <w:rPr>
          <w:rFonts w:cs="EB Garamond"/>
          <w:kern w:val="16"/>
          <w14:ligatures w14:val="standardContextual"/>
        </w:rPr>
        <w:t xml:space="preserve"> R: Sim. O segurado mantém o direito de converter o período especial anterior a 13/11/2019, mesmo que requeira a aposentadoria anos ou décadas depois. O direito é adquirido na data do exercício da atividade.</w:t>
      </w:r>
    </w:p>
    <w:p w14:paraId="34620C6A" w14:textId="77777777" w:rsidR="005A5FCC" w:rsidRDefault="00A21C81">
      <w:pPr>
        <w:ind w:firstLine="238"/>
      </w:pPr>
      <w:r>
        <w:rPr>
          <w:rFonts w:cs="EB Garamond"/>
          <w:b/>
          <w:kern w:val="16"/>
          <w14:ligatures w14:val="standardContextual"/>
        </w:rPr>
        <w:t>P: O acordo internacional garante benefício integral do Brasil?</w:t>
      </w:r>
      <w:r>
        <w:rPr>
          <w:rFonts w:cs="EB Garamond"/>
          <w:kern w:val="16"/>
          <w14:ligatures w14:val="standardContextual"/>
        </w:rPr>
        <w:t xml:space="preserve"> R: Não necessariamente. Se o segurado cumpre todos os requisitos brasileiros com seu tempo no Brasil (sem totalização), recebe benefício integral. Se precisa totalizar, recebe pro rata — parcela proporcional ao tempo contribuído no Brasil.</w:t>
      </w:r>
    </w:p>
    <w:tbl>
      <w:tblPr>
        <w:tblW w:w="5000" w:type="pct"/>
        <w:jc w:val="center"/>
        <w:tblLayout w:type="fixed"/>
        <w:tblLook w:val="04A0" w:firstRow="1" w:lastRow="0" w:firstColumn="1" w:lastColumn="0" w:noHBand="0" w:noVBand="1"/>
      </w:tblPr>
      <w:tblGrid>
        <w:gridCol w:w="6311"/>
      </w:tblGrid>
      <w:tr w:rsidR="005A5FCC" w14:paraId="18DC3870"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30830AB6" w14:textId="77777777" w:rsidR="005A5FCC" w:rsidRDefault="00A21C81">
            <w:pPr>
              <w:spacing w:after="60" w:line="240" w:lineRule="auto"/>
              <w:jc w:val="left"/>
            </w:pPr>
            <w:r>
              <w:rPr>
                <w:rFonts w:ascii="Noto Sans" w:hAnsi="Noto Sans" w:cs="Noto Sans"/>
                <w:b/>
                <w:caps/>
                <w:color w:val="B78B37"/>
                <w:kern w:val="16"/>
                <w:sz w:val="16"/>
                <w14:ligatures w14:val="standardContextual"/>
              </w:rPr>
              <w:lastRenderedPageBreak/>
              <w:t>ATENÇÃO</w:t>
            </w:r>
          </w:p>
          <w:p w14:paraId="2E3EB78B" w14:textId="77777777" w:rsidR="005A5FCC" w:rsidRDefault="00A21C81">
            <w:pPr>
              <w:spacing w:after="60" w:line="247" w:lineRule="auto"/>
            </w:pPr>
            <w:r>
              <w:rPr>
                <w:rFonts w:cs="EB Garamond"/>
                <w:b/>
                <w:kern w:val="16"/>
                <w:sz w:val="19"/>
                <w14:ligatures w14:val="standardContextual"/>
              </w:rPr>
              <w:t>Prazo decadencial de 10 anos — ações de revisão</w:t>
            </w:r>
          </w:p>
          <w:p w14:paraId="371417A7" w14:textId="77777777" w:rsidR="005A5FCC" w:rsidRDefault="00A21C81">
            <w:pPr>
              <w:spacing w:after="60" w:line="247" w:lineRule="auto"/>
            </w:pPr>
            <w:r>
              <w:rPr>
                <w:rFonts w:cs="EB Garamond"/>
                <w:kern w:val="16"/>
                <w:sz w:val="19"/>
                <w14:ligatures w14:val="standardContextual"/>
              </w:rPr>
              <w:t>O art. 103 da Lei 8.213/91 estabelece prazo decadencial de 10 anos para revisão do ato de concessão de benefício. Esse prazo aplica-se às revisões por atividades concomitantes (Tema 1.070), inclusão de tempo especial não computado, e retificação de salários de contribuição. Contado do primeiro dia do mês seguinte ao primeiro pagamento, o prazo é fatal: uma vez decorrido, extingue-se o direito material de revisão. Não se confunde com a prescrição quinquenal das parcelas (que atinge apenas os valores devidos há mais de 5 anos do ajuizamento). O advogado deve calcular imediatamente se o benefício do cliente ainda está dentro do prazo revisional.</w:t>
            </w:r>
          </w:p>
        </w:tc>
      </w:tr>
    </w:tbl>
    <w:p w14:paraId="536DE133" w14:textId="77777777" w:rsidR="005A5FCC" w:rsidRDefault="005A5FCC">
      <w:pPr>
        <w:spacing w:after="80" w:line="240" w:lineRule="auto"/>
      </w:pPr>
    </w:p>
    <w:p w14:paraId="39654A6D"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5.14 Síntese do capítulo</w:t>
      </w:r>
    </w:p>
    <w:p w14:paraId="7DE51CD3"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598FB3B3" w14:textId="77777777" w:rsidR="005A5FCC" w:rsidRDefault="00A21C81">
      <w:r>
        <w:rPr>
          <w:rFonts w:cs="EB Garamond"/>
          <w:kern w:val="16"/>
          <w14:ligatures w14:val="standardContextual"/>
        </w:rPr>
        <w:t xml:space="preserve"> reconhecimento de tempo de contribuição responde pela maioria das ações previdenciárias nos JEFs. Os mecanismos examinados neste capítulo permitem ao advogado:</w:t>
      </w:r>
    </w:p>
    <w:p w14:paraId="78EDCD57" w14:textId="77777777" w:rsidR="005A5FCC" w:rsidRDefault="00A21C81">
      <w:pPr>
        <w:spacing w:after="40" w:line="252" w:lineRule="auto"/>
        <w:ind w:left="340" w:hanging="198"/>
      </w:pPr>
      <w:r>
        <w:rPr>
          <w:rFonts w:cs="EB Garamond"/>
          <w:color w:val="3A3128"/>
          <w:kern w:val="16"/>
          <w:sz w:val="20"/>
          <w14:ligatures w14:val="standardContextual"/>
        </w:rPr>
        <w:t xml:space="preserve">1. </w:t>
      </w:r>
      <w:r>
        <w:rPr>
          <w:rFonts w:cs="EB Garamond"/>
          <w:b/>
          <w:kern w:val="16"/>
          <w:sz w:val="20"/>
          <w14:ligatures w14:val="standardContextual"/>
        </w:rPr>
        <w:t>Utilizar o CNIS estrategicamente:</w:t>
      </w:r>
      <w:r>
        <w:rPr>
          <w:rFonts w:cs="EB Garamond"/>
          <w:kern w:val="16"/>
          <w:sz w:val="20"/>
          <w14:ligatures w14:val="standardContextual"/>
        </w:rPr>
        <w:t xml:space="preserve"> Identificar inconsistências, fundamentar pedidos de retificação e aproveitar a presunção de veracidade quando favorável ao segurado (art. 29-A, Lei 8.213/91).</w:t>
      </w:r>
    </w:p>
    <w:p w14:paraId="55EB7159" w14:textId="77777777" w:rsidR="005A5FCC" w:rsidRDefault="005A5FCC">
      <w:pPr>
        <w:spacing w:after="60" w:line="240" w:lineRule="auto"/>
      </w:pPr>
    </w:p>
    <w:p w14:paraId="44684F27" w14:textId="21F97602" w:rsidR="005A5FCC" w:rsidRDefault="00F959B3">
      <w:pPr>
        <w:spacing w:after="40" w:line="252" w:lineRule="auto"/>
        <w:ind w:left="340" w:hanging="198"/>
      </w:pPr>
      <w:r>
        <w:rPr>
          <w:rFonts w:cs="EB Garamond"/>
          <w:color w:val="3A3128"/>
          <w:kern w:val="16"/>
          <w:sz w:val="20"/>
          <w14:ligatures w14:val="standardContextual"/>
        </w:rPr>
        <w:t>2</w:t>
      </w:r>
      <w:r w:rsidR="00A21C81">
        <w:rPr>
          <w:rFonts w:cs="EB Garamond"/>
          <w:color w:val="3A3128"/>
          <w:kern w:val="16"/>
          <w:sz w:val="20"/>
          <w14:ligatures w14:val="standardContextual"/>
        </w:rPr>
        <w:t xml:space="preserve">. </w:t>
      </w:r>
      <w:r w:rsidR="00A21C81">
        <w:rPr>
          <w:rFonts w:cs="EB Garamond"/>
          <w:b/>
          <w:kern w:val="16"/>
          <w:sz w:val="20"/>
          <w14:ligatures w14:val="standardContextual"/>
        </w:rPr>
        <w:t>Reconhecer atividade rural:</w:t>
      </w:r>
      <w:r w:rsidR="00A21C81">
        <w:rPr>
          <w:rFonts w:cs="EB Garamond"/>
          <w:kern w:val="16"/>
          <w:sz w:val="20"/>
          <w14:ligatures w14:val="standardContextual"/>
        </w:rPr>
        <w:t xml:space="preserve"> Montar conjunto probatório adequado (início de prova material + prova testemunhal), observando os limites temporais (pré e pós-1991) e as distinções entre categorias de segurados.</w:t>
      </w:r>
    </w:p>
    <w:p w14:paraId="70B1739E" w14:textId="77777777" w:rsidR="005A5FCC" w:rsidRDefault="005A5FCC">
      <w:pPr>
        <w:spacing w:after="60" w:line="240" w:lineRule="auto"/>
      </w:pPr>
    </w:p>
    <w:p w14:paraId="62AD562E" w14:textId="3FC662B1" w:rsidR="005A5FCC" w:rsidRDefault="00F959B3">
      <w:pPr>
        <w:spacing w:after="40" w:line="252" w:lineRule="auto"/>
        <w:ind w:left="340" w:hanging="198"/>
      </w:pPr>
      <w:r>
        <w:rPr>
          <w:rFonts w:cs="EB Garamond"/>
          <w:color w:val="3A3128"/>
          <w:kern w:val="16"/>
          <w:sz w:val="20"/>
          <w14:ligatures w14:val="standardContextual"/>
        </w:rPr>
        <w:t>3</w:t>
      </w:r>
      <w:r w:rsidR="00A21C81">
        <w:rPr>
          <w:rFonts w:cs="EB Garamond"/>
          <w:color w:val="3A3128"/>
          <w:kern w:val="16"/>
          <w:sz w:val="20"/>
          <w14:ligatures w14:val="standardContextual"/>
        </w:rPr>
        <w:t xml:space="preserve">. </w:t>
      </w:r>
      <w:r w:rsidR="00A21C81">
        <w:rPr>
          <w:rFonts w:cs="EB Garamond"/>
          <w:b/>
          <w:kern w:val="16"/>
          <w:sz w:val="20"/>
          <w14:ligatures w14:val="standardContextual"/>
        </w:rPr>
        <w:t>Aproveitar períodos especiais:</w:t>
      </w:r>
      <w:r w:rsidR="00A21C81">
        <w:rPr>
          <w:rFonts w:cs="EB Garamond"/>
          <w:kern w:val="16"/>
          <w:sz w:val="20"/>
          <w14:ligatures w14:val="standardContextual"/>
        </w:rPr>
        <w:t xml:space="preserve"> Cômputo de serviço militar (art. 55, I) e aluno-aprendiz (Súmula 96/TCU, com os requisitos restritivos do Tema 216/TNU), agregando tempo frequentemente desconhecido pelo segurado.</w:t>
      </w:r>
    </w:p>
    <w:p w14:paraId="2ECFFE33" w14:textId="77777777" w:rsidR="005A5FCC" w:rsidRDefault="005A5FCC">
      <w:pPr>
        <w:spacing w:after="60" w:line="240" w:lineRule="auto"/>
      </w:pPr>
    </w:p>
    <w:p w14:paraId="7C57BC0C" w14:textId="784CC248" w:rsidR="005A5FCC" w:rsidRDefault="00F959B3">
      <w:pPr>
        <w:spacing w:after="40" w:line="252" w:lineRule="auto"/>
        <w:ind w:left="340" w:hanging="198"/>
      </w:pPr>
      <w:r>
        <w:rPr>
          <w:rFonts w:cs="EB Garamond"/>
          <w:color w:val="3A3128"/>
          <w:kern w:val="16"/>
          <w:sz w:val="20"/>
          <w14:ligatures w14:val="standardContextual"/>
        </w:rPr>
        <w:t>4</w:t>
      </w:r>
      <w:r w:rsidR="00A21C81">
        <w:rPr>
          <w:rFonts w:cs="EB Garamond"/>
          <w:color w:val="3A3128"/>
          <w:kern w:val="16"/>
          <w:sz w:val="20"/>
          <w14:ligatures w14:val="standardContextual"/>
        </w:rPr>
        <w:t xml:space="preserve">. </w:t>
      </w:r>
      <w:r w:rsidR="00A21C81">
        <w:rPr>
          <w:rFonts w:cs="EB Garamond"/>
          <w:b/>
          <w:kern w:val="16"/>
          <w:sz w:val="20"/>
          <w14:ligatures w14:val="standardContextual"/>
        </w:rPr>
        <w:t>Planejar a contagem recíproca:</w:t>
      </w:r>
      <w:r w:rsidR="00A21C81">
        <w:rPr>
          <w:rFonts w:cs="EB Garamond"/>
          <w:kern w:val="16"/>
          <w:sz w:val="20"/>
          <w14:ligatures w14:val="standardContextual"/>
        </w:rPr>
        <w:t xml:space="preserve"> Avaliar cenários de CTC com consciência da irreversibilidade, verificando se há impedimentos (tempo que gerou vantagens) e calculando o impacto no benefício de destino.</w:t>
      </w:r>
    </w:p>
    <w:p w14:paraId="4CD60A2D" w14:textId="77777777" w:rsidR="005A5FCC" w:rsidRDefault="005A5FCC">
      <w:pPr>
        <w:spacing w:after="60" w:line="240" w:lineRule="auto"/>
      </w:pPr>
    </w:p>
    <w:p w14:paraId="4A5136E4" w14:textId="5605E884" w:rsidR="005A5FCC" w:rsidRDefault="00F959B3">
      <w:pPr>
        <w:spacing w:after="40" w:line="252" w:lineRule="auto"/>
        <w:ind w:left="340" w:hanging="198"/>
      </w:pPr>
      <w:r>
        <w:rPr>
          <w:rFonts w:cs="EB Garamond"/>
          <w:color w:val="3A3128"/>
          <w:kern w:val="16"/>
          <w:sz w:val="20"/>
          <w14:ligatures w14:val="standardContextual"/>
        </w:rPr>
        <w:lastRenderedPageBreak/>
        <w:t>5</w:t>
      </w:r>
      <w:r w:rsidR="00A21C81">
        <w:rPr>
          <w:rFonts w:cs="EB Garamond"/>
          <w:color w:val="3A3128"/>
          <w:kern w:val="16"/>
          <w:sz w:val="20"/>
          <w14:ligatures w14:val="standardContextual"/>
        </w:rPr>
        <w:t xml:space="preserve">. </w:t>
      </w:r>
      <w:r w:rsidR="00A21C81">
        <w:rPr>
          <w:rFonts w:cs="EB Garamond"/>
          <w:b/>
          <w:kern w:val="16"/>
          <w:sz w:val="20"/>
          <w14:ligatures w14:val="standardContextual"/>
        </w:rPr>
        <w:t>Revisar benefícios por concomitância:</w:t>
      </w:r>
      <w:r w:rsidR="00A21C81">
        <w:rPr>
          <w:rFonts w:cs="EB Garamond"/>
          <w:kern w:val="16"/>
          <w:sz w:val="20"/>
          <w14:ligatures w14:val="standardContextual"/>
        </w:rPr>
        <w:t xml:space="preserve"> Identificar segurados aposentados entre 1999 e 2019 com múltiplos vínculos, verificando se houve aplicação do cálculo proporcional indevido (Tema 1.070/STJ).</w:t>
      </w:r>
    </w:p>
    <w:p w14:paraId="28B39ACD" w14:textId="77777777" w:rsidR="005A5FCC" w:rsidRDefault="005A5FCC">
      <w:pPr>
        <w:spacing w:after="60" w:line="240" w:lineRule="auto"/>
      </w:pPr>
    </w:p>
    <w:p w14:paraId="0D467960" w14:textId="4E21738B" w:rsidR="005A5FCC" w:rsidRDefault="00F959B3">
      <w:pPr>
        <w:spacing w:after="40" w:line="252" w:lineRule="auto"/>
        <w:ind w:left="340" w:hanging="198"/>
      </w:pPr>
      <w:r>
        <w:rPr>
          <w:rFonts w:cs="EB Garamond"/>
          <w:color w:val="3A3128"/>
          <w:kern w:val="16"/>
          <w:sz w:val="20"/>
          <w14:ligatures w14:val="standardContextual"/>
        </w:rPr>
        <w:t>6</w:t>
      </w:r>
      <w:r w:rsidR="00A21C81">
        <w:rPr>
          <w:rFonts w:cs="EB Garamond"/>
          <w:color w:val="3A3128"/>
          <w:kern w:val="16"/>
          <w:sz w:val="20"/>
          <w14:ligatures w14:val="standardContextual"/>
        </w:rPr>
        <w:t xml:space="preserve">. </w:t>
      </w:r>
      <w:r w:rsidR="00A21C81">
        <w:rPr>
          <w:rFonts w:cs="EB Garamond"/>
          <w:b/>
          <w:kern w:val="16"/>
          <w:sz w:val="20"/>
          <w14:ligatures w14:val="standardContextual"/>
        </w:rPr>
        <w:t>Converter tempo especial com segurança:</w:t>
      </w:r>
      <w:r w:rsidR="00A21C81">
        <w:rPr>
          <w:rFonts w:cs="EB Garamond"/>
          <w:kern w:val="16"/>
          <w:sz w:val="20"/>
          <w14:ligatures w14:val="standardContextual"/>
        </w:rPr>
        <w:t xml:space="preserve"> Aplicar os fatores corretos (1,40/1,20 para 25 anos) e respeitar o marco temporal da EC 103/2019 (13/11/2019). No julgamento da ADI 6.309 (03/06/2026), o STF manteve a vedação à conversão para períodos posteriores a 13/11/2019 e afastou a exigência de idade mínima da aposentadoria especial.</w:t>
      </w:r>
    </w:p>
    <w:p w14:paraId="63AB159D" w14:textId="77777777" w:rsidR="005A5FCC" w:rsidRDefault="005A5FCC">
      <w:pPr>
        <w:spacing w:after="60" w:line="240" w:lineRule="auto"/>
      </w:pPr>
    </w:p>
    <w:p w14:paraId="35691BA7" w14:textId="50FA6BE2" w:rsidR="005A5FCC" w:rsidRDefault="00F959B3">
      <w:pPr>
        <w:spacing w:after="40" w:line="252" w:lineRule="auto"/>
        <w:ind w:left="340" w:hanging="198"/>
      </w:pPr>
      <w:r>
        <w:rPr>
          <w:rFonts w:cs="EB Garamond"/>
          <w:color w:val="3A3128"/>
          <w:kern w:val="16"/>
          <w:sz w:val="20"/>
          <w14:ligatures w14:val="standardContextual"/>
        </w:rPr>
        <w:t>7</w:t>
      </w:r>
      <w:r w:rsidR="00A21C81">
        <w:rPr>
          <w:rFonts w:cs="EB Garamond"/>
          <w:color w:val="3A3128"/>
          <w:kern w:val="16"/>
          <w:sz w:val="20"/>
          <w14:ligatures w14:val="standardContextual"/>
        </w:rPr>
        <w:t xml:space="preserve">. </w:t>
      </w:r>
      <w:r w:rsidR="00A21C81">
        <w:rPr>
          <w:rFonts w:cs="EB Garamond"/>
          <w:b/>
          <w:kern w:val="16"/>
          <w:sz w:val="20"/>
          <w14:ligatures w14:val="standardContextual"/>
        </w:rPr>
        <w:t>Utilizar acordos internacionais:</w:t>
      </w:r>
      <w:r w:rsidR="00A21C81">
        <w:rPr>
          <w:rFonts w:cs="EB Garamond"/>
          <w:kern w:val="16"/>
          <w:sz w:val="20"/>
          <w14:ligatures w14:val="standardContextual"/>
        </w:rPr>
        <w:t xml:space="preserve"> Orientar brasileiros que trabalharam no exterior sobre a possibilidade de totalização de períodos, maximizando o aproveitamento contributivo em dois ou mais países.</w:t>
      </w:r>
    </w:p>
    <w:p w14:paraId="1C569390" w14:textId="77777777" w:rsidR="005A5FCC" w:rsidRDefault="005A5FCC">
      <w:pPr>
        <w:spacing w:after="60" w:line="240" w:lineRule="auto"/>
      </w:pPr>
    </w:p>
    <w:p w14:paraId="4067B023"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64DD0ABA" w14:textId="77777777" w:rsidR="005A5FCC" w:rsidRDefault="00A21C81">
      <w:r>
        <w:rPr>
          <w:rFonts w:cs="EB Garamond"/>
          <w:kern w:val="16"/>
          <w14:ligatures w14:val="standardContextual"/>
        </w:rPr>
        <w:t xml:space="preserve"> tabela a seguir sintetiza os períodos computáveis e suas condições:</w:t>
      </w:r>
    </w:p>
    <w:tbl>
      <w:tblPr>
        <w:tblW w:w="5000" w:type="pct"/>
        <w:jc w:val="center"/>
        <w:tblLook w:val="04A0" w:firstRow="1" w:lastRow="0" w:firstColumn="1" w:lastColumn="0" w:noHBand="0" w:noVBand="1"/>
      </w:tblPr>
      <w:tblGrid>
        <w:gridCol w:w="1585"/>
        <w:gridCol w:w="1585"/>
        <w:gridCol w:w="1585"/>
        <w:gridCol w:w="1585"/>
      </w:tblGrid>
      <w:tr w:rsidR="005A5FCC" w14:paraId="225EBCC1" w14:textId="77777777">
        <w:trPr>
          <w:tblHeader/>
          <w:jc w:val="center"/>
        </w:trPr>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0EF15D83" w14:textId="77777777" w:rsidR="005A5FCC" w:rsidRDefault="00A21C81">
            <w:pPr>
              <w:spacing w:before="40" w:after="40" w:line="240" w:lineRule="auto"/>
              <w:jc w:val="center"/>
            </w:pPr>
            <w:r>
              <w:rPr>
                <w:rFonts w:cs="EB Garamond"/>
                <w:b/>
                <w:color w:val="2F2923"/>
                <w:kern w:val="16"/>
                <w:sz w:val="18"/>
                <w14:ligatures w14:val="standardContextual"/>
              </w:rPr>
              <w:t>Período</w:t>
            </w:r>
          </w:p>
        </w:tc>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5C9D1932" w14:textId="77777777" w:rsidR="005A5FCC" w:rsidRDefault="00A21C81">
            <w:pPr>
              <w:spacing w:before="40" w:after="40" w:line="240" w:lineRule="auto"/>
              <w:jc w:val="center"/>
            </w:pPr>
            <w:r>
              <w:rPr>
                <w:rFonts w:cs="EB Garamond"/>
                <w:b/>
                <w:color w:val="2F2923"/>
                <w:kern w:val="16"/>
                <w:sz w:val="18"/>
                <w14:ligatures w14:val="standardContextual"/>
              </w:rPr>
              <w:t>Fundamento</w:t>
            </w:r>
          </w:p>
        </w:tc>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11DC6C42" w14:textId="77777777" w:rsidR="005A5FCC" w:rsidRDefault="00A21C81">
            <w:pPr>
              <w:spacing w:before="40" w:after="40" w:line="240" w:lineRule="auto"/>
              <w:jc w:val="center"/>
            </w:pPr>
            <w:r>
              <w:rPr>
                <w:rFonts w:cs="EB Garamond"/>
                <w:b/>
                <w:color w:val="2F2923"/>
                <w:kern w:val="16"/>
                <w:sz w:val="18"/>
                <w14:ligatures w14:val="standardContextual"/>
              </w:rPr>
              <w:t>Contribuição exigida?</w:t>
            </w:r>
          </w:p>
        </w:tc>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5031D254" w14:textId="77777777" w:rsidR="005A5FCC" w:rsidRDefault="00A21C81">
            <w:pPr>
              <w:spacing w:before="40" w:after="40" w:line="240" w:lineRule="auto"/>
              <w:jc w:val="center"/>
            </w:pPr>
            <w:r>
              <w:rPr>
                <w:rFonts w:cs="EB Garamond"/>
                <w:b/>
                <w:color w:val="2F2923"/>
                <w:kern w:val="16"/>
                <w:sz w:val="18"/>
                <w14:ligatures w14:val="standardContextual"/>
              </w:rPr>
              <w:t>Conta para carência?</w:t>
            </w:r>
          </w:p>
        </w:tc>
      </w:tr>
      <w:tr w:rsidR="005A5FCC" w14:paraId="118BAC43"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277C0298" w14:textId="77777777" w:rsidR="005A5FCC" w:rsidRDefault="00A21C81">
            <w:pPr>
              <w:spacing w:before="20" w:after="20" w:line="240" w:lineRule="auto"/>
              <w:jc w:val="left"/>
            </w:pPr>
            <w:r>
              <w:rPr>
                <w:rFonts w:cs="EB Garamond"/>
                <w:kern w:val="16"/>
                <w:sz w:val="18"/>
                <w14:ligatures w14:val="standardContextual"/>
              </w:rPr>
              <w:t>Rural pré-nov/1991 (segurado especial)</w:t>
            </w:r>
          </w:p>
        </w:tc>
        <w:tc>
          <w:tcPr>
            <w:tcW w:w="1587" w:type="dxa"/>
            <w:tcBorders>
              <w:top w:val="single" w:sz="4" w:space="0" w:color="D2C9B8"/>
              <w:left w:val="single" w:sz="4" w:space="0" w:color="D2C9B8"/>
              <w:bottom w:val="single" w:sz="4" w:space="0" w:color="D2C9B8"/>
              <w:right w:val="single" w:sz="4" w:space="0" w:color="D2C9B8"/>
            </w:tcBorders>
          </w:tcPr>
          <w:p w14:paraId="5B7C49D3" w14:textId="77777777" w:rsidR="005A5FCC" w:rsidRDefault="00A21C81">
            <w:pPr>
              <w:spacing w:before="20" w:after="20" w:line="240" w:lineRule="auto"/>
              <w:jc w:val="left"/>
            </w:pPr>
            <w:r>
              <w:rPr>
                <w:rFonts w:cs="EB Garamond"/>
                <w:kern w:val="16"/>
                <w:sz w:val="18"/>
                <w14:ligatures w14:val="standardContextual"/>
              </w:rPr>
              <w:t>Art. 55, § 2º, Lei 8.213</w:t>
            </w:r>
          </w:p>
        </w:tc>
        <w:tc>
          <w:tcPr>
            <w:tcW w:w="1587" w:type="dxa"/>
            <w:tcBorders>
              <w:top w:val="single" w:sz="4" w:space="0" w:color="D2C9B8"/>
              <w:left w:val="single" w:sz="4" w:space="0" w:color="D2C9B8"/>
              <w:bottom w:val="single" w:sz="4" w:space="0" w:color="D2C9B8"/>
              <w:right w:val="single" w:sz="4" w:space="0" w:color="D2C9B8"/>
            </w:tcBorders>
          </w:tcPr>
          <w:p w14:paraId="4A28FDDE" w14:textId="77777777" w:rsidR="005A5FCC" w:rsidRDefault="00A21C81">
            <w:pPr>
              <w:spacing w:before="20" w:after="20" w:line="240" w:lineRule="auto"/>
              <w:jc w:val="left"/>
            </w:pPr>
            <w:r>
              <w:rPr>
                <w:rFonts w:cs="EB Garamond"/>
                <w:kern w:val="16"/>
                <w:sz w:val="18"/>
                <w14:ligatures w14:val="standardContextual"/>
              </w:rPr>
              <w:t>Não</w:t>
            </w:r>
          </w:p>
        </w:tc>
        <w:tc>
          <w:tcPr>
            <w:tcW w:w="1587" w:type="dxa"/>
            <w:tcBorders>
              <w:top w:val="single" w:sz="4" w:space="0" w:color="D2C9B8"/>
              <w:left w:val="single" w:sz="4" w:space="0" w:color="D2C9B8"/>
              <w:bottom w:val="single" w:sz="4" w:space="0" w:color="D2C9B8"/>
              <w:right w:val="single" w:sz="4" w:space="0" w:color="D2C9B8"/>
            </w:tcBorders>
          </w:tcPr>
          <w:p w14:paraId="219FFBCD" w14:textId="77777777" w:rsidR="005A5FCC" w:rsidRDefault="00A21C81">
            <w:pPr>
              <w:spacing w:before="20" w:after="20" w:line="240" w:lineRule="auto"/>
              <w:jc w:val="left"/>
            </w:pPr>
            <w:r>
              <w:rPr>
                <w:rFonts w:cs="EB Garamond"/>
                <w:kern w:val="16"/>
                <w:sz w:val="18"/>
                <w14:ligatures w14:val="standardContextual"/>
              </w:rPr>
              <w:t>Não (exceto CTPS)</w:t>
            </w:r>
          </w:p>
        </w:tc>
      </w:tr>
      <w:tr w:rsidR="005A5FCC" w14:paraId="79D53B5B"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365C3013" w14:textId="77777777" w:rsidR="005A5FCC" w:rsidRDefault="00A21C81">
            <w:pPr>
              <w:spacing w:before="20" w:after="20" w:line="240" w:lineRule="auto"/>
              <w:jc w:val="left"/>
            </w:pPr>
            <w:r>
              <w:rPr>
                <w:rFonts w:cs="EB Garamond"/>
                <w:kern w:val="16"/>
                <w:sz w:val="18"/>
                <w14:ligatures w14:val="standardContextual"/>
              </w:rPr>
              <w:t>Rural pós-1991 (segurado especial)</w:t>
            </w:r>
          </w:p>
        </w:tc>
        <w:tc>
          <w:tcPr>
            <w:tcW w:w="1587" w:type="dxa"/>
            <w:tcBorders>
              <w:top w:val="single" w:sz="4" w:space="0" w:color="D2C9B8"/>
              <w:left w:val="single" w:sz="4" w:space="0" w:color="D2C9B8"/>
              <w:bottom w:val="single" w:sz="4" w:space="0" w:color="D2C9B8"/>
              <w:right w:val="single" w:sz="4" w:space="0" w:color="D2C9B8"/>
            </w:tcBorders>
          </w:tcPr>
          <w:p w14:paraId="09AD296A" w14:textId="77777777" w:rsidR="005A5FCC" w:rsidRDefault="00A21C81">
            <w:pPr>
              <w:spacing w:before="20" w:after="20" w:line="240" w:lineRule="auto"/>
              <w:jc w:val="left"/>
            </w:pPr>
            <w:r>
              <w:rPr>
                <w:rFonts w:cs="EB Garamond"/>
                <w:kern w:val="16"/>
                <w:sz w:val="18"/>
                <w14:ligatures w14:val="standardContextual"/>
              </w:rPr>
              <w:t>Art. 39, I, Lei 8.213</w:t>
            </w:r>
          </w:p>
        </w:tc>
        <w:tc>
          <w:tcPr>
            <w:tcW w:w="1587" w:type="dxa"/>
            <w:tcBorders>
              <w:top w:val="single" w:sz="4" w:space="0" w:color="D2C9B8"/>
              <w:left w:val="single" w:sz="4" w:space="0" w:color="D2C9B8"/>
              <w:bottom w:val="single" w:sz="4" w:space="0" w:color="D2C9B8"/>
              <w:right w:val="single" w:sz="4" w:space="0" w:color="D2C9B8"/>
            </w:tcBorders>
          </w:tcPr>
          <w:p w14:paraId="531A792F" w14:textId="77777777" w:rsidR="005A5FCC" w:rsidRDefault="00A21C81">
            <w:pPr>
              <w:spacing w:before="20" w:after="20" w:line="240" w:lineRule="auto"/>
              <w:jc w:val="left"/>
            </w:pPr>
            <w:r>
              <w:rPr>
                <w:rFonts w:cs="EB Garamond"/>
                <w:kern w:val="16"/>
                <w:sz w:val="18"/>
                <w14:ligatures w14:val="standardContextual"/>
              </w:rPr>
              <w:t>Não (para aposentadoria por idade rural)</w:t>
            </w:r>
          </w:p>
        </w:tc>
        <w:tc>
          <w:tcPr>
            <w:tcW w:w="1587" w:type="dxa"/>
            <w:tcBorders>
              <w:top w:val="single" w:sz="4" w:space="0" w:color="D2C9B8"/>
              <w:left w:val="single" w:sz="4" w:space="0" w:color="D2C9B8"/>
              <w:bottom w:val="single" w:sz="4" w:space="0" w:color="D2C9B8"/>
              <w:right w:val="single" w:sz="4" w:space="0" w:color="D2C9B8"/>
            </w:tcBorders>
          </w:tcPr>
          <w:p w14:paraId="39A7EA53" w14:textId="77777777" w:rsidR="005A5FCC" w:rsidRDefault="00A21C81">
            <w:pPr>
              <w:spacing w:before="20" w:after="20" w:line="240" w:lineRule="auto"/>
              <w:jc w:val="left"/>
            </w:pPr>
            <w:r>
              <w:rPr>
                <w:rFonts w:cs="EB Garamond"/>
                <w:kern w:val="16"/>
                <w:sz w:val="18"/>
                <w14:ligatures w14:val="standardContextual"/>
              </w:rPr>
              <w:t>Sim (para ap. Idade rural)</w:t>
            </w:r>
          </w:p>
        </w:tc>
      </w:tr>
      <w:tr w:rsidR="005A5FCC" w14:paraId="279D91AB"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0452FDA9" w14:textId="77777777" w:rsidR="005A5FCC" w:rsidRDefault="00A21C81">
            <w:pPr>
              <w:spacing w:before="20" w:after="20" w:line="240" w:lineRule="auto"/>
              <w:jc w:val="left"/>
            </w:pPr>
            <w:r>
              <w:rPr>
                <w:rFonts w:cs="EB Garamond"/>
                <w:kern w:val="16"/>
                <w:sz w:val="18"/>
                <w14:ligatures w14:val="standardContextual"/>
              </w:rPr>
              <w:t>Rural pós-1991 (CI rural)</w:t>
            </w:r>
          </w:p>
        </w:tc>
        <w:tc>
          <w:tcPr>
            <w:tcW w:w="1587" w:type="dxa"/>
            <w:tcBorders>
              <w:top w:val="single" w:sz="4" w:space="0" w:color="D2C9B8"/>
              <w:left w:val="single" w:sz="4" w:space="0" w:color="D2C9B8"/>
              <w:bottom w:val="single" w:sz="4" w:space="0" w:color="D2C9B8"/>
              <w:right w:val="single" w:sz="4" w:space="0" w:color="D2C9B8"/>
            </w:tcBorders>
          </w:tcPr>
          <w:p w14:paraId="7ED9E993" w14:textId="77777777" w:rsidR="005A5FCC" w:rsidRDefault="00A21C81">
            <w:pPr>
              <w:spacing w:before="20" w:after="20" w:line="240" w:lineRule="auto"/>
              <w:jc w:val="left"/>
            </w:pPr>
            <w:r>
              <w:rPr>
                <w:rFonts w:cs="EB Garamond"/>
                <w:kern w:val="16"/>
                <w:sz w:val="18"/>
                <w14:ligatures w14:val="standardContextual"/>
              </w:rPr>
              <w:t>Art. 45-A, Lei 8.212</w:t>
            </w:r>
          </w:p>
        </w:tc>
        <w:tc>
          <w:tcPr>
            <w:tcW w:w="1587" w:type="dxa"/>
            <w:tcBorders>
              <w:top w:val="single" w:sz="4" w:space="0" w:color="D2C9B8"/>
              <w:left w:val="single" w:sz="4" w:space="0" w:color="D2C9B8"/>
              <w:bottom w:val="single" w:sz="4" w:space="0" w:color="D2C9B8"/>
              <w:right w:val="single" w:sz="4" w:space="0" w:color="D2C9B8"/>
            </w:tcBorders>
          </w:tcPr>
          <w:p w14:paraId="08E29A8D" w14:textId="77777777" w:rsidR="005A5FCC" w:rsidRDefault="00A21C81">
            <w:pPr>
              <w:spacing w:before="20" w:after="20" w:line="240" w:lineRule="auto"/>
              <w:jc w:val="left"/>
            </w:pPr>
            <w:r>
              <w:rPr>
                <w:rFonts w:cs="EB Garamond"/>
                <w:kern w:val="16"/>
                <w:sz w:val="18"/>
                <w14:ligatures w14:val="standardContextual"/>
              </w:rPr>
              <w:t>Sim (indenização)</w:t>
            </w:r>
          </w:p>
        </w:tc>
        <w:tc>
          <w:tcPr>
            <w:tcW w:w="1587" w:type="dxa"/>
            <w:tcBorders>
              <w:top w:val="single" w:sz="4" w:space="0" w:color="D2C9B8"/>
              <w:left w:val="single" w:sz="4" w:space="0" w:color="D2C9B8"/>
              <w:bottom w:val="single" w:sz="4" w:space="0" w:color="D2C9B8"/>
              <w:right w:val="single" w:sz="4" w:space="0" w:color="D2C9B8"/>
            </w:tcBorders>
          </w:tcPr>
          <w:p w14:paraId="784FC74B" w14:textId="77777777" w:rsidR="005A5FCC" w:rsidRDefault="00A21C81">
            <w:pPr>
              <w:spacing w:before="20" w:after="20" w:line="240" w:lineRule="auto"/>
              <w:jc w:val="left"/>
            </w:pPr>
            <w:r>
              <w:rPr>
                <w:rFonts w:cs="EB Garamond"/>
                <w:kern w:val="16"/>
                <w:sz w:val="18"/>
                <w14:ligatures w14:val="standardContextual"/>
              </w:rPr>
              <w:t>Não</w:t>
            </w:r>
          </w:p>
        </w:tc>
      </w:tr>
      <w:tr w:rsidR="005A5FCC" w14:paraId="01F58FB4"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62EA05B1" w14:textId="77777777" w:rsidR="005A5FCC" w:rsidRDefault="00A21C81">
            <w:pPr>
              <w:spacing w:before="20" w:after="20" w:line="240" w:lineRule="auto"/>
              <w:jc w:val="left"/>
            </w:pPr>
            <w:r>
              <w:rPr>
                <w:rFonts w:cs="EB Garamond"/>
                <w:kern w:val="16"/>
                <w:sz w:val="18"/>
                <w14:ligatures w14:val="standardContextual"/>
              </w:rPr>
              <w:t>Serviço militar obrigatório</w:t>
            </w:r>
          </w:p>
        </w:tc>
        <w:tc>
          <w:tcPr>
            <w:tcW w:w="1587" w:type="dxa"/>
            <w:tcBorders>
              <w:top w:val="single" w:sz="4" w:space="0" w:color="D2C9B8"/>
              <w:left w:val="single" w:sz="4" w:space="0" w:color="D2C9B8"/>
              <w:bottom w:val="single" w:sz="4" w:space="0" w:color="D2C9B8"/>
              <w:right w:val="single" w:sz="4" w:space="0" w:color="D2C9B8"/>
            </w:tcBorders>
          </w:tcPr>
          <w:p w14:paraId="46E93676" w14:textId="77777777" w:rsidR="005A5FCC" w:rsidRDefault="00A21C81">
            <w:pPr>
              <w:spacing w:before="20" w:after="20" w:line="240" w:lineRule="auto"/>
              <w:jc w:val="left"/>
            </w:pPr>
            <w:r>
              <w:rPr>
                <w:rFonts w:cs="EB Garamond"/>
                <w:kern w:val="16"/>
                <w:sz w:val="18"/>
                <w14:ligatures w14:val="standardContextual"/>
              </w:rPr>
              <w:t>Art. 55, I, Lei 8.213</w:t>
            </w:r>
          </w:p>
        </w:tc>
        <w:tc>
          <w:tcPr>
            <w:tcW w:w="1587" w:type="dxa"/>
            <w:tcBorders>
              <w:top w:val="single" w:sz="4" w:space="0" w:color="D2C9B8"/>
              <w:left w:val="single" w:sz="4" w:space="0" w:color="D2C9B8"/>
              <w:bottom w:val="single" w:sz="4" w:space="0" w:color="D2C9B8"/>
              <w:right w:val="single" w:sz="4" w:space="0" w:color="D2C9B8"/>
            </w:tcBorders>
          </w:tcPr>
          <w:p w14:paraId="7BDB1A91" w14:textId="77777777" w:rsidR="005A5FCC" w:rsidRDefault="00A21C81">
            <w:pPr>
              <w:spacing w:before="20" w:after="20" w:line="240" w:lineRule="auto"/>
              <w:jc w:val="left"/>
            </w:pPr>
            <w:r>
              <w:rPr>
                <w:rFonts w:cs="EB Garamond"/>
                <w:kern w:val="16"/>
                <w:sz w:val="18"/>
                <w14:ligatures w14:val="standardContextual"/>
              </w:rPr>
              <w:t>Não</w:t>
            </w:r>
          </w:p>
        </w:tc>
        <w:tc>
          <w:tcPr>
            <w:tcW w:w="1587" w:type="dxa"/>
            <w:tcBorders>
              <w:top w:val="single" w:sz="4" w:space="0" w:color="D2C9B8"/>
              <w:left w:val="single" w:sz="4" w:space="0" w:color="D2C9B8"/>
              <w:bottom w:val="single" w:sz="4" w:space="0" w:color="D2C9B8"/>
              <w:right w:val="single" w:sz="4" w:space="0" w:color="D2C9B8"/>
            </w:tcBorders>
          </w:tcPr>
          <w:p w14:paraId="1F971461" w14:textId="77777777" w:rsidR="005A5FCC" w:rsidRDefault="00A21C81">
            <w:pPr>
              <w:spacing w:before="20" w:after="20" w:line="240" w:lineRule="auto"/>
              <w:jc w:val="left"/>
            </w:pPr>
            <w:r>
              <w:rPr>
                <w:rFonts w:cs="EB Garamond"/>
                <w:kern w:val="16"/>
                <w:sz w:val="18"/>
                <w14:ligatures w14:val="standardContextual"/>
              </w:rPr>
              <w:t>Sim</w:t>
            </w:r>
          </w:p>
        </w:tc>
      </w:tr>
      <w:tr w:rsidR="005A5FCC" w14:paraId="39E1C44B"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4496A44A" w14:textId="77777777" w:rsidR="005A5FCC" w:rsidRDefault="00A21C81">
            <w:pPr>
              <w:spacing w:before="20" w:after="20" w:line="240" w:lineRule="auto"/>
              <w:jc w:val="left"/>
            </w:pPr>
            <w:r>
              <w:rPr>
                <w:rFonts w:cs="EB Garamond"/>
                <w:kern w:val="16"/>
                <w:sz w:val="18"/>
                <w14:ligatures w14:val="standardContextual"/>
              </w:rPr>
              <w:t>Aluno-aprendiz</w:t>
            </w:r>
          </w:p>
        </w:tc>
        <w:tc>
          <w:tcPr>
            <w:tcW w:w="1587" w:type="dxa"/>
            <w:tcBorders>
              <w:top w:val="single" w:sz="4" w:space="0" w:color="D2C9B8"/>
              <w:left w:val="single" w:sz="4" w:space="0" w:color="D2C9B8"/>
              <w:bottom w:val="single" w:sz="4" w:space="0" w:color="D2C9B8"/>
              <w:right w:val="single" w:sz="4" w:space="0" w:color="D2C9B8"/>
            </w:tcBorders>
          </w:tcPr>
          <w:p w14:paraId="622971B1" w14:textId="77777777" w:rsidR="005A5FCC" w:rsidRDefault="00A21C81">
            <w:pPr>
              <w:spacing w:before="20" w:after="20" w:line="240" w:lineRule="auto"/>
              <w:jc w:val="left"/>
            </w:pPr>
            <w:r>
              <w:rPr>
                <w:rFonts w:cs="EB Garamond"/>
                <w:kern w:val="16"/>
                <w:sz w:val="18"/>
                <w14:ligatures w14:val="standardContextual"/>
              </w:rPr>
              <w:t>Art. 188-G, IX, Dec. 3.048/99 + Súmula 96/TCU</w:t>
            </w:r>
          </w:p>
        </w:tc>
        <w:tc>
          <w:tcPr>
            <w:tcW w:w="1587" w:type="dxa"/>
            <w:tcBorders>
              <w:top w:val="single" w:sz="4" w:space="0" w:color="D2C9B8"/>
              <w:left w:val="single" w:sz="4" w:space="0" w:color="D2C9B8"/>
              <w:bottom w:val="single" w:sz="4" w:space="0" w:color="D2C9B8"/>
              <w:right w:val="single" w:sz="4" w:space="0" w:color="D2C9B8"/>
            </w:tcBorders>
          </w:tcPr>
          <w:p w14:paraId="6AFB76BA" w14:textId="77777777" w:rsidR="005A5FCC" w:rsidRDefault="00A21C81">
            <w:pPr>
              <w:spacing w:before="20" w:after="20" w:line="240" w:lineRule="auto"/>
              <w:jc w:val="left"/>
            </w:pPr>
            <w:r>
              <w:rPr>
                <w:rFonts w:cs="EB Garamond"/>
                <w:kern w:val="16"/>
                <w:sz w:val="18"/>
                <w14:ligatures w14:val="standardContextual"/>
              </w:rPr>
              <w:t>Não</w:t>
            </w:r>
          </w:p>
        </w:tc>
        <w:tc>
          <w:tcPr>
            <w:tcW w:w="1587" w:type="dxa"/>
            <w:tcBorders>
              <w:top w:val="single" w:sz="4" w:space="0" w:color="D2C9B8"/>
              <w:left w:val="single" w:sz="4" w:space="0" w:color="D2C9B8"/>
              <w:bottom w:val="single" w:sz="4" w:space="0" w:color="D2C9B8"/>
              <w:right w:val="single" w:sz="4" w:space="0" w:color="D2C9B8"/>
            </w:tcBorders>
          </w:tcPr>
          <w:p w14:paraId="4C06BF32" w14:textId="77777777" w:rsidR="005A5FCC" w:rsidRDefault="00A21C81">
            <w:pPr>
              <w:spacing w:before="20" w:after="20" w:line="240" w:lineRule="auto"/>
              <w:jc w:val="left"/>
            </w:pPr>
            <w:r>
              <w:rPr>
                <w:rFonts w:cs="EB Garamond"/>
                <w:kern w:val="16"/>
                <w:sz w:val="18"/>
                <w14:ligatures w14:val="standardContextual"/>
              </w:rPr>
              <w:t>Sim (quando aceito)</w:t>
            </w:r>
          </w:p>
        </w:tc>
      </w:tr>
      <w:tr w:rsidR="005A5FCC" w14:paraId="25E13955"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25345700" w14:textId="77777777" w:rsidR="005A5FCC" w:rsidRDefault="00A21C81">
            <w:pPr>
              <w:spacing w:before="20" w:after="20" w:line="240" w:lineRule="auto"/>
              <w:jc w:val="left"/>
            </w:pPr>
            <w:r>
              <w:rPr>
                <w:rFonts w:cs="EB Garamond"/>
                <w:kern w:val="16"/>
                <w:sz w:val="18"/>
                <w14:ligatures w14:val="standardContextual"/>
              </w:rPr>
              <w:t>Contagem recíproca (CTC)</w:t>
            </w:r>
          </w:p>
        </w:tc>
        <w:tc>
          <w:tcPr>
            <w:tcW w:w="1587" w:type="dxa"/>
            <w:tcBorders>
              <w:top w:val="single" w:sz="4" w:space="0" w:color="D2C9B8"/>
              <w:left w:val="single" w:sz="4" w:space="0" w:color="D2C9B8"/>
              <w:bottom w:val="single" w:sz="4" w:space="0" w:color="D2C9B8"/>
              <w:right w:val="single" w:sz="4" w:space="0" w:color="D2C9B8"/>
            </w:tcBorders>
          </w:tcPr>
          <w:p w14:paraId="63FA6819" w14:textId="77777777" w:rsidR="005A5FCC" w:rsidRDefault="00A21C81">
            <w:pPr>
              <w:spacing w:before="20" w:after="20" w:line="240" w:lineRule="auto"/>
              <w:jc w:val="left"/>
            </w:pPr>
            <w:r>
              <w:rPr>
                <w:rFonts w:cs="EB Garamond"/>
                <w:kern w:val="16"/>
                <w:sz w:val="18"/>
                <w14:ligatures w14:val="standardContextual"/>
              </w:rPr>
              <w:t>Arts. 94-99, Lei 8.213 + art. 201, § 9º, CF</w:t>
            </w:r>
          </w:p>
        </w:tc>
        <w:tc>
          <w:tcPr>
            <w:tcW w:w="1587" w:type="dxa"/>
            <w:tcBorders>
              <w:top w:val="single" w:sz="4" w:space="0" w:color="D2C9B8"/>
              <w:left w:val="single" w:sz="4" w:space="0" w:color="D2C9B8"/>
              <w:bottom w:val="single" w:sz="4" w:space="0" w:color="D2C9B8"/>
              <w:right w:val="single" w:sz="4" w:space="0" w:color="D2C9B8"/>
            </w:tcBorders>
          </w:tcPr>
          <w:p w14:paraId="187883C4" w14:textId="77777777" w:rsidR="005A5FCC" w:rsidRDefault="00A21C81">
            <w:pPr>
              <w:spacing w:before="20" w:after="20" w:line="240" w:lineRule="auto"/>
              <w:jc w:val="left"/>
            </w:pPr>
            <w:r>
              <w:rPr>
                <w:rFonts w:cs="EB Garamond"/>
                <w:kern w:val="16"/>
                <w:sz w:val="18"/>
                <w14:ligatures w14:val="standardContextual"/>
              </w:rPr>
              <w:t>Sim (no regime de origem)</w:t>
            </w:r>
          </w:p>
        </w:tc>
        <w:tc>
          <w:tcPr>
            <w:tcW w:w="1587" w:type="dxa"/>
            <w:tcBorders>
              <w:top w:val="single" w:sz="4" w:space="0" w:color="D2C9B8"/>
              <w:left w:val="single" w:sz="4" w:space="0" w:color="D2C9B8"/>
              <w:bottom w:val="single" w:sz="4" w:space="0" w:color="D2C9B8"/>
              <w:right w:val="single" w:sz="4" w:space="0" w:color="D2C9B8"/>
            </w:tcBorders>
          </w:tcPr>
          <w:p w14:paraId="6263B345" w14:textId="77777777" w:rsidR="005A5FCC" w:rsidRDefault="00A21C81">
            <w:pPr>
              <w:spacing w:before="20" w:after="20" w:line="240" w:lineRule="auto"/>
              <w:jc w:val="left"/>
            </w:pPr>
            <w:r>
              <w:rPr>
                <w:rFonts w:cs="EB Garamond"/>
                <w:kern w:val="16"/>
                <w:sz w:val="18"/>
                <w14:ligatures w14:val="standardContextual"/>
              </w:rPr>
              <w:t>Variável</w:t>
            </w:r>
          </w:p>
        </w:tc>
      </w:tr>
      <w:tr w:rsidR="005A5FCC" w14:paraId="1B320E03"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4C612E7F" w14:textId="77777777" w:rsidR="005A5FCC" w:rsidRDefault="00A21C81">
            <w:pPr>
              <w:spacing w:before="20" w:after="20" w:line="240" w:lineRule="auto"/>
              <w:jc w:val="left"/>
            </w:pPr>
            <w:r>
              <w:rPr>
                <w:rFonts w:cs="EB Garamond"/>
                <w:kern w:val="16"/>
                <w:sz w:val="18"/>
                <w14:ligatures w14:val="standardContextual"/>
              </w:rPr>
              <w:lastRenderedPageBreak/>
              <w:t>Gozo de benefício por incapacidade</w:t>
            </w:r>
          </w:p>
        </w:tc>
        <w:tc>
          <w:tcPr>
            <w:tcW w:w="1587" w:type="dxa"/>
            <w:tcBorders>
              <w:top w:val="single" w:sz="4" w:space="0" w:color="D2C9B8"/>
              <w:left w:val="single" w:sz="4" w:space="0" w:color="D2C9B8"/>
              <w:bottom w:val="single" w:sz="4" w:space="0" w:color="D2C9B8"/>
              <w:right w:val="single" w:sz="4" w:space="0" w:color="D2C9B8"/>
            </w:tcBorders>
          </w:tcPr>
          <w:p w14:paraId="474195F4" w14:textId="77777777" w:rsidR="005A5FCC" w:rsidRDefault="00A21C81">
            <w:pPr>
              <w:spacing w:before="20" w:after="20" w:line="240" w:lineRule="auto"/>
              <w:jc w:val="left"/>
            </w:pPr>
            <w:r>
              <w:rPr>
                <w:rFonts w:cs="EB Garamond"/>
                <w:kern w:val="16"/>
                <w:sz w:val="18"/>
                <w14:ligatures w14:val="standardContextual"/>
              </w:rPr>
              <w:t>Art. 55, § 2º, Lei 8.213</w:t>
            </w:r>
          </w:p>
        </w:tc>
        <w:tc>
          <w:tcPr>
            <w:tcW w:w="1587" w:type="dxa"/>
            <w:tcBorders>
              <w:top w:val="single" w:sz="4" w:space="0" w:color="D2C9B8"/>
              <w:left w:val="single" w:sz="4" w:space="0" w:color="D2C9B8"/>
              <w:bottom w:val="single" w:sz="4" w:space="0" w:color="D2C9B8"/>
              <w:right w:val="single" w:sz="4" w:space="0" w:color="D2C9B8"/>
            </w:tcBorders>
          </w:tcPr>
          <w:p w14:paraId="3A2286FC" w14:textId="77777777" w:rsidR="005A5FCC" w:rsidRDefault="00A21C81">
            <w:pPr>
              <w:spacing w:before="20" w:after="20" w:line="240" w:lineRule="auto"/>
              <w:jc w:val="left"/>
            </w:pPr>
            <w:r>
              <w:rPr>
                <w:rFonts w:cs="EB Garamond"/>
                <w:kern w:val="16"/>
                <w:sz w:val="18"/>
                <w14:ligatures w14:val="standardContextual"/>
              </w:rPr>
              <w:t>Não</w:t>
            </w:r>
          </w:p>
        </w:tc>
        <w:tc>
          <w:tcPr>
            <w:tcW w:w="1587" w:type="dxa"/>
            <w:tcBorders>
              <w:top w:val="single" w:sz="4" w:space="0" w:color="D2C9B8"/>
              <w:left w:val="single" w:sz="4" w:space="0" w:color="D2C9B8"/>
              <w:bottom w:val="single" w:sz="4" w:space="0" w:color="D2C9B8"/>
              <w:right w:val="single" w:sz="4" w:space="0" w:color="D2C9B8"/>
            </w:tcBorders>
          </w:tcPr>
          <w:p w14:paraId="59A1471D" w14:textId="77777777" w:rsidR="005A5FCC" w:rsidRDefault="00A21C81">
            <w:pPr>
              <w:spacing w:before="20" w:after="20" w:line="240" w:lineRule="auto"/>
              <w:jc w:val="left"/>
            </w:pPr>
            <w:r>
              <w:rPr>
                <w:rFonts w:cs="EB Garamond"/>
                <w:kern w:val="16"/>
                <w:sz w:val="18"/>
                <w14:ligatures w14:val="standardContextual"/>
              </w:rPr>
              <w:t>Não</w:t>
            </w:r>
          </w:p>
        </w:tc>
      </w:tr>
      <w:tr w:rsidR="005A5FCC" w14:paraId="20A40C1D"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6A5040D6" w14:textId="77777777" w:rsidR="005A5FCC" w:rsidRDefault="00A21C81">
            <w:pPr>
              <w:spacing w:before="20" w:after="20" w:line="240" w:lineRule="auto"/>
              <w:jc w:val="left"/>
            </w:pPr>
            <w:r>
              <w:rPr>
                <w:rFonts w:cs="EB Garamond"/>
                <w:kern w:val="16"/>
                <w:sz w:val="18"/>
                <w14:ligatures w14:val="standardContextual"/>
              </w:rPr>
              <w:t>Tempo especial convertido</w:t>
            </w:r>
          </w:p>
        </w:tc>
        <w:tc>
          <w:tcPr>
            <w:tcW w:w="1587" w:type="dxa"/>
            <w:tcBorders>
              <w:top w:val="single" w:sz="4" w:space="0" w:color="D2C9B8"/>
              <w:left w:val="single" w:sz="4" w:space="0" w:color="D2C9B8"/>
              <w:bottom w:val="single" w:sz="4" w:space="0" w:color="D2C9B8"/>
              <w:right w:val="single" w:sz="4" w:space="0" w:color="D2C9B8"/>
            </w:tcBorders>
          </w:tcPr>
          <w:p w14:paraId="23D430FA" w14:textId="77777777" w:rsidR="005A5FCC" w:rsidRDefault="00A21C81">
            <w:pPr>
              <w:spacing w:before="20" w:after="20" w:line="240" w:lineRule="auto"/>
              <w:jc w:val="left"/>
            </w:pPr>
            <w:r>
              <w:rPr>
                <w:rFonts w:cs="EB Garamond"/>
                <w:kern w:val="16"/>
                <w:sz w:val="18"/>
                <w14:ligatures w14:val="standardContextual"/>
              </w:rPr>
              <w:t>Art. 57, § 5º + art. 70, Dec. 3.048</w:t>
            </w:r>
          </w:p>
        </w:tc>
        <w:tc>
          <w:tcPr>
            <w:tcW w:w="1587" w:type="dxa"/>
            <w:tcBorders>
              <w:top w:val="single" w:sz="4" w:space="0" w:color="D2C9B8"/>
              <w:left w:val="single" w:sz="4" w:space="0" w:color="D2C9B8"/>
              <w:bottom w:val="single" w:sz="4" w:space="0" w:color="D2C9B8"/>
              <w:right w:val="single" w:sz="4" w:space="0" w:color="D2C9B8"/>
            </w:tcBorders>
          </w:tcPr>
          <w:p w14:paraId="1E67BB7E" w14:textId="77777777" w:rsidR="005A5FCC" w:rsidRDefault="00A21C81">
            <w:pPr>
              <w:spacing w:before="20" w:after="20" w:line="240" w:lineRule="auto"/>
              <w:jc w:val="left"/>
            </w:pPr>
            <w:r>
              <w:rPr>
                <w:rFonts w:cs="EB Garamond"/>
                <w:kern w:val="16"/>
                <w:sz w:val="18"/>
                <w14:ligatures w14:val="standardContextual"/>
              </w:rPr>
              <w:t>Sim (atividade especial)</w:t>
            </w:r>
          </w:p>
        </w:tc>
        <w:tc>
          <w:tcPr>
            <w:tcW w:w="1587" w:type="dxa"/>
            <w:tcBorders>
              <w:top w:val="single" w:sz="4" w:space="0" w:color="D2C9B8"/>
              <w:left w:val="single" w:sz="4" w:space="0" w:color="D2C9B8"/>
              <w:bottom w:val="single" w:sz="4" w:space="0" w:color="D2C9B8"/>
              <w:right w:val="single" w:sz="4" w:space="0" w:color="D2C9B8"/>
            </w:tcBorders>
          </w:tcPr>
          <w:p w14:paraId="0C908DFE" w14:textId="77777777" w:rsidR="005A5FCC" w:rsidRDefault="00A21C81">
            <w:pPr>
              <w:spacing w:before="20" w:after="20" w:line="240" w:lineRule="auto"/>
              <w:jc w:val="left"/>
            </w:pPr>
            <w:r>
              <w:rPr>
                <w:rFonts w:cs="EB Garamond"/>
                <w:kern w:val="16"/>
                <w:sz w:val="18"/>
                <w14:ligatures w14:val="standardContextual"/>
              </w:rPr>
              <w:t>Sim</w:t>
            </w:r>
          </w:p>
        </w:tc>
      </w:tr>
      <w:tr w:rsidR="005A5FCC" w14:paraId="072D8694"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507168E9" w14:textId="77777777" w:rsidR="005A5FCC" w:rsidRDefault="00A21C81">
            <w:pPr>
              <w:spacing w:before="20" w:after="20" w:line="240" w:lineRule="auto"/>
              <w:jc w:val="left"/>
            </w:pPr>
            <w:r>
              <w:rPr>
                <w:rFonts w:cs="EB Garamond"/>
                <w:kern w:val="16"/>
                <w:sz w:val="18"/>
                <w14:ligatures w14:val="standardContextual"/>
              </w:rPr>
              <w:t>Período no exterior (acordo)</w:t>
            </w:r>
          </w:p>
        </w:tc>
        <w:tc>
          <w:tcPr>
            <w:tcW w:w="1587" w:type="dxa"/>
            <w:tcBorders>
              <w:top w:val="single" w:sz="4" w:space="0" w:color="D2C9B8"/>
              <w:left w:val="single" w:sz="4" w:space="0" w:color="D2C9B8"/>
              <w:bottom w:val="single" w:sz="4" w:space="0" w:color="D2C9B8"/>
              <w:right w:val="single" w:sz="4" w:space="0" w:color="D2C9B8"/>
            </w:tcBorders>
          </w:tcPr>
          <w:p w14:paraId="29D28B36" w14:textId="77777777" w:rsidR="005A5FCC" w:rsidRDefault="00A21C81">
            <w:pPr>
              <w:spacing w:before="20" w:after="20" w:line="240" w:lineRule="auto"/>
              <w:jc w:val="left"/>
            </w:pPr>
            <w:r>
              <w:rPr>
                <w:rFonts w:cs="EB Garamond"/>
                <w:kern w:val="16"/>
                <w:sz w:val="18"/>
                <w14:ligatures w14:val="standardContextual"/>
              </w:rPr>
              <w:t>Art. 150-A, Dec. 3.048 + acordo</w:t>
            </w:r>
          </w:p>
        </w:tc>
        <w:tc>
          <w:tcPr>
            <w:tcW w:w="1587" w:type="dxa"/>
            <w:tcBorders>
              <w:top w:val="single" w:sz="4" w:space="0" w:color="D2C9B8"/>
              <w:left w:val="single" w:sz="4" w:space="0" w:color="D2C9B8"/>
              <w:bottom w:val="single" w:sz="4" w:space="0" w:color="D2C9B8"/>
              <w:right w:val="single" w:sz="4" w:space="0" w:color="D2C9B8"/>
            </w:tcBorders>
          </w:tcPr>
          <w:p w14:paraId="0D3364EC" w14:textId="77777777" w:rsidR="005A5FCC" w:rsidRDefault="00A21C81">
            <w:pPr>
              <w:spacing w:before="20" w:after="20" w:line="240" w:lineRule="auto"/>
              <w:jc w:val="left"/>
            </w:pPr>
            <w:r>
              <w:rPr>
                <w:rFonts w:cs="EB Garamond"/>
                <w:kern w:val="16"/>
                <w:sz w:val="18"/>
                <w14:ligatures w14:val="standardContextual"/>
              </w:rPr>
              <w:t>Sim (no país estrangeiro)</w:t>
            </w:r>
          </w:p>
        </w:tc>
        <w:tc>
          <w:tcPr>
            <w:tcW w:w="1587" w:type="dxa"/>
            <w:tcBorders>
              <w:top w:val="single" w:sz="4" w:space="0" w:color="D2C9B8"/>
              <w:left w:val="single" w:sz="4" w:space="0" w:color="D2C9B8"/>
              <w:bottom w:val="single" w:sz="4" w:space="0" w:color="D2C9B8"/>
              <w:right w:val="single" w:sz="4" w:space="0" w:color="D2C9B8"/>
            </w:tcBorders>
          </w:tcPr>
          <w:p w14:paraId="07B35E18" w14:textId="77777777" w:rsidR="005A5FCC" w:rsidRDefault="00A21C81">
            <w:pPr>
              <w:spacing w:before="20" w:after="20" w:line="240" w:lineRule="auto"/>
              <w:jc w:val="left"/>
            </w:pPr>
            <w:r>
              <w:rPr>
                <w:rFonts w:cs="EB Garamond"/>
                <w:kern w:val="16"/>
                <w:sz w:val="18"/>
                <w14:ligatures w14:val="standardContextual"/>
              </w:rPr>
              <w:t>Sim (totalização)</w:t>
            </w:r>
          </w:p>
        </w:tc>
      </w:tr>
    </w:tbl>
    <w:p w14:paraId="789096A8" w14:textId="77777777" w:rsidR="005A5FCC" w:rsidRDefault="005A5FCC">
      <w:pPr>
        <w:spacing w:after="80" w:line="240" w:lineRule="auto"/>
      </w:pPr>
    </w:p>
    <w:tbl>
      <w:tblPr>
        <w:tblW w:w="5000" w:type="pct"/>
        <w:jc w:val="center"/>
        <w:tblLayout w:type="fixed"/>
        <w:tblLook w:val="04A0" w:firstRow="1" w:lastRow="0" w:firstColumn="1" w:lastColumn="0" w:noHBand="0" w:noVBand="1"/>
      </w:tblPr>
      <w:tblGrid>
        <w:gridCol w:w="6311"/>
      </w:tblGrid>
      <w:tr w:rsidR="005A5FCC" w14:paraId="0D34E5BD"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5DF0A264"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7392BDCD" w14:textId="77777777" w:rsidR="005A5FCC" w:rsidRDefault="00A21C81">
            <w:pPr>
              <w:spacing w:after="60" w:line="247" w:lineRule="auto"/>
            </w:pPr>
            <w:r>
              <w:rPr>
                <w:rFonts w:cs="EB Garamond"/>
                <w:b/>
                <w:kern w:val="16"/>
                <w:sz w:val="19"/>
                <w14:ligatures w14:val="standardContextual"/>
              </w:rPr>
              <w:t>Checklist de análise do tempo de contribuição do segurado</w:t>
            </w:r>
          </w:p>
          <w:p w14:paraId="5F885BC1" w14:textId="77777777" w:rsidR="005A5FCC" w:rsidRDefault="00A21C81">
            <w:pPr>
              <w:spacing w:after="60" w:line="247" w:lineRule="auto"/>
            </w:pPr>
            <w:r>
              <w:rPr>
                <w:rFonts w:cs="EB Garamond"/>
                <w:kern w:val="16"/>
                <w:sz w:val="19"/>
                <w14:ligatures w14:val="standardContextual"/>
              </w:rPr>
              <w:t>Ao atender um cliente previdenciário, verifique sistematicamente: (1) CNIS completo e atualizado; (2) existência de vínculos não registrados; (3) atividade rural na infância/juventude; (4) serviço militar obrigatório; (5) passagem por escola técnica federal; (6) passagem pelo serviço público (RPPS); (7) atividades concomitantes não consideradas; (8) períodos especiais não reconhecidos (conversão); (9) trabalho no exterior com país signatário; (10) períodos intercalados de benefício por incapacidade. Cada um desses itens pode representar meses ou anos adicionais de tempo de contribuição, potencialmente decisivos para o enquadramento em regra de transição ou para a concessão do benefício.</w:t>
            </w:r>
          </w:p>
        </w:tc>
      </w:tr>
    </w:tbl>
    <w:p w14:paraId="415E4958" w14:textId="77777777" w:rsidR="005A5FCC" w:rsidRDefault="005A5FCC">
      <w:pPr>
        <w:spacing w:after="80" w:line="240" w:lineRule="auto"/>
      </w:pPr>
    </w:p>
    <w:p w14:paraId="59308BF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367631C9" w14:textId="77777777" w:rsidR="005A5FCC" w:rsidRDefault="00A21C81">
      <w:r>
        <w:rPr>
          <w:rFonts w:cs="EB Garamond"/>
          <w:kern w:val="16"/>
          <w14:ligatures w14:val="standardContextual"/>
        </w:rPr>
        <w:t xml:space="preserve"> quadro a seguir sintetiza as principais jurisprudências tratadas neste capítulo:</w:t>
      </w:r>
    </w:p>
    <w:tbl>
      <w:tblPr>
        <w:tblW w:w="5000" w:type="pct"/>
        <w:jc w:val="center"/>
        <w:tblLook w:val="04A0" w:firstRow="1" w:lastRow="0" w:firstColumn="1" w:lastColumn="0" w:noHBand="0" w:noVBand="1"/>
      </w:tblPr>
      <w:tblGrid>
        <w:gridCol w:w="1585"/>
        <w:gridCol w:w="1584"/>
        <w:gridCol w:w="1585"/>
        <w:gridCol w:w="1586"/>
      </w:tblGrid>
      <w:tr w:rsidR="005A5FCC" w14:paraId="129F583F" w14:textId="77777777">
        <w:trPr>
          <w:tblHeader/>
          <w:jc w:val="center"/>
        </w:trPr>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6F60C88E" w14:textId="77777777" w:rsidR="005A5FCC" w:rsidRDefault="00A21C81">
            <w:pPr>
              <w:spacing w:before="40" w:after="40" w:line="240" w:lineRule="auto"/>
              <w:jc w:val="center"/>
            </w:pPr>
            <w:r>
              <w:rPr>
                <w:rFonts w:cs="EB Garamond"/>
                <w:b/>
                <w:color w:val="2F2923"/>
                <w:kern w:val="16"/>
                <w:sz w:val="18"/>
                <w14:ligatures w14:val="standardContextual"/>
              </w:rPr>
              <w:t>Tema</w:t>
            </w:r>
          </w:p>
        </w:tc>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6EFAD5EF" w14:textId="77777777" w:rsidR="005A5FCC" w:rsidRDefault="00A21C81">
            <w:pPr>
              <w:spacing w:before="40" w:after="40" w:line="240" w:lineRule="auto"/>
              <w:jc w:val="center"/>
            </w:pPr>
            <w:r>
              <w:rPr>
                <w:rFonts w:cs="EB Garamond"/>
                <w:b/>
                <w:color w:val="2F2923"/>
                <w:kern w:val="16"/>
                <w:sz w:val="18"/>
                <w14:ligatures w14:val="standardContextual"/>
              </w:rPr>
              <w:t>Tribunal</w:t>
            </w:r>
          </w:p>
        </w:tc>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27EE36D3" w14:textId="77777777" w:rsidR="005A5FCC" w:rsidRDefault="00A21C81">
            <w:pPr>
              <w:spacing w:before="40" w:after="40" w:line="240" w:lineRule="auto"/>
              <w:jc w:val="center"/>
            </w:pPr>
            <w:r>
              <w:rPr>
                <w:rFonts w:cs="EB Garamond"/>
                <w:b/>
                <w:color w:val="2F2923"/>
                <w:kern w:val="16"/>
                <w:sz w:val="18"/>
                <w14:ligatures w14:val="standardContextual"/>
              </w:rPr>
              <w:t>Conteúdo</w:t>
            </w:r>
          </w:p>
        </w:tc>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78BA0002" w14:textId="77777777" w:rsidR="005A5FCC" w:rsidRDefault="00A21C81">
            <w:pPr>
              <w:spacing w:before="40" w:after="40" w:line="240" w:lineRule="auto"/>
              <w:jc w:val="center"/>
            </w:pPr>
            <w:r>
              <w:rPr>
                <w:rFonts w:cs="EB Garamond"/>
                <w:b/>
                <w:color w:val="2F2923"/>
                <w:kern w:val="16"/>
                <w:sz w:val="18"/>
                <w14:ligatures w14:val="standardContextual"/>
              </w:rPr>
              <w:t>Impacto no JEF</w:t>
            </w:r>
          </w:p>
        </w:tc>
      </w:tr>
      <w:tr w:rsidR="005A5FCC" w14:paraId="10AC1AF4"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060924C2" w14:textId="77777777" w:rsidR="005A5FCC" w:rsidRDefault="00A21C81">
            <w:pPr>
              <w:spacing w:before="20" w:after="20" w:line="240" w:lineRule="auto"/>
              <w:jc w:val="left"/>
            </w:pPr>
            <w:r>
              <w:rPr>
                <w:rFonts w:cs="EB Garamond"/>
                <w:kern w:val="16"/>
                <w:sz w:val="18"/>
                <w14:ligatures w14:val="standardContextual"/>
              </w:rPr>
              <w:t>Tema 629/STJ</w:t>
            </w:r>
          </w:p>
        </w:tc>
        <w:tc>
          <w:tcPr>
            <w:tcW w:w="1587" w:type="dxa"/>
            <w:tcBorders>
              <w:top w:val="single" w:sz="4" w:space="0" w:color="D2C9B8"/>
              <w:left w:val="single" w:sz="4" w:space="0" w:color="D2C9B8"/>
              <w:bottom w:val="single" w:sz="4" w:space="0" w:color="D2C9B8"/>
              <w:right w:val="single" w:sz="4" w:space="0" w:color="D2C9B8"/>
            </w:tcBorders>
          </w:tcPr>
          <w:p w14:paraId="27D3DEF9" w14:textId="77777777" w:rsidR="005A5FCC" w:rsidRDefault="00A21C81">
            <w:pPr>
              <w:spacing w:before="20" w:after="20" w:line="240" w:lineRule="auto"/>
              <w:jc w:val="left"/>
            </w:pPr>
            <w:r>
              <w:rPr>
                <w:rFonts w:cs="EB Garamond"/>
                <w:kern w:val="16"/>
                <w:sz w:val="18"/>
                <w14:ligatures w14:val="standardContextual"/>
              </w:rPr>
              <w:t>STJ</w:t>
            </w:r>
          </w:p>
        </w:tc>
        <w:tc>
          <w:tcPr>
            <w:tcW w:w="1587" w:type="dxa"/>
            <w:tcBorders>
              <w:top w:val="single" w:sz="4" w:space="0" w:color="D2C9B8"/>
              <w:left w:val="single" w:sz="4" w:space="0" w:color="D2C9B8"/>
              <w:bottom w:val="single" w:sz="4" w:space="0" w:color="D2C9B8"/>
              <w:right w:val="single" w:sz="4" w:space="0" w:color="D2C9B8"/>
            </w:tcBorders>
          </w:tcPr>
          <w:p w14:paraId="061DCEA7" w14:textId="77777777" w:rsidR="005A5FCC" w:rsidRDefault="00A21C81">
            <w:pPr>
              <w:spacing w:before="20" w:after="20" w:line="240" w:lineRule="auto"/>
              <w:jc w:val="left"/>
            </w:pPr>
            <w:r>
              <w:rPr>
                <w:rFonts w:cs="EB Garamond"/>
                <w:kern w:val="16"/>
                <w:sz w:val="18"/>
                <w14:ligatures w14:val="standardContextual"/>
              </w:rPr>
              <w:t>Ausência de prova material → extinção sem mérito (repropositura)</w:t>
            </w:r>
          </w:p>
        </w:tc>
        <w:tc>
          <w:tcPr>
            <w:tcW w:w="1587" w:type="dxa"/>
            <w:tcBorders>
              <w:top w:val="single" w:sz="4" w:space="0" w:color="D2C9B8"/>
              <w:left w:val="single" w:sz="4" w:space="0" w:color="D2C9B8"/>
              <w:bottom w:val="single" w:sz="4" w:space="0" w:color="D2C9B8"/>
              <w:right w:val="single" w:sz="4" w:space="0" w:color="D2C9B8"/>
            </w:tcBorders>
          </w:tcPr>
          <w:p w14:paraId="408D8820" w14:textId="77777777" w:rsidR="005A5FCC" w:rsidRDefault="00A21C81">
            <w:pPr>
              <w:spacing w:before="20" w:after="20" w:line="240" w:lineRule="auto"/>
              <w:jc w:val="left"/>
            </w:pPr>
            <w:r>
              <w:rPr>
                <w:rFonts w:cs="EB Garamond"/>
                <w:kern w:val="16"/>
                <w:sz w:val="18"/>
                <w14:ligatures w14:val="standardContextual"/>
              </w:rPr>
              <w:t>Pedido mais frequente</w:t>
            </w:r>
          </w:p>
        </w:tc>
      </w:tr>
      <w:tr w:rsidR="005A5FCC" w14:paraId="6C50DB54"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3592C8A0" w14:textId="77777777" w:rsidR="005A5FCC" w:rsidRDefault="00A21C81">
            <w:pPr>
              <w:spacing w:before="20" w:after="20" w:line="240" w:lineRule="auto"/>
              <w:jc w:val="left"/>
            </w:pPr>
            <w:r>
              <w:rPr>
                <w:rFonts w:cs="EB Garamond"/>
                <w:kern w:val="16"/>
                <w:sz w:val="18"/>
                <w14:ligatures w14:val="standardContextual"/>
              </w:rPr>
              <w:t>Temas 422 e 423/STJ</w:t>
            </w:r>
          </w:p>
        </w:tc>
        <w:tc>
          <w:tcPr>
            <w:tcW w:w="1587" w:type="dxa"/>
            <w:tcBorders>
              <w:top w:val="single" w:sz="4" w:space="0" w:color="D2C9B8"/>
              <w:left w:val="single" w:sz="4" w:space="0" w:color="D2C9B8"/>
              <w:bottom w:val="single" w:sz="4" w:space="0" w:color="D2C9B8"/>
              <w:right w:val="single" w:sz="4" w:space="0" w:color="D2C9B8"/>
            </w:tcBorders>
          </w:tcPr>
          <w:p w14:paraId="5B276EA0" w14:textId="77777777" w:rsidR="005A5FCC" w:rsidRDefault="00A21C81">
            <w:pPr>
              <w:spacing w:before="20" w:after="20" w:line="240" w:lineRule="auto"/>
              <w:jc w:val="left"/>
            </w:pPr>
            <w:r>
              <w:rPr>
                <w:rFonts w:cs="EB Garamond"/>
                <w:kern w:val="16"/>
                <w:sz w:val="18"/>
                <w14:ligatures w14:val="standardContextual"/>
              </w:rPr>
              <w:t>STJ</w:t>
            </w:r>
          </w:p>
        </w:tc>
        <w:tc>
          <w:tcPr>
            <w:tcW w:w="1587" w:type="dxa"/>
            <w:tcBorders>
              <w:top w:val="single" w:sz="4" w:space="0" w:color="D2C9B8"/>
              <w:left w:val="single" w:sz="4" w:space="0" w:color="D2C9B8"/>
              <w:bottom w:val="single" w:sz="4" w:space="0" w:color="D2C9B8"/>
              <w:right w:val="single" w:sz="4" w:space="0" w:color="D2C9B8"/>
            </w:tcBorders>
          </w:tcPr>
          <w:p w14:paraId="12CBDB6D" w14:textId="77777777" w:rsidR="005A5FCC" w:rsidRDefault="00A21C81">
            <w:pPr>
              <w:spacing w:before="20" w:after="20" w:line="240" w:lineRule="auto"/>
              <w:jc w:val="left"/>
            </w:pPr>
            <w:r>
              <w:rPr>
                <w:rFonts w:cs="EB Garamond"/>
                <w:kern w:val="16"/>
                <w:sz w:val="18"/>
                <w14:ligatures w14:val="standardContextual"/>
              </w:rPr>
              <w:t>Conversão especial → comum permanece após 1998 (422); fator é mero cálculo matemático (423)</w:t>
            </w:r>
          </w:p>
        </w:tc>
        <w:tc>
          <w:tcPr>
            <w:tcW w:w="1587" w:type="dxa"/>
            <w:tcBorders>
              <w:top w:val="single" w:sz="4" w:space="0" w:color="D2C9B8"/>
              <w:left w:val="single" w:sz="4" w:space="0" w:color="D2C9B8"/>
              <w:bottom w:val="single" w:sz="4" w:space="0" w:color="D2C9B8"/>
              <w:right w:val="single" w:sz="4" w:space="0" w:color="D2C9B8"/>
            </w:tcBorders>
          </w:tcPr>
          <w:p w14:paraId="31AD9C45" w14:textId="77777777" w:rsidR="005A5FCC" w:rsidRDefault="00A21C81">
            <w:pPr>
              <w:spacing w:before="20" w:after="20" w:line="240" w:lineRule="auto"/>
              <w:jc w:val="left"/>
            </w:pPr>
            <w:r>
              <w:rPr>
                <w:rFonts w:cs="EB Garamond"/>
                <w:kern w:val="16"/>
                <w:sz w:val="18"/>
                <w14:ligatures w14:val="standardContextual"/>
              </w:rPr>
              <w:t>Direito à conversão</w:t>
            </w:r>
          </w:p>
        </w:tc>
      </w:tr>
      <w:tr w:rsidR="005A5FCC" w14:paraId="155214D9"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74FB24AB" w14:textId="77777777" w:rsidR="005A5FCC" w:rsidRDefault="00A21C81">
            <w:pPr>
              <w:spacing w:before="20" w:after="20" w:line="240" w:lineRule="auto"/>
              <w:jc w:val="left"/>
            </w:pPr>
            <w:r>
              <w:rPr>
                <w:rFonts w:cs="EB Garamond"/>
                <w:kern w:val="16"/>
                <w:sz w:val="18"/>
                <w14:ligatures w14:val="standardContextual"/>
              </w:rPr>
              <w:lastRenderedPageBreak/>
              <w:t>Tema 546/STJ</w:t>
            </w:r>
          </w:p>
        </w:tc>
        <w:tc>
          <w:tcPr>
            <w:tcW w:w="1587" w:type="dxa"/>
            <w:tcBorders>
              <w:top w:val="single" w:sz="4" w:space="0" w:color="D2C9B8"/>
              <w:left w:val="single" w:sz="4" w:space="0" w:color="D2C9B8"/>
              <w:bottom w:val="single" w:sz="4" w:space="0" w:color="D2C9B8"/>
              <w:right w:val="single" w:sz="4" w:space="0" w:color="D2C9B8"/>
            </w:tcBorders>
          </w:tcPr>
          <w:p w14:paraId="61BA9766" w14:textId="77777777" w:rsidR="005A5FCC" w:rsidRDefault="00A21C81">
            <w:pPr>
              <w:spacing w:before="20" w:after="20" w:line="240" w:lineRule="auto"/>
              <w:jc w:val="left"/>
            </w:pPr>
            <w:r>
              <w:rPr>
                <w:rFonts w:cs="EB Garamond"/>
                <w:kern w:val="16"/>
                <w:sz w:val="18"/>
                <w14:ligatures w14:val="standardContextual"/>
              </w:rPr>
              <w:t>STJ</w:t>
            </w:r>
          </w:p>
        </w:tc>
        <w:tc>
          <w:tcPr>
            <w:tcW w:w="1587" w:type="dxa"/>
            <w:tcBorders>
              <w:top w:val="single" w:sz="4" w:space="0" w:color="D2C9B8"/>
              <w:left w:val="single" w:sz="4" w:space="0" w:color="D2C9B8"/>
              <w:bottom w:val="single" w:sz="4" w:space="0" w:color="D2C9B8"/>
              <w:right w:val="single" w:sz="4" w:space="0" w:color="D2C9B8"/>
            </w:tcBorders>
          </w:tcPr>
          <w:p w14:paraId="4E4F17D1" w14:textId="77777777" w:rsidR="005A5FCC" w:rsidRDefault="00A21C81">
            <w:pPr>
              <w:spacing w:before="20" w:after="20" w:line="240" w:lineRule="auto"/>
              <w:jc w:val="left"/>
            </w:pPr>
            <w:r>
              <w:rPr>
                <w:rFonts w:cs="EB Garamond"/>
                <w:kern w:val="16"/>
                <w:sz w:val="18"/>
                <w14:ligatures w14:val="standardContextual"/>
              </w:rPr>
              <w:t>Lei vigente na data da aposentadoria define o fator de conversão</w:t>
            </w:r>
          </w:p>
        </w:tc>
        <w:tc>
          <w:tcPr>
            <w:tcW w:w="1587" w:type="dxa"/>
            <w:tcBorders>
              <w:top w:val="single" w:sz="4" w:space="0" w:color="D2C9B8"/>
              <w:left w:val="single" w:sz="4" w:space="0" w:color="D2C9B8"/>
              <w:bottom w:val="single" w:sz="4" w:space="0" w:color="D2C9B8"/>
              <w:right w:val="single" w:sz="4" w:space="0" w:color="D2C9B8"/>
            </w:tcBorders>
          </w:tcPr>
          <w:p w14:paraId="4B519F1E" w14:textId="77777777" w:rsidR="005A5FCC" w:rsidRDefault="00A21C81">
            <w:pPr>
              <w:spacing w:before="20" w:after="20" w:line="240" w:lineRule="auto"/>
              <w:jc w:val="left"/>
            </w:pPr>
            <w:r>
              <w:rPr>
                <w:rFonts w:cs="EB Garamond"/>
                <w:kern w:val="16"/>
                <w:sz w:val="18"/>
                <w14:ligatures w14:val="standardContextual"/>
              </w:rPr>
              <w:t>Aplicação de fatores</w:t>
            </w:r>
          </w:p>
        </w:tc>
      </w:tr>
      <w:tr w:rsidR="005A5FCC" w14:paraId="397463A9"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08F67F3C" w14:textId="77777777" w:rsidR="005A5FCC" w:rsidRDefault="00A21C81">
            <w:pPr>
              <w:spacing w:before="20" w:after="20" w:line="240" w:lineRule="auto"/>
              <w:jc w:val="left"/>
            </w:pPr>
            <w:r>
              <w:rPr>
                <w:rFonts w:cs="EB Garamond"/>
                <w:kern w:val="16"/>
                <w:sz w:val="18"/>
                <w14:ligatures w14:val="standardContextual"/>
              </w:rPr>
              <w:t>Tema 1.070/STJ</w:t>
            </w:r>
          </w:p>
        </w:tc>
        <w:tc>
          <w:tcPr>
            <w:tcW w:w="1587" w:type="dxa"/>
            <w:tcBorders>
              <w:top w:val="single" w:sz="4" w:space="0" w:color="D2C9B8"/>
              <w:left w:val="single" w:sz="4" w:space="0" w:color="D2C9B8"/>
              <w:bottom w:val="single" w:sz="4" w:space="0" w:color="D2C9B8"/>
              <w:right w:val="single" w:sz="4" w:space="0" w:color="D2C9B8"/>
            </w:tcBorders>
          </w:tcPr>
          <w:p w14:paraId="737BCF53" w14:textId="77777777" w:rsidR="005A5FCC" w:rsidRDefault="00A21C81">
            <w:pPr>
              <w:spacing w:before="20" w:after="20" w:line="240" w:lineRule="auto"/>
              <w:jc w:val="left"/>
            </w:pPr>
            <w:r>
              <w:rPr>
                <w:rFonts w:cs="EB Garamond"/>
                <w:kern w:val="16"/>
                <w:sz w:val="18"/>
                <w14:ligatures w14:val="standardContextual"/>
              </w:rPr>
              <w:t>STJ</w:t>
            </w:r>
          </w:p>
        </w:tc>
        <w:tc>
          <w:tcPr>
            <w:tcW w:w="1587" w:type="dxa"/>
            <w:tcBorders>
              <w:top w:val="single" w:sz="4" w:space="0" w:color="D2C9B8"/>
              <w:left w:val="single" w:sz="4" w:space="0" w:color="D2C9B8"/>
              <w:bottom w:val="single" w:sz="4" w:space="0" w:color="D2C9B8"/>
              <w:right w:val="single" w:sz="4" w:space="0" w:color="D2C9B8"/>
            </w:tcBorders>
          </w:tcPr>
          <w:p w14:paraId="6FCD9BA2" w14:textId="77777777" w:rsidR="005A5FCC" w:rsidRDefault="00A21C81">
            <w:pPr>
              <w:spacing w:before="20" w:after="20" w:line="240" w:lineRule="auto"/>
              <w:jc w:val="left"/>
            </w:pPr>
            <w:r>
              <w:rPr>
                <w:rFonts w:cs="EB Garamond"/>
                <w:kern w:val="16"/>
                <w:sz w:val="18"/>
                <w14:ligatures w14:val="standardContextual"/>
              </w:rPr>
              <w:t>Soma integral de concomitantes</w:t>
            </w:r>
          </w:p>
        </w:tc>
        <w:tc>
          <w:tcPr>
            <w:tcW w:w="1587" w:type="dxa"/>
            <w:tcBorders>
              <w:top w:val="single" w:sz="4" w:space="0" w:color="D2C9B8"/>
              <w:left w:val="single" w:sz="4" w:space="0" w:color="D2C9B8"/>
              <w:bottom w:val="single" w:sz="4" w:space="0" w:color="D2C9B8"/>
              <w:right w:val="single" w:sz="4" w:space="0" w:color="D2C9B8"/>
            </w:tcBorders>
          </w:tcPr>
          <w:p w14:paraId="3DD8990D" w14:textId="77777777" w:rsidR="005A5FCC" w:rsidRDefault="00A21C81">
            <w:pPr>
              <w:spacing w:before="20" w:after="20" w:line="240" w:lineRule="auto"/>
              <w:jc w:val="left"/>
            </w:pPr>
            <w:r>
              <w:rPr>
                <w:rFonts w:cs="EB Garamond"/>
                <w:kern w:val="16"/>
                <w:sz w:val="18"/>
                <w14:ligatures w14:val="standardContextual"/>
              </w:rPr>
              <w:t>Revisão de benefícios</w:t>
            </w:r>
          </w:p>
        </w:tc>
      </w:tr>
      <w:tr w:rsidR="005A5FCC" w14:paraId="50CF58B2"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41201F5D" w14:textId="77777777" w:rsidR="005A5FCC" w:rsidRDefault="00A21C81">
            <w:pPr>
              <w:spacing w:before="20" w:after="20" w:line="240" w:lineRule="auto"/>
              <w:jc w:val="left"/>
            </w:pPr>
            <w:r>
              <w:rPr>
                <w:rFonts w:cs="EB Garamond"/>
                <w:kern w:val="16"/>
                <w:sz w:val="18"/>
                <w14:ligatures w14:val="standardContextual"/>
              </w:rPr>
              <w:t>Tema 1.188/STJ</w:t>
            </w:r>
          </w:p>
        </w:tc>
        <w:tc>
          <w:tcPr>
            <w:tcW w:w="1587" w:type="dxa"/>
            <w:tcBorders>
              <w:top w:val="single" w:sz="4" w:space="0" w:color="D2C9B8"/>
              <w:left w:val="single" w:sz="4" w:space="0" w:color="D2C9B8"/>
              <w:bottom w:val="single" w:sz="4" w:space="0" w:color="D2C9B8"/>
              <w:right w:val="single" w:sz="4" w:space="0" w:color="D2C9B8"/>
            </w:tcBorders>
          </w:tcPr>
          <w:p w14:paraId="08600BE1" w14:textId="77777777" w:rsidR="005A5FCC" w:rsidRDefault="00A21C81">
            <w:pPr>
              <w:spacing w:before="20" w:after="20" w:line="240" w:lineRule="auto"/>
              <w:jc w:val="left"/>
            </w:pPr>
            <w:r>
              <w:rPr>
                <w:rFonts w:cs="EB Garamond"/>
                <w:kern w:val="16"/>
                <w:sz w:val="18"/>
                <w14:ligatures w14:val="standardContextual"/>
              </w:rPr>
              <w:t>STJ</w:t>
            </w:r>
          </w:p>
        </w:tc>
        <w:tc>
          <w:tcPr>
            <w:tcW w:w="1587" w:type="dxa"/>
            <w:tcBorders>
              <w:top w:val="single" w:sz="4" w:space="0" w:color="D2C9B8"/>
              <w:left w:val="single" w:sz="4" w:space="0" w:color="D2C9B8"/>
              <w:bottom w:val="single" w:sz="4" w:space="0" w:color="D2C9B8"/>
              <w:right w:val="single" w:sz="4" w:space="0" w:color="D2C9B8"/>
            </w:tcBorders>
          </w:tcPr>
          <w:p w14:paraId="67B46917" w14:textId="77777777" w:rsidR="005A5FCC" w:rsidRDefault="00A21C81">
            <w:pPr>
              <w:spacing w:before="20" w:after="20" w:line="240" w:lineRule="auto"/>
              <w:jc w:val="left"/>
            </w:pPr>
            <w:r>
              <w:rPr>
                <w:rFonts w:cs="EB Garamond"/>
                <w:kern w:val="16"/>
                <w:sz w:val="18"/>
                <w14:ligatures w14:val="standardContextual"/>
              </w:rPr>
              <w:t>Sentença trabalhista homologatória de acordo exige prova contemporânea (art. 55, § 3º)</w:t>
            </w:r>
          </w:p>
        </w:tc>
        <w:tc>
          <w:tcPr>
            <w:tcW w:w="1587" w:type="dxa"/>
            <w:tcBorders>
              <w:top w:val="single" w:sz="4" w:space="0" w:color="D2C9B8"/>
              <w:left w:val="single" w:sz="4" w:space="0" w:color="D2C9B8"/>
              <w:bottom w:val="single" w:sz="4" w:space="0" w:color="D2C9B8"/>
              <w:right w:val="single" w:sz="4" w:space="0" w:color="D2C9B8"/>
            </w:tcBorders>
          </w:tcPr>
          <w:p w14:paraId="0F307398" w14:textId="77777777" w:rsidR="005A5FCC" w:rsidRDefault="00A21C81">
            <w:pPr>
              <w:spacing w:before="20" w:after="20" w:line="240" w:lineRule="auto"/>
              <w:jc w:val="left"/>
            </w:pPr>
            <w:r>
              <w:rPr>
                <w:rFonts w:cs="EB Garamond"/>
                <w:kern w:val="16"/>
                <w:sz w:val="18"/>
                <w14:ligatures w14:val="standardContextual"/>
              </w:rPr>
              <w:t>Prova de tempo de serviço</w:t>
            </w:r>
          </w:p>
        </w:tc>
      </w:tr>
      <w:tr w:rsidR="005A5FCC" w14:paraId="0D18BB13"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3D8A93A2" w14:textId="77777777" w:rsidR="005A5FCC" w:rsidRDefault="00A21C81">
            <w:pPr>
              <w:spacing w:before="20" w:after="20" w:line="240" w:lineRule="auto"/>
              <w:jc w:val="left"/>
            </w:pPr>
            <w:r>
              <w:rPr>
                <w:rFonts w:cs="EB Garamond"/>
                <w:kern w:val="16"/>
                <w:sz w:val="18"/>
                <w14:ligatures w14:val="standardContextual"/>
              </w:rPr>
              <w:t>Tema 1.238/STJ</w:t>
            </w:r>
          </w:p>
        </w:tc>
        <w:tc>
          <w:tcPr>
            <w:tcW w:w="1587" w:type="dxa"/>
            <w:tcBorders>
              <w:top w:val="single" w:sz="4" w:space="0" w:color="D2C9B8"/>
              <w:left w:val="single" w:sz="4" w:space="0" w:color="D2C9B8"/>
              <w:bottom w:val="single" w:sz="4" w:space="0" w:color="D2C9B8"/>
              <w:right w:val="single" w:sz="4" w:space="0" w:color="D2C9B8"/>
            </w:tcBorders>
          </w:tcPr>
          <w:p w14:paraId="084E8812" w14:textId="77777777" w:rsidR="005A5FCC" w:rsidRDefault="00A21C81">
            <w:pPr>
              <w:spacing w:before="20" w:after="20" w:line="240" w:lineRule="auto"/>
              <w:jc w:val="left"/>
            </w:pPr>
            <w:r>
              <w:rPr>
                <w:rFonts w:cs="EB Garamond"/>
                <w:kern w:val="16"/>
                <w:sz w:val="18"/>
                <w14:ligatures w14:val="standardContextual"/>
              </w:rPr>
              <w:t>STJ</w:t>
            </w:r>
          </w:p>
        </w:tc>
        <w:tc>
          <w:tcPr>
            <w:tcW w:w="1587" w:type="dxa"/>
            <w:tcBorders>
              <w:top w:val="single" w:sz="4" w:space="0" w:color="D2C9B8"/>
              <w:left w:val="single" w:sz="4" w:space="0" w:color="D2C9B8"/>
              <w:bottom w:val="single" w:sz="4" w:space="0" w:color="D2C9B8"/>
              <w:right w:val="single" w:sz="4" w:space="0" w:color="D2C9B8"/>
            </w:tcBorders>
          </w:tcPr>
          <w:p w14:paraId="47C6C253" w14:textId="77777777" w:rsidR="005A5FCC" w:rsidRDefault="00A21C81">
            <w:pPr>
              <w:spacing w:before="20" w:after="20" w:line="240" w:lineRule="auto"/>
              <w:jc w:val="left"/>
            </w:pPr>
            <w:r>
              <w:rPr>
                <w:rFonts w:cs="EB Garamond"/>
                <w:kern w:val="16"/>
                <w:sz w:val="18"/>
                <w14:ligatures w14:val="standardContextual"/>
              </w:rPr>
              <w:t>Aviso prévio indenizado não é tempo de serviço previdenciário</w:t>
            </w:r>
          </w:p>
        </w:tc>
        <w:tc>
          <w:tcPr>
            <w:tcW w:w="1587" w:type="dxa"/>
            <w:tcBorders>
              <w:top w:val="single" w:sz="4" w:space="0" w:color="D2C9B8"/>
              <w:left w:val="single" w:sz="4" w:space="0" w:color="D2C9B8"/>
              <w:bottom w:val="single" w:sz="4" w:space="0" w:color="D2C9B8"/>
              <w:right w:val="single" w:sz="4" w:space="0" w:color="D2C9B8"/>
            </w:tcBorders>
          </w:tcPr>
          <w:p w14:paraId="2F19D54D" w14:textId="77777777" w:rsidR="005A5FCC" w:rsidRDefault="00A21C81">
            <w:pPr>
              <w:spacing w:before="20" w:after="20" w:line="240" w:lineRule="auto"/>
              <w:jc w:val="left"/>
            </w:pPr>
            <w:r>
              <w:rPr>
                <w:rFonts w:cs="EB Garamond"/>
                <w:kern w:val="16"/>
                <w:sz w:val="18"/>
                <w14:ligatures w14:val="standardContextual"/>
              </w:rPr>
              <w:t>Cômputo de tempo</w:t>
            </w:r>
          </w:p>
        </w:tc>
      </w:tr>
      <w:tr w:rsidR="005A5FCC" w14:paraId="7F44EFBA"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08CD820D" w14:textId="77777777" w:rsidR="005A5FCC" w:rsidRDefault="00A21C81">
            <w:pPr>
              <w:spacing w:before="20" w:after="20" w:line="240" w:lineRule="auto"/>
              <w:jc w:val="left"/>
            </w:pPr>
            <w:r>
              <w:rPr>
                <w:rFonts w:cs="EB Garamond"/>
                <w:kern w:val="16"/>
                <w:sz w:val="18"/>
                <w14:ligatures w14:val="standardContextual"/>
              </w:rPr>
              <w:t>Jurisprudência consolidada STJ</w:t>
            </w:r>
          </w:p>
        </w:tc>
        <w:tc>
          <w:tcPr>
            <w:tcW w:w="1587" w:type="dxa"/>
            <w:tcBorders>
              <w:top w:val="single" w:sz="4" w:space="0" w:color="D2C9B8"/>
              <w:left w:val="single" w:sz="4" w:space="0" w:color="D2C9B8"/>
              <w:bottom w:val="single" w:sz="4" w:space="0" w:color="D2C9B8"/>
              <w:right w:val="single" w:sz="4" w:space="0" w:color="D2C9B8"/>
            </w:tcBorders>
          </w:tcPr>
          <w:p w14:paraId="4F02DE66" w14:textId="77777777" w:rsidR="005A5FCC" w:rsidRDefault="00A21C81">
            <w:pPr>
              <w:spacing w:before="20" w:after="20" w:line="240" w:lineRule="auto"/>
              <w:jc w:val="left"/>
            </w:pPr>
            <w:r>
              <w:rPr>
                <w:rFonts w:cs="EB Garamond"/>
                <w:kern w:val="16"/>
                <w:sz w:val="18"/>
                <w14:ligatures w14:val="standardContextual"/>
              </w:rPr>
              <w:t>STJ</w:t>
            </w:r>
          </w:p>
        </w:tc>
        <w:tc>
          <w:tcPr>
            <w:tcW w:w="1587" w:type="dxa"/>
            <w:tcBorders>
              <w:top w:val="single" w:sz="4" w:space="0" w:color="D2C9B8"/>
              <w:left w:val="single" w:sz="4" w:space="0" w:color="D2C9B8"/>
              <w:bottom w:val="single" w:sz="4" w:space="0" w:color="D2C9B8"/>
              <w:right w:val="single" w:sz="4" w:space="0" w:color="D2C9B8"/>
            </w:tcBorders>
          </w:tcPr>
          <w:p w14:paraId="3C1AD94E" w14:textId="77777777" w:rsidR="005A5FCC" w:rsidRDefault="00A21C81">
            <w:pPr>
              <w:spacing w:before="20" w:after="20" w:line="240" w:lineRule="auto"/>
              <w:jc w:val="left"/>
            </w:pPr>
            <w:r>
              <w:rPr>
                <w:rFonts w:cs="EB Garamond"/>
                <w:kern w:val="16"/>
                <w:sz w:val="18"/>
                <w14:ligatures w14:val="standardContextual"/>
              </w:rPr>
              <w:t>Enquadramento profissional até 1995</w:t>
            </w:r>
          </w:p>
        </w:tc>
        <w:tc>
          <w:tcPr>
            <w:tcW w:w="1587" w:type="dxa"/>
            <w:tcBorders>
              <w:top w:val="single" w:sz="4" w:space="0" w:color="D2C9B8"/>
              <w:left w:val="single" w:sz="4" w:space="0" w:color="D2C9B8"/>
              <w:bottom w:val="single" w:sz="4" w:space="0" w:color="D2C9B8"/>
              <w:right w:val="single" w:sz="4" w:space="0" w:color="D2C9B8"/>
            </w:tcBorders>
          </w:tcPr>
          <w:p w14:paraId="6D0F4E8A" w14:textId="77777777" w:rsidR="005A5FCC" w:rsidRDefault="00A21C81">
            <w:pPr>
              <w:spacing w:before="20" w:after="20" w:line="240" w:lineRule="auto"/>
              <w:jc w:val="left"/>
            </w:pPr>
            <w:r>
              <w:rPr>
                <w:rFonts w:cs="EB Garamond"/>
                <w:kern w:val="16"/>
                <w:sz w:val="18"/>
                <w14:ligatures w14:val="standardContextual"/>
              </w:rPr>
              <w:t>Período especial antigo</w:t>
            </w:r>
          </w:p>
        </w:tc>
      </w:tr>
      <w:tr w:rsidR="005A5FCC" w14:paraId="6556918D"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12ADAC7B" w14:textId="77777777" w:rsidR="005A5FCC" w:rsidRDefault="00A21C81">
            <w:pPr>
              <w:spacing w:before="20" w:after="20" w:line="240" w:lineRule="auto"/>
              <w:jc w:val="left"/>
            </w:pPr>
            <w:r>
              <w:rPr>
                <w:rFonts w:cs="EB Garamond"/>
                <w:kern w:val="16"/>
                <w:sz w:val="18"/>
                <w14:ligatures w14:val="standardContextual"/>
              </w:rPr>
              <w:t>Tema 216/TNU</w:t>
            </w:r>
          </w:p>
        </w:tc>
        <w:tc>
          <w:tcPr>
            <w:tcW w:w="1587" w:type="dxa"/>
            <w:tcBorders>
              <w:top w:val="single" w:sz="4" w:space="0" w:color="D2C9B8"/>
              <w:left w:val="single" w:sz="4" w:space="0" w:color="D2C9B8"/>
              <w:bottom w:val="single" w:sz="4" w:space="0" w:color="D2C9B8"/>
              <w:right w:val="single" w:sz="4" w:space="0" w:color="D2C9B8"/>
            </w:tcBorders>
          </w:tcPr>
          <w:p w14:paraId="2BBEB28B" w14:textId="77777777" w:rsidR="005A5FCC" w:rsidRDefault="00A21C81">
            <w:pPr>
              <w:spacing w:before="20" w:after="20" w:line="240" w:lineRule="auto"/>
              <w:jc w:val="left"/>
            </w:pPr>
            <w:r>
              <w:rPr>
                <w:rFonts w:cs="EB Garamond"/>
                <w:kern w:val="16"/>
                <w:sz w:val="18"/>
                <w14:ligatures w14:val="standardContextual"/>
              </w:rPr>
              <w:t>TNU</w:t>
            </w:r>
          </w:p>
        </w:tc>
        <w:tc>
          <w:tcPr>
            <w:tcW w:w="1587" w:type="dxa"/>
            <w:tcBorders>
              <w:top w:val="single" w:sz="4" w:space="0" w:color="D2C9B8"/>
              <w:left w:val="single" w:sz="4" w:space="0" w:color="D2C9B8"/>
              <w:bottom w:val="single" w:sz="4" w:space="0" w:color="D2C9B8"/>
              <w:right w:val="single" w:sz="4" w:space="0" w:color="D2C9B8"/>
            </w:tcBorders>
          </w:tcPr>
          <w:p w14:paraId="4DD43964" w14:textId="77777777" w:rsidR="005A5FCC" w:rsidRDefault="00A21C81">
            <w:pPr>
              <w:spacing w:before="20" w:after="20" w:line="240" w:lineRule="auto"/>
              <w:jc w:val="left"/>
            </w:pPr>
            <w:r>
              <w:rPr>
                <w:rFonts w:cs="EB Garamond"/>
                <w:kern w:val="16"/>
                <w:sz w:val="18"/>
                <w14:ligatures w14:val="standardContextual"/>
              </w:rPr>
              <w:t>Aluno-aprendiz — requisitos restritivos</w:t>
            </w:r>
          </w:p>
        </w:tc>
        <w:tc>
          <w:tcPr>
            <w:tcW w:w="1587" w:type="dxa"/>
            <w:tcBorders>
              <w:top w:val="single" w:sz="4" w:space="0" w:color="D2C9B8"/>
              <w:left w:val="single" w:sz="4" w:space="0" w:color="D2C9B8"/>
              <w:bottom w:val="single" w:sz="4" w:space="0" w:color="D2C9B8"/>
              <w:right w:val="single" w:sz="4" w:space="0" w:color="D2C9B8"/>
            </w:tcBorders>
          </w:tcPr>
          <w:p w14:paraId="61AA8253" w14:textId="77777777" w:rsidR="005A5FCC" w:rsidRDefault="00A21C81">
            <w:pPr>
              <w:spacing w:before="20" w:after="20" w:line="240" w:lineRule="auto"/>
              <w:jc w:val="left"/>
            </w:pPr>
            <w:r>
              <w:rPr>
                <w:rFonts w:cs="EB Garamond"/>
                <w:kern w:val="16"/>
                <w:sz w:val="18"/>
                <w14:ligatures w14:val="standardContextual"/>
              </w:rPr>
              <w:t>Cômputo de tempo</w:t>
            </w:r>
          </w:p>
        </w:tc>
      </w:tr>
      <w:tr w:rsidR="005A5FCC" w14:paraId="1C53FD39"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451AC18A" w14:textId="77777777" w:rsidR="005A5FCC" w:rsidRDefault="00A21C81">
            <w:pPr>
              <w:spacing w:before="20" w:after="20" w:line="240" w:lineRule="auto"/>
              <w:jc w:val="left"/>
            </w:pPr>
            <w:r>
              <w:rPr>
                <w:rFonts w:cs="EB Garamond"/>
                <w:kern w:val="16"/>
                <w:sz w:val="18"/>
                <w14:ligatures w14:val="standardContextual"/>
              </w:rPr>
              <w:t>Tema 840/STF (RE 683.621)</w:t>
            </w:r>
          </w:p>
        </w:tc>
        <w:tc>
          <w:tcPr>
            <w:tcW w:w="1587" w:type="dxa"/>
            <w:tcBorders>
              <w:top w:val="single" w:sz="4" w:space="0" w:color="D2C9B8"/>
              <w:left w:val="single" w:sz="4" w:space="0" w:color="D2C9B8"/>
              <w:bottom w:val="single" w:sz="4" w:space="0" w:color="D2C9B8"/>
              <w:right w:val="single" w:sz="4" w:space="0" w:color="D2C9B8"/>
            </w:tcBorders>
          </w:tcPr>
          <w:p w14:paraId="2E7F9384" w14:textId="77777777" w:rsidR="005A5FCC" w:rsidRDefault="00A21C81">
            <w:pPr>
              <w:spacing w:before="20" w:after="20" w:line="240" w:lineRule="auto"/>
              <w:jc w:val="left"/>
            </w:pPr>
            <w:r>
              <w:rPr>
                <w:rFonts w:cs="EB Garamond"/>
                <w:kern w:val="16"/>
                <w:sz w:val="18"/>
                <w14:ligatures w14:val="standardContextual"/>
              </w:rPr>
              <w:t>STF</w:t>
            </w:r>
          </w:p>
        </w:tc>
        <w:tc>
          <w:tcPr>
            <w:tcW w:w="1587" w:type="dxa"/>
            <w:tcBorders>
              <w:top w:val="single" w:sz="4" w:space="0" w:color="D2C9B8"/>
              <w:left w:val="single" w:sz="4" w:space="0" w:color="D2C9B8"/>
              <w:bottom w:val="single" w:sz="4" w:space="0" w:color="D2C9B8"/>
              <w:right w:val="single" w:sz="4" w:space="0" w:color="D2C9B8"/>
            </w:tcBorders>
          </w:tcPr>
          <w:p w14:paraId="6F4AF442" w14:textId="77777777" w:rsidR="005A5FCC" w:rsidRDefault="00A21C81">
            <w:pPr>
              <w:spacing w:before="20" w:after="20" w:line="240" w:lineRule="auto"/>
              <w:jc w:val="left"/>
            </w:pPr>
            <w:r>
              <w:rPr>
                <w:rFonts w:cs="EB Garamond"/>
                <w:kern w:val="16"/>
                <w:sz w:val="18"/>
                <w14:ligatures w14:val="standardContextual"/>
              </w:rPr>
              <w:t>Vedação ao tempo fictício</w:t>
            </w:r>
          </w:p>
        </w:tc>
        <w:tc>
          <w:tcPr>
            <w:tcW w:w="1587" w:type="dxa"/>
            <w:tcBorders>
              <w:top w:val="single" w:sz="4" w:space="0" w:color="D2C9B8"/>
              <w:left w:val="single" w:sz="4" w:space="0" w:color="D2C9B8"/>
              <w:bottom w:val="single" w:sz="4" w:space="0" w:color="D2C9B8"/>
              <w:right w:val="single" w:sz="4" w:space="0" w:color="D2C9B8"/>
            </w:tcBorders>
          </w:tcPr>
          <w:p w14:paraId="298988DB" w14:textId="77777777" w:rsidR="005A5FCC" w:rsidRDefault="00A21C81">
            <w:pPr>
              <w:spacing w:before="20" w:after="20" w:line="240" w:lineRule="auto"/>
              <w:jc w:val="left"/>
            </w:pPr>
            <w:r>
              <w:rPr>
                <w:rFonts w:cs="EB Garamond"/>
                <w:kern w:val="16"/>
                <w:sz w:val="18"/>
                <w14:ligatures w14:val="standardContextual"/>
              </w:rPr>
              <w:t>CTC e contagem recíproca</w:t>
            </w:r>
          </w:p>
        </w:tc>
      </w:tr>
      <w:tr w:rsidR="005A5FCC" w14:paraId="34877621"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5D262801" w14:textId="77777777" w:rsidR="005A5FCC" w:rsidRDefault="00A21C81">
            <w:pPr>
              <w:spacing w:before="20" w:after="20" w:line="240" w:lineRule="auto"/>
              <w:jc w:val="left"/>
            </w:pPr>
            <w:r>
              <w:rPr>
                <w:rFonts w:cs="EB Garamond"/>
                <w:kern w:val="16"/>
                <w:sz w:val="18"/>
                <w14:ligatures w14:val="standardContextual"/>
              </w:rPr>
              <w:t>Tema 942/STF (RE 1.014.286)</w:t>
            </w:r>
          </w:p>
        </w:tc>
        <w:tc>
          <w:tcPr>
            <w:tcW w:w="1587" w:type="dxa"/>
            <w:tcBorders>
              <w:top w:val="single" w:sz="4" w:space="0" w:color="D2C9B8"/>
              <w:left w:val="single" w:sz="4" w:space="0" w:color="D2C9B8"/>
              <w:bottom w:val="single" w:sz="4" w:space="0" w:color="D2C9B8"/>
              <w:right w:val="single" w:sz="4" w:space="0" w:color="D2C9B8"/>
            </w:tcBorders>
          </w:tcPr>
          <w:p w14:paraId="1BD9A653" w14:textId="77777777" w:rsidR="005A5FCC" w:rsidRDefault="00A21C81">
            <w:pPr>
              <w:spacing w:before="20" w:after="20" w:line="240" w:lineRule="auto"/>
              <w:jc w:val="left"/>
            </w:pPr>
            <w:r>
              <w:rPr>
                <w:rFonts w:cs="EB Garamond"/>
                <w:kern w:val="16"/>
                <w:sz w:val="18"/>
                <w14:ligatures w14:val="standardContextual"/>
              </w:rPr>
              <w:t>STF</w:t>
            </w:r>
          </w:p>
        </w:tc>
        <w:tc>
          <w:tcPr>
            <w:tcW w:w="1587" w:type="dxa"/>
            <w:tcBorders>
              <w:top w:val="single" w:sz="4" w:space="0" w:color="D2C9B8"/>
              <w:left w:val="single" w:sz="4" w:space="0" w:color="D2C9B8"/>
              <w:bottom w:val="single" w:sz="4" w:space="0" w:color="D2C9B8"/>
              <w:right w:val="single" w:sz="4" w:space="0" w:color="D2C9B8"/>
            </w:tcBorders>
          </w:tcPr>
          <w:p w14:paraId="07CE9094" w14:textId="77777777" w:rsidR="005A5FCC" w:rsidRDefault="00A21C81">
            <w:pPr>
              <w:spacing w:before="20" w:after="20" w:line="240" w:lineRule="auto"/>
              <w:jc w:val="left"/>
            </w:pPr>
            <w:r>
              <w:rPr>
                <w:rFonts w:cs="EB Garamond"/>
                <w:kern w:val="16"/>
                <w:sz w:val="18"/>
                <w14:ligatures w14:val="standardContextual"/>
              </w:rPr>
              <w:t>Conversão especial do RGPS para averbação no RPPS</w:t>
            </w:r>
          </w:p>
        </w:tc>
        <w:tc>
          <w:tcPr>
            <w:tcW w:w="1587" w:type="dxa"/>
            <w:tcBorders>
              <w:top w:val="single" w:sz="4" w:space="0" w:color="D2C9B8"/>
              <w:left w:val="single" w:sz="4" w:space="0" w:color="D2C9B8"/>
              <w:bottom w:val="single" w:sz="4" w:space="0" w:color="D2C9B8"/>
              <w:right w:val="single" w:sz="4" w:space="0" w:color="D2C9B8"/>
            </w:tcBorders>
          </w:tcPr>
          <w:p w14:paraId="1A8D29C0" w14:textId="77777777" w:rsidR="005A5FCC" w:rsidRDefault="00A21C81">
            <w:pPr>
              <w:spacing w:before="20" w:after="20" w:line="240" w:lineRule="auto"/>
              <w:jc w:val="left"/>
            </w:pPr>
            <w:r>
              <w:rPr>
                <w:rFonts w:cs="EB Garamond"/>
                <w:kern w:val="16"/>
                <w:sz w:val="18"/>
                <w14:ligatures w14:val="standardContextual"/>
              </w:rPr>
              <w:t>CTC com fator especial</w:t>
            </w:r>
          </w:p>
        </w:tc>
      </w:tr>
      <w:tr w:rsidR="005A5FCC" w14:paraId="64BA27DA"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4BCB9F7D" w14:textId="77777777" w:rsidR="005A5FCC" w:rsidRDefault="00A21C81">
            <w:pPr>
              <w:spacing w:before="20" w:after="20" w:line="240" w:lineRule="auto"/>
              <w:jc w:val="left"/>
            </w:pPr>
            <w:r>
              <w:rPr>
                <w:rFonts w:cs="EB Garamond"/>
                <w:kern w:val="16"/>
                <w:sz w:val="18"/>
                <w14:ligatures w14:val="standardContextual"/>
              </w:rPr>
              <w:t>ADI 6.309/STF</w:t>
            </w:r>
          </w:p>
        </w:tc>
        <w:tc>
          <w:tcPr>
            <w:tcW w:w="1587" w:type="dxa"/>
            <w:tcBorders>
              <w:top w:val="single" w:sz="4" w:space="0" w:color="D2C9B8"/>
              <w:left w:val="single" w:sz="4" w:space="0" w:color="D2C9B8"/>
              <w:bottom w:val="single" w:sz="4" w:space="0" w:color="D2C9B8"/>
              <w:right w:val="single" w:sz="4" w:space="0" w:color="D2C9B8"/>
            </w:tcBorders>
          </w:tcPr>
          <w:p w14:paraId="5DB24D88" w14:textId="77777777" w:rsidR="005A5FCC" w:rsidRDefault="00A21C81">
            <w:pPr>
              <w:spacing w:before="20" w:after="20" w:line="240" w:lineRule="auto"/>
              <w:jc w:val="left"/>
            </w:pPr>
            <w:r>
              <w:rPr>
                <w:rFonts w:cs="EB Garamond"/>
                <w:kern w:val="16"/>
                <w:sz w:val="18"/>
                <w14:ligatures w14:val="standardContextual"/>
              </w:rPr>
              <w:t>STF</w:t>
            </w:r>
          </w:p>
        </w:tc>
        <w:tc>
          <w:tcPr>
            <w:tcW w:w="1587" w:type="dxa"/>
            <w:tcBorders>
              <w:top w:val="single" w:sz="4" w:space="0" w:color="D2C9B8"/>
              <w:left w:val="single" w:sz="4" w:space="0" w:color="D2C9B8"/>
              <w:bottom w:val="single" w:sz="4" w:space="0" w:color="D2C9B8"/>
              <w:right w:val="single" w:sz="4" w:space="0" w:color="D2C9B8"/>
            </w:tcBorders>
          </w:tcPr>
          <w:p w14:paraId="1C55536B" w14:textId="77777777" w:rsidR="005A5FCC" w:rsidRDefault="00A21C81">
            <w:pPr>
              <w:spacing w:before="20" w:after="20" w:line="240" w:lineRule="auto"/>
              <w:jc w:val="left"/>
            </w:pPr>
            <w:r>
              <w:rPr>
                <w:rFonts w:cs="EB Garamond"/>
                <w:kern w:val="16"/>
                <w:sz w:val="18"/>
                <w14:ligatures w14:val="standardContextual"/>
              </w:rPr>
              <w:t>Vedação à conversão pós-EC 103</w:t>
            </w:r>
          </w:p>
        </w:tc>
        <w:tc>
          <w:tcPr>
            <w:tcW w:w="1587" w:type="dxa"/>
            <w:tcBorders>
              <w:top w:val="single" w:sz="4" w:space="0" w:color="D2C9B8"/>
              <w:left w:val="single" w:sz="4" w:space="0" w:color="D2C9B8"/>
              <w:bottom w:val="single" w:sz="4" w:space="0" w:color="D2C9B8"/>
              <w:right w:val="single" w:sz="4" w:space="0" w:color="D2C9B8"/>
            </w:tcBorders>
          </w:tcPr>
          <w:p w14:paraId="106DF0C3" w14:textId="77777777" w:rsidR="005A5FCC" w:rsidRDefault="00A21C81">
            <w:pPr>
              <w:spacing w:before="20" w:after="20" w:line="240" w:lineRule="auto"/>
              <w:jc w:val="left"/>
            </w:pPr>
            <w:r>
              <w:rPr>
                <w:rFonts w:cs="EB Garamond"/>
                <w:kern w:val="16"/>
                <w:sz w:val="18"/>
                <w14:ligatures w14:val="standardContextual"/>
              </w:rPr>
              <w:t>Julgada (03/06/2026): vedação à conversão mantida; idade mínima da especial afastada</w:t>
            </w:r>
          </w:p>
        </w:tc>
      </w:tr>
      <w:tr w:rsidR="005A5FCC" w14:paraId="2805E796"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5497CD2E" w14:textId="77777777" w:rsidR="005A5FCC" w:rsidRDefault="00A21C81">
            <w:pPr>
              <w:spacing w:before="20" w:after="20" w:line="240" w:lineRule="auto"/>
              <w:jc w:val="left"/>
            </w:pPr>
            <w:r>
              <w:rPr>
                <w:rFonts w:cs="EB Garamond"/>
                <w:kern w:val="16"/>
                <w:sz w:val="18"/>
                <w14:ligatures w14:val="standardContextual"/>
              </w:rPr>
              <w:t>Súmula 75/TNU</w:t>
            </w:r>
          </w:p>
        </w:tc>
        <w:tc>
          <w:tcPr>
            <w:tcW w:w="1587" w:type="dxa"/>
            <w:tcBorders>
              <w:top w:val="single" w:sz="4" w:space="0" w:color="D2C9B8"/>
              <w:left w:val="single" w:sz="4" w:space="0" w:color="D2C9B8"/>
              <w:bottom w:val="single" w:sz="4" w:space="0" w:color="D2C9B8"/>
              <w:right w:val="single" w:sz="4" w:space="0" w:color="D2C9B8"/>
            </w:tcBorders>
          </w:tcPr>
          <w:p w14:paraId="5EA748A2" w14:textId="77777777" w:rsidR="005A5FCC" w:rsidRDefault="00A21C81">
            <w:pPr>
              <w:spacing w:before="20" w:after="20" w:line="240" w:lineRule="auto"/>
              <w:jc w:val="left"/>
            </w:pPr>
            <w:r>
              <w:rPr>
                <w:rFonts w:cs="EB Garamond"/>
                <w:kern w:val="16"/>
                <w:sz w:val="18"/>
                <w14:ligatures w14:val="standardContextual"/>
              </w:rPr>
              <w:t>TNU</w:t>
            </w:r>
          </w:p>
        </w:tc>
        <w:tc>
          <w:tcPr>
            <w:tcW w:w="1587" w:type="dxa"/>
            <w:tcBorders>
              <w:top w:val="single" w:sz="4" w:space="0" w:color="D2C9B8"/>
              <w:left w:val="single" w:sz="4" w:space="0" w:color="D2C9B8"/>
              <w:bottom w:val="single" w:sz="4" w:space="0" w:color="D2C9B8"/>
              <w:right w:val="single" w:sz="4" w:space="0" w:color="D2C9B8"/>
            </w:tcBorders>
          </w:tcPr>
          <w:p w14:paraId="529A5068" w14:textId="77777777" w:rsidR="005A5FCC" w:rsidRDefault="00A21C81">
            <w:pPr>
              <w:spacing w:before="20" w:after="20" w:line="240" w:lineRule="auto"/>
              <w:jc w:val="left"/>
            </w:pPr>
            <w:r>
              <w:rPr>
                <w:rFonts w:cs="EB Garamond"/>
                <w:kern w:val="16"/>
                <w:sz w:val="18"/>
                <w14:ligatures w14:val="standardContextual"/>
              </w:rPr>
              <w:t>CTPS sem defeito = prova suficiente</w:t>
            </w:r>
          </w:p>
        </w:tc>
        <w:tc>
          <w:tcPr>
            <w:tcW w:w="1587" w:type="dxa"/>
            <w:tcBorders>
              <w:top w:val="single" w:sz="4" w:space="0" w:color="D2C9B8"/>
              <w:left w:val="single" w:sz="4" w:space="0" w:color="D2C9B8"/>
              <w:bottom w:val="single" w:sz="4" w:space="0" w:color="D2C9B8"/>
              <w:right w:val="single" w:sz="4" w:space="0" w:color="D2C9B8"/>
            </w:tcBorders>
          </w:tcPr>
          <w:p w14:paraId="050B92A8" w14:textId="77777777" w:rsidR="005A5FCC" w:rsidRDefault="00A21C81">
            <w:pPr>
              <w:spacing w:before="20" w:after="20" w:line="240" w:lineRule="auto"/>
              <w:jc w:val="left"/>
            </w:pPr>
            <w:r>
              <w:rPr>
                <w:rFonts w:cs="EB Garamond"/>
                <w:kern w:val="16"/>
                <w:sz w:val="18"/>
                <w14:ligatures w14:val="standardContextual"/>
              </w:rPr>
              <w:t>Retificação de CNIS</w:t>
            </w:r>
          </w:p>
        </w:tc>
      </w:tr>
      <w:tr w:rsidR="005A5FCC" w14:paraId="21D55602"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059233F2" w14:textId="77777777" w:rsidR="005A5FCC" w:rsidRDefault="00A21C81">
            <w:pPr>
              <w:spacing w:before="20" w:after="20" w:line="240" w:lineRule="auto"/>
              <w:jc w:val="left"/>
            </w:pPr>
            <w:r>
              <w:rPr>
                <w:rFonts w:cs="EB Garamond"/>
                <w:kern w:val="16"/>
                <w:sz w:val="18"/>
                <w14:ligatures w14:val="standardContextual"/>
              </w:rPr>
              <w:t>Súmula 74/TNU</w:t>
            </w:r>
          </w:p>
        </w:tc>
        <w:tc>
          <w:tcPr>
            <w:tcW w:w="1587" w:type="dxa"/>
            <w:tcBorders>
              <w:top w:val="single" w:sz="4" w:space="0" w:color="D2C9B8"/>
              <w:left w:val="single" w:sz="4" w:space="0" w:color="D2C9B8"/>
              <w:bottom w:val="single" w:sz="4" w:space="0" w:color="D2C9B8"/>
              <w:right w:val="single" w:sz="4" w:space="0" w:color="D2C9B8"/>
            </w:tcBorders>
          </w:tcPr>
          <w:p w14:paraId="54DF8535" w14:textId="77777777" w:rsidR="005A5FCC" w:rsidRDefault="00A21C81">
            <w:pPr>
              <w:spacing w:before="20" w:after="20" w:line="240" w:lineRule="auto"/>
              <w:jc w:val="left"/>
            </w:pPr>
            <w:r>
              <w:rPr>
                <w:rFonts w:cs="EB Garamond"/>
                <w:kern w:val="16"/>
                <w:sz w:val="18"/>
                <w14:ligatures w14:val="standardContextual"/>
              </w:rPr>
              <w:t>TNU</w:t>
            </w:r>
          </w:p>
        </w:tc>
        <w:tc>
          <w:tcPr>
            <w:tcW w:w="1587" w:type="dxa"/>
            <w:tcBorders>
              <w:top w:val="single" w:sz="4" w:space="0" w:color="D2C9B8"/>
              <w:left w:val="single" w:sz="4" w:space="0" w:color="D2C9B8"/>
              <w:bottom w:val="single" w:sz="4" w:space="0" w:color="D2C9B8"/>
              <w:right w:val="single" w:sz="4" w:space="0" w:color="D2C9B8"/>
            </w:tcBorders>
          </w:tcPr>
          <w:p w14:paraId="1E06283C" w14:textId="77777777" w:rsidR="005A5FCC" w:rsidRDefault="00A21C81">
            <w:pPr>
              <w:spacing w:before="20" w:after="20" w:line="240" w:lineRule="auto"/>
              <w:jc w:val="left"/>
            </w:pPr>
            <w:r>
              <w:rPr>
                <w:rFonts w:cs="EB Garamond"/>
                <w:kern w:val="16"/>
                <w:sz w:val="18"/>
                <w14:ligatures w14:val="standardContextual"/>
              </w:rPr>
              <w:t>Rural pós-1991 segurado especial</w:t>
            </w:r>
          </w:p>
        </w:tc>
        <w:tc>
          <w:tcPr>
            <w:tcW w:w="1587" w:type="dxa"/>
            <w:tcBorders>
              <w:top w:val="single" w:sz="4" w:space="0" w:color="D2C9B8"/>
              <w:left w:val="single" w:sz="4" w:space="0" w:color="D2C9B8"/>
              <w:bottom w:val="single" w:sz="4" w:space="0" w:color="D2C9B8"/>
              <w:right w:val="single" w:sz="4" w:space="0" w:color="D2C9B8"/>
            </w:tcBorders>
          </w:tcPr>
          <w:p w14:paraId="6D424170" w14:textId="77777777" w:rsidR="005A5FCC" w:rsidRDefault="00A21C81">
            <w:pPr>
              <w:spacing w:before="20" w:after="20" w:line="240" w:lineRule="auto"/>
              <w:jc w:val="left"/>
            </w:pPr>
            <w:r>
              <w:rPr>
                <w:rFonts w:cs="EB Garamond"/>
                <w:kern w:val="16"/>
                <w:sz w:val="18"/>
                <w14:ligatures w14:val="standardContextual"/>
              </w:rPr>
              <w:t>Cômputo sem contribuição</w:t>
            </w:r>
          </w:p>
        </w:tc>
      </w:tr>
      <w:tr w:rsidR="005A5FCC" w14:paraId="1DA8284A"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105148FF" w14:textId="77777777" w:rsidR="005A5FCC" w:rsidRDefault="00A21C81">
            <w:pPr>
              <w:spacing w:before="20" w:after="20" w:line="240" w:lineRule="auto"/>
              <w:jc w:val="left"/>
            </w:pPr>
            <w:r>
              <w:rPr>
                <w:rFonts w:cs="EB Garamond"/>
                <w:kern w:val="16"/>
                <w:sz w:val="18"/>
                <w14:ligatures w14:val="standardContextual"/>
              </w:rPr>
              <w:lastRenderedPageBreak/>
              <w:t>Súmula 149/STJ</w:t>
            </w:r>
          </w:p>
        </w:tc>
        <w:tc>
          <w:tcPr>
            <w:tcW w:w="1587" w:type="dxa"/>
            <w:tcBorders>
              <w:top w:val="single" w:sz="4" w:space="0" w:color="D2C9B8"/>
              <w:left w:val="single" w:sz="4" w:space="0" w:color="D2C9B8"/>
              <w:bottom w:val="single" w:sz="4" w:space="0" w:color="D2C9B8"/>
              <w:right w:val="single" w:sz="4" w:space="0" w:color="D2C9B8"/>
            </w:tcBorders>
          </w:tcPr>
          <w:p w14:paraId="196A0FF1" w14:textId="77777777" w:rsidR="005A5FCC" w:rsidRDefault="00A21C81">
            <w:pPr>
              <w:spacing w:before="20" w:after="20" w:line="240" w:lineRule="auto"/>
              <w:jc w:val="left"/>
            </w:pPr>
            <w:r>
              <w:rPr>
                <w:rFonts w:cs="EB Garamond"/>
                <w:kern w:val="16"/>
                <w:sz w:val="18"/>
                <w14:ligatures w14:val="standardContextual"/>
              </w:rPr>
              <w:t>STJ</w:t>
            </w:r>
          </w:p>
        </w:tc>
        <w:tc>
          <w:tcPr>
            <w:tcW w:w="1587" w:type="dxa"/>
            <w:tcBorders>
              <w:top w:val="single" w:sz="4" w:space="0" w:color="D2C9B8"/>
              <w:left w:val="single" w:sz="4" w:space="0" w:color="D2C9B8"/>
              <w:bottom w:val="single" w:sz="4" w:space="0" w:color="D2C9B8"/>
              <w:right w:val="single" w:sz="4" w:space="0" w:color="D2C9B8"/>
            </w:tcBorders>
          </w:tcPr>
          <w:p w14:paraId="14F257F6" w14:textId="77777777" w:rsidR="005A5FCC" w:rsidRDefault="00A21C81">
            <w:pPr>
              <w:spacing w:before="20" w:after="20" w:line="240" w:lineRule="auto"/>
              <w:jc w:val="left"/>
            </w:pPr>
            <w:r>
              <w:rPr>
                <w:rFonts w:cs="EB Garamond"/>
                <w:kern w:val="16"/>
                <w:sz w:val="18"/>
                <w14:ligatures w14:val="standardContextual"/>
              </w:rPr>
              <w:t>Prova exclusivamente testemunhal vedada</w:t>
            </w:r>
          </w:p>
        </w:tc>
        <w:tc>
          <w:tcPr>
            <w:tcW w:w="1587" w:type="dxa"/>
            <w:tcBorders>
              <w:top w:val="single" w:sz="4" w:space="0" w:color="D2C9B8"/>
              <w:left w:val="single" w:sz="4" w:space="0" w:color="D2C9B8"/>
              <w:bottom w:val="single" w:sz="4" w:space="0" w:color="D2C9B8"/>
              <w:right w:val="single" w:sz="4" w:space="0" w:color="D2C9B8"/>
            </w:tcBorders>
          </w:tcPr>
          <w:p w14:paraId="30252FD1" w14:textId="77777777" w:rsidR="005A5FCC" w:rsidRDefault="00A21C81">
            <w:pPr>
              <w:spacing w:before="20" w:after="20" w:line="240" w:lineRule="auto"/>
              <w:jc w:val="left"/>
            </w:pPr>
            <w:r>
              <w:rPr>
                <w:rFonts w:cs="EB Garamond"/>
                <w:kern w:val="16"/>
                <w:sz w:val="18"/>
                <w14:ligatures w14:val="standardContextual"/>
              </w:rPr>
              <w:t>Atividade rural</w:t>
            </w:r>
          </w:p>
        </w:tc>
      </w:tr>
      <w:tr w:rsidR="005A5FCC" w14:paraId="75979886"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571E5DAC" w14:textId="77777777" w:rsidR="005A5FCC" w:rsidRDefault="00A21C81">
            <w:pPr>
              <w:spacing w:before="20" w:after="20" w:line="240" w:lineRule="auto"/>
              <w:jc w:val="left"/>
            </w:pPr>
            <w:r>
              <w:rPr>
                <w:rFonts w:cs="EB Garamond"/>
                <w:kern w:val="16"/>
                <w:sz w:val="18"/>
                <w14:ligatures w14:val="standardContextual"/>
              </w:rPr>
              <w:t>Súmula 577/STJ</w:t>
            </w:r>
          </w:p>
        </w:tc>
        <w:tc>
          <w:tcPr>
            <w:tcW w:w="1587" w:type="dxa"/>
            <w:tcBorders>
              <w:top w:val="single" w:sz="4" w:space="0" w:color="D2C9B8"/>
              <w:left w:val="single" w:sz="4" w:space="0" w:color="D2C9B8"/>
              <w:bottom w:val="single" w:sz="4" w:space="0" w:color="D2C9B8"/>
              <w:right w:val="single" w:sz="4" w:space="0" w:color="D2C9B8"/>
            </w:tcBorders>
          </w:tcPr>
          <w:p w14:paraId="42FC7191" w14:textId="77777777" w:rsidR="005A5FCC" w:rsidRDefault="00A21C81">
            <w:pPr>
              <w:spacing w:before="20" w:after="20" w:line="240" w:lineRule="auto"/>
              <w:jc w:val="left"/>
            </w:pPr>
            <w:r>
              <w:rPr>
                <w:rFonts w:cs="EB Garamond"/>
                <w:kern w:val="16"/>
                <w:sz w:val="18"/>
                <w14:ligatures w14:val="standardContextual"/>
              </w:rPr>
              <w:t>STJ</w:t>
            </w:r>
          </w:p>
        </w:tc>
        <w:tc>
          <w:tcPr>
            <w:tcW w:w="1587" w:type="dxa"/>
            <w:tcBorders>
              <w:top w:val="single" w:sz="4" w:space="0" w:color="D2C9B8"/>
              <w:left w:val="single" w:sz="4" w:space="0" w:color="D2C9B8"/>
              <w:bottom w:val="single" w:sz="4" w:space="0" w:color="D2C9B8"/>
              <w:right w:val="single" w:sz="4" w:space="0" w:color="D2C9B8"/>
            </w:tcBorders>
          </w:tcPr>
          <w:p w14:paraId="699D9899" w14:textId="77777777" w:rsidR="005A5FCC" w:rsidRDefault="00A21C81">
            <w:pPr>
              <w:spacing w:before="20" w:after="20" w:line="240" w:lineRule="auto"/>
              <w:jc w:val="left"/>
            </w:pPr>
            <w:r>
              <w:rPr>
                <w:rFonts w:cs="EB Garamond"/>
                <w:kern w:val="16"/>
                <w:sz w:val="18"/>
                <w14:ligatures w14:val="standardContextual"/>
              </w:rPr>
              <w:t>Extensão temporal antes do documento</w:t>
            </w:r>
          </w:p>
        </w:tc>
        <w:tc>
          <w:tcPr>
            <w:tcW w:w="1587" w:type="dxa"/>
            <w:tcBorders>
              <w:top w:val="single" w:sz="4" w:space="0" w:color="D2C9B8"/>
              <w:left w:val="single" w:sz="4" w:space="0" w:color="D2C9B8"/>
              <w:bottom w:val="single" w:sz="4" w:space="0" w:color="D2C9B8"/>
              <w:right w:val="single" w:sz="4" w:space="0" w:color="D2C9B8"/>
            </w:tcBorders>
          </w:tcPr>
          <w:p w14:paraId="5DF40603" w14:textId="77777777" w:rsidR="005A5FCC" w:rsidRDefault="00A21C81">
            <w:pPr>
              <w:spacing w:before="20" w:after="20" w:line="240" w:lineRule="auto"/>
              <w:jc w:val="left"/>
            </w:pPr>
            <w:r>
              <w:rPr>
                <w:rFonts w:cs="EB Garamond"/>
                <w:kern w:val="16"/>
                <w:sz w:val="18"/>
                <w14:ligatures w14:val="standardContextual"/>
              </w:rPr>
              <w:t>Amplia reconhecimento</w:t>
            </w:r>
          </w:p>
        </w:tc>
      </w:tr>
    </w:tbl>
    <w:p w14:paraId="53C33B0C" w14:textId="77777777" w:rsidR="005A5FCC" w:rsidRDefault="005A5FCC">
      <w:pPr>
        <w:spacing w:after="80" w:line="240" w:lineRule="auto"/>
      </w:pPr>
    </w:p>
    <w:p w14:paraId="03BD2AA2"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N</w:t>
      </w:r>
    </w:p>
    <w:p w14:paraId="0B193237" w14:textId="77777777" w:rsidR="005A5FCC" w:rsidRDefault="00A21C81">
      <w:r>
        <w:rPr>
          <w:rFonts w:cs="EB Garamond"/>
          <w:kern w:val="16"/>
          <w14:ligatures w14:val="standardContextual"/>
        </w:rPr>
        <w:t>a prática, parcela expressiva dos indeferimentos administrativos decorre de interpretações restritivas do INSS que não encontram respaldo na jurisprudência consolidada. Cabe ao advogado identificar essas situações e buscar a correção judicial.</w:t>
      </w:r>
    </w:p>
    <w:p w14:paraId="60A825A5" w14:textId="77777777" w:rsidR="005A5FCC" w:rsidRDefault="00A21C81">
      <w:pPr>
        <w:ind w:firstLine="238"/>
      </w:pPr>
      <w:r>
        <w:rPr>
          <w:rFonts w:cs="EB Garamond"/>
          <w:kern w:val="16"/>
          <w14:ligatures w14:val="standardContextual"/>
        </w:rPr>
        <w:t>Por fim, é importante ressaltar que o reconhecimento de tempo de contribuição possui natureza declaratória: o juiz não "cria" o tempo, mas declara que ele existiu e deve ser computado. Essa natureza declaratória tem consequências processuais relevantes: (a) a sentença retroage à data do fato (exercício da atividade), não à data da decisão; (b) os efeitos financeiros do reconhecimento (quando vinculados a benefício) seguem a regra geral da DIB ou da data do requerimento administrativo; (c) a coisa julgada abrange o período declarado, impedindo nova discussão sobre o mesmo intervalo temporal.</w:t>
      </w:r>
    </w:p>
    <w:p w14:paraId="2DB91797" w14:textId="77777777" w:rsidR="005A5FCC" w:rsidRDefault="00A21C81">
      <w:pPr>
        <w:ind w:firstLine="238"/>
      </w:pPr>
      <w:r>
        <w:rPr>
          <w:rFonts w:cs="EB Garamond"/>
          <w:kern w:val="16"/>
          <w14:ligatures w14:val="standardContextual"/>
        </w:rPr>
        <w:t>A interação entre os diversos temas estudados neste capítulo é frequente na prática: um segurado pode cumular, na mesma ação, pedido de reconhecimento de atividade rural (seção 5.4), cômputo de serviço militar (seção 5.5), conversão de tempo especial (seção 5.11) e retificação de remunerações no CNIS (seção 5.3), obtendo, ao final, tempo suficiente para aposentadoria pela regra de transição mais favorável. A habilidade do advogado previdenciário reside precisamente em identificar todas as possibilidades de aproveitamento de tempo e articulá-las em estratégia processual coerente e objetiva.</w:t>
      </w:r>
    </w:p>
    <w:p w14:paraId="30CABDDE" w14:textId="77777777" w:rsidR="005A5FCC" w:rsidRDefault="00A21C81">
      <w:pPr>
        <w:ind w:firstLine="238"/>
      </w:pPr>
      <w:r>
        <w:rPr>
          <w:rFonts w:cs="EB Garamond"/>
          <w:kern w:val="16"/>
          <w14:ligatures w14:val="standardContextual"/>
        </w:rPr>
        <w:t xml:space="preserve">O capítulo seguinte (Capítulo 6) examinará a aposentadoria por incapacidade permanente, benefício de natureza não programada cuja concessão independe de tempo de contribuição mínimo (exige apenas carência de 12 contribuições ou dispensa de carência quando a incapacidade decorre de acidente ou doença grave </w:t>
      </w:r>
      <w:r>
        <w:rPr>
          <w:rFonts w:cs="EB Garamond"/>
          <w:kern w:val="16"/>
          <w14:ligatures w14:val="standardContextual"/>
        </w:rPr>
        <w:lastRenderedPageBreak/>
        <w:t>listada em regulamento). A interface com o presente capítulo reside na necessidade de demonstrar a qualidade de segurado e a carência como pressupostos do benefício, demonstração que frequentemente exige cômputo prévio de períodos controversos.</w:t>
      </w:r>
    </w:p>
    <w:p w14:paraId="4DFD79A1" w14:textId="77777777" w:rsidR="005A5FCC" w:rsidRDefault="005A5FCC">
      <w:pPr>
        <w:sectPr w:rsidR="005A5FCC">
          <w:headerReference w:type="even" r:id="rId84"/>
          <w:headerReference w:type="default" r:id="rId85"/>
          <w:footerReference w:type="even" r:id="rId86"/>
          <w:footerReference w:type="default" r:id="rId87"/>
          <w:headerReference w:type="first" r:id="rId88"/>
          <w:footerReference w:type="first" r:id="rId89"/>
          <w:pgSz w:w="8391" w:h="11906"/>
          <w:pgMar w:top="935" w:right="879" w:bottom="964" w:left="1162" w:header="454" w:footer="425" w:gutter="0"/>
          <w:cols w:space="720"/>
          <w:titlePg/>
          <w:docGrid w:linePitch="360"/>
        </w:sectPr>
      </w:pPr>
    </w:p>
    <w:p w14:paraId="102FF3E7" w14:textId="77777777" w:rsidR="005A5FCC" w:rsidRDefault="005A5FCC">
      <w:pPr>
        <w:spacing w:after="0" w:line="240" w:lineRule="auto"/>
      </w:pPr>
    </w:p>
    <w:p w14:paraId="1AAC934D" w14:textId="77777777" w:rsidR="005A5FCC" w:rsidRDefault="005A5FCC">
      <w:pPr>
        <w:spacing w:after="0" w:line="240" w:lineRule="auto"/>
      </w:pPr>
    </w:p>
    <w:p w14:paraId="699BB528" w14:textId="77777777" w:rsidR="005A5FCC" w:rsidRDefault="005A5FCC">
      <w:pPr>
        <w:spacing w:after="0" w:line="240" w:lineRule="auto"/>
      </w:pPr>
    </w:p>
    <w:p w14:paraId="1581A49D" w14:textId="77777777" w:rsidR="005A5FCC" w:rsidRDefault="005A5FCC">
      <w:pPr>
        <w:spacing w:after="0" w:line="240" w:lineRule="auto"/>
      </w:pPr>
    </w:p>
    <w:p w14:paraId="2994CFC9" w14:textId="77777777" w:rsidR="005A5FCC" w:rsidRDefault="005A5FCC">
      <w:pPr>
        <w:spacing w:after="0" w:line="240" w:lineRule="auto"/>
      </w:pPr>
    </w:p>
    <w:p w14:paraId="4CF42710" w14:textId="77777777" w:rsidR="005A5FCC" w:rsidRDefault="005A5FCC">
      <w:pPr>
        <w:spacing w:after="0" w:line="240" w:lineRule="auto"/>
      </w:pPr>
    </w:p>
    <w:p w14:paraId="4D8B70DF" w14:textId="77777777" w:rsidR="005A5FCC" w:rsidRDefault="00A21C81">
      <w:pPr>
        <w:spacing w:after="120" w:line="240" w:lineRule="auto"/>
        <w:jc w:val="center"/>
      </w:pPr>
      <w:r>
        <w:rPr>
          <w:rFonts w:ascii="Noto Sans" w:hAnsi="Noto Sans" w:cs="Noto Sans"/>
          <w:b/>
          <w:caps/>
          <w:color w:val="8A6A2A"/>
          <w:kern w:val="16"/>
          <w:sz w:val="20"/>
          <w14:ligatures w14:val="standardContextual"/>
        </w:rPr>
        <w:t>PARTE II</w:t>
      </w:r>
    </w:p>
    <w:p w14:paraId="7975EF9A" w14:textId="77777777" w:rsidR="005A5FCC" w:rsidRDefault="00A21C81">
      <w:pPr>
        <w:pStyle w:val="Ttulo1"/>
        <w:spacing w:line="252" w:lineRule="auto"/>
      </w:pPr>
      <w:r>
        <w:rPr>
          <w:rFonts w:ascii="EB Garamond" w:hAnsi="EB Garamond" w:cs="EB Garamond"/>
          <w:caps/>
          <w:kern w:val="16"/>
          <w14:ligatures w14:val="standardContextual"/>
        </w:rPr>
        <w:t>Benefícios por Incapacidade</w:t>
      </w:r>
    </w:p>
    <w:p w14:paraId="3C75E9EC" w14:textId="77777777" w:rsidR="005A5FCC" w:rsidRDefault="00A21C81">
      <w:pPr>
        <w:spacing w:before="160" w:after="0" w:line="240" w:lineRule="auto"/>
        <w:jc w:val="center"/>
      </w:pPr>
      <w:r>
        <w:rPr>
          <w:rFonts w:cs="EB Garamond"/>
          <w:color w:val="B78B37"/>
          <w:kern w:val="16"/>
          <w:sz w:val="18"/>
          <w14:ligatures w14:val="standardContextual"/>
        </w:rPr>
        <w:t>━━━━━  ◆  ◆  ◆  ━━━━━</w:t>
      </w:r>
    </w:p>
    <w:p w14:paraId="44E3133B" w14:textId="77777777" w:rsidR="005A5FCC" w:rsidRDefault="005A5FCC">
      <w:pPr>
        <w:sectPr w:rsidR="005A5FCC">
          <w:headerReference w:type="even" r:id="rId90"/>
          <w:headerReference w:type="default" r:id="rId91"/>
          <w:footerReference w:type="even" r:id="rId92"/>
          <w:footerReference w:type="default" r:id="rId93"/>
          <w:headerReference w:type="first" r:id="rId94"/>
          <w:footerReference w:type="first" r:id="rId95"/>
          <w:type w:val="oddPage"/>
          <w:pgSz w:w="8391" w:h="11906"/>
          <w:pgMar w:top="935" w:right="879" w:bottom="964" w:left="1162" w:header="454" w:footer="425" w:gutter="0"/>
          <w:cols w:space="720"/>
          <w:titlePg/>
          <w:docGrid w:linePitch="360"/>
        </w:sectPr>
      </w:pPr>
    </w:p>
    <w:p w14:paraId="56659221" w14:textId="77777777" w:rsidR="005A5FCC" w:rsidRDefault="00A21C81">
      <w:pPr>
        <w:keepNext/>
        <w:spacing w:before="240" w:after="80" w:line="240" w:lineRule="auto"/>
        <w:jc w:val="center"/>
      </w:pPr>
      <w:r>
        <w:rPr>
          <w:rFonts w:ascii="Noto Sans" w:hAnsi="Noto Sans" w:cs="Noto Sans"/>
          <w:b/>
          <w:caps/>
          <w:color w:val="8A6A2A"/>
          <w:kern w:val="16"/>
          <w:sz w:val="19"/>
          <w14:ligatures w14:val="standardContextual"/>
        </w:rPr>
        <w:lastRenderedPageBreak/>
        <w:t>CAPÍTULO 6</w:t>
      </w:r>
    </w:p>
    <w:p w14:paraId="11A3D1B6" w14:textId="77777777" w:rsidR="005A5FCC" w:rsidRDefault="00A21C81">
      <w:pPr>
        <w:pStyle w:val="Ttulo2"/>
        <w:spacing w:line="240" w:lineRule="auto"/>
      </w:pPr>
      <w:r>
        <w:rPr>
          <w:rFonts w:ascii="EB Garamond" w:hAnsi="EB Garamond" w:cs="EB Garamond"/>
          <w:caps/>
          <w:kern w:val="16"/>
          <w14:ligatures w14:val="standardContextual"/>
        </w:rPr>
        <w:t>Aposentadoria por Incapacidade Permanente</w:t>
      </w:r>
    </w:p>
    <w:p w14:paraId="54B0DECD" w14:textId="77777777" w:rsidR="005A5FCC" w:rsidRDefault="00A21C81">
      <w:pPr>
        <w:spacing w:after="240" w:line="240" w:lineRule="auto"/>
        <w:jc w:val="center"/>
      </w:pPr>
      <w:r>
        <w:rPr>
          <w:rFonts w:cs="EB Garamond"/>
          <w:color w:val="B78B37"/>
          <w:kern w:val="16"/>
          <w:sz w:val="18"/>
          <w14:ligatures w14:val="standardContextual"/>
        </w:rPr>
        <w:t>━━━━  ◆  ━━━━</w:t>
      </w:r>
    </w:p>
    <w:p w14:paraId="20603458"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25C4CD97" w14:textId="77777777" w:rsidR="005A5FCC" w:rsidRDefault="00A21C81">
      <w:r>
        <w:rPr>
          <w:rFonts w:cs="EB Garamond"/>
          <w:kern w:val="16"/>
          <w14:ligatures w14:val="standardContextual"/>
        </w:rPr>
        <w:t xml:space="preserve"> segurado que perde de forma definitiva a capacidade de prover seu sustento pelo trabalho enfrenta, além da doença, uma sucessão de obstáculos administrativos e processuais. A aposentadoria por incapacidade permanente — denominação conferida pela Emenda Constitucional n. 103, de 12 de novembro de 2019, ao benefício até então conhecido como aposentadoria por invalidez — é a resposta do sistema previdenciário a essa contingência. Trata-se de benefício não programado, cuja concessão pressupõe evento imprevisto que prive o segurado, total e definitivamente, de sua capacidade laborativa. Ao contrário das aposentadorias programadas, que pressupõem planejamento a longo prazo e acumulação de requisitos temporais, a aposentadoria por incapacidade permanente responde a uma contingência específica: a superveniência de doença ou acidente que torne o segurado insusceptível de reabilitação para o exercício de atividade que lhe garanta a subsistência.</w:t>
      </w:r>
    </w:p>
    <w:p w14:paraId="0A0FE77C" w14:textId="77777777" w:rsidR="005A5FCC" w:rsidRDefault="00A21C81">
      <w:pPr>
        <w:ind w:firstLine="238"/>
      </w:pPr>
      <w:r>
        <w:rPr>
          <w:rFonts w:cs="EB Garamond"/>
          <w:kern w:val="16"/>
          <w14:ligatures w14:val="standardContextual"/>
        </w:rPr>
        <w:t>A proteção constitucional à incapacidade para o trabalho encontra fundamento no art. 201, inciso I, da Constituição Federal, com a redação dada pela EC 103/2019, que assegura a cobertura dos eventos de "incapacidade temporária ou permanente para o trabalho". A legislação infraconstitucional disciplina a matéria nos arts. 42 a 47 da Lei n. 8.213, de 24 de julho de 1991, complementados pelo Decreto 3.048/99 (arts. 43 a 50) e pela regulamentação infralegal do INSS. A EC 103/2019 introduziu alterações substanciais no cálculo do benefício, que serão examinadas em seção própria.</w:t>
      </w:r>
    </w:p>
    <w:p w14:paraId="1F303A6B" w14:textId="77777777" w:rsidR="005A5FCC" w:rsidRDefault="00A21C81">
      <w:pPr>
        <w:ind w:firstLine="238"/>
      </w:pPr>
      <w:r>
        <w:rPr>
          <w:rFonts w:cs="EB Garamond"/>
          <w:kern w:val="16"/>
          <w14:ligatures w14:val="standardContextual"/>
        </w:rPr>
        <w:t xml:space="preserve">Na experiência dos Juizados Especiais Federais, as ações de concessão e restabelecimento de aposentadoria por incapacidade permanente representam parcela significativa do acervo. A centralidade da prova pericial, as controvérsias sobre a extensão do conceito de incapacidade, a tensão entre o laudo médico e as condições pessoais do segurado, a fixação da data de início do benefício e o impacto das </w:t>
      </w:r>
      <w:r>
        <w:rPr>
          <w:rFonts w:cs="EB Garamond"/>
          <w:kern w:val="16"/>
          <w14:ligatures w14:val="standardContextual"/>
        </w:rPr>
        <w:lastRenderedPageBreak/>
        <w:t>alterações trazidas pela EC 103/2019 no cálculo da renda mensal constituem questões com as quais o magistrado e o advogado previdenciarista se deparam cotidianamente.</w:t>
      </w:r>
    </w:p>
    <w:p w14:paraId="183DE175"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6.1 Conceito e natureza jurídica</w:t>
      </w:r>
    </w:p>
    <w:p w14:paraId="18FEFD0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093DBFE0" w14:textId="77777777" w:rsidR="005A5FCC" w:rsidRDefault="00A21C81">
      <w:r>
        <w:rPr>
          <w:rFonts w:cs="EB Garamond"/>
          <w:kern w:val="16"/>
          <w14:ligatures w14:val="standardContextual"/>
        </w:rPr>
        <w:t xml:space="preserve"> art. 42 da Lei 8.213/91 define a aposentadoria por invalidez (atual aposentadoria por incapacidade permanente) como o benefício devido ao segurado que, "estando ou não em gozo de auxílio-doença (atual auxílio por incapacidade temporária), for considerado incapaz e insusceptível de reabilitação para o exercício de atividade que lhe garanta a subsistência, e ser-lhe-á paga enquanto permanecer nesta condição". A definição legal contém os elementos essenciais do benefício: (i) a incapacidade para o trabalho; (ii) o caráter permanente ou, ao menos, de prognóstico indefinido; (iii) a insusceptibilidade de reabilitação profissional; e (iv) a provisoriedade da concessão, condicionada à manutenção do estado incapacitante.</w:t>
      </w:r>
    </w:p>
    <w:p w14:paraId="20F6AF0C" w14:textId="3A28E9FC" w:rsidR="005A5FCC" w:rsidRDefault="00A21C81">
      <w:pPr>
        <w:ind w:firstLine="238"/>
      </w:pPr>
      <w:r>
        <w:rPr>
          <w:rFonts w:cs="EB Garamond"/>
          <w:kern w:val="16"/>
          <w14:ligatures w14:val="standardContextual"/>
        </w:rPr>
        <w:t>A aposentadoria por incapacidade permanente é benefício de natureza substitutiva</w:t>
      </w:r>
      <w:r w:rsidR="00A05167">
        <w:rPr>
          <w:rFonts w:cs="EB Garamond"/>
          <w:kern w:val="16"/>
          <w14:ligatures w14:val="standardContextual"/>
        </w:rPr>
        <w:t xml:space="preserve"> e </w:t>
      </w:r>
      <w:r>
        <w:rPr>
          <w:rFonts w:cs="EB Garamond"/>
          <w:kern w:val="16"/>
          <w14:ligatures w14:val="standardContextual"/>
        </w:rPr>
        <w:t>destina-se a substituir a remuneração do segurado que não pode mais obtê-la pelo trabalho. Diferencia-se, nesse aspecto, de benefícios complementares, como o auxílio-acidente, que visam compensar a redução da capacidade laborativa sem substituir a renda integral. O benefício tem caráter alimentar e visa garantir a sobrevivência digna do segurado que se vê impossibilitado de prover o próprio sustento pelo trabalho.</w:t>
      </w:r>
    </w:p>
    <w:p w14:paraId="32A61B74" w14:textId="77777777" w:rsidR="005A5FCC" w:rsidRDefault="00A21C81">
      <w:pPr>
        <w:ind w:firstLine="238"/>
      </w:pPr>
      <w:r>
        <w:rPr>
          <w:rFonts w:cs="EB Garamond"/>
          <w:kern w:val="16"/>
          <w14:ligatures w14:val="standardContextual"/>
        </w:rPr>
        <w:t>A doutrina majoritária qualifica o benefício como provisório, apesar da nomenclatura que sugere permanência. A provisoriedade decorre da possibilidade legal de revisão periódica (art. 101 da Lei 8.213/91) e da cessação quando o segurado recupera a capacidade laborativa. O benefício é "provisório no sentido jurídico, embora possa ser definitivo no sentido fático, quando a incapacidade se revela efetivamente irreversível". A Lei 13.457, de 26 de junho de 2017, trouxe nuances a essa provisoriedade ao estabelecer hipóteses de isenção do exame periódico, como se examinará adiante.</w:t>
      </w:r>
    </w:p>
    <w:p w14:paraId="2977FE8B" w14:textId="77777777" w:rsidR="005A5FCC" w:rsidRDefault="00A21C81">
      <w:pPr>
        <w:ind w:firstLine="238"/>
      </w:pPr>
      <w:r>
        <w:rPr>
          <w:rFonts w:cs="EB Garamond"/>
          <w:kern w:val="16"/>
          <w14:ligatures w14:val="standardContextual"/>
        </w:rPr>
        <w:lastRenderedPageBreak/>
        <w:t>A evolução legislativa do benefício remonta à Lei Orgânica da Previdência Social (LOPS — Lei n. 3.807, de 26 de agosto de 1960), que disciplinava a "aposentadoria por invalidez" nos arts. 27 a 32. A Consolidação das Leis da Previdência Social (CLPS — Decreto n. 89.312, de 23 de janeiro de 1984) manteve a nomenclatura e a estrutura básica do benefício. A Lei 8.213/91, que rege o atual Plano de Benefícios da Previdência Social, preservou a denominação "aposentadoria por invalidez" e aperfeiçoou os requisitos e procedimentos de concessão. Ao longo de mais de três décadas de vigência, o benefício foi objeto de sucessivas alterações legislativas e regulamentares, entre as quais se destacam a Lei n. 9.032/1995 (que alterou o cálculo do benefício), a Lei n. 9.528/1997 (que modificou regras de acumulação), a Lei n. 13.135/2015 (que, no que toca aos benefícios por incapacidade, deu nova redação ao art. 151 da Lei 8.213/91, atualizando o rol de doenças que dispensam carência) e a Lei n. 13.457/2017 (que disciplinou o "pente-fino" e as hipóteses de isenção da revisão periódica).</w:t>
      </w:r>
    </w:p>
    <w:p w14:paraId="7B6CE652" w14:textId="77777777" w:rsidR="005A5FCC" w:rsidRDefault="00A21C81">
      <w:pPr>
        <w:ind w:firstLine="238"/>
      </w:pPr>
      <w:r>
        <w:rPr>
          <w:rFonts w:cs="EB Garamond"/>
          <w:kern w:val="16"/>
          <w14:ligatures w14:val="standardContextual"/>
        </w:rPr>
        <w:t>A EC 103/2019 promoveu a substituição terminológica de "aposentadoria por invalidez" por "aposentadoria por incapacidade permanente". A mudança não é meramente semântica. A expressão "invalidez" carregava conotação estigmatizante, sugerindo inutilidade ou incapacidade absoluta, quando, na realidade, o segurado aposentado pode conservar habilidades em esferas distintas da atividade laborativa. A nova nomenclatura, "incapacidade permanente para o trabalho", é tecnicamente mais precisa, pois delimita o objeto da proteção (o trabalho) e o qualifica temporalmente (permanente). A Lei 8.213/91 ainda não teve sua redação formalmente alterada nos arts. 42 a 47; foi o Decreto 10.410/2020 que adotou a nova terminologia no regulamento, razão pela qual persiste na legislação ordinária a referência a "aposentadoria por invalidez".</w:t>
      </w:r>
    </w:p>
    <w:p w14:paraId="1BCCD11A"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6.2 Requisitos legais</w:t>
      </w:r>
    </w:p>
    <w:p w14:paraId="1B7E88EC"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60577B3B" w14:textId="77777777" w:rsidR="005A5FCC" w:rsidRDefault="00A21C81">
      <w:r>
        <w:rPr>
          <w:rFonts w:cs="EB Garamond"/>
          <w:kern w:val="16"/>
          <w14:ligatures w14:val="standardContextual"/>
        </w:rPr>
        <w:t xml:space="preserve"> concessão da aposentadoria por incapacidade permanente exige a conjugação de quatro requisitos: (a) qualidade de segurado; (b) carência mínima de doze contribuições mensais, salvo nas hipóteses de dispensa; (c) incapacidade total e permanente para o trabalho; e (d) insusceptibilidade de reabilitação </w:t>
      </w:r>
      <w:r>
        <w:rPr>
          <w:rFonts w:cs="EB Garamond"/>
          <w:kern w:val="16"/>
          <w14:ligatures w14:val="standardContextual"/>
        </w:rPr>
        <w:lastRenderedPageBreak/>
        <w:t>profissional. A verificação desses requisitos, na prática dos JEFs, envolve complexidades que merecem tratamento individualizado.</w:t>
      </w:r>
    </w:p>
    <w:p w14:paraId="171F7ACD" w14:textId="77777777" w:rsidR="005A5FCC" w:rsidRDefault="00A21C81">
      <w:pPr>
        <w:spacing w:before="260" w:after="80" w:line="240" w:lineRule="auto"/>
        <w:jc w:val="left"/>
      </w:pPr>
      <w:r>
        <w:rPr>
          <w:rFonts w:cs="EB Garamond"/>
          <w:b/>
          <w:color w:val="3A3128"/>
          <w:kern w:val="16"/>
          <w:sz w:val="25"/>
          <w14:ligatures w14:val="standardContextual"/>
        </w:rPr>
        <w:t>6.2.1 Qualidade de segurado</w:t>
      </w:r>
    </w:p>
    <w:p w14:paraId="2DB6C152"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57233F21" w14:textId="77777777" w:rsidR="005A5FCC" w:rsidRDefault="00A21C81">
      <w:r>
        <w:rPr>
          <w:rFonts w:cs="EB Garamond"/>
          <w:kern w:val="16"/>
          <w14:ligatures w14:val="standardContextual"/>
        </w:rPr>
        <w:t xml:space="preserve"> primeiro requisito é a manutenção da qualidade de segurado na data do início da incapacidade — ou, mais precisamente, na data em que a doença ou lesão incapacitante se manifestou com gravidade suficiente para impedir o trabalho. A matéria foi examinada no Capítulo 3, ao qual se remete o leitor para análise detalhada do período de graça e das hipóteses de prorrogação. A perda da qualidade de segurado anterior ao surgimento da incapacidade impede a concessão do benefício, sem exceção — a dispensa de qualidade de segurado prevista para aposentadorias programadas não se aplica à aposentadoria por incapacidade permanente, que é benefício não programado.</w:t>
      </w:r>
    </w:p>
    <w:p w14:paraId="7E39B4BE" w14:textId="49D50ECD" w:rsidR="005A5FCC" w:rsidRDefault="00A21C81">
      <w:pPr>
        <w:ind w:firstLine="238"/>
      </w:pPr>
      <w:r>
        <w:rPr>
          <w:rFonts w:cs="EB Garamond"/>
          <w:kern w:val="16"/>
          <w14:ligatures w14:val="standardContextual"/>
        </w:rPr>
        <w:t xml:space="preserve">Na prática forense, a fixação precisa da Data de Início da Doença (DID) e da Data de Início da Incapacidade (DII) é operação fundamental. A DID corresponde ao momento em que a doença foi diagnosticada ou se manifestou pela primeira vez; a DII, ao momento em que a doença passou a gerar incapacidade efetiva para o trabalho. A distinção é relevante porque uma pessoa pode ser portadora de doença crônica por anos antes de se tornar incapaz. A Súmula 53 da TNU consolida: "Não há direito a auxílio por incapacidade temporária ou a aposentadoria por incapacidade permanente quando a incapacidade para o trabalho é preexistente ao reingresso do segurado no Regime Geral de Previdência Social". A contrario sensu, se a doença era </w:t>
      </w:r>
      <w:r w:rsidR="00A05167">
        <w:rPr>
          <w:rFonts w:cs="EB Garamond"/>
          <w:kern w:val="16"/>
          <w14:ligatures w14:val="standardContextual"/>
        </w:rPr>
        <w:t>preexistente,</w:t>
      </w:r>
      <w:r>
        <w:rPr>
          <w:rFonts w:cs="EB Garamond"/>
          <w:kern w:val="16"/>
          <w14:ligatures w14:val="standardContextual"/>
        </w:rPr>
        <w:t xml:space="preserve"> mas a incapacidade sobreveio após o reingresso (por progressão ou agravamento), o benefício é devido — tema disciplinado no § 2º do art. 42 e no § 1º do art. 59 da Lei 8.213/91.</w:t>
      </w:r>
    </w:p>
    <w:tbl>
      <w:tblPr>
        <w:tblW w:w="5000" w:type="pct"/>
        <w:jc w:val="center"/>
        <w:tblLayout w:type="fixed"/>
        <w:tblLook w:val="04A0" w:firstRow="1" w:lastRow="0" w:firstColumn="1" w:lastColumn="0" w:noHBand="0" w:noVBand="1"/>
      </w:tblPr>
      <w:tblGrid>
        <w:gridCol w:w="6311"/>
      </w:tblGrid>
      <w:tr w:rsidR="005A5FCC" w14:paraId="6B2EE5A1"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06D7E279" w14:textId="77777777" w:rsidR="005A5FCC" w:rsidRDefault="00A21C81">
            <w:pPr>
              <w:spacing w:after="60" w:line="240" w:lineRule="auto"/>
              <w:jc w:val="left"/>
            </w:pPr>
            <w:r>
              <w:rPr>
                <w:rFonts w:ascii="Noto Sans" w:hAnsi="Noto Sans" w:cs="Noto Sans"/>
                <w:b/>
                <w:caps/>
                <w:color w:val="B78B37"/>
                <w:kern w:val="16"/>
                <w:sz w:val="16"/>
                <w14:ligatures w14:val="standardContextual"/>
              </w:rPr>
              <w:lastRenderedPageBreak/>
              <w:t>ATENÇÃO</w:t>
            </w:r>
          </w:p>
          <w:p w14:paraId="231802C4" w14:textId="77777777" w:rsidR="005A5FCC" w:rsidRDefault="00A21C81">
            <w:pPr>
              <w:spacing w:after="60" w:line="247" w:lineRule="auto"/>
            </w:pPr>
            <w:r>
              <w:rPr>
                <w:rFonts w:cs="EB Garamond"/>
                <w:kern w:val="16"/>
                <w:sz w:val="19"/>
                <w14:ligatures w14:val="standardContextual"/>
              </w:rPr>
              <w:t>A distinção entre DID e DII é crucial para a resolução dos conflitos nos JEFs. O perito judicial deve ser instado a fixar, com a maior precisão possível, ambas as datas. Se o perito fixa a DII em período anterior à filiação ou ao reingresso no RGPS, o benefício será indeferido, salvo se demonstrada a progressão ou agravamento da doença preexistente (§ 2º do art. 42 da Lei 8.213/91). Se o perito fixa a DII em período posterior à perda da qualidade de segurado, igualmente haverá indeferimento. A verificação da qualidade de segurado na DII, e não na data do requerimento administrativo ou da perícia judicial, constitui regra consolidada.</w:t>
            </w:r>
          </w:p>
        </w:tc>
      </w:tr>
    </w:tbl>
    <w:p w14:paraId="012C35D2" w14:textId="77777777" w:rsidR="005A5FCC" w:rsidRDefault="005A5FCC">
      <w:pPr>
        <w:spacing w:after="80" w:line="240" w:lineRule="auto"/>
      </w:pPr>
    </w:p>
    <w:p w14:paraId="18197529" w14:textId="77777777" w:rsidR="005A5FCC" w:rsidRDefault="00A21C81">
      <w:pPr>
        <w:spacing w:before="260" w:after="80" w:line="240" w:lineRule="auto"/>
        <w:jc w:val="left"/>
      </w:pPr>
      <w:r>
        <w:rPr>
          <w:rFonts w:cs="EB Garamond"/>
          <w:b/>
          <w:color w:val="3A3128"/>
          <w:kern w:val="16"/>
          <w:sz w:val="25"/>
          <w14:ligatures w14:val="standardContextual"/>
        </w:rPr>
        <w:t>6.2.2 Carência</w:t>
      </w:r>
    </w:p>
    <w:p w14:paraId="23B05E65"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40220605" w14:textId="77777777" w:rsidR="005A5FCC" w:rsidRDefault="00A21C81">
      <w:r>
        <w:rPr>
          <w:rFonts w:cs="EB Garamond"/>
          <w:kern w:val="16"/>
          <w14:ligatures w14:val="standardContextual"/>
        </w:rPr>
        <w:t xml:space="preserve"> aposentadoria por incapacidade permanente exige carência de 12 contribuições mensais (art. 25, I, Lei 8.213/91), dispensada nas hipóteses do art. 26, II (acidente de qualquer natureza, doença profissional, doença do trabalho e doenças graves). O art. 26, II, remete a regulamento infralegal para a definição do rol de doenças que dispensam carência; a norma vigente que materializa essa lista é a Portaria Interministerial MTP/MS n. 22/2022. O regime geral de carência — cômputo, hipóteses de dispensa e rol completo de doenças — é examinado no Capítulo 3, seção 3.4.</w:t>
      </w:r>
    </w:p>
    <w:p w14:paraId="744DCE49" w14:textId="77777777" w:rsidR="005A5FCC" w:rsidRDefault="00A21C81">
      <w:pPr>
        <w:ind w:firstLine="238"/>
      </w:pPr>
      <w:r>
        <w:rPr>
          <w:rFonts w:cs="EB Garamond"/>
          <w:kern w:val="16"/>
          <w14:ligatures w14:val="standardContextual"/>
        </w:rPr>
        <w:t>A particularidade da incapacidade permanente é o regime bifásico da doença preexistente: doença superveniente à filiação dispensa carência; doença preexistente somente gera benefício se a incapacidade decorrer de progressão ou agravamento, caso em que as 12 contribuições devem estar cumpridas (arts. 26, II, e 42, § 2º, da Lei 8.213/91).</w:t>
      </w:r>
    </w:p>
    <w:p w14:paraId="67EFAE38" w14:textId="77777777" w:rsidR="005A5FCC" w:rsidRDefault="00A21C81">
      <w:pPr>
        <w:ind w:firstLine="238"/>
      </w:pPr>
      <w:r>
        <w:rPr>
          <w:rFonts w:cs="EB Garamond"/>
          <w:kern w:val="16"/>
          <w14:ligatures w14:val="standardContextual"/>
        </w:rPr>
        <w:t xml:space="preserve">No cômputo dessas 12 contribuições, questão recorrente é a de saber se o período em que o segurado esteve em gozo de benefício por incapacidade pode ser contado como carência. A regra geral é a de que períodos sem contribuição não integram a carência (art. 27 da Lei 8.213/91), e o tempo de fruição de benefício por incapacidade não configura, em si, contribuição vertida. Contudo, o art. 55, II, da Lei 8.213/91 admite a contagem, como tempo de contribuição, do período de gozo de auxílio por incapacidade temporária ou de aposentadoria por incapacidade permanente quando intercalado com períodos de atividade. O STF, no </w:t>
      </w:r>
      <w:r>
        <w:rPr>
          <w:rFonts w:cs="EB Garamond"/>
          <w:kern w:val="16"/>
          <w14:ligatures w14:val="standardContextual"/>
        </w:rPr>
        <w:lastRenderedPageBreak/>
        <w:t>julgamento do Tema 1.125 (RE 1.298.832), reconheceu a constitucionalidade do cômputo desse período de auxílio-doença também para fins de carência, desde que intercalado com atividade laborativa. A consequência prática é direta: o segurado que alternou períodos de trabalho (com recolhimento) e períodos de benefício por incapacidade pode somar ambos para perfazer a carência exigida. Esse ponto assume relevo específico na aposentadoria por incapacidade permanente. A carência de 12 contribuições, embora frequentemente dispensada, é exigível nas hipóteses de doença preexistente com agravamento (art. 42, § 2º) — e é justamente aí que o cômputo do período de benefício intercalado pode ser decisivo para completá-la. O requisito da intercalação é essencial: o período de benefício deve estar situado entre períodos de efetiva atividade laborativa, não bastando o gozo isolado do benefício ao final do vínculo.</w:t>
      </w:r>
    </w:p>
    <w:tbl>
      <w:tblPr>
        <w:tblW w:w="5000" w:type="pct"/>
        <w:jc w:val="center"/>
        <w:tblLayout w:type="fixed"/>
        <w:tblLook w:val="04A0" w:firstRow="1" w:lastRow="0" w:firstColumn="1" w:lastColumn="0" w:noHBand="0" w:noVBand="1"/>
      </w:tblPr>
      <w:tblGrid>
        <w:gridCol w:w="6311"/>
      </w:tblGrid>
      <w:tr w:rsidR="005A5FCC" w14:paraId="711D330E"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70FB832A" w14:textId="77777777" w:rsidR="005A5FCC" w:rsidRDefault="00A21C81">
            <w:pPr>
              <w:spacing w:after="60" w:line="240" w:lineRule="auto"/>
              <w:jc w:val="left"/>
            </w:pPr>
            <w:r>
              <w:rPr>
                <w:rFonts w:ascii="Noto Sans" w:hAnsi="Noto Sans" w:cs="Noto Sans"/>
                <w:b/>
                <w:caps/>
                <w:color w:val="4D6F8A"/>
                <w:kern w:val="16"/>
                <w:sz w:val="16"/>
                <w14:ligatures w14:val="standardContextual"/>
              </w:rPr>
              <w:t>JURISPRUDÊNCIA EM DESTAQUE</w:t>
            </w:r>
          </w:p>
          <w:p w14:paraId="7BE3E6E1" w14:textId="77777777" w:rsidR="005A5FCC" w:rsidRDefault="00A21C81">
            <w:pPr>
              <w:spacing w:after="60" w:line="247" w:lineRule="auto"/>
            </w:pPr>
            <w:r>
              <w:rPr>
                <w:rFonts w:cs="EB Garamond"/>
                <w:b/>
                <w:kern w:val="16"/>
                <w:sz w:val="19"/>
                <w14:ligatures w14:val="standardContextual"/>
              </w:rPr>
              <w:t>STF, Tema 1.125 (RE 1.298.832, Rel. Min. Luiz Fux — então Presidente, Plenário Virtual, julgamento em 19/02/2021, reafirmação de jurisprudência)</w:t>
            </w:r>
            <w:r>
              <w:rPr>
                <w:rFonts w:cs="EB Garamond"/>
                <w:kern w:val="16"/>
                <w:sz w:val="19"/>
                <w14:ligatures w14:val="standardContextual"/>
              </w:rPr>
              <w:t>: "É constitucional o cômputo, para fins de carência, do período no qual o segurado esteve em gozo do benefício de auxílio-doença, desde que intercalado com atividade laborativa." A tese, fixada em repercussão geral, harmoniza-se com o art. 55, II, da Lei 8.213/91 e consolida que o tempo de fruição de benefício por incapacidade, quando entremeado por períodos de trabalho, integra a carência — e não apenas o tempo de contribuição.</w:t>
            </w:r>
          </w:p>
        </w:tc>
      </w:tr>
    </w:tbl>
    <w:p w14:paraId="083CA0E4" w14:textId="77777777" w:rsidR="005A5FCC" w:rsidRDefault="005A5FCC">
      <w:pPr>
        <w:spacing w:after="80" w:line="240" w:lineRule="auto"/>
      </w:pPr>
    </w:p>
    <w:tbl>
      <w:tblPr>
        <w:tblW w:w="5000" w:type="pct"/>
        <w:jc w:val="center"/>
        <w:tblLayout w:type="fixed"/>
        <w:tblLook w:val="04A0" w:firstRow="1" w:lastRow="0" w:firstColumn="1" w:lastColumn="0" w:noHBand="0" w:noVBand="1"/>
      </w:tblPr>
      <w:tblGrid>
        <w:gridCol w:w="6311"/>
      </w:tblGrid>
      <w:tr w:rsidR="005A5FCC" w14:paraId="7A3D188E"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18F50799" w14:textId="77777777" w:rsidR="005A5FCC" w:rsidRDefault="00A21C81">
            <w:pPr>
              <w:spacing w:after="60" w:line="240" w:lineRule="auto"/>
              <w:jc w:val="left"/>
            </w:pPr>
            <w:r>
              <w:rPr>
                <w:rFonts w:ascii="Noto Sans" w:hAnsi="Noto Sans" w:cs="Noto Sans"/>
                <w:b/>
                <w:caps/>
                <w:color w:val="4D6F8A"/>
                <w:kern w:val="16"/>
                <w:sz w:val="16"/>
                <w14:ligatures w14:val="standardContextual"/>
              </w:rPr>
              <w:t>JURISPRUDÊNCIA EM DESTAQUE</w:t>
            </w:r>
          </w:p>
          <w:p w14:paraId="0B3137FA" w14:textId="77777777" w:rsidR="005A5FCC" w:rsidRDefault="00A21C81">
            <w:pPr>
              <w:spacing w:after="60" w:line="247" w:lineRule="auto"/>
            </w:pPr>
            <w:r>
              <w:rPr>
                <w:rFonts w:cs="EB Garamond"/>
                <w:kern w:val="16"/>
                <w:sz w:val="19"/>
                <w14:ligatures w14:val="standardContextual"/>
              </w:rPr>
              <w:t>O § 2º do art. 42 da Lei 8.213/91, lido em conjunto com a Súmula 53 da TNU, conduz à seguinte distinção: havendo doença preexistente à filiação, não há direito à concessão de benefício por incapacidade se a incapacidade laborativa também for preexistente, ainda que tenha havido agravamento da doença, se este agravamento não gerou piora da capacidade laborativa. A distinção é sutil, mas fundamental: o agravamento da doença somente justifica a concessão se resultar em agravamento da incapacidade. Se a doença progride clinicamente mas a capacidade de trabalho permanece inalterada, não há direito ao benefício.</w:t>
            </w:r>
          </w:p>
        </w:tc>
      </w:tr>
    </w:tbl>
    <w:p w14:paraId="14E3FC45" w14:textId="77777777" w:rsidR="005A5FCC" w:rsidRDefault="005A5FCC">
      <w:pPr>
        <w:spacing w:after="80" w:line="240" w:lineRule="auto"/>
      </w:pPr>
    </w:p>
    <w:p w14:paraId="0951A023" w14:textId="77777777" w:rsidR="005A5FCC" w:rsidRDefault="00A21C81">
      <w:pPr>
        <w:spacing w:before="260" w:after="80" w:line="240" w:lineRule="auto"/>
        <w:jc w:val="left"/>
      </w:pPr>
      <w:r>
        <w:rPr>
          <w:rFonts w:cs="EB Garamond"/>
          <w:b/>
          <w:color w:val="3A3128"/>
          <w:kern w:val="16"/>
          <w:sz w:val="25"/>
          <w14:ligatures w14:val="standardContextual"/>
        </w:rPr>
        <w:lastRenderedPageBreak/>
        <w:t>6.2.3 Incapacidade total e permanente</w:t>
      </w:r>
    </w:p>
    <w:p w14:paraId="1B79139E"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0EF25105" w14:textId="77777777" w:rsidR="005A5FCC" w:rsidRDefault="00A21C81">
      <w:r>
        <w:rPr>
          <w:rFonts w:cs="EB Garamond"/>
          <w:kern w:val="16"/>
          <w14:ligatures w14:val="standardContextual"/>
        </w:rPr>
        <w:t xml:space="preserve"> terceiro requisito é a incapacidade total e permanente para o trabalho. A lei exige que o segurado seja "considerado incapaz e insusceptível de reabilitação para o exercício de atividade que lhe garanta a subsistência" (art. 42, caput). A expressão "atividade que lhe garanta a subsistência" indica que a incapacidade deve ser avaliada não apenas em relação à última atividade exercida, mas em perspectiva ampla, considerando todas as atividades que o segurado poderia razoavelmente exercer para prover seu sustento.</w:t>
      </w:r>
    </w:p>
    <w:p w14:paraId="011ADE46" w14:textId="77777777" w:rsidR="005A5FCC" w:rsidRDefault="00A21C81">
      <w:pPr>
        <w:ind w:firstLine="238"/>
      </w:pPr>
      <w:r>
        <w:rPr>
          <w:rFonts w:cs="EB Garamond"/>
          <w:kern w:val="16"/>
          <w14:ligatures w14:val="standardContextual"/>
        </w:rPr>
        <w:t>A doutrina denomina essa exigência de incapacidade omniprofissional — a inaptidão para o exercício de toda e qualquer atividade laborativa que garanta a subsistência. Não basta que o segurado esteja incapaz para a atividade habitual; é necessário que esteja incapaz para qualquer atividade compatível com suas condições pessoais. A incapacidade uniprofissional, restrita à atividade habitual, pode ensejar o auxílio por incapacidade temporária, mas não a aposentadoria por incapacidade permanente, ao menos em tese.</w:t>
      </w:r>
    </w:p>
    <w:p w14:paraId="7ECDD268" w14:textId="259B93C6" w:rsidR="005A5FCC" w:rsidRDefault="00A21C81">
      <w:pPr>
        <w:ind w:firstLine="238"/>
      </w:pPr>
      <w:r>
        <w:rPr>
          <w:rFonts w:cs="EB Garamond"/>
          <w:kern w:val="16"/>
          <w14:ligatures w14:val="standardContextual"/>
        </w:rPr>
        <w:t xml:space="preserve">A distinção entre incapacidade total e parcial é objeto de intensa litigância nos JEFs. A incapacidade total importa na impossibilidade de exercer qualquer atividade laborativa; a parcial, na redução da capacidade, que permite o exercício de algumas atividades, ainda que com limitações. A incapacidade temporária, por sua vez, distingue-se da permanente pela perspectiva de recuperação: quando há prognóstico favorável de retorno ao trabalho, a hipótese é de auxílio por incapacidade temporária; quando o prognóstico é desfavorável ou indefinido, configura-se a incapacidade permanente. A permanência não se confunde com irreversibilidade — uma incapacidade pode ser permanente no sentido de que não há previsão de recuperação em prazo determinado, embora não seja, em tese, absolutamente irreversível. </w:t>
      </w:r>
      <w:commentRangeStart w:id="15"/>
      <w:r>
        <w:rPr>
          <w:rFonts w:cs="EB Garamond"/>
          <w:kern w:val="16"/>
          <w14:ligatures w14:val="standardContextual"/>
        </w:rPr>
        <w:t>"</w:t>
      </w:r>
      <w:r w:rsidR="00A05167">
        <w:rPr>
          <w:rFonts w:cs="EB Garamond"/>
          <w:kern w:val="16"/>
          <w14:ligatures w14:val="standardContextual"/>
        </w:rPr>
        <w:t>A</w:t>
      </w:r>
      <w:r>
        <w:rPr>
          <w:rFonts w:cs="EB Garamond"/>
          <w:kern w:val="16"/>
          <w14:ligatures w14:val="standardContextual"/>
        </w:rPr>
        <w:t xml:space="preserve"> incapacidade permanente é aquela sem prognóstico de recuperação em prazo previsível, o que não exige demonstração de impossibilidade absoluta de cura".</w:t>
      </w:r>
      <w:commentRangeEnd w:id="15"/>
      <w:r w:rsidR="00A05167">
        <w:rPr>
          <w:rStyle w:val="Refdecomentrio"/>
          <w:sz w:val="21"/>
          <w:szCs w:val="22"/>
        </w:rPr>
        <w:commentReference w:id="15"/>
      </w:r>
    </w:p>
    <w:p w14:paraId="390DDBB7" w14:textId="77777777" w:rsidR="005A5FCC" w:rsidRDefault="00A21C81">
      <w:pPr>
        <w:ind w:firstLine="238"/>
      </w:pPr>
      <w:r>
        <w:rPr>
          <w:rFonts w:cs="EB Garamond"/>
          <w:kern w:val="16"/>
          <w14:ligatures w14:val="standardContextual"/>
        </w:rPr>
        <w:t xml:space="preserve">Na formulação de quesitos periciais, a distinção entre incapacidade para a atividade habitual e incapacidade para toda e qualquer atividade é essencial. O perito deve ser instado a se pronunciar sobre ambas as dimensões: se o segurado é </w:t>
      </w:r>
      <w:r>
        <w:rPr>
          <w:rFonts w:cs="EB Garamond"/>
          <w:kern w:val="16"/>
          <w14:ligatures w14:val="standardContextual"/>
        </w:rPr>
        <w:lastRenderedPageBreak/>
        <w:t>incapaz para a atividade habitual; se, sendo incapaz para a habitual, pode ser reabilitado para outra atividade; e, em caso negativo, quais os fundamentos clínicos que sustentam a conclusão de inviabilidade da reabilitação. A resposta a essas perguntas permite ao magistrado classificar a incapacidade com precisão e aplicar o enquadramento legal adequado.</w:t>
      </w:r>
    </w:p>
    <w:p w14:paraId="63B2CB21" w14:textId="77777777" w:rsidR="005A5FCC" w:rsidRDefault="00A21C81">
      <w:pPr>
        <w:ind w:firstLine="238"/>
      </w:pPr>
      <w:r>
        <w:rPr>
          <w:rFonts w:cs="EB Garamond"/>
          <w:kern w:val="16"/>
          <w14:ligatures w14:val="standardContextual"/>
        </w:rPr>
        <w:t>Essa distinção teórica, contudo, é mitigada pela jurisprudência. A Súmula 47 da TNU estabelece que, "uma vez reconhecida a incapacidade parcial para o trabalho, o juiz deve analisar as condições pessoais e sociais do segurado para a concessão de aposentadoria por invalidez". A avaliação deve considerar a idade do segurado, seu grau de instrução, sua experiência profissional, as condições do mercado de trabalho na região onde reside e outros fatores que influenciam concretamente sua possibilidade de reinserção laboral.</w:t>
      </w:r>
    </w:p>
    <w:tbl>
      <w:tblPr>
        <w:tblW w:w="5000" w:type="pct"/>
        <w:jc w:val="center"/>
        <w:tblLayout w:type="fixed"/>
        <w:tblLook w:val="04A0" w:firstRow="1" w:lastRow="0" w:firstColumn="1" w:lastColumn="0" w:noHBand="0" w:noVBand="1"/>
      </w:tblPr>
      <w:tblGrid>
        <w:gridCol w:w="6311"/>
      </w:tblGrid>
      <w:tr w:rsidR="005A5FCC" w14:paraId="695EDAA0"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5D278E0C"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51815320" w14:textId="77777777" w:rsidR="005A5FCC" w:rsidRDefault="00A21C81">
            <w:pPr>
              <w:spacing w:after="60" w:line="247" w:lineRule="auto"/>
            </w:pPr>
            <w:r>
              <w:rPr>
                <w:rFonts w:cs="EB Garamond"/>
                <w:kern w:val="16"/>
                <w:sz w:val="19"/>
                <w14:ligatures w14:val="standardContextual"/>
              </w:rPr>
              <w:t>Segurado de 58 anos, analfabeto, residente em município do interior do Nordeste, que exerceu durante toda a vida a atividade de trabalhador rural braçal e apresenta lesão incapacitante na coluna lombar: embora o laudo pericial possa concluir pela incapacidade parcial (o segurado poderia, em tese, exercer atividade sedentária), a análise das condições pessoais revela que a reinserção no mercado de trabalho é virtualmente impossível. Nessa hipótese, aplica-se a Súmula 47 da TNU: a incapacidade parcial, conjugada com as condições pessoais desfavoráveis, autoriza a concessão da aposentadoria por incapacidade permanente. O magistrado deve fundamentar expressamente a análise das condições pessoais, sob pena de nulidade da sentença.</w:t>
            </w:r>
          </w:p>
        </w:tc>
      </w:tr>
    </w:tbl>
    <w:p w14:paraId="76F60A75" w14:textId="77777777" w:rsidR="005A5FCC" w:rsidRDefault="005A5FCC">
      <w:pPr>
        <w:spacing w:after="80" w:line="240" w:lineRule="auto"/>
      </w:pPr>
    </w:p>
    <w:p w14:paraId="57FC1EA4" w14:textId="77777777" w:rsidR="005A5FCC" w:rsidRDefault="00A21C81">
      <w:pPr>
        <w:spacing w:before="260" w:after="80" w:line="240" w:lineRule="auto"/>
        <w:jc w:val="left"/>
      </w:pPr>
      <w:r>
        <w:rPr>
          <w:rFonts w:cs="EB Garamond"/>
          <w:b/>
          <w:color w:val="3A3128"/>
          <w:kern w:val="16"/>
          <w:sz w:val="25"/>
          <w14:ligatures w14:val="standardContextual"/>
        </w:rPr>
        <w:t>6.2.4 Insusceptibilidade de reabilitação</w:t>
      </w:r>
    </w:p>
    <w:p w14:paraId="7E306865"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2221DD55" w14:textId="77777777" w:rsidR="005A5FCC" w:rsidRDefault="00A21C81">
      <w:r>
        <w:rPr>
          <w:rFonts w:cs="EB Garamond"/>
          <w:kern w:val="16"/>
          <w14:ligatures w14:val="standardContextual"/>
        </w:rPr>
        <w:t xml:space="preserve"> quarto requisito, a insusceptibilidade de reabilitação profissional, é corolário lógico da exigência de incapacidade total. Se o segurado pode ser reabilitado para outra atividade que lhe garanta a subsistência, a hipótese é de auxílio por incapacidade temporária com encaminhamento ao Programa de Reabilitação Profissional (arts. 89 a 93 da Lei 8.213/91), e não de aposentadoria. A aposentadoria por incapacidade permanente é, no desenho legislativo, benefício </w:t>
      </w:r>
      <w:r>
        <w:rPr>
          <w:rFonts w:cs="EB Garamond"/>
          <w:kern w:val="16"/>
          <w14:ligatures w14:val="standardContextual"/>
        </w:rPr>
        <w:lastRenderedPageBreak/>
        <w:t>de última ratio, somente concedida quando esgotadas as possibilidades de reabilitação.</w:t>
      </w:r>
    </w:p>
    <w:p w14:paraId="0834DC6D" w14:textId="77777777" w:rsidR="005A5FCC" w:rsidRDefault="00A21C81">
      <w:pPr>
        <w:ind w:firstLine="238"/>
      </w:pPr>
      <w:r>
        <w:rPr>
          <w:rFonts w:cs="EB Garamond"/>
          <w:kern w:val="16"/>
          <w14:ligatures w14:val="standardContextual"/>
        </w:rPr>
        <w:t>Na prática, a reabilitação profissional do INSS apresenta limitações estruturais. O Programa frequentemente não dispõe de recursos adequados para oferecer capacitação efetiva, sobretudo em municípios do interior. A jurisprudência tem reconhecido que a mera possibilidade teórica de reabilitação, sem a existência concreta de programa acessível ao segurado, não impede a concessão da aposentadoria. A TNU, em diversos precedentes, tem entendido que cabe ao INSS demonstrar a viabilidade da reabilitação, e não ao segurado provar a inviabilidade.</w:t>
      </w:r>
    </w:p>
    <w:p w14:paraId="6EF8ED34"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6.3 A incapacidade como conceito jurídico-médico</w:t>
      </w:r>
    </w:p>
    <w:p w14:paraId="5EB0D92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41879159" w14:textId="77777777" w:rsidR="005A5FCC" w:rsidRDefault="00A21C81">
      <w:r>
        <w:rPr>
          <w:rFonts w:cs="EB Garamond"/>
          <w:kern w:val="16"/>
          <w14:ligatures w14:val="standardContextual"/>
        </w:rPr>
        <w:t xml:space="preserve"> avaliação da incapacidade para o trabalho envolve dimensões que transcendem o campo estritamente médico. O conceito jurídico de incapacidade, para fins previdenciários, não se confunde com o conceito clínico de doença ou deficiência. Uma pessoa pode ser portadora de doença grave e não ser incapaz para o trabalho; inversamente, pode apresentar limitações funcionais que, embora clinicamente modestas, inviabilizam o exercício de qualquer atividade laborativa disponível em seu contexto socioeconômico.</w:t>
      </w:r>
    </w:p>
    <w:p w14:paraId="08DFD78E" w14:textId="77777777" w:rsidR="005A5FCC" w:rsidRDefault="00A21C81">
      <w:pPr>
        <w:spacing w:before="260" w:after="80" w:line="240" w:lineRule="auto"/>
        <w:jc w:val="left"/>
      </w:pPr>
      <w:r>
        <w:rPr>
          <w:rFonts w:cs="EB Garamond"/>
          <w:b/>
          <w:color w:val="3A3128"/>
          <w:kern w:val="16"/>
          <w:sz w:val="25"/>
          <w14:ligatures w14:val="standardContextual"/>
        </w:rPr>
        <w:t>6.3.1 Incapacidade omniprofissional e seus limites</w:t>
      </w:r>
    </w:p>
    <w:p w14:paraId="0E5D1C5C"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2515AA9F" w14:textId="204C1108" w:rsidR="005A5FCC" w:rsidRDefault="00A21C81">
      <w:r>
        <w:rPr>
          <w:rFonts w:cs="EB Garamond"/>
          <w:kern w:val="16"/>
          <w14:ligatures w14:val="standardContextual"/>
        </w:rPr>
        <w:t xml:space="preserve"> exigência legal de incapacidade para "atividade que lhe garanta a subsistência" foi interpretada pela doutrina e jurisprudência como incapacidade omniprofissional — a impossibilidade de exercer qualquer atividade remunerada que assegure o sustento do segurado. </w:t>
      </w:r>
      <w:r w:rsidR="00A05167">
        <w:rPr>
          <w:rFonts w:cs="EB Garamond"/>
          <w:kern w:val="16"/>
          <w14:ligatures w14:val="standardContextual"/>
        </w:rPr>
        <w:t>E</w:t>
      </w:r>
      <w:r>
        <w:rPr>
          <w:rFonts w:cs="EB Garamond"/>
          <w:kern w:val="16"/>
          <w14:ligatures w14:val="standardContextual"/>
        </w:rPr>
        <w:t>sse conceito sofre temperamentos relevantes na aplicação concreta.</w:t>
      </w:r>
    </w:p>
    <w:p w14:paraId="4B3F6E40" w14:textId="77777777" w:rsidR="005A5FCC" w:rsidRDefault="00A21C81">
      <w:pPr>
        <w:ind w:firstLine="238"/>
      </w:pPr>
      <w:r>
        <w:rPr>
          <w:rFonts w:cs="EB Garamond"/>
          <w:kern w:val="16"/>
          <w14:ligatures w14:val="standardContextual"/>
        </w:rPr>
        <w:t xml:space="preserve">A incapacidade omniprofissional não exige a incapacidade para todos os atos da vida civil. O segurado aposentado por incapacidade permanente pode conservar autonomia para atividades da vida diária — alimentar-se, locomover-se, cuidar da higiene pessoal — sem que isso comprometa a percepção do benefício. O </w:t>
      </w:r>
      <w:r>
        <w:rPr>
          <w:rFonts w:cs="EB Garamond"/>
          <w:kern w:val="16"/>
          <w14:ligatures w14:val="standardContextual"/>
        </w:rPr>
        <w:lastRenderedPageBreak/>
        <w:t>que se exige é a impossibilidade de exercer atividade laborativa remunerada de forma habitual e sustentável.</w:t>
      </w:r>
    </w:p>
    <w:p w14:paraId="5B757AF2" w14:textId="77777777" w:rsidR="005A5FCC" w:rsidRDefault="00A21C81">
      <w:pPr>
        <w:ind w:firstLine="238"/>
      </w:pPr>
      <w:r>
        <w:rPr>
          <w:rFonts w:cs="EB Garamond"/>
          <w:kern w:val="16"/>
          <w14:ligatures w14:val="standardContextual"/>
        </w:rPr>
        <w:t>A jurisprudência consolidou o entendimento de que a avaliação da incapacidade deve ser contextualizada. Não se trata de verificar se o segurado pode, em abstrato, exercer alguma atividade, mas se pode, concretamente, no contexto socioeconômico em que está inserido, obter e manter trabalho remunerado. A análise abstrata, que desconsidera idade, escolaridade, experiência profissional e condições do mercado de trabalho, é insuficiente e pode conduzir a decisões injustas.</w:t>
      </w:r>
    </w:p>
    <w:p w14:paraId="44FA6CC2" w14:textId="77777777" w:rsidR="005A5FCC" w:rsidRDefault="00A21C81">
      <w:pPr>
        <w:ind w:firstLine="238"/>
      </w:pPr>
      <w:r>
        <w:rPr>
          <w:rFonts w:cs="EB Garamond"/>
          <w:kern w:val="16"/>
          <w14:ligatures w14:val="standardContextual"/>
        </w:rPr>
        <w:t>Há situações em que a incapacidade, embora parcial do ponto de vista estritamente médico, equivale funcionalmente à incapacidade total quando conjugada com as condições pessoais do segurado. É o que a doutrina denomina "incapacidade social" — a impossibilidade de reinserção laboral decorrente não apenas da limitação física ou mental, mas da combinação desta com fatores sociais adversos.</w:t>
      </w:r>
    </w:p>
    <w:p w14:paraId="562B15F5" w14:textId="77777777" w:rsidR="005A5FCC" w:rsidRDefault="00A21C81">
      <w:pPr>
        <w:spacing w:before="260" w:after="80" w:line="240" w:lineRule="auto"/>
        <w:jc w:val="left"/>
      </w:pPr>
      <w:r>
        <w:rPr>
          <w:rFonts w:cs="EB Garamond"/>
          <w:b/>
          <w:color w:val="3A3128"/>
          <w:kern w:val="16"/>
          <w:sz w:val="25"/>
          <w14:ligatures w14:val="standardContextual"/>
        </w:rPr>
        <w:t>6.3.2 Condições pessoais e sociais do segurado</w:t>
      </w:r>
    </w:p>
    <w:p w14:paraId="4DF63CC8"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7A86AA41" w14:textId="77777777" w:rsidR="005A5FCC" w:rsidRDefault="00A21C81">
      <w:r>
        <w:rPr>
          <w:rFonts w:cs="EB Garamond"/>
          <w:kern w:val="16"/>
          <w14:ligatures w14:val="standardContextual"/>
        </w:rPr>
        <w:t xml:space="preserve"> análise das condições pessoais e sociais do segurado, para fins de avaliação da incapacidade, está consolidada na jurisprudência da TNU e dos Tribunais Regionais Federais. A Súmula 47 da TNU é o marco normativo fundamental: "Uma vez reconhecida a incapacidade parcial para o trabalho, o juiz deve analisar as condições pessoais e sociais do segurado para a concessão de aposentadoria por invalidez".</w:t>
      </w:r>
    </w:p>
    <w:p w14:paraId="1B3E8B82" w14:textId="77777777" w:rsidR="005A5FCC" w:rsidRDefault="00A21C81">
      <w:pPr>
        <w:ind w:firstLine="238"/>
      </w:pPr>
      <w:r>
        <w:rPr>
          <w:rFonts w:cs="EB Garamond"/>
          <w:kern w:val="16"/>
          <w14:ligatures w14:val="standardContextual"/>
        </w:rPr>
        <w:t xml:space="preserve">Os fatores que devem ser considerados incluem: (i) a idade do segurado (quanto mais avançada, menores as chances de reinserção no mercado de trabalho); (ii) o grau de instrução (o analfabetismo ou a baixa escolaridade reduzem drasticamente as opções de emprego); (iii) a atividade habitual, pois trabalhadores braçais que perdem a capacidade física enfrentam barreiras quase intransponíveis para migrar a atividades intelectuais; (iv) o histórico profissional, uma vez que a experiência exclusiva em uma única atividade limita as alternativas; (v) as condições do mercado de trabalho na região — em áreas rurais ou em municípios com baixo dinamismo econômico, as oportunidades de emprego são escassas; e </w:t>
      </w:r>
      <w:r>
        <w:rPr>
          <w:rFonts w:cs="EB Garamond"/>
          <w:kern w:val="16"/>
          <w14:ligatures w14:val="standardContextual"/>
        </w:rPr>
        <w:lastRenderedPageBreak/>
        <w:t>(vi) o estigma social associado à doença — determinadas enfermidades geram discriminação que inviabiliza a reinserção profissional independentemente da capacidade funcional residual.</w:t>
      </w:r>
    </w:p>
    <w:tbl>
      <w:tblPr>
        <w:tblW w:w="5000" w:type="pct"/>
        <w:jc w:val="center"/>
        <w:tblLayout w:type="fixed"/>
        <w:tblLook w:val="04A0" w:firstRow="1" w:lastRow="0" w:firstColumn="1" w:lastColumn="0" w:noHBand="0" w:noVBand="1"/>
      </w:tblPr>
      <w:tblGrid>
        <w:gridCol w:w="6311"/>
      </w:tblGrid>
      <w:tr w:rsidR="005A5FCC" w14:paraId="484B4C34"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497AB27F"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031E9BCA" w14:textId="77777777" w:rsidR="005A5FCC" w:rsidRDefault="00A21C81">
            <w:pPr>
              <w:spacing w:after="60" w:line="247" w:lineRule="auto"/>
            </w:pPr>
            <w:r>
              <w:rPr>
                <w:rFonts w:cs="EB Garamond"/>
                <w:kern w:val="16"/>
                <w:sz w:val="19"/>
                <w14:ligatures w14:val="standardContextual"/>
              </w:rPr>
              <w:t>Na elaboração de quesitos para a perícia judicial, o advogado previdenciarista deve formular perguntas que permitam ao magistrado avaliar não apenas a dimensão médica da incapacidade, mas também sua dimensão social. Exemplos de quesitos relevantes: "Considerando a idade, escolaridade e atividade habitual do periciando, é possível sua reabilitação para outra atividade que lhe garanta a subsistência?"; "A doença diagnosticada gera estigma social que dificulta a reinserção profissional?"; "O periciando necessita de assistência permanente de terceiro para os atos da vida diária?". Esses quesitos, quando bem formulados, fornecem ao magistrado elementos para a aplicação da Súmula 47 da TNU.</w:t>
            </w:r>
          </w:p>
        </w:tc>
      </w:tr>
    </w:tbl>
    <w:p w14:paraId="0BB74D19" w14:textId="77777777" w:rsidR="005A5FCC" w:rsidRDefault="005A5FCC">
      <w:pPr>
        <w:spacing w:after="80" w:line="240" w:lineRule="auto"/>
      </w:pPr>
    </w:p>
    <w:p w14:paraId="12157946" w14:textId="21FC75C6" w:rsidR="005A5FCC" w:rsidRDefault="00A21C81">
      <w:pPr>
        <w:spacing w:before="260" w:after="80" w:line="240" w:lineRule="auto"/>
        <w:jc w:val="left"/>
      </w:pPr>
      <w:r>
        <w:rPr>
          <w:rFonts w:cs="EB Garamond"/>
          <w:b/>
          <w:color w:val="3A3128"/>
          <w:kern w:val="16"/>
          <w:sz w:val="25"/>
          <w14:ligatures w14:val="standardContextual"/>
        </w:rPr>
        <w:t xml:space="preserve">6.3.3 Doenças estigmatizantes e o </w:t>
      </w:r>
      <w:r w:rsidR="00A05167">
        <w:rPr>
          <w:rFonts w:cs="EB Garamond"/>
          <w:b/>
          <w:color w:val="3A3128"/>
          <w:kern w:val="16"/>
          <w:sz w:val="25"/>
          <w14:ligatures w14:val="standardContextual"/>
        </w:rPr>
        <w:t>T</w:t>
      </w:r>
      <w:r>
        <w:rPr>
          <w:rFonts w:cs="EB Garamond"/>
          <w:b/>
          <w:color w:val="3A3128"/>
          <w:kern w:val="16"/>
          <w:sz w:val="25"/>
          <w14:ligatures w14:val="standardContextual"/>
        </w:rPr>
        <w:t>ema 274 da TNU</w:t>
      </w:r>
    </w:p>
    <w:p w14:paraId="5CDA26F4"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38154525" w14:textId="77777777" w:rsidR="005A5FCC" w:rsidRDefault="00A21C81">
      <w:r>
        <w:rPr>
          <w:rFonts w:cs="EB Garamond"/>
          <w:kern w:val="16"/>
          <w14:ligatures w14:val="standardContextual"/>
        </w:rPr>
        <w:t xml:space="preserve"> TNU, no Tema 274 (PEDILEF 0512288-77.2017.4.05.8300), estendeu a todas as doenças estigmatizantes a lógica antes restrita ao HIV (Súmula 78/TNU): é possível a concessão de aposentadoria por incapacidade permanente, após análise das condições pessoais, sociais, econômicas e culturais, quando houver incapacidade parcial e permanente combinada com doença que impacte negativamente a funcionalidade social do segurado.</w:t>
      </w:r>
    </w:p>
    <w:p w14:paraId="230A6280" w14:textId="77777777" w:rsidR="005A5FCC" w:rsidRDefault="00A21C81">
      <w:pPr>
        <w:ind w:firstLine="238"/>
      </w:pPr>
      <w:r>
        <w:rPr>
          <w:rFonts w:cs="EB Garamond"/>
          <w:kern w:val="16"/>
          <w14:ligatures w14:val="standardContextual"/>
        </w:rPr>
        <w:t>Até o julgamento do Tema 274, a concessão de aposentadoria por incapacidade permanente diante de incapacidade parcial e doença estigmatizante estava consolidada apenas para portadores de HIV (Súmula 78/TNU). O Tema 274 estendeu essa lógica a todas as doenças estigmatizantes — hanseníase, transtornos mentais graves, deformidades físicas visíveis, entre outras.</w:t>
      </w:r>
    </w:p>
    <w:p w14:paraId="60719BF8" w14:textId="77777777" w:rsidR="005A5FCC" w:rsidRDefault="00A21C81">
      <w:pPr>
        <w:ind w:firstLine="238"/>
      </w:pPr>
      <w:r>
        <w:rPr>
          <w:rFonts w:cs="EB Garamond"/>
          <w:kern w:val="16"/>
          <w14:ligatures w14:val="standardContextual"/>
        </w:rPr>
        <w:t xml:space="preserve">A aplicação do Tema 274 exige do magistrado uma análise multidimensional da incapacidade. Não se trata de presumir a incapacidade total a partir do diagnóstico de doença estigmatizante, mas de avaliar concretamente se o estigma social associado à enfermidade, conjugado com as demais condições pessoais do segurado, inviabiliza sua reinserção no mercado de trabalho. A análise deve ser </w:t>
      </w:r>
      <w:r>
        <w:rPr>
          <w:rFonts w:cs="EB Garamond"/>
          <w:kern w:val="16"/>
          <w14:ligatures w14:val="standardContextual"/>
        </w:rPr>
        <w:lastRenderedPageBreak/>
        <w:t>fundamentada em elementos de prova — relatórios médicos, laudos psicossociais, informações sobre o mercado de trabalho local — e não em presunções genéricas. A aplicação do Tema 274 no contexto do auxílio por incapacidade temporária é examinada no Cap. 7, seção 7.16.</w:t>
      </w:r>
    </w:p>
    <w:p w14:paraId="01796046" w14:textId="77777777" w:rsidR="005A5FCC" w:rsidRDefault="00A21C81">
      <w:pPr>
        <w:spacing w:before="260" w:after="80" w:line="240" w:lineRule="auto"/>
        <w:jc w:val="left"/>
      </w:pPr>
      <w:r>
        <w:rPr>
          <w:rFonts w:cs="EB Garamond"/>
          <w:b/>
          <w:color w:val="3A3128"/>
          <w:kern w:val="16"/>
          <w:sz w:val="25"/>
          <w14:ligatures w14:val="standardContextual"/>
        </w:rPr>
        <w:t>6.3.4 Doença preexistente: DID e DII</w:t>
      </w:r>
    </w:p>
    <w:p w14:paraId="286F157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4897BE11" w14:textId="77777777" w:rsidR="005A5FCC" w:rsidRDefault="00A21C81">
      <w:r>
        <w:rPr>
          <w:rFonts w:cs="EB Garamond"/>
          <w:kern w:val="16"/>
          <w14:ligatures w14:val="standardContextual"/>
        </w:rPr>
        <w:t xml:space="preserve"> questão da doença preexistente à filiação ou ao reingresso no RGPS é disciplinada pelo § 2º do art. 42 da Lei 8.213/91: "A doença ou lesão de que o segurado já era portador ao filiar-se ao Regime Geral de Previdência Social não lhe conferirá direito à aposentadoria por incapacidade permanente, salvo quando a incapacidade sobrevier por motivo de progressão ou agravamento dessa doença ou lesão". A regra visa impedir a fraude — o ingresso no sistema previdenciário por pessoa já incapaz, com o propósito exclusivo de obter benefício — mas comporta exceção relevante: se a doença existia antes da filiação, mas a incapacidade sobreveio após, por progressão ou agravamento, o benefício é devido.</w:t>
      </w:r>
    </w:p>
    <w:p w14:paraId="006361DE" w14:textId="77777777" w:rsidR="005A5FCC" w:rsidRDefault="00A21C81">
      <w:pPr>
        <w:ind w:firstLine="238"/>
      </w:pPr>
      <w:r>
        <w:rPr>
          <w:rFonts w:cs="EB Garamond"/>
          <w:kern w:val="16"/>
          <w14:ligatures w14:val="standardContextual"/>
        </w:rPr>
        <w:t>A operacionalização dessa regra exige a fixação precisa de duas datas: a Data de Início da Doença (DID) e a Data de Início da Incapacidade (DII). A DID marca o surgimento da enfermidade; a DII, o momento em que a enfermidade passou a gerar incapacidade laborativa. Se ambas as datas são anteriores à filiação, o benefício é negado. Se a DID é anterior à filiação mas a DII é posterior, o benefício pode ser concedido, desde que a incapacidade decorra de progressão ou agravamento e não da mera continuidade do mesmo quadro clínico que já existia.</w:t>
      </w:r>
    </w:p>
    <w:p w14:paraId="7FAE289C" w14:textId="77777777" w:rsidR="005A5FCC" w:rsidRDefault="00A21C81">
      <w:pPr>
        <w:ind w:firstLine="238"/>
      </w:pPr>
      <w:r>
        <w:rPr>
          <w:rFonts w:cs="EB Garamond"/>
          <w:kern w:val="16"/>
          <w14:ligatures w14:val="standardContextual"/>
        </w:rPr>
        <w:t>A Súmula 53 da TNU sintetiza: "Não há direito a auxílio por incapacidade temporária ou a aposentadoria por incapacidade permanente quando a incapacidade para o trabalho é preexistente ao reingresso do segurado no Regime Geral de Previdência Social". Essa súmula deve ser lida em conjunto com o § 2º do art. 42: a vedação se aplica quando a incapacidade, e não apenas a doença, é preexistente. Se houve progressão real da doença que gerou nova incapacidade ou agravamento da incapacidade preexistente, o segurado faz jus ao benefício, desde que cumpridos os demais requisitos.</w:t>
      </w:r>
    </w:p>
    <w:p w14:paraId="5758D3E5" w14:textId="3BBF4576" w:rsidR="005A5FCC" w:rsidRDefault="00A21C81">
      <w:pPr>
        <w:spacing w:before="260" w:after="80" w:line="240" w:lineRule="auto"/>
        <w:jc w:val="left"/>
      </w:pPr>
      <w:r>
        <w:rPr>
          <w:rFonts w:cs="EB Garamond"/>
          <w:b/>
          <w:color w:val="3A3128"/>
          <w:kern w:val="16"/>
          <w:sz w:val="25"/>
          <w14:ligatures w14:val="standardContextual"/>
        </w:rPr>
        <w:t xml:space="preserve">6.3.5 O modelo biopsicossocial e a </w:t>
      </w:r>
      <w:r w:rsidR="00A05167">
        <w:rPr>
          <w:rFonts w:cs="EB Garamond"/>
          <w:b/>
          <w:color w:val="3A3128"/>
          <w:kern w:val="16"/>
          <w:sz w:val="25"/>
          <w14:ligatures w14:val="standardContextual"/>
        </w:rPr>
        <w:t>C</w:t>
      </w:r>
      <w:r>
        <w:rPr>
          <w:rFonts w:cs="EB Garamond"/>
          <w:b/>
          <w:color w:val="3A3128"/>
          <w:kern w:val="16"/>
          <w:sz w:val="25"/>
          <w14:ligatures w14:val="standardContextual"/>
        </w:rPr>
        <w:t xml:space="preserve">lassificação </w:t>
      </w:r>
      <w:r w:rsidR="00A05167">
        <w:rPr>
          <w:rFonts w:cs="EB Garamond"/>
          <w:b/>
          <w:color w:val="3A3128"/>
          <w:kern w:val="16"/>
          <w:sz w:val="25"/>
          <w14:ligatures w14:val="standardContextual"/>
        </w:rPr>
        <w:t>I</w:t>
      </w:r>
      <w:r>
        <w:rPr>
          <w:rFonts w:cs="EB Garamond"/>
          <w:b/>
          <w:color w:val="3A3128"/>
          <w:kern w:val="16"/>
          <w:sz w:val="25"/>
          <w14:ligatures w14:val="standardContextual"/>
        </w:rPr>
        <w:t xml:space="preserve">nternacional de </w:t>
      </w:r>
      <w:r w:rsidR="00A05167">
        <w:rPr>
          <w:rFonts w:cs="EB Garamond"/>
          <w:b/>
          <w:color w:val="3A3128"/>
          <w:kern w:val="16"/>
          <w:sz w:val="25"/>
          <w14:ligatures w14:val="standardContextual"/>
        </w:rPr>
        <w:t>F</w:t>
      </w:r>
      <w:r>
        <w:rPr>
          <w:rFonts w:cs="EB Garamond"/>
          <w:b/>
          <w:color w:val="3A3128"/>
          <w:kern w:val="16"/>
          <w:sz w:val="25"/>
          <w14:ligatures w14:val="standardContextual"/>
        </w:rPr>
        <w:t>uncionalidade (CIF)</w:t>
      </w:r>
    </w:p>
    <w:p w14:paraId="05C5DDB9"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A</w:t>
      </w:r>
    </w:p>
    <w:p w14:paraId="12D7BA68" w14:textId="77777777" w:rsidR="005A5FCC" w:rsidRDefault="00A21C81">
      <w:r>
        <w:rPr>
          <w:rFonts w:cs="EB Garamond"/>
          <w:kern w:val="16"/>
          <w14:ligatures w14:val="standardContextual"/>
        </w:rPr>
        <w:t xml:space="preserve"> avaliação da incapacidade para o trabalho no direito previdenciário brasileiro tem sido progressivamente influenciada pelo modelo biopsicossocial, cujo marco normativo internacional é a Classificação Internacional de Funcionalidade, Incapacidade e Saúde (CIF), adotada pela Organização Mundial da Saúde em 2001.</w:t>
      </w:r>
    </w:p>
    <w:p w14:paraId="7916E418" w14:textId="77777777" w:rsidR="005A5FCC" w:rsidRDefault="00A21C81">
      <w:pPr>
        <w:ind w:firstLine="238"/>
      </w:pPr>
      <w:r>
        <w:rPr>
          <w:rFonts w:cs="EB Garamond"/>
          <w:kern w:val="16"/>
          <w14:ligatures w14:val="standardContextual"/>
        </w:rPr>
        <w:t>O modelo biomédico tradicional, centrado exclusivamente na doença e na lesão orgânica, avalia a incapacidade como atributo individual do paciente: ou o corpo funciona adequadamente, ou não funciona. O modelo biopsicossocial rompe com essa lógica ao conceber a incapacidade como resultado da interação entre fatores biológicos (a doença ou lesão), fatores pessoais (idade, escolaridade, experiência profissional) e fatores ambientais (barreiras físicas, atitudinais, socioeconômicas e institucionais). A incapacidade, nessa perspectiva, não é propriedade exclusiva do indivíduo, mas produto da relação entre o indivíduo e o seu contexto.</w:t>
      </w:r>
    </w:p>
    <w:p w14:paraId="7E397562" w14:textId="77777777" w:rsidR="005A5FCC" w:rsidRDefault="00A21C81">
      <w:pPr>
        <w:ind w:firstLine="238"/>
      </w:pPr>
      <w:r>
        <w:rPr>
          <w:rFonts w:cs="EB Garamond"/>
          <w:kern w:val="16"/>
          <w14:ligatures w14:val="standardContextual"/>
        </w:rPr>
        <w:t>A CIF organiza a avaliação da funcionalidade em torno de componentes interconectados: funções e estruturas do corpo (dimensão biológica), atividades e participação (dimensão individual e social) e fatores contextuais (ambientais e pessoais). Uma pessoa com amputação de membro inferior pode ser funcionalmente capaz em um ambiente urbano com acessibilidade adequada e emprego sedentário, e funcionalmente incapaz em ambiente rural sem pavimentação, onde a atividade laborativa disponível é exclusivamente braçal. A CIF permite capturar essa variação contextual, que o modelo biomédico puro ignora.</w:t>
      </w:r>
    </w:p>
    <w:p w14:paraId="7D593CCA" w14:textId="77777777" w:rsidR="005A5FCC" w:rsidRDefault="00A21C81">
      <w:pPr>
        <w:ind w:firstLine="238"/>
      </w:pPr>
      <w:r>
        <w:rPr>
          <w:rFonts w:cs="EB Garamond"/>
          <w:kern w:val="16"/>
          <w14:ligatures w14:val="standardContextual"/>
        </w:rPr>
        <w:t xml:space="preserve">No direito brasileiro, o modelo biopsicossocial encontra positivação expressa na Lei Brasileira de Inclusão (Lei n. 13.146/2015), cujo art. 2º define pessoa com deficiência como "aquela que tem impedimento de longo prazo de natureza física, mental, intelectual ou sensorial, o qual, em interação com uma ou mais barreiras, pode obstruir sua participação plena e efetiva na sociedade em igualdade de condições com as demais pessoas". A avaliação biopsicossocial da deficiência é realizada por equipe multiprofissional e interdisciplinar, nos termos do Decreto n. 6.214/2007 (regulamento do BPC) e do Decreto 11.063/2022 (que instituiu o modelo unificado de avaliação biopsicossocial), que regulamentam o instrumento de avaliação para fins de BPC. O Índice de Funcionalidade Brasileiro Modificado (IFBr-M) operacionaliza essa avaliação, organizando-a em sete domínios: </w:t>
      </w:r>
      <w:r>
        <w:rPr>
          <w:rFonts w:cs="EB Garamond"/>
          <w:kern w:val="16"/>
          <w14:ligatures w14:val="standardContextual"/>
        </w:rPr>
        <w:lastRenderedPageBreak/>
        <w:t>sensorial, comunicação, mobilidade, cuidados pessoais, vida doméstica, educação/trabalho/vida econômica e socialização/vida comunitária.</w:t>
      </w:r>
    </w:p>
    <w:p w14:paraId="637E0BE4" w14:textId="77777777" w:rsidR="005A5FCC" w:rsidRDefault="00A21C81">
      <w:pPr>
        <w:ind w:firstLine="238"/>
      </w:pPr>
      <w:r>
        <w:rPr>
          <w:rFonts w:cs="EB Garamond"/>
          <w:kern w:val="16"/>
          <w14:ligatures w14:val="standardContextual"/>
        </w:rPr>
        <w:t>Embora o IFBr-M seja formalmente aplicável à avaliação da deficiência para fins de BPC (v. Cap. 18), e não diretamente à avaliação da incapacidade para fins de aposentadoria por incapacidade permanente, a lógica biopsicossocial subjacente irradia efeitos sobre a perícia previdenciária. Sustentamos que a avaliação da incapacidade laborativa, mesmo quando não adota formalmente o instrumento do IFBr-M, deve incorporar a perspectiva biopsicossocial ao considerar fatores ambientais e pessoais — exatamente o que a jurisprudência da TNU já exige, ao determinar a análise das condições pessoais e sociais do segurado (Súmula 47) e ao reconhecer o impacto funcional das doenças estigmatizantes (Tema 274).</w:t>
      </w:r>
    </w:p>
    <w:p w14:paraId="759B0311" w14:textId="77777777" w:rsidR="005A5FCC" w:rsidRDefault="00A21C81">
      <w:pPr>
        <w:ind w:firstLine="238"/>
      </w:pPr>
      <w:r>
        <w:rPr>
          <w:rFonts w:cs="EB Garamond"/>
          <w:kern w:val="16"/>
          <w14:ligatures w14:val="standardContextual"/>
        </w:rPr>
        <w:t>A convergência entre a Súmula 47/TNU, o Tema 274/TNU e o modelo biopsicossocial da CIF revela que a jurisprudência previdenciária brasileira já incorporou, na prática, os postulados centrais desse modelo — ainda que a legislação previdenciária stricto sensu não tenha formalizado sua adoção para benefícios por incapacidade. A tendência é de progressiva aproximação, como demonstra a evolução normativa em matéria de BPC e a influência crescente da CIF nos protocolos de avaliação pericial do INSS.</w:t>
      </w:r>
    </w:p>
    <w:tbl>
      <w:tblPr>
        <w:tblW w:w="5000" w:type="pct"/>
        <w:jc w:val="center"/>
        <w:tblLayout w:type="fixed"/>
        <w:tblLook w:val="04A0" w:firstRow="1" w:lastRow="0" w:firstColumn="1" w:lastColumn="0" w:noHBand="0" w:noVBand="1"/>
      </w:tblPr>
      <w:tblGrid>
        <w:gridCol w:w="6311"/>
      </w:tblGrid>
      <w:tr w:rsidR="005A5FCC" w14:paraId="2CA62410"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56D189D4"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3FA15E29" w14:textId="77777777" w:rsidR="005A5FCC" w:rsidRDefault="00A21C81">
            <w:pPr>
              <w:spacing w:after="60" w:line="247" w:lineRule="auto"/>
            </w:pPr>
            <w:r>
              <w:rPr>
                <w:rFonts w:cs="EB Garamond"/>
                <w:kern w:val="16"/>
                <w:sz w:val="19"/>
                <w14:ligatures w14:val="standardContextual"/>
              </w:rPr>
              <w:t>Na formulação de quesitos periciais, o advogado pode incorporar a perspectiva biopsicossocial com perguntas como: "Considerando as barreiras ambientais e sociais no contexto de vida do periciando (especificar: rural/urbano, acessibilidade, oferta de emprego local), as limitações funcionais identificadas comprometem sua participação efetiva no mercado de trabalho?"; "A interação entre as limitações funcionais do periciando e os fatores ambientais de seu contexto (especificar) resulta em restrição de atividade ou de participação social que inviabilize o exercício de atividade laborativa?". Quesitos assim formulados permitem ao perito ir além do diagnóstico clínico e avaliar a funcionalidade no contexto real do segurado — exatamente o que a Súmula 47 da TNU exige do magistrado na sentença.</w:t>
            </w:r>
          </w:p>
        </w:tc>
      </w:tr>
    </w:tbl>
    <w:p w14:paraId="7CC23321" w14:textId="77777777" w:rsidR="005A5FCC" w:rsidRDefault="005A5FCC">
      <w:pPr>
        <w:spacing w:after="80" w:line="240" w:lineRule="auto"/>
      </w:pPr>
    </w:p>
    <w:p w14:paraId="41307778"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6.4 O laudo pericial e sua valoração</w:t>
      </w:r>
    </w:p>
    <w:p w14:paraId="7B640172"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46985DDC" w14:textId="77777777" w:rsidR="005A5FCC" w:rsidRDefault="00A21C81">
      <w:r>
        <w:rPr>
          <w:rFonts w:cs="EB Garamond"/>
          <w:kern w:val="16"/>
          <w14:ligatures w14:val="standardContextual"/>
        </w:rPr>
        <w:t xml:space="preserve"> prova pericial é o elemento central da instrução processual nas ações de aposentadoria por incapacidade permanente. A verificação da incapacidade depende de conhecimento técnico especializado, o que torna a perícia médica judicial instrumento processual indispensável. O CPC/2015 disciplina a prova pericial nos arts. 464 a 480, aplicáveis subsidiariamente ao procedimento dos JEFs (art. 1º da Lei 9.099/95 c/c art. 1º da Lei 10.259/2001).</w:t>
      </w:r>
    </w:p>
    <w:p w14:paraId="5E55AD0B" w14:textId="77777777" w:rsidR="005A5FCC" w:rsidRDefault="00A21C81">
      <w:pPr>
        <w:spacing w:before="260" w:after="80" w:line="240" w:lineRule="auto"/>
        <w:jc w:val="left"/>
      </w:pPr>
      <w:r>
        <w:rPr>
          <w:rFonts w:cs="EB Garamond"/>
          <w:b/>
          <w:color w:val="3A3128"/>
          <w:kern w:val="16"/>
          <w:sz w:val="25"/>
          <w14:ligatures w14:val="standardContextual"/>
        </w:rPr>
        <w:t>6.4.1 Perícia médica judicial: natureza e finalidade</w:t>
      </w:r>
    </w:p>
    <w:p w14:paraId="17DC5CF5"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7BE6F44C" w14:textId="77777777" w:rsidR="005A5FCC" w:rsidRDefault="00A21C81">
      <w:r>
        <w:rPr>
          <w:rFonts w:cs="EB Garamond"/>
          <w:kern w:val="16"/>
          <w14:ligatures w14:val="standardContextual"/>
        </w:rPr>
        <w:t xml:space="preserve"> perícia médica judicial é meio de prova técnica destinada a auxiliar o juiz na formação de sua convicção sobre questões que demandam conhecimento especializado. A perícia nos feitos previdenciários assume papel central na formação do convencimento judicial, dada a natureza eminentemente técnica da controvérsia sobre a incapacidade. No contexto previdenciário, a perícia tem por finalidade responder a três perguntas fundamentais: (i) o periciando é portador de doença ou lesão? (ii) em caso positivo, essa doença ou lesão gera incapacidade para o trabalho? (iii) a incapacidade é total ou parcial, temporária ou permanente?</w:t>
      </w:r>
    </w:p>
    <w:p w14:paraId="66370AE2" w14:textId="77777777" w:rsidR="005A5FCC" w:rsidRDefault="00A21C81">
      <w:pPr>
        <w:ind w:firstLine="238"/>
      </w:pPr>
      <w:r>
        <w:rPr>
          <w:rFonts w:cs="EB Garamond"/>
          <w:kern w:val="16"/>
          <w14:ligatures w14:val="standardContextual"/>
        </w:rPr>
        <w:t>Nos JEFs, a perícia médica é realizada por perito único nomeado pelo juiz, nos termos do art. 12, § 1º, da Lei 10.259/2001. Não há assistente técnico das partes no procedimento sumaríssimo, embora o segurado possa apresentar atestados, laudos e exames complementares que integrarão o conjunto probatório. O perito é remunerado pelo Poder Público (art. 12, § 1º), e sua nomeação deve recair preferencialmente sobre profissional habilitado na especialidade médica pertinente à doença ou lesão investigada.</w:t>
      </w:r>
    </w:p>
    <w:p w14:paraId="68A962EE" w14:textId="77777777" w:rsidR="005A5FCC" w:rsidRDefault="00A21C81">
      <w:pPr>
        <w:ind w:firstLine="238"/>
      </w:pPr>
      <w:r>
        <w:rPr>
          <w:rFonts w:cs="EB Garamond"/>
          <w:kern w:val="16"/>
          <w14:ligatures w14:val="standardContextual"/>
        </w:rPr>
        <w:t>A Lei 8.213/91, em seu art. 42, § 1º, prevê que "a concessão de aposentadoria por incapacidade permanente dependerá da verificação da condição de incapacidade mediante exame médico-pericial a cargo da Previdência Social, podendo o segurado, às suas expensas, fazer-se acompanhar de médico de sua confiança". Essa regra refere-se à perícia administrativa do INSS, não à perícia judicial. No âmbito dos JEFs, o perito é nomeado pelo juiz e atua com independência funcional em relação tanto ao INSS quanto ao segurado.</w:t>
      </w:r>
    </w:p>
    <w:p w14:paraId="454534B4" w14:textId="77777777" w:rsidR="005A5FCC" w:rsidRDefault="00A21C81">
      <w:pPr>
        <w:spacing w:before="260" w:after="80" w:line="240" w:lineRule="auto"/>
        <w:jc w:val="left"/>
      </w:pPr>
      <w:r>
        <w:rPr>
          <w:rFonts w:cs="EB Garamond"/>
          <w:b/>
          <w:color w:val="3A3128"/>
          <w:kern w:val="16"/>
          <w:sz w:val="25"/>
          <w14:ligatures w14:val="standardContextual"/>
        </w:rPr>
        <w:lastRenderedPageBreak/>
        <w:t>6.4.2 Quesitos do juízo e das partes</w:t>
      </w:r>
    </w:p>
    <w:p w14:paraId="0B03BAFB"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2928DDA4" w14:textId="77777777" w:rsidR="005A5FCC" w:rsidRDefault="00A21C81">
      <w:r>
        <w:rPr>
          <w:rFonts w:cs="EB Garamond"/>
          <w:kern w:val="16"/>
          <w14:ligatures w14:val="standardContextual"/>
        </w:rPr>
        <w:t xml:space="preserve"> formulação de quesitos adequados é determinante para a qualidade da prova pericial. Os JEFs tipicamente utilizam quesitos padronizados que abrangem: (i) identificação da doença ou lesão; (ii) data provável de início da doença; (iii) data de início da incapacidade; (iv) grau de incapacidade (total ou parcial); (v) duração provável da incapacidade (temporária ou permanente); (vi) possibilidade de reabilitação para outra atividade; (vii) necessidade de assistência permanente de terceiro.</w:t>
      </w:r>
    </w:p>
    <w:p w14:paraId="1FCBA7BC" w14:textId="77777777" w:rsidR="005A5FCC" w:rsidRDefault="00A21C81">
      <w:pPr>
        <w:ind w:firstLine="238"/>
      </w:pPr>
      <w:r>
        <w:rPr>
          <w:rFonts w:cs="EB Garamond"/>
          <w:kern w:val="16"/>
          <w14:ligatures w14:val="standardContextual"/>
        </w:rPr>
        <w:t>Os quesitos das partes complementam os do juízo e devem ser direcionados às questões controvertidas do caso concreto. O advogado do segurado deve formular quesitos que explorem: (a) a relação entre a doença e as atividades habitualmente exercidas; (b) o impacto das condições pessoais na possibilidade de reabilitação; (c) a existência de doença estigmatizante; (d) a evolução temporal da doença e da incapacidade (DID/DII); (e) a necessidade de tratamento contínuo e seus efeitos colaterais; e (f) o prognóstico médico.</w:t>
      </w:r>
    </w:p>
    <w:tbl>
      <w:tblPr>
        <w:tblW w:w="5000" w:type="pct"/>
        <w:jc w:val="center"/>
        <w:tblLayout w:type="fixed"/>
        <w:tblLook w:val="04A0" w:firstRow="1" w:lastRow="0" w:firstColumn="1" w:lastColumn="0" w:noHBand="0" w:noVBand="1"/>
      </w:tblPr>
      <w:tblGrid>
        <w:gridCol w:w="6311"/>
      </w:tblGrid>
      <w:tr w:rsidR="005A5FCC" w14:paraId="736EFBF2"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62EE91E4"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755FB350" w14:textId="77777777" w:rsidR="005A5FCC" w:rsidRDefault="00A21C81">
            <w:pPr>
              <w:spacing w:after="60" w:line="247" w:lineRule="auto"/>
            </w:pPr>
            <w:r>
              <w:rPr>
                <w:rFonts w:cs="EB Garamond"/>
                <w:kern w:val="16"/>
                <w:sz w:val="19"/>
                <w14:ligatures w14:val="standardContextual"/>
              </w:rPr>
              <w:t>Modelo de quesitos complementares para o segurado: "1. Qual a doença ou lesão diagnosticada e qual o CID-10 correspondente? 2. A doença é progressiva ou estável? 3. Há necessidade de tratamento contínuo? Em caso positivo, os medicamentos utilizados possuem efeitos colaterais que limitam a atividade laborativa? 4. Considerando a idade do periciando (informar), sua escolaridade (informar) e sua atividade habitual (informar), é viável a reabilitação para outra atividade profissional? 5. A doença diagnosticada encontra-se no rol de doenças que dispensam carência (art. 26, II, da Lei 8.213/91, c/c Portaria Interministerial MTP/MS 22/2022, Anexo II)? 6. A incapacidade é compatível com o exercício de alguma atividade remunerada, ainda que diversa da habitual? 7. O periciando necessita de assistência permanente de outra pessoa para os atos da vida diária?"</w:t>
            </w:r>
          </w:p>
        </w:tc>
      </w:tr>
    </w:tbl>
    <w:p w14:paraId="03C464BC" w14:textId="77777777" w:rsidR="005A5FCC" w:rsidRDefault="005A5FCC">
      <w:pPr>
        <w:spacing w:after="80" w:line="240" w:lineRule="auto"/>
      </w:pPr>
    </w:p>
    <w:p w14:paraId="2059307A" w14:textId="77777777" w:rsidR="005A5FCC" w:rsidRDefault="00A21C81">
      <w:pPr>
        <w:spacing w:before="260" w:after="80" w:line="240" w:lineRule="auto"/>
        <w:jc w:val="left"/>
      </w:pPr>
      <w:r>
        <w:rPr>
          <w:rFonts w:cs="EB Garamond"/>
          <w:b/>
          <w:color w:val="3A3128"/>
          <w:kern w:val="16"/>
          <w:sz w:val="25"/>
          <w14:ligatures w14:val="standardContextual"/>
        </w:rPr>
        <w:t>6.4.3 Valor probante do laudo e livre convicção motivada</w:t>
      </w:r>
    </w:p>
    <w:p w14:paraId="18A58A4B"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21B72E26" w14:textId="77777777" w:rsidR="005A5FCC" w:rsidRDefault="00A21C81">
      <w:r>
        <w:rPr>
          <w:rFonts w:cs="EB Garamond"/>
          <w:kern w:val="16"/>
          <w14:ligatures w14:val="standardContextual"/>
        </w:rPr>
        <w:t xml:space="preserve"> laudo pericial não vincula o juiz. O princípio da livre convicção motivada (art. 371 do CPC/2015) autoriza o magistrado a acolher total ou parcial</w:t>
      </w:r>
      <w:r>
        <w:rPr>
          <w:rFonts w:cs="EB Garamond"/>
          <w:kern w:val="16"/>
          <w14:ligatures w14:val="standardContextual"/>
        </w:rPr>
        <w:lastRenderedPageBreak/>
        <w:t>mente as conclusões do perito, ou delas divergir com fundamentação adequada. A divergência do laudo pericial exige, porém, motivação robusta — o juiz não pode simplesmente desconsiderar a conclusão do perito sem indicar os elementos de prova que sustentam sua decisão divergente.</w:t>
      </w:r>
    </w:p>
    <w:p w14:paraId="0B72258D" w14:textId="77777777" w:rsidR="005A5FCC" w:rsidRDefault="00A21C81">
      <w:pPr>
        <w:ind w:firstLine="238"/>
      </w:pPr>
      <w:r>
        <w:rPr>
          <w:rFonts w:cs="EB Garamond"/>
          <w:kern w:val="16"/>
          <w14:ligatures w14:val="standardContextual"/>
        </w:rPr>
        <w:t>Na prática dos JEFs, a divergência entre o laudo pericial e a convicção do juiz ocorre tipicamente em três cenários. No primeiro, o perito conclui pela ausência de incapacidade, mas os documentos médicos juntados pelo segurado (atestados, prontuários, exames complementares) indicam quadro clínico incompatível com a conclusão pericial. No segundo, o perito reconhece incapacidade parcial, mas as condições pessoais e sociais do segurado, analisadas à luz da Súmula 47 da TNU, conduzem à conclusão de incapacidade equivalente à total. No terceiro, o perito fixa a DII em data incompatível com a documentação médica constante dos autos.</w:t>
      </w:r>
    </w:p>
    <w:p w14:paraId="3517391D" w14:textId="77777777" w:rsidR="005A5FCC" w:rsidRDefault="00A21C81">
      <w:pPr>
        <w:ind w:firstLine="238"/>
      </w:pPr>
      <w:r>
        <w:rPr>
          <w:rFonts w:cs="EB Garamond"/>
          <w:kern w:val="16"/>
          <w14:ligatures w14:val="standardContextual"/>
        </w:rPr>
        <w:t>O STJ, no julgamento do Tema 1.246 (REsp 2.082.395/SP, Primeira Seção, j. 13/11/2024), fixou, sob o rito dos recursos repetitivos, a tese de que "é inadmissível recurso especial interposto para rediscutir as conclusões do acórdão recorrido quanto ao preenchimento, em caso concreto em que se controverte quanto a benefício por incapacidade (aposentadoria por invalidez, auxílio-doença ou auxílio-acidente), do requisito legal da incapacidade do segurado para o exercício de atividade laborativa, seja pela vertente de sua existência, de sua extensão (total ou parcial) e/ou de sua duração (temporária ou permanente)". A inadmissibilidade abrange, assim, tanto o reconhecimento da incapacidade em si quanto a sua extensão (total ou parcial) e a sua duração (temporária ou permanente). Trata-se, no fundo, da consolidação do óbice da Súmula 7/STJ em tese vinculante: a valoração da prova pericial fica concentrada nas instâncias ordinárias (JEF e Turma Recursal, ou primeiro e segundo graus na Justiça comum).</w:t>
      </w:r>
    </w:p>
    <w:tbl>
      <w:tblPr>
        <w:tblW w:w="5000" w:type="pct"/>
        <w:jc w:val="center"/>
        <w:tblLayout w:type="fixed"/>
        <w:tblLook w:val="04A0" w:firstRow="1" w:lastRow="0" w:firstColumn="1" w:lastColumn="0" w:noHBand="0" w:noVBand="1"/>
      </w:tblPr>
      <w:tblGrid>
        <w:gridCol w:w="6311"/>
      </w:tblGrid>
      <w:tr w:rsidR="005A5FCC" w14:paraId="3A89CE08"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56F6CB6D" w14:textId="77777777" w:rsidR="005A5FCC" w:rsidRDefault="00A21C81">
            <w:pPr>
              <w:spacing w:after="60" w:line="240" w:lineRule="auto"/>
              <w:jc w:val="left"/>
            </w:pPr>
            <w:r>
              <w:rPr>
                <w:rFonts w:ascii="Noto Sans" w:hAnsi="Noto Sans" w:cs="Noto Sans"/>
                <w:b/>
                <w:caps/>
                <w:color w:val="B78B37"/>
                <w:kern w:val="16"/>
                <w:sz w:val="16"/>
                <w14:ligatures w14:val="standardContextual"/>
              </w:rPr>
              <w:lastRenderedPageBreak/>
              <w:t>ATENÇÃO</w:t>
            </w:r>
          </w:p>
          <w:p w14:paraId="54E6EFC9" w14:textId="77777777" w:rsidR="005A5FCC" w:rsidRDefault="00A21C81">
            <w:pPr>
              <w:spacing w:after="60" w:line="247" w:lineRule="auto"/>
            </w:pPr>
            <w:r>
              <w:rPr>
                <w:rFonts w:cs="EB Garamond"/>
                <w:kern w:val="16"/>
                <w:sz w:val="19"/>
                <w14:ligatures w14:val="standardContextual"/>
              </w:rPr>
              <w:t>O laudo pericial do INSS (perícia administrativa) e o laudo pericial judicial são provas distintas, com naturezas e finalidades diferentes. O laudo administrativo é produzido no âmbito do procedimento de concessão do benefício, por médico perito do INSS, sem contraditório pleno. O laudo judicial é produzido no curso da ação, por perito nomeado pelo juiz, com contraditório assegurado às partes (formulação de quesitos, acesso ao laudo, possibilidade de impugnação). A divergência entre os dois laudos não é incomum e deve ser resolvida pelo juiz à luz do conjunto probatório, com prevalência, em regra, do laudo judicial — produzido com maiores garantias processuais.</w:t>
            </w:r>
          </w:p>
        </w:tc>
      </w:tr>
    </w:tbl>
    <w:p w14:paraId="53B1E4D8" w14:textId="77777777" w:rsidR="005A5FCC" w:rsidRDefault="005A5FCC">
      <w:pPr>
        <w:spacing w:after="80" w:line="240" w:lineRule="auto"/>
      </w:pPr>
    </w:p>
    <w:p w14:paraId="6AA5076F" w14:textId="77777777" w:rsidR="005A5FCC" w:rsidRDefault="00A21C81">
      <w:pPr>
        <w:spacing w:before="260" w:after="80" w:line="240" w:lineRule="auto"/>
        <w:jc w:val="left"/>
      </w:pPr>
      <w:r>
        <w:rPr>
          <w:rFonts w:cs="EB Garamond"/>
          <w:b/>
          <w:color w:val="3A3128"/>
          <w:kern w:val="16"/>
          <w:sz w:val="25"/>
          <w14:ligatures w14:val="standardContextual"/>
        </w:rPr>
        <w:t>6.4.4 Divergência entre laudos e documentação médica</w:t>
      </w:r>
    </w:p>
    <w:p w14:paraId="581B2CC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S</w:t>
      </w:r>
    </w:p>
    <w:p w14:paraId="2591A703" w14:textId="77777777" w:rsidR="005A5FCC" w:rsidRDefault="00A21C81">
      <w:r>
        <w:rPr>
          <w:rFonts w:cs="EB Garamond"/>
          <w:kern w:val="16"/>
          <w14:ligatures w14:val="standardContextual"/>
        </w:rPr>
        <w:t>ituação frequente nos JEFs é a divergência entre o laudo pericial judicial e a documentação médica apresentada pelo segurado. Atestados médicos de tratamento, prontuários hospitalares, exames laboratoriais e de imagem, relatórios de internação e receituários compõem acervo probatório que pode confirmar ou contraditar as conclusões do perito.</w:t>
      </w:r>
    </w:p>
    <w:p w14:paraId="5FC0D3F6" w14:textId="77777777" w:rsidR="005A5FCC" w:rsidRDefault="00A21C81">
      <w:pPr>
        <w:ind w:firstLine="238"/>
      </w:pPr>
      <w:r>
        <w:rPr>
          <w:rFonts w:cs="EB Garamond"/>
          <w:kern w:val="16"/>
          <w14:ligatures w14:val="standardContextual"/>
        </w:rPr>
        <w:t>A TNU tem entendido que o laudo pericial não é prova absoluta e que o juiz deve considerar todo o conjunto probatório, incluindo a documentação médica particular. A TNU já manteve decisões que concederam aposentadoria por incapacidade permanente com base em exames particulares que contradiziam o laudo pericial, entendendo que a prova documental médica, quando robusta e coerente, pode fundamentar a convicção do juiz em sentido diverso da conclusão pericial.</w:t>
      </w:r>
    </w:p>
    <w:p w14:paraId="03907537"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6.5 Técnica de reação ao laudo adverso</w:t>
      </w:r>
    </w:p>
    <w:p w14:paraId="57ED6139"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48B7A1EC" w14:textId="77777777" w:rsidR="005A5FCC" w:rsidRDefault="00A21C81">
      <w:r>
        <w:rPr>
          <w:rFonts w:cs="EB Garamond"/>
          <w:kern w:val="16"/>
          <w14:ligatures w14:val="standardContextual"/>
        </w:rPr>
        <w:t xml:space="preserve"> laudo pericial adverso — aquele que conclui pela ausência de incapacidade ou pela incapacidade apenas parcial e temporária — não encerra a instrução probatória nos JEFs. O segurado dispõe de instrumentos processuais para questionar as conclusões periciais e buscar a reversão do resultado desfavorável.</w:t>
      </w:r>
    </w:p>
    <w:p w14:paraId="47CBA8E2" w14:textId="77777777" w:rsidR="005A5FCC" w:rsidRDefault="00A21C81">
      <w:pPr>
        <w:spacing w:before="260" w:after="80" w:line="240" w:lineRule="auto"/>
        <w:jc w:val="left"/>
      </w:pPr>
      <w:r>
        <w:rPr>
          <w:rFonts w:cs="EB Garamond"/>
          <w:b/>
          <w:color w:val="3A3128"/>
          <w:kern w:val="16"/>
          <w:sz w:val="25"/>
          <w14:ligatures w14:val="standardContextual"/>
        </w:rPr>
        <w:lastRenderedPageBreak/>
        <w:t>6.5.1 Impugnação do laudo pericial</w:t>
      </w:r>
    </w:p>
    <w:p w14:paraId="6B1AD13F"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7EDA5458" w14:textId="77777777" w:rsidR="005A5FCC" w:rsidRDefault="00A21C81">
      <w:r>
        <w:rPr>
          <w:rFonts w:cs="EB Garamond"/>
          <w:kern w:val="16"/>
          <w14:ligatures w14:val="standardContextual"/>
        </w:rPr>
        <w:t xml:space="preserve"> impugnação ao laudo pericial deve ser apresentada no prazo concedido pelo juiz para manifestação das partes, nos termos do art. 477 do CPC/2015, aplicável subsidiariamente. A impugnação deve apontar, fundamentadamente, as deficiências do laudo: contradições internas, incompatibilidade com a documentação médica dos autos, ausência de exame clínico adequado, desatualização do exame em relação ao quadro atual do segurado, incompetência do perito para a especialidade em questão ou omissão na resposta a quesitos relevantes.</w:t>
      </w:r>
    </w:p>
    <w:p w14:paraId="18E2BAEB" w14:textId="77777777" w:rsidR="005A5FCC" w:rsidRDefault="00A21C81">
      <w:pPr>
        <w:ind w:firstLine="238"/>
      </w:pPr>
      <w:r>
        <w:rPr>
          <w:rFonts w:cs="EB Garamond"/>
          <w:kern w:val="16"/>
          <w14:ligatures w14:val="standardContextual"/>
        </w:rPr>
        <w:t>A impugnação genérica, que se limita a discordar da conclusão pericial sem indicar vícios concretos, é ineficaz e não obriga o juiz a determinar nova perícia. A impugnação específica, ao contrário, que identifica contradições e aponta provas contrárias, pode fundamentar tanto o pedido de esclarecimentos quanto a determinação de nova perícia.</w:t>
      </w:r>
    </w:p>
    <w:p w14:paraId="4D298217" w14:textId="77777777" w:rsidR="005A5FCC" w:rsidRDefault="00A21C81">
      <w:pPr>
        <w:spacing w:before="260" w:after="80" w:line="240" w:lineRule="auto"/>
        <w:jc w:val="left"/>
      </w:pPr>
      <w:r>
        <w:rPr>
          <w:rFonts w:cs="EB Garamond"/>
          <w:b/>
          <w:color w:val="3A3128"/>
          <w:kern w:val="16"/>
          <w:sz w:val="25"/>
          <w14:ligatures w14:val="standardContextual"/>
        </w:rPr>
        <w:t>6.5.2 Pedido de esclarecimentos e nova perícia</w:t>
      </w:r>
    </w:p>
    <w:p w14:paraId="4C709973"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16BBBC9A" w14:textId="77777777" w:rsidR="005A5FCC" w:rsidRDefault="00A21C81">
      <w:r>
        <w:rPr>
          <w:rFonts w:cs="EB Garamond"/>
          <w:kern w:val="16"/>
          <w14:ligatures w14:val="standardContextual"/>
        </w:rPr>
        <w:t xml:space="preserve"> pedido de esclarecimentos ao perito (art. 477, § 2º, do CPC/2015) é instrumento útil quando a impugnação identifica omissões ou contradições no laudo que podem ser sanadas sem a realização de novo exame. O perito é intimado a prestar esclarecimentos por escrito, complementando o laudo original.</w:t>
      </w:r>
    </w:p>
    <w:p w14:paraId="3B3F2208" w14:textId="77777777" w:rsidR="005A5FCC" w:rsidRDefault="00A21C81">
      <w:pPr>
        <w:ind w:firstLine="238"/>
      </w:pPr>
      <w:r>
        <w:rPr>
          <w:rFonts w:cs="EB Garamond"/>
          <w:kern w:val="16"/>
          <w14:ligatures w14:val="standardContextual"/>
        </w:rPr>
        <w:t>A nova perícia (art. 480 do CPC/2015) é cabível quando os esclarecimentos não forem suficientes para sanar as deficiências apontadas. No procedimento dos JEFs, a realização de nova perícia depende de decisão fundamentada do juiz, que avaliará a necessidade diante do conjunto probatório. A nova perícia pode ser realizada por profissional de especialidade diversa, quando a natureza da doença assim exigir — por exemplo, quando o laudo foi elaborado por clínico geral e a doença demanda avaliação de especialista (ortopedista, psiquiatra, neurologista).</w:t>
      </w:r>
    </w:p>
    <w:p w14:paraId="00096EB1" w14:textId="77777777" w:rsidR="005A5FCC" w:rsidRDefault="00A21C81">
      <w:pPr>
        <w:spacing w:before="260" w:after="80" w:line="240" w:lineRule="auto"/>
        <w:jc w:val="left"/>
      </w:pPr>
      <w:r>
        <w:rPr>
          <w:rFonts w:cs="EB Garamond"/>
          <w:b/>
          <w:color w:val="3A3128"/>
          <w:kern w:val="16"/>
          <w:sz w:val="25"/>
          <w14:ligatures w14:val="standardContextual"/>
        </w:rPr>
        <w:t>6.5.3 Provas complementares</w:t>
      </w:r>
    </w:p>
    <w:p w14:paraId="04E8315B"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O</w:t>
      </w:r>
    </w:p>
    <w:p w14:paraId="5ABA1440" w14:textId="77777777" w:rsidR="005A5FCC" w:rsidRDefault="00A21C81">
      <w:r>
        <w:rPr>
          <w:rFonts w:cs="EB Garamond"/>
          <w:kern w:val="16"/>
          <w14:ligatures w14:val="standardContextual"/>
        </w:rPr>
        <w:t xml:space="preserve"> segurado pode apresentar, a qualquer tempo durante a instrução, documentos médicos que complementem ou contradigam o laudo pericial. Atestados de médicos assistentes, relatórios de internação, resultados de exames laboratoriais e de imagem, receituários de medicamentos, relatórios de acompanhamento psicológico ou psiquiátrico e laudos de outros profissionais de saúde integram o acervo probatório e devem ser valorados pelo juiz.</w:t>
      </w:r>
    </w:p>
    <w:p w14:paraId="2FA7B87B" w14:textId="77777777" w:rsidR="005A5FCC" w:rsidRDefault="00A21C81">
      <w:pPr>
        <w:ind w:firstLine="238"/>
      </w:pPr>
      <w:r>
        <w:rPr>
          <w:rFonts w:cs="EB Garamond"/>
          <w:kern w:val="16"/>
          <w14:ligatures w14:val="standardContextual"/>
        </w:rPr>
        <w:t>A jurisprudência dos TRFs e da TNU reconhece que o laudo do médico assistente — aquele que acompanha regularmente o paciente — pode ter valor probante superior ao do laudo pericial em determinadas circunstâncias, quando o médico assistente possui conhecimento longitudinal do paciente (acompanhamento ao longo do tempo), ao passo que o perito judicial realiza exame pontual, em sessão única e geralmente breve.</w:t>
      </w:r>
    </w:p>
    <w:tbl>
      <w:tblPr>
        <w:tblW w:w="5000" w:type="pct"/>
        <w:jc w:val="center"/>
        <w:tblLayout w:type="fixed"/>
        <w:tblLook w:val="04A0" w:firstRow="1" w:lastRow="0" w:firstColumn="1" w:lastColumn="0" w:noHBand="0" w:noVBand="1"/>
      </w:tblPr>
      <w:tblGrid>
        <w:gridCol w:w="6311"/>
      </w:tblGrid>
      <w:tr w:rsidR="005A5FCC" w14:paraId="398E4FC1"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505D1728"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1E4E3685" w14:textId="77777777" w:rsidR="005A5FCC" w:rsidRDefault="00A21C81">
            <w:pPr>
              <w:spacing w:after="60" w:line="247" w:lineRule="auto"/>
            </w:pPr>
            <w:r>
              <w:rPr>
                <w:rFonts w:cs="EB Garamond"/>
                <w:kern w:val="16"/>
                <w:sz w:val="19"/>
                <w14:ligatures w14:val="standardContextual"/>
              </w:rPr>
              <w:t>Estratégia processual para reação ao laudo adverso nos JEFs: (1) Requerer prazo para impugnação do laudo e, obtendo-o, apresentar impugnação específica e fundamentada, apontando contradições com a documentação médica dos autos. (2) Requerer esclarecimentos do perito sobre pontos omissos ou contraditórios, formulando quesitos suplementares direcionados. (3) Juntar documentação médica atualizada — atestados, exames, relatórios — que demonstre a evolução do quadro clínico desde a perícia. (4) Requerer nova perícia se os esclarecimentos forem insatisfatórios, indicando a especialidade médica adequada. (5) Em audiência de instrução, quando houver, solicitar a oitiva do segurado sobre suas condições pessoais, limitações funcionais e histórico laboral, elementos essenciais para a aplicação da Súmula 47 da TNU. (6) Nas razões finais, articular expressamente a análise das condições pessoais como fundamento autônomo para a concessão, independentemente da conclusão estritamente médica do laudo.</w:t>
            </w:r>
          </w:p>
        </w:tc>
      </w:tr>
    </w:tbl>
    <w:p w14:paraId="239664E0" w14:textId="77777777" w:rsidR="005A5FCC" w:rsidRDefault="005A5FCC">
      <w:pPr>
        <w:spacing w:after="80" w:line="240" w:lineRule="auto"/>
      </w:pPr>
    </w:p>
    <w:p w14:paraId="5BA89CF8"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6.6 Data de início do benefício</w:t>
      </w:r>
    </w:p>
    <w:p w14:paraId="6E9ACDC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43D44206" w14:textId="77777777" w:rsidR="005A5FCC" w:rsidRDefault="00A21C81">
      <w:r>
        <w:rPr>
          <w:rFonts w:cs="EB Garamond"/>
          <w:kern w:val="16"/>
          <w14:ligatures w14:val="standardContextual"/>
        </w:rPr>
        <w:t xml:space="preserve"> fixação da Data de Início do Benefício (DIB) nas ações de aposentadoria por incapacidade permanente é questão de grande repercussão prática, pois </w:t>
      </w:r>
      <w:r>
        <w:rPr>
          <w:rFonts w:cs="EB Garamond"/>
          <w:kern w:val="16"/>
          <w14:ligatures w14:val="standardContextual"/>
        </w:rPr>
        <w:lastRenderedPageBreak/>
        <w:t>determina o marco temporal a partir do qual o segurado faz jus ao pagamento de parcelas atrasadas. A matéria é disciplinada pelo art. 43 da Lei 8.213/91 e pela jurisprudência consolidada do STF e do STJ.</w:t>
      </w:r>
    </w:p>
    <w:p w14:paraId="40F5C303" w14:textId="77777777" w:rsidR="005A5FCC" w:rsidRDefault="00A21C81">
      <w:pPr>
        <w:spacing w:before="260" w:after="80" w:line="240" w:lineRule="auto"/>
        <w:jc w:val="left"/>
      </w:pPr>
      <w:r>
        <w:rPr>
          <w:rFonts w:cs="EB Garamond"/>
          <w:b/>
          <w:color w:val="3A3128"/>
          <w:kern w:val="16"/>
          <w:sz w:val="25"/>
          <w14:ligatures w14:val="standardContextual"/>
        </w:rPr>
        <w:t>6.6.1 Regra geral: requerimento administrativo ou cessação do auxílio por incapacidade temporária</w:t>
      </w:r>
    </w:p>
    <w:p w14:paraId="2F4713F8"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54D5EEAE" w14:textId="77777777" w:rsidR="005A5FCC" w:rsidRDefault="00A21C81">
      <w:r>
        <w:rPr>
          <w:rFonts w:cs="EB Garamond"/>
          <w:kern w:val="16"/>
          <w14:ligatures w14:val="standardContextual"/>
        </w:rPr>
        <w:t xml:space="preserve"> art. 43 da Lei 8.213/91 estabelece duas regras para a fixação da DIB conforme a situação do segurado. O inciso I trata da hipótese em que o segurado não está em gozo de auxílio por incapacidade temporária: nesse caso, a aposentadoria será devida a contar da data do requerimento, quando não precedida de auxílio-doença (atual auxílio por incapacidade temporária). O inciso II trata da hipótese inversa: quando o segurado já se encontra em gozo de auxílio por incapacidade temporária, a aposentadoria é devida a contar do dia imediato ao da cessação daquele benefício. A leitura conjunta dos dois incisos revela a lógica do legislador: se há auxílio prévio, a aposentadoria o sucede sem solução de continuidade; se não há, o marco é o requerimento administrativo.</w:t>
      </w:r>
    </w:p>
    <w:p w14:paraId="2E325E08" w14:textId="77777777" w:rsidR="005A5FCC" w:rsidRDefault="00A21C81">
      <w:pPr>
        <w:ind w:firstLine="238"/>
      </w:pPr>
      <w:r>
        <w:rPr>
          <w:rFonts w:cs="EB Garamond"/>
          <w:kern w:val="16"/>
          <w14:ligatures w14:val="standardContextual"/>
        </w:rPr>
        <w:t>A construção jurisprudencial acrescentou uma terceira hipótese, não prevista textualmente no art. 43: quando o segurado ingressa diretamente em juízo sem prévio requerimento administrativo (nas hipóteses em que a jurisprudência admite essa via), a DIB é fixada na data da citação válida do INSS. Essa regra decorre do Tema 626/STJ, e não do texto legal.</w:t>
      </w:r>
    </w:p>
    <w:p w14:paraId="5D4E240F" w14:textId="77777777" w:rsidR="005A5FCC" w:rsidRDefault="00A21C81">
      <w:pPr>
        <w:ind w:firstLine="238"/>
      </w:pPr>
      <w:r>
        <w:rPr>
          <w:rFonts w:cs="EB Garamond"/>
          <w:kern w:val="16"/>
          <w14:ligatures w14:val="standardContextual"/>
        </w:rPr>
        <w:t>O art. 62 da Lei 8.213/91 prevê que "o segurado em gozo de auxílio-doença, insusceptível de recuperação para sua atividade habitual, deverá submeter-se a processo de reabilitação profissional para o exercício de outra atividade". Note-se que a redação original do dispositivo emprega o termo "auxílio-doença", pois a Lei 8.213/91 não teve sua redação formalmente alterada pela EC 103/2019. O art. 62 não prevê textualmente a conversão do auxílio em aposentadoria; o que prevê é o encaminhamento à reabilitação profissional. A conversão em aposentadoria por incapacidade permanente é consequência lógica da inviabilidade da reabilitação, construída pela interpretação sistemática da lei e consolidada pela jurisprudência.</w:t>
      </w:r>
    </w:p>
    <w:p w14:paraId="19CA3469" w14:textId="29C4D1B1" w:rsidR="005A5FCC" w:rsidRDefault="00A21C81">
      <w:pPr>
        <w:spacing w:before="260" w:after="80" w:line="240" w:lineRule="auto"/>
        <w:jc w:val="left"/>
      </w:pPr>
      <w:r>
        <w:rPr>
          <w:rFonts w:cs="EB Garamond"/>
          <w:b/>
          <w:color w:val="3A3128"/>
          <w:kern w:val="16"/>
          <w:sz w:val="25"/>
          <w14:ligatures w14:val="standardContextual"/>
        </w:rPr>
        <w:t>6.6.2 Prévio requerimento administrativo (</w:t>
      </w:r>
      <w:r w:rsidR="00A05167">
        <w:rPr>
          <w:rFonts w:cs="EB Garamond"/>
          <w:b/>
          <w:color w:val="3A3128"/>
          <w:kern w:val="16"/>
          <w:sz w:val="25"/>
          <w14:ligatures w14:val="standardContextual"/>
        </w:rPr>
        <w:t>T</w:t>
      </w:r>
      <w:r>
        <w:rPr>
          <w:rFonts w:cs="EB Garamond"/>
          <w:b/>
          <w:color w:val="3A3128"/>
          <w:kern w:val="16"/>
          <w:sz w:val="25"/>
          <w14:ligatures w14:val="standardContextual"/>
        </w:rPr>
        <w:t>ema 350/STF)</w:t>
      </w:r>
    </w:p>
    <w:p w14:paraId="7D495544"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O</w:t>
      </w:r>
    </w:p>
    <w:p w14:paraId="01590998" w14:textId="77777777" w:rsidR="005A5FCC" w:rsidRDefault="00A21C81">
      <w:r>
        <w:rPr>
          <w:rFonts w:cs="EB Garamond"/>
          <w:kern w:val="16"/>
          <w14:ligatures w14:val="standardContextual"/>
        </w:rPr>
        <w:t xml:space="preserve"> Supremo Tribunal Federal, no julgamento do RE 631.240 (Tema 350, rel. Min. Roberto Barroso, j. 03/09/2014), fixou a tese de que "a concessão de benefícios previdenciários depende de requerimento do interessado, não se caracterizando ameaça ou lesão a direito antes de sua apreciação e indeferimento pelo INSS, ou se excedido o prazo legal para sua análise". O prévio requerimento administrativo é, em regra, condição para o interesse de agir nas ações previdenciárias.</w:t>
      </w:r>
    </w:p>
    <w:p w14:paraId="4FD1B14F" w14:textId="77777777" w:rsidR="005A5FCC" w:rsidRDefault="00A21C81">
      <w:pPr>
        <w:ind w:firstLine="238"/>
      </w:pPr>
      <w:r>
        <w:rPr>
          <w:rFonts w:cs="EB Garamond"/>
          <w:kern w:val="16"/>
          <w14:ligatures w14:val="standardContextual"/>
        </w:rPr>
        <w:t>A tese comporta exceções importantes: (i) quando a posição do INSS seja notoriamente contrária ao direito postulado — por exemplo, quando o INSS adota interpretação normativa consolidada contra a pretensão do segurado; (ii) nos pedidos de revisão de benefícios em manutenção, quando a controvérsia é exclusivamente de direito; e (iii) quando o segurado comprova ter comparecido ao INSS e não ter conseguido protocolar o requerimento por razões imputáveis à autarquia.</w:t>
      </w:r>
    </w:p>
    <w:p w14:paraId="3A8BFA2B" w14:textId="77777777" w:rsidR="005A5FCC" w:rsidRDefault="00A21C81">
      <w:pPr>
        <w:spacing w:before="260" w:after="80" w:line="240" w:lineRule="auto"/>
        <w:jc w:val="left"/>
      </w:pPr>
      <w:r>
        <w:rPr>
          <w:rFonts w:cs="EB Garamond"/>
          <w:b/>
          <w:color w:val="3A3128"/>
          <w:kern w:val="16"/>
          <w:sz w:val="25"/>
          <w14:ligatures w14:val="standardContextual"/>
        </w:rPr>
        <w:t>6.6.3 Termo inicial em concessão judicial</w:t>
      </w:r>
    </w:p>
    <w:p w14:paraId="27091A1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233AAF5C" w14:textId="77777777" w:rsidR="005A5FCC" w:rsidRDefault="00A21C81">
      <w:r>
        <w:rPr>
          <w:rFonts w:cs="EB Garamond"/>
          <w:kern w:val="16"/>
          <w14:ligatures w14:val="standardContextual"/>
        </w:rPr>
        <w:t xml:space="preserve"> fixação do termo inicial dos efeitos financeiros quando o benefício é concedido judicialmente envolve regras distintas conforme tenha havido ou não requerimento administrativo. O STJ, no Tema 626 (REsp 1.369.165/SP, j. 26/02/2014), estabeleceu que, quando ausente postulação administrativa prévia, o termo inicial da aposentadoria por incapacidade permanente concedida judicialmente é a data da citação válida do INSS. Quando houve requerimento administrativo seguido de indeferimento, a DIB retroage à data do requerimento, desde que a incapacidade já existisse naquela data.</w:t>
      </w:r>
    </w:p>
    <w:p w14:paraId="1D662F72" w14:textId="77777777" w:rsidR="005A5FCC" w:rsidRDefault="00A21C81">
      <w:pPr>
        <w:ind w:firstLine="238"/>
      </w:pPr>
      <w:r>
        <w:rPr>
          <w:rFonts w:cs="EB Garamond"/>
          <w:kern w:val="16"/>
          <w14:ligatures w14:val="standardContextual"/>
        </w:rPr>
        <w:t>O STJ aprofundou a matéria no julgamento do Tema 1.124 (REsp 1.913.152, rel. Min. Herman Benjamin, j. 08/10/2025), em que duas questões devem ser tratadas separadamente.</w:t>
      </w:r>
    </w:p>
    <w:p w14:paraId="7436E5C7" w14:textId="77777777" w:rsidR="005A5FCC" w:rsidRDefault="00A21C81">
      <w:pPr>
        <w:ind w:firstLine="238"/>
      </w:pPr>
      <w:r>
        <w:rPr>
          <w:rFonts w:cs="EB Garamond"/>
          <w:kern w:val="16"/>
          <w14:ligatures w14:val="standardContextual"/>
        </w:rPr>
        <w:t xml:space="preserve">A primeira diz respeito ao </w:t>
      </w:r>
      <w:r>
        <w:rPr>
          <w:rFonts w:cs="EB Garamond"/>
          <w:b/>
          <w:kern w:val="16"/>
          <w14:ligatures w14:val="standardContextual"/>
        </w:rPr>
        <w:t>interesse de agir</w:t>
      </w:r>
      <w:r>
        <w:rPr>
          <w:rFonts w:cs="EB Garamond"/>
          <w:kern w:val="16"/>
          <w14:ligatures w14:val="standardContextual"/>
        </w:rPr>
        <w:t>. O Tribunal exigiu requerimento administrativo apto, instruído com documentação minimamente suficiente, e afastou a configuração do interesse de agir na hipótese de "indeferimento forçado" — aquele provocado por requerimento deliberadamente desacompanhado da prova essencial, com o único propósito de abrir a via judicial.</w:t>
      </w:r>
    </w:p>
    <w:p w14:paraId="7919FA6D" w14:textId="77777777" w:rsidR="005A5FCC" w:rsidRDefault="00A21C81">
      <w:pPr>
        <w:ind w:firstLine="238"/>
      </w:pPr>
      <w:r>
        <w:rPr>
          <w:rFonts w:cs="EB Garamond"/>
          <w:kern w:val="16"/>
          <w14:ligatures w14:val="standardContextual"/>
        </w:rPr>
        <w:lastRenderedPageBreak/>
        <w:t xml:space="preserve">A segunda questão, superada a primeira, diz respeito ao </w:t>
      </w:r>
      <w:r>
        <w:rPr>
          <w:rFonts w:cs="EB Garamond"/>
          <w:b/>
          <w:kern w:val="16"/>
          <w14:ligatures w14:val="standardContextual"/>
        </w:rPr>
        <w:t>termo inicial dos efeitos financeiros</w:t>
      </w:r>
      <w:r>
        <w:rPr>
          <w:rFonts w:cs="EB Garamond"/>
          <w:kern w:val="16"/>
          <w14:ligatures w14:val="standardContextual"/>
        </w:rPr>
        <w:t xml:space="preserve"> quando a concessão judicial se baseia em prova não submetida ao crivo administrativo do INSS. Conforme a tese fixada, quando a prova é levada a juízo somente após a propositura da ação ou por comprovada impossibilidade material de apresentação na via administrativa, o termo inicial é a data da citação válida — ou data posterior em que preenchidos os requisitos, nos termos do Tema 995/STJ. Quando, ao contrário, o segurado leva a juízo os mesmos fatos e provas apresentados ao INSS, ou quando o INSS deixou de oportunizar a complementação da prova, admite-se a fixação da DIB na data do requerimento administrativo. A questão é relevante nos casos em que o segurado apresenta em juízo documentação médica que não foi analisada na esfera administrativa — exames realizados após o indeferimento, laudos de especialistas não consultados pelo INSS etc.</w:t>
      </w:r>
    </w:p>
    <w:p w14:paraId="74A9209B" w14:textId="77777777" w:rsidR="005A5FCC" w:rsidRDefault="00A21C81">
      <w:pPr>
        <w:spacing w:before="260" w:after="80" w:line="240" w:lineRule="auto"/>
        <w:jc w:val="left"/>
      </w:pPr>
      <w:r>
        <w:rPr>
          <w:rFonts w:cs="EB Garamond"/>
          <w:b/>
          <w:color w:val="3A3128"/>
          <w:kern w:val="16"/>
          <w:sz w:val="25"/>
          <w14:ligatures w14:val="standardContextual"/>
        </w:rPr>
        <w:t>6.6.4 Reafirmação da DER e incapacidade permanente</w:t>
      </w:r>
    </w:p>
    <w:p w14:paraId="1754C1A3"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29955046" w14:textId="77777777" w:rsidR="005A5FCC" w:rsidRDefault="00A21C81">
      <w:r>
        <w:rPr>
          <w:rFonts w:cs="EB Garamond"/>
          <w:kern w:val="16"/>
          <w14:ligatures w14:val="standardContextual"/>
        </w:rPr>
        <w:t xml:space="preserve"> instituto da reafirmação da DER (Tema 995/STJ) é examinado em profundidade no Capítulo 10, seção 10.7. Nesta seção, interessa sua aplicação específica à aposentadoria por incapacidade permanente.</w:t>
      </w:r>
    </w:p>
    <w:p w14:paraId="603560E6" w14:textId="77777777" w:rsidR="005A5FCC" w:rsidRDefault="00A21C81">
      <w:pPr>
        <w:ind w:firstLine="238"/>
      </w:pPr>
      <w:r>
        <w:rPr>
          <w:rFonts w:cs="EB Garamond"/>
          <w:kern w:val="16"/>
          <w14:ligatures w14:val="standardContextual"/>
        </w:rPr>
        <w:t>A hipótese mais frequente ocorre quando, na data do requerimento administrativo, a incapacidade era apenas parcial ou temporária, mas, no curso da ação judicial, se agrava e se torna permanente. Diferentemente das aposentadorias programadas — cujos requisitos são objetivos e verificáveis por cálculo —, a reafirmação da DER em sede de incapacidade depende de constatação médico-pericial sobre a evolução temporal do quadro clínico. O perito deve ser instado a fixar com precisão a data em que a incapacidade temporária se converteu em permanente.</w:t>
      </w:r>
    </w:p>
    <w:p w14:paraId="7AD33EBA" w14:textId="77777777" w:rsidR="005A5FCC" w:rsidRDefault="00A21C81">
      <w:pPr>
        <w:ind w:firstLine="238"/>
      </w:pPr>
      <w:r>
        <w:rPr>
          <w:rFonts w:cs="EB Garamond"/>
          <w:kern w:val="16"/>
          <w14:ligatures w14:val="standardContextual"/>
        </w:rPr>
        <w:t>A jurisprudência dos TRFs admite, nessas hipóteses, a conversão do pedido de auxílio por incapacidade temporária em aposentadoria por incapacidade permanente mediante reafirmação da DER, com fundamento no art. 493 do CPC/2015, desde que observado o contraditório. A DIB será fixada na data em que a incapacidade se tornou permanente, e não na data do requerimento administrativo original.</w:t>
      </w:r>
    </w:p>
    <w:p w14:paraId="151A6A59" w14:textId="77777777" w:rsidR="005A5FCC" w:rsidRDefault="00A21C81">
      <w:pPr>
        <w:ind w:firstLine="238"/>
      </w:pPr>
      <w:r>
        <w:rPr>
          <w:rFonts w:cs="EB Garamond"/>
          <w:kern w:val="16"/>
          <w14:ligatures w14:val="standardContextual"/>
        </w:rPr>
        <w:lastRenderedPageBreak/>
        <w:t>Cabe, todavia, uma ressalva técnica. O paradigma fixado no Tema 995/STJ tem por objeto a aposentadoria programada, em que o requisito que se completa no curso da ação (tempo de contribuição ou idade) é fato objetivo, verificável por cálculo a partir de elementos documentais incontroversos. A transposição dessa lógica para a incapacidade superveniente não é automática: aqui, o "fato novo" do art. 493 não é o transcurso de um requisito aritmético, mas a evolução de um quadro clínico, cuja data de consolidação depende de juízo médico-pericial e comporta margem de incerteza. Por isso, sustentamos que a reafirmação da DER em sede de incapacidade só é legítima quando a perícia fixar, de modo seguro, a data em que a incapacidade temporária se converteu em permanente — fixando-se a DIB nesse marco, e não na data do requerimento — e desde que franqueado ao INSS o contraditório sobre essa nova realidade fática. Trata-se, a rigor, menos de aplicar diretamente a tese do Tema 995/STJ do que de invocar o regime geral do art. 493 do CPC/2015 quanto ao conhecimento, de ofício ou a requerimento, do fato superveniente capaz de influir no julgamento.</w:t>
      </w:r>
    </w:p>
    <w:p w14:paraId="316E86B7" w14:textId="77777777" w:rsidR="005A5FCC" w:rsidRDefault="00A21C81">
      <w:pPr>
        <w:spacing w:before="260" w:after="80" w:line="240" w:lineRule="auto"/>
        <w:jc w:val="left"/>
      </w:pPr>
      <w:r>
        <w:rPr>
          <w:rFonts w:cs="EB Garamond"/>
          <w:b/>
          <w:color w:val="3A3128"/>
          <w:kern w:val="16"/>
          <w:sz w:val="25"/>
          <w14:ligatures w14:val="standardContextual"/>
        </w:rPr>
        <w:t>6.6.5 Cumulação de salários e benefício retroativo (tema 1.013/STJ)</w:t>
      </w:r>
    </w:p>
    <w:p w14:paraId="7832DEA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529504D6" w14:textId="77777777" w:rsidR="005A5FCC" w:rsidRDefault="00A21C81">
      <w:r>
        <w:rPr>
          <w:rFonts w:cs="EB Garamond"/>
          <w:kern w:val="16"/>
          <w14:ligatures w14:val="standardContextual"/>
        </w:rPr>
        <w:t xml:space="preserve"> STJ, no julgamento do Tema 1.013 (REsp 1.786.590/SP, Primeira Seção, j. 24/06/2020), fixou tese de grande relevância prática: "No período entre o indeferimento administrativo e a efetiva implantação de auxílio por incapacidade temporária ou de aposentadoria por incapacidade permanente mediante decisão judicial, o segurado do RGPS tem direito ao recebimento conjunto das rendas do trabalho exercido e do benefício previdenciário pago retroativamente".</w:t>
      </w:r>
    </w:p>
    <w:p w14:paraId="39E760EE" w14:textId="77777777" w:rsidR="005A5FCC" w:rsidRDefault="00A21C81">
      <w:pPr>
        <w:ind w:firstLine="238"/>
      </w:pPr>
      <w:r>
        <w:rPr>
          <w:rFonts w:cs="EB Garamond"/>
          <w:kern w:val="16"/>
          <w14:ligatures w14:val="standardContextual"/>
        </w:rPr>
        <w:t>A tese resolve uma situação frequente: o segurado que, tendo seu benefício indeferido pelo INSS, se vê obrigado a trabalhar para sobreviver durante o trâmite da ação judicial. Se a ação é julgada procedente, com DIB retroativa à data do requerimento administrativo, o INSS não pode compensar os valores retroativos com a remuneração auferida no período, pois o segurado não pode ser penalizado por ter buscado a subsistência diante da negativa administrativa. A cumulação é admitida porque a necessidade de trabalhar decorreu da resistência ilegítima da autarquia à concessão do benefício devido.</w:t>
      </w:r>
    </w:p>
    <w:tbl>
      <w:tblPr>
        <w:tblW w:w="5000" w:type="pct"/>
        <w:jc w:val="center"/>
        <w:tblLayout w:type="fixed"/>
        <w:tblLook w:val="04A0" w:firstRow="1" w:lastRow="0" w:firstColumn="1" w:lastColumn="0" w:noHBand="0" w:noVBand="1"/>
      </w:tblPr>
      <w:tblGrid>
        <w:gridCol w:w="6311"/>
      </w:tblGrid>
      <w:tr w:rsidR="005A5FCC" w14:paraId="398B253C"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7C7E6678" w14:textId="77777777" w:rsidR="005A5FCC" w:rsidRDefault="00A21C81">
            <w:pPr>
              <w:spacing w:after="60" w:line="240" w:lineRule="auto"/>
              <w:jc w:val="left"/>
            </w:pPr>
            <w:r>
              <w:rPr>
                <w:rFonts w:ascii="Noto Sans" w:hAnsi="Noto Sans" w:cs="Noto Sans"/>
                <w:b/>
                <w:caps/>
                <w:color w:val="4D6F8A"/>
                <w:kern w:val="16"/>
                <w:sz w:val="16"/>
                <w14:ligatures w14:val="standardContextual"/>
              </w:rPr>
              <w:lastRenderedPageBreak/>
              <w:t>JURISPRUDÊNCIA EM DESTAQUE</w:t>
            </w:r>
          </w:p>
          <w:p w14:paraId="182E0BE6" w14:textId="77777777" w:rsidR="005A5FCC" w:rsidRDefault="00A21C81">
            <w:pPr>
              <w:spacing w:after="60" w:line="247" w:lineRule="auto"/>
            </w:pPr>
            <w:r>
              <w:rPr>
                <w:rFonts w:cs="EB Garamond"/>
                <w:kern w:val="16"/>
                <w:sz w:val="19"/>
                <w14:ligatures w14:val="standardContextual"/>
              </w:rPr>
              <w:t>O Tema 1.013/STJ consolidou entendimento que já vinha sendo adotado pela maioria dos TRFs e pela TNU: a cumulação de salários e benefício por incapacidade pago retroativamente é legítima quando o trabalho foi exercido durante a pendência da ação judicial. A Primeira Seção ressalvou que a cumulação não se aplica quando o segurado está em gozo efetivo do benefício e exerce atividade remunerada — nesse caso, incide a regra do art. 46 da Lei 8.213/91, que determina a cessação da aposentadoria por incapacidade permanente quando o segurado retorna voluntariamente à atividade.</w:t>
            </w:r>
          </w:p>
        </w:tc>
      </w:tr>
    </w:tbl>
    <w:p w14:paraId="2A204EDB" w14:textId="77777777" w:rsidR="005A5FCC" w:rsidRDefault="005A5FCC">
      <w:pPr>
        <w:spacing w:after="80" w:line="240" w:lineRule="auto"/>
      </w:pPr>
    </w:p>
    <w:p w14:paraId="347DFC27"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6.7 Cálculo do benefício</w:t>
      </w:r>
    </w:p>
    <w:p w14:paraId="603F40C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75A4FF9C" w14:textId="77777777" w:rsidR="005A5FCC" w:rsidRDefault="00A21C81">
      <w:r>
        <w:rPr>
          <w:rFonts w:cs="EB Garamond"/>
          <w:kern w:val="16"/>
          <w14:ligatures w14:val="standardContextual"/>
        </w:rPr>
        <w:t>s regras gerais de cálculo do salário de benefício e da renda mensal inicial — inclusive a sistemática do período básico de cálculo antes e depois da EC 103/2019 — são examinadas no Capítulo 16 (seções 16.3 a 16.5). Nesta seção, destacam-se as peculiaridades aplicáveis à aposentadoria por incapacidade permanente.</w:t>
      </w:r>
    </w:p>
    <w:p w14:paraId="55EF0466" w14:textId="77777777" w:rsidR="005A5FCC" w:rsidRDefault="00A21C81">
      <w:pPr>
        <w:spacing w:before="260" w:after="80" w:line="240" w:lineRule="auto"/>
        <w:jc w:val="left"/>
      </w:pPr>
      <w:r>
        <w:rPr>
          <w:rFonts w:cs="EB Garamond"/>
          <w:b/>
          <w:color w:val="3A3128"/>
          <w:kern w:val="16"/>
          <w:sz w:val="25"/>
          <w14:ligatures w14:val="standardContextual"/>
        </w:rPr>
        <w:t>6.7.1 Coeficiente e exceções específicas</w:t>
      </w:r>
    </w:p>
    <w:p w14:paraId="4D88994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N</w:t>
      </w:r>
    </w:p>
    <w:p w14:paraId="0C6D9CBA" w14:textId="77777777" w:rsidR="005A5FCC" w:rsidRDefault="00A21C81">
      <w:r>
        <w:rPr>
          <w:rFonts w:cs="EB Garamond"/>
          <w:kern w:val="16"/>
          <w14:ligatures w14:val="standardContextual"/>
        </w:rPr>
        <w:t>o regime anterior à EC 103/2019, a renda mensal correspondia a 100% do salário de benefício, sem fator previdenciário (art. 44, I, Lei 8.213/91). Após a EC 103/2019, aplica-se o coeficiente geral de 60% da média de todos os salários de contribuição, acrescido de 2% por ano que exceder 20 (homem) ou 15 (mulher) — conforme o art. 26, § 2º, da EC 103/2019, cuja sistemática escalonada se desdobra nos respectivos incisos (v. Cap. 16, seção 16.5, para a fórmula detalhada e exemplos numéricos, e seção 6.7.3, infra, para a aplicação dessa regra geral às doenças graves após o Tema 1.300/STF).</w:t>
      </w:r>
    </w:p>
    <w:p w14:paraId="6422542D" w14:textId="4DAB7044" w:rsidR="005A5FCC" w:rsidRDefault="00A21C81">
      <w:pPr>
        <w:ind w:firstLine="238"/>
      </w:pPr>
      <w:r>
        <w:rPr>
          <w:rFonts w:cs="EB Garamond"/>
          <w:kern w:val="16"/>
          <w14:ligatures w14:val="standardContextual"/>
        </w:rPr>
        <w:t>A exceção</w:t>
      </w:r>
      <w:r w:rsidR="00A05167">
        <w:rPr>
          <w:rFonts w:cs="EB Garamond"/>
          <w:kern w:val="16"/>
          <w14:ligatures w14:val="standardContextual"/>
        </w:rPr>
        <w:t xml:space="preserve"> ocorre</w:t>
      </w:r>
      <w:r>
        <w:rPr>
          <w:rFonts w:cs="EB Garamond"/>
          <w:kern w:val="16"/>
          <w14:ligatures w14:val="standardContextual"/>
        </w:rPr>
        <w:t xml:space="preserve"> quando a incapacidade decorrer de acidente de trabalho, doença profissional ou doença do trabalho, mantém-se a integralidade de 100% (art. 26, § 3º, II, da EC 103/2019). Portadores de doenças graves, que no regime anterior também faziam jus à integralidade, passaram a se sujeitar à regra geral de 60% </w:t>
      </w:r>
      <w:r>
        <w:rPr>
          <w:rFonts w:cs="EB Garamond"/>
          <w:kern w:val="16"/>
          <w14:ligatures w14:val="standardContextual"/>
        </w:rPr>
        <w:lastRenderedPageBreak/>
        <w:t>+ 2%/ano — questão cuja constitucionalidade foi enfrentada no Tema 1.300/STF (v. Seção 6.7.3, infra).</w:t>
      </w:r>
    </w:p>
    <w:p w14:paraId="14041C90" w14:textId="77777777" w:rsidR="005A5FCC" w:rsidRDefault="00A21C81">
      <w:pPr>
        <w:spacing w:before="260" w:after="80" w:line="240" w:lineRule="auto"/>
        <w:jc w:val="left"/>
      </w:pPr>
      <w:r>
        <w:rPr>
          <w:rFonts w:cs="EB Garamond"/>
          <w:b/>
          <w:color w:val="3A3128"/>
          <w:kern w:val="16"/>
          <w:sz w:val="25"/>
          <w14:ligatures w14:val="standardContextual"/>
        </w:rPr>
        <w:t>6.7.2 Direito intertemporal: a DII como marco temporal</w:t>
      </w:r>
    </w:p>
    <w:p w14:paraId="7CC88E7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350E3004" w14:textId="77777777" w:rsidR="005A5FCC" w:rsidRDefault="00A21C81">
      <w:r>
        <w:rPr>
          <w:rFonts w:cs="EB Garamond"/>
          <w:kern w:val="16"/>
          <w14:ligatures w14:val="standardContextual"/>
        </w:rPr>
        <w:t xml:space="preserve"> marco temporal para a definição do regime de cálculo aplicável é a DII — Data de Início da Incapacidade, e não a DER. Se a DII é anterior a 13/11/2019 (exclusive), aplica-se integralmente o regime anterior (100% do SB, calculado sobre a média dos 80% maiores salários de contribuição). Se a DII é em 13/11/2019 (inclusive) ou posterior, aplica-se o novo regime, pois a EC 103/2019 entrou em vigor na data de sua publicação (art. 36 da EC 103/2019). A distinção tem gerado contencioso expressivo nos JEFs.</w:t>
      </w:r>
    </w:p>
    <w:p w14:paraId="7C54D9B3" w14:textId="77777777" w:rsidR="005A5FCC" w:rsidRDefault="00A21C81">
      <w:pPr>
        <w:ind w:firstLine="238"/>
      </w:pPr>
      <w:r>
        <w:rPr>
          <w:rFonts w:cs="EB Garamond"/>
          <w:kern w:val="16"/>
          <w14:ligatures w14:val="standardContextual"/>
        </w:rPr>
        <w:t>A precisão da perícia médica na fixação da DII torna-se, assim, determinante não apenas para a aferição da qualidade de segurado, mas para a definição do regime de cálculo — com impacto financeiro potencialmente expressivo ao longo de toda a vida do benefício. O magistrado e o advogado devem estar atentos à necessidade de quesitos específicos sobre a data precisa de início da incapacidade, especialmente quando a DII situa-se em período próximo a 13/11/2019.</w:t>
      </w:r>
    </w:p>
    <w:p w14:paraId="5E309678" w14:textId="7A922050" w:rsidR="005A5FCC" w:rsidRDefault="00A21C81">
      <w:pPr>
        <w:spacing w:before="260" w:after="80" w:line="240" w:lineRule="auto"/>
        <w:jc w:val="left"/>
      </w:pPr>
      <w:r>
        <w:rPr>
          <w:rFonts w:cs="EB Garamond"/>
          <w:b/>
          <w:color w:val="3A3128"/>
          <w:kern w:val="16"/>
          <w:sz w:val="25"/>
          <w14:ligatures w14:val="standardContextual"/>
        </w:rPr>
        <w:t xml:space="preserve">6.7.3 Doenças graves e o </w:t>
      </w:r>
      <w:r w:rsidR="00A05167">
        <w:rPr>
          <w:rFonts w:cs="EB Garamond"/>
          <w:b/>
          <w:color w:val="3A3128"/>
          <w:kern w:val="16"/>
          <w:sz w:val="25"/>
          <w14:ligatures w14:val="standardContextual"/>
        </w:rPr>
        <w:t>T</w:t>
      </w:r>
      <w:r>
        <w:rPr>
          <w:rFonts w:cs="EB Garamond"/>
          <w:b/>
          <w:color w:val="3A3128"/>
          <w:kern w:val="16"/>
          <w:sz w:val="25"/>
          <w14:ligatures w14:val="standardContextual"/>
        </w:rPr>
        <w:t>ema 1.300 do STF</w:t>
      </w:r>
    </w:p>
    <w:p w14:paraId="09096FE9"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4A16E9DA" w14:textId="77777777" w:rsidR="005A5FCC" w:rsidRDefault="00A21C81">
      <w:r>
        <w:rPr>
          <w:rFonts w:cs="EB Garamond"/>
          <w:kern w:val="16"/>
          <w14:ligatures w14:val="standardContextual"/>
        </w:rPr>
        <w:t xml:space="preserve"> constitucionalidade da nova regra de cálculo para portadores de doenças graves foi questionada perante o STF. O Tema 1.300 (RE 1.469.150, rel. Min. Luís Roberto Barroso) submeteu à repercussão geral a seguinte questão: saber se, após a edição da EC 103/2019, o pagamento da aposentadoria por incapacidade permanente decorrente de doença grave deve ser feito de forma integral ou pela regra geral de 60% + 2%.</w:t>
      </w:r>
    </w:p>
    <w:p w14:paraId="6C16307A" w14:textId="77777777" w:rsidR="005A5FCC" w:rsidRDefault="00A21C81">
      <w:pPr>
        <w:ind w:firstLine="238"/>
      </w:pPr>
      <w:r>
        <w:rPr>
          <w:rFonts w:cs="EB Garamond"/>
          <w:kern w:val="16"/>
          <w14:ligatures w14:val="standardContextual"/>
        </w:rPr>
        <w:t xml:space="preserve">O STF, em decisão concluída em 18/12/2025, declarou constitucional a regra geral de cálculo do art. 26, § 2º, da EC 103/2019, fixando a tese: "É constitucional o pagamento do benefício de aposentadoria por incapacidade permanente nos termos fixados pelo art. 26, § 2º, III, da EC n. 103/2019 para os casos em que a incapacidade para o trabalho seja constatada posteriormente à Reforma da Previdência". O inciso III do § 2º a que a tese se refere é precisamente a regra geral de </w:t>
      </w:r>
      <w:r>
        <w:rPr>
          <w:rFonts w:cs="EB Garamond"/>
          <w:kern w:val="16"/>
          <w14:ligatures w14:val="standardContextual"/>
        </w:rPr>
        <w:lastRenderedPageBreak/>
        <w:t>60% + 2%/ano detalhada na seção 6.7.1, supra. Não há, portanto, regime de cálculo diverso para as doenças graves: a EC 103/2019 simplesmente as submeteu à regra geral, suprimindo a integralidade que o regime anterior lhes assegurava. A decisão encerrou a controvérsia, mas gerou críticas doutrinárias relevantes, pois a redução do valor do benefício para portadores de doenças graves compromete o caráter protetivo do sistema previdenciário.</w:t>
      </w:r>
    </w:p>
    <w:tbl>
      <w:tblPr>
        <w:tblW w:w="5000" w:type="pct"/>
        <w:jc w:val="center"/>
        <w:tblLayout w:type="fixed"/>
        <w:tblLook w:val="04A0" w:firstRow="1" w:lastRow="0" w:firstColumn="1" w:lastColumn="0" w:noHBand="0" w:noVBand="1"/>
      </w:tblPr>
      <w:tblGrid>
        <w:gridCol w:w="6311"/>
      </w:tblGrid>
      <w:tr w:rsidR="005A5FCC" w14:paraId="70810736"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2A4EA1D2"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25A2C58A" w14:textId="77777777" w:rsidR="005A5FCC" w:rsidRDefault="00A21C81">
            <w:pPr>
              <w:spacing w:after="60" w:line="247" w:lineRule="auto"/>
            </w:pPr>
            <w:r>
              <w:rPr>
                <w:rFonts w:cs="EB Garamond"/>
                <w:kern w:val="16"/>
                <w:sz w:val="19"/>
                <w14:ligatures w14:val="standardContextual"/>
              </w:rPr>
              <w:t>O marco temporal para a aplicação do regime de cálculo é a Data de Início da Incapacidade (DII), e não a data do requerimento administrativo ou da concessão judicial. Se a DII é anterior a 13/11/2019 (exclusive), aplica-se o regime anterior (100% do salário de benefício). Se a DII é em 13/11/2019 (inclusive) ou posterior, aplica-se o novo regime (60% + 2% por ano). Nas ações em curso, a fixação da DII pelo perito judicial é determinante para o regime de cálculo aplicável. O advogado deve estar atento a essa questão e, se necessário, requerer esclarecimentos ao perito sobre a data precisa de início da incapacidade.</w:t>
            </w:r>
          </w:p>
        </w:tc>
      </w:tr>
    </w:tbl>
    <w:p w14:paraId="20FE98C8" w14:textId="77777777" w:rsidR="005A5FCC" w:rsidRDefault="005A5FCC">
      <w:pPr>
        <w:spacing w:after="80" w:line="240" w:lineRule="auto"/>
      </w:pPr>
    </w:p>
    <w:p w14:paraId="6237F55D" w14:textId="77777777" w:rsidR="005A5FCC" w:rsidRDefault="00A21C81">
      <w:pPr>
        <w:spacing w:before="260" w:after="80" w:line="240" w:lineRule="auto"/>
        <w:jc w:val="left"/>
      </w:pPr>
      <w:r>
        <w:rPr>
          <w:rFonts w:cs="EB Garamond"/>
          <w:b/>
          <w:color w:val="3A3128"/>
          <w:kern w:val="16"/>
          <w:sz w:val="25"/>
          <w14:ligatures w14:val="standardContextual"/>
        </w:rPr>
        <w:t>6.7.4 Acréscimo de 25% — grande invalidez</w:t>
      </w:r>
    </w:p>
    <w:p w14:paraId="17CCE048"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29C4E86C" w14:textId="77777777" w:rsidR="005A5FCC" w:rsidRDefault="00A21C81">
      <w:r>
        <w:rPr>
          <w:rFonts w:cs="EB Garamond"/>
          <w:kern w:val="16"/>
          <w14:ligatures w14:val="standardContextual"/>
        </w:rPr>
        <w:t xml:space="preserve"> art. 45 da Lei 8.213/91 prevê que "o valor da aposentadoria por incapacidade permanente do segurado que necessitar da assistência permanente de outra pessoa será acrescido de 25% (vinte e cinco por cento)". Esse acréscimo, conhecido como "grande invalidez" ou "auxílio-acompanhante", destina-se a compensar os custos adicionais decorrentes da necessidade de cuidador permanente. O acréscimo pode ser concedido a qualquer tempo, mediante requerimento do segurado e verificação da necessidade por perícia médica.</w:t>
      </w:r>
    </w:p>
    <w:p w14:paraId="02154EE8" w14:textId="77777777" w:rsidR="005A5FCC" w:rsidRDefault="00A21C81">
      <w:pPr>
        <w:ind w:firstLine="238"/>
      </w:pPr>
      <w:r>
        <w:rPr>
          <w:rFonts w:cs="EB Garamond"/>
          <w:kern w:val="16"/>
          <w14:ligatures w14:val="standardContextual"/>
        </w:rPr>
        <w:t>O Anexo I do Decreto 3.048/99 enumera situações que autorizam o acréscimo, incluindo cegueira total, paralisia de dois membros, perda de nove dedos das mãos ou mais, e estados vegetativos. O rol é exemplificativo — qualquer condição que gere dependência permanente de terceiro pode fundamentar o acréscimo, desde que comprovada por perícia.</w:t>
      </w:r>
    </w:p>
    <w:p w14:paraId="0680BB54" w14:textId="77777777" w:rsidR="005A5FCC" w:rsidRDefault="00A21C81">
      <w:pPr>
        <w:ind w:firstLine="238"/>
      </w:pPr>
      <w:r>
        <w:rPr>
          <w:rFonts w:cs="EB Garamond"/>
          <w:kern w:val="16"/>
          <w14:ligatures w14:val="standardContextual"/>
        </w:rPr>
        <w:t xml:space="preserve">A grande controvérsia sobre o adicional de 25% dizia respeito à possibilidade de sua extensão a outras espécies de aposentadoria. O STJ, no Tema 982 (REsp </w:t>
      </w:r>
      <w:r>
        <w:rPr>
          <w:rFonts w:cs="EB Garamond"/>
          <w:kern w:val="16"/>
          <w14:ligatures w14:val="standardContextual"/>
        </w:rPr>
        <w:lastRenderedPageBreak/>
        <w:t>1.648.305/RS, Primeira Seção, j. 22/08/2018), fixou tese favorável à extensão: "Comprovadas a invalidez e a necessidade de assistência permanente de outra pessoa, é devido o acréscimo de 25%, previsto no art. 45 da Lei 8.213/91, a todas as modalidades de aposentadoria". O STF, porém, no julgamento do Tema 1.095 (RE 1.221.446, Rel. Min. Dias Toffoli, Plenário, j. 21/06/2021), reverteu esse entendimento, fixando que "no âmbito do RGPS, somente a lei pode criar ou ampliar benefícios e vantagens previdenciárias, não havendo, por ora, previsão legal de extensão do auxílio da grande invalidez a todas as modalidades de aposentadoria". O entendimento do STF prevalece, restringindo o adicional de 25% exclusivamente à aposentadoria por incapacidade permanente.</w:t>
      </w:r>
    </w:p>
    <w:tbl>
      <w:tblPr>
        <w:tblW w:w="5000" w:type="pct"/>
        <w:jc w:val="center"/>
        <w:tblLayout w:type="fixed"/>
        <w:tblLook w:val="04A0" w:firstRow="1" w:lastRow="0" w:firstColumn="1" w:lastColumn="0" w:noHBand="0" w:noVBand="1"/>
      </w:tblPr>
      <w:tblGrid>
        <w:gridCol w:w="6311"/>
      </w:tblGrid>
      <w:tr w:rsidR="005A5FCC" w14:paraId="1E73DAD5"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139F3CF8" w14:textId="77777777" w:rsidR="005A5FCC" w:rsidRDefault="00A21C81">
            <w:pPr>
              <w:spacing w:after="60" w:line="240" w:lineRule="auto"/>
              <w:jc w:val="left"/>
            </w:pPr>
            <w:r>
              <w:rPr>
                <w:rFonts w:ascii="Noto Sans" w:hAnsi="Noto Sans" w:cs="Noto Sans"/>
                <w:b/>
                <w:caps/>
                <w:color w:val="4D6F8A"/>
                <w:kern w:val="16"/>
                <w:sz w:val="16"/>
                <w14:ligatures w14:val="standardContextual"/>
              </w:rPr>
              <w:t>JURISPRUDÊNCIA EM DESTAQUE</w:t>
            </w:r>
          </w:p>
          <w:p w14:paraId="5EF2AA15" w14:textId="77777777" w:rsidR="005A5FCC" w:rsidRDefault="00A21C81">
            <w:pPr>
              <w:spacing w:after="60" w:line="247" w:lineRule="auto"/>
            </w:pPr>
            <w:r>
              <w:rPr>
                <w:rFonts w:cs="EB Garamond"/>
                <w:kern w:val="16"/>
                <w:sz w:val="19"/>
                <w14:ligatures w14:val="standardContextual"/>
              </w:rPr>
              <w:t>A tensão entre o Tema 982/STJ e o Tema 1.095/STF ilustra o diálogo entre cortes no sistema previdenciário brasileiro. O STJ, adotando interpretação extensiva e protetiva, entendeu que a necessidade de assistência permanente, independentemente da modalidade de aposentadoria, justificaria o acréscimo. O STF acolheu argumento de reserva legal: a criação ou ampliação de benefícios previdenciários exige lei formal, nos termos do art. 195, § 5º, da Constituição. A superação do óbice apontado pelo STF depende, portanto, de inovação legislativa — e tramitam no Congresso Nacional proposições que visam positivar a extensão do adicional de 25% a todas as modalidades de aposentadoria. Enquanto não sobrevier lei nesse sentido, o acréscimo permanece restrito à aposentadoria por incapacidade permanente.</w:t>
            </w:r>
          </w:p>
        </w:tc>
      </w:tr>
    </w:tbl>
    <w:p w14:paraId="5D9EEE73" w14:textId="77777777" w:rsidR="005A5FCC" w:rsidRDefault="005A5FCC">
      <w:pPr>
        <w:spacing w:after="80" w:line="240" w:lineRule="auto"/>
      </w:pPr>
    </w:p>
    <w:p w14:paraId="352EA026"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6.8 Conversão, revisão e cessação</w:t>
      </w:r>
    </w:p>
    <w:p w14:paraId="58C29AA2"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3CB327F9" w14:textId="77777777" w:rsidR="005A5FCC" w:rsidRDefault="00A21C81">
      <w:r>
        <w:rPr>
          <w:rFonts w:cs="EB Garamond"/>
          <w:kern w:val="16"/>
          <w14:ligatures w14:val="standardContextual"/>
        </w:rPr>
        <w:t xml:space="preserve"> aposentadoria por incapacidade permanente não é, como visto, benefício necessariamente definitivo. A legislação prevê mecanismos de conversão (de auxílio por incapacidade temporária em aposentadoria), revisão periódica do estado incapacitante e cessação quando o segurado recupera a capacidade laborativa.</w:t>
      </w:r>
    </w:p>
    <w:p w14:paraId="40113D3F" w14:textId="77777777" w:rsidR="005A5FCC" w:rsidRDefault="00A21C81">
      <w:pPr>
        <w:spacing w:before="260" w:after="80" w:line="240" w:lineRule="auto"/>
        <w:jc w:val="left"/>
      </w:pPr>
      <w:r>
        <w:rPr>
          <w:rFonts w:cs="EB Garamond"/>
          <w:b/>
          <w:color w:val="3A3128"/>
          <w:kern w:val="16"/>
          <w:sz w:val="25"/>
          <w14:ligatures w14:val="standardContextual"/>
        </w:rPr>
        <w:t>6.8.1 Conversão do auxílio por incapacidade temporária</w:t>
      </w:r>
    </w:p>
    <w:p w14:paraId="70675FCB"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A</w:t>
      </w:r>
    </w:p>
    <w:p w14:paraId="48D2DAA5" w14:textId="77777777" w:rsidR="005A5FCC" w:rsidRDefault="00A21C81">
      <w:r>
        <w:rPr>
          <w:rFonts w:cs="EB Garamond"/>
          <w:kern w:val="16"/>
          <w14:ligatures w14:val="standardContextual"/>
        </w:rPr>
        <w:t xml:space="preserve"> conversão do auxílio por incapacidade temporária em aposentadoria por incapacidade permanente ocorre quando se verifica que a incapacidade, inicialmente temporária, é na verdade permanente e insusceptível de reabilitação. O art. 62 da Lei 8.213/91 prevê que o segurado em gozo de auxílio por incapacidade temporária que for considerado insusceptível de recuperação para sua atividade habitual deverá ser encaminhado ao Programa de Reabilitação Profissional; se a reabilitação não for viável, a conversão em aposentadoria por incapacidade permanente é consequência que se impõe por interpretação sistemática.</w:t>
      </w:r>
    </w:p>
    <w:p w14:paraId="5C1AB4FF" w14:textId="77777777" w:rsidR="005A5FCC" w:rsidRDefault="00A21C81">
      <w:pPr>
        <w:ind w:firstLine="238"/>
      </w:pPr>
      <w:r>
        <w:rPr>
          <w:rFonts w:cs="EB Garamond"/>
          <w:kern w:val="16"/>
          <w14:ligatures w14:val="standardContextual"/>
        </w:rPr>
        <w:t>Na prática administrativa, a conversão depende de conclusão de perícia médica do INSS. Quando o INSS mantém o segurado em auxílio por incapacidade temporária por tempo prolongado sem promover a conversão — situação frequente, especialmente após a implementação do sistema de alta programada —, o segurado pode buscar judicialmente a conversão, demonstrando que a incapacidade preenche os requisitos da aposentadoria.</w:t>
      </w:r>
    </w:p>
    <w:p w14:paraId="079E784D" w14:textId="77777777" w:rsidR="005A5FCC" w:rsidRDefault="00A21C81">
      <w:pPr>
        <w:ind w:firstLine="238"/>
      </w:pPr>
      <w:r>
        <w:rPr>
          <w:rFonts w:cs="EB Garamond"/>
          <w:kern w:val="16"/>
          <w14:ligatures w14:val="standardContextual"/>
        </w:rPr>
        <w:t>O chamado "limbo previdenciário" — situação em que o INSS cessa o auxílio por incapacidade temporária por considerar o segurado apto, mas o empregador não o readmite por considerá-lo inapto — constitui problema recorrente nos JEFs. O segurado fica sem renda de qualquer fonte: não recebe benefício do INSS e não recebe salário do empregador. Nessa hipótese, a jurisprudência tem admitido o restabelecimento do benefício ou, quando a incapacidade for permanente, a concessão direta da aposentadoria.</w:t>
      </w:r>
    </w:p>
    <w:p w14:paraId="6579D765" w14:textId="77777777" w:rsidR="005A5FCC" w:rsidRDefault="00A21C81">
      <w:pPr>
        <w:spacing w:before="260" w:after="80" w:line="240" w:lineRule="auto"/>
        <w:jc w:val="left"/>
      </w:pPr>
      <w:r>
        <w:rPr>
          <w:rFonts w:cs="EB Garamond"/>
          <w:b/>
          <w:color w:val="3A3128"/>
          <w:kern w:val="16"/>
          <w:sz w:val="25"/>
          <w14:ligatures w14:val="standardContextual"/>
        </w:rPr>
        <w:t>6.8.2 Revisão periódica (art. 101) e o "pente-fino"</w:t>
      </w:r>
    </w:p>
    <w:p w14:paraId="0E492B1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2806CC53" w14:textId="77777777" w:rsidR="005A5FCC" w:rsidRDefault="00A21C81">
      <w:r>
        <w:rPr>
          <w:rFonts w:cs="EB Garamond"/>
          <w:kern w:val="16"/>
          <w14:ligatures w14:val="standardContextual"/>
        </w:rPr>
        <w:t xml:space="preserve"> art. 101 da Lei 8.213/91, cuja redação vigente resulta da Lei 13.457/2017 (que converteu a MP 767/2017 e consolidou as alterações supervenientes ao texto originário), impõe ao aposentado por incapacidade permanente a obrigação de submeter-se a exame médico-pericial periódico, sob pena de suspensão do benefício. A finalidade é verificar se persiste a condição de incapacidade que motivou a concessão. A chamada operação "pente-fino" do INSS, programa de revisão em massa de benefícios por incapacidade, fundamenta-se nesse dispositivo.</w:t>
      </w:r>
    </w:p>
    <w:p w14:paraId="27D9641F" w14:textId="77777777" w:rsidR="005A5FCC" w:rsidRDefault="00A21C81">
      <w:pPr>
        <w:ind w:firstLine="238"/>
      </w:pPr>
      <w:r>
        <w:rPr>
          <w:rFonts w:cs="EB Garamond"/>
          <w:kern w:val="16"/>
          <w14:ligatures w14:val="standardContextual"/>
        </w:rPr>
        <w:lastRenderedPageBreak/>
        <w:t>A Lei 13.457/2017 introduziu, no § 1º do art. 101, hipóteses de isenção do exame periódico. Estão dispensados da revisão: (I) o aposentado que tiver completado 55 anos de idade ou mais, quando decorridos quinze anos da data da concessão da aposentadoria por incapacidade permanente ou do auxílio por incapacidade temporária que a precedeu; e (II) o aposentado que tiver completado 60 anos de idade. As isenções não se aplicam, contudo, quando o exame visar: (a) verificar a necessidade de assistência permanente de outra pessoa para fins do acréscimo de 25%; (b) verificar a recuperação da capacidade de trabalho, quando solicitada pelo próprio aposentado; ou (c) subsidiar autoridade judiciária na concessão de curatela.</w:t>
      </w:r>
    </w:p>
    <w:p w14:paraId="59E2B62D" w14:textId="77777777" w:rsidR="005A5FCC" w:rsidRDefault="00A21C81">
      <w:pPr>
        <w:ind w:firstLine="238"/>
      </w:pPr>
      <w:r>
        <w:rPr>
          <w:rFonts w:cs="EB Garamond"/>
          <w:kern w:val="16"/>
          <w14:ligatures w14:val="standardContextual"/>
        </w:rPr>
        <w:t>Se a perícia médica concluir que a incapacidade permanente é irreversível ou irrecuperável, o aposentado ficará isento de exames periódicos. Essa disposição tem aplicação relevante nos casos de doenças degenerativas, amputações, cegueira irreversível e outras condições médicas cuja reversão é cientificamente impossível.</w:t>
      </w:r>
    </w:p>
    <w:p w14:paraId="6973D009" w14:textId="77777777" w:rsidR="005A5FCC" w:rsidRDefault="00A21C81">
      <w:pPr>
        <w:ind w:firstLine="238"/>
      </w:pPr>
      <w:r>
        <w:rPr>
          <w:rFonts w:cs="EB Garamond"/>
          <w:kern w:val="16"/>
          <w14:ligatures w14:val="standardContextual"/>
        </w:rPr>
        <w:t>A operação "pente-fino", implementada pelo INSS a partir de 2016, resultou na cessação de milhares de benefícios por incapacidade em todo o país. O volume de cessações gerou expressivo aumento de demandas nos JEFs por parte de segurados que tiveram seus benefícios cancelados. A jurisprudência tem sido criteriosa na análise desses casos, exigindo que o INSS demonstre a efetiva recuperação da capacidade laborativa, e não apenas a ausência de comparecimento do segurado à perícia de revisão — que pode decorrer de fatores alheios à sua vontade, como dificuldade de locomoção, desconhecimento da convocação ou impossibilidade de acesso à agência previdenciária.</w:t>
      </w:r>
    </w:p>
    <w:p w14:paraId="1B00D47F" w14:textId="77777777" w:rsidR="005A5FCC" w:rsidRDefault="00A21C81">
      <w:pPr>
        <w:spacing w:before="260" w:after="80" w:line="240" w:lineRule="auto"/>
        <w:jc w:val="left"/>
      </w:pPr>
      <w:r>
        <w:rPr>
          <w:rFonts w:cs="EB Garamond"/>
          <w:b/>
          <w:color w:val="3A3128"/>
          <w:kern w:val="16"/>
          <w:sz w:val="25"/>
          <w14:ligatures w14:val="standardContextual"/>
        </w:rPr>
        <w:t>6.8.3 Cessação e retorno ao trabalho</w:t>
      </w:r>
    </w:p>
    <w:p w14:paraId="09E4BCD8"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272D607E" w14:textId="77777777" w:rsidR="005A5FCC" w:rsidRDefault="00A21C81">
      <w:r>
        <w:rPr>
          <w:rFonts w:cs="EB Garamond"/>
          <w:kern w:val="16"/>
          <w14:ligatures w14:val="standardContextual"/>
        </w:rPr>
        <w:t xml:space="preserve"> cessação da aposentadoria por incapacidade permanente ocorre quando o segurado recupera a capacidade laborativa, verificada mediante perícia médica (art. 46 da Lei 8.213/91). O legislador, contudo, previu mecanismos de transição para proteger o segurado que retorna ao trabalho.</w:t>
      </w:r>
    </w:p>
    <w:p w14:paraId="12DB9A31" w14:textId="77777777" w:rsidR="005A5FCC" w:rsidRDefault="00A21C81">
      <w:pPr>
        <w:ind w:firstLine="238"/>
      </w:pPr>
      <w:r>
        <w:rPr>
          <w:rFonts w:cs="EB Garamond"/>
          <w:kern w:val="16"/>
          <w14:ligatures w14:val="standardContextual"/>
        </w:rPr>
        <w:t xml:space="preserve">O art. 47 da Lei 8.213/91 estabelece regras de cessação gradativa estruturadas em dois incisos, conforme o momento e a extensão da recuperação. O inciso I disciplina a recuperação </w:t>
      </w:r>
      <w:r>
        <w:rPr>
          <w:rFonts w:cs="EB Garamond"/>
          <w:b/>
          <w:kern w:val="16"/>
          <w14:ligatures w14:val="standardContextual"/>
        </w:rPr>
        <w:t>total</w:t>
      </w:r>
      <w:r>
        <w:rPr>
          <w:rFonts w:cs="EB Garamond"/>
          <w:kern w:val="16"/>
          <w14:ligatures w14:val="standardContextual"/>
        </w:rPr>
        <w:t xml:space="preserve"> verificada dentro de cinco anos contados do início </w:t>
      </w:r>
      <w:r>
        <w:rPr>
          <w:rFonts w:cs="EB Garamond"/>
          <w:kern w:val="16"/>
          <w14:ligatures w14:val="standardContextual"/>
        </w:rPr>
        <w:lastRenderedPageBreak/>
        <w:t xml:space="preserve">da aposentadoria por incapacidade permanente (ou do auxílio por incapacidade temporária que a antecedeu sem interrupção): para o segurado empregado com direito a retornar à função que exercia na empresa, o benefício cessa de imediato (alínea "a"); para os demais segurados, o benefício é mantido por tantos meses quantos tenham sido os anos de duração do benefício, observado o limite de um mês de manutenção para cada ano (alínea "b"). O inciso II abrange três situações — recuperação </w:t>
      </w:r>
      <w:r>
        <w:rPr>
          <w:rFonts w:cs="EB Garamond"/>
          <w:b/>
          <w:kern w:val="16"/>
          <w14:ligatures w14:val="standardContextual"/>
        </w:rPr>
        <w:t>parcial</w:t>
      </w:r>
      <w:r>
        <w:rPr>
          <w:rFonts w:cs="EB Garamond"/>
          <w:kern w:val="16"/>
          <w14:ligatures w14:val="standardContextual"/>
        </w:rPr>
        <w:t xml:space="preserve">, recuperação total verificada </w:t>
      </w:r>
      <w:r>
        <w:rPr>
          <w:rFonts w:cs="EB Garamond"/>
          <w:b/>
          <w:kern w:val="16"/>
          <w14:ligatures w14:val="standardContextual"/>
        </w:rPr>
        <w:t>após</w:t>
      </w:r>
      <w:r>
        <w:rPr>
          <w:rFonts w:cs="EB Garamond"/>
          <w:kern w:val="16"/>
          <w14:ligatures w14:val="standardContextual"/>
        </w:rPr>
        <w:t xml:space="preserve"> o quinquênio, ou aptidão para trabalho </w:t>
      </w:r>
      <w:r>
        <w:rPr>
          <w:rFonts w:cs="EB Garamond"/>
          <w:b/>
          <w:kern w:val="16"/>
          <w14:ligatures w14:val="standardContextual"/>
        </w:rPr>
        <w:t>diverso</w:t>
      </w:r>
      <w:r>
        <w:rPr>
          <w:rFonts w:cs="EB Garamond"/>
          <w:kern w:val="16"/>
          <w14:ligatures w14:val="standardContextual"/>
        </w:rPr>
        <w:t xml:space="preserve"> do habitual — e prevê, em todas elas, uma redução escalonada: o benefício é mantido em valor </w:t>
      </w:r>
      <w:r>
        <w:rPr>
          <w:rFonts w:cs="EB Garamond"/>
          <w:b/>
          <w:kern w:val="16"/>
          <w14:ligatures w14:val="standardContextual"/>
        </w:rPr>
        <w:t>integral durante seis meses</w:t>
      </w:r>
      <w:r>
        <w:rPr>
          <w:rFonts w:cs="EB Garamond"/>
          <w:kern w:val="16"/>
          <w14:ligatures w14:val="standardContextual"/>
        </w:rPr>
        <w:t xml:space="preserve"> contados da verificação da recuperação (alínea "a"); reduzido a </w:t>
      </w:r>
      <w:r>
        <w:rPr>
          <w:rFonts w:cs="EB Garamond"/>
          <w:b/>
          <w:kern w:val="16"/>
          <w14:ligatures w14:val="standardContextual"/>
        </w:rPr>
        <w:t>50%</w:t>
      </w:r>
      <w:r>
        <w:rPr>
          <w:rFonts w:cs="EB Garamond"/>
          <w:kern w:val="16"/>
          <w14:ligatures w14:val="standardContextual"/>
        </w:rPr>
        <w:t xml:space="preserve"> pelo período seguinte de </w:t>
      </w:r>
      <w:r>
        <w:rPr>
          <w:rFonts w:cs="EB Garamond"/>
          <w:b/>
          <w:kern w:val="16"/>
          <w14:ligatures w14:val="standardContextual"/>
        </w:rPr>
        <w:t>seis meses</w:t>
      </w:r>
      <w:r>
        <w:rPr>
          <w:rFonts w:cs="EB Garamond"/>
          <w:kern w:val="16"/>
          <w14:ligatures w14:val="standardContextual"/>
        </w:rPr>
        <w:t xml:space="preserve"> (alínea "b"); e reduzido a </w:t>
      </w:r>
      <w:r>
        <w:rPr>
          <w:rFonts w:cs="EB Garamond"/>
          <w:b/>
          <w:kern w:val="16"/>
          <w14:ligatures w14:val="standardContextual"/>
        </w:rPr>
        <w:t>25%</w:t>
      </w:r>
      <w:r>
        <w:rPr>
          <w:rFonts w:cs="EB Garamond"/>
          <w:kern w:val="16"/>
          <w14:ligatures w14:val="standardContextual"/>
        </w:rPr>
        <w:t xml:space="preserve"> — isto é, com corte de 75% do valor — pelos </w:t>
      </w:r>
      <w:r>
        <w:rPr>
          <w:rFonts w:cs="EB Garamond"/>
          <w:b/>
          <w:kern w:val="16"/>
          <w14:ligatures w14:val="standardContextual"/>
        </w:rPr>
        <w:t>seis meses</w:t>
      </w:r>
      <w:r>
        <w:rPr>
          <w:rFonts w:cs="EB Garamond"/>
          <w:kern w:val="16"/>
          <w14:ligatures w14:val="standardContextual"/>
        </w:rPr>
        <w:t xml:space="preserve"> finais, ao término dos quais cessa definitivamente (alínea "c").</w:t>
      </w:r>
    </w:p>
    <w:p w14:paraId="0DB70A2B" w14:textId="77777777" w:rsidR="005A5FCC" w:rsidRDefault="00A21C81">
      <w:pPr>
        <w:ind w:firstLine="238"/>
      </w:pPr>
      <w:r>
        <w:rPr>
          <w:rFonts w:cs="EB Garamond"/>
          <w:kern w:val="16"/>
          <w14:ligatures w14:val="standardContextual"/>
        </w:rPr>
        <w:t>Essas regras de transição visam evitar a cessação abrupta do benefício, reconhecendo que o retorno ao trabalho após período prolongado de afastamento é processo gradual e sujeito a riscos de recaída. Na prática dos JEFs, as ações de restabelecimento de aposentadoria por incapacidade permanente — quando o segurado tem o benefício cessado pelo INSS após perícia de revisão e alega persistência da incapacidade — constituem parcela significativa do contencioso previdenciário.</w:t>
      </w:r>
    </w:p>
    <w:p w14:paraId="420DC839" w14:textId="77777777" w:rsidR="005A5FCC" w:rsidRDefault="00A21C81">
      <w:pPr>
        <w:ind w:firstLine="238"/>
      </w:pPr>
      <w:r>
        <w:rPr>
          <w:rFonts w:cs="EB Garamond"/>
          <w:kern w:val="16"/>
          <w14:ligatures w14:val="standardContextual"/>
        </w:rPr>
        <w:t>Note-se que os critérios etários de isenção do exame pericial periódico (55 anos + 15 anos de benefício; ou 60 anos de idade) estão previstos no art. 101, § 1º, da Lei 8.213/91, e não no art. 47, que trata exclusivamente das regras de cessação gradativa.</w:t>
      </w:r>
    </w:p>
    <w:p w14:paraId="25C6F9D1"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6.9 Aposentadoria por incapacidade permanente acidentária</w:t>
      </w:r>
    </w:p>
    <w:p w14:paraId="5D6A88DC"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5B115A21" w14:textId="77777777" w:rsidR="005A5FCC" w:rsidRDefault="00A21C81">
      <w:r>
        <w:rPr>
          <w:rFonts w:cs="EB Garamond"/>
          <w:kern w:val="16"/>
          <w14:ligatures w14:val="standardContextual"/>
        </w:rPr>
        <w:t xml:space="preserve"> aposentadoria por incapacidade permanente pode ter natureza previdenciária (quando decorrente de doença comum) ou acidentária (quando decorrente de acidente de trabalho, doença profissional ou doença do trabalho). A distinção possui relevância prática em múltiplas dimensões: carência, </w:t>
      </w:r>
      <w:r>
        <w:rPr>
          <w:rFonts w:cs="EB Garamond"/>
          <w:kern w:val="16"/>
          <w14:ligatures w14:val="standardContextual"/>
        </w:rPr>
        <w:lastRenderedPageBreak/>
        <w:t>cálculo do benefício, responsabilidade tributária, estabilidade provisória e competência jurisdicional.</w:t>
      </w:r>
    </w:p>
    <w:p w14:paraId="43BB87A5" w14:textId="77777777" w:rsidR="005A5FCC" w:rsidRDefault="00A21C81">
      <w:pPr>
        <w:spacing w:before="260" w:after="80" w:line="240" w:lineRule="auto"/>
        <w:jc w:val="left"/>
      </w:pPr>
      <w:r>
        <w:rPr>
          <w:rFonts w:cs="EB Garamond"/>
          <w:b/>
          <w:color w:val="3A3128"/>
          <w:kern w:val="16"/>
          <w:sz w:val="25"/>
          <w14:ligatures w14:val="standardContextual"/>
        </w:rPr>
        <w:t>6.9.1 Distinção da aposentadoria previdenciária</w:t>
      </w:r>
    </w:p>
    <w:p w14:paraId="0C4F8EC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63240C01" w14:textId="77777777" w:rsidR="005A5FCC" w:rsidRDefault="00A21C81">
      <w:r>
        <w:rPr>
          <w:rFonts w:cs="EB Garamond"/>
          <w:kern w:val="16"/>
          <w14:ligatures w14:val="standardContextual"/>
        </w:rPr>
        <w:t xml:space="preserve"> aposentadoria por incapacidade permanente acidentária difere da previdenciária em aspectos essenciais. A carência é dispensada (art. 26, II, Lei 8.213/91; v. Cap. 3, seção 3.3.2, para o detalhamento das hipóteses de dispensa). O cálculo da renda mensal é mais favorável: a EC 103/2019 manteve a integralidade (100% do salário de benefício) para a aposentadoria por incapacidade permanente decorrente de acidente de trabalho, doença profissional e doença do trabalho (art. 26, § 3º, II, da EC 103/2019). O empregado que sofre acidente de trabalho tem garantida a estabilidade provisória de doze meses após a cessação do auxílio por incapacidade temporária acidentário (art. 118 da Lei 8.213/91).</w:t>
      </w:r>
    </w:p>
    <w:p w14:paraId="78ED5B4D" w14:textId="77777777" w:rsidR="005A5FCC" w:rsidRDefault="00A21C81">
      <w:pPr>
        <w:ind w:firstLine="238"/>
      </w:pPr>
      <w:r>
        <w:rPr>
          <w:rFonts w:cs="EB Garamond"/>
          <w:kern w:val="16"/>
          <w14:ligatures w14:val="standardContextual"/>
        </w:rPr>
        <w:t>Para a caracterização do benefício como acidentário, é necessário demonstrar o nexo causal entre a incapacidade e o trabalho. O nexo pode ser estabelecido por três vias: (i) a Comunicação de Acidente de Trabalho (CAT), emitida pela empresa; (ii) a investigação pela perícia médica do INSS; ou (iii) o Nexo Técnico Epidemiológico Previdenciário (NTEP).</w:t>
      </w:r>
    </w:p>
    <w:p w14:paraId="44D48A1D" w14:textId="77777777" w:rsidR="005A5FCC" w:rsidRDefault="00A21C81">
      <w:pPr>
        <w:spacing w:before="260" w:after="80" w:line="240" w:lineRule="auto"/>
        <w:jc w:val="left"/>
      </w:pPr>
      <w:r>
        <w:rPr>
          <w:rFonts w:cs="EB Garamond"/>
          <w:b/>
          <w:color w:val="3A3128"/>
          <w:kern w:val="16"/>
          <w:sz w:val="25"/>
          <w14:ligatures w14:val="standardContextual"/>
        </w:rPr>
        <w:t>6.9.2 Nexo técnico epidemiológico (NTEP)</w:t>
      </w:r>
    </w:p>
    <w:p w14:paraId="28C35F2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6A26A5EC" w14:textId="77777777" w:rsidR="005A5FCC" w:rsidRDefault="00A21C81">
      <w:r>
        <w:rPr>
          <w:rFonts w:cs="EB Garamond"/>
          <w:kern w:val="16"/>
          <w14:ligatures w14:val="standardContextual"/>
        </w:rPr>
        <w:t xml:space="preserve"> Nexo Técnico Epidemiológico Previdenciário, instituído pela Lei n. 11.430, de 26 de dezembro de 2006, e regulamentado pelo Decreto 6.042/2007, constitui instrumento de presunção relativa do nexo causal entre a doença e o trabalho. O NTEP opera a partir da correlação estatística entre o código da doença (CID-10) e o código da atividade econômica do empregador (CNAE): quando a doença do segurado consta na lista do NTEP como estatisticamente associada à atividade econômica da empresa, presume-se que a incapacidade tem origem ocupacional.</w:t>
      </w:r>
    </w:p>
    <w:p w14:paraId="67B83C81" w14:textId="77777777" w:rsidR="005A5FCC" w:rsidRDefault="00A21C81">
      <w:pPr>
        <w:ind w:firstLine="238"/>
      </w:pPr>
      <w:r>
        <w:rPr>
          <w:rFonts w:cs="EB Garamond"/>
          <w:kern w:val="16"/>
          <w14:ligatures w14:val="standardContextual"/>
        </w:rPr>
        <w:t xml:space="preserve">A presunção é relativa — admite prova em contrário pela empresa, que pode demonstrar, em procedimento administrativo, a inexistência de nexo causal no caso concreto. O art. 21-A, § 1º, da Lei 8.213/91 prevê que "a empresa poderá </w:t>
      </w:r>
      <w:r>
        <w:rPr>
          <w:rFonts w:cs="EB Garamond"/>
          <w:kern w:val="16"/>
          <w14:ligatures w14:val="standardContextual"/>
        </w:rPr>
        <w:lastRenderedPageBreak/>
        <w:t>requerer a não aplicação do nexo técnico epidemiológico, de cuja decisão caberá recurso, com efeito suspensivo, da empresa ou do segurado, ao Conselho de Recursos da Previdência Social". A inversão do ônus da prova operada pelo NTEP tem relevância processual: nas ações judiciais, cabe à empresa ou ao INSS demonstrar a ausência de nexo causal, e não ao segurado provar a existência do nexo.</w:t>
      </w:r>
    </w:p>
    <w:p w14:paraId="21F5FEAD" w14:textId="77777777" w:rsidR="005A5FCC" w:rsidRDefault="00A21C81">
      <w:pPr>
        <w:ind w:firstLine="238"/>
      </w:pPr>
      <w:r>
        <w:rPr>
          <w:rFonts w:cs="EB Garamond"/>
          <w:kern w:val="16"/>
          <w14:ligatures w14:val="standardContextual"/>
        </w:rPr>
        <w:t>O STF declarou constitucional o NTEP, reconhecendo que a presunção relativa de nexo causal baseada em dados epidemiológicos é instrumento legítimo de proteção ao trabalhador, compatível com o art. 7º, XXVIII, da Constituição Federal. A lista de correlações entre códigos CID-10 e CNAE é periodicamente atualizada com base em estudos epidemiológicos do Ministério da Previdência Social. Quando a combinação CID-10 x CNAE da empresa do segurado está na lista do NTEP, o sistema informatizado do INSS gera automaticamente a presunção de acidente de trabalho, enquadrando o benefício como acidentário (espécie B91 ou B92) em vez de previdenciário (espécie B31 ou B32). A distinção de espécie impacta diretamente o custeio (SAT/RAT da empresa), a estabilidade provisória do empregado e, após a EC 103/2019, o cálculo da renda mensal.</w:t>
      </w:r>
    </w:p>
    <w:p w14:paraId="7537F635" w14:textId="77777777" w:rsidR="005A5FCC" w:rsidRDefault="00A21C81">
      <w:pPr>
        <w:ind w:firstLine="238"/>
      </w:pPr>
      <w:r>
        <w:rPr>
          <w:rFonts w:cs="EB Garamond"/>
          <w:kern w:val="16"/>
          <w14:ligatures w14:val="standardContextual"/>
        </w:rPr>
        <w:t>Na prática dos JEFs, a questão do nexo causal assume relevância quando o INSS concede benefício por incapacidade na espécie previdenciária (B31/B32), mas o segurado sustenta que a incapacidade tem origem ocupacional e pleiteia o enquadramento como acidentário (B91/B92). A conversão da espécie beneficiária pode ser pleiteada judicialmente, com impactos retroativos na estabilidade provisória, nos depósitos de FGTS durante o afastamento e, após a EC 103/2019, no cálculo da renda mensal (100% vs. 60% + 2% por ano).</w:t>
      </w:r>
    </w:p>
    <w:p w14:paraId="7EED3467" w14:textId="77777777" w:rsidR="005A5FCC" w:rsidRDefault="00A21C81">
      <w:pPr>
        <w:spacing w:before="260" w:after="80" w:line="240" w:lineRule="auto"/>
        <w:jc w:val="left"/>
      </w:pPr>
      <w:r>
        <w:rPr>
          <w:rFonts w:cs="EB Garamond"/>
          <w:b/>
          <w:color w:val="3A3128"/>
          <w:kern w:val="16"/>
          <w:sz w:val="25"/>
          <w14:ligatures w14:val="standardContextual"/>
        </w:rPr>
        <w:t>6.9.3 Cálculo: integralidade mantida</w:t>
      </w:r>
    </w:p>
    <w:p w14:paraId="6D005C03"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41D6BE06" w14:textId="77777777" w:rsidR="005A5FCC" w:rsidRDefault="00A21C81">
      <w:r>
        <w:rPr>
          <w:rFonts w:cs="EB Garamond"/>
          <w:kern w:val="16"/>
          <w14:ligatures w14:val="standardContextual"/>
        </w:rPr>
        <w:t xml:space="preserve"> EC 103/2019, ao alterar o cálculo da aposentadoria por incapacidade permanente previdenciária (de 100% para 60% + 2% por ano), manteve expressamente a integralidade para a aposentadoria por incapacidade permanente acidentária. O art. 26, § 3º, II, da EC 103/2019 dispõe que a aposentadoria por incapacidade permanente "será de 100% quando decorrer de acidente de trabalho, de doença profissional e de doença do trabalho".</w:t>
      </w:r>
    </w:p>
    <w:p w14:paraId="6644CB69" w14:textId="77777777" w:rsidR="005A5FCC" w:rsidRDefault="00A21C81">
      <w:pPr>
        <w:ind w:firstLine="238"/>
      </w:pPr>
      <w:r>
        <w:rPr>
          <w:rFonts w:cs="EB Garamond"/>
          <w:kern w:val="16"/>
          <w14:ligatures w14:val="standardContextual"/>
        </w:rPr>
        <w:lastRenderedPageBreak/>
        <w:t>Essa distinção de tratamento entre a incapacidade previdenciária e a acidentária reflete a especial proteção constitucional conferida ao trabalhador que sofre infortúnio laboral. O risco profissional, a exposição a perigos inerentes à atividade econômica, justifica regime mais favorável, tanto na dispensa de carência quanto na integralidade do cálculo.</w:t>
      </w:r>
    </w:p>
    <w:p w14:paraId="783C762C"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6.10 Questões controvertidas</w:t>
      </w:r>
    </w:p>
    <w:p w14:paraId="428E7FED" w14:textId="77777777" w:rsidR="005A5FCC" w:rsidRDefault="00A21C81">
      <w:pPr>
        <w:spacing w:before="260" w:after="80" w:line="240" w:lineRule="auto"/>
        <w:jc w:val="left"/>
      </w:pPr>
      <w:r>
        <w:rPr>
          <w:rFonts w:cs="EB Garamond"/>
          <w:b/>
          <w:color w:val="3A3128"/>
          <w:kern w:val="16"/>
          <w:sz w:val="25"/>
          <w14:ligatures w14:val="standardContextual"/>
        </w:rPr>
        <w:t>6.10.1 Cumulação com auxílio-acidente</w:t>
      </w:r>
    </w:p>
    <w:p w14:paraId="6FCE905F"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62856E37" w14:textId="77777777" w:rsidR="005A5FCC" w:rsidRDefault="00A21C81">
      <w:r>
        <w:rPr>
          <w:rFonts w:cs="EB Garamond"/>
          <w:kern w:val="16"/>
          <w14:ligatures w14:val="standardContextual"/>
        </w:rPr>
        <w:t xml:space="preserve"> auxílio-acidente (art. 86 da Lei 8.213/91) é benefício de natureza indenizatória, devido ao segurado que, após a consolidação de lesão decorrente de acidente de qualquer natureza, apresente sequela que reduza sua capacidade para o trabalho habitualmente exercido. A questão da cumulação do auxílio-acidente com a aposentadoria por incapacidade permanente é resolvida pelo art. 86, § 2º: o auxílio-acidente é incorporado ao salário de contribuição e, quando da concessão de qualquer aposentadoria, integra o cálculo do salário de benefício. Após a concessão da aposentadoria, o auxílio-acidente cessa.</w:t>
      </w:r>
    </w:p>
    <w:p w14:paraId="33E22ECA" w14:textId="77777777" w:rsidR="005A5FCC" w:rsidRDefault="00A21C81">
      <w:pPr>
        <w:ind w:firstLine="238"/>
      </w:pPr>
      <w:r>
        <w:rPr>
          <w:rFonts w:cs="EB Garamond"/>
          <w:kern w:val="16"/>
          <w14:ligatures w14:val="standardContextual"/>
        </w:rPr>
        <w:t>A regra é lógica: se o segurado recebia auxílio-acidente (indenização pela redução de capacidade) e posteriormente se aposenta (por qualquer modalidade), o auxílio-acidente perde a razão de ser — a aposentadoria substitui a remuneração do trabalho, e o auxílio-acidente somente faz sentido enquanto o segurado está em atividade. A incorporação ao salário de contribuição assegura que o período de recebimento do auxílio-acidente não prejudique o cálculo da aposentadoria.</w:t>
      </w:r>
    </w:p>
    <w:p w14:paraId="0729CA10" w14:textId="77777777" w:rsidR="005A5FCC" w:rsidRDefault="00A21C81">
      <w:pPr>
        <w:spacing w:before="260" w:after="80" w:line="240" w:lineRule="auto"/>
        <w:jc w:val="left"/>
      </w:pPr>
      <w:r>
        <w:rPr>
          <w:rFonts w:cs="EB Garamond"/>
          <w:b/>
          <w:color w:val="3A3128"/>
          <w:kern w:val="16"/>
          <w:sz w:val="25"/>
          <w14:ligatures w14:val="standardContextual"/>
        </w:rPr>
        <w:t>6.10.2 Aposentadoria por incapacidade e BPC</w:t>
      </w:r>
    </w:p>
    <w:p w14:paraId="693970A5"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Q</w:t>
      </w:r>
    </w:p>
    <w:p w14:paraId="5BA369EB" w14:textId="77777777" w:rsidR="005A5FCC" w:rsidRDefault="00A21C81">
      <w:r>
        <w:rPr>
          <w:rFonts w:cs="EB Garamond"/>
          <w:kern w:val="16"/>
          <w14:ligatures w14:val="standardContextual"/>
        </w:rPr>
        <w:t xml:space="preserve">uando o segurado não preenche os requisitos para a aposentadoria por incapacidade permanente (por falta de qualidade de segurado, carência ou outro motivo), pode fazer jus ao Benefício de Prestação Continuada — BPC (art. 20, Lei 8.742/93). A jurisprudência admite a fungibilidade entre os pedidos (Súmula 77/TNU, em leitura conjunta com a Súmula 47). A Súmula 77 estabelece: "O julgador não é obrigado a analisar as condições pessoais e sociais </w:t>
      </w:r>
      <w:r>
        <w:rPr>
          <w:rFonts w:cs="EB Garamond"/>
          <w:kern w:val="16"/>
          <w14:ligatures w14:val="standardContextual"/>
        </w:rPr>
        <w:lastRenderedPageBreak/>
        <w:t>quando não reconhecer a incapacidade do requerente para a sua atividade habitual". A interpretação conjunta com a Súmula 47 revela que, reconhecida a incapacidade ao menos parcial, o juiz deve analisar as condições pessoais; não reconhecida sequer a incapacidade parcial, não há obrigação de análise socioeconômica para fins de aposentadoria — mas pode haver para fins de BPC.</w:t>
      </w:r>
    </w:p>
    <w:p w14:paraId="27233F81" w14:textId="77777777" w:rsidR="005A5FCC" w:rsidRDefault="00A21C81">
      <w:pPr>
        <w:ind w:firstLine="238"/>
      </w:pPr>
      <w:r>
        <w:rPr>
          <w:rFonts w:cs="EB Garamond"/>
          <w:kern w:val="16"/>
          <w14:ligatures w14:val="standardContextual"/>
        </w:rPr>
        <w:t>A fungibilidade opera nas duas direções. Na primeira, o segurado pleiteia aposentadoria por incapacidade permanente, mas o juiz verifica que não há qualidade de segurado ou carência; se as condições de miserabilidade e de deficiência (no conceito ampliado pela Lei Brasileira de Inclusão, Lei n. 13.146/2015) estão presentes, pode conceder o BPC sem necessidade de nova ação. Na segunda, o segurado pleiteia BPC, mas o juiz verifica que possui qualidade de segurado e carência, preenchendo os requisitos para benefício previdenciário mais vantajoso — hipótese em que pode conceder a aposentadoria por incapacidade permanente.</w:t>
      </w:r>
    </w:p>
    <w:p w14:paraId="0E47F742" w14:textId="77777777" w:rsidR="005A5FCC" w:rsidRDefault="00A21C81">
      <w:pPr>
        <w:ind w:firstLine="238"/>
      </w:pPr>
      <w:r>
        <w:rPr>
          <w:rFonts w:cs="EB Garamond"/>
          <w:kern w:val="16"/>
          <w14:ligatures w14:val="standardContextual"/>
        </w:rPr>
        <w:t>A fungibilidade, contudo, encontra limites processuais que o julgador não pode ignorar. Por força do Tema 350/STF, a concessão de benefício previdenciário ou assistencial pressupõe prévio requerimento administrativo da espécie deferida, de modo a configurar o interesse de agir. Daí que a conversão judicial de um pedido de aposentadoria por incapacidade em BPC — ou vice-versa — não dispensa, em rigor, o requerimento administrativo da espécie concedida: pleiteada na via administrativa apenas a aposentadoria, pode faltar interesse de agir quanto ao BPC assistencial, cuja análise socioeconômica (miserabilidade) sequer foi submetida ao INSS. A jurisprudência tem mitigado esse óbice quando o conjunto fático-probatório levado a juízo é substancialmente o mesmo que seria apreciado na via administrativa, ou quando a postura do INSS torna inútil o novo requerimento; fora dessas hipóteses, porém, a fungibilidade não supre a ausência de requerimento administrativo da espécie efetivamente concedida. Cabe ao magistrado, portanto, aferir caso a caso se a pretensão assistencial foi ao menos potencialmente submetida ao crivo administrativo antes de operar a conversão.</w:t>
      </w:r>
    </w:p>
    <w:p w14:paraId="79E545B6" w14:textId="77777777" w:rsidR="005A5FCC" w:rsidRDefault="00A21C81">
      <w:pPr>
        <w:ind w:firstLine="238"/>
      </w:pPr>
      <w:r>
        <w:rPr>
          <w:rFonts w:cs="EB Garamond"/>
          <w:kern w:val="16"/>
          <w14:ligatures w14:val="standardContextual"/>
        </w:rPr>
        <w:t>A distinção prática é relevante: a aposentadoria é contributiva, gera pensão por morte e admite adicional de 25%; o BPC é assistencial, de um salário mínimo, intransferível. O conceito amplo de deficiência adotado pela Lei 13.146/2015 (modelo biopsicossocial — v. Seção 6.3.5, supra) e a avaliação multiprofissional para fins de BPC são tratados no Capítulo 18.</w:t>
      </w:r>
    </w:p>
    <w:p w14:paraId="6BB053CC" w14:textId="77777777" w:rsidR="005A5FCC" w:rsidRDefault="00A21C81">
      <w:pPr>
        <w:spacing w:before="260" w:after="80" w:line="240" w:lineRule="auto"/>
        <w:jc w:val="left"/>
      </w:pPr>
      <w:r>
        <w:rPr>
          <w:rFonts w:cs="EB Garamond"/>
          <w:b/>
          <w:color w:val="3A3128"/>
          <w:kern w:val="16"/>
          <w:sz w:val="25"/>
          <w14:ligatures w14:val="standardContextual"/>
        </w:rPr>
        <w:lastRenderedPageBreak/>
        <w:t>6.10.3 Reabilitação profissional e o benefício de última ratio</w:t>
      </w:r>
    </w:p>
    <w:p w14:paraId="668B9C8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15013579" w14:textId="77777777" w:rsidR="005A5FCC" w:rsidRDefault="00A21C81">
      <w:r>
        <w:rPr>
          <w:rFonts w:cs="EB Garamond"/>
          <w:kern w:val="16"/>
          <w14:ligatures w14:val="standardContextual"/>
        </w:rPr>
        <w:t xml:space="preserve"> aposentadoria por incapacidade permanente é, no desenho legislativo, benefício de última ratio — somente concedida quando esgotadas as possibilidades de reabilitação profissional. O Programa de Reabilitação Profissional do INSS (arts. 89 a 93 da Lei 8.213/91) tem por finalidade proporcionar ao segurado incapaz para o trabalho habitual meios para a readaptação profissional.</w:t>
      </w:r>
    </w:p>
    <w:p w14:paraId="6A6D268A" w14:textId="77777777" w:rsidR="005A5FCC" w:rsidRDefault="00A21C81">
      <w:pPr>
        <w:ind w:firstLine="238"/>
      </w:pPr>
      <w:r>
        <w:rPr>
          <w:rFonts w:cs="EB Garamond"/>
          <w:kern w:val="16"/>
          <w14:ligatures w14:val="standardContextual"/>
        </w:rPr>
        <w:t>Na prática, o Programa enfrenta limitações estruturais que comprometem sua eficácia: escassez de recursos humanos e materiais, concentração dos centros de reabilitação nos grandes centros urbanos, inadequação dos cursos oferecidos à realidade do mercado de trabalho local e ausência de acompanhamento pós-reabilitação. A TNU tem reiteradamente entendido que a mera inscrição do segurado no Programa, sem oferta concreta e eficaz de capacitação, não impede a concessão da aposentadoria por incapacidade permanente. O ônus de demonstrar a viabilidade da reabilitação recai sobre o INSS — não basta a alegação genérica de que o segurado "pode" ser reabilitado; é necessário demonstrar que existe programa acessível, adequado às condições pessoais do segurado e com perspectiva real de reinserção no mercado de trabalho.</w:t>
      </w:r>
    </w:p>
    <w:p w14:paraId="786C7630" w14:textId="77777777" w:rsidR="005A5FCC" w:rsidRDefault="00A21C81">
      <w:pPr>
        <w:ind w:firstLine="238"/>
      </w:pPr>
      <w:r>
        <w:rPr>
          <w:rFonts w:cs="EB Garamond"/>
          <w:kern w:val="16"/>
          <w14:ligatures w14:val="standardContextual"/>
        </w:rPr>
        <w:t>O art. 62 da Lei 8.213/91, ao prever que o segurado insusceptível de recuperação para a atividade habitual "deverá submeter-se a processo de reabilitação profissional para o exercício de outra atividade", estabelece uma sequência lógica: primeiro, a tentativa de reabilitação; depois, se frustrada, a concessão da aposentadoria. Na via judicial, essa sequência é frequentemente invertida: o segurado pleiteia diretamente a aposentadoria, e o INSS alega que deveria ter sido submetido à reabilitação antes. A jurisprudência tem admitido a concessão direta quando as condições pessoais do segurado (idade, escolaridade, experiência profissional) evidenciam a inviabilidade da reabilitação, dispensando a submissão formal ao programa.</w:t>
      </w:r>
    </w:p>
    <w:tbl>
      <w:tblPr>
        <w:tblW w:w="5000" w:type="pct"/>
        <w:jc w:val="center"/>
        <w:tblLayout w:type="fixed"/>
        <w:tblLook w:val="04A0" w:firstRow="1" w:lastRow="0" w:firstColumn="1" w:lastColumn="0" w:noHBand="0" w:noVBand="1"/>
      </w:tblPr>
      <w:tblGrid>
        <w:gridCol w:w="6311"/>
      </w:tblGrid>
      <w:tr w:rsidR="005A5FCC" w14:paraId="65DF28BA"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73FF0B84"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1A69BF5E" w14:textId="77777777" w:rsidR="005A5FCC" w:rsidRDefault="00A21C81">
            <w:pPr>
              <w:spacing w:after="60" w:line="247" w:lineRule="auto"/>
            </w:pPr>
            <w:r>
              <w:rPr>
                <w:rFonts w:cs="EB Garamond"/>
                <w:b/>
                <w:kern w:val="16"/>
                <w:sz w:val="19"/>
                <w14:ligatures w14:val="standardContextual"/>
              </w:rPr>
              <w:t>No cotidiano dos JEFs</w:t>
            </w:r>
            <w:r>
              <w:rPr>
                <w:rFonts w:cs="EB Garamond"/>
                <w:kern w:val="16"/>
                <w:sz w:val="19"/>
                <w14:ligatures w14:val="standardContextual"/>
              </w:rPr>
              <w:t xml:space="preserve"> Quando o perito judicial conclui pela incapacidade parcial e permanente com possibilidade de reabilitação, o magistrado deve avaliar concretamente a viabilidade da reabilitação à luz das condições pessoais do segurado. Se o segurado tem mais de 50 anos, baixa escolaridade e experiência exclusiva em atividade braçal, a reabilitação para atividade intelectual ou sedentária é, na maioria dos casos, irrealista. Nesses casos, a Súmula 47 da TNU autoriza a concessão da aposentadoria por incapacidade permanente sem exigência de submissão prévia ao programa de reabilitação. Inversamente, se o segurado é jovem, possui escolaridade média ou superior e pode ser readaptado para atividade compatível com suas limitações, o encaminhamento ao Programa de Reabilitação Profissional é medida mais adequada do que a concessão imediata da aposentadoria.</w:t>
            </w:r>
          </w:p>
        </w:tc>
      </w:tr>
    </w:tbl>
    <w:p w14:paraId="3D2A4E86" w14:textId="77777777" w:rsidR="005A5FCC" w:rsidRDefault="005A5FCC">
      <w:pPr>
        <w:spacing w:after="80" w:line="240" w:lineRule="auto"/>
      </w:pPr>
    </w:p>
    <w:p w14:paraId="1B133430" w14:textId="77777777" w:rsidR="005A5FCC" w:rsidRDefault="00A21C81">
      <w:pPr>
        <w:spacing w:before="260" w:after="80" w:line="240" w:lineRule="auto"/>
        <w:jc w:val="left"/>
      </w:pPr>
      <w:r>
        <w:rPr>
          <w:rFonts w:cs="EB Garamond"/>
          <w:b/>
          <w:color w:val="3A3128"/>
          <w:kern w:val="16"/>
          <w:sz w:val="25"/>
          <w14:ligatures w14:val="standardContextual"/>
        </w:rPr>
        <w:t>6.10.4 Alta programada e limbo previdenciário</w:t>
      </w:r>
    </w:p>
    <w:p w14:paraId="4AC5D02E"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21D05E23" w14:textId="77777777" w:rsidR="005A5FCC" w:rsidRDefault="00A21C81">
      <w:r>
        <w:rPr>
          <w:rFonts w:cs="EB Garamond"/>
          <w:kern w:val="16"/>
          <w14:ligatures w14:val="standardContextual"/>
        </w:rPr>
        <w:t xml:space="preserve"> alta programada — sistema pelo qual o INSS fixa antecipadamente a data de cessação do auxílio por incapacidade temporária, sem nova perícia médica — gerou intenso debate jurídico. A Lei 13.457/2017 (conversão da MP 767/2017) regulamentou o COPES (Cobertura Previdenciária Estimada), sistema que fixa o prazo estimado de recuperação com base em critérios técnicos e estatísticos. O segurado que permanece incapaz na data da alta programada pode requerer prorrogação (pedido de reconsideração), a ser apreciado mediante nova perícia.</w:t>
      </w:r>
    </w:p>
    <w:p w14:paraId="51B82DFE" w14:textId="77777777" w:rsidR="005A5FCC" w:rsidRDefault="00A21C81">
      <w:pPr>
        <w:ind w:firstLine="238"/>
      </w:pPr>
      <w:r>
        <w:rPr>
          <w:rFonts w:cs="EB Garamond"/>
          <w:kern w:val="16"/>
          <w14:ligatures w14:val="standardContextual"/>
        </w:rPr>
        <w:t>A sistemática da alta programada foi objeto de questionamentos reiterados na jurisprudência. Os TRFs e a TNU questionaram a legitimidade da cessação automática do benefício sem perícia médica prévia que atestasse a recuperação da capacidade laborativa. A Lei 13.982/2020, no contexto da pandemia de COVID-19, suspendeu temporariamente as altas programadas. A retomada das altas programadas, após o período pandêmico, gerou nova onda de judicialização — segurados que tiveram seus benefícios cessados automaticamente, sem perícia presencial, ingressaram em massa nos JEFs buscando o restabelecimento.</w:t>
      </w:r>
    </w:p>
    <w:p w14:paraId="21C95BD7" w14:textId="77777777" w:rsidR="005A5FCC" w:rsidRDefault="00A21C81">
      <w:pPr>
        <w:ind w:firstLine="238"/>
      </w:pPr>
      <w:r>
        <w:rPr>
          <w:rFonts w:cs="EB Garamond"/>
          <w:kern w:val="16"/>
          <w14:ligatures w14:val="standardContextual"/>
        </w:rPr>
        <w:lastRenderedPageBreak/>
        <w:t>Na prática dos JEFs, a contestação da alta programada segue roteiro processual definido. O segurado deve demonstrar que permanecia incapaz na data da cessação do benefício, apresentando documentação médica atualizada. O juiz pode conceder tutela antecipada para restabelecimento imediato do benefício, quando houver elementos que indiquem a persistência da incapacidade. A perícia judicial, quando realizada, deve ser instada a se pronunciar sobre o estado de incapacidade na data da cessação, e não apenas na data do exame pericial.</w:t>
      </w:r>
    </w:p>
    <w:p w14:paraId="44D51688" w14:textId="77777777" w:rsidR="005A5FCC" w:rsidRDefault="00A21C81">
      <w:pPr>
        <w:ind w:firstLine="238"/>
      </w:pPr>
      <w:r>
        <w:rPr>
          <w:rFonts w:cs="EB Garamond"/>
          <w:kern w:val="16"/>
          <w14:ligatures w14:val="standardContextual"/>
        </w:rPr>
        <w:t>O limbo previdenciário — situação em que o INSS concede alta e o empregador não aceita o retorno do trabalhador — gera consequências que se refletem na aposentadoria por incapacidade permanente. O fenômeno ocorre quando o médico perito do INSS considera o segurado apto ao trabalho e cessa o auxílio por incapacidade temporária, mas o médico do trabalho da empresa considera o empregado inapto e recusa seu retorno às atividades. O segurado, nessa situação, fica desprotegido por ambas as esferas: não recebe benefício previdenciário e não recebe remuneração salarial.</w:t>
      </w:r>
    </w:p>
    <w:p w14:paraId="3DCE2790" w14:textId="77777777" w:rsidR="005A5FCC" w:rsidRDefault="00A21C81">
      <w:pPr>
        <w:ind w:firstLine="238"/>
      </w:pPr>
      <w:r>
        <w:rPr>
          <w:rFonts w:cs="EB Garamond"/>
          <w:kern w:val="16"/>
          <w14:ligatures w14:val="standardContextual"/>
        </w:rPr>
        <w:t>A jurisprudência trabalhista e previdenciária tem buscado soluções para o limbo. Na esfera trabalhista, o TST reconhece a responsabilidade do empregador pelo pagamento dos salários durante o período do limbo, quando a empresa não readmite o empregado que teve alta do INSS, com fundamento na teoria do risco da atividade econômica. Na esfera previdenciária, se o segurado demonstra que permanecia incapaz na data da alta, o restabelecimento do benefício é a medida adequada. Se a incapacidade for permanente, a conversão direta em aposentadoria por incapacidade permanente pode ser pleiteada. A cumulação de pedidos — contra o INSS (restabelecimento do benefício) e contra o empregador (pagamento dos salários do período do limbo) — esbarra na competência jurisdicional: a Justiça Federal (JEFs) é competente para o pedido previdenciário, e a Justiça do Trabalho para o pedido trabalhista, o que fragmenta a tutela jurisdicional e impõe ao segurado o ônus de litigar em duas esferas simultâneas.</w:t>
      </w:r>
    </w:p>
    <w:tbl>
      <w:tblPr>
        <w:tblW w:w="5000" w:type="pct"/>
        <w:jc w:val="center"/>
        <w:tblLayout w:type="fixed"/>
        <w:tblLook w:val="04A0" w:firstRow="1" w:lastRow="0" w:firstColumn="1" w:lastColumn="0" w:noHBand="0" w:noVBand="1"/>
      </w:tblPr>
      <w:tblGrid>
        <w:gridCol w:w="6311"/>
      </w:tblGrid>
      <w:tr w:rsidR="005A5FCC" w14:paraId="4080A1FA"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28D09615"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651A6424" w14:textId="77777777" w:rsidR="005A5FCC" w:rsidRDefault="00A21C81">
            <w:pPr>
              <w:spacing w:after="60" w:line="247" w:lineRule="auto"/>
            </w:pPr>
            <w:r>
              <w:rPr>
                <w:rFonts w:cs="EB Garamond"/>
                <w:b/>
                <w:kern w:val="16"/>
                <w:sz w:val="19"/>
                <w14:ligatures w14:val="standardContextual"/>
              </w:rPr>
              <w:t>Em termos operacionais</w:t>
            </w:r>
            <w:r>
              <w:rPr>
                <w:rFonts w:cs="EB Garamond"/>
                <w:kern w:val="16"/>
                <w:sz w:val="19"/>
                <w14:ligatures w14:val="standardContextual"/>
              </w:rPr>
              <w:t xml:space="preserve"> No limbo previdenciário, o advogado deve adotar estratégia de dupla frente: nos JEFs, requerer o restabelecimento do auxílio por incapacidade temporária ou a concessão da aposentadoria por incapacidade permanente, com pedido de tutela antecipada; na Justiça do Trabalho, pleitear o pagamento dos salários do período em que o empregador recusou o retorno ao trabalho. A documentação médica — laudo do médico do trabalho da empresa atestando a inaptidão, atestados do médico assistente e resultado da perícia judicial — é elemento comum a ambas as demandas e deve ser produzida de forma coordenada.</w:t>
            </w:r>
          </w:p>
        </w:tc>
      </w:tr>
    </w:tbl>
    <w:p w14:paraId="21D2D90D" w14:textId="77777777" w:rsidR="005A5FCC" w:rsidRDefault="005A5FCC">
      <w:pPr>
        <w:spacing w:after="80" w:line="240" w:lineRule="auto"/>
      </w:pPr>
    </w:p>
    <w:p w14:paraId="30DD8A69" w14:textId="334D2230" w:rsidR="005A5FCC" w:rsidRDefault="00A05167">
      <w:pPr>
        <w:keepNext/>
        <w:pBdr>
          <w:bottom w:val="single" w:sz="8" w:space="4" w:color="B89B5E"/>
        </w:pBdr>
        <w:spacing w:before="360" w:after="140" w:line="240" w:lineRule="auto"/>
        <w:jc w:val="left"/>
      </w:pPr>
      <w:r>
        <w:rPr>
          <w:rFonts w:cs="EB Garamond"/>
          <w:b/>
          <w:color w:val="3A3128"/>
          <w:kern w:val="16"/>
          <w:sz w:val="31"/>
          <w14:ligatures w14:val="standardContextual"/>
        </w:rPr>
        <w:t xml:space="preserve">6.11 </w:t>
      </w:r>
      <w:r w:rsidR="00A21C81">
        <w:rPr>
          <w:rFonts w:cs="EB Garamond"/>
          <w:b/>
          <w:color w:val="3A3128"/>
          <w:kern w:val="16"/>
          <w:sz w:val="31"/>
          <w14:ligatures w14:val="standardContextual"/>
        </w:rPr>
        <w:t>Conclusão</w:t>
      </w:r>
    </w:p>
    <w:p w14:paraId="3E13AAF2"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1391E6B9" w14:textId="77777777" w:rsidR="005A5FCC" w:rsidRDefault="00A21C81">
      <w:r>
        <w:rPr>
          <w:rFonts w:cs="EB Garamond"/>
          <w:kern w:val="16"/>
          <w14:ligatures w14:val="standardContextual"/>
        </w:rPr>
        <w:t xml:space="preserve"> EC 103/2019 trouxe alterações substanciais ao benefício: a mudança no cálculo da renda mensal (de 100% para 60% + 2% por ano), a nova nomenclatura e a preservação da integralidade apenas para a incapacidade acidentária. O Tema 1.300 do STF, ao declarar constitucional o novo regime de cálculo para portadores de doenças graves, encerrou uma das principais controvérsias, mas a decisão não elimina as tensões entre a sustentabilidade atuarial e a proteção social.</w:t>
      </w:r>
    </w:p>
    <w:p w14:paraId="5F4D14C2" w14:textId="77777777" w:rsidR="005A5FCC" w:rsidRDefault="00A21C81">
      <w:pPr>
        <w:ind w:firstLine="238"/>
      </w:pPr>
      <w:r>
        <w:rPr>
          <w:rFonts w:cs="EB Garamond"/>
          <w:kern w:val="16"/>
          <w14:ligatures w14:val="standardContextual"/>
        </w:rPr>
        <w:t>A jurisprudência da TNU — Súmulas 47, 53 e 78 e o Tema 274 — consolidou a necessidade de análise das condições pessoais e sociais do segurado, transformando o conceito de incapacidade de categoria puramente médica em conceito jurídico-social. O modelo biopsicossocial da CIF reforça e fundamenta teoricamente essa evolução jurisprudencial. Essa abordagem é particularmente relevante nos JEFs, onde os segurados atendidos frequentemente apresentam baixa escolaridade, idade avançada e experiência profissional limitada a atividades braçais — fatores que, conjugados com a limitação física ou mental, inviabilizam a reinserção no mercado de trabalho.</w:t>
      </w:r>
    </w:p>
    <w:p w14:paraId="2B22303E" w14:textId="77777777" w:rsidR="005A5FCC" w:rsidRDefault="00A21C81">
      <w:pPr>
        <w:ind w:firstLine="238"/>
      </w:pPr>
      <w:r>
        <w:rPr>
          <w:rFonts w:cs="EB Garamond"/>
          <w:kern w:val="16"/>
          <w14:ligatures w14:val="standardContextual"/>
        </w:rPr>
        <w:t>Sustentamos que a avaliação da incapacidade para fins previdenciários deve superar definitivamente o modelo biomédico puro e incorporar, de forma siste</w:t>
      </w:r>
      <w:r>
        <w:rPr>
          <w:rFonts w:cs="EB Garamond"/>
          <w:kern w:val="16"/>
          <w14:ligatures w14:val="standardContextual"/>
        </w:rPr>
        <w:lastRenderedPageBreak/>
        <w:t>matizada, os fatores ambientais e pessoais que a CIF identifica e que a jurisprudência da TNU já exige. A convergência entre o direito posto (Súmula 47), a ciência da funcionalidade (CIF/OMS) e a realidade social dos segurados dos JEFs aponta para uma compreensão da incapacidade que é, ao mesmo tempo, mais justa e mais precisa.</w:t>
      </w:r>
    </w:p>
    <w:p w14:paraId="59A1853A" w14:textId="77777777" w:rsidR="005A5FCC" w:rsidRDefault="00A21C81">
      <w:pPr>
        <w:ind w:firstLine="238"/>
      </w:pPr>
      <w:r>
        <w:rPr>
          <w:rFonts w:cs="EB Garamond"/>
          <w:kern w:val="16"/>
          <w14:ligatures w14:val="standardContextual"/>
        </w:rPr>
        <w:t>O domínio da técnica de reação ao laudo adverso, a formulação adequada de quesitos periciais, a articulação entre a prova médica e as condições pessoais do segurado e o conhecimento preciso das regras de fixação da DIB constituem competências indispensáveis para a advocacia previdenciária de qualidade nos Juizados Especiais Federais.</w:t>
      </w:r>
    </w:p>
    <w:p w14:paraId="2ADAE50D" w14:textId="77777777" w:rsidR="005A5FCC" w:rsidRDefault="005A5FCC">
      <w:pPr>
        <w:sectPr w:rsidR="005A5FCC">
          <w:headerReference w:type="even" r:id="rId96"/>
          <w:headerReference w:type="default" r:id="rId97"/>
          <w:footerReference w:type="even" r:id="rId98"/>
          <w:footerReference w:type="default" r:id="rId99"/>
          <w:headerReference w:type="first" r:id="rId100"/>
          <w:footerReference w:type="first" r:id="rId101"/>
          <w:pgSz w:w="8391" w:h="11906"/>
          <w:pgMar w:top="935" w:right="879" w:bottom="964" w:left="1162" w:header="454" w:footer="425" w:gutter="0"/>
          <w:cols w:space="720"/>
          <w:titlePg/>
          <w:docGrid w:linePitch="360"/>
        </w:sectPr>
      </w:pPr>
    </w:p>
    <w:p w14:paraId="2A91E4D7" w14:textId="77777777" w:rsidR="005A5FCC" w:rsidRDefault="00A21C81">
      <w:pPr>
        <w:keepNext/>
        <w:spacing w:before="240" w:after="80" w:line="240" w:lineRule="auto"/>
        <w:jc w:val="center"/>
      </w:pPr>
      <w:r>
        <w:rPr>
          <w:rFonts w:ascii="Noto Sans" w:hAnsi="Noto Sans" w:cs="Noto Sans"/>
          <w:b/>
          <w:caps/>
          <w:color w:val="8A6A2A"/>
          <w:kern w:val="16"/>
          <w:sz w:val="19"/>
          <w14:ligatures w14:val="standardContextual"/>
        </w:rPr>
        <w:lastRenderedPageBreak/>
        <w:t>CAPÍTULO 7</w:t>
      </w:r>
    </w:p>
    <w:p w14:paraId="3A04C52A" w14:textId="77777777" w:rsidR="005A5FCC" w:rsidRDefault="00A21C81">
      <w:pPr>
        <w:pStyle w:val="Ttulo2"/>
        <w:spacing w:line="240" w:lineRule="auto"/>
      </w:pPr>
      <w:r>
        <w:rPr>
          <w:rFonts w:ascii="EB Garamond" w:hAnsi="EB Garamond" w:cs="EB Garamond"/>
          <w:caps/>
          <w:kern w:val="16"/>
          <w14:ligatures w14:val="standardContextual"/>
        </w:rPr>
        <w:t>Auxílio por Incapacidade Temporária</w:t>
      </w:r>
    </w:p>
    <w:p w14:paraId="640CAF2A" w14:textId="77777777" w:rsidR="005A5FCC" w:rsidRDefault="00A21C81">
      <w:pPr>
        <w:spacing w:after="240" w:line="240" w:lineRule="auto"/>
        <w:jc w:val="center"/>
      </w:pPr>
      <w:r>
        <w:rPr>
          <w:rFonts w:cs="EB Garamond"/>
          <w:color w:val="B78B37"/>
          <w:kern w:val="16"/>
          <w:sz w:val="18"/>
          <w14:ligatures w14:val="standardContextual"/>
        </w:rPr>
        <w:t>━━━━  ◆  ━━━━</w:t>
      </w:r>
    </w:p>
    <w:p w14:paraId="55A8CAC1"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4777288D" w14:textId="77777777" w:rsidR="005A5FCC" w:rsidRDefault="00A21C81">
      <w:r>
        <w:rPr>
          <w:rFonts w:cs="EB Garamond"/>
          <w:kern w:val="16"/>
          <w14:ligatures w14:val="standardContextual"/>
        </w:rPr>
        <w:t xml:space="preserve"> auxílio por incapacidade temporária — denominação atribuída pela Emenda Constitucional n. 103/2019 ao benefício até então conhecido como auxílio-doença — constitui a prestação previdenciária mais demandada perante os Juizados Especiais Federais. Trata-se de benefício não programado, de natureza substitutiva, destinado a proteger o segurado do Regime Geral de Previdência Social que se encontra temporariamente incapacitado para o exercício de sua atividade habitual. Diferentemente da aposentadoria por incapacidade permanente, examinada no capítulo anterior, o auxílio por incapacidade temporária pressupõe prognóstico de recuperação — a incapacidade, embora real e atual, possui caráter transitório, com expectativa de que o segurado retome, em prazo estimável, suas atividades laborativas.</w:t>
      </w:r>
    </w:p>
    <w:p w14:paraId="415B8C47" w14:textId="77777777" w:rsidR="005A5FCC" w:rsidRDefault="00A21C81">
      <w:pPr>
        <w:ind w:firstLine="238"/>
      </w:pPr>
      <w:r>
        <w:rPr>
          <w:rFonts w:cs="EB Garamond"/>
          <w:kern w:val="16"/>
          <w14:ligatures w14:val="standardContextual"/>
        </w:rPr>
        <w:t>Em termos quantitativos, o auxílio por incapacidade temporária responde pela maior parcela dos benefícios por incapacidade concedidos pelo INSS, superando a aposentadoria por incapacidade permanente em volume de concessões. Opera na interseção entre a proteção previdenciária e a realidade laboral do segurado, envolvendo questões de avaliação médica, fixação de datas, cálculo de renda, cessação administrativa e judicialização.</w:t>
      </w:r>
    </w:p>
    <w:p w14:paraId="70215E93" w14:textId="77777777" w:rsidR="005A5FCC" w:rsidRDefault="00A21C81">
      <w:pPr>
        <w:ind w:firstLine="238"/>
      </w:pPr>
      <w:r>
        <w:rPr>
          <w:rFonts w:cs="EB Garamond"/>
          <w:kern w:val="16"/>
          <w14:ligatures w14:val="standardContextual"/>
        </w:rPr>
        <w:t xml:space="preserve">O marco normativo do benefício está em constante transformação. Desde a edição da Lei n. 8.213/91, o benefício foi objeto de sucessivas alterações legislativas — com destaque para as Medidas Provisórias 739/2016 e 767/2017, convertida na Lei n. 13.457/2017, que introduziram o sistema de alta programada (COPES); a EC 103/2019, que modificou a nomenclatura e impactou o cálculo do salário de benefício; a Lei n. 13.846/2019, voltada ao combate a fraudes previdenciárias; e, mais recentemente, a Portaria Conjunta MPS/INSS n. 13, de 21 de março de 2026, que reformulou o sistema Atestmed para análise documental sem perícia presencial. A jurisprudência, por sua vez, consolidou entendimentos </w:t>
      </w:r>
      <w:r>
        <w:rPr>
          <w:rFonts w:cs="EB Garamond"/>
          <w:kern w:val="16"/>
          <w14:ligatures w14:val="standardContextual"/>
        </w:rPr>
        <w:lastRenderedPageBreak/>
        <w:t>fundamentais nos Temas 1.013 e 1.246 do STJ, no Tema 1.196 do STF e nas Súmulas 47, 53, 72 e 78 da TNU, que serão examinados ao longo deste capítulo.</w:t>
      </w:r>
    </w:p>
    <w:p w14:paraId="4B3624FD" w14:textId="77777777" w:rsidR="005A5FCC" w:rsidRDefault="00A21C81">
      <w:pPr>
        <w:ind w:firstLine="238"/>
      </w:pPr>
      <w:r>
        <w:rPr>
          <w:rFonts w:cs="EB Garamond"/>
          <w:kern w:val="16"/>
          <w14:ligatures w14:val="standardContextual"/>
        </w:rPr>
        <w:t>Este capítulo abrange desde os requisitos legais e a distinção entre as espécies previdenciária e acidentária até as questões de cessação, reabilitação profissional e estratégia processual nos JEFs.</w:t>
      </w:r>
    </w:p>
    <w:p w14:paraId="7735D3DA"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7.1 Conceito e natureza jurídica</w:t>
      </w:r>
    </w:p>
    <w:p w14:paraId="670D3925"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01563077" w14:textId="77777777" w:rsidR="005A5FCC" w:rsidRDefault="00A21C81">
      <w:r>
        <w:rPr>
          <w:rFonts w:cs="EB Garamond"/>
          <w:kern w:val="16"/>
          <w14:ligatures w14:val="standardContextual"/>
        </w:rPr>
        <w:t xml:space="preserve"> art. 59 da Lei n. 8.213/91 define o auxílio-doença (atual auxílio por incapacidade temporária) como o benefício devido ao segurado que, havendo cumprido, quando for o caso, o período de carência exigido, ficar incapacitado para o seu trabalho ou para a sua atividade habitual por mais de 15 (quinze) dias consecutivos. A definição legal delineia os contornos essenciais do benefício: (i) a existência de incapacidade laborativa; (ii) a vinculação dessa incapacidade à atividade habitual do segurado, e não a qualquer atividade; (iii) a duração mínima de 15 dias consecutivos de afastamento; e (iv) a observância da carência, quando exigível.</w:t>
      </w:r>
    </w:p>
    <w:p w14:paraId="628DE78C" w14:textId="4330425E" w:rsidR="005A5FCC" w:rsidRDefault="00A21C81">
      <w:pPr>
        <w:ind w:firstLine="238"/>
      </w:pPr>
      <w:r>
        <w:rPr>
          <w:rFonts w:cs="EB Garamond"/>
          <w:kern w:val="16"/>
          <w14:ligatures w14:val="standardContextual"/>
        </w:rPr>
        <w:t>A natureza jurídica do auxílio por incapacidade temporária é de benefício previdenciário substitutivo da renda do trabalho. Enquanto perdurar a incapacidade, o benefício substitui a remuneração que o segurado deixou de perceber em razão do afastamento. Diferencia-se, nesse aspecto, do auxílio-acidente (art. 86), que possui natureza indenizatória e complementar — destina-se a compensar a redução da capacidade funcional após a consolidação das lesões, sem substituir integralmente a renda.</w:t>
      </w:r>
    </w:p>
    <w:p w14:paraId="78F8C70A" w14:textId="77777777" w:rsidR="005A5FCC" w:rsidRDefault="00A21C81">
      <w:pPr>
        <w:ind w:firstLine="238"/>
      </w:pPr>
      <w:r>
        <w:rPr>
          <w:rFonts w:cs="EB Garamond"/>
          <w:kern w:val="16"/>
          <w14:ligatures w14:val="standardContextual"/>
        </w:rPr>
        <w:t>O benefício possui, ainda, caráter alimentar e irrenunciável. O segurado não pode abrir mão do benefício enquanto permanecer incapacitado, assim como o INSS não pode cessar o pagamento sem a devida avaliação da recuperação da capacidade laborativa. A provisoriedade é nota essencial: o benefício nasce com a expectativa de cessação futura, seja pela recuperação do segurado, seja pela conversão em aposentadoria por incapacidade permanente quando a incapacidade se revelar definitiva.</w:t>
      </w:r>
    </w:p>
    <w:tbl>
      <w:tblPr>
        <w:tblW w:w="5000" w:type="pct"/>
        <w:jc w:val="center"/>
        <w:tblLayout w:type="fixed"/>
        <w:tblLook w:val="04A0" w:firstRow="1" w:lastRow="0" w:firstColumn="1" w:lastColumn="0" w:noHBand="0" w:noVBand="1"/>
      </w:tblPr>
      <w:tblGrid>
        <w:gridCol w:w="6311"/>
      </w:tblGrid>
      <w:tr w:rsidR="005A5FCC" w14:paraId="18A4AF30"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7AF8C67C" w14:textId="77777777" w:rsidR="005A5FCC" w:rsidRDefault="00A21C81">
            <w:pPr>
              <w:spacing w:after="60" w:line="240" w:lineRule="auto"/>
              <w:jc w:val="left"/>
            </w:pPr>
            <w:r>
              <w:rPr>
                <w:rFonts w:ascii="Noto Sans" w:hAnsi="Noto Sans" w:cs="Noto Sans"/>
                <w:b/>
                <w:caps/>
                <w:color w:val="B78B37"/>
                <w:kern w:val="16"/>
                <w:sz w:val="16"/>
                <w14:ligatures w14:val="standardContextual"/>
              </w:rPr>
              <w:lastRenderedPageBreak/>
              <w:t>ATENÇÃO</w:t>
            </w:r>
          </w:p>
          <w:p w14:paraId="34E38CFE" w14:textId="77777777" w:rsidR="005A5FCC" w:rsidRDefault="00A21C81">
            <w:pPr>
              <w:spacing w:after="60" w:line="247" w:lineRule="auto"/>
            </w:pPr>
            <w:r>
              <w:rPr>
                <w:rFonts w:cs="EB Garamond"/>
                <w:kern w:val="16"/>
                <w:sz w:val="19"/>
                <w14:ligatures w14:val="standardContextual"/>
              </w:rPr>
              <w:t>A alteração terminológica promovida pela EC 103/2019, de "auxílio-doença" para "auxílio por incapacidade temporária", não é meramente cosmética. A nomenclatura anterior vinculava o benefício à noção de "doença", quando, na realidade, o fato gerador é a incapacidade para o trabalho, que pode decorrer tanto de doença quanto de acidente (de trabalho ou de qualquer natureza). A nova denominação é tecnicamente superior por duas razões: (a) desloca o foco da causa (doença) para o efeito juridicamente relevante (incapacidade); e (b) qualifica temporalmente a incapacidade, distinguindo-a da permanente. Não obstante, a Lei n. 8.213/91 mantém, em seus arts. 59 a 63, a redação original com a expressão "auxílio-doença", enquanto o Decreto 10.410/2020 adotou a terminologia atualizada no regulamento.</w:t>
            </w:r>
          </w:p>
        </w:tc>
      </w:tr>
    </w:tbl>
    <w:p w14:paraId="00E17FC9" w14:textId="77777777" w:rsidR="005A5FCC" w:rsidRDefault="005A5FCC">
      <w:pPr>
        <w:spacing w:after="80" w:line="240" w:lineRule="auto"/>
      </w:pPr>
    </w:p>
    <w:p w14:paraId="65EFF019"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40DAE41F" w14:textId="77777777" w:rsidR="005A5FCC" w:rsidRDefault="00A21C81">
      <w:r>
        <w:rPr>
          <w:rFonts w:cs="EB Garamond"/>
          <w:kern w:val="16"/>
          <w14:ligatures w14:val="standardContextual"/>
        </w:rPr>
        <w:t xml:space="preserve"> benefício exerce, ainda, função de ponte entre a incapacidade e a reabilitação. Nos termos do art. 62 da Lei n. 8.213/91, o segurado em gozo de auxílio por incapacidade temporária que estiver insusceptível de recuperação para sua atividade habitual deverá ser submetido a processo de reabilitação profissional para exercício de outra atividade, mantendo-se o benefício até a conclusão do programa ou até a conversão em aposentadoria por incapacidade permanente. Essa função de ponte confere ao benefício dimensão que transcende a mera substituição de renda: o auxílio por incapacidade temporária é instrumento de proteção social que viabiliza a transição do segurado para uma nova atividade produtiva, preservando sua dignidade e sua inserção no mercado de trabalho.</w:t>
      </w:r>
    </w:p>
    <w:p w14:paraId="286E53ED" w14:textId="77777777" w:rsidR="005A5FCC" w:rsidRDefault="00A21C81">
      <w:pPr>
        <w:ind w:firstLine="238"/>
      </w:pPr>
      <w:r>
        <w:rPr>
          <w:rFonts w:cs="EB Garamond"/>
          <w:kern w:val="16"/>
          <w14:ligatures w14:val="standardContextual"/>
        </w:rPr>
        <w:t>A distinção conceitual entre o auxílio por incapacidade temporária e a aposentadoria por incapacidade permanente reduz-se, no plano teórico, a um par de opostos — temporariedade versus permanência —, mas é justamente na aplicação prática que ela revela toda a sua complexidade. A fronteira entre as duas espécies é definida pelo prognóstico de recuperação: se há expectativa razoável de que o segurado retome a capacidade laborativa (com ou sem reabilitação), o benefício correto é o auxílio; se a incapacidade é irreversível e omniprofissional — isto é, para toda e qualquer atividade que garanta a subsistência —, a aposentadoria é devida. Na prática, porém, muitos segurados permanecem em gozo de auxílio por incapacidade temporária por anos consecutivos, em sucessivas pror</w:t>
      </w:r>
      <w:r>
        <w:rPr>
          <w:rFonts w:cs="EB Garamond"/>
          <w:kern w:val="16"/>
          <w14:ligatures w14:val="standardContextual"/>
        </w:rPr>
        <w:lastRenderedPageBreak/>
        <w:t>rogações, sem que o INSS proceda à conversão em aposentadoria ou à efetiva reabilitação — situação que a doutrina denomina "auxílio-doença permanente", paradoxo que evidencia disfuncionalidades pontuais do sistema.</w:t>
      </w:r>
    </w:p>
    <w:p w14:paraId="2B967CB2"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7.2 Evolução legislativa</w:t>
      </w:r>
    </w:p>
    <w:p w14:paraId="473A8B1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2BF69D57" w14:textId="77777777" w:rsidR="005A5FCC" w:rsidRDefault="00A21C81">
      <w:r>
        <w:rPr>
          <w:rFonts w:cs="EB Garamond"/>
          <w:kern w:val="16"/>
          <w14:ligatures w14:val="standardContextual"/>
        </w:rPr>
        <w:t xml:space="preserve"> proteção previdenciária contra a incapacidade temporária para o trabalho remonta às origens do sistema brasileiro. As Caixas de Aposentadorias e Pensões (CAPs), instituídas a partir da Lei Eloy Chaves (Decreto Legislativo n. 4.682/1923), já previam o "socorro para casos de doença" entre as prestações devidas aos segurados. Os Institutos de Aposentadorias e Pensões (IAPs), criados a partir de 1933, mantiveram a cobertura do risco de incapacidade temporária sob diversas denominações e condições, variáveis conforme a categoria profissional.</w:t>
      </w:r>
    </w:p>
    <w:p w14:paraId="2EFEDDFC" w14:textId="2D6EDB3A" w:rsidR="005A5FCC" w:rsidRDefault="00A21C81">
      <w:pPr>
        <w:ind w:firstLine="238"/>
      </w:pPr>
      <w:r>
        <w:rPr>
          <w:rFonts w:cs="EB Garamond"/>
          <w:kern w:val="16"/>
          <w14:ligatures w14:val="standardContextual"/>
        </w:rPr>
        <w:t>A Lei Orgânica da Previdência Social (LOPS — Lei n. 3.807/1960) unificou a legislação e disciplinou o "auxílio-doença" nos arts. 22 a 26, estabelecendo os requisitos básicos que, em linhas gerais, persistem até hoje: incapacidade para o trabalho, carência e qualidade de segurado. A Consolidação das Leis da Previdência Social (CLPS — Decreto n. 89.312/1984) manteve a estrutura fundamental do benefício.</w:t>
      </w:r>
    </w:p>
    <w:p w14:paraId="0296DC0D" w14:textId="77777777" w:rsidR="005A5FCC" w:rsidRDefault="00A21C81">
      <w:pPr>
        <w:ind w:firstLine="238"/>
      </w:pPr>
      <w:r>
        <w:rPr>
          <w:rFonts w:cs="EB Garamond"/>
          <w:kern w:val="16"/>
          <w14:ligatures w14:val="standardContextual"/>
        </w:rPr>
        <w:t>A Lei n. 8.213/91, que rege o atual Plano de Benefícios da Previdência Social, disciplina o auxílio por incapacidade temporária nos arts. 59 a 63, com importantes complementações nos arts. 24 a 27-A (carência), art. 15 (período de graça) e arts. 89 a 93 (reabilitação profissional). Desde sua edição, o benefício foi objeto de alterações significativas:</w:t>
      </w:r>
    </w:p>
    <w:p w14:paraId="7084877B" w14:textId="77777777" w:rsidR="005A5FCC" w:rsidRDefault="00A21C81">
      <w:pPr>
        <w:ind w:firstLine="238"/>
      </w:pPr>
      <w:r>
        <w:rPr>
          <w:rFonts w:cs="EB Garamond"/>
          <w:kern w:val="16"/>
          <w14:ligatures w14:val="standardContextual"/>
        </w:rPr>
        <w:t>A Lei n. 9.032/1995 unificou o coeficiente de cálculo do auxílio-doença (atual auxílio por incapacidade temporária), fixando-o em 91% do salário de benefício para ambas as espécies (previdenciária e acidentária), eliminando a diferença anterior entre os coeficientes. A Lei n. 9.876/1999 alterou a forma de apuração do salário de benefício, introduzindo a média aritmética dos 80% maiores salários de contribuição desde julho de 1994. A Lei n. 10.666/2003 disciplinou aspectos re</w:t>
      </w:r>
      <w:r>
        <w:rPr>
          <w:rFonts w:cs="EB Garamond"/>
          <w:kern w:val="16"/>
          <w14:ligatures w14:val="standardContextual"/>
        </w:rPr>
        <w:lastRenderedPageBreak/>
        <w:t>levantes dos benefícios por incapacidade, incluindo a cessação do auxílio por incapacidade temporária quando o segurado retorna voluntariamente à atividade e a responsabilidade da empresa pelos primeiros 15 dias de afastamento em caso de nova incapacidade dentro de 60 dias.</w:t>
      </w:r>
    </w:p>
    <w:p w14:paraId="274E72B2" w14:textId="77777777" w:rsidR="005A5FCC" w:rsidRDefault="00A21C81">
      <w:pPr>
        <w:ind w:firstLine="238"/>
      </w:pPr>
      <w:r>
        <w:rPr>
          <w:rFonts w:cs="EB Garamond"/>
          <w:kern w:val="16"/>
          <w14:ligatures w14:val="standardContextual"/>
        </w:rPr>
        <w:t>A partir de 2016, o benefício sofreu modificações mais profundas, orientadas pelo objetivo de racionalização administrativa e contenção de despesas. A Medida Provisória n. 739/2016 introduziu o chamado "pente-fino" nos benefícios por incapacidade, autorizando o INSS a convocar segurados para revisão periódica, e previu a cessação automática do benefício quando não houvesse prorrogação dentro do prazo. Essa MP perdeu eficácia sem conversão em lei, mas seus dispositivos foram substancialmente reproduzidos pela Medida Provisória n. 767/2017, que alterou os §§ 8º e 9º do art. 60 da Lei n. 8.213/91 para instituir formalmente o sistema de alta programada. A MP 767/2017 foi convertida na Lei n. 13.457/2017, consolidando o regime da Cobertura Previdenciária Estimada (COPES).</w:t>
      </w:r>
    </w:p>
    <w:p w14:paraId="0792EE8F" w14:textId="77777777" w:rsidR="005A5FCC" w:rsidRDefault="00A21C81">
      <w:pPr>
        <w:ind w:firstLine="238"/>
      </w:pPr>
      <w:r>
        <w:rPr>
          <w:rFonts w:cs="EB Garamond"/>
          <w:kern w:val="16"/>
          <w14:ligatures w14:val="standardContextual"/>
        </w:rPr>
        <w:t>A Medida Provisória n. 871/2019, convertida na Lei n. 13.846/2019, introduziu novas regras de combate a fraudes previdenciárias, incluindo a obrigatoriedade de cadastramento biométrico, a possibilidade de auditoria por amostragem nos benefícios por incapacidade e modificações no procedimento administrativo de concessão.</w:t>
      </w:r>
    </w:p>
    <w:p w14:paraId="2AD699E6" w14:textId="77777777" w:rsidR="005A5FCC" w:rsidRDefault="00A21C81">
      <w:pPr>
        <w:ind w:firstLine="238"/>
      </w:pPr>
      <w:r>
        <w:rPr>
          <w:rFonts w:cs="EB Garamond"/>
          <w:kern w:val="16"/>
          <w14:ligatures w14:val="standardContextual"/>
        </w:rPr>
        <w:t>A EC 103/2019 alterou a nomenclatura do benefício (de "auxílio-doença" para "auxílio por incapacidade temporária") e impactou o cálculo da renda mensal, ao modificar a base de cálculo do salário de benefício, tema que será examinado na seção 7.8.</w:t>
      </w:r>
    </w:p>
    <w:p w14:paraId="05DADE01" w14:textId="77777777" w:rsidR="005A5FCC" w:rsidRDefault="00A21C81">
      <w:pPr>
        <w:ind w:firstLine="238"/>
      </w:pPr>
      <w:r>
        <w:rPr>
          <w:rFonts w:cs="EB Garamond"/>
          <w:kern w:val="16"/>
          <w14:ligatures w14:val="standardContextual"/>
        </w:rPr>
        <w:t>Mais recentemente, sucessivos atos infralegais ampliaram o prazo máximo de concessão do auxílio por incapacidade temporária via análise documental (Atestmed). A Portaria Conjunta MPS/INSS n. 13, de 21 de março de 2026, reformulou integralmente o sistema, elevando o prazo máximo por análise documental para até 90 dias e fixando o limite acumulado de 180 dias sem perícia presencial.</w:t>
      </w:r>
    </w:p>
    <w:p w14:paraId="388390D9"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7.3 Requisitos legais</w:t>
      </w:r>
    </w:p>
    <w:p w14:paraId="2A58AF6C"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274E8CDD" w14:textId="77777777" w:rsidR="005A5FCC" w:rsidRDefault="00A21C81">
      <w:r>
        <w:rPr>
          <w:rFonts w:cs="EB Garamond"/>
          <w:kern w:val="16"/>
          <w14:ligatures w14:val="standardContextual"/>
        </w:rPr>
        <w:t xml:space="preserve"> concessão do auxílio por incapacidade temporária exige, como sistematizam Ibrahim, Bragança e Folmann (2025), a conjugação de quatro requisitos cumulativos: (i) qualidade de segurado; (ii) carência, quando exigível; (iii) incapacidade para o trabalho ou atividade habitual; e (iv) afastamento superior a 15 dias consecutivos (para o segurado empregado) ou incapacidade por mais de 15 dias (para os demais segurados).</w:t>
      </w:r>
    </w:p>
    <w:p w14:paraId="0B7ED0D5" w14:textId="77777777" w:rsidR="005A5FCC" w:rsidRDefault="00A21C81">
      <w:pPr>
        <w:spacing w:before="260" w:after="80" w:line="240" w:lineRule="auto"/>
        <w:jc w:val="left"/>
      </w:pPr>
      <w:r>
        <w:rPr>
          <w:rFonts w:cs="EB Garamond"/>
          <w:b/>
          <w:color w:val="3A3128"/>
          <w:kern w:val="16"/>
          <w:sz w:val="25"/>
          <w14:ligatures w14:val="standardContextual"/>
        </w:rPr>
        <w:t>7.3.1 Qualidade de segurado</w:t>
      </w:r>
    </w:p>
    <w:p w14:paraId="1B1E26FD"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6ECA86CF" w14:textId="77777777" w:rsidR="005A5FCC" w:rsidRDefault="00A21C81">
      <w:r>
        <w:rPr>
          <w:rFonts w:cs="EB Garamond"/>
          <w:kern w:val="16"/>
          <w14:ligatures w14:val="standardContextual"/>
        </w:rPr>
        <w:t xml:space="preserve"> primeiro requisito é a manutenção da qualidade de segurado na data do início da incapacidade, e não na data do requerimento administrativo ou da propositura da ação judicial. Conforme examinado no Capítulo 3, a qualidade de segurado mantém-se durante o período de graça (art. 15 da Lei n. 8.213/91), que varia de 12 a 36 meses conforme o número de contribuições anteriores e a situação de desemprego involuntário.</w:t>
      </w:r>
    </w:p>
    <w:p w14:paraId="6AA2974D" w14:textId="77777777" w:rsidR="005A5FCC" w:rsidRDefault="00A21C81">
      <w:pPr>
        <w:ind w:firstLine="238"/>
      </w:pPr>
      <w:r>
        <w:rPr>
          <w:rFonts w:cs="EB Garamond"/>
          <w:kern w:val="16"/>
          <w14:ligatures w14:val="standardContextual"/>
        </w:rPr>
        <w:t>A perda da qualidade de segurado não impede a concessão do benefício quando a incapacidade houver se iniciado durante o período de cobertura. A jurisprudência consolidou o entendimento de que o dado relevante é a data de início da incapacidade (DII), e não a data do requerimento. Assim, se a DII é anterior ao término do período de graça, o segurado faz jus ao benefício mesmo que o requerimento administrativo seja formulado após a perda da qualidade.</w:t>
      </w:r>
    </w:p>
    <w:p w14:paraId="7A935895" w14:textId="77777777" w:rsidR="005A5FCC" w:rsidRDefault="00A21C81">
      <w:pPr>
        <w:spacing w:before="260" w:after="80" w:line="240" w:lineRule="auto"/>
        <w:jc w:val="left"/>
      </w:pPr>
      <w:r>
        <w:rPr>
          <w:rFonts w:cs="EB Garamond"/>
          <w:b/>
          <w:color w:val="3A3128"/>
          <w:kern w:val="16"/>
          <w:sz w:val="25"/>
          <w14:ligatures w14:val="standardContextual"/>
        </w:rPr>
        <w:t>7.3.2 Carência</w:t>
      </w:r>
    </w:p>
    <w:p w14:paraId="01BA56C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649EB8B9" w14:textId="77777777" w:rsidR="005A5FCC" w:rsidRDefault="00A21C81">
      <w:r>
        <w:rPr>
          <w:rFonts w:cs="EB Garamond"/>
          <w:kern w:val="16"/>
          <w14:ligatures w14:val="standardContextual"/>
        </w:rPr>
        <w:t>plica-se ao auxílio por incapacidade temporária o mesmo regime de carência examinado no Capítulo 3, seção 3.4: 12 contribuições mensais (art. 25, I, Lei 8.213/91), com dispensa para acidente de qualquer natureza, doença profissional ou do trabalho, e doenças graves listadas no art. 151 (v. Cap. 3 para o rol completo e a Portaria Interministerial MTP/MS 22/2022). A dispensa pressupõe que a incapacidade decorra diretamente da doença listada — o mero diagnóstico não basta.</w:t>
      </w:r>
    </w:p>
    <w:p w14:paraId="38217B29" w14:textId="77777777" w:rsidR="005A5FCC" w:rsidRDefault="00A21C81">
      <w:pPr>
        <w:spacing w:before="260" w:after="80" w:line="240" w:lineRule="auto"/>
        <w:jc w:val="left"/>
      </w:pPr>
      <w:r>
        <w:rPr>
          <w:rFonts w:cs="EB Garamond"/>
          <w:b/>
          <w:color w:val="3A3128"/>
          <w:kern w:val="16"/>
          <w:sz w:val="25"/>
          <w14:ligatures w14:val="standardContextual"/>
        </w:rPr>
        <w:lastRenderedPageBreak/>
        <w:t>7.3.3 Regra da metade (art. 27-A)</w:t>
      </w:r>
    </w:p>
    <w:p w14:paraId="777E983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Q</w:t>
      </w:r>
    </w:p>
    <w:p w14:paraId="4EA2DC16" w14:textId="77777777" w:rsidR="005A5FCC" w:rsidRDefault="00A21C81">
      <w:r>
        <w:rPr>
          <w:rFonts w:cs="EB Garamond"/>
          <w:kern w:val="16"/>
          <w14:ligatures w14:val="standardContextual"/>
        </w:rPr>
        <w:t>uando o segurado perde a qualidade e posteriormente se refilia ao RGPS, aplica-se a regra do art. 27-A da Lei n. 8.213/91 (introduzido pela Lei n. 13.846/2019): exige-se o cumprimento de 6 contribuições mensais (metade da carência) a partir da nova filiação. Para o histórico legislativo completo do art. 27-A e as questões de direito intertemporal decorrentes das cinco alterações normativas entre 2016 e 2019, v. Cap. 3, seção 3.8.4. Aplica-se a regra vigente na DII (tempus regit actum).</w:t>
      </w:r>
    </w:p>
    <w:p w14:paraId="58E20AF0" w14:textId="77777777" w:rsidR="005A5FCC" w:rsidRDefault="00A21C81">
      <w:pPr>
        <w:spacing w:before="260" w:after="80" w:line="240" w:lineRule="auto"/>
        <w:jc w:val="left"/>
      </w:pPr>
      <w:r>
        <w:rPr>
          <w:rFonts w:cs="EB Garamond"/>
          <w:b/>
          <w:color w:val="3A3128"/>
          <w:kern w:val="16"/>
          <w:sz w:val="25"/>
          <w14:ligatures w14:val="standardContextual"/>
        </w:rPr>
        <w:t>7.3.4 Incapacidade para o trabalho ou atividade habitual</w:t>
      </w:r>
    </w:p>
    <w:p w14:paraId="72CA75F2"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5C1BC02B" w14:textId="77777777" w:rsidR="005A5FCC" w:rsidRDefault="00A21C81">
      <w:r>
        <w:rPr>
          <w:rFonts w:cs="EB Garamond"/>
          <w:kern w:val="16"/>
          <w14:ligatures w14:val="standardContextual"/>
        </w:rPr>
        <w:t xml:space="preserve"> requisito nuclear do benefício é a incapacidade para o trabalho ou para a atividade habitual do segurado. Diferentemente da aposentadoria por incapacidade permanente, que exige incapacidade omniprofissional, o auxílio por incapacidade temporária exige apenas incapacidade para a atividade habitual, ou seja, aquela efetivamente exercida pelo segurado no momento do surgimento da incapacidade.</w:t>
      </w:r>
    </w:p>
    <w:p w14:paraId="2FA82A2F" w14:textId="77777777" w:rsidR="005A5FCC" w:rsidRDefault="00A21C81">
      <w:pPr>
        <w:ind w:firstLine="238"/>
      </w:pPr>
      <w:r>
        <w:rPr>
          <w:rFonts w:cs="EB Garamond"/>
          <w:kern w:val="16"/>
          <w14:ligatures w14:val="standardContextual"/>
        </w:rPr>
        <w:t>Essa distinção possui consequências práticas relevantes. Um pedreiro com fratura no braço está incapacitado para sua atividade habitual (construção civil), ainda que pudesse, em tese, exercer atividade sedentária. Nessa hipótese, faz jus ao auxílio por incapacidade temporária, pois a análise é restrita à atividade habitual. Já para a aposentadoria por incapacidade permanente, seria necessário demonstrar que a incapacidade o impede de exercer qualquer atividade remunerada que lhe garanta o sustento.</w:t>
      </w:r>
    </w:p>
    <w:p w14:paraId="61670A84" w14:textId="77777777" w:rsidR="005A5FCC" w:rsidRDefault="00A21C81">
      <w:pPr>
        <w:ind w:firstLine="238"/>
      </w:pPr>
      <w:r>
        <w:rPr>
          <w:rFonts w:cs="EB Garamond"/>
          <w:kern w:val="16"/>
          <w14:ligatures w14:val="standardContextual"/>
        </w:rPr>
        <w:t>A definição de "atividade habitual" deve considerar não apenas a profissão formalmente registrada, mas as atividades efetivamente exercidas pelo segurado. Para o contribuinte individual, trabalhador avulso e segurado especial, a atividade habitual é aquela que constitui a fonte principal de renda. Para o empregado, corresponde às funções descritas no contrato de trabalho ou efetivamente desempenhadas.</w:t>
      </w:r>
    </w:p>
    <w:p w14:paraId="490B41B2" w14:textId="77777777" w:rsidR="005A5FCC" w:rsidRDefault="00A21C81">
      <w:pPr>
        <w:spacing w:before="260" w:after="80" w:line="240" w:lineRule="auto"/>
        <w:jc w:val="left"/>
      </w:pPr>
      <w:r>
        <w:rPr>
          <w:rFonts w:cs="EB Garamond"/>
          <w:b/>
          <w:color w:val="3A3128"/>
          <w:kern w:val="16"/>
          <w:sz w:val="25"/>
          <w14:ligatures w14:val="standardContextual"/>
        </w:rPr>
        <w:t>7.3.5 Afastamento superior a 15 dias</w:t>
      </w:r>
    </w:p>
    <w:p w14:paraId="4FE4180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O</w:t>
      </w:r>
    </w:p>
    <w:p w14:paraId="7C7B1152" w14:textId="77777777" w:rsidR="005A5FCC" w:rsidRDefault="00A21C81">
      <w:r>
        <w:rPr>
          <w:rFonts w:cs="EB Garamond"/>
          <w:kern w:val="16"/>
          <w14:ligatures w14:val="standardContextual"/>
        </w:rPr>
        <w:t xml:space="preserve"> art. 59, caput, da Lei n. 8.213/91 exige que a incapacidade perdure por mais de 15 dias consecutivos. Para o segurado empregado, os primeiros 15 dias de afastamento são de responsabilidade do empregador, que deve pagar a remuneração integral (art. 60, § 3º, da Lei n. 8.213/91). O benefício previdenciário é devido a partir do 16º dia de afastamento.</w:t>
      </w:r>
    </w:p>
    <w:p w14:paraId="185460E4" w14:textId="77777777" w:rsidR="005A5FCC" w:rsidRDefault="00A21C81">
      <w:pPr>
        <w:ind w:firstLine="238"/>
      </w:pPr>
      <w:r>
        <w:rPr>
          <w:rFonts w:cs="EB Garamond"/>
          <w:kern w:val="16"/>
          <w14:ligatures w14:val="standardContextual"/>
        </w:rPr>
        <w:t>A Lei n. 13.457/2017 deu nova redação ao § 4º do art. 60, disciplinando a hipótese de nova incapacidade decorrente da mesma doença. Estabelece o dispositivo que, sobrevindo nova incapacidade pela mesma doença dentro de 60 dias contados da cessação do benefício anterior, a empresa fica desobrigada do pagamento relativo aos 15 primeiros dias de afastamento, prorrogando-se o benefício anteriormente concedido e descontando-se os dias eventualmente trabalhados no intervalo. Não se trata, como por vezes se supõe, de mera soma aritmética de janelas curtas até perfazer 15 dias: o que a norma faz é reabrir ou prorrogar o mesmo benefício, dispensando novo período de carência do segurado e nova responsabilidade patronal pelos 15 dias, sempre que a recidiva ocorra na curta janela de 60 dias e tenha por causa a mesma patologia. A finalidade é evitar que a fragmentação de afastamentos sucessivos pela mesma doença, dentro de período exíguo, gere ônus repetido para a empresa e descontinuidade na proteção do segurado.</w:t>
      </w:r>
    </w:p>
    <w:tbl>
      <w:tblPr>
        <w:tblW w:w="5000" w:type="pct"/>
        <w:jc w:val="center"/>
        <w:tblLayout w:type="fixed"/>
        <w:tblLook w:val="04A0" w:firstRow="1" w:lastRow="0" w:firstColumn="1" w:lastColumn="0" w:noHBand="0" w:noVBand="1"/>
      </w:tblPr>
      <w:tblGrid>
        <w:gridCol w:w="6311"/>
      </w:tblGrid>
      <w:tr w:rsidR="005A5FCC" w14:paraId="7B3392E4"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7815C618"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765D7A8E" w14:textId="77777777" w:rsidR="005A5FCC" w:rsidRDefault="00A21C81">
            <w:pPr>
              <w:spacing w:after="60" w:line="247" w:lineRule="auto"/>
            </w:pPr>
            <w:r>
              <w:rPr>
                <w:rFonts w:cs="EB Garamond"/>
                <w:kern w:val="16"/>
                <w:sz w:val="19"/>
                <w14:ligatures w14:val="standardContextual"/>
              </w:rPr>
              <w:t>Para os demais segurados (contribuinte individual, trabalhador avulso, segurado especial, segurado facultativo), o benefício é devido desde a data do início da incapacidade. Essa regra não decorre do § 1º do art. 60 — que trata especificamente do requerimento após o 30º dia —, mas da própria sistemática do caput do art. 60 conjugada com a inexistência, para esses segurados, da figura do "empregador" responsável pelos primeiros 15 dias de afastamento. Não havendo quem responda pelo período inicial, não há por que aplicar a regra do 16º dia: o benefício começa na DII, observada a data do requerimento administrativo como limite para a retroação dos efeitos financeiros, na forma adiante examinada (seção 7.6.2).</w:t>
            </w:r>
          </w:p>
        </w:tc>
      </w:tr>
    </w:tbl>
    <w:p w14:paraId="04973808" w14:textId="77777777" w:rsidR="005A5FCC" w:rsidRDefault="005A5FCC">
      <w:pPr>
        <w:spacing w:after="80" w:line="240" w:lineRule="auto"/>
      </w:pPr>
    </w:p>
    <w:p w14:paraId="384D407B"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7.4 Espécies: previdenciário (B31) e acidentário (B91)</w:t>
      </w:r>
    </w:p>
    <w:p w14:paraId="06AF83A8"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165A76C3" w14:textId="77777777" w:rsidR="005A5FCC" w:rsidRDefault="00A21C81">
      <w:r>
        <w:rPr>
          <w:rFonts w:cs="EB Garamond"/>
          <w:kern w:val="16"/>
          <w14:ligatures w14:val="standardContextual"/>
        </w:rPr>
        <w:t xml:space="preserve"> auxílio por incapacidade temporária desdobra-se, conforme a doutrina, em duas espécies conforme a origem da incapacidade: o auxílio por incapacidade temporária previdenciário (espécie B31) e o auxílio por incapacidade temporária acidentário (espécie B91). A linha divisória é, à primeira vista, trivial — o B31 decorre de doença ou acidente comum, enquanto o B91 decorre de acidente do trabalho, doença profissional ou doença do trabalho —, mas dela derivam consequências jurídicas substanciais que justificam tratamento pormenorizado.</w:t>
      </w:r>
    </w:p>
    <w:p w14:paraId="278AC932" w14:textId="77777777" w:rsidR="005A5FCC" w:rsidRDefault="00A21C81">
      <w:pPr>
        <w:spacing w:before="260" w:after="80" w:line="240" w:lineRule="auto"/>
        <w:jc w:val="left"/>
      </w:pPr>
      <w:r>
        <w:rPr>
          <w:rFonts w:cs="EB Garamond"/>
          <w:b/>
          <w:color w:val="3A3128"/>
          <w:kern w:val="16"/>
          <w:sz w:val="25"/>
          <w14:ligatures w14:val="standardContextual"/>
        </w:rPr>
        <w:t>7.4.1 Diferenças fundamentais</w:t>
      </w:r>
    </w:p>
    <w:p w14:paraId="1255390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6A79FF1C" w14:textId="77777777" w:rsidR="005A5FCC" w:rsidRDefault="00A21C81">
      <w:r>
        <w:rPr>
          <w:rFonts w:cs="EB Garamond"/>
          <w:kern w:val="16"/>
          <w14:ligatures w14:val="standardContextual"/>
        </w:rPr>
        <w:t xml:space="preserve"> diferença mais imediata concerne à carência. O auxílio acidentário (B91) dispensa carência integralmente (art. 26, II, Lei n. 8.213/91), enquanto o previdenciário (B31) exige, em regra, 12 contribuições mensais, ressalvadas as hipóteses de dispensa já examinadas.</w:t>
      </w:r>
    </w:p>
    <w:p w14:paraId="653CC424" w14:textId="77777777" w:rsidR="005A5FCC" w:rsidRDefault="00A21C81">
      <w:pPr>
        <w:ind w:firstLine="238"/>
      </w:pPr>
      <w:r>
        <w:rPr>
          <w:rFonts w:cs="EB Garamond"/>
          <w:kern w:val="16"/>
          <w14:ligatures w14:val="standardContextual"/>
        </w:rPr>
        <w:t>No plano trabalhista, a distinção é igualmente sensível. O segurado empregado que recebe auxílio acidentário (B91) goza de estabilidade provisória no emprego pelo prazo mínimo de 12 meses após a cessação do benefício, nos termos do art. 118 da Lei n. 8.213/91. Essa garantia não se aplica ao beneficiário do B31. Além disso, durante o afastamento por B91, o empregador deve continuar depositando o FGTS na conta vinculada do trabalhador (art. 15, § 5º, da Lei n. 8.036/90), obrigação inexistente no caso do B31.</w:t>
      </w:r>
    </w:p>
    <w:p w14:paraId="673D734A" w14:textId="77777777" w:rsidR="005A5FCC" w:rsidRDefault="00A21C81">
      <w:pPr>
        <w:ind w:firstLine="238"/>
      </w:pPr>
      <w:r>
        <w:rPr>
          <w:rFonts w:cs="EB Garamond"/>
          <w:kern w:val="16"/>
          <w14:ligatures w14:val="standardContextual"/>
        </w:rPr>
        <w:t xml:space="preserve">Há, ainda, repercussão sobre a competência jurisdicional. As ações relativas a acidente do trabalho contra o INSS são de competência da Justiça Estadual (art. 109, I, da CF/88), enquanto as demandas referentes ao B31 são processadas perante a Justiça Federal (ou os Juizados Especiais Federais, quando o valor da causa não exceder 60 salários mínimos). Essa regra comporta exceção quando a demanda envolve pretensão de conversão do benefício de B31 para B91: se o pedido </w:t>
      </w:r>
      <w:r>
        <w:rPr>
          <w:rFonts w:cs="EB Garamond"/>
          <w:kern w:val="16"/>
          <w14:ligatures w14:val="standardContextual"/>
        </w:rPr>
        <w:lastRenderedPageBreak/>
        <w:t>principal é a conversão, a competência é da Justiça Estadual; se a conversão é pedido acessório em ação de concessão perante a Justiça Federal, há controvérsia jurisprudencial.</w:t>
      </w:r>
    </w:p>
    <w:tbl>
      <w:tblPr>
        <w:tblW w:w="5000" w:type="pct"/>
        <w:jc w:val="center"/>
        <w:tblLayout w:type="fixed"/>
        <w:tblLook w:val="04A0" w:firstRow="1" w:lastRow="0" w:firstColumn="1" w:lastColumn="0" w:noHBand="0" w:noVBand="1"/>
      </w:tblPr>
      <w:tblGrid>
        <w:gridCol w:w="6311"/>
      </w:tblGrid>
      <w:tr w:rsidR="005A5FCC" w14:paraId="2856A335"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3B7CD266" w14:textId="77777777" w:rsidR="005A5FCC" w:rsidRDefault="00A21C81">
            <w:pPr>
              <w:spacing w:after="60" w:line="240" w:lineRule="auto"/>
              <w:jc w:val="left"/>
            </w:pPr>
            <w:r>
              <w:rPr>
                <w:rFonts w:ascii="Noto Sans" w:hAnsi="Noto Sans" w:cs="Noto Sans"/>
                <w:b/>
                <w:caps/>
                <w:color w:val="4D6F8A"/>
                <w:kern w:val="16"/>
                <w:sz w:val="16"/>
                <w14:ligatures w14:val="standardContextual"/>
              </w:rPr>
              <w:t>JURISPRUDÊNCIA EM DESTAQUE</w:t>
            </w:r>
          </w:p>
          <w:p w14:paraId="3EA057D7" w14:textId="77777777" w:rsidR="005A5FCC" w:rsidRDefault="00A21C81">
            <w:pPr>
              <w:spacing w:after="60" w:line="247" w:lineRule="auto"/>
            </w:pPr>
            <w:r>
              <w:rPr>
                <w:rFonts w:cs="EB Garamond"/>
                <w:kern w:val="16"/>
                <w:sz w:val="19"/>
                <w14:ligatures w14:val="standardContextual"/>
              </w:rPr>
              <w:t>A competência da Justiça Estadual para as ações de acidente do trabalho contra o INSS decorre do art. 109, I, da CF/88, que exclui da competência da Justiça Federal "as causas relativas a falências, as de acidentes de trabalho e as sujeitas à Justiça Eleitoral e à Justiça do Trabalho". O STF, na Súmula 501, consolidou que "compete à Justiça Ordinária Estadual o processo e o julgamento, em ambas as instâncias, das causas de acidente do trabalho, ainda que promovidas contra a União, suas autarquias, empresas públicas ou sociedades de economia mista". Não obstante, quando a ação é proposta perante o JEF com pedido de concessão de auxílio por incapacidade temporária e, no curso do processo, a perícia identifica nexo ocupacional, a conversão de espécie (B31 para B91) pode ser determinada pelo próprio juízo federal como questão incidental, sem deslocamento de competência, segundo orientação dominante nos Tribunais Regionais Federais.</w:t>
            </w:r>
          </w:p>
        </w:tc>
      </w:tr>
    </w:tbl>
    <w:p w14:paraId="1EBFE267" w14:textId="77777777" w:rsidR="005A5FCC" w:rsidRDefault="005A5FCC">
      <w:pPr>
        <w:spacing w:after="80" w:line="240" w:lineRule="auto"/>
      </w:pPr>
    </w:p>
    <w:p w14:paraId="425D3B18" w14:textId="77777777" w:rsidR="005A5FCC" w:rsidRDefault="00A21C81">
      <w:pPr>
        <w:spacing w:before="260" w:after="80" w:line="240" w:lineRule="auto"/>
        <w:jc w:val="left"/>
      </w:pPr>
      <w:r>
        <w:rPr>
          <w:rFonts w:cs="EB Garamond"/>
          <w:b/>
          <w:color w:val="3A3128"/>
          <w:kern w:val="16"/>
          <w:sz w:val="25"/>
          <w14:ligatures w14:val="standardContextual"/>
        </w:rPr>
        <w:t>7.4.2 Nexo técnico epidemiológico previdenciário (NTEP)</w:t>
      </w:r>
    </w:p>
    <w:p w14:paraId="0DB0F1F8"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583F804C" w14:textId="77777777" w:rsidR="005A5FCC" w:rsidRDefault="00A21C81">
      <w:r>
        <w:rPr>
          <w:rFonts w:cs="EB Garamond"/>
          <w:kern w:val="16"/>
          <w14:ligatures w14:val="standardContextual"/>
        </w:rPr>
        <w:t xml:space="preserve"> identificação da natureza acidentária do benefício foi modificada pela Lei n. 11.430/2006, regulamentada pelo Decreto n. 6.042/2007, que instituiu o Nexo Técnico Epidemiológico Previdenciário (NTEP). Trata-se de instrumento de presunção relativa do nexo causal entre a doença e o trabalho, baseado na correlação estatística entre o código CID-10 da patologia e a atividade econômica da empresa (código CNAE).</w:t>
      </w:r>
    </w:p>
    <w:p w14:paraId="1729CF36" w14:textId="77777777" w:rsidR="005A5FCC" w:rsidRDefault="00A21C81">
      <w:pPr>
        <w:ind w:firstLine="238"/>
      </w:pPr>
      <w:r>
        <w:rPr>
          <w:rFonts w:cs="EB Garamond"/>
          <w:kern w:val="16"/>
          <w14:ligatures w14:val="standardContextual"/>
        </w:rPr>
        <w:t>Quando o NTEP é aplicado, presume-se que a incapacidade tem origem ocupacional, invertendo-se o ônus da prova: cabe à empresa demonstrar que a doença não possui nexo com o trabalho. Essa inversão deslocou para o empregador o ônus que antes recaía sobre o trabalhador, a quem cabia a difícil tarefa de provar o nexo causal em doenças de natureza multifatorial (como lesões por esforço repetitivo, distúrbios osteomusculares e transtornos mentais relacionados ao trabalho).</w:t>
      </w:r>
    </w:p>
    <w:p w14:paraId="39FEF7CD" w14:textId="77777777" w:rsidR="005A5FCC" w:rsidRDefault="00A21C81">
      <w:pPr>
        <w:ind w:firstLine="238"/>
      </w:pPr>
      <w:r>
        <w:rPr>
          <w:rFonts w:cs="EB Garamond"/>
          <w:kern w:val="16"/>
          <w14:ligatures w14:val="standardContextual"/>
        </w:rPr>
        <w:lastRenderedPageBreak/>
        <w:t>O empregador que discordar do enquadramento pelo NTEP pode apresentar impugnação administrativa ao INSS, no prazo de 15 dias da ciência da decisão, instruída com documentação técnica que demonstre a inexistência do nexo. A decisão administrativa é passível de recurso ao Conselho de Recursos da Previdência Social (CRPS).</w:t>
      </w:r>
    </w:p>
    <w:p w14:paraId="05753B42" w14:textId="77777777" w:rsidR="005A5FCC" w:rsidRDefault="00A21C81">
      <w:pPr>
        <w:spacing w:before="260" w:after="80" w:line="240" w:lineRule="auto"/>
        <w:jc w:val="left"/>
      </w:pPr>
      <w:r>
        <w:rPr>
          <w:rFonts w:cs="EB Garamond"/>
          <w:b/>
          <w:color w:val="3A3128"/>
          <w:kern w:val="16"/>
          <w:sz w:val="25"/>
          <w14:ligatures w14:val="standardContextual"/>
        </w:rPr>
        <w:t>7.4.3 Conversão de B31 em B91</w:t>
      </w:r>
    </w:p>
    <w:p w14:paraId="7D6F06E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2768A10A" w14:textId="77777777" w:rsidR="005A5FCC" w:rsidRDefault="00A21C81">
      <w:r>
        <w:rPr>
          <w:rFonts w:cs="EB Garamond"/>
          <w:kern w:val="16"/>
          <w14:ligatures w14:val="standardContextual"/>
        </w:rPr>
        <w:t xml:space="preserve"> conversão do benefício previdenciário (B31) em acidentário (B91) é pretensão recorrente nos JEFs e na Justiça Estadual. A conversão é admitida quando se demonstra, geralmente por perícia judicial, que a incapacidade possui nexo causal com o trabalho, mas o INSS concedeu o benefício na espécie previdenciária, seja por falha na aplicação do NTEP, seja por inexistência de Comunicação de Acidente de Trabalho (CAT) pelo empregador.</w:t>
      </w:r>
    </w:p>
    <w:p w14:paraId="73F6BD4B" w14:textId="77777777" w:rsidR="005A5FCC" w:rsidRDefault="00A21C81">
      <w:pPr>
        <w:ind w:firstLine="238"/>
      </w:pPr>
      <w:r>
        <w:rPr>
          <w:rFonts w:cs="EB Garamond"/>
          <w:kern w:val="16"/>
          <w14:ligatures w14:val="standardContextual"/>
        </w:rPr>
        <w:t>A conversão produz efeitos retroativos à data de início do benefício original, gerando consequências patrimoniais relevantes para o segurado: (a) reconhecimento da estabilidade provisória de 12 meses; (b) obrigação do empregador de depositar o FGTS retroativamente ao período de afastamento; e (c) possibilidade de ação regressiva contra o empregador por danos decorrentes do acidente ou doença ocupacional.</w:t>
      </w:r>
    </w:p>
    <w:p w14:paraId="5BC8DD15"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7.5 Incapacidade temporária: avaliação e perícia</w:t>
      </w:r>
    </w:p>
    <w:p w14:paraId="43D64BC4"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0F256F94" w14:textId="77777777" w:rsidR="005A5FCC" w:rsidRDefault="00A21C81">
      <w:r>
        <w:rPr>
          <w:rFonts w:cs="EB Garamond"/>
          <w:kern w:val="16"/>
          <w14:ligatures w14:val="standardContextual"/>
        </w:rPr>
        <w:t xml:space="preserve"> avaliação da incapacidade é o cerne do processo de concessão, manutenção e cessação do auxílio por incapacidade temporária. Três dimensões devem ser consideradas: extensão (total ou parcial em relação à atividade habitual), duração (temporária) e origem (comum ou acidentária/ocupacional).</w:t>
      </w:r>
    </w:p>
    <w:p w14:paraId="2A363E49" w14:textId="77777777" w:rsidR="005A5FCC" w:rsidRDefault="00A21C81">
      <w:pPr>
        <w:spacing w:before="260" w:after="80" w:line="240" w:lineRule="auto"/>
        <w:jc w:val="left"/>
      </w:pPr>
      <w:r>
        <w:rPr>
          <w:rFonts w:cs="EB Garamond"/>
          <w:b/>
          <w:color w:val="3A3128"/>
          <w:kern w:val="16"/>
          <w:sz w:val="25"/>
          <w14:ligatures w14:val="standardContextual"/>
        </w:rPr>
        <w:t>7.5.1 Incapacidade para a atividade habitual</w:t>
      </w:r>
    </w:p>
    <w:p w14:paraId="7E002EDD"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C</w:t>
      </w:r>
    </w:p>
    <w:p w14:paraId="6812C4E6" w14:textId="77777777" w:rsidR="005A5FCC" w:rsidRDefault="00A21C81">
      <w:r>
        <w:rPr>
          <w:rFonts w:cs="EB Garamond"/>
          <w:kern w:val="16"/>
          <w14:ligatures w14:val="standardContextual"/>
        </w:rPr>
        <w:t xml:space="preserve">onforme já referido, o auxílio por incapacidade temporária exige incapacidade para a atividade habitual do segurado, e não incapacidade omniprofissional. A jurisprudência da TNU consolidou, por meio da Súmula 47, </w:t>
      </w:r>
      <w:r>
        <w:rPr>
          <w:rFonts w:cs="EB Garamond"/>
          <w:kern w:val="16"/>
          <w14:ligatures w14:val="standardContextual"/>
        </w:rPr>
        <w:lastRenderedPageBreak/>
        <w:t>que "uma vez reconhecida a incapacidade parcial para o trabalho, o juiz deve analisar as condições pessoais e sociais do segurado para a concessão de aposentadoria por invalidez" (atual aposentadoria por incapacidade permanente). Embora a Súmula se refira diretamente à aposentadoria por incapacidade permanente, seus fundamentos irradiam para o auxílio por incapacidade temporária: as condições pessoais do segurado (idade, escolaridade, experiência profissional, ambiente socioeconômico) devem ser consideradas na avaliação da extensão prática da incapacidade.</w:t>
      </w:r>
    </w:p>
    <w:p w14:paraId="3318AC0F" w14:textId="77777777" w:rsidR="005A5FCC" w:rsidRDefault="00A21C81">
      <w:pPr>
        <w:ind w:firstLine="238"/>
      </w:pPr>
      <w:r>
        <w:rPr>
          <w:rFonts w:cs="EB Garamond"/>
          <w:kern w:val="16"/>
          <w14:ligatures w14:val="standardContextual"/>
        </w:rPr>
        <w:t>Na prática pericial, a distinção entre incapacidade para a atividade habitual e incapacidade omniprofissional frequentemente se apresenta como questão central. O perito pode concluir que o segurado está incapacitado para sua atividade específica (ex.: servente de obra com lombalgia), mas apto para atividades leves. Nesse cenário, o benefício correto é o auxílio por incapacidade temporária (e não a aposentadoria), pois a incapacidade, embora real para a atividade habitual, não é omniprofissional nem permanente. A cessação do benefício, contudo, pressupõe não apenas a recuperação clínica, mas a efetiva possibilidade de reinserção no mercado de trabalho — o que pode exigir reabilitação profissional prévia.</w:t>
      </w:r>
    </w:p>
    <w:p w14:paraId="548D82A1" w14:textId="77777777" w:rsidR="005A5FCC" w:rsidRDefault="00A21C81">
      <w:pPr>
        <w:spacing w:before="260" w:after="80" w:line="240" w:lineRule="auto"/>
        <w:jc w:val="left"/>
      </w:pPr>
      <w:r>
        <w:rPr>
          <w:rFonts w:cs="EB Garamond"/>
          <w:b/>
          <w:color w:val="3A3128"/>
          <w:kern w:val="16"/>
          <w:sz w:val="25"/>
          <w14:ligatures w14:val="standardContextual"/>
        </w:rPr>
        <w:t>7.5.2 Transtornos mentais e a nova epidemiologia da incapacidade</w:t>
      </w:r>
    </w:p>
    <w:p w14:paraId="53D949C2"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F</w:t>
      </w:r>
    </w:p>
    <w:p w14:paraId="51EF6733" w14:textId="77777777" w:rsidR="005A5FCC" w:rsidRDefault="00A21C81">
      <w:r>
        <w:rPr>
          <w:rFonts w:cs="EB Garamond"/>
          <w:kern w:val="16"/>
          <w14:ligatures w14:val="standardContextual"/>
        </w:rPr>
        <w:t>enômeno de crescente relevância nos JEFs, já destacado por Savaris (2019) e Porto (2024), é o aumento expressivo dos afastamentos por transtornos mentais e comportamentais. Os dados administrativos do INSS revelam que transtornos depressivos (CID F32-F33), transtornos de ansiedade (CID F41), reações ao estresse grave e transtornos de adaptação (CID F43), incluindo a síndrome de burnout (esgotamento profissional), figuram entre as principais causas de concessão de auxílio por incapacidade temporária na última década. Convém registrar, desde logo, que o sistema previdenciário brasileiro ainda opera com a CID-10, na qual o burnout é codificado como Z73.0; a CID-11, que individualizou a síndrome no código QD85, embora em vigor internacionalmente desde 2022, não foi plenamente adotada pelo INSS para fins de enquadramento.</w:t>
      </w:r>
    </w:p>
    <w:p w14:paraId="6856F38E" w14:textId="77777777" w:rsidR="005A5FCC" w:rsidRDefault="00A21C81">
      <w:pPr>
        <w:ind w:firstLine="238"/>
      </w:pPr>
      <w:r>
        <w:rPr>
          <w:rFonts w:cs="EB Garamond"/>
          <w:kern w:val="16"/>
          <w14:ligatures w14:val="standardContextual"/>
        </w:rPr>
        <w:t xml:space="preserve">A avaliação da incapacidade por transtornos mentais impõe dificuldades próprias. Diferentemente de patologias ortopédicas ou cardiológicas, em que exames </w:t>
      </w:r>
      <w:r>
        <w:rPr>
          <w:rFonts w:cs="EB Garamond"/>
          <w:kern w:val="16"/>
          <w14:ligatures w14:val="standardContextual"/>
        </w:rPr>
        <w:lastRenderedPageBreak/>
        <w:t>complementares objetivos (radiografias, eletrocardiogramas) podem atestar a limitação funcional, os transtornos mentais dependem preponderantemente de avaliação clínica — anamnese, entrevista psiquiátrica, aplicação de escalas validadas. A subjetividade inerente a essa avaliação gera divergências frequentes entre o perito administrativo (que dispõe de tempo limitado para o exame), o médico assistente (que acompanha o paciente longitudinalmente) e o perito judicial.</w:t>
      </w:r>
    </w:p>
    <w:p w14:paraId="6ACA7B3B" w14:textId="77777777" w:rsidR="005A5FCC" w:rsidRDefault="00A21C81">
      <w:pPr>
        <w:ind w:firstLine="238"/>
      </w:pPr>
      <w:r>
        <w:rPr>
          <w:rFonts w:cs="EB Garamond"/>
          <w:kern w:val="16"/>
          <w14:ligatures w14:val="standardContextual"/>
        </w:rPr>
        <w:t>A especificidade dos transtornos mentais exige adaptação dos critérios tradicionais de avaliação da incapacidade. Não basta verificar se o segurado possui capacidade física para uma atividade laborativa; é necessário avaliar se ele consegue manter concentração, interação social, tomada de decisão e resiliência emocional nas condições reais do ambiente de trabalho. A Classificação Internacional de Funcionalidade (CIF) da OMS oferece arcabouço metodológico adequado, pois considera não apenas a deficiência (alteração da função corporal), mas também as limitações de atividade e as restrições de participação social, à luz dos fatores ambientais e pessoais.</w:t>
      </w:r>
    </w:p>
    <w:p w14:paraId="74E66ECE" w14:textId="77777777" w:rsidR="005A5FCC" w:rsidRDefault="00A21C81">
      <w:pPr>
        <w:ind w:firstLine="238"/>
      </w:pPr>
      <w:r>
        <w:rPr>
          <w:rFonts w:cs="EB Garamond"/>
          <w:kern w:val="16"/>
          <w14:ligatures w14:val="standardContextual"/>
        </w:rPr>
        <w:t>Na rotina dos Juizados, temos por boa prática a nomeação de perito psiquiatra quando a patologia predominante for de natureza mental, evitando-se a perícia por clínico geral para quadros psiquiátricos complexos. Os quesitos devem contemplar: (a) diagnóstico psiquiátrico segundo a CID-10; (b) grau de comprometimento funcional nas atividades de vida diária e laborativa; (c) prognóstico com e sem tratamento adequado; (d) se o segurado está em acompanhamento psiquiátrico/psicológico e se a adesão ao tratamento é satisfatória; (e) se há risco de agravamento pelo retorno imediato ao trabalho.</w:t>
      </w:r>
    </w:p>
    <w:tbl>
      <w:tblPr>
        <w:tblW w:w="5000" w:type="pct"/>
        <w:jc w:val="center"/>
        <w:tblLayout w:type="fixed"/>
        <w:tblLook w:val="04A0" w:firstRow="1" w:lastRow="0" w:firstColumn="1" w:lastColumn="0" w:noHBand="0" w:noVBand="1"/>
      </w:tblPr>
      <w:tblGrid>
        <w:gridCol w:w="6311"/>
      </w:tblGrid>
      <w:tr w:rsidR="005A5FCC" w14:paraId="29B3DE11"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4735D616" w14:textId="77777777" w:rsidR="005A5FCC" w:rsidRDefault="00A21C81">
            <w:pPr>
              <w:spacing w:after="60" w:line="240" w:lineRule="auto"/>
              <w:jc w:val="left"/>
            </w:pPr>
            <w:r>
              <w:rPr>
                <w:rFonts w:ascii="Noto Sans" w:hAnsi="Noto Sans" w:cs="Noto Sans"/>
                <w:b/>
                <w:caps/>
                <w:color w:val="B78B37"/>
                <w:kern w:val="16"/>
                <w:sz w:val="16"/>
                <w14:ligatures w14:val="standardContextual"/>
              </w:rPr>
              <w:lastRenderedPageBreak/>
              <w:t>ATENÇÃO</w:t>
            </w:r>
          </w:p>
          <w:p w14:paraId="7762F091" w14:textId="77777777" w:rsidR="005A5FCC" w:rsidRDefault="00A21C81">
            <w:pPr>
              <w:spacing w:after="60" w:line="247" w:lineRule="auto"/>
            </w:pPr>
            <w:r>
              <w:rPr>
                <w:rFonts w:cs="EB Garamond"/>
                <w:kern w:val="16"/>
                <w:sz w:val="19"/>
                <w14:ligatures w14:val="standardContextual"/>
              </w:rPr>
              <w:t>A síndrome de burnout (esgotamento profissional), reconhecida pela OMS como fenômeno ocupacional, apresenta peculiaridade relevante para o enquadramento do benefício: quando o burnout é a causa da incapacidade, há fundamento defensável, embora controvertido, para a concessão do benefício na espécie acidentária (B91), e não previdenciária (B31), por se sustentar tratar-se de doença relacionada ao trabalho. O enquadramento da espécie repercute diretamente na garantia da estabilidade provisória de 12 meses e do depósito do FGTS durante o afastamento. Na via judicial, a perícia deve investigar o nexo causal entre as condições de trabalho e o desenvolvimento do burnout, podendo-se aplicar o NTEP quando a correlação CID × CNAE assim indicar. Registre-se, porém, que o INSS ainda codifica o quadro pela CID-10 (Z73.0), o que pode dificultar, na esfera administrativa, o reconhecimento automático do nexo ocupacional.</w:t>
            </w:r>
          </w:p>
        </w:tc>
      </w:tr>
    </w:tbl>
    <w:p w14:paraId="745B0186" w14:textId="77777777" w:rsidR="005A5FCC" w:rsidRDefault="005A5FCC">
      <w:pPr>
        <w:spacing w:after="80" w:line="240" w:lineRule="auto"/>
      </w:pPr>
    </w:p>
    <w:p w14:paraId="6256593B" w14:textId="77777777" w:rsidR="005A5FCC" w:rsidRDefault="00A21C81">
      <w:pPr>
        <w:spacing w:before="260" w:after="80" w:line="240" w:lineRule="auto"/>
        <w:jc w:val="left"/>
      </w:pPr>
      <w:r>
        <w:rPr>
          <w:rFonts w:cs="EB Garamond"/>
          <w:b/>
          <w:color w:val="3A3128"/>
          <w:kern w:val="16"/>
          <w:sz w:val="25"/>
          <w14:ligatures w14:val="standardContextual"/>
        </w:rPr>
        <w:t>7.5.3 Perícia médica: procedimento e valoração</w:t>
      </w:r>
    </w:p>
    <w:p w14:paraId="25AA0779"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06ED7B09" w14:textId="77777777" w:rsidR="005A5FCC" w:rsidRDefault="00A21C81">
      <w:r>
        <w:rPr>
          <w:rFonts w:cs="EB Garamond"/>
          <w:kern w:val="16"/>
          <w14:ligatures w14:val="standardContextual"/>
        </w:rPr>
        <w:t xml:space="preserve"> perícia médica constitui o principal instrumento de avaliação da incapacidade, tanto na esfera administrativa quanto na judicial. Na esfera administrativa, a perícia é realizada pela Perícia Médica Federal, vinculada ao INSS, e pode ser presencial ou documental (via sistema Atestmed). Na esfera judicial, a perícia é realizada por perito nomeado pelo juiz, nos termos do art. 12 da Lei n. 10.259/2001 (Lei dos JEFs).</w:t>
      </w:r>
    </w:p>
    <w:p w14:paraId="5F95C615" w14:textId="77777777" w:rsidR="005A5FCC" w:rsidRDefault="00A21C81">
      <w:pPr>
        <w:ind w:firstLine="238"/>
      </w:pPr>
      <w:r>
        <w:rPr>
          <w:rFonts w:cs="EB Garamond"/>
          <w:kern w:val="16"/>
          <w14:ligatures w14:val="standardContextual"/>
        </w:rPr>
        <w:t>No âmbito administrativo, a perícia presencial segue protocolo padronizado: o segurado comparece à Agência da Previdência Social (APS), apresenta documentação médica e é submetido a exame clínico pelo perito do INSS. O perito avalia a existência da incapacidade, sua extensão, duração estimada e eventual nexo com o trabalho. Com base nessa avaliação, o benefício é concedido (com fixação da Data de Cessação do Benefício — DCB) ou indeferido.</w:t>
      </w:r>
    </w:p>
    <w:p w14:paraId="0FDD0E37" w14:textId="77777777" w:rsidR="005A5FCC" w:rsidRDefault="00A21C81">
      <w:pPr>
        <w:ind w:firstLine="238"/>
      </w:pPr>
      <w:r>
        <w:rPr>
          <w:rFonts w:cs="EB Garamond"/>
          <w:kern w:val="16"/>
          <w14:ligatures w14:val="standardContextual"/>
        </w:rPr>
        <w:t xml:space="preserve">No âmbito judicial dos JEFs, a perícia segue o procedimento simplificado do art. 12 da Lei n. 10.259/2001. O juiz nomeia perito, geralmente médico especialista na área da patologia alegada, que elabora laudo respondendo a quesitos formulados pelas partes e pelo juízo. O laudo pericial não vincula o juiz (art. 479 do </w:t>
      </w:r>
      <w:r>
        <w:rPr>
          <w:rFonts w:cs="EB Garamond"/>
          <w:kern w:val="16"/>
          <w14:ligatures w14:val="standardContextual"/>
        </w:rPr>
        <w:lastRenderedPageBreak/>
        <w:t>CPC), que pode formar sua convicção com base em outros elementos probatórios, inclusive laudos de médico assistente, exames complementares e depoimento pessoal da parte.</w:t>
      </w:r>
    </w:p>
    <w:tbl>
      <w:tblPr>
        <w:tblW w:w="5000" w:type="pct"/>
        <w:jc w:val="center"/>
        <w:tblLayout w:type="fixed"/>
        <w:tblLook w:val="04A0" w:firstRow="1" w:lastRow="0" w:firstColumn="1" w:lastColumn="0" w:noHBand="0" w:noVBand="1"/>
      </w:tblPr>
      <w:tblGrid>
        <w:gridCol w:w="6311"/>
      </w:tblGrid>
      <w:tr w:rsidR="005A5FCC" w14:paraId="3A30878E"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2E770DC0"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28575A50" w14:textId="77777777" w:rsidR="005A5FCC" w:rsidRDefault="00A21C81">
            <w:pPr>
              <w:spacing w:after="60" w:line="247" w:lineRule="auto"/>
            </w:pPr>
            <w:r>
              <w:rPr>
                <w:rFonts w:cs="EB Garamond"/>
                <w:kern w:val="16"/>
                <w:sz w:val="19"/>
                <w14:ligatures w14:val="standardContextual"/>
              </w:rPr>
              <w:t>A formulação de quesitos na perícia judicial dos JEFs é decisiva para a qualidade da prova técnica. Quesitos bem formulados devem abordar, no mínimo: (a) qual a patologia diagnosticada e seu CID-10; (b) se há incapacidade para a atividade habitual e, em caso positivo, desde quando (DII); (c) se a incapacidade é total ou parcial em relação à atividade habitual; (d) se a incapacidade é temporária ou permanente; (e) qual o prognóstico de recuperação e o prazo estimado; (f) se há nexo causal com o trabalho; (g) se a doença é preexistente à filiação e, em caso positivo, se houve progressão ou agravamento; (h) se o segurado é suscetível de reabilitação profissional. Recomenda-se incluir quesito sobre as condições pessoais e sociais que influenciam a capacidade laborativa (idade, escolaridade, limitações funcionais residuais), em consonância com a Súmula 47/TNU.</w:t>
            </w:r>
          </w:p>
        </w:tc>
      </w:tr>
    </w:tbl>
    <w:p w14:paraId="72CD19EA" w14:textId="77777777" w:rsidR="005A5FCC" w:rsidRDefault="005A5FCC">
      <w:pPr>
        <w:spacing w:after="80" w:line="240" w:lineRule="auto"/>
      </w:pPr>
    </w:p>
    <w:p w14:paraId="41682337" w14:textId="77777777" w:rsidR="005A5FCC" w:rsidRDefault="00A21C81">
      <w:pPr>
        <w:spacing w:before="260" w:after="80" w:line="240" w:lineRule="auto"/>
        <w:jc w:val="left"/>
      </w:pPr>
      <w:r>
        <w:rPr>
          <w:rFonts w:cs="EB Garamond"/>
          <w:b/>
          <w:color w:val="3A3128"/>
          <w:kern w:val="16"/>
          <w:sz w:val="25"/>
          <w14:ligatures w14:val="standardContextual"/>
        </w:rPr>
        <w:t>7.5.4 O sistema Atestmed</w:t>
      </w:r>
    </w:p>
    <w:p w14:paraId="531BBC89"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6A1CBF84" w14:textId="77777777" w:rsidR="005A5FCC" w:rsidRDefault="00A21C81">
      <w:r>
        <w:rPr>
          <w:rFonts w:cs="EB Garamond"/>
          <w:kern w:val="16"/>
          <w14:ligatures w14:val="standardContextual"/>
        </w:rPr>
        <w:t xml:space="preserve"> Atestmed, análise documental para concessão de benefício por incapacidade sem perícia presencial, representa inovação significativa no procedimento administrativo do INSS. Originalmente concebido como medida emergencial durante a pandemia de COVID-19, o sistema foi aperfeiçoado e incorporado definitivamente ao fluxo de concessão.</w:t>
      </w:r>
    </w:p>
    <w:p w14:paraId="6BEC0C6F" w14:textId="77777777" w:rsidR="005A5FCC" w:rsidRDefault="00A21C81">
      <w:pPr>
        <w:ind w:firstLine="238"/>
      </w:pPr>
      <w:r>
        <w:rPr>
          <w:rFonts w:cs="EB Garamond"/>
          <w:kern w:val="16"/>
          <w14:ligatures w14:val="standardContextual"/>
        </w:rPr>
        <w:t>Na versão atualizada pela Portaria Conjunta MPS/INSS n. 13, de 21 de março de 2026, o Atestmed permite a concessão do auxílio por incapacidade temporária por até 90 dias em cada análise, com limite acumulado de 180 dias sem perícia presencial. O segurado apresenta atestado médico e documentação clínica pelo sistema Meu INSS, e a decisão (concessão ou indeferimento) é proferida por perito médico federal com base exclusivamente na documentação. Se o prazo de 90 dias for insuficiente, o pedido de prorrogação exige perícia presencial.</w:t>
      </w:r>
    </w:p>
    <w:p w14:paraId="59A5E43A" w14:textId="77777777" w:rsidR="005A5FCC" w:rsidRDefault="00A21C81">
      <w:pPr>
        <w:ind w:firstLine="238"/>
      </w:pPr>
      <w:r>
        <w:rPr>
          <w:rFonts w:cs="EB Garamond"/>
          <w:kern w:val="16"/>
          <w14:ligatures w14:val="standardContextual"/>
        </w:rPr>
        <w:t xml:space="preserve">O Atestmed representou ganho de eficiência na tramitação dos requerimentos, reduzindo filas e prazos de espera que historicamente constituíam obstáculo ao acesso efetivo à proteção previdenciária. Contudo, a análise exclusivamente </w:t>
      </w:r>
      <w:r>
        <w:rPr>
          <w:rFonts w:cs="EB Garamond"/>
          <w:kern w:val="16"/>
          <w14:ligatures w14:val="standardContextual"/>
        </w:rPr>
        <w:lastRenderedPageBreak/>
        <w:t>documental carrega limitações inerentes: o perito não examina fisicamente o segurado, o que pode resultar em subavaliação da incapacidade (especialmente em patologias de difícil objetivação, como dor crônica e transtornos mentais) ou, inversamente, em concessão de prazos incompatíveis com a gravidade real do quadro.</w:t>
      </w:r>
    </w:p>
    <w:p w14:paraId="4C31601C" w14:textId="77777777" w:rsidR="005A5FCC" w:rsidRDefault="00A21C81">
      <w:pPr>
        <w:spacing w:before="260" w:after="80" w:line="240" w:lineRule="auto"/>
        <w:jc w:val="left"/>
      </w:pPr>
      <w:r>
        <w:rPr>
          <w:rFonts w:cs="EB Garamond"/>
          <w:b/>
          <w:color w:val="3A3128"/>
          <w:kern w:val="16"/>
          <w:sz w:val="25"/>
          <w14:ligatures w14:val="standardContextual"/>
        </w:rPr>
        <w:t>7.5.5 Doença preexistente e progressão/agravamento</w:t>
      </w:r>
    </w:p>
    <w:p w14:paraId="1D40E04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5CE7B510" w14:textId="77777777" w:rsidR="005A5FCC" w:rsidRDefault="00A21C81">
      <w:r>
        <w:rPr>
          <w:rFonts w:cs="EB Garamond"/>
          <w:kern w:val="16"/>
          <w14:ligatures w14:val="standardContextual"/>
        </w:rPr>
        <w:t xml:space="preserve"> art. 59, parágrafo único, da Lei n. 8.213/91 (redação original) estabelece que não será devido o auxílio por incapacidade temporária ao segurado que se filiar ao RGPS já portador da doença ou da lesão invocada como causa para o benefício, salvo quando a incapacidade sobrevier por motivo de progressão ou agravamento dessa doença ou lesão. Trata-se de regra análoga à do art. 42, § 2º, da mesma Lei, aplicável à aposentadoria por incapacidade permanente.</w:t>
      </w:r>
    </w:p>
    <w:p w14:paraId="401A2165" w14:textId="77777777" w:rsidR="005A5FCC" w:rsidRDefault="00A21C81">
      <w:pPr>
        <w:ind w:firstLine="238"/>
      </w:pPr>
      <w:r>
        <w:rPr>
          <w:rFonts w:cs="EB Garamond"/>
          <w:kern w:val="16"/>
          <w14:ligatures w14:val="standardContextual"/>
        </w:rPr>
        <w:t>A norma consagra distinção fundamental, já examinada no Capítulo 3: doença preexistente não se confunde com incapacidade preexistente. O dado juridicamente relevante é o momento em que se iniciou a incapacidade (DII), e não o momento em que a doença foi diagnosticada (DID). Se o segurado já era portador da doença ao filiar-se, mas a incapacidade só sobreveio posteriormente, por progressão natural da patologia ou por agravamento decorrente das condições de trabalho, o benefício é devido.</w:t>
      </w:r>
    </w:p>
    <w:p w14:paraId="457FFFD3" w14:textId="77777777" w:rsidR="005A5FCC" w:rsidRDefault="00A21C81">
      <w:pPr>
        <w:ind w:firstLine="238"/>
      </w:pPr>
      <w:r>
        <w:rPr>
          <w:rFonts w:cs="EB Garamond"/>
          <w:kern w:val="16"/>
          <w14:ligatures w14:val="standardContextual"/>
        </w:rPr>
        <w:t>Na prática dos JEFs, a perícia judicial desempenha papel crucial na fixação da DII e na verificação de eventual progressão ou agravamento. O perito deve distinguir com clareza: (a) a data em que a doença foi diagnosticada (DID); (b) a data em que a incapacidade efetivamente se instalou (DII); e (c) se houve progressão ou agravamento após a filiação. A confusão entre essas datas é fonte frequente de indeferimentos administrativos que não resistem à análise judicial.</w:t>
      </w:r>
    </w:p>
    <w:p w14:paraId="5A861D37"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7.6 Data de início do benefício (DIB)</w:t>
      </w:r>
    </w:p>
    <w:p w14:paraId="661B9F78"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4CC1AC4A" w14:textId="77777777" w:rsidR="005A5FCC" w:rsidRDefault="00A21C81">
      <w:r>
        <w:rPr>
          <w:rFonts w:cs="EB Garamond"/>
          <w:kern w:val="16"/>
          <w14:ligatures w14:val="standardContextual"/>
        </w:rPr>
        <w:t xml:space="preserve"> fixação da data de início do benefício (DIB) determina o marco temporal a partir do qual o segurado faz jus ao pagamento das prestações. O art. 60 </w:t>
      </w:r>
      <w:r>
        <w:rPr>
          <w:rFonts w:cs="EB Garamond"/>
          <w:kern w:val="16"/>
          <w14:ligatures w14:val="standardContextual"/>
        </w:rPr>
        <w:lastRenderedPageBreak/>
        <w:t>da Lei n. 8.213/91 estabelece regras distintas conforme a categoria do segurado e a existência ou não de requerimento administrativo prévio.</w:t>
      </w:r>
    </w:p>
    <w:p w14:paraId="3CFB69BA" w14:textId="77777777" w:rsidR="005A5FCC" w:rsidRDefault="00A21C81">
      <w:pPr>
        <w:spacing w:before="260" w:after="80" w:line="240" w:lineRule="auto"/>
        <w:jc w:val="left"/>
      </w:pPr>
      <w:r>
        <w:rPr>
          <w:rFonts w:cs="EB Garamond"/>
          <w:b/>
          <w:color w:val="3A3128"/>
          <w:kern w:val="16"/>
          <w:sz w:val="25"/>
          <w14:ligatures w14:val="standardContextual"/>
        </w:rPr>
        <w:t>7.6.1 Segurado empregado</w:t>
      </w:r>
    </w:p>
    <w:p w14:paraId="1413CC0E"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P</w:t>
      </w:r>
    </w:p>
    <w:p w14:paraId="5687F380" w14:textId="77777777" w:rsidR="005A5FCC" w:rsidRDefault="00A21C81">
      <w:r>
        <w:rPr>
          <w:rFonts w:cs="EB Garamond"/>
          <w:kern w:val="16"/>
          <w14:ligatures w14:val="standardContextual"/>
        </w:rPr>
        <w:t>ara o segurado empregado, o auxílio por incapacidade temporária é devido a contar do 16º dia do afastamento da atividade (art. 60, caput). Os primeiros 15 dias são de responsabilidade do empregador, que paga a remuneração integral durante esse período. Se o segurado não se afastar do trabalho por mais de 15 dias consecutivos, não há direito ao benefício previdenciário, cabendo ao empregador arcar com o período de afastamento.</w:t>
      </w:r>
    </w:p>
    <w:p w14:paraId="38955B1B" w14:textId="77777777" w:rsidR="005A5FCC" w:rsidRDefault="00A21C81">
      <w:pPr>
        <w:ind w:firstLine="238"/>
      </w:pPr>
      <w:r>
        <w:rPr>
          <w:rFonts w:cs="EB Garamond"/>
          <w:kern w:val="16"/>
          <w14:ligatures w14:val="standardContextual"/>
        </w:rPr>
        <w:t>Quando o empregado requerer o benefício após o 30º dia do afastamento, a DIB será fixada na data de entrada do requerimento (DER), nos termos do art. 60, § 1º. Essa regra objetiva estimular o requerimento tempestivo, evitando que o segurado se mantenha longos períodos sem proteção e depois pleiteie retroação integral.</w:t>
      </w:r>
    </w:p>
    <w:p w14:paraId="54D4D9F9" w14:textId="77777777" w:rsidR="005A5FCC" w:rsidRDefault="00A21C81">
      <w:pPr>
        <w:spacing w:before="260" w:after="80" w:line="240" w:lineRule="auto"/>
        <w:jc w:val="left"/>
      </w:pPr>
      <w:r>
        <w:rPr>
          <w:rFonts w:cs="EB Garamond"/>
          <w:b/>
          <w:color w:val="3A3128"/>
          <w:kern w:val="16"/>
          <w:sz w:val="25"/>
          <w14:ligatures w14:val="standardContextual"/>
        </w:rPr>
        <w:t>7.6.2 Demais segurados</w:t>
      </w:r>
    </w:p>
    <w:p w14:paraId="04BB0405"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C</w:t>
      </w:r>
    </w:p>
    <w:p w14:paraId="1595F023" w14:textId="77777777" w:rsidR="005A5FCC" w:rsidRDefault="00A21C81">
      <w:r>
        <w:rPr>
          <w:rFonts w:cs="EB Garamond"/>
          <w:kern w:val="16"/>
          <w14:ligatures w14:val="standardContextual"/>
        </w:rPr>
        <w:t>onforme examinado na seção 7.3.5, os demais segurados (contribuinte individual, trabalhador avulso, segurado especial e segurado facultativo) recebem o benefício desde a DII — solução que deriva do caput do art. 60 e da ausência de empregador responsável pelos 15 dias iniciais, não de regra autônoma do § 1º. A esse parágrafo reserva-se hipótese diversa: se o requerimento for apresentado após o 30º dia da incapacidade, a DIB será fixada na DER, e não na DII (art. 60, § 1º). O dispositivo opera, assim, como regra de limitação temporal da retroação, e não como fonte do início do benefício na DII.</w:t>
      </w:r>
    </w:p>
    <w:p w14:paraId="342A2AA9" w14:textId="77777777" w:rsidR="005A5FCC" w:rsidRDefault="00A21C81">
      <w:pPr>
        <w:spacing w:before="260" w:after="80" w:line="240" w:lineRule="auto"/>
        <w:jc w:val="left"/>
      </w:pPr>
      <w:r>
        <w:rPr>
          <w:rFonts w:cs="EB Garamond"/>
          <w:b/>
          <w:color w:val="3A3128"/>
          <w:kern w:val="16"/>
          <w:sz w:val="25"/>
          <w14:ligatures w14:val="standardContextual"/>
        </w:rPr>
        <w:t>7.6.3 DIB na via judicial</w:t>
      </w:r>
    </w:p>
    <w:p w14:paraId="50B354DC"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Q</w:t>
      </w:r>
    </w:p>
    <w:p w14:paraId="0ACB4FFF" w14:textId="77777777" w:rsidR="005A5FCC" w:rsidRDefault="00A21C81">
      <w:r>
        <w:rPr>
          <w:rFonts w:cs="EB Garamond"/>
          <w:kern w:val="16"/>
          <w14:ligatures w14:val="standardContextual"/>
        </w:rPr>
        <w:t xml:space="preserve">uando o benefício é concedido judicialmente, a fixação da DIB segue regras construídas pela jurisprudência. A orientação prevalecente é que a DIB deve ser fixada: (a) na data da cessação indevida, quando se trata de restabelecimento de benefício; (b) na data do requerimento administrativo (DER), quando se trata de concessão originária com indeferimento prévio; (c) na </w:t>
      </w:r>
      <w:r>
        <w:rPr>
          <w:rFonts w:cs="EB Garamond"/>
          <w:kern w:val="16"/>
          <w14:ligatures w14:val="standardContextual"/>
        </w:rPr>
        <w:lastRenderedPageBreak/>
        <w:t>data da citação do INSS, quando não houve requerimento administrativo prévio — aplicando-se, por analogia, a regra do art. 43, inciso II, da Lei n. 8.213/91 (aposentadoria por incapacidade permanente).</w:t>
      </w:r>
    </w:p>
    <w:p w14:paraId="34C89579" w14:textId="77777777" w:rsidR="005A5FCC" w:rsidRDefault="00A21C81">
      <w:pPr>
        <w:ind w:firstLine="238"/>
      </w:pPr>
      <w:r>
        <w:rPr>
          <w:rFonts w:cs="EB Garamond"/>
          <w:kern w:val="16"/>
          <w14:ligatures w14:val="standardContextual"/>
        </w:rPr>
        <w:t>O STJ, no Tema 995 (REsp 1.727.063/SP e REsp 1.727.064/SP, Primeira Seção, j. 22/10/2019), fixou tese relevante para a reafirmação da DER, admitindo que requisitos implementados após o requerimento administrativo ou o ajuizamento da ação sejam considerados para a concessão do benefício. Essa tese tem aplicação ao auxílio por incapacidade temporária quando, por exemplo, a perícia judicial identifica DII posterior ao requerimento administrativo: a DIB pode ser fixada na DII, desde que dentro do período de qualidade de segurado.</w:t>
      </w:r>
    </w:p>
    <w:tbl>
      <w:tblPr>
        <w:tblW w:w="5000" w:type="pct"/>
        <w:jc w:val="center"/>
        <w:tblLayout w:type="fixed"/>
        <w:tblLook w:val="04A0" w:firstRow="1" w:lastRow="0" w:firstColumn="1" w:lastColumn="0" w:noHBand="0" w:noVBand="1"/>
      </w:tblPr>
      <w:tblGrid>
        <w:gridCol w:w="6311"/>
      </w:tblGrid>
      <w:tr w:rsidR="005A5FCC" w14:paraId="2356007D"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0E1B0067" w14:textId="77777777" w:rsidR="005A5FCC" w:rsidRDefault="00A21C81">
            <w:pPr>
              <w:spacing w:after="60" w:line="240" w:lineRule="auto"/>
              <w:jc w:val="left"/>
            </w:pPr>
            <w:r>
              <w:rPr>
                <w:rFonts w:ascii="Noto Sans" w:hAnsi="Noto Sans" w:cs="Noto Sans"/>
                <w:b/>
                <w:caps/>
                <w:color w:val="4D6F8A"/>
                <w:kern w:val="16"/>
                <w:sz w:val="16"/>
                <w14:ligatures w14:val="standardContextual"/>
              </w:rPr>
              <w:t>JURISPRUDÊNCIA EM DESTAQUE</w:t>
            </w:r>
          </w:p>
          <w:p w14:paraId="3CEB20CC" w14:textId="77777777" w:rsidR="005A5FCC" w:rsidRDefault="00A21C81">
            <w:pPr>
              <w:spacing w:after="60" w:line="247" w:lineRule="auto"/>
            </w:pPr>
            <w:r>
              <w:rPr>
                <w:rFonts w:cs="EB Garamond"/>
                <w:kern w:val="16"/>
                <w:sz w:val="19"/>
                <w14:ligatures w14:val="standardContextual"/>
              </w:rPr>
              <w:t>O STJ, no Tema 1.013 (REsp 1.786.590/SP, Primeira Seção, j. 24/06/2020), admitiu o recebimento conjunto das rendas do trabalho e do benefício por incapacidade pago retroativamente, no período entre o indeferimento administrativo e a implantação judicial. A análise detalhada do Tema 1.013 e suas implicações práticas encontra-se na seção 7.11.2.</w:t>
            </w:r>
          </w:p>
        </w:tc>
      </w:tr>
    </w:tbl>
    <w:p w14:paraId="355D6EBD" w14:textId="77777777" w:rsidR="005A5FCC" w:rsidRDefault="005A5FCC">
      <w:pPr>
        <w:spacing w:after="80" w:line="240" w:lineRule="auto"/>
      </w:pPr>
    </w:p>
    <w:p w14:paraId="5C6E0C65"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7.7 Duração do benefício e alta programada (COPES)</w:t>
      </w:r>
    </w:p>
    <w:p w14:paraId="04DE6054"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62221DA0" w14:textId="77777777" w:rsidR="005A5FCC" w:rsidRDefault="00A21C81">
      <w:r>
        <w:rPr>
          <w:rFonts w:cs="EB Garamond"/>
          <w:kern w:val="16"/>
          <w14:ligatures w14:val="standardContextual"/>
        </w:rPr>
        <w:t xml:space="preserve"> duração do auxílio por incapacidade temporária é, por definição, variável — depende do tempo necessário para a recuperação da capacidade laborativa do segurado. Não há prazo máximo fixado em lei para a manutenção do benefício; enquanto perdurar a incapacidade, o benefício é devido. Contudo, o sistema de alta programada (COPES — Cobertura Previdenciária Estimada) introduziu mecanismo de fixação administrativa da data de cessação do benefício (DCB), que modificou substancialmente a dinâmica do benefício.</w:t>
      </w:r>
    </w:p>
    <w:p w14:paraId="51D77C49" w14:textId="77777777" w:rsidR="005A5FCC" w:rsidRDefault="00A21C81">
      <w:pPr>
        <w:spacing w:before="260" w:after="80" w:line="240" w:lineRule="auto"/>
        <w:jc w:val="left"/>
      </w:pPr>
      <w:r>
        <w:rPr>
          <w:rFonts w:cs="EB Garamond"/>
          <w:b/>
          <w:color w:val="3A3128"/>
          <w:kern w:val="16"/>
          <w:sz w:val="25"/>
          <w14:ligatures w14:val="standardContextual"/>
        </w:rPr>
        <w:t>7.7.1 Sistema COPES</w:t>
      </w:r>
    </w:p>
    <w:p w14:paraId="52C7CB58"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O</w:t>
      </w:r>
    </w:p>
    <w:p w14:paraId="55D0CC1B" w14:textId="77777777" w:rsidR="005A5FCC" w:rsidRDefault="00A21C81">
      <w:r>
        <w:rPr>
          <w:rFonts w:cs="EB Garamond"/>
          <w:kern w:val="16"/>
          <w14:ligatures w14:val="standardContextual"/>
        </w:rPr>
        <w:t xml:space="preserve"> sistema de alta programada foi instituído pelos §§ 8º e 9º do art. 60 da Lei n. 8.213/91, com redação dada pela MP 767/2017, convertida na Lei n. 13.457/2017. Pela sistemática do COPES, o perito médico do INSS, ao conceder o benefício, fixa previamente a DCB — a data em que o benefício cessará automaticamente, sem necessidade de nova perícia. A DCB é estimada com base nas evidências clínicas iniciais e no prognóstico de recuperação.</w:t>
      </w:r>
    </w:p>
    <w:p w14:paraId="4632F92E" w14:textId="77777777" w:rsidR="005A5FCC" w:rsidRDefault="00A21C81">
      <w:pPr>
        <w:ind w:firstLine="238"/>
      </w:pPr>
      <w:r>
        <w:rPr>
          <w:rFonts w:cs="EB Garamond"/>
          <w:kern w:val="16"/>
          <w14:ligatures w14:val="standardContextual"/>
        </w:rPr>
        <w:t>O segurado que se mantiver incapacitado ao final do prazo estimado pode solicitar prorrogação, mediante pedido formulado nos 15 dias anteriores à DCB. Se a prorrogação for indeferida, o segurado pode apresentar pedido de reconsideração ou recurso ao Conselho de Recursos da Previdência Social (CRPS), no prazo de 30 dias.</w:t>
      </w:r>
    </w:p>
    <w:p w14:paraId="2C8E3D98" w14:textId="77777777" w:rsidR="005A5FCC" w:rsidRDefault="00A21C81">
      <w:pPr>
        <w:ind w:firstLine="238"/>
      </w:pPr>
      <w:r>
        <w:rPr>
          <w:rFonts w:cs="EB Garamond"/>
          <w:kern w:val="16"/>
          <w14:ligatures w14:val="standardContextual"/>
        </w:rPr>
        <w:t>A sistemática da alta programada conta, ainda, com regra supletiva de aplicação cotidiana nos JEFs. Nos termos do art. 60, § 9º, da Lei n. 8.213/91, na ausência de fixação do prazo de que trata o § 8º — isto é, quando o perito do INSS concede o benefício sem estipular a data de cessação —, o benefício cessa após o prazo de 120 dias, contado da concessão ou da reativação, salvo se o segurado requerer a sua prorrogação. Na prática, examinamos com frequência cessações automáticas operadas com base nesse prazo supletivo: quando a carta de concessão não traz DCB expressa, a verificação da legalidade da cessação passa por confrontar a data de cessação efetivamente lançada no sistema com o termo legal de 120 dias e, sobretudo, por aferir se o segurado foi cientificado e teve oportunidade de requerer a prorrogação. A cessação operada antes de exaurido o prazo supletivo, ou sem ciência adequada ao segurado, é impugnável.</w:t>
      </w:r>
    </w:p>
    <w:p w14:paraId="67DDA890" w14:textId="77777777" w:rsidR="005A5FCC" w:rsidRDefault="00A21C81">
      <w:pPr>
        <w:ind w:firstLine="238"/>
      </w:pPr>
      <w:r>
        <w:rPr>
          <w:rFonts w:cs="EB Garamond"/>
          <w:kern w:val="16"/>
          <w14:ligatures w14:val="standardContextual"/>
        </w:rPr>
        <w:t>A grande controvérsia em torno da alta programada residia em sua constitucionalidade. Argumentava-se que a cessação automática, sem nova avaliação médica, violaria os princípios da dignidade humana e da proteção social, pois submeteria o segurado ao risco de perder o benefício sem que sua capacidade laborativa houvesse sido efetivamente atestada. A questão foi pacificada pelo STF no julgamento do Tema 1.196 da repercussão geral.</w:t>
      </w:r>
    </w:p>
    <w:p w14:paraId="3D988CEE" w14:textId="5CFDD626" w:rsidR="005A5FCC" w:rsidRDefault="00A21C81">
      <w:pPr>
        <w:spacing w:before="260" w:after="80" w:line="240" w:lineRule="auto"/>
        <w:jc w:val="left"/>
      </w:pPr>
      <w:r>
        <w:rPr>
          <w:rFonts w:cs="EB Garamond"/>
          <w:b/>
          <w:color w:val="3A3128"/>
          <w:kern w:val="16"/>
          <w:sz w:val="25"/>
          <w14:ligatures w14:val="standardContextual"/>
        </w:rPr>
        <w:t xml:space="preserve">7.7.2 STF </w:t>
      </w:r>
      <w:r w:rsidR="00D143F2">
        <w:rPr>
          <w:rFonts w:cs="EB Garamond"/>
          <w:b/>
          <w:color w:val="3A3128"/>
          <w:kern w:val="16"/>
          <w:sz w:val="25"/>
          <w14:ligatures w14:val="standardContextual"/>
        </w:rPr>
        <w:t>T</w:t>
      </w:r>
      <w:r>
        <w:rPr>
          <w:rFonts w:cs="EB Garamond"/>
          <w:b/>
          <w:color w:val="3A3128"/>
          <w:kern w:val="16"/>
          <w:sz w:val="25"/>
          <w14:ligatures w14:val="standardContextual"/>
        </w:rPr>
        <w:t>ema 1.196: constitucionalidade da alta programada</w:t>
      </w:r>
    </w:p>
    <w:p w14:paraId="2063608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O</w:t>
      </w:r>
    </w:p>
    <w:p w14:paraId="1F7ADB42" w14:textId="77777777" w:rsidR="005A5FCC" w:rsidRDefault="00A21C81">
      <w:r>
        <w:rPr>
          <w:rFonts w:cs="EB Garamond"/>
          <w:kern w:val="16"/>
          <w14:ligatures w14:val="standardContextual"/>
        </w:rPr>
        <w:t xml:space="preserve"> Supremo Tribunal Federal, no julgamento do RE 1.347.526 (Tema 1.196 da repercussão geral), concluído em sessão virtual em 15 de setembro de 2025, declarou, por unanimidade, a constitucionalidade da alta programada. A tese fixada pelo relator, Ministro Cristiano Zanin, foi: "Não viola os artigos 62, caput e § 1º, e 246 da Constituição Federal a estipulação de prazo estimado para a duração de benefício de auxílio-doença, conforme estabelecido nos §§ 8º e 9º do art. 60 da Lei 8.213/1991, com redação dada pelas medidas provisórias 739/2016 e 767/2017, esta última convertida na Lei 13.457/2017."</w:t>
      </w:r>
    </w:p>
    <w:p w14:paraId="473A4001" w14:textId="77777777" w:rsidR="005A5FCC" w:rsidRDefault="00A21C81">
      <w:pPr>
        <w:ind w:firstLine="238"/>
      </w:pPr>
      <w:r>
        <w:rPr>
          <w:rFonts w:cs="EB Garamond"/>
          <w:kern w:val="16"/>
          <w14:ligatures w14:val="standardContextual"/>
        </w:rPr>
        <w:t>O STF entendeu que a alta programada constitui opção legislativa legítima voltada à racionalização e à eficiência do sistema previdenciário. O sistema não impede a continuidade da proteção: o segurado que permanece incapacitado pode formular prorrogações sucessivas, sem limite legal de número, mantendo-se o pagamento enquanto a perícia atestar a permanência da incapacidade. Convém não ler nessa abertura uma garantia de manutenção incondicional do benefício — a continuidade do fluxo de pagamentos depende, a cada pedido, de avaliação pericial favorável. A DCB funciona, portanto, como data-limite presumida, e não como cessação definitiva nem como pagamento perpétuo.</w:t>
      </w:r>
    </w:p>
    <w:tbl>
      <w:tblPr>
        <w:tblW w:w="5000" w:type="pct"/>
        <w:jc w:val="center"/>
        <w:tblLayout w:type="fixed"/>
        <w:tblLook w:val="04A0" w:firstRow="1" w:lastRow="0" w:firstColumn="1" w:lastColumn="0" w:noHBand="0" w:noVBand="1"/>
      </w:tblPr>
      <w:tblGrid>
        <w:gridCol w:w="6311"/>
      </w:tblGrid>
      <w:tr w:rsidR="005A5FCC" w14:paraId="2E9D7103"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20B635B7"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09376EAC" w14:textId="77777777" w:rsidR="005A5FCC" w:rsidRDefault="00A21C81">
            <w:pPr>
              <w:spacing w:after="60" w:line="247" w:lineRule="auto"/>
            </w:pPr>
            <w:r>
              <w:rPr>
                <w:rFonts w:cs="EB Garamond"/>
                <w:kern w:val="16"/>
                <w:sz w:val="19"/>
                <w14:ligatures w14:val="standardContextual"/>
              </w:rPr>
              <w:t>Com o julgamento do Tema 1.196/STF, a constitucionalidade da alta programada está pacificada com efeito vinculante. Nos JEFs, não é mais viável a tese de inconstitucionalidade do sistema COPES. A estratégia processual deve focar na inadequação da DCB fixada no caso concreto, demonstrando, por perícia judicial, que o prazo estimado é insuficiente para a recuperação, e não na invalidade abstrata do sistema. Quando a perícia judicial fixar prazo de incapacidade superior à DCB administrativa, o juiz deve determinar a prorrogação até a data indicada pelo perito, sem necessidade de declarar inconstitucionalidade.</w:t>
            </w:r>
          </w:p>
        </w:tc>
      </w:tr>
    </w:tbl>
    <w:p w14:paraId="6905403A" w14:textId="77777777" w:rsidR="005A5FCC" w:rsidRDefault="005A5FCC">
      <w:pPr>
        <w:spacing w:after="80" w:line="240" w:lineRule="auto"/>
      </w:pPr>
    </w:p>
    <w:p w14:paraId="097DDD7F" w14:textId="77777777" w:rsidR="005A5FCC" w:rsidRDefault="00A21C81">
      <w:pPr>
        <w:spacing w:before="260" w:after="80" w:line="240" w:lineRule="auto"/>
        <w:jc w:val="left"/>
      </w:pPr>
      <w:r>
        <w:rPr>
          <w:rFonts w:cs="EB Garamond"/>
          <w:b/>
          <w:color w:val="3A3128"/>
          <w:kern w:val="16"/>
          <w:sz w:val="25"/>
          <w14:ligatures w14:val="standardContextual"/>
        </w:rPr>
        <w:t>7.7.3 Prorrogação, reconsideração e recurso</w:t>
      </w:r>
    </w:p>
    <w:p w14:paraId="3CA6FE3E"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6D7477B2" w14:textId="77777777" w:rsidR="005A5FCC" w:rsidRDefault="00A21C81">
      <w:r>
        <w:rPr>
          <w:rFonts w:cs="EB Garamond"/>
          <w:kern w:val="16"/>
          <w14:ligatures w14:val="standardContextual"/>
        </w:rPr>
        <w:t xml:space="preserve"> segurado cujo benefício está próximo da DCB e que se mantém incapacitado dispõe de três vias administrativas: prorrogação, pedido de reconsideração e recurso.</w:t>
      </w:r>
    </w:p>
    <w:p w14:paraId="2820EC70" w14:textId="77777777" w:rsidR="005A5FCC" w:rsidRDefault="00A21C81">
      <w:pPr>
        <w:ind w:firstLine="238"/>
      </w:pPr>
      <w:r>
        <w:rPr>
          <w:rFonts w:cs="EB Garamond"/>
          <w:kern w:val="16"/>
          <w14:ligatures w14:val="standardContextual"/>
        </w:rPr>
        <w:lastRenderedPageBreak/>
        <w:t>A prorrogação deve ser solicitada nos 15 dias que antecedem a DCB, pelo sistema Meu INSS ou por telefone (135). Enquanto a prorrogação estiver em análise, o pagamento do benefício é mantido. Após a Portaria Conjunta MPS/INSS n. 13, de 21 de março de 2026, se o benefício original foi concedido via Atestmed e o acumulado não ultrapassou 180 dias, a prorrogação pode ser decidida documentalmente; caso contrário, exige-se perícia presencial.</w:t>
      </w:r>
    </w:p>
    <w:p w14:paraId="121B596F" w14:textId="77777777" w:rsidR="005A5FCC" w:rsidRDefault="00A21C81">
      <w:pPr>
        <w:ind w:firstLine="238"/>
      </w:pPr>
      <w:r>
        <w:rPr>
          <w:rFonts w:cs="EB Garamond"/>
          <w:kern w:val="16"/>
          <w14:ligatures w14:val="standardContextual"/>
        </w:rPr>
        <w:t>O pedido de reconsideração cabe quando o benefício já foi cessado (DCB expirada) e o segurado apresenta fato novo ou documentação médica atualizada que demonstre a continuidade da incapacidade. O prazo é de 30 dias da ciência da cessação.</w:t>
      </w:r>
    </w:p>
    <w:p w14:paraId="3E42BB82" w14:textId="77777777" w:rsidR="005A5FCC" w:rsidRDefault="00A21C81">
      <w:pPr>
        <w:ind w:firstLine="238"/>
      </w:pPr>
      <w:r>
        <w:rPr>
          <w:rFonts w:cs="EB Garamond"/>
          <w:kern w:val="16"/>
          <w14:ligatures w14:val="standardContextual"/>
        </w:rPr>
        <w:t>O recurso ao CRPS é cabível quando o segurado discorda da decisão de indeferimento da prorrogação ou da reconsideração. O prazo é de 30 dias da ciência da decisão impugnada. O CRPS funciona em duas instâncias: Juntas de Recursos (primeira instância) e Câmaras de Julgamento (segunda instância).</w:t>
      </w:r>
    </w:p>
    <w:p w14:paraId="21204F4F"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7.8 Cálculo do benefício</w:t>
      </w:r>
    </w:p>
    <w:p w14:paraId="6F8F3E72"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655B96D2" w14:textId="77777777" w:rsidR="005A5FCC" w:rsidRDefault="00A21C81">
      <w:r>
        <w:rPr>
          <w:rFonts w:cs="EB Garamond"/>
          <w:kern w:val="16"/>
          <w14:ligatures w14:val="standardContextual"/>
        </w:rPr>
        <w:t>s regras gerais de apuração do salário de benefício — período básico de cálculo, média dos 80% maiores (pré-EC 103/2019) versus média de 100% (pós-EC 103/2019), atividades concomitantes (art. 32, Lei 8.213/91, com redação da Lei 13.846/2019) e direito intertemporal — são examinadas no Capítulo 16 (seções 16.3 a 16.5). Nesta seção, destacam-se as peculiaridades aplicáveis ao auxílio por incapacidade temporária.</w:t>
      </w:r>
    </w:p>
    <w:p w14:paraId="05B5D66D" w14:textId="77777777" w:rsidR="005A5FCC" w:rsidRDefault="00A21C81">
      <w:pPr>
        <w:spacing w:before="260" w:after="80" w:line="240" w:lineRule="auto"/>
        <w:jc w:val="left"/>
      </w:pPr>
      <w:r>
        <w:rPr>
          <w:rFonts w:cs="EB Garamond"/>
          <w:b/>
          <w:color w:val="3A3128"/>
          <w:kern w:val="16"/>
          <w:sz w:val="25"/>
          <w14:ligatures w14:val="standardContextual"/>
        </w:rPr>
        <w:t>7.8.1 Coeficiente de 91%</w:t>
      </w:r>
    </w:p>
    <w:p w14:paraId="2BEFC8CC"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28F7129A" w14:textId="77777777" w:rsidR="005A5FCC" w:rsidRDefault="00A21C81">
      <w:r>
        <w:rPr>
          <w:rFonts w:cs="EB Garamond"/>
          <w:kern w:val="16"/>
          <w14:ligatures w14:val="standardContextual"/>
        </w:rPr>
        <w:t xml:space="preserve"> renda mensal do auxílio por incapacidade temporária corresponde a 91% do salário de benefício (art. 61, Lei 8.213/91). O coeficiente é fixo — não varia conforme tempo de contribuição ou idade. O valor não pode ser inferior ao salário mínimo (art. 201, § 2º, CF/88) nem superior ao teto do RGPS (em 2026, R$ 8.475,55).</w:t>
      </w:r>
    </w:p>
    <w:p w14:paraId="29916547" w14:textId="77777777" w:rsidR="005A5FCC" w:rsidRDefault="00A21C81">
      <w:pPr>
        <w:spacing w:before="260" w:after="80" w:line="240" w:lineRule="auto"/>
        <w:jc w:val="left"/>
      </w:pPr>
      <w:r>
        <w:rPr>
          <w:rFonts w:cs="EB Garamond"/>
          <w:b/>
          <w:color w:val="3A3128"/>
          <w:kern w:val="16"/>
          <w:sz w:val="25"/>
          <w14:ligatures w14:val="standardContextual"/>
        </w:rPr>
        <w:lastRenderedPageBreak/>
        <w:t>7.8.2 Divergência sobre a aplicabilidade do art. 26 da EC 103/2019</w:t>
      </w:r>
    </w:p>
    <w:p w14:paraId="49E72BA2"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S</w:t>
      </w:r>
    </w:p>
    <w:p w14:paraId="4481D3B2" w14:textId="77777777" w:rsidR="005A5FCC" w:rsidRDefault="00A21C81">
      <w:r>
        <w:rPr>
          <w:rFonts w:cs="EB Garamond"/>
          <w:kern w:val="16"/>
          <w14:ligatures w14:val="standardContextual"/>
        </w:rPr>
        <w:t>ubsiste divergência sobre a aplicabilidade do art. 26 da EC 103/2019 ao auxílio por incapacidade temporária. A interpretação restritiva sustenta que o dispositivo se aplica apenas aos benefícios nele expressamente referidos (aposentadorias e pensão por morte), de modo que o auxílio continuaria calculado pela regra dos 80% maiores. A interpretação ampliativa — adotada pelo INSS — entende que o art. 26 alterou a fórmula geral do salário de benefício, aplicável a todas as prestações. Na prática administrativa, o INSS calcula pela média de 100% para benefícios com DII a partir de 13/11/2019.</w:t>
      </w:r>
    </w:p>
    <w:p w14:paraId="43A33871" w14:textId="77777777" w:rsidR="005A5FCC" w:rsidRDefault="00A21C81">
      <w:pPr>
        <w:ind w:firstLine="238"/>
      </w:pPr>
      <w:r>
        <w:rPr>
          <w:rFonts w:cs="EB Garamond"/>
          <w:kern w:val="16"/>
          <w14:ligatures w14:val="standardContextual"/>
        </w:rPr>
        <w:t>O regime aplicável é definido pela DII, e não pela DER ou data da decisão judicial (v. Cap. 16, seção 16.6). A fixação precisa da DII pelo perito adquire, assim, dupla relevância: é requisito de concessão e marco temporal para a definição da regra de cálculo.</w:t>
      </w:r>
    </w:p>
    <w:p w14:paraId="67B92CA7"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7.9 Efeitos do auxílio por incapacidade temporária sobre o contrato de trabalho</w:t>
      </w:r>
    </w:p>
    <w:p w14:paraId="45F2E832"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12C2A4BA" w14:textId="77777777" w:rsidR="005A5FCC" w:rsidRDefault="00A21C81">
      <w:r>
        <w:rPr>
          <w:rFonts w:cs="EB Garamond"/>
          <w:kern w:val="16"/>
          <w14:ligatures w14:val="standardContextual"/>
        </w:rPr>
        <w:t xml:space="preserve"> afastamento do segurado empregado para gozo de auxílio por incapacidade temporária produz efeitos relevantes sobre o contrato de trabalho, que devem ser compreendidos para a adequada tutela dos direitos do segurado nos JEFs.</w:t>
      </w:r>
    </w:p>
    <w:p w14:paraId="50362FE3" w14:textId="77777777" w:rsidR="005A5FCC" w:rsidRDefault="00A21C81">
      <w:pPr>
        <w:ind w:firstLine="238"/>
      </w:pPr>
      <w:r>
        <w:rPr>
          <w:rFonts w:cs="EB Garamond"/>
          <w:kern w:val="16"/>
          <w14:ligatures w14:val="standardContextual"/>
        </w:rPr>
        <w:t>A partir do 16º dia de afastamento, quando se inicia o pagamento do benefício previdenciário, o contrato de trabalho fica suspenso (e não interrompido). A distinção é relevante: na suspensão, cessam as obrigações principais de ambas as partes — o empregado não presta serviços e o empregador não paga salário, ficando o segurado amparado pela prestação previdenciária. Não há contagem do período de suspensão para fins de férias (art. 133, IV, CLT), 13º salário proporcional ao período de afastamento, nem aviso prévio.</w:t>
      </w:r>
    </w:p>
    <w:p w14:paraId="49D7F9C5" w14:textId="77777777" w:rsidR="005A5FCC" w:rsidRDefault="00A21C81">
      <w:pPr>
        <w:ind w:firstLine="238"/>
      </w:pPr>
      <w:r>
        <w:rPr>
          <w:rFonts w:cs="EB Garamond"/>
          <w:kern w:val="16"/>
          <w14:ligatures w14:val="standardContextual"/>
        </w:rPr>
        <w:t xml:space="preserve">A exceção ocorre no auxílio acidentário (B91): nessa hipótese, o empregador é obrigado a depositar o FGTS durante todo o período de afastamento (art. 15, § </w:t>
      </w:r>
      <w:r>
        <w:rPr>
          <w:rFonts w:cs="EB Garamond"/>
          <w:kern w:val="16"/>
          <w14:ligatures w14:val="standardContextual"/>
        </w:rPr>
        <w:lastRenderedPageBreak/>
        <w:t>5º, Lei n. 8.036/90). Além disso, o período de afastamento por acidente do trabalho é computado como tempo de serviço para todos os efeitos legais (art. 4º, parágrafo único, CLT).</w:t>
      </w:r>
    </w:p>
    <w:p w14:paraId="7D95E064" w14:textId="77777777" w:rsidR="005A5FCC" w:rsidRDefault="00A21C81">
      <w:pPr>
        <w:ind w:firstLine="238"/>
      </w:pPr>
      <w:r>
        <w:rPr>
          <w:rFonts w:cs="EB Garamond"/>
          <w:kern w:val="16"/>
          <w14:ligatures w14:val="standardContextual"/>
        </w:rPr>
        <w:t>O retorno do segurado ao trabalho após a cessação do benefício submete-se a regras específicas conforme a espécie. No B91, o segurado goza de estabilidade provisória de 12 meses (art. 118, Lei n. 8.213/91), durante os quais não pode ser dispensado sem justa causa. No B31, não há estabilidade legal, mas convenções coletivas de diversas categorias preveem estabilidade temporária pós-afastamento, que deve ser verificada caso a caso.</w:t>
      </w:r>
    </w:p>
    <w:p w14:paraId="79CE56C2" w14:textId="77777777" w:rsidR="005A5FCC" w:rsidRDefault="00A21C81">
      <w:pPr>
        <w:ind w:firstLine="238"/>
      </w:pPr>
      <w:r>
        <w:rPr>
          <w:rFonts w:cs="EB Garamond"/>
          <w:kern w:val="16"/>
          <w14:ligatures w14:val="standardContextual"/>
        </w:rPr>
        <w:t>A questão da aptidão para o retorno ao trabalho envolve a articulação de três esferas de avaliação: (a) a perícia do INSS (que concede ou cessa o benefício); (b) o exame médico de retorno ao trabalho (realizado pelo médico do trabalho da empresa, conforme NR-7); e (c) eventual perícia judicial, quando o segurado impugna a cessação. A divergência entre essas avaliações é a gênese do limbo previdenciário, tratado na seção 7.17.</w:t>
      </w:r>
    </w:p>
    <w:p w14:paraId="7BE3492F"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7.10 Cessação do benefício</w:t>
      </w:r>
    </w:p>
    <w:p w14:paraId="597B81E4"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7232DE5E" w14:textId="77777777" w:rsidR="005A5FCC" w:rsidRDefault="00A21C81">
      <w:r>
        <w:rPr>
          <w:rFonts w:cs="EB Garamond"/>
          <w:kern w:val="16"/>
          <w14:ligatures w14:val="standardContextual"/>
        </w:rPr>
        <w:t xml:space="preserve"> auxílio por incapacidade temporária cessa nas hipóteses previstas no art. 60 e demais disposições da Lei n. 8.213/91, que podem ser sistematizadas em cinco categorias: recuperação da capacidade laborativa, conversão em outro benefício, aposentadoria, óbito e retorno voluntário ao trabalho.</w:t>
      </w:r>
    </w:p>
    <w:p w14:paraId="2489B47C" w14:textId="77777777" w:rsidR="005A5FCC" w:rsidRDefault="00A21C81">
      <w:pPr>
        <w:spacing w:before="260" w:after="80" w:line="240" w:lineRule="auto"/>
        <w:jc w:val="left"/>
      </w:pPr>
      <w:r>
        <w:rPr>
          <w:rFonts w:cs="EB Garamond"/>
          <w:b/>
          <w:color w:val="3A3128"/>
          <w:kern w:val="16"/>
          <w:sz w:val="25"/>
          <w14:ligatures w14:val="standardContextual"/>
        </w:rPr>
        <w:t>7.10.1 Recuperação da capacidade laborativa</w:t>
      </w:r>
    </w:p>
    <w:p w14:paraId="51DDC818"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445232C2" w14:textId="77777777" w:rsidR="005A5FCC" w:rsidRDefault="00A21C81">
      <w:r>
        <w:rPr>
          <w:rFonts w:cs="EB Garamond"/>
          <w:kern w:val="16"/>
          <w14:ligatures w14:val="standardContextual"/>
        </w:rPr>
        <w:t xml:space="preserve"> causa principal de cessação é a recuperação da capacidade para o trabalho, atestada por perícia médica (administrativa ou judicial). A recuperação pode ser total (o segurado retoma a atividade habitual sem restrições) ou parcial, com sequelas que reduzam a capacidade funcional. No caso de recuperação parcial, o segurado pode: (a) retornar à atividade habitual com limitações, hipótese em que o auxílio cessa; (b) ser encaminhado a programa de reabilitação </w:t>
      </w:r>
      <w:r>
        <w:rPr>
          <w:rFonts w:cs="EB Garamond"/>
          <w:kern w:val="16"/>
          <w14:ligatures w14:val="standardContextual"/>
        </w:rPr>
        <w:lastRenderedPageBreak/>
        <w:t>profissional, mantendo-se o benefício durante o processo; ou (c) quando a recuperação é parcial e a incapacidade residual é permanente, ter o benefício convertido em aposentadoria por incapacidade permanente.</w:t>
      </w:r>
    </w:p>
    <w:p w14:paraId="207227DA" w14:textId="77777777" w:rsidR="005A5FCC" w:rsidRDefault="00A21C81">
      <w:pPr>
        <w:spacing w:before="260" w:after="80" w:line="240" w:lineRule="auto"/>
        <w:jc w:val="left"/>
      </w:pPr>
      <w:r>
        <w:rPr>
          <w:rFonts w:cs="EB Garamond"/>
          <w:b/>
          <w:color w:val="3A3128"/>
          <w:kern w:val="16"/>
          <w:sz w:val="25"/>
          <w14:ligatures w14:val="standardContextual"/>
        </w:rPr>
        <w:t>7.10.2 Conversão em aposentadoria por incapacidade permanente</w:t>
      </w:r>
    </w:p>
    <w:p w14:paraId="566F94D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Q</w:t>
      </w:r>
    </w:p>
    <w:p w14:paraId="11ADA9E4" w14:textId="77777777" w:rsidR="005A5FCC" w:rsidRDefault="00A21C81">
      <w:r>
        <w:rPr>
          <w:rFonts w:cs="EB Garamond"/>
          <w:kern w:val="16"/>
          <w14:ligatures w14:val="standardContextual"/>
        </w:rPr>
        <w:t>uando a perícia médica conclui que a incapacidade não é mais temporária, mas definitiva e omniprofissional, o auxílio por incapacidade temporária deve ser convertido em aposentadoria por incapacidade permanente. A conversão depende de conclusão pericial e decisão administrativa do INSS. Na prática, a conversão frequentemente ocorre por via judicial, quando o INSS mantém o segurado em auxílio por incapacidade temporária por período prolongado sem proceder à reavaliação para eventual conversão.</w:t>
      </w:r>
    </w:p>
    <w:p w14:paraId="4E5B42A1" w14:textId="77777777" w:rsidR="005A5FCC" w:rsidRDefault="00A21C81">
      <w:pPr>
        <w:ind w:firstLine="238"/>
      </w:pPr>
      <w:r>
        <w:rPr>
          <w:rFonts w:cs="EB Garamond"/>
          <w:kern w:val="16"/>
          <w14:ligatures w14:val="standardContextual"/>
        </w:rPr>
        <w:t>A conversão não exige novo requerimento administrativo nem nova carência — os requisitos de qualidade de segurado e carência são verificados na data de início do auxílio por incapacidade temporária original. A renda mensal da aposentadoria por incapacidade permanente, contudo, difere: enquanto o auxílio por incapacidade temporária corresponde a 91% do salário de benefício, a aposentadoria por incapacidade permanente de origem não acidentária, após a EC 103/2019, corresponde a 60% + 2% por ano de contribuição que exceder 20 anos (homens) ou 15 anos (mulheres), sobre a média de 100% dos salários de contribuição, nos termos do art. 26, § 2º, III, c/c § 5º, da EC 103/2019. Na hipótese de incapacidade permanente decorrente de acidente de trabalho, doença profissional ou doença do trabalho, o coeficiente é de 100% da média (art. 26, § 3º, da EC 103/2019).</w:t>
      </w:r>
    </w:p>
    <w:p w14:paraId="1E17FA2D" w14:textId="77777777" w:rsidR="005A5FCC" w:rsidRDefault="00A21C81">
      <w:pPr>
        <w:spacing w:before="260" w:after="80" w:line="240" w:lineRule="auto"/>
        <w:jc w:val="left"/>
      </w:pPr>
      <w:r>
        <w:rPr>
          <w:rFonts w:cs="EB Garamond"/>
          <w:b/>
          <w:color w:val="3A3128"/>
          <w:kern w:val="16"/>
          <w:sz w:val="25"/>
          <w14:ligatures w14:val="standardContextual"/>
        </w:rPr>
        <w:t>7.10.3 Aposentadoria por idade ou tempo de contribuição</w:t>
      </w:r>
    </w:p>
    <w:p w14:paraId="18E5421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2E25AA4D" w14:textId="77777777" w:rsidR="005A5FCC" w:rsidRDefault="00A21C81">
      <w:r>
        <w:rPr>
          <w:rFonts w:cs="EB Garamond"/>
          <w:kern w:val="16"/>
          <w14:ligatures w14:val="standardContextual"/>
        </w:rPr>
        <w:t xml:space="preserve"> segurado em gozo de auxílio por incapacidade temporária que implementa os requisitos para aposentadoria por idade ou por tempo de contribuição pode optar pelo benefício mais vantajoso. A concessão de aposentadoria definitiva implica a cessação automática do auxílio por incapacidade temporária.</w:t>
      </w:r>
    </w:p>
    <w:p w14:paraId="7603110E" w14:textId="77777777" w:rsidR="005A5FCC" w:rsidRDefault="00A21C81">
      <w:pPr>
        <w:spacing w:before="260" w:after="80" w:line="240" w:lineRule="auto"/>
        <w:jc w:val="left"/>
      </w:pPr>
      <w:r>
        <w:rPr>
          <w:rFonts w:cs="EB Garamond"/>
          <w:b/>
          <w:color w:val="3A3128"/>
          <w:kern w:val="16"/>
          <w:sz w:val="25"/>
          <w14:ligatures w14:val="standardContextual"/>
        </w:rPr>
        <w:lastRenderedPageBreak/>
        <w:t>7.10.4 Óbito do segurado</w:t>
      </w:r>
    </w:p>
    <w:p w14:paraId="6EB2320E"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4537398C" w14:textId="77777777" w:rsidR="005A5FCC" w:rsidRDefault="00A21C81">
      <w:r>
        <w:rPr>
          <w:rFonts w:cs="EB Garamond"/>
          <w:kern w:val="16"/>
          <w14:ligatures w14:val="standardContextual"/>
        </w:rPr>
        <w:t xml:space="preserve"> óbito do segurado cessa o benefício, gerando, em favor dos dependentes, o direito à pensão por morte (art. 74, Lei n. 8.213/91). A data do óbito é a DCB do auxílio por incapacidade temporária e, simultaneamente, o fato gerador da pensão.</w:t>
      </w:r>
    </w:p>
    <w:p w14:paraId="72A79070" w14:textId="77777777" w:rsidR="005A5FCC" w:rsidRDefault="00A21C81">
      <w:pPr>
        <w:spacing w:before="260" w:after="80" w:line="240" w:lineRule="auto"/>
        <w:jc w:val="left"/>
      </w:pPr>
      <w:r>
        <w:rPr>
          <w:rFonts w:cs="EB Garamond"/>
          <w:b/>
          <w:color w:val="3A3128"/>
          <w:kern w:val="16"/>
          <w:sz w:val="25"/>
          <w14:ligatures w14:val="standardContextual"/>
        </w:rPr>
        <w:t>7.10.5 Retorno voluntário ao trabalho</w:t>
      </w:r>
    </w:p>
    <w:p w14:paraId="215D1E1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0C570B94" w14:textId="77777777" w:rsidR="005A5FCC" w:rsidRDefault="00A21C81">
      <w:r>
        <w:rPr>
          <w:rFonts w:cs="EB Garamond"/>
          <w:kern w:val="16"/>
          <w14:ligatures w14:val="standardContextual"/>
        </w:rPr>
        <w:t xml:space="preserve"> retorno voluntário do segurado à atividade laborativa, ainda que a incapacidade persista sob o ponto de vista médico, implica a cessação do benefício, porém, conforme a Súmula 72/TNU, o mero exercício de atividade remunerada não elide retroativamente o direito ao benefício no período em que o segurado estava comprovadamente incapacitado.</w:t>
      </w:r>
    </w:p>
    <w:p w14:paraId="0263F659"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7.11 Exercício de atividade remunerada durante o benefício</w:t>
      </w:r>
    </w:p>
    <w:p w14:paraId="4FEE760B"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0A33694E" w14:textId="77777777" w:rsidR="005A5FCC" w:rsidRDefault="00A21C81">
      <w:r>
        <w:rPr>
          <w:rFonts w:cs="EB Garamond"/>
          <w:kern w:val="16"/>
          <w14:ligatures w14:val="standardContextual"/>
        </w:rPr>
        <w:t xml:space="preserve"> cumulação entre auxílio por incapacidade temporária e renda do trabalho não configura incompatibilidade absoluta. A jurisprudência definiu critérios precisos para a coexistência.</w:t>
      </w:r>
    </w:p>
    <w:p w14:paraId="715B8FA1" w14:textId="77777777" w:rsidR="005A5FCC" w:rsidRDefault="00A21C81">
      <w:pPr>
        <w:spacing w:before="260" w:after="80" w:line="240" w:lineRule="auto"/>
        <w:jc w:val="left"/>
      </w:pPr>
      <w:r>
        <w:rPr>
          <w:rFonts w:cs="EB Garamond"/>
          <w:b/>
          <w:color w:val="3A3128"/>
          <w:kern w:val="16"/>
          <w:sz w:val="25"/>
          <w14:ligatures w14:val="standardContextual"/>
        </w:rPr>
        <w:t>7.11.1 Súmula 72/TNU</w:t>
      </w:r>
    </w:p>
    <w:p w14:paraId="60A1F97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40EC2C50" w14:textId="77777777" w:rsidR="005A5FCC" w:rsidRDefault="00A21C81">
      <w:r>
        <w:rPr>
          <w:rFonts w:cs="EB Garamond"/>
          <w:kern w:val="16"/>
          <w14:ligatures w14:val="standardContextual"/>
        </w:rPr>
        <w:t xml:space="preserve"> Turma Nacional de Uniformização editou a Súmula 72, segundo a qual "é possível o recebimento de benefício por incapacidade durante período em que houve exercício de atividade remunerada quando comprovado que o segurado estava incapaz para as atividades habituais na época em que trabalhou". O fundamento é que o exercício de atividade laborativa, em muitos casos, decorre de estado de necessidade — o segurado, privado de renda pelo indeferimento ou cessação do benefício, vê-se obrigado a trabalhar para sobreviver, ainda que em condições precárias e com agravamento de seu quadro de saúde.</w:t>
      </w:r>
    </w:p>
    <w:p w14:paraId="3F6CC9FC" w14:textId="77777777" w:rsidR="005A5FCC" w:rsidRDefault="00A21C81">
      <w:pPr>
        <w:ind w:firstLine="238"/>
      </w:pPr>
      <w:r>
        <w:rPr>
          <w:rFonts w:cs="EB Garamond"/>
          <w:kern w:val="16"/>
          <w14:ligatures w14:val="standardContextual"/>
        </w:rPr>
        <w:t>A Súmula consagra a ideia de que o risco social não desaparece pelo simples fato de o segurado ter exercido atividade remunerada. A incapacidade é fenô</w:t>
      </w:r>
      <w:r>
        <w:rPr>
          <w:rFonts w:cs="EB Garamond"/>
          <w:kern w:val="16"/>
          <w14:ligatures w14:val="standardContextual"/>
        </w:rPr>
        <w:lastRenderedPageBreak/>
        <w:t>meno médico-funcional, que deve ser aferido por perícia, e não inferido automaticamente a partir do exercício ou não de trabalho. O segurado pode trabalhar incapacitado, submetendo-se a dor, limitações e risco de agravamento, sem que isso descaracterize juridicamente a incapacidade.</w:t>
      </w:r>
    </w:p>
    <w:p w14:paraId="4B8DA8FB" w14:textId="22AC0C9D" w:rsidR="005A5FCC" w:rsidRDefault="00A21C81">
      <w:pPr>
        <w:spacing w:before="260" w:after="80" w:line="240" w:lineRule="auto"/>
        <w:jc w:val="left"/>
      </w:pPr>
      <w:r>
        <w:rPr>
          <w:rFonts w:cs="EB Garamond"/>
          <w:b/>
          <w:color w:val="3A3128"/>
          <w:kern w:val="16"/>
          <w:sz w:val="25"/>
          <w14:ligatures w14:val="standardContextual"/>
        </w:rPr>
        <w:t xml:space="preserve">7.11.2 STJ </w:t>
      </w:r>
      <w:r w:rsidR="00D143F2">
        <w:rPr>
          <w:rFonts w:cs="EB Garamond"/>
          <w:b/>
          <w:color w:val="3A3128"/>
          <w:kern w:val="16"/>
          <w:sz w:val="25"/>
          <w14:ligatures w14:val="standardContextual"/>
        </w:rPr>
        <w:t>T</w:t>
      </w:r>
      <w:r>
        <w:rPr>
          <w:rFonts w:cs="EB Garamond"/>
          <w:b/>
          <w:color w:val="3A3128"/>
          <w:kern w:val="16"/>
          <w:sz w:val="25"/>
          <w14:ligatures w14:val="standardContextual"/>
        </w:rPr>
        <w:t>ema 1.013</w:t>
      </w:r>
    </w:p>
    <w:p w14:paraId="14987642"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37FD89FC" w14:textId="77777777" w:rsidR="005A5FCC" w:rsidRDefault="00A21C81">
      <w:r>
        <w:rPr>
          <w:rFonts w:cs="EB Garamond"/>
          <w:kern w:val="16"/>
          <w14:ligatures w14:val="standardContextual"/>
        </w:rPr>
        <w:t xml:space="preserve"> STJ, no Tema 1.013, complementou e reforçou o entendimento da TNU, agora com efeito vinculante para todo o Poder Judiciário. A tese fixada dispõe que, no período entre o indeferimento administrativo e a efetiva implantação do benefício por decisão judicial, o segurado tem direito ao recebimento conjunto das rendas do trabalho exercido e do benefício previdenciário pago retroativamente. A decisão é clara: o trabalho exercido durante o período de espera não extingue o direito ao benefício, e a cumulação de rendas nesse intervalo é devida.</w:t>
      </w:r>
    </w:p>
    <w:tbl>
      <w:tblPr>
        <w:tblW w:w="5000" w:type="pct"/>
        <w:jc w:val="center"/>
        <w:tblLayout w:type="fixed"/>
        <w:tblLook w:val="04A0" w:firstRow="1" w:lastRow="0" w:firstColumn="1" w:lastColumn="0" w:noHBand="0" w:noVBand="1"/>
      </w:tblPr>
      <w:tblGrid>
        <w:gridCol w:w="6311"/>
      </w:tblGrid>
      <w:tr w:rsidR="005A5FCC" w14:paraId="382CFE6D"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14A35161"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5875BEFE" w14:textId="77777777" w:rsidR="005A5FCC" w:rsidRDefault="00A21C81">
            <w:pPr>
              <w:spacing w:after="60" w:line="247" w:lineRule="auto"/>
            </w:pPr>
            <w:r>
              <w:rPr>
                <w:rFonts w:cs="EB Garamond"/>
                <w:kern w:val="16"/>
                <w:sz w:val="19"/>
                <w14:ligatures w14:val="standardContextual"/>
              </w:rPr>
              <w:t>Na contestação do INSS em ações de concessão ou restabelecimento de auxílio por incapacidade temporária nos JEFs, é comum a alegação de que o segurado exerceu atividade remunerada durante o período pleiteado, o que descaracterizaria a incapacidade. À luz da Súmula 72/TNU e do Tema 1.013/STJ, essa alegação, isoladamente, não prospera. O juiz deve analisar se a atividade exercida era compatível com as limitações do segurado e se o exercício decorreu de necessidade financeira. A perícia judicial deve ser instada a se pronunciar sobre a compatibilidade entre a atividade exercida e as limitações clínicas, e não simplesmente sobre se o segurado "trabalhou ou não" no período.</w:t>
            </w:r>
          </w:p>
        </w:tc>
      </w:tr>
    </w:tbl>
    <w:p w14:paraId="31296182" w14:textId="77777777" w:rsidR="005A5FCC" w:rsidRDefault="005A5FCC">
      <w:pPr>
        <w:spacing w:after="80" w:line="240" w:lineRule="auto"/>
      </w:pPr>
    </w:p>
    <w:p w14:paraId="1B8E7DC3"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7.12 Programa de reabilitação profissional</w:t>
      </w:r>
    </w:p>
    <w:p w14:paraId="447B6AE5"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4DC0B0DA" w14:textId="77777777" w:rsidR="005A5FCC" w:rsidRDefault="00A21C81">
      <w:r>
        <w:rPr>
          <w:rFonts w:cs="EB Garamond"/>
          <w:kern w:val="16"/>
          <w14:ligatures w14:val="standardContextual"/>
        </w:rPr>
        <w:t xml:space="preserve"> programa de habilitação e reabilitação profissional é serviço previdenciário obrigatório, disciplinado nos arts. 89 a 93 da Lei n. 8.213/91, que desempenha papel fundamental na transição entre o auxílio por incapacidade temporária e o retorno ao mercado de trabalho.</w:t>
      </w:r>
    </w:p>
    <w:p w14:paraId="744D76FB" w14:textId="77777777" w:rsidR="005A5FCC" w:rsidRDefault="00A21C81">
      <w:pPr>
        <w:spacing w:before="260" w:after="80" w:line="240" w:lineRule="auto"/>
        <w:jc w:val="left"/>
      </w:pPr>
      <w:r>
        <w:rPr>
          <w:rFonts w:cs="EB Garamond"/>
          <w:b/>
          <w:color w:val="3A3128"/>
          <w:kern w:val="16"/>
          <w:sz w:val="25"/>
          <w14:ligatures w14:val="standardContextual"/>
        </w:rPr>
        <w:lastRenderedPageBreak/>
        <w:t>7.12.1 Fundamento legal e objetivos</w:t>
      </w:r>
    </w:p>
    <w:p w14:paraId="5ADA6894"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07EAD71A" w14:textId="77777777" w:rsidR="005A5FCC" w:rsidRDefault="00A21C81">
      <w:r>
        <w:rPr>
          <w:rFonts w:cs="EB Garamond"/>
          <w:kern w:val="16"/>
          <w14:ligatures w14:val="standardContextual"/>
        </w:rPr>
        <w:t xml:space="preserve"> art. 89 da Lei n. 8.213/91 estabelece que a habilitação e a reabilitação profissional devem proporcionar ao beneficiário incapacitado os meios para participar do mercado de trabalho e do contexto social em que vive. O programa compreende: (a) fornecimento de aparelhos de prótese, órtese e instrumentos de auxílio para locomoção; (b) reparação ou substituição desses equipamentos; (c) transporte do acidentado do trabalho, quando necessário; e (d) cursos e treinamentos para qualificação ou requalificação profissional.</w:t>
      </w:r>
    </w:p>
    <w:p w14:paraId="574AB20C" w14:textId="77777777" w:rsidR="005A5FCC" w:rsidRDefault="00A21C81">
      <w:pPr>
        <w:ind w:firstLine="238"/>
      </w:pPr>
      <w:r>
        <w:rPr>
          <w:rFonts w:cs="EB Garamond"/>
          <w:kern w:val="16"/>
          <w14:ligatures w14:val="standardContextual"/>
        </w:rPr>
        <w:t>A prestação dos serviços de reabilitação é de caráter obrigatório para os segurados, inclusive aposentados por incapacidade permanente cuja capacidade seja parcialmente recuperada. O art. 62 da Lei n. 8.213/91 estabelece que o segurado em gozo de auxílio por incapacidade temporária, insusceptível de recuperação para sua atividade habitual, deverá submeter-se a processo de reabilitação profissional para o exercício de outra atividade. O benefício não cessará até que o segurado seja dado como habilitado para nova atividade ou, quando considerado não recuperável, seja aposentado por incapacidade permanente.</w:t>
      </w:r>
    </w:p>
    <w:p w14:paraId="679D59A3" w14:textId="77777777" w:rsidR="005A5FCC" w:rsidRDefault="00A21C81">
      <w:pPr>
        <w:spacing w:before="260" w:after="80" w:line="240" w:lineRule="auto"/>
        <w:jc w:val="left"/>
      </w:pPr>
      <w:r>
        <w:rPr>
          <w:rFonts w:cs="EB Garamond"/>
          <w:b/>
          <w:color w:val="3A3128"/>
          <w:kern w:val="16"/>
          <w:sz w:val="25"/>
          <w14:ligatures w14:val="standardContextual"/>
        </w:rPr>
        <w:t>7.12.2 Certificado de reabilitação (art. 92)</w:t>
      </w:r>
    </w:p>
    <w:p w14:paraId="1A84B5E8"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C</w:t>
      </w:r>
    </w:p>
    <w:p w14:paraId="70434A23" w14:textId="77777777" w:rsidR="005A5FCC" w:rsidRDefault="00A21C81">
      <w:r>
        <w:rPr>
          <w:rFonts w:cs="EB Garamond"/>
          <w:kern w:val="16"/>
          <w14:ligatures w14:val="standardContextual"/>
        </w:rPr>
        <w:t>oncluído o processo de reabilitação, a Previdência Social emite certificado individual indicando as atividades que poderão ser exercidas pelo beneficiário. Esse certificado possui dupla função: (a) habilita formalmente o segurado para o exercício das novas atividades; e (b) constitui pressuposto para a cessação do auxílio por incapacidade temporária, pois evidencia que o segurado possui capacidade para atividade alternativa à habitual.</w:t>
      </w:r>
    </w:p>
    <w:p w14:paraId="60801E25" w14:textId="77777777" w:rsidR="005A5FCC" w:rsidRDefault="00A21C81">
      <w:pPr>
        <w:ind w:firstLine="238"/>
      </w:pPr>
      <w:r>
        <w:rPr>
          <w:rFonts w:cs="EB Garamond"/>
          <w:kern w:val="16"/>
          <w14:ligatures w14:val="standardContextual"/>
        </w:rPr>
        <w:t>A emissão do certificado de reabilitação é condição necessária, mas não suficiente, para a cessação do benefício. É indispensável que o segurado tenha efetiva possibilidade de inserção no mercado de trabalho na nova atividade — o certificado não substitui a oferta real de emprego. Nos JEFs, frequentemente se constata que o segurado concluiu formalmente o programa de reabilitação, mas não consegue colocação profissional em razão de idade avançada, baixa escolaridade ou limitações residuais que tornam a reabilitação meramente teórica.</w:t>
      </w:r>
    </w:p>
    <w:p w14:paraId="2E114DFB" w14:textId="77777777" w:rsidR="005A5FCC" w:rsidRDefault="00A21C81">
      <w:pPr>
        <w:spacing w:before="260" w:after="80" w:line="240" w:lineRule="auto"/>
        <w:jc w:val="left"/>
      </w:pPr>
      <w:r>
        <w:rPr>
          <w:rFonts w:cs="EB Garamond"/>
          <w:b/>
          <w:color w:val="3A3128"/>
          <w:kern w:val="16"/>
          <w:sz w:val="25"/>
          <w14:ligatures w14:val="standardContextual"/>
        </w:rPr>
        <w:lastRenderedPageBreak/>
        <w:t>7.12.3 Cotas para empresas (art. 93)</w:t>
      </w:r>
    </w:p>
    <w:p w14:paraId="68E9562C"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5A9BB478" w14:textId="77777777" w:rsidR="005A5FCC" w:rsidRDefault="00A21C81">
      <w:r>
        <w:rPr>
          <w:rFonts w:cs="EB Garamond"/>
          <w:kern w:val="16"/>
          <w14:ligatures w14:val="standardContextual"/>
        </w:rPr>
        <w:t xml:space="preserve"> art. 93 da Lei n. 8.213/91 estabelece a obrigação das empresas com 100 ou mais empregados de preencher de 2% a 5% dos seus cargos com beneficiários reabilitados ou pessoas com deficiência habilitadas. Os percentuais são progressivos: até 200 empregados, 2%; de 201 a 500, 3%; de 501 a 1.000, 4%; acima de 1.000, 5%. A norma visa garantir que a reabilitação profissional não seja exercício formal desprovido de resultado prático, assegurando a absorção dos segurados reabilitados pelo mercado de trabalho.</w:t>
      </w:r>
    </w:p>
    <w:p w14:paraId="22673B4F" w14:textId="77777777" w:rsidR="005A5FCC" w:rsidRDefault="00A21C81">
      <w:pPr>
        <w:ind w:firstLine="238"/>
      </w:pPr>
      <w:r>
        <w:rPr>
          <w:rFonts w:cs="EB Garamond"/>
          <w:kern w:val="16"/>
          <w14:ligatures w14:val="standardContextual"/>
        </w:rPr>
        <w:t>O descumprimento da cota sujeita a empresa a multa administrativa, aplicada pela Auditoria-Fiscal do Trabalho. A dispensa de trabalhador reabilitado ou de pessoa com deficiência, ao final de contrato por prazo determinado superior a 90 dias, e a imotivada no contrato por prazo indeterminado, só poderá ocorrer após a contratação de substituto em condição semelhante (art. 93, § 1º).</w:t>
      </w:r>
    </w:p>
    <w:p w14:paraId="6D5B05C3" w14:textId="77777777" w:rsidR="005A5FCC" w:rsidRDefault="00A21C81">
      <w:pPr>
        <w:spacing w:before="260" w:after="80" w:line="240" w:lineRule="auto"/>
        <w:jc w:val="left"/>
      </w:pPr>
      <w:r>
        <w:rPr>
          <w:rFonts w:cs="EB Garamond"/>
          <w:b/>
          <w:color w:val="3A3128"/>
          <w:kern w:val="16"/>
          <w:sz w:val="25"/>
          <w14:ligatures w14:val="standardContextual"/>
        </w:rPr>
        <w:t>7.12.4 Limitações práticas do programa</w:t>
      </w:r>
    </w:p>
    <w:p w14:paraId="57F8EF4B"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N</w:t>
      </w:r>
    </w:p>
    <w:p w14:paraId="0400E7FE" w14:textId="77777777" w:rsidR="005A5FCC" w:rsidRDefault="00A21C81">
      <w:r>
        <w:rPr>
          <w:rFonts w:cs="EB Garamond"/>
          <w:kern w:val="16"/>
          <w14:ligatures w14:val="standardContextual"/>
        </w:rPr>
        <w:t>ão obstante a previsão legal detalhada, o programa de reabilitação profissional do INSS enfrenta limitações práticas que comprometem sua efetividade. A insuficiência de equipes multidisciplinares nas agências do INSS, a escassez de convênios com instituições de formação profissional e a padronização excessiva dos programas, que frequentemente se limitam a cursos genéricos de informática ou artesanato, desconectados das aptidões e limitações do segurado — são deficiências recorrentemente apontadas pela doutrina e pela jurisprudência.</w:t>
      </w:r>
    </w:p>
    <w:p w14:paraId="31D0A349" w14:textId="77777777" w:rsidR="005A5FCC" w:rsidRDefault="00A21C81">
      <w:pPr>
        <w:ind w:firstLine="238"/>
      </w:pPr>
      <w:r>
        <w:rPr>
          <w:rFonts w:cs="EB Garamond"/>
          <w:kern w:val="16"/>
          <w14:ligatures w14:val="standardContextual"/>
        </w:rPr>
        <w:t>O perfil socioeconômico predominante dos segurados que necessitam de reabilitação, trabalhadores manuais de baixa escolaridade, com idade superior a 40 anos e limitações físicas residuais, exige programas de requalificação adaptados à realidade do mercado de trabalho local. A oferta de curso de informática a um segurado analfabeto funcional, por exemplo, não constitui reabilitação efetiva, pois não proporciona real capacidade de reinserção profissional.</w:t>
      </w:r>
    </w:p>
    <w:p w14:paraId="2C150136" w14:textId="77777777" w:rsidR="005A5FCC" w:rsidRDefault="00A21C81">
      <w:pPr>
        <w:ind w:firstLine="238"/>
      </w:pPr>
      <w:r>
        <w:rPr>
          <w:rFonts w:cs="EB Garamond"/>
          <w:kern w:val="16"/>
          <w14:ligatures w14:val="standardContextual"/>
        </w:rPr>
        <w:t xml:space="preserve">Nos JEFs, a insuficiência do programa de reabilitação frequentemente fundamenta a manutenção do auxílio por incapacidade temporária ou a conversão em aposentadoria por incapacidade permanente. O raciocínio é direto: se o segurado </w:t>
      </w:r>
      <w:r>
        <w:rPr>
          <w:rFonts w:cs="EB Garamond"/>
          <w:kern w:val="16"/>
          <w14:ligatures w14:val="standardContextual"/>
        </w:rPr>
        <w:lastRenderedPageBreak/>
        <w:t>está incapacitado para sua atividade habitual, é suscetível de reabilitação para outra atividade, mas o INSS não oferece o programa adequado, o segurado não pode ser penalizado pela omissão estatal. O benefício deve ser mantido até que a autarquia cumpra sua obrigação legal de oferecer reabilitação efetiva.</w:t>
      </w:r>
    </w:p>
    <w:p w14:paraId="3CDC385A" w14:textId="77777777" w:rsidR="005A5FCC" w:rsidRDefault="00A21C81">
      <w:pPr>
        <w:ind w:firstLine="238"/>
      </w:pPr>
      <w:r>
        <w:rPr>
          <w:rFonts w:cs="EB Garamond"/>
          <w:kern w:val="16"/>
          <w14:ligatures w14:val="standardContextual"/>
        </w:rPr>
        <w:t>A avaliação da efetividade da reabilitação deve considerar três dimensões: (a) adequação técnica do programa às limitações e aptidões do segurado; (b) existência de demanda real no mercado de trabalho para a atividade proposta; e (c) viabilidade prática da reinserção, considerando fatores como idade, escolaridade, experiência profissional prévia e condições do mercado local. A emissão do certificado de reabilitação, por si só, não satisfaz essas exigências — o certificado atesta a conclusão formal do programa, não a efetiva capacidade de reinserção.</w:t>
      </w:r>
    </w:p>
    <w:p w14:paraId="676AB653" w14:textId="77777777" w:rsidR="005A5FCC" w:rsidRDefault="00A21C81">
      <w:pPr>
        <w:spacing w:before="260" w:after="80" w:line="240" w:lineRule="auto"/>
        <w:jc w:val="left"/>
      </w:pPr>
      <w:r>
        <w:rPr>
          <w:rFonts w:cs="EB Garamond"/>
          <w:b/>
          <w:color w:val="3A3128"/>
          <w:kern w:val="16"/>
          <w:sz w:val="25"/>
          <w14:ligatures w14:val="standardContextual"/>
        </w:rPr>
        <w:t>7.12.5 Manutenção do benefício durante a reabilitação</w:t>
      </w:r>
    </w:p>
    <w:p w14:paraId="03E181FF"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7D44C011" w14:textId="77777777" w:rsidR="005A5FCC" w:rsidRDefault="00A21C81">
      <w:r>
        <w:rPr>
          <w:rFonts w:cs="EB Garamond"/>
          <w:kern w:val="16"/>
          <w14:ligatures w14:val="standardContextual"/>
        </w:rPr>
        <w:t xml:space="preserve"> art. 62 da Lei n. 8.213/91 é categórico: o auxílio por incapacidade temporária não cessará enquanto o segurado estiver em processo de reabilitação profissional. Essa regra protege o segurado cuja atividade habitual tornou-se inviável, mas que ainda pode ser readaptado para outra função. O benefício só cessa com a conclusão do programa e a emissão do certificado de reabilitação, ou com a conversão em aposentadoria por incapacidade permanente quando o segurado é considerado irreabilitável. Essa vedação decorre diretamente do dispositivo legal e encontra amparo na jurisprudência consolidada dos Tribunais Regionais Federais, que reconhecem a cessação sem prévio encaminhamento à reabilitação como ato administrativo ilegal.</w:t>
      </w:r>
    </w:p>
    <w:tbl>
      <w:tblPr>
        <w:tblW w:w="5000" w:type="pct"/>
        <w:jc w:val="center"/>
        <w:tblLayout w:type="fixed"/>
        <w:tblLook w:val="04A0" w:firstRow="1" w:lastRow="0" w:firstColumn="1" w:lastColumn="0" w:noHBand="0" w:noVBand="1"/>
      </w:tblPr>
      <w:tblGrid>
        <w:gridCol w:w="6311"/>
      </w:tblGrid>
      <w:tr w:rsidR="005A5FCC" w14:paraId="46F5541B"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5189415D"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199D69EC" w14:textId="77777777" w:rsidR="005A5FCC" w:rsidRDefault="00A21C81">
            <w:pPr>
              <w:spacing w:after="60" w:line="247" w:lineRule="auto"/>
            </w:pPr>
            <w:r>
              <w:rPr>
                <w:rFonts w:cs="EB Garamond"/>
                <w:kern w:val="16"/>
                <w:sz w:val="19"/>
                <w14:ligatures w14:val="standardContextual"/>
              </w:rPr>
              <w:t>A cessação do auxílio por incapacidade temporária sem que o segurado tenha sido previamente submetido a programa de reabilitação profissional, quando a perícia reconhece incapacidade para a atividade habitual com possibilidade de exercício de outra atividade, constitui cessação irregular. Nessa hipótese, o benefício deve ser restabelecido até a conclusão efetiva do programa de reabilitação. A jurisprudência dos JEFs é firme nesse sentido, reconhecendo que a obrigação de reabilitação é do INSS, e o segurado não pode ser prejudicado pela omissão da autarquia em oferecer o serviço.</w:t>
            </w:r>
          </w:p>
        </w:tc>
      </w:tr>
    </w:tbl>
    <w:p w14:paraId="4CA873B0" w14:textId="77777777" w:rsidR="005A5FCC" w:rsidRDefault="005A5FCC">
      <w:pPr>
        <w:spacing w:after="80" w:line="240" w:lineRule="auto"/>
      </w:pPr>
    </w:p>
    <w:p w14:paraId="756B05A5"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7.13 Auxílio por incapacidade temporária e auxílio-acidente</w:t>
      </w:r>
    </w:p>
    <w:p w14:paraId="25C47B9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7DC4F716" w14:textId="77777777" w:rsidR="005A5FCC" w:rsidRDefault="00A21C81">
      <w:r>
        <w:rPr>
          <w:rFonts w:cs="EB Garamond"/>
          <w:kern w:val="16"/>
          <w14:ligatures w14:val="standardContextual"/>
        </w:rPr>
        <w:t xml:space="preserve"> auxílio-acidente (art. 86, Lei n. 8.213/91) é benefício de natureza indenizatória, concedido ao segurado quando, após a consolidação das lesões decorrentes de acidente de qualquer natureza, resultam sequelas que impliquem redução da capacidade para o trabalho que habitualmente exercia. A relação entre o auxílio por incapacidade temporária e o auxílio-acidente é de precedência temporal: o auxílio-acidente pressupõe a cessação do auxílio por incapacidade temporária e a existência de sequela incapacitante residual.</w:t>
      </w:r>
    </w:p>
    <w:p w14:paraId="0847F48B" w14:textId="1B7E5031" w:rsidR="005A5FCC" w:rsidRDefault="00A21C81">
      <w:pPr>
        <w:spacing w:before="260" w:after="80" w:line="240" w:lineRule="auto"/>
        <w:jc w:val="left"/>
      </w:pPr>
      <w:r>
        <w:rPr>
          <w:rFonts w:cs="EB Garamond"/>
          <w:b/>
          <w:color w:val="3A3128"/>
          <w:kern w:val="16"/>
          <w:sz w:val="25"/>
          <w14:ligatures w14:val="standardContextual"/>
        </w:rPr>
        <w:t xml:space="preserve">7.13.1 Relação de precedência: </w:t>
      </w:r>
      <w:r w:rsidR="006632A3">
        <w:rPr>
          <w:rFonts w:cs="EB Garamond"/>
          <w:b/>
          <w:color w:val="3A3128"/>
          <w:kern w:val="16"/>
          <w:sz w:val="25"/>
          <w14:ligatures w14:val="standardContextual"/>
        </w:rPr>
        <w:t>T</w:t>
      </w:r>
      <w:r>
        <w:rPr>
          <w:rFonts w:cs="EB Garamond"/>
          <w:b/>
          <w:color w:val="3A3128"/>
          <w:kern w:val="16"/>
          <w:sz w:val="25"/>
          <w14:ligatures w14:val="standardContextual"/>
        </w:rPr>
        <w:t>ema 862/STJ</w:t>
      </w:r>
    </w:p>
    <w:p w14:paraId="4B7D1B3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1988DE1A" w14:textId="77777777" w:rsidR="005A5FCC" w:rsidRDefault="00A21C81">
      <w:r>
        <w:rPr>
          <w:rFonts w:cs="EB Garamond"/>
          <w:kern w:val="16"/>
          <w14:ligatures w14:val="standardContextual"/>
        </w:rPr>
        <w:t xml:space="preserve"> STJ, no julgamento do Tema 862 (REsp 1.729.555/SP, Primeira Seção, j. 09/06/2021), fixou tese que esclarece a relação temporal entre os dois benefícios: "O termo inicial do auxílio-acidente deve recair no dia seguinte ao da cessação do auxílio-doença que lhe deu origem, conforme determina o art. 86, § 2º, da Lei 8.213/91, observando-se a prescrição quinquenal da Súmula 85/STJ". A tese resolve controvérsia recorrente sobre o termo inicial do auxílio-acidente, que não pode coexistir temporalmente com o auxílio por incapacidade temporária.</w:t>
      </w:r>
    </w:p>
    <w:p w14:paraId="32BD40DF" w14:textId="77777777" w:rsidR="005A5FCC" w:rsidRDefault="00A21C81">
      <w:pPr>
        <w:ind w:firstLine="238"/>
      </w:pPr>
      <w:r>
        <w:rPr>
          <w:rFonts w:cs="EB Garamond"/>
          <w:kern w:val="16"/>
          <w14:ligatures w14:val="standardContextual"/>
        </w:rPr>
        <w:t>Na hipótese de o segurado não ter recebido auxílio por incapacidade temporária previamente (porque a lesão não gerou afastamento superior a 15 dias, mas resultou em sequelas), o auxílio-acidente é devido desde a data do requerimento administrativo. Se nem requerimento houve, o termo inicial é a data da citação do INSS.</w:t>
      </w:r>
    </w:p>
    <w:p w14:paraId="216E720C" w14:textId="77777777" w:rsidR="005A5FCC" w:rsidRDefault="00A21C81">
      <w:pPr>
        <w:spacing w:before="260" w:after="80" w:line="240" w:lineRule="auto"/>
        <w:jc w:val="left"/>
      </w:pPr>
      <w:r>
        <w:rPr>
          <w:rFonts w:cs="EB Garamond"/>
          <w:b/>
          <w:color w:val="3A3128"/>
          <w:kern w:val="16"/>
          <w:sz w:val="25"/>
          <w14:ligatures w14:val="standardContextual"/>
        </w:rPr>
        <w:t>7.13.2 Inacumulabilidade</w:t>
      </w:r>
    </w:p>
    <w:p w14:paraId="2519F154"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6F4BFB7B" w14:textId="77777777" w:rsidR="005A5FCC" w:rsidRDefault="00A21C81">
      <w:r>
        <w:rPr>
          <w:rFonts w:cs="EB Garamond"/>
          <w:kern w:val="16"/>
          <w14:ligatures w14:val="standardContextual"/>
        </w:rPr>
        <w:t xml:space="preserve"> vedação de acumulação entre o auxílio por incapacidade temporária e o auxílio-acidente, quando este se referir à mesma lesão que originou o afastamento, decorre da conjugação do art. 124, caput e parágrafo único, da Lei n. 8.213/91 (que veda, como regra, o recebimento conjunto de mais de um benefício à conta do RGPS, ressalvadas as hipóteses de cumulação previstas em </w:t>
      </w:r>
      <w:r>
        <w:rPr>
          <w:rFonts w:cs="EB Garamond"/>
          <w:kern w:val="16"/>
          <w14:ligatures w14:val="standardContextual"/>
        </w:rPr>
        <w:lastRenderedPageBreak/>
        <w:t>lei) com o art. 86, § 2º, da mesma Lei, na redação dada pela Lei n. 9.528/1997, segundo o qual o auxílio-acidente é devido a partir do dia seguinte ao da cessação do auxílio-doença que lhe deu origem. Preferimos ancorar a inacumulabilidade nesses dispositivos, e não em inciso isolado do art. 124, porque a impossibilidade de coexistência temporal entre as duas prestações é, antes de tudo, consequência da própria sistemática indenizatória do auxílio-acidente: ele pressupõe a consolidação das lesões e a cessação do benefício por incapacidade que lhe é anterior. A inacumulabilidade, portanto, é específica: se o auxílio-acidente decorrer de lesão anterior e consolidada, e o auxílio por incapacidade temporária referir-se a patologia distinta e superveniente, a acumulação é possível, pois não há a mesma lesão a unificar as prestações.</w:t>
      </w:r>
    </w:p>
    <w:p w14:paraId="50FB80F6" w14:textId="77777777" w:rsidR="005A5FCC" w:rsidRDefault="00A21C81">
      <w:pPr>
        <w:ind w:firstLine="238"/>
      </w:pPr>
      <w:r>
        <w:rPr>
          <w:rFonts w:cs="EB Garamond"/>
          <w:kern w:val="16"/>
          <w14:ligatures w14:val="standardContextual"/>
        </w:rPr>
        <w:t>Quanto à acumulação do auxílio-acidente com aposentadoria, a Lei n. 9.528/1997 introduziu a vedação por meio do art. 86, § 2º e § 3º, da Lei n. 8.213/91, c/c o art. 124, parágrafo único, impedindo o recebimento conjunto para os auxílios-acidente cujo fato gerador seja posterior à sua vigência. Para os anteriores, a acumulação permanece, observada a regra de transição reconhecida pela jurisprudência (que toma por marco a data do acidente ou da consolidação das lesões, e não a do requerimento).</w:t>
      </w:r>
    </w:p>
    <w:p w14:paraId="5B8F5121"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7.14 Questões processuais nos JEFs</w:t>
      </w:r>
    </w:p>
    <w:p w14:paraId="2428512E"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39BF24A8" w14:textId="77777777" w:rsidR="005A5FCC" w:rsidRDefault="00A21C81">
      <w:r>
        <w:rPr>
          <w:rFonts w:cs="EB Garamond"/>
          <w:kern w:val="16"/>
          <w14:ligatures w14:val="standardContextual"/>
        </w:rPr>
        <w:t xml:space="preserve"> litigiosidade em torno do auxílio por incapacidade temporária gera especificidades processuais relevantes para a prática nos Juizados Especiais Federais.</w:t>
      </w:r>
    </w:p>
    <w:p w14:paraId="74EE1DCA" w14:textId="77777777" w:rsidR="005A5FCC" w:rsidRDefault="00A21C81">
      <w:pPr>
        <w:spacing w:before="260" w:after="80" w:line="240" w:lineRule="auto"/>
        <w:jc w:val="left"/>
      </w:pPr>
      <w:r>
        <w:rPr>
          <w:rFonts w:cs="EB Garamond"/>
          <w:b/>
          <w:color w:val="3A3128"/>
          <w:kern w:val="16"/>
          <w:sz w:val="25"/>
          <w14:ligatures w14:val="standardContextual"/>
        </w:rPr>
        <w:t>7.14.1 Tutela provisória de urgência</w:t>
      </w:r>
    </w:p>
    <w:p w14:paraId="6DF9C9A3"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N</w:t>
      </w:r>
    </w:p>
    <w:p w14:paraId="22B96AC7" w14:textId="77777777" w:rsidR="005A5FCC" w:rsidRDefault="00A21C81">
      <w:r>
        <w:rPr>
          <w:rFonts w:cs="EB Garamond"/>
          <w:kern w:val="16"/>
          <w14:ligatures w14:val="standardContextual"/>
        </w:rPr>
        <w:t>as ações de concessão ou restabelecimento do auxílio por incapacidade temporária, a tutela provisória de urgência (art. 300 do CPC c/c art. 4º da Lei n. 10.259/2001) é frequentemente deferida quando a prova pericial ou documental demonstra a plausibilidade da incapacidade e o risco de dano irreparável ao segurado privado de renda. A natureza alimentar do benefício e a situação de vulnerabilidade do segurado incapacitado fundamentam a urgência.</w:t>
      </w:r>
    </w:p>
    <w:p w14:paraId="3E4211CF" w14:textId="77777777" w:rsidR="005A5FCC" w:rsidRDefault="00A21C81">
      <w:pPr>
        <w:ind w:firstLine="238"/>
      </w:pPr>
      <w:r>
        <w:rPr>
          <w:rFonts w:cs="EB Garamond"/>
          <w:kern w:val="16"/>
          <w14:ligatures w14:val="standardContextual"/>
        </w:rPr>
        <w:lastRenderedPageBreak/>
        <w:t>O juiz do JEF pode deferir a tutela provisória na própria audiência de instrução, após a apresentação do laudo pericial, determinando a implantação imediata do benefício. A reversibilidade dos efeitos (devolução dos valores em caso de improcedência) é relativizada pela jurisprudência, que reconhece a natureza alimentar das parcelas como obstáculo à restituição.</w:t>
      </w:r>
    </w:p>
    <w:p w14:paraId="07B210EA" w14:textId="77777777" w:rsidR="005A5FCC" w:rsidRDefault="00A21C81">
      <w:pPr>
        <w:spacing w:before="260" w:after="80" w:line="240" w:lineRule="auto"/>
        <w:jc w:val="left"/>
      </w:pPr>
      <w:r>
        <w:rPr>
          <w:rFonts w:cs="EB Garamond"/>
          <w:b/>
          <w:color w:val="3A3128"/>
          <w:kern w:val="16"/>
          <w:sz w:val="25"/>
          <w14:ligatures w14:val="standardContextual"/>
        </w:rPr>
        <w:t>7.14.2 Perícia judicial e livre convencimento</w:t>
      </w:r>
    </w:p>
    <w:p w14:paraId="553F84E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00DA459F" w14:textId="77777777" w:rsidR="005A5FCC" w:rsidRDefault="00A21C81">
      <w:r>
        <w:rPr>
          <w:rFonts w:cs="EB Garamond"/>
          <w:kern w:val="16"/>
          <w14:ligatures w14:val="standardContextual"/>
        </w:rPr>
        <w:t xml:space="preserve"> perícia judicial é a prova central nas ações envolvendo auxílio por incapacidade temporária. Nos JEFs, o juiz designa perito único, que elabora laudo respondendo aos quesitos das partes e do juízo (art. 12, Lei n. 10.259/2001). O laudo não vincula o juiz — o princípio do livre convencimento motivado (art. 371, CPC) permite que o magistrado forme sua convicção com base em outros elementos, desde que fundamente adequadamente.</w:t>
      </w:r>
    </w:p>
    <w:p w14:paraId="50ADA4F9" w14:textId="082933BC" w:rsidR="005A5FCC" w:rsidRDefault="00A21C81">
      <w:pPr>
        <w:ind w:firstLine="238"/>
      </w:pPr>
      <w:r>
        <w:rPr>
          <w:rFonts w:cs="EB Garamond"/>
          <w:kern w:val="16"/>
          <w14:ligatures w14:val="standardContextual"/>
        </w:rPr>
        <w:t>Na prática, a divergência entre o laudo pericial e a avaliação do médico assistente do segurado é situação recorrente. O juiz deve, nessas hipóteses, ponderar os fundamentos de cada avaliação: a perícia judicial é realizada por profissional equidistante das partes, mas pode não captar a integralidade do quadro clínico em um único exame; o relatório do médico assistente reflete acompanhamento longitudinal, mas pode carecer de imparcialidade. A análise conjunta dos elementos</w:t>
      </w:r>
      <w:r w:rsidR="006632A3">
        <w:rPr>
          <w:rFonts w:cs="EB Garamond"/>
          <w:kern w:val="16"/>
          <w14:ligatures w14:val="standardContextual"/>
        </w:rPr>
        <w:t xml:space="preserve"> – </w:t>
      </w:r>
      <w:r>
        <w:rPr>
          <w:rFonts w:cs="EB Garamond"/>
          <w:kern w:val="16"/>
          <w14:ligatures w14:val="standardContextual"/>
        </w:rPr>
        <w:t>perícia, relatórios médicos, exames complementares, condições pessoais</w:t>
      </w:r>
      <w:r w:rsidR="006632A3">
        <w:rPr>
          <w:rFonts w:cs="EB Garamond"/>
          <w:kern w:val="16"/>
          <w14:ligatures w14:val="standardContextual"/>
        </w:rPr>
        <w:t xml:space="preserve"> – </w:t>
      </w:r>
      <w:r>
        <w:rPr>
          <w:rFonts w:cs="EB Garamond"/>
          <w:kern w:val="16"/>
          <w14:ligatures w14:val="standardContextual"/>
        </w:rPr>
        <w:t>é o que confere legitimidade à decisão.</w:t>
      </w:r>
    </w:p>
    <w:tbl>
      <w:tblPr>
        <w:tblW w:w="5000" w:type="pct"/>
        <w:jc w:val="center"/>
        <w:tblLayout w:type="fixed"/>
        <w:tblLook w:val="04A0" w:firstRow="1" w:lastRow="0" w:firstColumn="1" w:lastColumn="0" w:noHBand="0" w:noVBand="1"/>
      </w:tblPr>
      <w:tblGrid>
        <w:gridCol w:w="6311"/>
      </w:tblGrid>
      <w:tr w:rsidR="005A5FCC" w14:paraId="112CEB7A"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309ED7D9" w14:textId="77777777" w:rsidR="005A5FCC" w:rsidRDefault="00A21C81">
            <w:pPr>
              <w:spacing w:after="60" w:line="240" w:lineRule="auto"/>
              <w:jc w:val="left"/>
            </w:pPr>
            <w:r>
              <w:rPr>
                <w:rFonts w:ascii="Noto Sans" w:hAnsi="Noto Sans" w:cs="Noto Sans"/>
                <w:b/>
                <w:caps/>
                <w:color w:val="4D6F8A"/>
                <w:kern w:val="16"/>
                <w:sz w:val="16"/>
                <w14:ligatures w14:val="standardContextual"/>
              </w:rPr>
              <w:t>JURISPRUDÊNCIA EM DESTAQUE</w:t>
            </w:r>
          </w:p>
          <w:p w14:paraId="58CB7AA5" w14:textId="77777777" w:rsidR="005A5FCC" w:rsidRDefault="00A21C81">
            <w:pPr>
              <w:spacing w:after="60" w:line="247" w:lineRule="auto"/>
            </w:pPr>
            <w:r>
              <w:rPr>
                <w:rFonts w:cs="EB Garamond"/>
                <w:kern w:val="16"/>
                <w:sz w:val="19"/>
                <w14:ligatures w14:val="standardContextual"/>
              </w:rPr>
              <w:t>O STJ, no Tema 1.246 (REsp 2.082.395/SP, Primeira Seção, j. 13/11/2024), fixou tese de que "é inadmissível recurso especial interposto para rediscutir as conclusões do acórdão recorrido quanto ao preenchimento, em caso concreto em que se controverte quanto a benefício por incapacidade (aposentadoria por invalidez, auxílio-doença ou auxílio-acidente), do requisito legal da incapacidade do segurado para o exercício de atividade laborativa, seja pela vertente de sua existência, de sua extensão (total ou parcial) e/ou de sua duração (temporária ou permanente)". A decisão reforça que a aferição da incapacidade é questão fático-probatória, insuscetível de reexame em recurso especial (Súmula 7/STJ), conferindo estabilidade às decisões dos JEFs e das Turmas Recursais sobre a matéria.</w:t>
            </w:r>
          </w:p>
        </w:tc>
      </w:tr>
    </w:tbl>
    <w:p w14:paraId="03527181" w14:textId="77777777" w:rsidR="005A5FCC" w:rsidRDefault="005A5FCC">
      <w:pPr>
        <w:spacing w:after="80" w:line="240" w:lineRule="auto"/>
      </w:pPr>
    </w:p>
    <w:p w14:paraId="0CD90E99" w14:textId="77777777" w:rsidR="005A5FCC" w:rsidRDefault="00A21C81">
      <w:pPr>
        <w:spacing w:before="260" w:after="80" w:line="240" w:lineRule="auto"/>
        <w:jc w:val="left"/>
      </w:pPr>
      <w:r>
        <w:rPr>
          <w:rFonts w:cs="EB Garamond"/>
          <w:b/>
          <w:color w:val="3A3128"/>
          <w:kern w:val="16"/>
          <w:sz w:val="25"/>
          <w14:ligatures w14:val="standardContextual"/>
        </w:rPr>
        <w:lastRenderedPageBreak/>
        <w:t>7.14.3 Fungibilidade entre benefícios por incapacidade</w:t>
      </w:r>
    </w:p>
    <w:p w14:paraId="7E11C7E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0B2F6605" w14:textId="77777777" w:rsidR="005A5FCC" w:rsidRDefault="00A21C81">
      <w:r>
        <w:rPr>
          <w:rFonts w:cs="EB Garamond"/>
          <w:kern w:val="16"/>
          <w14:ligatures w14:val="standardContextual"/>
        </w:rPr>
        <w:t xml:space="preserve"> fungibilidade entre benefícios por incapacidade é princípio consolidado nos JEFs. Quando o segurado pleiteia auxílio por incapacidade temporária, mas a perícia judicial conclui pela incapacidade permanente, o juiz pode conceder a aposentadoria por incapacidade permanente, e vice-versa. A fungibilidade decorre da identidade de causa de pedir (incapacidade laborativa) e do dever de adequação da tutela jurisdicional à situação fática demonstrada. A fungibilidade bidirecional com o BPC/LOAS (art. 20, Lei n. 8.742/93), aplicável quando o segurado não preenche os requisitos previdenciários mas demonstra incapacidade de longa duração e miserabilidade, é examinada em detalhe no Cap. 6, seção 6.10.2.</w:t>
      </w:r>
    </w:p>
    <w:p w14:paraId="3469887C" w14:textId="77777777" w:rsidR="005A5FCC" w:rsidRDefault="00A21C81">
      <w:pPr>
        <w:spacing w:before="260" w:after="80" w:line="240" w:lineRule="auto"/>
        <w:jc w:val="left"/>
      </w:pPr>
      <w:r>
        <w:rPr>
          <w:rFonts w:cs="EB Garamond"/>
          <w:b/>
          <w:color w:val="3A3128"/>
          <w:kern w:val="16"/>
          <w:sz w:val="25"/>
          <w14:ligatures w14:val="standardContextual"/>
        </w:rPr>
        <w:t>7.14.4 Honorários periciais e sucumbência</w:t>
      </w:r>
    </w:p>
    <w:p w14:paraId="4FA5DF81"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N</w:t>
      </w:r>
    </w:p>
    <w:p w14:paraId="297C2544" w14:textId="77777777" w:rsidR="005A5FCC" w:rsidRDefault="00A21C81">
      <w:r>
        <w:rPr>
          <w:rFonts w:cs="EB Garamond"/>
          <w:kern w:val="16"/>
          <w14:ligatures w14:val="standardContextual"/>
        </w:rPr>
        <w:t>o microssistema dos Juizados, não há condenação em honorários advocatícios quando a sentença é favorável ao segurado (art. 55, caput, da Lei n. 9.099/95 c/c art. 1º da Lei n. 10.259/2001). Os honorários periciais são pagos pela Justiça Federal, nos termos da Resolução CJF n. 558/2024 (que atualizou os valores e procedimentos anteriormente previstos na Resolução 305/2014), quando a parte autora é beneficiária da justiça gratuita — o que é a regra nas ações previdenciárias. Quando a sentença é desfavorável ao segurado, incide a condenação em honorários advocatícios e custas, ficando a execução suspensa enquanto o beneficiário mantiver a condição de hipossuficiente (art. 98, § 3º, CPC).</w:t>
      </w:r>
    </w:p>
    <w:p w14:paraId="1AAE6D88" w14:textId="77777777" w:rsidR="005A5FCC" w:rsidRDefault="00A21C81">
      <w:pPr>
        <w:spacing w:before="260" w:after="80" w:line="240" w:lineRule="auto"/>
        <w:jc w:val="left"/>
      </w:pPr>
      <w:r>
        <w:rPr>
          <w:rFonts w:cs="EB Garamond"/>
          <w:b/>
          <w:color w:val="3A3128"/>
          <w:kern w:val="16"/>
          <w:sz w:val="25"/>
          <w14:ligatures w14:val="standardContextual"/>
        </w:rPr>
        <w:t>7.14.5 Efeitos da sentença e implantação do benefício</w:t>
      </w:r>
    </w:p>
    <w:p w14:paraId="30ACCD5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704ED274" w14:textId="77777777" w:rsidR="005A5FCC" w:rsidRDefault="00A21C81">
      <w:r>
        <w:rPr>
          <w:rFonts w:cs="EB Garamond"/>
          <w:kern w:val="16"/>
          <w14:ligatures w14:val="standardContextual"/>
        </w:rPr>
        <w:t xml:space="preserve"> sentença que concede o auxílio por incapacidade temporária nos JEFs tem eficácia imediata (art. 3º da Lei n. 10.259/2001), podendo o juiz determinar a implantação do benefício independentemente de trânsito em julgado. A implantação compreende: (a) o cadastramento do benefício no sistema do INSS; (b) o pagamento das parcelas vincendas; e (c) a expedição de Requisição de Pequeno Valor (RPV) ou precatório para as parcelas vencidas (retroativas).</w:t>
      </w:r>
    </w:p>
    <w:p w14:paraId="1AECA766" w14:textId="77777777" w:rsidR="005A5FCC" w:rsidRDefault="00A21C81">
      <w:pPr>
        <w:spacing w:before="260" w:after="80" w:line="240" w:lineRule="auto"/>
        <w:jc w:val="left"/>
      </w:pPr>
      <w:r>
        <w:rPr>
          <w:rFonts w:cs="EB Garamond"/>
          <w:b/>
          <w:color w:val="3A3128"/>
          <w:kern w:val="16"/>
          <w:sz w:val="25"/>
          <w14:ligatures w14:val="standardContextual"/>
        </w:rPr>
        <w:lastRenderedPageBreak/>
        <w:t>7.14.6 Prescrição e decadência</w:t>
      </w:r>
    </w:p>
    <w:p w14:paraId="03DEC641"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1468690F" w14:textId="77777777" w:rsidR="005A5FCC" w:rsidRDefault="00A21C81">
      <w:r>
        <w:rPr>
          <w:rFonts w:cs="EB Garamond"/>
          <w:kern w:val="16"/>
          <w14:ligatures w14:val="standardContextual"/>
        </w:rPr>
        <w:t xml:space="preserve"> regime geral de prescrição e decadência em matéria previdenciária, incluindo a Súmula 85/STJ e a imprescritibilidade do fundo de direito, é examinado no Cap. 21. No auxílio por incapacidade temporária, duas especificidades se destacam: (a) não se aplica o prazo decadencial de 10 anos do art. 103 da Lei n. 8.213/91, que pressupõe revisão de benefício já concedido, e não concessão originária ou restabelecimento; (b) nos casos de restabelecimento, a prescrição quinquenal das parcelas conta da data da cessação indevida, e o benefício é restabelecido desde essa data para efeito de contagem de tempo, ainda que as parcelas retroativas estejam limitadas ao quinquênio anterior ao ajuizamento.</w:t>
      </w:r>
    </w:p>
    <w:p w14:paraId="049315D5" w14:textId="77777777" w:rsidR="005A5FCC" w:rsidRDefault="00A21C81">
      <w:pPr>
        <w:spacing w:before="260" w:after="80" w:line="240" w:lineRule="auto"/>
        <w:jc w:val="left"/>
      </w:pPr>
      <w:r>
        <w:rPr>
          <w:rFonts w:cs="EB Garamond"/>
          <w:b/>
          <w:color w:val="3A3128"/>
          <w:kern w:val="16"/>
          <w:sz w:val="25"/>
          <w14:ligatures w14:val="standardContextual"/>
        </w:rPr>
        <w:t>7.14.7 Competência delegada e justiça estadual</w:t>
      </w:r>
    </w:p>
    <w:p w14:paraId="19B93465"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N</w:t>
      </w:r>
    </w:p>
    <w:p w14:paraId="711BBA04" w14:textId="77777777" w:rsidR="005A5FCC" w:rsidRDefault="00A21C81">
      <w:r>
        <w:rPr>
          <w:rFonts w:cs="EB Garamond"/>
          <w:kern w:val="16"/>
          <w14:ligatures w14:val="standardContextual"/>
        </w:rPr>
        <w:t>as localidades onde não funcionar Vara Federal, os juízes estaduais são competentes para processar e julgar as ações previdenciárias contra o INSS, incluindo as de concessão de auxílio por incapacidade temporária (art. 109, § 3º, CF/88). A competência delegada aplica-se quando o município do domicílio do segurado não é sede de Vara Federal nem de Juizado Especial Federal. Nessa hipótese, a ação tramita perante a Justiça Estadual, com recursos para o TRF da respectiva região.</w:t>
      </w:r>
    </w:p>
    <w:p w14:paraId="4FBC158D" w14:textId="77777777" w:rsidR="005A5FCC" w:rsidRDefault="00A21C81">
      <w:pPr>
        <w:ind w:firstLine="238"/>
      </w:pPr>
      <w:r>
        <w:rPr>
          <w:rFonts w:cs="EB Garamond"/>
          <w:kern w:val="16"/>
          <w14:ligatures w14:val="standardContextual"/>
        </w:rPr>
        <w:t>A Lei n. 10.259/2001, ao instituir os JEFs, não revogou a competência delegada para causas de valor superior a 60 salários mínimos. Assim, ações previdenciárias de valor acima desse limite podem ser propostas perante a Justiça Estadual na comarca de domicílio do segurado, quando esta não coincide com sede de Vara Federal. Para as causas até 60 salários mínimos, a competência é do JEF mais próximo ou, na ausência de JEF, do Juizado Especial Federal Adjunto na localidade.</w:t>
      </w:r>
    </w:p>
    <w:p w14:paraId="7D93A3DA" w14:textId="11191678"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 xml:space="preserve">7.15 Doença preexistente à filiação e a </w:t>
      </w:r>
      <w:r w:rsidR="006632A3">
        <w:rPr>
          <w:rFonts w:cs="EB Garamond"/>
          <w:b/>
          <w:color w:val="3A3128"/>
          <w:kern w:val="16"/>
          <w:sz w:val="31"/>
          <w14:ligatures w14:val="standardContextual"/>
        </w:rPr>
        <w:t>S</w:t>
      </w:r>
      <w:r>
        <w:rPr>
          <w:rFonts w:cs="EB Garamond"/>
          <w:b/>
          <w:color w:val="3A3128"/>
          <w:kern w:val="16"/>
          <w:sz w:val="31"/>
          <w14:ligatures w14:val="standardContextual"/>
        </w:rPr>
        <w:t>úmula 53/TNU</w:t>
      </w:r>
    </w:p>
    <w:p w14:paraId="2401D609"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757CEA36" w14:textId="77777777" w:rsidR="005A5FCC" w:rsidRDefault="00A21C81">
      <w:r>
        <w:rPr>
          <w:rFonts w:cs="EB Garamond"/>
          <w:kern w:val="16"/>
          <w14:ligatures w14:val="standardContextual"/>
        </w:rPr>
        <w:t xml:space="preserve"> Súmula 53 da TNU dispõe que "não há direito a auxílio por incapacidade temporária ou a aposentadoria por incapacidade permanente quando a in</w:t>
      </w:r>
      <w:r>
        <w:rPr>
          <w:rFonts w:cs="EB Garamond"/>
          <w:kern w:val="16"/>
          <w14:ligatures w14:val="standardContextual"/>
        </w:rPr>
        <w:lastRenderedPageBreak/>
        <w:t>capacidade para o trabalho é preexistente ao reingresso do segurado no Regime Geral de Previdência Social". O enunciado reflete a regra do art. 59, parágrafo único, da Lei n. 8.213/91, mas sua aplicação exige cautela.</w:t>
      </w:r>
    </w:p>
    <w:p w14:paraId="54321CBE" w14:textId="77777777" w:rsidR="005A5FCC" w:rsidRDefault="00A21C81">
      <w:pPr>
        <w:ind w:firstLine="238"/>
      </w:pPr>
      <w:r>
        <w:rPr>
          <w:rFonts w:cs="EB Garamond"/>
          <w:kern w:val="16"/>
          <w14:ligatures w14:val="standardContextual"/>
        </w:rPr>
        <w:t>A Súmula não impede a concessão quando há progressão ou agravamento da doença após a filiação. A doença pode ser preexistente; a incapacidade, não. A perícia deve distinguir: se o segurado já era incapaz quando se filiou (reentrando no sistema exclusivamente para obter benefício), a Súmula 53 aplica-se; se o segurado, embora portador da doença, era capaz quando se filiou e a incapacidade sobreveio posteriormente (por evolução natural da doença ou por agravamento), o benefício é devido.</w:t>
      </w:r>
    </w:p>
    <w:tbl>
      <w:tblPr>
        <w:tblW w:w="5000" w:type="pct"/>
        <w:jc w:val="center"/>
        <w:tblLayout w:type="fixed"/>
        <w:tblLook w:val="04A0" w:firstRow="1" w:lastRow="0" w:firstColumn="1" w:lastColumn="0" w:noHBand="0" w:noVBand="1"/>
      </w:tblPr>
      <w:tblGrid>
        <w:gridCol w:w="6311"/>
      </w:tblGrid>
      <w:tr w:rsidR="005A5FCC" w14:paraId="1C96D865"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21857A12"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18A8BE3D" w14:textId="77777777" w:rsidR="005A5FCC" w:rsidRDefault="00A21C81">
            <w:pPr>
              <w:spacing w:after="60" w:line="247" w:lineRule="auto"/>
            </w:pPr>
            <w:r>
              <w:rPr>
                <w:rFonts w:cs="EB Garamond"/>
                <w:kern w:val="16"/>
                <w:sz w:val="19"/>
                <w14:ligatures w14:val="standardContextual"/>
              </w:rPr>
              <w:t>Na instrução de ações em que o INSS invoca a Súmula 53/TNU, o quesito-chave para o perito judicial é: "O segurado era capaz para o exercício de atividade laborativa na data de sua filiação (ou refiliação) ao RGPS? Em caso positivo, a incapacidade atual decorreu de progressão ou agravamento da doença preexistente?" A resposta afirmativa à segunda pergunta afasta a incidência da Súmula e viabiliza a concessão do benefício. O autor deve, também, apresentar prova de que o segurado efetivamente exerceu atividade laborativa após a filiação, demonstrando que possuía capacidade funcional naquele momento.</w:t>
            </w:r>
          </w:p>
        </w:tc>
      </w:tr>
    </w:tbl>
    <w:p w14:paraId="61F850F0" w14:textId="77777777" w:rsidR="005A5FCC" w:rsidRDefault="005A5FCC">
      <w:pPr>
        <w:spacing w:after="80" w:line="240" w:lineRule="auto"/>
      </w:pPr>
    </w:p>
    <w:p w14:paraId="0E45F483"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7.16 Doenças estigmatizantes e incapacidade social</w:t>
      </w:r>
    </w:p>
    <w:p w14:paraId="2CC1F99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2890F1F2" w14:textId="77777777" w:rsidR="005A5FCC" w:rsidRDefault="00A21C81">
      <w:r>
        <w:rPr>
          <w:rFonts w:cs="EB Garamond"/>
          <w:kern w:val="16"/>
          <w14:ligatures w14:val="standardContextual"/>
        </w:rPr>
        <w:t xml:space="preserve"> Súmula 78/TNU consagra a análise ampliada da incapacidade para doenças de elevada estigmatização social (HIV, hanseníase, transtornos mentais graves, epilepsia, entre outras). O tratamento aprofundado da matéria, incluindo o Tema 274 da TNU e os critérios da CIF, encontra-se no Cap. 6, seção 6.3.3.</w:t>
      </w:r>
    </w:p>
    <w:p w14:paraId="5B9E8D74" w14:textId="77777777" w:rsidR="005A5FCC" w:rsidRDefault="00A21C81">
      <w:pPr>
        <w:ind w:firstLine="238"/>
      </w:pPr>
      <w:r>
        <w:rPr>
          <w:rFonts w:cs="EB Garamond"/>
          <w:kern w:val="16"/>
          <w14:ligatures w14:val="standardContextual"/>
        </w:rPr>
        <w:t xml:space="preserve">No auxílio por incapacidade temporária, a aplicação prática da Súmula 78 se dá quando a incapacidade decorre preponderantemente do impacto social da doença, mesmo que as limitações físicas sejam parciais. O segurado portador de </w:t>
      </w:r>
      <w:r>
        <w:rPr>
          <w:rFonts w:cs="EB Garamond"/>
          <w:kern w:val="16"/>
          <w14:ligatures w14:val="standardContextual"/>
        </w:rPr>
        <w:lastRenderedPageBreak/>
        <w:t>HIV assintomático, por exemplo, pode ser clinicamente apto mas enfrentar discriminação que inviabiliza sua contratação. Nesses casos, a perícia judicial deve ser complementada pela análise das condições pessoais e sociais, e o juiz pode reconhecer a incapacidade em sentido amplo, inclusive para fins de conversão do auxílio temporário em aposentadoria por incapacidade permanente quando os fatores sociais tornam a incapacidade definitiva.</w:t>
      </w:r>
    </w:p>
    <w:p w14:paraId="6CA59259"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7.17 Limbo previdenciário e o auxílio por incapacidade temporária</w:t>
      </w:r>
    </w:p>
    <w:p w14:paraId="26EC6029"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5531DA3D" w14:textId="77777777" w:rsidR="005A5FCC" w:rsidRDefault="00A21C81">
      <w:r>
        <w:rPr>
          <w:rFonts w:cs="EB Garamond"/>
          <w:kern w:val="16"/>
          <w14:ligatures w14:val="standardContextual"/>
        </w:rPr>
        <w:t xml:space="preserve"> limbo previdenciário — situação em que o INSS cessa o benefício por incapacidade (considerando o segurado apto), mas o empregador recusa o retorno ao trabalho (considerando-o inapto pelo médico do trabalho) — é fenômeno recorrente, amplamente debatido pela doutrina, que afeta predominantemente os beneficiários do auxílio por incapacidade temporária.</w:t>
      </w:r>
    </w:p>
    <w:p w14:paraId="748E2BBA" w14:textId="77777777" w:rsidR="005A5FCC" w:rsidRDefault="00A21C81">
      <w:pPr>
        <w:ind w:firstLine="238"/>
      </w:pPr>
      <w:r>
        <w:rPr>
          <w:rFonts w:cs="EB Garamond"/>
          <w:kern w:val="16"/>
          <w14:ligatures w14:val="standardContextual"/>
        </w:rPr>
        <w:t>O segurado em limbo previdenciário fica sem qualquer fonte de renda: não recebe benefício do INSS e não recebe salário do empregador. A situação se agrava quando a perícia administrativa do INSS diverge da avaliação do médico do trabalho da empresa, sem que o segurado tenha meios de resolver o impasse.</w:t>
      </w:r>
    </w:p>
    <w:p w14:paraId="0D30690C" w14:textId="77777777" w:rsidR="005A5FCC" w:rsidRDefault="00A21C81">
      <w:pPr>
        <w:ind w:firstLine="238"/>
      </w:pPr>
      <w:r>
        <w:rPr>
          <w:rFonts w:cs="EB Garamond"/>
          <w:kern w:val="16"/>
          <w14:ligatures w14:val="standardContextual"/>
        </w:rPr>
        <w:t>A jurisprudência da TNU (Tema 300) e dos Tribunais Regionais Federais desenvolveu orientação protetiva: enquanto persistir a divergência entre o INSS e o empregador, o segurado mantém a qualidade de segurado e faz jus ao restabelecimento do benefício, pois a cessação administrativa, desacompanhada de efetivo retorno ao trabalho, não satisfaz a finalidade da alta médica.</w:t>
      </w:r>
    </w:p>
    <w:p w14:paraId="153AA92F" w14:textId="77777777" w:rsidR="005A5FCC" w:rsidRDefault="00A21C81">
      <w:pPr>
        <w:ind w:firstLine="238"/>
      </w:pPr>
      <w:r>
        <w:rPr>
          <w:rFonts w:cs="EB Garamond"/>
          <w:kern w:val="16"/>
          <w14:ligatures w14:val="standardContextual"/>
        </w:rPr>
        <w:t>Na esfera trabalhista, a orientação prevalecente é que, cessado o benefício previdenciário, o contrato de trabalho retoma seus efeitos e o empregador deve permitir o retorno ou, se mantiver a avaliação de inaptidão, arcar com a remuneração integral do período, pois a responsabilidade pelo afastamento, a partir da alta do INSS, transfere-se do sistema previdenciário para a relação de emprego.</w:t>
      </w:r>
    </w:p>
    <w:tbl>
      <w:tblPr>
        <w:tblW w:w="5000" w:type="pct"/>
        <w:jc w:val="center"/>
        <w:tblLayout w:type="fixed"/>
        <w:tblLook w:val="04A0" w:firstRow="1" w:lastRow="0" w:firstColumn="1" w:lastColumn="0" w:noHBand="0" w:noVBand="1"/>
      </w:tblPr>
      <w:tblGrid>
        <w:gridCol w:w="6311"/>
      </w:tblGrid>
      <w:tr w:rsidR="005A5FCC" w14:paraId="34C5CF8B"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06792FEB" w14:textId="77777777" w:rsidR="005A5FCC" w:rsidRDefault="00A21C81">
            <w:pPr>
              <w:spacing w:after="60" w:line="240" w:lineRule="auto"/>
              <w:jc w:val="left"/>
            </w:pPr>
            <w:r>
              <w:rPr>
                <w:rFonts w:ascii="Noto Sans" w:hAnsi="Noto Sans" w:cs="Noto Sans"/>
                <w:b/>
                <w:caps/>
                <w:color w:val="4D6F8A"/>
                <w:kern w:val="16"/>
                <w:sz w:val="16"/>
                <w14:ligatures w14:val="standardContextual"/>
              </w:rPr>
              <w:lastRenderedPageBreak/>
              <w:t>JURISPRUDÊNCIA EM DESTAQUE</w:t>
            </w:r>
          </w:p>
          <w:p w14:paraId="722FF48E" w14:textId="77777777" w:rsidR="005A5FCC" w:rsidRDefault="00A21C81">
            <w:pPr>
              <w:spacing w:after="60" w:line="247" w:lineRule="auto"/>
            </w:pPr>
            <w:r>
              <w:rPr>
                <w:rFonts w:cs="EB Garamond"/>
                <w:kern w:val="16"/>
                <w:sz w:val="19"/>
                <w14:ligatures w14:val="standardContextual"/>
              </w:rPr>
              <w:t>A TNU, no julgamento do Tema 300, firmou entendimento de que a qualidade de segurado é mantida durante o limbo previdenciário até a efetiva rescisão contratual. Essa orientação possui desdobramento direto para o auxílio por incapacidade temporária: se o segurado é dado como apto pelo INSS mas não retorna ao trabalho por recusa do empregador, e posteriormente agrava seu quadro clínico ou apresenta nova incapacidade, a concessão de novo benefício não pode ser obstada por suposta perda da qualidade de segurado, pois esta se manteve durante todo o período de limbo.</w:t>
            </w:r>
          </w:p>
        </w:tc>
      </w:tr>
    </w:tbl>
    <w:p w14:paraId="23B7C6F6" w14:textId="77777777" w:rsidR="005A5FCC" w:rsidRDefault="005A5FCC">
      <w:pPr>
        <w:spacing w:after="80" w:line="240" w:lineRule="auto"/>
      </w:pPr>
    </w:p>
    <w:p w14:paraId="5C589F6F"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7.18 Inacumulabilidade com outros benefícios</w:t>
      </w:r>
    </w:p>
    <w:p w14:paraId="4EE95DE2"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69C38AE7" w14:textId="77777777" w:rsidR="005A5FCC" w:rsidRDefault="00A21C81">
      <w:r>
        <w:rPr>
          <w:rFonts w:cs="EB Garamond"/>
          <w:kern w:val="16"/>
          <w14:ligatures w14:val="standardContextual"/>
        </w:rPr>
        <w:t xml:space="preserve"> art. 124 da Lei n. 8.213/91 veda a acumulação de determinados benefícios. O auxílio por incapacidade temporária não pode ser acumulado com: (a) outro auxílio por incapacidade temporária (salvo se oriundos de regimes distintos); (b) aposentadoria de qualquer espécie; (c) auxílio-acidente referente à mesma lesão; (d) salário-maternidade.</w:t>
      </w:r>
    </w:p>
    <w:p w14:paraId="0DB4BE07" w14:textId="77777777" w:rsidR="005A5FCC" w:rsidRDefault="00A21C81">
      <w:pPr>
        <w:ind w:firstLine="238"/>
      </w:pPr>
      <w:r>
        <w:rPr>
          <w:rFonts w:cs="EB Garamond"/>
          <w:kern w:val="16"/>
          <w14:ligatures w14:val="standardContextual"/>
        </w:rPr>
        <w:t>Quanto à acumulação com o seguro-desemprego, a TNU firmou entendimento de que os benefícios são inacumuláveis, pois ambos visam substituir a renda do segurado em contingências distintas (incapacidade e desemprego involuntário), e a percepção simultânea configuraria bis in idem protetivo.</w:t>
      </w:r>
    </w:p>
    <w:p w14:paraId="69EABA8D" w14:textId="77777777" w:rsidR="005A5FCC" w:rsidRDefault="00A21C81">
      <w:pPr>
        <w:ind w:firstLine="238"/>
      </w:pPr>
      <w:r>
        <w:rPr>
          <w:rFonts w:cs="EB Garamond"/>
          <w:kern w:val="16"/>
          <w14:ligatures w14:val="standardContextual"/>
        </w:rPr>
        <w:t>Admite-se, contudo, a acumulação do auxílio por incapacidade temporária com: (a) pensão por morte (de outro segurado), desde que observada a regra de cumulação do art. 24 da EC 103/2019; (b) salário-família; (c) auxílio-acidente oriundo de lesão anterior distinta.</w:t>
      </w:r>
    </w:p>
    <w:p w14:paraId="6D03B346"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7.19 Quadro sinótico: auxílio por incapacidade temporária</w:t>
      </w:r>
    </w:p>
    <w:tbl>
      <w:tblPr>
        <w:tblW w:w="5000" w:type="pct"/>
        <w:jc w:val="center"/>
        <w:tblLayout w:type="fixed"/>
        <w:tblLook w:val="04A0" w:firstRow="1" w:lastRow="0" w:firstColumn="1" w:lastColumn="0" w:noHBand="0" w:noVBand="1"/>
      </w:tblPr>
      <w:tblGrid>
        <w:gridCol w:w="6311"/>
      </w:tblGrid>
      <w:tr w:rsidR="005A5FCC" w14:paraId="120CC960"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42016E87"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4BFA12AD" w14:textId="77777777" w:rsidR="005A5FCC" w:rsidRDefault="00A21C81">
            <w:pPr>
              <w:spacing w:after="60" w:line="247" w:lineRule="auto"/>
            </w:pPr>
            <w:r>
              <w:rPr>
                <w:rFonts w:cs="EB Garamond"/>
                <w:b/>
                <w:kern w:val="16"/>
                <w:sz w:val="19"/>
                <w14:ligatures w14:val="standardContextual"/>
              </w:rPr>
              <w:t>Quadro comparativo: B31 vs B91</w:t>
            </w:r>
          </w:p>
          <w:tbl>
            <w:tblPr>
              <w:tblW w:w="5000" w:type="pct"/>
              <w:jc w:val="center"/>
              <w:tblLook w:val="04A0" w:firstRow="1" w:lastRow="0" w:firstColumn="1" w:lastColumn="0" w:noHBand="0" w:noVBand="1"/>
            </w:tblPr>
            <w:tblGrid>
              <w:gridCol w:w="1967"/>
              <w:gridCol w:w="1967"/>
              <w:gridCol w:w="1967"/>
            </w:tblGrid>
            <w:tr w:rsidR="005A5FCC" w14:paraId="706F9D94" w14:textId="77777777">
              <w:trPr>
                <w:tblHeader/>
                <w:jc w:val="center"/>
              </w:trPr>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53AB4453" w14:textId="77777777" w:rsidR="005A5FCC" w:rsidRDefault="00A21C81">
                  <w:pPr>
                    <w:spacing w:before="30" w:after="30" w:line="240" w:lineRule="auto"/>
                    <w:jc w:val="center"/>
                  </w:pPr>
                  <w:r>
                    <w:rPr>
                      <w:rFonts w:cs="EB Garamond"/>
                      <w:b/>
                      <w:color w:val="2F2923"/>
                      <w:kern w:val="16"/>
                      <w:sz w:val="16"/>
                      <w14:ligatures w14:val="standardContextual"/>
                    </w:rPr>
                    <w:t>Aspecto</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6C68F6F2" w14:textId="77777777" w:rsidR="005A5FCC" w:rsidRDefault="00A21C81">
                  <w:pPr>
                    <w:spacing w:before="30" w:after="30" w:line="240" w:lineRule="auto"/>
                    <w:jc w:val="center"/>
                  </w:pPr>
                  <w:r>
                    <w:rPr>
                      <w:rFonts w:cs="EB Garamond"/>
                      <w:b/>
                      <w:color w:val="2F2923"/>
                      <w:kern w:val="16"/>
                      <w:sz w:val="16"/>
                      <w14:ligatures w14:val="standardContextual"/>
                    </w:rPr>
                    <w:t>B31 (Previdenciário)</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11D6971B" w14:textId="77777777" w:rsidR="005A5FCC" w:rsidRDefault="00A21C81">
                  <w:pPr>
                    <w:spacing w:before="30" w:after="30" w:line="240" w:lineRule="auto"/>
                    <w:jc w:val="center"/>
                  </w:pPr>
                  <w:r>
                    <w:rPr>
                      <w:rFonts w:cs="EB Garamond"/>
                      <w:b/>
                      <w:color w:val="2F2923"/>
                      <w:kern w:val="16"/>
                      <w:sz w:val="16"/>
                      <w14:ligatures w14:val="standardContextual"/>
                    </w:rPr>
                    <w:t>B91 (Acidentário)</w:t>
                  </w:r>
                </w:p>
              </w:tc>
            </w:tr>
            <w:tr w:rsidR="005A5FCC" w14:paraId="18567B77"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04FD2E81" w14:textId="77777777" w:rsidR="005A5FCC" w:rsidRDefault="00A21C81">
                  <w:pPr>
                    <w:spacing w:before="20" w:after="20" w:line="240" w:lineRule="auto"/>
                    <w:jc w:val="left"/>
                  </w:pPr>
                  <w:r>
                    <w:rPr>
                      <w:rFonts w:cs="EB Garamond"/>
                      <w:b/>
                      <w:kern w:val="16"/>
                      <w:sz w:val="16"/>
                      <w14:ligatures w14:val="standardContextual"/>
                    </w:rPr>
                    <w:t>Causa</w:t>
                  </w:r>
                </w:p>
              </w:tc>
              <w:tc>
                <w:tcPr>
                  <w:tcW w:w="2117" w:type="dxa"/>
                  <w:tcBorders>
                    <w:top w:val="single" w:sz="4" w:space="0" w:color="D2C9B8"/>
                    <w:left w:val="single" w:sz="4" w:space="0" w:color="D2C9B8"/>
                    <w:bottom w:val="single" w:sz="4" w:space="0" w:color="D2C9B8"/>
                    <w:right w:val="single" w:sz="4" w:space="0" w:color="D2C9B8"/>
                  </w:tcBorders>
                </w:tcPr>
                <w:p w14:paraId="7FEDC887" w14:textId="77777777" w:rsidR="005A5FCC" w:rsidRDefault="00A21C81">
                  <w:pPr>
                    <w:spacing w:before="20" w:after="20" w:line="240" w:lineRule="auto"/>
                    <w:jc w:val="left"/>
                  </w:pPr>
                  <w:r>
                    <w:rPr>
                      <w:rFonts w:cs="EB Garamond"/>
                      <w:kern w:val="16"/>
                      <w:sz w:val="16"/>
                      <w14:ligatures w14:val="standardContextual"/>
                    </w:rPr>
                    <w:t>Doença ou acidente comum</w:t>
                  </w:r>
                </w:p>
              </w:tc>
              <w:tc>
                <w:tcPr>
                  <w:tcW w:w="2117" w:type="dxa"/>
                  <w:tcBorders>
                    <w:top w:val="single" w:sz="4" w:space="0" w:color="D2C9B8"/>
                    <w:left w:val="single" w:sz="4" w:space="0" w:color="D2C9B8"/>
                    <w:bottom w:val="single" w:sz="4" w:space="0" w:color="D2C9B8"/>
                    <w:right w:val="single" w:sz="4" w:space="0" w:color="D2C9B8"/>
                  </w:tcBorders>
                </w:tcPr>
                <w:p w14:paraId="6032CFB0" w14:textId="77777777" w:rsidR="005A5FCC" w:rsidRDefault="00A21C81">
                  <w:pPr>
                    <w:spacing w:before="20" w:after="20" w:line="240" w:lineRule="auto"/>
                    <w:jc w:val="left"/>
                  </w:pPr>
                  <w:r>
                    <w:rPr>
                      <w:rFonts w:cs="EB Garamond"/>
                      <w:kern w:val="16"/>
                      <w:sz w:val="16"/>
                      <w14:ligatures w14:val="standardContextual"/>
                    </w:rPr>
                    <w:t>Acidente do trabalho, doença profissional/do trabalho</w:t>
                  </w:r>
                </w:p>
              </w:tc>
            </w:tr>
            <w:tr w:rsidR="005A5FCC" w14:paraId="7C2C127C"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48CB469E" w14:textId="77777777" w:rsidR="005A5FCC" w:rsidRDefault="00A21C81">
                  <w:pPr>
                    <w:spacing w:before="20" w:after="20" w:line="240" w:lineRule="auto"/>
                    <w:jc w:val="left"/>
                  </w:pPr>
                  <w:r>
                    <w:rPr>
                      <w:rFonts w:cs="EB Garamond"/>
                      <w:b/>
                      <w:kern w:val="16"/>
                      <w:sz w:val="16"/>
                      <w14:ligatures w14:val="standardContextual"/>
                    </w:rPr>
                    <w:t>Carência</w:t>
                  </w:r>
                </w:p>
              </w:tc>
              <w:tc>
                <w:tcPr>
                  <w:tcW w:w="2117" w:type="dxa"/>
                  <w:tcBorders>
                    <w:top w:val="single" w:sz="4" w:space="0" w:color="D2C9B8"/>
                    <w:left w:val="single" w:sz="4" w:space="0" w:color="D2C9B8"/>
                    <w:bottom w:val="single" w:sz="4" w:space="0" w:color="D2C9B8"/>
                    <w:right w:val="single" w:sz="4" w:space="0" w:color="D2C9B8"/>
                  </w:tcBorders>
                </w:tcPr>
                <w:p w14:paraId="3960F2B1" w14:textId="77777777" w:rsidR="005A5FCC" w:rsidRDefault="00A21C81">
                  <w:pPr>
                    <w:spacing w:before="20" w:after="20" w:line="240" w:lineRule="auto"/>
                    <w:jc w:val="left"/>
                  </w:pPr>
                  <w:r>
                    <w:rPr>
                      <w:rFonts w:cs="EB Garamond"/>
                      <w:kern w:val="16"/>
                      <w:sz w:val="16"/>
                      <w14:ligatures w14:val="standardContextual"/>
                    </w:rPr>
                    <w:t>12 contribuições (regra geral)</w:t>
                  </w:r>
                </w:p>
              </w:tc>
              <w:tc>
                <w:tcPr>
                  <w:tcW w:w="2117" w:type="dxa"/>
                  <w:tcBorders>
                    <w:top w:val="single" w:sz="4" w:space="0" w:color="D2C9B8"/>
                    <w:left w:val="single" w:sz="4" w:space="0" w:color="D2C9B8"/>
                    <w:bottom w:val="single" w:sz="4" w:space="0" w:color="D2C9B8"/>
                    <w:right w:val="single" w:sz="4" w:space="0" w:color="D2C9B8"/>
                  </w:tcBorders>
                </w:tcPr>
                <w:p w14:paraId="574B3B3A" w14:textId="77777777" w:rsidR="005A5FCC" w:rsidRDefault="00A21C81">
                  <w:pPr>
                    <w:spacing w:before="20" w:after="20" w:line="240" w:lineRule="auto"/>
                    <w:jc w:val="left"/>
                  </w:pPr>
                  <w:r>
                    <w:rPr>
                      <w:rFonts w:cs="EB Garamond"/>
                      <w:kern w:val="16"/>
                      <w:sz w:val="16"/>
                      <w14:ligatures w14:val="standardContextual"/>
                    </w:rPr>
                    <w:t>Dispensada</w:t>
                  </w:r>
                </w:p>
              </w:tc>
            </w:tr>
            <w:tr w:rsidR="005A5FCC" w14:paraId="1608D9BC"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41CE06E6" w14:textId="77777777" w:rsidR="005A5FCC" w:rsidRDefault="00A21C81">
                  <w:pPr>
                    <w:spacing w:before="20" w:after="20" w:line="240" w:lineRule="auto"/>
                    <w:jc w:val="left"/>
                  </w:pPr>
                  <w:r>
                    <w:rPr>
                      <w:rFonts w:cs="EB Garamond"/>
                      <w:b/>
                      <w:kern w:val="16"/>
                      <w:sz w:val="16"/>
                      <w14:ligatures w14:val="standardContextual"/>
                    </w:rPr>
                    <w:t>Estabilidade</w:t>
                  </w:r>
                </w:p>
              </w:tc>
              <w:tc>
                <w:tcPr>
                  <w:tcW w:w="2117" w:type="dxa"/>
                  <w:tcBorders>
                    <w:top w:val="single" w:sz="4" w:space="0" w:color="D2C9B8"/>
                    <w:left w:val="single" w:sz="4" w:space="0" w:color="D2C9B8"/>
                    <w:bottom w:val="single" w:sz="4" w:space="0" w:color="D2C9B8"/>
                    <w:right w:val="single" w:sz="4" w:space="0" w:color="D2C9B8"/>
                  </w:tcBorders>
                </w:tcPr>
                <w:p w14:paraId="17EB761B" w14:textId="77777777" w:rsidR="005A5FCC" w:rsidRDefault="00A21C81">
                  <w:pPr>
                    <w:spacing w:before="20" w:after="20" w:line="240" w:lineRule="auto"/>
                    <w:jc w:val="left"/>
                  </w:pPr>
                  <w:r>
                    <w:rPr>
                      <w:rFonts w:cs="EB Garamond"/>
                      <w:kern w:val="16"/>
                      <w:sz w:val="16"/>
                      <w14:ligatures w14:val="standardContextual"/>
                    </w:rPr>
                    <w:t>Não há</w:t>
                  </w:r>
                </w:p>
              </w:tc>
              <w:tc>
                <w:tcPr>
                  <w:tcW w:w="2117" w:type="dxa"/>
                  <w:tcBorders>
                    <w:top w:val="single" w:sz="4" w:space="0" w:color="D2C9B8"/>
                    <w:left w:val="single" w:sz="4" w:space="0" w:color="D2C9B8"/>
                    <w:bottom w:val="single" w:sz="4" w:space="0" w:color="D2C9B8"/>
                    <w:right w:val="single" w:sz="4" w:space="0" w:color="D2C9B8"/>
                  </w:tcBorders>
                </w:tcPr>
                <w:p w14:paraId="3F1EA766" w14:textId="77777777" w:rsidR="005A5FCC" w:rsidRDefault="00A21C81">
                  <w:pPr>
                    <w:spacing w:before="20" w:after="20" w:line="240" w:lineRule="auto"/>
                    <w:jc w:val="left"/>
                  </w:pPr>
                  <w:r>
                    <w:rPr>
                      <w:rFonts w:cs="EB Garamond"/>
                      <w:kern w:val="16"/>
                      <w:sz w:val="16"/>
                      <w14:ligatures w14:val="standardContextual"/>
                    </w:rPr>
                    <w:t>12 meses após cessação (art. 118)</w:t>
                  </w:r>
                </w:p>
              </w:tc>
            </w:tr>
            <w:tr w:rsidR="005A5FCC" w14:paraId="66C355D3"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6C95C76D" w14:textId="77777777" w:rsidR="005A5FCC" w:rsidRDefault="00A21C81">
                  <w:pPr>
                    <w:spacing w:before="20" w:after="20" w:line="240" w:lineRule="auto"/>
                    <w:jc w:val="left"/>
                  </w:pPr>
                  <w:r>
                    <w:rPr>
                      <w:rFonts w:cs="EB Garamond"/>
                      <w:b/>
                      <w:kern w:val="16"/>
                      <w:sz w:val="16"/>
                      <w14:ligatures w14:val="standardContextual"/>
                    </w:rPr>
                    <w:t>FGTS</w:t>
                  </w:r>
                </w:p>
              </w:tc>
              <w:tc>
                <w:tcPr>
                  <w:tcW w:w="2117" w:type="dxa"/>
                  <w:tcBorders>
                    <w:top w:val="single" w:sz="4" w:space="0" w:color="D2C9B8"/>
                    <w:left w:val="single" w:sz="4" w:space="0" w:color="D2C9B8"/>
                    <w:bottom w:val="single" w:sz="4" w:space="0" w:color="D2C9B8"/>
                    <w:right w:val="single" w:sz="4" w:space="0" w:color="D2C9B8"/>
                  </w:tcBorders>
                </w:tcPr>
                <w:p w14:paraId="4910A166" w14:textId="77777777" w:rsidR="005A5FCC" w:rsidRDefault="00A21C81">
                  <w:pPr>
                    <w:spacing w:before="20" w:after="20" w:line="240" w:lineRule="auto"/>
                    <w:jc w:val="left"/>
                  </w:pPr>
                  <w:r>
                    <w:rPr>
                      <w:rFonts w:cs="EB Garamond"/>
                      <w:kern w:val="16"/>
                      <w:sz w:val="16"/>
                      <w14:ligatures w14:val="standardContextual"/>
                    </w:rPr>
                    <w:t>Sem depósito durante afastamento</w:t>
                  </w:r>
                </w:p>
              </w:tc>
              <w:tc>
                <w:tcPr>
                  <w:tcW w:w="2117" w:type="dxa"/>
                  <w:tcBorders>
                    <w:top w:val="single" w:sz="4" w:space="0" w:color="D2C9B8"/>
                    <w:left w:val="single" w:sz="4" w:space="0" w:color="D2C9B8"/>
                    <w:bottom w:val="single" w:sz="4" w:space="0" w:color="D2C9B8"/>
                    <w:right w:val="single" w:sz="4" w:space="0" w:color="D2C9B8"/>
                  </w:tcBorders>
                </w:tcPr>
                <w:p w14:paraId="1E0CA930" w14:textId="77777777" w:rsidR="005A5FCC" w:rsidRDefault="00A21C81">
                  <w:pPr>
                    <w:spacing w:before="20" w:after="20" w:line="240" w:lineRule="auto"/>
                    <w:jc w:val="left"/>
                  </w:pPr>
                  <w:r>
                    <w:rPr>
                      <w:rFonts w:cs="EB Garamond"/>
                      <w:kern w:val="16"/>
                      <w:sz w:val="16"/>
                      <w14:ligatures w14:val="standardContextual"/>
                    </w:rPr>
                    <w:t>Empregador deposita (art. 15, § 5º, Lei 8.036/90)</w:t>
                  </w:r>
                </w:p>
              </w:tc>
            </w:tr>
            <w:tr w:rsidR="005A5FCC" w14:paraId="58A69068"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6EC0731D" w14:textId="77777777" w:rsidR="005A5FCC" w:rsidRDefault="00A21C81">
                  <w:pPr>
                    <w:spacing w:before="20" w:after="20" w:line="240" w:lineRule="auto"/>
                    <w:jc w:val="left"/>
                  </w:pPr>
                  <w:r>
                    <w:rPr>
                      <w:rFonts w:cs="EB Garamond"/>
                      <w:b/>
                      <w:kern w:val="16"/>
                      <w:sz w:val="16"/>
                      <w14:ligatures w14:val="standardContextual"/>
                    </w:rPr>
                    <w:t>Competência</w:t>
                  </w:r>
                </w:p>
              </w:tc>
              <w:tc>
                <w:tcPr>
                  <w:tcW w:w="2117" w:type="dxa"/>
                  <w:tcBorders>
                    <w:top w:val="single" w:sz="4" w:space="0" w:color="D2C9B8"/>
                    <w:left w:val="single" w:sz="4" w:space="0" w:color="D2C9B8"/>
                    <w:bottom w:val="single" w:sz="4" w:space="0" w:color="D2C9B8"/>
                    <w:right w:val="single" w:sz="4" w:space="0" w:color="D2C9B8"/>
                  </w:tcBorders>
                </w:tcPr>
                <w:p w14:paraId="680D1C37" w14:textId="77777777" w:rsidR="005A5FCC" w:rsidRDefault="00A21C81">
                  <w:pPr>
                    <w:spacing w:before="20" w:after="20" w:line="240" w:lineRule="auto"/>
                    <w:jc w:val="left"/>
                  </w:pPr>
                  <w:r>
                    <w:rPr>
                      <w:rFonts w:cs="EB Garamond"/>
                      <w:kern w:val="16"/>
                      <w:sz w:val="16"/>
                      <w14:ligatures w14:val="standardContextual"/>
                    </w:rPr>
                    <w:t>Justiça Federal / JEFs</w:t>
                  </w:r>
                </w:p>
              </w:tc>
              <w:tc>
                <w:tcPr>
                  <w:tcW w:w="2117" w:type="dxa"/>
                  <w:tcBorders>
                    <w:top w:val="single" w:sz="4" w:space="0" w:color="D2C9B8"/>
                    <w:left w:val="single" w:sz="4" w:space="0" w:color="D2C9B8"/>
                    <w:bottom w:val="single" w:sz="4" w:space="0" w:color="D2C9B8"/>
                    <w:right w:val="single" w:sz="4" w:space="0" w:color="D2C9B8"/>
                  </w:tcBorders>
                </w:tcPr>
                <w:p w14:paraId="5A004D69" w14:textId="77777777" w:rsidR="005A5FCC" w:rsidRDefault="00A21C81">
                  <w:pPr>
                    <w:spacing w:before="20" w:after="20" w:line="240" w:lineRule="auto"/>
                    <w:jc w:val="left"/>
                  </w:pPr>
                  <w:r>
                    <w:rPr>
                      <w:rFonts w:cs="EB Garamond"/>
                      <w:kern w:val="16"/>
                      <w:sz w:val="16"/>
                      <w14:ligatures w14:val="standardContextual"/>
                    </w:rPr>
                    <w:t>Justiça Estadual (art. 109, I, CF)</w:t>
                  </w:r>
                </w:p>
              </w:tc>
            </w:tr>
            <w:tr w:rsidR="005A5FCC" w14:paraId="7F466A71"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08FEC8C4" w14:textId="77777777" w:rsidR="005A5FCC" w:rsidRDefault="00A21C81">
                  <w:pPr>
                    <w:spacing w:before="20" w:after="20" w:line="240" w:lineRule="auto"/>
                    <w:jc w:val="left"/>
                  </w:pPr>
                  <w:r>
                    <w:rPr>
                      <w:rFonts w:cs="EB Garamond"/>
                      <w:b/>
                      <w:kern w:val="16"/>
                      <w:sz w:val="16"/>
                      <w14:ligatures w14:val="standardContextual"/>
                    </w:rPr>
                    <w:t>NTEP</w:t>
                  </w:r>
                </w:p>
              </w:tc>
              <w:tc>
                <w:tcPr>
                  <w:tcW w:w="2117" w:type="dxa"/>
                  <w:tcBorders>
                    <w:top w:val="single" w:sz="4" w:space="0" w:color="D2C9B8"/>
                    <w:left w:val="single" w:sz="4" w:space="0" w:color="D2C9B8"/>
                    <w:bottom w:val="single" w:sz="4" w:space="0" w:color="D2C9B8"/>
                    <w:right w:val="single" w:sz="4" w:space="0" w:color="D2C9B8"/>
                  </w:tcBorders>
                </w:tcPr>
                <w:p w14:paraId="3168B8A8" w14:textId="77777777" w:rsidR="005A5FCC" w:rsidRDefault="00A21C81">
                  <w:pPr>
                    <w:spacing w:before="20" w:after="20" w:line="240" w:lineRule="auto"/>
                    <w:jc w:val="left"/>
                  </w:pPr>
                  <w:r>
                    <w:rPr>
                      <w:rFonts w:cs="EB Garamond"/>
                      <w:kern w:val="16"/>
                      <w:sz w:val="16"/>
                      <w14:ligatures w14:val="standardContextual"/>
                    </w:rPr>
                    <w:t>Não se aplica</w:t>
                  </w:r>
                </w:p>
              </w:tc>
              <w:tc>
                <w:tcPr>
                  <w:tcW w:w="2117" w:type="dxa"/>
                  <w:tcBorders>
                    <w:top w:val="single" w:sz="4" w:space="0" w:color="D2C9B8"/>
                    <w:left w:val="single" w:sz="4" w:space="0" w:color="D2C9B8"/>
                    <w:bottom w:val="single" w:sz="4" w:space="0" w:color="D2C9B8"/>
                    <w:right w:val="single" w:sz="4" w:space="0" w:color="D2C9B8"/>
                  </w:tcBorders>
                </w:tcPr>
                <w:p w14:paraId="1980DA61" w14:textId="77777777" w:rsidR="005A5FCC" w:rsidRDefault="00A21C81">
                  <w:pPr>
                    <w:spacing w:before="20" w:after="20" w:line="240" w:lineRule="auto"/>
                    <w:jc w:val="left"/>
                  </w:pPr>
                  <w:r>
                    <w:rPr>
                      <w:rFonts w:cs="EB Garamond"/>
                      <w:kern w:val="16"/>
                      <w:sz w:val="16"/>
                      <w14:ligatures w14:val="standardContextual"/>
                    </w:rPr>
                    <w:t>Presunção relativa de nexo</w:t>
                  </w:r>
                </w:p>
              </w:tc>
            </w:tr>
            <w:tr w:rsidR="005A5FCC" w14:paraId="2E36C8F6"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4B6E5B86" w14:textId="77777777" w:rsidR="005A5FCC" w:rsidRDefault="00A21C81">
                  <w:pPr>
                    <w:spacing w:before="20" w:after="20" w:line="240" w:lineRule="auto"/>
                    <w:jc w:val="left"/>
                  </w:pPr>
                  <w:r>
                    <w:rPr>
                      <w:rFonts w:cs="EB Garamond"/>
                      <w:b/>
                      <w:kern w:val="16"/>
                      <w:sz w:val="16"/>
                      <w14:ligatures w14:val="standardContextual"/>
                    </w:rPr>
                    <w:t>Renda mensal</w:t>
                  </w:r>
                </w:p>
              </w:tc>
              <w:tc>
                <w:tcPr>
                  <w:tcW w:w="2117" w:type="dxa"/>
                  <w:tcBorders>
                    <w:top w:val="single" w:sz="4" w:space="0" w:color="D2C9B8"/>
                    <w:left w:val="single" w:sz="4" w:space="0" w:color="D2C9B8"/>
                    <w:bottom w:val="single" w:sz="4" w:space="0" w:color="D2C9B8"/>
                    <w:right w:val="single" w:sz="4" w:space="0" w:color="D2C9B8"/>
                  </w:tcBorders>
                </w:tcPr>
                <w:p w14:paraId="63BA01DD" w14:textId="77777777" w:rsidR="005A5FCC" w:rsidRDefault="00A21C81">
                  <w:pPr>
                    <w:spacing w:before="20" w:after="20" w:line="240" w:lineRule="auto"/>
                    <w:jc w:val="left"/>
                  </w:pPr>
                  <w:r>
                    <w:rPr>
                      <w:rFonts w:cs="EB Garamond"/>
                      <w:kern w:val="16"/>
                      <w:sz w:val="16"/>
                      <w14:ligatures w14:val="standardContextual"/>
                    </w:rPr>
                    <w:t>91% do SB</w:t>
                  </w:r>
                </w:p>
              </w:tc>
              <w:tc>
                <w:tcPr>
                  <w:tcW w:w="2117" w:type="dxa"/>
                  <w:tcBorders>
                    <w:top w:val="single" w:sz="4" w:space="0" w:color="D2C9B8"/>
                    <w:left w:val="single" w:sz="4" w:space="0" w:color="D2C9B8"/>
                    <w:bottom w:val="single" w:sz="4" w:space="0" w:color="D2C9B8"/>
                    <w:right w:val="single" w:sz="4" w:space="0" w:color="D2C9B8"/>
                  </w:tcBorders>
                </w:tcPr>
                <w:p w14:paraId="71E6617C" w14:textId="77777777" w:rsidR="005A5FCC" w:rsidRDefault="00A21C81">
                  <w:pPr>
                    <w:spacing w:before="20" w:after="20" w:line="240" w:lineRule="auto"/>
                    <w:jc w:val="left"/>
                  </w:pPr>
                  <w:r>
                    <w:rPr>
                      <w:rFonts w:cs="EB Garamond"/>
                      <w:kern w:val="16"/>
                      <w:sz w:val="16"/>
                      <w14:ligatures w14:val="standardContextual"/>
                    </w:rPr>
                    <w:t>91% do SB</w:t>
                  </w:r>
                </w:p>
              </w:tc>
            </w:tr>
            <w:tr w:rsidR="005A5FCC" w14:paraId="1F11B366"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06C84309" w14:textId="77777777" w:rsidR="005A5FCC" w:rsidRDefault="00A21C81">
                  <w:pPr>
                    <w:spacing w:before="20" w:after="20" w:line="240" w:lineRule="auto"/>
                    <w:jc w:val="left"/>
                  </w:pPr>
                  <w:r>
                    <w:rPr>
                      <w:rFonts w:cs="EB Garamond"/>
                      <w:b/>
                      <w:kern w:val="16"/>
                      <w:sz w:val="16"/>
                      <w14:ligatures w14:val="standardContextual"/>
                    </w:rPr>
                    <w:t>DIB (empregado)</w:t>
                  </w:r>
                </w:p>
              </w:tc>
              <w:tc>
                <w:tcPr>
                  <w:tcW w:w="2117" w:type="dxa"/>
                  <w:tcBorders>
                    <w:top w:val="single" w:sz="4" w:space="0" w:color="D2C9B8"/>
                    <w:left w:val="single" w:sz="4" w:space="0" w:color="D2C9B8"/>
                    <w:bottom w:val="single" w:sz="4" w:space="0" w:color="D2C9B8"/>
                    <w:right w:val="single" w:sz="4" w:space="0" w:color="D2C9B8"/>
                  </w:tcBorders>
                </w:tcPr>
                <w:p w14:paraId="4BC0768D" w14:textId="77777777" w:rsidR="005A5FCC" w:rsidRDefault="00A21C81">
                  <w:pPr>
                    <w:spacing w:before="20" w:after="20" w:line="240" w:lineRule="auto"/>
                    <w:jc w:val="left"/>
                  </w:pPr>
                  <w:r>
                    <w:rPr>
                      <w:rFonts w:cs="EB Garamond"/>
                      <w:kern w:val="16"/>
                      <w:sz w:val="16"/>
                      <w14:ligatures w14:val="standardContextual"/>
                    </w:rPr>
                    <w:t>16º dia de afastamento</w:t>
                  </w:r>
                </w:p>
              </w:tc>
              <w:tc>
                <w:tcPr>
                  <w:tcW w:w="2117" w:type="dxa"/>
                  <w:tcBorders>
                    <w:top w:val="single" w:sz="4" w:space="0" w:color="D2C9B8"/>
                    <w:left w:val="single" w:sz="4" w:space="0" w:color="D2C9B8"/>
                    <w:bottom w:val="single" w:sz="4" w:space="0" w:color="D2C9B8"/>
                    <w:right w:val="single" w:sz="4" w:space="0" w:color="D2C9B8"/>
                  </w:tcBorders>
                </w:tcPr>
                <w:p w14:paraId="3190E799" w14:textId="77777777" w:rsidR="005A5FCC" w:rsidRDefault="00A21C81">
                  <w:pPr>
                    <w:spacing w:before="20" w:after="20" w:line="240" w:lineRule="auto"/>
                    <w:jc w:val="left"/>
                  </w:pPr>
                  <w:r>
                    <w:rPr>
                      <w:rFonts w:cs="EB Garamond"/>
                      <w:kern w:val="16"/>
                      <w:sz w:val="16"/>
                      <w14:ligatures w14:val="standardContextual"/>
                    </w:rPr>
                    <w:t>16º dia de afastamento</w:t>
                  </w:r>
                </w:p>
              </w:tc>
            </w:tr>
            <w:tr w:rsidR="005A5FCC" w14:paraId="163B5CAB"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051C093B" w14:textId="77777777" w:rsidR="005A5FCC" w:rsidRDefault="00A21C81">
                  <w:pPr>
                    <w:spacing w:before="20" w:after="20" w:line="240" w:lineRule="auto"/>
                    <w:jc w:val="left"/>
                  </w:pPr>
                  <w:r>
                    <w:rPr>
                      <w:rFonts w:cs="EB Garamond"/>
                      <w:b/>
                      <w:kern w:val="16"/>
                      <w:sz w:val="16"/>
                      <w14:ligatures w14:val="standardContextual"/>
                    </w:rPr>
                    <w:t>CAT</w:t>
                  </w:r>
                </w:p>
              </w:tc>
              <w:tc>
                <w:tcPr>
                  <w:tcW w:w="2117" w:type="dxa"/>
                  <w:tcBorders>
                    <w:top w:val="single" w:sz="4" w:space="0" w:color="D2C9B8"/>
                    <w:left w:val="single" w:sz="4" w:space="0" w:color="D2C9B8"/>
                    <w:bottom w:val="single" w:sz="4" w:space="0" w:color="D2C9B8"/>
                    <w:right w:val="single" w:sz="4" w:space="0" w:color="D2C9B8"/>
                  </w:tcBorders>
                </w:tcPr>
                <w:p w14:paraId="1F9AC040" w14:textId="77777777" w:rsidR="005A5FCC" w:rsidRDefault="00A21C81">
                  <w:pPr>
                    <w:spacing w:before="20" w:after="20" w:line="240" w:lineRule="auto"/>
                    <w:jc w:val="left"/>
                  </w:pPr>
                  <w:r>
                    <w:rPr>
                      <w:rFonts w:cs="EB Garamond"/>
                      <w:kern w:val="16"/>
                      <w:sz w:val="16"/>
                      <w14:ligatures w14:val="standardContextual"/>
                    </w:rPr>
                    <w:t>Não exigida</w:t>
                  </w:r>
                </w:p>
              </w:tc>
              <w:tc>
                <w:tcPr>
                  <w:tcW w:w="2117" w:type="dxa"/>
                  <w:tcBorders>
                    <w:top w:val="single" w:sz="4" w:space="0" w:color="D2C9B8"/>
                    <w:left w:val="single" w:sz="4" w:space="0" w:color="D2C9B8"/>
                    <w:bottom w:val="single" w:sz="4" w:space="0" w:color="D2C9B8"/>
                    <w:right w:val="single" w:sz="4" w:space="0" w:color="D2C9B8"/>
                  </w:tcBorders>
                </w:tcPr>
                <w:p w14:paraId="0ECE2A59" w14:textId="77777777" w:rsidR="005A5FCC" w:rsidRDefault="00A21C81">
                  <w:pPr>
                    <w:spacing w:before="20" w:after="20" w:line="240" w:lineRule="auto"/>
                    <w:jc w:val="left"/>
                  </w:pPr>
                  <w:r>
                    <w:rPr>
                      <w:rFonts w:cs="EB Garamond"/>
                      <w:kern w:val="16"/>
                      <w:sz w:val="16"/>
                      <w14:ligatures w14:val="standardContextual"/>
                    </w:rPr>
                    <w:t>Obrigatória pelo empregador</w:t>
                  </w:r>
                </w:p>
              </w:tc>
            </w:tr>
          </w:tbl>
          <w:p w14:paraId="7E5ED8C5" w14:textId="77777777" w:rsidR="005A5FCC" w:rsidRDefault="005A5FCC"/>
          <w:p w14:paraId="17AEF6CE" w14:textId="77777777" w:rsidR="005A5FCC" w:rsidRDefault="005A5FCC">
            <w:pPr>
              <w:spacing w:after="0" w:line="240" w:lineRule="auto"/>
            </w:pPr>
          </w:p>
          <w:p w14:paraId="2E3EEC6B" w14:textId="77777777" w:rsidR="005A5FCC" w:rsidRDefault="00A21C81">
            <w:pPr>
              <w:spacing w:after="60" w:line="247" w:lineRule="auto"/>
            </w:pPr>
            <w:r>
              <w:rPr>
                <w:rFonts w:cs="EB Garamond"/>
                <w:b/>
                <w:kern w:val="16"/>
                <w:sz w:val="19"/>
                <w14:ligatures w14:val="standardContextual"/>
              </w:rPr>
              <w:t>Principais prazos:</w:t>
            </w:r>
            <w:r>
              <w:rPr>
                <w:rFonts w:cs="EB Garamond"/>
                <w:kern w:val="16"/>
                <w:sz w:val="19"/>
                <w14:ligatures w14:val="standardContextual"/>
              </w:rPr>
              <w:t xml:space="preserve"> - Prorrogação: solicitar nos 15 dias antes da DCB - Recurso ao CRPS: 30 dias da ciência da decisão - Prescrição: 5 anos (parcelas), fundo de direito imprescritível - Atestmed: até 90 dias por análise; 180 dias acumulados - Regra da metade (art. 27-A): 6 contribuições após perda e refiliação</w:t>
            </w:r>
          </w:p>
          <w:p w14:paraId="3F008576" w14:textId="77777777" w:rsidR="005A5FCC" w:rsidRDefault="00A21C81">
            <w:pPr>
              <w:spacing w:after="60" w:line="247" w:lineRule="auto"/>
            </w:pPr>
            <w:r>
              <w:rPr>
                <w:rFonts w:cs="EB Garamond"/>
                <w:b/>
                <w:kern w:val="16"/>
                <w:sz w:val="19"/>
                <w14:ligatures w14:val="standardContextual"/>
              </w:rPr>
              <w:t>Fórmula de cálculo:</w:t>
            </w:r>
            <w:r>
              <w:rPr>
                <w:rFonts w:cs="EB Garamond"/>
                <w:kern w:val="16"/>
                <w:sz w:val="19"/>
                <w14:ligatures w14:val="standardContextual"/>
              </w:rPr>
              <w:t xml:space="preserve"> - DII antes de 13/11/2019: Média dos 80% maiores SC × 91% - DII a partir de 13/11/2019: Média de 100% dos SC × 91% - Teto 2026: R$ 8.475,55 | Piso: salário mínimo (R$ 1.621,00)</w:t>
            </w:r>
          </w:p>
        </w:tc>
      </w:tr>
    </w:tbl>
    <w:p w14:paraId="0F96229F" w14:textId="77777777" w:rsidR="005A5FCC" w:rsidRDefault="005A5FCC">
      <w:pPr>
        <w:spacing w:after="80" w:line="240" w:lineRule="auto"/>
      </w:pPr>
    </w:p>
    <w:p w14:paraId="0DBAF0D3"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7.20 Aspectos práticos da concessão administrativa</w:t>
      </w:r>
    </w:p>
    <w:p w14:paraId="57B597EE"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6C927806" w14:textId="77777777" w:rsidR="005A5FCC" w:rsidRDefault="00A21C81">
      <w:r>
        <w:rPr>
          <w:rFonts w:cs="EB Garamond"/>
          <w:kern w:val="16"/>
          <w14:ligatures w14:val="standardContextual"/>
        </w:rPr>
        <w:t>s irregularidades do procedimento administrativo de concessão constituem, na prática, o principal fundamento das ações judiciais nos JEFs. O advogado que conhece o fluxo administrativo identifica com mais precisão os vícios impugnáveis.</w:t>
      </w:r>
    </w:p>
    <w:p w14:paraId="4A1373F7" w14:textId="4A20251E" w:rsidR="005A5FCC" w:rsidRDefault="00A21C81">
      <w:pPr>
        <w:ind w:firstLine="238"/>
      </w:pPr>
      <w:r>
        <w:rPr>
          <w:rFonts w:cs="EB Garamond"/>
          <w:kern w:val="16"/>
          <w14:ligatures w14:val="standardContextual"/>
        </w:rPr>
        <w:t>O requerimento do auxílio por incapacidade temporária é formulado pelo sistema Meu INSS (plataforma digital) ou pela Central 135 (atendimento telefônico). O segurado empregado pode ter o requerimento formulado diretamente pela empresa, por meio do sistema e-Social, quando o afastamento for superior a 15 dias. O empregador que deixar de comunicar o afastamento ao INSS assume a responsabilidade pelo pagamento da remuneração do empregado durante o período de atraso.</w:t>
      </w:r>
    </w:p>
    <w:p w14:paraId="6754B93F" w14:textId="77777777" w:rsidR="005A5FCC" w:rsidRDefault="00A21C81">
      <w:pPr>
        <w:ind w:firstLine="238"/>
      </w:pPr>
      <w:r>
        <w:rPr>
          <w:rFonts w:cs="EB Garamond"/>
          <w:kern w:val="16"/>
          <w14:ligatures w14:val="standardContextual"/>
        </w:rPr>
        <w:t>Na concessão via Atestmed, o segurado anexa atestado médico e documentação clínica ao requerimento digital. O perito médico federal analisa a documentação e decide pela concessão (com fixação da DCB) ou pelo indeferimento, fundamentando tecnicamente sua decisão. A concessão via Atestmed está limitada a 90 dias por análise e 180 dias acumulados — após esse limite, qualquer prorrogação exige perícia presencial.</w:t>
      </w:r>
    </w:p>
    <w:p w14:paraId="3853A305" w14:textId="77777777" w:rsidR="005A5FCC" w:rsidRDefault="00A21C81">
      <w:pPr>
        <w:ind w:firstLine="238"/>
      </w:pPr>
      <w:r>
        <w:rPr>
          <w:rFonts w:cs="EB Garamond"/>
          <w:kern w:val="16"/>
          <w14:ligatures w14:val="standardContextual"/>
        </w:rPr>
        <w:t>Na concessão via perícia presencial, o segurado comparece à APS na data agendada, portando documentação pessoal, carteira de trabalho, atestados médicos, exames complementares e relatórios de acompanhamento. O perito realiza exame clínico e elabora conclusão pericial. A conclusão pode ser: (a) concessão do benefício com fixação da DCB; (b) indeferimento por ausência de incapacidade; (c) indeferimento por doença ou incapacidade preexistente; ou (d) encaminhamento para reabilitação profissional.</w:t>
      </w:r>
    </w:p>
    <w:p w14:paraId="7BA1B754" w14:textId="77777777" w:rsidR="005A5FCC" w:rsidRDefault="00A21C81">
      <w:pPr>
        <w:ind w:firstLine="238"/>
      </w:pPr>
      <w:r>
        <w:rPr>
          <w:rFonts w:cs="EB Garamond"/>
          <w:kern w:val="16"/>
          <w14:ligatures w14:val="standardContextual"/>
        </w:rPr>
        <w:t xml:space="preserve">O indeferimento administrativo deve ser fundamentado tecnicamente, indicando os motivos que levaram o perito a concluir pela ausência de incapacidade. Indeferimentos genéricos, como "segurado apto para o trabalho" sem especificação dos fundamentos médicos, são impugnáveis judicialmente. Nos JEFs, o INSS é intimado a juntar o laudo pericial administrativo, que serve como elemento de </w:t>
      </w:r>
      <w:r>
        <w:rPr>
          <w:rFonts w:cs="EB Garamond"/>
          <w:kern w:val="16"/>
          <w14:ligatures w14:val="standardContextual"/>
        </w:rPr>
        <w:lastRenderedPageBreak/>
        <w:t>comparação com a perícia judicial. Divergências significativas entre os laudos administrativo e judicial devem ser enfrentadas na fundamentação da sentença.</w:t>
      </w:r>
    </w:p>
    <w:p w14:paraId="0602FA6B" w14:textId="77777777" w:rsidR="005A5FCC" w:rsidRDefault="00A21C81">
      <w:pPr>
        <w:ind w:firstLine="238"/>
      </w:pPr>
      <w:r>
        <w:rPr>
          <w:rFonts w:cs="EB Garamond"/>
          <w:kern w:val="16"/>
          <w14:ligatures w14:val="standardContextual"/>
        </w:rPr>
        <w:t>O prazo médio entre o requerimento e a realização da perícia presencial é variável conforme a região e o volume de demanda. Em períodos de alta demanda, o prazo pode chegar a vários meses — circunstância que fundamenta pedidos de tutela provisória nos JEFs, especialmente quando o segurado demonstra urgência na obtenção da renda substitutiva. A implementação do Atestmed teve como objetivo principal a redução desses prazos, viabilizando decisão mais célere para casos de menor complexidade clínica.</w:t>
      </w:r>
    </w:p>
    <w:tbl>
      <w:tblPr>
        <w:tblW w:w="5000" w:type="pct"/>
        <w:jc w:val="center"/>
        <w:tblLayout w:type="fixed"/>
        <w:tblLook w:val="04A0" w:firstRow="1" w:lastRow="0" w:firstColumn="1" w:lastColumn="0" w:noHBand="0" w:noVBand="1"/>
      </w:tblPr>
      <w:tblGrid>
        <w:gridCol w:w="6311"/>
      </w:tblGrid>
      <w:tr w:rsidR="005A5FCC" w14:paraId="1306E523"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3B4D99BD"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2B0FAA59" w14:textId="77777777" w:rsidR="005A5FCC" w:rsidRDefault="00A21C81">
            <w:pPr>
              <w:spacing w:after="60" w:line="247" w:lineRule="auto"/>
            </w:pPr>
            <w:r>
              <w:rPr>
                <w:rFonts w:cs="EB Garamond"/>
                <w:kern w:val="16"/>
                <w:sz w:val="19"/>
                <w14:ligatures w14:val="standardContextual"/>
              </w:rPr>
              <w:t>O segurado que tiver seu benefício indeferido administrativamente deve observar os prazos para impugnação: (a) pedido de reconsideração: 30 dias da ciência da decisão; (b) recurso ao CRPS: 30 dias da ciência da decisão de reconsideração. O recurso ao CRPS tem efeito suspensivo quando a decisão recorrida é de cessação (art. 126, § 3º, do Decreto 3.048/99, redação dada pelo Decreto 10.410/2020), mas não quando é de indeferimento originário. A utilização da via administrativa não é, em regra, condição para o ajuizamento de ação nos JEFs, conforme entendimento do STF no RE 631.240 (Tema 350), que exige o requerimento administrativo prévio, mas não o esgotamento das vias recursais.</w:t>
            </w:r>
          </w:p>
        </w:tc>
      </w:tr>
    </w:tbl>
    <w:p w14:paraId="0A912A2A" w14:textId="77777777" w:rsidR="005A5FCC" w:rsidRDefault="005A5FCC">
      <w:pPr>
        <w:spacing w:after="80" w:line="240" w:lineRule="auto"/>
      </w:pPr>
    </w:p>
    <w:p w14:paraId="7E0B3471" w14:textId="23795819" w:rsidR="005A5FCC" w:rsidRDefault="006632A3">
      <w:pPr>
        <w:keepNext/>
        <w:pBdr>
          <w:bottom w:val="single" w:sz="8" w:space="4" w:color="B89B5E"/>
        </w:pBdr>
        <w:spacing w:before="360" w:after="140" w:line="240" w:lineRule="auto"/>
        <w:jc w:val="left"/>
      </w:pPr>
      <w:r>
        <w:rPr>
          <w:rFonts w:cs="EB Garamond"/>
          <w:b/>
          <w:color w:val="3A3128"/>
          <w:kern w:val="16"/>
          <w:sz w:val="31"/>
          <w14:ligatures w14:val="standardContextual"/>
        </w:rPr>
        <w:t xml:space="preserve">7.21 </w:t>
      </w:r>
      <w:r w:rsidR="00A21C81">
        <w:rPr>
          <w:rFonts w:cs="EB Garamond"/>
          <w:b/>
          <w:color w:val="3A3128"/>
          <w:kern w:val="16"/>
          <w:sz w:val="31"/>
          <w14:ligatures w14:val="standardContextual"/>
        </w:rPr>
        <w:t>Conclusão</w:t>
      </w:r>
    </w:p>
    <w:p w14:paraId="0EE7D32E"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6E9D5690" w14:textId="77777777" w:rsidR="005A5FCC" w:rsidRDefault="00A21C81">
      <w:r>
        <w:rPr>
          <w:rFonts w:cs="EB Garamond"/>
          <w:kern w:val="16"/>
          <w14:ligatures w14:val="standardContextual"/>
        </w:rPr>
        <w:t xml:space="preserve"> auxílio por incapacidade temporária responde à contingência mais comum do trabalhador brasileiro e concentra a maior parcela do contencioso previdenciário nos JEFs. A legislação dos últimos anos alterou o cálculo (EC 103/2019), a duração (alta programada/COPES, constitucionalizada pelo STF no Tema 1.196) e o procedimento de concessão (Atestmed), exigindo do operador do direito atualização permanente.</w:t>
      </w:r>
    </w:p>
    <w:p w14:paraId="250EBDC3" w14:textId="77777777" w:rsidR="005A5FCC" w:rsidRDefault="00A21C81">
      <w:pPr>
        <w:ind w:firstLine="238"/>
      </w:pPr>
      <w:r>
        <w:rPr>
          <w:rFonts w:cs="EB Garamond"/>
          <w:kern w:val="16"/>
          <w14:ligatures w14:val="standardContextual"/>
        </w:rPr>
        <w:t xml:space="preserve">Observamos, na prática forense, que a distinção entre as espécies previdenciária (B31) e acidentária (B91) é negligenciada com mais frequência do que deveria. </w:t>
      </w:r>
      <w:r>
        <w:rPr>
          <w:rFonts w:cs="EB Garamond"/>
          <w:kern w:val="16"/>
          <w14:ligatures w14:val="standardContextual"/>
        </w:rPr>
        <w:lastRenderedPageBreak/>
        <w:t>As consequências em matéria de carência, estabilidade, FGTS e competência jurisdicional são relevantes demais para ficarem em segundo plano. O nexo técnico epidemiológico previdenciário (NTEP) representou avanço na identificação da natureza ocupacional das doenças, embora sua aplicação ainda enfrente resistências e impugnações.</w:t>
      </w:r>
    </w:p>
    <w:p w14:paraId="4192A799" w14:textId="77777777" w:rsidR="005A5FCC" w:rsidRDefault="00A21C81">
      <w:pPr>
        <w:ind w:firstLine="238"/>
      </w:pPr>
      <w:r>
        <w:rPr>
          <w:rFonts w:cs="EB Garamond"/>
          <w:kern w:val="16"/>
          <w14:ligatures w14:val="standardContextual"/>
        </w:rPr>
        <w:t>O programa de reabilitação profissional (arts. 89 a 93, Lei n. 8.213/91) é, ao mesmo tempo, elo essencial e calcanhar de Aquiles do sistema. O modelo legal prevê programa individualizado, multidisciplinar e articulado com o mercado de trabalho. A prática do INSS, porém, frequentemente se limita a cursos genéricos e certificação pro forma. O resultado, como temos visto reiteradamente no julgamento desses feitos, é um segurado reabilitado no papel e inempregável na vida. A superação dessa distância exige investimento em recursos humanos, parcerias interinstitucionais e adaptação dos programas à realidade socioeconômica regional — desafio que transcende o âmbito judicial, mas que impacta diretamente a atuação dos JEFs.</w:t>
      </w:r>
    </w:p>
    <w:p w14:paraId="3234768B" w14:textId="77777777" w:rsidR="005A5FCC" w:rsidRDefault="00A21C81">
      <w:pPr>
        <w:ind w:firstLine="238"/>
      </w:pPr>
      <w:r>
        <w:rPr>
          <w:rFonts w:cs="EB Garamond"/>
          <w:kern w:val="16"/>
          <w14:ligatures w14:val="standardContextual"/>
        </w:rPr>
        <w:t>Os Temas 862, 995, 1.013 e 1.246 do STJ, o Tema 1.196 do STF e as Súmulas 47, 53, 72 e 78 da TNU formam arcabouço jurisprudencial sólido, que vai da fixação da DIB e da cumulação de rendas do trabalho com benefício retroativo até a inadmissibilidade de recurso especial para rediscussão da incapacidade.</w:t>
      </w:r>
    </w:p>
    <w:p w14:paraId="21B483CC" w14:textId="77777777" w:rsidR="005A5FCC" w:rsidRDefault="00A21C81">
      <w:pPr>
        <w:ind w:firstLine="238"/>
      </w:pPr>
      <w:r>
        <w:rPr>
          <w:rFonts w:cs="EB Garamond"/>
          <w:kern w:val="16"/>
          <w14:ligatures w14:val="standardContextual"/>
        </w:rPr>
        <w:t>A incapacidade transcende a dimensão clínico-funcional. A Súmula 78/TNU e a adoção crescente da CIF como paradigma avaliativo reconhecem que fatores sociais, econômicos e culturais condicionam a real possibilidade de inserção no mercado de trabalho. A perícia que ignora essas dimensões produz resultado incompleto.</w:t>
      </w:r>
    </w:p>
    <w:p w14:paraId="2530DFA9" w14:textId="77777777" w:rsidR="005A5FCC" w:rsidRDefault="00A21C81">
      <w:pPr>
        <w:ind w:firstLine="238"/>
      </w:pPr>
      <w:r>
        <w:rPr>
          <w:rFonts w:cs="EB Garamond"/>
          <w:kern w:val="16"/>
          <w14:ligatures w14:val="standardContextual"/>
        </w:rPr>
        <w:t>A constitucionalidade do COPES, declarada pelo STF, não elimina a responsabilidade do magistrado de verificar, caso a caso, se a DCB administrativa é compatível com o estado de saúde do segurado. A pergunta que orienta o julgador permanece a mesma: o segurado recuperou a capacidade para sua atividade habitual? Se a resposta é negativa, o benefício deve ser mantido, independentemente de data programada de cessação (art. 201, I, CF/88).</w:t>
      </w:r>
    </w:p>
    <w:p w14:paraId="5F0112DC" w14:textId="77777777" w:rsidR="005A5FCC" w:rsidRDefault="00A21C81">
      <w:pPr>
        <w:ind w:firstLine="238"/>
      </w:pPr>
      <w:r>
        <w:rPr>
          <w:rFonts w:cs="EB Garamond"/>
          <w:kern w:val="16"/>
          <w14:ligatures w14:val="standardContextual"/>
        </w:rPr>
        <w:t>---</w:t>
      </w:r>
    </w:p>
    <w:p w14:paraId="6DE378A9" w14:textId="77777777" w:rsidR="005A5FCC" w:rsidRDefault="005A5FCC">
      <w:pPr>
        <w:sectPr w:rsidR="005A5FCC">
          <w:headerReference w:type="even" r:id="rId102"/>
          <w:headerReference w:type="default" r:id="rId103"/>
          <w:footerReference w:type="even" r:id="rId104"/>
          <w:footerReference w:type="default" r:id="rId105"/>
          <w:headerReference w:type="first" r:id="rId106"/>
          <w:footerReference w:type="first" r:id="rId107"/>
          <w:pgSz w:w="8391" w:h="11906"/>
          <w:pgMar w:top="935" w:right="879" w:bottom="964" w:left="1162" w:header="454" w:footer="425" w:gutter="0"/>
          <w:cols w:space="720"/>
          <w:titlePg/>
          <w:docGrid w:linePitch="360"/>
        </w:sectPr>
      </w:pPr>
    </w:p>
    <w:p w14:paraId="4A98E78D" w14:textId="77777777" w:rsidR="005A5FCC" w:rsidRDefault="005A5FCC">
      <w:pPr>
        <w:spacing w:after="0" w:line="240" w:lineRule="auto"/>
      </w:pPr>
    </w:p>
    <w:p w14:paraId="66F7E54F" w14:textId="77777777" w:rsidR="005A5FCC" w:rsidRDefault="005A5FCC">
      <w:pPr>
        <w:spacing w:after="0" w:line="240" w:lineRule="auto"/>
      </w:pPr>
    </w:p>
    <w:p w14:paraId="4F2506C7" w14:textId="77777777" w:rsidR="005A5FCC" w:rsidRDefault="005A5FCC">
      <w:pPr>
        <w:spacing w:after="0" w:line="240" w:lineRule="auto"/>
      </w:pPr>
    </w:p>
    <w:p w14:paraId="5A81DC87" w14:textId="77777777" w:rsidR="005A5FCC" w:rsidRDefault="005A5FCC">
      <w:pPr>
        <w:spacing w:after="0" w:line="240" w:lineRule="auto"/>
      </w:pPr>
    </w:p>
    <w:p w14:paraId="42F617E3" w14:textId="77777777" w:rsidR="005A5FCC" w:rsidRDefault="005A5FCC">
      <w:pPr>
        <w:spacing w:after="0" w:line="240" w:lineRule="auto"/>
      </w:pPr>
    </w:p>
    <w:p w14:paraId="75FF2811" w14:textId="77777777" w:rsidR="005A5FCC" w:rsidRDefault="005A5FCC">
      <w:pPr>
        <w:spacing w:after="0" w:line="240" w:lineRule="auto"/>
      </w:pPr>
    </w:p>
    <w:p w14:paraId="58B114C0" w14:textId="77777777" w:rsidR="005A5FCC" w:rsidRDefault="00A21C81">
      <w:pPr>
        <w:spacing w:after="120" w:line="240" w:lineRule="auto"/>
        <w:jc w:val="center"/>
      </w:pPr>
      <w:r>
        <w:rPr>
          <w:rFonts w:ascii="Noto Sans" w:hAnsi="Noto Sans" w:cs="Noto Sans"/>
          <w:b/>
          <w:caps/>
          <w:color w:val="8A6A2A"/>
          <w:kern w:val="16"/>
          <w:sz w:val="20"/>
          <w14:ligatures w14:val="standardContextual"/>
        </w:rPr>
        <w:t>PARTE III</w:t>
      </w:r>
    </w:p>
    <w:p w14:paraId="1C75FE44" w14:textId="77777777" w:rsidR="005A5FCC" w:rsidRDefault="00A21C81">
      <w:pPr>
        <w:pStyle w:val="Ttulo1"/>
        <w:spacing w:line="252" w:lineRule="auto"/>
      </w:pPr>
      <w:r>
        <w:rPr>
          <w:rFonts w:ascii="EB Garamond" w:hAnsi="EB Garamond" w:cs="EB Garamond"/>
          <w:caps/>
          <w:kern w:val="16"/>
          <w14:ligatures w14:val="standardContextual"/>
        </w:rPr>
        <w:t>Aposentadorias Programadas</w:t>
      </w:r>
    </w:p>
    <w:p w14:paraId="75A83B7C" w14:textId="77777777" w:rsidR="005A5FCC" w:rsidRDefault="00A21C81">
      <w:pPr>
        <w:spacing w:before="160" w:after="0" w:line="240" w:lineRule="auto"/>
        <w:jc w:val="center"/>
      </w:pPr>
      <w:r>
        <w:rPr>
          <w:rFonts w:cs="EB Garamond"/>
          <w:color w:val="B78B37"/>
          <w:kern w:val="16"/>
          <w:sz w:val="18"/>
          <w14:ligatures w14:val="standardContextual"/>
        </w:rPr>
        <w:t>━━━━━  ◆  ◆  ◆  ━━━━━</w:t>
      </w:r>
    </w:p>
    <w:p w14:paraId="77381F44" w14:textId="77777777" w:rsidR="005A5FCC" w:rsidRDefault="005A5FCC">
      <w:pPr>
        <w:sectPr w:rsidR="005A5FCC">
          <w:headerReference w:type="even" r:id="rId108"/>
          <w:headerReference w:type="default" r:id="rId109"/>
          <w:footerReference w:type="even" r:id="rId110"/>
          <w:footerReference w:type="default" r:id="rId111"/>
          <w:headerReference w:type="first" r:id="rId112"/>
          <w:footerReference w:type="first" r:id="rId113"/>
          <w:type w:val="oddPage"/>
          <w:pgSz w:w="8391" w:h="11906"/>
          <w:pgMar w:top="935" w:right="879" w:bottom="964" w:left="1162" w:header="454" w:footer="425" w:gutter="0"/>
          <w:cols w:space="720"/>
          <w:titlePg/>
          <w:docGrid w:linePitch="360"/>
        </w:sectPr>
      </w:pPr>
    </w:p>
    <w:p w14:paraId="3F146E5C" w14:textId="77777777" w:rsidR="005A5FCC" w:rsidRDefault="00A21C81">
      <w:pPr>
        <w:keepNext/>
        <w:spacing w:before="240" w:after="80" w:line="240" w:lineRule="auto"/>
        <w:jc w:val="center"/>
      </w:pPr>
      <w:r>
        <w:rPr>
          <w:rFonts w:ascii="Noto Sans" w:hAnsi="Noto Sans" w:cs="Noto Sans"/>
          <w:b/>
          <w:caps/>
          <w:color w:val="8A6A2A"/>
          <w:kern w:val="16"/>
          <w:sz w:val="19"/>
          <w14:ligatures w14:val="standardContextual"/>
        </w:rPr>
        <w:lastRenderedPageBreak/>
        <w:t>CAPÍTULO 8</w:t>
      </w:r>
    </w:p>
    <w:p w14:paraId="0DDAA69A" w14:textId="77777777" w:rsidR="005A5FCC" w:rsidRDefault="00A21C81">
      <w:pPr>
        <w:pStyle w:val="Ttulo2"/>
        <w:spacing w:line="240" w:lineRule="auto"/>
      </w:pPr>
      <w:r>
        <w:rPr>
          <w:rFonts w:ascii="EB Garamond" w:hAnsi="EB Garamond" w:cs="EB Garamond"/>
          <w:caps/>
          <w:kern w:val="16"/>
          <w14:ligatures w14:val="standardContextual"/>
        </w:rPr>
        <w:t>Aposentadoria Especial</w:t>
      </w:r>
    </w:p>
    <w:p w14:paraId="183619FF" w14:textId="77777777" w:rsidR="005A5FCC" w:rsidRDefault="00A21C81">
      <w:pPr>
        <w:spacing w:after="240" w:line="240" w:lineRule="auto"/>
        <w:jc w:val="center"/>
      </w:pPr>
      <w:r>
        <w:rPr>
          <w:rFonts w:cs="EB Garamond"/>
          <w:color w:val="B78B37"/>
          <w:kern w:val="16"/>
          <w:sz w:val="18"/>
          <w14:ligatures w14:val="standardContextual"/>
        </w:rPr>
        <w:t>━━━━  ◆  ━━━━</w:t>
      </w:r>
    </w:p>
    <w:p w14:paraId="6E8FFA04"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8.1 Conceito e natureza jurídica</w:t>
      </w:r>
    </w:p>
    <w:p w14:paraId="24775601"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112B233B" w14:textId="77777777" w:rsidR="005A5FCC" w:rsidRDefault="00A21C81">
      <w:r>
        <w:rPr>
          <w:rFonts w:cs="EB Garamond"/>
          <w:kern w:val="16"/>
          <w14:ligatures w14:val="standardContextual"/>
        </w:rPr>
        <w:t xml:space="preserve"> eletricista que trabalhou 24 anos exposto a alta tensão requer aposentadoria especial. O INSS indefere porque o PPP indica EPI eficaz. O segurado ajuíza ação no JEF, e o juiz precisa decidir se a indicação de EPI no PPP afasta a nocividade, se a eletricidade ainda é agente nocivo após o Decreto 2.172/1997, e se o tempo é suficiente para a concessão. Questões como essa compõem o cotidiano dos Juizados em matéria de aposentadoria especial.</w:t>
      </w:r>
    </w:p>
    <w:p w14:paraId="3EF3511F" w14:textId="77777777" w:rsidR="005A5FCC" w:rsidRDefault="00A21C81">
      <w:pPr>
        <w:ind w:firstLine="238"/>
      </w:pPr>
      <w:r>
        <w:rPr>
          <w:rFonts w:cs="EB Garamond"/>
          <w:kern w:val="16"/>
          <w14:ligatures w14:val="standardContextual"/>
        </w:rPr>
        <w:t>Disciplinada nos arts. 57 e 58 da Lei n. 8.213/91, a aposentadoria especial é devida ao segurado que exerce atividade em condições prejudiciais à saúde ou à integridade física durante 15, 20 ou 25 anos, conforme o grau de nocividade do agente. A lógica do benefício é compensatória: determinadas atividades impõem desgaste orgânico superior ao ordinário, e a antecipação da inatividade permite ao segurado cessar a exposição antes que os danos se tornem irreversíveis.</w:t>
      </w:r>
    </w:p>
    <w:p w14:paraId="177BDF11" w14:textId="77777777" w:rsidR="005A5FCC" w:rsidRDefault="00A21C81">
      <w:pPr>
        <w:ind w:firstLine="238"/>
      </w:pPr>
      <w:r>
        <w:rPr>
          <w:rFonts w:cs="EB Garamond"/>
          <w:kern w:val="16"/>
          <w14:ligatures w14:val="standardContextual"/>
        </w:rPr>
        <w:t>A natureza jurídica da aposentadoria especial é controvertida na doutrina. Como ensinam Castro e Lazzari (2025), a posição predominante identifica-a como benefício de natureza híbrida: possui caráter programado (pois depende do implemento de requisitos temporais definidos em lei, diferentemente dos benefícios por incapacidade), mas também apresenta dimensão preventiva (pois visa evitar a consolidação de danos à saúde do trabalhador). Essa dupla natureza explica, por exemplo, a vedação ao exercício de atividade em condições especiais após a concessão do benefício — tema que será examinado na seção 8.11.</w:t>
      </w:r>
    </w:p>
    <w:p w14:paraId="062949A0" w14:textId="77777777" w:rsidR="005A5FCC" w:rsidRDefault="00A21C81">
      <w:pPr>
        <w:ind w:firstLine="238"/>
      </w:pPr>
      <w:r>
        <w:rPr>
          <w:rFonts w:cs="EB Garamond"/>
          <w:kern w:val="16"/>
          <w14:ligatures w14:val="standardContextual"/>
        </w:rPr>
        <w:t xml:space="preserve">A EC 103/2019 alterou substancialmente o regime jurídico da aposentadoria especial, introduzindo requisito etário mínimo até então inexistente e modificando o cálculo do benefício. A constitucionalidade dessas alterações foi objeto </w:t>
      </w:r>
      <w:r>
        <w:rPr>
          <w:rFonts w:cs="EB Garamond"/>
          <w:kern w:val="16"/>
          <w14:ligatures w14:val="standardContextual"/>
        </w:rPr>
        <w:lastRenderedPageBreak/>
        <w:t>da ADI 6.309, julgada parcialmente procedente pelo STF em 03/06/2026: o Tribunal declarou inconstitucional a exigência de idade mínima — de modo que, atualmente, a aposentadoria especial não exige idade mínima —, mas manteve a constitucionalidade da nova forma de cálculo e da vedação à conversão de tempo especial em comum. Essas modificações serão detalhadamente examinadas nas seções seguintes.</w:t>
      </w:r>
    </w:p>
    <w:p w14:paraId="78FA264F"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8.2 Evolução legislativa</w:t>
      </w:r>
    </w:p>
    <w:p w14:paraId="2F9CA4D4"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276C23DF" w14:textId="77777777" w:rsidR="005A5FCC" w:rsidRDefault="00A21C81">
      <w:r>
        <w:rPr>
          <w:rFonts w:cs="EB Garamond"/>
          <w:kern w:val="16"/>
          <w14:ligatures w14:val="standardContextual"/>
        </w:rPr>
        <w:t xml:space="preserve"> proteção previdenciária diferenciada para trabalhadores expostos a condições nocivas tem raízes na legislação anterior à unificação do sistema. Os Institutos de Aposentadorias e Pensões (IAPs) já previam regras especiais para determinadas categorias profissionais, embora sem a sistematização que viria a ser adotada pela legislação posterior.</w:t>
      </w:r>
    </w:p>
    <w:p w14:paraId="7AA8E718" w14:textId="77777777" w:rsidR="005A5FCC" w:rsidRDefault="00A21C81">
      <w:pPr>
        <w:ind w:firstLine="238"/>
      </w:pPr>
      <w:r>
        <w:rPr>
          <w:rFonts w:cs="EB Garamond"/>
          <w:kern w:val="16"/>
          <w14:ligatures w14:val="standardContextual"/>
        </w:rPr>
        <w:t>O marco normativo fundamental foi a Lei n. 3.807/1960 (Lei Orgânica da Previdência Social — LOPS), que instituiu formalmente a aposentadoria especial em seu art. 31. O benefício era concedido ao segurado que trabalhasse durante 15, 20 ou 25 anos em serviços considerados penosos, insalubres ou perigosos, nos termos do regulamento.</w:t>
      </w:r>
    </w:p>
    <w:p w14:paraId="3CB66FB1" w14:textId="77777777" w:rsidR="005A5FCC" w:rsidRDefault="00A21C81">
      <w:pPr>
        <w:ind w:firstLine="238"/>
      </w:pPr>
      <w:r>
        <w:rPr>
          <w:rFonts w:cs="EB Garamond"/>
          <w:kern w:val="16"/>
          <w14:ligatures w14:val="standardContextual"/>
        </w:rPr>
        <w:t>A regulamentação veio com o Decreto n. 53.831/1964 e, posteriormente, com o Decreto n. 83.080/1979, que estabeleceram os quadros anexos contendo as relações de atividades profissionais e agentes nocivos ensejadores do direito à aposentadoria especial. Nessa fase, o enquadramento era feito por dois critérios: (a) por categoria profissional — bastava o exercício de determinada profissão ou ocupação, independentemente de prova de exposição efetiva; e (b) por agente nocivo, exigia-se a comprovação da exposição a determinado agente prejudicial à saúde.</w:t>
      </w:r>
    </w:p>
    <w:p w14:paraId="3DE7A966" w14:textId="77777777" w:rsidR="005A5FCC" w:rsidRDefault="00A21C81">
      <w:pPr>
        <w:ind w:firstLine="238"/>
      </w:pPr>
      <w:r>
        <w:rPr>
          <w:rFonts w:cs="EB Garamond"/>
          <w:kern w:val="16"/>
          <w14:ligatures w14:val="standardContextual"/>
        </w:rPr>
        <w:t>A Lei n. 9.032/1995 aboliu o enquadramento por categoria profissional para períodos a partir de 29/04/1995, exigindo, desde então, a comprovação efetiva da exposição a agentes nocivos (seção 8.5.2). Ibrahim, Bragança e Folmann (2025) qualificam a alteração como verdadeira mudança de paradigma no modelo de proteção previdenciária.</w:t>
      </w:r>
    </w:p>
    <w:p w14:paraId="7B5A8E8F" w14:textId="77777777" w:rsidR="005A5FCC" w:rsidRDefault="00A21C81">
      <w:pPr>
        <w:ind w:firstLine="238"/>
      </w:pPr>
      <w:r>
        <w:rPr>
          <w:rFonts w:cs="EB Garamond"/>
          <w:kern w:val="16"/>
          <w14:ligatures w14:val="standardContextual"/>
        </w:rPr>
        <w:lastRenderedPageBreak/>
        <w:t>A Medida Provisória n. 1.523/1996, após sucessivas reedições, resultou na Lei n. 9.528/1997, que estabeleceu a exigência de formulário com base em laudo técnico de condições ambientais do trabalho, expedido por médico do trabalho ou engenheiro de segurança do trabalho, como instrumento de comprovação da efetiva exposição a agentes nocivos. A denominação "Perfil Profissiográfico Previdenciário" (PPP) veio com regulamentação posterior, mas a base normativa para a exigência de documentação técnica remonta a essa lei.</w:t>
      </w:r>
    </w:p>
    <w:p w14:paraId="5C1C025A" w14:textId="77777777" w:rsidR="005A5FCC" w:rsidRDefault="00A21C81">
      <w:pPr>
        <w:ind w:firstLine="238"/>
      </w:pPr>
      <w:r>
        <w:rPr>
          <w:rFonts w:cs="EB Garamond"/>
          <w:kern w:val="16"/>
          <w14:ligatures w14:val="standardContextual"/>
        </w:rPr>
        <w:t>O Decreto n. 2.172/1997 substituiu os quadros anexos dos Decretos n. 53.831/1964 e 83.080/1979, atualizando a relação de agentes nocivos. O Decreto n. 3.048/1999 (Regulamento da Previdência Social) consolidou a disciplina da aposentadoria especial nos arts. 64 a 70, com o Anexo IV contendo a relação de agentes nocivos atualmente vigente.</w:t>
      </w:r>
    </w:p>
    <w:p w14:paraId="39932105" w14:textId="77777777" w:rsidR="005A5FCC" w:rsidRDefault="00A21C81">
      <w:pPr>
        <w:ind w:firstLine="238"/>
      </w:pPr>
      <w:r>
        <w:rPr>
          <w:rFonts w:cs="EB Garamond"/>
          <w:kern w:val="16"/>
          <w14:ligatures w14:val="standardContextual"/>
        </w:rPr>
        <w:t>O Decreto n. 4.882/2003 promoveu importante alteração no Anexo IV do Decreto n. 3.048/1999, modificando, entre outros, o limite de tolerância ao ruído de 90 dB(A) para 85 dB(A), harmonizando a norma previdenciária com os parâmetros internacionais de proteção auditiva.</w:t>
      </w:r>
    </w:p>
    <w:p w14:paraId="5C668CFD" w14:textId="77777777" w:rsidR="005A5FCC" w:rsidRDefault="00A21C81">
      <w:pPr>
        <w:ind w:firstLine="238"/>
      </w:pPr>
      <w:r>
        <w:rPr>
          <w:rFonts w:cs="EB Garamond"/>
          <w:kern w:val="16"/>
          <w14:ligatures w14:val="standardContextual"/>
        </w:rPr>
        <w:t>A EC 103/2019 representou a mais profunda transformação no regime jurídico da aposentadoria especial desde sua criação. As alterações abrangeram: (a) a introdução de requisito de idade mínima (55, 58 ou 60 anos conforme o grau de nocividade); (b) a criação de sistema de pontos na regra de transição (art. 21); (c) a modificação do cálculo do benefício, com aplicação do coeficiente de 60% + 2% por ano excedente; e (d) a limitação temporal da conversão de tempo especial em comum, reconhecida pelo art. 25, § 2º, apenas para períodos até a data de entrada em vigor da Emenda — o que, na prática, opera como vedação à conversão para períodos posteriores. A constitucionalidade dessas modificações foi questionada na ADI 6.309, julgada parcialmente procedente pelo STF em 03/06/2026 (idade mínima declarada inconstitucional; cálculo e vedação à conversão mantidos).</w:t>
      </w:r>
    </w:p>
    <w:p w14:paraId="653BAD62"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8.3 Requisitos: regime anterior à EC 103/2019</w:t>
      </w:r>
    </w:p>
    <w:p w14:paraId="3D7782E3"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P</w:t>
      </w:r>
    </w:p>
    <w:p w14:paraId="2CE502BA" w14:textId="77777777" w:rsidR="005A5FCC" w:rsidRDefault="00A21C81">
      <w:r>
        <w:rPr>
          <w:rFonts w:cs="EB Garamond"/>
          <w:kern w:val="16"/>
          <w14:ligatures w14:val="standardContextual"/>
        </w:rPr>
        <w:t>ara o segurado que completou os requisitos antes de 13 de novembro de 2019 (data da promulgação da EC 103/2019), aplica-se o regime anterior, por força do direito adquirido (art. 3º da EC 103/2019).</w:t>
      </w:r>
    </w:p>
    <w:p w14:paraId="68A65F40" w14:textId="77777777" w:rsidR="005A5FCC" w:rsidRDefault="00A21C81">
      <w:pPr>
        <w:spacing w:before="260" w:after="80" w:line="240" w:lineRule="auto"/>
        <w:jc w:val="left"/>
      </w:pPr>
      <w:r>
        <w:rPr>
          <w:rFonts w:cs="EB Garamond"/>
          <w:b/>
          <w:color w:val="3A3128"/>
          <w:kern w:val="16"/>
          <w:sz w:val="25"/>
          <w14:ligatures w14:val="standardContextual"/>
        </w:rPr>
        <w:t>8.3.1 Qualidade de segurado e carência</w:t>
      </w:r>
    </w:p>
    <w:p w14:paraId="51A1179B"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2C136ABA" w14:textId="77777777" w:rsidR="005A5FCC" w:rsidRDefault="00A21C81">
      <w:r>
        <w:rPr>
          <w:rFonts w:cs="EB Garamond"/>
          <w:kern w:val="16"/>
          <w14:ligatures w14:val="standardContextual"/>
        </w:rPr>
        <w:t xml:space="preserve"> aposentadoria especial exige carência de 180 contribuições mensais (art. 25, II, da Lei n. 8.213/91), observadas as regras gerais examinadas no Cap. 3. A particularidade é que a carência é aferida com base no número total de recolhimentos ao RGPS, independentemente de se tratar de período de atividade especial ou comum. Contribuições vertidas em período de atividade comum integram a contagem de carência, embora não sejam computadas como tempo de atividade especial — o tempo mínimo de exposição (15, 20 ou 25 anos) é requisito distinto.</w:t>
      </w:r>
    </w:p>
    <w:p w14:paraId="7FF23E1A" w14:textId="77777777" w:rsidR="005A5FCC" w:rsidRDefault="00A21C81">
      <w:pPr>
        <w:ind w:firstLine="238"/>
      </w:pPr>
      <w:r>
        <w:rPr>
          <w:rFonts w:cs="EB Garamond"/>
          <w:kern w:val="16"/>
          <w14:ligatures w14:val="standardContextual"/>
        </w:rPr>
        <w:t>Quanto à qualidade de segurado, aplica-se a regra geral: a perda não prejudica o direito adquirido quando já preenchidos todos os requisitos (art. 102, § 1º, da Lei n. 8.213/91; v. Cap. 3, seção 3.8.1).</w:t>
      </w:r>
    </w:p>
    <w:p w14:paraId="0B45782A" w14:textId="77777777" w:rsidR="005A5FCC" w:rsidRDefault="00A21C81">
      <w:pPr>
        <w:spacing w:before="260" w:after="80" w:line="240" w:lineRule="auto"/>
        <w:jc w:val="left"/>
      </w:pPr>
      <w:r>
        <w:rPr>
          <w:rFonts w:cs="EB Garamond"/>
          <w:b/>
          <w:color w:val="3A3128"/>
          <w:kern w:val="16"/>
          <w:sz w:val="25"/>
          <w14:ligatures w14:val="standardContextual"/>
        </w:rPr>
        <w:t>8.3.2 Exposição a agentes nocivos</w:t>
      </w:r>
    </w:p>
    <w:p w14:paraId="031F9B88"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6E9E73B0" w14:textId="77777777" w:rsidR="005A5FCC" w:rsidRDefault="00A21C81">
      <w:r>
        <w:rPr>
          <w:rFonts w:cs="EB Garamond"/>
          <w:kern w:val="16"/>
          <w14:ligatures w14:val="standardContextual"/>
        </w:rPr>
        <w:t xml:space="preserve"> requisito essencial da aposentadoria especial é a comprovação de exposição a agentes nocivos prejudiciais à saúde ou à integridade física, de forma habitual e permanente, não ocasional nem intermitente (art. 57, § 3º, da Lei n. 8.213/91). A exposição deve ocorrer durante a jornada de trabalho, podendo ser a agentes físicos, químicos ou biológicos, conforme a classificação do Anexo IV do Decreto n. 3.048/1999.</w:t>
      </w:r>
    </w:p>
    <w:p w14:paraId="4FC92B7D" w14:textId="77777777" w:rsidR="005A5FCC" w:rsidRDefault="00A21C81">
      <w:pPr>
        <w:ind w:firstLine="238"/>
      </w:pPr>
      <w:r>
        <w:rPr>
          <w:rFonts w:cs="EB Garamond"/>
          <w:kern w:val="16"/>
          <w14:ligatures w14:val="standardContextual"/>
        </w:rPr>
        <w:t xml:space="preserve">A habitualidade e permanência não exigem exposição contínua durante toda a jornada. A jurisprudência consolidou o entendimento de que a exposição intermitente, inerente à atividade habitual do segurado, não descaracteriza o tempo especial. Os limites de tolerância ao ruído para fins de enquadramento especial são: superior a 80 dB(A) até 05/03/1997; superior a 90 dB(A) de 06/03/1997 a 18/11/2003; e superior a 85 dB(A) a partir de 19/11/2003 — entendimento que </w:t>
      </w:r>
      <w:r>
        <w:rPr>
          <w:rFonts w:cs="EB Garamond"/>
          <w:kern w:val="16"/>
          <w14:ligatures w14:val="standardContextual"/>
        </w:rPr>
        <w:lastRenderedPageBreak/>
        <w:t>prevaleceu após a edição e posterior cancelamento da Súmula 32 da TNU (em abril de 2014), mantendo-se como posição pacífica nos TRFs e no STJ. A Súmula 68 da TNU, por sua vez, permanece vigente e dispõe que "o laudo pericial não contemporâneo ao período trabalhado é apto à comprovação da atividade especial do segurado".</w:t>
      </w:r>
    </w:p>
    <w:tbl>
      <w:tblPr>
        <w:tblW w:w="5000" w:type="pct"/>
        <w:jc w:val="center"/>
        <w:tblLayout w:type="fixed"/>
        <w:tblLook w:val="04A0" w:firstRow="1" w:lastRow="0" w:firstColumn="1" w:lastColumn="0" w:noHBand="0" w:noVBand="1"/>
      </w:tblPr>
      <w:tblGrid>
        <w:gridCol w:w="6311"/>
      </w:tblGrid>
      <w:tr w:rsidR="005A5FCC" w14:paraId="7C1647A5"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73963140"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63EC5218" w14:textId="77777777" w:rsidR="005A5FCC" w:rsidRDefault="00A21C81">
            <w:pPr>
              <w:spacing w:after="60" w:line="247" w:lineRule="auto"/>
            </w:pPr>
            <w:r>
              <w:rPr>
                <w:rFonts w:cs="EB Garamond"/>
                <w:kern w:val="16"/>
                <w:sz w:val="19"/>
                <w14:ligatures w14:val="standardContextual"/>
              </w:rPr>
              <w:t>A habitualidade da exposição deve ser avaliada em relação à atividade efetivamente exercida pelo segurado, e não à jornada integral. Um eletricista que se expõe a tensão elétrica superior a 250 volts durante parte da jornada, em atividades de manutenção e reparo, exerce atividade especial ainda que, durante outra parte da jornada, realize atividades administrativas. O critério é a habitualidade da exposição como inerente à função, não a permanência ininterrupta durante toda a jornada.</w:t>
            </w:r>
          </w:p>
        </w:tc>
      </w:tr>
    </w:tbl>
    <w:p w14:paraId="7DC7787A" w14:textId="77777777" w:rsidR="005A5FCC" w:rsidRDefault="005A5FCC">
      <w:pPr>
        <w:spacing w:after="80" w:line="240" w:lineRule="auto"/>
      </w:pPr>
    </w:p>
    <w:p w14:paraId="6865E41E" w14:textId="77777777" w:rsidR="005A5FCC" w:rsidRDefault="00A21C81">
      <w:pPr>
        <w:spacing w:before="260" w:after="80" w:line="240" w:lineRule="auto"/>
        <w:jc w:val="left"/>
      </w:pPr>
      <w:r>
        <w:rPr>
          <w:rFonts w:cs="EB Garamond"/>
          <w:b/>
          <w:color w:val="3A3128"/>
          <w:kern w:val="16"/>
          <w:sz w:val="25"/>
          <w14:ligatures w14:val="standardContextual"/>
        </w:rPr>
        <w:t>8.3.3 Tempo mínimo de exposição: 15, 20 ou 25 anos</w:t>
      </w:r>
    </w:p>
    <w:p w14:paraId="27ED4038"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53C57EB5" w14:textId="77777777" w:rsidR="005A5FCC" w:rsidRDefault="00A21C81">
      <w:r>
        <w:rPr>
          <w:rFonts w:cs="EB Garamond"/>
          <w:kern w:val="16"/>
          <w14:ligatures w14:val="standardContextual"/>
        </w:rPr>
        <w:t xml:space="preserve"> tempo mínimo de exposição varia conforme o grau de nocividade do agente, definido no Anexo IV do Decreto n. 3.048/1999:</w:t>
      </w:r>
    </w:p>
    <w:p w14:paraId="5A9AC1D7" w14:textId="77777777" w:rsidR="005A5FCC" w:rsidRDefault="00A21C81">
      <w:pPr>
        <w:ind w:firstLine="238"/>
      </w:pPr>
      <w:r>
        <w:rPr>
          <w:rFonts w:cs="EB Garamond"/>
          <w:kern w:val="16"/>
          <w14:ligatures w14:val="standardContextual"/>
        </w:rPr>
        <w:t>(a) 15 anos: atividades em mineração subterrânea, em frentes de produção, com exposição à associação de agentes nocivos; (b) 20 anos: atividades em mineração subterrânea, afastadas das frentes de produção, e atividades com exposição ao asbesto (amianto); (c) 25 anos: demais atividades com exposição a agentes nocivos físicos, químicos ou biológicos.</w:t>
      </w:r>
    </w:p>
    <w:p w14:paraId="7E0B3802" w14:textId="77777777" w:rsidR="005A5FCC" w:rsidRDefault="00A21C81">
      <w:pPr>
        <w:ind w:firstLine="238"/>
      </w:pPr>
      <w:r>
        <w:rPr>
          <w:rFonts w:cs="EB Garamond"/>
          <w:kern w:val="16"/>
          <w14:ligatures w14:val="standardContextual"/>
        </w:rPr>
        <w:t>A regra geral é o tempo de 25 anos, sendo os períodos de 15 e 20 anos reservados a atividades de excepcional nocividade, taxativamente previstas na legislação.</w:t>
      </w:r>
    </w:p>
    <w:p w14:paraId="0F709BF1" w14:textId="77777777" w:rsidR="005A5FCC" w:rsidRDefault="00A21C81">
      <w:pPr>
        <w:spacing w:before="260" w:after="80" w:line="240" w:lineRule="auto"/>
        <w:jc w:val="left"/>
      </w:pPr>
      <w:r>
        <w:rPr>
          <w:rFonts w:cs="EB Garamond"/>
          <w:b/>
          <w:color w:val="3A3128"/>
          <w:kern w:val="16"/>
          <w:sz w:val="25"/>
          <w14:ligatures w14:val="standardContextual"/>
        </w:rPr>
        <w:t>8.3.4 Cálculo no regime anterior</w:t>
      </w:r>
    </w:p>
    <w:p w14:paraId="6E1B1FB9"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N</w:t>
      </w:r>
    </w:p>
    <w:p w14:paraId="219CFEBC" w14:textId="77777777" w:rsidR="005A5FCC" w:rsidRDefault="00A21C81">
      <w:r>
        <w:rPr>
          <w:rFonts w:cs="EB Garamond"/>
          <w:kern w:val="16"/>
          <w14:ligatures w14:val="standardContextual"/>
        </w:rPr>
        <w:t>o regime anterior, a RMI correspondia a 100% do salário de benefício, sem aplicação do fator previdenciário (art. 57, § 1º, c/c art. 29, II, da Lei n. 8.213/91). O detalhamento do cálculo é examinado na seção 8.10.1.</w:t>
      </w:r>
    </w:p>
    <w:p w14:paraId="1EE535F6"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8.4 Requisitos Pós-EC 103/2019</w:t>
      </w:r>
    </w:p>
    <w:p w14:paraId="5A53D2A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5CC5BBB7" w14:textId="77777777" w:rsidR="005A5FCC" w:rsidRDefault="00A21C81">
      <w:r>
        <w:rPr>
          <w:rFonts w:cs="EB Garamond"/>
          <w:kern w:val="16"/>
          <w14:ligatures w14:val="standardContextual"/>
        </w:rPr>
        <w:t xml:space="preserve"> EC 103/2019 criou dois regimes distintos para a aposentadoria especial: a regra de transição (art. 21), aplicável aos segurados que já eram filiados antes de 13/11/2019 e ainda não haviam completado os requisitos, e a regra permanente (art. 19, § 1º), aplicável residualmente — tanto aos novos filiados quanto a quem, já filiado, optar por ela em vez da regra de transição.</w:t>
      </w:r>
    </w:p>
    <w:p w14:paraId="28BF5444" w14:textId="77777777" w:rsidR="005A5FCC" w:rsidRDefault="00A21C81">
      <w:pPr>
        <w:spacing w:before="260" w:after="80" w:line="240" w:lineRule="auto"/>
        <w:jc w:val="left"/>
      </w:pPr>
      <w:r>
        <w:rPr>
          <w:rFonts w:cs="EB Garamond"/>
          <w:b/>
          <w:color w:val="3A3128"/>
          <w:kern w:val="16"/>
          <w:sz w:val="25"/>
          <w14:ligatures w14:val="standardContextual"/>
        </w:rPr>
        <w:t>8.4.1 Regra permanente (art. 19, § 1º, I a III)</w:t>
      </w:r>
    </w:p>
    <w:p w14:paraId="4F10870C"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4819C91A" w14:textId="77777777" w:rsidR="005A5FCC" w:rsidRDefault="00A21C81">
      <w:r>
        <w:rPr>
          <w:rFonts w:cs="EB Garamond"/>
          <w:kern w:val="16"/>
          <w14:ligatures w14:val="standardContextual"/>
        </w:rPr>
        <w:t xml:space="preserve"> art. 19, § 1º, incisos I, II e III, da EC 103/2019 estabelece que a aposentadoria especial será concedida ao segurado que cumprir cumulativamente: (a) tempo mínimo de efetiva exposição a agentes nocivos (15, 20 ou 25 anos); e (b) idade mínima correspondente:</w:t>
      </w:r>
    </w:p>
    <w:p w14:paraId="2044B9F2" w14:textId="77777777" w:rsidR="005A5FCC" w:rsidRDefault="00A21C81">
      <w:pPr>
        <w:ind w:firstLine="238"/>
      </w:pPr>
      <w:r>
        <w:rPr>
          <w:rFonts w:cs="EB Garamond"/>
          <w:kern w:val="16"/>
          <w14:ligatures w14:val="standardContextual"/>
        </w:rPr>
        <w:t>— 55 anos de idade para atividades com exposição de 15 anos; — 58 anos de idade para atividades com exposição de 20 anos; — 60 anos de idade para atividades com exposição de 25 anos.</w:t>
      </w:r>
    </w:p>
    <w:p w14:paraId="079E480B" w14:textId="77777777" w:rsidR="005A5FCC" w:rsidRDefault="00A21C81">
      <w:pPr>
        <w:ind w:firstLine="238"/>
      </w:pPr>
      <w:r>
        <w:rPr>
          <w:rFonts w:cs="EB Garamond"/>
          <w:kern w:val="16"/>
          <w14:ligatures w14:val="standardContextual"/>
        </w:rPr>
        <w:t>A introdução do requisito etário representou ruptura fundamental com o regime anterior, no qual a aposentadoria especial era concedida exclusivamente com base no tempo de exposição, sem qualquer exigência de idade mínima. A medida foi justificada pelo legislador reformador como necessária para compatibilizar o benefício com o equilíbrio financeiro e atuarial do sistema, mas é criticada pela doutrina por contrariar a própria finalidade do benefício, proteger o trabalhador contra os efeitos da exposição prolongada a agentes nocivos.</w:t>
      </w:r>
    </w:p>
    <w:tbl>
      <w:tblPr>
        <w:tblW w:w="5000" w:type="pct"/>
        <w:jc w:val="center"/>
        <w:tblLayout w:type="fixed"/>
        <w:tblLook w:val="04A0" w:firstRow="1" w:lastRow="0" w:firstColumn="1" w:lastColumn="0" w:noHBand="0" w:noVBand="1"/>
      </w:tblPr>
      <w:tblGrid>
        <w:gridCol w:w="6311"/>
      </w:tblGrid>
      <w:tr w:rsidR="005A5FCC" w14:paraId="165DD460"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5E3E7A47" w14:textId="77777777" w:rsidR="005A5FCC" w:rsidRDefault="00A21C81">
            <w:pPr>
              <w:spacing w:after="60" w:line="240" w:lineRule="auto"/>
              <w:jc w:val="left"/>
            </w:pPr>
            <w:r>
              <w:rPr>
                <w:rFonts w:ascii="Noto Sans" w:hAnsi="Noto Sans" w:cs="Noto Sans"/>
                <w:b/>
                <w:caps/>
                <w:color w:val="4D6F8A"/>
                <w:kern w:val="16"/>
                <w:sz w:val="16"/>
                <w14:ligatures w14:val="standardContextual"/>
              </w:rPr>
              <w:lastRenderedPageBreak/>
              <w:t>JURISPRUDÊNCIA EM DESTAQUE</w:t>
            </w:r>
          </w:p>
          <w:p w14:paraId="1DE5DD0C" w14:textId="77777777" w:rsidR="005A5FCC" w:rsidRDefault="00A21C81">
            <w:pPr>
              <w:spacing w:after="60" w:line="247" w:lineRule="auto"/>
            </w:pPr>
            <w:r>
              <w:rPr>
                <w:rFonts w:cs="EB Garamond"/>
                <w:kern w:val="16"/>
                <w:sz w:val="19"/>
                <w14:ligatures w14:val="standardContextual"/>
              </w:rPr>
              <w:t>A constitucionalidade da exigência de idade mínima para a aposentadoria especial foi objeto da ADI 6.309, ajuizada pela Confederação Nacional dos Trabalhadores na Indústria (CNTI). A ação questionava: (a) a inconstitucionalidade do requisito etário (art. 19, § 1º, I, EC 103/2019); (b) a inconstitucionalidade da restrição à conversão de tempo especial em comum (art. 25, § 2º); e (c) a inconstitucionalidade da redução do valor do benefício (art. 26, § 2º, IV). No julgamento de 03/06/2026 (ADI 6.309, Rel. Orig. Min. Luís Roberto Barroso, red. P/ acórdão Min. André Mendonça), o Tribunal Pleno do STF, por 6 votos a 5, julgou o pedido parcialmente procedente: declarou inconstitucional a exigência de idade mínima, mas manteve a constitucionalidade da nova forma de cálculo (item "c") e da vedação à conversão (item "b"). O Min. Barroso, relator originário, votava pela constitucionalidade de todos os dispositivos, ficando vencido quanto à idade mínima. O acórdão ainda será redigido pelo Min. André Mendonça, e a eventual modulação de efeitos será definida na publicação do acórdão.</w:t>
            </w:r>
          </w:p>
        </w:tc>
      </w:tr>
    </w:tbl>
    <w:p w14:paraId="28A93780" w14:textId="77777777" w:rsidR="005A5FCC" w:rsidRDefault="005A5FCC">
      <w:pPr>
        <w:spacing w:after="80" w:line="240" w:lineRule="auto"/>
      </w:pPr>
    </w:p>
    <w:tbl>
      <w:tblPr>
        <w:tblW w:w="5000" w:type="pct"/>
        <w:jc w:val="center"/>
        <w:tblLayout w:type="fixed"/>
        <w:tblLook w:val="04A0" w:firstRow="1" w:lastRow="0" w:firstColumn="1" w:lastColumn="0" w:noHBand="0" w:noVBand="1"/>
      </w:tblPr>
      <w:tblGrid>
        <w:gridCol w:w="6311"/>
      </w:tblGrid>
      <w:tr w:rsidR="005A5FCC" w14:paraId="3134EE63"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7EC2EE0E"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17339702" w14:textId="77777777" w:rsidR="005A5FCC" w:rsidRDefault="00A21C81">
            <w:pPr>
              <w:spacing w:after="60" w:line="247" w:lineRule="auto"/>
            </w:pPr>
            <w:r>
              <w:rPr>
                <w:rFonts w:cs="EB Garamond"/>
                <w:b/>
                <w:kern w:val="16"/>
                <w:sz w:val="19"/>
                <w14:ligatures w14:val="standardContextual"/>
              </w:rPr>
              <w:t>Estado atual após a ADI 6.309 (j. 03/06/2026):</w:t>
            </w:r>
            <w:r>
              <w:rPr>
                <w:rFonts w:cs="EB Garamond"/>
                <w:kern w:val="16"/>
                <w:sz w:val="19"/>
                <w14:ligatures w14:val="standardContextual"/>
              </w:rPr>
              <w:t xml:space="preserve"> em razão da declaração de inconstitucionalidade da idade mínima, </w:t>
            </w:r>
            <w:r>
              <w:rPr>
                <w:rFonts w:cs="EB Garamond"/>
                <w:b/>
                <w:kern w:val="16"/>
                <w:sz w:val="19"/>
                <w14:ligatures w14:val="standardContextual"/>
              </w:rPr>
              <w:t>a aposentadoria especial não exige, atualmente, idade mínima</w:t>
            </w:r>
            <w:r>
              <w:rPr>
                <w:rFonts w:cs="EB Garamond"/>
                <w:kern w:val="16"/>
                <w:sz w:val="19"/>
                <w14:ligatures w14:val="standardContextual"/>
              </w:rPr>
              <w:t xml:space="preserve"> — o segurado faz jus ao benefício mediante o tempo de efetiva exposição a agentes nocivos (15, 20 ou 25 anos), independentemente da idade. O texto desta seção registra a exigência etária introduzida pela EC 103/2019 por seu valor histórico e porque permanece relevante para situações anteriores ao julgado, mas a tabela de idade mínima (55/58/60 anos) deixou de ser aplicável. Permanecem válidos, contudo, a nova forma de cálculo (60% da média + 2% por ano que exceder 15 anos — mulher — ou 20 anos — homem) e a vedação à conversão de tempo especial em comum para períodos posteriores a 13/11/2019. A eventual modulação de efeitos será definida na publicação do acórdão.</w:t>
            </w:r>
          </w:p>
        </w:tc>
      </w:tr>
    </w:tbl>
    <w:p w14:paraId="56AA0A74" w14:textId="77777777" w:rsidR="005A5FCC" w:rsidRDefault="005A5FCC">
      <w:pPr>
        <w:spacing w:after="80" w:line="240" w:lineRule="auto"/>
      </w:pPr>
    </w:p>
    <w:p w14:paraId="545FF0B6" w14:textId="77777777" w:rsidR="005A5FCC" w:rsidRDefault="00A21C81">
      <w:pPr>
        <w:spacing w:before="260" w:after="80" w:line="240" w:lineRule="auto"/>
        <w:jc w:val="left"/>
      </w:pPr>
      <w:r>
        <w:rPr>
          <w:rFonts w:cs="EB Garamond"/>
          <w:b/>
          <w:color w:val="3A3128"/>
          <w:kern w:val="16"/>
          <w:sz w:val="25"/>
          <w14:ligatures w14:val="standardContextual"/>
        </w:rPr>
        <w:t>8.4.2 Regra de transição (art. 21)</w:t>
      </w:r>
    </w:p>
    <w:p w14:paraId="7FA25785"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12048E9E" w14:textId="77777777" w:rsidR="005A5FCC" w:rsidRDefault="00A21C81">
      <w:r>
        <w:rPr>
          <w:rFonts w:cs="EB Garamond"/>
          <w:kern w:val="16"/>
          <w14:ligatures w14:val="standardContextual"/>
        </w:rPr>
        <w:t xml:space="preserve"> art. 21 da EC 103/2019 estabelece regra de transição para os segurados filiados ao RGPS antes de 13/11/2019 que ainda não haviam completado os requisitos. A regra exige cumulativamente: (a) tempo mínimo de efetiva </w:t>
      </w:r>
      <w:r>
        <w:rPr>
          <w:rFonts w:cs="EB Garamond"/>
          <w:kern w:val="16"/>
          <w14:ligatures w14:val="standardContextual"/>
        </w:rPr>
        <w:lastRenderedPageBreak/>
        <w:t>exposição a agentes nocivos (15, 20 ou 25 anos); e (b) pontuação mínima resultante da soma da idade com o tempo de contribuição total (incluindo período de atividade comum e especial, sem aplicação de fatores de conversão):</w:t>
      </w:r>
    </w:p>
    <w:p w14:paraId="53DFFC45" w14:textId="77777777" w:rsidR="005A5FCC" w:rsidRDefault="00A21C81">
      <w:pPr>
        <w:ind w:firstLine="238"/>
      </w:pPr>
      <w:r>
        <w:rPr>
          <w:rFonts w:cs="EB Garamond"/>
          <w:kern w:val="16"/>
          <w14:ligatures w14:val="standardContextual"/>
        </w:rPr>
        <w:t>— 66 pontos para atividade especial de 15 anos; — 76 pontos para atividade especial de 20 anos; — 86 pontos para atividade especial de 25 anos.</w:t>
      </w:r>
    </w:p>
    <w:p w14:paraId="52DDB7BC" w14:textId="77777777" w:rsidR="005A5FCC" w:rsidRDefault="00A21C81">
      <w:pPr>
        <w:ind w:firstLine="238"/>
      </w:pPr>
      <w:r>
        <w:rPr>
          <w:rFonts w:cs="EB Garamond"/>
          <w:kern w:val="16"/>
          <w14:ligatures w14:val="standardContextual"/>
        </w:rPr>
        <w:t>A pontuação na regra de transição é fixa, diferentemente das regras de transição para aposentadoria por tempo de contribuição (arts. 15 e 16 da EC 103/2019), que preveem incremento progressivo da pontuação ao longo dos anos.</w:t>
      </w:r>
    </w:p>
    <w:tbl>
      <w:tblPr>
        <w:tblW w:w="5000" w:type="pct"/>
        <w:jc w:val="center"/>
        <w:tblLayout w:type="fixed"/>
        <w:tblLook w:val="04A0" w:firstRow="1" w:lastRow="0" w:firstColumn="1" w:lastColumn="0" w:noHBand="0" w:noVBand="1"/>
      </w:tblPr>
      <w:tblGrid>
        <w:gridCol w:w="6311"/>
      </w:tblGrid>
      <w:tr w:rsidR="005A5FCC" w14:paraId="5FBD8E24"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1EDE8AE1"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5A829C93" w14:textId="77777777" w:rsidR="005A5FCC" w:rsidRDefault="00A21C81">
            <w:pPr>
              <w:spacing w:after="60" w:line="247" w:lineRule="auto"/>
            </w:pPr>
            <w:r>
              <w:rPr>
                <w:rFonts w:cs="EB Garamond"/>
                <w:kern w:val="16"/>
                <w:sz w:val="19"/>
                <w14:ligatures w14:val="standardContextual"/>
              </w:rPr>
              <w:t>Na apuração da pontuação prevista no art. 21 da EC 103/2019, o tempo de contribuição é computado sem a incidência de fatores de conversão. Assim, um segurado homem com 25 anos de atividade especial e 10 anos de atividade comum tem 35 anos de contribuição total (e não 45, como resultaria da aplicação do fator 1,40 ao tempo especial). A vedação à aplicação do fator de conversão na contagem de pontos é relevante porque dificulta o alcance da pontuação mínima exigida, especialmente para segurados que alternaram períodos de atividade especial e comum.</w:t>
            </w:r>
          </w:p>
        </w:tc>
      </w:tr>
    </w:tbl>
    <w:p w14:paraId="0602D3A6" w14:textId="77777777" w:rsidR="005A5FCC" w:rsidRDefault="005A5FCC">
      <w:pPr>
        <w:spacing w:after="80" w:line="240" w:lineRule="auto"/>
      </w:pPr>
    </w:p>
    <w:p w14:paraId="357E2F3E" w14:textId="77777777" w:rsidR="005A5FCC" w:rsidRDefault="00A21C81">
      <w:pPr>
        <w:spacing w:before="260" w:after="80" w:line="240" w:lineRule="auto"/>
        <w:jc w:val="left"/>
      </w:pPr>
      <w:r>
        <w:rPr>
          <w:rFonts w:cs="EB Garamond"/>
          <w:b/>
          <w:color w:val="3A3128"/>
          <w:kern w:val="16"/>
          <w:sz w:val="25"/>
          <w14:ligatures w14:val="standardContextual"/>
        </w:rPr>
        <w:t>8.4.3 Direito adquirido</w:t>
      </w:r>
    </w:p>
    <w:p w14:paraId="44E7303F"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7432A8BD" w14:textId="77777777" w:rsidR="005A5FCC" w:rsidRDefault="00A21C81">
      <w:r>
        <w:rPr>
          <w:rFonts w:cs="EB Garamond"/>
          <w:kern w:val="16"/>
          <w14:ligatures w14:val="standardContextual"/>
        </w:rPr>
        <w:t xml:space="preserve"> art. 3º da EC 103/2019 assegura o direito adquirido ao segurado que tenha preenchido os requisitos para obtenção da aposentadoria especial antes da data de promulgação da Emenda (13/11/2019). Aplica-se, nesse caso, o regime anterior integral: sem idade mínima, sem pontuação, e com cálculo de 100% da média dos 80% maiores salários de contribuição.</w:t>
      </w:r>
    </w:p>
    <w:p w14:paraId="56806248" w14:textId="77777777" w:rsidR="005A5FCC" w:rsidRDefault="00A21C81">
      <w:pPr>
        <w:ind w:firstLine="238"/>
      </w:pPr>
      <w:r>
        <w:rPr>
          <w:rFonts w:cs="EB Garamond"/>
          <w:kern w:val="16"/>
          <w14:ligatures w14:val="standardContextual"/>
        </w:rPr>
        <w:t xml:space="preserve">A prova do direito adquirido exige a demonstração de que, na data de 13/11/2019, o segurado já contava com o tempo mínimo de exposição (15, 20 ou 25 anos) e a carência de 180 contribuições. A documentação probatória, PPP, Laudo Técnico de Condições Ambientais do Trabalho (LTCAT), formulários anteriores, deve abranger integralmente o período necessário. Nos Juizados Especiais Federais (JEFs), a prova do direito adquirido é frequentemente controversa, </w:t>
      </w:r>
      <w:r>
        <w:rPr>
          <w:rFonts w:cs="EB Garamond"/>
          <w:kern w:val="16"/>
          <w14:ligatures w14:val="standardContextual"/>
        </w:rPr>
        <w:lastRenderedPageBreak/>
        <w:t>especialmente quando envolve períodos de atividade especial reconhecidos judicialmente e não computados administrativamente.</w:t>
      </w:r>
    </w:p>
    <w:p w14:paraId="1647354E"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8.5 Agentes nocivos e enquadramento</w:t>
      </w:r>
    </w:p>
    <w:p w14:paraId="44D4C04F"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30E281C6" w14:textId="77777777" w:rsidR="005A5FCC" w:rsidRDefault="00A21C81">
      <w:r>
        <w:rPr>
          <w:rFonts w:cs="EB Garamond"/>
          <w:kern w:val="16"/>
          <w14:ligatures w14:val="standardContextual"/>
        </w:rPr>
        <w:t xml:space="preserve"> enquadramento da atividade como especial observa regime jurídico variável conforme o período de exercício, em aplicação do princípio tempus regit actum — consolidado pelo STJ nos Temas 534 e 546.</w:t>
      </w:r>
    </w:p>
    <w:p w14:paraId="7C99520E" w14:textId="77777777" w:rsidR="005A5FCC" w:rsidRDefault="00A21C81">
      <w:pPr>
        <w:spacing w:before="260" w:after="80" w:line="240" w:lineRule="auto"/>
        <w:jc w:val="left"/>
      </w:pPr>
      <w:r>
        <w:rPr>
          <w:rFonts w:cs="EB Garamond"/>
          <w:b/>
          <w:color w:val="3A3128"/>
          <w:kern w:val="16"/>
          <w:sz w:val="25"/>
          <w14:ligatures w14:val="standardContextual"/>
        </w:rPr>
        <w:t>8.5.1 Enquadramento por categoria profissional (até 28/04/1995)</w:t>
      </w:r>
    </w:p>
    <w:p w14:paraId="20EDEE15"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62D34D01" w14:textId="77777777" w:rsidR="005A5FCC" w:rsidRDefault="00A21C81">
      <w:r>
        <w:rPr>
          <w:rFonts w:cs="EB Garamond"/>
          <w:kern w:val="16"/>
          <w14:ligatures w14:val="standardContextual"/>
        </w:rPr>
        <w:t>té 28 de abril de 1995 (véspera da vigência da Lei n. 9.032/1995), o enquadramento da atividade como especial podia ser feito por categoria profissional. Os Decretos n. 53.831/1964 (Quadro Anexo) e 83.080/1979 (Anexos I e II) relacionavam as categorias profissionais cujo exercício, por si só, ensejava o reconhecimento de atividade especial, independentemente de comprovação de exposição efetiva a agentes nocivos.</w:t>
      </w:r>
    </w:p>
    <w:p w14:paraId="5F3E141A" w14:textId="77777777" w:rsidR="005A5FCC" w:rsidRDefault="00A21C81">
      <w:pPr>
        <w:ind w:firstLine="238"/>
      </w:pPr>
      <w:r>
        <w:rPr>
          <w:rFonts w:cs="EB Garamond"/>
          <w:kern w:val="16"/>
          <w14:ligatures w14:val="standardContextual"/>
        </w:rPr>
        <w:t>Assim, o segurado que exerceu, até 28/04/1995, atividade enquadrada nos quadros anexos dos Decretos, tais como médico, enfermeiro, engenheiro, eletricista, motorista de ônibus, soldador, frentista, entre diversas outras, tem direito ao reconhecimento do período como especial mediante simples comprovação do exercício da profissão (carteira de trabalho, contrato de trabalho, declaração do empregador).</w:t>
      </w:r>
    </w:p>
    <w:tbl>
      <w:tblPr>
        <w:tblW w:w="5000" w:type="pct"/>
        <w:jc w:val="center"/>
        <w:tblLayout w:type="fixed"/>
        <w:tblLook w:val="04A0" w:firstRow="1" w:lastRow="0" w:firstColumn="1" w:lastColumn="0" w:noHBand="0" w:noVBand="1"/>
      </w:tblPr>
      <w:tblGrid>
        <w:gridCol w:w="6311"/>
      </w:tblGrid>
      <w:tr w:rsidR="005A5FCC" w14:paraId="12F43269"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6B960322"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75031972" w14:textId="77777777" w:rsidR="005A5FCC" w:rsidRDefault="00A21C81">
            <w:pPr>
              <w:spacing w:after="60" w:line="247" w:lineRule="auto"/>
            </w:pPr>
            <w:r>
              <w:rPr>
                <w:rFonts w:cs="EB Garamond"/>
                <w:kern w:val="16"/>
                <w:sz w:val="19"/>
                <w14:ligatures w14:val="standardContextual"/>
              </w:rPr>
              <w:t>Na prática dos JEFs, o enquadramento por categoria profissional é frequente para períodos anteriores a 29/04/1995. A comprovação é simplificada: basta que a anotação na CTPS ou as informações do CNIS demonstrem o exercício da atividade enquadrada nos Decretos. Não se exige PPP, LTCAT ou qualquer formulário para esses períodos. A consulta aos Quadros Anexos dos Decretos n. 53.831/1964 e 83.080/1979 é instrumento essencial do operador do direito — os quadros estão disponíveis nas bases de dados normativas e devem ser confrontados com a descrição da atividade constante dos documentos probatórios.</w:t>
            </w:r>
          </w:p>
        </w:tc>
      </w:tr>
    </w:tbl>
    <w:p w14:paraId="3D3EB3B2" w14:textId="77777777" w:rsidR="005A5FCC" w:rsidRDefault="005A5FCC">
      <w:pPr>
        <w:spacing w:after="80" w:line="240" w:lineRule="auto"/>
      </w:pPr>
    </w:p>
    <w:p w14:paraId="29808D6E" w14:textId="77777777" w:rsidR="005A5FCC" w:rsidRDefault="00A21C81">
      <w:pPr>
        <w:spacing w:before="260" w:after="80" w:line="240" w:lineRule="auto"/>
        <w:jc w:val="left"/>
      </w:pPr>
      <w:r>
        <w:rPr>
          <w:rFonts w:cs="EB Garamond"/>
          <w:b/>
          <w:color w:val="3A3128"/>
          <w:kern w:val="16"/>
          <w:sz w:val="25"/>
          <w14:ligatures w14:val="standardContextual"/>
        </w:rPr>
        <w:t>8.5.2 Enquadramento por agente nocivo (a partir de 29/04/1995)</w:t>
      </w:r>
    </w:p>
    <w:p w14:paraId="43BE7FA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C</w:t>
      </w:r>
    </w:p>
    <w:p w14:paraId="7E347A44" w14:textId="77777777" w:rsidR="005A5FCC" w:rsidRDefault="00A21C81">
      <w:r>
        <w:rPr>
          <w:rFonts w:cs="EB Garamond"/>
          <w:kern w:val="16"/>
          <w14:ligatures w14:val="standardContextual"/>
        </w:rPr>
        <w:t>om a entrada em vigor da Lei n. 9.032/1995, o enquadramento da atividade especial passou a exigir a comprovação efetiva da exposição a agentes nocivos prejudiciais à saúde ou à integridade física, de forma habitual e permanente, não ocasional nem intermitente. A mera indicação da profissão deixou de ser suficiente.</w:t>
      </w:r>
    </w:p>
    <w:p w14:paraId="3E4376EB" w14:textId="77777777" w:rsidR="005A5FCC" w:rsidRDefault="00A21C81">
      <w:pPr>
        <w:ind w:firstLine="238"/>
      </w:pPr>
      <w:r>
        <w:rPr>
          <w:rFonts w:cs="EB Garamond"/>
          <w:kern w:val="16"/>
          <w14:ligatures w14:val="standardContextual"/>
        </w:rPr>
        <w:t>A prova da exposição é feita mediante o Perfil Profissiográfico Previdenciário (PPP) — documento emitido pela empresa com base no Laudo Técnico de Condições Ambientais do Trabalho (LTCAT), elaborado por médico do trabalho ou engenheiro de segurança do trabalho. O PPP é exigido para períodos a partir de 01/01/2004 (data a partir da qual substituiu os formulários anteriores — SB-40, DISES-BE 5235, DSS-8030 e DIRBEN 8030).</w:t>
      </w:r>
    </w:p>
    <w:p w14:paraId="3D35E4B8" w14:textId="0AAA803B" w:rsidR="005A5FCC" w:rsidRDefault="00A21C81">
      <w:pPr>
        <w:spacing w:before="260" w:after="80" w:line="240" w:lineRule="auto"/>
        <w:jc w:val="left"/>
      </w:pPr>
      <w:r>
        <w:rPr>
          <w:rFonts w:cs="EB Garamond"/>
          <w:b/>
          <w:color w:val="3A3128"/>
          <w:kern w:val="16"/>
          <w:sz w:val="25"/>
          <w14:ligatures w14:val="standardContextual"/>
        </w:rPr>
        <w:t xml:space="preserve">8.5.3 Caráter exemplificativo da relação de agentes nocivos: </w:t>
      </w:r>
      <w:r w:rsidR="005C0081">
        <w:rPr>
          <w:rFonts w:cs="EB Garamond"/>
          <w:b/>
          <w:color w:val="3A3128"/>
          <w:kern w:val="16"/>
          <w:sz w:val="25"/>
          <w14:ligatures w14:val="standardContextual"/>
        </w:rPr>
        <w:t>T</w:t>
      </w:r>
      <w:r>
        <w:rPr>
          <w:rFonts w:cs="EB Garamond"/>
          <w:b/>
          <w:color w:val="3A3128"/>
          <w:kern w:val="16"/>
          <w:sz w:val="25"/>
          <w14:ligatures w14:val="standardContextual"/>
        </w:rPr>
        <w:t>ema 534/STJ</w:t>
      </w:r>
    </w:p>
    <w:p w14:paraId="57944E65"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6F905394" w14:textId="77777777" w:rsidR="005A5FCC" w:rsidRDefault="00A21C81">
      <w:r>
        <w:rPr>
          <w:rFonts w:cs="EB Garamond"/>
          <w:kern w:val="16"/>
          <w14:ligatures w14:val="standardContextual"/>
        </w:rPr>
        <w:t xml:space="preserve"> STJ, no julgamento do Tema 534, fixou tese de que as normas regulamentadoras que estabelecem os agentes e atividades nocivos à saúde do trabalhador são meramente exemplificativas, podendo ser reconhecida a especialidade do trabalho que a técnica médica e a legislação correlata considerarem como prejudicial à saúde do obreiro, desde que exercido de forma habitual e permanente.</w:t>
      </w:r>
    </w:p>
    <w:p w14:paraId="0EE33B45" w14:textId="77777777" w:rsidR="005A5FCC" w:rsidRDefault="00A21C81">
      <w:pPr>
        <w:ind w:firstLine="238"/>
      </w:pPr>
      <w:r>
        <w:rPr>
          <w:rFonts w:cs="EB Garamond"/>
          <w:kern w:val="16"/>
          <w14:ligatures w14:val="standardContextual"/>
        </w:rPr>
        <w:t>Essa tese tem grande repercussão prática, pois permite o reconhecimento de atividade especial mesmo quando o agente nocivo não está expressamente relacionado no Anexo IV do Decreto n. 3.048/1999. O exemplo paradigmático é a eletricidade, que foi excluída do regulamento pelo Decreto n. 2.172/1997 (a partir de 06/03/1997), mas continua sendo reconhecida como agente nocivo pela jurisprudência, com fundamento no Tema 534 e na periculosidade prevista na legislação trabalhista (NR-10 e Lei n. 7.369/1985, expressamente revogada pela Lei n. 12.740/2012, que incluiu a eletricidade no art. 193 da CLT).</w:t>
      </w:r>
    </w:p>
    <w:p w14:paraId="3E658C20" w14:textId="77777777" w:rsidR="005A5FCC" w:rsidRDefault="00A21C81">
      <w:pPr>
        <w:spacing w:before="260" w:after="80" w:line="240" w:lineRule="auto"/>
        <w:jc w:val="left"/>
      </w:pPr>
      <w:r>
        <w:rPr>
          <w:rFonts w:cs="EB Garamond"/>
          <w:b/>
          <w:color w:val="3A3128"/>
          <w:kern w:val="16"/>
          <w:sz w:val="25"/>
          <w14:ligatures w14:val="standardContextual"/>
        </w:rPr>
        <w:lastRenderedPageBreak/>
        <w:t>8.5.4 Agentes físicos</w:t>
      </w:r>
    </w:p>
    <w:p w14:paraId="58BD7B18"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78282EE4" w14:textId="77777777" w:rsidR="005A5FCC" w:rsidRDefault="00A21C81">
      <w:r>
        <w:rPr>
          <w:rFonts w:cs="EB Garamond"/>
          <w:kern w:val="16"/>
          <w14:ligatures w14:val="standardContextual"/>
        </w:rPr>
        <w:t>s agentes físicos relacionados no Anexo IV do Decreto n. 3.048/1999 compreendem:</w:t>
      </w:r>
    </w:p>
    <w:p w14:paraId="389BE59A" w14:textId="77777777" w:rsidR="005A5FCC" w:rsidRDefault="00A21C81">
      <w:pPr>
        <w:ind w:firstLine="238"/>
      </w:pPr>
      <w:r>
        <w:rPr>
          <w:rFonts w:cs="EB Garamond"/>
          <w:kern w:val="16"/>
          <w14:ligatures w14:val="standardContextual"/>
        </w:rPr>
        <w:t>(a) Ruído, o agente mais litigado nos JEFs em matéria de aposentadoria especial. A exposição ocupacional ao ruído causa danos ao sistema auditivo (perda auditiva induzida por ruído — PAIR) e efeitos extraauditivos comprovados pela literatura médica (hipertensão arterial, distúrbios do sono, alterações cardiovasculares, estresse crônico). O regime jurídico do ruído será examinado em detalhe na seção 8.6;</w:t>
      </w:r>
    </w:p>
    <w:p w14:paraId="4FC419B0" w14:textId="77777777" w:rsidR="005A5FCC" w:rsidRDefault="00A21C81">
      <w:pPr>
        <w:ind w:firstLine="238"/>
      </w:pPr>
      <w:r>
        <w:rPr>
          <w:rFonts w:cs="EB Garamond"/>
          <w:kern w:val="16"/>
          <w14:ligatures w14:val="standardContextual"/>
        </w:rPr>
        <w:t>(b) Vibrações — classificadas em vibrações localizadas (transmitidas ao sistema mão-braço por ferramentas vibratórias como marteletes, furadeiras e lixadeiras) e vibrações de corpo inteiro (transmitidas por veículos pesados, máquinas industriais e plataformas vibratórias). As vibrações localizadas podem causar a Síndrome de Vibração Mão-Braço (SVMB), enquanto as de corpo inteiro estão associadas a lombalgias crônicas e distúrbios vasculares. A avaliação é quantitativa, conforme limites da ISO 2631 e ISO 5349, referendados pela NHO-09 e NHO-10 da Fundacentro;</w:t>
      </w:r>
    </w:p>
    <w:p w14:paraId="311A5F7D" w14:textId="77777777" w:rsidR="005A5FCC" w:rsidRDefault="00A21C81">
      <w:pPr>
        <w:ind w:firstLine="238"/>
      </w:pPr>
      <w:r>
        <w:rPr>
          <w:rFonts w:cs="EB Garamond"/>
          <w:kern w:val="16"/>
          <w14:ligatures w14:val="standardContextual"/>
        </w:rPr>
        <w:t>(c) Frio e calor, a exposição a temperaturas anormais constitui agente nocivo quando ultrapassa os limites de tolerância estabelecidos pela NR-15 (Anexos 3 e 9). O calor é aferido pelo Índice de Bulbo Úmido e Termômetro de Globo (IBUTG), com limites variáveis conforme o tipo de atividade (leve, moderada, pesada). O frio artificial (câmaras frigoríficas, ambientes refrigerados) é agente frequentemente reconhecido na jurisprudência para trabalhadores da indústria alimentícia e frigorífica;</w:t>
      </w:r>
    </w:p>
    <w:p w14:paraId="5BCDFD20" w14:textId="77777777" w:rsidR="005A5FCC" w:rsidRDefault="00A21C81">
      <w:pPr>
        <w:ind w:firstLine="238"/>
      </w:pPr>
      <w:r>
        <w:rPr>
          <w:rFonts w:cs="EB Garamond"/>
          <w:kern w:val="16"/>
          <w14:ligatures w14:val="standardContextual"/>
        </w:rPr>
        <w:t>(d) Umidade, a exposição habitual a ambientes alagados ou encharcados, em operações ou atividades com contato permanente com água, pode ser considerada atividade especial. A avaliação é qualitativa, basta a comprovação da exposição habitual;</w:t>
      </w:r>
    </w:p>
    <w:p w14:paraId="08748FBE" w14:textId="77777777" w:rsidR="005A5FCC" w:rsidRDefault="00A21C81">
      <w:pPr>
        <w:ind w:firstLine="238"/>
      </w:pPr>
      <w:r>
        <w:rPr>
          <w:rFonts w:cs="EB Garamond"/>
          <w:kern w:val="16"/>
          <w14:ligatures w14:val="standardContextual"/>
        </w:rPr>
        <w:t xml:space="preserve">(e) Pressões atmosféricas anormais, trabalho em condições hiperbáricas (mergulho profissional, trabalho em caixões pneumáticos, túneis pressurizados) ou hipobáricas (aviação). O trabalho sob ar comprimido, com exposição a pressões </w:t>
      </w:r>
      <w:r>
        <w:rPr>
          <w:rFonts w:cs="EB Garamond"/>
          <w:kern w:val="16"/>
          <w14:ligatures w14:val="standardContextual"/>
        </w:rPr>
        <w:lastRenderedPageBreak/>
        <w:t>acima de 1 atmosfera, é reconhecido como atividade especial de 15 ou 25 anos conforme a profundidade e o tempo de exposição;</w:t>
      </w:r>
    </w:p>
    <w:p w14:paraId="7ABB1AB3" w14:textId="77777777" w:rsidR="005A5FCC" w:rsidRDefault="00A21C81">
      <w:pPr>
        <w:ind w:firstLine="238"/>
      </w:pPr>
      <w:r>
        <w:rPr>
          <w:rFonts w:cs="EB Garamond"/>
          <w:kern w:val="16"/>
          <w14:ligatures w14:val="standardContextual"/>
        </w:rPr>
        <w:t>(f) Radiações ionizantes, trabalhadores em radiologia médica e industrial, medicina nuclear, radioterapia, gamagrafia, indústria nuclear e pesquisa com fontes radioativas. A exposição a radiações ionizantes é considerada qualitativamente especial, basta a comprovação da exposição, independentemente de dosimetria. A jurisprudência é consolidada no reconhecimento da especialidade para técnicos e tecnólogos em radiologia, médicos radiologistas e profissionais que operam equipamentos de raios-X;</w:t>
      </w:r>
    </w:p>
    <w:p w14:paraId="76FC4B72" w14:textId="77777777" w:rsidR="005A5FCC" w:rsidRDefault="00A21C81">
      <w:pPr>
        <w:ind w:firstLine="238"/>
      </w:pPr>
      <w:r>
        <w:rPr>
          <w:rFonts w:cs="EB Garamond"/>
          <w:kern w:val="16"/>
          <w14:ligatures w14:val="standardContextual"/>
        </w:rPr>
        <w:t>(g) Radiações não ionizantes, campo eletromagnético, micro-ondas, ultravioleta e laser. O enquadramento é controverso: embora previsto no Decreto n. 53.831/1964 (código 1.1.6), as radiações não ionizantes foram excluídas dos regulamentos posteriores. A jurisprudência, com fundamento no Tema 534/STJ (caráter exemplificativo), tem reconhecido a especialidade em casos específicos, em especial para soldadores expostos a radiação ultravioleta e operadores de equipamentos de micro-ondas industriais.</w:t>
      </w:r>
    </w:p>
    <w:p w14:paraId="47E74F85" w14:textId="77777777" w:rsidR="005A5FCC" w:rsidRDefault="00A21C81">
      <w:pPr>
        <w:spacing w:before="260" w:after="80" w:line="240" w:lineRule="auto"/>
        <w:jc w:val="left"/>
      </w:pPr>
      <w:r>
        <w:rPr>
          <w:rFonts w:cs="EB Garamond"/>
          <w:b/>
          <w:color w:val="3A3128"/>
          <w:kern w:val="16"/>
          <w:sz w:val="25"/>
          <w14:ligatures w14:val="standardContextual"/>
        </w:rPr>
        <w:t>8.5.5 Agentes químicos</w:t>
      </w:r>
    </w:p>
    <w:p w14:paraId="0FE28BF1"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011F623D" w14:textId="77777777" w:rsidR="005A5FCC" w:rsidRDefault="00A21C81">
      <w:r>
        <w:rPr>
          <w:rFonts w:cs="EB Garamond"/>
          <w:kern w:val="16"/>
          <w14:ligatures w14:val="standardContextual"/>
        </w:rPr>
        <w:t>s agentes químicos ensejadores de atividade especial são classificados em duas categorias no Anexo IV: (a) agentes cuja avaliação é qualitativa, para os quais basta a comprovação da exposição, independentemente de quantificação (arsênico, benzeno, berílio, cádmio, chumbo, cromo hexavalente, fósforo, manganês, mercúrio, níquel, entre outros); e (b) agentes cuja avaliação é quantitativa, para os quais se exige a superação dos limites de tolerância estabelecidos pela NR-15 do Ministério do Trabalho ou pela ACGIH (American Conference of Governmental Industrial Hygienists).</w:t>
      </w:r>
    </w:p>
    <w:p w14:paraId="2C086ECA" w14:textId="77777777" w:rsidR="005A5FCC" w:rsidRDefault="00A21C81">
      <w:pPr>
        <w:ind w:firstLine="238"/>
      </w:pPr>
      <w:r>
        <w:rPr>
          <w:rFonts w:cs="EB Garamond"/>
          <w:kern w:val="16"/>
          <w14:ligatures w14:val="standardContextual"/>
        </w:rPr>
        <w:t>A distinção entre avaliação qualitativa e quantitativa tem relevância processual direta: para agentes de avaliação qualitativa, a mera indicação no PPP da exposição ao agente é suficiente para o enquadramento, sem necessidade de mensuração ambiental; para agentes de avaliação quantitativa (poeiras minerais, solventes orgânicos, gases e vapores em geral), exige-se a medição ambiental demonstrando a superação do limite de tolerância.</w:t>
      </w:r>
    </w:p>
    <w:p w14:paraId="5A8F10CD" w14:textId="77777777" w:rsidR="005A5FCC" w:rsidRDefault="00A21C81">
      <w:pPr>
        <w:ind w:firstLine="238"/>
      </w:pPr>
      <w:r>
        <w:rPr>
          <w:rFonts w:cs="EB Garamond"/>
          <w:kern w:val="16"/>
          <w14:ligatures w14:val="standardContextual"/>
        </w:rPr>
        <w:lastRenderedPageBreak/>
        <w:t>Os agentes cancerígenos têm regime próprio. Substâncias como benzeno, asbesto (amianto), formaldeído, sílica livre cristalizada e compostos de cromo hexavalente são reconhecidos pela Agência Internacional de Pesquisa em Câncer (IARC) como carcinogênicos para humanos (Grupo 1). Para esses agentes, a exposição a qualquer concentração é potencialmente danosa — não existe nível seguro de exposição. A jurisprudência tem reconhecido que, para agentes cancerígenos, o enquadramento como atividade especial independe de superação de limites de tolerância e de uso de EPI, dado o caráter irreversível e cumulativo dos efeitos sobre a saúde.</w:t>
      </w:r>
    </w:p>
    <w:p w14:paraId="3D847083" w14:textId="77777777" w:rsidR="005A5FCC" w:rsidRDefault="00A21C81">
      <w:pPr>
        <w:ind w:firstLine="238"/>
      </w:pPr>
      <w:r>
        <w:rPr>
          <w:rFonts w:cs="EB Garamond"/>
          <w:kern w:val="16"/>
          <w14:ligatures w14:val="standardContextual"/>
        </w:rPr>
        <w:t>A hidrocarbonetos aromáticos (benzeno, tolueno, xileno — conhecidos como BTX), por exemplo, são agentes frequentes em postos de combustíveis, refinarias e indústrias petroquímicas. A exposição habitual de frentistas a esses agentes tem sido reconhecida pela jurisprudência para fins de aposentadoria especial, com fundamento na avaliação qualitativa e no caráter cancerígeno do benzeno.</w:t>
      </w:r>
    </w:p>
    <w:p w14:paraId="1CDD2044" w14:textId="77777777" w:rsidR="005A5FCC" w:rsidRDefault="00A21C81">
      <w:pPr>
        <w:spacing w:before="260" w:after="80" w:line="240" w:lineRule="auto"/>
        <w:jc w:val="left"/>
      </w:pPr>
      <w:r>
        <w:rPr>
          <w:rFonts w:cs="EB Garamond"/>
          <w:b/>
          <w:color w:val="3A3128"/>
          <w:kern w:val="16"/>
          <w:sz w:val="25"/>
          <w14:ligatures w14:val="standardContextual"/>
        </w:rPr>
        <w:t>8.5.6 Agentes biológicos</w:t>
      </w:r>
    </w:p>
    <w:p w14:paraId="6A2B9FE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26A23A89" w14:textId="77777777" w:rsidR="005A5FCC" w:rsidRDefault="00A21C81">
      <w:r>
        <w:rPr>
          <w:rFonts w:cs="EB Garamond"/>
          <w:kern w:val="16"/>
          <w14:ligatures w14:val="standardContextual"/>
        </w:rPr>
        <w:t>s agentes biológicos compreendem micro-organismos e parasitas infecciosos vivos e suas toxinas. O enquadramento por agente biológico é predominantemente qualitativo, basta a exposição, independentemente de quantificação, o que facilita a comprovação.</w:t>
      </w:r>
    </w:p>
    <w:p w14:paraId="38AC568A" w14:textId="77777777" w:rsidR="005A5FCC" w:rsidRDefault="00A21C81">
      <w:pPr>
        <w:ind w:firstLine="238"/>
      </w:pPr>
      <w:r>
        <w:rPr>
          <w:rFonts w:cs="EB Garamond"/>
          <w:kern w:val="16"/>
          <w14:ligatures w14:val="standardContextual"/>
        </w:rPr>
        <w:t>As atividades típicas envolvem trabalho em hospitais, ambulatórios, laboratórios de análises clínicas, serviços de tratamento de esgoto, limpeza em banheiros e coleta de lixo hospitalar. A jurisprudência reconhece amplamente o enquadramento de profissionais de saúde (médicos, enfermeiros, técnicos de enfermagem, dentistas, biomédicos, fisioterapeutas) que mantêm contato habitual com pacientes e materiais biológicos potencialmente contaminados.</w:t>
      </w:r>
    </w:p>
    <w:tbl>
      <w:tblPr>
        <w:tblW w:w="5000" w:type="pct"/>
        <w:jc w:val="center"/>
        <w:tblLayout w:type="fixed"/>
        <w:tblLook w:val="04A0" w:firstRow="1" w:lastRow="0" w:firstColumn="1" w:lastColumn="0" w:noHBand="0" w:noVBand="1"/>
      </w:tblPr>
      <w:tblGrid>
        <w:gridCol w:w="6311"/>
      </w:tblGrid>
      <w:tr w:rsidR="005A5FCC" w14:paraId="45C7CEF9"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4680AB86"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514100C8" w14:textId="77777777" w:rsidR="005A5FCC" w:rsidRDefault="00A21C81">
            <w:pPr>
              <w:spacing w:after="60" w:line="247" w:lineRule="auto"/>
            </w:pPr>
            <w:r>
              <w:rPr>
                <w:rFonts w:cs="EB Garamond"/>
                <w:kern w:val="16"/>
                <w:sz w:val="19"/>
                <w14:ligatures w14:val="standardContextual"/>
              </w:rPr>
              <w:t>Na instrução de ação de aposentadoria especial por exposição a agentes biológicos nos JEFs, o PPP que indica a exposição a "risco biológico" ou "agentes biológicos" por profissional de saúde que atua em ambiente hospitalar é, em regra, suficiente para o enquadramento. A perícia ambiental judicial pode ser dispensada quando o PPP é claro e não há controvérsia sobre a natureza das atividades. Se o INSS impugnar o PPP, o juiz pode designar perícia para verificação das condições ambientais, ou valer-se de prova emprestada (laudos de processos similares envolvendo o mesmo empregador e setor).</w:t>
            </w:r>
          </w:p>
        </w:tc>
      </w:tr>
    </w:tbl>
    <w:p w14:paraId="1D5C09E4" w14:textId="77777777" w:rsidR="005A5FCC" w:rsidRDefault="005A5FCC">
      <w:pPr>
        <w:spacing w:after="80" w:line="240" w:lineRule="auto"/>
      </w:pPr>
    </w:p>
    <w:p w14:paraId="6EF424BA" w14:textId="509CB2EE" w:rsidR="005A5FCC" w:rsidRDefault="00A21C81">
      <w:pPr>
        <w:spacing w:before="260" w:after="80" w:line="240" w:lineRule="auto"/>
        <w:jc w:val="left"/>
      </w:pPr>
      <w:r>
        <w:rPr>
          <w:rFonts w:cs="EB Garamond"/>
          <w:b/>
          <w:color w:val="3A3128"/>
          <w:kern w:val="16"/>
          <w:sz w:val="25"/>
          <w14:ligatures w14:val="standardContextual"/>
        </w:rPr>
        <w:t>8.5.7 Penosidade: motoristas e cobradores (</w:t>
      </w:r>
      <w:r w:rsidR="005C0081">
        <w:rPr>
          <w:rFonts w:cs="EB Garamond"/>
          <w:b/>
          <w:color w:val="3A3128"/>
          <w:kern w:val="16"/>
          <w:sz w:val="25"/>
          <w14:ligatures w14:val="standardContextual"/>
        </w:rPr>
        <w:t>T</w:t>
      </w:r>
      <w:r>
        <w:rPr>
          <w:rFonts w:cs="EB Garamond"/>
          <w:b/>
          <w:color w:val="3A3128"/>
          <w:kern w:val="16"/>
          <w:sz w:val="25"/>
          <w14:ligatures w14:val="standardContextual"/>
        </w:rPr>
        <w:t>ema 1.307/STJ)</w:t>
      </w:r>
    </w:p>
    <w:p w14:paraId="2731D68D"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3E00B71D" w14:textId="77777777" w:rsidR="005A5FCC" w:rsidRDefault="00A21C81">
      <w:r>
        <w:rPr>
          <w:rFonts w:cs="EB Garamond"/>
          <w:kern w:val="16"/>
          <w14:ligatures w14:val="standardContextual"/>
        </w:rPr>
        <w:t>lém dos agentes físicos, químicos e biológicos relacionados no Anexo IV do Decreto n. 3.048/1999, certas atividades podem ser reconhecidas como especiais em razão da penosidade — categoria que remonta à redação original do art. 31 da Lei n. 3.807/1960 (LOPS), que aludia a serviços "penosos, insalubres ou perigosos" (seção 8.2). Embora a Lei n. 9.032/1995 tenha passado a exigir a comprovação efetiva da exposição a agentes nocivos, subsistiu a controvérsia sobre o reconhecimento da especialidade por penosidade de determinadas atividades para períodos posteriores.</w:t>
      </w:r>
    </w:p>
    <w:p w14:paraId="3C7DAFD9" w14:textId="77777777" w:rsidR="005A5FCC" w:rsidRDefault="00A21C81">
      <w:pPr>
        <w:ind w:firstLine="238"/>
      </w:pPr>
      <w:r>
        <w:rPr>
          <w:rFonts w:cs="EB Garamond"/>
          <w:kern w:val="16"/>
          <w14:ligatures w14:val="standardContextual"/>
        </w:rPr>
        <w:t>O STJ pacificou a questão quanto aos motoristas e cobradores no julgamento do Tema 1.307 (REsp 2.164.724, Rel. Min. Gurgel de Faria, j. 07/05/2026), fixando a seguinte tese:</w:t>
      </w:r>
    </w:p>
    <w:tbl>
      <w:tblPr>
        <w:tblW w:w="5000" w:type="pct"/>
        <w:jc w:val="center"/>
        <w:tblLayout w:type="fixed"/>
        <w:tblLook w:val="04A0" w:firstRow="1" w:lastRow="0" w:firstColumn="1" w:lastColumn="0" w:noHBand="0" w:noVBand="1"/>
      </w:tblPr>
      <w:tblGrid>
        <w:gridCol w:w="6311"/>
      </w:tblGrid>
      <w:tr w:rsidR="005A5FCC" w14:paraId="4A6C3D40"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3CCFE948" w14:textId="77777777" w:rsidR="005A5FCC" w:rsidRDefault="00A21C81">
            <w:pPr>
              <w:spacing w:after="60" w:line="240" w:lineRule="auto"/>
              <w:jc w:val="left"/>
            </w:pPr>
            <w:r>
              <w:rPr>
                <w:rFonts w:ascii="Noto Sans" w:hAnsi="Noto Sans" w:cs="Noto Sans"/>
                <w:b/>
                <w:caps/>
                <w:color w:val="4D6F8A"/>
                <w:kern w:val="16"/>
                <w:sz w:val="16"/>
                <w14:ligatures w14:val="standardContextual"/>
              </w:rPr>
              <w:t>JURISPRUDÊNCIA EM DESTAQUE</w:t>
            </w:r>
          </w:p>
          <w:p w14:paraId="0F3533A5" w14:textId="77777777" w:rsidR="005A5FCC" w:rsidRDefault="00A21C81">
            <w:pPr>
              <w:spacing w:after="60" w:line="247" w:lineRule="auto"/>
            </w:pPr>
            <w:r>
              <w:rPr>
                <w:rFonts w:cs="EB Garamond"/>
                <w:b/>
                <w:kern w:val="16"/>
                <w:sz w:val="19"/>
                <w14:ligatures w14:val="standardContextual"/>
              </w:rPr>
              <w:t>STJ, Tema 1.307 (REsp 2.164.724, Rel. Min. Gurgel de Faria, j. 07/05/2026):</w:t>
            </w:r>
          </w:p>
          <w:p w14:paraId="070AF52C" w14:textId="77777777" w:rsidR="005A5FCC" w:rsidRDefault="00A21C81">
            <w:pPr>
              <w:spacing w:after="60" w:line="247" w:lineRule="auto"/>
            </w:pPr>
            <w:r>
              <w:rPr>
                <w:rFonts w:cs="EB Garamond"/>
                <w:kern w:val="16"/>
                <w:sz w:val="19"/>
                <w14:ligatures w14:val="standardContextual"/>
              </w:rPr>
              <w:t>"É possível o reconhecimento do caráter especial em virtude da penosidade das atividades de motorista/cobrador de ônibus ou motorista de caminhão exercidas posteriormente à Lei n. 9.032/1995, desde que comprovada, por perícia técnica individualizada, a exposição habitual e permanente a condições concretas de desgaste à saúde."</w:t>
            </w:r>
          </w:p>
        </w:tc>
      </w:tr>
    </w:tbl>
    <w:p w14:paraId="357696CB" w14:textId="77777777" w:rsidR="005A5FCC" w:rsidRDefault="005A5FCC">
      <w:pPr>
        <w:spacing w:after="80" w:line="240" w:lineRule="auto"/>
      </w:pPr>
    </w:p>
    <w:p w14:paraId="2183BBB8"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A</w:t>
      </w:r>
    </w:p>
    <w:p w14:paraId="55C550BE" w14:textId="77777777" w:rsidR="005A5FCC" w:rsidRDefault="00A21C81">
      <w:r>
        <w:rPr>
          <w:rFonts w:cs="EB Garamond"/>
          <w:kern w:val="16"/>
          <w14:ligatures w14:val="standardContextual"/>
        </w:rPr>
        <w:t xml:space="preserve"> tese tem relevância prática direta nos JEFs. Reconhece-se a especialidade dessas atividades mesmo após a Lei n. 9.032/1995, mas em moldes mais exigentes que o antigo enquadramento por categoria profissional: não basta a comprovação do exercício da profissão de motorista ou cobrador, exigindo-se perícia técnica individualizada que demonstre a exposição habitual e permanente a condições concretas de desgaste à saúde (vibração de corpo inteiro, sobrecarga postural, ruído, estresse ocupacional, jornadas extensas). A especialidade não decorre, portanto, da mera nomenclatura do cargo, mas da efetiva penosidade comprovada caso a caso. O magistrado deve, ao apreciar tais pedidos, determinar a produção de prova pericial que individualize as condições de desgaste a que submetido o segurado.</w:t>
      </w:r>
    </w:p>
    <w:p w14:paraId="0DB76D22"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8.6 Ruído: limites de tolerância e regime jurídico</w:t>
      </w:r>
    </w:p>
    <w:p w14:paraId="50E2583D"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1660006B" w14:textId="77777777" w:rsidR="005A5FCC" w:rsidRDefault="00A21C81">
      <w:pPr>
        <w:rPr>
          <w:rFonts w:cs="EB Garamond"/>
          <w:kern w:val="16"/>
          <w14:ligatures w14:val="standardContextual"/>
        </w:rPr>
      </w:pPr>
      <w:r>
        <w:rPr>
          <w:rFonts w:cs="EB Garamond"/>
          <w:kern w:val="16"/>
          <w14:ligatures w14:val="standardContextual"/>
        </w:rPr>
        <w:t xml:space="preserve"> ruído é, de longe, o agente nocivo mais litigado nos JEFs. Seu regime jurídico apresenta peculiaridades que justificam exame separado.</w:t>
      </w:r>
    </w:p>
    <w:p w14:paraId="78298CFC" w14:textId="77777777" w:rsidR="005C0081" w:rsidRDefault="005C0081"/>
    <w:p w14:paraId="7BFCBDB1" w14:textId="77777777" w:rsidR="005A5FCC" w:rsidRDefault="00A21C81">
      <w:pPr>
        <w:spacing w:before="260" w:after="80" w:line="240" w:lineRule="auto"/>
        <w:jc w:val="left"/>
      </w:pPr>
      <w:r>
        <w:rPr>
          <w:rFonts w:cs="EB Garamond"/>
          <w:b/>
          <w:color w:val="3A3128"/>
          <w:kern w:val="16"/>
          <w:sz w:val="25"/>
          <w14:ligatures w14:val="standardContextual"/>
        </w:rPr>
        <w:t>8.6.1 Evolução dos limites de tolerância</w:t>
      </w:r>
    </w:p>
    <w:p w14:paraId="2A0631AD"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4AAC95C9" w14:textId="77777777" w:rsidR="005A5FCC" w:rsidRDefault="00A21C81">
      <w:r>
        <w:rPr>
          <w:rFonts w:cs="EB Garamond"/>
          <w:kern w:val="16"/>
          <w14:ligatures w14:val="standardContextual"/>
        </w:rPr>
        <w:t>s limites de tolerância ao ruído variaram ao longo do tempo, em aplicação do princípio tempus regit actum:</w:t>
      </w:r>
    </w:p>
    <w:p w14:paraId="59FB14FD" w14:textId="77777777" w:rsidR="005A5FCC" w:rsidRDefault="00A21C81">
      <w:pPr>
        <w:ind w:firstLine="238"/>
      </w:pPr>
      <w:r>
        <w:rPr>
          <w:rFonts w:cs="EB Garamond"/>
          <w:kern w:val="16"/>
          <w14:ligatures w14:val="standardContextual"/>
        </w:rPr>
        <w:t>(a) Até 05/03/1997: ruído superior a 80 dB(A), conforme Quadro Anexo do Decreto n. 53.831/1964, que prevalece sobre o limite de 90 dB(A) previsto no Decreto n. 83.080/1979, por ser mais favorável ao segurado, nos termos da jurisprudência consolidada;</w:t>
      </w:r>
    </w:p>
    <w:p w14:paraId="10610701" w14:textId="77777777" w:rsidR="005A5FCC" w:rsidRDefault="00A21C81">
      <w:pPr>
        <w:ind w:firstLine="238"/>
      </w:pPr>
      <w:r>
        <w:rPr>
          <w:rFonts w:cs="EB Garamond"/>
          <w:kern w:val="16"/>
          <w14:ligatures w14:val="standardContextual"/>
        </w:rPr>
        <w:t>(b) De 06/03/1997 a 18/11/2003: ruído superior a 90 dB(A), conforme Anexo IV do Decreto n. 2.172/1997 e, posteriormente, do Decreto n. 3.048/1999 em sua redação original;</w:t>
      </w:r>
    </w:p>
    <w:p w14:paraId="755663B6" w14:textId="77777777" w:rsidR="005A5FCC" w:rsidRDefault="00A21C81">
      <w:pPr>
        <w:ind w:firstLine="238"/>
      </w:pPr>
      <w:r>
        <w:rPr>
          <w:rFonts w:cs="EB Garamond"/>
          <w:kern w:val="16"/>
          <w14:ligatures w14:val="standardContextual"/>
        </w:rPr>
        <w:t>(c) A partir de 19/11/2003: ruído superior a 85 dB(A), conforme Anexo IV do Decreto n. 3.048/1999, com a alteração promovida pelo Decreto n. 4.882/2003.</w:t>
      </w:r>
    </w:p>
    <w:p w14:paraId="0E3C3FB8" w14:textId="77777777" w:rsidR="005A5FCC" w:rsidRDefault="00A21C81">
      <w:pPr>
        <w:spacing w:before="260" w:after="80" w:line="240" w:lineRule="auto"/>
        <w:jc w:val="left"/>
      </w:pPr>
      <w:r>
        <w:rPr>
          <w:rFonts w:cs="EB Garamond"/>
          <w:b/>
          <w:color w:val="3A3128"/>
          <w:kern w:val="16"/>
          <w:sz w:val="25"/>
          <w14:ligatures w14:val="standardContextual"/>
        </w:rPr>
        <w:lastRenderedPageBreak/>
        <w:t>8.6.2 Metodologia de aferição</w:t>
      </w:r>
    </w:p>
    <w:p w14:paraId="3865406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1F6458A1" w14:textId="77777777" w:rsidR="005A5FCC" w:rsidRDefault="00A21C81">
      <w:r>
        <w:rPr>
          <w:rFonts w:cs="EB Garamond"/>
          <w:kern w:val="16"/>
          <w14:ligatures w14:val="standardContextual"/>
        </w:rPr>
        <w:t xml:space="preserve"> aferição do ruído para fins de enquadramento como atividade especial deve observar a metodologia NHO-01 da Fundacentro, que utiliza o nível de exposição normalizado (NEN) ou dose de ruído, medido durante a jornada de trabalho por meio de dosímetro de ruído. A mera indicação do nível de ruído instantâneo (em dB) sem referência à metodologia de medição é insuficiente, pois não reflete a exposição real ao longo da jornada — o ruído pode variar significativamente durante as atividades, e a exposição efetiva é determinada pela média ponderada ao longo do período de trabalho.</w:t>
      </w:r>
    </w:p>
    <w:p w14:paraId="67A8EE94" w14:textId="77777777" w:rsidR="005A5FCC" w:rsidRDefault="00A21C81">
      <w:pPr>
        <w:ind w:firstLine="238"/>
      </w:pPr>
      <w:r>
        <w:rPr>
          <w:rFonts w:cs="EB Garamond"/>
          <w:kern w:val="16"/>
          <w14:ligatures w14:val="standardContextual"/>
        </w:rPr>
        <w:t>A NHO-01 estabelece que a medição deve ser feita com dosímetro fixado no trabalhador durante toda a jornada (ou amostra representativa), utilizando circuito de compensação "A" e circuito de resposta lenta (slow). O resultado é expresso em nível de exposição normalizado (NEN) para 8 horas de jornada. A norma técnica adota o critério de referência de 85 dB(A) para 8 horas, com incremento de duplicação de dose (q=3), ou seja, a cada acréscimo de 3 dB(A), o tempo máximo de exposição permitida é reduzido pela metade.</w:t>
      </w:r>
    </w:p>
    <w:p w14:paraId="56D598A7" w14:textId="77777777" w:rsidR="005A5FCC" w:rsidRDefault="00A21C81">
      <w:pPr>
        <w:ind w:firstLine="238"/>
      </w:pPr>
      <w:r>
        <w:rPr>
          <w:rFonts w:cs="EB Garamond"/>
          <w:kern w:val="16"/>
          <w14:ligatures w14:val="standardContextual"/>
        </w:rPr>
        <w:t>Na prática, contudo, a jurisprudência tem sido flexível quanto à metodologia, aceitando as informações constantes do PPP quando indicam o nível de ruído em dB(A) e o perito judicial não identifica inconsistências na medição. A exigência de rigor metodológico absoluto poderia inviabilizar o enquadramento de períodos antigos, para os quais não se dispõe de medições contemporâneas com a metodologia atual. A Súmula 68 da TNU reforça essa flexibilidade ao admitir laudo pericial não contemporâneo ao período trabalhado.</w:t>
      </w:r>
    </w:p>
    <w:tbl>
      <w:tblPr>
        <w:tblW w:w="5000" w:type="pct"/>
        <w:jc w:val="center"/>
        <w:tblLayout w:type="fixed"/>
        <w:tblLook w:val="04A0" w:firstRow="1" w:lastRow="0" w:firstColumn="1" w:lastColumn="0" w:noHBand="0" w:noVBand="1"/>
      </w:tblPr>
      <w:tblGrid>
        <w:gridCol w:w="6311"/>
      </w:tblGrid>
      <w:tr w:rsidR="005A5FCC" w14:paraId="43D7E0D4"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5B4E264B" w14:textId="77777777" w:rsidR="005A5FCC" w:rsidRDefault="00A21C81">
            <w:pPr>
              <w:spacing w:after="60" w:line="240" w:lineRule="auto"/>
              <w:jc w:val="left"/>
            </w:pPr>
            <w:r>
              <w:rPr>
                <w:rFonts w:ascii="Noto Sans" w:hAnsi="Noto Sans" w:cs="Noto Sans"/>
                <w:b/>
                <w:caps/>
                <w:color w:val="4D6F8A"/>
                <w:kern w:val="16"/>
                <w:sz w:val="16"/>
                <w14:ligatures w14:val="standardContextual"/>
              </w:rPr>
              <w:lastRenderedPageBreak/>
              <w:t>JURISPRUDÊNCIA EM DESTAQUE</w:t>
            </w:r>
          </w:p>
          <w:p w14:paraId="601FED1A" w14:textId="77777777" w:rsidR="005A5FCC" w:rsidRDefault="00A21C81">
            <w:pPr>
              <w:spacing w:after="60" w:line="247" w:lineRule="auto"/>
            </w:pPr>
            <w:r>
              <w:rPr>
                <w:rFonts w:cs="EB Garamond"/>
                <w:kern w:val="16"/>
                <w:sz w:val="19"/>
                <w14:ligatures w14:val="standardContextual"/>
              </w:rPr>
              <w:t>A metodologia de aferição do ruído é objeto de controvérsia frequente nos JEFs. A jurisprudência admite que o ruído seja medido tanto por dosimetria (metodologia preferencial, prevista na NHO-01 da Fundacentro) quanto por decibelímetro (medição pontual), desde que o resultado seja compatível com as demais informações do PPP e não haja impugnação fundamentada. Para períodos anteriores à edição da NHO-01, nos quais não se dispunha de dosímetros, a medição por decibelímetro é aceita sem ressalvas. A tendência jurisprudencial é privilegiar a proteção do trabalhador, não exigindo rigor metodológico que inviabilize a prova de exposição em períodos remotos.</w:t>
            </w:r>
          </w:p>
        </w:tc>
      </w:tr>
    </w:tbl>
    <w:p w14:paraId="4BD8EB73" w14:textId="77777777" w:rsidR="005A5FCC" w:rsidRDefault="005A5FCC">
      <w:pPr>
        <w:spacing w:after="80" w:line="240" w:lineRule="auto"/>
      </w:pPr>
    </w:p>
    <w:tbl>
      <w:tblPr>
        <w:tblW w:w="5000" w:type="pct"/>
        <w:jc w:val="center"/>
        <w:tblLayout w:type="fixed"/>
        <w:tblLook w:val="04A0" w:firstRow="1" w:lastRow="0" w:firstColumn="1" w:lastColumn="0" w:noHBand="0" w:noVBand="1"/>
      </w:tblPr>
      <w:tblGrid>
        <w:gridCol w:w="6311"/>
      </w:tblGrid>
      <w:tr w:rsidR="005A5FCC" w14:paraId="54D1295C"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5BCD6AB9"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72843423" w14:textId="77777777" w:rsidR="005A5FCC" w:rsidRDefault="00A21C81">
            <w:pPr>
              <w:spacing w:after="60" w:line="247" w:lineRule="auto"/>
            </w:pPr>
            <w:r>
              <w:rPr>
                <w:rFonts w:cs="EB Garamond"/>
                <w:kern w:val="16"/>
                <w:sz w:val="19"/>
                <w14:ligatures w14:val="standardContextual"/>
              </w:rPr>
              <w:t>A aplicação retroativa do limite de 85 dB(A) (vigente a partir de 19/11/2003) a períodos anteriores é vedada pela jurisprudência consolidada. Assim, não se pode utilizar o limite de 85 dB(A) para reconhecer como especial o período de 06/03/1997 a 18/11/2003, no qual o limite era de 90 dB(A). Cada período deve ser avaliado conforme o limite vigente à época da prestação do serviço (tempus regit actum). Da mesma forma, o limite de 90 dB(A) não pode ser aplicado retroativamente ao período anterior a 06/03/1997, quando o limite era de 80 dB(A).</w:t>
            </w:r>
          </w:p>
        </w:tc>
      </w:tr>
    </w:tbl>
    <w:p w14:paraId="772C97FE" w14:textId="77777777" w:rsidR="005A5FCC" w:rsidRDefault="005A5FCC">
      <w:pPr>
        <w:spacing w:after="80" w:line="240" w:lineRule="auto"/>
      </w:pPr>
    </w:p>
    <w:p w14:paraId="04CFE8DB" w14:textId="7D397CA6"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 xml:space="preserve">8.7 Equipamentos de proteção individual (EPI) e o </w:t>
      </w:r>
      <w:r w:rsidR="005C0081">
        <w:rPr>
          <w:rFonts w:cs="EB Garamond"/>
          <w:b/>
          <w:color w:val="3A3128"/>
          <w:kern w:val="16"/>
          <w:sz w:val="31"/>
          <w14:ligatures w14:val="standardContextual"/>
        </w:rPr>
        <w:t>T</w:t>
      </w:r>
      <w:r>
        <w:rPr>
          <w:rFonts w:cs="EB Garamond"/>
          <w:b/>
          <w:color w:val="3A3128"/>
          <w:kern w:val="16"/>
          <w:sz w:val="31"/>
          <w14:ligatures w14:val="standardContextual"/>
        </w:rPr>
        <w:t>ema 555/STF</w:t>
      </w:r>
    </w:p>
    <w:p w14:paraId="3724DD85"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1C53077E" w14:textId="77777777" w:rsidR="005A5FCC" w:rsidRDefault="00A21C81">
      <w:r>
        <w:rPr>
          <w:rFonts w:cs="EB Garamond"/>
          <w:kern w:val="16"/>
          <w14:ligatures w14:val="standardContextual"/>
        </w:rPr>
        <w:t xml:space="preserve"> questão da eficácia dos Equipamentos de Proteção Individual (EPI) na neutralização dos agentes nocivos e seus efeitos sobre o reconhecimento de atividade especial foi definitivamente resolvida pelo STF no julgamento do ARE 664.335 (Tema 555 da Repercussão Geral).</w:t>
      </w:r>
    </w:p>
    <w:p w14:paraId="38532DE3" w14:textId="77777777" w:rsidR="005A5FCC" w:rsidRDefault="00A21C81">
      <w:pPr>
        <w:spacing w:before="260" w:after="80" w:line="240" w:lineRule="auto"/>
        <w:jc w:val="left"/>
      </w:pPr>
      <w:r>
        <w:rPr>
          <w:rFonts w:cs="EB Garamond"/>
          <w:b/>
          <w:color w:val="3A3128"/>
          <w:kern w:val="16"/>
          <w:sz w:val="25"/>
          <w14:ligatures w14:val="standardContextual"/>
        </w:rPr>
        <w:t>8.7.1 As duas teses fixadas pelo STF</w:t>
      </w:r>
    </w:p>
    <w:p w14:paraId="6A143162"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O</w:t>
      </w:r>
    </w:p>
    <w:p w14:paraId="23B7673A" w14:textId="77777777" w:rsidR="005A5FCC" w:rsidRDefault="00A21C81">
      <w:r>
        <w:rPr>
          <w:rFonts w:cs="EB Garamond"/>
          <w:kern w:val="16"/>
          <w14:ligatures w14:val="standardContextual"/>
        </w:rPr>
        <w:t xml:space="preserve"> STF fixou duas teses no Tema 555:</w:t>
      </w:r>
    </w:p>
    <w:p w14:paraId="4DFFE1C1" w14:textId="77777777" w:rsidR="005A5FCC" w:rsidRDefault="00A21C81">
      <w:pPr>
        <w:ind w:firstLine="238"/>
      </w:pPr>
      <w:r>
        <w:rPr>
          <w:rFonts w:cs="EB Garamond"/>
          <w:b/>
          <w:kern w:val="16"/>
          <w14:ligatures w14:val="standardContextual"/>
        </w:rPr>
        <w:t>Primeira tese (regra geral):</w:t>
      </w:r>
      <w:r>
        <w:rPr>
          <w:rFonts w:cs="EB Garamond"/>
          <w:kern w:val="16"/>
          <w14:ligatures w14:val="standardContextual"/>
        </w:rPr>
        <w:t xml:space="preserve"> O direito à aposentadoria especial pressupõe a efetiva exposição do trabalhador a agente nocivo à sua saúde, de modo que, se o EPI for realmente capaz de neutralizar a nocividade, não haverá respaldo constitucional à aposentadoria especial.</w:t>
      </w:r>
    </w:p>
    <w:p w14:paraId="6C84801A" w14:textId="77777777" w:rsidR="005A5FCC" w:rsidRDefault="00A21C81">
      <w:pPr>
        <w:ind w:firstLine="238"/>
      </w:pPr>
      <w:r>
        <w:rPr>
          <w:rFonts w:cs="EB Garamond"/>
          <w:b/>
          <w:kern w:val="16"/>
          <w14:ligatures w14:val="standardContextual"/>
        </w:rPr>
        <w:t>Segunda tese (exceção para ruído):</w:t>
      </w:r>
      <w:r>
        <w:rPr>
          <w:rFonts w:cs="EB Garamond"/>
          <w:kern w:val="16"/>
          <w14:ligatures w14:val="standardContextual"/>
        </w:rPr>
        <w:t xml:space="preserve"> Na hipótese de exposição do trabalhador a ruído acima dos limites legais de tolerância, a declaração do empregador, no âmbito do Perfil Profissiográfico Previdenciário (PPP), da eficácia do Equipamento de Proteção Individual (EPI), não descaracteriza o tempo de serviço especial para aposentadoria.</w:t>
      </w:r>
    </w:p>
    <w:p w14:paraId="3233613A" w14:textId="77777777" w:rsidR="005A5FCC" w:rsidRDefault="00A21C81">
      <w:pPr>
        <w:ind w:firstLine="238"/>
      </w:pPr>
      <w:r>
        <w:rPr>
          <w:rFonts w:cs="EB Garamond"/>
          <w:kern w:val="16"/>
          <w14:ligatures w14:val="standardContextual"/>
        </w:rPr>
        <w:t>A segunda tese, que constitui exceção à regra geral, fundamenta-se no reconhecimento de que, em relação ao ruído, os EPIs (protetores auriculares) são incapazes de neutralizar integralmente os efeitos nocivos sobre o organismo. A exposição ao ruído causa danos não apenas ao sistema auditivo, mas também ao sistema cardiovascular, neurológico e psicológico, e esses efeitos extraauditivos não são eliminados pelo uso de protetor auricular.</w:t>
      </w:r>
    </w:p>
    <w:p w14:paraId="7825CA9B" w14:textId="77777777" w:rsidR="005A5FCC" w:rsidRDefault="00A21C81">
      <w:pPr>
        <w:spacing w:before="260" w:after="80" w:line="240" w:lineRule="auto"/>
        <w:jc w:val="left"/>
      </w:pPr>
      <w:r>
        <w:rPr>
          <w:rFonts w:cs="EB Garamond"/>
          <w:b/>
          <w:color w:val="3A3128"/>
          <w:kern w:val="16"/>
          <w:sz w:val="25"/>
          <w14:ligatures w14:val="standardContextual"/>
        </w:rPr>
        <w:t>8.7.2 Ônus da prova da eficácia do EPI</w:t>
      </w:r>
    </w:p>
    <w:p w14:paraId="5CDA82A9"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45D36C07" w14:textId="77777777" w:rsidR="005A5FCC" w:rsidRDefault="00A21C81">
      <w:r>
        <w:rPr>
          <w:rFonts w:cs="EB Garamond"/>
          <w:kern w:val="16"/>
          <w14:ligatures w14:val="standardContextual"/>
        </w:rPr>
        <w:t xml:space="preserve"> distribuição do ônus da prova quanto à eficácia do EPI é relevante na prática dos JEFs. A indicação no PPP de fornecimento de EPI eficaz (campo "EPI Eficaz" marcado como "Sim") cria presunção relativa de neutralização do agente nocivo — exceto para o ruído, conforme a segunda tese do Tema 555.</w:t>
      </w:r>
    </w:p>
    <w:p w14:paraId="5AE43231" w14:textId="77777777" w:rsidR="005A5FCC" w:rsidRDefault="00A21C81">
      <w:pPr>
        <w:ind w:firstLine="238"/>
      </w:pPr>
      <w:r>
        <w:rPr>
          <w:rFonts w:cs="EB Garamond"/>
          <w:kern w:val="16"/>
          <w14:ligatures w14:val="standardContextual"/>
        </w:rPr>
        <w:t>Para os demais agentes nocivos, cabe ao segurado que pretende o reconhecimento da atividade especial demonstrar que, a despeito da indicação de EPI eficaz no PPP, o equipamento não era efetivamente capaz de neutralizar a nocividade. A prova pode ser feita por: (a) perícia judicial que constate a ineficácia do EPI para o agente específico; (b) demonstração de irregularidades no fornecimento, troca ou manutenção dos equipamentos; (c) comprovação de que o agente nocivo possui efeitos que não são neutralizáveis por EPI (como ocorre com diversos agentes químicos de absorção cutânea).</w:t>
      </w:r>
    </w:p>
    <w:p w14:paraId="7F665FFB" w14:textId="77777777" w:rsidR="005A5FCC" w:rsidRDefault="00A21C81">
      <w:pPr>
        <w:ind w:firstLine="238"/>
      </w:pPr>
      <w:r>
        <w:rPr>
          <w:rFonts w:cs="EB Garamond"/>
          <w:kern w:val="16"/>
          <w14:ligatures w14:val="standardContextual"/>
        </w:rPr>
        <w:t xml:space="preserve">O STJ, ao julgar o Tema 1.090 (REsp 2.082.072, Rel. Min. Maria Thereza de Assis Moura, j. 09/04/2025), sob a sistemática dos recursos repetitivos, reforçou </w:t>
      </w:r>
      <w:r>
        <w:rPr>
          <w:rFonts w:cs="EB Garamond"/>
          <w:kern w:val="16"/>
          <w14:ligatures w14:val="standardContextual"/>
        </w:rPr>
        <w:lastRenderedPageBreak/>
        <w:t>a interpretação do Tema 555/STF e detalhou a distribuição do ônus probatório quanto à eficácia do EPI. A Corte assentou que a anotação positiva sobre o EPI no PPP descaracteriza, em princípio, o tempo especial, ressalvadas hipóteses excepcionais, e atribuiu ao segurado o ônus de demonstrar a ineficácia concreta do equipamento.</w:t>
      </w:r>
    </w:p>
    <w:tbl>
      <w:tblPr>
        <w:tblW w:w="5000" w:type="pct"/>
        <w:jc w:val="center"/>
        <w:tblLayout w:type="fixed"/>
        <w:tblLook w:val="04A0" w:firstRow="1" w:lastRow="0" w:firstColumn="1" w:lastColumn="0" w:noHBand="0" w:noVBand="1"/>
      </w:tblPr>
      <w:tblGrid>
        <w:gridCol w:w="6311"/>
      </w:tblGrid>
      <w:tr w:rsidR="005A5FCC" w14:paraId="4F142426"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157D2CC1" w14:textId="77777777" w:rsidR="005A5FCC" w:rsidRDefault="00A21C81">
            <w:pPr>
              <w:spacing w:after="60" w:line="240" w:lineRule="auto"/>
              <w:jc w:val="left"/>
            </w:pPr>
            <w:r>
              <w:rPr>
                <w:rFonts w:ascii="Noto Sans" w:hAnsi="Noto Sans" w:cs="Noto Sans"/>
                <w:b/>
                <w:caps/>
                <w:color w:val="4D6F8A"/>
                <w:kern w:val="16"/>
                <w:sz w:val="16"/>
                <w14:ligatures w14:val="standardContextual"/>
              </w:rPr>
              <w:t>JURISPRUDÊNCIA EM DESTAQUE</w:t>
            </w:r>
          </w:p>
          <w:p w14:paraId="7E2A924B" w14:textId="77777777" w:rsidR="005A5FCC" w:rsidRDefault="00A21C81">
            <w:pPr>
              <w:spacing w:after="60" w:line="247" w:lineRule="auto"/>
            </w:pPr>
            <w:r>
              <w:rPr>
                <w:rFonts w:cs="EB Garamond"/>
                <w:b/>
                <w:kern w:val="16"/>
                <w:sz w:val="19"/>
                <w14:ligatures w14:val="standardContextual"/>
              </w:rPr>
              <w:t>STJ, Tema 1.090 (REsp 2.082.072, Rel. Min. Maria Thereza de Assis Moura, j. 09/04/2025):</w:t>
            </w:r>
          </w:p>
          <w:p w14:paraId="423B5190" w14:textId="77777777" w:rsidR="005A5FCC" w:rsidRDefault="00A21C81">
            <w:pPr>
              <w:spacing w:after="60" w:line="247" w:lineRule="auto"/>
            </w:pPr>
            <w:r>
              <w:rPr>
                <w:rFonts w:cs="EB Garamond"/>
                <w:kern w:val="16"/>
                <w:sz w:val="19"/>
                <w14:ligatures w14:val="standardContextual"/>
              </w:rPr>
              <w:t>"I - A informação no Perfil Profissiográfico Previdenciário (PPP) sobre a existência de equipamento de proteção individual (EPI) descaracteriza, em princípio, o tempo especial, ressalvadas as hipóteses excepcionais nas quais, mesmo diante da comprovada proteção, o direito à contagem especial é reconhecido. II - Incumbe ao autor da ação previdenciária o ônus de comprovar: (i) a ausência de adequação ao risco da atividade; (ii) a inexistência ou irregularidade do certificado de conformidade; (iii) o descumprimento das normas de manutenção, substituição e higienização; (iv) a ausência ou insuficiência de orientação e treinamento sobre o uso adequado, guarda e conservação; ou (v) qualquer outro motivo capaz de conduzir à conclusão da ineficácia do EPI. III - Se a valoração da prova concluir pela presença de divergência ou de dúvida sobre a real eficácia do EPI, a conclusão deverá ser favorável ao autor."</w:t>
            </w:r>
          </w:p>
          <w:p w14:paraId="78B4E723" w14:textId="77777777" w:rsidR="005A5FCC" w:rsidRDefault="00A21C81">
            <w:pPr>
              <w:spacing w:after="60" w:line="247" w:lineRule="auto"/>
            </w:pPr>
            <w:r>
              <w:rPr>
                <w:rFonts w:cs="EB Garamond"/>
                <w:kern w:val="16"/>
                <w:sz w:val="19"/>
                <w14:ligatures w14:val="standardContextual"/>
              </w:rPr>
              <w:t>A tese harmoniza-se com o Tema 555/STF: para os agentes em geral, a declaração de EPI eficaz no PPP gera presunção relativa de neutralização, cabendo ao segurado afastá-la pelos meios indicados no inciso II; persistindo dúvida sobre a real eficácia, decide-se em favor do autor (inciso III, aplicação do princípio in dubio pro misero). A ressalva do ruído permanece: para esse agente, a declaração de eficácia do EPI é irrelevante, e a atividade especial é reconhecida independentemente do que constar no PPP (segunda tese do Tema 555/STF).</w:t>
            </w:r>
          </w:p>
        </w:tc>
      </w:tr>
    </w:tbl>
    <w:p w14:paraId="52BB9826" w14:textId="77777777" w:rsidR="005A5FCC" w:rsidRDefault="005A5FCC">
      <w:pPr>
        <w:spacing w:after="80" w:line="240" w:lineRule="auto"/>
      </w:pPr>
    </w:p>
    <w:p w14:paraId="01C8DB8D" w14:textId="77777777" w:rsidR="005A5FCC" w:rsidRDefault="00A21C81">
      <w:pPr>
        <w:spacing w:before="260" w:after="80" w:line="240" w:lineRule="auto"/>
        <w:jc w:val="left"/>
      </w:pPr>
      <w:r>
        <w:rPr>
          <w:rFonts w:cs="EB Garamond"/>
          <w:b/>
          <w:color w:val="3A3128"/>
          <w:kern w:val="16"/>
          <w:sz w:val="25"/>
          <w14:ligatures w14:val="standardContextual"/>
        </w:rPr>
        <w:t>8.7.3 Agentes nocivos e neutralização pelo EPI</w:t>
      </w:r>
    </w:p>
    <w:p w14:paraId="119B595D"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0FBFED8D" w14:textId="77777777" w:rsidR="005A5FCC" w:rsidRDefault="00A21C81">
      <w:r>
        <w:rPr>
          <w:rFonts w:cs="EB Garamond"/>
          <w:kern w:val="16"/>
          <w14:ligatures w14:val="standardContextual"/>
        </w:rPr>
        <w:t xml:space="preserve"> questão da neutralização do agente nocivo pelo EPI deve ser analisada caso a caso, considerando a natureza do agente:</w:t>
      </w:r>
    </w:p>
    <w:p w14:paraId="5108FD82" w14:textId="77777777" w:rsidR="005A5FCC" w:rsidRDefault="00A21C81">
      <w:pPr>
        <w:ind w:firstLine="238"/>
      </w:pPr>
      <w:r>
        <w:rPr>
          <w:rFonts w:cs="EB Garamond"/>
          <w:kern w:val="16"/>
          <w14:ligatures w14:val="standardContextual"/>
        </w:rPr>
        <w:t>(a) Agentes cuja neutralização pelo EPI é tecnicamente possível: ruído (parcial), poeiras minerais (com uso de respiradores adequados), radiação ultravioleta (com protetores específicos);</w:t>
      </w:r>
    </w:p>
    <w:p w14:paraId="60F24269" w14:textId="77777777" w:rsidR="005A5FCC" w:rsidRDefault="00A21C81">
      <w:pPr>
        <w:ind w:firstLine="238"/>
      </w:pPr>
      <w:r>
        <w:rPr>
          <w:rFonts w:cs="EB Garamond"/>
          <w:kern w:val="16"/>
          <w14:ligatures w14:val="standardContextual"/>
        </w:rPr>
        <w:lastRenderedPageBreak/>
        <w:t>(b) Agentes cuja neutralização pelo EPI é tecnicamente inviável ou insuficiente: agentes biológicos (o EPI reduz, mas não elimina o risco de contaminação), agentes cancerígenos (benzeno, asbesto — a exposição a qualquer nível é potencialmente danosa), agentes químicos de absorção cutânea (o EPI tradicional não impede a absorção).</w:t>
      </w:r>
    </w:p>
    <w:p w14:paraId="48EA9C59" w14:textId="77777777" w:rsidR="005A5FCC" w:rsidRDefault="00A21C81">
      <w:pPr>
        <w:ind w:firstLine="238"/>
      </w:pPr>
      <w:r>
        <w:rPr>
          <w:rFonts w:cs="EB Garamond"/>
          <w:kern w:val="16"/>
          <w14:ligatures w14:val="standardContextual"/>
        </w:rPr>
        <w:t>Para os agentes cancerígenos, a jurisprudência tende a reconhecer a atividade especial independentemente do uso de EPI, dado que não existe nível seguro de exposição. O mesmo raciocínio aplica-se aos agentes biológicos em ambiente hospitalar, onde o risco de contaminação acidental persiste mesmo com o uso adequado de equipamentos de proteção.</w:t>
      </w:r>
    </w:p>
    <w:p w14:paraId="6B7CD2E1"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8.8 Perfil profissiográfico previdenciário (PPP)</w:t>
      </w:r>
    </w:p>
    <w:p w14:paraId="2EB2E5B2"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20229D21" w14:textId="77777777" w:rsidR="005A5FCC" w:rsidRDefault="00A21C81">
      <w:r>
        <w:rPr>
          <w:rFonts w:cs="EB Garamond"/>
          <w:kern w:val="16"/>
          <w14:ligatures w14:val="standardContextual"/>
        </w:rPr>
        <w:t xml:space="preserve"> PPP é o documento central na comprovação de atividade especial para períodos a partir de 01/01/2004, quando substituiu os formulários anteriores (SB-40, DISES-BE 5235, DSS-8030 e DIRBEN 8030).</w:t>
      </w:r>
    </w:p>
    <w:p w14:paraId="6AF2CF0E" w14:textId="77777777" w:rsidR="005A5FCC" w:rsidRDefault="00A21C81">
      <w:pPr>
        <w:spacing w:before="260" w:after="80" w:line="240" w:lineRule="auto"/>
        <w:jc w:val="left"/>
      </w:pPr>
      <w:r>
        <w:rPr>
          <w:rFonts w:cs="EB Garamond"/>
          <w:b/>
          <w:color w:val="3A3128"/>
          <w:kern w:val="16"/>
          <w:sz w:val="25"/>
          <w14:ligatures w14:val="standardContextual"/>
        </w:rPr>
        <w:t>8.8.1 Conceito e conteúdo</w:t>
      </w:r>
    </w:p>
    <w:p w14:paraId="7FFE44A4"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589C51D2" w14:textId="77777777" w:rsidR="005A5FCC" w:rsidRDefault="00A21C81">
      <w:r>
        <w:rPr>
          <w:rFonts w:cs="EB Garamond"/>
          <w:kern w:val="16"/>
          <w14:ligatures w14:val="standardContextual"/>
        </w:rPr>
        <w:t xml:space="preserve"> art. 58, § 4º, da Lei n. 8.213/91 estabelece que a empresa deverá elaborar e manter atualizado perfil profissiográfico abrangendo as atividades desenvolvidas pelo trabalhador e fornecer a este, quando da rescisão do contrato de trabalho, cópia autêntica do documento. O PPP contém informações sobre: (a) dados administrativos do trabalhador (nome, cargo, setor, CNPJ da empresa); (b) registros ambientais (agentes nocivos identificados, intensidade, técnica de medição utilizada); (c) resultados de monitoração biológica (quando aplicável); (d) dados referentes ao responsável pelos registros (médico do trabalho ou engenheiro de segurança do trabalho); e (e) informações sobre EPI fornecidos e sua eficácia.</w:t>
      </w:r>
    </w:p>
    <w:p w14:paraId="7FFBC412" w14:textId="77777777" w:rsidR="005A5FCC" w:rsidRDefault="00A21C81">
      <w:pPr>
        <w:ind w:firstLine="238"/>
      </w:pPr>
      <w:r>
        <w:rPr>
          <w:rFonts w:cs="EB Garamond"/>
          <w:kern w:val="16"/>
          <w14:ligatures w14:val="standardContextual"/>
        </w:rPr>
        <w:t>O PPP deve ser elaborado com base no Laudo Técnico de Condições Ambientais do Trabalho (LTCAT), que é o documento técnico que embasa as infor</w:t>
      </w:r>
      <w:r>
        <w:rPr>
          <w:rFonts w:cs="EB Garamond"/>
          <w:kern w:val="16"/>
          <w14:ligatures w14:val="standardContextual"/>
        </w:rPr>
        <w:lastRenderedPageBreak/>
        <w:t>mações sobre as condições ambientais. O LTCAT é elaborado por médico do trabalho ou engenheiro de segurança do trabalho habilitado, e contém a avaliação qualitativa e quantitativa dos agentes nocivos presentes no ambiente de trabalho.</w:t>
      </w:r>
    </w:p>
    <w:p w14:paraId="789DDE1F" w14:textId="32419D3F" w:rsidR="005A5FCC" w:rsidRDefault="00A21C81">
      <w:pPr>
        <w:spacing w:before="260" w:after="80" w:line="240" w:lineRule="auto"/>
        <w:jc w:val="left"/>
      </w:pPr>
      <w:r>
        <w:rPr>
          <w:rFonts w:cs="EB Garamond"/>
          <w:b/>
          <w:color w:val="3A3128"/>
          <w:kern w:val="16"/>
          <w:sz w:val="25"/>
          <w14:ligatures w14:val="standardContextual"/>
        </w:rPr>
        <w:t>8.8.2 PPP eletrônico via e</w:t>
      </w:r>
      <w:r w:rsidR="005C0081">
        <w:rPr>
          <w:rFonts w:cs="EB Garamond"/>
          <w:b/>
          <w:color w:val="3A3128"/>
          <w:kern w:val="16"/>
          <w:sz w:val="25"/>
          <w14:ligatures w14:val="standardContextual"/>
        </w:rPr>
        <w:t>S</w:t>
      </w:r>
      <w:r>
        <w:rPr>
          <w:rFonts w:cs="EB Garamond"/>
          <w:b/>
          <w:color w:val="3A3128"/>
          <w:kern w:val="16"/>
          <w:sz w:val="25"/>
          <w14:ligatures w14:val="standardContextual"/>
        </w:rPr>
        <w:t>ocial</w:t>
      </w:r>
    </w:p>
    <w:p w14:paraId="5B5F4791"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71496CB3" w14:textId="77777777" w:rsidR="005A5FCC" w:rsidRDefault="00A21C81">
      <w:r>
        <w:rPr>
          <w:rFonts w:cs="EB Garamond"/>
          <w:kern w:val="16"/>
          <w14:ligatures w14:val="standardContextual"/>
        </w:rPr>
        <w:t xml:space="preserve"> partir de 01 de janeiro de 2023, o PPP passou a ser emitido exclusivamente em meio eletrônico, por intermédio do Sistema de Escrituração Digital das Obrigações Fiscais, Previdenciárias e Trabalhistas (eSocial), mediante o evento S-2240 (Condições Ambientais do Trabalho — Agentes Nocivos). O trabalhador pode acessar seu PPP eletrônico diretamente pelo portal Meu INSS, sem necessidade de solicitação ao empregador.</w:t>
      </w:r>
    </w:p>
    <w:p w14:paraId="28DC05DE" w14:textId="77777777" w:rsidR="005A5FCC" w:rsidRDefault="00A21C81">
      <w:pPr>
        <w:ind w:firstLine="238"/>
      </w:pPr>
      <w:r>
        <w:rPr>
          <w:rFonts w:cs="EB Garamond"/>
          <w:kern w:val="16"/>
          <w14:ligatures w14:val="standardContextual"/>
        </w:rPr>
        <w:t>A transição para o formato eletrônico trouxe benefícios significativos: (a) padronização das informações, com campos predefinidos que reduzem erros de preenchimento; (b) rastreabilidade, com registro de alterações e responsáveis; (c) acessibilidade, com consulta direta pelo segurado; e (d) integração com o sistema do INSS, facilitando a análise administrativa para concessão de benefícios.</w:t>
      </w:r>
    </w:p>
    <w:p w14:paraId="1BD9CC6C" w14:textId="77777777" w:rsidR="005A5FCC" w:rsidRDefault="00A21C81">
      <w:pPr>
        <w:ind w:firstLine="238"/>
      </w:pPr>
      <w:r>
        <w:rPr>
          <w:rFonts w:cs="EB Garamond"/>
          <w:kern w:val="16"/>
          <w14:ligatures w14:val="standardContextual"/>
        </w:rPr>
        <w:t>Contudo, para períodos anteriores a 01/01/2023, o PPP continua sendo emitido em formulário físico, assinado pelo representante legal da empresa e pelo responsável técnico (médico do trabalho ou engenheiro de segurança do trabalho). A empresa é obrigada a manter os registros ambientais e a emitir o PPP mesmo após o encerramento do contrato de trabalho, e a recusa em fornecer o documento sujeita o empregador às penalidades previstas na legislação.</w:t>
      </w:r>
    </w:p>
    <w:p w14:paraId="0D841C9C" w14:textId="77777777" w:rsidR="005A5FCC" w:rsidRDefault="00A21C81">
      <w:pPr>
        <w:spacing w:before="260" w:after="80" w:line="240" w:lineRule="auto"/>
        <w:jc w:val="left"/>
      </w:pPr>
      <w:r>
        <w:rPr>
          <w:rFonts w:cs="EB Garamond"/>
          <w:b/>
          <w:color w:val="3A3128"/>
          <w:kern w:val="16"/>
          <w:sz w:val="25"/>
          <w14:ligatures w14:val="standardContextual"/>
        </w:rPr>
        <w:t>8.8.3 Valor probatório do PPP</w:t>
      </w:r>
    </w:p>
    <w:p w14:paraId="204A4A31"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5D0CF225" w14:textId="77777777" w:rsidR="005A5FCC" w:rsidRDefault="00A21C81">
      <w:r>
        <w:rPr>
          <w:rFonts w:cs="EB Garamond"/>
          <w:kern w:val="16"/>
          <w14:ligatures w14:val="standardContextual"/>
        </w:rPr>
        <w:t xml:space="preserve"> obtenção do PPP quando a empresa foi extinta é problema frequente nos JEFs. Nesses casos, o segurado pode: (a) buscar o PPP junto à empresa sucessora, se houver; (b) requerer ao sindicato da categoria a emissão de documento equivalente, com base em registros disponíveis; (c) solicitar ao INSS a obtenção do documento por meio de diligência junto à Receita Federal ou à Junta Comercial; (d) requerer ao juízo a designação de perícia indireta, com base em documentos análogos (laudos de outros empregados da mesma empresa e </w:t>
      </w:r>
      <w:r>
        <w:rPr>
          <w:rFonts w:cs="EB Garamond"/>
          <w:kern w:val="16"/>
          <w14:ligatures w14:val="standardContextual"/>
        </w:rPr>
        <w:lastRenderedPageBreak/>
        <w:t>função, perícias de processos trabalhistas, autos de infração do MTE). A impossibilidade de obtenção do PPP por extinção da empresa não pode, por si só, prejudicar o direito do segurado ao reconhecimento da atividade especial — a prova pode ser suprida por outros meios, conforme pacífico na jurisprudência.</w:t>
      </w:r>
    </w:p>
    <w:p w14:paraId="54B2660F" w14:textId="77777777" w:rsidR="005A5FCC" w:rsidRDefault="00A21C81">
      <w:pPr>
        <w:ind w:firstLine="238"/>
      </w:pPr>
      <w:r>
        <w:rPr>
          <w:rFonts w:cs="EB Garamond"/>
          <w:kern w:val="16"/>
          <w14:ligatures w14:val="standardContextual"/>
        </w:rPr>
        <w:t>O PPP emitido pela empresa na forma legal, com indicação do responsável técnico e referência ao LTCAT, goza de presunção relativa de veracidade. O INSS não pode indeferir o reconhecimento de atividade especial com base em mera divergência genérica em relação às informações do PPP, a impugnação deve ser fundamentada em elementos concretos que demonstrem a inveracidade das informações.</w:t>
      </w:r>
    </w:p>
    <w:p w14:paraId="5B022783" w14:textId="77777777" w:rsidR="005A5FCC" w:rsidRDefault="00A21C81">
      <w:pPr>
        <w:ind w:firstLine="238"/>
      </w:pPr>
      <w:r>
        <w:rPr>
          <w:rFonts w:cs="EB Garamond"/>
          <w:kern w:val="16"/>
          <w14:ligatures w14:val="standardContextual"/>
        </w:rPr>
        <w:t>Na prática, a contestação do PPP pode se dar por diversas vias: (a) o INSS pode questionar a ausência de LTCAT contemporâneo; (b) a empresa pode alterar o PPP retrospectivamente, excluindo a referência a agentes nocivos; (c) o segurado pode alegar que o PPP não reflete fielmente as condições de trabalho. Em qualquer hipótese, a controvérsia sobre o conteúdo do PPP deve ser resolvida por perícia judicial ambiental, que verificará in loco (ou por elementos técnicos equivalentes) as condições de trabalho no ambiente questionado.</w:t>
      </w:r>
    </w:p>
    <w:tbl>
      <w:tblPr>
        <w:tblW w:w="5000" w:type="pct"/>
        <w:jc w:val="center"/>
        <w:tblLayout w:type="fixed"/>
        <w:tblLook w:val="04A0" w:firstRow="1" w:lastRow="0" w:firstColumn="1" w:lastColumn="0" w:noHBand="0" w:noVBand="1"/>
      </w:tblPr>
      <w:tblGrid>
        <w:gridCol w:w="6311"/>
      </w:tblGrid>
      <w:tr w:rsidR="005A5FCC" w14:paraId="2FCCC0A8"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7CB2B32A"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6E9045A5" w14:textId="77777777" w:rsidR="005A5FCC" w:rsidRDefault="00A21C81">
            <w:pPr>
              <w:spacing w:after="60" w:line="247" w:lineRule="auto"/>
            </w:pPr>
            <w:r>
              <w:rPr>
                <w:rFonts w:cs="EB Garamond"/>
                <w:kern w:val="16"/>
                <w:sz w:val="19"/>
                <w14:ligatures w14:val="standardContextual"/>
              </w:rPr>
              <w:t>No JEF, é comum que o PPP juntado pelo segurado contenha a indicação de exposição a agente nocivo, mas o INSS indefira o reconhecimento sob o argumento de que o PPP indica EPI eficaz. Nessa situação, cabe ao juiz verificar: (a) se o agente nocivo é ruído — caso em que o EPI é irrelevante (Tema 555/STF); (b) se a indicação de EPI eficaz é genérica ou específica; (c) se há elementos nos autos que infirmem a eficácia do EPI. A designação de perícia ambiental é medida adequada quando houver controvérsia fundada sobre a eficácia do EPI ou sobre as condições reais de trabalho. Para períodos remotos, a prova emprestada (laudos de outros processos referentes ao mesmo empregador e função) é admitida pela jurisprudência como meio de prova subsidiário.</w:t>
            </w:r>
          </w:p>
        </w:tc>
      </w:tr>
    </w:tbl>
    <w:p w14:paraId="5D07AE4B" w14:textId="77777777" w:rsidR="005A5FCC" w:rsidRDefault="005A5FCC">
      <w:pPr>
        <w:spacing w:after="80" w:line="240" w:lineRule="auto"/>
      </w:pPr>
    </w:p>
    <w:p w14:paraId="0AB6551B"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8.9 Conversão de tempo especial em comum</w:t>
      </w:r>
    </w:p>
    <w:p w14:paraId="0FEBA8D4"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5EB89372" w14:textId="77777777" w:rsidR="005A5FCC" w:rsidRDefault="00A21C81">
      <w:r>
        <w:rPr>
          <w:rFonts w:cs="EB Garamond"/>
          <w:kern w:val="16"/>
          <w14:ligatures w14:val="standardContextual"/>
        </w:rPr>
        <w:t xml:space="preserve"> segurado que não completou o tempo mínimo integral de atividade especial pode converter o período especial em tempo comum, com acréscimo proporcional, para fins de aposentadoria por tempo de contribuição.</w:t>
      </w:r>
    </w:p>
    <w:p w14:paraId="69FD72B9" w14:textId="77777777" w:rsidR="005A5FCC" w:rsidRDefault="00A21C81">
      <w:pPr>
        <w:spacing w:before="260" w:after="80" w:line="240" w:lineRule="auto"/>
        <w:jc w:val="left"/>
      </w:pPr>
      <w:r>
        <w:rPr>
          <w:rFonts w:cs="EB Garamond"/>
          <w:b/>
          <w:color w:val="3A3128"/>
          <w:kern w:val="16"/>
          <w:sz w:val="25"/>
          <w14:ligatures w14:val="standardContextual"/>
        </w:rPr>
        <w:t>8.9.1 Fundamento legal e fatores de conversão</w:t>
      </w:r>
    </w:p>
    <w:p w14:paraId="3B271C24"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666F715C" w14:textId="77777777" w:rsidR="005A5FCC" w:rsidRDefault="00A21C81">
      <w:r>
        <w:rPr>
          <w:rFonts w:cs="EB Garamond"/>
          <w:kern w:val="16"/>
          <w14:ligatures w14:val="standardContextual"/>
        </w:rPr>
        <w:t xml:space="preserve"> art. 57, § 5º, da Lei n. 8.213/91 estabelece que o tempo de trabalho exercido em condições especiais será somado, após a respectiva conversão ao tempo de trabalho exercido em atividade comum, segundo critérios estabelecidos pelo Ministério da Previdência e Assistência Social, para efeito de concessão de qualquer benefício.</w:t>
      </w:r>
    </w:p>
    <w:p w14:paraId="5C5CBFEB" w14:textId="77777777" w:rsidR="005A5FCC" w:rsidRDefault="00A21C81">
      <w:pPr>
        <w:ind w:firstLine="238"/>
      </w:pPr>
      <w:r>
        <w:rPr>
          <w:rFonts w:cs="EB Garamond"/>
          <w:kern w:val="16"/>
          <w14:ligatures w14:val="standardContextual"/>
        </w:rPr>
        <w:t>Os fatores de conversão, fixados na tabela do art. 70 do Decreto n. 3.048/1999, variam conforme o tempo mínimo de exposição e o sexo do segurado:</w:t>
      </w:r>
    </w:p>
    <w:p w14:paraId="6D3B90FB" w14:textId="77777777" w:rsidR="005A5FCC" w:rsidRDefault="00A21C81">
      <w:pPr>
        <w:ind w:firstLine="238"/>
      </w:pPr>
      <w:r>
        <w:rPr>
          <w:rFonts w:cs="EB Garamond"/>
          <w:kern w:val="16"/>
          <w14:ligatures w14:val="standardContextual"/>
        </w:rPr>
        <w:t>Para tempo especial de 25 anos: fator 1,40 (homem) e 1,20 (mulher); Para tempo especial de 20 anos: fator 1,75 (homem) e 1,50 (mulher); Para tempo especial de 15 anos: fator 2,33 (homem) e 2,00 (mulher).</w:t>
      </w:r>
    </w:p>
    <w:p w14:paraId="2135DBA1" w14:textId="77777777" w:rsidR="005A5FCC" w:rsidRDefault="00A21C81">
      <w:pPr>
        <w:ind w:firstLine="238"/>
      </w:pPr>
      <w:r>
        <w:rPr>
          <w:rFonts w:cs="EB Garamond"/>
          <w:kern w:val="16"/>
          <w14:ligatures w14:val="standardContextual"/>
        </w:rPr>
        <w:t>O STJ, no julgamento do Tema 422, consolidou que permanece a possibilidade de conversão de tempo de serviço exercido em condições especiais em tempo comum após 28/04/1998, pois a norma que revogava o § 5º do art. 57 da Lei n. 8.213/91 não foi mantida na conversão da Medida Provisória n. 1.663 na Lei n. 9.711/1998. A tese pacificou controvérsia que por anos dividiu a jurisprudência sobre a possibilidade de conversão após a MP 1.663.</w:t>
      </w:r>
    </w:p>
    <w:p w14:paraId="2A377F70" w14:textId="77777777" w:rsidR="005A5FCC" w:rsidRDefault="00A21C81">
      <w:pPr>
        <w:spacing w:before="260" w:after="80" w:line="240" w:lineRule="auto"/>
        <w:jc w:val="left"/>
      </w:pPr>
      <w:r>
        <w:rPr>
          <w:rFonts w:cs="EB Garamond"/>
          <w:b/>
          <w:color w:val="3A3128"/>
          <w:kern w:val="16"/>
          <w:sz w:val="25"/>
          <w14:ligatures w14:val="standardContextual"/>
        </w:rPr>
        <w:t>8.9.2 Vedação pela EC 103/2019 (art. 25, § 2º)</w:t>
      </w:r>
    </w:p>
    <w:p w14:paraId="2E20BE43"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392FCA43" w14:textId="77777777" w:rsidR="005A5FCC" w:rsidRDefault="00A21C81">
      <w:r>
        <w:rPr>
          <w:rFonts w:cs="EB Garamond"/>
          <w:kern w:val="16"/>
          <w14:ligatures w14:val="standardContextual"/>
        </w:rPr>
        <w:t xml:space="preserve"> art. 25, § 2º, da EC 103/2019 reconhece a conversão de tempo especial em comum apenas para períodos até a data de entrada em vigor da Emenda, o que opera, na prática, como vedação à conversão para períodos posteriores a 13/11/2019. A restrição é prospectiva — aplica-se apenas ao tempo de atividade especial exercido a partir de 14/11/2019.</w:t>
      </w:r>
    </w:p>
    <w:p w14:paraId="796F2F79" w14:textId="77777777" w:rsidR="005A5FCC" w:rsidRDefault="00A21C81">
      <w:pPr>
        <w:ind w:firstLine="238"/>
      </w:pPr>
      <w:r>
        <w:rPr>
          <w:rFonts w:cs="EB Garamond"/>
          <w:kern w:val="16"/>
          <w14:ligatures w14:val="standardContextual"/>
        </w:rPr>
        <w:t xml:space="preserve">A restrição à conversão foi um dos dispositivos impugnados na ADI 6.309, sob o argumento de que viola a proteção constitucional ao trabalhador exposto a </w:t>
      </w:r>
      <w:r>
        <w:rPr>
          <w:rFonts w:cs="EB Garamond"/>
          <w:kern w:val="16"/>
          <w14:ligatures w14:val="standardContextual"/>
        </w:rPr>
        <w:lastRenderedPageBreak/>
        <w:t xml:space="preserve">agentes nocivos. No julgamento de 03/06/2026 (Rel. Orig. Min. Luís Roberto Barroso, red. P/ acórdão Min. André Mendonça, 6×5), o STF, todavia, </w:t>
      </w:r>
      <w:r>
        <w:rPr>
          <w:rFonts w:cs="EB Garamond"/>
          <w:b/>
          <w:kern w:val="16"/>
          <w14:ligatures w14:val="standardContextual"/>
        </w:rPr>
        <w:t>manteve a constitucionalidade da vedação à conversão</w:t>
      </w:r>
      <w:r>
        <w:rPr>
          <w:rFonts w:cs="EB Garamond"/>
          <w:kern w:val="16"/>
          <w14:ligatures w14:val="standardContextual"/>
        </w:rPr>
        <w:t xml:space="preserve"> para períodos posteriores a 13/11/2019, não acolhendo, nesse ponto, o argumento de lacuna de proteção. No mesmo julgamento, o Tribunal afastou a exigência de idade mínima da aposentadoria especial.</w:t>
      </w:r>
    </w:p>
    <w:p w14:paraId="397D2B92" w14:textId="77777777" w:rsidR="005A5FCC" w:rsidRDefault="00A21C81">
      <w:pPr>
        <w:spacing w:before="260" w:after="80" w:line="240" w:lineRule="auto"/>
        <w:jc w:val="left"/>
      </w:pPr>
      <w:r>
        <w:rPr>
          <w:rFonts w:cs="EB Garamond"/>
          <w:b/>
          <w:color w:val="3A3128"/>
          <w:kern w:val="16"/>
          <w:sz w:val="25"/>
          <w14:ligatures w14:val="standardContextual"/>
        </w:rPr>
        <w:t>8.9.3 Direito adquirido à conversão</w:t>
      </w:r>
    </w:p>
    <w:p w14:paraId="11FD4833"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3CC77CEE" w14:textId="77777777" w:rsidR="005A5FCC" w:rsidRDefault="00A21C81">
      <w:r>
        <w:rPr>
          <w:rFonts w:cs="EB Garamond"/>
          <w:kern w:val="16"/>
          <w14:ligatures w14:val="standardContextual"/>
        </w:rPr>
        <w:t xml:space="preserve"> restrição do art. 25, § 2º, não atinge o tempo de atividade especial exercido até 13/11/2019. O segurado conserva o direito de converter em tempo comum todo o período de atividade especial anterior à Emenda, aplicando os fatores de conversão previstos na legislação. Esse direito adquirido à conversão é assegurado pelo art. 3º da EC 103/2019 e pelo princípio de que o tempo de serviço é disciplinado pela lei vigente à época de sua prestação, conforme jurisprudência consolidada do STJ.</w:t>
      </w:r>
    </w:p>
    <w:tbl>
      <w:tblPr>
        <w:tblW w:w="5000" w:type="pct"/>
        <w:jc w:val="center"/>
        <w:tblLayout w:type="fixed"/>
        <w:tblLook w:val="04A0" w:firstRow="1" w:lastRow="0" w:firstColumn="1" w:lastColumn="0" w:noHBand="0" w:noVBand="1"/>
      </w:tblPr>
      <w:tblGrid>
        <w:gridCol w:w="6311"/>
      </w:tblGrid>
      <w:tr w:rsidR="005A5FCC" w14:paraId="67ADAB4E"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4C109D56"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3470D525" w14:textId="77777777" w:rsidR="005A5FCC" w:rsidRDefault="00A21C81">
            <w:pPr>
              <w:spacing w:after="60" w:line="247" w:lineRule="auto"/>
            </w:pPr>
            <w:r>
              <w:rPr>
                <w:rFonts w:cs="EB Garamond"/>
                <w:kern w:val="16"/>
                <w:sz w:val="19"/>
                <w14:ligatures w14:val="standardContextual"/>
              </w:rPr>
              <w:t>O segurado que exerceu atividade especial tanto antes quanto depois de 13/11/2019 pode converter o tempo anterior e somá-lo ao tempo posterior (sem conversão) para fins de aposentadoria. Exemplo: segurado homem com 20 anos de atividade especial antes da EC 103/2019 e 5 anos após. Os 20 anos anteriores podem ser convertidos pelo fator 1,40 (= 28 anos de tempo comum) e somados aos 5 anos posteriores (sem conversão), totalizando 33 anos de contribuição. Os 5 anos posteriores não podem ser convertidos, mas são computados como tempo especial para a aposentadoria especial (se o segurado atingir os 25 anos de atividade especial e a idade ou pontuação exigida).</w:t>
            </w:r>
          </w:p>
        </w:tc>
      </w:tr>
    </w:tbl>
    <w:p w14:paraId="0C91B864" w14:textId="77777777" w:rsidR="005A5FCC" w:rsidRDefault="005A5FCC">
      <w:pPr>
        <w:spacing w:after="80" w:line="240" w:lineRule="auto"/>
      </w:pPr>
    </w:p>
    <w:p w14:paraId="4D5B7AC4" w14:textId="77777777" w:rsidR="005A5FCC" w:rsidRDefault="00A21C81">
      <w:pPr>
        <w:spacing w:before="260" w:after="80" w:line="240" w:lineRule="auto"/>
        <w:jc w:val="left"/>
      </w:pPr>
      <w:r>
        <w:rPr>
          <w:rFonts w:cs="EB Garamond"/>
          <w:b/>
          <w:color w:val="3A3128"/>
          <w:kern w:val="16"/>
          <w:sz w:val="25"/>
          <w14:ligatures w14:val="standardContextual"/>
        </w:rPr>
        <w:t>8.9.4 Conversão de tempo comum em especial: vedação</w:t>
      </w:r>
    </w:p>
    <w:p w14:paraId="49819203"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0ACB4AA5" w14:textId="77777777" w:rsidR="005A5FCC" w:rsidRDefault="00A21C81">
      <w:r>
        <w:rPr>
          <w:rFonts w:cs="EB Garamond"/>
          <w:kern w:val="16"/>
          <w14:ligatures w14:val="standardContextual"/>
        </w:rPr>
        <w:t xml:space="preserve"> conversão inversa, de tempo de atividade comum em tempo especial, é vedada pelo art. 57, § 5º, da Lei n. 8.213/91 (com redação da Lei n. 9.032/1995) e pelo art. 70, § 2º, do Decreto n. 3.048/1999. A vedação foi confirmada pelo STJ, que pacificou o entendimento de que somente é possível a conversão de tempo especial em comum, e não o inverso.</w:t>
      </w:r>
    </w:p>
    <w:p w14:paraId="33FB4F58"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8.10 Cálculo do benefício</w:t>
      </w:r>
    </w:p>
    <w:p w14:paraId="4B1FADAC"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19567CFF" w14:textId="77777777" w:rsidR="005A5FCC" w:rsidRDefault="00A21C81">
      <w:r>
        <w:rPr>
          <w:rFonts w:cs="EB Garamond"/>
          <w:kern w:val="16"/>
          <w14:ligatures w14:val="standardContextual"/>
        </w:rPr>
        <w:t xml:space="preserve"> cálculo da aposentadoria especial sofreu alteração substancial com a EC 103/2019, gerando dois regimes distintos conforme a data de implementação dos requisitos.</w:t>
      </w:r>
    </w:p>
    <w:p w14:paraId="2606107D" w14:textId="77777777" w:rsidR="005A5FCC" w:rsidRDefault="00A21C81">
      <w:pPr>
        <w:spacing w:before="260" w:after="80" w:line="240" w:lineRule="auto"/>
        <w:jc w:val="left"/>
      </w:pPr>
      <w:r>
        <w:rPr>
          <w:rFonts w:cs="EB Garamond"/>
          <w:b/>
          <w:color w:val="3A3128"/>
          <w:kern w:val="16"/>
          <w:sz w:val="25"/>
          <w14:ligatures w14:val="standardContextual"/>
        </w:rPr>
        <w:t>8.10.1 Regime anterior (até 13/11/2019)</w:t>
      </w:r>
    </w:p>
    <w:p w14:paraId="51B35AAF"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N</w:t>
      </w:r>
    </w:p>
    <w:p w14:paraId="68AACC28" w14:textId="77777777" w:rsidR="005A5FCC" w:rsidRDefault="00A21C81">
      <w:r>
        <w:rPr>
          <w:rFonts w:cs="EB Garamond"/>
          <w:kern w:val="16"/>
          <w14:ligatures w14:val="standardContextual"/>
        </w:rPr>
        <w:t>o regime anterior, a RMI da aposentadoria especial correspondia a 100% do salário de benefício (art. 57, § 1º, c/c art. 29, II, da Lei n. 8.213/91). O salário de benefício era calculado pela média dos 80% maiores salários de contribuição, conforme as regras gerais examinadas no Cap. 16. A especificidade da aposentadoria especial reside na inaplicabilidade do fator previdenciário, que a jurisprudência reconheceu como incompatível com a finalidade protetiva do benefício: o fator incentiva a postergação da aposentadoria, ao passo que a aposentadoria especial visa à cessação precoce da exposição a agentes nocivos.</w:t>
      </w:r>
    </w:p>
    <w:p w14:paraId="7B66F989" w14:textId="77777777" w:rsidR="005A5FCC" w:rsidRDefault="00A21C81">
      <w:pPr>
        <w:spacing w:before="260" w:after="80" w:line="240" w:lineRule="auto"/>
        <w:jc w:val="left"/>
      </w:pPr>
      <w:r>
        <w:rPr>
          <w:rFonts w:cs="EB Garamond"/>
          <w:b/>
          <w:color w:val="3A3128"/>
          <w:kern w:val="16"/>
          <w:sz w:val="25"/>
          <w14:ligatures w14:val="standardContextual"/>
        </w:rPr>
        <w:t>8.10.2 Regime Pós-EC 103/2019</w:t>
      </w:r>
    </w:p>
    <w:p w14:paraId="38800943"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P</w:t>
      </w:r>
    </w:p>
    <w:p w14:paraId="22F018FF" w14:textId="77777777" w:rsidR="005A5FCC" w:rsidRDefault="00A21C81">
      <w:r>
        <w:rPr>
          <w:rFonts w:cs="EB Garamond"/>
          <w:kern w:val="16"/>
          <w14:ligatures w14:val="standardContextual"/>
        </w:rPr>
        <w:t>ara os segurados que se aposentam pela regra permanente (art. 19) ou pela regra de transição (art. 21) da EC 103/2019, o cálculo do benefício observa as regras do art. 26, § 2º, inciso IV, da EC 103/2019:</w:t>
      </w:r>
    </w:p>
    <w:p w14:paraId="6FFBB751" w14:textId="77777777" w:rsidR="005A5FCC" w:rsidRDefault="00A21C81">
      <w:pPr>
        <w:ind w:firstLine="238"/>
      </w:pPr>
      <w:r>
        <w:rPr>
          <w:rFonts w:cs="EB Garamond"/>
          <w:kern w:val="16"/>
          <w14:ligatures w14:val="standardContextual"/>
        </w:rPr>
        <w:t>(a) O salário de benefício corresponde à média aritmética de 100% dos salários de contribuição desde julho de 1994 (eliminada a exclusão dos 20% menores);</w:t>
      </w:r>
    </w:p>
    <w:p w14:paraId="26B47F9C" w14:textId="77777777" w:rsidR="005A5FCC" w:rsidRDefault="00A21C81">
      <w:pPr>
        <w:ind w:firstLine="238"/>
      </w:pPr>
      <w:r>
        <w:rPr>
          <w:rFonts w:cs="EB Garamond"/>
          <w:kern w:val="16"/>
          <w14:ligatures w14:val="standardContextual"/>
        </w:rPr>
        <w:t>(b) A renda mensal corresponde a 60% do salário de benefício, acrescida de 2% para cada ano de contribuição que exceder 20 anos (homens) ou 15 anos (mulheres).</w:t>
      </w:r>
    </w:p>
    <w:tbl>
      <w:tblPr>
        <w:tblW w:w="5000" w:type="pct"/>
        <w:jc w:val="center"/>
        <w:tblLayout w:type="fixed"/>
        <w:tblLook w:val="04A0" w:firstRow="1" w:lastRow="0" w:firstColumn="1" w:lastColumn="0" w:noHBand="0" w:noVBand="1"/>
      </w:tblPr>
      <w:tblGrid>
        <w:gridCol w:w="6311"/>
      </w:tblGrid>
      <w:tr w:rsidR="005A5FCC" w14:paraId="1731D2B1"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75904DC6" w14:textId="77777777" w:rsidR="005A5FCC" w:rsidRDefault="00A21C81">
            <w:pPr>
              <w:spacing w:after="60" w:line="240" w:lineRule="auto"/>
              <w:jc w:val="left"/>
            </w:pPr>
            <w:r>
              <w:rPr>
                <w:rFonts w:ascii="Noto Sans" w:hAnsi="Noto Sans" w:cs="Noto Sans"/>
                <w:b/>
                <w:caps/>
                <w:color w:val="B78B37"/>
                <w:kern w:val="16"/>
                <w:sz w:val="16"/>
                <w14:ligatures w14:val="standardContextual"/>
              </w:rPr>
              <w:lastRenderedPageBreak/>
              <w:t>ATENÇÃO</w:t>
            </w:r>
          </w:p>
          <w:p w14:paraId="3C04976C" w14:textId="77777777" w:rsidR="005A5FCC" w:rsidRDefault="00A21C81">
            <w:pPr>
              <w:spacing w:after="60" w:line="247" w:lineRule="auto"/>
            </w:pPr>
            <w:r>
              <w:rPr>
                <w:rFonts w:cs="EB Garamond"/>
                <w:kern w:val="16"/>
                <w:sz w:val="19"/>
                <w14:ligatures w14:val="standardContextual"/>
              </w:rPr>
              <w:t>A base de cálculo do coeficiente (20 anos para homens, 15 anos para mulheres) decorre do art. 26, § 2º, III, da EC 103/2019, que é a mesma utilizada nas demais aposentadorias do RGPS. Não se confunde com o tempo de efetiva exposição a agentes nocivos exigido para a aposentadoria especial (15, 20 ou 25 anos conforme o grau de nocividade). São grandezas distintas: o tempo de exposição é requisito específico da aposentadoria especial; a base do coeficiente (20H/15M) é parâmetro geral de cálculo do art. 26 aplicável a todos os benefícios pós-EC 103. Há controvérsia doutrinária sobre se, na aposentadoria especial, o tempo mínimo de exposição deveria substituir o patamar geral como referência para o acréscimo, mas a posição predominante aplica a regra geral.</w:t>
            </w:r>
          </w:p>
        </w:tc>
      </w:tr>
    </w:tbl>
    <w:p w14:paraId="6D6C9C93" w14:textId="77777777" w:rsidR="005A5FCC" w:rsidRDefault="005A5FCC">
      <w:pPr>
        <w:spacing w:after="80" w:line="240" w:lineRule="auto"/>
      </w:pPr>
    </w:p>
    <w:p w14:paraId="7ABFB028"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26D5D902" w14:textId="77777777" w:rsidR="005A5FCC" w:rsidRDefault="00A21C81">
      <w:r>
        <w:rPr>
          <w:rFonts w:cs="EB Garamond"/>
          <w:kern w:val="16"/>
          <w14:ligatures w14:val="standardContextual"/>
        </w:rPr>
        <w:t xml:space="preserve"> alteração é desfavorável ao segurado em comparação com o regime anterior. No regime anterior, o benefício era de 100% da média dos 80% maiores salários; no regime atual, é de 60% + 2% por ano excedente da média integral. Para um segurado homem com exatamente 25 anos de contribuição, o benefício seria de 60% + (5 × 2%) = 70% da média — significativamente inferior aos 100% do regime anterior. Para atingir 100%, seriam necessários 40 anos de contribuição total.</w:t>
      </w:r>
    </w:p>
    <w:tbl>
      <w:tblPr>
        <w:tblW w:w="5000" w:type="pct"/>
        <w:jc w:val="center"/>
        <w:tblLayout w:type="fixed"/>
        <w:tblLook w:val="04A0" w:firstRow="1" w:lastRow="0" w:firstColumn="1" w:lastColumn="0" w:noHBand="0" w:noVBand="1"/>
      </w:tblPr>
      <w:tblGrid>
        <w:gridCol w:w="6311"/>
      </w:tblGrid>
      <w:tr w:rsidR="005A5FCC" w14:paraId="01A5545D"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74F2D98C" w14:textId="77777777" w:rsidR="005A5FCC" w:rsidRDefault="00A21C81">
            <w:pPr>
              <w:spacing w:after="60" w:line="240" w:lineRule="auto"/>
              <w:jc w:val="left"/>
            </w:pPr>
            <w:r>
              <w:rPr>
                <w:rFonts w:ascii="Noto Sans" w:hAnsi="Noto Sans" w:cs="Noto Sans"/>
                <w:b/>
                <w:caps/>
                <w:color w:val="4D6F8A"/>
                <w:kern w:val="16"/>
                <w:sz w:val="16"/>
                <w14:ligatures w14:val="standardContextual"/>
              </w:rPr>
              <w:t>JURISPRUDÊNCIA EM DESTAQUE</w:t>
            </w:r>
          </w:p>
          <w:p w14:paraId="2390B610" w14:textId="77777777" w:rsidR="005A5FCC" w:rsidRDefault="00A21C81">
            <w:pPr>
              <w:spacing w:after="60" w:line="247" w:lineRule="auto"/>
            </w:pPr>
            <w:r>
              <w:rPr>
                <w:rFonts w:cs="EB Garamond"/>
                <w:kern w:val="16"/>
                <w:sz w:val="19"/>
                <w14:ligatures w14:val="standardContextual"/>
              </w:rPr>
              <w:t xml:space="preserve">A redução do valor da aposentadoria especial foi um dos pontos centrais da ADI 6.309. Os autores da ação argumentavam que a aplicação do coeficiente de 60% + 2% à aposentadoria especial viola o princípio da proporcionalidade, pois penaliza duplamente o trabalhador: além de exercer atividade em condições nocivas, ele recebe benefício substancialmente inferior ao que recebia antes da reforma. A tese era que a aposentadoria especial, por sua natureza diferenciada (proteção contra riscos à saúde), não poderia ser submetida ao mesmo regime de cálculo das aposentadorias comuns. No julgamento de 03/06/2026 (Rel. Orig. Min. Luís Roberto Barroso, red. P/ acórdão Min. André Mendonça, 6×5), o STF, todavia, </w:t>
            </w:r>
            <w:r>
              <w:rPr>
                <w:rFonts w:cs="EB Garamond"/>
                <w:b/>
                <w:kern w:val="16"/>
                <w:sz w:val="19"/>
                <w14:ligatures w14:val="standardContextual"/>
              </w:rPr>
              <w:t>manteve a constitucionalidade da nova forma de cálculo</w:t>
            </w:r>
            <w:r>
              <w:rPr>
                <w:rFonts w:cs="EB Garamond"/>
                <w:kern w:val="16"/>
                <w:sz w:val="19"/>
                <w14:ligatures w14:val="standardContextual"/>
              </w:rPr>
              <w:t xml:space="preserve"> (60% da média + 2% por ano que exceder 15 anos — mulher — ou 20 anos — homem), não acolhendo esse argumento. No mesmo julgamento, declarou inconstitucional apenas a exigência de idade mínima da aposentadoria especial.</w:t>
            </w:r>
          </w:p>
        </w:tc>
      </w:tr>
    </w:tbl>
    <w:p w14:paraId="3EA23160" w14:textId="77777777" w:rsidR="005A5FCC" w:rsidRDefault="005A5FCC">
      <w:pPr>
        <w:spacing w:after="80" w:line="240" w:lineRule="auto"/>
      </w:pPr>
    </w:p>
    <w:p w14:paraId="6F4D158D" w14:textId="7EDDC63B"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 xml:space="preserve">8.11 Vedação ao trabalho em condições especiais: STF </w:t>
      </w:r>
      <w:r w:rsidR="005C0081">
        <w:rPr>
          <w:rFonts w:cs="EB Garamond"/>
          <w:b/>
          <w:color w:val="3A3128"/>
          <w:kern w:val="16"/>
          <w:sz w:val="31"/>
          <w14:ligatures w14:val="standardContextual"/>
        </w:rPr>
        <w:t>T</w:t>
      </w:r>
      <w:r>
        <w:rPr>
          <w:rFonts w:cs="EB Garamond"/>
          <w:b/>
          <w:color w:val="3A3128"/>
          <w:kern w:val="16"/>
          <w:sz w:val="31"/>
          <w14:ligatures w14:val="standardContextual"/>
        </w:rPr>
        <w:t>ema 709</w:t>
      </w:r>
    </w:p>
    <w:p w14:paraId="7B40BA2E"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7D336F91" w14:textId="77777777" w:rsidR="005A5FCC" w:rsidRDefault="00A21C81">
      <w:r>
        <w:rPr>
          <w:rFonts w:cs="EB Garamond"/>
          <w:kern w:val="16"/>
          <w14:ligatures w14:val="standardContextual"/>
        </w:rPr>
        <w:t xml:space="preserve"> art. 57, § 8º, da Lei n. 8.213/91 estabelece que aplica-se ao aposentado especial o disposto no art. 46, que trata da suspensão do benefício quando o segurado retorna à atividade. A interpretação desse dispositivo gerou intensa controvérsia judicial, definitivamente resolvida pelo STF no julgamento do RE 791.961 (Tema 709 da Repercussão Geral).</w:t>
      </w:r>
    </w:p>
    <w:p w14:paraId="394C0D6E" w14:textId="77777777" w:rsidR="005A5FCC" w:rsidRDefault="00A21C81">
      <w:pPr>
        <w:spacing w:before="260" w:after="80" w:line="240" w:lineRule="auto"/>
        <w:jc w:val="left"/>
      </w:pPr>
      <w:r>
        <w:rPr>
          <w:rFonts w:cs="EB Garamond"/>
          <w:b/>
          <w:color w:val="3A3128"/>
          <w:kern w:val="16"/>
          <w:sz w:val="25"/>
          <w14:ligatures w14:val="standardContextual"/>
        </w:rPr>
        <w:t>8.11.1 Tese fixada pelo STF</w:t>
      </w:r>
    </w:p>
    <w:p w14:paraId="35AC0343"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2305F410" w14:textId="77777777" w:rsidR="005A5FCC" w:rsidRDefault="00A21C81">
      <w:r>
        <w:rPr>
          <w:rFonts w:cs="EB Garamond"/>
          <w:kern w:val="16"/>
          <w14:ligatures w14:val="standardContextual"/>
        </w:rPr>
        <w:t xml:space="preserve"> STF, no julgamento do Tema 709, fixou a seguinte orientação: é constitucional a vedação de continuidade da percepção de aposentadoria especial se o beneficiário permanece laborando em atividade especial ou a ela retorna, seja essa atividade especial aquela que ensejou a aposentação antecipada ou não.</w:t>
      </w:r>
    </w:p>
    <w:p w14:paraId="3670D1AB" w14:textId="77777777" w:rsidR="005A5FCC" w:rsidRDefault="00A21C81">
      <w:pPr>
        <w:ind w:firstLine="238"/>
      </w:pPr>
      <w:r>
        <w:rPr>
          <w:rFonts w:cs="EB Garamond"/>
          <w:kern w:val="16"/>
          <w14:ligatures w14:val="standardContextual"/>
        </w:rPr>
        <w:t>A tese resolve a questão central: o aposentado especial que continua ou retorna a trabalhar em condições especiais tem o benefício cessado. Contudo, o aposentado especial pode exercer atividade que não envolva exposição a agentes nocivos sem que isso implique a cessação do benefício.</w:t>
      </w:r>
    </w:p>
    <w:p w14:paraId="21286E61" w14:textId="77777777" w:rsidR="005A5FCC" w:rsidRDefault="00A21C81">
      <w:pPr>
        <w:spacing w:before="260" w:after="80" w:line="240" w:lineRule="auto"/>
        <w:jc w:val="left"/>
      </w:pPr>
      <w:r>
        <w:rPr>
          <w:rFonts w:cs="EB Garamond"/>
          <w:b/>
          <w:color w:val="3A3128"/>
          <w:kern w:val="16"/>
          <w:sz w:val="25"/>
          <w14:ligatures w14:val="standardContextual"/>
        </w:rPr>
        <w:t>8.11.2 Modulação dos efeitos</w:t>
      </w:r>
    </w:p>
    <w:p w14:paraId="271F503D"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7755F532" w14:textId="77777777" w:rsidR="005A5FCC" w:rsidRDefault="00A21C81">
      <w:r>
        <w:rPr>
          <w:rFonts w:cs="EB Garamond"/>
          <w:kern w:val="16"/>
          <w14:ligatures w14:val="standardContextual"/>
        </w:rPr>
        <w:t xml:space="preserve"> STF modulou os efeitos da decisão para determinar que: (a) o beneficiário que requereu a aposentadoria e continuou exercendo atividade especial terá a DIB fixada na DER (data de entrada do requerimento), com efeitos financeiros retroativos; (b) uma vez implementado o benefício (administrativamente ou judicialmente), se verificado o retorno ou a continuidade em atividade especial, o pagamento será cessado.</w:t>
      </w:r>
    </w:p>
    <w:p w14:paraId="37AC727B" w14:textId="77777777" w:rsidR="005A5FCC" w:rsidRDefault="00A21C81">
      <w:pPr>
        <w:ind w:firstLine="238"/>
      </w:pPr>
      <w:r>
        <w:rPr>
          <w:rFonts w:cs="EB Garamond"/>
          <w:kern w:val="16"/>
          <w14:ligatures w14:val="standardContextual"/>
        </w:rPr>
        <w:t>A modulação é relevante porque distingue dois momentos: até a implantação do benefício, o exercício de atividade especial não impede a concessão com efeitos retroativos à DER; após a implantação, o exercício de atividade especial determina a cessação.</w:t>
      </w:r>
    </w:p>
    <w:p w14:paraId="6DB0A123" w14:textId="77777777" w:rsidR="005A5FCC" w:rsidRDefault="00A21C81">
      <w:pPr>
        <w:spacing w:before="260" w:after="80" w:line="240" w:lineRule="auto"/>
        <w:jc w:val="left"/>
      </w:pPr>
      <w:r>
        <w:rPr>
          <w:rFonts w:cs="EB Garamond"/>
          <w:b/>
          <w:color w:val="3A3128"/>
          <w:kern w:val="16"/>
          <w:sz w:val="25"/>
          <w14:ligatures w14:val="standardContextual"/>
        </w:rPr>
        <w:lastRenderedPageBreak/>
        <w:t>8.11.3 Impacto nos JEFs e situações práticas</w:t>
      </w:r>
    </w:p>
    <w:p w14:paraId="2C22AE5B"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4987AF9A" w14:textId="77777777" w:rsidR="005A5FCC" w:rsidRDefault="00A21C81">
      <w:r>
        <w:rPr>
          <w:rFonts w:cs="EB Garamond"/>
          <w:kern w:val="16"/>
          <w14:ligatures w14:val="standardContextual"/>
        </w:rPr>
        <w:t xml:space="preserve"> aplicação do Tema 709 nos JEFs gera diversas situações práticas que merecem exame:</w:t>
      </w:r>
    </w:p>
    <w:p w14:paraId="756878EA" w14:textId="77777777" w:rsidR="005A5FCC" w:rsidRDefault="00A21C81">
      <w:pPr>
        <w:ind w:firstLine="238"/>
      </w:pPr>
      <w:r>
        <w:rPr>
          <w:rFonts w:cs="EB Garamond"/>
          <w:kern w:val="16"/>
          <w14:ligatures w14:val="standardContextual"/>
        </w:rPr>
        <w:t>(a) Segurado que requereu a aposentadoria, teve o pedido indeferido e continuou trabalhando em condições especiais: o ajuizamento da ação e a concessão judicial da aposentadoria especial retroagem à DER. O segurado receberá os valores retroativos referentes ao período entre a DER e a implantação, mas deverá cessar a atividade especial tão logo o benefício seja implantado.</w:t>
      </w:r>
    </w:p>
    <w:p w14:paraId="43F39E45" w14:textId="77777777" w:rsidR="005A5FCC" w:rsidRDefault="00A21C81">
      <w:pPr>
        <w:ind w:firstLine="238"/>
      </w:pPr>
      <w:r>
        <w:rPr>
          <w:rFonts w:cs="EB Garamond"/>
          <w:kern w:val="16"/>
          <w14:ligatures w14:val="standardContextual"/>
        </w:rPr>
        <w:t>(b) Segurado aposentado especial que retorna a atividade especial em outro empregador: o benefício deve ser cessado, independentemente de a atividade especial ser idêntica ou distinta daquela que ensejou a aposentadoria. A vedação é ao exercício de qualquer atividade especial, não apenas à mesma atividade.</w:t>
      </w:r>
    </w:p>
    <w:p w14:paraId="740BA13E" w14:textId="77777777" w:rsidR="005A5FCC" w:rsidRDefault="00A21C81">
      <w:pPr>
        <w:ind w:firstLine="238"/>
      </w:pPr>
      <w:r>
        <w:rPr>
          <w:rFonts w:cs="EB Garamond"/>
          <w:kern w:val="16"/>
          <w14:ligatures w14:val="standardContextual"/>
        </w:rPr>
        <w:t>(c) Segurado aposentado especial que exerce atividade não especial: não há vedação. O aposentado especial pode exercer atividade comum (sem exposição a agentes nocivos) sem qualquer restrição ou suspensão do benefício. Contudo, as contribuições vertidas na nova atividade não geram direito a nova aposentadoria (vedação à desaposentação — STF Tema 503).</w:t>
      </w:r>
    </w:p>
    <w:p w14:paraId="7D35C21A" w14:textId="77777777" w:rsidR="005A5FCC" w:rsidRDefault="00A21C81">
      <w:pPr>
        <w:ind w:firstLine="238"/>
      </w:pPr>
      <w:r>
        <w:rPr>
          <w:rFonts w:cs="EB Garamond"/>
          <w:kern w:val="16"/>
          <w14:ligatures w14:val="standardContextual"/>
        </w:rPr>
        <w:t>(d) Segurado aposentado especial que é empresário de empresa com ambiente insalubre: a situação é controversa. A jurisprudência tem distinguido entre o sócio que efetivamente labora em condições especiais (vedação se aplica) e o sócio meramente investidor ou administrador que não se expõe a agentes nocivos (vedação não se aplica).</w:t>
      </w:r>
    </w:p>
    <w:p w14:paraId="126465F2" w14:textId="77777777" w:rsidR="005A5FCC" w:rsidRDefault="00A21C81">
      <w:pPr>
        <w:ind w:firstLine="238"/>
      </w:pPr>
      <w:r>
        <w:rPr>
          <w:rFonts w:cs="EB Garamond"/>
          <w:kern w:val="16"/>
          <w14:ligatures w14:val="standardContextual"/>
        </w:rPr>
        <w:t>A fiscalização do cumprimento do Tema 709 é feita pelo INSS, que pode realizar diligências para verificar se o aposentado especial retornou a atividade em condições nocivas. A cessação do benefício, contudo, exige processo administrativo com garantia de contraditório e ampla defesa.</w:t>
      </w:r>
    </w:p>
    <w:tbl>
      <w:tblPr>
        <w:tblW w:w="5000" w:type="pct"/>
        <w:jc w:val="center"/>
        <w:tblLayout w:type="fixed"/>
        <w:tblLook w:val="04A0" w:firstRow="1" w:lastRow="0" w:firstColumn="1" w:lastColumn="0" w:noHBand="0" w:noVBand="1"/>
      </w:tblPr>
      <w:tblGrid>
        <w:gridCol w:w="6311"/>
      </w:tblGrid>
      <w:tr w:rsidR="005A5FCC" w14:paraId="3DFF84C4"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30A7AA30"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2B38D2E6" w14:textId="77777777" w:rsidR="005A5FCC" w:rsidRDefault="00A21C81">
            <w:pPr>
              <w:spacing w:after="60" w:line="247" w:lineRule="auto"/>
            </w:pPr>
            <w:r>
              <w:rPr>
                <w:rFonts w:cs="EB Garamond"/>
                <w:kern w:val="16"/>
                <w:sz w:val="19"/>
                <w14:ligatures w14:val="standardContextual"/>
              </w:rPr>
              <w:t>Nos JEFs, a aplicação do Tema 709 exige cautela. Quando o segurado pleiteia aposentadoria especial e continua trabalhando em condições especiais, o juiz deve: (a) conceder o benefício com DIB na DER; (b) determinar que o segurado cesse a atividade especial como condição para a manutenção do benefício; (c) comunicar ao INSS para acompanhamento. Na sentença, é recomendável incluir determinação expressa de que o benefício será cessado se houver retorno à atividade especial, sob pena de repetição dos valores pagos indevidamente. O segurado pode, contudo, exercer outra atividade não especial sem qualquer restrição.</w:t>
            </w:r>
          </w:p>
        </w:tc>
      </w:tr>
    </w:tbl>
    <w:p w14:paraId="0E952A6C" w14:textId="77777777" w:rsidR="005A5FCC" w:rsidRDefault="005A5FCC">
      <w:pPr>
        <w:spacing w:after="80" w:line="240" w:lineRule="auto"/>
      </w:pPr>
    </w:p>
    <w:p w14:paraId="0B893533"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8.12 Aposentadoria especial da pessoa com deficiência (LC 142/2013)</w:t>
      </w:r>
    </w:p>
    <w:p w14:paraId="29CA8F5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5AE9BDB8" w14:textId="77777777" w:rsidR="005A5FCC" w:rsidRDefault="00A21C81">
      <w:r>
        <w:rPr>
          <w:rFonts w:cs="EB Garamond"/>
          <w:kern w:val="16"/>
          <w14:ligatures w14:val="standardContextual"/>
        </w:rPr>
        <w:t xml:space="preserve"> Lei Complementar n. 142/2013 regulamentou o § 1º do art. 201 da Constituição Federal, estabelecendo condições diferenciadas para a aposentadoria do segurado com deficiência. Embora frequentemente tratada em conjunto com a aposentadoria especial por exposição a agentes nocivos, trata-se de espécie distinta, com fundamento constitucional e requisitos próprios.</w:t>
      </w:r>
    </w:p>
    <w:p w14:paraId="54200FC3" w14:textId="77777777" w:rsidR="005A5FCC" w:rsidRDefault="00A21C81">
      <w:pPr>
        <w:spacing w:before="260" w:after="80" w:line="240" w:lineRule="auto"/>
        <w:jc w:val="left"/>
      </w:pPr>
      <w:r>
        <w:rPr>
          <w:rFonts w:cs="EB Garamond"/>
          <w:b/>
          <w:color w:val="3A3128"/>
          <w:kern w:val="16"/>
          <w:sz w:val="25"/>
          <w14:ligatures w14:val="standardContextual"/>
        </w:rPr>
        <w:t>8.12.1 Requisitos</w:t>
      </w:r>
    </w:p>
    <w:p w14:paraId="6D09967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23DE18EA" w14:textId="77777777" w:rsidR="005A5FCC" w:rsidRDefault="00A21C81">
      <w:r>
        <w:rPr>
          <w:rFonts w:cs="EB Garamond"/>
          <w:kern w:val="16"/>
          <w14:ligatures w14:val="standardContextual"/>
        </w:rPr>
        <w:t xml:space="preserve"> aposentadoria da pessoa com deficiência pode ser concedida por tempo de contribuição ou por idade:</w:t>
      </w:r>
    </w:p>
    <w:p w14:paraId="1A6EA027" w14:textId="77777777" w:rsidR="005A5FCC" w:rsidRDefault="00A21C81">
      <w:pPr>
        <w:ind w:firstLine="238"/>
      </w:pPr>
      <w:r>
        <w:rPr>
          <w:rFonts w:cs="EB Garamond"/>
          <w:kern w:val="16"/>
          <w14:ligatures w14:val="standardContextual"/>
        </w:rPr>
        <w:t>Por tempo de contribuição — os requisitos variam conforme o grau de deficiência: (a) Deficiência grave: 25 anos (homem) ou 20 anos (mulher); (b) Deficiência moderada: 29 anos (homem) ou 24 anos (mulher); (c) Deficiência leve: 33 anos (homem) ou 28 anos (mulher).</w:t>
      </w:r>
    </w:p>
    <w:p w14:paraId="2102B529" w14:textId="77777777" w:rsidR="005A5FCC" w:rsidRDefault="00A21C81">
      <w:pPr>
        <w:ind w:firstLine="238"/>
      </w:pPr>
      <w:r>
        <w:rPr>
          <w:rFonts w:cs="EB Garamond"/>
          <w:kern w:val="16"/>
          <w14:ligatures w14:val="standardContextual"/>
        </w:rPr>
        <w:t>Por idade — o segurado com deficiência, independentemente do grau, pode se aposentar aos 60 anos (homem) ou 55 anos (mulher), com carência de 180 contribuições e comprovação de deficiência durante período igual ou superior a 15 anos.</w:t>
      </w:r>
    </w:p>
    <w:p w14:paraId="7FECBA2F" w14:textId="77777777" w:rsidR="005A5FCC" w:rsidRDefault="00A21C81">
      <w:pPr>
        <w:spacing w:before="260" w:after="80" w:line="240" w:lineRule="auto"/>
        <w:jc w:val="left"/>
      </w:pPr>
      <w:r>
        <w:rPr>
          <w:rFonts w:cs="EB Garamond"/>
          <w:b/>
          <w:color w:val="3A3128"/>
          <w:kern w:val="16"/>
          <w:sz w:val="25"/>
          <w14:ligatures w14:val="standardContextual"/>
        </w:rPr>
        <w:lastRenderedPageBreak/>
        <w:t>8.12.2 Avaliação biopsicossocial</w:t>
      </w:r>
    </w:p>
    <w:p w14:paraId="37AFAA8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692E4792" w14:textId="77777777" w:rsidR="005A5FCC" w:rsidRDefault="00A21C81">
      <w:r>
        <w:rPr>
          <w:rFonts w:cs="EB Garamond"/>
          <w:kern w:val="16"/>
          <w14:ligatures w14:val="standardContextual"/>
        </w:rPr>
        <w:t xml:space="preserve"> classificação do grau de deficiência (leve, moderada ou grave) é realizada por avaliação médica e funcional mediante o Índice de Funcionalidade Brasileiro aplicado para fins de aposentadoria (IF-BrA), por equipe multiprofissional composta por médico perito e assistente social do INSS (Decreto n. 3.048/1999, alterado pelo Decreto n. 10.410/2020). O tratamento aprofundado do IF-BrA, seus sete domínios de funcionalidade e as controvérsias sobre fixação do grau e da data de início da deficiência estão no Cap. 12, seção 12.4.</w:t>
      </w:r>
    </w:p>
    <w:p w14:paraId="2F7CAB45" w14:textId="77777777" w:rsidR="005A5FCC" w:rsidRDefault="00A21C81">
      <w:pPr>
        <w:ind w:firstLine="238"/>
      </w:pPr>
      <w:r>
        <w:rPr>
          <w:rFonts w:cs="EB Garamond"/>
          <w:kern w:val="16"/>
          <w14:ligatures w14:val="standardContextual"/>
        </w:rPr>
        <w:t>Na prática dos JEFs, quando o segurado impugna o grau atribuído administrativamente, o juiz designa perícia judicial com avaliação conforme os parâmetros do IF-BrA. A data de início da deficiência é relevante porque, havendo variação de grau ao longo do tempo, cada período é computado conforme o grau respectivo.</w:t>
      </w:r>
    </w:p>
    <w:p w14:paraId="5CC339E0" w14:textId="77777777" w:rsidR="005A5FCC" w:rsidRDefault="00A21C81">
      <w:pPr>
        <w:spacing w:before="260" w:after="80" w:line="240" w:lineRule="auto"/>
        <w:jc w:val="left"/>
      </w:pPr>
      <w:r>
        <w:rPr>
          <w:rFonts w:cs="EB Garamond"/>
          <w:b/>
          <w:color w:val="3A3128"/>
          <w:kern w:val="16"/>
          <w:sz w:val="25"/>
          <w14:ligatures w14:val="standardContextual"/>
        </w:rPr>
        <w:t>8.12.3 Efeitos da EC 103/2019 sobre a LC 142/2013</w:t>
      </w:r>
    </w:p>
    <w:p w14:paraId="48902EF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5E66F62C" w14:textId="77777777" w:rsidR="005A5FCC" w:rsidRDefault="00A21C81">
      <w:r>
        <w:rPr>
          <w:rFonts w:cs="EB Garamond"/>
          <w:kern w:val="16"/>
          <w14:ligatures w14:val="standardContextual"/>
        </w:rPr>
        <w:t xml:space="preserve"> art. 22 da EC 103/2019 determinou que, até que lei complementar discipline o novo regime, aplica-se a legislação anterior (LC 142/2013). A RMI permanece, portanto, em 100% do salário de benefício, sem aplicação do coeficiente redutor de 60% + 2% da EC 103. O tratamento aprofundado dessa controvérsia — inclusive quanto à divergência doutrinária sobre a aplicabilidade do novo cálculo — está no Cap. 12, seção 12.5.1.</w:t>
      </w:r>
    </w:p>
    <w:tbl>
      <w:tblPr>
        <w:tblW w:w="5000" w:type="pct"/>
        <w:jc w:val="center"/>
        <w:tblLayout w:type="fixed"/>
        <w:tblLook w:val="04A0" w:firstRow="1" w:lastRow="0" w:firstColumn="1" w:lastColumn="0" w:noHBand="0" w:noVBand="1"/>
      </w:tblPr>
      <w:tblGrid>
        <w:gridCol w:w="6311"/>
      </w:tblGrid>
      <w:tr w:rsidR="005A5FCC" w14:paraId="3F1A784B"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2EFEEF85"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05378CA0" w14:textId="77777777" w:rsidR="005A5FCC" w:rsidRDefault="00A21C81">
            <w:pPr>
              <w:spacing w:after="60" w:line="247" w:lineRule="auto"/>
            </w:pPr>
            <w:r>
              <w:rPr>
                <w:rFonts w:cs="EB Garamond"/>
                <w:kern w:val="16"/>
                <w:sz w:val="19"/>
                <w14:ligatures w14:val="standardContextual"/>
              </w:rPr>
              <w:t>No JEF, a aposentadoria da pessoa com deficiência (LC 142/2013) demanda atenção especial na instrução processual. O juiz deve: (a) designar perícia médica com avaliação conforme o IF-BrA, abrangendo os sete domínios de funcionalidade; (b) providenciar avaliação social quando a complexidade do caso exigir; (c) verificar a data de início da deficiência e eventuais variações de grau ao longo do tempo (deficiência que se agravou ou melhorou); (d) computar cada período conforme o grau de deficiência respectivo, se houve variação. A sentença deve especificar com clareza qual o grau de deficiência reconhecido para cada período e o tempo total de contribuição exigido conforme a LC 142/2013.</w:t>
            </w:r>
          </w:p>
        </w:tc>
      </w:tr>
    </w:tbl>
    <w:p w14:paraId="7585A87D" w14:textId="77777777" w:rsidR="005A5FCC" w:rsidRDefault="005A5FCC">
      <w:pPr>
        <w:spacing w:after="80" w:line="240" w:lineRule="auto"/>
      </w:pPr>
    </w:p>
    <w:tbl>
      <w:tblPr>
        <w:tblW w:w="5000" w:type="pct"/>
        <w:jc w:val="center"/>
        <w:tblLayout w:type="fixed"/>
        <w:tblLook w:val="04A0" w:firstRow="1" w:lastRow="0" w:firstColumn="1" w:lastColumn="0" w:noHBand="0" w:noVBand="1"/>
      </w:tblPr>
      <w:tblGrid>
        <w:gridCol w:w="6311"/>
      </w:tblGrid>
      <w:tr w:rsidR="005A5FCC" w14:paraId="477F04ED"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239DBC0C" w14:textId="77777777" w:rsidR="005A5FCC" w:rsidRDefault="00A21C81">
            <w:pPr>
              <w:spacing w:after="60" w:line="240" w:lineRule="auto"/>
              <w:jc w:val="left"/>
            </w:pPr>
            <w:r>
              <w:rPr>
                <w:rFonts w:ascii="Noto Sans" w:hAnsi="Noto Sans" w:cs="Noto Sans"/>
                <w:b/>
                <w:caps/>
                <w:color w:val="B78B37"/>
                <w:kern w:val="16"/>
                <w:sz w:val="16"/>
                <w14:ligatures w14:val="standardContextual"/>
              </w:rPr>
              <w:lastRenderedPageBreak/>
              <w:t>ATENÇÃO</w:t>
            </w:r>
          </w:p>
          <w:p w14:paraId="7543DCEA" w14:textId="77777777" w:rsidR="005A5FCC" w:rsidRDefault="00A21C81">
            <w:pPr>
              <w:spacing w:after="60" w:line="247" w:lineRule="auto"/>
            </w:pPr>
            <w:r>
              <w:rPr>
                <w:rFonts w:cs="EB Garamond"/>
                <w:kern w:val="16"/>
                <w:sz w:val="19"/>
                <w14:ligatures w14:val="standardContextual"/>
              </w:rPr>
              <w:t>A aposentadoria da pessoa com deficiência (LC 142/2013) não se confunde com a aposentadoria especial por exposição a agentes nocivos (arts. 57-58 da Lei n. 8.213/91), embora ambas sejam espécies de aposentadoria com requisitos diferenciados. A distinção fundamental é o fato gerador: na aposentadoria especial, é a exposição a agentes nocivos; na aposentadoria da PCD, é a condição de pessoa com deficiência. O segurado pode, em tese, cumular os dois regimes diferenciados se exercer atividade especial em condições nocivas e for pessoa com deficiência — hipótese em que poderá optar pelo regime mais favorável.</w:t>
            </w:r>
          </w:p>
        </w:tc>
      </w:tr>
    </w:tbl>
    <w:p w14:paraId="6EECE51E" w14:textId="77777777" w:rsidR="005A5FCC" w:rsidRDefault="005A5FCC">
      <w:pPr>
        <w:spacing w:after="80" w:line="240" w:lineRule="auto"/>
      </w:pPr>
    </w:p>
    <w:p w14:paraId="111E94C1"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8.13 Questões processuais nos JEFs</w:t>
      </w:r>
    </w:p>
    <w:p w14:paraId="5D3D7678"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19F6C8F1" w14:textId="77777777" w:rsidR="005A5FCC" w:rsidRDefault="00A21C81">
      <w:r>
        <w:rPr>
          <w:rFonts w:cs="EB Garamond"/>
          <w:kern w:val="16"/>
          <w14:ligatures w14:val="standardContextual"/>
        </w:rPr>
        <w:t>s processos de aposentadoria especial nos JEFs envolvem particularidades processuais que merecem registro.</w:t>
      </w:r>
    </w:p>
    <w:p w14:paraId="2B8775E2" w14:textId="77777777" w:rsidR="005A5FCC" w:rsidRDefault="00A21C81">
      <w:pPr>
        <w:spacing w:before="260" w:after="80" w:line="240" w:lineRule="auto"/>
        <w:jc w:val="left"/>
      </w:pPr>
      <w:r>
        <w:rPr>
          <w:rFonts w:cs="EB Garamond"/>
          <w:b/>
          <w:color w:val="3A3128"/>
          <w:kern w:val="16"/>
          <w:sz w:val="25"/>
          <w14:ligatures w14:val="standardContextual"/>
        </w:rPr>
        <w:t>8.13.1 Prova da exposição a agentes nocivos</w:t>
      </w:r>
    </w:p>
    <w:p w14:paraId="06C218A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5F385EF6" w14:textId="77777777" w:rsidR="005A5FCC" w:rsidRDefault="00A21C81">
      <w:r>
        <w:rPr>
          <w:rFonts w:cs="EB Garamond"/>
          <w:kern w:val="16"/>
          <w14:ligatures w14:val="standardContextual"/>
        </w:rPr>
        <w:t xml:space="preserve"> prova da exposição a agentes nocivos nos JEFs observa regime próprio, que combina documentos administrativos (PPP, LTCAT, formulários anteriores) com prova pericial judicial (perícia ambiental) e prova emprestada.</w:t>
      </w:r>
    </w:p>
    <w:p w14:paraId="109FE839" w14:textId="77777777" w:rsidR="005A5FCC" w:rsidRDefault="00A21C81">
      <w:pPr>
        <w:ind w:firstLine="238"/>
      </w:pPr>
      <w:r>
        <w:rPr>
          <w:rFonts w:cs="EB Garamond"/>
          <w:kern w:val="16"/>
          <w14:ligatures w14:val="standardContextual"/>
        </w:rPr>
        <w:t>O PPP é a prova pré-constituída por excelência. Quando o PPP indica exposição a agente nocivo em nível superior ao limite de tolerância, com indicação do responsável técnico e referência ao LTCAT, a prova é, em princípio, suficiente para o reconhecimento da atividade especial. A controvérsia surge quando: (a) o PPP indica EPI eficaz (exceto para ruído); (b) o PPP é omisso ou contraditório; (c) o empregador se recusa a fornecer o PPP; (d) a empresa foi extinta.</w:t>
      </w:r>
    </w:p>
    <w:p w14:paraId="619C98EA" w14:textId="77777777" w:rsidR="005A5FCC" w:rsidRDefault="00A21C81">
      <w:pPr>
        <w:spacing w:before="260" w:after="80" w:line="240" w:lineRule="auto"/>
        <w:jc w:val="left"/>
      </w:pPr>
      <w:r>
        <w:rPr>
          <w:rFonts w:cs="EB Garamond"/>
          <w:b/>
          <w:color w:val="3A3128"/>
          <w:kern w:val="16"/>
          <w:sz w:val="25"/>
          <w14:ligatures w14:val="standardContextual"/>
        </w:rPr>
        <w:t>8.13.2 Perícia ambiental</w:t>
      </w:r>
    </w:p>
    <w:p w14:paraId="4FA32A6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Q</w:t>
      </w:r>
    </w:p>
    <w:p w14:paraId="419F0371" w14:textId="77777777" w:rsidR="005A5FCC" w:rsidRDefault="00A21C81">
      <w:r>
        <w:rPr>
          <w:rFonts w:cs="EB Garamond"/>
          <w:kern w:val="16"/>
          <w14:ligatures w14:val="standardContextual"/>
        </w:rPr>
        <w:t xml:space="preserve">uando a controvérsia não pode ser resolvida pela prova documental, o juiz pode designar perícia ambiental para verificação das condições de trabalho. A perícia ambiental é realizada por engenheiro de segurança do trabalho </w:t>
      </w:r>
      <w:r>
        <w:rPr>
          <w:rFonts w:cs="EB Garamond"/>
          <w:kern w:val="16"/>
          <w14:ligatures w14:val="standardContextual"/>
        </w:rPr>
        <w:lastRenderedPageBreak/>
        <w:t>ou médico do trabalho designado pelo juízo, que inspeciona o ambiente de trabalho e elabora laudo técnico com avaliação qualitativa e quantitativa dos agentes nocivos presentes.</w:t>
      </w:r>
    </w:p>
    <w:p w14:paraId="0C53E537" w14:textId="77777777" w:rsidR="005A5FCC" w:rsidRDefault="00A21C81">
      <w:pPr>
        <w:ind w:firstLine="238"/>
      </w:pPr>
      <w:r>
        <w:rPr>
          <w:rFonts w:cs="EB Garamond"/>
          <w:kern w:val="16"/>
          <w14:ligatures w14:val="standardContextual"/>
        </w:rPr>
        <w:t>A Súmula 68 da TNU dispõe que "o laudo pericial não contemporâneo ao período trabalhado é apto à comprovação da atividade especial do segurado". Esse entendimento viabiliza a produção probatória da aposentadoria especial, pois frequentemente o segurado pleiteia o reconhecimento de períodos trabalhados há décadas, quando as condições ambientais podem ter sido alteradas. A presunção é de que as condições eram iguais ou piores no passado — raciocínio que se justifica pela evolução histórica das normas de segurança do trabalho, que tendem a se tornar mais rigorosas ao longo do tempo.</w:t>
      </w:r>
    </w:p>
    <w:p w14:paraId="098D1652" w14:textId="77777777" w:rsidR="005A5FCC" w:rsidRDefault="00A21C81">
      <w:pPr>
        <w:spacing w:before="260" w:after="80" w:line="240" w:lineRule="auto"/>
        <w:jc w:val="left"/>
      </w:pPr>
      <w:r>
        <w:rPr>
          <w:rFonts w:cs="EB Garamond"/>
          <w:b/>
          <w:color w:val="3A3128"/>
          <w:kern w:val="16"/>
          <w:sz w:val="25"/>
          <w14:ligatures w14:val="standardContextual"/>
        </w:rPr>
        <w:t>8.13.3 Prova emprestada</w:t>
      </w:r>
    </w:p>
    <w:p w14:paraId="049E0921"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3DD0F973" w14:textId="77777777" w:rsidR="005A5FCC" w:rsidRDefault="00A21C81">
      <w:r>
        <w:rPr>
          <w:rFonts w:cs="EB Garamond"/>
          <w:kern w:val="16"/>
          <w14:ligatures w14:val="standardContextual"/>
        </w:rPr>
        <w:t xml:space="preserve"> prova emprestada é amplamente aceita nos JEFs em matéria de aposentadoria especial. Laudos periciais produzidos em outros processos, referentes ao mesmo empregador e à mesma função, podem ser utilizados como meio de prova. O CPC/2015 (art. 372) admite expressamente a prova emprestada, exigindo apenas que a parte contra quem é produzida tenha oportunidade de se manifestar.</w:t>
      </w:r>
    </w:p>
    <w:p w14:paraId="14FE8F0A" w14:textId="77777777" w:rsidR="005A5FCC" w:rsidRDefault="00A21C81">
      <w:pPr>
        <w:ind w:firstLine="238"/>
      </w:pPr>
      <w:r>
        <w:rPr>
          <w:rFonts w:cs="EB Garamond"/>
          <w:kern w:val="16"/>
          <w14:ligatures w14:val="standardContextual"/>
        </w:rPr>
        <w:t>Na prática, a prova emprestada é especialmente útil quando: (a) a empresa foi extinta e não há como realizar perícia no local; (b) o segurado exerceu atividade em empresa de grande porte, para a qual já existem diversos laudos judiciais; (c) o custo da perícia ambiental é desproporcional ao benefício econômico discutido.</w:t>
      </w:r>
    </w:p>
    <w:p w14:paraId="04C23972" w14:textId="56D4D9A7" w:rsidR="005A5FCC" w:rsidRDefault="00A21C81">
      <w:pPr>
        <w:spacing w:before="260" w:after="80" w:line="240" w:lineRule="auto"/>
        <w:jc w:val="left"/>
      </w:pPr>
      <w:r>
        <w:rPr>
          <w:rFonts w:cs="EB Garamond"/>
          <w:b/>
          <w:color w:val="3A3128"/>
          <w:kern w:val="16"/>
          <w:sz w:val="25"/>
          <w14:ligatures w14:val="standardContextual"/>
        </w:rPr>
        <w:t>8.13.4 Reafirmação da DER (</w:t>
      </w:r>
      <w:r w:rsidR="005C0081">
        <w:rPr>
          <w:rFonts w:cs="EB Garamond"/>
          <w:b/>
          <w:color w:val="3A3128"/>
          <w:kern w:val="16"/>
          <w:sz w:val="25"/>
          <w14:ligatures w14:val="standardContextual"/>
        </w:rPr>
        <w:t>T</w:t>
      </w:r>
      <w:r>
        <w:rPr>
          <w:rFonts w:cs="EB Garamond"/>
          <w:b/>
          <w:color w:val="3A3128"/>
          <w:kern w:val="16"/>
          <w:sz w:val="25"/>
          <w14:ligatures w14:val="standardContextual"/>
        </w:rPr>
        <w:t>ema 995/STJ)</w:t>
      </w:r>
    </w:p>
    <w:p w14:paraId="2A22707B"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0641DCA7" w14:textId="77777777" w:rsidR="005A5FCC" w:rsidRDefault="00A21C81">
      <w:r>
        <w:rPr>
          <w:rFonts w:cs="EB Garamond"/>
          <w:kern w:val="16"/>
          <w14:ligatures w14:val="standardContextual"/>
        </w:rPr>
        <w:t xml:space="preserve"> Tema 995 do STJ é plenamente aplicável à aposentadoria especial. O segurado que, na data do requerimento administrativo, ainda não havia completado o tempo mínimo de atividade especial (ou a idade ou pontuação exigida pela EC 103/2019), mas que completa os requisitos durante o trâmite da ação judicial, pode ter a DER reafirmada para a data em que os implementou, com DIB a partir dessa data.</w:t>
      </w:r>
    </w:p>
    <w:p w14:paraId="27BAAE76" w14:textId="77777777" w:rsidR="005A5FCC" w:rsidRDefault="00A21C81">
      <w:pPr>
        <w:ind w:firstLine="238"/>
      </w:pPr>
      <w:r>
        <w:rPr>
          <w:rFonts w:cs="EB Garamond"/>
          <w:kern w:val="16"/>
          <w14:ligatures w14:val="standardContextual"/>
        </w:rPr>
        <w:lastRenderedPageBreak/>
        <w:t>A reafirmação da DER é particularmente relevante na aposentadoria especial em razão da complexidade probatória do benefício: frequentemente, períodos de atividade especial são reconhecidos judicialmente após a perícia ambiental, completando o tempo mínimo exigido durante o processo. A possibilidade de reafirmação evita que o segurado tenha de formular novo requerimento administrativo e ajuizar nova ação.</w:t>
      </w:r>
    </w:p>
    <w:p w14:paraId="3FC3BCC2" w14:textId="77777777" w:rsidR="005A5FCC" w:rsidRDefault="00A21C81">
      <w:pPr>
        <w:spacing w:before="260" w:after="80" w:line="240" w:lineRule="auto"/>
        <w:jc w:val="left"/>
      </w:pPr>
      <w:r>
        <w:rPr>
          <w:rFonts w:cs="EB Garamond"/>
          <w:b/>
          <w:color w:val="3A3128"/>
          <w:kern w:val="16"/>
          <w:sz w:val="25"/>
          <w14:ligatures w14:val="standardContextual"/>
        </w:rPr>
        <w:t>8.13.5 Tutela provisória e implantação do benefício</w:t>
      </w:r>
    </w:p>
    <w:p w14:paraId="532D3AC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N</w:t>
      </w:r>
    </w:p>
    <w:p w14:paraId="093528D5" w14:textId="77777777" w:rsidR="005A5FCC" w:rsidRDefault="00A21C81">
      <w:r>
        <w:rPr>
          <w:rFonts w:cs="EB Garamond"/>
          <w:kern w:val="16"/>
          <w14:ligatures w14:val="standardContextual"/>
        </w:rPr>
        <w:t>as ações de concessão de aposentadoria especial nos JEFs, a tutela provisória de urgência é deferida quando a prova documental e pericial demonstra a plausibilidade do direito e o risco de dano irreparável ao segurado. Diferentemente dos benefícios por incapacidade, em que a urgência decorre da privação de renda, na aposentadoria especial a urgência pode decorrer: (a) da necessidade de cessar a exposição a agentes nocivos para preservação da saúde, e (b) da privação do benefício a que o segurado tem direito, obrigando-o a continuar trabalhando em condições prejudiciais.</w:t>
      </w:r>
    </w:p>
    <w:p w14:paraId="576C37DD" w14:textId="77777777" w:rsidR="005A5FCC" w:rsidRDefault="00A21C81">
      <w:pPr>
        <w:ind w:firstLine="238"/>
      </w:pPr>
      <w:r>
        <w:rPr>
          <w:rFonts w:cs="EB Garamond"/>
          <w:kern w:val="16"/>
          <w14:ligatures w14:val="standardContextual"/>
        </w:rPr>
        <w:t>A sentença que concede a aposentadoria especial nos JEFs tem eficácia imediata (art. 3º da Lei n. 10.259/2001). A implantação compreende o cadastramento do benefício no sistema do INSS e o pagamento das parcelas vincendas. As parcelas vencidas (retroativas à DER ou à DER reafirmada) são pagas por Requisição de Pequeno Valor (RPV) ou precatório, conforme o montante.</w:t>
      </w:r>
    </w:p>
    <w:p w14:paraId="6DA7F3DF" w14:textId="77777777" w:rsidR="005A5FCC" w:rsidRDefault="00A21C81">
      <w:pPr>
        <w:spacing w:before="260" w:after="80" w:line="240" w:lineRule="auto"/>
        <w:jc w:val="left"/>
      </w:pPr>
      <w:r>
        <w:rPr>
          <w:rFonts w:cs="EB Garamond"/>
          <w:b/>
          <w:color w:val="3A3128"/>
          <w:kern w:val="16"/>
          <w:sz w:val="25"/>
          <w14:ligatures w14:val="standardContextual"/>
        </w:rPr>
        <w:t>8.13.6 Prescrição e decadência</w:t>
      </w:r>
    </w:p>
    <w:p w14:paraId="5F43A301"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E</w:t>
      </w:r>
    </w:p>
    <w:p w14:paraId="40D133E8" w14:textId="77777777" w:rsidR="005A5FCC" w:rsidRDefault="00A21C81">
      <w:r>
        <w:rPr>
          <w:rFonts w:cs="EB Garamond"/>
          <w:kern w:val="16"/>
          <w14:ligatures w14:val="standardContextual"/>
        </w:rPr>
        <w:t>m matéria de aposentadoria especial, a prescrição quinquenal incide sobre as parcelas vencidas, não sobre o fundo de direito (Súmula 85/STJ). O segurado pode pleitear o benefício a qualquer tempo, mas receberá retroativamente apenas as parcelas dos cinco anos anteriores ao ajuizamento.</w:t>
      </w:r>
    </w:p>
    <w:p w14:paraId="34C11D41" w14:textId="77777777" w:rsidR="005A5FCC" w:rsidRDefault="00A21C81">
      <w:pPr>
        <w:ind w:firstLine="238"/>
      </w:pPr>
      <w:r>
        <w:rPr>
          <w:rFonts w:cs="EB Garamond"/>
          <w:kern w:val="16"/>
          <w14:ligatures w14:val="standardContextual"/>
        </w:rPr>
        <w:t>Quanto à decadência, o art. 103 da Lei n. 8.213/91 prevê prazo decadencial de 10 anos para revisão do ato de concessão. Esse prazo aplica-se quando o segurado pretende revisar os termos de aposentadoria especial já concedida (por exemplo, para alterar a DIB ou o salário de benefício), mas não incide sobre pedido de concessão originária.</w:t>
      </w:r>
    </w:p>
    <w:p w14:paraId="6F8C1583" w14:textId="77777777" w:rsidR="005A5FCC" w:rsidRDefault="00A21C81">
      <w:pPr>
        <w:ind w:firstLine="238"/>
      </w:pPr>
      <w:r>
        <w:rPr>
          <w:rFonts w:cs="EB Garamond"/>
          <w:kern w:val="16"/>
          <w14:ligatures w14:val="standardContextual"/>
        </w:rPr>
        <w:lastRenderedPageBreak/>
        <w:t>O reconhecimento de tempo especial é pretensão declaratória, e como tal, imprescritível. A prescrição quinquenal incide apenas sobre as parcelas do benefício eventualmente devido, não sobre o reconhecimento do tempo especial em si. Assim, o segurado pode, a qualquer tempo, pleitear judicialmente o reconhecimento de período de atividade especial exercido há décadas — a prescrição limita apenas os efeitos financeiros retroativos.</w:t>
      </w:r>
    </w:p>
    <w:p w14:paraId="6C2226B1" w14:textId="77777777" w:rsidR="005A5FCC" w:rsidRDefault="00A21C81">
      <w:pPr>
        <w:spacing w:before="260" w:after="80" w:line="240" w:lineRule="auto"/>
        <w:jc w:val="left"/>
      </w:pPr>
      <w:r>
        <w:rPr>
          <w:rFonts w:cs="EB Garamond"/>
          <w:b/>
          <w:color w:val="3A3128"/>
          <w:kern w:val="16"/>
          <w:sz w:val="25"/>
          <w14:ligatures w14:val="standardContextual"/>
        </w:rPr>
        <w:t>8.13.7 Honorários e custas</w:t>
      </w:r>
    </w:p>
    <w:p w14:paraId="753347E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N</w:t>
      </w:r>
    </w:p>
    <w:p w14:paraId="4B5AC056" w14:textId="77777777" w:rsidR="005A5FCC" w:rsidRDefault="00A21C81">
      <w:r>
        <w:rPr>
          <w:rFonts w:cs="EB Garamond"/>
          <w:kern w:val="16"/>
          <w14:ligatures w14:val="standardContextual"/>
        </w:rPr>
        <w:t>os JEFs, não há condenação em honorários advocatícios quando a sentença é favorável ao segurado (art. 55, caput, da Lei n. 9.099/95 c/c art. 1º da Lei n. 10.259/2001). Os honorários periciais da perícia ambiental são pagos pela Justiça Federal quando a parte autora é beneficiária da justiça gratuita. Na hipótese de improcedência, a condenação em honorários fica com execução suspensa enquanto o beneficiário mantiver a condição de hipossuficiente (art. 98, § 3º, CPC).</w:t>
      </w:r>
    </w:p>
    <w:p w14:paraId="73918578" w14:textId="77777777" w:rsidR="005A5FCC" w:rsidRDefault="00A21C81">
      <w:pPr>
        <w:spacing w:before="260" w:after="80" w:line="240" w:lineRule="auto"/>
        <w:jc w:val="left"/>
      </w:pPr>
      <w:r>
        <w:rPr>
          <w:rFonts w:cs="EB Garamond"/>
          <w:b/>
          <w:color w:val="3A3128"/>
          <w:kern w:val="16"/>
          <w:sz w:val="25"/>
          <w14:ligatures w14:val="standardContextual"/>
        </w:rPr>
        <w:t>8.13.8 Fungibilidade</w:t>
      </w:r>
    </w:p>
    <w:p w14:paraId="30BA51D1"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76E19743" w14:textId="77777777" w:rsidR="005A5FCC" w:rsidRDefault="00A21C81">
      <w:r>
        <w:rPr>
          <w:rFonts w:cs="EB Garamond"/>
          <w:kern w:val="16"/>
          <w14:ligatures w14:val="standardContextual"/>
        </w:rPr>
        <w:t xml:space="preserve"> fungibilidade entre a aposentadoria especial e outros benefícios previdenciários é admitida pela jurisprudência dos JEFs. Quando o segurado pleiteia aposentadoria especial, mas a perícia constata que não há exposição a agentes nocivos suficiente para completar o tempo mínimo, o juiz pode conceder aposentadoria por tempo de contribuição (se preenchidos os requisitos), computando o tempo especial convertido em tempo comum pelo fator de conversão aplicável.</w:t>
      </w:r>
    </w:p>
    <w:p w14:paraId="4774EB76" w14:textId="77777777" w:rsidR="005A5FCC" w:rsidRDefault="00A21C81">
      <w:pPr>
        <w:ind w:firstLine="238"/>
      </w:pPr>
      <w:r>
        <w:rPr>
          <w:rFonts w:cs="EB Garamond"/>
          <w:kern w:val="16"/>
          <w14:ligatures w14:val="standardContextual"/>
        </w:rPr>
        <w:t>Da mesma forma, se o segurado pleiteia aposentadoria por tempo de contribuição e, no curso do processo, verifica-se que determinados períodos foram exercidos em condições especiais, o juiz pode reconhecer a especialidade e conceder a aposentadoria especial, se completado o tempo mínimo.</w:t>
      </w:r>
    </w:p>
    <w:tbl>
      <w:tblPr>
        <w:tblW w:w="5000" w:type="pct"/>
        <w:jc w:val="center"/>
        <w:tblLayout w:type="fixed"/>
        <w:tblLook w:val="04A0" w:firstRow="1" w:lastRow="0" w:firstColumn="1" w:lastColumn="0" w:noHBand="0" w:noVBand="1"/>
      </w:tblPr>
      <w:tblGrid>
        <w:gridCol w:w="6311"/>
      </w:tblGrid>
      <w:tr w:rsidR="005A5FCC" w14:paraId="2574E344"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6B79ED19"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3F89D31D" w14:textId="77777777" w:rsidR="005A5FCC" w:rsidRDefault="00A21C81">
            <w:pPr>
              <w:spacing w:after="60" w:line="247" w:lineRule="auto"/>
            </w:pPr>
            <w:r>
              <w:rPr>
                <w:rFonts w:cs="EB Garamond"/>
                <w:kern w:val="16"/>
                <w:sz w:val="19"/>
                <w14:ligatures w14:val="standardContextual"/>
              </w:rPr>
              <w:t>Na petição inicial de ação de aposentadoria especial nos JEFs, é recomendável que o advogado formule pedido subsidiário de aposentadoria por tempo de contribuição com conversão de tempo especial, para a hipótese de o juízo não reconhecer a integralidade dos períodos de atividade especial pleiteados. Essa estratégia assegura que, mesmo reconhecidos parcialmente os períodos especiais, o segurado obtenha o melhor benefício possível com base no tempo total de contribuição (incluindo o tempo especial convertido pelo fator aplicável).</w:t>
            </w:r>
          </w:p>
        </w:tc>
      </w:tr>
    </w:tbl>
    <w:p w14:paraId="103F787B" w14:textId="77777777" w:rsidR="005A5FCC" w:rsidRDefault="005A5FCC">
      <w:pPr>
        <w:spacing w:after="80" w:line="240" w:lineRule="auto"/>
      </w:pPr>
    </w:p>
    <w:p w14:paraId="6DFDB2D0"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8.14 Fonte de custeio e a tese da prévia contribuição</w:t>
      </w:r>
    </w:p>
    <w:p w14:paraId="38C1D53E"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7F1E72C7" w14:textId="77777777" w:rsidR="005A5FCC" w:rsidRDefault="00A21C81">
      <w:r>
        <w:rPr>
          <w:rFonts w:cs="EB Garamond"/>
          <w:kern w:val="16"/>
          <w14:ligatures w14:val="standardContextual"/>
        </w:rPr>
        <w:t xml:space="preserve"> INSS alega, com frequência, que a aposentadoria especial não pode ser concedida sem a correspondente fonte de custeio, isto é, sem que o empregador tenha recolhido a contribuição adicional prevista no art. 57, § 6º, da Lei n. 8.213/91 (alíquotas de 6%, 9% ou 12% sobre a remuneração do segurado, conforme o grau de risco da atividade).</w:t>
      </w:r>
    </w:p>
    <w:p w14:paraId="4E263287" w14:textId="77777777" w:rsidR="005A5FCC" w:rsidRDefault="00A21C81">
      <w:pPr>
        <w:ind w:firstLine="238"/>
      </w:pPr>
      <w:r>
        <w:rPr>
          <w:rFonts w:cs="EB Garamond"/>
          <w:kern w:val="16"/>
          <w14:ligatures w14:val="standardContextual"/>
        </w:rPr>
        <w:t>A jurisprudência é pacífica em afastar essa alegação. O entendimento consolidado nos TRFs e na TNU é de que a responsabilidade pelo recolhimento das contribuições é do empregador, e o segurado não pode ser penalizado pela inadimplência patronal. O art. 195, § 5º, da Constituição Federal, que exige prévia fonte de custeio para a criação de benefícios, destina-se ao legislador, não ao segurado. A aposentadoria especial está prevista em lei (Lei n. 8.213/91) com a correspondente fonte de custeio definida (art. 57, § 6º) — o fato de o empregador não ter recolhido a contribuição adicional é problema de fiscalização e cobrança, não de concessão do benefício.</w:t>
      </w:r>
    </w:p>
    <w:tbl>
      <w:tblPr>
        <w:tblW w:w="5000" w:type="pct"/>
        <w:jc w:val="center"/>
        <w:tblLayout w:type="fixed"/>
        <w:tblLook w:val="04A0" w:firstRow="1" w:lastRow="0" w:firstColumn="1" w:lastColumn="0" w:noHBand="0" w:noVBand="1"/>
      </w:tblPr>
      <w:tblGrid>
        <w:gridCol w:w="6311"/>
      </w:tblGrid>
      <w:tr w:rsidR="005A5FCC" w14:paraId="32C3CAE5"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2A6D5729" w14:textId="77777777" w:rsidR="005A5FCC" w:rsidRDefault="00A21C81">
            <w:pPr>
              <w:spacing w:after="60" w:line="240" w:lineRule="auto"/>
              <w:jc w:val="left"/>
            </w:pPr>
            <w:r>
              <w:rPr>
                <w:rFonts w:ascii="Noto Sans" w:hAnsi="Noto Sans" w:cs="Noto Sans"/>
                <w:b/>
                <w:caps/>
                <w:color w:val="B78B37"/>
                <w:kern w:val="16"/>
                <w:sz w:val="16"/>
                <w14:ligatures w14:val="standardContextual"/>
              </w:rPr>
              <w:lastRenderedPageBreak/>
              <w:t>ATENÇÃO</w:t>
            </w:r>
          </w:p>
          <w:p w14:paraId="3FB58BDF" w14:textId="77777777" w:rsidR="005A5FCC" w:rsidRDefault="00A21C81">
            <w:pPr>
              <w:spacing w:after="60" w:line="247" w:lineRule="auto"/>
            </w:pPr>
            <w:r>
              <w:rPr>
                <w:rFonts w:cs="EB Garamond"/>
                <w:kern w:val="16"/>
                <w:sz w:val="19"/>
                <w14:ligatures w14:val="standardContextual"/>
              </w:rPr>
              <w:t>A alegação do INSS de ausência de fonte de custeio para indeferir a aposentadoria especial não prospera na jurisprudência dos JEFs. O segurado que comprova a exposição a agentes nocivos tem direito ao benefício independentemente do recolhimento da contribuição adicional pelo empregador. A responsabilidade pelo recolhimento é exclusiva do empregador — cabe ao INSS fiscalizá-lo e cobrá-lo, não transferir ao segurado as consequências da inadimplência patronal. Esse entendimento está firmado em inúmeros julgados das Turmas Recursais e da TNU.</w:t>
            </w:r>
          </w:p>
        </w:tc>
      </w:tr>
    </w:tbl>
    <w:p w14:paraId="1C4B87B7" w14:textId="77777777" w:rsidR="005A5FCC" w:rsidRDefault="005A5FCC">
      <w:pPr>
        <w:spacing w:after="80" w:line="240" w:lineRule="auto"/>
      </w:pPr>
    </w:p>
    <w:p w14:paraId="18A226C3"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8.15 Direito intertemporal na aposentadoria especial</w:t>
      </w:r>
    </w:p>
    <w:p w14:paraId="1FB5D1EC"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1D42FE5D" w14:textId="2C243F0D" w:rsidR="005A5FCC" w:rsidRDefault="00A21C81">
      <w:r>
        <w:rPr>
          <w:rFonts w:cs="EB Garamond"/>
          <w:kern w:val="16"/>
          <w14:ligatures w14:val="standardContextual"/>
        </w:rPr>
        <w:t xml:space="preserve"> aposentadoria especial é o benefício previdenciário em que o direito intertemporal assume maior relevância, dada a sucessão de regimes legislativos que disciplinaram a matéria ao longo das décadas. O princípio fundamental é o tempus regit actum: cada período de atividade é regido pela legislação vigente à época de sua prestação.</w:t>
      </w:r>
    </w:p>
    <w:p w14:paraId="2E24EF08" w14:textId="77777777" w:rsidR="005A5FCC" w:rsidRDefault="00A21C81">
      <w:pPr>
        <w:ind w:firstLine="238"/>
      </w:pPr>
      <w:r>
        <w:rPr>
          <w:rFonts w:cs="EB Garamond"/>
          <w:kern w:val="16"/>
          <w14:ligatures w14:val="standardContextual"/>
        </w:rPr>
        <w:t>Esse princípio tem três consequências práticas fundamentais:</w:t>
      </w:r>
    </w:p>
    <w:p w14:paraId="59F2D70D" w14:textId="77777777" w:rsidR="005A5FCC" w:rsidRDefault="00A21C81">
      <w:pPr>
        <w:ind w:firstLine="238"/>
      </w:pPr>
      <w:r>
        <w:rPr>
          <w:rFonts w:cs="EB Garamond"/>
          <w:kern w:val="16"/>
          <w14:ligatures w14:val="standardContextual"/>
        </w:rPr>
        <w:t>(a) O enquadramento da atividade como especial observa a legislação vigente na data da prestação do serviço. Se a atividade era enquadrada por categoria profissional na vigência do Decreto n. 53.831/1964, o período anterior a 29/04/1995 é especial independentemente de comprovação de exposição efetiva. Se a atividade era exercida sob a vigência da Lei n. 9.032/1995, exige-se a comprovação da exposição a agente nocivo.</w:t>
      </w:r>
    </w:p>
    <w:p w14:paraId="5431030F" w14:textId="77777777" w:rsidR="005A5FCC" w:rsidRDefault="00A21C81">
      <w:pPr>
        <w:ind w:firstLine="238"/>
      </w:pPr>
      <w:r>
        <w:rPr>
          <w:rFonts w:cs="EB Garamond"/>
          <w:kern w:val="16"/>
          <w14:ligatures w14:val="standardContextual"/>
        </w:rPr>
        <w:t>(b) Os limites de tolerância (para agentes quantitativos) são os vigentes na data da prestação do serviço. Para o ruído, por exemplo, aplica-se o limite de 80 dB(A) para períodos até 05/03/1997, de 90 dB(A) para períodos de 06/03/1997 a 18/11/2003, e de 85 dB(A) a partir de 19/11/2003.</w:t>
      </w:r>
    </w:p>
    <w:p w14:paraId="774F4185" w14:textId="77777777" w:rsidR="005A5FCC" w:rsidRDefault="00A21C81">
      <w:pPr>
        <w:ind w:firstLine="238"/>
      </w:pPr>
      <w:r>
        <w:rPr>
          <w:rFonts w:cs="EB Garamond"/>
          <w:kern w:val="16"/>
          <w14:ligatures w14:val="standardContextual"/>
        </w:rPr>
        <w:lastRenderedPageBreak/>
        <w:t>(c) A conversão de tempo especial em comum é regida pela legislação vigente na data do preenchimento dos requisitos da aposentadoria (e não na data da prestação do serviço), conforme jurisprudência do STJ. Assim, os fatores de conversão aplicáveis são os da tabela vigente na data da aposentadoria.</w:t>
      </w:r>
    </w:p>
    <w:p w14:paraId="36917AD0" w14:textId="77777777" w:rsidR="005A5FCC" w:rsidRDefault="00A21C81">
      <w:pPr>
        <w:ind w:firstLine="238"/>
      </w:pPr>
      <w:r>
        <w:rPr>
          <w:rFonts w:cs="EB Garamond"/>
          <w:kern w:val="16"/>
          <w14:ligatures w14:val="standardContextual"/>
        </w:rPr>
        <w:t>O segurado que acumulou períodos de atividade especial sob diferentes regimes legislativos terá cada período avaliado conforme a legislação respectiva. É possível, por exemplo, que o mesmo segurado tenha: (a) um período enquadrado por categoria profissional (pré-1995); (b) um período enquadrado por agente nocivo com limite de ruído de 80 dB (pré-1997); (c) um período com limite de 90 dB (1997-2003); e (d) um período com limite de 85 dB (pós-2003). A soma de todos esses períodos compõe o tempo total de atividade especial para fins de aposentadoria ou conversão.</w:t>
      </w:r>
    </w:p>
    <w:p w14:paraId="06213BD5"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8.16 Atividades concomitantes e tempo especial</w:t>
      </w:r>
    </w:p>
    <w:p w14:paraId="44010BAF"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7729FFFA" w14:textId="77777777" w:rsidR="005A5FCC" w:rsidRDefault="00A21C81">
      <w:r>
        <w:rPr>
          <w:rFonts w:cs="EB Garamond"/>
          <w:kern w:val="16"/>
          <w14:ligatures w14:val="standardContextual"/>
        </w:rPr>
        <w:t xml:space="preserve"> segurado que exerce simultaneamente atividades em condições especiais e em condições comuns tem o tempo especial computado proporcionalmente à exposição efetiva. A regra geral é que o tempo de exposição a agentes nocivos seja contado integralmente como especial, e o tempo de atividade comum seja contado como tempo comum, a conversão é feita apenas sobre o período de atividade efetivamente exercida em condições especiais.</w:t>
      </w:r>
    </w:p>
    <w:p w14:paraId="214E1DFF" w14:textId="77777777" w:rsidR="005A5FCC" w:rsidRDefault="00A21C81">
      <w:pPr>
        <w:ind w:firstLine="238"/>
      </w:pPr>
      <w:r>
        <w:rPr>
          <w:rFonts w:cs="EB Garamond"/>
          <w:kern w:val="16"/>
          <w14:ligatures w14:val="standardContextual"/>
        </w:rPr>
        <w:t>Quando o segurado exerce atividade especial em dois empregos simultâneos, o tempo especial é contado uma única vez — não há duplicação do cômputo pelo exercício concomitante de duas atividades especiais.</w:t>
      </w:r>
    </w:p>
    <w:p w14:paraId="4CE182FF" w14:textId="77777777" w:rsidR="005A5FCC" w:rsidRDefault="00A21C81">
      <w:pPr>
        <w:ind w:firstLine="238"/>
      </w:pPr>
      <w:r>
        <w:rPr>
          <w:rFonts w:cs="EB Garamond"/>
          <w:kern w:val="16"/>
          <w14:ligatures w14:val="standardContextual"/>
        </w:rPr>
        <w:t>Sobre a soma integral dos salários de contribuição em atividades concomitantes, v. STJ, Tema 1.070 (REsp 1.870.793/RS), que consolidou o entendimento de que, após o advento da Lei n. 9.876/99, todos os salários de contribuição são somados, independentemente de serem provenientes de atividades simultâneas (conforme examinado no Capítulo 5).</w:t>
      </w:r>
    </w:p>
    <w:p w14:paraId="026B55CB" w14:textId="77777777" w:rsidR="005A5FCC" w:rsidRDefault="00A21C81">
      <w:pPr>
        <w:ind w:firstLine="238"/>
      </w:pPr>
      <w:r>
        <w:rPr>
          <w:rFonts w:cs="EB Garamond"/>
          <w:kern w:val="16"/>
          <w14:ligatures w14:val="standardContextual"/>
        </w:rPr>
        <w:t xml:space="preserve">A questão da atividade concomitante ganha complexidade com a EC 103/2019, que vedou a conversão de tempo especial em comum a partir de sua promulgação. O segurado que exerce, após 13/11/2019, atividade especial em </w:t>
      </w:r>
      <w:r>
        <w:rPr>
          <w:rFonts w:cs="EB Garamond"/>
          <w:kern w:val="16"/>
          <w14:ligatures w14:val="standardContextual"/>
        </w:rPr>
        <w:lastRenderedPageBreak/>
        <w:t>um emprego e atividade comum em outro só pode aproveitar o tempo especial para fins de aposentadoria especial, não pode convertê-lo para somar ao tempo de contribuição comum.</w:t>
      </w:r>
    </w:p>
    <w:p w14:paraId="6AC70876" w14:textId="77777777" w:rsidR="005A5FCC" w:rsidRDefault="00A21C81">
      <w:pPr>
        <w:ind w:firstLine="238"/>
      </w:pPr>
      <w:r>
        <w:rPr>
          <w:rFonts w:cs="EB Garamond"/>
          <w:kern w:val="16"/>
          <w14:ligatures w14:val="standardContextual"/>
        </w:rPr>
        <w:t>O cálculo do salário de contribuição nas atividades concomitantes sofreu alteração relevante. A Lei n. 13.846/2019 alterou o art. 32 da Lei n. 8.213/91, estabelecendo que, no caso de exercício de atividades concomitantes, o salário de contribuição consiste na soma dos salários de contribuição das atividades exercidas, observado o limite máximo do salário de contribuição. Essa alteração superou a antiga regra que segregava os salários de contribuição das atividades concomitantes, calculando a renda mensal com base em atividade principal e secundária — sistemática que frequentemente resultava em benefício inferior ao que seria obtido com a soma simples das remunerações.</w:t>
      </w:r>
    </w:p>
    <w:tbl>
      <w:tblPr>
        <w:tblW w:w="5000" w:type="pct"/>
        <w:jc w:val="center"/>
        <w:tblLayout w:type="fixed"/>
        <w:tblLook w:val="04A0" w:firstRow="1" w:lastRow="0" w:firstColumn="1" w:lastColumn="0" w:noHBand="0" w:noVBand="1"/>
      </w:tblPr>
      <w:tblGrid>
        <w:gridCol w:w="6311"/>
      </w:tblGrid>
      <w:tr w:rsidR="005A5FCC" w14:paraId="2D779343"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709C8E27"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410665AE" w14:textId="77777777" w:rsidR="005A5FCC" w:rsidRDefault="00A21C81">
            <w:pPr>
              <w:spacing w:after="60" w:line="247" w:lineRule="auto"/>
            </w:pPr>
            <w:r>
              <w:rPr>
                <w:rFonts w:cs="EB Garamond"/>
                <w:kern w:val="16"/>
                <w:sz w:val="19"/>
                <w14:ligatures w14:val="standardContextual"/>
              </w:rPr>
              <w:t>Quando o segurado exerce atividades concomitantes especiais e comuns, a análise da aposentadoria especial deve considerar apenas o tempo de atividade efetivamente exercida em condições especiais, independentemente do número de vínculos. Se o segurado trabalha 8 horas em emprego com exposição a ruído de 90 dB(A) e 4 horas em emprego administrativo, somente o primeiro período é computado como especial. Para o cálculo do salário de benefício, contudo, aplica-se a soma dos salários de contribuição de todas as atividades (art. 32 da Lei n. 8.213/91, com redação da Lei n. 13.846/2019), até o teto do RGPS.</w:t>
            </w:r>
          </w:p>
        </w:tc>
      </w:tr>
    </w:tbl>
    <w:p w14:paraId="5F593D04" w14:textId="77777777" w:rsidR="005A5FCC" w:rsidRDefault="005A5FCC">
      <w:pPr>
        <w:spacing w:after="80" w:line="240" w:lineRule="auto"/>
      </w:pPr>
    </w:p>
    <w:p w14:paraId="7D86ADD2"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8.17 Contagem recíproca e tempo especial</w:t>
      </w:r>
    </w:p>
    <w:p w14:paraId="32C75CA8"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253A6D2D" w14:textId="77777777" w:rsidR="005A5FCC" w:rsidRDefault="00A21C81">
      <w:r>
        <w:rPr>
          <w:rFonts w:cs="EB Garamond"/>
          <w:kern w:val="16"/>
          <w14:ligatures w14:val="standardContextual"/>
        </w:rPr>
        <w:t xml:space="preserve"> contagem recíproca entre regimes previdenciários (RGPS e RPPS) não contempla, em regra, a contagem de tempo especial para fins de aposentadoria especial no regime de destino. O STJ decidiu que é possível a conversão de tempo especial em tempo comum para fins de contagem recíproca, desde que o tempo especial tenha sido exercido no RGPS e a conversão se dê conforme a legislação vigente à época da prestação do serviço. Contudo, a conversão para </w:t>
      </w:r>
      <w:r>
        <w:rPr>
          <w:rFonts w:cs="EB Garamond"/>
          <w:kern w:val="16"/>
          <w14:ligatures w14:val="standardContextual"/>
        </w:rPr>
        <w:lastRenderedPageBreak/>
        <w:t>fins de contagem recíproca somente é admitida até a data de promulgação da EC 103/2019 (13/11/2019), em razão da vedação do art. 25, § 2º.</w:t>
      </w:r>
    </w:p>
    <w:p w14:paraId="4D7B3083" w14:textId="77777777" w:rsidR="005A5FCC" w:rsidRDefault="00A21C81">
      <w:pPr>
        <w:ind w:firstLine="238"/>
      </w:pPr>
      <w:r>
        <w:rPr>
          <w:rFonts w:cs="EB Garamond"/>
          <w:kern w:val="16"/>
          <w14:ligatures w14:val="standardContextual"/>
        </w:rPr>
        <w:t>Na prática, a contagem recíproca é relevante para o servidor público que exerceu atividade em condições especiais na iniciativa privada antes de ingressar no serviço público. Esse servidor pode averbar o tempo de serviço privado junto ao RPPS e, ao fazê-lo, requerer que o período de atividade especial seja convertido em tempo comum pelo fator de conversão aplicável. O resultado é um acréscimo no tempo de contribuição total computado no RPPS, que pode antecipar a aposentadoria do servidor.</w:t>
      </w:r>
    </w:p>
    <w:p w14:paraId="0A00F147" w14:textId="77777777" w:rsidR="005A5FCC" w:rsidRDefault="00A21C81">
      <w:pPr>
        <w:ind w:firstLine="238"/>
      </w:pPr>
      <w:r>
        <w:rPr>
          <w:rFonts w:cs="EB Garamond"/>
          <w:kern w:val="16"/>
          <w14:ligatures w14:val="standardContextual"/>
        </w:rPr>
        <w:t>A Certidão de Tempo de Contribuição (CTC), emitida pelo INSS para fins de contagem recíproca, deve indicar expressamente os períodos de atividade especial e o fator de conversão aplicado. O servidor que já averbou tempo de contribuição sem o reconhecimento da atividade especial pode requerer a retificação da CTC para inclusão da conversão, desde que comprove a exposição a agentes nocivos pelos meios de prova admitidos (PPP, formulários anteriores, perícia judicial).</w:t>
      </w:r>
    </w:p>
    <w:p w14:paraId="6134E28B"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8.18 Quadro sinótico: aposentadoria especial</w:t>
      </w:r>
    </w:p>
    <w:tbl>
      <w:tblPr>
        <w:tblW w:w="5000" w:type="pct"/>
        <w:jc w:val="center"/>
        <w:tblLayout w:type="fixed"/>
        <w:tblLook w:val="04A0" w:firstRow="1" w:lastRow="0" w:firstColumn="1" w:lastColumn="0" w:noHBand="0" w:noVBand="1"/>
      </w:tblPr>
      <w:tblGrid>
        <w:gridCol w:w="6311"/>
      </w:tblGrid>
      <w:tr w:rsidR="005A5FCC" w14:paraId="21B236A7"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44E3DFB6"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750A3490" w14:textId="77777777" w:rsidR="005A5FCC" w:rsidRDefault="00A21C81">
            <w:pPr>
              <w:spacing w:after="60" w:line="247" w:lineRule="auto"/>
            </w:pPr>
            <w:r>
              <w:rPr>
                <w:rFonts w:cs="EB Garamond"/>
                <w:b/>
                <w:kern w:val="16"/>
                <w:sz w:val="19"/>
                <w14:ligatures w14:val="standardContextual"/>
              </w:rPr>
              <w:t>Quadro comparativo: Regime anterior × EC 103/2019</w:t>
            </w:r>
          </w:p>
          <w:tbl>
            <w:tblPr>
              <w:tblW w:w="5000" w:type="pct"/>
              <w:jc w:val="center"/>
              <w:tblLook w:val="04A0" w:firstRow="1" w:lastRow="0" w:firstColumn="1" w:lastColumn="0" w:noHBand="0" w:noVBand="1"/>
            </w:tblPr>
            <w:tblGrid>
              <w:gridCol w:w="1476"/>
              <w:gridCol w:w="1475"/>
              <w:gridCol w:w="1475"/>
              <w:gridCol w:w="1475"/>
            </w:tblGrid>
            <w:tr w:rsidR="005A5FCC" w14:paraId="1A1BF90A" w14:textId="77777777">
              <w:trPr>
                <w:tblHeader/>
                <w:jc w:val="center"/>
              </w:trPr>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238F6449" w14:textId="77777777" w:rsidR="005A5FCC" w:rsidRDefault="00A21C81">
                  <w:pPr>
                    <w:spacing w:before="30" w:after="30" w:line="240" w:lineRule="auto"/>
                    <w:jc w:val="center"/>
                  </w:pPr>
                  <w:r>
                    <w:rPr>
                      <w:rFonts w:cs="EB Garamond"/>
                      <w:b/>
                      <w:color w:val="2F2923"/>
                      <w:kern w:val="16"/>
                      <w:sz w:val="16"/>
                      <w14:ligatures w14:val="standardContextual"/>
                    </w:rPr>
                    <w:t>Aspecto</w:t>
                  </w:r>
                </w:p>
              </w:tc>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4F07149E" w14:textId="77777777" w:rsidR="005A5FCC" w:rsidRDefault="00A21C81">
                  <w:pPr>
                    <w:spacing w:before="30" w:after="30" w:line="240" w:lineRule="auto"/>
                    <w:jc w:val="center"/>
                  </w:pPr>
                  <w:r>
                    <w:rPr>
                      <w:rFonts w:cs="EB Garamond"/>
                      <w:b/>
                      <w:color w:val="2F2923"/>
                      <w:kern w:val="16"/>
                      <w:sz w:val="16"/>
                      <w14:ligatures w14:val="standardContextual"/>
                    </w:rPr>
                    <w:t>Regime Anterior</w:t>
                  </w:r>
                </w:p>
              </w:tc>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5DAED1E8" w14:textId="77777777" w:rsidR="005A5FCC" w:rsidRDefault="00A21C81">
                  <w:pPr>
                    <w:spacing w:before="30" w:after="30" w:line="240" w:lineRule="auto"/>
                    <w:jc w:val="center"/>
                  </w:pPr>
                  <w:r>
                    <w:rPr>
                      <w:rFonts w:cs="EB Garamond"/>
                      <w:b/>
                      <w:color w:val="2F2923"/>
                      <w:kern w:val="16"/>
                      <w:sz w:val="16"/>
                      <w14:ligatures w14:val="standardContextual"/>
                    </w:rPr>
                    <w:t>Regra de Transição (art. 21)</w:t>
                  </w:r>
                </w:p>
              </w:tc>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16B78953" w14:textId="77777777" w:rsidR="005A5FCC" w:rsidRDefault="00A21C81">
                  <w:pPr>
                    <w:spacing w:before="30" w:after="30" w:line="240" w:lineRule="auto"/>
                    <w:jc w:val="center"/>
                  </w:pPr>
                  <w:r>
                    <w:rPr>
                      <w:rFonts w:cs="EB Garamond"/>
                      <w:b/>
                      <w:color w:val="2F2923"/>
                      <w:kern w:val="16"/>
                      <w:sz w:val="16"/>
                      <w14:ligatures w14:val="standardContextual"/>
                    </w:rPr>
                    <w:t>Regra Permanente (art. 19)</w:t>
                  </w:r>
                </w:p>
              </w:tc>
            </w:tr>
            <w:tr w:rsidR="005A5FCC" w14:paraId="75F4AA6F"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3E2DBDD7" w14:textId="77777777" w:rsidR="005A5FCC" w:rsidRDefault="00A21C81">
                  <w:pPr>
                    <w:spacing w:before="20" w:after="20" w:line="240" w:lineRule="auto"/>
                    <w:jc w:val="left"/>
                  </w:pPr>
                  <w:r>
                    <w:rPr>
                      <w:rFonts w:cs="EB Garamond"/>
                      <w:b/>
                      <w:kern w:val="16"/>
                      <w:sz w:val="16"/>
                      <w14:ligatures w14:val="standardContextual"/>
                    </w:rPr>
                    <w:t>Tempo especial</w:t>
                  </w:r>
                </w:p>
              </w:tc>
              <w:tc>
                <w:tcPr>
                  <w:tcW w:w="1587" w:type="dxa"/>
                  <w:tcBorders>
                    <w:top w:val="single" w:sz="4" w:space="0" w:color="D2C9B8"/>
                    <w:left w:val="single" w:sz="4" w:space="0" w:color="D2C9B8"/>
                    <w:bottom w:val="single" w:sz="4" w:space="0" w:color="D2C9B8"/>
                    <w:right w:val="single" w:sz="4" w:space="0" w:color="D2C9B8"/>
                  </w:tcBorders>
                </w:tcPr>
                <w:p w14:paraId="7BD8A656" w14:textId="77777777" w:rsidR="005A5FCC" w:rsidRDefault="00A21C81">
                  <w:pPr>
                    <w:spacing w:before="20" w:after="20" w:line="240" w:lineRule="auto"/>
                    <w:jc w:val="left"/>
                  </w:pPr>
                  <w:r>
                    <w:rPr>
                      <w:rFonts w:cs="EB Garamond"/>
                      <w:kern w:val="16"/>
                      <w:sz w:val="16"/>
                      <w14:ligatures w14:val="standardContextual"/>
                    </w:rPr>
                    <w:t>15, 20 ou 25 anos</w:t>
                  </w:r>
                </w:p>
              </w:tc>
              <w:tc>
                <w:tcPr>
                  <w:tcW w:w="1587" w:type="dxa"/>
                  <w:tcBorders>
                    <w:top w:val="single" w:sz="4" w:space="0" w:color="D2C9B8"/>
                    <w:left w:val="single" w:sz="4" w:space="0" w:color="D2C9B8"/>
                    <w:bottom w:val="single" w:sz="4" w:space="0" w:color="D2C9B8"/>
                    <w:right w:val="single" w:sz="4" w:space="0" w:color="D2C9B8"/>
                  </w:tcBorders>
                </w:tcPr>
                <w:p w14:paraId="41722B27" w14:textId="77777777" w:rsidR="005A5FCC" w:rsidRDefault="00A21C81">
                  <w:pPr>
                    <w:spacing w:before="20" w:after="20" w:line="240" w:lineRule="auto"/>
                    <w:jc w:val="left"/>
                  </w:pPr>
                  <w:r>
                    <w:rPr>
                      <w:rFonts w:cs="EB Garamond"/>
                      <w:kern w:val="16"/>
                      <w:sz w:val="16"/>
                      <w14:ligatures w14:val="standardContextual"/>
                    </w:rPr>
                    <w:t>15, 20 ou 25 anos</w:t>
                  </w:r>
                </w:p>
              </w:tc>
              <w:tc>
                <w:tcPr>
                  <w:tcW w:w="1587" w:type="dxa"/>
                  <w:tcBorders>
                    <w:top w:val="single" w:sz="4" w:space="0" w:color="D2C9B8"/>
                    <w:left w:val="single" w:sz="4" w:space="0" w:color="D2C9B8"/>
                    <w:bottom w:val="single" w:sz="4" w:space="0" w:color="D2C9B8"/>
                    <w:right w:val="single" w:sz="4" w:space="0" w:color="D2C9B8"/>
                  </w:tcBorders>
                </w:tcPr>
                <w:p w14:paraId="53EE3F06" w14:textId="77777777" w:rsidR="005A5FCC" w:rsidRDefault="00A21C81">
                  <w:pPr>
                    <w:spacing w:before="20" w:after="20" w:line="240" w:lineRule="auto"/>
                    <w:jc w:val="left"/>
                  </w:pPr>
                  <w:r>
                    <w:rPr>
                      <w:rFonts w:cs="EB Garamond"/>
                      <w:kern w:val="16"/>
                      <w:sz w:val="16"/>
                      <w14:ligatures w14:val="standardContextual"/>
                    </w:rPr>
                    <w:t>15, 20 ou 25 anos</w:t>
                  </w:r>
                </w:p>
              </w:tc>
            </w:tr>
            <w:tr w:rsidR="005A5FCC" w14:paraId="4DCCBC93"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463B5BAF" w14:textId="77777777" w:rsidR="005A5FCC" w:rsidRDefault="00A21C81">
                  <w:pPr>
                    <w:spacing w:before="20" w:after="20" w:line="240" w:lineRule="auto"/>
                    <w:jc w:val="left"/>
                  </w:pPr>
                  <w:r>
                    <w:rPr>
                      <w:rFonts w:cs="EB Garamond"/>
                      <w:b/>
                      <w:kern w:val="16"/>
                      <w:sz w:val="16"/>
                      <w14:ligatures w14:val="standardContextual"/>
                    </w:rPr>
                    <w:t>Idade mínima</w:t>
                  </w:r>
                </w:p>
              </w:tc>
              <w:tc>
                <w:tcPr>
                  <w:tcW w:w="1587" w:type="dxa"/>
                  <w:tcBorders>
                    <w:top w:val="single" w:sz="4" w:space="0" w:color="D2C9B8"/>
                    <w:left w:val="single" w:sz="4" w:space="0" w:color="D2C9B8"/>
                    <w:bottom w:val="single" w:sz="4" w:space="0" w:color="D2C9B8"/>
                    <w:right w:val="single" w:sz="4" w:space="0" w:color="D2C9B8"/>
                  </w:tcBorders>
                </w:tcPr>
                <w:p w14:paraId="6E39300C" w14:textId="77777777" w:rsidR="005A5FCC" w:rsidRDefault="00A21C81">
                  <w:pPr>
                    <w:spacing w:before="20" w:after="20" w:line="240" w:lineRule="auto"/>
                    <w:jc w:val="left"/>
                  </w:pPr>
                  <w:r>
                    <w:rPr>
                      <w:rFonts w:cs="EB Garamond"/>
                      <w:kern w:val="16"/>
                      <w:sz w:val="16"/>
                      <w14:ligatures w14:val="standardContextual"/>
                    </w:rPr>
                    <w:t>Não exigida</w:t>
                  </w:r>
                </w:p>
              </w:tc>
              <w:tc>
                <w:tcPr>
                  <w:tcW w:w="1587" w:type="dxa"/>
                  <w:tcBorders>
                    <w:top w:val="single" w:sz="4" w:space="0" w:color="D2C9B8"/>
                    <w:left w:val="single" w:sz="4" w:space="0" w:color="D2C9B8"/>
                    <w:bottom w:val="single" w:sz="4" w:space="0" w:color="D2C9B8"/>
                    <w:right w:val="single" w:sz="4" w:space="0" w:color="D2C9B8"/>
                  </w:tcBorders>
                </w:tcPr>
                <w:p w14:paraId="22F536A5" w14:textId="77777777" w:rsidR="005A5FCC" w:rsidRDefault="00A21C81">
                  <w:pPr>
                    <w:spacing w:before="20" w:after="20" w:line="240" w:lineRule="auto"/>
                    <w:jc w:val="left"/>
                  </w:pPr>
                  <w:r>
                    <w:rPr>
                      <w:rFonts w:cs="EB Garamond"/>
                      <w:kern w:val="16"/>
                      <w:sz w:val="16"/>
                      <w14:ligatures w14:val="standardContextual"/>
                    </w:rPr>
                    <w:t>Não exigida</w:t>
                  </w:r>
                </w:p>
              </w:tc>
              <w:tc>
                <w:tcPr>
                  <w:tcW w:w="1587" w:type="dxa"/>
                  <w:tcBorders>
                    <w:top w:val="single" w:sz="4" w:space="0" w:color="D2C9B8"/>
                    <w:left w:val="single" w:sz="4" w:space="0" w:color="D2C9B8"/>
                    <w:bottom w:val="single" w:sz="4" w:space="0" w:color="D2C9B8"/>
                    <w:right w:val="single" w:sz="4" w:space="0" w:color="D2C9B8"/>
                  </w:tcBorders>
                </w:tcPr>
                <w:p w14:paraId="343E1C34" w14:textId="77777777" w:rsidR="005A5FCC" w:rsidRDefault="00A21C81">
                  <w:pPr>
                    <w:spacing w:before="20" w:after="20" w:line="240" w:lineRule="auto"/>
                    <w:jc w:val="left"/>
                  </w:pPr>
                  <w:r>
                    <w:rPr>
                      <w:rFonts w:cs="EB Garamond"/>
                      <w:kern w:val="16"/>
                      <w:sz w:val="16"/>
                      <w14:ligatures w14:val="standardContextual"/>
                    </w:rPr>
                    <w:t>55/58/60 anos (afastada pela ADI 6.309)</w:t>
                  </w:r>
                </w:p>
              </w:tc>
            </w:tr>
            <w:tr w:rsidR="005A5FCC" w14:paraId="13E8384C"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426B2A65" w14:textId="77777777" w:rsidR="005A5FCC" w:rsidRDefault="00A21C81">
                  <w:pPr>
                    <w:spacing w:before="20" w:after="20" w:line="240" w:lineRule="auto"/>
                    <w:jc w:val="left"/>
                  </w:pPr>
                  <w:r>
                    <w:rPr>
                      <w:rFonts w:cs="EB Garamond"/>
                      <w:b/>
                      <w:kern w:val="16"/>
                      <w:sz w:val="16"/>
                      <w14:ligatures w14:val="standardContextual"/>
                    </w:rPr>
                    <w:t>Pontuação</w:t>
                  </w:r>
                </w:p>
              </w:tc>
              <w:tc>
                <w:tcPr>
                  <w:tcW w:w="1587" w:type="dxa"/>
                  <w:tcBorders>
                    <w:top w:val="single" w:sz="4" w:space="0" w:color="D2C9B8"/>
                    <w:left w:val="single" w:sz="4" w:space="0" w:color="D2C9B8"/>
                    <w:bottom w:val="single" w:sz="4" w:space="0" w:color="D2C9B8"/>
                    <w:right w:val="single" w:sz="4" w:space="0" w:color="D2C9B8"/>
                  </w:tcBorders>
                </w:tcPr>
                <w:p w14:paraId="24463A1D" w14:textId="77777777" w:rsidR="005A5FCC" w:rsidRDefault="00A21C81">
                  <w:pPr>
                    <w:spacing w:before="20" w:after="20" w:line="240" w:lineRule="auto"/>
                    <w:jc w:val="left"/>
                  </w:pPr>
                  <w:r>
                    <w:rPr>
                      <w:rFonts w:cs="EB Garamond"/>
                      <w:kern w:val="16"/>
                      <w:sz w:val="16"/>
                      <w14:ligatures w14:val="standardContextual"/>
                    </w:rPr>
                    <w:t>Não exigida</w:t>
                  </w:r>
                </w:p>
              </w:tc>
              <w:tc>
                <w:tcPr>
                  <w:tcW w:w="1587" w:type="dxa"/>
                  <w:tcBorders>
                    <w:top w:val="single" w:sz="4" w:space="0" w:color="D2C9B8"/>
                    <w:left w:val="single" w:sz="4" w:space="0" w:color="D2C9B8"/>
                    <w:bottom w:val="single" w:sz="4" w:space="0" w:color="D2C9B8"/>
                    <w:right w:val="single" w:sz="4" w:space="0" w:color="D2C9B8"/>
                  </w:tcBorders>
                </w:tcPr>
                <w:p w14:paraId="353020B6" w14:textId="77777777" w:rsidR="005A5FCC" w:rsidRDefault="00A21C81">
                  <w:pPr>
                    <w:spacing w:before="20" w:after="20" w:line="240" w:lineRule="auto"/>
                    <w:jc w:val="left"/>
                  </w:pPr>
                  <w:r>
                    <w:rPr>
                      <w:rFonts w:cs="EB Garamond"/>
                      <w:kern w:val="16"/>
                      <w:sz w:val="16"/>
                      <w14:ligatures w14:val="standardContextual"/>
                    </w:rPr>
                    <w:t>66, 76 ou 86 pontos</w:t>
                  </w:r>
                </w:p>
              </w:tc>
              <w:tc>
                <w:tcPr>
                  <w:tcW w:w="1587" w:type="dxa"/>
                  <w:tcBorders>
                    <w:top w:val="single" w:sz="4" w:space="0" w:color="D2C9B8"/>
                    <w:left w:val="single" w:sz="4" w:space="0" w:color="D2C9B8"/>
                    <w:bottom w:val="single" w:sz="4" w:space="0" w:color="D2C9B8"/>
                    <w:right w:val="single" w:sz="4" w:space="0" w:color="D2C9B8"/>
                  </w:tcBorders>
                </w:tcPr>
                <w:p w14:paraId="1263A61C" w14:textId="77777777" w:rsidR="005A5FCC" w:rsidRDefault="00A21C81">
                  <w:pPr>
                    <w:spacing w:before="20" w:after="20" w:line="240" w:lineRule="auto"/>
                    <w:jc w:val="left"/>
                  </w:pPr>
                  <w:r>
                    <w:rPr>
                      <w:rFonts w:cs="EB Garamond"/>
                      <w:kern w:val="16"/>
                      <w:sz w:val="16"/>
                      <w14:ligatures w14:val="standardContextual"/>
                    </w:rPr>
                    <w:t>Não exigida</w:t>
                  </w:r>
                </w:p>
              </w:tc>
            </w:tr>
            <w:tr w:rsidR="005A5FCC" w14:paraId="1AD9E1E3"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4EC470F5" w14:textId="77777777" w:rsidR="005A5FCC" w:rsidRDefault="00A21C81">
                  <w:pPr>
                    <w:spacing w:before="20" w:after="20" w:line="240" w:lineRule="auto"/>
                    <w:jc w:val="left"/>
                  </w:pPr>
                  <w:r>
                    <w:rPr>
                      <w:rFonts w:cs="EB Garamond"/>
                      <w:b/>
                      <w:kern w:val="16"/>
                      <w:sz w:val="16"/>
                      <w14:ligatures w14:val="standardContextual"/>
                    </w:rPr>
                    <w:t>Carência</w:t>
                  </w:r>
                </w:p>
              </w:tc>
              <w:tc>
                <w:tcPr>
                  <w:tcW w:w="1587" w:type="dxa"/>
                  <w:tcBorders>
                    <w:top w:val="single" w:sz="4" w:space="0" w:color="D2C9B8"/>
                    <w:left w:val="single" w:sz="4" w:space="0" w:color="D2C9B8"/>
                    <w:bottom w:val="single" w:sz="4" w:space="0" w:color="D2C9B8"/>
                    <w:right w:val="single" w:sz="4" w:space="0" w:color="D2C9B8"/>
                  </w:tcBorders>
                </w:tcPr>
                <w:p w14:paraId="612E4D6E" w14:textId="77777777" w:rsidR="005A5FCC" w:rsidRDefault="00A21C81">
                  <w:pPr>
                    <w:spacing w:before="20" w:after="20" w:line="240" w:lineRule="auto"/>
                    <w:jc w:val="left"/>
                  </w:pPr>
                  <w:r>
                    <w:rPr>
                      <w:rFonts w:cs="EB Garamond"/>
                      <w:kern w:val="16"/>
                      <w:sz w:val="16"/>
                      <w14:ligatures w14:val="standardContextual"/>
                    </w:rPr>
                    <w:t>180 contribuições</w:t>
                  </w:r>
                </w:p>
              </w:tc>
              <w:tc>
                <w:tcPr>
                  <w:tcW w:w="1587" w:type="dxa"/>
                  <w:tcBorders>
                    <w:top w:val="single" w:sz="4" w:space="0" w:color="D2C9B8"/>
                    <w:left w:val="single" w:sz="4" w:space="0" w:color="D2C9B8"/>
                    <w:bottom w:val="single" w:sz="4" w:space="0" w:color="D2C9B8"/>
                    <w:right w:val="single" w:sz="4" w:space="0" w:color="D2C9B8"/>
                  </w:tcBorders>
                </w:tcPr>
                <w:p w14:paraId="485D5A6A" w14:textId="77777777" w:rsidR="005A5FCC" w:rsidRDefault="00A21C81">
                  <w:pPr>
                    <w:spacing w:before="20" w:after="20" w:line="240" w:lineRule="auto"/>
                    <w:jc w:val="left"/>
                  </w:pPr>
                  <w:r>
                    <w:rPr>
                      <w:rFonts w:cs="EB Garamond"/>
                      <w:kern w:val="16"/>
                      <w:sz w:val="16"/>
                      <w14:ligatures w14:val="standardContextual"/>
                    </w:rPr>
                    <w:t>180 contribuições</w:t>
                  </w:r>
                </w:p>
              </w:tc>
              <w:tc>
                <w:tcPr>
                  <w:tcW w:w="1587" w:type="dxa"/>
                  <w:tcBorders>
                    <w:top w:val="single" w:sz="4" w:space="0" w:color="D2C9B8"/>
                    <w:left w:val="single" w:sz="4" w:space="0" w:color="D2C9B8"/>
                    <w:bottom w:val="single" w:sz="4" w:space="0" w:color="D2C9B8"/>
                    <w:right w:val="single" w:sz="4" w:space="0" w:color="D2C9B8"/>
                  </w:tcBorders>
                </w:tcPr>
                <w:p w14:paraId="40626C19" w14:textId="77777777" w:rsidR="005A5FCC" w:rsidRDefault="00A21C81">
                  <w:pPr>
                    <w:spacing w:before="20" w:after="20" w:line="240" w:lineRule="auto"/>
                    <w:jc w:val="left"/>
                  </w:pPr>
                  <w:r>
                    <w:rPr>
                      <w:rFonts w:cs="EB Garamond"/>
                      <w:kern w:val="16"/>
                      <w:sz w:val="16"/>
                      <w14:ligatures w14:val="standardContextual"/>
                    </w:rPr>
                    <w:t>180 contribuições</w:t>
                  </w:r>
                </w:p>
              </w:tc>
            </w:tr>
            <w:tr w:rsidR="005A5FCC" w14:paraId="42E69A4E"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33BB7D09" w14:textId="77777777" w:rsidR="005A5FCC" w:rsidRDefault="00A21C81">
                  <w:pPr>
                    <w:spacing w:before="20" w:after="20" w:line="240" w:lineRule="auto"/>
                    <w:jc w:val="left"/>
                  </w:pPr>
                  <w:r>
                    <w:rPr>
                      <w:rFonts w:cs="EB Garamond"/>
                      <w:b/>
                      <w:kern w:val="16"/>
                      <w:sz w:val="16"/>
                      <w14:ligatures w14:val="standardContextual"/>
                    </w:rPr>
                    <w:t>Cálculo SB</w:t>
                  </w:r>
                </w:p>
              </w:tc>
              <w:tc>
                <w:tcPr>
                  <w:tcW w:w="1587" w:type="dxa"/>
                  <w:tcBorders>
                    <w:top w:val="single" w:sz="4" w:space="0" w:color="D2C9B8"/>
                    <w:left w:val="single" w:sz="4" w:space="0" w:color="D2C9B8"/>
                    <w:bottom w:val="single" w:sz="4" w:space="0" w:color="D2C9B8"/>
                    <w:right w:val="single" w:sz="4" w:space="0" w:color="D2C9B8"/>
                  </w:tcBorders>
                </w:tcPr>
                <w:p w14:paraId="3AB88542" w14:textId="77777777" w:rsidR="005A5FCC" w:rsidRDefault="00A21C81">
                  <w:pPr>
                    <w:spacing w:before="20" w:after="20" w:line="240" w:lineRule="auto"/>
                    <w:jc w:val="left"/>
                  </w:pPr>
                  <w:r>
                    <w:rPr>
                      <w:rFonts w:cs="EB Garamond"/>
                      <w:kern w:val="16"/>
                      <w:sz w:val="16"/>
                      <w14:ligatures w14:val="standardContextual"/>
                    </w:rPr>
                    <w:t>Média 80% maiores SC</w:t>
                  </w:r>
                </w:p>
              </w:tc>
              <w:tc>
                <w:tcPr>
                  <w:tcW w:w="1587" w:type="dxa"/>
                  <w:tcBorders>
                    <w:top w:val="single" w:sz="4" w:space="0" w:color="D2C9B8"/>
                    <w:left w:val="single" w:sz="4" w:space="0" w:color="D2C9B8"/>
                    <w:bottom w:val="single" w:sz="4" w:space="0" w:color="D2C9B8"/>
                    <w:right w:val="single" w:sz="4" w:space="0" w:color="D2C9B8"/>
                  </w:tcBorders>
                </w:tcPr>
                <w:p w14:paraId="53DCF74A" w14:textId="77777777" w:rsidR="005A5FCC" w:rsidRDefault="00A21C81">
                  <w:pPr>
                    <w:spacing w:before="20" w:after="20" w:line="240" w:lineRule="auto"/>
                    <w:jc w:val="left"/>
                  </w:pPr>
                  <w:r>
                    <w:rPr>
                      <w:rFonts w:cs="EB Garamond"/>
                      <w:kern w:val="16"/>
                      <w:sz w:val="16"/>
                      <w14:ligatures w14:val="standardContextual"/>
                    </w:rPr>
                    <w:t>Média 100% SC</w:t>
                  </w:r>
                </w:p>
              </w:tc>
              <w:tc>
                <w:tcPr>
                  <w:tcW w:w="1587" w:type="dxa"/>
                  <w:tcBorders>
                    <w:top w:val="single" w:sz="4" w:space="0" w:color="D2C9B8"/>
                    <w:left w:val="single" w:sz="4" w:space="0" w:color="D2C9B8"/>
                    <w:bottom w:val="single" w:sz="4" w:space="0" w:color="D2C9B8"/>
                    <w:right w:val="single" w:sz="4" w:space="0" w:color="D2C9B8"/>
                  </w:tcBorders>
                </w:tcPr>
                <w:p w14:paraId="5F07A234" w14:textId="77777777" w:rsidR="005A5FCC" w:rsidRDefault="00A21C81">
                  <w:pPr>
                    <w:spacing w:before="20" w:after="20" w:line="240" w:lineRule="auto"/>
                    <w:jc w:val="left"/>
                  </w:pPr>
                  <w:r>
                    <w:rPr>
                      <w:rFonts w:cs="EB Garamond"/>
                      <w:kern w:val="16"/>
                      <w:sz w:val="16"/>
                      <w14:ligatures w14:val="standardContextual"/>
                    </w:rPr>
                    <w:t>Média 100% SC</w:t>
                  </w:r>
                </w:p>
              </w:tc>
            </w:tr>
            <w:tr w:rsidR="005A5FCC" w14:paraId="42EAC9B2"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23BA6E04" w14:textId="77777777" w:rsidR="005A5FCC" w:rsidRDefault="00A21C81">
                  <w:pPr>
                    <w:spacing w:before="20" w:after="20" w:line="240" w:lineRule="auto"/>
                    <w:jc w:val="left"/>
                  </w:pPr>
                  <w:r>
                    <w:rPr>
                      <w:rFonts w:cs="EB Garamond"/>
                      <w:b/>
                      <w:kern w:val="16"/>
                      <w:sz w:val="16"/>
                      <w14:ligatures w14:val="standardContextual"/>
                    </w:rPr>
                    <w:t>Coeficiente</w:t>
                  </w:r>
                </w:p>
              </w:tc>
              <w:tc>
                <w:tcPr>
                  <w:tcW w:w="1587" w:type="dxa"/>
                  <w:tcBorders>
                    <w:top w:val="single" w:sz="4" w:space="0" w:color="D2C9B8"/>
                    <w:left w:val="single" w:sz="4" w:space="0" w:color="D2C9B8"/>
                    <w:bottom w:val="single" w:sz="4" w:space="0" w:color="D2C9B8"/>
                    <w:right w:val="single" w:sz="4" w:space="0" w:color="D2C9B8"/>
                  </w:tcBorders>
                </w:tcPr>
                <w:p w14:paraId="421B5476" w14:textId="77777777" w:rsidR="005A5FCC" w:rsidRDefault="00A21C81">
                  <w:pPr>
                    <w:spacing w:before="20" w:after="20" w:line="240" w:lineRule="auto"/>
                    <w:jc w:val="left"/>
                  </w:pPr>
                  <w:r>
                    <w:rPr>
                      <w:rFonts w:cs="EB Garamond"/>
                      <w:kern w:val="16"/>
                      <w:sz w:val="16"/>
                      <w14:ligatures w14:val="standardContextual"/>
                    </w:rPr>
                    <w:t>100%</w:t>
                  </w:r>
                </w:p>
              </w:tc>
              <w:tc>
                <w:tcPr>
                  <w:tcW w:w="1587" w:type="dxa"/>
                  <w:tcBorders>
                    <w:top w:val="single" w:sz="4" w:space="0" w:color="D2C9B8"/>
                    <w:left w:val="single" w:sz="4" w:space="0" w:color="D2C9B8"/>
                    <w:bottom w:val="single" w:sz="4" w:space="0" w:color="D2C9B8"/>
                    <w:right w:val="single" w:sz="4" w:space="0" w:color="D2C9B8"/>
                  </w:tcBorders>
                </w:tcPr>
                <w:p w14:paraId="2D8417DF" w14:textId="77777777" w:rsidR="005A5FCC" w:rsidRDefault="00A21C81">
                  <w:pPr>
                    <w:spacing w:before="20" w:after="20" w:line="240" w:lineRule="auto"/>
                    <w:jc w:val="left"/>
                  </w:pPr>
                  <w:r>
                    <w:rPr>
                      <w:rFonts w:cs="EB Garamond"/>
                      <w:kern w:val="16"/>
                      <w:sz w:val="16"/>
                      <w14:ligatures w14:val="standardContextual"/>
                    </w:rPr>
                    <w:t>60% + 2%/ano</w:t>
                  </w:r>
                </w:p>
              </w:tc>
              <w:tc>
                <w:tcPr>
                  <w:tcW w:w="1587" w:type="dxa"/>
                  <w:tcBorders>
                    <w:top w:val="single" w:sz="4" w:space="0" w:color="D2C9B8"/>
                    <w:left w:val="single" w:sz="4" w:space="0" w:color="D2C9B8"/>
                    <w:bottom w:val="single" w:sz="4" w:space="0" w:color="D2C9B8"/>
                    <w:right w:val="single" w:sz="4" w:space="0" w:color="D2C9B8"/>
                  </w:tcBorders>
                </w:tcPr>
                <w:p w14:paraId="3F949A28" w14:textId="77777777" w:rsidR="005A5FCC" w:rsidRDefault="00A21C81">
                  <w:pPr>
                    <w:spacing w:before="20" w:after="20" w:line="240" w:lineRule="auto"/>
                    <w:jc w:val="left"/>
                  </w:pPr>
                  <w:r>
                    <w:rPr>
                      <w:rFonts w:cs="EB Garamond"/>
                      <w:kern w:val="16"/>
                      <w:sz w:val="16"/>
                      <w14:ligatures w14:val="standardContextual"/>
                    </w:rPr>
                    <w:t>60% + 2%/ano</w:t>
                  </w:r>
                </w:p>
              </w:tc>
            </w:tr>
            <w:tr w:rsidR="005A5FCC" w14:paraId="5D50B8CB"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44489159" w14:textId="77777777" w:rsidR="005A5FCC" w:rsidRDefault="00A21C81">
                  <w:pPr>
                    <w:spacing w:before="20" w:after="20" w:line="240" w:lineRule="auto"/>
                    <w:jc w:val="left"/>
                  </w:pPr>
                  <w:r>
                    <w:rPr>
                      <w:rFonts w:cs="EB Garamond"/>
                      <w:b/>
                      <w:kern w:val="16"/>
                      <w:sz w:val="16"/>
                      <w14:ligatures w14:val="standardContextual"/>
                    </w:rPr>
                    <w:t>Fator previdenciário</w:t>
                  </w:r>
                </w:p>
              </w:tc>
              <w:tc>
                <w:tcPr>
                  <w:tcW w:w="1587" w:type="dxa"/>
                  <w:tcBorders>
                    <w:top w:val="single" w:sz="4" w:space="0" w:color="D2C9B8"/>
                    <w:left w:val="single" w:sz="4" w:space="0" w:color="D2C9B8"/>
                    <w:bottom w:val="single" w:sz="4" w:space="0" w:color="D2C9B8"/>
                    <w:right w:val="single" w:sz="4" w:space="0" w:color="D2C9B8"/>
                  </w:tcBorders>
                </w:tcPr>
                <w:p w14:paraId="2EFCDB73" w14:textId="77777777" w:rsidR="005A5FCC" w:rsidRDefault="00A21C81">
                  <w:pPr>
                    <w:spacing w:before="20" w:after="20" w:line="240" w:lineRule="auto"/>
                    <w:jc w:val="left"/>
                  </w:pPr>
                  <w:r>
                    <w:rPr>
                      <w:rFonts w:cs="EB Garamond"/>
                      <w:kern w:val="16"/>
                      <w:sz w:val="16"/>
                      <w14:ligatures w14:val="standardContextual"/>
                    </w:rPr>
                    <w:t>Não se aplica</w:t>
                  </w:r>
                </w:p>
              </w:tc>
              <w:tc>
                <w:tcPr>
                  <w:tcW w:w="1587" w:type="dxa"/>
                  <w:tcBorders>
                    <w:top w:val="single" w:sz="4" w:space="0" w:color="D2C9B8"/>
                    <w:left w:val="single" w:sz="4" w:space="0" w:color="D2C9B8"/>
                    <w:bottom w:val="single" w:sz="4" w:space="0" w:color="D2C9B8"/>
                    <w:right w:val="single" w:sz="4" w:space="0" w:color="D2C9B8"/>
                  </w:tcBorders>
                </w:tcPr>
                <w:p w14:paraId="357B95A2" w14:textId="77777777" w:rsidR="005A5FCC" w:rsidRDefault="00A21C81">
                  <w:pPr>
                    <w:spacing w:before="20" w:after="20" w:line="240" w:lineRule="auto"/>
                    <w:jc w:val="left"/>
                  </w:pPr>
                  <w:r>
                    <w:rPr>
                      <w:rFonts w:cs="EB Garamond"/>
                      <w:kern w:val="16"/>
                      <w:sz w:val="16"/>
                      <w14:ligatures w14:val="standardContextual"/>
                    </w:rPr>
                    <w:t>Não se aplica</w:t>
                  </w:r>
                </w:p>
              </w:tc>
              <w:tc>
                <w:tcPr>
                  <w:tcW w:w="1587" w:type="dxa"/>
                  <w:tcBorders>
                    <w:top w:val="single" w:sz="4" w:space="0" w:color="D2C9B8"/>
                    <w:left w:val="single" w:sz="4" w:space="0" w:color="D2C9B8"/>
                    <w:bottom w:val="single" w:sz="4" w:space="0" w:color="D2C9B8"/>
                    <w:right w:val="single" w:sz="4" w:space="0" w:color="D2C9B8"/>
                  </w:tcBorders>
                </w:tcPr>
                <w:p w14:paraId="61282CEF" w14:textId="77777777" w:rsidR="005A5FCC" w:rsidRDefault="00A21C81">
                  <w:pPr>
                    <w:spacing w:before="20" w:after="20" w:line="240" w:lineRule="auto"/>
                    <w:jc w:val="left"/>
                  </w:pPr>
                  <w:r>
                    <w:rPr>
                      <w:rFonts w:cs="EB Garamond"/>
                      <w:kern w:val="16"/>
                      <w:sz w:val="16"/>
                      <w14:ligatures w14:val="standardContextual"/>
                    </w:rPr>
                    <w:t>Não se aplica</w:t>
                  </w:r>
                </w:p>
              </w:tc>
            </w:tr>
            <w:tr w:rsidR="005A5FCC" w14:paraId="4BE8C1A3"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7CCE3A21" w14:textId="77777777" w:rsidR="005A5FCC" w:rsidRDefault="00A21C81">
                  <w:pPr>
                    <w:spacing w:before="20" w:after="20" w:line="240" w:lineRule="auto"/>
                    <w:jc w:val="left"/>
                  </w:pPr>
                  <w:r>
                    <w:rPr>
                      <w:rFonts w:cs="EB Garamond"/>
                      <w:b/>
                      <w:kern w:val="16"/>
                      <w:sz w:val="16"/>
                      <w14:ligatures w14:val="standardContextual"/>
                    </w:rPr>
                    <w:t>Conversão</w:t>
                  </w:r>
                </w:p>
              </w:tc>
              <w:tc>
                <w:tcPr>
                  <w:tcW w:w="1587" w:type="dxa"/>
                  <w:tcBorders>
                    <w:top w:val="single" w:sz="4" w:space="0" w:color="D2C9B8"/>
                    <w:left w:val="single" w:sz="4" w:space="0" w:color="D2C9B8"/>
                    <w:bottom w:val="single" w:sz="4" w:space="0" w:color="D2C9B8"/>
                    <w:right w:val="single" w:sz="4" w:space="0" w:color="D2C9B8"/>
                  </w:tcBorders>
                </w:tcPr>
                <w:p w14:paraId="0E9903E5" w14:textId="77777777" w:rsidR="005A5FCC" w:rsidRDefault="00A21C81">
                  <w:pPr>
                    <w:spacing w:before="20" w:after="20" w:line="240" w:lineRule="auto"/>
                    <w:jc w:val="left"/>
                  </w:pPr>
                  <w:r>
                    <w:rPr>
                      <w:rFonts w:cs="EB Garamond"/>
                      <w:kern w:val="16"/>
                      <w:sz w:val="16"/>
                      <w14:ligatures w14:val="standardContextual"/>
                    </w:rPr>
                    <w:t>Permitida (fator 1,40/1,20)</w:t>
                  </w:r>
                </w:p>
              </w:tc>
              <w:tc>
                <w:tcPr>
                  <w:tcW w:w="1587" w:type="dxa"/>
                  <w:tcBorders>
                    <w:top w:val="single" w:sz="4" w:space="0" w:color="D2C9B8"/>
                    <w:left w:val="single" w:sz="4" w:space="0" w:color="D2C9B8"/>
                    <w:bottom w:val="single" w:sz="4" w:space="0" w:color="D2C9B8"/>
                    <w:right w:val="single" w:sz="4" w:space="0" w:color="D2C9B8"/>
                  </w:tcBorders>
                </w:tcPr>
                <w:p w14:paraId="1F371E11" w14:textId="77777777" w:rsidR="005A5FCC" w:rsidRDefault="00A21C81">
                  <w:pPr>
                    <w:spacing w:before="20" w:after="20" w:line="240" w:lineRule="auto"/>
                    <w:jc w:val="left"/>
                  </w:pPr>
                  <w:r>
                    <w:rPr>
                      <w:rFonts w:cs="EB Garamond"/>
                      <w:kern w:val="16"/>
                      <w:sz w:val="16"/>
                      <w14:ligatures w14:val="standardContextual"/>
                    </w:rPr>
                    <w:t>Vedada pós-13/11/2019</w:t>
                  </w:r>
                </w:p>
              </w:tc>
              <w:tc>
                <w:tcPr>
                  <w:tcW w:w="1587" w:type="dxa"/>
                  <w:tcBorders>
                    <w:top w:val="single" w:sz="4" w:space="0" w:color="D2C9B8"/>
                    <w:left w:val="single" w:sz="4" w:space="0" w:color="D2C9B8"/>
                    <w:bottom w:val="single" w:sz="4" w:space="0" w:color="D2C9B8"/>
                    <w:right w:val="single" w:sz="4" w:space="0" w:color="D2C9B8"/>
                  </w:tcBorders>
                </w:tcPr>
                <w:p w14:paraId="20893CA8" w14:textId="77777777" w:rsidR="005A5FCC" w:rsidRDefault="00A21C81">
                  <w:pPr>
                    <w:spacing w:before="20" w:after="20" w:line="240" w:lineRule="auto"/>
                    <w:jc w:val="left"/>
                  </w:pPr>
                  <w:r>
                    <w:rPr>
                      <w:rFonts w:cs="EB Garamond"/>
                      <w:kern w:val="16"/>
                      <w:sz w:val="16"/>
                      <w14:ligatures w14:val="standardContextual"/>
                    </w:rPr>
                    <w:t>Vedada</w:t>
                  </w:r>
                </w:p>
              </w:tc>
            </w:tr>
            <w:tr w:rsidR="005A5FCC" w14:paraId="057A94B8"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3B59646E" w14:textId="77777777" w:rsidR="005A5FCC" w:rsidRDefault="00A21C81">
                  <w:pPr>
                    <w:spacing w:before="20" w:after="20" w:line="240" w:lineRule="auto"/>
                    <w:jc w:val="left"/>
                  </w:pPr>
                  <w:r>
                    <w:rPr>
                      <w:rFonts w:cs="EB Garamond"/>
                      <w:b/>
                      <w:kern w:val="16"/>
                      <w:sz w:val="16"/>
                      <w14:ligatures w14:val="standardContextual"/>
                    </w:rPr>
                    <w:t>Vedação de trabalho especial</w:t>
                  </w:r>
                </w:p>
              </w:tc>
              <w:tc>
                <w:tcPr>
                  <w:tcW w:w="1587" w:type="dxa"/>
                  <w:tcBorders>
                    <w:top w:val="single" w:sz="4" w:space="0" w:color="D2C9B8"/>
                    <w:left w:val="single" w:sz="4" w:space="0" w:color="D2C9B8"/>
                    <w:bottom w:val="single" w:sz="4" w:space="0" w:color="D2C9B8"/>
                    <w:right w:val="single" w:sz="4" w:space="0" w:color="D2C9B8"/>
                  </w:tcBorders>
                </w:tcPr>
                <w:p w14:paraId="6F6E9E1C" w14:textId="77777777" w:rsidR="005A5FCC" w:rsidRDefault="00A21C81">
                  <w:pPr>
                    <w:spacing w:before="20" w:after="20" w:line="240" w:lineRule="auto"/>
                    <w:jc w:val="left"/>
                  </w:pPr>
                  <w:r>
                    <w:rPr>
                      <w:rFonts w:cs="EB Garamond"/>
                      <w:kern w:val="16"/>
                      <w:sz w:val="16"/>
                      <w14:ligatures w14:val="standardContextual"/>
                    </w:rPr>
                    <w:t>Sim (Tema 709/STF)</w:t>
                  </w:r>
                </w:p>
              </w:tc>
              <w:tc>
                <w:tcPr>
                  <w:tcW w:w="1587" w:type="dxa"/>
                  <w:tcBorders>
                    <w:top w:val="single" w:sz="4" w:space="0" w:color="D2C9B8"/>
                    <w:left w:val="single" w:sz="4" w:space="0" w:color="D2C9B8"/>
                    <w:bottom w:val="single" w:sz="4" w:space="0" w:color="D2C9B8"/>
                    <w:right w:val="single" w:sz="4" w:space="0" w:color="D2C9B8"/>
                  </w:tcBorders>
                </w:tcPr>
                <w:p w14:paraId="01B48353" w14:textId="77777777" w:rsidR="005A5FCC" w:rsidRDefault="00A21C81">
                  <w:pPr>
                    <w:spacing w:before="20" w:after="20" w:line="240" w:lineRule="auto"/>
                    <w:jc w:val="left"/>
                  </w:pPr>
                  <w:r>
                    <w:rPr>
                      <w:rFonts w:cs="EB Garamond"/>
                      <w:kern w:val="16"/>
                      <w:sz w:val="16"/>
                      <w14:ligatures w14:val="standardContextual"/>
                    </w:rPr>
                    <w:t>Sim (Tema 709/STF)</w:t>
                  </w:r>
                </w:p>
              </w:tc>
              <w:tc>
                <w:tcPr>
                  <w:tcW w:w="1587" w:type="dxa"/>
                  <w:tcBorders>
                    <w:top w:val="single" w:sz="4" w:space="0" w:color="D2C9B8"/>
                    <w:left w:val="single" w:sz="4" w:space="0" w:color="D2C9B8"/>
                    <w:bottom w:val="single" w:sz="4" w:space="0" w:color="D2C9B8"/>
                    <w:right w:val="single" w:sz="4" w:space="0" w:color="D2C9B8"/>
                  </w:tcBorders>
                </w:tcPr>
                <w:p w14:paraId="051EB10B" w14:textId="77777777" w:rsidR="005A5FCC" w:rsidRDefault="00A21C81">
                  <w:pPr>
                    <w:spacing w:before="20" w:after="20" w:line="240" w:lineRule="auto"/>
                    <w:jc w:val="left"/>
                  </w:pPr>
                  <w:r>
                    <w:rPr>
                      <w:rFonts w:cs="EB Garamond"/>
                      <w:kern w:val="16"/>
                      <w:sz w:val="16"/>
                      <w14:ligatures w14:val="standardContextual"/>
                    </w:rPr>
                    <w:t>Sim (Tema 709/STF)</w:t>
                  </w:r>
                </w:p>
              </w:tc>
            </w:tr>
            <w:tr w:rsidR="005A5FCC" w14:paraId="7A91F6CB"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4AA81746" w14:textId="77777777" w:rsidR="005A5FCC" w:rsidRDefault="00A21C81">
                  <w:pPr>
                    <w:spacing w:before="20" w:after="20" w:line="240" w:lineRule="auto"/>
                    <w:jc w:val="left"/>
                  </w:pPr>
                  <w:r>
                    <w:rPr>
                      <w:rFonts w:cs="EB Garamond"/>
                      <w:b/>
                      <w:kern w:val="16"/>
                      <w:sz w:val="16"/>
                      <w14:ligatures w14:val="standardContextual"/>
                    </w:rPr>
                    <w:t>ADI 6.309</w:t>
                  </w:r>
                  <w:r>
                    <w:rPr>
                      <w:rFonts w:cs="EB Garamond"/>
                      <w:kern w:val="16"/>
                      <w:sz w:val="16"/>
                      <w14:ligatures w14:val="standardContextual"/>
                    </w:rPr>
                    <w:t xml:space="preserve"> (j. 03/06/2026)</w:t>
                  </w:r>
                </w:p>
              </w:tc>
              <w:tc>
                <w:tcPr>
                  <w:tcW w:w="1587" w:type="dxa"/>
                  <w:tcBorders>
                    <w:top w:val="single" w:sz="4" w:space="0" w:color="D2C9B8"/>
                    <w:left w:val="single" w:sz="4" w:space="0" w:color="D2C9B8"/>
                    <w:bottom w:val="single" w:sz="4" w:space="0" w:color="D2C9B8"/>
                    <w:right w:val="single" w:sz="4" w:space="0" w:color="D2C9B8"/>
                  </w:tcBorders>
                </w:tcPr>
                <w:p w14:paraId="2D91AB1B" w14:textId="77777777" w:rsidR="005A5FCC" w:rsidRDefault="00A21C81">
                  <w:pPr>
                    <w:spacing w:before="20" w:after="20" w:line="240" w:lineRule="auto"/>
                    <w:jc w:val="left"/>
                  </w:pPr>
                  <w:r>
                    <w:rPr>
                      <w:rFonts w:cs="EB Garamond"/>
                      <w:kern w:val="16"/>
                      <w:sz w:val="16"/>
                      <w14:ligatures w14:val="standardContextual"/>
                    </w:rPr>
                    <w:t>Não aplicável</w:t>
                  </w:r>
                </w:p>
              </w:tc>
              <w:tc>
                <w:tcPr>
                  <w:tcW w:w="1587" w:type="dxa"/>
                  <w:tcBorders>
                    <w:top w:val="single" w:sz="4" w:space="0" w:color="D2C9B8"/>
                    <w:left w:val="single" w:sz="4" w:space="0" w:color="D2C9B8"/>
                    <w:bottom w:val="single" w:sz="4" w:space="0" w:color="D2C9B8"/>
                    <w:right w:val="single" w:sz="4" w:space="0" w:color="D2C9B8"/>
                  </w:tcBorders>
                </w:tcPr>
                <w:p w14:paraId="485DF31D" w14:textId="77777777" w:rsidR="005A5FCC" w:rsidRDefault="00A21C81">
                  <w:pPr>
                    <w:spacing w:before="20" w:after="20" w:line="240" w:lineRule="auto"/>
                    <w:jc w:val="left"/>
                  </w:pPr>
                  <w:r>
                    <w:rPr>
                      <w:rFonts w:cs="EB Garamond"/>
                      <w:kern w:val="16"/>
                      <w:sz w:val="16"/>
                      <w14:ligatures w14:val="standardContextual"/>
                    </w:rPr>
                    <w:t>Idade mínima afastada; vedação mantida</w:t>
                  </w:r>
                </w:p>
              </w:tc>
              <w:tc>
                <w:tcPr>
                  <w:tcW w:w="1587" w:type="dxa"/>
                  <w:tcBorders>
                    <w:top w:val="single" w:sz="4" w:space="0" w:color="D2C9B8"/>
                    <w:left w:val="single" w:sz="4" w:space="0" w:color="D2C9B8"/>
                    <w:bottom w:val="single" w:sz="4" w:space="0" w:color="D2C9B8"/>
                    <w:right w:val="single" w:sz="4" w:space="0" w:color="D2C9B8"/>
                  </w:tcBorders>
                </w:tcPr>
                <w:p w14:paraId="5744843D" w14:textId="77777777" w:rsidR="005A5FCC" w:rsidRDefault="00A21C81">
                  <w:pPr>
                    <w:spacing w:before="20" w:after="20" w:line="240" w:lineRule="auto"/>
                    <w:jc w:val="left"/>
                  </w:pPr>
                  <w:r>
                    <w:rPr>
                      <w:rFonts w:cs="EB Garamond"/>
                      <w:kern w:val="16"/>
                      <w:sz w:val="16"/>
                      <w14:ligatures w14:val="standardContextual"/>
                    </w:rPr>
                    <w:t>Idade mínima afastada; vedação mantida</w:t>
                  </w:r>
                </w:p>
              </w:tc>
            </w:tr>
          </w:tbl>
          <w:p w14:paraId="4CB5B365" w14:textId="77777777" w:rsidR="005A5FCC" w:rsidRDefault="005A5FCC"/>
          <w:p w14:paraId="71B00806" w14:textId="77777777" w:rsidR="005A5FCC" w:rsidRDefault="005A5FCC">
            <w:pPr>
              <w:spacing w:after="0" w:line="240" w:lineRule="auto"/>
            </w:pPr>
          </w:p>
          <w:p w14:paraId="0930C252" w14:textId="77777777" w:rsidR="005A5FCC" w:rsidRDefault="00A21C81">
            <w:pPr>
              <w:spacing w:after="60" w:line="247" w:lineRule="auto"/>
            </w:pPr>
            <w:r>
              <w:rPr>
                <w:rFonts w:cs="EB Garamond"/>
                <w:b/>
                <w:kern w:val="16"/>
                <w:sz w:val="19"/>
                <w14:ligatures w14:val="standardContextual"/>
              </w:rPr>
              <w:t>Fatores de conversão (tempo especial → comum):</w:t>
            </w:r>
            <w:r>
              <w:rPr>
                <w:rFonts w:cs="EB Garamond"/>
                <w:kern w:val="16"/>
                <w:sz w:val="19"/>
                <w14:ligatures w14:val="standardContextual"/>
              </w:rPr>
              <w:t xml:space="preserve"> - 25 anos: 1,40 (H) / 1,20 (M) - 20 anos: 1,75 (H) / 1,50 (M) - 15 anos: 2,33 (H) / 2,00 (M)</w:t>
            </w:r>
          </w:p>
          <w:p w14:paraId="2E9B8C3F" w14:textId="77777777" w:rsidR="005A5FCC" w:rsidRDefault="00A21C81">
            <w:pPr>
              <w:spacing w:after="60" w:line="247" w:lineRule="auto"/>
            </w:pPr>
            <w:r>
              <w:rPr>
                <w:rFonts w:cs="EB Garamond"/>
                <w:b/>
                <w:kern w:val="16"/>
                <w:sz w:val="19"/>
                <w14:ligatures w14:val="standardContextual"/>
              </w:rPr>
              <w:t>Enquadramento por período:</w:t>
            </w:r>
            <w:r>
              <w:rPr>
                <w:rFonts w:cs="EB Garamond"/>
                <w:kern w:val="16"/>
                <w:sz w:val="19"/>
                <w14:ligatures w14:val="standardContextual"/>
              </w:rPr>
              <w:t xml:space="preserve"> - Até 28/04/1995: categoria profissional OU agente nocivo - 29/04/1995 a 05/03/1997: agente nocivo (Decreto 53.831/64 e 83.080/79) - 06/03/1997 a 06/05/1999: agente nocivo (Decreto 2.172/97) - A partir de 07/05/1999: agente nocivo (Decreto 3.048/99, Anexo IV)</w:t>
            </w:r>
          </w:p>
          <w:p w14:paraId="2060192A" w14:textId="77777777" w:rsidR="005A5FCC" w:rsidRDefault="00A21C81">
            <w:pPr>
              <w:spacing w:after="60" w:line="247" w:lineRule="auto"/>
            </w:pPr>
            <w:r>
              <w:rPr>
                <w:rFonts w:cs="EB Garamond"/>
                <w:b/>
                <w:kern w:val="16"/>
                <w:sz w:val="19"/>
                <w14:ligatures w14:val="standardContextual"/>
              </w:rPr>
              <w:t>Limites de ruído:</w:t>
            </w:r>
            <w:r>
              <w:rPr>
                <w:rFonts w:cs="EB Garamond"/>
                <w:kern w:val="16"/>
                <w:sz w:val="19"/>
                <w14:ligatures w14:val="standardContextual"/>
              </w:rPr>
              <w:t xml:space="preserve"> - Até 05/03/1997: &gt; 80 dB(A) - 06/03/1997 a 18/11/2003: &gt; 90 dB(A) - A partir de 19/11/2003: &gt; 85 dB(A)</w:t>
            </w:r>
          </w:p>
        </w:tc>
      </w:tr>
    </w:tbl>
    <w:p w14:paraId="4CE768B4" w14:textId="77777777" w:rsidR="005A5FCC" w:rsidRDefault="005A5FCC">
      <w:pPr>
        <w:spacing w:after="80" w:line="240" w:lineRule="auto"/>
      </w:pPr>
    </w:p>
    <w:p w14:paraId="64A89888"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8.19 Aspectos práticos da concessão administrativa</w:t>
      </w:r>
    </w:p>
    <w:p w14:paraId="32F07CC3"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4EEF1922" w14:textId="77777777" w:rsidR="005A5FCC" w:rsidRDefault="00A21C81">
      <w:r>
        <w:rPr>
          <w:rFonts w:cs="EB Garamond"/>
          <w:kern w:val="16"/>
          <w14:ligatures w14:val="standardContextual"/>
        </w:rPr>
        <w:t xml:space="preserve"> concessão administrativa da aposentadoria especial é realizada perante o INSS, mediante requerimento formulado no sistema Meu INSS. O segurado deve apresentar a documentação probatória — PPP (para períodos a partir de 01/01/2004), formulários anteriores (SB-40, DSS-8030 etc.) para períodos anteriores, e CTPS para enquadramento por categoria profissional.</w:t>
      </w:r>
    </w:p>
    <w:p w14:paraId="45A41474" w14:textId="77777777" w:rsidR="005A5FCC" w:rsidRDefault="00A21C81">
      <w:pPr>
        <w:ind w:firstLine="238"/>
      </w:pPr>
      <w:r>
        <w:rPr>
          <w:rFonts w:cs="EB Garamond"/>
          <w:kern w:val="16"/>
          <w14:ligatures w14:val="standardContextual"/>
        </w:rPr>
        <w:t>O INSS analisa a documentação e verifica se os períodos de atividade especial estão devidamente comprovados. A análise é feita por servidor administrativo (e não por perito médico, como nos benefícios por incapacidade), com base nos critérios da Instrução Normativa INSS/PRES n. 128/2022 (e suas atualizações posteriores). O indeferimento administrativo pode se dar por: (a) insuficiência do tempo de atividade especial; (b) PPP incompleto ou com informações inconsistentes; (c) ausência de LTCAT contemporâneo; (d) indicação de EPI eficaz para agente nocivo (exceto ruído); (e) falta de carência; (f) ausência de idade ou pontuação mínima (para requerimentos após a EC 103/2019).</w:t>
      </w:r>
    </w:p>
    <w:p w14:paraId="42B17D95" w14:textId="77777777" w:rsidR="005A5FCC" w:rsidRDefault="00A21C81">
      <w:pPr>
        <w:ind w:firstLine="238"/>
      </w:pPr>
      <w:r>
        <w:rPr>
          <w:rFonts w:cs="EB Garamond"/>
          <w:kern w:val="16"/>
          <w14:ligatures w14:val="standardContextual"/>
        </w:rPr>
        <w:t>O segurado que tiver seu requerimento indeferido pode: (a) interpor recurso administrativo ao CRPS (Conselho de Recursos da Previdência Social) no prazo de 30 dias; (b) formular novo requerimento com documentação complementar; ou (c) ajuizar ação nos JEFs (para causas até 60 salários mínimos) ou na Justiça Federal.</w:t>
      </w:r>
    </w:p>
    <w:p w14:paraId="2E2B95FF" w14:textId="77777777" w:rsidR="005A5FCC" w:rsidRDefault="00A21C81">
      <w:pPr>
        <w:ind w:firstLine="238"/>
      </w:pPr>
      <w:r>
        <w:rPr>
          <w:rFonts w:cs="EB Garamond"/>
          <w:kern w:val="16"/>
          <w14:ligatures w14:val="standardContextual"/>
        </w:rPr>
        <w:t>Na via administrativa, a análise do CNIS é o primeiro passo. O CNIS registra todos os vínculos empregatícios e contribuições do segurado, mas não indica automaticamente quais períodos são especiais. O reconhecimento administrativo de tempo especial depende da apresentação do PPP pelo segurado e da análise documental pelo servidor do INSS. O GEX (Gerência Executiva) do INSS pode, de ofício, reconhecer períodos especiais quando o sistema identifica códigos de atividade associados a agentes nocivos no eSocial — funcionalidade gradualmente implementada com a consolidação do PPP eletrônico.</w:t>
      </w:r>
    </w:p>
    <w:p w14:paraId="59261B72" w14:textId="77777777" w:rsidR="005A5FCC" w:rsidRDefault="00A21C81">
      <w:pPr>
        <w:ind w:firstLine="238"/>
      </w:pPr>
      <w:r>
        <w:rPr>
          <w:rFonts w:cs="EB Garamond"/>
          <w:kern w:val="16"/>
          <w14:ligatures w14:val="standardContextual"/>
        </w:rPr>
        <w:t xml:space="preserve">A simulação de tempo de contribuição no portal Meu INSS também exige cautela. O segurado pode, pelo portal Meu INSS, solicitar simulação que indique </w:t>
      </w:r>
      <w:r>
        <w:rPr>
          <w:rFonts w:cs="EB Garamond"/>
          <w:kern w:val="16"/>
          <w14:ligatures w14:val="standardContextual"/>
        </w:rPr>
        <w:lastRenderedPageBreak/>
        <w:t>quanto tempo falta para a aposentadoria. Contudo, a simulação não computa automaticamente períodos de atividade especial não reconhecidos pelo INSS, o que pode levar o segurado a crer que ainda falta tempo quando, na realidade, o reconhecimento dos períodos especiais (por conversão ou contagem direta) já completaria os requisitos. O advogado deve calcular autonomamente o tempo do segurado, computando os períodos especiais com os devidos fatores de conversão.</w:t>
      </w:r>
    </w:p>
    <w:tbl>
      <w:tblPr>
        <w:tblW w:w="5000" w:type="pct"/>
        <w:jc w:val="center"/>
        <w:tblLayout w:type="fixed"/>
        <w:tblLook w:val="04A0" w:firstRow="1" w:lastRow="0" w:firstColumn="1" w:lastColumn="0" w:noHBand="0" w:noVBand="1"/>
      </w:tblPr>
      <w:tblGrid>
        <w:gridCol w:w="6311"/>
      </w:tblGrid>
      <w:tr w:rsidR="005A5FCC" w14:paraId="207D675F"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25F7CD04"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2E80DBCF" w14:textId="77777777" w:rsidR="005A5FCC" w:rsidRDefault="00A21C81">
            <w:pPr>
              <w:spacing w:after="60" w:line="247" w:lineRule="auto"/>
            </w:pPr>
            <w:r>
              <w:rPr>
                <w:rFonts w:cs="EB Garamond"/>
                <w:kern w:val="16"/>
                <w:sz w:val="19"/>
                <w14:ligatures w14:val="standardContextual"/>
              </w:rPr>
              <w:t>O advogado, antes de ajuizar ação de aposentadoria especial no JEF, deve verificar detalhadamente o Cadastro Nacional de Informações Sociais (CNIS) do segurado e a carta de indeferimento do INSS. A carta identifica quais períodos foram reconhecidos como especiais e quais foram indeferidos, com a respectiva fundamentação. A petição inicial deve concentrar o pedido nos períodos efetivamente controvertidos, não cabe ao Judiciário realizar a totalidade da análise administrativa, mas apenas resolver as controvérsias específicas sobre os períodos não reconhecidos pelo INSS. A juntada de todos os PPPs, formulários e CTPS é indispensável para a instrução do processo.</w:t>
            </w:r>
          </w:p>
        </w:tc>
      </w:tr>
    </w:tbl>
    <w:p w14:paraId="05F372D2" w14:textId="77777777" w:rsidR="005A5FCC" w:rsidRDefault="005A5FCC">
      <w:pPr>
        <w:spacing w:after="80" w:line="240" w:lineRule="auto"/>
      </w:pPr>
    </w:p>
    <w:p w14:paraId="67888474"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8.20 Questões especiais: eletricidade e periculosidade</w:t>
      </w:r>
    </w:p>
    <w:p w14:paraId="7B4E4FBF"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06564B06" w14:textId="77777777" w:rsidR="005A5FCC" w:rsidRDefault="00A21C81">
      <w:r>
        <w:rPr>
          <w:rFonts w:cs="EB Garamond"/>
          <w:kern w:val="16"/>
          <w14:ligatures w14:val="standardContextual"/>
        </w:rPr>
        <w:t xml:space="preserve"> controvérsia sobre o enquadramento da eletricidade como agente nocivo após o Decreto n. 2.172/1997 é das mais frequentes nos JEFs.</w:t>
      </w:r>
    </w:p>
    <w:p w14:paraId="3788E9BD" w14:textId="77777777" w:rsidR="005A5FCC" w:rsidRDefault="00A21C81">
      <w:pPr>
        <w:ind w:firstLine="238"/>
      </w:pPr>
      <w:r>
        <w:rPr>
          <w:rFonts w:cs="EB Garamond"/>
          <w:kern w:val="16"/>
          <w14:ligatures w14:val="standardContextual"/>
        </w:rPr>
        <w:t>Até 05/03/1997, a eletricidade estava prevista como agente nocivo nos quadros anexos dos Decretos n. 53.831/1964 (código 1.1.8, referente a operações em locais com eletricidade em condições de perigo de vida, com tensão superior a 250 volts) e 83.080/1979. A partir de 06/03/1997, com a edição do Decreto n. 2.172/1997 (e, posteriormente, do Decreto n. 3.048/1999), a eletricidade foi excluída da relação de agentes nocivos.</w:t>
      </w:r>
    </w:p>
    <w:p w14:paraId="1A7BD938" w14:textId="77777777" w:rsidR="005A5FCC" w:rsidRDefault="00A21C81">
      <w:pPr>
        <w:ind w:firstLine="238"/>
      </w:pPr>
      <w:r>
        <w:rPr>
          <w:rFonts w:cs="EB Garamond"/>
          <w:kern w:val="16"/>
          <w14:ligatures w14:val="standardContextual"/>
        </w:rPr>
        <w:t xml:space="preserve">A exclusão gerou controvérsia: como o Tema 534 do STJ reconhece que as normas regulamentadoras são exemplificativas, a eletricidade pode ser enquadrada como agente nocivo mesmo quando não consta do regulamento, desde que </w:t>
      </w:r>
      <w:r>
        <w:rPr>
          <w:rFonts w:cs="EB Garamond"/>
          <w:kern w:val="16"/>
          <w14:ligatures w14:val="standardContextual"/>
        </w:rPr>
        <w:lastRenderedPageBreak/>
        <w:t>a técnica médica e a legislação correlata considerem a atividade prejudicial à saúde ou à integridade física. A periculosidade da atividade com exposição a energia elétrica é reconhecida pela legislação trabalhista — a Lei n. 7.369/1985 (revogada pela Lei n. 12.740/2012, que incluiu a eletricidade no art. 193 da CLT) e a NR-10 são os fundamentos principais, reforçados pela Súmula 191/TST —, o que serve de base para o enquadramento previdenciário.</w:t>
      </w:r>
    </w:p>
    <w:p w14:paraId="1C48FFDB" w14:textId="77777777" w:rsidR="005A5FCC" w:rsidRDefault="00A21C81">
      <w:pPr>
        <w:ind w:firstLine="238"/>
      </w:pPr>
      <w:r>
        <w:rPr>
          <w:rFonts w:cs="EB Garamond"/>
          <w:kern w:val="16"/>
          <w14:ligatures w14:val="standardContextual"/>
        </w:rPr>
        <w:t>A jurisprudência dos TRFs é amplamente favorável ao reconhecimento da eletricidade como agente nocivo para fins de aposentadoria especial, mesmo após o Decreto n. 2.172/1997, com fundamento no Tema 534/STJ. A TNU também tem acolhido essa tese em diversos julgados.</w:t>
      </w:r>
    </w:p>
    <w:tbl>
      <w:tblPr>
        <w:tblW w:w="5000" w:type="pct"/>
        <w:jc w:val="center"/>
        <w:tblLayout w:type="fixed"/>
        <w:tblLook w:val="04A0" w:firstRow="1" w:lastRow="0" w:firstColumn="1" w:lastColumn="0" w:noHBand="0" w:noVBand="1"/>
      </w:tblPr>
      <w:tblGrid>
        <w:gridCol w:w="6311"/>
      </w:tblGrid>
      <w:tr w:rsidR="005A5FCC" w14:paraId="2B6B7F35"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378C251D" w14:textId="77777777" w:rsidR="005A5FCC" w:rsidRDefault="00A21C81">
            <w:pPr>
              <w:spacing w:after="60" w:line="240" w:lineRule="auto"/>
              <w:jc w:val="left"/>
            </w:pPr>
            <w:r>
              <w:rPr>
                <w:rFonts w:ascii="Noto Sans" w:hAnsi="Noto Sans" w:cs="Noto Sans"/>
                <w:b/>
                <w:caps/>
                <w:color w:val="4D6F8A"/>
                <w:kern w:val="16"/>
                <w:sz w:val="16"/>
                <w14:ligatures w14:val="standardContextual"/>
              </w:rPr>
              <w:t>JURISPRUDÊNCIA EM DESTAQUE</w:t>
            </w:r>
          </w:p>
          <w:p w14:paraId="167897FD" w14:textId="77777777" w:rsidR="005A5FCC" w:rsidRDefault="00A21C81">
            <w:pPr>
              <w:spacing w:after="60" w:line="247" w:lineRule="auto"/>
            </w:pPr>
            <w:r>
              <w:rPr>
                <w:rFonts w:cs="EB Garamond"/>
                <w:kern w:val="16"/>
                <w:sz w:val="19"/>
                <w14:ligatures w14:val="standardContextual"/>
              </w:rPr>
              <w:t>O reconhecimento da eletricidade como agente nocivo para fins de aposentadoria especial, mesmo após a exclusão dos quadros regulamentares pelo Decreto n. 2.172/1997, fundamenta-se no caráter exemplificativo das normas regulamentadoras (Tema 534/STJ) e na periculosidade reconhecida pela legislação trabalhista. A exposição habitual a tensões elétricas superiores a 250 volts, com risco de choque elétrico e arco voltaico, constitui condição de trabalho prejudicial à integridade física do trabalhador, ensejando o cômputo do período como especial.</w:t>
            </w:r>
          </w:p>
        </w:tc>
      </w:tr>
    </w:tbl>
    <w:p w14:paraId="55FBD3DE" w14:textId="77777777" w:rsidR="005A5FCC" w:rsidRDefault="005A5FCC">
      <w:pPr>
        <w:spacing w:after="80" w:line="240" w:lineRule="auto"/>
      </w:pPr>
    </w:p>
    <w:p w14:paraId="38FBCDA8" w14:textId="7A4B034C"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8.21 Aposentadoria especial do vigilante: o confronto entre o STJ (</w:t>
      </w:r>
      <w:r w:rsidR="00F001B2">
        <w:rPr>
          <w:rFonts w:cs="EB Garamond"/>
          <w:b/>
          <w:color w:val="3A3128"/>
          <w:kern w:val="16"/>
          <w:sz w:val="31"/>
          <w14:ligatures w14:val="standardContextual"/>
        </w:rPr>
        <w:t>T</w:t>
      </w:r>
      <w:r>
        <w:rPr>
          <w:rFonts w:cs="EB Garamond"/>
          <w:b/>
          <w:color w:val="3A3128"/>
          <w:kern w:val="16"/>
          <w:sz w:val="31"/>
          <w14:ligatures w14:val="standardContextual"/>
        </w:rPr>
        <w:t>ema 1.031) e o STF (</w:t>
      </w:r>
      <w:r w:rsidR="00F001B2">
        <w:rPr>
          <w:rFonts w:cs="EB Garamond"/>
          <w:b/>
          <w:color w:val="3A3128"/>
          <w:kern w:val="16"/>
          <w:sz w:val="31"/>
          <w14:ligatures w14:val="standardContextual"/>
        </w:rPr>
        <w:t>T</w:t>
      </w:r>
      <w:r>
        <w:rPr>
          <w:rFonts w:cs="EB Garamond"/>
          <w:b/>
          <w:color w:val="3A3128"/>
          <w:kern w:val="16"/>
          <w:sz w:val="31"/>
          <w14:ligatures w14:val="standardContextual"/>
        </w:rPr>
        <w:t>ema 1.209)</w:t>
      </w:r>
    </w:p>
    <w:p w14:paraId="2F0D6FFD"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318DFB1A" w14:textId="77777777" w:rsidR="005A5FCC" w:rsidRDefault="00A21C81">
      <w:r>
        <w:rPr>
          <w:rFonts w:cs="EB Garamond"/>
          <w:kern w:val="16"/>
          <w14:ligatures w14:val="standardContextual"/>
        </w:rPr>
        <w:t xml:space="preserve"> aposentadoria especial do vigilante percorreu trajetória jurisprudencial peculiar e, ao cabo, foi objeto de uma virada decisória que merece exame autônomo. A controvérsia central é saber se a atividade de vigilante — em razão da periculosidade que lhe é inerente, com ou sem o porte de arma de fogo — pode ser reconhecida como especial, à semelhança do que a jurisprudência admite para a eletricidade (seção 8.20).</w:t>
      </w:r>
    </w:p>
    <w:p w14:paraId="2EE6E525" w14:textId="3374BF24" w:rsidR="005A5FCC" w:rsidRDefault="00A21C81">
      <w:pPr>
        <w:spacing w:before="260" w:after="80" w:line="240" w:lineRule="auto"/>
        <w:jc w:val="left"/>
      </w:pPr>
      <w:r>
        <w:rPr>
          <w:rFonts w:cs="EB Garamond"/>
          <w:b/>
          <w:color w:val="3A3128"/>
          <w:kern w:val="16"/>
          <w:sz w:val="25"/>
          <w14:ligatures w14:val="standardContextual"/>
        </w:rPr>
        <w:t>8.21.1 O entendimento amplo do STJ (</w:t>
      </w:r>
      <w:r w:rsidR="00F001B2">
        <w:rPr>
          <w:rFonts w:cs="EB Garamond"/>
          <w:b/>
          <w:color w:val="3A3128"/>
          <w:kern w:val="16"/>
          <w:sz w:val="25"/>
          <w14:ligatures w14:val="standardContextual"/>
        </w:rPr>
        <w:t>T</w:t>
      </w:r>
      <w:r>
        <w:rPr>
          <w:rFonts w:cs="EB Garamond"/>
          <w:b/>
          <w:color w:val="3A3128"/>
          <w:kern w:val="16"/>
          <w:sz w:val="25"/>
          <w14:ligatures w14:val="standardContextual"/>
        </w:rPr>
        <w:t>ema 1.031)</w:t>
      </w:r>
    </w:p>
    <w:p w14:paraId="6AF187F8"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P</w:t>
      </w:r>
    </w:p>
    <w:p w14:paraId="4EFA1287" w14:textId="77777777" w:rsidR="005A5FCC" w:rsidRDefault="00A21C81">
      <w:r>
        <w:rPr>
          <w:rFonts w:cs="EB Garamond"/>
          <w:kern w:val="16"/>
          <w14:ligatures w14:val="standardContextual"/>
        </w:rPr>
        <w:t>or longo período, a discussão dividiu-se em duas fases. Até 05/03/1997, a atividade de vigilante (ou vigia armado) encontrava amparo no Decreto n. 53.831/1964 (código 2.5.7), que enquadrava como perigosa a atividade de guarda exercida com uso de arma de fogo. Com o Decreto n. 2.172/1997, contudo, a atividade deixou de constar dos quadros regulamentares, instaurando-se a controvérsia sobre a possibilidade de seu reconhecimento como especial nos períodos posteriores.</w:t>
      </w:r>
    </w:p>
    <w:p w14:paraId="6AA5B25C" w14:textId="77777777" w:rsidR="005A5FCC" w:rsidRDefault="00A21C81">
      <w:pPr>
        <w:ind w:firstLine="238"/>
      </w:pPr>
      <w:r>
        <w:rPr>
          <w:rFonts w:cs="EB Garamond"/>
          <w:kern w:val="16"/>
          <w14:ligatures w14:val="standardContextual"/>
        </w:rPr>
        <w:t>O STJ, no julgamento do Tema 1.031 (REsp 1.831.371, Rel. Min. Napoleão Nunes Maia Filho, j. 09/12/2020), adotou orientação ampla e favorável ao segurado, fixando a seguinte tese:</w:t>
      </w:r>
    </w:p>
    <w:tbl>
      <w:tblPr>
        <w:tblW w:w="5000" w:type="pct"/>
        <w:jc w:val="center"/>
        <w:tblLayout w:type="fixed"/>
        <w:tblLook w:val="04A0" w:firstRow="1" w:lastRow="0" w:firstColumn="1" w:lastColumn="0" w:noHBand="0" w:noVBand="1"/>
      </w:tblPr>
      <w:tblGrid>
        <w:gridCol w:w="6311"/>
      </w:tblGrid>
      <w:tr w:rsidR="005A5FCC" w14:paraId="4EE0A4AD"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71B87425" w14:textId="77777777" w:rsidR="005A5FCC" w:rsidRDefault="00A21C81">
            <w:pPr>
              <w:spacing w:after="60" w:line="240" w:lineRule="auto"/>
              <w:jc w:val="left"/>
            </w:pPr>
            <w:r>
              <w:rPr>
                <w:rFonts w:ascii="Noto Sans" w:hAnsi="Noto Sans" w:cs="Noto Sans"/>
                <w:b/>
                <w:caps/>
                <w:color w:val="4D6F8A"/>
                <w:kern w:val="16"/>
                <w:sz w:val="16"/>
                <w14:ligatures w14:val="standardContextual"/>
              </w:rPr>
              <w:t>JURISPRUDÊNCIA EM DESTAQUE</w:t>
            </w:r>
          </w:p>
          <w:p w14:paraId="4C4CB1E4" w14:textId="77777777" w:rsidR="005A5FCC" w:rsidRDefault="00A21C81">
            <w:pPr>
              <w:spacing w:after="60" w:line="247" w:lineRule="auto"/>
            </w:pPr>
            <w:r>
              <w:rPr>
                <w:rFonts w:cs="EB Garamond"/>
                <w:b/>
                <w:kern w:val="16"/>
                <w:sz w:val="19"/>
                <w14:ligatures w14:val="standardContextual"/>
              </w:rPr>
              <w:t>STJ, Tema 1.031 (REsp 1.831.371, Rel. Min. Napoleão Nunes Maia Filho, j. 09/12/2020):</w:t>
            </w:r>
          </w:p>
          <w:p w14:paraId="35515ACF" w14:textId="77777777" w:rsidR="005A5FCC" w:rsidRDefault="00A21C81">
            <w:pPr>
              <w:spacing w:after="60" w:line="247" w:lineRule="auto"/>
            </w:pPr>
            <w:r>
              <w:rPr>
                <w:rFonts w:cs="EB Garamond"/>
                <w:kern w:val="16"/>
                <w:sz w:val="19"/>
                <w14:ligatures w14:val="standardContextual"/>
              </w:rPr>
              <w:t>"É possível o reconhecimento da especialidade da atividade de Vigilante, mesmo após EC 103/2019, com ou sem o uso de arma de fogo, em data posterior à Lei 9.032/1995 e ao Decreto 2.172/1997, desde que haja a comprovação da efetiva nocividade da atividade, por qualquer meio de prova até 5.3.1997, momento em que se passa a exigir apresentação de laudo técnico ou elemento material equivalente, para comprovar a permanente, não ocasional nem intermitente, exposição à atividade nociva, que coloque em risco a integridade física do Segurado."</w:t>
            </w:r>
          </w:p>
          <w:p w14:paraId="0D158F05" w14:textId="77777777" w:rsidR="005A5FCC" w:rsidRDefault="00A21C81">
            <w:pPr>
              <w:spacing w:after="60" w:line="247" w:lineRule="auto"/>
            </w:pPr>
            <w:r>
              <w:rPr>
                <w:rFonts w:cs="EB Garamond"/>
                <w:b/>
                <w:kern w:val="16"/>
                <w:sz w:val="19"/>
                <w14:ligatures w14:val="standardContextual"/>
              </w:rPr>
              <w:t>STF, Tema 1.209 (RE 1.368.225, Rel. Orig. Min. Nunes Marques, red. P/ acórdão Min. Alexandre de Moraes, j. 18/02/2026, por maioria — 6×4):</w:t>
            </w:r>
          </w:p>
          <w:p w14:paraId="0F1C61CD" w14:textId="77777777" w:rsidR="005A5FCC" w:rsidRDefault="00A21C81">
            <w:pPr>
              <w:spacing w:after="60" w:line="247" w:lineRule="auto"/>
            </w:pPr>
            <w:r>
              <w:rPr>
                <w:rFonts w:cs="EB Garamond"/>
                <w:kern w:val="16"/>
                <w:sz w:val="19"/>
                <w14:ligatures w14:val="standardContextual"/>
              </w:rPr>
              <w:t>"A atividade de vigilante, com ou sem o uso de arma de fogo, não se caracteriza como especial, para fins de concessão da aposentadoria de que trata o art. 201, § 1º, da Constituição."</w:t>
            </w:r>
          </w:p>
        </w:tc>
      </w:tr>
    </w:tbl>
    <w:p w14:paraId="1B1A6B53" w14:textId="77777777" w:rsidR="005A5FCC" w:rsidRDefault="005A5FCC">
      <w:pPr>
        <w:spacing w:after="80" w:line="240" w:lineRule="auto"/>
      </w:pPr>
    </w:p>
    <w:p w14:paraId="5F9406E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4CD984CA" w14:textId="77777777" w:rsidR="005A5FCC" w:rsidRDefault="00A21C81">
      <w:r>
        <w:rPr>
          <w:rFonts w:cs="EB Garamond"/>
          <w:kern w:val="16"/>
          <w14:ligatures w14:val="standardContextual"/>
        </w:rPr>
        <w:t xml:space="preserve"> fundamento do Tema 1.031 do STJ era o caráter exemplificativo das normas regulamentadoras (Tema 534/STJ, seção 8.5.3): tal como na eletricidade, a periculosidade da atividade de vigilante — exposta ao risco de assaltos e à violência armada — justificaria o enquadramento como especial mesmo após a exclusão dos quadros regulamentares, desde que comprovada a efetiva nocividade por laudo técnico ou elemento material equivalente. Sob essa orientação, </w:t>
      </w:r>
      <w:r>
        <w:rPr>
          <w:rFonts w:cs="EB Garamond"/>
          <w:kern w:val="16"/>
          <w14:ligatures w14:val="standardContextual"/>
        </w:rPr>
        <w:lastRenderedPageBreak/>
        <w:t>formou-se ampla jurisprudência nos TRFs reconhecendo a especialidade da atividade de vigilante por periculosidade.</w:t>
      </w:r>
    </w:p>
    <w:p w14:paraId="4FC80E0D" w14:textId="7766A91D" w:rsidR="005A5FCC" w:rsidRDefault="00A21C81">
      <w:pPr>
        <w:spacing w:before="260" w:after="80" w:line="240" w:lineRule="auto"/>
        <w:jc w:val="left"/>
      </w:pPr>
      <w:r>
        <w:rPr>
          <w:rFonts w:cs="EB Garamond"/>
          <w:b/>
          <w:color w:val="3A3128"/>
          <w:kern w:val="16"/>
          <w:sz w:val="25"/>
          <w14:ligatures w14:val="standardContextual"/>
        </w:rPr>
        <w:t>8.21.2 A restrição do STF (</w:t>
      </w:r>
      <w:r w:rsidR="00F001B2">
        <w:rPr>
          <w:rFonts w:cs="EB Garamond"/>
          <w:b/>
          <w:color w:val="3A3128"/>
          <w:kern w:val="16"/>
          <w:sz w:val="25"/>
          <w14:ligatures w14:val="standardContextual"/>
        </w:rPr>
        <w:t>T</w:t>
      </w:r>
      <w:r>
        <w:rPr>
          <w:rFonts w:cs="EB Garamond"/>
          <w:b/>
          <w:color w:val="3A3128"/>
          <w:kern w:val="16"/>
          <w:sz w:val="25"/>
          <w14:ligatures w14:val="standardContextual"/>
        </w:rPr>
        <w:t>ema 1.209)</w:t>
      </w:r>
    </w:p>
    <w:p w14:paraId="48CFEC4D"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6BA92F2B" w14:textId="77777777" w:rsidR="005A5FCC" w:rsidRDefault="00A21C81">
      <w:r>
        <w:rPr>
          <w:rFonts w:cs="EB Garamond"/>
          <w:kern w:val="16"/>
          <w14:ligatures w14:val="standardContextual"/>
        </w:rPr>
        <w:t xml:space="preserve"> entendimento amplo do STJ foi confrontado pelo STF no julgamento do RE 1.368.225 (Tema 1.209 da Repercussão Geral, Rel. Orig. Min. Nunes Marques, red. P/ acórdão Min. Alexandre de Moraes, j. 18/02/2026, por maioria de 6 votos a 4). O STF firmou orientação restritiva, fixando a tese de que "a atividade de vigilante, com ou sem o uso de arma de fogo, não se caracteriza como especial, para fins de concessão da aposentadoria de que trata o art. 201, § 1º, da Constituição".</w:t>
      </w:r>
    </w:p>
    <w:p w14:paraId="548385B9" w14:textId="77777777" w:rsidR="005A5FCC" w:rsidRDefault="00A21C81">
      <w:pPr>
        <w:ind w:firstLine="238"/>
      </w:pPr>
      <w:r>
        <w:rPr>
          <w:rFonts w:cs="EB Garamond"/>
          <w:kern w:val="16"/>
          <w14:ligatures w14:val="standardContextual"/>
        </w:rPr>
        <w:t>A ratio decidendi do STF é que a aposentadoria especial pressupõe a efetiva exposição habitual e permanente a agentes nocivos prejudiciais à saúde ou à integridade física — não bastando a mera periculosidade ou o risco de eventos violentos. A exposição a perigo (como o risco de assalto), por sua natureza eventual e potencial, não se confunde com a exposição contínua a agente nocivo que caracteriza a atividade especial. Com isso, o STF restringiu o entendimento mais amplo que o STJ havia consagrado no Tema 1.031, afastando o reconhecimento da especialidade fundado em mera periculosidade da função de vigilante.</w:t>
      </w:r>
    </w:p>
    <w:tbl>
      <w:tblPr>
        <w:tblW w:w="5000" w:type="pct"/>
        <w:jc w:val="center"/>
        <w:tblLayout w:type="fixed"/>
        <w:tblLook w:val="04A0" w:firstRow="1" w:lastRow="0" w:firstColumn="1" w:lastColumn="0" w:noHBand="0" w:noVBand="1"/>
      </w:tblPr>
      <w:tblGrid>
        <w:gridCol w:w="6311"/>
      </w:tblGrid>
      <w:tr w:rsidR="005A5FCC" w14:paraId="3046D80C"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54ADE2D9"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2DE4741A" w14:textId="77777777" w:rsidR="005A5FCC" w:rsidRDefault="00A21C81">
            <w:pPr>
              <w:spacing w:after="60" w:line="247" w:lineRule="auto"/>
            </w:pPr>
            <w:r>
              <w:rPr>
                <w:rFonts w:cs="EB Garamond"/>
                <w:kern w:val="16"/>
                <w:sz w:val="19"/>
                <w14:ligatures w14:val="standardContextual"/>
              </w:rPr>
              <w:t>A decisão do STF no Tema 1.209 produz impacto direto sobre os pedidos de aposentadoria especial de vigilantes fundados exclusivamente na periculosidade da atividade. Após o julgamento (18/02/2026), o reconhecimento da especialidade não pode mais se amparar apenas no risco inerente à função (porte de arma, risco de assalto). Subsiste, contudo, a possibilidade de enquadramento quando o vigilante comprove exposição habitual e permanente a agentes nocivos efetivos previstos na legislação previdenciária (por exemplo, ruído acima dos limites de tolerância). O julgamento, em sessão virtual encerrada em 13/02/2026, deu-se por maioria de 6 votos a 4, restando vencidos o relator, Min. Nunes Marques, e os Ministros Cármen Lúcia, Flávio Dino e Edson Fachin, que admitiam o enquadramento pela periculosidade. O acórdão foi publicado em 04/03/2026, sem modulação de efeitos, o que projeta reflexos diretos sobre os processos em curso e sobre os benefícios já concedidos com base no Tema 1.031/STJ.</w:t>
            </w:r>
          </w:p>
        </w:tc>
      </w:tr>
    </w:tbl>
    <w:p w14:paraId="28DB0C98" w14:textId="77777777" w:rsidR="005A5FCC" w:rsidRDefault="005A5FCC">
      <w:pPr>
        <w:spacing w:after="80" w:line="240" w:lineRule="auto"/>
      </w:pPr>
    </w:p>
    <w:p w14:paraId="767EDA9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7B94B59C" w14:textId="77777777" w:rsidR="005A5FCC" w:rsidRDefault="00A21C81">
      <w:r>
        <w:rPr>
          <w:rFonts w:cs="EB Garamond"/>
          <w:kern w:val="16"/>
          <w14:ligatures w14:val="standardContextual"/>
        </w:rPr>
        <w:t xml:space="preserve"> tensão entre os dois precedentes ilustra a distinção entre periculosidade e nocividade. Enquanto o STJ aproximara o vigilante do eletricista — reconhecendo a periculosidade como fundamento de especialidade —, o STF estabeleceu que a periculosidade, isoladamente, não basta: exige-se a exposição a agente nocivo à saúde ou à integridade física, de forma habitual e permanente, nos termos do art. 57, § 3º, da Lei n. 8.213/91. Prevalece, por força da repercussão geral, a orientação restritiva do STF (art. 927, III, do CPC).</w:t>
      </w:r>
    </w:p>
    <w:p w14:paraId="13080B19"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8.22 Aposentadoria especial e o segurado especial (rural)</w:t>
      </w:r>
    </w:p>
    <w:p w14:paraId="369E877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7ABEA6DB" w14:textId="77777777" w:rsidR="005A5FCC" w:rsidRDefault="00A21C81">
      <w:r>
        <w:rPr>
          <w:rFonts w:cs="EB Garamond"/>
          <w:kern w:val="16"/>
          <w14:ligatures w14:val="standardContextual"/>
        </w:rPr>
        <w:t xml:space="preserve"> segurado especial (trabalhador rural em regime de economia familiar, definido no art. 11, inciso VII, da Lei n. 8.213/91) pode, em tese, ter reconhecido período de atividade especial se exposto a agentes nocivos, como agrotóxicos (defensivos agrícolas), por exemplo. Contudo, a comprovação é particularmente difícil em razão da informalidade que caracteriza o trabalho rural familiar: não há PPP, LTCAT ou formulário padronizado emitido por empregador, uma vez que o segurado especial é, ele mesmo, o responsável pela atividade.</w:t>
      </w:r>
    </w:p>
    <w:p w14:paraId="7F141139" w14:textId="77777777" w:rsidR="005A5FCC" w:rsidRDefault="00A21C81">
      <w:pPr>
        <w:ind w:firstLine="238"/>
      </w:pPr>
      <w:r>
        <w:rPr>
          <w:rFonts w:cs="EB Garamond"/>
          <w:kern w:val="16"/>
          <w14:ligatures w14:val="standardContextual"/>
        </w:rPr>
        <w:t>A jurisprudência tem admitido, nesses casos, a prova da exposição por outros meios: (a) perícia ambiental na propriedade rural, com verificação in loco das condições de trabalho e dos produtos utilizados; (b) laudos técnicos de instituições públicas (EMATER, secretarias de agricultura) sobre o uso de agrotóxicos na região; (c) receituários agronômicos que comprovem a aquisição e utilização de defensivos agrícolas; (d) notas fiscais de aquisição de agrotóxicos em nome do segurado ou da unidade familiar; (e) declaração da autoridade sanitária local sobre práticas agrícolas na região.</w:t>
      </w:r>
    </w:p>
    <w:p w14:paraId="3FE5A6AD" w14:textId="77777777" w:rsidR="005A5FCC" w:rsidRDefault="00A21C81">
      <w:pPr>
        <w:ind w:firstLine="238"/>
      </w:pPr>
      <w:r>
        <w:rPr>
          <w:rFonts w:cs="EB Garamond"/>
          <w:kern w:val="16"/>
          <w14:ligatures w14:val="standardContextual"/>
        </w:rPr>
        <w:t xml:space="preserve">O enquadramento, contudo, permanece excepcional e controverso. A principal dificuldade reside na demonstração da habitualidade e permanência da exposição. O uso esporádico de agrotóxicos, limitado a determinados períodos do ciclo agrícola (semeadura, tratamento fitossanitário), pode não configurar exposição habitual e permanente nos termos do art. 57, § 3º, da Lei n. 8.213/91. </w:t>
      </w:r>
      <w:r>
        <w:rPr>
          <w:rFonts w:cs="EB Garamond"/>
          <w:kern w:val="16"/>
          <w14:ligatures w14:val="standardContextual"/>
        </w:rPr>
        <w:lastRenderedPageBreak/>
        <w:t>A jurisprudência tende a reconhecer a especialidade quando a atividade agrícola envolve culturas que demandam aplicação frequente de defensivos (fumo, tomate, batata, algodão), mas exige prova robusta da utilização dos produtos e da exposição direta do segurado.</w:t>
      </w:r>
    </w:p>
    <w:p w14:paraId="68381522" w14:textId="77777777" w:rsidR="005A5FCC" w:rsidRDefault="00A21C81">
      <w:pPr>
        <w:ind w:firstLine="238"/>
      </w:pPr>
      <w:r>
        <w:rPr>
          <w:rFonts w:cs="EB Garamond"/>
          <w:kern w:val="16"/>
          <w14:ligatures w14:val="standardContextual"/>
        </w:rPr>
        <w:t>Além dos agrotóxicos, o segurado rural pode estar exposto a outros agentes nocivos: agentes biológicos (trabalho em avicultura e suinocultura confinada, exposição a fungos em silos e armazéns), ruído (operação de tratores e máquinas agrícolas sem proteção auditiva) e poeiras minerais (trabalho em mineração artesanal em pequena escala). Em cada caso, a comprovação deve ser feita pelos meios de prova disponíveis, com atenção à realidade da atividade rural e à dificuldade inerente de documentação formal.</w:t>
      </w:r>
    </w:p>
    <w:tbl>
      <w:tblPr>
        <w:tblW w:w="5000" w:type="pct"/>
        <w:jc w:val="center"/>
        <w:tblLayout w:type="fixed"/>
        <w:tblLook w:val="04A0" w:firstRow="1" w:lastRow="0" w:firstColumn="1" w:lastColumn="0" w:noHBand="0" w:noVBand="1"/>
      </w:tblPr>
      <w:tblGrid>
        <w:gridCol w:w="6311"/>
      </w:tblGrid>
      <w:tr w:rsidR="005A5FCC" w14:paraId="10490442"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4A8FB4D5"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06193669" w14:textId="77777777" w:rsidR="005A5FCC" w:rsidRDefault="00A21C81">
            <w:pPr>
              <w:spacing w:after="60" w:line="247" w:lineRule="auto"/>
            </w:pPr>
            <w:r>
              <w:rPr>
                <w:rFonts w:cs="EB Garamond"/>
                <w:kern w:val="16"/>
                <w:sz w:val="19"/>
                <w14:ligatures w14:val="standardContextual"/>
              </w:rPr>
              <w:t>Nos JEFs, o pedido de aposentadoria especial por segurado rural exige instrução probatória diferenciada. Na ausência de PPP e LTCAT, o juiz deve avaliar: (a) a natureza da cultura ou criação (atividades com uso intensivo de agrotóxicos justificam a designação de perícia); (b) documentos de aquisição de defensivos agrícolas e receituários agronômicos; (c) a possibilidade de perícia ambiental na propriedade rural. Se a perícia confirmar a exposição habitual, o período pode ser reconhecido como especial. Se a exposição for sazonal ou esporádica, o enquadramento é inviável. A prova testemunhal pode complementar, mas não substituir, a prova técnica.</w:t>
            </w:r>
          </w:p>
        </w:tc>
      </w:tr>
    </w:tbl>
    <w:p w14:paraId="5C350E99" w14:textId="77777777" w:rsidR="005A5FCC" w:rsidRDefault="005A5FCC">
      <w:pPr>
        <w:spacing w:after="80" w:line="240" w:lineRule="auto"/>
      </w:pPr>
    </w:p>
    <w:p w14:paraId="7A7DED61"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8.23 Aposentadoria especial e contribuinte individual</w:t>
      </w:r>
    </w:p>
    <w:p w14:paraId="4C088E5C"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7F4A3D74" w14:textId="77777777" w:rsidR="005A5FCC" w:rsidRDefault="00A21C81">
      <w:r>
        <w:rPr>
          <w:rFonts w:cs="EB Garamond"/>
          <w:kern w:val="16"/>
          <w14:ligatures w14:val="standardContextual"/>
        </w:rPr>
        <w:t xml:space="preserve"> contribuinte individual que exerce atividade em condições especiais pode ter reconhecido o direito à aposentadoria especial, desde que comprove a efetiva exposição a agentes nocivos prejudiciais à saúde ou à integridade física. A dificuldade reside na prova: o contribuinte individual frequentemente não tem PPP (documento emitido pelo empregador) e pode não dispor de LTCAT, uma vez que a obrigação de elaboração desses documentos recai sobre o </w:t>
      </w:r>
      <w:r>
        <w:rPr>
          <w:rFonts w:cs="EB Garamond"/>
          <w:kern w:val="16"/>
          <w14:ligatures w14:val="standardContextual"/>
        </w:rPr>
        <w:lastRenderedPageBreak/>
        <w:t>empregador — e o contribuinte individual é, por definição, trabalhador autônomo ou empresário sem vínculo empregatício.</w:t>
      </w:r>
    </w:p>
    <w:p w14:paraId="5E2489C5" w14:textId="77777777" w:rsidR="005A5FCC" w:rsidRDefault="00A21C81">
      <w:pPr>
        <w:ind w:firstLine="238"/>
      </w:pPr>
      <w:r>
        <w:rPr>
          <w:rFonts w:cs="EB Garamond"/>
          <w:kern w:val="16"/>
          <w14:ligatures w14:val="standardContextual"/>
        </w:rPr>
        <w:t>Nessa situação, a prova pode ser feita por meios alternativos: (a) laudo técnico elaborado a pedido do próprio segurado, por médico do trabalho ou engenheiro de segurança do trabalho habilitado, contendo avaliação qualitativa e quantitativa dos agentes nocivos presentes no ambiente de trabalho; (b) perícia judicial ambiental no local de trabalho, determinada pelo juiz nos JEFs; (c) documentos de terceiros que atestem as condições ambientais — laudos de inspeção da vigilância sanitária, autos de infração trabalhista, relatórios de inspeção do corpo de bombeiros, laudos de processos judiciais envolvendo o mesmo local de trabalho; (d) declarações de sindicatos ou cooperativas de trabalho que atestem as condições em que a atividade é habitualmente exercida.</w:t>
      </w:r>
    </w:p>
    <w:p w14:paraId="3AC62382" w14:textId="77777777" w:rsidR="005A5FCC" w:rsidRDefault="00A21C81">
      <w:pPr>
        <w:ind w:firstLine="238"/>
      </w:pPr>
      <w:r>
        <w:rPr>
          <w:rFonts w:cs="EB Garamond"/>
          <w:kern w:val="16"/>
          <w14:ligatures w14:val="standardContextual"/>
        </w:rPr>
        <w:t>A jurisprudência tem reconhecido o direito do contribuinte individual à aposentadoria especial em situações como: dentistas que operam consultório próprio (exposição a agentes biológicos), mecânicos autônomos (exposição a ruído, óleos minerais e hidrocarbonetos), eletricistas autônomos (periculosidade por exposição a alta tensão), pintores (exposição a solventes orgânicos e tintas com compostos químicos) e motoristas de caminhão que transportam cargas perigosas (inflamáveis, explosivos). Em cada caso, a comprovação da especialidade exige demonstração da exposição habitual e permanente, o que demanda prova técnica adequada.</w:t>
      </w:r>
    </w:p>
    <w:p w14:paraId="5E4CFD01" w14:textId="77777777" w:rsidR="005A5FCC" w:rsidRDefault="00A21C81">
      <w:pPr>
        <w:ind w:firstLine="238"/>
      </w:pPr>
      <w:r>
        <w:rPr>
          <w:rFonts w:cs="EB Garamond"/>
          <w:kern w:val="16"/>
          <w14:ligatures w14:val="standardContextual"/>
        </w:rPr>
        <w:t>A matéria foi pacificada pelo STJ no julgamento do Tema 1.291 (REsp 2.163.429, Rel. Min. Gurgel de Faria, j. 10/09/2025), sob a sistemática dos recursos repetitivos, que assegurou ao contribuinte individual não cooperado o direito ao reconhecimento de tempo especial após a Lei n. 9.032/1995, dispensando-o da exigência de formulário emitido por empresa — exigência incompatível com a própria condição do trabalhador autônomo, que não possui empregador para elaborar o documento.</w:t>
      </w:r>
    </w:p>
    <w:tbl>
      <w:tblPr>
        <w:tblW w:w="5000" w:type="pct"/>
        <w:jc w:val="center"/>
        <w:tblLayout w:type="fixed"/>
        <w:tblLook w:val="04A0" w:firstRow="1" w:lastRow="0" w:firstColumn="1" w:lastColumn="0" w:noHBand="0" w:noVBand="1"/>
      </w:tblPr>
      <w:tblGrid>
        <w:gridCol w:w="6311"/>
      </w:tblGrid>
      <w:tr w:rsidR="005A5FCC" w14:paraId="6BD02B8A"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4A92F3D8" w14:textId="77777777" w:rsidR="005A5FCC" w:rsidRDefault="00A21C81">
            <w:pPr>
              <w:spacing w:after="60" w:line="240" w:lineRule="auto"/>
              <w:jc w:val="left"/>
            </w:pPr>
            <w:r>
              <w:rPr>
                <w:rFonts w:ascii="Noto Sans" w:hAnsi="Noto Sans" w:cs="Noto Sans"/>
                <w:b/>
                <w:caps/>
                <w:color w:val="4D6F8A"/>
                <w:kern w:val="16"/>
                <w:sz w:val="16"/>
                <w14:ligatures w14:val="standardContextual"/>
              </w:rPr>
              <w:lastRenderedPageBreak/>
              <w:t>JURISPRUDÊNCIA EM DESTAQUE</w:t>
            </w:r>
          </w:p>
          <w:p w14:paraId="02A16F34" w14:textId="77777777" w:rsidR="005A5FCC" w:rsidRDefault="00A21C81">
            <w:pPr>
              <w:spacing w:after="60" w:line="247" w:lineRule="auto"/>
            </w:pPr>
            <w:r>
              <w:rPr>
                <w:rFonts w:cs="EB Garamond"/>
                <w:b/>
                <w:kern w:val="16"/>
                <w:sz w:val="19"/>
                <w14:ligatures w14:val="standardContextual"/>
              </w:rPr>
              <w:t>STJ, Tema 1.291 (REsp 2.163.429, Rel. Min. Gurgel de Faria, j. 10/09/2025):</w:t>
            </w:r>
          </w:p>
          <w:p w14:paraId="0633C72E" w14:textId="338E6557" w:rsidR="005A5FCC" w:rsidRDefault="00A21C81">
            <w:pPr>
              <w:spacing w:after="60" w:line="247" w:lineRule="auto"/>
            </w:pPr>
            <w:r>
              <w:rPr>
                <w:rFonts w:cs="EB Garamond"/>
                <w:kern w:val="16"/>
                <w:sz w:val="19"/>
                <w14:ligatures w14:val="standardContextual"/>
              </w:rPr>
              <w:t xml:space="preserve">"a) O contribuinte individual não cooperado tem direito ao reconhecimento de tempo de atividade especial exercido após a Lei n. 9.032/95, desde que comprove a exposição a agentes nocivos. </w:t>
            </w:r>
            <w:r w:rsidR="00F001B2">
              <w:rPr>
                <w:rFonts w:cs="EB Garamond"/>
                <w:kern w:val="16"/>
                <w:sz w:val="19"/>
                <w14:ligatures w14:val="standardContextual"/>
              </w:rPr>
              <w:t>b</w:t>
            </w:r>
            <w:r>
              <w:rPr>
                <w:rFonts w:cs="EB Garamond"/>
                <w:kern w:val="16"/>
                <w:sz w:val="19"/>
                <w14:ligatures w14:val="standardContextual"/>
              </w:rPr>
              <w:t>) A exigência de comprovação da atividade especial por formulário emitido por empresa não se aplica a contribuintes individuais."</w:t>
            </w:r>
          </w:p>
          <w:p w14:paraId="0B6CE66A" w14:textId="77777777" w:rsidR="005A5FCC" w:rsidRDefault="00A21C81">
            <w:pPr>
              <w:spacing w:after="60" w:line="247" w:lineRule="auto"/>
            </w:pPr>
            <w:r>
              <w:rPr>
                <w:rFonts w:cs="EB Garamond"/>
                <w:kern w:val="16"/>
                <w:sz w:val="19"/>
                <w14:ligatures w14:val="standardContextual"/>
              </w:rPr>
              <w:t>A tese supera o argumento — frequentemente invocado pelo INSS — de que a ausência de PPP ou de formulário empresarial obstaria o reconhecimento da especialidade para o trabalhador autônomo. A prova da exposição a agentes nocivos pode ser feita por outros meios idôneos (laudo técnico, perícia judicial, documentos de terceiros), conforme já examinado nesta seção.</w:t>
            </w:r>
          </w:p>
        </w:tc>
      </w:tr>
    </w:tbl>
    <w:p w14:paraId="2C23432D" w14:textId="77777777" w:rsidR="005A5FCC" w:rsidRDefault="005A5FCC">
      <w:pPr>
        <w:spacing w:after="80" w:line="240" w:lineRule="auto"/>
      </w:pPr>
    </w:p>
    <w:p w14:paraId="5FD4D37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02C145F7" w14:textId="77777777" w:rsidR="005A5FCC" w:rsidRDefault="00A21C81">
      <w:r>
        <w:rPr>
          <w:rFonts w:cs="EB Garamond"/>
          <w:kern w:val="16"/>
          <w14:ligatures w14:val="standardContextual"/>
        </w:rPr>
        <w:t xml:space="preserve"> carência de 180 contribuições deve ser integralmente cumprida pelo contribuinte individual, observadas as regras gerais de contribuição dessa categoria. O contribuinte individual recolhe suas contribuições diretamente ao INSS, e a irregularidade ou atraso nos recolhimentos pode comprometer o cômputo do período tanto para a carência quanto para o tempo de atividade especial. A regularização de contribuições em atraso é possível nos termos do art. 45-A da Lei n. 8.212/91, mas a comprovação do exercício efetivo da atividade no período é condição indispensável para a regularização.</w:t>
      </w:r>
    </w:p>
    <w:tbl>
      <w:tblPr>
        <w:tblW w:w="5000" w:type="pct"/>
        <w:jc w:val="center"/>
        <w:tblLayout w:type="fixed"/>
        <w:tblLook w:val="04A0" w:firstRow="1" w:lastRow="0" w:firstColumn="1" w:lastColumn="0" w:noHBand="0" w:noVBand="1"/>
      </w:tblPr>
      <w:tblGrid>
        <w:gridCol w:w="6311"/>
      </w:tblGrid>
      <w:tr w:rsidR="005A5FCC" w14:paraId="72F0B55B"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4BA5BE04"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30777C85" w14:textId="3FDBFA09" w:rsidR="005A5FCC" w:rsidRDefault="00A21C81">
            <w:pPr>
              <w:spacing w:after="60" w:line="247" w:lineRule="auto"/>
            </w:pPr>
            <w:r>
              <w:rPr>
                <w:rFonts w:cs="EB Garamond"/>
                <w:kern w:val="16"/>
                <w:sz w:val="19"/>
                <w14:ligatures w14:val="standardContextual"/>
              </w:rPr>
              <w:t>O contribuinte individual que pretende obter aposentadoria especial deve providenciar, desde o início da atividade, a elaboração de laudo técnico por profissional habilitado que ateste as condições ambientais de trabalho. Esse cuidado preventivo facilita substancialmente a comprovação futura da atividade especial, especialmente para atividades exercidas durante longos períodos. Na ausência de documentação contemporânea, a prova judicial torna-se mais complexa e onerosa</w:t>
            </w:r>
            <w:r w:rsidR="00F001B2">
              <w:rPr>
                <w:rFonts w:cs="EB Garamond"/>
                <w:kern w:val="16"/>
                <w:sz w:val="19"/>
                <w14:ligatures w14:val="standardContextual"/>
              </w:rPr>
              <w:t>. A</w:t>
            </w:r>
            <w:r>
              <w:rPr>
                <w:rFonts w:cs="EB Garamond"/>
                <w:kern w:val="16"/>
                <w:sz w:val="19"/>
                <w14:ligatures w14:val="standardContextual"/>
              </w:rPr>
              <w:t xml:space="preserve"> perícia ambiental pode ser inviabilizada se o local de trabalho já não existir ou tiver sido substancialmente alterado. O advogado que assessora contribuintes individuais deve orientar a constituição tempestiva da prova técnica.</w:t>
            </w:r>
          </w:p>
        </w:tc>
      </w:tr>
    </w:tbl>
    <w:p w14:paraId="176A695C" w14:textId="77777777" w:rsidR="005A5FCC" w:rsidRDefault="005A5FCC">
      <w:pPr>
        <w:spacing w:after="80" w:line="240" w:lineRule="auto"/>
      </w:pPr>
    </w:p>
    <w:p w14:paraId="6858A74A" w14:textId="619D53EB" w:rsidR="005A5FCC" w:rsidRDefault="00F001B2">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 xml:space="preserve">8.24 </w:t>
      </w:r>
      <w:r w:rsidR="00A21C81">
        <w:rPr>
          <w:rFonts w:cs="EB Garamond"/>
          <w:b/>
          <w:color w:val="3A3128"/>
          <w:kern w:val="16"/>
          <w:sz w:val="31"/>
          <w14:ligatures w14:val="standardContextual"/>
        </w:rPr>
        <w:t>Conclusão</w:t>
      </w:r>
    </w:p>
    <w:p w14:paraId="2C16BCEB"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7F5A4095" w14:textId="77777777" w:rsidR="005A5FCC" w:rsidRDefault="00A21C81">
      <w:r>
        <w:rPr>
          <w:rFonts w:cs="EB Garamond"/>
          <w:kern w:val="16"/>
          <w14:ligatures w14:val="standardContextual"/>
        </w:rPr>
        <w:t xml:space="preserve"> aposentadoria especial concentra a maior parte do contencioso previdenciário sobre condições de trabalho nos JEFs. Três fatores explicam essa litigiosidade persistente.</w:t>
      </w:r>
    </w:p>
    <w:p w14:paraId="446CA3B1" w14:textId="77777777" w:rsidR="005A5FCC" w:rsidRDefault="00A21C81">
      <w:pPr>
        <w:ind w:firstLine="238"/>
      </w:pPr>
      <w:r>
        <w:rPr>
          <w:rFonts w:cs="EB Garamond"/>
          <w:kern w:val="16"/>
          <w14:ligatures w14:val="standardContextual"/>
        </w:rPr>
        <w:t>O primeiro é normativo. A EC 103/2019 introduziu idade mínima, sistema de pontos e coeficiente redutor onde antes havia regime de 100% sem exigência etária. No julgamento da ADI 6.309 (Rel. Orig. Min. Luís Roberto Barroso, red. P/ acórdão Min. André Mendonça, j. 03/06/2026, 6×5), o STF reverteu parcialmente essas alterações: declarou inconstitucional a exigência de idade mínima — que, portanto, deixou de ser exigível —, mas manteve a nova forma de cálculo e a vedação à conversão de tempo especial em comum. A eventual modulação de efeitos será definida na publicação do acórdão, o que exigirá do magistrado atenção, sobretudo quanto aos pedidos formulados ou aos benefícios concedidos antes da decisão.</w:t>
      </w:r>
    </w:p>
    <w:p w14:paraId="16D0980B" w14:textId="77777777" w:rsidR="005A5FCC" w:rsidRDefault="00A21C81">
      <w:pPr>
        <w:ind w:firstLine="238"/>
      </w:pPr>
      <w:r>
        <w:rPr>
          <w:rFonts w:cs="EB Garamond"/>
          <w:kern w:val="16"/>
          <w14:ligatures w14:val="standardContextual"/>
        </w:rPr>
        <w:t>O segundo é probatório. O PPP eletrônico via eSocial padronizou a prova para vínculos a partir de 2023, mas a maioria dos litígios envolve períodos anteriores, documentados em formulários físicos (SB-40, DSS-8030, PPP em papel) ou sem documentação alguma (empresas extintas, contribuintes individuais, segurados rurais). O domínio de regimes probatórios distintos conforme o período é condição para a instrução adequada.</w:t>
      </w:r>
    </w:p>
    <w:p w14:paraId="5B659032" w14:textId="77777777" w:rsidR="005A5FCC" w:rsidRDefault="00A21C81">
      <w:pPr>
        <w:ind w:firstLine="238"/>
      </w:pPr>
      <w:r>
        <w:rPr>
          <w:rFonts w:cs="EB Garamond"/>
          <w:kern w:val="16"/>
          <w14:ligatures w14:val="standardContextual"/>
        </w:rPr>
        <w:t>O terceiro é técnico. O magistrado que julga aposentadoria especial precisa ler laudos ambientais, compreender metodologias de medição (NHO-01 para ruído, IBUTG para calor, dosimetria para radiações) e identificar agentes nocivos e seus efeitos sobre a saúde. Sem essa competência, a sentença corre o risco de se fundar em premissas técnicas equivocadas.</w:t>
      </w:r>
    </w:p>
    <w:p w14:paraId="6259C2D3" w14:textId="77777777" w:rsidR="005A5FCC" w:rsidRDefault="00A21C81">
      <w:pPr>
        <w:ind w:firstLine="238"/>
      </w:pPr>
      <w:r>
        <w:rPr>
          <w:rFonts w:cs="EB Garamond"/>
          <w:kern w:val="16"/>
          <w14:ligatures w14:val="standardContextual"/>
        </w:rPr>
        <w:t>Sustentamos que o regime da aposentadoria especial deve ser interpretado à luz de sua finalidade constitucional: proteger o trabalhador que sacrifica sua saúde em benefício da coletividade. As exigências de comprovação e documentação são legítimas, mas não podem se converter em obstáculos que, na prática, esvaziem o direito que a Constituição assegura.</w:t>
      </w:r>
    </w:p>
    <w:p w14:paraId="289411BD" w14:textId="77777777" w:rsidR="005A5FCC" w:rsidRDefault="00A21C81">
      <w:pPr>
        <w:ind w:firstLine="238"/>
      </w:pPr>
      <w:r>
        <w:rPr>
          <w:rFonts w:cs="EB Garamond"/>
          <w:kern w:val="16"/>
          <w14:ligatures w14:val="standardContextual"/>
        </w:rPr>
        <w:t>---</w:t>
      </w:r>
    </w:p>
    <w:p w14:paraId="413EECA7" w14:textId="77777777" w:rsidR="005A5FCC" w:rsidRDefault="005A5FCC">
      <w:pPr>
        <w:sectPr w:rsidR="005A5FCC">
          <w:headerReference w:type="even" r:id="rId114"/>
          <w:headerReference w:type="default" r:id="rId115"/>
          <w:footerReference w:type="even" r:id="rId116"/>
          <w:footerReference w:type="default" r:id="rId117"/>
          <w:headerReference w:type="first" r:id="rId118"/>
          <w:footerReference w:type="first" r:id="rId119"/>
          <w:pgSz w:w="8391" w:h="11906"/>
          <w:pgMar w:top="935" w:right="879" w:bottom="964" w:left="1162" w:header="454" w:footer="425" w:gutter="0"/>
          <w:cols w:space="720"/>
          <w:titlePg/>
          <w:docGrid w:linePitch="360"/>
        </w:sectPr>
      </w:pPr>
    </w:p>
    <w:p w14:paraId="260989B4" w14:textId="77777777" w:rsidR="005A5FCC" w:rsidRDefault="00A21C81">
      <w:pPr>
        <w:keepNext/>
        <w:spacing w:before="240" w:after="80" w:line="240" w:lineRule="auto"/>
        <w:jc w:val="center"/>
      </w:pPr>
      <w:r>
        <w:rPr>
          <w:rFonts w:ascii="Noto Sans" w:hAnsi="Noto Sans" w:cs="Noto Sans"/>
          <w:b/>
          <w:caps/>
          <w:color w:val="8A6A2A"/>
          <w:kern w:val="16"/>
          <w:sz w:val="19"/>
          <w14:ligatures w14:val="standardContextual"/>
        </w:rPr>
        <w:lastRenderedPageBreak/>
        <w:t>CAPÍTULO 9</w:t>
      </w:r>
    </w:p>
    <w:p w14:paraId="56F4795C" w14:textId="77777777" w:rsidR="005A5FCC" w:rsidRDefault="00A21C81">
      <w:pPr>
        <w:pStyle w:val="Ttulo2"/>
        <w:spacing w:line="240" w:lineRule="auto"/>
      </w:pPr>
      <w:r>
        <w:rPr>
          <w:rFonts w:ascii="EB Garamond" w:hAnsi="EB Garamond" w:cs="EB Garamond"/>
          <w:caps/>
          <w:kern w:val="16"/>
          <w14:ligatures w14:val="standardContextual"/>
        </w:rPr>
        <w:t>Aposentadoria do Segurado Rural</w:t>
      </w:r>
    </w:p>
    <w:p w14:paraId="7BE09662" w14:textId="77777777" w:rsidR="005A5FCC" w:rsidRDefault="00A21C81">
      <w:pPr>
        <w:spacing w:after="240" w:line="240" w:lineRule="auto"/>
        <w:jc w:val="center"/>
      </w:pPr>
      <w:r>
        <w:rPr>
          <w:rFonts w:cs="EB Garamond"/>
          <w:color w:val="B78B37"/>
          <w:kern w:val="16"/>
          <w:sz w:val="18"/>
          <w14:ligatures w14:val="standardContextual"/>
        </w:rPr>
        <w:t>━━━━  ◆  ━━━━</w:t>
      </w:r>
    </w:p>
    <w:p w14:paraId="71F6373E"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0DB2394B" w14:textId="77777777" w:rsidR="005A5FCC" w:rsidRDefault="00A21C81">
      <w:r>
        <w:rPr>
          <w:rFonts w:cs="EB Garamond"/>
          <w:kern w:val="16"/>
          <w14:ligatures w14:val="standardContextual"/>
        </w:rPr>
        <w:t xml:space="preserve"> aposentadoria rural se diferencia das demais espécies pelo regime probatório próprio: a comprovação do exercício de atividade rural constitui o núcleo das controvérsias nos JEFs, exigindo domínio de regras processuais e materiais que se entrelaçam de modo peculiar. As idades reduzidas (60 anos para homens e 55 para mulheres) e a dispensa de contribuições pecuniárias para o segurado especial conferem ao benefício feição assistencial que o distingue das demais aposentadorias do RGPS.</w:t>
      </w:r>
    </w:p>
    <w:p w14:paraId="094C97CA" w14:textId="77777777" w:rsidR="005A5FCC" w:rsidRDefault="00A21C81">
      <w:pPr>
        <w:ind w:firstLine="238"/>
      </w:pPr>
      <w:r>
        <w:rPr>
          <w:rFonts w:cs="EB Garamond"/>
          <w:kern w:val="16"/>
          <w14:ligatures w14:val="standardContextual"/>
        </w:rPr>
        <w:t>O segurado especial, conceituado no art. 11, inciso VII, da Lei n. 8.213, de 24 de julho de 1991, é a figura central deste capítulo. Diferencia-se dos demais segurados obrigatórios por exercer atividade agropecuária, pesqueira ou extrativista em regime de economia familiar, sem empregados permanentes, em área que não exceda quatro módulos fiscais. A Constituição de 1988, em seu art. 195, § 8º, conferiu-lhe regime contributivo diferenciado, fundado na comercialização da produção, reconhecendo que a capacidade contributiva desse trabalhador não se equipara à dos segurados vinculados ao mercado formal de trabalho.</w:t>
      </w:r>
    </w:p>
    <w:p w14:paraId="5A67D3EF" w14:textId="77777777" w:rsidR="005A5FCC" w:rsidRDefault="00A21C81">
      <w:pPr>
        <w:ind w:firstLine="238"/>
      </w:pPr>
      <w:r>
        <w:rPr>
          <w:rFonts w:cs="EB Garamond"/>
          <w:kern w:val="16"/>
          <w14:ligatures w14:val="standardContextual"/>
        </w:rPr>
        <w:t>A EC 103/2019, que promoveu reformas substanciais em diversas espécies de benefícios previdenciários, não alterou os requisitos da aposentadoria por idade do segurado especial. Os limiares etários de 60 e 55 anos, bem como a comprovação de 15 anos de atividade rural, permanecem inalterados. Essa opção legislativa reflete o reconhecimento de que o trabalhador rural já se encontra em condição de vulnerabilidade socioeconômica que não comporta endurecimento dos critérios de acesso à proteção previdenciária.</w:t>
      </w:r>
    </w:p>
    <w:p w14:paraId="5C3A5077" w14:textId="77777777" w:rsidR="005A5FCC" w:rsidRDefault="00A21C81">
      <w:pPr>
        <w:ind w:firstLine="238"/>
      </w:pPr>
      <w:r>
        <w:rPr>
          <w:rFonts w:cs="EB Garamond"/>
          <w:kern w:val="16"/>
          <w14:ligatures w14:val="standardContextual"/>
        </w:rPr>
        <w:t xml:space="preserve">O tratamento da matéria neste capítulo abrange, além da aposentadoria por idade rural do segurado especial (art. 48, §§ 1º e 2º, da Lei n. 8.213/91), a aposentadoria por idade híbrida (art. 48, § 3º, introduzido pela Lei n. 11.718/2008), que </w:t>
      </w:r>
      <w:r>
        <w:rPr>
          <w:rFonts w:cs="EB Garamond"/>
          <w:kern w:val="16"/>
          <w14:ligatures w14:val="standardContextual"/>
        </w:rPr>
        <w:lastRenderedPageBreak/>
        <w:t>permite a soma de períodos rurais e urbanos para o preenchimento da carência. Examinaremos, ainda, o regime probatório da atividade rural, a jurisprudência consolidada do STJ e da TNU sobre a matéria, e os aspectos procedimentais que orientam a atuação nos Juizados Especiais Federais.</w:t>
      </w:r>
    </w:p>
    <w:p w14:paraId="442DBA80"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9.1 Conceito e fundamento constitucional</w:t>
      </w:r>
    </w:p>
    <w:p w14:paraId="29588F1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4576A0AD" w14:textId="77777777" w:rsidR="005A5FCC" w:rsidRDefault="00A21C81">
      <w:r>
        <w:rPr>
          <w:rFonts w:cs="EB Garamond"/>
          <w:kern w:val="16"/>
          <w14:ligatures w14:val="standardContextual"/>
        </w:rPr>
        <w:t xml:space="preserve"> aposentadoria rural é espécie de aposentadoria por idade com requisitos diferenciados, concedida ao trabalhador que comprove o exercício de atividade rural pelo período exigido em lei. O fundamento constitucional encontra-se no art. 201, § 7º, inciso II, da Constituição Federal (com redação da EC 103/2019), que estabelece diretamente as idades de 60 anos para homens e 55 anos para mulheres para os trabalhadores rurais e para os que exerçam atividades em regime de economia familiar, nestes incluídos o produtor rural, o garimpeiro e o pescador artesanal. A opção do poder constituinte reformador de manter essas idades no próprio texto constitucional, em inciso específico, reforça o caráter diferenciado da proteção ao trabalhador rural.</w:t>
      </w:r>
    </w:p>
    <w:p w14:paraId="72FEEA95" w14:textId="77777777" w:rsidR="005A5FCC" w:rsidRDefault="00A21C81">
      <w:pPr>
        <w:ind w:firstLine="238"/>
      </w:pPr>
      <w:r>
        <w:rPr>
          <w:rFonts w:cs="EB Garamond"/>
          <w:kern w:val="16"/>
          <w14:ligatures w14:val="standardContextual"/>
        </w:rPr>
        <w:t>A reprodução literal do rol constitucional, contudo, não importa enquadramento automático de todas as figuras ali nomeadas como segurado especial. O garimpeiro, em particular, é tratado pela legislação de custeio como contribuinte individual (art. 12, inciso V, da Lei n. 8.212/91), e não como segurado especial — categoria reservada, no plano infraconstitucional, ao produtor, parceiro, meeiro e arrendatário rurais, ao pescador artesanal e aos respectivos cônjuges que trabalhem em regime de economia familiar (art. 11, VII, da Lei n. 8.213/91). A menção ao garimpeiro neste tópico tem, portanto, alcance estritamente constitucional, reproduzindo o texto do art. 201, § 7º, II, sem afirmar seu enquadramento como segurado especial para os fins deste capítulo.</w:t>
      </w:r>
    </w:p>
    <w:p w14:paraId="387A38E3" w14:textId="77777777" w:rsidR="005A5FCC" w:rsidRDefault="00A21C81">
      <w:pPr>
        <w:ind w:firstLine="238"/>
      </w:pPr>
      <w:r>
        <w:rPr>
          <w:rFonts w:cs="EB Garamond"/>
          <w:kern w:val="16"/>
          <w14:ligatures w14:val="standardContextual"/>
        </w:rPr>
        <w:t xml:space="preserve">A justificativa constitucional para a diferenciação é de ordem material: o trabalho rural, exercido sob condições de desgaste físico acentuado, exposição a intempéries e acesso precário a serviços de saúde, acarreta envelhecimento funcional mais acelerado do que o verificado nas ocupações urbanas. O constituinte de 1988 optou por compensar essa desigualdade de condições por meio da redução </w:t>
      </w:r>
      <w:r>
        <w:rPr>
          <w:rFonts w:cs="EB Garamond"/>
          <w:kern w:val="16"/>
          <w14:ligatures w14:val="standardContextual"/>
        </w:rPr>
        <w:lastRenderedPageBreak/>
        <w:t>do requisito etário, dando concretude ao princípio da seletividade e distributividade na prestação dos benefícios (art. 194, parágrafo único, inciso III, da CF/88).</w:t>
      </w:r>
    </w:p>
    <w:p w14:paraId="43E51F87" w14:textId="77777777" w:rsidR="005A5FCC" w:rsidRDefault="00A21C81">
      <w:pPr>
        <w:ind w:firstLine="238"/>
      </w:pPr>
      <w:r>
        <w:rPr>
          <w:rFonts w:cs="EB Garamond"/>
          <w:kern w:val="16"/>
          <w14:ligatures w14:val="standardContextual"/>
        </w:rPr>
        <w:t>A proteção previdenciária ao trabalhador rural é reforçada pelo art. 195, § 8º, da Constituição, que estabelece regime contributivo diferenciado para o segurado especial. Nos termos desse dispositivo, o produtor, o parceiro, o meeiro e o arrendatário rurais, o pescador artesanal e os respectivos cônjuges, que exerçam suas atividades em regime de economia familiar, sem empregados permanentes, contribuirão para a seguridade social mediante a aplicação de alíquota sobre o resultado da comercialização da produção. Essa forma de contribuição substitui a alíquota incidente sobre a remuneração, reconhecendo a impossibilidade de exigir do pequeno produtor rural contribuição mensal calculada nos moldes dos demais segurados.</w:t>
      </w:r>
    </w:p>
    <w:p w14:paraId="47F74753" w14:textId="77777777" w:rsidR="005A5FCC" w:rsidRDefault="00A21C81">
      <w:pPr>
        <w:ind w:firstLine="238"/>
      </w:pPr>
      <w:r>
        <w:rPr>
          <w:rFonts w:cs="EB Garamond"/>
          <w:kern w:val="16"/>
          <w14:ligatures w14:val="standardContextual"/>
        </w:rPr>
        <w:t>A constitucionalidade da contribuição do segurado especial sobre o resultado da comercialização da produção foi confirmada pelo Supremo Tribunal Federal no julgamento do RE 761.263 (Tema 723 da repercussão geral, Plenário, rel. Min. Alexandre de Moraes, j. 15/04/2020, DJe 01/02/2021), que reconheceu a validade constitucional do art. 25 da Lei n. 8.212/91 como fundado diretamente no art. 195, § 8º, da Constituição Federal. A composição detalhada das alíquotas que incidem sobre a receita bruta da comercialização da produção rural — a contribuição previdenciária de 1,3% e a parcela de 0,2% destinada ao SENAR, perfazendo 1,5% — é examinada na seção 9.17, dedicada ao regime contributivo do segurado especial.</w:t>
      </w:r>
    </w:p>
    <w:p w14:paraId="7478075A"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9.2 Evolução legislativa</w:t>
      </w:r>
    </w:p>
    <w:p w14:paraId="3BBEFD7C"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290F4634" w14:textId="77777777" w:rsidR="005A5FCC" w:rsidRDefault="00A21C81">
      <w:r>
        <w:rPr>
          <w:rFonts w:cs="EB Garamond"/>
          <w:kern w:val="16"/>
          <w14:ligatures w14:val="standardContextual"/>
        </w:rPr>
        <w:t xml:space="preserve"> proteção previdenciária ao trabalhador rural brasileiro percorreu longo caminho até alcançar o patamar constitucional atual, conforme sintetizado no quadro seguinte.</w:t>
      </w:r>
    </w:p>
    <w:tbl>
      <w:tblPr>
        <w:tblW w:w="5000" w:type="pct"/>
        <w:jc w:val="center"/>
        <w:tblLook w:val="04A0" w:firstRow="1" w:lastRow="0" w:firstColumn="1" w:lastColumn="0" w:noHBand="0" w:noVBand="1"/>
      </w:tblPr>
      <w:tblGrid>
        <w:gridCol w:w="3173"/>
        <w:gridCol w:w="3167"/>
      </w:tblGrid>
      <w:tr w:rsidR="005A5FCC" w14:paraId="29E25B2F" w14:textId="77777777">
        <w:trPr>
          <w:tblHeader/>
          <w:jc w:val="center"/>
        </w:trPr>
        <w:tc>
          <w:tcPr>
            <w:tcW w:w="3175" w:type="dxa"/>
            <w:tcBorders>
              <w:top w:val="single" w:sz="4" w:space="0" w:color="D2C9B8"/>
              <w:left w:val="single" w:sz="4" w:space="0" w:color="D2C9B8"/>
              <w:bottom w:val="single" w:sz="4" w:space="0" w:color="D2C9B8"/>
              <w:right w:val="single" w:sz="4" w:space="0" w:color="D2C9B8"/>
            </w:tcBorders>
            <w:shd w:val="clear" w:color="auto" w:fill="F0EDE6"/>
          </w:tcPr>
          <w:p w14:paraId="4A050FA8" w14:textId="77777777" w:rsidR="005A5FCC" w:rsidRDefault="00A21C81">
            <w:pPr>
              <w:spacing w:before="40" w:after="40" w:line="240" w:lineRule="auto"/>
              <w:jc w:val="center"/>
            </w:pPr>
            <w:r>
              <w:rPr>
                <w:rFonts w:cs="EB Garamond"/>
                <w:b/>
                <w:color w:val="2F2923"/>
                <w:kern w:val="16"/>
                <w:sz w:val="18"/>
                <w14:ligatures w14:val="standardContextual"/>
              </w:rPr>
              <w:t>Marco legislativo</w:t>
            </w:r>
          </w:p>
        </w:tc>
        <w:tc>
          <w:tcPr>
            <w:tcW w:w="3175" w:type="dxa"/>
            <w:tcBorders>
              <w:top w:val="single" w:sz="4" w:space="0" w:color="D2C9B8"/>
              <w:left w:val="single" w:sz="4" w:space="0" w:color="D2C9B8"/>
              <w:bottom w:val="single" w:sz="4" w:space="0" w:color="D2C9B8"/>
              <w:right w:val="single" w:sz="4" w:space="0" w:color="D2C9B8"/>
            </w:tcBorders>
            <w:shd w:val="clear" w:color="auto" w:fill="F0EDE6"/>
          </w:tcPr>
          <w:p w14:paraId="3F3686E8" w14:textId="77777777" w:rsidR="005A5FCC" w:rsidRDefault="00A21C81">
            <w:pPr>
              <w:spacing w:before="40" w:after="40" w:line="240" w:lineRule="auto"/>
              <w:jc w:val="center"/>
            </w:pPr>
            <w:r>
              <w:rPr>
                <w:rFonts w:cs="EB Garamond"/>
                <w:b/>
                <w:color w:val="2F2923"/>
                <w:kern w:val="16"/>
                <w:sz w:val="18"/>
                <w14:ligatures w14:val="standardContextual"/>
              </w:rPr>
              <w:t>Conteúdo central</w:t>
            </w:r>
          </w:p>
        </w:tc>
      </w:tr>
      <w:tr w:rsidR="005A5FCC" w14:paraId="3B88E91D"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6BD0D8F0" w14:textId="77777777" w:rsidR="005A5FCC" w:rsidRDefault="00A21C81">
            <w:pPr>
              <w:spacing w:before="20" w:after="20" w:line="240" w:lineRule="auto"/>
              <w:jc w:val="left"/>
            </w:pPr>
            <w:r>
              <w:rPr>
                <w:rFonts w:cs="EB Garamond"/>
                <w:kern w:val="16"/>
                <w:sz w:val="18"/>
                <w14:ligatures w14:val="standardContextual"/>
              </w:rPr>
              <w:t>Lei n. 4.214/1963 (Estatuto do Trabalhador Rural)</w:t>
            </w:r>
          </w:p>
        </w:tc>
        <w:tc>
          <w:tcPr>
            <w:tcW w:w="3175" w:type="dxa"/>
            <w:tcBorders>
              <w:top w:val="single" w:sz="4" w:space="0" w:color="D2C9B8"/>
              <w:left w:val="single" w:sz="4" w:space="0" w:color="D2C9B8"/>
              <w:bottom w:val="single" w:sz="4" w:space="0" w:color="D2C9B8"/>
              <w:right w:val="single" w:sz="4" w:space="0" w:color="D2C9B8"/>
            </w:tcBorders>
          </w:tcPr>
          <w:p w14:paraId="461F583D" w14:textId="77777777" w:rsidR="005A5FCC" w:rsidRDefault="00A21C81">
            <w:pPr>
              <w:spacing w:before="20" w:after="20" w:line="240" w:lineRule="auto"/>
              <w:jc w:val="left"/>
            </w:pPr>
            <w:r>
              <w:rPr>
                <w:rFonts w:cs="EB Garamond"/>
                <w:kern w:val="16"/>
                <w:sz w:val="18"/>
                <w14:ligatures w14:val="standardContextual"/>
              </w:rPr>
              <w:t>Extensão de direitos trabalhistas ao campo; sem proteção previdenciária efetiva</w:t>
            </w:r>
          </w:p>
        </w:tc>
      </w:tr>
      <w:tr w:rsidR="005A5FCC" w14:paraId="0AC426BA"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0E63C5EB" w14:textId="77777777" w:rsidR="005A5FCC" w:rsidRDefault="00A21C81">
            <w:pPr>
              <w:spacing w:before="20" w:after="20" w:line="240" w:lineRule="auto"/>
              <w:jc w:val="left"/>
            </w:pPr>
            <w:r>
              <w:rPr>
                <w:rFonts w:cs="EB Garamond"/>
                <w:kern w:val="16"/>
                <w:sz w:val="18"/>
                <w14:ligatures w14:val="standardContextual"/>
              </w:rPr>
              <w:lastRenderedPageBreak/>
              <w:t>LC 11/1971 (PRORURAL/FUNRURAL)</w:t>
            </w:r>
          </w:p>
        </w:tc>
        <w:tc>
          <w:tcPr>
            <w:tcW w:w="3175" w:type="dxa"/>
            <w:tcBorders>
              <w:top w:val="single" w:sz="4" w:space="0" w:color="D2C9B8"/>
              <w:left w:val="single" w:sz="4" w:space="0" w:color="D2C9B8"/>
              <w:bottom w:val="single" w:sz="4" w:space="0" w:color="D2C9B8"/>
              <w:right w:val="single" w:sz="4" w:space="0" w:color="D2C9B8"/>
            </w:tcBorders>
          </w:tcPr>
          <w:p w14:paraId="24AC8DAF" w14:textId="5CAB4B3B" w:rsidR="005A5FCC" w:rsidRDefault="00A21C81">
            <w:pPr>
              <w:spacing w:before="20" w:after="20" w:line="240" w:lineRule="auto"/>
              <w:jc w:val="left"/>
            </w:pPr>
            <w:r>
              <w:rPr>
                <w:rFonts w:cs="EB Garamond"/>
                <w:kern w:val="16"/>
                <w:sz w:val="18"/>
                <w14:ligatures w14:val="standardContextual"/>
              </w:rPr>
              <w:t xml:space="preserve">Aposentadoria por velhice aos 65 anos, meio </w:t>
            </w:r>
            <w:r w:rsidR="00C94FF0">
              <w:rPr>
                <w:rFonts w:cs="EB Garamond"/>
                <w:kern w:val="16"/>
                <w:sz w:val="18"/>
                <w14:ligatures w14:val="standardContextual"/>
              </w:rPr>
              <w:t>salário-mínimo</w:t>
            </w:r>
            <w:r>
              <w:rPr>
                <w:rFonts w:cs="EB Garamond"/>
                <w:kern w:val="16"/>
                <w:sz w:val="18"/>
                <w14:ligatures w14:val="standardContextual"/>
              </w:rPr>
              <w:t>, exclusiva ao chefe de família</w:t>
            </w:r>
          </w:p>
        </w:tc>
      </w:tr>
      <w:tr w:rsidR="005A5FCC" w14:paraId="6021F3AD"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220E713C" w14:textId="77777777" w:rsidR="005A5FCC" w:rsidRDefault="00A21C81">
            <w:pPr>
              <w:spacing w:before="20" w:after="20" w:line="240" w:lineRule="auto"/>
              <w:jc w:val="left"/>
            </w:pPr>
            <w:r>
              <w:rPr>
                <w:rFonts w:cs="EB Garamond"/>
                <w:kern w:val="16"/>
                <w:sz w:val="18"/>
                <w14:ligatures w14:val="standardContextual"/>
              </w:rPr>
              <w:t>CF/1988</w:t>
            </w:r>
          </w:p>
        </w:tc>
        <w:tc>
          <w:tcPr>
            <w:tcW w:w="3175" w:type="dxa"/>
            <w:tcBorders>
              <w:top w:val="single" w:sz="4" w:space="0" w:color="D2C9B8"/>
              <w:left w:val="single" w:sz="4" w:space="0" w:color="D2C9B8"/>
              <w:bottom w:val="single" w:sz="4" w:space="0" w:color="D2C9B8"/>
              <w:right w:val="single" w:sz="4" w:space="0" w:color="D2C9B8"/>
            </w:tcBorders>
          </w:tcPr>
          <w:p w14:paraId="1F1ABF19" w14:textId="77777777" w:rsidR="005A5FCC" w:rsidRDefault="00A21C81">
            <w:pPr>
              <w:spacing w:before="20" w:after="20" w:line="240" w:lineRule="auto"/>
              <w:jc w:val="left"/>
            </w:pPr>
            <w:r>
              <w:rPr>
                <w:rFonts w:cs="EB Garamond"/>
                <w:kern w:val="16"/>
                <w:sz w:val="18"/>
                <w14:ligatures w14:val="standardContextual"/>
              </w:rPr>
              <w:t>Equiparação rural-urbana, redução etária (art. 201, § 7º, II), contribuição diferenciada (art. 195, § 8º)</w:t>
            </w:r>
          </w:p>
        </w:tc>
      </w:tr>
      <w:tr w:rsidR="005A5FCC" w14:paraId="0C6110E9"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118E2CA3" w14:textId="77777777" w:rsidR="005A5FCC" w:rsidRDefault="00A21C81">
            <w:pPr>
              <w:spacing w:before="20" w:after="20" w:line="240" w:lineRule="auto"/>
              <w:jc w:val="left"/>
            </w:pPr>
            <w:r>
              <w:rPr>
                <w:rFonts w:cs="EB Garamond"/>
                <w:kern w:val="16"/>
                <w:sz w:val="18"/>
                <w14:ligatures w14:val="standardContextual"/>
              </w:rPr>
              <w:t>Lei n. 8.213/1991</w:t>
            </w:r>
          </w:p>
        </w:tc>
        <w:tc>
          <w:tcPr>
            <w:tcW w:w="3175" w:type="dxa"/>
            <w:tcBorders>
              <w:top w:val="single" w:sz="4" w:space="0" w:color="D2C9B8"/>
              <w:left w:val="single" w:sz="4" w:space="0" w:color="D2C9B8"/>
              <w:bottom w:val="single" w:sz="4" w:space="0" w:color="D2C9B8"/>
              <w:right w:val="single" w:sz="4" w:space="0" w:color="D2C9B8"/>
            </w:tcBorders>
          </w:tcPr>
          <w:p w14:paraId="16531533" w14:textId="71930A95" w:rsidR="005A5FCC" w:rsidRDefault="00A21C81">
            <w:pPr>
              <w:spacing w:before="20" w:after="20" w:line="240" w:lineRule="auto"/>
              <w:jc w:val="left"/>
            </w:pPr>
            <w:r>
              <w:rPr>
                <w:rFonts w:cs="EB Garamond"/>
                <w:kern w:val="16"/>
                <w:sz w:val="18"/>
                <w14:ligatures w14:val="standardContextual"/>
              </w:rPr>
              <w:t>Regulamentação: arts. 11</w:t>
            </w:r>
            <w:r w:rsidR="000D2B5A">
              <w:rPr>
                <w:rFonts w:cs="EB Garamond"/>
                <w:kern w:val="16"/>
                <w:sz w:val="18"/>
                <w14:ligatures w14:val="standardContextual"/>
              </w:rPr>
              <w:t>,</w:t>
            </w:r>
            <w:r>
              <w:rPr>
                <w:rFonts w:cs="EB Garamond"/>
                <w:kern w:val="16"/>
                <w:sz w:val="18"/>
                <w14:ligatures w14:val="standardContextual"/>
              </w:rPr>
              <w:t xml:space="preserve"> VII, 39, 48 §§ 1º-2º, 106, 143</w:t>
            </w:r>
          </w:p>
        </w:tc>
      </w:tr>
      <w:tr w:rsidR="005A5FCC" w14:paraId="3A85D14E"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02D263C9" w14:textId="77777777" w:rsidR="005A5FCC" w:rsidRDefault="00A21C81">
            <w:pPr>
              <w:spacing w:before="20" w:after="20" w:line="240" w:lineRule="auto"/>
              <w:jc w:val="left"/>
            </w:pPr>
            <w:r>
              <w:rPr>
                <w:rFonts w:cs="EB Garamond"/>
                <w:kern w:val="16"/>
                <w:sz w:val="18"/>
                <w14:ligatures w14:val="standardContextual"/>
              </w:rPr>
              <w:t>Lei n. 11.718/2008</w:t>
            </w:r>
          </w:p>
        </w:tc>
        <w:tc>
          <w:tcPr>
            <w:tcW w:w="3175" w:type="dxa"/>
            <w:tcBorders>
              <w:top w:val="single" w:sz="4" w:space="0" w:color="D2C9B8"/>
              <w:left w:val="single" w:sz="4" w:space="0" w:color="D2C9B8"/>
              <w:bottom w:val="single" w:sz="4" w:space="0" w:color="D2C9B8"/>
              <w:right w:val="single" w:sz="4" w:space="0" w:color="D2C9B8"/>
            </w:tcBorders>
          </w:tcPr>
          <w:p w14:paraId="5C4ABEC7" w14:textId="77777777" w:rsidR="005A5FCC" w:rsidRDefault="00A21C81">
            <w:pPr>
              <w:spacing w:before="20" w:after="20" w:line="240" w:lineRule="auto"/>
              <w:jc w:val="left"/>
            </w:pPr>
            <w:r>
              <w:rPr>
                <w:rFonts w:cs="EB Garamond"/>
                <w:kern w:val="16"/>
                <w:sz w:val="18"/>
                <w14:ligatures w14:val="standardContextual"/>
              </w:rPr>
              <w:t>Aposentadoria híbrida (art. 48, § 3º), redefinição do segurado especial</w:t>
            </w:r>
          </w:p>
        </w:tc>
      </w:tr>
      <w:tr w:rsidR="005A5FCC" w14:paraId="726D970C"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3ABB753A" w14:textId="77777777" w:rsidR="005A5FCC" w:rsidRDefault="00A21C81">
            <w:pPr>
              <w:spacing w:before="20" w:after="20" w:line="240" w:lineRule="auto"/>
              <w:jc w:val="left"/>
            </w:pPr>
            <w:r>
              <w:rPr>
                <w:rFonts w:cs="EB Garamond"/>
                <w:kern w:val="16"/>
                <w:sz w:val="18"/>
                <w14:ligatures w14:val="standardContextual"/>
              </w:rPr>
              <w:t>EC 103/2019</w:t>
            </w:r>
          </w:p>
        </w:tc>
        <w:tc>
          <w:tcPr>
            <w:tcW w:w="3175" w:type="dxa"/>
            <w:tcBorders>
              <w:top w:val="single" w:sz="4" w:space="0" w:color="D2C9B8"/>
              <w:left w:val="single" w:sz="4" w:space="0" w:color="D2C9B8"/>
              <w:bottom w:val="single" w:sz="4" w:space="0" w:color="D2C9B8"/>
              <w:right w:val="single" w:sz="4" w:space="0" w:color="D2C9B8"/>
            </w:tcBorders>
          </w:tcPr>
          <w:p w14:paraId="448D0E62" w14:textId="77777777" w:rsidR="005A5FCC" w:rsidRDefault="00A21C81">
            <w:pPr>
              <w:spacing w:before="20" w:after="20" w:line="240" w:lineRule="auto"/>
              <w:jc w:val="left"/>
            </w:pPr>
            <w:r>
              <w:rPr>
                <w:rFonts w:cs="EB Garamond"/>
                <w:kern w:val="16"/>
                <w:sz w:val="18"/>
                <w14:ligatures w14:val="standardContextual"/>
              </w:rPr>
              <w:t>Preservação integral dos requisitos rurais; impacto no cálculo da híbrida</w:t>
            </w:r>
          </w:p>
        </w:tc>
      </w:tr>
    </w:tbl>
    <w:p w14:paraId="71489234" w14:textId="77777777" w:rsidR="005A5FCC" w:rsidRDefault="005A5FCC">
      <w:pPr>
        <w:spacing w:after="80" w:line="240" w:lineRule="auto"/>
      </w:pPr>
    </w:p>
    <w:p w14:paraId="081DD5FF"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7BA749E9" w14:textId="77777777" w:rsidR="005A5FCC" w:rsidRDefault="00A21C81">
      <w:r>
        <w:rPr>
          <w:rFonts w:cs="EB Garamond"/>
          <w:kern w:val="16"/>
          <w14:ligatures w14:val="standardContextual"/>
        </w:rPr>
        <w:t>s marcos que merecem atenção especial são a ruptura promovida pela Constituição de 1988 e as sucessivas prorrogações do art. 143 da Lei n. 8.213/91.</w:t>
      </w:r>
    </w:p>
    <w:p w14:paraId="5BCB6B46" w14:textId="77777777" w:rsidR="005A5FCC" w:rsidRDefault="00A21C81">
      <w:pPr>
        <w:ind w:firstLine="238"/>
      </w:pPr>
      <w:r>
        <w:rPr>
          <w:rFonts w:cs="EB Garamond"/>
          <w:kern w:val="16"/>
          <w14:ligatures w14:val="standardContextual"/>
        </w:rPr>
        <w:t>A Constituição de 1988 transformou o cenário. O art. 201, § 7º, inciso II, estabeleceu a redução de cinco anos na idade de aposentadoria para trabalhadores rurais. O art. 195, § 8º, criou regime contributivo diferenciado. O art. 201, § 5º (redação original), ao estabelecer que nenhum benefício substitutivo do salário de contribuição teria valor inferior ao salário mínimo, equiparou o piso dos benefícios rurais e urbanos. O ADCT, em seu art. 59, assegurou a manutenção dos benefícios concedidos pela legislação de amparo ao trabalhador rural nos termos da lei, garantindo durante a transição a proteção previdenciária ao trabalhador do campo até a regulamentação do sistema pela Lei n. 8.213/91.</w:t>
      </w:r>
    </w:p>
    <w:p w14:paraId="25DF518B" w14:textId="77777777" w:rsidR="005A5FCC" w:rsidRDefault="00A21C81">
      <w:pPr>
        <w:ind w:firstLine="238"/>
      </w:pPr>
      <w:r>
        <w:rPr>
          <w:rFonts w:cs="EB Garamond"/>
          <w:kern w:val="16"/>
          <w14:ligatures w14:val="standardContextual"/>
        </w:rPr>
        <w:t xml:space="preserve">A Lei n. 8.213/91 regulamentou a matéria previdenciária e disciplinou a aposentadoria por idade do trabalhador rural nos arts. 11, inciso VII (conceito de segurado especial), 39 (benefícios devidos ao segurado especial), 48, §§ 1º e 2º (requisitos da aposentadoria por idade rural), 106 (documentos de comprovação), e 143 (regra de transição probatória). A lei estabeleceu o requisito de 180 contribuições mensais para a aposentadoria por idade, mas dispensou o segurado especial de contribuições regulares, exigindo-lhe, em substituição, a comprovação </w:t>
      </w:r>
      <w:r>
        <w:rPr>
          <w:rFonts w:cs="EB Garamond"/>
          <w:kern w:val="16"/>
          <w14:ligatures w14:val="standardContextual"/>
        </w:rPr>
        <w:lastRenderedPageBreak/>
        <w:t>do exercício de atividade rural pelo período equivalente à carência (art. 39, inciso I, c/c art. 48, § 2º).</w:t>
      </w:r>
    </w:p>
    <w:p w14:paraId="034817AB" w14:textId="77777777" w:rsidR="005A5FCC" w:rsidRDefault="00A21C81">
      <w:pPr>
        <w:ind w:firstLine="238"/>
      </w:pPr>
      <w:r>
        <w:rPr>
          <w:rFonts w:cs="EB Garamond"/>
          <w:kern w:val="16"/>
          <w14:ligatures w14:val="standardContextual"/>
        </w:rPr>
        <w:t>A Lei n. 11.718/2008 introduziu importantes modificações no regime do segurado especial e criou a aposentadoria por idade híbrida, ao acrescentar o § 3º ao art. 48 da Lei n. 8.213/91. Essa alteração permitiu aos trabalhadores que exerceram atividades rurais e urbanas alternadamente a soma dos respectivos períodos para fins de carência. A mesma lei redefiniu aspectos do conceito de segurado especial, ampliando as atividades e fontes de renda complementar compatíveis com o regime de economia familiar.</w:t>
      </w:r>
    </w:p>
    <w:tbl>
      <w:tblPr>
        <w:tblW w:w="5000" w:type="pct"/>
        <w:jc w:val="center"/>
        <w:tblLayout w:type="fixed"/>
        <w:tblLook w:val="04A0" w:firstRow="1" w:lastRow="0" w:firstColumn="1" w:lastColumn="0" w:noHBand="0" w:noVBand="1"/>
      </w:tblPr>
      <w:tblGrid>
        <w:gridCol w:w="6311"/>
      </w:tblGrid>
      <w:tr w:rsidR="005A5FCC" w14:paraId="2A37B16D"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7FC0AA3F"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1D503CC2" w14:textId="77777777" w:rsidR="005A5FCC" w:rsidRDefault="00A21C81">
            <w:pPr>
              <w:spacing w:after="60" w:line="247" w:lineRule="auto"/>
            </w:pPr>
            <w:r>
              <w:rPr>
                <w:rFonts w:cs="EB Garamond"/>
                <w:kern w:val="16"/>
                <w:sz w:val="19"/>
                <w14:ligatures w14:val="standardContextual"/>
              </w:rPr>
              <w:t>O art. 143 da Lei n. 8.213/91 previu regra de transição probatória para o segurado especial, sucessivamente prorrogada até 31/12/2025 (Lei n. 14.131/2021). A cronologia detalhada das prorrogações e a relação entre o art. 143 e o art. 48, § 2º, são examinadas na seção 9.27.</w:t>
            </w:r>
          </w:p>
        </w:tc>
      </w:tr>
    </w:tbl>
    <w:p w14:paraId="359E58FF" w14:textId="77777777" w:rsidR="005A5FCC" w:rsidRDefault="005A5FCC">
      <w:pPr>
        <w:spacing w:after="80" w:line="240" w:lineRule="auto"/>
      </w:pPr>
    </w:p>
    <w:p w14:paraId="16C90389"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38994A87" w14:textId="77777777" w:rsidR="005A5FCC" w:rsidRDefault="00A21C81">
      <w:r>
        <w:rPr>
          <w:rFonts w:cs="EB Garamond"/>
          <w:kern w:val="16"/>
          <w14:ligatures w14:val="standardContextual"/>
        </w:rPr>
        <w:t xml:space="preserve"> Decreto n. 10.410/2020 atualizou o Regulamento da Previdência Social (Decreto n. 3.048/1999) para adequá-lo à EC 103/2019 e a outras alterações legislativas, reformulando os dispositivos relativos ao segurado especial, ao regime de economia familiar e à comprovação de atividade rural. Embora a EC 103/2019 não tenha alterado os requisitos da aposentadoria por idade rural, o Decreto promoveu ajustes no procedimento administrativo de comprovação que repercutem na atuação forense dos JEFs.</w:t>
      </w:r>
    </w:p>
    <w:p w14:paraId="6BCCF9E0"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9.3 Segurado especial: definição e requisitos legais</w:t>
      </w:r>
    </w:p>
    <w:p w14:paraId="319B089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23A5CA19" w14:textId="77777777" w:rsidR="005A5FCC" w:rsidRDefault="00A21C81">
      <w:r>
        <w:rPr>
          <w:rFonts w:cs="EB Garamond"/>
          <w:kern w:val="16"/>
          <w14:ligatures w14:val="standardContextual"/>
        </w:rPr>
        <w:t xml:space="preserve"> conceito de segurado especial (art. 11, VII, da Lei n. 8.213/91) e seus requisitos gerais foram examinados no Capítulo 2 (seção 2.1.5), ao qual se remete o leitor para a definição integral. Para fins da aposentadoria rural, destacam-se os requisitos que geram maior controvérsia nos JEFs: (a) o regime de economia familiar; (b) a limitação da área a quatro módulos fiscais (para atividade </w:t>
      </w:r>
      <w:r>
        <w:rPr>
          <w:rFonts w:cs="EB Garamond"/>
          <w:kern w:val="16"/>
          <w14:ligatures w14:val="standardContextual"/>
        </w:rPr>
        <w:lastRenderedPageBreak/>
        <w:t>agropecuária); e (c) a ausência de empregados permanentes. Os requisitos de residência e proximidade, embora raramente controvertidos, merecem registro pela flexibilidade com que a jurisprudência os interpreta.</w:t>
      </w:r>
    </w:p>
    <w:p w14:paraId="2A46E5DE" w14:textId="77777777" w:rsidR="005A5FCC" w:rsidRDefault="00A21C81">
      <w:pPr>
        <w:spacing w:before="260" w:after="80" w:line="240" w:lineRule="auto"/>
        <w:jc w:val="left"/>
      </w:pPr>
      <w:r>
        <w:rPr>
          <w:rFonts w:cs="EB Garamond"/>
          <w:b/>
          <w:color w:val="3A3128"/>
          <w:kern w:val="16"/>
          <w:sz w:val="25"/>
          <w14:ligatures w14:val="standardContextual"/>
        </w:rPr>
        <w:t>9.3.1 Residência e proximidade</w:t>
      </w:r>
    </w:p>
    <w:p w14:paraId="7CED45BE"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359990E5" w14:textId="77777777" w:rsidR="005A5FCC" w:rsidRDefault="00A21C81">
      <w:r>
        <w:rPr>
          <w:rFonts w:cs="EB Garamond"/>
          <w:kern w:val="16"/>
          <w14:ligatures w14:val="standardContextual"/>
        </w:rPr>
        <w:t xml:space="preserve"> requisito da residência admite interpretação flexível. A lei exige residência "no imóvel rural ou em aglomerado urbano ou rural próximo a ele", o que abrange tanto a residência na própria propriedade rural quanto a moradia em sede de município vizinho, desde que haja vínculo efetivo com a atividade rural. A jurisprudência da TNU consolidou o entendimento de que a residência na zona urbana de pequeno município, por si só, não descaracteriza a condição de segurado especial, quando comprovado o efetivo exercício de atividade rural.</w:t>
      </w:r>
    </w:p>
    <w:p w14:paraId="5F58793B" w14:textId="77777777" w:rsidR="005A5FCC" w:rsidRDefault="00A21C81">
      <w:pPr>
        <w:ind w:firstLine="238"/>
      </w:pPr>
      <w:r>
        <w:rPr>
          <w:rFonts w:cs="EB Garamond"/>
          <w:kern w:val="16"/>
          <w14:ligatures w14:val="standardContextual"/>
        </w:rPr>
        <w:t>O fundamento desse entendimento é eminentemente prático: em muitos municípios brasileiros de pequeno porte, a zona urbana resume-se a algumas ruas centrais, e o trabalhador rural reside na sede do município por necessidade de acesso a serviços básicos (escola dos filhos, posto de saúde, comércio), deslocando-se diariamente para a lavoura. Exigir a residência na propriedade rural como condição absoluta para o enquadramento como segurado especial significaria desconsiderar essa realidade e impor ao trabalhador rural escolha entre a proteção previdenciária e o acesso a serviços essenciais. A análise do requisito de proximidade deve considerar as condições de transporte, a distância entre o aglomerado urbano e a propriedade rural, e a efetividade do deslocamento diário para o trabalho no campo.</w:t>
      </w:r>
    </w:p>
    <w:p w14:paraId="602FB6AE" w14:textId="77777777" w:rsidR="005A5FCC" w:rsidRDefault="00A21C81">
      <w:pPr>
        <w:spacing w:before="260" w:after="80" w:line="240" w:lineRule="auto"/>
        <w:jc w:val="left"/>
      </w:pPr>
      <w:r>
        <w:rPr>
          <w:rFonts w:cs="EB Garamond"/>
          <w:b/>
          <w:color w:val="3A3128"/>
          <w:kern w:val="16"/>
          <w:sz w:val="25"/>
          <w14:ligatures w14:val="standardContextual"/>
        </w:rPr>
        <w:t>9.3.2 Limite de área: quatro módulos fiscais</w:t>
      </w:r>
    </w:p>
    <w:p w14:paraId="218020C8"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4B765DE4" w14:textId="77777777" w:rsidR="005A5FCC" w:rsidRDefault="00A21C81">
      <w:r>
        <w:rPr>
          <w:rFonts w:cs="EB Garamond"/>
          <w:kern w:val="16"/>
          <w14:ligatures w14:val="standardContextual"/>
        </w:rPr>
        <w:t xml:space="preserve"> limite de quatro módulos fiscais aplica-se exclusivamente à atividade agropecuária — pescadores artesanais e extrativistas vegetais não se submetem a essa restrição de área. O módulo fiscal é unidade de medida instituída pela Lei n. 6.746/1979, cujos valores por município são publicados em tabelas periodicamente atualizadas pelo INCRA. O módulo fiscal varia conforme o município, levando em conta o tipo de exploração predominante, a renda obtida, o conceito de propriedade familiar e outras variáveis socioeconômicas. Em municípios de agricultura de subsistência no Nordeste, por exemplo, o módulo fiscal pode </w:t>
      </w:r>
      <w:r>
        <w:rPr>
          <w:rFonts w:cs="EB Garamond"/>
          <w:kern w:val="16"/>
          <w14:ligatures w14:val="standardContextual"/>
        </w:rPr>
        <w:lastRenderedPageBreak/>
        <w:t>ser de 5 a 10 hectares, enquanto em regiões de agricultura extensiva no Centro-Oeste pode alcançar 80 a 110 hectares.</w:t>
      </w:r>
    </w:p>
    <w:p w14:paraId="16FCC760" w14:textId="77777777" w:rsidR="005A5FCC" w:rsidRDefault="00A21C81">
      <w:pPr>
        <w:ind w:firstLine="238"/>
      </w:pPr>
      <w:r>
        <w:rPr>
          <w:rFonts w:cs="EB Garamond"/>
          <w:kern w:val="16"/>
          <w14:ligatures w14:val="standardContextual"/>
        </w:rPr>
        <w:t>A variação do módulo fiscal entre municípios pode produzir resultados paradoxais. Um agricultor familiar que explora 80 hectares no interior do Mato Grosso pode estar dentro do limite de quatro módulos fiscais (se o módulo no município for de 80 hectares), enquanto um agricultor que explora 25 hectares em município mineiro pode excedê-lo (se o módulo local for de 5 hectares). A doutrina critica a rigidez do critério, argumentando que a capacidade econômica do produtor depende não apenas da área, mas da fertilidade do solo, do tipo de cultura, do acesso à água e da infraestrutura disponível — circunstâncias que o critério puramente quantitativo não captura. Essa crítica foi parcialmente acolhida pelo STJ no Tema 1.115, a que voltaremos na seção 9.14.</w:t>
      </w:r>
    </w:p>
    <w:tbl>
      <w:tblPr>
        <w:tblW w:w="5000" w:type="pct"/>
        <w:jc w:val="center"/>
        <w:tblLayout w:type="fixed"/>
        <w:tblLook w:val="04A0" w:firstRow="1" w:lastRow="0" w:firstColumn="1" w:lastColumn="0" w:noHBand="0" w:noVBand="1"/>
      </w:tblPr>
      <w:tblGrid>
        <w:gridCol w:w="6311"/>
      </w:tblGrid>
      <w:tr w:rsidR="005A5FCC" w14:paraId="3CB186FC"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7A7975A7"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20A38852" w14:textId="77777777" w:rsidR="005A5FCC" w:rsidRDefault="00A21C81">
            <w:pPr>
              <w:spacing w:after="60" w:line="247" w:lineRule="auto"/>
            </w:pPr>
            <w:r>
              <w:rPr>
                <w:rFonts w:cs="EB Garamond"/>
                <w:kern w:val="16"/>
                <w:sz w:val="19"/>
                <w14:ligatures w14:val="standardContextual"/>
              </w:rPr>
              <w:t>Na análise de processos nos JEFs, a verificação do limite de quatro módulos fiscais exige duas etapas: (a) consultar a Tabela de Módulos Fiscais do INCRA para identificar o valor do módulo fiscal no município onde se situa o imóvel; e (b) confrontar a área total do imóvel com o resultado de quatro módulos fiscais naquele município. A consulta pode ser feita no portal do INCRA (www.incra.gov.br) ou em tabelas consolidadas disponíveis no sítio eletrônico da Embrapa. É preciso atenção ao fato de que o limite se refere à área total explorada, podendo abranger mais de um imóvel, se a exploração for conjunta pelo grupo familiar.</w:t>
            </w:r>
          </w:p>
        </w:tc>
      </w:tr>
    </w:tbl>
    <w:p w14:paraId="0194392F" w14:textId="77777777" w:rsidR="005A5FCC" w:rsidRDefault="005A5FCC">
      <w:pPr>
        <w:spacing w:after="80" w:line="240" w:lineRule="auto"/>
      </w:pPr>
    </w:p>
    <w:p w14:paraId="2E62661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0FF2512D" w14:textId="77777777" w:rsidR="005A5FCC" w:rsidRDefault="00A21C81">
      <w:r>
        <w:rPr>
          <w:rFonts w:cs="EB Garamond"/>
          <w:kern w:val="16"/>
          <w14:ligatures w14:val="standardContextual"/>
        </w:rPr>
        <w:t xml:space="preserve"> conceito de segurado especial alcança também os membros do grupo familiar — cônjuge, companheiro e filhos maiores de 16 anos — que comprovadamente trabalhem na atividade rural (art. 11, § 1º, da Lei n. 8.213/91). Cada um deles é individualmente segurado especial, com direito próprio a benefícios previdenciários, conforme examinado no Capítulo 2.</w:t>
      </w:r>
    </w:p>
    <w:p w14:paraId="5E20F6C3"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9.4 Regime de economia familiar</w:t>
      </w:r>
    </w:p>
    <w:p w14:paraId="31A77D01"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01736F93" w14:textId="77777777" w:rsidR="005A5FCC" w:rsidRDefault="00A21C81">
      <w:r>
        <w:rPr>
          <w:rFonts w:cs="EB Garamond"/>
          <w:kern w:val="16"/>
          <w14:ligatures w14:val="standardContextual"/>
        </w:rPr>
        <w:t xml:space="preserve"> regime de economia familiar é o elemento definidor da condição de segurado especial, distinguindo-o dos demais trabalhadores rurais (empregado rural, contribuinte individual que explora atividade agropecuária com empregados permanentes, avulso rural). O regime se define por três elementos que a lei prevê cumulativamente: a indispensabilidade do trabalho de cada membro, a dependência mútua entre eles e a colaboração sem subordinação.</w:t>
      </w:r>
    </w:p>
    <w:p w14:paraId="448C1692" w14:textId="77777777" w:rsidR="005A5FCC" w:rsidRDefault="00A21C81">
      <w:pPr>
        <w:ind w:firstLine="238"/>
      </w:pPr>
      <w:r>
        <w:rPr>
          <w:rFonts w:cs="EB Garamond"/>
          <w:kern w:val="16"/>
          <w14:ligatures w14:val="standardContextual"/>
        </w:rPr>
        <w:t>A indispensabilidade significa que a atividade de cada membro da família é necessária para a subsistência do grupo. Não se trata de mera participação casual ou eventual, mas de trabalho efetivo, que contribui de forma significativa para o sustento da família. A mútua dependência implica que nenhum membro do grupo familiar seria capaz, isoladamente, de manter a exploração econômica em nível suficiente para a subsistência. A colaboração traduz a ideia de trabalho conjunto, em que as tarefas são distribuídas entre os membros conforme suas capacidades, sem relação de subordinação típica do contrato de trabalho.</w:t>
      </w:r>
    </w:p>
    <w:p w14:paraId="4D4AB369" w14:textId="77777777" w:rsidR="005A5FCC" w:rsidRDefault="00A21C81">
      <w:pPr>
        <w:ind w:firstLine="238"/>
      </w:pPr>
      <w:r>
        <w:rPr>
          <w:rFonts w:cs="EB Garamond"/>
          <w:kern w:val="16"/>
          <w14:ligatures w14:val="standardContextual"/>
        </w:rPr>
        <w:t>A jurisprudência construiu, ao longo dos anos, diversos parâmetros para aferir a presença do regime de economia familiar. O STJ, no julgamento do Tema 532 (REsp 1.304.479/SP, rel. Min. Herman Benjamin, j. 10/10/2012, DJe 19/12/2012), fixou a tese de que "o exercício de atividade urbana intercalada não impede a concessão de benefício previdenciário de trabalhador rural, desde que a atividade rural seja preponderante, condição que deve ser analisada no caso concreto". Esse entendimento reconhece que a economia familiar rural frequentemente convive com fontes complementares de renda, sem que isso desnature o regime.</w:t>
      </w:r>
    </w:p>
    <w:p w14:paraId="45D19651" w14:textId="5DD6A9C4" w:rsidR="005A5FCC" w:rsidRDefault="00A21C81">
      <w:pPr>
        <w:ind w:firstLine="238"/>
      </w:pPr>
      <w:r>
        <w:rPr>
          <w:rFonts w:cs="EB Garamond"/>
          <w:kern w:val="16"/>
          <w14:ligatures w14:val="standardContextual"/>
        </w:rPr>
        <w:t xml:space="preserve">A Lei n. 11.718/2008 enumerou, no art. 11, § 9º, da Lei n. 8.213/91, as atividades que não descaracterizam a condição de segurado especial (turismo rural, artesanato, renda complementar de até um </w:t>
      </w:r>
      <w:r w:rsidR="00C94FF0">
        <w:rPr>
          <w:rFonts w:cs="EB Garamond"/>
          <w:kern w:val="16"/>
          <w14:ligatures w14:val="standardContextual"/>
        </w:rPr>
        <w:t>salário-mínimo</w:t>
      </w:r>
      <w:r>
        <w:rPr>
          <w:rFonts w:cs="EB Garamond"/>
          <w:kern w:val="16"/>
          <w14:ligatures w14:val="standardContextual"/>
        </w:rPr>
        <w:t>, entre outras). O rol completo foi examinado no Capítulo 2 (seção 2.1.5). Para a aposentadoria rural, o aspecto decisivo é o impacto dessas atividades na avaliação do regime de economia familiar pelo magistrado.</w:t>
      </w:r>
    </w:p>
    <w:tbl>
      <w:tblPr>
        <w:tblW w:w="5000" w:type="pct"/>
        <w:jc w:val="center"/>
        <w:tblLayout w:type="fixed"/>
        <w:tblLook w:val="04A0" w:firstRow="1" w:lastRow="0" w:firstColumn="1" w:lastColumn="0" w:noHBand="0" w:noVBand="1"/>
      </w:tblPr>
      <w:tblGrid>
        <w:gridCol w:w="6311"/>
      </w:tblGrid>
      <w:tr w:rsidR="005A5FCC" w14:paraId="04164A7B"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14806CBB" w14:textId="77777777" w:rsidR="005A5FCC" w:rsidRDefault="00A21C81">
            <w:pPr>
              <w:spacing w:after="60" w:line="240" w:lineRule="auto"/>
              <w:jc w:val="left"/>
            </w:pPr>
            <w:r>
              <w:rPr>
                <w:rFonts w:ascii="Noto Sans" w:hAnsi="Noto Sans" w:cs="Noto Sans"/>
                <w:b/>
                <w:caps/>
                <w:color w:val="B78B37"/>
                <w:kern w:val="16"/>
                <w:sz w:val="16"/>
                <w14:ligatures w14:val="standardContextual"/>
              </w:rPr>
              <w:lastRenderedPageBreak/>
              <w:t>ATENÇÃO</w:t>
            </w:r>
          </w:p>
          <w:p w14:paraId="1DD80A77" w14:textId="7F1EA6C8" w:rsidR="005A5FCC" w:rsidRDefault="00A21C81">
            <w:pPr>
              <w:spacing w:after="60" w:line="247" w:lineRule="auto"/>
            </w:pPr>
            <w:r>
              <w:rPr>
                <w:rFonts w:cs="EB Garamond"/>
                <w:kern w:val="16"/>
                <w:sz w:val="19"/>
                <w14:ligatures w14:val="standardContextual"/>
              </w:rPr>
              <w:t xml:space="preserve">A renda complementar de até um </w:t>
            </w:r>
            <w:r w:rsidR="00C94FF0">
              <w:rPr>
                <w:rFonts w:cs="EB Garamond"/>
                <w:kern w:val="16"/>
                <w:sz w:val="19"/>
                <w14:ligatures w14:val="standardContextual"/>
              </w:rPr>
              <w:t>salário-mínimo</w:t>
            </w:r>
            <w:r>
              <w:rPr>
                <w:rFonts w:cs="EB Garamond"/>
                <w:kern w:val="16"/>
                <w:sz w:val="19"/>
                <w14:ligatures w14:val="standardContextual"/>
              </w:rPr>
              <w:t xml:space="preserve"> mensal (art. 11, § 9º, VI) deve ser analisada com cuidado: a existência de renda urbana superior pode descaracterizar o regime de economia familiar, embora a jurisprudência dos TRFs venha flexibilizando o critério, examinando a preponderância da atividade rural. A renda do cônjuge em atividade urbana merece análise específica, tratada na seção 9.5.</w:t>
            </w:r>
          </w:p>
        </w:tc>
      </w:tr>
    </w:tbl>
    <w:p w14:paraId="6633FC97" w14:textId="77777777" w:rsidR="005A5FCC" w:rsidRDefault="005A5FCC">
      <w:pPr>
        <w:spacing w:after="80" w:line="240" w:lineRule="auto"/>
      </w:pPr>
    </w:p>
    <w:p w14:paraId="736E17A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618D4F1B" w14:textId="77777777" w:rsidR="005A5FCC" w:rsidRDefault="00A21C81">
      <w:r>
        <w:rPr>
          <w:rFonts w:cs="EB Garamond"/>
          <w:kern w:val="16"/>
          <w14:ligatures w14:val="standardContextual"/>
        </w:rPr>
        <w:t xml:space="preserve"> contratação de empregados permanentes é vedação expressa para a configuração do segurado especial. Entretanto, o auxílio eventual de terceiros é admitido pela própria lei (art. 11, VII, caput). A legislação não define "auxílio eventual", mas a doutrina e a jurisprudência distinguem a contratação eventual, por prazo certo e em período de maior demanda (colheita, plantio), da contratação permanente de mão de obra assalariada. A contratação de diaristas por períodos curtos em épocas de safra, por exemplo, não descaracteriza o regime de economia familiar, desde que o trabalho do grupo familiar continue sendo a base da atividade produtiva. O art. 11, § 7º, da Lei n. 8.213/91 (incluído pela Lei n. 11.718/2008) autoriza expressamente a contratação de empregados por prazo determinado em período de safra, em número limitado e por tempo certo, à razão de, no máximo, 120 pessoas/dia no ano civil. Convém notar que esse teto se mede em </w:t>
      </w:r>
      <w:r>
        <w:rPr>
          <w:rFonts w:cs="EB Garamond"/>
          <w:i/>
          <w:kern w:val="16"/>
          <w14:ligatures w14:val="standardContextual"/>
        </w:rPr>
        <w:t>dias-homem acumulados ao longo do ano</w:t>
      </w:r>
      <w:r>
        <w:rPr>
          <w:rFonts w:cs="EB Garamond"/>
          <w:kern w:val="16"/>
          <w14:ligatures w14:val="standardContextual"/>
        </w:rPr>
        <w:t xml:space="preserve"> — isto é, o somatório dos dias trabalhados por cada empregado contratado —, e não no número de trabalhadores simultaneamente ocupados em um dado momento. Assim, o segurado especial pode, por exemplo, contratar quatro pessoas durante trinta dias de colheita (4 × 30 = 120 dias-homem) sem ultrapassar o limite legal, ainda que jamais tenha mais de quatro empregados ao mesmo tempo.</w:t>
      </w:r>
    </w:p>
    <w:p w14:paraId="0520B3ED"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9.5 Atividades que descaracterizam (ou não) a condição de segurado especial</w:t>
      </w:r>
    </w:p>
    <w:p w14:paraId="52A33AE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5B178569" w14:textId="77777777" w:rsidR="005A5FCC" w:rsidRDefault="00A21C81">
      <w:r>
        <w:rPr>
          <w:rFonts w:cs="EB Garamond"/>
          <w:kern w:val="16"/>
          <w14:ligatures w14:val="standardContextual"/>
        </w:rPr>
        <w:t xml:space="preserve"> manutenção da condição de segurado especial exige que a atividade rural constitua o meio de subsistência predominante do trabalhador e de seu </w:t>
      </w:r>
      <w:r>
        <w:rPr>
          <w:rFonts w:cs="EB Garamond"/>
          <w:kern w:val="16"/>
          <w14:ligatures w14:val="standardContextual"/>
        </w:rPr>
        <w:lastRenderedPageBreak/>
        <w:t>grupo familiar. Diversas circunstâncias, porém, suscitam controvérsia sobre a permanência ou a perda dessa condição.</w:t>
      </w:r>
    </w:p>
    <w:p w14:paraId="3065F0A7" w14:textId="77777777" w:rsidR="005A5FCC" w:rsidRDefault="00A21C81">
      <w:pPr>
        <w:ind w:firstLine="238"/>
      </w:pPr>
      <w:r>
        <w:rPr>
          <w:rFonts w:cs="EB Garamond"/>
          <w:kern w:val="16"/>
          <w14:ligatures w14:val="standardContextual"/>
        </w:rPr>
        <w:t>O exercício de atividade urbana por um dos membros do grupo familiar é uma das questões mais recorrentes nos JEFs. A jurisprudência construiu entendimento nuançado: a atividade urbana do cônjuge não descaracteriza, por si só, a condição de segurado especial do outro cônjuge que permanece na atividade rural, desde que o trabalho no campo continue sendo exercido em regime de economia familiar. Essa orientação encontra respaldo no art. 11, § 9º, da Lei n. 8.213/91 e na jurisprudência da TNU.</w:t>
      </w:r>
    </w:p>
    <w:p w14:paraId="51CDF289" w14:textId="77777777" w:rsidR="005A5FCC" w:rsidRDefault="00A21C81">
      <w:pPr>
        <w:ind w:firstLine="238"/>
      </w:pPr>
      <w:r>
        <w:rPr>
          <w:rFonts w:cs="EB Garamond"/>
          <w:kern w:val="16"/>
          <w14:ligatures w14:val="standardContextual"/>
        </w:rPr>
        <w:t>A Súmula 41 da TNU dispõe que "a circunstância de um dos integrantes do núcleo familiar desempenhar atividade urbana não implica, por si só, a descaracterização do trabalhador rural como segurado especial, condição que deve ser analisada no caso concreto". A ratio decidendi repousa na autonomia da filiação previdenciária: cada membro da família é individualmente segurado especial em razão do trabalho que efetivamente exerce, e não do trabalho do cônjuge ou dos filhos.</w:t>
      </w:r>
    </w:p>
    <w:p w14:paraId="64DE50A0" w14:textId="77777777" w:rsidR="005A5FCC" w:rsidRDefault="00A21C81">
      <w:pPr>
        <w:ind w:firstLine="238"/>
      </w:pPr>
      <w:r>
        <w:rPr>
          <w:rFonts w:cs="EB Garamond"/>
          <w:kern w:val="16"/>
          <w14:ligatures w14:val="standardContextual"/>
        </w:rPr>
        <w:t>Há, contudo, limitações. Quando a renda urbana do cônjuge é suficiente, por si mesma, para garantir o sustento da família e a atividade rural passa a ter caráter meramente complementar ou de lazer, a condição de segurado especial pode ser descaracterizada. O exame exige análise do conjunto probatório: valor da renda urbana, extensão da propriedade, volume da produção rural, número de membros do grupo familiar e outras circunstâncias reveladoras da predominância ou subsidiariedade da atividade rural.</w:t>
      </w:r>
    </w:p>
    <w:p w14:paraId="3FC808AE" w14:textId="77777777" w:rsidR="005A5FCC" w:rsidRDefault="00A21C81">
      <w:pPr>
        <w:ind w:firstLine="238"/>
      </w:pPr>
      <w:r>
        <w:rPr>
          <w:rFonts w:cs="EB Garamond"/>
          <w:kern w:val="16"/>
          <w14:ligatures w14:val="standardContextual"/>
        </w:rPr>
        <w:t>O recebimento de benefício previdenciário por incapacidade não descaracteriza a condição de segurado especial, nos termos do art. 11, § 9º, da Lei n. 8.213/91. O segurado que se afasta temporariamente da atividade rural em razão de incapacidade mantém sua qualificação, podendo retomar o trabalho no campo quando recuperado, sem necessidade de reingresso como se fora nova filiação. A pensão por morte recebida por membro do grupo familiar também não obsta a manutenção da condição de segurado especial dos demais membros que continuam na atividade rural.</w:t>
      </w:r>
    </w:p>
    <w:p w14:paraId="7801CD08" w14:textId="77777777" w:rsidR="005A5FCC" w:rsidRDefault="00A21C81">
      <w:pPr>
        <w:ind w:firstLine="238"/>
      </w:pPr>
      <w:r>
        <w:rPr>
          <w:rFonts w:cs="EB Garamond"/>
          <w:kern w:val="16"/>
          <w14:ligatures w14:val="standardContextual"/>
        </w:rPr>
        <w:lastRenderedPageBreak/>
        <w:t>O registro de vínculos urbanos de curta duração no CNIS é circunstância frequente nos processos dos JEFs. A jurisprudência consolidou o entendimento de que vínculos urbanos curtos e intercalados com a atividade rural não descaracterizam a condição de segurado especial, desde que a atividade rural permaneça como ocupação principal. A análise deve ser contextualizada: no meio rural brasileiro, é comum que o pequeno produtor ou o boia-fria busque complementar a renda com atividades urbanas temporárias (construção civil, comércio informal) nos períodos de entressafra, sem abandonar a vocação agrícola.</w:t>
      </w:r>
    </w:p>
    <w:tbl>
      <w:tblPr>
        <w:tblW w:w="5000" w:type="pct"/>
        <w:jc w:val="center"/>
        <w:tblLayout w:type="fixed"/>
        <w:tblLook w:val="04A0" w:firstRow="1" w:lastRow="0" w:firstColumn="1" w:lastColumn="0" w:noHBand="0" w:noVBand="1"/>
      </w:tblPr>
      <w:tblGrid>
        <w:gridCol w:w="6311"/>
      </w:tblGrid>
      <w:tr w:rsidR="005A5FCC" w14:paraId="717CE71A"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7823933B" w14:textId="77777777" w:rsidR="005A5FCC" w:rsidRDefault="00A21C81">
            <w:pPr>
              <w:spacing w:after="60" w:line="240" w:lineRule="auto"/>
              <w:jc w:val="left"/>
            </w:pPr>
            <w:r>
              <w:rPr>
                <w:rFonts w:ascii="Noto Sans" w:hAnsi="Noto Sans" w:cs="Noto Sans"/>
                <w:b/>
                <w:caps/>
                <w:color w:val="4D6F8A"/>
                <w:kern w:val="16"/>
                <w:sz w:val="16"/>
                <w14:ligatures w14:val="standardContextual"/>
              </w:rPr>
              <w:t>JURISPRUDÊNCIA EM DESTAQUE</w:t>
            </w:r>
          </w:p>
          <w:p w14:paraId="07D42ADC" w14:textId="77777777" w:rsidR="005A5FCC" w:rsidRDefault="00A21C81">
            <w:pPr>
              <w:spacing w:after="60" w:line="247" w:lineRule="auto"/>
            </w:pPr>
            <w:r>
              <w:rPr>
                <w:rFonts w:cs="EB Garamond"/>
                <w:b/>
                <w:kern w:val="16"/>
                <w:sz w:val="19"/>
                <w14:ligatures w14:val="standardContextual"/>
              </w:rPr>
              <w:t>STJ, Tema 532 (REsp 1.304.479/SP, rel. Min. Herman Benjamin, j. 10/10/2012, DJe 19/12/2012)</w:t>
            </w:r>
            <w:r>
              <w:rPr>
                <w:rFonts w:cs="EB Garamond"/>
                <w:kern w:val="16"/>
                <w:sz w:val="19"/>
                <w14:ligatures w14:val="standardContextual"/>
              </w:rPr>
              <w:t>: "O exercício de atividade urbana intercalada não impede a concessão de benefício previdenciário de trabalhador rural, condição que deve ser analisada no caso concreto." A tese permite a concessão de aposentadoria rural mesmo quando há registros de atividade urbana intermitentes, desde que a atividade rural seja a atividade preponderante do segurado. Nos JEFs, a aplicação desse entendimento exige exame cuidadoso do CNIS para identificar a duração, a frequência e a natureza dos vínculos urbanos, confrontando-os com o conjunto da prova documental e testemunhal sobre a atividade rural.</w:t>
            </w:r>
          </w:p>
        </w:tc>
      </w:tr>
    </w:tbl>
    <w:p w14:paraId="5FBABE97" w14:textId="77777777" w:rsidR="005A5FCC" w:rsidRDefault="005A5FCC">
      <w:pPr>
        <w:spacing w:after="80" w:line="240" w:lineRule="auto"/>
      </w:pPr>
    </w:p>
    <w:p w14:paraId="1A2E814C"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0522FD4E" w14:textId="77777777" w:rsidR="005A5FCC" w:rsidRDefault="00A21C81">
      <w:r>
        <w:rPr>
          <w:rFonts w:cs="EB Garamond"/>
          <w:kern w:val="16"/>
          <w14:ligatures w14:val="standardContextual"/>
        </w:rPr>
        <w:t xml:space="preserve"> titularidade de empresa ou a participação em sociedade empresária é incompatível com a condição de segurado especial, salvo nas hipóteses expressamente previstas no art. 11, § 9º, da Lei n. 8.213/91. A titularidade de MEI (Microempreendedor Individual) também pode afetar a condição, dependendo da natureza da atividade e da renda auferida. A mera inscrição como MEI para comercialização direta da produção rural, contudo, vem sendo interpretada com flexibilidade pela jurisprudência, especialmente quando destinada à formalização de atividade já exercida no âmbito da economia familiar.</w:t>
      </w:r>
    </w:p>
    <w:p w14:paraId="2A5C51C2"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9.6 Aposentadoria por idade rural: requisitos legais</w:t>
      </w:r>
    </w:p>
    <w:p w14:paraId="32B950B3"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0A59B8F9" w14:textId="77777777" w:rsidR="005A5FCC" w:rsidRDefault="00A21C81">
      <w:r>
        <w:rPr>
          <w:rFonts w:cs="EB Garamond"/>
          <w:kern w:val="16"/>
          <w14:ligatures w14:val="standardContextual"/>
        </w:rPr>
        <w:t xml:space="preserve"> art. 48, caput, da Lei n. 8.213/91 estabelece que a aposentadoria por idade será devida ao segurado que, cumprida a carência exigida, completar 65 anos de idade (homem) ou 60 anos (mulher). O § 1º do mesmo artigo reduz esses limites em cinco anos para o trabalhador rural, resultando nas idades de 60 anos (homem) e 55 anos (mulher). A redução aplica-se ao segurado especial (art. 11, VII), ao empregado rural (art. 11, I, "a"), ao trabalhador avulso rural e ao contribuinte individual que presta serviço de natureza rural, nos termos do art. 48, § 1º.</w:t>
      </w:r>
    </w:p>
    <w:p w14:paraId="2F19E90C" w14:textId="77777777" w:rsidR="005A5FCC" w:rsidRDefault="00A21C81">
      <w:pPr>
        <w:ind w:firstLine="238"/>
      </w:pPr>
      <w:r>
        <w:rPr>
          <w:rFonts w:cs="EB Garamond"/>
          <w:kern w:val="16"/>
          <w14:ligatures w14:val="standardContextual"/>
        </w:rPr>
        <w:t>O § 2º do art. 48 complementa a disciplina ao prever que, para efeito da aposentadoria por idade do trabalhador rural, não se exige o recolhimento de contribuições na forma do art. 25 da Lei n. 8.212/91 (contribuição sobre a comercialização da produção), desde que comprovada a atividade rural no período imediatamente anterior ao requerimento do benefício, em número de meses idêntico à carência do referido benefício. Conjugam-se, portanto, dois requisitos: (a) a idade mínima (60 anos para homem, 55 para mulher); e (b) a comprovação de 180 meses (15 anos) de atividade rural.</w:t>
      </w:r>
    </w:p>
    <w:p w14:paraId="100E3ADE" w14:textId="77777777" w:rsidR="005A5FCC" w:rsidRDefault="00A21C81">
      <w:pPr>
        <w:ind w:firstLine="238"/>
      </w:pPr>
      <w:r>
        <w:rPr>
          <w:rFonts w:cs="EB Garamond"/>
          <w:kern w:val="16"/>
          <w14:ligatures w14:val="standardContextual"/>
        </w:rPr>
        <w:t>Convém distinguir a aposentadoria por idade rural do segurado especial (art. 48, §§ 1º e 2º) da aposentadoria por idade do empregado rural. Ambos fazem jus à redução etária de cinco anos, mas o regime probatório é distinto. O empregado rural com CTPS assinada comprova a atividade pelo registro formal de vínculo empregatício, dispensando início de prova material nos moldes da Súmula 149/STJ. O segurado especial, por atuar em regime de economia familiar e sem registro formal, submete-se ao regime probatório próprio examinado nas seções 9.7 a 9.9. O empregado rural informal (sem registro em CTPS), por sua vez, submete-se a regime probatório análogo ao do segurado especial, com a exigência de início de prova material corroborado por prova testemunhal.</w:t>
      </w:r>
    </w:p>
    <w:p w14:paraId="0CF51165" w14:textId="77777777" w:rsidR="005A5FCC" w:rsidRDefault="00A21C81">
      <w:pPr>
        <w:ind w:firstLine="238"/>
      </w:pPr>
      <w:r>
        <w:rPr>
          <w:rFonts w:cs="EB Garamond"/>
          <w:kern w:val="16"/>
          <w14:ligatures w14:val="standardContextual"/>
        </w:rPr>
        <w:t xml:space="preserve">A carência da aposentadoria por idade — 180 contribuições mensais — é fixada pelo art. 25, inciso II, da </w:t>
      </w:r>
      <w:r>
        <w:rPr>
          <w:rFonts w:cs="EB Garamond"/>
          <w:b/>
          <w:kern w:val="16"/>
          <w14:ligatures w14:val="standardContextual"/>
        </w:rPr>
        <w:t>Lei de Benefícios</w:t>
      </w:r>
      <w:r>
        <w:rPr>
          <w:rFonts w:cs="EB Garamond"/>
          <w:kern w:val="16"/>
          <w14:ligatures w14:val="standardContextual"/>
        </w:rPr>
        <w:t xml:space="preserve"> (Lei n. 8.213/91). Não se con</w:t>
      </w:r>
      <w:r>
        <w:rPr>
          <w:rFonts w:cs="EB Garamond"/>
          <w:kern w:val="16"/>
          <w14:ligatures w14:val="standardContextual"/>
        </w:rPr>
        <w:lastRenderedPageBreak/>
        <w:t xml:space="preserve">funde esse dispositivo com o art. 25 da </w:t>
      </w:r>
      <w:r>
        <w:rPr>
          <w:rFonts w:cs="EB Garamond"/>
          <w:b/>
          <w:kern w:val="16"/>
          <w14:ligatures w14:val="standardContextual"/>
        </w:rPr>
        <w:t>Lei de Custeio</w:t>
      </w:r>
      <w:r>
        <w:rPr>
          <w:rFonts w:cs="EB Garamond"/>
          <w:kern w:val="16"/>
          <w14:ligatures w14:val="standardContextual"/>
        </w:rPr>
        <w:t xml:space="preserve"> (Lei n. 8.212/91), de numeração coincidente mas objeto inteiramente diverso, referido linhas acima, que disciplina a contribuição do segurado especial sobre a comercialização da produção. Uma é norma de carência (Benefícios); a outra, regra de custeio (alíquota). Para o segurado especial, essa carência é cumprida não mediante recolhimento pecuniário, mas pela comprovação do exercício de atividade rural. Trata-se de contribuição presumida: a alíquota sobre a comercialização da produção substitui a contribuição mensal dos demais segurados, e a comprovação do exercício efetivo da atividade rural equivale, para fins de carência, ao recolhimento.</w:t>
      </w:r>
    </w:p>
    <w:p w14:paraId="30A912C1" w14:textId="77777777" w:rsidR="005A5FCC" w:rsidRDefault="00A21C81">
      <w:pPr>
        <w:ind w:firstLine="238"/>
      </w:pPr>
      <w:r>
        <w:rPr>
          <w:rFonts w:cs="EB Garamond"/>
          <w:kern w:val="16"/>
          <w14:ligatures w14:val="standardContextual"/>
        </w:rPr>
        <w:t>A expressão "período imediatamente anterior ao requerimento", constante do art. 48, § 2º, gerou intensa controvérsia jurisprudencial. A questão é saber se o segurado especial deve estar exercendo atividade rural no momento do requerimento, ou se basta a comprovação de 15 anos de atividade rural em qualquer período anterior, ainda que tenha se afastado do campo.</w:t>
      </w:r>
    </w:p>
    <w:p w14:paraId="61413F64" w14:textId="77777777" w:rsidR="005A5FCC" w:rsidRDefault="00A21C81">
      <w:pPr>
        <w:ind w:firstLine="238"/>
      </w:pPr>
      <w:r>
        <w:rPr>
          <w:rFonts w:cs="EB Garamond"/>
          <w:kern w:val="16"/>
          <w14:ligatures w14:val="standardContextual"/>
        </w:rPr>
        <w:t>O STJ enfrentou a questão no julgamento do Tema 642 (REsp 1.354.908/SP, rel. Min. Mauro Campbell Marques, j. 09/09/2015, DJe 10/02/2016), fixando a tese de que "o segurado especial tem que estar laborando no campo, quando completar a idade mínima para se aposentar, por força da regra do art. 48, § 2º, da Lei 8.213/91, ou, na hipótese de já ter implementado os requisitos legais, deve requerê-lo na condição de segurado especial". A tese admite, porém, a ressalva do direito adquirido: o segurado que completou a idade mínima enquanto exercia atividade rural faz jus ao benefício mesmo que, posteriormente, tenha migrado para atividade urbana.</w:t>
      </w:r>
    </w:p>
    <w:tbl>
      <w:tblPr>
        <w:tblW w:w="5000" w:type="pct"/>
        <w:jc w:val="center"/>
        <w:tblLayout w:type="fixed"/>
        <w:tblLook w:val="04A0" w:firstRow="1" w:lastRow="0" w:firstColumn="1" w:lastColumn="0" w:noHBand="0" w:noVBand="1"/>
      </w:tblPr>
      <w:tblGrid>
        <w:gridCol w:w="6311"/>
      </w:tblGrid>
      <w:tr w:rsidR="005A5FCC" w14:paraId="40252E8E"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1F29D1E5" w14:textId="77777777" w:rsidR="005A5FCC" w:rsidRDefault="00A21C81">
            <w:pPr>
              <w:spacing w:after="60" w:line="240" w:lineRule="auto"/>
              <w:jc w:val="left"/>
            </w:pPr>
            <w:r>
              <w:rPr>
                <w:rFonts w:ascii="Noto Sans" w:hAnsi="Noto Sans" w:cs="Noto Sans"/>
                <w:b/>
                <w:caps/>
                <w:color w:val="4D6F8A"/>
                <w:kern w:val="16"/>
                <w:sz w:val="16"/>
                <w14:ligatures w14:val="standardContextual"/>
              </w:rPr>
              <w:lastRenderedPageBreak/>
              <w:t>JURISPRUDÊNCIA EM DESTAQUE</w:t>
            </w:r>
          </w:p>
          <w:p w14:paraId="22660D9E" w14:textId="77777777" w:rsidR="005A5FCC" w:rsidRDefault="00A21C81">
            <w:pPr>
              <w:spacing w:after="60" w:line="247" w:lineRule="auto"/>
            </w:pPr>
            <w:r>
              <w:rPr>
                <w:rFonts w:cs="EB Garamond"/>
                <w:b/>
                <w:kern w:val="16"/>
                <w:sz w:val="19"/>
                <w14:ligatures w14:val="standardContextual"/>
              </w:rPr>
              <w:t>STJ, Tema 642 (REsp 1.354.908/SP, rel. Min. Mauro Campbell Marques, j. 09/09/2015, DJe 10/02/2016)</w:t>
            </w:r>
            <w:r>
              <w:rPr>
                <w:rFonts w:cs="EB Garamond"/>
                <w:kern w:val="16"/>
                <w:sz w:val="19"/>
                <w14:ligatures w14:val="standardContextual"/>
              </w:rPr>
              <w:t>: O segurado especial deve comprovar o exercício de atividade rural na data em que completar a idade mínima para a aposentadoria. A cessação da atividade rural antes do implemento etário impede a concessão, salvo direito adquirido. Esse entendimento valoriza a contemporaneidade entre a atividade rural e o preenchimento dos requisitos, impedindo que o segurado que abandonou o campo há muitos anos invoque período rural remoto para obter aposentadoria com requisitos etários reduzidos. A ressalva do direito adquirido protege aquele que já implementou ambos os requisitos (idade + 15 anos de atividade rural) e, apenas depois, migrou para atividade urbana.</w:t>
            </w:r>
          </w:p>
        </w:tc>
      </w:tr>
    </w:tbl>
    <w:p w14:paraId="6D77D45A" w14:textId="77777777" w:rsidR="005A5FCC" w:rsidRDefault="005A5FCC">
      <w:pPr>
        <w:spacing w:after="80" w:line="240" w:lineRule="auto"/>
      </w:pPr>
    </w:p>
    <w:p w14:paraId="291A6793"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75043503" w14:textId="77777777" w:rsidR="005A5FCC" w:rsidRDefault="00A21C81">
      <w:r>
        <w:rPr>
          <w:rFonts w:cs="EB Garamond"/>
          <w:kern w:val="16"/>
          <w14:ligatures w14:val="standardContextual"/>
        </w:rPr>
        <w:t xml:space="preserve"> comprovação dos 15 anos de atividade rural não exige continuidade ininterrupta. Períodos descontínuos de trabalho rural podem ser somados, desde que totalizem o número de meses correspondente à carência. A jurisprudência reconhece, inclusive, a possibilidade de computar períodos rurais intercalados com períodos urbanos, conforme o contexto probatório.</w:t>
      </w:r>
    </w:p>
    <w:tbl>
      <w:tblPr>
        <w:tblW w:w="5000" w:type="pct"/>
        <w:jc w:val="center"/>
        <w:tblLayout w:type="fixed"/>
        <w:tblLook w:val="04A0" w:firstRow="1" w:lastRow="0" w:firstColumn="1" w:lastColumn="0" w:noHBand="0" w:noVBand="1"/>
      </w:tblPr>
      <w:tblGrid>
        <w:gridCol w:w="6311"/>
      </w:tblGrid>
      <w:tr w:rsidR="005A5FCC" w14:paraId="3B8409F4"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3D72A049"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717BF572" w14:textId="77777777" w:rsidR="005A5FCC" w:rsidRDefault="00A21C81">
            <w:pPr>
              <w:spacing w:after="60" w:line="247" w:lineRule="auto"/>
            </w:pPr>
            <w:r>
              <w:rPr>
                <w:rFonts w:cs="EB Garamond"/>
                <w:kern w:val="16"/>
                <w:sz w:val="19"/>
                <w14:ligatures w14:val="standardContextual"/>
              </w:rPr>
              <w:t>O segurado especial que pretende aposentadoria por idade rural no valor de um salário mínimo não precisa comprovar recolhimentos ao INSS — basta a prova do exercício de atividade rural pelo tempo equivalente à carência. Entretanto, se o segurado especial deseja obter benefício em valor superior ao salário mínimo, deverá ter contribuído facultativamente sobre base de cálculo superior, nos termos do art. 39, inciso II, da Lei n. 8.213/91. Na prática dos JEFs, a quase totalidade dos pedidos de aposentadoria rural refere-se a benefício no valor de um salário mínimo.</w:t>
            </w:r>
          </w:p>
        </w:tc>
      </w:tr>
    </w:tbl>
    <w:p w14:paraId="537EB313" w14:textId="77777777" w:rsidR="005A5FCC" w:rsidRDefault="005A5FCC">
      <w:pPr>
        <w:spacing w:after="80" w:line="240" w:lineRule="auto"/>
      </w:pPr>
    </w:p>
    <w:p w14:paraId="3EA8CD26"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9.7 Regime probatório: início de prova material</w:t>
      </w:r>
    </w:p>
    <w:p w14:paraId="6CD2FE33"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756ECABB" w14:textId="77777777" w:rsidR="005A5FCC" w:rsidRDefault="00A21C81">
      <w:r>
        <w:rPr>
          <w:rFonts w:cs="EB Garamond"/>
          <w:kern w:val="16"/>
          <w14:ligatures w14:val="standardContextual"/>
        </w:rPr>
        <w:t xml:space="preserve"> comprovação do exercício de atividade rural é o ponto central das ações de aposentadoria rural nos JEFs. O regime probatório peculiar que rege a ma</w:t>
      </w:r>
      <w:r>
        <w:rPr>
          <w:rFonts w:cs="EB Garamond"/>
          <w:kern w:val="16"/>
          <w14:ligatures w14:val="standardContextual"/>
        </w:rPr>
        <w:lastRenderedPageBreak/>
        <w:t>téria decorre do reconhecimento de que o trabalhador rural frequentemente desenvolve sua atividade à margem do sistema formal de registro, em condições de informalidade que dificultam a produção de documentos comprobatórios contemporâneos.</w:t>
      </w:r>
    </w:p>
    <w:p w14:paraId="366470D4" w14:textId="77777777" w:rsidR="005A5FCC" w:rsidRDefault="00A21C81">
      <w:pPr>
        <w:ind w:firstLine="238"/>
      </w:pPr>
      <w:r>
        <w:rPr>
          <w:rFonts w:cs="EB Garamond"/>
          <w:kern w:val="16"/>
          <w14:ligatures w14:val="standardContextual"/>
        </w:rPr>
        <w:t>A Súmula 149 do STJ estabelece a regra fundamental: "A prova exclusivamente testemunhal não basta à comprovação da atividade rurícola, para efeito da obtenção de benefício previdenciário." A exigência de início de prova material destina-se a conferir segurança ao sistema previdenciário, evitando a concessão de benefícios com base exclusiva em depoimentos, suscetíveis de manipulação. A contrapartida dessa exigência é a flexibilização do conceito de "início de prova material", que a jurisprudência interpretou de forma ampla para harmonizar a regra com a realidade do trabalhador rural.</w:t>
      </w:r>
    </w:p>
    <w:p w14:paraId="46494976" w14:textId="77777777" w:rsidR="005A5FCC" w:rsidRDefault="00A21C81">
      <w:pPr>
        <w:ind w:firstLine="238"/>
      </w:pPr>
      <w:r>
        <w:rPr>
          <w:rFonts w:cs="EB Garamond"/>
          <w:kern w:val="16"/>
          <w14:ligatures w14:val="standardContextual"/>
        </w:rPr>
        <w:t>A Súmula 6 da TNU complementa a disciplina: "A certidão de casamento ou outro documento idôneo que evidencie a condição de trabalhador rural do cônjuge constitui início razoável de prova material da atividade rurícola." Essa súmula consagrou a fungibilidade dos documentos aptos a constituir início de prova material: não existe rol taxativo, e qualquer documento que, razoavelmente, permita inferir o exercício de atividade rural é idôneo para esse fim.</w:t>
      </w:r>
    </w:p>
    <w:p w14:paraId="0494028C" w14:textId="77777777" w:rsidR="005A5FCC" w:rsidRDefault="00A21C81">
      <w:pPr>
        <w:ind w:firstLine="238"/>
      </w:pPr>
      <w:r>
        <w:rPr>
          <w:rFonts w:cs="EB Garamond"/>
          <w:kern w:val="16"/>
          <w14:ligatures w14:val="standardContextual"/>
        </w:rPr>
        <w:t>A Súmula 14 da TNU complementa o quadro ao dispor que "para a concessão de aposentadoria rural por idade, não se exige que o início de prova material corresponda a todo o período equivalente à carência do benefício". A razão de ser do enunciado é pragmática: exigir que o trabalhador rural apresentasse documentos cobrindo cada um dos 180 meses de carência seria impor ônus probatório incompatível com a realidade da vida no campo. O início de prova material funciona como âncora documental, que, corroborada pela prova testemunhal, permite ao juiz formar convicção sobre o exercício de atividade rural pelo período necessário.</w:t>
      </w:r>
    </w:p>
    <w:p w14:paraId="3D325DB2" w14:textId="77777777" w:rsidR="005A5FCC" w:rsidRDefault="00A21C81">
      <w:pPr>
        <w:ind w:firstLine="238"/>
      </w:pPr>
      <w:r>
        <w:rPr>
          <w:rFonts w:cs="EB Garamond"/>
          <w:kern w:val="16"/>
          <w14:ligatures w14:val="standardContextual"/>
        </w:rPr>
        <w:t xml:space="preserve">A relação entre prova documental e testemunhal é de complementaridade, não de substituição. O início de prova material confere credibilidade ao relato testemunhal, ao passo que a prova testemunhal confere extensão temporal à prova documental. Um documento que comprova a condição de rurícola em determinado ano pode ser ampliado pela prova testemunhal para abranger os anos </w:t>
      </w:r>
      <w:r>
        <w:rPr>
          <w:rFonts w:cs="EB Garamond"/>
          <w:kern w:val="16"/>
          <w14:ligatures w14:val="standardContextual"/>
        </w:rPr>
        <w:lastRenderedPageBreak/>
        <w:t>anteriores e posteriores, desde que a narrativa seja coerente e as testemunhas apresentem relatos circunstanciados.</w:t>
      </w:r>
    </w:p>
    <w:p w14:paraId="50414F47" w14:textId="77777777" w:rsidR="005A5FCC" w:rsidRDefault="00A21C81">
      <w:pPr>
        <w:ind w:firstLine="238"/>
      </w:pPr>
      <w:r>
        <w:rPr>
          <w:rFonts w:cs="EB Garamond"/>
          <w:kern w:val="16"/>
          <w14:ligatures w14:val="standardContextual"/>
        </w:rPr>
        <w:t>A exigência de contemporaneidade da prova material encontra fundamento na Súmula 34 da TNU: "Para fins de comprovação do tempo de labor rural, o início de prova material deve ser contemporâneo à época dos fatos a provar." A contemporaneidade, contudo, deve ser interpretada em harmonia com a Súmula 14 da TNU, que dispensa a cobertura documental de todo o período de carência. O resultado é um sistema equilibrado: o documento deve ser razoavelmente contemporâneo ao período que se pretende provar, mas não precisa cobri-lo integralmente. Documentos muito antigos, sem conexão temporal com o período de carência, podem ser insuficientes, salvo quando corroborados por testemunhos detalhados que permitam a extensão temporal. A questão é casuística e exige do juiz sensibilidade para avaliar o conjunto probatório à luz das circunstâncias concretas.</w:t>
      </w:r>
    </w:p>
    <w:p w14:paraId="748B39EC"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9.8 Documentos admitidos como início de prova material</w:t>
      </w:r>
    </w:p>
    <w:p w14:paraId="1C39F87D"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76FEA0A8" w14:textId="77777777" w:rsidR="005A5FCC" w:rsidRDefault="00A21C81">
      <w:r>
        <w:rPr>
          <w:rFonts w:cs="EB Garamond"/>
          <w:kern w:val="16"/>
          <w14:ligatures w14:val="standardContextual"/>
        </w:rPr>
        <w:t xml:space="preserve"> art. 106 da Lei n. 8.213/91 prevê rol exemplificativo de documentos aptos à comprovação do exercício de atividade rural, cujo caráter não taxativo é reforçado pelo respectivo parágrafo único (incluído pela Lei n. 11.718/2008). A enumeração legal abre-se pelo contrato individual de trabalho ou pela Carteira de Trabalho e Previdência Social (CTPS): a anotação de vínculo como empregado rural constitui prova direta da atividade, dispensando corroboração testemunhal, e mesmo as anotações extemporâneas, realizadas após a data do vínculo, conservam valor probatório, pois gozam de presunção relativa de veracidade (art. 29, § 3º, da CLT, com redação da Lei n. 13.874/2019; Súmula 12/TST), que somente cede mediante prova em contrário. Ao lado da CTPS, o dispositivo arrola os contratos de arrendamento, parceria ou comodato rural, que comprovam a exploração da terra em regime de produção rural ainda que o segurado não seja proprietário — documentos frequentes nas regiões de agricultura </w:t>
      </w:r>
      <w:r>
        <w:rPr>
          <w:rFonts w:cs="EB Garamond"/>
          <w:kern w:val="16"/>
          <w14:ligatures w14:val="standardContextual"/>
        </w:rPr>
        <w:lastRenderedPageBreak/>
        <w:t>familiar, onde parceiros e meeiros cultivam a terra alheia em troca de parte da produção.</w:t>
      </w:r>
    </w:p>
    <w:p w14:paraId="216657A7" w14:textId="77777777" w:rsidR="005A5FCC" w:rsidRDefault="00A21C81">
      <w:pPr>
        <w:ind w:firstLine="238"/>
      </w:pPr>
      <w:r>
        <w:rPr>
          <w:rFonts w:cs="EB Garamond"/>
          <w:kern w:val="16"/>
          <w14:ligatures w14:val="standardContextual"/>
        </w:rPr>
        <w:t>Também integra o rol a declaração fundamentada do sindicato que represente o trabalhador rural — a chamada "declaração de exercício de atividade rural", homologada pelo INSS, durante anos o principal documento utilizado pelos segurados especiais. A jurisprudência, contudo, atribuiu-lhe valor relativo: a declaração sindical constitui início de prova material quando acompanhada de elementos que confirmem seu conteúdo (o próprio cadastro do sindicato ou documentos subsidiários), mas não supre a ausência de toda e qualquer outra prova documental. Por fim, no plano dos cadastros rurais, o art. 106 alcança o registro em órgãos como a Declaração de Aptidão ao Pronaf (DAP) e, mais recentemente, o Cadastro Nacional da Agricultura Familiar (CAF). A DAP — emitida por entidades credenciadas pelo MDA (hoje Secretaria de Agricultura Familiar), que qualifica o agricultor familiar e lhe dá acesso ao Programa Nacional de Fortalecimento da Agricultura Familiar — comprova tanto a condição de agricultor familiar quanto o exercício efetivo de atividade rural, constituindo robusto início de prova material.</w:t>
      </w:r>
    </w:p>
    <w:tbl>
      <w:tblPr>
        <w:tblW w:w="5000" w:type="pct"/>
        <w:jc w:val="center"/>
        <w:tblLayout w:type="fixed"/>
        <w:tblLook w:val="04A0" w:firstRow="1" w:lastRow="0" w:firstColumn="1" w:lastColumn="0" w:noHBand="0" w:noVBand="1"/>
      </w:tblPr>
      <w:tblGrid>
        <w:gridCol w:w="6311"/>
      </w:tblGrid>
      <w:tr w:rsidR="005A5FCC" w14:paraId="08F3FDE4"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6E3D56A4"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4231BB87" w14:textId="77777777" w:rsidR="005A5FCC" w:rsidRDefault="00A21C81">
            <w:pPr>
              <w:spacing w:after="60" w:line="247" w:lineRule="auto"/>
            </w:pPr>
            <w:r>
              <w:rPr>
                <w:rFonts w:cs="EB Garamond"/>
                <w:kern w:val="16"/>
                <w:sz w:val="19"/>
                <w14:ligatures w14:val="standardContextual"/>
              </w:rPr>
              <w:t>A Declaração de Aptidão ao Pronaf (DAP) é documento de elevada força probatória nas ações de aposentadoria rural, porque pressupõe verificação de campo pela entidade emissora. A DAP contém informações sobre a composição do grupo familiar, a área explorada, a produção anual e a renda obtida — elementos que permitem ao juiz avaliar a presença do regime de economia familiar. A partir de 2023, a DAP vem sendo progressivamente substituída pelo CAF (Cadastro Nacional da Agricultura Familiar), que pode ser consultado no portal do Ministério do Desenvolvimento Agrário. Ambos os documentos servem como início de prova material.</w:t>
            </w:r>
          </w:p>
        </w:tc>
      </w:tr>
    </w:tbl>
    <w:p w14:paraId="135FD11F" w14:textId="77777777" w:rsidR="005A5FCC" w:rsidRDefault="005A5FCC">
      <w:pPr>
        <w:spacing w:after="80" w:line="240" w:lineRule="auto"/>
      </w:pPr>
    </w:p>
    <w:p w14:paraId="5DE65C11"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E</w:t>
      </w:r>
    </w:p>
    <w:p w14:paraId="6966CECA" w14:textId="77777777" w:rsidR="005A5FCC" w:rsidRDefault="00A21C81">
      <w:r>
        <w:rPr>
          <w:rFonts w:cs="EB Garamond"/>
          <w:kern w:val="16"/>
          <w14:ligatures w14:val="standardContextual"/>
        </w:rPr>
        <w:t xml:space="preserve">ncerram o rol legal os documentos fiscais da comercialização. O bloco de notas do produtor rural — documento emitido por ocasião da venda da produção, com dados do produtor, do comprador e da mercadoria — comprova não apenas a atividade rural, mas a efetiva comercialização da produção, reforçando a prova do regime de economia familiar. Na mesma direção, as notas fiscais de entrada de mercadorias emitidas pela empresa adquirente da produção </w:t>
      </w:r>
      <w:r>
        <w:rPr>
          <w:rFonts w:cs="EB Garamond"/>
          <w:kern w:val="16"/>
          <w14:ligatures w14:val="standardContextual"/>
        </w:rPr>
        <w:lastRenderedPageBreak/>
        <w:t>revelam-se especialmente úteis quando o segurado não dispõe de bloco de notas próprio: a nota fiscal lançada pela compradora registra a aquisição dos produtos rurais do segurado e, com isso, atesta sua condição de produtor.</w:t>
      </w:r>
    </w:p>
    <w:p w14:paraId="28181AB0" w14:textId="77777777" w:rsidR="005A5FCC" w:rsidRDefault="00A21C81">
      <w:pPr>
        <w:ind w:firstLine="238"/>
      </w:pPr>
      <w:r>
        <w:rPr>
          <w:rFonts w:cs="EB Garamond"/>
          <w:kern w:val="16"/>
          <w14:ligatures w14:val="standardContextual"/>
        </w:rPr>
        <w:t>Além dos documentos expressamente previstos no art. 106, a jurisprudência reconhece diversos outros como idôneos para constituir início de prova material. A certidão de casamento ou de nascimento com qualificação do segurado ou de seus pais como "lavrador", "agricultor" ou "trabalhador rural" é amplamente aceita. A certidão de nascimento dos filhos com a mesma qualificação, o certificado de reservista com menção à atividade agrícola, a ficha de matrícula escolar dos filhos com indicação da profissão rural dos genitores, os comprovantes de pagamento do Imposto sobre a Propriedade Territorial Rural (ITR), o histórico escolar do segurado com menção à atividade rural, as fichas de atendimento em postos de saúde com qualificação profissional rural, e a escritura pública ou contrato de compra e venda de imóvel rural são exemplos recorrentes na jurisprudência.</w:t>
      </w:r>
    </w:p>
    <w:tbl>
      <w:tblPr>
        <w:tblW w:w="5000" w:type="pct"/>
        <w:jc w:val="center"/>
        <w:tblLayout w:type="fixed"/>
        <w:tblLook w:val="04A0" w:firstRow="1" w:lastRow="0" w:firstColumn="1" w:lastColumn="0" w:noHBand="0" w:noVBand="1"/>
      </w:tblPr>
      <w:tblGrid>
        <w:gridCol w:w="6311"/>
      </w:tblGrid>
      <w:tr w:rsidR="005A5FCC" w14:paraId="1141331A"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3FC49CB7"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74BCFCF5" w14:textId="77777777" w:rsidR="005A5FCC" w:rsidRDefault="00A21C81">
            <w:pPr>
              <w:spacing w:after="60" w:line="247" w:lineRule="auto"/>
            </w:pPr>
            <w:r>
              <w:rPr>
                <w:rFonts w:cs="EB Garamond"/>
                <w:kern w:val="16"/>
                <w:sz w:val="19"/>
                <w14:ligatures w14:val="standardContextual"/>
              </w:rPr>
              <w:t>Na instrução de ações de aposentadoria rural nos JEFs, o advogado deve reunir o maior número possível de documentos que qualifiquem o segurado como trabalhador rural, ainda que não cubram integralmente o período de carência. A estratégia probatória eficaz combina documentos de diferentes épocas, uma certidão de casamento antiga com qualificação rural, notas fiscais de produção de anos recentes e declaração sindical contemporânea — criando uma linha temporal que a prova testemunhal complementa. Documentos de familiares diretos (cônjuge, pais, filhos) também são admitidos como prova extensiva. A TNU Súmula 6 autoriza expressamente o uso de documento do cônjuge como início de prova material.</w:t>
            </w:r>
          </w:p>
        </w:tc>
      </w:tr>
    </w:tbl>
    <w:p w14:paraId="0D5215BC" w14:textId="77777777" w:rsidR="005A5FCC" w:rsidRDefault="005A5FCC">
      <w:pPr>
        <w:spacing w:after="80" w:line="240" w:lineRule="auto"/>
      </w:pPr>
    </w:p>
    <w:p w14:paraId="211883FF" w14:textId="03D0905E"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 xml:space="preserve">9.9 Prova testemunhal e a disciplina da </w:t>
      </w:r>
      <w:r w:rsidR="00C94FF0">
        <w:rPr>
          <w:rFonts w:cs="EB Garamond"/>
          <w:b/>
          <w:color w:val="3A3128"/>
          <w:kern w:val="16"/>
          <w:sz w:val="31"/>
          <w14:ligatures w14:val="standardContextual"/>
        </w:rPr>
        <w:t>S</w:t>
      </w:r>
      <w:r>
        <w:rPr>
          <w:rFonts w:cs="EB Garamond"/>
          <w:b/>
          <w:color w:val="3A3128"/>
          <w:kern w:val="16"/>
          <w:sz w:val="31"/>
          <w14:ligatures w14:val="standardContextual"/>
        </w:rPr>
        <w:t>úmula 149/STJ</w:t>
      </w:r>
    </w:p>
    <w:p w14:paraId="448C980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60B19FA2" w14:textId="77777777" w:rsidR="005A5FCC" w:rsidRDefault="00A21C81">
      <w:r>
        <w:rPr>
          <w:rFonts w:cs="EB Garamond"/>
          <w:kern w:val="16"/>
          <w14:ligatures w14:val="standardContextual"/>
        </w:rPr>
        <w:t xml:space="preserve"> Súmula 149/STJ ("A prova exclusivamente testemunhal não basta à comprovação da atividade rurícola, para efeito da obtenção de benefício previdenciário") não impede a produção de prova testemunhal — ao contrário, a prova oral é essencial para complementar e dar extensão temporal ao início de prova material. O que a Súmula veda é a comprovação fundada exclusivamente em testemunhos, sem qualquer suporte documental.</w:t>
      </w:r>
    </w:p>
    <w:p w14:paraId="1945E830" w14:textId="77777777" w:rsidR="005A5FCC" w:rsidRDefault="00A21C81">
      <w:pPr>
        <w:ind w:firstLine="238"/>
      </w:pPr>
      <w:r>
        <w:rPr>
          <w:rFonts w:cs="EB Garamond"/>
          <w:kern w:val="16"/>
          <w14:ligatures w14:val="standardContextual"/>
        </w:rPr>
        <w:t>O magistrado deve examinar com rigor a qualidade da prova testemunhal em ações de aposentadoria rural. A Súmula 577 do STJ ("É possível reconhecer o tempo de serviço rural anterior ao documento mais antigo apresentado, desde que amparado em convincente prova testemunhal") autoriza expressamente a extensão da prova documental para períodos anteriores por meio de testemunhos, desde que a prova oral seja convincente e coerente com os elementos materiais dos autos.</w:t>
      </w:r>
    </w:p>
    <w:tbl>
      <w:tblPr>
        <w:tblW w:w="5000" w:type="pct"/>
        <w:jc w:val="center"/>
        <w:tblLayout w:type="fixed"/>
        <w:tblLook w:val="04A0" w:firstRow="1" w:lastRow="0" w:firstColumn="1" w:lastColumn="0" w:noHBand="0" w:noVBand="1"/>
      </w:tblPr>
      <w:tblGrid>
        <w:gridCol w:w="6311"/>
      </w:tblGrid>
      <w:tr w:rsidR="005A5FCC" w14:paraId="2B32C23A"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29E94737" w14:textId="77777777" w:rsidR="005A5FCC" w:rsidRDefault="00A21C81">
            <w:pPr>
              <w:spacing w:after="60" w:line="240" w:lineRule="auto"/>
              <w:jc w:val="left"/>
            </w:pPr>
            <w:r>
              <w:rPr>
                <w:rFonts w:ascii="Noto Sans" w:hAnsi="Noto Sans" w:cs="Noto Sans"/>
                <w:b/>
                <w:caps/>
                <w:color w:val="4D6F8A"/>
                <w:kern w:val="16"/>
                <w:sz w:val="16"/>
                <w14:ligatures w14:val="standardContextual"/>
              </w:rPr>
              <w:t>JURISPRUDÊNCIA EM DESTAQUE</w:t>
            </w:r>
          </w:p>
          <w:p w14:paraId="755DD149" w14:textId="77777777" w:rsidR="005A5FCC" w:rsidRDefault="00A21C81">
            <w:pPr>
              <w:spacing w:after="60" w:line="247" w:lineRule="auto"/>
            </w:pPr>
            <w:r>
              <w:rPr>
                <w:rFonts w:cs="EB Garamond"/>
                <w:b/>
                <w:kern w:val="16"/>
                <w:sz w:val="19"/>
                <w14:ligatures w14:val="standardContextual"/>
              </w:rPr>
              <w:t>Súmula 577/STJ</w:t>
            </w:r>
            <w:r>
              <w:rPr>
                <w:rFonts w:cs="EB Garamond"/>
                <w:kern w:val="16"/>
                <w:sz w:val="19"/>
                <w14:ligatures w14:val="standardContextual"/>
              </w:rPr>
              <w:t>: "É possível reconhecer o tempo de serviço rural anterior ao documento mais antigo apresentado, desde que amparado em convincente prova testemunhal." A súmula resolve uma das questões mais frequentes nos JEFs: o segurado que dispõe de início de prova material recente, mas pretende comprovar atividade rural em período anterior. O documento constitui âncora probatória que, associado a testemunhos detalhados e coerentes, permite ao juiz reconhecer a atividade rural em período para o qual não existem documentos. A força probatória da testemunha deve ser avaliada considerando: (a) conhecimento pessoal e direto do trabalho rural do segurado; (b) especificidade do relato (localização, tipo de cultura, regime de trabalho); e (c) coerência com os elementos materiais dos autos.</w:t>
            </w:r>
          </w:p>
        </w:tc>
      </w:tr>
    </w:tbl>
    <w:p w14:paraId="5551E357" w14:textId="77777777" w:rsidR="005A5FCC" w:rsidRDefault="005A5FCC">
      <w:pPr>
        <w:spacing w:after="80" w:line="240" w:lineRule="auto"/>
      </w:pPr>
    </w:p>
    <w:p w14:paraId="418B6A41"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1C781DCD" w14:textId="77777777" w:rsidR="005A5FCC" w:rsidRDefault="00A21C81">
      <w:r>
        <w:rPr>
          <w:rFonts w:cs="EB Garamond"/>
          <w:kern w:val="16"/>
          <w14:ligatures w14:val="standardContextual"/>
        </w:rPr>
        <w:t xml:space="preserve"> valoração da prova testemunhal nas ações rurais segue critérios desenvolvidos pela jurisprudência. Testemunhas que conviveram diretamente com o segurado no ambiente rural, vizinhos, compradores de produção, membros de comunidades rurais, donos de propriedades contíguas, possuem valor </w:t>
      </w:r>
      <w:r>
        <w:rPr>
          <w:rFonts w:cs="EB Garamond"/>
          <w:kern w:val="16"/>
          <w14:ligatures w14:val="standardContextual"/>
        </w:rPr>
        <w:lastRenderedPageBreak/>
        <w:t>probatório superior ao de testemunhas que conhecem a atividade rural apenas por informação de terceiros. A jurisprudência exige, ainda, que os depoimentos sejam circunstanciados: não basta afirmar genericamente que o segurado "trabalha na roça"; é preciso que as testemunhas descrevam o tipo de atividade, a localização, os produtos cultivados, o regime de trabalho (se em família, se com ajuda de terceiros), o tempo aproximado de exercício da atividade e outras circunstâncias que confiram credibilidade ao relato.</w:t>
      </w:r>
    </w:p>
    <w:p w14:paraId="471C0150" w14:textId="77777777" w:rsidR="005A5FCC" w:rsidRDefault="00A21C81">
      <w:pPr>
        <w:ind w:firstLine="238"/>
      </w:pPr>
      <w:r>
        <w:rPr>
          <w:rFonts w:cs="EB Garamond"/>
          <w:kern w:val="16"/>
          <w14:ligatures w14:val="standardContextual"/>
        </w:rPr>
        <w:t>O número de testemunhas necessário é tema de que a lei não se ocupa de modo específico. Na prática dos JEFs, a instrução das ações rurais admite de duas a três testemunhas, conforme o rito processual aplicável. A Lei n. 10.259/2001 não estabelece limite numérico rígido, cabendo ao juiz definir, conforme o caso, a quantidade de testemunhos necessários para a formação de sua convicção. Entendemos que dois depoimentos concordantes e circunstanciados, corroborados por início de prova material, são suficientes para a formação da convicção judicial na maior parte dos casos.</w:t>
      </w:r>
    </w:p>
    <w:p w14:paraId="186B2A9D" w14:textId="77777777" w:rsidR="005A5FCC" w:rsidRDefault="00A21C81">
      <w:pPr>
        <w:ind w:firstLine="238"/>
      </w:pPr>
      <w:r>
        <w:rPr>
          <w:rFonts w:cs="EB Garamond"/>
          <w:kern w:val="16"/>
          <w14:ligatures w14:val="standardContextual"/>
        </w:rPr>
        <w:t>A oitiva do segurado em audiência (depoimento pessoal) é momento de especial relevância probatória. O relato do próprio segurado sobre sua trajetória laboral, quando detalhado e coerente com os documentos dos autos, constitui elemento de convicção relevante. A contradição entre o depoimento pessoal e os documentos, ou entre o depoimento e as testemunhas, compromete a credibilidade do pedido.</w:t>
      </w:r>
    </w:p>
    <w:p w14:paraId="624E86A0" w14:textId="77777777" w:rsidR="005A5FCC" w:rsidRDefault="00A21C81">
      <w:pPr>
        <w:ind w:firstLine="238"/>
      </w:pPr>
      <w:r>
        <w:rPr>
          <w:rFonts w:cs="EB Garamond"/>
          <w:kern w:val="16"/>
          <w14:ligatures w14:val="standardContextual"/>
        </w:rPr>
        <w:t>A justificação judicial e a justificação administrativa são instrumentos processuais relevantes no contexto da prova da atividade rural. A justificação administrativa, prevista no art. 108 da Lei n. 8.213/91 e regulamentada pelos arts. 142 a 151 do Decreto n. 3.048/1999, é procedimento realizado perante o próprio INSS, no qual o segurado apresenta testemunhas para comprovar fatos relevantes à obtenção de benefícios. A justificação judicial, por sua vez, é medida cautelar (ou de produção antecipada de prova, no regime do CPC/2015) destinada a assegurar a prova testemunhal quando há risco de perecimento, como nas hipóteses de testemunhas idosas ou enfermas. A jurisprudência dos JEFs admite a justificação judicial como meio de prova complementar, desde que o resultado seja submetido ao contraditório.</w:t>
      </w:r>
    </w:p>
    <w:p w14:paraId="798F8DCD" w14:textId="77777777" w:rsidR="005A5FCC" w:rsidRDefault="00A21C81">
      <w:pPr>
        <w:ind w:firstLine="238"/>
      </w:pPr>
      <w:r>
        <w:rPr>
          <w:rFonts w:cs="EB Garamond"/>
          <w:kern w:val="16"/>
          <w14:ligatures w14:val="standardContextual"/>
        </w:rPr>
        <w:lastRenderedPageBreak/>
        <w:t>A distinção entre prova material e prova documental merece registro. Todo documento é prova material, mas nem toda prova material é documento formal. A jurisprudência ampliou o conceito de início de prova material para abranger evidências físicas que, embora não constituam documentos em sentido estrito, demonstram a vinculação do segurado ao meio rural: fotografias antigas retratando o segurado em atividade agrícola, imagens de satélite demonstrando o cultivo da terra, e outros elementos que a tecnologia contemporânea disponibiliza podem ser considerados início de prova material, segundo os tribunais.</w:t>
      </w:r>
    </w:p>
    <w:p w14:paraId="133FDDF9"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9.10 O boia-fria, o volante e o safrista</w:t>
      </w:r>
    </w:p>
    <w:p w14:paraId="14334D89"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0F323D77" w14:textId="77777777" w:rsidR="005A5FCC" w:rsidRDefault="00A21C81">
      <w:r>
        <w:rPr>
          <w:rFonts w:cs="EB Garamond"/>
          <w:kern w:val="16"/>
          <w14:ligatures w14:val="standardContextual"/>
        </w:rPr>
        <w:t xml:space="preserve"> boia-fria — trabalhador rural temporário sem vínculo permanente, conhecido regionalmente também como "safrista" ou "pau-de-arara" — apresenta desafios probatórios próprios. Trata-se do trabalhador que presta serviço rural de natureza temporária a diferentes empregadores, sem vínculo empregatício permanente, deslocando-se conforme a demanda sazonal das atividades agrícolas. A informalidade é a marca predominante dessa categoria: o boia-fria raramente possui CTPS assinada, contrato de trabalho escrito ou qualquer registro formal de sua atividade.</w:t>
      </w:r>
    </w:p>
    <w:p w14:paraId="156CB6A8" w14:textId="77777777" w:rsidR="005A5FCC" w:rsidRDefault="00A21C81">
      <w:pPr>
        <w:ind w:firstLine="238"/>
      </w:pPr>
      <w:r>
        <w:rPr>
          <w:rFonts w:cs="EB Garamond"/>
          <w:kern w:val="16"/>
          <w14:ligatures w14:val="standardContextual"/>
        </w:rPr>
        <w:t>Essa condição de informalidade gera consequências probatórias singulares. A exigência de início de prova material para o boia-fria deve ser abrandada em relação ao segurado especial proprietário ou posseiro, precisamente porque a natureza da atividade dificulta a produção de documentos. Exigir do boia-fria o mesmo nível de prova documental que se exige do produtor rural em regime de economia familiar representaria, na prática, negar-lhe o acesso ao benefício.</w:t>
      </w:r>
    </w:p>
    <w:p w14:paraId="06A7F5E5" w14:textId="77777777" w:rsidR="005A5FCC" w:rsidRDefault="00A21C81">
      <w:pPr>
        <w:ind w:firstLine="238"/>
      </w:pPr>
      <w:r>
        <w:rPr>
          <w:rFonts w:cs="EB Garamond"/>
          <w:kern w:val="16"/>
          <w14:ligatures w14:val="standardContextual"/>
        </w:rPr>
        <w:t>A TNU consolidou o entendimento de que a prova material exigida do boia-fria pode ser mais singela, bastando qualquer documento que indique a vinculação ao meio rural. Certidões de nascimento ou casamento com qualificação como "lavrador", registros de matrícula escolar com indicação de atividade rural, fichas de atendimento em postos de saúde e outros documentos similares são suficientes como início de prova material, desde que corroborados por prova testemunhal robusta e circunstanciada.</w:t>
      </w:r>
    </w:p>
    <w:tbl>
      <w:tblPr>
        <w:tblW w:w="5000" w:type="pct"/>
        <w:jc w:val="center"/>
        <w:tblLayout w:type="fixed"/>
        <w:tblLook w:val="04A0" w:firstRow="1" w:lastRow="0" w:firstColumn="1" w:lastColumn="0" w:noHBand="0" w:noVBand="1"/>
      </w:tblPr>
      <w:tblGrid>
        <w:gridCol w:w="6311"/>
      </w:tblGrid>
      <w:tr w:rsidR="005A5FCC" w14:paraId="1828BCF9"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749101C5" w14:textId="77777777" w:rsidR="005A5FCC" w:rsidRDefault="00A21C81">
            <w:pPr>
              <w:spacing w:after="60" w:line="240" w:lineRule="auto"/>
              <w:jc w:val="left"/>
            </w:pPr>
            <w:r>
              <w:rPr>
                <w:rFonts w:ascii="Noto Sans" w:hAnsi="Noto Sans" w:cs="Noto Sans"/>
                <w:b/>
                <w:caps/>
                <w:color w:val="B78B37"/>
                <w:kern w:val="16"/>
                <w:sz w:val="16"/>
                <w14:ligatures w14:val="standardContextual"/>
              </w:rPr>
              <w:lastRenderedPageBreak/>
              <w:t>ATENÇÃO</w:t>
            </w:r>
          </w:p>
          <w:p w14:paraId="79FDC984" w14:textId="77777777" w:rsidR="005A5FCC" w:rsidRDefault="00A21C81">
            <w:pPr>
              <w:spacing w:after="60" w:line="247" w:lineRule="auto"/>
            </w:pPr>
            <w:r>
              <w:rPr>
                <w:rFonts w:cs="EB Garamond"/>
                <w:kern w:val="16"/>
                <w:sz w:val="19"/>
                <w14:ligatures w14:val="standardContextual"/>
              </w:rPr>
              <w:t>O enquadramento previdenciário do boia-fria é distinto do segurado especial. Enquanto o segurado especial é aquele que trabalha em regime de economia familiar, na própria terra ou em terra de terceiro mediante parceria, meação ou comodato, o boia-fria é trabalhador que presta serviço rural mediante remuneração, sem vínculo permanente. O enquadramento correto do boia-fria é como segurado empregado (art. 11, I, "a", da Lei n. 8.213/91), contribuinte individual ou trabalhador avulso, conforme a natureza da relação de trabalho. A distinção é relevante para o regime de prova e para a responsabilidade pelo recolhimento de contribuições. Contudo, para fins de aposentadoria por idade rural (art. 48, § 1º), tanto o segurado especial quanto o empregado rural fazem jus à redução etária de cinco anos.</w:t>
            </w:r>
          </w:p>
        </w:tc>
      </w:tr>
    </w:tbl>
    <w:p w14:paraId="6DE66536" w14:textId="77777777" w:rsidR="005A5FCC" w:rsidRDefault="005A5FCC">
      <w:pPr>
        <w:spacing w:after="80" w:line="240" w:lineRule="auto"/>
      </w:pPr>
    </w:p>
    <w:p w14:paraId="3AC5B0C5"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4D1B3BA0" w14:textId="77777777" w:rsidR="005A5FCC" w:rsidRDefault="00A21C81">
      <w:r>
        <w:rPr>
          <w:rFonts w:cs="EB Garamond"/>
          <w:kern w:val="16"/>
          <w14:ligatures w14:val="standardContextual"/>
        </w:rPr>
        <w:t xml:space="preserve"> Súmula 149/STJ, embora aplicável ao boia-fria, tem sua incidência mitigada pela jurisprudência quando se trata dessa categoria. O STJ e a TNU reconhecem que a precariedade documental inerente à atividade de boia-fria não pode servir de barreira intransponível ao exercício de um direito constitucional. A mitigação não significa dispensa da prova material — o que se flexibiliza é o grau de exigência quanto à robustez documental.</w:t>
      </w:r>
    </w:p>
    <w:p w14:paraId="28CB3C99" w14:textId="77777777" w:rsidR="005A5FCC" w:rsidRDefault="00A21C81">
      <w:pPr>
        <w:ind w:firstLine="238"/>
      </w:pPr>
      <w:r>
        <w:rPr>
          <w:rFonts w:cs="EB Garamond"/>
          <w:kern w:val="16"/>
          <w14:ligatures w14:val="standardContextual"/>
        </w:rPr>
        <w:t>O reconhecimento do tempo de trabalho rural como boia-fria possui relevância prática crescente, especialmente no contexto da aposentadoria híbrida (art. 48, § 3º), que permite a soma de períodos rurais e urbanos. Muitos trabalhadores que iniciaram a vida laboral no campo como boias-frias migraram posteriormente para atividades urbanas, carregando consigo um período significativo de trabalho rural não registrado formalmente, que pode ser computado para fins de carência.</w:t>
      </w:r>
    </w:p>
    <w:p w14:paraId="17E07A66" w14:textId="77777777" w:rsidR="005A5FCC" w:rsidRDefault="00A21C81">
      <w:pPr>
        <w:ind w:firstLine="238"/>
      </w:pPr>
      <w:r>
        <w:rPr>
          <w:rFonts w:cs="EB Garamond"/>
          <w:kern w:val="16"/>
          <w14:ligatures w14:val="standardContextual"/>
        </w:rPr>
        <w:t>A responsabilidade pelo recolhimento das contribuições previdenciárias do boia-fria recai sobre o empregador rural (art. 30, I, "a", da Lei n. 8.212/91). O não recolhimento pelo empregador não pode ser oposto ao trabalhador para fins de reconhecimento do direito previdenciário. Essa regra tem fundamento no princípio da responsabilidade patronal: o ônus de recolher as contribuições é do empregador, e a omissão deste não pode penalizar o trabalhador que efetivamente prestou os serviços. No cotidiano dos JEFs, a concessão de aposentadoria ao boia-</w:t>
      </w:r>
      <w:r>
        <w:rPr>
          <w:rFonts w:cs="EB Garamond"/>
          <w:kern w:val="16"/>
          <w14:ligatures w14:val="standardContextual"/>
        </w:rPr>
        <w:lastRenderedPageBreak/>
        <w:t>fria independe da prova de recolhimento das contribuições devidas pelo empregador: basta a comprovação do exercício da atividade rural, nos mesmos moldes aplicáveis ao segurado especial.</w:t>
      </w:r>
    </w:p>
    <w:p w14:paraId="19C4531B" w14:textId="3DB94CF4" w:rsidR="005A5FCC" w:rsidRDefault="00A21C81">
      <w:pPr>
        <w:ind w:firstLine="238"/>
      </w:pPr>
      <w:r>
        <w:rPr>
          <w:rFonts w:cs="EB Garamond"/>
          <w:kern w:val="16"/>
          <w14:ligatures w14:val="standardContextual"/>
        </w:rPr>
        <w:t xml:space="preserve">A distinção entre boia-fria e segurado especial reflete-se também no valor do benefício. O segurado especial recebe, em regra, benefício no valor de um </w:t>
      </w:r>
      <w:r w:rsidR="00C94FF0">
        <w:rPr>
          <w:rFonts w:cs="EB Garamond"/>
          <w:kern w:val="16"/>
          <w14:ligatures w14:val="standardContextual"/>
        </w:rPr>
        <w:t>salário-mínimo</w:t>
      </w:r>
      <w:r>
        <w:rPr>
          <w:rFonts w:cs="EB Garamond"/>
          <w:kern w:val="16"/>
          <w14:ligatures w14:val="standardContextual"/>
        </w:rPr>
        <w:t xml:space="preserve"> (art. 39, I, Lei n. 8.213/91). O boia-fria, enquadrado como empregado, teria direito a benefício calculado sobre seus salários de contribuição. Contudo, como em termos operacionais não há registro formal e os salários não foram computados no CNIS, o valor do benefício acaba sendo igualmente fixado em um </w:t>
      </w:r>
      <w:r w:rsidR="00C94FF0">
        <w:rPr>
          <w:rFonts w:cs="EB Garamond"/>
          <w:kern w:val="16"/>
          <w14:ligatures w14:val="standardContextual"/>
        </w:rPr>
        <w:t>salário-mínimo</w:t>
      </w:r>
      <w:r>
        <w:rPr>
          <w:rFonts w:cs="EB Garamond"/>
          <w:kern w:val="16"/>
          <w14:ligatures w14:val="standardContextual"/>
        </w:rPr>
        <w:t>, por aplicação do piso constitucional (art. 201, § 2º, CF/88).</w:t>
      </w:r>
    </w:p>
    <w:p w14:paraId="1BB4E131"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9.11 Aposentadoria por idade híbrida (art. 48, § 3º)</w:t>
      </w:r>
    </w:p>
    <w:p w14:paraId="052FD8FD"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17A420A1" w14:textId="77777777" w:rsidR="005A5FCC" w:rsidRDefault="00A21C81">
      <w:r>
        <w:rPr>
          <w:rFonts w:cs="EB Garamond"/>
          <w:kern w:val="16"/>
          <w14:ligatures w14:val="standardContextual"/>
        </w:rPr>
        <w:t xml:space="preserve"> aposentadoria híbrida (art. 48, § 3º, Lei 8.213/91, acrescentado pela Lei n. 11.718/2008) permite ao trabalhador que transitou entre atividades rurais e urbanas somar os respectivos períodos para atingir a carência de 180 contribuições. Os períodos rurais são comprovados por início de prova material e testemunhal; os urbanos, pelo CNIS. A idade mínima, contudo, segue a regra geral urbana: 65 anos (homem) e 60 anos (mulher). Não se aplica a redução de cinco anos, que é reservada à aposentadoria exclusivamente rural.</w:t>
      </w:r>
    </w:p>
    <w:p w14:paraId="0E84753E" w14:textId="77777777" w:rsidR="005A5FCC" w:rsidRDefault="00A21C81">
      <w:pPr>
        <w:ind w:firstLine="238"/>
      </w:pPr>
      <w:r>
        <w:rPr>
          <w:rFonts w:cs="EB Garamond"/>
          <w:kern w:val="16"/>
          <w14:ligatures w14:val="standardContextual"/>
        </w:rPr>
        <w:t>O STJ firmou entendimentos fundamentais sobre a aposentadoria híbrida no julgamento do Tema 1.007.</w:t>
      </w:r>
    </w:p>
    <w:p w14:paraId="0A927A35" w14:textId="77777777" w:rsidR="005A5FCC" w:rsidRDefault="00A21C81">
      <w:pPr>
        <w:ind w:firstLine="238"/>
      </w:pPr>
      <w:r>
        <w:rPr>
          <w:rFonts w:cs="EB Garamond"/>
          <w:kern w:val="16"/>
          <w14:ligatures w14:val="standardContextual"/>
        </w:rPr>
        <w:t>O Tema 1.007 (REsp 1.674.221/SP, rel. Min. Napoleão Nunes Maia Filho, j. 14/08/2019, DJe 04/09/2019) fixou a tese de que "o tempo de serviço rural, ainda que remoto e descontínuo, anterior ao advento da Lei n. 8.213/91, pode ser computado para fins da carência necessária à obtenção da aposentadoria híbrida por idade, ainda que não tenha sido efetivado o recolhimento das contribuições, nos termos do art. 48, § 3º, da Lei n. 8.213/91, seja qual for a predominância do labor misto exercido no período de carência ou o tipo de trabalho exercido no momento do implemento do requisito etário."</w:t>
      </w:r>
    </w:p>
    <w:tbl>
      <w:tblPr>
        <w:tblW w:w="5000" w:type="pct"/>
        <w:jc w:val="center"/>
        <w:tblLayout w:type="fixed"/>
        <w:tblLook w:val="04A0" w:firstRow="1" w:lastRow="0" w:firstColumn="1" w:lastColumn="0" w:noHBand="0" w:noVBand="1"/>
      </w:tblPr>
      <w:tblGrid>
        <w:gridCol w:w="6311"/>
      </w:tblGrid>
      <w:tr w:rsidR="005A5FCC" w14:paraId="582DA99F"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3066FCF3" w14:textId="77777777" w:rsidR="005A5FCC" w:rsidRDefault="00A21C81">
            <w:pPr>
              <w:spacing w:after="60" w:line="240" w:lineRule="auto"/>
              <w:jc w:val="left"/>
            </w:pPr>
            <w:r>
              <w:rPr>
                <w:rFonts w:ascii="Noto Sans" w:hAnsi="Noto Sans" w:cs="Noto Sans"/>
                <w:b/>
                <w:caps/>
                <w:color w:val="4D6F8A"/>
                <w:kern w:val="16"/>
                <w:sz w:val="16"/>
                <w14:ligatures w14:val="standardContextual"/>
              </w:rPr>
              <w:lastRenderedPageBreak/>
              <w:t>JURISPRUDÊNCIA EM DESTAQUE</w:t>
            </w:r>
          </w:p>
          <w:p w14:paraId="7A02CADE" w14:textId="77777777" w:rsidR="005A5FCC" w:rsidRDefault="00A21C81">
            <w:pPr>
              <w:spacing w:after="60" w:line="247" w:lineRule="auto"/>
            </w:pPr>
            <w:r>
              <w:rPr>
                <w:rFonts w:cs="EB Garamond"/>
                <w:b/>
                <w:kern w:val="16"/>
                <w:sz w:val="19"/>
                <w14:ligatures w14:val="standardContextual"/>
              </w:rPr>
              <w:t>STJ, Tema 1.007 (REsp 1.674.221/SP, rel. Min. Napoleão Nunes Maia Filho, j. 14/08/2019, DJe 04/09/2019)</w:t>
            </w:r>
            <w:r>
              <w:rPr>
                <w:rFonts w:cs="EB Garamond"/>
                <w:kern w:val="16"/>
                <w:sz w:val="19"/>
                <w14:ligatures w14:val="standardContextual"/>
              </w:rPr>
              <w:t>: A tese firmada no Tema 1.007 é de larga repercussão nos JEFs, por três razões. Em primeiro lugar, autoriza o cômputo de tempo rural remoto — períodos trabalhados décadas antes do requerimento, inclusive anteriores à Lei n. 8.213/91, sem exigência de recolhimento de contribuições. Em segundo lugar, afasta a exigência de contemporaneidade entre a atividade rural e o implemento etário, permitindo que o segurado que exerceu atividade rural na juventude e migrou para a cidade obtenha aposentadoria híbrida. Em terceiro lugar, elimina a exigência de predominância de qualquer tipo de atividade: tanto faz se o segurado exerceu mais tempo de atividade rural ou urbana, desde que a soma alcance 180 contribuições.</w:t>
            </w:r>
          </w:p>
        </w:tc>
      </w:tr>
    </w:tbl>
    <w:p w14:paraId="6AD12614" w14:textId="77777777" w:rsidR="005A5FCC" w:rsidRDefault="005A5FCC">
      <w:pPr>
        <w:spacing w:after="80" w:line="240" w:lineRule="auto"/>
      </w:pPr>
    </w:p>
    <w:p w14:paraId="74AECDFD"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71216582" w14:textId="77777777" w:rsidR="005A5FCC" w:rsidRDefault="00A21C81">
      <w:r>
        <w:rPr>
          <w:rFonts w:cs="EB Garamond"/>
          <w:kern w:val="16"/>
          <w14:ligatures w14:val="standardContextual"/>
        </w:rPr>
        <w:t xml:space="preserve"> prova do tempo rural para fins de aposentadoria híbrida segue as mesmas regras examinadas nas seções 9.7 e 9.8: exige-se início de prova material corroborado por prova testemunhal, nos termos da Súmula 149/STJ. A particularidade reside no fato de que, frequentemente, os períodos rurais invocados são remotos, o que dificulta a obtenção de documentos contemporâneos. A Súmula 577/STJ reforça essa possibilidade ao permitir o reconhecimento de tempo de serviço rural anterior ao documento mais antigo, desde que amparado por prova testemunhal convincente.</w:t>
      </w:r>
    </w:p>
    <w:p w14:paraId="29401D25" w14:textId="77777777" w:rsidR="005A5FCC" w:rsidRDefault="00A21C81">
      <w:pPr>
        <w:ind w:firstLine="238"/>
      </w:pPr>
      <w:r>
        <w:rPr>
          <w:rFonts w:cs="EB Garamond"/>
          <w:kern w:val="16"/>
          <w14:ligatures w14:val="standardContextual"/>
        </w:rPr>
        <w:t>O cálculo do salário de benefício da aposentadoria híbrida obedece às mesmas regras da aposentadoria por idade urbana. Para segurados que implementaram os requisitos antes de 13/11/2019, aplica-se o coeficiente de 70% + 1% por grupo de 12 contribuições, até o máximo de 100%, sobre a média dos 80% maiores salários de contribuição. Para requerimentos formulados após a EC 103/2019, o regime de cálculo é distinto, conforme detalhado na seção 9.22.</w:t>
      </w:r>
    </w:p>
    <w:tbl>
      <w:tblPr>
        <w:tblW w:w="5000" w:type="pct"/>
        <w:jc w:val="center"/>
        <w:tblLayout w:type="fixed"/>
        <w:tblLook w:val="04A0" w:firstRow="1" w:lastRow="0" w:firstColumn="1" w:lastColumn="0" w:noHBand="0" w:noVBand="1"/>
      </w:tblPr>
      <w:tblGrid>
        <w:gridCol w:w="6311"/>
      </w:tblGrid>
      <w:tr w:rsidR="005A5FCC" w14:paraId="5B448A46"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1BAAE418"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05FD236C" w14:textId="77777777" w:rsidR="005A5FCC" w:rsidRDefault="00A21C81">
            <w:pPr>
              <w:spacing w:after="60" w:line="247" w:lineRule="auto"/>
            </w:pPr>
            <w:r>
              <w:rPr>
                <w:rFonts w:cs="EB Garamond"/>
                <w:kern w:val="16"/>
                <w:sz w:val="19"/>
                <w14:ligatures w14:val="standardContextual"/>
              </w:rPr>
              <w:t>A aposentadoria híbrida é ferramenta processual de especial utilidade nos JEFs. Muitos segurados ingressam com pedido de aposentadoria por idade rural, mas, ao longo da instrução, verifica-se que possuem vínculos urbanos que impedem o enquadramento exclusivo como segurado especial durante todo o período de carência. Nesses casos, o princípio do jura novit curia autoriza o juiz a enquadrar o pedido como aposentadoria híbrida, desde que preenchidos os respectivos requisitos. A aplicação do Tema 1.007/STJ permite computar todo o período rural comprovado, sem exigência de contemporaneidade, o que amplia significativamente o universo de segurados elegíveis. É recomendável que a petição inicial formule pedidos subsidiários, pleiteando a aposentadoria rural e, alternativamente, a aposentadoria híbrida, com base no art. 48, § 3º.</w:t>
            </w:r>
          </w:p>
        </w:tc>
      </w:tr>
    </w:tbl>
    <w:p w14:paraId="6F79876D" w14:textId="77777777" w:rsidR="005A5FCC" w:rsidRDefault="005A5FCC">
      <w:pPr>
        <w:spacing w:after="80" w:line="240" w:lineRule="auto"/>
      </w:pPr>
    </w:p>
    <w:p w14:paraId="244D654C"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4833E276" w14:textId="77777777" w:rsidR="005A5FCC" w:rsidRDefault="00A21C81">
      <w:r>
        <w:rPr>
          <w:rFonts w:cs="EB Garamond"/>
          <w:kern w:val="16"/>
          <w14:ligatures w14:val="standardContextual"/>
        </w:rPr>
        <w:t xml:space="preserve"> questão da aposentadoria híbrida para segurados que exercem atividade rural na data do requerimento, mas que possuem significativo período de contribuição urbana anterior, merece tratamento diferenciado. A dúvida é se esse segurado faz jus à aposentadoria por idade rural (com redução etária de cinco anos) ou se deve se submeter aos requisitos da aposentadoria híbrida (sem redução). O STJ, no Tema 642, condicionou a aposentadoria rural à contemporaneidade entre a atividade rural e o implemento etário. Entendemos que, quando o segurado exerce atividade rural na data do requerimento e comprova 15 anos de atividade rural (mesmo que descontínuos), faz jus à aposentadoria por idade rural com redução etária, e não à híbrida, desde que os 180 meses de atividade rural estejam comprovados. A aposentadoria híbrida é alternativa para aqueles que não alcançam os 180 meses de atividade exclusivamente rural.</w:t>
      </w:r>
    </w:p>
    <w:p w14:paraId="09839825" w14:textId="77777777" w:rsidR="005A5FCC" w:rsidRDefault="00A21C81">
      <w:pPr>
        <w:ind w:firstLine="238"/>
      </w:pPr>
      <w:r>
        <w:rPr>
          <w:rFonts w:cs="EB Garamond"/>
          <w:kern w:val="16"/>
          <w14:ligatures w14:val="standardContextual"/>
        </w:rPr>
        <w:t xml:space="preserve">A questão da necessidade de atividade rural no momento do requerimento para fins de aposentadoria híbrida foi igualmente resolvida pelo próprio Tema 1.007. Ao fixar que o tempo rural é computável "seja qual for a predominância do labor misto exercido no período de carência ou o tipo de trabalho exercido no momento do implemento do requisito etário", o STJ afastou a exigência de que o segurado esteja exercendo atividade rural na data do requerimento para obter aposentadoria híbrida — basta que a soma dos períodos rurais e urbanos alcance </w:t>
      </w:r>
      <w:r>
        <w:rPr>
          <w:rFonts w:cs="EB Garamond"/>
          <w:kern w:val="16"/>
          <w14:ligatures w14:val="standardContextual"/>
        </w:rPr>
        <w:lastRenderedPageBreak/>
        <w:t>a carência. Esse entendimento consolida a aposentadoria híbrida como instrumento inclusivo, acessível tanto ao segurado que permanece no campo quanto ao que já migrou definitivamente para a atividade urbana.</w:t>
      </w:r>
    </w:p>
    <w:p w14:paraId="18707DAA" w14:textId="03BC1951" w:rsidR="005A5FCC" w:rsidRDefault="00A21C81">
      <w:pPr>
        <w:ind w:firstLine="238"/>
      </w:pPr>
      <w:r>
        <w:rPr>
          <w:rFonts w:cs="EB Garamond"/>
          <w:kern w:val="16"/>
          <w14:ligatures w14:val="standardContextual"/>
        </w:rPr>
        <w:t xml:space="preserve">Ainda no campo da aposentadoria híbrida, a desnecessidade de recolhimento de contribuições sobre o tempo rural decorre do próprio Tema 1.007, cuja tese é expressa ao admitir o cômputo "ainda que não tenha sido efetivado o recolhimento das contribuições". A redação da tese reporta-se a tempo rural anterior à Lei n. 8.213/91; quanto ao período rural posterior a 1991, a dispensa de recolhimento, para o benefício no valor de um </w:t>
      </w:r>
      <w:r w:rsidR="00C94FF0">
        <w:rPr>
          <w:rFonts w:cs="EB Garamond"/>
          <w:kern w:val="16"/>
          <w14:ligatures w14:val="standardContextual"/>
        </w:rPr>
        <w:t>salário-mínimo</w:t>
      </w:r>
      <w:r>
        <w:rPr>
          <w:rFonts w:cs="EB Garamond"/>
          <w:kern w:val="16"/>
          <w14:ligatures w14:val="standardContextual"/>
        </w:rPr>
        <w:t xml:space="preserve">, encontra fundamento autônomo no art. 39, inciso I, da Lei n. 8.213/91, que assegura ao segurado especial os benefícios nesse valor mediante a simples comprovação do exercício de atividade rural (na forma da Súmula 149/STJ), sem exigência de contribuição. Convém registrar a ressalva: quando o segurado pretende benefício de valor superior ao </w:t>
      </w:r>
      <w:r w:rsidR="00C94FF0">
        <w:rPr>
          <w:rFonts w:cs="EB Garamond"/>
          <w:kern w:val="16"/>
          <w14:ligatures w14:val="standardContextual"/>
        </w:rPr>
        <w:t>salário-mínimo</w:t>
      </w:r>
      <w:r>
        <w:rPr>
          <w:rFonts w:cs="EB Garamond"/>
          <w:kern w:val="16"/>
          <w14:ligatures w14:val="standardContextual"/>
        </w:rPr>
        <w:t xml:space="preserve">, a jurisprudência do STJ exige, para o tempo rural posterior a 1991, o recolhimento das contribuições facultativas a que alude o art. 39, inciso II — exigência que não alcança a aposentadoria híbrida concedida no piso. Conjugados esses fundamentos, a aposentadoria híbrida ganha contornos de ampla acessibilidade ao segurado que transitou entre o campo e a cidade, dispensando, a um só tempo, a contemporaneidade entre a atividade rural e o implemento etário e — no benefício de um </w:t>
      </w:r>
      <w:r w:rsidR="00C94FF0">
        <w:rPr>
          <w:rFonts w:cs="EB Garamond"/>
          <w:kern w:val="16"/>
          <w14:ligatures w14:val="standardContextual"/>
        </w:rPr>
        <w:t>salário-mínimo</w:t>
      </w:r>
      <w:r>
        <w:rPr>
          <w:rFonts w:cs="EB Garamond"/>
          <w:kern w:val="16"/>
          <w14:ligatures w14:val="standardContextual"/>
        </w:rPr>
        <w:t xml:space="preserve"> — o recolhimento de contribuições sobre o período rural comprovado.</w:t>
      </w:r>
    </w:p>
    <w:tbl>
      <w:tblPr>
        <w:tblW w:w="5000" w:type="pct"/>
        <w:jc w:val="center"/>
        <w:tblLayout w:type="fixed"/>
        <w:tblLook w:val="04A0" w:firstRow="1" w:lastRow="0" w:firstColumn="1" w:lastColumn="0" w:noHBand="0" w:noVBand="1"/>
      </w:tblPr>
      <w:tblGrid>
        <w:gridCol w:w="6311"/>
      </w:tblGrid>
      <w:tr w:rsidR="005A5FCC" w14:paraId="5DCC5870"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2E919B68"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2303A48C" w14:textId="77777777" w:rsidR="005A5FCC" w:rsidRDefault="00A21C81">
            <w:pPr>
              <w:spacing w:after="60" w:line="247" w:lineRule="auto"/>
            </w:pPr>
            <w:r>
              <w:rPr>
                <w:rFonts w:cs="EB Garamond"/>
                <w:kern w:val="16"/>
                <w:sz w:val="19"/>
                <w14:ligatures w14:val="standardContextual"/>
              </w:rPr>
              <w:t>A aposentadoria por idade rural (art. 48, §§ 1º e 2º) e a aposentadoria por idade híbrida (art. 48, § 3º) são benefícios distintos, com requisitos diferentes. Na aposentadoria rural, a idade mínima é 60/55 anos e exige-se contemporaneidade entre a atividade rural e o implemento etário (Tema 642/STJ). Na aposentadoria híbrida, a idade mínima é 65/60 anos e não se exige contemporaneidade (Tema 1.007/STJ). A distinção tem repercussão direta na estratégia processual: se o segurado completa 55 ou 60 anos exercendo atividade rural e demonstra 180 meses de labor rural, o pedido correto é a aposentadoria rural (com idade reduzida). Se o segurado está na cidade e possui períodos rurais insuficientes para 180 meses, mas suficientes para complementar o período urbano, a aposentadoria híbrida é a via adequada (com idade cheia).</w:t>
            </w:r>
          </w:p>
        </w:tc>
      </w:tr>
    </w:tbl>
    <w:p w14:paraId="0369A8C4" w14:textId="77777777" w:rsidR="005A5FCC" w:rsidRDefault="005A5FCC">
      <w:pPr>
        <w:spacing w:after="80" w:line="240" w:lineRule="auto"/>
      </w:pPr>
    </w:p>
    <w:p w14:paraId="077C2626"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9.12 Trabalho rural infantil</w:t>
      </w:r>
    </w:p>
    <w:p w14:paraId="40D02319"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0BDF3EC4" w14:textId="77777777" w:rsidR="005A5FCC" w:rsidRDefault="00A21C81">
      <w:r>
        <w:rPr>
          <w:rFonts w:cs="EB Garamond"/>
          <w:kern w:val="16"/>
          <w14:ligatures w14:val="standardContextual"/>
        </w:rPr>
        <w:t xml:space="preserve"> cômputo de trabalho rural exercido durante a infância ou adolescência é questão de relevância prática nos JEFs, dada a realidade do meio rural brasileiro, onde o trabalho infantil na lavoura familiar é historicamente presente. O ordenamento jurídico proíbe o trabalho do menor de 16 anos (art. 7º, XXXIII, da CF/88, com redação da EC 20/1998), mas milhões de brasileiros iniciaram a vida laboral no campo antes dessa idade.</w:t>
      </w:r>
    </w:p>
    <w:p w14:paraId="0E77A006" w14:textId="77777777" w:rsidR="005A5FCC" w:rsidRDefault="00A21C81">
      <w:pPr>
        <w:ind w:firstLine="238"/>
      </w:pPr>
      <w:r>
        <w:rPr>
          <w:rFonts w:cs="EB Garamond"/>
          <w:kern w:val="16"/>
          <w14:ligatures w14:val="standardContextual"/>
        </w:rPr>
        <w:t>A jurisprudência resolveu essa tensão com base no princípio da proteção ao trabalhador e no da dignidade da pessoa humana: o trabalho infantil rural efetivamente exercido deve ser computado para fins previdenciários, porque a vedação constitucional visa proteger o menor, não penalizá-lo. Negar o cômputo do tempo de trabalho efetivamente prestado significaria impor ao trabalhador dupla punição: exploração na infância e prejuízo previdenciário na maturidade.</w:t>
      </w:r>
    </w:p>
    <w:p w14:paraId="1E42D036" w14:textId="77777777" w:rsidR="005A5FCC" w:rsidRDefault="00A21C81">
      <w:pPr>
        <w:ind w:firstLine="238"/>
      </w:pPr>
      <w:r>
        <w:rPr>
          <w:rFonts w:cs="EB Garamond"/>
          <w:kern w:val="16"/>
          <w14:ligatures w14:val="standardContextual"/>
        </w:rPr>
        <w:t>O STJ consolidou o entendimento de que a proibição do trabalho infantil não pode ser arguida em desfavor do trabalhador para negar-lhe o reconhecimento de direito previdenciário. A Constituição de 1988, em sua redação original (art. 7º, XXXIII), proibia o trabalho do menor de 14 anos, salvo na condição de aprendiz. A EC 20/1998 elevou esse limite para 16 anos (com aprendizagem a partir dos 14). A TNU e os TRFs admitem o cômputo do trabalho rural a partir dos 12 anos de idade, com fundamento na legislação infraconstitucional vigente à época (CLT, art. 403, redação anterior). Mais do que isso, a TNU, no julgamento do Tema 219, foi além do referencial dos 12 anos e fixou a tese de que "é possível o cômputo do tempo de serviço rural exercido por pessoa com idade inferior a 12 (doze) anos na época da prestação do labor campesino". A tese consolidou-se no PEDILEF 5008955-78.2018.4.04.7202/SC (rel. Juiz Federal Jairo da Silva Pinto, j. 23/06/2022), processo vinculado ao tema após o desligamento do feito originariamente afetado (PEDILEF 0007460-42.2011.4.03.6302/SP). O precedente confere segurança ao reconhecimento do trabalho rural prestado em idade ainda mais precoce, quando o conjunto probatório demonstrar o exercício efetivo de atividade rural em regime de economia familiar.</w:t>
      </w:r>
    </w:p>
    <w:tbl>
      <w:tblPr>
        <w:tblW w:w="5000" w:type="pct"/>
        <w:jc w:val="center"/>
        <w:tblLayout w:type="fixed"/>
        <w:tblLook w:val="04A0" w:firstRow="1" w:lastRow="0" w:firstColumn="1" w:lastColumn="0" w:noHBand="0" w:noVBand="1"/>
      </w:tblPr>
      <w:tblGrid>
        <w:gridCol w:w="6311"/>
      </w:tblGrid>
      <w:tr w:rsidR="005A5FCC" w14:paraId="54B868EA"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043A6CC8" w14:textId="77777777" w:rsidR="005A5FCC" w:rsidRDefault="00A21C81">
            <w:pPr>
              <w:spacing w:after="60" w:line="240" w:lineRule="auto"/>
              <w:jc w:val="left"/>
            </w:pPr>
            <w:r>
              <w:rPr>
                <w:rFonts w:ascii="Noto Sans" w:hAnsi="Noto Sans" w:cs="Noto Sans"/>
                <w:b/>
                <w:caps/>
                <w:color w:val="B78B37"/>
                <w:kern w:val="16"/>
                <w:sz w:val="16"/>
                <w14:ligatures w14:val="standardContextual"/>
              </w:rPr>
              <w:lastRenderedPageBreak/>
              <w:t>ATENÇÃO</w:t>
            </w:r>
          </w:p>
          <w:p w14:paraId="506BDADE" w14:textId="77777777" w:rsidR="005A5FCC" w:rsidRDefault="00A21C81">
            <w:pPr>
              <w:spacing w:after="60" w:line="247" w:lineRule="auto"/>
            </w:pPr>
            <w:r>
              <w:rPr>
                <w:rFonts w:cs="EB Garamond"/>
                <w:kern w:val="16"/>
                <w:sz w:val="19"/>
                <w14:ligatures w14:val="standardContextual"/>
              </w:rPr>
              <w:t>A comprovação do trabalho rural infantil segue as mesmas regras do regime probatório da atividade rural, com a particularidade de que a prova testemunhal assume papel preponderante, dada a dificuldade de obtenção de documentos em nome do menor. A certidão de nascimento com qualificação dos pais como trabalhadores rurais constitui início de prova material apto a amparar a prova testemunhal. Fichas de matrícula escolar em estabelecimentos rurais, com indicação da atividade agrícola dos genitores, são igualmente aceitas. A documentação em nome dos pais pode ser utilizada extensivamente para comprovar o trabalho do filho menor no regime de economia familiar, nos termos da Súmula 6 da TNU e da jurisprudência consolidada dos TRFs.</w:t>
            </w:r>
          </w:p>
        </w:tc>
      </w:tr>
    </w:tbl>
    <w:p w14:paraId="419DB2EC" w14:textId="77777777" w:rsidR="005A5FCC" w:rsidRDefault="005A5FCC">
      <w:pPr>
        <w:spacing w:after="80" w:line="240" w:lineRule="auto"/>
      </w:pPr>
    </w:p>
    <w:p w14:paraId="59E5E06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62DD9824" w14:textId="77777777" w:rsidR="005A5FCC" w:rsidRDefault="00A21C81">
      <w:r>
        <w:rPr>
          <w:rFonts w:cs="EB Garamond"/>
          <w:kern w:val="16"/>
          <w14:ligatures w14:val="standardContextual"/>
        </w:rPr>
        <w:t xml:space="preserve"> reconhecimento do trabalho rural infantil para fins previdenciários não legitima a exploração do trabalho do menor — ao contrário, reconhece uma situação fática que, embora vedada pelo ordenamento, produziu efeitos previdenciários que não podem ser desconsiderados em prejuízo do trabalhador. A posição adotada pela jurisprudência é coerente com o princípio da primazia da realidade, que permeia o Direito do Trabalho e o Direito Previdenciário.</w:t>
      </w:r>
    </w:p>
    <w:p w14:paraId="6A22920A" w14:textId="77777777" w:rsidR="005A5FCC" w:rsidRDefault="00A21C81">
      <w:pPr>
        <w:ind w:firstLine="238"/>
      </w:pPr>
      <w:r>
        <w:rPr>
          <w:rFonts w:cs="EB Garamond"/>
          <w:kern w:val="16"/>
          <w14:ligatures w14:val="standardContextual"/>
        </w:rPr>
        <w:t>A questão do trabalho rural infantil assume especial relevância no cômputo do tempo de atividade rural para fins de aposentadoria por idade (rural ou híbrida). Em muitos casos, o segurado que ingressou precocemente na atividade agrícola já completou 15 anos de trabalho rural muito antes de atingir a idade mínima para a aposentadoria. Nesses casos, o tempo de atividade rural infantil pode ser determinante para demonstrar o preenchimento da carência, especialmente quando há períodos intercalados de atividade urbana que reduzem o tempo rural efetivo. A doutrina destaca que o cômputo do trabalho rural infantil opera como mecanismo de justiça social, compensando, no plano previdenciário, a vulnerabilidade a que o menor foi submetido no plano trabalhista. A prova desse trabalho, conforme examinado, segue regime mitigado de exigência documental, prevalecendo a prova testemunhal como elemento de convicção preponderante, ancorada em início de prova material em nome dos genitores.</w:t>
      </w:r>
    </w:p>
    <w:p w14:paraId="4B49783A"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9.13 Período de entressafra e atividades urbanas intercaladas</w:t>
      </w:r>
    </w:p>
    <w:p w14:paraId="5C9626CE"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075B8F98" w14:textId="77777777" w:rsidR="005A5FCC" w:rsidRDefault="00A21C81">
      <w:r>
        <w:rPr>
          <w:rFonts w:cs="EB Garamond"/>
          <w:kern w:val="16"/>
          <w14:ligatures w14:val="standardContextual"/>
        </w:rPr>
        <w:t xml:space="preserve"> sazonalidade da atividade agrícola impõe ao trabalhador rural períodos de menor ou nenhuma atividade produtiva entre as safras. Durante a entressafra, é comum que o segurado especial busque complementar a renda familiar com atividades urbanas temporárias, construção civil, serviços gerais, comércio informal, retornando à atividade rural no período seguinte de plantio ou colheita.</w:t>
      </w:r>
    </w:p>
    <w:p w14:paraId="5EA07D21" w14:textId="77777777" w:rsidR="005A5FCC" w:rsidRDefault="00A21C81">
      <w:pPr>
        <w:ind w:firstLine="238"/>
      </w:pPr>
      <w:r>
        <w:rPr>
          <w:rFonts w:cs="EB Garamond"/>
          <w:kern w:val="16"/>
          <w14:ligatures w14:val="standardContextual"/>
        </w:rPr>
        <w:t>A Lei n. 11.718/2008 endereçou a questão ao prever, no art. 11, § 9º, inciso III, da Lei n. 8.213/91, que o exercício de atividade remunerada em período não superior a 120 dias, corridos ou intercalados, no ano civil, não descaracteriza a condição de segurado especial; e, no inciso VI do mesmo parágrafo, que a obtenção de outras fontes de renda em valor mensal não superior a um salário mínimo não desnatura o regime de economia familiar. O limite de 120 dias, de matriz legal, é reproduzido e detalhado no Regulamento da Previdência Social (Decreto n. 3.048/1999, art. 9º, com a redação do Decreto n. 10.410/2020), que explicita poder o segurado especial exercer atividade remunerada em período de entressafra ou de defeso, sem perder a condição, desde que não ultrapasse os 120 dias no ano civil.</w:t>
      </w:r>
    </w:p>
    <w:p w14:paraId="4DED3CB2" w14:textId="77777777" w:rsidR="005A5FCC" w:rsidRDefault="00A21C81">
      <w:pPr>
        <w:ind w:firstLine="238"/>
      </w:pPr>
      <w:r>
        <w:rPr>
          <w:rFonts w:cs="EB Garamond"/>
          <w:kern w:val="16"/>
          <w14:ligatures w14:val="standardContextual"/>
        </w:rPr>
        <w:t>O prazo de 120 dias é referencial administrativo, não constitui limite absoluto na apreciação judicial. A jurisprudência dos TRFs e da TNU examina cada caso concreto para verificar se a atividade urbana de entressafra desnaturou o regime de economia familiar ou se manteve a atividade rural como ocupação principal. Em alguns julgados, períodos urbanos superiores a 120 dias foram admitidos quando o conjunto probatório demonstrava a preponderância inequívoca da atividade rural.</w:t>
      </w:r>
    </w:p>
    <w:p w14:paraId="213E4D1C" w14:textId="77777777" w:rsidR="005A5FCC" w:rsidRDefault="00A21C81">
      <w:pPr>
        <w:ind w:firstLine="238"/>
      </w:pPr>
      <w:r>
        <w:rPr>
          <w:rFonts w:cs="EB Garamond"/>
          <w:kern w:val="16"/>
          <w14:ligatures w14:val="standardContextual"/>
        </w:rPr>
        <w:t xml:space="preserve">A distinção entre entressafra e abandono da atividade rural é crucial e exige análise cuidadosa das circunstâncias do caso concreto. Na entressafra, o segurado mantém a vocação agrícola, preserva os vínculos com a propriedade rural (residência, posse, manutenção das lavouras), e retorna ao campo tão logo as condições permitam. O padrão típico é a alternância sazonal: o segurado trabalha na </w:t>
      </w:r>
      <w:r>
        <w:rPr>
          <w:rFonts w:cs="EB Garamond"/>
          <w:kern w:val="16"/>
          <w14:ligatures w14:val="standardContextual"/>
        </w:rPr>
        <w:lastRenderedPageBreak/>
        <w:t>lavoura durante o período de plantio e colheita e busca renda complementar na cidade durante os meses de menor atividade agrícola. A periodicidade e a regularidade desse padrão constituem forte indício da manutenção da condição de segurado especial.</w:t>
      </w:r>
    </w:p>
    <w:p w14:paraId="6E20F9D8" w14:textId="77777777" w:rsidR="005A5FCC" w:rsidRDefault="00A21C81">
      <w:pPr>
        <w:ind w:firstLine="238"/>
      </w:pPr>
      <w:r>
        <w:rPr>
          <w:rFonts w:cs="EB Garamond"/>
          <w:kern w:val="16"/>
          <w14:ligatures w14:val="standardContextual"/>
        </w:rPr>
        <w:t>No abandono, por outro lado, o segurado migra definitivamente para a atividade urbana, desfaz os vínculos com a propriedade rural (vende a terra, muda a residência para a cidade, não retorna ao campo), e passa a exercer atividade urbana como ocupação principal e permanente. Apenas no primeiro caso, entressafra, a condição de segurado especial é preservada. A doutrina destaca que a interpretação deve ser guiada pelo princípio da razoabilidade: o segurado especial que reside no campo, cultiva a terra em regime familiar e busca renda urbana complementar em períodos sazonais não pode ser equiparado ao trabalhador que abandonou definitivamente a atividade rural.</w:t>
      </w:r>
    </w:p>
    <w:tbl>
      <w:tblPr>
        <w:tblW w:w="5000" w:type="pct"/>
        <w:jc w:val="center"/>
        <w:tblLayout w:type="fixed"/>
        <w:tblLook w:val="04A0" w:firstRow="1" w:lastRow="0" w:firstColumn="1" w:lastColumn="0" w:noHBand="0" w:noVBand="1"/>
      </w:tblPr>
      <w:tblGrid>
        <w:gridCol w:w="6311"/>
      </w:tblGrid>
      <w:tr w:rsidR="005A5FCC" w14:paraId="22CDDE52"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021DC909"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4BB61198" w14:textId="77777777" w:rsidR="005A5FCC" w:rsidRDefault="00A21C81">
            <w:pPr>
              <w:spacing w:after="60" w:line="247" w:lineRule="auto"/>
            </w:pPr>
            <w:r>
              <w:rPr>
                <w:rFonts w:cs="EB Garamond"/>
                <w:kern w:val="16"/>
                <w:sz w:val="19"/>
                <w14:ligatures w14:val="standardContextual"/>
              </w:rPr>
              <w:t>Na instrução processual nos JEFs, a verificação do CNIS do segurado frequentemente revela registros de vínculos empregatícios urbanos curtos (30, 60, 90 dias), intercalados com longos períodos sem registro. Esse padrão é compatível com a atividade de entressafra e não deve, por si só, descaracterizar a condição de segurado especial. O magistrado deve confrontar as datas dos vínculos urbanos com o calendário agrícola regional, verificando se os períodos de emprego urbano coincidem com os intervalos entre safras. Testemunhas que confirmem o retorno do segurado à atividade rural após os períodos urbanos reforçam a tese da entressafra.</w:t>
            </w:r>
          </w:p>
        </w:tc>
      </w:tr>
    </w:tbl>
    <w:p w14:paraId="4ED6C20F" w14:textId="77777777" w:rsidR="005A5FCC" w:rsidRDefault="005A5FCC">
      <w:pPr>
        <w:spacing w:after="80" w:line="240" w:lineRule="auto"/>
      </w:pPr>
    </w:p>
    <w:p w14:paraId="1FDFA439"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9.14 Módulos fiscais e propriedade rural superior a quatro módulos</w:t>
      </w:r>
    </w:p>
    <w:p w14:paraId="61ABF253"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1C7C4F45" w14:textId="77777777" w:rsidR="005A5FCC" w:rsidRDefault="00A21C81">
      <w:r>
        <w:rPr>
          <w:rFonts w:cs="EB Garamond"/>
          <w:kern w:val="16"/>
          <w14:ligatures w14:val="standardContextual"/>
        </w:rPr>
        <w:t xml:space="preserve"> limite de quatro módulos fiscais, previsto no art. 11, inciso VII, alínea "a", da Lei n. 8.213/91, é requisito legal para a configuração do segurado especial na modalidade de produtor agropecuário. A propriedade que exceda esse limite, em princípio, afasta o enquadramento como segurado especial, sob a </w:t>
      </w:r>
      <w:r>
        <w:rPr>
          <w:rFonts w:cs="EB Garamond"/>
          <w:kern w:val="16"/>
          <w14:ligatures w14:val="standardContextual"/>
        </w:rPr>
        <w:lastRenderedPageBreak/>
        <w:t>premissa de que áreas maiores pressupõem capacidade econômica incompatível com o regime de economia familiar.</w:t>
      </w:r>
    </w:p>
    <w:p w14:paraId="67F9B9DE" w14:textId="77777777" w:rsidR="005A5FCC" w:rsidRDefault="00A21C81">
      <w:pPr>
        <w:ind w:firstLine="238"/>
      </w:pPr>
      <w:r>
        <w:rPr>
          <w:rFonts w:cs="EB Garamond"/>
          <w:kern w:val="16"/>
          <w14:ligatures w14:val="standardContextual"/>
        </w:rPr>
        <w:t>A rigidez desse critério foi temperada pela jurisprudência. O STJ, no julgamento do Tema 1.115 (REsp 1.947.404/SP, rel. Min. Benedito Gonçalves, j. 23/11/2022, DJe 07/12/2022), fixou tese de grande repercussão nos JEFs, no sentido de que a propriedade com área superior a quatro módulos fiscais não descaracteriza, por si só, o regime de economia familiar do segurado especial, devendo ser analisadas as circunstâncias do caso concreto para verificar se a exploração efetivamente se dá em regime familiar.</w:t>
      </w:r>
    </w:p>
    <w:tbl>
      <w:tblPr>
        <w:tblW w:w="5000" w:type="pct"/>
        <w:jc w:val="center"/>
        <w:tblLayout w:type="fixed"/>
        <w:tblLook w:val="04A0" w:firstRow="1" w:lastRow="0" w:firstColumn="1" w:lastColumn="0" w:noHBand="0" w:noVBand="1"/>
      </w:tblPr>
      <w:tblGrid>
        <w:gridCol w:w="6311"/>
      </w:tblGrid>
      <w:tr w:rsidR="005A5FCC" w14:paraId="16182D62"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725C7581" w14:textId="77777777" w:rsidR="005A5FCC" w:rsidRDefault="00A21C81">
            <w:pPr>
              <w:spacing w:after="60" w:line="240" w:lineRule="auto"/>
              <w:jc w:val="left"/>
            </w:pPr>
            <w:r>
              <w:rPr>
                <w:rFonts w:ascii="Noto Sans" w:hAnsi="Noto Sans" w:cs="Noto Sans"/>
                <w:b/>
                <w:caps/>
                <w:color w:val="4D6F8A"/>
                <w:kern w:val="16"/>
                <w:sz w:val="16"/>
                <w14:ligatures w14:val="standardContextual"/>
              </w:rPr>
              <w:t>JURISPRUDÊNCIA EM DESTAQUE</w:t>
            </w:r>
          </w:p>
          <w:p w14:paraId="6014B95E" w14:textId="77777777" w:rsidR="005A5FCC" w:rsidRDefault="00A21C81">
            <w:pPr>
              <w:spacing w:after="60" w:line="247" w:lineRule="auto"/>
            </w:pPr>
            <w:r>
              <w:rPr>
                <w:rFonts w:cs="EB Garamond"/>
                <w:b/>
                <w:kern w:val="16"/>
                <w:sz w:val="19"/>
                <w14:ligatures w14:val="standardContextual"/>
              </w:rPr>
              <w:t>STJ, Tema 1.115 (REsp 1.947.404/SP, rel. Min. Benedito Gonçalves, j. 23/11/2022, DJe 07/12/2022)</w:t>
            </w:r>
            <w:r>
              <w:rPr>
                <w:rFonts w:cs="EB Garamond"/>
                <w:kern w:val="16"/>
                <w:sz w:val="19"/>
                <w14:ligatures w14:val="standardContextual"/>
              </w:rPr>
              <w:t>: A tese firmada reconhece que o critério de quatro módulos fiscais é indicativo, não absoluto, devendo ser conjugado com outros elementos: a área efetivamente explorada pelo grupo familiar, a existência de empregados permanentes, a renda bruta anual, o tipo de exploração agrícola e a vocação do imóvel. Em regiões onde o módulo fiscal é pequeno, o limite de quatro módulos pode corresponder a uma área muito reduzida, insuficiente para sustentar uma família. Em regiões de pecuária extensiva, propriedades acima de quatro módulos podem ser exploradas em regime familiar, com baixa produtividade por hectare. A decisão do STJ impõe ao julgador a análise concreta, vedando o indeferimento automático fundado no critério quantitativo de área.</w:t>
            </w:r>
          </w:p>
        </w:tc>
      </w:tr>
    </w:tbl>
    <w:p w14:paraId="3891C119" w14:textId="77777777" w:rsidR="005A5FCC" w:rsidRDefault="005A5FCC">
      <w:pPr>
        <w:spacing w:after="80" w:line="240" w:lineRule="auto"/>
      </w:pPr>
    </w:p>
    <w:p w14:paraId="4AA9B44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6B75B340" w14:textId="77777777" w:rsidR="005A5FCC" w:rsidRDefault="00A21C81">
      <w:r>
        <w:rPr>
          <w:rFonts w:cs="EB Garamond"/>
          <w:kern w:val="16"/>
          <w14:ligatures w14:val="standardContextual"/>
        </w:rPr>
        <w:t xml:space="preserve"> aplicação do Tema 1.115 nos JEFs exige atenção a duas situações distintas. Na primeira, o segurado é proprietário de área superior a quatro módulos fiscais, mas explora efetivamente apenas parte do imóvel, em regime de economia familiar, mantendo o restante como reserva legal ou área de preservação permanente. A jurisprudência admite o enquadramento como segurado especial, considerando a área efetivamente explorada. Na segunda situação, a totalidade da área é explorada, mas em regime familiar, sem empregados permanentes e com renda compatível com a economia de subsistência. A aplicação do Tema 1.115 igualmente permite o enquadramento, desde que demonstrada a efetividade do regime familiar.</w:t>
      </w:r>
    </w:p>
    <w:p w14:paraId="1D6A8594" w14:textId="77777777" w:rsidR="005A5FCC" w:rsidRDefault="00A21C81">
      <w:pPr>
        <w:ind w:firstLine="238"/>
      </w:pPr>
      <w:r>
        <w:rPr>
          <w:rFonts w:cs="EB Garamond"/>
          <w:kern w:val="16"/>
          <w14:ligatures w14:val="standardContextual"/>
        </w:rPr>
        <w:lastRenderedPageBreak/>
        <w:t>A prova da exploração em regime de economia familiar, quando a área supera quatro módulos fiscais, exige robustez documental superior à ordinária. O segurado deve demonstrar, por meio de documentos fiscais, declarações de imposto de renda, DAP, contratos de comercialização e outros elementos, que a exploração mantém caráter familiar. A prova testemunhal, embora relevante, pode ser insuficiente isoladamente para superar a presunção legal de que áreas superiores a quatro módulos não se enquadram no regime de economia familiar.</w:t>
      </w:r>
    </w:p>
    <w:p w14:paraId="1A9344D4"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9.15 A EC 103/2019 e a aposentadoria do segurado rural</w:t>
      </w:r>
    </w:p>
    <w:p w14:paraId="1EC4262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65F75A70" w14:textId="77777777" w:rsidR="005A5FCC" w:rsidRDefault="00A21C81">
      <w:r>
        <w:rPr>
          <w:rFonts w:cs="EB Garamond"/>
          <w:kern w:val="16"/>
          <w14:ligatures w14:val="standardContextual"/>
        </w:rPr>
        <w:t xml:space="preserve"> EC 103/2019 não alterou os requisitos da aposentadoria por idade rural: as idades de 60/55 anos e os 180 meses de atividade rural permanecem intactos. O art. 201, § 7º, inciso II, da Constituição Federal manteve a redação que prevê a redução de cinco anos nos requisitos etários para trabalhadores rurais. Consequentemente, as idades de 60 anos (homem) e 55 anos (mulher) permanecem inalteradas, assim como a exigência de 180 meses de comprovação de atividade rural para o segurado especial.</w:t>
      </w:r>
    </w:p>
    <w:p w14:paraId="5D555918" w14:textId="77777777" w:rsidR="005A5FCC" w:rsidRDefault="00A21C81">
      <w:pPr>
        <w:ind w:firstLine="238"/>
      </w:pPr>
      <w:r>
        <w:rPr>
          <w:rFonts w:cs="EB Garamond"/>
          <w:kern w:val="16"/>
          <w14:ligatures w14:val="standardContextual"/>
        </w:rPr>
        <w:t>Essa opção constitucional foi deliberada. Como ensinam Castro e Lazzari (2025), durante os debates legislativos da PEC 6/2019 (que resultou na EC 103), chegou-se a propor a elevação gradual da idade mínima para aposentadoria rural, mas a proposta foi rejeitada pela Câmara dos Deputados, que reconheceu a vulnerabilidade socioeconômica do trabalhador rural e a necessidade de manter a proteção diferenciada.</w:t>
      </w:r>
    </w:p>
    <w:p w14:paraId="2E47E8D4" w14:textId="05E57CF2" w:rsidR="005A5FCC" w:rsidRDefault="00A21C81">
      <w:pPr>
        <w:ind w:firstLine="238"/>
      </w:pPr>
      <w:r>
        <w:rPr>
          <w:rFonts w:cs="EB Garamond"/>
          <w:kern w:val="16"/>
          <w14:ligatures w14:val="standardContextual"/>
        </w:rPr>
        <w:t xml:space="preserve">A EC 103/2019 impactou, contudo, aspectos colaterais que afetam indiretamente a aposentadoria rural. O novo regime de cálculo dos benefícios — média de 100% dos salários de contribuição (art. 26 da EC 103/2019), substituindo a média dos 80% maiores — aplica-se, em tese, a todos os benefícios do RGPS. Contudo, como a quase totalidade das aposentadorias rurais é concedida no valor de um </w:t>
      </w:r>
      <w:r w:rsidR="00C94FF0">
        <w:rPr>
          <w:rFonts w:cs="EB Garamond"/>
          <w:kern w:val="16"/>
          <w14:ligatures w14:val="standardContextual"/>
        </w:rPr>
        <w:t>salário-mínimo</w:t>
      </w:r>
      <w:r>
        <w:rPr>
          <w:rFonts w:cs="EB Garamond"/>
          <w:kern w:val="16"/>
          <w14:ligatures w14:val="standardContextual"/>
        </w:rPr>
        <w:t xml:space="preserve"> (por se tratar de segurado especial que não contribui sobre base de cálculo superior), o impacto prático dessa alteração é restrito.</w:t>
      </w:r>
    </w:p>
    <w:p w14:paraId="17BBD134" w14:textId="77777777" w:rsidR="005A5FCC" w:rsidRDefault="00A21C81">
      <w:pPr>
        <w:ind w:firstLine="238"/>
      </w:pPr>
      <w:r>
        <w:rPr>
          <w:rFonts w:cs="EB Garamond"/>
          <w:kern w:val="16"/>
          <w14:ligatures w14:val="standardContextual"/>
        </w:rPr>
        <w:lastRenderedPageBreak/>
        <w:t>A proposta original da PEC 6/2019, encaminhada pelo Poder Executivo ao Congresso Nacional, continha alterações significativas que teriam impactado diretamente a aposentadoria rural: previa a elevação gradual da idade mínima para 60 anos (mulheres) e a exigência de tempo mínimo de contribuição de 20 anos. A rejeição dessas propostas pela Câmara dos Deputados foi precedida de amplo debate sobre as condições de vida e trabalho no meio rural brasileiro, com participação de entidades representativas dos trabalhadores rurais, e resultou na manutenção integral do regime vigente. O registro desse debate parlamentar é relevante para a interpretação da EC 103/2019: a preservação dos requisitos rurais não foi omissão do legislador, mas decisão deliberada e fundamentada.</w:t>
      </w:r>
    </w:p>
    <w:p w14:paraId="1B55769C" w14:textId="34537175" w:rsidR="005A5FCC" w:rsidRDefault="00A21C81">
      <w:pPr>
        <w:ind w:firstLine="238"/>
      </w:pPr>
      <w:r>
        <w:rPr>
          <w:rFonts w:cs="EB Garamond"/>
          <w:kern w:val="16"/>
          <w14:ligatures w14:val="standardContextual"/>
        </w:rPr>
        <w:t xml:space="preserve">A aposentadoria por idade híbrida (art. 48, § 3º, da Lei n. 8.213/91) sofreu impacto mais significativo da reforma. Para requerimentos formulados após 13/11/2019, o cálculo do salário de benefício obedece à nova regra da EC 103/2019: média de todos os salários de contribuição desde julho de 1994, com aplicação do coeficiente de 60% sobre essa média, acrescido de 2% para cada ano de contribuição que exceder 20 anos (homem) ou 15 anos (mulher). Na prática, segurados com poucos anos de contribuição urbana e baixos salários de contribuição podem receber benefício inferior ao </w:t>
      </w:r>
      <w:r w:rsidR="00C94FF0">
        <w:rPr>
          <w:rFonts w:cs="EB Garamond"/>
          <w:kern w:val="16"/>
          <w14:ligatures w14:val="standardContextual"/>
        </w:rPr>
        <w:t>salário-mínimo</w:t>
      </w:r>
      <w:r>
        <w:rPr>
          <w:rFonts w:cs="EB Garamond"/>
          <w:kern w:val="16"/>
          <w14:ligatures w14:val="standardContextual"/>
        </w:rPr>
        <w:t>, hipótese em que se aplica a garantia constitucional do piso mínimo (art. 201, § 2º, da CF/88).</w:t>
      </w:r>
    </w:p>
    <w:p w14:paraId="38B3F36C"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9.16 Período de graça do segurado especial</w:t>
      </w:r>
    </w:p>
    <w:p w14:paraId="6A8E4B4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6FEAC2D9" w14:textId="77777777" w:rsidR="005A5FCC" w:rsidRDefault="00A21C81">
      <w:r>
        <w:rPr>
          <w:rFonts w:cs="EB Garamond"/>
          <w:kern w:val="16"/>
          <w14:ligatures w14:val="standardContextual"/>
        </w:rPr>
        <w:t xml:space="preserve"> segurado especial que cessa a atividade rural mantém a qualidade de segurado durante o período de graça previsto no art. 15 da Lei n. 8.213/91. Conforme examinado no Capítulo 3, o período básico de manutenção é de 12 meses após a cessação das contribuições (ou, no caso do segurado especial, após a cessação da atividade rural), prorrogável nas hipóteses previstas nos §§ 1º e 2º do art. 15.</w:t>
      </w:r>
    </w:p>
    <w:p w14:paraId="1C41F9CB" w14:textId="77777777" w:rsidR="005A5FCC" w:rsidRDefault="00A21C81">
      <w:pPr>
        <w:ind w:firstLine="238"/>
      </w:pPr>
      <w:r>
        <w:rPr>
          <w:rFonts w:cs="EB Garamond"/>
          <w:kern w:val="16"/>
          <w14:ligatures w14:val="standardContextual"/>
        </w:rPr>
        <w:t>A aplicação do período de graça ao segurado especial comporta peculiaridades. A primeira diz respeito ao marco inicial: enquanto para os demais segurados o período de graça inicia-se com a cessação das contribuições, para o segurado espe</w:t>
      </w:r>
      <w:r>
        <w:rPr>
          <w:rFonts w:cs="EB Garamond"/>
          <w:kern w:val="16"/>
          <w14:ligatures w14:val="standardContextual"/>
        </w:rPr>
        <w:lastRenderedPageBreak/>
        <w:t>cial inicia-se com a cessação efetiva da atividade rural — dado que sua contribuição é presumida (incidente sobre a comercialização da produção), e não individualizada mensalmente.</w:t>
      </w:r>
    </w:p>
    <w:p w14:paraId="2A189712" w14:textId="77777777" w:rsidR="005A5FCC" w:rsidRDefault="00A21C81">
      <w:pPr>
        <w:ind w:firstLine="238"/>
      </w:pPr>
      <w:r>
        <w:rPr>
          <w:rFonts w:cs="EB Garamond"/>
          <w:kern w:val="16"/>
          <w14:ligatures w14:val="standardContextual"/>
        </w:rPr>
        <w:t>A segunda peculiaridade envolve a prorrogação por desemprego involuntário (art. 15, § 2º, da Lei n. 8.213/91). O conceito de "desemprego involuntário" foi concebido para o mercado de trabalho urbano formal, ajustando-se com dificuldade à realidade do trabalhador rural. A jurisprudência vem admitindo que o segurado especial que deixa a atividade rural em razão de perda da safra, seca, enchente ou outras intempéries caracterizadoras de caso fortuito ou força maior beneficia-se da prorrogação do período de graça por mais 12 meses. A adaptação do conceito à realidade rural é necessária: o segurado especial que perde a colheita por estiagem prolongada e se vê impossibilitado de continuar a atividade agrícola encontra-se em situação funcionalmente equivalente ao desemprego involuntário do trabalhador urbano, justificando a mesma proteção previdenciária.</w:t>
      </w:r>
    </w:p>
    <w:p w14:paraId="0C685B78" w14:textId="77777777" w:rsidR="005A5FCC" w:rsidRDefault="00A21C81">
      <w:pPr>
        <w:ind w:firstLine="238"/>
      </w:pPr>
      <w:r>
        <w:rPr>
          <w:rFonts w:cs="EB Garamond"/>
          <w:kern w:val="16"/>
          <w14:ligatures w14:val="standardContextual"/>
        </w:rPr>
        <w:t>A interação entre o período de graça e a aposentadoria por idade rural levanta questão específica: o segurado que cessa a atividade rural antes de atingir a idade mínima, mas ainda dentro do período de graça, pode requerer a aposentadoria? A resposta é afirmativa quando os demais requisitos estiverem preenchidos — o período de graça mantém a qualidade de segurado e, portanto, permite o reconhecimento do direito ao benefício. A questão torna-se mais complexa quando o segurado cessa a atividade rural anos antes de completar a idade mínima: nesse caso, o período de graça já terá expirado, e o segurado não poderá invocar a aposentadoria por idade rural (Tema 642/STJ), restando-lhe, eventualmente, a via da aposentadoria híbrida (art. 48, § 3º).</w:t>
      </w:r>
    </w:p>
    <w:p w14:paraId="1A89BA7A"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9.17 Regime contributivo do segurado especial</w:t>
      </w:r>
    </w:p>
    <w:p w14:paraId="30C3906B"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59883841" w14:textId="77777777" w:rsidR="005A5FCC" w:rsidRDefault="00A21C81">
      <w:r>
        <w:rPr>
          <w:rFonts w:cs="EB Garamond"/>
          <w:kern w:val="16"/>
          <w14:ligatures w14:val="standardContextual"/>
        </w:rPr>
        <w:t xml:space="preserve"> segurado especial contribui para a seguridade social de forma diferenciada, mediante aplicação de alíquota sobre o resultado da comercialização de sua produção rural (art. 195, § 8º, CF/88; art. 25, Lei n. 8.212/91). Cabe aqui detalhar a composição da alíquota, a que se fez remissão na seção 9.1. A alíquota previdenciária totaliza 1,3% sobre a receita bruta da comercialização da produção: 1,2% a título de contribuição básica (art. 25, I, da Lei n. 8.212/91, com a redução </w:t>
      </w:r>
      <w:r>
        <w:rPr>
          <w:rFonts w:cs="EB Garamond"/>
          <w:kern w:val="16"/>
          <w14:ligatures w14:val="standardContextual"/>
        </w:rPr>
        <w:lastRenderedPageBreak/>
        <w:t>promovida pela Lei n. 13.606/2018, que rebaixou o percentual então vigente) + 0,1% para o financiamento do SAT/GILRAT (art. 25, II). Há, ainda, a parcela de 0,2% destinada ao SENAR (art. 25, § 1º, acrescentado pela Lei n. 10.256/2001), que não integra o custeio da seguridade social em sentido estrito, perfazendo o conjunto 1,5% sobre a receita bruta da comercialização (o denominado FUNRURAL do segurado especial).</w:t>
      </w:r>
    </w:p>
    <w:p w14:paraId="59E2F838" w14:textId="44A45643" w:rsidR="005A5FCC" w:rsidRDefault="00A21C81">
      <w:pPr>
        <w:ind w:firstLine="238"/>
      </w:pPr>
      <w:r>
        <w:rPr>
          <w:rFonts w:cs="EB Garamond"/>
          <w:kern w:val="16"/>
          <w14:ligatures w14:val="standardContextual"/>
        </w:rPr>
        <w:t xml:space="preserve">A contribuição previdenciária de 1,3% (1,2% do art. 25, I, somados a 0,1% do GILRAT, art. 25, II) substitui tanto a contribuição patronal quanto a do empregado, constituindo fonte de custeio integral para os benefícios do segurado especial no valor de um </w:t>
      </w:r>
      <w:r w:rsidR="00C94FF0">
        <w:rPr>
          <w:rFonts w:cs="EB Garamond"/>
          <w:kern w:val="16"/>
          <w14:ligatures w14:val="standardContextual"/>
        </w:rPr>
        <w:t>salário-mínimo</w:t>
      </w:r>
      <w:r>
        <w:rPr>
          <w:rFonts w:cs="EB Garamond"/>
          <w:kern w:val="16"/>
          <w14:ligatures w14:val="standardContextual"/>
        </w:rPr>
        <w:t>. O sub-rogado do recolhimento é o adquirente da produção rural: cabe à empresa ou cooperativa que adquire a produção reter e recolher a contribuição devida, aliviando o segurado especial do ônus de cumprir obrigações tributárias acessórias.</w:t>
      </w:r>
    </w:p>
    <w:p w14:paraId="735957AE" w14:textId="77777777" w:rsidR="005A5FCC" w:rsidRDefault="00A21C81">
      <w:pPr>
        <w:ind w:firstLine="238"/>
      </w:pPr>
      <w:r>
        <w:rPr>
          <w:rFonts w:cs="EB Garamond"/>
          <w:kern w:val="16"/>
          <w14:ligatures w14:val="standardContextual"/>
        </w:rPr>
        <w:t xml:space="preserve">Cabe distinguir a contribuição do segurado especial (art. 25 da Lei n. 8.212/91, na parte relativa ao regime de economia familiar) da contribuição substitutiva do empregador rural pessoa física (mesma base legal, parte distinta). O STF, no julgamento do RE 718.874 (Tema 669, Plenário, rel. Min. Alexandre de Moraes, j. 30/03/2017), declarou a </w:t>
      </w:r>
      <w:r>
        <w:rPr>
          <w:rFonts w:cs="EB Garamond"/>
          <w:b/>
          <w:kern w:val="16"/>
          <w14:ligatures w14:val="standardContextual"/>
        </w:rPr>
        <w:t>constitucionalidade</w:t>
      </w:r>
      <w:r>
        <w:rPr>
          <w:rFonts w:cs="EB Garamond"/>
          <w:kern w:val="16"/>
          <w14:ligatures w14:val="standardContextual"/>
        </w:rPr>
        <w:t xml:space="preserve"> da contribuição social do empregador rural pessoa física, instituída pela Lei n. 10.256/2001 e incidente sobre a receita bruta da comercialização da produção. Já no RE 761.263 (Tema 723), confirmou a constitucionalidade da contribuição do segurado especial sobre a comercialização da produção. São contribuições com sujeitos passivos distintos, mas que, na sistemática atual do STF, são ambas válidas: tanto a que recai sobre o segurado especial quanto a que recai sobre o empregador rural pessoa física (que não é segurado especial, mas sim contribuinte individual) foram reconhecidas como constitucionais. A inconstitucionalidade reconhecida em julgados anteriores (RE 363.852 e RE 596.177, Tema 202) referia-se à redação do art. 25 da Lei n. 8.212/91 anterior à Lei n. 10.256/2001 — vício de fonte de custeio posteriormente sanado, na compreensão do STF, pela própria Lei n. 10.256/2001.</w:t>
      </w:r>
    </w:p>
    <w:p w14:paraId="45859829" w14:textId="77777777" w:rsidR="005A5FCC" w:rsidRDefault="00A21C81">
      <w:pPr>
        <w:ind w:firstLine="238"/>
      </w:pPr>
      <w:r>
        <w:rPr>
          <w:rFonts w:cs="EB Garamond"/>
          <w:kern w:val="16"/>
          <w14:ligatures w14:val="standardContextual"/>
        </w:rPr>
        <w:t xml:space="preserve">Na hipótese de o segurado especial comercializar diretamente a produção ao consumidor, venda em feiras livres, beiras de estrada ou entregas domiciliares, o próprio segurado é responsável pelo recolhimento, o que na prática raramente </w:t>
      </w:r>
      <w:r>
        <w:rPr>
          <w:rFonts w:cs="EB Garamond"/>
          <w:kern w:val="16"/>
          <w14:ligatures w14:val="standardContextual"/>
        </w:rPr>
        <w:lastRenderedPageBreak/>
        <w:t>ocorre. A consequência é que, para muitos segurados especiais, não há recolhimento efetivo de contribuições, circunstância que a lei contorna ao prever a comprovação do exercício de atividade rural como equivalente à carência (art. 39, I, c/c art. 48, § 2º).</w:t>
      </w:r>
    </w:p>
    <w:tbl>
      <w:tblPr>
        <w:tblW w:w="5000" w:type="pct"/>
        <w:jc w:val="center"/>
        <w:tblLayout w:type="fixed"/>
        <w:tblLook w:val="04A0" w:firstRow="1" w:lastRow="0" w:firstColumn="1" w:lastColumn="0" w:noHBand="0" w:noVBand="1"/>
      </w:tblPr>
      <w:tblGrid>
        <w:gridCol w:w="6311"/>
      </w:tblGrid>
      <w:tr w:rsidR="005A5FCC" w14:paraId="646E3B3A"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312B30BE"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60F9A650" w14:textId="373CC49E" w:rsidR="005A5FCC" w:rsidRDefault="00A21C81">
            <w:pPr>
              <w:spacing w:after="60" w:line="247" w:lineRule="auto"/>
            </w:pPr>
            <w:r>
              <w:rPr>
                <w:rFonts w:cs="EB Garamond"/>
                <w:kern w:val="16"/>
                <w:sz w:val="19"/>
                <w14:ligatures w14:val="standardContextual"/>
              </w:rPr>
              <w:t xml:space="preserve">O segurado especial que pretende obter benefício previdenciário em valor superior ao </w:t>
            </w:r>
            <w:r w:rsidR="00C94FF0">
              <w:rPr>
                <w:rFonts w:cs="EB Garamond"/>
                <w:kern w:val="16"/>
                <w:sz w:val="19"/>
                <w14:ligatures w14:val="standardContextual"/>
              </w:rPr>
              <w:t>salário-mínimo</w:t>
            </w:r>
            <w:r>
              <w:rPr>
                <w:rFonts w:cs="EB Garamond"/>
                <w:kern w:val="16"/>
                <w:sz w:val="19"/>
                <w14:ligatures w14:val="standardContextual"/>
              </w:rPr>
              <w:t xml:space="preserve"> deve recolher contribuições facultativas sobre base de cálculo correspondente ao salário de benefício pretendido, nos termos do art. 39, inciso II, da Lei n. 8.213/91. A ausência de contribuição facultativa limita o benefício ao piso constitucional de um </w:t>
            </w:r>
            <w:r w:rsidR="00C94FF0">
              <w:rPr>
                <w:rFonts w:cs="EB Garamond"/>
                <w:kern w:val="16"/>
                <w:sz w:val="19"/>
                <w14:ligatures w14:val="standardContextual"/>
              </w:rPr>
              <w:t>salário-mínimo</w:t>
            </w:r>
            <w:r>
              <w:rPr>
                <w:rFonts w:cs="EB Garamond"/>
                <w:kern w:val="16"/>
                <w:sz w:val="19"/>
                <w14:ligatures w14:val="standardContextual"/>
              </w:rPr>
              <w:t>. Na experiência dos juizados dos JEFs, é excepcional o pedido de aposentadoria rural em valor superior ao mínimo, mas o advogado deve orientar o segurado sobre essa possibilidade quando houver interesse e capacidade contributiva.</w:t>
            </w:r>
          </w:p>
        </w:tc>
      </w:tr>
    </w:tbl>
    <w:p w14:paraId="73E31D0C" w14:textId="77777777" w:rsidR="005A5FCC" w:rsidRDefault="005A5FCC">
      <w:pPr>
        <w:spacing w:after="80" w:line="240" w:lineRule="auto"/>
      </w:pPr>
    </w:p>
    <w:p w14:paraId="6ADE54A9"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9.18 Documentos do cônjuge e do grupo familiar como prova</w:t>
      </w:r>
    </w:p>
    <w:p w14:paraId="6E62C89C"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5EB6F431" w14:textId="77777777" w:rsidR="005A5FCC" w:rsidRDefault="00A21C81">
      <w:r>
        <w:rPr>
          <w:rFonts w:cs="EB Garamond"/>
          <w:kern w:val="16"/>
          <w14:ligatures w14:val="standardContextual"/>
        </w:rPr>
        <w:t xml:space="preserve"> utilização de documentos em nome do cônjuge ou de outros membros do grupo familiar como início de prova material é admitida de forma ampla, conforme a Súmula 6 da TNU, tratada na seção 9.7. A lógica subjacente é direta: o regime de economia familiar pressupõe que todos os membros exercem atividade rural em mútua colaboração, de modo que o documento que comprova a condição rural de um atinge, por extensão, os demais integrantes do grupo.</w:t>
      </w:r>
    </w:p>
    <w:p w14:paraId="2BC2EED1" w14:textId="77777777" w:rsidR="005A5FCC" w:rsidRDefault="00A21C81">
      <w:pPr>
        <w:ind w:firstLine="238"/>
      </w:pPr>
      <w:r>
        <w:rPr>
          <w:rFonts w:cs="EB Garamond"/>
          <w:kern w:val="16"/>
          <w14:ligatures w14:val="standardContextual"/>
        </w:rPr>
        <w:t>A TNU, no julgamento do Tema 327, reforçou o entendimento ao admitir a documentação do cônjuge como empregado rural como início de prova material da atividade rural do outro cônjuge. A decisão reconhece que, em muitos casos, apenas um dos cônjuges possui documentação formal, geralmente o marido, que assina contratos, participa de sindicatos e comercializa a produção, enquanto a esposa, embora igualmente trabalhadora rural, carece de documentos próprios.</w:t>
      </w:r>
    </w:p>
    <w:p w14:paraId="70509ACB" w14:textId="77777777" w:rsidR="005A5FCC" w:rsidRDefault="00A21C81">
      <w:pPr>
        <w:ind w:firstLine="238"/>
      </w:pPr>
      <w:r>
        <w:rPr>
          <w:rFonts w:cs="EB Garamond"/>
          <w:kern w:val="16"/>
          <w14:ligatures w14:val="standardContextual"/>
        </w:rPr>
        <w:lastRenderedPageBreak/>
        <w:t>A extensão da prova documental de um cônjuge ao outro não é, todavia, automática. A prova testemunhal deve confirmar que ambos efetivamente trabalhavam no campo, em regime de mútua colaboração. A mera existência de documento em nome do cônjuge, sem prova de que o segurado participava da atividade rural, é insuficiente.</w:t>
      </w:r>
    </w:p>
    <w:p w14:paraId="5F4F59E7" w14:textId="77777777" w:rsidR="005A5FCC" w:rsidRDefault="00A21C81">
      <w:pPr>
        <w:ind w:firstLine="238"/>
      </w:pPr>
      <w:r>
        <w:rPr>
          <w:rFonts w:cs="EB Garamond"/>
          <w:kern w:val="16"/>
          <w14:ligatures w14:val="standardContextual"/>
        </w:rPr>
        <w:t>A extensão de documentos de pais para filhos segue a mesma lógica. A certidão de nascimento ou a CTPS do genitor com qualificação rural constitui início de prova material para o filho que comprove ter trabalhado com a família na lavoura. A presunção é de que, em regime de economia familiar, os filhos participam das atividades produtivas desde tenra idade — presunção que deve ser confirmada pela prova testemunhal.</w:t>
      </w:r>
    </w:p>
    <w:p w14:paraId="0238CC03"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9.19 Autodeclaração e DAP: evolução do regime documental</w:t>
      </w:r>
    </w:p>
    <w:p w14:paraId="57F74171"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4396684A" w14:textId="77777777" w:rsidR="005A5FCC" w:rsidRDefault="00A21C81">
      <w:r>
        <w:rPr>
          <w:rFonts w:cs="EB Garamond"/>
          <w:kern w:val="16"/>
          <w14:ligatures w14:val="standardContextual"/>
        </w:rPr>
        <w:t xml:space="preserve"> regime documental da comprovação da atividade rural vem passando por transformações significativas nos últimos anos. A Declaração de Aptidão ao Pronaf (DAP), que durante mais de duas décadas foi o documento de identificação do agricultor familiar, vem sendo progressivamente substituída pelo Cadastro Nacional da Agricultura Familiar (CAF), instituído pelo Decreto n. 9.064/2017.</w:t>
      </w:r>
    </w:p>
    <w:p w14:paraId="7C2BC05C" w14:textId="77777777" w:rsidR="005A5FCC" w:rsidRDefault="00A21C81">
      <w:pPr>
        <w:ind w:firstLine="238"/>
      </w:pPr>
      <w:r>
        <w:rPr>
          <w:rFonts w:cs="EB Garamond"/>
          <w:kern w:val="16"/>
          <w14:ligatures w14:val="standardContextual"/>
        </w:rPr>
        <w:t>O CAF é cadastro eletrônico mantido pelo Ministério do Desenvolvimento Agrário (MDA) que unifica as informações sobre a agricultura familiar, substituindo a DAP como instrumento de identificação. A migração está em curso, e a jurisprudência dos JEFs vem admitindo ambos os documentos, DAP e CAF, como início de prova material da condição de segurado especial, sem distinção de valor probatório.</w:t>
      </w:r>
    </w:p>
    <w:p w14:paraId="357F95B0" w14:textId="77777777" w:rsidR="005A5FCC" w:rsidRDefault="00A21C81">
      <w:pPr>
        <w:ind w:firstLine="238"/>
      </w:pPr>
      <w:r>
        <w:rPr>
          <w:rFonts w:cs="EB Garamond"/>
          <w:kern w:val="16"/>
          <w14:ligatures w14:val="standardContextual"/>
        </w:rPr>
        <w:t xml:space="preserve">A autodeclaração do segurado especial é instrumento previsto na legislação para a comprovação da atividade rural perante o INSS. O art. 38-B da Lei n. 8.213/91 (incluído pela Lei n. 13.846/2019) dispõe que o segurado especial informará ao INSS, anualmente, a comercialização de sua produção rural, por meio </w:t>
      </w:r>
      <w:r>
        <w:rPr>
          <w:rFonts w:cs="EB Garamond"/>
          <w:kern w:val="16"/>
          <w14:ligatures w14:val="standardContextual"/>
        </w:rPr>
        <w:lastRenderedPageBreak/>
        <w:t>de Declaração do Segurado Especial (DSE). Essa declaração, de natureza tributária e previdenciária, tem por finalidade constituir o registro documental da atividade rural para fins de reconhecimento do direito a benefícios.</w:t>
      </w:r>
    </w:p>
    <w:tbl>
      <w:tblPr>
        <w:tblW w:w="5000" w:type="pct"/>
        <w:jc w:val="center"/>
        <w:tblLayout w:type="fixed"/>
        <w:tblLook w:val="04A0" w:firstRow="1" w:lastRow="0" w:firstColumn="1" w:lastColumn="0" w:noHBand="0" w:noVBand="1"/>
      </w:tblPr>
      <w:tblGrid>
        <w:gridCol w:w="6311"/>
      </w:tblGrid>
      <w:tr w:rsidR="005A5FCC" w14:paraId="070E5C86"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7A9E5BF9"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283B53E6" w14:textId="77777777" w:rsidR="005A5FCC" w:rsidRDefault="00A21C81">
            <w:pPr>
              <w:spacing w:after="60" w:line="247" w:lineRule="auto"/>
            </w:pPr>
            <w:r>
              <w:rPr>
                <w:rFonts w:cs="EB Garamond"/>
                <w:kern w:val="16"/>
                <w:sz w:val="19"/>
                <w14:ligatures w14:val="standardContextual"/>
              </w:rPr>
              <w:t>A exigência de cadastro no Cadastro Nacional de Informações Sociais (CNIS) como condição para reconhecimento da qualidade de segurado especial vem sendo implementada gradualmente pelo INSS. O art. 38-A da Lei n. 8.213/91 (incluído pela Lei n. 11.718/2008) prevê que o INSS utilizará as informações constantes do CNIS, do CAF e de outros cadastros para comprovar o exercício da atividade rural do segurado especial. Na prática judicial, contudo, a ausência de cadastro no CNIS não impede o reconhecimento da condição de segurado especial, desde que comprovada por início de prova material e prova testemunhal. A exigência de cadastro é requisito administrativo, não condição de existência do direito.</w:t>
            </w:r>
          </w:p>
        </w:tc>
      </w:tr>
    </w:tbl>
    <w:p w14:paraId="4D003C79" w14:textId="77777777" w:rsidR="005A5FCC" w:rsidRDefault="005A5FCC">
      <w:pPr>
        <w:spacing w:after="80" w:line="240" w:lineRule="auto"/>
      </w:pPr>
    </w:p>
    <w:p w14:paraId="1D1CC5DA"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9.20 Jurisprudência consolidada: temas repetitivos e súmulas</w:t>
      </w:r>
    </w:p>
    <w:p w14:paraId="73DEF224"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4AFC46E3" w14:textId="77777777" w:rsidR="005A5FCC" w:rsidRDefault="00A21C81">
      <w:r>
        <w:rPr>
          <w:rFonts w:cs="EB Garamond"/>
          <w:kern w:val="16"/>
          <w14:ligatures w14:val="standardContextual"/>
        </w:rPr>
        <w:t xml:space="preserve"> matéria da aposentadoria rural acumulou, ao longo de três décadas de vigência da Lei n. 8.213/91, vasto acervo jurisprudencial. A sistematização dos principais entendimentos consolidados é indispensável para a atuação nos JEFs.</w:t>
      </w:r>
    </w:p>
    <w:p w14:paraId="4B385D63" w14:textId="77777777" w:rsidR="005A5FCC" w:rsidRDefault="00A21C81">
      <w:pPr>
        <w:ind w:firstLine="238"/>
      </w:pPr>
      <w:r>
        <w:rPr>
          <w:rFonts w:cs="EB Garamond"/>
          <w:kern w:val="16"/>
          <w14:ligatures w14:val="standardContextual"/>
        </w:rPr>
        <w:t>No âmbito do STJ, os seguintes temas repetitivos e súmulas se destacam:</w:t>
      </w:r>
    </w:p>
    <w:p w14:paraId="4C638085" w14:textId="77777777" w:rsidR="005A5FCC" w:rsidRDefault="00A21C81">
      <w:pPr>
        <w:ind w:firstLine="238"/>
      </w:pPr>
      <w:r>
        <w:rPr>
          <w:rFonts w:cs="EB Garamond"/>
          <w:b/>
          <w:kern w:val="16"/>
          <w14:ligatures w14:val="standardContextual"/>
        </w:rPr>
        <w:t>Súmula 149/STJ</w:t>
      </w:r>
      <w:r>
        <w:rPr>
          <w:rFonts w:cs="EB Garamond"/>
          <w:kern w:val="16"/>
          <w14:ligatures w14:val="standardContextual"/>
        </w:rPr>
        <w:t>: "A prova exclusivamente testemunhal não basta à comprovação da atividade rurícola, para efeito da obtenção de benefício previdenciário." Regra fundamental do regime probatório rural, examinada na seção 9.9.</w:t>
      </w:r>
    </w:p>
    <w:p w14:paraId="20465B31" w14:textId="77777777" w:rsidR="005A5FCC" w:rsidRDefault="00A21C81">
      <w:pPr>
        <w:ind w:firstLine="238"/>
      </w:pPr>
      <w:r>
        <w:rPr>
          <w:rFonts w:cs="EB Garamond"/>
          <w:b/>
          <w:kern w:val="16"/>
          <w14:ligatures w14:val="standardContextual"/>
        </w:rPr>
        <w:t>Súmula 577/STJ</w:t>
      </w:r>
      <w:r>
        <w:rPr>
          <w:rFonts w:cs="EB Garamond"/>
          <w:kern w:val="16"/>
          <w14:ligatures w14:val="standardContextual"/>
        </w:rPr>
        <w:t>: "É possível reconhecer o tempo de serviço rural anterior ao documento mais antigo apresentado, desde que amparado em convincente prova testemunhal." Autoriza a extensão temporal da prova documental por meio de testemunhos.</w:t>
      </w:r>
    </w:p>
    <w:p w14:paraId="4625175B" w14:textId="77777777" w:rsidR="005A5FCC" w:rsidRDefault="00A21C81">
      <w:pPr>
        <w:ind w:firstLine="238"/>
      </w:pPr>
      <w:r>
        <w:rPr>
          <w:rFonts w:cs="EB Garamond"/>
          <w:b/>
          <w:kern w:val="16"/>
          <w14:ligatures w14:val="standardContextual"/>
        </w:rPr>
        <w:lastRenderedPageBreak/>
        <w:t>Tema 532 (REsp 1.304.479/SP)</w:t>
      </w:r>
      <w:r>
        <w:rPr>
          <w:rFonts w:cs="EB Garamond"/>
          <w:kern w:val="16"/>
          <w14:ligatures w14:val="standardContextual"/>
        </w:rPr>
        <w:t>: O exercício de atividade urbana intercalada não impede a concessão de benefício previdenciário de trabalhador rural, analisadas as circunstâncias do caso concreto.</w:t>
      </w:r>
    </w:p>
    <w:p w14:paraId="17FDCC83" w14:textId="77777777" w:rsidR="005A5FCC" w:rsidRDefault="00A21C81">
      <w:pPr>
        <w:ind w:firstLine="238"/>
      </w:pPr>
      <w:r>
        <w:rPr>
          <w:rFonts w:cs="EB Garamond"/>
          <w:b/>
          <w:kern w:val="16"/>
          <w14:ligatures w14:val="standardContextual"/>
        </w:rPr>
        <w:t>Tema 642 (REsp 1.354.908/SP)</w:t>
      </w:r>
      <w:r>
        <w:rPr>
          <w:rFonts w:cs="EB Garamond"/>
          <w:kern w:val="16"/>
          <w14:ligatures w14:val="standardContextual"/>
        </w:rPr>
        <w:t>: O segurado especial deve comprovar exercício de atividade rural na data em que completar a idade mínima. Ressalvado o direito adquirido de quem implementou ambos os requisitos enquanto exercia atividade rural.</w:t>
      </w:r>
    </w:p>
    <w:p w14:paraId="7E9B77E1" w14:textId="247EAA07" w:rsidR="005A5FCC" w:rsidRDefault="00A21C81">
      <w:pPr>
        <w:ind w:firstLine="238"/>
      </w:pPr>
      <w:r>
        <w:rPr>
          <w:rFonts w:cs="EB Garamond"/>
          <w:b/>
          <w:kern w:val="16"/>
          <w14:ligatures w14:val="standardContextual"/>
        </w:rPr>
        <w:t>Tema 1.007 (REsp 1.674.221/SP)</w:t>
      </w:r>
      <w:r>
        <w:rPr>
          <w:rFonts w:cs="EB Garamond"/>
          <w:kern w:val="16"/>
          <w14:ligatures w14:val="standardContextual"/>
        </w:rPr>
        <w:t xml:space="preserve">: O tempo rural remoto e descontínuo, anterior à Lei n. 8.213/91, pode ser computado para aposentadoria híbrida sem recolhimento de contribuições, seja qual for a predominância do labor misto ou o tipo de trabalho exercido no momento do implemento etário. A tese, ao afastar a relevância do tipo de trabalho exercido no implemento etário, dispensa também a contemporaneidade entre a atividade rural e o requerimento. Quanto ao período rural posterior a 1991, a dispensa de recolhimento, no benefício de um </w:t>
      </w:r>
      <w:r w:rsidR="00C94FF0">
        <w:rPr>
          <w:rFonts w:cs="EB Garamond"/>
          <w:kern w:val="16"/>
          <w14:ligatures w14:val="standardContextual"/>
        </w:rPr>
        <w:t>salário-mínimo</w:t>
      </w:r>
      <w:r>
        <w:rPr>
          <w:rFonts w:cs="EB Garamond"/>
          <w:kern w:val="16"/>
          <w14:ligatures w14:val="standardContextual"/>
        </w:rPr>
        <w:t>, apoia-se no art. 39, I, da Lei n. 8.213/91 (seção 9.11).</w:t>
      </w:r>
    </w:p>
    <w:p w14:paraId="2D52FF15" w14:textId="77777777" w:rsidR="005A5FCC" w:rsidRDefault="00A21C81">
      <w:pPr>
        <w:ind w:firstLine="238"/>
      </w:pPr>
      <w:r>
        <w:rPr>
          <w:rFonts w:cs="EB Garamond"/>
          <w:b/>
          <w:kern w:val="16"/>
          <w14:ligatures w14:val="standardContextual"/>
        </w:rPr>
        <w:t>Tema 1.115 (REsp 1.947.404/SP)</w:t>
      </w:r>
      <w:r>
        <w:rPr>
          <w:rFonts w:cs="EB Garamond"/>
          <w:kern w:val="16"/>
          <w14:ligatures w14:val="standardContextual"/>
        </w:rPr>
        <w:t>: A propriedade rural com área superior a quatro módulos fiscais não descaracteriza, por si só, o regime de economia familiar do segurado especial.</w:t>
      </w:r>
    </w:p>
    <w:p w14:paraId="64108458" w14:textId="77777777" w:rsidR="005A5FCC" w:rsidRDefault="00A21C81">
      <w:pPr>
        <w:ind w:firstLine="238"/>
      </w:pPr>
      <w:r>
        <w:rPr>
          <w:rFonts w:cs="EB Garamond"/>
          <w:kern w:val="16"/>
          <w14:ligatures w14:val="standardContextual"/>
        </w:rPr>
        <w:t>No âmbito da TNU, os seguintes entendimentos merecem destaque:</w:t>
      </w:r>
    </w:p>
    <w:p w14:paraId="68B21B41" w14:textId="77777777" w:rsidR="005A5FCC" w:rsidRDefault="00A21C81">
      <w:pPr>
        <w:ind w:firstLine="238"/>
      </w:pPr>
      <w:r>
        <w:rPr>
          <w:rFonts w:cs="EB Garamond"/>
          <w:b/>
          <w:kern w:val="16"/>
          <w14:ligatures w14:val="standardContextual"/>
        </w:rPr>
        <w:t>Súmula 6/TNU</w:t>
      </w:r>
      <w:r>
        <w:rPr>
          <w:rFonts w:cs="EB Garamond"/>
          <w:kern w:val="16"/>
          <w14:ligatures w14:val="standardContextual"/>
        </w:rPr>
        <w:t>: "A certidão de casamento ou outro documento idôneo que evidencie a condição de trabalhador rural do cônjuge constitui início razoável de prova material da atividade rurícola."</w:t>
      </w:r>
    </w:p>
    <w:p w14:paraId="13CC6D0D" w14:textId="77777777" w:rsidR="005A5FCC" w:rsidRDefault="00A21C81">
      <w:pPr>
        <w:ind w:firstLine="238"/>
      </w:pPr>
      <w:r>
        <w:rPr>
          <w:rFonts w:cs="EB Garamond"/>
          <w:b/>
          <w:kern w:val="16"/>
          <w14:ligatures w14:val="standardContextual"/>
        </w:rPr>
        <w:t>Súmula 14/TNU</w:t>
      </w:r>
      <w:r>
        <w:rPr>
          <w:rFonts w:cs="EB Garamond"/>
          <w:kern w:val="16"/>
          <w14:ligatures w14:val="standardContextual"/>
        </w:rPr>
        <w:t>: "Para a concessão de aposentadoria rural por idade, não se exige que o início de prova material corresponda a todo o período equivalente à carência do benefício."</w:t>
      </w:r>
    </w:p>
    <w:p w14:paraId="2480366F" w14:textId="77777777" w:rsidR="005A5FCC" w:rsidRDefault="00A21C81">
      <w:pPr>
        <w:ind w:firstLine="238"/>
      </w:pPr>
      <w:r>
        <w:rPr>
          <w:rFonts w:cs="EB Garamond"/>
          <w:b/>
          <w:kern w:val="16"/>
          <w14:ligatures w14:val="standardContextual"/>
        </w:rPr>
        <w:t>Súmula 34/TNU</w:t>
      </w:r>
      <w:r>
        <w:rPr>
          <w:rFonts w:cs="EB Garamond"/>
          <w:kern w:val="16"/>
          <w14:ligatures w14:val="standardContextual"/>
        </w:rPr>
        <w:t>: "Para fins de comprovação do tempo de labor rural, o início de prova material deve ser contemporâneo à época dos fatos a provar."</w:t>
      </w:r>
    </w:p>
    <w:p w14:paraId="65B50854" w14:textId="77777777" w:rsidR="005A5FCC" w:rsidRDefault="00A21C81">
      <w:pPr>
        <w:ind w:firstLine="238"/>
      </w:pPr>
      <w:r>
        <w:rPr>
          <w:rFonts w:cs="EB Garamond"/>
          <w:b/>
          <w:kern w:val="16"/>
          <w14:ligatures w14:val="standardContextual"/>
        </w:rPr>
        <w:t>Súmula 41/TNU</w:t>
      </w:r>
      <w:r>
        <w:rPr>
          <w:rFonts w:cs="EB Garamond"/>
          <w:kern w:val="16"/>
          <w14:ligatures w14:val="standardContextual"/>
        </w:rPr>
        <w:t>: "A circunstância de um dos integrantes do núcleo familiar desempenhar atividade urbana não implica, por si só, a descaracterização do trabalhador rural como segurado especial, condição que deve ser analisada no caso concreto."</w:t>
      </w:r>
    </w:p>
    <w:p w14:paraId="6D0D6DB5" w14:textId="77777777" w:rsidR="005A5FCC" w:rsidRDefault="00A21C81">
      <w:pPr>
        <w:ind w:firstLine="238"/>
      </w:pPr>
      <w:r>
        <w:rPr>
          <w:rFonts w:cs="EB Garamond"/>
          <w:b/>
          <w:kern w:val="16"/>
          <w14:ligatures w14:val="standardContextual"/>
        </w:rPr>
        <w:lastRenderedPageBreak/>
        <w:t>Tema 327/TNU</w:t>
      </w:r>
      <w:r>
        <w:rPr>
          <w:rFonts w:cs="EB Garamond"/>
          <w:kern w:val="16"/>
          <w14:ligatures w14:val="standardContextual"/>
        </w:rPr>
        <w:t>: A documentação do cônjuge como empregado rural constitui início de prova material da atividade rural do segurado.</w:t>
      </w:r>
    </w:p>
    <w:p w14:paraId="3736A7E0" w14:textId="77777777" w:rsidR="005A5FCC" w:rsidRDefault="00A21C81">
      <w:pPr>
        <w:ind w:firstLine="238"/>
      </w:pPr>
      <w:r>
        <w:rPr>
          <w:rFonts w:cs="EB Garamond"/>
          <w:b/>
          <w:kern w:val="16"/>
          <w14:ligatures w14:val="standardContextual"/>
        </w:rPr>
        <w:t>Tema 219/TNU</w:t>
      </w:r>
      <w:r>
        <w:rPr>
          <w:rFonts w:cs="EB Garamond"/>
          <w:kern w:val="16"/>
          <w14:ligatures w14:val="standardContextual"/>
        </w:rPr>
        <w:t xml:space="preserve"> (PEDILEF 5008955-78.2018.4.04.7202/SC, rel. Juiz Federal Jairo da Silva Pinto): É possível o cômputo do tempo de serviço rural exercido por pessoa com idade inferior a 12 anos na época da prestação do labor campesino. Fundamento do reconhecimento do trabalho rural infantil, examinado na seção 9.12.</w:t>
      </w:r>
    </w:p>
    <w:p w14:paraId="46D2FE3D" w14:textId="77777777" w:rsidR="005A5FCC" w:rsidRDefault="00A21C81">
      <w:pPr>
        <w:ind w:firstLine="238"/>
      </w:pPr>
      <w:r>
        <w:rPr>
          <w:rFonts w:cs="EB Garamond"/>
          <w:kern w:val="16"/>
          <w14:ligatures w14:val="standardContextual"/>
        </w:rPr>
        <w:t>Esses precedentes formam o arcabouço jurisprudencial que orienta a análise das ações de aposentadoria rural nos JEFs, conferindo segurança jurídica a um campo normativo que, pela natureza do benefício e pela vulnerabilidade dos segurados, exige sensibilidade na aplicação das regras de direito.</w:t>
      </w:r>
    </w:p>
    <w:p w14:paraId="2770370A"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9.21 Data de início do benefício (DIB)</w:t>
      </w:r>
    </w:p>
    <w:p w14:paraId="16FC3C0C"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659861CA" w14:textId="77777777" w:rsidR="005A5FCC" w:rsidRDefault="00A21C81">
      <w:r>
        <w:rPr>
          <w:rFonts w:cs="EB Garamond"/>
          <w:kern w:val="16"/>
          <w14:ligatures w14:val="standardContextual"/>
        </w:rPr>
        <w:t xml:space="preserve"> fixação da data de início do benefício (DIB) da aposentadoria por idade rural segue, em regra, o art. 49 da Lei n. 8.213/91: a aposentadoria por idade será devida a partir da data do requerimento administrativo (DER), ou, na sua ausência, a partir da data da citação.</w:t>
      </w:r>
    </w:p>
    <w:p w14:paraId="21EC5C86" w14:textId="77777777" w:rsidR="005A5FCC" w:rsidRDefault="00A21C81">
      <w:pPr>
        <w:ind w:firstLine="238"/>
      </w:pPr>
      <w:r>
        <w:rPr>
          <w:rFonts w:cs="EB Garamond"/>
          <w:kern w:val="16"/>
          <w14:ligatures w14:val="standardContextual"/>
        </w:rPr>
        <w:t>A questão assume contornos peculiares na aposentadoria rural. Quando o segurado preenche os requisitos antes do requerimento administrativo, a DIB é fixada na DER, não na data do implemento dos requisitos. Quando o requerimento administrativo é indeferido e o segurado ajuíza ação nos JEFs, a DIB retroage à DER, sendo devidas as parcelas vencidas desde essa data. A ausência de requerimento administrativo anterior à ação judicial implica fixação da DIB na data da citação, conforme orientação do STJ.</w:t>
      </w:r>
    </w:p>
    <w:p w14:paraId="03A647DE" w14:textId="77777777" w:rsidR="005A5FCC" w:rsidRDefault="00A21C81">
      <w:pPr>
        <w:ind w:firstLine="238"/>
      </w:pPr>
      <w:r>
        <w:rPr>
          <w:rFonts w:cs="EB Garamond"/>
          <w:kern w:val="16"/>
          <w14:ligatures w14:val="standardContextual"/>
        </w:rPr>
        <w:t>A aplicação do instituto da reafirmação da DER (Tema 995/STJ) é pertinente nas ações de aposentadoria rural. Quando o segurado completa os requisitos (idade e/ou tempo de atividade rural) após o requerimento administrativo, mas antes da decisão judicial, o juiz pode considerar esses requisitos, reafirmando a DER para a data em que o direito se completou. A DIB, nesse caso, é fixada na data da reafirmação.</w:t>
      </w:r>
    </w:p>
    <w:tbl>
      <w:tblPr>
        <w:tblW w:w="5000" w:type="pct"/>
        <w:jc w:val="center"/>
        <w:tblLayout w:type="fixed"/>
        <w:tblLook w:val="04A0" w:firstRow="1" w:lastRow="0" w:firstColumn="1" w:lastColumn="0" w:noHBand="0" w:noVBand="1"/>
      </w:tblPr>
      <w:tblGrid>
        <w:gridCol w:w="6311"/>
      </w:tblGrid>
      <w:tr w:rsidR="005A5FCC" w14:paraId="0189E5B7"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1D1FB231"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6403D186" w14:textId="77777777" w:rsidR="005A5FCC" w:rsidRDefault="00A21C81">
            <w:pPr>
              <w:spacing w:after="60" w:line="247" w:lineRule="auto"/>
            </w:pPr>
            <w:r>
              <w:rPr>
                <w:rFonts w:cs="EB Garamond"/>
                <w:kern w:val="16"/>
                <w:sz w:val="19"/>
                <w14:ligatures w14:val="standardContextual"/>
              </w:rPr>
              <w:t>Na sentença de procedência em ação de aposentadoria por idade rural nos JEFs, a fixação da DIB deve observar as seguintes regras: (a) se houve requerimento administrativo anterior: DIB na DER, com condenação em parcelas vencidas desde então, corrigidas monetariamente e acrescidas de juros de mora conforme a Lei n. 11.960/2009; (b) se não houve requerimento administrativo: DIB na data da citação; (c) se o implemento do requisito etário é posterior à DER: DIB na data do implemento da idade, por reafirmação da DER. Em qualquer caso, a implantação do benefício deve ser determinada como obrigação de fazer, com prazo para cumprimento pelo INSS.</w:t>
            </w:r>
          </w:p>
        </w:tc>
      </w:tr>
    </w:tbl>
    <w:p w14:paraId="223E3D67" w14:textId="77777777" w:rsidR="005A5FCC" w:rsidRDefault="005A5FCC">
      <w:pPr>
        <w:spacing w:after="80" w:line="240" w:lineRule="auto"/>
      </w:pPr>
    </w:p>
    <w:p w14:paraId="48C65A6E"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9.22 Cálculo da renda mensal</w:t>
      </w:r>
    </w:p>
    <w:p w14:paraId="7C88144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0B7EAF94" w14:textId="552A5FBE" w:rsidR="005A5FCC" w:rsidRDefault="00A21C81">
      <w:r>
        <w:rPr>
          <w:rFonts w:cs="EB Garamond"/>
          <w:kern w:val="16"/>
          <w14:ligatures w14:val="standardContextual"/>
        </w:rPr>
        <w:t xml:space="preserve"> renda mensal da aposentadoria por idade rural do segurado especial corresponde, na quase totalidade dos casos, a um </w:t>
      </w:r>
      <w:r w:rsidR="00C94FF0">
        <w:rPr>
          <w:rFonts w:cs="EB Garamond"/>
          <w:kern w:val="16"/>
          <w14:ligatures w14:val="standardContextual"/>
        </w:rPr>
        <w:t>salário-mínimo</w:t>
      </w:r>
      <w:r>
        <w:rPr>
          <w:rFonts w:cs="EB Garamond"/>
          <w:kern w:val="16"/>
          <w14:ligatures w14:val="standardContextual"/>
        </w:rPr>
        <w:t xml:space="preserve"> (art. 39, I, da Lei n. 8.213/91). Para as regras gerais de apuração do salário de benefício e da renda mensal inicial, remete-se ao Capítulo 16. Aqui se examinam apenas as particularidades do cálculo rural.</w:t>
      </w:r>
    </w:p>
    <w:p w14:paraId="162274D8" w14:textId="661A9953" w:rsidR="005A5FCC" w:rsidRDefault="00A21C81">
      <w:pPr>
        <w:ind w:firstLine="238"/>
      </w:pPr>
      <w:r>
        <w:rPr>
          <w:rFonts w:cs="EB Garamond"/>
          <w:kern w:val="16"/>
          <w14:ligatures w14:val="standardContextual"/>
        </w:rPr>
        <w:t xml:space="preserve">O segurado especial que recolheu contribuições facultativas sobre base de cálculo superior ao </w:t>
      </w:r>
      <w:r w:rsidR="00C94FF0">
        <w:rPr>
          <w:rFonts w:cs="EB Garamond"/>
          <w:kern w:val="16"/>
          <w14:ligatures w14:val="standardContextual"/>
        </w:rPr>
        <w:t>salário-mínimo</w:t>
      </w:r>
      <w:r>
        <w:rPr>
          <w:rFonts w:cs="EB Garamond"/>
          <w:kern w:val="16"/>
          <w14:ligatures w14:val="standardContextual"/>
        </w:rPr>
        <w:t xml:space="preserve"> (art. 39, II) submete-se às regras gerais de cálculo (Cap. 16).</w:t>
      </w:r>
    </w:p>
    <w:p w14:paraId="42E93F29" w14:textId="2C3A237A" w:rsidR="005A5FCC" w:rsidRDefault="00A21C81">
      <w:pPr>
        <w:ind w:firstLine="238"/>
      </w:pPr>
      <w:r>
        <w:rPr>
          <w:rFonts w:cs="EB Garamond"/>
          <w:kern w:val="16"/>
          <w14:ligatures w14:val="standardContextual"/>
        </w:rPr>
        <w:t xml:space="preserve">Na aposentadoria híbrida (art. 48, § 3º), os períodos rurais sem contribuição formal são computados com base no valor do </w:t>
      </w:r>
      <w:r w:rsidR="00C94FF0">
        <w:rPr>
          <w:rFonts w:cs="EB Garamond"/>
          <w:kern w:val="16"/>
          <w14:ligatures w14:val="standardContextual"/>
        </w:rPr>
        <w:t>salário-mínimo</w:t>
      </w:r>
      <w:r>
        <w:rPr>
          <w:rFonts w:cs="EB Garamond"/>
          <w:kern w:val="16"/>
          <w14:ligatures w14:val="standardContextual"/>
        </w:rPr>
        <w:t xml:space="preserve"> da época. O coeficiente aplicável depende da data do implemento dos requisitos: para requerimentos anteriores a 13/11/2019, 70% + 1% por grupo de 12 contribuições (até 100%); para requerimentos posteriores à EC 103/2019, 60% + 2% por ano excedente a 15 anos (mulher) ou 20 anos (homem), até 100%.</w:t>
      </w:r>
    </w:p>
    <w:p w14:paraId="0928E6AF" w14:textId="77777777" w:rsidR="005A5FCC" w:rsidRDefault="00A21C81">
      <w:pPr>
        <w:ind w:firstLine="238"/>
      </w:pPr>
      <w:r>
        <w:rPr>
          <w:rFonts w:cs="EB Garamond"/>
          <w:kern w:val="16"/>
          <w14:ligatures w14:val="standardContextual"/>
        </w:rPr>
        <w:t xml:space="preserve">A diferença de tratamento entre os dois regimes pode ser significativa. No regime anterior à EC 103/2019, um segurado com 30 anos de contribuição (rurais + urbanos) obtinha coeficiente de 100% (70% + 30 × 1% = 100%). No regime posterior, o mesmo segurado homem obteria coeficiente de 80% (60% + 10 × 2% </w:t>
      </w:r>
      <w:r>
        <w:rPr>
          <w:rFonts w:cs="EB Garamond"/>
          <w:kern w:val="16"/>
          <w14:ligatures w14:val="standardContextual"/>
        </w:rPr>
        <w:lastRenderedPageBreak/>
        <w:t>= 80%, pois só se contam os anos excedentes a 20). O cálculo feminino é simétrico, porém referenciado ao piso de 15 anos: uma segurada com 30 anos de contribuição (rurais + urbanos) obteria, no regime pós-EC 103/2019, coeficiente de 90% (60% + 15 × 2% = 90%, pois se contam os anos excedentes a 15), ao passo que, no regime anterior, alcançaria igualmente 100% (70% + 30 × 1% = 100%). A diferença de cinco anos no marco de cada gênero (20 para o homem, 15 para a mulher) reflete-se diretamente no coeficiente final, sempre em favor da segurada-mulher para idêntico tempo de contribuição. A regra de transição torna-se relevante para os segurados que implementaram os requisitos antes de 13/11/2019 mas formularam o requerimento após essa data: nessa hipótese, aplica-se o regime de cálculo vigente na data do implemento dos requisitos, em observância ao direito adquirido (art. 3º da EC 103/2019). O advogado deve analisar cuidadosamente as datas para identificar o regime mais favorável ao segurado, postulando a aplicação do direito adquirido quando cabível.</w:t>
      </w:r>
    </w:p>
    <w:tbl>
      <w:tblPr>
        <w:tblW w:w="5000" w:type="pct"/>
        <w:jc w:val="center"/>
        <w:tblLayout w:type="fixed"/>
        <w:tblLook w:val="04A0" w:firstRow="1" w:lastRow="0" w:firstColumn="1" w:lastColumn="0" w:noHBand="0" w:noVBand="1"/>
      </w:tblPr>
      <w:tblGrid>
        <w:gridCol w:w="6311"/>
      </w:tblGrid>
      <w:tr w:rsidR="005A5FCC" w14:paraId="2BF531A8"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01267270"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3B00E245" w14:textId="0F346131" w:rsidR="005A5FCC" w:rsidRDefault="00A21C81">
            <w:pPr>
              <w:spacing w:after="60" w:line="247" w:lineRule="auto"/>
            </w:pPr>
            <w:r>
              <w:rPr>
                <w:rFonts w:cs="EB Garamond"/>
                <w:kern w:val="16"/>
                <w:sz w:val="19"/>
                <w14:ligatures w14:val="standardContextual"/>
              </w:rPr>
              <w:t xml:space="preserve">O cálculo do salário de benefício na aposentadoria híbrida pós-EC 103/2019 pode resultar em valor inferior ao </w:t>
            </w:r>
            <w:r w:rsidR="00C94FF0">
              <w:rPr>
                <w:rFonts w:cs="EB Garamond"/>
                <w:kern w:val="16"/>
                <w:sz w:val="19"/>
                <w14:ligatures w14:val="standardContextual"/>
              </w:rPr>
              <w:t>salário-mínimo</w:t>
            </w:r>
            <w:r>
              <w:rPr>
                <w:rFonts w:cs="EB Garamond"/>
                <w:kern w:val="16"/>
                <w:sz w:val="19"/>
                <w14:ligatures w14:val="standardContextual"/>
              </w:rPr>
              <w:t xml:space="preserve">, especialmente quando o segurado possui poucos anos de contribuição urbana e baixos salários de contribuição. Nesses casos, aplica-se a garantia constitucional do art. 201, § 2º, da CF/88, que assegura que nenhum benefício que substitua o salário de contribuição terá valor mensal inferior ao </w:t>
            </w:r>
            <w:r w:rsidR="00C94FF0">
              <w:rPr>
                <w:rFonts w:cs="EB Garamond"/>
                <w:kern w:val="16"/>
                <w:sz w:val="19"/>
                <w14:ligatures w14:val="standardContextual"/>
              </w:rPr>
              <w:t>salário-mínimo</w:t>
            </w:r>
            <w:r>
              <w:rPr>
                <w:rFonts w:cs="EB Garamond"/>
                <w:kern w:val="16"/>
                <w:sz w:val="19"/>
                <w14:ligatures w14:val="standardContextual"/>
              </w:rPr>
              <w:t xml:space="preserve">. Na prática, o segurado receberá, no mínimo, um </w:t>
            </w:r>
            <w:r w:rsidR="00C94FF0">
              <w:rPr>
                <w:rFonts w:cs="EB Garamond"/>
                <w:kern w:val="16"/>
                <w:sz w:val="19"/>
                <w14:ligatures w14:val="standardContextual"/>
              </w:rPr>
              <w:t>salário-mínimo</w:t>
            </w:r>
            <w:r>
              <w:rPr>
                <w:rFonts w:cs="EB Garamond"/>
                <w:kern w:val="16"/>
                <w:sz w:val="19"/>
                <w14:ligatures w14:val="standardContextual"/>
              </w:rPr>
              <w:t xml:space="preserve"> mensal, independentemente do resultado do cálculo atuarial.</w:t>
            </w:r>
          </w:p>
        </w:tc>
      </w:tr>
    </w:tbl>
    <w:p w14:paraId="787ECEFF" w14:textId="77777777" w:rsidR="005A5FCC" w:rsidRDefault="005A5FCC">
      <w:pPr>
        <w:spacing w:after="80" w:line="240" w:lineRule="auto"/>
      </w:pPr>
    </w:p>
    <w:p w14:paraId="33D80C17"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9.23 Questões procedimentais nos JEFs</w:t>
      </w:r>
    </w:p>
    <w:p w14:paraId="0254A72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049D19A7" w14:textId="77777777" w:rsidR="005A5FCC" w:rsidRDefault="00A21C81">
      <w:r>
        <w:rPr>
          <w:rFonts w:cs="EB Garamond"/>
          <w:kern w:val="16"/>
          <w14:ligatures w14:val="standardContextual"/>
        </w:rPr>
        <w:t xml:space="preserve"> ação de aposentadoria por idade rural nos JEFs apresenta particularidades procedimentais que a distinguem das demais ações previdenciárias.</w:t>
      </w:r>
    </w:p>
    <w:p w14:paraId="19EDBBAB" w14:textId="15EF568F" w:rsidR="005A5FCC" w:rsidRDefault="00A21C81">
      <w:pPr>
        <w:ind w:firstLine="238"/>
      </w:pPr>
      <w:r>
        <w:rPr>
          <w:rFonts w:cs="EB Garamond"/>
          <w:kern w:val="16"/>
          <w14:ligatures w14:val="standardContextual"/>
        </w:rPr>
        <w:t xml:space="preserve">A competência dos JEFs para as ações de aposentadoria rural é definida pelo valor da causa, que corresponde à soma de 12 prestações vincendas acrescida das parcelas vencidas (art. 3º, § 3º, da Lei n. 10.259/2001, c/c art. 292, VI, do CPC/2015). Quando o benefício pleiteado é de um </w:t>
      </w:r>
      <w:r w:rsidR="00C94FF0">
        <w:rPr>
          <w:rFonts w:cs="EB Garamond"/>
          <w:kern w:val="16"/>
          <w14:ligatures w14:val="standardContextual"/>
        </w:rPr>
        <w:t>salário-mínimo</w:t>
      </w:r>
      <w:r>
        <w:rPr>
          <w:rFonts w:cs="EB Garamond"/>
          <w:kern w:val="16"/>
          <w14:ligatures w14:val="standardContextual"/>
        </w:rPr>
        <w:t xml:space="preserve">, o valor da </w:t>
      </w:r>
      <w:r>
        <w:rPr>
          <w:rFonts w:cs="EB Garamond"/>
          <w:kern w:val="16"/>
          <w14:ligatures w14:val="standardContextual"/>
        </w:rPr>
        <w:lastRenderedPageBreak/>
        <w:t>causa geralmente se situa dentro da alçada dos JEFs (até 60 salários</w:t>
      </w:r>
      <w:r w:rsidR="00C94FF0">
        <w:rPr>
          <w:rFonts w:cs="EB Garamond"/>
          <w:kern w:val="16"/>
          <w14:ligatures w14:val="standardContextual"/>
        </w:rPr>
        <w:t>-</w:t>
      </w:r>
      <w:r>
        <w:rPr>
          <w:rFonts w:cs="EB Garamond"/>
          <w:kern w:val="16"/>
          <w14:ligatures w14:val="standardContextual"/>
        </w:rPr>
        <w:t>mínimos), salvo quando as parcelas vencidas são significativas — o que é incomum, dado que o segurado rural frequentemente ingressa com a ação pouco após o indeferimento administrativo.</w:t>
      </w:r>
    </w:p>
    <w:p w14:paraId="504548BB" w14:textId="77777777" w:rsidR="005A5FCC" w:rsidRDefault="00A21C81">
      <w:pPr>
        <w:ind w:firstLine="238"/>
      </w:pPr>
      <w:r>
        <w:rPr>
          <w:rFonts w:cs="EB Garamond"/>
          <w:kern w:val="16"/>
          <w14:ligatures w14:val="standardContextual"/>
        </w:rPr>
        <w:t>A petição inicial nas ações rurais deve vir instruída com início de prova material (documentos que evidenciem a atividade rural) e, preferencialmente, com o requerimento de oitiva de testemunhas. O rol de testemunhas deve indicar pessoas com conhecimento direto da atividade rural do segurado, vizinhos, compradores de produção, membros da comunidade rural, com indicação de endereço para intimação.</w:t>
      </w:r>
    </w:p>
    <w:p w14:paraId="0D0412AE" w14:textId="77777777" w:rsidR="005A5FCC" w:rsidRDefault="00A21C81">
      <w:pPr>
        <w:ind w:firstLine="238"/>
      </w:pPr>
      <w:r>
        <w:rPr>
          <w:rFonts w:cs="EB Garamond"/>
          <w:kern w:val="16"/>
          <w14:ligatures w14:val="standardContextual"/>
        </w:rPr>
        <w:t>A audiência de instrução é momento processual de capital relevância nas ações rurais. Diferentemente das ações de benefício por incapacidade, nas quais a prova pericial é central, a aposentadoria rural se resolve preponderantemente pela prova documental e testemunhal. O juiz, ao conduzir a audiência, deve formular perguntas que permitam aferir: (a) o tipo de atividade rural exercida (agricultura, pecuária, pesca); (b) a localização da propriedade ou da área de trabalho; (c) os produtos cultivados ou criados; (d) o regime de trabalho (individual, familiar, assalariado); (e) a duração da atividade rural e eventuais interrupções; (f) a existência de renda complementar urbana; e (g) a participação de outros membros da família.</w:t>
      </w:r>
    </w:p>
    <w:tbl>
      <w:tblPr>
        <w:tblW w:w="5000" w:type="pct"/>
        <w:jc w:val="center"/>
        <w:tblLayout w:type="fixed"/>
        <w:tblLook w:val="04A0" w:firstRow="1" w:lastRow="0" w:firstColumn="1" w:lastColumn="0" w:noHBand="0" w:noVBand="1"/>
      </w:tblPr>
      <w:tblGrid>
        <w:gridCol w:w="6311"/>
      </w:tblGrid>
      <w:tr w:rsidR="005A5FCC" w14:paraId="4488DCFD"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704D45D2"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5F7C745C" w14:textId="3FA013D1" w:rsidR="005A5FCC" w:rsidRDefault="00A21C81">
            <w:pPr>
              <w:spacing w:after="60" w:line="247" w:lineRule="auto"/>
            </w:pPr>
            <w:r>
              <w:rPr>
                <w:rFonts w:cs="EB Garamond"/>
                <w:kern w:val="16"/>
                <w:sz w:val="19"/>
                <w14:ligatures w14:val="standardContextual"/>
              </w:rPr>
              <w:t xml:space="preserve">Na condução de audiências em ações de aposentadoria rural nos JEFs, algumas técnicas de instrução são particularmente eficazes: (a) iniciar pela oitiva do segurado, permitindo-lhe narrar livremente sua trajetória laboral antes de formular perguntas específicas, </w:t>
            </w:r>
            <w:r w:rsidR="00C94FF0">
              <w:rPr>
                <w:rFonts w:cs="EB Garamond"/>
                <w:kern w:val="16"/>
                <w:sz w:val="19"/>
                <w14:ligatures w14:val="standardContextual"/>
              </w:rPr>
              <w:t xml:space="preserve">pois </w:t>
            </w:r>
            <w:r>
              <w:rPr>
                <w:rFonts w:cs="EB Garamond"/>
                <w:kern w:val="16"/>
                <w:sz w:val="19"/>
                <w14:ligatures w14:val="standardContextual"/>
              </w:rPr>
              <w:t>o relato espontâneo</w:t>
            </w:r>
            <w:r w:rsidR="00C94FF0">
              <w:rPr>
                <w:rFonts w:cs="EB Garamond"/>
                <w:kern w:val="16"/>
                <w:sz w:val="19"/>
                <w14:ligatures w14:val="standardContextual"/>
              </w:rPr>
              <w:t xml:space="preserve"> pode</w:t>
            </w:r>
            <w:r>
              <w:rPr>
                <w:rFonts w:cs="EB Garamond"/>
                <w:kern w:val="16"/>
                <w:sz w:val="19"/>
                <w14:ligatures w14:val="standardContextual"/>
              </w:rPr>
              <w:t xml:space="preserve"> revela</w:t>
            </w:r>
            <w:r w:rsidR="00C94FF0">
              <w:rPr>
                <w:rFonts w:cs="EB Garamond"/>
                <w:kern w:val="16"/>
                <w:sz w:val="19"/>
                <w14:ligatures w14:val="standardContextual"/>
              </w:rPr>
              <w:t>r</w:t>
            </w:r>
            <w:r>
              <w:rPr>
                <w:rFonts w:cs="EB Garamond"/>
                <w:kern w:val="16"/>
                <w:sz w:val="19"/>
                <w14:ligatures w14:val="standardContextual"/>
              </w:rPr>
              <w:t xml:space="preserve"> informações que perguntas direcionadas não captar</w:t>
            </w:r>
            <w:r w:rsidR="00BF6383">
              <w:rPr>
                <w:rFonts w:cs="EB Garamond"/>
                <w:kern w:val="16"/>
                <w:sz w:val="19"/>
                <w14:ligatures w14:val="standardContextual"/>
              </w:rPr>
              <w:t>iam</w:t>
            </w:r>
            <w:r>
              <w:rPr>
                <w:rFonts w:cs="EB Garamond"/>
                <w:kern w:val="16"/>
                <w:sz w:val="19"/>
                <w14:ligatures w14:val="standardContextual"/>
              </w:rPr>
              <w:t>; (b) indagar sobre detalhes concretos da atividade rural — tipos de cultura, instrumentos de trabalho, dificuldades enfrentadas, períodos de seca ou enchente, compradores habituais da produção, que permitem ao juiz avaliar a autenticidade do relato; (c) confrontar o depoimento com os documentos dos autos, esclarecendo eventuais divergências; (d) verificar com as testemunhas a mesma base factual, sem induzi-las, para aferir a coerência dos relatos.</w:t>
            </w:r>
          </w:p>
        </w:tc>
      </w:tr>
    </w:tbl>
    <w:p w14:paraId="5192C182" w14:textId="77777777" w:rsidR="005A5FCC" w:rsidRDefault="005A5FCC">
      <w:pPr>
        <w:spacing w:after="80" w:line="240" w:lineRule="auto"/>
      </w:pPr>
    </w:p>
    <w:p w14:paraId="06166BC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A</w:t>
      </w:r>
    </w:p>
    <w:p w14:paraId="253152B7" w14:textId="77777777" w:rsidR="005A5FCC" w:rsidRDefault="00A21C81">
      <w:r>
        <w:rPr>
          <w:rFonts w:cs="EB Garamond"/>
          <w:kern w:val="16"/>
          <w14:ligatures w14:val="standardContextual"/>
        </w:rPr>
        <w:t xml:space="preserve"> sentença de procedência em ação de aposentadoria rural deve conter, em seu dispositivo: (a) o reconhecimento do tempo de atividade rural e do preenchimento dos requisitos legais; (b) a determinação de concessão do benefício de aposentadoria por idade rural (ou híbrida, conforme o caso); (c) a fixação da DIB; (d) a condenação do INSS em obrigação de fazer (implantar o benefício) e em obrigação de pagar (parcelas vencidas); (e) a fixação dos critérios de atualização monetária e juros de mora; e (f) o prazo para cumprimento da obrigação de fazer.</w:t>
      </w:r>
    </w:p>
    <w:p w14:paraId="703EEA67" w14:textId="77777777" w:rsidR="005A5FCC" w:rsidRDefault="00A21C81">
      <w:pPr>
        <w:ind w:firstLine="238"/>
      </w:pPr>
      <w:r>
        <w:rPr>
          <w:rFonts w:cs="EB Garamond"/>
          <w:kern w:val="16"/>
          <w14:ligatures w14:val="standardContextual"/>
        </w:rPr>
        <w:t>A tutela de urgência é cabível nas ações de aposentadoria rural quando demonstrada a verossimilhança do direito (por meio de início de prova material robusto) e o periculum in mora (geralmente configurado pela idade avançada do segurado e pela ausência de outra fonte de renda). A implantação antecipada do benefício, como tutela provisória de urgência, é medida frequente nos JEFs, especialmente quando o segurado tem idade avançada e a instrução processual é complexa.</w:t>
      </w:r>
    </w:p>
    <w:p w14:paraId="38B36CE7" w14:textId="77777777" w:rsidR="005A5FCC" w:rsidRDefault="00A21C81">
      <w:pPr>
        <w:ind w:firstLine="238"/>
      </w:pPr>
      <w:r>
        <w:rPr>
          <w:rFonts w:cs="EB Garamond"/>
          <w:kern w:val="16"/>
          <w14:ligatures w14:val="standardContextual"/>
        </w:rPr>
        <w:t>A análise do CNIS pelo magistrado constitui etapa preliminar indispensável em ações de aposentadoria rural. O Cadastro Nacional de Informações Sociais registra vínculos empregatícios formais, contribuições previdenciárias e benefícios recebidos. A presença de vínculos urbanos no CNIS não implica, por si só, a improcedência do pedido de aposentadoria rural, mas impõe ao juiz a verificação de três aspectos: (a) a duração dos vínculos urbanos (curtos e intercalados, compatíveis com entressafra, ou longos, sugestivos de abandono da atividade rural); (b) a cronologia dos vínculos (se concentrados em determinado período ou distribuídos ao longo de toda a vida laboral); e (c) a consistência entre os vínculos registrados e o relato do segurado em audiência. Divergências entre o CNIS e o depoimento pessoal exigem esclarecimento, sob pena de comprometimento da credibilidade do pedido.</w:t>
      </w:r>
    </w:p>
    <w:p w14:paraId="56659A94" w14:textId="77777777" w:rsidR="005A5FCC" w:rsidRDefault="00A21C81">
      <w:pPr>
        <w:ind w:firstLine="238"/>
      </w:pPr>
      <w:r>
        <w:rPr>
          <w:rFonts w:cs="EB Garamond"/>
          <w:kern w:val="16"/>
          <w14:ligatures w14:val="standardContextual"/>
        </w:rPr>
        <w:t xml:space="preserve">O recurso inominado contra sentença em ação de aposentadoria rural nos JEFs é julgado pela Turma Recursal competente, nos termos da Lei n. 10.259/2001. A revisão da prova testemunhal pelo órgão recursal é limitada: a Turma Recursal pode reavaliar a suficiência do início de prova material e a coerência entre prova documental e testemunhal, mas não pode substituir a valoração do juízo de primeiro grau quanto à credibilidade dos depoimentos, salvo em </w:t>
      </w:r>
      <w:r>
        <w:rPr>
          <w:rFonts w:cs="EB Garamond"/>
          <w:kern w:val="16"/>
          <w14:ligatures w14:val="standardContextual"/>
        </w:rPr>
        <w:lastRenderedPageBreak/>
        <w:t>casos de manifesta arbitrariedade ou contradição com os elementos dos autos. Eventual divergência com entendimento da TNU autoriza a interposição de pedido de uniformização, nos termos do art. 14, § 2º, da Lei n. 10.259/2001.</w:t>
      </w:r>
    </w:p>
    <w:tbl>
      <w:tblPr>
        <w:tblW w:w="5000" w:type="pct"/>
        <w:jc w:val="center"/>
        <w:tblLayout w:type="fixed"/>
        <w:tblLook w:val="04A0" w:firstRow="1" w:lastRow="0" w:firstColumn="1" w:lastColumn="0" w:noHBand="0" w:noVBand="1"/>
      </w:tblPr>
      <w:tblGrid>
        <w:gridCol w:w="6311"/>
      </w:tblGrid>
      <w:tr w:rsidR="005A5FCC" w14:paraId="67560A42"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12E8169B"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6CB7EEEE" w14:textId="77777777" w:rsidR="005A5FCC" w:rsidRDefault="00A21C81">
            <w:pPr>
              <w:spacing w:after="60" w:line="247" w:lineRule="auto"/>
            </w:pPr>
            <w:r>
              <w:rPr>
                <w:rFonts w:cs="EB Garamond"/>
                <w:kern w:val="16"/>
                <w:sz w:val="19"/>
                <w14:ligatures w14:val="standardContextual"/>
              </w:rPr>
              <w:t>A elaboração de quesitos para testemunhas em ações de aposentadoria rural nos JEFs deve ser orientada por elementos específicos que o juiz precisa aferir: (a) a localidade onde o segurado exerce ou exerceu atividade rural; (b) o tipo de cultura ou criação (milho, feijão, mandioca, café, gado, etc.); (c) a extensão aproximada da área explorada; (d) os instrumentos de trabalho utilizados (tração animal, mecanização parcial, trabalho manual); (e) a composição do grupo familiar que participa da atividade; (f) eventuais períodos de afastamento do campo (entressafra, doença, atividade urbana temporária); (g) a forma de comercialização da produção (feiras, atravessadores, cooperativas); e (h) o conhecimento direto da testemunha sobre o segurado e há quanto tempo o conhece. Perguntas sobre detalhes concretos, como o preço de venda do produto, as dificuldades climáticas enfrentadas ou os vizinhos de propriedade, permitem ao juiz aferir a autenticidade dos relatos com segurança.</w:t>
            </w:r>
          </w:p>
        </w:tc>
      </w:tr>
    </w:tbl>
    <w:p w14:paraId="6AD47219" w14:textId="77777777" w:rsidR="005A5FCC" w:rsidRDefault="005A5FCC">
      <w:pPr>
        <w:spacing w:after="80" w:line="240" w:lineRule="auto"/>
      </w:pPr>
    </w:p>
    <w:p w14:paraId="732A070A"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9.24 Indígenas, quilombolas e comunidades tradicionais</w:t>
      </w:r>
    </w:p>
    <w:p w14:paraId="2E5D0272"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I</w:t>
      </w:r>
    </w:p>
    <w:p w14:paraId="413393F9" w14:textId="77777777" w:rsidR="005A5FCC" w:rsidRDefault="00A21C81">
      <w:r>
        <w:rPr>
          <w:rFonts w:cs="EB Garamond"/>
          <w:kern w:val="16"/>
          <w14:ligatures w14:val="standardContextual"/>
        </w:rPr>
        <w:t>ndígenas, quilombolas e demais comunidades tradicionais (ribeirinhos, caiçaras, quebradeiras de coco babaçu, seringueiros) integram a categoria de segurados especiais quando preenchidos os requisitos do art. 11, VII, da Lei n. 8.213/91 — o conceito é funcional, centrado no exercício de atividade em regime de economia familiar, sem distinção étnica.</w:t>
      </w:r>
    </w:p>
    <w:p w14:paraId="72C09903" w14:textId="77777777" w:rsidR="005A5FCC" w:rsidRDefault="00A21C81">
      <w:pPr>
        <w:ind w:firstLine="238"/>
      </w:pPr>
      <w:r>
        <w:rPr>
          <w:rFonts w:cs="EB Garamond"/>
          <w:kern w:val="16"/>
          <w14:ligatures w14:val="standardContextual"/>
        </w:rPr>
        <w:t>O principal problema probatório dessas populações reside na informalidade acentuada e na distância dos órgãos de registro. Quanto ao indígena, a terra demarcada, embora de propriedade da União (art. 20, XI, CF/88), é de usufruto exclusivo dos indígenas (art. 231, § 2º), equiparando-se à posse para fins previdenciários. O limite de quatro módulos fiscais não se aplica, pois a terra indígena possui regime jurídico próprio.</w:t>
      </w:r>
    </w:p>
    <w:p w14:paraId="61BAF4F5" w14:textId="77777777" w:rsidR="005A5FCC" w:rsidRDefault="00A21C81">
      <w:pPr>
        <w:ind w:firstLine="238"/>
      </w:pPr>
      <w:r>
        <w:rPr>
          <w:rFonts w:cs="EB Garamond"/>
          <w:kern w:val="16"/>
          <w14:ligatures w14:val="standardContextual"/>
        </w:rPr>
        <w:lastRenderedPageBreak/>
        <w:t>As comunidades quilombolas, reconhecidas pelo art. 68 do ADCT, exercem atividade rural em territórios coletivos. O enquadramento como segurado especial segue os mesmos critérios gerais: comprovação do exercício de atividade agropecuária ou extrativista em regime de economia familiar. A certidão de autorreconhecimento emitida pela Fundação Cultural Palmares, combinada com documentos que comprovem a atividade rural (DAP, bloco de notas, declaração sindical), constitui início de prova material robusto.</w:t>
      </w:r>
    </w:p>
    <w:p w14:paraId="5C54585C" w14:textId="77777777" w:rsidR="005A5FCC" w:rsidRDefault="00A21C81">
      <w:pPr>
        <w:ind w:firstLine="238"/>
      </w:pPr>
      <w:r>
        <w:rPr>
          <w:rFonts w:cs="EB Garamond"/>
          <w:kern w:val="16"/>
          <w14:ligatures w14:val="standardContextual"/>
        </w:rPr>
        <w:t>A prova da atividade rural de membros de comunidades tradicionais apresenta dificuldades próprias, relacionadas à informalidade ainda mais acentuada dessas populações e à distância geográfica dos órgãos de registro. A jurisprudência dos TRFs vem adotando postura sensível a essas especificidades, admitindo documentos emitidos pela FUNAI, pela Fundação Palmares, por associações de comunidades tradicionais e por entidades de assistência técnica e extensão rural como início de prova material.</w:t>
      </w:r>
    </w:p>
    <w:p w14:paraId="2ACE96D7"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9.25 Meação, parceria e comodato rural</w:t>
      </w:r>
    </w:p>
    <w:p w14:paraId="527D92A4"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366F83EE" w14:textId="77777777" w:rsidR="005A5FCC" w:rsidRDefault="00A21C81">
      <w:r>
        <w:rPr>
          <w:rFonts w:cs="EB Garamond"/>
          <w:kern w:val="16"/>
          <w14:ligatures w14:val="standardContextual"/>
        </w:rPr>
        <w:t xml:space="preserve"> exploração de terra alheia mediante contratos de meação, parceria ou comodato é forma habitual de exercício de atividade rural por trabalhadores que não são proprietários da terra. O meeiro cultiva a terra de outrem e divide a produção em partes iguais com o proprietário. O parceiro reparte a produção em proporções distintas (geralmente 70/30 ou 60/40). O comodatário usa gratuitamente a terra cedida pelo proprietário, sem obrigação de repartição da produção.</w:t>
      </w:r>
    </w:p>
    <w:p w14:paraId="6F251FF1" w14:textId="77777777" w:rsidR="005A5FCC" w:rsidRDefault="00A21C81">
      <w:pPr>
        <w:ind w:firstLine="238"/>
      </w:pPr>
      <w:r>
        <w:rPr>
          <w:rFonts w:cs="EB Garamond"/>
          <w:kern w:val="16"/>
          <w14:ligatures w14:val="standardContextual"/>
        </w:rPr>
        <w:t>Todas essas modalidades de exploração são compatíveis com o regime de economia familiar e com o enquadramento como segurado especial (art. 11, VII, "a", Lei n. 8.213/91). O contrato de meação, parceria ou comodato constitui, inclusive, início de prova material da atividade rural (art. 106, II, Lei n. 8.213/91), comprovando simultaneamente a vinculação ao meio rural e o exercício efetivo de atividade agropecuária.</w:t>
      </w:r>
    </w:p>
    <w:p w14:paraId="7E47629F" w14:textId="77777777" w:rsidR="005A5FCC" w:rsidRDefault="00A21C81">
      <w:pPr>
        <w:ind w:firstLine="238"/>
      </w:pPr>
      <w:r>
        <w:rPr>
          <w:rFonts w:cs="EB Garamond"/>
          <w:kern w:val="16"/>
          <w14:ligatures w14:val="standardContextual"/>
        </w:rPr>
        <w:lastRenderedPageBreak/>
        <w:t>Na prática, porém, esses contratos raramente são formalizados por escrito. A relação entre o meeiro/parceiro e o proprietário da terra frequentemente se estabelece de modo verbal, com base na confiança mútua e nos costumes locais. A ausência de contrato escrito não impede o reconhecimento da atividade rural, desde que comprovada por outros meios: declaração do proprietário da terra, testemunhos de vizinhos, documentos de comercialização da produção em nome do meeiro/parceiro, e outros elementos que confirmem a exploração da terra em regime de economia familiar.</w:t>
      </w:r>
    </w:p>
    <w:tbl>
      <w:tblPr>
        <w:tblW w:w="5000" w:type="pct"/>
        <w:jc w:val="center"/>
        <w:tblLayout w:type="fixed"/>
        <w:tblLook w:val="04A0" w:firstRow="1" w:lastRow="0" w:firstColumn="1" w:lastColumn="0" w:noHBand="0" w:noVBand="1"/>
      </w:tblPr>
      <w:tblGrid>
        <w:gridCol w:w="6311"/>
      </w:tblGrid>
      <w:tr w:rsidR="005A5FCC" w14:paraId="2EB29C50"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139F7A8E"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682D58C0" w14:textId="77777777" w:rsidR="005A5FCC" w:rsidRDefault="00A21C81">
            <w:pPr>
              <w:spacing w:after="60" w:line="247" w:lineRule="auto"/>
            </w:pPr>
            <w:r>
              <w:rPr>
                <w:rFonts w:cs="EB Garamond"/>
                <w:kern w:val="16"/>
                <w:sz w:val="19"/>
                <w14:ligatures w14:val="standardContextual"/>
              </w:rPr>
              <w:t>Quando o segurado alega ter exercido atividade rural como meeiro, parceiro ou comodatário, o advogado deve buscar obter declaração do proprietário da terra confirmando a cessão e o período de exploração. Essa declaração, ainda que produzida unilateralmente, constitui início de prova material apto a ser corroborado pela prova testemunhal. Se o proprietário já faleceu, os herdeiros podem prestar essa declaração, ou testemunhas que conheciam a relação de parceria podem suprir a ausência documental. A escritura pública ou a matrícula do imóvel rural em nome do proprietário, combinada com prova testemunhal de que o segurado efetivamente trabalhava naquela terra, constitui conjunto probatório satisfatório.</w:t>
            </w:r>
          </w:p>
        </w:tc>
      </w:tr>
    </w:tbl>
    <w:p w14:paraId="15236562" w14:textId="77777777" w:rsidR="005A5FCC" w:rsidRDefault="005A5FCC">
      <w:pPr>
        <w:spacing w:after="80" w:line="240" w:lineRule="auto"/>
      </w:pPr>
    </w:p>
    <w:p w14:paraId="09F51C8C"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9.26 Pescador artesanal como segurado especial</w:t>
      </w:r>
    </w:p>
    <w:p w14:paraId="1B54E654"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N</w:t>
      </w:r>
    </w:p>
    <w:p w14:paraId="2314D239" w14:textId="77777777" w:rsidR="005A5FCC" w:rsidRDefault="00A21C81">
      <w:r>
        <w:rPr>
          <w:rFonts w:cs="EB Garamond"/>
          <w:kern w:val="16"/>
          <w14:ligatures w14:val="standardContextual"/>
        </w:rPr>
        <w:t>a prática dos JEFs do litoral e da região amazônica, o pescador artesanal responde por parcela expressiva dos pedidos de aposentadoria rural. O art. 11, VII, "b", da Lei n. 8.213/91 o enquadra como segurado especial quando a pesca constitui profissão habitual ou principal meio de vida, sem sujeição ao limite de quatro módulos fiscais.</w:t>
      </w:r>
    </w:p>
    <w:p w14:paraId="70D1A6E7" w14:textId="77777777" w:rsidR="005A5FCC" w:rsidRDefault="00A21C81">
      <w:pPr>
        <w:ind w:firstLine="238"/>
      </w:pPr>
      <w:r>
        <w:rPr>
          <w:rFonts w:cs="EB Garamond"/>
          <w:kern w:val="16"/>
          <w14:ligatures w14:val="standardContextual"/>
        </w:rPr>
        <w:t xml:space="preserve">A condição de pescador artesanal é comprovada, além dos documentos gerais previstos no art. 106, pelo Registro Geral da Atividade Pesqueira (RGP), emitido pelo Ministério da Pesca (ou pelo órgão que exerça essa atribuição). O RGP classifica o pescador em categorias, artesanal, industrial, amador, e constitui documento de forte valor probatório para fins previdenciários. A carteira de pescador </w:t>
      </w:r>
      <w:r>
        <w:rPr>
          <w:rFonts w:cs="EB Garamond"/>
          <w:kern w:val="16"/>
          <w14:ligatures w14:val="standardContextual"/>
        </w:rPr>
        <w:lastRenderedPageBreak/>
        <w:t>profissional, expedida pela autoridade competente, também constitui início de prova material da atividade pesqueira.</w:t>
      </w:r>
    </w:p>
    <w:p w14:paraId="35FCCFB9" w14:textId="77777777" w:rsidR="005A5FCC" w:rsidRDefault="00A21C81">
      <w:pPr>
        <w:ind w:firstLine="238"/>
      </w:pPr>
      <w:r>
        <w:rPr>
          <w:rFonts w:cs="EB Garamond"/>
          <w:kern w:val="16"/>
          <w14:ligatures w14:val="standardContextual"/>
        </w:rPr>
        <w:t>O período de defeso, proibição temporária da pesca para preservação das espécies, é equiparado ao período de entressafra para fins previdenciários. Durante o defeso, o pescador artesanal recebe o seguro-defeso (Lei n. 10.779/2003), benefício de natureza trabalhista-previdenciária que equivale a um salário mínimo mensal. O recebimento do seguro-defeso não descaracteriza a condição de segurado especial; ao contrário, constitui indício da atividade pesqueira artesanal, pois o benefício somente é devido ao pescador profissional que exerça a atividade de forma ininterrupta.</w:t>
      </w:r>
    </w:p>
    <w:p w14:paraId="3EB9C3F3" w14:textId="77777777" w:rsidR="005A5FCC" w:rsidRDefault="00A21C81">
      <w:pPr>
        <w:ind w:firstLine="238"/>
      </w:pPr>
      <w:r>
        <w:rPr>
          <w:rFonts w:cs="EB Garamond"/>
          <w:kern w:val="16"/>
          <w14:ligatures w14:val="standardContextual"/>
        </w:rPr>
        <w:t>A atividade de mariscagem, catação de caranguejos, coleta de mariscos e outras formas de extrativismo aquático são equiparadas à pesca artesanal para fins previdenciários, desde que exercidas em regime de economia familiar. Mulheres marisqueiras, especialmente no litoral nordestino, integram parcela significativa dos segurados especiais que pleiteiam aposentadoria rural nos JEFs. A prova da atividade de mariscagem segue as mesmas regras gerais do regime probatório rural, com a peculiaridade de que a informalidade é ainda mais acentuada nessa atividade: as marisqueiras raramente possuem RGP, DAP ou qualquer registro formal, valendo-se, na maioria dos casos, de certidões de nascimento/casamento com qualificação como "pescadora" ou "marisqueira", declarações de colônias de pesca e fichas de atendimento em postos de saúde com indicação da profissão.</w:t>
      </w:r>
    </w:p>
    <w:tbl>
      <w:tblPr>
        <w:tblW w:w="5000" w:type="pct"/>
        <w:jc w:val="center"/>
        <w:tblLayout w:type="fixed"/>
        <w:tblLook w:val="04A0" w:firstRow="1" w:lastRow="0" w:firstColumn="1" w:lastColumn="0" w:noHBand="0" w:noVBand="1"/>
      </w:tblPr>
      <w:tblGrid>
        <w:gridCol w:w="6311"/>
      </w:tblGrid>
      <w:tr w:rsidR="005A5FCC" w14:paraId="2212B43C"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779F0FA6" w14:textId="77777777" w:rsidR="005A5FCC" w:rsidRDefault="00A21C81">
            <w:pPr>
              <w:spacing w:after="60" w:line="240" w:lineRule="auto"/>
              <w:jc w:val="left"/>
            </w:pPr>
            <w:r>
              <w:rPr>
                <w:rFonts w:ascii="Noto Sans" w:hAnsi="Noto Sans" w:cs="Noto Sans"/>
                <w:b/>
                <w:caps/>
                <w:color w:val="B78B37"/>
                <w:kern w:val="16"/>
                <w:sz w:val="16"/>
                <w14:ligatures w14:val="standardContextual"/>
              </w:rPr>
              <w:lastRenderedPageBreak/>
              <w:t>ATENÇÃO</w:t>
            </w:r>
          </w:p>
          <w:p w14:paraId="2C28535C" w14:textId="77777777" w:rsidR="005A5FCC" w:rsidRDefault="00A21C81">
            <w:pPr>
              <w:spacing w:after="60" w:line="247" w:lineRule="auto"/>
            </w:pPr>
            <w:r>
              <w:rPr>
                <w:rFonts w:cs="EB Garamond"/>
                <w:kern w:val="16"/>
                <w:sz w:val="19"/>
                <w14:ligatures w14:val="standardContextual"/>
              </w:rPr>
              <w:t>O pescador artesanal que emprega regime de economia familiar e se vale de embarcação de pequeno porte mantém a condição de segurado especial. A própria definição legal de pesca artesanal — art. 8º, I, "b", da Lei n. 11.959/2009 (Política Nacional de Desenvolvimento Sustentável da Aquicultura e da Pesca) — funda-se no exercício da atividade de forma autônoma, em regime de economia familiar, com meios de produção próprios ou em parceria. O parâmetro de porte da embarcação habitualmente referido — embarcações de até 20 toneladas de arqueação bruta (AB) — não consta da lei, mas de regulamentação infralegal/administrativa do órgão de pesca, de caráter variável e meramente indicativo: a exemplo do que se assentou quanto aos 120 dias de entressafra (seção 9.13), o limite de tonelagem orienta a análise, sem operar como teto categórico, devendo o julgador aferir, no caso concreto, se a capacidade da embarcação e o volume de pesca são compatíveis com a atividade de subsistência. O uso de embarcação motorizada não descaracteriza a condição de artesanal. A pesca industrial, por outro lado, realizada em embarcações de grande porte e com relação de emprego formal, não se enquadra no conceito de segurado especial — o pescador industrial é segurado empregado (art. 11, I) ou contribuinte individual, conforme a relação de trabalho.</w:t>
            </w:r>
          </w:p>
        </w:tc>
      </w:tr>
    </w:tbl>
    <w:p w14:paraId="42992409" w14:textId="77777777" w:rsidR="005A5FCC" w:rsidRDefault="005A5FCC">
      <w:pPr>
        <w:spacing w:after="80" w:line="240" w:lineRule="auto"/>
      </w:pPr>
    </w:p>
    <w:p w14:paraId="080836A1" w14:textId="67DD3572"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 xml:space="preserve">9.27 A regra de transição do art. 143 da </w:t>
      </w:r>
      <w:r w:rsidR="00BF6383">
        <w:rPr>
          <w:rFonts w:cs="EB Garamond"/>
          <w:b/>
          <w:color w:val="3A3128"/>
          <w:kern w:val="16"/>
          <w:sz w:val="31"/>
          <w14:ligatures w14:val="standardContextual"/>
        </w:rPr>
        <w:t>L</w:t>
      </w:r>
      <w:r>
        <w:rPr>
          <w:rFonts w:cs="EB Garamond"/>
          <w:b/>
          <w:color w:val="3A3128"/>
          <w:kern w:val="16"/>
          <w:sz w:val="31"/>
          <w14:ligatures w14:val="standardContextual"/>
        </w:rPr>
        <w:t>ei n. 8.213/91</w:t>
      </w:r>
    </w:p>
    <w:p w14:paraId="3E246B4C"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16350DEA" w14:textId="77777777" w:rsidR="005A5FCC" w:rsidRDefault="00A21C81">
      <w:r>
        <w:rPr>
          <w:rFonts w:cs="EB Garamond"/>
          <w:kern w:val="16"/>
          <w14:ligatures w14:val="standardContextual"/>
        </w:rPr>
        <w:t xml:space="preserve"> art. 143 da Lei n. 8.213/91, em sua redação original, previu regra de transição para a comprovação da atividade rural, nos seguintes termos: o trabalhador rural, ora enquadrado como segurado obrigatório no RGPS, podia requerer aposentadoria por idade mediante a comprovação do exercício de atividade rural, ainda que descontínua, no período imediatamente anterior ao requerimento do benefício, em número de meses idêntico à carência do referido benefício.</w:t>
      </w:r>
    </w:p>
    <w:p w14:paraId="0C63928B" w14:textId="77777777" w:rsidR="005A5FCC" w:rsidRDefault="00A21C81">
      <w:pPr>
        <w:ind w:firstLine="238"/>
      </w:pPr>
      <w:r>
        <w:rPr>
          <w:rFonts w:cs="EB Garamond"/>
          <w:kern w:val="16"/>
          <w14:ligatures w14:val="standardContextual"/>
        </w:rPr>
        <w:t xml:space="preserve">A regra foi concebida como transitória, para vigorar por 15 anos a partir da edição da Lei n. 8.213/91 (ou seja, até 24/07/2006). O objetivo era facilitar a transição do regime anterior, em que o trabalhador rural era atendido pelo FUNRURAL sem exigência de contribuição individual, para o novo regime do </w:t>
      </w:r>
      <w:r>
        <w:rPr>
          <w:rFonts w:cs="EB Garamond"/>
          <w:kern w:val="16"/>
          <w14:ligatures w14:val="standardContextual"/>
        </w:rPr>
        <w:lastRenderedPageBreak/>
        <w:t>RGPS, que requer a comprovação de 180 contribuições. A regra dispensava a comprovação de contribuições, bastando a prova do exercício efetivo de atividade rural pelo período equivalente à carência.</w:t>
      </w:r>
    </w:p>
    <w:p w14:paraId="62F98B60" w14:textId="77777777" w:rsidR="005A5FCC" w:rsidRDefault="00A21C81">
      <w:pPr>
        <w:ind w:firstLine="238"/>
      </w:pPr>
      <w:r>
        <w:rPr>
          <w:rFonts w:cs="EB Garamond"/>
          <w:kern w:val="16"/>
          <w14:ligatures w14:val="standardContextual"/>
        </w:rPr>
        <w:t>O prazo de vigência do art. 143 foi sucessivamente prorrogado: a Lei n. 11.718/2008 estendeu-o até 31/12/2010; a Lei n. 12.873/2013, até 31/12/2015; a Lei n. 13.183/2015, até 31/12/2020; e a Lei n. 14.131/2021, até 31/12/2025. Essa sucessão de prorrogações evidencia que a regra "transitória" tornou-se, na prática, regra quase permanente, refletindo a persistência das condições de informalidade que justificaram sua criação. A vigência do art. 143 na data de publicação desta obra deve ser verificada pelo leitor, pois nova prorrogação legislativa pode ter sido editada após o fechamento da edição.</w:t>
      </w:r>
    </w:p>
    <w:tbl>
      <w:tblPr>
        <w:tblW w:w="5000" w:type="pct"/>
        <w:jc w:val="center"/>
        <w:tblLayout w:type="fixed"/>
        <w:tblLook w:val="04A0" w:firstRow="1" w:lastRow="0" w:firstColumn="1" w:lastColumn="0" w:noHBand="0" w:noVBand="1"/>
      </w:tblPr>
      <w:tblGrid>
        <w:gridCol w:w="6311"/>
      </w:tblGrid>
      <w:tr w:rsidR="005A5FCC" w14:paraId="19170B9F"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1A64DA83"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2A1F9800" w14:textId="77777777" w:rsidR="005A5FCC" w:rsidRDefault="00A21C81">
            <w:pPr>
              <w:spacing w:after="60" w:line="247" w:lineRule="auto"/>
            </w:pPr>
            <w:r>
              <w:rPr>
                <w:rFonts w:cs="EB Garamond"/>
                <w:kern w:val="16"/>
                <w:sz w:val="19"/>
                <w14:ligatures w14:val="standardContextual"/>
              </w:rPr>
              <w:t>A relação entre o art. 143 (regra de transição) e o art. 48, § 2º (regra permanente), gera complexa questão de direito intertemporal. Ambos os dispositivos dispensam o recolhimento de contribuições pelo segurado especial, exigindo a comprovação do exercício de atividade rural pelo período equivalente à carência. A diferença reside na expressão "período imediatamente anterior ao requerimento" (art. 143): a regra de transição exige contemporaneidade entre a atividade rural e o requerimento, enquanto a regra permanente do art. 48, § 2º, foi interpretada pelo STJ (Tema 642) como igualmente exigente de contemporaneidade. Na rotina previdenciária forense, a distinção perdeu relevância operacional, mas o advogado deve estar atento ao fundamento legal adequado, especialmente em casos limítrofes.</w:t>
            </w:r>
          </w:p>
        </w:tc>
      </w:tr>
    </w:tbl>
    <w:p w14:paraId="2425A183" w14:textId="77777777" w:rsidR="005A5FCC" w:rsidRDefault="005A5FCC">
      <w:pPr>
        <w:spacing w:after="80" w:line="240" w:lineRule="auto"/>
      </w:pPr>
    </w:p>
    <w:p w14:paraId="52B1F4C2"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9.28 Fraudes e litigância predatória nas ações rurais</w:t>
      </w:r>
    </w:p>
    <w:p w14:paraId="10078BF9"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0C918C9A" w14:textId="77777777" w:rsidR="005A5FCC" w:rsidRDefault="00A21C81">
      <w:r>
        <w:rPr>
          <w:rFonts w:cs="EB Garamond"/>
          <w:kern w:val="16"/>
          <w14:ligatures w14:val="standardContextual"/>
        </w:rPr>
        <w:t xml:space="preserve"> regime probatório da aposentadoria rural — flexível por necessidade constitucional — é também vulnerável a fraudes. A relativa facilidade de obtenção de declarações sindicais, a dificuldade de verificação da atividade rural por parte do INSS em regiões remotas e a valorização da prova testemunhal </w:t>
      </w:r>
      <w:r>
        <w:rPr>
          <w:rFonts w:cs="EB Garamond"/>
          <w:kern w:val="16"/>
          <w14:ligatures w14:val="standardContextual"/>
        </w:rPr>
        <w:lastRenderedPageBreak/>
        <w:t>como elemento complementar criam espaço para condutas fraudulentas que comprometem a integridade do sistema.</w:t>
      </w:r>
    </w:p>
    <w:p w14:paraId="46CBABD0" w14:textId="77777777" w:rsidR="005A5FCC" w:rsidRDefault="00A21C81">
      <w:pPr>
        <w:ind w:firstLine="238"/>
      </w:pPr>
      <w:r>
        <w:rPr>
          <w:rFonts w:cs="EB Garamond"/>
          <w:kern w:val="16"/>
          <w14:ligatures w14:val="standardContextual"/>
        </w:rPr>
        <w:t>O magistrado dos JEFs deve estar atento a indícios de simulação: segurados que residem em centros urbanos e alegam atividade rural em municípios distantes; início de prova material restrito a declarações sindicais sem qualquer outro elemento documental; testemunhas que prestam depoimentos padronizados, sem conhecimento efetivo das circunstâncias do trabalho rural; e múltiplas ações com o mesmo representante processual, envolvendo segurados da mesma localidade com a mesma estratégia probatória. Esses padrões devem ser analisados com cautela, sem prejuízo da presunção de boa-fé que orienta o processo judicial.</w:t>
      </w:r>
    </w:p>
    <w:p w14:paraId="0E8B296D" w14:textId="77777777" w:rsidR="005A5FCC" w:rsidRDefault="00A21C81">
      <w:pPr>
        <w:ind w:firstLine="238"/>
      </w:pPr>
      <w:r>
        <w:rPr>
          <w:rFonts w:cs="EB Garamond"/>
          <w:kern w:val="16"/>
          <w14:ligatures w14:val="standardContextual"/>
        </w:rPr>
        <w:t>A Lei n. 13.846/2019 introduziu mecanismos de combate à fraude previdenciária que repercutem nas ações rurais. O cruzamento de dados entre o CNIS, o Cadastro Único para Programas Sociais e os registros do INCRA permite ao INSS e ao Poder Judiciário verificar a consistência das informações prestadas pelo segurado. A exigência de georreferenciamento do imóvel rural e a consulta a imagens de satélite são ferramentas que vêm sendo incorporadas à instrução processual, permitindo ao juiz verificar, com grau razoável de certeza, se o imóvel indicado pelo segurado efetivamente existe, se possui dimensões compatíveis com a atividade alegada e se apresenta sinais de cultivo ou exploração agropecuária.</w:t>
      </w:r>
    </w:p>
    <w:p w14:paraId="0BC0EC6E" w14:textId="77777777" w:rsidR="005A5FCC" w:rsidRDefault="00A21C81">
      <w:pPr>
        <w:ind w:firstLine="238"/>
      </w:pPr>
      <w:r>
        <w:rPr>
          <w:rFonts w:cs="EB Garamond"/>
          <w:kern w:val="16"/>
          <w14:ligatures w14:val="standardContextual"/>
        </w:rPr>
        <w:t>Entendemos que o combate à fraude não pode servir de pretexto para endurecimento generalizado do regime probatório. A flexibilização da prova em favor do trabalhador rural é conquista constitucional que reflete a realidade socioeconômica do campo brasileiro. O caminho adequado é a análise criteriosa do conjunto probatório em cada caso concreto, sem presunções genéricas de fraude ou de legitimidade.</w:t>
      </w:r>
    </w:p>
    <w:p w14:paraId="033AE36C"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9.29 Consolidação das posições adotadas</w:t>
      </w:r>
    </w:p>
    <w:p w14:paraId="05336733"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200AD584" w14:textId="77777777" w:rsidR="005A5FCC" w:rsidRDefault="00A21C81">
      <w:r>
        <w:rPr>
          <w:rFonts w:cs="EB Garamond"/>
          <w:kern w:val="16"/>
          <w14:ligatures w14:val="standardContextual"/>
        </w:rPr>
        <w:t>s posições sustentadas neste capítulo podem ser sintetizadas nos seguintes termos:</w:t>
      </w:r>
    </w:p>
    <w:p w14:paraId="5AADE615" w14:textId="77777777" w:rsidR="005A5FCC" w:rsidRDefault="00A21C81">
      <w:pPr>
        <w:ind w:firstLine="238"/>
      </w:pPr>
      <w:r>
        <w:rPr>
          <w:rFonts w:cs="EB Garamond"/>
          <w:kern w:val="16"/>
          <w14:ligatures w14:val="standardContextual"/>
        </w:rPr>
        <w:t xml:space="preserve">A aposentadoria por idade rural mantém integralmente seus requisitos após a EC 103/2019: 60 anos (homem) e 55 anos (mulher), com comprovação </w:t>
      </w:r>
      <w:r>
        <w:rPr>
          <w:rFonts w:cs="EB Garamond"/>
          <w:kern w:val="16"/>
          <w14:ligatures w14:val="standardContextual"/>
        </w:rPr>
        <w:lastRenderedPageBreak/>
        <w:t>de 180 meses de atividade rural. Entendemos que a opção constitucional de preservar esses requisitos reflete adequado reconhecimento da vulnerabilidade socioeconômica do trabalhador rural e das condições de desgaste físico inerentes à atividade no campo.</w:t>
      </w:r>
    </w:p>
    <w:p w14:paraId="5C60ACF9" w14:textId="77777777" w:rsidR="005A5FCC" w:rsidRDefault="00A21C81">
      <w:pPr>
        <w:ind w:firstLine="238"/>
      </w:pPr>
      <w:r>
        <w:rPr>
          <w:rFonts w:cs="EB Garamond"/>
          <w:kern w:val="16"/>
          <w14:ligatures w14:val="standardContextual"/>
        </w:rPr>
        <w:t>O regime probatório da atividade rural, ancorado na exigência de início de prova material corroborado por prova testemunhal (Súmula 149/STJ), deve ser interpretado com a flexibilidade que a realidade do trabalhador rural impõe. A fungibilidade dos documentos aptos a constituir início de prova material (Súmula 6/TNU), a desnecessidade de cobertura documental de todo o período de carência (Súmula 14/TNU) e a possibilidade de extensão temporal da prova documental por meio de testemunhos (Súmula 577/STJ) constituem instrumentos hermenêuticos que concretizam o acesso do segurado rural ao direito previdenciário.</w:t>
      </w:r>
    </w:p>
    <w:p w14:paraId="03D8BFDA" w14:textId="77777777" w:rsidR="005A5FCC" w:rsidRDefault="00A21C81">
      <w:pPr>
        <w:ind w:firstLine="238"/>
      </w:pPr>
      <w:r>
        <w:rPr>
          <w:rFonts w:cs="EB Garamond"/>
          <w:kern w:val="16"/>
          <w14:ligatures w14:val="standardContextual"/>
        </w:rPr>
        <w:t>A aposentadoria por idade híbrida (art. 48, § 3º), especialmente após o Tema 1.007/STJ, ampliou significativamente o universo de segurados elegíveis, ao permitir o cômputo de tempo rural remoto e descontínuo sem exigência de recolhimento. Entendemos que essa modalidade de aposentadoria é coerente com a trajetória laboral de milhões de brasileiros que transitaram entre o campo e a cidade, e que sua interpretação deve ser a mais ampla possível, dentro dos limites legais.</w:t>
      </w:r>
    </w:p>
    <w:p w14:paraId="2D44B72F" w14:textId="77777777" w:rsidR="005A5FCC" w:rsidRDefault="00A21C81">
      <w:pPr>
        <w:ind w:firstLine="238"/>
      </w:pPr>
      <w:r>
        <w:rPr>
          <w:rFonts w:cs="EB Garamond"/>
          <w:kern w:val="16"/>
          <w14:ligatures w14:val="standardContextual"/>
        </w:rPr>
        <w:t>O Tema 1.115/STJ, ao afastar a descaracterização automática do segurado especial pela propriedade superior a quatro módulos fiscais, representou avanço na concretização do princípio da primazia da realidade. Entendemos que a condição de segurado especial deve ser aferida pelo regime efetivo de exploração (economia familiar versus exploração empresarial), e não por critério exclusivamente quantitativo de área.</w:t>
      </w:r>
    </w:p>
    <w:p w14:paraId="40344743" w14:textId="77777777" w:rsidR="005A5FCC" w:rsidRDefault="00A21C81">
      <w:pPr>
        <w:ind w:firstLine="238"/>
      </w:pPr>
      <w:r>
        <w:rPr>
          <w:rFonts w:cs="EB Garamond"/>
          <w:kern w:val="16"/>
          <w14:ligatures w14:val="standardContextual"/>
        </w:rPr>
        <w:t>A prova do trabalho rural infantil deve ser admitida para fins previdenciários, por força do princípio da proteção ao trabalhador e da vedação ao prejuízo retroativo por ato ilícito do empregador. Entendemos que a proibição constitucional do trabalho infantil dirige-se ao empregador, não ao trabalhador, e que negar efeito previdenciário ao trabalho efetivamente prestado constitui dupla penalização do menor explorado.</w:t>
      </w:r>
    </w:p>
    <w:p w14:paraId="309EB03B" w14:textId="77777777" w:rsidR="005A5FCC" w:rsidRDefault="00A21C81">
      <w:pPr>
        <w:ind w:firstLine="238"/>
      </w:pPr>
      <w:r>
        <w:rPr>
          <w:rFonts w:cs="EB Garamond"/>
          <w:kern w:val="16"/>
          <w14:ligatures w14:val="standardContextual"/>
        </w:rPr>
        <w:lastRenderedPageBreak/>
        <w:t>Na atuação nos JEFs, a instrução adequada das ações de aposentadoria rural exige do magistrado sensibilidade para o contexto socioeconômico do segurado, domínio do regime probatório específico e conhecimento da jurisprudência consolidada — elementos que, combinados, permitem a prolação de decisões justas, fundamentadas e eficientes.</w:t>
      </w:r>
    </w:p>
    <w:p w14:paraId="52DB8792" w14:textId="77777777" w:rsidR="005A5FCC" w:rsidRDefault="00A21C81">
      <w:pPr>
        <w:ind w:firstLine="238"/>
      </w:pPr>
      <w:r>
        <w:rPr>
          <w:rFonts w:cs="EB Garamond"/>
          <w:kern w:val="16"/>
          <w14:ligatures w14:val="standardContextual"/>
        </w:rPr>
        <w:t>O quadro a seguir sintetiza os principais parâmetros decisórios na aposentadoria do segurado rural:</w:t>
      </w:r>
    </w:p>
    <w:tbl>
      <w:tblPr>
        <w:tblW w:w="5000" w:type="pct"/>
        <w:jc w:val="center"/>
        <w:tblLook w:val="04A0" w:firstRow="1" w:lastRow="0" w:firstColumn="1" w:lastColumn="0" w:noHBand="0" w:noVBand="1"/>
      </w:tblPr>
      <w:tblGrid>
        <w:gridCol w:w="3170"/>
        <w:gridCol w:w="3170"/>
      </w:tblGrid>
      <w:tr w:rsidR="005A5FCC" w14:paraId="53E89C6B" w14:textId="77777777">
        <w:trPr>
          <w:tblHeader/>
          <w:jc w:val="center"/>
        </w:trPr>
        <w:tc>
          <w:tcPr>
            <w:tcW w:w="3175" w:type="dxa"/>
            <w:tcBorders>
              <w:top w:val="single" w:sz="4" w:space="0" w:color="D2C9B8"/>
              <w:left w:val="single" w:sz="4" w:space="0" w:color="D2C9B8"/>
              <w:bottom w:val="single" w:sz="4" w:space="0" w:color="D2C9B8"/>
              <w:right w:val="single" w:sz="4" w:space="0" w:color="D2C9B8"/>
            </w:tcBorders>
            <w:shd w:val="clear" w:color="auto" w:fill="F0EDE6"/>
          </w:tcPr>
          <w:p w14:paraId="4AECD876" w14:textId="77777777" w:rsidR="005A5FCC" w:rsidRDefault="00A21C81">
            <w:pPr>
              <w:spacing w:before="40" w:after="40" w:line="240" w:lineRule="auto"/>
              <w:jc w:val="center"/>
            </w:pPr>
            <w:r>
              <w:rPr>
                <w:rFonts w:cs="EB Garamond"/>
                <w:b/>
                <w:color w:val="2F2923"/>
                <w:kern w:val="16"/>
                <w:sz w:val="18"/>
                <w14:ligatures w14:val="standardContextual"/>
              </w:rPr>
              <w:t>Figura</w:t>
            </w:r>
          </w:p>
        </w:tc>
        <w:tc>
          <w:tcPr>
            <w:tcW w:w="3175" w:type="dxa"/>
            <w:tcBorders>
              <w:top w:val="single" w:sz="4" w:space="0" w:color="D2C9B8"/>
              <w:left w:val="single" w:sz="4" w:space="0" w:color="D2C9B8"/>
              <w:bottom w:val="single" w:sz="4" w:space="0" w:color="D2C9B8"/>
              <w:right w:val="single" w:sz="4" w:space="0" w:color="D2C9B8"/>
            </w:tcBorders>
            <w:shd w:val="clear" w:color="auto" w:fill="F0EDE6"/>
          </w:tcPr>
          <w:p w14:paraId="7B38FA56" w14:textId="77777777" w:rsidR="005A5FCC" w:rsidRDefault="00A21C81">
            <w:pPr>
              <w:spacing w:before="40" w:after="40" w:line="240" w:lineRule="auto"/>
              <w:jc w:val="center"/>
            </w:pPr>
            <w:r>
              <w:rPr>
                <w:rFonts w:cs="EB Garamond"/>
                <w:b/>
                <w:color w:val="2F2923"/>
                <w:kern w:val="16"/>
                <w:sz w:val="18"/>
                <w14:ligatures w14:val="standardContextual"/>
              </w:rPr>
              <w:t>Parâmetros decisórios</w:t>
            </w:r>
          </w:p>
        </w:tc>
      </w:tr>
      <w:tr w:rsidR="005A5FCC" w14:paraId="4D259CFE"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1DC5935C" w14:textId="77777777" w:rsidR="005A5FCC" w:rsidRDefault="00A21C81">
            <w:pPr>
              <w:spacing w:before="20" w:after="20" w:line="240" w:lineRule="auto"/>
              <w:jc w:val="left"/>
            </w:pPr>
            <w:r>
              <w:rPr>
                <w:rFonts w:cs="EB Garamond"/>
                <w:kern w:val="16"/>
                <w:sz w:val="18"/>
                <w14:ligatures w14:val="standardContextual"/>
              </w:rPr>
              <w:t>Aposentadoria por idade rural (art. 48, §§ 1º-2º)</w:t>
            </w:r>
          </w:p>
        </w:tc>
        <w:tc>
          <w:tcPr>
            <w:tcW w:w="3175" w:type="dxa"/>
            <w:tcBorders>
              <w:top w:val="single" w:sz="4" w:space="0" w:color="D2C9B8"/>
              <w:left w:val="single" w:sz="4" w:space="0" w:color="D2C9B8"/>
              <w:bottom w:val="single" w:sz="4" w:space="0" w:color="D2C9B8"/>
              <w:right w:val="single" w:sz="4" w:space="0" w:color="D2C9B8"/>
            </w:tcBorders>
          </w:tcPr>
          <w:p w14:paraId="3FB2E5C5" w14:textId="46EAE2AA" w:rsidR="005A5FCC" w:rsidRDefault="00A21C81">
            <w:pPr>
              <w:spacing w:before="20" w:after="20" w:line="240" w:lineRule="auto"/>
              <w:jc w:val="left"/>
            </w:pPr>
            <w:r>
              <w:rPr>
                <w:rFonts w:cs="EB Garamond"/>
                <w:kern w:val="16"/>
                <w:sz w:val="18"/>
                <w14:ligatures w14:val="standardContextual"/>
              </w:rPr>
              <w:t xml:space="preserve">Idade 60/55 anos; carência de 180 meses de atividade rural; contemporaneidade exigida (Tema 642/STJ); benefício de um </w:t>
            </w:r>
            <w:r w:rsidR="00BF6383">
              <w:rPr>
                <w:rFonts w:cs="EB Garamond"/>
                <w:kern w:val="16"/>
                <w:sz w:val="18"/>
                <w14:ligatures w14:val="standardContextual"/>
              </w:rPr>
              <w:t>salário-mínimo</w:t>
            </w:r>
            <w:r>
              <w:rPr>
                <w:rFonts w:cs="EB Garamond"/>
                <w:kern w:val="16"/>
                <w:sz w:val="18"/>
                <w14:ligatures w14:val="standardContextual"/>
              </w:rPr>
              <w:t>; início de prova material obrigatório (Súmula 149/STJ)</w:t>
            </w:r>
          </w:p>
        </w:tc>
      </w:tr>
      <w:tr w:rsidR="005A5FCC" w14:paraId="4086EFB2"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3704A1BA" w14:textId="77777777" w:rsidR="005A5FCC" w:rsidRDefault="00A21C81">
            <w:pPr>
              <w:spacing w:before="20" w:after="20" w:line="240" w:lineRule="auto"/>
              <w:jc w:val="left"/>
            </w:pPr>
            <w:r>
              <w:rPr>
                <w:rFonts w:cs="EB Garamond"/>
                <w:kern w:val="16"/>
                <w:sz w:val="18"/>
                <w14:ligatures w14:val="standardContextual"/>
              </w:rPr>
              <w:t>Aposentadoria por idade híbrida (art. 48, § 3º)</w:t>
            </w:r>
          </w:p>
        </w:tc>
        <w:tc>
          <w:tcPr>
            <w:tcW w:w="3175" w:type="dxa"/>
            <w:tcBorders>
              <w:top w:val="single" w:sz="4" w:space="0" w:color="D2C9B8"/>
              <w:left w:val="single" w:sz="4" w:space="0" w:color="D2C9B8"/>
              <w:bottom w:val="single" w:sz="4" w:space="0" w:color="D2C9B8"/>
              <w:right w:val="single" w:sz="4" w:space="0" w:color="D2C9B8"/>
            </w:tcBorders>
          </w:tcPr>
          <w:p w14:paraId="47BD3429" w14:textId="5F9B81C0" w:rsidR="005A5FCC" w:rsidRDefault="00A21C81">
            <w:pPr>
              <w:spacing w:before="20" w:after="20" w:line="240" w:lineRule="auto"/>
              <w:jc w:val="left"/>
            </w:pPr>
            <w:r>
              <w:rPr>
                <w:rFonts w:cs="EB Garamond"/>
                <w:kern w:val="16"/>
                <w:sz w:val="18"/>
                <w14:ligatures w14:val="standardContextual"/>
              </w:rPr>
              <w:t xml:space="preserve">Idade 65/60 anos; soma de períodos rurais e urbanos para atingir 180 contribuições; contemporaneidade dispensada (Tema 1.007/STJ); tempo rural anterior a 1991 computável sem recolhimento (Tema 1.007/STJ) e, no benefício de um </w:t>
            </w:r>
            <w:r w:rsidR="00BF6383">
              <w:rPr>
                <w:rFonts w:cs="EB Garamond"/>
                <w:kern w:val="16"/>
                <w:sz w:val="18"/>
                <w14:ligatures w14:val="standardContextual"/>
              </w:rPr>
              <w:t>salário-mínimo</w:t>
            </w:r>
            <w:r>
              <w:rPr>
                <w:rFonts w:cs="EB Garamond"/>
                <w:kern w:val="16"/>
                <w:sz w:val="18"/>
                <w14:ligatures w14:val="standardContextual"/>
              </w:rPr>
              <w:t>, também o posterior a 1991 (art. 39, I, da Lei 8.213/91 — seção 9.11); cálculo pela média dos salários de contribuição</w:t>
            </w:r>
          </w:p>
        </w:tc>
      </w:tr>
      <w:tr w:rsidR="005A5FCC" w14:paraId="6578BC59"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13A66199" w14:textId="77777777" w:rsidR="005A5FCC" w:rsidRDefault="00A21C81">
            <w:pPr>
              <w:spacing w:before="20" w:after="20" w:line="240" w:lineRule="auto"/>
              <w:jc w:val="left"/>
            </w:pPr>
            <w:r>
              <w:rPr>
                <w:rFonts w:cs="EB Garamond"/>
                <w:kern w:val="16"/>
                <w:sz w:val="18"/>
                <w14:ligatures w14:val="standardContextual"/>
              </w:rPr>
              <w:t>Segurado especial (art. 11, VII)</w:t>
            </w:r>
          </w:p>
        </w:tc>
        <w:tc>
          <w:tcPr>
            <w:tcW w:w="3175" w:type="dxa"/>
            <w:tcBorders>
              <w:top w:val="single" w:sz="4" w:space="0" w:color="D2C9B8"/>
              <w:left w:val="single" w:sz="4" w:space="0" w:color="D2C9B8"/>
              <w:bottom w:val="single" w:sz="4" w:space="0" w:color="D2C9B8"/>
              <w:right w:val="single" w:sz="4" w:space="0" w:color="D2C9B8"/>
            </w:tcBorders>
          </w:tcPr>
          <w:p w14:paraId="70FAED91" w14:textId="77777777" w:rsidR="005A5FCC" w:rsidRDefault="00A21C81">
            <w:pPr>
              <w:spacing w:before="20" w:after="20" w:line="240" w:lineRule="auto"/>
              <w:jc w:val="left"/>
            </w:pPr>
            <w:r>
              <w:rPr>
                <w:rFonts w:cs="EB Garamond"/>
                <w:kern w:val="16"/>
                <w:sz w:val="18"/>
                <w14:ligatures w14:val="standardContextual"/>
              </w:rPr>
              <w:t>Regime de economia familiar; até 4 módulos fiscais (critério flexibilizado pelo Tema 1.115/STJ); contribuição sobre comercialização; sem empregados permanentes; auxílio eventual admitido; documentos do cônjuge e da família extensíveis (Súmulas 6 e 14/TNU)</w:t>
            </w:r>
          </w:p>
        </w:tc>
      </w:tr>
      <w:tr w:rsidR="005A5FCC" w14:paraId="48303137"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63DE9917" w14:textId="77777777" w:rsidR="005A5FCC" w:rsidRDefault="00A21C81">
            <w:pPr>
              <w:spacing w:before="20" w:after="20" w:line="240" w:lineRule="auto"/>
              <w:jc w:val="left"/>
            </w:pPr>
            <w:r>
              <w:rPr>
                <w:rFonts w:cs="EB Garamond"/>
                <w:kern w:val="16"/>
                <w:sz w:val="18"/>
                <w14:ligatures w14:val="standardContextual"/>
              </w:rPr>
              <w:t>Boia-fria</w:t>
            </w:r>
          </w:p>
        </w:tc>
        <w:tc>
          <w:tcPr>
            <w:tcW w:w="3175" w:type="dxa"/>
            <w:tcBorders>
              <w:top w:val="single" w:sz="4" w:space="0" w:color="D2C9B8"/>
              <w:left w:val="single" w:sz="4" w:space="0" w:color="D2C9B8"/>
              <w:bottom w:val="single" w:sz="4" w:space="0" w:color="D2C9B8"/>
              <w:right w:val="single" w:sz="4" w:space="0" w:color="D2C9B8"/>
            </w:tcBorders>
          </w:tcPr>
          <w:p w14:paraId="6DA403BC" w14:textId="46E66ADF" w:rsidR="005A5FCC" w:rsidRDefault="00A21C81">
            <w:pPr>
              <w:spacing w:before="20" w:after="20" w:line="240" w:lineRule="auto"/>
              <w:jc w:val="left"/>
            </w:pPr>
            <w:r>
              <w:rPr>
                <w:rFonts w:cs="EB Garamond"/>
                <w:kern w:val="16"/>
                <w:sz w:val="18"/>
                <w14:ligatures w14:val="standardContextual"/>
              </w:rPr>
              <w:t xml:space="preserve">Enquadramento, em regra, como empregado rural (mas também contribuinte individual ou avulso, conforme a relação de trabalho — seção 9.10); prova material mitigada; regime probatório abrandado; responsabilidade patronal pelo recolhimento; benefício de um </w:t>
            </w:r>
            <w:r w:rsidR="00BF6383">
              <w:rPr>
                <w:rFonts w:cs="EB Garamond"/>
                <w:kern w:val="16"/>
                <w:sz w:val="18"/>
                <w14:ligatures w14:val="standardContextual"/>
              </w:rPr>
              <w:t>salário-mínimo</w:t>
            </w:r>
            <w:r>
              <w:rPr>
                <w:rFonts w:cs="EB Garamond"/>
                <w:kern w:val="16"/>
                <w:sz w:val="18"/>
                <w14:ligatures w14:val="standardContextual"/>
              </w:rPr>
              <w:t xml:space="preserve"> na prática</w:t>
            </w:r>
          </w:p>
        </w:tc>
      </w:tr>
    </w:tbl>
    <w:p w14:paraId="7BDCF6CD" w14:textId="77777777" w:rsidR="005A5FCC" w:rsidRDefault="005A5FCC">
      <w:pPr>
        <w:spacing w:after="80" w:line="240" w:lineRule="auto"/>
      </w:pPr>
    </w:p>
    <w:p w14:paraId="66F4FEEC"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E</w:t>
      </w:r>
    </w:p>
    <w:p w14:paraId="5FE485AA" w14:textId="77777777" w:rsidR="005A5FCC" w:rsidRDefault="00A21C81">
      <w:r>
        <w:rPr>
          <w:rFonts w:cs="EB Garamond"/>
          <w:kern w:val="16"/>
          <w14:ligatures w14:val="standardContextual"/>
        </w:rPr>
        <w:t>sses parâmetros orientam tanto a atuação do advogado na elaboração da petição inicial quanto a condução da instrução processual pelo magistrado, conferindo previsibilidade e uniformidade à aplicação do direito previdenciário rural nos Juizados Especiais Federais.</w:t>
      </w:r>
    </w:p>
    <w:p w14:paraId="493EAEDF" w14:textId="77777777" w:rsidR="005A5FCC" w:rsidRDefault="005A5FCC">
      <w:pPr>
        <w:sectPr w:rsidR="005A5FCC">
          <w:headerReference w:type="even" r:id="rId120"/>
          <w:headerReference w:type="default" r:id="rId121"/>
          <w:footerReference w:type="even" r:id="rId122"/>
          <w:footerReference w:type="default" r:id="rId123"/>
          <w:headerReference w:type="first" r:id="rId124"/>
          <w:footerReference w:type="first" r:id="rId125"/>
          <w:pgSz w:w="8391" w:h="11906"/>
          <w:pgMar w:top="935" w:right="879" w:bottom="964" w:left="1162" w:header="454" w:footer="425" w:gutter="0"/>
          <w:cols w:space="720"/>
          <w:titlePg/>
          <w:docGrid w:linePitch="360"/>
        </w:sectPr>
      </w:pPr>
    </w:p>
    <w:p w14:paraId="04C77396" w14:textId="77777777" w:rsidR="005A5FCC" w:rsidRDefault="00A21C81">
      <w:pPr>
        <w:keepNext/>
        <w:spacing w:before="240" w:after="80" w:line="240" w:lineRule="auto"/>
        <w:jc w:val="center"/>
      </w:pPr>
      <w:r>
        <w:rPr>
          <w:rFonts w:ascii="Noto Sans" w:hAnsi="Noto Sans" w:cs="Noto Sans"/>
          <w:b/>
          <w:caps/>
          <w:color w:val="8A6A2A"/>
          <w:kern w:val="16"/>
          <w:sz w:val="19"/>
          <w14:ligatures w14:val="standardContextual"/>
        </w:rPr>
        <w:lastRenderedPageBreak/>
        <w:t>CAPÍTULO 10</w:t>
      </w:r>
    </w:p>
    <w:p w14:paraId="72A9FB69" w14:textId="77777777" w:rsidR="005A5FCC" w:rsidRDefault="00A21C81">
      <w:pPr>
        <w:pStyle w:val="Ttulo2"/>
        <w:spacing w:line="240" w:lineRule="auto"/>
      </w:pPr>
      <w:r>
        <w:rPr>
          <w:rFonts w:ascii="EB Garamond" w:hAnsi="EB Garamond" w:cs="EB Garamond"/>
          <w:caps/>
          <w:kern w:val="16"/>
          <w14:ligatures w14:val="standardContextual"/>
        </w:rPr>
        <w:t>Aposentadoria Programada e Aposentadoria por Idade Urbana</w:t>
      </w:r>
    </w:p>
    <w:p w14:paraId="7E1ED4A4" w14:textId="77777777" w:rsidR="005A5FCC" w:rsidRDefault="00A21C81">
      <w:pPr>
        <w:spacing w:after="240" w:line="240" w:lineRule="auto"/>
        <w:jc w:val="center"/>
      </w:pPr>
      <w:r>
        <w:rPr>
          <w:rFonts w:cs="EB Garamond"/>
          <w:color w:val="B78B37"/>
          <w:kern w:val="16"/>
          <w:sz w:val="18"/>
          <w14:ligatures w14:val="standardContextual"/>
        </w:rPr>
        <w:t>━━━━  ◆  ━━━━</w:t>
      </w:r>
    </w:p>
    <w:p w14:paraId="7FD08E30" w14:textId="06CCAE5B" w:rsidR="005A5FCC" w:rsidRDefault="008D2BD7">
      <w:pPr>
        <w:keepNext/>
        <w:pBdr>
          <w:bottom w:val="single" w:sz="8" w:space="4" w:color="B89B5E"/>
        </w:pBdr>
        <w:spacing w:before="360" w:after="140" w:line="240" w:lineRule="auto"/>
        <w:jc w:val="left"/>
      </w:pPr>
      <w:r>
        <w:rPr>
          <w:rFonts w:cs="EB Garamond"/>
          <w:b/>
          <w:color w:val="3A3128"/>
          <w:kern w:val="16"/>
          <w:sz w:val="31"/>
          <w14:ligatures w14:val="standardContextual"/>
        </w:rPr>
        <w:t xml:space="preserve">10.1 </w:t>
      </w:r>
      <w:r w:rsidR="00A21C81">
        <w:rPr>
          <w:rFonts w:cs="EB Garamond"/>
          <w:b/>
          <w:color w:val="3A3128"/>
          <w:kern w:val="16"/>
          <w:sz w:val="31"/>
          <w14:ligatures w14:val="standardContextual"/>
        </w:rPr>
        <w:t>Introdução: da aposentadoria por idade à aposentadoria programada</w:t>
      </w:r>
    </w:p>
    <w:p w14:paraId="7EEBB5F4"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33B04ED9" w14:textId="77777777" w:rsidR="005A5FCC" w:rsidRDefault="00A21C81">
      <w:r>
        <w:rPr>
          <w:rFonts w:cs="EB Garamond"/>
          <w:kern w:val="16"/>
          <w14:ligatures w14:val="standardContextual"/>
        </w:rPr>
        <w:t xml:space="preserve"> EC 103/2019 substituiu a aposentadoria por idade e a aposentadoria por tempo de contribuição por uma unica especie — a aposentadoria programada — com requisitos cumulativos de idade minima e tempo de contribuicao. Onde antes existiam duas modalidades autonomas, desde a LOPS (Lei 3.807/60) passando pelas reformas da EC 20/1998 e da Lei 9.876/99, surgiu uma formula unificada que combina idade e tempo de contribuicao em exigencias simultaneas.</w:t>
      </w:r>
    </w:p>
    <w:p w14:paraId="0DCDA264" w14:textId="77777777" w:rsidR="005A5FCC" w:rsidRDefault="00A21C81">
      <w:pPr>
        <w:ind w:firstLine="238"/>
      </w:pPr>
      <w:r>
        <w:rPr>
          <w:rFonts w:cs="EB Garamond"/>
          <w:kern w:val="16"/>
          <w14:ligatures w14:val="standardContextual"/>
        </w:rPr>
        <w:t>Essa unificação não foi mera mudança de nomenclatura. Ela alterou a lógica estrutural do sistema, eliminando a possibilidade de aposentadoria exclusivamente por tempo de contribuição (sem idade mínima) e consolidando a exigência de requisitos cumulativos. O resultado prático é que, para os segurados filiados ao RGPS após 13 de novembro de 2019, existe uma única modalidade de aposentadoria voluntária por idade no regime geral: a aposentadoria programada do art. 201, § 7º, inciso I, da Constituição Federal.</w:t>
      </w:r>
    </w:p>
    <w:p w14:paraId="24DB9BB7" w14:textId="77777777" w:rsidR="005A5FCC" w:rsidRDefault="00A21C81">
      <w:pPr>
        <w:ind w:firstLine="238"/>
      </w:pPr>
      <w:r>
        <w:rPr>
          <w:rFonts w:cs="EB Garamond"/>
          <w:kern w:val="16"/>
          <w14:ligatures w14:val="standardContextual"/>
        </w:rPr>
        <w:t xml:space="preserve">Entretanto, a realidade dos Juizados Especiais Federais é consideravelmente mais complexa do que a leitura isolada da regra permanente sugere. A maioria dos segurados que atualmente litigam nos JEFs ingressou no sistema antes da Reforma e, portanto, pode estar sujeita a uma ou mais das cinco regras de transição </w:t>
      </w:r>
      <w:r>
        <w:rPr>
          <w:rFonts w:cs="EB Garamond"/>
          <w:kern w:val="16"/>
          <w14:ligatures w14:val="standardContextual"/>
        </w:rPr>
        <w:lastRenderedPageBreak/>
        <w:t>previstas nos arts. 15 a 20 da EC 103/2019. Além disso, segurados que implementaram os requisitos da antiga aposentadoria por idade (65/60 anos + 180 contribuições) antes de 13/11/2019 preservam o direito adquirido ao benefício na forma da legislação anterior, nos termos do art. 3º da EC 103/2019.</w:t>
      </w:r>
    </w:p>
    <w:p w14:paraId="17F1769A" w14:textId="77777777" w:rsidR="005A5FCC" w:rsidRDefault="00A21C81">
      <w:pPr>
        <w:ind w:firstLine="238"/>
      </w:pPr>
      <w:r>
        <w:rPr>
          <w:rFonts w:cs="EB Garamond"/>
          <w:kern w:val="16"/>
          <w14:ligatures w14:val="standardContextual"/>
        </w:rPr>
        <w:t>Este capítulo examina o universo das aposentadorias por idade no âmbito urbano, compreendendo tanto a regra permanente da aposentadoria programada quanto a regra de transição do art. 18 da EC 103/2019 e o direito adquirido à aposentadoria por idade pré-reforma. As regras de transição dos arts. 15, 16, 17 e 20, que se aplicam predominantemente a segurados com longo tempo de contribuição, serão tratadas no Capítulo 11 (Aposentadoria por Tempo de Contribuição e Regras de Transição), embora aqui se faça a apresentação panorâmica necessária para que o leitor compreenda a interação entre essas regras e saiba orientar o segurado na escolha do benefício mais vantajoso. Registre-se, em especial, que a regra do pedágio de 50% (art. 17 da EC 103/2019) é a única reservada a quem, em 13/11/2019, estava a menos de dois anos do tempo de contribuição então exigido (30 anos para a mulher, 35 para o homem): nessa hipótese, o segurado completa o tempo faltante acrescido de pedágio equivalente à metade desse período, sujeitando-se, contudo, à incidência do fator previdenciário — peculiaridade que a distingue das demais transições e que justifica sua aparição apenas marginal nas tabelas comparativas deste capítulo, voltado à aposentadoria por idade.</w:t>
      </w:r>
    </w:p>
    <w:p w14:paraId="255FB17D" w14:textId="77777777" w:rsidR="005A5FCC" w:rsidRDefault="00A21C81">
      <w:pPr>
        <w:ind w:firstLine="238"/>
      </w:pPr>
      <w:r>
        <w:rPr>
          <w:rFonts w:cs="EB Garamond"/>
          <w:kern w:val="16"/>
          <w14:ligatures w14:val="standardContextual"/>
        </w:rPr>
        <w:t>A delimitação entre este capítulo e os capítulos vizinhos merece atenção. O Capítulo 9 trata da aposentadoria rural e da aposentadoria por idade híbrida (Tema 1007/STJ); o Capítulo 11 trata das regras de transição por tempo de contribuição (arts. 15, 16, 17 e 20, EC 103); e o Capítulo 12 trata da aposentadoria da pessoa com deficiência (LC 142/2013). O presente capítulo concentra-se na aposentadoria por idade do segurado urbano, na nova aposentadoria programada e na interface prática entre essas modalidades nos JEFs.</w:t>
      </w:r>
    </w:p>
    <w:p w14:paraId="6328BD15" w14:textId="77777777" w:rsidR="005A5FCC" w:rsidRDefault="00A21C81">
      <w:pPr>
        <w:ind w:firstLine="238"/>
      </w:pPr>
      <w:r>
        <w:rPr>
          <w:rFonts w:cs="EB Garamond"/>
          <w:kern w:val="16"/>
          <w14:ligatures w14:val="standardContextual"/>
        </w:rPr>
        <w:t>O advogado previdenciário que atua nos Juizados Especiais Federais precisa dominar não apenas os requisitos normativos de cada regra, mas também a estratégia de escolha entre elas. Um mesmo segurado pode ter direito adquirido à regra antiga, enquadrar-se em uma ou mais regras de transição e, simultaneamente, pre</w:t>
      </w:r>
      <w:r>
        <w:rPr>
          <w:rFonts w:cs="EB Garamond"/>
          <w:kern w:val="16"/>
          <w14:ligatures w14:val="standardContextual"/>
        </w:rPr>
        <w:lastRenderedPageBreak/>
        <w:t>encher os requisitos da regra permanente. A identificação do benefício mais vantajoso, em termos de valor mensal e de data de início mais favorável, é tarefa que exige domínio técnico e visão sistêmica do ordenamento previdenciário.</w:t>
      </w:r>
    </w:p>
    <w:p w14:paraId="2CEAC312"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10.2 Evolução legislativa: da LOPS à EC 103/2019</w:t>
      </w:r>
    </w:p>
    <w:p w14:paraId="454A475B" w14:textId="77777777" w:rsidR="005A5FCC" w:rsidRDefault="00A21C81">
      <w:pPr>
        <w:spacing w:before="260" w:after="80" w:line="240" w:lineRule="auto"/>
        <w:jc w:val="left"/>
      </w:pPr>
      <w:r>
        <w:rPr>
          <w:rFonts w:cs="EB Garamond"/>
          <w:b/>
          <w:color w:val="3A3128"/>
          <w:kern w:val="16"/>
          <w:sz w:val="25"/>
          <w14:ligatures w14:val="standardContextual"/>
        </w:rPr>
        <w:t>10.2.1 A aposentadoria por velhice na LOPS (1960-1991)</w:t>
      </w:r>
    </w:p>
    <w:p w14:paraId="4DA0424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181B7DEE" w14:textId="77777777" w:rsidR="005A5FCC" w:rsidRDefault="00A21C81">
      <w:r>
        <w:rPr>
          <w:rFonts w:cs="EB Garamond"/>
          <w:kern w:val="16"/>
          <w14:ligatures w14:val="standardContextual"/>
        </w:rPr>
        <w:t xml:space="preserve"> Lei 3.807/60 (Lei Orgânica da Previdência Social) instituiu a aposentadoria por velhice, denominação que revelava o paradigma da época. Os requisitos eram modestos para os padrões atuais: 65 anos de idade para homens e 60 para mulheres, sem exigência explícita de um número mínimo de contribuições, bastando a condição de segurado. A LOPS unificou diversos institutos de aposentadoria e pensões (IAPs) sob uma disciplina normativa comum, mas manteve a fragmentação institucional até a criação do INPS em 1966.</w:t>
      </w:r>
    </w:p>
    <w:p w14:paraId="71BAC8A8" w14:textId="77777777" w:rsidR="005A5FCC" w:rsidRDefault="00A21C81">
      <w:pPr>
        <w:ind w:firstLine="238"/>
      </w:pPr>
      <w:r>
        <w:rPr>
          <w:rFonts w:cs="EB Garamond"/>
          <w:kern w:val="16"/>
          <w14:ligatures w14:val="standardContextual"/>
        </w:rPr>
        <w:t>Nesse período, a aposentadoria por velhice funcionava como um piso de proteção para trabalhadores que alcançavam idade avançada sem ter acumulado tempo de serviço suficiente para a aposentadoria por tempo de serviço. A distinção entre as duas modalidades já estava presente: a aposentadoria por tempo de serviço era o benefício "completo" (valor integral), enquanto a aposentadoria por velhice representava uma alternativa reduzida para quem não atingia o tempo mínimo de serviço.</w:t>
      </w:r>
    </w:p>
    <w:p w14:paraId="25B0D3E3" w14:textId="77777777" w:rsidR="005A5FCC" w:rsidRDefault="00A21C81">
      <w:pPr>
        <w:spacing w:before="260" w:after="80" w:line="240" w:lineRule="auto"/>
        <w:jc w:val="left"/>
      </w:pPr>
      <w:r>
        <w:rPr>
          <w:rFonts w:cs="EB Garamond"/>
          <w:b/>
          <w:color w:val="3A3128"/>
          <w:kern w:val="16"/>
          <w:sz w:val="25"/>
          <w14:ligatures w14:val="standardContextual"/>
        </w:rPr>
        <w:t>10.2.2 A Constituição de 1988 e a aposentadoria por idade</w:t>
      </w:r>
    </w:p>
    <w:p w14:paraId="0BBD72E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7DECB2D2" w14:textId="77777777" w:rsidR="005A5FCC" w:rsidRDefault="00A21C81">
      <w:r>
        <w:rPr>
          <w:rFonts w:cs="EB Garamond"/>
          <w:kern w:val="16"/>
          <w14:ligatures w14:val="standardContextual"/>
        </w:rPr>
        <w:t xml:space="preserve"> Constituição de 1988 manteve a aposentadoria por idade (art. 201, I, redação original) com requisitos de 65 anos para homens e 60 para mulheres, reduzidos em cinco anos para trabalhadores rurais. A grande inovação constitucional foi o art. 202 (redação original), que vinculava o cálculo da aposentadoria à média dos salários de contribuição e introduziu o mecanismo de correção monetária integral dos salários de contribuição utilizados no cálculo.</w:t>
      </w:r>
    </w:p>
    <w:p w14:paraId="7C950C02" w14:textId="77777777" w:rsidR="005A5FCC" w:rsidRDefault="00A21C81">
      <w:pPr>
        <w:ind w:firstLine="238"/>
      </w:pPr>
      <w:r>
        <w:rPr>
          <w:rFonts w:cs="EB Garamond"/>
          <w:kern w:val="16"/>
          <w14:ligatures w14:val="standardContextual"/>
        </w:rPr>
        <w:lastRenderedPageBreak/>
        <w:t>A Lei 8.213/91, que regulamentou os benefícios previdenciários, disciplinou a aposentadoria por idade nos arts. 48 a 51, estabelecendo a exigência de carência de 180 contribuições mensais (art. 25, II), com a regra de transição do art. 142 para segurados filiados antes de 24/07/1991. Essa tabela progressiva previa um aumento gradual da carência, de 60 contribuições em 1991 até 180 em 2011.</w:t>
      </w:r>
    </w:p>
    <w:p w14:paraId="7CFAB451" w14:textId="7692BD42" w:rsidR="005A5FCC" w:rsidRDefault="00A21C81">
      <w:pPr>
        <w:ind w:firstLine="238"/>
      </w:pPr>
      <w:r>
        <w:rPr>
          <w:rFonts w:cs="EB Garamond"/>
          <w:kern w:val="16"/>
          <w14:ligatures w14:val="standardContextual"/>
        </w:rPr>
        <w:t xml:space="preserve">A aposentadoria por idade, nessa </w:t>
      </w:r>
      <w:r w:rsidR="00AA2644">
        <w:rPr>
          <w:rFonts w:cs="EB Garamond"/>
          <w:kern w:val="16"/>
          <w14:ligatures w14:val="standardContextual"/>
        </w:rPr>
        <w:t>configuração</w:t>
      </w:r>
      <w:r>
        <w:rPr>
          <w:rFonts w:cs="EB Garamond"/>
          <w:kern w:val="16"/>
          <w14:ligatures w14:val="standardContextual"/>
        </w:rPr>
        <w:t xml:space="preserve">, apresentava uma peculiaridade relevante: o fator </w:t>
      </w:r>
      <w:r w:rsidR="00AA2644">
        <w:rPr>
          <w:rFonts w:cs="EB Garamond"/>
          <w:kern w:val="16"/>
          <w14:ligatures w14:val="standardContextual"/>
        </w:rPr>
        <w:t>previdenciário</w:t>
      </w:r>
      <w:r>
        <w:rPr>
          <w:rFonts w:cs="EB Garamond"/>
          <w:kern w:val="16"/>
          <w14:ligatures w14:val="standardContextual"/>
        </w:rPr>
        <w:t xml:space="preserve">, </w:t>
      </w:r>
      <w:r w:rsidR="00AA2644">
        <w:rPr>
          <w:rFonts w:cs="EB Garamond"/>
          <w:kern w:val="16"/>
          <w14:ligatures w14:val="standardContextual"/>
        </w:rPr>
        <w:t>instituído</w:t>
      </w:r>
      <w:r>
        <w:rPr>
          <w:rFonts w:cs="EB Garamond"/>
          <w:kern w:val="16"/>
          <w14:ligatures w14:val="standardContextual"/>
        </w:rPr>
        <w:t xml:space="preserve"> pela Lei 9.876/99, era aplicado ao </w:t>
      </w:r>
      <w:r w:rsidR="00AA2644">
        <w:rPr>
          <w:rFonts w:cs="EB Garamond"/>
          <w:kern w:val="16"/>
          <w14:ligatures w14:val="standardContextual"/>
        </w:rPr>
        <w:t>cálculo</w:t>
      </w:r>
      <w:r>
        <w:rPr>
          <w:rFonts w:cs="EB Garamond"/>
          <w:kern w:val="16"/>
          <w14:ligatures w14:val="standardContextual"/>
        </w:rPr>
        <w:t xml:space="preserve"> do </w:t>
      </w:r>
      <w:r w:rsidR="00AA2644">
        <w:rPr>
          <w:rFonts w:cs="EB Garamond"/>
          <w:kern w:val="16"/>
          <w14:ligatures w14:val="standardContextual"/>
        </w:rPr>
        <w:t>salário</w:t>
      </w:r>
      <w:r>
        <w:rPr>
          <w:rFonts w:cs="EB Garamond"/>
          <w:kern w:val="16"/>
          <w14:ligatures w14:val="standardContextual"/>
        </w:rPr>
        <w:t xml:space="preserve"> de </w:t>
      </w:r>
      <w:r w:rsidR="00AA2644">
        <w:rPr>
          <w:rFonts w:cs="EB Garamond"/>
          <w:kern w:val="16"/>
          <w14:ligatures w14:val="standardContextual"/>
        </w:rPr>
        <w:t>benefício</w:t>
      </w:r>
      <w:r>
        <w:rPr>
          <w:rFonts w:cs="EB Garamond"/>
          <w:kern w:val="16"/>
          <w14:ligatures w14:val="standardContextual"/>
        </w:rPr>
        <w:t xml:space="preserve">, mas somente quando resultasse em valor mais </w:t>
      </w:r>
      <w:r w:rsidR="00AA2644">
        <w:rPr>
          <w:rFonts w:cs="EB Garamond"/>
          <w:kern w:val="16"/>
          <w14:ligatures w14:val="standardContextual"/>
        </w:rPr>
        <w:t>favorável</w:t>
      </w:r>
      <w:r>
        <w:rPr>
          <w:rFonts w:cs="EB Garamond"/>
          <w:kern w:val="16"/>
          <w14:ligatures w14:val="standardContextual"/>
        </w:rPr>
        <w:t xml:space="preserve"> ao segurado. Essa opcionalidade decorria da </w:t>
      </w:r>
      <w:r w:rsidR="00AA2644">
        <w:rPr>
          <w:rFonts w:cs="EB Garamond"/>
          <w:kern w:val="16"/>
          <w14:ligatures w14:val="standardContextual"/>
        </w:rPr>
        <w:t>interpretação</w:t>
      </w:r>
      <w:r>
        <w:rPr>
          <w:rFonts w:cs="EB Garamond"/>
          <w:kern w:val="16"/>
          <w14:ligatures w14:val="standardContextual"/>
        </w:rPr>
        <w:t xml:space="preserve"> </w:t>
      </w:r>
      <w:r w:rsidR="00AA2644">
        <w:rPr>
          <w:rFonts w:cs="EB Garamond"/>
          <w:kern w:val="16"/>
          <w14:ligatures w14:val="standardContextual"/>
        </w:rPr>
        <w:t>sistemática</w:t>
      </w:r>
      <w:r>
        <w:rPr>
          <w:rFonts w:cs="EB Garamond"/>
          <w:kern w:val="16"/>
          <w14:ligatures w14:val="standardContextual"/>
        </w:rPr>
        <w:t xml:space="preserve"> do art. 29, I, da Lei 8.213/91 (com </w:t>
      </w:r>
      <w:r w:rsidR="00AA2644">
        <w:rPr>
          <w:rFonts w:cs="EB Garamond"/>
          <w:kern w:val="16"/>
          <w14:ligatures w14:val="standardContextual"/>
        </w:rPr>
        <w:t>redação</w:t>
      </w:r>
      <w:r>
        <w:rPr>
          <w:rFonts w:cs="EB Garamond"/>
          <w:kern w:val="16"/>
          <w14:ligatures w14:val="standardContextual"/>
        </w:rPr>
        <w:t xml:space="preserve"> da Lei 9.876/99) e do art. 7o da Lei 9.876/99, que estabelecia regra de </w:t>
      </w:r>
      <w:r w:rsidR="00AA2644">
        <w:rPr>
          <w:rFonts w:cs="EB Garamond"/>
          <w:kern w:val="16"/>
          <w14:ligatures w14:val="standardContextual"/>
        </w:rPr>
        <w:t>transição</w:t>
      </w:r>
      <w:r>
        <w:rPr>
          <w:rFonts w:cs="EB Garamond"/>
          <w:kern w:val="16"/>
          <w14:ligatures w14:val="standardContextual"/>
        </w:rPr>
        <w:t xml:space="preserve"> para </w:t>
      </w:r>
      <w:r w:rsidR="00AA2644">
        <w:rPr>
          <w:rFonts w:cs="EB Garamond"/>
          <w:kern w:val="16"/>
          <w14:ligatures w14:val="standardContextual"/>
        </w:rPr>
        <w:t>cálculo</w:t>
      </w:r>
      <w:r>
        <w:rPr>
          <w:rFonts w:cs="EB Garamond"/>
          <w:kern w:val="16"/>
          <w14:ligatures w14:val="standardContextual"/>
        </w:rPr>
        <w:t xml:space="preserve"> do </w:t>
      </w:r>
      <w:r w:rsidR="00AA2644">
        <w:rPr>
          <w:rFonts w:cs="EB Garamond"/>
          <w:kern w:val="16"/>
          <w14:ligatures w14:val="standardContextual"/>
        </w:rPr>
        <w:t>salário</w:t>
      </w:r>
      <w:r>
        <w:rPr>
          <w:rFonts w:cs="EB Garamond"/>
          <w:kern w:val="16"/>
          <w14:ligatures w14:val="standardContextual"/>
        </w:rPr>
        <w:t xml:space="preserve"> de </w:t>
      </w:r>
      <w:r w:rsidR="00AA2644">
        <w:rPr>
          <w:rFonts w:cs="EB Garamond"/>
          <w:kern w:val="16"/>
          <w14:ligatures w14:val="standardContextual"/>
        </w:rPr>
        <w:t>benefício</w:t>
      </w:r>
      <w:r>
        <w:rPr>
          <w:rFonts w:cs="EB Garamond"/>
          <w:kern w:val="16"/>
          <w14:ligatures w14:val="standardContextual"/>
        </w:rPr>
        <w:t xml:space="preserve">. Na </w:t>
      </w:r>
      <w:r w:rsidR="00AA2644">
        <w:rPr>
          <w:rFonts w:cs="EB Garamond"/>
          <w:kern w:val="16"/>
          <w14:ligatures w14:val="standardContextual"/>
        </w:rPr>
        <w:t>prática</w:t>
      </w:r>
      <w:r>
        <w:rPr>
          <w:rFonts w:cs="EB Garamond"/>
          <w:kern w:val="16"/>
          <w14:ligatures w14:val="standardContextual"/>
        </w:rPr>
        <w:t xml:space="preserve">, o fator </w:t>
      </w:r>
      <w:r w:rsidR="00AA2644">
        <w:rPr>
          <w:rFonts w:cs="EB Garamond"/>
          <w:kern w:val="16"/>
          <w14:ligatures w14:val="standardContextual"/>
        </w:rPr>
        <w:t>previdenciário</w:t>
      </w:r>
      <w:r>
        <w:rPr>
          <w:rFonts w:cs="EB Garamond"/>
          <w:kern w:val="16"/>
          <w14:ligatures w14:val="standardContextual"/>
        </w:rPr>
        <w:t xml:space="preserve"> era quase sempre </w:t>
      </w:r>
      <w:r w:rsidR="00AA2644">
        <w:rPr>
          <w:rFonts w:cs="EB Garamond"/>
          <w:kern w:val="16"/>
          <w14:ligatures w14:val="standardContextual"/>
        </w:rPr>
        <w:t>desfavorável</w:t>
      </w:r>
      <w:r>
        <w:rPr>
          <w:rFonts w:cs="EB Garamond"/>
          <w:kern w:val="16"/>
          <w14:ligatures w14:val="standardContextual"/>
        </w:rPr>
        <w:t xml:space="preserve"> na aposentadoria por idade, porque os segurados que optavam por essa modalidade tipicamente tinham menos tempo de </w:t>
      </w:r>
      <w:r w:rsidR="00AA2644">
        <w:rPr>
          <w:rFonts w:cs="EB Garamond"/>
          <w:kern w:val="16"/>
          <w14:ligatures w14:val="standardContextual"/>
        </w:rPr>
        <w:t>contribuição</w:t>
      </w:r>
      <w:r>
        <w:rPr>
          <w:rFonts w:cs="EB Garamond"/>
          <w:kern w:val="16"/>
          <w14:ligatures w14:val="standardContextual"/>
        </w:rPr>
        <w:t xml:space="preserve"> do que os que se aposentavam por tempo de </w:t>
      </w:r>
      <w:r w:rsidR="00AA2644">
        <w:rPr>
          <w:rFonts w:cs="EB Garamond"/>
          <w:kern w:val="16"/>
          <w14:ligatures w14:val="standardContextual"/>
        </w:rPr>
        <w:t>serviço</w:t>
      </w:r>
      <w:r>
        <w:rPr>
          <w:rFonts w:cs="EB Garamond"/>
          <w:kern w:val="16"/>
          <w14:ligatures w14:val="standardContextual"/>
        </w:rPr>
        <w:t xml:space="preserve">. Assim, a </w:t>
      </w:r>
      <w:r w:rsidR="00AA2644">
        <w:rPr>
          <w:rFonts w:cs="EB Garamond"/>
          <w:kern w:val="16"/>
          <w14:ligatures w14:val="standardContextual"/>
        </w:rPr>
        <w:t>não</w:t>
      </w:r>
      <w:r>
        <w:rPr>
          <w:rFonts w:cs="EB Garamond"/>
          <w:kern w:val="16"/>
          <w14:ligatures w14:val="standardContextual"/>
        </w:rPr>
        <w:t xml:space="preserve"> </w:t>
      </w:r>
      <w:r w:rsidR="00AA2644">
        <w:rPr>
          <w:rFonts w:cs="EB Garamond"/>
          <w:kern w:val="16"/>
          <w14:ligatures w14:val="standardContextual"/>
        </w:rPr>
        <w:t>aplicação</w:t>
      </w:r>
      <w:r>
        <w:rPr>
          <w:rFonts w:cs="EB Garamond"/>
          <w:kern w:val="16"/>
          <w14:ligatures w14:val="standardContextual"/>
        </w:rPr>
        <w:t xml:space="preserve"> </w:t>
      </w:r>
      <w:r w:rsidR="00AA2644">
        <w:rPr>
          <w:rFonts w:cs="EB Garamond"/>
          <w:kern w:val="16"/>
          <w14:ligatures w14:val="standardContextual"/>
        </w:rPr>
        <w:t>obrigatória</w:t>
      </w:r>
      <w:r>
        <w:rPr>
          <w:rFonts w:cs="EB Garamond"/>
          <w:kern w:val="16"/>
          <w14:ligatures w14:val="standardContextual"/>
        </w:rPr>
        <w:t xml:space="preserve"> do fator significava, na maioria dos casos, que ele era desconsiderado no </w:t>
      </w:r>
      <w:r w:rsidR="00AA2644">
        <w:rPr>
          <w:rFonts w:cs="EB Garamond"/>
          <w:kern w:val="16"/>
          <w14:ligatures w14:val="standardContextual"/>
        </w:rPr>
        <w:t>cálculo</w:t>
      </w:r>
      <w:r>
        <w:rPr>
          <w:rFonts w:cs="EB Garamond"/>
          <w:kern w:val="16"/>
          <w14:ligatures w14:val="standardContextual"/>
        </w:rPr>
        <w:t>.</w:t>
      </w:r>
    </w:p>
    <w:p w14:paraId="38E4708D" w14:textId="77777777" w:rsidR="005A5FCC" w:rsidRDefault="00A21C81">
      <w:pPr>
        <w:ind w:firstLine="238"/>
      </w:pPr>
      <w:r>
        <w:rPr>
          <w:rFonts w:cs="EB Garamond"/>
          <w:kern w:val="16"/>
          <w14:ligatures w14:val="standardContextual"/>
        </w:rPr>
        <w:t>A renda mensal inicial da aposentadoria por idade, na regra pré-EC 103, era calculada como 70% do salário de benefício, mais 1% para cada grupo de 12 contribuições mensais, até o máximo de 100%. Essa fórmula premiava o segurado com longo histórico contributivo: quem tivesse 30 anos de contribuição (360 contribuições) receberia 70% + 30% = 100% do salário de benefício.</w:t>
      </w:r>
    </w:p>
    <w:p w14:paraId="2EBEA512" w14:textId="77777777" w:rsidR="005A5FCC" w:rsidRDefault="00A21C81">
      <w:pPr>
        <w:spacing w:before="260" w:after="80" w:line="240" w:lineRule="auto"/>
        <w:jc w:val="left"/>
      </w:pPr>
      <w:r>
        <w:rPr>
          <w:rFonts w:cs="EB Garamond"/>
          <w:b/>
          <w:color w:val="3A3128"/>
          <w:kern w:val="16"/>
          <w:sz w:val="25"/>
          <w14:ligatures w14:val="standardContextual"/>
        </w:rPr>
        <w:t>10.2.3 As reformas intermediárias (EC 20/1998 e lei 9.876/1999)</w:t>
      </w:r>
    </w:p>
    <w:p w14:paraId="62CF60D4"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48C2952F" w14:textId="78E51066" w:rsidR="005A5FCC" w:rsidRDefault="00A21C81">
      <w:r>
        <w:rPr>
          <w:rFonts w:cs="EB Garamond"/>
          <w:kern w:val="16"/>
          <w14:ligatures w14:val="standardContextual"/>
        </w:rPr>
        <w:t xml:space="preserve"> EC 20/1998 introduziu </w:t>
      </w:r>
      <w:r w:rsidR="00AA2644">
        <w:rPr>
          <w:rFonts w:cs="EB Garamond"/>
          <w:kern w:val="16"/>
          <w14:ligatures w14:val="standardContextual"/>
        </w:rPr>
        <w:t>modificações</w:t>
      </w:r>
      <w:r>
        <w:rPr>
          <w:rFonts w:cs="EB Garamond"/>
          <w:kern w:val="16"/>
          <w14:ligatures w14:val="standardContextual"/>
        </w:rPr>
        <w:t xml:space="preserve"> relevantes na estrutura </w:t>
      </w:r>
      <w:r w:rsidR="00AA2644">
        <w:rPr>
          <w:rFonts w:cs="EB Garamond"/>
          <w:kern w:val="16"/>
          <w14:ligatures w14:val="standardContextual"/>
        </w:rPr>
        <w:t>previdenciária</w:t>
      </w:r>
      <w:r>
        <w:rPr>
          <w:rFonts w:cs="EB Garamond"/>
          <w:kern w:val="16"/>
          <w14:ligatures w14:val="standardContextual"/>
        </w:rPr>
        <w:t>, mas manteve intactos os requisitos da aposentadoria por idade urbana. Sua principal contribuição para o tema deste capítulo foi a extinção da aposentadoria proporcional por tempo de serviço, mantendo-a apenas como regra de transição — o que, indiretamente, aumentou a relevância da aposentadoria por idade como alternativa para segurados que não atingiam o tempo de contribuição integral.</w:t>
      </w:r>
    </w:p>
    <w:p w14:paraId="6BE202B0" w14:textId="77777777" w:rsidR="005A5FCC" w:rsidRDefault="00A21C81">
      <w:pPr>
        <w:ind w:firstLine="238"/>
      </w:pPr>
      <w:r>
        <w:rPr>
          <w:rFonts w:cs="EB Garamond"/>
          <w:kern w:val="16"/>
          <w14:ligatures w14:val="standardContextual"/>
        </w:rPr>
        <w:lastRenderedPageBreak/>
        <w:t>A Lei 9.876/99, por sua vez, alterou radicalmente a fórmula de cálculo dos benefícios ao instituir o fator previdenciário e modificar a base de cálculo do salário de benefício. Antes da lei, utilizava-se a média dos 36 últimos salários de contribuição; após a lei, passou-se a utilizar a média dos 80% maiores salários de contribuição de todo o período contributivo, desde julho de 1994. Essa mudança teve impacto significativo na aposentadoria por idade, pois ampliou o período de apuração e, em muitos casos, reduziu o valor do benefício.</w:t>
      </w:r>
    </w:p>
    <w:p w14:paraId="588E193D" w14:textId="77777777" w:rsidR="005A5FCC" w:rsidRDefault="00A21C81">
      <w:pPr>
        <w:ind w:firstLine="238"/>
      </w:pPr>
      <w:r>
        <w:rPr>
          <w:rFonts w:cs="EB Garamond"/>
          <w:kern w:val="16"/>
          <w14:ligatures w14:val="standardContextual"/>
        </w:rPr>
        <w:t>A regra de transição do art. 3º da Lei 9.876/99 preservou o direito dos segurados filiados antes de sua vigência a optarem pela regra anterior, quando mais favorável — dispositivo cuja constitucionalidade foi reconhecida pelo Supremo Tribunal Federal nas ADIs 2.110/DF e 2.111/DF e que esteve no centro da chamada "revisão da vida toda" (STF Tema 1.102). Entendemos relevante registrar, desde já, que essa tese foi superada pelo próprio Supremo: o julgamento de mérito das ADIs 2.110/DF e 2.111/DF — cuja ata foi publicada em 05/04/2024, data que se tornou o marco de modulação — firmou a obrigatoriedade do art. 3º da Lei 9.876/99 em sua interpretação textual, afastando a opção pela regra definitiva. A cronologia processual completa, com a fixação da tese vinculante e os desdobramentos posteriores, é examinada na seção 10.11.3, infra.</w:t>
      </w:r>
    </w:p>
    <w:p w14:paraId="5E6B2A60" w14:textId="77777777" w:rsidR="005A5FCC" w:rsidRDefault="00A21C81">
      <w:pPr>
        <w:spacing w:before="260" w:after="80" w:line="240" w:lineRule="auto"/>
        <w:jc w:val="left"/>
      </w:pPr>
      <w:r>
        <w:rPr>
          <w:rFonts w:cs="EB Garamond"/>
          <w:b/>
          <w:color w:val="3A3128"/>
          <w:kern w:val="16"/>
          <w:sz w:val="25"/>
          <w14:ligatures w14:val="standardContextual"/>
        </w:rPr>
        <w:t>10.2.4 A EC 103/2019 e a criação da aposentadoria programada</w:t>
      </w:r>
    </w:p>
    <w:p w14:paraId="50459052"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17BE85C3" w14:textId="77777777" w:rsidR="005A5FCC" w:rsidRDefault="00A21C81">
      <w:r>
        <w:rPr>
          <w:rFonts w:cs="EB Garamond"/>
          <w:kern w:val="16"/>
          <w14:ligatures w14:val="standardContextual"/>
        </w:rPr>
        <w:t xml:space="preserve"> Emenda Constitucional 103/2019 representou a mais profunda reforma da previdência social brasileira. No que tange à aposentadoria por idade urbana, as mudanças foram estruturais e podem ser sintetizadas em quatro eixos fundamentais.</w:t>
      </w:r>
    </w:p>
    <w:p w14:paraId="031E59DE" w14:textId="77777777" w:rsidR="005A5FCC" w:rsidRDefault="00A21C81">
      <w:pPr>
        <w:ind w:firstLine="238"/>
      </w:pPr>
      <w:r>
        <w:rPr>
          <w:rFonts w:cs="EB Garamond"/>
          <w:kern w:val="16"/>
          <w14:ligatures w14:val="standardContextual"/>
        </w:rPr>
        <w:t>Primeiro, a unificação das espécies. A EC 103 extinguiu a aposentadoria por tempo de contribuição como espécie autônoma, criando a aposentadoria programada, que exige cumulativamente idade mínima (65H/62M) e tempo de contribuição mínimo (20H/15M). Não há mais possibilidade de aposentadoria voluntária sem cumprimento simultâneo de ambos os requisitos.</w:t>
      </w:r>
    </w:p>
    <w:p w14:paraId="3E6A4CD3" w14:textId="5F42DFA4" w:rsidR="005A5FCC" w:rsidRDefault="00A21C81">
      <w:pPr>
        <w:ind w:firstLine="238"/>
      </w:pPr>
      <w:r>
        <w:rPr>
          <w:rFonts w:cs="EB Garamond"/>
          <w:kern w:val="16"/>
          <w14:ligatures w14:val="standardContextual"/>
        </w:rPr>
        <w:lastRenderedPageBreak/>
        <w:t xml:space="preserve">Segundo, a </w:t>
      </w:r>
      <w:r w:rsidR="00AA2644">
        <w:rPr>
          <w:rFonts w:cs="EB Garamond"/>
          <w:kern w:val="16"/>
          <w14:ligatures w14:val="standardContextual"/>
        </w:rPr>
        <w:t>elevação</w:t>
      </w:r>
      <w:r>
        <w:rPr>
          <w:rFonts w:cs="EB Garamond"/>
          <w:kern w:val="16"/>
          <w14:ligatures w14:val="standardContextual"/>
        </w:rPr>
        <w:t xml:space="preserve"> da idade </w:t>
      </w:r>
      <w:r w:rsidR="00AA2644">
        <w:rPr>
          <w:rFonts w:cs="EB Garamond"/>
          <w:kern w:val="16"/>
          <w14:ligatures w14:val="standardContextual"/>
        </w:rPr>
        <w:t>mínima</w:t>
      </w:r>
      <w:r>
        <w:rPr>
          <w:rFonts w:cs="EB Garamond"/>
          <w:kern w:val="16"/>
          <w14:ligatures w14:val="standardContextual"/>
        </w:rPr>
        <w:t xml:space="preserve"> feminina de 60 para 62 anos, com </w:t>
      </w:r>
      <w:r w:rsidR="00AA2644">
        <w:rPr>
          <w:rFonts w:cs="EB Garamond"/>
          <w:kern w:val="16"/>
          <w14:ligatures w14:val="standardContextual"/>
        </w:rPr>
        <w:t>transição</w:t>
      </w:r>
      <w:r>
        <w:rPr>
          <w:rFonts w:cs="EB Garamond"/>
          <w:kern w:val="16"/>
          <w14:ligatures w14:val="standardContextual"/>
        </w:rPr>
        <w:t xml:space="preserve"> gradual (art. 18, EC 103/2019 — v. Tabela na </w:t>
      </w:r>
      <w:r w:rsidR="00AA2644">
        <w:rPr>
          <w:rFonts w:cs="EB Garamond"/>
          <w:kern w:val="16"/>
          <w14:ligatures w14:val="standardContextual"/>
        </w:rPr>
        <w:t>seção</w:t>
      </w:r>
      <w:r>
        <w:rPr>
          <w:rFonts w:cs="EB Garamond"/>
          <w:kern w:val="16"/>
          <w14:ligatures w14:val="standardContextual"/>
        </w:rPr>
        <w:t xml:space="preserve"> 10.4.2). Para homens, a idade permaneceu em 65 anos.</w:t>
      </w:r>
    </w:p>
    <w:p w14:paraId="0F1216D2" w14:textId="77777777" w:rsidR="005A5FCC" w:rsidRDefault="00A21C81">
      <w:pPr>
        <w:ind w:firstLine="238"/>
      </w:pPr>
      <w:r>
        <w:rPr>
          <w:rFonts w:cs="EB Garamond"/>
          <w:kern w:val="16"/>
          <w14:ligatures w14:val="standardContextual"/>
        </w:rPr>
        <w:t>Terceiro, o aumento do tempo de contribuição mínimo masculino. O tempo de contribuição mínimo para homens filiados após 13/11/2019 passou de 15 para 20 anos. Para mulheres, manteve-se em 15 anos. Homens filiados antes da EC 103 mantêm o direito ao tempo de contribuição mínimo de 15 anos nas regras de transição.</w:t>
      </w:r>
    </w:p>
    <w:p w14:paraId="44022A70" w14:textId="77777777" w:rsidR="005A5FCC" w:rsidRDefault="00A21C81">
      <w:pPr>
        <w:ind w:firstLine="238"/>
      </w:pPr>
      <w:r>
        <w:rPr>
          <w:rFonts w:cs="EB Garamond"/>
          <w:kern w:val="16"/>
          <w14:ligatures w14:val="standardContextual"/>
        </w:rPr>
        <w:t>Quarto, a alteração radical da fórmula de cálculo. Abandonou-se o modelo de 80% dos maiores salários de contribuição, passando-se a utilizar a média de 100% dos salários de contribuição desde julho de 1994, sem exclusão dos menores. O coeficiente de cálculo também mudou: parte-se de 60% da média, acrescidos de 2% por ano de contribuição que exceder 20 anos (homem) ou 15 anos (mulher).</w:t>
      </w:r>
    </w:p>
    <w:tbl>
      <w:tblPr>
        <w:tblW w:w="5000" w:type="pct"/>
        <w:jc w:val="center"/>
        <w:tblLayout w:type="fixed"/>
        <w:tblLook w:val="04A0" w:firstRow="1" w:lastRow="0" w:firstColumn="1" w:lastColumn="0" w:noHBand="0" w:noVBand="1"/>
      </w:tblPr>
      <w:tblGrid>
        <w:gridCol w:w="6311"/>
      </w:tblGrid>
      <w:tr w:rsidR="005A5FCC" w14:paraId="230C7CDF"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2222F4B7"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3212C4C8" w14:textId="77777777" w:rsidR="005A5FCC" w:rsidRDefault="00A21C81">
            <w:pPr>
              <w:spacing w:after="60" w:line="247" w:lineRule="auto"/>
            </w:pPr>
            <w:r>
              <w:rPr>
                <w:rFonts w:cs="EB Garamond"/>
                <w:b/>
                <w:kern w:val="16"/>
                <w:sz w:val="19"/>
                <w14:ligatures w14:val="standardContextual"/>
              </w:rPr>
              <w:t>Tempo de contribuição mínimo: 15 ou 20 anos?</w:t>
            </w:r>
          </w:p>
          <w:p w14:paraId="1513FE42" w14:textId="77777777" w:rsidR="005A5FCC" w:rsidRDefault="00A21C81">
            <w:pPr>
              <w:spacing w:after="60" w:line="247" w:lineRule="auto"/>
            </w:pPr>
            <w:r>
              <w:rPr>
                <w:rFonts w:cs="EB Garamond"/>
                <w:kern w:val="16"/>
                <w:sz w:val="19"/>
                <w14:ligatures w14:val="standardContextual"/>
              </w:rPr>
              <w:t>A distinção é crucial e fonte frequente de erro:</w:t>
            </w:r>
          </w:p>
          <w:p w14:paraId="3B0DD609" w14:textId="77777777" w:rsidR="005A5FCC" w:rsidRDefault="00A21C81">
            <w:pPr>
              <w:spacing w:after="30" w:line="240" w:lineRule="auto"/>
              <w:ind w:left="227" w:hanging="142"/>
            </w:pPr>
            <w:r>
              <w:rPr>
                <w:rFonts w:cs="EB Garamond"/>
                <w:kern w:val="16"/>
                <w:sz w:val="19"/>
                <w14:ligatures w14:val="standardContextual"/>
              </w:rPr>
              <w:t xml:space="preserve">• </w:t>
            </w:r>
            <w:r>
              <w:rPr>
                <w:rFonts w:cs="EB Garamond"/>
                <w:b/>
                <w:kern w:val="16"/>
                <w:sz w:val="19"/>
                <w14:ligatures w14:val="standardContextual"/>
              </w:rPr>
              <w:t>Homem filiado antes de 13/11/2019:</w:t>
            </w:r>
            <w:r>
              <w:rPr>
                <w:rFonts w:cs="EB Garamond"/>
                <w:kern w:val="16"/>
                <w:sz w:val="19"/>
                <w14:ligatures w14:val="standardContextual"/>
              </w:rPr>
              <w:t xml:space="preserve"> tempo mínimo de 15 anos de contribuição (art. 18 da EC 103/2019 — regra de transição da aposentadoria por idade)</w:t>
            </w:r>
          </w:p>
          <w:p w14:paraId="1CD8E99E" w14:textId="77777777" w:rsidR="005A5FCC" w:rsidRDefault="00A21C81">
            <w:pPr>
              <w:spacing w:after="30" w:line="240" w:lineRule="auto"/>
              <w:ind w:left="227" w:hanging="142"/>
            </w:pPr>
            <w:r>
              <w:rPr>
                <w:rFonts w:cs="EB Garamond"/>
                <w:kern w:val="16"/>
                <w:sz w:val="19"/>
                <w14:ligatures w14:val="standardContextual"/>
              </w:rPr>
              <w:t xml:space="preserve">• </w:t>
            </w:r>
            <w:r>
              <w:rPr>
                <w:rFonts w:cs="EB Garamond"/>
                <w:b/>
                <w:kern w:val="16"/>
                <w:sz w:val="19"/>
                <w14:ligatures w14:val="standardContextual"/>
              </w:rPr>
              <w:t>Homem filiado a partir de 13/11/2019:</w:t>
            </w:r>
            <w:r>
              <w:rPr>
                <w:rFonts w:cs="EB Garamond"/>
                <w:kern w:val="16"/>
                <w:sz w:val="19"/>
                <w14:ligatures w14:val="standardContextual"/>
              </w:rPr>
              <w:t xml:space="preserve"> tempo mínimo de 20 anos de contribuição (art. 201, § 7º, I, CF — regra permanente)</w:t>
            </w:r>
          </w:p>
          <w:p w14:paraId="48871DC7" w14:textId="77777777" w:rsidR="005A5FCC" w:rsidRDefault="00A21C81">
            <w:pPr>
              <w:spacing w:after="30" w:line="240" w:lineRule="auto"/>
              <w:ind w:left="227" w:hanging="142"/>
            </w:pPr>
            <w:r>
              <w:rPr>
                <w:rFonts w:cs="EB Garamond"/>
                <w:kern w:val="16"/>
                <w:sz w:val="19"/>
                <w14:ligatures w14:val="standardContextual"/>
              </w:rPr>
              <w:t xml:space="preserve">• </w:t>
            </w:r>
            <w:r>
              <w:rPr>
                <w:rFonts w:cs="EB Garamond"/>
                <w:b/>
                <w:kern w:val="16"/>
                <w:sz w:val="19"/>
                <w14:ligatures w14:val="standardContextual"/>
              </w:rPr>
              <w:t>Mulher (qualquer data de filiação):</w:t>
            </w:r>
            <w:r>
              <w:rPr>
                <w:rFonts w:cs="EB Garamond"/>
                <w:kern w:val="16"/>
                <w:sz w:val="19"/>
                <w14:ligatures w14:val="standardContextual"/>
              </w:rPr>
              <w:t xml:space="preserve"> tempo mínimo de 15 anos de contribuição</w:t>
            </w:r>
          </w:p>
          <w:p w14:paraId="028E2ACC" w14:textId="77777777" w:rsidR="005A5FCC" w:rsidRDefault="00A21C81">
            <w:pPr>
              <w:spacing w:after="60" w:line="247" w:lineRule="auto"/>
            </w:pPr>
            <w:r>
              <w:rPr>
                <w:rFonts w:cs="EB Garamond"/>
                <w:kern w:val="16"/>
                <w:sz w:val="19"/>
                <w14:ligatures w14:val="standardContextual"/>
              </w:rPr>
              <w:t>O advogado deve verificar a data da primeira filiação ao RGPS para determinar qual regra se aplica. A informação consta do CNIS e pode ser decisiva para a viabilidade da aposentadoria.</w:t>
            </w:r>
          </w:p>
        </w:tc>
      </w:tr>
    </w:tbl>
    <w:p w14:paraId="311F49A9" w14:textId="77777777" w:rsidR="005A5FCC" w:rsidRDefault="005A5FCC">
      <w:pPr>
        <w:spacing w:after="80" w:line="240" w:lineRule="auto"/>
      </w:pPr>
    </w:p>
    <w:p w14:paraId="1859B04A"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10.3 Regra permanente: a aposentadoria programada (art. 201, § 7º, I, CF)</w:t>
      </w:r>
    </w:p>
    <w:p w14:paraId="43CCBCD5" w14:textId="77777777" w:rsidR="005A5FCC" w:rsidRDefault="00A21C81">
      <w:pPr>
        <w:spacing w:before="260" w:after="80" w:line="240" w:lineRule="auto"/>
        <w:jc w:val="left"/>
      </w:pPr>
      <w:r>
        <w:rPr>
          <w:rFonts w:cs="EB Garamond"/>
          <w:b/>
          <w:color w:val="3A3128"/>
          <w:kern w:val="16"/>
          <w:sz w:val="25"/>
          <w14:ligatures w14:val="standardContextual"/>
        </w:rPr>
        <w:t>10.3.1 Requisitos</w:t>
      </w:r>
    </w:p>
    <w:p w14:paraId="207508D4"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A</w:t>
      </w:r>
    </w:p>
    <w:p w14:paraId="44E07180" w14:textId="77777777" w:rsidR="005A5FCC" w:rsidRDefault="00A21C81">
      <w:r>
        <w:rPr>
          <w:rFonts w:cs="EB Garamond"/>
          <w:kern w:val="16"/>
          <w14:ligatures w14:val="standardContextual"/>
        </w:rPr>
        <w:t xml:space="preserve"> aposentadoria programada, na regra permanente da Constituição Federal com a redação dada pela EC 103/2019, exige, o cumprimento simultâneo de dois requisitos:</w:t>
      </w:r>
    </w:p>
    <w:p w14:paraId="716F1616" w14:textId="77777777" w:rsidR="005A5FCC" w:rsidRDefault="00A21C81">
      <w:pPr>
        <w:ind w:firstLine="238"/>
      </w:pPr>
      <w:r>
        <w:rPr>
          <w:rFonts w:cs="EB Garamond"/>
          <w:b/>
          <w:kern w:val="16"/>
          <w14:ligatures w14:val="standardContextual"/>
        </w:rPr>
        <w:t>a) Idade mínima:</w:t>
      </w:r>
      <w:r>
        <w:rPr>
          <w:rFonts w:cs="EB Garamond"/>
          <w:kern w:val="16"/>
          <w14:ligatures w14:val="standardContextual"/>
        </w:rPr>
        <w:t xml:space="preserve"> 65 anos para homens e 62 anos para mulheres.</w:t>
      </w:r>
    </w:p>
    <w:p w14:paraId="4DAF3AFC" w14:textId="77777777" w:rsidR="005A5FCC" w:rsidRDefault="00A21C81">
      <w:pPr>
        <w:ind w:firstLine="238"/>
      </w:pPr>
      <w:r>
        <w:rPr>
          <w:rFonts w:cs="EB Garamond"/>
          <w:b/>
          <w:kern w:val="16"/>
          <w14:ligatures w14:val="standardContextual"/>
        </w:rPr>
        <w:t>b) Tempo de contribuição mínimo:</w:t>
      </w:r>
      <w:r>
        <w:rPr>
          <w:rFonts w:cs="EB Garamond"/>
          <w:kern w:val="16"/>
          <w14:ligatures w14:val="standardContextual"/>
        </w:rPr>
        <w:t xml:space="preserve"> 20 anos para homens e 15 anos para mulheres.</w:t>
      </w:r>
    </w:p>
    <w:p w14:paraId="5676AC17" w14:textId="77777777" w:rsidR="005A5FCC" w:rsidRDefault="00A21C81">
      <w:pPr>
        <w:ind w:firstLine="238"/>
      </w:pPr>
      <w:r>
        <w:rPr>
          <w:rFonts w:cs="EB Garamond"/>
          <w:kern w:val="16"/>
          <w14:ligatures w14:val="standardContextual"/>
        </w:rPr>
        <w:t>Esses requisitos são cumulativos. Não basta atingir a idade sem o tempo de contribuição, nem o tempo de contribuição sem a idade. A cumulatividade é a marca distintiva da aposentadoria programada em relação à antiga aposentadoria por idade, que exigia apenas 180 contribuições (carência) como requisito contributivo.</w:t>
      </w:r>
    </w:p>
    <w:p w14:paraId="21B4C054" w14:textId="77777777" w:rsidR="005A5FCC" w:rsidRDefault="00A21C81">
      <w:pPr>
        <w:ind w:firstLine="238"/>
      </w:pPr>
      <w:r>
        <w:rPr>
          <w:rFonts w:cs="EB Garamond"/>
          <w:kern w:val="16"/>
          <w14:ligatures w14:val="standardContextual"/>
        </w:rPr>
        <w:t>Cabe observar que a regra permanente do art. 201, § 7º, I, aplica-se integralmente apenas aos segurados filiados ao RGPS a partir de 13 de novembro de 2019 — data de publicação da EC 103. Para os segurados filiados antes dessa data, aplicam-se as regras de transição, que serão examinadas nas seções seguintes.</w:t>
      </w:r>
    </w:p>
    <w:p w14:paraId="2E43256B" w14:textId="77777777" w:rsidR="005A5FCC" w:rsidRDefault="00A21C81">
      <w:pPr>
        <w:spacing w:before="260" w:after="80" w:line="240" w:lineRule="auto"/>
        <w:jc w:val="left"/>
      </w:pPr>
      <w:r>
        <w:rPr>
          <w:rFonts w:cs="EB Garamond"/>
          <w:b/>
          <w:color w:val="3A3128"/>
          <w:kern w:val="16"/>
          <w:sz w:val="25"/>
          <w14:ligatures w14:val="standardContextual"/>
        </w:rPr>
        <w:t>10.3.2 Carência</w:t>
      </w:r>
    </w:p>
    <w:p w14:paraId="60FF379C"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3A054F49" w14:textId="77777777" w:rsidR="005A5FCC" w:rsidRDefault="00A21C81">
      <w:r>
        <w:rPr>
          <w:rFonts w:cs="EB Garamond"/>
          <w:kern w:val="16"/>
          <w14:ligatures w14:val="standardContextual"/>
        </w:rPr>
        <w:t xml:space="preserve"> EC 103/2019 não revogou expressamente o art. 25, II, da Lei 8.213/91, que exige carência de 180 contribuições mensais para a aposentadoria por idade. A questão que se colocou, desde a publicação da emenda, foi saber se a carência permanecia como requisito autônomo da aposentadoria programada ou se o tempo de contribuição mínimo previsto no texto constitucional a teria absorvido.</w:t>
      </w:r>
    </w:p>
    <w:p w14:paraId="78BF87C5" w14:textId="77777777" w:rsidR="005A5FCC" w:rsidRDefault="00A21C81">
      <w:pPr>
        <w:ind w:firstLine="238"/>
      </w:pPr>
      <w:r>
        <w:rPr>
          <w:rFonts w:cs="EB Garamond"/>
          <w:kern w:val="16"/>
          <w14:ligatures w14:val="standardContextual"/>
        </w:rPr>
        <w:t>A Turma Nacional de Uniformização, ao julgar o Tema 358 (PEDILEF 0500179-22.2022.4.05.8311/PE, Rel. Juiz Federal Giovani Bigolin), em outubro de 2024, firmou a tese de que a carência permanece como requisito autônomo, distinto do tempo de contribuição mínimo. A distinção é conceitualmente relevante e tem consequências práticas significativas.</w:t>
      </w:r>
    </w:p>
    <w:p w14:paraId="66C8921E" w14:textId="77777777" w:rsidR="005A5FCC" w:rsidRDefault="00A21C81">
      <w:pPr>
        <w:ind w:firstLine="238"/>
      </w:pPr>
      <w:r>
        <w:rPr>
          <w:rFonts w:cs="EB Garamond"/>
          <w:kern w:val="16"/>
          <w14:ligatures w14:val="standardContextual"/>
        </w:rPr>
        <w:t xml:space="preserve">Carência é o número mínimo de contribuições efetivamente recolhidas, computadas mês a mês, sem interrupção de qualidade de segurado que implique perda dos períodos anteriores. Tempo de contribuição, por sua vez, é o período total de atividade vinculada ao RGPS, incluindo períodos computados por força </w:t>
      </w:r>
      <w:r>
        <w:rPr>
          <w:rFonts w:cs="EB Garamond"/>
          <w:kern w:val="16"/>
          <w14:ligatures w14:val="standardContextual"/>
        </w:rPr>
        <w:lastRenderedPageBreak/>
        <w:t>de lei mesmo sem contribuição efetiva, como o tempo de serviço rural anterior a novembro de 1991, que é contado como tempo de contribuição, mas não gera carência.</w:t>
      </w:r>
    </w:p>
    <w:tbl>
      <w:tblPr>
        <w:tblW w:w="5000" w:type="pct"/>
        <w:jc w:val="center"/>
        <w:tblLayout w:type="fixed"/>
        <w:tblLook w:val="04A0" w:firstRow="1" w:lastRow="0" w:firstColumn="1" w:lastColumn="0" w:noHBand="0" w:noVBand="1"/>
      </w:tblPr>
      <w:tblGrid>
        <w:gridCol w:w="6311"/>
      </w:tblGrid>
      <w:tr w:rsidR="005A5FCC" w14:paraId="58123311"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379A64FC" w14:textId="77777777" w:rsidR="005A5FCC" w:rsidRDefault="00A21C81">
            <w:pPr>
              <w:spacing w:after="60" w:line="240" w:lineRule="auto"/>
              <w:jc w:val="left"/>
            </w:pPr>
            <w:r>
              <w:rPr>
                <w:rFonts w:ascii="Noto Sans" w:hAnsi="Noto Sans" w:cs="Noto Sans"/>
                <w:b/>
                <w:caps/>
                <w:color w:val="4D6F8A"/>
                <w:kern w:val="16"/>
                <w:sz w:val="16"/>
                <w14:ligatures w14:val="standardContextual"/>
              </w:rPr>
              <w:t>JURISPRUDÊNCIA EM DESTAQUE</w:t>
            </w:r>
          </w:p>
          <w:p w14:paraId="3920FA74" w14:textId="77777777" w:rsidR="005A5FCC" w:rsidRDefault="00A21C81">
            <w:pPr>
              <w:spacing w:after="60" w:line="247" w:lineRule="auto"/>
            </w:pPr>
            <w:r>
              <w:rPr>
                <w:rFonts w:cs="EB Garamond"/>
                <w:b/>
                <w:kern w:val="16"/>
                <w:sz w:val="19"/>
                <w14:ligatures w14:val="standardContextual"/>
              </w:rPr>
              <w:t>TNU Tema 358 — Carência como requisito autônomo pós-EC 103/2019</w:t>
            </w:r>
          </w:p>
          <w:p w14:paraId="413504FD" w14:textId="77777777" w:rsidR="005A5FCC" w:rsidRDefault="00A21C81">
            <w:pPr>
              <w:spacing w:after="60" w:line="247" w:lineRule="auto"/>
            </w:pPr>
            <w:r>
              <w:rPr>
                <w:rFonts w:cs="EB Garamond"/>
                <w:kern w:val="16"/>
                <w:sz w:val="19"/>
                <w14:ligatures w14:val="standardContextual"/>
              </w:rPr>
              <w:t>Em outubro de 2024, a Turma Nacional de Uniformização fixou a tese de que a carência de 180 contribuições mensais (art. 25, II, da Lei 8.213/91) permanece como requisito autônomo para a concessão de aposentadoria, mesmo após a EC 103/2019, sendo conceitualmente distinta do tempo de contribuição mínimo exigido constitucionalmente.</w:t>
            </w:r>
          </w:p>
          <w:p w14:paraId="2A0D3760" w14:textId="77777777" w:rsidR="005A5FCC" w:rsidRDefault="00A21C81">
            <w:pPr>
              <w:spacing w:after="60" w:line="247" w:lineRule="auto"/>
            </w:pPr>
            <w:r>
              <w:rPr>
                <w:rFonts w:cs="EB Garamond"/>
                <w:b/>
                <w:kern w:val="16"/>
                <w:sz w:val="19"/>
                <w14:ligatures w14:val="standardContextual"/>
              </w:rPr>
              <w:t>Implicação prática:</w:t>
            </w:r>
            <w:r>
              <w:rPr>
                <w:rFonts w:cs="EB Garamond"/>
                <w:kern w:val="16"/>
                <w:sz w:val="19"/>
                <w14:ligatures w14:val="standardContextual"/>
              </w:rPr>
              <w:t xml:space="preserve"> Um segurado pode ter 20 anos de tempo de contribuição (somando, por exemplo, período rural pré-1991 com período urbano posterior) sem ter 180 contribuições efetivas de carência. Nessa hipótese, o requisito de tempo de contribuição estaria preenchido, mas o de carência não — e a aposentadoria seria indeferida, salvo se o período rural pudesse ser computado como carência (tema da aposentadoria híbrida, objeto do Capítulo 9).</w:t>
            </w:r>
          </w:p>
        </w:tc>
      </w:tr>
    </w:tbl>
    <w:p w14:paraId="4D3E012C" w14:textId="77777777" w:rsidR="005A5FCC" w:rsidRDefault="005A5FCC">
      <w:pPr>
        <w:spacing w:after="80" w:line="240" w:lineRule="auto"/>
      </w:pPr>
    </w:p>
    <w:p w14:paraId="5EBFC156" w14:textId="77777777" w:rsidR="005A5FCC" w:rsidRDefault="00A21C81">
      <w:pPr>
        <w:spacing w:before="260" w:after="80" w:line="240" w:lineRule="auto"/>
        <w:jc w:val="left"/>
      </w:pPr>
      <w:r>
        <w:rPr>
          <w:rFonts w:cs="EB Garamond"/>
          <w:b/>
          <w:color w:val="3A3128"/>
          <w:kern w:val="16"/>
          <w:sz w:val="25"/>
          <w14:ligatures w14:val="standardContextual"/>
        </w:rPr>
        <w:t>10.3.3 Cálculo do benefício na regra permanente</w:t>
      </w:r>
    </w:p>
    <w:p w14:paraId="7D68DD99"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3B0A4339" w14:textId="77777777" w:rsidR="005A5FCC" w:rsidRDefault="00A21C81">
      <w:r>
        <w:rPr>
          <w:rFonts w:cs="EB Garamond"/>
          <w:kern w:val="16"/>
          <w14:ligatures w14:val="standardContextual"/>
        </w:rPr>
        <w:t xml:space="preserve"> cálculo da aposentadoria programada segue a fórmula do art. 26 da EC 103/2019, em dois passos:</w:t>
      </w:r>
    </w:p>
    <w:p w14:paraId="13C1B94D" w14:textId="77777777" w:rsidR="005A5FCC" w:rsidRDefault="00A21C81">
      <w:pPr>
        <w:ind w:firstLine="238"/>
      </w:pPr>
      <w:r>
        <w:rPr>
          <w:rFonts w:cs="EB Garamond"/>
          <w:b/>
          <w:kern w:val="16"/>
          <w14:ligatures w14:val="standardContextual"/>
        </w:rPr>
        <w:t>Passo 1 — Apuração da média aritmética:</w:t>
      </w:r>
      <w:r>
        <w:rPr>
          <w:rFonts w:cs="EB Garamond"/>
          <w:kern w:val="16"/>
          <w14:ligatures w14:val="standardContextual"/>
        </w:rPr>
        <w:t xml:space="preserve"> Calcula-se a média aritmética simples de 100% dos salários de contribuição desde a competência julho de 1994 (ou desde o início das contribuições, se posterior). Não há mais exclusão dos 20% menores salários de contribuição, como ocorria na regra anterior (art. 29, I, da Lei 8.213/91, redação da Lei 9.876/99).</w:t>
      </w:r>
    </w:p>
    <w:p w14:paraId="09EE7F6A" w14:textId="77777777" w:rsidR="005A5FCC" w:rsidRDefault="00A21C81">
      <w:pPr>
        <w:ind w:firstLine="238"/>
      </w:pPr>
      <w:r>
        <w:rPr>
          <w:rFonts w:cs="EB Garamond"/>
          <w:b/>
          <w:kern w:val="16"/>
          <w14:ligatures w14:val="standardContextual"/>
        </w:rPr>
        <w:t>Passo 2 — Aplicação do coeficiente:</w:t>
      </w:r>
      <w:r>
        <w:rPr>
          <w:rFonts w:cs="EB Garamond"/>
          <w:kern w:val="16"/>
          <w14:ligatures w14:val="standardContextual"/>
        </w:rPr>
        <w:t xml:space="preserve"> Sobre a média apurada, aplica-se o coeficiente de 60%, acrescido de 2% para cada ano de contribuição que exceder:</w:t>
      </w:r>
    </w:p>
    <w:p w14:paraId="1D9AC114"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20 anos de contribuição, no caso do homem;</w:t>
      </w:r>
    </w:p>
    <w:p w14:paraId="54EDDF40"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15 anos de contribuição, no caso da mulher.</w:t>
      </w:r>
    </w:p>
    <w:p w14:paraId="449A82ED" w14:textId="77777777" w:rsidR="005A5FCC" w:rsidRDefault="005A5FCC">
      <w:pPr>
        <w:spacing w:after="60" w:line="240" w:lineRule="auto"/>
      </w:pPr>
    </w:p>
    <w:p w14:paraId="769D8E6B"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O</w:t>
      </w:r>
    </w:p>
    <w:p w14:paraId="156D9449" w14:textId="0729F187" w:rsidR="005A5FCC" w:rsidRDefault="00A21C81">
      <w:r>
        <w:rPr>
          <w:rFonts w:cs="EB Garamond"/>
          <w:kern w:val="16"/>
          <w14:ligatures w14:val="standardContextual"/>
        </w:rPr>
        <w:t xml:space="preserve"> resultado está limitado ao teto do RGPS (R$ 8.475,55 em 2026) e não pode ser inferior ao </w:t>
      </w:r>
      <w:r w:rsidR="00AA2644">
        <w:rPr>
          <w:rFonts w:cs="EB Garamond"/>
          <w:kern w:val="16"/>
          <w14:ligatures w14:val="standardContextual"/>
        </w:rPr>
        <w:t>salário-mínimo</w:t>
      </w:r>
      <w:r>
        <w:rPr>
          <w:rFonts w:cs="EB Garamond"/>
          <w:kern w:val="16"/>
          <w14:ligatures w14:val="standardContextual"/>
        </w:rPr>
        <w:t xml:space="preserve"> (R$ 1.621,00 em 2026).</w:t>
      </w:r>
    </w:p>
    <w:tbl>
      <w:tblPr>
        <w:tblW w:w="5000" w:type="pct"/>
        <w:jc w:val="center"/>
        <w:tblLayout w:type="fixed"/>
        <w:tblLook w:val="04A0" w:firstRow="1" w:lastRow="0" w:firstColumn="1" w:lastColumn="0" w:noHBand="0" w:noVBand="1"/>
      </w:tblPr>
      <w:tblGrid>
        <w:gridCol w:w="6311"/>
      </w:tblGrid>
      <w:tr w:rsidR="005A5FCC" w14:paraId="5A72EEA0"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27DE8046"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1DEBC969" w14:textId="77777777" w:rsidR="005A5FCC" w:rsidRDefault="00A21C81">
            <w:pPr>
              <w:spacing w:after="60" w:line="247" w:lineRule="auto"/>
            </w:pPr>
            <w:r>
              <w:rPr>
                <w:rFonts w:cs="EB Garamond"/>
                <w:b/>
                <w:kern w:val="16"/>
                <w:sz w:val="19"/>
                <w14:ligatures w14:val="standardContextual"/>
              </w:rPr>
              <w:t>Exemplo de cálculo — Regra permanente (2026)</w:t>
            </w:r>
          </w:p>
          <w:p w14:paraId="799A7BA9" w14:textId="77777777" w:rsidR="005A5FCC" w:rsidRDefault="00A21C81">
            <w:pPr>
              <w:spacing w:after="60" w:line="247" w:lineRule="auto"/>
            </w:pPr>
            <w:r>
              <w:rPr>
                <w:rFonts w:cs="EB Garamond"/>
                <w:b/>
                <w:kern w:val="16"/>
                <w:sz w:val="19"/>
                <w14:ligatures w14:val="standardContextual"/>
              </w:rPr>
              <w:t>João</w:t>
            </w:r>
            <w:r>
              <w:rPr>
                <w:rFonts w:cs="EB Garamond"/>
                <w:kern w:val="16"/>
                <w:sz w:val="19"/>
                <w14:ligatures w14:val="standardContextual"/>
              </w:rPr>
              <w:t>, 65 anos, filiado ao RGPS em janeiro de 2020, completou 20 anos de contribuição fictícios para fins didáticos (suponhamos que trouxe tempo de outro regime). Média de todos os salários de contribuição desde julho/1994: R$ 3.500,00.</w:t>
            </w:r>
          </w:p>
          <w:p w14:paraId="3686FD47" w14:textId="77777777" w:rsidR="005A5FCC" w:rsidRDefault="00A21C81">
            <w:pPr>
              <w:spacing w:after="30" w:line="240" w:lineRule="auto"/>
              <w:ind w:left="227" w:hanging="142"/>
            </w:pPr>
            <w:r>
              <w:rPr>
                <w:rFonts w:cs="EB Garamond"/>
                <w:kern w:val="16"/>
                <w:sz w:val="19"/>
                <w14:ligatures w14:val="standardContextual"/>
              </w:rPr>
              <w:t xml:space="preserve">• Coeficiente: 60% + 2% × (20 - 20) = 60% + 0% = </w:t>
            </w:r>
            <w:r>
              <w:rPr>
                <w:rFonts w:cs="EB Garamond"/>
                <w:b/>
                <w:kern w:val="16"/>
                <w:sz w:val="19"/>
                <w14:ligatures w14:val="standardContextual"/>
              </w:rPr>
              <w:t>60%</w:t>
            </w:r>
          </w:p>
          <w:p w14:paraId="73AF626F" w14:textId="77777777" w:rsidR="005A5FCC" w:rsidRDefault="00A21C81">
            <w:pPr>
              <w:spacing w:after="30" w:line="240" w:lineRule="auto"/>
              <w:ind w:left="227" w:hanging="142"/>
            </w:pPr>
            <w:r>
              <w:rPr>
                <w:rFonts w:cs="EB Garamond"/>
                <w:kern w:val="16"/>
                <w:sz w:val="19"/>
                <w14:ligatures w14:val="standardContextual"/>
              </w:rPr>
              <w:t xml:space="preserve">• RMI: R$ 3.500,00 × 60% = </w:t>
            </w:r>
            <w:r>
              <w:rPr>
                <w:rFonts w:cs="EB Garamond"/>
                <w:b/>
                <w:kern w:val="16"/>
                <w:sz w:val="19"/>
                <w14:ligatures w14:val="standardContextual"/>
              </w:rPr>
              <w:t>R$ 2.100,00</w:t>
            </w:r>
          </w:p>
          <w:p w14:paraId="2A602DC4" w14:textId="77777777" w:rsidR="005A5FCC" w:rsidRDefault="00A21C81">
            <w:pPr>
              <w:spacing w:after="60" w:line="247" w:lineRule="auto"/>
            </w:pPr>
            <w:r>
              <w:rPr>
                <w:rFonts w:cs="EB Garamond"/>
                <w:b/>
                <w:kern w:val="16"/>
                <w:sz w:val="19"/>
                <w14:ligatures w14:val="standardContextual"/>
              </w:rPr>
              <w:t>Maria</w:t>
            </w:r>
            <w:r>
              <w:rPr>
                <w:rFonts w:cs="EB Garamond"/>
                <w:kern w:val="16"/>
                <w:sz w:val="19"/>
                <w14:ligatures w14:val="standardContextual"/>
              </w:rPr>
              <w:t>, 62 anos, mesma filiação e mesma média. Tempo de contribuição: 20 anos.</w:t>
            </w:r>
          </w:p>
          <w:p w14:paraId="46C89257" w14:textId="77777777" w:rsidR="005A5FCC" w:rsidRDefault="00A21C81">
            <w:pPr>
              <w:spacing w:after="30" w:line="240" w:lineRule="auto"/>
              <w:ind w:left="227" w:hanging="142"/>
            </w:pPr>
            <w:r>
              <w:rPr>
                <w:rFonts w:cs="EB Garamond"/>
                <w:kern w:val="16"/>
                <w:sz w:val="19"/>
                <w14:ligatures w14:val="standardContextual"/>
              </w:rPr>
              <w:t xml:space="preserve">• Coeficiente: 60% + 2% × (20 - 15) = 60% + 10% = </w:t>
            </w:r>
            <w:r>
              <w:rPr>
                <w:rFonts w:cs="EB Garamond"/>
                <w:b/>
                <w:kern w:val="16"/>
                <w:sz w:val="19"/>
                <w14:ligatures w14:val="standardContextual"/>
              </w:rPr>
              <w:t>70%</w:t>
            </w:r>
          </w:p>
          <w:p w14:paraId="17A30127" w14:textId="77777777" w:rsidR="005A5FCC" w:rsidRDefault="00A21C81">
            <w:pPr>
              <w:spacing w:after="30" w:line="240" w:lineRule="auto"/>
              <w:ind w:left="227" w:hanging="142"/>
            </w:pPr>
            <w:r>
              <w:rPr>
                <w:rFonts w:cs="EB Garamond"/>
                <w:kern w:val="16"/>
                <w:sz w:val="19"/>
                <w14:ligatures w14:val="standardContextual"/>
              </w:rPr>
              <w:t xml:space="preserve">• RMI: R$ 3.500,00 × 70% = </w:t>
            </w:r>
            <w:r>
              <w:rPr>
                <w:rFonts w:cs="EB Garamond"/>
                <w:b/>
                <w:kern w:val="16"/>
                <w:sz w:val="19"/>
                <w14:ligatures w14:val="standardContextual"/>
              </w:rPr>
              <w:t>R$ 2.450,00</w:t>
            </w:r>
          </w:p>
          <w:p w14:paraId="636FFE12" w14:textId="77777777" w:rsidR="005A5FCC" w:rsidRDefault="00A21C81">
            <w:pPr>
              <w:spacing w:after="60" w:line="247" w:lineRule="auto"/>
            </w:pPr>
            <w:r>
              <w:rPr>
                <w:rFonts w:cs="EB Garamond"/>
                <w:kern w:val="16"/>
                <w:sz w:val="19"/>
                <w14:ligatures w14:val="standardContextual"/>
              </w:rPr>
              <w:t>Observe que Maria recebe mais que João, apesar do mesmo tempo de contribuição, porque o piso de excedência feminino (15 anos) é inferior ao masculino (20 anos). Para que João atingisse o coeficiente de 100%, precisaria de 40 anos de contribuição; Maria, de 35 anos.</w:t>
            </w:r>
          </w:p>
        </w:tc>
      </w:tr>
    </w:tbl>
    <w:p w14:paraId="06395428" w14:textId="77777777" w:rsidR="005A5FCC" w:rsidRDefault="005A5FCC">
      <w:pPr>
        <w:spacing w:after="80" w:line="240" w:lineRule="auto"/>
      </w:pPr>
    </w:p>
    <w:p w14:paraId="605E48D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1C1C3BF1" w14:textId="77777777" w:rsidR="005A5FCC" w:rsidRDefault="00A21C81">
      <w:r>
        <w:rPr>
          <w:rFonts w:cs="EB Garamond"/>
          <w:kern w:val="16"/>
          <w14:ligatures w14:val="standardContextual"/>
        </w:rPr>
        <w:t xml:space="preserve"> fórmula de cálculo da EC 103/2019 representou uma redução significativa no valor dos benefícios para a maioria dos segurados, por dois motivos cumulativos: (i) a inclusão de todos os salários de contribuição na média (sem exclusão dos 20% menores) tende a reduzir o valor da média; e (ii) o coeficiente inicial de 60% é inferior à antiga fórmula de 70% + 1% por grupo de 12 contribuições. A combinação desses fatores faz com que o segurado precise de mais tempo de contribuição para atingir o mesmo valor de benefício que obteria pelas regras anteriores.</w:t>
      </w:r>
    </w:p>
    <w:p w14:paraId="02344101" w14:textId="77777777" w:rsidR="005A5FCC" w:rsidRDefault="00A21C81">
      <w:pPr>
        <w:spacing w:before="260" w:after="80" w:line="240" w:lineRule="auto"/>
        <w:jc w:val="left"/>
      </w:pPr>
      <w:r>
        <w:rPr>
          <w:rFonts w:cs="EB Garamond"/>
          <w:b/>
          <w:color w:val="3A3128"/>
          <w:kern w:val="16"/>
          <w:sz w:val="25"/>
          <w14:ligatures w14:val="standardContextual"/>
        </w:rPr>
        <w:t>10.3.4 O teto e o piso do benefício</w:t>
      </w:r>
    </w:p>
    <w:p w14:paraId="29AE7C89"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25EC5DF4" w14:textId="7329F009" w:rsidR="005A5FCC" w:rsidRDefault="00A21C81">
      <w:r>
        <w:rPr>
          <w:rFonts w:cs="EB Garamond"/>
          <w:kern w:val="16"/>
          <w14:ligatures w14:val="standardContextual"/>
        </w:rPr>
        <w:t xml:space="preserve"> aposentadoria programada não pode ser inferior ao </w:t>
      </w:r>
      <w:r w:rsidR="00AA2644">
        <w:rPr>
          <w:rFonts w:cs="EB Garamond"/>
          <w:kern w:val="16"/>
          <w14:ligatures w14:val="standardContextual"/>
        </w:rPr>
        <w:t>salário-mínimo</w:t>
      </w:r>
      <w:r>
        <w:rPr>
          <w:rFonts w:cs="EB Garamond"/>
          <w:kern w:val="16"/>
          <w14:ligatures w14:val="standardContextual"/>
        </w:rPr>
        <w:t xml:space="preserve"> vigente (art. 201, § 2º, CF). Quando o cálculo resultar em valor inferior, o benefício é elevado ao mínimo. Em 2026, o </w:t>
      </w:r>
      <w:r w:rsidR="00AA2644">
        <w:rPr>
          <w:rFonts w:cs="EB Garamond"/>
          <w:kern w:val="16"/>
          <w14:ligatures w14:val="standardContextual"/>
        </w:rPr>
        <w:t>salário-mínimo</w:t>
      </w:r>
      <w:r>
        <w:rPr>
          <w:rFonts w:cs="EB Garamond"/>
          <w:kern w:val="16"/>
          <w14:ligatures w14:val="standardContextual"/>
        </w:rPr>
        <w:t xml:space="preserve"> é de R$ 1.621,00.</w:t>
      </w:r>
    </w:p>
    <w:p w14:paraId="77DD1D5F" w14:textId="77777777" w:rsidR="005A5FCC" w:rsidRDefault="00A21C81">
      <w:pPr>
        <w:ind w:firstLine="238"/>
      </w:pPr>
      <w:r>
        <w:rPr>
          <w:rFonts w:cs="EB Garamond"/>
          <w:kern w:val="16"/>
          <w14:ligatures w14:val="standardContextual"/>
        </w:rPr>
        <w:lastRenderedPageBreak/>
        <w:t>O teto do benefício é o teto do RGPS, atualmente fixado em R$ 8.475,55 (Portaria Interministerial MPS/MF n. 13/2026). Isso significa que, mesmo que o segurado tenha contribuído sempre sobre o teto e acumulado tempo suficiente para coeficiente de 100%, a RMI não ultrapassará esse valor. A limitação ao teto aplica-se sobre o valor final, após a aplicação do coeficiente sobre a média.</w:t>
      </w:r>
    </w:p>
    <w:p w14:paraId="78BCCD81" w14:textId="66063A3E" w:rsidR="005A5FCC" w:rsidRDefault="00A21C81">
      <w:pPr>
        <w:ind w:firstLine="238"/>
      </w:pPr>
      <w:r>
        <w:rPr>
          <w:rFonts w:cs="EB Garamond"/>
          <w:kern w:val="16"/>
          <w14:ligatures w14:val="standardContextual"/>
        </w:rPr>
        <w:t xml:space="preserve">Cabe distinguir duas balizas frequentemente confundidas na </w:t>
      </w:r>
      <w:r w:rsidR="00AA2644">
        <w:rPr>
          <w:rFonts w:cs="EB Garamond"/>
          <w:kern w:val="16"/>
          <w14:ligatures w14:val="standardContextual"/>
        </w:rPr>
        <w:t>prática</w:t>
      </w:r>
      <w:r>
        <w:rPr>
          <w:rFonts w:cs="EB Garamond"/>
          <w:kern w:val="16"/>
          <w14:ligatures w14:val="standardContextual"/>
        </w:rPr>
        <w:t xml:space="preserve">. De um lado, a </w:t>
      </w:r>
      <w:r w:rsidR="00AA2644">
        <w:rPr>
          <w:rFonts w:cs="EB Garamond"/>
          <w:kern w:val="16"/>
          <w14:ligatures w14:val="standardContextual"/>
        </w:rPr>
        <w:t>própria</w:t>
      </w:r>
      <w:r>
        <w:rPr>
          <w:rFonts w:cs="EB Garamond"/>
          <w:kern w:val="16"/>
          <w14:ligatures w14:val="standardContextual"/>
        </w:rPr>
        <w:t xml:space="preserve"> estrutura de </w:t>
      </w:r>
      <w:r w:rsidR="00AA2644">
        <w:rPr>
          <w:rFonts w:cs="EB Garamond"/>
          <w:kern w:val="16"/>
          <w14:ligatures w14:val="standardContextual"/>
        </w:rPr>
        <w:t>cálculo</w:t>
      </w:r>
      <w:r>
        <w:rPr>
          <w:rFonts w:cs="EB Garamond"/>
          <w:kern w:val="16"/>
          <w14:ligatures w14:val="standardContextual"/>
        </w:rPr>
        <w:t xml:space="preserve"> do art. 26 da EC 103/2019 impede que o </w:t>
      </w:r>
      <w:r w:rsidR="00AA2644">
        <w:rPr>
          <w:rFonts w:cs="EB Garamond"/>
          <w:kern w:val="16"/>
          <w14:ligatures w14:val="standardContextual"/>
        </w:rPr>
        <w:t>benefício</w:t>
      </w:r>
      <w:r>
        <w:rPr>
          <w:rFonts w:cs="EB Garamond"/>
          <w:kern w:val="16"/>
          <w14:ligatures w14:val="standardContextual"/>
        </w:rPr>
        <w:t xml:space="preserve"> supere a </w:t>
      </w:r>
      <w:r w:rsidR="00AA2644">
        <w:rPr>
          <w:rFonts w:cs="EB Garamond"/>
          <w:kern w:val="16"/>
          <w14:ligatures w14:val="standardContextual"/>
        </w:rPr>
        <w:t>média</w:t>
      </w:r>
      <w:r>
        <w:rPr>
          <w:rFonts w:cs="EB Garamond"/>
          <w:kern w:val="16"/>
          <w14:ligatures w14:val="standardContextual"/>
        </w:rPr>
        <w:t xml:space="preserve"> dos </w:t>
      </w:r>
      <w:r w:rsidR="00AA2644">
        <w:rPr>
          <w:rFonts w:cs="EB Garamond"/>
          <w:kern w:val="16"/>
          <w14:ligatures w14:val="standardContextual"/>
        </w:rPr>
        <w:t>salários</w:t>
      </w:r>
      <w:r>
        <w:rPr>
          <w:rFonts w:cs="EB Garamond"/>
          <w:kern w:val="16"/>
          <w14:ligatures w14:val="standardContextual"/>
        </w:rPr>
        <w:t xml:space="preserve"> de </w:t>
      </w:r>
      <w:r w:rsidR="00AA2644">
        <w:rPr>
          <w:rFonts w:cs="EB Garamond"/>
          <w:kern w:val="16"/>
          <w14:ligatures w14:val="standardContextual"/>
        </w:rPr>
        <w:t>contribuição</w:t>
      </w:r>
      <w:r>
        <w:rPr>
          <w:rFonts w:cs="EB Garamond"/>
          <w:kern w:val="16"/>
          <w14:ligatures w14:val="standardContextual"/>
        </w:rPr>
        <w:t xml:space="preserve">: como o coeficiente esta limitado a 100% (art. 26, § 2º, da EC 103/2019, que fixa o coeficiente em 60% da </w:t>
      </w:r>
      <w:r w:rsidR="00AA2644">
        <w:rPr>
          <w:rFonts w:cs="EB Garamond"/>
          <w:kern w:val="16"/>
          <w14:ligatures w14:val="standardContextual"/>
        </w:rPr>
        <w:t>média</w:t>
      </w:r>
      <w:r>
        <w:rPr>
          <w:rFonts w:cs="EB Garamond"/>
          <w:kern w:val="16"/>
          <w14:ligatures w14:val="standardContextual"/>
        </w:rPr>
        <w:t xml:space="preserve">, com </w:t>
      </w:r>
      <w:r w:rsidR="00AA2644">
        <w:rPr>
          <w:rFonts w:cs="EB Garamond"/>
          <w:kern w:val="16"/>
          <w14:ligatures w14:val="standardContextual"/>
        </w:rPr>
        <w:t>acréscimos</w:t>
      </w:r>
      <w:r>
        <w:rPr>
          <w:rFonts w:cs="EB Garamond"/>
          <w:kern w:val="16"/>
          <w14:ligatures w14:val="standardContextual"/>
        </w:rPr>
        <w:t xml:space="preserve"> limitados a 100%; a </w:t>
      </w:r>
      <w:r w:rsidR="00AA2644">
        <w:rPr>
          <w:rFonts w:cs="EB Garamond"/>
          <w:kern w:val="16"/>
          <w14:ligatures w14:val="standardContextual"/>
        </w:rPr>
        <w:t>própria</w:t>
      </w:r>
      <w:r>
        <w:rPr>
          <w:rFonts w:cs="EB Garamond"/>
          <w:kern w:val="16"/>
          <w14:ligatures w14:val="standardContextual"/>
        </w:rPr>
        <w:t xml:space="preserve"> </w:t>
      </w:r>
      <w:r w:rsidR="00AA2644">
        <w:rPr>
          <w:rFonts w:cs="EB Garamond"/>
          <w:kern w:val="16"/>
          <w14:ligatures w14:val="standardContextual"/>
        </w:rPr>
        <w:t>média</w:t>
      </w:r>
      <w:r>
        <w:rPr>
          <w:rFonts w:cs="EB Garamond"/>
          <w:kern w:val="16"/>
          <w14:ligatures w14:val="standardContextual"/>
        </w:rPr>
        <w:t xml:space="preserve">, por sua vez, e limitada ao teto do </w:t>
      </w:r>
      <w:r w:rsidR="00AA2644">
        <w:rPr>
          <w:rFonts w:cs="EB Garamond"/>
          <w:kern w:val="16"/>
          <w14:ligatures w14:val="standardContextual"/>
        </w:rPr>
        <w:t>salário</w:t>
      </w:r>
      <w:r>
        <w:rPr>
          <w:rFonts w:cs="EB Garamond"/>
          <w:kern w:val="16"/>
          <w14:ligatures w14:val="standardContextual"/>
        </w:rPr>
        <w:t xml:space="preserve"> de </w:t>
      </w:r>
      <w:r w:rsidR="00AA2644">
        <w:rPr>
          <w:rFonts w:cs="EB Garamond"/>
          <w:kern w:val="16"/>
          <w14:ligatures w14:val="standardContextual"/>
        </w:rPr>
        <w:t>contribuição</w:t>
      </w:r>
      <w:r>
        <w:rPr>
          <w:rFonts w:cs="EB Garamond"/>
          <w:kern w:val="16"/>
          <w14:ligatures w14:val="standardContextual"/>
        </w:rPr>
        <w:t xml:space="preserve"> do RGPS pelo art. 26, § 1º, e o piso de um </w:t>
      </w:r>
      <w:r w:rsidR="00AA2644">
        <w:rPr>
          <w:rFonts w:cs="EB Garamond"/>
          <w:kern w:val="16"/>
          <w14:ligatures w14:val="standardContextual"/>
        </w:rPr>
        <w:t>salário-mínimo</w:t>
      </w:r>
      <w:r>
        <w:rPr>
          <w:rFonts w:cs="EB Garamond"/>
          <w:kern w:val="16"/>
          <w14:ligatures w14:val="standardContextual"/>
        </w:rPr>
        <w:t xml:space="preserve"> decorre do art. 201, § 2º, da CF), a renda mensal jamais excede a </w:t>
      </w:r>
      <w:r w:rsidR="00AA2644">
        <w:rPr>
          <w:rFonts w:cs="EB Garamond"/>
          <w:kern w:val="16"/>
          <w14:ligatures w14:val="standardContextual"/>
        </w:rPr>
        <w:t>média</w:t>
      </w:r>
      <w:r>
        <w:rPr>
          <w:rFonts w:cs="EB Garamond"/>
          <w:kern w:val="16"/>
          <w14:ligatures w14:val="standardContextual"/>
        </w:rPr>
        <w:t xml:space="preserve"> apurada. De outro lado, </w:t>
      </w:r>
      <w:r w:rsidR="00AA2644">
        <w:rPr>
          <w:rFonts w:cs="EB Garamond"/>
          <w:kern w:val="16"/>
          <w14:ligatures w14:val="standardContextual"/>
        </w:rPr>
        <w:t>há</w:t>
      </w:r>
      <w:r>
        <w:rPr>
          <w:rFonts w:cs="EB Garamond"/>
          <w:kern w:val="16"/>
          <w14:ligatures w14:val="standardContextual"/>
        </w:rPr>
        <w:t xml:space="preserve"> a chamada </w:t>
      </w:r>
      <w:r w:rsidR="00AA2644">
        <w:rPr>
          <w:rFonts w:cs="EB Garamond"/>
          <w:kern w:val="16"/>
          <w14:ligatures w14:val="standardContextual"/>
        </w:rPr>
        <w:t>limitação</w:t>
      </w:r>
      <w:r>
        <w:rPr>
          <w:rFonts w:cs="EB Garamond"/>
          <w:kern w:val="16"/>
          <w14:ligatures w14:val="standardContextual"/>
        </w:rPr>
        <w:t xml:space="preserve"> ao "</w:t>
      </w:r>
      <w:r w:rsidR="00AA2644">
        <w:rPr>
          <w:rFonts w:cs="EB Garamond"/>
          <w:kern w:val="16"/>
          <w14:ligatures w14:val="standardContextual"/>
        </w:rPr>
        <w:t>último</w:t>
      </w:r>
      <w:r>
        <w:rPr>
          <w:rFonts w:cs="EB Garamond"/>
          <w:kern w:val="16"/>
          <w14:ligatures w14:val="standardContextual"/>
        </w:rPr>
        <w:t xml:space="preserve"> </w:t>
      </w:r>
      <w:r w:rsidR="00AA2644">
        <w:rPr>
          <w:rFonts w:cs="EB Garamond"/>
          <w:kern w:val="16"/>
          <w14:ligatures w14:val="standardContextual"/>
        </w:rPr>
        <w:t>salário</w:t>
      </w:r>
      <w:r>
        <w:rPr>
          <w:rFonts w:cs="EB Garamond"/>
          <w:kern w:val="16"/>
          <w14:ligatures w14:val="standardContextual"/>
        </w:rPr>
        <w:t xml:space="preserve"> de </w:t>
      </w:r>
      <w:r w:rsidR="00AA2644">
        <w:rPr>
          <w:rFonts w:cs="EB Garamond"/>
          <w:kern w:val="16"/>
          <w14:ligatures w14:val="standardContextual"/>
        </w:rPr>
        <w:t>contribuição</w:t>
      </w:r>
      <w:r>
        <w:rPr>
          <w:rFonts w:cs="EB Garamond"/>
          <w:kern w:val="16"/>
          <w14:ligatures w14:val="standardContextual"/>
        </w:rPr>
        <w:t xml:space="preserve">", que </w:t>
      </w:r>
      <w:r w:rsidR="00AA2644">
        <w:rPr>
          <w:rFonts w:cs="EB Garamond"/>
          <w:kern w:val="16"/>
          <w14:ligatures w14:val="standardContextual"/>
        </w:rPr>
        <w:t>não</w:t>
      </w:r>
      <w:r>
        <w:rPr>
          <w:rFonts w:cs="EB Garamond"/>
          <w:kern w:val="16"/>
          <w14:ligatures w14:val="standardContextual"/>
        </w:rPr>
        <w:t xml:space="preserve"> decorre da EC 103/2019, mas de </w:t>
      </w:r>
      <w:r w:rsidR="00AA2644">
        <w:rPr>
          <w:rFonts w:cs="EB Garamond"/>
          <w:kern w:val="16"/>
          <w14:ligatures w14:val="standardContextual"/>
        </w:rPr>
        <w:t>regulamentação</w:t>
      </w:r>
      <w:r>
        <w:rPr>
          <w:rFonts w:cs="EB Garamond"/>
          <w:kern w:val="16"/>
          <w14:ligatures w14:val="standardContextual"/>
        </w:rPr>
        <w:t xml:space="preserve"> infralegal voltada a impedir a </w:t>
      </w:r>
      <w:r w:rsidR="00AA2644">
        <w:rPr>
          <w:rFonts w:cs="EB Garamond"/>
          <w:kern w:val="16"/>
          <w14:ligatures w14:val="standardContextual"/>
        </w:rPr>
        <w:t>majoração</w:t>
      </w:r>
      <w:r>
        <w:rPr>
          <w:rFonts w:cs="EB Garamond"/>
          <w:kern w:val="16"/>
          <w14:ligatures w14:val="standardContextual"/>
        </w:rPr>
        <w:t xml:space="preserve"> artificial do </w:t>
      </w:r>
      <w:r w:rsidR="00AA2644">
        <w:rPr>
          <w:rFonts w:cs="EB Garamond"/>
          <w:kern w:val="16"/>
          <w14:ligatures w14:val="standardContextual"/>
        </w:rPr>
        <w:t>benefício</w:t>
      </w:r>
      <w:r>
        <w:rPr>
          <w:rFonts w:cs="EB Garamond"/>
          <w:kern w:val="16"/>
          <w14:ligatures w14:val="standardContextual"/>
        </w:rPr>
        <w:t xml:space="preserve"> as </w:t>
      </w:r>
      <w:r w:rsidR="00AA2644">
        <w:rPr>
          <w:rFonts w:cs="EB Garamond"/>
          <w:kern w:val="16"/>
          <w14:ligatures w14:val="standardContextual"/>
        </w:rPr>
        <w:t>vésperas</w:t>
      </w:r>
      <w:r>
        <w:rPr>
          <w:rFonts w:cs="EB Garamond"/>
          <w:kern w:val="16"/>
          <w14:ligatures w14:val="standardContextual"/>
        </w:rPr>
        <w:t xml:space="preserve"> do requerimento. Essa segunda </w:t>
      </w:r>
      <w:r w:rsidR="00AA2644">
        <w:rPr>
          <w:rFonts w:cs="EB Garamond"/>
          <w:kern w:val="16"/>
          <w14:ligatures w14:val="standardContextual"/>
        </w:rPr>
        <w:t>limitação</w:t>
      </w:r>
      <w:r>
        <w:rPr>
          <w:rFonts w:cs="EB Garamond"/>
          <w:kern w:val="16"/>
          <w14:ligatures w14:val="standardContextual"/>
        </w:rPr>
        <w:t xml:space="preserve"> tem sido objeto de </w:t>
      </w:r>
      <w:r w:rsidR="00AA2644">
        <w:rPr>
          <w:rFonts w:cs="EB Garamond"/>
          <w:kern w:val="16"/>
          <w14:ligatures w14:val="standardContextual"/>
        </w:rPr>
        <w:t>crítica</w:t>
      </w:r>
      <w:r>
        <w:rPr>
          <w:rFonts w:cs="EB Garamond"/>
          <w:kern w:val="16"/>
          <w14:ligatures w14:val="standardContextual"/>
        </w:rPr>
        <w:t xml:space="preserve"> doutrinaria, por penalizar o segurado que sofreu </w:t>
      </w:r>
      <w:r w:rsidR="00AA2644">
        <w:rPr>
          <w:rFonts w:cs="EB Garamond"/>
          <w:kern w:val="16"/>
          <w14:ligatures w14:val="standardContextual"/>
        </w:rPr>
        <w:t>redução</w:t>
      </w:r>
      <w:r>
        <w:rPr>
          <w:rFonts w:cs="EB Garamond"/>
          <w:kern w:val="16"/>
          <w14:ligatures w14:val="standardContextual"/>
        </w:rPr>
        <w:t xml:space="preserve"> salarial legitima nos </w:t>
      </w:r>
      <w:r w:rsidR="00AA2644">
        <w:rPr>
          <w:rFonts w:cs="EB Garamond"/>
          <w:kern w:val="16"/>
          <w14:ligatures w14:val="standardContextual"/>
        </w:rPr>
        <w:t>últimos</w:t>
      </w:r>
      <w:r>
        <w:rPr>
          <w:rFonts w:cs="EB Garamond"/>
          <w:kern w:val="16"/>
          <w14:ligatures w14:val="standardContextual"/>
        </w:rPr>
        <w:t xml:space="preserve"> anos de atividade. Entendemos que tal </w:t>
      </w:r>
      <w:r w:rsidR="00AA2644">
        <w:rPr>
          <w:rFonts w:cs="EB Garamond"/>
          <w:kern w:val="16"/>
          <w14:ligatures w14:val="standardContextual"/>
        </w:rPr>
        <w:t>restrição</w:t>
      </w:r>
      <w:r>
        <w:rPr>
          <w:rFonts w:cs="EB Garamond"/>
          <w:kern w:val="16"/>
          <w14:ligatures w14:val="standardContextual"/>
        </w:rPr>
        <w:t xml:space="preserve"> </w:t>
      </w:r>
      <w:r w:rsidR="00AA2644">
        <w:rPr>
          <w:rFonts w:cs="EB Garamond"/>
          <w:kern w:val="16"/>
          <w14:ligatures w14:val="standardContextual"/>
        </w:rPr>
        <w:t>só</w:t>
      </w:r>
      <w:r>
        <w:rPr>
          <w:rFonts w:cs="EB Garamond"/>
          <w:kern w:val="16"/>
          <w14:ligatures w14:val="standardContextual"/>
        </w:rPr>
        <w:t xml:space="preserve"> se justifica diante de indicio concreto de </w:t>
      </w:r>
      <w:r w:rsidR="00AA2644">
        <w:rPr>
          <w:rFonts w:cs="EB Garamond"/>
          <w:kern w:val="16"/>
          <w14:ligatures w14:val="standardContextual"/>
        </w:rPr>
        <w:t>manipulação</w:t>
      </w:r>
      <w:r>
        <w:rPr>
          <w:rFonts w:cs="EB Garamond"/>
          <w:kern w:val="16"/>
          <w14:ligatures w14:val="standardContextual"/>
        </w:rPr>
        <w:t xml:space="preserve"> do </w:t>
      </w:r>
      <w:r w:rsidR="00AA2644">
        <w:rPr>
          <w:rFonts w:cs="EB Garamond"/>
          <w:kern w:val="16"/>
          <w14:ligatures w14:val="standardContextual"/>
        </w:rPr>
        <w:t>salário</w:t>
      </w:r>
      <w:r>
        <w:rPr>
          <w:rFonts w:cs="EB Garamond"/>
          <w:kern w:val="16"/>
          <w14:ligatures w14:val="standardContextual"/>
        </w:rPr>
        <w:t xml:space="preserve"> de </w:t>
      </w:r>
      <w:r w:rsidR="00AA2644">
        <w:rPr>
          <w:rFonts w:cs="EB Garamond"/>
          <w:kern w:val="16"/>
          <w14:ligatures w14:val="standardContextual"/>
        </w:rPr>
        <w:t>contribuição</w:t>
      </w:r>
      <w:r>
        <w:rPr>
          <w:rFonts w:cs="EB Garamond"/>
          <w:kern w:val="16"/>
          <w14:ligatures w14:val="standardContextual"/>
        </w:rPr>
        <w:t xml:space="preserve"> na </w:t>
      </w:r>
      <w:r w:rsidR="00AA2644">
        <w:rPr>
          <w:rFonts w:cs="EB Garamond"/>
          <w:kern w:val="16"/>
          <w14:ligatures w14:val="standardContextual"/>
        </w:rPr>
        <w:t>iminência</w:t>
      </w:r>
      <w:r>
        <w:rPr>
          <w:rFonts w:cs="EB Garamond"/>
          <w:kern w:val="16"/>
          <w14:ligatures w14:val="standardContextual"/>
        </w:rPr>
        <w:t xml:space="preserve"> da aposentadoria — e </w:t>
      </w:r>
      <w:r w:rsidR="00AA2644">
        <w:rPr>
          <w:rFonts w:cs="EB Garamond"/>
          <w:kern w:val="16"/>
          <w14:ligatures w14:val="standardContextual"/>
        </w:rPr>
        <w:t>não</w:t>
      </w:r>
      <w:r>
        <w:rPr>
          <w:rFonts w:cs="EB Garamond"/>
          <w:kern w:val="16"/>
          <w14:ligatures w14:val="standardContextual"/>
        </w:rPr>
        <w:t xml:space="preserve"> como teto </w:t>
      </w:r>
      <w:r w:rsidR="00AA2644">
        <w:rPr>
          <w:rFonts w:cs="EB Garamond"/>
          <w:kern w:val="16"/>
          <w14:ligatures w14:val="standardContextual"/>
        </w:rPr>
        <w:t>automático</w:t>
      </w:r>
      <w:r>
        <w:rPr>
          <w:rFonts w:cs="EB Garamond"/>
          <w:kern w:val="16"/>
          <w14:ligatures w14:val="standardContextual"/>
        </w:rPr>
        <w:t xml:space="preserve"> </w:t>
      </w:r>
      <w:r w:rsidR="00AA2644">
        <w:rPr>
          <w:rFonts w:cs="EB Garamond"/>
          <w:kern w:val="16"/>
          <w14:ligatures w14:val="standardContextual"/>
        </w:rPr>
        <w:t>aplicável</w:t>
      </w:r>
      <w:r>
        <w:rPr>
          <w:rFonts w:cs="EB Garamond"/>
          <w:kern w:val="16"/>
          <w14:ligatures w14:val="standardContextual"/>
        </w:rPr>
        <w:t xml:space="preserve"> a todo segurado —, </w:t>
      </w:r>
      <w:r w:rsidR="00AA2644">
        <w:rPr>
          <w:rFonts w:cs="EB Garamond"/>
          <w:kern w:val="16"/>
          <w14:ligatures w14:val="standardContextual"/>
        </w:rPr>
        <w:t>interpretação</w:t>
      </w:r>
      <w:r>
        <w:rPr>
          <w:rFonts w:cs="EB Garamond"/>
          <w:kern w:val="16"/>
          <w14:ligatures w14:val="standardContextual"/>
        </w:rPr>
        <w:t xml:space="preserve"> que, embora ainda </w:t>
      </w:r>
      <w:r w:rsidR="00AA2644">
        <w:rPr>
          <w:rFonts w:cs="EB Garamond"/>
          <w:kern w:val="16"/>
          <w14:ligatures w14:val="standardContextual"/>
        </w:rPr>
        <w:t xml:space="preserve">não </w:t>
      </w:r>
      <w:r>
        <w:rPr>
          <w:rFonts w:cs="EB Garamond"/>
          <w:kern w:val="16"/>
          <w14:ligatures w14:val="standardContextual"/>
        </w:rPr>
        <w:t xml:space="preserve">pacificada, melhor se ajusta ao </w:t>
      </w:r>
      <w:r w:rsidR="00AA2644">
        <w:rPr>
          <w:rFonts w:cs="EB Garamond"/>
          <w:kern w:val="16"/>
          <w14:ligatures w14:val="standardContextual"/>
        </w:rPr>
        <w:t>caráter</w:t>
      </w:r>
      <w:r>
        <w:rPr>
          <w:rFonts w:cs="EB Garamond"/>
          <w:kern w:val="16"/>
          <w14:ligatures w14:val="standardContextual"/>
        </w:rPr>
        <w:t xml:space="preserve"> retributivo do regime e ao </w:t>
      </w:r>
      <w:r w:rsidR="00AA2644">
        <w:rPr>
          <w:rFonts w:cs="EB Garamond"/>
          <w:kern w:val="16"/>
          <w14:ligatures w14:val="standardContextual"/>
        </w:rPr>
        <w:t>princípio</w:t>
      </w:r>
      <w:r>
        <w:rPr>
          <w:rFonts w:cs="EB Garamond"/>
          <w:kern w:val="16"/>
          <w14:ligatures w14:val="standardContextual"/>
        </w:rPr>
        <w:t xml:space="preserve"> do </w:t>
      </w:r>
      <w:r w:rsidR="00AA2644">
        <w:rPr>
          <w:rFonts w:cs="EB Garamond"/>
          <w:kern w:val="16"/>
          <w14:ligatures w14:val="standardContextual"/>
        </w:rPr>
        <w:t>benefício</w:t>
      </w:r>
      <w:r>
        <w:rPr>
          <w:rFonts w:cs="EB Garamond"/>
          <w:kern w:val="16"/>
          <w14:ligatures w14:val="standardContextual"/>
        </w:rPr>
        <w:t xml:space="preserve"> mais vantajoso (art. 26, § 2º, da EC 103/2019).</w:t>
      </w:r>
    </w:p>
    <w:p w14:paraId="7E24C1C6"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10.4 Regra de transição: aposentadoria por idade (art. 18, EC 103/2019)</w:t>
      </w:r>
    </w:p>
    <w:p w14:paraId="632AC921" w14:textId="77777777" w:rsidR="005A5FCC" w:rsidRDefault="00A21C81">
      <w:pPr>
        <w:spacing w:before="260" w:after="80" w:line="240" w:lineRule="auto"/>
        <w:jc w:val="left"/>
      </w:pPr>
      <w:r>
        <w:rPr>
          <w:rFonts w:cs="EB Garamond"/>
          <w:b/>
          <w:color w:val="3A3128"/>
          <w:kern w:val="16"/>
          <w:sz w:val="25"/>
          <w14:ligatures w14:val="standardContextual"/>
        </w:rPr>
        <w:t>10.4.1 Âmbito de aplicação</w:t>
      </w:r>
    </w:p>
    <w:p w14:paraId="7B72EF18"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034B7272" w14:textId="77777777" w:rsidR="005A5FCC" w:rsidRDefault="00A21C81">
      <w:r>
        <w:rPr>
          <w:rFonts w:cs="EB Garamond"/>
          <w:kern w:val="16"/>
          <w14:ligatures w14:val="standardContextual"/>
        </w:rPr>
        <w:t xml:space="preserve"> art. 18 da EC 103/2019 estabelece uma regra de transição específica para a aposentadoria por idade, destinada aos segurados filiados ao RGPS antes de 13/11/2019 que não tinham direito adquirido à aposentadoria pelas regras anteriores.</w:t>
      </w:r>
    </w:p>
    <w:p w14:paraId="0072234F" w14:textId="77777777" w:rsidR="005A5FCC" w:rsidRDefault="00A21C81">
      <w:pPr>
        <w:ind w:firstLine="238"/>
      </w:pPr>
      <w:r>
        <w:rPr>
          <w:rFonts w:cs="EB Garamond"/>
          <w:kern w:val="16"/>
          <w14:ligatures w14:val="standardContextual"/>
        </w:rPr>
        <w:lastRenderedPageBreak/>
        <w:t>Essa regra de transição é a mais relevante para a prática dos JEFs em matéria de aposentadoria por idade urbana, porque abrange a esmagadora maioria dos segurados que atualmente postulam esse benefício. Trata-se de trabalhadores com histórico contributivo de baixa a média duração, muitas vezes intermitente, que atingem a idade mínima sem ter acumulado tempo de contribuição suficiente para as regras de transição dos arts. 15, 16 ou 20.</w:t>
      </w:r>
    </w:p>
    <w:p w14:paraId="35C14167" w14:textId="77777777" w:rsidR="005A5FCC" w:rsidRDefault="00A21C81">
      <w:pPr>
        <w:spacing w:before="260" w:after="80" w:line="240" w:lineRule="auto"/>
        <w:jc w:val="left"/>
      </w:pPr>
      <w:r>
        <w:rPr>
          <w:rFonts w:cs="EB Garamond"/>
          <w:b/>
          <w:color w:val="3A3128"/>
          <w:kern w:val="16"/>
          <w:sz w:val="25"/>
          <w14:ligatures w14:val="standardContextual"/>
        </w:rPr>
        <w:t>10.4.2 Requisitos</w:t>
      </w:r>
    </w:p>
    <w:p w14:paraId="51F6E3A1"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07876EB5" w14:textId="77777777" w:rsidR="005A5FCC" w:rsidRDefault="00A21C81">
      <w:r>
        <w:rPr>
          <w:rFonts w:cs="EB Garamond"/>
          <w:kern w:val="16"/>
          <w14:ligatures w14:val="standardContextual"/>
        </w:rPr>
        <w:t xml:space="preserve"> regra de transição do art. 18 exige:</w:t>
      </w:r>
    </w:p>
    <w:p w14:paraId="71AED9B6" w14:textId="77777777" w:rsidR="005A5FCC" w:rsidRDefault="00A21C81">
      <w:pPr>
        <w:ind w:firstLine="238"/>
      </w:pPr>
      <w:r>
        <w:rPr>
          <w:rFonts w:cs="EB Garamond"/>
          <w:b/>
          <w:kern w:val="16"/>
          <w14:ligatures w14:val="standardContextual"/>
        </w:rPr>
        <w:t>a) Idade mínima progressiva para mulheres:</w:t>
      </w:r>
    </w:p>
    <w:p w14:paraId="5BE311A7"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60 anos em 2019, com acréscimo de 6 meses por ano, até atingir 62 anos.</w:t>
      </w:r>
    </w:p>
    <w:p w14:paraId="31291B4C"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A progressão encerrou-se em 2023, quando a idade mínima feminina alcançou 62 anos (60 + 0,5 × 4 = 62).</w:t>
      </w:r>
    </w:p>
    <w:p w14:paraId="1108EE1B"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Desde 2023, a idade mínima para mulheres na regra de transição é 62 anos</w:t>
      </w:r>
      <w:r>
        <w:rPr>
          <w:rFonts w:cs="EB Garamond"/>
          <w:kern w:val="16"/>
          <w:sz w:val="20"/>
          <w14:ligatures w14:val="standardContextual"/>
        </w:rPr>
        <w:t xml:space="preserve"> — igual à regra permanente.</w:t>
      </w:r>
    </w:p>
    <w:p w14:paraId="1EA33DD4" w14:textId="77777777" w:rsidR="005A5FCC" w:rsidRDefault="005A5FCC">
      <w:pPr>
        <w:spacing w:after="60" w:line="240" w:lineRule="auto"/>
      </w:pPr>
    </w:p>
    <w:p w14:paraId="7787B472"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b</w:t>
      </w:r>
    </w:p>
    <w:p w14:paraId="2C226FBA" w14:textId="77777777" w:rsidR="005A5FCC" w:rsidRDefault="00A21C81">
      <w:r>
        <w:rPr>
          <w:rFonts w:cs="EB Garamond"/>
          <w:b/>
          <w:kern w:val="16"/>
          <w14:ligatures w14:val="standardContextual"/>
        </w:rPr>
        <w:t>) Idade mínima para homens:</w:t>
      </w:r>
      <w:r>
        <w:rPr>
          <w:rFonts w:cs="EB Garamond"/>
          <w:kern w:val="16"/>
          <w14:ligatures w14:val="standardContextual"/>
        </w:rPr>
        <w:t xml:space="preserve"> 65 anos, sem progressão.</w:t>
      </w:r>
    </w:p>
    <w:p w14:paraId="40250537" w14:textId="77777777" w:rsidR="005A5FCC" w:rsidRDefault="00A21C81">
      <w:pPr>
        <w:ind w:firstLine="238"/>
      </w:pPr>
      <w:r>
        <w:rPr>
          <w:rFonts w:cs="EB Garamond"/>
          <w:b/>
          <w:kern w:val="16"/>
          <w14:ligatures w14:val="standardContextual"/>
        </w:rPr>
        <w:t>c) Tempo de contribuição mínimo:</w:t>
      </w:r>
      <w:r>
        <w:rPr>
          <w:rFonts w:cs="EB Garamond"/>
          <w:kern w:val="16"/>
          <w14:ligatures w14:val="standardContextual"/>
        </w:rPr>
        <w:t xml:space="preserve"> 15 anos para homens e mulheres — inferior ao requisito de 20 anos da regra permanente para homens.</w:t>
      </w:r>
    </w:p>
    <w:p w14:paraId="6745F63B" w14:textId="77777777" w:rsidR="005A5FCC" w:rsidRDefault="00A21C81">
      <w:pPr>
        <w:ind w:firstLine="238"/>
      </w:pPr>
      <w:r>
        <w:rPr>
          <w:rFonts w:cs="EB Garamond"/>
          <w:b/>
          <w:kern w:val="16"/>
          <w14:ligatures w14:val="standardContextual"/>
        </w:rPr>
        <w:t>d) Carência:</w:t>
      </w:r>
      <w:r>
        <w:rPr>
          <w:rFonts w:cs="EB Garamond"/>
          <w:kern w:val="16"/>
          <w14:ligatures w14:val="standardContextual"/>
        </w:rPr>
        <w:t xml:space="preserve"> 180 contribuições mensais (art. 25, II, Lei 8.213/91), conforme Tema 358/TNU.</w:t>
      </w:r>
    </w:p>
    <w:tbl>
      <w:tblPr>
        <w:tblW w:w="5000" w:type="pct"/>
        <w:jc w:val="center"/>
        <w:tblLook w:val="04A0" w:firstRow="1" w:lastRow="0" w:firstColumn="1" w:lastColumn="0" w:noHBand="0" w:noVBand="1"/>
      </w:tblPr>
      <w:tblGrid>
        <w:gridCol w:w="2114"/>
        <w:gridCol w:w="2113"/>
        <w:gridCol w:w="2113"/>
      </w:tblGrid>
      <w:tr w:rsidR="005A5FCC" w14:paraId="66CA8E32" w14:textId="77777777">
        <w:trPr>
          <w:tblHeader/>
          <w:jc w:val="center"/>
        </w:trPr>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02041AD1" w14:textId="77777777" w:rsidR="005A5FCC" w:rsidRDefault="00A21C81">
            <w:pPr>
              <w:spacing w:before="40" w:after="40" w:line="240" w:lineRule="auto"/>
              <w:jc w:val="center"/>
            </w:pPr>
            <w:r>
              <w:rPr>
                <w:rFonts w:cs="EB Garamond"/>
                <w:b/>
                <w:color w:val="2F2923"/>
                <w:kern w:val="16"/>
                <w:sz w:val="18"/>
                <w14:ligatures w14:val="standardContextual"/>
              </w:rPr>
              <w:t>Ano</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72856E2F" w14:textId="77777777" w:rsidR="005A5FCC" w:rsidRDefault="00A21C81">
            <w:pPr>
              <w:spacing w:before="40" w:after="40" w:line="240" w:lineRule="auto"/>
              <w:jc w:val="center"/>
            </w:pPr>
            <w:r>
              <w:rPr>
                <w:rFonts w:cs="EB Garamond"/>
                <w:b/>
                <w:color w:val="2F2923"/>
                <w:kern w:val="16"/>
                <w:sz w:val="18"/>
                <w14:ligatures w14:val="standardContextual"/>
              </w:rPr>
              <w:t>Idade mínima, Mulher</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03E0EC01" w14:textId="77777777" w:rsidR="005A5FCC" w:rsidRDefault="00A21C81">
            <w:pPr>
              <w:spacing w:before="40" w:after="40" w:line="240" w:lineRule="auto"/>
              <w:jc w:val="center"/>
            </w:pPr>
            <w:r>
              <w:rPr>
                <w:rFonts w:cs="EB Garamond"/>
                <w:b/>
                <w:color w:val="2F2923"/>
                <w:kern w:val="16"/>
                <w:sz w:val="18"/>
                <w14:ligatures w14:val="standardContextual"/>
              </w:rPr>
              <w:t>Idade mínima, Homem</w:t>
            </w:r>
          </w:p>
        </w:tc>
      </w:tr>
      <w:tr w:rsidR="005A5FCC" w14:paraId="384C5497"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03BDF7F9" w14:textId="77777777" w:rsidR="005A5FCC" w:rsidRDefault="00A21C81">
            <w:pPr>
              <w:spacing w:before="20" w:after="20" w:line="240" w:lineRule="auto"/>
              <w:jc w:val="left"/>
            </w:pPr>
            <w:r>
              <w:rPr>
                <w:rFonts w:cs="EB Garamond"/>
                <w:kern w:val="16"/>
                <w:sz w:val="18"/>
                <w14:ligatures w14:val="standardContextual"/>
              </w:rPr>
              <w:t>2019</w:t>
            </w:r>
          </w:p>
        </w:tc>
        <w:tc>
          <w:tcPr>
            <w:tcW w:w="2117" w:type="dxa"/>
            <w:tcBorders>
              <w:top w:val="single" w:sz="4" w:space="0" w:color="D2C9B8"/>
              <w:left w:val="single" w:sz="4" w:space="0" w:color="D2C9B8"/>
              <w:bottom w:val="single" w:sz="4" w:space="0" w:color="D2C9B8"/>
              <w:right w:val="single" w:sz="4" w:space="0" w:color="D2C9B8"/>
            </w:tcBorders>
          </w:tcPr>
          <w:p w14:paraId="29DEBCD6" w14:textId="77777777" w:rsidR="005A5FCC" w:rsidRDefault="00A21C81">
            <w:pPr>
              <w:spacing w:before="20" w:after="20" w:line="240" w:lineRule="auto"/>
              <w:jc w:val="left"/>
            </w:pPr>
            <w:r>
              <w:rPr>
                <w:rFonts w:cs="EB Garamond"/>
                <w:kern w:val="16"/>
                <w:sz w:val="18"/>
                <w14:ligatures w14:val="standardContextual"/>
              </w:rPr>
              <w:t>60 anos</w:t>
            </w:r>
          </w:p>
        </w:tc>
        <w:tc>
          <w:tcPr>
            <w:tcW w:w="2117" w:type="dxa"/>
            <w:tcBorders>
              <w:top w:val="single" w:sz="4" w:space="0" w:color="D2C9B8"/>
              <w:left w:val="single" w:sz="4" w:space="0" w:color="D2C9B8"/>
              <w:bottom w:val="single" w:sz="4" w:space="0" w:color="D2C9B8"/>
              <w:right w:val="single" w:sz="4" w:space="0" w:color="D2C9B8"/>
            </w:tcBorders>
          </w:tcPr>
          <w:p w14:paraId="60FF2C1E" w14:textId="77777777" w:rsidR="005A5FCC" w:rsidRDefault="00A21C81">
            <w:pPr>
              <w:spacing w:before="20" w:after="20" w:line="240" w:lineRule="auto"/>
              <w:jc w:val="left"/>
            </w:pPr>
            <w:r>
              <w:rPr>
                <w:rFonts w:cs="EB Garamond"/>
                <w:kern w:val="16"/>
                <w:sz w:val="18"/>
                <w14:ligatures w14:val="standardContextual"/>
              </w:rPr>
              <w:t>65 anos</w:t>
            </w:r>
          </w:p>
        </w:tc>
      </w:tr>
      <w:tr w:rsidR="005A5FCC" w14:paraId="6D9BD968"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6355E897" w14:textId="77777777" w:rsidR="005A5FCC" w:rsidRDefault="00A21C81">
            <w:pPr>
              <w:spacing w:before="20" w:after="20" w:line="240" w:lineRule="auto"/>
              <w:jc w:val="left"/>
            </w:pPr>
            <w:r>
              <w:rPr>
                <w:rFonts w:cs="EB Garamond"/>
                <w:kern w:val="16"/>
                <w:sz w:val="18"/>
                <w14:ligatures w14:val="standardContextual"/>
              </w:rPr>
              <w:t>2020</w:t>
            </w:r>
          </w:p>
        </w:tc>
        <w:tc>
          <w:tcPr>
            <w:tcW w:w="2117" w:type="dxa"/>
            <w:tcBorders>
              <w:top w:val="single" w:sz="4" w:space="0" w:color="D2C9B8"/>
              <w:left w:val="single" w:sz="4" w:space="0" w:color="D2C9B8"/>
              <w:bottom w:val="single" w:sz="4" w:space="0" w:color="D2C9B8"/>
              <w:right w:val="single" w:sz="4" w:space="0" w:color="D2C9B8"/>
            </w:tcBorders>
          </w:tcPr>
          <w:p w14:paraId="71C8CA7C" w14:textId="77777777" w:rsidR="005A5FCC" w:rsidRDefault="00A21C81">
            <w:pPr>
              <w:spacing w:before="20" w:after="20" w:line="240" w:lineRule="auto"/>
              <w:jc w:val="left"/>
            </w:pPr>
            <w:r>
              <w:rPr>
                <w:rFonts w:cs="EB Garamond"/>
                <w:kern w:val="16"/>
                <w:sz w:val="18"/>
                <w14:ligatures w14:val="standardContextual"/>
              </w:rPr>
              <w:t>60 anos e 6 meses</w:t>
            </w:r>
          </w:p>
        </w:tc>
        <w:tc>
          <w:tcPr>
            <w:tcW w:w="2117" w:type="dxa"/>
            <w:tcBorders>
              <w:top w:val="single" w:sz="4" w:space="0" w:color="D2C9B8"/>
              <w:left w:val="single" w:sz="4" w:space="0" w:color="D2C9B8"/>
              <w:bottom w:val="single" w:sz="4" w:space="0" w:color="D2C9B8"/>
              <w:right w:val="single" w:sz="4" w:space="0" w:color="D2C9B8"/>
            </w:tcBorders>
          </w:tcPr>
          <w:p w14:paraId="3F0CEAE3" w14:textId="77777777" w:rsidR="005A5FCC" w:rsidRDefault="00A21C81">
            <w:pPr>
              <w:spacing w:before="20" w:after="20" w:line="240" w:lineRule="auto"/>
              <w:jc w:val="left"/>
            </w:pPr>
            <w:r>
              <w:rPr>
                <w:rFonts w:cs="EB Garamond"/>
                <w:kern w:val="16"/>
                <w:sz w:val="18"/>
                <w14:ligatures w14:val="standardContextual"/>
              </w:rPr>
              <w:t>65 anos</w:t>
            </w:r>
          </w:p>
        </w:tc>
      </w:tr>
      <w:tr w:rsidR="005A5FCC" w14:paraId="4F553E36"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0EF06DE9" w14:textId="77777777" w:rsidR="005A5FCC" w:rsidRDefault="00A21C81">
            <w:pPr>
              <w:spacing w:before="20" w:after="20" w:line="240" w:lineRule="auto"/>
              <w:jc w:val="left"/>
            </w:pPr>
            <w:r>
              <w:rPr>
                <w:rFonts w:cs="EB Garamond"/>
                <w:kern w:val="16"/>
                <w:sz w:val="18"/>
                <w14:ligatures w14:val="standardContextual"/>
              </w:rPr>
              <w:t>2021</w:t>
            </w:r>
          </w:p>
        </w:tc>
        <w:tc>
          <w:tcPr>
            <w:tcW w:w="2117" w:type="dxa"/>
            <w:tcBorders>
              <w:top w:val="single" w:sz="4" w:space="0" w:color="D2C9B8"/>
              <w:left w:val="single" w:sz="4" w:space="0" w:color="D2C9B8"/>
              <w:bottom w:val="single" w:sz="4" w:space="0" w:color="D2C9B8"/>
              <w:right w:val="single" w:sz="4" w:space="0" w:color="D2C9B8"/>
            </w:tcBorders>
          </w:tcPr>
          <w:p w14:paraId="38B53253" w14:textId="77777777" w:rsidR="005A5FCC" w:rsidRDefault="00A21C81">
            <w:pPr>
              <w:spacing w:before="20" w:after="20" w:line="240" w:lineRule="auto"/>
              <w:jc w:val="left"/>
            </w:pPr>
            <w:r>
              <w:rPr>
                <w:rFonts w:cs="EB Garamond"/>
                <w:kern w:val="16"/>
                <w:sz w:val="18"/>
                <w14:ligatures w14:val="standardContextual"/>
              </w:rPr>
              <w:t>61 anos</w:t>
            </w:r>
          </w:p>
        </w:tc>
        <w:tc>
          <w:tcPr>
            <w:tcW w:w="2117" w:type="dxa"/>
            <w:tcBorders>
              <w:top w:val="single" w:sz="4" w:space="0" w:color="D2C9B8"/>
              <w:left w:val="single" w:sz="4" w:space="0" w:color="D2C9B8"/>
              <w:bottom w:val="single" w:sz="4" w:space="0" w:color="D2C9B8"/>
              <w:right w:val="single" w:sz="4" w:space="0" w:color="D2C9B8"/>
            </w:tcBorders>
          </w:tcPr>
          <w:p w14:paraId="1A587A37" w14:textId="77777777" w:rsidR="005A5FCC" w:rsidRDefault="00A21C81">
            <w:pPr>
              <w:spacing w:before="20" w:after="20" w:line="240" w:lineRule="auto"/>
              <w:jc w:val="left"/>
            </w:pPr>
            <w:r>
              <w:rPr>
                <w:rFonts w:cs="EB Garamond"/>
                <w:kern w:val="16"/>
                <w:sz w:val="18"/>
                <w14:ligatures w14:val="standardContextual"/>
              </w:rPr>
              <w:t>65 anos</w:t>
            </w:r>
          </w:p>
        </w:tc>
      </w:tr>
      <w:tr w:rsidR="005A5FCC" w14:paraId="04399064"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14407A3B" w14:textId="77777777" w:rsidR="005A5FCC" w:rsidRDefault="00A21C81">
            <w:pPr>
              <w:spacing w:before="20" w:after="20" w:line="240" w:lineRule="auto"/>
              <w:jc w:val="left"/>
            </w:pPr>
            <w:r>
              <w:rPr>
                <w:rFonts w:cs="EB Garamond"/>
                <w:kern w:val="16"/>
                <w:sz w:val="18"/>
                <w14:ligatures w14:val="standardContextual"/>
              </w:rPr>
              <w:t>2022</w:t>
            </w:r>
          </w:p>
        </w:tc>
        <w:tc>
          <w:tcPr>
            <w:tcW w:w="2117" w:type="dxa"/>
            <w:tcBorders>
              <w:top w:val="single" w:sz="4" w:space="0" w:color="D2C9B8"/>
              <w:left w:val="single" w:sz="4" w:space="0" w:color="D2C9B8"/>
              <w:bottom w:val="single" w:sz="4" w:space="0" w:color="D2C9B8"/>
              <w:right w:val="single" w:sz="4" w:space="0" w:color="D2C9B8"/>
            </w:tcBorders>
          </w:tcPr>
          <w:p w14:paraId="089DF065" w14:textId="77777777" w:rsidR="005A5FCC" w:rsidRDefault="00A21C81">
            <w:pPr>
              <w:spacing w:before="20" w:after="20" w:line="240" w:lineRule="auto"/>
              <w:jc w:val="left"/>
            </w:pPr>
            <w:r>
              <w:rPr>
                <w:rFonts w:cs="EB Garamond"/>
                <w:kern w:val="16"/>
                <w:sz w:val="18"/>
                <w14:ligatures w14:val="standardContextual"/>
              </w:rPr>
              <w:t>61 anos e 6 meses</w:t>
            </w:r>
          </w:p>
        </w:tc>
        <w:tc>
          <w:tcPr>
            <w:tcW w:w="2117" w:type="dxa"/>
            <w:tcBorders>
              <w:top w:val="single" w:sz="4" w:space="0" w:color="D2C9B8"/>
              <w:left w:val="single" w:sz="4" w:space="0" w:color="D2C9B8"/>
              <w:bottom w:val="single" w:sz="4" w:space="0" w:color="D2C9B8"/>
              <w:right w:val="single" w:sz="4" w:space="0" w:color="D2C9B8"/>
            </w:tcBorders>
          </w:tcPr>
          <w:p w14:paraId="2E1C06B1" w14:textId="77777777" w:rsidR="005A5FCC" w:rsidRDefault="00A21C81">
            <w:pPr>
              <w:spacing w:before="20" w:after="20" w:line="240" w:lineRule="auto"/>
              <w:jc w:val="left"/>
            </w:pPr>
            <w:r>
              <w:rPr>
                <w:rFonts w:cs="EB Garamond"/>
                <w:kern w:val="16"/>
                <w:sz w:val="18"/>
                <w14:ligatures w14:val="standardContextual"/>
              </w:rPr>
              <w:t>65 anos</w:t>
            </w:r>
          </w:p>
        </w:tc>
      </w:tr>
      <w:tr w:rsidR="005A5FCC" w14:paraId="38DB1329"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2F6508DF" w14:textId="77777777" w:rsidR="005A5FCC" w:rsidRDefault="00A21C81">
            <w:pPr>
              <w:spacing w:before="20" w:after="20" w:line="240" w:lineRule="auto"/>
              <w:jc w:val="left"/>
            </w:pPr>
            <w:r>
              <w:rPr>
                <w:rFonts w:cs="EB Garamond"/>
                <w:kern w:val="16"/>
                <w:sz w:val="18"/>
                <w14:ligatures w14:val="standardContextual"/>
              </w:rPr>
              <w:t>2023 em diante</w:t>
            </w:r>
          </w:p>
        </w:tc>
        <w:tc>
          <w:tcPr>
            <w:tcW w:w="2117" w:type="dxa"/>
            <w:tcBorders>
              <w:top w:val="single" w:sz="4" w:space="0" w:color="D2C9B8"/>
              <w:left w:val="single" w:sz="4" w:space="0" w:color="D2C9B8"/>
              <w:bottom w:val="single" w:sz="4" w:space="0" w:color="D2C9B8"/>
              <w:right w:val="single" w:sz="4" w:space="0" w:color="D2C9B8"/>
            </w:tcBorders>
          </w:tcPr>
          <w:p w14:paraId="521223DC" w14:textId="77777777" w:rsidR="005A5FCC" w:rsidRDefault="00A21C81">
            <w:pPr>
              <w:spacing w:before="20" w:after="20" w:line="240" w:lineRule="auto"/>
              <w:jc w:val="left"/>
            </w:pPr>
            <w:r>
              <w:rPr>
                <w:rFonts w:cs="EB Garamond"/>
                <w:kern w:val="16"/>
                <w:sz w:val="18"/>
                <w14:ligatures w14:val="standardContextual"/>
              </w:rPr>
              <w:t>62 anos</w:t>
            </w:r>
          </w:p>
        </w:tc>
        <w:tc>
          <w:tcPr>
            <w:tcW w:w="2117" w:type="dxa"/>
            <w:tcBorders>
              <w:top w:val="single" w:sz="4" w:space="0" w:color="D2C9B8"/>
              <w:left w:val="single" w:sz="4" w:space="0" w:color="D2C9B8"/>
              <w:bottom w:val="single" w:sz="4" w:space="0" w:color="D2C9B8"/>
              <w:right w:val="single" w:sz="4" w:space="0" w:color="D2C9B8"/>
            </w:tcBorders>
          </w:tcPr>
          <w:p w14:paraId="1CF68864" w14:textId="77777777" w:rsidR="005A5FCC" w:rsidRDefault="00A21C81">
            <w:pPr>
              <w:spacing w:before="20" w:after="20" w:line="240" w:lineRule="auto"/>
              <w:jc w:val="left"/>
            </w:pPr>
            <w:r>
              <w:rPr>
                <w:rFonts w:cs="EB Garamond"/>
                <w:kern w:val="16"/>
                <w:sz w:val="18"/>
                <w14:ligatures w14:val="standardContextual"/>
              </w:rPr>
              <w:t>65 anos</w:t>
            </w:r>
          </w:p>
        </w:tc>
      </w:tr>
    </w:tbl>
    <w:p w14:paraId="477AD387" w14:textId="77777777" w:rsidR="005A5FCC" w:rsidRDefault="005A5FCC">
      <w:pPr>
        <w:spacing w:after="80" w:line="240" w:lineRule="auto"/>
      </w:pPr>
    </w:p>
    <w:tbl>
      <w:tblPr>
        <w:tblW w:w="5000" w:type="pct"/>
        <w:jc w:val="center"/>
        <w:tblLayout w:type="fixed"/>
        <w:tblLook w:val="04A0" w:firstRow="1" w:lastRow="0" w:firstColumn="1" w:lastColumn="0" w:noHBand="0" w:noVBand="1"/>
      </w:tblPr>
      <w:tblGrid>
        <w:gridCol w:w="6311"/>
      </w:tblGrid>
      <w:tr w:rsidR="005A5FCC" w14:paraId="738F31C9"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4E11AE65" w14:textId="77777777" w:rsidR="005A5FCC" w:rsidRDefault="00A21C81">
            <w:pPr>
              <w:spacing w:after="60" w:line="240" w:lineRule="auto"/>
              <w:jc w:val="left"/>
            </w:pPr>
            <w:r>
              <w:rPr>
                <w:rFonts w:ascii="Noto Sans" w:hAnsi="Noto Sans" w:cs="Noto Sans"/>
                <w:b/>
                <w:caps/>
                <w:color w:val="B78B37"/>
                <w:kern w:val="16"/>
                <w:sz w:val="16"/>
                <w14:ligatures w14:val="standardContextual"/>
              </w:rPr>
              <w:lastRenderedPageBreak/>
              <w:t>ATENÇÃO</w:t>
            </w:r>
          </w:p>
          <w:p w14:paraId="175C360E" w14:textId="77777777" w:rsidR="005A5FCC" w:rsidRDefault="00A21C81">
            <w:pPr>
              <w:spacing w:after="60" w:line="247" w:lineRule="auto"/>
            </w:pPr>
            <w:r>
              <w:rPr>
                <w:rFonts w:cs="EB Garamond"/>
                <w:b/>
                <w:kern w:val="16"/>
                <w:sz w:val="19"/>
                <w14:ligatures w14:val="standardContextual"/>
              </w:rPr>
              <w:t>Regra de transição do art. 18 vs. Regra permanente, diferença prática</w:t>
            </w:r>
          </w:p>
          <w:p w14:paraId="47927700" w14:textId="77777777" w:rsidR="005A5FCC" w:rsidRDefault="00A21C81">
            <w:pPr>
              <w:spacing w:after="60" w:line="247" w:lineRule="auto"/>
            </w:pPr>
            <w:r>
              <w:rPr>
                <w:rFonts w:cs="EB Garamond"/>
                <w:kern w:val="16"/>
                <w:sz w:val="19"/>
                <w14:ligatures w14:val="standardContextual"/>
              </w:rPr>
              <w:t xml:space="preserve">Para </w:t>
            </w:r>
            <w:r>
              <w:rPr>
                <w:rFonts w:cs="EB Garamond"/>
                <w:b/>
                <w:kern w:val="16"/>
                <w:sz w:val="19"/>
                <w14:ligatures w14:val="standardContextual"/>
              </w:rPr>
              <w:t>mulheres</w:t>
            </w:r>
            <w:r>
              <w:rPr>
                <w:rFonts w:cs="EB Garamond"/>
                <w:kern w:val="16"/>
                <w:sz w:val="19"/>
                <w14:ligatures w14:val="standardContextual"/>
              </w:rPr>
              <w:t>, a regra de transição do art. 18 já se equiparou à regra permanente em termos de idade (62 anos) e tempo de contribuição (15 anos). A diferença reside apenas no cálculo do benefício (ver seção 10.4.3).</w:t>
            </w:r>
          </w:p>
          <w:p w14:paraId="58EC1284" w14:textId="77777777" w:rsidR="005A5FCC" w:rsidRDefault="00A21C81">
            <w:pPr>
              <w:spacing w:after="60" w:line="247" w:lineRule="auto"/>
            </w:pPr>
            <w:r>
              <w:rPr>
                <w:rFonts w:cs="EB Garamond"/>
                <w:kern w:val="16"/>
                <w:sz w:val="19"/>
                <w14:ligatures w14:val="standardContextual"/>
              </w:rPr>
              <w:t xml:space="preserve">Para </w:t>
            </w:r>
            <w:r>
              <w:rPr>
                <w:rFonts w:cs="EB Garamond"/>
                <w:b/>
                <w:kern w:val="16"/>
                <w:sz w:val="19"/>
                <w14:ligatures w14:val="standardContextual"/>
              </w:rPr>
              <w:t>homens filiados antes de 13/11/2019</w:t>
            </w:r>
            <w:r>
              <w:rPr>
                <w:rFonts w:cs="EB Garamond"/>
                <w:kern w:val="16"/>
                <w:sz w:val="19"/>
                <w14:ligatures w14:val="standardContextual"/>
              </w:rPr>
              <w:t>, a regra de transição do art. 18 é mais vantajosa do que a regra permanente, porque exige apenas 15 anos de contribuição (contra 20 anos da regra permanente). Essa diferença subsistirá indefinidamente para segurados pré-reforma.</w:t>
            </w:r>
          </w:p>
        </w:tc>
      </w:tr>
    </w:tbl>
    <w:p w14:paraId="5775D212" w14:textId="77777777" w:rsidR="005A5FCC" w:rsidRDefault="005A5FCC">
      <w:pPr>
        <w:spacing w:after="80" w:line="240" w:lineRule="auto"/>
      </w:pPr>
    </w:p>
    <w:p w14:paraId="5E08E5A9" w14:textId="77777777" w:rsidR="005A5FCC" w:rsidRDefault="00A21C81">
      <w:pPr>
        <w:spacing w:before="260" w:after="80" w:line="240" w:lineRule="auto"/>
        <w:jc w:val="left"/>
      </w:pPr>
      <w:r>
        <w:rPr>
          <w:rFonts w:cs="EB Garamond"/>
          <w:b/>
          <w:color w:val="3A3128"/>
          <w:kern w:val="16"/>
          <w:sz w:val="25"/>
          <w14:ligatures w14:val="standardContextual"/>
        </w:rPr>
        <w:t>10.4.3 Cálculo na regra de transição do art. 18</w:t>
      </w:r>
    </w:p>
    <w:p w14:paraId="165F7E88"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6885DDBA" w14:textId="77777777" w:rsidR="005A5FCC" w:rsidRDefault="00A21C81">
      <w:r>
        <w:rPr>
          <w:rFonts w:cs="EB Garamond"/>
          <w:kern w:val="16"/>
          <w14:ligatures w14:val="standardContextual"/>
        </w:rPr>
        <w:t xml:space="preserve"> cálculo do benefício na regra de transição do art. 18 segue a mesma fórmula do art. 26 da EC 103/2019:</w:t>
      </w:r>
    </w:p>
    <w:p w14:paraId="72981CDB"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Média de 100% dos salários de contribuição desde julho/1994;</w:t>
      </w:r>
    </w:p>
    <w:p w14:paraId="5097FA2A"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Coeficiente de 60% + 2% por ano excedente a 20 anos (homem) ou 15 anos (mulher).</w:t>
      </w:r>
    </w:p>
    <w:p w14:paraId="7164F9CB" w14:textId="77777777" w:rsidR="005A5FCC" w:rsidRDefault="005A5FCC">
      <w:pPr>
        <w:spacing w:after="60" w:line="240" w:lineRule="auto"/>
      </w:pPr>
    </w:p>
    <w:p w14:paraId="49CFC719"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4315E8B7" w14:textId="77777777" w:rsidR="005A5FCC" w:rsidRDefault="00A21C81">
      <w:r>
        <w:rPr>
          <w:rFonts w:cs="EB Garamond"/>
          <w:kern w:val="16"/>
          <w14:ligatures w14:val="standardContextual"/>
        </w:rPr>
        <w:t>ssim, na prática, um homem que se aposente aos 65 anos com exatamente 15 anos de contribuição terá coeficiente de 60% (sem excedente, pois 15 &lt; 20). Uma mulher com 15 anos de contribuição também terá coeficiente de 60% (sem excedente, pois 15 = 15, mas não excede).</w:t>
      </w:r>
    </w:p>
    <w:tbl>
      <w:tblPr>
        <w:tblW w:w="5000" w:type="pct"/>
        <w:jc w:val="center"/>
        <w:tblLayout w:type="fixed"/>
        <w:tblLook w:val="04A0" w:firstRow="1" w:lastRow="0" w:firstColumn="1" w:lastColumn="0" w:noHBand="0" w:noVBand="1"/>
      </w:tblPr>
      <w:tblGrid>
        <w:gridCol w:w="6311"/>
      </w:tblGrid>
      <w:tr w:rsidR="005A5FCC" w14:paraId="70F948DE"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3A8D9E21"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65F8362C" w14:textId="77777777" w:rsidR="005A5FCC" w:rsidRDefault="00A21C81">
            <w:pPr>
              <w:spacing w:after="60" w:line="247" w:lineRule="auto"/>
            </w:pPr>
            <w:r>
              <w:rPr>
                <w:rFonts w:cs="EB Garamond"/>
                <w:b/>
                <w:kern w:val="16"/>
                <w:sz w:val="19"/>
                <w14:ligatures w14:val="standardContextual"/>
              </w:rPr>
              <w:t>Exemplo — Regra de transição art. 18 (homem com 15 anos TC)</w:t>
            </w:r>
          </w:p>
          <w:p w14:paraId="7E431C2F" w14:textId="77777777" w:rsidR="005A5FCC" w:rsidRDefault="00A21C81">
            <w:pPr>
              <w:spacing w:after="60" w:line="247" w:lineRule="auto"/>
            </w:pPr>
            <w:r>
              <w:rPr>
                <w:rFonts w:cs="EB Garamond"/>
                <w:b/>
                <w:kern w:val="16"/>
                <w:sz w:val="19"/>
                <w14:ligatures w14:val="standardContextual"/>
              </w:rPr>
              <w:t>José</w:t>
            </w:r>
            <w:r>
              <w:rPr>
                <w:rFonts w:cs="EB Garamond"/>
                <w:kern w:val="16"/>
                <w:sz w:val="19"/>
                <w14:ligatures w14:val="standardContextual"/>
              </w:rPr>
              <w:t>, 65 anos em 2026, filiado ao RGPS em 2005, com exatamente 15 anos de contribuição (alguns períodos intermitentes). Média aritmética de todos os salários de contribuição: R$ 2.200,00.</w:t>
            </w:r>
          </w:p>
          <w:p w14:paraId="6F9D2DFC" w14:textId="77777777" w:rsidR="005A5FCC" w:rsidRDefault="00A21C81">
            <w:pPr>
              <w:spacing w:after="30" w:line="240" w:lineRule="auto"/>
              <w:ind w:left="227" w:hanging="142"/>
            </w:pPr>
            <w:r>
              <w:rPr>
                <w:rFonts w:cs="EB Garamond"/>
                <w:kern w:val="16"/>
                <w:sz w:val="19"/>
                <w14:ligatures w14:val="standardContextual"/>
              </w:rPr>
              <w:t xml:space="preserve">• Coeficiente: 60% + 2% × (15 - 20) = 60% + 0% = </w:t>
            </w:r>
            <w:r>
              <w:rPr>
                <w:rFonts w:cs="EB Garamond"/>
                <w:b/>
                <w:kern w:val="16"/>
                <w:sz w:val="19"/>
                <w14:ligatures w14:val="standardContextual"/>
              </w:rPr>
              <w:t>60%</w:t>
            </w:r>
            <w:r>
              <w:rPr>
                <w:rFonts w:cs="EB Garamond"/>
                <w:kern w:val="16"/>
                <w:sz w:val="19"/>
                <w14:ligatures w14:val="standardContextual"/>
              </w:rPr>
              <w:t xml:space="preserve"> (não se subtrai, o excedente é zero quando o TC é inferior ao piso)</w:t>
            </w:r>
          </w:p>
          <w:p w14:paraId="7BFA0093" w14:textId="77777777" w:rsidR="005A5FCC" w:rsidRDefault="00A21C81">
            <w:pPr>
              <w:spacing w:after="30" w:line="240" w:lineRule="auto"/>
              <w:ind w:left="227" w:hanging="142"/>
            </w:pPr>
            <w:r>
              <w:rPr>
                <w:rFonts w:cs="EB Garamond"/>
                <w:kern w:val="16"/>
                <w:sz w:val="19"/>
                <w14:ligatures w14:val="standardContextual"/>
              </w:rPr>
              <w:t>• RMI: R$ 2.200,00 × 60% = R$ 1.320,00</w:t>
            </w:r>
          </w:p>
          <w:p w14:paraId="40F4F420" w14:textId="001423D8" w:rsidR="005A5FCC" w:rsidRDefault="00A21C81">
            <w:pPr>
              <w:spacing w:after="30" w:line="240" w:lineRule="auto"/>
              <w:ind w:left="227" w:hanging="142"/>
            </w:pPr>
            <w:r>
              <w:rPr>
                <w:rFonts w:cs="EB Garamond"/>
                <w:kern w:val="16"/>
                <w:sz w:val="19"/>
                <w14:ligatures w14:val="standardContextual"/>
              </w:rPr>
              <w:t xml:space="preserve">• </w:t>
            </w:r>
            <w:r>
              <w:rPr>
                <w:rFonts w:cs="EB Garamond"/>
                <w:b/>
                <w:kern w:val="16"/>
                <w:sz w:val="19"/>
                <w14:ligatures w14:val="standardContextual"/>
              </w:rPr>
              <w:t xml:space="preserve">Como R$ 1.320,00 &lt; </w:t>
            </w:r>
            <w:r w:rsidR="00AA2644">
              <w:rPr>
                <w:rFonts w:cs="EB Garamond"/>
                <w:b/>
                <w:kern w:val="16"/>
                <w:sz w:val="19"/>
                <w14:ligatures w14:val="standardContextual"/>
              </w:rPr>
              <w:t>salário-mínimo</w:t>
            </w:r>
            <w:r>
              <w:rPr>
                <w:rFonts w:cs="EB Garamond"/>
                <w:b/>
                <w:kern w:val="16"/>
                <w:sz w:val="19"/>
                <w14:ligatures w14:val="standardContextual"/>
              </w:rPr>
              <w:t xml:space="preserve"> (R$ 1.621,00), a RMI será elevada para R$ 1.621,00</w:t>
            </w:r>
          </w:p>
          <w:p w14:paraId="104638AF" w14:textId="3671D571" w:rsidR="005A5FCC" w:rsidRDefault="00A21C81">
            <w:pPr>
              <w:spacing w:after="60" w:line="247" w:lineRule="auto"/>
            </w:pPr>
            <w:r>
              <w:rPr>
                <w:rFonts w:cs="EB Garamond"/>
                <w:kern w:val="16"/>
                <w:sz w:val="19"/>
                <w14:ligatures w14:val="standardContextual"/>
              </w:rPr>
              <w:t xml:space="preserve">Essa é a realidade mais comum nos JEFs: segurados com histórico contributivo modesto recebem aposentadoria no valor do </w:t>
            </w:r>
            <w:r w:rsidR="00AA2644">
              <w:rPr>
                <w:rFonts w:cs="EB Garamond"/>
                <w:kern w:val="16"/>
                <w:sz w:val="19"/>
                <w14:ligatures w14:val="standardContextual"/>
              </w:rPr>
              <w:t>salário-mínimo</w:t>
            </w:r>
            <w:r>
              <w:rPr>
                <w:rFonts w:cs="EB Garamond"/>
                <w:kern w:val="16"/>
                <w:sz w:val="19"/>
                <w14:ligatures w14:val="standardContextual"/>
              </w:rPr>
              <w:t>.</w:t>
            </w:r>
          </w:p>
        </w:tc>
      </w:tr>
    </w:tbl>
    <w:p w14:paraId="266D6ECD" w14:textId="77777777" w:rsidR="005A5FCC" w:rsidRDefault="005A5FCC">
      <w:pPr>
        <w:spacing w:after="80" w:line="240" w:lineRule="auto"/>
      </w:pPr>
    </w:p>
    <w:tbl>
      <w:tblPr>
        <w:tblW w:w="5000" w:type="pct"/>
        <w:jc w:val="center"/>
        <w:tblLayout w:type="fixed"/>
        <w:tblLook w:val="04A0" w:firstRow="1" w:lastRow="0" w:firstColumn="1" w:lastColumn="0" w:noHBand="0" w:noVBand="1"/>
      </w:tblPr>
      <w:tblGrid>
        <w:gridCol w:w="6311"/>
      </w:tblGrid>
      <w:tr w:rsidR="005A5FCC" w14:paraId="3A7A01A6"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4F407594"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76EB9710" w14:textId="77777777" w:rsidR="005A5FCC" w:rsidRDefault="00A21C81">
            <w:pPr>
              <w:spacing w:after="60" w:line="247" w:lineRule="auto"/>
            </w:pPr>
            <w:r>
              <w:rPr>
                <w:rFonts w:cs="EB Garamond"/>
                <w:b/>
                <w:kern w:val="16"/>
                <w:sz w:val="19"/>
                <w14:ligatures w14:val="standardContextual"/>
              </w:rPr>
              <w:t>Exemplo — Regra de transição art. 18 (mulher com 25 anos TC)</w:t>
            </w:r>
          </w:p>
          <w:p w14:paraId="470F3B05" w14:textId="77777777" w:rsidR="005A5FCC" w:rsidRDefault="00A21C81">
            <w:pPr>
              <w:spacing w:after="60" w:line="247" w:lineRule="auto"/>
            </w:pPr>
            <w:r>
              <w:rPr>
                <w:rFonts w:cs="EB Garamond"/>
                <w:b/>
                <w:kern w:val="16"/>
                <w:sz w:val="19"/>
                <w14:ligatures w14:val="standardContextual"/>
              </w:rPr>
              <w:t>Ana</w:t>
            </w:r>
            <w:r>
              <w:rPr>
                <w:rFonts w:cs="EB Garamond"/>
                <w:kern w:val="16"/>
                <w:sz w:val="19"/>
                <w14:ligatures w14:val="standardContextual"/>
              </w:rPr>
              <w:t>, 62 anos em 2026, filiada ao RGPS em 1995, com 25 anos de contribuição. Média: R$ 3.800,00.</w:t>
            </w:r>
          </w:p>
          <w:p w14:paraId="2E58128C" w14:textId="77777777" w:rsidR="005A5FCC" w:rsidRDefault="00A21C81">
            <w:pPr>
              <w:spacing w:after="30" w:line="240" w:lineRule="auto"/>
              <w:ind w:left="227" w:hanging="142"/>
            </w:pPr>
            <w:r>
              <w:rPr>
                <w:rFonts w:cs="EB Garamond"/>
                <w:kern w:val="16"/>
                <w:sz w:val="19"/>
                <w14:ligatures w14:val="standardContextual"/>
              </w:rPr>
              <w:t xml:space="preserve">• Coeficiente: 60% + 2% × (25 - 15) = 60% + 20% = </w:t>
            </w:r>
            <w:r>
              <w:rPr>
                <w:rFonts w:cs="EB Garamond"/>
                <w:b/>
                <w:kern w:val="16"/>
                <w:sz w:val="19"/>
                <w14:ligatures w14:val="standardContextual"/>
              </w:rPr>
              <w:t>80%</w:t>
            </w:r>
          </w:p>
          <w:p w14:paraId="03CC55A3" w14:textId="77777777" w:rsidR="005A5FCC" w:rsidRDefault="00A21C81">
            <w:pPr>
              <w:spacing w:after="30" w:line="240" w:lineRule="auto"/>
              <w:ind w:left="227" w:hanging="142"/>
            </w:pPr>
            <w:r>
              <w:rPr>
                <w:rFonts w:cs="EB Garamond"/>
                <w:kern w:val="16"/>
                <w:sz w:val="19"/>
                <w14:ligatures w14:val="standardContextual"/>
              </w:rPr>
              <w:t xml:space="preserve">• RMI: R$ 3.800,00 × 80% = </w:t>
            </w:r>
            <w:r>
              <w:rPr>
                <w:rFonts w:cs="EB Garamond"/>
                <w:b/>
                <w:kern w:val="16"/>
                <w:sz w:val="19"/>
                <w14:ligatures w14:val="standardContextual"/>
              </w:rPr>
              <w:t>R$ 3.040,00</w:t>
            </w:r>
          </w:p>
          <w:p w14:paraId="50FDFA59" w14:textId="77777777" w:rsidR="005A5FCC" w:rsidRDefault="00A21C81">
            <w:pPr>
              <w:spacing w:after="60" w:line="247" w:lineRule="auto"/>
            </w:pPr>
            <w:r>
              <w:rPr>
                <w:rFonts w:cs="EB Garamond"/>
                <w:kern w:val="16"/>
                <w:sz w:val="19"/>
                <w14:ligatures w14:val="standardContextual"/>
              </w:rPr>
              <w:t>Ana receberia um benefício significativamente superior ao mínimo. Se tivesse 30 anos de TC, o coeficiente seria 90%; com 35 anos, 100%.</w:t>
            </w:r>
          </w:p>
        </w:tc>
      </w:tr>
    </w:tbl>
    <w:p w14:paraId="759E048F" w14:textId="77777777" w:rsidR="005A5FCC" w:rsidRDefault="005A5FCC">
      <w:pPr>
        <w:spacing w:after="80" w:line="240" w:lineRule="auto"/>
      </w:pPr>
    </w:p>
    <w:p w14:paraId="4A21D830" w14:textId="77777777" w:rsidR="005A5FCC" w:rsidRDefault="00A21C81">
      <w:pPr>
        <w:spacing w:before="260" w:after="80" w:line="240" w:lineRule="auto"/>
        <w:jc w:val="left"/>
      </w:pPr>
      <w:r>
        <w:rPr>
          <w:rFonts w:cs="EB Garamond"/>
          <w:b/>
          <w:color w:val="3A3128"/>
          <w:kern w:val="16"/>
          <w:sz w:val="25"/>
          <w14:ligatures w14:val="standardContextual"/>
        </w:rPr>
        <w:t>10.4.4 Comparação com as demais regras de transição</w:t>
      </w:r>
    </w:p>
    <w:p w14:paraId="0F6F7531"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41EFA4C7" w14:textId="77777777" w:rsidR="005A5FCC" w:rsidRDefault="00A21C81">
      <w:r>
        <w:rPr>
          <w:rFonts w:cs="EB Garamond"/>
          <w:kern w:val="16"/>
          <w14:ligatures w14:val="standardContextual"/>
        </w:rPr>
        <w:t xml:space="preserve"> segurado filiado antes de 13/11/2019 pode estar sujeito a mais de uma regra de transição simultaneamente. A identificação da regra mais vantajosa é essencial para a orientação do cliente e para a formulação do pedido judicial. O quadro abaixo sintetiza as cinco regras de transição da EC 103/2019 e suas principais características:</w:t>
      </w:r>
    </w:p>
    <w:tbl>
      <w:tblPr>
        <w:tblW w:w="5000" w:type="pct"/>
        <w:jc w:val="center"/>
        <w:tblLook w:val="04A0" w:firstRow="1" w:lastRow="0" w:firstColumn="1" w:lastColumn="0" w:noHBand="0" w:noVBand="1"/>
      </w:tblPr>
      <w:tblGrid>
        <w:gridCol w:w="1585"/>
        <w:gridCol w:w="1585"/>
        <w:gridCol w:w="1585"/>
        <w:gridCol w:w="1585"/>
      </w:tblGrid>
      <w:tr w:rsidR="005A5FCC" w14:paraId="2D066D4B" w14:textId="77777777">
        <w:trPr>
          <w:tblHeader/>
          <w:jc w:val="center"/>
        </w:trPr>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2191472D" w14:textId="77777777" w:rsidR="005A5FCC" w:rsidRDefault="00A21C81">
            <w:pPr>
              <w:spacing w:before="40" w:after="40" w:line="240" w:lineRule="auto"/>
              <w:jc w:val="center"/>
            </w:pPr>
            <w:r>
              <w:rPr>
                <w:rFonts w:cs="EB Garamond"/>
                <w:b/>
                <w:color w:val="2F2923"/>
                <w:kern w:val="16"/>
                <w:sz w:val="18"/>
                <w14:ligatures w14:val="standardContextual"/>
              </w:rPr>
              <w:lastRenderedPageBreak/>
              <w:t>Regra</w:t>
            </w:r>
          </w:p>
        </w:tc>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5D645DDE" w14:textId="77777777" w:rsidR="005A5FCC" w:rsidRDefault="00A21C81">
            <w:pPr>
              <w:spacing w:before="40" w:after="40" w:line="240" w:lineRule="auto"/>
              <w:jc w:val="center"/>
            </w:pPr>
            <w:r>
              <w:rPr>
                <w:rFonts w:cs="EB Garamond"/>
                <w:b/>
                <w:color w:val="2F2923"/>
                <w:kern w:val="16"/>
                <w:sz w:val="18"/>
                <w14:ligatures w14:val="standardContextual"/>
              </w:rPr>
              <w:t>Artigo</w:t>
            </w:r>
          </w:p>
        </w:tc>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6E71E34A" w14:textId="77777777" w:rsidR="005A5FCC" w:rsidRDefault="00A21C81">
            <w:pPr>
              <w:spacing w:before="40" w:after="40" w:line="240" w:lineRule="auto"/>
              <w:jc w:val="center"/>
            </w:pPr>
            <w:r>
              <w:rPr>
                <w:rFonts w:cs="EB Garamond"/>
                <w:b/>
                <w:color w:val="2F2923"/>
                <w:kern w:val="16"/>
                <w:sz w:val="18"/>
                <w14:ligatures w14:val="standardContextual"/>
              </w:rPr>
              <w:t>Requisitos principais (2026)</w:t>
            </w:r>
          </w:p>
        </w:tc>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22297F54" w14:textId="77777777" w:rsidR="005A5FCC" w:rsidRDefault="00A21C81">
            <w:pPr>
              <w:spacing w:before="40" w:after="40" w:line="240" w:lineRule="auto"/>
              <w:jc w:val="center"/>
            </w:pPr>
            <w:r>
              <w:rPr>
                <w:rFonts w:cs="EB Garamond"/>
                <w:b/>
                <w:color w:val="2F2923"/>
                <w:kern w:val="16"/>
                <w:sz w:val="18"/>
                <w14:ligatures w14:val="standardContextual"/>
              </w:rPr>
              <w:t>Cálculo</w:t>
            </w:r>
          </w:p>
        </w:tc>
      </w:tr>
      <w:tr w:rsidR="005A5FCC" w14:paraId="78966FC7"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6A9B9D6D" w14:textId="77777777" w:rsidR="005A5FCC" w:rsidRDefault="00A21C81">
            <w:pPr>
              <w:spacing w:before="20" w:after="20" w:line="240" w:lineRule="auto"/>
              <w:jc w:val="left"/>
            </w:pPr>
            <w:r>
              <w:rPr>
                <w:rFonts w:cs="EB Garamond"/>
                <w:kern w:val="16"/>
                <w:sz w:val="18"/>
                <w14:ligatures w14:val="standardContextual"/>
              </w:rPr>
              <w:t>Pontos</w:t>
            </w:r>
          </w:p>
        </w:tc>
        <w:tc>
          <w:tcPr>
            <w:tcW w:w="1587" w:type="dxa"/>
            <w:tcBorders>
              <w:top w:val="single" w:sz="4" w:space="0" w:color="D2C9B8"/>
              <w:left w:val="single" w:sz="4" w:space="0" w:color="D2C9B8"/>
              <w:bottom w:val="single" w:sz="4" w:space="0" w:color="D2C9B8"/>
              <w:right w:val="single" w:sz="4" w:space="0" w:color="D2C9B8"/>
            </w:tcBorders>
          </w:tcPr>
          <w:p w14:paraId="6EF34DDD" w14:textId="77777777" w:rsidR="005A5FCC" w:rsidRDefault="00A21C81">
            <w:pPr>
              <w:spacing w:before="20" w:after="20" w:line="240" w:lineRule="auto"/>
              <w:jc w:val="left"/>
            </w:pPr>
            <w:r>
              <w:rPr>
                <w:rFonts w:cs="EB Garamond"/>
                <w:kern w:val="16"/>
                <w:sz w:val="18"/>
                <w14:ligatures w14:val="standardContextual"/>
              </w:rPr>
              <w:t>Art. 15</w:t>
            </w:r>
          </w:p>
        </w:tc>
        <w:tc>
          <w:tcPr>
            <w:tcW w:w="1587" w:type="dxa"/>
            <w:tcBorders>
              <w:top w:val="single" w:sz="4" w:space="0" w:color="D2C9B8"/>
              <w:left w:val="single" w:sz="4" w:space="0" w:color="D2C9B8"/>
              <w:bottom w:val="single" w:sz="4" w:space="0" w:color="D2C9B8"/>
              <w:right w:val="single" w:sz="4" w:space="0" w:color="D2C9B8"/>
            </w:tcBorders>
          </w:tcPr>
          <w:p w14:paraId="06FF0D60" w14:textId="77777777" w:rsidR="005A5FCC" w:rsidRDefault="00A21C81">
            <w:pPr>
              <w:spacing w:before="20" w:after="20" w:line="240" w:lineRule="auto"/>
              <w:jc w:val="left"/>
            </w:pPr>
            <w:r>
              <w:rPr>
                <w:rFonts w:cs="EB Garamond"/>
                <w:kern w:val="16"/>
                <w:sz w:val="18"/>
                <w14:ligatures w14:val="standardContextual"/>
              </w:rPr>
              <w:t>93 pontos (M) / 103 pontos (H) + 30/35 TC</w:t>
            </w:r>
          </w:p>
        </w:tc>
        <w:tc>
          <w:tcPr>
            <w:tcW w:w="1587" w:type="dxa"/>
            <w:tcBorders>
              <w:top w:val="single" w:sz="4" w:space="0" w:color="D2C9B8"/>
              <w:left w:val="single" w:sz="4" w:space="0" w:color="D2C9B8"/>
              <w:bottom w:val="single" w:sz="4" w:space="0" w:color="D2C9B8"/>
              <w:right w:val="single" w:sz="4" w:space="0" w:color="D2C9B8"/>
            </w:tcBorders>
          </w:tcPr>
          <w:p w14:paraId="01B0D98C" w14:textId="77777777" w:rsidR="005A5FCC" w:rsidRDefault="00A21C81">
            <w:pPr>
              <w:spacing w:before="20" w:after="20" w:line="240" w:lineRule="auto"/>
              <w:jc w:val="left"/>
            </w:pPr>
            <w:r>
              <w:rPr>
                <w:rFonts w:cs="EB Garamond"/>
                <w:kern w:val="16"/>
                <w:sz w:val="18"/>
                <w14:ligatures w14:val="standardContextual"/>
              </w:rPr>
              <w:t>60% + 2%/ano excedente</w:t>
            </w:r>
          </w:p>
        </w:tc>
      </w:tr>
      <w:tr w:rsidR="005A5FCC" w14:paraId="47DCAB4A"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3E4B0DAC" w14:textId="77777777" w:rsidR="005A5FCC" w:rsidRDefault="00A21C81">
            <w:pPr>
              <w:spacing w:before="20" w:after="20" w:line="240" w:lineRule="auto"/>
              <w:jc w:val="left"/>
            </w:pPr>
            <w:r>
              <w:rPr>
                <w:rFonts w:cs="EB Garamond"/>
                <w:kern w:val="16"/>
                <w:sz w:val="18"/>
                <w14:ligatures w14:val="standardContextual"/>
              </w:rPr>
              <w:t>Idade progressiva</w:t>
            </w:r>
          </w:p>
        </w:tc>
        <w:tc>
          <w:tcPr>
            <w:tcW w:w="1587" w:type="dxa"/>
            <w:tcBorders>
              <w:top w:val="single" w:sz="4" w:space="0" w:color="D2C9B8"/>
              <w:left w:val="single" w:sz="4" w:space="0" w:color="D2C9B8"/>
              <w:bottom w:val="single" w:sz="4" w:space="0" w:color="D2C9B8"/>
              <w:right w:val="single" w:sz="4" w:space="0" w:color="D2C9B8"/>
            </w:tcBorders>
          </w:tcPr>
          <w:p w14:paraId="60584AEF" w14:textId="77777777" w:rsidR="005A5FCC" w:rsidRDefault="00A21C81">
            <w:pPr>
              <w:spacing w:before="20" w:after="20" w:line="240" w:lineRule="auto"/>
              <w:jc w:val="left"/>
            </w:pPr>
            <w:r>
              <w:rPr>
                <w:rFonts w:cs="EB Garamond"/>
                <w:kern w:val="16"/>
                <w:sz w:val="18"/>
                <w14:ligatures w14:val="standardContextual"/>
              </w:rPr>
              <w:t>Art. 16</w:t>
            </w:r>
          </w:p>
        </w:tc>
        <w:tc>
          <w:tcPr>
            <w:tcW w:w="1587" w:type="dxa"/>
            <w:tcBorders>
              <w:top w:val="single" w:sz="4" w:space="0" w:color="D2C9B8"/>
              <w:left w:val="single" w:sz="4" w:space="0" w:color="D2C9B8"/>
              <w:bottom w:val="single" w:sz="4" w:space="0" w:color="D2C9B8"/>
              <w:right w:val="single" w:sz="4" w:space="0" w:color="D2C9B8"/>
            </w:tcBorders>
          </w:tcPr>
          <w:p w14:paraId="363FAFA8" w14:textId="77777777" w:rsidR="005A5FCC" w:rsidRDefault="00A21C81">
            <w:pPr>
              <w:spacing w:before="20" w:after="20" w:line="240" w:lineRule="auto"/>
              <w:jc w:val="left"/>
            </w:pPr>
            <w:r>
              <w:rPr>
                <w:rFonts w:cs="EB Garamond"/>
                <w:kern w:val="16"/>
                <w:sz w:val="18"/>
                <w14:ligatures w14:val="standardContextual"/>
              </w:rPr>
              <w:t>59,5 (M) / 64,5 (H) + 30/35 TC</w:t>
            </w:r>
          </w:p>
        </w:tc>
        <w:tc>
          <w:tcPr>
            <w:tcW w:w="1587" w:type="dxa"/>
            <w:tcBorders>
              <w:top w:val="single" w:sz="4" w:space="0" w:color="D2C9B8"/>
              <w:left w:val="single" w:sz="4" w:space="0" w:color="D2C9B8"/>
              <w:bottom w:val="single" w:sz="4" w:space="0" w:color="D2C9B8"/>
              <w:right w:val="single" w:sz="4" w:space="0" w:color="D2C9B8"/>
            </w:tcBorders>
          </w:tcPr>
          <w:p w14:paraId="44428B09" w14:textId="77777777" w:rsidR="005A5FCC" w:rsidRDefault="00A21C81">
            <w:pPr>
              <w:spacing w:before="20" w:after="20" w:line="240" w:lineRule="auto"/>
              <w:jc w:val="left"/>
            </w:pPr>
            <w:r>
              <w:rPr>
                <w:rFonts w:cs="EB Garamond"/>
                <w:kern w:val="16"/>
                <w:sz w:val="18"/>
                <w14:ligatures w14:val="standardContextual"/>
              </w:rPr>
              <w:t>60% + 2%/ano excedente</w:t>
            </w:r>
          </w:p>
        </w:tc>
      </w:tr>
      <w:tr w:rsidR="005A5FCC" w14:paraId="42B75418"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77A4199C" w14:textId="77777777" w:rsidR="005A5FCC" w:rsidRDefault="00A21C81">
            <w:pPr>
              <w:spacing w:before="20" w:after="20" w:line="240" w:lineRule="auto"/>
              <w:jc w:val="left"/>
            </w:pPr>
            <w:r>
              <w:rPr>
                <w:rFonts w:cs="EB Garamond"/>
                <w:kern w:val="16"/>
                <w:sz w:val="18"/>
                <w14:ligatures w14:val="standardContextual"/>
              </w:rPr>
              <w:t>Pedágio 50%</w:t>
            </w:r>
          </w:p>
        </w:tc>
        <w:tc>
          <w:tcPr>
            <w:tcW w:w="1587" w:type="dxa"/>
            <w:tcBorders>
              <w:top w:val="single" w:sz="4" w:space="0" w:color="D2C9B8"/>
              <w:left w:val="single" w:sz="4" w:space="0" w:color="D2C9B8"/>
              <w:bottom w:val="single" w:sz="4" w:space="0" w:color="D2C9B8"/>
              <w:right w:val="single" w:sz="4" w:space="0" w:color="D2C9B8"/>
            </w:tcBorders>
          </w:tcPr>
          <w:p w14:paraId="6D776CCE" w14:textId="77777777" w:rsidR="005A5FCC" w:rsidRDefault="00A21C81">
            <w:pPr>
              <w:spacing w:before="20" w:after="20" w:line="240" w:lineRule="auto"/>
              <w:jc w:val="left"/>
            </w:pPr>
            <w:r>
              <w:rPr>
                <w:rFonts w:cs="EB Garamond"/>
                <w:kern w:val="16"/>
                <w:sz w:val="18"/>
                <w14:ligatures w14:val="standardContextual"/>
              </w:rPr>
              <w:t>Art. 17</w:t>
            </w:r>
          </w:p>
        </w:tc>
        <w:tc>
          <w:tcPr>
            <w:tcW w:w="1587" w:type="dxa"/>
            <w:tcBorders>
              <w:top w:val="single" w:sz="4" w:space="0" w:color="D2C9B8"/>
              <w:left w:val="single" w:sz="4" w:space="0" w:color="D2C9B8"/>
              <w:bottom w:val="single" w:sz="4" w:space="0" w:color="D2C9B8"/>
              <w:right w:val="single" w:sz="4" w:space="0" w:color="D2C9B8"/>
            </w:tcBorders>
          </w:tcPr>
          <w:p w14:paraId="199613D9" w14:textId="77777777" w:rsidR="005A5FCC" w:rsidRDefault="00A21C81">
            <w:pPr>
              <w:spacing w:before="20" w:after="20" w:line="240" w:lineRule="auto"/>
              <w:jc w:val="left"/>
            </w:pPr>
            <w:r>
              <w:rPr>
                <w:rFonts w:cs="EB Garamond"/>
                <w:kern w:val="16"/>
                <w:sz w:val="18"/>
                <w14:ligatures w14:val="standardContextual"/>
              </w:rPr>
              <w:t>TC + pedágio 50% do faltante + fator previdenciário</w:t>
            </w:r>
          </w:p>
        </w:tc>
        <w:tc>
          <w:tcPr>
            <w:tcW w:w="1587" w:type="dxa"/>
            <w:tcBorders>
              <w:top w:val="single" w:sz="4" w:space="0" w:color="D2C9B8"/>
              <w:left w:val="single" w:sz="4" w:space="0" w:color="D2C9B8"/>
              <w:bottom w:val="single" w:sz="4" w:space="0" w:color="D2C9B8"/>
              <w:right w:val="single" w:sz="4" w:space="0" w:color="D2C9B8"/>
            </w:tcBorders>
          </w:tcPr>
          <w:p w14:paraId="2D842CCC" w14:textId="77777777" w:rsidR="005A5FCC" w:rsidRDefault="00A21C81">
            <w:pPr>
              <w:spacing w:before="20" w:after="20" w:line="240" w:lineRule="auto"/>
              <w:jc w:val="left"/>
            </w:pPr>
            <w:r>
              <w:rPr>
                <w:rFonts w:cs="EB Garamond"/>
                <w:kern w:val="16"/>
                <w:sz w:val="18"/>
                <w14:ligatures w14:val="standardContextual"/>
              </w:rPr>
              <w:t>Fator previdenciário obrigatório</w:t>
            </w:r>
          </w:p>
        </w:tc>
      </w:tr>
      <w:tr w:rsidR="005A5FCC" w14:paraId="39CC62C3"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0E21E939" w14:textId="77777777" w:rsidR="005A5FCC" w:rsidRDefault="00A21C81">
            <w:pPr>
              <w:spacing w:before="20" w:after="20" w:line="240" w:lineRule="auto"/>
              <w:jc w:val="left"/>
            </w:pPr>
            <w:r>
              <w:rPr>
                <w:rFonts w:cs="EB Garamond"/>
                <w:b/>
                <w:kern w:val="16"/>
                <w:sz w:val="18"/>
                <w14:ligatures w14:val="standardContextual"/>
              </w:rPr>
              <w:t>Idade</w:t>
            </w:r>
          </w:p>
        </w:tc>
        <w:tc>
          <w:tcPr>
            <w:tcW w:w="1587" w:type="dxa"/>
            <w:tcBorders>
              <w:top w:val="single" w:sz="4" w:space="0" w:color="D2C9B8"/>
              <w:left w:val="single" w:sz="4" w:space="0" w:color="D2C9B8"/>
              <w:bottom w:val="single" w:sz="4" w:space="0" w:color="D2C9B8"/>
              <w:right w:val="single" w:sz="4" w:space="0" w:color="D2C9B8"/>
            </w:tcBorders>
          </w:tcPr>
          <w:p w14:paraId="45FCF4A4" w14:textId="77777777" w:rsidR="005A5FCC" w:rsidRDefault="00A21C81">
            <w:pPr>
              <w:spacing w:before="20" w:after="20" w:line="240" w:lineRule="auto"/>
              <w:jc w:val="left"/>
            </w:pPr>
            <w:r>
              <w:rPr>
                <w:rFonts w:cs="EB Garamond"/>
                <w:b/>
                <w:kern w:val="16"/>
                <w:sz w:val="18"/>
                <w14:ligatures w14:val="standardContextual"/>
              </w:rPr>
              <w:t>Art. 18</w:t>
            </w:r>
          </w:p>
        </w:tc>
        <w:tc>
          <w:tcPr>
            <w:tcW w:w="1587" w:type="dxa"/>
            <w:tcBorders>
              <w:top w:val="single" w:sz="4" w:space="0" w:color="D2C9B8"/>
              <w:left w:val="single" w:sz="4" w:space="0" w:color="D2C9B8"/>
              <w:bottom w:val="single" w:sz="4" w:space="0" w:color="D2C9B8"/>
              <w:right w:val="single" w:sz="4" w:space="0" w:color="D2C9B8"/>
            </w:tcBorders>
          </w:tcPr>
          <w:p w14:paraId="1442159E" w14:textId="77777777" w:rsidR="005A5FCC" w:rsidRDefault="00A21C81">
            <w:pPr>
              <w:spacing w:before="20" w:after="20" w:line="240" w:lineRule="auto"/>
              <w:jc w:val="left"/>
            </w:pPr>
            <w:r>
              <w:rPr>
                <w:rFonts w:cs="EB Garamond"/>
                <w:b/>
                <w:kern w:val="16"/>
                <w:sz w:val="18"/>
                <w14:ligatures w14:val="standardContextual"/>
              </w:rPr>
              <w:t>62 (M) / 65 (H) + 15 TC</w:t>
            </w:r>
          </w:p>
        </w:tc>
        <w:tc>
          <w:tcPr>
            <w:tcW w:w="1587" w:type="dxa"/>
            <w:tcBorders>
              <w:top w:val="single" w:sz="4" w:space="0" w:color="D2C9B8"/>
              <w:left w:val="single" w:sz="4" w:space="0" w:color="D2C9B8"/>
              <w:bottom w:val="single" w:sz="4" w:space="0" w:color="D2C9B8"/>
              <w:right w:val="single" w:sz="4" w:space="0" w:color="D2C9B8"/>
            </w:tcBorders>
          </w:tcPr>
          <w:p w14:paraId="4644004D" w14:textId="77777777" w:rsidR="005A5FCC" w:rsidRDefault="00A21C81">
            <w:pPr>
              <w:spacing w:before="20" w:after="20" w:line="240" w:lineRule="auto"/>
              <w:jc w:val="left"/>
            </w:pPr>
            <w:r>
              <w:rPr>
                <w:rFonts w:cs="EB Garamond"/>
                <w:b/>
                <w:kern w:val="16"/>
                <w:sz w:val="18"/>
                <w14:ligatures w14:val="standardContextual"/>
              </w:rPr>
              <w:t>60% + 2%/ano excedente</w:t>
            </w:r>
          </w:p>
        </w:tc>
      </w:tr>
      <w:tr w:rsidR="005A5FCC" w14:paraId="18EFDDEC"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70F5B60B" w14:textId="77777777" w:rsidR="005A5FCC" w:rsidRDefault="00A21C81">
            <w:pPr>
              <w:spacing w:before="20" w:after="20" w:line="240" w:lineRule="auto"/>
              <w:jc w:val="left"/>
            </w:pPr>
            <w:r>
              <w:rPr>
                <w:rFonts w:cs="EB Garamond"/>
                <w:kern w:val="16"/>
                <w:sz w:val="18"/>
                <w14:ligatures w14:val="standardContextual"/>
              </w:rPr>
              <w:t>Pedágio 100%</w:t>
            </w:r>
          </w:p>
        </w:tc>
        <w:tc>
          <w:tcPr>
            <w:tcW w:w="1587" w:type="dxa"/>
            <w:tcBorders>
              <w:top w:val="single" w:sz="4" w:space="0" w:color="D2C9B8"/>
              <w:left w:val="single" w:sz="4" w:space="0" w:color="D2C9B8"/>
              <w:bottom w:val="single" w:sz="4" w:space="0" w:color="D2C9B8"/>
              <w:right w:val="single" w:sz="4" w:space="0" w:color="D2C9B8"/>
            </w:tcBorders>
          </w:tcPr>
          <w:p w14:paraId="1D55B0B8" w14:textId="77777777" w:rsidR="005A5FCC" w:rsidRDefault="00A21C81">
            <w:pPr>
              <w:spacing w:before="20" w:after="20" w:line="240" w:lineRule="auto"/>
              <w:jc w:val="left"/>
            </w:pPr>
            <w:r>
              <w:rPr>
                <w:rFonts w:cs="EB Garamond"/>
                <w:kern w:val="16"/>
                <w:sz w:val="18"/>
                <w14:ligatures w14:val="standardContextual"/>
              </w:rPr>
              <w:t>Art. 20</w:t>
            </w:r>
          </w:p>
        </w:tc>
        <w:tc>
          <w:tcPr>
            <w:tcW w:w="1587" w:type="dxa"/>
            <w:tcBorders>
              <w:top w:val="single" w:sz="4" w:space="0" w:color="D2C9B8"/>
              <w:left w:val="single" w:sz="4" w:space="0" w:color="D2C9B8"/>
              <w:bottom w:val="single" w:sz="4" w:space="0" w:color="D2C9B8"/>
              <w:right w:val="single" w:sz="4" w:space="0" w:color="D2C9B8"/>
            </w:tcBorders>
          </w:tcPr>
          <w:p w14:paraId="7B694BE5" w14:textId="77777777" w:rsidR="005A5FCC" w:rsidRDefault="00A21C81">
            <w:pPr>
              <w:spacing w:before="20" w:after="20" w:line="240" w:lineRule="auto"/>
              <w:jc w:val="left"/>
            </w:pPr>
            <w:r>
              <w:rPr>
                <w:rFonts w:cs="EB Garamond"/>
                <w:kern w:val="16"/>
                <w:sz w:val="18"/>
                <w14:ligatures w14:val="standardContextual"/>
              </w:rPr>
              <w:t>57 (M) / 60 (H) + 30/35 TC + pedágio 100%</w:t>
            </w:r>
          </w:p>
        </w:tc>
        <w:tc>
          <w:tcPr>
            <w:tcW w:w="1587" w:type="dxa"/>
            <w:tcBorders>
              <w:top w:val="single" w:sz="4" w:space="0" w:color="D2C9B8"/>
              <w:left w:val="single" w:sz="4" w:space="0" w:color="D2C9B8"/>
              <w:bottom w:val="single" w:sz="4" w:space="0" w:color="D2C9B8"/>
              <w:right w:val="single" w:sz="4" w:space="0" w:color="D2C9B8"/>
            </w:tcBorders>
          </w:tcPr>
          <w:p w14:paraId="11919438" w14:textId="77777777" w:rsidR="005A5FCC" w:rsidRDefault="00A21C81">
            <w:pPr>
              <w:spacing w:before="20" w:after="20" w:line="240" w:lineRule="auto"/>
              <w:jc w:val="left"/>
            </w:pPr>
            <w:r>
              <w:rPr>
                <w:rFonts w:cs="EB Garamond"/>
                <w:kern w:val="16"/>
                <w:sz w:val="18"/>
                <w14:ligatures w14:val="standardContextual"/>
              </w:rPr>
              <w:t>100% da média</w:t>
            </w:r>
          </w:p>
        </w:tc>
      </w:tr>
    </w:tbl>
    <w:p w14:paraId="45215557" w14:textId="77777777" w:rsidR="005A5FCC" w:rsidRDefault="005A5FCC">
      <w:pPr>
        <w:spacing w:after="80" w:line="240" w:lineRule="auto"/>
      </w:pPr>
    </w:p>
    <w:p w14:paraId="2AD3C3B2"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19075C62" w14:textId="77777777" w:rsidR="005A5FCC" w:rsidRDefault="00A21C81">
      <w:r>
        <w:rPr>
          <w:rFonts w:cs="EB Garamond"/>
          <w:kern w:val="16"/>
          <w14:ligatures w14:val="standardContextual"/>
        </w:rPr>
        <w:t xml:space="preserve"> regra do art. 18 (aposentadoria por idade) destaca-se por exigir apenas 15 anos de tempo de contribuição, enquanto todas as demais exigem 30 anos (mulher) ou 35 anos (homem). Esse requisito mais brando de tempo de contribuição é contrabalançado por dois fatores: (i) a idade mínima é a mais elevada entre as regras de transição femininas; e (ii) o coeficiente de cálculo, para quem tem poucos anos de contribuição, resulta em benefício de valor inferior.</w:t>
      </w:r>
    </w:p>
    <w:p w14:paraId="4A6FD17A" w14:textId="77777777" w:rsidR="005A5FCC" w:rsidRDefault="00A21C81">
      <w:pPr>
        <w:ind w:firstLine="238"/>
      </w:pPr>
      <w:r>
        <w:rPr>
          <w:rFonts w:cs="EB Garamond"/>
          <w:kern w:val="16"/>
          <w14:ligatures w14:val="standardContextual"/>
        </w:rPr>
        <w:t>A regra do pedágio de 100% (art. 20) é a única que garante coeficiente de 100% da média, sem a aplicação do escalonamento progressivo do art. 26. Essa regra pode ser significativamente mais vantajosa para segurados com muitos anos de contribuição e remunerações elevadas.</w:t>
      </w:r>
    </w:p>
    <w:tbl>
      <w:tblPr>
        <w:tblW w:w="5000" w:type="pct"/>
        <w:jc w:val="center"/>
        <w:tblLayout w:type="fixed"/>
        <w:tblLook w:val="04A0" w:firstRow="1" w:lastRow="0" w:firstColumn="1" w:lastColumn="0" w:noHBand="0" w:noVBand="1"/>
      </w:tblPr>
      <w:tblGrid>
        <w:gridCol w:w="6311"/>
      </w:tblGrid>
      <w:tr w:rsidR="005A5FCC" w14:paraId="075438C4"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3EC3FFCD"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00392415" w14:textId="77777777" w:rsidR="005A5FCC" w:rsidRDefault="00A21C81">
            <w:pPr>
              <w:spacing w:after="60" w:line="247" w:lineRule="auto"/>
            </w:pPr>
            <w:r>
              <w:rPr>
                <w:rFonts w:cs="EB Garamond"/>
                <w:b/>
                <w:kern w:val="16"/>
                <w:sz w:val="19"/>
                <w14:ligatures w14:val="standardContextual"/>
              </w:rPr>
              <w:t>Simulação comparativa — Qual regra escolher?</w:t>
            </w:r>
          </w:p>
          <w:p w14:paraId="2B29ED7B" w14:textId="77777777" w:rsidR="005A5FCC" w:rsidRDefault="00A21C81">
            <w:pPr>
              <w:spacing w:after="60" w:line="247" w:lineRule="auto"/>
            </w:pPr>
            <w:r>
              <w:rPr>
                <w:rFonts w:cs="EB Garamond"/>
                <w:b/>
                <w:kern w:val="16"/>
                <w:sz w:val="19"/>
                <w14:ligatures w14:val="standardContextual"/>
              </w:rPr>
              <w:t>Marcos</w:t>
            </w:r>
            <w:r>
              <w:rPr>
                <w:rFonts w:cs="EB Garamond"/>
                <w:kern w:val="16"/>
                <w:sz w:val="19"/>
                <w14:ligatures w14:val="standardContextual"/>
              </w:rPr>
              <w:t>, homem, 65 anos em 2026, 38 anos de contribuição, filiado em 1988. Média dos salários de contribuição: R$ 6.000,00.</w:t>
            </w:r>
          </w:p>
          <w:p w14:paraId="028855D7" w14:textId="77777777" w:rsidR="005A5FCC" w:rsidRDefault="00A21C81">
            <w:pPr>
              <w:spacing w:after="60" w:line="247" w:lineRule="auto"/>
            </w:pPr>
            <w:r>
              <w:rPr>
                <w:rFonts w:cs="EB Garamond"/>
                <w:b/>
                <w:kern w:val="16"/>
                <w:sz w:val="19"/>
                <w14:ligatures w14:val="standardContextual"/>
              </w:rPr>
              <w:t>Opção 1 — Art. 18 (aposentadoria por idade):</w:t>
            </w:r>
            <w:r>
              <w:rPr>
                <w:rFonts w:cs="EB Garamond"/>
                <w:kern w:val="16"/>
                <w:sz w:val="19"/>
                <w14:ligatures w14:val="standardContextual"/>
              </w:rPr>
              <w:t xml:space="preserve"> - Coeficiente: 60% + 2% × (38 - 20) = 60% + 36% = </w:t>
            </w:r>
            <w:r>
              <w:rPr>
                <w:rFonts w:cs="EB Garamond"/>
                <w:b/>
                <w:kern w:val="16"/>
                <w:sz w:val="19"/>
                <w14:ligatures w14:val="standardContextual"/>
              </w:rPr>
              <w:t>96%</w:t>
            </w:r>
            <w:r>
              <w:rPr>
                <w:rFonts w:cs="EB Garamond"/>
                <w:kern w:val="16"/>
                <w:sz w:val="19"/>
                <w14:ligatures w14:val="standardContextual"/>
              </w:rPr>
              <w:t xml:space="preserve"> - RMI: R$ 6.000,00 × 96% = </w:t>
            </w:r>
            <w:r>
              <w:rPr>
                <w:rFonts w:cs="EB Garamond"/>
                <w:b/>
                <w:kern w:val="16"/>
                <w:sz w:val="19"/>
                <w14:ligatures w14:val="standardContextual"/>
              </w:rPr>
              <w:t>R$ 5.760,00</w:t>
            </w:r>
          </w:p>
          <w:p w14:paraId="4351C5EA" w14:textId="77777777" w:rsidR="005A5FCC" w:rsidRDefault="00A21C81">
            <w:pPr>
              <w:spacing w:after="60" w:line="247" w:lineRule="auto"/>
            </w:pPr>
            <w:r>
              <w:rPr>
                <w:rFonts w:cs="EB Garamond"/>
                <w:b/>
                <w:kern w:val="16"/>
                <w:sz w:val="19"/>
                <w14:ligatures w14:val="standardContextual"/>
              </w:rPr>
              <w:t>Opção 2 — Art. 15 (pontos):</w:t>
            </w:r>
            <w:r>
              <w:rPr>
                <w:rFonts w:cs="EB Garamond"/>
                <w:kern w:val="16"/>
                <w:sz w:val="19"/>
                <w14:ligatures w14:val="standardContextual"/>
              </w:rPr>
              <w:t xml:space="preserve"> - Pontos: 65 + 38 = 103 → atinge os 103 exigidos em 2026 - Coeficiente: 60% + 2% × (38 - 20) = 60% + 36% = </w:t>
            </w:r>
            <w:r>
              <w:rPr>
                <w:rFonts w:cs="EB Garamond"/>
                <w:b/>
                <w:kern w:val="16"/>
                <w:sz w:val="19"/>
                <w14:ligatures w14:val="standardContextual"/>
              </w:rPr>
              <w:t>96%</w:t>
            </w:r>
            <w:r>
              <w:rPr>
                <w:rFonts w:cs="EB Garamond"/>
                <w:kern w:val="16"/>
                <w:sz w:val="19"/>
                <w14:ligatures w14:val="standardContextual"/>
              </w:rPr>
              <w:t xml:space="preserve"> - RMI: R$ 6.000,00 × 96% = </w:t>
            </w:r>
            <w:r>
              <w:rPr>
                <w:rFonts w:cs="EB Garamond"/>
                <w:b/>
                <w:kern w:val="16"/>
                <w:sz w:val="19"/>
                <w14:ligatures w14:val="standardContextual"/>
              </w:rPr>
              <w:t>R$ 5.760,00</w:t>
            </w:r>
            <w:r>
              <w:rPr>
                <w:rFonts w:cs="EB Garamond"/>
                <w:kern w:val="16"/>
                <w:sz w:val="19"/>
                <w14:ligatures w14:val="standardContextual"/>
              </w:rPr>
              <w:t xml:space="preserve"> (mesmo valor)</w:t>
            </w:r>
          </w:p>
          <w:p w14:paraId="33226D50" w14:textId="77777777" w:rsidR="005A5FCC" w:rsidRDefault="00A21C81">
            <w:pPr>
              <w:spacing w:after="60" w:line="247" w:lineRule="auto"/>
            </w:pPr>
            <w:r>
              <w:rPr>
                <w:rFonts w:cs="EB Garamond"/>
                <w:b/>
                <w:kern w:val="16"/>
                <w:sz w:val="19"/>
                <w14:ligatures w14:val="standardContextual"/>
              </w:rPr>
              <w:t>Opção 3 — Art. 20 (pedágio 100%):</w:t>
            </w:r>
            <w:r>
              <w:rPr>
                <w:rFonts w:cs="EB Garamond"/>
                <w:kern w:val="16"/>
                <w:sz w:val="19"/>
                <w14:ligatures w14:val="standardContextual"/>
              </w:rPr>
              <w:t xml:space="preserve"> - TC exigido: 35 anos + pedágio. Em 13/11/2019, Marcos tinha ~31 anos de TC, faltavam 4 anos → pedágio = 4 anos → precisa de 39 anos TC total. Marcos tem 38 → </w:t>
            </w:r>
            <w:r>
              <w:rPr>
                <w:rFonts w:cs="EB Garamond"/>
                <w:b/>
                <w:kern w:val="16"/>
                <w:sz w:val="19"/>
                <w14:ligatures w14:val="standardContextual"/>
              </w:rPr>
              <w:t>não preenche ainda</w:t>
            </w:r>
            <w:r>
              <w:rPr>
                <w:rFonts w:cs="EB Garamond"/>
                <w:kern w:val="16"/>
                <w:sz w:val="19"/>
                <w14:ligatures w14:val="standardContextual"/>
              </w:rPr>
              <w:t xml:space="preserve"> (faltam 12 meses) - Se aguardar 1 ano: RMI = R$ 6.000,00 × </w:t>
            </w:r>
            <w:r>
              <w:rPr>
                <w:rFonts w:cs="EB Garamond"/>
                <w:b/>
                <w:kern w:val="16"/>
                <w:sz w:val="19"/>
                <w14:ligatures w14:val="standardContextual"/>
              </w:rPr>
              <w:t>100%</w:t>
            </w:r>
            <w:r>
              <w:rPr>
                <w:rFonts w:cs="EB Garamond"/>
                <w:kern w:val="16"/>
                <w:sz w:val="19"/>
                <w14:ligatures w14:val="standardContextual"/>
              </w:rPr>
              <w:t xml:space="preserve"> = </w:t>
            </w:r>
            <w:r>
              <w:rPr>
                <w:rFonts w:cs="EB Garamond"/>
                <w:b/>
                <w:kern w:val="16"/>
                <w:sz w:val="19"/>
                <w14:ligatures w14:val="standardContextual"/>
              </w:rPr>
              <w:t>R$ 6.000,00</w:t>
            </w:r>
          </w:p>
          <w:p w14:paraId="4AC87599" w14:textId="77777777" w:rsidR="005A5FCC" w:rsidRDefault="00A21C81">
            <w:pPr>
              <w:spacing w:after="60" w:line="247" w:lineRule="auto"/>
            </w:pPr>
            <w:r>
              <w:rPr>
                <w:rFonts w:cs="EB Garamond"/>
                <w:b/>
                <w:kern w:val="16"/>
                <w:sz w:val="19"/>
                <w14:ligatures w14:val="standardContextual"/>
              </w:rPr>
              <w:t>Conclusão:</w:t>
            </w:r>
            <w:r>
              <w:rPr>
                <w:rFonts w:cs="EB Garamond"/>
                <w:kern w:val="16"/>
                <w:sz w:val="19"/>
                <w14:ligatures w14:val="standardContextual"/>
              </w:rPr>
              <w:t xml:space="preserve"> Se Marcos puder aguardar mais 1 ano, a regra do pedágio 100% lhe garante R$ 240,00 a mais por mês (R$ 6.000 vs. R$ 5.760), ou R$ 2.880,00/ano. Pode valer a pena esperar. Trata-se, em última análise, de uma decisão do próprio segurado, que deve ser tomada à luz de uma comparação numérica transparente entre aposentar-se de imediato e diferir o requerimento.</w:t>
            </w:r>
          </w:p>
        </w:tc>
      </w:tr>
    </w:tbl>
    <w:p w14:paraId="451263EF" w14:textId="77777777" w:rsidR="005A5FCC" w:rsidRDefault="005A5FCC">
      <w:pPr>
        <w:spacing w:after="80" w:line="240" w:lineRule="auto"/>
      </w:pPr>
    </w:p>
    <w:p w14:paraId="6D90B285"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10.5 Direito adquirido à aposentadoria por idade Pré-EC 103/2019</w:t>
      </w:r>
    </w:p>
    <w:p w14:paraId="631D8B54" w14:textId="77777777" w:rsidR="005A5FCC" w:rsidRDefault="00A21C81">
      <w:pPr>
        <w:spacing w:before="260" w:after="80" w:line="240" w:lineRule="auto"/>
        <w:jc w:val="left"/>
      </w:pPr>
      <w:r>
        <w:rPr>
          <w:rFonts w:cs="EB Garamond"/>
          <w:b/>
          <w:color w:val="3A3128"/>
          <w:kern w:val="16"/>
          <w:sz w:val="25"/>
          <w14:ligatures w14:val="standardContextual"/>
        </w:rPr>
        <w:t>10.5.1 Fundamento constitucional</w:t>
      </w:r>
    </w:p>
    <w:p w14:paraId="7F770ED2"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1580916B" w14:textId="77777777" w:rsidR="005A5FCC" w:rsidRDefault="00A21C81">
      <w:r>
        <w:rPr>
          <w:rFonts w:cs="EB Garamond"/>
          <w:kern w:val="16"/>
          <w14:ligatures w14:val="standardContextual"/>
        </w:rPr>
        <w:t xml:space="preserve"> art. 3º da EC 103/2019 estabelece que "É assegurado o direito adquirido do segurado que tenha cumprido os requisitos para obtenção de aposentadoria, nos termos da legislação vigente na data de publicação desta Emenda Constitucional." O segurado que, em 13/11/2019, já contava com 65 anos (homem) ou 60 anos (mulher) e 180 contribuições de carência tem direito adquirido à aposentadoria por idade na forma da Lei 8.213/91, independentemente de não ter exercido esse direito na época.</w:t>
      </w:r>
    </w:p>
    <w:p w14:paraId="0057648E" w14:textId="77777777" w:rsidR="005A5FCC" w:rsidRDefault="00A21C81">
      <w:pPr>
        <w:ind w:firstLine="238"/>
      </w:pPr>
      <w:r>
        <w:rPr>
          <w:rFonts w:cs="EB Garamond"/>
          <w:kern w:val="16"/>
          <w14:ligatures w14:val="standardContextual"/>
        </w:rPr>
        <w:lastRenderedPageBreak/>
        <w:t>O direito adquirido previdenciário é imprescritível. O segurado pode exercê-lo a qualquer tempo, mesmo décadas após o implemento dos requisitos. O que prescreve é apenas o direito às prestações vencidas anteriores ao quinquênio que antecede o ajuizamento da ação (Súmula 85/STJ).</w:t>
      </w:r>
    </w:p>
    <w:p w14:paraId="33B95548" w14:textId="77777777" w:rsidR="005A5FCC" w:rsidRDefault="00A21C81">
      <w:pPr>
        <w:spacing w:before="260" w:after="80" w:line="240" w:lineRule="auto"/>
        <w:jc w:val="left"/>
      </w:pPr>
      <w:r>
        <w:rPr>
          <w:rFonts w:cs="EB Garamond"/>
          <w:b/>
          <w:color w:val="3A3128"/>
          <w:kern w:val="16"/>
          <w:sz w:val="25"/>
          <w14:ligatures w14:val="standardContextual"/>
        </w:rPr>
        <w:t>10.5.2 Requisitos na regra antiga</w:t>
      </w:r>
    </w:p>
    <w:p w14:paraId="68097FC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P</w:t>
      </w:r>
    </w:p>
    <w:p w14:paraId="4F76D3BF" w14:textId="77777777" w:rsidR="005A5FCC" w:rsidRDefault="00A21C81">
      <w:r>
        <w:rPr>
          <w:rFonts w:cs="EB Garamond"/>
          <w:kern w:val="16"/>
          <w14:ligatures w14:val="standardContextual"/>
        </w:rPr>
        <w:t>ara fazer jus à aposentadoria por idade na regra pré-EC 103/2019, o segurado precisava cumprir:</w:t>
      </w:r>
    </w:p>
    <w:p w14:paraId="1CA62EEA" w14:textId="77777777" w:rsidR="005A5FCC" w:rsidRDefault="00A21C81">
      <w:pPr>
        <w:ind w:firstLine="238"/>
      </w:pPr>
      <w:r>
        <w:rPr>
          <w:rFonts w:cs="EB Garamond"/>
          <w:b/>
          <w:kern w:val="16"/>
          <w14:ligatures w14:val="standardContextual"/>
        </w:rPr>
        <w:t>a) Idade mínima:</w:t>
      </w:r>
      <w:r>
        <w:rPr>
          <w:rFonts w:cs="EB Garamond"/>
          <w:kern w:val="16"/>
          <w14:ligatures w14:val="standardContextual"/>
        </w:rPr>
        <w:t xml:space="preserve"> 65 anos (homem) ou 60 anos (mulher).</w:t>
      </w:r>
    </w:p>
    <w:p w14:paraId="2E628965" w14:textId="487C0E4A" w:rsidR="005A5FCC" w:rsidRDefault="00A21C81">
      <w:pPr>
        <w:ind w:firstLine="238"/>
      </w:pPr>
      <w:r>
        <w:rPr>
          <w:rFonts w:cs="EB Garamond"/>
          <w:b/>
          <w:kern w:val="16"/>
          <w14:ligatures w14:val="standardContextual"/>
        </w:rPr>
        <w:t xml:space="preserve">b) </w:t>
      </w:r>
      <w:r w:rsidR="00AA2644">
        <w:rPr>
          <w:rFonts w:cs="EB Garamond"/>
          <w:b/>
          <w:kern w:val="16"/>
          <w14:ligatures w14:val="standardContextual"/>
        </w:rPr>
        <w:t>Carência</w:t>
      </w:r>
      <w:r>
        <w:rPr>
          <w:rFonts w:cs="EB Garamond"/>
          <w:b/>
          <w:kern w:val="16"/>
          <w14:ligatures w14:val="standardContextual"/>
        </w:rPr>
        <w:t>:</w:t>
      </w:r>
      <w:r>
        <w:rPr>
          <w:rFonts w:cs="EB Garamond"/>
          <w:kern w:val="16"/>
          <w14:ligatures w14:val="standardContextual"/>
        </w:rPr>
        <w:t xml:space="preserve"> 180 </w:t>
      </w:r>
      <w:r w:rsidR="00AA2644">
        <w:rPr>
          <w:rFonts w:cs="EB Garamond"/>
          <w:kern w:val="16"/>
          <w14:ligatures w14:val="standardContextual"/>
        </w:rPr>
        <w:t>contribuições</w:t>
      </w:r>
      <w:r>
        <w:rPr>
          <w:rFonts w:cs="EB Garamond"/>
          <w:kern w:val="16"/>
          <w14:ligatures w14:val="standardContextual"/>
        </w:rPr>
        <w:t xml:space="preserve"> mensais (art. 25, II, Lei 8.213/91), ou o </w:t>
      </w:r>
      <w:r w:rsidR="00AA2644">
        <w:rPr>
          <w:rFonts w:cs="EB Garamond"/>
          <w:kern w:val="16"/>
          <w14:ligatures w14:val="standardContextual"/>
        </w:rPr>
        <w:t>número</w:t>
      </w:r>
      <w:r>
        <w:rPr>
          <w:rFonts w:cs="EB Garamond"/>
          <w:kern w:val="16"/>
          <w14:ligatures w14:val="standardContextual"/>
        </w:rPr>
        <w:t xml:space="preserve"> reduzido da tabela progressiva do art. 142 para segurados filiados antes de 24/07/1991 (v. </w:t>
      </w:r>
      <w:r w:rsidR="00AA2644">
        <w:rPr>
          <w:rFonts w:cs="EB Garamond"/>
          <w:kern w:val="16"/>
          <w14:ligatures w14:val="standardContextual"/>
        </w:rPr>
        <w:t>Capítulo</w:t>
      </w:r>
      <w:r>
        <w:rPr>
          <w:rFonts w:cs="EB Garamond"/>
          <w:kern w:val="16"/>
          <w14:ligatures w14:val="standardContextual"/>
        </w:rPr>
        <w:t xml:space="preserve"> 3, </w:t>
      </w:r>
      <w:r w:rsidR="00AA2644">
        <w:rPr>
          <w:rFonts w:cs="EB Garamond"/>
          <w:kern w:val="16"/>
          <w14:ligatures w14:val="standardContextual"/>
        </w:rPr>
        <w:t>seção</w:t>
      </w:r>
      <w:r>
        <w:rPr>
          <w:rFonts w:cs="EB Garamond"/>
          <w:kern w:val="16"/>
          <w14:ligatures w14:val="standardContextual"/>
        </w:rPr>
        <w:t xml:space="preserve"> 3.5, para a tabela completa).</w:t>
      </w:r>
    </w:p>
    <w:p w14:paraId="153DBEFC" w14:textId="77777777" w:rsidR="005A5FCC" w:rsidRDefault="00A21C81">
      <w:pPr>
        <w:ind w:firstLine="238"/>
      </w:pPr>
      <w:r>
        <w:rPr>
          <w:rFonts w:cs="EB Garamond"/>
          <w:kern w:val="16"/>
          <w14:ligatures w14:val="standardContextual"/>
        </w:rPr>
        <w:t>Note-se que a regra antiga exigia carência (número de contribuições), e não tempo de contribuição. A distinção é relevante: 15 anos de tempo de contribuição não equivalem necessariamente a 180 contribuições de carência, porque pode haver períodos intercalados, períodos de benefício por incapacidade (que contam como tempo de contribuição, mas não geram carência, salvo o período intercalado entre contribuições), e períodos de atividade rural anterior a novembro de 1991 (que contam como tempo de contribuição, mas não como carência na aposentadoria por idade urbana comum).</w:t>
      </w:r>
    </w:p>
    <w:p w14:paraId="7CD49479" w14:textId="77777777" w:rsidR="005A5FCC" w:rsidRDefault="00A21C81">
      <w:pPr>
        <w:spacing w:before="260" w:after="80" w:line="240" w:lineRule="auto"/>
        <w:jc w:val="left"/>
      </w:pPr>
      <w:r>
        <w:rPr>
          <w:rFonts w:cs="EB Garamond"/>
          <w:b/>
          <w:color w:val="3A3128"/>
          <w:kern w:val="16"/>
          <w:sz w:val="25"/>
          <w14:ligatures w14:val="standardContextual"/>
        </w:rPr>
        <w:t>10.5.3 Cálculo na regra antiga</w:t>
      </w:r>
    </w:p>
    <w:p w14:paraId="0250D86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72899C6F" w14:textId="77777777" w:rsidR="005A5FCC" w:rsidRDefault="00A21C81">
      <w:r>
        <w:rPr>
          <w:rFonts w:cs="EB Garamond"/>
          <w:kern w:val="16"/>
          <w14:ligatures w14:val="standardContextual"/>
        </w:rPr>
        <w:t xml:space="preserve"> cálculo do benefício pela regra pré-EC 103 era significativamente diferente:</w:t>
      </w:r>
    </w:p>
    <w:p w14:paraId="24434C0F" w14:textId="77777777" w:rsidR="005A5FCC" w:rsidRDefault="00A21C81">
      <w:pPr>
        <w:ind w:firstLine="238"/>
      </w:pPr>
      <w:r>
        <w:rPr>
          <w:rFonts w:cs="EB Garamond"/>
          <w:b/>
          <w:kern w:val="16"/>
          <w14:ligatures w14:val="standardContextual"/>
        </w:rPr>
        <w:t>Passo 1 — Salário de benefício:</w:t>
      </w:r>
      <w:r>
        <w:rPr>
          <w:rFonts w:cs="EB Garamond"/>
          <w:kern w:val="16"/>
          <w14:ligatures w14:val="standardContextual"/>
        </w:rPr>
        <w:t xml:space="preserve"> Média aritmética simples dos 80% maiores salários de contribuição desde julho/1994 (art. 29, I e II, da Lei 8.213/91, redação da Lei 9.876/99). A exclusão dos 20% menores salários geralmente resultava em média mais elevada.</w:t>
      </w:r>
    </w:p>
    <w:p w14:paraId="44C99E0F" w14:textId="77777777" w:rsidR="005A5FCC" w:rsidRDefault="00A21C81">
      <w:pPr>
        <w:ind w:firstLine="238"/>
      </w:pPr>
      <w:r>
        <w:rPr>
          <w:rFonts w:cs="EB Garamond"/>
          <w:b/>
          <w:kern w:val="16"/>
          <w14:ligatures w14:val="standardContextual"/>
        </w:rPr>
        <w:t>Passo 2 — Renda mensal inicial:</w:t>
      </w:r>
      <w:r>
        <w:rPr>
          <w:rFonts w:cs="EB Garamond"/>
          <w:kern w:val="16"/>
          <w14:ligatures w14:val="standardContextual"/>
        </w:rPr>
        <w:t xml:space="preserve"> 70% do salário de benefício, acrescidos de 1% para cada grupo de 12 contribuições mensais, até o máximo de 100%.</w:t>
      </w:r>
    </w:p>
    <w:p w14:paraId="05C191A6" w14:textId="77777777" w:rsidR="005A5FCC" w:rsidRDefault="00A21C81">
      <w:pPr>
        <w:ind w:firstLine="238"/>
      </w:pPr>
      <w:r>
        <w:rPr>
          <w:rFonts w:cs="EB Garamond"/>
          <w:b/>
          <w:kern w:val="16"/>
          <w14:ligatures w14:val="standardContextual"/>
        </w:rPr>
        <w:lastRenderedPageBreak/>
        <w:t>Fator previdenciário:</w:t>
      </w:r>
      <w:r>
        <w:rPr>
          <w:rFonts w:cs="EB Garamond"/>
          <w:kern w:val="16"/>
          <w14:ligatures w14:val="standardContextual"/>
        </w:rPr>
        <w:t xml:space="preserve"> Aplicável somente quando mais vantajoso ao segurado (art. 7º da Lei 9.876/99). Na aposentadoria por idade, o fator era quase sempre desfavorável, de modo que raramente era aplicado.</w:t>
      </w:r>
    </w:p>
    <w:tbl>
      <w:tblPr>
        <w:tblW w:w="5000" w:type="pct"/>
        <w:jc w:val="center"/>
        <w:tblLayout w:type="fixed"/>
        <w:tblLook w:val="04A0" w:firstRow="1" w:lastRow="0" w:firstColumn="1" w:lastColumn="0" w:noHBand="0" w:noVBand="1"/>
      </w:tblPr>
      <w:tblGrid>
        <w:gridCol w:w="6311"/>
      </w:tblGrid>
      <w:tr w:rsidR="005A5FCC" w14:paraId="6890B43E"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6DFD4BDE"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29547731" w14:textId="77777777" w:rsidR="005A5FCC" w:rsidRDefault="00A21C81">
            <w:pPr>
              <w:spacing w:after="60" w:line="247" w:lineRule="auto"/>
            </w:pPr>
            <w:r>
              <w:rPr>
                <w:rFonts w:cs="EB Garamond"/>
                <w:b/>
                <w:kern w:val="16"/>
                <w:sz w:val="19"/>
                <w14:ligatures w14:val="standardContextual"/>
              </w:rPr>
              <w:t>Exemplo — Direito adquirido (regra antiga)</w:t>
            </w:r>
          </w:p>
          <w:p w14:paraId="286D49E0" w14:textId="15FB7B78" w:rsidR="005A5FCC" w:rsidRDefault="00A21C81">
            <w:pPr>
              <w:spacing w:after="60" w:line="247" w:lineRule="auto"/>
            </w:pPr>
            <w:r>
              <w:rPr>
                <w:rFonts w:cs="EB Garamond"/>
                <w:b/>
                <w:kern w:val="16"/>
                <w:sz w:val="19"/>
                <w14:ligatures w14:val="standardContextual"/>
              </w:rPr>
              <w:t>Dona Celia</w:t>
            </w:r>
            <w:r>
              <w:rPr>
                <w:rFonts w:cs="EB Garamond"/>
                <w:kern w:val="16"/>
                <w:sz w:val="19"/>
                <w14:ligatures w14:val="standardContextual"/>
              </w:rPr>
              <w:t xml:space="preserve">, 68 anos em 2026 (nascida em 1958), completou 60 anos em 2018, antes da EC 103/2019, </w:t>
            </w:r>
            <w:r w:rsidR="00AA2644">
              <w:rPr>
                <w:rFonts w:cs="EB Garamond"/>
                <w:kern w:val="16"/>
                <w:sz w:val="19"/>
                <w14:ligatures w14:val="standardContextual"/>
              </w:rPr>
              <w:t>e, portanto,</w:t>
            </w:r>
            <w:r>
              <w:rPr>
                <w:rFonts w:cs="EB Garamond"/>
                <w:kern w:val="16"/>
                <w:sz w:val="19"/>
                <w14:ligatures w14:val="standardContextual"/>
              </w:rPr>
              <w:t xml:space="preserve"> tem direito adquirido a regra antiga (60F + </w:t>
            </w:r>
            <w:r w:rsidR="00AA2644">
              <w:rPr>
                <w:rFonts w:cs="EB Garamond"/>
                <w:kern w:val="16"/>
                <w:sz w:val="19"/>
                <w14:ligatures w14:val="standardContextual"/>
              </w:rPr>
              <w:t>carência</w:t>
            </w:r>
            <w:r>
              <w:rPr>
                <w:rFonts w:cs="EB Garamond"/>
                <w:kern w:val="16"/>
                <w:sz w:val="19"/>
                <w14:ligatures w14:val="standardContextual"/>
              </w:rPr>
              <w:t xml:space="preserve">). Completou 65 anos em 2023. Possui 260 </w:t>
            </w:r>
            <w:r w:rsidR="00AA2644">
              <w:rPr>
                <w:rFonts w:cs="EB Garamond"/>
                <w:kern w:val="16"/>
                <w:sz w:val="19"/>
                <w14:ligatures w14:val="standardContextual"/>
              </w:rPr>
              <w:t>contribuições</w:t>
            </w:r>
            <w:r>
              <w:rPr>
                <w:rFonts w:cs="EB Garamond"/>
                <w:kern w:val="16"/>
                <w:sz w:val="19"/>
                <w14:ligatures w14:val="standardContextual"/>
              </w:rPr>
              <w:t xml:space="preserve"> (21 anos e 8 meses de </w:t>
            </w:r>
            <w:r w:rsidR="00AA2644">
              <w:rPr>
                <w:rFonts w:cs="EB Garamond"/>
                <w:kern w:val="16"/>
                <w:sz w:val="19"/>
                <w14:ligatures w14:val="standardContextual"/>
              </w:rPr>
              <w:t>contribuição</w:t>
            </w:r>
            <w:r>
              <w:rPr>
                <w:rFonts w:cs="EB Garamond"/>
                <w:kern w:val="16"/>
                <w:sz w:val="19"/>
                <w14:ligatures w14:val="standardContextual"/>
              </w:rPr>
              <w:t xml:space="preserve">). </w:t>
            </w:r>
            <w:r w:rsidR="00AA2644">
              <w:rPr>
                <w:rFonts w:cs="EB Garamond"/>
                <w:kern w:val="16"/>
                <w:sz w:val="19"/>
                <w14:ligatures w14:val="standardContextual"/>
              </w:rPr>
              <w:t>Média</w:t>
            </w:r>
            <w:r>
              <w:rPr>
                <w:rFonts w:cs="EB Garamond"/>
                <w:kern w:val="16"/>
                <w:sz w:val="19"/>
                <w14:ligatures w14:val="standardContextual"/>
              </w:rPr>
              <w:t xml:space="preserve"> dos 80% maiores </w:t>
            </w:r>
            <w:r w:rsidR="00AA2644">
              <w:rPr>
                <w:rFonts w:cs="EB Garamond"/>
                <w:kern w:val="16"/>
                <w:sz w:val="19"/>
                <w14:ligatures w14:val="standardContextual"/>
              </w:rPr>
              <w:t>salários</w:t>
            </w:r>
            <w:r>
              <w:rPr>
                <w:rFonts w:cs="EB Garamond"/>
                <w:kern w:val="16"/>
                <w:sz w:val="19"/>
                <w14:ligatures w14:val="standardContextual"/>
              </w:rPr>
              <w:t>: R$ 2.800,00.</w:t>
            </w:r>
          </w:p>
          <w:p w14:paraId="03B7DD43" w14:textId="77777777" w:rsidR="005A5FCC" w:rsidRDefault="00A21C81">
            <w:pPr>
              <w:spacing w:after="60" w:line="247" w:lineRule="auto"/>
            </w:pPr>
            <w:r>
              <w:rPr>
                <w:rFonts w:cs="EB Garamond"/>
                <w:b/>
                <w:kern w:val="16"/>
                <w:sz w:val="19"/>
                <w14:ligatures w14:val="standardContextual"/>
              </w:rPr>
              <w:t>Pela regra antiga:</w:t>
            </w:r>
            <w:r>
              <w:rPr>
                <w:rFonts w:cs="EB Garamond"/>
                <w:kern w:val="16"/>
                <w:sz w:val="19"/>
                <w14:ligatures w14:val="standardContextual"/>
              </w:rPr>
              <w:t xml:space="preserve"> - Coeficiente: 70% + 1% × 21 = </w:t>
            </w:r>
            <w:r>
              <w:rPr>
                <w:rFonts w:cs="EB Garamond"/>
                <w:b/>
                <w:kern w:val="16"/>
                <w:sz w:val="19"/>
                <w14:ligatures w14:val="standardContextual"/>
              </w:rPr>
              <w:t>91%</w:t>
            </w:r>
            <w:r>
              <w:rPr>
                <w:rFonts w:cs="EB Garamond"/>
                <w:kern w:val="16"/>
                <w:sz w:val="19"/>
                <w14:ligatures w14:val="standardContextual"/>
              </w:rPr>
              <w:t xml:space="preserve"> - RMI: R$ 2.800,00 × 91% = </w:t>
            </w:r>
            <w:r>
              <w:rPr>
                <w:rFonts w:cs="EB Garamond"/>
                <w:b/>
                <w:kern w:val="16"/>
                <w:sz w:val="19"/>
                <w14:ligatures w14:val="standardContextual"/>
              </w:rPr>
              <w:t>R$ 2.548,00</w:t>
            </w:r>
          </w:p>
          <w:p w14:paraId="3FB0005F" w14:textId="77777777" w:rsidR="005A5FCC" w:rsidRDefault="00A21C81">
            <w:pPr>
              <w:spacing w:after="60" w:line="247" w:lineRule="auto"/>
            </w:pPr>
            <w:r>
              <w:rPr>
                <w:rFonts w:cs="EB Garamond"/>
                <w:b/>
                <w:kern w:val="16"/>
                <w:sz w:val="19"/>
                <w14:ligatures w14:val="standardContextual"/>
              </w:rPr>
              <w:t>Pela regra de transição (art. 18, EC 103):</w:t>
            </w:r>
            <w:r>
              <w:rPr>
                <w:rFonts w:cs="EB Garamond"/>
                <w:kern w:val="16"/>
                <w:sz w:val="19"/>
                <w14:ligatures w14:val="standardContextual"/>
              </w:rPr>
              <w:t xml:space="preserve"> - Média de 100% dos salários: R$ 2.500,00 (menor porque inclui os 20% piores) - Coeficiente: 60% + 2% × (21 - 15) = 60% + 12% = </w:t>
            </w:r>
            <w:r>
              <w:rPr>
                <w:rFonts w:cs="EB Garamond"/>
                <w:b/>
                <w:kern w:val="16"/>
                <w:sz w:val="19"/>
                <w14:ligatures w14:val="standardContextual"/>
              </w:rPr>
              <w:t>72%</w:t>
            </w:r>
            <w:r>
              <w:rPr>
                <w:rFonts w:cs="EB Garamond"/>
                <w:kern w:val="16"/>
                <w:sz w:val="19"/>
                <w14:ligatures w14:val="standardContextual"/>
              </w:rPr>
              <w:t xml:space="preserve"> - RMI: R$ 2.500,00 × 72% = </w:t>
            </w:r>
            <w:r>
              <w:rPr>
                <w:rFonts w:cs="EB Garamond"/>
                <w:b/>
                <w:kern w:val="16"/>
                <w:sz w:val="19"/>
                <w14:ligatures w14:val="standardContextual"/>
              </w:rPr>
              <w:t>R$ 1.800,00</w:t>
            </w:r>
          </w:p>
          <w:p w14:paraId="5E0B1CB8" w14:textId="77777777" w:rsidR="005A5FCC" w:rsidRDefault="00A21C81">
            <w:pPr>
              <w:spacing w:after="60" w:line="247" w:lineRule="auto"/>
            </w:pPr>
            <w:r>
              <w:rPr>
                <w:rFonts w:cs="EB Garamond"/>
                <w:b/>
                <w:kern w:val="16"/>
                <w:sz w:val="19"/>
                <w14:ligatures w14:val="standardContextual"/>
              </w:rPr>
              <w:t>Diferença:</w:t>
            </w:r>
            <w:r>
              <w:rPr>
                <w:rFonts w:cs="EB Garamond"/>
                <w:kern w:val="16"/>
                <w:sz w:val="19"/>
                <w14:ligatures w14:val="standardContextual"/>
              </w:rPr>
              <w:t xml:space="preserve"> R$ 748,00/mês a favor da regra antiga. Dona Celia deve requerer a aposentadoria com base no direito adquirido.</w:t>
            </w:r>
          </w:p>
          <w:p w14:paraId="6B59A15F" w14:textId="77777777" w:rsidR="005A5FCC" w:rsidRDefault="00A21C81">
            <w:pPr>
              <w:spacing w:after="60" w:line="247" w:lineRule="auto"/>
            </w:pPr>
            <w:r>
              <w:rPr>
                <w:rFonts w:cs="EB Garamond"/>
                <w:kern w:val="16"/>
                <w:sz w:val="19"/>
                <w14:ligatures w14:val="standardContextual"/>
              </w:rPr>
              <w:t>O advogado que não verifica a possibilidade de direito adquirido à regra anterior causa prejuízo financeiro ao cliente.</w:t>
            </w:r>
          </w:p>
        </w:tc>
      </w:tr>
    </w:tbl>
    <w:p w14:paraId="125F9CBF" w14:textId="77777777" w:rsidR="005A5FCC" w:rsidRDefault="005A5FCC">
      <w:pPr>
        <w:spacing w:after="80" w:line="240" w:lineRule="auto"/>
      </w:pPr>
    </w:p>
    <w:p w14:paraId="790D0647" w14:textId="77777777" w:rsidR="005A5FCC" w:rsidRDefault="00A21C81">
      <w:pPr>
        <w:spacing w:before="260" w:after="80" w:line="240" w:lineRule="auto"/>
        <w:jc w:val="left"/>
      </w:pPr>
      <w:r>
        <w:rPr>
          <w:rFonts w:cs="EB Garamond"/>
          <w:b/>
          <w:color w:val="3A3128"/>
          <w:kern w:val="16"/>
          <w:sz w:val="25"/>
          <w14:ligatures w14:val="standardContextual"/>
        </w:rPr>
        <w:t>10.5.4 Tabela de transição de carência (art. 142, lei 8.213/91)</w:t>
      </w:r>
    </w:p>
    <w:p w14:paraId="03B6C928"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P</w:t>
      </w:r>
    </w:p>
    <w:p w14:paraId="164FC4A6" w14:textId="0E82576C" w:rsidR="005A5FCC" w:rsidRDefault="00A21C81">
      <w:r>
        <w:rPr>
          <w:rFonts w:cs="EB Garamond"/>
          <w:kern w:val="16"/>
          <w14:ligatures w14:val="standardContextual"/>
        </w:rPr>
        <w:t xml:space="preserve">ara segurados filiados antes de 24/07/1991 (data de </w:t>
      </w:r>
      <w:r w:rsidR="00AA2644">
        <w:rPr>
          <w:rFonts w:cs="EB Garamond"/>
          <w:kern w:val="16"/>
          <w14:ligatures w14:val="standardContextual"/>
        </w:rPr>
        <w:t>publicação</w:t>
      </w:r>
      <w:r>
        <w:rPr>
          <w:rFonts w:cs="EB Garamond"/>
          <w:kern w:val="16"/>
          <w14:ligatures w14:val="standardContextual"/>
        </w:rPr>
        <w:t xml:space="preserve"> da Lei 8.213/91), a </w:t>
      </w:r>
      <w:r w:rsidR="00AA2644">
        <w:rPr>
          <w:rFonts w:cs="EB Garamond"/>
          <w:kern w:val="16"/>
          <w14:ligatures w14:val="standardContextual"/>
        </w:rPr>
        <w:t>carência</w:t>
      </w:r>
      <w:r>
        <w:rPr>
          <w:rFonts w:cs="EB Garamond"/>
          <w:kern w:val="16"/>
          <w14:ligatures w14:val="standardContextual"/>
        </w:rPr>
        <w:t xml:space="preserve"> exigida era inferior a 180 </w:t>
      </w:r>
      <w:r w:rsidR="00AA2644">
        <w:rPr>
          <w:rFonts w:cs="EB Garamond"/>
          <w:kern w:val="16"/>
          <w14:ligatures w14:val="standardContextual"/>
        </w:rPr>
        <w:t>contribuições</w:t>
      </w:r>
      <w:r>
        <w:rPr>
          <w:rFonts w:cs="EB Garamond"/>
          <w:kern w:val="16"/>
          <w14:ligatures w14:val="standardContextual"/>
        </w:rPr>
        <w:t xml:space="preserve">, conforme a tabela progressiva do art. 142 da Lei 8.213/91 (reproduzida integralmente no Capitulo 3, </w:t>
      </w:r>
      <w:r w:rsidR="00AA2644">
        <w:rPr>
          <w:rFonts w:cs="EB Garamond"/>
          <w:kern w:val="16"/>
          <w14:ligatures w14:val="standardContextual"/>
        </w:rPr>
        <w:t>seção</w:t>
      </w:r>
      <w:r>
        <w:rPr>
          <w:rFonts w:cs="EB Garamond"/>
          <w:kern w:val="16"/>
          <w14:ligatures w14:val="standardContextual"/>
        </w:rPr>
        <w:t xml:space="preserve"> 3.5, com </w:t>
      </w:r>
      <w:r w:rsidR="00AA2644">
        <w:rPr>
          <w:rFonts w:cs="EB Garamond"/>
          <w:kern w:val="16"/>
          <w14:ligatures w14:val="standardContextual"/>
        </w:rPr>
        <w:t>análise</w:t>
      </w:r>
      <w:r>
        <w:rPr>
          <w:rFonts w:cs="EB Garamond"/>
          <w:kern w:val="16"/>
          <w14:ligatures w14:val="standardContextual"/>
        </w:rPr>
        <w:t xml:space="preserve"> detalhada de cada faixa). Essa tabela encerrou sua </w:t>
      </w:r>
      <w:r w:rsidR="00AA2644">
        <w:rPr>
          <w:rFonts w:cs="EB Garamond"/>
          <w:kern w:val="16"/>
          <w14:ligatures w14:val="standardContextual"/>
        </w:rPr>
        <w:t>progressão</w:t>
      </w:r>
      <w:r>
        <w:rPr>
          <w:rFonts w:cs="EB Garamond"/>
          <w:kern w:val="16"/>
          <w14:ligatures w14:val="standardContextual"/>
        </w:rPr>
        <w:t xml:space="preserve"> em 2011, quando atingiu 180 </w:t>
      </w:r>
      <w:r w:rsidR="00AA2644">
        <w:rPr>
          <w:rFonts w:cs="EB Garamond"/>
          <w:kern w:val="16"/>
          <w14:ligatures w14:val="standardContextual"/>
        </w:rPr>
        <w:t>contribuições</w:t>
      </w:r>
      <w:r>
        <w:rPr>
          <w:rFonts w:cs="EB Garamond"/>
          <w:kern w:val="16"/>
          <w14:ligatures w14:val="standardContextual"/>
        </w:rPr>
        <w:t xml:space="preserve">. Para fins </w:t>
      </w:r>
      <w:r w:rsidR="00AA2644">
        <w:rPr>
          <w:rFonts w:cs="EB Garamond"/>
          <w:kern w:val="16"/>
          <w14:ligatures w14:val="standardContextual"/>
        </w:rPr>
        <w:t>práticos</w:t>
      </w:r>
      <w:r>
        <w:rPr>
          <w:rFonts w:cs="EB Garamond"/>
          <w:kern w:val="16"/>
          <w14:ligatures w14:val="standardContextual"/>
        </w:rPr>
        <w:t xml:space="preserve"> em 2026, a tabela do art. 142 somente e relevante para segurados que implementaram os requisitos da aposentadoria por idade antes de 2011.</w:t>
      </w:r>
    </w:p>
    <w:p w14:paraId="0D37C1DD" w14:textId="77777777" w:rsidR="005A5FCC" w:rsidRDefault="00A21C81">
      <w:pPr>
        <w:ind w:firstLine="238"/>
      </w:pPr>
      <w:r>
        <w:rPr>
          <w:rFonts w:cs="EB Garamond"/>
          <w:kern w:val="16"/>
          <w14:ligatures w14:val="standardContextual"/>
        </w:rPr>
        <w:t>Contudo, a aplicação da tabela do art. 142 ainda gera controvérsias nos JEFs, especialmente em relação ao marco temporal relevante para a fixação do número de contribuições exigido.</w:t>
      </w:r>
    </w:p>
    <w:tbl>
      <w:tblPr>
        <w:tblW w:w="5000" w:type="pct"/>
        <w:jc w:val="center"/>
        <w:tblLayout w:type="fixed"/>
        <w:tblLook w:val="04A0" w:firstRow="1" w:lastRow="0" w:firstColumn="1" w:lastColumn="0" w:noHBand="0" w:noVBand="1"/>
      </w:tblPr>
      <w:tblGrid>
        <w:gridCol w:w="6311"/>
      </w:tblGrid>
      <w:tr w:rsidR="005A5FCC" w14:paraId="7818BEA6"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2F14FF8C" w14:textId="77777777" w:rsidR="005A5FCC" w:rsidRDefault="00A21C81">
            <w:pPr>
              <w:spacing w:after="60" w:line="240" w:lineRule="auto"/>
              <w:jc w:val="left"/>
            </w:pPr>
            <w:r>
              <w:rPr>
                <w:rFonts w:ascii="Noto Sans" w:hAnsi="Noto Sans" w:cs="Noto Sans"/>
                <w:b/>
                <w:caps/>
                <w:color w:val="4D6F8A"/>
                <w:kern w:val="16"/>
                <w:sz w:val="16"/>
                <w14:ligatures w14:val="standardContextual"/>
              </w:rPr>
              <w:lastRenderedPageBreak/>
              <w:t>JURISPRUDÊNCIA EM DESTAQUE</w:t>
            </w:r>
          </w:p>
          <w:p w14:paraId="539C638B" w14:textId="77777777" w:rsidR="005A5FCC" w:rsidRDefault="00A21C81">
            <w:pPr>
              <w:spacing w:after="60" w:line="247" w:lineRule="auto"/>
            </w:pPr>
            <w:r>
              <w:rPr>
                <w:rFonts w:cs="EB Garamond"/>
                <w:b/>
                <w:kern w:val="16"/>
                <w:sz w:val="19"/>
                <w14:ligatures w14:val="standardContextual"/>
              </w:rPr>
              <w:t>TNU Súmula 44 — Marco temporal para aferição da carência (art. 142)</w:t>
            </w:r>
          </w:p>
          <w:p w14:paraId="31A3A27D" w14:textId="77777777" w:rsidR="005A5FCC" w:rsidRDefault="00A21C81">
            <w:pPr>
              <w:spacing w:after="60" w:line="247" w:lineRule="auto"/>
            </w:pPr>
            <w:r>
              <w:rPr>
                <w:rFonts w:cs="EB Garamond"/>
                <w:kern w:val="16"/>
                <w:sz w:val="19"/>
                <w14:ligatures w14:val="standardContextual"/>
              </w:rPr>
              <w:t>"Para efeito de aposentadoria urbana por idade, a tabela progressiva de carência prevista no art. 142 da Lei 8.213/91 deve ser aplicada em função do ano em que o segurado completa a idade mínima para a concessão do benefício, ainda que o período de carência somente seja preenchido posteriormente."</w:t>
            </w:r>
          </w:p>
          <w:p w14:paraId="6D9D6AD3" w14:textId="17559F44" w:rsidR="005A5FCC" w:rsidRDefault="00A21C81">
            <w:pPr>
              <w:spacing w:after="60" w:line="247" w:lineRule="auto"/>
            </w:pPr>
            <w:r>
              <w:rPr>
                <w:rFonts w:cs="EB Garamond"/>
                <w:b/>
                <w:kern w:val="16"/>
                <w:sz w:val="19"/>
                <w14:ligatures w14:val="standardContextual"/>
              </w:rPr>
              <w:t>Exemplo prático:</w:t>
            </w:r>
            <w:r>
              <w:rPr>
                <w:rFonts w:cs="EB Garamond"/>
                <w:kern w:val="16"/>
                <w:sz w:val="19"/>
                <w14:ligatures w14:val="standardContextual"/>
              </w:rPr>
              <w:t xml:space="preserve"> Um homem filiado em 1985 completou 65 anos em 2005. Pela tabela do art. 142, em 2005 a carência exigida era de 144 contribuições (12 anos). Se ele tinha apenas 120 </w:t>
            </w:r>
            <w:r w:rsidR="00AA2644">
              <w:rPr>
                <w:rFonts w:cs="EB Garamond"/>
                <w:kern w:val="16"/>
                <w:sz w:val="19"/>
                <w14:ligatures w14:val="standardContextual"/>
              </w:rPr>
              <w:t>contribuições</w:t>
            </w:r>
            <w:r>
              <w:rPr>
                <w:rFonts w:cs="EB Garamond"/>
                <w:kern w:val="16"/>
                <w:sz w:val="19"/>
                <w14:ligatures w14:val="standardContextual"/>
              </w:rPr>
              <w:t xml:space="preserve"> em 2005 e completou as 144 </w:t>
            </w:r>
            <w:r w:rsidR="00AA2644">
              <w:rPr>
                <w:rFonts w:cs="EB Garamond"/>
                <w:kern w:val="16"/>
                <w:sz w:val="19"/>
                <w14:ligatures w14:val="standardContextual"/>
              </w:rPr>
              <w:t>contribuições</w:t>
            </w:r>
            <w:r>
              <w:rPr>
                <w:rFonts w:cs="EB Garamond"/>
                <w:kern w:val="16"/>
                <w:sz w:val="19"/>
                <w14:ligatures w14:val="standardContextual"/>
              </w:rPr>
              <w:t xml:space="preserve"> somente em 2008, o </w:t>
            </w:r>
            <w:r w:rsidR="00AA2644">
              <w:rPr>
                <w:rFonts w:cs="EB Garamond"/>
                <w:kern w:val="16"/>
                <w:sz w:val="19"/>
                <w14:ligatures w14:val="standardContextual"/>
              </w:rPr>
              <w:t>número</w:t>
            </w:r>
            <w:r>
              <w:rPr>
                <w:rFonts w:cs="EB Garamond"/>
                <w:kern w:val="16"/>
                <w:sz w:val="19"/>
                <w14:ligatures w14:val="standardContextual"/>
              </w:rPr>
              <w:t xml:space="preserve"> de </w:t>
            </w:r>
            <w:r w:rsidR="00AA2644">
              <w:rPr>
                <w:rFonts w:cs="EB Garamond"/>
                <w:kern w:val="16"/>
                <w:sz w:val="19"/>
                <w14:ligatures w14:val="standardContextual"/>
              </w:rPr>
              <w:t>contribuições</w:t>
            </w:r>
            <w:r>
              <w:rPr>
                <w:rFonts w:cs="EB Garamond"/>
                <w:kern w:val="16"/>
                <w:sz w:val="19"/>
                <w14:ligatures w14:val="standardContextual"/>
              </w:rPr>
              <w:t xml:space="preserve"> exigido continua sendo 144 (nao 162, que seria o exigido em 2008 pela tabela do art. 142).</w:t>
            </w:r>
          </w:p>
          <w:p w14:paraId="4B18238D" w14:textId="77777777" w:rsidR="005A5FCC" w:rsidRDefault="00A21C81">
            <w:pPr>
              <w:spacing w:after="60" w:line="247" w:lineRule="auto"/>
            </w:pPr>
            <w:r>
              <w:rPr>
                <w:rFonts w:cs="EB Garamond"/>
                <w:kern w:val="16"/>
                <w:sz w:val="19"/>
                <w14:ligatures w14:val="standardContextual"/>
              </w:rPr>
              <w:t>Essa súmula beneficia enormemente segurados com histórico contributivo intermitente que atingem a idade avançada antes de completar a carência. O ano de implemento da idade "congela" o número de contribuições exigido.</w:t>
            </w:r>
          </w:p>
        </w:tc>
      </w:tr>
    </w:tbl>
    <w:p w14:paraId="6856CBC1" w14:textId="77777777" w:rsidR="005A5FCC" w:rsidRDefault="005A5FCC">
      <w:pPr>
        <w:spacing w:after="80" w:line="240" w:lineRule="auto"/>
      </w:pPr>
    </w:p>
    <w:p w14:paraId="64D3A937" w14:textId="47183948"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 xml:space="preserve">10.6 </w:t>
      </w:r>
      <w:r w:rsidR="00AA2644">
        <w:rPr>
          <w:rFonts w:cs="EB Garamond"/>
          <w:b/>
          <w:color w:val="3A3128"/>
          <w:kern w:val="16"/>
          <w:sz w:val="31"/>
          <w14:ligatures w14:val="standardContextual"/>
        </w:rPr>
        <w:t>Carência</w:t>
      </w:r>
      <w:r>
        <w:rPr>
          <w:rFonts w:cs="EB Garamond"/>
          <w:b/>
          <w:color w:val="3A3128"/>
          <w:kern w:val="16"/>
          <w:sz w:val="31"/>
          <w14:ligatures w14:val="standardContextual"/>
        </w:rPr>
        <w:t xml:space="preserve">: contagem e </w:t>
      </w:r>
      <w:r w:rsidR="00AA2644">
        <w:rPr>
          <w:rFonts w:cs="EB Garamond"/>
          <w:b/>
          <w:color w:val="3A3128"/>
          <w:kern w:val="16"/>
          <w:sz w:val="31"/>
          <w14:ligatures w14:val="standardContextual"/>
        </w:rPr>
        <w:t>controvérsias</w:t>
      </w:r>
      <w:r>
        <w:rPr>
          <w:rFonts w:cs="EB Garamond"/>
          <w:b/>
          <w:color w:val="3A3128"/>
          <w:kern w:val="16"/>
          <w:sz w:val="31"/>
          <w14:ligatures w14:val="standardContextual"/>
        </w:rPr>
        <w:t xml:space="preserve"> na aposentadoria por idade</w:t>
      </w:r>
    </w:p>
    <w:p w14:paraId="270F97B8"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1C3C4789" w14:textId="0C5A5AD2" w:rsidR="005A5FCC" w:rsidRDefault="00A21C81">
      <w:r>
        <w:rPr>
          <w:rFonts w:cs="EB Garamond"/>
          <w:kern w:val="16"/>
          <w14:ligatures w14:val="standardContextual"/>
        </w:rPr>
        <w:t xml:space="preserve"> tratamento geral da </w:t>
      </w:r>
      <w:r w:rsidR="00AA2644">
        <w:rPr>
          <w:rFonts w:cs="EB Garamond"/>
          <w:kern w:val="16"/>
          <w14:ligatures w14:val="standardContextual"/>
        </w:rPr>
        <w:t>carência</w:t>
      </w:r>
      <w:r>
        <w:rPr>
          <w:rFonts w:cs="EB Garamond"/>
          <w:kern w:val="16"/>
          <w14:ligatures w14:val="standardContextual"/>
        </w:rPr>
        <w:t xml:space="preserve"> — conceito, </w:t>
      </w:r>
      <w:r w:rsidR="00AA2644">
        <w:rPr>
          <w:rFonts w:cs="EB Garamond"/>
          <w:kern w:val="16"/>
          <w14:ligatures w14:val="standardContextual"/>
        </w:rPr>
        <w:t>histórico</w:t>
      </w:r>
      <w:r>
        <w:rPr>
          <w:rFonts w:cs="EB Garamond"/>
          <w:kern w:val="16"/>
          <w14:ligatures w14:val="standardContextual"/>
        </w:rPr>
        <w:t xml:space="preserve"> legislativo e regime </w:t>
      </w:r>
      <w:r w:rsidR="00AA2644">
        <w:rPr>
          <w:rFonts w:cs="EB Garamond"/>
          <w:kern w:val="16"/>
          <w14:ligatures w14:val="standardContextual"/>
        </w:rPr>
        <w:t>jurídico</w:t>
      </w:r>
      <w:r>
        <w:rPr>
          <w:rFonts w:cs="EB Garamond"/>
          <w:kern w:val="16"/>
          <w14:ligatures w14:val="standardContextual"/>
        </w:rPr>
        <w:t xml:space="preserve"> — encontra-se no Cap</w:t>
      </w:r>
      <w:r w:rsidR="00AA2644">
        <w:rPr>
          <w:rFonts w:cs="EB Garamond"/>
          <w:kern w:val="16"/>
          <w14:ligatures w14:val="standardContextual"/>
        </w:rPr>
        <w:t>í</w:t>
      </w:r>
      <w:r>
        <w:rPr>
          <w:rFonts w:cs="EB Garamond"/>
          <w:kern w:val="16"/>
          <w14:ligatures w14:val="standardContextual"/>
        </w:rPr>
        <w:t>tulo 3 (</w:t>
      </w:r>
      <w:r w:rsidR="00AA2644">
        <w:rPr>
          <w:rFonts w:cs="EB Garamond"/>
          <w:kern w:val="16"/>
          <w14:ligatures w14:val="standardContextual"/>
        </w:rPr>
        <w:t>seções</w:t>
      </w:r>
      <w:r>
        <w:rPr>
          <w:rFonts w:cs="EB Garamond"/>
          <w:kern w:val="16"/>
          <w14:ligatures w14:val="standardContextual"/>
        </w:rPr>
        <w:t xml:space="preserve"> 3.4 a 3.6). Nesta </w:t>
      </w:r>
      <w:r w:rsidR="00AA2644">
        <w:rPr>
          <w:rFonts w:cs="EB Garamond"/>
          <w:kern w:val="16"/>
          <w14:ligatures w14:val="standardContextual"/>
        </w:rPr>
        <w:t>seção</w:t>
      </w:r>
      <w:r>
        <w:rPr>
          <w:rFonts w:cs="EB Garamond"/>
          <w:kern w:val="16"/>
          <w14:ligatures w14:val="standardContextual"/>
        </w:rPr>
        <w:t xml:space="preserve">, examina-se a </w:t>
      </w:r>
      <w:r w:rsidR="00AA2644">
        <w:rPr>
          <w:rFonts w:cs="EB Garamond"/>
          <w:kern w:val="16"/>
          <w14:ligatures w14:val="standardContextual"/>
        </w:rPr>
        <w:t>aplicação</w:t>
      </w:r>
      <w:r>
        <w:rPr>
          <w:rFonts w:cs="EB Garamond"/>
          <w:kern w:val="16"/>
          <w14:ligatures w14:val="standardContextual"/>
        </w:rPr>
        <w:t xml:space="preserve"> concreta do instituto a aposentadoria por idade.</w:t>
      </w:r>
    </w:p>
    <w:p w14:paraId="4F911681" w14:textId="2DFA45A5" w:rsidR="005A5FCC" w:rsidRDefault="00A21C81">
      <w:pPr>
        <w:spacing w:before="260" w:after="80" w:line="240" w:lineRule="auto"/>
        <w:jc w:val="left"/>
      </w:pPr>
      <w:r>
        <w:rPr>
          <w:rFonts w:cs="EB Garamond"/>
          <w:b/>
          <w:color w:val="3A3128"/>
          <w:kern w:val="16"/>
          <w:sz w:val="25"/>
          <w14:ligatures w14:val="standardContextual"/>
        </w:rPr>
        <w:t xml:space="preserve">10.6.1 </w:t>
      </w:r>
      <w:r w:rsidR="00AA2644">
        <w:rPr>
          <w:rFonts w:cs="EB Garamond"/>
          <w:b/>
          <w:color w:val="3A3128"/>
          <w:kern w:val="16"/>
          <w:sz w:val="25"/>
          <w14:ligatures w14:val="standardContextual"/>
        </w:rPr>
        <w:t>Carência</w:t>
      </w:r>
      <w:r>
        <w:rPr>
          <w:rFonts w:cs="EB Garamond"/>
          <w:b/>
          <w:color w:val="3A3128"/>
          <w:kern w:val="16"/>
          <w:sz w:val="25"/>
          <w14:ligatures w14:val="standardContextual"/>
        </w:rPr>
        <w:t xml:space="preserve"> vs. Tempo de </w:t>
      </w:r>
      <w:r w:rsidR="00AA2644">
        <w:rPr>
          <w:rFonts w:cs="EB Garamond"/>
          <w:b/>
          <w:color w:val="3A3128"/>
          <w:kern w:val="16"/>
          <w:sz w:val="25"/>
          <w14:ligatures w14:val="standardContextual"/>
        </w:rPr>
        <w:t>contribuição</w:t>
      </w:r>
      <w:r>
        <w:rPr>
          <w:rFonts w:cs="EB Garamond"/>
          <w:b/>
          <w:color w:val="3A3128"/>
          <w:kern w:val="16"/>
          <w:sz w:val="25"/>
          <w14:ligatures w14:val="standardContextual"/>
        </w:rPr>
        <w:t xml:space="preserve">: </w:t>
      </w:r>
      <w:r w:rsidR="00AA2644">
        <w:rPr>
          <w:rFonts w:cs="EB Garamond"/>
          <w:b/>
          <w:color w:val="3A3128"/>
          <w:kern w:val="16"/>
          <w:sz w:val="25"/>
          <w14:ligatures w14:val="standardContextual"/>
        </w:rPr>
        <w:t>distinção</w:t>
      </w:r>
      <w:r>
        <w:rPr>
          <w:rFonts w:cs="EB Garamond"/>
          <w:b/>
          <w:color w:val="3A3128"/>
          <w:kern w:val="16"/>
          <w:sz w:val="25"/>
          <w14:ligatures w14:val="standardContextual"/>
        </w:rPr>
        <w:t xml:space="preserve"> pr</w:t>
      </w:r>
      <w:r w:rsidR="00AA2644">
        <w:rPr>
          <w:rFonts w:cs="EB Garamond"/>
          <w:b/>
          <w:color w:val="3A3128"/>
          <w:kern w:val="16"/>
          <w:sz w:val="25"/>
          <w14:ligatures w14:val="standardContextual"/>
        </w:rPr>
        <w:t>á</w:t>
      </w:r>
      <w:r>
        <w:rPr>
          <w:rFonts w:cs="EB Garamond"/>
          <w:b/>
          <w:color w:val="3A3128"/>
          <w:kern w:val="16"/>
          <w:sz w:val="25"/>
          <w14:ligatures w14:val="standardContextual"/>
        </w:rPr>
        <w:t>tica</w:t>
      </w:r>
    </w:p>
    <w:p w14:paraId="0C19348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C</w:t>
      </w:r>
    </w:p>
    <w:p w14:paraId="3DFFB99D" w14:textId="5B034511" w:rsidR="005A5FCC" w:rsidRDefault="00A21C81">
      <w:r>
        <w:rPr>
          <w:rFonts w:cs="EB Garamond"/>
          <w:kern w:val="16"/>
          <w14:ligatures w14:val="standardContextual"/>
        </w:rPr>
        <w:t xml:space="preserve">arencia e o </w:t>
      </w:r>
      <w:r w:rsidR="00AA2644">
        <w:rPr>
          <w:rFonts w:cs="EB Garamond"/>
          <w:kern w:val="16"/>
          <w14:ligatures w14:val="standardContextual"/>
        </w:rPr>
        <w:t>número</w:t>
      </w:r>
      <w:r>
        <w:rPr>
          <w:rFonts w:cs="EB Garamond"/>
          <w:kern w:val="16"/>
          <w14:ligatures w14:val="standardContextual"/>
        </w:rPr>
        <w:t xml:space="preserve"> </w:t>
      </w:r>
      <w:r w:rsidR="00AA2644">
        <w:rPr>
          <w:rFonts w:cs="EB Garamond"/>
          <w:kern w:val="16"/>
          <w14:ligatures w14:val="standardContextual"/>
        </w:rPr>
        <w:t>mínimo</w:t>
      </w:r>
      <w:r>
        <w:rPr>
          <w:rFonts w:cs="EB Garamond"/>
          <w:kern w:val="16"/>
          <w14:ligatures w14:val="standardContextual"/>
        </w:rPr>
        <w:t xml:space="preserve"> de </w:t>
      </w:r>
      <w:r w:rsidR="00AA2644">
        <w:rPr>
          <w:rFonts w:cs="EB Garamond"/>
          <w:kern w:val="16"/>
          <w14:ligatures w14:val="standardContextual"/>
        </w:rPr>
        <w:t>contribuições</w:t>
      </w:r>
      <w:r>
        <w:rPr>
          <w:rFonts w:cs="EB Garamond"/>
          <w:kern w:val="16"/>
          <w14:ligatures w14:val="standardContextual"/>
        </w:rPr>
        <w:t xml:space="preserve"> mensais </w:t>
      </w:r>
      <w:r w:rsidR="00AA2644">
        <w:rPr>
          <w:rFonts w:cs="EB Garamond"/>
          <w:kern w:val="16"/>
          <w14:ligatures w14:val="standardContextual"/>
        </w:rPr>
        <w:t>indispensáveis</w:t>
      </w:r>
      <w:r>
        <w:rPr>
          <w:rFonts w:cs="EB Garamond"/>
          <w:kern w:val="16"/>
          <w14:ligatures w14:val="standardContextual"/>
        </w:rPr>
        <w:t xml:space="preserve"> para que o </w:t>
      </w:r>
      <w:r w:rsidR="00AA2644">
        <w:rPr>
          <w:rFonts w:cs="EB Garamond"/>
          <w:kern w:val="16"/>
          <w14:ligatures w14:val="standardContextual"/>
        </w:rPr>
        <w:t>beneficiário</w:t>
      </w:r>
      <w:r>
        <w:rPr>
          <w:rFonts w:cs="EB Garamond"/>
          <w:kern w:val="16"/>
          <w14:ligatures w14:val="standardContextual"/>
        </w:rPr>
        <w:t xml:space="preserve"> faça jus ao </w:t>
      </w:r>
      <w:r w:rsidR="00AA2644">
        <w:rPr>
          <w:rFonts w:cs="EB Garamond"/>
          <w:kern w:val="16"/>
          <w14:ligatures w14:val="standardContextual"/>
        </w:rPr>
        <w:t>benefício</w:t>
      </w:r>
      <w:r>
        <w:rPr>
          <w:rFonts w:cs="EB Garamond"/>
          <w:kern w:val="16"/>
          <w14:ligatures w14:val="standardContextual"/>
        </w:rPr>
        <w:t xml:space="preserve"> (art. 24 da Lei 8.213/91). Para a aposentadoria por idade e para a aposentadoria programada, a </w:t>
      </w:r>
      <w:r w:rsidR="00AA2644">
        <w:rPr>
          <w:rFonts w:cs="EB Garamond"/>
          <w:kern w:val="16"/>
          <w14:ligatures w14:val="standardContextual"/>
        </w:rPr>
        <w:t>carência</w:t>
      </w:r>
      <w:r>
        <w:rPr>
          <w:rFonts w:cs="EB Garamond"/>
          <w:kern w:val="16"/>
          <w14:ligatures w14:val="standardContextual"/>
        </w:rPr>
        <w:t xml:space="preserve"> e de 180 </w:t>
      </w:r>
      <w:r w:rsidR="00AA2644">
        <w:rPr>
          <w:rFonts w:cs="EB Garamond"/>
          <w:kern w:val="16"/>
          <w14:ligatures w14:val="standardContextual"/>
        </w:rPr>
        <w:t>contribuições</w:t>
      </w:r>
      <w:r>
        <w:rPr>
          <w:rFonts w:cs="EB Garamond"/>
          <w:kern w:val="16"/>
          <w14:ligatures w14:val="standardContextual"/>
        </w:rPr>
        <w:t xml:space="preserve"> mensais (art. 25, II). A </w:t>
      </w:r>
      <w:r w:rsidR="00AA2644">
        <w:rPr>
          <w:rFonts w:cs="EB Garamond"/>
          <w:kern w:val="16"/>
          <w14:ligatures w14:val="standardContextual"/>
        </w:rPr>
        <w:t>distinção</w:t>
      </w:r>
      <w:r>
        <w:rPr>
          <w:rFonts w:cs="EB Garamond"/>
          <w:kern w:val="16"/>
          <w14:ligatures w14:val="standardContextual"/>
        </w:rPr>
        <w:t xml:space="preserve"> entre </w:t>
      </w:r>
      <w:r w:rsidR="00AA2644">
        <w:rPr>
          <w:rFonts w:cs="EB Garamond"/>
          <w:kern w:val="16"/>
          <w14:ligatures w14:val="standardContextual"/>
        </w:rPr>
        <w:t>carência</w:t>
      </w:r>
      <w:r>
        <w:rPr>
          <w:rFonts w:cs="EB Garamond"/>
          <w:kern w:val="16"/>
          <w14:ligatures w14:val="standardContextual"/>
        </w:rPr>
        <w:t xml:space="preserve"> e tempo de </w:t>
      </w:r>
      <w:r w:rsidR="00AA2644">
        <w:rPr>
          <w:rFonts w:cs="EB Garamond"/>
          <w:kern w:val="16"/>
          <w14:ligatures w14:val="standardContextual"/>
        </w:rPr>
        <w:t>contribuição</w:t>
      </w:r>
      <w:r>
        <w:rPr>
          <w:rFonts w:cs="EB Garamond"/>
          <w:kern w:val="16"/>
          <w14:ligatures w14:val="standardContextual"/>
        </w:rPr>
        <w:t xml:space="preserve"> e decisiva nesta modalidade de </w:t>
      </w:r>
      <w:r w:rsidR="00AA2644">
        <w:rPr>
          <w:rFonts w:cs="EB Garamond"/>
          <w:kern w:val="16"/>
          <w14:ligatures w14:val="standardContextual"/>
        </w:rPr>
        <w:t>benefício</w:t>
      </w:r>
      <w:r>
        <w:rPr>
          <w:rFonts w:cs="EB Garamond"/>
          <w:kern w:val="16"/>
          <w14:ligatures w14:val="standardContextual"/>
        </w:rPr>
        <w:t xml:space="preserve">: </w:t>
      </w:r>
      <w:r w:rsidR="00AA2644">
        <w:rPr>
          <w:rFonts w:cs="EB Garamond"/>
          <w:kern w:val="16"/>
          <w14:ligatures w14:val="standardContextual"/>
        </w:rPr>
        <w:t>períodos</w:t>
      </w:r>
      <w:r>
        <w:rPr>
          <w:rFonts w:cs="EB Garamond"/>
          <w:kern w:val="16"/>
          <w14:ligatures w14:val="standardContextual"/>
        </w:rPr>
        <w:t xml:space="preserve"> </w:t>
      </w:r>
      <w:r w:rsidR="00AA2644">
        <w:rPr>
          <w:rFonts w:cs="EB Garamond"/>
          <w:kern w:val="16"/>
          <w14:ligatures w14:val="standardContextual"/>
        </w:rPr>
        <w:t>computáveis</w:t>
      </w:r>
      <w:r>
        <w:rPr>
          <w:rFonts w:cs="EB Garamond"/>
          <w:kern w:val="16"/>
          <w14:ligatures w14:val="standardContextual"/>
        </w:rPr>
        <w:t xml:space="preserve"> como tempo de </w:t>
      </w:r>
      <w:r w:rsidR="00AA2644">
        <w:rPr>
          <w:rFonts w:cs="EB Garamond"/>
          <w:kern w:val="16"/>
          <w14:ligatures w14:val="standardContextual"/>
        </w:rPr>
        <w:t>contribuição</w:t>
      </w:r>
      <w:r>
        <w:rPr>
          <w:rFonts w:cs="EB Garamond"/>
          <w:kern w:val="16"/>
          <w14:ligatures w14:val="standardContextual"/>
        </w:rPr>
        <w:t xml:space="preserve"> podem </w:t>
      </w:r>
      <w:r w:rsidR="00AA2644">
        <w:rPr>
          <w:rFonts w:cs="EB Garamond"/>
          <w:kern w:val="16"/>
          <w14:ligatures w14:val="standardContextual"/>
        </w:rPr>
        <w:t>não</w:t>
      </w:r>
      <w:r>
        <w:rPr>
          <w:rFonts w:cs="EB Garamond"/>
          <w:kern w:val="16"/>
          <w14:ligatures w14:val="standardContextual"/>
        </w:rPr>
        <w:t xml:space="preserve"> gerar </w:t>
      </w:r>
      <w:r w:rsidR="00AA2644">
        <w:rPr>
          <w:rFonts w:cs="EB Garamond"/>
          <w:kern w:val="16"/>
          <w14:ligatures w14:val="standardContextual"/>
        </w:rPr>
        <w:t>carência</w:t>
      </w:r>
      <w:r>
        <w:rPr>
          <w:rFonts w:cs="EB Garamond"/>
          <w:kern w:val="16"/>
          <w14:ligatures w14:val="standardContextual"/>
        </w:rPr>
        <w:t xml:space="preserve"> — o caso mais relevante sendo o tempo de </w:t>
      </w:r>
      <w:r w:rsidR="00AA2644">
        <w:rPr>
          <w:rFonts w:cs="EB Garamond"/>
          <w:kern w:val="16"/>
          <w14:ligatures w14:val="standardContextual"/>
        </w:rPr>
        <w:t>serviço</w:t>
      </w:r>
      <w:r>
        <w:rPr>
          <w:rFonts w:cs="EB Garamond"/>
          <w:kern w:val="16"/>
          <w14:ligatures w14:val="standardContextual"/>
        </w:rPr>
        <w:t xml:space="preserve"> rural anterior a novembro de 1991, que conta como </w:t>
      </w:r>
      <w:r>
        <w:rPr>
          <w:rFonts w:cs="EB Garamond"/>
          <w:kern w:val="16"/>
          <w14:ligatures w14:val="standardContextual"/>
        </w:rPr>
        <w:lastRenderedPageBreak/>
        <w:t xml:space="preserve">tempo de </w:t>
      </w:r>
      <w:r w:rsidR="00AA2644">
        <w:rPr>
          <w:rFonts w:cs="EB Garamond"/>
          <w:kern w:val="16"/>
          <w14:ligatures w14:val="standardContextual"/>
        </w:rPr>
        <w:t>contribuição,</w:t>
      </w:r>
      <w:r>
        <w:rPr>
          <w:rFonts w:cs="EB Garamond"/>
          <w:kern w:val="16"/>
          <w14:ligatures w14:val="standardContextual"/>
        </w:rPr>
        <w:t xml:space="preserve"> mas </w:t>
      </w:r>
      <w:r w:rsidR="00AA2644">
        <w:rPr>
          <w:rFonts w:cs="EB Garamond"/>
          <w:kern w:val="16"/>
          <w14:ligatures w14:val="standardContextual"/>
        </w:rPr>
        <w:t>não</w:t>
      </w:r>
      <w:r>
        <w:rPr>
          <w:rFonts w:cs="EB Garamond"/>
          <w:kern w:val="16"/>
          <w14:ligatures w14:val="standardContextual"/>
        </w:rPr>
        <w:t xml:space="preserve"> como </w:t>
      </w:r>
      <w:r w:rsidR="00AA2644">
        <w:rPr>
          <w:rFonts w:cs="EB Garamond"/>
          <w:kern w:val="16"/>
          <w14:ligatures w14:val="standardContextual"/>
        </w:rPr>
        <w:t>carência</w:t>
      </w:r>
      <w:r>
        <w:rPr>
          <w:rFonts w:cs="EB Garamond"/>
          <w:kern w:val="16"/>
          <w14:ligatures w14:val="standardContextual"/>
        </w:rPr>
        <w:t xml:space="preserve"> na aposentadoria por idade urbana (v. </w:t>
      </w:r>
      <w:r w:rsidR="00AA2644">
        <w:rPr>
          <w:rFonts w:cs="EB Garamond"/>
          <w:kern w:val="16"/>
          <w14:ligatures w14:val="standardContextual"/>
        </w:rPr>
        <w:t>Seção</w:t>
      </w:r>
      <w:r>
        <w:rPr>
          <w:rFonts w:cs="EB Garamond"/>
          <w:kern w:val="16"/>
          <w14:ligatures w14:val="standardContextual"/>
        </w:rPr>
        <w:t xml:space="preserve"> 10.13 e </w:t>
      </w:r>
      <w:r w:rsidR="00AA2644">
        <w:rPr>
          <w:rFonts w:cs="EB Garamond"/>
          <w:kern w:val="16"/>
          <w14:ligatures w14:val="standardContextual"/>
        </w:rPr>
        <w:t>Capítulo</w:t>
      </w:r>
      <w:r>
        <w:rPr>
          <w:rFonts w:cs="EB Garamond"/>
          <w:kern w:val="16"/>
          <w14:ligatures w14:val="standardContextual"/>
        </w:rPr>
        <w:t xml:space="preserve"> 9).</w:t>
      </w:r>
    </w:p>
    <w:p w14:paraId="16808ED5" w14:textId="77777777" w:rsidR="005A5FCC" w:rsidRDefault="00A21C81">
      <w:pPr>
        <w:spacing w:before="260" w:after="80" w:line="240" w:lineRule="auto"/>
        <w:jc w:val="left"/>
      </w:pPr>
      <w:r>
        <w:rPr>
          <w:rFonts w:cs="EB Garamond"/>
          <w:b/>
          <w:color w:val="3A3128"/>
          <w:kern w:val="16"/>
          <w:sz w:val="25"/>
          <w14:ligatures w14:val="standardContextual"/>
        </w:rPr>
        <w:t>10.6.2 Início da contagem de carência</w:t>
      </w:r>
    </w:p>
    <w:p w14:paraId="5CF45034"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P</w:t>
      </w:r>
    </w:p>
    <w:p w14:paraId="23B5B807" w14:textId="77777777" w:rsidR="005A5FCC" w:rsidRDefault="00A21C81">
      <w:r>
        <w:rPr>
          <w:rFonts w:cs="EB Garamond"/>
          <w:kern w:val="16"/>
          <w14:ligatures w14:val="standardContextual"/>
        </w:rPr>
        <w:t>ara o segurado empregado e o trabalhador avulso, a carência é contada a partir da data da filiação ao RGPS (art. 27, I, Lei 8.213/91), porque o recolhimento da contribuição é responsabilidade do empregador. A contagem independe do efetivo recolhimento pelo empregador — se o empregador não recolheu, a responsabilidade é deste, e o trabalhador não pode ser prejudicado (princípio da automaticidade da filiação).</w:t>
      </w:r>
    </w:p>
    <w:p w14:paraId="0D61B5EB" w14:textId="77777777" w:rsidR="005A5FCC" w:rsidRDefault="00A21C81">
      <w:pPr>
        <w:ind w:firstLine="238"/>
      </w:pPr>
      <w:r>
        <w:rPr>
          <w:rFonts w:cs="EB Garamond"/>
          <w:kern w:val="16"/>
          <w14:ligatures w14:val="standardContextual"/>
        </w:rPr>
        <w:t>Para o contribuinte individual e o segurado facultativo, a carência é contada a partir do primeiro recolhimento sem atraso (art. 27, II). Contribuições recolhidas em atraso, com juros e multa, não são computadas para fins de carência, nos termos do art. 27, II, da Lei 8.213/91, salvo nas hipóteses expressamente previstas no Decreto 3.048/99.</w:t>
      </w:r>
    </w:p>
    <w:tbl>
      <w:tblPr>
        <w:tblW w:w="5000" w:type="pct"/>
        <w:jc w:val="center"/>
        <w:tblLayout w:type="fixed"/>
        <w:tblLook w:val="04A0" w:firstRow="1" w:lastRow="0" w:firstColumn="1" w:lastColumn="0" w:noHBand="0" w:noVBand="1"/>
      </w:tblPr>
      <w:tblGrid>
        <w:gridCol w:w="6311"/>
      </w:tblGrid>
      <w:tr w:rsidR="005A5FCC" w14:paraId="11CF6E5E"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788CB5E2"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492AA42D" w14:textId="77777777" w:rsidR="005A5FCC" w:rsidRDefault="00A21C81">
            <w:pPr>
              <w:spacing w:after="60" w:line="247" w:lineRule="auto"/>
            </w:pPr>
            <w:r>
              <w:rPr>
                <w:rFonts w:cs="EB Garamond"/>
                <w:b/>
                <w:kern w:val="16"/>
                <w:sz w:val="19"/>
                <w14:ligatures w14:val="standardContextual"/>
              </w:rPr>
              <w:t>Contribuições em atraso e carência — armadilha frequente</w:t>
            </w:r>
          </w:p>
          <w:p w14:paraId="03E91C9B" w14:textId="77777777" w:rsidR="005A5FCC" w:rsidRDefault="00A21C81">
            <w:pPr>
              <w:spacing w:after="60" w:line="247" w:lineRule="auto"/>
            </w:pPr>
            <w:r>
              <w:rPr>
                <w:rFonts w:cs="EB Garamond"/>
                <w:kern w:val="16"/>
                <w:sz w:val="19"/>
                <w14:ligatures w14:val="standardContextual"/>
              </w:rPr>
              <w:t xml:space="preserve">A prática nos JEFs revela uma situação recorrente: o contribuinte individual que, ao constatar que lhe faltam poucos meses para completar a carência de 180 contribuições, efetua o recolhimento retroativo de competências passadas. Essas contribuições em atraso, embora validem o período como tempo de contribuição (mediante indenização), </w:t>
            </w:r>
            <w:r>
              <w:rPr>
                <w:rFonts w:cs="EB Garamond"/>
                <w:b/>
                <w:kern w:val="16"/>
                <w:sz w:val="19"/>
                <w14:ligatures w14:val="standardContextual"/>
              </w:rPr>
              <w:t>não são computadas para fins de carência.</w:t>
            </w:r>
          </w:p>
          <w:p w14:paraId="20FB1A03" w14:textId="77777777" w:rsidR="005A5FCC" w:rsidRDefault="00A21C81">
            <w:pPr>
              <w:spacing w:after="60" w:line="247" w:lineRule="auto"/>
            </w:pPr>
            <w:r>
              <w:rPr>
                <w:rFonts w:cs="EB Garamond"/>
                <w:kern w:val="16"/>
                <w:sz w:val="19"/>
                <w14:ligatures w14:val="standardContextual"/>
              </w:rPr>
              <w:t>O advogado deve alertar o cliente sobre essa distinção antes de orientá-lo a efetuar recolhimentos retroativos. Em muitos casos, é mais eficiente aguardar o transcurso dos meses faltantes com contribuições em dia do que pagar retroativamente valores que não serão aproveitados para carência.</w:t>
            </w:r>
          </w:p>
          <w:p w14:paraId="5C21A54D" w14:textId="184E52D3" w:rsidR="005A5FCC" w:rsidRDefault="00AA2644">
            <w:pPr>
              <w:spacing w:after="60" w:line="247" w:lineRule="auto"/>
            </w:pPr>
            <w:r>
              <w:rPr>
                <w:rFonts w:cs="EB Garamond"/>
                <w:kern w:val="16"/>
                <w:sz w:val="19"/>
                <w14:ligatures w14:val="standardContextual"/>
              </w:rPr>
              <w:t>Exceção</w:t>
            </w:r>
            <w:r w:rsidR="00A21C81">
              <w:rPr>
                <w:rFonts w:cs="EB Garamond"/>
                <w:kern w:val="16"/>
                <w:sz w:val="19"/>
                <w14:ligatures w14:val="standardContextual"/>
              </w:rPr>
              <w:t xml:space="preserve">: </w:t>
            </w:r>
            <w:r>
              <w:rPr>
                <w:rFonts w:cs="EB Garamond"/>
                <w:kern w:val="16"/>
                <w:sz w:val="19"/>
                <w14:ligatures w14:val="standardContextual"/>
              </w:rPr>
              <w:t>contribuições</w:t>
            </w:r>
            <w:r w:rsidR="00A21C81">
              <w:rPr>
                <w:rFonts w:cs="EB Garamond"/>
                <w:kern w:val="16"/>
                <w:sz w:val="19"/>
                <w14:ligatures w14:val="standardContextual"/>
              </w:rPr>
              <w:t xml:space="preserve"> em atraso para </w:t>
            </w:r>
            <w:r>
              <w:rPr>
                <w:rFonts w:cs="EB Garamond"/>
                <w:kern w:val="16"/>
                <w:sz w:val="19"/>
                <w14:ligatures w14:val="standardContextual"/>
              </w:rPr>
              <w:t>períodos</w:t>
            </w:r>
            <w:r w:rsidR="00A21C81">
              <w:rPr>
                <w:rFonts w:cs="EB Garamond"/>
                <w:kern w:val="16"/>
                <w:sz w:val="19"/>
                <w14:ligatures w14:val="standardContextual"/>
              </w:rPr>
              <w:t xml:space="preserve"> em que o segurado exercia atividade como contribuinte individual, com prova da atividade, podem ser computadas para </w:t>
            </w:r>
            <w:r>
              <w:rPr>
                <w:rFonts w:cs="EB Garamond"/>
                <w:kern w:val="16"/>
                <w:sz w:val="19"/>
                <w14:ligatures w14:val="standardContextual"/>
              </w:rPr>
              <w:t>carência</w:t>
            </w:r>
            <w:r w:rsidR="00A21C81">
              <w:rPr>
                <w:rFonts w:cs="EB Garamond"/>
                <w:kern w:val="16"/>
                <w:sz w:val="19"/>
                <w14:ligatures w14:val="standardContextual"/>
              </w:rPr>
              <w:t xml:space="preserve"> quando o primeiro recolhimento sem atraso tiver ocorrido anteriormente (art. 27, II, da Lei 8.213/91, c/c o art. 27-A da mesma lei, na </w:t>
            </w:r>
            <w:r>
              <w:rPr>
                <w:rFonts w:cs="EB Garamond"/>
                <w:kern w:val="16"/>
                <w:sz w:val="19"/>
                <w14:ligatures w14:val="standardContextual"/>
              </w:rPr>
              <w:t>redação</w:t>
            </w:r>
            <w:r w:rsidR="00A21C81">
              <w:rPr>
                <w:rFonts w:cs="EB Garamond"/>
                <w:kern w:val="16"/>
                <w:sz w:val="19"/>
                <w14:ligatures w14:val="standardContextual"/>
              </w:rPr>
              <w:t xml:space="preserve"> da Lei 13.846/2019, e o art. 26 do Decreto 3.048/99, com a </w:t>
            </w:r>
            <w:r>
              <w:rPr>
                <w:rFonts w:cs="EB Garamond"/>
                <w:kern w:val="16"/>
                <w:sz w:val="19"/>
                <w14:ligatures w14:val="standardContextual"/>
              </w:rPr>
              <w:t>redação</w:t>
            </w:r>
            <w:r w:rsidR="00A21C81">
              <w:rPr>
                <w:rFonts w:cs="EB Garamond"/>
                <w:kern w:val="16"/>
                <w:sz w:val="19"/>
                <w14:ligatures w14:val="standardContextual"/>
              </w:rPr>
              <w:t xml:space="preserve"> do Decreto 10.410/2020).</w:t>
            </w:r>
          </w:p>
        </w:tc>
      </w:tr>
    </w:tbl>
    <w:p w14:paraId="5DC9B522" w14:textId="77777777" w:rsidR="005A5FCC" w:rsidRDefault="005A5FCC">
      <w:pPr>
        <w:spacing w:after="80" w:line="240" w:lineRule="auto"/>
      </w:pPr>
    </w:p>
    <w:p w14:paraId="1E36C0E8" w14:textId="77777777" w:rsidR="005A5FCC" w:rsidRDefault="00A21C81">
      <w:pPr>
        <w:spacing w:before="260" w:after="80" w:line="240" w:lineRule="auto"/>
        <w:jc w:val="left"/>
      </w:pPr>
      <w:r>
        <w:rPr>
          <w:rFonts w:cs="EB Garamond"/>
          <w:b/>
          <w:color w:val="3A3128"/>
          <w:kern w:val="16"/>
          <w:sz w:val="25"/>
          <w14:ligatures w14:val="standardContextual"/>
        </w:rPr>
        <w:lastRenderedPageBreak/>
        <w:t>10.6.3 Perda e recuperação da qualidade de segurado</w:t>
      </w:r>
    </w:p>
    <w:p w14:paraId="359338CF"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6BF71D56" w14:textId="0B935E15" w:rsidR="005A5FCC" w:rsidRDefault="00A21C81">
      <w:r>
        <w:rPr>
          <w:rFonts w:cs="EB Garamond"/>
          <w:kern w:val="16"/>
          <w14:ligatures w14:val="standardContextual"/>
        </w:rPr>
        <w:t xml:space="preserve"> perda da qualidade de segurado </w:t>
      </w:r>
      <w:r w:rsidR="00AA2644">
        <w:rPr>
          <w:rFonts w:cs="EB Garamond"/>
          <w:kern w:val="16"/>
          <w14:ligatures w14:val="standardContextual"/>
        </w:rPr>
        <w:t>não</w:t>
      </w:r>
      <w:r>
        <w:rPr>
          <w:rFonts w:cs="EB Garamond"/>
          <w:kern w:val="16"/>
          <w14:ligatures w14:val="standardContextual"/>
        </w:rPr>
        <w:t xml:space="preserve"> impede a </w:t>
      </w:r>
      <w:r w:rsidR="00AA2644">
        <w:rPr>
          <w:rFonts w:cs="EB Garamond"/>
          <w:kern w:val="16"/>
          <w14:ligatures w14:val="standardContextual"/>
        </w:rPr>
        <w:t>concessão</w:t>
      </w:r>
      <w:r>
        <w:rPr>
          <w:rFonts w:cs="EB Garamond"/>
          <w:kern w:val="16"/>
          <w14:ligatures w14:val="standardContextual"/>
        </w:rPr>
        <w:t xml:space="preserve"> de aposentadoria por idade. A Lei 10.666/2003 (art. 3o, para. 1o) afastou a </w:t>
      </w:r>
      <w:r w:rsidR="00AA2644">
        <w:rPr>
          <w:rFonts w:cs="EB Garamond"/>
          <w:kern w:val="16"/>
          <w14:ligatures w14:val="standardContextual"/>
        </w:rPr>
        <w:t>exigência</w:t>
      </w:r>
      <w:r>
        <w:rPr>
          <w:rFonts w:cs="EB Garamond"/>
          <w:kern w:val="16"/>
          <w14:ligatures w14:val="standardContextual"/>
        </w:rPr>
        <w:t xml:space="preserve"> de </w:t>
      </w:r>
      <w:r w:rsidR="00AA2644">
        <w:rPr>
          <w:rFonts w:cs="EB Garamond"/>
          <w:kern w:val="16"/>
          <w14:ligatures w14:val="standardContextual"/>
        </w:rPr>
        <w:t>manutenção</w:t>
      </w:r>
      <w:r>
        <w:rPr>
          <w:rFonts w:cs="EB Garamond"/>
          <w:kern w:val="16"/>
          <w14:ligatures w14:val="standardContextual"/>
        </w:rPr>
        <w:t xml:space="preserve"> da qualidade de segurado para esse </w:t>
      </w:r>
      <w:r w:rsidR="00AA2644">
        <w:rPr>
          <w:rFonts w:cs="EB Garamond"/>
          <w:kern w:val="16"/>
          <w14:ligatures w14:val="standardContextual"/>
        </w:rPr>
        <w:t>benefício</w:t>
      </w:r>
      <w:r>
        <w:rPr>
          <w:rFonts w:cs="EB Garamond"/>
          <w:kern w:val="16"/>
          <w14:ligatures w14:val="standardContextual"/>
        </w:rPr>
        <w:t xml:space="preserve">, de modo que todas as </w:t>
      </w:r>
      <w:r w:rsidR="00AA2644">
        <w:rPr>
          <w:rFonts w:cs="EB Garamond"/>
          <w:kern w:val="16"/>
          <w14:ligatures w14:val="standardContextual"/>
        </w:rPr>
        <w:t>contribuições</w:t>
      </w:r>
      <w:r>
        <w:rPr>
          <w:rFonts w:cs="EB Garamond"/>
          <w:kern w:val="16"/>
          <w14:ligatures w14:val="standardContextual"/>
        </w:rPr>
        <w:t xml:space="preserve"> efetuadas ao longo da vida laboral somam-se para fins de </w:t>
      </w:r>
      <w:r w:rsidR="00AA2644">
        <w:rPr>
          <w:rFonts w:cs="EB Garamond"/>
          <w:kern w:val="16"/>
          <w14:ligatures w14:val="standardContextual"/>
        </w:rPr>
        <w:t>carência</w:t>
      </w:r>
      <w:r>
        <w:rPr>
          <w:rFonts w:cs="EB Garamond"/>
          <w:kern w:val="16"/>
          <w14:ligatures w14:val="standardContextual"/>
        </w:rPr>
        <w:t xml:space="preserve">, independentemente de </w:t>
      </w:r>
      <w:r w:rsidR="00AA2644">
        <w:rPr>
          <w:rFonts w:cs="EB Garamond"/>
          <w:kern w:val="16"/>
          <w14:ligatures w14:val="standardContextual"/>
        </w:rPr>
        <w:t>interrupções</w:t>
      </w:r>
      <w:r>
        <w:rPr>
          <w:rFonts w:cs="EB Garamond"/>
          <w:kern w:val="16"/>
          <w14:ligatures w14:val="standardContextual"/>
        </w:rPr>
        <w:t xml:space="preserve">. A regra aplica-se a aposentadoria por idade antiga, a aposentadoria programada e as regras de </w:t>
      </w:r>
      <w:r w:rsidR="00AA2644">
        <w:rPr>
          <w:rFonts w:cs="EB Garamond"/>
          <w:kern w:val="16"/>
          <w14:ligatures w14:val="standardContextual"/>
        </w:rPr>
        <w:t>transição</w:t>
      </w:r>
      <w:r>
        <w:rPr>
          <w:rFonts w:cs="EB Garamond"/>
          <w:kern w:val="16"/>
          <w14:ligatures w14:val="standardContextual"/>
        </w:rPr>
        <w:t xml:space="preserve">. O tratamento aprofundado do </w:t>
      </w:r>
      <w:r w:rsidR="00AA2644">
        <w:rPr>
          <w:rFonts w:cs="EB Garamond"/>
          <w:kern w:val="16"/>
          <w14:ligatures w14:val="standardContextual"/>
        </w:rPr>
        <w:t>período</w:t>
      </w:r>
      <w:r>
        <w:rPr>
          <w:rFonts w:cs="EB Garamond"/>
          <w:kern w:val="16"/>
          <w14:ligatures w14:val="standardContextual"/>
        </w:rPr>
        <w:t xml:space="preserve"> de </w:t>
      </w:r>
      <w:r w:rsidR="00AA2644">
        <w:rPr>
          <w:rFonts w:cs="EB Garamond"/>
          <w:kern w:val="16"/>
          <w14:ligatures w14:val="standardContextual"/>
        </w:rPr>
        <w:t>graça</w:t>
      </w:r>
      <w:r>
        <w:rPr>
          <w:rFonts w:cs="EB Garamond"/>
          <w:kern w:val="16"/>
          <w14:ligatures w14:val="standardContextual"/>
        </w:rPr>
        <w:t xml:space="preserve"> e da perda da qualidade de segurado encontra-se no </w:t>
      </w:r>
      <w:r w:rsidR="00AA2644">
        <w:rPr>
          <w:rFonts w:cs="EB Garamond"/>
          <w:kern w:val="16"/>
          <w14:ligatures w14:val="standardContextual"/>
        </w:rPr>
        <w:t>Capítulo</w:t>
      </w:r>
      <w:r>
        <w:rPr>
          <w:rFonts w:cs="EB Garamond"/>
          <w:kern w:val="16"/>
          <w14:ligatures w14:val="standardContextual"/>
        </w:rPr>
        <w:t xml:space="preserve"> 3 (</w:t>
      </w:r>
      <w:r w:rsidR="00AA2644">
        <w:rPr>
          <w:rFonts w:cs="EB Garamond"/>
          <w:kern w:val="16"/>
          <w14:ligatures w14:val="standardContextual"/>
        </w:rPr>
        <w:t>seção</w:t>
      </w:r>
      <w:r>
        <w:rPr>
          <w:rFonts w:cs="EB Garamond"/>
          <w:kern w:val="16"/>
          <w14:ligatures w14:val="standardContextual"/>
        </w:rPr>
        <w:t xml:space="preserve"> 3.8).</w:t>
      </w:r>
    </w:p>
    <w:tbl>
      <w:tblPr>
        <w:tblW w:w="5000" w:type="pct"/>
        <w:jc w:val="center"/>
        <w:tblLayout w:type="fixed"/>
        <w:tblLook w:val="04A0" w:firstRow="1" w:lastRow="0" w:firstColumn="1" w:lastColumn="0" w:noHBand="0" w:noVBand="1"/>
      </w:tblPr>
      <w:tblGrid>
        <w:gridCol w:w="6311"/>
      </w:tblGrid>
      <w:tr w:rsidR="005A5FCC" w14:paraId="0025E70D"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022D58AB"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20AF454E" w14:textId="77777777" w:rsidR="005A5FCC" w:rsidRDefault="00A21C81">
            <w:pPr>
              <w:spacing w:after="60" w:line="247" w:lineRule="auto"/>
            </w:pPr>
            <w:r>
              <w:rPr>
                <w:rFonts w:cs="EB Garamond"/>
                <w:b/>
                <w:kern w:val="16"/>
                <w:sz w:val="19"/>
                <w14:ligatures w14:val="standardContextual"/>
              </w:rPr>
              <w:t>Caso prático — Carência com interrupções (Lei 10.666/2003)</w:t>
            </w:r>
          </w:p>
          <w:p w14:paraId="7F02891E" w14:textId="77777777" w:rsidR="005A5FCC" w:rsidRDefault="00A21C81">
            <w:pPr>
              <w:spacing w:after="60" w:line="247" w:lineRule="auto"/>
            </w:pPr>
            <w:r>
              <w:rPr>
                <w:rFonts w:cs="EB Garamond"/>
                <w:b/>
                <w:kern w:val="16"/>
                <w:sz w:val="19"/>
                <w14:ligatures w14:val="standardContextual"/>
              </w:rPr>
              <w:t>Antônio</w:t>
            </w:r>
            <w:r>
              <w:rPr>
                <w:rFonts w:cs="EB Garamond"/>
                <w:kern w:val="16"/>
                <w:sz w:val="19"/>
                <w14:ligatures w14:val="standardContextual"/>
              </w:rPr>
              <w:t>, 65 anos em 2026, filiado ao RGPS em 1990. Histórico: - 1990-2000: empregado CLT (120 contribuições) - 2001-2010: sem atividade nem contribuição (perda da qualidade de segurado em 2002) - 2011-2016: contribuinte individual (72 contribuições) - 2017-2020: sem atividade (nova perda da qualidade) - 2021-2026: empregado CLT (60 contribuições até maio/2026)</w:t>
            </w:r>
          </w:p>
          <w:p w14:paraId="1F533531" w14:textId="77777777" w:rsidR="005A5FCC" w:rsidRDefault="00A21C81">
            <w:pPr>
              <w:spacing w:after="60" w:line="247" w:lineRule="auto"/>
            </w:pPr>
            <w:r>
              <w:rPr>
                <w:rFonts w:cs="EB Garamond"/>
                <w:b/>
                <w:kern w:val="16"/>
                <w:sz w:val="19"/>
                <w14:ligatures w14:val="standardContextual"/>
              </w:rPr>
              <w:t>Total de contribuições de carência:</w:t>
            </w:r>
            <w:r>
              <w:rPr>
                <w:rFonts w:cs="EB Garamond"/>
                <w:kern w:val="16"/>
                <w:sz w:val="19"/>
                <w14:ligatures w14:val="standardContextual"/>
              </w:rPr>
              <w:t xml:space="preserve"> 120 + 72 + 60 = </w:t>
            </w:r>
            <w:r>
              <w:rPr>
                <w:rFonts w:cs="EB Garamond"/>
                <w:b/>
                <w:kern w:val="16"/>
                <w:sz w:val="19"/>
                <w14:ligatures w14:val="standardContextual"/>
              </w:rPr>
              <w:t>252 contribuições</w:t>
            </w:r>
          </w:p>
          <w:p w14:paraId="562C64DA" w14:textId="77777777" w:rsidR="005A5FCC" w:rsidRDefault="00A21C81">
            <w:pPr>
              <w:spacing w:after="60" w:line="247" w:lineRule="auto"/>
            </w:pPr>
            <w:r>
              <w:rPr>
                <w:rFonts w:cs="EB Garamond"/>
                <w:kern w:val="16"/>
                <w:sz w:val="19"/>
                <w14:ligatures w14:val="standardContextual"/>
              </w:rPr>
              <w:t>Apesar de duas interrupções longas e de duas perdas da qualidade de segurado, Antônio supera folgadamente as 180 contribuições de carência. Pela Lei 10.666/2003, as interrupções são irrelevantes para fins de aposentadoria por idade. Antônio faz jus à aposentadoria.</w:t>
            </w:r>
          </w:p>
        </w:tc>
      </w:tr>
    </w:tbl>
    <w:p w14:paraId="491D87C2" w14:textId="77777777" w:rsidR="005A5FCC" w:rsidRDefault="005A5FCC">
      <w:pPr>
        <w:spacing w:after="80" w:line="240" w:lineRule="auto"/>
      </w:pPr>
    </w:p>
    <w:p w14:paraId="0CEDF380" w14:textId="77777777" w:rsidR="005A5FCC" w:rsidRDefault="00A21C81">
      <w:pPr>
        <w:spacing w:before="260" w:after="80" w:line="240" w:lineRule="auto"/>
        <w:jc w:val="left"/>
      </w:pPr>
      <w:r>
        <w:rPr>
          <w:rFonts w:cs="EB Garamond"/>
          <w:b/>
          <w:color w:val="3A3128"/>
          <w:kern w:val="16"/>
          <w:sz w:val="25"/>
          <w14:ligatures w14:val="standardContextual"/>
        </w:rPr>
        <w:t>10.6.4 Carência e período de gozo de benefício por incapacidade</w:t>
      </w:r>
    </w:p>
    <w:p w14:paraId="1FA32515"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50D25737" w14:textId="77777777" w:rsidR="005A5FCC" w:rsidRDefault="00A21C81">
      <w:r>
        <w:rPr>
          <w:rFonts w:cs="EB Garamond"/>
          <w:kern w:val="16"/>
          <w14:ligatures w14:val="standardContextual"/>
        </w:rPr>
        <w:t>s períodos em que o segurado esteve em gozo de benefício por incapacidade (auxílio por incapacidade temporária ou aposentadoria por incapacidade permanente) são contados como tempo de contribuição, desde que intercalados entre períodos de atividade ou contribuição (art. 55, II, da Lei 8.213/91). Contudo, esses períodos são computados para carência?</w:t>
      </w:r>
    </w:p>
    <w:p w14:paraId="3068C8DA" w14:textId="77777777" w:rsidR="005A5FCC" w:rsidRDefault="00A21C81">
      <w:pPr>
        <w:ind w:firstLine="238"/>
      </w:pPr>
      <w:r>
        <w:rPr>
          <w:rFonts w:cs="EB Garamond"/>
          <w:kern w:val="16"/>
          <w14:ligatures w14:val="standardContextual"/>
        </w:rPr>
        <w:t xml:space="preserve">A questão é controvertida. A jurisprudência predominante nos JEFs e na TNU tem admitido a contagem do período de benefício por incapacidade como </w:t>
      </w:r>
      <w:r>
        <w:rPr>
          <w:rFonts w:cs="EB Garamond"/>
          <w:kern w:val="16"/>
          <w14:ligatures w14:val="standardContextual"/>
        </w:rPr>
        <w:lastRenderedPageBreak/>
        <w:t>carência, quando intercalado entre períodos contributivos. O fundamento é que o segurado mantém a qualidade de segurado durante o gozo do benefício e as mensalidades recebidas devem ser equiparadas a contribuições para todos os efeitos, inclusive carência. A solução contrária criaria uma situação paradoxal: o segurado que, por estar doente, não pôde contribuir seria penalizado duplamente — pela doença e pela perda de carência.</w:t>
      </w:r>
    </w:p>
    <w:tbl>
      <w:tblPr>
        <w:tblW w:w="5000" w:type="pct"/>
        <w:jc w:val="center"/>
        <w:tblLayout w:type="fixed"/>
        <w:tblLook w:val="04A0" w:firstRow="1" w:lastRow="0" w:firstColumn="1" w:lastColumn="0" w:noHBand="0" w:noVBand="1"/>
      </w:tblPr>
      <w:tblGrid>
        <w:gridCol w:w="6311"/>
      </w:tblGrid>
      <w:tr w:rsidR="005A5FCC" w14:paraId="1045CC2B"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3EEE0DF1"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4D99999C" w14:textId="77777777" w:rsidR="005A5FCC" w:rsidRDefault="00A21C81">
            <w:pPr>
              <w:spacing w:after="60" w:line="247" w:lineRule="auto"/>
            </w:pPr>
            <w:r>
              <w:rPr>
                <w:rFonts w:cs="EB Garamond"/>
                <w:b/>
                <w:kern w:val="16"/>
                <w:sz w:val="19"/>
                <w14:ligatures w14:val="standardContextual"/>
              </w:rPr>
              <w:t>Período de benefício por incapacidade e carência — três cenários</w:t>
            </w:r>
          </w:p>
          <w:p w14:paraId="18A6E551" w14:textId="77777777" w:rsidR="005A5FCC" w:rsidRDefault="00A21C81">
            <w:pPr>
              <w:spacing w:after="30" w:line="240" w:lineRule="auto"/>
              <w:ind w:left="227" w:hanging="142"/>
            </w:pPr>
            <w:r>
              <w:rPr>
                <w:rFonts w:cs="EB Garamond"/>
                <w:kern w:val="16"/>
                <w:sz w:val="19"/>
                <w14:ligatures w14:val="standardContextual"/>
              </w:rPr>
              <w:t xml:space="preserve">1. </w:t>
            </w:r>
            <w:r>
              <w:rPr>
                <w:rFonts w:cs="EB Garamond"/>
                <w:b/>
                <w:kern w:val="16"/>
                <w:sz w:val="19"/>
                <w14:ligatures w14:val="standardContextual"/>
              </w:rPr>
              <w:t>Período intercalado (entre contribuições):</w:t>
            </w:r>
            <w:r>
              <w:rPr>
                <w:rFonts w:cs="EB Garamond"/>
                <w:kern w:val="16"/>
                <w:sz w:val="19"/>
                <w14:ligatures w14:val="standardContextual"/>
              </w:rPr>
              <w:t xml:space="preserve"> Conta como carência. Ex.: segurado contribuiu de 2010 a 2015, recebeu auxílio por incapacidade temporária de 2015 a 2017, e voltou a contribuir de 2017 em diante. O período 2015-2017 conta como carência.</w:t>
            </w:r>
          </w:p>
          <w:p w14:paraId="55B820A0" w14:textId="77777777" w:rsidR="005A5FCC" w:rsidRDefault="00A21C81">
            <w:pPr>
              <w:spacing w:after="30" w:line="240" w:lineRule="auto"/>
              <w:ind w:left="227" w:hanging="142"/>
            </w:pPr>
            <w:r>
              <w:rPr>
                <w:rFonts w:cs="EB Garamond"/>
                <w:kern w:val="16"/>
                <w:sz w:val="19"/>
                <w14:ligatures w14:val="standardContextual"/>
              </w:rPr>
              <w:t xml:space="preserve">2. </w:t>
            </w:r>
            <w:r>
              <w:rPr>
                <w:rFonts w:cs="EB Garamond"/>
                <w:b/>
                <w:kern w:val="16"/>
                <w:sz w:val="19"/>
                <w14:ligatures w14:val="standardContextual"/>
              </w:rPr>
              <w:t>Período terminal (sem retorno à atividade):</w:t>
            </w:r>
            <w:r>
              <w:rPr>
                <w:rFonts w:cs="EB Garamond"/>
                <w:kern w:val="16"/>
                <w:sz w:val="19"/>
                <w14:ligatures w14:val="standardContextual"/>
              </w:rPr>
              <w:t xml:space="preserve"> A contagem como carência é mais controvertida. Se o segurado nunca mais contribuiu após o benefício, há quem sustente que o período não pode ser computado como carência por falta de "intercalação." Entendemos, porém, que a exigência de intercalação não deve ser levada ao extremo de penalizar o segurado que, justamente por persistir a incapacidade, ficou impossibilitado de retornar ao trabalho: condicionar o cômputo a um retorno que a própria doença inviabilizou equivaleria a negar proteção a quem mais dela necessita. A tendência jurisprudencial, alinhada a essa compreensão, tem sido mais flexível.</w:t>
            </w:r>
          </w:p>
          <w:p w14:paraId="13C88FEA" w14:textId="77777777" w:rsidR="005A5FCC" w:rsidRDefault="00A21C81">
            <w:pPr>
              <w:spacing w:after="30" w:line="240" w:lineRule="auto"/>
              <w:ind w:left="227" w:hanging="142"/>
            </w:pPr>
            <w:r>
              <w:rPr>
                <w:rFonts w:cs="EB Garamond"/>
                <w:kern w:val="16"/>
                <w:sz w:val="19"/>
                <w14:ligatures w14:val="standardContextual"/>
              </w:rPr>
              <w:t xml:space="preserve">3. </w:t>
            </w:r>
            <w:r>
              <w:rPr>
                <w:rFonts w:cs="EB Garamond"/>
                <w:b/>
                <w:kern w:val="16"/>
                <w:sz w:val="19"/>
                <w14:ligatures w14:val="standardContextual"/>
              </w:rPr>
              <w:t>Período de auxílio-acidente:</w:t>
            </w:r>
            <w:r>
              <w:rPr>
                <w:rFonts w:cs="EB Garamond"/>
                <w:kern w:val="16"/>
                <w:sz w:val="19"/>
                <w14:ligatures w14:val="standardContextual"/>
              </w:rPr>
              <w:t xml:space="preserve"> O auxílio-acidente não suspende a obrigação de contribuir (o segurado continua trabalhando). Portanto, as contribuições efetuadas durante o recebimento de auxílio-acidente contam normalmente como carência.</w:t>
            </w:r>
          </w:p>
        </w:tc>
      </w:tr>
    </w:tbl>
    <w:p w14:paraId="60B63E06" w14:textId="77777777" w:rsidR="005A5FCC" w:rsidRDefault="005A5FCC">
      <w:pPr>
        <w:spacing w:after="80" w:line="240" w:lineRule="auto"/>
      </w:pPr>
    </w:p>
    <w:p w14:paraId="4A76530E"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10.7 O CNIS como instrumento de prova</w:t>
      </w:r>
    </w:p>
    <w:p w14:paraId="385D28FD" w14:textId="77777777" w:rsidR="005A5FCC" w:rsidRDefault="00A21C81">
      <w:pPr>
        <w:spacing w:before="260" w:after="80" w:line="240" w:lineRule="auto"/>
        <w:jc w:val="left"/>
      </w:pPr>
      <w:r>
        <w:rPr>
          <w:rFonts w:cs="EB Garamond"/>
          <w:b/>
          <w:color w:val="3A3128"/>
          <w:kern w:val="16"/>
          <w:sz w:val="25"/>
          <w14:ligatures w14:val="standardContextual"/>
        </w:rPr>
        <w:t>10.7.1 O cadastro nacional de informações sociais</w:t>
      </w:r>
    </w:p>
    <w:p w14:paraId="68FA30C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612E04FA" w14:textId="4A7657B4" w:rsidR="005A5FCC" w:rsidRDefault="00A21C81">
      <w:r>
        <w:rPr>
          <w:rFonts w:cs="EB Garamond"/>
          <w:kern w:val="16"/>
          <w14:ligatures w14:val="standardContextual"/>
        </w:rPr>
        <w:t xml:space="preserve"> CNIS (Cadastro Nacional de </w:t>
      </w:r>
      <w:r w:rsidR="00AA2644">
        <w:rPr>
          <w:rFonts w:cs="EB Garamond"/>
          <w:kern w:val="16"/>
          <w14:ligatures w14:val="standardContextual"/>
        </w:rPr>
        <w:t>Informações</w:t>
      </w:r>
      <w:r>
        <w:rPr>
          <w:rFonts w:cs="EB Garamond"/>
          <w:kern w:val="16"/>
          <w14:ligatures w14:val="standardContextual"/>
        </w:rPr>
        <w:t xml:space="preserve"> Sociais), criado pela Lei 8.212/91 (art. 17) e progressivamente regulamentado, </w:t>
      </w:r>
      <w:r w:rsidR="00AA2644">
        <w:rPr>
          <w:rFonts w:cs="EB Garamond"/>
          <w:kern w:val="16"/>
          <w14:ligatures w14:val="standardContextual"/>
        </w:rPr>
        <w:t>reúne</w:t>
      </w:r>
      <w:r>
        <w:rPr>
          <w:rFonts w:cs="EB Garamond"/>
          <w:kern w:val="16"/>
          <w14:ligatures w14:val="standardContextual"/>
        </w:rPr>
        <w:t xml:space="preserve"> as </w:t>
      </w:r>
      <w:r w:rsidR="00AA2644">
        <w:rPr>
          <w:rFonts w:cs="EB Garamond"/>
          <w:kern w:val="16"/>
          <w14:ligatures w14:val="standardContextual"/>
        </w:rPr>
        <w:t>informações</w:t>
      </w:r>
      <w:r>
        <w:rPr>
          <w:rFonts w:cs="EB Garamond"/>
          <w:kern w:val="16"/>
          <w14:ligatures w14:val="standardContextual"/>
        </w:rPr>
        <w:t xml:space="preserve"> relativas aos segurados do RGPS, incluindo </w:t>
      </w:r>
      <w:r w:rsidR="00AA2644">
        <w:rPr>
          <w:rFonts w:cs="EB Garamond"/>
          <w:kern w:val="16"/>
          <w14:ligatures w14:val="standardContextual"/>
        </w:rPr>
        <w:t>vínculos</w:t>
      </w:r>
      <w:r>
        <w:rPr>
          <w:rFonts w:cs="EB Garamond"/>
          <w:kern w:val="16"/>
          <w14:ligatures w14:val="standardContextual"/>
        </w:rPr>
        <w:t xml:space="preserve"> </w:t>
      </w:r>
      <w:r w:rsidR="00AA2644">
        <w:rPr>
          <w:rFonts w:cs="EB Garamond"/>
          <w:kern w:val="16"/>
          <w14:ligatures w14:val="standardContextual"/>
        </w:rPr>
        <w:t>empregatícios</w:t>
      </w:r>
      <w:r>
        <w:rPr>
          <w:rFonts w:cs="EB Garamond"/>
          <w:kern w:val="16"/>
          <w14:ligatures w14:val="standardContextual"/>
        </w:rPr>
        <w:t xml:space="preserve">, </w:t>
      </w:r>
      <w:r w:rsidR="00AA2644">
        <w:rPr>
          <w:rFonts w:cs="EB Garamond"/>
          <w:kern w:val="16"/>
          <w14:ligatures w14:val="standardContextual"/>
        </w:rPr>
        <w:lastRenderedPageBreak/>
        <w:t>remunerações</w:t>
      </w:r>
      <w:r>
        <w:rPr>
          <w:rFonts w:cs="EB Garamond"/>
          <w:kern w:val="16"/>
          <w14:ligatures w14:val="standardContextual"/>
        </w:rPr>
        <w:t xml:space="preserve">, </w:t>
      </w:r>
      <w:r w:rsidR="00AA2644">
        <w:rPr>
          <w:rFonts w:cs="EB Garamond"/>
          <w:kern w:val="16"/>
          <w14:ligatures w14:val="standardContextual"/>
        </w:rPr>
        <w:t>contribuições</w:t>
      </w:r>
      <w:r>
        <w:rPr>
          <w:rFonts w:cs="EB Garamond"/>
          <w:kern w:val="16"/>
          <w14:ligatures w14:val="standardContextual"/>
        </w:rPr>
        <w:t xml:space="preserve"> e </w:t>
      </w:r>
      <w:r w:rsidR="00AA2644">
        <w:rPr>
          <w:rFonts w:cs="EB Garamond"/>
          <w:kern w:val="16"/>
          <w14:ligatures w14:val="standardContextual"/>
        </w:rPr>
        <w:t>benefícios</w:t>
      </w:r>
      <w:r>
        <w:rPr>
          <w:rFonts w:cs="EB Garamond"/>
          <w:kern w:val="16"/>
          <w14:ligatures w14:val="standardContextual"/>
        </w:rPr>
        <w:t xml:space="preserve">. A Lei 10.403/2002 introduziu o art. 29-A na Lei 8.213/91, conferindo ao CNIS valor </w:t>
      </w:r>
      <w:r w:rsidR="00AA2644">
        <w:rPr>
          <w:rFonts w:cs="EB Garamond"/>
          <w:kern w:val="16"/>
          <w14:ligatures w14:val="standardContextual"/>
        </w:rPr>
        <w:t>probatório</w:t>
      </w:r>
      <w:r>
        <w:rPr>
          <w:rFonts w:cs="EB Garamond"/>
          <w:kern w:val="16"/>
          <w14:ligatures w14:val="standardContextual"/>
        </w:rPr>
        <w:t xml:space="preserve"> expresso; a Lei 13.846/2019 deu nova </w:t>
      </w:r>
      <w:r w:rsidR="00AA2644">
        <w:rPr>
          <w:rFonts w:cs="EB Garamond"/>
          <w:kern w:val="16"/>
          <w14:ligatures w14:val="standardContextual"/>
        </w:rPr>
        <w:t>redação</w:t>
      </w:r>
      <w:r>
        <w:rPr>
          <w:rFonts w:cs="EB Garamond"/>
          <w:kern w:val="16"/>
          <w14:ligatures w14:val="standardContextual"/>
        </w:rPr>
        <w:t xml:space="preserve"> ao dispositivo, reforçando essa forca </w:t>
      </w:r>
      <w:r w:rsidR="00AA2644">
        <w:rPr>
          <w:rFonts w:cs="EB Garamond"/>
          <w:kern w:val="16"/>
          <w14:ligatures w14:val="standardContextual"/>
        </w:rPr>
        <w:t>probatória</w:t>
      </w:r>
      <w:r>
        <w:rPr>
          <w:rFonts w:cs="EB Garamond"/>
          <w:kern w:val="16"/>
          <w14:ligatures w14:val="standardContextual"/>
        </w:rPr>
        <w:t xml:space="preserve">. O tratamento aprofundado do CNIS — natureza </w:t>
      </w:r>
      <w:r w:rsidR="00AA2644">
        <w:rPr>
          <w:rFonts w:cs="EB Garamond"/>
          <w:kern w:val="16"/>
          <w14:ligatures w14:val="standardContextual"/>
        </w:rPr>
        <w:t>jurídica</w:t>
      </w:r>
      <w:r>
        <w:rPr>
          <w:rFonts w:cs="EB Garamond"/>
          <w:kern w:val="16"/>
          <w14:ligatures w14:val="standardContextual"/>
        </w:rPr>
        <w:t xml:space="preserve">, forca </w:t>
      </w:r>
      <w:r w:rsidR="00AA2644">
        <w:rPr>
          <w:rFonts w:cs="EB Garamond"/>
          <w:kern w:val="16"/>
          <w14:ligatures w14:val="standardContextual"/>
        </w:rPr>
        <w:t>probatória</w:t>
      </w:r>
      <w:r>
        <w:rPr>
          <w:rFonts w:cs="EB Garamond"/>
          <w:kern w:val="16"/>
          <w14:ligatures w14:val="standardContextual"/>
        </w:rPr>
        <w:t xml:space="preserve"> e procedimentos de </w:t>
      </w:r>
      <w:r w:rsidR="00AA2644">
        <w:rPr>
          <w:rFonts w:cs="EB Garamond"/>
          <w:kern w:val="16"/>
          <w14:ligatures w14:val="standardContextual"/>
        </w:rPr>
        <w:t>retificação</w:t>
      </w:r>
      <w:r>
        <w:rPr>
          <w:rFonts w:cs="EB Garamond"/>
          <w:kern w:val="16"/>
          <w14:ligatures w14:val="standardContextual"/>
        </w:rPr>
        <w:t xml:space="preserve"> — encontra-se no </w:t>
      </w:r>
      <w:r w:rsidR="00AA2644">
        <w:rPr>
          <w:rFonts w:cs="EB Garamond"/>
          <w:kern w:val="16"/>
          <w14:ligatures w14:val="standardContextual"/>
        </w:rPr>
        <w:t>Capítulo</w:t>
      </w:r>
      <w:r>
        <w:rPr>
          <w:rFonts w:cs="EB Garamond"/>
          <w:kern w:val="16"/>
          <w14:ligatures w14:val="standardContextual"/>
        </w:rPr>
        <w:t xml:space="preserve"> 5 (</w:t>
      </w:r>
      <w:r w:rsidR="00AA2644">
        <w:rPr>
          <w:rFonts w:cs="EB Garamond"/>
          <w:kern w:val="16"/>
          <w14:ligatures w14:val="standardContextual"/>
        </w:rPr>
        <w:t>seções</w:t>
      </w:r>
      <w:r>
        <w:rPr>
          <w:rFonts w:cs="EB Garamond"/>
          <w:kern w:val="16"/>
          <w14:ligatures w14:val="standardContextual"/>
        </w:rPr>
        <w:t xml:space="preserve"> 5.2 a 5.4). Para fins deste </w:t>
      </w:r>
      <w:r w:rsidR="00AA2644">
        <w:rPr>
          <w:rFonts w:cs="EB Garamond"/>
          <w:kern w:val="16"/>
          <w14:ligatures w14:val="standardContextual"/>
        </w:rPr>
        <w:t>capítulo</w:t>
      </w:r>
      <w:r>
        <w:rPr>
          <w:rFonts w:cs="EB Garamond"/>
          <w:kern w:val="16"/>
          <w14:ligatures w14:val="standardContextual"/>
        </w:rPr>
        <w:t xml:space="preserve">, destaca-se o papel pratico do CNIS na </w:t>
      </w:r>
      <w:r w:rsidR="00AA2644">
        <w:rPr>
          <w:rFonts w:cs="EB Garamond"/>
          <w:kern w:val="16"/>
          <w14:ligatures w14:val="standardContextual"/>
        </w:rPr>
        <w:t>concessão</w:t>
      </w:r>
      <w:r>
        <w:rPr>
          <w:rFonts w:cs="EB Garamond"/>
          <w:kern w:val="16"/>
          <w14:ligatures w14:val="standardContextual"/>
        </w:rPr>
        <w:t xml:space="preserve"> da aposentadoria por idade.</w:t>
      </w:r>
    </w:p>
    <w:p w14:paraId="3D81DDFC" w14:textId="77777777" w:rsidR="005A5FCC" w:rsidRDefault="00A21C81">
      <w:pPr>
        <w:ind w:firstLine="238"/>
      </w:pPr>
      <w:r>
        <w:rPr>
          <w:rFonts w:cs="EB Garamond"/>
          <w:kern w:val="16"/>
          <w14:ligatures w14:val="standardContextual"/>
        </w:rPr>
        <w:t>O art. 29-A, § 5º, da Lei 8.213/91, na redação vigente, dispõe que os dados do CNIS valem, para todos os efeitos, como prova de filiação à previdência social, relação de emprego, tempo de serviço ou de contribuição e salários de contribuição. Essa presunção é relativa (juris tantum), admitindo prova em contrário tanto pelo INSS quanto pelo segurado.</w:t>
      </w:r>
    </w:p>
    <w:p w14:paraId="3A2DED5B" w14:textId="77777777" w:rsidR="005A5FCC" w:rsidRDefault="00A21C81">
      <w:pPr>
        <w:spacing w:before="260" w:after="80" w:line="240" w:lineRule="auto"/>
        <w:jc w:val="left"/>
      </w:pPr>
      <w:r>
        <w:rPr>
          <w:rFonts w:cs="EB Garamond"/>
          <w:b/>
          <w:color w:val="3A3128"/>
          <w:kern w:val="16"/>
          <w:sz w:val="25"/>
          <w14:ligatures w14:val="standardContextual"/>
        </w:rPr>
        <w:t>10.7.2 Inconsistências do CNIS e retificação</w:t>
      </w:r>
    </w:p>
    <w:p w14:paraId="0EF7899D"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N</w:t>
      </w:r>
    </w:p>
    <w:p w14:paraId="4966FF70" w14:textId="77777777" w:rsidR="005A5FCC" w:rsidRDefault="00A21C81">
      <w:r>
        <w:rPr>
          <w:rFonts w:cs="EB Garamond"/>
          <w:kern w:val="16"/>
          <w14:ligatures w14:val="standardContextual"/>
        </w:rPr>
        <w:t>a prática dos JEFs, o CNIS frequentemente apresenta inconsistências que dificultam ou impedem a concessão da aposentadoria. As situações mais comuns incluem:</w:t>
      </w:r>
    </w:p>
    <w:p w14:paraId="0F623665" w14:textId="77777777" w:rsidR="005A5FCC" w:rsidRDefault="00A21C81">
      <w:pPr>
        <w:ind w:firstLine="238"/>
      </w:pPr>
      <w:r>
        <w:rPr>
          <w:rFonts w:cs="EB Garamond"/>
          <w:b/>
          <w:kern w:val="16"/>
          <w14:ligatures w14:val="standardContextual"/>
        </w:rPr>
        <w:t>a) Vínculos empregatícios não registrados:</w:t>
      </w:r>
      <w:r>
        <w:rPr>
          <w:rFonts w:cs="EB Garamond"/>
          <w:kern w:val="16"/>
          <w14:ligatures w14:val="standardContextual"/>
        </w:rPr>
        <w:t xml:space="preserve"> O empregador não informou o vínculo ao sistema. O segurado precisa comprovar a relação de emprego por outros meios (CTPS, contracheques, declaração do empregador, prova testemunhal como elemento complementar).</w:t>
      </w:r>
    </w:p>
    <w:p w14:paraId="45CD77D7" w14:textId="77777777" w:rsidR="005A5FCC" w:rsidRDefault="00A21C81">
      <w:pPr>
        <w:ind w:firstLine="238"/>
      </w:pPr>
      <w:r>
        <w:rPr>
          <w:rFonts w:cs="EB Garamond"/>
          <w:b/>
          <w:kern w:val="16"/>
          <w14:ligatures w14:val="standardContextual"/>
        </w:rPr>
        <w:t>b) Remunerações zeradas ou subnotificadas:</w:t>
      </w:r>
      <w:r>
        <w:rPr>
          <w:rFonts w:cs="EB Garamond"/>
          <w:kern w:val="16"/>
          <w14:ligatures w14:val="standardContextual"/>
        </w:rPr>
        <w:t xml:space="preserve"> O vínculo consta do CNIS, mas as remunerações estão em branco ou com valores inferiores aos efetivamente recebidos. Isso afeta diretamente o cálculo do salário de benefício.</w:t>
      </w:r>
    </w:p>
    <w:p w14:paraId="767B40F4" w14:textId="4C457DA1" w:rsidR="005A5FCC" w:rsidRDefault="00A21C81">
      <w:pPr>
        <w:ind w:firstLine="238"/>
      </w:pPr>
      <w:r>
        <w:rPr>
          <w:rFonts w:cs="EB Garamond"/>
          <w:b/>
          <w:kern w:val="16"/>
          <w14:ligatures w14:val="standardContextual"/>
        </w:rPr>
        <w:t>c) Indicadores de extemporaneidade:</w:t>
      </w:r>
      <w:r>
        <w:rPr>
          <w:rFonts w:cs="EB Garamond"/>
          <w:kern w:val="16"/>
          <w14:ligatures w14:val="standardContextual"/>
        </w:rPr>
        <w:t xml:space="preserve"> </w:t>
      </w:r>
      <w:r w:rsidR="00AA2644">
        <w:rPr>
          <w:rFonts w:cs="EB Garamond"/>
          <w:kern w:val="16"/>
          <w14:ligatures w14:val="standardContextual"/>
        </w:rPr>
        <w:t>Informações</w:t>
      </w:r>
      <w:r>
        <w:rPr>
          <w:rFonts w:cs="EB Garamond"/>
          <w:kern w:val="16"/>
          <w14:ligatures w14:val="standardContextual"/>
        </w:rPr>
        <w:t xml:space="preserve"> inseridas no CNIS </w:t>
      </w:r>
      <w:r w:rsidR="00AA2644">
        <w:rPr>
          <w:rFonts w:cs="EB Garamond"/>
          <w:kern w:val="16"/>
          <w14:ligatures w14:val="standardContextual"/>
        </w:rPr>
        <w:t>após</w:t>
      </w:r>
      <w:r>
        <w:rPr>
          <w:rFonts w:cs="EB Garamond"/>
          <w:kern w:val="16"/>
          <w14:ligatures w14:val="standardContextual"/>
        </w:rPr>
        <w:t xml:space="preserve"> o prazo regulamentar recebem o indicador de extemporaneidade (art. 19-B do Decreto 3.048/99, com </w:t>
      </w:r>
      <w:r w:rsidR="00AA2644">
        <w:rPr>
          <w:rFonts w:cs="EB Garamond"/>
          <w:kern w:val="16"/>
          <w14:ligatures w14:val="standardContextual"/>
        </w:rPr>
        <w:t>redação</w:t>
      </w:r>
      <w:r>
        <w:rPr>
          <w:rFonts w:cs="EB Garamond"/>
          <w:kern w:val="16"/>
          <w14:ligatures w14:val="standardContextual"/>
        </w:rPr>
        <w:t xml:space="preserve"> do Decreto 10.410/2020) e ficam pendentes de </w:t>
      </w:r>
      <w:r w:rsidR="00AA2644">
        <w:rPr>
          <w:rFonts w:cs="EB Garamond"/>
          <w:kern w:val="16"/>
          <w14:ligatures w14:val="standardContextual"/>
        </w:rPr>
        <w:t>confirmação</w:t>
      </w:r>
      <w:r>
        <w:rPr>
          <w:rFonts w:cs="EB Garamond"/>
          <w:kern w:val="16"/>
          <w14:ligatures w14:val="standardContextual"/>
        </w:rPr>
        <w:t xml:space="preserve"> pelo INSS, que pode exigir </w:t>
      </w:r>
      <w:r w:rsidR="00AA2644">
        <w:rPr>
          <w:rFonts w:cs="EB Garamond"/>
          <w:kern w:val="16"/>
          <w14:ligatures w14:val="standardContextual"/>
        </w:rPr>
        <w:t>documentação</w:t>
      </w:r>
      <w:r>
        <w:rPr>
          <w:rFonts w:cs="EB Garamond"/>
          <w:kern w:val="16"/>
          <w14:ligatures w14:val="standardContextual"/>
        </w:rPr>
        <w:t xml:space="preserve"> complementar para </w:t>
      </w:r>
      <w:r w:rsidR="00AA2644">
        <w:rPr>
          <w:rFonts w:cs="EB Garamond"/>
          <w:kern w:val="16"/>
          <w14:ligatures w14:val="standardContextual"/>
        </w:rPr>
        <w:t>regularização</w:t>
      </w:r>
      <w:r>
        <w:rPr>
          <w:rFonts w:cs="EB Garamond"/>
          <w:kern w:val="16"/>
          <w14:ligatures w14:val="standardContextual"/>
        </w:rPr>
        <w:t xml:space="preserve"> (art. 19-C).</w:t>
      </w:r>
    </w:p>
    <w:p w14:paraId="7177C646" w14:textId="77777777" w:rsidR="005A5FCC" w:rsidRDefault="00A21C81">
      <w:pPr>
        <w:ind w:firstLine="238"/>
      </w:pPr>
      <w:r>
        <w:rPr>
          <w:rFonts w:cs="EB Garamond"/>
          <w:b/>
          <w:kern w:val="16"/>
          <w14:ligatures w14:val="standardContextual"/>
        </w:rPr>
        <w:t>d) Multiplicidade de NIT/PIS/PASEP:</w:t>
      </w:r>
      <w:r>
        <w:rPr>
          <w:rFonts w:cs="EB Garamond"/>
          <w:kern w:val="16"/>
          <w14:ligatures w14:val="standardContextual"/>
        </w:rPr>
        <w:t xml:space="preserve"> Segurados com mais de um número de identificação podem ter contribuições "perdidas" em registros distintos que não foram unificados.</w:t>
      </w:r>
    </w:p>
    <w:tbl>
      <w:tblPr>
        <w:tblW w:w="5000" w:type="pct"/>
        <w:jc w:val="center"/>
        <w:tblLayout w:type="fixed"/>
        <w:tblLook w:val="04A0" w:firstRow="1" w:lastRow="0" w:firstColumn="1" w:lastColumn="0" w:noHBand="0" w:noVBand="1"/>
      </w:tblPr>
      <w:tblGrid>
        <w:gridCol w:w="6311"/>
      </w:tblGrid>
      <w:tr w:rsidR="005A5FCC" w14:paraId="1CA3274A"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1AFE7287"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2E7C6BB4" w14:textId="77777777" w:rsidR="005A5FCC" w:rsidRDefault="00A21C81">
            <w:pPr>
              <w:spacing w:after="60" w:line="247" w:lineRule="auto"/>
            </w:pPr>
            <w:r>
              <w:rPr>
                <w:rFonts w:cs="EB Garamond"/>
                <w:b/>
                <w:kern w:val="16"/>
                <w:sz w:val="19"/>
                <w14:ligatures w14:val="standardContextual"/>
              </w:rPr>
              <w:t>Roteiro prático — Análise do CNIS antes do requerimento administrativo</w:t>
            </w:r>
          </w:p>
          <w:p w14:paraId="763C96E1" w14:textId="77777777" w:rsidR="005A5FCC" w:rsidRDefault="00A21C81">
            <w:pPr>
              <w:spacing w:after="60" w:line="247" w:lineRule="auto"/>
            </w:pPr>
            <w:r>
              <w:rPr>
                <w:rFonts w:cs="EB Garamond"/>
                <w:kern w:val="16"/>
                <w:sz w:val="19"/>
                <w14:ligatures w14:val="standardContextual"/>
              </w:rPr>
              <w:t>Antes de requerer a aposentadoria, ou de ajuizar a ação nos JEFs, o advogado deve:</w:t>
            </w:r>
          </w:p>
          <w:p w14:paraId="0D752250" w14:textId="77777777" w:rsidR="005A5FCC" w:rsidRDefault="00A21C81">
            <w:pPr>
              <w:spacing w:after="30" w:line="240" w:lineRule="auto"/>
              <w:ind w:left="227" w:hanging="142"/>
            </w:pPr>
            <w:r>
              <w:rPr>
                <w:rFonts w:cs="EB Garamond"/>
                <w:kern w:val="16"/>
                <w:sz w:val="19"/>
                <w14:ligatures w14:val="standardContextual"/>
              </w:rPr>
              <w:t xml:space="preserve">1. </w:t>
            </w:r>
            <w:r>
              <w:rPr>
                <w:rFonts w:cs="EB Garamond"/>
                <w:b/>
                <w:kern w:val="16"/>
                <w:sz w:val="19"/>
                <w14:ligatures w14:val="standardContextual"/>
              </w:rPr>
              <w:t>Obter o extrato completo do CNIS</w:t>
            </w:r>
            <w:r>
              <w:rPr>
                <w:rFonts w:cs="EB Garamond"/>
                <w:kern w:val="16"/>
                <w:sz w:val="19"/>
                <w14:ligatures w14:val="standardContextual"/>
              </w:rPr>
              <w:t xml:space="preserve"> (via Meu INSS ou requisição judicial)</w:t>
            </w:r>
          </w:p>
          <w:p w14:paraId="61B2122E" w14:textId="77777777" w:rsidR="005A5FCC" w:rsidRDefault="00A21C81">
            <w:pPr>
              <w:spacing w:after="30" w:line="240" w:lineRule="auto"/>
              <w:ind w:left="227" w:hanging="142"/>
            </w:pPr>
            <w:r>
              <w:rPr>
                <w:rFonts w:cs="EB Garamond"/>
                <w:kern w:val="16"/>
                <w:sz w:val="19"/>
                <w14:ligatures w14:val="standardContextual"/>
              </w:rPr>
              <w:t xml:space="preserve">2. </w:t>
            </w:r>
            <w:r>
              <w:rPr>
                <w:rFonts w:cs="EB Garamond"/>
                <w:b/>
                <w:kern w:val="16"/>
                <w:sz w:val="19"/>
                <w14:ligatures w14:val="standardContextual"/>
              </w:rPr>
              <w:t>Conferir vínculos com a CTPS:</w:t>
            </w:r>
            <w:r>
              <w:rPr>
                <w:rFonts w:cs="EB Garamond"/>
                <w:kern w:val="16"/>
                <w:sz w:val="19"/>
                <w14:ligatures w14:val="standardContextual"/>
              </w:rPr>
              <w:t xml:space="preserve"> Identificar vínculos da CTPS que não constam do CNIS</w:t>
            </w:r>
          </w:p>
          <w:p w14:paraId="0770549E" w14:textId="77777777" w:rsidR="005A5FCC" w:rsidRDefault="00A21C81">
            <w:pPr>
              <w:spacing w:after="30" w:line="240" w:lineRule="auto"/>
              <w:ind w:left="227" w:hanging="142"/>
            </w:pPr>
            <w:r>
              <w:rPr>
                <w:rFonts w:cs="EB Garamond"/>
                <w:kern w:val="16"/>
                <w:sz w:val="19"/>
                <w14:ligatures w14:val="standardContextual"/>
              </w:rPr>
              <w:t xml:space="preserve">3. </w:t>
            </w:r>
            <w:r>
              <w:rPr>
                <w:rFonts w:cs="EB Garamond"/>
                <w:b/>
                <w:kern w:val="16"/>
                <w:sz w:val="19"/>
                <w14:ligatures w14:val="standardContextual"/>
              </w:rPr>
              <w:t>Verificar remunerações:</w:t>
            </w:r>
            <w:r>
              <w:rPr>
                <w:rFonts w:cs="EB Garamond"/>
                <w:kern w:val="16"/>
                <w:sz w:val="19"/>
                <w14:ligatures w14:val="standardContextual"/>
              </w:rPr>
              <w:t xml:space="preserve"> Conferir se os valores do CNIS correspondem aos da CTPS e dos contracheques disponíveis</w:t>
            </w:r>
          </w:p>
          <w:p w14:paraId="7B6AE612" w14:textId="77777777" w:rsidR="005A5FCC" w:rsidRDefault="00A21C81">
            <w:pPr>
              <w:spacing w:after="30" w:line="240" w:lineRule="auto"/>
              <w:ind w:left="227" w:hanging="142"/>
            </w:pPr>
            <w:r>
              <w:rPr>
                <w:rFonts w:cs="EB Garamond"/>
                <w:kern w:val="16"/>
                <w:sz w:val="19"/>
                <w14:ligatures w14:val="standardContextual"/>
              </w:rPr>
              <w:t xml:space="preserve">4. </w:t>
            </w:r>
            <w:r>
              <w:rPr>
                <w:rFonts w:cs="EB Garamond"/>
                <w:b/>
                <w:kern w:val="16"/>
                <w:sz w:val="19"/>
                <w14:ligatures w14:val="standardContextual"/>
              </w:rPr>
              <w:t>Identificar indicadores:</w:t>
            </w:r>
            <w:r>
              <w:rPr>
                <w:rFonts w:cs="EB Garamond"/>
                <w:kern w:val="16"/>
                <w:sz w:val="19"/>
                <w14:ligatures w14:val="standardContextual"/>
              </w:rPr>
              <w:t xml:space="preserve"> Anotar vínculos com indicadores de pendência, extemporaneidade ou inconsistência</w:t>
            </w:r>
          </w:p>
          <w:p w14:paraId="4F0934FA" w14:textId="77777777" w:rsidR="005A5FCC" w:rsidRDefault="00A21C81">
            <w:pPr>
              <w:spacing w:after="30" w:line="240" w:lineRule="auto"/>
              <w:ind w:left="227" w:hanging="142"/>
            </w:pPr>
            <w:r>
              <w:rPr>
                <w:rFonts w:cs="EB Garamond"/>
                <w:kern w:val="16"/>
                <w:sz w:val="19"/>
                <w14:ligatures w14:val="standardContextual"/>
              </w:rPr>
              <w:t xml:space="preserve">5. </w:t>
            </w:r>
            <w:r>
              <w:rPr>
                <w:rFonts w:cs="EB Garamond"/>
                <w:b/>
                <w:kern w:val="16"/>
                <w:sz w:val="19"/>
                <w14:ligatures w14:val="standardContextual"/>
              </w:rPr>
              <w:t>Contar contribuições de carência:</w:t>
            </w:r>
            <w:r>
              <w:rPr>
                <w:rFonts w:cs="EB Garamond"/>
                <w:kern w:val="16"/>
                <w:sz w:val="19"/>
                <w14:ligatures w14:val="standardContextual"/>
              </w:rPr>
              <w:t xml:space="preserve"> Somar mês a mês as contribuições efetivas (não confundir com tempo de contribuição)</w:t>
            </w:r>
          </w:p>
          <w:p w14:paraId="2F423F27" w14:textId="77777777" w:rsidR="005A5FCC" w:rsidRDefault="00A21C81">
            <w:pPr>
              <w:spacing w:after="30" w:line="240" w:lineRule="auto"/>
              <w:ind w:left="227" w:hanging="142"/>
            </w:pPr>
            <w:r>
              <w:rPr>
                <w:rFonts w:cs="EB Garamond"/>
                <w:kern w:val="16"/>
                <w:sz w:val="19"/>
                <w14:ligatures w14:val="standardContextual"/>
              </w:rPr>
              <w:t xml:space="preserve">6. </w:t>
            </w:r>
            <w:r>
              <w:rPr>
                <w:rFonts w:cs="EB Garamond"/>
                <w:b/>
                <w:kern w:val="16"/>
                <w:sz w:val="19"/>
                <w14:ligatures w14:val="standardContextual"/>
              </w:rPr>
              <w:t>Verificar períodos de benefício:</w:t>
            </w:r>
            <w:r>
              <w:rPr>
                <w:rFonts w:cs="EB Garamond"/>
                <w:kern w:val="16"/>
                <w:sz w:val="19"/>
                <w14:ligatures w14:val="standardContextual"/>
              </w:rPr>
              <w:t xml:space="preserve"> Identificar períodos de auxílio por incapacidade temporária que podem ser computados como carência e TC</w:t>
            </w:r>
          </w:p>
          <w:p w14:paraId="1B7D76F7" w14:textId="77777777" w:rsidR="005A5FCC" w:rsidRDefault="00A21C81">
            <w:pPr>
              <w:spacing w:after="30" w:line="240" w:lineRule="auto"/>
              <w:ind w:left="227" w:hanging="142"/>
            </w:pPr>
            <w:r>
              <w:rPr>
                <w:rFonts w:cs="EB Garamond"/>
                <w:kern w:val="16"/>
                <w:sz w:val="19"/>
                <w14:ligatures w14:val="standardContextual"/>
              </w:rPr>
              <w:t xml:space="preserve">7. </w:t>
            </w:r>
            <w:r>
              <w:rPr>
                <w:rFonts w:cs="EB Garamond"/>
                <w:b/>
                <w:kern w:val="16"/>
                <w:sz w:val="19"/>
                <w14:ligatures w14:val="standardContextual"/>
              </w:rPr>
              <w:t>Requerer retificação administrativa</w:t>
            </w:r>
            <w:r>
              <w:rPr>
                <w:rFonts w:cs="EB Garamond"/>
                <w:kern w:val="16"/>
                <w:sz w:val="19"/>
                <w14:ligatures w14:val="standardContextual"/>
              </w:rPr>
              <w:t xml:space="preserve"> antes de ajuizar a ação, quando possível</w:t>
            </w:r>
          </w:p>
          <w:p w14:paraId="37499342" w14:textId="77777777" w:rsidR="005A5FCC" w:rsidRDefault="00A21C81">
            <w:pPr>
              <w:spacing w:after="60" w:line="247" w:lineRule="auto"/>
            </w:pPr>
            <w:r>
              <w:rPr>
                <w:rFonts w:cs="EB Garamond"/>
                <w:kern w:val="16"/>
                <w:sz w:val="19"/>
                <w14:ligatures w14:val="standardContextual"/>
              </w:rPr>
              <w:t>Essa análise prévia evita surpresas no processo judicial e permite uma petição inicial mais precisa e fundamentada.</w:t>
            </w:r>
          </w:p>
        </w:tc>
      </w:tr>
    </w:tbl>
    <w:p w14:paraId="3A271355" w14:textId="77777777" w:rsidR="005A5FCC" w:rsidRDefault="005A5FCC">
      <w:pPr>
        <w:spacing w:after="80" w:line="240" w:lineRule="auto"/>
      </w:pPr>
    </w:p>
    <w:p w14:paraId="081D685E" w14:textId="77777777" w:rsidR="005A5FCC" w:rsidRDefault="00A21C81">
      <w:pPr>
        <w:spacing w:before="260" w:after="80" w:line="240" w:lineRule="auto"/>
        <w:jc w:val="left"/>
      </w:pPr>
      <w:r>
        <w:rPr>
          <w:rFonts w:cs="EB Garamond"/>
          <w:b/>
          <w:color w:val="3A3128"/>
          <w:kern w:val="16"/>
          <w:sz w:val="25"/>
          <w14:ligatures w14:val="standardContextual"/>
        </w:rPr>
        <w:t>10.7.3 Prova do tempo de contribuição urbano</w:t>
      </w:r>
    </w:p>
    <w:p w14:paraId="6B39925F"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1AB13782" w14:textId="77777777" w:rsidR="005A5FCC" w:rsidRDefault="00A21C81">
      <w:r>
        <w:rPr>
          <w:rFonts w:cs="EB Garamond"/>
          <w:kern w:val="16"/>
          <w14:ligatures w14:val="standardContextual"/>
        </w:rPr>
        <w:t xml:space="preserve"> prova do tempo de contribuição urbano segue uma hierarquia normativa. O CNIS é a prova principal (art. 29-A, § 5º, Lei 8.213/91). Na ausência de informações no CNIS, admitem-se como provas:</w:t>
      </w:r>
    </w:p>
    <w:p w14:paraId="1BAB2668"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Carteira de Trabalho e Previdência Social (CTPS) com anotações contemporâneas;</w:t>
      </w:r>
    </w:p>
    <w:p w14:paraId="0FED35C2"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Guias de recolhimento de contribuições (GPS, carnê) para contribuinte individual e facultativo;</w:t>
      </w:r>
    </w:p>
    <w:p w14:paraId="1A33FC04"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Contracheques, holerites e recibos de pagamento;</w:t>
      </w:r>
    </w:p>
    <w:p w14:paraId="5757E331"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Declarações de ex-empregadores;</w:t>
      </w:r>
    </w:p>
    <w:p w14:paraId="61B3C26A"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Certidões de juntas comerciais ou de cartórios de registro civil de pessoas jurídicas;</w:t>
      </w:r>
    </w:p>
    <w:p w14:paraId="483640C3"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Prova testemunhal como elemento complementar — não admitida como prova exclusiva para fins de tempo de contribuição urbano (Súmula 149/STJ, aplicável por analogia).</w:t>
      </w:r>
    </w:p>
    <w:p w14:paraId="645F5407" w14:textId="77777777" w:rsidR="005A5FCC" w:rsidRDefault="005A5FCC">
      <w:pPr>
        <w:spacing w:after="60" w:line="240" w:lineRule="auto"/>
      </w:pPr>
    </w:p>
    <w:p w14:paraId="38276C8E"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5B7C5F86" w14:textId="77777777" w:rsidR="005A5FCC" w:rsidRDefault="00A21C81">
      <w:r>
        <w:rPr>
          <w:rFonts w:cs="EB Garamond"/>
          <w:kern w:val="16"/>
          <w14:ligatures w14:val="standardContextual"/>
        </w:rPr>
        <w:t xml:space="preserve"> CTPS com anotações contemporâneas goza de presunção de veracidade (juris tantum), conforme consolidada jurisprudência do STJ. Anotações extemporâneas, embora não gozem da mesma presunção, podem ser admitidas quando corroboradas por outros elementos de prova.</w:t>
      </w:r>
    </w:p>
    <w:p w14:paraId="4D696CA6"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10.8 Data de início do benefício (DIB) e reafirmação da DER</w:t>
      </w:r>
    </w:p>
    <w:p w14:paraId="6079F565" w14:textId="77777777" w:rsidR="005A5FCC" w:rsidRDefault="00A21C81">
      <w:pPr>
        <w:spacing w:before="260" w:after="80" w:line="240" w:lineRule="auto"/>
        <w:jc w:val="left"/>
      </w:pPr>
      <w:r>
        <w:rPr>
          <w:rFonts w:cs="EB Garamond"/>
          <w:b/>
          <w:color w:val="3A3128"/>
          <w:kern w:val="16"/>
          <w:sz w:val="25"/>
          <w14:ligatures w14:val="standardContextual"/>
        </w:rPr>
        <w:t>10.8.1 Regras de fixação da DIB</w:t>
      </w:r>
    </w:p>
    <w:p w14:paraId="41C7FC68"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302AFE05" w14:textId="77777777" w:rsidR="005A5FCC" w:rsidRDefault="00A21C81">
      <w:r>
        <w:rPr>
          <w:rFonts w:cs="EB Garamond"/>
          <w:kern w:val="16"/>
          <w14:ligatures w14:val="standardContextual"/>
        </w:rPr>
        <w:t xml:space="preserve"> Data de Início do Benefício (DIB) na aposentadoria por idade e na aposentadoria programada segue as regras do art. 49 da Lei 8.213/91, combinado com o art. 56 do Decreto 3.048/99:</w:t>
      </w:r>
    </w:p>
    <w:p w14:paraId="7C5FD04B" w14:textId="77777777" w:rsidR="005A5FCC" w:rsidRDefault="00A21C81">
      <w:pPr>
        <w:ind w:firstLine="238"/>
      </w:pPr>
      <w:r>
        <w:rPr>
          <w:rFonts w:cs="EB Garamond"/>
          <w:b/>
          <w:kern w:val="16"/>
          <w14:ligatures w14:val="standardContextual"/>
        </w:rPr>
        <w:t>a) Segurado empregado:</w:t>
      </w:r>
    </w:p>
    <w:p w14:paraId="02C6BC38"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Se o requerimento for apresentado até 90 dias após o desligamento do emprego: DIB = data do desligamento.</w:t>
      </w:r>
    </w:p>
    <w:p w14:paraId="1D2F6446"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Se o requerimento for apresentado após 90 dias do desligamento: DIB = data do requerimento administrativo (DER).</w:t>
      </w:r>
    </w:p>
    <w:p w14:paraId="3E268030" w14:textId="77777777" w:rsidR="005A5FCC" w:rsidRDefault="005A5FCC">
      <w:pPr>
        <w:spacing w:after="60" w:line="240" w:lineRule="auto"/>
      </w:pPr>
    </w:p>
    <w:p w14:paraId="6610891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b</w:t>
      </w:r>
    </w:p>
    <w:p w14:paraId="23689838" w14:textId="77777777" w:rsidR="005A5FCC" w:rsidRDefault="00A21C81">
      <w:r>
        <w:rPr>
          <w:rFonts w:cs="EB Garamond"/>
          <w:b/>
          <w:kern w:val="16"/>
          <w14:ligatures w14:val="standardContextual"/>
        </w:rPr>
        <w:t>) Demais segurados (CI, facultativo, etc.):</w:t>
      </w:r>
    </w:p>
    <w:p w14:paraId="7EA453CA"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DIB = data do requerimento administrativo (DER).</w:t>
      </w:r>
    </w:p>
    <w:p w14:paraId="012F561C" w14:textId="77777777" w:rsidR="005A5FCC" w:rsidRDefault="005A5FCC">
      <w:pPr>
        <w:spacing w:after="60" w:line="240" w:lineRule="auto"/>
      </w:pPr>
    </w:p>
    <w:p w14:paraId="10072F0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c</w:t>
      </w:r>
    </w:p>
    <w:p w14:paraId="7EA45551" w14:textId="77777777" w:rsidR="005A5FCC" w:rsidRDefault="00A21C81">
      <w:r>
        <w:rPr>
          <w:rFonts w:cs="EB Garamond"/>
          <w:b/>
          <w:kern w:val="16"/>
          <w14:ligatures w14:val="standardContextual"/>
        </w:rPr>
        <w:t>) Aposentadoria compulsória (art. 51):</w:t>
      </w:r>
    </w:p>
    <w:p w14:paraId="016A0319"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DIB = data da comunicação do empregador.</w:t>
      </w:r>
    </w:p>
    <w:p w14:paraId="5B0578EC" w14:textId="77777777" w:rsidR="005A5FCC" w:rsidRDefault="005A5FCC">
      <w:pPr>
        <w:spacing w:after="60" w:line="240" w:lineRule="auto"/>
      </w:pPr>
    </w:p>
    <w:p w14:paraId="7BFCE154"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N</w:t>
      </w:r>
    </w:p>
    <w:p w14:paraId="2F5D58E4" w14:textId="77777777" w:rsidR="005A5FCC" w:rsidRDefault="00A21C81">
      <w:r>
        <w:rPr>
          <w:rFonts w:cs="EB Garamond"/>
          <w:kern w:val="16"/>
          <w14:ligatures w14:val="standardContextual"/>
        </w:rPr>
        <w:t xml:space="preserve">os casos de ação judicial, a DIB obedece à mesma lógica: se o segurado havia formulado requerimento administrativo, a DIB retroage à DER; se não havia requerimento prévio, a DIB é fixada na data da citação do INSS (entendimento predominante nos JEFs) ou na data do ajuizamento (entendimento minoritário). A ausência de requerimento administrativo prévio não impede o </w:t>
      </w:r>
      <w:r>
        <w:rPr>
          <w:rFonts w:cs="EB Garamond"/>
          <w:kern w:val="16"/>
          <w14:ligatures w14:val="standardContextual"/>
        </w:rPr>
        <w:lastRenderedPageBreak/>
        <w:t>ajuizamento da ação nos JEFs (Tema 350/STF, embora se refira a questão distinta, estabelece a necessidade de requerimento administrativo como regra geral — o que pode impactar a DIB, mas não a admissibilidade da ação quando há resistência presumida ou notória impossibilidade de atendimento administrativo).</w:t>
      </w:r>
    </w:p>
    <w:p w14:paraId="2B27E298" w14:textId="77777777" w:rsidR="005A5FCC" w:rsidRDefault="00A21C81">
      <w:pPr>
        <w:spacing w:before="260" w:after="80" w:line="240" w:lineRule="auto"/>
        <w:jc w:val="left"/>
      </w:pPr>
      <w:r>
        <w:rPr>
          <w:rFonts w:cs="EB Garamond"/>
          <w:b/>
          <w:color w:val="3A3128"/>
          <w:kern w:val="16"/>
          <w:sz w:val="25"/>
          <w14:ligatures w14:val="standardContextual"/>
        </w:rPr>
        <w:t>10.8.2 Reafirmação da DER (tema 995/STJ)</w:t>
      </w:r>
    </w:p>
    <w:p w14:paraId="342CAACD"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30A13C30" w14:textId="77777777" w:rsidR="005A5FCC" w:rsidRDefault="00A21C81">
      <w:r>
        <w:rPr>
          <w:rFonts w:cs="EB Garamond"/>
          <w:kern w:val="16"/>
          <w14:ligatures w14:val="standardContextual"/>
        </w:rPr>
        <w:t xml:space="preserve"> reafirmação da DER, amplamente examinada pela doutrina, é um dos institutos mais relevantes da prática previdenciária nos JEFs. Trata-se da possibilidade de considerar fatos supervenientes ao requerimento administrativo, ou mesmo ao ajuizamento da ação, para fins de implementação dos requisitos da aposentadoria.</w:t>
      </w:r>
    </w:p>
    <w:tbl>
      <w:tblPr>
        <w:tblW w:w="5000" w:type="pct"/>
        <w:jc w:val="center"/>
        <w:tblLayout w:type="fixed"/>
        <w:tblLook w:val="04A0" w:firstRow="1" w:lastRow="0" w:firstColumn="1" w:lastColumn="0" w:noHBand="0" w:noVBand="1"/>
      </w:tblPr>
      <w:tblGrid>
        <w:gridCol w:w="6311"/>
      </w:tblGrid>
      <w:tr w:rsidR="005A5FCC" w14:paraId="1CBFB09F"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348EBC61" w14:textId="77777777" w:rsidR="005A5FCC" w:rsidRDefault="00A21C81">
            <w:pPr>
              <w:spacing w:after="60" w:line="240" w:lineRule="auto"/>
              <w:jc w:val="left"/>
            </w:pPr>
            <w:r>
              <w:rPr>
                <w:rFonts w:ascii="Noto Sans" w:hAnsi="Noto Sans" w:cs="Noto Sans"/>
                <w:b/>
                <w:caps/>
                <w:color w:val="4D6F8A"/>
                <w:kern w:val="16"/>
                <w:sz w:val="16"/>
                <w14:ligatures w14:val="standardContextual"/>
              </w:rPr>
              <w:t>JURISPRUDÊNCIA EM DESTAQUE</w:t>
            </w:r>
          </w:p>
          <w:p w14:paraId="62DD9EE4" w14:textId="77777777" w:rsidR="005A5FCC" w:rsidRDefault="00A21C81">
            <w:pPr>
              <w:spacing w:after="60" w:line="247" w:lineRule="auto"/>
            </w:pPr>
            <w:r>
              <w:rPr>
                <w:rFonts w:cs="EB Garamond"/>
                <w:b/>
                <w:kern w:val="16"/>
                <w:sz w:val="19"/>
                <w14:ligatures w14:val="standardContextual"/>
              </w:rPr>
              <w:t>STJ Tema 995 — Reafirmação da DER</w:t>
            </w:r>
          </w:p>
          <w:p w14:paraId="6B257FDF" w14:textId="77777777" w:rsidR="005A5FCC" w:rsidRDefault="00A21C81">
            <w:pPr>
              <w:spacing w:after="60" w:line="247" w:lineRule="auto"/>
            </w:pPr>
            <w:r>
              <w:rPr>
                <w:rFonts w:cs="EB Garamond"/>
                <w:kern w:val="16"/>
                <w:sz w:val="19"/>
                <w14:ligatures w14:val="standardContextual"/>
              </w:rPr>
              <w:t>No julgamento dos REsp 1.727.069/SP e 1.727.063/SP, a 1ª Seção do STJ fixou a seguinte tese (j. 23/10/2019):</w:t>
            </w:r>
          </w:p>
          <w:p w14:paraId="18A76F32" w14:textId="77777777" w:rsidR="005A5FCC" w:rsidRDefault="00A21C81">
            <w:pPr>
              <w:spacing w:after="60" w:line="247" w:lineRule="auto"/>
            </w:pPr>
            <w:r>
              <w:rPr>
                <w:rFonts w:cs="EB Garamond"/>
                <w:kern w:val="16"/>
                <w:sz w:val="19"/>
                <w14:ligatures w14:val="standardContextual"/>
              </w:rPr>
              <w:t>"É possível a reafirmação da DER (Data de Entrada do Requerimento) para o momento em que implementados os requisitos para a concessão do benefício, mesmo que isso se dê no interstício entre o ajuizamento da ação e a entrega da prestação jurisdicional nas instâncias ordinárias, nos termos dos arts. 493 e 933 do CPC/2015, observada a causa de pedir."</w:t>
            </w:r>
          </w:p>
          <w:p w14:paraId="6A619B44" w14:textId="77777777" w:rsidR="005A5FCC" w:rsidRDefault="00A21C81">
            <w:pPr>
              <w:spacing w:after="60" w:line="247" w:lineRule="auto"/>
            </w:pPr>
            <w:r>
              <w:rPr>
                <w:rFonts w:cs="EB Garamond"/>
                <w:b/>
                <w:kern w:val="16"/>
                <w:sz w:val="19"/>
                <w14:ligatures w14:val="standardContextual"/>
              </w:rPr>
              <w:t>Prazo de implantação:</w:t>
            </w:r>
            <w:r>
              <w:rPr>
                <w:rFonts w:cs="EB Garamond"/>
                <w:kern w:val="16"/>
                <w:sz w:val="19"/>
                <w14:ligatures w14:val="standardContextual"/>
              </w:rPr>
              <w:t xml:space="preserve"> 45 dias a contar da intimação do trânsito em julgado.</w:t>
            </w:r>
          </w:p>
          <w:p w14:paraId="3D8E7232" w14:textId="77777777" w:rsidR="005A5FCC" w:rsidRDefault="00A21C81">
            <w:pPr>
              <w:spacing w:after="60" w:line="247" w:lineRule="auto"/>
            </w:pPr>
            <w:r>
              <w:rPr>
                <w:rFonts w:cs="EB Garamond"/>
                <w:b/>
                <w:kern w:val="16"/>
                <w:sz w:val="19"/>
                <w14:ligatures w14:val="standardContextual"/>
              </w:rPr>
              <w:t>Efeitos financeiros:</w:t>
            </w:r>
            <w:r>
              <w:rPr>
                <w:rFonts w:cs="EB Garamond"/>
                <w:kern w:val="16"/>
                <w:sz w:val="19"/>
                <w14:ligatures w14:val="standardContextual"/>
              </w:rPr>
              <w:t xml:space="preserve"> Os efeitos financeiros retroagem à data da reafirmação (momento em que os requisitos foram implementados), e não à data do requerimento administrativo original.</w:t>
            </w:r>
          </w:p>
        </w:tc>
      </w:tr>
    </w:tbl>
    <w:p w14:paraId="00E7900B" w14:textId="77777777" w:rsidR="005A5FCC" w:rsidRDefault="005A5FCC">
      <w:pPr>
        <w:spacing w:after="80" w:line="240" w:lineRule="auto"/>
      </w:pPr>
    </w:p>
    <w:p w14:paraId="4E8DA60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2B271E95" w14:textId="77777777" w:rsidR="005A5FCC" w:rsidRDefault="00A21C81">
      <w:r>
        <w:rPr>
          <w:rFonts w:cs="EB Garamond"/>
          <w:kern w:val="16"/>
          <w14:ligatures w14:val="standardContextual"/>
        </w:rPr>
        <w:t xml:space="preserve"> aplicação prática da reafirmação da DER na aposentadoria por idade é especialmente relevante em duas situações recorrentes nos JEFs:</w:t>
      </w:r>
    </w:p>
    <w:p w14:paraId="16CCF660" w14:textId="77777777" w:rsidR="005A5FCC" w:rsidRDefault="00A21C81">
      <w:pPr>
        <w:ind w:firstLine="238"/>
      </w:pPr>
      <w:r>
        <w:rPr>
          <w:rFonts w:cs="EB Garamond"/>
          <w:b/>
          <w:kern w:val="16"/>
          <w14:ligatures w14:val="standardContextual"/>
        </w:rPr>
        <w:t>Primeira:</w:t>
      </w:r>
      <w:r>
        <w:rPr>
          <w:rFonts w:cs="EB Garamond"/>
          <w:kern w:val="16"/>
          <w14:ligatures w14:val="standardContextual"/>
        </w:rPr>
        <w:t xml:space="preserve"> O segurado ajuíza ação antes de completar a idade mínima, alegando outro fundamento (por exemplo, reconhecimento de tempo de contribuição). Durante o processo, completa a idade. O juiz pode reafirmar a DER para o momento da implementação da idade, concedendo a aposentadoria.</w:t>
      </w:r>
    </w:p>
    <w:p w14:paraId="501475D9" w14:textId="77777777" w:rsidR="005A5FCC" w:rsidRDefault="00A21C81">
      <w:pPr>
        <w:ind w:firstLine="238"/>
      </w:pPr>
      <w:r>
        <w:rPr>
          <w:rFonts w:cs="EB Garamond"/>
          <w:b/>
          <w:kern w:val="16"/>
          <w14:ligatures w14:val="standardContextual"/>
        </w:rPr>
        <w:lastRenderedPageBreak/>
        <w:t>Segunda:</w:t>
      </w:r>
      <w:r>
        <w:rPr>
          <w:rFonts w:cs="EB Garamond"/>
          <w:kern w:val="16"/>
          <w14:ligatures w14:val="standardContextual"/>
        </w:rPr>
        <w:t xml:space="preserve"> O segurado ajuíza ação com a idade já implementada, mas sem carência suficiente. Durante o processo, completa as 180 contribuições. A DER é reafirmada para o momento em que o último requisito foi implementado.</w:t>
      </w:r>
    </w:p>
    <w:tbl>
      <w:tblPr>
        <w:tblW w:w="5000" w:type="pct"/>
        <w:jc w:val="center"/>
        <w:tblLayout w:type="fixed"/>
        <w:tblLook w:val="04A0" w:firstRow="1" w:lastRow="0" w:firstColumn="1" w:lastColumn="0" w:noHBand="0" w:noVBand="1"/>
      </w:tblPr>
      <w:tblGrid>
        <w:gridCol w:w="6311"/>
      </w:tblGrid>
      <w:tr w:rsidR="005A5FCC" w14:paraId="64BC881F"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3BF9EFC8"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7E709F59" w14:textId="77777777" w:rsidR="005A5FCC" w:rsidRDefault="00A21C81">
            <w:pPr>
              <w:spacing w:after="60" w:line="247" w:lineRule="auto"/>
            </w:pPr>
            <w:r>
              <w:rPr>
                <w:rFonts w:cs="EB Garamond"/>
                <w:b/>
                <w:kern w:val="16"/>
                <w:sz w:val="19"/>
                <w14:ligatures w14:val="standardContextual"/>
              </w:rPr>
              <w:t>Caso prático — Reafirmação da DER na aposentadoria por idade</w:t>
            </w:r>
          </w:p>
          <w:p w14:paraId="419E156A" w14:textId="77777777" w:rsidR="005A5FCC" w:rsidRDefault="00A21C81">
            <w:pPr>
              <w:spacing w:after="60" w:line="247" w:lineRule="auto"/>
            </w:pPr>
            <w:r>
              <w:rPr>
                <w:rFonts w:cs="EB Garamond"/>
                <w:b/>
                <w:kern w:val="16"/>
                <w:sz w:val="19"/>
                <w14:ligatures w14:val="standardContextual"/>
              </w:rPr>
              <w:t>Dona Fátima</w:t>
            </w:r>
            <w:r>
              <w:rPr>
                <w:rFonts w:cs="EB Garamond"/>
                <w:kern w:val="16"/>
                <w:sz w:val="19"/>
                <w14:ligatures w14:val="standardContextual"/>
              </w:rPr>
              <w:t>, 61 anos na data do requerimento administrativo (março de 2024). O INSS indeferiu por falta de idade mínima (62 anos para mulher). Ela ajuizou ação nos JEFs em julho de 2024. Em março de 2025, completou 62 anos. O advogado peticionou nos autos requerendo a reafirmação da DER para março de 2025.</w:t>
            </w:r>
          </w:p>
          <w:p w14:paraId="68A8558D" w14:textId="77777777" w:rsidR="005A5FCC" w:rsidRDefault="00A21C81">
            <w:pPr>
              <w:spacing w:after="60" w:line="247" w:lineRule="auto"/>
            </w:pPr>
            <w:r>
              <w:rPr>
                <w:rFonts w:cs="EB Garamond"/>
                <w:kern w:val="16"/>
                <w:sz w:val="19"/>
                <w14:ligatures w14:val="standardContextual"/>
              </w:rPr>
              <w:t>O juiz, aplicando o Tema 995/STJ, reafirmou a DER para março de 2025 e concedeu a aposentadoria. A DIB foi fixada em março de 2025, e os efeitos financeiros retroagem a essa data (não a março de 2024, data do requerimento original).</w:t>
            </w:r>
          </w:p>
          <w:p w14:paraId="1CE6FE75" w14:textId="77777777" w:rsidR="005A5FCC" w:rsidRDefault="00A21C81">
            <w:pPr>
              <w:spacing w:after="60" w:line="247" w:lineRule="auto"/>
            </w:pPr>
            <w:r>
              <w:rPr>
                <w:rFonts w:cs="EB Garamond"/>
                <w:b/>
                <w:kern w:val="16"/>
                <w:sz w:val="19"/>
                <w14:ligatures w14:val="standardContextual"/>
              </w:rPr>
              <w:t>Atenção ao prazo de implantação:</w:t>
            </w:r>
            <w:r>
              <w:rPr>
                <w:rFonts w:cs="EB Garamond"/>
                <w:kern w:val="16"/>
                <w:sz w:val="19"/>
                <w14:ligatures w14:val="standardContextual"/>
              </w:rPr>
              <w:t xml:space="preserve"> O INSS tem 45 dias para implantar o benefício após a intimação do trânsito em julgado. O descumprimento autoriza a fixação de multa diária (astreintes).</w:t>
            </w:r>
          </w:p>
        </w:tc>
      </w:tr>
    </w:tbl>
    <w:p w14:paraId="2FBF0141" w14:textId="77777777" w:rsidR="005A5FCC" w:rsidRDefault="005A5FCC">
      <w:pPr>
        <w:spacing w:after="80" w:line="240" w:lineRule="auto"/>
      </w:pPr>
    </w:p>
    <w:p w14:paraId="4D9FD4FB" w14:textId="77777777" w:rsidR="005A5FCC" w:rsidRDefault="00A21C81">
      <w:pPr>
        <w:spacing w:before="260" w:after="80" w:line="240" w:lineRule="auto"/>
        <w:jc w:val="left"/>
      </w:pPr>
      <w:r>
        <w:rPr>
          <w:rFonts w:cs="EB Garamond"/>
          <w:b/>
          <w:color w:val="3A3128"/>
          <w:kern w:val="16"/>
          <w:sz w:val="25"/>
          <w14:ligatures w14:val="standardContextual"/>
        </w:rPr>
        <w:t>10.8.3 Limites da reafirmação da DER</w:t>
      </w:r>
    </w:p>
    <w:p w14:paraId="07BA8E22"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1AEB65E0" w14:textId="77777777" w:rsidR="005A5FCC" w:rsidRDefault="00A21C81">
      <w:r>
        <w:rPr>
          <w:rFonts w:cs="EB Garamond"/>
          <w:kern w:val="16"/>
          <w14:ligatures w14:val="standardContextual"/>
        </w:rPr>
        <w:t xml:space="preserve"> reafirmação da DER não é ilimitada. O Tema 995/STJ estabelece que ela é possível "nas instâncias ordinárias," o que exclui a possibilidade de reafirmação perante o STJ ou o STF. Nos JEFs, a reafirmação pode ocorrer até o julgamento pela Turma Recursal.</w:t>
      </w:r>
    </w:p>
    <w:p w14:paraId="53B00CB4" w14:textId="77777777" w:rsidR="005A5FCC" w:rsidRDefault="00A21C81">
      <w:pPr>
        <w:ind w:firstLine="238"/>
      </w:pPr>
      <w:r>
        <w:rPr>
          <w:rFonts w:cs="EB Garamond"/>
          <w:kern w:val="16"/>
          <w14:ligatures w14:val="standardContextual"/>
        </w:rPr>
        <w:t>Além disso, a reafirmação exige que os fatos supervenientes estejam dentro da "causa de pedir" da ação. Assim, se o segurado ajuizou ação pleiteando aposentadoria por incapacidade permanente e, durante o processo, implementou os requisitos da aposentadoria por idade, há controvérsia sobre a possibilidade de reafirmação, pois a causa de pedir originária não abrangia a aposentadoria por idade. A tendência jurisprudencial nos JEFs tem sido flexível, admitindo a reafirmação quando os requisitos são inequívocos e não há prejuízo ao INSS.</w:t>
      </w:r>
    </w:p>
    <w:p w14:paraId="23E4366D" w14:textId="77777777" w:rsidR="005A5FCC" w:rsidRDefault="00A21C81">
      <w:pPr>
        <w:ind w:firstLine="238"/>
      </w:pPr>
      <w:r>
        <w:rPr>
          <w:rFonts w:cs="EB Garamond"/>
          <w:kern w:val="16"/>
          <w14:ligatures w14:val="standardContextual"/>
        </w:rPr>
        <w:t>Outro limite relevante é a necessidade de prova dos requisitos na data da reafirmação. Não basta alegar que o requisito foi implementado; é necessário com</w:t>
      </w:r>
      <w:r>
        <w:rPr>
          <w:rFonts w:cs="EB Garamond"/>
          <w:kern w:val="16"/>
          <w14:ligatures w14:val="standardContextual"/>
        </w:rPr>
        <w:lastRenderedPageBreak/>
        <w:t>provar, geralmente mediante extrato do CNIS atualizado, que, na data pretendida para a reafirmação, o segurado efetivamente contava com a idade e a carência necessárias.</w:t>
      </w:r>
    </w:p>
    <w:p w14:paraId="0508AFB2" w14:textId="4C68976E"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10.9 Atividades concomitantes e cômputo (</w:t>
      </w:r>
      <w:r w:rsidR="00AA2644">
        <w:rPr>
          <w:rFonts w:cs="EB Garamond"/>
          <w:b/>
          <w:color w:val="3A3128"/>
          <w:kern w:val="16"/>
          <w:sz w:val="31"/>
          <w14:ligatures w14:val="standardContextual"/>
        </w:rPr>
        <w:t>L</w:t>
      </w:r>
      <w:r>
        <w:rPr>
          <w:rFonts w:cs="EB Garamond"/>
          <w:b/>
          <w:color w:val="3A3128"/>
          <w:kern w:val="16"/>
          <w:sz w:val="31"/>
          <w14:ligatures w14:val="standardContextual"/>
        </w:rPr>
        <w:t>ei 13.846/2019)</w:t>
      </w:r>
    </w:p>
    <w:p w14:paraId="3948E6B4" w14:textId="77777777" w:rsidR="005A5FCC" w:rsidRDefault="00A21C81">
      <w:pPr>
        <w:spacing w:before="260" w:after="80" w:line="240" w:lineRule="auto"/>
        <w:jc w:val="left"/>
      </w:pPr>
      <w:r>
        <w:rPr>
          <w:rFonts w:cs="EB Garamond"/>
          <w:b/>
          <w:color w:val="3A3128"/>
          <w:kern w:val="16"/>
          <w:sz w:val="25"/>
          <w14:ligatures w14:val="standardContextual"/>
        </w:rPr>
        <w:t>10.9.1 A regra anterior</w:t>
      </w:r>
    </w:p>
    <w:p w14:paraId="3CC75338"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45D05E4A" w14:textId="77777777" w:rsidR="005A5FCC" w:rsidRDefault="00A21C81">
      <w:r>
        <w:rPr>
          <w:rFonts w:cs="EB Garamond"/>
          <w:kern w:val="16"/>
          <w14:ligatures w14:val="standardContextual"/>
        </w:rPr>
        <w:t>ntes da Lei 13.846/2019, o cálculo do benefício para segurados que exerciam atividades concomitantes (dois ou mais vínculos simultâneos) era regulado pelo art. 32 da Lei 8.213/91, com redação que distinguia entre atividade principal e atividades secundárias. O salário de benefício da atividade principal era calculado normalmente, mas as atividades secundárias tinham participação proporcional ao tempo de contribuição em cada uma delas. Esse cálculo proporcional frequentemente resultava em benefícios inferiores ao que o segurado efetivamente merecia pela totalidade de suas contribuições.</w:t>
      </w:r>
    </w:p>
    <w:p w14:paraId="65BE19A4" w14:textId="77777777" w:rsidR="005A5FCC" w:rsidRDefault="00A21C81">
      <w:pPr>
        <w:spacing w:before="260" w:after="80" w:line="240" w:lineRule="auto"/>
        <w:jc w:val="left"/>
      </w:pPr>
      <w:r>
        <w:rPr>
          <w:rFonts w:cs="EB Garamond"/>
          <w:b/>
          <w:color w:val="3A3128"/>
          <w:kern w:val="16"/>
          <w:sz w:val="25"/>
          <w14:ligatures w14:val="standardContextual"/>
        </w:rPr>
        <w:t>10.9.2 A regra atual (soma dos salários de contribuição)</w:t>
      </w:r>
    </w:p>
    <w:p w14:paraId="48EAA3D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6C9C1ADC" w14:textId="77777777" w:rsidR="005A5FCC" w:rsidRDefault="00A21C81">
      <w:r>
        <w:rPr>
          <w:rFonts w:cs="EB Garamond"/>
          <w:kern w:val="16"/>
          <w14:ligatures w14:val="standardContextual"/>
        </w:rPr>
        <w:t xml:space="preserve"> Lei 13.846/2019 alterou o art. 32 da Lei 8.213/91, estabelecendo que os salários de contribuição das atividades exercidas concomitantemente são somados para fins de cálculo do salário de benefício. A nova regra é mais simples e mais justa: todas as contribuições do segurado são somadas, independentemente de serem provenientes de uma ou mais atividades simultâneas, respeitado o teto do salário de contribuição vigente em cada competência.</w:t>
      </w:r>
    </w:p>
    <w:tbl>
      <w:tblPr>
        <w:tblW w:w="5000" w:type="pct"/>
        <w:jc w:val="center"/>
        <w:tblLayout w:type="fixed"/>
        <w:tblLook w:val="04A0" w:firstRow="1" w:lastRow="0" w:firstColumn="1" w:lastColumn="0" w:noHBand="0" w:noVBand="1"/>
      </w:tblPr>
      <w:tblGrid>
        <w:gridCol w:w="6311"/>
      </w:tblGrid>
      <w:tr w:rsidR="005A5FCC" w14:paraId="2E02AE75"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3BBF6D1F"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39CA1A33" w14:textId="77777777" w:rsidR="005A5FCC" w:rsidRDefault="00A21C81">
            <w:pPr>
              <w:spacing w:after="60" w:line="247" w:lineRule="auto"/>
            </w:pPr>
            <w:r>
              <w:rPr>
                <w:rFonts w:cs="EB Garamond"/>
                <w:b/>
                <w:kern w:val="16"/>
                <w:sz w:val="19"/>
                <w14:ligatures w14:val="standardContextual"/>
              </w:rPr>
              <w:t>Exemplo — Atividades concomitantes (regra atual)</w:t>
            </w:r>
          </w:p>
          <w:p w14:paraId="195BEB80" w14:textId="77777777" w:rsidR="005A5FCC" w:rsidRDefault="00A21C81">
            <w:pPr>
              <w:spacing w:after="60" w:line="247" w:lineRule="auto"/>
            </w:pPr>
            <w:r>
              <w:rPr>
                <w:rFonts w:cs="EB Garamond"/>
                <w:b/>
                <w:kern w:val="16"/>
                <w:sz w:val="19"/>
                <w14:ligatures w14:val="standardContextual"/>
              </w:rPr>
              <w:t>Carlos</w:t>
            </w:r>
            <w:r>
              <w:rPr>
                <w:rFonts w:cs="EB Garamond"/>
                <w:kern w:val="16"/>
                <w:sz w:val="19"/>
                <w14:ligatures w14:val="standardContextual"/>
              </w:rPr>
              <w:t>, professor municipal e contribuinte individual (consultoria), exercendo as duas atividades simultaneamente desde 2015. Remunerações em 2026: - Emprego público: R$ 4.500,00/mês - Consultoria (CI): R$ 2.000,00/mês - Total: R$ 6.500,00/mês (inferior ao teto de R$ 8.475,55)</w:t>
            </w:r>
          </w:p>
          <w:p w14:paraId="76664039" w14:textId="77777777" w:rsidR="005A5FCC" w:rsidRDefault="00A21C81">
            <w:pPr>
              <w:spacing w:after="60" w:line="247" w:lineRule="auto"/>
            </w:pPr>
            <w:r>
              <w:rPr>
                <w:rFonts w:cs="EB Garamond"/>
                <w:b/>
                <w:kern w:val="16"/>
                <w:sz w:val="19"/>
                <w14:ligatures w14:val="standardContextual"/>
              </w:rPr>
              <w:t>Pela regra atual (Lei 13.846/2019):</w:t>
            </w:r>
            <w:r>
              <w:rPr>
                <w:rFonts w:cs="EB Garamond"/>
                <w:kern w:val="16"/>
                <w:sz w:val="19"/>
                <w14:ligatures w14:val="standardContextual"/>
              </w:rPr>
              <w:t xml:space="preserve"> Os dois salários de contribuição são somados → R$ 6.500,00 é utilizado no cálculo da média.</w:t>
            </w:r>
          </w:p>
          <w:p w14:paraId="4BBAC9C9" w14:textId="77777777" w:rsidR="005A5FCC" w:rsidRDefault="00A21C81">
            <w:pPr>
              <w:spacing w:after="60" w:line="247" w:lineRule="auto"/>
            </w:pPr>
            <w:r>
              <w:rPr>
                <w:rFonts w:cs="EB Garamond"/>
                <w:b/>
                <w:kern w:val="16"/>
                <w:sz w:val="19"/>
                <w14:ligatures w14:val="standardContextual"/>
              </w:rPr>
              <w:t>Pela regra antiga (antes da Lei 13.846/2019):</w:t>
            </w:r>
            <w:r>
              <w:rPr>
                <w:rFonts w:cs="EB Garamond"/>
                <w:kern w:val="16"/>
                <w:sz w:val="19"/>
                <w14:ligatures w14:val="standardContextual"/>
              </w:rPr>
              <w:t xml:space="preserve"> O emprego seria a atividade principal; a consultoria, atividade secundária com participação proporcional. O resultado seria inferior a R$ 6.500,00.</w:t>
            </w:r>
          </w:p>
          <w:p w14:paraId="57DC0041" w14:textId="77777777" w:rsidR="005A5FCC" w:rsidRDefault="00A21C81">
            <w:pPr>
              <w:spacing w:after="60" w:line="247" w:lineRule="auto"/>
            </w:pPr>
            <w:r>
              <w:rPr>
                <w:rFonts w:cs="EB Garamond"/>
                <w:kern w:val="16"/>
                <w:sz w:val="19"/>
                <w14:ligatures w14:val="standardContextual"/>
              </w:rPr>
              <w:t>A revisão de benefícios apurados pelo cálculo proporcional — admitida amplamente, e não apenas após a Lei 13.846/2019 — é objeto do Tema 1.070/STJ (Capítulo 5).</w:t>
            </w:r>
          </w:p>
        </w:tc>
      </w:tr>
    </w:tbl>
    <w:p w14:paraId="37EB871C" w14:textId="77777777" w:rsidR="005A5FCC" w:rsidRDefault="005A5FCC">
      <w:pPr>
        <w:spacing w:after="80" w:line="240" w:lineRule="auto"/>
      </w:pPr>
    </w:p>
    <w:p w14:paraId="61AB1762" w14:textId="77777777" w:rsidR="005A5FCC" w:rsidRDefault="00A21C81">
      <w:pPr>
        <w:spacing w:before="260" w:after="80" w:line="240" w:lineRule="auto"/>
        <w:jc w:val="left"/>
      </w:pPr>
      <w:r>
        <w:rPr>
          <w:rFonts w:cs="EB Garamond"/>
          <w:b/>
          <w:color w:val="3A3128"/>
          <w:kern w:val="16"/>
          <w:sz w:val="25"/>
          <w14:ligatures w14:val="standardContextual"/>
        </w:rPr>
        <w:t>10.9.3 O tema 1.070/STJ e o marco temporal</w:t>
      </w:r>
    </w:p>
    <w:p w14:paraId="7BACFF1D"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36C3E6AF" w14:textId="77777777" w:rsidR="005A5FCC" w:rsidRDefault="00A21C81">
      <w:r>
        <w:rPr>
          <w:rFonts w:cs="EB Garamond"/>
          <w:kern w:val="16"/>
          <w14:ligatures w14:val="standardContextual"/>
        </w:rPr>
        <w:t xml:space="preserve"> STJ, no julgamento do Tema 1.070 (REsp 1.870.793/RS, Rel. Min. Sérgio Kukina, 1ª Seção, j. 11/05/2022), fixou a tese de que, "após o advento da Lei 9.876/99, e para fins de cálculo do benefício de aposentadoria, no caso do exercício de atividades concomitantes pelo segurado, o salário-de-contribuição deverá ser composto da soma de todas as contribuições previdenciárias por ele vertidas ao sistema, respeitado o teto previdenciário". O marco temporal da tese, convém sublinhar, </w:t>
      </w:r>
      <w:r>
        <w:rPr>
          <w:rFonts w:cs="EB Garamond"/>
          <w:b/>
          <w:kern w:val="16"/>
          <w14:ligatures w14:val="standardContextual"/>
        </w:rPr>
        <w:t>não é a Lei 13.846/2019, mas o advento da Lei 9.876/99</w:t>
      </w:r>
      <w:r>
        <w:rPr>
          <w:rFonts w:cs="EB Garamond"/>
          <w:kern w:val="16"/>
          <w14:ligatures w14:val="standardContextual"/>
        </w:rPr>
        <w:t xml:space="preserve">, que ampliou o período básico de cálculo. Por essa razão, a integralidade da soma alcança também benefícios anteriores a 2019: o STJ entendeu que o cálculo proporcional dos incisos do art. 32 (redação original) tornou-se incompatível com a sistemática inaugurada em 1999, afastando-o de forma ampla, e não apenas para benefícios com DER posterior à Lei 13.846/2019. A Lei 13.846/2019 apenas adequou a redação legal a esse entendimento. Sustentamos, em consequência, que o segurado com benefício concedido pela regra proporcional — ainda que anterior a 2019 — tem direito à revisão pela soma integral, observada a prescrição quinquenal. A matéria é objeto de análise detalhada no </w:t>
      </w:r>
      <w:r>
        <w:rPr>
          <w:rFonts w:cs="EB Garamond"/>
          <w:kern w:val="16"/>
          <w14:ligatures w14:val="standardContextual"/>
        </w:rPr>
        <w:lastRenderedPageBreak/>
        <w:t>Capítulo 5 (Reconhecimento, Cômputo e Averbação de Tempo de Contribuição).</w:t>
      </w:r>
    </w:p>
    <w:tbl>
      <w:tblPr>
        <w:tblW w:w="5000" w:type="pct"/>
        <w:jc w:val="center"/>
        <w:tblLayout w:type="fixed"/>
        <w:tblLook w:val="04A0" w:firstRow="1" w:lastRow="0" w:firstColumn="1" w:lastColumn="0" w:noHBand="0" w:noVBand="1"/>
      </w:tblPr>
      <w:tblGrid>
        <w:gridCol w:w="6311"/>
      </w:tblGrid>
      <w:tr w:rsidR="005A5FCC" w14:paraId="0B742808"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147597D3"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7E4E41BB" w14:textId="77777777" w:rsidR="005A5FCC" w:rsidRDefault="00A21C81">
            <w:pPr>
              <w:spacing w:after="60" w:line="247" w:lineRule="auto"/>
            </w:pPr>
            <w:r>
              <w:rPr>
                <w:rFonts w:cs="EB Garamond"/>
                <w:b/>
                <w:kern w:val="16"/>
                <w:sz w:val="19"/>
                <w14:ligatures w14:val="standardContextual"/>
              </w:rPr>
              <w:t>Atividades concomitantes — cuidados práticos nos JEFs</w:t>
            </w:r>
          </w:p>
          <w:p w14:paraId="1B3C9919" w14:textId="77777777" w:rsidR="005A5FCC" w:rsidRDefault="00A21C81">
            <w:pPr>
              <w:spacing w:after="30" w:line="240" w:lineRule="auto"/>
              <w:ind w:left="227" w:hanging="142"/>
            </w:pPr>
            <w:r>
              <w:rPr>
                <w:rFonts w:cs="EB Garamond"/>
                <w:kern w:val="16"/>
                <w:sz w:val="19"/>
                <w14:ligatures w14:val="standardContextual"/>
              </w:rPr>
              <w:t xml:space="preserve">1. </w:t>
            </w:r>
            <w:r>
              <w:rPr>
                <w:rFonts w:cs="EB Garamond"/>
                <w:b/>
                <w:kern w:val="16"/>
                <w:sz w:val="19"/>
                <w14:ligatures w14:val="standardContextual"/>
              </w:rPr>
              <w:t>Verificar se o benefício foi calculado pela regra proporcional:</w:t>
            </w:r>
            <w:r>
              <w:rPr>
                <w:rFonts w:cs="EB Garamond"/>
                <w:kern w:val="16"/>
                <w:sz w:val="19"/>
                <w14:ligatures w14:val="standardContextual"/>
              </w:rPr>
              <w:t xml:space="preserve"> Benefícios apurados pelo cálculo proporcional do art. 32 (redação original) — inclusive os concedidos antes da Lei 13.846/2019 — comportam revisão pela soma integral dos salários de contribuição (Tema 1.070/STJ), observada a prescrição quinquenal das parcelas</w:t>
            </w:r>
          </w:p>
          <w:p w14:paraId="7ECA18CA" w14:textId="77777777" w:rsidR="005A5FCC" w:rsidRDefault="00A21C81">
            <w:pPr>
              <w:spacing w:after="30" w:line="240" w:lineRule="auto"/>
              <w:ind w:left="227" w:hanging="142"/>
            </w:pPr>
            <w:r>
              <w:rPr>
                <w:rFonts w:cs="EB Garamond"/>
                <w:kern w:val="16"/>
                <w:sz w:val="19"/>
                <w14:ligatures w14:val="standardContextual"/>
              </w:rPr>
              <w:t xml:space="preserve">2. </w:t>
            </w:r>
            <w:r>
              <w:rPr>
                <w:rFonts w:cs="EB Garamond"/>
                <w:b/>
                <w:kern w:val="16"/>
                <w:sz w:val="19"/>
                <w14:ligatures w14:val="standardContextual"/>
              </w:rPr>
              <w:t>Verificar o teto:</w:t>
            </w:r>
            <w:r>
              <w:rPr>
                <w:rFonts w:cs="EB Garamond"/>
                <w:kern w:val="16"/>
                <w:sz w:val="19"/>
                <w14:ligatures w14:val="standardContextual"/>
              </w:rPr>
              <w:t xml:space="preserve"> A soma dos salários de contribuição concomitantes está limitada ao teto do RGPS em cada competência. Se a soma excede o teto, o valor excedente é desconsiderado.</w:t>
            </w:r>
          </w:p>
          <w:p w14:paraId="2A25ECE1" w14:textId="77777777" w:rsidR="005A5FCC" w:rsidRDefault="00A21C81">
            <w:pPr>
              <w:spacing w:after="30" w:line="240" w:lineRule="auto"/>
              <w:ind w:left="227" w:hanging="142"/>
            </w:pPr>
            <w:r>
              <w:rPr>
                <w:rFonts w:cs="EB Garamond"/>
                <w:kern w:val="16"/>
                <w:sz w:val="19"/>
                <w14:ligatures w14:val="standardContextual"/>
              </w:rPr>
              <w:t xml:space="preserve">3. </w:t>
            </w:r>
            <w:r>
              <w:rPr>
                <w:rFonts w:cs="EB Garamond"/>
                <w:b/>
                <w:kern w:val="16"/>
                <w:sz w:val="19"/>
                <w14:ligatures w14:val="standardContextual"/>
              </w:rPr>
              <w:t>RPPS × RGPS:</w:t>
            </w:r>
            <w:r>
              <w:rPr>
                <w:rFonts w:cs="EB Garamond"/>
                <w:kern w:val="16"/>
                <w:sz w:val="19"/>
                <w14:ligatures w14:val="standardContextual"/>
              </w:rPr>
              <w:t xml:space="preserve"> Se uma das atividades é vinculada a regime próprio (servidor público), o tempo concomitante no RGPS não gera contribuições duplicadas — cada regime computa apenas a contribuição vertida para si. A compensação entre regimes é regida pelo art. 201, § 9º-A, CF/88 (Capítulo 5, seção 5.7.5).</w:t>
            </w:r>
          </w:p>
          <w:p w14:paraId="0BFD3202" w14:textId="77777777" w:rsidR="005A5FCC" w:rsidRDefault="00A21C81">
            <w:pPr>
              <w:spacing w:after="30" w:line="240" w:lineRule="auto"/>
              <w:ind w:left="227" w:hanging="142"/>
            </w:pPr>
            <w:r>
              <w:rPr>
                <w:rFonts w:cs="EB Garamond"/>
                <w:kern w:val="16"/>
                <w:sz w:val="19"/>
                <w14:ligatures w14:val="standardContextual"/>
              </w:rPr>
              <w:t xml:space="preserve">4. </w:t>
            </w:r>
            <w:r>
              <w:rPr>
                <w:rFonts w:cs="EB Garamond"/>
                <w:b/>
                <w:kern w:val="16"/>
                <w:sz w:val="19"/>
                <w14:ligatures w14:val="standardContextual"/>
              </w:rPr>
              <w:t>MEI com atividade simultânea:</w:t>
            </w:r>
            <w:r>
              <w:rPr>
                <w:rFonts w:cs="EB Garamond"/>
                <w:kern w:val="16"/>
                <w:sz w:val="19"/>
                <w14:ligatures w14:val="standardContextual"/>
              </w:rPr>
              <w:t xml:space="preserve"> O MEI que exerce outra atividade como empregado ou CI tem as contribuições somadas normalmente. A contribuição do MEI (5% sobre o SM) soma-se à contribuição da outra atividade.</w:t>
            </w:r>
          </w:p>
        </w:tc>
      </w:tr>
    </w:tbl>
    <w:p w14:paraId="02308251" w14:textId="77777777" w:rsidR="005A5FCC" w:rsidRDefault="005A5FCC">
      <w:pPr>
        <w:spacing w:after="80" w:line="240" w:lineRule="auto"/>
      </w:pPr>
    </w:p>
    <w:p w14:paraId="1A0414E0" w14:textId="738DC273"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 xml:space="preserve">10.10 Aposentadoria compulsória (art. 51, </w:t>
      </w:r>
      <w:r w:rsidR="00AA2644">
        <w:rPr>
          <w:rFonts w:cs="EB Garamond"/>
          <w:b/>
          <w:color w:val="3A3128"/>
          <w:kern w:val="16"/>
          <w:sz w:val="31"/>
          <w14:ligatures w14:val="standardContextual"/>
        </w:rPr>
        <w:t>L</w:t>
      </w:r>
      <w:r>
        <w:rPr>
          <w:rFonts w:cs="EB Garamond"/>
          <w:b/>
          <w:color w:val="3A3128"/>
          <w:kern w:val="16"/>
          <w:sz w:val="31"/>
          <w14:ligatures w14:val="standardContextual"/>
        </w:rPr>
        <w:t>ei 8.213/91)</w:t>
      </w:r>
    </w:p>
    <w:p w14:paraId="29A198BD" w14:textId="77777777" w:rsidR="005A5FCC" w:rsidRDefault="00A21C81">
      <w:pPr>
        <w:spacing w:before="260" w:after="80" w:line="240" w:lineRule="auto"/>
        <w:jc w:val="left"/>
      </w:pPr>
      <w:r>
        <w:rPr>
          <w:rFonts w:cs="EB Garamond"/>
          <w:b/>
          <w:color w:val="3A3128"/>
          <w:kern w:val="16"/>
          <w:sz w:val="25"/>
          <w14:ligatures w14:val="standardContextual"/>
        </w:rPr>
        <w:t>10.10.1 Conceito e fundamento</w:t>
      </w:r>
    </w:p>
    <w:p w14:paraId="376D6074"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7A1A1B27" w14:textId="77777777" w:rsidR="005A5FCC" w:rsidRDefault="00A21C81">
      <w:r>
        <w:rPr>
          <w:rFonts w:cs="EB Garamond"/>
          <w:kern w:val="16"/>
          <w14:ligatures w14:val="standardContextual"/>
        </w:rPr>
        <w:t xml:space="preserve"> aposentadoria compulsória, prevista no art. 51 da Lei 8.213/91, examinada por Ibrahim (2025) e Castro e Lazzari (2025), é a modalidade em que o empregador pode requerer a aposentadoria do empregado que tenha atingido a idade de 70 anos (homem) ou 65 anos (mulher), desde que cumprida a carência exigida. Trata-se de exceção ao princípio geral de que a aposentadoria é ato voluntário do segurado.</w:t>
      </w:r>
    </w:p>
    <w:p w14:paraId="56909F47" w14:textId="08B71100" w:rsidR="005A5FCC" w:rsidRDefault="00A21C81">
      <w:pPr>
        <w:ind w:firstLine="238"/>
      </w:pPr>
      <w:r>
        <w:rPr>
          <w:rFonts w:cs="EB Garamond"/>
          <w:kern w:val="16"/>
          <w14:ligatures w14:val="standardContextual"/>
        </w:rPr>
        <w:lastRenderedPageBreak/>
        <w:t xml:space="preserve">A natureza jurídica da aposentadoria compulsória é controvertida. Para uma corrente, trata-se de faculdade exclusiva do empregador, que pode ou não exercê-la. Para outra, o instituto encontra-se em desuso prático após a promulgação da Lei 8.213/91, especialmente diante da </w:t>
      </w:r>
      <w:r w:rsidR="00AA2644">
        <w:rPr>
          <w:rFonts w:cs="EB Garamond"/>
          <w:kern w:val="16"/>
          <w14:ligatures w14:val="standardContextual"/>
        </w:rPr>
        <w:t>jurisprudência</w:t>
      </w:r>
      <w:r>
        <w:rPr>
          <w:rFonts w:cs="EB Garamond"/>
          <w:kern w:val="16"/>
          <w14:ligatures w14:val="standardContextual"/>
        </w:rPr>
        <w:t xml:space="preserve"> consolidada do TST no sentido de que a aposentadoria </w:t>
      </w:r>
      <w:r w:rsidR="00AA2644">
        <w:rPr>
          <w:rFonts w:cs="EB Garamond"/>
          <w:kern w:val="16"/>
          <w14:ligatures w14:val="standardContextual"/>
        </w:rPr>
        <w:t>não</w:t>
      </w:r>
      <w:r>
        <w:rPr>
          <w:rFonts w:cs="EB Garamond"/>
          <w:kern w:val="16"/>
          <w14:ligatures w14:val="standardContextual"/>
        </w:rPr>
        <w:t xml:space="preserve"> extingue automaticamente o contrato de trabalho (OJ 177/SDI-I/TST, cancelada, e OJ 361/SDI-I/TST).</w:t>
      </w:r>
    </w:p>
    <w:p w14:paraId="053B473B" w14:textId="77777777" w:rsidR="005A5FCC" w:rsidRDefault="00A21C81">
      <w:pPr>
        <w:ind w:firstLine="238"/>
      </w:pPr>
      <w:r>
        <w:rPr>
          <w:rFonts w:cs="EB Garamond"/>
          <w:kern w:val="16"/>
          <w14:ligatures w14:val="standardContextual"/>
        </w:rPr>
        <w:t>A EC 103/2019 não alterou expressamente os requisitos da aposentadoria compulsória do RGPS, mantendo as idades de 70/65 anos previstas no art. 51. Entretanto, a questão da constitucionalidade dessas idades e de seu alinhamento com as novas regras da aposentadoria programada é objeto de discussão doutrinária.</w:t>
      </w:r>
    </w:p>
    <w:p w14:paraId="4E284D24" w14:textId="77777777" w:rsidR="005A5FCC" w:rsidRDefault="00A21C81">
      <w:pPr>
        <w:spacing w:before="260" w:after="80" w:line="240" w:lineRule="auto"/>
        <w:jc w:val="left"/>
      </w:pPr>
      <w:r>
        <w:rPr>
          <w:rFonts w:cs="EB Garamond"/>
          <w:b/>
          <w:color w:val="3A3128"/>
          <w:kern w:val="16"/>
          <w:sz w:val="25"/>
          <w14:ligatures w14:val="standardContextual"/>
        </w:rPr>
        <w:t>10.10.2 Requisitos</w:t>
      </w:r>
    </w:p>
    <w:p w14:paraId="7B244C72"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P</w:t>
      </w:r>
    </w:p>
    <w:p w14:paraId="3A95A09C" w14:textId="77777777" w:rsidR="005A5FCC" w:rsidRDefault="00A21C81">
      <w:r>
        <w:rPr>
          <w:rFonts w:cs="EB Garamond"/>
          <w:kern w:val="16"/>
          <w14:ligatures w14:val="standardContextual"/>
        </w:rPr>
        <w:t>ara a aposentadoria compulsória, exige-se cumulativamente:</w:t>
      </w:r>
    </w:p>
    <w:p w14:paraId="193F496E" w14:textId="77777777" w:rsidR="005A5FCC" w:rsidRDefault="00A21C81">
      <w:pPr>
        <w:ind w:firstLine="238"/>
      </w:pPr>
      <w:r>
        <w:rPr>
          <w:rFonts w:cs="EB Garamond"/>
          <w:b/>
          <w:kern w:val="16"/>
          <w14:ligatures w14:val="standardContextual"/>
        </w:rPr>
        <w:t>a) Idade:</w:t>
      </w:r>
      <w:r>
        <w:rPr>
          <w:rFonts w:cs="EB Garamond"/>
          <w:kern w:val="16"/>
          <w14:ligatures w14:val="standardContextual"/>
        </w:rPr>
        <w:t xml:space="preserve"> 70 anos (homem) ou 65 anos (mulher). Essas idades foram fixadas pela redação original do art. 51 da Lei 8.213/91 e não foram alteradas pela EC 103/2019. Observe-se que a idade da aposentadoria compulsória feminina (65 anos) coincide com a idade da aposentadoria voluntária masculina (65 anos) — assimetria que suscita questionamentos de constitucionalidade, especialmente após a reforma que elevou a idade feminina para 62 anos na aposentadoria voluntária.</w:t>
      </w:r>
    </w:p>
    <w:p w14:paraId="2BF0C2C0" w14:textId="77777777" w:rsidR="005A5FCC" w:rsidRDefault="00A21C81">
      <w:pPr>
        <w:ind w:firstLine="238"/>
      </w:pPr>
      <w:r>
        <w:rPr>
          <w:rFonts w:cs="EB Garamond"/>
          <w:b/>
          <w:kern w:val="16"/>
          <w14:ligatures w14:val="standardContextual"/>
        </w:rPr>
        <w:t>b) Carência:</w:t>
      </w:r>
      <w:r>
        <w:rPr>
          <w:rFonts w:cs="EB Garamond"/>
          <w:kern w:val="16"/>
          <w14:ligatures w14:val="standardContextual"/>
        </w:rPr>
        <w:t xml:space="preserve"> A mesma exigida para a aposentadoria voluntária — 180 contribuições mensais (art. 25, II, Lei 8.213/91) ou conforme a tabela progressiva do art. 142 para filiados antes de 24/07/1991. A exigência de carência na aposentadoria compulsória é objeto de controvérsia doutrinária: há quem sustente que, tratando-se de faculdade do empregador, a carência não deveria ser obstáculo, sob pena de o empregado ficar em situação pior do que a desejada por seu empregador. A posição prevalecente, contudo, é de que a carência é requisito inafastável, pois se trata de benefício previdenciário, não de verba trabalhista.</w:t>
      </w:r>
    </w:p>
    <w:p w14:paraId="4E6C05A8" w14:textId="77777777" w:rsidR="005A5FCC" w:rsidRDefault="00A21C81">
      <w:pPr>
        <w:ind w:firstLine="238"/>
      </w:pPr>
      <w:r>
        <w:rPr>
          <w:rFonts w:cs="EB Garamond"/>
          <w:b/>
          <w:kern w:val="16"/>
          <w14:ligatures w14:val="standardContextual"/>
        </w:rPr>
        <w:t>c) Iniciativa do empregador:</w:t>
      </w:r>
      <w:r>
        <w:rPr>
          <w:rFonts w:cs="EB Garamond"/>
          <w:kern w:val="16"/>
          <w14:ligatures w14:val="standardContextual"/>
        </w:rPr>
        <w:t xml:space="preserve"> O requerimento é feito pelo empregador, não pelo segurado. Nos termos do art. 51, </w:t>
      </w:r>
      <w:r>
        <w:rPr>
          <w:rFonts w:cs="EB Garamond"/>
          <w:i/>
          <w:kern w:val="16"/>
          <w14:ligatures w14:val="standardContextual"/>
        </w:rPr>
        <w:t>caput</w:t>
      </w:r>
      <w:r>
        <w:rPr>
          <w:rFonts w:cs="EB Garamond"/>
          <w:kern w:val="16"/>
          <w14:ligatures w14:val="standardContextual"/>
        </w:rPr>
        <w:t xml:space="preserve">, da Lei 8.213/91, a aposentadoria por idade "poderá ser requerida pela empresa, desde que o segurado empregado </w:t>
      </w:r>
      <w:r>
        <w:rPr>
          <w:rFonts w:cs="EB Garamond"/>
          <w:kern w:val="16"/>
          <w14:ligatures w14:val="standardContextual"/>
        </w:rPr>
        <w:lastRenderedPageBreak/>
        <w:t>tenha cumprido o período de carência e completado 70 (setenta) anos de idade, se do sexo masculino, ou 65 (sessenta e cinco) anos, se do feminino, sendo compulsória, caso em que será garantida ao empregado a indenização prevista na legislação trabalhista, considerada como data da rescisão do contrato de trabalho a imediatamente anterior à do início da aposentadoria." O dispositivo confere ao empregador a faculdade de requerer o benefício a partir do momento em que o empregado atinge a idade e a carência exigidas.</w:t>
      </w:r>
    </w:p>
    <w:p w14:paraId="2121E9EE" w14:textId="025B3870" w:rsidR="005A5FCC" w:rsidRDefault="00A21C81">
      <w:pPr>
        <w:ind w:firstLine="238"/>
      </w:pPr>
      <w:r>
        <w:rPr>
          <w:rFonts w:cs="EB Garamond"/>
          <w:b/>
          <w:kern w:val="16"/>
          <w14:ligatures w14:val="standardContextual"/>
        </w:rPr>
        <w:t>d) Garantia de valor mínimo:</w:t>
      </w:r>
      <w:r>
        <w:rPr>
          <w:rFonts w:cs="EB Garamond"/>
          <w:kern w:val="16"/>
          <w14:ligatures w14:val="standardContextual"/>
        </w:rPr>
        <w:t xml:space="preserve"> A renda mensal da aposentadoria compulsória não pode ser inferior a um </w:t>
      </w:r>
      <w:r w:rsidR="00AA2644">
        <w:rPr>
          <w:rFonts w:cs="EB Garamond"/>
          <w:kern w:val="16"/>
          <w14:ligatures w14:val="standardContextual"/>
        </w:rPr>
        <w:t>salário-mínimo</w:t>
      </w:r>
      <w:r>
        <w:rPr>
          <w:rFonts w:cs="EB Garamond"/>
          <w:kern w:val="16"/>
          <w14:ligatures w14:val="standardContextual"/>
        </w:rPr>
        <w:t>, nos termos do art. 201, § 2º, da CF/88.</w:t>
      </w:r>
    </w:p>
    <w:p w14:paraId="2D181884" w14:textId="77777777" w:rsidR="005A5FCC" w:rsidRDefault="00A21C81">
      <w:pPr>
        <w:spacing w:before="260" w:after="80" w:line="240" w:lineRule="auto"/>
        <w:jc w:val="left"/>
      </w:pPr>
      <w:r>
        <w:rPr>
          <w:rFonts w:cs="EB Garamond"/>
          <w:b/>
          <w:color w:val="3A3128"/>
          <w:kern w:val="16"/>
          <w:sz w:val="25"/>
          <w14:ligatures w14:val="standardContextual"/>
        </w:rPr>
        <w:t>10.10.3 Efeitos trabalhistas e previdenciários</w:t>
      </w:r>
    </w:p>
    <w:p w14:paraId="10715D9E"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68212BD2" w14:textId="77777777" w:rsidR="005A5FCC" w:rsidRDefault="00A21C81">
      <w:r>
        <w:rPr>
          <w:rFonts w:cs="EB Garamond"/>
          <w:kern w:val="16"/>
          <w14:ligatures w14:val="standardContextual"/>
        </w:rPr>
        <w:t xml:space="preserve"> concessão da aposentadoria compulsória suscita questões relevantes na interface entre o Direito do Trabalho e o Direito Previdenciário:</w:t>
      </w:r>
    </w:p>
    <w:p w14:paraId="5B9B04AF" w14:textId="77777777" w:rsidR="005A5FCC" w:rsidRDefault="00A21C81">
      <w:pPr>
        <w:ind w:firstLine="238"/>
      </w:pPr>
      <w:r>
        <w:rPr>
          <w:rFonts w:cs="EB Garamond"/>
          <w:b/>
          <w:kern w:val="16"/>
          <w14:ligatures w14:val="standardContextual"/>
        </w:rPr>
        <w:t>Extinção do contrato de trabalho:</w:t>
      </w:r>
      <w:r>
        <w:rPr>
          <w:rFonts w:cs="EB Garamond"/>
          <w:kern w:val="16"/>
          <w14:ligatures w14:val="standardContextual"/>
        </w:rPr>
        <w:t xml:space="preserve"> A jurisprudência do TST consolidou o entendimento de que a aposentadoria espontânea do segurado não extingue o contrato de trabalho (art. 453, § 2º, CLT, declarado inconstitucional pelo STF nas ADIs 1.721 e 1.770). A questão é se esse entendimento se aplica também à aposentadoria compulsória. A doutrina majoritária entende que a aposentadoria compulsória, por ser iniciativa do empregador, acarreta a extinção do contrato de trabalho, cabendo ao empregador o pagamento das verbas rescisórias correspondentes à rescisão sem justa causa, inclusive multa de 40% sobre o FGTS.</w:t>
      </w:r>
    </w:p>
    <w:p w14:paraId="650F8EE7" w14:textId="77777777" w:rsidR="005A5FCC" w:rsidRDefault="00A21C81">
      <w:pPr>
        <w:ind w:firstLine="238"/>
      </w:pPr>
      <w:r>
        <w:rPr>
          <w:rFonts w:cs="EB Garamond"/>
          <w:b/>
          <w:kern w:val="16"/>
          <w14:ligatures w14:val="standardContextual"/>
        </w:rPr>
        <w:t>Cumulação com salário:</w:t>
      </w:r>
      <w:r>
        <w:rPr>
          <w:rFonts w:cs="EB Garamond"/>
          <w:kern w:val="16"/>
          <w14:ligatures w14:val="standardContextual"/>
        </w:rPr>
        <w:t xml:space="preserve"> Se a aposentadoria compulsória não extinguir o contrato (na hipótese de o empregador optar por manter o empregado), o segurado pode cumular proventos de aposentadoria e salário, pois não há vedação legal à continuidade do trabalho pelo aposentado por idade.</w:t>
      </w:r>
    </w:p>
    <w:p w14:paraId="20EA3240" w14:textId="77777777" w:rsidR="005A5FCC" w:rsidRDefault="00A21C81">
      <w:pPr>
        <w:ind w:firstLine="238"/>
      </w:pPr>
      <w:r>
        <w:rPr>
          <w:rFonts w:cs="EB Garamond"/>
          <w:b/>
          <w:kern w:val="16"/>
          <w14:ligatures w14:val="standardContextual"/>
        </w:rPr>
        <w:t>Indenização compensatória:</w:t>
      </w:r>
      <w:r>
        <w:rPr>
          <w:rFonts w:cs="EB Garamond"/>
          <w:kern w:val="16"/>
          <w14:ligatures w14:val="standardContextual"/>
        </w:rPr>
        <w:t xml:space="preserve"> O art. 51, </w:t>
      </w:r>
      <w:r>
        <w:rPr>
          <w:rFonts w:cs="EB Garamond"/>
          <w:i/>
          <w:kern w:val="16"/>
          <w14:ligatures w14:val="standardContextual"/>
        </w:rPr>
        <w:t>caput</w:t>
      </w:r>
      <w:r>
        <w:rPr>
          <w:rFonts w:cs="EB Garamond"/>
          <w:kern w:val="16"/>
          <w14:ligatures w14:val="standardContextual"/>
        </w:rPr>
        <w:t>, da Lei 8.213/91 prevê que, na aposentadoria compulsória, o empregado tem direito à indenização prevista na legislação trabalhista, "considerada como data da rescisão do contrato de trabalho a imediatamente anterior à do início da aposentadoria." Essa previsão reforça a interpretação de que a aposentadoria compulsória implica rescisão contratual.</w:t>
      </w:r>
    </w:p>
    <w:tbl>
      <w:tblPr>
        <w:tblW w:w="5000" w:type="pct"/>
        <w:jc w:val="center"/>
        <w:tblLayout w:type="fixed"/>
        <w:tblLook w:val="04A0" w:firstRow="1" w:lastRow="0" w:firstColumn="1" w:lastColumn="0" w:noHBand="0" w:noVBand="1"/>
      </w:tblPr>
      <w:tblGrid>
        <w:gridCol w:w="6311"/>
      </w:tblGrid>
      <w:tr w:rsidR="005A5FCC" w14:paraId="3C04430D"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53967E2A" w14:textId="77777777" w:rsidR="005A5FCC" w:rsidRDefault="00A21C81">
            <w:pPr>
              <w:spacing w:after="60" w:line="240" w:lineRule="auto"/>
              <w:jc w:val="left"/>
            </w:pPr>
            <w:r>
              <w:rPr>
                <w:rFonts w:ascii="Noto Sans" w:hAnsi="Noto Sans" w:cs="Noto Sans"/>
                <w:b/>
                <w:caps/>
                <w:color w:val="B78B37"/>
                <w:kern w:val="16"/>
                <w:sz w:val="16"/>
                <w14:ligatures w14:val="standardContextual"/>
              </w:rPr>
              <w:lastRenderedPageBreak/>
              <w:t>ATENÇÃO</w:t>
            </w:r>
          </w:p>
          <w:p w14:paraId="4F7304F2" w14:textId="77777777" w:rsidR="005A5FCC" w:rsidRDefault="00A21C81">
            <w:pPr>
              <w:spacing w:after="60" w:line="247" w:lineRule="auto"/>
            </w:pPr>
            <w:r>
              <w:rPr>
                <w:rFonts w:cs="EB Garamond"/>
                <w:b/>
                <w:kern w:val="16"/>
                <w:sz w:val="19"/>
                <w14:ligatures w14:val="standardContextual"/>
              </w:rPr>
              <w:t>Aposentadoria compulsória — pontos de atenção</w:t>
            </w:r>
          </w:p>
          <w:p w14:paraId="0A91A324" w14:textId="3783A68B" w:rsidR="005A5FCC" w:rsidRDefault="00A21C81">
            <w:pPr>
              <w:spacing w:after="30" w:line="240" w:lineRule="auto"/>
              <w:ind w:left="227" w:hanging="142"/>
            </w:pPr>
            <w:r>
              <w:rPr>
                <w:rFonts w:cs="EB Garamond"/>
                <w:kern w:val="16"/>
                <w:sz w:val="19"/>
                <w14:ligatures w14:val="standardContextual"/>
              </w:rPr>
              <w:t xml:space="preserve">1. </w:t>
            </w:r>
            <w:r w:rsidR="00AA2644">
              <w:rPr>
                <w:rFonts w:cs="EB Garamond"/>
                <w:b/>
                <w:kern w:val="16"/>
                <w:sz w:val="19"/>
                <w14:ligatures w14:val="standardContextual"/>
              </w:rPr>
              <w:t>Não</w:t>
            </w:r>
            <w:r>
              <w:rPr>
                <w:rFonts w:cs="EB Garamond"/>
                <w:b/>
                <w:kern w:val="16"/>
                <w:sz w:val="19"/>
                <w14:ligatures w14:val="standardContextual"/>
              </w:rPr>
              <w:t xml:space="preserve"> confundir com a aposentadoria </w:t>
            </w:r>
            <w:r w:rsidR="00AA2644">
              <w:rPr>
                <w:rFonts w:cs="EB Garamond"/>
                <w:b/>
                <w:kern w:val="16"/>
                <w:sz w:val="19"/>
                <w14:ligatures w14:val="standardContextual"/>
              </w:rPr>
              <w:t>compulsória</w:t>
            </w:r>
            <w:r>
              <w:rPr>
                <w:rFonts w:cs="EB Garamond"/>
                <w:b/>
                <w:kern w:val="16"/>
                <w:sz w:val="19"/>
                <w14:ligatures w14:val="standardContextual"/>
              </w:rPr>
              <w:t xml:space="preserve"> do servidor </w:t>
            </w:r>
            <w:r w:rsidR="00AA2644">
              <w:rPr>
                <w:rFonts w:cs="EB Garamond"/>
                <w:b/>
                <w:kern w:val="16"/>
                <w:sz w:val="19"/>
                <w14:ligatures w14:val="standardContextual"/>
              </w:rPr>
              <w:t>público</w:t>
            </w:r>
            <w:r>
              <w:rPr>
                <w:rFonts w:cs="EB Garamond"/>
                <w:kern w:val="16"/>
                <w:sz w:val="19"/>
                <w14:ligatures w14:val="standardContextual"/>
              </w:rPr>
              <w:t xml:space="preserve"> (art. 40, para. 1o, II, CF), que obedece a regras distintas — 75 anos (LC 152/2015, que elevou a idade anteriormente fixada em 70 anos) — e e de </w:t>
            </w:r>
            <w:r w:rsidR="00AA2644">
              <w:rPr>
                <w:rFonts w:cs="EB Garamond"/>
                <w:kern w:val="16"/>
                <w:sz w:val="19"/>
                <w14:ligatures w14:val="standardContextual"/>
              </w:rPr>
              <w:t>competência</w:t>
            </w:r>
            <w:r>
              <w:rPr>
                <w:rFonts w:cs="EB Garamond"/>
                <w:kern w:val="16"/>
                <w:sz w:val="19"/>
                <w14:ligatures w14:val="standardContextual"/>
              </w:rPr>
              <w:t xml:space="preserve"> da </w:t>
            </w:r>
            <w:r w:rsidR="00AA2644">
              <w:rPr>
                <w:rFonts w:cs="EB Garamond"/>
                <w:kern w:val="16"/>
                <w:sz w:val="19"/>
                <w14:ligatures w14:val="standardContextual"/>
              </w:rPr>
              <w:t>Justiça</w:t>
            </w:r>
            <w:r>
              <w:rPr>
                <w:rFonts w:cs="EB Garamond"/>
                <w:kern w:val="16"/>
                <w:sz w:val="19"/>
                <w14:ligatures w14:val="standardContextual"/>
              </w:rPr>
              <w:t xml:space="preserve"> comum ou Federal conforme o regime. A aposentadoria </w:t>
            </w:r>
            <w:r w:rsidR="00AA2644">
              <w:rPr>
                <w:rFonts w:cs="EB Garamond"/>
                <w:kern w:val="16"/>
                <w:sz w:val="19"/>
                <w14:ligatures w14:val="standardContextual"/>
              </w:rPr>
              <w:t>compulsória</w:t>
            </w:r>
            <w:r>
              <w:rPr>
                <w:rFonts w:cs="EB Garamond"/>
                <w:kern w:val="16"/>
                <w:sz w:val="19"/>
                <w14:ligatures w14:val="standardContextual"/>
              </w:rPr>
              <w:t xml:space="preserve"> do RGPS e exclusiva do </w:t>
            </w:r>
            <w:r w:rsidR="00AA2644">
              <w:rPr>
                <w:rFonts w:cs="EB Garamond"/>
                <w:kern w:val="16"/>
                <w:sz w:val="19"/>
                <w14:ligatures w14:val="standardContextual"/>
              </w:rPr>
              <w:t>vínculo</w:t>
            </w:r>
            <w:r>
              <w:rPr>
                <w:rFonts w:cs="EB Garamond"/>
                <w:kern w:val="16"/>
                <w:sz w:val="19"/>
                <w14:ligatures w14:val="standardContextual"/>
              </w:rPr>
              <w:t xml:space="preserve"> celetista.</w:t>
            </w:r>
          </w:p>
          <w:p w14:paraId="102C4CC9" w14:textId="77777777" w:rsidR="005A5FCC" w:rsidRDefault="00A21C81">
            <w:pPr>
              <w:spacing w:after="30" w:line="240" w:lineRule="auto"/>
              <w:ind w:left="227" w:hanging="142"/>
            </w:pPr>
            <w:r>
              <w:rPr>
                <w:rFonts w:cs="EB Garamond"/>
                <w:kern w:val="16"/>
                <w:sz w:val="19"/>
                <w14:ligatures w14:val="standardContextual"/>
              </w:rPr>
              <w:t xml:space="preserve">2. </w:t>
            </w:r>
            <w:r>
              <w:rPr>
                <w:rFonts w:cs="EB Garamond"/>
                <w:b/>
                <w:kern w:val="16"/>
                <w:sz w:val="19"/>
                <w14:ligatures w14:val="standardContextual"/>
              </w:rPr>
              <w:t>O segurado pode se recusar?</w:t>
            </w:r>
            <w:r>
              <w:rPr>
                <w:rFonts w:cs="EB Garamond"/>
                <w:kern w:val="16"/>
                <w:sz w:val="19"/>
                <w14:ligatures w14:val="standardContextual"/>
              </w:rPr>
              <w:t xml:space="preserve"> A jurisprudência é escassa, mas a interpretação predominante é de que, se o empregador requerer e o INSS conceder, o segurado não pode se opor à concessão do benefício, embora possa continuar trabalhando em outro emprego ou como contribuinte individual. O que se discute é se o empregador pode rescindir o contrato com base exclusivamente na concessão da aposentadoria compulsória.</w:t>
            </w:r>
          </w:p>
          <w:p w14:paraId="0E8A710C" w14:textId="142FCDCB" w:rsidR="005A5FCC" w:rsidRDefault="00A21C81">
            <w:pPr>
              <w:spacing w:after="30" w:line="240" w:lineRule="auto"/>
              <w:ind w:left="227" w:hanging="142"/>
            </w:pPr>
            <w:r>
              <w:rPr>
                <w:rFonts w:cs="EB Garamond"/>
                <w:kern w:val="16"/>
                <w:sz w:val="19"/>
                <w14:ligatures w14:val="standardContextual"/>
              </w:rPr>
              <w:t xml:space="preserve">3. </w:t>
            </w:r>
            <w:r>
              <w:rPr>
                <w:rFonts w:cs="EB Garamond"/>
                <w:b/>
                <w:kern w:val="16"/>
                <w:sz w:val="19"/>
                <w14:ligatures w14:val="standardContextual"/>
              </w:rPr>
              <w:t>Valor do benefício:</w:t>
            </w:r>
            <w:r>
              <w:rPr>
                <w:rFonts w:cs="EB Garamond"/>
                <w:kern w:val="16"/>
                <w:sz w:val="19"/>
                <w14:ligatures w14:val="standardContextual"/>
              </w:rPr>
              <w:t xml:space="preserve"> Calculado pelas regras aplicáveis ao segurado (regra antiga com direito adquirido, regra de transição ou regra permanente, conforme o caso). Se o resultado for inferior ao </w:t>
            </w:r>
            <w:r w:rsidR="00AA2644">
              <w:rPr>
                <w:rFonts w:cs="EB Garamond"/>
                <w:kern w:val="16"/>
                <w:sz w:val="19"/>
                <w14:ligatures w14:val="standardContextual"/>
              </w:rPr>
              <w:t>salário-mínimo</w:t>
            </w:r>
            <w:r>
              <w:rPr>
                <w:rFonts w:cs="EB Garamond"/>
                <w:kern w:val="16"/>
                <w:sz w:val="19"/>
                <w14:ligatures w14:val="standardContextual"/>
              </w:rPr>
              <w:t>, é elevado ao mínimo. O fato de a aposentadoria ser compulsória não altera a forma de cálculo — a distinção é apenas quanto à iniciativa, não quanto ao valor.</w:t>
            </w:r>
          </w:p>
          <w:p w14:paraId="701F8B69" w14:textId="77777777" w:rsidR="005A5FCC" w:rsidRDefault="00A21C81">
            <w:pPr>
              <w:spacing w:after="30" w:line="240" w:lineRule="auto"/>
              <w:ind w:left="227" w:hanging="142"/>
            </w:pPr>
            <w:r>
              <w:rPr>
                <w:rFonts w:cs="EB Garamond"/>
                <w:kern w:val="16"/>
                <w:sz w:val="19"/>
                <w14:ligatures w14:val="standardContextual"/>
              </w:rPr>
              <w:t xml:space="preserve">4. </w:t>
            </w:r>
            <w:r>
              <w:rPr>
                <w:rFonts w:cs="EB Garamond"/>
                <w:b/>
                <w:kern w:val="16"/>
                <w:sz w:val="19"/>
                <w14:ligatures w14:val="standardContextual"/>
              </w:rPr>
              <w:t>Rara nos JEFs:</w:t>
            </w:r>
            <w:r>
              <w:rPr>
                <w:rFonts w:cs="EB Garamond"/>
                <w:kern w:val="16"/>
                <w:sz w:val="19"/>
                <w14:ligatures w14:val="standardContextual"/>
              </w:rPr>
              <w:t xml:space="preserve"> Ações envolvendo aposentadoria compulsória são incomuns nos Juizados Especiais Federais, mas podem surgir em demandas de reconhecimento de tempo de contribuição ou de revisão do valor do benefício concedido compulsoriamente. A situação mais frequente nos JEFs é aquela em que o segurado alega que foi compelido a aceitar uma aposentadoria de valor inferior ao devido, pretendendo a revisão do cálculo ou a concessão por regra mais vantajosa.</w:t>
            </w:r>
          </w:p>
          <w:p w14:paraId="053421E0" w14:textId="4BCCF021" w:rsidR="005A5FCC" w:rsidRDefault="00A21C81">
            <w:pPr>
              <w:spacing w:after="30" w:line="240" w:lineRule="auto"/>
              <w:ind w:left="227" w:hanging="142"/>
            </w:pPr>
            <w:r>
              <w:rPr>
                <w:rFonts w:cs="EB Garamond"/>
                <w:kern w:val="16"/>
                <w:sz w:val="19"/>
                <w14:ligatures w14:val="standardContextual"/>
              </w:rPr>
              <w:t xml:space="preserve">5. </w:t>
            </w:r>
            <w:r>
              <w:rPr>
                <w:rFonts w:cs="EB Garamond"/>
                <w:b/>
                <w:kern w:val="16"/>
                <w:sz w:val="19"/>
                <w14:ligatures w14:val="standardContextual"/>
              </w:rPr>
              <w:t>Constitucionalidade das idades:</w:t>
            </w:r>
            <w:r>
              <w:rPr>
                <w:rFonts w:cs="EB Garamond"/>
                <w:kern w:val="16"/>
                <w:sz w:val="19"/>
                <w14:ligatures w14:val="standardContextual"/>
              </w:rPr>
              <w:t xml:space="preserve"> A </w:t>
            </w:r>
            <w:r w:rsidR="00AA2644">
              <w:rPr>
                <w:rFonts w:cs="EB Garamond"/>
                <w:kern w:val="16"/>
                <w:sz w:val="19"/>
                <w14:ligatures w14:val="standardContextual"/>
              </w:rPr>
              <w:t>manutenção</w:t>
            </w:r>
            <w:r>
              <w:rPr>
                <w:rFonts w:cs="EB Garamond"/>
                <w:kern w:val="16"/>
                <w:sz w:val="19"/>
                <w14:ligatures w14:val="standardContextual"/>
              </w:rPr>
              <w:t xml:space="preserve"> das idades de 70/65 anos para a aposentadoria </w:t>
            </w:r>
            <w:r w:rsidR="00AA2644">
              <w:rPr>
                <w:rFonts w:cs="EB Garamond"/>
                <w:kern w:val="16"/>
                <w:sz w:val="19"/>
                <w14:ligatures w14:val="standardContextual"/>
              </w:rPr>
              <w:t>compulsória</w:t>
            </w:r>
            <w:r>
              <w:rPr>
                <w:rFonts w:cs="EB Garamond"/>
                <w:kern w:val="16"/>
                <w:sz w:val="19"/>
                <w14:ligatures w14:val="standardContextual"/>
              </w:rPr>
              <w:t xml:space="preserve"> no RGPS, em contraste com a </w:t>
            </w:r>
            <w:r w:rsidR="00AA2644">
              <w:rPr>
                <w:rFonts w:cs="EB Garamond"/>
                <w:kern w:val="16"/>
                <w:sz w:val="19"/>
                <w14:ligatures w14:val="standardContextual"/>
              </w:rPr>
              <w:t>elevação</w:t>
            </w:r>
            <w:r>
              <w:rPr>
                <w:rFonts w:cs="EB Garamond"/>
                <w:kern w:val="16"/>
                <w:sz w:val="19"/>
                <w14:ligatures w14:val="standardContextual"/>
              </w:rPr>
              <w:t xml:space="preserve"> da idade feminina para 62 anos na aposentadoria voluntaria pela EC 103/2019, suscita questionamento </w:t>
            </w:r>
            <w:r w:rsidR="00AA2644">
              <w:rPr>
                <w:rFonts w:cs="EB Garamond"/>
                <w:kern w:val="16"/>
                <w:sz w:val="19"/>
                <w14:ligatures w14:val="standardContextual"/>
              </w:rPr>
              <w:t>doutrinário</w:t>
            </w:r>
            <w:r>
              <w:rPr>
                <w:rFonts w:cs="EB Garamond"/>
                <w:kern w:val="16"/>
                <w:sz w:val="19"/>
                <w14:ligatures w14:val="standardContextual"/>
              </w:rPr>
              <w:t xml:space="preserve">. A nosso ver, contudo, a assimetria </w:t>
            </w:r>
            <w:r w:rsidR="00AA2644">
              <w:rPr>
                <w:rFonts w:cs="EB Garamond"/>
                <w:kern w:val="16"/>
                <w:sz w:val="19"/>
                <w14:ligatures w14:val="standardContextual"/>
              </w:rPr>
              <w:t>não</w:t>
            </w:r>
            <w:r>
              <w:rPr>
                <w:rFonts w:cs="EB Garamond"/>
                <w:kern w:val="16"/>
                <w:sz w:val="19"/>
                <w14:ligatures w14:val="standardContextual"/>
              </w:rPr>
              <w:t xml:space="preserve"> e por si inconstitucional: a aposentadoria </w:t>
            </w:r>
            <w:r w:rsidR="00AA2644">
              <w:rPr>
                <w:rFonts w:cs="EB Garamond"/>
                <w:kern w:val="16"/>
                <w:sz w:val="19"/>
                <w14:ligatures w14:val="standardContextual"/>
              </w:rPr>
              <w:t>compulsória</w:t>
            </w:r>
            <w:r>
              <w:rPr>
                <w:rFonts w:cs="EB Garamond"/>
                <w:kern w:val="16"/>
                <w:sz w:val="19"/>
                <w14:ligatures w14:val="standardContextual"/>
              </w:rPr>
              <w:t xml:space="preserve"> do art. 51 </w:t>
            </w:r>
            <w:r w:rsidR="00AA2644">
              <w:rPr>
                <w:rFonts w:cs="EB Garamond"/>
                <w:kern w:val="16"/>
                <w:sz w:val="19"/>
                <w14:ligatures w14:val="standardContextual"/>
              </w:rPr>
              <w:t>não</w:t>
            </w:r>
            <w:r>
              <w:rPr>
                <w:rFonts w:cs="EB Garamond"/>
                <w:kern w:val="16"/>
                <w:sz w:val="19"/>
                <w14:ligatures w14:val="standardContextual"/>
              </w:rPr>
              <w:t xml:space="preserve"> reproduz a </w:t>
            </w:r>
            <w:r w:rsidR="00AA2644">
              <w:rPr>
                <w:rFonts w:cs="EB Garamond"/>
                <w:kern w:val="16"/>
                <w:sz w:val="19"/>
                <w14:ligatures w14:val="standardContextual"/>
              </w:rPr>
              <w:t>lógica</w:t>
            </w:r>
            <w:r>
              <w:rPr>
                <w:rFonts w:cs="EB Garamond"/>
                <w:kern w:val="16"/>
                <w:sz w:val="19"/>
                <w14:ligatures w14:val="standardContextual"/>
              </w:rPr>
              <w:t xml:space="preserve"> da aposentadoria voluntaria — ela funciona como faculdade do empregador e como instrumento de </w:t>
            </w:r>
            <w:r w:rsidR="00AA2644">
              <w:rPr>
                <w:rFonts w:cs="EB Garamond"/>
                <w:kern w:val="16"/>
                <w:sz w:val="19"/>
                <w14:ligatures w14:val="standardContextual"/>
              </w:rPr>
              <w:t>renovação</w:t>
            </w:r>
            <w:r>
              <w:rPr>
                <w:rFonts w:cs="EB Garamond"/>
                <w:kern w:val="16"/>
                <w:sz w:val="19"/>
                <w14:ligatures w14:val="standardContextual"/>
              </w:rPr>
              <w:t xml:space="preserve"> do quadro funcional, de modo que a </w:t>
            </w:r>
            <w:r w:rsidR="00AA2644">
              <w:rPr>
                <w:rFonts w:cs="EB Garamond"/>
                <w:kern w:val="16"/>
                <w:sz w:val="19"/>
                <w14:ligatures w14:val="standardContextual"/>
              </w:rPr>
              <w:t>fixação</w:t>
            </w:r>
            <w:r>
              <w:rPr>
                <w:rFonts w:cs="EB Garamond"/>
                <w:kern w:val="16"/>
                <w:sz w:val="19"/>
                <w14:ligatures w14:val="standardContextual"/>
              </w:rPr>
              <w:t xml:space="preserve"> de idades mais elevadas, longe de prejudicar o segurado, restringe a </w:t>
            </w:r>
            <w:r w:rsidR="00AA2644">
              <w:rPr>
                <w:rFonts w:cs="EB Garamond"/>
                <w:kern w:val="16"/>
                <w:sz w:val="19"/>
                <w14:ligatures w14:val="standardContextual"/>
              </w:rPr>
              <w:t>hipótese</w:t>
            </w:r>
            <w:r>
              <w:rPr>
                <w:rFonts w:cs="EB Garamond"/>
                <w:kern w:val="16"/>
                <w:sz w:val="19"/>
                <w14:ligatures w14:val="standardContextual"/>
              </w:rPr>
              <w:t xml:space="preserve"> em que pode ser compelido a se aposentar. O que entendemos efetivamente </w:t>
            </w:r>
            <w:r w:rsidR="00AA2644">
              <w:rPr>
                <w:rFonts w:cs="EB Garamond"/>
                <w:kern w:val="16"/>
                <w:sz w:val="19"/>
                <w14:ligatures w14:val="standardContextual"/>
              </w:rPr>
              <w:t>problemático</w:t>
            </w:r>
            <w:r>
              <w:rPr>
                <w:rFonts w:cs="EB Garamond"/>
                <w:kern w:val="16"/>
                <w:sz w:val="19"/>
                <w14:ligatures w14:val="standardContextual"/>
              </w:rPr>
              <w:t xml:space="preserve"> </w:t>
            </w:r>
            <w:r w:rsidR="00AA2644">
              <w:rPr>
                <w:rFonts w:cs="EB Garamond"/>
                <w:kern w:val="16"/>
                <w:sz w:val="19"/>
                <w14:ligatures w14:val="standardContextual"/>
              </w:rPr>
              <w:t>não</w:t>
            </w:r>
            <w:r>
              <w:rPr>
                <w:rFonts w:cs="EB Garamond"/>
                <w:kern w:val="16"/>
                <w:sz w:val="19"/>
                <w14:ligatures w14:val="standardContextual"/>
              </w:rPr>
              <w:t xml:space="preserve"> e o patamar </w:t>
            </w:r>
            <w:r w:rsidR="00AA2644">
              <w:rPr>
                <w:rFonts w:cs="EB Garamond"/>
                <w:kern w:val="16"/>
                <w:sz w:val="19"/>
                <w14:ligatures w14:val="standardContextual"/>
              </w:rPr>
              <w:t>etário</w:t>
            </w:r>
            <w:r>
              <w:rPr>
                <w:rFonts w:cs="EB Garamond"/>
                <w:kern w:val="16"/>
                <w:sz w:val="19"/>
                <w14:ligatures w14:val="standardContextual"/>
              </w:rPr>
              <w:t xml:space="preserve">, mas a </w:t>
            </w:r>
            <w:r w:rsidR="00AA2644">
              <w:rPr>
                <w:rFonts w:cs="EB Garamond"/>
                <w:kern w:val="16"/>
                <w:sz w:val="19"/>
                <w14:ligatures w14:val="standardContextual"/>
              </w:rPr>
              <w:t>própria</w:t>
            </w:r>
            <w:r>
              <w:rPr>
                <w:rFonts w:cs="EB Garamond"/>
                <w:kern w:val="16"/>
                <w:sz w:val="19"/>
                <w14:ligatures w14:val="standardContextual"/>
              </w:rPr>
              <w:t xml:space="preserve"> </w:t>
            </w:r>
            <w:r w:rsidR="00AA2644">
              <w:rPr>
                <w:rFonts w:cs="EB Garamond"/>
                <w:kern w:val="16"/>
                <w:sz w:val="19"/>
                <w14:ligatures w14:val="standardContextual"/>
              </w:rPr>
              <w:t>persistência</w:t>
            </w:r>
            <w:r>
              <w:rPr>
                <w:rFonts w:cs="EB Garamond"/>
                <w:kern w:val="16"/>
                <w:sz w:val="19"/>
                <w14:ligatures w14:val="standardContextual"/>
              </w:rPr>
              <w:t xml:space="preserve"> do instituto diante da </w:t>
            </w:r>
            <w:r w:rsidR="00AA2644">
              <w:rPr>
                <w:rFonts w:cs="EB Garamond"/>
                <w:kern w:val="16"/>
                <w:sz w:val="19"/>
                <w14:ligatures w14:val="standardContextual"/>
              </w:rPr>
              <w:t>jurisprudência</w:t>
            </w:r>
            <w:r>
              <w:rPr>
                <w:rFonts w:cs="EB Garamond"/>
                <w:kern w:val="16"/>
                <w:sz w:val="19"/>
                <w14:ligatures w14:val="standardContextual"/>
              </w:rPr>
              <w:t xml:space="preserve"> trabalhista que afastou a </w:t>
            </w:r>
            <w:r w:rsidR="00AA2644">
              <w:rPr>
                <w:rFonts w:cs="EB Garamond"/>
                <w:kern w:val="16"/>
                <w:sz w:val="19"/>
                <w14:ligatures w14:val="standardContextual"/>
              </w:rPr>
              <w:t>extinção</w:t>
            </w:r>
            <w:r>
              <w:rPr>
                <w:rFonts w:cs="EB Garamond"/>
                <w:kern w:val="16"/>
                <w:sz w:val="19"/>
                <w14:ligatures w14:val="standardContextual"/>
              </w:rPr>
              <w:t xml:space="preserve"> </w:t>
            </w:r>
            <w:r w:rsidR="00AA2644">
              <w:rPr>
                <w:rFonts w:cs="EB Garamond"/>
                <w:kern w:val="16"/>
                <w:sz w:val="19"/>
                <w14:ligatures w14:val="standardContextual"/>
              </w:rPr>
              <w:t>automática</w:t>
            </w:r>
            <w:r>
              <w:rPr>
                <w:rFonts w:cs="EB Garamond"/>
                <w:kern w:val="16"/>
                <w:sz w:val="19"/>
                <w14:ligatures w14:val="standardContextual"/>
              </w:rPr>
              <w:t xml:space="preserve"> do contrato. Eventual </w:t>
            </w:r>
            <w:r w:rsidR="00AA2644">
              <w:rPr>
                <w:rFonts w:cs="EB Garamond"/>
                <w:kern w:val="16"/>
                <w:sz w:val="19"/>
                <w14:ligatures w14:val="standardContextual"/>
              </w:rPr>
              <w:t>revisão</w:t>
            </w:r>
            <w:r>
              <w:rPr>
                <w:rFonts w:cs="EB Garamond"/>
                <w:kern w:val="16"/>
                <w:sz w:val="19"/>
                <w14:ligatures w14:val="standardContextual"/>
              </w:rPr>
              <w:t xml:space="preserve"> legislativa ou judicial dessas idades </w:t>
            </w:r>
            <w:r w:rsidR="00AA2644">
              <w:rPr>
                <w:rFonts w:cs="EB Garamond"/>
                <w:kern w:val="16"/>
                <w:sz w:val="19"/>
                <w14:ligatures w14:val="standardContextual"/>
              </w:rPr>
              <w:t>poderá</w:t>
            </w:r>
            <w:r>
              <w:rPr>
                <w:rFonts w:cs="EB Garamond"/>
                <w:kern w:val="16"/>
                <w:sz w:val="19"/>
                <w14:ligatures w14:val="standardContextual"/>
              </w:rPr>
              <w:t xml:space="preserve"> impactar significativamente o instituto.</w:t>
            </w:r>
          </w:p>
        </w:tc>
      </w:tr>
    </w:tbl>
    <w:p w14:paraId="0A8D17CD" w14:textId="77777777" w:rsidR="005A5FCC" w:rsidRDefault="005A5FCC">
      <w:pPr>
        <w:spacing w:after="80" w:line="240" w:lineRule="auto"/>
      </w:pPr>
    </w:p>
    <w:p w14:paraId="61D6D149"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10.11 Cálculo do benefício: aspectos específicos</w:t>
      </w:r>
    </w:p>
    <w:p w14:paraId="0927D81B"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589A3D94" w14:textId="2CDD3881" w:rsidR="005A5FCC" w:rsidRDefault="00A21C81">
      <w:r>
        <w:rPr>
          <w:rFonts w:cs="EB Garamond"/>
          <w:kern w:val="16"/>
          <w14:ligatures w14:val="standardContextual"/>
        </w:rPr>
        <w:t xml:space="preserve">s regras gerais de </w:t>
      </w:r>
      <w:r w:rsidR="00AA2644">
        <w:rPr>
          <w:rFonts w:cs="EB Garamond"/>
          <w:kern w:val="16"/>
          <w14:ligatures w14:val="standardContextual"/>
        </w:rPr>
        <w:t>cálculo</w:t>
      </w:r>
      <w:r>
        <w:rPr>
          <w:rFonts w:cs="EB Garamond"/>
          <w:kern w:val="16"/>
          <w14:ligatures w14:val="standardContextual"/>
        </w:rPr>
        <w:t xml:space="preserve"> do </w:t>
      </w:r>
      <w:r w:rsidR="00AA2644">
        <w:rPr>
          <w:rFonts w:cs="EB Garamond"/>
          <w:kern w:val="16"/>
          <w14:ligatures w14:val="standardContextual"/>
        </w:rPr>
        <w:t>salário</w:t>
      </w:r>
      <w:r>
        <w:rPr>
          <w:rFonts w:cs="EB Garamond"/>
          <w:kern w:val="16"/>
          <w14:ligatures w14:val="standardContextual"/>
        </w:rPr>
        <w:t xml:space="preserve"> de </w:t>
      </w:r>
      <w:r w:rsidR="00AA2644">
        <w:rPr>
          <w:rFonts w:cs="EB Garamond"/>
          <w:kern w:val="16"/>
          <w14:ligatures w14:val="standardContextual"/>
        </w:rPr>
        <w:t>benefício</w:t>
      </w:r>
      <w:r>
        <w:rPr>
          <w:rFonts w:cs="EB Garamond"/>
          <w:kern w:val="16"/>
          <w14:ligatures w14:val="standardContextual"/>
        </w:rPr>
        <w:t xml:space="preserve"> e da renda mensal inicial — media dos 80% maiores (pr</w:t>
      </w:r>
      <w:r w:rsidR="00AA2644">
        <w:rPr>
          <w:rFonts w:cs="EB Garamond"/>
          <w:kern w:val="16"/>
          <w14:ligatures w14:val="standardContextual"/>
        </w:rPr>
        <w:t>é</w:t>
      </w:r>
      <w:r>
        <w:rPr>
          <w:rFonts w:cs="EB Garamond"/>
          <w:kern w:val="16"/>
          <w14:ligatures w14:val="standardContextual"/>
        </w:rPr>
        <w:t xml:space="preserve">-EC 103/2019) versus </w:t>
      </w:r>
      <w:r w:rsidR="00AA2644">
        <w:rPr>
          <w:rFonts w:cs="EB Garamond"/>
          <w:kern w:val="16"/>
          <w14:ligatures w14:val="standardContextual"/>
        </w:rPr>
        <w:t>média</w:t>
      </w:r>
      <w:r>
        <w:rPr>
          <w:rFonts w:cs="EB Garamond"/>
          <w:kern w:val="16"/>
          <w14:ligatures w14:val="standardContextual"/>
        </w:rPr>
        <w:t xml:space="preserve"> de 100% (p</w:t>
      </w:r>
      <w:r w:rsidR="00AA2644">
        <w:rPr>
          <w:rFonts w:cs="EB Garamond"/>
          <w:kern w:val="16"/>
          <w14:ligatures w14:val="standardContextual"/>
        </w:rPr>
        <w:t>ó</w:t>
      </w:r>
      <w:r>
        <w:rPr>
          <w:rFonts w:cs="EB Garamond"/>
          <w:kern w:val="16"/>
          <w14:ligatures w14:val="standardContextual"/>
        </w:rPr>
        <w:t xml:space="preserve">s-EC 103/2019), coeficiente de 60% + 2%/ano, tabelas de coeficientes e comparativos entre regimes — </w:t>
      </w:r>
      <w:r w:rsidR="00AA2644">
        <w:rPr>
          <w:rFonts w:cs="EB Garamond"/>
          <w:kern w:val="16"/>
          <w14:ligatures w14:val="standardContextual"/>
        </w:rPr>
        <w:t>são</w:t>
      </w:r>
      <w:r>
        <w:rPr>
          <w:rFonts w:cs="EB Garamond"/>
          <w:kern w:val="16"/>
          <w14:ligatures w14:val="standardContextual"/>
        </w:rPr>
        <w:t xml:space="preserve"> examinadas no Capitulo 16 (</w:t>
      </w:r>
      <w:r w:rsidR="00AA2644">
        <w:rPr>
          <w:rFonts w:cs="EB Garamond"/>
          <w:kern w:val="16"/>
          <w14:ligatures w14:val="standardContextual"/>
        </w:rPr>
        <w:t>seções</w:t>
      </w:r>
      <w:r>
        <w:rPr>
          <w:rFonts w:cs="EB Garamond"/>
          <w:kern w:val="16"/>
          <w14:ligatures w14:val="standardContextual"/>
        </w:rPr>
        <w:t xml:space="preserve"> 16.3 a 16.8). Nesta </w:t>
      </w:r>
      <w:r w:rsidR="00AA2644">
        <w:rPr>
          <w:rFonts w:cs="EB Garamond"/>
          <w:kern w:val="16"/>
          <w14:ligatures w14:val="standardContextual"/>
        </w:rPr>
        <w:t>seção</w:t>
      </w:r>
      <w:r>
        <w:rPr>
          <w:rFonts w:cs="EB Garamond"/>
          <w:kern w:val="16"/>
          <w14:ligatures w14:val="standardContextual"/>
        </w:rPr>
        <w:t>, sintetizam-se apenas os aspectos peculiares a aposentadoria por idade.</w:t>
      </w:r>
    </w:p>
    <w:p w14:paraId="30393254" w14:textId="77777777" w:rsidR="005A5FCC" w:rsidRDefault="00A21C81">
      <w:pPr>
        <w:spacing w:before="260" w:after="80" w:line="240" w:lineRule="auto"/>
        <w:jc w:val="left"/>
      </w:pPr>
      <w:r>
        <w:rPr>
          <w:rFonts w:cs="EB Garamond"/>
          <w:b/>
          <w:color w:val="3A3128"/>
          <w:kern w:val="16"/>
          <w:sz w:val="25"/>
          <w14:ligatures w14:val="standardContextual"/>
        </w:rPr>
        <w:t>10.11.1 Regime anterior</w:t>
      </w:r>
    </w:p>
    <w:p w14:paraId="1D4C9902"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N</w:t>
      </w:r>
    </w:p>
    <w:p w14:paraId="1E96A910" w14:textId="336AFC00" w:rsidR="005A5FCC" w:rsidRDefault="00A21C81">
      <w:r>
        <w:rPr>
          <w:rFonts w:cs="EB Garamond"/>
          <w:kern w:val="16"/>
          <w14:ligatures w14:val="standardContextual"/>
        </w:rPr>
        <w:t>a aposentadoria por idade pr</w:t>
      </w:r>
      <w:r w:rsidR="00AA2644">
        <w:rPr>
          <w:rFonts w:cs="EB Garamond"/>
          <w:kern w:val="16"/>
          <w14:ligatures w14:val="standardContextual"/>
        </w:rPr>
        <w:t>é</w:t>
      </w:r>
      <w:r>
        <w:rPr>
          <w:rFonts w:cs="EB Garamond"/>
          <w:kern w:val="16"/>
          <w14:ligatures w14:val="standardContextual"/>
        </w:rPr>
        <w:t xml:space="preserve">-EC 103/2019: RMI = 70% do </w:t>
      </w:r>
      <w:r w:rsidR="00AA2644">
        <w:rPr>
          <w:rFonts w:cs="EB Garamond"/>
          <w:kern w:val="16"/>
          <w14:ligatures w14:val="standardContextual"/>
        </w:rPr>
        <w:t>salário</w:t>
      </w:r>
      <w:r>
        <w:rPr>
          <w:rFonts w:cs="EB Garamond"/>
          <w:kern w:val="16"/>
          <w14:ligatures w14:val="standardContextual"/>
        </w:rPr>
        <w:t xml:space="preserve"> de </w:t>
      </w:r>
      <w:r w:rsidR="00AA2644">
        <w:rPr>
          <w:rFonts w:cs="EB Garamond"/>
          <w:kern w:val="16"/>
          <w14:ligatures w14:val="standardContextual"/>
        </w:rPr>
        <w:t>benefício</w:t>
      </w:r>
      <w:r>
        <w:rPr>
          <w:rFonts w:cs="EB Garamond"/>
          <w:kern w:val="16"/>
          <w14:ligatures w14:val="standardContextual"/>
        </w:rPr>
        <w:t xml:space="preserve"> + 1% por grupo de 12 </w:t>
      </w:r>
      <w:r w:rsidR="00AA2644">
        <w:rPr>
          <w:rFonts w:cs="EB Garamond"/>
          <w:kern w:val="16"/>
          <w14:ligatures w14:val="standardContextual"/>
        </w:rPr>
        <w:t>contribuições</w:t>
      </w:r>
      <w:r>
        <w:rPr>
          <w:rFonts w:cs="EB Garamond"/>
          <w:kern w:val="16"/>
          <w14:ligatures w14:val="standardContextual"/>
        </w:rPr>
        <w:t xml:space="preserve">, </w:t>
      </w:r>
      <w:r w:rsidR="00AA2644">
        <w:rPr>
          <w:rFonts w:cs="EB Garamond"/>
          <w:kern w:val="16"/>
          <w14:ligatures w14:val="standardContextual"/>
        </w:rPr>
        <w:t>até</w:t>
      </w:r>
      <w:r>
        <w:rPr>
          <w:rFonts w:cs="EB Garamond"/>
          <w:kern w:val="16"/>
          <w14:ligatures w14:val="standardContextual"/>
        </w:rPr>
        <w:t xml:space="preserve"> 100% (art. 50, Lei 8.213/91). O fator </w:t>
      </w:r>
      <w:r w:rsidR="00AA2644">
        <w:rPr>
          <w:rFonts w:cs="EB Garamond"/>
          <w:kern w:val="16"/>
          <w14:ligatures w14:val="standardContextual"/>
        </w:rPr>
        <w:t>previdenciário</w:t>
      </w:r>
      <w:r>
        <w:rPr>
          <w:rFonts w:cs="EB Garamond"/>
          <w:kern w:val="16"/>
          <w14:ligatures w14:val="standardContextual"/>
        </w:rPr>
        <w:t xml:space="preserve"> </w:t>
      </w:r>
      <w:r w:rsidR="00AA2644">
        <w:rPr>
          <w:rFonts w:cs="EB Garamond"/>
          <w:kern w:val="16"/>
          <w14:ligatures w14:val="standardContextual"/>
        </w:rPr>
        <w:t>só</w:t>
      </w:r>
      <w:r>
        <w:rPr>
          <w:rFonts w:cs="EB Garamond"/>
          <w:kern w:val="16"/>
          <w14:ligatures w14:val="standardContextual"/>
        </w:rPr>
        <w:t xml:space="preserve"> se aplicava quando </w:t>
      </w:r>
      <w:r w:rsidR="00AA2644">
        <w:rPr>
          <w:rFonts w:cs="EB Garamond"/>
          <w:kern w:val="16"/>
          <w14:ligatures w14:val="standardContextual"/>
        </w:rPr>
        <w:t>favorável</w:t>
      </w:r>
      <w:r>
        <w:rPr>
          <w:rFonts w:cs="EB Garamond"/>
          <w:kern w:val="16"/>
          <w14:ligatures w14:val="standardContextual"/>
        </w:rPr>
        <w:t xml:space="preserve"> ao segurado — o que raramente ocorria nessa modalidade. A </w:t>
      </w:r>
      <w:r w:rsidR="00AA2644">
        <w:rPr>
          <w:rFonts w:cs="EB Garamond"/>
          <w:kern w:val="16"/>
          <w14:ligatures w14:val="standardContextual"/>
        </w:rPr>
        <w:t>fórmula</w:t>
      </w:r>
      <w:r>
        <w:rPr>
          <w:rFonts w:cs="EB Garamond"/>
          <w:kern w:val="16"/>
          <w14:ligatures w14:val="standardContextual"/>
        </w:rPr>
        <w:t xml:space="preserve"> e os exemplos </w:t>
      </w:r>
      <w:r w:rsidR="00AA2644">
        <w:rPr>
          <w:rFonts w:cs="EB Garamond"/>
          <w:kern w:val="16"/>
          <w14:ligatures w14:val="standardContextual"/>
        </w:rPr>
        <w:t>numéricos</w:t>
      </w:r>
      <w:r>
        <w:rPr>
          <w:rFonts w:cs="EB Garamond"/>
          <w:kern w:val="16"/>
          <w14:ligatures w14:val="standardContextual"/>
        </w:rPr>
        <w:t xml:space="preserve"> constam do </w:t>
      </w:r>
      <w:r w:rsidR="00AA2644">
        <w:rPr>
          <w:rFonts w:cs="EB Garamond"/>
          <w:kern w:val="16"/>
          <w14:ligatures w14:val="standardContextual"/>
        </w:rPr>
        <w:t>Capítulo</w:t>
      </w:r>
      <w:r>
        <w:rPr>
          <w:rFonts w:cs="EB Garamond"/>
          <w:kern w:val="16"/>
          <w14:ligatures w14:val="standardContextual"/>
        </w:rPr>
        <w:t xml:space="preserve"> 16, </w:t>
      </w:r>
      <w:r w:rsidR="00AA2644">
        <w:rPr>
          <w:rFonts w:cs="EB Garamond"/>
          <w:kern w:val="16"/>
          <w14:ligatures w14:val="standardContextual"/>
        </w:rPr>
        <w:t>seção</w:t>
      </w:r>
      <w:r>
        <w:rPr>
          <w:rFonts w:cs="EB Garamond"/>
          <w:kern w:val="16"/>
          <w14:ligatures w14:val="standardContextual"/>
        </w:rPr>
        <w:t xml:space="preserve"> 16.4.</w:t>
      </w:r>
    </w:p>
    <w:p w14:paraId="14E07B4B" w14:textId="77777777" w:rsidR="005A5FCC" w:rsidRDefault="00A21C81">
      <w:pPr>
        <w:spacing w:before="260" w:after="80" w:line="240" w:lineRule="auto"/>
        <w:jc w:val="left"/>
      </w:pPr>
      <w:r>
        <w:rPr>
          <w:rFonts w:cs="EB Garamond"/>
          <w:b/>
          <w:color w:val="3A3128"/>
          <w:kern w:val="16"/>
          <w:sz w:val="25"/>
          <w14:ligatures w14:val="standardContextual"/>
        </w:rPr>
        <w:t>10.11.2 Regime posterior (EC 103/2019)</w:t>
      </w:r>
    </w:p>
    <w:p w14:paraId="02E6B3BB"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6789CB59" w14:textId="7DA7CE3D" w:rsidR="005A5FCC" w:rsidRDefault="00A21C81">
      <w:r>
        <w:rPr>
          <w:rFonts w:cs="EB Garamond"/>
          <w:kern w:val="16"/>
          <w14:ligatures w14:val="standardContextual"/>
        </w:rPr>
        <w:t xml:space="preserve"> coeficiente passou a ser de 60% + 2%/ano excedente a 20 (homem) ou 15 (mulher), sobre a média de 100% dos salários de contribuição (v. Cap. 16, seção 16.5, para tabela completa de coeficientes). A combinação de média integral e coeficiente a partir de 60% resulta, para o perfil típico da aposentadoria por idade (15 a 25 anos de TC), em benefícios significativamente inferiores ao regime anterior. A possibilidade de </w:t>
      </w:r>
      <w:r w:rsidR="00AA2644">
        <w:rPr>
          <w:rFonts w:cs="EB Garamond"/>
          <w:kern w:val="16"/>
          <w14:ligatures w14:val="standardContextual"/>
        </w:rPr>
        <w:t>exclusão</w:t>
      </w:r>
      <w:r>
        <w:rPr>
          <w:rFonts w:cs="EB Garamond"/>
          <w:kern w:val="16"/>
          <w14:ligatures w14:val="standardContextual"/>
        </w:rPr>
        <w:t xml:space="preserve"> de </w:t>
      </w:r>
      <w:r w:rsidR="00AA2644">
        <w:rPr>
          <w:rFonts w:cs="EB Garamond"/>
          <w:kern w:val="16"/>
          <w14:ligatures w14:val="standardContextual"/>
        </w:rPr>
        <w:t>salários</w:t>
      </w:r>
      <w:r>
        <w:rPr>
          <w:rFonts w:cs="EB Garamond"/>
          <w:kern w:val="16"/>
          <w14:ligatures w14:val="standardContextual"/>
        </w:rPr>
        <w:t xml:space="preserve"> de </w:t>
      </w:r>
      <w:r w:rsidR="00AA2644">
        <w:rPr>
          <w:rFonts w:cs="EB Garamond"/>
          <w:kern w:val="16"/>
          <w14:ligatures w14:val="standardContextual"/>
        </w:rPr>
        <w:t>contribuição</w:t>
      </w:r>
      <w:r>
        <w:rPr>
          <w:rFonts w:cs="EB Garamond"/>
          <w:kern w:val="16"/>
          <w14:ligatures w14:val="standardContextual"/>
        </w:rPr>
        <w:t xml:space="preserve"> que resultem em </w:t>
      </w:r>
      <w:r w:rsidR="00AA2644">
        <w:rPr>
          <w:rFonts w:cs="EB Garamond"/>
          <w:kern w:val="16"/>
          <w14:ligatures w14:val="standardContextual"/>
        </w:rPr>
        <w:t>redução</w:t>
      </w:r>
      <w:r>
        <w:rPr>
          <w:rFonts w:cs="EB Garamond"/>
          <w:kern w:val="16"/>
          <w14:ligatures w14:val="standardContextual"/>
        </w:rPr>
        <w:t xml:space="preserve"> do valor do </w:t>
      </w:r>
      <w:r w:rsidR="00AA2644">
        <w:rPr>
          <w:rFonts w:cs="EB Garamond"/>
          <w:kern w:val="16"/>
          <w14:ligatures w14:val="standardContextual"/>
        </w:rPr>
        <w:t>benefício</w:t>
      </w:r>
      <w:r>
        <w:rPr>
          <w:rFonts w:cs="EB Garamond"/>
          <w:kern w:val="16"/>
          <w14:ligatures w14:val="standardContextual"/>
        </w:rPr>
        <w:t xml:space="preserve">, desde que mantido o tempo </w:t>
      </w:r>
      <w:r w:rsidR="00AA2644">
        <w:rPr>
          <w:rFonts w:cs="EB Garamond"/>
          <w:kern w:val="16"/>
          <w14:ligatures w14:val="standardContextual"/>
        </w:rPr>
        <w:t>mínimo</w:t>
      </w:r>
      <w:r>
        <w:rPr>
          <w:rFonts w:cs="EB Garamond"/>
          <w:kern w:val="16"/>
          <w14:ligatures w14:val="standardContextual"/>
        </w:rPr>
        <w:t xml:space="preserve"> de </w:t>
      </w:r>
      <w:r w:rsidR="00AA2644">
        <w:rPr>
          <w:rFonts w:cs="EB Garamond"/>
          <w:kern w:val="16"/>
          <w14:ligatures w14:val="standardContextual"/>
        </w:rPr>
        <w:t>contribuição</w:t>
      </w:r>
      <w:r>
        <w:rPr>
          <w:rFonts w:cs="EB Garamond"/>
          <w:kern w:val="16"/>
          <w14:ligatures w14:val="standardContextual"/>
        </w:rPr>
        <w:t xml:space="preserve"> exigido (art. 26, § 6º, da EC 103/2019), pode atenuar o impacto, mas exige </w:t>
      </w:r>
      <w:r w:rsidR="00AA2644">
        <w:rPr>
          <w:rFonts w:cs="EB Garamond"/>
          <w:kern w:val="16"/>
          <w14:ligatures w14:val="standardContextual"/>
        </w:rPr>
        <w:t>análise</w:t>
      </w:r>
      <w:r>
        <w:rPr>
          <w:rFonts w:cs="EB Garamond"/>
          <w:kern w:val="16"/>
          <w14:ligatures w14:val="standardContextual"/>
        </w:rPr>
        <w:t xml:space="preserve"> caso a caso, pois a </w:t>
      </w:r>
      <w:r w:rsidR="00AA2644">
        <w:rPr>
          <w:rFonts w:cs="EB Garamond"/>
          <w:kern w:val="16"/>
          <w14:ligatures w14:val="standardContextual"/>
        </w:rPr>
        <w:t>exclusão</w:t>
      </w:r>
      <w:r>
        <w:rPr>
          <w:rFonts w:cs="EB Garamond"/>
          <w:kern w:val="16"/>
          <w14:ligatures w14:val="standardContextual"/>
        </w:rPr>
        <w:t xml:space="preserve"> reduz simultaneamente o tempo de </w:t>
      </w:r>
      <w:r w:rsidR="00AA2644">
        <w:rPr>
          <w:rFonts w:cs="EB Garamond"/>
          <w:kern w:val="16"/>
          <w14:ligatures w14:val="standardContextual"/>
        </w:rPr>
        <w:t>contribuição</w:t>
      </w:r>
      <w:r>
        <w:rPr>
          <w:rFonts w:cs="EB Garamond"/>
          <w:kern w:val="16"/>
          <w14:ligatures w14:val="standardContextual"/>
        </w:rPr>
        <w:t xml:space="preserve"> e, consequentemente, o coeficiente (v. Cap. 16, </w:t>
      </w:r>
      <w:r w:rsidR="00AA2644">
        <w:rPr>
          <w:rFonts w:cs="EB Garamond"/>
          <w:kern w:val="16"/>
          <w14:ligatures w14:val="standardContextual"/>
        </w:rPr>
        <w:t>seção</w:t>
      </w:r>
      <w:r>
        <w:rPr>
          <w:rFonts w:cs="EB Garamond"/>
          <w:kern w:val="16"/>
          <w14:ligatures w14:val="standardContextual"/>
        </w:rPr>
        <w:t xml:space="preserve"> 16.8, para exemplos).</w:t>
      </w:r>
    </w:p>
    <w:p w14:paraId="2C4AFAF0" w14:textId="77777777" w:rsidR="005A5FCC" w:rsidRDefault="00A21C81">
      <w:pPr>
        <w:spacing w:before="260" w:after="80" w:line="240" w:lineRule="auto"/>
        <w:jc w:val="left"/>
      </w:pPr>
      <w:r>
        <w:rPr>
          <w:rFonts w:cs="EB Garamond"/>
          <w:b/>
          <w:color w:val="3A3128"/>
          <w:kern w:val="16"/>
          <w:sz w:val="25"/>
          <w14:ligatures w14:val="standardContextual"/>
        </w:rPr>
        <w:t>10.11.3 Revisão da vida toda (STF tema 1.102)</w:t>
      </w:r>
    </w:p>
    <w:p w14:paraId="53899F5B"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A</w:t>
      </w:r>
    </w:p>
    <w:p w14:paraId="61B33B8D" w14:textId="77777777" w:rsidR="005A5FCC" w:rsidRDefault="00A21C81">
      <w:r>
        <w:rPr>
          <w:rFonts w:cs="EB Garamond"/>
          <w:kern w:val="16"/>
          <w14:ligatures w14:val="standardContextual"/>
        </w:rPr>
        <w:t xml:space="preserve"> trajetória do tema é didática quanto à instabilidade que decisões modulatórias podem produzir. Em 01/12/2022, ao julgar o Tema 1.102 (RE 1.276.977/DF), o STF acolheu, por maioria, a tese da revisão da vida toda, reconhecendo ao segurado o direito de optar pela regra definitiva do art. 29, I e II, da Lei 8.213/91, quando mais favorável. Esse entendimento, contudo, foi superado pelo próprio Supremo já em 2024: ao julgar o mérito das ADIs 2.110/DF e 2.111/DF, o Tribunal declarou a constitucionalidade do art. 3º da Lei 9.876/99 e impôs sua observância cogente em interpretação textual, o que esvaziou a opção antes admitida. O marco decisório vinculante, portanto, é o julgamento de 2024, e não um evento de 2025 ou 2026. A data-chave é 05/04/2024 — publicação da ata do julgamento de mérito das ADIs —, fixada pelo próprio STF como termo da modulação. Sustentamos, por isso, que toda a cronologia do instituto deve ser lida a partir desse marco: a tese que hoje prevalece é a de que "o segurado do INSS que se enquadre no dispositivo não pode optar pela regra definitiva prevista no art. 29, I e II, da Lei 8.213/1991, independentemente de lhe ser mais favorável".</w:t>
      </w:r>
    </w:p>
    <w:p w14:paraId="340073BA" w14:textId="77777777" w:rsidR="005A5FCC" w:rsidRDefault="00A21C81">
      <w:pPr>
        <w:ind w:firstLine="238"/>
      </w:pPr>
      <w:r>
        <w:rPr>
          <w:rFonts w:cs="EB Garamond"/>
          <w:kern w:val="16"/>
          <w14:ligatures w14:val="standardContextual"/>
        </w:rPr>
        <w:t>A modulação fixada pelo Supremo determinou: (i) a irrepetibilidade dos valores percebidos pelos segurados em virtude de decisões judiciais, definitivas ou provisórias, prolatadas até 05/04/2024; e (ii) a impossibilidade de cobrança de honorários sucumbenciais, custas e perícias contábeis dos autores cujas ações de revisão da vida toda estavam pendentes de conclusão até essa data. A análise aprofundada — histórico processual completo, fundamentação e orientação prática — encontra-se no Capítulo 16, seção 16.11.</w:t>
      </w:r>
    </w:p>
    <w:p w14:paraId="106488CE" w14:textId="77777777" w:rsidR="005A5FCC" w:rsidRDefault="00A21C81">
      <w:pPr>
        <w:spacing w:before="260" w:after="80" w:line="240" w:lineRule="auto"/>
        <w:jc w:val="left"/>
      </w:pPr>
      <w:r>
        <w:rPr>
          <w:rFonts w:cs="EB Garamond"/>
          <w:b/>
          <w:color w:val="3A3128"/>
          <w:kern w:val="16"/>
          <w:sz w:val="25"/>
          <w14:ligatures w14:val="standardContextual"/>
        </w:rPr>
        <w:t>10.11.4 Exclusão de salários de contribuição que reduzem a média</w:t>
      </w:r>
    </w:p>
    <w:p w14:paraId="7BE0FF54"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01B03813" w14:textId="77777777" w:rsidR="005A5FCC" w:rsidRDefault="00A21C81">
      <w:r>
        <w:rPr>
          <w:rFonts w:cs="EB Garamond"/>
          <w:kern w:val="16"/>
          <w14:ligatures w14:val="standardContextual"/>
        </w:rPr>
        <w:t xml:space="preserve"> art. 26, § 6º, da EC 103/2019 permite que o segurado exclua do cálculo da média os salários de contribuição que resultem em redução do valor do benefício, desde que, com a exclusão, permaneça cumprido o tempo mínimo de contribuição exigido.</w:t>
      </w:r>
    </w:p>
    <w:p w14:paraId="6063DC6F" w14:textId="1ABBFF09" w:rsidR="005A5FCC" w:rsidRDefault="00A21C81">
      <w:pPr>
        <w:ind w:firstLine="238"/>
      </w:pPr>
      <w:r>
        <w:rPr>
          <w:rFonts w:cs="EB Garamond"/>
          <w:kern w:val="16"/>
          <w14:ligatures w14:val="standardContextual"/>
        </w:rPr>
        <w:t xml:space="preserve">Essa possibilidade funciona como um atenuante do impacto negativo da média de 100%. O segurado que teve períodos de contribuição sobre o </w:t>
      </w:r>
      <w:r w:rsidR="00AA2644">
        <w:rPr>
          <w:rFonts w:cs="EB Garamond"/>
          <w:kern w:val="16"/>
          <w14:ligatures w14:val="standardContextual"/>
        </w:rPr>
        <w:t>salário-mínimo</w:t>
      </w:r>
      <w:r>
        <w:rPr>
          <w:rFonts w:cs="EB Garamond"/>
          <w:kern w:val="16"/>
          <w14:ligatures w14:val="standardContextual"/>
        </w:rPr>
        <w:t xml:space="preserve"> pode excluí-los do cálculo, elevando a média, desde que ainda mantenha o tempo de contribuição mínimo (20 anos para homem ou 15 para mulher). Na </w:t>
      </w:r>
      <w:r>
        <w:rPr>
          <w:rFonts w:cs="EB Garamond"/>
          <w:kern w:val="16"/>
          <w14:ligatures w14:val="standardContextual"/>
        </w:rPr>
        <w:lastRenderedPageBreak/>
        <w:t>prática, o INSS e o Poder Judiciário devem calcular o benefício com e sem as exclusões e conceder o mais vantajoso.</w:t>
      </w:r>
    </w:p>
    <w:tbl>
      <w:tblPr>
        <w:tblW w:w="5000" w:type="pct"/>
        <w:jc w:val="center"/>
        <w:tblLayout w:type="fixed"/>
        <w:tblLook w:val="04A0" w:firstRow="1" w:lastRow="0" w:firstColumn="1" w:lastColumn="0" w:noHBand="0" w:noVBand="1"/>
      </w:tblPr>
      <w:tblGrid>
        <w:gridCol w:w="6311"/>
      </w:tblGrid>
      <w:tr w:rsidR="005A5FCC" w14:paraId="0E800C18"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720C7C9E"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6415B8A0" w14:textId="77777777" w:rsidR="005A5FCC" w:rsidRDefault="00A21C81">
            <w:pPr>
              <w:spacing w:after="60" w:line="247" w:lineRule="auto"/>
            </w:pPr>
            <w:r>
              <w:rPr>
                <w:rFonts w:cs="EB Garamond"/>
                <w:b/>
                <w:kern w:val="16"/>
                <w:sz w:val="19"/>
                <w14:ligatures w14:val="standardContextual"/>
              </w:rPr>
              <w:t>Exemplo — Exclusão de salários de contribuição (art. 26, § 6º, EC 103)</w:t>
            </w:r>
          </w:p>
          <w:p w14:paraId="3058BC73" w14:textId="0E5A4A87" w:rsidR="005A5FCC" w:rsidRDefault="00A21C81">
            <w:pPr>
              <w:spacing w:after="60" w:line="247" w:lineRule="auto"/>
            </w:pPr>
            <w:r>
              <w:rPr>
                <w:rFonts w:cs="EB Garamond"/>
                <w:b/>
                <w:kern w:val="16"/>
                <w:sz w:val="19"/>
                <w14:ligatures w14:val="standardContextual"/>
              </w:rPr>
              <w:t>Pedro</w:t>
            </w:r>
            <w:r>
              <w:rPr>
                <w:rFonts w:cs="EB Garamond"/>
                <w:kern w:val="16"/>
                <w:sz w:val="19"/>
                <w14:ligatures w14:val="standardContextual"/>
              </w:rPr>
              <w:t xml:space="preserve">, 65 anos, 25 anos de contribuição. Nos primeiros 5 anos, contribuiu sobre o </w:t>
            </w:r>
            <w:r w:rsidR="00AA2644">
              <w:rPr>
                <w:rFonts w:cs="EB Garamond"/>
                <w:kern w:val="16"/>
                <w:sz w:val="19"/>
                <w14:ligatures w14:val="standardContextual"/>
              </w:rPr>
              <w:t>salário-mínimo</w:t>
            </w:r>
            <w:r>
              <w:rPr>
                <w:rFonts w:cs="EB Garamond"/>
                <w:kern w:val="16"/>
                <w:sz w:val="19"/>
                <w14:ligatures w14:val="standardContextual"/>
              </w:rPr>
              <w:t xml:space="preserve"> (R$ 1.621,00 em valores atualizados); nos 20 anos seguintes, contribuiu sobre R$ 5.000,00 em média.</w:t>
            </w:r>
          </w:p>
          <w:p w14:paraId="574257F3" w14:textId="77777777" w:rsidR="005A5FCC" w:rsidRDefault="00A21C81">
            <w:pPr>
              <w:spacing w:after="60" w:line="247" w:lineRule="auto"/>
            </w:pPr>
            <w:r>
              <w:rPr>
                <w:rFonts w:cs="EB Garamond"/>
                <w:b/>
                <w:kern w:val="16"/>
                <w:sz w:val="19"/>
                <w14:ligatures w14:val="standardContextual"/>
              </w:rPr>
              <w:t>Sem exclusão:</w:t>
            </w:r>
            <w:r>
              <w:rPr>
                <w:rFonts w:cs="EB Garamond"/>
                <w:kern w:val="16"/>
                <w:sz w:val="19"/>
                <w14:ligatures w14:val="standardContextual"/>
              </w:rPr>
              <w:t xml:space="preserve"> - Média de 100% dos salários: ~R$ 4.325,00 (puxada para baixo pelos 5 anos de SM) - Coeficiente: 60% + 2% × (25 - 20) = 70% - RMI: R$ 4.325,00 × 70% = </w:t>
            </w:r>
            <w:r>
              <w:rPr>
                <w:rFonts w:cs="EB Garamond"/>
                <w:b/>
                <w:kern w:val="16"/>
                <w:sz w:val="19"/>
                <w14:ligatures w14:val="standardContextual"/>
              </w:rPr>
              <w:t>R$ 3.027,50</w:t>
            </w:r>
          </w:p>
          <w:p w14:paraId="2734ECC1" w14:textId="77777777" w:rsidR="005A5FCC" w:rsidRDefault="00A21C81">
            <w:pPr>
              <w:spacing w:after="60" w:line="247" w:lineRule="auto"/>
            </w:pPr>
            <w:r>
              <w:rPr>
                <w:rFonts w:cs="EB Garamond"/>
                <w:b/>
                <w:kern w:val="16"/>
                <w:sz w:val="19"/>
                <w14:ligatures w14:val="standardContextual"/>
              </w:rPr>
              <w:t>Com exclusão dos 5 anos de SM (restam 20 anos de TC — mínimo exigido):</w:t>
            </w:r>
            <w:r>
              <w:rPr>
                <w:rFonts w:cs="EB Garamond"/>
                <w:kern w:val="16"/>
                <w:sz w:val="19"/>
                <w14:ligatures w14:val="standardContextual"/>
              </w:rPr>
              <w:t xml:space="preserve"> - Média dos 20 anos restantes: ~R$ 5.000,00 - Coeficiente: 60% + 2% × (20 - 20) = 60% (reduziu!) - RMI: R$ 5.000,00 × 60% = </w:t>
            </w:r>
            <w:r>
              <w:rPr>
                <w:rFonts w:cs="EB Garamond"/>
                <w:b/>
                <w:kern w:val="16"/>
                <w:sz w:val="19"/>
                <w14:ligatures w14:val="standardContextual"/>
              </w:rPr>
              <w:t>R$ 3.000,00</w:t>
            </w:r>
          </w:p>
          <w:p w14:paraId="346B7C09" w14:textId="77777777" w:rsidR="005A5FCC" w:rsidRDefault="00A21C81">
            <w:pPr>
              <w:spacing w:after="60" w:line="247" w:lineRule="auto"/>
            </w:pPr>
            <w:r>
              <w:rPr>
                <w:rFonts w:cs="EB Garamond"/>
                <w:b/>
                <w:kern w:val="16"/>
                <w:sz w:val="19"/>
                <w14:ligatures w14:val="standardContextual"/>
              </w:rPr>
              <w:t>Neste caso, a exclusão não é vantajosa</w:t>
            </w:r>
            <w:r>
              <w:rPr>
                <w:rFonts w:cs="EB Garamond"/>
                <w:kern w:val="16"/>
                <w:sz w:val="19"/>
                <w14:ligatures w14:val="standardContextual"/>
              </w:rPr>
              <w:t xml:space="preserve"> (R$ 3.000 &lt; R$ 3.027,50), porque a redução do coeficiente (de 70% para 60%) anulou o ganho na média. A análise deve ser feita caso a caso.</w:t>
            </w:r>
          </w:p>
          <w:p w14:paraId="1A822988" w14:textId="77777777" w:rsidR="005A5FCC" w:rsidRDefault="00A21C81">
            <w:pPr>
              <w:spacing w:after="60" w:line="247" w:lineRule="auto"/>
            </w:pPr>
            <w:r>
              <w:rPr>
                <w:rFonts w:cs="EB Garamond"/>
                <w:b/>
                <w:kern w:val="16"/>
                <w:sz w:val="19"/>
                <w14:ligatures w14:val="standardContextual"/>
              </w:rPr>
              <w:t>Quando a exclusão é vantajosa?</w:t>
            </w:r>
            <w:r>
              <w:rPr>
                <w:rFonts w:cs="EB Garamond"/>
                <w:kern w:val="16"/>
                <w:sz w:val="19"/>
                <w14:ligatures w14:val="standardContextual"/>
              </w:rPr>
              <w:t xml:space="preserve"> Geralmente quando o segurado tem tempo de contribuição muito superior ao mínimo e os salários excluídos são significativamente inferiores à média dos restantes. Quanto mais tempo excedente o segurado tiver, mais salários poderá excluir sem reduzir o coeficiente abaixo do limiar de vantagem.</w:t>
            </w:r>
          </w:p>
        </w:tc>
      </w:tr>
    </w:tbl>
    <w:p w14:paraId="615CA558" w14:textId="77777777" w:rsidR="005A5FCC" w:rsidRDefault="005A5FCC">
      <w:pPr>
        <w:spacing w:after="80" w:line="240" w:lineRule="auto"/>
      </w:pPr>
    </w:p>
    <w:p w14:paraId="3A401CC0"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10.12 O direito ao benefício mais vantajoso</w:t>
      </w:r>
    </w:p>
    <w:p w14:paraId="489BCE49" w14:textId="77777777" w:rsidR="005A5FCC" w:rsidRDefault="00A21C81">
      <w:pPr>
        <w:spacing w:before="260" w:after="80" w:line="240" w:lineRule="auto"/>
        <w:jc w:val="left"/>
      </w:pPr>
      <w:r>
        <w:rPr>
          <w:rFonts w:cs="EB Garamond"/>
          <w:b/>
          <w:color w:val="3A3128"/>
          <w:kern w:val="16"/>
          <w:sz w:val="25"/>
          <w14:ligatures w14:val="standardContextual"/>
        </w:rPr>
        <w:t>10.12.1 Fundamento</w:t>
      </w:r>
    </w:p>
    <w:p w14:paraId="1C45ACE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3805C57F" w14:textId="77777777" w:rsidR="005A5FCC" w:rsidRDefault="00A21C81">
      <w:r>
        <w:rPr>
          <w:rFonts w:cs="EB Garamond"/>
          <w:kern w:val="16"/>
          <w14:ligatures w14:val="standardContextual"/>
        </w:rPr>
        <w:t xml:space="preserve"> princípio do direito ao benefício mais vantajoso, destacado por Ibrahim (2025), é uma construção jurisprudencial com assento no art. 122 da Lei 8.213/91 (redação da Lei 9.032/95) e raízes no direito adquirido constitucional (art. 5º, XXXVI, CF). Segundo esse princípio, quando o segurado preenche os requisitos para mais de uma modalidade de aposentadoria ou mais de uma regra de cálculo, tem direito a receber o benefício de maior valor.</w:t>
      </w:r>
    </w:p>
    <w:p w14:paraId="507674D9" w14:textId="77777777" w:rsidR="005A5FCC" w:rsidRDefault="00A21C81">
      <w:pPr>
        <w:ind w:firstLine="238"/>
      </w:pPr>
      <w:r>
        <w:rPr>
          <w:rFonts w:cs="EB Garamond"/>
          <w:kern w:val="16"/>
          <w14:ligatures w14:val="standardContextual"/>
        </w:rPr>
        <w:lastRenderedPageBreak/>
        <w:t>O fundamento constitucional é duplo: de um lado, o direito adquirido (art. 5º, XXXVI) protege o segurado que implementou requisitos sob determinada regra de ter seu direito calculado por essa regra, mesmo que lei posterior tenha alterado os critérios. De outro lado, o princípio da dignidade da pessoa humana (art. 1º, III) e o objetivo de justiça social (art. 193) exigem que o benefício previdenciário cumpra sua função de manutenção do padrão de vida do segurado na inatividade.</w:t>
      </w:r>
    </w:p>
    <w:p w14:paraId="6B6D8F42" w14:textId="77777777" w:rsidR="005A5FCC" w:rsidRDefault="00A21C81">
      <w:pPr>
        <w:ind w:firstLine="238"/>
      </w:pPr>
      <w:r>
        <w:rPr>
          <w:rFonts w:cs="EB Garamond"/>
          <w:kern w:val="16"/>
          <w14:ligatures w14:val="standardContextual"/>
        </w:rPr>
        <w:t>O dever de conceder o benefício mais vantajoso tem assento infralegal e jurisprudencial: o art. 122 da Lei 8.213/91 (redação da Lei 9.032/95) assegura ao segurado o direito ao benefício mais vantajoso a que fizer jus, e o Decreto 3.048/99 (com as alterações do Decreto 10.410/2020) regulamenta o dever do INSS de conceder de ofício a prestação mais favorável — confirmando o que a jurisprudência já reconhecia: o INSS deve conceder o benefício de maior valor, não apenas aquele expressamente requerido pelo segurado. O art. 26, § 2º, da EC 103/2019, por sua vez, cuida da fórmula de cálculo do coeficiente, e não desse princípio.</w:t>
      </w:r>
    </w:p>
    <w:p w14:paraId="651DBC6D" w14:textId="77777777" w:rsidR="005A5FCC" w:rsidRDefault="00A21C81">
      <w:pPr>
        <w:ind w:firstLine="238"/>
      </w:pPr>
      <w:r>
        <w:rPr>
          <w:rFonts w:cs="EB Garamond"/>
          <w:kern w:val="16"/>
          <w14:ligatures w14:val="standardContextual"/>
        </w:rPr>
        <w:t>A aplicação desse princípio exige que o INSS, e, em caso de litígio, o juiz, calcule o benefício por todas as regras aplicáveis e conceda o mais vantajoso. Na prática, o INSS nem sempre realiza essa análise comparativa de ofício, cabendo ao segurado ou ao seu advogado provocar a comparação. A omissão do INSS em realizar a comparação entre regras pode ensejar ação judicial de revisão do benefício, com pedido de diferenças retroativas à data de início do benefício concedido.</w:t>
      </w:r>
    </w:p>
    <w:p w14:paraId="40D29FB4" w14:textId="77777777" w:rsidR="005A5FCC" w:rsidRDefault="00A21C81">
      <w:pPr>
        <w:ind w:firstLine="238"/>
      </w:pPr>
      <w:r>
        <w:rPr>
          <w:rFonts w:cs="EB Garamond"/>
          <w:kern w:val="16"/>
          <w14:ligatures w14:val="standardContextual"/>
        </w:rPr>
        <w:t>O Decreto 3.048/99, com as alterações introduzidas pelo Decreto 10.410/2020, regulamentou o dever do INSS de conceder o benefício mais vantajoso, mas a implementação prática dessa obrigação ainda é falha. Muitos segurados são aposentados pela regra que primeiro aparece no sistema informatizado do INSS, sem a análise comparativa que a Constituição e o regulamento determinam. Essa deficiência institucional é fonte significativa de demandas nos JEFs, tanto para concessão quanto para revisão de benefícios.</w:t>
      </w:r>
    </w:p>
    <w:p w14:paraId="6B458AC3" w14:textId="77777777" w:rsidR="005A5FCC" w:rsidRDefault="00A21C81">
      <w:pPr>
        <w:spacing w:before="260" w:after="80" w:line="240" w:lineRule="auto"/>
        <w:jc w:val="left"/>
      </w:pPr>
      <w:r>
        <w:rPr>
          <w:rFonts w:cs="EB Garamond"/>
          <w:b/>
          <w:color w:val="3A3128"/>
          <w:kern w:val="16"/>
          <w:sz w:val="25"/>
          <w14:ligatures w14:val="standardContextual"/>
        </w:rPr>
        <w:t>10.12.2 Regras simultaneamente aplicáveis</w:t>
      </w:r>
    </w:p>
    <w:p w14:paraId="65E95AE4"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U</w:t>
      </w:r>
    </w:p>
    <w:p w14:paraId="4450C700" w14:textId="77777777" w:rsidR="005A5FCC" w:rsidRDefault="00A21C81">
      <w:r>
        <w:rPr>
          <w:rFonts w:cs="EB Garamond"/>
          <w:kern w:val="16"/>
          <w14:ligatures w14:val="standardContextual"/>
        </w:rPr>
        <w:t>m segurado filiado antes de 13/11/2019 pode, simultaneamente, preencher os requisitos para:</w:t>
      </w:r>
    </w:p>
    <w:p w14:paraId="69EF3399" w14:textId="77777777" w:rsidR="005A5FCC" w:rsidRDefault="00A21C81">
      <w:pPr>
        <w:spacing w:after="40" w:line="252" w:lineRule="auto"/>
        <w:ind w:left="340" w:hanging="198"/>
      </w:pPr>
      <w:r>
        <w:rPr>
          <w:rFonts w:cs="EB Garamond"/>
          <w:color w:val="3A3128"/>
          <w:kern w:val="16"/>
          <w:sz w:val="20"/>
          <w14:ligatures w14:val="standardContextual"/>
        </w:rPr>
        <w:t xml:space="preserve">1. </w:t>
      </w:r>
      <w:r>
        <w:rPr>
          <w:rFonts w:cs="EB Garamond"/>
          <w:b/>
          <w:kern w:val="16"/>
          <w:sz w:val="20"/>
          <w14:ligatures w14:val="standardContextual"/>
        </w:rPr>
        <w:t>Direito adquirido à aposentadoria por idade</w:t>
      </w:r>
      <w:r>
        <w:rPr>
          <w:rFonts w:cs="EB Garamond"/>
          <w:kern w:val="16"/>
          <w:sz w:val="20"/>
          <w14:ligatures w14:val="standardContextual"/>
        </w:rPr>
        <w:t xml:space="preserve"> (regra antiga): se implementou 65/60 anos + 180 contribuições antes de 13/11/2019.</w:t>
      </w:r>
    </w:p>
    <w:p w14:paraId="189B644E" w14:textId="77777777" w:rsidR="005A5FCC" w:rsidRDefault="00A21C81">
      <w:pPr>
        <w:spacing w:after="40" w:line="252" w:lineRule="auto"/>
        <w:ind w:left="340" w:hanging="198"/>
      </w:pPr>
      <w:r>
        <w:rPr>
          <w:rFonts w:cs="EB Garamond"/>
          <w:color w:val="3A3128"/>
          <w:kern w:val="16"/>
          <w:sz w:val="20"/>
          <w14:ligatures w14:val="standardContextual"/>
        </w:rPr>
        <w:t xml:space="preserve">2. </w:t>
      </w:r>
      <w:r>
        <w:rPr>
          <w:rFonts w:cs="EB Garamond"/>
          <w:b/>
          <w:kern w:val="16"/>
          <w:sz w:val="20"/>
          <w14:ligatures w14:val="standardContextual"/>
        </w:rPr>
        <w:t>Regra de transição do art. 18</w:t>
      </w:r>
      <w:r>
        <w:rPr>
          <w:rFonts w:cs="EB Garamond"/>
          <w:kern w:val="16"/>
          <w:sz w:val="20"/>
          <w14:ligatures w14:val="standardContextual"/>
        </w:rPr>
        <w:t xml:space="preserve"> (aposentadoria por idade): se implementou 65/62 anos + 15 anos TC + 180 contribuições após 13/11/2019.</w:t>
      </w:r>
    </w:p>
    <w:p w14:paraId="1C63B125" w14:textId="77777777" w:rsidR="005A5FCC" w:rsidRDefault="00A21C81">
      <w:pPr>
        <w:spacing w:after="40" w:line="252" w:lineRule="auto"/>
        <w:ind w:left="340" w:hanging="198"/>
      </w:pPr>
      <w:r>
        <w:rPr>
          <w:rFonts w:cs="EB Garamond"/>
          <w:color w:val="3A3128"/>
          <w:kern w:val="16"/>
          <w:sz w:val="20"/>
          <w14:ligatures w14:val="standardContextual"/>
        </w:rPr>
        <w:t xml:space="preserve">3. </w:t>
      </w:r>
      <w:r>
        <w:rPr>
          <w:rFonts w:cs="EB Garamond"/>
          <w:b/>
          <w:kern w:val="16"/>
          <w:sz w:val="20"/>
          <w14:ligatures w14:val="standardContextual"/>
        </w:rPr>
        <w:t>Regra de transição do art. 15</w:t>
      </w:r>
      <w:r>
        <w:rPr>
          <w:rFonts w:cs="EB Garamond"/>
          <w:kern w:val="16"/>
          <w:sz w:val="20"/>
          <w14:ligatures w14:val="standardContextual"/>
        </w:rPr>
        <w:t xml:space="preserve"> (pontos): se atinge a pontuação exigida + 35/30 anos TC.</w:t>
      </w:r>
    </w:p>
    <w:p w14:paraId="378FA3BF" w14:textId="77777777" w:rsidR="005A5FCC" w:rsidRDefault="00A21C81">
      <w:pPr>
        <w:spacing w:after="40" w:line="252" w:lineRule="auto"/>
        <w:ind w:left="340" w:hanging="198"/>
      </w:pPr>
      <w:r>
        <w:rPr>
          <w:rFonts w:cs="EB Garamond"/>
          <w:color w:val="3A3128"/>
          <w:kern w:val="16"/>
          <w:sz w:val="20"/>
          <w14:ligatures w14:val="standardContextual"/>
        </w:rPr>
        <w:t xml:space="preserve">4. </w:t>
      </w:r>
      <w:r>
        <w:rPr>
          <w:rFonts w:cs="EB Garamond"/>
          <w:b/>
          <w:kern w:val="16"/>
          <w:sz w:val="20"/>
          <w14:ligatures w14:val="standardContextual"/>
        </w:rPr>
        <w:t>Regra de transição do art. 16</w:t>
      </w:r>
      <w:r>
        <w:rPr>
          <w:rFonts w:cs="EB Garamond"/>
          <w:kern w:val="16"/>
          <w:sz w:val="20"/>
          <w14:ligatures w14:val="standardContextual"/>
        </w:rPr>
        <w:t xml:space="preserve"> (idade progressiva): se atinge a idade progressiva + 35/30 anos TC.</w:t>
      </w:r>
    </w:p>
    <w:p w14:paraId="1C899EEB" w14:textId="77777777" w:rsidR="005A5FCC" w:rsidRDefault="00A21C81">
      <w:pPr>
        <w:spacing w:after="40" w:line="252" w:lineRule="auto"/>
        <w:ind w:left="340" w:hanging="198"/>
      </w:pPr>
      <w:r>
        <w:rPr>
          <w:rFonts w:cs="EB Garamond"/>
          <w:color w:val="3A3128"/>
          <w:kern w:val="16"/>
          <w:sz w:val="20"/>
          <w14:ligatures w14:val="standardContextual"/>
        </w:rPr>
        <w:t xml:space="preserve">5. </w:t>
      </w:r>
      <w:r>
        <w:rPr>
          <w:rFonts w:cs="EB Garamond"/>
          <w:b/>
          <w:kern w:val="16"/>
          <w:sz w:val="20"/>
          <w14:ligatures w14:val="standardContextual"/>
        </w:rPr>
        <w:t>Regra de transição do art. 17</w:t>
      </w:r>
      <w:r>
        <w:rPr>
          <w:rFonts w:cs="EB Garamond"/>
          <w:kern w:val="16"/>
          <w:sz w:val="20"/>
          <w14:ligatures w14:val="standardContextual"/>
        </w:rPr>
        <w:t xml:space="preserve"> (pedágio 50%): se faltava menos de 2 anos de TC em 13/11/2019.</w:t>
      </w:r>
    </w:p>
    <w:p w14:paraId="66A2709D" w14:textId="77777777" w:rsidR="005A5FCC" w:rsidRDefault="00A21C81">
      <w:pPr>
        <w:spacing w:after="40" w:line="252" w:lineRule="auto"/>
        <w:ind w:left="340" w:hanging="198"/>
      </w:pPr>
      <w:r>
        <w:rPr>
          <w:rFonts w:cs="EB Garamond"/>
          <w:color w:val="3A3128"/>
          <w:kern w:val="16"/>
          <w:sz w:val="20"/>
          <w14:ligatures w14:val="standardContextual"/>
        </w:rPr>
        <w:t xml:space="preserve">6. </w:t>
      </w:r>
      <w:r>
        <w:rPr>
          <w:rFonts w:cs="EB Garamond"/>
          <w:b/>
          <w:kern w:val="16"/>
          <w:sz w:val="20"/>
          <w14:ligatures w14:val="standardContextual"/>
        </w:rPr>
        <w:t>Regra de transição do art. 20</w:t>
      </w:r>
      <w:r>
        <w:rPr>
          <w:rFonts w:cs="EB Garamond"/>
          <w:kern w:val="16"/>
          <w:sz w:val="20"/>
          <w14:ligatures w14:val="standardContextual"/>
        </w:rPr>
        <w:t xml:space="preserve"> (pedágio 100%): se atinge 60/57 anos + 35/30 anos TC + pedágio.</w:t>
      </w:r>
    </w:p>
    <w:p w14:paraId="00C72FAD" w14:textId="77777777" w:rsidR="005A5FCC" w:rsidRDefault="00A21C81">
      <w:pPr>
        <w:spacing w:after="40" w:line="252" w:lineRule="auto"/>
        <w:ind w:left="340" w:hanging="198"/>
      </w:pPr>
      <w:r>
        <w:rPr>
          <w:rFonts w:cs="EB Garamond"/>
          <w:color w:val="3A3128"/>
          <w:kern w:val="16"/>
          <w:sz w:val="20"/>
          <w14:ligatures w14:val="standardContextual"/>
        </w:rPr>
        <w:t xml:space="preserve">7. </w:t>
      </w:r>
      <w:r>
        <w:rPr>
          <w:rFonts w:cs="EB Garamond"/>
          <w:b/>
          <w:kern w:val="16"/>
          <w:sz w:val="20"/>
          <w14:ligatures w14:val="standardContextual"/>
        </w:rPr>
        <w:t>Regra permanente</w:t>
      </w:r>
      <w:r>
        <w:rPr>
          <w:rFonts w:cs="EB Garamond"/>
          <w:kern w:val="16"/>
          <w:sz w:val="20"/>
          <w14:ligatures w14:val="standardContextual"/>
        </w:rPr>
        <w:t xml:space="preserve"> (aposentadoria programada): se implementou 65/62 anos + 20/15 anos TC.</w:t>
      </w:r>
    </w:p>
    <w:p w14:paraId="747C9DE4" w14:textId="77777777" w:rsidR="005A5FCC" w:rsidRDefault="005A5FCC">
      <w:pPr>
        <w:spacing w:after="60" w:line="240" w:lineRule="auto"/>
      </w:pPr>
    </w:p>
    <w:p w14:paraId="6BC22DCF"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P</w:t>
      </w:r>
    </w:p>
    <w:p w14:paraId="13645EDB" w14:textId="77777777" w:rsidR="005A5FCC" w:rsidRDefault="00A21C81">
      <w:r>
        <w:rPr>
          <w:rFonts w:cs="EB Garamond"/>
          <w:kern w:val="16"/>
          <w14:ligatures w14:val="standardContextual"/>
        </w:rPr>
        <w:t>ara cada regra em que o segurado se enquadra, o cálculo do benefício pode ser diferente. A regra do pedágio 100% (art. 20), por exemplo, garante coeficiente de 100% da média (sem o escalonamento de 60% + 2%/ano), o que pode resultar em valor significativamente superior ao das demais regras.</w:t>
      </w:r>
    </w:p>
    <w:tbl>
      <w:tblPr>
        <w:tblW w:w="5000" w:type="pct"/>
        <w:jc w:val="center"/>
        <w:tblLayout w:type="fixed"/>
        <w:tblLook w:val="04A0" w:firstRow="1" w:lastRow="0" w:firstColumn="1" w:lastColumn="0" w:noHBand="0" w:noVBand="1"/>
      </w:tblPr>
      <w:tblGrid>
        <w:gridCol w:w="6311"/>
      </w:tblGrid>
      <w:tr w:rsidR="005A5FCC" w14:paraId="75135CCA"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0C97A664"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30D711F6" w14:textId="77777777" w:rsidR="005A5FCC" w:rsidRDefault="00A21C81">
            <w:pPr>
              <w:spacing w:after="60" w:line="247" w:lineRule="auto"/>
            </w:pPr>
            <w:r>
              <w:rPr>
                <w:rFonts w:cs="EB Garamond"/>
                <w:b/>
                <w:kern w:val="16"/>
                <w:sz w:val="19"/>
                <w14:ligatures w14:val="standardContextual"/>
              </w:rPr>
              <w:t>Tabela comparativa — escolha do benefício mais vantajoso</w:t>
            </w:r>
          </w:p>
          <w:p w14:paraId="45D8D6B8" w14:textId="77777777" w:rsidR="005A5FCC" w:rsidRDefault="00A21C81">
            <w:pPr>
              <w:spacing w:after="60" w:line="247" w:lineRule="auto"/>
            </w:pPr>
            <w:r>
              <w:rPr>
                <w:rFonts w:cs="EB Garamond"/>
                <w:b/>
                <w:kern w:val="16"/>
                <w:sz w:val="19"/>
                <w14:ligatures w14:val="standardContextual"/>
              </w:rPr>
              <w:t>Segurada Helena</w:t>
            </w:r>
            <w:r>
              <w:rPr>
                <w:rFonts w:cs="EB Garamond"/>
                <w:kern w:val="16"/>
                <w:sz w:val="19"/>
                <w14:ligatures w14:val="standardContextual"/>
              </w:rPr>
              <w:t>, 63 anos em 2026, filiada em 1990, 33 anos de contribuição, média de 100% dos SC = R$ 4.000,00, média dos 80% maiores = R$ 4.500,00.</w:t>
            </w:r>
          </w:p>
          <w:tbl>
            <w:tblPr>
              <w:tblW w:w="5000" w:type="pct"/>
              <w:jc w:val="center"/>
              <w:tblLook w:val="04A0" w:firstRow="1" w:lastRow="0" w:firstColumn="1" w:lastColumn="0" w:noHBand="0" w:noVBand="1"/>
            </w:tblPr>
            <w:tblGrid>
              <w:gridCol w:w="1181"/>
              <w:gridCol w:w="1180"/>
              <w:gridCol w:w="1180"/>
              <w:gridCol w:w="1180"/>
              <w:gridCol w:w="1180"/>
            </w:tblGrid>
            <w:tr w:rsidR="005A5FCC" w14:paraId="785E459E" w14:textId="77777777">
              <w:trPr>
                <w:tblHeader/>
                <w:jc w:val="center"/>
              </w:trPr>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2AB22E35" w14:textId="77777777" w:rsidR="005A5FCC" w:rsidRDefault="00A21C81">
                  <w:pPr>
                    <w:spacing w:before="30" w:after="30" w:line="240" w:lineRule="auto"/>
                    <w:jc w:val="center"/>
                  </w:pPr>
                  <w:r>
                    <w:rPr>
                      <w:rFonts w:cs="EB Garamond"/>
                      <w:b/>
                      <w:color w:val="2F2923"/>
                      <w:kern w:val="16"/>
                      <w:sz w:val="16"/>
                      <w14:ligatures w14:val="standardContextual"/>
                    </w:rPr>
                    <w:t>Regra</w:t>
                  </w:r>
                </w:p>
              </w:tc>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10A3672C" w14:textId="77777777" w:rsidR="005A5FCC" w:rsidRDefault="00A21C81">
                  <w:pPr>
                    <w:spacing w:before="30" w:after="30" w:line="240" w:lineRule="auto"/>
                    <w:jc w:val="center"/>
                  </w:pPr>
                  <w:r>
                    <w:rPr>
                      <w:rFonts w:cs="EB Garamond"/>
                      <w:b/>
                      <w:color w:val="2F2923"/>
                      <w:kern w:val="16"/>
                      <w:sz w:val="16"/>
                      <w14:ligatures w14:val="standardContextual"/>
                    </w:rPr>
                    <w:t>Requisitos</w:t>
                  </w:r>
                </w:p>
              </w:tc>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67B9B423" w14:textId="77777777" w:rsidR="005A5FCC" w:rsidRDefault="00A21C81">
                  <w:pPr>
                    <w:spacing w:before="30" w:after="30" w:line="240" w:lineRule="auto"/>
                    <w:jc w:val="center"/>
                  </w:pPr>
                  <w:r>
                    <w:rPr>
                      <w:rFonts w:cs="EB Garamond"/>
                      <w:b/>
                      <w:color w:val="2F2923"/>
                      <w:kern w:val="16"/>
                      <w:sz w:val="16"/>
                      <w14:ligatures w14:val="standardContextual"/>
                    </w:rPr>
                    <w:t>Coeficiente</w:t>
                  </w:r>
                </w:p>
              </w:tc>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5A40828C" w14:textId="77777777" w:rsidR="005A5FCC" w:rsidRDefault="00A21C81">
                  <w:pPr>
                    <w:spacing w:before="30" w:after="30" w:line="240" w:lineRule="auto"/>
                    <w:jc w:val="center"/>
                  </w:pPr>
                  <w:r>
                    <w:rPr>
                      <w:rFonts w:cs="EB Garamond"/>
                      <w:b/>
                      <w:color w:val="2F2923"/>
                      <w:kern w:val="16"/>
                      <w:sz w:val="16"/>
                      <w14:ligatures w14:val="standardContextual"/>
                    </w:rPr>
                    <w:t>Base</w:t>
                  </w:r>
                </w:p>
              </w:tc>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77DD1AE9" w14:textId="77777777" w:rsidR="005A5FCC" w:rsidRDefault="00A21C81">
                  <w:pPr>
                    <w:spacing w:before="30" w:after="30" w:line="240" w:lineRule="auto"/>
                    <w:jc w:val="center"/>
                  </w:pPr>
                  <w:r>
                    <w:rPr>
                      <w:rFonts w:cs="EB Garamond"/>
                      <w:b/>
                      <w:color w:val="2F2923"/>
                      <w:kern w:val="16"/>
                      <w:sz w:val="16"/>
                      <w14:ligatures w14:val="standardContextual"/>
                    </w:rPr>
                    <w:t>RMI</w:t>
                  </w:r>
                </w:p>
              </w:tc>
            </w:tr>
            <w:tr w:rsidR="005A5FCC" w14:paraId="051DD3D6"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53A1AAAB" w14:textId="77777777" w:rsidR="005A5FCC" w:rsidRDefault="00A21C81">
                  <w:pPr>
                    <w:spacing w:before="20" w:after="20" w:line="240" w:lineRule="auto"/>
                    <w:jc w:val="left"/>
                  </w:pPr>
                  <w:r>
                    <w:rPr>
                      <w:rFonts w:cs="EB Garamond"/>
                      <w:kern w:val="16"/>
                      <w:sz w:val="16"/>
                      <w14:ligatures w14:val="standardContextual"/>
                    </w:rPr>
                    <w:t>Direito adquirido (60F + 180 contrib.)</w:t>
                  </w:r>
                </w:p>
              </w:tc>
              <w:tc>
                <w:tcPr>
                  <w:tcW w:w="1270" w:type="dxa"/>
                  <w:tcBorders>
                    <w:top w:val="single" w:sz="4" w:space="0" w:color="D2C9B8"/>
                    <w:left w:val="single" w:sz="4" w:space="0" w:color="D2C9B8"/>
                    <w:bottom w:val="single" w:sz="4" w:space="0" w:color="D2C9B8"/>
                    <w:right w:val="single" w:sz="4" w:space="0" w:color="D2C9B8"/>
                  </w:tcBorders>
                </w:tcPr>
                <w:p w14:paraId="7C1D4E17" w14:textId="77777777" w:rsidR="005A5FCC" w:rsidRDefault="00A21C81">
                  <w:pPr>
                    <w:spacing w:before="20" w:after="20" w:line="240" w:lineRule="auto"/>
                    <w:jc w:val="left"/>
                  </w:pPr>
                  <w:r>
                    <w:rPr>
                      <w:rFonts w:cs="EB Garamond"/>
                      <w:kern w:val="16"/>
                      <w:sz w:val="16"/>
                      <w14:ligatures w14:val="standardContextual"/>
                    </w:rPr>
                    <w:t>❌ (completou 60 anos em 2023, após 13/11/2019)</w:t>
                  </w:r>
                </w:p>
              </w:tc>
              <w:tc>
                <w:tcPr>
                  <w:tcW w:w="1270" w:type="dxa"/>
                  <w:tcBorders>
                    <w:top w:val="single" w:sz="4" w:space="0" w:color="D2C9B8"/>
                    <w:left w:val="single" w:sz="4" w:space="0" w:color="D2C9B8"/>
                    <w:bottom w:val="single" w:sz="4" w:space="0" w:color="D2C9B8"/>
                    <w:right w:val="single" w:sz="4" w:space="0" w:color="D2C9B8"/>
                  </w:tcBorders>
                </w:tcPr>
                <w:p w14:paraId="0B49BEBF" w14:textId="77777777" w:rsidR="005A5FCC" w:rsidRDefault="00A21C81">
                  <w:pPr>
                    <w:spacing w:before="20" w:after="20" w:line="240" w:lineRule="auto"/>
                    <w:jc w:val="left"/>
                  </w:pPr>
                  <w:r>
                    <w:rPr>
                      <w:rFonts w:cs="EB Garamond"/>
                      <w:kern w:val="16"/>
                      <w:sz w:val="16"/>
                      <w14:ligatures w14:val="standardContextual"/>
                    </w:rPr>
                    <w:t>—</w:t>
                  </w:r>
                </w:p>
              </w:tc>
              <w:tc>
                <w:tcPr>
                  <w:tcW w:w="1270" w:type="dxa"/>
                  <w:tcBorders>
                    <w:top w:val="single" w:sz="4" w:space="0" w:color="D2C9B8"/>
                    <w:left w:val="single" w:sz="4" w:space="0" w:color="D2C9B8"/>
                    <w:bottom w:val="single" w:sz="4" w:space="0" w:color="D2C9B8"/>
                    <w:right w:val="single" w:sz="4" w:space="0" w:color="D2C9B8"/>
                  </w:tcBorders>
                </w:tcPr>
                <w:p w14:paraId="27275891" w14:textId="77777777" w:rsidR="005A5FCC" w:rsidRDefault="00A21C81">
                  <w:pPr>
                    <w:spacing w:before="20" w:after="20" w:line="240" w:lineRule="auto"/>
                    <w:jc w:val="left"/>
                  </w:pPr>
                  <w:r>
                    <w:rPr>
                      <w:rFonts w:cs="EB Garamond"/>
                      <w:kern w:val="16"/>
                      <w:sz w:val="16"/>
                      <w14:ligatures w14:val="standardContextual"/>
                    </w:rPr>
                    <w:t>—</w:t>
                  </w:r>
                </w:p>
              </w:tc>
              <w:tc>
                <w:tcPr>
                  <w:tcW w:w="1270" w:type="dxa"/>
                  <w:tcBorders>
                    <w:top w:val="single" w:sz="4" w:space="0" w:color="D2C9B8"/>
                    <w:left w:val="single" w:sz="4" w:space="0" w:color="D2C9B8"/>
                    <w:bottom w:val="single" w:sz="4" w:space="0" w:color="D2C9B8"/>
                    <w:right w:val="single" w:sz="4" w:space="0" w:color="D2C9B8"/>
                  </w:tcBorders>
                </w:tcPr>
                <w:p w14:paraId="2B7D687A" w14:textId="77777777" w:rsidR="005A5FCC" w:rsidRDefault="00A21C81">
                  <w:pPr>
                    <w:spacing w:before="20" w:after="20" w:line="240" w:lineRule="auto"/>
                    <w:jc w:val="left"/>
                  </w:pPr>
                  <w:r>
                    <w:rPr>
                      <w:rFonts w:cs="EB Garamond"/>
                      <w:kern w:val="16"/>
                      <w:sz w:val="16"/>
                      <w14:ligatures w14:val="standardContextual"/>
                    </w:rPr>
                    <w:t>—</w:t>
                  </w:r>
                </w:p>
              </w:tc>
            </w:tr>
            <w:tr w:rsidR="005A5FCC" w14:paraId="0725883A"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64545F1B" w14:textId="77777777" w:rsidR="005A5FCC" w:rsidRDefault="00A21C81">
                  <w:pPr>
                    <w:spacing w:before="20" w:after="20" w:line="240" w:lineRule="auto"/>
                    <w:jc w:val="left"/>
                  </w:pPr>
                  <w:r>
                    <w:rPr>
                      <w:rFonts w:cs="EB Garamond"/>
                      <w:kern w:val="16"/>
                      <w:sz w:val="16"/>
                      <w14:ligatures w14:val="standardContextual"/>
                    </w:rPr>
                    <w:t>Art. 18 (62F + 15 TC)</w:t>
                  </w:r>
                </w:p>
              </w:tc>
              <w:tc>
                <w:tcPr>
                  <w:tcW w:w="1270" w:type="dxa"/>
                  <w:tcBorders>
                    <w:top w:val="single" w:sz="4" w:space="0" w:color="D2C9B8"/>
                    <w:left w:val="single" w:sz="4" w:space="0" w:color="D2C9B8"/>
                    <w:bottom w:val="single" w:sz="4" w:space="0" w:color="D2C9B8"/>
                    <w:right w:val="single" w:sz="4" w:space="0" w:color="D2C9B8"/>
                  </w:tcBorders>
                </w:tcPr>
                <w:p w14:paraId="13D168A7" w14:textId="77777777" w:rsidR="005A5FCC" w:rsidRDefault="00A21C81">
                  <w:pPr>
                    <w:spacing w:before="20" w:after="20" w:line="240" w:lineRule="auto"/>
                    <w:jc w:val="left"/>
                  </w:pPr>
                  <w:r>
                    <w:rPr>
                      <w:rFonts w:cs="EB Garamond"/>
                      <w:kern w:val="16"/>
                      <w:sz w:val="16"/>
                      <w14:ligatures w14:val="standardContextual"/>
                    </w:rPr>
                    <w:t>✅</w:t>
                  </w:r>
                </w:p>
              </w:tc>
              <w:tc>
                <w:tcPr>
                  <w:tcW w:w="1270" w:type="dxa"/>
                  <w:tcBorders>
                    <w:top w:val="single" w:sz="4" w:space="0" w:color="D2C9B8"/>
                    <w:left w:val="single" w:sz="4" w:space="0" w:color="D2C9B8"/>
                    <w:bottom w:val="single" w:sz="4" w:space="0" w:color="D2C9B8"/>
                    <w:right w:val="single" w:sz="4" w:space="0" w:color="D2C9B8"/>
                  </w:tcBorders>
                </w:tcPr>
                <w:p w14:paraId="63A879FA" w14:textId="77777777" w:rsidR="005A5FCC" w:rsidRDefault="00A21C81">
                  <w:pPr>
                    <w:spacing w:before="20" w:after="20" w:line="240" w:lineRule="auto"/>
                    <w:jc w:val="left"/>
                  </w:pPr>
                  <w:r>
                    <w:rPr>
                      <w:rFonts w:cs="EB Garamond"/>
                      <w:kern w:val="16"/>
                      <w:sz w:val="16"/>
                      <w14:ligatures w14:val="standardContextual"/>
                    </w:rPr>
                    <w:t>60% + 2%×(33-15) = 96%</w:t>
                  </w:r>
                </w:p>
              </w:tc>
              <w:tc>
                <w:tcPr>
                  <w:tcW w:w="1270" w:type="dxa"/>
                  <w:tcBorders>
                    <w:top w:val="single" w:sz="4" w:space="0" w:color="D2C9B8"/>
                    <w:left w:val="single" w:sz="4" w:space="0" w:color="D2C9B8"/>
                    <w:bottom w:val="single" w:sz="4" w:space="0" w:color="D2C9B8"/>
                    <w:right w:val="single" w:sz="4" w:space="0" w:color="D2C9B8"/>
                  </w:tcBorders>
                </w:tcPr>
                <w:p w14:paraId="515C4536" w14:textId="77777777" w:rsidR="005A5FCC" w:rsidRDefault="00A21C81">
                  <w:pPr>
                    <w:spacing w:before="20" w:after="20" w:line="240" w:lineRule="auto"/>
                    <w:jc w:val="left"/>
                  </w:pPr>
                  <w:r>
                    <w:rPr>
                      <w:rFonts w:cs="EB Garamond"/>
                      <w:kern w:val="16"/>
                      <w:sz w:val="16"/>
                      <w14:ligatures w14:val="standardContextual"/>
                    </w:rPr>
                    <w:t>R$ 4.000,00 (100%)</w:t>
                  </w:r>
                </w:p>
              </w:tc>
              <w:tc>
                <w:tcPr>
                  <w:tcW w:w="1270" w:type="dxa"/>
                  <w:tcBorders>
                    <w:top w:val="single" w:sz="4" w:space="0" w:color="D2C9B8"/>
                    <w:left w:val="single" w:sz="4" w:space="0" w:color="D2C9B8"/>
                    <w:bottom w:val="single" w:sz="4" w:space="0" w:color="D2C9B8"/>
                    <w:right w:val="single" w:sz="4" w:space="0" w:color="D2C9B8"/>
                  </w:tcBorders>
                </w:tcPr>
                <w:p w14:paraId="5BD7F6D7" w14:textId="77777777" w:rsidR="005A5FCC" w:rsidRDefault="00A21C81">
                  <w:pPr>
                    <w:spacing w:before="20" w:after="20" w:line="240" w:lineRule="auto"/>
                    <w:jc w:val="left"/>
                  </w:pPr>
                  <w:r>
                    <w:rPr>
                      <w:rFonts w:cs="EB Garamond"/>
                      <w:kern w:val="16"/>
                      <w:sz w:val="16"/>
                      <w14:ligatures w14:val="standardContextual"/>
                    </w:rPr>
                    <w:t>R$ 3.840,00</w:t>
                  </w:r>
                </w:p>
              </w:tc>
            </w:tr>
            <w:tr w:rsidR="005A5FCC" w14:paraId="106CDFEE"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45E7BEAF" w14:textId="77777777" w:rsidR="005A5FCC" w:rsidRDefault="00A21C81">
                  <w:pPr>
                    <w:spacing w:before="20" w:after="20" w:line="240" w:lineRule="auto"/>
                    <w:jc w:val="left"/>
                  </w:pPr>
                  <w:r>
                    <w:rPr>
                      <w:rFonts w:cs="EB Garamond"/>
                      <w:kern w:val="16"/>
                      <w:sz w:val="16"/>
                      <w14:ligatures w14:val="standardContextual"/>
                    </w:rPr>
                    <w:t>Art. 15 (pontos: 63+33=96 ≥ 93)</w:t>
                  </w:r>
                </w:p>
              </w:tc>
              <w:tc>
                <w:tcPr>
                  <w:tcW w:w="1270" w:type="dxa"/>
                  <w:tcBorders>
                    <w:top w:val="single" w:sz="4" w:space="0" w:color="D2C9B8"/>
                    <w:left w:val="single" w:sz="4" w:space="0" w:color="D2C9B8"/>
                    <w:bottom w:val="single" w:sz="4" w:space="0" w:color="D2C9B8"/>
                    <w:right w:val="single" w:sz="4" w:space="0" w:color="D2C9B8"/>
                  </w:tcBorders>
                </w:tcPr>
                <w:p w14:paraId="668B2074" w14:textId="77777777" w:rsidR="005A5FCC" w:rsidRDefault="00A21C81">
                  <w:pPr>
                    <w:spacing w:before="20" w:after="20" w:line="240" w:lineRule="auto"/>
                    <w:jc w:val="left"/>
                  </w:pPr>
                  <w:r>
                    <w:rPr>
                      <w:rFonts w:cs="EB Garamond"/>
                      <w:kern w:val="16"/>
                      <w:sz w:val="16"/>
                      <w14:ligatures w14:val="standardContextual"/>
                    </w:rPr>
                    <w:t>✅</w:t>
                  </w:r>
                </w:p>
              </w:tc>
              <w:tc>
                <w:tcPr>
                  <w:tcW w:w="1270" w:type="dxa"/>
                  <w:tcBorders>
                    <w:top w:val="single" w:sz="4" w:space="0" w:color="D2C9B8"/>
                    <w:left w:val="single" w:sz="4" w:space="0" w:color="D2C9B8"/>
                    <w:bottom w:val="single" w:sz="4" w:space="0" w:color="D2C9B8"/>
                    <w:right w:val="single" w:sz="4" w:space="0" w:color="D2C9B8"/>
                  </w:tcBorders>
                </w:tcPr>
                <w:p w14:paraId="0268FD07" w14:textId="77777777" w:rsidR="005A5FCC" w:rsidRDefault="00A21C81">
                  <w:pPr>
                    <w:spacing w:before="20" w:after="20" w:line="240" w:lineRule="auto"/>
                    <w:jc w:val="left"/>
                  </w:pPr>
                  <w:r>
                    <w:rPr>
                      <w:rFonts w:cs="EB Garamond"/>
                      <w:kern w:val="16"/>
                      <w:sz w:val="16"/>
                      <w14:ligatures w14:val="standardContextual"/>
                    </w:rPr>
                    <w:t>60% + 2%×(33-15) = 96%</w:t>
                  </w:r>
                </w:p>
              </w:tc>
              <w:tc>
                <w:tcPr>
                  <w:tcW w:w="1270" w:type="dxa"/>
                  <w:tcBorders>
                    <w:top w:val="single" w:sz="4" w:space="0" w:color="D2C9B8"/>
                    <w:left w:val="single" w:sz="4" w:space="0" w:color="D2C9B8"/>
                    <w:bottom w:val="single" w:sz="4" w:space="0" w:color="D2C9B8"/>
                    <w:right w:val="single" w:sz="4" w:space="0" w:color="D2C9B8"/>
                  </w:tcBorders>
                </w:tcPr>
                <w:p w14:paraId="10BFA4D3" w14:textId="77777777" w:rsidR="005A5FCC" w:rsidRDefault="00A21C81">
                  <w:pPr>
                    <w:spacing w:before="20" w:after="20" w:line="240" w:lineRule="auto"/>
                    <w:jc w:val="left"/>
                  </w:pPr>
                  <w:r>
                    <w:rPr>
                      <w:rFonts w:cs="EB Garamond"/>
                      <w:kern w:val="16"/>
                      <w:sz w:val="16"/>
                      <w14:ligatures w14:val="standardContextual"/>
                    </w:rPr>
                    <w:t>R$ 4.000,00</w:t>
                  </w:r>
                </w:p>
              </w:tc>
              <w:tc>
                <w:tcPr>
                  <w:tcW w:w="1270" w:type="dxa"/>
                  <w:tcBorders>
                    <w:top w:val="single" w:sz="4" w:space="0" w:color="D2C9B8"/>
                    <w:left w:val="single" w:sz="4" w:space="0" w:color="D2C9B8"/>
                    <w:bottom w:val="single" w:sz="4" w:space="0" w:color="D2C9B8"/>
                    <w:right w:val="single" w:sz="4" w:space="0" w:color="D2C9B8"/>
                  </w:tcBorders>
                </w:tcPr>
                <w:p w14:paraId="2322FDBC" w14:textId="77777777" w:rsidR="005A5FCC" w:rsidRDefault="00A21C81">
                  <w:pPr>
                    <w:spacing w:before="20" w:after="20" w:line="240" w:lineRule="auto"/>
                    <w:jc w:val="left"/>
                  </w:pPr>
                  <w:r>
                    <w:rPr>
                      <w:rFonts w:cs="EB Garamond"/>
                      <w:kern w:val="16"/>
                      <w:sz w:val="16"/>
                      <w14:ligatures w14:val="standardContextual"/>
                    </w:rPr>
                    <w:t>R$ 3.840,00</w:t>
                  </w:r>
                </w:p>
              </w:tc>
            </w:tr>
            <w:tr w:rsidR="005A5FCC" w14:paraId="507D734F"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3BD75DA4" w14:textId="77777777" w:rsidR="005A5FCC" w:rsidRDefault="00A21C81">
                  <w:pPr>
                    <w:spacing w:before="20" w:after="20" w:line="240" w:lineRule="auto"/>
                    <w:jc w:val="left"/>
                  </w:pPr>
                  <w:r>
                    <w:rPr>
                      <w:rFonts w:cs="EB Garamond"/>
                      <w:kern w:val="16"/>
                      <w:sz w:val="16"/>
                      <w14:ligatures w14:val="standardContextual"/>
                    </w:rPr>
                    <w:t>Art. 16 (59,5F + 30 TC)</w:t>
                  </w:r>
                </w:p>
              </w:tc>
              <w:tc>
                <w:tcPr>
                  <w:tcW w:w="1270" w:type="dxa"/>
                  <w:tcBorders>
                    <w:top w:val="single" w:sz="4" w:space="0" w:color="D2C9B8"/>
                    <w:left w:val="single" w:sz="4" w:space="0" w:color="D2C9B8"/>
                    <w:bottom w:val="single" w:sz="4" w:space="0" w:color="D2C9B8"/>
                    <w:right w:val="single" w:sz="4" w:space="0" w:color="D2C9B8"/>
                  </w:tcBorders>
                </w:tcPr>
                <w:p w14:paraId="50302E8D" w14:textId="77777777" w:rsidR="005A5FCC" w:rsidRDefault="00A21C81">
                  <w:pPr>
                    <w:spacing w:before="20" w:after="20" w:line="240" w:lineRule="auto"/>
                    <w:jc w:val="left"/>
                  </w:pPr>
                  <w:r>
                    <w:rPr>
                      <w:rFonts w:cs="EB Garamond"/>
                      <w:kern w:val="16"/>
                      <w:sz w:val="16"/>
                      <w14:ligatures w14:val="standardContextual"/>
                    </w:rPr>
                    <w:t>✅ (63 &gt; 59,5)</w:t>
                  </w:r>
                </w:p>
              </w:tc>
              <w:tc>
                <w:tcPr>
                  <w:tcW w:w="1270" w:type="dxa"/>
                  <w:tcBorders>
                    <w:top w:val="single" w:sz="4" w:space="0" w:color="D2C9B8"/>
                    <w:left w:val="single" w:sz="4" w:space="0" w:color="D2C9B8"/>
                    <w:bottom w:val="single" w:sz="4" w:space="0" w:color="D2C9B8"/>
                    <w:right w:val="single" w:sz="4" w:space="0" w:color="D2C9B8"/>
                  </w:tcBorders>
                </w:tcPr>
                <w:p w14:paraId="6376A61F" w14:textId="77777777" w:rsidR="005A5FCC" w:rsidRDefault="00A21C81">
                  <w:pPr>
                    <w:spacing w:before="20" w:after="20" w:line="240" w:lineRule="auto"/>
                    <w:jc w:val="left"/>
                  </w:pPr>
                  <w:r>
                    <w:rPr>
                      <w:rFonts w:cs="EB Garamond"/>
                      <w:kern w:val="16"/>
                      <w:sz w:val="16"/>
                      <w14:ligatures w14:val="standardContextual"/>
                    </w:rPr>
                    <w:t>60% + 2%×(33-15) = 96%</w:t>
                  </w:r>
                </w:p>
              </w:tc>
              <w:tc>
                <w:tcPr>
                  <w:tcW w:w="1270" w:type="dxa"/>
                  <w:tcBorders>
                    <w:top w:val="single" w:sz="4" w:space="0" w:color="D2C9B8"/>
                    <w:left w:val="single" w:sz="4" w:space="0" w:color="D2C9B8"/>
                    <w:bottom w:val="single" w:sz="4" w:space="0" w:color="D2C9B8"/>
                    <w:right w:val="single" w:sz="4" w:space="0" w:color="D2C9B8"/>
                  </w:tcBorders>
                </w:tcPr>
                <w:p w14:paraId="59CFD75D" w14:textId="77777777" w:rsidR="005A5FCC" w:rsidRDefault="00A21C81">
                  <w:pPr>
                    <w:spacing w:before="20" w:after="20" w:line="240" w:lineRule="auto"/>
                    <w:jc w:val="left"/>
                  </w:pPr>
                  <w:r>
                    <w:rPr>
                      <w:rFonts w:cs="EB Garamond"/>
                      <w:kern w:val="16"/>
                      <w:sz w:val="16"/>
                      <w14:ligatures w14:val="standardContextual"/>
                    </w:rPr>
                    <w:t>R$ 4.000,00</w:t>
                  </w:r>
                </w:p>
              </w:tc>
              <w:tc>
                <w:tcPr>
                  <w:tcW w:w="1270" w:type="dxa"/>
                  <w:tcBorders>
                    <w:top w:val="single" w:sz="4" w:space="0" w:color="D2C9B8"/>
                    <w:left w:val="single" w:sz="4" w:space="0" w:color="D2C9B8"/>
                    <w:bottom w:val="single" w:sz="4" w:space="0" w:color="D2C9B8"/>
                    <w:right w:val="single" w:sz="4" w:space="0" w:color="D2C9B8"/>
                  </w:tcBorders>
                </w:tcPr>
                <w:p w14:paraId="1585FE67" w14:textId="77777777" w:rsidR="005A5FCC" w:rsidRDefault="00A21C81">
                  <w:pPr>
                    <w:spacing w:before="20" w:after="20" w:line="240" w:lineRule="auto"/>
                    <w:jc w:val="left"/>
                  </w:pPr>
                  <w:r>
                    <w:rPr>
                      <w:rFonts w:cs="EB Garamond"/>
                      <w:kern w:val="16"/>
                      <w:sz w:val="16"/>
                      <w14:ligatures w14:val="standardContextual"/>
                    </w:rPr>
                    <w:t>R$ 3.840,00</w:t>
                  </w:r>
                </w:p>
              </w:tc>
            </w:tr>
            <w:tr w:rsidR="005A5FCC" w14:paraId="3C89AC27"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77BD78E2" w14:textId="77777777" w:rsidR="005A5FCC" w:rsidRDefault="00A21C81">
                  <w:pPr>
                    <w:spacing w:before="20" w:after="20" w:line="240" w:lineRule="auto"/>
                    <w:jc w:val="left"/>
                  </w:pPr>
                  <w:r>
                    <w:rPr>
                      <w:rFonts w:cs="EB Garamond"/>
                      <w:kern w:val="16"/>
                      <w:sz w:val="16"/>
                      <w14:ligatures w14:val="standardContextual"/>
                    </w:rPr>
                    <w:t>Art. 20 (57F + 30 TC + pedágio)</w:t>
                  </w:r>
                </w:p>
              </w:tc>
              <w:tc>
                <w:tcPr>
                  <w:tcW w:w="1270" w:type="dxa"/>
                  <w:tcBorders>
                    <w:top w:val="single" w:sz="4" w:space="0" w:color="D2C9B8"/>
                    <w:left w:val="single" w:sz="4" w:space="0" w:color="D2C9B8"/>
                    <w:bottom w:val="single" w:sz="4" w:space="0" w:color="D2C9B8"/>
                    <w:right w:val="single" w:sz="4" w:space="0" w:color="D2C9B8"/>
                  </w:tcBorders>
                </w:tcPr>
                <w:p w14:paraId="3AD3787A" w14:textId="77777777" w:rsidR="005A5FCC" w:rsidRDefault="00A21C81">
                  <w:pPr>
                    <w:spacing w:before="20" w:after="20" w:line="240" w:lineRule="auto"/>
                    <w:jc w:val="left"/>
                  </w:pPr>
                  <w:r>
                    <w:rPr>
                      <w:rFonts w:cs="EB Garamond"/>
                      <w:kern w:val="16"/>
                      <w:sz w:val="16"/>
                      <w14:ligatures w14:val="standardContextual"/>
                    </w:rPr>
                    <w:t>Verificar pedágio</w:t>
                  </w:r>
                </w:p>
              </w:tc>
              <w:tc>
                <w:tcPr>
                  <w:tcW w:w="1270" w:type="dxa"/>
                  <w:tcBorders>
                    <w:top w:val="single" w:sz="4" w:space="0" w:color="D2C9B8"/>
                    <w:left w:val="single" w:sz="4" w:space="0" w:color="D2C9B8"/>
                    <w:bottom w:val="single" w:sz="4" w:space="0" w:color="D2C9B8"/>
                    <w:right w:val="single" w:sz="4" w:space="0" w:color="D2C9B8"/>
                  </w:tcBorders>
                </w:tcPr>
                <w:p w14:paraId="5DC1BC41" w14:textId="77777777" w:rsidR="005A5FCC" w:rsidRDefault="00A21C81">
                  <w:pPr>
                    <w:spacing w:before="20" w:after="20" w:line="240" w:lineRule="auto"/>
                    <w:jc w:val="left"/>
                  </w:pPr>
                  <w:r>
                    <w:rPr>
                      <w:rFonts w:cs="EB Garamond"/>
                      <w:b/>
                      <w:kern w:val="16"/>
                      <w:sz w:val="16"/>
                      <w14:ligatures w14:val="standardContextual"/>
                    </w:rPr>
                    <w:t>100%</w:t>
                  </w:r>
                </w:p>
              </w:tc>
              <w:tc>
                <w:tcPr>
                  <w:tcW w:w="1270" w:type="dxa"/>
                  <w:tcBorders>
                    <w:top w:val="single" w:sz="4" w:space="0" w:color="D2C9B8"/>
                    <w:left w:val="single" w:sz="4" w:space="0" w:color="D2C9B8"/>
                    <w:bottom w:val="single" w:sz="4" w:space="0" w:color="D2C9B8"/>
                    <w:right w:val="single" w:sz="4" w:space="0" w:color="D2C9B8"/>
                  </w:tcBorders>
                </w:tcPr>
                <w:p w14:paraId="6C6004F1" w14:textId="77777777" w:rsidR="005A5FCC" w:rsidRDefault="00A21C81">
                  <w:pPr>
                    <w:spacing w:before="20" w:after="20" w:line="240" w:lineRule="auto"/>
                    <w:jc w:val="left"/>
                  </w:pPr>
                  <w:r>
                    <w:rPr>
                      <w:rFonts w:cs="EB Garamond"/>
                      <w:kern w:val="16"/>
                      <w:sz w:val="16"/>
                      <w14:ligatures w14:val="standardContextual"/>
                    </w:rPr>
                    <w:t>R$ 4.000,00</w:t>
                  </w:r>
                </w:p>
              </w:tc>
              <w:tc>
                <w:tcPr>
                  <w:tcW w:w="1270" w:type="dxa"/>
                  <w:tcBorders>
                    <w:top w:val="single" w:sz="4" w:space="0" w:color="D2C9B8"/>
                    <w:left w:val="single" w:sz="4" w:space="0" w:color="D2C9B8"/>
                    <w:bottom w:val="single" w:sz="4" w:space="0" w:color="D2C9B8"/>
                    <w:right w:val="single" w:sz="4" w:space="0" w:color="D2C9B8"/>
                  </w:tcBorders>
                </w:tcPr>
                <w:p w14:paraId="3AAA9101" w14:textId="77777777" w:rsidR="005A5FCC" w:rsidRDefault="00A21C81">
                  <w:pPr>
                    <w:spacing w:before="20" w:after="20" w:line="240" w:lineRule="auto"/>
                    <w:jc w:val="left"/>
                  </w:pPr>
                  <w:r>
                    <w:rPr>
                      <w:rFonts w:cs="EB Garamond"/>
                      <w:kern w:val="16"/>
                      <w:sz w:val="16"/>
                      <w14:ligatures w14:val="standardContextual"/>
                    </w:rPr>
                    <w:t>R$ 4.000,00</w:t>
                  </w:r>
                </w:p>
              </w:tc>
            </w:tr>
            <w:tr w:rsidR="005A5FCC" w14:paraId="22E0B02A"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089E3760" w14:textId="77777777" w:rsidR="005A5FCC" w:rsidRDefault="00A21C81">
                  <w:pPr>
                    <w:spacing w:before="20" w:after="20" w:line="240" w:lineRule="auto"/>
                    <w:jc w:val="left"/>
                  </w:pPr>
                  <w:r>
                    <w:rPr>
                      <w:rFonts w:cs="EB Garamond"/>
                      <w:kern w:val="16"/>
                      <w:sz w:val="16"/>
                      <w14:ligatures w14:val="standardContextual"/>
                    </w:rPr>
                    <w:t>Permanente (62F + 15 TC)</w:t>
                  </w:r>
                </w:p>
              </w:tc>
              <w:tc>
                <w:tcPr>
                  <w:tcW w:w="1270" w:type="dxa"/>
                  <w:tcBorders>
                    <w:top w:val="single" w:sz="4" w:space="0" w:color="D2C9B8"/>
                    <w:left w:val="single" w:sz="4" w:space="0" w:color="D2C9B8"/>
                    <w:bottom w:val="single" w:sz="4" w:space="0" w:color="D2C9B8"/>
                    <w:right w:val="single" w:sz="4" w:space="0" w:color="D2C9B8"/>
                  </w:tcBorders>
                </w:tcPr>
                <w:p w14:paraId="38BF243C" w14:textId="77777777" w:rsidR="005A5FCC" w:rsidRDefault="00A21C81">
                  <w:pPr>
                    <w:spacing w:before="20" w:after="20" w:line="240" w:lineRule="auto"/>
                    <w:jc w:val="left"/>
                  </w:pPr>
                  <w:r>
                    <w:rPr>
                      <w:rFonts w:cs="EB Garamond"/>
                      <w:kern w:val="16"/>
                      <w:sz w:val="16"/>
                      <w14:ligatures w14:val="standardContextual"/>
                    </w:rPr>
                    <w:t>✅</w:t>
                  </w:r>
                </w:p>
              </w:tc>
              <w:tc>
                <w:tcPr>
                  <w:tcW w:w="1270" w:type="dxa"/>
                  <w:tcBorders>
                    <w:top w:val="single" w:sz="4" w:space="0" w:color="D2C9B8"/>
                    <w:left w:val="single" w:sz="4" w:space="0" w:color="D2C9B8"/>
                    <w:bottom w:val="single" w:sz="4" w:space="0" w:color="D2C9B8"/>
                    <w:right w:val="single" w:sz="4" w:space="0" w:color="D2C9B8"/>
                  </w:tcBorders>
                </w:tcPr>
                <w:p w14:paraId="17DDDAC8" w14:textId="77777777" w:rsidR="005A5FCC" w:rsidRDefault="00A21C81">
                  <w:pPr>
                    <w:spacing w:before="20" w:after="20" w:line="240" w:lineRule="auto"/>
                    <w:jc w:val="left"/>
                  </w:pPr>
                  <w:r>
                    <w:rPr>
                      <w:rFonts w:cs="EB Garamond"/>
                      <w:kern w:val="16"/>
                      <w:sz w:val="16"/>
                      <w14:ligatures w14:val="standardContextual"/>
                    </w:rPr>
                    <w:t>96%</w:t>
                  </w:r>
                </w:p>
              </w:tc>
              <w:tc>
                <w:tcPr>
                  <w:tcW w:w="1270" w:type="dxa"/>
                  <w:tcBorders>
                    <w:top w:val="single" w:sz="4" w:space="0" w:color="D2C9B8"/>
                    <w:left w:val="single" w:sz="4" w:space="0" w:color="D2C9B8"/>
                    <w:bottom w:val="single" w:sz="4" w:space="0" w:color="D2C9B8"/>
                    <w:right w:val="single" w:sz="4" w:space="0" w:color="D2C9B8"/>
                  </w:tcBorders>
                </w:tcPr>
                <w:p w14:paraId="351EDAFC" w14:textId="77777777" w:rsidR="005A5FCC" w:rsidRDefault="00A21C81">
                  <w:pPr>
                    <w:spacing w:before="20" w:after="20" w:line="240" w:lineRule="auto"/>
                    <w:jc w:val="left"/>
                  </w:pPr>
                  <w:r>
                    <w:rPr>
                      <w:rFonts w:cs="EB Garamond"/>
                      <w:kern w:val="16"/>
                      <w:sz w:val="16"/>
                      <w14:ligatures w14:val="standardContextual"/>
                    </w:rPr>
                    <w:t>R$ 4.000,00</w:t>
                  </w:r>
                </w:p>
              </w:tc>
              <w:tc>
                <w:tcPr>
                  <w:tcW w:w="1270" w:type="dxa"/>
                  <w:tcBorders>
                    <w:top w:val="single" w:sz="4" w:space="0" w:color="D2C9B8"/>
                    <w:left w:val="single" w:sz="4" w:space="0" w:color="D2C9B8"/>
                    <w:bottom w:val="single" w:sz="4" w:space="0" w:color="D2C9B8"/>
                    <w:right w:val="single" w:sz="4" w:space="0" w:color="D2C9B8"/>
                  </w:tcBorders>
                </w:tcPr>
                <w:p w14:paraId="7BC3D574" w14:textId="77777777" w:rsidR="005A5FCC" w:rsidRDefault="00A21C81">
                  <w:pPr>
                    <w:spacing w:before="20" w:after="20" w:line="240" w:lineRule="auto"/>
                    <w:jc w:val="left"/>
                  </w:pPr>
                  <w:r>
                    <w:rPr>
                      <w:rFonts w:cs="EB Garamond"/>
                      <w:kern w:val="16"/>
                      <w:sz w:val="16"/>
                      <w14:ligatures w14:val="standardContextual"/>
                    </w:rPr>
                    <w:t>R$ 3.840,00</w:t>
                  </w:r>
                </w:p>
              </w:tc>
            </w:tr>
          </w:tbl>
          <w:p w14:paraId="20D2F9D3" w14:textId="77777777" w:rsidR="005A5FCC" w:rsidRDefault="005A5FCC"/>
          <w:p w14:paraId="58C6E0D4" w14:textId="77777777" w:rsidR="005A5FCC" w:rsidRDefault="005A5FCC">
            <w:pPr>
              <w:spacing w:after="0" w:line="240" w:lineRule="auto"/>
            </w:pPr>
          </w:p>
          <w:p w14:paraId="60AC024D" w14:textId="77777777" w:rsidR="005A5FCC" w:rsidRDefault="00A21C81">
            <w:pPr>
              <w:spacing w:after="60" w:line="247" w:lineRule="auto"/>
            </w:pPr>
            <w:r>
              <w:rPr>
                <w:rFonts w:cs="EB Garamond"/>
                <w:b/>
                <w:kern w:val="16"/>
                <w:sz w:val="19"/>
                <w14:ligatures w14:val="standardContextual"/>
              </w:rPr>
              <w:t>Resultado:</w:t>
            </w:r>
            <w:r>
              <w:rPr>
                <w:rFonts w:cs="EB Garamond"/>
                <w:kern w:val="16"/>
                <w:sz w:val="19"/>
                <w14:ligatures w14:val="standardContextual"/>
              </w:rPr>
              <w:t xml:space="preserve"> Helena NÃO tem direito adquirido (completou 60 anos em 2023, após 13/11/2019). A regra mais vantajosa é a do pedágio 100% (art. 20), se o pedágio estiver cumprido, ou a regra de pontos (art. 15), com RMI de R$ 3.840,00 a R$ 4.000,00.</w:t>
            </w:r>
          </w:p>
          <w:p w14:paraId="41E12348" w14:textId="77777777" w:rsidR="005A5FCC" w:rsidRDefault="00A21C81">
            <w:pPr>
              <w:spacing w:after="60" w:line="247" w:lineRule="auto"/>
            </w:pPr>
            <w:r>
              <w:rPr>
                <w:rFonts w:cs="EB Garamond"/>
                <w:b/>
                <w:kern w:val="16"/>
                <w:sz w:val="19"/>
                <w14:ligatures w14:val="standardContextual"/>
              </w:rPr>
              <w:t>Lição:</w:t>
            </w:r>
            <w:r>
              <w:rPr>
                <w:rFonts w:cs="EB Garamond"/>
                <w:kern w:val="16"/>
                <w:sz w:val="19"/>
                <w14:ligatures w14:val="standardContextual"/>
              </w:rPr>
              <w:t xml:space="preserve"> Verificar sempre se a idade mínima foi implementada ANTES de 13/11/2019 para configurar direito adquirido. Seguradas nascidas após 1959 completaram 60 anos depois da EC 103 e não têm direito adquirido à regra antiga.</w:t>
            </w:r>
          </w:p>
        </w:tc>
      </w:tr>
    </w:tbl>
    <w:p w14:paraId="02DBB735" w14:textId="77777777" w:rsidR="005A5FCC" w:rsidRDefault="005A5FCC">
      <w:pPr>
        <w:spacing w:after="80" w:line="240" w:lineRule="auto"/>
      </w:pPr>
    </w:p>
    <w:p w14:paraId="42102F9D" w14:textId="77777777" w:rsidR="005A5FCC" w:rsidRDefault="00A21C81">
      <w:pPr>
        <w:spacing w:before="260" w:after="80" w:line="240" w:lineRule="auto"/>
        <w:jc w:val="left"/>
      </w:pPr>
      <w:r>
        <w:rPr>
          <w:rFonts w:cs="EB Garamond"/>
          <w:b/>
          <w:color w:val="3A3128"/>
          <w:kern w:val="16"/>
          <w:sz w:val="25"/>
          <w14:ligatures w14:val="standardContextual"/>
        </w:rPr>
        <w:t>10.12.3 O papel do advogado na escolha</w:t>
      </w:r>
    </w:p>
    <w:p w14:paraId="01FF7F32"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41BF4D86" w14:textId="77777777" w:rsidR="005A5FCC" w:rsidRDefault="00A21C81">
      <w:r>
        <w:rPr>
          <w:rFonts w:cs="EB Garamond"/>
          <w:kern w:val="16"/>
          <w14:ligatures w14:val="standardContextual"/>
        </w:rPr>
        <w:t xml:space="preserve"> advogado previdenciário que atua nos JEFs tem o dever de orientar o cliente sobre a regra mais vantajosa. Essa orientação exige:</w:t>
      </w:r>
    </w:p>
    <w:p w14:paraId="630DD589" w14:textId="77777777" w:rsidR="005A5FCC" w:rsidRDefault="00A21C81">
      <w:pPr>
        <w:spacing w:after="40" w:line="252" w:lineRule="auto"/>
        <w:ind w:left="340" w:hanging="198"/>
      </w:pPr>
      <w:r>
        <w:rPr>
          <w:rFonts w:cs="EB Garamond"/>
          <w:color w:val="3A3128"/>
          <w:kern w:val="16"/>
          <w:sz w:val="20"/>
          <w14:ligatures w14:val="standardContextual"/>
        </w:rPr>
        <w:lastRenderedPageBreak/>
        <w:t xml:space="preserve">1. </w:t>
      </w:r>
      <w:r>
        <w:rPr>
          <w:rFonts w:cs="EB Garamond"/>
          <w:b/>
          <w:kern w:val="16"/>
          <w:sz w:val="20"/>
          <w14:ligatures w14:val="standardContextual"/>
        </w:rPr>
        <w:t>Levantamento completo do histórico contributivo</w:t>
      </w:r>
      <w:r>
        <w:rPr>
          <w:rFonts w:cs="EB Garamond"/>
          <w:kern w:val="16"/>
          <w:sz w:val="20"/>
          <w14:ligatures w14:val="standardContextual"/>
        </w:rPr>
        <w:t xml:space="preserve"> (CNIS + CTPS + outros documentos);</w:t>
      </w:r>
    </w:p>
    <w:p w14:paraId="24C5E108" w14:textId="77777777" w:rsidR="005A5FCC" w:rsidRDefault="00A21C81">
      <w:pPr>
        <w:spacing w:after="40" w:line="252" w:lineRule="auto"/>
        <w:ind w:left="340" w:hanging="198"/>
      </w:pPr>
      <w:r>
        <w:rPr>
          <w:rFonts w:cs="EB Garamond"/>
          <w:color w:val="3A3128"/>
          <w:kern w:val="16"/>
          <w:sz w:val="20"/>
          <w14:ligatures w14:val="standardContextual"/>
        </w:rPr>
        <w:t xml:space="preserve">2. </w:t>
      </w:r>
      <w:r>
        <w:rPr>
          <w:rFonts w:cs="EB Garamond"/>
          <w:b/>
          <w:kern w:val="16"/>
          <w:sz w:val="20"/>
          <w14:ligatures w14:val="standardContextual"/>
        </w:rPr>
        <w:t>Cálculo do benefício por cada regra aplicável</w:t>
      </w:r>
      <w:r>
        <w:rPr>
          <w:rFonts w:cs="EB Garamond"/>
          <w:kern w:val="16"/>
          <w:sz w:val="20"/>
          <w14:ligatures w14:val="standardContextual"/>
        </w:rPr>
        <w:t>, tarefa que pode ser facilitada por softwares especializados, mas que o advogado deve ser capaz de conferir manualmente;</w:t>
      </w:r>
    </w:p>
    <w:p w14:paraId="5656B7D6" w14:textId="77777777" w:rsidR="005A5FCC" w:rsidRDefault="00A21C81">
      <w:pPr>
        <w:spacing w:after="40" w:line="252" w:lineRule="auto"/>
        <w:ind w:left="340" w:hanging="198"/>
      </w:pPr>
      <w:r>
        <w:rPr>
          <w:rFonts w:cs="EB Garamond"/>
          <w:color w:val="3A3128"/>
          <w:kern w:val="16"/>
          <w:sz w:val="20"/>
          <w14:ligatures w14:val="standardContextual"/>
        </w:rPr>
        <w:t xml:space="preserve">3. </w:t>
      </w:r>
      <w:r>
        <w:rPr>
          <w:rFonts w:cs="EB Garamond"/>
          <w:b/>
          <w:kern w:val="16"/>
          <w:sz w:val="20"/>
          <w14:ligatures w14:val="standardContextual"/>
        </w:rPr>
        <w:t>Análise de cenários futuros:</w:t>
      </w:r>
      <w:r>
        <w:rPr>
          <w:rFonts w:cs="EB Garamond"/>
          <w:kern w:val="16"/>
          <w:sz w:val="20"/>
          <w14:ligatures w14:val="standardContextual"/>
        </w:rPr>
        <w:t xml:space="preserve"> Em alguns casos, aguardar mais alguns meses ou anos pode garantir um benefício significativamente superior (por exemplo, alcançando o coeficiente de 100% pela regra do pedágio);</w:t>
      </w:r>
    </w:p>
    <w:p w14:paraId="57D774F7" w14:textId="77777777" w:rsidR="005A5FCC" w:rsidRDefault="00A21C81">
      <w:pPr>
        <w:spacing w:after="40" w:line="252" w:lineRule="auto"/>
        <w:ind w:left="340" w:hanging="198"/>
      </w:pPr>
      <w:r>
        <w:rPr>
          <w:rFonts w:cs="EB Garamond"/>
          <w:color w:val="3A3128"/>
          <w:kern w:val="16"/>
          <w:sz w:val="20"/>
          <w14:ligatures w14:val="standardContextual"/>
        </w:rPr>
        <w:t xml:space="preserve">4. </w:t>
      </w:r>
      <w:r>
        <w:rPr>
          <w:rFonts w:cs="EB Garamond"/>
          <w:b/>
          <w:kern w:val="16"/>
          <w:sz w:val="20"/>
          <w14:ligatures w14:val="standardContextual"/>
        </w:rPr>
        <w:t>Formulação precisa do pedido judicial:</w:t>
      </w:r>
      <w:r>
        <w:rPr>
          <w:rFonts w:cs="EB Garamond"/>
          <w:kern w:val="16"/>
          <w:sz w:val="20"/>
          <w14:ligatures w14:val="standardContextual"/>
        </w:rPr>
        <w:t xml:space="preserve"> O pedido deve especificar a regra pela qual se requer a aposentadoria, ou, alternativamente, requerer a concessão pela regra mais vantajosa entre todas as aplicáveis.</w:t>
      </w:r>
    </w:p>
    <w:p w14:paraId="7FAF1AF7" w14:textId="77777777" w:rsidR="005A5FCC" w:rsidRDefault="005A5FCC">
      <w:pPr>
        <w:spacing w:after="60" w:line="240" w:lineRule="auto"/>
      </w:pPr>
    </w:p>
    <w:tbl>
      <w:tblPr>
        <w:tblW w:w="5000" w:type="pct"/>
        <w:jc w:val="center"/>
        <w:tblLayout w:type="fixed"/>
        <w:tblLook w:val="04A0" w:firstRow="1" w:lastRow="0" w:firstColumn="1" w:lastColumn="0" w:noHBand="0" w:noVBand="1"/>
      </w:tblPr>
      <w:tblGrid>
        <w:gridCol w:w="6311"/>
      </w:tblGrid>
      <w:tr w:rsidR="005A5FCC" w14:paraId="34907397"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7BAA83DE"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5791CB84" w14:textId="77777777" w:rsidR="005A5FCC" w:rsidRDefault="00A21C81">
            <w:pPr>
              <w:spacing w:after="60" w:line="247" w:lineRule="auto"/>
            </w:pPr>
            <w:r>
              <w:rPr>
                <w:rFonts w:cs="EB Garamond"/>
                <w:b/>
                <w:kern w:val="16"/>
                <w:sz w:val="19"/>
                <w14:ligatures w14:val="standardContextual"/>
              </w:rPr>
              <w:t>Pedido genérico vs. Pedido específico nos JEFs</w:t>
            </w:r>
          </w:p>
          <w:p w14:paraId="0F396823" w14:textId="77777777" w:rsidR="005A5FCC" w:rsidRDefault="00A21C81">
            <w:pPr>
              <w:spacing w:after="60" w:line="247" w:lineRule="auto"/>
            </w:pPr>
            <w:r>
              <w:rPr>
                <w:rFonts w:cs="EB Garamond"/>
                <w:kern w:val="16"/>
                <w:sz w:val="19"/>
                <w14:ligatures w14:val="standardContextual"/>
              </w:rPr>
              <w:t>A formulação do pedido na petição inicial é relevante. O advogado pode:</w:t>
            </w:r>
          </w:p>
          <w:p w14:paraId="285CD0BF" w14:textId="77777777" w:rsidR="005A5FCC" w:rsidRDefault="00A21C81">
            <w:pPr>
              <w:spacing w:after="60" w:line="247" w:lineRule="auto"/>
            </w:pPr>
            <w:r>
              <w:rPr>
                <w:rFonts w:cs="EB Garamond"/>
                <w:b/>
                <w:kern w:val="16"/>
                <w:sz w:val="19"/>
                <w14:ligatures w14:val="standardContextual"/>
              </w:rPr>
              <w:t>Opção A — Pedido específico:</w:t>
            </w:r>
            <w:r>
              <w:rPr>
                <w:rFonts w:cs="EB Garamond"/>
                <w:kern w:val="16"/>
                <w:sz w:val="19"/>
                <w14:ligatures w14:val="standardContextual"/>
              </w:rPr>
              <w:t xml:space="preserve"> "Requer a concessão de aposentadoria por idade com base no direito adquirido (art. 3º, EC 103/2019), com cálculo nos termos do art. 29, I, da Lei 8.213/91 (80% maiores salários) e coeficiente do art. 50 (70% + 1% por grupo de 12 contribuições)."</w:t>
            </w:r>
          </w:p>
          <w:p w14:paraId="0BC0F48D" w14:textId="77777777" w:rsidR="005A5FCC" w:rsidRDefault="00A21C81">
            <w:pPr>
              <w:spacing w:after="60" w:line="247" w:lineRule="auto"/>
            </w:pPr>
            <w:r>
              <w:rPr>
                <w:rFonts w:cs="EB Garamond"/>
                <w:b/>
                <w:kern w:val="16"/>
                <w:sz w:val="19"/>
                <w14:ligatures w14:val="standardContextual"/>
              </w:rPr>
              <w:t>Opção B — Pedido alternativo/subsidiário:</w:t>
            </w:r>
            <w:r>
              <w:rPr>
                <w:rFonts w:cs="EB Garamond"/>
                <w:kern w:val="16"/>
                <w:sz w:val="19"/>
                <w14:ligatures w14:val="standardContextual"/>
              </w:rPr>
              <w:t xml:space="preserve"> "Requer a concessão da aposentadoria pela regra mais vantajosa entre: (i) direito adquirido à regra anterior; (ii) regra de transição do art. 18 da EC 103/2019; e (iii) regra permanente do art. 201, § 7º, I, CF."</w:t>
            </w:r>
          </w:p>
          <w:p w14:paraId="04726B71" w14:textId="77777777" w:rsidR="005A5FCC" w:rsidRDefault="00A21C81">
            <w:pPr>
              <w:spacing w:after="60" w:line="247" w:lineRule="auto"/>
            </w:pPr>
            <w:r>
              <w:rPr>
                <w:rFonts w:cs="EB Garamond"/>
                <w:kern w:val="16"/>
                <w:sz w:val="19"/>
                <w14:ligatures w14:val="standardContextual"/>
              </w:rPr>
              <w:t>A Opção B é mais segura, porque garante que o juiz analisará todas as possibilidades. Nos JEFs, os juízes frequentemente determinam que o INSS calcule o benefício por todas as regras aplicáveis e implante o mais vantajoso, mas isso depende de provocação adequada.</w:t>
            </w:r>
          </w:p>
        </w:tc>
      </w:tr>
    </w:tbl>
    <w:p w14:paraId="24AF41C5" w14:textId="77777777" w:rsidR="005A5FCC" w:rsidRDefault="005A5FCC">
      <w:pPr>
        <w:spacing w:after="80" w:line="240" w:lineRule="auto"/>
      </w:pPr>
    </w:p>
    <w:p w14:paraId="727AFB34"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10.13 Aposentadoria por idade e a interface com o segurado rural</w:t>
      </w:r>
    </w:p>
    <w:p w14:paraId="7303F585"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79EEE46D" w14:textId="06D9CC8A" w:rsidR="005A5FCC" w:rsidRDefault="00A21C81">
      <w:r>
        <w:rPr>
          <w:rFonts w:cs="EB Garamond"/>
          <w:kern w:val="16"/>
          <w14:ligatures w14:val="standardContextual"/>
        </w:rPr>
        <w:t xml:space="preserve"> aposentadoria por idade rural (55/60 anos + 180 meses de atividade rural) e a aposentadoria por idade hibrida (art. 48, para. 3o, Lei 8.213/91) </w:t>
      </w:r>
      <w:r w:rsidR="00393814">
        <w:rPr>
          <w:rFonts w:cs="EB Garamond"/>
          <w:kern w:val="16"/>
          <w14:ligatures w14:val="standardContextual"/>
        </w:rPr>
        <w:t>são</w:t>
      </w:r>
      <w:r>
        <w:rPr>
          <w:rFonts w:cs="EB Garamond"/>
          <w:kern w:val="16"/>
          <w14:ligatures w14:val="standardContextual"/>
        </w:rPr>
        <w:t xml:space="preserve"> tratadas em profundidade no </w:t>
      </w:r>
      <w:r w:rsidR="00393814">
        <w:rPr>
          <w:rFonts w:cs="EB Garamond"/>
          <w:kern w:val="16"/>
          <w14:ligatures w14:val="standardContextual"/>
        </w:rPr>
        <w:t>Capítulo</w:t>
      </w:r>
      <w:r>
        <w:rPr>
          <w:rFonts w:cs="EB Garamond"/>
          <w:kern w:val="16"/>
          <w14:ligatures w14:val="standardContextual"/>
        </w:rPr>
        <w:t xml:space="preserve"> 9. Nesta </w:t>
      </w:r>
      <w:r w:rsidR="00393814">
        <w:rPr>
          <w:rFonts w:cs="EB Garamond"/>
          <w:kern w:val="16"/>
          <w14:ligatures w14:val="standardContextual"/>
        </w:rPr>
        <w:t>seção</w:t>
      </w:r>
      <w:r>
        <w:rPr>
          <w:rFonts w:cs="EB Garamond"/>
          <w:kern w:val="16"/>
          <w14:ligatures w14:val="standardContextual"/>
        </w:rPr>
        <w:t xml:space="preserve">, examina-se apenas a interface pratica entre o trabalho rural e a aposentadoria por idade urbana — </w:t>
      </w:r>
      <w:r w:rsidR="00393814">
        <w:rPr>
          <w:rFonts w:cs="EB Garamond"/>
          <w:kern w:val="16"/>
          <w14:ligatures w14:val="standardContextual"/>
        </w:rPr>
        <w:t>questão</w:t>
      </w:r>
      <w:r>
        <w:rPr>
          <w:rFonts w:cs="EB Garamond"/>
          <w:kern w:val="16"/>
          <w14:ligatures w14:val="standardContextual"/>
        </w:rPr>
        <w:t xml:space="preserve"> frequente nos JEFs, dada a quantidade de segurados com </w:t>
      </w:r>
      <w:r w:rsidR="00393814">
        <w:rPr>
          <w:rFonts w:cs="EB Garamond"/>
          <w:kern w:val="16"/>
          <w14:ligatures w14:val="standardContextual"/>
        </w:rPr>
        <w:t>histórico</w:t>
      </w:r>
      <w:r>
        <w:rPr>
          <w:rFonts w:cs="EB Garamond"/>
          <w:kern w:val="16"/>
          <w14:ligatures w14:val="standardContextual"/>
        </w:rPr>
        <w:t xml:space="preserve"> laboral misto (</w:t>
      </w:r>
      <w:r w:rsidR="00393814">
        <w:rPr>
          <w:rFonts w:cs="EB Garamond"/>
          <w:kern w:val="16"/>
          <w14:ligatures w14:val="standardContextual"/>
        </w:rPr>
        <w:t>períodos</w:t>
      </w:r>
      <w:r>
        <w:rPr>
          <w:rFonts w:cs="EB Garamond"/>
          <w:kern w:val="16"/>
          <w14:ligatures w14:val="standardContextual"/>
        </w:rPr>
        <w:t xml:space="preserve"> rurais na juventude seguidos de atividade urbana formal).</w:t>
      </w:r>
    </w:p>
    <w:p w14:paraId="5CBE2634" w14:textId="257DDE68" w:rsidR="005A5FCC" w:rsidRDefault="00A21C81">
      <w:pPr>
        <w:ind w:firstLine="238"/>
      </w:pPr>
      <w:r>
        <w:rPr>
          <w:rFonts w:cs="EB Garamond"/>
          <w:kern w:val="16"/>
          <w14:ligatures w14:val="standardContextual"/>
        </w:rPr>
        <w:t xml:space="preserve">A regra-chave: o </w:t>
      </w:r>
      <w:r w:rsidR="00393814">
        <w:rPr>
          <w:rFonts w:cs="EB Garamond"/>
          <w:kern w:val="16"/>
          <w14:ligatures w14:val="standardContextual"/>
        </w:rPr>
        <w:t>período</w:t>
      </w:r>
      <w:r>
        <w:rPr>
          <w:rFonts w:cs="EB Garamond"/>
          <w:kern w:val="16"/>
          <w14:ligatures w14:val="standardContextual"/>
        </w:rPr>
        <w:t xml:space="preserve"> de atividade rural anterior a novembro de 1991 pode ser computado como tempo de </w:t>
      </w:r>
      <w:r w:rsidR="00393814">
        <w:rPr>
          <w:rFonts w:cs="EB Garamond"/>
          <w:kern w:val="16"/>
          <w14:ligatures w14:val="standardContextual"/>
        </w:rPr>
        <w:t>contribuição</w:t>
      </w:r>
      <w:r>
        <w:rPr>
          <w:rFonts w:cs="EB Garamond"/>
          <w:kern w:val="16"/>
          <w14:ligatures w14:val="standardContextual"/>
        </w:rPr>
        <w:t xml:space="preserve"> (art. 55, para. 2o, Lei 8.213/91), mas </w:t>
      </w:r>
      <w:r w:rsidR="00393814">
        <w:rPr>
          <w:rFonts w:cs="EB Garamond"/>
          <w:kern w:val="16"/>
          <w14:ligatures w14:val="standardContextual"/>
        </w:rPr>
        <w:t>não</w:t>
      </w:r>
      <w:r>
        <w:rPr>
          <w:rFonts w:cs="EB Garamond"/>
          <w:kern w:val="16"/>
          <w14:ligatures w14:val="standardContextual"/>
        </w:rPr>
        <w:t xml:space="preserve"> como </w:t>
      </w:r>
      <w:r w:rsidR="00393814">
        <w:rPr>
          <w:rFonts w:cs="EB Garamond"/>
          <w:kern w:val="16"/>
          <w14:ligatures w14:val="standardContextual"/>
        </w:rPr>
        <w:t>carência</w:t>
      </w:r>
      <w:r>
        <w:rPr>
          <w:rFonts w:cs="EB Garamond"/>
          <w:kern w:val="16"/>
          <w14:ligatures w14:val="standardContextual"/>
        </w:rPr>
        <w:t xml:space="preserve"> na aposentadoria por idade urbana comum (Tema 358/TNU, </w:t>
      </w:r>
      <w:r w:rsidR="00393814">
        <w:rPr>
          <w:rFonts w:cs="EB Garamond"/>
          <w:kern w:val="16"/>
          <w14:ligatures w14:val="standardContextual"/>
        </w:rPr>
        <w:t>seção</w:t>
      </w:r>
      <w:r>
        <w:rPr>
          <w:rFonts w:cs="EB Garamond"/>
          <w:kern w:val="16"/>
          <w14:ligatures w14:val="standardContextual"/>
        </w:rPr>
        <w:t xml:space="preserve"> 10.6). A </w:t>
      </w:r>
      <w:r w:rsidR="00393814">
        <w:rPr>
          <w:rFonts w:cs="EB Garamond"/>
          <w:kern w:val="16"/>
          <w14:ligatures w14:val="standardContextual"/>
        </w:rPr>
        <w:t>exceção</w:t>
      </w:r>
      <w:r>
        <w:rPr>
          <w:rFonts w:cs="EB Garamond"/>
          <w:kern w:val="16"/>
          <w14:ligatures w14:val="standardContextual"/>
        </w:rPr>
        <w:t xml:space="preserve"> e a aposentadoria hibrida (Tema 1007/STJ), que permite a soma de </w:t>
      </w:r>
      <w:r w:rsidR="00393814">
        <w:rPr>
          <w:rFonts w:cs="EB Garamond"/>
          <w:kern w:val="16"/>
          <w14:ligatures w14:val="standardContextual"/>
        </w:rPr>
        <w:t>períodos</w:t>
      </w:r>
      <w:r>
        <w:rPr>
          <w:rFonts w:cs="EB Garamond"/>
          <w:kern w:val="16"/>
          <w14:ligatures w14:val="standardContextual"/>
        </w:rPr>
        <w:t xml:space="preserve"> rurais e urbanos para completar a </w:t>
      </w:r>
      <w:r w:rsidR="00393814">
        <w:rPr>
          <w:rFonts w:cs="EB Garamond"/>
          <w:kern w:val="16"/>
          <w14:ligatures w14:val="standardContextual"/>
        </w:rPr>
        <w:t>carência</w:t>
      </w:r>
      <w:r>
        <w:rPr>
          <w:rFonts w:cs="EB Garamond"/>
          <w:kern w:val="16"/>
          <w14:ligatures w14:val="standardContextual"/>
        </w:rPr>
        <w:t xml:space="preserve"> — alternativa que o advogado deve considerar quando o segurado </w:t>
      </w:r>
      <w:r w:rsidR="00393814">
        <w:rPr>
          <w:rFonts w:cs="EB Garamond"/>
          <w:kern w:val="16"/>
          <w14:ligatures w14:val="standardContextual"/>
        </w:rPr>
        <w:t>não</w:t>
      </w:r>
      <w:r>
        <w:rPr>
          <w:rFonts w:cs="EB Garamond"/>
          <w:kern w:val="16"/>
          <w14:ligatures w14:val="standardContextual"/>
        </w:rPr>
        <w:t xml:space="preserve"> </w:t>
      </w:r>
      <w:r w:rsidR="00393814">
        <w:rPr>
          <w:rFonts w:cs="EB Garamond"/>
          <w:kern w:val="16"/>
          <w14:ligatures w14:val="standardContextual"/>
        </w:rPr>
        <w:t>alcança</w:t>
      </w:r>
      <w:r>
        <w:rPr>
          <w:rFonts w:cs="EB Garamond"/>
          <w:kern w:val="16"/>
          <w14:ligatures w14:val="standardContextual"/>
        </w:rPr>
        <w:t xml:space="preserve"> 180 </w:t>
      </w:r>
      <w:r w:rsidR="00393814">
        <w:rPr>
          <w:rFonts w:cs="EB Garamond"/>
          <w:kern w:val="16"/>
          <w14:ligatures w14:val="standardContextual"/>
        </w:rPr>
        <w:t>contribuições</w:t>
      </w:r>
      <w:r>
        <w:rPr>
          <w:rFonts w:cs="EB Garamond"/>
          <w:kern w:val="16"/>
          <w14:ligatures w14:val="standardContextual"/>
        </w:rPr>
        <w:t xml:space="preserve"> urbanas.</w:t>
      </w:r>
    </w:p>
    <w:tbl>
      <w:tblPr>
        <w:tblW w:w="5000" w:type="pct"/>
        <w:jc w:val="center"/>
        <w:tblLayout w:type="fixed"/>
        <w:tblLook w:val="04A0" w:firstRow="1" w:lastRow="0" w:firstColumn="1" w:lastColumn="0" w:noHBand="0" w:noVBand="1"/>
      </w:tblPr>
      <w:tblGrid>
        <w:gridCol w:w="6311"/>
      </w:tblGrid>
      <w:tr w:rsidR="005A5FCC" w14:paraId="481711F0"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05CC756E"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0FC1BCF4" w14:textId="77777777" w:rsidR="005A5FCC" w:rsidRDefault="00A21C81">
            <w:pPr>
              <w:spacing w:after="60" w:line="247" w:lineRule="auto"/>
            </w:pPr>
            <w:r>
              <w:rPr>
                <w:rFonts w:cs="EB Garamond"/>
                <w:b/>
                <w:kern w:val="16"/>
                <w:sz w:val="19"/>
                <w14:ligatures w14:val="standardContextual"/>
              </w:rPr>
              <w:t>Situação prática — Segurado com período rural e urbano</w:t>
            </w:r>
          </w:p>
          <w:p w14:paraId="167A94C4" w14:textId="77777777" w:rsidR="005A5FCC" w:rsidRDefault="00A21C81">
            <w:pPr>
              <w:spacing w:after="60" w:line="247" w:lineRule="auto"/>
            </w:pPr>
            <w:r>
              <w:rPr>
                <w:rFonts w:cs="EB Garamond"/>
                <w:b/>
                <w:kern w:val="16"/>
                <w:sz w:val="19"/>
                <w14:ligatures w14:val="standardContextual"/>
              </w:rPr>
              <w:t>Seu Joaquim</w:t>
            </w:r>
            <w:r>
              <w:rPr>
                <w:rFonts w:cs="EB Garamond"/>
                <w:kern w:val="16"/>
                <w:sz w:val="19"/>
                <w14:ligatures w14:val="standardContextual"/>
              </w:rPr>
              <w:t>, 66 anos, trabalhou na agricultura de 1975 a 1995 (20 anos de atividade rural) e depois como empregado urbano de 1996 a 2020 (24 anos, 288 contribuições urbanas).</w:t>
            </w:r>
          </w:p>
          <w:p w14:paraId="77A9D88D" w14:textId="77777777" w:rsidR="005A5FCC" w:rsidRDefault="00A21C81">
            <w:pPr>
              <w:spacing w:after="60" w:line="247" w:lineRule="auto"/>
            </w:pPr>
            <w:r>
              <w:rPr>
                <w:rFonts w:cs="EB Garamond"/>
                <w:b/>
                <w:kern w:val="16"/>
                <w:sz w:val="19"/>
                <w14:ligatures w14:val="standardContextual"/>
              </w:rPr>
              <w:t>Aposentadoria por idade urbana (art. 18, EC 103):</w:t>
            </w:r>
            <w:r>
              <w:rPr>
                <w:rFonts w:cs="EB Garamond"/>
                <w:kern w:val="16"/>
                <w:sz w:val="19"/>
                <w14:ligatures w14:val="standardContextual"/>
              </w:rPr>
              <w:t xml:space="preserve"> - Idade: 66 anos ✅ (&gt; 65 anos) - Tempo de contribuição: 20 anos rurais + 24 anos urbanos = </w:t>
            </w:r>
            <w:r>
              <w:rPr>
                <w:rFonts w:cs="EB Garamond"/>
                <w:b/>
                <w:kern w:val="16"/>
                <w:sz w:val="19"/>
                <w14:ligatures w14:val="standardContextual"/>
              </w:rPr>
              <w:t>44 anos</w:t>
            </w:r>
            <w:r>
              <w:rPr>
                <w:rFonts w:cs="EB Garamond"/>
                <w:kern w:val="16"/>
                <w:sz w:val="19"/>
                <w14:ligatures w14:val="standardContextual"/>
              </w:rPr>
              <w:t xml:space="preserve"> ✅ (&gt; 15 anos) - Carência: </w:t>
            </w:r>
            <w:r>
              <w:rPr>
                <w:rFonts w:cs="EB Garamond"/>
                <w:b/>
                <w:kern w:val="16"/>
                <w:sz w:val="19"/>
                <w14:ligatures w14:val="standardContextual"/>
              </w:rPr>
              <w:t>288 contribuições urbanas</w:t>
            </w:r>
            <w:r>
              <w:rPr>
                <w:rFonts w:cs="EB Garamond"/>
                <w:kern w:val="16"/>
                <w:sz w:val="19"/>
                <w14:ligatures w14:val="standardContextual"/>
              </w:rPr>
              <w:t xml:space="preserve"> ✅ (&gt; 180 contribuições), o período rural anterior a nov/1991 não conta como carência na aposentadoria por idade urbana - Coeficiente: 60% + 2% × (44 - 20) = 60% + 48% = 108%, </w:t>
            </w:r>
            <w:r>
              <w:rPr>
                <w:rFonts w:cs="EB Garamond"/>
                <w:b/>
                <w:kern w:val="16"/>
                <w:sz w:val="19"/>
                <w14:ligatures w14:val="standardContextual"/>
              </w:rPr>
              <w:t>limitado a 100%</w:t>
            </w:r>
            <w:r>
              <w:rPr>
                <w:rFonts w:cs="EB Garamond"/>
                <w:kern w:val="16"/>
                <w:sz w:val="19"/>
                <w14:ligatures w14:val="standardContextual"/>
              </w:rPr>
              <w:t xml:space="preserve"> - Resultado: Joaquim tem direito à aposentadoria por idade urbana com coeficiente de 100%.</w:t>
            </w:r>
          </w:p>
          <w:p w14:paraId="49E57FA6" w14:textId="77777777" w:rsidR="005A5FCC" w:rsidRDefault="00A21C81">
            <w:pPr>
              <w:spacing w:after="60" w:line="247" w:lineRule="auto"/>
            </w:pPr>
            <w:r>
              <w:rPr>
                <w:rFonts w:cs="EB Garamond"/>
                <w:b/>
                <w:kern w:val="16"/>
                <w:sz w:val="19"/>
                <w14:ligatures w14:val="standardContextual"/>
              </w:rPr>
              <w:t>Se Joaquim tivesse apenas 160 contribuições urbanas</w:t>
            </w:r>
            <w:r>
              <w:rPr>
                <w:rFonts w:cs="EB Garamond"/>
                <w:kern w:val="16"/>
                <w:sz w:val="19"/>
                <w14:ligatures w14:val="standardContextual"/>
              </w:rPr>
              <w:t xml:space="preserve"> (e não 288): - Carência: 160 &lt; 180 → </w:t>
            </w:r>
            <w:r>
              <w:rPr>
                <w:rFonts w:cs="EB Garamond"/>
                <w:b/>
                <w:kern w:val="16"/>
                <w:sz w:val="19"/>
                <w14:ligatures w14:val="standardContextual"/>
              </w:rPr>
              <w:t>não preenche</w:t>
            </w:r>
            <w:r>
              <w:rPr>
                <w:rFonts w:cs="EB Garamond"/>
                <w:kern w:val="16"/>
                <w:sz w:val="19"/>
                <w14:ligatures w14:val="standardContextual"/>
              </w:rPr>
              <w:t xml:space="preserve"> carência para aposentadoria por idade urbana - Alternativa: Aposentadoria por idade </w:t>
            </w:r>
            <w:r>
              <w:rPr>
                <w:rFonts w:cs="EB Garamond"/>
                <w:b/>
                <w:kern w:val="16"/>
                <w:sz w:val="19"/>
                <w14:ligatures w14:val="standardContextual"/>
              </w:rPr>
              <w:t>híbrida</w:t>
            </w:r>
            <w:r>
              <w:rPr>
                <w:rFonts w:cs="EB Garamond"/>
                <w:kern w:val="16"/>
                <w:sz w:val="19"/>
                <w14:ligatures w14:val="standardContextual"/>
              </w:rPr>
              <w:t xml:space="preserve"> (Tema 1007/STJ — Cap. 9), somando período rural para completar carência - Outra alternativa: Aposentadoria por idade </w:t>
            </w:r>
            <w:r>
              <w:rPr>
                <w:rFonts w:cs="EB Garamond"/>
                <w:b/>
                <w:kern w:val="16"/>
                <w:sz w:val="19"/>
                <w14:ligatures w14:val="standardContextual"/>
              </w:rPr>
              <w:t>rural</w:t>
            </w:r>
            <w:r>
              <w:rPr>
                <w:rFonts w:cs="EB Garamond"/>
                <w:kern w:val="16"/>
                <w:sz w:val="19"/>
                <w14:ligatures w14:val="standardContextual"/>
              </w:rPr>
              <w:t xml:space="preserve"> (se manteve atividade rural até próximo do requerimento)</w:t>
            </w:r>
          </w:p>
          <w:p w14:paraId="045EE8D6" w14:textId="77777777" w:rsidR="005A5FCC" w:rsidRDefault="00A21C81">
            <w:pPr>
              <w:spacing w:after="60" w:line="247" w:lineRule="auto"/>
            </w:pPr>
            <w:r>
              <w:rPr>
                <w:rFonts w:cs="EB Garamond"/>
                <w:kern w:val="16"/>
                <w:sz w:val="19"/>
                <w14:ligatures w14:val="standardContextual"/>
              </w:rPr>
              <w:t>Casos de histórico misto como o de Seu Joaquim exigem que se mapeiem, lado a lado, a via urbana, a híbrida e a rural, antes de definir o pedido — é da comparação entre elas, e não da escolha apressada de uma só, que costuma emergir o benefício mais vantajoso.</w:t>
            </w:r>
          </w:p>
        </w:tc>
      </w:tr>
    </w:tbl>
    <w:p w14:paraId="381806DE" w14:textId="77777777" w:rsidR="005A5FCC" w:rsidRDefault="005A5FCC">
      <w:pPr>
        <w:spacing w:after="80" w:line="240" w:lineRule="auto"/>
      </w:pPr>
    </w:p>
    <w:p w14:paraId="0CCC54F5"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10.14 Tutela provisória na aposentadoria por idade</w:t>
      </w:r>
    </w:p>
    <w:p w14:paraId="15E3FA79" w14:textId="77777777" w:rsidR="005A5FCC" w:rsidRDefault="00A21C81">
      <w:pPr>
        <w:spacing w:before="260" w:after="80" w:line="240" w:lineRule="auto"/>
        <w:jc w:val="left"/>
      </w:pPr>
      <w:r>
        <w:rPr>
          <w:rFonts w:cs="EB Garamond"/>
          <w:b/>
          <w:color w:val="3A3128"/>
          <w:kern w:val="16"/>
          <w:sz w:val="25"/>
          <w14:ligatures w14:val="standardContextual"/>
        </w:rPr>
        <w:t>10.14.1 Cabimento</w:t>
      </w:r>
    </w:p>
    <w:p w14:paraId="660CA1A9"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0DA2C8F5" w14:textId="77777777" w:rsidR="005A5FCC" w:rsidRDefault="00A21C81">
      <w:r>
        <w:rPr>
          <w:rFonts w:cs="EB Garamond"/>
          <w:kern w:val="16"/>
          <w14:ligatures w14:val="standardContextual"/>
        </w:rPr>
        <w:t xml:space="preserve"> tutela provisória de urgência (art. 300, CPC) é cabível na aposentadoria por idade quando presentes a probabilidade do direito e o perigo de dano ou risco ao resultado útil do processo. Nos JEFs, a concessão de tutela antecipada em matéria previdenciária é prática corrente e desempenha papel de </w:t>
      </w:r>
      <w:r>
        <w:rPr>
          <w:rFonts w:cs="EB Garamond"/>
          <w:kern w:val="16"/>
          <w14:ligatures w14:val="standardContextual"/>
        </w:rPr>
        <w:lastRenderedPageBreak/>
        <w:t>enorme relevância social, considerando que os segurados que buscam a aposentadoria por idade são, via de regra, pessoas idosas em situação de vulnerabilidade econômica.</w:t>
      </w:r>
    </w:p>
    <w:p w14:paraId="39041C72" w14:textId="77777777" w:rsidR="005A5FCC" w:rsidRDefault="00A21C81">
      <w:pPr>
        <w:ind w:firstLine="238"/>
      </w:pPr>
      <w:r>
        <w:rPr>
          <w:rFonts w:cs="EB Garamond"/>
          <w:kern w:val="16"/>
          <w14:ligatures w14:val="standardContextual"/>
        </w:rPr>
        <w:t>O juiz deve avaliar o cabimento da tutela antecipada a partir de dois requisitos cumulativos:</w:t>
      </w:r>
    </w:p>
    <w:p w14:paraId="6DC41927" w14:textId="77777777" w:rsidR="005A5FCC" w:rsidRDefault="00A21C81">
      <w:pPr>
        <w:ind w:firstLine="238"/>
      </w:pPr>
      <w:r>
        <w:rPr>
          <w:rFonts w:cs="EB Garamond"/>
          <w:b/>
          <w:kern w:val="16"/>
          <w14:ligatures w14:val="standardContextual"/>
        </w:rPr>
        <w:t>a) Probabilidade do direito (fumus boni iuris):</w:t>
      </w:r>
      <w:r>
        <w:rPr>
          <w:rFonts w:cs="EB Garamond"/>
          <w:kern w:val="16"/>
          <w14:ligatures w14:val="standardContextual"/>
        </w:rPr>
        <w:t xml:space="preserve"> Na aposentadoria por idade, a probabilidade do direito se demonstra pela comprovação de que o segurado atingiu a idade mínima exigida e preencheu a carência de 180 contribuições (ou o tempo de contribuição mínimo, conforme a regra aplicável). Quando o CNIS registra vínculos suficientes e não há controvérsia sobre sua validade, a probabilidade é elevada. Situações típicas de alta probabilidade: indeferimento por não reconhecimento de período urbano devidamente anotado na CTPS; indeferimento por não cômputo de período de benefício por incapacidade intercalado com atividade contributiva; indeferimento por erro no cálculo da carência.</w:t>
      </w:r>
    </w:p>
    <w:p w14:paraId="1705E1E9" w14:textId="77777777" w:rsidR="005A5FCC" w:rsidRDefault="00A21C81">
      <w:pPr>
        <w:ind w:firstLine="238"/>
      </w:pPr>
      <w:r>
        <w:rPr>
          <w:rFonts w:cs="EB Garamond"/>
          <w:b/>
          <w:kern w:val="16"/>
          <w14:ligatures w14:val="standardContextual"/>
        </w:rPr>
        <w:t>b) Perigo de dano ou risco ao resultado útil do processo (periculum in mora):</w:t>
      </w:r>
      <w:r>
        <w:rPr>
          <w:rFonts w:cs="EB Garamond"/>
          <w:kern w:val="16"/>
          <w14:ligatures w14:val="standardContextual"/>
        </w:rPr>
        <w:t xml:space="preserve"> O perigo de dano é quase inerente às ações previdenciárias envolvendo segurados idosos. A jurisprudência dos Juizados tem admitido a presunção de urgência quando o segurado é idoso (acima de 60 anos, nos termos do Estatuto da Pessoa Idosa — Lei 10.741/2003) e não dispõe de outra fonte de renda. Alguns juízes exigem comprovação concreta da situação de vulnerabilidade (declaração de hipossuficiência, comprovação de ausência de rendimentos, relatório de assistência social), enquanto outros presumem o perigo de dano pela própria natureza alimentar do benefício previdenciário.</w:t>
      </w:r>
    </w:p>
    <w:p w14:paraId="57B85B1F" w14:textId="77777777" w:rsidR="005A5FCC" w:rsidRDefault="00A21C81">
      <w:pPr>
        <w:ind w:firstLine="238"/>
      </w:pPr>
      <w:r>
        <w:rPr>
          <w:rFonts w:cs="EB Garamond"/>
          <w:kern w:val="16"/>
          <w14:ligatures w14:val="standardContextual"/>
        </w:rPr>
        <w:t>A concessão de tutela antecipada em matéria previdenciária é especialmente relevante quando se consideram os prazos de tramitação. Mesmo nos JEFs, cujo procedimento é sumaríssimo, o processo pode levar de seis meses a dois anos até o trânsito em julgado. Para um segurado idoso sem renda, esse período pode representar privação alimentar e de saúde concreta e irreversível.</w:t>
      </w:r>
    </w:p>
    <w:tbl>
      <w:tblPr>
        <w:tblW w:w="5000" w:type="pct"/>
        <w:jc w:val="center"/>
        <w:tblLayout w:type="fixed"/>
        <w:tblLook w:val="04A0" w:firstRow="1" w:lastRow="0" w:firstColumn="1" w:lastColumn="0" w:noHBand="0" w:noVBand="1"/>
      </w:tblPr>
      <w:tblGrid>
        <w:gridCol w:w="6311"/>
      </w:tblGrid>
      <w:tr w:rsidR="005A5FCC" w14:paraId="14A53AEC"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568C85EF"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67FAFB36" w14:textId="77777777" w:rsidR="005A5FCC" w:rsidRDefault="00A21C81">
            <w:pPr>
              <w:spacing w:after="60" w:line="247" w:lineRule="auto"/>
            </w:pPr>
            <w:r>
              <w:rPr>
                <w:rFonts w:cs="EB Garamond"/>
                <w:b/>
                <w:kern w:val="16"/>
                <w:sz w:val="19"/>
                <w14:ligatures w14:val="standardContextual"/>
              </w:rPr>
              <w:t>Modelo de argumentação para tutela antecipada</w:t>
            </w:r>
          </w:p>
          <w:p w14:paraId="22843B35" w14:textId="77777777" w:rsidR="005A5FCC" w:rsidRDefault="00A21C81">
            <w:pPr>
              <w:spacing w:after="60" w:line="247" w:lineRule="auto"/>
            </w:pPr>
            <w:r>
              <w:rPr>
                <w:rFonts w:cs="EB Garamond"/>
                <w:kern w:val="16"/>
                <w:sz w:val="19"/>
                <w14:ligatures w14:val="standardContextual"/>
              </w:rPr>
              <w:t>Na petição inicial da ação de concessão de aposentadoria por idade nos JEFs, o advogado deve estruturar o pedido de tutela antecipada com os seguintes elementos:</w:t>
            </w:r>
          </w:p>
          <w:p w14:paraId="45E02C02" w14:textId="4ED702E8" w:rsidR="005A5FCC" w:rsidRDefault="00A21C81">
            <w:pPr>
              <w:spacing w:after="60" w:line="247" w:lineRule="auto"/>
            </w:pPr>
            <w:r>
              <w:rPr>
                <w:rFonts w:cs="EB Garamond"/>
                <w:kern w:val="16"/>
                <w:sz w:val="19"/>
                <w14:ligatures w14:val="standardContextual"/>
              </w:rPr>
              <w:t xml:space="preserve">1. </w:t>
            </w:r>
            <w:r>
              <w:rPr>
                <w:rFonts w:cs="EB Garamond"/>
                <w:b/>
                <w:kern w:val="16"/>
                <w:sz w:val="19"/>
                <w14:ligatures w14:val="standardContextual"/>
              </w:rPr>
              <w:t>Demonstrar a probabilidade do direito:</w:t>
            </w:r>
            <w:r>
              <w:rPr>
                <w:rFonts w:cs="EB Garamond"/>
                <w:kern w:val="16"/>
                <w:sz w:val="19"/>
                <w14:ligatures w14:val="standardContextual"/>
              </w:rPr>
              <w:t xml:space="preserve">  - Apresentar CNIS atualizado, destacando os vínculos e contribuições que compõem a </w:t>
            </w:r>
            <w:r w:rsidR="00393814">
              <w:rPr>
                <w:rFonts w:cs="EB Garamond"/>
                <w:kern w:val="16"/>
                <w:sz w:val="19"/>
                <w14:ligatures w14:val="standardContextual"/>
              </w:rPr>
              <w:t>carência; -</w:t>
            </w:r>
            <w:r>
              <w:rPr>
                <w:rFonts w:cs="EB Garamond"/>
                <w:kern w:val="16"/>
                <w:sz w:val="19"/>
                <w14:ligatures w14:val="standardContextual"/>
              </w:rPr>
              <w:t xml:space="preserve"> Juntar CTPS com anotações claras dos vínculos não reconhecidos pelo </w:t>
            </w:r>
            <w:r w:rsidR="00393814">
              <w:rPr>
                <w:rFonts w:cs="EB Garamond"/>
                <w:kern w:val="16"/>
                <w:sz w:val="19"/>
                <w14:ligatures w14:val="standardContextual"/>
              </w:rPr>
              <w:t>INSS; -</w:t>
            </w:r>
            <w:r>
              <w:rPr>
                <w:rFonts w:cs="EB Garamond"/>
                <w:kern w:val="16"/>
                <w:sz w:val="19"/>
                <w14:ligatures w14:val="standardContextual"/>
              </w:rPr>
              <w:t xml:space="preserve"> Demonstrar, em tabela ou planilha, que o segurado atinge a carência de 180 contribuições e/ou o tempo de contribuição mínimo </w:t>
            </w:r>
            <w:r w:rsidR="00393814">
              <w:rPr>
                <w:rFonts w:cs="EB Garamond"/>
                <w:kern w:val="16"/>
                <w:sz w:val="19"/>
                <w14:ligatures w14:val="standardContextual"/>
              </w:rPr>
              <w:t>exigido; -</w:t>
            </w:r>
            <w:r>
              <w:rPr>
                <w:rFonts w:cs="EB Garamond"/>
                <w:kern w:val="16"/>
                <w:sz w:val="19"/>
                <w14:ligatures w14:val="standardContextual"/>
              </w:rPr>
              <w:t xml:space="preserve"> Indicar expressamente a regra pela qual se requer a aposentadoria (art. 18 EC 103, regra permanente ou direito adquirido).</w:t>
            </w:r>
          </w:p>
          <w:p w14:paraId="440514B4" w14:textId="30D12FC4" w:rsidR="005A5FCC" w:rsidRDefault="00A21C81">
            <w:pPr>
              <w:spacing w:after="60" w:line="247" w:lineRule="auto"/>
            </w:pPr>
            <w:r>
              <w:rPr>
                <w:rFonts w:cs="EB Garamond"/>
                <w:kern w:val="16"/>
                <w:sz w:val="19"/>
                <w14:ligatures w14:val="standardContextual"/>
              </w:rPr>
              <w:t xml:space="preserve">2. </w:t>
            </w:r>
            <w:r>
              <w:rPr>
                <w:rFonts w:cs="EB Garamond"/>
                <w:b/>
                <w:kern w:val="16"/>
                <w:sz w:val="19"/>
                <w14:ligatures w14:val="standardContextual"/>
              </w:rPr>
              <w:t>Demonstrar o perigo de dano:</w:t>
            </w:r>
            <w:r>
              <w:rPr>
                <w:rFonts w:cs="EB Garamond"/>
                <w:kern w:val="16"/>
                <w:sz w:val="19"/>
                <w14:ligatures w14:val="standardContextual"/>
              </w:rPr>
              <w:t xml:space="preserve">  - Alegar e comprovar a idade avançada do segurado (certidão de nascimento ou RG</w:t>
            </w:r>
            <w:r w:rsidR="00393814">
              <w:rPr>
                <w:rFonts w:cs="EB Garamond"/>
                <w:kern w:val="16"/>
                <w:sz w:val="19"/>
                <w14:ligatures w14:val="standardContextual"/>
              </w:rPr>
              <w:t>); -</w:t>
            </w:r>
            <w:r>
              <w:rPr>
                <w:rFonts w:cs="EB Garamond"/>
                <w:kern w:val="16"/>
                <w:sz w:val="19"/>
                <w14:ligatures w14:val="standardContextual"/>
              </w:rPr>
              <w:t xml:space="preserve"> Demonstrar a dependência econômica do benefício (declaração de hipossuficiência, ausência de registro no CNIS após o indeferimento, ou comprovação de que o segurado está desempregado</w:t>
            </w:r>
            <w:r w:rsidR="00393814">
              <w:rPr>
                <w:rFonts w:cs="EB Garamond"/>
                <w:kern w:val="16"/>
                <w:sz w:val="19"/>
                <w14:ligatures w14:val="standardContextual"/>
              </w:rPr>
              <w:t>); -</w:t>
            </w:r>
            <w:r>
              <w:rPr>
                <w:rFonts w:cs="EB Garamond"/>
                <w:kern w:val="16"/>
                <w:sz w:val="19"/>
                <w14:ligatures w14:val="standardContextual"/>
              </w:rPr>
              <w:t xml:space="preserve"> Se disponível, juntar relatório médico que evidencie condição de saúde </w:t>
            </w:r>
            <w:r w:rsidR="00393814">
              <w:rPr>
                <w:rFonts w:cs="EB Garamond"/>
                <w:kern w:val="16"/>
                <w:sz w:val="19"/>
                <w14:ligatures w14:val="standardContextual"/>
              </w:rPr>
              <w:t>frágil; -</w:t>
            </w:r>
            <w:r>
              <w:rPr>
                <w:rFonts w:cs="EB Garamond"/>
                <w:kern w:val="16"/>
                <w:sz w:val="19"/>
                <w14:ligatures w14:val="standardContextual"/>
              </w:rPr>
              <w:t xml:space="preserve"> Invocar o caráter alimentar do benefício previdenciário e a irreversibilidade do dano pela demora processual.</w:t>
            </w:r>
          </w:p>
          <w:p w14:paraId="11F81E47" w14:textId="77777777" w:rsidR="005A5FCC" w:rsidRDefault="00A21C81">
            <w:pPr>
              <w:spacing w:after="60" w:line="247" w:lineRule="auto"/>
            </w:pPr>
            <w:r>
              <w:rPr>
                <w:rFonts w:cs="EB Garamond"/>
                <w:kern w:val="16"/>
                <w:sz w:val="19"/>
                <w14:ligatures w14:val="standardContextual"/>
              </w:rPr>
              <w:t xml:space="preserve">3. </w:t>
            </w:r>
            <w:r>
              <w:rPr>
                <w:rFonts w:cs="EB Garamond"/>
                <w:b/>
                <w:kern w:val="16"/>
                <w:sz w:val="19"/>
                <w14:ligatures w14:val="standardContextual"/>
              </w:rPr>
              <w:t>Requerer a implantação imediata:</w:t>
            </w:r>
            <w:r>
              <w:rPr>
                <w:rFonts w:cs="EB Garamond"/>
                <w:kern w:val="16"/>
                <w:sz w:val="19"/>
                <w14:ligatures w14:val="standardContextual"/>
              </w:rPr>
              <w:t xml:space="preserve">  - "Requer a concessão de tutela provisória de urgência para determinar ao INSS que implante o benefício de aposentadoria por idade, com DIP na data da citação ou da intimação da decisão, no prazo de 30 dias, sob pena de multa diária de R$ 200,00."</w:t>
            </w:r>
          </w:p>
          <w:p w14:paraId="76AE37F2" w14:textId="77777777" w:rsidR="005A5FCC" w:rsidRDefault="00A21C81">
            <w:pPr>
              <w:spacing w:after="60" w:line="247" w:lineRule="auto"/>
            </w:pPr>
            <w:r>
              <w:rPr>
                <w:rFonts w:cs="EB Garamond"/>
                <w:kern w:val="16"/>
                <w:sz w:val="19"/>
                <w14:ligatures w14:val="standardContextual"/>
              </w:rPr>
              <w:t xml:space="preserve">4. </w:t>
            </w:r>
            <w:r>
              <w:rPr>
                <w:rFonts w:cs="EB Garamond"/>
                <w:b/>
                <w:kern w:val="16"/>
                <w:sz w:val="19"/>
                <w14:ligatures w14:val="standardContextual"/>
              </w:rPr>
              <w:t>Sobre as astreintes:</w:t>
            </w:r>
            <w:r>
              <w:rPr>
                <w:rFonts w:cs="EB Garamond"/>
                <w:kern w:val="16"/>
                <w:sz w:val="19"/>
                <w14:ligatures w14:val="standardContextual"/>
              </w:rPr>
              <w:t xml:space="preserve">  - A fixação de multa diária (astreintes) é admitida nos JEFs contra o INSS, embora haja divergência sobre a razoabilidade do valor;  - A tendência jurisprudencial é fixar astreintes entre R$ 100,00 e R$ 500,00 por dia de atraso, com limitação temporal (geralmente 30 a 60 dias de multa, ou limite pecuniário equivalente a R$ 10.000,00 a R$ 30.000,00);  - Algumas Turmas Recursais têm admitido a intimação pessoal do gerente da agência do INSS para cumprimento, sob pena de responsabilização por crime de desobediência.</w:t>
            </w:r>
          </w:p>
        </w:tc>
      </w:tr>
    </w:tbl>
    <w:p w14:paraId="21D23AE4" w14:textId="77777777" w:rsidR="005A5FCC" w:rsidRDefault="005A5FCC">
      <w:pPr>
        <w:spacing w:after="80" w:line="240" w:lineRule="auto"/>
      </w:pPr>
    </w:p>
    <w:p w14:paraId="1929F76D" w14:textId="77777777" w:rsidR="005A5FCC" w:rsidRDefault="00A21C81">
      <w:pPr>
        <w:spacing w:before="260" w:after="80" w:line="240" w:lineRule="auto"/>
        <w:jc w:val="left"/>
      </w:pPr>
      <w:r>
        <w:rPr>
          <w:rFonts w:cs="EB Garamond"/>
          <w:b/>
          <w:color w:val="3A3128"/>
          <w:kern w:val="16"/>
          <w:sz w:val="25"/>
          <w14:ligatures w14:val="standardContextual"/>
        </w:rPr>
        <w:t>10.14.2 Irreversibilidade e devolução de valores</w:t>
      </w:r>
    </w:p>
    <w:p w14:paraId="7A05C5B8"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U</w:t>
      </w:r>
    </w:p>
    <w:p w14:paraId="4A7F1BBB" w14:textId="77777777" w:rsidR="005A5FCC" w:rsidRDefault="00A21C81">
      <w:r>
        <w:rPr>
          <w:rFonts w:cs="EB Garamond"/>
          <w:kern w:val="16"/>
          <w14:ligatures w14:val="standardContextual"/>
        </w:rPr>
        <w:t xml:space="preserve">m aspecto sensível da tutela antecipada em matéria previdenciária é a questão da irreversibilidade. O art. 300, § 3º, do CPC estabelece que a tutela de urgência de natureza antecipada não será concedida quando houver perigo </w:t>
      </w:r>
      <w:r>
        <w:rPr>
          <w:rFonts w:cs="EB Garamond"/>
          <w:kern w:val="16"/>
          <w14:ligatures w14:val="standardContextual"/>
        </w:rPr>
        <w:lastRenderedPageBreak/>
        <w:t>de irreversibilidade dos efeitos da decisão. Contudo, a jurisprudência do STJ consolidou o entendimento de que os valores recebidos de boa-fé pelo segurado em decorrência de tutela antecipada são irrepetíveis, mesmo que a decisão final lhe seja desfavorável.</w:t>
      </w:r>
    </w:p>
    <w:p w14:paraId="0957A064" w14:textId="77777777" w:rsidR="005A5FCC" w:rsidRDefault="00A21C81">
      <w:pPr>
        <w:ind w:firstLine="238"/>
      </w:pPr>
      <w:r>
        <w:rPr>
          <w:rFonts w:cs="EB Garamond"/>
          <w:kern w:val="16"/>
          <w14:ligatures w14:val="standardContextual"/>
        </w:rPr>
        <w:t>Esse entendimento, que se aplica a todos os benefícios previdenciários, tem especial relevância na aposentadoria por idade, porque o segurado idoso que recebe proventos em caráter provisório geralmente os consome para sua subsistência. A exigência de devolução representaria enriquecimento sem causa do INSS às custas de um segurado vulnerável.</w:t>
      </w:r>
    </w:p>
    <w:p w14:paraId="01B0CC70" w14:textId="77777777" w:rsidR="005A5FCC" w:rsidRDefault="00A21C81">
      <w:pPr>
        <w:ind w:firstLine="238"/>
      </w:pPr>
      <w:r>
        <w:rPr>
          <w:rFonts w:cs="EB Garamond"/>
          <w:kern w:val="16"/>
          <w14:ligatures w14:val="standardContextual"/>
        </w:rPr>
        <w:t>A TNU e o STJ firmaram tese no sentido de que os valores alimentares recebidos por força de decisão judicial provisória, de boa-fé, são irrepetíveis. O fundamento está na natureza alimentar do benefício previdenciário e na boa-fé objetiva do segurado que agiu amparado por decisão judicial. Contudo, há precedentes que ressalvam a possibilidade de desconto em caso de má-fé comprovada (por exemplo, quando o segurado apresentou documentos falsos para obter a tutela).</w:t>
      </w:r>
    </w:p>
    <w:p w14:paraId="769F8953" w14:textId="77777777" w:rsidR="005A5FCC" w:rsidRDefault="00A21C81">
      <w:pPr>
        <w:spacing w:before="260" w:after="80" w:line="240" w:lineRule="auto"/>
        <w:jc w:val="left"/>
      </w:pPr>
      <w:r>
        <w:rPr>
          <w:rFonts w:cs="EB Garamond"/>
          <w:b/>
          <w:color w:val="3A3128"/>
          <w:kern w:val="16"/>
          <w:sz w:val="25"/>
          <w14:ligatures w14:val="standardContextual"/>
        </w:rPr>
        <w:t>10.14.3 Tutela de evidência</w:t>
      </w:r>
    </w:p>
    <w:p w14:paraId="61642E89"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5B5A3893" w14:textId="30D49EC3" w:rsidR="005A5FCC" w:rsidRDefault="00A21C81">
      <w:r>
        <w:rPr>
          <w:rFonts w:cs="EB Garamond"/>
          <w:kern w:val="16"/>
          <w14:ligatures w14:val="standardContextual"/>
        </w:rPr>
        <w:t xml:space="preserve"> tutela de evidência (art. 311, CPC) pode ser requerida quando o direito do segurado é líquido e certo, independentemente de demonstração de urgência. No contexto da aposentadoria por idade, a tutela de evid</w:t>
      </w:r>
      <w:r w:rsidR="00393814">
        <w:rPr>
          <w:rFonts w:cs="EB Garamond"/>
          <w:kern w:val="16"/>
          <w14:ligatures w14:val="standardContextual"/>
        </w:rPr>
        <w:t>ê</w:t>
      </w:r>
      <w:r>
        <w:rPr>
          <w:rFonts w:cs="EB Garamond"/>
          <w:kern w:val="16"/>
          <w14:ligatures w14:val="standardContextual"/>
        </w:rPr>
        <w:t xml:space="preserve">ncia </w:t>
      </w:r>
      <w:r w:rsidR="00393814">
        <w:rPr>
          <w:rFonts w:cs="EB Garamond"/>
          <w:kern w:val="16"/>
          <w14:ligatures w14:val="standardContextual"/>
        </w:rPr>
        <w:t>é</w:t>
      </w:r>
      <w:r>
        <w:rPr>
          <w:rFonts w:cs="EB Garamond"/>
          <w:kern w:val="16"/>
          <w14:ligatures w14:val="standardContextual"/>
        </w:rPr>
        <w:t xml:space="preserve"> </w:t>
      </w:r>
      <w:r w:rsidR="00393814">
        <w:rPr>
          <w:rFonts w:cs="EB Garamond"/>
          <w:kern w:val="16"/>
          <w14:ligatures w14:val="standardContextual"/>
        </w:rPr>
        <w:t>cabível</w:t>
      </w:r>
      <w:r>
        <w:rPr>
          <w:rFonts w:cs="EB Garamond"/>
          <w:kern w:val="16"/>
          <w14:ligatures w14:val="standardContextual"/>
        </w:rPr>
        <w:t xml:space="preserve"> quando o INSS indeferiu o </w:t>
      </w:r>
      <w:r w:rsidR="00393814">
        <w:rPr>
          <w:rFonts w:cs="EB Garamond"/>
          <w:kern w:val="16"/>
          <w14:ligatures w14:val="standardContextual"/>
        </w:rPr>
        <w:t>benefício</w:t>
      </w:r>
      <w:r>
        <w:rPr>
          <w:rFonts w:cs="EB Garamond"/>
          <w:kern w:val="16"/>
          <w14:ligatures w14:val="standardContextual"/>
        </w:rPr>
        <w:t xml:space="preserve"> em contrariedade a entendimento consolidado (por exemplo, recusando a contagem de tempo de </w:t>
      </w:r>
      <w:r w:rsidR="00393814">
        <w:rPr>
          <w:rFonts w:cs="EB Garamond"/>
          <w:kern w:val="16"/>
          <w14:ligatures w14:val="standardContextual"/>
        </w:rPr>
        <w:t>contribuição</w:t>
      </w:r>
      <w:r>
        <w:rPr>
          <w:rFonts w:cs="EB Garamond"/>
          <w:kern w:val="16"/>
          <w14:ligatures w14:val="standardContextual"/>
        </w:rPr>
        <w:t xml:space="preserve"> que o CNIS comprova de forma </w:t>
      </w:r>
      <w:r w:rsidR="00393814">
        <w:rPr>
          <w:rFonts w:cs="EB Garamond"/>
          <w:kern w:val="16"/>
          <w14:ligatures w14:val="standardContextual"/>
        </w:rPr>
        <w:t>inequívoca</w:t>
      </w:r>
      <w:r>
        <w:rPr>
          <w:rFonts w:cs="EB Garamond"/>
          <w:kern w:val="16"/>
          <w14:ligatures w14:val="standardContextual"/>
        </w:rPr>
        <w:t>).</w:t>
      </w:r>
    </w:p>
    <w:p w14:paraId="2F395471" w14:textId="48837620" w:rsidR="005A5FCC" w:rsidRDefault="00A21C81">
      <w:pPr>
        <w:ind w:firstLine="238"/>
      </w:pPr>
      <w:r>
        <w:rPr>
          <w:rFonts w:cs="EB Garamond"/>
          <w:kern w:val="16"/>
          <w14:ligatures w14:val="standardContextual"/>
        </w:rPr>
        <w:t xml:space="preserve">A tutela de </w:t>
      </w:r>
      <w:r w:rsidR="00393814">
        <w:rPr>
          <w:rFonts w:cs="EB Garamond"/>
          <w:kern w:val="16"/>
          <w14:ligatures w14:val="standardContextual"/>
        </w:rPr>
        <w:t>evidência</w:t>
      </w:r>
      <w:r>
        <w:rPr>
          <w:rFonts w:cs="EB Garamond"/>
          <w:kern w:val="16"/>
          <w14:ligatures w14:val="standardContextual"/>
        </w:rPr>
        <w:t xml:space="preserve"> e menos frequente do que a de </w:t>
      </w:r>
      <w:r w:rsidR="00393814">
        <w:rPr>
          <w:rFonts w:cs="EB Garamond"/>
          <w:kern w:val="16"/>
          <w14:ligatures w14:val="standardContextual"/>
        </w:rPr>
        <w:t>urgência</w:t>
      </w:r>
      <w:r>
        <w:rPr>
          <w:rFonts w:cs="EB Garamond"/>
          <w:kern w:val="16"/>
          <w14:ligatures w14:val="standardContextual"/>
        </w:rPr>
        <w:t xml:space="preserve"> nos JEFs, mas e ferramenta relevante para casos de indeferimento administrativo infundado. O art. 311, II, do CPC prevê a concessão de tutela de evidência quando as alegações de fato puderem ser comprovadas apenas documentalmente e houver tese firmada em julgamento de casos repetitivos ou em súmula vinculante. Essa hipótese é particularmente aplicável quando o segurado tem CNIS e CTPS que demonstram, sem margem de </w:t>
      </w:r>
      <w:r w:rsidR="00393814">
        <w:rPr>
          <w:rFonts w:cs="EB Garamond"/>
          <w:kern w:val="16"/>
          <w14:ligatures w14:val="standardContextual"/>
        </w:rPr>
        <w:t>dúvida</w:t>
      </w:r>
      <w:r>
        <w:rPr>
          <w:rFonts w:cs="EB Garamond"/>
          <w:kern w:val="16"/>
          <w14:ligatures w14:val="standardContextual"/>
        </w:rPr>
        <w:t xml:space="preserve">, o preenchimento dos requisitos da aposentadoria </w:t>
      </w:r>
      <w:r>
        <w:rPr>
          <w:rFonts w:cs="EB Garamond"/>
          <w:kern w:val="16"/>
          <w14:ligatures w14:val="standardContextual"/>
        </w:rPr>
        <w:lastRenderedPageBreak/>
        <w:t>por idade, e o indeferimento administrativo se baseou em interpretação jurídica superada por tese vinculante do STJ ou da TNU.</w:t>
      </w:r>
    </w:p>
    <w:p w14:paraId="45694240" w14:textId="77777777" w:rsidR="005A5FCC" w:rsidRDefault="00A21C81">
      <w:pPr>
        <w:ind w:firstLine="238"/>
      </w:pPr>
      <w:r>
        <w:rPr>
          <w:rFonts w:cs="EB Garamond"/>
          <w:kern w:val="16"/>
          <w14:ligatures w14:val="standardContextual"/>
        </w:rPr>
        <w:t>Outra hipótese relevante de tutela de evidência é a prevista no art. 311, IV, do CPC: quando a petição inicial é instruída com prova documental suficiente dos fatos constitutivos do direito do autor, a que o réu não oponha prova capaz de gerar dúvida razoável. Na aposentadoria por idade, essa situação ocorre quando o INSS contesta a ação sem impugnar especificamente os documentos apresentados — limitando-se a alegar genericamente que o segurado não preenche os requisitos, sem demonstrar qual documento é insuficiente ou qual período é controverso.</w:t>
      </w:r>
    </w:p>
    <w:p w14:paraId="721F6ADD" w14:textId="77777777" w:rsidR="005A5FCC" w:rsidRDefault="00A21C81">
      <w:pPr>
        <w:ind w:firstLine="238"/>
      </w:pPr>
      <w:r>
        <w:rPr>
          <w:rFonts w:cs="EB Garamond"/>
          <w:kern w:val="16"/>
          <w14:ligatures w14:val="standardContextual"/>
        </w:rPr>
        <w:t>A vantagem prática da tutela de evidência sobre a tutela de urgência é que aquela dispensa a demonstração do periculum in mora. Para segurados que, embora idosos, não se encontram em situação de vulnerabilidade extrema (por exemplo, porque contam com outra fonte de renda, como pensão por morte de cônjuge), a tutela de evidência pode ser o caminho mais adequado para obter a implantação imediata do benefício.</w:t>
      </w:r>
    </w:p>
    <w:p w14:paraId="3A53836A"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10.15 Aspectos processuais nos juizados especiais federais</w:t>
      </w:r>
    </w:p>
    <w:p w14:paraId="30E55F56" w14:textId="77777777" w:rsidR="005A5FCC" w:rsidRDefault="00A21C81">
      <w:pPr>
        <w:spacing w:before="260" w:after="80" w:line="240" w:lineRule="auto"/>
        <w:jc w:val="left"/>
      </w:pPr>
      <w:r>
        <w:rPr>
          <w:rFonts w:cs="EB Garamond"/>
          <w:b/>
          <w:color w:val="3A3128"/>
          <w:kern w:val="16"/>
          <w:sz w:val="25"/>
          <w14:ligatures w14:val="standardContextual"/>
        </w:rPr>
        <w:t>10.15.1 Competência</w:t>
      </w:r>
    </w:p>
    <w:p w14:paraId="6A873A4F"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60D4E142" w14:textId="140B188C" w:rsidR="005A5FCC" w:rsidRDefault="00A21C81">
      <w:r>
        <w:rPr>
          <w:rFonts w:cs="EB Garamond"/>
          <w:kern w:val="16"/>
          <w14:ligatures w14:val="standardContextual"/>
        </w:rPr>
        <w:t xml:space="preserve"> competência para processar e julgar ações de aposentadoria por idade contra o INSS é dos Juizados Especiais Federais quando o valor da causa não ultrapassa 60 </w:t>
      </w:r>
      <w:r w:rsidR="00393814">
        <w:rPr>
          <w:rFonts w:cs="EB Garamond"/>
          <w:kern w:val="16"/>
          <w14:ligatures w14:val="standardContextual"/>
        </w:rPr>
        <w:t>salários-mínimos</w:t>
      </w:r>
      <w:r>
        <w:rPr>
          <w:rFonts w:cs="EB Garamond"/>
          <w:kern w:val="16"/>
          <w14:ligatures w14:val="standardContextual"/>
        </w:rPr>
        <w:t xml:space="preserve"> (R$ 97.260,00 em 2026), nos termos do art. 3º da Lei 10.259/2001. O valor da causa é apurado pela soma das prestações vencidas acrescidas de 12 prestações vincendas (art. 260, CPC).</w:t>
      </w:r>
    </w:p>
    <w:p w14:paraId="61D284C8" w14:textId="52215001" w:rsidR="005A5FCC" w:rsidRDefault="00A21C81">
      <w:pPr>
        <w:ind w:firstLine="238"/>
      </w:pPr>
      <w:r>
        <w:rPr>
          <w:rFonts w:cs="EB Garamond"/>
          <w:kern w:val="16"/>
          <w14:ligatures w14:val="standardContextual"/>
        </w:rPr>
        <w:t xml:space="preserve">Na maioria das ações de concessão de aposentadoria por idade, o valor da causa situa-se dentro da competência dos JEFs, pois o período de prestações vencidas raramente ultrapassa alguns anos e o valor do benefício geralmente é próximo ao </w:t>
      </w:r>
      <w:r w:rsidR="00393814">
        <w:rPr>
          <w:rFonts w:cs="EB Garamond"/>
          <w:kern w:val="16"/>
          <w14:ligatures w14:val="standardContextual"/>
        </w:rPr>
        <w:lastRenderedPageBreak/>
        <w:t>salário-mínimo</w:t>
      </w:r>
      <w:r>
        <w:rPr>
          <w:rFonts w:cs="EB Garamond"/>
          <w:kern w:val="16"/>
          <w14:ligatures w14:val="standardContextual"/>
        </w:rPr>
        <w:t>. Entretanto, em ações de revisão do valor do benefício ou em casos de longo período entre o indeferimento e o ajuizamento, o valor pode exceder o teto dos JEFs, deslocando a competência para as Varas Federais comuns.</w:t>
      </w:r>
    </w:p>
    <w:p w14:paraId="643CC465" w14:textId="77777777" w:rsidR="005A5FCC" w:rsidRDefault="00A21C81">
      <w:pPr>
        <w:ind w:firstLine="238"/>
      </w:pPr>
      <w:r>
        <w:rPr>
          <w:rFonts w:cs="EB Garamond"/>
          <w:kern w:val="16"/>
          <w14:ligatures w14:val="standardContextual"/>
        </w:rPr>
        <w:t>A competência territorial, nos termos do art. 4º da Lei 10.259/2001, combinado com o art. 109, § 3º, da CF/88, é determinada pelo domicílio do segurado. Quando a localidade não é sede de Vara Federal ou de JEF, a competência é delegada à Justiça Estadual, que aplica a legislação federal. Essa regra é especialmente relevante para segurados que residem em municípios do interior, distantes das sedes dos JEFs, e que podem ajuizar a ação perante a Justiça Estadual com competência delegada.</w:t>
      </w:r>
    </w:p>
    <w:p w14:paraId="0A474B6F" w14:textId="234CF250" w:rsidR="005A5FCC" w:rsidRDefault="00A21C81">
      <w:pPr>
        <w:ind w:firstLine="238"/>
      </w:pPr>
      <w:r>
        <w:rPr>
          <w:rFonts w:cs="EB Garamond"/>
          <w:kern w:val="16"/>
          <w14:ligatures w14:val="standardContextual"/>
        </w:rPr>
        <w:t xml:space="preserve">Destaca-se a questão da renúncia ao valor excedente. O segurado que tem direito a valor superior a 60 </w:t>
      </w:r>
      <w:r w:rsidR="00393814">
        <w:rPr>
          <w:rFonts w:cs="EB Garamond"/>
          <w:kern w:val="16"/>
          <w14:ligatures w14:val="standardContextual"/>
        </w:rPr>
        <w:t>salários-mínimos</w:t>
      </w:r>
      <w:r>
        <w:rPr>
          <w:rFonts w:cs="EB Garamond"/>
          <w:kern w:val="16"/>
          <w14:ligatures w14:val="standardContextual"/>
        </w:rPr>
        <w:t xml:space="preserve"> pode optar por ajuizar a ação perante os JEFs, renunciando ao montante que exceder o teto (art. 3º, § 3º, Lei 10.259/2001). Essa opção pode ser vantajosa em razão da celeridade do procedimento sumaríssimo, da dispensa de custas e honorários advocatícios sucumbenciais em primeira instância, e da maior informalidade na instrução processual. O advogado deve orientar o cliente sobre as vantagens e desvantagens de cada foro, considerando o valor envolvido, a complexidade da prova e a expectativa de duração do processo.</w:t>
      </w:r>
    </w:p>
    <w:p w14:paraId="6C2594A6" w14:textId="77777777" w:rsidR="005A5FCC" w:rsidRDefault="00A21C81">
      <w:pPr>
        <w:ind w:firstLine="238"/>
      </w:pPr>
      <w:r>
        <w:rPr>
          <w:rFonts w:cs="EB Garamond"/>
          <w:kern w:val="16"/>
          <w14:ligatures w14:val="standardContextual"/>
        </w:rPr>
        <w:t>Outra questão processual relevante é a competência para ações que envolvem simultaneamente pedido de aposentadoria por idade e pedido de reconhecimento de tempo de contribuição ou revisão de dados do CNIS. Nesses casos, a competência é do JEF quando o valor total da pretensão (soma das parcelas vencidas relativas a todos os pedidos) não ultrapassa o teto. A cumulação de pedidos é admitida e, na prática, é extremamente comum: o segurado pede o reconhecimento de vínculos não registrados no CNIS e, como consequência, a concessão da aposentadoria por idade.</w:t>
      </w:r>
    </w:p>
    <w:p w14:paraId="78C48E66" w14:textId="77777777" w:rsidR="005A5FCC" w:rsidRDefault="00A21C81">
      <w:pPr>
        <w:spacing w:before="260" w:after="80" w:line="240" w:lineRule="auto"/>
        <w:jc w:val="left"/>
      </w:pPr>
      <w:r>
        <w:rPr>
          <w:rFonts w:cs="EB Garamond"/>
          <w:b/>
          <w:color w:val="3A3128"/>
          <w:kern w:val="16"/>
          <w:sz w:val="25"/>
          <w14:ligatures w14:val="standardContextual"/>
        </w:rPr>
        <w:t>10.15.2 Documentação essencial</w:t>
      </w:r>
    </w:p>
    <w:p w14:paraId="2797E70D"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0987AB47" w14:textId="77777777" w:rsidR="005A5FCC" w:rsidRDefault="00A21C81">
      <w:r>
        <w:rPr>
          <w:rFonts w:cs="EB Garamond"/>
          <w:kern w:val="16"/>
          <w14:ligatures w14:val="standardContextual"/>
        </w:rPr>
        <w:t xml:space="preserve"> advogado que atua nos JEFs em matéria previdenciária deve instruir a petição inicial com a seguinte documentação mínima:</w:t>
      </w:r>
    </w:p>
    <w:p w14:paraId="34C27632" w14:textId="77777777" w:rsidR="005A5FCC" w:rsidRDefault="00A21C81">
      <w:pPr>
        <w:spacing w:after="40" w:line="252" w:lineRule="auto"/>
        <w:ind w:left="340" w:hanging="198"/>
      </w:pPr>
      <w:r>
        <w:rPr>
          <w:rFonts w:cs="EB Garamond"/>
          <w:color w:val="3A3128"/>
          <w:kern w:val="16"/>
          <w:sz w:val="20"/>
          <w14:ligatures w14:val="standardContextual"/>
        </w:rPr>
        <w:t xml:space="preserve">1. </w:t>
      </w:r>
      <w:r>
        <w:rPr>
          <w:rFonts w:cs="EB Garamond"/>
          <w:b/>
          <w:kern w:val="16"/>
          <w:sz w:val="20"/>
          <w14:ligatures w14:val="standardContextual"/>
        </w:rPr>
        <w:t>Documentos pessoais:</w:t>
      </w:r>
      <w:r>
        <w:rPr>
          <w:rFonts w:cs="EB Garamond"/>
          <w:kern w:val="16"/>
          <w:sz w:val="20"/>
          <w14:ligatures w14:val="standardContextual"/>
        </w:rPr>
        <w:t xml:space="preserve"> RG, CPF, comprovante de residência;</w:t>
      </w:r>
    </w:p>
    <w:p w14:paraId="233D26DF" w14:textId="77777777" w:rsidR="005A5FCC" w:rsidRDefault="00A21C81">
      <w:pPr>
        <w:spacing w:after="40" w:line="252" w:lineRule="auto"/>
        <w:ind w:left="340" w:hanging="198"/>
      </w:pPr>
      <w:r>
        <w:rPr>
          <w:rFonts w:cs="EB Garamond"/>
          <w:color w:val="3A3128"/>
          <w:kern w:val="16"/>
          <w:sz w:val="20"/>
          <w14:ligatures w14:val="standardContextual"/>
        </w:rPr>
        <w:lastRenderedPageBreak/>
        <w:t xml:space="preserve">2. </w:t>
      </w:r>
      <w:r>
        <w:rPr>
          <w:rFonts w:cs="EB Garamond"/>
          <w:b/>
          <w:kern w:val="16"/>
          <w:sz w:val="20"/>
          <w14:ligatures w14:val="standardContextual"/>
        </w:rPr>
        <w:t>CNIS atualizado:</w:t>
      </w:r>
      <w:r>
        <w:rPr>
          <w:rFonts w:cs="EB Garamond"/>
          <w:kern w:val="16"/>
          <w:sz w:val="20"/>
          <w14:ligatures w14:val="standardContextual"/>
        </w:rPr>
        <w:t xml:space="preserve"> Extrato do Cadastro Nacional de Informações Sociais (obtido via Meu INSS ou requisitado judicialmente);</w:t>
      </w:r>
    </w:p>
    <w:p w14:paraId="7C08F028" w14:textId="77777777" w:rsidR="005A5FCC" w:rsidRDefault="00A21C81">
      <w:pPr>
        <w:spacing w:after="40" w:line="252" w:lineRule="auto"/>
        <w:ind w:left="340" w:hanging="198"/>
      </w:pPr>
      <w:r>
        <w:rPr>
          <w:rFonts w:cs="EB Garamond"/>
          <w:color w:val="3A3128"/>
          <w:kern w:val="16"/>
          <w:sz w:val="20"/>
          <w14:ligatures w14:val="standardContextual"/>
        </w:rPr>
        <w:t xml:space="preserve">3. </w:t>
      </w:r>
      <w:r>
        <w:rPr>
          <w:rFonts w:cs="EB Garamond"/>
          <w:b/>
          <w:kern w:val="16"/>
          <w:sz w:val="20"/>
          <w14:ligatures w14:val="standardContextual"/>
        </w:rPr>
        <w:t>CTPS:</w:t>
      </w:r>
      <w:r>
        <w:rPr>
          <w:rFonts w:cs="EB Garamond"/>
          <w:kern w:val="16"/>
          <w:sz w:val="20"/>
          <w14:ligatures w14:val="standardContextual"/>
        </w:rPr>
        <w:t xml:space="preserve"> Todas as carteiras de trabalho, com cópias de todas as páginas com anotações (inclusive contratos encerrados);</w:t>
      </w:r>
    </w:p>
    <w:p w14:paraId="7DF222BE" w14:textId="77777777" w:rsidR="005A5FCC" w:rsidRDefault="00A21C81">
      <w:pPr>
        <w:spacing w:after="40" w:line="252" w:lineRule="auto"/>
        <w:ind w:left="340" w:hanging="198"/>
      </w:pPr>
      <w:r>
        <w:rPr>
          <w:rFonts w:cs="EB Garamond"/>
          <w:color w:val="3A3128"/>
          <w:kern w:val="16"/>
          <w:sz w:val="20"/>
          <w14:ligatures w14:val="standardContextual"/>
        </w:rPr>
        <w:t xml:space="preserve">4. </w:t>
      </w:r>
      <w:r>
        <w:rPr>
          <w:rFonts w:cs="EB Garamond"/>
          <w:b/>
          <w:kern w:val="16"/>
          <w:sz w:val="20"/>
          <w14:ligatures w14:val="standardContextual"/>
        </w:rPr>
        <w:t>Carta de indeferimento do INSS:</w:t>
      </w:r>
      <w:r>
        <w:rPr>
          <w:rFonts w:cs="EB Garamond"/>
          <w:kern w:val="16"/>
          <w:sz w:val="20"/>
          <w14:ligatures w14:val="standardContextual"/>
        </w:rPr>
        <w:t xml:space="preserve"> Comunicação de decisão administrativa com os motivos do indeferimento;</w:t>
      </w:r>
    </w:p>
    <w:p w14:paraId="4D2BC8BC" w14:textId="77777777" w:rsidR="005A5FCC" w:rsidRDefault="00A21C81">
      <w:pPr>
        <w:spacing w:after="40" w:line="252" w:lineRule="auto"/>
        <w:ind w:left="340" w:hanging="198"/>
      </w:pPr>
      <w:r>
        <w:rPr>
          <w:rFonts w:cs="EB Garamond"/>
          <w:color w:val="3A3128"/>
          <w:kern w:val="16"/>
          <w:sz w:val="20"/>
          <w14:ligatures w14:val="standardContextual"/>
        </w:rPr>
        <w:t xml:space="preserve">5. </w:t>
      </w:r>
      <w:r>
        <w:rPr>
          <w:rFonts w:cs="EB Garamond"/>
          <w:b/>
          <w:kern w:val="16"/>
          <w:sz w:val="20"/>
          <w14:ligatures w14:val="standardContextual"/>
        </w:rPr>
        <w:t>Documentos comprobatórios adicionais:</w:t>
      </w:r>
      <w:r>
        <w:rPr>
          <w:rFonts w:cs="EB Garamond"/>
          <w:kern w:val="16"/>
          <w:sz w:val="20"/>
          <w14:ligatures w14:val="standardContextual"/>
        </w:rPr>
        <w:t xml:space="preserve"> Contracheques, carnês de contribuição (GPS), declarações de empregadores, certidões de tempo de contribuição, laudos médicos (se houver período de benefício por incapacidade a ser computado);</w:t>
      </w:r>
    </w:p>
    <w:p w14:paraId="23C0BBED" w14:textId="77777777" w:rsidR="005A5FCC" w:rsidRDefault="00A21C81">
      <w:pPr>
        <w:spacing w:after="40" w:line="252" w:lineRule="auto"/>
        <w:ind w:left="340" w:hanging="198"/>
      </w:pPr>
      <w:r>
        <w:rPr>
          <w:rFonts w:cs="EB Garamond"/>
          <w:color w:val="3A3128"/>
          <w:kern w:val="16"/>
          <w:sz w:val="20"/>
          <w14:ligatures w14:val="standardContextual"/>
        </w:rPr>
        <w:t xml:space="preserve">6. </w:t>
      </w:r>
      <w:r>
        <w:rPr>
          <w:rFonts w:cs="EB Garamond"/>
          <w:b/>
          <w:kern w:val="16"/>
          <w:sz w:val="20"/>
          <w14:ligatures w14:val="standardContextual"/>
        </w:rPr>
        <w:t>Simulação de cálculo:</w:t>
      </w:r>
      <w:r>
        <w:rPr>
          <w:rFonts w:cs="EB Garamond"/>
          <w:kern w:val="16"/>
          <w:sz w:val="20"/>
          <w14:ligatures w14:val="standardContextual"/>
        </w:rPr>
        <w:t xml:space="preserve"> Demonstrativo do cálculo do benefício por cada regra aplicável, com indicação da mais vantajosa.</w:t>
      </w:r>
    </w:p>
    <w:p w14:paraId="33F62E97" w14:textId="77777777" w:rsidR="005A5FCC" w:rsidRDefault="005A5FCC">
      <w:pPr>
        <w:spacing w:after="60" w:line="240" w:lineRule="auto"/>
      </w:pPr>
    </w:p>
    <w:tbl>
      <w:tblPr>
        <w:tblW w:w="5000" w:type="pct"/>
        <w:jc w:val="center"/>
        <w:tblLayout w:type="fixed"/>
        <w:tblLook w:val="04A0" w:firstRow="1" w:lastRow="0" w:firstColumn="1" w:lastColumn="0" w:noHBand="0" w:noVBand="1"/>
      </w:tblPr>
      <w:tblGrid>
        <w:gridCol w:w="6311"/>
      </w:tblGrid>
      <w:tr w:rsidR="005A5FCC" w14:paraId="31541B3E"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0666393D"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1AAE9F98" w14:textId="77777777" w:rsidR="005A5FCC" w:rsidRDefault="00A21C81">
            <w:pPr>
              <w:spacing w:after="60" w:line="247" w:lineRule="auto"/>
            </w:pPr>
            <w:r>
              <w:rPr>
                <w:rFonts w:cs="EB Garamond"/>
                <w:b/>
                <w:kern w:val="16"/>
                <w:sz w:val="19"/>
                <w14:ligatures w14:val="standardContextual"/>
              </w:rPr>
              <w:t>Requerimento administrativo prévio — é obrigatório?</w:t>
            </w:r>
          </w:p>
          <w:p w14:paraId="382D5A2B" w14:textId="77777777" w:rsidR="005A5FCC" w:rsidRDefault="00A21C81">
            <w:pPr>
              <w:spacing w:after="60" w:line="247" w:lineRule="auto"/>
            </w:pPr>
            <w:r>
              <w:rPr>
                <w:rFonts w:cs="EB Garamond"/>
                <w:kern w:val="16"/>
                <w:sz w:val="19"/>
                <w14:ligatures w14:val="standardContextual"/>
              </w:rPr>
              <w:t>A jurisprudência do STF (Tema 350 — RE 631.240) firmou que, em regra, é necessário o prévio requerimento administrativo antes do ajuizamento de ação previdenciária. Contudo, a exigência é dispensada quando:</w:t>
            </w:r>
          </w:p>
          <w:p w14:paraId="3EE8F631" w14:textId="77777777" w:rsidR="005A5FCC" w:rsidRDefault="00A21C81">
            <w:pPr>
              <w:spacing w:after="30" w:line="240" w:lineRule="auto"/>
              <w:ind w:left="227" w:hanging="142"/>
            </w:pPr>
            <w:r>
              <w:rPr>
                <w:rFonts w:cs="EB Garamond"/>
                <w:kern w:val="16"/>
                <w:sz w:val="19"/>
                <w14:ligatures w14:val="standardContextual"/>
              </w:rPr>
              <w:t>1. O INSS tiver posição institucional notoriamente contrária ao pedido (resistência presumida);</w:t>
            </w:r>
          </w:p>
          <w:p w14:paraId="0A399616" w14:textId="77777777" w:rsidR="005A5FCC" w:rsidRDefault="00A21C81">
            <w:pPr>
              <w:spacing w:after="30" w:line="240" w:lineRule="auto"/>
              <w:ind w:left="227" w:hanging="142"/>
            </w:pPr>
            <w:r>
              <w:rPr>
                <w:rFonts w:cs="EB Garamond"/>
                <w:kern w:val="16"/>
                <w:sz w:val="19"/>
                <w14:ligatures w14:val="standardContextual"/>
              </w:rPr>
              <w:t>2. O segurado demonstrar que o INSS recusou o protocolo do requerimento;</w:t>
            </w:r>
          </w:p>
          <w:p w14:paraId="5E3F8D20" w14:textId="77777777" w:rsidR="005A5FCC" w:rsidRDefault="00A21C81">
            <w:pPr>
              <w:spacing w:after="30" w:line="240" w:lineRule="auto"/>
              <w:ind w:left="227" w:hanging="142"/>
            </w:pPr>
            <w:r>
              <w:rPr>
                <w:rFonts w:cs="EB Garamond"/>
                <w:kern w:val="16"/>
                <w:sz w:val="19"/>
                <w14:ligatures w14:val="standardContextual"/>
              </w:rPr>
              <w:t>3. A demora administrativa for irrazoável (mais de 45 dias sem resposta, nos termos da Lei 9.784/99).</w:t>
            </w:r>
          </w:p>
          <w:p w14:paraId="4715FB3D" w14:textId="77777777" w:rsidR="005A5FCC" w:rsidRDefault="00A21C81">
            <w:pPr>
              <w:spacing w:after="60" w:line="247" w:lineRule="auto"/>
            </w:pPr>
            <w:r>
              <w:rPr>
                <w:rFonts w:cs="EB Garamond"/>
                <w:kern w:val="16"/>
                <w:sz w:val="19"/>
                <w14:ligatures w14:val="standardContextual"/>
              </w:rPr>
              <w:t>Na aposentadoria por idade, o requerimento administrativo prévio é quase sempre exigido, porque o benefício depende de análise documental que o INSS deve ter a oportunidade de realizar. A exceção mais comum é o caso em que o INSS já indeferiu benefício idêntico anteriormente e mantém a posição contrária.</w:t>
            </w:r>
          </w:p>
        </w:tc>
      </w:tr>
    </w:tbl>
    <w:p w14:paraId="02A5E953" w14:textId="77777777" w:rsidR="005A5FCC" w:rsidRDefault="005A5FCC">
      <w:pPr>
        <w:spacing w:after="80" w:line="240" w:lineRule="auto"/>
      </w:pPr>
    </w:p>
    <w:p w14:paraId="31F4D9CA" w14:textId="77777777" w:rsidR="005A5FCC" w:rsidRDefault="00A21C81">
      <w:pPr>
        <w:spacing w:before="260" w:after="80" w:line="240" w:lineRule="auto"/>
        <w:jc w:val="left"/>
      </w:pPr>
      <w:r>
        <w:rPr>
          <w:rFonts w:cs="EB Garamond"/>
          <w:b/>
          <w:color w:val="3A3128"/>
          <w:kern w:val="16"/>
          <w:sz w:val="25"/>
          <w14:ligatures w14:val="standardContextual"/>
        </w:rPr>
        <w:t>10.15.3 Audiência e instrução</w:t>
      </w:r>
    </w:p>
    <w:p w14:paraId="1953DC8D"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N</w:t>
      </w:r>
    </w:p>
    <w:p w14:paraId="4140C040" w14:textId="77777777" w:rsidR="005A5FCC" w:rsidRDefault="00A21C81">
      <w:r>
        <w:rPr>
          <w:rFonts w:cs="EB Garamond"/>
          <w:kern w:val="16"/>
          <w14:ligatures w14:val="standardContextual"/>
        </w:rPr>
        <w:t xml:space="preserve">as ações de aposentadoria por idade nos JEFs, a instrução processual é predominantemente documental. A maior parte dos casos pode ser resolvida </w:t>
      </w:r>
      <w:r>
        <w:rPr>
          <w:rFonts w:cs="EB Garamond"/>
          <w:kern w:val="16"/>
          <w14:ligatures w14:val="standardContextual"/>
        </w:rPr>
        <w:lastRenderedPageBreak/>
        <w:t>sem audiência, com base no CNIS, na CTPS e nos documentos que acompanham a petição inicial. O juiz, ao receber a contestação do INSS e verificar que a controvérsia é exclusivamente jurídica (por exemplo, divergência sobre a interpretação da norma aplicável ao caso) ou que a prova documental é suficiente para decidir, pode proferir sentença de plano, sem designar audiência.</w:t>
      </w:r>
    </w:p>
    <w:p w14:paraId="6C1C2579" w14:textId="77777777" w:rsidR="005A5FCC" w:rsidRDefault="00A21C81">
      <w:pPr>
        <w:ind w:firstLine="238"/>
      </w:pPr>
      <w:r>
        <w:rPr>
          <w:rFonts w:cs="EB Garamond"/>
          <w:kern w:val="16"/>
          <w14:ligatures w14:val="standardContextual"/>
        </w:rPr>
        <w:t>A designação de audiência é necessária quando há controvérsia sobre fatos que dependem de prova oral, como:</w:t>
      </w:r>
    </w:p>
    <w:p w14:paraId="0ED68513"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Reconhecimento de vínculo empregatício não registrado no CNIS e não constante da CTPS;</w:t>
      </w:r>
    </w:p>
    <w:p w14:paraId="56BBF5F4"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Comprovação de atividade como contribuinte individual sem carnê de contribuição;</w:t>
      </w:r>
    </w:p>
    <w:p w14:paraId="03D7797F"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Ratificação de informações constantes de declarações de ex-empregadores;</w:t>
      </w:r>
    </w:p>
    <w:p w14:paraId="7C5CA72B"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Verificação da data de início ou término de vínculo quando há divergência entre CNIS e CTPS;</w:t>
      </w:r>
    </w:p>
    <w:p w14:paraId="09861901"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Comprovação de que o segurado manteve a qualidade de segurado durante período sem contribuição.</w:t>
      </w:r>
    </w:p>
    <w:p w14:paraId="787A02EB" w14:textId="77777777" w:rsidR="005A5FCC" w:rsidRDefault="005A5FCC">
      <w:pPr>
        <w:spacing w:after="60" w:line="240" w:lineRule="auto"/>
      </w:pPr>
    </w:p>
    <w:p w14:paraId="7BCEDD1D"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4A05A988" w14:textId="77777777" w:rsidR="005A5FCC" w:rsidRDefault="00A21C81">
      <w:r>
        <w:rPr>
          <w:rFonts w:cs="EB Garamond"/>
          <w:kern w:val="16"/>
          <w14:ligatures w14:val="standardContextual"/>
        </w:rPr>
        <w:t xml:space="preserve"> prova testemunhal, nos JEFs, é colhida em audiência de instrução e julgamento (audiência una), conforme o procedimento sumaríssimo da Lei 10.259/2001. A oitiva de testemunhas é limitada a três por fato controvertido, e o depoimento pode ser tomado informalmente, sem compromisso formal de dizer a verdade (art. 36, Lei 9.099/95, c/c art. 1º, Lei 10.259/2001). Essa informalidade, contudo, não afasta as consequências penais do falso testemunho (art. 342, CP).</w:t>
      </w:r>
    </w:p>
    <w:p w14:paraId="564593F5" w14:textId="77777777" w:rsidR="005A5FCC" w:rsidRDefault="00A21C81">
      <w:pPr>
        <w:ind w:firstLine="238"/>
      </w:pPr>
      <w:r>
        <w:rPr>
          <w:rFonts w:cs="EB Garamond"/>
          <w:kern w:val="16"/>
          <w14:ligatures w14:val="standardContextual"/>
        </w:rPr>
        <w:t>Para a comprovação de tempo de contribuição urbano, a prova testemunhal tem valor complementar — ela não pode ser a prova exclusiva do vínculo (aplicação analógica da Súmula 149/STJ). A testemunha pode confirmar a existência de um vínculo empregatício não registrado, mas é necessário um início de prova material (CTPS, recibos, declarações, fichas de registro de empregados, etc.). Essa exigência de início de prova material é mais rigorosa no caso de vínculos urbanos do que no caso de atividade rural, porque a expectativa é de que o emprego urbano formal deixe rastros documentais.</w:t>
      </w:r>
    </w:p>
    <w:p w14:paraId="4649F7C5" w14:textId="77777777" w:rsidR="005A5FCC" w:rsidRDefault="00A21C81">
      <w:pPr>
        <w:ind w:firstLine="238"/>
      </w:pPr>
      <w:r>
        <w:rPr>
          <w:rFonts w:cs="EB Garamond"/>
          <w:kern w:val="16"/>
          <w14:ligatures w14:val="standardContextual"/>
        </w:rPr>
        <w:lastRenderedPageBreak/>
        <w:t>As audiências nos JEFs previdenciários apresentam peculiaridades que o advogado deve conhecer:</w:t>
      </w:r>
    </w:p>
    <w:p w14:paraId="1EB30B46" w14:textId="77777777" w:rsidR="005A5FCC" w:rsidRDefault="00A21C81">
      <w:pPr>
        <w:ind w:firstLine="238"/>
      </w:pPr>
      <w:r>
        <w:rPr>
          <w:rFonts w:cs="EB Garamond"/>
          <w:b/>
          <w:kern w:val="16"/>
          <w14:ligatures w14:val="standardContextual"/>
        </w:rPr>
        <w:t>a) Audiência de conciliação:</w:t>
      </w:r>
      <w:r>
        <w:rPr>
          <w:rFonts w:cs="EB Garamond"/>
          <w:kern w:val="16"/>
          <w14:ligatures w14:val="standardContextual"/>
        </w:rPr>
        <w:t xml:space="preserve"> O art. 10 da Lei 10.259/2001 prevê a tentativa de conciliação em audiência. Nas ações previdenciárias, a conciliação com o INSS segue parâmetros institucionais estabelecidos pela Procuradoria Federal Especializada junto ao INSS, que autoriza a celebração de acordos em determinadas faixas de valor e mediante certas condições. O juiz deve verificar se o representante do INSS tem poderes para transigir. Na prática, muitos JEFs realizam "mutirões de conciliação" previdenciários, nos quais procuradores do INSS com poderes especiais analisam os casos e propõem acordos — modalidade que tem obtido resultados expressivos na redução do acervo processual.</w:t>
      </w:r>
    </w:p>
    <w:p w14:paraId="55C43393" w14:textId="50F71B3A" w:rsidR="005A5FCC" w:rsidRDefault="00A21C81">
      <w:pPr>
        <w:ind w:firstLine="238"/>
      </w:pPr>
      <w:r>
        <w:rPr>
          <w:rFonts w:cs="EB Garamond"/>
          <w:b/>
          <w:kern w:val="16"/>
          <w14:ligatures w14:val="standardContextual"/>
        </w:rPr>
        <w:t>b) Audiência por videoconferência:</w:t>
      </w:r>
      <w:r>
        <w:rPr>
          <w:rFonts w:cs="EB Garamond"/>
          <w:kern w:val="16"/>
          <w14:ligatures w14:val="standardContextual"/>
        </w:rPr>
        <w:t xml:space="preserve"> A pandemia de COVID-19 acelerou a adoção de audiências por videoconferência nos JEFs, prática que permaneceu mesmo após o retorno às atividades presenciais. A </w:t>
      </w:r>
      <w:r w:rsidR="00393814">
        <w:rPr>
          <w:rFonts w:cs="EB Garamond"/>
          <w:kern w:val="16"/>
          <w14:ligatures w14:val="standardContextual"/>
        </w:rPr>
        <w:t>Resolução</w:t>
      </w:r>
      <w:r>
        <w:rPr>
          <w:rFonts w:cs="EB Garamond"/>
          <w:kern w:val="16"/>
          <w14:ligatures w14:val="standardContextual"/>
        </w:rPr>
        <w:t xml:space="preserve"> CJF n. 758/2022, complementada por atos normativos de cada </w:t>
      </w:r>
      <w:r w:rsidR="00393814">
        <w:rPr>
          <w:rFonts w:cs="EB Garamond"/>
          <w:kern w:val="16"/>
          <w14:ligatures w14:val="standardContextual"/>
        </w:rPr>
        <w:t>Seção</w:t>
      </w:r>
      <w:r>
        <w:rPr>
          <w:rFonts w:cs="EB Garamond"/>
          <w:kern w:val="16"/>
          <w14:ligatures w14:val="standardContextual"/>
        </w:rPr>
        <w:t xml:space="preserve"> Judiciaria, autoriza a </w:t>
      </w:r>
      <w:r w:rsidR="00393814">
        <w:rPr>
          <w:rFonts w:cs="EB Garamond"/>
          <w:kern w:val="16"/>
          <w14:ligatures w14:val="standardContextual"/>
        </w:rPr>
        <w:t>realização</w:t>
      </w:r>
      <w:r>
        <w:rPr>
          <w:rFonts w:cs="EB Garamond"/>
          <w:kern w:val="16"/>
          <w14:ligatures w14:val="standardContextual"/>
        </w:rPr>
        <w:t xml:space="preserve"> de </w:t>
      </w:r>
      <w:r w:rsidR="00393814">
        <w:rPr>
          <w:rFonts w:cs="EB Garamond"/>
          <w:kern w:val="16"/>
          <w14:ligatures w14:val="standardContextual"/>
        </w:rPr>
        <w:t>audiências</w:t>
      </w:r>
      <w:r>
        <w:rPr>
          <w:rFonts w:cs="EB Garamond"/>
          <w:kern w:val="16"/>
          <w14:ligatures w14:val="standardContextual"/>
        </w:rPr>
        <w:t xml:space="preserve"> telepresenciais no </w:t>
      </w:r>
      <w:r w:rsidR="00393814">
        <w:rPr>
          <w:rFonts w:cs="EB Garamond"/>
          <w:kern w:val="16"/>
          <w14:ligatures w14:val="standardContextual"/>
        </w:rPr>
        <w:t>âmbito</w:t>
      </w:r>
      <w:r>
        <w:rPr>
          <w:rFonts w:cs="EB Garamond"/>
          <w:kern w:val="16"/>
          <w14:ligatures w14:val="standardContextual"/>
        </w:rPr>
        <w:t xml:space="preserve"> da </w:t>
      </w:r>
      <w:r w:rsidR="00393814">
        <w:rPr>
          <w:rFonts w:cs="EB Garamond"/>
          <w:kern w:val="16"/>
          <w14:ligatures w14:val="standardContextual"/>
        </w:rPr>
        <w:t>Justiça</w:t>
      </w:r>
      <w:r>
        <w:rPr>
          <w:rFonts w:cs="EB Garamond"/>
          <w:kern w:val="16"/>
          <w14:ligatures w14:val="standardContextual"/>
        </w:rPr>
        <w:t xml:space="preserve"> Federal. Para o segurado idoso, a possibilidade de participar da audiência por videoconferência, de sua residência ou do escritório do advogado, representa significativa redução de custos e deslocamento.</w:t>
      </w:r>
    </w:p>
    <w:p w14:paraId="62FB829D" w14:textId="77777777" w:rsidR="005A5FCC" w:rsidRDefault="00A21C81">
      <w:pPr>
        <w:ind w:firstLine="238"/>
      </w:pPr>
      <w:r>
        <w:rPr>
          <w:rFonts w:cs="EB Garamond"/>
          <w:b/>
          <w:kern w:val="16"/>
          <w14:ligatures w14:val="standardContextual"/>
        </w:rPr>
        <w:t>c) Depoimento pessoal do segurado:</w:t>
      </w:r>
      <w:r>
        <w:rPr>
          <w:rFonts w:cs="EB Garamond"/>
          <w:kern w:val="16"/>
          <w14:ligatures w14:val="standardContextual"/>
        </w:rPr>
        <w:t xml:space="preserve"> O juiz pode determinar o depoimento pessoal do segurado, especialmente quando há dúvida sobre a natureza das atividades exercidas, sobre a manutenção da qualidade de segurado ou sobre períodos sem contribuição. O depoimento pessoal, nos JEFs, é tomado de forma informal, e o juiz pode dialogar diretamente com a parte para esclarecimento dos fatos.</w:t>
      </w:r>
    </w:p>
    <w:p w14:paraId="65CEB6AC" w14:textId="77777777" w:rsidR="005A5FCC" w:rsidRDefault="00A21C81">
      <w:pPr>
        <w:spacing w:before="260" w:after="80" w:line="240" w:lineRule="auto"/>
        <w:jc w:val="left"/>
      </w:pPr>
      <w:r>
        <w:rPr>
          <w:rFonts w:cs="EB Garamond"/>
          <w:b/>
          <w:color w:val="3A3128"/>
          <w:kern w:val="16"/>
          <w:sz w:val="25"/>
          <w14:ligatures w14:val="standardContextual"/>
        </w:rPr>
        <w:t>10.15.4 Sentença e recursos</w:t>
      </w:r>
    </w:p>
    <w:p w14:paraId="4642C511"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0A8EFC30" w14:textId="77777777" w:rsidR="005A5FCC" w:rsidRDefault="00A21C81">
      <w:r>
        <w:rPr>
          <w:rFonts w:cs="EB Garamond"/>
          <w:kern w:val="16"/>
          <w14:ligatures w14:val="standardContextual"/>
        </w:rPr>
        <w:t xml:space="preserve"> sentença nos JEFs é irrecorrível por meio de apelação. O recurso cabível é o recurso inominado (art. 41, Lei 9.099/95, c/c art. 1º, Lei 10.259/2001), dirigido à Turma Recursal. O prazo é de 10 dias (dias úteis, conforme art. 219 do CPC, aplicável aos JEFs por força do art. 12, Lei 10.259/2001), e não é cabível recurso adesivo. O preparo é dispensado para o INSS (autarquia federal) e para o segurado beneficiário da justiça gratuita.</w:t>
      </w:r>
    </w:p>
    <w:p w14:paraId="2A6D7D34" w14:textId="77777777" w:rsidR="005A5FCC" w:rsidRDefault="00A21C81">
      <w:pPr>
        <w:ind w:firstLine="238"/>
      </w:pPr>
      <w:r>
        <w:rPr>
          <w:rFonts w:cs="EB Garamond"/>
          <w:kern w:val="16"/>
          <w14:ligatures w14:val="standardContextual"/>
        </w:rPr>
        <w:lastRenderedPageBreak/>
        <w:t>A sentença de procedência na ação de aposentadoria por idade deve especificar: (i) a regra pela qual a aposentadoria é concedida (direito adquirido, art. 18, regra permanente); (ii) a data de início do benefício (DIB); (iii) a data de início do pagamento (DIP); (iv) a renda mensal inicial (RMI) ou, alternativamente, a determinação de que o INSS calcule a RMI pela regra mais vantajosa; (v) a condenação em prestações vencidas, corrigidas monetariamente e acrescidas de juros de mora; (vi) os honorários advocatícios, fixados sobre as parcelas vencidas até a sentença (Súmula 111/STJ).</w:t>
      </w:r>
    </w:p>
    <w:p w14:paraId="4568FD78" w14:textId="7DAD8C52" w:rsidR="005A5FCC" w:rsidRDefault="00A21C81">
      <w:pPr>
        <w:ind w:firstLine="238"/>
      </w:pPr>
      <w:r>
        <w:rPr>
          <w:rFonts w:cs="EB Garamond"/>
          <w:kern w:val="16"/>
          <w14:ligatures w14:val="standardContextual"/>
        </w:rPr>
        <w:t xml:space="preserve">Quanto a </w:t>
      </w:r>
      <w:r w:rsidR="00393814">
        <w:rPr>
          <w:rFonts w:cs="EB Garamond"/>
          <w:kern w:val="16"/>
          <w14:ligatures w14:val="standardContextual"/>
        </w:rPr>
        <w:t>correção</w:t>
      </w:r>
      <w:r>
        <w:rPr>
          <w:rFonts w:cs="EB Garamond"/>
          <w:kern w:val="16"/>
          <w14:ligatures w14:val="standardContextual"/>
        </w:rPr>
        <w:t xml:space="preserve"> </w:t>
      </w:r>
      <w:r w:rsidR="00393814">
        <w:rPr>
          <w:rFonts w:cs="EB Garamond"/>
          <w:kern w:val="16"/>
          <w14:ligatures w14:val="standardContextual"/>
        </w:rPr>
        <w:t>monetária</w:t>
      </w:r>
      <w:r>
        <w:rPr>
          <w:rFonts w:cs="EB Garamond"/>
          <w:kern w:val="16"/>
          <w14:ligatures w14:val="standardContextual"/>
        </w:rPr>
        <w:t xml:space="preserve"> e aos juros de mora, aplica-se o Manual de </w:t>
      </w:r>
      <w:r w:rsidR="00393814">
        <w:rPr>
          <w:rFonts w:cs="EB Garamond"/>
          <w:kern w:val="16"/>
          <w14:ligatures w14:val="standardContextual"/>
        </w:rPr>
        <w:t>Cálculos</w:t>
      </w:r>
      <w:r>
        <w:rPr>
          <w:rFonts w:cs="EB Garamond"/>
          <w:kern w:val="16"/>
          <w14:ligatures w14:val="standardContextual"/>
        </w:rPr>
        <w:t xml:space="preserve"> da </w:t>
      </w:r>
      <w:r w:rsidR="00393814">
        <w:rPr>
          <w:rFonts w:cs="EB Garamond"/>
          <w:kern w:val="16"/>
          <w14:ligatures w14:val="standardContextual"/>
        </w:rPr>
        <w:t>Justiça</w:t>
      </w:r>
      <w:r>
        <w:rPr>
          <w:rFonts w:cs="EB Garamond"/>
          <w:kern w:val="16"/>
          <w14:ligatures w14:val="standardContextual"/>
        </w:rPr>
        <w:t xml:space="preserve"> Federal (aprovado pela </w:t>
      </w:r>
      <w:r w:rsidR="00393814">
        <w:rPr>
          <w:rFonts w:cs="EB Garamond"/>
          <w:kern w:val="16"/>
          <w14:ligatures w14:val="standardContextual"/>
        </w:rPr>
        <w:t>Resolução</w:t>
      </w:r>
      <w:r>
        <w:rPr>
          <w:rFonts w:cs="EB Garamond"/>
          <w:kern w:val="16"/>
          <w14:ligatures w14:val="standardContextual"/>
        </w:rPr>
        <w:t xml:space="preserve"> CJF n. 784/2022), que estabelece a </w:t>
      </w:r>
      <w:r w:rsidR="00393814">
        <w:rPr>
          <w:rFonts w:cs="EB Garamond"/>
          <w:kern w:val="16"/>
          <w14:ligatures w14:val="standardContextual"/>
        </w:rPr>
        <w:t>utilização</w:t>
      </w:r>
      <w:r>
        <w:rPr>
          <w:rFonts w:cs="EB Garamond"/>
          <w:kern w:val="16"/>
          <w14:ligatures w14:val="standardContextual"/>
        </w:rPr>
        <w:t xml:space="preserve"> do IPCA-E como </w:t>
      </w:r>
      <w:r w:rsidR="00393814">
        <w:rPr>
          <w:rFonts w:cs="EB Garamond"/>
          <w:kern w:val="16"/>
          <w14:ligatures w14:val="standardContextual"/>
        </w:rPr>
        <w:t>índice</w:t>
      </w:r>
      <w:r>
        <w:rPr>
          <w:rFonts w:cs="EB Garamond"/>
          <w:kern w:val="16"/>
          <w14:ligatures w14:val="standardContextual"/>
        </w:rPr>
        <w:t xml:space="preserve"> de </w:t>
      </w:r>
      <w:r w:rsidR="00393814">
        <w:rPr>
          <w:rFonts w:cs="EB Garamond"/>
          <w:kern w:val="16"/>
          <w14:ligatures w14:val="standardContextual"/>
        </w:rPr>
        <w:t>correção</w:t>
      </w:r>
      <w:r>
        <w:rPr>
          <w:rFonts w:cs="EB Garamond"/>
          <w:kern w:val="16"/>
          <w14:ligatures w14:val="standardContextual"/>
        </w:rPr>
        <w:t xml:space="preserve"> </w:t>
      </w:r>
      <w:r w:rsidR="00393814">
        <w:rPr>
          <w:rFonts w:cs="EB Garamond"/>
          <w:kern w:val="16"/>
          <w14:ligatures w14:val="standardContextual"/>
        </w:rPr>
        <w:t>monetária</w:t>
      </w:r>
      <w:r>
        <w:rPr>
          <w:rFonts w:cs="EB Garamond"/>
          <w:kern w:val="16"/>
          <w14:ligatures w14:val="standardContextual"/>
        </w:rPr>
        <w:t xml:space="preserve"> </w:t>
      </w:r>
      <w:r w:rsidR="00393814">
        <w:rPr>
          <w:rFonts w:cs="EB Garamond"/>
          <w:kern w:val="16"/>
          <w14:ligatures w14:val="standardContextual"/>
        </w:rPr>
        <w:t>até</w:t>
      </w:r>
      <w:r>
        <w:rPr>
          <w:rFonts w:cs="EB Garamond"/>
          <w:kern w:val="16"/>
          <w14:ligatures w14:val="standardContextual"/>
        </w:rPr>
        <w:t xml:space="preserve"> novembro de 2021 e da taxa SELIC a partir de dezembro de 2021 (EC 113/2021, art. 3o), esta </w:t>
      </w:r>
      <w:r w:rsidR="00393814">
        <w:rPr>
          <w:rFonts w:cs="EB Garamond"/>
          <w:kern w:val="16"/>
          <w14:ligatures w14:val="standardContextual"/>
        </w:rPr>
        <w:t>última</w:t>
      </w:r>
      <w:r>
        <w:rPr>
          <w:rFonts w:cs="EB Garamond"/>
          <w:kern w:val="16"/>
          <w14:ligatures w14:val="standardContextual"/>
        </w:rPr>
        <w:t xml:space="preserve"> englobando juros e </w:t>
      </w:r>
      <w:r w:rsidR="00393814">
        <w:rPr>
          <w:rFonts w:cs="EB Garamond"/>
          <w:kern w:val="16"/>
          <w14:ligatures w14:val="standardContextual"/>
        </w:rPr>
        <w:t>correção</w:t>
      </w:r>
      <w:r>
        <w:rPr>
          <w:rFonts w:cs="EB Garamond"/>
          <w:kern w:val="16"/>
          <w14:ligatures w14:val="standardContextual"/>
        </w:rPr>
        <w:t xml:space="preserve"> em parcela </w:t>
      </w:r>
      <w:r w:rsidR="00393814">
        <w:rPr>
          <w:rFonts w:cs="EB Garamond"/>
          <w:kern w:val="16"/>
          <w14:ligatures w14:val="standardContextual"/>
        </w:rPr>
        <w:t>única</w:t>
      </w:r>
      <w:r>
        <w:rPr>
          <w:rFonts w:cs="EB Garamond"/>
          <w:kern w:val="16"/>
          <w14:ligatures w14:val="standardContextual"/>
        </w:rPr>
        <w:t>.</w:t>
      </w:r>
    </w:p>
    <w:p w14:paraId="67D0CCAB" w14:textId="77777777" w:rsidR="005A5FCC" w:rsidRDefault="00A21C81">
      <w:pPr>
        <w:ind w:firstLine="238"/>
      </w:pPr>
      <w:r>
        <w:rPr>
          <w:rFonts w:cs="EB Garamond"/>
          <w:kern w:val="16"/>
          <w14:ligatures w14:val="standardContextual"/>
        </w:rPr>
        <w:t>A Turma Recursal julga o recurso com base na prova dos autos, podendo reformar a sentença no mérito. Não há reexame necessário nos JEFs (art. 13, Lei 10.259/2001). Contra o acórdão da Turma Recursal, cabem:</w:t>
      </w:r>
    </w:p>
    <w:p w14:paraId="5048A16C" w14:textId="77777777" w:rsidR="005A5FCC" w:rsidRDefault="00A21C81">
      <w:pPr>
        <w:ind w:firstLine="238"/>
      </w:pPr>
      <w:r>
        <w:rPr>
          <w:rFonts w:cs="EB Garamond"/>
          <w:b/>
          <w:kern w:val="16"/>
          <w14:ligatures w14:val="standardContextual"/>
        </w:rPr>
        <w:t>a) Embargos de declaração:</w:t>
      </w:r>
      <w:r>
        <w:rPr>
          <w:rFonts w:cs="EB Garamond"/>
          <w:kern w:val="16"/>
          <w14:ligatures w14:val="standardContextual"/>
        </w:rPr>
        <w:t xml:space="preserve"> Para suprir omissão, contradição, obscuridade ou erro material (art. 48, Lei 9.099/95). O prazo é de 5 dias.</w:t>
      </w:r>
    </w:p>
    <w:p w14:paraId="0D659C41" w14:textId="77777777" w:rsidR="005A5FCC" w:rsidRDefault="00A21C81">
      <w:pPr>
        <w:ind w:firstLine="238"/>
      </w:pPr>
      <w:r>
        <w:rPr>
          <w:rFonts w:cs="EB Garamond"/>
          <w:b/>
          <w:kern w:val="16"/>
          <w14:ligatures w14:val="standardContextual"/>
        </w:rPr>
        <w:t>b) Pedido de uniformização regional:</w:t>
      </w:r>
      <w:r>
        <w:rPr>
          <w:rFonts w:cs="EB Garamond"/>
          <w:kern w:val="16"/>
          <w14:ligatures w14:val="standardContextual"/>
        </w:rPr>
        <w:t xml:space="preserve"> Dirigido à Turma Regional de Uniformização (TRU), quando houver divergência entre Turmas Recursais da mesma Região (art. 14, § 1º, Lei 10.259/2001).</w:t>
      </w:r>
    </w:p>
    <w:p w14:paraId="0E28324C" w14:textId="77777777" w:rsidR="005A5FCC" w:rsidRDefault="00A21C81">
      <w:pPr>
        <w:ind w:firstLine="238"/>
      </w:pPr>
      <w:r>
        <w:rPr>
          <w:rFonts w:cs="EB Garamond"/>
          <w:b/>
          <w:kern w:val="16"/>
          <w14:ligatures w14:val="standardContextual"/>
        </w:rPr>
        <w:t>c) Pedido de uniformização nacional:</w:t>
      </w:r>
      <w:r>
        <w:rPr>
          <w:rFonts w:cs="EB Garamond"/>
          <w:kern w:val="16"/>
          <w14:ligatures w14:val="standardContextual"/>
        </w:rPr>
        <w:t xml:space="preserve"> Dirigido à Turma Nacional de Uniformização (TNU), quando houver divergência entre Turmas Recursais de Regiões diferentes ou entre Turma Recursal e jurisprudência do STJ (art. 14, § 2º, Lei 10.259/2001). A TNU tem desempenhado papel fundamental na fixação de teses sobre aposentadoria por idade, como as Súmulas 44 (tabela de carência) e o Tema 358 (carência pós-EC 103).</w:t>
      </w:r>
    </w:p>
    <w:p w14:paraId="371E486E" w14:textId="77777777" w:rsidR="005A5FCC" w:rsidRDefault="00A21C81">
      <w:pPr>
        <w:ind w:firstLine="238"/>
      </w:pPr>
      <w:r>
        <w:rPr>
          <w:rFonts w:cs="EB Garamond"/>
          <w:b/>
          <w:kern w:val="16"/>
          <w14:ligatures w14:val="standardContextual"/>
        </w:rPr>
        <w:t>d) Recurso extraordinário:</w:t>
      </w:r>
      <w:r>
        <w:rPr>
          <w:rFonts w:cs="EB Garamond"/>
          <w:kern w:val="16"/>
          <w14:ligatures w14:val="standardContextual"/>
        </w:rPr>
        <w:t xml:space="preserve"> Excepcionalmente, cabe recurso extraordinário ao STF quando a decisão contrariar dispositivo constitucional, nos termos do art. 102, III, da CF/88. O STF exige a demonstração de repercussão geral.</w:t>
      </w:r>
    </w:p>
    <w:tbl>
      <w:tblPr>
        <w:tblW w:w="5000" w:type="pct"/>
        <w:jc w:val="center"/>
        <w:tblLayout w:type="fixed"/>
        <w:tblLook w:val="04A0" w:firstRow="1" w:lastRow="0" w:firstColumn="1" w:lastColumn="0" w:noHBand="0" w:noVBand="1"/>
      </w:tblPr>
      <w:tblGrid>
        <w:gridCol w:w="6311"/>
      </w:tblGrid>
      <w:tr w:rsidR="005A5FCC" w14:paraId="70C7EA90"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1FCD6DFE"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27016E6F" w14:textId="77777777" w:rsidR="005A5FCC" w:rsidRDefault="00A21C81">
            <w:pPr>
              <w:spacing w:after="60" w:line="247" w:lineRule="auto"/>
            </w:pPr>
            <w:r>
              <w:rPr>
                <w:rFonts w:cs="EB Garamond"/>
                <w:b/>
                <w:kern w:val="16"/>
                <w:sz w:val="19"/>
                <w14:ligatures w14:val="standardContextual"/>
              </w:rPr>
              <w:t>Execução da sentença nos JEFs — particularidades</w:t>
            </w:r>
          </w:p>
          <w:p w14:paraId="7CF664E6" w14:textId="77777777" w:rsidR="005A5FCC" w:rsidRDefault="00A21C81">
            <w:pPr>
              <w:spacing w:after="60" w:line="247" w:lineRule="auto"/>
            </w:pPr>
            <w:r>
              <w:rPr>
                <w:rFonts w:cs="EB Garamond"/>
                <w:kern w:val="16"/>
                <w:sz w:val="19"/>
                <w14:ligatures w14:val="standardContextual"/>
              </w:rPr>
              <w:t>Após o trânsito em julgado, a execução da sentença previdenciária nos JEFs segue procedimento próprio:</w:t>
            </w:r>
          </w:p>
          <w:p w14:paraId="1389BDD3" w14:textId="77777777" w:rsidR="005A5FCC" w:rsidRDefault="00A21C81">
            <w:pPr>
              <w:spacing w:after="30" w:line="240" w:lineRule="auto"/>
              <w:ind w:left="227" w:hanging="142"/>
            </w:pPr>
            <w:r>
              <w:rPr>
                <w:rFonts w:cs="EB Garamond"/>
                <w:kern w:val="16"/>
                <w:sz w:val="19"/>
                <w14:ligatures w14:val="standardContextual"/>
              </w:rPr>
              <w:t xml:space="preserve">1. </w:t>
            </w:r>
            <w:r>
              <w:rPr>
                <w:rFonts w:cs="EB Garamond"/>
                <w:b/>
                <w:kern w:val="16"/>
                <w:sz w:val="19"/>
                <w14:ligatures w14:val="standardContextual"/>
              </w:rPr>
              <w:t>Implantação do benefício:</w:t>
            </w:r>
            <w:r>
              <w:rPr>
                <w:rFonts w:cs="EB Garamond"/>
                <w:kern w:val="16"/>
                <w:sz w:val="19"/>
                <w14:ligatures w14:val="standardContextual"/>
              </w:rPr>
              <w:t xml:space="preserve"> O INSS deve implantar o benefício no prazo fixado na sentença (geralmente 30 a 45 dias após a intimação). O descumprimento pode ensejar multa diária (astreintes) e, em último caso, sequestro de valores (art. 17, Lei 10.259/2001).</w:t>
            </w:r>
          </w:p>
          <w:p w14:paraId="2643FB48" w14:textId="75085C54" w:rsidR="005A5FCC" w:rsidRDefault="00A21C81">
            <w:pPr>
              <w:spacing w:after="30" w:line="240" w:lineRule="auto"/>
              <w:ind w:left="227" w:hanging="142"/>
            </w:pPr>
            <w:r>
              <w:rPr>
                <w:rFonts w:cs="EB Garamond"/>
                <w:kern w:val="16"/>
                <w:sz w:val="19"/>
                <w14:ligatures w14:val="standardContextual"/>
              </w:rPr>
              <w:t xml:space="preserve">2. </w:t>
            </w:r>
            <w:r>
              <w:rPr>
                <w:rFonts w:cs="EB Garamond"/>
                <w:b/>
                <w:kern w:val="16"/>
                <w:sz w:val="19"/>
                <w14:ligatures w14:val="standardContextual"/>
              </w:rPr>
              <w:t>Pagamento das parcelas vencidas:</w:t>
            </w:r>
            <w:r>
              <w:rPr>
                <w:rFonts w:cs="EB Garamond"/>
                <w:kern w:val="16"/>
                <w:sz w:val="19"/>
                <w14:ligatures w14:val="standardContextual"/>
              </w:rPr>
              <w:t xml:space="preserve"> As parcelas vencidas são pagas mediante Requisição de Pequeno Valor (RPV) quando o montante não ultrapassa 60 </w:t>
            </w:r>
            <w:r w:rsidR="00393814">
              <w:rPr>
                <w:rFonts w:cs="EB Garamond"/>
                <w:kern w:val="16"/>
                <w:sz w:val="19"/>
                <w14:ligatures w14:val="standardContextual"/>
              </w:rPr>
              <w:t>salários-mínimos</w:t>
            </w:r>
            <w:r>
              <w:rPr>
                <w:rFonts w:cs="EB Garamond"/>
                <w:kern w:val="16"/>
                <w:sz w:val="19"/>
                <w14:ligatures w14:val="standardContextual"/>
              </w:rPr>
              <w:t xml:space="preserve"> (R$ 97.260,00 em 2026). O pagamento deve ser efetuado em até 60 dias após a requisição (art. 17, § 1º, Lei 10.259/2001). Se o valor exceder 60 SM, o pagamento se dá por precatório (art. 100, CF), com prazo significativamente mais longo.</w:t>
            </w:r>
          </w:p>
          <w:p w14:paraId="190BB267" w14:textId="77777777" w:rsidR="005A5FCC" w:rsidRDefault="00A21C81">
            <w:pPr>
              <w:spacing w:after="30" w:line="240" w:lineRule="auto"/>
              <w:ind w:left="227" w:hanging="142"/>
            </w:pPr>
            <w:r>
              <w:rPr>
                <w:rFonts w:cs="EB Garamond"/>
                <w:kern w:val="16"/>
                <w:sz w:val="19"/>
                <w14:ligatures w14:val="standardContextual"/>
              </w:rPr>
              <w:t xml:space="preserve">3. </w:t>
            </w:r>
            <w:r>
              <w:rPr>
                <w:rFonts w:cs="EB Garamond"/>
                <w:b/>
                <w:kern w:val="16"/>
                <w:sz w:val="19"/>
                <w14:ligatures w14:val="standardContextual"/>
              </w:rPr>
              <w:t>Honorários advocatícios:</w:t>
            </w:r>
            <w:r>
              <w:rPr>
                <w:rFonts w:cs="EB Garamond"/>
                <w:kern w:val="16"/>
                <w:sz w:val="19"/>
                <w14:ligatures w14:val="standardContextual"/>
              </w:rPr>
              <w:t xml:space="preserve"> São fixados sobre as parcelas vencidas até a sentença (Súmula 111/STJ) e pagos juntamente com o principal, na mesma RPV ou precatório. A sucumbência recíproca nos JEFs não implica compensação de honorários quando o segurado é beneficiário da justiça gratuita.</w:t>
            </w:r>
          </w:p>
        </w:tc>
      </w:tr>
    </w:tbl>
    <w:p w14:paraId="407E8BA7" w14:textId="77777777" w:rsidR="005A5FCC" w:rsidRDefault="005A5FCC">
      <w:pPr>
        <w:spacing w:after="80" w:line="240" w:lineRule="auto"/>
      </w:pPr>
    </w:p>
    <w:p w14:paraId="51C04A87"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10.16 Questões especiais</w:t>
      </w:r>
    </w:p>
    <w:p w14:paraId="58F7F41C" w14:textId="77777777" w:rsidR="005A5FCC" w:rsidRDefault="00A21C81">
      <w:pPr>
        <w:spacing w:before="260" w:after="80" w:line="240" w:lineRule="auto"/>
        <w:jc w:val="left"/>
      </w:pPr>
      <w:r>
        <w:rPr>
          <w:rFonts w:cs="EB Garamond"/>
          <w:b/>
          <w:color w:val="3A3128"/>
          <w:kern w:val="16"/>
          <w:sz w:val="25"/>
          <w14:ligatures w14:val="standardContextual"/>
        </w:rPr>
        <w:t>10.16.1 Aposentadoria por idade do MEI</w:t>
      </w:r>
    </w:p>
    <w:p w14:paraId="3B5CB28F"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6E3AF05D" w14:textId="70951120" w:rsidR="005A5FCC" w:rsidRDefault="00A21C81">
      <w:r>
        <w:rPr>
          <w:rFonts w:cs="EB Garamond"/>
          <w:kern w:val="16"/>
          <w14:ligatures w14:val="standardContextual"/>
        </w:rPr>
        <w:t xml:space="preserve"> Microempreendedor Individual (MEI) contribui com 5% do </w:t>
      </w:r>
      <w:r w:rsidR="00393814">
        <w:rPr>
          <w:rFonts w:cs="EB Garamond"/>
          <w:kern w:val="16"/>
          <w14:ligatures w14:val="standardContextual"/>
        </w:rPr>
        <w:t>salário-mínimo</w:t>
      </w:r>
      <w:r>
        <w:rPr>
          <w:rFonts w:cs="EB Garamond"/>
          <w:kern w:val="16"/>
          <w14:ligatures w14:val="standardContextual"/>
        </w:rPr>
        <w:t xml:space="preserve">, nos termos do art. 21, § 2º, I, da Lei 8.212/91, com redação dada pela LC 123/2006. Essa contribuição reduzida garante ao MEI o direito à aposentadoria por idade (regra de transição do art. 18 ou regra permanente), mas não à aposentadoria por tempo de contribuição — salvo se o MEI complementar a contribuição até o percentual de 20% sobre o </w:t>
      </w:r>
      <w:r w:rsidR="00393814">
        <w:rPr>
          <w:rFonts w:cs="EB Garamond"/>
          <w:kern w:val="16"/>
          <w14:ligatures w14:val="standardContextual"/>
        </w:rPr>
        <w:t>salário-mínimo</w:t>
      </w:r>
      <w:r>
        <w:rPr>
          <w:rFonts w:cs="EB Garamond"/>
          <w:kern w:val="16"/>
          <w14:ligatures w14:val="standardContextual"/>
        </w:rPr>
        <w:t xml:space="preserve"> (diferença de 15%, conforme art. 21, § 3º, da Lei 8.212/91).</w:t>
      </w:r>
    </w:p>
    <w:tbl>
      <w:tblPr>
        <w:tblW w:w="5000" w:type="pct"/>
        <w:jc w:val="center"/>
        <w:tblLayout w:type="fixed"/>
        <w:tblLook w:val="04A0" w:firstRow="1" w:lastRow="0" w:firstColumn="1" w:lastColumn="0" w:noHBand="0" w:noVBand="1"/>
      </w:tblPr>
      <w:tblGrid>
        <w:gridCol w:w="6311"/>
      </w:tblGrid>
      <w:tr w:rsidR="005A5FCC" w14:paraId="2E8BD655"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66240683"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0F1AAAA2" w14:textId="77777777" w:rsidR="005A5FCC" w:rsidRDefault="00A21C81">
            <w:pPr>
              <w:spacing w:after="60" w:line="247" w:lineRule="auto"/>
            </w:pPr>
            <w:r>
              <w:rPr>
                <w:rFonts w:cs="EB Garamond"/>
                <w:b/>
                <w:kern w:val="16"/>
                <w:sz w:val="19"/>
                <w14:ligatures w14:val="standardContextual"/>
              </w:rPr>
              <w:t>MEI e aposentadoria por idade — questões práticas</w:t>
            </w:r>
          </w:p>
          <w:p w14:paraId="0D10B091" w14:textId="77777777" w:rsidR="005A5FCC" w:rsidRDefault="00A21C81">
            <w:pPr>
              <w:spacing w:after="30" w:line="240" w:lineRule="auto"/>
              <w:ind w:left="227" w:hanging="142"/>
            </w:pPr>
            <w:r>
              <w:rPr>
                <w:rFonts w:cs="EB Garamond"/>
                <w:kern w:val="16"/>
                <w:sz w:val="19"/>
                <w14:ligatures w14:val="standardContextual"/>
              </w:rPr>
              <w:t xml:space="preserve">1. </w:t>
            </w:r>
            <w:r>
              <w:rPr>
                <w:rFonts w:cs="EB Garamond"/>
                <w:b/>
                <w:kern w:val="16"/>
                <w:sz w:val="19"/>
                <w14:ligatures w14:val="standardContextual"/>
              </w:rPr>
              <w:t>Contribuição de 5%:</w:t>
            </w:r>
            <w:r>
              <w:rPr>
                <w:rFonts w:cs="EB Garamond"/>
                <w:kern w:val="16"/>
                <w:sz w:val="19"/>
                <w14:ligatures w14:val="standardContextual"/>
              </w:rPr>
              <w:t xml:space="preserve"> Garante aposentadoria por idade no valor de 1 SM (a contribuição é apenas sobre o SM, logo a média será o SM).</w:t>
            </w:r>
          </w:p>
          <w:p w14:paraId="5452687E" w14:textId="77777777" w:rsidR="005A5FCC" w:rsidRDefault="00A21C81">
            <w:pPr>
              <w:spacing w:after="30" w:line="240" w:lineRule="auto"/>
              <w:ind w:left="227" w:hanging="142"/>
            </w:pPr>
            <w:r>
              <w:rPr>
                <w:rFonts w:cs="EB Garamond"/>
                <w:kern w:val="16"/>
                <w:sz w:val="19"/>
                <w14:ligatures w14:val="standardContextual"/>
              </w:rPr>
              <w:t xml:space="preserve">2. </w:t>
            </w:r>
            <w:r>
              <w:rPr>
                <w:rFonts w:cs="EB Garamond"/>
                <w:b/>
                <w:kern w:val="16"/>
                <w:sz w:val="19"/>
                <w14:ligatures w14:val="standardContextual"/>
              </w:rPr>
              <w:t>Complementação para TC:</w:t>
            </w:r>
            <w:r>
              <w:rPr>
                <w:rFonts w:cs="EB Garamond"/>
                <w:kern w:val="16"/>
                <w:sz w:val="19"/>
                <w14:ligatures w14:val="standardContextual"/>
              </w:rPr>
              <w:t xml:space="preserve"> Se o MEI quiser que o período conte para aposentadoria por tempo de contribuição, deve complementar os 15% restantes, mediante GPS com código 1910.</w:t>
            </w:r>
          </w:p>
          <w:p w14:paraId="787F7DFD" w14:textId="77777777" w:rsidR="005A5FCC" w:rsidRDefault="00A21C81">
            <w:pPr>
              <w:spacing w:after="30" w:line="240" w:lineRule="auto"/>
              <w:ind w:left="227" w:hanging="142"/>
            </w:pPr>
            <w:r>
              <w:rPr>
                <w:rFonts w:cs="EB Garamond"/>
                <w:kern w:val="16"/>
                <w:sz w:val="19"/>
                <w14:ligatures w14:val="standardContextual"/>
              </w:rPr>
              <w:t xml:space="preserve">3. </w:t>
            </w:r>
            <w:r>
              <w:rPr>
                <w:rFonts w:cs="EB Garamond"/>
                <w:b/>
                <w:kern w:val="16"/>
                <w:sz w:val="19"/>
                <w14:ligatures w14:val="standardContextual"/>
              </w:rPr>
              <w:t>MEI com atividade simultânea:</w:t>
            </w:r>
            <w:r>
              <w:rPr>
                <w:rFonts w:cs="EB Garamond"/>
                <w:kern w:val="16"/>
                <w:sz w:val="19"/>
                <w14:ligatures w14:val="standardContextual"/>
              </w:rPr>
              <w:t xml:space="preserve"> Se o MEI é também empregado CLT, as contribuições são somadas (seção 10.9). A contribuição como empregado gera salário de contribuição proporcional à remuneração; a do MEI, sobre o SM.</w:t>
            </w:r>
          </w:p>
          <w:p w14:paraId="4E115968" w14:textId="77777777" w:rsidR="005A5FCC" w:rsidRDefault="00A21C81">
            <w:pPr>
              <w:spacing w:after="30" w:line="240" w:lineRule="auto"/>
              <w:ind w:left="227" w:hanging="142"/>
            </w:pPr>
            <w:r>
              <w:rPr>
                <w:rFonts w:cs="EB Garamond"/>
                <w:kern w:val="16"/>
                <w:sz w:val="19"/>
                <w14:ligatures w14:val="standardContextual"/>
              </w:rPr>
              <w:t xml:space="preserve">4. </w:t>
            </w:r>
            <w:r>
              <w:rPr>
                <w:rFonts w:cs="EB Garamond"/>
                <w:b/>
                <w:kern w:val="16"/>
                <w:sz w:val="19"/>
                <w14:ligatures w14:val="standardContextual"/>
              </w:rPr>
              <w:t>Carência:</w:t>
            </w:r>
            <w:r>
              <w:rPr>
                <w:rFonts w:cs="EB Garamond"/>
                <w:kern w:val="16"/>
                <w:sz w:val="19"/>
                <w14:ligatures w14:val="standardContextual"/>
              </w:rPr>
              <w:t xml:space="preserve"> As contribuições do MEI contam normalmente para carência, desde que recolhidas em dia.</w:t>
            </w:r>
          </w:p>
          <w:p w14:paraId="0A9FC66C" w14:textId="77777777" w:rsidR="005A5FCC" w:rsidRDefault="00A21C81">
            <w:pPr>
              <w:spacing w:after="30" w:line="240" w:lineRule="auto"/>
              <w:ind w:left="227" w:hanging="142"/>
            </w:pPr>
            <w:r>
              <w:rPr>
                <w:rFonts w:cs="EB Garamond"/>
                <w:kern w:val="16"/>
                <w:sz w:val="19"/>
                <w14:ligatures w14:val="standardContextual"/>
              </w:rPr>
              <w:t xml:space="preserve">5. </w:t>
            </w:r>
            <w:r>
              <w:rPr>
                <w:rFonts w:cs="EB Garamond"/>
                <w:b/>
                <w:kern w:val="16"/>
                <w:sz w:val="19"/>
                <w14:ligatures w14:val="standardContextual"/>
              </w:rPr>
              <w:t>Desenquadramento:</w:t>
            </w:r>
            <w:r>
              <w:rPr>
                <w:rFonts w:cs="EB Garamond"/>
                <w:kern w:val="16"/>
                <w:sz w:val="19"/>
                <w14:ligatures w14:val="standardContextual"/>
              </w:rPr>
              <w:t xml:space="preserve"> Se o MEI ultrapassar o limite de faturamento e for desenquadrado, passa a contribuir como contribuinte individual (20% sobre a remuneração ou 11% sobre o SM pelo plano simplificado). O tratamento detalhado está no Capítulo 4 (seção 4.7).</w:t>
            </w:r>
          </w:p>
        </w:tc>
      </w:tr>
    </w:tbl>
    <w:p w14:paraId="45AA3E17" w14:textId="77777777" w:rsidR="005A5FCC" w:rsidRDefault="005A5FCC">
      <w:pPr>
        <w:spacing w:after="80" w:line="240" w:lineRule="auto"/>
      </w:pPr>
    </w:p>
    <w:p w14:paraId="2F1CCF93" w14:textId="77777777" w:rsidR="005A5FCC" w:rsidRDefault="00A21C81">
      <w:pPr>
        <w:spacing w:before="260" w:after="80" w:line="240" w:lineRule="auto"/>
        <w:jc w:val="left"/>
      </w:pPr>
      <w:r>
        <w:rPr>
          <w:rFonts w:cs="EB Garamond"/>
          <w:b/>
          <w:color w:val="3A3128"/>
          <w:kern w:val="16"/>
          <w:sz w:val="25"/>
          <w14:ligatures w14:val="standardContextual"/>
        </w:rPr>
        <w:t>10.16.2 Aposentadoria por idade do segurado facultativo de baixa renda</w:t>
      </w:r>
    </w:p>
    <w:p w14:paraId="7F53FE5C"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545205F5" w14:textId="7B2D670D" w:rsidR="005A5FCC" w:rsidRDefault="00A21C81">
      <w:r>
        <w:rPr>
          <w:rFonts w:cs="EB Garamond"/>
          <w:kern w:val="16"/>
          <w14:ligatures w14:val="standardContextual"/>
        </w:rPr>
        <w:t xml:space="preserve"> segurado facultativo de baixa renda (art. 21, § 2º, II, Lei 8.212/91) contribui com 5% do </w:t>
      </w:r>
      <w:r w:rsidR="00393814">
        <w:rPr>
          <w:rFonts w:cs="EB Garamond"/>
          <w:kern w:val="16"/>
          <w14:ligatures w14:val="standardContextual"/>
        </w:rPr>
        <w:t>salário-mínimo</w:t>
      </w:r>
      <w:r>
        <w:rPr>
          <w:rFonts w:cs="EB Garamond"/>
          <w:kern w:val="16"/>
          <w14:ligatures w14:val="standardContextual"/>
        </w:rPr>
        <w:t xml:space="preserve">, tal como o MEI. Os requisitos e as limitações são semelhantes: direito à aposentadoria por idade, mas não à aposentadoria por tempo de contribuição (salvo complementação). A base de cálculo é sempre o </w:t>
      </w:r>
      <w:r w:rsidR="00393814">
        <w:rPr>
          <w:rFonts w:cs="EB Garamond"/>
          <w:kern w:val="16"/>
          <w14:ligatures w14:val="standardContextual"/>
        </w:rPr>
        <w:t>salário-mínimo</w:t>
      </w:r>
      <w:r>
        <w:rPr>
          <w:rFonts w:cs="EB Garamond"/>
          <w:kern w:val="16"/>
          <w14:ligatures w14:val="standardContextual"/>
        </w:rPr>
        <w:t>, o que significa que a aposentadoria será concedida no valor de um salário</w:t>
      </w:r>
      <w:r w:rsidR="00393814">
        <w:rPr>
          <w:rFonts w:cs="EB Garamond"/>
          <w:kern w:val="16"/>
          <w14:ligatures w14:val="standardContextual"/>
        </w:rPr>
        <w:t>-</w:t>
      </w:r>
      <w:r>
        <w:rPr>
          <w:rFonts w:cs="EB Garamond"/>
          <w:kern w:val="16"/>
          <w14:ligatures w14:val="standardContextual"/>
        </w:rPr>
        <w:t>mínimo.</w:t>
      </w:r>
    </w:p>
    <w:p w14:paraId="69BB6FA1" w14:textId="3B2FCAF3" w:rsidR="005A5FCC" w:rsidRDefault="00A21C81">
      <w:pPr>
        <w:ind w:firstLine="238"/>
      </w:pPr>
      <w:r>
        <w:rPr>
          <w:rFonts w:cs="EB Garamond"/>
          <w:kern w:val="16"/>
          <w14:ligatures w14:val="standardContextual"/>
        </w:rPr>
        <w:t xml:space="preserve">Para enquadrar-se como facultativo de baixa renda, o segurado deve comprovar cumulativamente: (a) não exercer atividade remunerada; (b) dedicar-se exclusivamente ao trabalho doméstico no âmbito de sua residência; e (c) pertencer a família de baixa renda inscrita no CadÚnico (Cadastro Único para Programas Sociais do Governo Federal), com renda mensal familiar de até dois </w:t>
      </w:r>
      <w:r w:rsidR="00393814">
        <w:rPr>
          <w:rFonts w:cs="EB Garamond"/>
          <w:kern w:val="16"/>
          <w14:ligatures w14:val="standardContextual"/>
        </w:rPr>
        <w:t>salários-mínimos</w:t>
      </w:r>
      <w:r>
        <w:rPr>
          <w:rFonts w:cs="EB Garamond"/>
          <w:kern w:val="16"/>
          <w14:ligatures w14:val="standardContextual"/>
        </w:rPr>
        <w:t>. A perda de qualquer dessas condições implica a necessidade de recolhimento pela alíquota normal (20% ou 11%).</w:t>
      </w:r>
    </w:p>
    <w:p w14:paraId="56B65558" w14:textId="77777777" w:rsidR="005A5FCC" w:rsidRDefault="00A21C81">
      <w:pPr>
        <w:ind w:firstLine="238"/>
      </w:pPr>
      <w:r>
        <w:rPr>
          <w:rFonts w:cs="EB Garamond"/>
          <w:kern w:val="16"/>
          <w14:ligatures w14:val="standardContextual"/>
        </w:rPr>
        <w:lastRenderedPageBreak/>
        <w:t>O perfil típico do segurado facultativo de baixa renda é o da dona de casa (ou dono de casa) de família vulnerável que não exerce atividade remunerada fora do lar. A modalidade foi criada pela Lei 12.470/2011 com o objetivo de ampliar a cobertura previdenciária a pessoas economicamente vulneráveis que, pela alíquota regular de 20%, não teriam condições de contribuir para o RGPS.</w:t>
      </w:r>
    </w:p>
    <w:p w14:paraId="2BF4F35A" w14:textId="77777777" w:rsidR="005A5FCC" w:rsidRDefault="00A21C81">
      <w:pPr>
        <w:ind w:firstLine="238"/>
      </w:pPr>
      <w:r>
        <w:rPr>
          <w:rFonts w:cs="EB Garamond"/>
          <w:kern w:val="16"/>
          <w14:ligatures w14:val="standardContextual"/>
        </w:rPr>
        <w:t>Na prática dos JEFs, surgem controvérsias sobre o enquadramento do segurado como facultativo de baixa renda, especialmente quando: (i) a inscrição no CadÚnico foi realizada após o período de contribuição, suscitando dúvida sobre a contemporaneidade da condição de baixa renda; (ii) o segurado exerceu atividade remunerada informal concomitantemente à contribuição como facultativo de baixa renda, o que pode configurar irregularidade no enquadramento; e (iii) a renda familiar declarada no CadÚnico não corresponde à realidade, conforme apurado em diligências do INSS ou da Caixa Econômica Federal.</w:t>
      </w:r>
    </w:p>
    <w:tbl>
      <w:tblPr>
        <w:tblW w:w="5000" w:type="pct"/>
        <w:jc w:val="center"/>
        <w:tblLayout w:type="fixed"/>
        <w:tblLook w:val="04A0" w:firstRow="1" w:lastRow="0" w:firstColumn="1" w:lastColumn="0" w:noHBand="0" w:noVBand="1"/>
      </w:tblPr>
      <w:tblGrid>
        <w:gridCol w:w="6311"/>
      </w:tblGrid>
      <w:tr w:rsidR="005A5FCC" w14:paraId="3B52D47C"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6F288A20"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0147E3F1" w14:textId="77777777" w:rsidR="005A5FCC" w:rsidRDefault="00A21C81">
            <w:pPr>
              <w:spacing w:after="60" w:line="247" w:lineRule="auto"/>
            </w:pPr>
            <w:r>
              <w:rPr>
                <w:rFonts w:cs="EB Garamond"/>
                <w:b/>
                <w:kern w:val="16"/>
                <w:sz w:val="19"/>
                <w14:ligatures w14:val="standardContextual"/>
              </w:rPr>
              <w:t>Facultativo de baixa renda — Questões frequentes nos JEFs</w:t>
            </w:r>
          </w:p>
          <w:p w14:paraId="3E0040D5" w14:textId="77777777" w:rsidR="005A5FCC" w:rsidRDefault="00A21C81">
            <w:pPr>
              <w:spacing w:after="30" w:line="240" w:lineRule="auto"/>
              <w:ind w:left="227" w:hanging="142"/>
            </w:pPr>
            <w:r>
              <w:rPr>
                <w:rFonts w:cs="EB Garamond"/>
                <w:kern w:val="16"/>
                <w:sz w:val="19"/>
                <w14:ligatures w14:val="standardContextual"/>
              </w:rPr>
              <w:t xml:space="preserve">1. </w:t>
            </w:r>
            <w:r>
              <w:rPr>
                <w:rFonts w:cs="EB Garamond"/>
                <w:b/>
                <w:kern w:val="16"/>
                <w:sz w:val="19"/>
                <w14:ligatures w14:val="standardContextual"/>
              </w:rPr>
              <w:t>Validação das contribuições:</w:t>
            </w:r>
            <w:r>
              <w:rPr>
                <w:rFonts w:cs="EB Garamond"/>
                <w:kern w:val="16"/>
                <w:sz w:val="19"/>
                <w14:ligatures w14:val="standardContextual"/>
              </w:rPr>
              <w:t xml:space="preserve"> O INSS pode realizar validação posterior das contribuições do facultativo de baixa renda, verificando a manutenção da condição junto ao CadÚnico. Contribuições recolhidas em período no qual o segurado não atendia aos requisitos podem ser invalidadas, mas o INSS deve assegurar o contraditório antes da exclusão.</w:t>
            </w:r>
          </w:p>
          <w:p w14:paraId="2AC412A2" w14:textId="77777777" w:rsidR="005A5FCC" w:rsidRDefault="00A21C81">
            <w:pPr>
              <w:spacing w:after="30" w:line="240" w:lineRule="auto"/>
              <w:ind w:left="227" w:hanging="142"/>
            </w:pPr>
            <w:r>
              <w:rPr>
                <w:rFonts w:cs="EB Garamond"/>
                <w:kern w:val="16"/>
                <w:sz w:val="19"/>
                <w14:ligatures w14:val="standardContextual"/>
              </w:rPr>
              <w:t xml:space="preserve">2. </w:t>
            </w:r>
            <w:r>
              <w:rPr>
                <w:rFonts w:cs="EB Garamond"/>
                <w:b/>
                <w:kern w:val="16"/>
                <w:sz w:val="19"/>
                <w14:ligatures w14:val="standardContextual"/>
              </w:rPr>
              <w:t>Complementação retroativa:</w:t>
            </w:r>
            <w:r>
              <w:rPr>
                <w:rFonts w:cs="EB Garamond"/>
                <w:kern w:val="16"/>
                <w:sz w:val="19"/>
                <w14:ligatures w14:val="standardContextual"/>
              </w:rPr>
              <w:t xml:space="preserve"> Se o segurado contribuiu como facultativo de baixa renda (5%) mas não atendia aos requisitos, pode complementar a diferença até 20% para regularizar o período. O prazo para complementação é de até cinco anos (prazo prescricional tributário, art. 150, § 4º, CTN).</w:t>
            </w:r>
          </w:p>
          <w:p w14:paraId="3F0B9B55" w14:textId="7E8F7BD6" w:rsidR="005A5FCC" w:rsidRDefault="00A21C81">
            <w:pPr>
              <w:spacing w:after="30" w:line="240" w:lineRule="auto"/>
              <w:ind w:left="227" w:hanging="142"/>
            </w:pPr>
            <w:r>
              <w:rPr>
                <w:rFonts w:cs="EB Garamond"/>
                <w:kern w:val="16"/>
                <w:sz w:val="19"/>
                <w14:ligatures w14:val="standardContextual"/>
              </w:rPr>
              <w:t xml:space="preserve">3. </w:t>
            </w:r>
            <w:r>
              <w:rPr>
                <w:rFonts w:cs="EB Garamond"/>
                <w:b/>
                <w:kern w:val="16"/>
                <w:sz w:val="19"/>
                <w14:ligatures w14:val="standardContextual"/>
              </w:rPr>
              <w:t>Aposentadoria programada vs. Aposentadoria por idade:</w:t>
            </w:r>
            <w:r>
              <w:rPr>
                <w:rFonts w:cs="EB Garamond"/>
                <w:kern w:val="16"/>
                <w:sz w:val="19"/>
                <w14:ligatures w14:val="standardContextual"/>
              </w:rPr>
              <w:t xml:space="preserve"> Na regra permanente (pós-EC 103), o facultativo de baixa renda que contribui com 5% pode requerer aposentadoria programada (65H/62M + 15F/20H anos TC), mas o benefício será de um </w:t>
            </w:r>
            <w:r w:rsidR="00393814">
              <w:rPr>
                <w:rFonts w:cs="EB Garamond"/>
                <w:kern w:val="16"/>
                <w:sz w:val="19"/>
                <w14:ligatures w14:val="standardContextual"/>
              </w:rPr>
              <w:t>salário-mínimo</w:t>
            </w:r>
            <w:r>
              <w:rPr>
                <w:rFonts w:cs="EB Garamond"/>
                <w:kern w:val="16"/>
                <w:sz w:val="19"/>
                <w14:ligatures w14:val="standardContextual"/>
              </w:rPr>
              <w:t>. Se desejar benefício superior, deve complementar para 20% e contribuir sobre base maior.</w:t>
            </w:r>
          </w:p>
        </w:tc>
      </w:tr>
    </w:tbl>
    <w:p w14:paraId="73AE7342" w14:textId="77777777" w:rsidR="005A5FCC" w:rsidRDefault="005A5FCC">
      <w:pPr>
        <w:spacing w:after="80" w:line="240" w:lineRule="auto"/>
      </w:pPr>
    </w:p>
    <w:p w14:paraId="06889F7E" w14:textId="77777777" w:rsidR="005A5FCC" w:rsidRDefault="00A21C81">
      <w:pPr>
        <w:spacing w:before="260" w:after="80" w:line="240" w:lineRule="auto"/>
        <w:jc w:val="left"/>
      </w:pPr>
      <w:r>
        <w:rPr>
          <w:rFonts w:cs="EB Garamond"/>
          <w:b/>
          <w:color w:val="3A3128"/>
          <w:kern w:val="16"/>
          <w:sz w:val="25"/>
          <w14:ligatures w14:val="standardContextual"/>
        </w:rPr>
        <w:t>10.16.3 Aposentadoria por idade e tempo de contribuição no exterior</w:t>
      </w:r>
    </w:p>
    <w:p w14:paraId="425B69A2"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S</w:t>
      </w:r>
    </w:p>
    <w:p w14:paraId="47F042EB" w14:textId="77777777" w:rsidR="005A5FCC" w:rsidRDefault="00A21C81">
      <w:r>
        <w:rPr>
          <w:rFonts w:cs="EB Garamond"/>
          <w:kern w:val="16"/>
          <w14:ligatures w14:val="standardContextual"/>
        </w:rPr>
        <w:t>egurados que trabalharam em países com os quais o Brasil mantém acordo internacional de previdência social podem computar o tempo de contribuição no exterior para fins de aposentadoria por idade no RGPS. A matéria é regulada pelos acordos bilaterais e multilaterais celebrados pelo Brasil, cuja aplicação é detalhada no Capítulo 5 (seção 5.12).</w:t>
      </w:r>
    </w:p>
    <w:p w14:paraId="67440DC1" w14:textId="77777777" w:rsidR="005A5FCC" w:rsidRDefault="00A21C81">
      <w:pPr>
        <w:ind w:firstLine="238"/>
      </w:pPr>
      <w:r>
        <w:rPr>
          <w:rFonts w:cs="EB Garamond"/>
          <w:kern w:val="16"/>
          <w14:ligatures w14:val="standardContextual"/>
        </w:rPr>
        <w:t>O Brasil mantém acordos de previdência social com diversos países, incluindo: Portugal, Espanha, Itália, Alemanha, França, Japão, Cabo Verde, Grécia, Argentina, Uruguai, Paraguai, Chile, e os países do Mercosul (Acordo Multilateral de Seguridade Social do Mercosul). Cada acordo tem regras específicas sobre totalização de períodos, cálculo proporcional e procedimento de requerimento, mas todos seguem o princípio geral da totalização: os períodos cumpridos em cada país são somados para verificar se o segurado atinge os requisitos mínimos de carência ou tempo de contribuição.</w:t>
      </w:r>
    </w:p>
    <w:p w14:paraId="38D0A3E5" w14:textId="77777777" w:rsidR="005A5FCC" w:rsidRDefault="00A21C81">
      <w:pPr>
        <w:ind w:firstLine="238"/>
      </w:pPr>
      <w:r>
        <w:rPr>
          <w:rFonts w:cs="EB Garamond"/>
          <w:kern w:val="16"/>
          <w14:ligatures w14:val="standardContextual"/>
        </w:rPr>
        <w:t>Na aposentadoria por idade, a totalização dos períodos de contribuição no Brasil e no exterior permite que o segurado atinja a carência exigida, computando contribuições efetuadas em ambos os países. O benefício, contudo, é calculado proporcionalmente ao tempo de contribuição efetivamente cumprido em cada país (princípio pro rata temporis). Isso significa que o segurado receberá dois benefícios proporcionais, um de cada país, e não um benefício único calculado sobre a totalidade do tempo de contribuição.</w:t>
      </w:r>
    </w:p>
    <w:p w14:paraId="372C488E" w14:textId="77777777" w:rsidR="005A5FCC" w:rsidRDefault="00A21C81">
      <w:pPr>
        <w:ind w:firstLine="238"/>
      </w:pPr>
      <w:r>
        <w:rPr>
          <w:rFonts w:cs="EB Garamond"/>
          <w:kern w:val="16"/>
          <w14:ligatures w14:val="standardContextual"/>
        </w:rPr>
        <w:t>O procedimento para aposentadoria por totalização internacional segue rito específico: o segurado deve requerer o benefício ao organismo de ligação do país onde reside (no Brasil, o INSS). O INSS comunica-se com o organismo de ligação do país estrangeiro, que confirma os períodos de contribuição e, se for o caso, concede a parcela proporcional do benefício. Esse procedimento pode ser demorado, envolvendo troca de formulários específicos entre os países.</w:t>
      </w:r>
    </w:p>
    <w:tbl>
      <w:tblPr>
        <w:tblW w:w="5000" w:type="pct"/>
        <w:jc w:val="center"/>
        <w:tblLayout w:type="fixed"/>
        <w:tblLook w:val="04A0" w:firstRow="1" w:lastRow="0" w:firstColumn="1" w:lastColumn="0" w:noHBand="0" w:noVBand="1"/>
      </w:tblPr>
      <w:tblGrid>
        <w:gridCol w:w="6311"/>
      </w:tblGrid>
      <w:tr w:rsidR="005A5FCC" w14:paraId="2E030635"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38E84A8D" w14:textId="77777777" w:rsidR="005A5FCC" w:rsidRDefault="00A21C81">
            <w:pPr>
              <w:spacing w:after="60" w:line="240" w:lineRule="auto"/>
              <w:jc w:val="left"/>
            </w:pPr>
            <w:r>
              <w:rPr>
                <w:rFonts w:ascii="Noto Sans" w:hAnsi="Noto Sans" w:cs="Noto Sans"/>
                <w:b/>
                <w:caps/>
                <w:color w:val="B78B37"/>
                <w:kern w:val="16"/>
                <w:sz w:val="16"/>
                <w14:ligatures w14:val="standardContextual"/>
              </w:rPr>
              <w:lastRenderedPageBreak/>
              <w:t>ATENÇÃO</w:t>
            </w:r>
          </w:p>
          <w:p w14:paraId="4280CA54" w14:textId="77777777" w:rsidR="005A5FCC" w:rsidRDefault="00A21C81">
            <w:pPr>
              <w:spacing w:after="60" w:line="247" w:lineRule="auto"/>
            </w:pPr>
            <w:r>
              <w:rPr>
                <w:rFonts w:cs="EB Garamond"/>
                <w:b/>
                <w:kern w:val="16"/>
                <w:sz w:val="19"/>
                <w14:ligatures w14:val="standardContextual"/>
              </w:rPr>
              <w:t>Totalização internacional — armadilhas comuns</w:t>
            </w:r>
          </w:p>
          <w:p w14:paraId="61DEE0D0" w14:textId="77777777" w:rsidR="005A5FCC" w:rsidRDefault="00A21C81">
            <w:pPr>
              <w:spacing w:after="30" w:line="240" w:lineRule="auto"/>
              <w:ind w:left="227" w:hanging="142"/>
            </w:pPr>
            <w:r>
              <w:rPr>
                <w:rFonts w:cs="EB Garamond"/>
                <w:kern w:val="16"/>
                <w:sz w:val="19"/>
                <w14:ligatures w14:val="standardContextual"/>
              </w:rPr>
              <w:t xml:space="preserve">1. </w:t>
            </w:r>
            <w:r>
              <w:rPr>
                <w:rFonts w:cs="EB Garamond"/>
                <w:b/>
                <w:kern w:val="16"/>
                <w:sz w:val="19"/>
                <w14:ligatures w14:val="standardContextual"/>
              </w:rPr>
              <w:t>Acordo deve estar vigente:</w:t>
            </w:r>
            <w:r>
              <w:rPr>
                <w:rFonts w:cs="EB Garamond"/>
                <w:kern w:val="16"/>
                <w:sz w:val="19"/>
                <w14:ligatures w14:val="standardContextual"/>
              </w:rPr>
              <w:t xml:space="preserve"> Somente períodos em países com acordo vigente podem ser totalizados. Trabalho em país sem acordo (exemplo: Estados Unidos, China, Índia) não pode ser computado para a aposentadoria brasileira.</w:t>
            </w:r>
          </w:p>
          <w:p w14:paraId="3E6385C5" w14:textId="77777777" w:rsidR="005A5FCC" w:rsidRDefault="00A21C81">
            <w:pPr>
              <w:spacing w:after="30" w:line="240" w:lineRule="auto"/>
              <w:ind w:left="227" w:hanging="142"/>
            </w:pPr>
            <w:r>
              <w:rPr>
                <w:rFonts w:cs="EB Garamond"/>
                <w:kern w:val="16"/>
                <w:sz w:val="19"/>
                <w14:ligatures w14:val="standardContextual"/>
              </w:rPr>
              <w:t xml:space="preserve">2. </w:t>
            </w:r>
            <w:r>
              <w:rPr>
                <w:rFonts w:cs="EB Garamond"/>
                <w:b/>
                <w:kern w:val="16"/>
                <w:sz w:val="19"/>
                <w14:ligatures w14:val="standardContextual"/>
              </w:rPr>
              <w:t>O período totalizado não gera carência plena:</w:t>
            </w:r>
            <w:r>
              <w:rPr>
                <w:rFonts w:cs="EB Garamond"/>
                <w:kern w:val="16"/>
                <w:sz w:val="19"/>
                <w14:ligatures w14:val="standardContextual"/>
              </w:rPr>
              <w:t xml:space="preserve"> O tempo no exterior é utilizado para atingir o requisito mínimo, mas o benefício brasileiro será proporcional apenas ao tempo cumprido no Brasil.</w:t>
            </w:r>
          </w:p>
          <w:p w14:paraId="0B0FBA39" w14:textId="77777777" w:rsidR="005A5FCC" w:rsidRDefault="00A21C81">
            <w:pPr>
              <w:spacing w:after="30" w:line="240" w:lineRule="auto"/>
              <w:ind w:left="227" w:hanging="142"/>
            </w:pPr>
            <w:r>
              <w:rPr>
                <w:rFonts w:cs="EB Garamond"/>
                <w:kern w:val="16"/>
                <w:sz w:val="19"/>
                <w14:ligatures w14:val="standardContextual"/>
              </w:rPr>
              <w:t xml:space="preserve">3. </w:t>
            </w:r>
            <w:r>
              <w:rPr>
                <w:rFonts w:cs="EB Garamond"/>
                <w:b/>
                <w:kern w:val="16"/>
                <w:sz w:val="19"/>
                <w14:ligatures w14:val="standardContextual"/>
              </w:rPr>
              <w:t>Contribuições em moeda estrangeira:</w:t>
            </w:r>
            <w:r>
              <w:rPr>
                <w:rFonts w:cs="EB Garamond"/>
                <w:kern w:val="16"/>
                <w:sz w:val="19"/>
                <w14:ligatures w14:val="standardContextual"/>
              </w:rPr>
              <w:t xml:space="preserve"> Os salários de contribuição no exterior não são utilizados no cálculo do benefício brasileiro; apenas os salários de contribuição pagos ao RGPS são considerados.</w:t>
            </w:r>
          </w:p>
          <w:p w14:paraId="7567E682" w14:textId="77777777" w:rsidR="005A5FCC" w:rsidRDefault="00A21C81">
            <w:pPr>
              <w:spacing w:after="30" w:line="240" w:lineRule="auto"/>
              <w:ind w:left="227" w:hanging="142"/>
            </w:pPr>
            <w:r>
              <w:rPr>
                <w:rFonts w:cs="EB Garamond"/>
                <w:kern w:val="16"/>
                <w:sz w:val="19"/>
                <w14:ligatures w14:val="standardContextual"/>
              </w:rPr>
              <w:t xml:space="preserve">4. </w:t>
            </w:r>
            <w:r>
              <w:rPr>
                <w:rFonts w:cs="EB Garamond"/>
                <w:b/>
                <w:kern w:val="16"/>
                <w:sz w:val="19"/>
                <w14:ligatures w14:val="standardContextual"/>
              </w:rPr>
              <w:t>Competência:</w:t>
            </w:r>
            <w:r>
              <w:rPr>
                <w:rFonts w:cs="EB Garamond"/>
                <w:kern w:val="16"/>
                <w:sz w:val="19"/>
                <w14:ligatures w14:val="standardContextual"/>
              </w:rPr>
              <w:t xml:space="preserve"> Ações judiciais envolvendo acordo internacional de previdência são da competência da Justiça Federal (art. 109, III, CF/88 — causas fundadas em tratado internacional), podendo tramitar nos JEFs quando o valor da causa estiver dentro do teto.</w:t>
            </w:r>
          </w:p>
        </w:tc>
      </w:tr>
    </w:tbl>
    <w:p w14:paraId="4511F832" w14:textId="77777777" w:rsidR="005A5FCC" w:rsidRDefault="005A5FCC">
      <w:pPr>
        <w:spacing w:after="80" w:line="240" w:lineRule="auto"/>
      </w:pPr>
    </w:p>
    <w:p w14:paraId="5D6B60F1" w14:textId="77777777" w:rsidR="005A5FCC" w:rsidRDefault="00A21C81">
      <w:pPr>
        <w:spacing w:before="260" w:after="80" w:line="240" w:lineRule="auto"/>
        <w:jc w:val="left"/>
      </w:pPr>
      <w:r>
        <w:rPr>
          <w:rFonts w:cs="EB Garamond"/>
          <w:b/>
          <w:color w:val="3A3128"/>
          <w:kern w:val="16"/>
          <w:sz w:val="25"/>
          <w14:ligatures w14:val="standardContextual"/>
        </w:rPr>
        <w:t>10.16.4 Aposentadoria por idade e pessoa com deficiência</w:t>
      </w:r>
    </w:p>
    <w:p w14:paraId="7B72E20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015616A4" w14:textId="77777777" w:rsidR="005A5FCC" w:rsidRDefault="00A21C81">
      <w:r>
        <w:rPr>
          <w:rFonts w:cs="EB Garamond"/>
          <w:kern w:val="16"/>
          <w14:ligatures w14:val="standardContextual"/>
        </w:rPr>
        <w:t xml:space="preserve"> aposentadoria por idade da pessoa com deficiência é disciplinada pela LC 142/2013 e tem requisitos diferenciados: 60 anos (homem) ou 55 anos (mulher), independentemente do grau de deficiência, com 15 anos de contribuição na condição de pessoa com deficiência. Essa modalidade é objeto do Capítulo 12.</w:t>
      </w:r>
    </w:p>
    <w:p w14:paraId="5EAF3ADD" w14:textId="77777777" w:rsidR="005A5FCC" w:rsidRDefault="00A21C81">
      <w:pPr>
        <w:ind w:firstLine="238"/>
      </w:pPr>
      <w:r>
        <w:rPr>
          <w:rFonts w:cs="EB Garamond"/>
          <w:kern w:val="16"/>
          <w14:ligatures w14:val="standardContextual"/>
        </w:rPr>
        <w:t>A interface com a aposentadoria por idade comum (Capítulo 10) surge quando o segurado com deficiência não comprova a condição durante todo o período contributivo. Nesse caso, o período de contribuição como pessoa com deficiência pode ser convertido em tempo comum (e vice-versa), conforme os fatores de conversão estabelecidos na LC 142/2013 e no Decreto 8.145/2013.</w:t>
      </w:r>
    </w:p>
    <w:tbl>
      <w:tblPr>
        <w:tblW w:w="5000" w:type="pct"/>
        <w:jc w:val="center"/>
        <w:tblLayout w:type="fixed"/>
        <w:tblLook w:val="04A0" w:firstRow="1" w:lastRow="0" w:firstColumn="1" w:lastColumn="0" w:noHBand="0" w:noVBand="1"/>
      </w:tblPr>
      <w:tblGrid>
        <w:gridCol w:w="6311"/>
      </w:tblGrid>
      <w:tr w:rsidR="005A5FCC" w14:paraId="2E73C56F"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03720D5A" w14:textId="77777777" w:rsidR="005A5FCC" w:rsidRDefault="00A21C81">
            <w:pPr>
              <w:spacing w:after="60" w:line="240" w:lineRule="auto"/>
              <w:jc w:val="left"/>
            </w:pPr>
            <w:r>
              <w:rPr>
                <w:rFonts w:ascii="Noto Sans" w:hAnsi="Noto Sans" w:cs="Noto Sans"/>
                <w:b/>
                <w:caps/>
                <w:color w:val="B78B37"/>
                <w:kern w:val="16"/>
                <w:sz w:val="16"/>
                <w14:ligatures w14:val="standardContextual"/>
              </w:rPr>
              <w:lastRenderedPageBreak/>
              <w:t>ATENÇÃO</w:t>
            </w:r>
          </w:p>
          <w:p w14:paraId="4976E533" w14:textId="77777777" w:rsidR="005A5FCC" w:rsidRDefault="00A21C81">
            <w:pPr>
              <w:spacing w:after="60" w:line="247" w:lineRule="auto"/>
            </w:pPr>
            <w:r>
              <w:rPr>
                <w:rFonts w:cs="EB Garamond"/>
                <w:b/>
                <w:kern w:val="16"/>
                <w:sz w:val="19"/>
                <w14:ligatures w14:val="standardContextual"/>
              </w:rPr>
              <w:t>Deficiência e aposentadoria por idade — quando escolher cada via</w:t>
            </w:r>
          </w:p>
          <w:p w14:paraId="7143B582" w14:textId="77777777" w:rsidR="005A5FCC" w:rsidRDefault="00A21C81">
            <w:pPr>
              <w:spacing w:after="30" w:line="240" w:lineRule="auto"/>
              <w:ind w:left="227" w:hanging="142"/>
            </w:pPr>
            <w:r>
              <w:rPr>
                <w:rFonts w:cs="EB Garamond"/>
                <w:kern w:val="16"/>
                <w:sz w:val="19"/>
                <w14:ligatures w14:val="standardContextual"/>
              </w:rPr>
              <w:t xml:space="preserve">1. </w:t>
            </w:r>
            <w:r>
              <w:rPr>
                <w:rFonts w:cs="EB Garamond"/>
                <w:b/>
                <w:kern w:val="16"/>
                <w:sz w:val="19"/>
                <w14:ligatures w14:val="standardContextual"/>
              </w:rPr>
              <w:t>LC 142/2013:</w:t>
            </w:r>
            <w:r>
              <w:rPr>
                <w:rFonts w:cs="EB Garamond"/>
                <w:kern w:val="16"/>
                <w:sz w:val="19"/>
                <w14:ligatures w14:val="standardContextual"/>
              </w:rPr>
              <w:t xml:space="preserve"> Exige 60H/55M + 15 anos TC na condição de PcD + avaliação biopsicossocial. O coeficiente é de 70% + 1% por grupo de 12 contribuições (regra anterior, não afetada pela EC 103/2019 para a PcD). Não incide fator previdenciário.</w:t>
            </w:r>
          </w:p>
          <w:p w14:paraId="4D973037" w14:textId="77777777" w:rsidR="005A5FCC" w:rsidRDefault="00A21C81">
            <w:pPr>
              <w:spacing w:after="30" w:line="240" w:lineRule="auto"/>
              <w:ind w:left="227" w:hanging="142"/>
            </w:pPr>
            <w:r>
              <w:rPr>
                <w:rFonts w:cs="EB Garamond"/>
                <w:kern w:val="16"/>
                <w:sz w:val="19"/>
                <w14:ligatures w14:val="standardContextual"/>
              </w:rPr>
              <w:t xml:space="preserve">2. </w:t>
            </w:r>
            <w:r>
              <w:rPr>
                <w:rFonts w:cs="EB Garamond"/>
                <w:b/>
                <w:kern w:val="16"/>
                <w:sz w:val="19"/>
                <w14:ligatures w14:val="standardContextual"/>
              </w:rPr>
              <w:t>Regra geral (art. 18, EC 103):</w:t>
            </w:r>
            <w:r>
              <w:rPr>
                <w:rFonts w:cs="EB Garamond"/>
                <w:kern w:val="16"/>
                <w:sz w:val="19"/>
                <w14:ligatures w14:val="standardContextual"/>
              </w:rPr>
              <w:t xml:space="preserve"> Exige 65H/62M + 15 anos TC + 180 contribuições. Coeficiente de 60% + 2%/ano excedente.</w:t>
            </w:r>
          </w:p>
          <w:p w14:paraId="3C218EB7" w14:textId="77777777" w:rsidR="005A5FCC" w:rsidRDefault="00A21C81">
            <w:pPr>
              <w:spacing w:after="60" w:line="247" w:lineRule="auto"/>
            </w:pPr>
            <w:r>
              <w:rPr>
                <w:rFonts w:cs="EB Garamond"/>
                <w:b/>
                <w:kern w:val="16"/>
                <w:sz w:val="19"/>
                <w14:ligatures w14:val="standardContextual"/>
              </w:rPr>
              <w:t>Quando a LC 142 é mais vantajosa:</w:t>
            </w:r>
            <w:r>
              <w:rPr>
                <w:rFonts w:cs="EB Garamond"/>
                <w:kern w:val="16"/>
                <w:sz w:val="19"/>
                <w14:ligatures w14:val="standardContextual"/>
              </w:rPr>
              <w:t xml:space="preserve"> (a) idade inferior a 65H/62M; (b) coeficiente de 70%+1% é superior ao de 60%+2%; (c) ausência de fator previdenciário.</w:t>
            </w:r>
          </w:p>
          <w:p w14:paraId="6E6CC90F" w14:textId="77777777" w:rsidR="005A5FCC" w:rsidRDefault="00A21C81">
            <w:pPr>
              <w:spacing w:after="60" w:line="247" w:lineRule="auto"/>
            </w:pPr>
            <w:r>
              <w:rPr>
                <w:rFonts w:cs="EB Garamond"/>
                <w:b/>
                <w:kern w:val="16"/>
                <w:sz w:val="19"/>
                <w14:ligatures w14:val="standardContextual"/>
              </w:rPr>
              <w:t>Quando a regra geral pode ser preferível:</w:t>
            </w:r>
            <w:r>
              <w:rPr>
                <w:rFonts w:cs="EB Garamond"/>
                <w:kern w:val="16"/>
                <w:sz w:val="19"/>
                <w14:ligatures w14:val="standardContextual"/>
              </w:rPr>
              <w:t xml:space="preserve"> Quando o segurado tem deficiência apenas parcial do período contributivo e não consegue comprovar 15 anos como PcD.</w:t>
            </w:r>
          </w:p>
          <w:p w14:paraId="5E6A48B2" w14:textId="77777777" w:rsidR="005A5FCC" w:rsidRDefault="00A21C81">
            <w:pPr>
              <w:spacing w:after="60" w:line="247" w:lineRule="auto"/>
            </w:pPr>
            <w:r>
              <w:rPr>
                <w:rFonts w:cs="EB Garamond"/>
                <w:kern w:val="16"/>
                <w:sz w:val="19"/>
                <w14:ligatures w14:val="standardContextual"/>
              </w:rPr>
              <w:t>A escolha entre a LC 142/2013 e a regra geral, portanto, não é automática: depende de simular o benefício pelas duas vias e confrontar idade, coeficiente e incidência (ou não) do fator previdenciário no caso concreto.</w:t>
            </w:r>
          </w:p>
        </w:tc>
      </w:tr>
    </w:tbl>
    <w:p w14:paraId="2A69F4F7" w14:textId="77777777" w:rsidR="005A5FCC" w:rsidRDefault="005A5FCC">
      <w:pPr>
        <w:spacing w:after="80" w:line="240" w:lineRule="auto"/>
      </w:pPr>
    </w:p>
    <w:p w14:paraId="3DE75FB4"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10.17 Síntese e fluxograma decisório</w:t>
      </w:r>
    </w:p>
    <w:p w14:paraId="704F4A2A" w14:textId="77777777" w:rsidR="005A5FCC" w:rsidRDefault="00A21C81">
      <w:pPr>
        <w:spacing w:before="260" w:after="80" w:line="240" w:lineRule="auto"/>
        <w:jc w:val="left"/>
      </w:pPr>
      <w:r>
        <w:rPr>
          <w:rFonts w:cs="EB Garamond"/>
          <w:b/>
          <w:color w:val="3A3128"/>
          <w:kern w:val="16"/>
          <w:sz w:val="25"/>
          <w14:ligatures w14:val="standardContextual"/>
        </w:rPr>
        <w:t>10.17.1 Quadro-resumo das regras</w:t>
      </w:r>
    </w:p>
    <w:tbl>
      <w:tblPr>
        <w:tblW w:w="5000" w:type="pct"/>
        <w:jc w:val="center"/>
        <w:tblLook w:val="04A0" w:firstRow="1" w:lastRow="0" w:firstColumn="1" w:lastColumn="0" w:noHBand="0" w:noVBand="1"/>
      </w:tblPr>
      <w:tblGrid>
        <w:gridCol w:w="1248"/>
        <w:gridCol w:w="1223"/>
        <w:gridCol w:w="1435"/>
        <w:gridCol w:w="1208"/>
        <w:gridCol w:w="1226"/>
      </w:tblGrid>
      <w:tr w:rsidR="005A5FCC" w14:paraId="08DD62AA" w14:textId="77777777">
        <w:trPr>
          <w:tblHeader/>
          <w:jc w:val="center"/>
        </w:trPr>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2CDD1BEE" w14:textId="77777777" w:rsidR="005A5FCC" w:rsidRDefault="00A21C81">
            <w:pPr>
              <w:spacing w:before="40" w:after="40" w:line="240" w:lineRule="auto"/>
              <w:jc w:val="center"/>
            </w:pPr>
            <w:r>
              <w:rPr>
                <w:rFonts w:cs="EB Garamond"/>
                <w:b/>
                <w:color w:val="2F2923"/>
                <w:kern w:val="16"/>
                <w:sz w:val="18"/>
                <w14:ligatures w14:val="standardContextual"/>
              </w:rPr>
              <w:t>Regra</w:t>
            </w:r>
          </w:p>
        </w:tc>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398537E0" w14:textId="77777777" w:rsidR="005A5FCC" w:rsidRDefault="00A21C81">
            <w:pPr>
              <w:spacing w:before="40" w:after="40" w:line="240" w:lineRule="auto"/>
              <w:jc w:val="center"/>
            </w:pPr>
            <w:r>
              <w:rPr>
                <w:rFonts w:cs="EB Garamond"/>
                <w:b/>
                <w:color w:val="2F2923"/>
                <w:kern w:val="16"/>
                <w:sz w:val="18"/>
                <w14:ligatures w14:val="standardContextual"/>
              </w:rPr>
              <w:t>Idade (H/M)</w:t>
            </w:r>
          </w:p>
        </w:tc>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46BD71FA" w14:textId="77777777" w:rsidR="005A5FCC" w:rsidRDefault="00A21C81">
            <w:pPr>
              <w:spacing w:before="40" w:after="40" w:line="240" w:lineRule="auto"/>
              <w:jc w:val="center"/>
            </w:pPr>
            <w:r>
              <w:rPr>
                <w:rFonts w:cs="EB Garamond"/>
                <w:b/>
                <w:color w:val="2F2923"/>
                <w:kern w:val="16"/>
                <w:sz w:val="18"/>
                <w14:ligatures w14:val="standardContextual"/>
              </w:rPr>
              <w:t>TC mínimo (H/M)</w:t>
            </w:r>
          </w:p>
        </w:tc>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6CCA6959" w14:textId="77777777" w:rsidR="005A5FCC" w:rsidRDefault="00A21C81">
            <w:pPr>
              <w:spacing w:before="40" w:after="40" w:line="240" w:lineRule="auto"/>
              <w:jc w:val="center"/>
            </w:pPr>
            <w:r>
              <w:rPr>
                <w:rFonts w:cs="EB Garamond"/>
                <w:b/>
                <w:color w:val="2F2923"/>
                <w:kern w:val="16"/>
                <w:sz w:val="18"/>
                <w14:ligatures w14:val="standardContextual"/>
              </w:rPr>
              <w:t>Carência</w:t>
            </w:r>
          </w:p>
        </w:tc>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2C3859E5" w14:textId="77777777" w:rsidR="005A5FCC" w:rsidRDefault="00A21C81">
            <w:pPr>
              <w:spacing w:before="40" w:after="40" w:line="240" w:lineRule="auto"/>
              <w:jc w:val="center"/>
            </w:pPr>
            <w:r>
              <w:rPr>
                <w:rFonts w:cs="EB Garamond"/>
                <w:b/>
                <w:color w:val="2F2923"/>
                <w:kern w:val="16"/>
                <w:sz w:val="18"/>
                <w14:ligatures w14:val="standardContextual"/>
              </w:rPr>
              <w:t>Cálculo</w:t>
            </w:r>
          </w:p>
        </w:tc>
      </w:tr>
      <w:tr w:rsidR="005A5FCC" w14:paraId="6DDCCC7A"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301EB746" w14:textId="77777777" w:rsidR="005A5FCC" w:rsidRDefault="00A21C81">
            <w:pPr>
              <w:spacing w:before="20" w:after="20" w:line="240" w:lineRule="auto"/>
              <w:jc w:val="left"/>
            </w:pPr>
            <w:r>
              <w:rPr>
                <w:rFonts w:cs="EB Garamond"/>
                <w:b/>
                <w:kern w:val="16"/>
                <w:sz w:val="18"/>
                <w14:ligatures w14:val="standardContextual"/>
              </w:rPr>
              <w:t>Pré-EC 103 (direito adquirido)</w:t>
            </w:r>
          </w:p>
        </w:tc>
        <w:tc>
          <w:tcPr>
            <w:tcW w:w="1270" w:type="dxa"/>
            <w:tcBorders>
              <w:top w:val="single" w:sz="4" w:space="0" w:color="D2C9B8"/>
              <w:left w:val="single" w:sz="4" w:space="0" w:color="D2C9B8"/>
              <w:bottom w:val="single" w:sz="4" w:space="0" w:color="D2C9B8"/>
              <w:right w:val="single" w:sz="4" w:space="0" w:color="D2C9B8"/>
            </w:tcBorders>
          </w:tcPr>
          <w:p w14:paraId="2569D604" w14:textId="77777777" w:rsidR="005A5FCC" w:rsidRDefault="00A21C81">
            <w:pPr>
              <w:spacing w:before="20" w:after="20" w:line="240" w:lineRule="auto"/>
              <w:jc w:val="left"/>
            </w:pPr>
            <w:r>
              <w:rPr>
                <w:rFonts w:cs="EB Garamond"/>
                <w:kern w:val="16"/>
                <w:sz w:val="18"/>
                <w14:ligatures w14:val="standardContextual"/>
              </w:rPr>
              <w:t>65/60</w:t>
            </w:r>
          </w:p>
        </w:tc>
        <w:tc>
          <w:tcPr>
            <w:tcW w:w="1270" w:type="dxa"/>
            <w:tcBorders>
              <w:top w:val="single" w:sz="4" w:space="0" w:color="D2C9B8"/>
              <w:left w:val="single" w:sz="4" w:space="0" w:color="D2C9B8"/>
              <w:bottom w:val="single" w:sz="4" w:space="0" w:color="D2C9B8"/>
              <w:right w:val="single" w:sz="4" w:space="0" w:color="D2C9B8"/>
            </w:tcBorders>
          </w:tcPr>
          <w:p w14:paraId="68442C45" w14:textId="77777777" w:rsidR="005A5FCC" w:rsidRDefault="00A21C81">
            <w:pPr>
              <w:spacing w:before="20" w:after="20" w:line="240" w:lineRule="auto"/>
              <w:jc w:val="left"/>
            </w:pPr>
            <w:r>
              <w:rPr>
                <w:rFonts w:cs="EB Garamond"/>
                <w:kern w:val="16"/>
                <w:sz w:val="18"/>
                <w14:ligatures w14:val="standardContextual"/>
              </w:rPr>
              <w:t>—</w:t>
            </w:r>
          </w:p>
        </w:tc>
        <w:tc>
          <w:tcPr>
            <w:tcW w:w="1270" w:type="dxa"/>
            <w:tcBorders>
              <w:top w:val="single" w:sz="4" w:space="0" w:color="D2C9B8"/>
              <w:left w:val="single" w:sz="4" w:space="0" w:color="D2C9B8"/>
              <w:bottom w:val="single" w:sz="4" w:space="0" w:color="D2C9B8"/>
              <w:right w:val="single" w:sz="4" w:space="0" w:color="D2C9B8"/>
            </w:tcBorders>
          </w:tcPr>
          <w:p w14:paraId="1A634496" w14:textId="77777777" w:rsidR="005A5FCC" w:rsidRDefault="00A21C81">
            <w:pPr>
              <w:spacing w:before="20" w:after="20" w:line="240" w:lineRule="auto"/>
              <w:jc w:val="left"/>
            </w:pPr>
            <w:r>
              <w:rPr>
                <w:rFonts w:cs="EB Garamond"/>
                <w:kern w:val="16"/>
                <w:sz w:val="18"/>
                <w14:ligatures w14:val="standardContextual"/>
              </w:rPr>
              <w:t>180 contrib.</w:t>
            </w:r>
          </w:p>
        </w:tc>
        <w:tc>
          <w:tcPr>
            <w:tcW w:w="1270" w:type="dxa"/>
            <w:tcBorders>
              <w:top w:val="single" w:sz="4" w:space="0" w:color="D2C9B8"/>
              <w:left w:val="single" w:sz="4" w:space="0" w:color="D2C9B8"/>
              <w:bottom w:val="single" w:sz="4" w:space="0" w:color="D2C9B8"/>
              <w:right w:val="single" w:sz="4" w:space="0" w:color="D2C9B8"/>
            </w:tcBorders>
          </w:tcPr>
          <w:p w14:paraId="6D4AE915" w14:textId="77777777" w:rsidR="005A5FCC" w:rsidRDefault="00A21C81">
            <w:pPr>
              <w:spacing w:before="20" w:after="20" w:line="240" w:lineRule="auto"/>
              <w:jc w:val="left"/>
            </w:pPr>
            <w:r>
              <w:rPr>
                <w:rFonts w:cs="EB Garamond"/>
                <w:kern w:val="16"/>
                <w:sz w:val="18"/>
                <w14:ligatures w14:val="standardContextual"/>
              </w:rPr>
              <w:t>80% maiores SC × (70% + 1%/12 contrib.)</w:t>
            </w:r>
          </w:p>
        </w:tc>
      </w:tr>
      <w:tr w:rsidR="005A5FCC" w14:paraId="4AA884B8"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4A9D5C48" w14:textId="77777777" w:rsidR="005A5FCC" w:rsidRDefault="00A21C81">
            <w:pPr>
              <w:spacing w:before="20" w:after="20" w:line="240" w:lineRule="auto"/>
              <w:jc w:val="left"/>
            </w:pPr>
            <w:r>
              <w:rPr>
                <w:rFonts w:cs="EB Garamond"/>
                <w:b/>
                <w:kern w:val="16"/>
                <w:sz w:val="18"/>
                <w14:ligatures w14:val="standardContextual"/>
              </w:rPr>
              <w:t>Art. 18 EC 103 (transição)</w:t>
            </w:r>
          </w:p>
        </w:tc>
        <w:tc>
          <w:tcPr>
            <w:tcW w:w="1270" w:type="dxa"/>
            <w:tcBorders>
              <w:top w:val="single" w:sz="4" w:space="0" w:color="D2C9B8"/>
              <w:left w:val="single" w:sz="4" w:space="0" w:color="D2C9B8"/>
              <w:bottom w:val="single" w:sz="4" w:space="0" w:color="D2C9B8"/>
              <w:right w:val="single" w:sz="4" w:space="0" w:color="D2C9B8"/>
            </w:tcBorders>
          </w:tcPr>
          <w:p w14:paraId="11EA08A8" w14:textId="77777777" w:rsidR="005A5FCC" w:rsidRDefault="00A21C81">
            <w:pPr>
              <w:spacing w:before="20" w:after="20" w:line="240" w:lineRule="auto"/>
              <w:jc w:val="left"/>
            </w:pPr>
            <w:r>
              <w:rPr>
                <w:rFonts w:cs="EB Garamond"/>
                <w:kern w:val="16"/>
                <w:sz w:val="18"/>
                <w14:ligatures w14:val="standardContextual"/>
              </w:rPr>
              <w:t>65/62</w:t>
            </w:r>
          </w:p>
        </w:tc>
        <w:tc>
          <w:tcPr>
            <w:tcW w:w="1270" w:type="dxa"/>
            <w:tcBorders>
              <w:top w:val="single" w:sz="4" w:space="0" w:color="D2C9B8"/>
              <w:left w:val="single" w:sz="4" w:space="0" w:color="D2C9B8"/>
              <w:bottom w:val="single" w:sz="4" w:space="0" w:color="D2C9B8"/>
              <w:right w:val="single" w:sz="4" w:space="0" w:color="D2C9B8"/>
            </w:tcBorders>
          </w:tcPr>
          <w:p w14:paraId="5A5AC7FB" w14:textId="77777777" w:rsidR="005A5FCC" w:rsidRDefault="00A21C81">
            <w:pPr>
              <w:spacing w:before="20" w:after="20" w:line="240" w:lineRule="auto"/>
              <w:jc w:val="left"/>
            </w:pPr>
            <w:r>
              <w:rPr>
                <w:rFonts w:cs="EB Garamond"/>
                <w:kern w:val="16"/>
                <w:sz w:val="18"/>
                <w14:ligatures w14:val="standardContextual"/>
              </w:rPr>
              <w:t>15/15</w:t>
            </w:r>
          </w:p>
        </w:tc>
        <w:tc>
          <w:tcPr>
            <w:tcW w:w="1270" w:type="dxa"/>
            <w:tcBorders>
              <w:top w:val="single" w:sz="4" w:space="0" w:color="D2C9B8"/>
              <w:left w:val="single" w:sz="4" w:space="0" w:color="D2C9B8"/>
              <w:bottom w:val="single" w:sz="4" w:space="0" w:color="D2C9B8"/>
              <w:right w:val="single" w:sz="4" w:space="0" w:color="D2C9B8"/>
            </w:tcBorders>
          </w:tcPr>
          <w:p w14:paraId="67B6D5CD" w14:textId="77777777" w:rsidR="005A5FCC" w:rsidRDefault="00A21C81">
            <w:pPr>
              <w:spacing w:before="20" w:after="20" w:line="240" w:lineRule="auto"/>
              <w:jc w:val="left"/>
            </w:pPr>
            <w:r>
              <w:rPr>
                <w:rFonts w:cs="EB Garamond"/>
                <w:kern w:val="16"/>
                <w:sz w:val="18"/>
                <w14:ligatures w14:val="standardContextual"/>
              </w:rPr>
              <w:t>180 contrib.</w:t>
            </w:r>
          </w:p>
        </w:tc>
        <w:tc>
          <w:tcPr>
            <w:tcW w:w="1270" w:type="dxa"/>
            <w:tcBorders>
              <w:top w:val="single" w:sz="4" w:space="0" w:color="D2C9B8"/>
              <w:left w:val="single" w:sz="4" w:space="0" w:color="D2C9B8"/>
              <w:bottom w:val="single" w:sz="4" w:space="0" w:color="D2C9B8"/>
              <w:right w:val="single" w:sz="4" w:space="0" w:color="D2C9B8"/>
            </w:tcBorders>
          </w:tcPr>
          <w:p w14:paraId="6C350FB5" w14:textId="77777777" w:rsidR="005A5FCC" w:rsidRDefault="00A21C81">
            <w:pPr>
              <w:spacing w:before="20" w:after="20" w:line="240" w:lineRule="auto"/>
              <w:jc w:val="left"/>
            </w:pPr>
            <w:r>
              <w:rPr>
                <w:rFonts w:cs="EB Garamond"/>
                <w:kern w:val="16"/>
                <w:sz w:val="18"/>
                <w14:ligatures w14:val="standardContextual"/>
              </w:rPr>
              <w:t>100% SC × (60% + 2%/ano excedente)</w:t>
            </w:r>
          </w:p>
        </w:tc>
      </w:tr>
      <w:tr w:rsidR="005A5FCC" w14:paraId="603F819F"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3DF86B53" w14:textId="77777777" w:rsidR="005A5FCC" w:rsidRDefault="00A21C81">
            <w:pPr>
              <w:spacing w:before="20" w:after="20" w:line="240" w:lineRule="auto"/>
              <w:jc w:val="left"/>
            </w:pPr>
            <w:r>
              <w:rPr>
                <w:rFonts w:cs="EB Garamond"/>
                <w:b/>
                <w:kern w:val="16"/>
                <w:sz w:val="18"/>
                <w14:ligatures w14:val="standardContextual"/>
              </w:rPr>
              <w:t>Regra permanente (programada)</w:t>
            </w:r>
          </w:p>
        </w:tc>
        <w:tc>
          <w:tcPr>
            <w:tcW w:w="1270" w:type="dxa"/>
            <w:tcBorders>
              <w:top w:val="single" w:sz="4" w:space="0" w:color="D2C9B8"/>
              <w:left w:val="single" w:sz="4" w:space="0" w:color="D2C9B8"/>
              <w:bottom w:val="single" w:sz="4" w:space="0" w:color="D2C9B8"/>
              <w:right w:val="single" w:sz="4" w:space="0" w:color="D2C9B8"/>
            </w:tcBorders>
          </w:tcPr>
          <w:p w14:paraId="7E3A18E1" w14:textId="77777777" w:rsidR="005A5FCC" w:rsidRDefault="00A21C81">
            <w:pPr>
              <w:spacing w:before="20" w:after="20" w:line="240" w:lineRule="auto"/>
              <w:jc w:val="left"/>
            </w:pPr>
            <w:r>
              <w:rPr>
                <w:rFonts w:cs="EB Garamond"/>
                <w:kern w:val="16"/>
                <w:sz w:val="18"/>
                <w14:ligatures w14:val="standardContextual"/>
              </w:rPr>
              <w:t>65/62</w:t>
            </w:r>
          </w:p>
        </w:tc>
        <w:tc>
          <w:tcPr>
            <w:tcW w:w="1270" w:type="dxa"/>
            <w:tcBorders>
              <w:top w:val="single" w:sz="4" w:space="0" w:color="D2C9B8"/>
              <w:left w:val="single" w:sz="4" w:space="0" w:color="D2C9B8"/>
              <w:bottom w:val="single" w:sz="4" w:space="0" w:color="D2C9B8"/>
              <w:right w:val="single" w:sz="4" w:space="0" w:color="D2C9B8"/>
            </w:tcBorders>
          </w:tcPr>
          <w:p w14:paraId="15D965C1" w14:textId="77777777" w:rsidR="005A5FCC" w:rsidRDefault="00A21C81">
            <w:pPr>
              <w:spacing w:before="20" w:after="20" w:line="240" w:lineRule="auto"/>
              <w:jc w:val="left"/>
            </w:pPr>
            <w:r>
              <w:rPr>
                <w:rFonts w:cs="EB Garamond"/>
                <w:kern w:val="16"/>
                <w:sz w:val="18"/>
                <w14:ligatures w14:val="standardContextual"/>
              </w:rPr>
              <w:t>20/15</w:t>
            </w:r>
          </w:p>
        </w:tc>
        <w:tc>
          <w:tcPr>
            <w:tcW w:w="1270" w:type="dxa"/>
            <w:tcBorders>
              <w:top w:val="single" w:sz="4" w:space="0" w:color="D2C9B8"/>
              <w:left w:val="single" w:sz="4" w:space="0" w:color="D2C9B8"/>
              <w:bottom w:val="single" w:sz="4" w:space="0" w:color="D2C9B8"/>
              <w:right w:val="single" w:sz="4" w:space="0" w:color="D2C9B8"/>
            </w:tcBorders>
          </w:tcPr>
          <w:p w14:paraId="502153E3" w14:textId="77777777" w:rsidR="005A5FCC" w:rsidRDefault="00A21C81">
            <w:pPr>
              <w:spacing w:before="20" w:after="20" w:line="240" w:lineRule="auto"/>
              <w:jc w:val="left"/>
            </w:pPr>
            <w:r>
              <w:rPr>
                <w:rFonts w:cs="EB Garamond"/>
                <w:kern w:val="16"/>
                <w:sz w:val="18"/>
                <w14:ligatures w14:val="standardContextual"/>
              </w:rPr>
              <w:t>180 contrib.</w:t>
            </w:r>
          </w:p>
        </w:tc>
        <w:tc>
          <w:tcPr>
            <w:tcW w:w="1270" w:type="dxa"/>
            <w:tcBorders>
              <w:top w:val="single" w:sz="4" w:space="0" w:color="D2C9B8"/>
              <w:left w:val="single" w:sz="4" w:space="0" w:color="D2C9B8"/>
              <w:bottom w:val="single" w:sz="4" w:space="0" w:color="D2C9B8"/>
              <w:right w:val="single" w:sz="4" w:space="0" w:color="D2C9B8"/>
            </w:tcBorders>
          </w:tcPr>
          <w:p w14:paraId="299BFCD7" w14:textId="77777777" w:rsidR="005A5FCC" w:rsidRDefault="00A21C81">
            <w:pPr>
              <w:spacing w:before="20" w:after="20" w:line="240" w:lineRule="auto"/>
              <w:jc w:val="left"/>
            </w:pPr>
            <w:r>
              <w:rPr>
                <w:rFonts w:cs="EB Garamond"/>
                <w:kern w:val="16"/>
                <w:sz w:val="18"/>
                <w14:ligatures w14:val="standardContextual"/>
              </w:rPr>
              <w:t xml:space="preserve">100% SC × (60% + </w:t>
            </w:r>
            <w:r>
              <w:rPr>
                <w:rFonts w:cs="EB Garamond"/>
                <w:kern w:val="16"/>
                <w:sz w:val="18"/>
                <w14:ligatures w14:val="standardContextual"/>
              </w:rPr>
              <w:lastRenderedPageBreak/>
              <w:t>2%/ano excedente)</w:t>
            </w:r>
          </w:p>
        </w:tc>
      </w:tr>
      <w:tr w:rsidR="005A5FCC" w14:paraId="6FC0AAB2"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7F5C8F78" w14:textId="77777777" w:rsidR="005A5FCC" w:rsidRDefault="00A21C81">
            <w:pPr>
              <w:spacing w:before="20" w:after="20" w:line="240" w:lineRule="auto"/>
              <w:jc w:val="left"/>
            </w:pPr>
            <w:r>
              <w:rPr>
                <w:rFonts w:cs="EB Garamond"/>
                <w:b/>
                <w:kern w:val="16"/>
                <w:sz w:val="18"/>
                <w14:ligatures w14:val="standardContextual"/>
              </w:rPr>
              <w:lastRenderedPageBreak/>
              <w:t>Art. 20 EC 103 (pedágio 100%)</w:t>
            </w:r>
          </w:p>
        </w:tc>
        <w:tc>
          <w:tcPr>
            <w:tcW w:w="1270" w:type="dxa"/>
            <w:tcBorders>
              <w:top w:val="single" w:sz="4" w:space="0" w:color="D2C9B8"/>
              <w:left w:val="single" w:sz="4" w:space="0" w:color="D2C9B8"/>
              <w:bottom w:val="single" w:sz="4" w:space="0" w:color="D2C9B8"/>
              <w:right w:val="single" w:sz="4" w:space="0" w:color="D2C9B8"/>
            </w:tcBorders>
          </w:tcPr>
          <w:p w14:paraId="1CF8DF37" w14:textId="77777777" w:rsidR="005A5FCC" w:rsidRDefault="00A21C81">
            <w:pPr>
              <w:spacing w:before="20" w:after="20" w:line="240" w:lineRule="auto"/>
              <w:jc w:val="left"/>
            </w:pPr>
            <w:r>
              <w:rPr>
                <w:rFonts w:cs="EB Garamond"/>
                <w:kern w:val="16"/>
                <w:sz w:val="18"/>
                <w14:ligatures w14:val="standardContextual"/>
              </w:rPr>
              <w:t>60/57</w:t>
            </w:r>
          </w:p>
        </w:tc>
        <w:tc>
          <w:tcPr>
            <w:tcW w:w="1270" w:type="dxa"/>
            <w:tcBorders>
              <w:top w:val="single" w:sz="4" w:space="0" w:color="D2C9B8"/>
              <w:left w:val="single" w:sz="4" w:space="0" w:color="D2C9B8"/>
              <w:bottom w:val="single" w:sz="4" w:space="0" w:color="D2C9B8"/>
              <w:right w:val="single" w:sz="4" w:space="0" w:color="D2C9B8"/>
            </w:tcBorders>
          </w:tcPr>
          <w:p w14:paraId="1297F4C2" w14:textId="77777777" w:rsidR="005A5FCC" w:rsidRDefault="00A21C81">
            <w:pPr>
              <w:spacing w:before="20" w:after="20" w:line="240" w:lineRule="auto"/>
              <w:jc w:val="left"/>
            </w:pPr>
            <w:r>
              <w:rPr>
                <w:rFonts w:cs="EB Garamond"/>
                <w:kern w:val="16"/>
                <w:sz w:val="18"/>
                <w14:ligatures w14:val="standardContextual"/>
              </w:rPr>
              <w:t>35+ped./30+ped.</w:t>
            </w:r>
          </w:p>
        </w:tc>
        <w:tc>
          <w:tcPr>
            <w:tcW w:w="1270" w:type="dxa"/>
            <w:tcBorders>
              <w:top w:val="single" w:sz="4" w:space="0" w:color="D2C9B8"/>
              <w:left w:val="single" w:sz="4" w:space="0" w:color="D2C9B8"/>
              <w:bottom w:val="single" w:sz="4" w:space="0" w:color="D2C9B8"/>
              <w:right w:val="single" w:sz="4" w:space="0" w:color="D2C9B8"/>
            </w:tcBorders>
          </w:tcPr>
          <w:p w14:paraId="6A957DA8" w14:textId="77777777" w:rsidR="005A5FCC" w:rsidRDefault="00A21C81">
            <w:pPr>
              <w:spacing w:before="20" w:after="20" w:line="240" w:lineRule="auto"/>
              <w:jc w:val="left"/>
            </w:pPr>
            <w:r>
              <w:rPr>
                <w:rFonts w:cs="EB Garamond"/>
                <w:kern w:val="16"/>
                <w:sz w:val="18"/>
                <w14:ligatures w14:val="standardContextual"/>
              </w:rPr>
              <w:t>180 contrib.</w:t>
            </w:r>
          </w:p>
        </w:tc>
        <w:tc>
          <w:tcPr>
            <w:tcW w:w="1270" w:type="dxa"/>
            <w:tcBorders>
              <w:top w:val="single" w:sz="4" w:space="0" w:color="D2C9B8"/>
              <w:left w:val="single" w:sz="4" w:space="0" w:color="D2C9B8"/>
              <w:bottom w:val="single" w:sz="4" w:space="0" w:color="D2C9B8"/>
              <w:right w:val="single" w:sz="4" w:space="0" w:color="D2C9B8"/>
            </w:tcBorders>
          </w:tcPr>
          <w:p w14:paraId="0402854E" w14:textId="77777777" w:rsidR="005A5FCC" w:rsidRDefault="00A21C81">
            <w:pPr>
              <w:spacing w:before="20" w:after="20" w:line="240" w:lineRule="auto"/>
              <w:jc w:val="left"/>
            </w:pPr>
            <w:r>
              <w:rPr>
                <w:rFonts w:cs="EB Garamond"/>
                <w:kern w:val="16"/>
                <w:sz w:val="18"/>
                <w14:ligatures w14:val="standardContextual"/>
              </w:rPr>
              <w:t xml:space="preserve">100% SC × </w:t>
            </w:r>
            <w:r>
              <w:rPr>
                <w:rFonts w:cs="EB Garamond"/>
                <w:b/>
                <w:kern w:val="16"/>
                <w:sz w:val="18"/>
                <w14:ligatures w14:val="standardContextual"/>
              </w:rPr>
              <w:t>100%</w:t>
            </w:r>
          </w:p>
        </w:tc>
      </w:tr>
      <w:tr w:rsidR="005A5FCC" w14:paraId="774D3313"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4D6152B1" w14:textId="77777777" w:rsidR="005A5FCC" w:rsidRDefault="00A21C81">
            <w:pPr>
              <w:spacing w:before="20" w:after="20" w:line="240" w:lineRule="auto"/>
              <w:jc w:val="left"/>
            </w:pPr>
            <w:r>
              <w:rPr>
                <w:rFonts w:cs="EB Garamond"/>
                <w:b/>
                <w:kern w:val="16"/>
                <w:sz w:val="18"/>
                <w14:ligatures w14:val="standardContextual"/>
              </w:rPr>
              <w:t>PcD (LC 142/2013)</w:t>
            </w:r>
          </w:p>
        </w:tc>
        <w:tc>
          <w:tcPr>
            <w:tcW w:w="1270" w:type="dxa"/>
            <w:tcBorders>
              <w:top w:val="single" w:sz="4" w:space="0" w:color="D2C9B8"/>
              <w:left w:val="single" w:sz="4" w:space="0" w:color="D2C9B8"/>
              <w:bottom w:val="single" w:sz="4" w:space="0" w:color="D2C9B8"/>
              <w:right w:val="single" w:sz="4" w:space="0" w:color="D2C9B8"/>
            </w:tcBorders>
          </w:tcPr>
          <w:p w14:paraId="29AE3D06" w14:textId="77777777" w:rsidR="005A5FCC" w:rsidRDefault="00A21C81">
            <w:pPr>
              <w:spacing w:before="20" w:after="20" w:line="240" w:lineRule="auto"/>
              <w:jc w:val="left"/>
            </w:pPr>
            <w:r>
              <w:rPr>
                <w:rFonts w:cs="EB Garamond"/>
                <w:kern w:val="16"/>
                <w:sz w:val="18"/>
                <w14:ligatures w14:val="standardContextual"/>
              </w:rPr>
              <w:t>60/55</w:t>
            </w:r>
          </w:p>
        </w:tc>
        <w:tc>
          <w:tcPr>
            <w:tcW w:w="1270" w:type="dxa"/>
            <w:tcBorders>
              <w:top w:val="single" w:sz="4" w:space="0" w:color="D2C9B8"/>
              <w:left w:val="single" w:sz="4" w:space="0" w:color="D2C9B8"/>
              <w:bottom w:val="single" w:sz="4" w:space="0" w:color="D2C9B8"/>
              <w:right w:val="single" w:sz="4" w:space="0" w:color="D2C9B8"/>
            </w:tcBorders>
          </w:tcPr>
          <w:p w14:paraId="1C67D82A" w14:textId="77777777" w:rsidR="005A5FCC" w:rsidRDefault="00A21C81">
            <w:pPr>
              <w:spacing w:before="20" w:after="20" w:line="240" w:lineRule="auto"/>
              <w:jc w:val="left"/>
            </w:pPr>
            <w:r>
              <w:rPr>
                <w:rFonts w:cs="EB Garamond"/>
                <w:kern w:val="16"/>
                <w:sz w:val="18"/>
                <w14:ligatures w14:val="standardContextual"/>
              </w:rPr>
              <w:t>15 PcD</w:t>
            </w:r>
          </w:p>
        </w:tc>
        <w:tc>
          <w:tcPr>
            <w:tcW w:w="1270" w:type="dxa"/>
            <w:tcBorders>
              <w:top w:val="single" w:sz="4" w:space="0" w:color="D2C9B8"/>
              <w:left w:val="single" w:sz="4" w:space="0" w:color="D2C9B8"/>
              <w:bottom w:val="single" w:sz="4" w:space="0" w:color="D2C9B8"/>
              <w:right w:val="single" w:sz="4" w:space="0" w:color="D2C9B8"/>
            </w:tcBorders>
          </w:tcPr>
          <w:p w14:paraId="56DC7396" w14:textId="77777777" w:rsidR="005A5FCC" w:rsidRDefault="00A21C81">
            <w:pPr>
              <w:spacing w:before="20" w:after="20" w:line="240" w:lineRule="auto"/>
              <w:jc w:val="left"/>
            </w:pPr>
            <w:r>
              <w:rPr>
                <w:rFonts w:cs="EB Garamond"/>
                <w:kern w:val="16"/>
                <w:sz w:val="18"/>
                <w14:ligatures w14:val="standardContextual"/>
              </w:rPr>
              <w:t>180 contrib.</w:t>
            </w:r>
          </w:p>
        </w:tc>
        <w:tc>
          <w:tcPr>
            <w:tcW w:w="1270" w:type="dxa"/>
            <w:tcBorders>
              <w:top w:val="single" w:sz="4" w:space="0" w:color="D2C9B8"/>
              <w:left w:val="single" w:sz="4" w:space="0" w:color="D2C9B8"/>
              <w:bottom w:val="single" w:sz="4" w:space="0" w:color="D2C9B8"/>
              <w:right w:val="single" w:sz="4" w:space="0" w:color="D2C9B8"/>
            </w:tcBorders>
          </w:tcPr>
          <w:p w14:paraId="624B2166" w14:textId="77777777" w:rsidR="005A5FCC" w:rsidRDefault="00A21C81">
            <w:pPr>
              <w:spacing w:before="20" w:after="20" w:line="240" w:lineRule="auto"/>
              <w:jc w:val="left"/>
            </w:pPr>
            <w:r>
              <w:rPr>
                <w:rFonts w:cs="EB Garamond"/>
                <w:kern w:val="16"/>
                <w:sz w:val="18"/>
                <w14:ligatures w14:val="standardContextual"/>
              </w:rPr>
              <w:t>80% maiores × (70% + 1%/12 contrib.)</w:t>
            </w:r>
          </w:p>
        </w:tc>
      </w:tr>
    </w:tbl>
    <w:p w14:paraId="67AD44C1" w14:textId="77777777" w:rsidR="005A5FCC" w:rsidRDefault="005A5FCC">
      <w:pPr>
        <w:spacing w:after="80" w:line="240" w:lineRule="auto"/>
      </w:pPr>
    </w:p>
    <w:p w14:paraId="7D338CD5" w14:textId="77777777" w:rsidR="005A5FCC" w:rsidRDefault="00A21C81">
      <w:pPr>
        <w:spacing w:before="260" w:after="80" w:line="240" w:lineRule="auto"/>
        <w:jc w:val="left"/>
      </w:pPr>
      <w:r>
        <w:rPr>
          <w:rFonts w:cs="EB Garamond"/>
          <w:b/>
          <w:color w:val="3A3128"/>
          <w:kern w:val="16"/>
          <w:sz w:val="25"/>
          <w14:ligatures w14:val="standardContextual"/>
        </w:rPr>
        <w:t>10.17.2 Fluxograma de orientação ao segurado</w:t>
      </w:r>
    </w:p>
    <w:p w14:paraId="3DAEB6B9"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72A4AE0C" w14:textId="77777777" w:rsidR="005A5FCC" w:rsidRDefault="00A21C81">
      <w:r>
        <w:rPr>
          <w:rFonts w:cs="EB Garamond"/>
          <w:kern w:val="16"/>
          <w14:ligatures w14:val="standardContextual"/>
        </w:rPr>
        <w:t xml:space="preserve"> advogado que recebe um cliente buscando aposentadoria por idade deve seguir o seguinte roteiro decisório:</w:t>
      </w:r>
    </w:p>
    <w:p w14:paraId="32B5F035" w14:textId="77777777" w:rsidR="005A5FCC" w:rsidRDefault="00A21C81">
      <w:pPr>
        <w:ind w:firstLine="238"/>
      </w:pPr>
      <w:r>
        <w:rPr>
          <w:rFonts w:cs="EB Garamond"/>
          <w:b/>
          <w:kern w:val="16"/>
          <w14:ligatures w14:val="standardContextual"/>
        </w:rPr>
        <w:t>Passo 1:</w:t>
      </w:r>
      <w:r>
        <w:rPr>
          <w:rFonts w:cs="EB Garamond"/>
          <w:kern w:val="16"/>
          <w14:ligatures w14:val="standardContextual"/>
        </w:rPr>
        <w:t xml:space="preserve"> Verificar a data de nascimento e calcular a idade atual.</w:t>
      </w:r>
    </w:p>
    <w:p w14:paraId="08CCDFD3" w14:textId="77777777" w:rsidR="005A5FCC" w:rsidRDefault="00A21C81">
      <w:pPr>
        <w:ind w:firstLine="238"/>
      </w:pPr>
      <w:r>
        <w:rPr>
          <w:rFonts w:cs="EB Garamond"/>
          <w:b/>
          <w:kern w:val="16"/>
          <w14:ligatures w14:val="standardContextual"/>
        </w:rPr>
        <w:t>Passo 2:</w:t>
      </w:r>
      <w:r>
        <w:rPr>
          <w:rFonts w:cs="EB Garamond"/>
          <w:kern w:val="16"/>
          <w14:ligatures w14:val="standardContextual"/>
        </w:rPr>
        <w:t xml:space="preserve"> Obter o CNIS e apurar: (a) data da primeira filiação ao RGPS; (b) total de contribuições de carência; (c) total de tempo de contribuição.</w:t>
      </w:r>
    </w:p>
    <w:p w14:paraId="36B34877" w14:textId="77777777" w:rsidR="005A5FCC" w:rsidRDefault="00A21C81">
      <w:pPr>
        <w:ind w:firstLine="238"/>
      </w:pPr>
      <w:r>
        <w:rPr>
          <w:rFonts w:cs="EB Garamond"/>
          <w:b/>
          <w:kern w:val="16"/>
          <w14:ligatures w14:val="standardContextual"/>
        </w:rPr>
        <w:t>Passo 3:</w:t>
      </w:r>
      <w:r>
        <w:rPr>
          <w:rFonts w:cs="EB Garamond"/>
          <w:kern w:val="16"/>
          <w14:ligatures w14:val="standardContextual"/>
        </w:rPr>
        <w:t xml:space="preserve"> Verificar se há direito adquirido à regra anterior:</w:t>
      </w:r>
    </w:p>
    <w:p w14:paraId="16EFDA85"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Homem: tinha 65 anos + 180 contribuições em 13/11/2019?</w:t>
      </w:r>
    </w:p>
    <w:p w14:paraId="0A9ED944"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Mulher: tinha 60 anos + 180 contribuições em 13/11/2019?</w:t>
      </w:r>
    </w:p>
    <w:p w14:paraId="0B01BAFB"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Se sim → calcular pela regra antiga e comparar.</w:t>
      </w:r>
    </w:p>
    <w:p w14:paraId="5C6EE847" w14:textId="77777777" w:rsidR="005A5FCC" w:rsidRDefault="005A5FCC">
      <w:pPr>
        <w:spacing w:after="60" w:line="240" w:lineRule="auto"/>
      </w:pPr>
    </w:p>
    <w:p w14:paraId="25D1D55E"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P</w:t>
      </w:r>
    </w:p>
    <w:p w14:paraId="7DF34E5D" w14:textId="77777777" w:rsidR="005A5FCC" w:rsidRDefault="00A21C81">
      <w:r>
        <w:rPr>
          <w:rFonts w:cs="EB Garamond"/>
          <w:b/>
          <w:kern w:val="16"/>
          <w14:ligatures w14:val="standardContextual"/>
        </w:rPr>
        <w:t>asso 4:</w:t>
      </w:r>
      <w:r>
        <w:rPr>
          <w:rFonts w:cs="EB Garamond"/>
          <w:kern w:val="16"/>
          <w14:ligatures w14:val="standardContextual"/>
        </w:rPr>
        <w:t xml:space="preserve"> Verificar enquadramento nas regras de transição (arts. 15, 16, 17, 18, 20, EC 103).</w:t>
      </w:r>
    </w:p>
    <w:p w14:paraId="7A12301B" w14:textId="77777777" w:rsidR="005A5FCC" w:rsidRDefault="00A21C81">
      <w:pPr>
        <w:ind w:firstLine="238"/>
      </w:pPr>
      <w:r>
        <w:rPr>
          <w:rFonts w:cs="EB Garamond"/>
          <w:b/>
          <w:kern w:val="16"/>
          <w14:ligatures w14:val="standardContextual"/>
        </w:rPr>
        <w:t>Passo 5:</w:t>
      </w:r>
      <w:r>
        <w:rPr>
          <w:rFonts w:cs="EB Garamond"/>
          <w:kern w:val="16"/>
          <w14:ligatures w14:val="standardContextual"/>
        </w:rPr>
        <w:t xml:space="preserve"> Calcular o benefício por cada regra aplicável.</w:t>
      </w:r>
    </w:p>
    <w:p w14:paraId="26CC726C" w14:textId="77777777" w:rsidR="005A5FCC" w:rsidRDefault="00A21C81">
      <w:pPr>
        <w:ind w:firstLine="238"/>
      </w:pPr>
      <w:r>
        <w:rPr>
          <w:rFonts w:cs="EB Garamond"/>
          <w:b/>
          <w:kern w:val="16"/>
          <w14:ligatures w14:val="standardContextual"/>
        </w:rPr>
        <w:t>Passo 6:</w:t>
      </w:r>
      <w:r>
        <w:rPr>
          <w:rFonts w:cs="EB Garamond"/>
          <w:kern w:val="16"/>
          <w14:ligatures w14:val="standardContextual"/>
        </w:rPr>
        <w:t xml:space="preserve"> Identificar a regra mais vantajosa e formular o pedido.</w:t>
      </w:r>
    </w:p>
    <w:p w14:paraId="0C4E6165" w14:textId="77777777" w:rsidR="005A5FCC" w:rsidRDefault="00A21C81">
      <w:pPr>
        <w:ind w:firstLine="238"/>
      </w:pPr>
      <w:r>
        <w:rPr>
          <w:rFonts w:cs="EB Garamond"/>
          <w:b/>
          <w:kern w:val="16"/>
          <w14:ligatures w14:val="standardContextual"/>
        </w:rPr>
        <w:t>Passo 7:</w:t>
      </w:r>
      <w:r>
        <w:rPr>
          <w:rFonts w:cs="EB Garamond"/>
          <w:kern w:val="16"/>
          <w14:ligatures w14:val="standardContextual"/>
        </w:rPr>
        <w:t xml:space="preserve"> Se nenhuma regra é atendida atualmente, projetar cenários futuros (em quantos meses/anos o segurado atingirá os requisitos por cada regra).</w:t>
      </w:r>
    </w:p>
    <w:tbl>
      <w:tblPr>
        <w:tblW w:w="5000" w:type="pct"/>
        <w:jc w:val="center"/>
        <w:tblLayout w:type="fixed"/>
        <w:tblLook w:val="04A0" w:firstRow="1" w:lastRow="0" w:firstColumn="1" w:lastColumn="0" w:noHBand="0" w:noVBand="1"/>
      </w:tblPr>
      <w:tblGrid>
        <w:gridCol w:w="6311"/>
      </w:tblGrid>
      <w:tr w:rsidR="005A5FCC" w14:paraId="5EA0990B"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35FB1019"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7BA54F98" w14:textId="77777777" w:rsidR="005A5FCC" w:rsidRDefault="00A21C81">
            <w:pPr>
              <w:spacing w:after="60" w:line="247" w:lineRule="auto"/>
            </w:pPr>
            <w:r>
              <w:rPr>
                <w:rFonts w:cs="EB Garamond"/>
                <w:b/>
                <w:kern w:val="16"/>
                <w:sz w:val="19"/>
                <w14:ligatures w14:val="standardContextual"/>
              </w:rPr>
              <w:t>Checklist do advogado — Aposentadoria por idade nos JEFs</w:t>
            </w:r>
          </w:p>
          <w:p w14:paraId="0FEB631F" w14:textId="77777777" w:rsidR="005A5FCC" w:rsidRDefault="00A21C81">
            <w:pPr>
              <w:spacing w:after="30" w:line="240" w:lineRule="auto"/>
              <w:ind w:left="227" w:hanging="142"/>
            </w:pPr>
            <w:r>
              <w:rPr>
                <w:rFonts w:cs="EB Garamond"/>
                <w:kern w:val="16"/>
                <w:sz w:val="19"/>
                <w14:ligatures w14:val="standardContextual"/>
              </w:rPr>
              <w:t>• [ ] CNIS obtido e analisado (vínculos, remunerações, indicadores)</w:t>
            </w:r>
          </w:p>
          <w:p w14:paraId="54465B20" w14:textId="77777777" w:rsidR="005A5FCC" w:rsidRDefault="00A21C81">
            <w:pPr>
              <w:spacing w:after="30" w:line="240" w:lineRule="auto"/>
              <w:ind w:left="227" w:hanging="142"/>
            </w:pPr>
            <w:r>
              <w:rPr>
                <w:rFonts w:cs="EB Garamond"/>
                <w:kern w:val="16"/>
                <w:sz w:val="19"/>
                <w14:ligatures w14:val="standardContextual"/>
              </w:rPr>
              <w:t>• [ ] CTPS conferida contra o CNIS (vínculos faltantes identificados)</w:t>
            </w:r>
          </w:p>
          <w:p w14:paraId="2A22C3AD" w14:textId="77777777" w:rsidR="005A5FCC" w:rsidRDefault="00A21C81">
            <w:pPr>
              <w:spacing w:after="30" w:line="240" w:lineRule="auto"/>
              <w:ind w:left="227" w:hanging="142"/>
            </w:pPr>
            <w:r>
              <w:rPr>
                <w:rFonts w:cs="EB Garamond"/>
                <w:kern w:val="16"/>
                <w:sz w:val="19"/>
                <w14:ligatures w14:val="standardContextual"/>
              </w:rPr>
              <w:t>• [ ] Idade mínima verificada (65H/62M para regra de transição; 65H/62M para regra permanente; 60F para direito adquirido pré-EC 103)</w:t>
            </w:r>
          </w:p>
          <w:p w14:paraId="12B990A7" w14:textId="77777777" w:rsidR="005A5FCC" w:rsidRDefault="00A21C81">
            <w:pPr>
              <w:spacing w:after="30" w:line="240" w:lineRule="auto"/>
              <w:ind w:left="227" w:hanging="142"/>
            </w:pPr>
            <w:r>
              <w:rPr>
                <w:rFonts w:cs="EB Garamond"/>
                <w:kern w:val="16"/>
                <w:sz w:val="19"/>
                <w14:ligatures w14:val="standardContextual"/>
              </w:rPr>
              <w:t>• [ ] Carência contada mês a mês (180 contribuições efetivas)</w:t>
            </w:r>
          </w:p>
          <w:p w14:paraId="73EF111C" w14:textId="77777777" w:rsidR="005A5FCC" w:rsidRDefault="00A21C81">
            <w:pPr>
              <w:spacing w:after="30" w:line="240" w:lineRule="auto"/>
              <w:ind w:left="227" w:hanging="142"/>
            </w:pPr>
            <w:r>
              <w:rPr>
                <w:rFonts w:cs="EB Garamond"/>
                <w:kern w:val="16"/>
                <w:sz w:val="19"/>
                <w14:ligatures w14:val="standardContextual"/>
              </w:rPr>
              <w:t>• [ ] Tempo de contribuição calculado (incluindo períodos rurais, benefícios por incapacidade intercalados, tempo militar)</w:t>
            </w:r>
          </w:p>
          <w:p w14:paraId="35705316" w14:textId="77777777" w:rsidR="005A5FCC" w:rsidRDefault="00A21C81">
            <w:pPr>
              <w:spacing w:after="30" w:line="240" w:lineRule="auto"/>
              <w:ind w:left="227" w:hanging="142"/>
            </w:pPr>
            <w:r>
              <w:rPr>
                <w:rFonts w:cs="EB Garamond"/>
                <w:kern w:val="16"/>
                <w:sz w:val="19"/>
                <w14:ligatures w14:val="standardContextual"/>
              </w:rPr>
              <w:t>• [ ] Direito adquirido à regra anterior verificado</w:t>
            </w:r>
          </w:p>
          <w:p w14:paraId="31304CD5" w14:textId="77777777" w:rsidR="005A5FCC" w:rsidRDefault="00A21C81">
            <w:pPr>
              <w:spacing w:after="30" w:line="240" w:lineRule="auto"/>
              <w:ind w:left="227" w:hanging="142"/>
            </w:pPr>
            <w:r>
              <w:rPr>
                <w:rFonts w:cs="EB Garamond"/>
                <w:kern w:val="16"/>
                <w:sz w:val="19"/>
                <w14:ligatures w14:val="standardContextual"/>
              </w:rPr>
              <w:t>• [ ] Cálculo por todas as regras aplicáveis realizado</w:t>
            </w:r>
          </w:p>
          <w:p w14:paraId="2500590D" w14:textId="77777777" w:rsidR="005A5FCC" w:rsidRDefault="00A21C81">
            <w:pPr>
              <w:spacing w:after="30" w:line="240" w:lineRule="auto"/>
              <w:ind w:left="227" w:hanging="142"/>
            </w:pPr>
            <w:r>
              <w:rPr>
                <w:rFonts w:cs="EB Garamond"/>
                <w:kern w:val="16"/>
                <w:sz w:val="19"/>
                <w14:ligatures w14:val="standardContextual"/>
              </w:rPr>
              <w:t>• [ ] Regra mais vantajosa identificada</w:t>
            </w:r>
          </w:p>
          <w:p w14:paraId="1965211D" w14:textId="77777777" w:rsidR="005A5FCC" w:rsidRDefault="00A21C81">
            <w:pPr>
              <w:spacing w:after="30" w:line="240" w:lineRule="auto"/>
              <w:ind w:left="227" w:hanging="142"/>
            </w:pPr>
            <w:r>
              <w:rPr>
                <w:rFonts w:cs="EB Garamond"/>
                <w:kern w:val="16"/>
                <w:sz w:val="19"/>
                <w14:ligatures w14:val="standardContextual"/>
              </w:rPr>
              <w:t>• [ ] Requerimento administrativo prévio realizado (ou hipótese de dispensa justificada)</w:t>
            </w:r>
          </w:p>
          <w:p w14:paraId="57B423C2" w14:textId="77777777" w:rsidR="005A5FCC" w:rsidRDefault="00A21C81">
            <w:pPr>
              <w:spacing w:after="30" w:line="240" w:lineRule="auto"/>
              <w:ind w:left="227" w:hanging="142"/>
            </w:pPr>
            <w:r>
              <w:rPr>
                <w:rFonts w:cs="EB Garamond"/>
                <w:kern w:val="16"/>
                <w:sz w:val="19"/>
                <w14:ligatures w14:val="standardContextual"/>
              </w:rPr>
              <w:t>• [ ] Pedido formulado com indicação da regra mais vantajosa (principal) e alternativa (subsidiário)</w:t>
            </w:r>
          </w:p>
          <w:p w14:paraId="34CCBB98" w14:textId="77777777" w:rsidR="005A5FCC" w:rsidRDefault="00A21C81">
            <w:pPr>
              <w:spacing w:after="30" w:line="240" w:lineRule="auto"/>
              <w:ind w:left="227" w:hanging="142"/>
            </w:pPr>
            <w:r>
              <w:rPr>
                <w:rFonts w:cs="EB Garamond"/>
                <w:kern w:val="16"/>
                <w:sz w:val="19"/>
                <w14:ligatures w14:val="standardContextual"/>
              </w:rPr>
              <w:t>• [ ] Tutela provisória requerida, se cabível</w:t>
            </w:r>
          </w:p>
          <w:p w14:paraId="2D458233" w14:textId="77777777" w:rsidR="005A5FCC" w:rsidRDefault="00A21C81">
            <w:pPr>
              <w:spacing w:after="30" w:line="240" w:lineRule="auto"/>
              <w:ind w:left="227" w:hanging="142"/>
            </w:pPr>
            <w:r>
              <w:rPr>
                <w:rFonts w:cs="EB Garamond"/>
                <w:kern w:val="16"/>
                <w:sz w:val="19"/>
                <w14:ligatures w14:val="standardContextual"/>
              </w:rPr>
              <w:t>• [ ] Documentação completa juntada à inicial</w:t>
            </w:r>
          </w:p>
        </w:tc>
      </w:tr>
    </w:tbl>
    <w:p w14:paraId="521C35E1" w14:textId="77777777" w:rsidR="005A5FCC" w:rsidRDefault="005A5FCC">
      <w:pPr>
        <w:spacing w:after="80" w:line="240" w:lineRule="auto"/>
      </w:pPr>
    </w:p>
    <w:p w14:paraId="1F4BCE62" w14:textId="77777777" w:rsidR="005A5FCC" w:rsidRDefault="00A21C81">
      <w:pPr>
        <w:spacing w:before="260" w:after="80" w:line="240" w:lineRule="auto"/>
        <w:jc w:val="left"/>
      </w:pPr>
      <w:r>
        <w:rPr>
          <w:rFonts w:cs="EB Garamond"/>
          <w:b/>
          <w:color w:val="3A3128"/>
          <w:kern w:val="16"/>
          <w:sz w:val="25"/>
          <w14:ligatures w14:val="standardContextual"/>
        </w:rPr>
        <w:t>10.17.3 Tabela de atualização das regras de transição (2019-2033)</w:t>
      </w:r>
    </w:p>
    <w:p w14:paraId="3A3950AE"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P</w:t>
      </w:r>
    </w:p>
    <w:p w14:paraId="43D8FD33" w14:textId="77777777" w:rsidR="005A5FCC" w:rsidRDefault="00A21C81">
      <w:r>
        <w:rPr>
          <w:rFonts w:cs="EB Garamond"/>
          <w:kern w:val="16"/>
          <w14:ligatures w14:val="standardContextual"/>
        </w:rPr>
        <w:t>ara facilitar a consulta, a tabela abaixo apresenta a evolução progressiva dos requisitos das regras de transição dos arts. 15, 16 e 18 da EC 103/2019, ano a ano, para homens e mulheres:</w:t>
      </w:r>
    </w:p>
    <w:tbl>
      <w:tblPr>
        <w:tblW w:w="5000" w:type="pct"/>
        <w:jc w:val="center"/>
        <w:tblLook w:val="04A0" w:firstRow="1" w:lastRow="0" w:firstColumn="1" w:lastColumn="0" w:noHBand="0" w:noVBand="1"/>
      </w:tblPr>
      <w:tblGrid>
        <w:gridCol w:w="1056"/>
        <w:gridCol w:w="1056"/>
        <w:gridCol w:w="1057"/>
        <w:gridCol w:w="1057"/>
        <w:gridCol w:w="1057"/>
        <w:gridCol w:w="1057"/>
      </w:tblGrid>
      <w:tr w:rsidR="005A5FCC" w14:paraId="191423B1" w14:textId="77777777">
        <w:trPr>
          <w:tblHeader/>
          <w:jc w:val="center"/>
        </w:trPr>
        <w:tc>
          <w:tcPr>
            <w:tcW w:w="1058" w:type="dxa"/>
            <w:tcBorders>
              <w:top w:val="single" w:sz="4" w:space="0" w:color="D2C9B8"/>
              <w:left w:val="single" w:sz="4" w:space="0" w:color="D2C9B8"/>
              <w:bottom w:val="single" w:sz="4" w:space="0" w:color="D2C9B8"/>
              <w:right w:val="single" w:sz="4" w:space="0" w:color="D2C9B8"/>
            </w:tcBorders>
            <w:shd w:val="clear" w:color="auto" w:fill="F0EDE6"/>
          </w:tcPr>
          <w:p w14:paraId="76766D22" w14:textId="77777777" w:rsidR="005A5FCC" w:rsidRDefault="00A21C81">
            <w:pPr>
              <w:spacing w:before="40" w:after="40" w:line="240" w:lineRule="auto"/>
              <w:jc w:val="center"/>
            </w:pPr>
            <w:r>
              <w:rPr>
                <w:rFonts w:cs="EB Garamond"/>
                <w:b/>
                <w:color w:val="2F2923"/>
                <w:kern w:val="16"/>
                <w:sz w:val="18"/>
                <w14:ligatures w14:val="standardContextual"/>
              </w:rPr>
              <w:t>Ano</w:t>
            </w:r>
          </w:p>
        </w:tc>
        <w:tc>
          <w:tcPr>
            <w:tcW w:w="1058" w:type="dxa"/>
            <w:tcBorders>
              <w:top w:val="single" w:sz="4" w:space="0" w:color="D2C9B8"/>
              <w:left w:val="single" w:sz="4" w:space="0" w:color="D2C9B8"/>
              <w:bottom w:val="single" w:sz="4" w:space="0" w:color="D2C9B8"/>
              <w:right w:val="single" w:sz="4" w:space="0" w:color="D2C9B8"/>
            </w:tcBorders>
            <w:shd w:val="clear" w:color="auto" w:fill="F0EDE6"/>
          </w:tcPr>
          <w:p w14:paraId="3845A8DD" w14:textId="77777777" w:rsidR="005A5FCC" w:rsidRDefault="00A21C81">
            <w:pPr>
              <w:spacing w:before="40" w:after="40" w:line="240" w:lineRule="auto"/>
              <w:jc w:val="center"/>
            </w:pPr>
            <w:r>
              <w:rPr>
                <w:rFonts w:cs="EB Garamond"/>
                <w:b/>
                <w:color w:val="2F2923"/>
                <w:kern w:val="16"/>
                <w:sz w:val="18"/>
                <w14:ligatures w14:val="standardContextual"/>
              </w:rPr>
              <w:t>Art. 15 — Pontos (M)</w:t>
            </w:r>
          </w:p>
        </w:tc>
        <w:tc>
          <w:tcPr>
            <w:tcW w:w="1058" w:type="dxa"/>
            <w:tcBorders>
              <w:top w:val="single" w:sz="4" w:space="0" w:color="D2C9B8"/>
              <w:left w:val="single" w:sz="4" w:space="0" w:color="D2C9B8"/>
              <w:bottom w:val="single" w:sz="4" w:space="0" w:color="D2C9B8"/>
              <w:right w:val="single" w:sz="4" w:space="0" w:color="D2C9B8"/>
            </w:tcBorders>
            <w:shd w:val="clear" w:color="auto" w:fill="F0EDE6"/>
          </w:tcPr>
          <w:p w14:paraId="636BF555" w14:textId="77777777" w:rsidR="005A5FCC" w:rsidRDefault="00A21C81">
            <w:pPr>
              <w:spacing w:before="40" w:after="40" w:line="240" w:lineRule="auto"/>
              <w:jc w:val="center"/>
            </w:pPr>
            <w:r>
              <w:rPr>
                <w:rFonts w:cs="EB Garamond"/>
                <w:b/>
                <w:color w:val="2F2923"/>
                <w:kern w:val="16"/>
                <w:sz w:val="18"/>
                <w14:ligatures w14:val="standardContextual"/>
              </w:rPr>
              <w:t>Art. 15 — Pontos (H)</w:t>
            </w:r>
          </w:p>
        </w:tc>
        <w:tc>
          <w:tcPr>
            <w:tcW w:w="1058" w:type="dxa"/>
            <w:tcBorders>
              <w:top w:val="single" w:sz="4" w:space="0" w:color="D2C9B8"/>
              <w:left w:val="single" w:sz="4" w:space="0" w:color="D2C9B8"/>
              <w:bottom w:val="single" w:sz="4" w:space="0" w:color="D2C9B8"/>
              <w:right w:val="single" w:sz="4" w:space="0" w:color="D2C9B8"/>
            </w:tcBorders>
            <w:shd w:val="clear" w:color="auto" w:fill="F0EDE6"/>
          </w:tcPr>
          <w:p w14:paraId="3FAFAFEC" w14:textId="77777777" w:rsidR="005A5FCC" w:rsidRDefault="00A21C81">
            <w:pPr>
              <w:spacing w:before="40" w:after="40" w:line="240" w:lineRule="auto"/>
              <w:jc w:val="center"/>
            </w:pPr>
            <w:r>
              <w:rPr>
                <w:rFonts w:cs="EB Garamond"/>
                <w:b/>
                <w:color w:val="2F2923"/>
                <w:kern w:val="16"/>
                <w:sz w:val="18"/>
                <w14:ligatures w14:val="standardContextual"/>
              </w:rPr>
              <w:t>Art. 16 — Idade (M)</w:t>
            </w:r>
          </w:p>
        </w:tc>
        <w:tc>
          <w:tcPr>
            <w:tcW w:w="1058" w:type="dxa"/>
            <w:tcBorders>
              <w:top w:val="single" w:sz="4" w:space="0" w:color="D2C9B8"/>
              <w:left w:val="single" w:sz="4" w:space="0" w:color="D2C9B8"/>
              <w:bottom w:val="single" w:sz="4" w:space="0" w:color="D2C9B8"/>
              <w:right w:val="single" w:sz="4" w:space="0" w:color="D2C9B8"/>
            </w:tcBorders>
            <w:shd w:val="clear" w:color="auto" w:fill="F0EDE6"/>
          </w:tcPr>
          <w:p w14:paraId="51FCB5BE" w14:textId="77777777" w:rsidR="005A5FCC" w:rsidRDefault="00A21C81">
            <w:pPr>
              <w:spacing w:before="40" w:after="40" w:line="240" w:lineRule="auto"/>
              <w:jc w:val="center"/>
            </w:pPr>
            <w:r>
              <w:rPr>
                <w:rFonts w:cs="EB Garamond"/>
                <w:b/>
                <w:color w:val="2F2923"/>
                <w:kern w:val="16"/>
                <w:sz w:val="18"/>
                <w14:ligatures w14:val="standardContextual"/>
              </w:rPr>
              <w:t>Art. 16 — Idade (H)</w:t>
            </w:r>
          </w:p>
        </w:tc>
        <w:tc>
          <w:tcPr>
            <w:tcW w:w="1058" w:type="dxa"/>
            <w:tcBorders>
              <w:top w:val="single" w:sz="4" w:space="0" w:color="D2C9B8"/>
              <w:left w:val="single" w:sz="4" w:space="0" w:color="D2C9B8"/>
              <w:bottom w:val="single" w:sz="4" w:space="0" w:color="D2C9B8"/>
              <w:right w:val="single" w:sz="4" w:space="0" w:color="D2C9B8"/>
            </w:tcBorders>
            <w:shd w:val="clear" w:color="auto" w:fill="F0EDE6"/>
          </w:tcPr>
          <w:p w14:paraId="66D51F06" w14:textId="77777777" w:rsidR="005A5FCC" w:rsidRDefault="00A21C81">
            <w:pPr>
              <w:spacing w:before="40" w:after="40" w:line="240" w:lineRule="auto"/>
              <w:jc w:val="center"/>
            </w:pPr>
            <w:r>
              <w:rPr>
                <w:rFonts w:cs="EB Garamond"/>
                <w:b/>
                <w:color w:val="2F2923"/>
                <w:kern w:val="16"/>
                <w:sz w:val="18"/>
                <w14:ligatures w14:val="standardContextual"/>
              </w:rPr>
              <w:t>Art. 18 — Idade (M)</w:t>
            </w:r>
          </w:p>
        </w:tc>
      </w:tr>
      <w:tr w:rsidR="005A5FCC" w14:paraId="3BB57A4A" w14:textId="77777777">
        <w:trPr>
          <w:jc w:val="center"/>
        </w:trPr>
        <w:tc>
          <w:tcPr>
            <w:tcW w:w="1058" w:type="dxa"/>
            <w:tcBorders>
              <w:top w:val="single" w:sz="4" w:space="0" w:color="D2C9B8"/>
              <w:left w:val="single" w:sz="4" w:space="0" w:color="D2C9B8"/>
              <w:bottom w:val="single" w:sz="4" w:space="0" w:color="D2C9B8"/>
              <w:right w:val="single" w:sz="4" w:space="0" w:color="D2C9B8"/>
            </w:tcBorders>
          </w:tcPr>
          <w:p w14:paraId="34A9F01A" w14:textId="77777777" w:rsidR="005A5FCC" w:rsidRDefault="00A21C81">
            <w:pPr>
              <w:spacing w:before="20" w:after="20" w:line="240" w:lineRule="auto"/>
              <w:jc w:val="left"/>
            </w:pPr>
            <w:r>
              <w:rPr>
                <w:rFonts w:cs="EB Garamond"/>
                <w:kern w:val="16"/>
                <w:sz w:val="18"/>
                <w14:ligatures w14:val="standardContextual"/>
              </w:rPr>
              <w:t>2019</w:t>
            </w:r>
          </w:p>
        </w:tc>
        <w:tc>
          <w:tcPr>
            <w:tcW w:w="1058" w:type="dxa"/>
            <w:tcBorders>
              <w:top w:val="single" w:sz="4" w:space="0" w:color="D2C9B8"/>
              <w:left w:val="single" w:sz="4" w:space="0" w:color="D2C9B8"/>
              <w:bottom w:val="single" w:sz="4" w:space="0" w:color="D2C9B8"/>
              <w:right w:val="single" w:sz="4" w:space="0" w:color="D2C9B8"/>
            </w:tcBorders>
          </w:tcPr>
          <w:p w14:paraId="766CF520" w14:textId="77777777" w:rsidR="005A5FCC" w:rsidRDefault="00A21C81">
            <w:pPr>
              <w:spacing w:before="20" w:after="20" w:line="240" w:lineRule="auto"/>
              <w:jc w:val="left"/>
            </w:pPr>
            <w:r>
              <w:rPr>
                <w:rFonts w:cs="EB Garamond"/>
                <w:kern w:val="16"/>
                <w:sz w:val="18"/>
                <w14:ligatures w14:val="standardContextual"/>
              </w:rPr>
              <w:t>86</w:t>
            </w:r>
          </w:p>
        </w:tc>
        <w:tc>
          <w:tcPr>
            <w:tcW w:w="1058" w:type="dxa"/>
            <w:tcBorders>
              <w:top w:val="single" w:sz="4" w:space="0" w:color="D2C9B8"/>
              <w:left w:val="single" w:sz="4" w:space="0" w:color="D2C9B8"/>
              <w:bottom w:val="single" w:sz="4" w:space="0" w:color="D2C9B8"/>
              <w:right w:val="single" w:sz="4" w:space="0" w:color="D2C9B8"/>
            </w:tcBorders>
          </w:tcPr>
          <w:p w14:paraId="4D04CB1A" w14:textId="77777777" w:rsidR="005A5FCC" w:rsidRDefault="00A21C81">
            <w:pPr>
              <w:spacing w:before="20" w:after="20" w:line="240" w:lineRule="auto"/>
              <w:jc w:val="left"/>
            </w:pPr>
            <w:r>
              <w:rPr>
                <w:rFonts w:cs="EB Garamond"/>
                <w:kern w:val="16"/>
                <w:sz w:val="18"/>
                <w14:ligatures w14:val="standardContextual"/>
              </w:rPr>
              <w:t>96</w:t>
            </w:r>
          </w:p>
        </w:tc>
        <w:tc>
          <w:tcPr>
            <w:tcW w:w="1058" w:type="dxa"/>
            <w:tcBorders>
              <w:top w:val="single" w:sz="4" w:space="0" w:color="D2C9B8"/>
              <w:left w:val="single" w:sz="4" w:space="0" w:color="D2C9B8"/>
              <w:bottom w:val="single" w:sz="4" w:space="0" w:color="D2C9B8"/>
              <w:right w:val="single" w:sz="4" w:space="0" w:color="D2C9B8"/>
            </w:tcBorders>
          </w:tcPr>
          <w:p w14:paraId="4BF095A9" w14:textId="77777777" w:rsidR="005A5FCC" w:rsidRDefault="00A21C81">
            <w:pPr>
              <w:spacing w:before="20" w:after="20" w:line="240" w:lineRule="auto"/>
              <w:jc w:val="left"/>
            </w:pPr>
            <w:r>
              <w:rPr>
                <w:rFonts w:cs="EB Garamond"/>
                <w:kern w:val="16"/>
                <w:sz w:val="18"/>
                <w14:ligatures w14:val="standardContextual"/>
              </w:rPr>
              <w:t>56</w:t>
            </w:r>
          </w:p>
        </w:tc>
        <w:tc>
          <w:tcPr>
            <w:tcW w:w="1058" w:type="dxa"/>
            <w:tcBorders>
              <w:top w:val="single" w:sz="4" w:space="0" w:color="D2C9B8"/>
              <w:left w:val="single" w:sz="4" w:space="0" w:color="D2C9B8"/>
              <w:bottom w:val="single" w:sz="4" w:space="0" w:color="D2C9B8"/>
              <w:right w:val="single" w:sz="4" w:space="0" w:color="D2C9B8"/>
            </w:tcBorders>
          </w:tcPr>
          <w:p w14:paraId="67AA5FD7" w14:textId="77777777" w:rsidR="005A5FCC" w:rsidRDefault="00A21C81">
            <w:pPr>
              <w:spacing w:before="20" w:after="20" w:line="240" w:lineRule="auto"/>
              <w:jc w:val="left"/>
            </w:pPr>
            <w:r>
              <w:rPr>
                <w:rFonts w:cs="EB Garamond"/>
                <w:kern w:val="16"/>
                <w:sz w:val="18"/>
                <w14:ligatures w14:val="standardContextual"/>
              </w:rPr>
              <w:t>61</w:t>
            </w:r>
          </w:p>
        </w:tc>
        <w:tc>
          <w:tcPr>
            <w:tcW w:w="1058" w:type="dxa"/>
            <w:tcBorders>
              <w:top w:val="single" w:sz="4" w:space="0" w:color="D2C9B8"/>
              <w:left w:val="single" w:sz="4" w:space="0" w:color="D2C9B8"/>
              <w:bottom w:val="single" w:sz="4" w:space="0" w:color="D2C9B8"/>
              <w:right w:val="single" w:sz="4" w:space="0" w:color="D2C9B8"/>
            </w:tcBorders>
          </w:tcPr>
          <w:p w14:paraId="0E2BA715" w14:textId="77777777" w:rsidR="005A5FCC" w:rsidRDefault="00A21C81">
            <w:pPr>
              <w:spacing w:before="20" w:after="20" w:line="240" w:lineRule="auto"/>
              <w:jc w:val="left"/>
            </w:pPr>
            <w:r>
              <w:rPr>
                <w:rFonts w:cs="EB Garamond"/>
                <w:kern w:val="16"/>
                <w:sz w:val="18"/>
                <w14:ligatures w14:val="standardContextual"/>
              </w:rPr>
              <w:t>60</w:t>
            </w:r>
          </w:p>
        </w:tc>
      </w:tr>
      <w:tr w:rsidR="005A5FCC" w14:paraId="3B12DBB2" w14:textId="77777777">
        <w:trPr>
          <w:jc w:val="center"/>
        </w:trPr>
        <w:tc>
          <w:tcPr>
            <w:tcW w:w="1058" w:type="dxa"/>
            <w:tcBorders>
              <w:top w:val="single" w:sz="4" w:space="0" w:color="D2C9B8"/>
              <w:left w:val="single" w:sz="4" w:space="0" w:color="D2C9B8"/>
              <w:bottom w:val="single" w:sz="4" w:space="0" w:color="D2C9B8"/>
              <w:right w:val="single" w:sz="4" w:space="0" w:color="D2C9B8"/>
            </w:tcBorders>
          </w:tcPr>
          <w:p w14:paraId="3C21426C" w14:textId="77777777" w:rsidR="005A5FCC" w:rsidRDefault="00A21C81">
            <w:pPr>
              <w:spacing w:before="20" w:after="20" w:line="240" w:lineRule="auto"/>
              <w:jc w:val="left"/>
            </w:pPr>
            <w:r>
              <w:rPr>
                <w:rFonts w:cs="EB Garamond"/>
                <w:kern w:val="16"/>
                <w:sz w:val="18"/>
                <w14:ligatures w14:val="standardContextual"/>
              </w:rPr>
              <w:t>2020</w:t>
            </w:r>
          </w:p>
        </w:tc>
        <w:tc>
          <w:tcPr>
            <w:tcW w:w="1058" w:type="dxa"/>
            <w:tcBorders>
              <w:top w:val="single" w:sz="4" w:space="0" w:color="D2C9B8"/>
              <w:left w:val="single" w:sz="4" w:space="0" w:color="D2C9B8"/>
              <w:bottom w:val="single" w:sz="4" w:space="0" w:color="D2C9B8"/>
              <w:right w:val="single" w:sz="4" w:space="0" w:color="D2C9B8"/>
            </w:tcBorders>
          </w:tcPr>
          <w:p w14:paraId="62FE0565" w14:textId="77777777" w:rsidR="005A5FCC" w:rsidRDefault="00A21C81">
            <w:pPr>
              <w:spacing w:before="20" w:after="20" w:line="240" w:lineRule="auto"/>
              <w:jc w:val="left"/>
            </w:pPr>
            <w:r>
              <w:rPr>
                <w:rFonts w:cs="EB Garamond"/>
                <w:kern w:val="16"/>
                <w:sz w:val="18"/>
                <w14:ligatures w14:val="standardContextual"/>
              </w:rPr>
              <w:t>87</w:t>
            </w:r>
          </w:p>
        </w:tc>
        <w:tc>
          <w:tcPr>
            <w:tcW w:w="1058" w:type="dxa"/>
            <w:tcBorders>
              <w:top w:val="single" w:sz="4" w:space="0" w:color="D2C9B8"/>
              <w:left w:val="single" w:sz="4" w:space="0" w:color="D2C9B8"/>
              <w:bottom w:val="single" w:sz="4" w:space="0" w:color="D2C9B8"/>
              <w:right w:val="single" w:sz="4" w:space="0" w:color="D2C9B8"/>
            </w:tcBorders>
          </w:tcPr>
          <w:p w14:paraId="4621DD91" w14:textId="77777777" w:rsidR="005A5FCC" w:rsidRDefault="00A21C81">
            <w:pPr>
              <w:spacing w:before="20" w:after="20" w:line="240" w:lineRule="auto"/>
              <w:jc w:val="left"/>
            </w:pPr>
            <w:r>
              <w:rPr>
                <w:rFonts w:cs="EB Garamond"/>
                <w:kern w:val="16"/>
                <w:sz w:val="18"/>
                <w14:ligatures w14:val="standardContextual"/>
              </w:rPr>
              <w:t>97</w:t>
            </w:r>
          </w:p>
        </w:tc>
        <w:tc>
          <w:tcPr>
            <w:tcW w:w="1058" w:type="dxa"/>
            <w:tcBorders>
              <w:top w:val="single" w:sz="4" w:space="0" w:color="D2C9B8"/>
              <w:left w:val="single" w:sz="4" w:space="0" w:color="D2C9B8"/>
              <w:bottom w:val="single" w:sz="4" w:space="0" w:color="D2C9B8"/>
              <w:right w:val="single" w:sz="4" w:space="0" w:color="D2C9B8"/>
            </w:tcBorders>
          </w:tcPr>
          <w:p w14:paraId="1C3DD068" w14:textId="77777777" w:rsidR="005A5FCC" w:rsidRDefault="00A21C81">
            <w:pPr>
              <w:spacing w:before="20" w:after="20" w:line="240" w:lineRule="auto"/>
              <w:jc w:val="left"/>
            </w:pPr>
            <w:r>
              <w:rPr>
                <w:rFonts w:cs="EB Garamond"/>
                <w:kern w:val="16"/>
                <w:sz w:val="18"/>
                <w14:ligatures w14:val="standardContextual"/>
              </w:rPr>
              <w:t>56,5</w:t>
            </w:r>
          </w:p>
        </w:tc>
        <w:tc>
          <w:tcPr>
            <w:tcW w:w="1058" w:type="dxa"/>
            <w:tcBorders>
              <w:top w:val="single" w:sz="4" w:space="0" w:color="D2C9B8"/>
              <w:left w:val="single" w:sz="4" w:space="0" w:color="D2C9B8"/>
              <w:bottom w:val="single" w:sz="4" w:space="0" w:color="D2C9B8"/>
              <w:right w:val="single" w:sz="4" w:space="0" w:color="D2C9B8"/>
            </w:tcBorders>
          </w:tcPr>
          <w:p w14:paraId="0A70D943" w14:textId="77777777" w:rsidR="005A5FCC" w:rsidRDefault="00A21C81">
            <w:pPr>
              <w:spacing w:before="20" w:after="20" w:line="240" w:lineRule="auto"/>
              <w:jc w:val="left"/>
            </w:pPr>
            <w:r>
              <w:rPr>
                <w:rFonts w:cs="EB Garamond"/>
                <w:kern w:val="16"/>
                <w:sz w:val="18"/>
                <w14:ligatures w14:val="standardContextual"/>
              </w:rPr>
              <w:t>61,5</w:t>
            </w:r>
          </w:p>
        </w:tc>
        <w:tc>
          <w:tcPr>
            <w:tcW w:w="1058" w:type="dxa"/>
            <w:tcBorders>
              <w:top w:val="single" w:sz="4" w:space="0" w:color="D2C9B8"/>
              <w:left w:val="single" w:sz="4" w:space="0" w:color="D2C9B8"/>
              <w:bottom w:val="single" w:sz="4" w:space="0" w:color="D2C9B8"/>
              <w:right w:val="single" w:sz="4" w:space="0" w:color="D2C9B8"/>
            </w:tcBorders>
          </w:tcPr>
          <w:p w14:paraId="264B8AA6" w14:textId="77777777" w:rsidR="005A5FCC" w:rsidRDefault="00A21C81">
            <w:pPr>
              <w:spacing w:before="20" w:after="20" w:line="240" w:lineRule="auto"/>
              <w:jc w:val="left"/>
            </w:pPr>
            <w:r>
              <w:rPr>
                <w:rFonts w:cs="EB Garamond"/>
                <w:kern w:val="16"/>
                <w:sz w:val="18"/>
                <w14:ligatures w14:val="standardContextual"/>
              </w:rPr>
              <w:t>60,5</w:t>
            </w:r>
          </w:p>
        </w:tc>
      </w:tr>
      <w:tr w:rsidR="005A5FCC" w14:paraId="418D99E7" w14:textId="77777777">
        <w:trPr>
          <w:jc w:val="center"/>
        </w:trPr>
        <w:tc>
          <w:tcPr>
            <w:tcW w:w="1058" w:type="dxa"/>
            <w:tcBorders>
              <w:top w:val="single" w:sz="4" w:space="0" w:color="D2C9B8"/>
              <w:left w:val="single" w:sz="4" w:space="0" w:color="D2C9B8"/>
              <w:bottom w:val="single" w:sz="4" w:space="0" w:color="D2C9B8"/>
              <w:right w:val="single" w:sz="4" w:space="0" w:color="D2C9B8"/>
            </w:tcBorders>
          </w:tcPr>
          <w:p w14:paraId="5D8309E3" w14:textId="77777777" w:rsidR="005A5FCC" w:rsidRDefault="00A21C81">
            <w:pPr>
              <w:spacing w:before="20" w:after="20" w:line="240" w:lineRule="auto"/>
              <w:jc w:val="left"/>
            </w:pPr>
            <w:r>
              <w:rPr>
                <w:rFonts w:cs="EB Garamond"/>
                <w:kern w:val="16"/>
                <w:sz w:val="18"/>
                <w14:ligatures w14:val="standardContextual"/>
              </w:rPr>
              <w:t>2021</w:t>
            </w:r>
          </w:p>
        </w:tc>
        <w:tc>
          <w:tcPr>
            <w:tcW w:w="1058" w:type="dxa"/>
            <w:tcBorders>
              <w:top w:val="single" w:sz="4" w:space="0" w:color="D2C9B8"/>
              <w:left w:val="single" w:sz="4" w:space="0" w:color="D2C9B8"/>
              <w:bottom w:val="single" w:sz="4" w:space="0" w:color="D2C9B8"/>
              <w:right w:val="single" w:sz="4" w:space="0" w:color="D2C9B8"/>
            </w:tcBorders>
          </w:tcPr>
          <w:p w14:paraId="071F3B96" w14:textId="77777777" w:rsidR="005A5FCC" w:rsidRDefault="00A21C81">
            <w:pPr>
              <w:spacing w:before="20" w:after="20" w:line="240" w:lineRule="auto"/>
              <w:jc w:val="left"/>
            </w:pPr>
            <w:r>
              <w:rPr>
                <w:rFonts w:cs="EB Garamond"/>
                <w:kern w:val="16"/>
                <w:sz w:val="18"/>
                <w14:ligatures w14:val="standardContextual"/>
              </w:rPr>
              <w:t>88</w:t>
            </w:r>
          </w:p>
        </w:tc>
        <w:tc>
          <w:tcPr>
            <w:tcW w:w="1058" w:type="dxa"/>
            <w:tcBorders>
              <w:top w:val="single" w:sz="4" w:space="0" w:color="D2C9B8"/>
              <w:left w:val="single" w:sz="4" w:space="0" w:color="D2C9B8"/>
              <w:bottom w:val="single" w:sz="4" w:space="0" w:color="D2C9B8"/>
              <w:right w:val="single" w:sz="4" w:space="0" w:color="D2C9B8"/>
            </w:tcBorders>
          </w:tcPr>
          <w:p w14:paraId="543D8F1B" w14:textId="77777777" w:rsidR="005A5FCC" w:rsidRDefault="00A21C81">
            <w:pPr>
              <w:spacing w:before="20" w:after="20" w:line="240" w:lineRule="auto"/>
              <w:jc w:val="left"/>
            </w:pPr>
            <w:r>
              <w:rPr>
                <w:rFonts w:cs="EB Garamond"/>
                <w:kern w:val="16"/>
                <w:sz w:val="18"/>
                <w14:ligatures w14:val="standardContextual"/>
              </w:rPr>
              <w:t>98</w:t>
            </w:r>
          </w:p>
        </w:tc>
        <w:tc>
          <w:tcPr>
            <w:tcW w:w="1058" w:type="dxa"/>
            <w:tcBorders>
              <w:top w:val="single" w:sz="4" w:space="0" w:color="D2C9B8"/>
              <w:left w:val="single" w:sz="4" w:space="0" w:color="D2C9B8"/>
              <w:bottom w:val="single" w:sz="4" w:space="0" w:color="D2C9B8"/>
              <w:right w:val="single" w:sz="4" w:space="0" w:color="D2C9B8"/>
            </w:tcBorders>
          </w:tcPr>
          <w:p w14:paraId="58A7DFB1" w14:textId="77777777" w:rsidR="005A5FCC" w:rsidRDefault="00A21C81">
            <w:pPr>
              <w:spacing w:before="20" w:after="20" w:line="240" w:lineRule="auto"/>
              <w:jc w:val="left"/>
            </w:pPr>
            <w:r>
              <w:rPr>
                <w:rFonts w:cs="EB Garamond"/>
                <w:kern w:val="16"/>
                <w:sz w:val="18"/>
                <w14:ligatures w14:val="standardContextual"/>
              </w:rPr>
              <w:t>57</w:t>
            </w:r>
          </w:p>
        </w:tc>
        <w:tc>
          <w:tcPr>
            <w:tcW w:w="1058" w:type="dxa"/>
            <w:tcBorders>
              <w:top w:val="single" w:sz="4" w:space="0" w:color="D2C9B8"/>
              <w:left w:val="single" w:sz="4" w:space="0" w:color="D2C9B8"/>
              <w:bottom w:val="single" w:sz="4" w:space="0" w:color="D2C9B8"/>
              <w:right w:val="single" w:sz="4" w:space="0" w:color="D2C9B8"/>
            </w:tcBorders>
          </w:tcPr>
          <w:p w14:paraId="3B3D5DD2" w14:textId="77777777" w:rsidR="005A5FCC" w:rsidRDefault="00A21C81">
            <w:pPr>
              <w:spacing w:before="20" w:after="20" w:line="240" w:lineRule="auto"/>
              <w:jc w:val="left"/>
            </w:pPr>
            <w:r>
              <w:rPr>
                <w:rFonts w:cs="EB Garamond"/>
                <w:kern w:val="16"/>
                <w:sz w:val="18"/>
                <w14:ligatures w14:val="standardContextual"/>
              </w:rPr>
              <w:t>62</w:t>
            </w:r>
          </w:p>
        </w:tc>
        <w:tc>
          <w:tcPr>
            <w:tcW w:w="1058" w:type="dxa"/>
            <w:tcBorders>
              <w:top w:val="single" w:sz="4" w:space="0" w:color="D2C9B8"/>
              <w:left w:val="single" w:sz="4" w:space="0" w:color="D2C9B8"/>
              <w:bottom w:val="single" w:sz="4" w:space="0" w:color="D2C9B8"/>
              <w:right w:val="single" w:sz="4" w:space="0" w:color="D2C9B8"/>
            </w:tcBorders>
          </w:tcPr>
          <w:p w14:paraId="3C4516EF" w14:textId="77777777" w:rsidR="005A5FCC" w:rsidRDefault="00A21C81">
            <w:pPr>
              <w:spacing w:before="20" w:after="20" w:line="240" w:lineRule="auto"/>
              <w:jc w:val="left"/>
            </w:pPr>
            <w:r>
              <w:rPr>
                <w:rFonts w:cs="EB Garamond"/>
                <w:kern w:val="16"/>
                <w:sz w:val="18"/>
                <w14:ligatures w14:val="standardContextual"/>
              </w:rPr>
              <w:t>61</w:t>
            </w:r>
          </w:p>
        </w:tc>
      </w:tr>
      <w:tr w:rsidR="005A5FCC" w14:paraId="3D8B6780" w14:textId="77777777">
        <w:trPr>
          <w:jc w:val="center"/>
        </w:trPr>
        <w:tc>
          <w:tcPr>
            <w:tcW w:w="1058" w:type="dxa"/>
            <w:tcBorders>
              <w:top w:val="single" w:sz="4" w:space="0" w:color="D2C9B8"/>
              <w:left w:val="single" w:sz="4" w:space="0" w:color="D2C9B8"/>
              <w:bottom w:val="single" w:sz="4" w:space="0" w:color="D2C9B8"/>
              <w:right w:val="single" w:sz="4" w:space="0" w:color="D2C9B8"/>
            </w:tcBorders>
          </w:tcPr>
          <w:p w14:paraId="70560CE7" w14:textId="77777777" w:rsidR="005A5FCC" w:rsidRDefault="00A21C81">
            <w:pPr>
              <w:spacing w:before="20" w:after="20" w:line="240" w:lineRule="auto"/>
              <w:jc w:val="left"/>
            </w:pPr>
            <w:r>
              <w:rPr>
                <w:rFonts w:cs="EB Garamond"/>
                <w:kern w:val="16"/>
                <w:sz w:val="18"/>
                <w14:ligatures w14:val="standardContextual"/>
              </w:rPr>
              <w:t>2022</w:t>
            </w:r>
          </w:p>
        </w:tc>
        <w:tc>
          <w:tcPr>
            <w:tcW w:w="1058" w:type="dxa"/>
            <w:tcBorders>
              <w:top w:val="single" w:sz="4" w:space="0" w:color="D2C9B8"/>
              <w:left w:val="single" w:sz="4" w:space="0" w:color="D2C9B8"/>
              <w:bottom w:val="single" w:sz="4" w:space="0" w:color="D2C9B8"/>
              <w:right w:val="single" w:sz="4" w:space="0" w:color="D2C9B8"/>
            </w:tcBorders>
          </w:tcPr>
          <w:p w14:paraId="3039FFE4" w14:textId="77777777" w:rsidR="005A5FCC" w:rsidRDefault="00A21C81">
            <w:pPr>
              <w:spacing w:before="20" w:after="20" w:line="240" w:lineRule="auto"/>
              <w:jc w:val="left"/>
            </w:pPr>
            <w:r>
              <w:rPr>
                <w:rFonts w:cs="EB Garamond"/>
                <w:kern w:val="16"/>
                <w:sz w:val="18"/>
                <w14:ligatures w14:val="standardContextual"/>
              </w:rPr>
              <w:t>89</w:t>
            </w:r>
          </w:p>
        </w:tc>
        <w:tc>
          <w:tcPr>
            <w:tcW w:w="1058" w:type="dxa"/>
            <w:tcBorders>
              <w:top w:val="single" w:sz="4" w:space="0" w:color="D2C9B8"/>
              <w:left w:val="single" w:sz="4" w:space="0" w:color="D2C9B8"/>
              <w:bottom w:val="single" w:sz="4" w:space="0" w:color="D2C9B8"/>
              <w:right w:val="single" w:sz="4" w:space="0" w:color="D2C9B8"/>
            </w:tcBorders>
          </w:tcPr>
          <w:p w14:paraId="3C1A9EFA" w14:textId="77777777" w:rsidR="005A5FCC" w:rsidRDefault="00A21C81">
            <w:pPr>
              <w:spacing w:before="20" w:after="20" w:line="240" w:lineRule="auto"/>
              <w:jc w:val="left"/>
            </w:pPr>
            <w:r>
              <w:rPr>
                <w:rFonts w:cs="EB Garamond"/>
                <w:kern w:val="16"/>
                <w:sz w:val="18"/>
                <w14:ligatures w14:val="standardContextual"/>
              </w:rPr>
              <w:t>99</w:t>
            </w:r>
          </w:p>
        </w:tc>
        <w:tc>
          <w:tcPr>
            <w:tcW w:w="1058" w:type="dxa"/>
            <w:tcBorders>
              <w:top w:val="single" w:sz="4" w:space="0" w:color="D2C9B8"/>
              <w:left w:val="single" w:sz="4" w:space="0" w:color="D2C9B8"/>
              <w:bottom w:val="single" w:sz="4" w:space="0" w:color="D2C9B8"/>
              <w:right w:val="single" w:sz="4" w:space="0" w:color="D2C9B8"/>
            </w:tcBorders>
          </w:tcPr>
          <w:p w14:paraId="6451ABCB" w14:textId="77777777" w:rsidR="005A5FCC" w:rsidRDefault="00A21C81">
            <w:pPr>
              <w:spacing w:before="20" w:after="20" w:line="240" w:lineRule="auto"/>
              <w:jc w:val="left"/>
            </w:pPr>
            <w:r>
              <w:rPr>
                <w:rFonts w:cs="EB Garamond"/>
                <w:kern w:val="16"/>
                <w:sz w:val="18"/>
                <w14:ligatures w14:val="standardContextual"/>
              </w:rPr>
              <w:t>57,5</w:t>
            </w:r>
          </w:p>
        </w:tc>
        <w:tc>
          <w:tcPr>
            <w:tcW w:w="1058" w:type="dxa"/>
            <w:tcBorders>
              <w:top w:val="single" w:sz="4" w:space="0" w:color="D2C9B8"/>
              <w:left w:val="single" w:sz="4" w:space="0" w:color="D2C9B8"/>
              <w:bottom w:val="single" w:sz="4" w:space="0" w:color="D2C9B8"/>
              <w:right w:val="single" w:sz="4" w:space="0" w:color="D2C9B8"/>
            </w:tcBorders>
          </w:tcPr>
          <w:p w14:paraId="2C3875D2" w14:textId="77777777" w:rsidR="005A5FCC" w:rsidRDefault="00A21C81">
            <w:pPr>
              <w:spacing w:before="20" w:after="20" w:line="240" w:lineRule="auto"/>
              <w:jc w:val="left"/>
            </w:pPr>
            <w:r>
              <w:rPr>
                <w:rFonts w:cs="EB Garamond"/>
                <w:kern w:val="16"/>
                <w:sz w:val="18"/>
                <w14:ligatures w14:val="standardContextual"/>
              </w:rPr>
              <w:t>62,5</w:t>
            </w:r>
          </w:p>
        </w:tc>
        <w:tc>
          <w:tcPr>
            <w:tcW w:w="1058" w:type="dxa"/>
            <w:tcBorders>
              <w:top w:val="single" w:sz="4" w:space="0" w:color="D2C9B8"/>
              <w:left w:val="single" w:sz="4" w:space="0" w:color="D2C9B8"/>
              <w:bottom w:val="single" w:sz="4" w:space="0" w:color="D2C9B8"/>
              <w:right w:val="single" w:sz="4" w:space="0" w:color="D2C9B8"/>
            </w:tcBorders>
          </w:tcPr>
          <w:p w14:paraId="0D0CC26C" w14:textId="77777777" w:rsidR="005A5FCC" w:rsidRDefault="00A21C81">
            <w:pPr>
              <w:spacing w:before="20" w:after="20" w:line="240" w:lineRule="auto"/>
              <w:jc w:val="left"/>
            </w:pPr>
            <w:r>
              <w:rPr>
                <w:rFonts w:cs="EB Garamond"/>
                <w:kern w:val="16"/>
                <w:sz w:val="18"/>
                <w14:ligatures w14:val="standardContextual"/>
              </w:rPr>
              <w:t>61,5</w:t>
            </w:r>
          </w:p>
        </w:tc>
      </w:tr>
      <w:tr w:rsidR="005A5FCC" w14:paraId="21CC3744" w14:textId="77777777">
        <w:trPr>
          <w:jc w:val="center"/>
        </w:trPr>
        <w:tc>
          <w:tcPr>
            <w:tcW w:w="1058" w:type="dxa"/>
            <w:tcBorders>
              <w:top w:val="single" w:sz="4" w:space="0" w:color="D2C9B8"/>
              <w:left w:val="single" w:sz="4" w:space="0" w:color="D2C9B8"/>
              <w:bottom w:val="single" w:sz="4" w:space="0" w:color="D2C9B8"/>
              <w:right w:val="single" w:sz="4" w:space="0" w:color="D2C9B8"/>
            </w:tcBorders>
          </w:tcPr>
          <w:p w14:paraId="280E712B" w14:textId="77777777" w:rsidR="005A5FCC" w:rsidRDefault="00A21C81">
            <w:pPr>
              <w:spacing w:before="20" w:after="20" w:line="240" w:lineRule="auto"/>
              <w:jc w:val="left"/>
            </w:pPr>
            <w:r>
              <w:rPr>
                <w:rFonts w:cs="EB Garamond"/>
                <w:kern w:val="16"/>
                <w:sz w:val="18"/>
                <w14:ligatures w14:val="standardContextual"/>
              </w:rPr>
              <w:t>2023</w:t>
            </w:r>
          </w:p>
        </w:tc>
        <w:tc>
          <w:tcPr>
            <w:tcW w:w="1058" w:type="dxa"/>
            <w:tcBorders>
              <w:top w:val="single" w:sz="4" w:space="0" w:color="D2C9B8"/>
              <w:left w:val="single" w:sz="4" w:space="0" w:color="D2C9B8"/>
              <w:bottom w:val="single" w:sz="4" w:space="0" w:color="D2C9B8"/>
              <w:right w:val="single" w:sz="4" w:space="0" w:color="D2C9B8"/>
            </w:tcBorders>
          </w:tcPr>
          <w:p w14:paraId="4D184607" w14:textId="77777777" w:rsidR="005A5FCC" w:rsidRDefault="00A21C81">
            <w:pPr>
              <w:spacing w:before="20" w:after="20" w:line="240" w:lineRule="auto"/>
              <w:jc w:val="left"/>
            </w:pPr>
            <w:r>
              <w:rPr>
                <w:rFonts w:cs="EB Garamond"/>
                <w:kern w:val="16"/>
                <w:sz w:val="18"/>
                <w14:ligatures w14:val="standardContextual"/>
              </w:rPr>
              <w:t>90</w:t>
            </w:r>
          </w:p>
        </w:tc>
        <w:tc>
          <w:tcPr>
            <w:tcW w:w="1058" w:type="dxa"/>
            <w:tcBorders>
              <w:top w:val="single" w:sz="4" w:space="0" w:color="D2C9B8"/>
              <w:left w:val="single" w:sz="4" w:space="0" w:color="D2C9B8"/>
              <w:bottom w:val="single" w:sz="4" w:space="0" w:color="D2C9B8"/>
              <w:right w:val="single" w:sz="4" w:space="0" w:color="D2C9B8"/>
            </w:tcBorders>
          </w:tcPr>
          <w:p w14:paraId="3743585B" w14:textId="77777777" w:rsidR="005A5FCC" w:rsidRDefault="00A21C81">
            <w:pPr>
              <w:spacing w:before="20" w:after="20" w:line="240" w:lineRule="auto"/>
              <w:jc w:val="left"/>
            </w:pPr>
            <w:r>
              <w:rPr>
                <w:rFonts w:cs="EB Garamond"/>
                <w:kern w:val="16"/>
                <w:sz w:val="18"/>
                <w14:ligatures w14:val="standardContextual"/>
              </w:rPr>
              <w:t>100</w:t>
            </w:r>
          </w:p>
        </w:tc>
        <w:tc>
          <w:tcPr>
            <w:tcW w:w="1058" w:type="dxa"/>
            <w:tcBorders>
              <w:top w:val="single" w:sz="4" w:space="0" w:color="D2C9B8"/>
              <w:left w:val="single" w:sz="4" w:space="0" w:color="D2C9B8"/>
              <w:bottom w:val="single" w:sz="4" w:space="0" w:color="D2C9B8"/>
              <w:right w:val="single" w:sz="4" w:space="0" w:color="D2C9B8"/>
            </w:tcBorders>
          </w:tcPr>
          <w:p w14:paraId="2DA15E6C" w14:textId="77777777" w:rsidR="005A5FCC" w:rsidRDefault="00A21C81">
            <w:pPr>
              <w:spacing w:before="20" w:after="20" w:line="240" w:lineRule="auto"/>
              <w:jc w:val="left"/>
            </w:pPr>
            <w:r>
              <w:rPr>
                <w:rFonts w:cs="EB Garamond"/>
                <w:kern w:val="16"/>
                <w:sz w:val="18"/>
                <w14:ligatures w14:val="standardContextual"/>
              </w:rPr>
              <w:t>58</w:t>
            </w:r>
          </w:p>
        </w:tc>
        <w:tc>
          <w:tcPr>
            <w:tcW w:w="1058" w:type="dxa"/>
            <w:tcBorders>
              <w:top w:val="single" w:sz="4" w:space="0" w:color="D2C9B8"/>
              <w:left w:val="single" w:sz="4" w:space="0" w:color="D2C9B8"/>
              <w:bottom w:val="single" w:sz="4" w:space="0" w:color="D2C9B8"/>
              <w:right w:val="single" w:sz="4" w:space="0" w:color="D2C9B8"/>
            </w:tcBorders>
          </w:tcPr>
          <w:p w14:paraId="22B01407" w14:textId="77777777" w:rsidR="005A5FCC" w:rsidRDefault="00A21C81">
            <w:pPr>
              <w:spacing w:before="20" w:after="20" w:line="240" w:lineRule="auto"/>
              <w:jc w:val="left"/>
            </w:pPr>
            <w:r>
              <w:rPr>
                <w:rFonts w:cs="EB Garamond"/>
                <w:kern w:val="16"/>
                <w:sz w:val="18"/>
                <w14:ligatures w14:val="standardContextual"/>
              </w:rPr>
              <w:t>63</w:t>
            </w:r>
          </w:p>
        </w:tc>
        <w:tc>
          <w:tcPr>
            <w:tcW w:w="1058" w:type="dxa"/>
            <w:tcBorders>
              <w:top w:val="single" w:sz="4" w:space="0" w:color="D2C9B8"/>
              <w:left w:val="single" w:sz="4" w:space="0" w:color="D2C9B8"/>
              <w:bottom w:val="single" w:sz="4" w:space="0" w:color="D2C9B8"/>
              <w:right w:val="single" w:sz="4" w:space="0" w:color="D2C9B8"/>
            </w:tcBorders>
          </w:tcPr>
          <w:p w14:paraId="57FD0C42" w14:textId="77777777" w:rsidR="005A5FCC" w:rsidRDefault="00A21C81">
            <w:pPr>
              <w:spacing w:before="20" w:after="20" w:line="240" w:lineRule="auto"/>
              <w:jc w:val="left"/>
            </w:pPr>
            <w:r>
              <w:rPr>
                <w:rFonts w:cs="EB Garamond"/>
                <w:kern w:val="16"/>
                <w:sz w:val="18"/>
                <w14:ligatures w14:val="standardContextual"/>
              </w:rPr>
              <w:t>62 (estabiliza)</w:t>
            </w:r>
          </w:p>
        </w:tc>
      </w:tr>
      <w:tr w:rsidR="005A5FCC" w14:paraId="38364155" w14:textId="77777777">
        <w:trPr>
          <w:jc w:val="center"/>
        </w:trPr>
        <w:tc>
          <w:tcPr>
            <w:tcW w:w="1058" w:type="dxa"/>
            <w:tcBorders>
              <w:top w:val="single" w:sz="4" w:space="0" w:color="D2C9B8"/>
              <w:left w:val="single" w:sz="4" w:space="0" w:color="D2C9B8"/>
              <w:bottom w:val="single" w:sz="4" w:space="0" w:color="D2C9B8"/>
              <w:right w:val="single" w:sz="4" w:space="0" w:color="D2C9B8"/>
            </w:tcBorders>
          </w:tcPr>
          <w:p w14:paraId="3270E5C6" w14:textId="77777777" w:rsidR="005A5FCC" w:rsidRDefault="00A21C81">
            <w:pPr>
              <w:spacing w:before="20" w:after="20" w:line="240" w:lineRule="auto"/>
              <w:jc w:val="left"/>
            </w:pPr>
            <w:r>
              <w:rPr>
                <w:rFonts w:cs="EB Garamond"/>
                <w:kern w:val="16"/>
                <w:sz w:val="18"/>
                <w14:ligatures w14:val="standardContextual"/>
              </w:rPr>
              <w:t>2024</w:t>
            </w:r>
          </w:p>
        </w:tc>
        <w:tc>
          <w:tcPr>
            <w:tcW w:w="1058" w:type="dxa"/>
            <w:tcBorders>
              <w:top w:val="single" w:sz="4" w:space="0" w:color="D2C9B8"/>
              <w:left w:val="single" w:sz="4" w:space="0" w:color="D2C9B8"/>
              <w:bottom w:val="single" w:sz="4" w:space="0" w:color="D2C9B8"/>
              <w:right w:val="single" w:sz="4" w:space="0" w:color="D2C9B8"/>
            </w:tcBorders>
          </w:tcPr>
          <w:p w14:paraId="302BAE01" w14:textId="77777777" w:rsidR="005A5FCC" w:rsidRDefault="00A21C81">
            <w:pPr>
              <w:spacing w:before="20" w:after="20" w:line="240" w:lineRule="auto"/>
              <w:jc w:val="left"/>
            </w:pPr>
            <w:r>
              <w:rPr>
                <w:rFonts w:cs="EB Garamond"/>
                <w:kern w:val="16"/>
                <w:sz w:val="18"/>
                <w14:ligatures w14:val="standardContextual"/>
              </w:rPr>
              <w:t>91</w:t>
            </w:r>
          </w:p>
        </w:tc>
        <w:tc>
          <w:tcPr>
            <w:tcW w:w="1058" w:type="dxa"/>
            <w:tcBorders>
              <w:top w:val="single" w:sz="4" w:space="0" w:color="D2C9B8"/>
              <w:left w:val="single" w:sz="4" w:space="0" w:color="D2C9B8"/>
              <w:bottom w:val="single" w:sz="4" w:space="0" w:color="D2C9B8"/>
              <w:right w:val="single" w:sz="4" w:space="0" w:color="D2C9B8"/>
            </w:tcBorders>
          </w:tcPr>
          <w:p w14:paraId="16BF245F" w14:textId="77777777" w:rsidR="005A5FCC" w:rsidRDefault="00A21C81">
            <w:pPr>
              <w:spacing w:before="20" w:after="20" w:line="240" w:lineRule="auto"/>
              <w:jc w:val="left"/>
            </w:pPr>
            <w:r>
              <w:rPr>
                <w:rFonts w:cs="EB Garamond"/>
                <w:kern w:val="16"/>
                <w:sz w:val="18"/>
                <w14:ligatures w14:val="standardContextual"/>
              </w:rPr>
              <w:t>101</w:t>
            </w:r>
          </w:p>
        </w:tc>
        <w:tc>
          <w:tcPr>
            <w:tcW w:w="1058" w:type="dxa"/>
            <w:tcBorders>
              <w:top w:val="single" w:sz="4" w:space="0" w:color="D2C9B8"/>
              <w:left w:val="single" w:sz="4" w:space="0" w:color="D2C9B8"/>
              <w:bottom w:val="single" w:sz="4" w:space="0" w:color="D2C9B8"/>
              <w:right w:val="single" w:sz="4" w:space="0" w:color="D2C9B8"/>
            </w:tcBorders>
          </w:tcPr>
          <w:p w14:paraId="3DE31958" w14:textId="77777777" w:rsidR="005A5FCC" w:rsidRDefault="00A21C81">
            <w:pPr>
              <w:spacing w:before="20" w:after="20" w:line="240" w:lineRule="auto"/>
              <w:jc w:val="left"/>
            </w:pPr>
            <w:r>
              <w:rPr>
                <w:rFonts w:cs="EB Garamond"/>
                <w:kern w:val="16"/>
                <w:sz w:val="18"/>
                <w14:ligatures w14:val="standardContextual"/>
              </w:rPr>
              <w:t>58,5</w:t>
            </w:r>
          </w:p>
        </w:tc>
        <w:tc>
          <w:tcPr>
            <w:tcW w:w="1058" w:type="dxa"/>
            <w:tcBorders>
              <w:top w:val="single" w:sz="4" w:space="0" w:color="D2C9B8"/>
              <w:left w:val="single" w:sz="4" w:space="0" w:color="D2C9B8"/>
              <w:bottom w:val="single" w:sz="4" w:space="0" w:color="D2C9B8"/>
              <w:right w:val="single" w:sz="4" w:space="0" w:color="D2C9B8"/>
            </w:tcBorders>
          </w:tcPr>
          <w:p w14:paraId="4C500DB9" w14:textId="77777777" w:rsidR="005A5FCC" w:rsidRDefault="00A21C81">
            <w:pPr>
              <w:spacing w:before="20" w:after="20" w:line="240" w:lineRule="auto"/>
              <w:jc w:val="left"/>
            </w:pPr>
            <w:r>
              <w:rPr>
                <w:rFonts w:cs="EB Garamond"/>
                <w:kern w:val="16"/>
                <w:sz w:val="18"/>
                <w14:ligatures w14:val="standardContextual"/>
              </w:rPr>
              <w:t>63,5</w:t>
            </w:r>
          </w:p>
        </w:tc>
        <w:tc>
          <w:tcPr>
            <w:tcW w:w="1058" w:type="dxa"/>
            <w:tcBorders>
              <w:top w:val="single" w:sz="4" w:space="0" w:color="D2C9B8"/>
              <w:left w:val="single" w:sz="4" w:space="0" w:color="D2C9B8"/>
              <w:bottom w:val="single" w:sz="4" w:space="0" w:color="D2C9B8"/>
              <w:right w:val="single" w:sz="4" w:space="0" w:color="D2C9B8"/>
            </w:tcBorders>
          </w:tcPr>
          <w:p w14:paraId="362B5A5C" w14:textId="77777777" w:rsidR="005A5FCC" w:rsidRDefault="00A21C81">
            <w:pPr>
              <w:spacing w:before="20" w:after="20" w:line="240" w:lineRule="auto"/>
              <w:jc w:val="left"/>
            </w:pPr>
            <w:r>
              <w:rPr>
                <w:rFonts w:cs="EB Garamond"/>
                <w:kern w:val="16"/>
                <w:sz w:val="18"/>
                <w14:ligatures w14:val="standardContextual"/>
              </w:rPr>
              <w:t>62</w:t>
            </w:r>
          </w:p>
        </w:tc>
      </w:tr>
      <w:tr w:rsidR="005A5FCC" w14:paraId="1F83CBC4" w14:textId="77777777">
        <w:trPr>
          <w:jc w:val="center"/>
        </w:trPr>
        <w:tc>
          <w:tcPr>
            <w:tcW w:w="1058" w:type="dxa"/>
            <w:tcBorders>
              <w:top w:val="single" w:sz="4" w:space="0" w:color="D2C9B8"/>
              <w:left w:val="single" w:sz="4" w:space="0" w:color="D2C9B8"/>
              <w:bottom w:val="single" w:sz="4" w:space="0" w:color="D2C9B8"/>
              <w:right w:val="single" w:sz="4" w:space="0" w:color="D2C9B8"/>
            </w:tcBorders>
          </w:tcPr>
          <w:p w14:paraId="14751F6A" w14:textId="77777777" w:rsidR="005A5FCC" w:rsidRDefault="00A21C81">
            <w:pPr>
              <w:spacing w:before="20" w:after="20" w:line="240" w:lineRule="auto"/>
              <w:jc w:val="left"/>
            </w:pPr>
            <w:r>
              <w:rPr>
                <w:rFonts w:cs="EB Garamond"/>
                <w:kern w:val="16"/>
                <w:sz w:val="18"/>
                <w14:ligatures w14:val="standardContextual"/>
              </w:rPr>
              <w:lastRenderedPageBreak/>
              <w:t>2025</w:t>
            </w:r>
          </w:p>
        </w:tc>
        <w:tc>
          <w:tcPr>
            <w:tcW w:w="1058" w:type="dxa"/>
            <w:tcBorders>
              <w:top w:val="single" w:sz="4" w:space="0" w:color="D2C9B8"/>
              <w:left w:val="single" w:sz="4" w:space="0" w:color="D2C9B8"/>
              <w:bottom w:val="single" w:sz="4" w:space="0" w:color="D2C9B8"/>
              <w:right w:val="single" w:sz="4" w:space="0" w:color="D2C9B8"/>
            </w:tcBorders>
          </w:tcPr>
          <w:p w14:paraId="6C42EE8F" w14:textId="77777777" w:rsidR="005A5FCC" w:rsidRDefault="00A21C81">
            <w:pPr>
              <w:spacing w:before="20" w:after="20" w:line="240" w:lineRule="auto"/>
              <w:jc w:val="left"/>
            </w:pPr>
            <w:r>
              <w:rPr>
                <w:rFonts w:cs="EB Garamond"/>
                <w:kern w:val="16"/>
                <w:sz w:val="18"/>
                <w14:ligatures w14:val="standardContextual"/>
              </w:rPr>
              <w:t>92</w:t>
            </w:r>
          </w:p>
        </w:tc>
        <w:tc>
          <w:tcPr>
            <w:tcW w:w="1058" w:type="dxa"/>
            <w:tcBorders>
              <w:top w:val="single" w:sz="4" w:space="0" w:color="D2C9B8"/>
              <w:left w:val="single" w:sz="4" w:space="0" w:color="D2C9B8"/>
              <w:bottom w:val="single" w:sz="4" w:space="0" w:color="D2C9B8"/>
              <w:right w:val="single" w:sz="4" w:space="0" w:color="D2C9B8"/>
            </w:tcBorders>
          </w:tcPr>
          <w:p w14:paraId="5EC6E7F9" w14:textId="77777777" w:rsidR="005A5FCC" w:rsidRDefault="00A21C81">
            <w:pPr>
              <w:spacing w:before="20" w:after="20" w:line="240" w:lineRule="auto"/>
              <w:jc w:val="left"/>
            </w:pPr>
            <w:r>
              <w:rPr>
                <w:rFonts w:cs="EB Garamond"/>
                <w:kern w:val="16"/>
                <w:sz w:val="18"/>
                <w14:ligatures w14:val="standardContextual"/>
              </w:rPr>
              <w:t>102</w:t>
            </w:r>
          </w:p>
        </w:tc>
        <w:tc>
          <w:tcPr>
            <w:tcW w:w="1058" w:type="dxa"/>
            <w:tcBorders>
              <w:top w:val="single" w:sz="4" w:space="0" w:color="D2C9B8"/>
              <w:left w:val="single" w:sz="4" w:space="0" w:color="D2C9B8"/>
              <w:bottom w:val="single" w:sz="4" w:space="0" w:color="D2C9B8"/>
              <w:right w:val="single" w:sz="4" w:space="0" w:color="D2C9B8"/>
            </w:tcBorders>
          </w:tcPr>
          <w:p w14:paraId="0FBE1766" w14:textId="77777777" w:rsidR="005A5FCC" w:rsidRDefault="00A21C81">
            <w:pPr>
              <w:spacing w:before="20" w:after="20" w:line="240" w:lineRule="auto"/>
              <w:jc w:val="left"/>
            </w:pPr>
            <w:r>
              <w:rPr>
                <w:rFonts w:cs="EB Garamond"/>
                <w:kern w:val="16"/>
                <w:sz w:val="18"/>
                <w14:ligatures w14:val="standardContextual"/>
              </w:rPr>
              <w:t>59</w:t>
            </w:r>
          </w:p>
        </w:tc>
        <w:tc>
          <w:tcPr>
            <w:tcW w:w="1058" w:type="dxa"/>
            <w:tcBorders>
              <w:top w:val="single" w:sz="4" w:space="0" w:color="D2C9B8"/>
              <w:left w:val="single" w:sz="4" w:space="0" w:color="D2C9B8"/>
              <w:bottom w:val="single" w:sz="4" w:space="0" w:color="D2C9B8"/>
              <w:right w:val="single" w:sz="4" w:space="0" w:color="D2C9B8"/>
            </w:tcBorders>
          </w:tcPr>
          <w:p w14:paraId="0A9452AA" w14:textId="77777777" w:rsidR="005A5FCC" w:rsidRDefault="00A21C81">
            <w:pPr>
              <w:spacing w:before="20" w:after="20" w:line="240" w:lineRule="auto"/>
              <w:jc w:val="left"/>
            </w:pPr>
            <w:r>
              <w:rPr>
                <w:rFonts w:cs="EB Garamond"/>
                <w:kern w:val="16"/>
                <w:sz w:val="18"/>
                <w14:ligatures w14:val="standardContextual"/>
              </w:rPr>
              <w:t>64</w:t>
            </w:r>
          </w:p>
        </w:tc>
        <w:tc>
          <w:tcPr>
            <w:tcW w:w="1058" w:type="dxa"/>
            <w:tcBorders>
              <w:top w:val="single" w:sz="4" w:space="0" w:color="D2C9B8"/>
              <w:left w:val="single" w:sz="4" w:space="0" w:color="D2C9B8"/>
              <w:bottom w:val="single" w:sz="4" w:space="0" w:color="D2C9B8"/>
              <w:right w:val="single" w:sz="4" w:space="0" w:color="D2C9B8"/>
            </w:tcBorders>
          </w:tcPr>
          <w:p w14:paraId="7733F67B" w14:textId="77777777" w:rsidR="005A5FCC" w:rsidRDefault="00A21C81">
            <w:pPr>
              <w:spacing w:before="20" w:after="20" w:line="240" w:lineRule="auto"/>
              <w:jc w:val="left"/>
            </w:pPr>
            <w:r>
              <w:rPr>
                <w:rFonts w:cs="EB Garamond"/>
                <w:kern w:val="16"/>
                <w:sz w:val="18"/>
                <w14:ligatures w14:val="standardContextual"/>
              </w:rPr>
              <w:t>62</w:t>
            </w:r>
          </w:p>
        </w:tc>
      </w:tr>
      <w:tr w:rsidR="005A5FCC" w14:paraId="028EE756" w14:textId="77777777">
        <w:trPr>
          <w:jc w:val="center"/>
        </w:trPr>
        <w:tc>
          <w:tcPr>
            <w:tcW w:w="1058" w:type="dxa"/>
            <w:tcBorders>
              <w:top w:val="single" w:sz="4" w:space="0" w:color="D2C9B8"/>
              <w:left w:val="single" w:sz="4" w:space="0" w:color="D2C9B8"/>
              <w:bottom w:val="single" w:sz="4" w:space="0" w:color="D2C9B8"/>
              <w:right w:val="single" w:sz="4" w:space="0" w:color="D2C9B8"/>
            </w:tcBorders>
          </w:tcPr>
          <w:p w14:paraId="1E2CD414" w14:textId="77777777" w:rsidR="005A5FCC" w:rsidRDefault="00A21C81">
            <w:pPr>
              <w:spacing w:before="20" w:after="20" w:line="240" w:lineRule="auto"/>
              <w:jc w:val="left"/>
            </w:pPr>
            <w:r>
              <w:rPr>
                <w:rFonts w:cs="EB Garamond"/>
                <w:b/>
                <w:kern w:val="16"/>
                <w:sz w:val="18"/>
                <w14:ligatures w14:val="standardContextual"/>
              </w:rPr>
              <w:t>2026</w:t>
            </w:r>
          </w:p>
        </w:tc>
        <w:tc>
          <w:tcPr>
            <w:tcW w:w="1058" w:type="dxa"/>
            <w:tcBorders>
              <w:top w:val="single" w:sz="4" w:space="0" w:color="D2C9B8"/>
              <w:left w:val="single" w:sz="4" w:space="0" w:color="D2C9B8"/>
              <w:bottom w:val="single" w:sz="4" w:space="0" w:color="D2C9B8"/>
              <w:right w:val="single" w:sz="4" w:space="0" w:color="D2C9B8"/>
            </w:tcBorders>
          </w:tcPr>
          <w:p w14:paraId="38D0CDBF" w14:textId="77777777" w:rsidR="005A5FCC" w:rsidRDefault="00A21C81">
            <w:pPr>
              <w:spacing w:before="20" w:after="20" w:line="240" w:lineRule="auto"/>
              <w:jc w:val="left"/>
            </w:pPr>
            <w:r>
              <w:rPr>
                <w:rFonts w:cs="EB Garamond"/>
                <w:b/>
                <w:kern w:val="16"/>
                <w:sz w:val="18"/>
                <w14:ligatures w14:val="standardContextual"/>
              </w:rPr>
              <w:t>93</w:t>
            </w:r>
          </w:p>
        </w:tc>
        <w:tc>
          <w:tcPr>
            <w:tcW w:w="1058" w:type="dxa"/>
            <w:tcBorders>
              <w:top w:val="single" w:sz="4" w:space="0" w:color="D2C9B8"/>
              <w:left w:val="single" w:sz="4" w:space="0" w:color="D2C9B8"/>
              <w:bottom w:val="single" w:sz="4" w:space="0" w:color="D2C9B8"/>
              <w:right w:val="single" w:sz="4" w:space="0" w:color="D2C9B8"/>
            </w:tcBorders>
          </w:tcPr>
          <w:p w14:paraId="3D71E0FE" w14:textId="77777777" w:rsidR="005A5FCC" w:rsidRDefault="00A21C81">
            <w:pPr>
              <w:spacing w:before="20" w:after="20" w:line="240" w:lineRule="auto"/>
              <w:jc w:val="left"/>
            </w:pPr>
            <w:r>
              <w:rPr>
                <w:rFonts w:cs="EB Garamond"/>
                <w:b/>
                <w:kern w:val="16"/>
                <w:sz w:val="18"/>
                <w14:ligatures w14:val="standardContextual"/>
              </w:rPr>
              <w:t>103</w:t>
            </w:r>
          </w:p>
        </w:tc>
        <w:tc>
          <w:tcPr>
            <w:tcW w:w="1058" w:type="dxa"/>
            <w:tcBorders>
              <w:top w:val="single" w:sz="4" w:space="0" w:color="D2C9B8"/>
              <w:left w:val="single" w:sz="4" w:space="0" w:color="D2C9B8"/>
              <w:bottom w:val="single" w:sz="4" w:space="0" w:color="D2C9B8"/>
              <w:right w:val="single" w:sz="4" w:space="0" w:color="D2C9B8"/>
            </w:tcBorders>
          </w:tcPr>
          <w:p w14:paraId="54D14A7C" w14:textId="77777777" w:rsidR="005A5FCC" w:rsidRDefault="00A21C81">
            <w:pPr>
              <w:spacing w:before="20" w:after="20" w:line="240" w:lineRule="auto"/>
              <w:jc w:val="left"/>
            </w:pPr>
            <w:r>
              <w:rPr>
                <w:rFonts w:cs="EB Garamond"/>
                <w:b/>
                <w:kern w:val="16"/>
                <w:sz w:val="18"/>
                <w14:ligatures w14:val="standardContextual"/>
              </w:rPr>
              <w:t>59,5</w:t>
            </w:r>
          </w:p>
        </w:tc>
        <w:tc>
          <w:tcPr>
            <w:tcW w:w="1058" w:type="dxa"/>
            <w:tcBorders>
              <w:top w:val="single" w:sz="4" w:space="0" w:color="D2C9B8"/>
              <w:left w:val="single" w:sz="4" w:space="0" w:color="D2C9B8"/>
              <w:bottom w:val="single" w:sz="4" w:space="0" w:color="D2C9B8"/>
              <w:right w:val="single" w:sz="4" w:space="0" w:color="D2C9B8"/>
            </w:tcBorders>
          </w:tcPr>
          <w:p w14:paraId="7C236B8F" w14:textId="77777777" w:rsidR="005A5FCC" w:rsidRDefault="00A21C81">
            <w:pPr>
              <w:spacing w:before="20" w:after="20" w:line="240" w:lineRule="auto"/>
              <w:jc w:val="left"/>
            </w:pPr>
            <w:r>
              <w:rPr>
                <w:rFonts w:cs="EB Garamond"/>
                <w:b/>
                <w:kern w:val="16"/>
                <w:sz w:val="18"/>
                <w14:ligatures w14:val="standardContextual"/>
              </w:rPr>
              <w:t>64,5</w:t>
            </w:r>
          </w:p>
        </w:tc>
        <w:tc>
          <w:tcPr>
            <w:tcW w:w="1058" w:type="dxa"/>
            <w:tcBorders>
              <w:top w:val="single" w:sz="4" w:space="0" w:color="D2C9B8"/>
              <w:left w:val="single" w:sz="4" w:space="0" w:color="D2C9B8"/>
              <w:bottom w:val="single" w:sz="4" w:space="0" w:color="D2C9B8"/>
              <w:right w:val="single" w:sz="4" w:space="0" w:color="D2C9B8"/>
            </w:tcBorders>
          </w:tcPr>
          <w:p w14:paraId="75E23818" w14:textId="77777777" w:rsidR="005A5FCC" w:rsidRDefault="00A21C81">
            <w:pPr>
              <w:spacing w:before="20" w:after="20" w:line="240" w:lineRule="auto"/>
              <w:jc w:val="left"/>
            </w:pPr>
            <w:r>
              <w:rPr>
                <w:rFonts w:cs="EB Garamond"/>
                <w:b/>
                <w:kern w:val="16"/>
                <w:sz w:val="18"/>
                <w14:ligatures w14:val="standardContextual"/>
              </w:rPr>
              <w:t>62</w:t>
            </w:r>
          </w:p>
        </w:tc>
      </w:tr>
      <w:tr w:rsidR="005A5FCC" w14:paraId="4269BF16" w14:textId="77777777">
        <w:trPr>
          <w:jc w:val="center"/>
        </w:trPr>
        <w:tc>
          <w:tcPr>
            <w:tcW w:w="1058" w:type="dxa"/>
            <w:tcBorders>
              <w:top w:val="single" w:sz="4" w:space="0" w:color="D2C9B8"/>
              <w:left w:val="single" w:sz="4" w:space="0" w:color="D2C9B8"/>
              <w:bottom w:val="single" w:sz="4" w:space="0" w:color="D2C9B8"/>
              <w:right w:val="single" w:sz="4" w:space="0" w:color="D2C9B8"/>
            </w:tcBorders>
          </w:tcPr>
          <w:p w14:paraId="3F4D7009" w14:textId="77777777" w:rsidR="005A5FCC" w:rsidRDefault="00A21C81">
            <w:pPr>
              <w:spacing w:before="20" w:after="20" w:line="240" w:lineRule="auto"/>
              <w:jc w:val="left"/>
            </w:pPr>
            <w:r>
              <w:rPr>
                <w:rFonts w:cs="EB Garamond"/>
                <w:kern w:val="16"/>
                <w:sz w:val="18"/>
                <w14:ligatures w14:val="standardContextual"/>
              </w:rPr>
              <w:t>2027</w:t>
            </w:r>
          </w:p>
        </w:tc>
        <w:tc>
          <w:tcPr>
            <w:tcW w:w="1058" w:type="dxa"/>
            <w:tcBorders>
              <w:top w:val="single" w:sz="4" w:space="0" w:color="D2C9B8"/>
              <w:left w:val="single" w:sz="4" w:space="0" w:color="D2C9B8"/>
              <w:bottom w:val="single" w:sz="4" w:space="0" w:color="D2C9B8"/>
              <w:right w:val="single" w:sz="4" w:space="0" w:color="D2C9B8"/>
            </w:tcBorders>
          </w:tcPr>
          <w:p w14:paraId="18CFE00B" w14:textId="77777777" w:rsidR="005A5FCC" w:rsidRDefault="00A21C81">
            <w:pPr>
              <w:spacing w:before="20" w:after="20" w:line="240" w:lineRule="auto"/>
              <w:jc w:val="left"/>
            </w:pPr>
            <w:r>
              <w:rPr>
                <w:rFonts w:cs="EB Garamond"/>
                <w:kern w:val="16"/>
                <w:sz w:val="18"/>
                <w14:ligatures w14:val="standardContextual"/>
              </w:rPr>
              <w:t>94</w:t>
            </w:r>
          </w:p>
        </w:tc>
        <w:tc>
          <w:tcPr>
            <w:tcW w:w="1058" w:type="dxa"/>
            <w:tcBorders>
              <w:top w:val="single" w:sz="4" w:space="0" w:color="D2C9B8"/>
              <w:left w:val="single" w:sz="4" w:space="0" w:color="D2C9B8"/>
              <w:bottom w:val="single" w:sz="4" w:space="0" w:color="D2C9B8"/>
              <w:right w:val="single" w:sz="4" w:space="0" w:color="D2C9B8"/>
            </w:tcBorders>
          </w:tcPr>
          <w:p w14:paraId="79D2B725" w14:textId="77777777" w:rsidR="005A5FCC" w:rsidRDefault="00A21C81">
            <w:pPr>
              <w:spacing w:before="20" w:after="20" w:line="240" w:lineRule="auto"/>
              <w:jc w:val="left"/>
            </w:pPr>
            <w:r>
              <w:rPr>
                <w:rFonts w:cs="EB Garamond"/>
                <w:kern w:val="16"/>
                <w:sz w:val="18"/>
                <w14:ligatures w14:val="standardContextual"/>
              </w:rPr>
              <w:t>104</w:t>
            </w:r>
          </w:p>
        </w:tc>
        <w:tc>
          <w:tcPr>
            <w:tcW w:w="1058" w:type="dxa"/>
            <w:tcBorders>
              <w:top w:val="single" w:sz="4" w:space="0" w:color="D2C9B8"/>
              <w:left w:val="single" w:sz="4" w:space="0" w:color="D2C9B8"/>
              <w:bottom w:val="single" w:sz="4" w:space="0" w:color="D2C9B8"/>
              <w:right w:val="single" w:sz="4" w:space="0" w:color="D2C9B8"/>
            </w:tcBorders>
          </w:tcPr>
          <w:p w14:paraId="23C90CA4" w14:textId="77777777" w:rsidR="005A5FCC" w:rsidRDefault="00A21C81">
            <w:pPr>
              <w:spacing w:before="20" w:after="20" w:line="240" w:lineRule="auto"/>
              <w:jc w:val="left"/>
            </w:pPr>
            <w:r>
              <w:rPr>
                <w:rFonts w:cs="EB Garamond"/>
                <w:kern w:val="16"/>
                <w:sz w:val="18"/>
                <w14:ligatures w14:val="standardContextual"/>
              </w:rPr>
              <w:t>60</w:t>
            </w:r>
          </w:p>
        </w:tc>
        <w:tc>
          <w:tcPr>
            <w:tcW w:w="1058" w:type="dxa"/>
            <w:tcBorders>
              <w:top w:val="single" w:sz="4" w:space="0" w:color="D2C9B8"/>
              <w:left w:val="single" w:sz="4" w:space="0" w:color="D2C9B8"/>
              <w:bottom w:val="single" w:sz="4" w:space="0" w:color="D2C9B8"/>
              <w:right w:val="single" w:sz="4" w:space="0" w:color="D2C9B8"/>
            </w:tcBorders>
          </w:tcPr>
          <w:p w14:paraId="72F6AF57" w14:textId="77777777" w:rsidR="005A5FCC" w:rsidRDefault="00A21C81">
            <w:pPr>
              <w:spacing w:before="20" w:after="20" w:line="240" w:lineRule="auto"/>
              <w:jc w:val="left"/>
            </w:pPr>
            <w:r>
              <w:rPr>
                <w:rFonts w:cs="EB Garamond"/>
                <w:kern w:val="16"/>
                <w:sz w:val="18"/>
                <w14:ligatures w14:val="standardContextual"/>
              </w:rPr>
              <w:t>65 (estabiliza)</w:t>
            </w:r>
          </w:p>
        </w:tc>
        <w:tc>
          <w:tcPr>
            <w:tcW w:w="1058" w:type="dxa"/>
            <w:tcBorders>
              <w:top w:val="single" w:sz="4" w:space="0" w:color="D2C9B8"/>
              <w:left w:val="single" w:sz="4" w:space="0" w:color="D2C9B8"/>
              <w:bottom w:val="single" w:sz="4" w:space="0" w:color="D2C9B8"/>
              <w:right w:val="single" w:sz="4" w:space="0" w:color="D2C9B8"/>
            </w:tcBorders>
          </w:tcPr>
          <w:p w14:paraId="7CB18C8C" w14:textId="77777777" w:rsidR="005A5FCC" w:rsidRDefault="00A21C81">
            <w:pPr>
              <w:spacing w:before="20" w:after="20" w:line="240" w:lineRule="auto"/>
              <w:jc w:val="left"/>
            </w:pPr>
            <w:r>
              <w:rPr>
                <w:rFonts w:cs="EB Garamond"/>
                <w:kern w:val="16"/>
                <w:sz w:val="18"/>
                <w14:ligatures w14:val="standardContextual"/>
              </w:rPr>
              <w:t>62</w:t>
            </w:r>
          </w:p>
        </w:tc>
      </w:tr>
      <w:tr w:rsidR="005A5FCC" w14:paraId="42BB0938" w14:textId="77777777">
        <w:trPr>
          <w:jc w:val="center"/>
        </w:trPr>
        <w:tc>
          <w:tcPr>
            <w:tcW w:w="1058" w:type="dxa"/>
            <w:tcBorders>
              <w:top w:val="single" w:sz="4" w:space="0" w:color="D2C9B8"/>
              <w:left w:val="single" w:sz="4" w:space="0" w:color="D2C9B8"/>
              <w:bottom w:val="single" w:sz="4" w:space="0" w:color="D2C9B8"/>
              <w:right w:val="single" w:sz="4" w:space="0" w:color="D2C9B8"/>
            </w:tcBorders>
          </w:tcPr>
          <w:p w14:paraId="6DD47BF1" w14:textId="77777777" w:rsidR="005A5FCC" w:rsidRDefault="00A21C81">
            <w:pPr>
              <w:spacing w:before="20" w:after="20" w:line="240" w:lineRule="auto"/>
              <w:jc w:val="left"/>
            </w:pPr>
            <w:r>
              <w:rPr>
                <w:rFonts w:cs="EB Garamond"/>
                <w:kern w:val="16"/>
                <w:sz w:val="18"/>
                <w14:ligatures w14:val="standardContextual"/>
              </w:rPr>
              <w:t>2028</w:t>
            </w:r>
          </w:p>
        </w:tc>
        <w:tc>
          <w:tcPr>
            <w:tcW w:w="1058" w:type="dxa"/>
            <w:tcBorders>
              <w:top w:val="single" w:sz="4" w:space="0" w:color="D2C9B8"/>
              <w:left w:val="single" w:sz="4" w:space="0" w:color="D2C9B8"/>
              <w:bottom w:val="single" w:sz="4" w:space="0" w:color="D2C9B8"/>
              <w:right w:val="single" w:sz="4" w:space="0" w:color="D2C9B8"/>
            </w:tcBorders>
          </w:tcPr>
          <w:p w14:paraId="0BA3BB4C" w14:textId="77777777" w:rsidR="005A5FCC" w:rsidRDefault="00A21C81">
            <w:pPr>
              <w:spacing w:before="20" w:after="20" w:line="240" w:lineRule="auto"/>
              <w:jc w:val="left"/>
            </w:pPr>
            <w:r>
              <w:rPr>
                <w:rFonts w:cs="EB Garamond"/>
                <w:kern w:val="16"/>
                <w:sz w:val="18"/>
                <w14:ligatures w14:val="standardContextual"/>
              </w:rPr>
              <w:t>95</w:t>
            </w:r>
          </w:p>
        </w:tc>
        <w:tc>
          <w:tcPr>
            <w:tcW w:w="1058" w:type="dxa"/>
            <w:tcBorders>
              <w:top w:val="single" w:sz="4" w:space="0" w:color="D2C9B8"/>
              <w:left w:val="single" w:sz="4" w:space="0" w:color="D2C9B8"/>
              <w:bottom w:val="single" w:sz="4" w:space="0" w:color="D2C9B8"/>
              <w:right w:val="single" w:sz="4" w:space="0" w:color="D2C9B8"/>
            </w:tcBorders>
          </w:tcPr>
          <w:p w14:paraId="23551812" w14:textId="77777777" w:rsidR="005A5FCC" w:rsidRDefault="00A21C81">
            <w:pPr>
              <w:spacing w:before="20" w:after="20" w:line="240" w:lineRule="auto"/>
              <w:jc w:val="left"/>
            </w:pPr>
            <w:r>
              <w:rPr>
                <w:rFonts w:cs="EB Garamond"/>
                <w:kern w:val="16"/>
                <w:sz w:val="18"/>
                <w14:ligatures w14:val="standardContextual"/>
              </w:rPr>
              <w:t>105 (estabiliza)</w:t>
            </w:r>
          </w:p>
        </w:tc>
        <w:tc>
          <w:tcPr>
            <w:tcW w:w="1058" w:type="dxa"/>
            <w:tcBorders>
              <w:top w:val="single" w:sz="4" w:space="0" w:color="D2C9B8"/>
              <w:left w:val="single" w:sz="4" w:space="0" w:color="D2C9B8"/>
              <w:bottom w:val="single" w:sz="4" w:space="0" w:color="D2C9B8"/>
              <w:right w:val="single" w:sz="4" w:space="0" w:color="D2C9B8"/>
            </w:tcBorders>
          </w:tcPr>
          <w:p w14:paraId="12892CA1" w14:textId="77777777" w:rsidR="005A5FCC" w:rsidRDefault="00A21C81">
            <w:pPr>
              <w:spacing w:before="20" w:after="20" w:line="240" w:lineRule="auto"/>
              <w:jc w:val="left"/>
            </w:pPr>
            <w:r>
              <w:rPr>
                <w:rFonts w:cs="EB Garamond"/>
                <w:kern w:val="16"/>
                <w:sz w:val="18"/>
                <w14:ligatures w14:val="standardContextual"/>
              </w:rPr>
              <w:t>60,5</w:t>
            </w:r>
          </w:p>
        </w:tc>
        <w:tc>
          <w:tcPr>
            <w:tcW w:w="1058" w:type="dxa"/>
            <w:tcBorders>
              <w:top w:val="single" w:sz="4" w:space="0" w:color="D2C9B8"/>
              <w:left w:val="single" w:sz="4" w:space="0" w:color="D2C9B8"/>
              <w:bottom w:val="single" w:sz="4" w:space="0" w:color="D2C9B8"/>
              <w:right w:val="single" w:sz="4" w:space="0" w:color="D2C9B8"/>
            </w:tcBorders>
          </w:tcPr>
          <w:p w14:paraId="3381D7E8" w14:textId="77777777" w:rsidR="005A5FCC" w:rsidRDefault="00A21C81">
            <w:pPr>
              <w:spacing w:before="20" w:after="20" w:line="240" w:lineRule="auto"/>
              <w:jc w:val="left"/>
            </w:pPr>
            <w:r>
              <w:rPr>
                <w:rFonts w:cs="EB Garamond"/>
                <w:kern w:val="16"/>
                <w:sz w:val="18"/>
                <w14:ligatures w14:val="standardContextual"/>
              </w:rPr>
              <w:t>65</w:t>
            </w:r>
          </w:p>
        </w:tc>
        <w:tc>
          <w:tcPr>
            <w:tcW w:w="1058" w:type="dxa"/>
            <w:tcBorders>
              <w:top w:val="single" w:sz="4" w:space="0" w:color="D2C9B8"/>
              <w:left w:val="single" w:sz="4" w:space="0" w:color="D2C9B8"/>
              <w:bottom w:val="single" w:sz="4" w:space="0" w:color="D2C9B8"/>
              <w:right w:val="single" w:sz="4" w:space="0" w:color="D2C9B8"/>
            </w:tcBorders>
          </w:tcPr>
          <w:p w14:paraId="1744BAB2" w14:textId="77777777" w:rsidR="005A5FCC" w:rsidRDefault="00A21C81">
            <w:pPr>
              <w:spacing w:before="20" w:after="20" w:line="240" w:lineRule="auto"/>
              <w:jc w:val="left"/>
            </w:pPr>
            <w:r>
              <w:rPr>
                <w:rFonts w:cs="EB Garamond"/>
                <w:kern w:val="16"/>
                <w:sz w:val="18"/>
                <w14:ligatures w14:val="standardContextual"/>
              </w:rPr>
              <w:t>62</w:t>
            </w:r>
          </w:p>
        </w:tc>
      </w:tr>
      <w:tr w:rsidR="005A5FCC" w14:paraId="1721B392" w14:textId="77777777">
        <w:trPr>
          <w:jc w:val="center"/>
        </w:trPr>
        <w:tc>
          <w:tcPr>
            <w:tcW w:w="1058" w:type="dxa"/>
            <w:tcBorders>
              <w:top w:val="single" w:sz="4" w:space="0" w:color="D2C9B8"/>
              <w:left w:val="single" w:sz="4" w:space="0" w:color="D2C9B8"/>
              <w:bottom w:val="single" w:sz="4" w:space="0" w:color="D2C9B8"/>
              <w:right w:val="single" w:sz="4" w:space="0" w:color="D2C9B8"/>
            </w:tcBorders>
          </w:tcPr>
          <w:p w14:paraId="1C5D78EC" w14:textId="77777777" w:rsidR="005A5FCC" w:rsidRDefault="00A21C81">
            <w:pPr>
              <w:spacing w:before="20" w:after="20" w:line="240" w:lineRule="auto"/>
              <w:jc w:val="left"/>
            </w:pPr>
            <w:r>
              <w:rPr>
                <w:rFonts w:cs="EB Garamond"/>
                <w:kern w:val="16"/>
                <w:sz w:val="18"/>
                <w14:ligatures w14:val="standardContextual"/>
              </w:rPr>
              <w:t>2029</w:t>
            </w:r>
          </w:p>
        </w:tc>
        <w:tc>
          <w:tcPr>
            <w:tcW w:w="1058" w:type="dxa"/>
            <w:tcBorders>
              <w:top w:val="single" w:sz="4" w:space="0" w:color="D2C9B8"/>
              <w:left w:val="single" w:sz="4" w:space="0" w:color="D2C9B8"/>
              <w:bottom w:val="single" w:sz="4" w:space="0" w:color="D2C9B8"/>
              <w:right w:val="single" w:sz="4" w:space="0" w:color="D2C9B8"/>
            </w:tcBorders>
          </w:tcPr>
          <w:p w14:paraId="48F4A577" w14:textId="77777777" w:rsidR="005A5FCC" w:rsidRDefault="00A21C81">
            <w:pPr>
              <w:spacing w:before="20" w:after="20" w:line="240" w:lineRule="auto"/>
              <w:jc w:val="left"/>
            </w:pPr>
            <w:r>
              <w:rPr>
                <w:rFonts w:cs="EB Garamond"/>
                <w:kern w:val="16"/>
                <w:sz w:val="18"/>
                <w14:ligatures w14:val="standardContextual"/>
              </w:rPr>
              <w:t>96</w:t>
            </w:r>
          </w:p>
        </w:tc>
        <w:tc>
          <w:tcPr>
            <w:tcW w:w="1058" w:type="dxa"/>
            <w:tcBorders>
              <w:top w:val="single" w:sz="4" w:space="0" w:color="D2C9B8"/>
              <w:left w:val="single" w:sz="4" w:space="0" w:color="D2C9B8"/>
              <w:bottom w:val="single" w:sz="4" w:space="0" w:color="D2C9B8"/>
              <w:right w:val="single" w:sz="4" w:space="0" w:color="D2C9B8"/>
            </w:tcBorders>
          </w:tcPr>
          <w:p w14:paraId="6C7C94C1" w14:textId="77777777" w:rsidR="005A5FCC" w:rsidRDefault="00A21C81">
            <w:pPr>
              <w:spacing w:before="20" w:after="20" w:line="240" w:lineRule="auto"/>
              <w:jc w:val="left"/>
            </w:pPr>
            <w:r>
              <w:rPr>
                <w:rFonts w:cs="EB Garamond"/>
                <w:kern w:val="16"/>
                <w:sz w:val="18"/>
                <w14:ligatures w14:val="standardContextual"/>
              </w:rPr>
              <w:t>105</w:t>
            </w:r>
          </w:p>
        </w:tc>
        <w:tc>
          <w:tcPr>
            <w:tcW w:w="1058" w:type="dxa"/>
            <w:tcBorders>
              <w:top w:val="single" w:sz="4" w:space="0" w:color="D2C9B8"/>
              <w:left w:val="single" w:sz="4" w:space="0" w:color="D2C9B8"/>
              <w:bottom w:val="single" w:sz="4" w:space="0" w:color="D2C9B8"/>
              <w:right w:val="single" w:sz="4" w:space="0" w:color="D2C9B8"/>
            </w:tcBorders>
          </w:tcPr>
          <w:p w14:paraId="026397BE" w14:textId="77777777" w:rsidR="005A5FCC" w:rsidRDefault="00A21C81">
            <w:pPr>
              <w:spacing w:before="20" w:after="20" w:line="240" w:lineRule="auto"/>
              <w:jc w:val="left"/>
            </w:pPr>
            <w:r>
              <w:rPr>
                <w:rFonts w:cs="EB Garamond"/>
                <w:kern w:val="16"/>
                <w:sz w:val="18"/>
                <w14:ligatures w14:val="standardContextual"/>
              </w:rPr>
              <w:t>61</w:t>
            </w:r>
          </w:p>
        </w:tc>
        <w:tc>
          <w:tcPr>
            <w:tcW w:w="1058" w:type="dxa"/>
            <w:tcBorders>
              <w:top w:val="single" w:sz="4" w:space="0" w:color="D2C9B8"/>
              <w:left w:val="single" w:sz="4" w:space="0" w:color="D2C9B8"/>
              <w:bottom w:val="single" w:sz="4" w:space="0" w:color="D2C9B8"/>
              <w:right w:val="single" w:sz="4" w:space="0" w:color="D2C9B8"/>
            </w:tcBorders>
          </w:tcPr>
          <w:p w14:paraId="41C10F97" w14:textId="77777777" w:rsidR="005A5FCC" w:rsidRDefault="00A21C81">
            <w:pPr>
              <w:spacing w:before="20" w:after="20" w:line="240" w:lineRule="auto"/>
              <w:jc w:val="left"/>
            </w:pPr>
            <w:r>
              <w:rPr>
                <w:rFonts w:cs="EB Garamond"/>
                <w:kern w:val="16"/>
                <w:sz w:val="18"/>
                <w14:ligatures w14:val="standardContextual"/>
              </w:rPr>
              <w:t>65</w:t>
            </w:r>
          </w:p>
        </w:tc>
        <w:tc>
          <w:tcPr>
            <w:tcW w:w="1058" w:type="dxa"/>
            <w:tcBorders>
              <w:top w:val="single" w:sz="4" w:space="0" w:color="D2C9B8"/>
              <w:left w:val="single" w:sz="4" w:space="0" w:color="D2C9B8"/>
              <w:bottom w:val="single" w:sz="4" w:space="0" w:color="D2C9B8"/>
              <w:right w:val="single" w:sz="4" w:space="0" w:color="D2C9B8"/>
            </w:tcBorders>
          </w:tcPr>
          <w:p w14:paraId="267FFD35" w14:textId="77777777" w:rsidR="005A5FCC" w:rsidRDefault="00A21C81">
            <w:pPr>
              <w:spacing w:before="20" w:after="20" w:line="240" w:lineRule="auto"/>
              <w:jc w:val="left"/>
            </w:pPr>
            <w:r>
              <w:rPr>
                <w:rFonts w:cs="EB Garamond"/>
                <w:kern w:val="16"/>
                <w:sz w:val="18"/>
                <w14:ligatures w14:val="standardContextual"/>
              </w:rPr>
              <w:t>62</w:t>
            </w:r>
          </w:p>
        </w:tc>
      </w:tr>
      <w:tr w:rsidR="005A5FCC" w14:paraId="715DCF29" w14:textId="77777777">
        <w:trPr>
          <w:jc w:val="center"/>
        </w:trPr>
        <w:tc>
          <w:tcPr>
            <w:tcW w:w="1058" w:type="dxa"/>
            <w:tcBorders>
              <w:top w:val="single" w:sz="4" w:space="0" w:color="D2C9B8"/>
              <w:left w:val="single" w:sz="4" w:space="0" w:color="D2C9B8"/>
              <w:bottom w:val="single" w:sz="4" w:space="0" w:color="D2C9B8"/>
              <w:right w:val="single" w:sz="4" w:space="0" w:color="D2C9B8"/>
            </w:tcBorders>
          </w:tcPr>
          <w:p w14:paraId="02F2AF4D" w14:textId="77777777" w:rsidR="005A5FCC" w:rsidRDefault="00A21C81">
            <w:pPr>
              <w:spacing w:before="20" w:after="20" w:line="240" w:lineRule="auto"/>
              <w:jc w:val="left"/>
            </w:pPr>
            <w:r>
              <w:rPr>
                <w:rFonts w:cs="EB Garamond"/>
                <w:kern w:val="16"/>
                <w:sz w:val="18"/>
                <w14:ligatures w14:val="standardContextual"/>
              </w:rPr>
              <w:t>2030</w:t>
            </w:r>
          </w:p>
        </w:tc>
        <w:tc>
          <w:tcPr>
            <w:tcW w:w="1058" w:type="dxa"/>
            <w:tcBorders>
              <w:top w:val="single" w:sz="4" w:space="0" w:color="D2C9B8"/>
              <w:left w:val="single" w:sz="4" w:space="0" w:color="D2C9B8"/>
              <w:bottom w:val="single" w:sz="4" w:space="0" w:color="D2C9B8"/>
              <w:right w:val="single" w:sz="4" w:space="0" w:color="D2C9B8"/>
            </w:tcBorders>
          </w:tcPr>
          <w:p w14:paraId="333BC67C" w14:textId="77777777" w:rsidR="005A5FCC" w:rsidRDefault="00A21C81">
            <w:pPr>
              <w:spacing w:before="20" w:after="20" w:line="240" w:lineRule="auto"/>
              <w:jc w:val="left"/>
            </w:pPr>
            <w:r>
              <w:rPr>
                <w:rFonts w:cs="EB Garamond"/>
                <w:kern w:val="16"/>
                <w:sz w:val="18"/>
                <w14:ligatures w14:val="standardContextual"/>
              </w:rPr>
              <w:t>97</w:t>
            </w:r>
          </w:p>
        </w:tc>
        <w:tc>
          <w:tcPr>
            <w:tcW w:w="1058" w:type="dxa"/>
            <w:tcBorders>
              <w:top w:val="single" w:sz="4" w:space="0" w:color="D2C9B8"/>
              <w:left w:val="single" w:sz="4" w:space="0" w:color="D2C9B8"/>
              <w:bottom w:val="single" w:sz="4" w:space="0" w:color="D2C9B8"/>
              <w:right w:val="single" w:sz="4" w:space="0" w:color="D2C9B8"/>
            </w:tcBorders>
          </w:tcPr>
          <w:p w14:paraId="173A4EA8" w14:textId="77777777" w:rsidR="005A5FCC" w:rsidRDefault="00A21C81">
            <w:pPr>
              <w:spacing w:before="20" w:after="20" w:line="240" w:lineRule="auto"/>
              <w:jc w:val="left"/>
            </w:pPr>
            <w:r>
              <w:rPr>
                <w:rFonts w:cs="EB Garamond"/>
                <w:kern w:val="16"/>
                <w:sz w:val="18"/>
                <w14:ligatures w14:val="standardContextual"/>
              </w:rPr>
              <w:t>105</w:t>
            </w:r>
          </w:p>
        </w:tc>
        <w:tc>
          <w:tcPr>
            <w:tcW w:w="1058" w:type="dxa"/>
            <w:tcBorders>
              <w:top w:val="single" w:sz="4" w:space="0" w:color="D2C9B8"/>
              <w:left w:val="single" w:sz="4" w:space="0" w:color="D2C9B8"/>
              <w:bottom w:val="single" w:sz="4" w:space="0" w:color="D2C9B8"/>
              <w:right w:val="single" w:sz="4" w:space="0" w:color="D2C9B8"/>
            </w:tcBorders>
          </w:tcPr>
          <w:p w14:paraId="32E831B6" w14:textId="77777777" w:rsidR="005A5FCC" w:rsidRDefault="00A21C81">
            <w:pPr>
              <w:spacing w:before="20" w:after="20" w:line="240" w:lineRule="auto"/>
              <w:jc w:val="left"/>
            </w:pPr>
            <w:r>
              <w:rPr>
                <w:rFonts w:cs="EB Garamond"/>
                <w:kern w:val="16"/>
                <w:sz w:val="18"/>
                <w14:ligatures w14:val="standardContextual"/>
              </w:rPr>
              <w:t>61,5</w:t>
            </w:r>
          </w:p>
        </w:tc>
        <w:tc>
          <w:tcPr>
            <w:tcW w:w="1058" w:type="dxa"/>
            <w:tcBorders>
              <w:top w:val="single" w:sz="4" w:space="0" w:color="D2C9B8"/>
              <w:left w:val="single" w:sz="4" w:space="0" w:color="D2C9B8"/>
              <w:bottom w:val="single" w:sz="4" w:space="0" w:color="D2C9B8"/>
              <w:right w:val="single" w:sz="4" w:space="0" w:color="D2C9B8"/>
            </w:tcBorders>
          </w:tcPr>
          <w:p w14:paraId="10C7F32E" w14:textId="77777777" w:rsidR="005A5FCC" w:rsidRDefault="00A21C81">
            <w:pPr>
              <w:spacing w:before="20" w:after="20" w:line="240" w:lineRule="auto"/>
              <w:jc w:val="left"/>
            </w:pPr>
            <w:r>
              <w:rPr>
                <w:rFonts w:cs="EB Garamond"/>
                <w:kern w:val="16"/>
                <w:sz w:val="18"/>
                <w14:ligatures w14:val="standardContextual"/>
              </w:rPr>
              <w:t>65</w:t>
            </w:r>
          </w:p>
        </w:tc>
        <w:tc>
          <w:tcPr>
            <w:tcW w:w="1058" w:type="dxa"/>
            <w:tcBorders>
              <w:top w:val="single" w:sz="4" w:space="0" w:color="D2C9B8"/>
              <w:left w:val="single" w:sz="4" w:space="0" w:color="D2C9B8"/>
              <w:bottom w:val="single" w:sz="4" w:space="0" w:color="D2C9B8"/>
              <w:right w:val="single" w:sz="4" w:space="0" w:color="D2C9B8"/>
            </w:tcBorders>
          </w:tcPr>
          <w:p w14:paraId="61C8D9F1" w14:textId="77777777" w:rsidR="005A5FCC" w:rsidRDefault="00A21C81">
            <w:pPr>
              <w:spacing w:before="20" w:after="20" w:line="240" w:lineRule="auto"/>
              <w:jc w:val="left"/>
            </w:pPr>
            <w:r>
              <w:rPr>
                <w:rFonts w:cs="EB Garamond"/>
                <w:kern w:val="16"/>
                <w:sz w:val="18"/>
                <w14:ligatures w14:val="standardContextual"/>
              </w:rPr>
              <w:t>62</w:t>
            </w:r>
          </w:p>
        </w:tc>
      </w:tr>
      <w:tr w:rsidR="005A5FCC" w14:paraId="6540F8E9" w14:textId="77777777">
        <w:trPr>
          <w:jc w:val="center"/>
        </w:trPr>
        <w:tc>
          <w:tcPr>
            <w:tcW w:w="1058" w:type="dxa"/>
            <w:tcBorders>
              <w:top w:val="single" w:sz="4" w:space="0" w:color="D2C9B8"/>
              <w:left w:val="single" w:sz="4" w:space="0" w:color="D2C9B8"/>
              <w:bottom w:val="single" w:sz="4" w:space="0" w:color="D2C9B8"/>
              <w:right w:val="single" w:sz="4" w:space="0" w:color="D2C9B8"/>
            </w:tcBorders>
          </w:tcPr>
          <w:p w14:paraId="36E14537" w14:textId="77777777" w:rsidR="005A5FCC" w:rsidRDefault="00A21C81">
            <w:pPr>
              <w:spacing w:before="20" w:after="20" w:line="240" w:lineRule="auto"/>
              <w:jc w:val="left"/>
            </w:pPr>
            <w:r>
              <w:rPr>
                <w:rFonts w:cs="EB Garamond"/>
                <w:kern w:val="16"/>
                <w:sz w:val="18"/>
                <w14:ligatures w14:val="standardContextual"/>
              </w:rPr>
              <w:t>2031</w:t>
            </w:r>
          </w:p>
        </w:tc>
        <w:tc>
          <w:tcPr>
            <w:tcW w:w="1058" w:type="dxa"/>
            <w:tcBorders>
              <w:top w:val="single" w:sz="4" w:space="0" w:color="D2C9B8"/>
              <w:left w:val="single" w:sz="4" w:space="0" w:color="D2C9B8"/>
              <w:bottom w:val="single" w:sz="4" w:space="0" w:color="D2C9B8"/>
              <w:right w:val="single" w:sz="4" w:space="0" w:color="D2C9B8"/>
            </w:tcBorders>
          </w:tcPr>
          <w:p w14:paraId="7B29296A" w14:textId="77777777" w:rsidR="005A5FCC" w:rsidRDefault="00A21C81">
            <w:pPr>
              <w:spacing w:before="20" w:after="20" w:line="240" w:lineRule="auto"/>
              <w:jc w:val="left"/>
            </w:pPr>
            <w:r>
              <w:rPr>
                <w:rFonts w:cs="EB Garamond"/>
                <w:kern w:val="16"/>
                <w:sz w:val="18"/>
                <w14:ligatures w14:val="standardContextual"/>
              </w:rPr>
              <w:t>98</w:t>
            </w:r>
          </w:p>
        </w:tc>
        <w:tc>
          <w:tcPr>
            <w:tcW w:w="1058" w:type="dxa"/>
            <w:tcBorders>
              <w:top w:val="single" w:sz="4" w:space="0" w:color="D2C9B8"/>
              <w:left w:val="single" w:sz="4" w:space="0" w:color="D2C9B8"/>
              <w:bottom w:val="single" w:sz="4" w:space="0" w:color="D2C9B8"/>
              <w:right w:val="single" w:sz="4" w:space="0" w:color="D2C9B8"/>
            </w:tcBorders>
          </w:tcPr>
          <w:p w14:paraId="7526D0EC" w14:textId="77777777" w:rsidR="005A5FCC" w:rsidRDefault="00A21C81">
            <w:pPr>
              <w:spacing w:before="20" w:after="20" w:line="240" w:lineRule="auto"/>
              <w:jc w:val="left"/>
            </w:pPr>
            <w:r>
              <w:rPr>
                <w:rFonts w:cs="EB Garamond"/>
                <w:kern w:val="16"/>
                <w:sz w:val="18"/>
                <w14:ligatures w14:val="standardContextual"/>
              </w:rPr>
              <w:t>105</w:t>
            </w:r>
          </w:p>
        </w:tc>
        <w:tc>
          <w:tcPr>
            <w:tcW w:w="1058" w:type="dxa"/>
            <w:tcBorders>
              <w:top w:val="single" w:sz="4" w:space="0" w:color="D2C9B8"/>
              <w:left w:val="single" w:sz="4" w:space="0" w:color="D2C9B8"/>
              <w:bottom w:val="single" w:sz="4" w:space="0" w:color="D2C9B8"/>
              <w:right w:val="single" w:sz="4" w:space="0" w:color="D2C9B8"/>
            </w:tcBorders>
          </w:tcPr>
          <w:p w14:paraId="6D29F308" w14:textId="77777777" w:rsidR="005A5FCC" w:rsidRDefault="00A21C81">
            <w:pPr>
              <w:spacing w:before="20" w:after="20" w:line="240" w:lineRule="auto"/>
              <w:jc w:val="left"/>
            </w:pPr>
            <w:r>
              <w:rPr>
                <w:rFonts w:cs="EB Garamond"/>
                <w:kern w:val="16"/>
                <w:sz w:val="18"/>
                <w14:ligatures w14:val="standardContextual"/>
              </w:rPr>
              <w:t>62 (estabiliza)</w:t>
            </w:r>
          </w:p>
        </w:tc>
        <w:tc>
          <w:tcPr>
            <w:tcW w:w="1058" w:type="dxa"/>
            <w:tcBorders>
              <w:top w:val="single" w:sz="4" w:space="0" w:color="D2C9B8"/>
              <w:left w:val="single" w:sz="4" w:space="0" w:color="D2C9B8"/>
              <w:bottom w:val="single" w:sz="4" w:space="0" w:color="D2C9B8"/>
              <w:right w:val="single" w:sz="4" w:space="0" w:color="D2C9B8"/>
            </w:tcBorders>
          </w:tcPr>
          <w:p w14:paraId="7D5D5923" w14:textId="77777777" w:rsidR="005A5FCC" w:rsidRDefault="00A21C81">
            <w:pPr>
              <w:spacing w:before="20" w:after="20" w:line="240" w:lineRule="auto"/>
              <w:jc w:val="left"/>
            </w:pPr>
            <w:r>
              <w:rPr>
                <w:rFonts w:cs="EB Garamond"/>
                <w:kern w:val="16"/>
                <w:sz w:val="18"/>
                <w14:ligatures w14:val="standardContextual"/>
              </w:rPr>
              <w:t>65</w:t>
            </w:r>
          </w:p>
        </w:tc>
        <w:tc>
          <w:tcPr>
            <w:tcW w:w="1058" w:type="dxa"/>
            <w:tcBorders>
              <w:top w:val="single" w:sz="4" w:space="0" w:color="D2C9B8"/>
              <w:left w:val="single" w:sz="4" w:space="0" w:color="D2C9B8"/>
              <w:bottom w:val="single" w:sz="4" w:space="0" w:color="D2C9B8"/>
              <w:right w:val="single" w:sz="4" w:space="0" w:color="D2C9B8"/>
            </w:tcBorders>
          </w:tcPr>
          <w:p w14:paraId="01318ED4" w14:textId="77777777" w:rsidR="005A5FCC" w:rsidRDefault="00A21C81">
            <w:pPr>
              <w:spacing w:before="20" w:after="20" w:line="240" w:lineRule="auto"/>
              <w:jc w:val="left"/>
            </w:pPr>
            <w:r>
              <w:rPr>
                <w:rFonts w:cs="EB Garamond"/>
                <w:kern w:val="16"/>
                <w:sz w:val="18"/>
                <w14:ligatures w14:val="standardContextual"/>
              </w:rPr>
              <w:t>62</w:t>
            </w:r>
          </w:p>
        </w:tc>
      </w:tr>
      <w:tr w:rsidR="005A5FCC" w14:paraId="7C3AB292" w14:textId="77777777">
        <w:trPr>
          <w:jc w:val="center"/>
        </w:trPr>
        <w:tc>
          <w:tcPr>
            <w:tcW w:w="1058" w:type="dxa"/>
            <w:tcBorders>
              <w:top w:val="single" w:sz="4" w:space="0" w:color="D2C9B8"/>
              <w:left w:val="single" w:sz="4" w:space="0" w:color="D2C9B8"/>
              <w:bottom w:val="single" w:sz="4" w:space="0" w:color="D2C9B8"/>
              <w:right w:val="single" w:sz="4" w:space="0" w:color="D2C9B8"/>
            </w:tcBorders>
          </w:tcPr>
          <w:p w14:paraId="0899EEB2" w14:textId="77777777" w:rsidR="005A5FCC" w:rsidRDefault="00A21C81">
            <w:pPr>
              <w:spacing w:before="20" w:after="20" w:line="240" w:lineRule="auto"/>
              <w:jc w:val="left"/>
            </w:pPr>
            <w:r>
              <w:rPr>
                <w:rFonts w:cs="EB Garamond"/>
                <w:kern w:val="16"/>
                <w:sz w:val="18"/>
                <w14:ligatures w14:val="standardContextual"/>
              </w:rPr>
              <w:t>2032</w:t>
            </w:r>
          </w:p>
        </w:tc>
        <w:tc>
          <w:tcPr>
            <w:tcW w:w="1058" w:type="dxa"/>
            <w:tcBorders>
              <w:top w:val="single" w:sz="4" w:space="0" w:color="D2C9B8"/>
              <w:left w:val="single" w:sz="4" w:space="0" w:color="D2C9B8"/>
              <w:bottom w:val="single" w:sz="4" w:space="0" w:color="D2C9B8"/>
              <w:right w:val="single" w:sz="4" w:space="0" w:color="D2C9B8"/>
            </w:tcBorders>
          </w:tcPr>
          <w:p w14:paraId="1466DEC2" w14:textId="77777777" w:rsidR="005A5FCC" w:rsidRDefault="00A21C81">
            <w:pPr>
              <w:spacing w:before="20" w:after="20" w:line="240" w:lineRule="auto"/>
              <w:jc w:val="left"/>
            </w:pPr>
            <w:r>
              <w:rPr>
                <w:rFonts w:cs="EB Garamond"/>
                <w:kern w:val="16"/>
                <w:sz w:val="18"/>
                <w14:ligatures w14:val="standardContextual"/>
              </w:rPr>
              <w:t>99</w:t>
            </w:r>
          </w:p>
        </w:tc>
        <w:tc>
          <w:tcPr>
            <w:tcW w:w="1058" w:type="dxa"/>
            <w:tcBorders>
              <w:top w:val="single" w:sz="4" w:space="0" w:color="D2C9B8"/>
              <w:left w:val="single" w:sz="4" w:space="0" w:color="D2C9B8"/>
              <w:bottom w:val="single" w:sz="4" w:space="0" w:color="D2C9B8"/>
              <w:right w:val="single" w:sz="4" w:space="0" w:color="D2C9B8"/>
            </w:tcBorders>
          </w:tcPr>
          <w:p w14:paraId="497C85E1" w14:textId="77777777" w:rsidR="005A5FCC" w:rsidRDefault="00A21C81">
            <w:pPr>
              <w:spacing w:before="20" w:after="20" w:line="240" w:lineRule="auto"/>
              <w:jc w:val="left"/>
            </w:pPr>
            <w:r>
              <w:rPr>
                <w:rFonts w:cs="EB Garamond"/>
                <w:kern w:val="16"/>
                <w:sz w:val="18"/>
                <w14:ligatures w14:val="standardContextual"/>
              </w:rPr>
              <w:t>105</w:t>
            </w:r>
          </w:p>
        </w:tc>
        <w:tc>
          <w:tcPr>
            <w:tcW w:w="1058" w:type="dxa"/>
            <w:tcBorders>
              <w:top w:val="single" w:sz="4" w:space="0" w:color="D2C9B8"/>
              <w:left w:val="single" w:sz="4" w:space="0" w:color="D2C9B8"/>
              <w:bottom w:val="single" w:sz="4" w:space="0" w:color="D2C9B8"/>
              <w:right w:val="single" w:sz="4" w:space="0" w:color="D2C9B8"/>
            </w:tcBorders>
          </w:tcPr>
          <w:p w14:paraId="4928D491" w14:textId="77777777" w:rsidR="005A5FCC" w:rsidRDefault="00A21C81">
            <w:pPr>
              <w:spacing w:before="20" w:after="20" w:line="240" w:lineRule="auto"/>
              <w:jc w:val="left"/>
            </w:pPr>
            <w:r>
              <w:rPr>
                <w:rFonts w:cs="EB Garamond"/>
                <w:kern w:val="16"/>
                <w:sz w:val="18"/>
                <w14:ligatures w14:val="standardContextual"/>
              </w:rPr>
              <w:t>62</w:t>
            </w:r>
          </w:p>
        </w:tc>
        <w:tc>
          <w:tcPr>
            <w:tcW w:w="1058" w:type="dxa"/>
            <w:tcBorders>
              <w:top w:val="single" w:sz="4" w:space="0" w:color="D2C9B8"/>
              <w:left w:val="single" w:sz="4" w:space="0" w:color="D2C9B8"/>
              <w:bottom w:val="single" w:sz="4" w:space="0" w:color="D2C9B8"/>
              <w:right w:val="single" w:sz="4" w:space="0" w:color="D2C9B8"/>
            </w:tcBorders>
          </w:tcPr>
          <w:p w14:paraId="3E6F919F" w14:textId="77777777" w:rsidR="005A5FCC" w:rsidRDefault="00A21C81">
            <w:pPr>
              <w:spacing w:before="20" w:after="20" w:line="240" w:lineRule="auto"/>
              <w:jc w:val="left"/>
            </w:pPr>
            <w:r>
              <w:rPr>
                <w:rFonts w:cs="EB Garamond"/>
                <w:kern w:val="16"/>
                <w:sz w:val="18"/>
                <w14:ligatures w14:val="standardContextual"/>
              </w:rPr>
              <w:t>65</w:t>
            </w:r>
          </w:p>
        </w:tc>
        <w:tc>
          <w:tcPr>
            <w:tcW w:w="1058" w:type="dxa"/>
            <w:tcBorders>
              <w:top w:val="single" w:sz="4" w:space="0" w:color="D2C9B8"/>
              <w:left w:val="single" w:sz="4" w:space="0" w:color="D2C9B8"/>
              <w:bottom w:val="single" w:sz="4" w:space="0" w:color="D2C9B8"/>
              <w:right w:val="single" w:sz="4" w:space="0" w:color="D2C9B8"/>
            </w:tcBorders>
          </w:tcPr>
          <w:p w14:paraId="59325D86" w14:textId="77777777" w:rsidR="005A5FCC" w:rsidRDefault="00A21C81">
            <w:pPr>
              <w:spacing w:before="20" w:after="20" w:line="240" w:lineRule="auto"/>
              <w:jc w:val="left"/>
            </w:pPr>
            <w:r>
              <w:rPr>
                <w:rFonts w:cs="EB Garamond"/>
                <w:kern w:val="16"/>
                <w:sz w:val="18"/>
                <w14:ligatures w14:val="standardContextual"/>
              </w:rPr>
              <w:t>62</w:t>
            </w:r>
          </w:p>
        </w:tc>
      </w:tr>
      <w:tr w:rsidR="005A5FCC" w14:paraId="657988C2" w14:textId="77777777">
        <w:trPr>
          <w:jc w:val="center"/>
        </w:trPr>
        <w:tc>
          <w:tcPr>
            <w:tcW w:w="1058" w:type="dxa"/>
            <w:tcBorders>
              <w:top w:val="single" w:sz="4" w:space="0" w:color="D2C9B8"/>
              <w:left w:val="single" w:sz="4" w:space="0" w:color="D2C9B8"/>
              <w:bottom w:val="single" w:sz="4" w:space="0" w:color="D2C9B8"/>
              <w:right w:val="single" w:sz="4" w:space="0" w:color="D2C9B8"/>
            </w:tcBorders>
          </w:tcPr>
          <w:p w14:paraId="72E18385" w14:textId="77777777" w:rsidR="005A5FCC" w:rsidRDefault="00A21C81">
            <w:pPr>
              <w:spacing w:before="20" w:after="20" w:line="240" w:lineRule="auto"/>
              <w:jc w:val="left"/>
            </w:pPr>
            <w:r>
              <w:rPr>
                <w:rFonts w:cs="EB Garamond"/>
                <w:kern w:val="16"/>
                <w:sz w:val="18"/>
                <w14:ligatures w14:val="standardContextual"/>
              </w:rPr>
              <w:t>2033</w:t>
            </w:r>
          </w:p>
        </w:tc>
        <w:tc>
          <w:tcPr>
            <w:tcW w:w="1058" w:type="dxa"/>
            <w:tcBorders>
              <w:top w:val="single" w:sz="4" w:space="0" w:color="D2C9B8"/>
              <w:left w:val="single" w:sz="4" w:space="0" w:color="D2C9B8"/>
              <w:bottom w:val="single" w:sz="4" w:space="0" w:color="D2C9B8"/>
              <w:right w:val="single" w:sz="4" w:space="0" w:color="D2C9B8"/>
            </w:tcBorders>
          </w:tcPr>
          <w:p w14:paraId="507F8884" w14:textId="77777777" w:rsidR="005A5FCC" w:rsidRDefault="00A21C81">
            <w:pPr>
              <w:spacing w:before="20" w:after="20" w:line="240" w:lineRule="auto"/>
              <w:jc w:val="left"/>
            </w:pPr>
            <w:r>
              <w:rPr>
                <w:rFonts w:cs="EB Garamond"/>
                <w:kern w:val="16"/>
                <w:sz w:val="18"/>
                <w14:ligatures w14:val="standardContextual"/>
              </w:rPr>
              <w:t>100 (estabiliza)</w:t>
            </w:r>
          </w:p>
        </w:tc>
        <w:tc>
          <w:tcPr>
            <w:tcW w:w="1058" w:type="dxa"/>
            <w:tcBorders>
              <w:top w:val="single" w:sz="4" w:space="0" w:color="D2C9B8"/>
              <w:left w:val="single" w:sz="4" w:space="0" w:color="D2C9B8"/>
              <w:bottom w:val="single" w:sz="4" w:space="0" w:color="D2C9B8"/>
              <w:right w:val="single" w:sz="4" w:space="0" w:color="D2C9B8"/>
            </w:tcBorders>
          </w:tcPr>
          <w:p w14:paraId="47A50BE4" w14:textId="77777777" w:rsidR="005A5FCC" w:rsidRDefault="00A21C81">
            <w:pPr>
              <w:spacing w:before="20" w:after="20" w:line="240" w:lineRule="auto"/>
              <w:jc w:val="left"/>
            </w:pPr>
            <w:r>
              <w:rPr>
                <w:rFonts w:cs="EB Garamond"/>
                <w:kern w:val="16"/>
                <w:sz w:val="18"/>
                <w14:ligatures w14:val="standardContextual"/>
              </w:rPr>
              <w:t>105</w:t>
            </w:r>
          </w:p>
        </w:tc>
        <w:tc>
          <w:tcPr>
            <w:tcW w:w="1058" w:type="dxa"/>
            <w:tcBorders>
              <w:top w:val="single" w:sz="4" w:space="0" w:color="D2C9B8"/>
              <w:left w:val="single" w:sz="4" w:space="0" w:color="D2C9B8"/>
              <w:bottom w:val="single" w:sz="4" w:space="0" w:color="D2C9B8"/>
              <w:right w:val="single" w:sz="4" w:space="0" w:color="D2C9B8"/>
            </w:tcBorders>
          </w:tcPr>
          <w:p w14:paraId="21C5FECD" w14:textId="77777777" w:rsidR="005A5FCC" w:rsidRDefault="00A21C81">
            <w:pPr>
              <w:spacing w:before="20" w:after="20" w:line="240" w:lineRule="auto"/>
              <w:jc w:val="left"/>
            </w:pPr>
            <w:r>
              <w:rPr>
                <w:rFonts w:cs="EB Garamond"/>
                <w:kern w:val="16"/>
                <w:sz w:val="18"/>
                <w14:ligatures w14:val="standardContextual"/>
              </w:rPr>
              <w:t>62</w:t>
            </w:r>
          </w:p>
        </w:tc>
        <w:tc>
          <w:tcPr>
            <w:tcW w:w="1058" w:type="dxa"/>
            <w:tcBorders>
              <w:top w:val="single" w:sz="4" w:space="0" w:color="D2C9B8"/>
              <w:left w:val="single" w:sz="4" w:space="0" w:color="D2C9B8"/>
              <w:bottom w:val="single" w:sz="4" w:space="0" w:color="D2C9B8"/>
              <w:right w:val="single" w:sz="4" w:space="0" w:color="D2C9B8"/>
            </w:tcBorders>
          </w:tcPr>
          <w:p w14:paraId="43CCB133" w14:textId="77777777" w:rsidR="005A5FCC" w:rsidRDefault="00A21C81">
            <w:pPr>
              <w:spacing w:before="20" w:after="20" w:line="240" w:lineRule="auto"/>
              <w:jc w:val="left"/>
            </w:pPr>
            <w:r>
              <w:rPr>
                <w:rFonts w:cs="EB Garamond"/>
                <w:kern w:val="16"/>
                <w:sz w:val="18"/>
                <w14:ligatures w14:val="standardContextual"/>
              </w:rPr>
              <w:t>65</w:t>
            </w:r>
          </w:p>
        </w:tc>
        <w:tc>
          <w:tcPr>
            <w:tcW w:w="1058" w:type="dxa"/>
            <w:tcBorders>
              <w:top w:val="single" w:sz="4" w:space="0" w:color="D2C9B8"/>
              <w:left w:val="single" w:sz="4" w:space="0" w:color="D2C9B8"/>
              <w:bottom w:val="single" w:sz="4" w:space="0" w:color="D2C9B8"/>
              <w:right w:val="single" w:sz="4" w:space="0" w:color="D2C9B8"/>
            </w:tcBorders>
          </w:tcPr>
          <w:p w14:paraId="1EB6CA3F" w14:textId="77777777" w:rsidR="005A5FCC" w:rsidRDefault="00A21C81">
            <w:pPr>
              <w:spacing w:before="20" w:after="20" w:line="240" w:lineRule="auto"/>
              <w:jc w:val="left"/>
            </w:pPr>
            <w:r>
              <w:rPr>
                <w:rFonts w:cs="EB Garamond"/>
                <w:kern w:val="16"/>
                <w:sz w:val="18"/>
                <w14:ligatures w14:val="standardContextual"/>
              </w:rPr>
              <w:t>62</w:t>
            </w:r>
          </w:p>
        </w:tc>
      </w:tr>
    </w:tbl>
    <w:p w14:paraId="02806B53" w14:textId="77777777" w:rsidR="005A5FCC" w:rsidRDefault="005A5FCC">
      <w:pPr>
        <w:spacing w:after="80" w:line="240" w:lineRule="auto"/>
      </w:pPr>
    </w:p>
    <w:p w14:paraId="13A1F16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46B689E8" w14:textId="77777777" w:rsidR="005A5FCC" w:rsidRDefault="00A21C81">
      <w:r>
        <w:rPr>
          <w:rFonts w:cs="EB Garamond"/>
          <w:b/>
          <w:kern w:val="16"/>
          <w14:ligatures w14:val="standardContextual"/>
        </w:rPr>
        <w:t>bservações:</w:t>
      </w:r>
      <w:r>
        <w:rPr>
          <w:rFonts w:cs="EB Garamond"/>
          <w:kern w:val="16"/>
          <w14:ligatures w14:val="standardContextual"/>
        </w:rPr>
        <w:t xml:space="preserve"> (i) Art. 15 exige 30 anos TC para mulher e 35 para homem; (ii) Art. 16 exige 30 anos TC para mulher e 35 para homem; (iii) Art. 18 exige apenas 15 anos TC (e 180 contribuições de carência); (iv) A idade do homem no art. 18 é 65 anos desde 2019, sem progressão.</w:t>
      </w:r>
    </w:p>
    <w:p w14:paraId="63D56E6F" w14:textId="77777777" w:rsidR="005A5FCC" w:rsidRDefault="00A21C81">
      <w:pPr>
        <w:spacing w:before="260" w:after="80" w:line="240" w:lineRule="auto"/>
        <w:jc w:val="left"/>
      </w:pPr>
      <w:r>
        <w:rPr>
          <w:rFonts w:cs="EB Garamond"/>
          <w:b/>
          <w:color w:val="3A3128"/>
          <w:kern w:val="16"/>
          <w:sz w:val="25"/>
          <w14:ligatures w14:val="standardContextual"/>
        </w:rPr>
        <w:t>10.17.4 Análise comparativa: qual regra escolher?</w:t>
      </w:r>
    </w:p>
    <w:p w14:paraId="0DFA7A69"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5D36B8B4" w14:textId="77777777" w:rsidR="005A5FCC" w:rsidRDefault="00A21C81">
      <w:r>
        <w:rPr>
          <w:rFonts w:cs="EB Garamond"/>
          <w:kern w:val="16"/>
          <w14:ligatures w14:val="standardContextual"/>
        </w:rPr>
        <w:t xml:space="preserve"> multiplicidade de regras torna o planejamento previdenciário uma tarefa de alta complexidade. A escolha da regra mais vantajosa depende do perfil individual do segurado e envolve variáveis como idade, tempo de contribuição total, valor dos salários de contribuição e data de filiação ao RGPS.</w:t>
      </w:r>
    </w:p>
    <w:p w14:paraId="1758B1D3" w14:textId="77777777" w:rsidR="005A5FCC" w:rsidRDefault="00A21C81">
      <w:pPr>
        <w:ind w:firstLine="238"/>
      </w:pPr>
      <w:r>
        <w:rPr>
          <w:rFonts w:cs="EB Garamond"/>
          <w:kern w:val="16"/>
          <w14:ligatures w14:val="standardContextual"/>
        </w:rPr>
        <w:t>Em linhas gerais, pode-se estabelecer as seguintes orientações:</w:t>
      </w:r>
    </w:p>
    <w:p w14:paraId="40AABCBA" w14:textId="77777777" w:rsidR="005A5FCC" w:rsidRDefault="00A21C81">
      <w:pPr>
        <w:ind w:firstLine="238"/>
      </w:pPr>
      <w:r>
        <w:rPr>
          <w:rFonts w:cs="EB Garamond"/>
          <w:b/>
          <w:kern w:val="16"/>
          <w14:ligatures w14:val="standardContextual"/>
        </w:rPr>
        <w:t>Segurado com muito tempo de contribuição (30+F / 35+H anos) e idade elevada:</w:t>
      </w:r>
      <w:r>
        <w:rPr>
          <w:rFonts w:cs="EB Garamond"/>
          <w:kern w:val="16"/>
          <w14:ligatures w14:val="standardContextual"/>
        </w:rPr>
        <w:t xml:space="preserve"> Deve verificar prioritariamente a regra do pedágio 100% (art. 20, EC 103), que garante coeficiente de 100% da média (sem o escalonamento de 60%+2%). Essa regra é geralmente a mais vantajosa quando o segurado tem idade suficiente (57M/60H) e o pedágio (tempo adicional) é curto.</w:t>
      </w:r>
    </w:p>
    <w:p w14:paraId="7116F393" w14:textId="77777777" w:rsidR="005A5FCC" w:rsidRDefault="00A21C81">
      <w:pPr>
        <w:ind w:firstLine="238"/>
      </w:pPr>
      <w:r>
        <w:rPr>
          <w:rFonts w:cs="EB Garamond"/>
          <w:b/>
          <w:kern w:val="16"/>
          <w14:ligatures w14:val="standardContextual"/>
        </w:rPr>
        <w:lastRenderedPageBreak/>
        <w:t>Segurado com pouco tempo de contribuição (15-20 anos) e idade elevada:</w:t>
      </w:r>
      <w:r>
        <w:rPr>
          <w:rFonts w:cs="EB Garamond"/>
          <w:kern w:val="16"/>
          <w14:ligatures w14:val="standardContextual"/>
        </w:rPr>
        <w:t xml:space="preserve"> Deve utilizar a regra de transição do art. 18 (aposentadoria por idade) ou a regra permanente (aposentadoria programada). O coeficiente será baixo (60-70%), mas é a única via disponível para quem não atingiu 30/35 anos de TC.</w:t>
      </w:r>
    </w:p>
    <w:p w14:paraId="188B3D99" w14:textId="77777777" w:rsidR="005A5FCC" w:rsidRDefault="00A21C81">
      <w:pPr>
        <w:ind w:firstLine="238"/>
      </w:pPr>
      <w:r>
        <w:rPr>
          <w:rFonts w:cs="EB Garamond"/>
          <w:b/>
          <w:kern w:val="16"/>
          <w14:ligatures w14:val="standardContextual"/>
        </w:rPr>
        <w:t>Segurado que implementou requisitos antes de 13/11/2019:</w:t>
      </w:r>
      <w:r>
        <w:rPr>
          <w:rFonts w:cs="EB Garamond"/>
          <w:kern w:val="16"/>
          <w14:ligatures w14:val="standardContextual"/>
        </w:rPr>
        <w:t xml:space="preserve"> Deve verificar o direito adquirido à regra antiga, que frequentemente é a mais vantajosa por utilizar a média dos 80% maiores salários e o coeficiente de 70%+1% por grupo de 12 contribuições.</w:t>
      </w:r>
    </w:p>
    <w:p w14:paraId="30C6DF57" w14:textId="77777777" w:rsidR="005A5FCC" w:rsidRDefault="00A21C81">
      <w:pPr>
        <w:ind w:firstLine="238"/>
      </w:pPr>
      <w:r>
        <w:rPr>
          <w:rFonts w:cs="EB Garamond"/>
          <w:b/>
          <w:kern w:val="16"/>
          <w14:ligatures w14:val="standardContextual"/>
        </w:rPr>
        <w:t>Segurado próximo de completar requisitos:</w:t>
      </w:r>
      <w:r>
        <w:rPr>
          <w:rFonts w:cs="EB Garamond"/>
          <w:kern w:val="16"/>
          <w14:ligatures w14:val="standardContextual"/>
        </w:rPr>
        <w:t xml:space="preserve"> Deve avaliar se vale a pena aguardar alguns meses para atingir pontuação, idade ou tempo que garantam regra mais favorável. O custo de esperar (meses sem benefício) deve ser comparado ao ganho permanente no valor do benefício.</w:t>
      </w:r>
    </w:p>
    <w:p w14:paraId="5872CE64" w14:textId="77777777" w:rsidR="005A5FCC" w:rsidRDefault="00A21C81">
      <w:pPr>
        <w:spacing w:before="260" w:after="80" w:line="240" w:lineRule="auto"/>
        <w:jc w:val="left"/>
      </w:pPr>
      <w:r>
        <w:rPr>
          <w:rFonts w:cs="EB Garamond"/>
          <w:b/>
          <w:color w:val="3A3128"/>
          <w:kern w:val="16"/>
          <w:sz w:val="25"/>
          <w14:ligatures w14:val="standardContextual"/>
        </w:rPr>
        <w:t>10.17.5 Perspectivas e tendências</w:t>
      </w:r>
    </w:p>
    <w:p w14:paraId="4764BE99"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7EF0DF7A" w14:textId="77777777" w:rsidR="005A5FCC" w:rsidRDefault="00A21C81">
      <w:r>
        <w:rPr>
          <w:rFonts w:cs="EB Garamond"/>
          <w:kern w:val="16"/>
          <w14:ligatures w14:val="standardContextual"/>
        </w:rPr>
        <w:t xml:space="preserve"> aposentadoria por idade, em sua nova roupagem de aposentadoria programada, tende a se consolidar como a principal modalidade de aposentadoria no RGPS. Com a extinção da aposentadoria por tempo de contribuição para novos filiados após 13/11/2019, a via da idade será, progressivamente, a única disponível para esses segurados, exceto para segurados especiais (rurais) e pessoas com deficiência (LC 142/2013), que mantêm regras próprias.</w:t>
      </w:r>
    </w:p>
    <w:p w14:paraId="79BA3ABC" w14:textId="77777777" w:rsidR="005A5FCC" w:rsidRDefault="00A21C81">
      <w:pPr>
        <w:ind w:firstLine="238"/>
      </w:pPr>
      <w:r>
        <w:rPr>
          <w:rFonts w:cs="EB Garamond"/>
          <w:kern w:val="16"/>
          <w14:ligatures w14:val="standardContextual"/>
        </w:rPr>
        <w:t>A transição entre o regime antigo e o novo será longa. As regras de transição da EC 103/2019 se aplicam a todos os segurados filiados antes de 13/11/2019 que não implementaram os requisitos para a aposentadoria até aquela data. Considerando que uma pessoa que se filiou ao RGPS em novembro de 2019, com 18 anos de idade, atingirá a idade de 62 anos (mulher) ou 65 anos (homem) somente por volta de 2063-2066, as regras de transição permanecerão relevantes por pelo menos quatro décadas. A coexistência de múltiplas regras — direito adquirido, transição (arts. 15, 16, 17, 18, 20) e permanente — criou um sistema de elevada complexidade normativa que demandará do Poder Judiciário, por muitos anos, a tarefa de interpretar e compatibilizar os diversos dispositivos.</w:t>
      </w:r>
    </w:p>
    <w:p w14:paraId="786C4264" w14:textId="77777777" w:rsidR="005A5FCC" w:rsidRDefault="00A21C81">
      <w:pPr>
        <w:ind w:firstLine="238"/>
      </w:pPr>
      <w:r>
        <w:rPr>
          <w:rFonts w:cs="EB Garamond"/>
          <w:kern w:val="16"/>
          <w14:ligatures w14:val="standardContextual"/>
        </w:rPr>
        <w:t xml:space="preserve">A tendência demográfica de envelhecimento populacional brasileiro exercerá pressão crescente sobre o sistema, potencialmente levando a novas reformas que </w:t>
      </w:r>
      <w:r>
        <w:rPr>
          <w:rFonts w:cs="EB Garamond"/>
          <w:kern w:val="16"/>
          <w14:ligatures w14:val="standardContextual"/>
        </w:rPr>
        <w:lastRenderedPageBreak/>
        <w:t>elevem as idades mínimas ou modifiquem os critérios de cálculo. O Poder Judiciário, especialmente os JEFs, continuará sendo palco relevante das controvérsias, tanto na concessão de benefícios quanto na revisão dos já concedidos. Temas como a reafirmação da DER, a revisão da vida toda, a contagem de tempo rural como carência urbana e a exclusão de salários de contribuição da média continuarão gerando demandas nos próximos anos.</w:t>
      </w:r>
    </w:p>
    <w:p w14:paraId="6C3BFF85" w14:textId="77777777" w:rsidR="005A5FCC" w:rsidRDefault="00A21C81">
      <w:pPr>
        <w:ind w:firstLine="238"/>
      </w:pPr>
      <w:r>
        <w:rPr>
          <w:rFonts w:cs="EB Garamond"/>
          <w:kern w:val="16"/>
          <w14:ligatures w14:val="standardContextual"/>
        </w:rPr>
        <w:t>Para o advogado previdenciário, o domínio das múltiplas regras coexistentes, direito adquirido, transição e permanente, é competência essencial que permanecerá relevante por décadas. Mais do que conhecer cada regra isoladamente, o profissional deve ser capaz de compará-las e identificar, para cada cliente individual, a combinação que resulta no benefício mais vantajoso. Essa análise comparativa, feita com rigor e atenção aos detalhes, é o que distingue a advocacia previdenciária de excelência da mera reprodução mecânica de fórmulas legais.</w:t>
      </w:r>
    </w:p>
    <w:p w14:paraId="54C681A2" w14:textId="6756C8F1" w:rsidR="005A5FCC" w:rsidRDefault="00A21C81">
      <w:pPr>
        <w:ind w:firstLine="238"/>
      </w:pPr>
      <w:r>
        <w:rPr>
          <w:rFonts w:cs="EB Garamond"/>
          <w:kern w:val="16"/>
          <w14:ligatures w14:val="standardContextual"/>
        </w:rPr>
        <w:t xml:space="preserve">As regras de </w:t>
      </w:r>
      <w:r w:rsidR="00393814">
        <w:rPr>
          <w:rFonts w:cs="EB Garamond"/>
          <w:kern w:val="16"/>
          <w14:ligatures w14:val="standardContextual"/>
        </w:rPr>
        <w:t>transição</w:t>
      </w:r>
      <w:r>
        <w:rPr>
          <w:rFonts w:cs="EB Garamond"/>
          <w:kern w:val="16"/>
          <w14:ligatures w14:val="standardContextual"/>
        </w:rPr>
        <w:t xml:space="preserve"> por tempo de </w:t>
      </w:r>
      <w:r w:rsidR="00393814">
        <w:rPr>
          <w:rFonts w:cs="EB Garamond"/>
          <w:kern w:val="16"/>
          <w14:ligatures w14:val="standardContextual"/>
        </w:rPr>
        <w:t>contribuição</w:t>
      </w:r>
      <w:r>
        <w:rPr>
          <w:rFonts w:cs="EB Garamond"/>
          <w:kern w:val="16"/>
          <w14:ligatures w14:val="standardContextual"/>
        </w:rPr>
        <w:t xml:space="preserve"> (arts. 15, 16, 17 e 20 da EC 103/2019), incluindo fator </w:t>
      </w:r>
      <w:r w:rsidR="00393814">
        <w:rPr>
          <w:rFonts w:cs="EB Garamond"/>
          <w:kern w:val="16"/>
          <w14:ligatures w14:val="standardContextual"/>
        </w:rPr>
        <w:t>previdenciário</w:t>
      </w:r>
      <w:r>
        <w:rPr>
          <w:rFonts w:cs="EB Garamond"/>
          <w:kern w:val="16"/>
          <w14:ligatures w14:val="standardContextual"/>
        </w:rPr>
        <w:t>, regra 85/95, contagem rec</w:t>
      </w:r>
      <w:r w:rsidR="00393814">
        <w:rPr>
          <w:rFonts w:cs="EB Garamond"/>
          <w:kern w:val="16"/>
          <w14:ligatures w14:val="standardContextual"/>
        </w:rPr>
        <w:t>í</w:t>
      </w:r>
      <w:r>
        <w:rPr>
          <w:rFonts w:cs="EB Garamond"/>
          <w:kern w:val="16"/>
          <w14:ligatures w14:val="standardContextual"/>
        </w:rPr>
        <w:t xml:space="preserve">proca e </w:t>
      </w:r>
      <w:r w:rsidR="00393814">
        <w:rPr>
          <w:rFonts w:cs="EB Garamond"/>
          <w:kern w:val="16"/>
          <w14:ligatures w14:val="standardContextual"/>
        </w:rPr>
        <w:t>conversão</w:t>
      </w:r>
      <w:r>
        <w:rPr>
          <w:rFonts w:cs="EB Garamond"/>
          <w:kern w:val="16"/>
          <w14:ligatures w14:val="standardContextual"/>
        </w:rPr>
        <w:t xml:space="preserve"> de tempo especial, </w:t>
      </w:r>
      <w:r w:rsidR="00393814">
        <w:rPr>
          <w:rFonts w:cs="EB Garamond"/>
          <w:kern w:val="16"/>
          <w14:ligatures w14:val="standardContextual"/>
        </w:rPr>
        <w:t>são</w:t>
      </w:r>
      <w:r>
        <w:rPr>
          <w:rFonts w:cs="EB Garamond"/>
          <w:kern w:val="16"/>
          <w14:ligatures w14:val="standardContextual"/>
        </w:rPr>
        <w:t xml:space="preserve"> tratadas no </w:t>
      </w:r>
      <w:r w:rsidR="00265C6C">
        <w:rPr>
          <w:rFonts w:cs="EB Garamond"/>
          <w:kern w:val="16"/>
          <w14:ligatures w14:val="standardContextual"/>
        </w:rPr>
        <w:t>Capítulo</w:t>
      </w:r>
      <w:r>
        <w:rPr>
          <w:rFonts w:cs="EB Garamond"/>
          <w:kern w:val="16"/>
          <w14:ligatures w14:val="standardContextual"/>
        </w:rPr>
        <w:t xml:space="preserve"> 11.</w:t>
      </w:r>
    </w:p>
    <w:p w14:paraId="29532191" w14:textId="77777777" w:rsidR="005A5FCC" w:rsidRDefault="005A5FCC">
      <w:pPr>
        <w:sectPr w:rsidR="005A5FCC">
          <w:headerReference w:type="even" r:id="rId126"/>
          <w:headerReference w:type="default" r:id="rId127"/>
          <w:footerReference w:type="even" r:id="rId128"/>
          <w:footerReference w:type="default" r:id="rId129"/>
          <w:headerReference w:type="first" r:id="rId130"/>
          <w:footerReference w:type="first" r:id="rId131"/>
          <w:pgSz w:w="8391" w:h="11906"/>
          <w:pgMar w:top="935" w:right="879" w:bottom="964" w:left="1162" w:header="454" w:footer="425" w:gutter="0"/>
          <w:cols w:space="720"/>
          <w:titlePg/>
          <w:docGrid w:linePitch="360"/>
        </w:sectPr>
      </w:pPr>
    </w:p>
    <w:p w14:paraId="753B79C2" w14:textId="77777777" w:rsidR="005A5FCC" w:rsidRDefault="00A21C81">
      <w:pPr>
        <w:keepNext/>
        <w:spacing w:before="240" w:after="80" w:line="240" w:lineRule="auto"/>
        <w:jc w:val="center"/>
      </w:pPr>
      <w:r>
        <w:rPr>
          <w:rFonts w:ascii="Noto Sans" w:hAnsi="Noto Sans" w:cs="Noto Sans"/>
          <w:b/>
          <w:caps/>
          <w:color w:val="8A6A2A"/>
          <w:kern w:val="16"/>
          <w:sz w:val="19"/>
          <w14:ligatures w14:val="standardContextual"/>
        </w:rPr>
        <w:lastRenderedPageBreak/>
        <w:t>CAPÍTULO 11</w:t>
      </w:r>
    </w:p>
    <w:p w14:paraId="05BB0FA0" w14:textId="77777777" w:rsidR="005A5FCC" w:rsidRDefault="00A21C81">
      <w:pPr>
        <w:pStyle w:val="Ttulo2"/>
        <w:spacing w:line="240" w:lineRule="auto"/>
      </w:pPr>
      <w:r>
        <w:rPr>
          <w:rFonts w:ascii="EB Garamond" w:hAnsi="EB Garamond" w:cs="EB Garamond"/>
          <w:caps/>
          <w:kern w:val="16"/>
          <w14:ligatures w14:val="standardContextual"/>
        </w:rPr>
        <w:t>Aposentadoria por Tempo de Contribuição e Regras de Transição</w:t>
      </w:r>
    </w:p>
    <w:p w14:paraId="7453223F" w14:textId="77777777" w:rsidR="005A5FCC" w:rsidRDefault="00A21C81">
      <w:pPr>
        <w:spacing w:after="240" w:line="240" w:lineRule="auto"/>
        <w:jc w:val="center"/>
      </w:pPr>
      <w:r>
        <w:rPr>
          <w:rFonts w:cs="EB Garamond"/>
          <w:color w:val="B78B37"/>
          <w:kern w:val="16"/>
          <w:sz w:val="18"/>
          <w14:ligatures w14:val="standardContextual"/>
        </w:rPr>
        <w:t>━━━━  ◆  ━━━━</w:t>
      </w:r>
    </w:p>
    <w:p w14:paraId="3455C2C6" w14:textId="353FF66D" w:rsidR="005A5FCC" w:rsidRDefault="00265C6C">
      <w:pPr>
        <w:keepNext/>
        <w:pBdr>
          <w:bottom w:val="single" w:sz="8" w:space="4" w:color="B89B5E"/>
        </w:pBdr>
        <w:spacing w:before="360" w:after="140" w:line="240" w:lineRule="auto"/>
        <w:jc w:val="left"/>
      </w:pPr>
      <w:r>
        <w:rPr>
          <w:rFonts w:cs="EB Garamond"/>
          <w:b/>
          <w:color w:val="3A3128"/>
          <w:kern w:val="16"/>
          <w:sz w:val="31"/>
          <w14:ligatures w14:val="standardContextual"/>
        </w:rPr>
        <w:t xml:space="preserve">11.1 </w:t>
      </w:r>
      <w:r w:rsidR="00A21C81">
        <w:rPr>
          <w:rFonts w:cs="EB Garamond"/>
          <w:b/>
          <w:color w:val="3A3128"/>
          <w:kern w:val="16"/>
          <w:sz w:val="31"/>
          <w14:ligatures w14:val="standardContextual"/>
        </w:rPr>
        <w:t>Introdução e escopo</w:t>
      </w:r>
    </w:p>
    <w:p w14:paraId="591DF162"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N</w:t>
      </w:r>
    </w:p>
    <w:p w14:paraId="6CC21311" w14:textId="77777777" w:rsidR="005A5FCC" w:rsidRDefault="00A21C81">
      <w:r>
        <w:rPr>
          <w:rFonts w:cs="EB Garamond"/>
          <w:kern w:val="16"/>
          <w14:ligatures w14:val="standardContextual"/>
        </w:rPr>
        <w:t>enhuma espécie de benefício acumulou tantas regras de transição quanto a aposentadoria por tempo de contribuição. Quatro regimes convivem: as regras pré-EC 20/1998, as regras intermediárias (fator previdenciário e regra 85/95), as transições da EC 103/2019 e a regra permanente. O segurado que busca essa aposentadoria em 2026 depara com até seis caminhos distintos, cada qual com requisitos, base de cálculo e coeficiente próprios.</w:t>
      </w:r>
    </w:p>
    <w:p w14:paraId="6C62648A" w14:textId="77777777" w:rsidR="005A5FCC" w:rsidRDefault="00A21C81">
      <w:pPr>
        <w:ind w:firstLine="238"/>
      </w:pPr>
      <w:r>
        <w:rPr>
          <w:rFonts w:cs="EB Garamond"/>
          <w:kern w:val="16"/>
          <w14:ligatures w14:val="standardContextual"/>
        </w:rPr>
        <w:t>A EC 103/2019 extinguiu a aposentadoria por tempo de contribuição como espécie autônoma para quem se filiou ao RGPS a partir de 13/11/2019 — esses novos segurados só acessam a aposentadoria programada (Cap. 10). Para os filiados anteriores, que ainda representam a ampla maioria dos segurados em atividade, quatro regras de transição (arts. 15, 16, 17 e 20 da EC 103) mantêm aberta a via da aposentadoria por tempo de contribuição. Cada regra favorece um perfil distinto de segurado, e a escolha equivocada pode significar prejuízo financeiro irreversível — razão pela qual a simulação comparativa por todas as regras se impõe como dever profissional do advogado previdenciarista.</w:t>
      </w:r>
    </w:p>
    <w:p w14:paraId="15B7FB98" w14:textId="77777777" w:rsidR="005A5FCC" w:rsidRDefault="00A21C81">
      <w:pPr>
        <w:ind w:firstLine="238"/>
      </w:pPr>
      <w:r>
        <w:rPr>
          <w:rFonts w:cs="EB Garamond"/>
          <w:kern w:val="16"/>
          <w14:ligatures w14:val="standardContextual"/>
        </w:rPr>
        <w:t xml:space="preserve">Este capítulo trata das regras de transição por tempo de contribuição, do fator previdenciário (ainda aplicável em situações específicas), da regra 85/95 (aplicação residual por direito adquirido), da aposentadoria proporcional da EC 20/1998 e de temas correlatos: contagem recíproca, tempo fictício, conversão de tempo especial e planejamento previdenciário. As regras gerais de cálculo do </w:t>
      </w:r>
      <w:r>
        <w:rPr>
          <w:rFonts w:cs="EB Garamond"/>
          <w:kern w:val="16"/>
          <w14:ligatures w14:val="standardContextual"/>
        </w:rPr>
        <w:lastRenderedPageBreak/>
        <w:t>SB/RMI estão no Cap. 16; tempo de contribuição e CNIS, no Cap. 5; aposentadoria especial e conversão, no Cap. 8; regras de transição por idade, no Cap. 10.</w:t>
      </w:r>
    </w:p>
    <w:tbl>
      <w:tblPr>
        <w:tblW w:w="5000" w:type="pct"/>
        <w:jc w:val="center"/>
        <w:tblLayout w:type="fixed"/>
        <w:tblLook w:val="04A0" w:firstRow="1" w:lastRow="0" w:firstColumn="1" w:lastColumn="0" w:noHBand="0" w:noVBand="1"/>
      </w:tblPr>
      <w:tblGrid>
        <w:gridCol w:w="6311"/>
      </w:tblGrid>
      <w:tr w:rsidR="005A5FCC" w14:paraId="08FC04D2"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4E3BBAA1"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6473861B" w14:textId="77777777" w:rsidR="005A5FCC" w:rsidRDefault="00A21C81">
            <w:pPr>
              <w:spacing w:after="60" w:line="247" w:lineRule="auto"/>
            </w:pPr>
            <w:r>
              <w:rPr>
                <w:rFonts w:cs="EB Garamond"/>
                <w:b/>
                <w:kern w:val="16"/>
                <w:sz w:val="19"/>
                <w14:ligatures w14:val="standardContextual"/>
              </w:rPr>
              <w:t>Escopo do Capítulo 11</w:t>
            </w:r>
          </w:p>
          <w:tbl>
            <w:tblPr>
              <w:tblW w:w="5000" w:type="pct"/>
              <w:jc w:val="center"/>
              <w:tblLook w:val="04A0" w:firstRow="1" w:lastRow="0" w:firstColumn="1" w:lastColumn="0" w:noHBand="0" w:noVBand="1"/>
            </w:tblPr>
            <w:tblGrid>
              <w:gridCol w:w="2951"/>
              <w:gridCol w:w="2950"/>
            </w:tblGrid>
            <w:tr w:rsidR="005A5FCC" w14:paraId="198E986A" w14:textId="77777777">
              <w:trPr>
                <w:tblHeader/>
                <w:jc w:val="center"/>
              </w:trPr>
              <w:tc>
                <w:tcPr>
                  <w:tcW w:w="3175" w:type="dxa"/>
                  <w:tcBorders>
                    <w:top w:val="single" w:sz="4" w:space="0" w:color="D2C9B8"/>
                    <w:left w:val="single" w:sz="4" w:space="0" w:color="D2C9B8"/>
                    <w:bottom w:val="single" w:sz="4" w:space="0" w:color="D2C9B8"/>
                    <w:right w:val="single" w:sz="4" w:space="0" w:color="D2C9B8"/>
                  </w:tcBorders>
                  <w:shd w:val="clear" w:color="auto" w:fill="F0EDE6"/>
                </w:tcPr>
                <w:p w14:paraId="3EECAEEC" w14:textId="77777777" w:rsidR="005A5FCC" w:rsidRDefault="00A21C81">
                  <w:pPr>
                    <w:spacing w:before="30" w:after="30" w:line="240" w:lineRule="auto"/>
                    <w:jc w:val="center"/>
                  </w:pPr>
                  <w:r>
                    <w:rPr>
                      <w:rFonts w:cs="EB Garamond"/>
                      <w:b/>
                      <w:color w:val="2F2923"/>
                      <w:kern w:val="16"/>
                      <w:sz w:val="16"/>
                      <w14:ligatures w14:val="standardContextual"/>
                    </w:rPr>
                    <w:t>Tema</w:t>
                  </w:r>
                </w:p>
              </w:tc>
              <w:tc>
                <w:tcPr>
                  <w:tcW w:w="3175" w:type="dxa"/>
                  <w:tcBorders>
                    <w:top w:val="single" w:sz="4" w:space="0" w:color="D2C9B8"/>
                    <w:left w:val="single" w:sz="4" w:space="0" w:color="D2C9B8"/>
                    <w:bottom w:val="single" w:sz="4" w:space="0" w:color="D2C9B8"/>
                    <w:right w:val="single" w:sz="4" w:space="0" w:color="D2C9B8"/>
                  </w:tcBorders>
                  <w:shd w:val="clear" w:color="auto" w:fill="F0EDE6"/>
                </w:tcPr>
                <w:p w14:paraId="18FF69E8" w14:textId="77777777" w:rsidR="005A5FCC" w:rsidRDefault="00A21C81">
                  <w:pPr>
                    <w:spacing w:before="30" w:after="30" w:line="240" w:lineRule="auto"/>
                    <w:jc w:val="center"/>
                  </w:pPr>
                  <w:r>
                    <w:rPr>
                      <w:rFonts w:cs="EB Garamond"/>
                      <w:b/>
                      <w:color w:val="2F2923"/>
                      <w:kern w:val="16"/>
                      <w:sz w:val="16"/>
                      <w14:ligatures w14:val="standardContextual"/>
                    </w:rPr>
                    <w:t>Capítulo-sede</w:t>
                  </w:r>
                </w:p>
              </w:tc>
            </w:tr>
            <w:tr w:rsidR="005A5FCC" w14:paraId="4D09AFA1"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0E79D7A7" w14:textId="77777777" w:rsidR="005A5FCC" w:rsidRDefault="00A21C81">
                  <w:pPr>
                    <w:spacing w:before="20" w:after="20" w:line="240" w:lineRule="auto"/>
                    <w:jc w:val="left"/>
                  </w:pPr>
                  <w:r>
                    <w:rPr>
                      <w:rFonts w:cs="EB Garamond"/>
                      <w:kern w:val="16"/>
                      <w:sz w:val="16"/>
                      <w14:ligatures w14:val="standardContextual"/>
                    </w:rPr>
                    <w:t>Tempo de contribuição: conceito, cômputo, CNIS, CTC</w:t>
                  </w:r>
                </w:p>
              </w:tc>
              <w:tc>
                <w:tcPr>
                  <w:tcW w:w="3175" w:type="dxa"/>
                  <w:tcBorders>
                    <w:top w:val="single" w:sz="4" w:space="0" w:color="D2C9B8"/>
                    <w:left w:val="single" w:sz="4" w:space="0" w:color="D2C9B8"/>
                    <w:bottom w:val="single" w:sz="4" w:space="0" w:color="D2C9B8"/>
                    <w:right w:val="single" w:sz="4" w:space="0" w:color="D2C9B8"/>
                  </w:tcBorders>
                </w:tcPr>
                <w:p w14:paraId="7352DD88" w14:textId="77777777" w:rsidR="005A5FCC" w:rsidRDefault="00A21C81">
                  <w:pPr>
                    <w:spacing w:before="20" w:after="20" w:line="240" w:lineRule="auto"/>
                    <w:jc w:val="left"/>
                  </w:pPr>
                  <w:r>
                    <w:rPr>
                      <w:rFonts w:cs="EB Garamond"/>
                      <w:kern w:val="16"/>
                      <w:sz w:val="16"/>
                      <w14:ligatures w14:val="standardContextual"/>
                    </w:rPr>
                    <w:t>Cap. 5</w:t>
                  </w:r>
                </w:p>
              </w:tc>
            </w:tr>
            <w:tr w:rsidR="005A5FCC" w14:paraId="0CC14204"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07A38BD5" w14:textId="77777777" w:rsidR="005A5FCC" w:rsidRDefault="00A21C81">
                  <w:pPr>
                    <w:spacing w:before="20" w:after="20" w:line="240" w:lineRule="auto"/>
                    <w:jc w:val="left"/>
                  </w:pPr>
                  <w:r>
                    <w:rPr>
                      <w:rFonts w:cs="EB Garamond"/>
                      <w:kern w:val="16"/>
                      <w:sz w:val="16"/>
                      <w14:ligatures w14:val="standardContextual"/>
                    </w:rPr>
                    <w:t>Aposentadoria especial, conversão de tempo especial</w:t>
                  </w:r>
                </w:p>
              </w:tc>
              <w:tc>
                <w:tcPr>
                  <w:tcW w:w="3175" w:type="dxa"/>
                  <w:tcBorders>
                    <w:top w:val="single" w:sz="4" w:space="0" w:color="D2C9B8"/>
                    <w:left w:val="single" w:sz="4" w:space="0" w:color="D2C9B8"/>
                    <w:bottom w:val="single" w:sz="4" w:space="0" w:color="D2C9B8"/>
                    <w:right w:val="single" w:sz="4" w:space="0" w:color="D2C9B8"/>
                  </w:tcBorders>
                </w:tcPr>
                <w:p w14:paraId="283823C7" w14:textId="77777777" w:rsidR="005A5FCC" w:rsidRDefault="00A21C81">
                  <w:pPr>
                    <w:spacing w:before="20" w:after="20" w:line="240" w:lineRule="auto"/>
                    <w:jc w:val="left"/>
                  </w:pPr>
                  <w:r>
                    <w:rPr>
                      <w:rFonts w:cs="EB Garamond"/>
                      <w:kern w:val="16"/>
                      <w:sz w:val="16"/>
                      <w14:ligatures w14:val="standardContextual"/>
                    </w:rPr>
                    <w:t>Cap. 8</w:t>
                  </w:r>
                </w:p>
              </w:tc>
            </w:tr>
            <w:tr w:rsidR="005A5FCC" w14:paraId="46AA41B7"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6D0E5A2F" w14:textId="77777777" w:rsidR="005A5FCC" w:rsidRDefault="00A21C81">
                  <w:pPr>
                    <w:spacing w:before="20" w:after="20" w:line="240" w:lineRule="auto"/>
                    <w:jc w:val="left"/>
                  </w:pPr>
                  <w:r>
                    <w:rPr>
                      <w:rFonts w:cs="EB Garamond"/>
                      <w:kern w:val="16"/>
                      <w:sz w:val="16"/>
                      <w14:ligatures w14:val="standardContextual"/>
                    </w:rPr>
                    <w:t>Aposentadoria programada, regra de transição por idade (art. 18)</w:t>
                  </w:r>
                </w:p>
              </w:tc>
              <w:tc>
                <w:tcPr>
                  <w:tcW w:w="3175" w:type="dxa"/>
                  <w:tcBorders>
                    <w:top w:val="single" w:sz="4" w:space="0" w:color="D2C9B8"/>
                    <w:left w:val="single" w:sz="4" w:space="0" w:color="D2C9B8"/>
                    <w:bottom w:val="single" w:sz="4" w:space="0" w:color="D2C9B8"/>
                    <w:right w:val="single" w:sz="4" w:space="0" w:color="D2C9B8"/>
                  </w:tcBorders>
                </w:tcPr>
                <w:p w14:paraId="5AA6A8E5" w14:textId="77777777" w:rsidR="005A5FCC" w:rsidRDefault="00A21C81">
                  <w:pPr>
                    <w:spacing w:before="20" w:after="20" w:line="240" w:lineRule="auto"/>
                    <w:jc w:val="left"/>
                  </w:pPr>
                  <w:r>
                    <w:rPr>
                      <w:rFonts w:cs="EB Garamond"/>
                      <w:kern w:val="16"/>
                      <w:sz w:val="16"/>
                      <w14:ligatures w14:val="standardContextual"/>
                    </w:rPr>
                    <w:t>Cap. 10</w:t>
                  </w:r>
                </w:p>
              </w:tc>
            </w:tr>
            <w:tr w:rsidR="005A5FCC" w14:paraId="2563E280"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0CA7F23C" w14:textId="77777777" w:rsidR="005A5FCC" w:rsidRDefault="00A21C81">
                  <w:pPr>
                    <w:spacing w:before="20" w:after="20" w:line="240" w:lineRule="auto"/>
                    <w:jc w:val="left"/>
                  </w:pPr>
                  <w:r>
                    <w:rPr>
                      <w:rFonts w:cs="EB Garamond"/>
                      <w:kern w:val="16"/>
                      <w:sz w:val="16"/>
                      <w14:ligatures w14:val="standardContextual"/>
                    </w:rPr>
                    <w:t>Cálculo do SB/RMI, fórmula do fator previdenciário</w:t>
                  </w:r>
                </w:p>
              </w:tc>
              <w:tc>
                <w:tcPr>
                  <w:tcW w:w="3175" w:type="dxa"/>
                  <w:tcBorders>
                    <w:top w:val="single" w:sz="4" w:space="0" w:color="D2C9B8"/>
                    <w:left w:val="single" w:sz="4" w:space="0" w:color="D2C9B8"/>
                    <w:bottom w:val="single" w:sz="4" w:space="0" w:color="D2C9B8"/>
                    <w:right w:val="single" w:sz="4" w:space="0" w:color="D2C9B8"/>
                  </w:tcBorders>
                </w:tcPr>
                <w:p w14:paraId="220498BA" w14:textId="77777777" w:rsidR="005A5FCC" w:rsidRDefault="00A21C81">
                  <w:pPr>
                    <w:spacing w:before="20" w:after="20" w:line="240" w:lineRule="auto"/>
                    <w:jc w:val="left"/>
                  </w:pPr>
                  <w:r>
                    <w:rPr>
                      <w:rFonts w:cs="EB Garamond"/>
                      <w:kern w:val="16"/>
                      <w:sz w:val="16"/>
                      <w14:ligatures w14:val="standardContextual"/>
                    </w:rPr>
                    <w:t>Cap. 16</w:t>
                  </w:r>
                </w:p>
              </w:tc>
            </w:tr>
            <w:tr w:rsidR="005A5FCC" w14:paraId="7AF3A24C"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03F5148E" w14:textId="77777777" w:rsidR="005A5FCC" w:rsidRDefault="00A21C81">
                  <w:pPr>
                    <w:spacing w:before="20" w:after="20" w:line="240" w:lineRule="auto"/>
                    <w:jc w:val="left"/>
                  </w:pPr>
                  <w:r>
                    <w:rPr>
                      <w:rFonts w:cs="EB Garamond"/>
                      <w:kern w:val="16"/>
                      <w:sz w:val="16"/>
                      <w14:ligatures w14:val="standardContextual"/>
                    </w:rPr>
                    <w:t>Carência, tabela do art. 142 (segurados filiados antes de 24/07/1991)</w:t>
                  </w:r>
                </w:p>
              </w:tc>
              <w:tc>
                <w:tcPr>
                  <w:tcW w:w="3175" w:type="dxa"/>
                  <w:tcBorders>
                    <w:top w:val="single" w:sz="4" w:space="0" w:color="D2C9B8"/>
                    <w:left w:val="single" w:sz="4" w:space="0" w:color="D2C9B8"/>
                    <w:bottom w:val="single" w:sz="4" w:space="0" w:color="D2C9B8"/>
                    <w:right w:val="single" w:sz="4" w:space="0" w:color="D2C9B8"/>
                  </w:tcBorders>
                </w:tcPr>
                <w:p w14:paraId="6C224D12" w14:textId="77777777" w:rsidR="005A5FCC" w:rsidRDefault="00A21C81">
                  <w:pPr>
                    <w:spacing w:before="20" w:after="20" w:line="240" w:lineRule="auto"/>
                    <w:jc w:val="left"/>
                  </w:pPr>
                  <w:r>
                    <w:rPr>
                      <w:rFonts w:cs="EB Garamond"/>
                      <w:kern w:val="16"/>
                      <w:sz w:val="16"/>
                      <w14:ligatures w14:val="standardContextual"/>
                    </w:rPr>
                    <w:t>Cap. 3</w:t>
                  </w:r>
                </w:p>
              </w:tc>
            </w:tr>
            <w:tr w:rsidR="005A5FCC" w14:paraId="5F6FD699"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6FA63A10" w14:textId="77777777" w:rsidR="005A5FCC" w:rsidRDefault="00A21C81">
                  <w:pPr>
                    <w:spacing w:before="20" w:after="20" w:line="240" w:lineRule="auto"/>
                    <w:jc w:val="left"/>
                  </w:pPr>
                  <w:r>
                    <w:rPr>
                      <w:rFonts w:cs="EB Garamond"/>
                      <w:b/>
                      <w:kern w:val="16"/>
                      <w:sz w:val="16"/>
                      <w14:ligatures w14:val="standardContextual"/>
                    </w:rPr>
                    <w:t>Regras de transição por TC (arts. 15-20), fator previd. (aplicação), regra 85/95, aposentadoria proporcional, professor</w:t>
                  </w:r>
                </w:p>
              </w:tc>
              <w:tc>
                <w:tcPr>
                  <w:tcW w:w="3175" w:type="dxa"/>
                  <w:tcBorders>
                    <w:top w:val="single" w:sz="4" w:space="0" w:color="D2C9B8"/>
                    <w:left w:val="single" w:sz="4" w:space="0" w:color="D2C9B8"/>
                    <w:bottom w:val="single" w:sz="4" w:space="0" w:color="D2C9B8"/>
                    <w:right w:val="single" w:sz="4" w:space="0" w:color="D2C9B8"/>
                  </w:tcBorders>
                </w:tcPr>
                <w:p w14:paraId="570E6CC6" w14:textId="77777777" w:rsidR="005A5FCC" w:rsidRDefault="00A21C81">
                  <w:pPr>
                    <w:spacing w:before="20" w:after="20" w:line="240" w:lineRule="auto"/>
                    <w:jc w:val="left"/>
                  </w:pPr>
                  <w:r>
                    <w:rPr>
                      <w:rFonts w:cs="EB Garamond"/>
                      <w:b/>
                      <w:kern w:val="16"/>
                      <w:sz w:val="16"/>
                      <w14:ligatures w14:val="standardContextual"/>
                    </w:rPr>
                    <w:t>Este capítulo</w:t>
                  </w:r>
                </w:p>
              </w:tc>
            </w:tr>
          </w:tbl>
          <w:p w14:paraId="60889049" w14:textId="77777777" w:rsidR="005A5FCC" w:rsidRDefault="005A5FCC"/>
          <w:p w14:paraId="72141F27" w14:textId="77777777" w:rsidR="005A5FCC" w:rsidRDefault="005A5FCC">
            <w:pPr>
              <w:spacing w:after="0" w:line="240" w:lineRule="auto"/>
            </w:pPr>
          </w:p>
        </w:tc>
      </w:tr>
    </w:tbl>
    <w:p w14:paraId="4751A443" w14:textId="77777777" w:rsidR="005A5FCC" w:rsidRDefault="005A5FCC">
      <w:pPr>
        <w:spacing w:after="80" w:line="240" w:lineRule="auto"/>
      </w:pPr>
    </w:p>
    <w:p w14:paraId="22176C1E"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11.2 Evolução histórica da aposentadoria por tempo de serviço/contribuição</w:t>
      </w:r>
    </w:p>
    <w:p w14:paraId="779B8334" w14:textId="77777777" w:rsidR="005A5FCC" w:rsidRDefault="00A21C81">
      <w:pPr>
        <w:spacing w:before="260" w:after="80" w:line="240" w:lineRule="auto"/>
        <w:jc w:val="left"/>
      </w:pPr>
      <w:r>
        <w:rPr>
          <w:rFonts w:cs="EB Garamond"/>
          <w:b/>
          <w:color w:val="3A3128"/>
          <w:kern w:val="16"/>
          <w:sz w:val="25"/>
          <w14:ligatures w14:val="standardContextual"/>
        </w:rPr>
        <w:t>11.2.1 Da aposentadoria por tempo de serviço à aposentadoria por tempo de contribuição</w:t>
      </w:r>
    </w:p>
    <w:p w14:paraId="24054699"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797213DA" w14:textId="77777777" w:rsidR="005A5FCC" w:rsidRDefault="00A21C81">
      <w:r>
        <w:rPr>
          <w:rFonts w:cs="EB Garamond"/>
          <w:kern w:val="16"/>
          <w14:ligatures w14:val="standardContextual"/>
        </w:rPr>
        <w:t xml:space="preserve"> aposentadoria por tempo de serviço tem raízes na Lei Orgânica da Previdência Social (LOPS — Lei 3.807/1960), que a previa como direito do segurado após 30 anos de serviço (mulher) ou 35 anos (homem), sem exigência de idade mínima. O benefício correspondia à integralidade do salário de benefício, o que fazia dessa modalidade a mais procurada pelos segurados com longos vínculos empregatícios.</w:t>
      </w:r>
    </w:p>
    <w:p w14:paraId="28707BD9" w14:textId="77777777" w:rsidR="005A5FCC" w:rsidRDefault="00A21C81">
      <w:pPr>
        <w:ind w:firstLine="238"/>
      </w:pPr>
      <w:r>
        <w:rPr>
          <w:rFonts w:cs="EB Garamond"/>
          <w:kern w:val="16"/>
          <w14:ligatures w14:val="standardContextual"/>
        </w:rPr>
        <w:lastRenderedPageBreak/>
        <w:t>A Constituição de 1988, em sua redação original (art. 202), manteve a aposentadoria por tempo de serviço com os mesmos requisitos de 30/35 anos, igualmente sem idade mínima. Essa ausência de requisito etário permitia aposentadorias precoces, não raro aos 48 ou 50 anos de idade, o que gerava pressão sobre o equilíbrio atuarial do sistema.</w:t>
      </w:r>
    </w:p>
    <w:p w14:paraId="7E4BEBCD" w14:textId="77777777" w:rsidR="005A5FCC" w:rsidRDefault="00A21C81">
      <w:pPr>
        <w:spacing w:before="260" w:after="80" w:line="240" w:lineRule="auto"/>
        <w:jc w:val="left"/>
      </w:pPr>
      <w:r>
        <w:rPr>
          <w:rFonts w:cs="EB Garamond"/>
          <w:b/>
          <w:color w:val="3A3128"/>
          <w:kern w:val="16"/>
          <w:sz w:val="25"/>
          <w14:ligatures w14:val="standardContextual"/>
        </w:rPr>
        <w:t>11.2.2 A EC 20/1998: idade mínima frustrada e fator previdenciário</w:t>
      </w:r>
    </w:p>
    <w:p w14:paraId="41A20B9D"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00A44E7F" w14:textId="77777777" w:rsidR="005A5FCC" w:rsidRDefault="00A21C81">
      <w:r>
        <w:rPr>
          <w:rFonts w:cs="EB Garamond"/>
          <w:kern w:val="16"/>
          <w14:ligatures w14:val="standardContextual"/>
        </w:rPr>
        <w:t xml:space="preserve"> EC 20/1998 tentou introduzir idade mínima para a aposentadoria por tempo de contribuição, mas a resistência política impediu a medida. Em compensação, duas mudanças relevantes foram implementadas:</w:t>
      </w:r>
    </w:p>
    <w:p w14:paraId="3A64040D" w14:textId="77777777" w:rsidR="005A5FCC" w:rsidRDefault="00A21C81">
      <w:pPr>
        <w:ind w:firstLine="238"/>
      </w:pPr>
      <w:r>
        <w:rPr>
          <w:rFonts w:cs="EB Garamond"/>
          <w:b/>
          <w:kern w:val="16"/>
          <w14:ligatures w14:val="standardContextual"/>
        </w:rPr>
        <w:t>Primeira:</w:t>
      </w:r>
      <w:r>
        <w:rPr>
          <w:rFonts w:cs="EB Garamond"/>
          <w:kern w:val="16"/>
          <w14:ligatures w14:val="standardContextual"/>
        </w:rPr>
        <w:t xml:space="preserve"> A substituição do conceito de "tempo de serviço" por "tempo de contribuição" (art. 201, § 7º, nova redação), exigindo contribuição efetiva ao sistema, e não apenas exercício de atividade. Essa mudança conceitual vedou a contagem de tempo fictício (art. 40, § 10, CF), eliminando benefícios como a contagem em dobro de licença-prêmio não gozada.</w:t>
      </w:r>
    </w:p>
    <w:p w14:paraId="29FC3D1E" w14:textId="77777777" w:rsidR="005A5FCC" w:rsidRDefault="00A21C81">
      <w:pPr>
        <w:ind w:firstLine="238"/>
      </w:pPr>
      <w:r>
        <w:rPr>
          <w:rFonts w:cs="EB Garamond"/>
          <w:b/>
          <w:kern w:val="16"/>
          <w14:ligatures w14:val="standardContextual"/>
        </w:rPr>
        <w:t>Segunda:</w:t>
      </w:r>
      <w:r>
        <w:rPr>
          <w:rFonts w:cs="EB Garamond"/>
          <w:kern w:val="16"/>
          <w14:ligatures w14:val="standardContextual"/>
        </w:rPr>
        <w:t xml:space="preserve"> A criação de uma regra de transição (art. 9º da EC 20/98) que previa aposentadoria proporcional para segurados com idade mínima de 48/53 anos e pedágio de 40% sobre o tempo faltante. Essa regra de transição, posteriormente revogada pelo art. 35 da EC 103/2019, ainda produz efeitos para segurados que implementaram seus requisitos antes de 13/11/2019 (direito adquirido).</w:t>
      </w:r>
    </w:p>
    <w:p w14:paraId="4CC17766" w14:textId="0AA534A6" w:rsidR="005A5FCC" w:rsidRDefault="00A21C81">
      <w:pPr>
        <w:spacing w:before="260" w:after="80" w:line="240" w:lineRule="auto"/>
        <w:jc w:val="left"/>
      </w:pPr>
      <w:r>
        <w:rPr>
          <w:rFonts w:cs="EB Garamond"/>
          <w:b/>
          <w:color w:val="3A3128"/>
          <w:kern w:val="16"/>
          <w:sz w:val="25"/>
          <w14:ligatures w14:val="standardContextual"/>
        </w:rPr>
        <w:t xml:space="preserve">11.2.3 A </w:t>
      </w:r>
      <w:r w:rsidR="009B5202">
        <w:rPr>
          <w:rFonts w:cs="EB Garamond"/>
          <w:b/>
          <w:color w:val="3A3128"/>
          <w:kern w:val="16"/>
          <w:sz w:val="25"/>
          <w14:ligatures w14:val="standardContextual"/>
        </w:rPr>
        <w:t>L</w:t>
      </w:r>
      <w:r>
        <w:rPr>
          <w:rFonts w:cs="EB Garamond"/>
          <w:b/>
          <w:color w:val="3A3128"/>
          <w:kern w:val="16"/>
          <w:sz w:val="25"/>
          <w14:ligatures w14:val="standardContextual"/>
        </w:rPr>
        <w:t>ei 9.876/1999: o fator previdenciário</w:t>
      </w:r>
    </w:p>
    <w:p w14:paraId="350E532E"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S</w:t>
      </w:r>
    </w:p>
    <w:p w14:paraId="0199DE5C" w14:textId="77777777" w:rsidR="005A5FCC" w:rsidRDefault="00A21C81">
      <w:r>
        <w:rPr>
          <w:rFonts w:cs="EB Garamond"/>
          <w:kern w:val="16"/>
          <w14:ligatures w14:val="standardContextual"/>
        </w:rPr>
        <w:t>em a idade mínima, o governo recorreu a um mecanismo indireto: o fator previdenciário (Lei 9.876/1999, inserido no art. 29 da Lei 8.213/91). A fórmula relaciona tempo de contribuição, idade e expectativa de sobrevida (tabela IBGE), produzindo um coeficiente que, na maioria dos casos de aposentadoria precoce, reduz o valor do benefício — por vezes em mais de 30%.</w:t>
      </w:r>
    </w:p>
    <w:p w14:paraId="06F43050" w14:textId="77777777" w:rsidR="005A5FCC" w:rsidRDefault="00A21C81">
      <w:pPr>
        <w:ind w:firstLine="238"/>
      </w:pPr>
      <w:r>
        <w:rPr>
          <w:rFonts w:cs="EB Garamond"/>
          <w:kern w:val="16"/>
          <w14:ligatures w14:val="standardContextual"/>
        </w:rPr>
        <w:t xml:space="preserve">O STF indeferiu a medida cautelar na ADI 2.111 (julgada em 16/03/2000), sinalizando a constitucionalidade do fator previdenciário como mecanismo legítimo de equilíbrio financeiro do sistema. O mérito das ADIs 2.110 e 2.111 foi </w:t>
      </w:r>
      <w:r>
        <w:rPr>
          <w:rFonts w:cs="EB Garamond"/>
          <w:kern w:val="16"/>
          <w14:ligatures w14:val="standardContextual"/>
        </w:rPr>
        <w:lastRenderedPageBreak/>
        <w:t>concluído em 21/03/2024 (ata publicada em 05/04/2024), quando o STF declarou constitucional a Lei 9.876/1999 — inclusive a regra de transição do art. 3º —, afastando, no mesmo julgamento, a tese da "revisão da vida toda" (v. Caps. 16 e 17).</w:t>
      </w:r>
    </w:p>
    <w:p w14:paraId="60EE2C14" w14:textId="5ADC21EE" w:rsidR="005A5FCC" w:rsidRDefault="00A21C81">
      <w:pPr>
        <w:spacing w:before="260" w:after="80" w:line="240" w:lineRule="auto"/>
        <w:jc w:val="left"/>
      </w:pPr>
      <w:r>
        <w:rPr>
          <w:rFonts w:cs="EB Garamond"/>
          <w:b/>
          <w:color w:val="3A3128"/>
          <w:kern w:val="16"/>
          <w:sz w:val="25"/>
          <w14:ligatures w14:val="standardContextual"/>
        </w:rPr>
        <w:t xml:space="preserve">11.2.4 A </w:t>
      </w:r>
      <w:r w:rsidR="00EA2CE0">
        <w:rPr>
          <w:rFonts w:cs="EB Garamond"/>
          <w:b/>
          <w:color w:val="3A3128"/>
          <w:kern w:val="16"/>
          <w:sz w:val="25"/>
          <w14:ligatures w14:val="standardContextual"/>
        </w:rPr>
        <w:t>L</w:t>
      </w:r>
      <w:r>
        <w:rPr>
          <w:rFonts w:cs="EB Garamond"/>
          <w:b/>
          <w:color w:val="3A3128"/>
          <w:kern w:val="16"/>
          <w:sz w:val="25"/>
          <w14:ligatures w14:val="standardContextual"/>
        </w:rPr>
        <w:t>ei 13.183/2015: a regra 85/95</w:t>
      </w:r>
    </w:p>
    <w:p w14:paraId="2C1DD764"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E</w:t>
      </w:r>
    </w:p>
    <w:p w14:paraId="0FDCEA80" w14:textId="77777777" w:rsidR="005A5FCC" w:rsidRDefault="00A21C81">
      <w:r>
        <w:rPr>
          <w:rFonts w:cs="EB Garamond"/>
          <w:kern w:val="16"/>
          <w14:ligatures w14:val="standardContextual"/>
        </w:rPr>
        <w:t>m resposta à insatisfação generalizada com o fator, a Lei 13.183/2015 criou a regra 85/95 (art. 29-C da Lei 8.213/91): quem atingisse pontuação mínima (idade + TC) aposentava-se com 100% do SB, sem incidência do fator previdenciário. A pontuação era progressiva (85/95 em 2015, até 90/100). A seção 11.9 examina a regra em detalhe e sua aplicação residual como direito adquirido.</w:t>
      </w:r>
    </w:p>
    <w:p w14:paraId="291CFBCE" w14:textId="77777777" w:rsidR="005A5FCC" w:rsidRDefault="00A21C81">
      <w:pPr>
        <w:spacing w:before="260" w:after="80" w:line="240" w:lineRule="auto"/>
        <w:jc w:val="left"/>
      </w:pPr>
      <w:r>
        <w:rPr>
          <w:rFonts w:cs="EB Garamond"/>
          <w:b/>
          <w:color w:val="3A3128"/>
          <w:kern w:val="16"/>
          <w:sz w:val="25"/>
          <w14:ligatures w14:val="standardContextual"/>
        </w:rPr>
        <w:t>11.2.5 A EC 103/2019: extinção e transição</w:t>
      </w:r>
    </w:p>
    <w:p w14:paraId="57F4D65E"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66D0A764" w14:textId="77777777" w:rsidR="005A5FCC" w:rsidRDefault="00A21C81">
      <w:r>
        <w:rPr>
          <w:rFonts w:cs="EB Garamond"/>
          <w:kern w:val="16"/>
          <w14:ligatures w14:val="standardContextual"/>
        </w:rPr>
        <w:t xml:space="preserve"> EC 103/2019 foi o golpe definitivo na aposentadoria por tempo de contribuição como espécie autônoma. Para novos filiados, o inciso II do art. 201, § 7º, da CF/88, que previa a aposentadoria por tempo de contribuição, foi tacitamente superado pela nova redação do inciso I, que instituiu a aposentadoria programada com requisitos cumulativos de idade e tempo de contribuição.</w:t>
      </w:r>
    </w:p>
    <w:p w14:paraId="6DB29FF6" w14:textId="77777777" w:rsidR="005A5FCC" w:rsidRDefault="00A21C81">
      <w:pPr>
        <w:ind w:firstLine="238"/>
      </w:pPr>
      <w:r>
        <w:rPr>
          <w:rFonts w:cs="EB Garamond"/>
          <w:kern w:val="16"/>
          <w14:ligatures w14:val="standardContextual"/>
        </w:rPr>
        <w:t>Para os filiados anteriores, quatro regras de transição foram estabelecidas, cada uma com características distintas que as tornam mais ou menos vantajosas conforme o perfil do segurado. A tabela abaixo sintetiza a evolução legislativa:</w:t>
      </w:r>
    </w:p>
    <w:tbl>
      <w:tblPr>
        <w:tblW w:w="5000" w:type="pct"/>
        <w:jc w:val="center"/>
        <w:tblLook w:val="04A0" w:firstRow="1" w:lastRow="0" w:firstColumn="1" w:lastColumn="0" w:noHBand="0" w:noVBand="1"/>
      </w:tblPr>
      <w:tblGrid>
        <w:gridCol w:w="2113"/>
        <w:gridCol w:w="2113"/>
        <w:gridCol w:w="2114"/>
      </w:tblGrid>
      <w:tr w:rsidR="005A5FCC" w14:paraId="566B1E39" w14:textId="77777777">
        <w:trPr>
          <w:tblHeader/>
          <w:jc w:val="center"/>
        </w:trPr>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78AF8B23" w14:textId="77777777" w:rsidR="005A5FCC" w:rsidRDefault="00A21C81">
            <w:pPr>
              <w:spacing w:before="40" w:after="40" w:line="240" w:lineRule="auto"/>
              <w:jc w:val="center"/>
            </w:pPr>
            <w:r>
              <w:rPr>
                <w:rFonts w:cs="EB Garamond"/>
                <w:b/>
                <w:color w:val="2F2923"/>
                <w:kern w:val="16"/>
                <w:sz w:val="18"/>
                <w14:ligatures w14:val="standardContextual"/>
              </w:rPr>
              <w:t>Período</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0179B7C7" w14:textId="77777777" w:rsidR="005A5FCC" w:rsidRDefault="00A21C81">
            <w:pPr>
              <w:spacing w:before="40" w:after="40" w:line="240" w:lineRule="auto"/>
              <w:jc w:val="center"/>
            </w:pPr>
            <w:r>
              <w:rPr>
                <w:rFonts w:cs="EB Garamond"/>
                <w:b/>
                <w:color w:val="2F2923"/>
                <w:kern w:val="16"/>
                <w:sz w:val="18"/>
                <w14:ligatures w14:val="standardContextual"/>
              </w:rPr>
              <w:t>Marco legal</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358BFCB9" w14:textId="77777777" w:rsidR="005A5FCC" w:rsidRDefault="00A21C81">
            <w:pPr>
              <w:spacing w:before="40" w:after="40" w:line="240" w:lineRule="auto"/>
              <w:jc w:val="center"/>
            </w:pPr>
            <w:r>
              <w:rPr>
                <w:rFonts w:cs="EB Garamond"/>
                <w:b/>
                <w:color w:val="2F2923"/>
                <w:kern w:val="16"/>
                <w:sz w:val="18"/>
                <w14:ligatures w14:val="standardContextual"/>
              </w:rPr>
              <w:t>Regime</w:t>
            </w:r>
          </w:p>
        </w:tc>
      </w:tr>
      <w:tr w:rsidR="005A5FCC" w14:paraId="7E79299B"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66734DEA" w14:textId="77777777" w:rsidR="005A5FCC" w:rsidRDefault="00A21C81">
            <w:pPr>
              <w:spacing w:before="20" w:after="20" w:line="240" w:lineRule="auto"/>
              <w:jc w:val="left"/>
            </w:pPr>
            <w:r>
              <w:rPr>
                <w:rFonts w:cs="EB Garamond"/>
                <w:kern w:val="16"/>
                <w:sz w:val="18"/>
                <w14:ligatures w14:val="standardContextual"/>
              </w:rPr>
              <w:t>1960-1988</w:t>
            </w:r>
          </w:p>
        </w:tc>
        <w:tc>
          <w:tcPr>
            <w:tcW w:w="2117" w:type="dxa"/>
            <w:tcBorders>
              <w:top w:val="single" w:sz="4" w:space="0" w:color="D2C9B8"/>
              <w:left w:val="single" w:sz="4" w:space="0" w:color="D2C9B8"/>
              <w:bottom w:val="single" w:sz="4" w:space="0" w:color="D2C9B8"/>
              <w:right w:val="single" w:sz="4" w:space="0" w:color="D2C9B8"/>
            </w:tcBorders>
          </w:tcPr>
          <w:p w14:paraId="708108B5" w14:textId="77777777" w:rsidR="005A5FCC" w:rsidRDefault="00A21C81">
            <w:pPr>
              <w:spacing w:before="20" w:after="20" w:line="240" w:lineRule="auto"/>
              <w:jc w:val="left"/>
            </w:pPr>
            <w:r>
              <w:rPr>
                <w:rFonts w:cs="EB Garamond"/>
                <w:kern w:val="16"/>
                <w:sz w:val="18"/>
                <w14:ligatures w14:val="standardContextual"/>
              </w:rPr>
              <w:t>LOPS (Lei 3.807/60)</w:t>
            </w:r>
          </w:p>
        </w:tc>
        <w:tc>
          <w:tcPr>
            <w:tcW w:w="2117" w:type="dxa"/>
            <w:tcBorders>
              <w:top w:val="single" w:sz="4" w:space="0" w:color="D2C9B8"/>
              <w:left w:val="single" w:sz="4" w:space="0" w:color="D2C9B8"/>
              <w:bottom w:val="single" w:sz="4" w:space="0" w:color="D2C9B8"/>
              <w:right w:val="single" w:sz="4" w:space="0" w:color="D2C9B8"/>
            </w:tcBorders>
          </w:tcPr>
          <w:p w14:paraId="21380DE1" w14:textId="77777777" w:rsidR="005A5FCC" w:rsidRDefault="00A21C81">
            <w:pPr>
              <w:spacing w:before="20" w:after="20" w:line="240" w:lineRule="auto"/>
              <w:jc w:val="left"/>
            </w:pPr>
            <w:r>
              <w:rPr>
                <w:rFonts w:cs="EB Garamond"/>
                <w:kern w:val="16"/>
                <w:sz w:val="18"/>
                <w14:ligatures w14:val="standardContextual"/>
              </w:rPr>
              <w:t>Aposentadoria por tempo de serviço (30M/35H), sem idade</w:t>
            </w:r>
          </w:p>
        </w:tc>
      </w:tr>
      <w:tr w:rsidR="005A5FCC" w14:paraId="22F666F4"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093E1A58" w14:textId="77777777" w:rsidR="005A5FCC" w:rsidRDefault="00A21C81">
            <w:pPr>
              <w:spacing w:before="20" w:after="20" w:line="240" w:lineRule="auto"/>
              <w:jc w:val="left"/>
            </w:pPr>
            <w:r>
              <w:rPr>
                <w:rFonts w:cs="EB Garamond"/>
                <w:kern w:val="16"/>
                <w:sz w:val="18"/>
                <w14:ligatures w14:val="standardContextual"/>
              </w:rPr>
              <w:t>1988-1998</w:t>
            </w:r>
          </w:p>
        </w:tc>
        <w:tc>
          <w:tcPr>
            <w:tcW w:w="2117" w:type="dxa"/>
            <w:tcBorders>
              <w:top w:val="single" w:sz="4" w:space="0" w:color="D2C9B8"/>
              <w:left w:val="single" w:sz="4" w:space="0" w:color="D2C9B8"/>
              <w:bottom w:val="single" w:sz="4" w:space="0" w:color="D2C9B8"/>
              <w:right w:val="single" w:sz="4" w:space="0" w:color="D2C9B8"/>
            </w:tcBorders>
          </w:tcPr>
          <w:p w14:paraId="2E855F56" w14:textId="77777777" w:rsidR="005A5FCC" w:rsidRDefault="00A21C81">
            <w:pPr>
              <w:spacing w:before="20" w:after="20" w:line="240" w:lineRule="auto"/>
              <w:jc w:val="left"/>
            </w:pPr>
            <w:r>
              <w:rPr>
                <w:rFonts w:cs="EB Garamond"/>
                <w:kern w:val="16"/>
                <w:sz w:val="18"/>
                <w14:ligatures w14:val="standardContextual"/>
              </w:rPr>
              <w:t>CF/88 (art. 202 original)</w:t>
            </w:r>
          </w:p>
        </w:tc>
        <w:tc>
          <w:tcPr>
            <w:tcW w:w="2117" w:type="dxa"/>
            <w:tcBorders>
              <w:top w:val="single" w:sz="4" w:space="0" w:color="D2C9B8"/>
              <w:left w:val="single" w:sz="4" w:space="0" w:color="D2C9B8"/>
              <w:bottom w:val="single" w:sz="4" w:space="0" w:color="D2C9B8"/>
              <w:right w:val="single" w:sz="4" w:space="0" w:color="D2C9B8"/>
            </w:tcBorders>
          </w:tcPr>
          <w:p w14:paraId="4DA73704" w14:textId="77777777" w:rsidR="005A5FCC" w:rsidRDefault="00A21C81">
            <w:pPr>
              <w:spacing w:before="20" w:after="20" w:line="240" w:lineRule="auto"/>
              <w:jc w:val="left"/>
            </w:pPr>
            <w:r>
              <w:rPr>
                <w:rFonts w:cs="EB Garamond"/>
                <w:kern w:val="16"/>
                <w:sz w:val="18"/>
                <w14:ligatures w14:val="standardContextual"/>
              </w:rPr>
              <w:t>Aposentadoria por tempo de serviço (30M/35H), sem idade</w:t>
            </w:r>
          </w:p>
        </w:tc>
      </w:tr>
      <w:tr w:rsidR="005A5FCC" w14:paraId="3F3214C4"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61D85197" w14:textId="77777777" w:rsidR="005A5FCC" w:rsidRDefault="00A21C81">
            <w:pPr>
              <w:spacing w:before="20" w:after="20" w:line="240" w:lineRule="auto"/>
              <w:jc w:val="left"/>
            </w:pPr>
            <w:r>
              <w:rPr>
                <w:rFonts w:cs="EB Garamond"/>
                <w:kern w:val="16"/>
                <w:sz w:val="18"/>
                <w14:ligatures w14:val="standardContextual"/>
              </w:rPr>
              <w:t>1998-1999</w:t>
            </w:r>
          </w:p>
        </w:tc>
        <w:tc>
          <w:tcPr>
            <w:tcW w:w="2117" w:type="dxa"/>
            <w:tcBorders>
              <w:top w:val="single" w:sz="4" w:space="0" w:color="D2C9B8"/>
              <w:left w:val="single" w:sz="4" w:space="0" w:color="D2C9B8"/>
              <w:bottom w:val="single" w:sz="4" w:space="0" w:color="D2C9B8"/>
              <w:right w:val="single" w:sz="4" w:space="0" w:color="D2C9B8"/>
            </w:tcBorders>
          </w:tcPr>
          <w:p w14:paraId="42BEFB7A" w14:textId="77777777" w:rsidR="005A5FCC" w:rsidRDefault="00A21C81">
            <w:pPr>
              <w:spacing w:before="20" w:after="20" w:line="240" w:lineRule="auto"/>
              <w:jc w:val="left"/>
            </w:pPr>
            <w:r>
              <w:rPr>
                <w:rFonts w:cs="EB Garamond"/>
                <w:kern w:val="16"/>
                <w:sz w:val="18"/>
                <w14:ligatures w14:val="standardContextual"/>
              </w:rPr>
              <w:t>EC 20/98</w:t>
            </w:r>
          </w:p>
        </w:tc>
        <w:tc>
          <w:tcPr>
            <w:tcW w:w="2117" w:type="dxa"/>
            <w:tcBorders>
              <w:top w:val="single" w:sz="4" w:space="0" w:color="D2C9B8"/>
              <w:left w:val="single" w:sz="4" w:space="0" w:color="D2C9B8"/>
              <w:bottom w:val="single" w:sz="4" w:space="0" w:color="D2C9B8"/>
              <w:right w:val="single" w:sz="4" w:space="0" w:color="D2C9B8"/>
            </w:tcBorders>
          </w:tcPr>
          <w:p w14:paraId="33C24732" w14:textId="77777777" w:rsidR="005A5FCC" w:rsidRDefault="00A21C81">
            <w:pPr>
              <w:spacing w:before="20" w:after="20" w:line="240" w:lineRule="auto"/>
              <w:jc w:val="left"/>
            </w:pPr>
            <w:r>
              <w:rPr>
                <w:rFonts w:cs="EB Garamond"/>
                <w:kern w:val="16"/>
                <w:sz w:val="18"/>
                <w14:ligatures w14:val="standardContextual"/>
              </w:rPr>
              <w:t>"Tempo de contribuição", vedação tempo fictício, regra de transição proporcional</w:t>
            </w:r>
          </w:p>
        </w:tc>
      </w:tr>
      <w:tr w:rsidR="005A5FCC" w14:paraId="719B5146"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7F53879A" w14:textId="77777777" w:rsidR="005A5FCC" w:rsidRDefault="00A21C81">
            <w:pPr>
              <w:spacing w:before="20" w:after="20" w:line="240" w:lineRule="auto"/>
              <w:jc w:val="left"/>
            </w:pPr>
            <w:r>
              <w:rPr>
                <w:rFonts w:cs="EB Garamond"/>
                <w:kern w:val="16"/>
                <w:sz w:val="18"/>
                <w14:ligatures w14:val="standardContextual"/>
              </w:rPr>
              <w:lastRenderedPageBreak/>
              <w:t>1999-2015</w:t>
            </w:r>
          </w:p>
        </w:tc>
        <w:tc>
          <w:tcPr>
            <w:tcW w:w="2117" w:type="dxa"/>
            <w:tcBorders>
              <w:top w:val="single" w:sz="4" w:space="0" w:color="D2C9B8"/>
              <w:left w:val="single" w:sz="4" w:space="0" w:color="D2C9B8"/>
              <w:bottom w:val="single" w:sz="4" w:space="0" w:color="D2C9B8"/>
              <w:right w:val="single" w:sz="4" w:space="0" w:color="D2C9B8"/>
            </w:tcBorders>
          </w:tcPr>
          <w:p w14:paraId="42862E6F" w14:textId="77777777" w:rsidR="005A5FCC" w:rsidRDefault="00A21C81">
            <w:pPr>
              <w:spacing w:before="20" w:after="20" w:line="240" w:lineRule="auto"/>
              <w:jc w:val="left"/>
            </w:pPr>
            <w:r>
              <w:rPr>
                <w:rFonts w:cs="EB Garamond"/>
                <w:kern w:val="16"/>
                <w:sz w:val="18"/>
                <w14:ligatures w14:val="standardContextual"/>
              </w:rPr>
              <w:t>Lei 9.876/99</w:t>
            </w:r>
          </w:p>
        </w:tc>
        <w:tc>
          <w:tcPr>
            <w:tcW w:w="2117" w:type="dxa"/>
            <w:tcBorders>
              <w:top w:val="single" w:sz="4" w:space="0" w:color="D2C9B8"/>
              <w:left w:val="single" w:sz="4" w:space="0" w:color="D2C9B8"/>
              <w:bottom w:val="single" w:sz="4" w:space="0" w:color="D2C9B8"/>
              <w:right w:val="single" w:sz="4" w:space="0" w:color="D2C9B8"/>
            </w:tcBorders>
          </w:tcPr>
          <w:p w14:paraId="30B02C2C" w14:textId="77777777" w:rsidR="005A5FCC" w:rsidRDefault="00A21C81">
            <w:pPr>
              <w:spacing w:before="20" w:after="20" w:line="240" w:lineRule="auto"/>
              <w:jc w:val="left"/>
            </w:pPr>
            <w:r>
              <w:rPr>
                <w:rFonts w:cs="EB Garamond"/>
                <w:kern w:val="16"/>
                <w:sz w:val="18"/>
                <w14:ligatures w14:val="standardContextual"/>
              </w:rPr>
              <w:t>Fator previdenciário obrigatório na aposentadoria por TC</w:t>
            </w:r>
          </w:p>
        </w:tc>
      </w:tr>
      <w:tr w:rsidR="005A5FCC" w14:paraId="66319F22"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6E89DA98" w14:textId="77777777" w:rsidR="005A5FCC" w:rsidRDefault="00A21C81">
            <w:pPr>
              <w:spacing w:before="20" w:after="20" w:line="240" w:lineRule="auto"/>
              <w:jc w:val="left"/>
            </w:pPr>
            <w:r>
              <w:rPr>
                <w:rFonts w:cs="EB Garamond"/>
                <w:kern w:val="16"/>
                <w:sz w:val="18"/>
                <w14:ligatures w14:val="standardContextual"/>
              </w:rPr>
              <w:t>2015-2019</w:t>
            </w:r>
          </w:p>
        </w:tc>
        <w:tc>
          <w:tcPr>
            <w:tcW w:w="2117" w:type="dxa"/>
            <w:tcBorders>
              <w:top w:val="single" w:sz="4" w:space="0" w:color="D2C9B8"/>
              <w:left w:val="single" w:sz="4" w:space="0" w:color="D2C9B8"/>
              <w:bottom w:val="single" w:sz="4" w:space="0" w:color="D2C9B8"/>
              <w:right w:val="single" w:sz="4" w:space="0" w:color="D2C9B8"/>
            </w:tcBorders>
          </w:tcPr>
          <w:p w14:paraId="3993F646" w14:textId="77777777" w:rsidR="005A5FCC" w:rsidRDefault="00A21C81">
            <w:pPr>
              <w:spacing w:before="20" w:after="20" w:line="240" w:lineRule="auto"/>
              <w:jc w:val="left"/>
            </w:pPr>
            <w:r>
              <w:rPr>
                <w:rFonts w:cs="EB Garamond"/>
                <w:kern w:val="16"/>
                <w:sz w:val="18"/>
                <w14:ligatures w14:val="standardContextual"/>
              </w:rPr>
              <w:t>Lei 13.183/15</w:t>
            </w:r>
          </w:p>
        </w:tc>
        <w:tc>
          <w:tcPr>
            <w:tcW w:w="2117" w:type="dxa"/>
            <w:tcBorders>
              <w:top w:val="single" w:sz="4" w:space="0" w:color="D2C9B8"/>
              <w:left w:val="single" w:sz="4" w:space="0" w:color="D2C9B8"/>
              <w:bottom w:val="single" w:sz="4" w:space="0" w:color="D2C9B8"/>
              <w:right w:val="single" w:sz="4" w:space="0" w:color="D2C9B8"/>
            </w:tcBorders>
          </w:tcPr>
          <w:p w14:paraId="7C5BBB69" w14:textId="77777777" w:rsidR="005A5FCC" w:rsidRDefault="00A21C81">
            <w:pPr>
              <w:spacing w:before="20" w:after="20" w:line="240" w:lineRule="auto"/>
              <w:jc w:val="left"/>
            </w:pPr>
            <w:r>
              <w:rPr>
                <w:rFonts w:cs="EB Garamond"/>
                <w:kern w:val="16"/>
                <w:sz w:val="18"/>
                <w14:ligatures w14:val="standardContextual"/>
              </w:rPr>
              <w:t>Regra 85/95 alternativa (afasta fator se atingir pontos)</w:t>
            </w:r>
          </w:p>
        </w:tc>
      </w:tr>
      <w:tr w:rsidR="005A5FCC" w14:paraId="4208E036"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18B2BC16" w14:textId="77777777" w:rsidR="005A5FCC" w:rsidRDefault="00A21C81">
            <w:pPr>
              <w:spacing w:before="20" w:after="20" w:line="240" w:lineRule="auto"/>
              <w:jc w:val="left"/>
            </w:pPr>
            <w:r>
              <w:rPr>
                <w:rFonts w:cs="EB Garamond"/>
                <w:kern w:val="16"/>
                <w:sz w:val="18"/>
                <w14:ligatures w14:val="standardContextual"/>
              </w:rPr>
              <w:t>2019+</w:t>
            </w:r>
          </w:p>
        </w:tc>
        <w:tc>
          <w:tcPr>
            <w:tcW w:w="2117" w:type="dxa"/>
            <w:tcBorders>
              <w:top w:val="single" w:sz="4" w:space="0" w:color="D2C9B8"/>
              <w:left w:val="single" w:sz="4" w:space="0" w:color="D2C9B8"/>
              <w:bottom w:val="single" w:sz="4" w:space="0" w:color="D2C9B8"/>
              <w:right w:val="single" w:sz="4" w:space="0" w:color="D2C9B8"/>
            </w:tcBorders>
          </w:tcPr>
          <w:p w14:paraId="1BE65E94" w14:textId="77777777" w:rsidR="005A5FCC" w:rsidRDefault="00A21C81">
            <w:pPr>
              <w:spacing w:before="20" w:after="20" w:line="240" w:lineRule="auto"/>
              <w:jc w:val="left"/>
            </w:pPr>
            <w:r>
              <w:rPr>
                <w:rFonts w:cs="EB Garamond"/>
                <w:kern w:val="16"/>
                <w:sz w:val="18"/>
                <w14:ligatures w14:val="standardContextual"/>
              </w:rPr>
              <w:t>EC 103/19</w:t>
            </w:r>
          </w:p>
        </w:tc>
        <w:tc>
          <w:tcPr>
            <w:tcW w:w="2117" w:type="dxa"/>
            <w:tcBorders>
              <w:top w:val="single" w:sz="4" w:space="0" w:color="D2C9B8"/>
              <w:left w:val="single" w:sz="4" w:space="0" w:color="D2C9B8"/>
              <w:bottom w:val="single" w:sz="4" w:space="0" w:color="D2C9B8"/>
              <w:right w:val="single" w:sz="4" w:space="0" w:color="D2C9B8"/>
            </w:tcBorders>
          </w:tcPr>
          <w:p w14:paraId="6FC70B49" w14:textId="77777777" w:rsidR="005A5FCC" w:rsidRDefault="00A21C81">
            <w:pPr>
              <w:spacing w:before="20" w:after="20" w:line="240" w:lineRule="auto"/>
              <w:jc w:val="left"/>
            </w:pPr>
            <w:r>
              <w:rPr>
                <w:rFonts w:cs="EB Garamond"/>
                <w:kern w:val="16"/>
                <w:sz w:val="18"/>
                <w14:ligatures w14:val="standardContextual"/>
              </w:rPr>
              <w:t>Extinção da aposentadoria por TC para novos filiados; 4 regras de transição</w:t>
            </w:r>
          </w:p>
        </w:tc>
      </w:tr>
    </w:tbl>
    <w:p w14:paraId="698E58A6" w14:textId="77777777" w:rsidR="005A5FCC" w:rsidRDefault="005A5FCC">
      <w:pPr>
        <w:spacing w:after="80" w:line="240" w:lineRule="auto"/>
      </w:pPr>
    </w:p>
    <w:p w14:paraId="14EBBAC3"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11.3 Direito adquirido à regra anterior (art. 3º, EC 103/2019)</w:t>
      </w:r>
    </w:p>
    <w:p w14:paraId="3268983E" w14:textId="77777777" w:rsidR="005A5FCC" w:rsidRDefault="00A21C81">
      <w:pPr>
        <w:spacing w:before="260" w:after="80" w:line="240" w:lineRule="auto"/>
        <w:jc w:val="left"/>
      </w:pPr>
      <w:r>
        <w:rPr>
          <w:rFonts w:cs="EB Garamond"/>
          <w:b/>
          <w:color w:val="3A3128"/>
          <w:kern w:val="16"/>
          <w:sz w:val="25"/>
          <w14:ligatures w14:val="standardContextual"/>
        </w:rPr>
        <w:t>11.3.1 Fundamento constitucional</w:t>
      </w:r>
    </w:p>
    <w:p w14:paraId="71A54E59"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6DBBA5A3" w14:textId="77777777" w:rsidR="005A5FCC" w:rsidRDefault="00A21C81">
      <w:r>
        <w:rPr>
          <w:rFonts w:cs="EB Garamond"/>
          <w:kern w:val="16"/>
          <w14:ligatures w14:val="standardContextual"/>
        </w:rPr>
        <w:t xml:space="preserve"> art. 3º da EC 103/2019 expressamente preserva o direito adquirido dos segurados que implementaram os requisitos para qualquer modalidade de aposentadoria prevista na legislação anterior até a data de entrada em vigor da Emenda (13/11/2019). Essa preservação decorre diretamente do art. 5º, XXXVI, da CF/88 (proteção ao direito adquirido) e do princípio tempus regit actum.</w:t>
      </w:r>
    </w:p>
    <w:p w14:paraId="52CE616A" w14:textId="77777777" w:rsidR="005A5FCC" w:rsidRDefault="00A21C81">
      <w:pPr>
        <w:ind w:firstLine="238"/>
      </w:pPr>
      <w:r>
        <w:rPr>
          <w:rFonts w:cs="EB Garamond"/>
          <w:kern w:val="16"/>
          <w14:ligatures w14:val="standardContextual"/>
        </w:rPr>
        <w:t>Para a aposentadoria por tempo de contribuição, o direito adquirido se configura quando o segurado, até 12/11/2019 (último dia antes da EC 103), completou:</w:t>
      </w:r>
    </w:p>
    <w:p w14:paraId="527BFB72" w14:textId="77777777" w:rsidR="005A5FCC" w:rsidRDefault="00A21C81">
      <w:pPr>
        <w:ind w:firstLine="238"/>
      </w:pPr>
      <w:r>
        <w:rPr>
          <w:rFonts w:cs="EB Garamond"/>
          <w:b/>
          <w:kern w:val="16"/>
          <w14:ligatures w14:val="standardContextual"/>
        </w:rPr>
        <w:t>a) Aposentadoria por TC integral (regra anterior):</w:t>
      </w:r>
      <w:r>
        <w:rPr>
          <w:rFonts w:cs="EB Garamond"/>
          <w:kern w:val="16"/>
          <w14:ligatures w14:val="standardContextual"/>
        </w:rPr>
        <w:t xml:space="preserve"> 35 anos de contribuição (homem) ou 30 anos (mulher), sem exigência de idade mínima. O cálculo se dá pela média dos 80% maiores salários de contribuição desde julho/1994, com aplicação obrigatória do fator previdenciário.</w:t>
      </w:r>
    </w:p>
    <w:p w14:paraId="796A1961" w14:textId="77777777" w:rsidR="005A5FCC" w:rsidRDefault="00A21C81">
      <w:pPr>
        <w:ind w:firstLine="238"/>
      </w:pPr>
      <w:r>
        <w:rPr>
          <w:rFonts w:cs="EB Garamond"/>
          <w:b/>
          <w:kern w:val="16"/>
          <w14:ligatures w14:val="standardContextual"/>
        </w:rPr>
        <w:t>b) Aposentadoria por TC com regra 85/95 (Lei 13.183/2015):</w:t>
      </w:r>
      <w:r>
        <w:rPr>
          <w:rFonts w:cs="EB Garamond"/>
          <w:kern w:val="16"/>
          <w14:ligatures w14:val="standardContextual"/>
        </w:rPr>
        <w:t xml:space="preserve"> 35H/30M anos de TC + pontuação mínima de 96H/86M (em 2019). O fator </w:t>
      </w:r>
      <w:r>
        <w:rPr>
          <w:rFonts w:cs="EB Garamond"/>
          <w:kern w:val="16"/>
          <w14:ligatures w14:val="standardContextual"/>
        </w:rPr>
        <w:lastRenderedPageBreak/>
        <w:t>previdenciário é afastado e o benefício corresponde a 100% do salário de benefício (média dos 80% maiores SC).</w:t>
      </w:r>
    </w:p>
    <w:p w14:paraId="765C9DB0" w14:textId="77777777" w:rsidR="005A5FCC" w:rsidRDefault="00A21C81">
      <w:pPr>
        <w:ind w:firstLine="238"/>
      </w:pPr>
      <w:r>
        <w:rPr>
          <w:rFonts w:cs="EB Garamond"/>
          <w:b/>
          <w:kern w:val="16"/>
          <w14:ligatures w14:val="standardContextual"/>
        </w:rPr>
        <w:t>c) Aposentadoria proporcional (EC 20/98):</w:t>
      </w:r>
      <w:r>
        <w:rPr>
          <w:rFonts w:cs="EB Garamond"/>
          <w:kern w:val="16"/>
          <w14:ligatures w14:val="standardContextual"/>
        </w:rPr>
        <w:t xml:space="preserve"> 30/25 anos de TC + idade mínima 53/48 + pedágio de 40% do tempo que faltava em 16/12/1998. Benefício: 70% do SB + 5% por ano adicional.</w:t>
      </w:r>
    </w:p>
    <w:tbl>
      <w:tblPr>
        <w:tblW w:w="5000" w:type="pct"/>
        <w:jc w:val="center"/>
        <w:tblLayout w:type="fixed"/>
        <w:tblLook w:val="04A0" w:firstRow="1" w:lastRow="0" w:firstColumn="1" w:lastColumn="0" w:noHBand="0" w:noVBand="1"/>
      </w:tblPr>
      <w:tblGrid>
        <w:gridCol w:w="6311"/>
      </w:tblGrid>
      <w:tr w:rsidR="005A5FCC" w14:paraId="5886EA03"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5A1A6817" w14:textId="77777777" w:rsidR="005A5FCC" w:rsidRDefault="00A21C81">
            <w:pPr>
              <w:spacing w:after="60" w:line="240" w:lineRule="auto"/>
              <w:jc w:val="left"/>
            </w:pPr>
            <w:r>
              <w:rPr>
                <w:rFonts w:ascii="Noto Sans" w:hAnsi="Noto Sans" w:cs="Noto Sans"/>
                <w:b/>
                <w:caps/>
                <w:color w:val="4D6F8A"/>
                <w:kern w:val="16"/>
                <w:sz w:val="16"/>
                <w14:ligatures w14:val="standardContextual"/>
              </w:rPr>
              <w:t>JURISPRUDÊNCIA EM DESTAQUE</w:t>
            </w:r>
          </w:p>
          <w:p w14:paraId="42181DA3" w14:textId="77777777" w:rsidR="005A5FCC" w:rsidRDefault="00A21C81">
            <w:pPr>
              <w:spacing w:after="60" w:line="247" w:lineRule="auto"/>
            </w:pPr>
            <w:r>
              <w:rPr>
                <w:rFonts w:cs="EB Garamond"/>
                <w:b/>
                <w:kern w:val="16"/>
                <w:sz w:val="19"/>
                <w14:ligatures w14:val="standardContextual"/>
              </w:rPr>
              <w:t>Direito adquirido — Aplicação do princípio tempus regit actum</w:t>
            </w:r>
          </w:p>
          <w:p w14:paraId="3235C38B" w14:textId="77777777" w:rsidR="005A5FCC" w:rsidRDefault="00A21C81">
            <w:pPr>
              <w:spacing w:after="60" w:line="247" w:lineRule="auto"/>
            </w:pPr>
            <w:r>
              <w:rPr>
                <w:rFonts w:cs="EB Garamond"/>
                <w:kern w:val="16"/>
                <w:sz w:val="19"/>
                <w14:ligatures w14:val="standardContextual"/>
              </w:rPr>
              <w:t>O STF e o STJ reiteradamente reconhecem que o segurado que implementa os requisitos para a aposentadoria sob determinada legislação tem direito adquirido à concessão segundo as regras vigentes naquele momento, mesmo que requeira o benefício em data posterior. Esse entendimento foi reafirmado pelo art. 3º da EC 103/2019 e constitui garantia fundamental do sistema previdenciário.</w:t>
            </w:r>
          </w:p>
          <w:p w14:paraId="539B705B" w14:textId="77777777" w:rsidR="005A5FCC" w:rsidRDefault="00A21C81">
            <w:pPr>
              <w:spacing w:after="60" w:line="247" w:lineRule="auto"/>
            </w:pPr>
            <w:r>
              <w:rPr>
                <w:rFonts w:cs="EB Garamond"/>
                <w:kern w:val="16"/>
                <w:sz w:val="19"/>
                <w14:ligatures w14:val="standardContextual"/>
              </w:rPr>
              <w:t>Na prática, significa que um segurado que completou 35 anos de TC em outubro de 2019 (antes da EC 103) pode requerer a aposentadoria em 2026 e terá o benefício calculado pela regra antiga — média dos 80% maiores salários, com aplicação do fator previdenciário (ou pela regra 85/95, se atingiu os pontos). A data de implementação dos requisitos é o marco; a data do requerimento é irrelevante para a escolha da regra.</w:t>
            </w:r>
          </w:p>
          <w:p w14:paraId="0D322A21" w14:textId="77777777" w:rsidR="005A5FCC" w:rsidRDefault="00A21C81">
            <w:pPr>
              <w:spacing w:after="60" w:line="247" w:lineRule="auto"/>
            </w:pPr>
            <w:r>
              <w:rPr>
                <w:rFonts w:cs="EB Garamond"/>
                <w:b/>
                <w:kern w:val="16"/>
                <w:sz w:val="19"/>
                <w14:ligatures w14:val="standardContextual"/>
              </w:rPr>
              <w:t>Atenção:</w:t>
            </w:r>
            <w:r>
              <w:rPr>
                <w:rFonts w:cs="EB Garamond"/>
                <w:kern w:val="16"/>
                <w:sz w:val="19"/>
                <w14:ligatures w14:val="standardContextual"/>
              </w:rPr>
              <w:t xml:space="preserve"> O direito adquirido refere-se aos requisitos e ao cálculo, mas a DIB será fixada na data do requerimento administrativo (ou da reafirmação da DER, se aplicável, seção 10.8).</w:t>
            </w:r>
          </w:p>
        </w:tc>
      </w:tr>
    </w:tbl>
    <w:p w14:paraId="4ACC4D81" w14:textId="77777777" w:rsidR="005A5FCC" w:rsidRDefault="005A5FCC">
      <w:pPr>
        <w:spacing w:after="80" w:line="240" w:lineRule="auto"/>
      </w:pPr>
    </w:p>
    <w:p w14:paraId="1AC63498" w14:textId="77777777" w:rsidR="005A5FCC" w:rsidRDefault="00A21C81">
      <w:pPr>
        <w:spacing w:before="260" w:after="80" w:line="240" w:lineRule="auto"/>
        <w:jc w:val="left"/>
      </w:pPr>
      <w:r>
        <w:rPr>
          <w:rFonts w:cs="EB Garamond"/>
          <w:b/>
          <w:color w:val="3A3128"/>
          <w:kern w:val="16"/>
          <w:sz w:val="25"/>
          <w14:ligatures w14:val="standardContextual"/>
        </w:rPr>
        <w:t>11.3.2 Identificação prática do direito adquirido</w:t>
      </w:r>
    </w:p>
    <w:p w14:paraId="40DC5FD2"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6154C265" w14:textId="77777777" w:rsidR="005A5FCC" w:rsidRDefault="00A21C81">
      <w:r>
        <w:rPr>
          <w:rFonts w:cs="EB Garamond"/>
          <w:kern w:val="16"/>
          <w14:ligatures w14:val="standardContextual"/>
        </w:rPr>
        <w:t xml:space="preserve"> advogado deve verificar, para cada cliente:</w:t>
      </w:r>
    </w:p>
    <w:p w14:paraId="0BB284FF" w14:textId="77777777" w:rsidR="005A5FCC" w:rsidRDefault="00A21C81">
      <w:pPr>
        <w:spacing w:after="40" w:line="252" w:lineRule="auto"/>
        <w:ind w:left="340" w:hanging="198"/>
      </w:pPr>
      <w:r>
        <w:rPr>
          <w:rFonts w:cs="EB Garamond"/>
          <w:color w:val="3A3128"/>
          <w:kern w:val="16"/>
          <w:sz w:val="20"/>
          <w14:ligatures w14:val="standardContextual"/>
        </w:rPr>
        <w:t xml:space="preserve">1. </w:t>
      </w:r>
      <w:r>
        <w:rPr>
          <w:rFonts w:cs="EB Garamond"/>
          <w:b/>
          <w:kern w:val="16"/>
          <w:sz w:val="20"/>
          <w14:ligatures w14:val="standardContextual"/>
        </w:rPr>
        <w:t>Data da primeira filiação ao RGPS:</w:t>
      </w:r>
      <w:r>
        <w:rPr>
          <w:rFonts w:cs="EB Garamond"/>
          <w:kern w:val="16"/>
          <w:sz w:val="20"/>
          <w14:ligatures w14:val="standardContextual"/>
        </w:rPr>
        <w:t xml:space="preserve"> Determina se o segurado é "pré-EC 103" (filiado antes de 13/11/2019).</w:t>
      </w:r>
    </w:p>
    <w:p w14:paraId="5AA4D81E" w14:textId="77777777" w:rsidR="005A5FCC" w:rsidRDefault="00A21C81">
      <w:pPr>
        <w:spacing w:after="40" w:line="252" w:lineRule="auto"/>
        <w:ind w:left="340" w:hanging="198"/>
      </w:pPr>
      <w:r>
        <w:rPr>
          <w:rFonts w:cs="EB Garamond"/>
          <w:color w:val="3A3128"/>
          <w:kern w:val="16"/>
          <w:sz w:val="20"/>
          <w14:ligatures w14:val="standardContextual"/>
        </w:rPr>
        <w:t xml:space="preserve">2. </w:t>
      </w:r>
      <w:r>
        <w:rPr>
          <w:rFonts w:cs="EB Garamond"/>
          <w:b/>
          <w:kern w:val="16"/>
          <w:sz w:val="20"/>
          <w14:ligatures w14:val="standardContextual"/>
        </w:rPr>
        <w:t>TC acumulado até 12/11/2019:</w:t>
      </w:r>
      <w:r>
        <w:rPr>
          <w:rFonts w:cs="EB Garamond"/>
          <w:kern w:val="16"/>
          <w:sz w:val="20"/>
          <w14:ligatures w14:val="standardContextual"/>
        </w:rPr>
        <w:t xml:space="preserve"> Se o segurado tinha 35H/30M anos de TC nessa data, tem direito adquirido à aposentadoria por TC integral pela regra anterior.</w:t>
      </w:r>
    </w:p>
    <w:p w14:paraId="0103DA8F" w14:textId="77777777" w:rsidR="005A5FCC" w:rsidRDefault="00A21C81">
      <w:pPr>
        <w:spacing w:after="40" w:line="252" w:lineRule="auto"/>
        <w:ind w:left="340" w:hanging="198"/>
      </w:pPr>
      <w:r>
        <w:rPr>
          <w:rFonts w:cs="EB Garamond"/>
          <w:color w:val="3A3128"/>
          <w:kern w:val="16"/>
          <w:sz w:val="20"/>
          <w14:ligatures w14:val="standardContextual"/>
        </w:rPr>
        <w:t xml:space="preserve">3. </w:t>
      </w:r>
      <w:r>
        <w:rPr>
          <w:rFonts w:cs="EB Garamond"/>
          <w:b/>
          <w:kern w:val="16"/>
          <w:sz w:val="20"/>
          <w14:ligatures w14:val="standardContextual"/>
        </w:rPr>
        <w:t>Pontuação em 12/11/2019:</w:t>
      </w:r>
      <w:r>
        <w:rPr>
          <w:rFonts w:cs="EB Garamond"/>
          <w:kern w:val="16"/>
          <w:sz w:val="20"/>
          <w14:ligatures w14:val="standardContextual"/>
        </w:rPr>
        <w:t xml:space="preserve"> Se o segurado tinha 96H/86M pontos (idade + TC) + 35H/30M anos TC, tem direito adquirido à regra 85/95 (sem fator previdenciário).</w:t>
      </w:r>
    </w:p>
    <w:p w14:paraId="0BE44365" w14:textId="77777777" w:rsidR="005A5FCC" w:rsidRDefault="00A21C81">
      <w:pPr>
        <w:spacing w:after="40" w:line="252" w:lineRule="auto"/>
        <w:ind w:left="340" w:hanging="198"/>
      </w:pPr>
      <w:r>
        <w:rPr>
          <w:rFonts w:cs="EB Garamond"/>
          <w:color w:val="3A3128"/>
          <w:kern w:val="16"/>
          <w:sz w:val="20"/>
          <w14:ligatures w14:val="standardContextual"/>
        </w:rPr>
        <w:lastRenderedPageBreak/>
        <w:t xml:space="preserve">4. </w:t>
      </w:r>
      <w:r>
        <w:rPr>
          <w:rFonts w:cs="EB Garamond"/>
          <w:b/>
          <w:kern w:val="16"/>
          <w:sz w:val="20"/>
          <w14:ligatures w14:val="standardContextual"/>
        </w:rPr>
        <w:t>Requisitos da EC 20/98:</w:t>
      </w:r>
      <w:r>
        <w:rPr>
          <w:rFonts w:cs="EB Garamond"/>
          <w:kern w:val="16"/>
          <w:sz w:val="20"/>
          <w14:ligatures w14:val="standardContextual"/>
        </w:rPr>
        <w:t xml:space="preserve"> Se o segurado tinha 53H/48M anos + 30H/25M TC + pedágio 40% em 12/11/2019, tem direito adquirido à aposentadoria proporcional.</w:t>
      </w:r>
    </w:p>
    <w:p w14:paraId="4EFA29F2" w14:textId="77777777" w:rsidR="005A5FCC" w:rsidRDefault="005A5FCC">
      <w:pPr>
        <w:spacing w:after="60" w:line="240" w:lineRule="auto"/>
      </w:pPr>
    </w:p>
    <w:tbl>
      <w:tblPr>
        <w:tblW w:w="5000" w:type="pct"/>
        <w:jc w:val="center"/>
        <w:tblLayout w:type="fixed"/>
        <w:tblLook w:val="04A0" w:firstRow="1" w:lastRow="0" w:firstColumn="1" w:lastColumn="0" w:noHBand="0" w:noVBand="1"/>
      </w:tblPr>
      <w:tblGrid>
        <w:gridCol w:w="6311"/>
      </w:tblGrid>
      <w:tr w:rsidR="005A5FCC" w14:paraId="1112F0C0"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6E280D5A"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11953587" w14:textId="77777777" w:rsidR="005A5FCC" w:rsidRDefault="00A21C81">
            <w:pPr>
              <w:spacing w:after="60" w:line="247" w:lineRule="auto"/>
            </w:pPr>
            <w:r>
              <w:rPr>
                <w:rFonts w:cs="EB Garamond"/>
                <w:b/>
                <w:kern w:val="16"/>
                <w:sz w:val="19"/>
                <w14:ligatures w14:val="standardContextual"/>
              </w:rPr>
              <w:t>Exemplo — Identificação de direito adquirido</w:t>
            </w:r>
          </w:p>
          <w:p w14:paraId="24332B06" w14:textId="77777777" w:rsidR="005A5FCC" w:rsidRDefault="00A21C81">
            <w:pPr>
              <w:spacing w:after="60" w:line="247" w:lineRule="auto"/>
            </w:pPr>
            <w:r>
              <w:rPr>
                <w:rFonts w:cs="EB Garamond"/>
                <w:b/>
                <w:kern w:val="16"/>
                <w:sz w:val="19"/>
                <w14:ligatures w14:val="standardContextual"/>
              </w:rPr>
              <w:t>Roberto</w:t>
            </w:r>
            <w:r>
              <w:rPr>
                <w:rFonts w:cs="EB Garamond"/>
                <w:kern w:val="16"/>
                <w:sz w:val="19"/>
                <w14:ligatures w14:val="standardContextual"/>
              </w:rPr>
              <w:t>, 64 anos em 2026, filiado ao RGPS em 1984. Em 12/11/2019, Roberto tinha: - Idade: 57 anos - TC: 35 anos (1984-2019) - Pontos: 57 + 35 = 92</w:t>
            </w:r>
          </w:p>
          <w:p w14:paraId="5A065ABF" w14:textId="77777777" w:rsidR="005A5FCC" w:rsidRDefault="00A21C81">
            <w:pPr>
              <w:spacing w:after="60" w:line="247" w:lineRule="auto"/>
            </w:pPr>
            <w:r>
              <w:rPr>
                <w:rFonts w:cs="EB Garamond"/>
                <w:b/>
                <w:kern w:val="16"/>
                <w:sz w:val="19"/>
                <w14:ligatures w14:val="standardContextual"/>
              </w:rPr>
              <w:t>Verificação:</w:t>
            </w:r>
            <w:r>
              <w:rPr>
                <w:rFonts w:cs="EB Garamond"/>
                <w:kern w:val="16"/>
                <w:sz w:val="19"/>
                <w14:ligatures w14:val="standardContextual"/>
              </w:rPr>
              <w:t xml:space="preserve"> - Aposentadoria por TC integral (regra anterior): 35 anos TC ✅ → </w:t>
            </w:r>
            <w:r>
              <w:rPr>
                <w:rFonts w:cs="EB Garamond"/>
                <w:b/>
                <w:kern w:val="16"/>
                <w:sz w:val="19"/>
                <w14:ligatures w14:val="standardContextual"/>
              </w:rPr>
              <w:t>tem direito adquirido</w:t>
            </w:r>
            <w:r>
              <w:rPr>
                <w:rFonts w:cs="EB Garamond"/>
                <w:kern w:val="16"/>
                <w:sz w:val="19"/>
                <w14:ligatures w14:val="standardContextual"/>
              </w:rPr>
              <w:t xml:space="preserve"> - Regra 85/95: pontuação em 2019 = 92 ≥ 96? Não (92 &lt; 96) → </w:t>
            </w:r>
            <w:r>
              <w:rPr>
                <w:rFonts w:cs="EB Garamond"/>
                <w:b/>
                <w:kern w:val="16"/>
                <w:sz w:val="19"/>
                <w14:ligatures w14:val="standardContextual"/>
              </w:rPr>
              <w:t>não tem direito adquirido à regra 85/95</w:t>
            </w:r>
            <w:r>
              <w:rPr>
                <w:rFonts w:cs="EB Garamond"/>
                <w:kern w:val="16"/>
                <w:sz w:val="19"/>
                <w14:ligatures w14:val="standardContextual"/>
              </w:rPr>
              <w:t xml:space="preserve"> - Conclusão: Roberto tem direito adquirido à aposentadoria por TC com fator previdenciário.</w:t>
            </w:r>
          </w:p>
          <w:p w14:paraId="40D43BDC" w14:textId="77777777" w:rsidR="005A5FCC" w:rsidRDefault="00A21C81">
            <w:pPr>
              <w:spacing w:after="60" w:line="247" w:lineRule="auto"/>
            </w:pPr>
            <w:r>
              <w:rPr>
                <w:rFonts w:cs="EB Garamond"/>
                <w:b/>
                <w:kern w:val="16"/>
                <w:sz w:val="19"/>
                <w14:ligatures w14:val="standardContextual"/>
              </w:rPr>
              <w:t>Cálculo do fator em 2019 (se tivesse requerido):</w:t>
            </w:r>
            <w:r>
              <w:rPr>
                <w:rFonts w:cs="EB Garamond"/>
                <w:kern w:val="16"/>
                <w:sz w:val="19"/>
                <w14:ligatures w14:val="standardContextual"/>
              </w:rPr>
              <w:t xml:space="preserve"> - Tc = 35, Id = 57, Es ≈ 24,0 anos (tabela IBGE 2019) - f = (35 × 0,31 / 24,0) × [1 + (57 + 35 × 0,31) / 100] - f = (10,85 / 24,0) × [1 + (57 + 10,85) / 100] - f = 0,4521 × 1,6785 = </w:t>
            </w:r>
            <w:r>
              <w:rPr>
                <w:rFonts w:cs="EB Garamond"/>
                <w:b/>
                <w:kern w:val="16"/>
                <w:sz w:val="19"/>
                <w14:ligatures w14:val="standardContextual"/>
              </w:rPr>
              <w:t>0,759</w:t>
            </w:r>
            <w:r>
              <w:rPr>
                <w:rFonts w:cs="EB Garamond"/>
                <w:kern w:val="16"/>
                <w:sz w:val="19"/>
                <w14:ligatures w14:val="standardContextual"/>
              </w:rPr>
              <w:t xml:space="preserve"> - Média 80% maiores: R$ 5.800,00 → RMI = R$ 5.800 × 0,759 = </w:t>
            </w:r>
            <w:r>
              <w:rPr>
                <w:rFonts w:cs="EB Garamond"/>
                <w:b/>
                <w:kern w:val="16"/>
                <w:sz w:val="19"/>
                <w14:ligatures w14:val="standardContextual"/>
              </w:rPr>
              <w:t>R$ 4.402,20</w:t>
            </w:r>
          </w:p>
          <w:p w14:paraId="29094509" w14:textId="77777777" w:rsidR="005A5FCC" w:rsidRDefault="00A21C81">
            <w:pPr>
              <w:spacing w:after="60" w:line="247" w:lineRule="auto"/>
            </w:pPr>
            <w:r>
              <w:rPr>
                <w:rFonts w:cs="EB Garamond"/>
                <w:b/>
                <w:kern w:val="16"/>
                <w:sz w:val="19"/>
                <w14:ligatures w14:val="standardContextual"/>
              </w:rPr>
              <w:t>Se Roberto requerer agora (2026), com 42 anos de TC e 64 anos de idade:</w:t>
            </w:r>
            <w:r>
              <w:rPr>
                <w:rFonts w:cs="EB Garamond"/>
                <w:kern w:val="16"/>
                <w:sz w:val="19"/>
                <w14:ligatures w14:val="standardContextual"/>
              </w:rPr>
              <w:t xml:space="preserve"> - Pode exercer o direito adquirido (regra anterior com fator), OU - Pode optar por regra de transição (art. 15, 16, 17 ou 20) - O fator em 2026: Tc=42, Id=64, Es≈19,0 (tabela IBGE 2024) → f ≈ 0,684 × 1,770 = </w:t>
            </w:r>
            <w:r>
              <w:rPr>
                <w:rFonts w:cs="EB Garamond"/>
                <w:b/>
                <w:kern w:val="16"/>
                <w:sz w:val="19"/>
                <w14:ligatures w14:val="standardContextual"/>
              </w:rPr>
              <w:t>1,211</w:t>
            </w:r>
            <w:r>
              <w:rPr>
                <w:rFonts w:cs="EB Garamond"/>
                <w:kern w:val="16"/>
                <w:sz w:val="19"/>
                <w14:ligatures w14:val="standardContextual"/>
              </w:rPr>
              <w:t xml:space="preserve"> (fator &gt; 1!) - RMI direito adquirido: R$ 5.800 × 1,211 = </w:t>
            </w:r>
            <w:r>
              <w:rPr>
                <w:rFonts w:cs="EB Garamond"/>
                <w:b/>
                <w:kern w:val="16"/>
                <w:sz w:val="19"/>
                <w14:ligatures w14:val="standardContextual"/>
              </w:rPr>
              <w:t>R$ 7.023,80</w:t>
            </w:r>
            <w:r>
              <w:rPr>
                <w:rFonts w:cs="EB Garamond"/>
                <w:kern w:val="16"/>
                <w:sz w:val="19"/>
                <w14:ligatures w14:val="standardContextual"/>
              </w:rPr>
              <w:t xml:space="preserve"> (limitado ao teto RGPS R$ 8.475,55) - RMI art. 15: R$ 5.100 (média 100%) × (60% + 2%×22) = R$ 5.100 × 104% = </w:t>
            </w:r>
            <w:r>
              <w:rPr>
                <w:rFonts w:cs="EB Garamond"/>
                <w:b/>
                <w:kern w:val="16"/>
                <w:sz w:val="19"/>
                <w14:ligatures w14:val="standardContextual"/>
              </w:rPr>
              <w:t>R$ 5.304,00</w:t>
            </w:r>
            <w:r>
              <w:rPr>
                <w:rFonts w:cs="EB Garamond"/>
                <w:kern w:val="16"/>
                <w:sz w:val="19"/>
                <w14:ligatures w14:val="standardContextual"/>
              </w:rPr>
              <w:t xml:space="preserve"> - </w:t>
            </w:r>
            <w:r>
              <w:rPr>
                <w:rFonts w:cs="EB Garamond"/>
                <w:b/>
                <w:kern w:val="16"/>
                <w:sz w:val="19"/>
                <w14:ligatures w14:val="standardContextual"/>
              </w:rPr>
              <w:t>O direito adquirido com fator é mais vantajoso</w:t>
            </w:r>
            <w:r>
              <w:rPr>
                <w:rFonts w:cs="EB Garamond"/>
                <w:kern w:val="16"/>
                <w:sz w:val="19"/>
                <w14:ligatures w14:val="standardContextual"/>
              </w:rPr>
              <w:t xml:space="preserve"> porque Roberto tem 64 anos e 42 anos de TC, gerando fator &gt; 1,0.</w:t>
            </w:r>
          </w:p>
          <w:p w14:paraId="63AA2323" w14:textId="77777777" w:rsidR="005A5FCC" w:rsidRDefault="00A21C81">
            <w:pPr>
              <w:spacing w:after="60" w:line="247" w:lineRule="auto"/>
            </w:pPr>
            <w:r>
              <w:rPr>
                <w:rFonts w:cs="EB Garamond"/>
                <w:b/>
                <w:kern w:val="16"/>
                <w:sz w:val="19"/>
                <w14:ligatures w14:val="standardContextual"/>
              </w:rPr>
              <w:t>Lição:</w:t>
            </w:r>
            <w:r>
              <w:rPr>
                <w:rFonts w:cs="EB Garamond"/>
                <w:kern w:val="16"/>
                <w:sz w:val="19"/>
                <w14:ligatures w14:val="standardContextual"/>
              </w:rPr>
              <w:t xml:space="preserve"> O direito adquirido pode ser exercido a qualquer tempo. Esperar mais anos pode torná-lo ainda mais vantajoso quando o fator previdenciário supera 1,0, mas o segurado perde meses de benefício enquanto espera.</w:t>
            </w:r>
          </w:p>
        </w:tc>
      </w:tr>
    </w:tbl>
    <w:p w14:paraId="1EAAB2F8" w14:textId="77777777" w:rsidR="005A5FCC" w:rsidRDefault="005A5FCC">
      <w:pPr>
        <w:spacing w:after="80" w:line="240" w:lineRule="auto"/>
      </w:pPr>
    </w:p>
    <w:p w14:paraId="15A096EF"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11.4 Regra de transição por pontos — art. 15, EC 103/2019</w:t>
      </w:r>
    </w:p>
    <w:p w14:paraId="4CCB0333" w14:textId="77777777" w:rsidR="005A5FCC" w:rsidRDefault="00A21C81">
      <w:pPr>
        <w:spacing w:before="260" w:after="80" w:line="240" w:lineRule="auto"/>
        <w:jc w:val="left"/>
      </w:pPr>
      <w:r>
        <w:rPr>
          <w:rFonts w:cs="EB Garamond"/>
          <w:b/>
          <w:color w:val="3A3128"/>
          <w:kern w:val="16"/>
          <w:sz w:val="25"/>
          <w14:ligatures w14:val="standardContextual"/>
        </w:rPr>
        <w:t>11.4.1 Conceito e requisitos</w:t>
      </w:r>
    </w:p>
    <w:p w14:paraId="23469418"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D</w:t>
      </w:r>
    </w:p>
    <w:p w14:paraId="65AC2B04" w14:textId="6CA050B4" w:rsidR="005A5FCC" w:rsidRDefault="00A21C81">
      <w:r>
        <w:rPr>
          <w:rFonts w:cs="EB Garamond"/>
          <w:kern w:val="16"/>
          <w14:ligatures w14:val="standardContextual"/>
        </w:rPr>
        <w:t xml:space="preserve">as quatro regras de transição, a de pontos (art. 15) é a que atinge o maior número de segurados. O mecanismo é direto: soma-se a idade ao tempo de contribuição, e o resultado deve atingir a pontuação mínima do ano de requerimento. Herdeira da regra 85/95, dela se distingue por uma diferença crucial: os pontos aqui são </w:t>
      </w:r>
      <w:r w:rsidR="006B5F6C">
        <w:rPr>
          <w:rFonts w:cs="EB Garamond"/>
          <w:kern w:val="16"/>
          <w14:ligatures w14:val="standardContextual"/>
        </w:rPr>
        <w:t>meros requisitos</w:t>
      </w:r>
      <w:r>
        <w:rPr>
          <w:rFonts w:cs="EB Garamond"/>
          <w:kern w:val="16"/>
          <w14:ligatures w14:val="standardContextual"/>
        </w:rPr>
        <w:t xml:space="preserve"> de acesso, sem efeito sobre o cálculo do benefício.</w:t>
      </w:r>
    </w:p>
    <w:p w14:paraId="18FB318A" w14:textId="77777777" w:rsidR="005A5FCC" w:rsidRDefault="00A21C81">
      <w:pPr>
        <w:ind w:firstLine="238"/>
      </w:pPr>
      <w:r>
        <w:rPr>
          <w:rFonts w:cs="EB Garamond"/>
          <w:kern w:val="16"/>
          <w14:ligatures w14:val="standardContextual"/>
        </w:rPr>
        <w:t>Os requisitos são cumulativos:</w:t>
      </w:r>
    </w:p>
    <w:p w14:paraId="77A842FC" w14:textId="77777777" w:rsidR="005A5FCC" w:rsidRDefault="00A21C81">
      <w:pPr>
        <w:ind w:firstLine="238"/>
      </w:pPr>
      <w:r>
        <w:rPr>
          <w:rFonts w:cs="EB Garamond"/>
          <w:b/>
          <w:kern w:val="16"/>
          <w14:ligatures w14:val="standardContextual"/>
        </w:rPr>
        <w:t>a) Tempo de contribuição mínimo:</w:t>
      </w:r>
      <w:r>
        <w:rPr>
          <w:rFonts w:cs="EB Garamond"/>
          <w:kern w:val="16"/>
          <w14:ligatures w14:val="standardContextual"/>
        </w:rPr>
        <w:t xml:space="preserve"> 30 anos (mulher) ou 35 anos (homem). Esse é um requisito fixo, que não se altera ao longo dos anos.</w:t>
      </w:r>
    </w:p>
    <w:p w14:paraId="0D1EC52C" w14:textId="77777777" w:rsidR="005A5FCC" w:rsidRDefault="00A21C81">
      <w:pPr>
        <w:ind w:firstLine="238"/>
      </w:pPr>
      <w:r>
        <w:rPr>
          <w:rFonts w:cs="EB Garamond"/>
          <w:b/>
          <w:kern w:val="16"/>
          <w14:ligatures w14:val="standardContextual"/>
        </w:rPr>
        <w:t>b) Pontuação mínima:</w:t>
      </w:r>
      <w:r>
        <w:rPr>
          <w:rFonts w:cs="EB Garamond"/>
          <w:kern w:val="16"/>
          <w14:ligatures w14:val="standardContextual"/>
        </w:rPr>
        <w:t xml:space="preserve"> A soma de idade + tempo de contribuição deve atingir a pontuação exigida para o ano em que o segurado pretende se aposentar. A pontuação inicial (2019) era de 86 pontos para mulher e 96 para homem, aumentando 1 ponto por ano até atingir 100 (mulher, em 2033) e 105 (homem, em 2028).</w:t>
      </w:r>
    </w:p>
    <w:p w14:paraId="707ED3C4" w14:textId="77777777" w:rsidR="005A5FCC" w:rsidRDefault="00A21C81">
      <w:pPr>
        <w:ind w:firstLine="238"/>
      </w:pPr>
      <w:r>
        <w:rPr>
          <w:rFonts w:cs="EB Garamond"/>
          <w:b/>
          <w:kern w:val="16"/>
          <w14:ligatures w14:val="standardContextual"/>
        </w:rPr>
        <w:t>c) Carência:</w:t>
      </w:r>
      <w:r>
        <w:rPr>
          <w:rFonts w:cs="EB Garamond"/>
          <w:kern w:val="16"/>
          <w14:ligatures w14:val="standardContextual"/>
        </w:rPr>
        <w:t xml:space="preserve"> 180 contribuições mensais (art. 25, II, Lei 8.213/91). Para segurados filiados antes de 24/07/1991, a carência pode ser inferior, conforme a tabela progressiva do art. 142 da Lei 8.213/91 (v. Cap. 3, seção 3.4).</w:t>
      </w:r>
    </w:p>
    <w:p w14:paraId="4C8EFB8A" w14:textId="77777777" w:rsidR="005A5FCC" w:rsidRDefault="00A21C81">
      <w:pPr>
        <w:ind w:firstLine="238"/>
      </w:pPr>
      <w:r>
        <w:rPr>
          <w:rFonts w:cs="EB Garamond"/>
          <w:kern w:val="16"/>
          <w14:ligatures w14:val="standardContextual"/>
        </w:rPr>
        <w:t>A grande vantagem do sistema de pontos é a flexibilidade: como a pontuação resulta da soma de idade e TC, um segurado com mais tempo de contribuição precisa de menos idade, e vice-versa. Um homem com 40 anos de TC, por exemplo, precisa de apenas 63 anos de idade para atingir 103 pontos em 2026, enquanto um homem com 35 anos de TC precisa de 68 anos.</w:t>
      </w:r>
    </w:p>
    <w:p w14:paraId="2454C85B" w14:textId="77777777" w:rsidR="005A5FCC" w:rsidRDefault="00A21C81">
      <w:pPr>
        <w:spacing w:before="260" w:after="80" w:line="240" w:lineRule="auto"/>
        <w:jc w:val="left"/>
      </w:pPr>
      <w:r>
        <w:rPr>
          <w:rFonts w:cs="EB Garamond"/>
          <w:b/>
          <w:color w:val="3A3128"/>
          <w:kern w:val="16"/>
          <w:sz w:val="25"/>
          <w14:ligatures w14:val="standardContextual"/>
        </w:rPr>
        <w:t>11.4.2 Tabela de pontuação ano a ano (2019-2033)</w:t>
      </w:r>
    </w:p>
    <w:tbl>
      <w:tblPr>
        <w:tblW w:w="5000" w:type="pct"/>
        <w:jc w:val="center"/>
        <w:tblLook w:val="04A0" w:firstRow="1" w:lastRow="0" w:firstColumn="1" w:lastColumn="0" w:noHBand="0" w:noVBand="1"/>
      </w:tblPr>
      <w:tblGrid>
        <w:gridCol w:w="2114"/>
        <w:gridCol w:w="2113"/>
        <w:gridCol w:w="2113"/>
      </w:tblGrid>
      <w:tr w:rsidR="005A5FCC" w14:paraId="147F0C98" w14:textId="77777777">
        <w:trPr>
          <w:tblHeader/>
          <w:jc w:val="center"/>
        </w:trPr>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63972220" w14:textId="77777777" w:rsidR="005A5FCC" w:rsidRDefault="00A21C81">
            <w:pPr>
              <w:spacing w:before="40" w:after="40" w:line="240" w:lineRule="auto"/>
              <w:jc w:val="center"/>
            </w:pPr>
            <w:r>
              <w:rPr>
                <w:rFonts w:cs="EB Garamond"/>
                <w:b/>
                <w:color w:val="2F2923"/>
                <w:kern w:val="16"/>
                <w:sz w:val="18"/>
                <w14:ligatures w14:val="standardContextual"/>
              </w:rPr>
              <w:t>Ano</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38050203" w14:textId="77777777" w:rsidR="005A5FCC" w:rsidRDefault="00A21C81">
            <w:pPr>
              <w:spacing w:before="40" w:after="40" w:line="240" w:lineRule="auto"/>
              <w:jc w:val="center"/>
            </w:pPr>
            <w:r>
              <w:rPr>
                <w:rFonts w:cs="EB Garamond"/>
                <w:b/>
                <w:color w:val="2F2923"/>
                <w:kern w:val="16"/>
                <w:sz w:val="18"/>
                <w14:ligatures w14:val="standardContextual"/>
              </w:rPr>
              <w:t>Mulher (pontos)</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332B0582" w14:textId="77777777" w:rsidR="005A5FCC" w:rsidRDefault="00A21C81">
            <w:pPr>
              <w:spacing w:before="40" w:after="40" w:line="240" w:lineRule="auto"/>
              <w:jc w:val="center"/>
            </w:pPr>
            <w:r>
              <w:rPr>
                <w:rFonts w:cs="EB Garamond"/>
                <w:b/>
                <w:color w:val="2F2923"/>
                <w:kern w:val="16"/>
                <w:sz w:val="18"/>
                <w14:ligatures w14:val="standardContextual"/>
              </w:rPr>
              <w:t>Homem (pontos)</w:t>
            </w:r>
          </w:p>
        </w:tc>
      </w:tr>
      <w:tr w:rsidR="005A5FCC" w14:paraId="1975301F"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6912D7D1" w14:textId="77777777" w:rsidR="005A5FCC" w:rsidRDefault="00A21C81">
            <w:pPr>
              <w:spacing w:before="20" w:after="20" w:line="240" w:lineRule="auto"/>
              <w:jc w:val="left"/>
            </w:pPr>
            <w:r>
              <w:rPr>
                <w:rFonts w:cs="EB Garamond"/>
                <w:kern w:val="16"/>
                <w:sz w:val="18"/>
                <w14:ligatures w14:val="standardContextual"/>
              </w:rPr>
              <w:t>2019</w:t>
            </w:r>
          </w:p>
        </w:tc>
        <w:tc>
          <w:tcPr>
            <w:tcW w:w="2117" w:type="dxa"/>
            <w:tcBorders>
              <w:top w:val="single" w:sz="4" w:space="0" w:color="D2C9B8"/>
              <w:left w:val="single" w:sz="4" w:space="0" w:color="D2C9B8"/>
              <w:bottom w:val="single" w:sz="4" w:space="0" w:color="D2C9B8"/>
              <w:right w:val="single" w:sz="4" w:space="0" w:color="D2C9B8"/>
            </w:tcBorders>
          </w:tcPr>
          <w:p w14:paraId="12EE5A66" w14:textId="77777777" w:rsidR="005A5FCC" w:rsidRDefault="00A21C81">
            <w:pPr>
              <w:spacing w:before="20" w:after="20" w:line="240" w:lineRule="auto"/>
              <w:jc w:val="left"/>
            </w:pPr>
            <w:r>
              <w:rPr>
                <w:rFonts w:cs="EB Garamond"/>
                <w:kern w:val="16"/>
                <w:sz w:val="18"/>
                <w14:ligatures w14:val="standardContextual"/>
              </w:rPr>
              <w:t>86</w:t>
            </w:r>
          </w:p>
        </w:tc>
        <w:tc>
          <w:tcPr>
            <w:tcW w:w="2117" w:type="dxa"/>
            <w:tcBorders>
              <w:top w:val="single" w:sz="4" w:space="0" w:color="D2C9B8"/>
              <w:left w:val="single" w:sz="4" w:space="0" w:color="D2C9B8"/>
              <w:bottom w:val="single" w:sz="4" w:space="0" w:color="D2C9B8"/>
              <w:right w:val="single" w:sz="4" w:space="0" w:color="D2C9B8"/>
            </w:tcBorders>
          </w:tcPr>
          <w:p w14:paraId="5D0EBCFD" w14:textId="77777777" w:rsidR="005A5FCC" w:rsidRDefault="00A21C81">
            <w:pPr>
              <w:spacing w:before="20" w:after="20" w:line="240" w:lineRule="auto"/>
              <w:jc w:val="left"/>
            </w:pPr>
            <w:r>
              <w:rPr>
                <w:rFonts w:cs="EB Garamond"/>
                <w:kern w:val="16"/>
                <w:sz w:val="18"/>
                <w14:ligatures w14:val="standardContextual"/>
              </w:rPr>
              <w:t>96</w:t>
            </w:r>
          </w:p>
        </w:tc>
      </w:tr>
      <w:tr w:rsidR="005A5FCC" w14:paraId="09A7D9DC"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3FC3D28E" w14:textId="77777777" w:rsidR="005A5FCC" w:rsidRDefault="00A21C81">
            <w:pPr>
              <w:spacing w:before="20" w:after="20" w:line="240" w:lineRule="auto"/>
              <w:jc w:val="left"/>
            </w:pPr>
            <w:r>
              <w:rPr>
                <w:rFonts w:cs="EB Garamond"/>
                <w:kern w:val="16"/>
                <w:sz w:val="18"/>
                <w14:ligatures w14:val="standardContextual"/>
              </w:rPr>
              <w:t>2020</w:t>
            </w:r>
          </w:p>
        </w:tc>
        <w:tc>
          <w:tcPr>
            <w:tcW w:w="2117" w:type="dxa"/>
            <w:tcBorders>
              <w:top w:val="single" w:sz="4" w:space="0" w:color="D2C9B8"/>
              <w:left w:val="single" w:sz="4" w:space="0" w:color="D2C9B8"/>
              <w:bottom w:val="single" w:sz="4" w:space="0" w:color="D2C9B8"/>
              <w:right w:val="single" w:sz="4" w:space="0" w:color="D2C9B8"/>
            </w:tcBorders>
          </w:tcPr>
          <w:p w14:paraId="56715B64" w14:textId="77777777" w:rsidR="005A5FCC" w:rsidRDefault="00A21C81">
            <w:pPr>
              <w:spacing w:before="20" w:after="20" w:line="240" w:lineRule="auto"/>
              <w:jc w:val="left"/>
            </w:pPr>
            <w:r>
              <w:rPr>
                <w:rFonts w:cs="EB Garamond"/>
                <w:kern w:val="16"/>
                <w:sz w:val="18"/>
                <w14:ligatures w14:val="standardContextual"/>
              </w:rPr>
              <w:t>87</w:t>
            </w:r>
          </w:p>
        </w:tc>
        <w:tc>
          <w:tcPr>
            <w:tcW w:w="2117" w:type="dxa"/>
            <w:tcBorders>
              <w:top w:val="single" w:sz="4" w:space="0" w:color="D2C9B8"/>
              <w:left w:val="single" w:sz="4" w:space="0" w:color="D2C9B8"/>
              <w:bottom w:val="single" w:sz="4" w:space="0" w:color="D2C9B8"/>
              <w:right w:val="single" w:sz="4" w:space="0" w:color="D2C9B8"/>
            </w:tcBorders>
          </w:tcPr>
          <w:p w14:paraId="55CBE1F2" w14:textId="77777777" w:rsidR="005A5FCC" w:rsidRDefault="00A21C81">
            <w:pPr>
              <w:spacing w:before="20" w:after="20" w:line="240" w:lineRule="auto"/>
              <w:jc w:val="left"/>
            </w:pPr>
            <w:r>
              <w:rPr>
                <w:rFonts w:cs="EB Garamond"/>
                <w:kern w:val="16"/>
                <w:sz w:val="18"/>
                <w14:ligatures w14:val="standardContextual"/>
              </w:rPr>
              <w:t>97</w:t>
            </w:r>
          </w:p>
        </w:tc>
      </w:tr>
      <w:tr w:rsidR="005A5FCC" w14:paraId="0C7774D7"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075D7157" w14:textId="77777777" w:rsidR="005A5FCC" w:rsidRDefault="00A21C81">
            <w:pPr>
              <w:spacing w:before="20" w:after="20" w:line="240" w:lineRule="auto"/>
              <w:jc w:val="left"/>
            </w:pPr>
            <w:r>
              <w:rPr>
                <w:rFonts w:cs="EB Garamond"/>
                <w:kern w:val="16"/>
                <w:sz w:val="18"/>
                <w14:ligatures w14:val="standardContextual"/>
              </w:rPr>
              <w:t>2021</w:t>
            </w:r>
          </w:p>
        </w:tc>
        <w:tc>
          <w:tcPr>
            <w:tcW w:w="2117" w:type="dxa"/>
            <w:tcBorders>
              <w:top w:val="single" w:sz="4" w:space="0" w:color="D2C9B8"/>
              <w:left w:val="single" w:sz="4" w:space="0" w:color="D2C9B8"/>
              <w:bottom w:val="single" w:sz="4" w:space="0" w:color="D2C9B8"/>
              <w:right w:val="single" w:sz="4" w:space="0" w:color="D2C9B8"/>
            </w:tcBorders>
          </w:tcPr>
          <w:p w14:paraId="26D1D4B9" w14:textId="77777777" w:rsidR="005A5FCC" w:rsidRDefault="00A21C81">
            <w:pPr>
              <w:spacing w:before="20" w:after="20" w:line="240" w:lineRule="auto"/>
              <w:jc w:val="left"/>
            </w:pPr>
            <w:r>
              <w:rPr>
                <w:rFonts w:cs="EB Garamond"/>
                <w:kern w:val="16"/>
                <w:sz w:val="18"/>
                <w14:ligatures w14:val="standardContextual"/>
              </w:rPr>
              <w:t>88</w:t>
            </w:r>
          </w:p>
        </w:tc>
        <w:tc>
          <w:tcPr>
            <w:tcW w:w="2117" w:type="dxa"/>
            <w:tcBorders>
              <w:top w:val="single" w:sz="4" w:space="0" w:color="D2C9B8"/>
              <w:left w:val="single" w:sz="4" w:space="0" w:color="D2C9B8"/>
              <w:bottom w:val="single" w:sz="4" w:space="0" w:color="D2C9B8"/>
              <w:right w:val="single" w:sz="4" w:space="0" w:color="D2C9B8"/>
            </w:tcBorders>
          </w:tcPr>
          <w:p w14:paraId="5ADA86EF" w14:textId="77777777" w:rsidR="005A5FCC" w:rsidRDefault="00A21C81">
            <w:pPr>
              <w:spacing w:before="20" w:after="20" w:line="240" w:lineRule="auto"/>
              <w:jc w:val="left"/>
            </w:pPr>
            <w:r>
              <w:rPr>
                <w:rFonts w:cs="EB Garamond"/>
                <w:kern w:val="16"/>
                <w:sz w:val="18"/>
                <w14:ligatures w14:val="standardContextual"/>
              </w:rPr>
              <w:t>98</w:t>
            </w:r>
          </w:p>
        </w:tc>
      </w:tr>
      <w:tr w:rsidR="005A5FCC" w14:paraId="68EC6A3A"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5DCA12CD" w14:textId="77777777" w:rsidR="005A5FCC" w:rsidRDefault="00A21C81">
            <w:pPr>
              <w:spacing w:before="20" w:after="20" w:line="240" w:lineRule="auto"/>
              <w:jc w:val="left"/>
            </w:pPr>
            <w:r>
              <w:rPr>
                <w:rFonts w:cs="EB Garamond"/>
                <w:kern w:val="16"/>
                <w:sz w:val="18"/>
                <w14:ligatures w14:val="standardContextual"/>
              </w:rPr>
              <w:t>2022</w:t>
            </w:r>
          </w:p>
        </w:tc>
        <w:tc>
          <w:tcPr>
            <w:tcW w:w="2117" w:type="dxa"/>
            <w:tcBorders>
              <w:top w:val="single" w:sz="4" w:space="0" w:color="D2C9B8"/>
              <w:left w:val="single" w:sz="4" w:space="0" w:color="D2C9B8"/>
              <w:bottom w:val="single" w:sz="4" w:space="0" w:color="D2C9B8"/>
              <w:right w:val="single" w:sz="4" w:space="0" w:color="D2C9B8"/>
            </w:tcBorders>
          </w:tcPr>
          <w:p w14:paraId="2C40333E" w14:textId="77777777" w:rsidR="005A5FCC" w:rsidRDefault="00A21C81">
            <w:pPr>
              <w:spacing w:before="20" w:after="20" w:line="240" w:lineRule="auto"/>
              <w:jc w:val="left"/>
            </w:pPr>
            <w:r>
              <w:rPr>
                <w:rFonts w:cs="EB Garamond"/>
                <w:kern w:val="16"/>
                <w:sz w:val="18"/>
                <w14:ligatures w14:val="standardContextual"/>
              </w:rPr>
              <w:t>89</w:t>
            </w:r>
          </w:p>
        </w:tc>
        <w:tc>
          <w:tcPr>
            <w:tcW w:w="2117" w:type="dxa"/>
            <w:tcBorders>
              <w:top w:val="single" w:sz="4" w:space="0" w:color="D2C9B8"/>
              <w:left w:val="single" w:sz="4" w:space="0" w:color="D2C9B8"/>
              <w:bottom w:val="single" w:sz="4" w:space="0" w:color="D2C9B8"/>
              <w:right w:val="single" w:sz="4" w:space="0" w:color="D2C9B8"/>
            </w:tcBorders>
          </w:tcPr>
          <w:p w14:paraId="35FA9329" w14:textId="77777777" w:rsidR="005A5FCC" w:rsidRDefault="00A21C81">
            <w:pPr>
              <w:spacing w:before="20" w:after="20" w:line="240" w:lineRule="auto"/>
              <w:jc w:val="left"/>
            </w:pPr>
            <w:r>
              <w:rPr>
                <w:rFonts w:cs="EB Garamond"/>
                <w:kern w:val="16"/>
                <w:sz w:val="18"/>
                <w14:ligatures w14:val="standardContextual"/>
              </w:rPr>
              <w:t>99</w:t>
            </w:r>
          </w:p>
        </w:tc>
      </w:tr>
      <w:tr w:rsidR="005A5FCC" w14:paraId="29747B53"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50B42735" w14:textId="77777777" w:rsidR="005A5FCC" w:rsidRDefault="00A21C81">
            <w:pPr>
              <w:spacing w:before="20" w:after="20" w:line="240" w:lineRule="auto"/>
              <w:jc w:val="left"/>
            </w:pPr>
            <w:r>
              <w:rPr>
                <w:rFonts w:cs="EB Garamond"/>
                <w:kern w:val="16"/>
                <w:sz w:val="18"/>
                <w14:ligatures w14:val="standardContextual"/>
              </w:rPr>
              <w:t>2023</w:t>
            </w:r>
          </w:p>
        </w:tc>
        <w:tc>
          <w:tcPr>
            <w:tcW w:w="2117" w:type="dxa"/>
            <w:tcBorders>
              <w:top w:val="single" w:sz="4" w:space="0" w:color="D2C9B8"/>
              <w:left w:val="single" w:sz="4" w:space="0" w:color="D2C9B8"/>
              <w:bottom w:val="single" w:sz="4" w:space="0" w:color="D2C9B8"/>
              <w:right w:val="single" w:sz="4" w:space="0" w:color="D2C9B8"/>
            </w:tcBorders>
          </w:tcPr>
          <w:p w14:paraId="2A510AED" w14:textId="77777777" w:rsidR="005A5FCC" w:rsidRDefault="00A21C81">
            <w:pPr>
              <w:spacing w:before="20" w:after="20" w:line="240" w:lineRule="auto"/>
              <w:jc w:val="left"/>
            </w:pPr>
            <w:r>
              <w:rPr>
                <w:rFonts w:cs="EB Garamond"/>
                <w:kern w:val="16"/>
                <w:sz w:val="18"/>
                <w14:ligatures w14:val="standardContextual"/>
              </w:rPr>
              <w:t>90</w:t>
            </w:r>
          </w:p>
        </w:tc>
        <w:tc>
          <w:tcPr>
            <w:tcW w:w="2117" w:type="dxa"/>
            <w:tcBorders>
              <w:top w:val="single" w:sz="4" w:space="0" w:color="D2C9B8"/>
              <w:left w:val="single" w:sz="4" w:space="0" w:color="D2C9B8"/>
              <w:bottom w:val="single" w:sz="4" w:space="0" w:color="D2C9B8"/>
              <w:right w:val="single" w:sz="4" w:space="0" w:color="D2C9B8"/>
            </w:tcBorders>
          </w:tcPr>
          <w:p w14:paraId="021CE471" w14:textId="77777777" w:rsidR="005A5FCC" w:rsidRDefault="00A21C81">
            <w:pPr>
              <w:spacing w:before="20" w:after="20" w:line="240" w:lineRule="auto"/>
              <w:jc w:val="left"/>
            </w:pPr>
            <w:r>
              <w:rPr>
                <w:rFonts w:cs="EB Garamond"/>
                <w:kern w:val="16"/>
                <w:sz w:val="18"/>
                <w14:ligatures w14:val="standardContextual"/>
              </w:rPr>
              <w:t>100</w:t>
            </w:r>
          </w:p>
        </w:tc>
      </w:tr>
      <w:tr w:rsidR="005A5FCC" w14:paraId="772037F6"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74ABE270" w14:textId="77777777" w:rsidR="005A5FCC" w:rsidRDefault="00A21C81">
            <w:pPr>
              <w:spacing w:before="20" w:after="20" w:line="240" w:lineRule="auto"/>
              <w:jc w:val="left"/>
            </w:pPr>
            <w:r>
              <w:rPr>
                <w:rFonts w:cs="EB Garamond"/>
                <w:kern w:val="16"/>
                <w:sz w:val="18"/>
                <w14:ligatures w14:val="standardContextual"/>
              </w:rPr>
              <w:t>2024</w:t>
            </w:r>
          </w:p>
        </w:tc>
        <w:tc>
          <w:tcPr>
            <w:tcW w:w="2117" w:type="dxa"/>
            <w:tcBorders>
              <w:top w:val="single" w:sz="4" w:space="0" w:color="D2C9B8"/>
              <w:left w:val="single" w:sz="4" w:space="0" w:color="D2C9B8"/>
              <w:bottom w:val="single" w:sz="4" w:space="0" w:color="D2C9B8"/>
              <w:right w:val="single" w:sz="4" w:space="0" w:color="D2C9B8"/>
            </w:tcBorders>
          </w:tcPr>
          <w:p w14:paraId="011AD7E1" w14:textId="77777777" w:rsidR="005A5FCC" w:rsidRDefault="00A21C81">
            <w:pPr>
              <w:spacing w:before="20" w:after="20" w:line="240" w:lineRule="auto"/>
              <w:jc w:val="left"/>
            </w:pPr>
            <w:r>
              <w:rPr>
                <w:rFonts w:cs="EB Garamond"/>
                <w:kern w:val="16"/>
                <w:sz w:val="18"/>
                <w14:ligatures w14:val="standardContextual"/>
              </w:rPr>
              <w:t>91</w:t>
            </w:r>
          </w:p>
        </w:tc>
        <w:tc>
          <w:tcPr>
            <w:tcW w:w="2117" w:type="dxa"/>
            <w:tcBorders>
              <w:top w:val="single" w:sz="4" w:space="0" w:color="D2C9B8"/>
              <w:left w:val="single" w:sz="4" w:space="0" w:color="D2C9B8"/>
              <w:bottom w:val="single" w:sz="4" w:space="0" w:color="D2C9B8"/>
              <w:right w:val="single" w:sz="4" w:space="0" w:color="D2C9B8"/>
            </w:tcBorders>
          </w:tcPr>
          <w:p w14:paraId="7DD88982" w14:textId="77777777" w:rsidR="005A5FCC" w:rsidRDefault="00A21C81">
            <w:pPr>
              <w:spacing w:before="20" w:after="20" w:line="240" w:lineRule="auto"/>
              <w:jc w:val="left"/>
            </w:pPr>
            <w:r>
              <w:rPr>
                <w:rFonts w:cs="EB Garamond"/>
                <w:kern w:val="16"/>
                <w:sz w:val="18"/>
                <w14:ligatures w14:val="standardContextual"/>
              </w:rPr>
              <w:t>101</w:t>
            </w:r>
          </w:p>
        </w:tc>
      </w:tr>
      <w:tr w:rsidR="005A5FCC" w14:paraId="6D84C2EC"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2A0FC7CA" w14:textId="77777777" w:rsidR="005A5FCC" w:rsidRDefault="00A21C81">
            <w:pPr>
              <w:spacing w:before="20" w:after="20" w:line="240" w:lineRule="auto"/>
              <w:jc w:val="left"/>
            </w:pPr>
            <w:r>
              <w:rPr>
                <w:rFonts w:cs="EB Garamond"/>
                <w:kern w:val="16"/>
                <w:sz w:val="18"/>
                <w14:ligatures w14:val="standardContextual"/>
              </w:rPr>
              <w:t>2025</w:t>
            </w:r>
          </w:p>
        </w:tc>
        <w:tc>
          <w:tcPr>
            <w:tcW w:w="2117" w:type="dxa"/>
            <w:tcBorders>
              <w:top w:val="single" w:sz="4" w:space="0" w:color="D2C9B8"/>
              <w:left w:val="single" w:sz="4" w:space="0" w:color="D2C9B8"/>
              <w:bottom w:val="single" w:sz="4" w:space="0" w:color="D2C9B8"/>
              <w:right w:val="single" w:sz="4" w:space="0" w:color="D2C9B8"/>
            </w:tcBorders>
          </w:tcPr>
          <w:p w14:paraId="3A7047C1" w14:textId="77777777" w:rsidR="005A5FCC" w:rsidRDefault="00A21C81">
            <w:pPr>
              <w:spacing w:before="20" w:after="20" w:line="240" w:lineRule="auto"/>
              <w:jc w:val="left"/>
            </w:pPr>
            <w:r>
              <w:rPr>
                <w:rFonts w:cs="EB Garamond"/>
                <w:kern w:val="16"/>
                <w:sz w:val="18"/>
                <w14:ligatures w14:val="standardContextual"/>
              </w:rPr>
              <w:t>92</w:t>
            </w:r>
          </w:p>
        </w:tc>
        <w:tc>
          <w:tcPr>
            <w:tcW w:w="2117" w:type="dxa"/>
            <w:tcBorders>
              <w:top w:val="single" w:sz="4" w:space="0" w:color="D2C9B8"/>
              <w:left w:val="single" w:sz="4" w:space="0" w:color="D2C9B8"/>
              <w:bottom w:val="single" w:sz="4" w:space="0" w:color="D2C9B8"/>
              <w:right w:val="single" w:sz="4" w:space="0" w:color="D2C9B8"/>
            </w:tcBorders>
          </w:tcPr>
          <w:p w14:paraId="007D99DF" w14:textId="77777777" w:rsidR="005A5FCC" w:rsidRDefault="00A21C81">
            <w:pPr>
              <w:spacing w:before="20" w:after="20" w:line="240" w:lineRule="auto"/>
              <w:jc w:val="left"/>
            </w:pPr>
            <w:r>
              <w:rPr>
                <w:rFonts w:cs="EB Garamond"/>
                <w:kern w:val="16"/>
                <w:sz w:val="18"/>
                <w14:ligatures w14:val="standardContextual"/>
              </w:rPr>
              <w:t>102</w:t>
            </w:r>
          </w:p>
        </w:tc>
      </w:tr>
      <w:tr w:rsidR="005A5FCC" w14:paraId="7FCB23EC"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1936B972" w14:textId="77777777" w:rsidR="005A5FCC" w:rsidRDefault="00A21C81">
            <w:pPr>
              <w:spacing w:before="20" w:after="20" w:line="240" w:lineRule="auto"/>
              <w:jc w:val="left"/>
            </w:pPr>
            <w:r>
              <w:rPr>
                <w:rFonts w:cs="EB Garamond"/>
                <w:b/>
                <w:kern w:val="16"/>
                <w:sz w:val="18"/>
                <w14:ligatures w14:val="standardContextual"/>
              </w:rPr>
              <w:lastRenderedPageBreak/>
              <w:t>2026</w:t>
            </w:r>
          </w:p>
        </w:tc>
        <w:tc>
          <w:tcPr>
            <w:tcW w:w="2117" w:type="dxa"/>
            <w:tcBorders>
              <w:top w:val="single" w:sz="4" w:space="0" w:color="D2C9B8"/>
              <w:left w:val="single" w:sz="4" w:space="0" w:color="D2C9B8"/>
              <w:bottom w:val="single" w:sz="4" w:space="0" w:color="D2C9B8"/>
              <w:right w:val="single" w:sz="4" w:space="0" w:color="D2C9B8"/>
            </w:tcBorders>
          </w:tcPr>
          <w:p w14:paraId="63750408" w14:textId="77777777" w:rsidR="005A5FCC" w:rsidRDefault="00A21C81">
            <w:pPr>
              <w:spacing w:before="20" w:after="20" w:line="240" w:lineRule="auto"/>
              <w:jc w:val="left"/>
            </w:pPr>
            <w:r>
              <w:rPr>
                <w:rFonts w:cs="EB Garamond"/>
                <w:b/>
                <w:kern w:val="16"/>
                <w:sz w:val="18"/>
                <w14:ligatures w14:val="standardContextual"/>
              </w:rPr>
              <w:t>93</w:t>
            </w:r>
          </w:p>
        </w:tc>
        <w:tc>
          <w:tcPr>
            <w:tcW w:w="2117" w:type="dxa"/>
            <w:tcBorders>
              <w:top w:val="single" w:sz="4" w:space="0" w:color="D2C9B8"/>
              <w:left w:val="single" w:sz="4" w:space="0" w:color="D2C9B8"/>
              <w:bottom w:val="single" w:sz="4" w:space="0" w:color="D2C9B8"/>
              <w:right w:val="single" w:sz="4" w:space="0" w:color="D2C9B8"/>
            </w:tcBorders>
          </w:tcPr>
          <w:p w14:paraId="1B289AE6" w14:textId="77777777" w:rsidR="005A5FCC" w:rsidRDefault="00A21C81">
            <w:pPr>
              <w:spacing w:before="20" w:after="20" w:line="240" w:lineRule="auto"/>
              <w:jc w:val="left"/>
            </w:pPr>
            <w:r>
              <w:rPr>
                <w:rFonts w:cs="EB Garamond"/>
                <w:b/>
                <w:kern w:val="16"/>
                <w:sz w:val="18"/>
                <w14:ligatures w14:val="standardContextual"/>
              </w:rPr>
              <w:t>103</w:t>
            </w:r>
          </w:p>
        </w:tc>
      </w:tr>
      <w:tr w:rsidR="005A5FCC" w14:paraId="512F73F5"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2F2E01AE" w14:textId="77777777" w:rsidR="005A5FCC" w:rsidRDefault="00A21C81">
            <w:pPr>
              <w:spacing w:before="20" w:after="20" w:line="240" w:lineRule="auto"/>
              <w:jc w:val="left"/>
            </w:pPr>
            <w:r>
              <w:rPr>
                <w:rFonts w:cs="EB Garamond"/>
                <w:kern w:val="16"/>
                <w:sz w:val="18"/>
                <w14:ligatures w14:val="standardContextual"/>
              </w:rPr>
              <w:t>2027</w:t>
            </w:r>
          </w:p>
        </w:tc>
        <w:tc>
          <w:tcPr>
            <w:tcW w:w="2117" w:type="dxa"/>
            <w:tcBorders>
              <w:top w:val="single" w:sz="4" w:space="0" w:color="D2C9B8"/>
              <w:left w:val="single" w:sz="4" w:space="0" w:color="D2C9B8"/>
              <w:bottom w:val="single" w:sz="4" w:space="0" w:color="D2C9B8"/>
              <w:right w:val="single" w:sz="4" w:space="0" w:color="D2C9B8"/>
            </w:tcBorders>
          </w:tcPr>
          <w:p w14:paraId="13034E40" w14:textId="77777777" w:rsidR="005A5FCC" w:rsidRDefault="00A21C81">
            <w:pPr>
              <w:spacing w:before="20" w:after="20" w:line="240" w:lineRule="auto"/>
              <w:jc w:val="left"/>
            </w:pPr>
            <w:r>
              <w:rPr>
                <w:rFonts w:cs="EB Garamond"/>
                <w:kern w:val="16"/>
                <w:sz w:val="18"/>
                <w14:ligatures w14:val="standardContextual"/>
              </w:rPr>
              <w:t>94</w:t>
            </w:r>
          </w:p>
        </w:tc>
        <w:tc>
          <w:tcPr>
            <w:tcW w:w="2117" w:type="dxa"/>
            <w:tcBorders>
              <w:top w:val="single" w:sz="4" w:space="0" w:color="D2C9B8"/>
              <w:left w:val="single" w:sz="4" w:space="0" w:color="D2C9B8"/>
              <w:bottom w:val="single" w:sz="4" w:space="0" w:color="D2C9B8"/>
              <w:right w:val="single" w:sz="4" w:space="0" w:color="D2C9B8"/>
            </w:tcBorders>
          </w:tcPr>
          <w:p w14:paraId="00DD9F28" w14:textId="77777777" w:rsidR="005A5FCC" w:rsidRDefault="00A21C81">
            <w:pPr>
              <w:spacing w:before="20" w:after="20" w:line="240" w:lineRule="auto"/>
              <w:jc w:val="left"/>
            </w:pPr>
            <w:r>
              <w:rPr>
                <w:rFonts w:cs="EB Garamond"/>
                <w:kern w:val="16"/>
                <w:sz w:val="18"/>
                <w14:ligatures w14:val="standardContextual"/>
              </w:rPr>
              <w:t>104</w:t>
            </w:r>
          </w:p>
        </w:tc>
      </w:tr>
      <w:tr w:rsidR="005A5FCC" w14:paraId="5CB02582"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24806136" w14:textId="77777777" w:rsidR="005A5FCC" w:rsidRDefault="00A21C81">
            <w:pPr>
              <w:spacing w:before="20" w:after="20" w:line="240" w:lineRule="auto"/>
              <w:jc w:val="left"/>
            </w:pPr>
            <w:r>
              <w:rPr>
                <w:rFonts w:cs="EB Garamond"/>
                <w:kern w:val="16"/>
                <w:sz w:val="18"/>
                <w14:ligatures w14:val="standardContextual"/>
              </w:rPr>
              <w:t>2028</w:t>
            </w:r>
          </w:p>
        </w:tc>
        <w:tc>
          <w:tcPr>
            <w:tcW w:w="2117" w:type="dxa"/>
            <w:tcBorders>
              <w:top w:val="single" w:sz="4" w:space="0" w:color="D2C9B8"/>
              <w:left w:val="single" w:sz="4" w:space="0" w:color="D2C9B8"/>
              <w:bottom w:val="single" w:sz="4" w:space="0" w:color="D2C9B8"/>
              <w:right w:val="single" w:sz="4" w:space="0" w:color="D2C9B8"/>
            </w:tcBorders>
          </w:tcPr>
          <w:p w14:paraId="6C1E2670" w14:textId="77777777" w:rsidR="005A5FCC" w:rsidRDefault="00A21C81">
            <w:pPr>
              <w:spacing w:before="20" w:after="20" w:line="240" w:lineRule="auto"/>
              <w:jc w:val="left"/>
            </w:pPr>
            <w:r>
              <w:rPr>
                <w:rFonts w:cs="EB Garamond"/>
                <w:kern w:val="16"/>
                <w:sz w:val="18"/>
                <w14:ligatures w14:val="standardContextual"/>
              </w:rPr>
              <w:t>95</w:t>
            </w:r>
          </w:p>
        </w:tc>
        <w:tc>
          <w:tcPr>
            <w:tcW w:w="2117" w:type="dxa"/>
            <w:tcBorders>
              <w:top w:val="single" w:sz="4" w:space="0" w:color="D2C9B8"/>
              <w:left w:val="single" w:sz="4" w:space="0" w:color="D2C9B8"/>
              <w:bottom w:val="single" w:sz="4" w:space="0" w:color="D2C9B8"/>
              <w:right w:val="single" w:sz="4" w:space="0" w:color="D2C9B8"/>
            </w:tcBorders>
          </w:tcPr>
          <w:p w14:paraId="5BB57E03" w14:textId="77777777" w:rsidR="005A5FCC" w:rsidRDefault="00A21C81">
            <w:pPr>
              <w:spacing w:before="20" w:after="20" w:line="240" w:lineRule="auto"/>
              <w:jc w:val="left"/>
            </w:pPr>
            <w:r>
              <w:rPr>
                <w:rFonts w:cs="EB Garamond"/>
                <w:b/>
                <w:kern w:val="16"/>
                <w:sz w:val="18"/>
                <w14:ligatures w14:val="standardContextual"/>
              </w:rPr>
              <w:t>105 (estabiliza)</w:t>
            </w:r>
          </w:p>
        </w:tc>
      </w:tr>
      <w:tr w:rsidR="005A5FCC" w14:paraId="34450863"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6C9BE60F" w14:textId="77777777" w:rsidR="005A5FCC" w:rsidRDefault="00A21C81">
            <w:pPr>
              <w:spacing w:before="20" w:after="20" w:line="240" w:lineRule="auto"/>
              <w:jc w:val="left"/>
            </w:pPr>
            <w:r>
              <w:rPr>
                <w:rFonts w:cs="EB Garamond"/>
                <w:kern w:val="16"/>
                <w:sz w:val="18"/>
                <w14:ligatures w14:val="standardContextual"/>
              </w:rPr>
              <w:t>2029</w:t>
            </w:r>
          </w:p>
        </w:tc>
        <w:tc>
          <w:tcPr>
            <w:tcW w:w="2117" w:type="dxa"/>
            <w:tcBorders>
              <w:top w:val="single" w:sz="4" w:space="0" w:color="D2C9B8"/>
              <w:left w:val="single" w:sz="4" w:space="0" w:color="D2C9B8"/>
              <w:bottom w:val="single" w:sz="4" w:space="0" w:color="D2C9B8"/>
              <w:right w:val="single" w:sz="4" w:space="0" w:color="D2C9B8"/>
            </w:tcBorders>
          </w:tcPr>
          <w:p w14:paraId="33D5B4A0" w14:textId="77777777" w:rsidR="005A5FCC" w:rsidRDefault="00A21C81">
            <w:pPr>
              <w:spacing w:before="20" w:after="20" w:line="240" w:lineRule="auto"/>
              <w:jc w:val="left"/>
            </w:pPr>
            <w:r>
              <w:rPr>
                <w:rFonts w:cs="EB Garamond"/>
                <w:kern w:val="16"/>
                <w:sz w:val="18"/>
                <w14:ligatures w14:val="standardContextual"/>
              </w:rPr>
              <w:t>96</w:t>
            </w:r>
          </w:p>
        </w:tc>
        <w:tc>
          <w:tcPr>
            <w:tcW w:w="2117" w:type="dxa"/>
            <w:tcBorders>
              <w:top w:val="single" w:sz="4" w:space="0" w:color="D2C9B8"/>
              <w:left w:val="single" w:sz="4" w:space="0" w:color="D2C9B8"/>
              <w:bottom w:val="single" w:sz="4" w:space="0" w:color="D2C9B8"/>
              <w:right w:val="single" w:sz="4" w:space="0" w:color="D2C9B8"/>
            </w:tcBorders>
          </w:tcPr>
          <w:p w14:paraId="287F3C9D" w14:textId="77777777" w:rsidR="005A5FCC" w:rsidRDefault="00A21C81">
            <w:pPr>
              <w:spacing w:before="20" w:after="20" w:line="240" w:lineRule="auto"/>
              <w:jc w:val="left"/>
            </w:pPr>
            <w:r>
              <w:rPr>
                <w:rFonts w:cs="EB Garamond"/>
                <w:kern w:val="16"/>
                <w:sz w:val="18"/>
                <w14:ligatures w14:val="standardContextual"/>
              </w:rPr>
              <w:t>105</w:t>
            </w:r>
          </w:p>
        </w:tc>
      </w:tr>
      <w:tr w:rsidR="005A5FCC" w14:paraId="11E25CE0"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575F7E07" w14:textId="77777777" w:rsidR="005A5FCC" w:rsidRDefault="00A21C81">
            <w:pPr>
              <w:spacing w:before="20" w:after="20" w:line="240" w:lineRule="auto"/>
              <w:jc w:val="left"/>
            </w:pPr>
            <w:r>
              <w:rPr>
                <w:rFonts w:cs="EB Garamond"/>
                <w:kern w:val="16"/>
                <w:sz w:val="18"/>
                <w14:ligatures w14:val="standardContextual"/>
              </w:rPr>
              <w:t>2030</w:t>
            </w:r>
          </w:p>
        </w:tc>
        <w:tc>
          <w:tcPr>
            <w:tcW w:w="2117" w:type="dxa"/>
            <w:tcBorders>
              <w:top w:val="single" w:sz="4" w:space="0" w:color="D2C9B8"/>
              <w:left w:val="single" w:sz="4" w:space="0" w:color="D2C9B8"/>
              <w:bottom w:val="single" w:sz="4" w:space="0" w:color="D2C9B8"/>
              <w:right w:val="single" w:sz="4" w:space="0" w:color="D2C9B8"/>
            </w:tcBorders>
          </w:tcPr>
          <w:p w14:paraId="0572B800" w14:textId="77777777" w:rsidR="005A5FCC" w:rsidRDefault="00A21C81">
            <w:pPr>
              <w:spacing w:before="20" w:after="20" w:line="240" w:lineRule="auto"/>
              <w:jc w:val="left"/>
            </w:pPr>
            <w:r>
              <w:rPr>
                <w:rFonts w:cs="EB Garamond"/>
                <w:kern w:val="16"/>
                <w:sz w:val="18"/>
                <w14:ligatures w14:val="standardContextual"/>
              </w:rPr>
              <w:t>97</w:t>
            </w:r>
          </w:p>
        </w:tc>
        <w:tc>
          <w:tcPr>
            <w:tcW w:w="2117" w:type="dxa"/>
            <w:tcBorders>
              <w:top w:val="single" w:sz="4" w:space="0" w:color="D2C9B8"/>
              <w:left w:val="single" w:sz="4" w:space="0" w:color="D2C9B8"/>
              <w:bottom w:val="single" w:sz="4" w:space="0" w:color="D2C9B8"/>
              <w:right w:val="single" w:sz="4" w:space="0" w:color="D2C9B8"/>
            </w:tcBorders>
          </w:tcPr>
          <w:p w14:paraId="1D09893B" w14:textId="77777777" w:rsidR="005A5FCC" w:rsidRDefault="00A21C81">
            <w:pPr>
              <w:spacing w:before="20" w:after="20" w:line="240" w:lineRule="auto"/>
              <w:jc w:val="left"/>
            </w:pPr>
            <w:r>
              <w:rPr>
                <w:rFonts w:cs="EB Garamond"/>
                <w:kern w:val="16"/>
                <w:sz w:val="18"/>
                <w14:ligatures w14:val="standardContextual"/>
              </w:rPr>
              <w:t>105</w:t>
            </w:r>
          </w:p>
        </w:tc>
      </w:tr>
      <w:tr w:rsidR="005A5FCC" w14:paraId="0C8FD5C3"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3411B8F2" w14:textId="77777777" w:rsidR="005A5FCC" w:rsidRDefault="00A21C81">
            <w:pPr>
              <w:spacing w:before="20" w:after="20" w:line="240" w:lineRule="auto"/>
              <w:jc w:val="left"/>
            </w:pPr>
            <w:r>
              <w:rPr>
                <w:rFonts w:cs="EB Garamond"/>
                <w:kern w:val="16"/>
                <w:sz w:val="18"/>
                <w14:ligatures w14:val="standardContextual"/>
              </w:rPr>
              <w:t>2031</w:t>
            </w:r>
          </w:p>
        </w:tc>
        <w:tc>
          <w:tcPr>
            <w:tcW w:w="2117" w:type="dxa"/>
            <w:tcBorders>
              <w:top w:val="single" w:sz="4" w:space="0" w:color="D2C9B8"/>
              <w:left w:val="single" w:sz="4" w:space="0" w:color="D2C9B8"/>
              <w:bottom w:val="single" w:sz="4" w:space="0" w:color="D2C9B8"/>
              <w:right w:val="single" w:sz="4" w:space="0" w:color="D2C9B8"/>
            </w:tcBorders>
          </w:tcPr>
          <w:p w14:paraId="26F0DEE7" w14:textId="77777777" w:rsidR="005A5FCC" w:rsidRDefault="00A21C81">
            <w:pPr>
              <w:spacing w:before="20" w:after="20" w:line="240" w:lineRule="auto"/>
              <w:jc w:val="left"/>
            </w:pPr>
            <w:r>
              <w:rPr>
                <w:rFonts w:cs="EB Garamond"/>
                <w:kern w:val="16"/>
                <w:sz w:val="18"/>
                <w14:ligatures w14:val="standardContextual"/>
              </w:rPr>
              <w:t>98</w:t>
            </w:r>
          </w:p>
        </w:tc>
        <w:tc>
          <w:tcPr>
            <w:tcW w:w="2117" w:type="dxa"/>
            <w:tcBorders>
              <w:top w:val="single" w:sz="4" w:space="0" w:color="D2C9B8"/>
              <w:left w:val="single" w:sz="4" w:space="0" w:color="D2C9B8"/>
              <w:bottom w:val="single" w:sz="4" w:space="0" w:color="D2C9B8"/>
              <w:right w:val="single" w:sz="4" w:space="0" w:color="D2C9B8"/>
            </w:tcBorders>
          </w:tcPr>
          <w:p w14:paraId="01A4063C" w14:textId="77777777" w:rsidR="005A5FCC" w:rsidRDefault="00A21C81">
            <w:pPr>
              <w:spacing w:before="20" w:after="20" w:line="240" w:lineRule="auto"/>
              <w:jc w:val="left"/>
            </w:pPr>
            <w:r>
              <w:rPr>
                <w:rFonts w:cs="EB Garamond"/>
                <w:kern w:val="16"/>
                <w:sz w:val="18"/>
                <w14:ligatures w14:val="standardContextual"/>
              </w:rPr>
              <w:t>105</w:t>
            </w:r>
          </w:p>
        </w:tc>
      </w:tr>
      <w:tr w:rsidR="005A5FCC" w14:paraId="35CC6734"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05084288" w14:textId="77777777" w:rsidR="005A5FCC" w:rsidRDefault="00A21C81">
            <w:pPr>
              <w:spacing w:before="20" w:after="20" w:line="240" w:lineRule="auto"/>
              <w:jc w:val="left"/>
            </w:pPr>
            <w:r>
              <w:rPr>
                <w:rFonts w:cs="EB Garamond"/>
                <w:kern w:val="16"/>
                <w:sz w:val="18"/>
                <w14:ligatures w14:val="standardContextual"/>
              </w:rPr>
              <w:t>2032</w:t>
            </w:r>
          </w:p>
        </w:tc>
        <w:tc>
          <w:tcPr>
            <w:tcW w:w="2117" w:type="dxa"/>
            <w:tcBorders>
              <w:top w:val="single" w:sz="4" w:space="0" w:color="D2C9B8"/>
              <w:left w:val="single" w:sz="4" w:space="0" w:color="D2C9B8"/>
              <w:bottom w:val="single" w:sz="4" w:space="0" w:color="D2C9B8"/>
              <w:right w:val="single" w:sz="4" w:space="0" w:color="D2C9B8"/>
            </w:tcBorders>
          </w:tcPr>
          <w:p w14:paraId="28ED0C39" w14:textId="77777777" w:rsidR="005A5FCC" w:rsidRDefault="00A21C81">
            <w:pPr>
              <w:spacing w:before="20" w:after="20" w:line="240" w:lineRule="auto"/>
              <w:jc w:val="left"/>
            </w:pPr>
            <w:r>
              <w:rPr>
                <w:rFonts w:cs="EB Garamond"/>
                <w:kern w:val="16"/>
                <w:sz w:val="18"/>
                <w14:ligatures w14:val="standardContextual"/>
              </w:rPr>
              <w:t>99</w:t>
            </w:r>
          </w:p>
        </w:tc>
        <w:tc>
          <w:tcPr>
            <w:tcW w:w="2117" w:type="dxa"/>
            <w:tcBorders>
              <w:top w:val="single" w:sz="4" w:space="0" w:color="D2C9B8"/>
              <w:left w:val="single" w:sz="4" w:space="0" w:color="D2C9B8"/>
              <w:bottom w:val="single" w:sz="4" w:space="0" w:color="D2C9B8"/>
              <w:right w:val="single" w:sz="4" w:space="0" w:color="D2C9B8"/>
            </w:tcBorders>
          </w:tcPr>
          <w:p w14:paraId="28FABA5E" w14:textId="77777777" w:rsidR="005A5FCC" w:rsidRDefault="00A21C81">
            <w:pPr>
              <w:spacing w:before="20" w:after="20" w:line="240" w:lineRule="auto"/>
              <w:jc w:val="left"/>
            </w:pPr>
            <w:r>
              <w:rPr>
                <w:rFonts w:cs="EB Garamond"/>
                <w:kern w:val="16"/>
                <w:sz w:val="18"/>
                <w14:ligatures w14:val="standardContextual"/>
              </w:rPr>
              <w:t>105</w:t>
            </w:r>
          </w:p>
        </w:tc>
      </w:tr>
      <w:tr w:rsidR="005A5FCC" w14:paraId="403DABDA"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7D9FF6D0" w14:textId="77777777" w:rsidR="005A5FCC" w:rsidRDefault="00A21C81">
            <w:pPr>
              <w:spacing w:before="20" w:after="20" w:line="240" w:lineRule="auto"/>
              <w:jc w:val="left"/>
            </w:pPr>
            <w:r>
              <w:rPr>
                <w:rFonts w:cs="EB Garamond"/>
                <w:kern w:val="16"/>
                <w:sz w:val="18"/>
                <w14:ligatures w14:val="standardContextual"/>
              </w:rPr>
              <w:t>2033</w:t>
            </w:r>
          </w:p>
        </w:tc>
        <w:tc>
          <w:tcPr>
            <w:tcW w:w="2117" w:type="dxa"/>
            <w:tcBorders>
              <w:top w:val="single" w:sz="4" w:space="0" w:color="D2C9B8"/>
              <w:left w:val="single" w:sz="4" w:space="0" w:color="D2C9B8"/>
              <w:bottom w:val="single" w:sz="4" w:space="0" w:color="D2C9B8"/>
              <w:right w:val="single" w:sz="4" w:space="0" w:color="D2C9B8"/>
            </w:tcBorders>
          </w:tcPr>
          <w:p w14:paraId="7CCC85A4" w14:textId="77777777" w:rsidR="005A5FCC" w:rsidRDefault="00A21C81">
            <w:pPr>
              <w:spacing w:before="20" w:after="20" w:line="240" w:lineRule="auto"/>
              <w:jc w:val="left"/>
            </w:pPr>
            <w:r>
              <w:rPr>
                <w:rFonts w:cs="EB Garamond"/>
                <w:b/>
                <w:kern w:val="16"/>
                <w:sz w:val="18"/>
                <w14:ligatures w14:val="standardContextual"/>
              </w:rPr>
              <w:t>100 (estabiliza)</w:t>
            </w:r>
          </w:p>
        </w:tc>
        <w:tc>
          <w:tcPr>
            <w:tcW w:w="2117" w:type="dxa"/>
            <w:tcBorders>
              <w:top w:val="single" w:sz="4" w:space="0" w:color="D2C9B8"/>
              <w:left w:val="single" w:sz="4" w:space="0" w:color="D2C9B8"/>
              <w:bottom w:val="single" w:sz="4" w:space="0" w:color="D2C9B8"/>
              <w:right w:val="single" w:sz="4" w:space="0" w:color="D2C9B8"/>
            </w:tcBorders>
          </w:tcPr>
          <w:p w14:paraId="4D2FDCFD" w14:textId="77777777" w:rsidR="005A5FCC" w:rsidRDefault="00A21C81">
            <w:pPr>
              <w:spacing w:before="20" w:after="20" w:line="240" w:lineRule="auto"/>
              <w:jc w:val="left"/>
            </w:pPr>
            <w:r>
              <w:rPr>
                <w:rFonts w:cs="EB Garamond"/>
                <w:kern w:val="16"/>
                <w:sz w:val="18"/>
                <w14:ligatures w14:val="standardContextual"/>
              </w:rPr>
              <w:t>105</w:t>
            </w:r>
          </w:p>
        </w:tc>
      </w:tr>
    </w:tbl>
    <w:p w14:paraId="18F6B126" w14:textId="77777777" w:rsidR="005A5FCC" w:rsidRDefault="005A5FCC">
      <w:pPr>
        <w:spacing w:after="80" w:line="240" w:lineRule="auto"/>
      </w:pPr>
    </w:p>
    <w:p w14:paraId="4AF6C84F"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786F5FCE" w14:textId="77777777" w:rsidR="005A5FCC" w:rsidRDefault="00A21C81">
      <w:r>
        <w:rPr>
          <w:rFonts w:cs="EB Garamond"/>
          <w:b/>
          <w:kern w:val="16"/>
          <w14:ligatures w14:val="standardContextual"/>
        </w:rPr>
        <w:t>bservação:</w:t>
      </w:r>
      <w:r>
        <w:rPr>
          <w:rFonts w:cs="EB Garamond"/>
          <w:kern w:val="16"/>
          <w14:ligatures w14:val="standardContextual"/>
        </w:rPr>
        <w:t xml:space="preserve"> Após a estabilização, a pontuação se iguala à da regra permanente. Para o homem, a partir de 2028 (105 pontos = 65 anos + 40 anos TC ou equivalente), a regra de transição deixa de ter vantagem sobre a regra permanente. Para a mulher, isso ocorre a partir de 2033 (100 pontos = 62 anos + 38 TC ou equivalente).</w:t>
      </w:r>
    </w:p>
    <w:p w14:paraId="63BB4B42" w14:textId="77777777" w:rsidR="005A5FCC" w:rsidRDefault="00A21C81">
      <w:pPr>
        <w:spacing w:before="260" w:after="80" w:line="240" w:lineRule="auto"/>
        <w:jc w:val="left"/>
      </w:pPr>
      <w:r>
        <w:rPr>
          <w:rFonts w:cs="EB Garamond"/>
          <w:b/>
          <w:color w:val="3A3128"/>
          <w:kern w:val="16"/>
          <w:sz w:val="25"/>
          <w14:ligatures w14:val="standardContextual"/>
        </w:rPr>
        <w:t>11.4.3 Cálculo do benefício</w:t>
      </w:r>
    </w:p>
    <w:p w14:paraId="234312B2"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5F3109D5" w14:textId="77777777" w:rsidR="005A5FCC" w:rsidRDefault="00A21C81">
      <w:r>
        <w:rPr>
          <w:rFonts w:cs="EB Garamond"/>
          <w:kern w:val="16"/>
          <w14:ligatures w14:val="standardContextual"/>
        </w:rPr>
        <w:t xml:space="preserve"> cálculo do benefício pela regra do art. 15 segue a fórmula da EC 103/2019:</w:t>
      </w:r>
    </w:p>
    <w:p w14:paraId="7753220B" w14:textId="77777777" w:rsidR="005A5FCC" w:rsidRDefault="00A21C81">
      <w:pPr>
        <w:spacing w:after="40" w:line="252" w:lineRule="auto"/>
        <w:ind w:left="340" w:hanging="198"/>
      </w:pPr>
      <w:r>
        <w:rPr>
          <w:rFonts w:cs="EB Garamond"/>
          <w:color w:val="3A3128"/>
          <w:kern w:val="16"/>
          <w:sz w:val="20"/>
          <w14:ligatures w14:val="standardContextual"/>
        </w:rPr>
        <w:t xml:space="preserve">1. </w:t>
      </w:r>
      <w:r>
        <w:rPr>
          <w:rFonts w:cs="EB Garamond"/>
          <w:b/>
          <w:kern w:val="16"/>
          <w:sz w:val="20"/>
          <w14:ligatures w14:val="standardContextual"/>
        </w:rPr>
        <w:t>Média:</w:t>
      </w:r>
      <w:r>
        <w:rPr>
          <w:rFonts w:cs="EB Garamond"/>
          <w:kern w:val="16"/>
          <w:sz w:val="20"/>
          <w14:ligatures w14:val="standardContextual"/>
        </w:rPr>
        <w:t xml:space="preserve"> 100% dos salários de contribuição desde julho/1994 (sem descarte dos 20% menores).</w:t>
      </w:r>
    </w:p>
    <w:p w14:paraId="4B4DEEE4" w14:textId="77777777" w:rsidR="005A5FCC" w:rsidRDefault="00A21C81">
      <w:pPr>
        <w:spacing w:after="40" w:line="252" w:lineRule="auto"/>
        <w:ind w:left="340" w:hanging="198"/>
      </w:pPr>
      <w:r>
        <w:rPr>
          <w:rFonts w:cs="EB Garamond"/>
          <w:color w:val="3A3128"/>
          <w:kern w:val="16"/>
          <w:sz w:val="20"/>
          <w14:ligatures w14:val="standardContextual"/>
        </w:rPr>
        <w:t xml:space="preserve">2. </w:t>
      </w:r>
      <w:r>
        <w:rPr>
          <w:rFonts w:cs="EB Garamond"/>
          <w:b/>
          <w:kern w:val="16"/>
          <w:sz w:val="20"/>
          <w14:ligatures w14:val="standardContextual"/>
        </w:rPr>
        <w:t>Coeficiente:</w:t>
      </w:r>
      <w:r>
        <w:rPr>
          <w:rFonts w:cs="EB Garamond"/>
          <w:kern w:val="16"/>
          <w:sz w:val="20"/>
          <w14:ligatures w14:val="standardContextual"/>
        </w:rPr>
        <w:t xml:space="preserve"> 60% + 2% por ano que exceder 20 anos de TC (homem) ou 15 anos de TC (mulher).</w:t>
      </w:r>
    </w:p>
    <w:p w14:paraId="07D27414" w14:textId="77777777" w:rsidR="005A5FCC" w:rsidRDefault="00A21C81">
      <w:pPr>
        <w:spacing w:after="40" w:line="252" w:lineRule="auto"/>
        <w:ind w:left="340" w:hanging="198"/>
      </w:pPr>
      <w:r>
        <w:rPr>
          <w:rFonts w:cs="EB Garamond"/>
          <w:color w:val="3A3128"/>
          <w:kern w:val="16"/>
          <w:sz w:val="20"/>
          <w14:ligatures w14:val="standardContextual"/>
        </w:rPr>
        <w:t xml:space="preserve">3. </w:t>
      </w:r>
      <w:r>
        <w:rPr>
          <w:rFonts w:cs="EB Garamond"/>
          <w:b/>
          <w:kern w:val="16"/>
          <w:sz w:val="20"/>
          <w14:ligatures w14:val="standardContextual"/>
        </w:rPr>
        <w:t>Possibilidade de exclusão:</w:t>
      </w:r>
      <w:r>
        <w:rPr>
          <w:rFonts w:cs="EB Garamond"/>
          <w:kern w:val="16"/>
          <w:sz w:val="20"/>
          <w14:ligatures w14:val="standardContextual"/>
        </w:rPr>
        <w:t xml:space="preserve"> O segurado pode excluir salários de contribuição que reduzam a média, desde que mantido o TC mínimo (art. 26, § 6º, EC 103 — seção 10.11.4).</w:t>
      </w:r>
    </w:p>
    <w:p w14:paraId="2FBBCF2D" w14:textId="77777777" w:rsidR="005A5FCC" w:rsidRDefault="005A5FCC">
      <w:pPr>
        <w:spacing w:after="60" w:line="240" w:lineRule="auto"/>
      </w:pPr>
    </w:p>
    <w:tbl>
      <w:tblPr>
        <w:tblW w:w="5000" w:type="pct"/>
        <w:jc w:val="center"/>
        <w:tblLayout w:type="fixed"/>
        <w:tblLook w:val="04A0" w:firstRow="1" w:lastRow="0" w:firstColumn="1" w:lastColumn="0" w:noHBand="0" w:noVBand="1"/>
      </w:tblPr>
      <w:tblGrid>
        <w:gridCol w:w="6311"/>
      </w:tblGrid>
      <w:tr w:rsidR="005A5FCC" w14:paraId="7DC47855"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5307B5C2"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69D4A718" w14:textId="77777777" w:rsidR="005A5FCC" w:rsidRDefault="00A21C81">
            <w:pPr>
              <w:spacing w:after="60" w:line="247" w:lineRule="auto"/>
            </w:pPr>
            <w:r>
              <w:rPr>
                <w:rFonts w:cs="EB Garamond"/>
                <w:b/>
                <w:kern w:val="16"/>
                <w:sz w:val="19"/>
                <w14:ligatures w14:val="standardContextual"/>
              </w:rPr>
              <w:t>Simulação — Art. 15 (pontos) em 2026</w:t>
            </w:r>
          </w:p>
          <w:p w14:paraId="1E1B38D6" w14:textId="77777777" w:rsidR="005A5FCC" w:rsidRDefault="00A21C81">
            <w:pPr>
              <w:spacing w:after="60" w:line="247" w:lineRule="auto"/>
            </w:pPr>
            <w:r>
              <w:rPr>
                <w:rFonts w:cs="EB Garamond"/>
                <w:b/>
                <w:kern w:val="16"/>
                <w:sz w:val="19"/>
                <w14:ligatures w14:val="standardContextual"/>
              </w:rPr>
              <w:t>Ana</w:t>
            </w:r>
            <w:r>
              <w:rPr>
                <w:rFonts w:cs="EB Garamond"/>
                <w:kern w:val="16"/>
                <w:sz w:val="19"/>
                <w14:ligatures w14:val="standardContextual"/>
              </w:rPr>
              <w:t>, 58 anos, 35 anos de contribuição, média de 100% dos SC = R$ 4.200,00.</w:t>
            </w:r>
          </w:p>
          <w:p w14:paraId="1560198D" w14:textId="77777777" w:rsidR="005A5FCC" w:rsidRDefault="00A21C81">
            <w:pPr>
              <w:spacing w:after="60" w:line="247" w:lineRule="auto"/>
            </w:pPr>
            <w:r>
              <w:rPr>
                <w:rFonts w:cs="EB Garamond"/>
                <w:b/>
                <w:kern w:val="16"/>
                <w:sz w:val="19"/>
                <w14:ligatures w14:val="standardContextual"/>
              </w:rPr>
              <w:t>Pontuação:</w:t>
            </w:r>
            <w:r>
              <w:rPr>
                <w:rFonts w:cs="EB Garamond"/>
                <w:kern w:val="16"/>
                <w:sz w:val="19"/>
                <w14:ligatures w14:val="standardContextual"/>
              </w:rPr>
              <w:t xml:space="preserve"> 58 + 35 = 93 ≥ 93 (exigido em 2026 para mulher) ✅ </w:t>
            </w:r>
            <w:r>
              <w:rPr>
                <w:rFonts w:cs="EB Garamond"/>
                <w:b/>
                <w:kern w:val="16"/>
                <w:sz w:val="19"/>
                <w14:ligatures w14:val="standardContextual"/>
              </w:rPr>
              <w:t>TC mínimo:</w:t>
            </w:r>
            <w:r>
              <w:rPr>
                <w:rFonts w:cs="EB Garamond"/>
                <w:kern w:val="16"/>
                <w:sz w:val="19"/>
                <w14:ligatures w14:val="standardContextual"/>
              </w:rPr>
              <w:t xml:space="preserve"> 35 ≥ 30 ✅ </w:t>
            </w:r>
            <w:r>
              <w:rPr>
                <w:rFonts w:cs="EB Garamond"/>
                <w:b/>
                <w:kern w:val="16"/>
                <w:sz w:val="19"/>
                <w14:ligatures w14:val="standardContextual"/>
              </w:rPr>
              <w:t>Carência:</w:t>
            </w:r>
            <w:r>
              <w:rPr>
                <w:rFonts w:cs="EB Garamond"/>
                <w:kern w:val="16"/>
                <w:sz w:val="19"/>
                <w14:ligatures w14:val="standardContextual"/>
              </w:rPr>
              <w:t xml:space="preserve"> 420 contribuições ≥ 180 ✅</w:t>
            </w:r>
          </w:p>
          <w:p w14:paraId="22C0E55B" w14:textId="77777777" w:rsidR="005A5FCC" w:rsidRDefault="00A21C81">
            <w:pPr>
              <w:spacing w:after="60" w:line="247" w:lineRule="auto"/>
            </w:pPr>
            <w:r>
              <w:rPr>
                <w:rFonts w:cs="EB Garamond"/>
                <w:b/>
                <w:kern w:val="16"/>
                <w:sz w:val="19"/>
                <w14:ligatures w14:val="standardContextual"/>
              </w:rPr>
              <w:t>Cálculo:</w:t>
            </w:r>
            <w:r>
              <w:rPr>
                <w:rFonts w:cs="EB Garamond"/>
                <w:kern w:val="16"/>
                <w:sz w:val="19"/>
                <w14:ligatures w14:val="standardContextual"/>
              </w:rPr>
              <w:t xml:space="preserve"> - Coeficiente: 60% + 2% × (35 - 15) = 60% + 40% = </w:t>
            </w:r>
            <w:r>
              <w:rPr>
                <w:rFonts w:cs="EB Garamond"/>
                <w:b/>
                <w:kern w:val="16"/>
                <w:sz w:val="19"/>
                <w14:ligatures w14:val="standardContextual"/>
              </w:rPr>
              <w:t>100%</w:t>
            </w:r>
            <w:r>
              <w:rPr>
                <w:rFonts w:cs="EB Garamond"/>
                <w:kern w:val="16"/>
                <w:sz w:val="19"/>
                <w14:ligatures w14:val="standardContextual"/>
              </w:rPr>
              <w:t xml:space="preserve"> - RMI: R$ 4.200,00 × 100% = </w:t>
            </w:r>
            <w:r>
              <w:rPr>
                <w:rFonts w:cs="EB Garamond"/>
                <w:b/>
                <w:kern w:val="16"/>
                <w:sz w:val="19"/>
                <w14:ligatures w14:val="standardContextual"/>
              </w:rPr>
              <w:t>R$ 4.200,00</w:t>
            </w:r>
          </w:p>
          <w:p w14:paraId="5D2B9133" w14:textId="77777777" w:rsidR="005A5FCC" w:rsidRDefault="00A21C81">
            <w:pPr>
              <w:spacing w:after="60" w:line="247" w:lineRule="auto"/>
            </w:pPr>
            <w:r>
              <w:rPr>
                <w:rFonts w:cs="EB Garamond"/>
                <w:kern w:val="16"/>
                <w:sz w:val="19"/>
                <w14:ligatures w14:val="standardContextual"/>
              </w:rPr>
              <w:t>Ana atinge coeficiente de 100% porque tem 35 anos de TC (20 anos excedentes sobre o piso de 15 para mulher). Seguradas com menos TC terão coeficiente menor.</w:t>
            </w:r>
          </w:p>
          <w:p w14:paraId="6B6E33C2" w14:textId="77777777" w:rsidR="005A5FCC" w:rsidRDefault="00A21C81">
            <w:pPr>
              <w:spacing w:after="60" w:line="247" w:lineRule="auto"/>
            </w:pPr>
            <w:r>
              <w:rPr>
                <w:rFonts w:cs="EB Garamond"/>
                <w:b/>
                <w:kern w:val="16"/>
                <w:sz w:val="19"/>
                <w14:ligatures w14:val="standardContextual"/>
              </w:rPr>
              <w:t>Comparativo:</w:t>
            </w:r>
            <w:r>
              <w:rPr>
                <w:rFonts w:cs="EB Garamond"/>
                <w:kern w:val="16"/>
                <w:sz w:val="19"/>
                <w14:ligatures w14:val="standardContextual"/>
              </w:rPr>
              <w:t xml:space="preserve"> Se Ana tivesse apenas 30 anos de TC (mínimo exigido): - Pontuação: 58 + 30 = 88 &lt; 93 → </w:t>
            </w:r>
            <w:r>
              <w:rPr>
                <w:rFonts w:cs="EB Garamond"/>
                <w:b/>
                <w:kern w:val="16"/>
                <w:sz w:val="19"/>
                <w14:ligatures w14:val="standardContextual"/>
              </w:rPr>
              <w:t>não atinge em 2026</w:t>
            </w:r>
            <w:r>
              <w:rPr>
                <w:rFonts w:cs="EB Garamond"/>
                <w:kern w:val="16"/>
                <w:sz w:val="19"/>
                <w14:ligatures w14:val="standardContextual"/>
              </w:rPr>
              <w:t xml:space="preserve"> (tampouco atingiria em 2025, quando a exigência para a mulher era de 92 pontos: 88 &lt; 92) - Coeficiente com 30 anos: 60% + 2% × (30 - 15) = 90% - RMI: R$ 4.200 × 90% = </w:t>
            </w:r>
            <w:r>
              <w:rPr>
                <w:rFonts w:cs="EB Garamond"/>
                <w:b/>
                <w:kern w:val="16"/>
                <w:sz w:val="19"/>
                <w14:ligatures w14:val="standardContextual"/>
              </w:rPr>
              <w:t>R$ 3.780,00</w:t>
            </w:r>
          </w:p>
        </w:tc>
      </w:tr>
    </w:tbl>
    <w:p w14:paraId="75495394" w14:textId="77777777" w:rsidR="005A5FCC" w:rsidRDefault="005A5FCC">
      <w:pPr>
        <w:spacing w:after="80" w:line="240" w:lineRule="auto"/>
      </w:pPr>
    </w:p>
    <w:tbl>
      <w:tblPr>
        <w:tblW w:w="5000" w:type="pct"/>
        <w:jc w:val="center"/>
        <w:tblLayout w:type="fixed"/>
        <w:tblLook w:val="04A0" w:firstRow="1" w:lastRow="0" w:firstColumn="1" w:lastColumn="0" w:noHBand="0" w:noVBand="1"/>
      </w:tblPr>
      <w:tblGrid>
        <w:gridCol w:w="6311"/>
      </w:tblGrid>
      <w:tr w:rsidR="005A5FCC" w14:paraId="62B3632E"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19185AF7"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5666757E" w14:textId="77777777" w:rsidR="005A5FCC" w:rsidRDefault="00A21C81">
            <w:pPr>
              <w:spacing w:after="60" w:line="247" w:lineRule="auto"/>
            </w:pPr>
            <w:r>
              <w:rPr>
                <w:rFonts w:cs="EB Garamond"/>
                <w:b/>
                <w:kern w:val="16"/>
                <w:sz w:val="19"/>
                <w14:ligatures w14:val="standardContextual"/>
              </w:rPr>
              <w:t>Diferença crucial: pontos do art. 15 EC 103 vs. Pontos da regra 85/95</w:t>
            </w:r>
          </w:p>
          <w:p w14:paraId="33B652B8" w14:textId="77777777" w:rsidR="005A5FCC" w:rsidRDefault="00A21C81">
            <w:pPr>
              <w:spacing w:after="60" w:line="247" w:lineRule="auto"/>
            </w:pPr>
            <w:r>
              <w:rPr>
                <w:rFonts w:cs="EB Garamond"/>
                <w:kern w:val="16"/>
                <w:sz w:val="19"/>
                <w14:ligatures w14:val="standardContextual"/>
              </w:rPr>
              <w:t>Embora ambos usem o sistema de pontos (idade + TC), os efeitos são radicalmente diferentes:</w:t>
            </w:r>
          </w:p>
          <w:tbl>
            <w:tblPr>
              <w:tblW w:w="5000" w:type="pct"/>
              <w:jc w:val="center"/>
              <w:tblLook w:val="04A0" w:firstRow="1" w:lastRow="0" w:firstColumn="1" w:lastColumn="0" w:noHBand="0" w:noVBand="1"/>
            </w:tblPr>
            <w:tblGrid>
              <w:gridCol w:w="1967"/>
              <w:gridCol w:w="1967"/>
              <w:gridCol w:w="1967"/>
            </w:tblGrid>
            <w:tr w:rsidR="005A5FCC" w14:paraId="67F723BA" w14:textId="77777777">
              <w:trPr>
                <w:tblHeader/>
                <w:jc w:val="center"/>
              </w:trPr>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74901E8E" w14:textId="77777777" w:rsidR="005A5FCC" w:rsidRDefault="00A21C81">
                  <w:pPr>
                    <w:spacing w:before="30" w:after="30" w:line="240" w:lineRule="auto"/>
                    <w:jc w:val="center"/>
                  </w:pPr>
                  <w:r>
                    <w:rPr>
                      <w:rFonts w:cs="EB Garamond"/>
                      <w:b/>
                      <w:color w:val="2F2923"/>
                      <w:kern w:val="16"/>
                      <w:sz w:val="16"/>
                      <w14:ligatures w14:val="standardContextual"/>
                    </w:rPr>
                    <w:t>Aspecto</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57F112E3" w14:textId="77777777" w:rsidR="005A5FCC" w:rsidRDefault="00A21C81">
                  <w:pPr>
                    <w:spacing w:before="30" w:after="30" w:line="240" w:lineRule="auto"/>
                    <w:jc w:val="center"/>
                  </w:pPr>
                  <w:r>
                    <w:rPr>
                      <w:rFonts w:cs="EB Garamond"/>
                      <w:b/>
                      <w:color w:val="2F2923"/>
                      <w:kern w:val="16"/>
                      <w:sz w:val="16"/>
                      <w14:ligatures w14:val="standardContextual"/>
                    </w:rPr>
                    <w:t>Regra 85/95 (Lei 13.183/2015)</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566E7E7B" w14:textId="77777777" w:rsidR="005A5FCC" w:rsidRDefault="00A21C81">
                  <w:pPr>
                    <w:spacing w:before="30" w:after="30" w:line="240" w:lineRule="auto"/>
                    <w:jc w:val="center"/>
                  </w:pPr>
                  <w:r>
                    <w:rPr>
                      <w:rFonts w:cs="EB Garamond"/>
                      <w:b/>
                      <w:color w:val="2F2923"/>
                      <w:kern w:val="16"/>
                      <w:sz w:val="16"/>
                      <w14:ligatures w14:val="standardContextual"/>
                    </w:rPr>
                    <w:t>Art. 15 EC 103/2019</w:t>
                  </w:r>
                </w:p>
              </w:tc>
            </w:tr>
            <w:tr w:rsidR="005A5FCC" w14:paraId="5F6D2985"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0F2277C1" w14:textId="77777777" w:rsidR="005A5FCC" w:rsidRDefault="00A21C81">
                  <w:pPr>
                    <w:spacing w:before="20" w:after="20" w:line="240" w:lineRule="auto"/>
                    <w:jc w:val="left"/>
                  </w:pPr>
                  <w:r>
                    <w:rPr>
                      <w:rFonts w:cs="EB Garamond"/>
                      <w:b/>
                      <w:kern w:val="16"/>
                      <w:sz w:val="16"/>
                      <w14:ligatures w14:val="standardContextual"/>
                    </w:rPr>
                    <w:t>Efeito dos pontos</w:t>
                  </w:r>
                </w:p>
              </w:tc>
              <w:tc>
                <w:tcPr>
                  <w:tcW w:w="2117" w:type="dxa"/>
                  <w:tcBorders>
                    <w:top w:val="single" w:sz="4" w:space="0" w:color="D2C9B8"/>
                    <w:left w:val="single" w:sz="4" w:space="0" w:color="D2C9B8"/>
                    <w:bottom w:val="single" w:sz="4" w:space="0" w:color="D2C9B8"/>
                    <w:right w:val="single" w:sz="4" w:space="0" w:color="D2C9B8"/>
                  </w:tcBorders>
                </w:tcPr>
                <w:p w14:paraId="3858F125" w14:textId="77777777" w:rsidR="005A5FCC" w:rsidRDefault="00A21C81">
                  <w:pPr>
                    <w:spacing w:before="20" w:after="20" w:line="240" w:lineRule="auto"/>
                    <w:jc w:val="left"/>
                  </w:pPr>
                  <w:r>
                    <w:rPr>
                      <w:rFonts w:cs="EB Garamond"/>
                      <w:kern w:val="16"/>
                      <w:sz w:val="16"/>
                      <w14:ligatures w14:val="standardContextual"/>
                    </w:rPr>
                    <w:t>Afasta o fator previdenciário</w:t>
                  </w:r>
                </w:p>
              </w:tc>
              <w:tc>
                <w:tcPr>
                  <w:tcW w:w="2117" w:type="dxa"/>
                  <w:tcBorders>
                    <w:top w:val="single" w:sz="4" w:space="0" w:color="D2C9B8"/>
                    <w:left w:val="single" w:sz="4" w:space="0" w:color="D2C9B8"/>
                    <w:bottom w:val="single" w:sz="4" w:space="0" w:color="D2C9B8"/>
                    <w:right w:val="single" w:sz="4" w:space="0" w:color="D2C9B8"/>
                  </w:tcBorders>
                </w:tcPr>
                <w:p w14:paraId="4727DD9A" w14:textId="77777777" w:rsidR="005A5FCC" w:rsidRDefault="00A21C81">
                  <w:pPr>
                    <w:spacing w:before="20" w:after="20" w:line="240" w:lineRule="auto"/>
                    <w:jc w:val="left"/>
                  </w:pPr>
                  <w:r>
                    <w:rPr>
                      <w:rFonts w:cs="EB Garamond"/>
                      <w:kern w:val="16"/>
                      <w:sz w:val="16"/>
                      <w14:ligatures w14:val="standardContextual"/>
                    </w:rPr>
                    <w:t>Apenas requisito de acesso</w:t>
                  </w:r>
                </w:p>
              </w:tc>
            </w:tr>
            <w:tr w:rsidR="005A5FCC" w14:paraId="79F3FF8E"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79DEC594" w14:textId="77777777" w:rsidR="005A5FCC" w:rsidRDefault="00A21C81">
                  <w:pPr>
                    <w:spacing w:before="20" w:after="20" w:line="240" w:lineRule="auto"/>
                    <w:jc w:val="left"/>
                  </w:pPr>
                  <w:r>
                    <w:rPr>
                      <w:rFonts w:cs="EB Garamond"/>
                      <w:b/>
                      <w:kern w:val="16"/>
                      <w:sz w:val="16"/>
                      <w14:ligatures w14:val="standardContextual"/>
                    </w:rPr>
                    <w:t>Cálculo da média</w:t>
                  </w:r>
                </w:p>
              </w:tc>
              <w:tc>
                <w:tcPr>
                  <w:tcW w:w="2117" w:type="dxa"/>
                  <w:tcBorders>
                    <w:top w:val="single" w:sz="4" w:space="0" w:color="D2C9B8"/>
                    <w:left w:val="single" w:sz="4" w:space="0" w:color="D2C9B8"/>
                    <w:bottom w:val="single" w:sz="4" w:space="0" w:color="D2C9B8"/>
                    <w:right w:val="single" w:sz="4" w:space="0" w:color="D2C9B8"/>
                  </w:tcBorders>
                </w:tcPr>
                <w:p w14:paraId="724EBF0A" w14:textId="77777777" w:rsidR="005A5FCC" w:rsidRDefault="00A21C81">
                  <w:pPr>
                    <w:spacing w:before="20" w:after="20" w:line="240" w:lineRule="auto"/>
                    <w:jc w:val="left"/>
                  </w:pPr>
                  <w:r>
                    <w:rPr>
                      <w:rFonts w:cs="EB Garamond"/>
                      <w:kern w:val="16"/>
                      <w:sz w:val="16"/>
                      <w14:ligatures w14:val="standardContextual"/>
                    </w:rPr>
                    <w:t>80% maiores SC</w:t>
                  </w:r>
                </w:p>
              </w:tc>
              <w:tc>
                <w:tcPr>
                  <w:tcW w:w="2117" w:type="dxa"/>
                  <w:tcBorders>
                    <w:top w:val="single" w:sz="4" w:space="0" w:color="D2C9B8"/>
                    <w:left w:val="single" w:sz="4" w:space="0" w:color="D2C9B8"/>
                    <w:bottom w:val="single" w:sz="4" w:space="0" w:color="D2C9B8"/>
                    <w:right w:val="single" w:sz="4" w:space="0" w:color="D2C9B8"/>
                  </w:tcBorders>
                </w:tcPr>
                <w:p w14:paraId="5203E1A3" w14:textId="77777777" w:rsidR="005A5FCC" w:rsidRDefault="00A21C81">
                  <w:pPr>
                    <w:spacing w:before="20" w:after="20" w:line="240" w:lineRule="auto"/>
                    <w:jc w:val="left"/>
                  </w:pPr>
                  <w:r>
                    <w:rPr>
                      <w:rFonts w:cs="EB Garamond"/>
                      <w:kern w:val="16"/>
                      <w:sz w:val="16"/>
                      <w14:ligatures w14:val="standardContextual"/>
                    </w:rPr>
                    <w:t>100% dos SC</w:t>
                  </w:r>
                </w:p>
              </w:tc>
            </w:tr>
            <w:tr w:rsidR="005A5FCC" w14:paraId="05C799C6"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209FE685" w14:textId="77777777" w:rsidR="005A5FCC" w:rsidRDefault="00A21C81">
                  <w:pPr>
                    <w:spacing w:before="20" w:after="20" w:line="240" w:lineRule="auto"/>
                    <w:jc w:val="left"/>
                  </w:pPr>
                  <w:r>
                    <w:rPr>
                      <w:rFonts w:cs="EB Garamond"/>
                      <w:b/>
                      <w:kern w:val="16"/>
                      <w:sz w:val="16"/>
                      <w14:ligatures w14:val="standardContextual"/>
                    </w:rPr>
                    <w:t>Coeficiente</w:t>
                  </w:r>
                </w:p>
              </w:tc>
              <w:tc>
                <w:tcPr>
                  <w:tcW w:w="2117" w:type="dxa"/>
                  <w:tcBorders>
                    <w:top w:val="single" w:sz="4" w:space="0" w:color="D2C9B8"/>
                    <w:left w:val="single" w:sz="4" w:space="0" w:color="D2C9B8"/>
                    <w:bottom w:val="single" w:sz="4" w:space="0" w:color="D2C9B8"/>
                    <w:right w:val="single" w:sz="4" w:space="0" w:color="D2C9B8"/>
                  </w:tcBorders>
                </w:tcPr>
                <w:p w14:paraId="315B4094" w14:textId="77777777" w:rsidR="005A5FCC" w:rsidRDefault="00A21C81">
                  <w:pPr>
                    <w:spacing w:before="20" w:after="20" w:line="240" w:lineRule="auto"/>
                    <w:jc w:val="left"/>
                  </w:pPr>
                  <w:r>
                    <w:rPr>
                      <w:rFonts w:cs="EB Garamond"/>
                      <w:kern w:val="16"/>
                      <w:sz w:val="16"/>
                      <w14:ligatures w14:val="standardContextual"/>
                    </w:rPr>
                    <w:t>100% do SB (fixo)</w:t>
                  </w:r>
                </w:p>
              </w:tc>
              <w:tc>
                <w:tcPr>
                  <w:tcW w:w="2117" w:type="dxa"/>
                  <w:tcBorders>
                    <w:top w:val="single" w:sz="4" w:space="0" w:color="D2C9B8"/>
                    <w:left w:val="single" w:sz="4" w:space="0" w:color="D2C9B8"/>
                    <w:bottom w:val="single" w:sz="4" w:space="0" w:color="D2C9B8"/>
                    <w:right w:val="single" w:sz="4" w:space="0" w:color="D2C9B8"/>
                  </w:tcBorders>
                </w:tcPr>
                <w:p w14:paraId="14C93374" w14:textId="77777777" w:rsidR="005A5FCC" w:rsidRDefault="00A21C81">
                  <w:pPr>
                    <w:spacing w:before="20" w:after="20" w:line="240" w:lineRule="auto"/>
                    <w:jc w:val="left"/>
                  </w:pPr>
                  <w:r>
                    <w:rPr>
                      <w:rFonts w:cs="EB Garamond"/>
                      <w:kern w:val="16"/>
                      <w:sz w:val="16"/>
                      <w14:ligatures w14:val="standardContextual"/>
                    </w:rPr>
                    <w:t>60% + 2%/ano excedente</w:t>
                  </w:r>
                </w:p>
              </w:tc>
            </w:tr>
            <w:tr w:rsidR="005A5FCC" w14:paraId="5F2EC5AB"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5562EFFC" w14:textId="77777777" w:rsidR="005A5FCC" w:rsidRDefault="00A21C81">
                  <w:pPr>
                    <w:spacing w:before="20" w:after="20" w:line="240" w:lineRule="auto"/>
                    <w:jc w:val="left"/>
                  </w:pPr>
                  <w:r>
                    <w:rPr>
                      <w:rFonts w:cs="EB Garamond"/>
                      <w:b/>
                      <w:kern w:val="16"/>
                      <w:sz w:val="16"/>
                      <w14:ligatures w14:val="standardContextual"/>
                    </w:rPr>
                    <w:t>Fator previdenciário</w:t>
                  </w:r>
                </w:p>
              </w:tc>
              <w:tc>
                <w:tcPr>
                  <w:tcW w:w="2117" w:type="dxa"/>
                  <w:tcBorders>
                    <w:top w:val="single" w:sz="4" w:space="0" w:color="D2C9B8"/>
                    <w:left w:val="single" w:sz="4" w:space="0" w:color="D2C9B8"/>
                    <w:bottom w:val="single" w:sz="4" w:space="0" w:color="D2C9B8"/>
                    <w:right w:val="single" w:sz="4" w:space="0" w:color="D2C9B8"/>
                  </w:tcBorders>
                </w:tcPr>
                <w:p w14:paraId="4F9D7315" w14:textId="77777777" w:rsidR="005A5FCC" w:rsidRDefault="00A21C81">
                  <w:pPr>
                    <w:spacing w:before="20" w:after="20" w:line="240" w:lineRule="auto"/>
                    <w:jc w:val="left"/>
                  </w:pPr>
                  <w:r>
                    <w:rPr>
                      <w:rFonts w:cs="EB Garamond"/>
                      <w:kern w:val="16"/>
                      <w:sz w:val="16"/>
                      <w14:ligatures w14:val="standardContextual"/>
                    </w:rPr>
                    <w:t>Afastado</w:t>
                  </w:r>
                </w:p>
              </w:tc>
              <w:tc>
                <w:tcPr>
                  <w:tcW w:w="2117" w:type="dxa"/>
                  <w:tcBorders>
                    <w:top w:val="single" w:sz="4" w:space="0" w:color="D2C9B8"/>
                    <w:left w:val="single" w:sz="4" w:space="0" w:color="D2C9B8"/>
                    <w:bottom w:val="single" w:sz="4" w:space="0" w:color="D2C9B8"/>
                    <w:right w:val="single" w:sz="4" w:space="0" w:color="D2C9B8"/>
                  </w:tcBorders>
                </w:tcPr>
                <w:p w14:paraId="6654D2FB" w14:textId="77777777" w:rsidR="005A5FCC" w:rsidRDefault="00A21C81">
                  <w:pPr>
                    <w:spacing w:before="20" w:after="20" w:line="240" w:lineRule="auto"/>
                    <w:jc w:val="left"/>
                  </w:pPr>
                  <w:r>
                    <w:rPr>
                      <w:rFonts w:cs="EB Garamond"/>
                      <w:kern w:val="16"/>
                      <w:sz w:val="16"/>
                      <w14:ligatures w14:val="standardContextual"/>
                    </w:rPr>
                    <w:t>Não se aplica (nem como opção)</w:t>
                  </w:r>
                </w:p>
              </w:tc>
            </w:tr>
            <w:tr w:rsidR="005A5FCC" w14:paraId="73DD779F"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20620CD6" w14:textId="77777777" w:rsidR="005A5FCC" w:rsidRDefault="00A21C81">
                  <w:pPr>
                    <w:spacing w:before="20" w:after="20" w:line="240" w:lineRule="auto"/>
                    <w:jc w:val="left"/>
                  </w:pPr>
                  <w:r>
                    <w:rPr>
                      <w:rFonts w:cs="EB Garamond"/>
                      <w:b/>
                      <w:kern w:val="16"/>
                      <w:sz w:val="16"/>
                      <w14:ligatures w14:val="standardContextual"/>
                    </w:rPr>
                    <w:t>Aplicação em 2026</w:t>
                  </w:r>
                </w:p>
              </w:tc>
              <w:tc>
                <w:tcPr>
                  <w:tcW w:w="2117" w:type="dxa"/>
                  <w:tcBorders>
                    <w:top w:val="single" w:sz="4" w:space="0" w:color="D2C9B8"/>
                    <w:left w:val="single" w:sz="4" w:space="0" w:color="D2C9B8"/>
                    <w:bottom w:val="single" w:sz="4" w:space="0" w:color="D2C9B8"/>
                    <w:right w:val="single" w:sz="4" w:space="0" w:color="D2C9B8"/>
                  </w:tcBorders>
                </w:tcPr>
                <w:p w14:paraId="6C932DCE" w14:textId="77777777" w:rsidR="005A5FCC" w:rsidRDefault="00A21C81">
                  <w:pPr>
                    <w:spacing w:before="20" w:after="20" w:line="240" w:lineRule="auto"/>
                    <w:jc w:val="left"/>
                  </w:pPr>
                  <w:r>
                    <w:rPr>
                      <w:rFonts w:cs="EB Garamond"/>
                      <w:kern w:val="16"/>
                      <w:sz w:val="16"/>
                      <w14:ligatures w14:val="standardContextual"/>
                    </w:rPr>
                    <w:t>Apenas direito adquirido (até 13/11/2019)</w:t>
                  </w:r>
                </w:p>
              </w:tc>
              <w:tc>
                <w:tcPr>
                  <w:tcW w:w="2117" w:type="dxa"/>
                  <w:tcBorders>
                    <w:top w:val="single" w:sz="4" w:space="0" w:color="D2C9B8"/>
                    <w:left w:val="single" w:sz="4" w:space="0" w:color="D2C9B8"/>
                    <w:bottom w:val="single" w:sz="4" w:space="0" w:color="D2C9B8"/>
                    <w:right w:val="single" w:sz="4" w:space="0" w:color="D2C9B8"/>
                  </w:tcBorders>
                </w:tcPr>
                <w:p w14:paraId="65511D49" w14:textId="77777777" w:rsidR="005A5FCC" w:rsidRDefault="00A21C81">
                  <w:pPr>
                    <w:spacing w:before="20" w:after="20" w:line="240" w:lineRule="auto"/>
                    <w:jc w:val="left"/>
                  </w:pPr>
                  <w:r>
                    <w:rPr>
                      <w:rFonts w:cs="EB Garamond"/>
                      <w:kern w:val="16"/>
                      <w:sz w:val="16"/>
                      <w14:ligatures w14:val="standardContextual"/>
                    </w:rPr>
                    <w:t>Regra de transição vigente</w:t>
                  </w:r>
                </w:p>
              </w:tc>
            </w:tr>
          </w:tbl>
          <w:p w14:paraId="12430381" w14:textId="77777777" w:rsidR="005A5FCC" w:rsidRDefault="005A5FCC"/>
          <w:p w14:paraId="2FEA1F57" w14:textId="77777777" w:rsidR="005A5FCC" w:rsidRDefault="005A5FCC">
            <w:pPr>
              <w:spacing w:after="0" w:line="240" w:lineRule="auto"/>
            </w:pPr>
          </w:p>
          <w:p w14:paraId="43C11E47" w14:textId="77777777" w:rsidR="005A5FCC" w:rsidRDefault="00A21C81">
            <w:pPr>
              <w:spacing w:after="60" w:line="247" w:lineRule="auto"/>
            </w:pPr>
            <w:r>
              <w:rPr>
                <w:rFonts w:cs="EB Garamond"/>
                <w:kern w:val="16"/>
                <w:sz w:val="19"/>
                <w14:ligatures w14:val="standardContextual"/>
              </w:rPr>
              <w:t>A confusão entre as duas regras é um dos erros mais comuns na prática previdenciária. O advogado que calcula o benefício do art. 15 como se fosse a regra 85/95 (100% do SB, sem fator) comete erro grave que pode resultar em expectativa equivocada ao cliente e eventual responsabilidade profissional.</w:t>
            </w:r>
          </w:p>
        </w:tc>
      </w:tr>
    </w:tbl>
    <w:p w14:paraId="16F0D04D" w14:textId="77777777" w:rsidR="005A5FCC" w:rsidRDefault="005A5FCC">
      <w:pPr>
        <w:spacing w:after="80" w:line="240" w:lineRule="auto"/>
      </w:pPr>
    </w:p>
    <w:p w14:paraId="2F73E5BA"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11.5 Regra de transição por idade mínima progressiva — art. 16, EC 103/2019</w:t>
      </w:r>
    </w:p>
    <w:p w14:paraId="0C40DC8D" w14:textId="77777777" w:rsidR="005A5FCC" w:rsidRDefault="00A21C81">
      <w:pPr>
        <w:spacing w:before="260" w:after="80" w:line="240" w:lineRule="auto"/>
        <w:jc w:val="left"/>
      </w:pPr>
      <w:r>
        <w:rPr>
          <w:rFonts w:cs="EB Garamond"/>
          <w:b/>
          <w:color w:val="3A3128"/>
          <w:kern w:val="16"/>
          <w:sz w:val="25"/>
          <w14:ligatures w14:val="standardContextual"/>
        </w:rPr>
        <w:t>11.5.1 Conceito e requisitos</w:t>
      </w:r>
    </w:p>
    <w:p w14:paraId="2F59C7BE"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2250988B" w14:textId="407996D7" w:rsidR="005A5FCC" w:rsidRDefault="00A21C81">
      <w:r>
        <w:rPr>
          <w:rFonts w:cs="EB Garamond"/>
          <w:kern w:val="16"/>
          <w14:ligatures w14:val="standardContextual"/>
        </w:rPr>
        <w:t xml:space="preserve"> diferença entre o art. 16 e o art. 15 é sutil</w:t>
      </w:r>
      <w:r w:rsidR="00DC4A16">
        <w:rPr>
          <w:rFonts w:cs="EB Garamond"/>
          <w:kern w:val="16"/>
          <w14:ligatures w14:val="standardContextual"/>
        </w:rPr>
        <w:t>,</w:t>
      </w:r>
      <w:r>
        <w:rPr>
          <w:rFonts w:cs="EB Garamond"/>
          <w:kern w:val="16"/>
          <w14:ligatures w14:val="standardContextual"/>
        </w:rPr>
        <w:t xml:space="preserve"> mas decisiva: enquanto o art. 15 permite compensar idade com mais TC (e vice-versa), o art. 16 exige idade mínima rígida, que cresce 6 meses a cada ano. Partiu-se de 56 anos (mulher) e 61 (homem) em 2019, rumo a 62 (mulher, em 2031) e 65 (homem, em 2027). Atingidas essas idades, a regra se iguala à permanente.</w:t>
      </w:r>
    </w:p>
    <w:p w14:paraId="08F8E225" w14:textId="77777777" w:rsidR="005A5FCC" w:rsidRDefault="00A21C81">
      <w:pPr>
        <w:ind w:firstLine="238"/>
      </w:pPr>
      <w:r>
        <w:rPr>
          <w:rFonts w:cs="EB Garamond"/>
          <w:kern w:val="16"/>
          <w14:ligatures w14:val="standardContextual"/>
        </w:rPr>
        <w:t>Os requisitos, cumulativos, são:</w:t>
      </w:r>
    </w:p>
    <w:p w14:paraId="4F084A28" w14:textId="77777777" w:rsidR="005A5FCC" w:rsidRDefault="00A21C81">
      <w:pPr>
        <w:ind w:firstLine="238"/>
      </w:pPr>
      <w:r>
        <w:rPr>
          <w:rFonts w:cs="EB Garamond"/>
          <w:b/>
          <w:kern w:val="16"/>
          <w14:ligatures w14:val="standardContextual"/>
        </w:rPr>
        <w:t>a) Tempo de contribuição mínimo:</w:t>
      </w:r>
      <w:r>
        <w:rPr>
          <w:rFonts w:cs="EB Garamond"/>
          <w:kern w:val="16"/>
          <w14:ligatures w14:val="standardContextual"/>
        </w:rPr>
        <w:t xml:space="preserve"> 30 anos (mulher) ou 35 anos (homem) — fixo, idêntico ao art. 15.</w:t>
      </w:r>
    </w:p>
    <w:p w14:paraId="0C11BA86" w14:textId="77777777" w:rsidR="005A5FCC" w:rsidRDefault="00A21C81">
      <w:pPr>
        <w:ind w:firstLine="238"/>
      </w:pPr>
      <w:r>
        <w:rPr>
          <w:rFonts w:cs="EB Garamond"/>
          <w:b/>
          <w:kern w:val="16"/>
          <w14:ligatures w14:val="standardContextual"/>
        </w:rPr>
        <w:t>b) Idade mínima progressiva:</w:t>
      </w:r>
      <w:r>
        <w:rPr>
          <w:rFonts w:cs="EB Garamond"/>
          <w:kern w:val="16"/>
          <w14:ligatures w14:val="standardContextual"/>
        </w:rPr>
        <w:t xml:space="preserve"> Conforme tabela abaixo. A idade aqui é requisito autônomo: mais TC não compensa menos idade.</w:t>
      </w:r>
    </w:p>
    <w:p w14:paraId="1F2D5FED" w14:textId="77777777" w:rsidR="005A5FCC" w:rsidRDefault="00A21C81">
      <w:pPr>
        <w:ind w:firstLine="238"/>
      </w:pPr>
      <w:r>
        <w:rPr>
          <w:rFonts w:cs="EB Garamond"/>
          <w:b/>
          <w:kern w:val="16"/>
          <w14:ligatures w14:val="standardContextual"/>
        </w:rPr>
        <w:t>c) Carência:</w:t>
      </w:r>
      <w:r>
        <w:rPr>
          <w:rFonts w:cs="EB Garamond"/>
          <w:kern w:val="16"/>
          <w14:ligatures w14:val="standardContextual"/>
        </w:rPr>
        <w:t xml:space="preserve"> 180 contribuições mensais (para segurados filiados antes de 24/07/1991, v. Tabela do art. 142, Cap. 3).</w:t>
      </w:r>
    </w:p>
    <w:p w14:paraId="2AC5D83F" w14:textId="77777777" w:rsidR="005A5FCC" w:rsidRDefault="00A21C81">
      <w:pPr>
        <w:spacing w:before="260" w:after="80" w:line="240" w:lineRule="auto"/>
        <w:jc w:val="left"/>
      </w:pPr>
      <w:r>
        <w:rPr>
          <w:rFonts w:cs="EB Garamond"/>
          <w:b/>
          <w:color w:val="3A3128"/>
          <w:kern w:val="16"/>
          <w:sz w:val="25"/>
          <w14:ligatures w14:val="standardContextual"/>
        </w:rPr>
        <w:t>11.5.2 Tabela de idade mínima progressiva (2019-2031)</w:t>
      </w:r>
    </w:p>
    <w:tbl>
      <w:tblPr>
        <w:tblW w:w="5000" w:type="pct"/>
        <w:jc w:val="center"/>
        <w:tblLook w:val="04A0" w:firstRow="1" w:lastRow="0" w:firstColumn="1" w:lastColumn="0" w:noHBand="0" w:noVBand="1"/>
      </w:tblPr>
      <w:tblGrid>
        <w:gridCol w:w="2114"/>
        <w:gridCol w:w="2113"/>
        <w:gridCol w:w="2113"/>
      </w:tblGrid>
      <w:tr w:rsidR="005A5FCC" w14:paraId="3E8002D6" w14:textId="77777777">
        <w:trPr>
          <w:tblHeader/>
          <w:jc w:val="center"/>
        </w:trPr>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0305B7DD" w14:textId="77777777" w:rsidR="005A5FCC" w:rsidRDefault="00A21C81">
            <w:pPr>
              <w:spacing w:before="40" w:after="40" w:line="240" w:lineRule="auto"/>
              <w:jc w:val="center"/>
            </w:pPr>
            <w:r>
              <w:rPr>
                <w:rFonts w:cs="EB Garamond"/>
                <w:b/>
                <w:color w:val="2F2923"/>
                <w:kern w:val="16"/>
                <w:sz w:val="18"/>
                <w14:ligatures w14:val="standardContextual"/>
              </w:rPr>
              <w:t>Ano</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0D6B5DFF" w14:textId="77777777" w:rsidR="005A5FCC" w:rsidRDefault="00A21C81">
            <w:pPr>
              <w:spacing w:before="40" w:after="40" w:line="240" w:lineRule="auto"/>
              <w:jc w:val="center"/>
            </w:pPr>
            <w:r>
              <w:rPr>
                <w:rFonts w:cs="EB Garamond"/>
                <w:b/>
                <w:color w:val="2F2923"/>
                <w:kern w:val="16"/>
                <w:sz w:val="18"/>
                <w14:ligatures w14:val="standardContextual"/>
              </w:rPr>
              <w:t>Mulher (idade)</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6B01C8C4" w14:textId="77777777" w:rsidR="005A5FCC" w:rsidRDefault="00A21C81">
            <w:pPr>
              <w:spacing w:before="40" w:after="40" w:line="240" w:lineRule="auto"/>
              <w:jc w:val="center"/>
            </w:pPr>
            <w:r>
              <w:rPr>
                <w:rFonts w:cs="EB Garamond"/>
                <w:b/>
                <w:color w:val="2F2923"/>
                <w:kern w:val="16"/>
                <w:sz w:val="18"/>
                <w14:ligatures w14:val="standardContextual"/>
              </w:rPr>
              <w:t>Homem (idade)</w:t>
            </w:r>
          </w:p>
        </w:tc>
      </w:tr>
      <w:tr w:rsidR="005A5FCC" w14:paraId="7D1A817F"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4FF99A7E" w14:textId="77777777" w:rsidR="005A5FCC" w:rsidRDefault="00A21C81">
            <w:pPr>
              <w:spacing w:before="20" w:after="20" w:line="240" w:lineRule="auto"/>
              <w:jc w:val="left"/>
            </w:pPr>
            <w:r>
              <w:rPr>
                <w:rFonts w:cs="EB Garamond"/>
                <w:kern w:val="16"/>
                <w:sz w:val="18"/>
                <w14:ligatures w14:val="standardContextual"/>
              </w:rPr>
              <w:t>2019</w:t>
            </w:r>
          </w:p>
        </w:tc>
        <w:tc>
          <w:tcPr>
            <w:tcW w:w="2117" w:type="dxa"/>
            <w:tcBorders>
              <w:top w:val="single" w:sz="4" w:space="0" w:color="D2C9B8"/>
              <w:left w:val="single" w:sz="4" w:space="0" w:color="D2C9B8"/>
              <w:bottom w:val="single" w:sz="4" w:space="0" w:color="D2C9B8"/>
              <w:right w:val="single" w:sz="4" w:space="0" w:color="D2C9B8"/>
            </w:tcBorders>
          </w:tcPr>
          <w:p w14:paraId="35A8A9F1" w14:textId="77777777" w:rsidR="005A5FCC" w:rsidRDefault="00A21C81">
            <w:pPr>
              <w:spacing w:before="20" w:after="20" w:line="240" w:lineRule="auto"/>
              <w:jc w:val="left"/>
            </w:pPr>
            <w:r>
              <w:rPr>
                <w:rFonts w:cs="EB Garamond"/>
                <w:kern w:val="16"/>
                <w:sz w:val="18"/>
                <w14:ligatures w14:val="standardContextual"/>
              </w:rPr>
              <w:t>56</w:t>
            </w:r>
          </w:p>
        </w:tc>
        <w:tc>
          <w:tcPr>
            <w:tcW w:w="2117" w:type="dxa"/>
            <w:tcBorders>
              <w:top w:val="single" w:sz="4" w:space="0" w:color="D2C9B8"/>
              <w:left w:val="single" w:sz="4" w:space="0" w:color="D2C9B8"/>
              <w:bottom w:val="single" w:sz="4" w:space="0" w:color="D2C9B8"/>
              <w:right w:val="single" w:sz="4" w:space="0" w:color="D2C9B8"/>
            </w:tcBorders>
          </w:tcPr>
          <w:p w14:paraId="228C580C" w14:textId="77777777" w:rsidR="005A5FCC" w:rsidRDefault="00A21C81">
            <w:pPr>
              <w:spacing w:before="20" w:after="20" w:line="240" w:lineRule="auto"/>
              <w:jc w:val="left"/>
            </w:pPr>
            <w:r>
              <w:rPr>
                <w:rFonts w:cs="EB Garamond"/>
                <w:kern w:val="16"/>
                <w:sz w:val="18"/>
                <w14:ligatures w14:val="standardContextual"/>
              </w:rPr>
              <w:t>61</w:t>
            </w:r>
          </w:p>
        </w:tc>
      </w:tr>
      <w:tr w:rsidR="005A5FCC" w14:paraId="243D0EC6"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7CE6EDBA" w14:textId="77777777" w:rsidR="005A5FCC" w:rsidRDefault="00A21C81">
            <w:pPr>
              <w:spacing w:before="20" w:after="20" w:line="240" w:lineRule="auto"/>
              <w:jc w:val="left"/>
            </w:pPr>
            <w:r>
              <w:rPr>
                <w:rFonts w:cs="EB Garamond"/>
                <w:kern w:val="16"/>
                <w:sz w:val="18"/>
                <w14:ligatures w14:val="standardContextual"/>
              </w:rPr>
              <w:t>2020</w:t>
            </w:r>
          </w:p>
        </w:tc>
        <w:tc>
          <w:tcPr>
            <w:tcW w:w="2117" w:type="dxa"/>
            <w:tcBorders>
              <w:top w:val="single" w:sz="4" w:space="0" w:color="D2C9B8"/>
              <w:left w:val="single" w:sz="4" w:space="0" w:color="D2C9B8"/>
              <w:bottom w:val="single" w:sz="4" w:space="0" w:color="D2C9B8"/>
              <w:right w:val="single" w:sz="4" w:space="0" w:color="D2C9B8"/>
            </w:tcBorders>
          </w:tcPr>
          <w:p w14:paraId="423AFDDE" w14:textId="77777777" w:rsidR="005A5FCC" w:rsidRDefault="00A21C81">
            <w:pPr>
              <w:spacing w:before="20" w:after="20" w:line="240" w:lineRule="auto"/>
              <w:jc w:val="left"/>
            </w:pPr>
            <w:r>
              <w:rPr>
                <w:rFonts w:cs="EB Garamond"/>
                <w:kern w:val="16"/>
                <w:sz w:val="18"/>
                <w14:ligatures w14:val="standardContextual"/>
              </w:rPr>
              <w:t>56,5</w:t>
            </w:r>
          </w:p>
        </w:tc>
        <w:tc>
          <w:tcPr>
            <w:tcW w:w="2117" w:type="dxa"/>
            <w:tcBorders>
              <w:top w:val="single" w:sz="4" w:space="0" w:color="D2C9B8"/>
              <w:left w:val="single" w:sz="4" w:space="0" w:color="D2C9B8"/>
              <w:bottom w:val="single" w:sz="4" w:space="0" w:color="D2C9B8"/>
              <w:right w:val="single" w:sz="4" w:space="0" w:color="D2C9B8"/>
            </w:tcBorders>
          </w:tcPr>
          <w:p w14:paraId="6C2A0CE1" w14:textId="77777777" w:rsidR="005A5FCC" w:rsidRDefault="00A21C81">
            <w:pPr>
              <w:spacing w:before="20" w:after="20" w:line="240" w:lineRule="auto"/>
              <w:jc w:val="left"/>
            </w:pPr>
            <w:r>
              <w:rPr>
                <w:rFonts w:cs="EB Garamond"/>
                <w:kern w:val="16"/>
                <w:sz w:val="18"/>
                <w14:ligatures w14:val="standardContextual"/>
              </w:rPr>
              <w:t>61,5</w:t>
            </w:r>
          </w:p>
        </w:tc>
      </w:tr>
      <w:tr w:rsidR="005A5FCC" w14:paraId="15162166"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556C7F4C" w14:textId="77777777" w:rsidR="005A5FCC" w:rsidRDefault="00A21C81">
            <w:pPr>
              <w:spacing w:before="20" w:after="20" w:line="240" w:lineRule="auto"/>
              <w:jc w:val="left"/>
            </w:pPr>
            <w:r>
              <w:rPr>
                <w:rFonts w:cs="EB Garamond"/>
                <w:kern w:val="16"/>
                <w:sz w:val="18"/>
                <w14:ligatures w14:val="standardContextual"/>
              </w:rPr>
              <w:t>2021</w:t>
            </w:r>
          </w:p>
        </w:tc>
        <w:tc>
          <w:tcPr>
            <w:tcW w:w="2117" w:type="dxa"/>
            <w:tcBorders>
              <w:top w:val="single" w:sz="4" w:space="0" w:color="D2C9B8"/>
              <w:left w:val="single" w:sz="4" w:space="0" w:color="D2C9B8"/>
              <w:bottom w:val="single" w:sz="4" w:space="0" w:color="D2C9B8"/>
              <w:right w:val="single" w:sz="4" w:space="0" w:color="D2C9B8"/>
            </w:tcBorders>
          </w:tcPr>
          <w:p w14:paraId="3E5C5762" w14:textId="77777777" w:rsidR="005A5FCC" w:rsidRDefault="00A21C81">
            <w:pPr>
              <w:spacing w:before="20" w:after="20" w:line="240" w:lineRule="auto"/>
              <w:jc w:val="left"/>
            </w:pPr>
            <w:r>
              <w:rPr>
                <w:rFonts w:cs="EB Garamond"/>
                <w:kern w:val="16"/>
                <w:sz w:val="18"/>
                <w14:ligatures w14:val="standardContextual"/>
              </w:rPr>
              <w:t>57</w:t>
            </w:r>
          </w:p>
        </w:tc>
        <w:tc>
          <w:tcPr>
            <w:tcW w:w="2117" w:type="dxa"/>
            <w:tcBorders>
              <w:top w:val="single" w:sz="4" w:space="0" w:color="D2C9B8"/>
              <w:left w:val="single" w:sz="4" w:space="0" w:color="D2C9B8"/>
              <w:bottom w:val="single" w:sz="4" w:space="0" w:color="D2C9B8"/>
              <w:right w:val="single" w:sz="4" w:space="0" w:color="D2C9B8"/>
            </w:tcBorders>
          </w:tcPr>
          <w:p w14:paraId="77911D18" w14:textId="77777777" w:rsidR="005A5FCC" w:rsidRDefault="00A21C81">
            <w:pPr>
              <w:spacing w:before="20" w:after="20" w:line="240" w:lineRule="auto"/>
              <w:jc w:val="left"/>
            </w:pPr>
            <w:r>
              <w:rPr>
                <w:rFonts w:cs="EB Garamond"/>
                <w:kern w:val="16"/>
                <w:sz w:val="18"/>
                <w14:ligatures w14:val="standardContextual"/>
              </w:rPr>
              <w:t>62</w:t>
            </w:r>
          </w:p>
        </w:tc>
      </w:tr>
      <w:tr w:rsidR="005A5FCC" w14:paraId="642610C9"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0D0C0D51" w14:textId="77777777" w:rsidR="005A5FCC" w:rsidRDefault="00A21C81">
            <w:pPr>
              <w:spacing w:before="20" w:after="20" w:line="240" w:lineRule="auto"/>
              <w:jc w:val="left"/>
            </w:pPr>
            <w:r>
              <w:rPr>
                <w:rFonts w:cs="EB Garamond"/>
                <w:kern w:val="16"/>
                <w:sz w:val="18"/>
                <w14:ligatures w14:val="standardContextual"/>
              </w:rPr>
              <w:t>2022</w:t>
            </w:r>
          </w:p>
        </w:tc>
        <w:tc>
          <w:tcPr>
            <w:tcW w:w="2117" w:type="dxa"/>
            <w:tcBorders>
              <w:top w:val="single" w:sz="4" w:space="0" w:color="D2C9B8"/>
              <w:left w:val="single" w:sz="4" w:space="0" w:color="D2C9B8"/>
              <w:bottom w:val="single" w:sz="4" w:space="0" w:color="D2C9B8"/>
              <w:right w:val="single" w:sz="4" w:space="0" w:color="D2C9B8"/>
            </w:tcBorders>
          </w:tcPr>
          <w:p w14:paraId="226785F0" w14:textId="77777777" w:rsidR="005A5FCC" w:rsidRDefault="00A21C81">
            <w:pPr>
              <w:spacing w:before="20" w:after="20" w:line="240" w:lineRule="auto"/>
              <w:jc w:val="left"/>
            </w:pPr>
            <w:r>
              <w:rPr>
                <w:rFonts w:cs="EB Garamond"/>
                <w:kern w:val="16"/>
                <w:sz w:val="18"/>
                <w14:ligatures w14:val="standardContextual"/>
              </w:rPr>
              <w:t>57,5</w:t>
            </w:r>
          </w:p>
        </w:tc>
        <w:tc>
          <w:tcPr>
            <w:tcW w:w="2117" w:type="dxa"/>
            <w:tcBorders>
              <w:top w:val="single" w:sz="4" w:space="0" w:color="D2C9B8"/>
              <w:left w:val="single" w:sz="4" w:space="0" w:color="D2C9B8"/>
              <w:bottom w:val="single" w:sz="4" w:space="0" w:color="D2C9B8"/>
              <w:right w:val="single" w:sz="4" w:space="0" w:color="D2C9B8"/>
            </w:tcBorders>
          </w:tcPr>
          <w:p w14:paraId="788A13C9" w14:textId="77777777" w:rsidR="005A5FCC" w:rsidRDefault="00A21C81">
            <w:pPr>
              <w:spacing w:before="20" w:after="20" w:line="240" w:lineRule="auto"/>
              <w:jc w:val="left"/>
            </w:pPr>
            <w:r>
              <w:rPr>
                <w:rFonts w:cs="EB Garamond"/>
                <w:kern w:val="16"/>
                <w:sz w:val="18"/>
                <w14:ligatures w14:val="standardContextual"/>
              </w:rPr>
              <w:t>62,5</w:t>
            </w:r>
          </w:p>
        </w:tc>
      </w:tr>
      <w:tr w:rsidR="005A5FCC" w14:paraId="1216F144"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235ED825" w14:textId="77777777" w:rsidR="005A5FCC" w:rsidRDefault="00A21C81">
            <w:pPr>
              <w:spacing w:before="20" w:after="20" w:line="240" w:lineRule="auto"/>
              <w:jc w:val="left"/>
            </w:pPr>
            <w:r>
              <w:rPr>
                <w:rFonts w:cs="EB Garamond"/>
                <w:kern w:val="16"/>
                <w:sz w:val="18"/>
                <w14:ligatures w14:val="standardContextual"/>
              </w:rPr>
              <w:t>2023</w:t>
            </w:r>
          </w:p>
        </w:tc>
        <w:tc>
          <w:tcPr>
            <w:tcW w:w="2117" w:type="dxa"/>
            <w:tcBorders>
              <w:top w:val="single" w:sz="4" w:space="0" w:color="D2C9B8"/>
              <w:left w:val="single" w:sz="4" w:space="0" w:color="D2C9B8"/>
              <w:bottom w:val="single" w:sz="4" w:space="0" w:color="D2C9B8"/>
              <w:right w:val="single" w:sz="4" w:space="0" w:color="D2C9B8"/>
            </w:tcBorders>
          </w:tcPr>
          <w:p w14:paraId="0896D737" w14:textId="77777777" w:rsidR="005A5FCC" w:rsidRDefault="00A21C81">
            <w:pPr>
              <w:spacing w:before="20" w:after="20" w:line="240" w:lineRule="auto"/>
              <w:jc w:val="left"/>
            </w:pPr>
            <w:r>
              <w:rPr>
                <w:rFonts w:cs="EB Garamond"/>
                <w:kern w:val="16"/>
                <w:sz w:val="18"/>
                <w14:ligatures w14:val="standardContextual"/>
              </w:rPr>
              <w:t>58</w:t>
            </w:r>
          </w:p>
        </w:tc>
        <w:tc>
          <w:tcPr>
            <w:tcW w:w="2117" w:type="dxa"/>
            <w:tcBorders>
              <w:top w:val="single" w:sz="4" w:space="0" w:color="D2C9B8"/>
              <w:left w:val="single" w:sz="4" w:space="0" w:color="D2C9B8"/>
              <w:bottom w:val="single" w:sz="4" w:space="0" w:color="D2C9B8"/>
              <w:right w:val="single" w:sz="4" w:space="0" w:color="D2C9B8"/>
            </w:tcBorders>
          </w:tcPr>
          <w:p w14:paraId="1DCB0F4E" w14:textId="77777777" w:rsidR="005A5FCC" w:rsidRDefault="00A21C81">
            <w:pPr>
              <w:spacing w:before="20" w:after="20" w:line="240" w:lineRule="auto"/>
              <w:jc w:val="left"/>
            </w:pPr>
            <w:r>
              <w:rPr>
                <w:rFonts w:cs="EB Garamond"/>
                <w:kern w:val="16"/>
                <w:sz w:val="18"/>
                <w14:ligatures w14:val="standardContextual"/>
              </w:rPr>
              <w:t>63</w:t>
            </w:r>
          </w:p>
        </w:tc>
      </w:tr>
      <w:tr w:rsidR="005A5FCC" w14:paraId="7B3057C3"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15326D96" w14:textId="77777777" w:rsidR="005A5FCC" w:rsidRDefault="00A21C81">
            <w:pPr>
              <w:spacing w:before="20" w:after="20" w:line="240" w:lineRule="auto"/>
              <w:jc w:val="left"/>
            </w:pPr>
            <w:r>
              <w:rPr>
                <w:rFonts w:cs="EB Garamond"/>
                <w:kern w:val="16"/>
                <w:sz w:val="18"/>
                <w14:ligatures w14:val="standardContextual"/>
              </w:rPr>
              <w:t>2024</w:t>
            </w:r>
          </w:p>
        </w:tc>
        <w:tc>
          <w:tcPr>
            <w:tcW w:w="2117" w:type="dxa"/>
            <w:tcBorders>
              <w:top w:val="single" w:sz="4" w:space="0" w:color="D2C9B8"/>
              <w:left w:val="single" w:sz="4" w:space="0" w:color="D2C9B8"/>
              <w:bottom w:val="single" w:sz="4" w:space="0" w:color="D2C9B8"/>
              <w:right w:val="single" w:sz="4" w:space="0" w:color="D2C9B8"/>
            </w:tcBorders>
          </w:tcPr>
          <w:p w14:paraId="4AA2C997" w14:textId="77777777" w:rsidR="005A5FCC" w:rsidRDefault="00A21C81">
            <w:pPr>
              <w:spacing w:before="20" w:after="20" w:line="240" w:lineRule="auto"/>
              <w:jc w:val="left"/>
            </w:pPr>
            <w:r>
              <w:rPr>
                <w:rFonts w:cs="EB Garamond"/>
                <w:kern w:val="16"/>
                <w:sz w:val="18"/>
                <w14:ligatures w14:val="standardContextual"/>
              </w:rPr>
              <w:t>58,5</w:t>
            </w:r>
          </w:p>
        </w:tc>
        <w:tc>
          <w:tcPr>
            <w:tcW w:w="2117" w:type="dxa"/>
            <w:tcBorders>
              <w:top w:val="single" w:sz="4" w:space="0" w:color="D2C9B8"/>
              <w:left w:val="single" w:sz="4" w:space="0" w:color="D2C9B8"/>
              <w:bottom w:val="single" w:sz="4" w:space="0" w:color="D2C9B8"/>
              <w:right w:val="single" w:sz="4" w:space="0" w:color="D2C9B8"/>
            </w:tcBorders>
          </w:tcPr>
          <w:p w14:paraId="621C853D" w14:textId="77777777" w:rsidR="005A5FCC" w:rsidRDefault="00A21C81">
            <w:pPr>
              <w:spacing w:before="20" w:after="20" w:line="240" w:lineRule="auto"/>
              <w:jc w:val="left"/>
            </w:pPr>
            <w:r>
              <w:rPr>
                <w:rFonts w:cs="EB Garamond"/>
                <w:kern w:val="16"/>
                <w:sz w:val="18"/>
                <w14:ligatures w14:val="standardContextual"/>
              </w:rPr>
              <w:t>63,5</w:t>
            </w:r>
          </w:p>
        </w:tc>
      </w:tr>
      <w:tr w:rsidR="005A5FCC" w14:paraId="7856A5C2"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08A3D58B" w14:textId="77777777" w:rsidR="005A5FCC" w:rsidRDefault="00A21C81">
            <w:pPr>
              <w:spacing w:before="20" w:after="20" w:line="240" w:lineRule="auto"/>
              <w:jc w:val="left"/>
            </w:pPr>
            <w:r>
              <w:rPr>
                <w:rFonts w:cs="EB Garamond"/>
                <w:kern w:val="16"/>
                <w:sz w:val="18"/>
                <w14:ligatures w14:val="standardContextual"/>
              </w:rPr>
              <w:t>2025</w:t>
            </w:r>
          </w:p>
        </w:tc>
        <w:tc>
          <w:tcPr>
            <w:tcW w:w="2117" w:type="dxa"/>
            <w:tcBorders>
              <w:top w:val="single" w:sz="4" w:space="0" w:color="D2C9B8"/>
              <w:left w:val="single" w:sz="4" w:space="0" w:color="D2C9B8"/>
              <w:bottom w:val="single" w:sz="4" w:space="0" w:color="D2C9B8"/>
              <w:right w:val="single" w:sz="4" w:space="0" w:color="D2C9B8"/>
            </w:tcBorders>
          </w:tcPr>
          <w:p w14:paraId="1043F929" w14:textId="77777777" w:rsidR="005A5FCC" w:rsidRDefault="00A21C81">
            <w:pPr>
              <w:spacing w:before="20" w:after="20" w:line="240" w:lineRule="auto"/>
              <w:jc w:val="left"/>
            </w:pPr>
            <w:r>
              <w:rPr>
                <w:rFonts w:cs="EB Garamond"/>
                <w:kern w:val="16"/>
                <w:sz w:val="18"/>
                <w14:ligatures w14:val="standardContextual"/>
              </w:rPr>
              <w:t>59</w:t>
            </w:r>
          </w:p>
        </w:tc>
        <w:tc>
          <w:tcPr>
            <w:tcW w:w="2117" w:type="dxa"/>
            <w:tcBorders>
              <w:top w:val="single" w:sz="4" w:space="0" w:color="D2C9B8"/>
              <w:left w:val="single" w:sz="4" w:space="0" w:color="D2C9B8"/>
              <w:bottom w:val="single" w:sz="4" w:space="0" w:color="D2C9B8"/>
              <w:right w:val="single" w:sz="4" w:space="0" w:color="D2C9B8"/>
            </w:tcBorders>
          </w:tcPr>
          <w:p w14:paraId="1ABA4E32" w14:textId="77777777" w:rsidR="005A5FCC" w:rsidRDefault="00A21C81">
            <w:pPr>
              <w:spacing w:before="20" w:after="20" w:line="240" w:lineRule="auto"/>
              <w:jc w:val="left"/>
            </w:pPr>
            <w:r>
              <w:rPr>
                <w:rFonts w:cs="EB Garamond"/>
                <w:kern w:val="16"/>
                <w:sz w:val="18"/>
                <w14:ligatures w14:val="standardContextual"/>
              </w:rPr>
              <w:t>64</w:t>
            </w:r>
          </w:p>
        </w:tc>
      </w:tr>
      <w:tr w:rsidR="005A5FCC" w14:paraId="3E9E39ED"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2F21FC43" w14:textId="77777777" w:rsidR="005A5FCC" w:rsidRDefault="00A21C81">
            <w:pPr>
              <w:spacing w:before="20" w:after="20" w:line="240" w:lineRule="auto"/>
              <w:jc w:val="left"/>
            </w:pPr>
            <w:r>
              <w:rPr>
                <w:rFonts w:cs="EB Garamond"/>
                <w:b/>
                <w:kern w:val="16"/>
                <w:sz w:val="18"/>
                <w14:ligatures w14:val="standardContextual"/>
              </w:rPr>
              <w:t>2026</w:t>
            </w:r>
          </w:p>
        </w:tc>
        <w:tc>
          <w:tcPr>
            <w:tcW w:w="2117" w:type="dxa"/>
            <w:tcBorders>
              <w:top w:val="single" w:sz="4" w:space="0" w:color="D2C9B8"/>
              <w:left w:val="single" w:sz="4" w:space="0" w:color="D2C9B8"/>
              <w:bottom w:val="single" w:sz="4" w:space="0" w:color="D2C9B8"/>
              <w:right w:val="single" w:sz="4" w:space="0" w:color="D2C9B8"/>
            </w:tcBorders>
          </w:tcPr>
          <w:p w14:paraId="45D768B0" w14:textId="77777777" w:rsidR="005A5FCC" w:rsidRDefault="00A21C81">
            <w:pPr>
              <w:spacing w:before="20" w:after="20" w:line="240" w:lineRule="auto"/>
              <w:jc w:val="left"/>
            </w:pPr>
            <w:r>
              <w:rPr>
                <w:rFonts w:cs="EB Garamond"/>
                <w:b/>
                <w:kern w:val="16"/>
                <w:sz w:val="18"/>
                <w14:ligatures w14:val="standardContextual"/>
              </w:rPr>
              <w:t>59,5</w:t>
            </w:r>
          </w:p>
        </w:tc>
        <w:tc>
          <w:tcPr>
            <w:tcW w:w="2117" w:type="dxa"/>
            <w:tcBorders>
              <w:top w:val="single" w:sz="4" w:space="0" w:color="D2C9B8"/>
              <w:left w:val="single" w:sz="4" w:space="0" w:color="D2C9B8"/>
              <w:bottom w:val="single" w:sz="4" w:space="0" w:color="D2C9B8"/>
              <w:right w:val="single" w:sz="4" w:space="0" w:color="D2C9B8"/>
            </w:tcBorders>
          </w:tcPr>
          <w:p w14:paraId="73D7F350" w14:textId="77777777" w:rsidR="005A5FCC" w:rsidRDefault="00A21C81">
            <w:pPr>
              <w:spacing w:before="20" w:after="20" w:line="240" w:lineRule="auto"/>
              <w:jc w:val="left"/>
            </w:pPr>
            <w:r>
              <w:rPr>
                <w:rFonts w:cs="EB Garamond"/>
                <w:b/>
                <w:kern w:val="16"/>
                <w:sz w:val="18"/>
                <w14:ligatures w14:val="standardContextual"/>
              </w:rPr>
              <w:t>64,5</w:t>
            </w:r>
          </w:p>
        </w:tc>
      </w:tr>
      <w:tr w:rsidR="005A5FCC" w14:paraId="68199D7E"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5721084C" w14:textId="77777777" w:rsidR="005A5FCC" w:rsidRDefault="00A21C81">
            <w:pPr>
              <w:spacing w:before="20" w:after="20" w:line="240" w:lineRule="auto"/>
              <w:jc w:val="left"/>
            </w:pPr>
            <w:r>
              <w:rPr>
                <w:rFonts w:cs="EB Garamond"/>
                <w:kern w:val="16"/>
                <w:sz w:val="18"/>
                <w14:ligatures w14:val="standardContextual"/>
              </w:rPr>
              <w:t>2027</w:t>
            </w:r>
          </w:p>
        </w:tc>
        <w:tc>
          <w:tcPr>
            <w:tcW w:w="2117" w:type="dxa"/>
            <w:tcBorders>
              <w:top w:val="single" w:sz="4" w:space="0" w:color="D2C9B8"/>
              <w:left w:val="single" w:sz="4" w:space="0" w:color="D2C9B8"/>
              <w:bottom w:val="single" w:sz="4" w:space="0" w:color="D2C9B8"/>
              <w:right w:val="single" w:sz="4" w:space="0" w:color="D2C9B8"/>
            </w:tcBorders>
          </w:tcPr>
          <w:p w14:paraId="2948253A" w14:textId="77777777" w:rsidR="005A5FCC" w:rsidRDefault="00A21C81">
            <w:pPr>
              <w:spacing w:before="20" w:after="20" w:line="240" w:lineRule="auto"/>
              <w:jc w:val="left"/>
            </w:pPr>
            <w:r>
              <w:rPr>
                <w:rFonts w:cs="EB Garamond"/>
                <w:kern w:val="16"/>
                <w:sz w:val="18"/>
                <w14:ligatures w14:val="standardContextual"/>
              </w:rPr>
              <w:t>60</w:t>
            </w:r>
          </w:p>
        </w:tc>
        <w:tc>
          <w:tcPr>
            <w:tcW w:w="2117" w:type="dxa"/>
            <w:tcBorders>
              <w:top w:val="single" w:sz="4" w:space="0" w:color="D2C9B8"/>
              <w:left w:val="single" w:sz="4" w:space="0" w:color="D2C9B8"/>
              <w:bottom w:val="single" w:sz="4" w:space="0" w:color="D2C9B8"/>
              <w:right w:val="single" w:sz="4" w:space="0" w:color="D2C9B8"/>
            </w:tcBorders>
          </w:tcPr>
          <w:p w14:paraId="4FC8DED6" w14:textId="77777777" w:rsidR="005A5FCC" w:rsidRDefault="00A21C81">
            <w:pPr>
              <w:spacing w:before="20" w:after="20" w:line="240" w:lineRule="auto"/>
              <w:jc w:val="left"/>
            </w:pPr>
            <w:r>
              <w:rPr>
                <w:rFonts w:cs="EB Garamond"/>
                <w:b/>
                <w:kern w:val="16"/>
                <w:sz w:val="18"/>
                <w14:ligatures w14:val="standardContextual"/>
              </w:rPr>
              <w:t>65 (estabiliza)</w:t>
            </w:r>
          </w:p>
        </w:tc>
      </w:tr>
      <w:tr w:rsidR="005A5FCC" w14:paraId="79CCE016"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39BBDE3D" w14:textId="77777777" w:rsidR="005A5FCC" w:rsidRDefault="00A21C81">
            <w:pPr>
              <w:spacing w:before="20" w:after="20" w:line="240" w:lineRule="auto"/>
              <w:jc w:val="left"/>
            </w:pPr>
            <w:r>
              <w:rPr>
                <w:rFonts w:cs="EB Garamond"/>
                <w:kern w:val="16"/>
                <w:sz w:val="18"/>
                <w14:ligatures w14:val="standardContextual"/>
              </w:rPr>
              <w:t>2028</w:t>
            </w:r>
          </w:p>
        </w:tc>
        <w:tc>
          <w:tcPr>
            <w:tcW w:w="2117" w:type="dxa"/>
            <w:tcBorders>
              <w:top w:val="single" w:sz="4" w:space="0" w:color="D2C9B8"/>
              <w:left w:val="single" w:sz="4" w:space="0" w:color="D2C9B8"/>
              <w:bottom w:val="single" w:sz="4" w:space="0" w:color="D2C9B8"/>
              <w:right w:val="single" w:sz="4" w:space="0" w:color="D2C9B8"/>
            </w:tcBorders>
          </w:tcPr>
          <w:p w14:paraId="7749A079" w14:textId="77777777" w:rsidR="005A5FCC" w:rsidRDefault="00A21C81">
            <w:pPr>
              <w:spacing w:before="20" w:after="20" w:line="240" w:lineRule="auto"/>
              <w:jc w:val="left"/>
            </w:pPr>
            <w:r>
              <w:rPr>
                <w:rFonts w:cs="EB Garamond"/>
                <w:kern w:val="16"/>
                <w:sz w:val="18"/>
                <w14:ligatures w14:val="standardContextual"/>
              </w:rPr>
              <w:t>60,5</w:t>
            </w:r>
          </w:p>
        </w:tc>
        <w:tc>
          <w:tcPr>
            <w:tcW w:w="2117" w:type="dxa"/>
            <w:tcBorders>
              <w:top w:val="single" w:sz="4" w:space="0" w:color="D2C9B8"/>
              <w:left w:val="single" w:sz="4" w:space="0" w:color="D2C9B8"/>
              <w:bottom w:val="single" w:sz="4" w:space="0" w:color="D2C9B8"/>
              <w:right w:val="single" w:sz="4" w:space="0" w:color="D2C9B8"/>
            </w:tcBorders>
          </w:tcPr>
          <w:p w14:paraId="5E9E4BC0" w14:textId="77777777" w:rsidR="005A5FCC" w:rsidRDefault="00A21C81">
            <w:pPr>
              <w:spacing w:before="20" w:after="20" w:line="240" w:lineRule="auto"/>
              <w:jc w:val="left"/>
            </w:pPr>
            <w:r>
              <w:rPr>
                <w:rFonts w:cs="EB Garamond"/>
                <w:kern w:val="16"/>
                <w:sz w:val="18"/>
                <w14:ligatures w14:val="standardContextual"/>
              </w:rPr>
              <w:t>65</w:t>
            </w:r>
          </w:p>
        </w:tc>
      </w:tr>
      <w:tr w:rsidR="005A5FCC" w14:paraId="25A27023"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43BD95F1" w14:textId="77777777" w:rsidR="005A5FCC" w:rsidRDefault="00A21C81">
            <w:pPr>
              <w:spacing w:before="20" w:after="20" w:line="240" w:lineRule="auto"/>
              <w:jc w:val="left"/>
            </w:pPr>
            <w:r>
              <w:rPr>
                <w:rFonts w:cs="EB Garamond"/>
                <w:kern w:val="16"/>
                <w:sz w:val="18"/>
                <w14:ligatures w14:val="standardContextual"/>
              </w:rPr>
              <w:lastRenderedPageBreak/>
              <w:t>2029</w:t>
            </w:r>
          </w:p>
        </w:tc>
        <w:tc>
          <w:tcPr>
            <w:tcW w:w="2117" w:type="dxa"/>
            <w:tcBorders>
              <w:top w:val="single" w:sz="4" w:space="0" w:color="D2C9B8"/>
              <w:left w:val="single" w:sz="4" w:space="0" w:color="D2C9B8"/>
              <w:bottom w:val="single" w:sz="4" w:space="0" w:color="D2C9B8"/>
              <w:right w:val="single" w:sz="4" w:space="0" w:color="D2C9B8"/>
            </w:tcBorders>
          </w:tcPr>
          <w:p w14:paraId="5B2E1265" w14:textId="77777777" w:rsidR="005A5FCC" w:rsidRDefault="00A21C81">
            <w:pPr>
              <w:spacing w:before="20" w:after="20" w:line="240" w:lineRule="auto"/>
              <w:jc w:val="left"/>
            </w:pPr>
            <w:r>
              <w:rPr>
                <w:rFonts w:cs="EB Garamond"/>
                <w:kern w:val="16"/>
                <w:sz w:val="18"/>
                <w14:ligatures w14:val="standardContextual"/>
              </w:rPr>
              <w:t>61</w:t>
            </w:r>
          </w:p>
        </w:tc>
        <w:tc>
          <w:tcPr>
            <w:tcW w:w="2117" w:type="dxa"/>
            <w:tcBorders>
              <w:top w:val="single" w:sz="4" w:space="0" w:color="D2C9B8"/>
              <w:left w:val="single" w:sz="4" w:space="0" w:color="D2C9B8"/>
              <w:bottom w:val="single" w:sz="4" w:space="0" w:color="D2C9B8"/>
              <w:right w:val="single" w:sz="4" w:space="0" w:color="D2C9B8"/>
            </w:tcBorders>
          </w:tcPr>
          <w:p w14:paraId="11849059" w14:textId="77777777" w:rsidR="005A5FCC" w:rsidRDefault="00A21C81">
            <w:pPr>
              <w:spacing w:before="20" w:after="20" w:line="240" w:lineRule="auto"/>
              <w:jc w:val="left"/>
            </w:pPr>
            <w:r>
              <w:rPr>
                <w:rFonts w:cs="EB Garamond"/>
                <w:kern w:val="16"/>
                <w:sz w:val="18"/>
                <w14:ligatures w14:val="standardContextual"/>
              </w:rPr>
              <w:t>65</w:t>
            </w:r>
          </w:p>
        </w:tc>
      </w:tr>
      <w:tr w:rsidR="005A5FCC" w14:paraId="6C9C9DA7"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63B4C555" w14:textId="77777777" w:rsidR="005A5FCC" w:rsidRDefault="00A21C81">
            <w:pPr>
              <w:spacing w:before="20" w:after="20" w:line="240" w:lineRule="auto"/>
              <w:jc w:val="left"/>
            </w:pPr>
            <w:r>
              <w:rPr>
                <w:rFonts w:cs="EB Garamond"/>
                <w:kern w:val="16"/>
                <w:sz w:val="18"/>
                <w14:ligatures w14:val="standardContextual"/>
              </w:rPr>
              <w:t>2030</w:t>
            </w:r>
          </w:p>
        </w:tc>
        <w:tc>
          <w:tcPr>
            <w:tcW w:w="2117" w:type="dxa"/>
            <w:tcBorders>
              <w:top w:val="single" w:sz="4" w:space="0" w:color="D2C9B8"/>
              <w:left w:val="single" w:sz="4" w:space="0" w:color="D2C9B8"/>
              <w:bottom w:val="single" w:sz="4" w:space="0" w:color="D2C9B8"/>
              <w:right w:val="single" w:sz="4" w:space="0" w:color="D2C9B8"/>
            </w:tcBorders>
          </w:tcPr>
          <w:p w14:paraId="290326D2" w14:textId="77777777" w:rsidR="005A5FCC" w:rsidRDefault="00A21C81">
            <w:pPr>
              <w:spacing w:before="20" w:after="20" w:line="240" w:lineRule="auto"/>
              <w:jc w:val="left"/>
            </w:pPr>
            <w:r>
              <w:rPr>
                <w:rFonts w:cs="EB Garamond"/>
                <w:kern w:val="16"/>
                <w:sz w:val="18"/>
                <w14:ligatures w14:val="standardContextual"/>
              </w:rPr>
              <w:t>61,5</w:t>
            </w:r>
          </w:p>
        </w:tc>
        <w:tc>
          <w:tcPr>
            <w:tcW w:w="2117" w:type="dxa"/>
            <w:tcBorders>
              <w:top w:val="single" w:sz="4" w:space="0" w:color="D2C9B8"/>
              <w:left w:val="single" w:sz="4" w:space="0" w:color="D2C9B8"/>
              <w:bottom w:val="single" w:sz="4" w:space="0" w:color="D2C9B8"/>
              <w:right w:val="single" w:sz="4" w:space="0" w:color="D2C9B8"/>
            </w:tcBorders>
          </w:tcPr>
          <w:p w14:paraId="78F51110" w14:textId="77777777" w:rsidR="005A5FCC" w:rsidRDefault="00A21C81">
            <w:pPr>
              <w:spacing w:before="20" w:after="20" w:line="240" w:lineRule="auto"/>
              <w:jc w:val="left"/>
            </w:pPr>
            <w:r>
              <w:rPr>
                <w:rFonts w:cs="EB Garamond"/>
                <w:kern w:val="16"/>
                <w:sz w:val="18"/>
                <w14:ligatures w14:val="standardContextual"/>
              </w:rPr>
              <w:t>65</w:t>
            </w:r>
          </w:p>
        </w:tc>
      </w:tr>
      <w:tr w:rsidR="005A5FCC" w14:paraId="2C992175"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4F58FFD6" w14:textId="77777777" w:rsidR="005A5FCC" w:rsidRDefault="00A21C81">
            <w:pPr>
              <w:spacing w:before="20" w:after="20" w:line="240" w:lineRule="auto"/>
              <w:jc w:val="left"/>
            </w:pPr>
            <w:r>
              <w:rPr>
                <w:rFonts w:cs="EB Garamond"/>
                <w:kern w:val="16"/>
                <w:sz w:val="18"/>
                <w14:ligatures w14:val="standardContextual"/>
              </w:rPr>
              <w:t>2031</w:t>
            </w:r>
          </w:p>
        </w:tc>
        <w:tc>
          <w:tcPr>
            <w:tcW w:w="2117" w:type="dxa"/>
            <w:tcBorders>
              <w:top w:val="single" w:sz="4" w:space="0" w:color="D2C9B8"/>
              <w:left w:val="single" w:sz="4" w:space="0" w:color="D2C9B8"/>
              <w:bottom w:val="single" w:sz="4" w:space="0" w:color="D2C9B8"/>
              <w:right w:val="single" w:sz="4" w:space="0" w:color="D2C9B8"/>
            </w:tcBorders>
          </w:tcPr>
          <w:p w14:paraId="245B8B70" w14:textId="77777777" w:rsidR="005A5FCC" w:rsidRDefault="00A21C81">
            <w:pPr>
              <w:spacing w:before="20" w:after="20" w:line="240" w:lineRule="auto"/>
              <w:jc w:val="left"/>
            </w:pPr>
            <w:r>
              <w:rPr>
                <w:rFonts w:cs="EB Garamond"/>
                <w:b/>
                <w:kern w:val="16"/>
                <w:sz w:val="18"/>
                <w14:ligatures w14:val="standardContextual"/>
              </w:rPr>
              <w:t>62 (estabiliza)</w:t>
            </w:r>
          </w:p>
        </w:tc>
        <w:tc>
          <w:tcPr>
            <w:tcW w:w="2117" w:type="dxa"/>
            <w:tcBorders>
              <w:top w:val="single" w:sz="4" w:space="0" w:color="D2C9B8"/>
              <w:left w:val="single" w:sz="4" w:space="0" w:color="D2C9B8"/>
              <w:bottom w:val="single" w:sz="4" w:space="0" w:color="D2C9B8"/>
              <w:right w:val="single" w:sz="4" w:space="0" w:color="D2C9B8"/>
            </w:tcBorders>
          </w:tcPr>
          <w:p w14:paraId="6701013B" w14:textId="77777777" w:rsidR="005A5FCC" w:rsidRDefault="00A21C81">
            <w:pPr>
              <w:spacing w:before="20" w:after="20" w:line="240" w:lineRule="auto"/>
              <w:jc w:val="left"/>
            </w:pPr>
            <w:r>
              <w:rPr>
                <w:rFonts w:cs="EB Garamond"/>
                <w:kern w:val="16"/>
                <w:sz w:val="18"/>
                <w14:ligatures w14:val="standardContextual"/>
              </w:rPr>
              <w:t>65</w:t>
            </w:r>
          </w:p>
        </w:tc>
      </w:tr>
    </w:tbl>
    <w:p w14:paraId="09A543FF" w14:textId="77777777" w:rsidR="005A5FCC" w:rsidRDefault="005A5FCC">
      <w:pPr>
        <w:spacing w:after="80" w:line="240" w:lineRule="auto"/>
      </w:pPr>
    </w:p>
    <w:p w14:paraId="242E53D9" w14:textId="77777777" w:rsidR="005A5FCC" w:rsidRDefault="00A21C81">
      <w:pPr>
        <w:spacing w:before="260" w:after="80" w:line="240" w:lineRule="auto"/>
        <w:jc w:val="left"/>
      </w:pPr>
      <w:r>
        <w:rPr>
          <w:rFonts w:cs="EB Garamond"/>
          <w:b/>
          <w:color w:val="3A3128"/>
          <w:kern w:val="16"/>
          <w:sz w:val="25"/>
          <w14:ligatures w14:val="standardContextual"/>
        </w:rPr>
        <w:t>11.5.3 Quando o art. 16 é mais vantajoso que o art. 15?</w:t>
      </w:r>
    </w:p>
    <w:p w14:paraId="205366E1"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N</w:t>
      </w:r>
    </w:p>
    <w:p w14:paraId="3A9E7E4F" w14:textId="77777777" w:rsidR="005A5FCC" w:rsidRDefault="00A21C81">
      <w:r>
        <w:rPr>
          <w:rFonts w:cs="EB Garamond"/>
          <w:kern w:val="16"/>
          <w14:ligatures w14:val="standardContextual"/>
        </w:rPr>
        <w:t>a maioria dos casos, as duas regras produzem resultados idênticos, pois o cálculo do benefício é o mesmo (60% + 2%/ano excedente sobre média de 100%). A diferença está nos requisitos de acesso:</w:t>
      </w:r>
    </w:p>
    <w:p w14:paraId="6D607BDB" w14:textId="77777777" w:rsidR="005A5FCC" w:rsidRDefault="00A21C81">
      <w:pPr>
        <w:ind w:firstLine="238"/>
      </w:pPr>
      <w:r>
        <w:rPr>
          <w:rFonts w:cs="EB Garamond"/>
          <w:b/>
          <w:kern w:val="16"/>
          <w14:ligatures w14:val="standardContextual"/>
        </w:rPr>
        <w:t>Art. 15 favorece:</w:t>
      </w:r>
      <w:r>
        <w:rPr>
          <w:rFonts w:cs="EB Garamond"/>
          <w:kern w:val="16"/>
          <w14:ligatures w14:val="standardContextual"/>
        </w:rPr>
        <w:t xml:space="preserve"> Segurados com muito tempo de contribuição e idade relativamente baixa. Exemplo: mulher com 37 anos de TC e 56 anos de idade → pontos = 93 (atinge art. 15 em 2026), mas idade 56 &lt; 59,5 (não atinge art. 16 em 2026).</w:t>
      </w:r>
    </w:p>
    <w:p w14:paraId="297C74A0" w14:textId="77777777" w:rsidR="005A5FCC" w:rsidRDefault="00A21C81">
      <w:pPr>
        <w:ind w:firstLine="238"/>
      </w:pPr>
      <w:r>
        <w:rPr>
          <w:rFonts w:cs="EB Garamond"/>
          <w:b/>
          <w:kern w:val="16"/>
          <w14:ligatures w14:val="standardContextual"/>
        </w:rPr>
        <w:t>Art. 16 favorece:</w:t>
      </w:r>
      <w:r>
        <w:rPr>
          <w:rFonts w:cs="EB Garamond"/>
          <w:kern w:val="16"/>
          <w14:ligatures w14:val="standardContextual"/>
        </w:rPr>
        <w:t xml:space="preserve"> Segurados com idade elevada mas tempo de contribuição próximo do mínimo. Exemplo: homem com 35 anos de TC e 65 anos de idade → idade 65 ≥ 64,5 (atinge art. 16 em 2026), pontos = 100 &lt; 103 (não atinge art. 15 em 2026).</w:t>
      </w:r>
    </w:p>
    <w:p w14:paraId="2692DF8A" w14:textId="77777777" w:rsidR="005A5FCC" w:rsidRDefault="00A21C81">
      <w:pPr>
        <w:ind w:firstLine="238"/>
      </w:pPr>
      <w:r>
        <w:rPr>
          <w:rFonts w:cs="EB Garamond"/>
          <w:kern w:val="16"/>
          <w14:ligatures w14:val="standardContextual"/>
        </w:rPr>
        <w:t>Na prática, o art. 15 tem campo de aplicação mais amplo porque permite compensação (mais TC = menos idade exigida), enquanto o art. 16 é rígido em ambos os requisitos.</w:t>
      </w:r>
    </w:p>
    <w:tbl>
      <w:tblPr>
        <w:tblW w:w="5000" w:type="pct"/>
        <w:jc w:val="center"/>
        <w:tblLayout w:type="fixed"/>
        <w:tblLook w:val="04A0" w:firstRow="1" w:lastRow="0" w:firstColumn="1" w:lastColumn="0" w:noHBand="0" w:noVBand="1"/>
      </w:tblPr>
      <w:tblGrid>
        <w:gridCol w:w="6311"/>
      </w:tblGrid>
      <w:tr w:rsidR="005A5FCC" w14:paraId="47D88D4B"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6B967A8F"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06E8C074" w14:textId="77777777" w:rsidR="005A5FCC" w:rsidRDefault="00A21C81">
            <w:pPr>
              <w:spacing w:after="60" w:line="247" w:lineRule="auto"/>
            </w:pPr>
            <w:r>
              <w:rPr>
                <w:rFonts w:cs="EB Garamond"/>
                <w:b/>
                <w:kern w:val="16"/>
                <w:sz w:val="19"/>
                <w14:ligatures w14:val="standardContextual"/>
              </w:rPr>
              <w:t>Comparativo art. 15 vs. Art. 16 — Caso concreto</w:t>
            </w:r>
          </w:p>
          <w:p w14:paraId="2A2BE966" w14:textId="77777777" w:rsidR="005A5FCC" w:rsidRDefault="00A21C81">
            <w:pPr>
              <w:spacing w:after="60" w:line="247" w:lineRule="auto"/>
            </w:pPr>
            <w:r>
              <w:rPr>
                <w:rFonts w:cs="EB Garamond"/>
                <w:b/>
                <w:kern w:val="16"/>
                <w:sz w:val="19"/>
                <w14:ligatures w14:val="standardContextual"/>
              </w:rPr>
              <w:t>Jorge</w:t>
            </w:r>
            <w:r>
              <w:rPr>
                <w:rFonts w:cs="EB Garamond"/>
                <w:kern w:val="16"/>
                <w:sz w:val="19"/>
                <w14:ligatures w14:val="standardContextual"/>
              </w:rPr>
              <w:t xml:space="preserve">, homem, 65 anos, 35 anos TC em 2026. - Art. 15: pontos = 65 + 35 = 100 &lt; 103 → </w:t>
            </w:r>
            <w:r>
              <w:rPr>
                <w:rFonts w:cs="EB Garamond"/>
                <w:b/>
                <w:kern w:val="16"/>
                <w:sz w:val="19"/>
                <w14:ligatures w14:val="standardContextual"/>
              </w:rPr>
              <w:t>NÃO atinge</w:t>
            </w:r>
            <w:r>
              <w:rPr>
                <w:rFonts w:cs="EB Garamond"/>
                <w:kern w:val="16"/>
                <w:sz w:val="19"/>
                <w14:ligatures w14:val="standardContextual"/>
              </w:rPr>
              <w:t xml:space="preserve"> em 2026 - Art. 16: idade 65 ≥ 64,5 </w:t>
            </w:r>
            <w:r>
              <w:rPr>
                <w:rFonts w:cs="EB Garamond"/>
                <w:b/>
                <w:kern w:val="16"/>
                <w:sz w:val="19"/>
                <w14:ligatures w14:val="standardContextual"/>
              </w:rPr>
              <w:t>E</w:t>
            </w:r>
            <w:r>
              <w:rPr>
                <w:rFonts w:cs="EB Garamond"/>
                <w:kern w:val="16"/>
                <w:sz w:val="19"/>
                <w14:ligatures w14:val="standardContextual"/>
              </w:rPr>
              <w:t xml:space="preserve"> TC 35 ≥ 35 → </w:t>
            </w:r>
            <w:r>
              <w:rPr>
                <w:rFonts w:cs="EB Garamond"/>
                <w:b/>
                <w:kern w:val="16"/>
                <w:sz w:val="19"/>
                <w14:ligatures w14:val="standardContextual"/>
              </w:rPr>
              <w:t>atinge</w:t>
            </w:r>
            <w:r>
              <w:rPr>
                <w:rFonts w:cs="EB Garamond"/>
                <w:kern w:val="16"/>
                <w:sz w:val="19"/>
                <w14:ligatures w14:val="standardContextual"/>
              </w:rPr>
              <w:t xml:space="preserve"> em 2026 - Conclusão: Jorge se aposenta pelo art. 16, não pelo art. 15.</w:t>
            </w:r>
          </w:p>
          <w:p w14:paraId="71A5BDED" w14:textId="77777777" w:rsidR="005A5FCC" w:rsidRDefault="00A21C81">
            <w:pPr>
              <w:spacing w:after="60" w:line="247" w:lineRule="auto"/>
            </w:pPr>
            <w:r>
              <w:rPr>
                <w:rFonts w:cs="EB Garamond"/>
                <w:b/>
                <w:kern w:val="16"/>
                <w:sz w:val="19"/>
                <w14:ligatures w14:val="standardContextual"/>
              </w:rPr>
              <w:t>Mariana</w:t>
            </w:r>
            <w:r>
              <w:rPr>
                <w:rFonts w:cs="EB Garamond"/>
                <w:kern w:val="16"/>
                <w:sz w:val="19"/>
                <w14:ligatures w14:val="standardContextual"/>
              </w:rPr>
              <w:t xml:space="preserve">, mulher, 56 anos, 37 anos TC em 2026. - Art. 15: pontos = 56 + 37 = 93 ≥ 93 → </w:t>
            </w:r>
            <w:r>
              <w:rPr>
                <w:rFonts w:cs="EB Garamond"/>
                <w:b/>
                <w:kern w:val="16"/>
                <w:sz w:val="19"/>
                <w14:ligatures w14:val="standardContextual"/>
              </w:rPr>
              <w:t>atinge</w:t>
            </w:r>
            <w:r>
              <w:rPr>
                <w:rFonts w:cs="EB Garamond"/>
                <w:kern w:val="16"/>
                <w:sz w:val="19"/>
                <w14:ligatures w14:val="standardContextual"/>
              </w:rPr>
              <w:t xml:space="preserve"> em 2026 - Art. 16: idade 56 &lt; 59,5 → </w:t>
            </w:r>
            <w:r>
              <w:rPr>
                <w:rFonts w:cs="EB Garamond"/>
                <w:b/>
                <w:kern w:val="16"/>
                <w:sz w:val="19"/>
                <w14:ligatures w14:val="standardContextual"/>
              </w:rPr>
              <w:t>NÃO atinge</w:t>
            </w:r>
            <w:r>
              <w:rPr>
                <w:rFonts w:cs="EB Garamond"/>
                <w:kern w:val="16"/>
                <w:sz w:val="19"/>
                <w14:ligatures w14:val="standardContextual"/>
              </w:rPr>
              <w:t xml:space="preserve"> em 2026 - Conclusão: Mariana se aposenta pelo art. 15, não pelo art. 16.</w:t>
            </w:r>
          </w:p>
          <w:p w14:paraId="7E741F0F" w14:textId="77777777" w:rsidR="005A5FCC" w:rsidRDefault="00A21C81">
            <w:pPr>
              <w:spacing w:after="60" w:line="247" w:lineRule="auto"/>
            </w:pPr>
            <w:r>
              <w:rPr>
                <w:rFonts w:cs="EB Garamond"/>
                <w:b/>
                <w:kern w:val="16"/>
                <w:sz w:val="19"/>
                <w14:ligatures w14:val="standardContextual"/>
              </w:rPr>
              <w:t>Em ambos os casos, o cálculo do benefício é idêntico.</w:t>
            </w:r>
            <w:r>
              <w:rPr>
                <w:rFonts w:cs="EB Garamond"/>
                <w:kern w:val="16"/>
                <w:sz w:val="19"/>
                <w14:ligatures w14:val="standardContextual"/>
              </w:rPr>
              <w:t xml:space="preserve"> A diferença é apenas no acesso.</w:t>
            </w:r>
          </w:p>
        </w:tc>
      </w:tr>
    </w:tbl>
    <w:p w14:paraId="59B1400D" w14:textId="77777777" w:rsidR="005A5FCC" w:rsidRDefault="005A5FCC">
      <w:pPr>
        <w:spacing w:after="80" w:line="240" w:lineRule="auto"/>
      </w:pPr>
    </w:p>
    <w:p w14:paraId="7FF30956"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11.6 Regra de transição do pedágio de 50% — art. 17, EC 103/2019</w:t>
      </w:r>
    </w:p>
    <w:p w14:paraId="29BA278C" w14:textId="77777777" w:rsidR="005A5FCC" w:rsidRDefault="00A21C81">
      <w:pPr>
        <w:spacing w:before="260" w:after="80" w:line="240" w:lineRule="auto"/>
        <w:jc w:val="left"/>
      </w:pPr>
      <w:r>
        <w:rPr>
          <w:rFonts w:cs="EB Garamond"/>
          <w:b/>
          <w:color w:val="3A3128"/>
          <w:kern w:val="16"/>
          <w:sz w:val="25"/>
          <w14:ligatures w14:val="standardContextual"/>
        </w:rPr>
        <w:t>11.6.1 Conceito e requisitos de elegibilidade</w:t>
      </w:r>
    </w:p>
    <w:p w14:paraId="658BF0B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449E6190" w14:textId="5201AFC3" w:rsidR="005A5FCC" w:rsidRDefault="00A21C81">
      <w:r>
        <w:rPr>
          <w:rFonts w:cs="EB Garamond"/>
          <w:kern w:val="16"/>
          <w14:ligatures w14:val="standardContextual"/>
        </w:rPr>
        <w:t xml:space="preserve"> pedágio de 50% (art. 17) só beneficia quem, em 13/11/2019, já tinha pelo menos 33 anos de TC (homem) ou 28 (mulher) — ou seja, a menos de dois anos do mínimo. Para os demais segurados, a regra é irrelevante. </w:t>
      </w:r>
      <w:r w:rsidR="0066293B">
        <w:rPr>
          <w:rFonts w:cs="EB Garamond"/>
          <w:kern w:val="16"/>
          <w14:ligatures w14:val="standardContextual"/>
        </w:rPr>
        <w:t>Para</w:t>
      </w:r>
      <w:r>
        <w:rPr>
          <w:rFonts w:cs="EB Garamond"/>
          <w:kern w:val="16"/>
          <w14:ligatures w14:val="standardContextual"/>
        </w:rPr>
        <w:t xml:space="preserve"> Castro e Lazzari (2025), trata-se da regra de transição de aplicação mais restrita. Concretamente:</w:t>
      </w:r>
    </w:p>
    <w:p w14:paraId="0B11BD4A"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Mulheres:</w:t>
      </w:r>
      <w:r>
        <w:rPr>
          <w:rFonts w:cs="EB Garamond"/>
          <w:kern w:val="16"/>
          <w:sz w:val="20"/>
          <w14:ligatures w14:val="standardContextual"/>
        </w:rPr>
        <w:t xml:space="preserve"> Pelo menos 28 anos de contribuição em 13/11/2019 (faltavam no máximo 2 anos para os 30 exigidos).</w:t>
      </w:r>
    </w:p>
    <w:p w14:paraId="4297698B"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Homens:</w:t>
      </w:r>
      <w:r>
        <w:rPr>
          <w:rFonts w:cs="EB Garamond"/>
          <w:kern w:val="16"/>
          <w:sz w:val="20"/>
          <w14:ligatures w14:val="standardContextual"/>
        </w:rPr>
        <w:t xml:space="preserve"> Pelo menos 33 anos de contribuição em 13/11/2019 (faltavam no máximo 2 anos para os 35 exigidos).</w:t>
      </w:r>
    </w:p>
    <w:p w14:paraId="45B8D309" w14:textId="77777777" w:rsidR="005A5FCC" w:rsidRDefault="005A5FCC">
      <w:pPr>
        <w:spacing w:after="60" w:line="240" w:lineRule="auto"/>
      </w:pPr>
    </w:p>
    <w:p w14:paraId="5E84DC6E"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2A0951D6" w14:textId="77777777" w:rsidR="005A5FCC" w:rsidRDefault="00A21C81">
      <w:r>
        <w:rPr>
          <w:rFonts w:cs="EB Garamond"/>
          <w:kern w:val="16"/>
          <w14:ligatures w14:val="standardContextual"/>
        </w:rPr>
        <w:t xml:space="preserve"> pedágio consiste em um acréscimo de 50% sobre o tempo que faltava em 13/11/2019. Se faltava 1 ano, o pedágio é de 6 meses (total: 1 ano e 6 meses). Se faltavam 2 anos, o pedágio é de 1 ano (total: 3 anos).</w:t>
      </w:r>
    </w:p>
    <w:p w14:paraId="42954B78" w14:textId="77777777" w:rsidR="005A5FCC" w:rsidRDefault="00A21C81">
      <w:pPr>
        <w:ind w:firstLine="238"/>
      </w:pPr>
      <w:r>
        <w:rPr>
          <w:rFonts w:cs="EB Garamond"/>
          <w:b/>
          <w:kern w:val="16"/>
          <w14:ligatures w14:val="standardContextual"/>
        </w:rPr>
        <w:t>Não há exigência de idade mínima.</w:t>
      </w:r>
      <w:r>
        <w:rPr>
          <w:rFonts w:cs="EB Garamond"/>
          <w:kern w:val="16"/>
          <w14:ligatures w14:val="standardContextual"/>
        </w:rPr>
        <w:t xml:space="preserve"> Essa é a única regra de transição da EC 103 que permite aposentadoria por tempo de contribuição sem requisito etário.</w:t>
      </w:r>
    </w:p>
    <w:p w14:paraId="747D146E" w14:textId="77777777" w:rsidR="005A5FCC" w:rsidRDefault="00A21C81">
      <w:pPr>
        <w:spacing w:before="260" w:after="80" w:line="240" w:lineRule="auto"/>
        <w:jc w:val="left"/>
      </w:pPr>
      <w:r>
        <w:rPr>
          <w:rFonts w:cs="EB Garamond"/>
          <w:b/>
          <w:color w:val="3A3128"/>
          <w:kern w:val="16"/>
          <w:sz w:val="25"/>
          <w14:ligatures w14:val="standardContextual"/>
        </w:rPr>
        <w:t>11.6.2 O fator previdenciário obrigatório</w:t>
      </w:r>
    </w:p>
    <w:p w14:paraId="7D85B7FE"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0DF08B2E" w14:textId="77777777" w:rsidR="005A5FCC" w:rsidRDefault="00A21C81">
      <w:r>
        <w:rPr>
          <w:rFonts w:cs="EB Garamond"/>
          <w:kern w:val="16"/>
          <w14:ligatures w14:val="standardContextual"/>
        </w:rPr>
        <w:t xml:space="preserve"> elemento mais relevante, e frequentemente mais prejudicial, da regra do pedágio 50% é a aplicação obrigatória do fator previdenciário. Ao contrário das demais regras de transição (que utilizam o coeficiente de 60% + 2%/ano excedente), o art. 17 determina que o benefício seja calculado pela fórmula anterior:</w:t>
      </w:r>
    </w:p>
    <w:p w14:paraId="60181995" w14:textId="77777777" w:rsidR="005A5FCC" w:rsidRDefault="00A21C81">
      <w:pPr>
        <w:spacing w:after="40" w:line="252" w:lineRule="auto"/>
        <w:ind w:left="340" w:hanging="198"/>
      </w:pPr>
      <w:r>
        <w:rPr>
          <w:rFonts w:cs="EB Garamond"/>
          <w:color w:val="3A3128"/>
          <w:kern w:val="16"/>
          <w:sz w:val="20"/>
          <w14:ligatures w14:val="standardContextual"/>
        </w:rPr>
        <w:t xml:space="preserve">1. </w:t>
      </w:r>
      <w:r>
        <w:rPr>
          <w:rFonts w:cs="EB Garamond"/>
          <w:b/>
          <w:kern w:val="16"/>
          <w:sz w:val="20"/>
          <w14:ligatures w14:val="standardContextual"/>
        </w:rPr>
        <w:t>Média dos 80% maiores salários de contribuição</w:t>
      </w:r>
      <w:r>
        <w:rPr>
          <w:rFonts w:cs="EB Garamond"/>
          <w:kern w:val="16"/>
          <w:sz w:val="20"/>
          <w14:ligatures w14:val="standardContextual"/>
        </w:rPr>
        <w:t xml:space="preserve"> (não 100% — vantagem sobre as demais regras).</w:t>
      </w:r>
    </w:p>
    <w:p w14:paraId="179A59F9" w14:textId="77777777" w:rsidR="005A5FCC" w:rsidRDefault="00A21C81">
      <w:pPr>
        <w:spacing w:after="40" w:line="252" w:lineRule="auto"/>
        <w:ind w:left="340" w:hanging="198"/>
      </w:pPr>
      <w:r>
        <w:rPr>
          <w:rFonts w:cs="EB Garamond"/>
          <w:color w:val="3A3128"/>
          <w:kern w:val="16"/>
          <w:sz w:val="20"/>
          <w14:ligatures w14:val="standardContextual"/>
        </w:rPr>
        <w:t xml:space="preserve">2. </w:t>
      </w:r>
      <w:r>
        <w:rPr>
          <w:rFonts w:cs="EB Garamond"/>
          <w:b/>
          <w:kern w:val="16"/>
          <w:sz w:val="20"/>
          <w14:ligatures w14:val="standardContextual"/>
        </w:rPr>
        <w:t>Aplicação do fator previdenciário</w:t>
      </w:r>
      <w:r>
        <w:rPr>
          <w:rFonts w:cs="EB Garamond"/>
          <w:kern w:val="16"/>
          <w:sz w:val="20"/>
          <w14:ligatures w14:val="standardContextual"/>
        </w:rPr>
        <w:t xml:space="preserve"> sobre a média (pode ser vantagem ou desvantagem, dependendo do caso).</w:t>
      </w:r>
    </w:p>
    <w:p w14:paraId="177A6E11" w14:textId="77777777" w:rsidR="005A5FCC" w:rsidRDefault="005A5FCC">
      <w:pPr>
        <w:spacing w:after="60" w:line="240" w:lineRule="auto"/>
      </w:pPr>
    </w:p>
    <w:p w14:paraId="4EDD360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E</w:t>
      </w:r>
    </w:p>
    <w:p w14:paraId="176E78B2" w14:textId="77777777" w:rsidR="005A5FCC" w:rsidRDefault="00A21C81">
      <w:r>
        <w:rPr>
          <w:rFonts w:cs="EB Garamond"/>
          <w:kern w:val="16"/>
          <w14:ligatures w14:val="standardContextual"/>
        </w:rPr>
        <w:t>ssa combinação cria um paradoxo: a regra do pedágio 50% pode produzir tanto o melhor quanto o pior resultado entre todas as regras, dependendo exclusivamente do valor do fator previdenciário.</w:t>
      </w:r>
    </w:p>
    <w:tbl>
      <w:tblPr>
        <w:tblW w:w="5000" w:type="pct"/>
        <w:jc w:val="center"/>
        <w:tblLayout w:type="fixed"/>
        <w:tblLook w:val="04A0" w:firstRow="1" w:lastRow="0" w:firstColumn="1" w:lastColumn="0" w:noHBand="0" w:noVBand="1"/>
      </w:tblPr>
      <w:tblGrid>
        <w:gridCol w:w="6311"/>
      </w:tblGrid>
      <w:tr w:rsidR="005A5FCC" w14:paraId="75B78D77"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04190974"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4F8C50E0" w14:textId="77777777" w:rsidR="005A5FCC" w:rsidRDefault="00A21C81">
            <w:pPr>
              <w:spacing w:after="60" w:line="247" w:lineRule="auto"/>
            </w:pPr>
            <w:r>
              <w:rPr>
                <w:rFonts w:cs="EB Garamond"/>
                <w:b/>
                <w:kern w:val="16"/>
                <w:sz w:val="19"/>
                <w14:ligatures w14:val="standardContextual"/>
              </w:rPr>
              <w:t>A armadilha do pedágio 50%: quando o fator previdenciário é inimigo</w:t>
            </w:r>
          </w:p>
          <w:p w14:paraId="550781E2" w14:textId="77777777" w:rsidR="005A5FCC" w:rsidRDefault="00A21C81">
            <w:pPr>
              <w:spacing w:after="60" w:line="247" w:lineRule="auto"/>
            </w:pPr>
            <w:r>
              <w:rPr>
                <w:rFonts w:cs="EB Garamond"/>
                <w:kern w:val="16"/>
                <w:sz w:val="19"/>
                <w14:ligatures w14:val="standardContextual"/>
              </w:rPr>
              <w:t>O fator previdenciário inferior a 1,0 reduz o valor do benefício, às vezes drasticamente. O segurado jovem (com menos de 58-60 anos) que se aposenta pelo pedágio 50% frequentemente obtém benefício inferior ao que receberia por outras regras.</w:t>
            </w:r>
          </w:p>
          <w:p w14:paraId="1C0E9325" w14:textId="77777777" w:rsidR="005A5FCC" w:rsidRDefault="00A21C81">
            <w:pPr>
              <w:spacing w:after="60" w:line="247" w:lineRule="auto"/>
            </w:pPr>
            <w:r>
              <w:rPr>
                <w:rFonts w:cs="EB Garamond"/>
                <w:b/>
                <w:kern w:val="16"/>
                <w:sz w:val="19"/>
                <w14:ligatures w14:val="standardContextual"/>
              </w:rPr>
              <w:t>Exemplo devastador:</w:t>
            </w:r>
            <w:r>
              <w:rPr>
                <w:rFonts w:cs="EB Garamond"/>
                <w:kern w:val="16"/>
                <w:sz w:val="19"/>
                <w14:ligatures w14:val="standardContextual"/>
              </w:rPr>
              <w:t xml:space="preserve"> - </w:t>
            </w:r>
            <w:r>
              <w:rPr>
                <w:rFonts w:cs="EB Garamond"/>
                <w:b/>
                <w:kern w:val="16"/>
                <w:sz w:val="19"/>
                <w14:ligatures w14:val="standardContextual"/>
              </w:rPr>
              <w:t>Marcos</w:t>
            </w:r>
            <w:r>
              <w:rPr>
                <w:rFonts w:cs="EB Garamond"/>
                <w:kern w:val="16"/>
                <w:sz w:val="19"/>
                <w14:ligatures w14:val="standardContextual"/>
              </w:rPr>
              <w:t xml:space="preserve">, homem, 54 anos, 36 anos TC (tinha 33 anos em 2019, faltava 2 anos → pedágio = 1 ano → precisava de 36 anos total → completou). - Fator previdenciário: Tc=36, Id=54, Es≈25,3 (tabela IBGE 2024) → f ≈ (36×0,31/25,3) × [1+(54+11,16)/100] = 0,441 × 1,6516 = </w:t>
            </w:r>
            <w:r>
              <w:rPr>
                <w:rFonts w:cs="EB Garamond"/>
                <w:b/>
                <w:kern w:val="16"/>
                <w:sz w:val="19"/>
                <w14:ligatures w14:val="standardContextual"/>
              </w:rPr>
              <w:t>0,728</w:t>
            </w:r>
            <w:r>
              <w:rPr>
                <w:rFonts w:cs="EB Garamond"/>
                <w:kern w:val="16"/>
                <w:sz w:val="19"/>
                <w14:ligatures w14:val="standardContextual"/>
              </w:rPr>
              <w:t xml:space="preserve"> - Média 80% maiores: R$ 6.000,00 - RMI pelo pedágio 50%: R$ 6.000 × 0,728 = </w:t>
            </w:r>
            <w:r>
              <w:rPr>
                <w:rFonts w:cs="EB Garamond"/>
                <w:b/>
                <w:kern w:val="16"/>
                <w:sz w:val="19"/>
                <w14:ligatures w14:val="standardContextual"/>
              </w:rPr>
              <w:t>R$ 4.368,00</w:t>
            </w:r>
          </w:p>
          <w:p w14:paraId="762FB653" w14:textId="77777777" w:rsidR="005A5FCC" w:rsidRDefault="00A21C81">
            <w:pPr>
              <w:spacing w:after="60" w:line="247" w:lineRule="auto"/>
            </w:pPr>
            <w:r>
              <w:rPr>
                <w:rFonts w:cs="EB Garamond"/>
                <w:b/>
                <w:kern w:val="16"/>
                <w:sz w:val="19"/>
                <w14:ligatures w14:val="standardContextual"/>
              </w:rPr>
              <w:t>E se Marcos esperasse?</w:t>
            </w:r>
            <w:r>
              <w:rPr>
                <w:rFonts w:cs="EB Garamond"/>
                <w:kern w:val="16"/>
                <w:sz w:val="19"/>
                <w14:ligatures w14:val="standardContextual"/>
              </w:rPr>
              <w:t xml:space="preserve"> O problema é que nenhuma regra de transição lhe oferece saída próxima: - </w:t>
            </w:r>
            <w:r>
              <w:rPr>
                <w:rFonts w:cs="EB Garamond"/>
                <w:b/>
                <w:kern w:val="16"/>
                <w:sz w:val="19"/>
                <w14:ligatures w14:val="standardContextual"/>
              </w:rPr>
              <w:t>Art. 15 (pontos):</w:t>
            </w:r>
            <w:r>
              <w:rPr>
                <w:rFonts w:cs="EB Garamond"/>
                <w:kern w:val="16"/>
                <w:sz w:val="19"/>
                <w14:ligatures w14:val="standardContextual"/>
              </w:rPr>
              <w:t xml:space="preserve"> em 2028 (56 anos, 38 TC) teria 94 pontos, abaixo dos 105 exigidos para o homem; a pontuação só seria alcançada em 2034, já com 62 anos (62 + 44 = 106 ≥ 105). - </w:t>
            </w:r>
            <w:r>
              <w:rPr>
                <w:rFonts w:cs="EB Garamond"/>
                <w:b/>
                <w:kern w:val="16"/>
                <w:sz w:val="19"/>
                <w14:ligatures w14:val="standardContextual"/>
              </w:rPr>
              <w:t>Art. 20 (pedágio 100%):</w:t>
            </w:r>
            <w:r>
              <w:rPr>
                <w:rFonts w:cs="EB Garamond"/>
                <w:kern w:val="16"/>
                <w:sz w:val="19"/>
                <w14:ligatures w14:val="standardContextual"/>
              </w:rPr>
              <w:t xml:space="preserve"> exige 60 anos de idade — Marcos só os completa em 2032. Nessa data, com idade e TC suficientes, obteria coeficiente de 100% sobre a média de 100% dos SC, sem a incidência do fator redutor.</w:t>
            </w:r>
          </w:p>
          <w:p w14:paraId="1F727DB9" w14:textId="77777777" w:rsidR="005A5FCC" w:rsidRDefault="00A21C81">
            <w:pPr>
              <w:spacing w:after="60" w:line="247" w:lineRule="auto"/>
            </w:pPr>
            <w:r>
              <w:rPr>
                <w:rFonts w:cs="EB Garamond"/>
                <w:kern w:val="16"/>
                <w:sz w:val="19"/>
                <w14:ligatures w14:val="standardContextual"/>
              </w:rPr>
              <w:t>Ou seja: aposentar-se já, pelo pedágio 50% com fator de 0,728, custa-lhe quase 27% do benefício; esperar significa adiar a aposentadoria por vários anos. É exatamente essa a armadilha — a regra está disponível, mas o fator a torna desvantajosa, e as alternativas só amadurecem no médio prazo.</w:t>
            </w:r>
          </w:p>
          <w:p w14:paraId="064DE785" w14:textId="77777777" w:rsidR="005A5FCC" w:rsidRDefault="00A21C81">
            <w:pPr>
              <w:spacing w:after="60" w:line="247" w:lineRule="auto"/>
            </w:pPr>
            <w:r>
              <w:rPr>
                <w:rFonts w:cs="EB Garamond"/>
                <w:b/>
                <w:kern w:val="16"/>
                <w:sz w:val="19"/>
                <w14:ligatures w14:val="standardContextual"/>
              </w:rPr>
              <w:t>Conclusão:</w:t>
            </w:r>
            <w:r>
              <w:rPr>
                <w:rFonts w:cs="EB Garamond"/>
                <w:kern w:val="16"/>
                <w:sz w:val="19"/>
                <w14:ligatures w14:val="standardContextual"/>
              </w:rPr>
              <w:t xml:space="preserve"> O pedágio 50% é vantajoso quase exclusivamente para segurados com fator previdenciário ≥ 1,0, ou seja, com idade igual ou superior a aproximadamente 63-65 anos e TC de 35+ anos. Para segurados mais jovens, é uma armadilha.</w:t>
            </w:r>
          </w:p>
        </w:tc>
      </w:tr>
    </w:tbl>
    <w:p w14:paraId="1DBAF842" w14:textId="77777777" w:rsidR="005A5FCC" w:rsidRDefault="005A5FCC">
      <w:pPr>
        <w:spacing w:after="80" w:line="240" w:lineRule="auto"/>
      </w:pPr>
    </w:p>
    <w:p w14:paraId="28D2B05A" w14:textId="77777777" w:rsidR="005A5FCC" w:rsidRDefault="00A21C81">
      <w:pPr>
        <w:spacing w:before="260" w:after="80" w:line="240" w:lineRule="auto"/>
        <w:jc w:val="left"/>
      </w:pPr>
      <w:r>
        <w:rPr>
          <w:rFonts w:cs="EB Garamond"/>
          <w:b/>
          <w:color w:val="3A3128"/>
          <w:kern w:val="16"/>
          <w:sz w:val="25"/>
          <w14:ligatures w14:val="standardContextual"/>
        </w:rPr>
        <w:t>11.6.3 Quando o pedágio 50% é vantajoso</w:t>
      </w:r>
    </w:p>
    <w:p w14:paraId="35C44543"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45A1E9A4" w14:textId="77777777" w:rsidR="005A5FCC" w:rsidRDefault="00A21C81">
      <w:r>
        <w:rPr>
          <w:rFonts w:cs="EB Garamond"/>
          <w:kern w:val="16"/>
          <w14:ligatures w14:val="standardContextual"/>
        </w:rPr>
        <w:t xml:space="preserve"> regra do pedágio 50% pode ser a mais vantajosa quando:</w:t>
      </w:r>
    </w:p>
    <w:p w14:paraId="6F8D0B4C" w14:textId="77777777" w:rsidR="005A5FCC" w:rsidRDefault="00A21C81">
      <w:pPr>
        <w:spacing w:after="40" w:line="252" w:lineRule="auto"/>
        <w:ind w:left="340" w:hanging="198"/>
      </w:pPr>
      <w:r>
        <w:rPr>
          <w:rFonts w:cs="EB Garamond"/>
          <w:color w:val="3A3128"/>
          <w:kern w:val="16"/>
          <w:sz w:val="20"/>
          <w14:ligatures w14:val="standardContextual"/>
        </w:rPr>
        <w:t xml:space="preserve">1. </w:t>
      </w:r>
      <w:r>
        <w:rPr>
          <w:rFonts w:cs="EB Garamond"/>
          <w:b/>
          <w:kern w:val="16"/>
          <w:sz w:val="20"/>
          <w14:ligatures w14:val="standardContextual"/>
        </w:rPr>
        <w:t>O segurado tem fator previdenciário elevado (&gt;= 1,0):</w:t>
      </w:r>
      <w:r>
        <w:rPr>
          <w:rFonts w:cs="EB Garamond"/>
          <w:kern w:val="16"/>
          <w:sz w:val="20"/>
          <w14:ligatures w14:val="standardContextual"/>
        </w:rPr>
        <w:t xml:space="preserve"> A combinação de idade avançada e muito tempo de contribuição pode resultar em fator superior a 1,0, ampliando o valor do benefício.</w:t>
      </w:r>
    </w:p>
    <w:p w14:paraId="10F750D5" w14:textId="77777777" w:rsidR="005A5FCC" w:rsidRDefault="005A5FCC">
      <w:pPr>
        <w:spacing w:after="60" w:line="240" w:lineRule="auto"/>
      </w:pPr>
    </w:p>
    <w:p w14:paraId="7AE4B658" w14:textId="2D00D79C" w:rsidR="005A5FCC" w:rsidRDefault="000D24FA">
      <w:pPr>
        <w:spacing w:after="40" w:line="252" w:lineRule="auto"/>
        <w:ind w:left="340" w:hanging="198"/>
      </w:pPr>
      <w:r>
        <w:rPr>
          <w:rFonts w:cs="EB Garamond"/>
          <w:color w:val="3A3128"/>
          <w:kern w:val="16"/>
          <w:sz w:val="20"/>
          <w14:ligatures w14:val="standardContextual"/>
        </w:rPr>
        <w:t>2</w:t>
      </w:r>
      <w:r w:rsidR="00A21C81">
        <w:rPr>
          <w:rFonts w:cs="EB Garamond"/>
          <w:color w:val="3A3128"/>
          <w:kern w:val="16"/>
          <w:sz w:val="20"/>
          <w14:ligatures w14:val="standardContextual"/>
        </w:rPr>
        <w:t xml:space="preserve">. </w:t>
      </w:r>
      <w:r w:rsidR="00A21C81">
        <w:rPr>
          <w:rFonts w:cs="EB Garamond"/>
          <w:b/>
          <w:kern w:val="16"/>
          <w:sz w:val="20"/>
          <w14:ligatures w14:val="standardContextual"/>
        </w:rPr>
        <w:t>A média dos 80% maiores SC é significativamente superior à média de 100%:</w:t>
      </w:r>
      <w:r w:rsidR="00A21C81">
        <w:rPr>
          <w:rFonts w:cs="EB Garamond"/>
          <w:kern w:val="16"/>
          <w:sz w:val="20"/>
          <w14:ligatures w14:val="standardContextual"/>
        </w:rPr>
        <w:t xml:space="preserve"> Como o pedágio 50% usa a média dos 80% maiores (descartando os 20% piores), a base de cálculo tende a ser mais elevada do que nas regras dos arts. 15, 16 e 20, que utilizam média de 100%.</w:t>
      </w:r>
    </w:p>
    <w:p w14:paraId="33344C4D" w14:textId="77777777" w:rsidR="005A5FCC" w:rsidRDefault="005A5FCC">
      <w:pPr>
        <w:spacing w:after="60" w:line="240" w:lineRule="auto"/>
      </w:pPr>
    </w:p>
    <w:p w14:paraId="785FE309" w14:textId="32E22FF0" w:rsidR="005A5FCC" w:rsidRDefault="000D24FA">
      <w:pPr>
        <w:spacing w:after="40" w:line="252" w:lineRule="auto"/>
        <w:ind w:left="340" w:hanging="198"/>
      </w:pPr>
      <w:r>
        <w:rPr>
          <w:rFonts w:cs="EB Garamond"/>
          <w:color w:val="3A3128"/>
          <w:kern w:val="16"/>
          <w:sz w:val="20"/>
          <w14:ligatures w14:val="standardContextual"/>
        </w:rPr>
        <w:t>3</w:t>
      </w:r>
      <w:r w:rsidR="00A21C81">
        <w:rPr>
          <w:rFonts w:cs="EB Garamond"/>
          <w:color w:val="3A3128"/>
          <w:kern w:val="16"/>
          <w:sz w:val="20"/>
          <w14:ligatures w14:val="standardContextual"/>
        </w:rPr>
        <w:t xml:space="preserve">. </w:t>
      </w:r>
      <w:r w:rsidR="00A21C81">
        <w:rPr>
          <w:rFonts w:cs="EB Garamond"/>
          <w:b/>
          <w:kern w:val="16"/>
          <w:sz w:val="20"/>
          <w14:ligatures w14:val="standardContextual"/>
        </w:rPr>
        <w:t>A combinação fator × média 80% supera o resultado de coeficiente × média 100%:</w:t>
      </w:r>
      <w:r w:rsidR="00A21C81">
        <w:rPr>
          <w:rFonts w:cs="EB Garamond"/>
          <w:kern w:val="16"/>
          <w:sz w:val="20"/>
          <w14:ligatures w14:val="standardContextual"/>
        </w:rPr>
        <w:t xml:space="preserve"> Essa é a comparação que o advogado deve fazer caso a caso.</w:t>
      </w:r>
    </w:p>
    <w:p w14:paraId="1195D1E6" w14:textId="77777777" w:rsidR="005A5FCC" w:rsidRDefault="005A5FCC">
      <w:pPr>
        <w:spacing w:after="60" w:line="240" w:lineRule="auto"/>
      </w:pPr>
    </w:p>
    <w:tbl>
      <w:tblPr>
        <w:tblW w:w="5000" w:type="pct"/>
        <w:jc w:val="center"/>
        <w:tblLayout w:type="fixed"/>
        <w:tblLook w:val="04A0" w:firstRow="1" w:lastRow="0" w:firstColumn="1" w:lastColumn="0" w:noHBand="0" w:noVBand="1"/>
      </w:tblPr>
      <w:tblGrid>
        <w:gridCol w:w="6311"/>
      </w:tblGrid>
      <w:tr w:rsidR="005A5FCC" w14:paraId="700066D3"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3BA22152"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55E52C8A" w14:textId="77777777" w:rsidR="005A5FCC" w:rsidRDefault="00A21C81">
            <w:pPr>
              <w:spacing w:after="60" w:line="247" w:lineRule="auto"/>
            </w:pPr>
            <w:r>
              <w:rPr>
                <w:rFonts w:cs="EB Garamond"/>
                <w:b/>
                <w:kern w:val="16"/>
                <w:sz w:val="19"/>
                <w14:ligatures w14:val="standardContextual"/>
              </w:rPr>
              <w:t>Quando o pedágio 50% brilha — Caso favorável</w:t>
            </w:r>
          </w:p>
          <w:p w14:paraId="53EA9D99" w14:textId="77777777" w:rsidR="005A5FCC" w:rsidRDefault="00A21C81">
            <w:pPr>
              <w:spacing w:after="60" w:line="247" w:lineRule="auto"/>
            </w:pPr>
            <w:r>
              <w:rPr>
                <w:rFonts w:cs="EB Garamond"/>
                <w:b/>
                <w:kern w:val="16"/>
                <w:sz w:val="19"/>
                <w14:ligatures w14:val="standardContextual"/>
              </w:rPr>
              <w:t>Lúcia</w:t>
            </w:r>
            <w:r>
              <w:rPr>
                <w:rFonts w:cs="EB Garamond"/>
                <w:kern w:val="16"/>
                <w:sz w:val="19"/>
                <w14:ligatures w14:val="standardContextual"/>
              </w:rPr>
              <w:t>, mulher, 63 anos, 31 anos TC (tinha 28 anos em 2019, faltavam 2 anos → pedágio = 1 ano → precisava de 31 anos total → completou). Com bônus de +5 anos para mulher no cálculo do fator.</w:t>
            </w:r>
          </w:p>
          <w:p w14:paraId="6AACCCE6" w14:textId="77777777" w:rsidR="005A5FCC" w:rsidRDefault="00A21C81">
            <w:pPr>
              <w:spacing w:after="30" w:line="240" w:lineRule="auto"/>
              <w:ind w:left="227" w:hanging="142"/>
            </w:pPr>
            <w:r>
              <w:rPr>
                <w:rFonts w:cs="EB Garamond"/>
                <w:kern w:val="16"/>
                <w:sz w:val="19"/>
                <w14:ligatures w14:val="standardContextual"/>
              </w:rPr>
              <w:t>• Fator previdenciário: Tc=31 (+5 bônus=36), Id=63, Es≈21,0</w:t>
            </w:r>
          </w:p>
          <w:p w14:paraId="023D76FD" w14:textId="77777777" w:rsidR="005A5FCC" w:rsidRDefault="00A21C81">
            <w:pPr>
              <w:spacing w:after="30" w:line="240" w:lineRule="auto"/>
              <w:ind w:left="227" w:hanging="142"/>
            </w:pPr>
            <w:r>
              <w:rPr>
                <w:rFonts w:cs="EB Garamond"/>
                <w:kern w:val="16"/>
                <w:sz w:val="19"/>
                <w14:ligatures w14:val="standardContextual"/>
              </w:rPr>
              <w:t xml:space="preserve">• f = (36×0,31/21,0) × [1+(63+36×0,31)/100] = 0,531 × 1,742 = </w:t>
            </w:r>
            <w:r>
              <w:rPr>
                <w:rFonts w:cs="EB Garamond"/>
                <w:b/>
                <w:kern w:val="16"/>
                <w:sz w:val="19"/>
                <w14:ligatures w14:val="standardContextual"/>
              </w:rPr>
              <w:t>0,925</w:t>
            </w:r>
          </w:p>
          <w:p w14:paraId="0B0A7CD0" w14:textId="77777777" w:rsidR="005A5FCC" w:rsidRDefault="00A21C81">
            <w:pPr>
              <w:spacing w:after="30" w:line="240" w:lineRule="auto"/>
              <w:ind w:left="227" w:hanging="142"/>
            </w:pPr>
            <w:r>
              <w:rPr>
                <w:rFonts w:cs="EB Garamond"/>
                <w:kern w:val="16"/>
                <w:sz w:val="19"/>
                <w14:ligatures w14:val="standardContextual"/>
              </w:rPr>
              <w:t>• Média 80% maiores: R$ 5.500,00</w:t>
            </w:r>
          </w:p>
          <w:p w14:paraId="2C62F42F" w14:textId="77777777" w:rsidR="005A5FCC" w:rsidRDefault="00A21C81">
            <w:pPr>
              <w:spacing w:after="30" w:line="240" w:lineRule="auto"/>
              <w:ind w:left="227" w:hanging="142"/>
            </w:pPr>
            <w:r>
              <w:rPr>
                <w:rFonts w:cs="EB Garamond"/>
                <w:kern w:val="16"/>
                <w:sz w:val="19"/>
                <w14:ligatures w14:val="standardContextual"/>
              </w:rPr>
              <w:t xml:space="preserve">• RMI pedágio 50%: R$ 5.500 × 0,925 = </w:t>
            </w:r>
            <w:r>
              <w:rPr>
                <w:rFonts w:cs="EB Garamond"/>
                <w:b/>
                <w:kern w:val="16"/>
                <w:sz w:val="19"/>
                <w14:ligatures w14:val="standardContextual"/>
              </w:rPr>
              <w:t>R$ 5.087,50</w:t>
            </w:r>
          </w:p>
          <w:p w14:paraId="6B3E7785" w14:textId="77777777" w:rsidR="005A5FCC" w:rsidRDefault="00A21C81">
            <w:pPr>
              <w:spacing w:after="60" w:line="247" w:lineRule="auto"/>
            </w:pPr>
            <w:r>
              <w:rPr>
                <w:rFonts w:cs="EB Garamond"/>
                <w:b/>
                <w:kern w:val="16"/>
                <w:sz w:val="19"/>
                <w14:ligatures w14:val="standardContextual"/>
              </w:rPr>
              <w:t>Comparativo com art. 15:</w:t>
            </w:r>
            <w:r>
              <w:rPr>
                <w:rFonts w:cs="EB Garamond"/>
                <w:kern w:val="16"/>
                <w:sz w:val="19"/>
                <w14:ligatures w14:val="standardContextual"/>
              </w:rPr>
              <w:t xml:space="preserve"> - Pontos: 63 + 31 = 94 ≥ 93 (2026 mulher) ✅ - Coeficiente: 60% + 2% × (31-15) = 92% - Média 100%: R$ 4.800,00 - RMI art. 15: R$ 4.800 × 92% = </w:t>
            </w:r>
            <w:r>
              <w:rPr>
                <w:rFonts w:cs="EB Garamond"/>
                <w:b/>
                <w:kern w:val="16"/>
                <w:sz w:val="19"/>
                <w14:ligatures w14:val="standardContextual"/>
              </w:rPr>
              <w:t>R$ 4.416,00</w:t>
            </w:r>
          </w:p>
          <w:p w14:paraId="567C0CB5" w14:textId="77777777" w:rsidR="005A5FCC" w:rsidRDefault="00A21C81">
            <w:pPr>
              <w:spacing w:after="60" w:line="247" w:lineRule="auto"/>
            </w:pPr>
            <w:r>
              <w:rPr>
                <w:rFonts w:cs="EB Garamond"/>
                <w:b/>
                <w:kern w:val="16"/>
                <w:sz w:val="19"/>
                <w14:ligatures w14:val="standardContextual"/>
              </w:rPr>
              <w:t>Pedágio 50% (R$ 5.087,50) &gt; Art. 15 (R$ 4.416,00).</w:t>
            </w:r>
            <w:r>
              <w:rPr>
                <w:rFonts w:cs="EB Garamond"/>
                <w:kern w:val="16"/>
                <w:sz w:val="19"/>
                <w14:ligatures w14:val="standardContextual"/>
              </w:rPr>
              <w:t xml:space="preserve"> A diferença de R$ 671,50/mês (R$ 8.058/ano) demonstra que o pedágio 50% pode ser extremamente vantajoso para seguradas com idade elevada.</w:t>
            </w:r>
          </w:p>
        </w:tc>
      </w:tr>
    </w:tbl>
    <w:p w14:paraId="5A759C25" w14:textId="77777777" w:rsidR="005A5FCC" w:rsidRDefault="005A5FCC">
      <w:pPr>
        <w:spacing w:after="80" w:line="240" w:lineRule="auto"/>
      </w:pPr>
    </w:p>
    <w:p w14:paraId="6CF41C11"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11.7 Regra de transição do pedágio de 100% — art. 20, EC 103/2019</w:t>
      </w:r>
    </w:p>
    <w:p w14:paraId="6BE5B634" w14:textId="77777777" w:rsidR="005A5FCC" w:rsidRDefault="00A21C81">
      <w:pPr>
        <w:spacing w:before="260" w:after="80" w:line="240" w:lineRule="auto"/>
        <w:jc w:val="left"/>
      </w:pPr>
      <w:r>
        <w:rPr>
          <w:rFonts w:cs="EB Garamond"/>
          <w:b/>
          <w:color w:val="3A3128"/>
          <w:kern w:val="16"/>
          <w:sz w:val="25"/>
          <w14:ligatures w14:val="standardContextual"/>
        </w:rPr>
        <w:t>11.7.1 Conceito e requisitos</w:t>
      </w:r>
    </w:p>
    <w:p w14:paraId="668BD6CF"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E</w:t>
      </w:r>
    </w:p>
    <w:p w14:paraId="1DBCAF06" w14:textId="77777777" w:rsidR="005A5FCC" w:rsidRDefault="00A21C81">
      <w:r>
        <w:rPr>
          <w:rFonts w:cs="EB Garamond"/>
          <w:kern w:val="16"/>
          <w14:ligatures w14:val="standardContextual"/>
        </w:rPr>
        <w:t>ntre as regras de transição, o pedágio de 100% (art. 20) é a que gera maior interesse dos segurados com idade e TC suficientes, por uma razão objetiva: é a única que garante coeficiente de 100% sobre a média, sem fator previdenciário. A contrapartida é o tempo adicional de contribuição exigido.</w:t>
      </w:r>
    </w:p>
    <w:p w14:paraId="6A933B44" w14:textId="77777777" w:rsidR="005A5FCC" w:rsidRDefault="00A21C81">
      <w:pPr>
        <w:ind w:firstLine="238"/>
      </w:pPr>
      <w:r>
        <w:rPr>
          <w:rFonts w:cs="EB Garamond"/>
          <w:kern w:val="16"/>
          <w14:ligatures w14:val="standardContextual"/>
        </w:rPr>
        <w:t>Os requisitos são cumulativos:</w:t>
      </w:r>
    </w:p>
    <w:p w14:paraId="2D55817C" w14:textId="77777777" w:rsidR="005A5FCC" w:rsidRDefault="00A21C81">
      <w:pPr>
        <w:ind w:firstLine="238"/>
      </w:pPr>
      <w:r>
        <w:rPr>
          <w:rFonts w:cs="EB Garamond"/>
          <w:b/>
          <w:kern w:val="16"/>
          <w14:ligatures w14:val="standardContextual"/>
        </w:rPr>
        <w:t>a) Idade mínima fixa:</w:t>
      </w:r>
      <w:r>
        <w:rPr>
          <w:rFonts w:cs="EB Garamond"/>
          <w:kern w:val="16"/>
          <w14:ligatures w14:val="standardContextual"/>
        </w:rPr>
        <w:t xml:space="preserve"> 57 anos (mulher) ou 60 anos (homem). Essas idades não são progressivas — permanecem constantes ao longo do tempo.</w:t>
      </w:r>
    </w:p>
    <w:p w14:paraId="44554D76" w14:textId="77777777" w:rsidR="005A5FCC" w:rsidRDefault="00A21C81">
      <w:pPr>
        <w:ind w:firstLine="238"/>
      </w:pPr>
      <w:r>
        <w:rPr>
          <w:rFonts w:cs="EB Garamond"/>
          <w:b/>
          <w:kern w:val="16"/>
          <w14:ligatures w14:val="standardContextual"/>
        </w:rPr>
        <w:t>b) Tempo de contribuição mínimo:</w:t>
      </w:r>
      <w:r>
        <w:rPr>
          <w:rFonts w:cs="EB Garamond"/>
          <w:kern w:val="16"/>
          <w14:ligatures w14:val="standardContextual"/>
        </w:rPr>
        <w:t xml:space="preserve"> 30 anos (mulher) ou 35 anos (homem).</w:t>
      </w:r>
    </w:p>
    <w:p w14:paraId="1789726C" w14:textId="77777777" w:rsidR="005A5FCC" w:rsidRDefault="00A21C81">
      <w:pPr>
        <w:ind w:firstLine="238"/>
      </w:pPr>
      <w:r>
        <w:rPr>
          <w:rFonts w:cs="EB Garamond"/>
          <w:b/>
          <w:kern w:val="16"/>
          <w14:ligatures w14:val="standardContextual"/>
        </w:rPr>
        <w:t>c) Pedágio de 100%:</w:t>
      </w:r>
      <w:r>
        <w:rPr>
          <w:rFonts w:cs="EB Garamond"/>
          <w:kern w:val="16"/>
          <w14:ligatures w14:val="standardContextual"/>
        </w:rPr>
        <w:t xml:space="preserve"> O segurado deve cumprir, além do TC mínimo, um período adicional equivalente a 100% do tempo que faltava para atingir 30/35 anos em 13/11/2019.</w:t>
      </w:r>
    </w:p>
    <w:p w14:paraId="0EF768D0" w14:textId="77777777" w:rsidR="005A5FCC" w:rsidRDefault="00A21C81">
      <w:pPr>
        <w:ind w:firstLine="238"/>
      </w:pPr>
      <w:r>
        <w:rPr>
          <w:rFonts w:cs="EB Garamond"/>
          <w:b/>
          <w:kern w:val="16"/>
          <w14:ligatures w14:val="standardContextual"/>
        </w:rPr>
        <w:t>d) Carência:</w:t>
      </w:r>
      <w:r>
        <w:rPr>
          <w:rFonts w:cs="EB Garamond"/>
          <w:kern w:val="16"/>
          <w14:ligatures w14:val="standardContextual"/>
        </w:rPr>
        <w:t xml:space="preserve"> 180 contribuições mensais (para segurados filiados antes de 24/07/1991, v. Tabela do art. 142, Cap. 3).</w:t>
      </w:r>
    </w:p>
    <w:p w14:paraId="447CA34B" w14:textId="77777777" w:rsidR="005A5FCC" w:rsidRDefault="00A21C81">
      <w:pPr>
        <w:spacing w:before="260" w:after="80" w:line="240" w:lineRule="auto"/>
        <w:jc w:val="left"/>
      </w:pPr>
      <w:r>
        <w:rPr>
          <w:rFonts w:cs="EB Garamond"/>
          <w:b/>
          <w:color w:val="3A3128"/>
          <w:kern w:val="16"/>
          <w:sz w:val="25"/>
          <w14:ligatures w14:val="standardContextual"/>
        </w:rPr>
        <w:t>11.7.2 Cálculo do pedágio</w:t>
      </w:r>
    </w:p>
    <w:p w14:paraId="7C9142C4"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6BBB6731" w14:textId="77777777" w:rsidR="005A5FCC" w:rsidRDefault="00A21C81">
      <w:r>
        <w:rPr>
          <w:rFonts w:cs="EB Garamond"/>
          <w:kern w:val="16"/>
          <w14:ligatures w14:val="standardContextual"/>
        </w:rPr>
        <w:t xml:space="preserve"> cálculo do pedágio é simples: dobra-se o tempo que faltava. Se em 13/11/2019 o segurado homem tinha 30 anos de TC (faltavam 5 anos para os 35), o pedágio é de 5 anos adicionais — totalizando 40 anos de TC necessários (35 + 5).</w:t>
      </w:r>
    </w:p>
    <w:p w14:paraId="0F72A4BC" w14:textId="77777777" w:rsidR="005A5FCC" w:rsidRDefault="00A21C81">
      <w:pPr>
        <w:ind w:firstLine="238"/>
      </w:pPr>
      <w:r>
        <w:rPr>
          <w:rFonts w:cs="EB Garamond"/>
          <w:kern w:val="16"/>
          <w14:ligatures w14:val="standardContextual"/>
        </w:rPr>
        <w:t>A tabela abaixo ilustra o impacto do pedágio conforme o TC em 13/11/2019:</w:t>
      </w:r>
    </w:p>
    <w:tbl>
      <w:tblPr>
        <w:tblW w:w="5000" w:type="pct"/>
        <w:jc w:val="center"/>
        <w:tblLook w:val="04A0" w:firstRow="1" w:lastRow="0" w:firstColumn="1" w:lastColumn="0" w:noHBand="0" w:noVBand="1"/>
      </w:tblPr>
      <w:tblGrid>
        <w:gridCol w:w="1585"/>
        <w:gridCol w:w="1585"/>
        <w:gridCol w:w="1585"/>
        <w:gridCol w:w="1585"/>
      </w:tblGrid>
      <w:tr w:rsidR="005A5FCC" w14:paraId="02BC7A1A" w14:textId="77777777">
        <w:trPr>
          <w:tblHeader/>
          <w:jc w:val="center"/>
        </w:trPr>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3C26835C" w14:textId="77777777" w:rsidR="005A5FCC" w:rsidRDefault="00A21C81">
            <w:pPr>
              <w:spacing w:before="40" w:after="40" w:line="240" w:lineRule="auto"/>
              <w:jc w:val="center"/>
            </w:pPr>
            <w:r>
              <w:rPr>
                <w:rFonts w:cs="EB Garamond"/>
                <w:b/>
                <w:color w:val="2F2923"/>
                <w:kern w:val="16"/>
                <w:sz w:val="18"/>
                <w14:ligatures w14:val="standardContextual"/>
              </w:rPr>
              <w:t>TC em 13/11/2019 (Homem)</w:t>
            </w:r>
          </w:p>
        </w:tc>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2C8A29B4" w14:textId="77777777" w:rsidR="005A5FCC" w:rsidRDefault="00A21C81">
            <w:pPr>
              <w:spacing w:before="40" w:after="40" w:line="240" w:lineRule="auto"/>
              <w:jc w:val="center"/>
            </w:pPr>
            <w:r>
              <w:rPr>
                <w:rFonts w:cs="EB Garamond"/>
                <w:b/>
                <w:color w:val="2F2923"/>
                <w:kern w:val="16"/>
                <w:sz w:val="18"/>
                <w14:ligatures w14:val="standardContextual"/>
              </w:rPr>
              <w:t>Faltava</w:t>
            </w:r>
          </w:p>
        </w:tc>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4B6EAA98" w14:textId="77777777" w:rsidR="005A5FCC" w:rsidRDefault="00A21C81">
            <w:pPr>
              <w:spacing w:before="40" w:after="40" w:line="240" w:lineRule="auto"/>
              <w:jc w:val="center"/>
            </w:pPr>
            <w:r>
              <w:rPr>
                <w:rFonts w:cs="EB Garamond"/>
                <w:b/>
                <w:color w:val="2F2923"/>
                <w:kern w:val="16"/>
                <w:sz w:val="18"/>
                <w14:ligatures w14:val="standardContextual"/>
              </w:rPr>
              <w:t>Pedágio 100%</w:t>
            </w:r>
          </w:p>
        </w:tc>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6F9358A4" w14:textId="77777777" w:rsidR="005A5FCC" w:rsidRDefault="00A21C81">
            <w:pPr>
              <w:spacing w:before="40" w:after="40" w:line="240" w:lineRule="auto"/>
              <w:jc w:val="center"/>
            </w:pPr>
            <w:r>
              <w:rPr>
                <w:rFonts w:cs="EB Garamond"/>
                <w:b/>
                <w:color w:val="2F2923"/>
                <w:kern w:val="16"/>
                <w:sz w:val="18"/>
                <w14:ligatures w14:val="standardContextual"/>
              </w:rPr>
              <w:t>TC total necessário</w:t>
            </w:r>
          </w:p>
        </w:tc>
      </w:tr>
      <w:tr w:rsidR="005A5FCC" w14:paraId="2D4C630B"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13A4E7ED" w14:textId="77777777" w:rsidR="005A5FCC" w:rsidRDefault="00A21C81">
            <w:pPr>
              <w:spacing w:before="20" w:after="20" w:line="240" w:lineRule="auto"/>
              <w:jc w:val="left"/>
            </w:pPr>
            <w:r>
              <w:rPr>
                <w:rFonts w:cs="EB Garamond"/>
                <w:kern w:val="16"/>
                <w:sz w:val="18"/>
                <w14:ligatures w14:val="standardContextual"/>
              </w:rPr>
              <w:t>35 anos</w:t>
            </w:r>
          </w:p>
        </w:tc>
        <w:tc>
          <w:tcPr>
            <w:tcW w:w="1587" w:type="dxa"/>
            <w:tcBorders>
              <w:top w:val="single" w:sz="4" w:space="0" w:color="D2C9B8"/>
              <w:left w:val="single" w:sz="4" w:space="0" w:color="D2C9B8"/>
              <w:bottom w:val="single" w:sz="4" w:space="0" w:color="D2C9B8"/>
              <w:right w:val="single" w:sz="4" w:space="0" w:color="D2C9B8"/>
            </w:tcBorders>
          </w:tcPr>
          <w:p w14:paraId="38623695" w14:textId="77777777" w:rsidR="005A5FCC" w:rsidRDefault="00A21C81">
            <w:pPr>
              <w:spacing w:before="20" w:after="20" w:line="240" w:lineRule="auto"/>
              <w:jc w:val="left"/>
            </w:pPr>
            <w:r>
              <w:rPr>
                <w:rFonts w:cs="EB Garamond"/>
                <w:kern w:val="16"/>
                <w:sz w:val="18"/>
                <w14:ligatures w14:val="standardContextual"/>
              </w:rPr>
              <w:t>0</w:t>
            </w:r>
          </w:p>
        </w:tc>
        <w:tc>
          <w:tcPr>
            <w:tcW w:w="1587" w:type="dxa"/>
            <w:tcBorders>
              <w:top w:val="single" w:sz="4" w:space="0" w:color="D2C9B8"/>
              <w:left w:val="single" w:sz="4" w:space="0" w:color="D2C9B8"/>
              <w:bottom w:val="single" w:sz="4" w:space="0" w:color="D2C9B8"/>
              <w:right w:val="single" w:sz="4" w:space="0" w:color="D2C9B8"/>
            </w:tcBorders>
          </w:tcPr>
          <w:p w14:paraId="2AD4C78C" w14:textId="77777777" w:rsidR="005A5FCC" w:rsidRDefault="00A21C81">
            <w:pPr>
              <w:spacing w:before="20" w:after="20" w:line="240" w:lineRule="auto"/>
              <w:jc w:val="left"/>
            </w:pPr>
            <w:r>
              <w:rPr>
                <w:rFonts w:cs="EB Garamond"/>
                <w:kern w:val="16"/>
                <w:sz w:val="18"/>
                <w14:ligatures w14:val="standardContextual"/>
              </w:rPr>
              <w:t>0</w:t>
            </w:r>
          </w:p>
        </w:tc>
        <w:tc>
          <w:tcPr>
            <w:tcW w:w="1587" w:type="dxa"/>
            <w:tcBorders>
              <w:top w:val="single" w:sz="4" w:space="0" w:color="D2C9B8"/>
              <w:left w:val="single" w:sz="4" w:space="0" w:color="D2C9B8"/>
              <w:bottom w:val="single" w:sz="4" w:space="0" w:color="D2C9B8"/>
              <w:right w:val="single" w:sz="4" w:space="0" w:color="D2C9B8"/>
            </w:tcBorders>
          </w:tcPr>
          <w:p w14:paraId="3FF82265" w14:textId="77777777" w:rsidR="005A5FCC" w:rsidRDefault="00A21C81">
            <w:pPr>
              <w:spacing w:before="20" w:after="20" w:line="240" w:lineRule="auto"/>
              <w:jc w:val="left"/>
            </w:pPr>
            <w:r>
              <w:rPr>
                <w:rFonts w:cs="EB Garamond"/>
                <w:kern w:val="16"/>
                <w:sz w:val="18"/>
                <w14:ligatures w14:val="standardContextual"/>
              </w:rPr>
              <w:t>35 anos</w:t>
            </w:r>
          </w:p>
        </w:tc>
      </w:tr>
      <w:tr w:rsidR="005A5FCC" w14:paraId="6FB99649"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66807B7B" w14:textId="77777777" w:rsidR="005A5FCC" w:rsidRDefault="00A21C81">
            <w:pPr>
              <w:spacing w:before="20" w:after="20" w:line="240" w:lineRule="auto"/>
              <w:jc w:val="left"/>
            </w:pPr>
            <w:r>
              <w:rPr>
                <w:rFonts w:cs="EB Garamond"/>
                <w:kern w:val="16"/>
                <w:sz w:val="18"/>
                <w14:ligatures w14:val="standardContextual"/>
              </w:rPr>
              <w:t>34 anos</w:t>
            </w:r>
          </w:p>
        </w:tc>
        <w:tc>
          <w:tcPr>
            <w:tcW w:w="1587" w:type="dxa"/>
            <w:tcBorders>
              <w:top w:val="single" w:sz="4" w:space="0" w:color="D2C9B8"/>
              <w:left w:val="single" w:sz="4" w:space="0" w:color="D2C9B8"/>
              <w:bottom w:val="single" w:sz="4" w:space="0" w:color="D2C9B8"/>
              <w:right w:val="single" w:sz="4" w:space="0" w:color="D2C9B8"/>
            </w:tcBorders>
          </w:tcPr>
          <w:p w14:paraId="6A0DF965" w14:textId="77777777" w:rsidR="005A5FCC" w:rsidRDefault="00A21C81">
            <w:pPr>
              <w:spacing w:before="20" w:after="20" w:line="240" w:lineRule="auto"/>
              <w:jc w:val="left"/>
            </w:pPr>
            <w:r>
              <w:rPr>
                <w:rFonts w:cs="EB Garamond"/>
                <w:kern w:val="16"/>
                <w:sz w:val="18"/>
                <w14:ligatures w14:val="standardContextual"/>
              </w:rPr>
              <w:t>1 ano</w:t>
            </w:r>
          </w:p>
        </w:tc>
        <w:tc>
          <w:tcPr>
            <w:tcW w:w="1587" w:type="dxa"/>
            <w:tcBorders>
              <w:top w:val="single" w:sz="4" w:space="0" w:color="D2C9B8"/>
              <w:left w:val="single" w:sz="4" w:space="0" w:color="D2C9B8"/>
              <w:bottom w:val="single" w:sz="4" w:space="0" w:color="D2C9B8"/>
              <w:right w:val="single" w:sz="4" w:space="0" w:color="D2C9B8"/>
            </w:tcBorders>
          </w:tcPr>
          <w:p w14:paraId="35257E1F" w14:textId="77777777" w:rsidR="005A5FCC" w:rsidRDefault="00A21C81">
            <w:pPr>
              <w:spacing w:before="20" w:after="20" w:line="240" w:lineRule="auto"/>
              <w:jc w:val="left"/>
            </w:pPr>
            <w:r>
              <w:rPr>
                <w:rFonts w:cs="EB Garamond"/>
                <w:kern w:val="16"/>
                <w:sz w:val="18"/>
                <w14:ligatures w14:val="standardContextual"/>
              </w:rPr>
              <w:t>1 ano</w:t>
            </w:r>
          </w:p>
        </w:tc>
        <w:tc>
          <w:tcPr>
            <w:tcW w:w="1587" w:type="dxa"/>
            <w:tcBorders>
              <w:top w:val="single" w:sz="4" w:space="0" w:color="D2C9B8"/>
              <w:left w:val="single" w:sz="4" w:space="0" w:color="D2C9B8"/>
              <w:bottom w:val="single" w:sz="4" w:space="0" w:color="D2C9B8"/>
              <w:right w:val="single" w:sz="4" w:space="0" w:color="D2C9B8"/>
            </w:tcBorders>
          </w:tcPr>
          <w:p w14:paraId="7A642A59" w14:textId="77777777" w:rsidR="005A5FCC" w:rsidRDefault="00A21C81">
            <w:pPr>
              <w:spacing w:before="20" w:after="20" w:line="240" w:lineRule="auto"/>
              <w:jc w:val="left"/>
            </w:pPr>
            <w:r>
              <w:rPr>
                <w:rFonts w:cs="EB Garamond"/>
                <w:kern w:val="16"/>
                <w:sz w:val="18"/>
                <w14:ligatures w14:val="standardContextual"/>
              </w:rPr>
              <w:t>36 anos</w:t>
            </w:r>
          </w:p>
        </w:tc>
      </w:tr>
      <w:tr w:rsidR="005A5FCC" w14:paraId="1C421838"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3DC75566" w14:textId="77777777" w:rsidR="005A5FCC" w:rsidRDefault="00A21C81">
            <w:pPr>
              <w:spacing w:before="20" w:after="20" w:line="240" w:lineRule="auto"/>
              <w:jc w:val="left"/>
            </w:pPr>
            <w:r>
              <w:rPr>
                <w:rFonts w:cs="EB Garamond"/>
                <w:kern w:val="16"/>
                <w:sz w:val="18"/>
                <w14:ligatures w14:val="standardContextual"/>
              </w:rPr>
              <w:t>33 anos</w:t>
            </w:r>
          </w:p>
        </w:tc>
        <w:tc>
          <w:tcPr>
            <w:tcW w:w="1587" w:type="dxa"/>
            <w:tcBorders>
              <w:top w:val="single" w:sz="4" w:space="0" w:color="D2C9B8"/>
              <w:left w:val="single" w:sz="4" w:space="0" w:color="D2C9B8"/>
              <w:bottom w:val="single" w:sz="4" w:space="0" w:color="D2C9B8"/>
              <w:right w:val="single" w:sz="4" w:space="0" w:color="D2C9B8"/>
            </w:tcBorders>
          </w:tcPr>
          <w:p w14:paraId="2323ECAB" w14:textId="77777777" w:rsidR="005A5FCC" w:rsidRDefault="00A21C81">
            <w:pPr>
              <w:spacing w:before="20" w:after="20" w:line="240" w:lineRule="auto"/>
              <w:jc w:val="left"/>
            </w:pPr>
            <w:r>
              <w:rPr>
                <w:rFonts w:cs="EB Garamond"/>
                <w:kern w:val="16"/>
                <w:sz w:val="18"/>
                <w14:ligatures w14:val="standardContextual"/>
              </w:rPr>
              <w:t>2 anos</w:t>
            </w:r>
          </w:p>
        </w:tc>
        <w:tc>
          <w:tcPr>
            <w:tcW w:w="1587" w:type="dxa"/>
            <w:tcBorders>
              <w:top w:val="single" w:sz="4" w:space="0" w:color="D2C9B8"/>
              <w:left w:val="single" w:sz="4" w:space="0" w:color="D2C9B8"/>
              <w:bottom w:val="single" w:sz="4" w:space="0" w:color="D2C9B8"/>
              <w:right w:val="single" w:sz="4" w:space="0" w:color="D2C9B8"/>
            </w:tcBorders>
          </w:tcPr>
          <w:p w14:paraId="343B21F5" w14:textId="77777777" w:rsidR="005A5FCC" w:rsidRDefault="00A21C81">
            <w:pPr>
              <w:spacing w:before="20" w:after="20" w:line="240" w:lineRule="auto"/>
              <w:jc w:val="left"/>
            </w:pPr>
            <w:r>
              <w:rPr>
                <w:rFonts w:cs="EB Garamond"/>
                <w:kern w:val="16"/>
                <w:sz w:val="18"/>
                <w14:ligatures w14:val="standardContextual"/>
              </w:rPr>
              <w:t>2 anos</w:t>
            </w:r>
          </w:p>
        </w:tc>
        <w:tc>
          <w:tcPr>
            <w:tcW w:w="1587" w:type="dxa"/>
            <w:tcBorders>
              <w:top w:val="single" w:sz="4" w:space="0" w:color="D2C9B8"/>
              <w:left w:val="single" w:sz="4" w:space="0" w:color="D2C9B8"/>
              <w:bottom w:val="single" w:sz="4" w:space="0" w:color="D2C9B8"/>
              <w:right w:val="single" w:sz="4" w:space="0" w:color="D2C9B8"/>
            </w:tcBorders>
          </w:tcPr>
          <w:p w14:paraId="5B927291" w14:textId="77777777" w:rsidR="005A5FCC" w:rsidRDefault="00A21C81">
            <w:pPr>
              <w:spacing w:before="20" w:after="20" w:line="240" w:lineRule="auto"/>
              <w:jc w:val="left"/>
            </w:pPr>
            <w:r>
              <w:rPr>
                <w:rFonts w:cs="EB Garamond"/>
                <w:kern w:val="16"/>
                <w:sz w:val="18"/>
                <w14:ligatures w14:val="standardContextual"/>
              </w:rPr>
              <w:t>37 anos</w:t>
            </w:r>
          </w:p>
        </w:tc>
      </w:tr>
      <w:tr w:rsidR="005A5FCC" w14:paraId="001C09FE"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2EA7D344" w14:textId="77777777" w:rsidR="005A5FCC" w:rsidRDefault="00A21C81">
            <w:pPr>
              <w:spacing w:before="20" w:after="20" w:line="240" w:lineRule="auto"/>
              <w:jc w:val="left"/>
            </w:pPr>
            <w:r>
              <w:rPr>
                <w:rFonts w:cs="EB Garamond"/>
                <w:kern w:val="16"/>
                <w:sz w:val="18"/>
                <w14:ligatures w14:val="standardContextual"/>
              </w:rPr>
              <w:t>32 anos</w:t>
            </w:r>
          </w:p>
        </w:tc>
        <w:tc>
          <w:tcPr>
            <w:tcW w:w="1587" w:type="dxa"/>
            <w:tcBorders>
              <w:top w:val="single" w:sz="4" w:space="0" w:color="D2C9B8"/>
              <w:left w:val="single" w:sz="4" w:space="0" w:color="D2C9B8"/>
              <w:bottom w:val="single" w:sz="4" w:space="0" w:color="D2C9B8"/>
              <w:right w:val="single" w:sz="4" w:space="0" w:color="D2C9B8"/>
            </w:tcBorders>
          </w:tcPr>
          <w:p w14:paraId="7760B702" w14:textId="77777777" w:rsidR="005A5FCC" w:rsidRDefault="00A21C81">
            <w:pPr>
              <w:spacing w:before="20" w:after="20" w:line="240" w:lineRule="auto"/>
              <w:jc w:val="left"/>
            </w:pPr>
            <w:r>
              <w:rPr>
                <w:rFonts w:cs="EB Garamond"/>
                <w:kern w:val="16"/>
                <w:sz w:val="18"/>
                <w14:ligatures w14:val="standardContextual"/>
              </w:rPr>
              <w:t>3 anos</w:t>
            </w:r>
          </w:p>
        </w:tc>
        <w:tc>
          <w:tcPr>
            <w:tcW w:w="1587" w:type="dxa"/>
            <w:tcBorders>
              <w:top w:val="single" w:sz="4" w:space="0" w:color="D2C9B8"/>
              <w:left w:val="single" w:sz="4" w:space="0" w:color="D2C9B8"/>
              <w:bottom w:val="single" w:sz="4" w:space="0" w:color="D2C9B8"/>
              <w:right w:val="single" w:sz="4" w:space="0" w:color="D2C9B8"/>
            </w:tcBorders>
          </w:tcPr>
          <w:p w14:paraId="5459C9BA" w14:textId="77777777" w:rsidR="005A5FCC" w:rsidRDefault="00A21C81">
            <w:pPr>
              <w:spacing w:before="20" w:after="20" w:line="240" w:lineRule="auto"/>
              <w:jc w:val="left"/>
            </w:pPr>
            <w:r>
              <w:rPr>
                <w:rFonts w:cs="EB Garamond"/>
                <w:kern w:val="16"/>
                <w:sz w:val="18"/>
                <w14:ligatures w14:val="standardContextual"/>
              </w:rPr>
              <w:t>3 anos</w:t>
            </w:r>
          </w:p>
        </w:tc>
        <w:tc>
          <w:tcPr>
            <w:tcW w:w="1587" w:type="dxa"/>
            <w:tcBorders>
              <w:top w:val="single" w:sz="4" w:space="0" w:color="D2C9B8"/>
              <w:left w:val="single" w:sz="4" w:space="0" w:color="D2C9B8"/>
              <w:bottom w:val="single" w:sz="4" w:space="0" w:color="D2C9B8"/>
              <w:right w:val="single" w:sz="4" w:space="0" w:color="D2C9B8"/>
            </w:tcBorders>
          </w:tcPr>
          <w:p w14:paraId="139CC41B" w14:textId="77777777" w:rsidR="005A5FCC" w:rsidRDefault="00A21C81">
            <w:pPr>
              <w:spacing w:before="20" w:after="20" w:line="240" w:lineRule="auto"/>
              <w:jc w:val="left"/>
            </w:pPr>
            <w:r>
              <w:rPr>
                <w:rFonts w:cs="EB Garamond"/>
                <w:kern w:val="16"/>
                <w:sz w:val="18"/>
                <w14:ligatures w14:val="standardContextual"/>
              </w:rPr>
              <w:t>38 anos</w:t>
            </w:r>
          </w:p>
        </w:tc>
      </w:tr>
      <w:tr w:rsidR="005A5FCC" w14:paraId="485C673F"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4EB80201" w14:textId="77777777" w:rsidR="005A5FCC" w:rsidRDefault="00A21C81">
            <w:pPr>
              <w:spacing w:before="20" w:after="20" w:line="240" w:lineRule="auto"/>
              <w:jc w:val="left"/>
            </w:pPr>
            <w:r>
              <w:rPr>
                <w:rFonts w:cs="EB Garamond"/>
                <w:kern w:val="16"/>
                <w:sz w:val="18"/>
                <w14:ligatures w14:val="standardContextual"/>
              </w:rPr>
              <w:t>30 anos</w:t>
            </w:r>
          </w:p>
        </w:tc>
        <w:tc>
          <w:tcPr>
            <w:tcW w:w="1587" w:type="dxa"/>
            <w:tcBorders>
              <w:top w:val="single" w:sz="4" w:space="0" w:color="D2C9B8"/>
              <w:left w:val="single" w:sz="4" w:space="0" w:color="D2C9B8"/>
              <w:bottom w:val="single" w:sz="4" w:space="0" w:color="D2C9B8"/>
              <w:right w:val="single" w:sz="4" w:space="0" w:color="D2C9B8"/>
            </w:tcBorders>
          </w:tcPr>
          <w:p w14:paraId="0431CB11" w14:textId="77777777" w:rsidR="005A5FCC" w:rsidRDefault="00A21C81">
            <w:pPr>
              <w:spacing w:before="20" w:after="20" w:line="240" w:lineRule="auto"/>
              <w:jc w:val="left"/>
            </w:pPr>
            <w:r>
              <w:rPr>
                <w:rFonts w:cs="EB Garamond"/>
                <w:kern w:val="16"/>
                <w:sz w:val="18"/>
                <w14:ligatures w14:val="standardContextual"/>
              </w:rPr>
              <w:t>5 anos</w:t>
            </w:r>
          </w:p>
        </w:tc>
        <w:tc>
          <w:tcPr>
            <w:tcW w:w="1587" w:type="dxa"/>
            <w:tcBorders>
              <w:top w:val="single" w:sz="4" w:space="0" w:color="D2C9B8"/>
              <w:left w:val="single" w:sz="4" w:space="0" w:color="D2C9B8"/>
              <w:bottom w:val="single" w:sz="4" w:space="0" w:color="D2C9B8"/>
              <w:right w:val="single" w:sz="4" w:space="0" w:color="D2C9B8"/>
            </w:tcBorders>
          </w:tcPr>
          <w:p w14:paraId="0547FFDB" w14:textId="77777777" w:rsidR="005A5FCC" w:rsidRDefault="00A21C81">
            <w:pPr>
              <w:spacing w:before="20" w:after="20" w:line="240" w:lineRule="auto"/>
              <w:jc w:val="left"/>
            </w:pPr>
            <w:r>
              <w:rPr>
                <w:rFonts w:cs="EB Garamond"/>
                <w:kern w:val="16"/>
                <w:sz w:val="18"/>
                <w14:ligatures w14:val="standardContextual"/>
              </w:rPr>
              <w:t>5 anos</w:t>
            </w:r>
          </w:p>
        </w:tc>
        <w:tc>
          <w:tcPr>
            <w:tcW w:w="1587" w:type="dxa"/>
            <w:tcBorders>
              <w:top w:val="single" w:sz="4" w:space="0" w:color="D2C9B8"/>
              <w:left w:val="single" w:sz="4" w:space="0" w:color="D2C9B8"/>
              <w:bottom w:val="single" w:sz="4" w:space="0" w:color="D2C9B8"/>
              <w:right w:val="single" w:sz="4" w:space="0" w:color="D2C9B8"/>
            </w:tcBorders>
          </w:tcPr>
          <w:p w14:paraId="362F1C46" w14:textId="77777777" w:rsidR="005A5FCC" w:rsidRDefault="00A21C81">
            <w:pPr>
              <w:spacing w:before="20" w:after="20" w:line="240" w:lineRule="auto"/>
              <w:jc w:val="left"/>
            </w:pPr>
            <w:r>
              <w:rPr>
                <w:rFonts w:cs="EB Garamond"/>
                <w:kern w:val="16"/>
                <w:sz w:val="18"/>
                <w14:ligatures w14:val="standardContextual"/>
              </w:rPr>
              <w:t>40 anos</w:t>
            </w:r>
          </w:p>
        </w:tc>
      </w:tr>
      <w:tr w:rsidR="005A5FCC" w14:paraId="43E868E0"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1BF1B01C" w14:textId="77777777" w:rsidR="005A5FCC" w:rsidRDefault="00A21C81">
            <w:pPr>
              <w:spacing w:before="20" w:after="20" w:line="240" w:lineRule="auto"/>
              <w:jc w:val="left"/>
            </w:pPr>
            <w:r>
              <w:rPr>
                <w:rFonts w:cs="EB Garamond"/>
                <w:kern w:val="16"/>
                <w:sz w:val="18"/>
                <w14:ligatures w14:val="standardContextual"/>
              </w:rPr>
              <w:t>25 anos</w:t>
            </w:r>
          </w:p>
        </w:tc>
        <w:tc>
          <w:tcPr>
            <w:tcW w:w="1587" w:type="dxa"/>
            <w:tcBorders>
              <w:top w:val="single" w:sz="4" w:space="0" w:color="D2C9B8"/>
              <w:left w:val="single" w:sz="4" w:space="0" w:color="D2C9B8"/>
              <w:bottom w:val="single" w:sz="4" w:space="0" w:color="D2C9B8"/>
              <w:right w:val="single" w:sz="4" w:space="0" w:color="D2C9B8"/>
            </w:tcBorders>
          </w:tcPr>
          <w:p w14:paraId="21FDDBF2" w14:textId="77777777" w:rsidR="005A5FCC" w:rsidRDefault="00A21C81">
            <w:pPr>
              <w:spacing w:before="20" w:after="20" w:line="240" w:lineRule="auto"/>
              <w:jc w:val="left"/>
            </w:pPr>
            <w:r>
              <w:rPr>
                <w:rFonts w:cs="EB Garamond"/>
                <w:kern w:val="16"/>
                <w:sz w:val="18"/>
                <w14:ligatures w14:val="standardContextual"/>
              </w:rPr>
              <w:t>10 anos</w:t>
            </w:r>
          </w:p>
        </w:tc>
        <w:tc>
          <w:tcPr>
            <w:tcW w:w="1587" w:type="dxa"/>
            <w:tcBorders>
              <w:top w:val="single" w:sz="4" w:space="0" w:color="D2C9B8"/>
              <w:left w:val="single" w:sz="4" w:space="0" w:color="D2C9B8"/>
              <w:bottom w:val="single" w:sz="4" w:space="0" w:color="D2C9B8"/>
              <w:right w:val="single" w:sz="4" w:space="0" w:color="D2C9B8"/>
            </w:tcBorders>
          </w:tcPr>
          <w:p w14:paraId="22EB881E" w14:textId="77777777" w:rsidR="005A5FCC" w:rsidRDefault="00A21C81">
            <w:pPr>
              <w:spacing w:before="20" w:after="20" w:line="240" w:lineRule="auto"/>
              <w:jc w:val="left"/>
            </w:pPr>
            <w:r>
              <w:rPr>
                <w:rFonts w:cs="EB Garamond"/>
                <w:kern w:val="16"/>
                <w:sz w:val="18"/>
                <w14:ligatures w14:val="standardContextual"/>
              </w:rPr>
              <w:t>10 anos</w:t>
            </w:r>
          </w:p>
        </w:tc>
        <w:tc>
          <w:tcPr>
            <w:tcW w:w="1587" w:type="dxa"/>
            <w:tcBorders>
              <w:top w:val="single" w:sz="4" w:space="0" w:color="D2C9B8"/>
              <w:left w:val="single" w:sz="4" w:space="0" w:color="D2C9B8"/>
              <w:bottom w:val="single" w:sz="4" w:space="0" w:color="D2C9B8"/>
              <w:right w:val="single" w:sz="4" w:space="0" w:color="D2C9B8"/>
            </w:tcBorders>
          </w:tcPr>
          <w:p w14:paraId="40D19907" w14:textId="77777777" w:rsidR="005A5FCC" w:rsidRDefault="00A21C81">
            <w:pPr>
              <w:spacing w:before="20" w:after="20" w:line="240" w:lineRule="auto"/>
              <w:jc w:val="left"/>
            </w:pPr>
            <w:r>
              <w:rPr>
                <w:rFonts w:cs="EB Garamond"/>
                <w:kern w:val="16"/>
                <w:sz w:val="18"/>
                <w14:ligatures w14:val="standardContextual"/>
              </w:rPr>
              <w:t>45 anos</w:t>
            </w:r>
          </w:p>
        </w:tc>
      </w:tr>
      <w:tr w:rsidR="005A5FCC" w14:paraId="5A2398D7"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460C3038" w14:textId="77777777" w:rsidR="005A5FCC" w:rsidRDefault="00A21C81">
            <w:pPr>
              <w:spacing w:before="20" w:after="20" w:line="240" w:lineRule="auto"/>
              <w:jc w:val="left"/>
            </w:pPr>
            <w:r>
              <w:rPr>
                <w:rFonts w:cs="EB Garamond"/>
                <w:kern w:val="16"/>
                <w:sz w:val="18"/>
                <w14:ligatures w14:val="standardContextual"/>
              </w:rPr>
              <w:t>20 anos</w:t>
            </w:r>
          </w:p>
        </w:tc>
        <w:tc>
          <w:tcPr>
            <w:tcW w:w="1587" w:type="dxa"/>
            <w:tcBorders>
              <w:top w:val="single" w:sz="4" w:space="0" w:color="D2C9B8"/>
              <w:left w:val="single" w:sz="4" w:space="0" w:color="D2C9B8"/>
              <w:bottom w:val="single" w:sz="4" w:space="0" w:color="D2C9B8"/>
              <w:right w:val="single" w:sz="4" w:space="0" w:color="D2C9B8"/>
            </w:tcBorders>
          </w:tcPr>
          <w:p w14:paraId="5CA29BD3" w14:textId="77777777" w:rsidR="005A5FCC" w:rsidRDefault="00A21C81">
            <w:pPr>
              <w:spacing w:before="20" w:after="20" w:line="240" w:lineRule="auto"/>
              <w:jc w:val="left"/>
            </w:pPr>
            <w:r>
              <w:rPr>
                <w:rFonts w:cs="EB Garamond"/>
                <w:kern w:val="16"/>
                <w:sz w:val="18"/>
                <w14:ligatures w14:val="standardContextual"/>
              </w:rPr>
              <w:t>15 anos</w:t>
            </w:r>
          </w:p>
        </w:tc>
        <w:tc>
          <w:tcPr>
            <w:tcW w:w="1587" w:type="dxa"/>
            <w:tcBorders>
              <w:top w:val="single" w:sz="4" w:space="0" w:color="D2C9B8"/>
              <w:left w:val="single" w:sz="4" w:space="0" w:color="D2C9B8"/>
              <w:bottom w:val="single" w:sz="4" w:space="0" w:color="D2C9B8"/>
              <w:right w:val="single" w:sz="4" w:space="0" w:color="D2C9B8"/>
            </w:tcBorders>
          </w:tcPr>
          <w:p w14:paraId="6540D26E" w14:textId="77777777" w:rsidR="005A5FCC" w:rsidRDefault="00A21C81">
            <w:pPr>
              <w:spacing w:before="20" w:after="20" w:line="240" w:lineRule="auto"/>
              <w:jc w:val="left"/>
            </w:pPr>
            <w:r>
              <w:rPr>
                <w:rFonts w:cs="EB Garamond"/>
                <w:kern w:val="16"/>
                <w:sz w:val="18"/>
                <w14:ligatures w14:val="standardContextual"/>
              </w:rPr>
              <w:t>15 anos</w:t>
            </w:r>
          </w:p>
        </w:tc>
        <w:tc>
          <w:tcPr>
            <w:tcW w:w="1587" w:type="dxa"/>
            <w:tcBorders>
              <w:top w:val="single" w:sz="4" w:space="0" w:color="D2C9B8"/>
              <w:left w:val="single" w:sz="4" w:space="0" w:color="D2C9B8"/>
              <w:bottom w:val="single" w:sz="4" w:space="0" w:color="D2C9B8"/>
              <w:right w:val="single" w:sz="4" w:space="0" w:color="D2C9B8"/>
            </w:tcBorders>
          </w:tcPr>
          <w:p w14:paraId="02D5AB91" w14:textId="77777777" w:rsidR="005A5FCC" w:rsidRDefault="00A21C81">
            <w:pPr>
              <w:spacing w:before="20" w:after="20" w:line="240" w:lineRule="auto"/>
              <w:jc w:val="left"/>
            </w:pPr>
            <w:r>
              <w:rPr>
                <w:rFonts w:cs="EB Garamond"/>
                <w:kern w:val="16"/>
                <w:sz w:val="18"/>
                <w14:ligatures w14:val="standardContextual"/>
              </w:rPr>
              <w:t>50 anos (!)</w:t>
            </w:r>
          </w:p>
        </w:tc>
      </w:tr>
    </w:tbl>
    <w:p w14:paraId="22AB4EAB" w14:textId="77777777" w:rsidR="005A5FCC" w:rsidRDefault="005A5FCC">
      <w:pPr>
        <w:spacing w:after="80" w:line="240" w:lineRule="auto"/>
      </w:pPr>
    </w:p>
    <w:p w14:paraId="20F5C972" w14:textId="77777777" w:rsidR="005A5FCC" w:rsidRDefault="00A21C81">
      <w:pPr>
        <w:spacing w:before="260" w:after="80" w:line="240" w:lineRule="auto"/>
        <w:jc w:val="left"/>
      </w:pPr>
      <w:r>
        <w:rPr>
          <w:rFonts w:cs="EB Garamond"/>
          <w:b/>
          <w:color w:val="3A3128"/>
          <w:kern w:val="16"/>
          <w:sz w:val="25"/>
          <w14:ligatures w14:val="standardContextual"/>
        </w:rPr>
        <w:lastRenderedPageBreak/>
        <w:t>11.7.3 Cálculo do benefício</w:t>
      </w:r>
    </w:p>
    <w:p w14:paraId="103DCD4B"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2DF97689" w14:textId="77777777" w:rsidR="005A5FCC" w:rsidRDefault="00A21C81">
      <w:r>
        <w:rPr>
          <w:rFonts w:cs="EB Garamond"/>
          <w:kern w:val="16"/>
          <w14:ligatures w14:val="standardContextual"/>
        </w:rPr>
        <w:t xml:space="preserve"> grande diferencial do pedágio 100% é o coeficiente:</w:t>
      </w:r>
    </w:p>
    <w:p w14:paraId="564539C3" w14:textId="77777777" w:rsidR="005A5FCC" w:rsidRDefault="00A21C81">
      <w:pPr>
        <w:spacing w:after="40" w:line="252" w:lineRule="auto"/>
        <w:ind w:left="340" w:hanging="198"/>
      </w:pPr>
      <w:r>
        <w:rPr>
          <w:rFonts w:cs="EB Garamond"/>
          <w:color w:val="3A3128"/>
          <w:kern w:val="16"/>
          <w:sz w:val="20"/>
          <w14:ligatures w14:val="standardContextual"/>
        </w:rPr>
        <w:t xml:space="preserve">1. </w:t>
      </w:r>
      <w:r>
        <w:rPr>
          <w:rFonts w:cs="EB Garamond"/>
          <w:b/>
          <w:kern w:val="16"/>
          <w:sz w:val="20"/>
          <w14:ligatures w14:val="standardContextual"/>
        </w:rPr>
        <w:t>Média:</w:t>
      </w:r>
      <w:r>
        <w:rPr>
          <w:rFonts w:cs="EB Garamond"/>
          <w:kern w:val="16"/>
          <w:sz w:val="20"/>
          <w14:ligatures w14:val="standardContextual"/>
        </w:rPr>
        <w:t xml:space="preserve"> 100% dos salários de contribuição desde julho/1994 (igual às demais regras pós-EC 103).</w:t>
      </w:r>
    </w:p>
    <w:p w14:paraId="38C5DF6F" w14:textId="77777777" w:rsidR="005A5FCC" w:rsidRDefault="00A21C81">
      <w:pPr>
        <w:spacing w:after="40" w:line="252" w:lineRule="auto"/>
        <w:ind w:left="340" w:hanging="198"/>
      </w:pPr>
      <w:r>
        <w:rPr>
          <w:rFonts w:cs="EB Garamond"/>
          <w:color w:val="3A3128"/>
          <w:kern w:val="16"/>
          <w:sz w:val="20"/>
          <w14:ligatures w14:val="standardContextual"/>
        </w:rPr>
        <w:t xml:space="preserve">2. </w:t>
      </w:r>
      <w:r>
        <w:rPr>
          <w:rFonts w:cs="EB Garamond"/>
          <w:b/>
          <w:kern w:val="16"/>
          <w:sz w:val="20"/>
          <w14:ligatures w14:val="standardContextual"/>
        </w:rPr>
        <w:t>Coeficiente:</w:t>
      </w:r>
      <w:r>
        <w:rPr>
          <w:rFonts w:cs="EB Garamond"/>
          <w:kern w:val="16"/>
          <w:sz w:val="20"/>
          <w14:ligatures w14:val="standardContextual"/>
        </w:rPr>
        <w:t xml:space="preserve"> </w:t>
      </w:r>
      <w:r>
        <w:rPr>
          <w:rFonts w:cs="EB Garamond"/>
          <w:b/>
          <w:kern w:val="16"/>
          <w:sz w:val="20"/>
          <w14:ligatures w14:val="standardContextual"/>
        </w:rPr>
        <w:t>100% da média</w:t>
      </w:r>
      <w:r>
        <w:rPr>
          <w:rFonts w:cs="EB Garamond"/>
          <w:kern w:val="16"/>
          <w:sz w:val="20"/>
          <w14:ligatures w14:val="standardContextual"/>
        </w:rPr>
        <w:t>, sem o escalonamento de 60% + 2%/ano excedente.</w:t>
      </w:r>
    </w:p>
    <w:p w14:paraId="1A1966E4" w14:textId="77777777" w:rsidR="005A5FCC" w:rsidRDefault="00A21C81">
      <w:pPr>
        <w:spacing w:after="40" w:line="252" w:lineRule="auto"/>
        <w:ind w:left="340" w:hanging="198"/>
      </w:pPr>
      <w:r>
        <w:rPr>
          <w:rFonts w:cs="EB Garamond"/>
          <w:color w:val="3A3128"/>
          <w:kern w:val="16"/>
          <w:sz w:val="20"/>
          <w14:ligatures w14:val="standardContextual"/>
        </w:rPr>
        <w:t xml:space="preserve">3. </w:t>
      </w:r>
      <w:r>
        <w:rPr>
          <w:rFonts w:cs="EB Garamond"/>
          <w:b/>
          <w:kern w:val="16"/>
          <w:sz w:val="20"/>
          <w14:ligatures w14:val="standardContextual"/>
        </w:rPr>
        <w:t>Sem fator previdenciário.</w:t>
      </w:r>
    </w:p>
    <w:p w14:paraId="5B8CE9D4" w14:textId="77777777" w:rsidR="005A5FCC" w:rsidRDefault="005A5FCC">
      <w:pPr>
        <w:spacing w:after="60" w:line="240" w:lineRule="auto"/>
      </w:pPr>
    </w:p>
    <w:p w14:paraId="47F3624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E</w:t>
      </w:r>
    </w:p>
    <w:p w14:paraId="5F0E05B9" w14:textId="77777777" w:rsidR="005A5FCC" w:rsidRDefault="00A21C81">
      <w:r>
        <w:rPr>
          <w:rFonts w:cs="EB Garamond"/>
          <w:kern w:val="16"/>
          <w14:ligatures w14:val="standardContextual"/>
        </w:rPr>
        <w:t>ssa combinação significa que o segurado receberá o valor integral da média dos seus salários de contribuição, limitado ao teto do RGPS. A desvantagem é que a média inclui todos os salários (sem descarte dos 20% menores) e o segurado pode precisar de muitos anos adicionais de TC para cumprir o pedágio.</w:t>
      </w:r>
    </w:p>
    <w:tbl>
      <w:tblPr>
        <w:tblW w:w="5000" w:type="pct"/>
        <w:jc w:val="center"/>
        <w:tblLayout w:type="fixed"/>
        <w:tblLook w:val="04A0" w:firstRow="1" w:lastRow="0" w:firstColumn="1" w:lastColumn="0" w:noHBand="0" w:noVBand="1"/>
      </w:tblPr>
      <w:tblGrid>
        <w:gridCol w:w="6311"/>
      </w:tblGrid>
      <w:tr w:rsidR="005A5FCC" w14:paraId="4B4A2927"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37FE726F"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3778D934" w14:textId="77777777" w:rsidR="005A5FCC" w:rsidRDefault="00A21C81">
            <w:pPr>
              <w:spacing w:after="60" w:line="247" w:lineRule="auto"/>
            </w:pPr>
            <w:r>
              <w:rPr>
                <w:rFonts w:cs="EB Garamond"/>
                <w:b/>
                <w:kern w:val="16"/>
                <w:sz w:val="19"/>
                <w14:ligatures w14:val="standardContextual"/>
              </w:rPr>
              <w:t>Simulação completa — Art. 20 (pedágio 100%)</w:t>
            </w:r>
          </w:p>
          <w:p w14:paraId="3231614E" w14:textId="77777777" w:rsidR="005A5FCC" w:rsidRDefault="00A21C81">
            <w:pPr>
              <w:spacing w:after="60" w:line="247" w:lineRule="auto"/>
            </w:pPr>
            <w:r>
              <w:rPr>
                <w:rFonts w:cs="EB Garamond"/>
                <w:b/>
                <w:kern w:val="16"/>
                <w:sz w:val="19"/>
                <w14:ligatures w14:val="standardContextual"/>
              </w:rPr>
              <w:t>Fernando</w:t>
            </w:r>
            <w:r>
              <w:rPr>
                <w:rFonts w:cs="EB Garamond"/>
                <w:kern w:val="16"/>
                <w:sz w:val="19"/>
                <w14:ligatures w14:val="standardContextual"/>
              </w:rPr>
              <w:t xml:space="preserve">, homem, 62 anos em 2026, filiado em 1987. Em 13/11/2019 tinha 32 anos de TC (faltavam 3 anos). Pedágio = 3 anos. TC total necessário: 35 + 3 = </w:t>
            </w:r>
            <w:r>
              <w:rPr>
                <w:rFonts w:cs="EB Garamond"/>
                <w:b/>
                <w:kern w:val="16"/>
                <w:sz w:val="19"/>
                <w14:ligatures w14:val="standardContextual"/>
              </w:rPr>
              <w:t>38 anos</w:t>
            </w:r>
            <w:r>
              <w:rPr>
                <w:rFonts w:cs="EB Garamond"/>
                <w:kern w:val="16"/>
                <w:sz w:val="19"/>
                <w14:ligatures w14:val="standardContextual"/>
              </w:rPr>
              <w:t>.</w:t>
            </w:r>
          </w:p>
          <w:p w14:paraId="2B6EB6C4" w14:textId="77777777" w:rsidR="005A5FCC" w:rsidRDefault="00A21C81">
            <w:pPr>
              <w:spacing w:after="60" w:line="247" w:lineRule="auto"/>
            </w:pPr>
            <w:r>
              <w:rPr>
                <w:rFonts w:cs="EB Garamond"/>
                <w:kern w:val="16"/>
                <w:sz w:val="19"/>
                <w14:ligatures w14:val="standardContextual"/>
              </w:rPr>
              <w:t>Em 2026, Fernando tem: 39 anos de TC (1987-2026) ≥ 38 anos ✅. Idade: 62 ≥ 60 ✅.</w:t>
            </w:r>
          </w:p>
          <w:p w14:paraId="51665757" w14:textId="77777777" w:rsidR="005A5FCC" w:rsidRDefault="00A21C81">
            <w:pPr>
              <w:spacing w:after="60" w:line="247" w:lineRule="auto"/>
            </w:pPr>
            <w:r>
              <w:rPr>
                <w:rFonts w:cs="EB Garamond"/>
                <w:b/>
                <w:kern w:val="16"/>
                <w:sz w:val="19"/>
                <w14:ligatures w14:val="standardContextual"/>
              </w:rPr>
              <w:t>Cálculo:</w:t>
            </w:r>
            <w:r>
              <w:rPr>
                <w:rFonts w:cs="EB Garamond"/>
                <w:kern w:val="16"/>
                <w:sz w:val="19"/>
                <w14:ligatures w14:val="standardContextual"/>
              </w:rPr>
              <w:t xml:space="preserve"> - Média 100% dos SC: R$ 5.500,00 - Coeficiente: </w:t>
            </w:r>
            <w:r>
              <w:rPr>
                <w:rFonts w:cs="EB Garamond"/>
                <w:b/>
                <w:kern w:val="16"/>
                <w:sz w:val="19"/>
                <w14:ligatures w14:val="standardContextual"/>
              </w:rPr>
              <w:t>100%</w:t>
            </w:r>
            <w:r>
              <w:rPr>
                <w:rFonts w:cs="EB Garamond"/>
                <w:kern w:val="16"/>
                <w:sz w:val="19"/>
                <w14:ligatures w14:val="standardContextual"/>
              </w:rPr>
              <w:t xml:space="preserve"> - RMI: R$ 5.500,00 × 100% = </w:t>
            </w:r>
            <w:r>
              <w:rPr>
                <w:rFonts w:cs="EB Garamond"/>
                <w:b/>
                <w:kern w:val="16"/>
                <w:sz w:val="19"/>
                <w14:ligatures w14:val="standardContextual"/>
              </w:rPr>
              <w:t>R$ 5.500,00</w:t>
            </w:r>
          </w:p>
          <w:p w14:paraId="5E319226" w14:textId="77777777" w:rsidR="005A5FCC" w:rsidRDefault="00A21C81">
            <w:pPr>
              <w:spacing w:after="60" w:line="247" w:lineRule="auto"/>
            </w:pPr>
            <w:r>
              <w:rPr>
                <w:rFonts w:cs="EB Garamond"/>
                <w:b/>
                <w:kern w:val="16"/>
                <w:sz w:val="19"/>
                <w14:ligatures w14:val="standardContextual"/>
              </w:rPr>
              <w:t>Comparativo com art. 15:</w:t>
            </w:r>
            <w:r>
              <w:rPr>
                <w:rFonts w:cs="EB Garamond"/>
                <w:kern w:val="16"/>
                <w:sz w:val="19"/>
                <w14:ligatures w14:val="standardContextual"/>
              </w:rPr>
              <w:t xml:space="preserve"> - Pontos: 62 + 39 = 101 &lt; 103 → </w:t>
            </w:r>
            <w:r>
              <w:rPr>
                <w:rFonts w:cs="EB Garamond"/>
                <w:b/>
                <w:kern w:val="16"/>
                <w:sz w:val="19"/>
                <w14:ligatures w14:val="standardContextual"/>
              </w:rPr>
              <w:t>NÃO atinge</w:t>
            </w:r>
            <w:r>
              <w:rPr>
                <w:rFonts w:cs="EB Garamond"/>
                <w:kern w:val="16"/>
                <w:sz w:val="19"/>
                <w14:ligatures w14:val="standardContextual"/>
              </w:rPr>
              <w:t xml:space="preserve"> art. 15 em 2026 - Se atingisse (em 2028, com 64+41=105): coeficiente = 60% + 2%×(41-20) = 102% - Média 100%: R$ 5.500 × 102% = R$ 5.610,00 → ligeiramente superior, mas só em 2028</w:t>
            </w:r>
          </w:p>
          <w:p w14:paraId="2EC0AB13" w14:textId="77777777" w:rsidR="005A5FCC" w:rsidRDefault="00A21C81">
            <w:pPr>
              <w:spacing w:after="60" w:line="247" w:lineRule="auto"/>
            </w:pPr>
            <w:r>
              <w:rPr>
                <w:rFonts w:cs="EB Garamond"/>
                <w:b/>
                <w:kern w:val="16"/>
                <w:sz w:val="19"/>
                <w14:ligatures w14:val="standardContextual"/>
              </w:rPr>
              <w:t>Comparativo com pedágio 50%:</w:t>
            </w:r>
            <w:r>
              <w:rPr>
                <w:rFonts w:cs="EB Garamond"/>
                <w:kern w:val="16"/>
                <w:sz w:val="19"/>
                <w14:ligatures w14:val="standardContextual"/>
              </w:rPr>
              <w:t xml:space="preserve"> - Fernando NÃO é elegível (faltavam 3 anos em 2019, mais que 2)</w:t>
            </w:r>
          </w:p>
          <w:p w14:paraId="306FC7A1" w14:textId="77777777" w:rsidR="005A5FCC" w:rsidRDefault="00A21C81">
            <w:pPr>
              <w:spacing w:after="60" w:line="247" w:lineRule="auto"/>
            </w:pPr>
            <w:r>
              <w:rPr>
                <w:rFonts w:cs="EB Garamond"/>
                <w:b/>
                <w:kern w:val="16"/>
                <w:sz w:val="19"/>
                <w14:ligatures w14:val="standardContextual"/>
              </w:rPr>
              <w:t>Resultado:</w:t>
            </w:r>
            <w:r>
              <w:rPr>
                <w:rFonts w:cs="EB Garamond"/>
                <w:kern w:val="16"/>
                <w:sz w:val="19"/>
                <w14:ligatures w14:val="standardContextual"/>
              </w:rPr>
              <w:t xml:space="preserve"> O pedágio 100% permite a Fernando se aposentar em 2026 com R$ 5.500, sem esperar até 2028 para o art. 15. A decisão é: R$ 5.500 agora vs. R$ 5.610 em 2028 (perda de 24 meses × R$ 5.500 = R$ 132.000 de custo de oportunidade). </w:t>
            </w:r>
            <w:r>
              <w:rPr>
                <w:rFonts w:cs="EB Garamond"/>
                <w:b/>
                <w:kern w:val="16"/>
                <w:sz w:val="19"/>
                <w14:ligatures w14:val="standardContextual"/>
              </w:rPr>
              <w:t>O pedágio 100% é a melhor escolha.</w:t>
            </w:r>
          </w:p>
        </w:tc>
      </w:tr>
    </w:tbl>
    <w:p w14:paraId="7719A9D0" w14:textId="77777777" w:rsidR="005A5FCC" w:rsidRDefault="005A5FCC">
      <w:pPr>
        <w:spacing w:after="80" w:line="240" w:lineRule="auto"/>
      </w:pPr>
    </w:p>
    <w:tbl>
      <w:tblPr>
        <w:tblW w:w="5000" w:type="pct"/>
        <w:jc w:val="center"/>
        <w:tblLayout w:type="fixed"/>
        <w:tblLook w:val="04A0" w:firstRow="1" w:lastRow="0" w:firstColumn="1" w:lastColumn="0" w:noHBand="0" w:noVBand="1"/>
      </w:tblPr>
      <w:tblGrid>
        <w:gridCol w:w="6311"/>
      </w:tblGrid>
      <w:tr w:rsidR="005A5FCC" w14:paraId="2733F8D7"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2E9478F0" w14:textId="77777777" w:rsidR="005A5FCC" w:rsidRDefault="00A21C81">
            <w:pPr>
              <w:spacing w:after="60" w:line="240" w:lineRule="auto"/>
              <w:jc w:val="left"/>
            </w:pPr>
            <w:r>
              <w:rPr>
                <w:rFonts w:ascii="Noto Sans" w:hAnsi="Noto Sans" w:cs="Noto Sans"/>
                <w:b/>
                <w:caps/>
                <w:color w:val="B78B37"/>
                <w:kern w:val="16"/>
                <w:sz w:val="16"/>
                <w14:ligatures w14:val="standardContextual"/>
              </w:rPr>
              <w:lastRenderedPageBreak/>
              <w:t>ATENÇÃO</w:t>
            </w:r>
          </w:p>
          <w:p w14:paraId="10F06A14" w14:textId="77777777" w:rsidR="005A5FCC" w:rsidRDefault="00A21C81">
            <w:pPr>
              <w:spacing w:after="60" w:line="247" w:lineRule="auto"/>
            </w:pPr>
            <w:r>
              <w:rPr>
                <w:rFonts w:cs="EB Garamond"/>
                <w:b/>
                <w:kern w:val="16"/>
                <w:sz w:val="19"/>
                <w14:ligatures w14:val="standardContextual"/>
              </w:rPr>
              <w:t>Pedágio 100% e exclusão de SC (art. 26, § 6º, EC 103)</w:t>
            </w:r>
          </w:p>
          <w:p w14:paraId="72224167" w14:textId="77777777" w:rsidR="005A5FCC" w:rsidRDefault="00A21C81">
            <w:pPr>
              <w:spacing w:after="60" w:line="247" w:lineRule="auto"/>
            </w:pPr>
            <w:r>
              <w:rPr>
                <w:rFonts w:cs="EB Garamond"/>
                <w:kern w:val="16"/>
                <w:sz w:val="19"/>
                <w14:ligatures w14:val="standardContextual"/>
              </w:rPr>
              <w:t>O segurado que se aposenta pelo pedágio 100% também pode utilizar a possibilidade de exclusão de salários de contribuição que reduzam a média (art. 26, § 6º). Contudo, há uma particularidade: a exclusão não pode reduzir o TC abaixo do mínimo exigido (incluindo o pedágio). Se Fernando precisa de 38 anos de TC e exclui 3 anos de salários baixos, restam 36 anos — inferior aos 38 necessários. Nesse caso, a exclusão não é possível nessa extensão. O cálculo deve ser feito considerando essa limitação.</w:t>
            </w:r>
          </w:p>
        </w:tc>
      </w:tr>
    </w:tbl>
    <w:p w14:paraId="0FDE23A7" w14:textId="77777777" w:rsidR="005A5FCC" w:rsidRDefault="005A5FCC">
      <w:pPr>
        <w:spacing w:after="80" w:line="240" w:lineRule="auto"/>
      </w:pPr>
    </w:p>
    <w:p w14:paraId="580A8573"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11.8 O fator previdenciário: fórmula, variáveis e impacto</w:t>
      </w:r>
    </w:p>
    <w:p w14:paraId="26AE6711" w14:textId="77777777" w:rsidR="005A5FCC" w:rsidRDefault="00A21C81">
      <w:pPr>
        <w:spacing w:before="260" w:after="80" w:line="240" w:lineRule="auto"/>
        <w:jc w:val="left"/>
      </w:pPr>
      <w:r>
        <w:rPr>
          <w:rFonts w:cs="EB Garamond"/>
          <w:b/>
          <w:color w:val="3A3128"/>
          <w:kern w:val="16"/>
          <w:sz w:val="25"/>
          <w14:ligatures w14:val="standardContextual"/>
        </w:rPr>
        <w:t>11.8.1 Origem e fundamento</w:t>
      </w:r>
    </w:p>
    <w:p w14:paraId="0BB4CC4C"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320E4046" w14:textId="77777777" w:rsidR="005A5FCC" w:rsidRDefault="00A21C81">
      <w:r>
        <w:rPr>
          <w:rFonts w:cs="EB Garamond"/>
          <w:kern w:val="16"/>
          <w14:ligatures w14:val="standardContextual"/>
        </w:rPr>
        <w:t xml:space="preserve"> fator previdenciário (Lei 9.876/1999) é o mecanismo pelo qual o legislador buscou desestimular aposentadorias precoces sem impor idade mínima formal. Ajusta o valor do benefício a três variáveis — tempo de contribuição, idade e expectativa de sobrevida — e é a principal razão pela qual muitos segurados optavam pela regra 85/95.</w:t>
      </w:r>
    </w:p>
    <w:p w14:paraId="67C48DE7" w14:textId="77777777" w:rsidR="005A5FCC" w:rsidRDefault="00A21C81">
      <w:pPr>
        <w:ind w:firstLine="238"/>
      </w:pPr>
      <w:r>
        <w:rPr>
          <w:rFonts w:cs="EB Garamond"/>
          <w:kern w:val="16"/>
          <w14:ligatures w14:val="standardContextual"/>
        </w:rPr>
        <w:t>A fórmula está prevista no Anexo da Lei 9.876/99 e regulamentada nos arts. 181-A a 181-F do Decreto 3.048/99.</w:t>
      </w:r>
    </w:p>
    <w:p w14:paraId="7A84B3E7" w14:textId="77777777" w:rsidR="005A5FCC" w:rsidRDefault="00A21C81">
      <w:pPr>
        <w:spacing w:before="260" w:after="80" w:line="240" w:lineRule="auto"/>
        <w:jc w:val="left"/>
      </w:pPr>
      <w:r>
        <w:rPr>
          <w:rFonts w:cs="EB Garamond"/>
          <w:b/>
          <w:color w:val="3A3128"/>
          <w:kern w:val="16"/>
          <w:sz w:val="25"/>
          <w14:ligatures w14:val="standardContextual"/>
        </w:rPr>
        <w:t>11.8.2 A fórmula decomposta</w:t>
      </w:r>
    </w:p>
    <w:p w14:paraId="4FF68EB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40CDEE9A" w14:textId="77777777" w:rsidR="005A5FCC" w:rsidRDefault="00A21C81">
      <w:r>
        <w:rPr>
          <w:rFonts w:cs="EB Garamond"/>
          <w:kern w:val="16"/>
          <w14:ligatures w14:val="standardContextual"/>
        </w:rPr>
        <w:t xml:space="preserve"> fórmula do fator previdenciário é:</w:t>
      </w:r>
    </w:p>
    <w:p w14:paraId="374767E8" w14:textId="77777777" w:rsidR="005A5FCC" w:rsidRDefault="00A21C81">
      <w:pPr>
        <w:ind w:firstLine="238"/>
      </w:pPr>
      <w:r>
        <w:rPr>
          <w:rFonts w:cs="EB Garamond"/>
          <w:b/>
          <w:kern w:val="16"/>
          <w14:ligatures w14:val="standardContextual"/>
        </w:rPr>
        <w:t>f = (Tc × a / Es) × [1 + (Id + Tc × a) / 100]</w:t>
      </w:r>
    </w:p>
    <w:p w14:paraId="496A0094" w14:textId="77777777" w:rsidR="005A5FCC" w:rsidRDefault="00A21C81">
      <w:pPr>
        <w:ind w:firstLine="238"/>
      </w:pPr>
      <w:r>
        <w:rPr>
          <w:rFonts w:cs="EB Garamond"/>
          <w:kern w:val="16"/>
          <w14:ligatures w14:val="standardContextual"/>
        </w:rPr>
        <w:t>Onde:</w:t>
      </w:r>
    </w:p>
    <w:p w14:paraId="02A50AAE"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Tc</w:t>
      </w:r>
      <w:r>
        <w:rPr>
          <w:rFonts w:cs="EB Garamond"/>
          <w:kern w:val="16"/>
          <w:sz w:val="20"/>
          <w14:ligatures w14:val="standardContextual"/>
        </w:rPr>
        <w:t xml:space="preserve"> = tempo de contribuição do segurado (em anos, com casas decimais)</w:t>
      </w:r>
    </w:p>
    <w:p w14:paraId="109771AE"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a</w:t>
      </w:r>
      <w:r>
        <w:rPr>
          <w:rFonts w:cs="EB Garamond"/>
          <w:kern w:val="16"/>
          <w:sz w:val="20"/>
          <w14:ligatures w14:val="standardContextual"/>
        </w:rPr>
        <w:t xml:space="preserve"> = alíquota de contribuição, fixada em </w:t>
      </w:r>
      <w:r>
        <w:rPr>
          <w:rFonts w:cs="EB Garamond"/>
          <w:b/>
          <w:kern w:val="16"/>
          <w:sz w:val="20"/>
          <w14:ligatures w14:val="standardContextual"/>
        </w:rPr>
        <w:t>0,31</w:t>
      </w:r>
      <w:r>
        <w:rPr>
          <w:rFonts w:cs="EB Garamond"/>
          <w:kern w:val="16"/>
          <w:sz w:val="20"/>
          <w14:ligatures w14:val="standardContextual"/>
        </w:rPr>
        <w:t xml:space="preserve"> (constante)</w:t>
      </w:r>
    </w:p>
    <w:p w14:paraId="1CF0EA18" w14:textId="77777777" w:rsidR="005A5FCC" w:rsidRDefault="00A21C81">
      <w:pPr>
        <w:spacing w:after="40" w:line="252" w:lineRule="auto"/>
        <w:ind w:left="340" w:hanging="198"/>
      </w:pPr>
      <w:r>
        <w:rPr>
          <w:rFonts w:cs="EB Garamond"/>
          <w:color w:val="3A3128"/>
          <w:kern w:val="16"/>
          <w:sz w:val="20"/>
          <w14:ligatures w14:val="standardContextual"/>
        </w:rPr>
        <w:lastRenderedPageBreak/>
        <w:t xml:space="preserve">• </w:t>
      </w:r>
      <w:r>
        <w:rPr>
          <w:rFonts w:cs="EB Garamond"/>
          <w:b/>
          <w:kern w:val="16"/>
          <w:sz w:val="20"/>
          <w14:ligatures w14:val="standardContextual"/>
        </w:rPr>
        <w:t>Es</w:t>
      </w:r>
      <w:r>
        <w:rPr>
          <w:rFonts w:cs="EB Garamond"/>
          <w:kern w:val="16"/>
          <w:sz w:val="20"/>
          <w14:ligatures w14:val="standardContextual"/>
        </w:rPr>
        <w:t xml:space="preserve"> = expectativa de sobrevida do segurado na idade da aposentadoria, conforme tabela do IBGE (Tábuas Completas de Mortalidade), atualizada anualmente</w:t>
      </w:r>
    </w:p>
    <w:p w14:paraId="615168F1"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Id</w:t>
      </w:r>
      <w:r>
        <w:rPr>
          <w:rFonts w:cs="EB Garamond"/>
          <w:kern w:val="16"/>
          <w:sz w:val="20"/>
          <w14:ligatures w14:val="standardContextual"/>
        </w:rPr>
        <w:t xml:space="preserve"> = idade do segurado na data da aposentadoria (em anos, com casas decimais)</w:t>
      </w:r>
    </w:p>
    <w:p w14:paraId="0B33D7AC" w14:textId="77777777" w:rsidR="005A5FCC" w:rsidRDefault="005A5FCC">
      <w:pPr>
        <w:spacing w:after="60" w:line="240" w:lineRule="auto"/>
      </w:pPr>
    </w:p>
    <w:p w14:paraId="5EE58719"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267CAAF7" w14:textId="77777777" w:rsidR="005A5FCC" w:rsidRDefault="00A21C81">
      <w:r>
        <w:rPr>
          <w:rFonts w:cs="EB Garamond"/>
          <w:kern w:val="16"/>
          <w14:ligatures w14:val="standardContextual"/>
        </w:rPr>
        <w:t xml:space="preserve"> fórmula pode ser decomposta em dois fatores multiplicativos:</w:t>
      </w:r>
    </w:p>
    <w:p w14:paraId="17B79A41"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Fator 1 (taxa de reposição):</w:t>
      </w:r>
      <w:r>
        <w:rPr>
          <w:rFonts w:cs="EB Garamond"/>
          <w:kern w:val="16"/>
          <w:sz w:val="20"/>
          <w14:ligatures w14:val="standardContextual"/>
        </w:rPr>
        <w:t xml:space="preserve"> Tc × a / Es — representa a proporção entre o total contribuído (Tc × a = contribuição proporcional acumulada) e o período estimado de fruição do benefício (Es). Quanto maior o TC e menor a expectativa de sobrevida, maior esse fator.</w:t>
      </w:r>
    </w:p>
    <w:p w14:paraId="79A55EE4" w14:textId="77777777" w:rsidR="005A5FCC" w:rsidRDefault="005A5FCC">
      <w:pPr>
        <w:spacing w:after="60" w:line="240" w:lineRule="auto"/>
      </w:pPr>
    </w:p>
    <w:p w14:paraId="58364245"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Fator 2 (bônus de permanência):</w:t>
      </w:r>
      <w:r>
        <w:rPr>
          <w:rFonts w:cs="EB Garamond"/>
          <w:kern w:val="16"/>
          <w:sz w:val="20"/>
          <w14:ligatures w14:val="standardContextual"/>
        </w:rPr>
        <w:t xml:space="preserve"> 1 + (Id + Tc × a) / 100 — funciona como um bônus que cresce com a idade e o tempo de contribuição. Quanto mais velho e mais tempo de contribuição, maior o bônus.</w:t>
      </w:r>
    </w:p>
    <w:p w14:paraId="34992B35" w14:textId="77777777" w:rsidR="005A5FCC" w:rsidRDefault="005A5FCC">
      <w:pPr>
        <w:spacing w:after="60" w:line="240" w:lineRule="auto"/>
      </w:pPr>
    </w:p>
    <w:p w14:paraId="731B576F" w14:textId="77777777" w:rsidR="005A5FCC" w:rsidRDefault="00A21C81">
      <w:pPr>
        <w:spacing w:before="260" w:after="80" w:line="240" w:lineRule="auto"/>
        <w:jc w:val="left"/>
      </w:pPr>
      <w:r>
        <w:rPr>
          <w:rFonts w:cs="EB Garamond"/>
          <w:b/>
          <w:color w:val="3A3128"/>
          <w:kern w:val="16"/>
          <w:sz w:val="25"/>
          <w14:ligatures w14:val="standardContextual"/>
        </w:rPr>
        <w:t>11.8.3 Bônus para mulher e professor</w:t>
      </w:r>
    </w:p>
    <w:p w14:paraId="7AF62C9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51199304" w14:textId="77777777" w:rsidR="005A5FCC" w:rsidRDefault="00A21C81">
      <w:r>
        <w:rPr>
          <w:rFonts w:cs="EB Garamond"/>
          <w:kern w:val="16"/>
          <w14:ligatures w14:val="standardContextual"/>
        </w:rPr>
        <w:t xml:space="preserve"> Lei 9.876/99 prevê acréscimos fictícios ao tempo de contribuição exclusivamente para fins de cálculo do fator:</w:t>
      </w:r>
    </w:p>
    <w:p w14:paraId="5D29EB86"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Mulher:</w:t>
      </w:r>
      <w:r>
        <w:rPr>
          <w:rFonts w:cs="EB Garamond"/>
          <w:kern w:val="16"/>
          <w:sz w:val="20"/>
          <w14:ligatures w14:val="standardContextual"/>
        </w:rPr>
        <w:t xml:space="preserve"> +5 anos ao Tc na fórmula (não ao TC real para fins de requisito); a mulher não professora </w:t>
      </w:r>
      <w:r>
        <w:rPr>
          <w:rFonts w:cs="EB Garamond"/>
          <w:b/>
          <w:kern w:val="16"/>
          <w:sz w:val="20"/>
          <w14:ligatures w14:val="standardContextual"/>
        </w:rPr>
        <w:t>não</w:t>
      </w:r>
      <w:r>
        <w:rPr>
          <w:rFonts w:cs="EB Garamond"/>
          <w:kern w:val="16"/>
          <w:sz w:val="20"/>
          <w14:ligatures w14:val="standardContextual"/>
        </w:rPr>
        <w:t xml:space="preserve"> recebe acréscimo na Id — o bônus de idade é exclusivo do professor (homem ou mulher)</w:t>
      </w:r>
    </w:p>
    <w:p w14:paraId="2C3D632D"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Professor (exclusivamente magistério em educação infantil, fundamental e médio):</w:t>
      </w:r>
      <w:r>
        <w:rPr>
          <w:rFonts w:cs="EB Garamond"/>
          <w:kern w:val="16"/>
          <w:sz w:val="20"/>
          <w14:ligatures w14:val="standardContextual"/>
        </w:rPr>
        <w:t xml:space="preserve"> +5 anos ao Tc e +5 anos à Id na fórmula</w:t>
      </w:r>
    </w:p>
    <w:p w14:paraId="4A12739D"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Professora:</w:t>
      </w:r>
      <w:r>
        <w:rPr>
          <w:rFonts w:cs="EB Garamond"/>
          <w:kern w:val="16"/>
          <w:sz w:val="20"/>
          <w14:ligatures w14:val="standardContextual"/>
        </w:rPr>
        <w:t xml:space="preserve"> +10 anos ao Tc (+5 como mulher + 5 como professora) e +5 anos à Id</w:t>
      </w:r>
    </w:p>
    <w:p w14:paraId="40EA25B4" w14:textId="77777777" w:rsidR="005A5FCC" w:rsidRDefault="005A5FCC">
      <w:pPr>
        <w:spacing w:after="60" w:line="240" w:lineRule="auto"/>
      </w:pPr>
    </w:p>
    <w:p w14:paraId="71B531CB"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E</w:t>
      </w:r>
    </w:p>
    <w:p w14:paraId="4F443CEB" w14:textId="77777777" w:rsidR="005A5FCC" w:rsidRDefault="00A21C81">
      <w:r>
        <w:rPr>
          <w:rFonts w:cs="EB Garamond"/>
          <w:kern w:val="16"/>
          <w14:ligatures w14:val="standardContextual"/>
        </w:rPr>
        <w:t>sses bônus elevam significativamente o fator previdenciário, reduzindo o efeito redutor da fórmula. Uma professora com 25 anos de TC e 52 anos de idade, por exemplo, calcula o fator com Tc=35 (25+10) e Id=57 (52+5).</w:t>
      </w:r>
    </w:p>
    <w:p w14:paraId="07E1ED19" w14:textId="77777777" w:rsidR="005A5FCC" w:rsidRDefault="00A21C81">
      <w:pPr>
        <w:spacing w:before="260" w:after="80" w:line="240" w:lineRule="auto"/>
        <w:jc w:val="left"/>
      </w:pPr>
      <w:r>
        <w:rPr>
          <w:rFonts w:cs="EB Garamond"/>
          <w:b/>
          <w:color w:val="3A3128"/>
          <w:kern w:val="16"/>
          <w:sz w:val="25"/>
          <w14:ligatures w14:val="standardContextual"/>
        </w:rPr>
        <w:t>11.8.4 Impacto prático e referência ao cap. 16</w:t>
      </w:r>
    </w:p>
    <w:p w14:paraId="015196E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A</w:t>
      </w:r>
    </w:p>
    <w:p w14:paraId="3215CB18" w14:textId="77777777" w:rsidR="005A5FCC" w:rsidRDefault="00A21C81">
      <w:r>
        <w:rPr>
          <w:rFonts w:cs="EB Garamond"/>
          <w:kern w:val="16"/>
          <w14:ligatures w14:val="standardContextual"/>
        </w:rPr>
        <w:t xml:space="preserve"> tabela completa de simulações, o guia de cálculo passo a passo e exemplos numéricos detalhados do fator previdenciário estão no Cap. 16, seção 16.4, à qual se remete o leitor. Como referência rápida para este capítulo: o fator é redutor (&lt; 1,0) para segurados que se aposentam jovens (homem de 55 anos com 35 de TC obtém fator de aproximadamente 0,71, redução de ~29%); torna-se neutro ou majorador (&gt;= 1,0) para segurados com idade e TC elevados (homem de 62 anos com 40 de TC obtém fator de aproximadamente 1,15, acréscimo de ~15%). O resultado é sempre limitado ao teto do RGPS (R$ 8.475,55 em 2026).</w:t>
      </w:r>
    </w:p>
    <w:tbl>
      <w:tblPr>
        <w:tblW w:w="5000" w:type="pct"/>
        <w:jc w:val="center"/>
        <w:tblLayout w:type="fixed"/>
        <w:tblLook w:val="04A0" w:firstRow="1" w:lastRow="0" w:firstColumn="1" w:lastColumn="0" w:noHBand="0" w:noVBand="1"/>
      </w:tblPr>
      <w:tblGrid>
        <w:gridCol w:w="6311"/>
      </w:tblGrid>
      <w:tr w:rsidR="005A5FCC" w14:paraId="2C71A21E"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091D28A5"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3EAD0783" w14:textId="77777777" w:rsidR="005A5FCC" w:rsidRDefault="00A21C81">
            <w:pPr>
              <w:spacing w:after="60" w:line="247" w:lineRule="auto"/>
            </w:pPr>
            <w:r>
              <w:rPr>
                <w:rFonts w:cs="EB Garamond"/>
                <w:b/>
                <w:kern w:val="16"/>
                <w:sz w:val="19"/>
                <w14:ligatures w14:val="standardContextual"/>
              </w:rPr>
              <w:t>Fator previdenciário × coeficiente 60%+2% — NÃO confundir</w:t>
            </w:r>
          </w:p>
          <w:tbl>
            <w:tblPr>
              <w:tblW w:w="5000" w:type="pct"/>
              <w:jc w:val="center"/>
              <w:tblLook w:val="04A0" w:firstRow="1" w:lastRow="0" w:firstColumn="1" w:lastColumn="0" w:noHBand="0" w:noVBand="1"/>
            </w:tblPr>
            <w:tblGrid>
              <w:gridCol w:w="1967"/>
              <w:gridCol w:w="1967"/>
              <w:gridCol w:w="1967"/>
            </w:tblGrid>
            <w:tr w:rsidR="005A5FCC" w14:paraId="56BEAECB" w14:textId="77777777">
              <w:trPr>
                <w:tblHeader/>
                <w:jc w:val="center"/>
              </w:trPr>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0F060C50" w14:textId="77777777" w:rsidR="005A5FCC" w:rsidRDefault="00A21C81">
                  <w:pPr>
                    <w:spacing w:before="30" w:after="30" w:line="240" w:lineRule="auto"/>
                    <w:jc w:val="center"/>
                  </w:pPr>
                  <w:r>
                    <w:rPr>
                      <w:rFonts w:cs="EB Garamond"/>
                      <w:b/>
                      <w:color w:val="2F2923"/>
                      <w:kern w:val="16"/>
                      <w:sz w:val="16"/>
                      <w14:ligatures w14:val="standardContextual"/>
                    </w:rPr>
                    <w:t>Aspecto</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76132171" w14:textId="77777777" w:rsidR="005A5FCC" w:rsidRDefault="00A21C81">
                  <w:pPr>
                    <w:spacing w:before="30" w:after="30" w:line="240" w:lineRule="auto"/>
                    <w:jc w:val="center"/>
                  </w:pPr>
                  <w:r>
                    <w:rPr>
                      <w:rFonts w:cs="EB Garamond"/>
                      <w:b/>
                      <w:color w:val="2F2923"/>
                      <w:kern w:val="16"/>
                      <w:sz w:val="16"/>
                      <w14:ligatures w14:val="standardContextual"/>
                    </w:rPr>
                    <w:t>Fator Previdenciário</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56F6D7B9" w14:textId="77777777" w:rsidR="005A5FCC" w:rsidRDefault="00A21C81">
                  <w:pPr>
                    <w:spacing w:before="30" w:after="30" w:line="240" w:lineRule="auto"/>
                    <w:jc w:val="center"/>
                  </w:pPr>
                  <w:r>
                    <w:rPr>
                      <w:rFonts w:cs="EB Garamond"/>
                      <w:b/>
                      <w:color w:val="2F2923"/>
                      <w:kern w:val="16"/>
                      <w:sz w:val="16"/>
                      <w14:ligatures w14:val="standardContextual"/>
                    </w:rPr>
                    <w:t>Coeficiente 60%+2%</w:t>
                  </w:r>
                </w:p>
              </w:tc>
            </w:tr>
            <w:tr w:rsidR="005A5FCC" w14:paraId="53D2840E"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6C4492BC" w14:textId="77777777" w:rsidR="005A5FCC" w:rsidRDefault="00A21C81">
                  <w:pPr>
                    <w:spacing w:before="20" w:after="20" w:line="240" w:lineRule="auto"/>
                    <w:jc w:val="left"/>
                  </w:pPr>
                  <w:r>
                    <w:rPr>
                      <w:rFonts w:cs="EB Garamond"/>
                      <w:b/>
                      <w:kern w:val="16"/>
                      <w:sz w:val="16"/>
                      <w14:ligatures w14:val="standardContextual"/>
                    </w:rPr>
                    <w:t>Onde se aplica</w:t>
                  </w:r>
                </w:p>
              </w:tc>
              <w:tc>
                <w:tcPr>
                  <w:tcW w:w="2117" w:type="dxa"/>
                  <w:tcBorders>
                    <w:top w:val="single" w:sz="4" w:space="0" w:color="D2C9B8"/>
                    <w:left w:val="single" w:sz="4" w:space="0" w:color="D2C9B8"/>
                    <w:bottom w:val="single" w:sz="4" w:space="0" w:color="D2C9B8"/>
                    <w:right w:val="single" w:sz="4" w:space="0" w:color="D2C9B8"/>
                  </w:tcBorders>
                </w:tcPr>
                <w:p w14:paraId="1DBE3334" w14:textId="77777777" w:rsidR="005A5FCC" w:rsidRDefault="00A21C81">
                  <w:pPr>
                    <w:spacing w:before="20" w:after="20" w:line="240" w:lineRule="auto"/>
                    <w:jc w:val="left"/>
                  </w:pPr>
                  <w:r>
                    <w:rPr>
                      <w:rFonts w:cs="EB Garamond"/>
                      <w:kern w:val="16"/>
                      <w:sz w:val="16"/>
                      <w14:ligatures w14:val="standardContextual"/>
                    </w:rPr>
                    <w:t>Pedágio 50% (obrigatório); direito adquirido TC (obrigatório); aposentadoria por idade pré-EC 103 (se vantajoso)</w:t>
                  </w:r>
                </w:p>
              </w:tc>
              <w:tc>
                <w:tcPr>
                  <w:tcW w:w="2117" w:type="dxa"/>
                  <w:tcBorders>
                    <w:top w:val="single" w:sz="4" w:space="0" w:color="D2C9B8"/>
                    <w:left w:val="single" w:sz="4" w:space="0" w:color="D2C9B8"/>
                    <w:bottom w:val="single" w:sz="4" w:space="0" w:color="D2C9B8"/>
                    <w:right w:val="single" w:sz="4" w:space="0" w:color="D2C9B8"/>
                  </w:tcBorders>
                </w:tcPr>
                <w:p w14:paraId="24BF23F0" w14:textId="77777777" w:rsidR="005A5FCC" w:rsidRDefault="00A21C81">
                  <w:pPr>
                    <w:spacing w:before="20" w:after="20" w:line="240" w:lineRule="auto"/>
                    <w:jc w:val="left"/>
                  </w:pPr>
                  <w:r>
                    <w:rPr>
                      <w:rFonts w:cs="EB Garamond"/>
                      <w:kern w:val="16"/>
                      <w:sz w:val="16"/>
                      <w14:ligatures w14:val="standardContextual"/>
                    </w:rPr>
                    <w:t>Arts. 15, 16, regra permanente</w:t>
                  </w:r>
                </w:p>
              </w:tc>
            </w:tr>
            <w:tr w:rsidR="005A5FCC" w14:paraId="110396DC"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4E20ED12" w14:textId="77777777" w:rsidR="005A5FCC" w:rsidRDefault="00A21C81">
                  <w:pPr>
                    <w:spacing w:before="20" w:after="20" w:line="240" w:lineRule="auto"/>
                    <w:jc w:val="left"/>
                  </w:pPr>
                  <w:r>
                    <w:rPr>
                      <w:rFonts w:cs="EB Garamond"/>
                      <w:b/>
                      <w:kern w:val="16"/>
                      <w:sz w:val="16"/>
                      <w14:ligatures w14:val="standardContextual"/>
                    </w:rPr>
                    <w:t>Base de cálculo</w:t>
                  </w:r>
                </w:p>
              </w:tc>
              <w:tc>
                <w:tcPr>
                  <w:tcW w:w="2117" w:type="dxa"/>
                  <w:tcBorders>
                    <w:top w:val="single" w:sz="4" w:space="0" w:color="D2C9B8"/>
                    <w:left w:val="single" w:sz="4" w:space="0" w:color="D2C9B8"/>
                    <w:bottom w:val="single" w:sz="4" w:space="0" w:color="D2C9B8"/>
                    <w:right w:val="single" w:sz="4" w:space="0" w:color="D2C9B8"/>
                  </w:tcBorders>
                </w:tcPr>
                <w:p w14:paraId="6033992A" w14:textId="77777777" w:rsidR="005A5FCC" w:rsidRDefault="00A21C81">
                  <w:pPr>
                    <w:spacing w:before="20" w:after="20" w:line="240" w:lineRule="auto"/>
                    <w:jc w:val="left"/>
                  </w:pPr>
                  <w:r>
                    <w:rPr>
                      <w:rFonts w:cs="EB Garamond"/>
                      <w:kern w:val="16"/>
                      <w:sz w:val="16"/>
                      <w14:ligatures w14:val="standardContextual"/>
                    </w:rPr>
                    <w:t>Média 80% maiores SC</w:t>
                  </w:r>
                </w:p>
              </w:tc>
              <w:tc>
                <w:tcPr>
                  <w:tcW w:w="2117" w:type="dxa"/>
                  <w:tcBorders>
                    <w:top w:val="single" w:sz="4" w:space="0" w:color="D2C9B8"/>
                    <w:left w:val="single" w:sz="4" w:space="0" w:color="D2C9B8"/>
                    <w:bottom w:val="single" w:sz="4" w:space="0" w:color="D2C9B8"/>
                    <w:right w:val="single" w:sz="4" w:space="0" w:color="D2C9B8"/>
                  </w:tcBorders>
                </w:tcPr>
                <w:p w14:paraId="3687C0FE" w14:textId="77777777" w:rsidR="005A5FCC" w:rsidRDefault="00A21C81">
                  <w:pPr>
                    <w:spacing w:before="20" w:after="20" w:line="240" w:lineRule="auto"/>
                    <w:jc w:val="left"/>
                  </w:pPr>
                  <w:r>
                    <w:rPr>
                      <w:rFonts w:cs="EB Garamond"/>
                      <w:kern w:val="16"/>
                      <w:sz w:val="16"/>
                      <w14:ligatures w14:val="standardContextual"/>
                    </w:rPr>
                    <w:t>Média 100% dos SC</w:t>
                  </w:r>
                </w:p>
              </w:tc>
            </w:tr>
            <w:tr w:rsidR="005A5FCC" w14:paraId="606BA58A"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51BF2D71" w14:textId="77777777" w:rsidR="005A5FCC" w:rsidRDefault="00A21C81">
                  <w:pPr>
                    <w:spacing w:before="20" w:after="20" w:line="240" w:lineRule="auto"/>
                    <w:jc w:val="left"/>
                  </w:pPr>
                  <w:r>
                    <w:rPr>
                      <w:rFonts w:cs="EB Garamond"/>
                      <w:b/>
                      <w:kern w:val="16"/>
                      <w:sz w:val="16"/>
                      <w14:ligatures w14:val="standardContextual"/>
                    </w:rPr>
                    <w:t>Pode ser &gt; 100%?</w:t>
                  </w:r>
                </w:p>
              </w:tc>
              <w:tc>
                <w:tcPr>
                  <w:tcW w:w="2117" w:type="dxa"/>
                  <w:tcBorders>
                    <w:top w:val="single" w:sz="4" w:space="0" w:color="D2C9B8"/>
                    <w:left w:val="single" w:sz="4" w:space="0" w:color="D2C9B8"/>
                    <w:bottom w:val="single" w:sz="4" w:space="0" w:color="D2C9B8"/>
                    <w:right w:val="single" w:sz="4" w:space="0" w:color="D2C9B8"/>
                  </w:tcBorders>
                </w:tcPr>
                <w:p w14:paraId="2E3F38BF" w14:textId="77777777" w:rsidR="005A5FCC" w:rsidRDefault="00A21C81">
                  <w:pPr>
                    <w:spacing w:before="20" w:after="20" w:line="240" w:lineRule="auto"/>
                    <w:jc w:val="left"/>
                  </w:pPr>
                  <w:r>
                    <w:rPr>
                      <w:rFonts w:cs="EB Garamond"/>
                      <w:kern w:val="16"/>
                      <w:sz w:val="16"/>
                      <w14:ligatures w14:val="standardContextual"/>
                    </w:rPr>
                    <w:t>Sim (fator pode ser &gt; 1,0)</w:t>
                  </w:r>
                </w:p>
              </w:tc>
              <w:tc>
                <w:tcPr>
                  <w:tcW w:w="2117" w:type="dxa"/>
                  <w:tcBorders>
                    <w:top w:val="single" w:sz="4" w:space="0" w:color="D2C9B8"/>
                    <w:left w:val="single" w:sz="4" w:space="0" w:color="D2C9B8"/>
                    <w:bottom w:val="single" w:sz="4" w:space="0" w:color="D2C9B8"/>
                    <w:right w:val="single" w:sz="4" w:space="0" w:color="D2C9B8"/>
                  </w:tcBorders>
                </w:tcPr>
                <w:p w14:paraId="4A70B20E" w14:textId="77777777" w:rsidR="005A5FCC" w:rsidRDefault="00A21C81">
                  <w:pPr>
                    <w:spacing w:before="20" w:after="20" w:line="240" w:lineRule="auto"/>
                    <w:jc w:val="left"/>
                  </w:pPr>
                  <w:r>
                    <w:rPr>
                      <w:rFonts w:cs="EB Garamond"/>
                      <w:kern w:val="16"/>
                      <w:sz w:val="16"/>
                      <w14:ligatures w14:val="standardContextual"/>
                    </w:rPr>
                    <w:t>Sim (coeficiente pode ser &gt; 100%)</w:t>
                  </w:r>
                </w:p>
              </w:tc>
            </w:tr>
            <w:tr w:rsidR="005A5FCC" w14:paraId="6AB3869E"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1CBA92E6" w14:textId="77777777" w:rsidR="005A5FCC" w:rsidRDefault="00A21C81">
                  <w:pPr>
                    <w:spacing w:before="20" w:after="20" w:line="240" w:lineRule="auto"/>
                    <w:jc w:val="left"/>
                  </w:pPr>
                  <w:r>
                    <w:rPr>
                      <w:rFonts w:cs="EB Garamond"/>
                      <w:b/>
                      <w:kern w:val="16"/>
                      <w:sz w:val="16"/>
                      <w14:ligatures w14:val="standardContextual"/>
                    </w:rPr>
                    <w:t>Quando reduz o benefício</w:t>
                  </w:r>
                </w:p>
              </w:tc>
              <w:tc>
                <w:tcPr>
                  <w:tcW w:w="2117" w:type="dxa"/>
                  <w:tcBorders>
                    <w:top w:val="single" w:sz="4" w:space="0" w:color="D2C9B8"/>
                    <w:left w:val="single" w:sz="4" w:space="0" w:color="D2C9B8"/>
                    <w:bottom w:val="single" w:sz="4" w:space="0" w:color="D2C9B8"/>
                    <w:right w:val="single" w:sz="4" w:space="0" w:color="D2C9B8"/>
                  </w:tcBorders>
                </w:tcPr>
                <w:p w14:paraId="3CA24D62" w14:textId="77777777" w:rsidR="005A5FCC" w:rsidRDefault="00A21C81">
                  <w:pPr>
                    <w:spacing w:before="20" w:after="20" w:line="240" w:lineRule="auto"/>
                    <w:jc w:val="left"/>
                  </w:pPr>
                  <w:r>
                    <w:rPr>
                      <w:rFonts w:cs="EB Garamond"/>
                      <w:kern w:val="16"/>
                      <w:sz w:val="16"/>
                      <w14:ligatures w14:val="standardContextual"/>
                    </w:rPr>
                    <w:t>Quando fator &lt; 1,0 (segurado jovem)</w:t>
                  </w:r>
                </w:p>
              </w:tc>
              <w:tc>
                <w:tcPr>
                  <w:tcW w:w="2117" w:type="dxa"/>
                  <w:tcBorders>
                    <w:top w:val="single" w:sz="4" w:space="0" w:color="D2C9B8"/>
                    <w:left w:val="single" w:sz="4" w:space="0" w:color="D2C9B8"/>
                    <w:bottom w:val="single" w:sz="4" w:space="0" w:color="D2C9B8"/>
                    <w:right w:val="single" w:sz="4" w:space="0" w:color="D2C9B8"/>
                  </w:tcBorders>
                </w:tcPr>
                <w:p w14:paraId="397F7B8C" w14:textId="77777777" w:rsidR="005A5FCC" w:rsidRDefault="00A21C81">
                  <w:pPr>
                    <w:spacing w:before="20" w:after="20" w:line="240" w:lineRule="auto"/>
                    <w:jc w:val="left"/>
                  </w:pPr>
                  <w:r>
                    <w:rPr>
                      <w:rFonts w:cs="EB Garamond"/>
                      <w:kern w:val="16"/>
                      <w:sz w:val="16"/>
                      <w14:ligatures w14:val="standardContextual"/>
                    </w:rPr>
                    <w:t>Quando TC é baixo (poucos anos excedentes)</w:t>
                  </w:r>
                </w:p>
              </w:tc>
            </w:tr>
            <w:tr w:rsidR="005A5FCC" w14:paraId="1140A83B"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044056A9" w14:textId="77777777" w:rsidR="005A5FCC" w:rsidRDefault="00A21C81">
                  <w:pPr>
                    <w:spacing w:before="20" w:after="20" w:line="240" w:lineRule="auto"/>
                    <w:jc w:val="left"/>
                  </w:pPr>
                  <w:r>
                    <w:rPr>
                      <w:rFonts w:cs="EB Garamond"/>
                      <w:b/>
                      <w:kern w:val="16"/>
                      <w:sz w:val="16"/>
                      <w14:ligatures w14:val="standardContextual"/>
                    </w:rPr>
                    <w:t>Fórmula</w:t>
                  </w:r>
                </w:p>
              </w:tc>
              <w:tc>
                <w:tcPr>
                  <w:tcW w:w="2117" w:type="dxa"/>
                  <w:tcBorders>
                    <w:top w:val="single" w:sz="4" w:space="0" w:color="D2C9B8"/>
                    <w:left w:val="single" w:sz="4" w:space="0" w:color="D2C9B8"/>
                    <w:bottom w:val="single" w:sz="4" w:space="0" w:color="D2C9B8"/>
                    <w:right w:val="single" w:sz="4" w:space="0" w:color="D2C9B8"/>
                  </w:tcBorders>
                </w:tcPr>
                <w:p w14:paraId="33493D27" w14:textId="77777777" w:rsidR="005A5FCC" w:rsidRDefault="00A21C81">
                  <w:pPr>
                    <w:spacing w:before="20" w:after="20" w:line="240" w:lineRule="auto"/>
                    <w:jc w:val="left"/>
                  </w:pPr>
                  <w:r>
                    <w:rPr>
                      <w:rFonts w:cs="EB Garamond"/>
                      <w:kern w:val="16"/>
                      <w:sz w:val="16"/>
                      <w14:ligatures w14:val="standardContextual"/>
                    </w:rPr>
                    <w:t>f = (Tc×a/Es) × [1+(Id+Tc×a)/100]</w:t>
                  </w:r>
                </w:p>
              </w:tc>
              <w:tc>
                <w:tcPr>
                  <w:tcW w:w="2117" w:type="dxa"/>
                  <w:tcBorders>
                    <w:top w:val="single" w:sz="4" w:space="0" w:color="D2C9B8"/>
                    <w:left w:val="single" w:sz="4" w:space="0" w:color="D2C9B8"/>
                    <w:bottom w:val="single" w:sz="4" w:space="0" w:color="D2C9B8"/>
                    <w:right w:val="single" w:sz="4" w:space="0" w:color="D2C9B8"/>
                  </w:tcBorders>
                </w:tcPr>
                <w:p w14:paraId="1BBBDE02" w14:textId="77777777" w:rsidR="005A5FCC" w:rsidRDefault="00A21C81">
                  <w:pPr>
                    <w:spacing w:before="20" w:after="20" w:line="240" w:lineRule="auto"/>
                    <w:jc w:val="left"/>
                  </w:pPr>
                  <w:r>
                    <w:rPr>
                      <w:rFonts w:cs="EB Garamond"/>
                      <w:kern w:val="16"/>
                      <w:sz w:val="16"/>
                      <w14:ligatures w14:val="standardContextual"/>
                    </w:rPr>
                    <w:t>60% + 2% × (TC - 20H ou TC - 15M)</w:t>
                  </w:r>
                </w:p>
              </w:tc>
            </w:tr>
          </w:tbl>
          <w:p w14:paraId="78828711" w14:textId="77777777" w:rsidR="005A5FCC" w:rsidRDefault="005A5FCC"/>
          <w:p w14:paraId="42849AC0" w14:textId="77777777" w:rsidR="005A5FCC" w:rsidRDefault="005A5FCC">
            <w:pPr>
              <w:spacing w:after="0" w:line="240" w:lineRule="auto"/>
            </w:pPr>
          </w:p>
          <w:p w14:paraId="74319016" w14:textId="77777777" w:rsidR="005A5FCC" w:rsidRDefault="00A21C81">
            <w:pPr>
              <w:spacing w:after="60" w:line="247" w:lineRule="auto"/>
            </w:pPr>
            <w:r>
              <w:rPr>
                <w:rFonts w:cs="EB Garamond"/>
                <w:kern w:val="16"/>
                <w:sz w:val="19"/>
                <w14:ligatures w14:val="standardContextual"/>
              </w:rPr>
              <w:t>O fator previdenciário e o coeficiente 60%+2% são mecanismos distintos que NUNCA se aplicam simultaneamente à mesma aposentadoria. Cada regra de transição define qual dos dois se aplica.</w:t>
            </w:r>
          </w:p>
        </w:tc>
      </w:tr>
    </w:tbl>
    <w:p w14:paraId="1E6511C5" w14:textId="77777777" w:rsidR="005A5FCC" w:rsidRDefault="005A5FCC">
      <w:pPr>
        <w:spacing w:after="80" w:line="240" w:lineRule="auto"/>
      </w:pPr>
    </w:p>
    <w:p w14:paraId="2667873D" w14:textId="3E86610C"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11.9 A regra 85/95 progressiva (</w:t>
      </w:r>
      <w:r w:rsidR="00554F3F">
        <w:rPr>
          <w:rFonts w:cs="EB Garamond"/>
          <w:b/>
          <w:color w:val="3A3128"/>
          <w:kern w:val="16"/>
          <w:sz w:val="31"/>
          <w14:ligatures w14:val="standardContextual"/>
        </w:rPr>
        <w:t>L</w:t>
      </w:r>
      <w:r>
        <w:rPr>
          <w:rFonts w:cs="EB Garamond"/>
          <w:b/>
          <w:color w:val="3A3128"/>
          <w:kern w:val="16"/>
          <w:sz w:val="31"/>
          <w14:ligatures w14:val="standardContextual"/>
        </w:rPr>
        <w:t>ei 13.183/2015) — aplicação residual</w:t>
      </w:r>
    </w:p>
    <w:p w14:paraId="6CBBEC60" w14:textId="77777777" w:rsidR="005A5FCC" w:rsidRDefault="00A21C81">
      <w:pPr>
        <w:spacing w:before="260" w:after="80" w:line="240" w:lineRule="auto"/>
        <w:jc w:val="left"/>
      </w:pPr>
      <w:r>
        <w:rPr>
          <w:rFonts w:cs="EB Garamond"/>
          <w:b/>
          <w:color w:val="3A3128"/>
          <w:kern w:val="16"/>
          <w:sz w:val="25"/>
          <w14:ligatures w14:val="standardContextual"/>
        </w:rPr>
        <w:t>11.9.1 Conceito original</w:t>
      </w:r>
    </w:p>
    <w:p w14:paraId="00680814"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320A9BA4" w14:textId="77777777" w:rsidR="005A5FCC" w:rsidRDefault="00A21C81">
      <w:r>
        <w:rPr>
          <w:rFonts w:cs="EB Garamond"/>
          <w:kern w:val="16"/>
          <w14:ligatures w14:val="standardContextual"/>
        </w:rPr>
        <w:t xml:space="preserve"> regra 85/95 (art. 29-C da Lei 8.213/91, incluído pela Lei 13.183/2015) permitiu ao segurado excluir o fator previdenciário ao atingir soma de idade + TC igual ou superior a 85 (mulher) ou 95 (homem). Quem atingia a pontuação aposentava-se com 100% do SB (média dos 80% maiores SC), sem redução atuarial.</w:t>
      </w:r>
    </w:p>
    <w:p w14:paraId="5C01BB25" w14:textId="77777777" w:rsidR="005A5FCC" w:rsidRDefault="00A21C81">
      <w:pPr>
        <w:ind w:firstLine="238"/>
      </w:pPr>
      <w:r>
        <w:rPr>
          <w:rFonts w:cs="EB Garamond"/>
          <w:kern w:val="16"/>
          <w14:ligatures w14:val="standardContextual"/>
        </w:rPr>
        <w:t>A pontuação era progressiva:</w:t>
      </w:r>
    </w:p>
    <w:tbl>
      <w:tblPr>
        <w:tblW w:w="5000" w:type="pct"/>
        <w:jc w:val="center"/>
        <w:tblLook w:val="04A0" w:firstRow="1" w:lastRow="0" w:firstColumn="1" w:lastColumn="0" w:noHBand="0" w:noVBand="1"/>
      </w:tblPr>
      <w:tblGrid>
        <w:gridCol w:w="2114"/>
        <w:gridCol w:w="2113"/>
        <w:gridCol w:w="2113"/>
      </w:tblGrid>
      <w:tr w:rsidR="005A5FCC" w14:paraId="43FC08B6" w14:textId="77777777">
        <w:trPr>
          <w:tblHeader/>
          <w:jc w:val="center"/>
        </w:trPr>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49755721" w14:textId="77777777" w:rsidR="005A5FCC" w:rsidRDefault="00A21C81">
            <w:pPr>
              <w:spacing w:before="40" w:after="40" w:line="240" w:lineRule="auto"/>
              <w:jc w:val="center"/>
            </w:pPr>
            <w:r>
              <w:rPr>
                <w:rFonts w:cs="EB Garamond"/>
                <w:b/>
                <w:color w:val="2F2923"/>
                <w:kern w:val="16"/>
                <w:sz w:val="18"/>
                <w14:ligatures w14:val="standardContextual"/>
              </w:rPr>
              <w:t>Período</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359C5AEA" w14:textId="77777777" w:rsidR="005A5FCC" w:rsidRDefault="00A21C81">
            <w:pPr>
              <w:spacing w:before="40" w:after="40" w:line="240" w:lineRule="auto"/>
              <w:jc w:val="center"/>
            </w:pPr>
            <w:r>
              <w:rPr>
                <w:rFonts w:cs="EB Garamond"/>
                <w:b/>
                <w:color w:val="2F2923"/>
                <w:kern w:val="16"/>
                <w:sz w:val="18"/>
                <w14:ligatures w14:val="standardContextual"/>
              </w:rPr>
              <w:t>Mulher</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4A589940" w14:textId="77777777" w:rsidR="005A5FCC" w:rsidRDefault="00A21C81">
            <w:pPr>
              <w:spacing w:before="40" w:after="40" w:line="240" w:lineRule="auto"/>
              <w:jc w:val="center"/>
            </w:pPr>
            <w:r>
              <w:rPr>
                <w:rFonts w:cs="EB Garamond"/>
                <w:b/>
                <w:color w:val="2F2923"/>
                <w:kern w:val="16"/>
                <w:sz w:val="18"/>
                <w14:ligatures w14:val="standardContextual"/>
              </w:rPr>
              <w:t>Homem</w:t>
            </w:r>
          </w:p>
        </w:tc>
      </w:tr>
      <w:tr w:rsidR="005A5FCC" w14:paraId="65E5FA63"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36E70D80" w14:textId="77777777" w:rsidR="005A5FCC" w:rsidRDefault="00A21C81">
            <w:pPr>
              <w:spacing w:before="20" w:after="20" w:line="240" w:lineRule="auto"/>
              <w:jc w:val="left"/>
            </w:pPr>
            <w:r>
              <w:rPr>
                <w:rFonts w:cs="EB Garamond"/>
                <w:kern w:val="16"/>
                <w:sz w:val="18"/>
                <w14:ligatures w14:val="standardContextual"/>
              </w:rPr>
              <w:t>2015-2018</w:t>
            </w:r>
          </w:p>
        </w:tc>
        <w:tc>
          <w:tcPr>
            <w:tcW w:w="2117" w:type="dxa"/>
            <w:tcBorders>
              <w:top w:val="single" w:sz="4" w:space="0" w:color="D2C9B8"/>
              <w:left w:val="single" w:sz="4" w:space="0" w:color="D2C9B8"/>
              <w:bottom w:val="single" w:sz="4" w:space="0" w:color="D2C9B8"/>
              <w:right w:val="single" w:sz="4" w:space="0" w:color="D2C9B8"/>
            </w:tcBorders>
          </w:tcPr>
          <w:p w14:paraId="58FDCA1B" w14:textId="77777777" w:rsidR="005A5FCC" w:rsidRDefault="00A21C81">
            <w:pPr>
              <w:spacing w:before="20" w:after="20" w:line="240" w:lineRule="auto"/>
              <w:jc w:val="left"/>
            </w:pPr>
            <w:r>
              <w:rPr>
                <w:rFonts w:cs="EB Garamond"/>
                <w:kern w:val="16"/>
                <w:sz w:val="18"/>
                <w14:ligatures w14:val="standardContextual"/>
              </w:rPr>
              <w:t>85</w:t>
            </w:r>
          </w:p>
        </w:tc>
        <w:tc>
          <w:tcPr>
            <w:tcW w:w="2117" w:type="dxa"/>
            <w:tcBorders>
              <w:top w:val="single" w:sz="4" w:space="0" w:color="D2C9B8"/>
              <w:left w:val="single" w:sz="4" w:space="0" w:color="D2C9B8"/>
              <w:bottom w:val="single" w:sz="4" w:space="0" w:color="D2C9B8"/>
              <w:right w:val="single" w:sz="4" w:space="0" w:color="D2C9B8"/>
            </w:tcBorders>
          </w:tcPr>
          <w:p w14:paraId="1B3F4926" w14:textId="77777777" w:rsidR="005A5FCC" w:rsidRDefault="00A21C81">
            <w:pPr>
              <w:spacing w:before="20" w:after="20" w:line="240" w:lineRule="auto"/>
              <w:jc w:val="left"/>
            </w:pPr>
            <w:r>
              <w:rPr>
                <w:rFonts w:cs="EB Garamond"/>
                <w:kern w:val="16"/>
                <w:sz w:val="18"/>
                <w14:ligatures w14:val="standardContextual"/>
              </w:rPr>
              <w:t>95</w:t>
            </w:r>
          </w:p>
        </w:tc>
      </w:tr>
      <w:tr w:rsidR="005A5FCC" w14:paraId="10606BD1"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42C3A206" w14:textId="77777777" w:rsidR="005A5FCC" w:rsidRDefault="00A21C81">
            <w:pPr>
              <w:spacing w:before="20" w:after="20" w:line="240" w:lineRule="auto"/>
              <w:jc w:val="left"/>
            </w:pPr>
            <w:r>
              <w:rPr>
                <w:rFonts w:cs="EB Garamond"/>
                <w:kern w:val="16"/>
                <w:sz w:val="18"/>
                <w14:ligatures w14:val="standardContextual"/>
              </w:rPr>
              <w:t>2019-2020</w:t>
            </w:r>
          </w:p>
        </w:tc>
        <w:tc>
          <w:tcPr>
            <w:tcW w:w="2117" w:type="dxa"/>
            <w:tcBorders>
              <w:top w:val="single" w:sz="4" w:space="0" w:color="D2C9B8"/>
              <w:left w:val="single" w:sz="4" w:space="0" w:color="D2C9B8"/>
              <w:bottom w:val="single" w:sz="4" w:space="0" w:color="D2C9B8"/>
              <w:right w:val="single" w:sz="4" w:space="0" w:color="D2C9B8"/>
            </w:tcBorders>
          </w:tcPr>
          <w:p w14:paraId="662B95E5" w14:textId="77777777" w:rsidR="005A5FCC" w:rsidRDefault="00A21C81">
            <w:pPr>
              <w:spacing w:before="20" w:after="20" w:line="240" w:lineRule="auto"/>
              <w:jc w:val="left"/>
            </w:pPr>
            <w:r>
              <w:rPr>
                <w:rFonts w:cs="EB Garamond"/>
                <w:kern w:val="16"/>
                <w:sz w:val="18"/>
                <w14:ligatures w14:val="standardContextual"/>
              </w:rPr>
              <w:t>86</w:t>
            </w:r>
          </w:p>
        </w:tc>
        <w:tc>
          <w:tcPr>
            <w:tcW w:w="2117" w:type="dxa"/>
            <w:tcBorders>
              <w:top w:val="single" w:sz="4" w:space="0" w:color="D2C9B8"/>
              <w:left w:val="single" w:sz="4" w:space="0" w:color="D2C9B8"/>
              <w:bottom w:val="single" w:sz="4" w:space="0" w:color="D2C9B8"/>
              <w:right w:val="single" w:sz="4" w:space="0" w:color="D2C9B8"/>
            </w:tcBorders>
          </w:tcPr>
          <w:p w14:paraId="31226A9A" w14:textId="77777777" w:rsidR="005A5FCC" w:rsidRDefault="00A21C81">
            <w:pPr>
              <w:spacing w:before="20" w:after="20" w:line="240" w:lineRule="auto"/>
              <w:jc w:val="left"/>
            </w:pPr>
            <w:r>
              <w:rPr>
                <w:rFonts w:cs="EB Garamond"/>
                <w:kern w:val="16"/>
                <w:sz w:val="18"/>
                <w14:ligatures w14:val="standardContextual"/>
              </w:rPr>
              <w:t>96</w:t>
            </w:r>
          </w:p>
        </w:tc>
      </w:tr>
      <w:tr w:rsidR="005A5FCC" w14:paraId="225CDA3E"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5E14EA8B" w14:textId="77777777" w:rsidR="005A5FCC" w:rsidRDefault="00A21C81">
            <w:pPr>
              <w:spacing w:before="20" w:after="20" w:line="240" w:lineRule="auto"/>
              <w:jc w:val="left"/>
            </w:pPr>
            <w:r>
              <w:rPr>
                <w:rFonts w:cs="EB Garamond"/>
                <w:kern w:val="16"/>
                <w:sz w:val="18"/>
                <w14:ligatures w14:val="standardContextual"/>
              </w:rPr>
              <w:t>2021-2022</w:t>
            </w:r>
          </w:p>
        </w:tc>
        <w:tc>
          <w:tcPr>
            <w:tcW w:w="2117" w:type="dxa"/>
            <w:tcBorders>
              <w:top w:val="single" w:sz="4" w:space="0" w:color="D2C9B8"/>
              <w:left w:val="single" w:sz="4" w:space="0" w:color="D2C9B8"/>
              <w:bottom w:val="single" w:sz="4" w:space="0" w:color="D2C9B8"/>
              <w:right w:val="single" w:sz="4" w:space="0" w:color="D2C9B8"/>
            </w:tcBorders>
          </w:tcPr>
          <w:p w14:paraId="6376CA7C" w14:textId="77777777" w:rsidR="005A5FCC" w:rsidRDefault="00A21C81">
            <w:pPr>
              <w:spacing w:before="20" w:after="20" w:line="240" w:lineRule="auto"/>
              <w:jc w:val="left"/>
            </w:pPr>
            <w:r>
              <w:rPr>
                <w:rFonts w:cs="EB Garamond"/>
                <w:kern w:val="16"/>
                <w:sz w:val="18"/>
                <w14:ligatures w14:val="standardContextual"/>
              </w:rPr>
              <w:t>87</w:t>
            </w:r>
          </w:p>
        </w:tc>
        <w:tc>
          <w:tcPr>
            <w:tcW w:w="2117" w:type="dxa"/>
            <w:tcBorders>
              <w:top w:val="single" w:sz="4" w:space="0" w:color="D2C9B8"/>
              <w:left w:val="single" w:sz="4" w:space="0" w:color="D2C9B8"/>
              <w:bottom w:val="single" w:sz="4" w:space="0" w:color="D2C9B8"/>
              <w:right w:val="single" w:sz="4" w:space="0" w:color="D2C9B8"/>
            </w:tcBorders>
          </w:tcPr>
          <w:p w14:paraId="5F42D7C7" w14:textId="77777777" w:rsidR="005A5FCC" w:rsidRDefault="00A21C81">
            <w:pPr>
              <w:spacing w:before="20" w:after="20" w:line="240" w:lineRule="auto"/>
              <w:jc w:val="left"/>
            </w:pPr>
            <w:r>
              <w:rPr>
                <w:rFonts w:cs="EB Garamond"/>
                <w:kern w:val="16"/>
                <w:sz w:val="18"/>
                <w14:ligatures w14:val="standardContextual"/>
              </w:rPr>
              <w:t>97</w:t>
            </w:r>
          </w:p>
        </w:tc>
      </w:tr>
      <w:tr w:rsidR="005A5FCC" w14:paraId="41A8168D"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5F2D340B" w14:textId="77777777" w:rsidR="005A5FCC" w:rsidRDefault="00A21C81">
            <w:pPr>
              <w:spacing w:before="20" w:after="20" w:line="240" w:lineRule="auto"/>
              <w:jc w:val="left"/>
            </w:pPr>
            <w:r>
              <w:rPr>
                <w:rFonts w:cs="EB Garamond"/>
                <w:kern w:val="16"/>
                <w:sz w:val="18"/>
                <w14:ligatures w14:val="standardContextual"/>
              </w:rPr>
              <w:t>2023-2024</w:t>
            </w:r>
          </w:p>
        </w:tc>
        <w:tc>
          <w:tcPr>
            <w:tcW w:w="2117" w:type="dxa"/>
            <w:tcBorders>
              <w:top w:val="single" w:sz="4" w:space="0" w:color="D2C9B8"/>
              <w:left w:val="single" w:sz="4" w:space="0" w:color="D2C9B8"/>
              <w:bottom w:val="single" w:sz="4" w:space="0" w:color="D2C9B8"/>
              <w:right w:val="single" w:sz="4" w:space="0" w:color="D2C9B8"/>
            </w:tcBorders>
          </w:tcPr>
          <w:p w14:paraId="64327AB0" w14:textId="77777777" w:rsidR="005A5FCC" w:rsidRDefault="00A21C81">
            <w:pPr>
              <w:spacing w:before="20" w:after="20" w:line="240" w:lineRule="auto"/>
              <w:jc w:val="left"/>
            </w:pPr>
            <w:r>
              <w:rPr>
                <w:rFonts w:cs="EB Garamond"/>
                <w:kern w:val="16"/>
                <w:sz w:val="18"/>
                <w14:ligatures w14:val="standardContextual"/>
              </w:rPr>
              <w:t>88</w:t>
            </w:r>
          </w:p>
        </w:tc>
        <w:tc>
          <w:tcPr>
            <w:tcW w:w="2117" w:type="dxa"/>
            <w:tcBorders>
              <w:top w:val="single" w:sz="4" w:space="0" w:color="D2C9B8"/>
              <w:left w:val="single" w:sz="4" w:space="0" w:color="D2C9B8"/>
              <w:bottom w:val="single" w:sz="4" w:space="0" w:color="D2C9B8"/>
              <w:right w:val="single" w:sz="4" w:space="0" w:color="D2C9B8"/>
            </w:tcBorders>
          </w:tcPr>
          <w:p w14:paraId="7F9992F7" w14:textId="77777777" w:rsidR="005A5FCC" w:rsidRDefault="00A21C81">
            <w:pPr>
              <w:spacing w:before="20" w:after="20" w:line="240" w:lineRule="auto"/>
              <w:jc w:val="left"/>
            </w:pPr>
            <w:r>
              <w:rPr>
                <w:rFonts w:cs="EB Garamond"/>
                <w:kern w:val="16"/>
                <w:sz w:val="18"/>
                <w14:ligatures w14:val="standardContextual"/>
              </w:rPr>
              <w:t>98</w:t>
            </w:r>
          </w:p>
        </w:tc>
      </w:tr>
      <w:tr w:rsidR="005A5FCC" w14:paraId="765C37A8"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6875ECC5" w14:textId="77777777" w:rsidR="005A5FCC" w:rsidRDefault="00A21C81">
            <w:pPr>
              <w:spacing w:before="20" w:after="20" w:line="240" w:lineRule="auto"/>
              <w:jc w:val="left"/>
            </w:pPr>
            <w:r>
              <w:rPr>
                <w:rFonts w:cs="EB Garamond"/>
                <w:kern w:val="16"/>
                <w:sz w:val="18"/>
                <w14:ligatures w14:val="standardContextual"/>
              </w:rPr>
              <w:t>2025-2026</w:t>
            </w:r>
          </w:p>
        </w:tc>
        <w:tc>
          <w:tcPr>
            <w:tcW w:w="2117" w:type="dxa"/>
            <w:tcBorders>
              <w:top w:val="single" w:sz="4" w:space="0" w:color="D2C9B8"/>
              <w:left w:val="single" w:sz="4" w:space="0" w:color="D2C9B8"/>
              <w:bottom w:val="single" w:sz="4" w:space="0" w:color="D2C9B8"/>
              <w:right w:val="single" w:sz="4" w:space="0" w:color="D2C9B8"/>
            </w:tcBorders>
          </w:tcPr>
          <w:p w14:paraId="0F0941B2" w14:textId="77777777" w:rsidR="005A5FCC" w:rsidRDefault="00A21C81">
            <w:pPr>
              <w:spacing w:before="20" w:after="20" w:line="240" w:lineRule="auto"/>
              <w:jc w:val="left"/>
            </w:pPr>
            <w:r>
              <w:rPr>
                <w:rFonts w:cs="EB Garamond"/>
                <w:kern w:val="16"/>
                <w:sz w:val="18"/>
                <w14:ligatures w14:val="standardContextual"/>
              </w:rPr>
              <w:t>89</w:t>
            </w:r>
          </w:p>
        </w:tc>
        <w:tc>
          <w:tcPr>
            <w:tcW w:w="2117" w:type="dxa"/>
            <w:tcBorders>
              <w:top w:val="single" w:sz="4" w:space="0" w:color="D2C9B8"/>
              <w:left w:val="single" w:sz="4" w:space="0" w:color="D2C9B8"/>
              <w:bottom w:val="single" w:sz="4" w:space="0" w:color="D2C9B8"/>
              <w:right w:val="single" w:sz="4" w:space="0" w:color="D2C9B8"/>
            </w:tcBorders>
          </w:tcPr>
          <w:p w14:paraId="712A145D" w14:textId="77777777" w:rsidR="005A5FCC" w:rsidRDefault="00A21C81">
            <w:pPr>
              <w:spacing w:before="20" w:after="20" w:line="240" w:lineRule="auto"/>
              <w:jc w:val="left"/>
            </w:pPr>
            <w:r>
              <w:rPr>
                <w:rFonts w:cs="EB Garamond"/>
                <w:kern w:val="16"/>
                <w:sz w:val="18"/>
                <w14:ligatures w14:val="standardContextual"/>
              </w:rPr>
              <w:t>99</w:t>
            </w:r>
          </w:p>
        </w:tc>
      </w:tr>
      <w:tr w:rsidR="005A5FCC" w14:paraId="43B52E38"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4AD01C3F" w14:textId="77777777" w:rsidR="005A5FCC" w:rsidRDefault="00A21C81">
            <w:pPr>
              <w:spacing w:before="20" w:after="20" w:line="240" w:lineRule="auto"/>
              <w:jc w:val="left"/>
            </w:pPr>
            <w:r>
              <w:rPr>
                <w:rFonts w:cs="EB Garamond"/>
                <w:kern w:val="16"/>
                <w:sz w:val="18"/>
                <w14:ligatures w14:val="standardContextual"/>
              </w:rPr>
              <w:t>2027-2028</w:t>
            </w:r>
          </w:p>
        </w:tc>
        <w:tc>
          <w:tcPr>
            <w:tcW w:w="2117" w:type="dxa"/>
            <w:tcBorders>
              <w:top w:val="single" w:sz="4" w:space="0" w:color="D2C9B8"/>
              <w:left w:val="single" w:sz="4" w:space="0" w:color="D2C9B8"/>
              <w:bottom w:val="single" w:sz="4" w:space="0" w:color="D2C9B8"/>
              <w:right w:val="single" w:sz="4" w:space="0" w:color="D2C9B8"/>
            </w:tcBorders>
          </w:tcPr>
          <w:p w14:paraId="2CD86C3D" w14:textId="77777777" w:rsidR="005A5FCC" w:rsidRDefault="00A21C81">
            <w:pPr>
              <w:spacing w:before="20" w:after="20" w:line="240" w:lineRule="auto"/>
              <w:jc w:val="left"/>
            </w:pPr>
            <w:r>
              <w:rPr>
                <w:rFonts w:cs="EB Garamond"/>
                <w:kern w:val="16"/>
                <w:sz w:val="18"/>
                <w14:ligatures w14:val="standardContextual"/>
              </w:rPr>
              <w:t>90</w:t>
            </w:r>
          </w:p>
        </w:tc>
        <w:tc>
          <w:tcPr>
            <w:tcW w:w="2117" w:type="dxa"/>
            <w:tcBorders>
              <w:top w:val="single" w:sz="4" w:space="0" w:color="D2C9B8"/>
              <w:left w:val="single" w:sz="4" w:space="0" w:color="D2C9B8"/>
              <w:bottom w:val="single" w:sz="4" w:space="0" w:color="D2C9B8"/>
              <w:right w:val="single" w:sz="4" w:space="0" w:color="D2C9B8"/>
            </w:tcBorders>
          </w:tcPr>
          <w:p w14:paraId="05BD215A" w14:textId="77777777" w:rsidR="005A5FCC" w:rsidRDefault="00A21C81">
            <w:pPr>
              <w:spacing w:before="20" w:after="20" w:line="240" w:lineRule="auto"/>
              <w:jc w:val="left"/>
            </w:pPr>
            <w:r>
              <w:rPr>
                <w:rFonts w:cs="EB Garamond"/>
                <w:kern w:val="16"/>
                <w:sz w:val="18"/>
                <w14:ligatures w14:val="standardContextual"/>
              </w:rPr>
              <w:t>100</w:t>
            </w:r>
          </w:p>
        </w:tc>
      </w:tr>
    </w:tbl>
    <w:p w14:paraId="18BB00D9" w14:textId="77777777" w:rsidR="005A5FCC" w:rsidRDefault="005A5FCC">
      <w:pPr>
        <w:spacing w:after="80" w:line="240" w:lineRule="auto"/>
      </w:pPr>
    </w:p>
    <w:p w14:paraId="591C4AE4" w14:textId="77777777" w:rsidR="005A5FCC" w:rsidRDefault="00A21C81">
      <w:pPr>
        <w:spacing w:before="260" w:after="80" w:line="240" w:lineRule="auto"/>
        <w:jc w:val="left"/>
      </w:pPr>
      <w:r>
        <w:rPr>
          <w:rFonts w:cs="EB Garamond"/>
          <w:b/>
          <w:color w:val="3A3128"/>
          <w:kern w:val="16"/>
          <w:sz w:val="25"/>
          <w14:ligatures w14:val="standardContextual"/>
        </w:rPr>
        <w:t>11.9.2 Aplicação atual: apenas direito adquirido</w:t>
      </w:r>
    </w:p>
    <w:p w14:paraId="2D71E04D"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04B6AACA" w14:textId="77777777" w:rsidR="005A5FCC" w:rsidRDefault="00A21C81">
      <w:r>
        <w:rPr>
          <w:rFonts w:cs="EB Garamond"/>
          <w:kern w:val="16"/>
          <w14:ligatures w14:val="standardContextual"/>
        </w:rPr>
        <w:t xml:space="preserve"> EC 103/2019 substituiu integralmente o regime anterior: a regra 85/95 não se aplica a aposentadorias requeridas a partir de 13/11/2019. Permanece acessível apenas a quem implementou todos os requisitos até 12/11/2019 (35H/30M anos de TC + pontuação de 96H/86M). Trata-se de direito adquirido, exercível a qualquer tempo, com base no art. 3º da EC 103 (para os fundamentos gerais da regra 85/95 e sua interação com o fator previdenciário, v. Cap. 16, seção 16.4.4).</w:t>
      </w:r>
    </w:p>
    <w:p w14:paraId="6EC2BF6D" w14:textId="77777777" w:rsidR="005A5FCC" w:rsidRDefault="00A21C81">
      <w:pPr>
        <w:ind w:firstLine="238"/>
      </w:pPr>
      <w:r>
        <w:rPr>
          <w:rFonts w:cs="EB Garamond"/>
          <w:kern w:val="16"/>
          <w14:ligatures w14:val="standardContextual"/>
        </w:rPr>
        <w:t xml:space="preserve">Sustentamos que essa é a regra mais generosa entre todas as disponíveis para quem a ela faz jus: combina a média dos 80% maiores SC (base mais elevada), coeficiente integral (100% do SB) e ausência do fator previdenciário. O advogado </w:t>
      </w:r>
      <w:r>
        <w:rPr>
          <w:rFonts w:cs="EB Garamond"/>
          <w:kern w:val="16"/>
          <w14:ligatures w14:val="standardContextual"/>
        </w:rPr>
        <w:lastRenderedPageBreak/>
        <w:t>que não verifica o direito adquirido à regra 85/95 priva o cliente de vantagem financeira considerável.</w:t>
      </w:r>
    </w:p>
    <w:tbl>
      <w:tblPr>
        <w:tblW w:w="5000" w:type="pct"/>
        <w:jc w:val="center"/>
        <w:tblLayout w:type="fixed"/>
        <w:tblLook w:val="04A0" w:firstRow="1" w:lastRow="0" w:firstColumn="1" w:lastColumn="0" w:noHBand="0" w:noVBand="1"/>
      </w:tblPr>
      <w:tblGrid>
        <w:gridCol w:w="6311"/>
      </w:tblGrid>
      <w:tr w:rsidR="005A5FCC" w14:paraId="610F57C3"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4036B3B5"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0D98EB04" w14:textId="77777777" w:rsidR="005A5FCC" w:rsidRDefault="00A21C81">
            <w:pPr>
              <w:spacing w:after="60" w:line="247" w:lineRule="auto"/>
            </w:pPr>
            <w:r>
              <w:rPr>
                <w:rFonts w:cs="EB Garamond"/>
                <w:b/>
                <w:kern w:val="16"/>
                <w:sz w:val="19"/>
                <w14:ligatures w14:val="standardContextual"/>
              </w:rPr>
              <w:t>Exemplo — Regra 85/95 como direito adquirido</w:t>
            </w:r>
          </w:p>
          <w:p w14:paraId="3E7CBE23" w14:textId="77777777" w:rsidR="005A5FCC" w:rsidRDefault="00A21C81">
            <w:pPr>
              <w:spacing w:after="60" w:line="247" w:lineRule="auto"/>
            </w:pPr>
            <w:r>
              <w:rPr>
                <w:rFonts w:cs="EB Garamond"/>
                <w:b/>
                <w:kern w:val="16"/>
                <w:sz w:val="19"/>
                <w14:ligatures w14:val="standardContextual"/>
              </w:rPr>
              <w:t>Sônia</w:t>
            </w:r>
            <w:r>
              <w:rPr>
                <w:rFonts w:cs="EB Garamond"/>
                <w:kern w:val="16"/>
                <w:sz w:val="19"/>
                <w14:ligatures w14:val="standardContextual"/>
              </w:rPr>
              <w:t>, mulher, 62 anos em 2026, filiada em 1988. Em 12/11/2019: - Idade: 55 anos - TC: 31 anos (1988-2019) - Pontos: 55 + 31 = 86 ≥ 86 (exigido em 2019 para mulher) ✅ - TC ≥ 30 ✅</w:t>
            </w:r>
          </w:p>
          <w:p w14:paraId="52971BB5" w14:textId="77777777" w:rsidR="005A5FCC" w:rsidRDefault="00A21C81">
            <w:pPr>
              <w:spacing w:after="60" w:line="247" w:lineRule="auto"/>
            </w:pPr>
            <w:r>
              <w:rPr>
                <w:rFonts w:cs="EB Garamond"/>
                <w:b/>
                <w:kern w:val="16"/>
                <w:sz w:val="19"/>
                <w14:ligatures w14:val="standardContextual"/>
              </w:rPr>
              <w:t>Sônia tem direito adquirido à regra 85/95.</w:t>
            </w:r>
          </w:p>
          <w:p w14:paraId="0A0EC42D" w14:textId="77777777" w:rsidR="005A5FCC" w:rsidRDefault="00A21C81">
            <w:pPr>
              <w:spacing w:after="60" w:line="247" w:lineRule="auto"/>
            </w:pPr>
            <w:r>
              <w:rPr>
                <w:rFonts w:cs="EB Garamond"/>
                <w:b/>
                <w:kern w:val="16"/>
                <w:sz w:val="19"/>
                <w14:ligatures w14:val="standardContextual"/>
              </w:rPr>
              <w:t>Cálculo:</w:t>
            </w:r>
            <w:r>
              <w:rPr>
                <w:rFonts w:cs="EB Garamond"/>
                <w:kern w:val="16"/>
                <w:sz w:val="19"/>
                <w14:ligatures w14:val="standardContextual"/>
              </w:rPr>
              <w:t xml:space="preserve"> - Média 80% maiores SC: R$ 5.200,00 - Coeficiente: 100% (sem fator previdenciário) - RMI: </w:t>
            </w:r>
            <w:r>
              <w:rPr>
                <w:rFonts w:cs="EB Garamond"/>
                <w:b/>
                <w:kern w:val="16"/>
                <w:sz w:val="19"/>
                <w14:ligatures w14:val="standardContextual"/>
              </w:rPr>
              <w:t>R$ 5.200,00</w:t>
            </w:r>
          </w:p>
          <w:p w14:paraId="7388A885" w14:textId="77777777" w:rsidR="005A5FCC" w:rsidRDefault="00A21C81">
            <w:pPr>
              <w:spacing w:after="60" w:line="247" w:lineRule="auto"/>
            </w:pPr>
            <w:r>
              <w:rPr>
                <w:rFonts w:cs="EB Garamond"/>
                <w:b/>
                <w:kern w:val="16"/>
                <w:sz w:val="19"/>
                <w14:ligatures w14:val="standardContextual"/>
              </w:rPr>
              <w:t>Comparativo com art. 15 EC 103 (em 2026):</w:t>
            </w:r>
            <w:r>
              <w:rPr>
                <w:rFonts w:cs="EB Garamond"/>
                <w:kern w:val="16"/>
                <w:sz w:val="19"/>
                <w14:ligatures w14:val="standardContextual"/>
              </w:rPr>
              <w:t xml:space="preserve"> - Pontos 2026: 62 + 38 = 100 ≥ 93 ✅ - Coeficiente: 60% + 2%×(38-15) = 106% (o coeficiente pode ultrapassar 100%, limitado ao teto do RGPS) - Média 100%: R$ 4.600,00 - RMI art. 15: R$ 4.600 × 106% = R$ 4.876,00</w:t>
            </w:r>
          </w:p>
          <w:p w14:paraId="5CB5DCAB" w14:textId="77777777" w:rsidR="005A5FCC" w:rsidRDefault="00A21C81">
            <w:pPr>
              <w:spacing w:after="60" w:line="247" w:lineRule="auto"/>
            </w:pPr>
            <w:r>
              <w:rPr>
                <w:rFonts w:cs="EB Garamond"/>
                <w:b/>
                <w:kern w:val="16"/>
                <w:sz w:val="19"/>
                <w14:ligatures w14:val="standardContextual"/>
              </w:rPr>
              <w:t>Regra 85/95 (R$ 5.200) vs. Art. 15 (R$ 4.876): diferença de R$ 324/mês, R$ 3.888/ano.</w:t>
            </w:r>
          </w:p>
          <w:p w14:paraId="47DF6AC1" w14:textId="77777777" w:rsidR="005A5FCC" w:rsidRDefault="00A21C81">
            <w:pPr>
              <w:spacing w:after="60" w:line="247" w:lineRule="auto"/>
            </w:pPr>
            <w:r>
              <w:rPr>
                <w:rFonts w:cs="EB Garamond"/>
                <w:kern w:val="16"/>
                <w:sz w:val="19"/>
                <w14:ligatures w14:val="standardContextual"/>
              </w:rPr>
              <w:t>O direito adquirido à regra 85/95 é, neste caso, superior. O advogado que não verifica esse direito causa prejuízo ao cliente.</w:t>
            </w:r>
          </w:p>
        </w:tc>
      </w:tr>
    </w:tbl>
    <w:p w14:paraId="24A6B207" w14:textId="77777777" w:rsidR="005A5FCC" w:rsidRDefault="005A5FCC">
      <w:pPr>
        <w:spacing w:after="80" w:line="240" w:lineRule="auto"/>
      </w:pPr>
    </w:p>
    <w:p w14:paraId="2A087662"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11.10 Análise comparativa: qual regra de transição escolher?</w:t>
      </w:r>
    </w:p>
    <w:p w14:paraId="21B25E27" w14:textId="77777777" w:rsidR="005A5FCC" w:rsidRDefault="00A21C81">
      <w:pPr>
        <w:spacing w:before="260" w:after="80" w:line="240" w:lineRule="auto"/>
        <w:jc w:val="left"/>
      </w:pPr>
      <w:r>
        <w:rPr>
          <w:rFonts w:cs="EB Garamond"/>
          <w:b/>
          <w:color w:val="3A3128"/>
          <w:kern w:val="16"/>
          <w:sz w:val="25"/>
          <w14:ligatures w14:val="standardContextual"/>
        </w:rPr>
        <w:t>11.10.1 Tabela-mestre das regras</w:t>
      </w:r>
    </w:p>
    <w:p w14:paraId="52D2BBC2"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7979E727" w14:textId="77777777" w:rsidR="005A5FCC" w:rsidRDefault="00A21C81">
      <w:r>
        <w:rPr>
          <w:rFonts w:cs="EB Garamond"/>
          <w:kern w:val="16"/>
          <w14:ligatures w14:val="standardContextual"/>
        </w:rPr>
        <w:t xml:space="preserve"> tabela abaixo sintetiza todas as regras disponíveis para segurados filiados antes de 13/11/2019 que buscam aposentadoria por tempo de contribuição ou equivalente:</w:t>
      </w:r>
    </w:p>
    <w:tbl>
      <w:tblPr>
        <w:tblW w:w="5000" w:type="pct"/>
        <w:jc w:val="center"/>
        <w:tblLook w:val="04A0" w:firstRow="1" w:lastRow="0" w:firstColumn="1" w:lastColumn="0" w:noHBand="0" w:noVBand="1"/>
      </w:tblPr>
      <w:tblGrid>
        <w:gridCol w:w="1268"/>
        <w:gridCol w:w="1269"/>
        <w:gridCol w:w="1267"/>
        <w:gridCol w:w="1269"/>
        <w:gridCol w:w="1267"/>
      </w:tblGrid>
      <w:tr w:rsidR="005A5FCC" w14:paraId="5B5BC658" w14:textId="77777777">
        <w:trPr>
          <w:tblHeader/>
          <w:jc w:val="center"/>
        </w:trPr>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54A5AFAA" w14:textId="77777777" w:rsidR="005A5FCC" w:rsidRDefault="00A21C81">
            <w:pPr>
              <w:spacing w:before="40" w:after="40" w:line="240" w:lineRule="auto"/>
              <w:jc w:val="center"/>
            </w:pPr>
            <w:r>
              <w:rPr>
                <w:rFonts w:cs="EB Garamond"/>
                <w:b/>
                <w:color w:val="2F2923"/>
                <w:kern w:val="16"/>
                <w:sz w:val="18"/>
                <w14:ligatures w14:val="standardContextual"/>
              </w:rPr>
              <w:lastRenderedPageBreak/>
              <w:t>Regra</w:t>
            </w:r>
          </w:p>
        </w:tc>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7350E732" w14:textId="77777777" w:rsidR="005A5FCC" w:rsidRDefault="00A21C81">
            <w:pPr>
              <w:spacing w:before="40" w:after="40" w:line="240" w:lineRule="auto"/>
              <w:jc w:val="center"/>
            </w:pPr>
            <w:r>
              <w:rPr>
                <w:rFonts w:cs="EB Garamond"/>
                <w:b/>
                <w:color w:val="2F2923"/>
                <w:kern w:val="16"/>
                <w:sz w:val="18"/>
                <w14:ligatures w14:val="standardContextual"/>
              </w:rPr>
              <w:t>Requisitos</w:t>
            </w:r>
          </w:p>
        </w:tc>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01C24C39" w14:textId="77777777" w:rsidR="005A5FCC" w:rsidRDefault="00A21C81">
            <w:pPr>
              <w:spacing w:before="40" w:after="40" w:line="240" w:lineRule="auto"/>
              <w:jc w:val="center"/>
            </w:pPr>
            <w:r>
              <w:rPr>
                <w:rFonts w:cs="EB Garamond"/>
                <w:b/>
                <w:color w:val="2F2923"/>
                <w:kern w:val="16"/>
                <w:sz w:val="18"/>
                <w14:ligatures w14:val="standardContextual"/>
              </w:rPr>
              <w:t>Cálculo da média</w:t>
            </w:r>
          </w:p>
        </w:tc>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15F2DF48" w14:textId="77777777" w:rsidR="005A5FCC" w:rsidRDefault="00A21C81">
            <w:pPr>
              <w:spacing w:before="40" w:after="40" w:line="240" w:lineRule="auto"/>
              <w:jc w:val="center"/>
            </w:pPr>
            <w:r>
              <w:rPr>
                <w:rFonts w:cs="EB Garamond"/>
                <w:b/>
                <w:color w:val="2F2923"/>
                <w:kern w:val="16"/>
                <w:sz w:val="18"/>
                <w14:ligatures w14:val="standardContextual"/>
              </w:rPr>
              <w:t>Coeficiente</w:t>
            </w:r>
          </w:p>
        </w:tc>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216C85F5" w14:textId="77777777" w:rsidR="005A5FCC" w:rsidRDefault="00A21C81">
            <w:pPr>
              <w:spacing w:before="40" w:after="40" w:line="240" w:lineRule="auto"/>
              <w:jc w:val="center"/>
            </w:pPr>
            <w:r>
              <w:rPr>
                <w:rFonts w:cs="EB Garamond"/>
                <w:b/>
                <w:color w:val="2F2923"/>
                <w:kern w:val="16"/>
                <w:sz w:val="18"/>
                <w14:ligatures w14:val="standardContextual"/>
              </w:rPr>
              <w:t>Fator Previdenciário</w:t>
            </w:r>
          </w:p>
        </w:tc>
      </w:tr>
      <w:tr w:rsidR="005A5FCC" w14:paraId="48627DCD"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6AD4FC9A" w14:textId="77777777" w:rsidR="005A5FCC" w:rsidRDefault="00A21C81">
            <w:pPr>
              <w:spacing w:before="20" w:after="20" w:line="240" w:lineRule="auto"/>
              <w:jc w:val="left"/>
            </w:pPr>
            <w:r>
              <w:rPr>
                <w:rFonts w:cs="EB Garamond"/>
                <w:kern w:val="16"/>
                <w:sz w:val="18"/>
                <w14:ligatures w14:val="standardContextual"/>
              </w:rPr>
              <w:t>Direito adquirido TC + fator</w:t>
            </w:r>
          </w:p>
        </w:tc>
        <w:tc>
          <w:tcPr>
            <w:tcW w:w="1270" w:type="dxa"/>
            <w:tcBorders>
              <w:top w:val="single" w:sz="4" w:space="0" w:color="D2C9B8"/>
              <w:left w:val="single" w:sz="4" w:space="0" w:color="D2C9B8"/>
              <w:bottom w:val="single" w:sz="4" w:space="0" w:color="D2C9B8"/>
              <w:right w:val="single" w:sz="4" w:space="0" w:color="D2C9B8"/>
            </w:tcBorders>
          </w:tcPr>
          <w:p w14:paraId="07EB8999" w14:textId="77777777" w:rsidR="005A5FCC" w:rsidRDefault="00A21C81">
            <w:pPr>
              <w:spacing w:before="20" w:after="20" w:line="240" w:lineRule="auto"/>
              <w:jc w:val="left"/>
            </w:pPr>
            <w:r>
              <w:rPr>
                <w:rFonts w:cs="EB Garamond"/>
                <w:kern w:val="16"/>
                <w:sz w:val="18"/>
                <w14:ligatures w14:val="standardContextual"/>
              </w:rPr>
              <w:t>35H/30M TC até 12/11/2019</w:t>
            </w:r>
          </w:p>
        </w:tc>
        <w:tc>
          <w:tcPr>
            <w:tcW w:w="1270" w:type="dxa"/>
            <w:tcBorders>
              <w:top w:val="single" w:sz="4" w:space="0" w:color="D2C9B8"/>
              <w:left w:val="single" w:sz="4" w:space="0" w:color="D2C9B8"/>
              <w:bottom w:val="single" w:sz="4" w:space="0" w:color="D2C9B8"/>
              <w:right w:val="single" w:sz="4" w:space="0" w:color="D2C9B8"/>
            </w:tcBorders>
          </w:tcPr>
          <w:p w14:paraId="720A6A8D" w14:textId="77777777" w:rsidR="005A5FCC" w:rsidRDefault="00A21C81">
            <w:pPr>
              <w:spacing w:before="20" w:after="20" w:line="240" w:lineRule="auto"/>
              <w:jc w:val="left"/>
            </w:pPr>
            <w:r>
              <w:rPr>
                <w:rFonts w:cs="EB Garamond"/>
                <w:kern w:val="16"/>
                <w:sz w:val="18"/>
                <w14:ligatures w14:val="standardContextual"/>
              </w:rPr>
              <w:t>80% maiores SC</w:t>
            </w:r>
          </w:p>
        </w:tc>
        <w:tc>
          <w:tcPr>
            <w:tcW w:w="1270" w:type="dxa"/>
            <w:tcBorders>
              <w:top w:val="single" w:sz="4" w:space="0" w:color="D2C9B8"/>
              <w:left w:val="single" w:sz="4" w:space="0" w:color="D2C9B8"/>
              <w:bottom w:val="single" w:sz="4" w:space="0" w:color="D2C9B8"/>
              <w:right w:val="single" w:sz="4" w:space="0" w:color="D2C9B8"/>
            </w:tcBorders>
          </w:tcPr>
          <w:p w14:paraId="14A6975D" w14:textId="77777777" w:rsidR="005A5FCC" w:rsidRDefault="00A21C81">
            <w:pPr>
              <w:spacing w:before="20" w:after="20" w:line="240" w:lineRule="auto"/>
              <w:jc w:val="left"/>
            </w:pPr>
            <w:r>
              <w:rPr>
                <w:rFonts w:cs="EB Garamond"/>
                <w:kern w:val="16"/>
                <w:sz w:val="18"/>
                <w14:ligatures w14:val="standardContextual"/>
              </w:rPr>
              <w:t>100% do SB</w:t>
            </w:r>
          </w:p>
        </w:tc>
        <w:tc>
          <w:tcPr>
            <w:tcW w:w="1270" w:type="dxa"/>
            <w:tcBorders>
              <w:top w:val="single" w:sz="4" w:space="0" w:color="D2C9B8"/>
              <w:left w:val="single" w:sz="4" w:space="0" w:color="D2C9B8"/>
              <w:bottom w:val="single" w:sz="4" w:space="0" w:color="D2C9B8"/>
              <w:right w:val="single" w:sz="4" w:space="0" w:color="D2C9B8"/>
            </w:tcBorders>
          </w:tcPr>
          <w:p w14:paraId="5609933D" w14:textId="77777777" w:rsidR="005A5FCC" w:rsidRDefault="00A21C81">
            <w:pPr>
              <w:spacing w:before="20" w:after="20" w:line="240" w:lineRule="auto"/>
              <w:jc w:val="left"/>
            </w:pPr>
            <w:r>
              <w:rPr>
                <w:rFonts w:cs="EB Garamond"/>
                <w:kern w:val="16"/>
                <w:sz w:val="18"/>
                <w14:ligatures w14:val="standardContextual"/>
              </w:rPr>
              <w:t>Obrigatório</w:t>
            </w:r>
          </w:p>
        </w:tc>
      </w:tr>
      <w:tr w:rsidR="005A5FCC" w14:paraId="4C53585F"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0580F7DE" w14:textId="77777777" w:rsidR="005A5FCC" w:rsidRDefault="00A21C81">
            <w:pPr>
              <w:spacing w:before="20" w:after="20" w:line="240" w:lineRule="auto"/>
              <w:jc w:val="left"/>
            </w:pPr>
            <w:r>
              <w:rPr>
                <w:rFonts w:cs="EB Garamond"/>
                <w:kern w:val="16"/>
                <w:sz w:val="18"/>
                <w14:ligatures w14:val="standardContextual"/>
              </w:rPr>
              <w:t>Direito adquirido 85/95</w:t>
            </w:r>
          </w:p>
        </w:tc>
        <w:tc>
          <w:tcPr>
            <w:tcW w:w="1270" w:type="dxa"/>
            <w:tcBorders>
              <w:top w:val="single" w:sz="4" w:space="0" w:color="D2C9B8"/>
              <w:left w:val="single" w:sz="4" w:space="0" w:color="D2C9B8"/>
              <w:bottom w:val="single" w:sz="4" w:space="0" w:color="D2C9B8"/>
              <w:right w:val="single" w:sz="4" w:space="0" w:color="D2C9B8"/>
            </w:tcBorders>
          </w:tcPr>
          <w:p w14:paraId="3FB1C3AF" w14:textId="77777777" w:rsidR="005A5FCC" w:rsidRDefault="00A21C81">
            <w:pPr>
              <w:spacing w:before="20" w:after="20" w:line="240" w:lineRule="auto"/>
              <w:jc w:val="left"/>
            </w:pPr>
            <w:r>
              <w:rPr>
                <w:rFonts w:cs="EB Garamond"/>
                <w:kern w:val="16"/>
                <w:sz w:val="18"/>
                <w14:ligatures w14:val="standardContextual"/>
              </w:rPr>
              <w:t>35H/30M TC + 96/86 pontos até 12/11/2019</w:t>
            </w:r>
          </w:p>
        </w:tc>
        <w:tc>
          <w:tcPr>
            <w:tcW w:w="1270" w:type="dxa"/>
            <w:tcBorders>
              <w:top w:val="single" w:sz="4" w:space="0" w:color="D2C9B8"/>
              <w:left w:val="single" w:sz="4" w:space="0" w:color="D2C9B8"/>
              <w:bottom w:val="single" w:sz="4" w:space="0" w:color="D2C9B8"/>
              <w:right w:val="single" w:sz="4" w:space="0" w:color="D2C9B8"/>
            </w:tcBorders>
          </w:tcPr>
          <w:p w14:paraId="21ACE7B8" w14:textId="77777777" w:rsidR="005A5FCC" w:rsidRDefault="00A21C81">
            <w:pPr>
              <w:spacing w:before="20" w:after="20" w:line="240" w:lineRule="auto"/>
              <w:jc w:val="left"/>
            </w:pPr>
            <w:r>
              <w:rPr>
                <w:rFonts w:cs="EB Garamond"/>
                <w:kern w:val="16"/>
                <w:sz w:val="18"/>
                <w14:ligatures w14:val="standardContextual"/>
              </w:rPr>
              <w:t>80% maiores SC</w:t>
            </w:r>
          </w:p>
        </w:tc>
        <w:tc>
          <w:tcPr>
            <w:tcW w:w="1270" w:type="dxa"/>
            <w:tcBorders>
              <w:top w:val="single" w:sz="4" w:space="0" w:color="D2C9B8"/>
              <w:left w:val="single" w:sz="4" w:space="0" w:color="D2C9B8"/>
              <w:bottom w:val="single" w:sz="4" w:space="0" w:color="D2C9B8"/>
              <w:right w:val="single" w:sz="4" w:space="0" w:color="D2C9B8"/>
            </w:tcBorders>
          </w:tcPr>
          <w:p w14:paraId="01423AD7" w14:textId="77777777" w:rsidR="005A5FCC" w:rsidRDefault="00A21C81">
            <w:pPr>
              <w:spacing w:before="20" w:after="20" w:line="240" w:lineRule="auto"/>
              <w:jc w:val="left"/>
            </w:pPr>
            <w:r>
              <w:rPr>
                <w:rFonts w:cs="EB Garamond"/>
                <w:kern w:val="16"/>
                <w:sz w:val="18"/>
                <w14:ligatures w14:val="standardContextual"/>
              </w:rPr>
              <w:t>100% do SB</w:t>
            </w:r>
          </w:p>
        </w:tc>
        <w:tc>
          <w:tcPr>
            <w:tcW w:w="1270" w:type="dxa"/>
            <w:tcBorders>
              <w:top w:val="single" w:sz="4" w:space="0" w:color="D2C9B8"/>
              <w:left w:val="single" w:sz="4" w:space="0" w:color="D2C9B8"/>
              <w:bottom w:val="single" w:sz="4" w:space="0" w:color="D2C9B8"/>
              <w:right w:val="single" w:sz="4" w:space="0" w:color="D2C9B8"/>
            </w:tcBorders>
          </w:tcPr>
          <w:p w14:paraId="64D7F809" w14:textId="77777777" w:rsidR="005A5FCC" w:rsidRDefault="00A21C81">
            <w:pPr>
              <w:spacing w:before="20" w:after="20" w:line="240" w:lineRule="auto"/>
              <w:jc w:val="left"/>
            </w:pPr>
            <w:r>
              <w:rPr>
                <w:rFonts w:cs="EB Garamond"/>
                <w:kern w:val="16"/>
                <w:sz w:val="18"/>
                <w14:ligatures w14:val="standardContextual"/>
              </w:rPr>
              <w:t>Afastado</w:t>
            </w:r>
          </w:p>
        </w:tc>
      </w:tr>
      <w:tr w:rsidR="005A5FCC" w14:paraId="00FEF602"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3472176B" w14:textId="77777777" w:rsidR="005A5FCC" w:rsidRDefault="00A21C81">
            <w:pPr>
              <w:spacing w:before="20" w:after="20" w:line="240" w:lineRule="auto"/>
              <w:jc w:val="left"/>
            </w:pPr>
            <w:r>
              <w:rPr>
                <w:rFonts w:cs="EB Garamond"/>
                <w:kern w:val="16"/>
                <w:sz w:val="18"/>
                <w14:ligatures w14:val="standardContextual"/>
              </w:rPr>
              <w:t>Art. 15 (pontos)</w:t>
            </w:r>
          </w:p>
        </w:tc>
        <w:tc>
          <w:tcPr>
            <w:tcW w:w="1270" w:type="dxa"/>
            <w:tcBorders>
              <w:top w:val="single" w:sz="4" w:space="0" w:color="D2C9B8"/>
              <w:left w:val="single" w:sz="4" w:space="0" w:color="D2C9B8"/>
              <w:bottom w:val="single" w:sz="4" w:space="0" w:color="D2C9B8"/>
              <w:right w:val="single" w:sz="4" w:space="0" w:color="D2C9B8"/>
            </w:tcBorders>
          </w:tcPr>
          <w:p w14:paraId="17F934B9" w14:textId="77777777" w:rsidR="005A5FCC" w:rsidRDefault="00A21C81">
            <w:pPr>
              <w:spacing w:before="20" w:after="20" w:line="240" w:lineRule="auto"/>
              <w:jc w:val="left"/>
            </w:pPr>
            <w:r>
              <w:rPr>
                <w:rFonts w:cs="EB Garamond"/>
                <w:kern w:val="16"/>
                <w:sz w:val="18"/>
                <w14:ligatures w14:val="standardContextual"/>
              </w:rPr>
              <w:t>35H/30M TC + pontuação (103/93 em 2026)</w:t>
            </w:r>
          </w:p>
        </w:tc>
        <w:tc>
          <w:tcPr>
            <w:tcW w:w="1270" w:type="dxa"/>
            <w:tcBorders>
              <w:top w:val="single" w:sz="4" w:space="0" w:color="D2C9B8"/>
              <w:left w:val="single" w:sz="4" w:space="0" w:color="D2C9B8"/>
              <w:bottom w:val="single" w:sz="4" w:space="0" w:color="D2C9B8"/>
              <w:right w:val="single" w:sz="4" w:space="0" w:color="D2C9B8"/>
            </w:tcBorders>
          </w:tcPr>
          <w:p w14:paraId="4E68504F" w14:textId="77777777" w:rsidR="005A5FCC" w:rsidRDefault="00A21C81">
            <w:pPr>
              <w:spacing w:before="20" w:after="20" w:line="240" w:lineRule="auto"/>
              <w:jc w:val="left"/>
            </w:pPr>
            <w:r>
              <w:rPr>
                <w:rFonts w:cs="EB Garamond"/>
                <w:kern w:val="16"/>
                <w:sz w:val="18"/>
                <w14:ligatures w14:val="standardContextual"/>
              </w:rPr>
              <w:t>100% SC</w:t>
            </w:r>
          </w:p>
        </w:tc>
        <w:tc>
          <w:tcPr>
            <w:tcW w:w="1270" w:type="dxa"/>
            <w:tcBorders>
              <w:top w:val="single" w:sz="4" w:space="0" w:color="D2C9B8"/>
              <w:left w:val="single" w:sz="4" w:space="0" w:color="D2C9B8"/>
              <w:bottom w:val="single" w:sz="4" w:space="0" w:color="D2C9B8"/>
              <w:right w:val="single" w:sz="4" w:space="0" w:color="D2C9B8"/>
            </w:tcBorders>
          </w:tcPr>
          <w:p w14:paraId="12DDBBE5" w14:textId="77777777" w:rsidR="005A5FCC" w:rsidRDefault="00A21C81">
            <w:pPr>
              <w:spacing w:before="20" w:after="20" w:line="240" w:lineRule="auto"/>
              <w:jc w:val="left"/>
            </w:pPr>
            <w:r>
              <w:rPr>
                <w:rFonts w:cs="EB Garamond"/>
                <w:kern w:val="16"/>
                <w:sz w:val="18"/>
                <w14:ligatures w14:val="standardContextual"/>
              </w:rPr>
              <w:t>60%+2%/ano</w:t>
            </w:r>
          </w:p>
        </w:tc>
        <w:tc>
          <w:tcPr>
            <w:tcW w:w="1270" w:type="dxa"/>
            <w:tcBorders>
              <w:top w:val="single" w:sz="4" w:space="0" w:color="D2C9B8"/>
              <w:left w:val="single" w:sz="4" w:space="0" w:color="D2C9B8"/>
              <w:bottom w:val="single" w:sz="4" w:space="0" w:color="D2C9B8"/>
              <w:right w:val="single" w:sz="4" w:space="0" w:color="D2C9B8"/>
            </w:tcBorders>
          </w:tcPr>
          <w:p w14:paraId="5F7E07D2" w14:textId="77777777" w:rsidR="005A5FCC" w:rsidRDefault="00A21C81">
            <w:pPr>
              <w:spacing w:before="20" w:after="20" w:line="240" w:lineRule="auto"/>
              <w:jc w:val="left"/>
            </w:pPr>
            <w:r>
              <w:rPr>
                <w:rFonts w:cs="EB Garamond"/>
                <w:kern w:val="16"/>
                <w:sz w:val="18"/>
                <w14:ligatures w14:val="standardContextual"/>
              </w:rPr>
              <w:t>Não se aplica</w:t>
            </w:r>
          </w:p>
        </w:tc>
      </w:tr>
      <w:tr w:rsidR="005A5FCC" w14:paraId="0C51FCAA"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503061B9" w14:textId="77777777" w:rsidR="005A5FCC" w:rsidRDefault="00A21C81">
            <w:pPr>
              <w:spacing w:before="20" w:after="20" w:line="240" w:lineRule="auto"/>
              <w:jc w:val="left"/>
            </w:pPr>
            <w:r>
              <w:rPr>
                <w:rFonts w:cs="EB Garamond"/>
                <w:kern w:val="16"/>
                <w:sz w:val="18"/>
                <w14:ligatures w14:val="standardContextual"/>
              </w:rPr>
              <w:t>Art. 16 (idade progressiva)</w:t>
            </w:r>
          </w:p>
        </w:tc>
        <w:tc>
          <w:tcPr>
            <w:tcW w:w="1270" w:type="dxa"/>
            <w:tcBorders>
              <w:top w:val="single" w:sz="4" w:space="0" w:color="D2C9B8"/>
              <w:left w:val="single" w:sz="4" w:space="0" w:color="D2C9B8"/>
              <w:bottom w:val="single" w:sz="4" w:space="0" w:color="D2C9B8"/>
              <w:right w:val="single" w:sz="4" w:space="0" w:color="D2C9B8"/>
            </w:tcBorders>
          </w:tcPr>
          <w:p w14:paraId="6B21DC7C" w14:textId="77777777" w:rsidR="005A5FCC" w:rsidRDefault="00A21C81">
            <w:pPr>
              <w:spacing w:before="20" w:after="20" w:line="240" w:lineRule="auto"/>
              <w:jc w:val="left"/>
            </w:pPr>
            <w:r>
              <w:rPr>
                <w:rFonts w:cs="EB Garamond"/>
                <w:kern w:val="16"/>
                <w:sz w:val="18"/>
                <w14:ligatures w14:val="standardContextual"/>
              </w:rPr>
              <w:t>35H/30M TC + idade (64,5/59,5 em 2026)</w:t>
            </w:r>
          </w:p>
        </w:tc>
        <w:tc>
          <w:tcPr>
            <w:tcW w:w="1270" w:type="dxa"/>
            <w:tcBorders>
              <w:top w:val="single" w:sz="4" w:space="0" w:color="D2C9B8"/>
              <w:left w:val="single" w:sz="4" w:space="0" w:color="D2C9B8"/>
              <w:bottom w:val="single" w:sz="4" w:space="0" w:color="D2C9B8"/>
              <w:right w:val="single" w:sz="4" w:space="0" w:color="D2C9B8"/>
            </w:tcBorders>
          </w:tcPr>
          <w:p w14:paraId="0D146408" w14:textId="77777777" w:rsidR="005A5FCC" w:rsidRDefault="00A21C81">
            <w:pPr>
              <w:spacing w:before="20" w:after="20" w:line="240" w:lineRule="auto"/>
              <w:jc w:val="left"/>
            </w:pPr>
            <w:r>
              <w:rPr>
                <w:rFonts w:cs="EB Garamond"/>
                <w:kern w:val="16"/>
                <w:sz w:val="18"/>
                <w14:ligatures w14:val="standardContextual"/>
              </w:rPr>
              <w:t>100% SC</w:t>
            </w:r>
          </w:p>
        </w:tc>
        <w:tc>
          <w:tcPr>
            <w:tcW w:w="1270" w:type="dxa"/>
            <w:tcBorders>
              <w:top w:val="single" w:sz="4" w:space="0" w:color="D2C9B8"/>
              <w:left w:val="single" w:sz="4" w:space="0" w:color="D2C9B8"/>
              <w:bottom w:val="single" w:sz="4" w:space="0" w:color="D2C9B8"/>
              <w:right w:val="single" w:sz="4" w:space="0" w:color="D2C9B8"/>
            </w:tcBorders>
          </w:tcPr>
          <w:p w14:paraId="624E386F" w14:textId="77777777" w:rsidR="005A5FCC" w:rsidRDefault="00A21C81">
            <w:pPr>
              <w:spacing w:before="20" w:after="20" w:line="240" w:lineRule="auto"/>
              <w:jc w:val="left"/>
            </w:pPr>
            <w:r>
              <w:rPr>
                <w:rFonts w:cs="EB Garamond"/>
                <w:kern w:val="16"/>
                <w:sz w:val="18"/>
                <w14:ligatures w14:val="standardContextual"/>
              </w:rPr>
              <w:t>60%+2%/ano</w:t>
            </w:r>
          </w:p>
        </w:tc>
        <w:tc>
          <w:tcPr>
            <w:tcW w:w="1270" w:type="dxa"/>
            <w:tcBorders>
              <w:top w:val="single" w:sz="4" w:space="0" w:color="D2C9B8"/>
              <w:left w:val="single" w:sz="4" w:space="0" w:color="D2C9B8"/>
              <w:bottom w:val="single" w:sz="4" w:space="0" w:color="D2C9B8"/>
              <w:right w:val="single" w:sz="4" w:space="0" w:color="D2C9B8"/>
            </w:tcBorders>
          </w:tcPr>
          <w:p w14:paraId="6DD7D6A2" w14:textId="77777777" w:rsidR="005A5FCC" w:rsidRDefault="00A21C81">
            <w:pPr>
              <w:spacing w:before="20" w:after="20" w:line="240" w:lineRule="auto"/>
              <w:jc w:val="left"/>
            </w:pPr>
            <w:r>
              <w:rPr>
                <w:rFonts w:cs="EB Garamond"/>
                <w:kern w:val="16"/>
                <w:sz w:val="18"/>
                <w14:ligatures w14:val="standardContextual"/>
              </w:rPr>
              <w:t>Não se aplica</w:t>
            </w:r>
          </w:p>
        </w:tc>
      </w:tr>
      <w:tr w:rsidR="005A5FCC" w14:paraId="3B891838"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4056CA51" w14:textId="77777777" w:rsidR="005A5FCC" w:rsidRDefault="00A21C81">
            <w:pPr>
              <w:spacing w:before="20" w:after="20" w:line="240" w:lineRule="auto"/>
              <w:jc w:val="left"/>
            </w:pPr>
            <w:r>
              <w:rPr>
                <w:rFonts w:cs="EB Garamond"/>
                <w:kern w:val="16"/>
                <w:sz w:val="18"/>
                <w14:ligatures w14:val="standardContextual"/>
              </w:rPr>
              <w:t>Art. 17 (pedágio 50%)</w:t>
            </w:r>
          </w:p>
        </w:tc>
        <w:tc>
          <w:tcPr>
            <w:tcW w:w="1270" w:type="dxa"/>
            <w:tcBorders>
              <w:top w:val="single" w:sz="4" w:space="0" w:color="D2C9B8"/>
              <w:left w:val="single" w:sz="4" w:space="0" w:color="D2C9B8"/>
              <w:bottom w:val="single" w:sz="4" w:space="0" w:color="D2C9B8"/>
              <w:right w:val="single" w:sz="4" w:space="0" w:color="D2C9B8"/>
            </w:tcBorders>
          </w:tcPr>
          <w:p w14:paraId="5C9C66FB" w14:textId="77777777" w:rsidR="005A5FCC" w:rsidRDefault="00A21C81">
            <w:pPr>
              <w:spacing w:before="20" w:after="20" w:line="240" w:lineRule="auto"/>
              <w:jc w:val="left"/>
            </w:pPr>
            <w:r>
              <w:rPr>
                <w:rFonts w:cs="EB Garamond"/>
                <w:kern w:val="16"/>
                <w:sz w:val="18"/>
                <w14:ligatures w14:val="standardContextual"/>
              </w:rPr>
              <w:t>Faltava &lt; 2 anos TC em 2019</w:t>
            </w:r>
          </w:p>
        </w:tc>
        <w:tc>
          <w:tcPr>
            <w:tcW w:w="1270" w:type="dxa"/>
            <w:tcBorders>
              <w:top w:val="single" w:sz="4" w:space="0" w:color="D2C9B8"/>
              <w:left w:val="single" w:sz="4" w:space="0" w:color="D2C9B8"/>
              <w:bottom w:val="single" w:sz="4" w:space="0" w:color="D2C9B8"/>
              <w:right w:val="single" w:sz="4" w:space="0" w:color="D2C9B8"/>
            </w:tcBorders>
          </w:tcPr>
          <w:p w14:paraId="7727980D" w14:textId="77777777" w:rsidR="005A5FCC" w:rsidRDefault="00A21C81">
            <w:pPr>
              <w:spacing w:before="20" w:after="20" w:line="240" w:lineRule="auto"/>
              <w:jc w:val="left"/>
            </w:pPr>
            <w:r>
              <w:rPr>
                <w:rFonts w:cs="EB Garamond"/>
                <w:kern w:val="16"/>
                <w:sz w:val="18"/>
                <w14:ligatures w14:val="standardContextual"/>
              </w:rPr>
              <w:t>80% maiores SC</w:t>
            </w:r>
          </w:p>
        </w:tc>
        <w:tc>
          <w:tcPr>
            <w:tcW w:w="1270" w:type="dxa"/>
            <w:tcBorders>
              <w:top w:val="single" w:sz="4" w:space="0" w:color="D2C9B8"/>
              <w:left w:val="single" w:sz="4" w:space="0" w:color="D2C9B8"/>
              <w:bottom w:val="single" w:sz="4" w:space="0" w:color="D2C9B8"/>
              <w:right w:val="single" w:sz="4" w:space="0" w:color="D2C9B8"/>
            </w:tcBorders>
          </w:tcPr>
          <w:p w14:paraId="45012801" w14:textId="77777777" w:rsidR="005A5FCC" w:rsidRDefault="00A21C81">
            <w:pPr>
              <w:spacing w:before="20" w:after="20" w:line="240" w:lineRule="auto"/>
              <w:jc w:val="left"/>
            </w:pPr>
            <w:r>
              <w:rPr>
                <w:rFonts w:cs="EB Garamond"/>
                <w:kern w:val="16"/>
                <w:sz w:val="18"/>
                <w14:ligatures w14:val="standardContextual"/>
              </w:rPr>
              <w:t>100% do SB</w:t>
            </w:r>
          </w:p>
        </w:tc>
        <w:tc>
          <w:tcPr>
            <w:tcW w:w="1270" w:type="dxa"/>
            <w:tcBorders>
              <w:top w:val="single" w:sz="4" w:space="0" w:color="D2C9B8"/>
              <w:left w:val="single" w:sz="4" w:space="0" w:color="D2C9B8"/>
              <w:bottom w:val="single" w:sz="4" w:space="0" w:color="D2C9B8"/>
              <w:right w:val="single" w:sz="4" w:space="0" w:color="D2C9B8"/>
            </w:tcBorders>
          </w:tcPr>
          <w:p w14:paraId="58687CD0" w14:textId="77777777" w:rsidR="005A5FCC" w:rsidRDefault="00A21C81">
            <w:pPr>
              <w:spacing w:before="20" w:after="20" w:line="240" w:lineRule="auto"/>
              <w:jc w:val="left"/>
            </w:pPr>
            <w:r>
              <w:rPr>
                <w:rFonts w:cs="EB Garamond"/>
                <w:kern w:val="16"/>
                <w:sz w:val="18"/>
                <w14:ligatures w14:val="standardContextual"/>
              </w:rPr>
              <w:t>Obrigatório</w:t>
            </w:r>
          </w:p>
        </w:tc>
      </w:tr>
      <w:tr w:rsidR="005A5FCC" w14:paraId="2786031F"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15730253" w14:textId="77777777" w:rsidR="005A5FCC" w:rsidRDefault="00A21C81">
            <w:pPr>
              <w:spacing w:before="20" w:after="20" w:line="240" w:lineRule="auto"/>
              <w:jc w:val="left"/>
            </w:pPr>
            <w:r>
              <w:rPr>
                <w:rFonts w:cs="EB Garamond"/>
                <w:kern w:val="16"/>
                <w:sz w:val="18"/>
                <w14:ligatures w14:val="standardContextual"/>
              </w:rPr>
              <w:t>Art. 20 (pedágio 100%)</w:t>
            </w:r>
          </w:p>
        </w:tc>
        <w:tc>
          <w:tcPr>
            <w:tcW w:w="1270" w:type="dxa"/>
            <w:tcBorders>
              <w:top w:val="single" w:sz="4" w:space="0" w:color="D2C9B8"/>
              <w:left w:val="single" w:sz="4" w:space="0" w:color="D2C9B8"/>
              <w:bottom w:val="single" w:sz="4" w:space="0" w:color="D2C9B8"/>
              <w:right w:val="single" w:sz="4" w:space="0" w:color="D2C9B8"/>
            </w:tcBorders>
          </w:tcPr>
          <w:p w14:paraId="782CE5CB" w14:textId="77777777" w:rsidR="005A5FCC" w:rsidRDefault="00A21C81">
            <w:pPr>
              <w:spacing w:before="20" w:after="20" w:line="240" w:lineRule="auto"/>
              <w:jc w:val="left"/>
            </w:pPr>
            <w:r>
              <w:rPr>
                <w:rFonts w:cs="EB Garamond"/>
                <w:kern w:val="16"/>
                <w:sz w:val="18"/>
                <w14:ligatures w14:val="standardContextual"/>
              </w:rPr>
              <w:t>35H/30M TC + pedágio + 60/57 idade</w:t>
            </w:r>
          </w:p>
        </w:tc>
        <w:tc>
          <w:tcPr>
            <w:tcW w:w="1270" w:type="dxa"/>
            <w:tcBorders>
              <w:top w:val="single" w:sz="4" w:space="0" w:color="D2C9B8"/>
              <w:left w:val="single" w:sz="4" w:space="0" w:color="D2C9B8"/>
              <w:bottom w:val="single" w:sz="4" w:space="0" w:color="D2C9B8"/>
              <w:right w:val="single" w:sz="4" w:space="0" w:color="D2C9B8"/>
            </w:tcBorders>
          </w:tcPr>
          <w:p w14:paraId="6D788D10" w14:textId="77777777" w:rsidR="005A5FCC" w:rsidRDefault="00A21C81">
            <w:pPr>
              <w:spacing w:before="20" w:after="20" w:line="240" w:lineRule="auto"/>
              <w:jc w:val="left"/>
            </w:pPr>
            <w:r>
              <w:rPr>
                <w:rFonts w:cs="EB Garamond"/>
                <w:kern w:val="16"/>
                <w:sz w:val="18"/>
                <w14:ligatures w14:val="standardContextual"/>
              </w:rPr>
              <w:t>100% SC</w:t>
            </w:r>
          </w:p>
        </w:tc>
        <w:tc>
          <w:tcPr>
            <w:tcW w:w="1270" w:type="dxa"/>
            <w:tcBorders>
              <w:top w:val="single" w:sz="4" w:space="0" w:color="D2C9B8"/>
              <w:left w:val="single" w:sz="4" w:space="0" w:color="D2C9B8"/>
              <w:bottom w:val="single" w:sz="4" w:space="0" w:color="D2C9B8"/>
              <w:right w:val="single" w:sz="4" w:space="0" w:color="D2C9B8"/>
            </w:tcBorders>
          </w:tcPr>
          <w:p w14:paraId="44C88371" w14:textId="77777777" w:rsidR="005A5FCC" w:rsidRDefault="00A21C81">
            <w:pPr>
              <w:spacing w:before="20" w:after="20" w:line="240" w:lineRule="auto"/>
              <w:jc w:val="left"/>
            </w:pPr>
            <w:r>
              <w:rPr>
                <w:rFonts w:cs="EB Garamond"/>
                <w:b/>
                <w:kern w:val="16"/>
                <w:sz w:val="18"/>
                <w14:ligatures w14:val="standardContextual"/>
              </w:rPr>
              <w:t>100%</w:t>
            </w:r>
          </w:p>
        </w:tc>
        <w:tc>
          <w:tcPr>
            <w:tcW w:w="1270" w:type="dxa"/>
            <w:tcBorders>
              <w:top w:val="single" w:sz="4" w:space="0" w:color="D2C9B8"/>
              <w:left w:val="single" w:sz="4" w:space="0" w:color="D2C9B8"/>
              <w:bottom w:val="single" w:sz="4" w:space="0" w:color="D2C9B8"/>
              <w:right w:val="single" w:sz="4" w:space="0" w:color="D2C9B8"/>
            </w:tcBorders>
          </w:tcPr>
          <w:p w14:paraId="5B675DCA" w14:textId="77777777" w:rsidR="005A5FCC" w:rsidRDefault="00A21C81">
            <w:pPr>
              <w:spacing w:before="20" w:after="20" w:line="240" w:lineRule="auto"/>
              <w:jc w:val="left"/>
            </w:pPr>
            <w:r>
              <w:rPr>
                <w:rFonts w:cs="EB Garamond"/>
                <w:kern w:val="16"/>
                <w:sz w:val="18"/>
                <w14:ligatures w14:val="standardContextual"/>
              </w:rPr>
              <w:t>Não se aplica</w:t>
            </w:r>
          </w:p>
        </w:tc>
      </w:tr>
    </w:tbl>
    <w:p w14:paraId="5B3295F3" w14:textId="77777777" w:rsidR="005A5FCC" w:rsidRDefault="005A5FCC">
      <w:pPr>
        <w:spacing w:after="80" w:line="240" w:lineRule="auto"/>
      </w:pPr>
    </w:p>
    <w:p w14:paraId="3EAF7560" w14:textId="77777777" w:rsidR="005A5FCC" w:rsidRDefault="00A21C81">
      <w:pPr>
        <w:spacing w:before="260" w:after="80" w:line="240" w:lineRule="auto"/>
        <w:jc w:val="left"/>
      </w:pPr>
      <w:r>
        <w:rPr>
          <w:rFonts w:cs="EB Garamond"/>
          <w:b/>
          <w:color w:val="3A3128"/>
          <w:kern w:val="16"/>
          <w:sz w:val="25"/>
          <w14:ligatures w14:val="standardContextual"/>
        </w:rPr>
        <w:t>11.10.2 Critérios decisórios</w:t>
      </w:r>
    </w:p>
    <w:p w14:paraId="6C36C581"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N</w:t>
      </w:r>
    </w:p>
    <w:p w14:paraId="0C43D9B5" w14:textId="77777777" w:rsidR="005A5FCC" w:rsidRDefault="00A21C81">
      <w:r>
        <w:rPr>
          <w:rFonts w:cs="EB Garamond"/>
          <w:kern w:val="16"/>
          <w14:ligatures w14:val="standardContextual"/>
        </w:rPr>
        <w:t>a nossa experiência, a regra de pontos (art. 15) é a mais litigada nos JEFs porque abrange o maior universo de segurados e permite compensação entre idade e TC. Entretanto, a regra "universalmente melhor" não existe — a escolha depende de variáveis individuais que devem ser analisadas caso a caso:</w:t>
      </w:r>
    </w:p>
    <w:p w14:paraId="2203A157" w14:textId="77777777" w:rsidR="005A5FCC" w:rsidRDefault="00A21C81">
      <w:pPr>
        <w:ind w:firstLine="238"/>
      </w:pPr>
      <w:r>
        <w:rPr>
          <w:rFonts w:cs="EB Garamond"/>
          <w:b/>
          <w:kern w:val="16"/>
          <w14:ligatures w14:val="standardContextual"/>
        </w:rPr>
        <w:t>1. Idade:</w:t>
      </w:r>
      <w:r>
        <w:rPr>
          <w:rFonts w:cs="EB Garamond"/>
          <w:kern w:val="16"/>
          <w14:ligatures w14:val="standardContextual"/>
        </w:rPr>
        <w:t xml:space="preserve"> Segurados com idade avançada (≥ 62-65 anos) tendem a se beneficiar do fator previdenciário &gt; 1,0 (regras com fator) ou do pedágio 100% (coeficiente integral).</w:t>
      </w:r>
    </w:p>
    <w:p w14:paraId="00513D02" w14:textId="77777777" w:rsidR="005A5FCC" w:rsidRDefault="00A21C81">
      <w:pPr>
        <w:ind w:firstLine="238"/>
      </w:pPr>
      <w:r>
        <w:rPr>
          <w:rFonts w:cs="EB Garamond"/>
          <w:b/>
          <w:kern w:val="16"/>
          <w14:ligatures w14:val="standardContextual"/>
        </w:rPr>
        <w:t>2. Tempo de contribuição:</w:t>
      </w:r>
      <w:r>
        <w:rPr>
          <w:rFonts w:cs="EB Garamond"/>
          <w:kern w:val="16"/>
          <w14:ligatures w14:val="standardContextual"/>
        </w:rPr>
        <w:t xml:space="preserve"> Segurados com TC muito superior ao mínimo (40+ anos) tendem a ter coeficiente alto (100%+) nas regras do art. 15/16 e fator elevado nas regras com fator.</w:t>
      </w:r>
    </w:p>
    <w:p w14:paraId="479E2442" w14:textId="77777777" w:rsidR="005A5FCC" w:rsidRDefault="00A21C81">
      <w:pPr>
        <w:ind w:firstLine="238"/>
      </w:pPr>
      <w:r>
        <w:rPr>
          <w:rFonts w:cs="EB Garamond"/>
          <w:b/>
          <w:kern w:val="16"/>
          <w14:ligatures w14:val="standardContextual"/>
        </w:rPr>
        <w:lastRenderedPageBreak/>
        <w:t>3. Valor dos salários de contribuição:</w:t>
      </w:r>
      <w:r>
        <w:rPr>
          <w:rFonts w:cs="EB Garamond"/>
          <w:kern w:val="16"/>
          <w14:ligatures w14:val="standardContextual"/>
        </w:rPr>
        <w:t xml:space="preserve"> A diferença entre a média dos 80% maiores e a média de 100% é decisiva. Segurados com períodos de remuneração baixa (início de carreira, contribuições sobre o SM) se beneficiam da média dos 80% maiores.</w:t>
      </w:r>
    </w:p>
    <w:p w14:paraId="18E1CA1A" w14:textId="77777777" w:rsidR="005A5FCC" w:rsidRDefault="00A21C81">
      <w:pPr>
        <w:ind w:firstLine="238"/>
      </w:pPr>
      <w:r>
        <w:rPr>
          <w:rFonts w:cs="EB Garamond"/>
          <w:b/>
          <w:kern w:val="16"/>
          <w14:ligatures w14:val="standardContextual"/>
        </w:rPr>
        <w:t>4. Data de filiação e situação em 13/11/2019:</w:t>
      </w:r>
      <w:r>
        <w:rPr>
          <w:rFonts w:cs="EB Garamond"/>
          <w:kern w:val="16"/>
          <w14:ligatures w14:val="standardContextual"/>
        </w:rPr>
        <w:t xml:space="preserve"> Determina se o segurado tem direito adquirido e se é elegível ao pedágio 50%.</w:t>
      </w:r>
    </w:p>
    <w:tbl>
      <w:tblPr>
        <w:tblW w:w="5000" w:type="pct"/>
        <w:jc w:val="center"/>
        <w:tblLayout w:type="fixed"/>
        <w:tblLook w:val="04A0" w:firstRow="1" w:lastRow="0" w:firstColumn="1" w:lastColumn="0" w:noHBand="0" w:noVBand="1"/>
      </w:tblPr>
      <w:tblGrid>
        <w:gridCol w:w="6311"/>
      </w:tblGrid>
      <w:tr w:rsidR="005A5FCC" w14:paraId="628F9FF9"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29130C4E"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5ACBE367" w14:textId="77777777" w:rsidR="005A5FCC" w:rsidRDefault="00A21C81">
            <w:pPr>
              <w:spacing w:after="60" w:line="247" w:lineRule="auto"/>
            </w:pPr>
            <w:r>
              <w:rPr>
                <w:rFonts w:cs="EB Garamond"/>
                <w:b/>
                <w:kern w:val="16"/>
                <w:sz w:val="19"/>
                <w14:ligatures w14:val="standardContextual"/>
              </w:rPr>
              <w:t>Caso unificado — Cálculo por todas as regras</w:t>
            </w:r>
          </w:p>
          <w:p w14:paraId="5ADFC2CE" w14:textId="77777777" w:rsidR="005A5FCC" w:rsidRDefault="00A21C81">
            <w:pPr>
              <w:spacing w:after="60" w:line="247" w:lineRule="auto"/>
            </w:pPr>
            <w:r>
              <w:rPr>
                <w:rFonts w:cs="EB Garamond"/>
                <w:b/>
                <w:kern w:val="16"/>
                <w:sz w:val="19"/>
                <w14:ligatures w14:val="standardContextual"/>
              </w:rPr>
              <w:t>Carlos</w:t>
            </w:r>
            <w:r>
              <w:rPr>
                <w:rFonts w:cs="EB Garamond"/>
                <w:kern w:val="16"/>
                <w:sz w:val="19"/>
                <w14:ligatures w14:val="standardContextual"/>
              </w:rPr>
              <w:t>, homem, 63 anos em 2026, filiado em 1986. TC total: 40 anos. Em 13/11/2019 tinha 33 anos de TC e 56 anos de idade. - Média 80% maiores SC: R$ 6.200,00 - Média 100% SC: R$ 5.400,00</w:t>
            </w:r>
          </w:p>
          <w:tbl>
            <w:tblPr>
              <w:tblW w:w="5000" w:type="pct"/>
              <w:jc w:val="center"/>
              <w:tblLook w:val="04A0" w:firstRow="1" w:lastRow="0" w:firstColumn="1" w:lastColumn="0" w:noHBand="0" w:noVBand="1"/>
            </w:tblPr>
            <w:tblGrid>
              <w:gridCol w:w="1476"/>
              <w:gridCol w:w="1475"/>
              <w:gridCol w:w="1475"/>
              <w:gridCol w:w="1475"/>
            </w:tblGrid>
            <w:tr w:rsidR="005A5FCC" w14:paraId="5C224CEC" w14:textId="77777777">
              <w:trPr>
                <w:tblHeader/>
                <w:jc w:val="center"/>
              </w:trPr>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55413140" w14:textId="77777777" w:rsidR="005A5FCC" w:rsidRDefault="00A21C81">
                  <w:pPr>
                    <w:spacing w:before="30" w:after="30" w:line="240" w:lineRule="auto"/>
                    <w:jc w:val="center"/>
                  </w:pPr>
                  <w:r>
                    <w:rPr>
                      <w:rFonts w:cs="EB Garamond"/>
                      <w:b/>
                      <w:color w:val="2F2923"/>
                      <w:kern w:val="16"/>
                      <w:sz w:val="16"/>
                      <w14:ligatures w14:val="standardContextual"/>
                    </w:rPr>
                    <w:t>Regra</w:t>
                  </w:r>
                </w:p>
              </w:tc>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410B4AFA" w14:textId="77777777" w:rsidR="005A5FCC" w:rsidRDefault="00A21C81">
                  <w:pPr>
                    <w:spacing w:before="30" w:after="30" w:line="240" w:lineRule="auto"/>
                    <w:jc w:val="center"/>
                  </w:pPr>
                  <w:r>
                    <w:rPr>
                      <w:rFonts w:cs="EB Garamond"/>
                      <w:b/>
                      <w:color w:val="2F2923"/>
                      <w:kern w:val="16"/>
                      <w:sz w:val="16"/>
                      <w14:ligatures w14:val="standardContextual"/>
                    </w:rPr>
                    <w:t>Elegível?</w:t>
                  </w:r>
                </w:p>
              </w:tc>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694833C8" w14:textId="77777777" w:rsidR="005A5FCC" w:rsidRDefault="00A21C81">
                  <w:pPr>
                    <w:spacing w:before="30" w:after="30" w:line="240" w:lineRule="auto"/>
                    <w:jc w:val="center"/>
                  </w:pPr>
                  <w:r>
                    <w:rPr>
                      <w:rFonts w:cs="EB Garamond"/>
                      <w:b/>
                      <w:color w:val="2F2923"/>
                      <w:kern w:val="16"/>
                      <w:sz w:val="16"/>
                      <w14:ligatures w14:val="standardContextual"/>
                    </w:rPr>
                    <w:t>Cálculo</w:t>
                  </w:r>
                </w:p>
              </w:tc>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11F76D21" w14:textId="77777777" w:rsidR="005A5FCC" w:rsidRDefault="00A21C81">
                  <w:pPr>
                    <w:spacing w:before="30" w:after="30" w:line="240" w:lineRule="auto"/>
                    <w:jc w:val="center"/>
                  </w:pPr>
                  <w:r>
                    <w:rPr>
                      <w:rFonts w:cs="EB Garamond"/>
                      <w:b/>
                      <w:color w:val="2F2923"/>
                      <w:kern w:val="16"/>
                      <w:sz w:val="16"/>
                      <w14:ligatures w14:val="standardContextual"/>
                    </w:rPr>
                    <w:t>RMI</w:t>
                  </w:r>
                </w:p>
              </w:tc>
            </w:tr>
            <w:tr w:rsidR="005A5FCC" w14:paraId="0FE99E1E"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2AEDF3F2" w14:textId="77777777" w:rsidR="005A5FCC" w:rsidRDefault="00A21C81">
                  <w:pPr>
                    <w:spacing w:before="20" w:after="20" w:line="240" w:lineRule="auto"/>
                    <w:jc w:val="left"/>
                  </w:pPr>
                  <w:r>
                    <w:rPr>
                      <w:rFonts w:cs="EB Garamond"/>
                      <w:kern w:val="16"/>
                      <w:sz w:val="16"/>
                      <w14:ligatures w14:val="standardContextual"/>
                    </w:rPr>
                    <w:t>Direito adquirido TC + fator</w:t>
                  </w:r>
                </w:p>
              </w:tc>
              <w:tc>
                <w:tcPr>
                  <w:tcW w:w="1587" w:type="dxa"/>
                  <w:tcBorders>
                    <w:top w:val="single" w:sz="4" w:space="0" w:color="D2C9B8"/>
                    <w:left w:val="single" w:sz="4" w:space="0" w:color="D2C9B8"/>
                    <w:bottom w:val="single" w:sz="4" w:space="0" w:color="D2C9B8"/>
                    <w:right w:val="single" w:sz="4" w:space="0" w:color="D2C9B8"/>
                  </w:tcBorders>
                </w:tcPr>
                <w:p w14:paraId="05B44836" w14:textId="77777777" w:rsidR="005A5FCC" w:rsidRDefault="00A21C81">
                  <w:pPr>
                    <w:spacing w:before="20" w:after="20" w:line="240" w:lineRule="auto"/>
                    <w:jc w:val="left"/>
                  </w:pPr>
                  <w:r>
                    <w:rPr>
                      <w:rFonts w:cs="EB Garamond"/>
                      <w:kern w:val="16"/>
                      <w:sz w:val="16"/>
                      <w14:ligatures w14:val="standardContextual"/>
                    </w:rPr>
                    <w:t xml:space="preserve">Sim (33 TC &lt; 35 em 2019) → </w:t>
                  </w:r>
                  <w:r>
                    <w:rPr>
                      <w:rFonts w:cs="EB Garamond"/>
                      <w:b/>
                      <w:kern w:val="16"/>
                      <w:sz w:val="16"/>
                      <w14:ligatures w14:val="standardContextual"/>
                    </w:rPr>
                    <w:t>Não</w:t>
                  </w:r>
                </w:p>
              </w:tc>
              <w:tc>
                <w:tcPr>
                  <w:tcW w:w="1587" w:type="dxa"/>
                  <w:tcBorders>
                    <w:top w:val="single" w:sz="4" w:space="0" w:color="D2C9B8"/>
                    <w:left w:val="single" w:sz="4" w:space="0" w:color="D2C9B8"/>
                    <w:bottom w:val="single" w:sz="4" w:space="0" w:color="D2C9B8"/>
                    <w:right w:val="single" w:sz="4" w:space="0" w:color="D2C9B8"/>
                  </w:tcBorders>
                </w:tcPr>
                <w:p w14:paraId="7042E30E" w14:textId="77777777" w:rsidR="005A5FCC" w:rsidRDefault="00A21C81">
                  <w:pPr>
                    <w:spacing w:before="20" w:after="20" w:line="240" w:lineRule="auto"/>
                    <w:jc w:val="left"/>
                  </w:pPr>
                  <w:r>
                    <w:rPr>
                      <w:rFonts w:cs="EB Garamond"/>
                      <w:kern w:val="16"/>
                      <w:sz w:val="16"/>
                      <w14:ligatures w14:val="standardContextual"/>
                    </w:rPr>
                    <w:t>—</w:t>
                  </w:r>
                </w:p>
              </w:tc>
              <w:tc>
                <w:tcPr>
                  <w:tcW w:w="1587" w:type="dxa"/>
                  <w:tcBorders>
                    <w:top w:val="single" w:sz="4" w:space="0" w:color="D2C9B8"/>
                    <w:left w:val="single" w:sz="4" w:space="0" w:color="D2C9B8"/>
                    <w:bottom w:val="single" w:sz="4" w:space="0" w:color="D2C9B8"/>
                    <w:right w:val="single" w:sz="4" w:space="0" w:color="D2C9B8"/>
                  </w:tcBorders>
                </w:tcPr>
                <w:p w14:paraId="510D8D11" w14:textId="77777777" w:rsidR="005A5FCC" w:rsidRDefault="00A21C81">
                  <w:pPr>
                    <w:spacing w:before="20" w:after="20" w:line="240" w:lineRule="auto"/>
                    <w:jc w:val="left"/>
                  </w:pPr>
                  <w:r>
                    <w:rPr>
                      <w:rFonts w:cs="EB Garamond"/>
                      <w:kern w:val="16"/>
                      <w:sz w:val="16"/>
                      <w14:ligatures w14:val="standardContextual"/>
                    </w:rPr>
                    <w:t>—</w:t>
                  </w:r>
                </w:p>
              </w:tc>
            </w:tr>
            <w:tr w:rsidR="005A5FCC" w14:paraId="5D57F8D4"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1063AFAE" w14:textId="77777777" w:rsidR="005A5FCC" w:rsidRDefault="00A21C81">
                  <w:pPr>
                    <w:spacing w:before="20" w:after="20" w:line="240" w:lineRule="auto"/>
                    <w:jc w:val="left"/>
                  </w:pPr>
                  <w:r>
                    <w:rPr>
                      <w:rFonts w:cs="EB Garamond"/>
                      <w:kern w:val="16"/>
                      <w:sz w:val="16"/>
                      <w14:ligatures w14:val="standardContextual"/>
                    </w:rPr>
                    <w:t>Direito adquirido 85/95</w:t>
                  </w:r>
                </w:p>
              </w:tc>
              <w:tc>
                <w:tcPr>
                  <w:tcW w:w="1587" w:type="dxa"/>
                  <w:tcBorders>
                    <w:top w:val="single" w:sz="4" w:space="0" w:color="D2C9B8"/>
                    <w:left w:val="single" w:sz="4" w:space="0" w:color="D2C9B8"/>
                    <w:bottom w:val="single" w:sz="4" w:space="0" w:color="D2C9B8"/>
                    <w:right w:val="single" w:sz="4" w:space="0" w:color="D2C9B8"/>
                  </w:tcBorders>
                </w:tcPr>
                <w:p w14:paraId="5B576453" w14:textId="77777777" w:rsidR="005A5FCC" w:rsidRDefault="00A21C81">
                  <w:pPr>
                    <w:spacing w:before="20" w:after="20" w:line="240" w:lineRule="auto"/>
                    <w:jc w:val="left"/>
                  </w:pPr>
                  <w:r>
                    <w:rPr>
                      <w:rFonts w:cs="EB Garamond"/>
                      <w:kern w:val="16"/>
                      <w:sz w:val="16"/>
                      <w14:ligatures w14:val="standardContextual"/>
                    </w:rPr>
                    <w:t xml:space="preserve">56+33=89 &lt; 96 → </w:t>
                  </w:r>
                  <w:r>
                    <w:rPr>
                      <w:rFonts w:cs="EB Garamond"/>
                      <w:b/>
                      <w:kern w:val="16"/>
                      <w:sz w:val="16"/>
                      <w14:ligatures w14:val="standardContextual"/>
                    </w:rPr>
                    <w:t>Não</w:t>
                  </w:r>
                </w:p>
              </w:tc>
              <w:tc>
                <w:tcPr>
                  <w:tcW w:w="1587" w:type="dxa"/>
                  <w:tcBorders>
                    <w:top w:val="single" w:sz="4" w:space="0" w:color="D2C9B8"/>
                    <w:left w:val="single" w:sz="4" w:space="0" w:color="D2C9B8"/>
                    <w:bottom w:val="single" w:sz="4" w:space="0" w:color="D2C9B8"/>
                    <w:right w:val="single" w:sz="4" w:space="0" w:color="D2C9B8"/>
                  </w:tcBorders>
                </w:tcPr>
                <w:p w14:paraId="42B0B43F" w14:textId="77777777" w:rsidR="005A5FCC" w:rsidRDefault="00A21C81">
                  <w:pPr>
                    <w:spacing w:before="20" w:after="20" w:line="240" w:lineRule="auto"/>
                    <w:jc w:val="left"/>
                  </w:pPr>
                  <w:r>
                    <w:rPr>
                      <w:rFonts w:cs="EB Garamond"/>
                      <w:kern w:val="16"/>
                      <w:sz w:val="16"/>
                      <w14:ligatures w14:val="standardContextual"/>
                    </w:rPr>
                    <w:t>—</w:t>
                  </w:r>
                </w:p>
              </w:tc>
              <w:tc>
                <w:tcPr>
                  <w:tcW w:w="1587" w:type="dxa"/>
                  <w:tcBorders>
                    <w:top w:val="single" w:sz="4" w:space="0" w:color="D2C9B8"/>
                    <w:left w:val="single" w:sz="4" w:space="0" w:color="D2C9B8"/>
                    <w:bottom w:val="single" w:sz="4" w:space="0" w:color="D2C9B8"/>
                    <w:right w:val="single" w:sz="4" w:space="0" w:color="D2C9B8"/>
                  </w:tcBorders>
                </w:tcPr>
                <w:p w14:paraId="0FFFA48A" w14:textId="77777777" w:rsidR="005A5FCC" w:rsidRDefault="00A21C81">
                  <w:pPr>
                    <w:spacing w:before="20" w:after="20" w:line="240" w:lineRule="auto"/>
                    <w:jc w:val="left"/>
                  </w:pPr>
                  <w:r>
                    <w:rPr>
                      <w:rFonts w:cs="EB Garamond"/>
                      <w:kern w:val="16"/>
                      <w:sz w:val="16"/>
                      <w14:ligatures w14:val="standardContextual"/>
                    </w:rPr>
                    <w:t>—</w:t>
                  </w:r>
                </w:p>
              </w:tc>
            </w:tr>
            <w:tr w:rsidR="005A5FCC" w14:paraId="155E2368"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12F1CDC9" w14:textId="77777777" w:rsidR="005A5FCC" w:rsidRDefault="00A21C81">
                  <w:pPr>
                    <w:spacing w:before="20" w:after="20" w:line="240" w:lineRule="auto"/>
                    <w:jc w:val="left"/>
                  </w:pPr>
                  <w:r>
                    <w:rPr>
                      <w:rFonts w:cs="EB Garamond"/>
                      <w:kern w:val="16"/>
                      <w:sz w:val="16"/>
                      <w14:ligatures w14:val="standardContextual"/>
                    </w:rPr>
                    <w:t>Art. 15 (pontos)</w:t>
                  </w:r>
                </w:p>
              </w:tc>
              <w:tc>
                <w:tcPr>
                  <w:tcW w:w="1587" w:type="dxa"/>
                  <w:tcBorders>
                    <w:top w:val="single" w:sz="4" w:space="0" w:color="D2C9B8"/>
                    <w:left w:val="single" w:sz="4" w:space="0" w:color="D2C9B8"/>
                    <w:bottom w:val="single" w:sz="4" w:space="0" w:color="D2C9B8"/>
                    <w:right w:val="single" w:sz="4" w:space="0" w:color="D2C9B8"/>
                  </w:tcBorders>
                </w:tcPr>
                <w:p w14:paraId="617059A8" w14:textId="77777777" w:rsidR="005A5FCC" w:rsidRDefault="00A21C81">
                  <w:pPr>
                    <w:spacing w:before="20" w:after="20" w:line="240" w:lineRule="auto"/>
                    <w:jc w:val="left"/>
                  </w:pPr>
                  <w:r>
                    <w:rPr>
                      <w:rFonts w:cs="EB Garamond"/>
                      <w:kern w:val="16"/>
                      <w:sz w:val="16"/>
                      <w14:ligatures w14:val="standardContextual"/>
                    </w:rPr>
                    <w:t xml:space="preserve">63+40=103 ≥ 103 → </w:t>
                  </w:r>
                  <w:r>
                    <w:rPr>
                      <w:rFonts w:cs="EB Garamond"/>
                      <w:b/>
                      <w:kern w:val="16"/>
                      <w:sz w:val="16"/>
                      <w14:ligatures w14:val="standardContextual"/>
                    </w:rPr>
                    <w:t>Sim</w:t>
                  </w:r>
                </w:p>
              </w:tc>
              <w:tc>
                <w:tcPr>
                  <w:tcW w:w="1587" w:type="dxa"/>
                  <w:tcBorders>
                    <w:top w:val="single" w:sz="4" w:space="0" w:color="D2C9B8"/>
                    <w:left w:val="single" w:sz="4" w:space="0" w:color="D2C9B8"/>
                    <w:bottom w:val="single" w:sz="4" w:space="0" w:color="D2C9B8"/>
                    <w:right w:val="single" w:sz="4" w:space="0" w:color="D2C9B8"/>
                  </w:tcBorders>
                </w:tcPr>
                <w:p w14:paraId="2E2C605E" w14:textId="77777777" w:rsidR="005A5FCC" w:rsidRDefault="00A21C81">
                  <w:pPr>
                    <w:spacing w:before="20" w:after="20" w:line="240" w:lineRule="auto"/>
                    <w:jc w:val="left"/>
                  </w:pPr>
                  <w:r>
                    <w:rPr>
                      <w:rFonts w:cs="EB Garamond"/>
                      <w:kern w:val="16"/>
                      <w:sz w:val="16"/>
                      <w14:ligatures w14:val="standardContextual"/>
                    </w:rPr>
                    <w:t>R$ 5.400 × (60%+2%×20) = R$ 5.400 × 100%</w:t>
                  </w:r>
                </w:p>
              </w:tc>
              <w:tc>
                <w:tcPr>
                  <w:tcW w:w="1587" w:type="dxa"/>
                  <w:tcBorders>
                    <w:top w:val="single" w:sz="4" w:space="0" w:color="D2C9B8"/>
                    <w:left w:val="single" w:sz="4" w:space="0" w:color="D2C9B8"/>
                    <w:bottom w:val="single" w:sz="4" w:space="0" w:color="D2C9B8"/>
                    <w:right w:val="single" w:sz="4" w:space="0" w:color="D2C9B8"/>
                  </w:tcBorders>
                </w:tcPr>
                <w:p w14:paraId="7779C3EC" w14:textId="77777777" w:rsidR="005A5FCC" w:rsidRDefault="00A21C81">
                  <w:pPr>
                    <w:spacing w:before="20" w:after="20" w:line="240" w:lineRule="auto"/>
                    <w:jc w:val="left"/>
                  </w:pPr>
                  <w:r>
                    <w:rPr>
                      <w:rFonts w:cs="EB Garamond"/>
                      <w:b/>
                      <w:kern w:val="16"/>
                      <w:sz w:val="16"/>
                      <w14:ligatures w14:val="standardContextual"/>
                    </w:rPr>
                    <w:t>R$ 5.400</w:t>
                  </w:r>
                </w:p>
              </w:tc>
            </w:tr>
            <w:tr w:rsidR="005A5FCC" w14:paraId="18BAE675"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57810B32" w14:textId="77777777" w:rsidR="005A5FCC" w:rsidRDefault="00A21C81">
                  <w:pPr>
                    <w:spacing w:before="20" w:after="20" w:line="240" w:lineRule="auto"/>
                    <w:jc w:val="left"/>
                  </w:pPr>
                  <w:r>
                    <w:rPr>
                      <w:rFonts w:cs="EB Garamond"/>
                      <w:kern w:val="16"/>
                      <w:sz w:val="16"/>
                      <w14:ligatures w14:val="standardContextual"/>
                    </w:rPr>
                    <w:t>Art. 16 (idade)</w:t>
                  </w:r>
                </w:p>
              </w:tc>
              <w:tc>
                <w:tcPr>
                  <w:tcW w:w="1587" w:type="dxa"/>
                  <w:tcBorders>
                    <w:top w:val="single" w:sz="4" w:space="0" w:color="D2C9B8"/>
                    <w:left w:val="single" w:sz="4" w:space="0" w:color="D2C9B8"/>
                    <w:bottom w:val="single" w:sz="4" w:space="0" w:color="D2C9B8"/>
                    <w:right w:val="single" w:sz="4" w:space="0" w:color="D2C9B8"/>
                  </w:tcBorders>
                </w:tcPr>
                <w:p w14:paraId="0C9762C5" w14:textId="77777777" w:rsidR="005A5FCC" w:rsidRDefault="00A21C81">
                  <w:pPr>
                    <w:spacing w:before="20" w:after="20" w:line="240" w:lineRule="auto"/>
                    <w:jc w:val="left"/>
                  </w:pPr>
                  <w:r>
                    <w:rPr>
                      <w:rFonts w:cs="EB Garamond"/>
                      <w:kern w:val="16"/>
                      <w:sz w:val="16"/>
                      <w14:ligatures w14:val="standardContextual"/>
                    </w:rPr>
                    <w:t xml:space="preserve">63 &lt; 64,5 → </w:t>
                  </w:r>
                  <w:r>
                    <w:rPr>
                      <w:rFonts w:cs="EB Garamond"/>
                      <w:b/>
                      <w:kern w:val="16"/>
                      <w:sz w:val="16"/>
                      <w14:ligatures w14:val="standardContextual"/>
                    </w:rPr>
                    <w:t>Não</w:t>
                  </w:r>
                  <w:r>
                    <w:rPr>
                      <w:rFonts w:cs="EB Garamond"/>
                      <w:kern w:val="16"/>
                      <w:sz w:val="16"/>
                      <w14:ligatures w14:val="standardContextual"/>
                    </w:rPr>
                    <w:t xml:space="preserve"> (em 2026)</w:t>
                  </w:r>
                </w:p>
              </w:tc>
              <w:tc>
                <w:tcPr>
                  <w:tcW w:w="1587" w:type="dxa"/>
                  <w:tcBorders>
                    <w:top w:val="single" w:sz="4" w:space="0" w:color="D2C9B8"/>
                    <w:left w:val="single" w:sz="4" w:space="0" w:color="D2C9B8"/>
                    <w:bottom w:val="single" w:sz="4" w:space="0" w:color="D2C9B8"/>
                    <w:right w:val="single" w:sz="4" w:space="0" w:color="D2C9B8"/>
                  </w:tcBorders>
                </w:tcPr>
                <w:p w14:paraId="26B4DEBC" w14:textId="77777777" w:rsidR="005A5FCC" w:rsidRDefault="00A21C81">
                  <w:pPr>
                    <w:spacing w:before="20" w:after="20" w:line="240" w:lineRule="auto"/>
                    <w:jc w:val="left"/>
                  </w:pPr>
                  <w:r>
                    <w:rPr>
                      <w:rFonts w:cs="EB Garamond"/>
                      <w:kern w:val="16"/>
                      <w:sz w:val="16"/>
                      <w14:ligatures w14:val="standardContextual"/>
                    </w:rPr>
                    <w:t>—</w:t>
                  </w:r>
                </w:p>
              </w:tc>
              <w:tc>
                <w:tcPr>
                  <w:tcW w:w="1587" w:type="dxa"/>
                  <w:tcBorders>
                    <w:top w:val="single" w:sz="4" w:space="0" w:color="D2C9B8"/>
                    <w:left w:val="single" w:sz="4" w:space="0" w:color="D2C9B8"/>
                    <w:bottom w:val="single" w:sz="4" w:space="0" w:color="D2C9B8"/>
                    <w:right w:val="single" w:sz="4" w:space="0" w:color="D2C9B8"/>
                  </w:tcBorders>
                </w:tcPr>
                <w:p w14:paraId="03D18A7F" w14:textId="77777777" w:rsidR="005A5FCC" w:rsidRDefault="00A21C81">
                  <w:pPr>
                    <w:spacing w:before="20" w:after="20" w:line="240" w:lineRule="auto"/>
                    <w:jc w:val="left"/>
                  </w:pPr>
                  <w:r>
                    <w:rPr>
                      <w:rFonts w:cs="EB Garamond"/>
                      <w:kern w:val="16"/>
                      <w:sz w:val="16"/>
                      <w14:ligatures w14:val="standardContextual"/>
                    </w:rPr>
                    <w:t>—</w:t>
                  </w:r>
                </w:p>
              </w:tc>
            </w:tr>
            <w:tr w:rsidR="005A5FCC" w14:paraId="59F9020D"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5527D272" w14:textId="77777777" w:rsidR="005A5FCC" w:rsidRDefault="00A21C81">
                  <w:pPr>
                    <w:spacing w:before="20" w:after="20" w:line="240" w:lineRule="auto"/>
                    <w:jc w:val="left"/>
                  </w:pPr>
                  <w:r>
                    <w:rPr>
                      <w:rFonts w:cs="EB Garamond"/>
                      <w:kern w:val="16"/>
                      <w:sz w:val="16"/>
                      <w14:ligatures w14:val="standardContextual"/>
                    </w:rPr>
                    <w:t>Art. 17 (pedágio 50%)</w:t>
                  </w:r>
                </w:p>
              </w:tc>
              <w:tc>
                <w:tcPr>
                  <w:tcW w:w="1587" w:type="dxa"/>
                  <w:tcBorders>
                    <w:top w:val="single" w:sz="4" w:space="0" w:color="D2C9B8"/>
                    <w:left w:val="single" w:sz="4" w:space="0" w:color="D2C9B8"/>
                    <w:bottom w:val="single" w:sz="4" w:space="0" w:color="D2C9B8"/>
                    <w:right w:val="single" w:sz="4" w:space="0" w:color="D2C9B8"/>
                  </w:tcBorders>
                </w:tcPr>
                <w:p w14:paraId="73C1453D" w14:textId="77777777" w:rsidR="005A5FCC" w:rsidRDefault="00A21C81">
                  <w:pPr>
                    <w:spacing w:before="20" w:after="20" w:line="240" w:lineRule="auto"/>
                    <w:jc w:val="left"/>
                  </w:pPr>
                  <w:r>
                    <w:rPr>
                      <w:rFonts w:cs="EB Garamond"/>
                      <w:kern w:val="16"/>
                      <w:sz w:val="16"/>
                      <w14:ligatures w14:val="standardContextual"/>
                    </w:rPr>
                    <w:t xml:space="preserve">Faltavam 2 anos em 2019 → </w:t>
                  </w:r>
                  <w:r>
                    <w:rPr>
                      <w:rFonts w:cs="EB Garamond"/>
                      <w:b/>
                      <w:kern w:val="16"/>
                      <w:sz w:val="16"/>
                      <w14:ligatures w14:val="standardContextual"/>
                    </w:rPr>
                    <w:t>Sim</w:t>
                  </w:r>
                  <w:r>
                    <w:rPr>
                      <w:rFonts w:cs="EB Garamond"/>
                      <w:kern w:val="16"/>
                      <w:sz w:val="16"/>
                      <w14:ligatures w14:val="standardContextual"/>
                    </w:rPr>
                    <w:t xml:space="preserve"> (limite)</w:t>
                  </w:r>
                </w:p>
              </w:tc>
              <w:tc>
                <w:tcPr>
                  <w:tcW w:w="1587" w:type="dxa"/>
                  <w:tcBorders>
                    <w:top w:val="single" w:sz="4" w:space="0" w:color="D2C9B8"/>
                    <w:left w:val="single" w:sz="4" w:space="0" w:color="D2C9B8"/>
                    <w:bottom w:val="single" w:sz="4" w:space="0" w:color="D2C9B8"/>
                    <w:right w:val="single" w:sz="4" w:space="0" w:color="D2C9B8"/>
                  </w:tcBorders>
                </w:tcPr>
                <w:p w14:paraId="588A2F98" w14:textId="77777777" w:rsidR="005A5FCC" w:rsidRDefault="00A21C81">
                  <w:pPr>
                    <w:spacing w:before="20" w:after="20" w:line="240" w:lineRule="auto"/>
                    <w:jc w:val="left"/>
                  </w:pPr>
                  <w:r>
                    <w:rPr>
                      <w:rFonts w:cs="EB Garamond"/>
                      <w:kern w:val="16"/>
                      <w:sz w:val="16"/>
                      <w14:ligatures w14:val="standardContextual"/>
                    </w:rPr>
                    <w:t>R$ 6.200 × f(Tc=40,Id=63,Es≈20,4)</w:t>
                  </w:r>
                </w:p>
              </w:tc>
              <w:tc>
                <w:tcPr>
                  <w:tcW w:w="1587" w:type="dxa"/>
                  <w:tcBorders>
                    <w:top w:val="single" w:sz="4" w:space="0" w:color="D2C9B8"/>
                    <w:left w:val="single" w:sz="4" w:space="0" w:color="D2C9B8"/>
                    <w:bottom w:val="single" w:sz="4" w:space="0" w:color="D2C9B8"/>
                    <w:right w:val="single" w:sz="4" w:space="0" w:color="D2C9B8"/>
                  </w:tcBorders>
                </w:tcPr>
                <w:p w14:paraId="4850AC91" w14:textId="77777777" w:rsidR="005A5FCC" w:rsidRDefault="00A21C81">
                  <w:pPr>
                    <w:spacing w:before="20" w:after="20" w:line="240" w:lineRule="auto"/>
                    <w:jc w:val="left"/>
                  </w:pPr>
                  <w:r>
                    <w:rPr>
                      <w:rFonts w:cs="EB Garamond"/>
                      <w:b/>
                      <w:kern w:val="16"/>
                      <w:sz w:val="16"/>
                      <w14:ligatures w14:val="standardContextual"/>
                    </w:rPr>
                    <w:t>R$ 6.200 × 1,064 = R$ 6.597</w:t>
                  </w:r>
                </w:p>
              </w:tc>
            </w:tr>
            <w:tr w:rsidR="005A5FCC" w14:paraId="39B0BE6A"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40D0A296" w14:textId="77777777" w:rsidR="005A5FCC" w:rsidRDefault="00A21C81">
                  <w:pPr>
                    <w:spacing w:before="20" w:after="20" w:line="240" w:lineRule="auto"/>
                    <w:jc w:val="left"/>
                  </w:pPr>
                  <w:r>
                    <w:rPr>
                      <w:rFonts w:cs="EB Garamond"/>
                      <w:kern w:val="16"/>
                      <w:sz w:val="16"/>
                      <w14:ligatures w14:val="standardContextual"/>
                    </w:rPr>
                    <w:t>Art. 20 (pedágio 100%)</w:t>
                  </w:r>
                </w:p>
              </w:tc>
              <w:tc>
                <w:tcPr>
                  <w:tcW w:w="1587" w:type="dxa"/>
                  <w:tcBorders>
                    <w:top w:val="single" w:sz="4" w:space="0" w:color="D2C9B8"/>
                    <w:left w:val="single" w:sz="4" w:space="0" w:color="D2C9B8"/>
                    <w:bottom w:val="single" w:sz="4" w:space="0" w:color="D2C9B8"/>
                    <w:right w:val="single" w:sz="4" w:space="0" w:color="D2C9B8"/>
                  </w:tcBorders>
                </w:tcPr>
                <w:p w14:paraId="1EFA239E" w14:textId="77777777" w:rsidR="005A5FCC" w:rsidRDefault="00A21C81">
                  <w:pPr>
                    <w:spacing w:before="20" w:after="20" w:line="240" w:lineRule="auto"/>
                    <w:jc w:val="left"/>
                  </w:pPr>
                  <w:r>
                    <w:rPr>
                      <w:rFonts w:cs="EB Garamond"/>
                      <w:kern w:val="16"/>
                      <w:sz w:val="16"/>
                      <w14:ligatures w14:val="standardContextual"/>
                    </w:rPr>
                    <w:t>60 ✅, 35 TC ✅, pedágio 2 anos → 37 total, tem 40 ✅</w:t>
                  </w:r>
                </w:p>
              </w:tc>
              <w:tc>
                <w:tcPr>
                  <w:tcW w:w="1587" w:type="dxa"/>
                  <w:tcBorders>
                    <w:top w:val="single" w:sz="4" w:space="0" w:color="D2C9B8"/>
                    <w:left w:val="single" w:sz="4" w:space="0" w:color="D2C9B8"/>
                    <w:bottom w:val="single" w:sz="4" w:space="0" w:color="D2C9B8"/>
                    <w:right w:val="single" w:sz="4" w:space="0" w:color="D2C9B8"/>
                  </w:tcBorders>
                </w:tcPr>
                <w:p w14:paraId="7D35370A" w14:textId="77777777" w:rsidR="005A5FCC" w:rsidRDefault="00A21C81">
                  <w:pPr>
                    <w:spacing w:before="20" w:after="20" w:line="240" w:lineRule="auto"/>
                    <w:jc w:val="left"/>
                  </w:pPr>
                  <w:r>
                    <w:rPr>
                      <w:rFonts w:cs="EB Garamond"/>
                      <w:kern w:val="16"/>
                      <w:sz w:val="16"/>
                      <w14:ligatures w14:val="standardContextual"/>
                    </w:rPr>
                    <w:t>R$ 5.400 × 100%</w:t>
                  </w:r>
                </w:p>
              </w:tc>
              <w:tc>
                <w:tcPr>
                  <w:tcW w:w="1587" w:type="dxa"/>
                  <w:tcBorders>
                    <w:top w:val="single" w:sz="4" w:space="0" w:color="D2C9B8"/>
                    <w:left w:val="single" w:sz="4" w:space="0" w:color="D2C9B8"/>
                    <w:bottom w:val="single" w:sz="4" w:space="0" w:color="D2C9B8"/>
                    <w:right w:val="single" w:sz="4" w:space="0" w:color="D2C9B8"/>
                  </w:tcBorders>
                </w:tcPr>
                <w:p w14:paraId="7D8D883E" w14:textId="77777777" w:rsidR="005A5FCC" w:rsidRDefault="00A21C81">
                  <w:pPr>
                    <w:spacing w:before="20" w:after="20" w:line="240" w:lineRule="auto"/>
                    <w:jc w:val="left"/>
                  </w:pPr>
                  <w:r>
                    <w:rPr>
                      <w:rFonts w:cs="EB Garamond"/>
                      <w:b/>
                      <w:kern w:val="16"/>
                      <w:sz w:val="16"/>
                      <w14:ligatures w14:val="standardContextual"/>
                    </w:rPr>
                    <w:t>R$ 5.400</w:t>
                  </w:r>
                </w:p>
              </w:tc>
            </w:tr>
          </w:tbl>
          <w:p w14:paraId="4C85C724" w14:textId="77777777" w:rsidR="005A5FCC" w:rsidRDefault="005A5FCC"/>
          <w:p w14:paraId="433599BA" w14:textId="77777777" w:rsidR="005A5FCC" w:rsidRDefault="005A5FCC">
            <w:pPr>
              <w:spacing w:after="0" w:line="240" w:lineRule="auto"/>
            </w:pPr>
          </w:p>
          <w:p w14:paraId="7A5752C0" w14:textId="77777777" w:rsidR="005A5FCC" w:rsidRDefault="00A21C81">
            <w:pPr>
              <w:spacing w:after="60" w:line="247" w:lineRule="auto"/>
            </w:pPr>
            <w:r>
              <w:rPr>
                <w:rFonts w:cs="EB Garamond"/>
                <w:b/>
                <w:kern w:val="16"/>
                <w:sz w:val="19"/>
                <w14:ligatures w14:val="standardContextual"/>
              </w:rPr>
              <w:t>Resultados:</w:t>
            </w:r>
            <w:r>
              <w:rPr>
                <w:rFonts w:cs="EB Garamond"/>
                <w:kern w:val="16"/>
                <w:sz w:val="19"/>
                <w14:ligatures w14:val="standardContextual"/>
              </w:rPr>
              <w:t xml:space="preserve"> - Pedágio 50% (R$ 6.597) → </w:t>
            </w:r>
            <w:r>
              <w:rPr>
                <w:rFonts w:cs="EB Garamond"/>
                <w:b/>
                <w:kern w:val="16"/>
                <w:sz w:val="19"/>
                <w14:ligatures w14:val="standardContextual"/>
              </w:rPr>
              <w:t>MELHOR</w:t>
            </w:r>
            <w:r>
              <w:rPr>
                <w:rFonts w:cs="EB Garamond"/>
                <w:kern w:val="16"/>
                <w:sz w:val="19"/>
                <w14:ligatures w14:val="standardContextual"/>
              </w:rPr>
              <w:t xml:space="preserve"> (fator &gt; 1 + base 80% maiores) - Art. 15 e Art. 20: R$ 5.400 cada - Art. 16: não elegível em 2026</w:t>
            </w:r>
          </w:p>
          <w:p w14:paraId="030E9C52" w14:textId="77777777" w:rsidR="005A5FCC" w:rsidRDefault="00A21C81">
            <w:pPr>
              <w:spacing w:after="60" w:line="247" w:lineRule="auto"/>
            </w:pPr>
            <w:r>
              <w:rPr>
                <w:rFonts w:cs="EB Garamond"/>
                <w:b/>
                <w:kern w:val="16"/>
                <w:sz w:val="19"/>
                <w14:ligatures w14:val="standardContextual"/>
              </w:rPr>
              <w:t>Lição:</w:t>
            </w:r>
            <w:r>
              <w:rPr>
                <w:rFonts w:cs="EB Garamond"/>
                <w:kern w:val="16"/>
                <w:sz w:val="19"/>
                <w14:ligatures w14:val="standardContextual"/>
              </w:rPr>
              <w:t xml:space="preserve"> O pedágio 50%, quando o fator é favorável (&gt; 1,0), pode superar todas as demais regras por combinar a base mais elevada (80% maiores) com um multiplicador que amplifica o benefício. Aqui, o fator de Carlos é apenas levemente superior a 1,0 (≈ 1,064, calculado com Es ≈ 20,4 anos aos 63 anos, conforme a tabela de sobrevida da seção 11.18.5), mas a vantagem decisiva vem da base de cálculo: a média dos 80% maiores SC (R$ 6.200) supera em quase R$ 800 a média de 100% (R$ 5.400) usada pelas demais regras. O resultado (R$ 6.597) supera os R$ 5.400 das regras dos arts. 15 e 20 em R$ 1.197 mensais. Note-se que basta um fator próximo de 1,0 — não é preciso um multiplicador elevado — para que a base mais favorável faça o pedágio 50% prevalecer.</w:t>
            </w:r>
          </w:p>
        </w:tc>
      </w:tr>
    </w:tbl>
    <w:p w14:paraId="3AF8F76A" w14:textId="77777777" w:rsidR="005A5FCC" w:rsidRDefault="005A5FCC">
      <w:pPr>
        <w:spacing w:after="80" w:line="240" w:lineRule="auto"/>
      </w:pPr>
    </w:p>
    <w:tbl>
      <w:tblPr>
        <w:tblW w:w="5000" w:type="pct"/>
        <w:jc w:val="center"/>
        <w:tblLayout w:type="fixed"/>
        <w:tblLook w:val="04A0" w:firstRow="1" w:lastRow="0" w:firstColumn="1" w:lastColumn="0" w:noHBand="0" w:noVBand="1"/>
      </w:tblPr>
      <w:tblGrid>
        <w:gridCol w:w="6311"/>
      </w:tblGrid>
      <w:tr w:rsidR="005A5FCC" w14:paraId="06D595B7"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7C3873D2" w14:textId="77777777" w:rsidR="005A5FCC" w:rsidRDefault="00A21C81">
            <w:pPr>
              <w:spacing w:after="60" w:line="240" w:lineRule="auto"/>
              <w:jc w:val="left"/>
            </w:pPr>
            <w:r>
              <w:rPr>
                <w:rFonts w:ascii="Noto Sans" w:hAnsi="Noto Sans" w:cs="Noto Sans"/>
                <w:b/>
                <w:caps/>
                <w:color w:val="B78B37"/>
                <w:kern w:val="16"/>
                <w:sz w:val="16"/>
                <w14:ligatures w14:val="standardContextual"/>
              </w:rPr>
              <w:lastRenderedPageBreak/>
              <w:t>ATENÇÃO</w:t>
            </w:r>
          </w:p>
          <w:p w14:paraId="1CC04916" w14:textId="77777777" w:rsidR="005A5FCC" w:rsidRDefault="00A21C81">
            <w:pPr>
              <w:spacing w:after="60" w:line="247" w:lineRule="auto"/>
            </w:pPr>
            <w:r>
              <w:rPr>
                <w:rFonts w:cs="EB Garamond"/>
                <w:b/>
                <w:kern w:val="16"/>
                <w:sz w:val="19"/>
                <w14:ligatures w14:val="standardContextual"/>
              </w:rPr>
              <w:t>Não existe regra "universalmente melhor"</w:t>
            </w:r>
          </w:p>
          <w:p w14:paraId="17C085F8" w14:textId="77777777" w:rsidR="005A5FCC" w:rsidRDefault="00A21C81">
            <w:pPr>
              <w:spacing w:after="60" w:line="247" w:lineRule="auto"/>
            </w:pPr>
            <w:r>
              <w:rPr>
                <w:rFonts w:cs="EB Garamond"/>
                <w:kern w:val="16"/>
                <w:sz w:val="19"/>
                <w14:ligatures w14:val="standardContextual"/>
              </w:rPr>
              <w:t>A análise dos exemplos demonstra que cada regra pode ser a mais vantajosa dependendo do perfil do segurado:</w:t>
            </w:r>
          </w:p>
          <w:p w14:paraId="4FE03EAE" w14:textId="77777777" w:rsidR="005A5FCC" w:rsidRDefault="00A21C81">
            <w:pPr>
              <w:spacing w:after="30" w:line="240" w:lineRule="auto"/>
              <w:ind w:left="227" w:hanging="142"/>
            </w:pPr>
            <w:r>
              <w:rPr>
                <w:rFonts w:cs="EB Garamond"/>
                <w:kern w:val="16"/>
                <w:sz w:val="19"/>
                <w14:ligatures w14:val="standardContextual"/>
              </w:rPr>
              <w:t xml:space="preserve">• </w:t>
            </w:r>
            <w:r>
              <w:rPr>
                <w:rFonts w:cs="EB Garamond"/>
                <w:b/>
                <w:kern w:val="16"/>
                <w:sz w:val="19"/>
                <w14:ligatures w14:val="standardContextual"/>
              </w:rPr>
              <w:t>Regra 85/95 (direito adquirido):</w:t>
            </w:r>
            <w:r>
              <w:rPr>
                <w:rFonts w:cs="EB Garamond"/>
                <w:kern w:val="16"/>
                <w:sz w:val="19"/>
                <w14:ligatures w14:val="standardContextual"/>
              </w:rPr>
              <w:t xml:space="preserve"> Melhor para quem atingiu os pontos antes de 13/11/2019, combina média 80% maiores + 100% do SB + sem fator.</w:t>
            </w:r>
          </w:p>
          <w:p w14:paraId="68D16CE7" w14:textId="77777777" w:rsidR="005A5FCC" w:rsidRDefault="00A21C81">
            <w:pPr>
              <w:spacing w:after="30" w:line="240" w:lineRule="auto"/>
              <w:ind w:left="227" w:hanging="142"/>
            </w:pPr>
            <w:r>
              <w:rPr>
                <w:rFonts w:cs="EB Garamond"/>
                <w:kern w:val="16"/>
                <w:sz w:val="19"/>
                <w14:ligatures w14:val="standardContextual"/>
              </w:rPr>
              <w:t xml:space="preserve">• </w:t>
            </w:r>
            <w:r>
              <w:rPr>
                <w:rFonts w:cs="EB Garamond"/>
                <w:b/>
                <w:kern w:val="16"/>
                <w:sz w:val="19"/>
                <w14:ligatures w14:val="standardContextual"/>
              </w:rPr>
              <w:t>Pedágio 50%:</w:t>
            </w:r>
            <w:r>
              <w:rPr>
                <w:rFonts w:cs="EB Garamond"/>
                <w:kern w:val="16"/>
                <w:sz w:val="19"/>
                <w14:ligatures w14:val="standardContextual"/>
              </w:rPr>
              <w:t xml:space="preserve"> Melhor para quem tem fator &gt; 1,0 e grande diferença entre média 80% e 100%.</w:t>
            </w:r>
          </w:p>
          <w:p w14:paraId="454BD600" w14:textId="77777777" w:rsidR="005A5FCC" w:rsidRDefault="00A21C81">
            <w:pPr>
              <w:spacing w:after="30" w:line="240" w:lineRule="auto"/>
              <w:ind w:left="227" w:hanging="142"/>
            </w:pPr>
            <w:r>
              <w:rPr>
                <w:rFonts w:cs="EB Garamond"/>
                <w:kern w:val="16"/>
                <w:sz w:val="19"/>
                <w14:ligatures w14:val="standardContextual"/>
              </w:rPr>
              <w:t xml:space="preserve">• </w:t>
            </w:r>
            <w:r>
              <w:rPr>
                <w:rFonts w:cs="EB Garamond"/>
                <w:b/>
                <w:kern w:val="16"/>
                <w:sz w:val="19"/>
                <w14:ligatures w14:val="standardContextual"/>
              </w:rPr>
              <w:t>Pedágio 100%:</w:t>
            </w:r>
            <w:r>
              <w:rPr>
                <w:rFonts w:cs="EB Garamond"/>
                <w:kern w:val="16"/>
                <w:sz w:val="19"/>
                <w14:ligatures w14:val="standardContextual"/>
              </w:rPr>
              <w:t xml:space="preserve"> Melhor para quem não tem direito adquirido e precisa de coeficiente integral (100%).</w:t>
            </w:r>
          </w:p>
          <w:p w14:paraId="095D900D" w14:textId="77777777" w:rsidR="005A5FCC" w:rsidRDefault="00A21C81">
            <w:pPr>
              <w:spacing w:after="30" w:line="240" w:lineRule="auto"/>
              <w:ind w:left="227" w:hanging="142"/>
            </w:pPr>
            <w:r>
              <w:rPr>
                <w:rFonts w:cs="EB Garamond"/>
                <w:kern w:val="16"/>
                <w:sz w:val="19"/>
                <w14:ligatures w14:val="standardContextual"/>
              </w:rPr>
              <w:t xml:space="preserve">• </w:t>
            </w:r>
            <w:r>
              <w:rPr>
                <w:rFonts w:cs="EB Garamond"/>
                <w:b/>
                <w:kern w:val="16"/>
                <w:sz w:val="19"/>
                <w14:ligatures w14:val="standardContextual"/>
              </w:rPr>
              <w:t>Art. 15/16:</w:t>
            </w:r>
            <w:r>
              <w:rPr>
                <w:rFonts w:cs="EB Garamond"/>
                <w:kern w:val="16"/>
                <w:sz w:val="19"/>
                <w14:ligatures w14:val="standardContextual"/>
              </w:rPr>
              <w:t xml:space="preserve"> Melhor quando o coeficiente (60%+2%) atinge 100%+ e não há regra com fator favorável.</w:t>
            </w:r>
          </w:p>
          <w:p w14:paraId="656BF23A" w14:textId="77777777" w:rsidR="005A5FCC" w:rsidRDefault="00A21C81">
            <w:pPr>
              <w:spacing w:after="30" w:line="240" w:lineRule="auto"/>
              <w:ind w:left="227" w:hanging="142"/>
            </w:pPr>
            <w:r>
              <w:rPr>
                <w:rFonts w:cs="EB Garamond"/>
                <w:kern w:val="16"/>
                <w:sz w:val="19"/>
                <w14:ligatures w14:val="standardContextual"/>
              </w:rPr>
              <w:t xml:space="preserve">• </w:t>
            </w:r>
            <w:r>
              <w:rPr>
                <w:rFonts w:cs="EB Garamond"/>
                <w:b/>
                <w:kern w:val="16"/>
                <w:sz w:val="19"/>
                <w14:ligatures w14:val="standardContextual"/>
              </w:rPr>
              <w:t>Direito adquirido TC + fator:</w:t>
            </w:r>
            <w:r>
              <w:rPr>
                <w:rFonts w:cs="EB Garamond"/>
                <w:kern w:val="16"/>
                <w:sz w:val="19"/>
                <w14:ligatures w14:val="standardContextual"/>
              </w:rPr>
              <w:t xml:space="preserve"> Melhor quando o fator é &gt; 1,0 (segurado idoso com muito TC).</w:t>
            </w:r>
          </w:p>
          <w:p w14:paraId="79387B0D" w14:textId="77777777" w:rsidR="005A5FCC" w:rsidRDefault="00A21C81">
            <w:pPr>
              <w:spacing w:after="60" w:line="247" w:lineRule="auto"/>
            </w:pPr>
            <w:r>
              <w:rPr>
                <w:rFonts w:cs="EB Garamond"/>
                <w:kern w:val="16"/>
                <w:sz w:val="19"/>
                <w14:ligatures w14:val="standardContextual"/>
              </w:rPr>
              <w:t>O advogado deve calcular o benefício por TODAS as regras aplicáveis e apresentar a comparação ao cliente. Essa é a essência da advocacia previdenciária de qualidade.</w:t>
            </w:r>
          </w:p>
        </w:tc>
      </w:tr>
    </w:tbl>
    <w:p w14:paraId="4ADD47D9" w14:textId="77777777" w:rsidR="005A5FCC" w:rsidRDefault="005A5FCC">
      <w:pPr>
        <w:spacing w:after="80" w:line="240" w:lineRule="auto"/>
      </w:pPr>
    </w:p>
    <w:p w14:paraId="261A3CC8"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11.11 Contagem recíproca e impacto nas regras de transição</w:t>
      </w:r>
    </w:p>
    <w:p w14:paraId="579A7C2D" w14:textId="77777777" w:rsidR="005A5FCC" w:rsidRDefault="00A21C81">
      <w:pPr>
        <w:spacing w:before="260" w:after="80" w:line="240" w:lineRule="auto"/>
        <w:jc w:val="left"/>
      </w:pPr>
      <w:r>
        <w:rPr>
          <w:rFonts w:cs="EB Garamond"/>
          <w:b/>
          <w:color w:val="3A3128"/>
          <w:kern w:val="16"/>
          <w:sz w:val="25"/>
          <w14:ligatures w14:val="standardContextual"/>
        </w:rPr>
        <w:t>11.11.1 Fundamento e mecanismo geral</w:t>
      </w:r>
    </w:p>
    <w:p w14:paraId="5C9ABB0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37064FAA" w14:textId="77777777" w:rsidR="005A5FCC" w:rsidRDefault="00A21C81">
      <w:r>
        <w:rPr>
          <w:rFonts w:cs="EB Garamond"/>
          <w:kern w:val="16"/>
          <w14:ligatures w14:val="standardContextual"/>
        </w:rPr>
        <w:t xml:space="preserve"> contagem recíproca entre regimes é direito constitucional do segurado (art. 201, § 9º, CF/88). O mecanismo detalhado — expedição de CTC, vedações, procedimento administrativo — foi tratado na seção 5.7 deste livro. Aqui interessa o impacto específico da contagem recíproca nas regras de transição por TC, tema que, a nosso ver, é subestimado na prática: muitos segurados que migraram do serviço público para a iniciativa privada desconhecem que podem averbar o tempo de RPPS e, com isso, habilitar-se a regras de transição que de outro modo lhes seriam inacessíveis.</w:t>
      </w:r>
    </w:p>
    <w:p w14:paraId="082B0F38" w14:textId="77777777" w:rsidR="005A5FCC" w:rsidRDefault="00A21C81">
      <w:pPr>
        <w:spacing w:before="260" w:after="80" w:line="240" w:lineRule="auto"/>
        <w:jc w:val="left"/>
      </w:pPr>
      <w:r>
        <w:rPr>
          <w:rFonts w:cs="EB Garamond"/>
          <w:b/>
          <w:color w:val="3A3128"/>
          <w:kern w:val="16"/>
          <w:sz w:val="25"/>
          <w14:ligatures w14:val="standardContextual"/>
        </w:rPr>
        <w:t>11.11.2 O impacto nas regras de transição</w:t>
      </w:r>
    </w:p>
    <w:p w14:paraId="76F37E61"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P</w:t>
      </w:r>
    </w:p>
    <w:p w14:paraId="7644416D" w14:textId="77777777" w:rsidR="005A5FCC" w:rsidRDefault="00A21C81">
      <w:r>
        <w:rPr>
          <w:rFonts w:cs="EB Garamond"/>
          <w:kern w:val="16"/>
          <w14:ligatures w14:val="standardContextual"/>
        </w:rPr>
        <w:t>ara o segurado que migrou do serviço público para a iniciativa privada (ou vice-versa), a contagem recíproca pode ser decisiva para o atingimento dos requisitos das regras de transição. Considere os seguintes cenários práticos:</w:t>
      </w:r>
    </w:p>
    <w:p w14:paraId="338EEBE8" w14:textId="77777777" w:rsidR="005A5FCC" w:rsidRDefault="00A21C81">
      <w:pPr>
        <w:ind w:firstLine="238"/>
      </w:pPr>
      <w:r>
        <w:rPr>
          <w:rFonts w:cs="EB Garamond"/>
          <w:b/>
          <w:kern w:val="16"/>
          <w14:ligatures w14:val="standardContextual"/>
        </w:rPr>
        <w:t>Cenário 1 — Ex-servidor que precisa do tempo de RPPS para atingir 35 anos de TC no RGPS:</w:t>
      </w:r>
    </w:p>
    <w:p w14:paraId="0CFD001F" w14:textId="77777777" w:rsidR="005A5FCC" w:rsidRDefault="00A21C81">
      <w:pPr>
        <w:ind w:firstLine="238"/>
      </w:pPr>
      <w:r>
        <w:rPr>
          <w:rFonts w:cs="EB Garamond"/>
          <w:kern w:val="16"/>
          <w14:ligatures w14:val="standardContextual"/>
        </w:rPr>
        <w:t>O segurado trabalhou 12 anos no serviço público federal (RPPS da União) e depois se transferiu para a iniciativa privada, onde acumula 23 anos de contribuição ao RGPS. Sem a contagem recíproca, possui apenas 23 anos de TC no RGPS, insuficiente para qualquer regra de transição. Com a averbação do tempo de RPPS mediante CTC, atinge 35 anos de TC, habilitando-se ao art. 15 (pontos), art. 16 (idade progressiva) ou art. 20 (pedágio 100%), conforme sua idade e demais requisitos.</w:t>
      </w:r>
    </w:p>
    <w:p w14:paraId="60FA5AC2" w14:textId="77777777" w:rsidR="005A5FCC" w:rsidRDefault="00A21C81">
      <w:pPr>
        <w:ind w:firstLine="238"/>
      </w:pPr>
      <w:r>
        <w:rPr>
          <w:rFonts w:cs="EB Garamond"/>
          <w:b/>
          <w:kern w:val="16"/>
          <w14:ligatures w14:val="standardContextual"/>
        </w:rPr>
        <w:t>Cenário 2 — Ex-segurado do RGPS que precisa completar TC no RPPS:</w:t>
      </w:r>
    </w:p>
    <w:p w14:paraId="7F78B8D6" w14:textId="77777777" w:rsidR="005A5FCC" w:rsidRDefault="00A21C81">
      <w:pPr>
        <w:ind w:firstLine="238"/>
      </w:pPr>
      <w:r>
        <w:rPr>
          <w:rFonts w:cs="EB Garamond"/>
          <w:kern w:val="16"/>
          <w14:ligatures w14:val="standardContextual"/>
        </w:rPr>
        <w:t>O servidor público que ingressou no serviço após 10 anos de contribuição ao RGPS pode averbar esse tempo para fins de aposentadoria no RPPS, observadas as regras específicas do respectivo regime próprio (não objeto deste capítulo, que trata do RGPS).</w:t>
      </w:r>
    </w:p>
    <w:p w14:paraId="5557ED51" w14:textId="77777777" w:rsidR="005A5FCC" w:rsidRDefault="00A21C81">
      <w:pPr>
        <w:spacing w:before="260" w:after="80" w:line="240" w:lineRule="auto"/>
        <w:jc w:val="left"/>
      </w:pPr>
      <w:r>
        <w:rPr>
          <w:rFonts w:cs="EB Garamond"/>
          <w:b/>
          <w:color w:val="3A3128"/>
          <w:kern w:val="16"/>
          <w:sz w:val="25"/>
          <w14:ligatures w14:val="standardContextual"/>
        </w:rPr>
        <w:t>11.11.3 Compensação financeira entre regimes</w:t>
      </w:r>
    </w:p>
    <w:p w14:paraId="293814C5"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678182F6" w14:textId="77777777" w:rsidR="005A5FCC" w:rsidRDefault="00A21C81">
      <w:r>
        <w:rPr>
          <w:rFonts w:cs="EB Garamond"/>
          <w:kern w:val="16"/>
          <w14:ligatures w14:val="standardContextual"/>
        </w:rPr>
        <w:t xml:space="preserve"> art. 201, § 9º-A, da CF (incluído pela EC 103/2019), determina que os regimes de previdência social se compensarão financeiramente quando o segurado utilizar tempo de contribuição de um regime para aposentadoria em outro. A Lei 9.796/1999 disciplina o procedimento de compensação financeira, que ocorre entre os entes federativos (União, estados, municípios e o INSS) sem participação direta do segurado.</w:t>
      </w:r>
    </w:p>
    <w:p w14:paraId="6E89F673" w14:textId="77777777" w:rsidR="005A5FCC" w:rsidRDefault="00A21C81">
      <w:pPr>
        <w:ind w:firstLine="238"/>
      </w:pPr>
      <w:r>
        <w:rPr>
          <w:rFonts w:cs="EB Garamond"/>
          <w:kern w:val="16"/>
          <w14:ligatures w14:val="standardContextual"/>
        </w:rPr>
        <w:t>Na prática, a compensação financeira é um mecanismo interno entre os regimes. O segurado não paga nem recebe nada: basta apresentar a CTC válida e requerer a averbação no regime em que pretende se aposentar. O regime concedente do benefício arca com a totalidade do pagamento e depois busca a compensação junto ao regime que detém o tempo averbado.</w:t>
      </w:r>
    </w:p>
    <w:p w14:paraId="3DC086E0" w14:textId="77777777" w:rsidR="005A5FCC" w:rsidRDefault="00A21C81">
      <w:pPr>
        <w:spacing w:before="260" w:after="80" w:line="240" w:lineRule="auto"/>
        <w:jc w:val="left"/>
      </w:pPr>
      <w:r>
        <w:rPr>
          <w:rFonts w:cs="EB Garamond"/>
          <w:b/>
          <w:color w:val="3A3128"/>
          <w:kern w:val="16"/>
          <w:sz w:val="25"/>
          <w14:ligatures w14:val="standardContextual"/>
        </w:rPr>
        <w:lastRenderedPageBreak/>
        <w:t>11.11.4 Vedação de dupla contagem</w:t>
      </w:r>
    </w:p>
    <w:p w14:paraId="1E0304D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74DD47D3" w14:textId="77777777" w:rsidR="005A5FCC" w:rsidRDefault="00A21C81">
      <w:r>
        <w:rPr>
          <w:rFonts w:cs="EB Garamond"/>
          <w:kern w:val="16"/>
          <w14:ligatures w14:val="standardContextual"/>
        </w:rPr>
        <w:t xml:space="preserve"> Constituição veda expressamente a contagem do mesmo tempo de contribuição em mais de um regime (art. 201, § 9º, parte final). Assim, o segurado que averba o tempo de RPPS no RGPS para fins de aposentadoria não pode utilizar esse mesmo tempo para aposentadoria no RPPS. A opção por um regime implica renúncia ao outro quanto ao tempo averbado.</w:t>
      </w:r>
    </w:p>
    <w:p w14:paraId="681971CC" w14:textId="77777777" w:rsidR="005A5FCC" w:rsidRDefault="00A21C81">
      <w:pPr>
        <w:ind w:firstLine="238"/>
      </w:pPr>
      <w:r>
        <w:rPr>
          <w:rFonts w:cs="EB Garamond"/>
          <w:kern w:val="16"/>
          <w14:ligatures w14:val="standardContextual"/>
        </w:rPr>
        <w:t>Essa vedação tem consequências importantes nas regras de transição: o segurado que exerceu atividades concomitantes no RGPS e no RPPS, situação rara, mas possível em acumulação lícita de cargos, não pode contar o tempo de ambos simultaneamente para uma mesma aposentadoria. Cada período de contribuição só pode ser utilizado uma vez.</w:t>
      </w:r>
    </w:p>
    <w:tbl>
      <w:tblPr>
        <w:tblW w:w="5000" w:type="pct"/>
        <w:jc w:val="center"/>
        <w:tblLayout w:type="fixed"/>
        <w:tblLook w:val="04A0" w:firstRow="1" w:lastRow="0" w:firstColumn="1" w:lastColumn="0" w:noHBand="0" w:noVBand="1"/>
      </w:tblPr>
      <w:tblGrid>
        <w:gridCol w:w="6311"/>
      </w:tblGrid>
      <w:tr w:rsidR="005A5FCC" w14:paraId="3E1521E9"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332F7A99"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3F7F111B" w14:textId="77777777" w:rsidR="005A5FCC" w:rsidRDefault="00A21C81">
            <w:pPr>
              <w:spacing w:after="60" w:line="247" w:lineRule="auto"/>
            </w:pPr>
            <w:r>
              <w:rPr>
                <w:rFonts w:cs="EB Garamond"/>
                <w:b/>
                <w:kern w:val="16"/>
                <w:sz w:val="19"/>
                <w14:ligatures w14:val="standardContextual"/>
              </w:rPr>
              <w:t>Roteiro prático — Contagem recíproca para aposentadoria por TC no RGPS</w:t>
            </w:r>
          </w:p>
          <w:p w14:paraId="08C00444" w14:textId="77777777" w:rsidR="005A5FCC" w:rsidRDefault="00A21C81">
            <w:pPr>
              <w:spacing w:after="60" w:line="247" w:lineRule="auto"/>
            </w:pPr>
            <w:r>
              <w:rPr>
                <w:rFonts w:cs="EB Garamond"/>
                <w:kern w:val="16"/>
                <w:sz w:val="19"/>
                <w14:ligatures w14:val="standardContextual"/>
              </w:rPr>
              <w:t xml:space="preserve">1. </w:t>
            </w:r>
            <w:r>
              <w:rPr>
                <w:rFonts w:cs="EB Garamond"/>
                <w:b/>
                <w:kern w:val="16"/>
                <w:sz w:val="19"/>
                <w14:ligatures w14:val="standardContextual"/>
              </w:rPr>
              <w:t>Verificar o tempo total de TC no RGPS (CNIS)</w:t>
            </w:r>
            <w:r>
              <w:rPr>
                <w:rFonts w:cs="EB Garamond"/>
                <w:kern w:val="16"/>
                <w:sz w:val="19"/>
                <w14:ligatures w14:val="standardContextual"/>
              </w:rPr>
              <w:t xml:space="preserve"> — identificar lacunas e períodos sem contribuição 2. </w:t>
            </w:r>
            <w:r>
              <w:rPr>
                <w:rFonts w:cs="EB Garamond"/>
                <w:b/>
                <w:kern w:val="16"/>
                <w:sz w:val="19"/>
                <w14:ligatures w14:val="standardContextual"/>
              </w:rPr>
              <w:t>Identificar tempo de serviço público (RPPS)</w:t>
            </w:r>
            <w:r>
              <w:rPr>
                <w:rFonts w:cs="EB Garamond"/>
                <w:kern w:val="16"/>
                <w:sz w:val="19"/>
                <w14:ligatures w14:val="standardContextual"/>
              </w:rPr>
              <w:t xml:space="preserve">, verificar se o segurado teve vínculo com ente federativo em regime próprio 3. </w:t>
            </w:r>
            <w:r>
              <w:rPr>
                <w:rFonts w:cs="EB Garamond"/>
                <w:b/>
                <w:kern w:val="16"/>
                <w:sz w:val="19"/>
                <w14:ligatures w14:val="standardContextual"/>
              </w:rPr>
              <w:t>Solicitar CTC ao órgão de origem</w:t>
            </w:r>
            <w:r>
              <w:rPr>
                <w:rFonts w:cs="EB Garamond"/>
                <w:kern w:val="16"/>
                <w:sz w:val="19"/>
                <w14:ligatures w14:val="standardContextual"/>
              </w:rPr>
              <w:t xml:space="preserve">, a CTC deve ser expedida pelo regime de origem, com discriminação dos períodos, remunerações e contribuições 4. </w:t>
            </w:r>
            <w:r>
              <w:rPr>
                <w:rFonts w:cs="EB Garamond"/>
                <w:b/>
                <w:kern w:val="16"/>
                <w:sz w:val="19"/>
                <w14:ligatures w14:val="standardContextual"/>
              </w:rPr>
              <w:t>Averbar a CTC junto ao INSS</w:t>
            </w:r>
            <w:r>
              <w:rPr>
                <w:rFonts w:cs="EB Garamond"/>
                <w:kern w:val="16"/>
                <w:sz w:val="19"/>
                <w14:ligatures w14:val="standardContextual"/>
              </w:rPr>
              <w:t xml:space="preserve">, protocolar requerimento administrativo com a CTC original 5. </w:t>
            </w:r>
            <w:r>
              <w:rPr>
                <w:rFonts w:cs="EB Garamond"/>
                <w:b/>
                <w:kern w:val="16"/>
                <w:sz w:val="19"/>
                <w14:ligatures w14:val="standardContextual"/>
              </w:rPr>
              <w:t>Verificar impacto nos requisitos de transição:</w:t>
            </w:r>
            <w:r>
              <w:rPr>
                <w:rFonts w:cs="EB Garamond"/>
                <w:kern w:val="16"/>
                <w:sz w:val="19"/>
                <w14:ligatures w14:val="standardContextual"/>
              </w:rPr>
              <w:t xml:space="preserve">  - Somar o tempo averbado ao TC total  - Verificar se o novo TC total atende ao mínimo exigido (30M/35H anos)  - Calcular a pontuação (art. 15), verificar a idade (art. 16/20) e o pedágio (arts. 17/20) 6. </w:t>
            </w:r>
            <w:r>
              <w:rPr>
                <w:rFonts w:cs="EB Garamond"/>
                <w:b/>
                <w:kern w:val="16"/>
                <w:sz w:val="19"/>
                <w14:ligatures w14:val="standardContextual"/>
              </w:rPr>
              <w:t>Calcular o benefício</w:t>
            </w:r>
            <w:r>
              <w:rPr>
                <w:rFonts w:cs="EB Garamond"/>
                <w:kern w:val="16"/>
                <w:sz w:val="19"/>
                <w14:ligatures w14:val="standardContextual"/>
              </w:rPr>
              <w:t xml:space="preserve">, o tempo averbado integra o TC para todos os fins (coeficiente 60%+2%, cálculo do fator, pontuação) 7. </w:t>
            </w:r>
            <w:r>
              <w:rPr>
                <w:rFonts w:cs="EB Garamond"/>
                <w:b/>
                <w:kern w:val="16"/>
                <w:sz w:val="19"/>
                <w14:ligatures w14:val="standardContextual"/>
              </w:rPr>
              <w:t>Atenção ao prazo:</w:t>
            </w:r>
            <w:r>
              <w:rPr>
                <w:rFonts w:cs="EB Garamond"/>
                <w:kern w:val="16"/>
                <w:sz w:val="19"/>
                <w14:ligatures w14:val="standardContextual"/>
              </w:rPr>
              <w:t xml:space="preserve"> a expedição da CTC pode levar meses; iniciar o procedimento com antecedência</w:t>
            </w:r>
          </w:p>
          <w:p w14:paraId="497054CF" w14:textId="77777777" w:rsidR="005A5FCC" w:rsidRDefault="00A21C81">
            <w:pPr>
              <w:spacing w:after="60" w:line="247" w:lineRule="auto"/>
            </w:pPr>
            <w:r>
              <w:rPr>
                <w:rFonts w:cs="EB Garamond"/>
                <w:b/>
                <w:kern w:val="16"/>
                <w:sz w:val="19"/>
                <w14:ligatures w14:val="standardContextual"/>
              </w:rPr>
              <w:t>Importante:</w:t>
            </w:r>
            <w:r>
              <w:rPr>
                <w:rFonts w:cs="EB Garamond"/>
                <w:kern w:val="16"/>
                <w:sz w:val="19"/>
                <w14:ligatures w14:val="standardContextual"/>
              </w:rPr>
              <w:t xml:space="preserve"> O tempo averbado computa para TC e para carência (cada mês averbado = um mês de carência), desde que efetivamente comprovada a contribuição no regime de origem. </w:t>
            </w:r>
            <w:r>
              <w:rPr>
                <w:rFonts w:cs="EB Garamond"/>
                <w:b/>
                <w:kern w:val="16"/>
                <w:sz w:val="19"/>
                <w14:ligatures w14:val="standardContextual"/>
              </w:rPr>
              <w:t>Cautela:</w:t>
            </w:r>
            <w:r>
              <w:rPr>
                <w:rFonts w:cs="EB Garamond"/>
                <w:kern w:val="16"/>
                <w:sz w:val="19"/>
                <w14:ligatures w14:val="standardContextual"/>
              </w:rPr>
              <w:t xml:space="preserve"> o cômputo do tempo de RPPS averbado por CTC como carência para o RGPS não é automático em todos os cenários — há controvérsia administrativa, sobretudo quanto a períodos sem recolhimento individualizado ou a vínculos estatutários antigos. Convém confirmar, na CTC e no processo administrativo, o reconhecimento expresso desse tempo também para fins de carência, evitando expectativa excessiva.</w:t>
            </w:r>
          </w:p>
          <w:p w14:paraId="75725433" w14:textId="77777777" w:rsidR="005A5FCC" w:rsidRDefault="00A21C81">
            <w:pPr>
              <w:spacing w:after="60" w:line="247" w:lineRule="auto"/>
            </w:pPr>
            <w:r>
              <w:rPr>
                <w:rFonts w:cs="EB Garamond"/>
                <w:b/>
                <w:kern w:val="16"/>
                <w:sz w:val="19"/>
                <w14:ligatures w14:val="standardContextual"/>
              </w:rPr>
              <w:t>Exemplo numérico:</w:t>
            </w:r>
            <w:r>
              <w:rPr>
                <w:rFonts w:cs="EB Garamond"/>
                <w:kern w:val="16"/>
                <w:sz w:val="19"/>
                <w14:ligatures w14:val="standardContextual"/>
              </w:rPr>
              <w:t xml:space="preserve"> </w:t>
            </w:r>
            <w:r>
              <w:rPr>
                <w:rFonts w:cs="EB Garamond"/>
                <w:b/>
                <w:kern w:val="16"/>
                <w:sz w:val="19"/>
                <w14:ligatures w14:val="standardContextual"/>
              </w:rPr>
              <w:t>Helena</w:t>
            </w:r>
            <w:r>
              <w:rPr>
                <w:rFonts w:cs="EB Garamond"/>
                <w:kern w:val="16"/>
                <w:sz w:val="19"/>
                <w14:ligatures w14:val="standardContextual"/>
              </w:rPr>
              <w:t xml:space="preserve">, mulher, 58 anos em 2026. RGPS: 22 anos de TC. RPPS (ex-servidora estadual): 10 anos. - Sem contagem recíproca: 22 anos TC → insuficiente - Com CTC: 22 + 10 = </w:t>
            </w:r>
            <w:r>
              <w:rPr>
                <w:rFonts w:cs="EB Garamond"/>
                <w:b/>
                <w:kern w:val="16"/>
                <w:sz w:val="19"/>
                <w14:ligatures w14:val="standardContextual"/>
              </w:rPr>
              <w:t>32 anos TC</w:t>
            </w:r>
            <w:r>
              <w:rPr>
                <w:rFonts w:cs="EB Garamond"/>
                <w:kern w:val="16"/>
                <w:sz w:val="19"/>
                <w14:ligatures w14:val="standardContextual"/>
              </w:rPr>
              <w:t xml:space="preserve"> → ≥ 30 ✅ - Art. 15 (pontos): 58 + 32 = 90 &lt; 93 → NÃO em 2026 - Art. 20 (pedágio 100%): 58 ≥ 57 ✅, 32 ≥ 30 ✅, faltavam 8 anos em 2019 (22 TC) → pedágio 8 anos → precisa 38 TC → NÃO - Art. 15 em 2029: 61 + 35 = 96 ≥ 96 → SIM (pontuação mulher 2029 = 96) - A contagem recíproca viabilizou aposentadoria que, sem ela, seria impossível por qualquer regra.</w:t>
            </w:r>
          </w:p>
        </w:tc>
      </w:tr>
    </w:tbl>
    <w:p w14:paraId="4BC2CB60" w14:textId="77777777" w:rsidR="005A5FCC" w:rsidRDefault="005A5FCC">
      <w:pPr>
        <w:spacing w:after="80" w:line="240" w:lineRule="auto"/>
      </w:pPr>
    </w:p>
    <w:p w14:paraId="0B00F2A7" w14:textId="77777777" w:rsidR="005A5FCC" w:rsidRDefault="00A21C81">
      <w:pPr>
        <w:spacing w:before="260" w:after="80" w:line="240" w:lineRule="auto"/>
        <w:jc w:val="left"/>
      </w:pPr>
      <w:r>
        <w:rPr>
          <w:rFonts w:cs="EB Garamond"/>
          <w:b/>
          <w:color w:val="3A3128"/>
          <w:kern w:val="16"/>
          <w:sz w:val="25"/>
          <w14:ligatures w14:val="standardContextual"/>
        </w:rPr>
        <w:t>11.11.5 Situações especiais na contagem recíproca</w:t>
      </w:r>
    </w:p>
    <w:p w14:paraId="3E699CCD"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A</w:t>
      </w:r>
    </w:p>
    <w:p w14:paraId="74B13DC9" w14:textId="77777777" w:rsidR="005A5FCC" w:rsidRDefault="00A21C81">
      <w:r>
        <w:rPr>
          <w:rFonts w:cs="EB Garamond"/>
          <w:kern w:val="16"/>
          <w14:ligatures w14:val="standardContextual"/>
        </w:rPr>
        <w:t>lgumas situações merecem atenção especial quando se combina contagem recíproca com regras de transição:</w:t>
      </w:r>
    </w:p>
    <w:p w14:paraId="4E9C35A4" w14:textId="77777777" w:rsidR="005A5FCC" w:rsidRDefault="00A21C81">
      <w:pPr>
        <w:ind w:firstLine="238"/>
      </w:pPr>
      <w:r>
        <w:rPr>
          <w:rFonts w:cs="EB Garamond"/>
          <w:b/>
          <w:kern w:val="16"/>
          <w14:ligatures w14:val="standardContextual"/>
        </w:rPr>
        <w:t>a) Ex-servidor com regime complementar:</w:t>
      </w:r>
      <w:r>
        <w:rPr>
          <w:rFonts w:cs="EB Garamond"/>
          <w:kern w:val="16"/>
          <w14:ligatures w14:val="standardContextual"/>
        </w:rPr>
        <w:t xml:space="preserve"> O servidor que aderiu ao regime de previdência complementar (Funpresp, para servidores federais ingressos após 2013) e depois migrou para o RGPS pode averbar o tempo de RPPS. Contudo, o tempo no RPPS com previdência complementar pode ter remunerações limitadas ao teto do RGPS, impactando a média de salários de contribuição.</w:t>
      </w:r>
    </w:p>
    <w:p w14:paraId="59C2A486" w14:textId="77777777" w:rsidR="005A5FCC" w:rsidRDefault="00A21C81">
      <w:pPr>
        <w:ind w:firstLine="238"/>
      </w:pPr>
      <w:r>
        <w:rPr>
          <w:rFonts w:cs="EB Garamond"/>
          <w:b/>
          <w:kern w:val="16"/>
          <w14:ligatures w14:val="standardContextual"/>
        </w:rPr>
        <w:t>b) Servidor com tempo concomitante RGPS/RPPS:</w:t>
      </w:r>
      <w:r>
        <w:rPr>
          <w:rFonts w:cs="EB Garamond"/>
          <w:kern w:val="16"/>
          <w14:ligatures w14:val="standardContextual"/>
        </w:rPr>
        <w:t xml:space="preserve"> O servidor que acumulava licitamente dois cargos (ex.: professor em universidade federal + cargo técnico em autarquia estadual) ou que exercia atividade privada concomitante ao cargo público não pode averbar o tempo de ambos os vínculos simultaneamente para uma mesma aposentadoria. Deve escolher qual período averbar, considerando o impacto no TC total e nos salários de contribuição.</w:t>
      </w:r>
    </w:p>
    <w:p w14:paraId="1B2EA19E" w14:textId="77777777" w:rsidR="005A5FCC" w:rsidRDefault="00A21C81">
      <w:pPr>
        <w:ind w:firstLine="238"/>
      </w:pPr>
      <w:r>
        <w:rPr>
          <w:rFonts w:cs="EB Garamond"/>
          <w:b/>
          <w:kern w:val="16"/>
          <w14:ligatures w14:val="standardContextual"/>
        </w:rPr>
        <w:t>c) CTC expedida com erro:</w:t>
      </w:r>
      <w:r>
        <w:rPr>
          <w:rFonts w:cs="EB Garamond"/>
          <w:kern w:val="16"/>
          <w14:ligatures w14:val="standardContextual"/>
        </w:rPr>
        <w:t xml:space="preserve"> A CTC que contém erros (períodos incorretos, omissão de contribuições) deve ser retificada pelo órgão emissor. O INSS não tem competência para corrigir CTC emitida por outro regime. Se o órgão de origem se recusar a retificar, cabe ação judicial contra o ente federativo emissor.</w:t>
      </w:r>
    </w:p>
    <w:p w14:paraId="66FAE451"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11.12 Tempo fictício: vedação e exceções remanescentes</w:t>
      </w:r>
    </w:p>
    <w:p w14:paraId="4215E0ED" w14:textId="77777777" w:rsidR="005A5FCC" w:rsidRDefault="00A21C81">
      <w:pPr>
        <w:spacing w:before="260" w:after="80" w:line="240" w:lineRule="auto"/>
        <w:jc w:val="left"/>
      </w:pPr>
      <w:r>
        <w:rPr>
          <w:rFonts w:cs="EB Garamond"/>
          <w:b/>
          <w:color w:val="3A3128"/>
          <w:kern w:val="16"/>
          <w:sz w:val="25"/>
          <w14:ligatures w14:val="standardContextual"/>
        </w:rPr>
        <w:t>11.12.1 Conceito e vedação constitucional</w:t>
      </w:r>
    </w:p>
    <w:p w14:paraId="5C62B458"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51AD826A" w14:textId="77777777" w:rsidR="005A5FCC" w:rsidRDefault="00A21C81">
      <w:r>
        <w:rPr>
          <w:rFonts w:cs="EB Garamond"/>
          <w:kern w:val="16"/>
          <w14:ligatures w14:val="standardContextual"/>
        </w:rPr>
        <w:t xml:space="preserve"> EC 20/1998 vedou a contagem de tempo fictício de contribuição (art. 40, § 10, CF/88). Tempo fictício é aquele computado sem exercício efetivo de atividade laboral nem contribuição: ficção jurídica que atribuía efeitos previdenciários a períodos em que o segurado não trabalhou nem contribuiu. A vedação, embora inserida no art. 40 (servidores públicos), aplica-se também ao RGPS como princípio geral do sistema. O dispositivo determina:</w:t>
      </w:r>
    </w:p>
    <w:tbl>
      <w:tblPr>
        <w:tblW w:w="4600" w:type="pct"/>
        <w:jc w:val="center"/>
        <w:tblLook w:val="04A0" w:firstRow="1" w:lastRow="0" w:firstColumn="1" w:lastColumn="0" w:noHBand="0" w:noVBand="1"/>
      </w:tblPr>
      <w:tblGrid>
        <w:gridCol w:w="5824"/>
      </w:tblGrid>
      <w:tr w:rsidR="005A5FCC" w14:paraId="6F265755" w14:textId="77777777">
        <w:trPr>
          <w:jc w:val="center"/>
        </w:trPr>
        <w:tc>
          <w:tcPr>
            <w:tcW w:w="6350" w:type="dxa"/>
            <w:tcBorders>
              <w:left w:val="single" w:sz="16" w:space="0" w:color="B78B37"/>
            </w:tcBorders>
            <w:tcMar>
              <w:top w:w="100" w:type="dxa"/>
              <w:left w:w="240" w:type="dxa"/>
              <w:bottom w:w="100" w:type="dxa"/>
              <w:right w:w="180" w:type="dxa"/>
            </w:tcMar>
          </w:tcPr>
          <w:p w14:paraId="0870EC4F" w14:textId="77777777" w:rsidR="005A5FCC" w:rsidRDefault="00A21C81">
            <w:pPr>
              <w:spacing w:after="60" w:line="252" w:lineRule="auto"/>
            </w:pPr>
            <w:r>
              <w:rPr>
                <w:rFonts w:cs="EB Garamond"/>
                <w:i/>
                <w:color w:val="3A3128"/>
                <w:kern w:val="16"/>
                <w:sz w:val="20"/>
                <w14:ligatures w14:val="standardContextual"/>
              </w:rPr>
              <w:lastRenderedPageBreak/>
              <w:t>É vedada a contagem de tempo de contribuição fictício para efeito de concessão dos benefícios previdenciários e de contagem recíproca.</w:t>
            </w:r>
          </w:p>
        </w:tc>
      </w:tr>
    </w:tbl>
    <w:p w14:paraId="2CF14068" w14:textId="77777777" w:rsidR="005A5FCC" w:rsidRDefault="005A5FCC">
      <w:pPr>
        <w:spacing w:after="80" w:line="240" w:lineRule="auto"/>
      </w:pPr>
    </w:p>
    <w:p w14:paraId="3E40983E" w14:textId="77777777" w:rsidR="005A5FCC" w:rsidRDefault="00A21C81">
      <w:pPr>
        <w:spacing w:before="260" w:after="80" w:line="240" w:lineRule="auto"/>
        <w:jc w:val="left"/>
      </w:pPr>
      <w:r>
        <w:rPr>
          <w:rFonts w:cs="EB Garamond"/>
          <w:b/>
          <w:color w:val="3A3128"/>
          <w:kern w:val="16"/>
          <w:sz w:val="25"/>
          <w14:ligatures w14:val="standardContextual"/>
        </w:rPr>
        <w:t>11.12.2 Exemplos de tempo fictício vedado</w:t>
      </w:r>
    </w:p>
    <w:p w14:paraId="4F1D60C8"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S</w:t>
      </w:r>
    </w:p>
    <w:p w14:paraId="3516C5D4" w14:textId="77777777" w:rsidR="005A5FCC" w:rsidRDefault="00A21C81">
      <w:r>
        <w:rPr>
          <w:rFonts w:cs="EB Garamond"/>
          <w:kern w:val="16"/>
          <w14:ligatures w14:val="standardContextual"/>
        </w:rPr>
        <w:t>ão vedados após a EC 20/1998:</w:t>
      </w:r>
    </w:p>
    <w:p w14:paraId="45B02271"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Licença-prêmio não gozada em dobro:</w:t>
      </w:r>
      <w:r>
        <w:rPr>
          <w:rFonts w:cs="EB Garamond"/>
          <w:kern w:val="16"/>
          <w:sz w:val="20"/>
          <w14:ligatures w14:val="standardContextual"/>
        </w:rPr>
        <w:t xml:space="preserve"> O servidor que não usufruiu de licença-prêmio não pode computar o período em dobro para aposentadoria. Antes da EC 20/98, era prática comum no serviço público computar três meses de licença-prêmio como seis meses de TC.</w:t>
      </w:r>
    </w:p>
    <w:p w14:paraId="11262D62"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Férias em dobro:</w:t>
      </w:r>
      <w:r>
        <w:rPr>
          <w:rFonts w:cs="EB Garamond"/>
          <w:kern w:val="16"/>
          <w:sz w:val="20"/>
          <w14:ligatures w14:val="standardContextual"/>
        </w:rPr>
        <w:t xml:space="preserve"> O cômputo de férias não gozadas em dobro para fins de TC foi expressamente vedado.</w:t>
      </w:r>
    </w:p>
    <w:p w14:paraId="00A7C466"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Arredondamento de tempo de serviço:</w:t>
      </w:r>
      <w:r>
        <w:rPr>
          <w:rFonts w:cs="EB Garamond"/>
          <w:kern w:val="16"/>
          <w:sz w:val="20"/>
          <w14:ligatures w14:val="standardContextual"/>
        </w:rPr>
        <w:t xml:space="preserve"> A prática de "arredondar" o tempo de serviço (por exemplo, considerar 29 anos e 11 meses como 30 anos) não é admitida.</w:t>
      </w:r>
    </w:p>
    <w:p w14:paraId="3F262E95"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Tempo de estudo ou formação acadêmica:</w:t>
      </w:r>
      <w:r>
        <w:rPr>
          <w:rFonts w:cs="EB Garamond"/>
          <w:kern w:val="16"/>
          <w:sz w:val="20"/>
          <w14:ligatures w14:val="standardContextual"/>
        </w:rPr>
        <w:t xml:space="preserve"> Períodos de frequência a cursos universitários, pós-graduação ou formação profissional não são computados como TC, salvo quando há contribuição efetiva (como no caso de bolsistas que contribuem como segurados facultativos).</w:t>
      </w:r>
    </w:p>
    <w:p w14:paraId="36D5E671" w14:textId="77777777" w:rsidR="005A5FCC" w:rsidRDefault="005A5FCC">
      <w:pPr>
        <w:spacing w:after="60" w:line="240" w:lineRule="auto"/>
      </w:pPr>
    </w:p>
    <w:p w14:paraId="46F659F6" w14:textId="77777777" w:rsidR="005A5FCC" w:rsidRDefault="00A21C81">
      <w:pPr>
        <w:spacing w:before="260" w:after="80" w:line="240" w:lineRule="auto"/>
        <w:jc w:val="left"/>
      </w:pPr>
      <w:r>
        <w:rPr>
          <w:rFonts w:cs="EB Garamond"/>
          <w:b/>
          <w:color w:val="3A3128"/>
          <w:kern w:val="16"/>
          <w:sz w:val="25"/>
          <w14:ligatures w14:val="standardContextual"/>
        </w:rPr>
        <w:t>11.12.3 Exceções remanescentes</w:t>
      </w:r>
    </w:p>
    <w:p w14:paraId="73E61532"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5CC80F68" w14:textId="77777777" w:rsidR="005A5FCC" w:rsidRDefault="00A21C81">
      <w:r>
        <w:rPr>
          <w:rFonts w:cs="EB Garamond"/>
          <w:kern w:val="16"/>
          <w14:ligatures w14:val="standardContextual"/>
        </w:rPr>
        <w:t>pesar da vedação geral, o ordenamento preserva hipóteses em que o tempo de contribuição é reconhecido sem recolhimento efetivo. A rigor, a doutrina moderna distingue essas hipóteses do tempo fictício propriamente dito: não se trata de ficção, mas de reconhecimento legal de períodos protegidos.</w:t>
      </w:r>
    </w:p>
    <w:p w14:paraId="0203E685" w14:textId="77777777" w:rsidR="005A5FCC" w:rsidRDefault="00A21C81">
      <w:pPr>
        <w:ind w:firstLine="238"/>
      </w:pPr>
      <w:r>
        <w:rPr>
          <w:rFonts w:cs="EB Garamond"/>
          <w:kern w:val="16"/>
          <w14:ligatures w14:val="standardContextual"/>
        </w:rPr>
        <w:t>As principais exceções são:</w:t>
      </w:r>
    </w:p>
    <w:p w14:paraId="6AAF38B5" w14:textId="77777777" w:rsidR="005A5FCC" w:rsidRDefault="00A21C81">
      <w:pPr>
        <w:ind w:firstLine="238"/>
      </w:pPr>
      <w:r>
        <w:rPr>
          <w:rFonts w:cs="EB Garamond"/>
          <w:b/>
          <w:kern w:val="16"/>
          <w14:ligatures w14:val="standardContextual"/>
        </w:rPr>
        <w:t>a) Tempo de serviço militar obrigatório (art. 55, I, Lei 8.213/91)</w:t>
      </w:r>
    </w:p>
    <w:p w14:paraId="5F1F6107" w14:textId="77777777" w:rsidR="005A5FCC" w:rsidRDefault="00A21C81">
      <w:pPr>
        <w:ind w:firstLine="238"/>
      </w:pPr>
      <w:r>
        <w:rPr>
          <w:rFonts w:cs="EB Garamond"/>
          <w:kern w:val="16"/>
          <w14:ligatures w14:val="standardContextual"/>
        </w:rPr>
        <w:t xml:space="preserve">O serviço militar obrigatório é computado como tempo de contribuição para fins de aposentadoria no RGPS, independentemente de contribuição previdenciária durante o período. O fundamento é o dever constitucional de defesa da </w:t>
      </w:r>
      <w:r>
        <w:rPr>
          <w:rFonts w:cs="EB Garamond"/>
          <w:kern w:val="16"/>
          <w14:ligatures w14:val="standardContextual"/>
        </w:rPr>
        <w:lastRenderedPageBreak/>
        <w:t>pátria (art. 143, CF), que não pode prejudicar o segurado em sua trajetória previdenciária. O Certificado de Reservista ou documento equivalente comprova o período de serviço militar.</w:t>
      </w:r>
    </w:p>
    <w:p w14:paraId="51DA4240" w14:textId="77777777" w:rsidR="005A5FCC" w:rsidRDefault="00A21C81">
      <w:pPr>
        <w:ind w:firstLine="238"/>
      </w:pPr>
      <w:r>
        <w:rPr>
          <w:rFonts w:cs="EB Garamond"/>
          <w:b/>
          <w:kern w:val="16"/>
          <w14:ligatures w14:val="standardContextual"/>
        </w:rPr>
        <w:t>b) Período de benefício por incapacidade intercalado com atividade (art. 55, II, Lei 8.213/91)</w:t>
      </w:r>
    </w:p>
    <w:p w14:paraId="3D2C82FE" w14:textId="77777777" w:rsidR="005A5FCC" w:rsidRDefault="00A21C81">
      <w:pPr>
        <w:ind w:firstLine="238"/>
      </w:pPr>
      <w:r>
        <w:rPr>
          <w:rFonts w:cs="EB Garamond"/>
          <w:kern w:val="16"/>
          <w14:ligatures w14:val="standardContextual"/>
        </w:rPr>
        <w:t xml:space="preserve">O período em que o segurado recebeu auxílio por incapacidade temporária (antigo auxílio-doença) ou aposentadoria por incapacidade </w:t>
      </w:r>
      <w:commentRangeStart w:id="16"/>
      <w:r>
        <w:rPr>
          <w:rFonts w:cs="EB Garamond"/>
          <w:kern w:val="16"/>
          <w14:ligatures w14:val="standardContextual"/>
        </w:rPr>
        <w:t>temporária</w:t>
      </w:r>
      <w:commentRangeEnd w:id="16"/>
      <w:r w:rsidR="00B45738">
        <w:rPr>
          <w:rStyle w:val="Refdecomentrio"/>
          <w:rFonts w:cs="EB Garamond"/>
          <w:kern w:val="16"/>
          <w:sz w:val="21"/>
          <w:szCs w:val="22"/>
          <w14:ligatures w14:val="standardContextual"/>
        </w:rPr>
        <w:commentReference w:id="16"/>
      </w:r>
      <w:r>
        <w:rPr>
          <w:rFonts w:cs="EB Garamond"/>
          <w:kern w:val="16"/>
          <w14:ligatures w14:val="standardContextual"/>
        </w:rPr>
        <w:t xml:space="preserve"> é computado como TC quando intercalado com períodos de atividade laboral. A intercalação pode ser com atividades anteriores e posteriores ao benefício, conforme pacificou o STJ. O fundamento é que o afastamento por incapacidade não é voluntário — o segurado não trabalhou porque estava doente, e não por opção.</w:t>
      </w:r>
    </w:p>
    <w:p w14:paraId="6FAA19C5" w14:textId="77777777" w:rsidR="005A5FCC" w:rsidRDefault="00A21C81">
      <w:pPr>
        <w:ind w:firstLine="238"/>
      </w:pPr>
      <w:r>
        <w:rPr>
          <w:rFonts w:cs="EB Garamond"/>
          <w:b/>
          <w:kern w:val="16"/>
          <w14:ligatures w14:val="standardContextual"/>
        </w:rPr>
        <w:t>c) Tempo rural anterior a novembro de 1991 (art. 55, § 2º, Lei 8.213/91)</w:t>
      </w:r>
    </w:p>
    <w:p w14:paraId="6BAB900D" w14:textId="77777777" w:rsidR="005A5FCC" w:rsidRDefault="00A21C81">
      <w:pPr>
        <w:ind w:firstLine="238"/>
      </w:pPr>
      <w:r>
        <w:rPr>
          <w:rFonts w:cs="EB Garamond"/>
          <w:kern w:val="16"/>
          <w14:ligatures w14:val="standardContextual"/>
        </w:rPr>
        <w:t>O tempo de atividade rural exercido antes da vigência da Lei 8.213/91 (novembro de 1991) é computado como TC para aposentadoria por tempo de contribuição, sem exigência de contribuição previdenciária no período. A comprovação se faz por início de prova material contemporâneo ao fato, corroborado por prova testemunhal.</w:t>
      </w:r>
    </w:p>
    <w:p w14:paraId="2FC23BBC" w14:textId="77777777" w:rsidR="005A5FCC" w:rsidRDefault="00A21C81">
      <w:pPr>
        <w:ind w:firstLine="238"/>
      </w:pPr>
      <w:r>
        <w:rPr>
          <w:rFonts w:cs="EB Garamond"/>
          <w:kern w:val="16"/>
          <w14:ligatures w14:val="standardContextual"/>
        </w:rPr>
        <w:t>Esta exceção é de enorme importância prática: milhões de brasileiros que trabalharam na agricultura familiar nas décadas de 1970 e 1980 podem utilizar esse tempo para completar os requisitos das regras de transição.</w:t>
      </w:r>
    </w:p>
    <w:tbl>
      <w:tblPr>
        <w:tblW w:w="5000" w:type="pct"/>
        <w:jc w:val="center"/>
        <w:tblLayout w:type="fixed"/>
        <w:tblLook w:val="04A0" w:firstRow="1" w:lastRow="0" w:firstColumn="1" w:lastColumn="0" w:noHBand="0" w:noVBand="1"/>
      </w:tblPr>
      <w:tblGrid>
        <w:gridCol w:w="6311"/>
      </w:tblGrid>
      <w:tr w:rsidR="005A5FCC" w14:paraId="1532429C"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497A5C42" w14:textId="77777777" w:rsidR="005A5FCC" w:rsidRDefault="00A21C81">
            <w:pPr>
              <w:spacing w:after="60" w:line="240" w:lineRule="auto"/>
              <w:jc w:val="left"/>
            </w:pPr>
            <w:r>
              <w:rPr>
                <w:rFonts w:ascii="Noto Sans" w:hAnsi="Noto Sans" w:cs="Noto Sans"/>
                <w:b/>
                <w:caps/>
                <w:color w:val="B78B37"/>
                <w:kern w:val="16"/>
                <w:sz w:val="16"/>
                <w14:ligatures w14:val="standardContextual"/>
              </w:rPr>
              <w:lastRenderedPageBreak/>
              <w:t>ATENÇÃO</w:t>
            </w:r>
          </w:p>
          <w:p w14:paraId="76323C52" w14:textId="77777777" w:rsidR="005A5FCC" w:rsidRDefault="00A21C81">
            <w:pPr>
              <w:spacing w:after="60" w:line="247" w:lineRule="auto"/>
            </w:pPr>
            <w:r>
              <w:rPr>
                <w:rFonts w:cs="EB Garamond"/>
                <w:b/>
                <w:kern w:val="16"/>
                <w:sz w:val="19"/>
                <w14:ligatures w14:val="standardContextual"/>
              </w:rPr>
              <w:t>Tempo fictício vedado × tempo de contribuição sem recolhimento — distinção fundamental</w:t>
            </w:r>
          </w:p>
          <w:tbl>
            <w:tblPr>
              <w:tblW w:w="5000" w:type="pct"/>
              <w:jc w:val="center"/>
              <w:tblLook w:val="04A0" w:firstRow="1" w:lastRow="0" w:firstColumn="1" w:lastColumn="0" w:noHBand="0" w:noVBand="1"/>
            </w:tblPr>
            <w:tblGrid>
              <w:gridCol w:w="1967"/>
              <w:gridCol w:w="1967"/>
              <w:gridCol w:w="1967"/>
            </w:tblGrid>
            <w:tr w:rsidR="005A5FCC" w14:paraId="5C31CDBF" w14:textId="77777777">
              <w:trPr>
                <w:tblHeader/>
                <w:jc w:val="center"/>
              </w:trPr>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004108A9" w14:textId="77777777" w:rsidR="005A5FCC" w:rsidRDefault="00A21C81">
                  <w:pPr>
                    <w:spacing w:before="30" w:after="30" w:line="240" w:lineRule="auto"/>
                    <w:jc w:val="center"/>
                  </w:pPr>
                  <w:r>
                    <w:rPr>
                      <w:rFonts w:cs="EB Garamond"/>
                      <w:b/>
                      <w:color w:val="2F2923"/>
                      <w:kern w:val="16"/>
                      <w:sz w:val="16"/>
                      <w14:ligatures w14:val="standardContextual"/>
                    </w:rPr>
                    <w:t>Situação</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59F5DA0A" w14:textId="77777777" w:rsidR="005A5FCC" w:rsidRDefault="00A21C81">
                  <w:pPr>
                    <w:spacing w:before="30" w:after="30" w:line="240" w:lineRule="auto"/>
                    <w:jc w:val="center"/>
                  </w:pPr>
                  <w:r>
                    <w:rPr>
                      <w:rFonts w:cs="EB Garamond"/>
                      <w:b/>
                      <w:color w:val="2F2923"/>
                      <w:kern w:val="16"/>
                      <w:sz w:val="16"/>
                      <w14:ligatures w14:val="standardContextual"/>
                    </w:rPr>
                    <w:t>Natureza</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47BA96A3" w14:textId="77777777" w:rsidR="005A5FCC" w:rsidRDefault="00A21C81">
                  <w:pPr>
                    <w:spacing w:before="30" w:after="30" w:line="240" w:lineRule="auto"/>
                    <w:jc w:val="center"/>
                  </w:pPr>
                  <w:r>
                    <w:rPr>
                      <w:rFonts w:cs="EB Garamond"/>
                      <w:b/>
                      <w:color w:val="2F2923"/>
                      <w:kern w:val="16"/>
                      <w:sz w:val="16"/>
                      <w14:ligatures w14:val="standardContextual"/>
                    </w:rPr>
                    <w:t>Admitido?</w:t>
                  </w:r>
                </w:p>
              </w:tc>
            </w:tr>
            <w:tr w:rsidR="005A5FCC" w14:paraId="64E347CD"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7DAEECC1" w14:textId="77777777" w:rsidR="005A5FCC" w:rsidRDefault="00A21C81">
                  <w:pPr>
                    <w:spacing w:before="20" w:after="20" w:line="240" w:lineRule="auto"/>
                    <w:jc w:val="left"/>
                  </w:pPr>
                  <w:r>
                    <w:rPr>
                      <w:rFonts w:cs="EB Garamond"/>
                      <w:kern w:val="16"/>
                      <w:sz w:val="16"/>
                      <w14:ligatures w14:val="standardContextual"/>
                    </w:rPr>
                    <w:t>Licença-prêmio não gozada em dobro</w:t>
                  </w:r>
                </w:p>
              </w:tc>
              <w:tc>
                <w:tcPr>
                  <w:tcW w:w="2117" w:type="dxa"/>
                  <w:tcBorders>
                    <w:top w:val="single" w:sz="4" w:space="0" w:color="D2C9B8"/>
                    <w:left w:val="single" w:sz="4" w:space="0" w:color="D2C9B8"/>
                    <w:bottom w:val="single" w:sz="4" w:space="0" w:color="D2C9B8"/>
                    <w:right w:val="single" w:sz="4" w:space="0" w:color="D2C9B8"/>
                  </w:tcBorders>
                </w:tcPr>
                <w:p w14:paraId="3ABD962F" w14:textId="77777777" w:rsidR="005A5FCC" w:rsidRDefault="00A21C81">
                  <w:pPr>
                    <w:spacing w:before="20" w:after="20" w:line="240" w:lineRule="auto"/>
                    <w:jc w:val="left"/>
                  </w:pPr>
                  <w:r>
                    <w:rPr>
                      <w:rFonts w:cs="EB Garamond"/>
                      <w:kern w:val="16"/>
                      <w:sz w:val="16"/>
                      <w14:ligatures w14:val="standardContextual"/>
                    </w:rPr>
                    <w:t>Tempo fictício</w:t>
                  </w:r>
                </w:p>
              </w:tc>
              <w:tc>
                <w:tcPr>
                  <w:tcW w:w="2117" w:type="dxa"/>
                  <w:tcBorders>
                    <w:top w:val="single" w:sz="4" w:space="0" w:color="D2C9B8"/>
                    <w:left w:val="single" w:sz="4" w:space="0" w:color="D2C9B8"/>
                    <w:bottom w:val="single" w:sz="4" w:space="0" w:color="D2C9B8"/>
                    <w:right w:val="single" w:sz="4" w:space="0" w:color="D2C9B8"/>
                  </w:tcBorders>
                </w:tcPr>
                <w:p w14:paraId="16375C79" w14:textId="77777777" w:rsidR="005A5FCC" w:rsidRDefault="00A21C81">
                  <w:pPr>
                    <w:spacing w:before="20" w:after="20" w:line="240" w:lineRule="auto"/>
                    <w:jc w:val="left"/>
                  </w:pPr>
                  <w:r>
                    <w:rPr>
                      <w:rFonts w:cs="EB Garamond"/>
                      <w:b/>
                      <w:kern w:val="16"/>
                      <w:sz w:val="16"/>
                      <w14:ligatures w14:val="standardContextual"/>
                    </w:rPr>
                    <w:t>Não</w:t>
                  </w:r>
                  <w:r>
                    <w:rPr>
                      <w:rFonts w:cs="EB Garamond"/>
                      <w:kern w:val="16"/>
                      <w:sz w:val="16"/>
                      <w14:ligatures w14:val="standardContextual"/>
                    </w:rPr>
                    <w:t xml:space="preserve"> (vedado pela EC 20/98)</w:t>
                  </w:r>
                </w:p>
              </w:tc>
            </w:tr>
            <w:tr w:rsidR="005A5FCC" w14:paraId="6DFDA57F"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7E466600" w14:textId="77777777" w:rsidR="005A5FCC" w:rsidRDefault="00A21C81">
                  <w:pPr>
                    <w:spacing w:before="20" w:after="20" w:line="240" w:lineRule="auto"/>
                    <w:jc w:val="left"/>
                  </w:pPr>
                  <w:r>
                    <w:rPr>
                      <w:rFonts w:cs="EB Garamond"/>
                      <w:kern w:val="16"/>
                      <w:sz w:val="16"/>
                      <w14:ligatures w14:val="standardContextual"/>
                    </w:rPr>
                    <w:t>Férias em dobro</w:t>
                  </w:r>
                </w:p>
              </w:tc>
              <w:tc>
                <w:tcPr>
                  <w:tcW w:w="2117" w:type="dxa"/>
                  <w:tcBorders>
                    <w:top w:val="single" w:sz="4" w:space="0" w:color="D2C9B8"/>
                    <w:left w:val="single" w:sz="4" w:space="0" w:color="D2C9B8"/>
                    <w:bottom w:val="single" w:sz="4" w:space="0" w:color="D2C9B8"/>
                    <w:right w:val="single" w:sz="4" w:space="0" w:color="D2C9B8"/>
                  </w:tcBorders>
                </w:tcPr>
                <w:p w14:paraId="6DC408BB" w14:textId="77777777" w:rsidR="005A5FCC" w:rsidRDefault="00A21C81">
                  <w:pPr>
                    <w:spacing w:before="20" w:after="20" w:line="240" w:lineRule="auto"/>
                    <w:jc w:val="left"/>
                  </w:pPr>
                  <w:r>
                    <w:rPr>
                      <w:rFonts w:cs="EB Garamond"/>
                      <w:kern w:val="16"/>
                      <w:sz w:val="16"/>
                      <w14:ligatures w14:val="standardContextual"/>
                    </w:rPr>
                    <w:t>Tempo fictício</w:t>
                  </w:r>
                </w:p>
              </w:tc>
              <w:tc>
                <w:tcPr>
                  <w:tcW w:w="2117" w:type="dxa"/>
                  <w:tcBorders>
                    <w:top w:val="single" w:sz="4" w:space="0" w:color="D2C9B8"/>
                    <w:left w:val="single" w:sz="4" w:space="0" w:color="D2C9B8"/>
                    <w:bottom w:val="single" w:sz="4" w:space="0" w:color="D2C9B8"/>
                    <w:right w:val="single" w:sz="4" w:space="0" w:color="D2C9B8"/>
                  </w:tcBorders>
                </w:tcPr>
                <w:p w14:paraId="148FDC28" w14:textId="77777777" w:rsidR="005A5FCC" w:rsidRDefault="00A21C81">
                  <w:pPr>
                    <w:spacing w:before="20" w:after="20" w:line="240" w:lineRule="auto"/>
                    <w:jc w:val="left"/>
                  </w:pPr>
                  <w:r>
                    <w:rPr>
                      <w:rFonts w:cs="EB Garamond"/>
                      <w:b/>
                      <w:kern w:val="16"/>
                      <w:sz w:val="16"/>
                      <w14:ligatures w14:val="standardContextual"/>
                    </w:rPr>
                    <w:t>Não</w:t>
                  </w:r>
                </w:p>
              </w:tc>
            </w:tr>
            <w:tr w:rsidR="005A5FCC" w14:paraId="5B961129"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36C2F777" w14:textId="77777777" w:rsidR="005A5FCC" w:rsidRDefault="00A21C81">
                  <w:pPr>
                    <w:spacing w:before="20" w:after="20" w:line="240" w:lineRule="auto"/>
                    <w:jc w:val="left"/>
                  </w:pPr>
                  <w:r>
                    <w:rPr>
                      <w:rFonts w:cs="EB Garamond"/>
                      <w:kern w:val="16"/>
                      <w:sz w:val="16"/>
                      <w14:ligatures w14:val="standardContextual"/>
                    </w:rPr>
                    <w:t>Arredondamento de TC</w:t>
                  </w:r>
                </w:p>
              </w:tc>
              <w:tc>
                <w:tcPr>
                  <w:tcW w:w="2117" w:type="dxa"/>
                  <w:tcBorders>
                    <w:top w:val="single" w:sz="4" w:space="0" w:color="D2C9B8"/>
                    <w:left w:val="single" w:sz="4" w:space="0" w:color="D2C9B8"/>
                    <w:bottom w:val="single" w:sz="4" w:space="0" w:color="D2C9B8"/>
                    <w:right w:val="single" w:sz="4" w:space="0" w:color="D2C9B8"/>
                  </w:tcBorders>
                </w:tcPr>
                <w:p w14:paraId="709C73A8" w14:textId="77777777" w:rsidR="005A5FCC" w:rsidRDefault="00A21C81">
                  <w:pPr>
                    <w:spacing w:before="20" w:after="20" w:line="240" w:lineRule="auto"/>
                    <w:jc w:val="left"/>
                  </w:pPr>
                  <w:r>
                    <w:rPr>
                      <w:rFonts w:cs="EB Garamond"/>
                      <w:kern w:val="16"/>
                      <w:sz w:val="16"/>
                      <w14:ligatures w14:val="standardContextual"/>
                    </w:rPr>
                    <w:t>Tempo fictício</w:t>
                  </w:r>
                </w:p>
              </w:tc>
              <w:tc>
                <w:tcPr>
                  <w:tcW w:w="2117" w:type="dxa"/>
                  <w:tcBorders>
                    <w:top w:val="single" w:sz="4" w:space="0" w:color="D2C9B8"/>
                    <w:left w:val="single" w:sz="4" w:space="0" w:color="D2C9B8"/>
                    <w:bottom w:val="single" w:sz="4" w:space="0" w:color="D2C9B8"/>
                    <w:right w:val="single" w:sz="4" w:space="0" w:color="D2C9B8"/>
                  </w:tcBorders>
                </w:tcPr>
                <w:p w14:paraId="3D0DF5A8" w14:textId="77777777" w:rsidR="005A5FCC" w:rsidRDefault="00A21C81">
                  <w:pPr>
                    <w:spacing w:before="20" w:after="20" w:line="240" w:lineRule="auto"/>
                    <w:jc w:val="left"/>
                  </w:pPr>
                  <w:r>
                    <w:rPr>
                      <w:rFonts w:cs="EB Garamond"/>
                      <w:b/>
                      <w:kern w:val="16"/>
                      <w:sz w:val="16"/>
                      <w14:ligatures w14:val="standardContextual"/>
                    </w:rPr>
                    <w:t>Não</w:t>
                  </w:r>
                </w:p>
              </w:tc>
            </w:tr>
            <w:tr w:rsidR="005A5FCC" w14:paraId="4C43C683"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271D37A6" w14:textId="77777777" w:rsidR="005A5FCC" w:rsidRDefault="00A21C81">
                  <w:pPr>
                    <w:spacing w:before="20" w:after="20" w:line="240" w:lineRule="auto"/>
                    <w:jc w:val="left"/>
                  </w:pPr>
                  <w:r>
                    <w:rPr>
                      <w:rFonts w:cs="EB Garamond"/>
                      <w:kern w:val="16"/>
                      <w:sz w:val="16"/>
                      <w14:ligatures w14:val="standardContextual"/>
                    </w:rPr>
                    <w:t>Serviço militar obrigatório</w:t>
                  </w:r>
                </w:p>
              </w:tc>
              <w:tc>
                <w:tcPr>
                  <w:tcW w:w="2117" w:type="dxa"/>
                  <w:tcBorders>
                    <w:top w:val="single" w:sz="4" w:space="0" w:color="D2C9B8"/>
                    <w:left w:val="single" w:sz="4" w:space="0" w:color="D2C9B8"/>
                    <w:bottom w:val="single" w:sz="4" w:space="0" w:color="D2C9B8"/>
                    <w:right w:val="single" w:sz="4" w:space="0" w:color="D2C9B8"/>
                  </w:tcBorders>
                </w:tcPr>
                <w:p w14:paraId="26ECA868" w14:textId="77777777" w:rsidR="005A5FCC" w:rsidRDefault="00A21C81">
                  <w:pPr>
                    <w:spacing w:before="20" w:after="20" w:line="240" w:lineRule="auto"/>
                    <w:jc w:val="left"/>
                  </w:pPr>
                  <w:r>
                    <w:rPr>
                      <w:rFonts w:cs="EB Garamond"/>
                      <w:kern w:val="16"/>
                      <w:sz w:val="16"/>
                      <w14:ligatures w14:val="standardContextual"/>
                    </w:rPr>
                    <w:t>Tempo de contribuição sem recolhimento (previsão legal expressa)</w:t>
                  </w:r>
                </w:p>
              </w:tc>
              <w:tc>
                <w:tcPr>
                  <w:tcW w:w="2117" w:type="dxa"/>
                  <w:tcBorders>
                    <w:top w:val="single" w:sz="4" w:space="0" w:color="D2C9B8"/>
                    <w:left w:val="single" w:sz="4" w:space="0" w:color="D2C9B8"/>
                    <w:bottom w:val="single" w:sz="4" w:space="0" w:color="D2C9B8"/>
                    <w:right w:val="single" w:sz="4" w:space="0" w:color="D2C9B8"/>
                  </w:tcBorders>
                </w:tcPr>
                <w:p w14:paraId="60057419" w14:textId="77777777" w:rsidR="005A5FCC" w:rsidRDefault="00A21C81">
                  <w:pPr>
                    <w:spacing w:before="20" w:after="20" w:line="240" w:lineRule="auto"/>
                    <w:jc w:val="left"/>
                  </w:pPr>
                  <w:r>
                    <w:rPr>
                      <w:rFonts w:cs="EB Garamond"/>
                      <w:b/>
                      <w:kern w:val="16"/>
                      <w:sz w:val="16"/>
                      <w14:ligatures w14:val="standardContextual"/>
                    </w:rPr>
                    <w:t>Sim</w:t>
                  </w:r>
                  <w:r>
                    <w:rPr>
                      <w:rFonts w:cs="EB Garamond"/>
                      <w:kern w:val="16"/>
                      <w:sz w:val="16"/>
                      <w14:ligatures w14:val="standardContextual"/>
                    </w:rPr>
                    <w:t xml:space="preserve"> (art. 55, I)</w:t>
                  </w:r>
                </w:p>
              </w:tc>
            </w:tr>
            <w:tr w:rsidR="005A5FCC" w14:paraId="28902E9A"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5F236ADA" w14:textId="77777777" w:rsidR="005A5FCC" w:rsidRDefault="00A21C81">
                  <w:pPr>
                    <w:spacing w:before="20" w:after="20" w:line="240" w:lineRule="auto"/>
                    <w:jc w:val="left"/>
                  </w:pPr>
                  <w:r>
                    <w:rPr>
                      <w:rFonts w:cs="EB Garamond"/>
                      <w:kern w:val="16"/>
                      <w:sz w:val="16"/>
                      <w14:ligatures w14:val="standardContextual"/>
                    </w:rPr>
                    <w:t>Benefício por incapacidade intercalado</w:t>
                  </w:r>
                </w:p>
              </w:tc>
              <w:tc>
                <w:tcPr>
                  <w:tcW w:w="2117" w:type="dxa"/>
                  <w:tcBorders>
                    <w:top w:val="single" w:sz="4" w:space="0" w:color="D2C9B8"/>
                    <w:left w:val="single" w:sz="4" w:space="0" w:color="D2C9B8"/>
                    <w:bottom w:val="single" w:sz="4" w:space="0" w:color="D2C9B8"/>
                    <w:right w:val="single" w:sz="4" w:space="0" w:color="D2C9B8"/>
                  </w:tcBorders>
                </w:tcPr>
                <w:p w14:paraId="6CC7102C" w14:textId="77777777" w:rsidR="005A5FCC" w:rsidRDefault="00A21C81">
                  <w:pPr>
                    <w:spacing w:before="20" w:after="20" w:line="240" w:lineRule="auto"/>
                    <w:jc w:val="left"/>
                  </w:pPr>
                  <w:r>
                    <w:rPr>
                      <w:rFonts w:cs="EB Garamond"/>
                      <w:kern w:val="16"/>
                      <w:sz w:val="16"/>
                      <w14:ligatures w14:val="standardContextual"/>
                    </w:rPr>
                    <w:t>Tempo de contribuição sem recolhimento (previsão legal expressa)</w:t>
                  </w:r>
                </w:p>
              </w:tc>
              <w:tc>
                <w:tcPr>
                  <w:tcW w:w="2117" w:type="dxa"/>
                  <w:tcBorders>
                    <w:top w:val="single" w:sz="4" w:space="0" w:color="D2C9B8"/>
                    <w:left w:val="single" w:sz="4" w:space="0" w:color="D2C9B8"/>
                    <w:bottom w:val="single" w:sz="4" w:space="0" w:color="D2C9B8"/>
                    <w:right w:val="single" w:sz="4" w:space="0" w:color="D2C9B8"/>
                  </w:tcBorders>
                </w:tcPr>
                <w:p w14:paraId="2BC4662A" w14:textId="77777777" w:rsidR="005A5FCC" w:rsidRDefault="00A21C81">
                  <w:pPr>
                    <w:spacing w:before="20" w:after="20" w:line="240" w:lineRule="auto"/>
                    <w:jc w:val="left"/>
                  </w:pPr>
                  <w:r>
                    <w:rPr>
                      <w:rFonts w:cs="EB Garamond"/>
                      <w:b/>
                      <w:kern w:val="16"/>
                      <w:sz w:val="16"/>
                      <w14:ligatures w14:val="standardContextual"/>
                    </w:rPr>
                    <w:t>Sim</w:t>
                  </w:r>
                  <w:r>
                    <w:rPr>
                      <w:rFonts w:cs="EB Garamond"/>
                      <w:kern w:val="16"/>
                      <w:sz w:val="16"/>
                      <w14:ligatures w14:val="standardContextual"/>
                    </w:rPr>
                    <w:t xml:space="preserve"> (art. 55, II)</w:t>
                  </w:r>
                </w:p>
              </w:tc>
            </w:tr>
            <w:tr w:rsidR="005A5FCC" w14:paraId="7C8A9AF7"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3E589F84" w14:textId="77777777" w:rsidR="005A5FCC" w:rsidRDefault="00A21C81">
                  <w:pPr>
                    <w:spacing w:before="20" w:after="20" w:line="240" w:lineRule="auto"/>
                    <w:jc w:val="left"/>
                  </w:pPr>
                  <w:r>
                    <w:rPr>
                      <w:rFonts w:cs="EB Garamond"/>
                      <w:kern w:val="16"/>
                      <w:sz w:val="16"/>
                      <w14:ligatures w14:val="standardContextual"/>
                    </w:rPr>
                    <w:t>Trabalho rural pré-11/1991</w:t>
                  </w:r>
                </w:p>
              </w:tc>
              <w:tc>
                <w:tcPr>
                  <w:tcW w:w="2117" w:type="dxa"/>
                  <w:tcBorders>
                    <w:top w:val="single" w:sz="4" w:space="0" w:color="D2C9B8"/>
                    <w:left w:val="single" w:sz="4" w:space="0" w:color="D2C9B8"/>
                    <w:bottom w:val="single" w:sz="4" w:space="0" w:color="D2C9B8"/>
                    <w:right w:val="single" w:sz="4" w:space="0" w:color="D2C9B8"/>
                  </w:tcBorders>
                </w:tcPr>
                <w:p w14:paraId="68EC4F10" w14:textId="77777777" w:rsidR="005A5FCC" w:rsidRDefault="00A21C81">
                  <w:pPr>
                    <w:spacing w:before="20" w:after="20" w:line="240" w:lineRule="auto"/>
                    <w:jc w:val="left"/>
                  </w:pPr>
                  <w:r>
                    <w:rPr>
                      <w:rFonts w:cs="EB Garamond"/>
                      <w:kern w:val="16"/>
                      <w:sz w:val="16"/>
                      <w14:ligatures w14:val="standardContextual"/>
                    </w:rPr>
                    <w:t>Tempo de contribuição sem recolhimento (previsão legal expressa)</w:t>
                  </w:r>
                </w:p>
              </w:tc>
              <w:tc>
                <w:tcPr>
                  <w:tcW w:w="2117" w:type="dxa"/>
                  <w:tcBorders>
                    <w:top w:val="single" w:sz="4" w:space="0" w:color="D2C9B8"/>
                    <w:left w:val="single" w:sz="4" w:space="0" w:color="D2C9B8"/>
                    <w:bottom w:val="single" w:sz="4" w:space="0" w:color="D2C9B8"/>
                    <w:right w:val="single" w:sz="4" w:space="0" w:color="D2C9B8"/>
                  </w:tcBorders>
                </w:tcPr>
                <w:p w14:paraId="4CA1F6EC" w14:textId="77777777" w:rsidR="005A5FCC" w:rsidRDefault="00A21C81">
                  <w:pPr>
                    <w:spacing w:before="20" w:after="20" w:line="240" w:lineRule="auto"/>
                    <w:jc w:val="left"/>
                  </w:pPr>
                  <w:r>
                    <w:rPr>
                      <w:rFonts w:cs="EB Garamond"/>
                      <w:b/>
                      <w:kern w:val="16"/>
                      <w:sz w:val="16"/>
                      <w14:ligatures w14:val="standardContextual"/>
                    </w:rPr>
                    <w:t>Sim</w:t>
                  </w:r>
                  <w:r>
                    <w:rPr>
                      <w:rFonts w:cs="EB Garamond"/>
                      <w:kern w:val="16"/>
                      <w:sz w:val="16"/>
                      <w14:ligatures w14:val="standardContextual"/>
                    </w:rPr>
                    <w:t xml:space="preserve"> (art. 55, § 2º)</w:t>
                  </w:r>
                </w:p>
              </w:tc>
            </w:tr>
            <w:tr w:rsidR="005A5FCC" w14:paraId="0D52D6EF"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6C67F0C3" w14:textId="77777777" w:rsidR="005A5FCC" w:rsidRDefault="00A21C81">
                  <w:pPr>
                    <w:spacing w:before="20" w:after="20" w:line="240" w:lineRule="auto"/>
                    <w:jc w:val="left"/>
                  </w:pPr>
                  <w:r>
                    <w:rPr>
                      <w:rFonts w:cs="EB Garamond"/>
                      <w:kern w:val="16"/>
                      <w:sz w:val="16"/>
                      <w14:ligatures w14:val="standardContextual"/>
                    </w:rPr>
                    <w:t>Tempo de aluno-aprendiz (Tema 216/TNU)</w:t>
                  </w:r>
                </w:p>
              </w:tc>
              <w:tc>
                <w:tcPr>
                  <w:tcW w:w="2117" w:type="dxa"/>
                  <w:tcBorders>
                    <w:top w:val="single" w:sz="4" w:space="0" w:color="D2C9B8"/>
                    <w:left w:val="single" w:sz="4" w:space="0" w:color="D2C9B8"/>
                    <w:bottom w:val="single" w:sz="4" w:space="0" w:color="D2C9B8"/>
                    <w:right w:val="single" w:sz="4" w:space="0" w:color="D2C9B8"/>
                  </w:tcBorders>
                </w:tcPr>
                <w:p w14:paraId="6A8C4C91" w14:textId="77777777" w:rsidR="005A5FCC" w:rsidRDefault="00A21C81">
                  <w:pPr>
                    <w:spacing w:before="20" w:after="20" w:line="240" w:lineRule="auto"/>
                    <w:jc w:val="left"/>
                  </w:pPr>
                  <w:r>
                    <w:rPr>
                      <w:rFonts w:cs="EB Garamond"/>
                      <w:kern w:val="16"/>
                      <w:sz w:val="16"/>
                      <w14:ligatures w14:val="standardContextual"/>
                    </w:rPr>
                    <w:t>Tempo de contribuição (trabalho efetivo em escola técnica com remuneração)</w:t>
                  </w:r>
                </w:p>
              </w:tc>
              <w:tc>
                <w:tcPr>
                  <w:tcW w:w="2117" w:type="dxa"/>
                  <w:tcBorders>
                    <w:top w:val="single" w:sz="4" w:space="0" w:color="D2C9B8"/>
                    <w:left w:val="single" w:sz="4" w:space="0" w:color="D2C9B8"/>
                    <w:bottom w:val="single" w:sz="4" w:space="0" w:color="D2C9B8"/>
                    <w:right w:val="single" w:sz="4" w:space="0" w:color="D2C9B8"/>
                  </w:tcBorders>
                </w:tcPr>
                <w:p w14:paraId="23624DE4" w14:textId="77777777" w:rsidR="005A5FCC" w:rsidRDefault="00A21C81">
                  <w:pPr>
                    <w:spacing w:before="20" w:after="20" w:line="240" w:lineRule="auto"/>
                    <w:jc w:val="left"/>
                  </w:pPr>
                  <w:r>
                    <w:rPr>
                      <w:rFonts w:cs="EB Garamond"/>
                      <w:b/>
                      <w:kern w:val="16"/>
                      <w:sz w:val="16"/>
                      <w14:ligatures w14:val="standardContextual"/>
                    </w:rPr>
                    <w:t>Sim</w:t>
                  </w:r>
                  <w:r>
                    <w:rPr>
                      <w:rFonts w:cs="EB Garamond"/>
                      <w:kern w:val="16"/>
                      <w:sz w:val="16"/>
                      <w14:ligatures w14:val="standardContextual"/>
                    </w:rPr>
                    <w:t xml:space="preserve"> (se comprovado)</w:t>
                  </w:r>
                </w:p>
              </w:tc>
            </w:tr>
          </w:tbl>
          <w:p w14:paraId="3E0C3DA8" w14:textId="77777777" w:rsidR="005A5FCC" w:rsidRDefault="005A5FCC"/>
          <w:p w14:paraId="76A61DA9" w14:textId="77777777" w:rsidR="005A5FCC" w:rsidRDefault="005A5FCC">
            <w:pPr>
              <w:spacing w:after="0" w:line="240" w:lineRule="auto"/>
            </w:pPr>
          </w:p>
          <w:p w14:paraId="5DCCCF1C" w14:textId="77777777" w:rsidR="005A5FCC" w:rsidRDefault="00A21C81">
            <w:pPr>
              <w:spacing w:after="60" w:line="247" w:lineRule="auto"/>
            </w:pPr>
            <w:r>
              <w:rPr>
                <w:rFonts w:cs="EB Garamond"/>
                <w:kern w:val="16"/>
                <w:sz w:val="19"/>
                <w14:ligatures w14:val="standardContextual"/>
              </w:rPr>
              <w:t>A diferença conceitual é crucial: o tempo fictício é uma ficção jurídica que atribui efeitos a um período inexistente ou superior ao efetivamente exercido. O tempo de contribuição sem recolhimento é o reconhecimento legal de atividade efetivamente exercida em período anterior à obrigatoriedade contributiva ou em situação especial protegida pela lei.</w:t>
            </w:r>
          </w:p>
        </w:tc>
      </w:tr>
    </w:tbl>
    <w:p w14:paraId="4432218E" w14:textId="77777777" w:rsidR="005A5FCC" w:rsidRDefault="005A5FCC">
      <w:pPr>
        <w:spacing w:after="80" w:line="240" w:lineRule="auto"/>
      </w:pPr>
    </w:p>
    <w:p w14:paraId="523E17FB" w14:textId="77777777" w:rsidR="005A5FCC" w:rsidRDefault="00A21C81">
      <w:pPr>
        <w:spacing w:before="260" w:after="80" w:line="240" w:lineRule="auto"/>
        <w:jc w:val="left"/>
      </w:pPr>
      <w:r>
        <w:rPr>
          <w:rFonts w:cs="EB Garamond"/>
          <w:b/>
          <w:color w:val="3A3128"/>
          <w:kern w:val="16"/>
          <w:sz w:val="25"/>
          <w14:ligatures w14:val="standardContextual"/>
        </w:rPr>
        <w:t>11.12.4 Impacto nas regras de transição</w:t>
      </w:r>
    </w:p>
    <w:p w14:paraId="332AD865"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0DBC56DD" w14:textId="77777777" w:rsidR="005A5FCC" w:rsidRDefault="00A21C81">
      <w:r>
        <w:rPr>
          <w:rFonts w:cs="EB Garamond"/>
          <w:kern w:val="16"/>
          <w14:ligatures w14:val="standardContextual"/>
        </w:rPr>
        <w:t xml:space="preserve"> tempo de contribuição sem recolhimento, quando admitido, integra o TC total do segurado para todos os efeitos nas regras de transição:</w:t>
      </w:r>
    </w:p>
    <w:p w14:paraId="0D5D0A4B"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Art. 15 (pontos):</w:t>
      </w:r>
      <w:r>
        <w:rPr>
          <w:rFonts w:cs="EB Garamond"/>
          <w:kern w:val="16"/>
          <w:sz w:val="20"/>
          <w14:ligatures w14:val="standardContextual"/>
        </w:rPr>
        <w:t xml:space="preserve"> O tempo rural pré-1991, por exemplo, soma-se ao TC para atingir os 30/35 anos mínimos e para a pontuação (TC + idade).</w:t>
      </w:r>
    </w:p>
    <w:p w14:paraId="4560A6F4"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Art. 16 (idade progressiva):</w:t>
      </w:r>
      <w:r>
        <w:rPr>
          <w:rFonts w:cs="EB Garamond"/>
          <w:kern w:val="16"/>
          <w:sz w:val="20"/>
          <w14:ligatures w14:val="standardContextual"/>
        </w:rPr>
        <w:t xml:space="preserve"> O tempo rural integra o TC mínimo de 30/35 anos.</w:t>
      </w:r>
    </w:p>
    <w:p w14:paraId="27F1B1F6" w14:textId="77777777" w:rsidR="005A5FCC" w:rsidRDefault="00A21C81">
      <w:pPr>
        <w:spacing w:after="40" w:line="252" w:lineRule="auto"/>
        <w:ind w:left="340" w:hanging="198"/>
      </w:pPr>
      <w:r>
        <w:rPr>
          <w:rFonts w:cs="EB Garamond"/>
          <w:color w:val="3A3128"/>
          <w:kern w:val="16"/>
          <w:sz w:val="20"/>
          <w14:ligatures w14:val="standardContextual"/>
        </w:rPr>
        <w:lastRenderedPageBreak/>
        <w:t xml:space="preserve">• </w:t>
      </w:r>
      <w:r>
        <w:rPr>
          <w:rFonts w:cs="EB Garamond"/>
          <w:b/>
          <w:kern w:val="16"/>
          <w:sz w:val="20"/>
          <w14:ligatures w14:val="standardContextual"/>
        </w:rPr>
        <w:t>Art. 20 (pedágio 100%):</w:t>
      </w:r>
      <w:r>
        <w:rPr>
          <w:rFonts w:cs="EB Garamond"/>
          <w:kern w:val="16"/>
          <w:sz w:val="20"/>
          <w14:ligatures w14:val="standardContextual"/>
        </w:rPr>
        <w:t xml:space="preserve"> O tempo rural integra o TC de 30/35 anos e é considerado para o cálculo do pedágio (quanto mais TC o segurado tinha em 13/11/2019, menor o pedágio).</w:t>
      </w:r>
    </w:p>
    <w:p w14:paraId="7E45039A" w14:textId="77777777" w:rsidR="005A5FCC" w:rsidRDefault="005A5FCC">
      <w:pPr>
        <w:spacing w:after="60" w:line="240" w:lineRule="auto"/>
      </w:pPr>
    </w:p>
    <w:p w14:paraId="38A837F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P</w:t>
      </w:r>
    </w:p>
    <w:p w14:paraId="2877AC83" w14:textId="77777777" w:rsidR="005A5FCC" w:rsidRDefault="00A21C81">
      <w:r>
        <w:rPr>
          <w:rFonts w:cs="EB Garamond"/>
          <w:kern w:val="16"/>
          <w14:ligatures w14:val="standardContextual"/>
        </w:rPr>
        <w:t xml:space="preserve">orém, há uma distinção crucial quanto à </w:t>
      </w:r>
      <w:r>
        <w:rPr>
          <w:rFonts w:cs="EB Garamond"/>
          <w:b/>
          <w:kern w:val="16"/>
          <w14:ligatures w14:val="standardContextual"/>
        </w:rPr>
        <w:t>carência</w:t>
      </w:r>
      <w:r>
        <w:rPr>
          <w:rFonts w:cs="EB Garamond"/>
          <w:kern w:val="16"/>
          <w14:ligatures w14:val="standardContextual"/>
        </w:rPr>
        <w:t>: o tempo rural pré-1991, embora compute como TC, somente conta como carência se houver contribuição efetiva (art. 55, § 2º, Lei 8.213/91). Nas regras de transição que exigem carência de 180 meses (arts. 15 e 16), o segurado deve observar se possui carência suficiente mesmo após a averbação do tempo rural.</w:t>
      </w:r>
    </w:p>
    <w:p w14:paraId="1221F6C2"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11.13 Conversão de tempo especial e impacto na aposentadoria por TC</w:t>
      </w:r>
    </w:p>
    <w:p w14:paraId="3C0429CC" w14:textId="77777777" w:rsidR="005A5FCC" w:rsidRDefault="00A21C81">
      <w:pPr>
        <w:spacing w:before="260" w:after="80" w:line="240" w:lineRule="auto"/>
        <w:jc w:val="left"/>
      </w:pPr>
      <w:r>
        <w:rPr>
          <w:rFonts w:cs="EB Garamond"/>
          <w:b/>
          <w:color w:val="3A3128"/>
          <w:kern w:val="16"/>
          <w:sz w:val="25"/>
          <w14:ligatures w14:val="standardContextual"/>
        </w:rPr>
        <w:t>11.13.1 Remissão ao cap. 8 e delimitação</w:t>
      </w:r>
    </w:p>
    <w:p w14:paraId="06C44F3B"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34202EED" w14:textId="77777777" w:rsidR="005A5FCC" w:rsidRDefault="00A21C81">
      <w:r>
        <w:rPr>
          <w:rFonts w:cs="EB Garamond"/>
          <w:kern w:val="16"/>
          <w14:ligatures w14:val="standardContextual"/>
        </w:rPr>
        <w:t xml:space="preserve"> Capítulo 8 deste livro tratou em profundidade da aposentadoria especial e da conversão de tempo especial em comum, incluindo os fatores de conversão, o enquadramento por agente nocivo, a vedação da conversão para períodos posteriores a 13/11/2019 (art. 25, § 2º, EC 103/2019) e a ADI 6.309, julgada pelo STF em 03/06/2026, no que a vedação à conversão foi mantida (afastada, no mesmo julgado, a idade mínima da aposentadoria especial). Remete-se o leitor à seção 8.9 para os fundamentos gerais.</w:t>
      </w:r>
    </w:p>
    <w:p w14:paraId="51B4FF2E" w14:textId="77777777" w:rsidR="005A5FCC" w:rsidRDefault="00A21C81">
      <w:pPr>
        <w:ind w:firstLine="238"/>
      </w:pPr>
      <w:r>
        <w:rPr>
          <w:rFonts w:cs="EB Garamond"/>
          <w:kern w:val="16"/>
          <w14:ligatures w14:val="standardContextual"/>
        </w:rPr>
        <w:t>Aqui interessa o impacto da conversão como estratégia para atingir os requisitos das regras de transição por TC.</w:t>
      </w:r>
    </w:p>
    <w:p w14:paraId="27AE73AF" w14:textId="77777777" w:rsidR="005A5FCC" w:rsidRDefault="00A21C81">
      <w:pPr>
        <w:spacing w:before="260" w:after="80" w:line="240" w:lineRule="auto"/>
        <w:jc w:val="left"/>
      </w:pPr>
      <w:r>
        <w:rPr>
          <w:rFonts w:cs="EB Garamond"/>
          <w:b/>
          <w:color w:val="3A3128"/>
          <w:kern w:val="16"/>
          <w:sz w:val="25"/>
          <w14:ligatures w14:val="standardContextual"/>
        </w:rPr>
        <w:t>11.13.2 Fatores de conversão e acréscimo de TC</w:t>
      </w:r>
    </w:p>
    <w:p w14:paraId="6A98D098"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03875720" w14:textId="77777777" w:rsidR="005A5FCC" w:rsidRDefault="00A21C81">
      <w:r>
        <w:rPr>
          <w:rFonts w:cs="EB Garamond"/>
          <w:kern w:val="16"/>
          <w14:ligatures w14:val="standardContextual"/>
        </w:rPr>
        <w:t xml:space="preserve"> conversão de tempo especial em comum utiliza os fatores multiplicadores previstos no art. 70 do Decreto 3.048/99 (conforme pacificado pelo STJ no Tema 422 — REsp 1.151.363/MG —, que firmou a permanência da possibilidade de conversão de tempo especial em comum após 1998, com base no art. 57, § 5º, da Lei 8.213/91):</w:t>
      </w:r>
    </w:p>
    <w:tbl>
      <w:tblPr>
        <w:tblW w:w="5000" w:type="pct"/>
        <w:jc w:val="center"/>
        <w:tblLook w:val="04A0" w:firstRow="1" w:lastRow="0" w:firstColumn="1" w:lastColumn="0" w:noHBand="0" w:noVBand="1"/>
      </w:tblPr>
      <w:tblGrid>
        <w:gridCol w:w="2114"/>
        <w:gridCol w:w="2113"/>
        <w:gridCol w:w="2113"/>
      </w:tblGrid>
      <w:tr w:rsidR="005A5FCC" w14:paraId="1EFEA444" w14:textId="77777777">
        <w:trPr>
          <w:tblHeader/>
          <w:jc w:val="center"/>
        </w:trPr>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7A261C6C" w14:textId="77777777" w:rsidR="005A5FCC" w:rsidRDefault="00A21C81">
            <w:pPr>
              <w:spacing w:before="40" w:after="40" w:line="240" w:lineRule="auto"/>
              <w:jc w:val="center"/>
            </w:pPr>
            <w:r>
              <w:rPr>
                <w:rFonts w:cs="EB Garamond"/>
                <w:b/>
                <w:color w:val="2F2923"/>
                <w:kern w:val="16"/>
                <w:sz w:val="18"/>
                <w14:ligatures w14:val="standardContextual"/>
              </w:rPr>
              <w:lastRenderedPageBreak/>
              <w:t>Tempo especial (anos)</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231D451C" w14:textId="77777777" w:rsidR="005A5FCC" w:rsidRDefault="00A21C81">
            <w:pPr>
              <w:spacing w:before="40" w:after="40" w:line="240" w:lineRule="auto"/>
              <w:jc w:val="center"/>
            </w:pPr>
            <w:r>
              <w:rPr>
                <w:rFonts w:cs="EB Garamond"/>
                <w:b/>
                <w:color w:val="2F2923"/>
                <w:kern w:val="16"/>
                <w:sz w:val="18"/>
                <w14:ligatures w14:val="standardContextual"/>
              </w:rPr>
              <w:t>Fator (homem)</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34F10FF9" w14:textId="77777777" w:rsidR="005A5FCC" w:rsidRDefault="00A21C81">
            <w:pPr>
              <w:spacing w:before="40" w:after="40" w:line="240" w:lineRule="auto"/>
              <w:jc w:val="center"/>
            </w:pPr>
            <w:r>
              <w:rPr>
                <w:rFonts w:cs="EB Garamond"/>
                <w:b/>
                <w:color w:val="2F2923"/>
                <w:kern w:val="16"/>
                <w:sz w:val="18"/>
                <w14:ligatures w14:val="standardContextual"/>
              </w:rPr>
              <w:t>Fator (mulher)</w:t>
            </w:r>
          </w:p>
        </w:tc>
      </w:tr>
      <w:tr w:rsidR="005A5FCC" w14:paraId="376A8B10"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29F09241" w14:textId="77777777" w:rsidR="005A5FCC" w:rsidRDefault="00A21C81">
            <w:pPr>
              <w:spacing w:before="20" w:after="20" w:line="240" w:lineRule="auto"/>
              <w:jc w:val="left"/>
            </w:pPr>
            <w:r>
              <w:rPr>
                <w:rFonts w:cs="EB Garamond"/>
                <w:kern w:val="16"/>
                <w:sz w:val="18"/>
                <w14:ligatures w14:val="standardContextual"/>
              </w:rPr>
              <w:t>15 anos</w:t>
            </w:r>
          </w:p>
        </w:tc>
        <w:tc>
          <w:tcPr>
            <w:tcW w:w="2117" w:type="dxa"/>
            <w:tcBorders>
              <w:top w:val="single" w:sz="4" w:space="0" w:color="D2C9B8"/>
              <w:left w:val="single" w:sz="4" w:space="0" w:color="D2C9B8"/>
              <w:bottom w:val="single" w:sz="4" w:space="0" w:color="D2C9B8"/>
              <w:right w:val="single" w:sz="4" w:space="0" w:color="D2C9B8"/>
            </w:tcBorders>
          </w:tcPr>
          <w:p w14:paraId="0D27A161" w14:textId="77777777" w:rsidR="005A5FCC" w:rsidRDefault="00A21C81">
            <w:pPr>
              <w:spacing w:before="20" w:after="20" w:line="240" w:lineRule="auto"/>
              <w:jc w:val="left"/>
            </w:pPr>
            <w:r>
              <w:rPr>
                <w:rFonts w:cs="EB Garamond"/>
                <w:kern w:val="16"/>
                <w:sz w:val="18"/>
                <w14:ligatures w14:val="standardContextual"/>
              </w:rPr>
              <w:t>2,33</w:t>
            </w:r>
          </w:p>
        </w:tc>
        <w:tc>
          <w:tcPr>
            <w:tcW w:w="2117" w:type="dxa"/>
            <w:tcBorders>
              <w:top w:val="single" w:sz="4" w:space="0" w:color="D2C9B8"/>
              <w:left w:val="single" w:sz="4" w:space="0" w:color="D2C9B8"/>
              <w:bottom w:val="single" w:sz="4" w:space="0" w:color="D2C9B8"/>
              <w:right w:val="single" w:sz="4" w:space="0" w:color="D2C9B8"/>
            </w:tcBorders>
          </w:tcPr>
          <w:p w14:paraId="4466D0F1" w14:textId="77777777" w:rsidR="005A5FCC" w:rsidRDefault="00A21C81">
            <w:pPr>
              <w:spacing w:before="20" w:after="20" w:line="240" w:lineRule="auto"/>
              <w:jc w:val="left"/>
            </w:pPr>
            <w:r>
              <w:rPr>
                <w:rFonts w:cs="EB Garamond"/>
                <w:kern w:val="16"/>
                <w:sz w:val="18"/>
                <w14:ligatures w14:val="standardContextual"/>
              </w:rPr>
              <w:t>2,00</w:t>
            </w:r>
          </w:p>
        </w:tc>
      </w:tr>
      <w:tr w:rsidR="005A5FCC" w14:paraId="7E0F4C6A"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0D65B2AB" w14:textId="77777777" w:rsidR="005A5FCC" w:rsidRDefault="00A21C81">
            <w:pPr>
              <w:spacing w:before="20" w:after="20" w:line="240" w:lineRule="auto"/>
              <w:jc w:val="left"/>
            </w:pPr>
            <w:r>
              <w:rPr>
                <w:rFonts w:cs="EB Garamond"/>
                <w:kern w:val="16"/>
                <w:sz w:val="18"/>
                <w14:ligatures w14:val="standardContextual"/>
              </w:rPr>
              <w:t>20 anos</w:t>
            </w:r>
          </w:p>
        </w:tc>
        <w:tc>
          <w:tcPr>
            <w:tcW w:w="2117" w:type="dxa"/>
            <w:tcBorders>
              <w:top w:val="single" w:sz="4" w:space="0" w:color="D2C9B8"/>
              <w:left w:val="single" w:sz="4" w:space="0" w:color="D2C9B8"/>
              <w:bottom w:val="single" w:sz="4" w:space="0" w:color="D2C9B8"/>
              <w:right w:val="single" w:sz="4" w:space="0" w:color="D2C9B8"/>
            </w:tcBorders>
          </w:tcPr>
          <w:p w14:paraId="1183F309" w14:textId="77777777" w:rsidR="005A5FCC" w:rsidRDefault="00A21C81">
            <w:pPr>
              <w:spacing w:before="20" w:after="20" w:line="240" w:lineRule="auto"/>
              <w:jc w:val="left"/>
            </w:pPr>
            <w:r>
              <w:rPr>
                <w:rFonts w:cs="EB Garamond"/>
                <w:kern w:val="16"/>
                <w:sz w:val="18"/>
                <w14:ligatures w14:val="standardContextual"/>
              </w:rPr>
              <w:t>1,75</w:t>
            </w:r>
          </w:p>
        </w:tc>
        <w:tc>
          <w:tcPr>
            <w:tcW w:w="2117" w:type="dxa"/>
            <w:tcBorders>
              <w:top w:val="single" w:sz="4" w:space="0" w:color="D2C9B8"/>
              <w:left w:val="single" w:sz="4" w:space="0" w:color="D2C9B8"/>
              <w:bottom w:val="single" w:sz="4" w:space="0" w:color="D2C9B8"/>
              <w:right w:val="single" w:sz="4" w:space="0" w:color="D2C9B8"/>
            </w:tcBorders>
          </w:tcPr>
          <w:p w14:paraId="0E0F5A7E" w14:textId="77777777" w:rsidR="005A5FCC" w:rsidRDefault="00A21C81">
            <w:pPr>
              <w:spacing w:before="20" w:after="20" w:line="240" w:lineRule="auto"/>
              <w:jc w:val="left"/>
            </w:pPr>
            <w:r>
              <w:rPr>
                <w:rFonts w:cs="EB Garamond"/>
                <w:kern w:val="16"/>
                <w:sz w:val="18"/>
                <w14:ligatures w14:val="standardContextual"/>
              </w:rPr>
              <w:t>1,50</w:t>
            </w:r>
          </w:p>
        </w:tc>
      </w:tr>
      <w:tr w:rsidR="005A5FCC" w14:paraId="7018B04C"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2BF38B00" w14:textId="77777777" w:rsidR="005A5FCC" w:rsidRDefault="00A21C81">
            <w:pPr>
              <w:spacing w:before="20" w:after="20" w:line="240" w:lineRule="auto"/>
              <w:jc w:val="left"/>
            </w:pPr>
            <w:r>
              <w:rPr>
                <w:rFonts w:cs="EB Garamond"/>
                <w:kern w:val="16"/>
                <w:sz w:val="18"/>
                <w14:ligatures w14:val="standardContextual"/>
              </w:rPr>
              <w:t>25 anos</w:t>
            </w:r>
          </w:p>
        </w:tc>
        <w:tc>
          <w:tcPr>
            <w:tcW w:w="2117" w:type="dxa"/>
            <w:tcBorders>
              <w:top w:val="single" w:sz="4" w:space="0" w:color="D2C9B8"/>
              <w:left w:val="single" w:sz="4" w:space="0" w:color="D2C9B8"/>
              <w:bottom w:val="single" w:sz="4" w:space="0" w:color="D2C9B8"/>
              <w:right w:val="single" w:sz="4" w:space="0" w:color="D2C9B8"/>
            </w:tcBorders>
          </w:tcPr>
          <w:p w14:paraId="392848A8" w14:textId="77777777" w:rsidR="005A5FCC" w:rsidRDefault="00A21C81">
            <w:pPr>
              <w:spacing w:before="20" w:after="20" w:line="240" w:lineRule="auto"/>
              <w:jc w:val="left"/>
            </w:pPr>
            <w:r>
              <w:rPr>
                <w:rFonts w:cs="EB Garamond"/>
                <w:b/>
                <w:kern w:val="16"/>
                <w:sz w:val="18"/>
                <w14:ligatures w14:val="standardContextual"/>
              </w:rPr>
              <w:t>1,40</w:t>
            </w:r>
          </w:p>
        </w:tc>
        <w:tc>
          <w:tcPr>
            <w:tcW w:w="2117" w:type="dxa"/>
            <w:tcBorders>
              <w:top w:val="single" w:sz="4" w:space="0" w:color="D2C9B8"/>
              <w:left w:val="single" w:sz="4" w:space="0" w:color="D2C9B8"/>
              <w:bottom w:val="single" w:sz="4" w:space="0" w:color="D2C9B8"/>
              <w:right w:val="single" w:sz="4" w:space="0" w:color="D2C9B8"/>
            </w:tcBorders>
          </w:tcPr>
          <w:p w14:paraId="59781DB6" w14:textId="77777777" w:rsidR="005A5FCC" w:rsidRDefault="00A21C81">
            <w:pPr>
              <w:spacing w:before="20" w:after="20" w:line="240" w:lineRule="auto"/>
              <w:jc w:val="left"/>
            </w:pPr>
            <w:r>
              <w:rPr>
                <w:rFonts w:cs="EB Garamond"/>
                <w:b/>
                <w:kern w:val="16"/>
                <w:sz w:val="18"/>
                <w14:ligatures w14:val="standardContextual"/>
              </w:rPr>
              <w:t>1,20</w:t>
            </w:r>
          </w:p>
        </w:tc>
      </w:tr>
    </w:tbl>
    <w:p w14:paraId="7E304400" w14:textId="77777777" w:rsidR="005A5FCC" w:rsidRDefault="005A5FCC">
      <w:pPr>
        <w:spacing w:after="80" w:line="240" w:lineRule="auto"/>
      </w:pPr>
    </w:p>
    <w:p w14:paraId="1CAD9F8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4BCDA455" w14:textId="395381D0" w:rsidR="005A5FCC" w:rsidRDefault="00A21C81">
      <w:r>
        <w:rPr>
          <w:rFonts w:cs="EB Garamond"/>
          <w:kern w:val="16"/>
          <w14:ligatures w14:val="standardContextual"/>
        </w:rPr>
        <w:t xml:space="preserve"> fator de 1,40 (homem, atividade especial de 25 anos) é o mais utilizado na prática, pois a grande maioria das atividades especiais tem enquadramento no limite de 25 anos (exposição a ruído, agentes químicos, agentes biológicos em </w:t>
      </w:r>
      <w:r w:rsidR="00F077B9">
        <w:rPr>
          <w:rFonts w:cs="EB Garamond"/>
          <w:kern w:val="16"/>
          <w14:ligatures w14:val="standardContextual"/>
        </w:rPr>
        <w:t>saúde etc.</w:t>
      </w:r>
      <w:r>
        <w:rPr>
          <w:rFonts w:cs="EB Garamond"/>
          <w:kern w:val="16"/>
          <w14:ligatures w14:val="standardContextual"/>
        </w:rPr>
        <w:t>).</w:t>
      </w:r>
    </w:p>
    <w:p w14:paraId="2B2623C0" w14:textId="77777777" w:rsidR="005A5FCC" w:rsidRDefault="00A21C81">
      <w:pPr>
        <w:spacing w:before="260" w:after="80" w:line="240" w:lineRule="auto"/>
        <w:jc w:val="left"/>
      </w:pPr>
      <w:r>
        <w:rPr>
          <w:rFonts w:cs="EB Garamond"/>
          <w:b/>
          <w:color w:val="3A3128"/>
          <w:kern w:val="16"/>
          <w:sz w:val="25"/>
          <w14:ligatures w14:val="standardContextual"/>
        </w:rPr>
        <w:t>11.13.3 Impacto prático na aposentadoria por TC</w:t>
      </w:r>
    </w:p>
    <w:p w14:paraId="7136528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4C097783" w14:textId="77777777" w:rsidR="005A5FCC" w:rsidRDefault="00A21C81">
      <w:r>
        <w:rPr>
          <w:rFonts w:cs="EB Garamond"/>
          <w:kern w:val="16"/>
          <w14:ligatures w14:val="standardContextual"/>
        </w:rPr>
        <w:t xml:space="preserve"> conversão pode ser decisiva para atingir os 35 anos de TC (homem) ou 30 anos (mulher) exigidos pelas regras de transição.</w:t>
      </w:r>
    </w:p>
    <w:p w14:paraId="223AAE57" w14:textId="77777777" w:rsidR="005A5FCC" w:rsidRDefault="00A21C81">
      <w:pPr>
        <w:ind w:firstLine="238"/>
      </w:pPr>
      <w:r>
        <w:rPr>
          <w:rFonts w:cs="EB Garamond"/>
          <w:b/>
          <w:kern w:val="16"/>
          <w14:ligatures w14:val="standardContextual"/>
        </w:rPr>
        <w:t>Exemplo detalhado:</w:t>
      </w:r>
    </w:p>
    <w:p w14:paraId="403EF99A" w14:textId="77777777" w:rsidR="005A5FCC" w:rsidRDefault="00A21C81">
      <w:pPr>
        <w:ind w:firstLine="238"/>
      </w:pPr>
      <w:r>
        <w:rPr>
          <w:rFonts w:cs="EB Garamond"/>
          <w:b/>
          <w:kern w:val="16"/>
          <w14:ligatures w14:val="standardContextual"/>
        </w:rPr>
        <w:t>Paulo</w:t>
      </w:r>
      <w:r>
        <w:rPr>
          <w:rFonts w:cs="EB Garamond"/>
          <w:kern w:val="16"/>
          <w14:ligatures w14:val="standardContextual"/>
        </w:rPr>
        <w:t>, homem, 60 anos em 2026. Trabalhou:</w:t>
      </w:r>
    </w:p>
    <w:p w14:paraId="4AFA530D"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15 anos em atividade especial (exposição a ruído &gt; 85 dB) — 1995 a 2010</w:t>
      </w:r>
    </w:p>
    <w:p w14:paraId="0050E5DB"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18 anos em atividade comum — 2010 a 2028</w:t>
      </w:r>
    </w:p>
    <w:p w14:paraId="3A8EA4A7" w14:textId="77777777" w:rsidR="005A5FCC" w:rsidRDefault="005A5FCC">
      <w:pPr>
        <w:spacing w:after="60" w:line="240" w:lineRule="auto"/>
      </w:pPr>
    </w:p>
    <w:p w14:paraId="0D4F66F3"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S</w:t>
      </w:r>
    </w:p>
    <w:p w14:paraId="3A2D36B1" w14:textId="77777777" w:rsidR="005A5FCC" w:rsidRDefault="00A21C81">
      <w:r>
        <w:rPr>
          <w:rFonts w:cs="EB Garamond"/>
          <w:b/>
          <w:kern w:val="16"/>
          <w14:ligatures w14:val="standardContextual"/>
        </w:rPr>
        <w:t>em conversão:</w:t>
      </w:r>
    </w:p>
    <w:p w14:paraId="739809E7"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TC total: 15 + 18 = 33 anos</w:t>
      </w:r>
    </w:p>
    <w:p w14:paraId="2AC0C873"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Resultado: NÃO atinge 35 anos → não se habilita a nenhuma regra de transição por TC</w:t>
      </w:r>
    </w:p>
    <w:p w14:paraId="40D69C0C" w14:textId="77777777" w:rsidR="005A5FCC" w:rsidRDefault="005A5FCC">
      <w:pPr>
        <w:spacing w:after="60" w:line="240" w:lineRule="auto"/>
      </w:pPr>
    </w:p>
    <w:p w14:paraId="042D6203"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C</w:t>
      </w:r>
    </w:p>
    <w:p w14:paraId="5C15C4E9" w14:textId="77777777" w:rsidR="005A5FCC" w:rsidRDefault="00A21C81">
      <w:r>
        <w:rPr>
          <w:rFonts w:cs="EB Garamond"/>
          <w:b/>
          <w:kern w:val="16"/>
          <w14:ligatures w14:val="standardContextual"/>
        </w:rPr>
        <w:t>om conversão (fator 1,40 para os 15 anos especiais):</w:t>
      </w:r>
    </w:p>
    <w:p w14:paraId="4A3004D9"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TC convertido: 15 × 1,40 = 21 anos</w:t>
      </w:r>
    </w:p>
    <w:p w14:paraId="2F36C962"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 xml:space="preserve">TC total: 21 + 18 = </w:t>
      </w:r>
      <w:r>
        <w:rPr>
          <w:rFonts w:cs="EB Garamond"/>
          <w:b/>
          <w:kern w:val="16"/>
          <w:sz w:val="20"/>
          <w14:ligatures w14:val="standardContextual"/>
        </w:rPr>
        <w:t>39 anos</w:t>
      </w:r>
    </w:p>
    <w:p w14:paraId="63D87231"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Resultado: ATINGE 35 anos → habilita-se ao art. 15, art. 16 e art. 20</w:t>
      </w:r>
    </w:p>
    <w:p w14:paraId="01A1A77C" w14:textId="77777777" w:rsidR="005A5FCC" w:rsidRDefault="005A5FCC">
      <w:pPr>
        <w:spacing w:after="60" w:line="240" w:lineRule="auto"/>
      </w:pPr>
    </w:p>
    <w:p w14:paraId="31A2DFD1"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V</w:t>
      </w:r>
    </w:p>
    <w:p w14:paraId="50712F5D" w14:textId="77777777" w:rsidR="005A5FCC" w:rsidRDefault="00A21C81">
      <w:r>
        <w:rPr>
          <w:rFonts w:cs="EB Garamond"/>
          <w:b/>
          <w:kern w:val="16"/>
          <w14:ligatures w14:val="standardContextual"/>
        </w:rPr>
        <w:t>erificação das regras (com 39 anos TC e 60 anos de idade):</w:t>
      </w:r>
    </w:p>
    <w:p w14:paraId="2132F158"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Art. 15 (pontos): 60 + 39 = 99 &lt; 103 em 2026 → NÃO atinge em 2026 (atinge em 2028 com 101)</w:t>
      </w:r>
    </w:p>
    <w:p w14:paraId="3A618400" w14:textId="77777777" w:rsidR="005A5FCC" w:rsidRDefault="00A21C81">
      <w:pPr>
        <w:spacing w:after="40" w:line="252" w:lineRule="auto"/>
        <w:ind w:left="340" w:hanging="198"/>
      </w:pPr>
      <w:r>
        <w:rPr>
          <w:rFonts w:cs="EB Garamond"/>
          <w:color w:val="3A3128"/>
          <w:kern w:val="16"/>
          <w:sz w:val="20"/>
          <w14:ligatures w14:val="standardContextual"/>
        </w:rPr>
        <w:lastRenderedPageBreak/>
        <w:t xml:space="preserve">• </w:t>
      </w:r>
      <w:r>
        <w:rPr>
          <w:rFonts w:cs="EB Garamond"/>
          <w:kern w:val="16"/>
          <w:sz w:val="20"/>
          <w14:ligatures w14:val="standardContextual"/>
        </w:rPr>
        <w:t>Art. 16 (idade progressiva): 60 &lt; 64,5 → NÃO atinge em 2026</w:t>
      </w:r>
    </w:p>
    <w:p w14:paraId="4A11D555"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Art. 20 (pedágio 100%): 60 anos ✅, 35 TC ✅, em 13/11/2019 tinha 24 anos TC (convertido: 15×1,4=21 + 3=24), faltavam 11 anos → pedágio 11 anos → precisa de 46 TC total → NÃO atinge</w:t>
      </w:r>
    </w:p>
    <w:p w14:paraId="2931F5D9"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 xml:space="preserve">Art. 15 (pontos) em anos seguintes: a pontuação exigida do homem sobe progressivamente até estabilizar em 105 a partir de 2028. Em 2028 Paulo teria 62 anos e 41 TC (103 pontos &lt; 105) e em 2029, 63 anos e 42 TC, alcançando exatamente os </w:t>
      </w:r>
      <w:r>
        <w:rPr>
          <w:rFonts w:cs="EB Garamond"/>
          <w:b/>
          <w:kern w:val="16"/>
          <w:sz w:val="20"/>
          <w14:ligatures w14:val="standardContextual"/>
        </w:rPr>
        <w:t>105 pontos exigidos</w:t>
      </w:r>
      <w:r>
        <w:rPr>
          <w:rFonts w:cs="EB Garamond"/>
          <w:kern w:val="16"/>
          <w:sz w:val="20"/>
          <w14:ligatures w14:val="standardContextual"/>
        </w:rPr>
        <w:t xml:space="preserve"> ✅.</w:t>
      </w:r>
    </w:p>
    <w:p w14:paraId="7CB142BF" w14:textId="77777777" w:rsidR="005A5FCC" w:rsidRDefault="005A5FCC">
      <w:pPr>
        <w:spacing w:after="60" w:line="240" w:lineRule="auto"/>
      </w:pPr>
    </w:p>
    <w:p w14:paraId="375A8D14"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C</w:t>
      </w:r>
    </w:p>
    <w:p w14:paraId="27E2FD20" w14:textId="77777777" w:rsidR="005A5FCC" w:rsidRDefault="00A21C81">
      <w:r>
        <w:rPr>
          <w:rFonts w:cs="EB Garamond"/>
          <w:kern w:val="16"/>
          <w14:ligatures w14:val="standardContextual"/>
        </w:rPr>
        <w:t xml:space="preserve">onclui-se que a primeira regra disponível para Paulo é o art. 15, em </w:t>
      </w:r>
      <w:r>
        <w:rPr>
          <w:rFonts w:cs="EB Garamond"/>
          <w:b/>
          <w:kern w:val="16"/>
          <w14:ligatures w14:val="standardContextual"/>
        </w:rPr>
        <w:t>2029</w:t>
      </w:r>
      <w:r>
        <w:rPr>
          <w:rFonts w:cs="EB Garamond"/>
          <w:kern w:val="16"/>
          <w14:ligatures w14:val="standardContextual"/>
        </w:rPr>
        <w:t>.</w:t>
      </w:r>
    </w:p>
    <w:p w14:paraId="4A158BB1" w14:textId="77777777" w:rsidR="005A5FCC" w:rsidRDefault="00A21C81">
      <w:pPr>
        <w:ind w:firstLine="238"/>
      </w:pPr>
      <w:r>
        <w:rPr>
          <w:rFonts w:cs="EB Garamond"/>
          <w:kern w:val="16"/>
          <w14:ligatures w14:val="standardContextual"/>
        </w:rPr>
        <w:t>A conversão transformou um segurado sem qualquer regra de transição disponível em um segurado com aposentadoria viável, ainda que em horizonte futuro.</w:t>
      </w:r>
    </w:p>
    <w:p w14:paraId="379CE1B0" w14:textId="77777777" w:rsidR="005A5FCC" w:rsidRDefault="00A21C81">
      <w:pPr>
        <w:spacing w:before="260" w:after="80" w:line="240" w:lineRule="auto"/>
        <w:jc w:val="left"/>
      </w:pPr>
      <w:r>
        <w:rPr>
          <w:rFonts w:cs="EB Garamond"/>
          <w:b/>
          <w:color w:val="3A3128"/>
          <w:kern w:val="16"/>
          <w:sz w:val="25"/>
          <w14:ligatures w14:val="standardContextual"/>
        </w:rPr>
        <w:t>11.13.4 A vedação pós-EC 103 e suas consequências</w:t>
      </w:r>
    </w:p>
    <w:p w14:paraId="188AF55B"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25F3646D" w14:textId="77777777" w:rsidR="005A5FCC" w:rsidRDefault="00A21C81">
      <w:r>
        <w:rPr>
          <w:rFonts w:cs="EB Garamond"/>
          <w:kern w:val="16"/>
          <w14:ligatures w14:val="standardContextual"/>
        </w:rPr>
        <w:t xml:space="preserve"> art. 25, § 2º, da EC 103/2019, veda a conversão de tempo especial em comum para períodos de atividade especial exercidos após 13/11/2019. Na prática, isso significa:</w:t>
      </w:r>
    </w:p>
    <w:p w14:paraId="05605E34"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Tempo especial até 13/11/2019:</w:t>
      </w:r>
      <w:r>
        <w:rPr>
          <w:rFonts w:cs="EB Garamond"/>
          <w:kern w:val="16"/>
          <w:sz w:val="20"/>
          <w14:ligatures w14:val="standardContextual"/>
        </w:rPr>
        <w:t xml:space="preserve"> Pode ser convertido normalmente (STJ, Tema 422)</w:t>
      </w:r>
    </w:p>
    <w:p w14:paraId="5D0A91A2"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Tempo especial após 13/11/2019:</w:t>
      </w:r>
      <w:r>
        <w:rPr>
          <w:rFonts w:cs="EB Garamond"/>
          <w:kern w:val="16"/>
          <w:sz w:val="20"/>
          <w14:ligatures w14:val="standardContextual"/>
        </w:rPr>
        <w:t xml:space="preserve"> Não pode ser convertido; conta apenas como tempo comum (sem o multiplicador)</w:t>
      </w:r>
    </w:p>
    <w:p w14:paraId="7981DC26" w14:textId="77777777" w:rsidR="005A5FCC" w:rsidRDefault="005A5FCC">
      <w:pPr>
        <w:spacing w:after="60" w:line="240" w:lineRule="auto"/>
      </w:pPr>
    </w:p>
    <w:p w14:paraId="05E79804"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P</w:t>
      </w:r>
    </w:p>
    <w:p w14:paraId="20BF8ED2" w14:textId="77777777" w:rsidR="005A5FCC" w:rsidRDefault="00A21C81">
      <w:r>
        <w:rPr>
          <w:rFonts w:cs="EB Garamond"/>
          <w:kern w:val="16"/>
          <w14:ligatures w14:val="standardContextual"/>
        </w:rPr>
        <w:t>ara o segurado que continua exercendo atividade especial, o impacto é significativo: apenas o período anterior a 13/11/2019 gera o acréscimo de TC pela conversão. O período posterior conta ano a ano, sem multiplicador.</w:t>
      </w:r>
    </w:p>
    <w:p w14:paraId="6FD6DF0F" w14:textId="77777777" w:rsidR="005A5FCC" w:rsidRDefault="00A21C81">
      <w:pPr>
        <w:ind w:firstLine="238"/>
      </w:pPr>
      <w:r>
        <w:rPr>
          <w:rFonts w:cs="EB Garamond"/>
          <w:kern w:val="16"/>
          <w14:ligatures w14:val="standardContextual"/>
        </w:rPr>
        <w:t xml:space="preserve">Essa vedação cria uma situação paradoxal: o segurado que permanece exposto a agentes nocivos após 2019, e que portanto continua a sofrer desgaste diferenciado em sua saúde, é penalizado previdenciariamente, pois não pode converter o tempo posterior. O fundamento do legislador constituinte derivado foi que a aposentadoria especial tem regras próprias (art. 19 da EC 103/2019), e o segurado que permanece em atividade especial deve buscar a aposentadoria especial </w:t>
      </w:r>
      <w:r>
        <w:rPr>
          <w:rFonts w:cs="EB Garamond"/>
          <w:kern w:val="16"/>
          <w14:ligatures w14:val="standardContextual"/>
        </w:rPr>
        <w:lastRenderedPageBreak/>
        <w:t>(se atingir os requisitos de 15, 20 ou 25 anos de atividade especial), e não a conversão para aposentadoria comum.</w:t>
      </w:r>
    </w:p>
    <w:p w14:paraId="21383B50" w14:textId="77777777" w:rsidR="005A5FCC" w:rsidRDefault="00A21C81">
      <w:pPr>
        <w:ind w:firstLine="238"/>
      </w:pPr>
      <w:r>
        <w:rPr>
          <w:rFonts w:cs="EB Garamond"/>
          <w:kern w:val="16"/>
          <w14:ligatures w14:val="standardContextual"/>
        </w:rPr>
        <w:t xml:space="preserve">Na atuação forense, contudo, muitos segurados possuem tempo especial insuficiente para a aposentadoria especial mas que, se convertido, viabilizaria a aposentadoria por TC. Nesses casos, a vedação gera lacuna de proteção que foi o fundamento material da ADI 6.309. No julgamento de 03/06/2026, porém, o STF </w:t>
      </w:r>
      <w:r>
        <w:rPr>
          <w:rFonts w:cs="EB Garamond"/>
          <w:b/>
          <w:kern w:val="16"/>
          <w14:ligatures w14:val="standardContextual"/>
        </w:rPr>
        <w:t>manteve a vedação à conversão</w:t>
      </w:r>
      <w:r>
        <w:rPr>
          <w:rFonts w:cs="EB Garamond"/>
          <w:kern w:val="16"/>
          <w14:ligatures w14:val="standardContextual"/>
        </w:rPr>
        <w:t xml:space="preserve"> — o argumento da lacuna de proteção não prevaleceu nesse ponto. No mesmo julgamento, o Tribunal </w:t>
      </w:r>
      <w:r>
        <w:rPr>
          <w:rFonts w:cs="EB Garamond"/>
          <w:b/>
          <w:kern w:val="16"/>
          <w14:ligatures w14:val="standardContextual"/>
        </w:rPr>
        <w:t>afastou a exigência de idade mínima</w:t>
      </w:r>
      <w:r>
        <w:rPr>
          <w:rFonts w:cs="EB Garamond"/>
          <w:kern w:val="16"/>
          <w14:ligatures w14:val="standardContextual"/>
        </w:rPr>
        <w:t xml:space="preserve"> da aposentadoria especial.</w:t>
      </w:r>
    </w:p>
    <w:p w14:paraId="05481F18" w14:textId="77777777" w:rsidR="005A5FCC" w:rsidRDefault="00A21C81">
      <w:pPr>
        <w:ind w:firstLine="238"/>
      </w:pPr>
      <w:r>
        <w:rPr>
          <w:rFonts w:cs="EB Garamond"/>
          <w:kern w:val="16"/>
          <w14:ligatures w14:val="standardContextual"/>
        </w:rPr>
        <w:t xml:space="preserve">A ADI 6.309 (Rel. Orig. Min. Luís Roberto Barroso, red. P/ acórdão Min. André Mendonça) foi julgada parcialmente procedente pelo Tribunal Pleno do STF em 03/06/2026, por 6 votos a 5. Quanto à conversão, o Tribunal </w:t>
      </w:r>
      <w:r>
        <w:rPr>
          <w:rFonts w:cs="EB Garamond"/>
          <w:b/>
          <w:kern w:val="16"/>
          <w14:ligatures w14:val="standardContextual"/>
        </w:rPr>
        <w:t>confirmou a constitucionalidade da vedação</w:t>
      </w:r>
      <w:r>
        <w:rPr>
          <w:rFonts w:cs="EB Garamond"/>
          <w:kern w:val="16"/>
          <w14:ligatures w14:val="standardContextual"/>
        </w:rPr>
        <w:t xml:space="preserve"> para períodos posteriores a 13/11/2019 — de modo que a conversão desses períodos permanece vedada, mantendo-se íntegro o panorama de cálculo descrito nesta seção. Por outro lado, declarou inconstitucional a idade mínima da aposentadoria especial e manteve a nova forma de cálculo. A eventual modulação de efeitos será definida na publicação do acórdão.</w:t>
      </w:r>
    </w:p>
    <w:tbl>
      <w:tblPr>
        <w:tblW w:w="5000" w:type="pct"/>
        <w:jc w:val="center"/>
        <w:tblLayout w:type="fixed"/>
        <w:tblLook w:val="04A0" w:firstRow="1" w:lastRow="0" w:firstColumn="1" w:lastColumn="0" w:noHBand="0" w:noVBand="1"/>
      </w:tblPr>
      <w:tblGrid>
        <w:gridCol w:w="6311"/>
      </w:tblGrid>
      <w:tr w:rsidR="005A5FCC" w14:paraId="7FB0EE52"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3ADD8395"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5F0DB6E1" w14:textId="77777777" w:rsidR="005A5FCC" w:rsidRDefault="00A21C81">
            <w:pPr>
              <w:spacing w:after="60" w:line="247" w:lineRule="auto"/>
            </w:pPr>
            <w:r>
              <w:rPr>
                <w:rFonts w:cs="EB Garamond"/>
                <w:b/>
                <w:kern w:val="16"/>
                <w:sz w:val="19"/>
                <w14:ligatures w14:val="standardContextual"/>
              </w:rPr>
              <w:t>Como calcular o TC total com conversão de tempo especial</w:t>
            </w:r>
          </w:p>
          <w:p w14:paraId="2C2DC815" w14:textId="77777777" w:rsidR="005A5FCC" w:rsidRDefault="00A21C81">
            <w:pPr>
              <w:spacing w:after="60" w:line="247" w:lineRule="auto"/>
            </w:pPr>
            <w:r>
              <w:rPr>
                <w:rFonts w:cs="EB Garamond"/>
                <w:kern w:val="16"/>
                <w:sz w:val="19"/>
                <w14:ligatures w14:val="standardContextual"/>
              </w:rPr>
              <w:t xml:space="preserve">1. </w:t>
            </w:r>
            <w:r>
              <w:rPr>
                <w:rFonts w:cs="EB Garamond"/>
                <w:b/>
                <w:kern w:val="16"/>
                <w:sz w:val="19"/>
                <w14:ligatures w14:val="standardContextual"/>
              </w:rPr>
              <w:t>Identificar períodos de atividade especial:</w:t>
            </w:r>
            <w:r>
              <w:rPr>
                <w:rFonts w:cs="EB Garamond"/>
                <w:kern w:val="16"/>
                <w:sz w:val="19"/>
                <w14:ligatures w14:val="standardContextual"/>
              </w:rPr>
              <w:t xml:space="preserve"> verificar PPP (Perfil Profissiográfico Previdenciário), LTCAT, DIRBEN 8030 ou formulários equivalentes 2. </w:t>
            </w:r>
            <w:r>
              <w:rPr>
                <w:rFonts w:cs="EB Garamond"/>
                <w:b/>
                <w:kern w:val="16"/>
                <w:sz w:val="19"/>
                <w14:ligatures w14:val="standardContextual"/>
              </w:rPr>
              <w:t>Separar períodos anteriores e posteriores a 13/11/2019:</w:t>
            </w:r>
            <w:r>
              <w:rPr>
                <w:rFonts w:cs="EB Garamond"/>
                <w:kern w:val="16"/>
                <w:sz w:val="19"/>
                <w14:ligatures w14:val="standardContextual"/>
              </w:rPr>
              <w:t xml:space="preserve">  - Anteriores: aplicar fator de conversão  - Posteriores: contar como tempo comum (1 ano = 1 ano) 3. </w:t>
            </w:r>
            <w:r>
              <w:rPr>
                <w:rFonts w:cs="EB Garamond"/>
                <w:b/>
                <w:kern w:val="16"/>
                <w:sz w:val="19"/>
                <w14:ligatures w14:val="standardContextual"/>
              </w:rPr>
              <w:t>Aplicar o fator de conversão ao período anterior:</w:t>
            </w:r>
            <w:r>
              <w:rPr>
                <w:rFonts w:cs="EB Garamond"/>
                <w:kern w:val="16"/>
                <w:sz w:val="19"/>
                <w14:ligatures w14:val="standardContextual"/>
              </w:rPr>
              <w:t xml:space="preserve">  - Tempo especial de 25 anos: multiplicar por 1,40 (H) ou 1,20 (M)  - Tempo especial de 20 anos: multiplicar por 1,75 (H) ou 1,50 (M)  - Tempo especial de 15 anos: multiplicar por 2,33 (H) ou 2,00 (M) 4. </w:t>
            </w:r>
            <w:r>
              <w:rPr>
                <w:rFonts w:cs="EB Garamond"/>
                <w:b/>
                <w:kern w:val="16"/>
                <w:sz w:val="19"/>
                <w14:ligatures w14:val="standardContextual"/>
              </w:rPr>
              <w:t>Somar com o tempo comum:</w:t>
            </w:r>
            <w:r>
              <w:rPr>
                <w:rFonts w:cs="EB Garamond"/>
                <w:kern w:val="16"/>
                <w:sz w:val="19"/>
                <w14:ligatures w14:val="standardContextual"/>
              </w:rPr>
              <w:t xml:space="preserve">  - TC total = tempo especial convertido + tempo comum + tempo especial pós-2019 (sem conversão) 5. </w:t>
            </w:r>
            <w:r>
              <w:rPr>
                <w:rFonts w:cs="EB Garamond"/>
                <w:b/>
                <w:kern w:val="16"/>
                <w:sz w:val="19"/>
                <w14:ligatures w14:val="standardContextual"/>
              </w:rPr>
              <w:t>Verificar elegibilidade nas regras de transição</w:t>
            </w:r>
            <w:r>
              <w:rPr>
                <w:rFonts w:cs="EB Garamond"/>
                <w:kern w:val="16"/>
                <w:sz w:val="19"/>
                <w14:ligatures w14:val="standardContextual"/>
              </w:rPr>
              <w:t xml:space="preserve"> com o TC total apurado 6. </w:t>
            </w:r>
            <w:r>
              <w:rPr>
                <w:rFonts w:cs="EB Garamond"/>
                <w:b/>
                <w:kern w:val="16"/>
                <w:sz w:val="19"/>
                <w14:ligatures w14:val="standardContextual"/>
              </w:rPr>
              <w:t>Documentar:</w:t>
            </w:r>
            <w:r>
              <w:rPr>
                <w:rFonts w:cs="EB Garamond"/>
                <w:kern w:val="16"/>
                <w:sz w:val="19"/>
                <w14:ligatures w14:val="standardContextual"/>
              </w:rPr>
              <w:t xml:space="preserve"> manter toda a prova documental do período especial organizada (PPP, LTCAT, carteira de trabalho com anotação da atividade)</w:t>
            </w:r>
          </w:p>
          <w:p w14:paraId="73618825" w14:textId="77777777" w:rsidR="005A5FCC" w:rsidRDefault="00A21C81">
            <w:pPr>
              <w:spacing w:after="60" w:line="247" w:lineRule="auto"/>
            </w:pPr>
            <w:r>
              <w:rPr>
                <w:rFonts w:cs="EB Garamond"/>
                <w:b/>
                <w:kern w:val="16"/>
                <w:sz w:val="19"/>
                <w14:ligatures w14:val="standardContextual"/>
              </w:rPr>
              <w:t>Exemplo rápido:</w:t>
            </w:r>
            <w:r>
              <w:rPr>
                <w:rFonts w:cs="EB Garamond"/>
                <w:kern w:val="16"/>
                <w:sz w:val="19"/>
                <w14:ligatures w14:val="standardContextual"/>
              </w:rPr>
              <w:t xml:space="preserve"> - 10 anos especiais (25 anos) pré-2019 × 1,40 = 14 anos (acréscimo de 4 anos) - 5 anos especiais pós-2019 = 5 anos (sem conversão) - 15 anos comuns = 15 anos - </w:t>
            </w:r>
            <w:r>
              <w:rPr>
                <w:rFonts w:cs="EB Garamond"/>
                <w:b/>
                <w:kern w:val="16"/>
                <w:sz w:val="19"/>
                <w14:ligatures w14:val="standardContextual"/>
              </w:rPr>
              <w:t>TC total = 14 + 5 + 15 = 34 anos</w:t>
            </w:r>
            <w:r>
              <w:rPr>
                <w:rFonts w:cs="EB Garamond"/>
                <w:kern w:val="16"/>
                <w:sz w:val="19"/>
                <w14:ligatures w14:val="standardContextual"/>
              </w:rPr>
              <w:t xml:space="preserve"> (sem conversão seriam 30 anos)</w:t>
            </w:r>
          </w:p>
        </w:tc>
      </w:tr>
    </w:tbl>
    <w:p w14:paraId="41B3BBCC" w14:textId="77777777" w:rsidR="005A5FCC" w:rsidRDefault="005A5FCC">
      <w:pPr>
        <w:spacing w:after="80" w:line="240" w:lineRule="auto"/>
      </w:pPr>
    </w:p>
    <w:tbl>
      <w:tblPr>
        <w:tblW w:w="5000" w:type="pct"/>
        <w:jc w:val="center"/>
        <w:tblLayout w:type="fixed"/>
        <w:tblLook w:val="04A0" w:firstRow="1" w:lastRow="0" w:firstColumn="1" w:lastColumn="0" w:noHBand="0" w:noVBand="1"/>
      </w:tblPr>
      <w:tblGrid>
        <w:gridCol w:w="6311"/>
      </w:tblGrid>
      <w:tr w:rsidR="005A5FCC" w14:paraId="7530729A"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27384C44"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35D2874C" w14:textId="77777777" w:rsidR="005A5FCC" w:rsidRDefault="00A21C81">
            <w:pPr>
              <w:spacing w:after="60" w:line="247" w:lineRule="auto"/>
            </w:pPr>
            <w:r>
              <w:rPr>
                <w:rFonts w:cs="EB Garamond"/>
                <w:b/>
                <w:kern w:val="16"/>
                <w:sz w:val="19"/>
                <w14:ligatures w14:val="standardContextual"/>
              </w:rPr>
              <w:t>Cautela ao usar tempo de vigilante para compor o TC</w:t>
            </w:r>
          </w:p>
          <w:p w14:paraId="689D4A18" w14:textId="77777777" w:rsidR="005A5FCC" w:rsidRDefault="00A21C81">
            <w:pPr>
              <w:spacing w:after="60" w:line="247" w:lineRule="auto"/>
            </w:pPr>
            <w:r>
              <w:rPr>
                <w:rFonts w:cs="EB Garamond"/>
                <w:kern w:val="16"/>
                <w:sz w:val="19"/>
                <w14:ligatures w14:val="standardContextual"/>
              </w:rPr>
              <w:t xml:space="preserve">A conversão de tempo especial é estratégia poderosa para completar o TC nas regras de transição, mas pressupõe que o período seja efetivamente reconhecido como especial. Atenção redobrada ao tempo de </w:t>
            </w:r>
            <w:r>
              <w:rPr>
                <w:rFonts w:cs="EB Garamond"/>
                <w:b/>
                <w:kern w:val="16"/>
                <w:sz w:val="19"/>
                <w14:ligatures w14:val="standardContextual"/>
              </w:rPr>
              <w:t>vigilante</w:t>
            </w:r>
            <w:r>
              <w:rPr>
                <w:rFonts w:cs="EB Garamond"/>
                <w:kern w:val="16"/>
                <w:sz w:val="19"/>
                <w14:ligatures w14:val="standardContextual"/>
              </w:rPr>
              <w:t xml:space="preserve">: o STF, no </w:t>
            </w:r>
            <w:r>
              <w:rPr>
                <w:rFonts w:cs="EB Garamond"/>
                <w:b/>
                <w:kern w:val="16"/>
                <w:sz w:val="19"/>
                <w14:ligatures w14:val="standardContextual"/>
              </w:rPr>
              <w:t>Tema 1.209</w:t>
            </w:r>
            <w:r>
              <w:rPr>
                <w:rFonts w:cs="EB Garamond"/>
                <w:kern w:val="16"/>
                <w:sz w:val="19"/>
                <w14:ligatures w14:val="standardContextual"/>
              </w:rPr>
              <w:t>, firmou que a atividade de vigilante não é especial pela mera periculosidade — exige-se a comprovação, na forma da legislação de cada época, do uso de arma de fogo e da exposição efetiva a risco à integridade física. Antes de incluir tempo de vigilante no cálculo do TC convertido, portanto, é indispensável verificar se o período preenche esses requisitos; do contrário, a projeção de elegibilidade ruirá. O enquadramento da atividade de vigilante e os contornos do Tema 1.209 são tratados em detalhe no Capítulo 8 (aposentadoria especial e conversão de tempo).</w:t>
            </w:r>
          </w:p>
        </w:tc>
      </w:tr>
    </w:tbl>
    <w:p w14:paraId="5EA96FC3" w14:textId="77777777" w:rsidR="005A5FCC" w:rsidRDefault="005A5FCC">
      <w:pPr>
        <w:spacing w:after="80" w:line="240" w:lineRule="auto"/>
      </w:pPr>
    </w:p>
    <w:p w14:paraId="25316262"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11.14 Planejamento previdenciário: quando esperar, quando requerer</w:t>
      </w:r>
    </w:p>
    <w:p w14:paraId="72981B92" w14:textId="77777777" w:rsidR="005A5FCC" w:rsidRDefault="00A21C81">
      <w:pPr>
        <w:spacing w:before="260" w:after="80" w:line="240" w:lineRule="auto"/>
        <w:jc w:val="left"/>
      </w:pPr>
      <w:r>
        <w:rPr>
          <w:rFonts w:cs="EB Garamond"/>
          <w:b/>
          <w:color w:val="3A3128"/>
          <w:kern w:val="16"/>
          <w:sz w:val="25"/>
          <w14:ligatures w14:val="standardContextual"/>
        </w:rPr>
        <w:t>11.14.1 Conceito e importância</w:t>
      </w:r>
    </w:p>
    <w:p w14:paraId="5066A54D"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0CE05F28" w14:textId="77777777" w:rsidR="005A5FCC" w:rsidRDefault="00A21C81">
      <w:r>
        <w:rPr>
          <w:rFonts w:cs="EB Garamond"/>
          <w:kern w:val="16"/>
          <w14:ligatures w14:val="standardContextual"/>
        </w:rPr>
        <w:t xml:space="preserve"> planejamento previdenciário consiste na análise técnica e projetiva da situação do segurado, considerando todas as variáveis relevantes — idade, TC, salários de contribuição, regras aplicáveis — para determinar o momento ótimo de requerimento da aposentadoria. Com quatro regras de transição simultâneas e cálculos de benefício distintos, o planejamento deixou de ser diferencial e tornou-se obrigação. Temos visto casos em que a diferença entre a regra escolhida e a regra ótima ultrapassava R$ 500/mês — o que, projetado pela expectativa de sobrevida do segurado, representa centenas de milhares de reais ao longo da vida.</w:t>
      </w:r>
    </w:p>
    <w:p w14:paraId="16AF2F64" w14:textId="77777777" w:rsidR="005A5FCC" w:rsidRDefault="00A21C81">
      <w:pPr>
        <w:ind w:firstLine="238"/>
      </w:pPr>
      <w:r>
        <w:rPr>
          <w:rFonts w:cs="EB Garamond"/>
          <w:kern w:val="16"/>
          <w14:ligatures w14:val="standardContextual"/>
        </w:rPr>
        <w:t>O planejamento previdenciário para aposentadoria por TC deve considerar três horizontes temporais:</w:t>
      </w:r>
    </w:p>
    <w:p w14:paraId="59B9C919"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Imediato (próximos 6 meses):</w:t>
      </w:r>
      <w:r>
        <w:rPr>
          <w:rFonts w:cs="EB Garamond"/>
          <w:kern w:val="16"/>
          <w:sz w:val="20"/>
          <w14:ligatures w14:val="standardContextual"/>
        </w:rPr>
        <w:t xml:space="preserve"> O segurado já atinge alguma regra de transição? Se sim, calcular todas as RMIs e comparar.</w:t>
      </w:r>
    </w:p>
    <w:p w14:paraId="47649FA5"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Curto prazo (1 a 3 anos):</w:t>
      </w:r>
      <w:r>
        <w:rPr>
          <w:rFonts w:cs="EB Garamond"/>
          <w:kern w:val="16"/>
          <w:sz w:val="20"/>
          <w14:ligatures w14:val="standardContextual"/>
        </w:rPr>
        <w:t xml:space="preserve"> Qual regra será atingida primeiro? O ganho esperado justifica a espera?</w:t>
      </w:r>
    </w:p>
    <w:p w14:paraId="7A4D556E"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Médio prazo (3 a 5 anos):</w:t>
      </w:r>
      <w:r>
        <w:rPr>
          <w:rFonts w:cs="EB Garamond"/>
          <w:kern w:val="16"/>
          <w:sz w:val="20"/>
          <w14:ligatures w14:val="standardContextual"/>
        </w:rPr>
        <w:t xml:space="preserve"> Há regra significativamente mais vantajosa que será atingida em horizonte razoável?</w:t>
      </w:r>
    </w:p>
    <w:p w14:paraId="03D34AA9" w14:textId="77777777" w:rsidR="005A5FCC" w:rsidRDefault="005A5FCC">
      <w:pPr>
        <w:spacing w:after="60" w:line="240" w:lineRule="auto"/>
      </w:pPr>
    </w:p>
    <w:p w14:paraId="5BE3E5DF"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50F689DB" w14:textId="77777777" w:rsidR="005A5FCC" w:rsidRDefault="00A21C81">
      <w:r>
        <w:rPr>
          <w:rFonts w:cs="EB Garamond"/>
          <w:kern w:val="16"/>
          <w14:ligatures w14:val="standardContextual"/>
        </w:rPr>
        <w:t xml:space="preserve"> vedação da desaposentação (STF, Tema 503, RE 661.256) torna o planejamento ainda mais crítico: uma vez concedida a aposentadoria, o segurado não pode renunciar a ela para obter outra mais vantajosa no RGPS. A escolha é definitiva. O princípio firmado pelo STF é claro: "somente lei pode criar benefícios e vantagens previdenciárias, não havendo, por ora, previsão legal do direito à 'desaposentação'". Portanto, o segurado que se aposenta por uma regra menos vantajosa não terá como "corrigir" a escolha posteriormente.</w:t>
      </w:r>
    </w:p>
    <w:p w14:paraId="1D137B57" w14:textId="77777777" w:rsidR="005A5FCC" w:rsidRDefault="00A21C81">
      <w:pPr>
        <w:ind w:firstLine="238"/>
      </w:pPr>
      <w:r>
        <w:rPr>
          <w:rFonts w:cs="EB Garamond"/>
          <w:kern w:val="16"/>
          <w14:ligatures w14:val="standardContextual"/>
        </w:rPr>
        <w:t xml:space="preserve">Esta irreversibilidade impõe ao advogado o dever de apresentar ao cliente todas as opções disponíveis, com cálculos detalhados, antes do requerimento: simular </w:t>
      </w:r>
      <w:r>
        <w:rPr>
          <w:rFonts w:cs="EB Garamond"/>
          <w:kern w:val="16"/>
          <w14:ligatures w14:val="standardContextual"/>
        </w:rPr>
        <w:lastRenderedPageBreak/>
        <w:t>uma única regra, sem confrontá-la com as demais, fica abaixo do padrão de diligência exigido e expõe o profissional à responsabilidade civil por eventual prejuízo irreversível ao segurado.</w:t>
      </w:r>
    </w:p>
    <w:p w14:paraId="0F6F77D9" w14:textId="77777777" w:rsidR="005A5FCC" w:rsidRDefault="00A21C81">
      <w:pPr>
        <w:spacing w:before="260" w:after="80" w:line="240" w:lineRule="auto"/>
        <w:jc w:val="left"/>
      </w:pPr>
      <w:r>
        <w:rPr>
          <w:rFonts w:cs="EB Garamond"/>
          <w:b/>
          <w:color w:val="3A3128"/>
          <w:kern w:val="16"/>
          <w:sz w:val="25"/>
          <w14:ligatures w14:val="standardContextual"/>
        </w:rPr>
        <w:t>11.14.2 Variáveis decisórias</w:t>
      </w:r>
    </w:p>
    <w:p w14:paraId="42557EFF"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64F5DB32" w14:textId="77777777" w:rsidR="005A5FCC" w:rsidRDefault="00A21C81">
      <w:r>
        <w:rPr>
          <w:rFonts w:cs="EB Garamond"/>
          <w:kern w:val="16"/>
          <w14:ligatures w14:val="standardContextual"/>
        </w:rPr>
        <w:t>s principais variáveis que o profissional deve considerar no planejamento previdenciário para aposentadoria por TC são:</w:t>
      </w:r>
    </w:p>
    <w:p w14:paraId="46E6EFD8" w14:textId="77777777" w:rsidR="005A5FCC" w:rsidRDefault="00A21C81">
      <w:pPr>
        <w:ind w:firstLine="238"/>
      </w:pPr>
      <w:r>
        <w:rPr>
          <w:rFonts w:cs="EB Garamond"/>
          <w:b/>
          <w:kern w:val="16"/>
          <w14:ligatures w14:val="standardContextual"/>
        </w:rPr>
        <w:t>a) Idade atual e projeção</w:t>
      </w:r>
    </w:p>
    <w:p w14:paraId="248C13C7" w14:textId="77777777" w:rsidR="005A5FCC" w:rsidRDefault="00A21C81">
      <w:pPr>
        <w:ind w:firstLine="238"/>
      </w:pPr>
      <w:r>
        <w:rPr>
          <w:rFonts w:cs="EB Garamond"/>
          <w:kern w:val="16"/>
          <w14:ligatures w14:val="standardContextual"/>
        </w:rPr>
        <w:t>A idade afeta diretamente o cálculo em três cenários:</w:t>
      </w:r>
    </w:p>
    <w:p w14:paraId="2CDF78C2"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No art. 15 (pontos), cada ano a mais acrescenta 1 ponto naturalmente</w:t>
      </w:r>
    </w:p>
    <w:p w14:paraId="14287E8D"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No art. 16 (idade progressiva), o segurado pode estar a poucos meses de atingir a idade mínima</w:t>
      </w:r>
    </w:p>
    <w:p w14:paraId="708B930E"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No fator previdenciário (pedágio 50% e direito adquirido), cada ano a mais de idade aumenta significativamente o fator</w:t>
      </w:r>
    </w:p>
    <w:p w14:paraId="359563E4" w14:textId="77777777" w:rsidR="005A5FCC" w:rsidRDefault="005A5FCC">
      <w:pPr>
        <w:spacing w:after="60" w:line="240" w:lineRule="auto"/>
      </w:pPr>
    </w:p>
    <w:p w14:paraId="3F25F992"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b</w:t>
      </w:r>
    </w:p>
    <w:p w14:paraId="2EE4246A" w14:textId="77777777" w:rsidR="005A5FCC" w:rsidRDefault="00A21C81">
      <w:r>
        <w:rPr>
          <w:rFonts w:cs="EB Garamond"/>
          <w:b/>
          <w:kern w:val="16"/>
          <w14:ligatures w14:val="standardContextual"/>
        </w:rPr>
        <w:t>) Tempo de contribuição atual e projeção</w:t>
      </w:r>
    </w:p>
    <w:p w14:paraId="0155D033" w14:textId="77777777" w:rsidR="005A5FCC" w:rsidRDefault="00A21C81">
      <w:pPr>
        <w:ind w:firstLine="238"/>
      </w:pPr>
      <w:r>
        <w:rPr>
          <w:rFonts w:cs="EB Garamond"/>
          <w:kern w:val="16"/>
          <w14:ligatures w14:val="standardContextual"/>
        </w:rPr>
        <w:t>O TC em andamento cresce naturalmente com o passar do tempo. Cada ano adicional:</w:t>
      </w:r>
    </w:p>
    <w:p w14:paraId="5420F843"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Acrescenta 1 ponto no art. 15</w:t>
      </w:r>
    </w:p>
    <w:p w14:paraId="0FE103FA"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Pode elevar o coeficiente 60%+2% em 2 pontos percentuais</w:t>
      </w:r>
    </w:p>
    <w:p w14:paraId="46624066"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Aumenta o fator previdenciário (duplo efeito: aumenta Tc e reduz Es)</w:t>
      </w:r>
    </w:p>
    <w:p w14:paraId="424D53D5" w14:textId="77777777" w:rsidR="005A5FCC" w:rsidRDefault="005A5FCC">
      <w:pPr>
        <w:spacing w:after="60" w:line="240" w:lineRule="auto"/>
      </w:pPr>
    </w:p>
    <w:p w14:paraId="2B95F6DC"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c</w:t>
      </w:r>
    </w:p>
    <w:p w14:paraId="332C1FA7" w14:textId="77777777" w:rsidR="005A5FCC" w:rsidRDefault="00A21C81">
      <w:r>
        <w:rPr>
          <w:rFonts w:cs="EB Garamond"/>
          <w:b/>
          <w:kern w:val="16"/>
          <w14:ligatures w14:val="standardContextual"/>
        </w:rPr>
        <w:t>) Valor dos salários de contribuição</w:t>
      </w:r>
    </w:p>
    <w:p w14:paraId="3EC71951" w14:textId="77777777" w:rsidR="005A5FCC" w:rsidRDefault="00A21C81">
      <w:pPr>
        <w:ind w:firstLine="238"/>
      </w:pPr>
      <w:r>
        <w:rPr>
          <w:rFonts w:cs="EB Garamond"/>
          <w:kern w:val="16"/>
          <w14:ligatures w14:val="standardContextual"/>
        </w:rPr>
        <w:t>Segurados com salários de contribuição variáveis ao longo da vida devem atentar para:</w:t>
      </w:r>
    </w:p>
    <w:p w14:paraId="7723157C"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A diferença entre a média dos 80% maiores SC (regras com fator) e a média de 100% dos SC (regras da EC 103)</w:t>
      </w:r>
    </w:p>
    <w:p w14:paraId="17FC26D1"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A possibilidade de excluir SC que reduzam a média (art. 26, § 6º, EC 103) — disponível apenas nas regras que utilizam a média de 100%</w:t>
      </w:r>
    </w:p>
    <w:p w14:paraId="3F69E1A3" w14:textId="5D424FB3"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 xml:space="preserve">O impacto dos </w:t>
      </w:r>
      <w:r w:rsidR="00096062">
        <w:rPr>
          <w:rFonts w:cs="EB Garamond"/>
          <w:kern w:val="16"/>
          <w:sz w:val="20"/>
          <w14:ligatures w14:val="standardContextual"/>
        </w:rPr>
        <w:t>salários-mínimos</w:t>
      </w:r>
      <w:r>
        <w:rPr>
          <w:rFonts w:cs="EB Garamond"/>
          <w:kern w:val="16"/>
          <w:sz w:val="20"/>
          <w14:ligatures w14:val="standardContextual"/>
        </w:rPr>
        <w:t xml:space="preserve"> do início de carreira na média de 100%</w:t>
      </w:r>
    </w:p>
    <w:p w14:paraId="5C020F84" w14:textId="77777777" w:rsidR="005A5FCC" w:rsidRDefault="005A5FCC">
      <w:pPr>
        <w:spacing w:after="60" w:line="240" w:lineRule="auto"/>
      </w:pPr>
    </w:p>
    <w:p w14:paraId="561A2AF8"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d</w:t>
      </w:r>
    </w:p>
    <w:p w14:paraId="44EF5B23" w14:textId="77777777" w:rsidR="005A5FCC" w:rsidRDefault="00A21C81">
      <w:r>
        <w:rPr>
          <w:rFonts w:cs="EB Garamond"/>
          <w:b/>
          <w:kern w:val="16"/>
          <w14:ligatures w14:val="standardContextual"/>
        </w:rPr>
        <w:t>) Custo de oportunidade</w:t>
      </w:r>
    </w:p>
    <w:p w14:paraId="2D882EE6" w14:textId="77777777" w:rsidR="005A5FCC" w:rsidRDefault="00A21C81">
      <w:pPr>
        <w:ind w:firstLine="238"/>
      </w:pPr>
      <w:r>
        <w:rPr>
          <w:rFonts w:cs="EB Garamond"/>
          <w:kern w:val="16"/>
          <w14:ligatures w14:val="standardContextual"/>
        </w:rPr>
        <w:t>Esperar para se aposentar tem um custo: os meses sem benefício que o segurado "perde" enquanto aguarda uma regra mais vantajosa. Esse custo deve ser contraposto ao ganho permanente que a regra mais vantajosa proporcionará.</w:t>
      </w:r>
    </w:p>
    <w:p w14:paraId="5C7BF795" w14:textId="77777777" w:rsidR="005A5FCC" w:rsidRDefault="00A21C81">
      <w:pPr>
        <w:ind w:firstLine="238"/>
      </w:pPr>
      <w:r>
        <w:rPr>
          <w:rFonts w:cs="EB Garamond"/>
          <w:b/>
          <w:kern w:val="16"/>
          <w14:ligatures w14:val="standardContextual"/>
        </w:rPr>
        <w:t>e) Estado de saúde e expectativa de vida</w:t>
      </w:r>
    </w:p>
    <w:p w14:paraId="1AD5FAA7" w14:textId="77777777" w:rsidR="005A5FCC" w:rsidRDefault="00A21C81">
      <w:pPr>
        <w:ind w:firstLine="238"/>
      </w:pPr>
      <w:r>
        <w:rPr>
          <w:rFonts w:cs="EB Garamond"/>
          <w:kern w:val="16"/>
          <w14:ligatures w14:val="standardContextual"/>
        </w:rPr>
        <w:t>Embora seja um fator sensível, o estado de saúde do segurado é variável relevante no planejamento. Segurado com doenças graves ou expectativa de vida reduzida pode ser aconselhado a requerer a aposentadoria o mais cedo possível, mesmo que por regra menos vantajosa, para maximizar o tempo de fruição do benefício. A análise fria dos números pode sugerir espera, mas a prudência recomenda avaliar caso a caso.</w:t>
      </w:r>
    </w:p>
    <w:p w14:paraId="1DFDA53F" w14:textId="77777777" w:rsidR="005A5FCC" w:rsidRDefault="00A21C81">
      <w:pPr>
        <w:ind w:firstLine="238"/>
      </w:pPr>
      <w:r>
        <w:rPr>
          <w:rFonts w:cs="EB Garamond"/>
          <w:b/>
          <w:kern w:val="16"/>
          <w14:ligatures w14:val="standardContextual"/>
        </w:rPr>
        <w:t>f) Situação de emprego e renda atual</w:t>
      </w:r>
    </w:p>
    <w:p w14:paraId="26B92DCA" w14:textId="77777777" w:rsidR="005A5FCC" w:rsidRDefault="00A21C81">
      <w:pPr>
        <w:ind w:firstLine="238"/>
      </w:pPr>
      <w:r>
        <w:rPr>
          <w:rFonts w:cs="EB Garamond"/>
          <w:kern w:val="16"/>
          <w14:ligatures w14:val="standardContextual"/>
        </w:rPr>
        <w:t>O segurado desempregado ou em situação de renda precária tem urgência diferente daquele que permanece empregado com boa remuneração. Para o primeiro, a aposentadoria, mesmo que por regra menos vantajosa, pode ser a única fonte de renda disponível. Para o segundo, a espera por regra mais vantajosa é financeiramente viável e frequentemente recomendável.</w:t>
      </w:r>
    </w:p>
    <w:p w14:paraId="291E784C" w14:textId="77777777" w:rsidR="005A5FCC" w:rsidRDefault="00A21C81">
      <w:pPr>
        <w:spacing w:before="260" w:after="80" w:line="240" w:lineRule="auto"/>
        <w:jc w:val="left"/>
      </w:pPr>
      <w:r>
        <w:rPr>
          <w:rFonts w:cs="EB Garamond"/>
          <w:b/>
          <w:color w:val="3A3128"/>
          <w:kern w:val="16"/>
          <w:sz w:val="25"/>
          <w14:ligatures w14:val="standardContextual"/>
        </w:rPr>
        <w:t>11.14.3 Análise de ponto de equilíbrio (break-even)</w:t>
      </w:r>
    </w:p>
    <w:p w14:paraId="10F9D441"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5B507084" w14:textId="77777777" w:rsidR="005A5FCC" w:rsidRDefault="00A21C81">
      <w:r>
        <w:rPr>
          <w:rFonts w:cs="EB Garamond"/>
          <w:kern w:val="16"/>
          <w14:ligatures w14:val="standardContextual"/>
        </w:rPr>
        <w:t xml:space="preserve"> ponto de equilíbrio é o momento em que o ganho acumulado pela regra mais vantajosa iguala o valor que o segurado deixou de receber durante o período de espera. A partir desse ponto, todo valor recebido é "lucro líquido" da espera.</w:t>
      </w:r>
    </w:p>
    <w:p w14:paraId="37F96CEB" w14:textId="77777777" w:rsidR="005A5FCC" w:rsidRDefault="00A21C81">
      <w:pPr>
        <w:ind w:firstLine="238"/>
      </w:pPr>
      <w:r>
        <w:rPr>
          <w:rFonts w:cs="EB Garamond"/>
          <w:b/>
          <w:kern w:val="16"/>
          <w14:ligatures w14:val="standardContextual"/>
        </w:rPr>
        <w:t>Fórmula simplificada:</w:t>
      </w:r>
    </w:p>
    <w:p w14:paraId="76D43B99" w14:textId="77777777" w:rsidR="005A5FCC" w:rsidRDefault="00A21C81">
      <w:pPr>
        <w:ind w:firstLine="238"/>
      </w:pPr>
      <w:r>
        <w:rPr>
          <w:rFonts w:cs="EB Garamond"/>
          <w:b/>
          <w:kern w:val="16"/>
          <w14:ligatures w14:val="standardContextual"/>
        </w:rPr>
        <w:t>Ponto de equilíbrio (meses) = (Meses de espera × RMI regra inferior) / (RMI regra superior - RMI regra inferior)</w:t>
      </w:r>
    </w:p>
    <w:p w14:paraId="46FF60AE" w14:textId="77777777" w:rsidR="005A5FCC" w:rsidRDefault="00A21C81">
      <w:pPr>
        <w:ind w:firstLine="238"/>
      </w:pPr>
      <w:r>
        <w:rPr>
          <w:rFonts w:cs="EB Garamond"/>
          <w:kern w:val="16"/>
          <w14:ligatures w14:val="standardContextual"/>
        </w:rPr>
        <w:t>Onde:</w:t>
      </w:r>
    </w:p>
    <w:p w14:paraId="4E2CD60A"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Meses de espera = número de meses que o segurado deve aguardar para atingir a regra superior</w:t>
      </w:r>
    </w:p>
    <w:p w14:paraId="291C2DE1" w14:textId="77777777" w:rsidR="005A5FCC" w:rsidRDefault="00A21C81">
      <w:pPr>
        <w:spacing w:after="40" w:line="252" w:lineRule="auto"/>
        <w:ind w:left="340" w:hanging="198"/>
      </w:pPr>
      <w:r>
        <w:rPr>
          <w:rFonts w:cs="EB Garamond"/>
          <w:color w:val="3A3128"/>
          <w:kern w:val="16"/>
          <w:sz w:val="20"/>
          <w14:ligatures w14:val="standardContextual"/>
        </w:rPr>
        <w:lastRenderedPageBreak/>
        <w:t xml:space="preserve">• </w:t>
      </w:r>
      <w:r>
        <w:rPr>
          <w:rFonts w:cs="EB Garamond"/>
          <w:kern w:val="16"/>
          <w:sz w:val="20"/>
          <w14:ligatures w14:val="standardContextual"/>
        </w:rPr>
        <w:t>RMI regra inferior = valor mensal do benefício pela regra imediatamente disponível</w:t>
      </w:r>
    </w:p>
    <w:p w14:paraId="3918C7F6"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RMI regra superior = valor mensal do benefício pela regra que será atingida após a espera</w:t>
      </w:r>
    </w:p>
    <w:p w14:paraId="06BBFD31" w14:textId="77777777" w:rsidR="005A5FCC" w:rsidRDefault="005A5FCC">
      <w:pPr>
        <w:spacing w:after="60" w:line="240" w:lineRule="auto"/>
      </w:pPr>
    </w:p>
    <w:tbl>
      <w:tblPr>
        <w:tblW w:w="5000" w:type="pct"/>
        <w:jc w:val="center"/>
        <w:tblLayout w:type="fixed"/>
        <w:tblLook w:val="04A0" w:firstRow="1" w:lastRow="0" w:firstColumn="1" w:lastColumn="0" w:noHBand="0" w:noVBand="1"/>
      </w:tblPr>
      <w:tblGrid>
        <w:gridCol w:w="6311"/>
      </w:tblGrid>
      <w:tr w:rsidR="005A5FCC" w14:paraId="39E4DD29"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74ECE596"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3F30B2D0" w14:textId="77777777" w:rsidR="005A5FCC" w:rsidRDefault="00A21C81">
            <w:pPr>
              <w:spacing w:after="60" w:line="247" w:lineRule="auto"/>
            </w:pPr>
            <w:r>
              <w:rPr>
                <w:rFonts w:cs="EB Garamond"/>
                <w:b/>
                <w:kern w:val="16"/>
                <w:sz w:val="19"/>
                <w14:ligatures w14:val="standardContextual"/>
              </w:rPr>
              <w:t>Modelo de cálculo do ponto de equilíbrio</w:t>
            </w:r>
          </w:p>
          <w:p w14:paraId="4A48B133" w14:textId="77777777" w:rsidR="005A5FCC" w:rsidRDefault="00A21C81">
            <w:pPr>
              <w:spacing w:after="60" w:line="247" w:lineRule="auto"/>
            </w:pPr>
            <w:r>
              <w:rPr>
                <w:rFonts w:cs="EB Garamond"/>
                <w:b/>
                <w:kern w:val="16"/>
                <w:sz w:val="19"/>
                <w14:ligatures w14:val="standardContextual"/>
              </w:rPr>
              <w:t>Situação:</w:t>
            </w:r>
            <w:r>
              <w:rPr>
                <w:rFonts w:cs="EB Garamond"/>
                <w:kern w:val="16"/>
                <w:sz w:val="19"/>
                <w14:ligatures w14:val="standardContextual"/>
              </w:rPr>
              <w:t xml:space="preserve"> Marta, mulher, 58 anos, 33 anos TC em 2026.</w:t>
            </w:r>
          </w:p>
          <w:p w14:paraId="61C2D0FC" w14:textId="77777777" w:rsidR="005A5FCC" w:rsidRDefault="00A21C81">
            <w:pPr>
              <w:spacing w:after="60" w:line="247" w:lineRule="auto"/>
            </w:pPr>
            <w:r>
              <w:rPr>
                <w:rFonts w:cs="EB Garamond"/>
                <w:b/>
                <w:kern w:val="16"/>
                <w:sz w:val="19"/>
                <w14:ligatures w14:val="standardContextual"/>
              </w:rPr>
              <w:t>Opção A — Aposentar agora pelo art. 15:</w:t>
            </w:r>
            <w:r>
              <w:rPr>
                <w:rFonts w:cs="EB Garamond"/>
                <w:kern w:val="16"/>
                <w:sz w:val="19"/>
                <w14:ligatures w14:val="standardContextual"/>
              </w:rPr>
              <w:t xml:space="preserve"> - Pontos: 58 + 33 = 91 &lt; 93 (2026) → NÃO atinge - </w:t>
            </w:r>
            <w:r>
              <w:rPr>
                <w:rFonts w:cs="EB Garamond"/>
                <w:b/>
                <w:kern w:val="16"/>
                <w:sz w:val="19"/>
                <w14:ligatures w14:val="standardContextual"/>
              </w:rPr>
              <w:t>Opção A inviável em 2026</w:t>
            </w:r>
          </w:p>
          <w:p w14:paraId="09D83D20" w14:textId="77777777" w:rsidR="005A5FCC" w:rsidRDefault="00A21C81">
            <w:pPr>
              <w:spacing w:after="60" w:line="247" w:lineRule="auto"/>
            </w:pPr>
            <w:r>
              <w:rPr>
                <w:rFonts w:cs="EB Garamond"/>
                <w:b/>
                <w:kern w:val="16"/>
                <w:sz w:val="19"/>
                <w14:ligatures w14:val="standardContextual"/>
              </w:rPr>
              <w:t>Opção B — Esperar até 2027 pelo art. 15:</w:t>
            </w:r>
            <w:r>
              <w:rPr>
                <w:rFonts w:cs="EB Garamond"/>
                <w:kern w:val="16"/>
                <w:sz w:val="19"/>
                <w14:ligatures w14:val="standardContextual"/>
              </w:rPr>
              <w:t xml:space="preserve"> - Em 2027 a exigência para a mulher sobe a 94 pontos; 59 + 34 = 93 &lt; 94 → NÃO atinge - Em 2028: 60 + 35 = 95 ≥ 95 (2028) → </w:t>
            </w:r>
            <w:r>
              <w:rPr>
                <w:rFonts w:cs="EB Garamond"/>
                <w:b/>
                <w:kern w:val="16"/>
                <w:sz w:val="19"/>
                <w14:ligatures w14:val="standardContextual"/>
              </w:rPr>
              <w:t>SIM</w:t>
            </w:r>
          </w:p>
          <w:p w14:paraId="47ADA57A" w14:textId="77777777" w:rsidR="005A5FCC" w:rsidRDefault="00A21C81">
            <w:pPr>
              <w:spacing w:after="60" w:line="247" w:lineRule="auto"/>
            </w:pPr>
            <w:r>
              <w:rPr>
                <w:rFonts w:cs="EB Garamond"/>
                <w:b/>
                <w:kern w:val="16"/>
                <w:sz w:val="19"/>
                <w14:ligatures w14:val="standardContextual"/>
              </w:rPr>
              <w:t>Opção C — Art. 20 (pedágio 100%):</w:t>
            </w:r>
            <w:r>
              <w:rPr>
                <w:rFonts w:cs="EB Garamond"/>
                <w:kern w:val="16"/>
                <w:sz w:val="19"/>
                <w14:ligatures w14:val="standardContextual"/>
              </w:rPr>
              <w:t xml:space="preserve"> - Idade: 58 ≥ 57 ✅ - TC: 33 ≥ 30 ✅ - Pedágio: em 13/11/2019, Marta tinha 26 anos TC, faltavam 4 anos → pedágio = 4 anos - TC necessário: 30 + 4 = 34 anos - TC atual: 33 → faltam 1 ano - </w:t>
            </w:r>
            <w:r>
              <w:rPr>
                <w:rFonts w:cs="EB Garamond"/>
                <w:b/>
                <w:kern w:val="16"/>
                <w:sz w:val="19"/>
                <w14:ligatures w14:val="standardContextual"/>
              </w:rPr>
              <w:t>Viável em 2027</w:t>
            </w:r>
            <w:r>
              <w:rPr>
                <w:rFonts w:cs="EB Garamond"/>
                <w:kern w:val="16"/>
                <w:sz w:val="19"/>
                <w14:ligatures w14:val="standardContextual"/>
              </w:rPr>
              <w:t xml:space="preserve"> (com 34 TC e 59 anos)</w:t>
            </w:r>
          </w:p>
          <w:p w14:paraId="6BB223A4" w14:textId="77777777" w:rsidR="005A5FCC" w:rsidRDefault="00A21C81">
            <w:pPr>
              <w:spacing w:after="60" w:line="247" w:lineRule="auto"/>
            </w:pPr>
            <w:r>
              <w:rPr>
                <w:rFonts w:cs="EB Garamond"/>
                <w:b/>
                <w:kern w:val="16"/>
                <w:sz w:val="19"/>
                <w14:ligatures w14:val="standardContextual"/>
              </w:rPr>
              <w:t>Cálculo do break-even — Art. 15 (2028) vs. Art. 20 (2027):</w:t>
            </w:r>
            <w:r>
              <w:rPr>
                <w:rFonts w:cs="EB Garamond"/>
                <w:kern w:val="16"/>
                <w:sz w:val="19"/>
                <w14:ligatures w14:val="standardContextual"/>
              </w:rPr>
              <w:t xml:space="preserve"> - Art. 20 (2027): média 100% = R$ 3.800 × 100% = </w:t>
            </w:r>
            <w:r>
              <w:rPr>
                <w:rFonts w:cs="EB Garamond"/>
                <w:b/>
                <w:kern w:val="16"/>
                <w:sz w:val="19"/>
                <w14:ligatures w14:val="standardContextual"/>
              </w:rPr>
              <w:t>R$ 3.800</w:t>
            </w:r>
            <w:r>
              <w:rPr>
                <w:rFonts w:cs="EB Garamond"/>
                <w:kern w:val="16"/>
                <w:sz w:val="19"/>
                <w14:ligatures w14:val="standardContextual"/>
              </w:rPr>
              <w:t xml:space="preserve"> - Art. 15 (2028): média 100% = R$ 3.800 × (60%+2%×20) = R$ 3.800 × 100% = </w:t>
            </w:r>
            <w:r>
              <w:rPr>
                <w:rFonts w:cs="EB Garamond"/>
                <w:b/>
                <w:kern w:val="16"/>
                <w:sz w:val="19"/>
                <w14:ligatures w14:val="standardContextual"/>
              </w:rPr>
              <w:t>R$ 3.800</w:t>
            </w:r>
            <w:r>
              <w:rPr>
                <w:rFonts w:cs="EB Garamond"/>
                <w:kern w:val="16"/>
                <w:sz w:val="19"/>
                <w14:ligatures w14:val="standardContextual"/>
              </w:rPr>
              <w:t xml:space="preserve"> - Neste caso, RMIs iguais → não vale esperar. Melhor requerer pelo art. 20 em 2027.</w:t>
            </w:r>
          </w:p>
          <w:p w14:paraId="2C0E411E" w14:textId="77777777" w:rsidR="005A5FCC" w:rsidRDefault="00A21C81">
            <w:pPr>
              <w:spacing w:after="60" w:line="247" w:lineRule="auto"/>
            </w:pPr>
            <w:r>
              <w:rPr>
                <w:rFonts w:cs="EB Garamond"/>
                <w:b/>
                <w:kern w:val="16"/>
                <w:sz w:val="19"/>
                <w14:ligatures w14:val="standardContextual"/>
              </w:rPr>
              <w:t>Outro cenário (valores diferentes):</w:t>
            </w:r>
            <w:r>
              <w:rPr>
                <w:rFonts w:cs="EB Garamond"/>
                <w:kern w:val="16"/>
                <w:sz w:val="19"/>
                <w14:ligatures w14:val="standardContextual"/>
              </w:rPr>
              <w:t xml:space="preserve"> - Art. 20 (2027): R$ 3.800 × 100% = R$ 3.800/mês (12 meses antes do art. 15) - Art. 15 (2028): média 100% com excl. SC = R$ 4.200 × 100% = R$ 4.200/mês - Ganho mensal: R$ 400 - Custo da espera: 12 meses × R$ 3.800 = R$ 45.600 - Ponto de equilíbrio: R$ 45.600 / R$ 400 = </w:t>
            </w:r>
            <w:r>
              <w:rPr>
                <w:rFonts w:cs="EB Garamond"/>
                <w:b/>
                <w:kern w:val="16"/>
                <w:sz w:val="19"/>
                <w14:ligatures w14:val="standardContextual"/>
              </w:rPr>
              <w:t>114 meses (9,5 anos)</w:t>
            </w:r>
            <w:r>
              <w:rPr>
                <w:rFonts w:cs="EB Garamond"/>
                <w:kern w:val="16"/>
                <w:sz w:val="19"/>
                <w14:ligatures w14:val="standardContextual"/>
              </w:rPr>
              <w:t xml:space="preserve"> - Se Marta tem expectativa de receber aposentadoria por mais de 9,5 anos após 2028, vale esperar.</w:t>
            </w:r>
          </w:p>
        </w:tc>
      </w:tr>
    </w:tbl>
    <w:p w14:paraId="1C054FC1" w14:textId="77777777" w:rsidR="005A5FCC" w:rsidRDefault="005A5FCC">
      <w:pPr>
        <w:spacing w:after="80" w:line="240" w:lineRule="auto"/>
      </w:pPr>
    </w:p>
    <w:tbl>
      <w:tblPr>
        <w:tblW w:w="5000" w:type="pct"/>
        <w:jc w:val="center"/>
        <w:tblLayout w:type="fixed"/>
        <w:tblLook w:val="04A0" w:firstRow="1" w:lastRow="0" w:firstColumn="1" w:lastColumn="0" w:noHBand="0" w:noVBand="1"/>
      </w:tblPr>
      <w:tblGrid>
        <w:gridCol w:w="6311"/>
      </w:tblGrid>
      <w:tr w:rsidR="005A5FCC" w14:paraId="3BFB5E9B"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12D15B22" w14:textId="77777777" w:rsidR="005A5FCC" w:rsidRDefault="00A21C81">
            <w:pPr>
              <w:spacing w:after="60" w:line="240" w:lineRule="auto"/>
              <w:jc w:val="left"/>
            </w:pPr>
            <w:r>
              <w:rPr>
                <w:rFonts w:ascii="Noto Sans" w:hAnsi="Noto Sans" w:cs="Noto Sans"/>
                <w:b/>
                <w:caps/>
                <w:color w:val="B78B37"/>
                <w:kern w:val="16"/>
                <w:sz w:val="16"/>
                <w14:ligatures w14:val="standardContextual"/>
              </w:rPr>
              <w:lastRenderedPageBreak/>
              <w:t>ATENÇÃO</w:t>
            </w:r>
          </w:p>
          <w:p w14:paraId="04A1EDCA" w14:textId="77777777" w:rsidR="005A5FCC" w:rsidRDefault="00A21C81">
            <w:pPr>
              <w:spacing w:after="60" w:line="247" w:lineRule="auto"/>
            </w:pPr>
            <w:r>
              <w:rPr>
                <w:rFonts w:cs="EB Garamond"/>
                <w:b/>
                <w:kern w:val="16"/>
                <w:sz w:val="19"/>
                <w14:ligatures w14:val="standardContextual"/>
              </w:rPr>
              <w:t>Riscos do planejamento previdenciário, o que pode dar errado</w:t>
            </w:r>
          </w:p>
          <w:p w14:paraId="532C07F8" w14:textId="77777777" w:rsidR="005A5FCC" w:rsidRDefault="00A21C81">
            <w:pPr>
              <w:spacing w:after="60" w:line="247" w:lineRule="auto"/>
            </w:pPr>
            <w:r>
              <w:rPr>
                <w:rFonts w:cs="EB Garamond"/>
                <w:kern w:val="16"/>
                <w:sz w:val="19"/>
                <w14:ligatures w14:val="standardContextual"/>
              </w:rPr>
              <w:t>O planejamento previdenciário opera com projeções e, como toda projeção, está sujeito a riscos que podem frustrar a estratégia:</w:t>
            </w:r>
          </w:p>
          <w:p w14:paraId="5B3A87AA" w14:textId="77777777" w:rsidR="005A5FCC" w:rsidRDefault="00A21C81">
            <w:pPr>
              <w:spacing w:after="30" w:line="240" w:lineRule="auto"/>
              <w:ind w:left="227" w:hanging="142"/>
            </w:pPr>
            <w:r>
              <w:rPr>
                <w:rFonts w:cs="EB Garamond"/>
                <w:kern w:val="16"/>
                <w:sz w:val="19"/>
                <w14:ligatures w14:val="standardContextual"/>
              </w:rPr>
              <w:t xml:space="preserve">1. </w:t>
            </w:r>
            <w:r>
              <w:rPr>
                <w:rFonts w:cs="EB Garamond"/>
                <w:b/>
                <w:kern w:val="16"/>
                <w:sz w:val="19"/>
                <w14:ligatures w14:val="standardContextual"/>
              </w:rPr>
              <w:t>Mudança legislativa:</w:t>
            </w:r>
            <w:r>
              <w:rPr>
                <w:rFonts w:cs="EB Garamond"/>
                <w:kern w:val="16"/>
                <w:sz w:val="19"/>
                <w14:ligatures w14:val="standardContextual"/>
              </w:rPr>
              <w:t xml:space="preserve"> Embora as regras de transição tenham proteção constitucional (art. 5º, XXXVI, CF), o legislador pode criar novas regras que alterem o cenário. A própria EC 103/2019 é exemplo disso.</w:t>
            </w:r>
          </w:p>
          <w:p w14:paraId="6F73650A" w14:textId="77777777" w:rsidR="005A5FCC" w:rsidRDefault="00A21C81">
            <w:pPr>
              <w:spacing w:after="30" w:line="240" w:lineRule="auto"/>
              <w:ind w:left="227" w:hanging="142"/>
            </w:pPr>
            <w:r>
              <w:rPr>
                <w:rFonts w:cs="EB Garamond"/>
                <w:kern w:val="16"/>
                <w:sz w:val="19"/>
                <w14:ligatures w14:val="standardContextual"/>
              </w:rPr>
              <w:t xml:space="preserve">2. </w:t>
            </w:r>
            <w:r>
              <w:rPr>
                <w:rFonts w:cs="EB Garamond"/>
                <w:b/>
                <w:kern w:val="16"/>
                <w:sz w:val="19"/>
                <w14:ligatures w14:val="standardContextual"/>
              </w:rPr>
              <w:t>Incapacidade superveniente:</w:t>
            </w:r>
            <w:r>
              <w:rPr>
                <w:rFonts w:cs="EB Garamond"/>
                <w:kern w:val="16"/>
                <w:sz w:val="19"/>
                <w14:ligatures w14:val="standardContextual"/>
              </w:rPr>
              <w:t xml:space="preserve"> O segurado pode ser acometido de doença ou acidente que o incapacite para o trabalho, sendo direcionado para benefício por incapacidade em vez de aposentadoria por TC. O benefício por incapacidade permanente (aposentadoria por incapacidade permanente) utiliza regra de cálculo distinta.</w:t>
            </w:r>
          </w:p>
          <w:p w14:paraId="38F81A22" w14:textId="77777777" w:rsidR="005A5FCC" w:rsidRDefault="00A21C81">
            <w:pPr>
              <w:spacing w:after="30" w:line="240" w:lineRule="auto"/>
              <w:ind w:left="227" w:hanging="142"/>
            </w:pPr>
            <w:r>
              <w:rPr>
                <w:rFonts w:cs="EB Garamond"/>
                <w:kern w:val="16"/>
                <w:sz w:val="19"/>
                <w14:ligatures w14:val="standardContextual"/>
              </w:rPr>
              <w:t xml:space="preserve">3. </w:t>
            </w:r>
            <w:r>
              <w:rPr>
                <w:rFonts w:cs="EB Garamond"/>
                <w:b/>
                <w:kern w:val="16"/>
                <w:sz w:val="19"/>
                <w14:ligatures w14:val="standardContextual"/>
              </w:rPr>
              <w:t>Desemprego involuntário:</w:t>
            </w:r>
            <w:r>
              <w:rPr>
                <w:rFonts w:cs="EB Garamond"/>
                <w:kern w:val="16"/>
                <w:sz w:val="19"/>
                <w14:ligatures w14:val="standardContextual"/>
              </w:rPr>
              <w:t xml:space="preserve"> O segurado que perde o emprego pode ficar sem contribuições, interrompendo o crescimento do TC. A qualidade de segurado é mantida por 12 a 36 meses (art. 15, Lei 8.213/91), mas o TC não cresce no período.</w:t>
            </w:r>
          </w:p>
          <w:p w14:paraId="210F5A9A" w14:textId="77777777" w:rsidR="005A5FCC" w:rsidRDefault="00A21C81">
            <w:pPr>
              <w:spacing w:after="30" w:line="240" w:lineRule="auto"/>
              <w:ind w:left="227" w:hanging="142"/>
            </w:pPr>
            <w:r>
              <w:rPr>
                <w:rFonts w:cs="EB Garamond"/>
                <w:kern w:val="16"/>
                <w:sz w:val="19"/>
                <w14:ligatures w14:val="standardContextual"/>
              </w:rPr>
              <w:t xml:space="preserve">4. </w:t>
            </w:r>
            <w:r>
              <w:rPr>
                <w:rFonts w:cs="EB Garamond"/>
                <w:b/>
                <w:kern w:val="16"/>
                <w:sz w:val="19"/>
                <w14:ligatures w14:val="standardContextual"/>
              </w:rPr>
              <w:t>Alteração da tabela IBGE:</w:t>
            </w:r>
            <w:r>
              <w:rPr>
                <w:rFonts w:cs="EB Garamond"/>
                <w:kern w:val="16"/>
                <w:sz w:val="19"/>
                <w14:ligatures w14:val="standardContextual"/>
              </w:rPr>
              <w:t xml:space="preserve"> A expectativa de sobrevida utilizada no fator previdenciário é atualizada anualmente. Um aumento na expectativa de vida reduz o fator, podendo frustrar a projeção.</w:t>
            </w:r>
          </w:p>
          <w:p w14:paraId="65138E06" w14:textId="77777777" w:rsidR="005A5FCC" w:rsidRDefault="00A21C81">
            <w:pPr>
              <w:spacing w:after="30" w:line="240" w:lineRule="auto"/>
              <w:ind w:left="227" w:hanging="142"/>
            </w:pPr>
            <w:r>
              <w:rPr>
                <w:rFonts w:cs="EB Garamond"/>
                <w:kern w:val="16"/>
                <w:sz w:val="19"/>
                <w14:ligatures w14:val="standardContextual"/>
              </w:rPr>
              <w:t xml:space="preserve">5. </w:t>
            </w:r>
            <w:r>
              <w:rPr>
                <w:rFonts w:cs="EB Garamond"/>
                <w:b/>
                <w:kern w:val="16"/>
                <w:sz w:val="19"/>
                <w14:ligatures w14:val="standardContextual"/>
              </w:rPr>
              <w:t>Óbito:</w:t>
            </w:r>
            <w:r>
              <w:rPr>
                <w:rFonts w:cs="EB Garamond"/>
                <w:kern w:val="16"/>
                <w:sz w:val="19"/>
                <w14:ligatures w14:val="standardContextual"/>
              </w:rPr>
              <w:t xml:space="preserve"> O segurado que falece antes de se aposentar transfere aos dependentes o direito à pensão por morte, que tem regra de cálculo própria (art. 23, EC 103 — 50% + 10% por dependente, sobre 60%+2% da média). O valor é significativamente inferior ao da aposentadoria por TC.</w:t>
            </w:r>
          </w:p>
          <w:p w14:paraId="3A3C7258" w14:textId="77777777" w:rsidR="005A5FCC" w:rsidRDefault="00A21C81">
            <w:pPr>
              <w:spacing w:after="60" w:line="247" w:lineRule="auto"/>
            </w:pPr>
            <w:r>
              <w:rPr>
                <w:rFonts w:cs="EB Garamond"/>
                <w:b/>
                <w:kern w:val="16"/>
                <w:sz w:val="19"/>
                <w14:ligatures w14:val="standardContextual"/>
              </w:rPr>
              <w:t>Recomendação:</w:t>
            </w:r>
            <w:r>
              <w:rPr>
                <w:rFonts w:cs="EB Garamond"/>
                <w:kern w:val="16"/>
                <w:sz w:val="19"/>
                <w14:ligatures w14:val="standardContextual"/>
              </w:rPr>
              <w:t xml:space="preserve"> O planejamento deve ser revisto periodicamente (ao menos anualmente) e o segurado deve ser alertado sobre esses riscos. A decisão final é sempre do cliente, devidamente informado.</w:t>
            </w:r>
          </w:p>
        </w:tc>
      </w:tr>
    </w:tbl>
    <w:p w14:paraId="35692279" w14:textId="77777777" w:rsidR="005A5FCC" w:rsidRDefault="005A5FCC">
      <w:pPr>
        <w:spacing w:after="80" w:line="240" w:lineRule="auto"/>
      </w:pPr>
    </w:p>
    <w:p w14:paraId="1D5C3E59"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11.15 Cálculo detalhado do benefício: caso unificado por cada regra</w:t>
      </w:r>
    </w:p>
    <w:p w14:paraId="76D08D42" w14:textId="77777777" w:rsidR="005A5FCC" w:rsidRDefault="00A21C81">
      <w:pPr>
        <w:spacing w:before="260" w:after="80" w:line="240" w:lineRule="auto"/>
        <w:jc w:val="left"/>
      </w:pPr>
      <w:r>
        <w:rPr>
          <w:rFonts w:cs="EB Garamond"/>
          <w:b/>
          <w:color w:val="3A3128"/>
          <w:kern w:val="16"/>
          <w:sz w:val="25"/>
          <w14:ligatures w14:val="standardContextual"/>
        </w:rPr>
        <w:t>11.15.1 Apresentação do caso-base</w:t>
      </w:r>
    </w:p>
    <w:p w14:paraId="39C80E45"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A</w:t>
      </w:r>
    </w:p>
    <w:p w14:paraId="4AD8391E" w14:textId="77777777" w:rsidR="005A5FCC" w:rsidRDefault="00A21C81">
      <w:r>
        <w:rPr>
          <w:rFonts w:cs="EB Garamond"/>
          <w:kern w:val="16"/>
          <w14:ligatures w14:val="standardContextual"/>
        </w:rPr>
        <w:t xml:space="preserve"> seção 11.10 apresentou um quadro comparativo simplificado. Neste tópico, aprofunda-se a análise com um caso-base unificado calculado por todas as regras, demonstrando passo a passo o procedimento de cálculo que o advogado deve realizar na prática. O objetivo é fornecer um modelo replicável para qualquer caso concreto.</w:t>
      </w:r>
    </w:p>
    <w:p w14:paraId="64141BBF" w14:textId="77777777" w:rsidR="005A5FCC" w:rsidRDefault="00A21C81">
      <w:pPr>
        <w:ind w:firstLine="238"/>
      </w:pPr>
      <w:r>
        <w:rPr>
          <w:rFonts w:cs="EB Garamond"/>
          <w:b/>
          <w:kern w:val="16"/>
          <w14:ligatures w14:val="standardContextual"/>
        </w:rPr>
        <w:t>Ricardo</w:t>
      </w:r>
      <w:r>
        <w:rPr>
          <w:rFonts w:cs="EB Garamond"/>
          <w:kern w:val="16"/>
          <w14:ligatures w14:val="standardContextual"/>
        </w:rPr>
        <w:t>, homem, 62 anos em maio/2026 (nascido em maio/1964). Filiado ao RGPS desde janeiro/1989. Dados previdenciários:</w:t>
      </w:r>
    </w:p>
    <w:p w14:paraId="72796525"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TC total em maio/2026:</w:t>
      </w:r>
      <w:r>
        <w:rPr>
          <w:rFonts w:cs="EB Garamond"/>
          <w:kern w:val="16"/>
          <w:sz w:val="20"/>
          <w14:ligatures w14:val="standardContextual"/>
        </w:rPr>
        <w:t xml:space="preserve"> 37 anos e 4 meses (37,33 anos)</w:t>
      </w:r>
    </w:p>
    <w:p w14:paraId="362A38D3"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TC em 13/11/2019:</w:t>
      </w:r>
      <w:r>
        <w:rPr>
          <w:rFonts w:cs="EB Garamond"/>
          <w:kern w:val="16"/>
          <w:sz w:val="20"/>
          <w14:ligatures w14:val="standardContextual"/>
        </w:rPr>
        <w:t xml:space="preserve"> 30 anos e 10 meses (30,83 anos)</w:t>
      </w:r>
    </w:p>
    <w:p w14:paraId="0CD2BE36"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Períodos de atividade especial:</w:t>
      </w:r>
      <w:r>
        <w:rPr>
          <w:rFonts w:cs="EB Garamond"/>
          <w:kern w:val="16"/>
          <w:sz w:val="20"/>
          <w14:ligatures w14:val="standardContextual"/>
        </w:rPr>
        <w:t xml:space="preserve"> 8 anos (1992-2000), atividade de 25 anos (fator 1,40)</w:t>
      </w:r>
    </w:p>
    <w:p w14:paraId="0BD7E301"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TC com conversão:</w:t>
      </w:r>
      <w:r>
        <w:rPr>
          <w:rFonts w:cs="EB Garamond"/>
          <w:kern w:val="16"/>
          <w:sz w:val="20"/>
          <w14:ligatures w14:val="standardContextual"/>
        </w:rPr>
        <w:t xml:space="preserve"> 8 × 1,40 = 11,2 + 29,33 (restante) = 40,53 anos</w:t>
      </w:r>
    </w:p>
    <w:p w14:paraId="742C587B"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Idade em 13/11/2019:</w:t>
      </w:r>
      <w:r>
        <w:rPr>
          <w:rFonts w:cs="EB Garamond"/>
          <w:kern w:val="16"/>
          <w:sz w:val="20"/>
          <w14:ligatures w14:val="standardContextual"/>
        </w:rPr>
        <w:t xml:space="preserve"> 55 anos e 6 meses</w:t>
      </w:r>
    </w:p>
    <w:p w14:paraId="644B4C96"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Média dos 80% maiores SC:</w:t>
      </w:r>
      <w:r>
        <w:rPr>
          <w:rFonts w:cs="EB Garamond"/>
          <w:kern w:val="16"/>
          <w:sz w:val="20"/>
          <w14:ligatures w14:val="standardContextual"/>
        </w:rPr>
        <w:t xml:space="preserve"> R$ 6.500,00</w:t>
      </w:r>
    </w:p>
    <w:p w14:paraId="37C5F188"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Média de 100% dos SC:</w:t>
      </w:r>
      <w:r>
        <w:rPr>
          <w:rFonts w:cs="EB Garamond"/>
          <w:kern w:val="16"/>
          <w:sz w:val="20"/>
          <w14:ligatures w14:val="standardContextual"/>
        </w:rPr>
        <w:t xml:space="preserve"> R$ 5.600,00</w:t>
      </w:r>
    </w:p>
    <w:p w14:paraId="3FCFBC7B"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Média de 100% dos SC com exclusão (art. 26, § 6º):</w:t>
      </w:r>
      <w:r>
        <w:rPr>
          <w:rFonts w:cs="EB Garamond"/>
          <w:kern w:val="16"/>
          <w:sz w:val="20"/>
          <w14:ligatures w14:val="standardContextual"/>
        </w:rPr>
        <w:t xml:space="preserve"> R$ 5.900,00 (excluindo 15 meses de SC que reduziam a média)</w:t>
      </w:r>
    </w:p>
    <w:p w14:paraId="1F7E9EDD" w14:textId="77777777" w:rsidR="005A5FCC" w:rsidRDefault="005A5FCC">
      <w:pPr>
        <w:spacing w:after="60" w:line="240" w:lineRule="auto"/>
      </w:pPr>
    </w:p>
    <w:p w14:paraId="57A15881" w14:textId="77777777" w:rsidR="005A5FCC" w:rsidRDefault="00A21C81">
      <w:pPr>
        <w:spacing w:before="260" w:after="80" w:line="240" w:lineRule="auto"/>
        <w:jc w:val="left"/>
      </w:pPr>
      <w:r>
        <w:rPr>
          <w:rFonts w:cs="EB Garamond"/>
          <w:b/>
          <w:color w:val="3A3128"/>
          <w:kern w:val="16"/>
          <w:sz w:val="25"/>
          <w14:ligatures w14:val="standardContextual"/>
        </w:rPr>
        <w:t>11.15.2 Cálculo 1 — direito adquirido TC + fator previdenciário</w:t>
      </w:r>
    </w:p>
    <w:p w14:paraId="63CD2CFF"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V</w:t>
      </w:r>
    </w:p>
    <w:p w14:paraId="51440E33" w14:textId="77777777" w:rsidR="005A5FCC" w:rsidRDefault="00A21C81">
      <w:r>
        <w:rPr>
          <w:rFonts w:cs="EB Garamond"/>
          <w:b/>
          <w:kern w:val="16"/>
          <w14:ligatures w14:val="standardContextual"/>
        </w:rPr>
        <w:t>erificação de elegibilidade:</w:t>
      </w:r>
    </w:p>
    <w:p w14:paraId="3AE19305"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 xml:space="preserve">TC até 12/11/2019: 30,83 anos &lt; 35 anos → </w:t>
      </w:r>
      <w:r>
        <w:rPr>
          <w:rFonts w:cs="EB Garamond"/>
          <w:b/>
          <w:kern w:val="16"/>
          <w:sz w:val="20"/>
          <w14:ligatures w14:val="standardContextual"/>
        </w:rPr>
        <w:t>NÃO ELEGÍVEL</w:t>
      </w:r>
    </w:p>
    <w:p w14:paraId="7AD1EE25"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Ricardo não completou 35 anos de TC antes da EC 103/2019.</w:t>
      </w:r>
    </w:p>
    <w:p w14:paraId="62A9FEA5" w14:textId="77777777" w:rsidR="005A5FCC" w:rsidRDefault="005A5FCC">
      <w:pPr>
        <w:spacing w:after="60" w:line="240" w:lineRule="auto"/>
      </w:pPr>
    </w:p>
    <w:p w14:paraId="2E9AEDDD"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R</w:t>
      </w:r>
    </w:p>
    <w:p w14:paraId="08A3FCAC" w14:textId="77777777" w:rsidR="005A5FCC" w:rsidRDefault="00A21C81">
      <w:r>
        <w:rPr>
          <w:rFonts w:cs="EB Garamond"/>
          <w:b/>
          <w:kern w:val="16"/>
          <w14:ligatures w14:val="standardContextual"/>
        </w:rPr>
        <w:t>esultado:</w:t>
      </w:r>
      <w:r>
        <w:rPr>
          <w:rFonts w:cs="EB Garamond"/>
          <w:kern w:val="16"/>
          <w14:ligatures w14:val="standardContextual"/>
        </w:rPr>
        <w:t xml:space="preserve"> Inaplicável.</w:t>
      </w:r>
    </w:p>
    <w:p w14:paraId="16210D9B" w14:textId="77777777" w:rsidR="005A5FCC" w:rsidRDefault="00A21C81">
      <w:pPr>
        <w:spacing w:before="260" w:after="80" w:line="240" w:lineRule="auto"/>
        <w:jc w:val="left"/>
      </w:pPr>
      <w:r>
        <w:rPr>
          <w:rFonts w:cs="EB Garamond"/>
          <w:b/>
          <w:color w:val="3A3128"/>
          <w:kern w:val="16"/>
          <w:sz w:val="25"/>
          <w14:ligatures w14:val="standardContextual"/>
        </w:rPr>
        <w:t>11.15.3 Cálculo 2 — direito adquirido regra 85/95</w:t>
      </w:r>
    </w:p>
    <w:p w14:paraId="0D13B2D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V</w:t>
      </w:r>
    </w:p>
    <w:p w14:paraId="47C109DF" w14:textId="77777777" w:rsidR="005A5FCC" w:rsidRDefault="00A21C81">
      <w:r>
        <w:rPr>
          <w:rFonts w:cs="EB Garamond"/>
          <w:b/>
          <w:kern w:val="16"/>
          <w14:ligatures w14:val="standardContextual"/>
        </w:rPr>
        <w:t>erificação de elegibilidade:</w:t>
      </w:r>
    </w:p>
    <w:p w14:paraId="53A47E16"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 xml:space="preserve">TC até 12/11/2019: 30,83 anos &lt; 35 anos → </w:t>
      </w:r>
      <w:r>
        <w:rPr>
          <w:rFonts w:cs="EB Garamond"/>
          <w:b/>
          <w:kern w:val="16"/>
          <w:sz w:val="20"/>
          <w14:ligatures w14:val="standardContextual"/>
        </w:rPr>
        <w:t>NÃO ELEGÍVEL</w:t>
      </w:r>
      <w:r>
        <w:rPr>
          <w:rFonts w:cs="EB Garamond"/>
          <w:kern w:val="16"/>
          <w:sz w:val="20"/>
          <w14:ligatures w14:val="standardContextual"/>
        </w:rPr>
        <w:t xml:space="preserve"> (não atingiu TC mínimo)</w:t>
      </w:r>
    </w:p>
    <w:p w14:paraId="6885F62B" w14:textId="77777777" w:rsidR="005A5FCC" w:rsidRDefault="00A21C81">
      <w:pPr>
        <w:spacing w:after="40" w:line="252" w:lineRule="auto"/>
        <w:ind w:left="340" w:hanging="198"/>
      </w:pPr>
      <w:r>
        <w:rPr>
          <w:rFonts w:cs="EB Garamond"/>
          <w:color w:val="3A3128"/>
          <w:kern w:val="16"/>
          <w:sz w:val="20"/>
          <w14:ligatures w14:val="standardContextual"/>
        </w:rPr>
        <w:lastRenderedPageBreak/>
        <w:t xml:space="preserve">• </w:t>
      </w:r>
      <w:r>
        <w:rPr>
          <w:rFonts w:cs="EB Garamond"/>
          <w:kern w:val="16"/>
          <w:sz w:val="20"/>
          <w14:ligatures w14:val="standardContextual"/>
        </w:rPr>
        <w:t>Mesmo com conversão especial: TC convertido até 2019 = 8×1,4 + 22,83 = 34,03 &lt; 35 → Não</w:t>
      </w:r>
    </w:p>
    <w:p w14:paraId="7641CA33" w14:textId="77777777" w:rsidR="005A5FCC" w:rsidRDefault="005A5FCC">
      <w:pPr>
        <w:spacing w:after="60" w:line="240" w:lineRule="auto"/>
      </w:pPr>
    </w:p>
    <w:p w14:paraId="54F70D0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R</w:t>
      </w:r>
    </w:p>
    <w:p w14:paraId="24BB7AD2" w14:textId="77777777" w:rsidR="005A5FCC" w:rsidRDefault="00A21C81">
      <w:r>
        <w:rPr>
          <w:rFonts w:cs="EB Garamond"/>
          <w:b/>
          <w:kern w:val="16"/>
          <w14:ligatures w14:val="standardContextual"/>
        </w:rPr>
        <w:t>esultado:</w:t>
      </w:r>
      <w:r>
        <w:rPr>
          <w:rFonts w:cs="EB Garamond"/>
          <w:kern w:val="16"/>
          <w14:ligatures w14:val="standardContextual"/>
        </w:rPr>
        <w:t xml:space="preserve"> Inaplicável.</w:t>
      </w:r>
    </w:p>
    <w:p w14:paraId="47638362" w14:textId="77777777" w:rsidR="005A5FCC" w:rsidRDefault="00A21C81">
      <w:pPr>
        <w:spacing w:before="260" w:after="80" w:line="240" w:lineRule="auto"/>
        <w:jc w:val="left"/>
      </w:pPr>
      <w:r>
        <w:rPr>
          <w:rFonts w:cs="EB Garamond"/>
          <w:b/>
          <w:color w:val="3A3128"/>
          <w:kern w:val="16"/>
          <w:sz w:val="25"/>
          <w14:ligatures w14:val="standardContextual"/>
        </w:rPr>
        <w:t>11.15.4 Cálculo 3 — art. 15 (pontos)</w:t>
      </w:r>
    </w:p>
    <w:p w14:paraId="4FB4302D"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V</w:t>
      </w:r>
    </w:p>
    <w:p w14:paraId="4EA90590" w14:textId="77777777" w:rsidR="005A5FCC" w:rsidRDefault="00A21C81">
      <w:r>
        <w:rPr>
          <w:rFonts w:cs="EB Garamond"/>
          <w:b/>
          <w:kern w:val="16"/>
          <w14:ligatures w14:val="standardContextual"/>
        </w:rPr>
        <w:t>erificação de elegibilidade (usando TC sem conversão, pois os arts. 15-16 usam TC real):</w:t>
      </w:r>
    </w:p>
    <w:p w14:paraId="45474FA3"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TC: 37,33 anos ≥ 35 ✅</w:t>
      </w:r>
    </w:p>
    <w:p w14:paraId="5BC6F063"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 xml:space="preserve">Pontos: 62 + 37,33 = 99,33 &lt; 103 (2026) → </w:t>
      </w:r>
      <w:r>
        <w:rPr>
          <w:rFonts w:cs="EB Garamond"/>
          <w:b/>
          <w:kern w:val="16"/>
          <w:sz w:val="20"/>
          <w14:ligatures w14:val="standardContextual"/>
        </w:rPr>
        <w:t>NÃO ELEGÍVEL em 2026</w:t>
      </w:r>
    </w:p>
    <w:p w14:paraId="7A00ED70"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Projeção 2027: 63 + 38,33 = 101,33 &lt; 104 → NÃO</w:t>
      </w:r>
    </w:p>
    <w:p w14:paraId="10A1DBF9"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Projeção 2028: 64 + 39,33 = 103,33 &lt; 105 (estabilizado) → NÃO</w:t>
      </w:r>
    </w:p>
    <w:p w14:paraId="2C80A3B8"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 xml:space="preserve">Projeção 2029: 65 + 40,33 = 105,33 ≥ 105 → </w:t>
      </w:r>
      <w:r>
        <w:rPr>
          <w:rFonts w:cs="EB Garamond"/>
          <w:b/>
          <w:kern w:val="16"/>
          <w:sz w:val="20"/>
          <w14:ligatures w14:val="standardContextual"/>
        </w:rPr>
        <w:t>ELEGÍVEL em 2029</w:t>
      </w:r>
    </w:p>
    <w:p w14:paraId="5E158F87" w14:textId="77777777" w:rsidR="005A5FCC" w:rsidRDefault="005A5FCC">
      <w:pPr>
        <w:spacing w:after="60" w:line="240" w:lineRule="auto"/>
      </w:pPr>
    </w:p>
    <w:p w14:paraId="7C300508"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C</w:t>
      </w:r>
    </w:p>
    <w:p w14:paraId="593DFFB0" w14:textId="77777777" w:rsidR="005A5FCC" w:rsidRDefault="00A21C81">
      <w:r>
        <w:rPr>
          <w:rFonts w:cs="EB Garamond"/>
          <w:b/>
          <w:kern w:val="16"/>
          <w14:ligatures w14:val="standardContextual"/>
        </w:rPr>
        <w:t>álculo (projeção 2029):</w:t>
      </w:r>
    </w:p>
    <w:p w14:paraId="3A86DF79"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Média 100% SC (com exclusão): R$ 5.900,00</w:t>
      </w:r>
    </w:p>
    <w:p w14:paraId="63380B4F"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Coeficiente: 60% + 2% × (40,33 - 20) = 60% + 40,66% = 100,66% (não há limitação a 100% — o art. 26, § 5º, EC 103, limita apenas a aposentadoria por incapacidade permanente não acidentária)</w:t>
      </w:r>
    </w:p>
    <w:p w14:paraId="7816B42E"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 xml:space="preserve">RMI: R$ 5.900 × 100,66% = </w:t>
      </w:r>
      <w:r>
        <w:rPr>
          <w:rFonts w:cs="EB Garamond"/>
          <w:b/>
          <w:kern w:val="16"/>
          <w:sz w:val="20"/>
          <w14:ligatures w14:val="standardContextual"/>
        </w:rPr>
        <w:t>R$ 5.938,94</w:t>
      </w:r>
      <w:r>
        <w:rPr>
          <w:rFonts w:cs="EB Garamond"/>
          <w:kern w:val="16"/>
          <w:sz w:val="20"/>
          <w14:ligatures w14:val="standardContextual"/>
        </w:rPr>
        <w:t xml:space="preserve"> (limitado ao teto RGPS)</w:t>
      </w:r>
    </w:p>
    <w:p w14:paraId="1A0B4ACA" w14:textId="77777777" w:rsidR="005A5FCC" w:rsidRDefault="005A5FCC">
      <w:pPr>
        <w:spacing w:after="60" w:line="240" w:lineRule="auto"/>
      </w:pPr>
    </w:p>
    <w:p w14:paraId="3E40E772"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5AFBE5DE" w14:textId="77777777" w:rsidR="005A5FCC" w:rsidRDefault="00A21C81">
      <w:r>
        <w:rPr>
          <w:rFonts w:cs="EB Garamond"/>
          <w:kern w:val="16"/>
          <w14:ligatures w14:val="standardContextual"/>
        </w:rPr>
        <w:t>bservação: sem conversão de tempo especial. A conversão de tempo especial em comum não gera acréscimo no TC para fins dos arts. 15 e 16 quando o segurado já possui o TC mínimo de 35 anos; ela é útil quando o segurado NÃO atingiu os 35 anos de TC com o tempo real.</w:t>
      </w:r>
    </w:p>
    <w:p w14:paraId="0CAE4D3E" w14:textId="77777777" w:rsidR="005A5FCC" w:rsidRDefault="00A21C81">
      <w:pPr>
        <w:spacing w:before="260" w:after="80" w:line="240" w:lineRule="auto"/>
        <w:jc w:val="left"/>
      </w:pPr>
      <w:r>
        <w:rPr>
          <w:rFonts w:cs="EB Garamond"/>
          <w:b/>
          <w:color w:val="3A3128"/>
          <w:kern w:val="16"/>
          <w:sz w:val="25"/>
          <w14:ligatures w14:val="standardContextual"/>
        </w:rPr>
        <w:t>11.15.5 Cálculo 4 — art. 16 (idade mínima progressiva)</w:t>
      </w:r>
    </w:p>
    <w:p w14:paraId="15D603F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V</w:t>
      </w:r>
    </w:p>
    <w:p w14:paraId="4E62D64C" w14:textId="77777777" w:rsidR="005A5FCC" w:rsidRDefault="00A21C81">
      <w:r>
        <w:rPr>
          <w:rFonts w:cs="EB Garamond"/>
          <w:b/>
          <w:kern w:val="16"/>
          <w14:ligatures w14:val="standardContextual"/>
        </w:rPr>
        <w:t>erificação de elegibilidade:</w:t>
      </w:r>
    </w:p>
    <w:p w14:paraId="40C40AF5"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TC: 37,33 anos ≥ 35 ✅</w:t>
      </w:r>
    </w:p>
    <w:p w14:paraId="3BE541AE"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 xml:space="preserve">Idade 2026: 62 &lt; 64,5 → </w:t>
      </w:r>
      <w:r>
        <w:rPr>
          <w:rFonts w:cs="EB Garamond"/>
          <w:b/>
          <w:kern w:val="16"/>
          <w:sz w:val="20"/>
          <w14:ligatures w14:val="standardContextual"/>
        </w:rPr>
        <w:t>NÃO ELEGÍVEL em 2026</w:t>
      </w:r>
    </w:p>
    <w:p w14:paraId="65158088"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Projeção 2027: 63 &lt; 65 → NÃO (2027: homem = 65 anos, estabilizado)</w:t>
      </w:r>
    </w:p>
    <w:p w14:paraId="04F0D6D3" w14:textId="77777777" w:rsidR="005A5FCC" w:rsidRDefault="00A21C81">
      <w:pPr>
        <w:spacing w:after="40" w:line="252" w:lineRule="auto"/>
        <w:ind w:left="340" w:hanging="198"/>
      </w:pPr>
      <w:r>
        <w:rPr>
          <w:rFonts w:cs="EB Garamond"/>
          <w:color w:val="3A3128"/>
          <w:kern w:val="16"/>
          <w:sz w:val="20"/>
          <w14:ligatures w14:val="standardContextual"/>
        </w:rPr>
        <w:lastRenderedPageBreak/>
        <w:t xml:space="preserve">• </w:t>
      </w:r>
      <w:r>
        <w:rPr>
          <w:rFonts w:cs="EB Garamond"/>
          <w:kern w:val="16"/>
          <w:sz w:val="20"/>
          <w14:ligatures w14:val="standardContextual"/>
        </w:rPr>
        <w:t xml:space="preserve">Projeção 2029: 65 ≥ 65 → </w:t>
      </w:r>
      <w:r>
        <w:rPr>
          <w:rFonts w:cs="EB Garamond"/>
          <w:b/>
          <w:kern w:val="16"/>
          <w:sz w:val="20"/>
          <w14:ligatures w14:val="standardContextual"/>
        </w:rPr>
        <w:t>ELEGÍVEL em 2029</w:t>
      </w:r>
    </w:p>
    <w:p w14:paraId="266E01F8" w14:textId="77777777" w:rsidR="005A5FCC" w:rsidRDefault="005A5FCC">
      <w:pPr>
        <w:spacing w:after="60" w:line="240" w:lineRule="auto"/>
      </w:pPr>
    </w:p>
    <w:p w14:paraId="654E4C1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C</w:t>
      </w:r>
    </w:p>
    <w:p w14:paraId="07CA6674" w14:textId="77777777" w:rsidR="005A5FCC" w:rsidRDefault="00A21C81">
      <w:r>
        <w:rPr>
          <w:rFonts w:cs="EB Garamond"/>
          <w:b/>
          <w:kern w:val="16"/>
          <w14:ligatures w14:val="standardContextual"/>
        </w:rPr>
        <w:t>álculo (projeção 2029):</w:t>
      </w:r>
    </w:p>
    <w:p w14:paraId="7AC91DEB"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Média 100% SC (com exclusão): R$ 5.900,00</w:t>
      </w:r>
    </w:p>
    <w:p w14:paraId="108DBFE7"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Coeficiente: 60% + 2% × (40,33 - 20) = 100,66%</w:t>
      </w:r>
    </w:p>
    <w:p w14:paraId="2907BA64"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 xml:space="preserve">RMI: R$ 5.900 × 100,66% = </w:t>
      </w:r>
      <w:r>
        <w:rPr>
          <w:rFonts w:cs="EB Garamond"/>
          <w:b/>
          <w:kern w:val="16"/>
          <w:sz w:val="20"/>
          <w14:ligatures w14:val="standardContextual"/>
        </w:rPr>
        <w:t>R$ 5.938,94</w:t>
      </w:r>
      <w:r>
        <w:rPr>
          <w:rFonts w:cs="EB Garamond"/>
          <w:kern w:val="16"/>
          <w:sz w:val="20"/>
          <w14:ligatures w14:val="standardContextual"/>
        </w:rPr>
        <w:t xml:space="preserve"> (idêntico ao art. 15)</w:t>
      </w:r>
    </w:p>
    <w:p w14:paraId="28864E05" w14:textId="77777777" w:rsidR="005A5FCC" w:rsidRDefault="005A5FCC">
      <w:pPr>
        <w:spacing w:after="60" w:line="240" w:lineRule="auto"/>
      </w:pPr>
    </w:p>
    <w:p w14:paraId="436BD86E" w14:textId="77777777" w:rsidR="005A5FCC" w:rsidRDefault="00A21C81">
      <w:pPr>
        <w:spacing w:before="260" w:after="80" w:line="240" w:lineRule="auto"/>
        <w:jc w:val="left"/>
      </w:pPr>
      <w:r>
        <w:rPr>
          <w:rFonts w:cs="EB Garamond"/>
          <w:b/>
          <w:color w:val="3A3128"/>
          <w:kern w:val="16"/>
          <w:sz w:val="25"/>
          <w14:ligatures w14:val="standardContextual"/>
        </w:rPr>
        <w:t>11.15.6 Cálculo 5 — art. 17 (pedágio 50%)</w:t>
      </w:r>
    </w:p>
    <w:p w14:paraId="1B5AB9CC"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V</w:t>
      </w:r>
    </w:p>
    <w:p w14:paraId="029685AE" w14:textId="77777777" w:rsidR="005A5FCC" w:rsidRDefault="00A21C81">
      <w:r>
        <w:rPr>
          <w:rFonts w:cs="EB Garamond"/>
          <w:b/>
          <w:kern w:val="16"/>
          <w14:ligatures w14:val="standardContextual"/>
        </w:rPr>
        <w:t>erificação de elegibilidade:</w:t>
      </w:r>
    </w:p>
    <w:p w14:paraId="63930B06"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 xml:space="preserve">TC em 13/11/2019: 30,83 anos → faltavam 4,17 anos para 35 → </w:t>
      </w:r>
      <w:r>
        <w:rPr>
          <w:rFonts w:cs="EB Garamond"/>
          <w:b/>
          <w:kern w:val="16"/>
          <w:sz w:val="20"/>
          <w14:ligatures w14:val="standardContextual"/>
        </w:rPr>
        <w:t>&gt; 2 anos → NÃO ELEGÍVEL</w:t>
      </w:r>
    </w:p>
    <w:p w14:paraId="1B1AC278" w14:textId="77777777" w:rsidR="005A5FCC" w:rsidRDefault="005A5FCC">
      <w:pPr>
        <w:spacing w:after="60" w:line="240" w:lineRule="auto"/>
      </w:pPr>
    </w:p>
    <w:p w14:paraId="6CA3458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R</w:t>
      </w:r>
    </w:p>
    <w:p w14:paraId="4EAFB811" w14:textId="77777777" w:rsidR="005A5FCC" w:rsidRDefault="00A21C81">
      <w:r>
        <w:rPr>
          <w:rFonts w:cs="EB Garamond"/>
          <w:b/>
          <w:kern w:val="16"/>
          <w14:ligatures w14:val="standardContextual"/>
        </w:rPr>
        <w:t>esultado:</w:t>
      </w:r>
      <w:r>
        <w:rPr>
          <w:rFonts w:cs="EB Garamond"/>
          <w:kern w:val="16"/>
          <w14:ligatures w14:val="standardContextual"/>
        </w:rPr>
        <w:t xml:space="preserve"> Inaplicável. O pedágio 50% exige que faltassem menos de 2 anos em 13/11/2019.</w:t>
      </w:r>
    </w:p>
    <w:p w14:paraId="4635449C" w14:textId="77777777" w:rsidR="005A5FCC" w:rsidRDefault="00A21C81">
      <w:pPr>
        <w:spacing w:before="260" w:after="80" w:line="240" w:lineRule="auto"/>
        <w:jc w:val="left"/>
      </w:pPr>
      <w:r>
        <w:rPr>
          <w:rFonts w:cs="EB Garamond"/>
          <w:b/>
          <w:color w:val="3A3128"/>
          <w:kern w:val="16"/>
          <w:sz w:val="25"/>
          <w14:ligatures w14:val="standardContextual"/>
        </w:rPr>
        <w:t>11.15.7 Cálculo 6 — art. 20 (pedágio 100%)</w:t>
      </w:r>
    </w:p>
    <w:p w14:paraId="0495E5C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V</w:t>
      </w:r>
    </w:p>
    <w:p w14:paraId="059B9866" w14:textId="77777777" w:rsidR="005A5FCC" w:rsidRDefault="00A21C81">
      <w:r>
        <w:rPr>
          <w:rFonts w:cs="EB Garamond"/>
          <w:b/>
          <w:kern w:val="16"/>
          <w14:ligatures w14:val="standardContextual"/>
        </w:rPr>
        <w:t>erificação de elegibilidade:</w:t>
      </w:r>
    </w:p>
    <w:p w14:paraId="3D322386"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Idade: 62 ≥ 60 ✅</w:t>
      </w:r>
    </w:p>
    <w:p w14:paraId="4789946F"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TC: 37,33 ≥ 35 ✅</w:t>
      </w:r>
    </w:p>
    <w:p w14:paraId="04104E7B"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Pedágio: faltavam 4,17 anos em 13/11/2019 → pedágio = 4,17 anos (4 anos e 2 meses)</w:t>
      </w:r>
    </w:p>
    <w:p w14:paraId="009F643C"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TC necessário: 35 + 4,17 = 39,17 anos</w:t>
      </w:r>
    </w:p>
    <w:p w14:paraId="7DD4F0F7"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 xml:space="preserve">TC atual: 37,33 &lt; 39,17 → </w:t>
      </w:r>
      <w:r>
        <w:rPr>
          <w:rFonts w:cs="EB Garamond"/>
          <w:b/>
          <w:kern w:val="16"/>
          <w:sz w:val="20"/>
          <w14:ligatures w14:val="standardContextual"/>
        </w:rPr>
        <w:t>NÃO ELEGÍVEL em 2026</w:t>
      </w:r>
      <w:r>
        <w:rPr>
          <w:rFonts w:cs="EB Garamond"/>
          <w:kern w:val="16"/>
          <w:sz w:val="20"/>
          <w14:ligatures w14:val="standardContextual"/>
        </w:rPr>
        <w:t xml:space="preserve"> (faltam 1,84 anos)</w:t>
      </w:r>
    </w:p>
    <w:p w14:paraId="6D2D2326"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 xml:space="preserve">Projeção 2028: 39,33 ≥ 39,17 → </w:t>
      </w:r>
      <w:r>
        <w:rPr>
          <w:rFonts w:cs="EB Garamond"/>
          <w:b/>
          <w:kern w:val="16"/>
          <w:sz w:val="20"/>
          <w14:ligatures w14:val="standardContextual"/>
        </w:rPr>
        <w:t>ELEGÍVEL em 2028</w:t>
      </w:r>
      <w:r>
        <w:rPr>
          <w:rFonts w:cs="EB Garamond"/>
          <w:kern w:val="16"/>
          <w:sz w:val="20"/>
          <w14:ligatures w14:val="standardContextual"/>
        </w:rPr>
        <w:t xml:space="preserve"> (com 64 anos e 39,33 TC)</w:t>
      </w:r>
    </w:p>
    <w:p w14:paraId="77AA5213" w14:textId="77777777" w:rsidR="005A5FCC" w:rsidRDefault="005A5FCC">
      <w:pPr>
        <w:spacing w:after="60" w:line="240" w:lineRule="auto"/>
      </w:pPr>
    </w:p>
    <w:p w14:paraId="5C1BAB0C"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C</w:t>
      </w:r>
    </w:p>
    <w:p w14:paraId="2C7DC6D9" w14:textId="77777777" w:rsidR="005A5FCC" w:rsidRDefault="00A21C81">
      <w:r>
        <w:rPr>
          <w:rFonts w:cs="EB Garamond"/>
          <w:b/>
          <w:kern w:val="16"/>
          <w14:ligatures w14:val="standardContextual"/>
        </w:rPr>
        <w:t>álculo (projeção 2028):</w:t>
      </w:r>
    </w:p>
    <w:p w14:paraId="7042445A"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Média 100% SC: R$ 5.600,00 (sem exclusão); o art. 26, § 6º (exclusão de SC) aplica-se também ao art. 20</w:t>
      </w:r>
    </w:p>
    <w:p w14:paraId="39452283"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Com exclusão: R$ 5.900,00</w:t>
      </w:r>
    </w:p>
    <w:p w14:paraId="2C49D222"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 xml:space="preserve">Coeficiente: </w:t>
      </w:r>
      <w:r>
        <w:rPr>
          <w:rFonts w:cs="EB Garamond"/>
          <w:b/>
          <w:kern w:val="16"/>
          <w:sz w:val="20"/>
          <w14:ligatures w14:val="standardContextual"/>
        </w:rPr>
        <w:t>100%</w:t>
      </w:r>
      <w:r>
        <w:rPr>
          <w:rFonts w:cs="EB Garamond"/>
          <w:kern w:val="16"/>
          <w:sz w:val="20"/>
          <w14:ligatures w14:val="standardContextual"/>
        </w:rPr>
        <w:t xml:space="preserve"> (integral, sem escalonamento)</w:t>
      </w:r>
    </w:p>
    <w:p w14:paraId="270F3453" w14:textId="77777777" w:rsidR="005A5FCC" w:rsidRDefault="00A21C81">
      <w:pPr>
        <w:spacing w:after="40" w:line="252" w:lineRule="auto"/>
        <w:ind w:left="340" w:hanging="198"/>
      </w:pPr>
      <w:r>
        <w:rPr>
          <w:rFonts w:cs="EB Garamond"/>
          <w:color w:val="3A3128"/>
          <w:kern w:val="16"/>
          <w:sz w:val="20"/>
          <w14:ligatures w14:val="standardContextual"/>
        </w:rPr>
        <w:lastRenderedPageBreak/>
        <w:t xml:space="preserve">• </w:t>
      </w:r>
      <w:r>
        <w:rPr>
          <w:rFonts w:cs="EB Garamond"/>
          <w:kern w:val="16"/>
          <w:sz w:val="20"/>
          <w14:ligatures w14:val="standardContextual"/>
        </w:rPr>
        <w:t xml:space="preserve">RMI: R$ 5.900 × 100% = </w:t>
      </w:r>
      <w:r>
        <w:rPr>
          <w:rFonts w:cs="EB Garamond"/>
          <w:b/>
          <w:kern w:val="16"/>
          <w:sz w:val="20"/>
          <w14:ligatures w14:val="standardContextual"/>
        </w:rPr>
        <w:t>R$ 5.900,00</w:t>
      </w:r>
    </w:p>
    <w:p w14:paraId="0D57230E" w14:textId="77777777" w:rsidR="005A5FCC" w:rsidRDefault="005A5FCC">
      <w:pPr>
        <w:spacing w:after="60" w:line="240" w:lineRule="auto"/>
      </w:pPr>
    </w:p>
    <w:p w14:paraId="62E88DD3" w14:textId="77777777" w:rsidR="005A5FCC" w:rsidRDefault="00A21C81">
      <w:pPr>
        <w:spacing w:before="260" w:after="80" w:line="240" w:lineRule="auto"/>
        <w:jc w:val="left"/>
      </w:pPr>
      <w:r>
        <w:rPr>
          <w:rFonts w:cs="EB Garamond"/>
          <w:b/>
          <w:color w:val="3A3128"/>
          <w:kern w:val="16"/>
          <w:sz w:val="25"/>
          <w14:ligatures w14:val="standardContextual"/>
        </w:rPr>
        <w:t>11.15.8 Quadro comparativo final — Ricardo</w:t>
      </w:r>
    </w:p>
    <w:tbl>
      <w:tblPr>
        <w:tblW w:w="5000" w:type="pct"/>
        <w:jc w:val="center"/>
        <w:tblLook w:val="04A0" w:firstRow="1" w:lastRow="0" w:firstColumn="1" w:lastColumn="0" w:noHBand="0" w:noVBand="1"/>
      </w:tblPr>
      <w:tblGrid>
        <w:gridCol w:w="1268"/>
        <w:gridCol w:w="1267"/>
        <w:gridCol w:w="1269"/>
        <w:gridCol w:w="1268"/>
        <w:gridCol w:w="1268"/>
      </w:tblGrid>
      <w:tr w:rsidR="005A5FCC" w14:paraId="3757B678" w14:textId="77777777">
        <w:trPr>
          <w:tblHeader/>
          <w:jc w:val="center"/>
        </w:trPr>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0E95CB45" w14:textId="77777777" w:rsidR="005A5FCC" w:rsidRDefault="00A21C81">
            <w:pPr>
              <w:spacing w:before="40" w:after="40" w:line="240" w:lineRule="auto"/>
              <w:jc w:val="center"/>
            </w:pPr>
            <w:r>
              <w:rPr>
                <w:rFonts w:cs="EB Garamond"/>
                <w:b/>
                <w:color w:val="2F2923"/>
                <w:kern w:val="16"/>
                <w:sz w:val="18"/>
                <w14:ligatures w14:val="standardContextual"/>
              </w:rPr>
              <w:t>Regra</w:t>
            </w:r>
          </w:p>
        </w:tc>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23A3D3F6" w14:textId="77777777" w:rsidR="005A5FCC" w:rsidRDefault="00A21C81">
            <w:pPr>
              <w:spacing w:before="40" w:after="40" w:line="240" w:lineRule="auto"/>
              <w:jc w:val="center"/>
            </w:pPr>
            <w:r>
              <w:rPr>
                <w:rFonts w:cs="EB Garamond"/>
                <w:b/>
                <w:color w:val="2F2923"/>
                <w:kern w:val="16"/>
                <w:sz w:val="18"/>
                <w14:ligatures w14:val="standardContextual"/>
              </w:rPr>
              <w:t>Elegível?</w:t>
            </w:r>
          </w:p>
        </w:tc>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5F073931" w14:textId="77777777" w:rsidR="005A5FCC" w:rsidRDefault="00A21C81">
            <w:pPr>
              <w:spacing w:before="40" w:after="40" w:line="240" w:lineRule="auto"/>
              <w:jc w:val="center"/>
            </w:pPr>
            <w:r>
              <w:rPr>
                <w:rFonts w:cs="EB Garamond"/>
                <w:b/>
                <w:color w:val="2F2923"/>
                <w:kern w:val="16"/>
                <w:sz w:val="18"/>
                <w14:ligatures w14:val="standardContextual"/>
              </w:rPr>
              <w:t>Quando?</w:t>
            </w:r>
          </w:p>
        </w:tc>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3329E8D0" w14:textId="77777777" w:rsidR="005A5FCC" w:rsidRDefault="00A21C81">
            <w:pPr>
              <w:spacing w:before="40" w:after="40" w:line="240" w:lineRule="auto"/>
              <w:jc w:val="center"/>
            </w:pPr>
            <w:r>
              <w:rPr>
                <w:rFonts w:cs="EB Garamond"/>
                <w:b/>
                <w:color w:val="2F2923"/>
                <w:kern w:val="16"/>
                <w:sz w:val="18"/>
                <w14:ligatures w14:val="standardContextual"/>
              </w:rPr>
              <w:t>RMI estimada</w:t>
            </w:r>
          </w:p>
        </w:tc>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69D54F7F" w14:textId="77777777" w:rsidR="005A5FCC" w:rsidRDefault="00A21C81">
            <w:pPr>
              <w:spacing w:before="40" w:after="40" w:line="240" w:lineRule="auto"/>
              <w:jc w:val="center"/>
            </w:pPr>
            <w:r>
              <w:rPr>
                <w:rFonts w:cs="EB Garamond"/>
                <w:b/>
                <w:color w:val="2F2923"/>
                <w:kern w:val="16"/>
                <w:sz w:val="18"/>
                <w14:ligatures w14:val="standardContextual"/>
              </w:rPr>
              <w:t>Observação</w:t>
            </w:r>
          </w:p>
        </w:tc>
      </w:tr>
      <w:tr w:rsidR="005A5FCC" w14:paraId="438939B4"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3AFFF2AF" w14:textId="77777777" w:rsidR="005A5FCC" w:rsidRDefault="00A21C81">
            <w:pPr>
              <w:spacing w:before="20" w:after="20" w:line="240" w:lineRule="auto"/>
              <w:jc w:val="left"/>
            </w:pPr>
            <w:r>
              <w:rPr>
                <w:rFonts w:cs="EB Garamond"/>
                <w:kern w:val="16"/>
                <w:sz w:val="18"/>
                <w14:ligatures w14:val="standardContextual"/>
              </w:rPr>
              <w:t>Direito adquirido TC + fator</w:t>
            </w:r>
          </w:p>
        </w:tc>
        <w:tc>
          <w:tcPr>
            <w:tcW w:w="1270" w:type="dxa"/>
            <w:tcBorders>
              <w:top w:val="single" w:sz="4" w:space="0" w:color="D2C9B8"/>
              <w:left w:val="single" w:sz="4" w:space="0" w:color="D2C9B8"/>
              <w:bottom w:val="single" w:sz="4" w:space="0" w:color="D2C9B8"/>
              <w:right w:val="single" w:sz="4" w:space="0" w:color="D2C9B8"/>
            </w:tcBorders>
          </w:tcPr>
          <w:p w14:paraId="080DFC4B" w14:textId="77777777" w:rsidR="005A5FCC" w:rsidRDefault="00A21C81">
            <w:pPr>
              <w:spacing w:before="20" w:after="20" w:line="240" w:lineRule="auto"/>
              <w:jc w:val="left"/>
            </w:pPr>
            <w:r>
              <w:rPr>
                <w:rFonts w:cs="EB Garamond"/>
                <w:kern w:val="16"/>
                <w:sz w:val="18"/>
                <w14:ligatures w14:val="standardContextual"/>
              </w:rPr>
              <w:t>Não</w:t>
            </w:r>
          </w:p>
        </w:tc>
        <w:tc>
          <w:tcPr>
            <w:tcW w:w="1270" w:type="dxa"/>
            <w:tcBorders>
              <w:top w:val="single" w:sz="4" w:space="0" w:color="D2C9B8"/>
              <w:left w:val="single" w:sz="4" w:space="0" w:color="D2C9B8"/>
              <w:bottom w:val="single" w:sz="4" w:space="0" w:color="D2C9B8"/>
              <w:right w:val="single" w:sz="4" w:space="0" w:color="D2C9B8"/>
            </w:tcBorders>
          </w:tcPr>
          <w:p w14:paraId="1B947F1F" w14:textId="77777777" w:rsidR="005A5FCC" w:rsidRDefault="00A21C81">
            <w:pPr>
              <w:spacing w:before="20" w:after="20" w:line="240" w:lineRule="auto"/>
              <w:jc w:val="left"/>
            </w:pPr>
            <w:r>
              <w:rPr>
                <w:rFonts w:cs="EB Garamond"/>
                <w:kern w:val="16"/>
                <w:sz w:val="18"/>
                <w14:ligatures w14:val="standardContextual"/>
              </w:rPr>
              <w:t>—</w:t>
            </w:r>
          </w:p>
        </w:tc>
        <w:tc>
          <w:tcPr>
            <w:tcW w:w="1270" w:type="dxa"/>
            <w:tcBorders>
              <w:top w:val="single" w:sz="4" w:space="0" w:color="D2C9B8"/>
              <w:left w:val="single" w:sz="4" w:space="0" w:color="D2C9B8"/>
              <w:bottom w:val="single" w:sz="4" w:space="0" w:color="D2C9B8"/>
              <w:right w:val="single" w:sz="4" w:space="0" w:color="D2C9B8"/>
            </w:tcBorders>
          </w:tcPr>
          <w:p w14:paraId="2ADD92BE" w14:textId="77777777" w:rsidR="005A5FCC" w:rsidRDefault="00A21C81">
            <w:pPr>
              <w:spacing w:before="20" w:after="20" w:line="240" w:lineRule="auto"/>
              <w:jc w:val="left"/>
            </w:pPr>
            <w:r>
              <w:rPr>
                <w:rFonts w:cs="EB Garamond"/>
                <w:kern w:val="16"/>
                <w:sz w:val="18"/>
                <w14:ligatures w14:val="standardContextual"/>
              </w:rPr>
              <w:t>—</w:t>
            </w:r>
          </w:p>
        </w:tc>
        <w:tc>
          <w:tcPr>
            <w:tcW w:w="1270" w:type="dxa"/>
            <w:tcBorders>
              <w:top w:val="single" w:sz="4" w:space="0" w:color="D2C9B8"/>
              <w:left w:val="single" w:sz="4" w:space="0" w:color="D2C9B8"/>
              <w:bottom w:val="single" w:sz="4" w:space="0" w:color="D2C9B8"/>
              <w:right w:val="single" w:sz="4" w:space="0" w:color="D2C9B8"/>
            </w:tcBorders>
          </w:tcPr>
          <w:p w14:paraId="11534BA2" w14:textId="77777777" w:rsidR="005A5FCC" w:rsidRDefault="00A21C81">
            <w:pPr>
              <w:spacing w:before="20" w:after="20" w:line="240" w:lineRule="auto"/>
              <w:jc w:val="left"/>
            </w:pPr>
            <w:r>
              <w:rPr>
                <w:rFonts w:cs="EB Garamond"/>
                <w:kern w:val="16"/>
                <w:sz w:val="18"/>
                <w14:ligatures w14:val="standardContextual"/>
              </w:rPr>
              <w:t>TC insuficiente em 2019</w:t>
            </w:r>
          </w:p>
        </w:tc>
      </w:tr>
      <w:tr w:rsidR="005A5FCC" w14:paraId="214A9EA8"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02777C8B" w14:textId="77777777" w:rsidR="005A5FCC" w:rsidRDefault="00A21C81">
            <w:pPr>
              <w:spacing w:before="20" w:after="20" w:line="240" w:lineRule="auto"/>
              <w:jc w:val="left"/>
            </w:pPr>
            <w:r>
              <w:rPr>
                <w:rFonts w:cs="EB Garamond"/>
                <w:kern w:val="16"/>
                <w:sz w:val="18"/>
                <w14:ligatures w14:val="standardContextual"/>
              </w:rPr>
              <w:t>Direito adquirido 85/95</w:t>
            </w:r>
          </w:p>
        </w:tc>
        <w:tc>
          <w:tcPr>
            <w:tcW w:w="1270" w:type="dxa"/>
            <w:tcBorders>
              <w:top w:val="single" w:sz="4" w:space="0" w:color="D2C9B8"/>
              <w:left w:val="single" w:sz="4" w:space="0" w:color="D2C9B8"/>
              <w:bottom w:val="single" w:sz="4" w:space="0" w:color="D2C9B8"/>
              <w:right w:val="single" w:sz="4" w:space="0" w:color="D2C9B8"/>
            </w:tcBorders>
          </w:tcPr>
          <w:p w14:paraId="3CF1A548" w14:textId="77777777" w:rsidR="005A5FCC" w:rsidRDefault="00A21C81">
            <w:pPr>
              <w:spacing w:before="20" w:after="20" w:line="240" w:lineRule="auto"/>
              <w:jc w:val="left"/>
            </w:pPr>
            <w:r>
              <w:rPr>
                <w:rFonts w:cs="EB Garamond"/>
                <w:kern w:val="16"/>
                <w:sz w:val="18"/>
                <w14:ligatures w14:val="standardContextual"/>
              </w:rPr>
              <w:t>Não</w:t>
            </w:r>
          </w:p>
        </w:tc>
        <w:tc>
          <w:tcPr>
            <w:tcW w:w="1270" w:type="dxa"/>
            <w:tcBorders>
              <w:top w:val="single" w:sz="4" w:space="0" w:color="D2C9B8"/>
              <w:left w:val="single" w:sz="4" w:space="0" w:color="D2C9B8"/>
              <w:bottom w:val="single" w:sz="4" w:space="0" w:color="D2C9B8"/>
              <w:right w:val="single" w:sz="4" w:space="0" w:color="D2C9B8"/>
            </w:tcBorders>
          </w:tcPr>
          <w:p w14:paraId="1D5E8B42" w14:textId="77777777" w:rsidR="005A5FCC" w:rsidRDefault="00A21C81">
            <w:pPr>
              <w:spacing w:before="20" w:after="20" w:line="240" w:lineRule="auto"/>
              <w:jc w:val="left"/>
            </w:pPr>
            <w:r>
              <w:rPr>
                <w:rFonts w:cs="EB Garamond"/>
                <w:kern w:val="16"/>
                <w:sz w:val="18"/>
                <w14:ligatures w14:val="standardContextual"/>
              </w:rPr>
              <w:t>—</w:t>
            </w:r>
          </w:p>
        </w:tc>
        <w:tc>
          <w:tcPr>
            <w:tcW w:w="1270" w:type="dxa"/>
            <w:tcBorders>
              <w:top w:val="single" w:sz="4" w:space="0" w:color="D2C9B8"/>
              <w:left w:val="single" w:sz="4" w:space="0" w:color="D2C9B8"/>
              <w:bottom w:val="single" w:sz="4" w:space="0" w:color="D2C9B8"/>
              <w:right w:val="single" w:sz="4" w:space="0" w:color="D2C9B8"/>
            </w:tcBorders>
          </w:tcPr>
          <w:p w14:paraId="4F113420" w14:textId="77777777" w:rsidR="005A5FCC" w:rsidRDefault="00A21C81">
            <w:pPr>
              <w:spacing w:before="20" w:after="20" w:line="240" w:lineRule="auto"/>
              <w:jc w:val="left"/>
            </w:pPr>
            <w:r>
              <w:rPr>
                <w:rFonts w:cs="EB Garamond"/>
                <w:kern w:val="16"/>
                <w:sz w:val="18"/>
                <w14:ligatures w14:val="standardContextual"/>
              </w:rPr>
              <w:t>—</w:t>
            </w:r>
          </w:p>
        </w:tc>
        <w:tc>
          <w:tcPr>
            <w:tcW w:w="1270" w:type="dxa"/>
            <w:tcBorders>
              <w:top w:val="single" w:sz="4" w:space="0" w:color="D2C9B8"/>
              <w:left w:val="single" w:sz="4" w:space="0" w:color="D2C9B8"/>
              <w:bottom w:val="single" w:sz="4" w:space="0" w:color="D2C9B8"/>
              <w:right w:val="single" w:sz="4" w:space="0" w:color="D2C9B8"/>
            </w:tcBorders>
          </w:tcPr>
          <w:p w14:paraId="62097E99" w14:textId="77777777" w:rsidR="005A5FCC" w:rsidRDefault="00A21C81">
            <w:pPr>
              <w:spacing w:before="20" w:after="20" w:line="240" w:lineRule="auto"/>
              <w:jc w:val="left"/>
            </w:pPr>
            <w:r>
              <w:rPr>
                <w:rFonts w:cs="EB Garamond"/>
                <w:kern w:val="16"/>
                <w:sz w:val="18"/>
                <w14:ligatures w14:val="standardContextual"/>
              </w:rPr>
              <w:t>TC e pontos insuficientes em 2019</w:t>
            </w:r>
          </w:p>
        </w:tc>
      </w:tr>
      <w:tr w:rsidR="005A5FCC" w14:paraId="1CC33B52"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46B55C29" w14:textId="77777777" w:rsidR="005A5FCC" w:rsidRDefault="00A21C81">
            <w:pPr>
              <w:spacing w:before="20" w:after="20" w:line="240" w:lineRule="auto"/>
              <w:jc w:val="left"/>
            </w:pPr>
            <w:r>
              <w:rPr>
                <w:rFonts w:cs="EB Garamond"/>
                <w:kern w:val="16"/>
                <w:sz w:val="18"/>
                <w14:ligatures w14:val="standardContextual"/>
              </w:rPr>
              <w:t>Art. 15 (pontos)</w:t>
            </w:r>
          </w:p>
        </w:tc>
        <w:tc>
          <w:tcPr>
            <w:tcW w:w="1270" w:type="dxa"/>
            <w:tcBorders>
              <w:top w:val="single" w:sz="4" w:space="0" w:color="D2C9B8"/>
              <w:left w:val="single" w:sz="4" w:space="0" w:color="D2C9B8"/>
              <w:bottom w:val="single" w:sz="4" w:space="0" w:color="D2C9B8"/>
              <w:right w:val="single" w:sz="4" w:space="0" w:color="D2C9B8"/>
            </w:tcBorders>
          </w:tcPr>
          <w:p w14:paraId="369D7586" w14:textId="77777777" w:rsidR="005A5FCC" w:rsidRDefault="00A21C81">
            <w:pPr>
              <w:spacing w:before="20" w:after="20" w:line="240" w:lineRule="auto"/>
              <w:jc w:val="left"/>
            </w:pPr>
            <w:r>
              <w:rPr>
                <w:rFonts w:cs="EB Garamond"/>
                <w:b/>
                <w:kern w:val="16"/>
                <w:sz w:val="18"/>
                <w14:ligatures w14:val="standardContextual"/>
              </w:rPr>
              <w:t>Sim</w:t>
            </w:r>
          </w:p>
        </w:tc>
        <w:tc>
          <w:tcPr>
            <w:tcW w:w="1270" w:type="dxa"/>
            <w:tcBorders>
              <w:top w:val="single" w:sz="4" w:space="0" w:color="D2C9B8"/>
              <w:left w:val="single" w:sz="4" w:space="0" w:color="D2C9B8"/>
              <w:bottom w:val="single" w:sz="4" w:space="0" w:color="D2C9B8"/>
              <w:right w:val="single" w:sz="4" w:space="0" w:color="D2C9B8"/>
            </w:tcBorders>
          </w:tcPr>
          <w:p w14:paraId="51B26D58" w14:textId="77777777" w:rsidR="005A5FCC" w:rsidRDefault="00A21C81">
            <w:pPr>
              <w:spacing w:before="20" w:after="20" w:line="240" w:lineRule="auto"/>
              <w:jc w:val="left"/>
            </w:pPr>
            <w:r>
              <w:rPr>
                <w:rFonts w:cs="EB Garamond"/>
                <w:kern w:val="16"/>
                <w:sz w:val="18"/>
                <w14:ligatures w14:val="standardContextual"/>
              </w:rPr>
              <w:t>2029</w:t>
            </w:r>
          </w:p>
        </w:tc>
        <w:tc>
          <w:tcPr>
            <w:tcW w:w="1270" w:type="dxa"/>
            <w:tcBorders>
              <w:top w:val="single" w:sz="4" w:space="0" w:color="D2C9B8"/>
              <w:left w:val="single" w:sz="4" w:space="0" w:color="D2C9B8"/>
              <w:bottom w:val="single" w:sz="4" w:space="0" w:color="D2C9B8"/>
              <w:right w:val="single" w:sz="4" w:space="0" w:color="D2C9B8"/>
            </w:tcBorders>
          </w:tcPr>
          <w:p w14:paraId="4519B6BD" w14:textId="77777777" w:rsidR="005A5FCC" w:rsidRDefault="00A21C81">
            <w:pPr>
              <w:spacing w:before="20" w:after="20" w:line="240" w:lineRule="auto"/>
              <w:jc w:val="left"/>
            </w:pPr>
            <w:r>
              <w:rPr>
                <w:rFonts w:cs="EB Garamond"/>
                <w:b/>
                <w:kern w:val="16"/>
                <w:sz w:val="18"/>
                <w14:ligatures w14:val="standardContextual"/>
              </w:rPr>
              <w:t>R$ 5.938,94</w:t>
            </w:r>
          </w:p>
        </w:tc>
        <w:tc>
          <w:tcPr>
            <w:tcW w:w="1270" w:type="dxa"/>
            <w:tcBorders>
              <w:top w:val="single" w:sz="4" w:space="0" w:color="D2C9B8"/>
              <w:left w:val="single" w:sz="4" w:space="0" w:color="D2C9B8"/>
              <w:bottom w:val="single" w:sz="4" w:space="0" w:color="D2C9B8"/>
              <w:right w:val="single" w:sz="4" w:space="0" w:color="D2C9B8"/>
            </w:tcBorders>
          </w:tcPr>
          <w:p w14:paraId="06844E79" w14:textId="77777777" w:rsidR="005A5FCC" w:rsidRDefault="00A21C81">
            <w:pPr>
              <w:spacing w:before="20" w:after="20" w:line="240" w:lineRule="auto"/>
              <w:jc w:val="left"/>
            </w:pPr>
            <w:r>
              <w:rPr>
                <w:rFonts w:cs="EB Garamond"/>
                <w:kern w:val="16"/>
                <w:sz w:val="18"/>
                <w14:ligatures w14:val="standardContextual"/>
              </w:rPr>
              <w:t>105 pontos em 2029; coef. 100,66%</w:t>
            </w:r>
          </w:p>
        </w:tc>
      </w:tr>
      <w:tr w:rsidR="005A5FCC" w14:paraId="000696D6"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08C77795" w14:textId="77777777" w:rsidR="005A5FCC" w:rsidRDefault="00A21C81">
            <w:pPr>
              <w:spacing w:before="20" w:after="20" w:line="240" w:lineRule="auto"/>
              <w:jc w:val="left"/>
            </w:pPr>
            <w:r>
              <w:rPr>
                <w:rFonts w:cs="EB Garamond"/>
                <w:kern w:val="16"/>
                <w:sz w:val="18"/>
                <w14:ligatures w14:val="standardContextual"/>
              </w:rPr>
              <w:t>Art. 16 (idade progressiva)</w:t>
            </w:r>
          </w:p>
        </w:tc>
        <w:tc>
          <w:tcPr>
            <w:tcW w:w="1270" w:type="dxa"/>
            <w:tcBorders>
              <w:top w:val="single" w:sz="4" w:space="0" w:color="D2C9B8"/>
              <w:left w:val="single" w:sz="4" w:space="0" w:color="D2C9B8"/>
              <w:bottom w:val="single" w:sz="4" w:space="0" w:color="D2C9B8"/>
              <w:right w:val="single" w:sz="4" w:space="0" w:color="D2C9B8"/>
            </w:tcBorders>
          </w:tcPr>
          <w:p w14:paraId="67434AD8" w14:textId="77777777" w:rsidR="005A5FCC" w:rsidRDefault="00A21C81">
            <w:pPr>
              <w:spacing w:before="20" w:after="20" w:line="240" w:lineRule="auto"/>
              <w:jc w:val="left"/>
            </w:pPr>
            <w:r>
              <w:rPr>
                <w:rFonts w:cs="EB Garamond"/>
                <w:b/>
                <w:kern w:val="16"/>
                <w:sz w:val="18"/>
                <w14:ligatures w14:val="standardContextual"/>
              </w:rPr>
              <w:t>Sim</w:t>
            </w:r>
          </w:p>
        </w:tc>
        <w:tc>
          <w:tcPr>
            <w:tcW w:w="1270" w:type="dxa"/>
            <w:tcBorders>
              <w:top w:val="single" w:sz="4" w:space="0" w:color="D2C9B8"/>
              <w:left w:val="single" w:sz="4" w:space="0" w:color="D2C9B8"/>
              <w:bottom w:val="single" w:sz="4" w:space="0" w:color="D2C9B8"/>
              <w:right w:val="single" w:sz="4" w:space="0" w:color="D2C9B8"/>
            </w:tcBorders>
          </w:tcPr>
          <w:p w14:paraId="1B9B37C2" w14:textId="77777777" w:rsidR="005A5FCC" w:rsidRDefault="00A21C81">
            <w:pPr>
              <w:spacing w:before="20" w:after="20" w:line="240" w:lineRule="auto"/>
              <w:jc w:val="left"/>
            </w:pPr>
            <w:r>
              <w:rPr>
                <w:rFonts w:cs="EB Garamond"/>
                <w:kern w:val="16"/>
                <w:sz w:val="18"/>
                <w14:ligatures w14:val="standardContextual"/>
              </w:rPr>
              <w:t>2029</w:t>
            </w:r>
          </w:p>
        </w:tc>
        <w:tc>
          <w:tcPr>
            <w:tcW w:w="1270" w:type="dxa"/>
            <w:tcBorders>
              <w:top w:val="single" w:sz="4" w:space="0" w:color="D2C9B8"/>
              <w:left w:val="single" w:sz="4" w:space="0" w:color="D2C9B8"/>
              <w:bottom w:val="single" w:sz="4" w:space="0" w:color="D2C9B8"/>
              <w:right w:val="single" w:sz="4" w:space="0" w:color="D2C9B8"/>
            </w:tcBorders>
          </w:tcPr>
          <w:p w14:paraId="2CB6C78C" w14:textId="77777777" w:rsidR="005A5FCC" w:rsidRDefault="00A21C81">
            <w:pPr>
              <w:spacing w:before="20" w:after="20" w:line="240" w:lineRule="auto"/>
              <w:jc w:val="left"/>
            </w:pPr>
            <w:r>
              <w:rPr>
                <w:rFonts w:cs="EB Garamond"/>
                <w:b/>
                <w:kern w:val="16"/>
                <w:sz w:val="18"/>
                <w14:ligatures w14:val="standardContextual"/>
              </w:rPr>
              <w:t>R$ 5.938,94</w:t>
            </w:r>
          </w:p>
        </w:tc>
        <w:tc>
          <w:tcPr>
            <w:tcW w:w="1270" w:type="dxa"/>
            <w:tcBorders>
              <w:top w:val="single" w:sz="4" w:space="0" w:color="D2C9B8"/>
              <w:left w:val="single" w:sz="4" w:space="0" w:color="D2C9B8"/>
              <w:bottom w:val="single" w:sz="4" w:space="0" w:color="D2C9B8"/>
              <w:right w:val="single" w:sz="4" w:space="0" w:color="D2C9B8"/>
            </w:tcBorders>
          </w:tcPr>
          <w:p w14:paraId="7B1216EE" w14:textId="77777777" w:rsidR="005A5FCC" w:rsidRDefault="00A21C81">
            <w:pPr>
              <w:spacing w:before="20" w:after="20" w:line="240" w:lineRule="auto"/>
              <w:jc w:val="left"/>
            </w:pPr>
            <w:r>
              <w:rPr>
                <w:rFonts w:cs="EB Garamond"/>
                <w:kern w:val="16"/>
                <w:sz w:val="18"/>
                <w14:ligatures w14:val="standardContextual"/>
              </w:rPr>
              <w:t>65 anos em 2029; coef. 100,66%</w:t>
            </w:r>
          </w:p>
        </w:tc>
      </w:tr>
      <w:tr w:rsidR="005A5FCC" w14:paraId="6673BD79"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17D53249" w14:textId="77777777" w:rsidR="005A5FCC" w:rsidRDefault="00A21C81">
            <w:pPr>
              <w:spacing w:before="20" w:after="20" w:line="240" w:lineRule="auto"/>
              <w:jc w:val="left"/>
            </w:pPr>
            <w:r>
              <w:rPr>
                <w:rFonts w:cs="EB Garamond"/>
                <w:kern w:val="16"/>
                <w:sz w:val="18"/>
                <w14:ligatures w14:val="standardContextual"/>
              </w:rPr>
              <w:t>Art. 17 (pedágio 50%)</w:t>
            </w:r>
          </w:p>
        </w:tc>
        <w:tc>
          <w:tcPr>
            <w:tcW w:w="1270" w:type="dxa"/>
            <w:tcBorders>
              <w:top w:val="single" w:sz="4" w:space="0" w:color="D2C9B8"/>
              <w:left w:val="single" w:sz="4" w:space="0" w:color="D2C9B8"/>
              <w:bottom w:val="single" w:sz="4" w:space="0" w:color="D2C9B8"/>
              <w:right w:val="single" w:sz="4" w:space="0" w:color="D2C9B8"/>
            </w:tcBorders>
          </w:tcPr>
          <w:p w14:paraId="68F6EA3E" w14:textId="77777777" w:rsidR="005A5FCC" w:rsidRDefault="00A21C81">
            <w:pPr>
              <w:spacing w:before="20" w:after="20" w:line="240" w:lineRule="auto"/>
              <w:jc w:val="left"/>
            </w:pPr>
            <w:r>
              <w:rPr>
                <w:rFonts w:cs="EB Garamond"/>
                <w:kern w:val="16"/>
                <w:sz w:val="18"/>
                <w14:ligatures w14:val="standardContextual"/>
              </w:rPr>
              <w:t>Não</w:t>
            </w:r>
          </w:p>
        </w:tc>
        <w:tc>
          <w:tcPr>
            <w:tcW w:w="1270" w:type="dxa"/>
            <w:tcBorders>
              <w:top w:val="single" w:sz="4" w:space="0" w:color="D2C9B8"/>
              <w:left w:val="single" w:sz="4" w:space="0" w:color="D2C9B8"/>
              <w:bottom w:val="single" w:sz="4" w:space="0" w:color="D2C9B8"/>
              <w:right w:val="single" w:sz="4" w:space="0" w:color="D2C9B8"/>
            </w:tcBorders>
          </w:tcPr>
          <w:p w14:paraId="63853E35" w14:textId="77777777" w:rsidR="005A5FCC" w:rsidRDefault="00A21C81">
            <w:pPr>
              <w:spacing w:before="20" w:after="20" w:line="240" w:lineRule="auto"/>
              <w:jc w:val="left"/>
            </w:pPr>
            <w:r>
              <w:rPr>
                <w:rFonts w:cs="EB Garamond"/>
                <w:kern w:val="16"/>
                <w:sz w:val="18"/>
                <w14:ligatures w14:val="standardContextual"/>
              </w:rPr>
              <w:t>—</w:t>
            </w:r>
          </w:p>
        </w:tc>
        <w:tc>
          <w:tcPr>
            <w:tcW w:w="1270" w:type="dxa"/>
            <w:tcBorders>
              <w:top w:val="single" w:sz="4" w:space="0" w:color="D2C9B8"/>
              <w:left w:val="single" w:sz="4" w:space="0" w:color="D2C9B8"/>
              <w:bottom w:val="single" w:sz="4" w:space="0" w:color="D2C9B8"/>
              <w:right w:val="single" w:sz="4" w:space="0" w:color="D2C9B8"/>
            </w:tcBorders>
          </w:tcPr>
          <w:p w14:paraId="09B05E49" w14:textId="77777777" w:rsidR="005A5FCC" w:rsidRDefault="00A21C81">
            <w:pPr>
              <w:spacing w:before="20" w:after="20" w:line="240" w:lineRule="auto"/>
              <w:jc w:val="left"/>
            </w:pPr>
            <w:r>
              <w:rPr>
                <w:rFonts w:cs="EB Garamond"/>
                <w:kern w:val="16"/>
                <w:sz w:val="18"/>
                <w14:ligatures w14:val="standardContextual"/>
              </w:rPr>
              <w:t>—</w:t>
            </w:r>
          </w:p>
        </w:tc>
        <w:tc>
          <w:tcPr>
            <w:tcW w:w="1270" w:type="dxa"/>
            <w:tcBorders>
              <w:top w:val="single" w:sz="4" w:space="0" w:color="D2C9B8"/>
              <w:left w:val="single" w:sz="4" w:space="0" w:color="D2C9B8"/>
              <w:bottom w:val="single" w:sz="4" w:space="0" w:color="D2C9B8"/>
              <w:right w:val="single" w:sz="4" w:space="0" w:color="D2C9B8"/>
            </w:tcBorders>
          </w:tcPr>
          <w:p w14:paraId="4E1DC0A1" w14:textId="77777777" w:rsidR="005A5FCC" w:rsidRDefault="00A21C81">
            <w:pPr>
              <w:spacing w:before="20" w:after="20" w:line="240" w:lineRule="auto"/>
              <w:jc w:val="left"/>
            </w:pPr>
            <w:r>
              <w:rPr>
                <w:rFonts w:cs="EB Garamond"/>
                <w:kern w:val="16"/>
                <w:sz w:val="18"/>
                <w14:ligatures w14:val="standardContextual"/>
              </w:rPr>
              <w:t>Faltavam &gt; 2 anos em 2019</w:t>
            </w:r>
          </w:p>
        </w:tc>
      </w:tr>
      <w:tr w:rsidR="005A5FCC" w14:paraId="79EBB418"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0138B4C3" w14:textId="77777777" w:rsidR="005A5FCC" w:rsidRDefault="00A21C81">
            <w:pPr>
              <w:spacing w:before="20" w:after="20" w:line="240" w:lineRule="auto"/>
              <w:jc w:val="left"/>
            </w:pPr>
            <w:r>
              <w:rPr>
                <w:rFonts w:cs="EB Garamond"/>
                <w:kern w:val="16"/>
                <w:sz w:val="18"/>
                <w14:ligatures w14:val="standardContextual"/>
              </w:rPr>
              <w:t>Art. 20 (pedágio 100%)</w:t>
            </w:r>
          </w:p>
        </w:tc>
        <w:tc>
          <w:tcPr>
            <w:tcW w:w="1270" w:type="dxa"/>
            <w:tcBorders>
              <w:top w:val="single" w:sz="4" w:space="0" w:color="D2C9B8"/>
              <w:left w:val="single" w:sz="4" w:space="0" w:color="D2C9B8"/>
              <w:bottom w:val="single" w:sz="4" w:space="0" w:color="D2C9B8"/>
              <w:right w:val="single" w:sz="4" w:space="0" w:color="D2C9B8"/>
            </w:tcBorders>
          </w:tcPr>
          <w:p w14:paraId="777B3C3B" w14:textId="77777777" w:rsidR="005A5FCC" w:rsidRDefault="00A21C81">
            <w:pPr>
              <w:spacing w:before="20" w:after="20" w:line="240" w:lineRule="auto"/>
              <w:jc w:val="left"/>
            </w:pPr>
            <w:r>
              <w:rPr>
                <w:rFonts w:cs="EB Garamond"/>
                <w:b/>
                <w:kern w:val="16"/>
                <w:sz w:val="18"/>
                <w14:ligatures w14:val="standardContextual"/>
              </w:rPr>
              <w:t>Sim</w:t>
            </w:r>
          </w:p>
        </w:tc>
        <w:tc>
          <w:tcPr>
            <w:tcW w:w="1270" w:type="dxa"/>
            <w:tcBorders>
              <w:top w:val="single" w:sz="4" w:space="0" w:color="D2C9B8"/>
              <w:left w:val="single" w:sz="4" w:space="0" w:color="D2C9B8"/>
              <w:bottom w:val="single" w:sz="4" w:space="0" w:color="D2C9B8"/>
              <w:right w:val="single" w:sz="4" w:space="0" w:color="D2C9B8"/>
            </w:tcBorders>
          </w:tcPr>
          <w:p w14:paraId="4DC2A7C2" w14:textId="77777777" w:rsidR="005A5FCC" w:rsidRDefault="00A21C81">
            <w:pPr>
              <w:spacing w:before="20" w:after="20" w:line="240" w:lineRule="auto"/>
              <w:jc w:val="left"/>
            </w:pPr>
            <w:r>
              <w:rPr>
                <w:rFonts w:cs="EB Garamond"/>
                <w:b/>
                <w:kern w:val="16"/>
                <w:sz w:val="18"/>
                <w14:ligatures w14:val="standardContextual"/>
              </w:rPr>
              <w:t>2028</w:t>
            </w:r>
          </w:p>
        </w:tc>
        <w:tc>
          <w:tcPr>
            <w:tcW w:w="1270" w:type="dxa"/>
            <w:tcBorders>
              <w:top w:val="single" w:sz="4" w:space="0" w:color="D2C9B8"/>
              <w:left w:val="single" w:sz="4" w:space="0" w:color="D2C9B8"/>
              <w:bottom w:val="single" w:sz="4" w:space="0" w:color="D2C9B8"/>
              <w:right w:val="single" w:sz="4" w:space="0" w:color="D2C9B8"/>
            </w:tcBorders>
          </w:tcPr>
          <w:p w14:paraId="3FAA9A50" w14:textId="77777777" w:rsidR="005A5FCC" w:rsidRDefault="00A21C81">
            <w:pPr>
              <w:spacing w:before="20" w:after="20" w:line="240" w:lineRule="auto"/>
              <w:jc w:val="left"/>
            </w:pPr>
            <w:r>
              <w:rPr>
                <w:rFonts w:cs="EB Garamond"/>
                <w:b/>
                <w:kern w:val="16"/>
                <w:sz w:val="18"/>
                <w14:ligatures w14:val="standardContextual"/>
              </w:rPr>
              <w:t>R$ 5.900,00</w:t>
            </w:r>
          </w:p>
        </w:tc>
        <w:tc>
          <w:tcPr>
            <w:tcW w:w="1270" w:type="dxa"/>
            <w:tcBorders>
              <w:top w:val="single" w:sz="4" w:space="0" w:color="D2C9B8"/>
              <w:left w:val="single" w:sz="4" w:space="0" w:color="D2C9B8"/>
              <w:bottom w:val="single" w:sz="4" w:space="0" w:color="D2C9B8"/>
              <w:right w:val="single" w:sz="4" w:space="0" w:color="D2C9B8"/>
            </w:tcBorders>
          </w:tcPr>
          <w:p w14:paraId="0EEECAEE" w14:textId="77777777" w:rsidR="005A5FCC" w:rsidRDefault="00A21C81">
            <w:pPr>
              <w:spacing w:before="20" w:after="20" w:line="240" w:lineRule="auto"/>
              <w:jc w:val="left"/>
            </w:pPr>
            <w:r>
              <w:rPr>
                <w:rFonts w:cs="EB Garamond"/>
                <w:kern w:val="16"/>
                <w:sz w:val="18"/>
                <w14:ligatures w14:val="standardContextual"/>
              </w:rPr>
              <w:t>Primeira regra disponível; coef. 100%</w:t>
            </w:r>
          </w:p>
        </w:tc>
      </w:tr>
    </w:tbl>
    <w:p w14:paraId="6269004B" w14:textId="77777777" w:rsidR="005A5FCC" w:rsidRDefault="005A5FCC">
      <w:pPr>
        <w:spacing w:after="80" w:line="240" w:lineRule="auto"/>
      </w:pPr>
    </w:p>
    <w:p w14:paraId="713D1595"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4F71FB40" w14:textId="77777777" w:rsidR="005A5FCC" w:rsidRDefault="00A21C81">
      <w:r>
        <w:rPr>
          <w:rFonts w:cs="EB Garamond"/>
          <w:b/>
          <w:kern w:val="16"/>
          <w14:ligatures w14:val="standardContextual"/>
        </w:rPr>
        <w:t>nálise:</w:t>
      </w:r>
      <w:r>
        <w:rPr>
          <w:rFonts w:cs="EB Garamond"/>
          <w:kern w:val="16"/>
          <w14:ligatures w14:val="standardContextual"/>
        </w:rPr>
        <w:t xml:space="preserve"> Para Ricardo, o art. 20 (pedágio 100%) é a primeira regra disponível (2028), um ano antes dos arts. 15 e 16 (2029). Embora os arts. 15 e 16 resultem em RMI ligeiramente superior (R$ 5.938,94 vs. R$ 5.900,00, em razão do coeficiente de 100,66%), a diferença de R$ 38,94 mensais não compensa 12 meses de espera. O custo de oportunidade é de R$ 5.900 × 12 = R$ 70.800, que levaria mais de 151 anos para ser recuperado com o acréscimo mensal. O pedágio 100% é a melhor opção.</w:t>
      </w:r>
    </w:p>
    <w:tbl>
      <w:tblPr>
        <w:tblW w:w="5000" w:type="pct"/>
        <w:jc w:val="center"/>
        <w:tblLayout w:type="fixed"/>
        <w:tblLook w:val="04A0" w:firstRow="1" w:lastRow="0" w:firstColumn="1" w:lastColumn="0" w:noHBand="0" w:noVBand="1"/>
      </w:tblPr>
      <w:tblGrid>
        <w:gridCol w:w="6311"/>
      </w:tblGrid>
      <w:tr w:rsidR="005A5FCC" w14:paraId="42A5DF90"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62C0A57B" w14:textId="77777777" w:rsidR="005A5FCC" w:rsidRDefault="00A21C81">
            <w:pPr>
              <w:spacing w:after="60" w:line="240" w:lineRule="auto"/>
              <w:jc w:val="left"/>
            </w:pPr>
            <w:r>
              <w:rPr>
                <w:rFonts w:ascii="Noto Sans" w:hAnsi="Noto Sans" w:cs="Noto Sans"/>
                <w:b/>
                <w:caps/>
                <w:color w:val="4D6F8A"/>
                <w:kern w:val="16"/>
                <w:sz w:val="16"/>
                <w14:ligatures w14:val="standardContextual"/>
              </w:rPr>
              <w:lastRenderedPageBreak/>
              <w:t>JURISPRUDÊNCIA EM DESTAQUE</w:t>
            </w:r>
          </w:p>
          <w:p w14:paraId="13995AB8" w14:textId="77777777" w:rsidR="005A5FCC" w:rsidRDefault="00A21C81">
            <w:pPr>
              <w:spacing w:after="60" w:line="247" w:lineRule="auto"/>
            </w:pPr>
            <w:r>
              <w:rPr>
                <w:rFonts w:cs="EB Garamond"/>
                <w:b/>
                <w:kern w:val="16"/>
                <w:sz w:val="19"/>
                <w14:ligatures w14:val="standardContextual"/>
              </w:rPr>
              <w:t>Direito ao benefício mais vantajoso — Dever do INSS e do julgador</w:t>
            </w:r>
          </w:p>
          <w:p w14:paraId="7D3A020F" w14:textId="77777777" w:rsidR="005A5FCC" w:rsidRDefault="00A21C81">
            <w:pPr>
              <w:spacing w:after="60" w:line="247" w:lineRule="auto"/>
            </w:pPr>
            <w:r>
              <w:rPr>
                <w:rFonts w:cs="EB Garamond"/>
                <w:kern w:val="16"/>
                <w:sz w:val="19"/>
                <w14:ligatures w14:val="standardContextual"/>
              </w:rPr>
              <w:t>O STF consolidou, no Tema 334 (RE 630.501/RS), o entendimento de que o segurado tem direito ao benefício mais vantajoso entre todos aqueles cujos requisitos implementou. O STJ, por sua vez, no Tema 995 (REsp 1.727.063, Rel. Min. Mauro Campbell Marques, julg. 22/10/2019), assentou a possibilidade de reafirmação da DER, permitindo considerar fatos supervenientes ao requerimento administrativo. Ambos os precedentes (STF Tema 334 e STJ Tema 995), em conjunto, reforçam a proteção ao segurado na escolha entre regras de transição.</w:t>
            </w:r>
          </w:p>
          <w:p w14:paraId="356DE2A6" w14:textId="77777777" w:rsidR="005A5FCC" w:rsidRDefault="00A21C81">
            <w:pPr>
              <w:spacing w:after="60" w:line="247" w:lineRule="auto"/>
            </w:pPr>
            <w:r>
              <w:rPr>
                <w:rFonts w:cs="EB Garamond"/>
                <w:kern w:val="16"/>
                <w:sz w:val="19"/>
                <w14:ligatures w14:val="standardContextual"/>
              </w:rPr>
              <w:t>O art. 26, § 6º, da EC 103/2019, ao permitir a exclusão de salários de contribuição que reduzam a média, reforça o princípio do benefício mais vantajoso: o cálculo deve considerar todas as possibilidades de exclusão e de regras aplicáveis, sempre em favor do segurado.</w:t>
            </w:r>
          </w:p>
          <w:p w14:paraId="539CD50B" w14:textId="77777777" w:rsidR="005A5FCC" w:rsidRDefault="00A21C81">
            <w:pPr>
              <w:spacing w:after="60" w:line="247" w:lineRule="auto"/>
            </w:pPr>
            <w:r>
              <w:rPr>
                <w:rFonts w:cs="EB Garamond"/>
                <w:kern w:val="16"/>
                <w:sz w:val="19"/>
                <w14:ligatures w14:val="standardContextual"/>
              </w:rPr>
              <w:t>Na prática forense, o advogado deve formular pedido alternativo (art. 326, CPC), requerendo a concessão pela regra mais vantajosa entre todas as aplicáveis. O juiz, por sua vez, deve realizar a comparação de ofício, como expressão do princípio da proteção e do dever de decidir pelo benefício mais favorável.</w:t>
            </w:r>
          </w:p>
        </w:tc>
      </w:tr>
    </w:tbl>
    <w:p w14:paraId="707E659C" w14:textId="77777777" w:rsidR="005A5FCC" w:rsidRDefault="005A5FCC">
      <w:pPr>
        <w:spacing w:after="80" w:line="240" w:lineRule="auto"/>
      </w:pPr>
    </w:p>
    <w:p w14:paraId="3C0D0AC2"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11.16 Aspectos processuais específicos nos JEFs</w:t>
      </w:r>
    </w:p>
    <w:p w14:paraId="5B627C55" w14:textId="77777777" w:rsidR="005A5FCC" w:rsidRDefault="00A21C81">
      <w:pPr>
        <w:spacing w:before="260" w:after="80" w:line="240" w:lineRule="auto"/>
        <w:jc w:val="left"/>
      </w:pPr>
      <w:r>
        <w:rPr>
          <w:rFonts w:cs="EB Garamond"/>
          <w:b/>
          <w:color w:val="3A3128"/>
          <w:kern w:val="16"/>
          <w:sz w:val="25"/>
          <w14:ligatures w14:val="standardContextual"/>
        </w:rPr>
        <w:t>11.16.1 Competência e valor da causa</w:t>
      </w:r>
    </w:p>
    <w:p w14:paraId="6C48AA22"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3AB3D1B7" w14:textId="77777777" w:rsidR="005A5FCC" w:rsidRDefault="00A21C81">
      <w:r>
        <w:rPr>
          <w:rFonts w:cs="EB Garamond"/>
          <w:kern w:val="16"/>
          <w14:ligatures w14:val="standardContextual"/>
        </w:rPr>
        <w:t xml:space="preserve"> aposentadoria por tempo de contribuição nos JEFs apresenta peculiaridades processuais próprias, sobretudo quanto ao valor da causa. Os aspectos processuais gerais foram examinados no Cap. 6; as peculiaridades da aposentadoria por idade, no Cap. 10, seção 10.14. Tratam-se aqui apenas dos aspectos específicos da aposentadoria por TC e das regras de transição.</w:t>
      </w:r>
    </w:p>
    <w:p w14:paraId="1F811A98" w14:textId="40FF2B46" w:rsidR="005A5FCC" w:rsidRDefault="00A21C81">
      <w:pPr>
        <w:ind w:firstLine="238"/>
      </w:pPr>
      <w:r>
        <w:rPr>
          <w:rFonts w:cs="EB Garamond"/>
          <w:kern w:val="16"/>
          <w14:ligatures w14:val="standardContextual"/>
        </w:rPr>
        <w:t xml:space="preserve">O teto de competência dos JEFs é de 60 </w:t>
      </w:r>
      <w:r w:rsidR="00B6371F">
        <w:rPr>
          <w:rFonts w:cs="EB Garamond"/>
          <w:kern w:val="16"/>
          <w14:ligatures w14:val="standardContextual"/>
        </w:rPr>
        <w:t>salários-mínimos</w:t>
      </w:r>
      <w:r>
        <w:rPr>
          <w:rFonts w:cs="EB Garamond"/>
          <w:kern w:val="16"/>
          <w14:ligatures w14:val="standardContextual"/>
        </w:rPr>
        <w:t xml:space="preserve"> (R$ 97.260,00 em 2026). O valor da causa nas ações de aposentadoria por TC corresponde à soma de 12 parcelas vincendas com as parcelas vencidas desde a DER (ou desde a data em que o segurado implementou os requisitos, em caso de reafirmação). Como </w:t>
      </w:r>
      <w:r>
        <w:rPr>
          <w:rFonts w:cs="EB Garamond"/>
          <w:kern w:val="16"/>
          <w14:ligatures w14:val="standardContextual"/>
        </w:rPr>
        <w:lastRenderedPageBreak/>
        <w:t>o benefício por TC tende a ser de valor mais elevado (segurados com longa carreira contributiva frequentemente possuem salários de contribuição elevados) e as parcelas vencidas podem acumular valores significativos, é comum que o valor da causa supere o teto do JEF.</w:t>
      </w:r>
    </w:p>
    <w:p w14:paraId="36E60D24" w14:textId="77777777" w:rsidR="005A5FCC" w:rsidRDefault="00A21C81">
      <w:pPr>
        <w:ind w:firstLine="238"/>
      </w:pPr>
      <w:r>
        <w:rPr>
          <w:rFonts w:cs="EB Garamond"/>
          <w:b/>
          <w:kern w:val="16"/>
          <w14:ligatures w14:val="standardContextual"/>
        </w:rPr>
        <w:t>Estratégias para manter a competência do JEF:</w:t>
      </w:r>
    </w:p>
    <w:p w14:paraId="3292E257"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Renúncia ao excedente:</w:t>
      </w:r>
      <w:r>
        <w:rPr>
          <w:rFonts w:cs="EB Garamond"/>
          <w:kern w:val="16"/>
          <w:sz w:val="20"/>
          <w14:ligatures w14:val="standardContextual"/>
        </w:rPr>
        <w:t xml:space="preserve"> O segurado pode renunciar ao valor que excede o teto de 60 SM, nos termos do art. 3º, § 3º, da Lei 10.259/2001. Essa renúncia é irretratável e afeta apenas as parcelas já vencidas — o benefício mensal não é afetado.</w:t>
      </w:r>
    </w:p>
    <w:p w14:paraId="4801E94A"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Ajuizamento precoce:</w:t>
      </w:r>
      <w:r>
        <w:rPr>
          <w:rFonts w:cs="EB Garamond"/>
          <w:kern w:val="16"/>
          <w:sz w:val="20"/>
          <w14:ligatures w14:val="standardContextual"/>
        </w:rPr>
        <w:t xml:space="preserve"> Quanto mais cedo a ação é ajuizada após a DER, menor o valor de parcelas vencidas acumuladas, o que favorece a manutenção da competência do JEF.</w:t>
      </w:r>
    </w:p>
    <w:p w14:paraId="0C5F92E1"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Reafirmação da DER:</w:t>
      </w:r>
      <w:r>
        <w:rPr>
          <w:rFonts w:cs="EB Garamond"/>
          <w:kern w:val="16"/>
          <w:sz w:val="20"/>
          <w14:ligatures w14:val="standardContextual"/>
        </w:rPr>
        <w:t xml:space="preserve"> Se o segurado ainda não implementou todos os requisitos na DER, a reafirmação (Tema 995/STJ, detalhado na seção 10.8) pode reduzir o valor de parcelas vencidas.</w:t>
      </w:r>
    </w:p>
    <w:p w14:paraId="499270CB" w14:textId="77777777" w:rsidR="005A5FCC" w:rsidRDefault="005A5FCC">
      <w:pPr>
        <w:spacing w:after="60" w:line="240" w:lineRule="auto"/>
      </w:pPr>
    </w:p>
    <w:p w14:paraId="11FDF849" w14:textId="77777777" w:rsidR="005A5FCC" w:rsidRDefault="00A21C81">
      <w:pPr>
        <w:spacing w:before="260" w:after="80" w:line="240" w:lineRule="auto"/>
        <w:jc w:val="left"/>
      </w:pPr>
      <w:r>
        <w:rPr>
          <w:rFonts w:cs="EB Garamond"/>
          <w:b/>
          <w:color w:val="3A3128"/>
          <w:kern w:val="16"/>
          <w:sz w:val="25"/>
          <w14:ligatures w14:val="standardContextual"/>
        </w:rPr>
        <w:t>11.16.2 Formulação do pedido</w:t>
      </w:r>
    </w:p>
    <w:p w14:paraId="572AC882"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1F5B01B7" w14:textId="77777777" w:rsidR="005A5FCC" w:rsidRDefault="00A21C81">
      <w:r>
        <w:rPr>
          <w:rFonts w:cs="EB Garamond"/>
          <w:kern w:val="16"/>
          <w14:ligatures w14:val="standardContextual"/>
        </w:rPr>
        <w:t xml:space="preserve"> pedido na ação de aposentadoria por TC deve ser formulado de modo a abranger todas as regras de transição potencialmente aplicáveis. A formulação ideal é o </w:t>
      </w:r>
      <w:r>
        <w:rPr>
          <w:rFonts w:cs="EB Garamond"/>
          <w:b/>
          <w:kern w:val="16"/>
          <w14:ligatures w14:val="standardContextual"/>
        </w:rPr>
        <w:t>pedido alternativo</w:t>
      </w:r>
      <w:r>
        <w:rPr>
          <w:rFonts w:cs="EB Garamond"/>
          <w:kern w:val="16"/>
          <w14:ligatures w14:val="standardContextual"/>
        </w:rPr>
        <w:t xml:space="preserve"> (art. 326, CPC), requerendo:</w:t>
      </w:r>
    </w:p>
    <w:p w14:paraId="015D7ED5"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A concessão da aposentadoria pela regra de transição mais vantajosa entre todas as aplicáveis (arts. 15, 16, 17 e 20 da EC 103/2019), incluindo eventual direito adquirido à regra anterior;</w:t>
      </w:r>
    </w:p>
    <w:p w14:paraId="7AD77170"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A reafirmação da DER, se necessário, para implementação dos requisitos;</w:t>
      </w:r>
    </w:p>
    <w:p w14:paraId="3627E181"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O pagamento de diferenças desde a DER (ou desde a data de implementação dos requisitos, conforme o caso).</w:t>
      </w:r>
    </w:p>
    <w:p w14:paraId="3302F4FF" w14:textId="77777777" w:rsidR="005A5FCC" w:rsidRDefault="005A5FCC">
      <w:pPr>
        <w:spacing w:after="60" w:line="240" w:lineRule="auto"/>
      </w:pPr>
    </w:p>
    <w:p w14:paraId="137D9A0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548ACBA5" w14:textId="77777777" w:rsidR="005A5FCC" w:rsidRDefault="00A21C81">
      <w:r>
        <w:rPr>
          <w:rFonts w:cs="EB Garamond"/>
          <w:kern w:val="16"/>
          <w14:ligatures w14:val="standardContextual"/>
        </w:rPr>
        <w:t xml:space="preserve"> pedido alternativo é admitido nos JEFs por força do art. 2º da Lei 10.259/2001, que autoriza o julgador a "conceder a prestação jurisdicional mais adequada" ao caso, combinado com o princípio da informalidade do procedimento (art. 2º da Lei 9.099/95).</w:t>
      </w:r>
    </w:p>
    <w:p w14:paraId="6BB34F42" w14:textId="77777777" w:rsidR="005A5FCC" w:rsidRDefault="00A21C81">
      <w:pPr>
        <w:spacing w:before="260" w:after="80" w:line="240" w:lineRule="auto"/>
        <w:jc w:val="left"/>
      </w:pPr>
      <w:r>
        <w:rPr>
          <w:rFonts w:cs="EB Garamond"/>
          <w:b/>
          <w:color w:val="3A3128"/>
          <w:kern w:val="16"/>
          <w:sz w:val="25"/>
          <w14:ligatures w14:val="standardContextual"/>
        </w:rPr>
        <w:t>11.16.3 Instrução probatória</w:t>
      </w:r>
    </w:p>
    <w:p w14:paraId="58F47A68"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A</w:t>
      </w:r>
    </w:p>
    <w:p w14:paraId="3608C31F" w14:textId="77777777" w:rsidR="005A5FCC" w:rsidRDefault="00A21C81">
      <w:r>
        <w:rPr>
          <w:rFonts w:cs="EB Garamond"/>
          <w:kern w:val="16"/>
          <w14:ligatures w14:val="standardContextual"/>
        </w:rPr>
        <w:t xml:space="preserve"> prova na ação de aposentadoria por TC no JEF envolve:</w:t>
      </w:r>
    </w:p>
    <w:p w14:paraId="09323FDA" w14:textId="77777777" w:rsidR="005A5FCC" w:rsidRDefault="00A21C81">
      <w:pPr>
        <w:ind w:firstLine="238"/>
      </w:pPr>
      <w:r>
        <w:rPr>
          <w:rFonts w:cs="EB Garamond"/>
          <w:b/>
          <w:kern w:val="16"/>
          <w14:ligatures w14:val="standardContextual"/>
        </w:rPr>
        <w:t>a) CNIS (Cadastro Nacional de Informações Sociais):</w:t>
      </w:r>
      <w:r>
        <w:rPr>
          <w:rFonts w:cs="EB Garamond"/>
          <w:kern w:val="16"/>
          <w14:ligatures w14:val="standardContextual"/>
        </w:rPr>
        <w:t xml:space="preserve"> Base principal da prova de TC. O CNIS tem presunção de veracidade (art. 19, Decreto 3.048/99), cabendo ao segurado impugnar registros incorretos ou complementar períodos não registrados.</w:t>
      </w:r>
    </w:p>
    <w:p w14:paraId="67C83B86" w14:textId="77777777" w:rsidR="005A5FCC" w:rsidRDefault="00A21C81">
      <w:pPr>
        <w:ind w:firstLine="238"/>
      </w:pPr>
      <w:r>
        <w:rPr>
          <w:rFonts w:cs="EB Garamond"/>
          <w:b/>
          <w:kern w:val="16"/>
          <w14:ligatures w14:val="standardContextual"/>
        </w:rPr>
        <w:t>b) CTPS (Carteira de Trabalho e Previdência Social):</w:t>
      </w:r>
      <w:r>
        <w:rPr>
          <w:rFonts w:cs="EB Garamond"/>
          <w:kern w:val="16"/>
          <w14:ligatures w14:val="standardContextual"/>
        </w:rPr>
        <w:t xml:space="preserve"> Complementa o CNIS. Anotações em CTPS gozam de presunção juris tantum de veracidade, cujo fundamento clássico e direto é a Súmula 12/TST, ao lado do registro no CNIS e do art. 19 do Decreto 3.048/99.</w:t>
      </w:r>
    </w:p>
    <w:p w14:paraId="07A07FC4" w14:textId="77777777" w:rsidR="005A5FCC" w:rsidRDefault="00A21C81">
      <w:pPr>
        <w:ind w:firstLine="238"/>
      </w:pPr>
      <w:r>
        <w:rPr>
          <w:rFonts w:cs="EB Garamond"/>
          <w:b/>
          <w:kern w:val="16"/>
          <w14:ligatures w14:val="standardContextual"/>
        </w:rPr>
        <w:t>c) PPP (Perfil Profissiográfico Previdenciário):</w:t>
      </w:r>
      <w:r>
        <w:rPr>
          <w:rFonts w:cs="EB Garamond"/>
          <w:kern w:val="16"/>
          <w14:ligatures w14:val="standardContextual"/>
        </w:rPr>
        <w:t xml:space="preserve"> Essencial quando há pretensão de conversão de tempo especial. O PPP deve ser contemporâneo ao período especial e conter informações sobre agentes nocivos, intensidade, técnica de medição e EPI utilizados.</w:t>
      </w:r>
    </w:p>
    <w:p w14:paraId="33522DE3" w14:textId="77777777" w:rsidR="005A5FCC" w:rsidRDefault="00A21C81">
      <w:pPr>
        <w:ind w:firstLine="238"/>
      </w:pPr>
      <w:r>
        <w:rPr>
          <w:rFonts w:cs="EB Garamond"/>
          <w:b/>
          <w:kern w:val="16"/>
          <w14:ligatures w14:val="standardContextual"/>
        </w:rPr>
        <w:t>d) CTC (Certidão de Tempo de Contribuição):</w:t>
      </w:r>
      <w:r>
        <w:rPr>
          <w:rFonts w:cs="EB Garamond"/>
          <w:kern w:val="16"/>
          <w14:ligatures w14:val="standardContextual"/>
        </w:rPr>
        <w:t xml:space="preserve"> Necessária para averbação de tempo de serviço público (RPPS) no RGPS. A CTC deve ser expedida pelo órgão de origem na forma do Decreto 3.048/99.</w:t>
      </w:r>
    </w:p>
    <w:p w14:paraId="72B73354" w14:textId="77777777" w:rsidR="005A5FCC" w:rsidRDefault="00A21C81">
      <w:pPr>
        <w:ind w:firstLine="238"/>
      </w:pPr>
      <w:r>
        <w:rPr>
          <w:rFonts w:cs="EB Garamond"/>
          <w:b/>
          <w:kern w:val="16"/>
          <w14:ligatures w14:val="standardContextual"/>
        </w:rPr>
        <w:t>e) Documentos rurais:</w:t>
      </w:r>
      <w:r>
        <w:rPr>
          <w:rFonts w:cs="EB Garamond"/>
          <w:kern w:val="16"/>
          <w14:ligatures w14:val="standardContextual"/>
        </w:rPr>
        <w:t xml:space="preserve"> Para comprovação de trabalho rural anterior a novembro/1991: certidões de registro civil com qualificação de lavrador, notas fiscais de produtor rural, contratos de parceria/arrendamento, fichas de matrícula escolar, declarações sindicais, entre outros, corroborados por prova testemunhal.</w:t>
      </w:r>
    </w:p>
    <w:tbl>
      <w:tblPr>
        <w:tblW w:w="5000" w:type="pct"/>
        <w:jc w:val="center"/>
        <w:tblLayout w:type="fixed"/>
        <w:tblLook w:val="04A0" w:firstRow="1" w:lastRow="0" w:firstColumn="1" w:lastColumn="0" w:noHBand="0" w:noVBand="1"/>
      </w:tblPr>
      <w:tblGrid>
        <w:gridCol w:w="6311"/>
      </w:tblGrid>
      <w:tr w:rsidR="005A5FCC" w14:paraId="482B8CF7"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793923DC"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2021A2FD" w14:textId="77777777" w:rsidR="005A5FCC" w:rsidRDefault="00A21C81">
            <w:pPr>
              <w:spacing w:after="60" w:line="247" w:lineRule="auto"/>
            </w:pPr>
            <w:r>
              <w:rPr>
                <w:rFonts w:cs="EB Garamond"/>
                <w:b/>
                <w:kern w:val="16"/>
                <w:sz w:val="19"/>
                <w14:ligatures w14:val="standardContextual"/>
              </w:rPr>
              <w:t>Checklist documental para aposentadoria por TC nos JEFs</w:t>
            </w:r>
          </w:p>
          <w:p w14:paraId="45768553" w14:textId="77777777" w:rsidR="005A5FCC" w:rsidRDefault="00A21C81">
            <w:pPr>
              <w:spacing w:after="30" w:line="240" w:lineRule="auto"/>
              <w:ind w:left="227" w:hanging="142"/>
            </w:pPr>
            <w:r>
              <w:rPr>
                <w:rFonts w:cs="EB Garamond"/>
                <w:kern w:val="16"/>
                <w:sz w:val="19"/>
                <w14:ligatures w14:val="standardContextual"/>
              </w:rPr>
              <w:t>• [ ] CNIS atualizado (extrair via Meu INSS ou solicitar na agência)</w:t>
            </w:r>
          </w:p>
          <w:p w14:paraId="6EE58A94" w14:textId="77777777" w:rsidR="005A5FCC" w:rsidRDefault="00A21C81">
            <w:pPr>
              <w:spacing w:after="30" w:line="240" w:lineRule="auto"/>
              <w:ind w:left="227" w:hanging="142"/>
            </w:pPr>
            <w:r>
              <w:rPr>
                <w:rFonts w:cs="EB Garamond"/>
                <w:kern w:val="16"/>
                <w:sz w:val="19"/>
                <w14:ligatures w14:val="standardContextual"/>
              </w:rPr>
              <w:t>• [ ] CTPS — todas as páginas (inclusive contratos antigos e anotações gerais)</w:t>
            </w:r>
          </w:p>
          <w:p w14:paraId="77025044" w14:textId="77777777" w:rsidR="005A5FCC" w:rsidRDefault="00A21C81">
            <w:pPr>
              <w:spacing w:after="30" w:line="240" w:lineRule="auto"/>
              <w:ind w:left="227" w:hanging="142"/>
            </w:pPr>
            <w:r>
              <w:rPr>
                <w:rFonts w:cs="EB Garamond"/>
                <w:kern w:val="16"/>
                <w:sz w:val="19"/>
                <w14:ligatures w14:val="standardContextual"/>
              </w:rPr>
              <w:t>• [ ] PPP, de cada empregador em que houve exposição a agentes nocivos</w:t>
            </w:r>
          </w:p>
          <w:p w14:paraId="2ECE2E53" w14:textId="77777777" w:rsidR="005A5FCC" w:rsidRDefault="00A21C81">
            <w:pPr>
              <w:spacing w:after="30" w:line="240" w:lineRule="auto"/>
              <w:ind w:left="227" w:hanging="142"/>
            </w:pPr>
            <w:r>
              <w:rPr>
                <w:rFonts w:cs="EB Garamond"/>
                <w:kern w:val="16"/>
                <w:sz w:val="19"/>
                <w14:ligatures w14:val="standardContextual"/>
              </w:rPr>
              <w:t>• [ ] CTC, se houver tempo de serviço público a averbar</w:t>
            </w:r>
          </w:p>
          <w:p w14:paraId="36D3F61A" w14:textId="77777777" w:rsidR="005A5FCC" w:rsidRDefault="00A21C81">
            <w:pPr>
              <w:spacing w:after="30" w:line="240" w:lineRule="auto"/>
              <w:ind w:left="227" w:hanging="142"/>
            </w:pPr>
            <w:r>
              <w:rPr>
                <w:rFonts w:cs="EB Garamond"/>
                <w:kern w:val="16"/>
                <w:sz w:val="19"/>
                <w14:ligatures w14:val="standardContextual"/>
              </w:rPr>
              <w:t>• [ ] Certificado de Reservista — para cômputo de serviço militar</w:t>
            </w:r>
          </w:p>
          <w:p w14:paraId="7C951603" w14:textId="77777777" w:rsidR="005A5FCC" w:rsidRDefault="00A21C81">
            <w:pPr>
              <w:spacing w:after="30" w:line="240" w:lineRule="auto"/>
              <w:ind w:left="227" w:hanging="142"/>
            </w:pPr>
            <w:r>
              <w:rPr>
                <w:rFonts w:cs="EB Garamond"/>
                <w:kern w:val="16"/>
                <w:sz w:val="19"/>
                <w14:ligatures w14:val="standardContextual"/>
              </w:rPr>
              <w:t>• [ ] Documentos rurais, se houver período rural anterior a 11/1991</w:t>
            </w:r>
          </w:p>
          <w:p w14:paraId="7E7A77BC" w14:textId="77777777" w:rsidR="005A5FCC" w:rsidRDefault="00A21C81">
            <w:pPr>
              <w:spacing w:after="30" w:line="240" w:lineRule="auto"/>
              <w:ind w:left="227" w:hanging="142"/>
            </w:pPr>
            <w:r>
              <w:rPr>
                <w:rFonts w:cs="EB Garamond"/>
                <w:kern w:val="16"/>
                <w:sz w:val="19"/>
                <w14:ligatures w14:val="standardContextual"/>
              </w:rPr>
              <w:t>• [ ] Comprovante de recolhimentos como contribuinte individual ou facultativo (guias GPS, carnês)</w:t>
            </w:r>
          </w:p>
          <w:p w14:paraId="3B5050DF" w14:textId="77777777" w:rsidR="005A5FCC" w:rsidRDefault="00A21C81">
            <w:pPr>
              <w:spacing w:after="30" w:line="240" w:lineRule="auto"/>
              <w:ind w:left="227" w:hanging="142"/>
            </w:pPr>
            <w:r>
              <w:rPr>
                <w:rFonts w:cs="EB Garamond"/>
                <w:kern w:val="16"/>
                <w:sz w:val="19"/>
                <w14:ligatures w14:val="standardContextual"/>
              </w:rPr>
              <w:t>• [ ] Declaração de tempo de contribuição de cada regime (se contagem recíproca)</w:t>
            </w:r>
          </w:p>
          <w:p w14:paraId="133B524E" w14:textId="77777777" w:rsidR="005A5FCC" w:rsidRDefault="00A21C81">
            <w:pPr>
              <w:spacing w:after="30" w:line="240" w:lineRule="auto"/>
              <w:ind w:left="227" w:hanging="142"/>
            </w:pPr>
            <w:r>
              <w:rPr>
                <w:rFonts w:cs="EB Garamond"/>
                <w:kern w:val="16"/>
                <w:sz w:val="19"/>
                <w14:ligatures w14:val="standardContextual"/>
              </w:rPr>
              <w:t>• [ ] Carta de indeferimento do INSS (decisão administrativa completa)</w:t>
            </w:r>
          </w:p>
          <w:p w14:paraId="65D14543" w14:textId="77777777" w:rsidR="005A5FCC" w:rsidRDefault="00A21C81">
            <w:pPr>
              <w:spacing w:after="30" w:line="240" w:lineRule="auto"/>
              <w:ind w:left="227" w:hanging="142"/>
            </w:pPr>
            <w:r>
              <w:rPr>
                <w:rFonts w:cs="EB Garamond"/>
                <w:kern w:val="16"/>
                <w:sz w:val="19"/>
                <w14:ligatures w14:val="standardContextual"/>
              </w:rPr>
              <w:t>• [ ] Simulações de cálculo por cada regra de transição aplicável</w:t>
            </w:r>
          </w:p>
          <w:p w14:paraId="285B0DC2" w14:textId="77777777" w:rsidR="005A5FCC" w:rsidRDefault="00A21C81">
            <w:pPr>
              <w:spacing w:after="30" w:line="240" w:lineRule="auto"/>
              <w:ind w:left="227" w:hanging="142"/>
            </w:pPr>
            <w:r>
              <w:rPr>
                <w:rFonts w:cs="EB Garamond"/>
                <w:kern w:val="16"/>
                <w:sz w:val="19"/>
                <w14:ligatures w14:val="standardContextual"/>
              </w:rPr>
              <w:t>• [ ] Planilha de cálculo do benefício mais vantajoso (anexar à petição inicial)</w:t>
            </w:r>
          </w:p>
        </w:tc>
      </w:tr>
    </w:tbl>
    <w:p w14:paraId="49CBB021" w14:textId="77777777" w:rsidR="005A5FCC" w:rsidRDefault="005A5FCC">
      <w:pPr>
        <w:spacing w:after="80" w:line="240" w:lineRule="auto"/>
      </w:pPr>
    </w:p>
    <w:p w14:paraId="2630B802" w14:textId="77777777" w:rsidR="005A5FCC" w:rsidRDefault="00A21C81">
      <w:pPr>
        <w:spacing w:before="260" w:after="80" w:line="240" w:lineRule="auto"/>
        <w:jc w:val="left"/>
      </w:pPr>
      <w:r>
        <w:rPr>
          <w:rFonts w:cs="EB Garamond"/>
          <w:b/>
          <w:color w:val="3A3128"/>
          <w:kern w:val="16"/>
          <w:sz w:val="25"/>
          <w14:ligatures w14:val="standardContextual"/>
        </w:rPr>
        <w:t>11.16.4 Tutela provisória</w:t>
      </w:r>
    </w:p>
    <w:p w14:paraId="360FEC49"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1BE871E8" w14:textId="77777777" w:rsidR="005A5FCC" w:rsidRDefault="00A21C81">
      <w:r>
        <w:rPr>
          <w:rFonts w:cs="EB Garamond"/>
          <w:kern w:val="16"/>
          <w14:ligatures w14:val="standardContextual"/>
        </w:rPr>
        <w:t xml:space="preserve"> tutela provisória de urgência (art. 300, CPC) é cabível nas ações de aposentadoria por TC quando presentes a probabilidade do direito e o perigo de dano. O perigo de dano é presumido quando o segurado depende do benefício para sua subsistência, o que é especialmente relevante para segurados que já se desligaram do emprego em razão da expectativa de aposentadoria.</w:t>
      </w:r>
    </w:p>
    <w:p w14:paraId="3F668C66" w14:textId="77777777" w:rsidR="005A5FCC" w:rsidRDefault="00A21C81">
      <w:pPr>
        <w:ind w:firstLine="238"/>
      </w:pPr>
      <w:r>
        <w:rPr>
          <w:rFonts w:cs="EB Garamond"/>
          <w:kern w:val="16"/>
          <w14:ligatures w14:val="standardContextual"/>
        </w:rPr>
        <w:t>A tutela de evidência (art. 311, CPC) pode ser requerida quando houver prova documental suficiente e a defesa do INSS for inconsistente (inciso II) ou quando os fatos puderem ser comprovados apenas documentalmente e houver tese firmada em julgamento de recursos repetitivos (inciso IV).</w:t>
      </w:r>
    </w:p>
    <w:p w14:paraId="5C250AF5" w14:textId="77777777" w:rsidR="005A5FCC" w:rsidRDefault="00A21C81">
      <w:pPr>
        <w:ind w:firstLine="238"/>
      </w:pPr>
      <w:r>
        <w:rPr>
          <w:rFonts w:cs="EB Garamond"/>
          <w:kern w:val="16"/>
          <w14:ligatures w14:val="standardContextual"/>
        </w:rPr>
        <w:t>Nos JEFs, a tutela antecipada tem especial relevância porque o procedimento sumaríssimo, embora mais célere, ainda pode durar meses até a sentença. A implantação antecipada do benefício garante a subsistência do segurado enquanto se aguarda o trânsito em julgado.</w:t>
      </w:r>
    </w:p>
    <w:p w14:paraId="1422340B" w14:textId="77777777" w:rsidR="005A5FCC" w:rsidRDefault="00A21C81">
      <w:pPr>
        <w:spacing w:before="260" w:after="80" w:line="240" w:lineRule="auto"/>
        <w:jc w:val="left"/>
      </w:pPr>
      <w:r>
        <w:rPr>
          <w:rFonts w:cs="EB Garamond"/>
          <w:b/>
          <w:color w:val="3A3128"/>
          <w:kern w:val="16"/>
          <w:sz w:val="25"/>
          <w14:ligatures w14:val="standardContextual"/>
        </w:rPr>
        <w:t>11.16.5 Honorários sucumbenciais</w:t>
      </w:r>
    </w:p>
    <w:p w14:paraId="7F335811"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N</w:t>
      </w:r>
    </w:p>
    <w:p w14:paraId="6FC68EB7" w14:textId="77777777" w:rsidR="005A5FCC" w:rsidRDefault="00A21C81">
      <w:r>
        <w:rPr>
          <w:rFonts w:cs="EB Garamond"/>
          <w:kern w:val="16"/>
          <w14:ligatures w14:val="standardContextual"/>
        </w:rPr>
        <w:t>os JEFs, não há condenação em honorários advocatícios na primeira instância, salvo em caso de recurso (art. 55 da Lei 9.099/95, aplicável por força do art. 1º da Lei 10.259/2001). Se o INSS interpõe recurso inominado e a sentença é mantida, incidirão honorários de 10% sobre o valor da condenação. Se o segurado recorre e perde, fica dispensado de custas e honorários, salvo comprovada má-fé (art. 55, parágrafo único).</w:t>
      </w:r>
    </w:p>
    <w:p w14:paraId="2F5DFD24" w14:textId="77777777" w:rsidR="005A5FCC" w:rsidRDefault="00A21C81">
      <w:pPr>
        <w:ind w:firstLine="238"/>
      </w:pPr>
      <w:r>
        <w:rPr>
          <w:rFonts w:cs="EB Garamond"/>
          <w:kern w:val="16"/>
          <w14:ligatures w14:val="standardContextual"/>
        </w:rPr>
        <w:t>Na prática, a ausência de honorários em primeira instância é vantagem significativa para o segurado: em caso de improcedência, não haverá condenação em verba honorária, reduzindo o risco financeiro do ajuizamento.</w:t>
      </w:r>
    </w:p>
    <w:p w14:paraId="43C50EE4" w14:textId="77777777" w:rsidR="005A5FCC" w:rsidRDefault="00A21C81">
      <w:pPr>
        <w:spacing w:before="260" w:after="80" w:line="240" w:lineRule="auto"/>
        <w:jc w:val="left"/>
      </w:pPr>
      <w:r>
        <w:rPr>
          <w:rFonts w:cs="EB Garamond"/>
          <w:b/>
          <w:color w:val="3A3128"/>
          <w:kern w:val="16"/>
          <w:sz w:val="25"/>
          <w14:ligatures w14:val="standardContextual"/>
        </w:rPr>
        <w:t>11.16.6 Recursos e execução</w:t>
      </w:r>
    </w:p>
    <w:p w14:paraId="79D91F3C"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N</w:t>
      </w:r>
    </w:p>
    <w:p w14:paraId="19903BE8" w14:textId="77777777" w:rsidR="005A5FCC" w:rsidRDefault="00A21C81">
      <w:r>
        <w:rPr>
          <w:rFonts w:cs="EB Garamond"/>
          <w:kern w:val="16"/>
          <w14:ligatures w14:val="standardContextual"/>
        </w:rPr>
        <w:t>as ações de aposentadoria por TC nos JEFs:</w:t>
      </w:r>
    </w:p>
    <w:p w14:paraId="4D56F78A"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Sentença:</w:t>
      </w:r>
      <w:r>
        <w:rPr>
          <w:rFonts w:cs="EB Garamond"/>
          <w:kern w:val="16"/>
          <w:sz w:val="20"/>
          <w14:ligatures w14:val="standardContextual"/>
        </w:rPr>
        <w:t xml:space="preserve"> O juiz deve especificar a regra de transição aplicada, o cálculo do benefício e a DIB (data de início do benefício). A correção monetária das condenações da Fazenda Pública seguia o IPCA-E (conforme o STF, Tema 810, RE 870.947) até 08/12/2021, e passou a seguir exclusivamente a taxa SELIC a partir de 09/12/2021 (EC 113/2021). Para períodos mais antigos (anteriores a 2009), o índice podia variar conforme a legislação então vigente. A sentença deve indicar expressamente qual das regras de transição foi aplicada e por que é a mais vantajosa, sob pena de nulidade por falta de fundamentação (art. 93, IX, CF).</w:t>
      </w:r>
    </w:p>
    <w:p w14:paraId="1C63552F"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Recurso inominado:</w:t>
      </w:r>
      <w:r>
        <w:rPr>
          <w:rFonts w:cs="EB Garamond"/>
          <w:kern w:val="16"/>
          <w:sz w:val="20"/>
          <w14:ligatures w14:val="standardContextual"/>
        </w:rPr>
        <w:t xml:space="preserve"> Prazo de 10 dias para a Turma Recursal. Efeito apenas devolutivo (a tutela antecipada permanece eficaz). O segurado pode requerer a concessão de efeito suspensivo ao recurso do INSS (art. 43 da Lei 9.099/95), embora raramente seja deferido em matéria previdenciária.</w:t>
      </w:r>
    </w:p>
    <w:p w14:paraId="29C79CB4"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Pedido de uniformização regional:</w:t>
      </w:r>
      <w:r>
        <w:rPr>
          <w:rFonts w:cs="EB Garamond"/>
          <w:kern w:val="16"/>
          <w:sz w:val="20"/>
          <w14:ligatures w14:val="standardContextual"/>
        </w:rPr>
        <w:t xml:space="preserve"> Cabível para a Turma Regional de Uniformização quando houver divergência entre Turmas Recursais da mesma Região.</w:t>
      </w:r>
    </w:p>
    <w:p w14:paraId="69D37ACF"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Pedido de uniformização nacional:</w:t>
      </w:r>
      <w:r>
        <w:rPr>
          <w:rFonts w:cs="EB Garamond"/>
          <w:kern w:val="16"/>
          <w:sz w:val="20"/>
          <w14:ligatures w14:val="standardContextual"/>
        </w:rPr>
        <w:t xml:space="preserve"> Cabível para a TNU (Turma Nacional de Uniformização) quando houver divergência entre Turmas Recursais de diferentes regiões ou entre Turma Recursal e jurisprudência do STJ (art. 14, § 4º, Lei 10.259/2001).</w:t>
      </w:r>
    </w:p>
    <w:p w14:paraId="711B33BC"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Recurso extraordinário:</w:t>
      </w:r>
      <w:r>
        <w:rPr>
          <w:rFonts w:cs="EB Garamond"/>
          <w:kern w:val="16"/>
          <w:sz w:val="20"/>
          <w14:ligatures w14:val="standardContextual"/>
        </w:rPr>
        <w:t xml:space="preserve"> Cabível para o STF quando houver questão constitucional, após esgotamento das instâncias recursais dos JEFs.</w:t>
      </w:r>
    </w:p>
    <w:p w14:paraId="3B9C99A6"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Execução:</w:t>
      </w:r>
      <w:r>
        <w:rPr>
          <w:rFonts w:cs="EB Garamond"/>
          <w:kern w:val="16"/>
          <w:sz w:val="20"/>
          <w14:ligatures w14:val="standardContextual"/>
        </w:rPr>
        <w:t xml:space="preserve"> Créditos até 60 SM são pagos por RPV (Requisição de Pequeno Valor), sem precatório. O prazo para pagamento é de 60 dias úteis após a requisição </w:t>
      </w:r>
      <w:r>
        <w:rPr>
          <w:rFonts w:cs="EB Garamond"/>
          <w:kern w:val="16"/>
          <w:sz w:val="20"/>
          <w14:ligatures w14:val="standardContextual"/>
        </w:rPr>
        <w:lastRenderedPageBreak/>
        <w:t>(art. 17, Lei 10.259/2001). Créditos que excedam o teto são pagos por precatório, com prazo significativamente mais longo.</w:t>
      </w:r>
    </w:p>
    <w:p w14:paraId="01BF53F1" w14:textId="77777777" w:rsidR="005A5FCC" w:rsidRDefault="005A5FCC">
      <w:pPr>
        <w:spacing w:after="60" w:line="240" w:lineRule="auto"/>
      </w:pPr>
    </w:p>
    <w:p w14:paraId="240407D7" w14:textId="77777777" w:rsidR="005A5FCC" w:rsidRDefault="00A21C81">
      <w:pPr>
        <w:spacing w:before="260" w:after="80" w:line="240" w:lineRule="auto"/>
        <w:jc w:val="left"/>
      </w:pPr>
      <w:r>
        <w:rPr>
          <w:rFonts w:cs="EB Garamond"/>
          <w:b/>
          <w:color w:val="3A3128"/>
          <w:kern w:val="16"/>
          <w:sz w:val="25"/>
          <w14:ligatures w14:val="standardContextual"/>
        </w:rPr>
        <w:t>11.16.7 Particularidades da audiência no JEF previdenciário</w:t>
      </w:r>
    </w:p>
    <w:p w14:paraId="49AD7AEE"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1F51D34E" w14:textId="77777777" w:rsidR="005A5FCC" w:rsidRDefault="00A21C81">
      <w:r>
        <w:rPr>
          <w:rFonts w:cs="EB Garamond"/>
          <w:kern w:val="16"/>
          <w14:ligatures w14:val="standardContextual"/>
        </w:rPr>
        <w:t xml:space="preserve"> audiência de conciliação e instrução no JEF previdenciário por TC segue o rito sumaríssimo:</w:t>
      </w:r>
    </w:p>
    <w:p w14:paraId="21241ED2"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Conciliação:</w:t>
      </w:r>
      <w:r>
        <w:rPr>
          <w:rFonts w:cs="EB Garamond"/>
          <w:kern w:val="16"/>
          <w:sz w:val="20"/>
          <w14:ligatures w14:val="standardContextual"/>
        </w:rPr>
        <w:t xml:space="preserve"> O INSS frequentemente apresenta propostas de acordo em ações de aposentadoria por TC. O advogado deve verificar se a proposta corresponde efetivamente à regra mais vantajosa ou se o INSS oferece apenas uma das regras (geralmente a de menor valor). É prática comum o INSS propor acordo pela regra do art. 15/16 quando o pedágio 100% seria mais vantajoso — cabe ao advogado recusar propostas desvantajosas.</w:t>
      </w:r>
    </w:p>
    <w:p w14:paraId="01BF1CB5"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Instrução:</w:t>
      </w:r>
      <w:r>
        <w:rPr>
          <w:rFonts w:cs="EB Garamond"/>
          <w:kern w:val="16"/>
          <w:sz w:val="20"/>
          <w14:ligatures w14:val="standardContextual"/>
        </w:rPr>
        <w:t xml:space="preserve"> A oitiva de testemunhas é relevante especialmente para comprovação de tempo rural, atividade especial sem PPP adequado e tempo de aluno-aprendiz. As audiências podem ser realizadas por videoconferência (art. 1º, § 2º, Lei 10.259/2001).</w:t>
      </w:r>
    </w:p>
    <w:p w14:paraId="1BBD0AFF" w14:textId="77777777" w:rsidR="005A5FCC" w:rsidRDefault="005A5FCC">
      <w:pPr>
        <w:spacing w:after="60" w:line="240" w:lineRule="auto"/>
      </w:pPr>
    </w:p>
    <w:p w14:paraId="3E5B97CE"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11.17 Questões especiais e casos de fronteira</w:t>
      </w:r>
    </w:p>
    <w:p w14:paraId="5ADB8909" w14:textId="77777777" w:rsidR="005A5FCC" w:rsidRDefault="00A21C81">
      <w:pPr>
        <w:spacing w:before="260" w:after="80" w:line="240" w:lineRule="auto"/>
        <w:jc w:val="left"/>
      </w:pPr>
      <w:r>
        <w:rPr>
          <w:rFonts w:cs="EB Garamond"/>
          <w:b/>
          <w:color w:val="3A3128"/>
          <w:kern w:val="16"/>
          <w:sz w:val="25"/>
          <w14:ligatures w14:val="standardContextual"/>
        </w:rPr>
        <w:t>11.17.1 O professor nas regras de transição</w:t>
      </w:r>
    </w:p>
    <w:p w14:paraId="3324F7E3"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2C467C3C" w14:textId="77777777" w:rsidR="005A5FCC" w:rsidRDefault="00A21C81">
      <w:r>
        <w:rPr>
          <w:rFonts w:cs="EB Garamond"/>
          <w:kern w:val="16"/>
          <w14:ligatures w14:val="standardContextual"/>
        </w:rPr>
        <w:t xml:space="preserve"> professor que comprove exclusivamente tempo de efetivo exercício em funções de magistério na educação infantil, no ensino fundamental e no ensino médio tem regras diferenciadas nas transições da EC 103/2019:</w:t>
      </w:r>
    </w:p>
    <w:p w14:paraId="2718C930" w14:textId="427B822C" w:rsidR="005A5FCC" w:rsidRDefault="00A21C81">
      <w:pPr>
        <w:ind w:firstLine="238"/>
      </w:pPr>
      <w:r>
        <w:rPr>
          <w:rFonts w:cs="EB Garamond"/>
          <w:b/>
          <w:kern w:val="16"/>
          <w14:ligatures w14:val="standardContextual"/>
        </w:rPr>
        <w:t xml:space="preserve">a) Art. 15 (pontos) — </w:t>
      </w:r>
      <w:r w:rsidR="00B51633">
        <w:rPr>
          <w:rFonts w:cs="EB Garamond"/>
          <w:b/>
          <w:kern w:val="16"/>
          <w14:ligatures w14:val="standardContextual"/>
        </w:rPr>
        <w:t>Parágrafo</w:t>
      </w:r>
      <w:r>
        <w:rPr>
          <w:rFonts w:cs="EB Garamond"/>
          <w:b/>
          <w:kern w:val="16"/>
          <w14:ligatures w14:val="standardContextual"/>
        </w:rPr>
        <w:t xml:space="preserve"> único:</w:t>
      </w:r>
    </w:p>
    <w:p w14:paraId="7CEB0389"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 xml:space="preserve">TC mínimo: </w:t>
      </w:r>
      <w:r>
        <w:rPr>
          <w:rFonts w:cs="EB Garamond"/>
          <w:b/>
          <w:kern w:val="16"/>
          <w:sz w:val="20"/>
          <w14:ligatures w14:val="standardContextual"/>
        </w:rPr>
        <w:t>25 anos (mulher) / 30 anos (homem)</w:t>
      </w:r>
      <w:r>
        <w:rPr>
          <w:rFonts w:cs="EB Garamond"/>
          <w:kern w:val="16"/>
          <w:sz w:val="20"/>
          <w14:ligatures w14:val="standardContextual"/>
        </w:rPr>
        <w:t xml:space="preserve"> (redução de 5 anos)</w:t>
      </w:r>
    </w:p>
    <w:p w14:paraId="5EF39B73"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Pontuação: dedução de 5 pontos na tabela progressiva</w:t>
      </w:r>
    </w:p>
    <w:p w14:paraId="429F6E35" w14:textId="77777777" w:rsidR="005A5FCC" w:rsidRDefault="005A5FCC">
      <w:pPr>
        <w:spacing w:after="60" w:line="240" w:lineRule="auto"/>
      </w:pPr>
    </w:p>
    <w:tbl>
      <w:tblPr>
        <w:tblW w:w="5000" w:type="pct"/>
        <w:jc w:val="center"/>
        <w:tblLook w:val="04A0" w:firstRow="1" w:lastRow="0" w:firstColumn="1" w:lastColumn="0" w:noHBand="0" w:noVBand="1"/>
      </w:tblPr>
      <w:tblGrid>
        <w:gridCol w:w="2114"/>
        <w:gridCol w:w="2113"/>
        <w:gridCol w:w="2113"/>
      </w:tblGrid>
      <w:tr w:rsidR="005A5FCC" w14:paraId="291F94CB" w14:textId="77777777">
        <w:trPr>
          <w:tblHeader/>
          <w:jc w:val="center"/>
        </w:trPr>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7953C283" w14:textId="77777777" w:rsidR="005A5FCC" w:rsidRDefault="00A21C81">
            <w:pPr>
              <w:spacing w:before="40" w:after="40" w:line="240" w:lineRule="auto"/>
              <w:jc w:val="center"/>
            </w:pPr>
            <w:r>
              <w:rPr>
                <w:rFonts w:cs="EB Garamond"/>
                <w:b/>
                <w:color w:val="2F2923"/>
                <w:kern w:val="16"/>
                <w:sz w:val="18"/>
                <w14:ligatures w14:val="standardContextual"/>
              </w:rPr>
              <w:t>Ano</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1D5A24F0" w14:textId="77777777" w:rsidR="005A5FCC" w:rsidRDefault="00A21C81">
            <w:pPr>
              <w:spacing w:before="40" w:after="40" w:line="240" w:lineRule="auto"/>
              <w:jc w:val="center"/>
            </w:pPr>
            <w:r>
              <w:rPr>
                <w:rFonts w:cs="EB Garamond"/>
                <w:b/>
                <w:color w:val="2F2923"/>
                <w:kern w:val="16"/>
                <w:sz w:val="18"/>
                <w14:ligatures w14:val="standardContextual"/>
              </w:rPr>
              <w:t>Professora (M)</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2647BCB8" w14:textId="77777777" w:rsidR="005A5FCC" w:rsidRDefault="00A21C81">
            <w:pPr>
              <w:spacing w:before="40" w:after="40" w:line="240" w:lineRule="auto"/>
              <w:jc w:val="center"/>
            </w:pPr>
            <w:r>
              <w:rPr>
                <w:rFonts w:cs="EB Garamond"/>
                <w:b/>
                <w:color w:val="2F2923"/>
                <w:kern w:val="16"/>
                <w:sz w:val="18"/>
                <w14:ligatures w14:val="standardContextual"/>
              </w:rPr>
              <w:t>Professor (H)</w:t>
            </w:r>
          </w:p>
        </w:tc>
      </w:tr>
      <w:tr w:rsidR="005A5FCC" w14:paraId="64F584E5"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3B9C0132" w14:textId="77777777" w:rsidR="005A5FCC" w:rsidRDefault="00A21C81">
            <w:pPr>
              <w:spacing w:before="20" w:after="20" w:line="240" w:lineRule="auto"/>
              <w:jc w:val="left"/>
            </w:pPr>
            <w:r>
              <w:rPr>
                <w:rFonts w:cs="EB Garamond"/>
                <w:kern w:val="16"/>
                <w:sz w:val="18"/>
                <w14:ligatures w14:val="standardContextual"/>
              </w:rPr>
              <w:t>2019</w:t>
            </w:r>
          </w:p>
        </w:tc>
        <w:tc>
          <w:tcPr>
            <w:tcW w:w="2117" w:type="dxa"/>
            <w:tcBorders>
              <w:top w:val="single" w:sz="4" w:space="0" w:color="D2C9B8"/>
              <w:left w:val="single" w:sz="4" w:space="0" w:color="D2C9B8"/>
              <w:bottom w:val="single" w:sz="4" w:space="0" w:color="D2C9B8"/>
              <w:right w:val="single" w:sz="4" w:space="0" w:color="D2C9B8"/>
            </w:tcBorders>
          </w:tcPr>
          <w:p w14:paraId="6AE69FA5" w14:textId="77777777" w:rsidR="005A5FCC" w:rsidRDefault="00A21C81">
            <w:pPr>
              <w:spacing w:before="20" w:after="20" w:line="240" w:lineRule="auto"/>
              <w:jc w:val="left"/>
            </w:pPr>
            <w:r>
              <w:rPr>
                <w:rFonts w:cs="EB Garamond"/>
                <w:kern w:val="16"/>
                <w:sz w:val="18"/>
                <w14:ligatures w14:val="standardContextual"/>
              </w:rPr>
              <w:t>81</w:t>
            </w:r>
          </w:p>
        </w:tc>
        <w:tc>
          <w:tcPr>
            <w:tcW w:w="2117" w:type="dxa"/>
            <w:tcBorders>
              <w:top w:val="single" w:sz="4" w:space="0" w:color="D2C9B8"/>
              <w:left w:val="single" w:sz="4" w:space="0" w:color="D2C9B8"/>
              <w:bottom w:val="single" w:sz="4" w:space="0" w:color="D2C9B8"/>
              <w:right w:val="single" w:sz="4" w:space="0" w:color="D2C9B8"/>
            </w:tcBorders>
          </w:tcPr>
          <w:p w14:paraId="2C877DE5" w14:textId="77777777" w:rsidR="005A5FCC" w:rsidRDefault="00A21C81">
            <w:pPr>
              <w:spacing w:before="20" w:after="20" w:line="240" w:lineRule="auto"/>
              <w:jc w:val="left"/>
            </w:pPr>
            <w:r>
              <w:rPr>
                <w:rFonts w:cs="EB Garamond"/>
                <w:kern w:val="16"/>
                <w:sz w:val="18"/>
                <w14:ligatures w14:val="standardContextual"/>
              </w:rPr>
              <w:t>91</w:t>
            </w:r>
          </w:p>
        </w:tc>
      </w:tr>
      <w:tr w:rsidR="005A5FCC" w14:paraId="657770D7"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39F822B4" w14:textId="77777777" w:rsidR="005A5FCC" w:rsidRDefault="00A21C81">
            <w:pPr>
              <w:spacing w:before="20" w:after="20" w:line="240" w:lineRule="auto"/>
              <w:jc w:val="left"/>
            </w:pPr>
            <w:r>
              <w:rPr>
                <w:rFonts w:cs="EB Garamond"/>
                <w:kern w:val="16"/>
                <w:sz w:val="18"/>
                <w14:ligatures w14:val="standardContextual"/>
              </w:rPr>
              <w:t>2020</w:t>
            </w:r>
          </w:p>
        </w:tc>
        <w:tc>
          <w:tcPr>
            <w:tcW w:w="2117" w:type="dxa"/>
            <w:tcBorders>
              <w:top w:val="single" w:sz="4" w:space="0" w:color="D2C9B8"/>
              <w:left w:val="single" w:sz="4" w:space="0" w:color="D2C9B8"/>
              <w:bottom w:val="single" w:sz="4" w:space="0" w:color="D2C9B8"/>
              <w:right w:val="single" w:sz="4" w:space="0" w:color="D2C9B8"/>
            </w:tcBorders>
          </w:tcPr>
          <w:p w14:paraId="7F58213D" w14:textId="77777777" w:rsidR="005A5FCC" w:rsidRDefault="00A21C81">
            <w:pPr>
              <w:spacing w:before="20" w:after="20" w:line="240" w:lineRule="auto"/>
              <w:jc w:val="left"/>
            </w:pPr>
            <w:r>
              <w:rPr>
                <w:rFonts w:cs="EB Garamond"/>
                <w:kern w:val="16"/>
                <w:sz w:val="18"/>
                <w14:ligatures w14:val="standardContextual"/>
              </w:rPr>
              <w:t>82</w:t>
            </w:r>
          </w:p>
        </w:tc>
        <w:tc>
          <w:tcPr>
            <w:tcW w:w="2117" w:type="dxa"/>
            <w:tcBorders>
              <w:top w:val="single" w:sz="4" w:space="0" w:color="D2C9B8"/>
              <w:left w:val="single" w:sz="4" w:space="0" w:color="D2C9B8"/>
              <w:bottom w:val="single" w:sz="4" w:space="0" w:color="D2C9B8"/>
              <w:right w:val="single" w:sz="4" w:space="0" w:color="D2C9B8"/>
            </w:tcBorders>
          </w:tcPr>
          <w:p w14:paraId="730016CB" w14:textId="77777777" w:rsidR="005A5FCC" w:rsidRDefault="00A21C81">
            <w:pPr>
              <w:spacing w:before="20" w:after="20" w:line="240" w:lineRule="auto"/>
              <w:jc w:val="left"/>
            </w:pPr>
            <w:r>
              <w:rPr>
                <w:rFonts w:cs="EB Garamond"/>
                <w:kern w:val="16"/>
                <w:sz w:val="18"/>
                <w14:ligatures w14:val="standardContextual"/>
              </w:rPr>
              <w:t>92</w:t>
            </w:r>
          </w:p>
        </w:tc>
      </w:tr>
      <w:tr w:rsidR="005A5FCC" w14:paraId="676C493C"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3230D521" w14:textId="77777777" w:rsidR="005A5FCC" w:rsidRDefault="00A21C81">
            <w:pPr>
              <w:spacing w:before="20" w:after="20" w:line="240" w:lineRule="auto"/>
              <w:jc w:val="left"/>
            </w:pPr>
            <w:r>
              <w:rPr>
                <w:rFonts w:cs="EB Garamond"/>
                <w:kern w:val="16"/>
                <w:sz w:val="18"/>
                <w14:ligatures w14:val="standardContextual"/>
              </w:rPr>
              <w:lastRenderedPageBreak/>
              <w:t>2021</w:t>
            </w:r>
          </w:p>
        </w:tc>
        <w:tc>
          <w:tcPr>
            <w:tcW w:w="2117" w:type="dxa"/>
            <w:tcBorders>
              <w:top w:val="single" w:sz="4" w:space="0" w:color="D2C9B8"/>
              <w:left w:val="single" w:sz="4" w:space="0" w:color="D2C9B8"/>
              <w:bottom w:val="single" w:sz="4" w:space="0" w:color="D2C9B8"/>
              <w:right w:val="single" w:sz="4" w:space="0" w:color="D2C9B8"/>
            </w:tcBorders>
          </w:tcPr>
          <w:p w14:paraId="166D117B" w14:textId="77777777" w:rsidR="005A5FCC" w:rsidRDefault="00A21C81">
            <w:pPr>
              <w:spacing w:before="20" w:after="20" w:line="240" w:lineRule="auto"/>
              <w:jc w:val="left"/>
            </w:pPr>
            <w:r>
              <w:rPr>
                <w:rFonts w:cs="EB Garamond"/>
                <w:kern w:val="16"/>
                <w:sz w:val="18"/>
                <w14:ligatures w14:val="standardContextual"/>
              </w:rPr>
              <w:t>83</w:t>
            </w:r>
          </w:p>
        </w:tc>
        <w:tc>
          <w:tcPr>
            <w:tcW w:w="2117" w:type="dxa"/>
            <w:tcBorders>
              <w:top w:val="single" w:sz="4" w:space="0" w:color="D2C9B8"/>
              <w:left w:val="single" w:sz="4" w:space="0" w:color="D2C9B8"/>
              <w:bottom w:val="single" w:sz="4" w:space="0" w:color="D2C9B8"/>
              <w:right w:val="single" w:sz="4" w:space="0" w:color="D2C9B8"/>
            </w:tcBorders>
          </w:tcPr>
          <w:p w14:paraId="714461E4" w14:textId="77777777" w:rsidR="005A5FCC" w:rsidRDefault="00A21C81">
            <w:pPr>
              <w:spacing w:before="20" w:after="20" w:line="240" w:lineRule="auto"/>
              <w:jc w:val="left"/>
            </w:pPr>
            <w:r>
              <w:rPr>
                <w:rFonts w:cs="EB Garamond"/>
                <w:kern w:val="16"/>
                <w:sz w:val="18"/>
                <w14:ligatures w14:val="standardContextual"/>
              </w:rPr>
              <w:t>93</w:t>
            </w:r>
          </w:p>
        </w:tc>
      </w:tr>
      <w:tr w:rsidR="005A5FCC" w14:paraId="4E76B092"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404261BB" w14:textId="77777777" w:rsidR="005A5FCC" w:rsidRDefault="00A21C81">
            <w:pPr>
              <w:spacing w:before="20" w:after="20" w:line="240" w:lineRule="auto"/>
              <w:jc w:val="left"/>
            </w:pPr>
            <w:r>
              <w:rPr>
                <w:rFonts w:cs="EB Garamond"/>
                <w:kern w:val="16"/>
                <w:sz w:val="18"/>
                <w14:ligatures w14:val="standardContextual"/>
              </w:rPr>
              <w:t>2022</w:t>
            </w:r>
          </w:p>
        </w:tc>
        <w:tc>
          <w:tcPr>
            <w:tcW w:w="2117" w:type="dxa"/>
            <w:tcBorders>
              <w:top w:val="single" w:sz="4" w:space="0" w:color="D2C9B8"/>
              <w:left w:val="single" w:sz="4" w:space="0" w:color="D2C9B8"/>
              <w:bottom w:val="single" w:sz="4" w:space="0" w:color="D2C9B8"/>
              <w:right w:val="single" w:sz="4" w:space="0" w:color="D2C9B8"/>
            </w:tcBorders>
          </w:tcPr>
          <w:p w14:paraId="4DAC2218" w14:textId="77777777" w:rsidR="005A5FCC" w:rsidRDefault="00A21C81">
            <w:pPr>
              <w:spacing w:before="20" w:after="20" w:line="240" w:lineRule="auto"/>
              <w:jc w:val="left"/>
            </w:pPr>
            <w:r>
              <w:rPr>
                <w:rFonts w:cs="EB Garamond"/>
                <w:kern w:val="16"/>
                <w:sz w:val="18"/>
                <w14:ligatures w14:val="standardContextual"/>
              </w:rPr>
              <w:t>84</w:t>
            </w:r>
          </w:p>
        </w:tc>
        <w:tc>
          <w:tcPr>
            <w:tcW w:w="2117" w:type="dxa"/>
            <w:tcBorders>
              <w:top w:val="single" w:sz="4" w:space="0" w:color="D2C9B8"/>
              <w:left w:val="single" w:sz="4" w:space="0" w:color="D2C9B8"/>
              <w:bottom w:val="single" w:sz="4" w:space="0" w:color="D2C9B8"/>
              <w:right w:val="single" w:sz="4" w:space="0" w:color="D2C9B8"/>
            </w:tcBorders>
          </w:tcPr>
          <w:p w14:paraId="5FA4C06B" w14:textId="77777777" w:rsidR="005A5FCC" w:rsidRDefault="00A21C81">
            <w:pPr>
              <w:spacing w:before="20" w:after="20" w:line="240" w:lineRule="auto"/>
              <w:jc w:val="left"/>
            </w:pPr>
            <w:r>
              <w:rPr>
                <w:rFonts w:cs="EB Garamond"/>
                <w:kern w:val="16"/>
                <w:sz w:val="18"/>
                <w14:ligatures w14:val="standardContextual"/>
              </w:rPr>
              <w:t>94</w:t>
            </w:r>
          </w:p>
        </w:tc>
      </w:tr>
      <w:tr w:rsidR="005A5FCC" w14:paraId="76A2028C"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3A60B9DD" w14:textId="77777777" w:rsidR="005A5FCC" w:rsidRDefault="00A21C81">
            <w:pPr>
              <w:spacing w:before="20" w:after="20" w:line="240" w:lineRule="auto"/>
              <w:jc w:val="left"/>
            </w:pPr>
            <w:r>
              <w:rPr>
                <w:rFonts w:cs="EB Garamond"/>
                <w:kern w:val="16"/>
                <w:sz w:val="18"/>
                <w14:ligatures w14:val="standardContextual"/>
              </w:rPr>
              <w:t>2023</w:t>
            </w:r>
          </w:p>
        </w:tc>
        <w:tc>
          <w:tcPr>
            <w:tcW w:w="2117" w:type="dxa"/>
            <w:tcBorders>
              <w:top w:val="single" w:sz="4" w:space="0" w:color="D2C9B8"/>
              <w:left w:val="single" w:sz="4" w:space="0" w:color="D2C9B8"/>
              <w:bottom w:val="single" w:sz="4" w:space="0" w:color="D2C9B8"/>
              <w:right w:val="single" w:sz="4" w:space="0" w:color="D2C9B8"/>
            </w:tcBorders>
          </w:tcPr>
          <w:p w14:paraId="2BC7318C" w14:textId="77777777" w:rsidR="005A5FCC" w:rsidRDefault="00A21C81">
            <w:pPr>
              <w:spacing w:before="20" w:after="20" w:line="240" w:lineRule="auto"/>
              <w:jc w:val="left"/>
            </w:pPr>
            <w:r>
              <w:rPr>
                <w:rFonts w:cs="EB Garamond"/>
                <w:kern w:val="16"/>
                <w:sz w:val="18"/>
                <w14:ligatures w14:val="standardContextual"/>
              </w:rPr>
              <w:t>85</w:t>
            </w:r>
          </w:p>
        </w:tc>
        <w:tc>
          <w:tcPr>
            <w:tcW w:w="2117" w:type="dxa"/>
            <w:tcBorders>
              <w:top w:val="single" w:sz="4" w:space="0" w:color="D2C9B8"/>
              <w:left w:val="single" w:sz="4" w:space="0" w:color="D2C9B8"/>
              <w:bottom w:val="single" w:sz="4" w:space="0" w:color="D2C9B8"/>
              <w:right w:val="single" w:sz="4" w:space="0" w:color="D2C9B8"/>
            </w:tcBorders>
          </w:tcPr>
          <w:p w14:paraId="13C48EAB" w14:textId="77777777" w:rsidR="005A5FCC" w:rsidRDefault="00A21C81">
            <w:pPr>
              <w:spacing w:before="20" w:after="20" w:line="240" w:lineRule="auto"/>
              <w:jc w:val="left"/>
            </w:pPr>
            <w:r>
              <w:rPr>
                <w:rFonts w:cs="EB Garamond"/>
                <w:kern w:val="16"/>
                <w:sz w:val="18"/>
                <w14:ligatures w14:val="standardContextual"/>
              </w:rPr>
              <w:t>95</w:t>
            </w:r>
          </w:p>
        </w:tc>
      </w:tr>
      <w:tr w:rsidR="005A5FCC" w14:paraId="049F2361"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40489930" w14:textId="77777777" w:rsidR="005A5FCC" w:rsidRDefault="00A21C81">
            <w:pPr>
              <w:spacing w:before="20" w:after="20" w:line="240" w:lineRule="auto"/>
              <w:jc w:val="left"/>
            </w:pPr>
            <w:r>
              <w:rPr>
                <w:rFonts w:cs="EB Garamond"/>
                <w:kern w:val="16"/>
                <w:sz w:val="18"/>
                <w14:ligatures w14:val="standardContextual"/>
              </w:rPr>
              <w:t>2024</w:t>
            </w:r>
          </w:p>
        </w:tc>
        <w:tc>
          <w:tcPr>
            <w:tcW w:w="2117" w:type="dxa"/>
            <w:tcBorders>
              <w:top w:val="single" w:sz="4" w:space="0" w:color="D2C9B8"/>
              <w:left w:val="single" w:sz="4" w:space="0" w:color="D2C9B8"/>
              <w:bottom w:val="single" w:sz="4" w:space="0" w:color="D2C9B8"/>
              <w:right w:val="single" w:sz="4" w:space="0" w:color="D2C9B8"/>
            </w:tcBorders>
          </w:tcPr>
          <w:p w14:paraId="3C29A8AB" w14:textId="77777777" w:rsidR="005A5FCC" w:rsidRDefault="00A21C81">
            <w:pPr>
              <w:spacing w:before="20" w:after="20" w:line="240" w:lineRule="auto"/>
              <w:jc w:val="left"/>
            </w:pPr>
            <w:r>
              <w:rPr>
                <w:rFonts w:cs="EB Garamond"/>
                <w:kern w:val="16"/>
                <w:sz w:val="18"/>
                <w14:ligatures w14:val="standardContextual"/>
              </w:rPr>
              <w:t>86</w:t>
            </w:r>
          </w:p>
        </w:tc>
        <w:tc>
          <w:tcPr>
            <w:tcW w:w="2117" w:type="dxa"/>
            <w:tcBorders>
              <w:top w:val="single" w:sz="4" w:space="0" w:color="D2C9B8"/>
              <w:left w:val="single" w:sz="4" w:space="0" w:color="D2C9B8"/>
              <w:bottom w:val="single" w:sz="4" w:space="0" w:color="D2C9B8"/>
              <w:right w:val="single" w:sz="4" w:space="0" w:color="D2C9B8"/>
            </w:tcBorders>
          </w:tcPr>
          <w:p w14:paraId="253886FB" w14:textId="77777777" w:rsidR="005A5FCC" w:rsidRDefault="00A21C81">
            <w:pPr>
              <w:spacing w:before="20" w:after="20" w:line="240" w:lineRule="auto"/>
              <w:jc w:val="left"/>
            </w:pPr>
            <w:r>
              <w:rPr>
                <w:rFonts w:cs="EB Garamond"/>
                <w:kern w:val="16"/>
                <w:sz w:val="18"/>
                <w14:ligatures w14:val="standardContextual"/>
              </w:rPr>
              <w:t>96</w:t>
            </w:r>
          </w:p>
        </w:tc>
      </w:tr>
      <w:tr w:rsidR="005A5FCC" w14:paraId="1014707B"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681CEBB2" w14:textId="77777777" w:rsidR="005A5FCC" w:rsidRDefault="00A21C81">
            <w:pPr>
              <w:spacing w:before="20" w:after="20" w:line="240" w:lineRule="auto"/>
              <w:jc w:val="left"/>
            </w:pPr>
            <w:r>
              <w:rPr>
                <w:rFonts w:cs="EB Garamond"/>
                <w:kern w:val="16"/>
                <w:sz w:val="18"/>
                <w14:ligatures w14:val="standardContextual"/>
              </w:rPr>
              <w:t>2025</w:t>
            </w:r>
          </w:p>
        </w:tc>
        <w:tc>
          <w:tcPr>
            <w:tcW w:w="2117" w:type="dxa"/>
            <w:tcBorders>
              <w:top w:val="single" w:sz="4" w:space="0" w:color="D2C9B8"/>
              <w:left w:val="single" w:sz="4" w:space="0" w:color="D2C9B8"/>
              <w:bottom w:val="single" w:sz="4" w:space="0" w:color="D2C9B8"/>
              <w:right w:val="single" w:sz="4" w:space="0" w:color="D2C9B8"/>
            </w:tcBorders>
          </w:tcPr>
          <w:p w14:paraId="388AF2FE" w14:textId="77777777" w:rsidR="005A5FCC" w:rsidRDefault="00A21C81">
            <w:pPr>
              <w:spacing w:before="20" w:after="20" w:line="240" w:lineRule="auto"/>
              <w:jc w:val="left"/>
            </w:pPr>
            <w:r>
              <w:rPr>
                <w:rFonts w:cs="EB Garamond"/>
                <w:kern w:val="16"/>
                <w:sz w:val="18"/>
                <w14:ligatures w14:val="standardContextual"/>
              </w:rPr>
              <w:t>87</w:t>
            </w:r>
          </w:p>
        </w:tc>
        <w:tc>
          <w:tcPr>
            <w:tcW w:w="2117" w:type="dxa"/>
            <w:tcBorders>
              <w:top w:val="single" w:sz="4" w:space="0" w:color="D2C9B8"/>
              <w:left w:val="single" w:sz="4" w:space="0" w:color="D2C9B8"/>
              <w:bottom w:val="single" w:sz="4" w:space="0" w:color="D2C9B8"/>
              <w:right w:val="single" w:sz="4" w:space="0" w:color="D2C9B8"/>
            </w:tcBorders>
          </w:tcPr>
          <w:p w14:paraId="4598C042" w14:textId="77777777" w:rsidR="005A5FCC" w:rsidRDefault="00A21C81">
            <w:pPr>
              <w:spacing w:before="20" w:after="20" w:line="240" w:lineRule="auto"/>
              <w:jc w:val="left"/>
            </w:pPr>
            <w:r>
              <w:rPr>
                <w:rFonts w:cs="EB Garamond"/>
                <w:kern w:val="16"/>
                <w:sz w:val="18"/>
                <w14:ligatures w14:val="standardContextual"/>
              </w:rPr>
              <w:t>97</w:t>
            </w:r>
          </w:p>
        </w:tc>
      </w:tr>
      <w:tr w:rsidR="005A5FCC" w14:paraId="1E7B3D85"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7B2BE39D" w14:textId="77777777" w:rsidR="005A5FCC" w:rsidRDefault="00A21C81">
            <w:pPr>
              <w:spacing w:before="20" w:after="20" w:line="240" w:lineRule="auto"/>
              <w:jc w:val="left"/>
            </w:pPr>
            <w:r>
              <w:rPr>
                <w:rFonts w:cs="EB Garamond"/>
                <w:b/>
                <w:kern w:val="16"/>
                <w:sz w:val="18"/>
                <w14:ligatures w14:val="standardContextual"/>
              </w:rPr>
              <w:t>2026</w:t>
            </w:r>
          </w:p>
        </w:tc>
        <w:tc>
          <w:tcPr>
            <w:tcW w:w="2117" w:type="dxa"/>
            <w:tcBorders>
              <w:top w:val="single" w:sz="4" w:space="0" w:color="D2C9B8"/>
              <w:left w:val="single" w:sz="4" w:space="0" w:color="D2C9B8"/>
              <w:bottom w:val="single" w:sz="4" w:space="0" w:color="D2C9B8"/>
              <w:right w:val="single" w:sz="4" w:space="0" w:color="D2C9B8"/>
            </w:tcBorders>
          </w:tcPr>
          <w:p w14:paraId="5DC8026F" w14:textId="77777777" w:rsidR="005A5FCC" w:rsidRDefault="00A21C81">
            <w:pPr>
              <w:spacing w:before="20" w:after="20" w:line="240" w:lineRule="auto"/>
              <w:jc w:val="left"/>
            </w:pPr>
            <w:r>
              <w:rPr>
                <w:rFonts w:cs="EB Garamond"/>
                <w:b/>
                <w:kern w:val="16"/>
                <w:sz w:val="18"/>
                <w14:ligatures w14:val="standardContextual"/>
              </w:rPr>
              <w:t>88</w:t>
            </w:r>
          </w:p>
        </w:tc>
        <w:tc>
          <w:tcPr>
            <w:tcW w:w="2117" w:type="dxa"/>
            <w:tcBorders>
              <w:top w:val="single" w:sz="4" w:space="0" w:color="D2C9B8"/>
              <w:left w:val="single" w:sz="4" w:space="0" w:color="D2C9B8"/>
              <w:bottom w:val="single" w:sz="4" w:space="0" w:color="D2C9B8"/>
              <w:right w:val="single" w:sz="4" w:space="0" w:color="D2C9B8"/>
            </w:tcBorders>
          </w:tcPr>
          <w:p w14:paraId="5D1234AA" w14:textId="77777777" w:rsidR="005A5FCC" w:rsidRDefault="00A21C81">
            <w:pPr>
              <w:spacing w:before="20" w:after="20" w:line="240" w:lineRule="auto"/>
              <w:jc w:val="left"/>
            </w:pPr>
            <w:r>
              <w:rPr>
                <w:rFonts w:cs="EB Garamond"/>
                <w:b/>
                <w:kern w:val="16"/>
                <w:sz w:val="18"/>
                <w14:ligatures w14:val="standardContextual"/>
              </w:rPr>
              <w:t>98</w:t>
            </w:r>
          </w:p>
        </w:tc>
      </w:tr>
      <w:tr w:rsidR="005A5FCC" w14:paraId="398DB7C2"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78F3D009" w14:textId="77777777" w:rsidR="005A5FCC" w:rsidRDefault="00A21C81">
            <w:pPr>
              <w:spacing w:before="20" w:after="20" w:line="240" w:lineRule="auto"/>
              <w:jc w:val="left"/>
            </w:pPr>
            <w:r>
              <w:rPr>
                <w:rFonts w:cs="EB Garamond"/>
                <w:kern w:val="16"/>
                <w:sz w:val="18"/>
                <w14:ligatures w14:val="standardContextual"/>
              </w:rPr>
              <w:t>2027</w:t>
            </w:r>
          </w:p>
        </w:tc>
        <w:tc>
          <w:tcPr>
            <w:tcW w:w="2117" w:type="dxa"/>
            <w:tcBorders>
              <w:top w:val="single" w:sz="4" w:space="0" w:color="D2C9B8"/>
              <w:left w:val="single" w:sz="4" w:space="0" w:color="D2C9B8"/>
              <w:bottom w:val="single" w:sz="4" w:space="0" w:color="D2C9B8"/>
              <w:right w:val="single" w:sz="4" w:space="0" w:color="D2C9B8"/>
            </w:tcBorders>
          </w:tcPr>
          <w:p w14:paraId="3C80D65E" w14:textId="77777777" w:rsidR="005A5FCC" w:rsidRDefault="00A21C81">
            <w:pPr>
              <w:spacing w:before="20" w:after="20" w:line="240" w:lineRule="auto"/>
              <w:jc w:val="left"/>
            </w:pPr>
            <w:r>
              <w:rPr>
                <w:rFonts w:cs="EB Garamond"/>
                <w:kern w:val="16"/>
                <w:sz w:val="18"/>
                <w14:ligatures w14:val="standardContextual"/>
              </w:rPr>
              <w:t>89</w:t>
            </w:r>
          </w:p>
        </w:tc>
        <w:tc>
          <w:tcPr>
            <w:tcW w:w="2117" w:type="dxa"/>
            <w:tcBorders>
              <w:top w:val="single" w:sz="4" w:space="0" w:color="D2C9B8"/>
              <w:left w:val="single" w:sz="4" w:space="0" w:color="D2C9B8"/>
              <w:bottom w:val="single" w:sz="4" w:space="0" w:color="D2C9B8"/>
              <w:right w:val="single" w:sz="4" w:space="0" w:color="D2C9B8"/>
            </w:tcBorders>
          </w:tcPr>
          <w:p w14:paraId="35AC999C" w14:textId="77777777" w:rsidR="005A5FCC" w:rsidRDefault="00A21C81">
            <w:pPr>
              <w:spacing w:before="20" w:after="20" w:line="240" w:lineRule="auto"/>
              <w:jc w:val="left"/>
            </w:pPr>
            <w:r>
              <w:rPr>
                <w:rFonts w:cs="EB Garamond"/>
                <w:kern w:val="16"/>
                <w:sz w:val="18"/>
                <w14:ligatures w14:val="standardContextual"/>
              </w:rPr>
              <w:t>99</w:t>
            </w:r>
          </w:p>
        </w:tc>
      </w:tr>
      <w:tr w:rsidR="005A5FCC" w14:paraId="704DBDAC"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0CCF6F43" w14:textId="77777777" w:rsidR="005A5FCC" w:rsidRDefault="00A21C81">
            <w:pPr>
              <w:spacing w:before="20" w:after="20" w:line="240" w:lineRule="auto"/>
              <w:jc w:val="left"/>
            </w:pPr>
            <w:r>
              <w:rPr>
                <w:rFonts w:cs="EB Garamond"/>
                <w:kern w:val="16"/>
                <w:sz w:val="18"/>
                <w14:ligatures w14:val="standardContextual"/>
              </w:rPr>
              <w:t>2028</w:t>
            </w:r>
          </w:p>
        </w:tc>
        <w:tc>
          <w:tcPr>
            <w:tcW w:w="2117" w:type="dxa"/>
            <w:tcBorders>
              <w:top w:val="single" w:sz="4" w:space="0" w:color="D2C9B8"/>
              <w:left w:val="single" w:sz="4" w:space="0" w:color="D2C9B8"/>
              <w:bottom w:val="single" w:sz="4" w:space="0" w:color="D2C9B8"/>
              <w:right w:val="single" w:sz="4" w:space="0" w:color="D2C9B8"/>
            </w:tcBorders>
          </w:tcPr>
          <w:p w14:paraId="0CEC1264" w14:textId="77777777" w:rsidR="005A5FCC" w:rsidRDefault="00A21C81">
            <w:pPr>
              <w:spacing w:before="20" w:after="20" w:line="240" w:lineRule="auto"/>
              <w:jc w:val="left"/>
            </w:pPr>
            <w:r>
              <w:rPr>
                <w:rFonts w:cs="EB Garamond"/>
                <w:kern w:val="16"/>
                <w:sz w:val="18"/>
                <w14:ligatures w14:val="standardContextual"/>
              </w:rPr>
              <w:t>90</w:t>
            </w:r>
          </w:p>
        </w:tc>
        <w:tc>
          <w:tcPr>
            <w:tcW w:w="2117" w:type="dxa"/>
            <w:tcBorders>
              <w:top w:val="single" w:sz="4" w:space="0" w:color="D2C9B8"/>
              <w:left w:val="single" w:sz="4" w:space="0" w:color="D2C9B8"/>
              <w:bottom w:val="single" w:sz="4" w:space="0" w:color="D2C9B8"/>
              <w:right w:val="single" w:sz="4" w:space="0" w:color="D2C9B8"/>
            </w:tcBorders>
          </w:tcPr>
          <w:p w14:paraId="578A50E1" w14:textId="77777777" w:rsidR="005A5FCC" w:rsidRDefault="00A21C81">
            <w:pPr>
              <w:spacing w:before="20" w:after="20" w:line="240" w:lineRule="auto"/>
              <w:jc w:val="left"/>
            </w:pPr>
            <w:r>
              <w:rPr>
                <w:rFonts w:cs="EB Garamond"/>
                <w:kern w:val="16"/>
                <w:sz w:val="18"/>
                <w14:ligatures w14:val="standardContextual"/>
              </w:rPr>
              <w:t>100 (estabiliza)</w:t>
            </w:r>
          </w:p>
        </w:tc>
      </w:tr>
      <w:tr w:rsidR="005A5FCC" w14:paraId="0C1C89AA"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71726BF0" w14:textId="77777777" w:rsidR="005A5FCC" w:rsidRDefault="00A21C81">
            <w:pPr>
              <w:spacing w:before="20" w:after="20" w:line="240" w:lineRule="auto"/>
              <w:jc w:val="left"/>
            </w:pPr>
            <w:r>
              <w:rPr>
                <w:rFonts w:cs="EB Garamond"/>
                <w:kern w:val="16"/>
                <w:sz w:val="18"/>
                <w14:ligatures w14:val="standardContextual"/>
              </w:rPr>
              <w:t>2029</w:t>
            </w:r>
          </w:p>
        </w:tc>
        <w:tc>
          <w:tcPr>
            <w:tcW w:w="2117" w:type="dxa"/>
            <w:tcBorders>
              <w:top w:val="single" w:sz="4" w:space="0" w:color="D2C9B8"/>
              <w:left w:val="single" w:sz="4" w:space="0" w:color="D2C9B8"/>
              <w:bottom w:val="single" w:sz="4" w:space="0" w:color="D2C9B8"/>
              <w:right w:val="single" w:sz="4" w:space="0" w:color="D2C9B8"/>
            </w:tcBorders>
          </w:tcPr>
          <w:p w14:paraId="4DA3CB26" w14:textId="77777777" w:rsidR="005A5FCC" w:rsidRDefault="00A21C81">
            <w:pPr>
              <w:spacing w:before="20" w:after="20" w:line="240" w:lineRule="auto"/>
              <w:jc w:val="left"/>
            </w:pPr>
            <w:r>
              <w:rPr>
                <w:rFonts w:cs="EB Garamond"/>
                <w:kern w:val="16"/>
                <w:sz w:val="18"/>
                <w14:ligatures w14:val="standardContextual"/>
              </w:rPr>
              <w:t>91</w:t>
            </w:r>
          </w:p>
        </w:tc>
        <w:tc>
          <w:tcPr>
            <w:tcW w:w="2117" w:type="dxa"/>
            <w:tcBorders>
              <w:top w:val="single" w:sz="4" w:space="0" w:color="D2C9B8"/>
              <w:left w:val="single" w:sz="4" w:space="0" w:color="D2C9B8"/>
              <w:bottom w:val="single" w:sz="4" w:space="0" w:color="D2C9B8"/>
              <w:right w:val="single" w:sz="4" w:space="0" w:color="D2C9B8"/>
            </w:tcBorders>
          </w:tcPr>
          <w:p w14:paraId="1FB55F7A" w14:textId="77777777" w:rsidR="005A5FCC" w:rsidRDefault="00A21C81">
            <w:pPr>
              <w:spacing w:before="20" w:after="20" w:line="240" w:lineRule="auto"/>
              <w:jc w:val="left"/>
            </w:pPr>
            <w:r>
              <w:rPr>
                <w:rFonts w:cs="EB Garamond"/>
                <w:kern w:val="16"/>
                <w:sz w:val="18"/>
                <w14:ligatures w14:val="standardContextual"/>
              </w:rPr>
              <w:t>100</w:t>
            </w:r>
          </w:p>
        </w:tc>
      </w:tr>
      <w:tr w:rsidR="005A5FCC" w14:paraId="1B35E3D4"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3DD9F708" w14:textId="77777777" w:rsidR="005A5FCC" w:rsidRDefault="00A21C81">
            <w:pPr>
              <w:spacing w:before="20" w:after="20" w:line="240" w:lineRule="auto"/>
              <w:jc w:val="left"/>
            </w:pPr>
            <w:r>
              <w:rPr>
                <w:rFonts w:cs="EB Garamond"/>
                <w:kern w:val="16"/>
                <w:sz w:val="18"/>
                <w14:ligatures w14:val="standardContextual"/>
              </w:rPr>
              <w:t>2030</w:t>
            </w:r>
          </w:p>
        </w:tc>
        <w:tc>
          <w:tcPr>
            <w:tcW w:w="2117" w:type="dxa"/>
            <w:tcBorders>
              <w:top w:val="single" w:sz="4" w:space="0" w:color="D2C9B8"/>
              <w:left w:val="single" w:sz="4" w:space="0" w:color="D2C9B8"/>
              <w:bottom w:val="single" w:sz="4" w:space="0" w:color="D2C9B8"/>
              <w:right w:val="single" w:sz="4" w:space="0" w:color="D2C9B8"/>
            </w:tcBorders>
          </w:tcPr>
          <w:p w14:paraId="6DE6B130" w14:textId="77777777" w:rsidR="005A5FCC" w:rsidRDefault="00A21C81">
            <w:pPr>
              <w:spacing w:before="20" w:after="20" w:line="240" w:lineRule="auto"/>
              <w:jc w:val="left"/>
            </w:pPr>
            <w:r>
              <w:rPr>
                <w:rFonts w:cs="EB Garamond"/>
                <w:kern w:val="16"/>
                <w:sz w:val="18"/>
                <w14:ligatures w14:val="standardContextual"/>
              </w:rPr>
              <w:t>92</w:t>
            </w:r>
          </w:p>
        </w:tc>
        <w:tc>
          <w:tcPr>
            <w:tcW w:w="2117" w:type="dxa"/>
            <w:tcBorders>
              <w:top w:val="single" w:sz="4" w:space="0" w:color="D2C9B8"/>
              <w:left w:val="single" w:sz="4" w:space="0" w:color="D2C9B8"/>
              <w:bottom w:val="single" w:sz="4" w:space="0" w:color="D2C9B8"/>
              <w:right w:val="single" w:sz="4" w:space="0" w:color="D2C9B8"/>
            </w:tcBorders>
          </w:tcPr>
          <w:p w14:paraId="462882FC" w14:textId="77777777" w:rsidR="005A5FCC" w:rsidRDefault="00A21C81">
            <w:pPr>
              <w:spacing w:before="20" w:after="20" w:line="240" w:lineRule="auto"/>
              <w:jc w:val="left"/>
            </w:pPr>
            <w:r>
              <w:rPr>
                <w:rFonts w:cs="EB Garamond"/>
                <w:kern w:val="16"/>
                <w:sz w:val="18"/>
                <w14:ligatures w14:val="standardContextual"/>
              </w:rPr>
              <w:t>100</w:t>
            </w:r>
          </w:p>
        </w:tc>
      </w:tr>
      <w:tr w:rsidR="005A5FCC" w14:paraId="332082A6"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7D71ED2A" w14:textId="77777777" w:rsidR="005A5FCC" w:rsidRDefault="00A21C81">
            <w:pPr>
              <w:spacing w:before="20" w:after="20" w:line="240" w:lineRule="auto"/>
              <w:jc w:val="left"/>
            </w:pPr>
            <w:r>
              <w:rPr>
                <w:rFonts w:cs="EB Garamond"/>
                <w:kern w:val="16"/>
                <w:sz w:val="18"/>
                <w14:ligatures w14:val="standardContextual"/>
              </w:rPr>
              <w:t>2031</w:t>
            </w:r>
          </w:p>
        </w:tc>
        <w:tc>
          <w:tcPr>
            <w:tcW w:w="2117" w:type="dxa"/>
            <w:tcBorders>
              <w:top w:val="single" w:sz="4" w:space="0" w:color="D2C9B8"/>
              <w:left w:val="single" w:sz="4" w:space="0" w:color="D2C9B8"/>
              <w:bottom w:val="single" w:sz="4" w:space="0" w:color="D2C9B8"/>
              <w:right w:val="single" w:sz="4" w:space="0" w:color="D2C9B8"/>
            </w:tcBorders>
          </w:tcPr>
          <w:p w14:paraId="16A46A75" w14:textId="77777777" w:rsidR="005A5FCC" w:rsidRDefault="00A21C81">
            <w:pPr>
              <w:spacing w:before="20" w:after="20" w:line="240" w:lineRule="auto"/>
              <w:jc w:val="left"/>
            </w:pPr>
            <w:r>
              <w:rPr>
                <w:rFonts w:cs="EB Garamond"/>
                <w:kern w:val="16"/>
                <w:sz w:val="18"/>
                <w14:ligatures w14:val="standardContextual"/>
              </w:rPr>
              <w:t>93</w:t>
            </w:r>
          </w:p>
        </w:tc>
        <w:tc>
          <w:tcPr>
            <w:tcW w:w="2117" w:type="dxa"/>
            <w:tcBorders>
              <w:top w:val="single" w:sz="4" w:space="0" w:color="D2C9B8"/>
              <w:left w:val="single" w:sz="4" w:space="0" w:color="D2C9B8"/>
              <w:bottom w:val="single" w:sz="4" w:space="0" w:color="D2C9B8"/>
              <w:right w:val="single" w:sz="4" w:space="0" w:color="D2C9B8"/>
            </w:tcBorders>
          </w:tcPr>
          <w:p w14:paraId="3C94CA45" w14:textId="77777777" w:rsidR="005A5FCC" w:rsidRDefault="00A21C81">
            <w:pPr>
              <w:spacing w:before="20" w:after="20" w:line="240" w:lineRule="auto"/>
              <w:jc w:val="left"/>
            </w:pPr>
            <w:r>
              <w:rPr>
                <w:rFonts w:cs="EB Garamond"/>
                <w:kern w:val="16"/>
                <w:sz w:val="18"/>
                <w14:ligatures w14:val="standardContextual"/>
              </w:rPr>
              <w:t>100</w:t>
            </w:r>
          </w:p>
        </w:tc>
      </w:tr>
      <w:tr w:rsidR="005A5FCC" w14:paraId="6BB11288"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0140DC05" w14:textId="77777777" w:rsidR="005A5FCC" w:rsidRDefault="00A21C81">
            <w:pPr>
              <w:spacing w:before="20" w:after="20" w:line="240" w:lineRule="auto"/>
              <w:jc w:val="left"/>
            </w:pPr>
            <w:r>
              <w:rPr>
                <w:rFonts w:cs="EB Garamond"/>
                <w:kern w:val="16"/>
                <w:sz w:val="18"/>
                <w14:ligatures w14:val="standardContextual"/>
              </w:rPr>
              <w:t>2032</w:t>
            </w:r>
          </w:p>
        </w:tc>
        <w:tc>
          <w:tcPr>
            <w:tcW w:w="2117" w:type="dxa"/>
            <w:tcBorders>
              <w:top w:val="single" w:sz="4" w:space="0" w:color="D2C9B8"/>
              <w:left w:val="single" w:sz="4" w:space="0" w:color="D2C9B8"/>
              <w:bottom w:val="single" w:sz="4" w:space="0" w:color="D2C9B8"/>
              <w:right w:val="single" w:sz="4" w:space="0" w:color="D2C9B8"/>
            </w:tcBorders>
          </w:tcPr>
          <w:p w14:paraId="30456AC2" w14:textId="77777777" w:rsidR="005A5FCC" w:rsidRDefault="00A21C81">
            <w:pPr>
              <w:spacing w:before="20" w:after="20" w:line="240" w:lineRule="auto"/>
              <w:jc w:val="left"/>
            </w:pPr>
            <w:r>
              <w:rPr>
                <w:rFonts w:cs="EB Garamond"/>
                <w:kern w:val="16"/>
                <w:sz w:val="18"/>
                <w14:ligatures w14:val="standardContextual"/>
              </w:rPr>
              <w:t>94</w:t>
            </w:r>
          </w:p>
        </w:tc>
        <w:tc>
          <w:tcPr>
            <w:tcW w:w="2117" w:type="dxa"/>
            <w:tcBorders>
              <w:top w:val="single" w:sz="4" w:space="0" w:color="D2C9B8"/>
              <w:left w:val="single" w:sz="4" w:space="0" w:color="D2C9B8"/>
              <w:bottom w:val="single" w:sz="4" w:space="0" w:color="D2C9B8"/>
              <w:right w:val="single" w:sz="4" w:space="0" w:color="D2C9B8"/>
            </w:tcBorders>
          </w:tcPr>
          <w:p w14:paraId="721D5E21" w14:textId="77777777" w:rsidR="005A5FCC" w:rsidRDefault="00A21C81">
            <w:pPr>
              <w:spacing w:before="20" w:after="20" w:line="240" w:lineRule="auto"/>
              <w:jc w:val="left"/>
            </w:pPr>
            <w:r>
              <w:rPr>
                <w:rFonts w:cs="EB Garamond"/>
                <w:kern w:val="16"/>
                <w:sz w:val="18"/>
                <w14:ligatures w14:val="standardContextual"/>
              </w:rPr>
              <w:t>100</w:t>
            </w:r>
          </w:p>
        </w:tc>
      </w:tr>
      <w:tr w:rsidR="005A5FCC" w14:paraId="3EC1EA57"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0320DB47" w14:textId="77777777" w:rsidR="005A5FCC" w:rsidRDefault="00A21C81">
            <w:pPr>
              <w:spacing w:before="20" w:after="20" w:line="240" w:lineRule="auto"/>
              <w:jc w:val="left"/>
            </w:pPr>
            <w:r>
              <w:rPr>
                <w:rFonts w:cs="EB Garamond"/>
                <w:kern w:val="16"/>
                <w:sz w:val="18"/>
                <w14:ligatures w14:val="standardContextual"/>
              </w:rPr>
              <w:t>2033</w:t>
            </w:r>
          </w:p>
        </w:tc>
        <w:tc>
          <w:tcPr>
            <w:tcW w:w="2117" w:type="dxa"/>
            <w:tcBorders>
              <w:top w:val="single" w:sz="4" w:space="0" w:color="D2C9B8"/>
              <w:left w:val="single" w:sz="4" w:space="0" w:color="D2C9B8"/>
              <w:bottom w:val="single" w:sz="4" w:space="0" w:color="D2C9B8"/>
              <w:right w:val="single" w:sz="4" w:space="0" w:color="D2C9B8"/>
            </w:tcBorders>
          </w:tcPr>
          <w:p w14:paraId="1E88ED9D" w14:textId="77777777" w:rsidR="005A5FCC" w:rsidRDefault="00A21C81">
            <w:pPr>
              <w:spacing w:before="20" w:after="20" w:line="240" w:lineRule="auto"/>
              <w:jc w:val="left"/>
            </w:pPr>
            <w:r>
              <w:rPr>
                <w:rFonts w:cs="EB Garamond"/>
                <w:kern w:val="16"/>
                <w:sz w:val="18"/>
                <w14:ligatures w14:val="standardContextual"/>
              </w:rPr>
              <w:t>95 (estabiliza)</w:t>
            </w:r>
          </w:p>
        </w:tc>
        <w:tc>
          <w:tcPr>
            <w:tcW w:w="2117" w:type="dxa"/>
            <w:tcBorders>
              <w:top w:val="single" w:sz="4" w:space="0" w:color="D2C9B8"/>
              <w:left w:val="single" w:sz="4" w:space="0" w:color="D2C9B8"/>
              <w:bottom w:val="single" w:sz="4" w:space="0" w:color="D2C9B8"/>
              <w:right w:val="single" w:sz="4" w:space="0" w:color="D2C9B8"/>
            </w:tcBorders>
          </w:tcPr>
          <w:p w14:paraId="06106A12" w14:textId="77777777" w:rsidR="005A5FCC" w:rsidRDefault="00A21C81">
            <w:pPr>
              <w:spacing w:before="20" w:after="20" w:line="240" w:lineRule="auto"/>
              <w:jc w:val="left"/>
            </w:pPr>
            <w:r>
              <w:rPr>
                <w:rFonts w:cs="EB Garamond"/>
                <w:kern w:val="16"/>
                <w:sz w:val="18"/>
                <w14:ligatures w14:val="standardContextual"/>
              </w:rPr>
              <w:t>100</w:t>
            </w:r>
          </w:p>
        </w:tc>
      </w:tr>
    </w:tbl>
    <w:p w14:paraId="3047CF1E" w14:textId="77777777" w:rsidR="005A5FCC" w:rsidRDefault="005A5FCC">
      <w:pPr>
        <w:spacing w:after="80" w:line="240" w:lineRule="auto"/>
      </w:pPr>
    </w:p>
    <w:p w14:paraId="4DE17EA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b</w:t>
      </w:r>
    </w:p>
    <w:p w14:paraId="5EC399F6" w14:textId="77777777" w:rsidR="005A5FCC" w:rsidRDefault="00A21C81">
      <w:r>
        <w:rPr>
          <w:rFonts w:cs="EB Garamond"/>
          <w:b/>
          <w:kern w:val="16"/>
          <w14:ligatures w14:val="standardContextual"/>
        </w:rPr>
        <w:t>) Art. 16 (idade progressiva) — § 2º:</w:t>
      </w:r>
    </w:p>
    <w:p w14:paraId="10F66A68"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 xml:space="preserve">TC mínimo: </w:t>
      </w:r>
      <w:r>
        <w:rPr>
          <w:rFonts w:cs="EB Garamond"/>
          <w:b/>
          <w:kern w:val="16"/>
          <w:sz w:val="20"/>
          <w14:ligatures w14:val="standardContextual"/>
        </w:rPr>
        <w:t>25 anos (mulher) / 30 anos (homem)</w:t>
      </w:r>
    </w:p>
    <w:p w14:paraId="585CCACE"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Idade mínima: redução de 5 anos na progressão</w:t>
      </w:r>
    </w:p>
    <w:p w14:paraId="7ADD356C" w14:textId="77777777" w:rsidR="005A5FCC" w:rsidRDefault="005A5FCC">
      <w:pPr>
        <w:spacing w:after="60" w:line="240" w:lineRule="auto"/>
      </w:pPr>
    </w:p>
    <w:tbl>
      <w:tblPr>
        <w:tblW w:w="5000" w:type="pct"/>
        <w:jc w:val="center"/>
        <w:tblLook w:val="04A0" w:firstRow="1" w:lastRow="0" w:firstColumn="1" w:lastColumn="0" w:noHBand="0" w:noVBand="1"/>
      </w:tblPr>
      <w:tblGrid>
        <w:gridCol w:w="2114"/>
        <w:gridCol w:w="2113"/>
        <w:gridCol w:w="2113"/>
      </w:tblGrid>
      <w:tr w:rsidR="005A5FCC" w14:paraId="7545718E" w14:textId="77777777">
        <w:trPr>
          <w:tblHeader/>
          <w:jc w:val="center"/>
        </w:trPr>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1357625A" w14:textId="77777777" w:rsidR="005A5FCC" w:rsidRDefault="00A21C81">
            <w:pPr>
              <w:spacing w:before="40" w:after="40" w:line="240" w:lineRule="auto"/>
              <w:jc w:val="center"/>
            </w:pPr>
            <w:r>
              <w:rPr>
                <w:rFonts w:cs="EB Garamond"/>
                <w:b/>
                <w:color w:val="2F2923"/>
                <w:kern w:val="16"/>
                <w:sz w:val="18"/>
                <w14:ligatures w14:val="standardContextual"/>
              </w:rPr>
              <w:t>Ano</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1A64E2C0" w14:textId="77777777" w:rsidR="005A5FCC" w:rsidRDefault="00A21C81">
            <w:pPr>
              <w:spacing w:before="40" w:after="40" w:line="240" w:lineRule="auto"/>
              <w:jc w:val="center"/>
            </w:pPr>
            <w:r>
              <w:rPr>
                <w:rFonts w:cs="EB Garamond"/>
                <w:b/>
                <w:color w:val="2F2923"/>
                <w:kern w:val="16"/>
                <w:sz w:val="18"/>
                <w14:ligatures w14:val="standardContextual"/>
              </w:rPr>
              <w:t>Professora (M)</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2B5BA13D" w14:textId="77777777" w:rsidR="005A5FCC" w:rsidRDefault="00A21C81">
            <w:pPr>
              <w:spacing w:before="40" w:after="40" w:line="240" w:lineRule="auto"/>
              <w:jc w:val="center"/>
            </w:pPr>
            <w:r>
              <w:rPr>
                <w:rFonts w:cs="EB Garamond"/>
                <w:b/>
                <w:color w:val="2F2923"/>
                <w:kern w:val="16"/>
                <w:sz w:val="18"/>
                <w14:ligatures w14:val="standardContextual"/>
              </w:rPr>
              <w:t>Professor (H)</w:t>
            </w:r>
          </w:p>
        </w:tc>
      </w:tr>
      <w:tr w:rsidR="005A5FCC" w14:paraId="6F60B934"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042250F9" w14:textId="77777777" w:rsidR="005A5FCC" w:rsidRDefault="00A21C81">
            <w:pPr>
              <w:spacing w:before="20" w:after="20" w:line="240" w:lineRule="auto"/>
              <w:jc w:val="left"/>
            </w:pPr>
            <w:r>
              <w:rPr>
                <w:rFonts w:cs="EB Garamond"/>
                <w:kern w:val="16"/>
                <w:sz w:val="18"/>
                <w14:ligatures w14:val="standardContextual"/>
              </w:rPr>
              <w:t>2019</w:t>
            </w:r>
          </w:p>
        </w:tc>
        <w:tc>
          <w:tcPr>
            <w:tcW w:w="2117" w:type="dxa"/>
            <w:tcBorders>
              <w:top w:val="single" w:sz="4" w:space="0" w:color="D2C9B8"/>
              <w:left w:val="single" w:sz="4" w:space="0" w:color="D2C9B8"/>
              <w:bottom w:val="single" w:sz="4" w:space="0" w:color="D2C9B8"/>
              <w:right w:val="single" w:sz="4" w:space="0" w:color="D2C9B8"/>
            </w:tcBorders>
          </w:tcPr>
          <w:p w14:paraId="338901A7" w14:textId="77777777" w:rsidR="005A5FCC" w:rsidRDefault="00A21C81">
            <w:pPr>
              <w:spacing w:before="20" w:after="20" w:line="240" w:lineRule="auto"/>
              <w:jc w:val="left"/>
            </w:pPr>
            <w:r>
              <w:rPr>
                <w:rFonts w:cs="EB Garamond"/>
                <w:kern w:val="16"/>
                <w:sz w:val="18"/>
                <w14:ligatures w14:val="standardContextual"/>
              </w:rPr>
              <w:t>51</w:t>
            </w:r>
          </w:p>
        </w:tc>
        <w:tc>
          <w:tcPr>
            <w:tcW w:w="2117" w:type="dxa"/>
            <w:tcBorders>
              <w:top w:val="single" w:sz="4" w:space="0" w:color="D2C9B8"/>
              <w:left w:val="single" w:sz="4" w:space="0" w:color="D2C9B8"/>
              <w:bottom w:val="single" w:sz="4" w:space="0" w:color="D2C9B8"/>
              <w:right w:val="single" w:sz="4" w:space="0" w:color="D2C9B8"/>
            </w:tcBorders>
          </w:tcPr>
          <w:p w14:paraId="2A11290E" w14:textId="77777777" w:rsidR="005A5FCC" w:rsidRDefault="00A21C81">
            <w:pPr>
              <w:spacing w:before="20" w:after="20" w:line="240" w:lineRule="auto"/>
              <w:jc w:val="left"/>
            </w:pPr>
            <w:r>
              <w:rPr>
                <w:rFonts w:cs="EB Garamond"/>
                <w:kern w:val="16"/>
                <w:sz w:val="18"/>
                <w14:ligatures w14:val="standardContextual"/>
              </w:rPr>
              <w:t>56</w:t>
            </w:r>
          </w:p>
        </w:tc>
      </w:tr>
      <w:tr w:rsidR="005A5FCC" w14:paraId="13CEE4C6"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6CADE5CA" w14:textId="77777777" w:rsidR="005A5FCC" w:rsidRDefault="00A21C81">
            <w:pPr>
              <w:spacing w:before="20" w:after="20" w:line="240" w:lineRule="auto"/>
              <w:jc w:val="left"/>
            </w:pPr>
            <w:r>
              <w:rPr>
                <w:rFonts w:cs="EB Garamond"/>
                <w:kern w:val="16"/>
                <w:sz w:val="18"/>
                <w14:ligatures w14:val="standardContextual"/>
              </w:rPr>
              <w:t>2020</w:t>
            </w:r>
          </w:p>
        </w:tc>
        <w:tc>
          <w:tcPr>
            <w:tcW w:w="2117" w:type="dxa"/>
            <w:tcBorders>
              <w:top w:val="single" w:sz="4" w:space="0" w:color="D2C9B8"/>
              <w:left w:val="single" w:sz="4" w:space="0" w:color="D2C9B8"/>
              <w:bottom w:val="single" w:sz="4" w:space="0" w:color="D2C9B8"/>
              <w:right w:val="single" w:sz="4" w:space="0" w:color="D2C9B8"/>
            </w:tcBorders>
          </w:tcPr>
          <w:p w14:paraId="665577C8" w14:textId="77777777" w:rsidR="005A5FCC" w:rsidRDefault="00A21C81">
            <w:pPr>
              <w:spacing w:before="20" w:after="20" w:line="240" w:lineRule="auto"/>
              <w:jc w:val="left"/>
            </w:pPr>
            <w:r>
              <w:rPr>
                <w:rFonts w:cs="EB Garamond"/>
                <w:kern w:val="16"/>
                <w:sz w:val="18"/>
                <w14:ligatures w14:val="standardContextual"/>
              </w:rPr>
              <w:t>51,5</w:t>
            </w:r>
          </w:p>
        </w:tc>
        <w:tc>
          <w:tcPr>
            <w:tcW w:w="2117" w:type="dxa"/>
            <w:tcBorders>
              <w:top w:val="single" w:sz="4" w:space="0" w:color="D2C9B8"/>
              <w:left w:val="single" w:sz="4" w:space="0" w:color="D2C9B8"/>
              <w:bottom w:val="single" w:sz="4" w:space="0" w:color="D2C9B8"/>
              <w:right w:val="single" w:sz="4" w:space="0" w:color="D2C9B8"/>
            </w:tcBorders>
          </w:tcPr>
          <w:p w14:paraId="77E1282B" w14:textId="77777777" w:rsidR="005A5FCC" w:rsidRDefault="00A21C81">
            <w:pPr>
              <w:spacing w:before="20" w:after="20" w:line="240" w:lineRule="auto"/>
              <w:jc w:val="left"/>
            </w:pPr>
            <w:r>
              <w:rPr>
                <w:rFonts w:cs="EB Garamond"/>
                <w:kern w:val="16"/>
                <w:sz w:val="18"/>
                <w14:ligatures w14:val="standardContextual"/>
              </w:rPr>
              <w:t>56,5</w:t>
            </w:r>
          </w:p>
        </w:tc>
      </w:tr>
      <w:tr w:rsidR="005A5FCC" w14:paraId="3EBE79AE"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032B29D2" w14:textId="77777777" w:rsidR="005A5FCC" w:rsidRDefault="00A21C81">
            <w:pPr>
              <w:spacing w:before="20" w:after="20" w:line="240" w:lineRule="auto"/>
              <w:jc w:val="left"/>
            </w:pPr>
            <w:r>
              <w:rPr>
                <w:rFonts w:cs="EB Garamond"/>
                <w:kern w:val="16"/>
                <w:sz w:val="18"/>
                <w14:ligatures w14:val="standardContextual"/>
              </w:rPr>
              <w:t>2021</w:t>
            </w:r>
          </w:p>
        </w:tc>
        <w:tc>
          <w:tcPr>
            <w:tcW w:w="2117" w:type="dxa"/>
            <w:tcBorders>
              <w:top w:val="single" w:sz="4" w:space="0" w:color="D2C9B8"/>
              <w:left w:val="single" w:sz="4" w:space="0" w:color="D2C9B8"/>
              <w:bottom w:val="single" w:sz="4" w:space="0" w:color="D2C9B8"/>
              <w:right w:val="single" w:sz="4" w:space="0" w:color="D2C9B8"/>
            </w:tcBorders>
          </w:tcPr>
          <w:p w14:paraId="29EFFF02" w14:textId="77777777" w:rsidR="005A5FCC" w:rsidRDefault="00A21C81">
            <w:pPr>
              <w:spacing w:before="20" w:after="20" w:line="240" w:lineRule="auto"/>
              <w:jc w:val="left"/>
            </w:pPr>
            <w:r>
              <w:rPr>
                <w:rFonts w:cs="EB Garamond"/>
                <w:kern w:val="16"/>
                <w:sz w:val="18"/>
                <w14:ligatures w14:val="standardContextual"/>
              </w:rPr>
              <w:t>52</w:t>
            </w:r>
          </w:p>
        </w:tc>
        <w:tc>
          <w:tcPr>
            <w:tcW w:w="2117" w:type="dxa"/>
            <w:tcBorders>
              <w:top w:val="single" w:sz="4" w:space="0" w:color="D2C9B8"/>
              <w:left w:val="single" w:sz="4" w:space="0" w:color="D2C9B8"/>
              <w:bottom w:val="single" w:sz="4" w:space="0" w:color="D2C9B8"/>
              <w:right w:val="single" w:sz="4" w:space="0" w:color="D2C9B8"/>
            </w:tcBorders>
          </w:tcPr>
          <w:p w14:paraId="7716BF86" w14:textId="77777777" w:rsidR="005A5FCC" w:rsidRDefault="00A21C81">
            <w:pPr>
              <w:spacing w:before="20" w:after="20" w:line="240" w:lineRule="auto"/>
              <w:jc w:val="left"/>
            </w:pPr>
            <w:r>
              <w:rPr>
                <w:rFonts w:cs="EB Garamond"/>
                <w:kern w:val="16"/>
                <w:sz w:val="18"/>
                <w14:ligatures w14:val="standardContextual"/>
              </w:rPr>
              <w:t>57</w:t>
            </w:r>
          </w:p>
        </w:tc>
      </w:tr>
      <w:tr w:rsidR="005A5FCC" w14:paraId="3BB09D44"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2C4EE7BF" w14:textId="77777777" w:rsidR="005A5FCC" w:rsidRDefault="00A21C81">
            <w:pPr>
              <w:spacing w:before="20" w:after="20" w:line="240" w:lineRule="auto"/>
              <w:jc w:val="left"/>
            </w:pPr>
            <w:r>
              <w:rPr>
                <w:rFonts w:cs="EB Garamond"/>
                <w:kern w:val="16"/>
                <w:sz w:val="18"/>
                <w14:ligatures w14:val="standardContextual"/>
              </w:rPr>
              <w:t>2022</w:t>
            </w:r>
          </w:p>
        </w:tc>
        <w:tc>
          <w:tcPr>
            <w:tcW w:w="2117" w:type="dxa"/>
            <w:tcBorders>
              <w:top w:val="single" w:sz="4" w:space="0" w:color="D2C9B8"/>
              <w:left w:val="single" w:sz="4" w:space="0" w:color="D2C9B8"/>
              <w:bottom w:val="single" w:sz="4" w:space="0" w:color="D2C9B8"/>
              <w:right w:val="single" w:sz="4" w:space="0" w:color="D2C9B8"/>
            </w:tcBorders>
          </w:tcPr>
          <w:p w14:paraId="6A1D5490" w14:textId="77777777" w:rsidR="005A5FCC" w:rsidRDefault="00A21C81">
            <w:pPr>
              <w:spacing w:before="20" w:after="20" w:line="240" w:lineRule="auto"/>
              <w:jc w:val="left"/>
            </w:pPr>
            <w:r>
              <w:rPr>
                <w:rFonts w:cs="EB Garamond"/>
                <w:kern w:val="16"/>
                <w:sz w:val="18"/>
                <w14:ligatures w14:val="standardContextual"/>
              </w:rPr>
              <w:t>52,5</w:t>
            </w:r>
          </w:p>
        </w:tc>
        <w:tc>
          <w:tcPr>
            <w:tcW w:w="2117" w:type="dxa"/>
            <w:tcBorders>
              <w:top w:val="single" w:sz="4" w:space="0" w:color="D2C9B8"/>
              <w:left w:val="single" w:sz="4" w:space="0" w:color="D2C9B8"/>
              <w:bottom w:val="single" w:sz="4" w:space="0" w:color="D2C9B8"/>
              <w:right w:val="single" w:sz="4" w:space="0" w:color="D2C9B8"/>
            </w:tcBorders>
          </w:tcPr>
          <w:p w14:paraId="024211C6" w14:textId="77777777" w:rsidR="005A5FCC" w:rsidRDefault="00A21C81">
            <w:pPr>
              <w:spacing w:before="20" w:after="20" w:line="240" w:lineRule="auto"/>
              <w:jc w:val="left"/>
            </w:pPr>
            <w:r>
              <w:rPr>
                <w:rFonts w:cs="EB Garamond"/>
                <w:kern w:val="16"/>
                <w:sz w:val="18"/>
                <w14:ligatures w14:val="standardContextual"/>
              </w:rPr>
              <w:t>57,5</w:t>
            </w:r>
          </w:p>
        </w:tc>
      </w:tr>
      <w:tr w:rsidR="005A5FCC" w14:paraId="76C31986"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018E065C" w14:textId="77777777" w:rsidR="005A5FCC" w:rsidRDefault="00A21C81">
            <w:pPr>
              <w:spacing w:before="20" w:after="20" w:line="240" w:lineRule="auto"/>
              <w:jc w:val="left"/>
            </w:pPr>
            <w:r>
              <w:rPr>
                <w:rFonts w:cs="EB Garamond"/>
                <w:kern w:val="16"/>
                <w:sz w:val="18"/>
                <w14:ligatures w14:val="standardContextual"/>
              </w:rPr>
              <w:t>2023</w:t>
            </w:r>
          </w:p>
        </w:tc>
        <w:tc>
          <w:tcPr>
            <w:tcW w:w="2117" w:type="dxa"/>
            <w:tcBorders>
              <w:top w:val="single" w:sz="4" w:space="0" w:color="D2C9B8"/>
              <w:left w:val="single" w:sz="4" w:space="0" w:color="D2C9B8"/>
              <w:bottom w:val="single" w:sz="4" w:space="0" w:color="D2C9B8"/>
              <w:right w:val="single" w:sz="4" w:space="0" w:color="D2C9B8"/>
            </w:tcBorders>
          </w:tcPr>
          <w:p w14:paraId="4096BAEF" w14:textId="77777777" w:rsidR="005A5FCC" w:rsidRDefault="00A21C81">
            <w:pPr>
              <w:spacing w:before="20" w:after="20" w:line="240" w:lineRule="auto"/>
              <w:jc w:val="left"/>
            </w:pPr>
            <w:r>
              <w:rPr>
                <w:rFonts w:cs="EB Garamond"/>
                <w:kern w:val="16"/>
                <w:sz w:val="18"/>
                <w14:ligatures w14:val="standardContextual"/>
              </w:rPr>
              <w:t>53</w:t>
            </w:r>
          </w:p>
        </w:tc>
        <w:tc>
          <w:tcPr>
            <w:tcW w:w="2117" w:type="dxa"/>
            <w:tcBorders>
              <w:top w:val="single" w:sz="4" w:space="0" w:color="D2C9B8"/>
              <w:left w:val="single" w:sz="4" w:space="0" w:color="D2C9B8"/>
              <w:bottom w:val="single" w:sz="4" w:space="0" w:color="D2C9B8"/>
              <w:right w:val="single" w:sz="4" w:space="0" w:color="D2C9B8"/>
            </w:tcBorders>
          </w:tcPr>
          <w:p w14:paraId="718E2F8D" w14:textId="77777777" w:rsidR="005A5FCC" w:rsidRDefault="00A21C81">
            <w:pPr>
              <w:spacing w:before="20" w:after="20" w:line="240" w:lineRule="auto"/>
              <w:jc w:val="left"/>
            </w:pPr>
            <w:r>
              <w:rPr>
                <w:rFonts w:cs="EB Garamond"/>
                <w:kern w:val="16"/>
                <w:sz w:val="18"/>
                <w14:ligatures w14:val="standardContextual"/>
              </w:rPr>
              <w:t>58</w:t>
            </w:r>
          </w:p>
        </w:tc>
      </w:tr>
      <w:tr w:rsidR="005A5FCC" w14:paraId="3EA25B1C"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35B719B3" w14:textId="77777777" w:rsidR="005A5FCC" w:rsidRDefault="00A21C81">
            <w:pPr>
              <w:spacing w:before="20" w:after="20" w:line="240" w:lineRule="auto"/>
              <w:jc w:val="left"/>
            </w:pPr>
            <w:r>
              <w:rPr>
                <w:rFonts w:cs="EB Garamond"/>
                <w:kern w:val="16"/>
                <w:sz w:val="18"/>
                <w14:ligatures w14:val="standardContextual"/>
              </w:rPr>
              <w:t>2024</w:t>
            </w:r>
          </w:p>
        </w:tc>
        <w:tc>
          <w:tcPr>
            <w:tcW w:w="2117" w:type="dxa"/>
            <w:tcBorders>
              <w:top w:val="single" w:sz="4" w:space="0" w:color="D2C9B8"/>
              <w:left w:val="single" w:sz="4" w:space="0" w:color="D2C9B8"/>
              <w:bottom w:val="single" w:sz="4" w:space="0" w:color="D2C9B8"/>
              <w:right w:val="single" w:sz="4" w:space="0" w:color="D2C9B8"/>
            </w:tcBorders>
          </w:tcPr>
          <w:p w14:paraId="4C61B0C8" w14:textId="77777777" w:rsidR="005A5FCC" w:rsidRDefault="00A21C81">
            <w:pPr>
              <w:spacing w:before="20" w:after="20" w:line="240" w:lineRule="auto"/>
              <w:jc w:val="left"/>
            </w:pPr>
            <w:r>
              <w:rPr>
                <w:rFonts w:cs="EB Garamond"/>
                <w:kern w:val="16"/>
                <w:sz w:val="18"/>
                <w14:ligatures w14:val="standardContextual"/>
              </w:rPr>
              <w:t>53,5</w:t>
            </w:r>
          </w:p>
        </w:tc>
        <w:tc>
          <w:tcPr>
            <w:tcW w:w="2117" w:type="dxa"/>
            <w:tcBorders>
              <w:top w:val="single" w:sz="4" w:space="0" w:color="D2C9B8"/>
              <w:left w:val="single" w:sz="4" w:space="0" w:color="D2C9B8"/>
              <w:bottom w:val="single" w:sz="4" w:space="0" w:color="D2C9B8"/>
              <w:right w:val="single" w:sz="4" w:space="0" w:color="D2C9B8"/>
            </w:tcBorders>
          </w:tcPr>
          <w:p w14:paraId="5AC7D0CE" w14:textId="77777777" w:rsidR="005A5FCC" w:rsidRDefault="00A21C81">
            <w:pPr>
              <w:spacing w:before="20" w:after="20" w:line="240" w:lineRule="auto"/>
              <w:jc w:val="left"/>
            </w:pPr>
            <w:r>
              <w:rPr>
                <w:rFonts w:cs="EB Garamond"/>
                <w:kern w:val="16"/>
                <w:sz w:val="18"/>
                <w14:ligatures w14:val="standardContextual"/>
              </w:rPr>
              <w:t>58,5</w:t>
            </w:r>
          </w:p>
        </w:tc>
      </w:tr>
      <w:tr w:rsidR="005A5FCC" w14:paraId="10C11395"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758E06B4" w14:textId="77777777" w:rsidR="005A5FCC" w:rsidRDefault="00A21C81">
            <w:pPr>
              <w:spacing w:before="20" w:after="20" w:line="240" w:lineRule="auto"/>
              <w:jc w:val="left"/>
            </w:pPr>
            <w:r>
              <w:rPr>
                <w:rFonts w:cs="EB Garamond"/>
                <w:kern w:val="16"/>
                <w:sz w:val="18"/>
                <w14:ligatures w14:val="standardContextual"/>
              </w:rPr>
              <w:t>2025</w:t>
            </w:r>
          </w:p>
        </w:tc>
        <w:tc>
          <w:tcPr>
            <w:tcW w:w="2117" w:type="dxa"/>
            <w:tcBorders>
              <w:top w:val="single" w:sz="4" w:space="0" w:color="D2C9B8"/>
              <w:left w:val="single" w:sz="4" w:space="0" w:color="D2C9B8"/>
              <w:bottom w:val="single" w:sz="4" w:space="0" w:color="D2C9B8"/>
              <w:right w:val="single" w:sz="4" w:space="0" w:color="D2C9B8"/>
            </w:tcBorders>
          </w:tcPr>
          <w:p w14:paraId="64A416CF" w14:textId="77777777" w:rsidR="005A5FCC" w:rsidRDefault="00A21C81">
            <w:pPr>
              <w:spacing w:before="20" w:after="20" w:line="240" w:lineRule="auto"/>
              <w:jc w:val="left"/>
            </w:pPr>
            <w:r>
              <w:rPr>
                <w:rFonts w:cs="EB Garamond"/>
                <w:kern w:val="16"/>
                <w:sz w:val="18"/>
                <w14:ligatures w14:val="standardContextual"/>
              </w:rPr>
              <w:t>54</w:t>
            </w:r>
          </w:p>
        </w:tc>
        <w:tc>
          <w:tcPr>
            <w:tcW w:w="2117" w:type="dxa"/>
            <w:tcBorders>
              <w:top w:val="single" w:sz="4" w:space="0" w:color="D2C9B8"/>
              <w:left w:val="single" w:sz="4" w:space="0" w:color="D2C9B8"/>
              <w:bottom w:val="single" w:sz="4" w:space="0" w:color="D2C9B8"/>
              <w:right w:val="single" w:sz="4" w:space="0" w:color="D2C9B8"/>
            </w:tcBorders>
          </w:tcPr>
          <w:p w14:paraId="060BE0F0" w14:textId="77777777" w:rsidR="005A5FCC" w:rsidRDefault="00A21C81">
            <w:pPr>
              <w:spacing w:before="20" w:after="20" w:line="240" w:lineRule="auto"/>
              <w:jc w:val="left"/>
            </w:pPr>
            <w:r>
              <w:rPr>
                <w:rFonts w:cs="EB Garamond"/>
                <w:kern w:val="16"/>
                <w:sz w:val="18"/>
                <w14:ligatures w14:val="standardContextual"/>
              </w:rPr>
              <w:t>59</w:t>
            </w:r>
          </w:p>
        </w:tc>
      </w:tr>
      <w:tr w:rsidR="005A5FCC" w14:paraId="283C8666"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5A18FE0A" w14:textId="77777777" w:rsidR="005A5FCC" w:rsidRDefault="00A21C81">
            <w:pPr>
              <w:spacing w:before="20" w:after="20" w:line="240" w:lineRule="auto"/>
              <w:jc w:val="left"/>
            </w:pPr>
            <w:r>
              <w:rPr>
                <w:rFonts w:cs="EB Garamond"/>
                <w:b/>
                <w:kern w:val="16"/>
                <w:sz w:val="18"/>
                <w14:ligatures w14:val="standardContextual"/>
              </w:rPr>
              <w:t>2026</w:t>
            </w:r>
          </w:p>
        </w:tc>
        <w:tc>
          <w:tcPr>
            <w:tcW w:w="2117" w:type="dxa"/>
            <w:tcBorders>
              <w:top w:val="single" w:sz="4" w:space="0" w:color="D2C9B8"/>
              <w:left w:val="single" w:sz="4" w:space="0" w:color="D2C9B8"/>
              <w:bottom w:val="single" w:sz="4" w:space="0" w:color="D2C9B8"/>
              <w:right w:val="single" w:sz="4" w:space="0" w:color="D2C9B8"/>
            </w:tcBorders>
          </w:tcPr>
          <w:p w14:paraId="0BD6A758" w14:textId="77777777" w:rsidR="005A5FCC" w:rsidRDefault="00A21C81">
            <w:pPr>
              <w:spacing w:before="20" w:after="20" w:line="240" w:lineRule="auto"/>
              <w:jc w:val="left"/>
            </w:pPr>
            <w:r>
              <w:rPr>
                <w:rFonts w:cs="EB Garamond"/>
                <w:b/>
                <w:kern w:val="16"/>
                <w:sz w:val="18"/>
                <w14:ligatures w14:val="standardContextual"/>
              </w:rPr>
              <w:t>54,5</w:t>
            </w:r>
          </w:p>
        </w:tc>
        <w:tc>
          <w:tcPr>
            <w:tcW w:w="2117" w:type="dxa"/>
            <w:tcBorders>
              <w:top w:val="single" w:sz="4" w:space="0" w:color="D2C9B8"/>
              <w:left w:val="single" w:sz="4" w:space="0" w:color="D2C9B8"/>
              <w:bottom w:val="single" w:sz="4" w:space="0" w:color="D2C9B8"/>
              <w:right w:val="single" w:sz="4" w:space="0" w:color="D2C9B8"/>
            </w:tcBorders>
          </w:tcPr>
          <w:p w14:paraId="44DE890D" w14:textId="77777777" w:rsidR="005A5FCC" w:rsidRDefault="00A21C81">
            <w:pPr>
              <w:spacing w:before="20" w:after="20" w:line="240" w:lineRule="auto"/>
              <w:jc w:val="left"/>
            </w:pPr>
            <w:r>
              <w:rPr>
                <w:rFonts w:cs="EB Garamond"/>
                <w:b/>
                <w:kern w:val="16"/>
                <w:sz w:val="18"/>
                <w14:ligatures w14:val="standardContextual"/>
              </w:rPr>
              <w:t>59,5</w:t>
            </w:r>
          </w:p>
        </w:tc>
      </w:tr>
      <w:tr w:rsidR="005A5FCC" w14:paraId="76BABB47"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34FCC641" w14:textId="77777777" w:rsidR="005A5FCC" w:rsidRDefault="00A21C81">
            <w:pPr>
              <w:spacing w:before="20" w:after="20" w:line="240" w:lineRule="auto"/>
              <w:jc w:val="left"/>
            </w:pPr>
            <w:r>
              <w:rPr>
                <w:rFonts w:cs="EB Garamond"/>
                <w:kern w:val="16"/>
                <w:sz w:val="18"/>
                <w14:ligatures w14:val="standardContextual"/>
              </w:rPr>
              <w:t>2027</w:t>
            </w:r>
          </w:p>
        </w:tc>
        <w:tc>
          <w:tcPr>
            <w:tcW w:w="2117" w:type="dxa"/>
            <w:tcBorders>
              <w:top w:val="single" w:sz="4" w:space="0" w:color="D2C9B8"/>
              <w:left w:val="single" w:sz="4" w:space="0" w:color="D2C9B8"/>
              <w:bottom w:val="single" w:sz="4" w:space="0" w:color="D2C9B8"/>
              <w:right w:val="single" w:sz="4" w:space="0" w:color="D2C9B8"/>
            </w:tcBorders>
          </w:tcPr>
          <w:p w14:paraId="604E853A" w14:textId="77777777" w:rsidR="005A5FCC" w:rsidRDefault="00A21C81">
            <w:pPr>
              <w:spacing w:before="20" w:after="20" w:line="240" w:lineRule="auto"/>
              <w:jc w:val="left"/>
            </w:pPr>
            <w:r>
              <w:rPr>
                <w:rFonts w:cs="EB Garamond"/>
                <w:kern w:val="16"/>
                <w:sz w:val="18"/>
                <w14:ligatures w14:val="standardContextual"/>
              </w:rPr>
              <w:t>55</w:t>
            </w:r>
          </w:p>
        </w:tc>
        <w:tc>
          <w:tcPr>
            <w:tcW w:w="2117" w:type="dxa"/>
            <w:tcBorders>
              <w:top w:val="single" w:sz="4" w:space="0" w:color="D2C9B8"/>
              <w:left w:val="single" w:sz="4" w:space="0" w:color="D2C9B8"/>
              <w:bottom w:val="single" w:sz="4" w:space="0" w:color="D2C9B8"/>
              <w:right w:val="single" w:sz="4" w:space="0" w:color="D2C9B8"/>
            </w:tcBorders>
          </w:tcPr>
          <w:p w14:paraId="3F59E533" w14:textId="77777777" w:rsidR="005A5FCC" w:rsidRDefault="00A21C81">
            <w:pPr>
              <w:spacing w:before="20" w:after="20" w:line="240" w:lineRule="auto"/>
              <w:jc w:val="left"/>
            </w:pPr>
            <w:r>
              <w:rPr>
                <w:rFonts w:cs="EB Garamond"/>
                <w:kern w:val="16"/>
                <w:sz w:val="18"/>
                <w14:ligatures w14:val="standardContextual"/>
              </w:rPr>
              <w:t>60 (estabiliza)</w:t>
            </w:r>
          </w:p>
        </w:tc>
      </w:tr>
      <w:tr w:rsidR="005A5FCC" w14:paraId="223B59E0"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74AF8641" w14:textId="77777777" w:rsidR="005A5FCC" w:rsidRDefault="00A21C81">
            <w:pPr>
              <w:spacing w:before="20" w:after="20" w:line="240" w:lineRule="auto"/>
              <w:jc w:val="left"/>
            </w:pPr>
            <w:r>
              <w:rPr>
                <w:rFonts w:cs="EB Garamond"/>
                <w:kern w:val="16"/>
                <w:sz w:val="18"/>
                <w14:ligatures w14:val="standardContextual"/>
              </w:rPr>
              <w:t>2028</w:t>
            </w:r>
          </w:p>
        </w:tc>
        <w:tc>
          <w:tcPr>
            <w:tcW w:w="2117" w:type="dxa"/>
            <w:tcBorders>
              <w:top w:val="single" w:sz="4" w:space="0" w:color="D2C9B8"/>
              <w:left w:val="single" w:sz="4" w:space="0" w:color="D2C9B8"/>
              <w:bottom w:val="single" w:sz="4" w:space="0" w:color="D2C9B8"/>
              <w:right w:val="single" w:sz="4" w:space="0" w:color="D2C9B8"/>
            </w:tcBorders>
          </w:tcPr>
          <w:p w14:paraId="0CBE685F" w14:textId="77777777" w:rsidR="005A5FCC" w:rsidRDefault="00A21C81">
            <w:pPr>
              <w:spacing w:before="20" w:after="20" w:line="240" w:lineRule="auto"/>
              <w:jc w:val="left"/>
            </w:pPr>
            <w:r>
              <w:rPr>
                <w:rFonts w:cs="EB Garamond"/>
                <w:kern w:val="16"/>
                <w:sz w:val="18"/>
                <w14:ligatures w14:val="standardContextual"/>
              </w:rPr>
              <w:t>55,5</w:t>
            </w:r>
          </w:p>
        </w:tc>
        <w:tc>
          <w:tcPr>
            <w:tcW w:w="2117" w:type="dxa"/>
            <w:tcBorders>
              <w:top w:val="single" w:sz="4" w:space="0" w:color="D2C9B8"/>
              <w:left w:val="single" w:sz="4" w:space="0" w:color="D2C9B8"/>
              <w:bottom w:val="single" w:sz="4" w:space="0" w:color="D2C9B8"/>
              <w:right w:val="single" w:sz="4" w:space="0" w:color="D2C9B8"/>
            </w:tcBorders>
          </w:tcPr>
          <w:p w14:paraId="7FB6C89E" w14:textId="77777777" w:rsidR="005A5FCC" w:rsidRDefault="00A21C81">
            <w:pPr>
              <w:spacing w:before="20" w:after="20" w:line="240" w:lineRule="auto"/>
              <w:jc w:val="left"/>
            </w:pPr>
            <w:r>
              <w:rPr>
                <w:rFonts w:cs="EB Garamond"/>
                <w:kern w:val="16"/>
                <w:sz w:val="18"/>
                <w14:ligatures w14:val="standardContextual"/>
              </w:rPr>
              <w:t>60</w:t>
            </w:r>
          </w:p>
        </w:tc>
      </w:tr>
      <w:tr w:rsidR="005A5FCC" w14:paraId="5C461B88"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59F39F3F" w14:textId="77777777" w:rsidR="005A5FCC" w:rsidRDefault="00A21C81">
            <w:pPr>
              <w:spacing w:before="20" w:after="20" w:line="240" w:lineRule="auto"/>
              <w:jc w:val="left"/>
            </w:pPr>
            <w:r>
              <w:rPr>
                <w:rFonts w:cs="EB Garamond"/>
                <w:kern w:val="16"/>
                <w:sz w:val="18"/>
                <w14:ligatures w14:val="standardContextual"/>
              </w:rPr>
              <w:t>2029</w:t>
            </w:r>
          </w:p>
        </w:tc>
        <w:tc>
          <w:tcPr>
            <w:tcW w:w="2117" w:type="dxa"/>
            <w:tcBorders>
              <w:top w:val="single" w:sz="4" w:space="0" w:color="D2C9B8"/>
              <w:left w:val="single" w:sz="4" w:space="0" w:color="D2C9B8"/>
              <w:bottom w:val="single" w:sz="4" w:space="0" w:color="D2C9B8"/>
              <w:right w:val="single" w:sz="4" w:space="0" w:color="D2C9B8"/>
            </w:tcBorders>
          </w:tcPr>
          <w:p w14:paraId="7231088E" w14:textId="77777777" w:rsidR="005A5FCC" w:rsidRDefault="00A21C81">
            <w:pPr>
              <w:spacing w:before="20" w:after="20" w:line="240" w:lineRule="auto"/>
              <w:jc w:val="left"/>
            </w:pPr>
            <w:r>
              <w:rPr>
                <w:rFonts w:cs="EB Garamond"/>
                <w:kern w:val="16"/>
                <w:sz w:val="18"/>
                <w14:ligatures w14:val="standardContextual"/>
              </w:rPr>
              <w:t>56</w:t>
            </w:r>
          </w:p>
        </w:tc>
        <w:tc>
          <w:tcPr>
            <w:tcW w:w="2117" w:type="dxa"/>
            <w:tcBorders>
              <w:top w:val="single" w:sz="4" w:space="0" w:color="D2C9B8"/>
              <w:left w:val="single" w:sz="4" w:space="0" w:color="D2C9B8"/>
              <w:bottom w:val="single" w:sz="4" w:space="0" w:color="D2C9B8"/>
              <w:right w:val="single" w:sz="4" w:space="0" w:color="D2C9B8"/>
            </w:tcBorders>
          </w:tcPr>
          <w:p w14:paraId="5E22132A" w14:textId="77777777" w:rsidR="005A5FCC" w:rsidRDefault="00A21C81">
            <w:pPr>
              <w:spacing w:before="20" w:after="20" w:line="240" w:lineRule="auto"/>
              <w:jc w:val="left"/>
            </w:pPr>
            <w:r>
              <w:rPr>
                <w:rFonts w:cs="EB Garamond"/>
                <w:kern w:val="16"/>
                <w:sz w:val="18"/>
                <w14:ligatures w14:val="standardContextual"/>
              </w:rPr>
              <w:t>60</w:t>
            </w:r>
          </w:p>
        </w:tc>
      </w:tr>
      <w:tr w:rsidR="005A5FCC" w14:paraId="616F8C1F"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089B121E" w14:textId="77777777" w:rsidR="005A5FCC" w:rsidRDefault="00A21C81">
            <w:pPr>
              <w:spacing w:before="20" w:after="20" w:line="240" w:lineRule="auto"/>
              <w:jc w:val="left"/>
            </w:pPr>
            <w:r>
              <w:rPr>
                <w:rFonts w:cs="EB Garamond"/>
                <w:kern w:val="16"/>
                <w:sz w:val="18"/>
                <w14:ligatures w14:val="standardContextual"/>
              </w:rPr>
              <w:t>2030</w:t>
            </w:r>
          </w:p>
        </w:tc>
        <w:tc>
          <w:tcPr>
            <w:tcW w:w="2117" w:type="dxa"/>
            <w:tcBorders>
              <w:top w:val="single" w:sz="4" w:space="0" w:color="D2C9B8"/>
              <w:left w:val="single" w:sz="4" w:space="0" w:color="D2C9B8"/>
              <w:bottom w:val="single" w:sz="4" w:space="0" w:color="D2C9B8"/>
              <w:right w:val="single" w:sz="4" w:space="0" w:color="D2C9B8"/>
            </w:tcBorders>
          </w:tcPr>
          <w:p w14:paraId="4012B6FB" w14:textId="77777777" w:rsidR="005A5FCC" w:rsidRDefault="00A21C81">
            <w:pPr>
              <w:spacing w:before="20" w:after="20" w:line="240" w:lineRule="auto"/>
              <w:jc w:val="left"/>
            </w:pPr>
            <w:r>
              <w:rPr>
                <w:rFonts w:cs="EB Garamond"/>
                <w:kern w:val="16"/>
                <w:sz w:val="18"/>
                <w14:ligatures w14:val="standardContextual"/>
              </w:rPr>
              <w:t>56,5</w:t>
            </w:r>
          </w:p>
        </w:tc>
        <w:tc>
          <w:tcPr>
            <w:tcW w:w="2117" w:type="dxa"/>
            <w:tcBorders>
              <w:top w:val="single" w:sz="4" w:space="0" w:color="D2C9B8"/>
              <w:left w:val="single" w:sz="4" w:space="0" w:color="D2C9B8"/>
              <w:bottom w:val="single" w:sz="4" w:space="0" w:color="D2C9B8"/>
              <w:right w:val="single" w:sz="4" w:space="0" w:color="D2C9B8"/>
            </w:tcBorders>
          </w:tcPr>
          <w:p w14:paraId="290289DC" w14:textId="77777777" w:rsidR="005A5FCC" w:rsidRDefault="00A21C81">
            <w:pPr>
              <w:spacing w:before="20" w:after="20" w:line="240" w:lineRule="auto"/>
              <w:jc w:val="left"/>
            </w:pPr>
            <w:r>
              <w:rPr>
                <w:rFonts w:cs="EB Garamond"/>
                <w:kern w:val="16"/>
                <w:sz w:val="18"/>
                <w14:ligatures w14:val="standardContextual"/>
              </w:rPr>
              <w:t>60</w:t>
            </w:r>
          </w:p>
        </w:tc>
      </w:tr>
      <w:tr w:rsidR="005A5FCC" w14:paraId="66BF627F"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0F5F5AE1" w14:textId="77777777" w:rsidR="005A5FCC" w:rsidRDefault="00A21C81">
            <w:pPr>
              <w:spacing w:before="20" w:after="20" w:line="240" w:lineRule="auto"/>
              <w:jc w:val="left"/>
            </w:pPr>
            <w:r>
              <w:rPr>
                <w:rFonts w:cs="EB Garamond"/>
                <w:kern w:val="16"/>
                <w:sz w:val="18"/>
                <w14:ligatures w14:val="standardContextual"/>
              </w:rPr>
              <w:t>2031</w:t>
            </w:r>
          </w:p>
        </w:tc>
        <w:tc>
          <w:tcPr>
            <w:tcW w:w="2117" w:type="dxa"/>
            <w:tcBorders>
              <w:top w:val="single" w:sz="4" w:space="0" w:color="D2C9B8"/>
              <w:left w:val="single" w:sz="4" w:space="0" w:color="D2C9B8"/>
              <w:bottom w:val="single" w:sz="4" w:space="0" w:color="D2C9B8"/>
              <w:right w:val="single" w:sz="4" w:space="0" w:color="D2C9B8"/>
            </w:tcBorders>
          </w:tcPr>
          <w:p w14:paraId="582E2681" w14:textId="77777777" w:rsidR="005A5FCC" w:rsidRDefault="00A21C81">
            <w:pPr>
              <w:spacing w:before="20" w:after="20" w:line="240" w:lineRule="auto"/>
              <w:jc w:val="left"/>
            </w:pPr>
            <w:r>
              <w:rPr>
                <w:rFonts w:cs="EB Garamond"/>
                <w:kern w:val="16"/>
                <w:sz w:val="18"/>
                <w14:ligatures w14:val="standardContextual"/>
              </w:rPr>
              <w:t>57 (estabiliza)</w:t>
            </w:r>
          </w:p>
        </w:tc>
        <w:tc>
          <w:tcPr>
            <w:tcW w:w="2117" w:type="dxa"/>
            <w:tcBorders>
              <w:top w:val="single" w:sz="4" w:space="0" w:color="D2C9B8"/>
              <w:left w:val="single" w:sz="4" w:space="0" w:color="D2C9B8"/>
              <w:bottom w:val="single" w:sz="4" w:space="0" w:color="D2C9B8"/>
              <w:right w:val="single" w:sz="4" w:space="0" w:color="D2C9B8"/>
            </w:tcBorders>
          </w:tcPr>
          <w:p w14:paraId="7D88089D" w14:textId="77777777" w:rsidR="005A5FCC" w:rsidRDefault="00A21C81">
            <w:pPr>
              <w:spacing w:before="20" w:after="20" w:line="240" w:lineRule="auto"/>
              <w:jc w:val="left"/>
            </w:pPr>
            <w:r>
              <w:rPr>
                <w:rFonts w:cs="EB Garamond"/>
                <w:kern w:val="16"/>
                <w:sz w:val="18"/>
                <w14:ligatures w14:val="standardContextual"/>
              </w:rPr>
              <w:t>60</w:t>
            </w:r>
          </w:p>
        </w:tc>
      </w:tr>
    </w:tbl>
    <w:p w14:paraId="57329EE4" w14:textId="77777777" w:rsidR="005A5FCC" w:rsidRDefault="005A5FCC">
      <w:pPr>
        <w:spacing w:after="80" w:line="240" w:lineRule="auto"/>
      </w:pPr>
    </w:p>
    <w:p w14:paraId="4C067B3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c</w:t>
      </w:r>
    </w:p>
    <w:p w14:paraId="2FB23737" w14:textId="77777777" w:rsidR="005A5FCC" w:rsidRDefault="00A21C81">
      <w:r>
        <w:rPr>
          <w:rFonts w:cs="EB Garamond"/>
          <w:b/>
          <w:kern w:val="16"/>
          <w14:ligatures w14:val="standardContextual"/>
        </w:rPr>
        <w:t>) Art. 20 (pedágio 100%) — § 2º:</w:t>
      </w:r>
    </w:p>
    <w:p w14:paraId="62FCF5F8"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 xml:space="preserve">Idade mínima: </w:t>
      </w:r>
      <w:r>
        <w:rPr>
          <w:rFonts w:cs="EB Garamond"/>
          <w:b/>
          <w:kern w:val="16"/>
          <w:sz w:val="20"/>
          <w14:ligatures w14:val="standardContextual"/>
        </w:rPr>
        <w:t>52 anos (mulher) / 55 anos (homem)</w:t>
      </w:r>
    </w:p>
    <w:p w14:paraId="1D7525C1"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 xml:space="preserve">TC mínimo: </w:t>
      </w:r>
      <w:r>
        <w:rPr>
          <w:rFonts w:cs="EB Garamond"/>
          <w:b/>
          <w:kern w:val="16"/>
          <w:sz w:val="20"/>
          <w14:ligatures w14:val="standardContextual"/>
        </w:rPr>
        <w:t>25 anos (mulher) / 30 anos (homem)</w:t>
      </w:r>
      <w:r>
        <w:rPr>
          <w:rFonts w:cs="EB Garamond"/>
          <w:kern w:val="16"/>
          <w:sz w:val="20"/>
          <w14:ligatures w14:val="standardContextual"/>
        </w:rPr>
        <w:t xml:space="preserve"> + pedágio de 100%</w:t>
      </w:r>
    </w:p>
    <w:p w14:paraId="32361DDA"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Coeficiente: 100%</w:t>
      </w:r>
    </w:p>
    <w:p w14:paraId="61240BA3" w14:textId="77777777" w:rsidR="005A5FCC" w:rsidRDefault="005A5FCC">
      <w:pPr>
        <w:spacing w:after="60" w:line="240" w:lineRule="auto"/>
      </w:pPr>
    </w:p>
    <w:p w14:paraId="3EDF4515"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d</w:t>
      </w:r>
    </w:p>
    <w:p w14:paraId="1669FA71" w14:textId="77777777" w:rsidR="005A5FCC" w:rsidRDefault="00A21C81">
      <w:r>
        <w:rPr>
          <w:rFonts w:cs="EB Garamond"/>
          <w:b/>
          <w:kern w:val="16"/>
          <w14:ligatures w14:val="standardContextual"/>
        </w:rPr>
        <w:t>) Art. 17 (pedágio 50%):</w:t>
      </w:r>
    </w:p>
    <w:p w14:paraId="7AB98349"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Aplica-se com os requisitos reduzidos de TC (25M/30H)</w:t>
      </w:r>
    </w:p>
    <w:p w14:paraId="39EE773D"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Fator previdenciário obrigatório (com bônus de +5 Id e +5 Tc na fórmula)</w:t>
      </w:r>
    </w:p>
    <w:p w14:paraId="0C613269" w14:textId="77777777" w:rsidR="005A5FCC" w:rsidRDefault="005A5FCC">
      <w:pPr>
        <w:spacing w:after="60" w:line="240" w:lineRule="auto"/>
      </w:pPr>
    </w:p>
    <w:p w14:paraId="07D7920E" w14:textId="77777777" w:rsidR="005A5FCC" w:rsidRDefault="00A21C81">
      <w:pPr>
        <w:spacing w:before="260" w:after="80" w:line="240" w:lineRule="auto"/>
        <w:jc w:val="left"/>
      </w:pPr>
      <w:r>
        <w:rPr>
          <w:rFonts w:cs="EB Garamond"/>
          <w:b/>
          <w:color w:val="3A3128"/>
          <w:kern w:val="16"/>
          <w:sz w:val="25"/>
          <w14:ligatures w14:val="standardContextual"/>
        </w:rPr>
        <w:t>11.17.2 Conceito de função de magistério</w:t>
      </w:r>
    </w:p>
    <w:p w14:paraId="740AE77E"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615FC6C1" w14:textId="77777777" w:rsidR="005A5FCC" w:rsidRDefault="00A21C81">
      <w:r>
        <w:rPr>
          <w:rFonts w:cs="EB Garamond"/>
          <w:kern w:val="16"/>
          <w14:ligatures w14:val="standardContextual"/>
        </w:rPr>
        <w:t xml:space="preserve"> Lei 11.301/2006 ampliou o conceito de funções de magistério para incluir, além da docência, as funções de direção de unidade escolar e de coordenação e assessoramento pedagógico. O STF, na ADI 3.772, deu interpretação conforme a Constituição ao dispositivo, condicionando a ampliação ao exercício dessas funções por professor em estabelecimento de educação básica. A definição, portanto, abrange atividades educativas exercidas em estabelecimento de educação básica (infantil, fundamental e médio), conforme a LDB (Lei 9.394/96).</w:t>
      </w:r>
    </w:p>
    <w:p w14:paraId="3258CF3A" w14:textId="77777777" w:rsidR="005A5FCC" w:rsidRDefault="00A21C81">
      <w:pPr>
        <w:ind w:firstLine="238"/>
      </w:pPr>
      <w:r>
        <w:rPr>
          <w:rFonts w:cs="EB Garamond"/>
          <w:kern w:val="16"/>
          <w14:ligatures w14:val="standardContextual"/>
        </w:rPr>
        <w:t>Além da docência propriamente dita (ministrar aulas), computam-se como tempo de magistério:</w:t>
      </w:r>
    </w:p>
    <w:p w14:paraId="1412BA3E"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Direção de escola:</w:t>
      </w:r>
      <w:r>
        <w:rPr>
          <w:rFonts w:cs="EB Garamond"/>
          <w:kern w:val="16"/>
          <w:sz w:val="20"/>
          <w14:ligatures w14:val="standardContextual"/>
        </w:rPr>
        <w:t xml:space="preserve"> O professor que assume a direção de escola de educação básica mantém o enquadramento em função de magistério.</w:t>
      </w:r>
    </w:p>
    <w:p w14:paraId="2D7F8BA8"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Coordenação pedagógica:</w:t>
      </w:r>
      <w:r>
        <w:rPr>
          <w:rFonts w:cs="EB Garamond"/>
          <w:kern w:val="16"/>
          <w:sz w:val="20"/>
          <w14:ligatures w14:val="standardContextual"/>
        </w:rPr>
        <w:t xml:space="preserve"> O coordenador pedagógico que orienta e supervisiona atividades educativas.</w:t>
      </w:r>
    </w:p>
    <w:p w14:paraId="111D692D"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Assessoramento pedagógico:</w:t>
      </w:r>
      <w:r>
        <w:rPr>
          <w:rFonts w:cs="EB Garamond"/>
          <w:kern w:val="16"/>
          <w:sz w:val="20"/>
          <w14:ligatures w14:val="standardContextual"/>
        </w:rPr>
        <w:t xml:space="preserve"> Funções de apoio técnico-pedagógico em estabelecimento de educação básica.</w:t>
      </w:r>
    </w:p>
    <w:p w14:paraId="30589F37" w14:textId="77777777" w:rsidR="005A5FCC" w:rsidRDefault="005A5FCC">
      <w:pPr>
        <w:spacing w:after="60" w:line="240" w:lineRule="auto"/>
      </w:pPr>
    </w:p>
    <w:p w14:paraId="52E0DFD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E</w:t>
      </w:r>
    </w:p>
    <w:p w14:paraId="17F8134D" w14:textId="77777777" w:rsidR="005A5FCC" w:rsidRDefault="00A21C81">
      <w:r>
        <w:rPr>
          <w:rFonts w:cs="EB Garamond"/>
          <w:b/>
          <w:kern w:val="16"/>
          <w14:ligatures w14:val="standardContextual"/>
        </w:rPr>
        <w:t>xcluem-se:</w:t>
      </w:r>
    </w:p>
    <w:p w14:paraId="23091C6F"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Ensino superior: professor universitário não se beneficia das regras especiais</w:t>
      </w:r>
    </w:p>
    <w:p w14:paraId="2F948F4A" w14:textId="77777777" w:rsidR="005A5FCC" w:rsidRDefault="00A21C81">
      <w:pPr>
        <w:spacing w:after="40" w:line="252" w:lineRule="auto"/>
        <w:ind w:left="340" w:hanging="198"/>
      </w:pPr>
      <w:r>
        <w:rPr>
          <w:rFonts w:cs="EB Garamond"/>
          <w:color w:val="3A3128"/>
          <w:kern w:val="16"/>
          <w:sz w:val="20"/>
          <w14:ligatures w14:val="standardContextual"/>
        </w:rPr>
        <w:lastRenderedPageBreak/>
        <w:t xml:space="preserve">• </w:t>
      </w:r>
      <w:r>
        <w:rPr>
          <w:rFonts w:cs="EB Garamond"/>
          <w:kern w:val="16"/>
          <w:sz w:val="20"/>
          <w14:ligatures w14:val="standardContextual"/>
        </w:rPr>
        <w:t>Atividades administrativas fora de estabelecimento de ensino: professor que assume cargo administrativo em secretaria de educação, por exemplo</w:t>
      </w:r>
    </w:p>
    <w:p w14:paraId="7149CFDD"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Ensino em cursos livres ou empresariais: não se qualifica como educação básica</w:t>
      </w:r>
    </w:p>
    <w:p w14:paraId="37B84427" w14:textId="77777777" w:rsidR="005A5FCC" w:rsidRDefault="005A5FCC">
      <w:pPr>
        <w:spacing w:after="60" w:line="240" w:lineRule="auto"/>
      </w:pPr>
    </w:p>
    <w:tbl>
      <w:tblPr>
        <w:tblW w:w="5000" w:type="pct"/>
        <w:jc w:val="center"/>
        <w:tblLayout w:type="fixed"/>
        <w:tblLook w:val="04A0" w:firstRow="1" w:lastRow="0" w:firstColumn="1" w:lastColumn="0" w:noHBand="0" w:noVBand="1"/>
      </w:tblPr>
      <w:tblGrid>
        <w:gridCol w:w="6311"/>
      </w:tblGrid>
      <w:tr w:rsidR="005A5FCC" w14:paraId="42215FF3"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331B512E"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3A06105A" w14:textId="77777777" w:rsidR="005A5FCC" w:rsidRDefault="00A21C81">
            <w:pPr>
              <w:spacing w:after="60" w:line="247" w:lineRule="auto"/>
            </w:pPr>
            <w:r>
              <w:rPr>
                <w:rFonts w:cs="EB Garamond"/>
                <w:b/>
                <w:kern w:val="16"/>
                <w:sz w:val="19"/>
                <w14:ligatures w14:val="standardContextual"/>
              </w:rPr>
              <w:t>Simulação — Professor nas regras de transição</w:t>
            </w:r>
          </w:p>
          <w:p w14:paraId="15AE20D8" w14:textId="77777777" w:rsidR="005A5FCC" w:rsidRDefault="00A21C81">
            <w:pPr>
              <w:spacing w:after="60" w:line="247" w:lineRule="auto"/>
            </w:pPr>
            <w:r>
              <w:rPr>
                <w:rFonts w:cs="EB Garamond"/>
                <w:b/>
                <w:kern w:val="16"/>
                <w:sz w:val="19"/>
                <w14:ligatures w14:val="standardContextual"/>
              </w:rPr>
              <w:t>Antônio</w:t>
            </w:r>
            <w:r>
              <w:rPr>
                <w:rFonts w:cs="EB Garamond"/>
                <w:kern w:val="16"/>
                <w:sz w:val="19"/>
                <w14:ligatures w14:val="standardContextual"/>
              </w:rPr>
              <w:t>, professor de ensino fundamental, homem, 57 anos em 2026, 32 anos exclusivamente em magistério (educação básica).</w:t>
            </w:r>
          </w:p>
          <w:p w14:paraId="542EB145" w14:textId="77777777" w:rsidR="005A5FCC" w:rsidRDefault="00A21C81">
            <w:pPr>
              <w:spacing w:after="60" w:line="247" w:lineRule="auto"/>
            </w:pPr>
            <w:r>
              <w:rPr>
                <w:rFonts w:cs="EB Garamond"/>
                <w:b/>
                <w:kern w:val="16"/>
                <w:sz w:val="19"/>
                <w14:ligatures w14:val="standardContextual"/>
              </w:rPr>
              <w:t>Art. 15 (pontos) — professor:</w:t>
            </w:r>
            <w:r>
              <w:rPr>
                <w:rFonts w:cs="EB Garamond"/>
                <w:kern w:val="16"/>
                <w:sz w:val="19"/>
                <w14:ligatures w14:val="standardContextual"/>
              </w:rPr>
              <w:t xml:space="preserve"> - TC: 32 ≥ 30 ✅ - Pontos: 57 + 32 = 89 &lt; 98 (2026 professor) → NÃO</w:t>
            </w:r>
          </w:p>
          <w:p w14:paraId="1E5383C1" w14:textId="77777777" w:rsidR="005A5FCC" w:rsidRDefault="00A21C81">
            <w:pPr>
              <w:spacing w:after="60" w:line="247" w:lineRule="auto"/>
            </w:pPr>
            <w:r>
              <w:rPr>
                <w:rFonts w:cs="EB Garamond"/>
                <w:b/>
                <w:kern w:val="16"/>
                <w:sz w:val="19"/>
                <w14:ligatures w14:val="standardContextual"/>
              </w:rPr>
              <w:t>Art. 16 (idade progressiva), professor:</w:t>
            </w:r>
            <w:r>
              <w:rPr>
                <w:rFonts w:cs="EB Garamond"/>
                <w:kern w:val="16"/>
                <w:sz w:val="19"/>
                <w14:ligatures w14:val="standardContextual"/>
              </w:rPr>
              <w:t xml:space="preserve"> - TC: 32 ≥ 30 ✅ - Idade: 57 &lt; 59,5 (2026 professor) → NÃO</w:t>
            </w:r>
          </w:p>
          <w:p w14:paraId="04F234DF" w14:textId="77777777" w:rsidR="005A5FCC" w:rsidRDefault="00A21C81">
            <w:pPr>
              <w:spacing w:after="60" w:line="247" w:lineRule="auto"/>
            </w:pPr>
            <w:r>
              <w:rPr>
                <w:rFonts w:cs="EB Garamond"/>
                <w:b/>
                <w:kern w:val="16"/>
                <w:sz w:val="19"/>
                <w14:ligatures w14:val="standardContextual"/>
              </w:rPr>
              <w:t>Art. 20 (pedágio 100%), professor:</w:t>
            </w:r>
            <w:r>
              <w:rPr>
                <w:rFonts w:cs="EB Garamond"/>
                <w:kern w:val="16"/>
                <w:sz w:val="19"/>
                <w14:ligatures w14:val="standardContextual"/>
              </w:rPr>
              <w:t xml:space="preserve"> - Idade: 57 ≥ 55 ✅ - TC: 32 ≥ 30 ✅ - Pedágio: em 13/11/2019 tinha 25 anos TC, faltavam 5 anos → pedágio = 5 anos - TC necessário: 30 + 5 = 35 anos - TC atual: 32 &lt; 35 → falta 3 anos → </w:t>
            </w:r>
            <w:r>
              <w:rPr>
                <w:rFonts w:cs="EB Garamond"/>
                <w:b/>
                <w:kern w:val="16"/>
                <w:sz w:val="19"/>
                <w14:ligatures w14:val="standardContextual"/>
              </w:rPr>
              <w:t>Viável em 2029</w:t>
            </w:r>
            <w:r>
              <w:rPr>
                <w:rFonts w:cs="EB Garamond"/>
                <w:kern w:val="16"/>
                <w:sz w:val="19"/>
                <w14:ligatures w14:val="standardContextual"/>
              </w:rPr>
              <w:t xml:space="preserve"> (35 TC e 60 anos)</w:t>
            </w:r>
          </w:p>
          <w:p w14:paraId="5AE2F380" w14:textId="77777777" w:rsidR="005A5FCC" w:rsidRDefault="00A21C81">
            <w:pPr>
              <w:spacing w:after="60" w:line="247" w:lineRule="auto"/>
            </w:pPr>
            <w:r>
              <w:rPr>
                <w:rFonts w:cs="EB Garamond"/>
                <w:b/>
                <w:kern w:val="16"/>
                <w:sz w:val="19"/>
                <w14:ligatures w14:val="standardContextual"/>
              </w:rPr>
              <w:t>Art. 17 (pedágio 50%), professor:</w:t>
            </w:r>
            <w:r>
              <w:rPr>
                <w:rFonts w:cs="EB Garamond"/>
                <w:kern w:val="16"/>
                <w:sz w:val="19"/>
                <w14:ligatures w14:val="standardContextual"/>
              </w:rPr>
              <w:t xml:space="preserve"> - Em 13/11/2019 faltavam 5 anos → &gt; 2 anos → NÃO ELEGÍVEL</w:t>
            </w:r>
          </w:p>
          <w:p w14:paraId="4FA460F2" w14:textId="77777777" w:rsidR="005A5FCC" w:rsidRDefault="00A21C81">
            <w:pPr>
              <w:spacing w:after="60" w:line="247" w:lineRule="auto"/>
            </w:pPr>
            <w:r>
              <w:rPr>
                <w:rFonts w:cs="EB Garamond"/>
                <w:b/>
                <w:kern w:val="16"/>
                <w:sz w:val="19"/>
                <w14:ligatures w14:val="standardContextual"/>
              </w:rPr>
              <w:t>Cálculo pelo art. 20 (2029):</w:t>
            </w:r>
            <w:r>
              <w:rPr>
                <w:rFonts w:cs="EB Garamond"/>
                <w:kern w:val="16"/>
                <w:sz w:val="19"/>
                <w14:ligatures w14:val="standardContextual"/>
              </w:rPr>
              <w:t xml:space="preserve"> - Média 100%: R$ 4.500,00 - Coeficiente: 100% - RMI: </w:t>
            </w:r>
            <w:r>
              <w:rPr>
                <w:rFonts w:cs="EB Garamond"/>
                <w:b/>
                <w:kern w:val="16"/>
                <w:sz w:val="19"/>
                <w14:ligatures w14:val="standardContextual"/>
              </w:rPr>
              <w:t>R$ 4.500,00</w:t>
            </w:r>
          </w:p>
          <w:p w14:paraId="70280FE2" w14:textId="77777777" w:rsidR="005A5FCC" w:rsidRDefault="00A21C81">
            <w:pPr>
              <w:spacing w:after="60" w:line="247" w:lineRule="auto"/>
            </w:pPr>
            <w:r>
              <w:rPr>
                <w:rFonts w:cs="EB Garamond"/>
                <w:b/>
                <w:kern w:val="16"/>
                <w:sz w:val="19"/>
                <w14:ligatures w14:val="standardContextual"/>
              </w:rPr>
              <w:t>Fator previdenciário do professor (se fosse aplicável):</w:t>
            </w:r>
            <w:r>
              <w:rPr>
                <w:rFonts w:cs="EB Garamond"/>
                <w:kern w:val="16"/>
                <w:sz w:val="19"/>
                <w14:ligatures w14:val="standardContextual"/>
              </w:rPr>
              <w:t xml:space="preserve"> - Com bônus: Tc=35+5=40, Id=60+5=65 - f = (40×0,31/19,0) × [1+(65+40×0,31)/100] - f = (12,40/19,0) × [1+(65+12,40)/100] - f = 0,6526 × 1,774 - f ≈ </w:t>
            </w:r>
            <w:r>
              <w:rPr>
                <w:rFonts w:cs="EB Garamond"/>
                <w:b/>
                <w:kern w:val="16"/>
                <w:sz w:val="19"/>
                <w14:ligatures w14:val="standardContextual"/>
              </w:rPr>
              <w:t>1,158</w:t>
            </w:r>
            <w:r>
              <w:rPr>
                <w:rFonts w:cs="EB Garamond"/>
                <w:kern w:val="16"/>
                <w:sz w:val="19"/>
                <w14:ligatures w14:val="standardContextual"/>
              </w:rPr>
              <w:t xml:space="preserve"> (favorável)</w:t>
            </w:r>
          </w:p>
          <w:p w14:paraId="4BF6477D" w14:textId="77777777" w:rsidR="005A5FCC" w:rsidRDefault="00A21C81">
            <w:pPr>
              <w:spacing w:after="60" w:line="247" w:lineRule="auto"/>
            </w:pPr>
            <w:r>
              <w:rPr>
                <w:rFonts w:cs="EB Garamond"/>
                <w:kern w:val="16"/>
                <w:sz w:val="19"/>
                <w14:ligatures w14:val="standardContextual"/>
              </w:rPr>
              <w:t>O bônus de professor no fator previdenciário (+5 Id, +5 Tc) é substancial e pode tornar o pedágio 50% vantajoso para professores com direito adquirido ou fator favorável.</w:t>
            </w:r>
          </w:p>
        </w:tc>
      </w:tr>
    </w:tbl>
    <w:p w14:paraId="156AC971" w14:textId="77777777" w:rsidR="005A5FCC" w:rsidRDefault="005A5FCC">
      <w:pPr>
        <w:spacing w:after="80" w:line="240" w:lineRule="auto"/>
      </w:pPr>
    </w:p>
    <w:p w14:paraId="3CBEB790" w14:textId="77777777" w:rsidR="005A5FCC" w:rsidRDefault="00A21C81">
      <w:pPr>
        <w:spacing w:before="260" w:after="80" w:line="240" w:lineRule="auto"/>
        <w:jc w:val="left"/>
      </w:pPr>
      <w:r>
        <w:rPr>
          <w:rFonts w:cs="EB Garamond"/>
          <w:b/>
          <w:color w:val="3A3128"/>
          <w:kern w:val="16"/>
          <w:sz w:val="25"/>
          <w14:ligatures w14:val="standardContextual"/>
        </w:rPr>
        <w:t>11.17.3 Tempo de aluno-aprendiz</w:t>
      </w:r>
    </w:p>
    <w:p w14:paraId="7B94DC09"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18CA4579" w14:textId="77777777" w:rsidR="005A5FCC" w:rsidRDefault="00A21C81">
      <w:r>
        <w:rPr>
          <w:rFonts w:cs="EB Garamond"/>
          <w:kern w:val="16"/>
          <w14:ligatures w14:val="standardContextual"/>
        </w:rPr>
        <w:t xml:space="preserve"> tempo de aluno-aprendiz em escolas técnicas federais (como as antigas Escolas Técnicas e os CEFETs) pode ser computado como tempo de contribuição quando comprovado o efetivo exercício de atividade laboral remunerada. A TNU (Tema 216) estabeleceu os critérios:</w:t>
      </w:r>
    </w:p>
    <w:p w14:paraId="22D804B5" w14:textId="77777777" w:rsidR="005A5FCC" w:rsidRDefault="00A21C81">
      <w:pPr>
        <w:spacing w:after="40" w:line="252" w:lineRule="auto"/>
        <w:ind w:left="340" w:hanging="198"/>
      </w:pPr>
      <w:r>
        <w:rPr>
          <w:rFonts w:cs="EB Garamond"/>
          <w:color w:val="3A3128"/>
          <w:kern w:val="16"/>
          <w:sz w:val="20"/>
          <w14:ligatures w14:val="standardContextual"/>
        </w:rPr>
        <w:lastRenderedPageBreak/>
        <w:t xml:space="preserve">• </w:t>
      </w:r>
      <w:r>
        <w:rPr>
          <w:rFonts w:cs="EB Garamond"/>
          <w:b/>
          <w:kern w:val="16"/>
          <w:sz w:val="20"/>
          <w14:ligatures w14:val="standardContextual"/>
        </w:rPr>
        <w:t>Requisitos:</w:t>
      </w:r>
      <w:r>
        <w:rPr>
          <w:rFonts w:cs="EB Garamond"/>
          <w:kern w:val="16"/>
          <w:sz w:val="20"/>
          <w14:ligatures w14:val="standardContextual"/>
        </w:rPr>
        <w:t xml:space="preserve"> Comprovação de vínculo com escola profissionalizante mantida por entidade pública (União, estados ou municípios), com efetiva retribuição pecuniária à conta do orçamento público e participação na execução de encomendas.</w:t>
      </w:r>
    </w:p>
    <w:p w14:paraId="54394DBF"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Prova:</w:t>
      </w:r>
      <w:r>
        <w:rPr>
          <w:rFonts w:cs="EB Garamond"/>
          <w:kern w:val="16"/>
          <w:sz w:val="20"/>
          <w14:ligatures w14:val="standardContextual"/>
        </w:rPr>
        <w:t xml:space="preserve"> Certidão da escola técnica que comprove a condição de aluno-aprendiz, o período de matrícula e a remuneração percebida (ainda que em forma de alimentação, fardamento e material escolar à conta da União).</w:t>
      </w:r>
    </w:p>
    <w:p w14:paraId="356888DB"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Efeito prático:</w:t>
      </w:r>
      <w:r>
        <w:rPr>
          <w:rFonts w:cs="EB Garamond"/>
          <w:kern w:val="16"/>
          <w:sz w:val="20"/>
          <w14:ligatures w14:val="standardContextual"/>
        </w:rPr>
        <w:t xml:space="preserve"> O tempo de aluno-aprendiz, quando reconhecido, integra o TC do segurado, podendo ser decisivo para atingir os 30/35 anos mínimos das regras de transição.</w:t>
      </w:r>
    </w:p>
    <w:p w14:paraId="065705B1" w14:textId="77777777" w:rsidR="005A5FCC" w:rsidRDefault="005A5FCC">
      <w:pPr>
        <w:spacing w:after="60" w:line="240" w:lineRule="auto"/>
      </w:pPr>
    </w:p>
    <w:p w14:paraId="5381F964" w14:textId="77777777" w:rsidR="005A5FCC" w:rsidRDefault="00A21C81">
      <w:pPr>
        <w:spacing w:before="260" w:after="80" w:line="240" w:lineRule="auto"/>
        <w:jc w:val="left"/>
      </w:pPr>
      <w:r>
        <w:rPr>
          <w:rFonts w:cs="EB Garamond"/>
          <w:b/>
          <w:color w:val="3A3128"/>
          <w:kern w:val="16"/>
          <w:sz w:val="25"/>
          <w14:ligatures w14:val="standardContextual"/>
        </w:rPr>
        <w:t>11.17.4 Tempo de serviço militar obrigatório</w:t>
      </w:r>
    </w:p>
    <w:p w14:paraId="3C4963F8"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668CF77C" w14:textId="77777777" w:rsidR="005A5FCC" w:rsidRDefault="00A21C81">
      <w:r>
        <w:rPr>
          <w:rFonts w:cs="EB Garamond"/>
          <w:kern w:val="16"/>
          <w14:ligatures w14:val="standardContextual"/>
        </w:rPr>
        <w:t xml:space="preserve"> serviço militar obrigatório é computado como tempo de contribuição nos termos do art. 55, I, da Lei 8.213/91. O período varia de 12 a 24 meses conforme a incorporação e a dispensa. Embora aparentemente modesto, esse tempo pode ser determinante em situações limítrofes:</w:t>
      </w:r>
    </w:p>
    <w:p w14:paraId="48FF3A72" w14:textId="77777777" w:rsidR="005A5FCC" w:rsidRDefault="00A21C81">
      <w:pPr>
        <w:ind w:firstLine="238"/>
      </w:pPr>
      <w:r>
        <w:rPr>
          <w:rFonts w:cs="EB Garamond"/>
          <w:b/>
          <w:kern w:val="16"/>
          <w14:ligatures w14:val="standardContextual"/>
        </w:rPr>
        <w:t>Exemplo:</w:t>
      </w:r>
      <w:r>
        <w:rPr>
          <w:rFonts w:cs="EB Garamond"/>
          <w:kern w:val="16"/>
          <w14:ligatures w14:val="standardContextual"/>
        </w:rPr>
        <w:t xml:space="preserve"> O segurado que possui 34 anos e 3 meses de TC e 12 meses de serviço militar pode atingir 35 anos e 3 meses de TC com a averbação do período militar, habilitando-se às regras de transição.</w:t>
      </w:r>
    </w:p>
    <w:p w14:paraId="0271FE8F" w14:textId="77777777" w:rsidR="005A5FCC" w:rsidRDefault="00A21C81">
      <w:pPr>
        <w:ind w:firstLine="238"/>
      </w:pPr>
      <w:r>
        <w:rPr>
          <w:rFonts w:cs="EB Garamond"/>
          <w:kern w:val="16"/>
          <w14:ligatures w14:val="standardContextual"/>
        </w:rPr>
        <w:t>A prova se faz pelo Certificado de Reservista, Certificado de Dispensa de Incorporação (se houve incorporação temporária) ou certidão do comando militar. O INSS não pode exigir contribuição retroativa pelo período de serviço militar, pois se trata de exceção legal expressa.</w:t>
      </w:r>
    </w:p>
    <w:p w14:paraId="6A3F70F0" w14:textId="77777777" w:rsidR="005A5FCC" w:rsidRDefault="00A21C81">
      <w:pPr>
        <w:ind w:firstLine="238"/>
      </w:pPr>
      <w:r>
        <w:rPr>
          <w:rFonts w:cs="EB Garamond"/>
          <w:kern w:val="16"/>
          <w14:ligatures w14:val="standardContextual"/>
        </w:rPr>
        <w:t>O período de serviço militar conta como TC mas apresenta peculiaridades quanto à carência e aos salários de contribuição. Como durante o serviço militar não há contribuição previdenciária, o período não gera carência. Quanto aos salários de contribuição, o art. 55, I, da Lei 8.213/91 é silente; a jurisprudência entende que o período é computado como TC sem salário de contribuição correspondente, não afetando a média dos salários (nem para aumentar, nem para reduzir).</w:t>
      </w:r>
    </w:p>
    <w:p w14:paraId="1EDCA1DA" w14:textId="77777777" w:rsidR="005A5FCC" w:rsidRDefault="00A21C81">
      <w:pPr>
        <w:ind w:firstLine="238"/>
      </w:pPr>
      <w:r>
        <w:rPr>
          <w:rFonts w:cs="EB Garamond"/>
          <w:kern w:val="16"/>
          <w14:ligatures w14:val="standardContextual"/>
        </w:rPr>
        <w:t>Na prática, o advogado deve incluir o período militar em toda apuração de TC, pois 12 meses adicionais podem ser decisivos para:</w:t>
      </w:r>
    </w:p>
    <w:p w14:paraId="1139D994" w14:textId="77777777" w:rsidR="005A5FCC" w:rsidRDefault="00A21C81">
      <w:pPr>
        <w:spacing w:after="40" w:line="252" w:lineRule="auto"/>
        <w:ind w:left="340" w:hanging="198"/>
      </w:pPr>
      <w:r>
        <w:rPr>
          <w:rFonts w:cs="EB Garamond"/>
          <w:color w:val="3A3128"/>
          <w:kern w:val="16"/>
          <w:sz w:val="20"/>
          <w14:ligatures w14:val="standardContextual"/>
        </w:rPr>
        <w:lastRenderedPageBreak/>
        <w:t xml:space="preserve">• </w:t>
      </w:r>
      <w:r>
        <w:rPr>
          <w:rFonts w:cs="EB Garamond"/>
          <w:kern w:val="16"/>
          <w:sz w:val="20"/>
          <w14:ligatures w14:val="standardContextual"/>
        </w:rPr>
        <w:t>Atingir os 35/30 anos mínimos de TC</w:t>
      </w:r>
    </w:p>
    <w:p w14:paraId="735CAAC6"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Aumentar a pontuação do art. 15 em 1 ponto</w:t>
      </w:r>
    </w:p>
    <w:p w14:paraId="45106DFB"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Reduzir o pedágio dos arts. 17 e 20 (mais TC em 2019 = menos tempo faltante = menos pedágio)</w:t>
      </w:r>
    </w:p>
    <w:p w14:paraId="2258205C"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Aumentar o fator previdenciário (Tc maior eleva o fator)</w:t>
      </w:r>
    </w:p>
    <w:p w14:paraId="29DE2BA9" w14:textId="77777777" w:rsidR="005A5FCC" w:rsidRDefault="005A5FCC">
      <w:pPr>
        <w:spacing w:after="60" w:line="240" w:lineRule="auto"/>
      </w:pPr>
    </w:p>
    <w:p w14:paraId="4B3DBBC0" w14:textId="77777777" w:rsidR="005A5FCC" w:rsidRDefault="00A21C81">
      <w:pPr>
        <w:spacing w:before="260" w:after="80" w:line="240" w:lineRule="auto"/>
        <w:jc w:val="left"/>
      </w:pPr>
      <w:r>
        <w:rPr>
          <w:rFonts w:cs="EB Garamond"/>
          <w:b/>
          <w:color w:val="3A3128"/>
          <w:kern w:val="16"/>
          <w:sz w:val="25"/>
          <w14:ligatures w14:val="standardContextual"/>
        </w:rPr>
        <w:t>11.17.5 Aposentadoria proporcional (EC 20/1998) — direito adquirido residual</w:t>
      </w:r>
    </w:p>
    <w:p w14:paraId="1A5887EC"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E</w:t>
      </w:r>
    </w:p>
    <w:p w14:paraId="51633409" w14:textId="77777777" w:rsidR="005A5FCC" w:rsidRDefault="00A21C81">
      <w:r>
        <w:rPr>
          <w:rFonts w:cs="EB Garamond"/>
          <w:kern w:val="16"/>
          <w14:ligatures w14:val="standardContextual"/>
        </w:rPr>
        <w:t>mbora revogada pela EC 103/2019 (art. 35), a regra de transição da EC 20/1998 (art. 9º) para aposentadoria proporcional permanece aplicável para segurados que implementaram seus requisitos até 12/11/2019. Trata-se de direito adquirido protegido pelo art. 5º, XXXVI, da CF e pelo art. 3º da EC 103/2019.</w:t>
      </w:r>
    </w:p>
    <w:p w14:paraId="65D02C29" w14:textId="77777777" w:rsidR="005A5FCC" w:rsidRDefault="00A21C81">
      <w:pPr>
        <w:ind w:firstLine="238"/>
      </w:pPr>
      <w:r>
        <w:rPr>
          <w:rFonts w:cs="EB Garamond"/>
          <w:b/>
          <w:kern w:val="16"/>
          <w14:ligatures w14:val="standardContextual"/>
        </w:rPr>
        <w:t>Requisitos da aposentadoria proporcional (EC 20/98):</w:t>
      </w:r>
    </w:p>
    <w:p w14:paraId="7E3B1A80"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 xml:space="preserve">Idade mínima: </w:t>
      </w:r>
      <w:r>
        <w:rPr>
          <w:rFonts w:cs="EB Garamond"/>
          <w:b/>
          <w:kern w:val="16"/>
          <w:sz w:val="20"/>
          <w14:ligatures w14:val="standardContextual"/>
        </w:rPr>
        <w:t>48 anos (mulher) / 53 anos (homem)</w:t>
      </w:r>
    </w:p>
    <w:p w14:paraId="3C749923"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 xml:space="preserve">TC mínimo: </w:t>
      </w:r>
      <w:r>
        <w:rPr>
          <w:rFonts w:cs="EB Garamond"/>
          <w:b/>
          <w:kern w:val="16"/>
          <w:sz w:val="20"/>
          <w14:ligatures w14:val="standardContextual"/>
        </w:rPr>
        <w:t>25 anos (mulher) / 30 anos (homem)</w:t>
      </w:r>
    </w:p>
    <w:p w14:paraId="60239846"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 xml:space="preserve">Pedágio: </w:t>
      </w:r>
      <w:r>
        <w:rPr>
          <w:rFonts w:cs="EB Garamond"/>
          <w:b/>
          <w:kern w:val="16"/>
          <w:sz w:val="20"/>
          <w14:ligatures w14:val="standardContextual"/>
        </w:rPr>
        <w:t>40% do tempo faltante em 16/12/1998</w:t>
      </w:r>
    </w:p>
    <w:p w14:paraId="509596FC"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 xml:space="preserve">Benefício proporcional: </w:t>
      </w:r>
      <w:r>
        <w:rPr>
          <w:rFonts w:cs="EB Garamond"/>
          <w:b/>
          <w:kern w:val="16"/>
          <w:sz w:val="20"/>
          <w14:ligatures w14:val="standardContextual"/>
        </w:rPr>
        <w:t>70% do SB + 5% por ano adicional de TC</w:t>
      </w:r>
      <w:r>
        <w:rPr>
          <w:rFonts w:cs="EB Garamond"/>
          <w:kern w:val="16"/>
          <w:sz w:val="20"/>
          <w14:ligatures w14:val="standardContextual"/>
        </w:rPr>
        <w:t xml:space="preserve"> (até 100%)</w:t>
      </w:r>
    </w:p>
    <w:p w14:paraId="15CE2E6C"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 xml:space="preserve">Fator previdenciário: </w:t>
      </w:r>
      <w:r>
        <w:rPr>
          <w:rFonts w:cs="EB Garamond"/>
          <w:b/>
          <w:kern w:val="16"/>
          <w:sz w:val="20"/>
          <w14:ligatures w14:val="standardContextual"/>
        </w:rPr>
        <w:t>obrigatório</w:t>
      </w:r>
    </w:p>
    <w:p w14:paraId="21D795CA" w14:textId="77777777" w:rsidR="005A5FCC" w:rsidRDefault="005A5FCC">
      <w:pPr>
        <w:spacing w:after="60" w:line="240" w:lineRule="auto"/>
      </w:pPr>
    </w:p>
    <w:p w14:paraId="669A34D5"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Q</w:t>
      </w:r>
    </w:p>
    <w:p w14:paraId="44E9B009" w14:textId="77777777" w:rsidR="005A5FCC" w:rsidRDefault="00A21C81">
      <w:r>
        <w:rPr>
          <w:rFonts w:cs="EB Garamond"/>
          <w:b/>
          <w:kern w:val="16"/>
          <w14:ligatures w14:val="standardContextual"/>
        </w:rPr>
        <w:t>uando é relevante em 2026:</w:t>
      </w:r>
      <w:r>
        <w:rPr>
          <w:rFonts w:cs="EB Garamond"/>
          <w:kern w:val="16"/>
          <w14:ligatures w14:val="standardContextual"/>
        </w:rPr>
        <w:t xml:space="preserve"> Para segurado que completou os requisitos da aposentadoria proporcional antes de 13/11/2019 mas não requereu o benefício. Esse segurado mantém o direito adquirido e pode optar pela proporcional ou por qualquer regra de transição da EC 103 que atenda.</w:t>
      </w:r>
    </w:p>
    <w:p w14:paraId="54132F3F" w14:textId="77777777" w:rsidR="005A5FCC" w:rsidRDefault="00A21C81">
      <w:pPr>
        <w:ind w:firstLine="238"/>
      </w:pPr>
      <w:r>
        <w:rPr>
          <w:rFonts w:cs="EB Garamond"/>
          <w:kern w:val="16"/>
          <w14:ligatures w14:val="standardContextual"/>
        </w:rPr>
        <w:t>Na prática, a aposentadoria proporcional raramente é a opção mais vantajosa, pois combina coeficiente reduzido (70-100%) com fator previdenciário obrigatório. Contudo, para segurados que implementaram os requisitos antes da EC 103 e que possuem fator previdenciário elevado (idade avançada), ela pode representar uma opção adicional a ser calculada.</w:t>
      </w:r>
    </w:p>
    <w:p w14:paraId="7F0865E4" w14:textId="77777777" w:rsidR="005A5FCC" w:rsidRDefault="00A21C81">
      <w:pPr>
        <w:ind w:firstLine="238"/>
      </w:pPr>
      <w:r>
        <w:rPr>
          <w:rFonts w:cs="EB Garamond"/>
          <w:b/>
          <w:kern w:val="16"/>
          <w14:ligatures w14:val="standardContextual"/>
        </w:rPr>
        <w:t>Aposentadoria integral pela EC 20/98:</w:t>
      </w:r>
      <w:r>
        <w:rPr>
          <w:rFonts w:cs="EB Garamond"/>
          <w:kern w:val="16"/>
          <w14:ligatures w14:val="standardContextual"/>
        </w:rPr>
        <w:t xml:space="preserve"> A mesma EC 20/98 previa aposentadoria integral (100% do SB) com os seguintes requisitos: idade 48M/53H + TC </w:t>
      </w:r>
      <w:r>
        <w:rPr>
          <w:rFonts w:cs="EB Garamond"/>
          <w:kern w:val="16"/>
          <w14:ligatures w14:val="standardContextual"/>
        </w:rPr>
        <w:lastRenderedPageBreak/>
        <w:t>30M/35H + pedágio de 20% do tempo faltante em 16/12/1998 + fator previdenciário obrigatório. O segurado com direito adquirido a essa modalidade deve comparar com as regras de transição da EC 103.</w:t>
      </w:r>
    </w:p>
    <w:p w14:paraId="0039CC26" w14:textId="77777777" w:rsidR="005A5FCC" w:rsidRDefault="00A21C81">
      <w:pPr>
        <w:spacing w:before="260" w:after="80" w:line="240" w:lineRule="auto"/>
        <w:jc w:val="left"/>
      </w:pPr>
      <w:r>
        <w:rPr>
          <w:rFonts w:cs="EB Garamond"/>
          <w:b/>
          <w:color w:val="3A3128"/>
          <w:kern w:val="16"/>
          <w:sz w:val="25"/>
          <w14:ligatures w14:val="standardContextual"/>
        </w:rPr>
        <w:t>11.17.6 Segurado que trabalhou no exterior</w:t>
      </w:r>
    </w:p>
    <w:p w14:paraId="44598C12"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3A5F6635" w14:textId="77777777" w:rsidR="005A5FCC" w:rsidRDefault="00A21C81">
      <w:r>
        <w:rPr>
          <w:rFonts w:cs="EB Garamond"/>
          <w:kern w:val="16"/>
          <w14:ligatures w14:val="standardContextual"/>
        </w:rPr>
        <w:t xml:space="preserve"> segurado que exerceu atividade laboral em país com o qual o Brasil mantém acordo internacional de previdência social pode utilizar o tempo de trabalho no exterior para totalização e atingimento dos requisitos das regras de transição.</w:t>
      </w:r>
    </w:p>
    <w:p w14:paraId="78E0D50B" w14:textId="77777777" w:rsidR="005A5FCC" w:rsidRDefault="00A21C81">
      <w:pPr>
        <w:ind w:firstLine="238"/>
      </w:pPr>
      <w:r>
        <w:rPr>
          <w:rFonts w:cs="EB Garamond"/>
          <w:kern w:val="16"/>
          <w14:ligatures w14:val="standardContextual"/>
        </w:rPr>
        <w:t>O Brasil mantém acordos bilaterais de previdência social com diversos países, incluindo: Alemanha, Argentina, Bélgica, Cabo Verde, Chile, Coreia do Sul, Espanha, Estados Unidos (acordo limitado), França, Grécia, Israel, Itália, Japão, Luxemburgo, Portugal, Uruguai, entre outros. Além dos acordos bilaterais, o Brasil integra o Acordo Multilateral de Seguridade Social do Mercosul e o Acordo Ibero-Americano de Seguridade Social.</w:t>
      </w:r>
    </w:p>
    <w:p w14:paraId="645A065F" w14:textId="77777777" w:rsidR="005A5FCC" w:rsidRDefault="00A21C81">
      <w:pPr>
        <w:ind w:firstLine="238"/>
      </w:pPr>
      <w:r>
        <w:rPr>
          <w:rFonts w:cs="EB Garamond"/>
          <w:kern w:val="16"/>
          <w14:ligatures w14:val="standardContextual"/>
        </w:rPr>
        <w:t>O mecanismo de totalização permite que o tempo de contribuição no exterior seja somado ao tempo de contribuição no Brasil para fins de verificação do direito ao benefício. O cálculo do valor, contudo, segue a regra pro rata temporis: cada país paga apenas a parcela correspondente ao tempo de contribuição exercido em seu território.</w:t>
      </w:r>
    </w:p>
    <w:p w14:paraId="6CB3629F" w14:textId="77777777" w:rsidR="005A5FCC" w:rsidRDefault="00A21C81">
      <w:pPr>
        <w:ind w:firstLine="238"/>
      </w:pPr>
      <w:r>
        <w:rPr>
          <w:rFonts w:cs="EB Garamond"/>
          <w:kern w:val="16"/>
          <w14:ligatures w14:val="standardContextual"/>
        </w:rPr>
        <w:t>Na prática, o segurado que trabalhou 20 anos no Brasil e 15 anos em Portugal, por exemplo, totaliza 35 anos para fins de verificação do direito à aposentadoria por TC no Brasil. Contudo, o INSS pagará apenas a parcela proporcional aos 20 anos de contribuição brasileira, e o regime português pagará a parcela correspondente aos 15 anos de contribuição portuguesa. O resultado é que o segurado recebe dois benefícios parciais, um de cada regime, cujo somatório pode ser inferior ao que receberia se todo o tempo fosse em um único país.</w:t>
      </w:r>
    </w:p>
    <w:p w14:paraId="38DB4E1F" w14:textId="77777777" w:rsidR="005A5FCC" w:rsidRDefault="00A21C81">
      <w:pPr>
        <w:ind w:firstLine="238"/>
      </w:pPr>
      <w:r>
        <w:rPr>
          <w:rFonts w:cs="EB Garamond"/>
          <w:kern w:val="16"/>
          <w14:ligatures w14:val="standardContextual"/>
        </w:rPr>
        <w:t>Para as regras de transição, a totalização internacional é especialmente relevante nos arts. 15 e 20 da EC 103/2019, pois o tempo totalizado conta para atingir os 35/30 anos de TC mínimo. Quanto ao pedágio (arts. 17 e 20), o tempo de contribuição no exterior também é considerado para determinar quanto faltava em 13/11/2019.</w:t>
      </w:r>
    </w:p>
    <w:tbl>
      <w:tblPr>
        <w:tblW w:w="5000" w:type="pct"/>
        <w:jc w:val="center"/>
        <w:tblLayout w:type="fixed"/>
        <w:tblLook w:val="04A0" w:firstRow="1" w:lastRow="0" w:firstColumn="1" w:lastColumn="0" w:noHBand="0" w:noVBand="1"/>
      </w:tblPr>
      <w:tblGrid>
        <w:gridCol w:w="6311"/>
      </w:tblGrid>
      <w:tr w:rsidR="005A5FCC" w14:paraId="1C9DEE47"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5050C584" w14:textId="77777777" w:rsidR="005A5FCC" w:rsidRDefault="00A21C81">
            <w:pPr>
              <w:spacing w:after="60" w:line="240" w:lineRule="auto"/>
              <w:jc w:val="left"/>
            </w:pPr>
            <w:r>
              <w:rPr>
                <w:rFonts w:ascii="Noto Sans" w:hAnsi="Noto Sans" w:cs="Noto Sans"/>
                <w:b/>
                <w:caps/>
                <w:color w:val="B78B37"/>
                <w:kern w:val="16"/>
                <w:sz w:val="16"/>
                <w14:ligatures w14:val="standardContextual"/>
              </w:rPr>
              <w:lastRenderedPageBreak/>
              <w:t>ATENÇÃO</w:t>
            </w:r>
          </w:p>
          <w:p w14:paraId="45B63304" w14:textId="77777777" w:rsidR="005A5FCC" w:rsidRDefault="00A21C81">
            <w:pPr>
              <w:spacing w:after="60" w:line="247" w:lineRule="auto"/>
            </w:pPr>
            <w:r>
              <w:rPr>
                <w:rFonts w:cs="EB Garamond"/>
                <w:b/>
                <w:kern w:val="16"/>
                <w:sz w:val="19"/>
                <w14:ligatures w14:val="standardContextual"/>
              </w:rPr>
              <w:t>Armadilhas comuns em casos de fronteira</w:t>
            </w:r>
          </w:p>
          <w:p w14:paraId="79D00707" w14:textId="77777777" w:rsidR="005A5FCC" w:rsidRDefault="00A21C81">
            <w:pPr>
              <w:spacing w:after="30" w:line="240" w:lineRule="auto"/>
              <w:ind w:left="227" w:hanging="142"/>
            </w:pPr>
            <w:r>
              <w:rPr>
                <w:rFonts w:cs="EB Garamond"/>
                <w:kern w:val="16"/>
                <w:sz w:val="19"/>
                <w14:ligatures w14:val="standardContextual"/>
              </w:rPr>
              <w:t xml:space="preserve">1. </w:t>
            </w:r>
            <w:r>
              <w:rPr>
                <w:rFonts w:cs="EB Garamond"/>
                <w:b/>
                <w:kern w:val="16"/>
                <w:sz w:val="19"/>
                <w14:ligatures w14:val="standardContextual"/>
              </w:rPr>
              <w:t>Professor que exerceu atividade administrativa:</w:t>
            </w:r>
            <w:r>
              <w:rPr>
                <w:rFonts w:cs="EB Garamond"/>
                <w:kern w:val="16"/>
                <w:sz w:val="19"/>
                <w14:ligatures w14:val="standardContextual"/>
              </w:rPr>
              <w:t xml:space="preserve"> Se o professor deixou a sala de aula para assumir cargo exclusivamente administrativo (ex.: secretário de educação), o período administrativo NÃO conta como magistério para fins de redução de TC e pontos. A atividade deve ser em estabelecimento de educação básica.</w:t>
            </w:r>
          </w:p>
          <w:p w14:paraId="3CAA8AEF" w14:textId="77777777" w:rsidR="005A5FCC" w:rsidRDefault="00A21C81">
            <w:pPr>
              <w:spacing w:after="30" w:line="240" w:lineRule="auto"/>
              <w:ind w:left="227" w:hanging="142"/>
            </w:pPr>
            <w:r>
              <w:rPr>
                <w:rFonts w:cs="EB Garamond"/>
                <w:kern w:val="16"/>
                <w:sz w:val="19"/>
                <w14:ligatures w14:val="standardContextual"/>
              </w:rPr>
              <w:t xml:space="preserve">2. </w:t>
            </w:r>
            <w:r>
              <w:rPr>
                <w:rFonts w:cs="EB Garamond"/>
                <w:b/>
                <w:kern w:val="16"/>
                <w:sz w:val="19"/>
                <w14:ligatures w14:val="standardContextual"/>
              </w:rPr>
              <w:t>Tempo especial e professor cumulados:</w:t>
            </w:r>
            <w:r>
              <w:rPr>
                <w:rFonts w:cs="EB Garamond"/>
                <w:kern w:val="16"/>
                <w:sz w:val="19"/>
                <w14:ligatures w14:val="standardContextual"/>
              </w:rPr>
              <w:t xml:space="preserve"> O professor que exerceu atividade especial (exposição a agentes nocivos na escola — raro, mas possível em laboratórios) pode converter o tempo especial E utilizar o redutor de professor. São benefícios distintos que não se excluem.</w:t>
            </w:r>
          </w:p>
          <w:p w14:paraId="75A0C22C" w14:textId="77777777" w:rsidR="005A5FCC" w:rsidRDefault="00A21C81">
            <w:pPr>
              <w:spacing w:after="30" w:line="240" w:lineRule="auto"/>
              <w:ind w:left="227" w:hanging="142"/>
            </w:pPr>
            <w:r>
              <w:rPr>
                <w:rFonts w:cs="EB Garamond"/>
                <w:kern w:val="16"/>
                <w:sz w:val="19"/>
                <w14:ligatures w14:val="standardContextual"/>
              </w:rPr>
              <w:t xml:space="preserve">3. </w:t>
            </w:r>
            <w:r>
              <w:rPr>
                <w:rFonts w:cs="EB Garamond"/>
                <w:b/>
                <w:kern w:val="16"/>
                <w:sz w:val="19"/>
                <w14:ligatures w14:val="standardContextual"/>
              </w:rPr>
              <w:t>Aluno-aprendiz sem remuneração:</w:t>
            </w:r>
            <w:r>
              <w:rPr>
                <w:rFonts w:cs="EB Garamond"/>
                <w:kern w:val="16"/>
                <w:sz w:val="19"/>
                <w14:ligatures w14:val="standardContextual"/>
              </w:rPr>
              <w:t xml:space="preserve"> O simples fato de ter estudado em escola técnica NÃO gera direito ao cômputo de TC. É indispensável a comprovação de atividade laboral remunerada (ainda que mediante bolsa, alimentação ou fardamento à conta do orçamento público).</w:t>
            </w:r>
          </w:p>
          <w:p w14:paraId="3345F989" w14:textId="77777777" w:rsidR="005A5FCC" w:rsidRDefault="00A21C81">
            <w:pPr>
              <w:spacing w:after="30" w:line="240" w:lineRule="auto"/>
              <w:ind w:left="227" w:hanging="142"/>
            </w:pPr>
            <w:r>
              <w:rPr>
                <w:rFonts w:cs="EB Garamond"/>
                <w:kern w:val="16"/>
                <w:sz w:val="19"/>
                <w14:ligatures w14:val="standardContextual"/>
              </w:rPr>
              <w:t xml:space="preserve">4. </w:t>
            </w:r>
            <w:r>
              <w:rPr>
                <w:rFonts w:cs="EB Garamond"/>
                <w:b/>
                <w:kern w:val="16"/>
                <w:sz w:val="19"/>
                <w14:ligatures w14:val="standardContextual"/>
              </w:rPr>
              <w:t>Serviço militar e carência:</w:t>
            </w:r>
            <w:r>
              <w:rPr>
                <w:rFonts w:cs="EB Garamond"/>
                <w:kern w:val="16"/>
                <w:sz w:val="19"/>
                <w14:ligatures w14:val="standardContextual"/>
              </w:rPr>
              <w:t xml:space="preserve"> O tempo de serviço militar conta como TC, mas NÃO gera carência. O segurado deve verificar se possui 180 meses de carência (contribuições efetivas) independentemente do tempo militar averbado.</w:t>
            </w:r>
          </w:p>
          <w:p w14:paraId="1E82D7CF" w14:textId="77777777" w:rsidR="005A5FCC" w:rsidRDefault="00A21C81">
            <w:pPr>
              <w:spacing w:after="30" w:line="240" w:lineRule="auto"/>
              <w:ind w:left="227" w:hanging="142"/>
            </w:pPr>
            <w:r>
              <w:rPr>
                <w:rFonts w:cs="EB Garamond"/>
                <w:kern w:val="16"/>
                <w:sz w:val="19"/>
                <w14:ligatures w14:val="standardContextual"/>
              </w:rPr>
              <w:t xml:space="preserve">5. </w:t>
            </w:r>
            <w:r>
              <w:rPr>
                <w:rFonts w:cs="EB Garamond"/>
                <w:b/>
                <w:kern w:val="16"/>
                <w:sz w:val="19"/>
                <w14:ligatures w14:val="standardContextual"/>
              </w:rPr>
              <w:t>Trabalho no exterior sem acordo:</w:t>
            </w:r>
            <w:r>
              <w:rPr>
                <w:rFonts w:cs="EB Garamond"/>
                <w:kern w:val="16"/>
                <w:sz w:val="19"/>
                <w14:ligatures w14:val="standardContextual"/>
              </w:rPr>
              <w:t xml:space="preserve"> O tempo de trabalho em país sem acordo previdenciário com o Brasil NÃO pode ser totalizado. O segurado que emigrou para país sem acordo e retornou ao Brasil conta apenas o tempo de contribuição efetivamente exercido em território brasileiro ou em país conveniado.</w:t>
            </w:r>
          </w:p>
        </w:tc>
      </w:tr>
    </w:tbl>
    <w:p w14:paraId="71CAD79B" w14:textId="77777777" w:rsidR="005A5FCC" w:rsidRDefault="005A5FCC">
      <w:pPr>
        <w:spacing w:after="80" w:line="240" w:lineRule="auto"/>
      </w:pPr>
    </w:p>
    <w:p w14:paraId="0DBE4FE5"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11.18 Síntese e tabelas de consulta rápida</w:t>
      </w:r>
    </w:p>
    <w:p w14:paraId="590BBDF6" w14:textId="77777777" w:rsidR="005A5FCC" w:rsidRDefault="00A21C81">
      <w:pPr>
        <w:spacing w:before="260" w:after="80" w:line="240" w:lineRule="auto"/>
        <w:jc w:val="left"/>
      </w:pPr>
      <w:r>
        <w:rPr>
          <w:rFonts w:cs="EB Garamond"/>
          <w:b/>
          <w:color w:val="3A3128"/>
          <w:kern w:val="16"/>
          <w:sz w:val="25"/>
          <w14:ligatures w14:val="standardContextual"/>
        </w:rPr>
        <w:t>11.18.1 Tabela-resumo das regras de transição por TC</w:t>
      </w:r>
    </w:p>
    <w:tbl>
      <w:tblPr>
        <w:tblW w:w="5000" w:type="pct"/>
        <w:jc w:val="center"/>
        <w:tblLook w:val="04A0" w:firstRow="1" w:lastRow="0" w:firstColumn="1" w:lastColumn="0" w:noHBand="0" w:noVBand="1"/>
      </w:tblPr>
      <w:tblGrid>
        <w:gridCol w:w="751"/>
        <w:gridCol w:w="942"/>
        <w:gridCol w:w="942"/>
        <w:gridCol w:w="672"/>
        <w:gridCol w:w="1133"/>
        <w:gridCol w:w="703"/>
        <w:gridCol w:w="1197"/>
      </w:tblGrid>
      <w:tr w:rsidR="005A5FCC" w14:paraId="5F52D5EE" w14:textId="77777777">
        <w:trPr>
          <w:tblHeader/>
          <w:jc w:val="center"/>
        </w:trPr>
        <w:tc>
          <w:tcPr>
            <w:tcW w:w="907" w:type="dxa"/>
            <w:tcBorders>
              <w:top w:val="single" w:sz="4" w:space="0" w:color="D2C9B8"/>
              <w:left w:val="single" w:sz="4" w:space="0" w:color="D2C9B8"/>
              <w:bottom w:val="single" w:sz="4" w:space="0" w:color="D2C9B8"/>
              <w:right w:val="single" w:sz="4" w:space="0" w:color="D2C9B8"/>
            </w:tcBorders>
            <w:shd w:val="clear" w:color="auto" w:fill="F0EDE6"/>
          </w:tcPr>
          <w:p w14:paraId="328361EE" w14:textId="77777777" w:rsidR="005A5FCC" w:rsidRDefault="00A21C81">
            <w:pPr>
              <w:spacing w:before="40" w:after="40" w:line="240" w:lineRule="auto"/>
              <w:jc w:val="center"/>
            </w:pPr>
            <w:r>
              <w:rPr>
                <w:rFonts w:cs="EB Garamond"/>
                <w:b/>
                <w:color w:val="2F2923"/>
                <w:kern w:val="16"/>
                <w:sz w:val="18"/>
                <w14:ligatures w14:val="standardContextual"/>
              </w:rPr>
              <w:t>Regra</w:t>
            </w:r>
          </w:p>
        </w:tc>
        <w:tc>
          <w:tcPr>
            <w:tcW w:w="907" w:type="dxa"/>
            <w:tcBorders>
              <w:top w:val="single" w:sz="4" w:space="0" w:color="D2C9B8"/>
              <w:left w:val="single" w:sz="4" w:space="0" w:color="D2C9B8"/>
              <w:bottom w:val="single" w:sz="4" w:space="0" w:color="D2C9B8"/>
              <w:right w:val="single" w:sz="4" w:space="0" w:color="D2C9B8"/>
            </w:tcBorders>
            <w:shd w:val="clear" w:color="auto" w:fill="F0EDE6"/>
          </w:tcPr>
          <w:p w14:paraId="7550BFF3" w14:textId="77777777" w:rsidR="005A5FCC" w:rsidRDefault="00A21C81">
            <w:pPr>
              <w:spacing w:before="40" w:after="40" w:line="240" w:lineRule="auto"/>
              <w:jc w:val="center"/>
            </w:pPr>
            <w:r>
              <w:rPr>
                <w:rFonts w:cs="EB Garamond"/>
                <w:b/>
                <w:color w:val="2F2923"/>
                <w:kern w:val="16"/>
                <w:sz w:val="18"/>
                <w14:ligatures w14:val="standardContextual"/>
              </w:rPr>
              <w:t>TC mínimo</w:t>
            </w:r>
          </w:p>
        </w:tc>
        <w:tc>
          <w:tcPr>
            <w:tcW w:w="907" w:type="dxa"/>
            <w:tcBorders>
              <w:top w:val="single" w:sz="4" w:space="0" w:color="D2C9B8"/>
              <w:left w:val="single" w:sz="4" w:space="0" w:color="D2C9B8"/>
              <w:bottom w:val="single" w:sz="4" w:space="0" w:color="D2C9B8"/>
              <w:right w:val="single" w:sz="4" w:space="0" w:color="D2C9B8"/>
            </w:tcBorders>
            <w:shd w:val="clear" w:color="auto" w:fill="F0EDE6"/>
          </w:tcPr>
          <w:p w14:paraId="35E0BAF9" w14:textId="77777777" w:rsidR="005A5FCC" w:rsidRDefault="00A21C81">
            <w:pPr>
              <w:spacing w:before="40" w:after="40" w:line="240" w:lineRule="auto"/>
              <w:jc w:val="center"/>
            </w:pPr>
            <w:r>
              <w:rPr>
                <w:rFonts w:cs="EB Garamond"/>
                <w:b/>
                <w:color w:val="2F2923"/>
                <w:kern w:val="16"/>
                <w:sz w:val="18"/>
                <w14:ligatures w14:val="standardContextual"/>
              </w:rPr>
              <w:t>Idade</w:t>
            </w:r>
          </w:p>
        </w:tc>
        <w:tc>
          <w:tcPr>
            <w:tcW w:w="907" w:type="dxa"/>
            <w:tcBorders>
              <w:top w:val="single" w:sz="4" w:space="0" w:color="D2C9B8"/>
              <w:left w:val="single" w:sz="4" w:space="0" w:color="D2C9B8"/>
              <w:bottom w:val="single" w:sz="4" w:space="0" w:color="D2C9B8"/>
              <w:right w:val="single" w:sz="4" w:space="0" w:color="D2C9B8"/>
            </w:tcBorders>
            <w:shd w:val="clear" w:color="auto" w:fill="F0EDE6"/>
          </w:tcPr>
          <w:p w14:paraId="0971B94D" w14:textId="77777777" w:rsidR="005A5FCC" w:rsidRDefault="00A21C81">
            <w:pPr>
              <w:spacing w:before="40" w:after="40" w:line="240" w:lineRule="auto"/>
              <w:jc w:val="center"/>
            </w:pPr>
            <w:r>
              <w:rPr>
                <w:rFonts w:cs="EB Garamond"/>
                <w:b/>
                <w:color w:val="2F2923"/>
                <w:kern w:val="16"/>
                <w:sz w:val="18"/>
                <w14:ligatures w14:val="standardContextual"/>
              </w:rPr>
              <w:t>Cálculo da média</w:t>
            </w:r>
          </w:p>
        </w:tc>
        <w:tc>
          <w:tcPr>
            <w:tcW w:w="907" w:type="dxa"/>
            <w:tcBorders>
              <w:top w:val="single" w:sz="4" w:space="0" w:color="D2C9B8"/>
              <w:left w:val="single" w:sz="4" w:space="0" w:color="D2C9B8"/>
              <w:bottom w:val="single" w:sz="4" w:space="0" w:color="D2C9B8"/>
              <w:right w:val="single" w:sz="4" w:space="0" w:color="D2C9B8"/>
            </w:tcBorders>
            <w:shd w:val="clear" w:color="auto" w:fill="F0EDE6"/>
          </w:tcPr>
          <w:p w14:paraId="6ADE8674" w14:textId="77777777" w:rsidR="005A5FCC" w:rsidRDefault="00A21C81">
            <w:pPr>
              <w:spacing w:before="40" w:after="40" w:line="240" w:lineRule="auto"/>
              <w:jc w:val="center"/>
            </w:pPr>
            <w:r>
              <w:rPr>
                <w:rFonts w:cs="EB Garamond"/>
                <w:b/>
                <w:color w:val="2F2923"/>
                <w:kern w:val="16"/>
                <w:sz w:val="18"/>
                <w14:ligatures w14:val="standardContextual"/>
              </w:rPr>
              <w:t>Coeficiente</w:t>
            </w:r>
          </w:p>
        </w:tc>
        <w:tc>
          <w:tcPr>
            <w:tcW w:w="907" w:type="dxa"/>
            <w:tcBorders>
              <w:top w:val="single" w:sz="4" w:space="0" w:color="D2C9B8"/>
              <w:left w:val="single" w:sz="4" w:space="0" w:color="D2C9B8"/>
              <w:bottom w:val="single" w:sz="4" w:space="0" w:color="D2C9B8"/>
              <w:right w:val="single" w:sz="4" w:space="0" w:color="D2C9B8"/>
            </w:tcBorders>
            <w:shd w:val="clear" w:color="auto" w:fill="F0EDE6"/>
          </w:tcPr>
          <w:p w14:paraId="75D8F4EB" w14:textId="77777777" w:rsidR="005A5FCC" w:rsidRDefault="00A21C81">
            <w:pPr>
              <w:spacing w:before="40" w:after="40" w:line="240" w:lineRule="auto"/>
              <w:jc w:val="center"/>
            </w:pPr>
            <w:r>
              <w:rPr>
                <w:rFonts w:cs="EB Garamond"/>
                <w:b/>
                <w:color w:val="2F2923"/>
                <w:kern w:val="16"/>
                <w:sz w:val="18"/>
                <w14:ligatures w14:val="standardContextual"/>
              </w:rPr>
              <w:t>Fator</w:t>
            </w:r>
          </w:p>
        </w:tc>
        <w:tc>
          <w:tcPr>
            <w:tcW w:w="907" w:type="dxa"/>
            <w:tcBorders>
              <w:top w:val="single" w:sz="4" w:space="0" w:color="D2C9B8"/>
              <w:left w:val="single" w:sz="4" w:space="0" w:color="D2C9B8"/>
              <w:bottom w:val="single" w:sz="4" w:space="0" w:color="D2C9B8"/>
              <w:right w:val="single" w:sz="4" w:space="0" w:color="D2C9B8"/>
            </w:tcBorders>
            <w:shd w:val="clear" w:color="auto" w:fill="F0EDE6"/>
          </w:tcPr>
          <w:p w14:paraId="1F38C10D" w14:textId="77777777" w:rsidR="005A5FCC" w:rsidRDefault="00A21C81">
            <w:pPr>
              <w:spacing w:before="40" w:after="40" w:line="240" w:lineRule="auto"/>
              <w:jc w:val="center"/>
            </w:pPr>
            <w:r>
              <w:rPr>
                <w:rFonts w:cs="EB Garamond"/>
                <w:b/>
                <w:color w:val="2F2923"/>
                <w:kern w:val="16"/>
                <w:sz w:val="18"/>
                <w14:ligatures w14:val="standardContextual"/>
              </w:rPr>
              <w:t>Observação</w:t>
            </w:r>
          </w:p>
        </w:tc>
      </w:tr>
      <w:tr w:rsidR="005A5FCC" w14:paraId="0C65E047" w14:textId="77777777">
        <w:trPr>
          <w:jc w:val="center"/>
        </w:trPr>
        <w:tc>
          <w:tcPr>
            <w:tcW w:w="907" w:type="dxa"/>
            <w:tcBorders>
              <w:top w:val="single" w:sz="4" w:space="0" w:color="D2C9B8"/>
              <w:left w:val="single" w:sz="4" w:space="0" w:color="D2C9B8"/>
              <w:bottom w:val="single" w:sz="4" w:space="0" w:color="D2C9B8"/>
              <w:right w:val="single" w:sz="4" w:space="0" w:color="D2C9B8"/>
            </w:tcBorders>
          </w:tcPr>
          <w:p w14:paraId="07E5ECDF" w14:textId="77777777" w:rsidR="005A5FCC" w:rsidRDefault="00A21C81">
            <w:pPr>
              <w:spacing w:before="20" w:after="20" w:line="240" w:lineRule="auto"/>
              <w:jc w:val="left"/>
            </w:pPr>
            <w:r>
              <w:rPr>
                <w:rFonts w:cs="EB Garamond"/>
                <w:kern w:val="16"/>
                <w:sz w:val="18"/>
                <w14:ligatures w14:val="standardContextual"/>
              </w:rPr>
              <w:t>Art. 15 (pontos)</w:t>
            </w:r>
          </w:p>
        </w:tc>
        <w:tc>
          <w:tcPr>
            <w:tcW w:w="907" w:type="dxa"/>
            <w:tcBorders>
              <w:top w:val="single" w:sz="4" w:space="0" w:color="D2C9B8"/>
              <w:left w:val="single" w:sz="4" w:space="0" w:color="D2C9B8"/>
              <w:bottom w:val="single" w:sz="4" w:space="0" w:color="D2C9B8"/>
              <w:right w:val="single" w:sz="4" w:space="0" w:color="D2C9B8"/>
            </w:tcBorders>
          </w:tcPr>
          <w:p w14:paraId="1ABCDF96" w14:textId="77777777" w:rsidR="005A5FCC" w:rsidRDefault="00A21C81">
            <w:pPr>
              <w:spacing w:before="20" w:after="20" w:line="240" w:lineRule="auto"/>
              <w:jc w:val="left"/>
            </w:pPr>
            <w:r>
              <w:rPr>
                <w:rFonts w:cs="EB Garamond"/>
                <w:kern w:val="16"/>
                <w:sz w:val="18"/>
                <w14:ligatures w14:val="standardContextual"/>
              </w:rPr>
              <w:t>35H/30M</w:t>
            </w:r>
          </w:p>
        </w:tc>
        <w:tc>
          <w:tcPr>
            <w:tcW w:w="907" w:type="dxa"/>
            <w:tcBorders>
              <w:top w:val="single" w:sz="4" w:space="0" w:color="D2C9B8"/>
              <w:left w:val="single" w:sz="4" w:space="0" w:color="D2C9B8"/>
              <w:bottom w:val="single" w:sz="4" w:space="0" w:color="D2C9B8"/>
              <w:right w:val="single" w:sz="4" w:space="0" w:color="D2C9B8"/>
            </w:tcBorders>
          </w:tcPr>
          <w:p w14:paraId="5ADA3649" w14:textId="77777777" w:rsidR="005A5FCC" w:rsidRDefault="00A21C81">
            <w:pPr>
              <w:spacing w:before="20" w:after="20" w:line="240" w:lineRule="auto"/>
              <w:jc w:val="left"/>
            </w:pPr>
            <w:r>
              <w:rPr>
                <w:rFonts w:cs="EB Garamond"/>
                <w:kern w:val="16"/>
                <w:sz w:val="18"/>
                <w14:ligatures w14:val="standardContextual"/>
              </w:rPr>
              <w:t>Não (pontos)</w:t>
            </w:r>
          </w:p>
        </w:tc>
        <w:tc>
          <w:tcPr>
            <w:tcW w:w="907" w:type="dxa"/>
            <w:tcBorders>
              <w:top w:val="single" w:sz="4" w:space="0" w:color="D2C9B8"/>
              <w:left w:val="single" w:sz="4" w:space="0" w:color="D2C9B8"/>
              <w:bottom w:val="single" w:sz="4" w:space="0" w:color="D2C9B8"/>
              <w:right w:val="single" w:sz="4" w:space="0" w:color="D2C9B8"/>
            </w:tcBorders>
          </w:tcPr>
          <w:p w14:paraId="00618296" w14:textId="77777777" w:rsidR="005A5FCC" w:rsidRDefault="00A21C81">
            <w:pPr>
              <w:spacing w:before="20" w:after="20" w:line="240" w:lineRule="auto"/>
              <w:jc w:val="left"/>
            </w:pPr>
            <w:r>
              <w:rPr>
                <w:rFonts w:cs="EB Garamond"/>
                <w:kern w:val="16"/>
                <w:sz w:val="18"/>
                <w14:ligatures w14:val="standardContextual"/>
              </w:rPr>
              <w:t>100% SC</w:t>
            </w:r>
          </w:p>
        </w:tc>
        <w:tc>
          <w:tcPr>
            <w:tcW w:w="907" w:type="dxa"/>
            <w:tcBorders>
              <w:top w:val="single" w:sz="4" w:space="0" w:color="D2C9B8"/>
              <w:left w:val="single" w:sz="4" w:space="0" w:color="D2C9B8"/>
              <w:bottom w:val="single" w:sz="4" w:space="0" w:color="D2C9B8"/>
              <w:right w:val="single" w:sz="4" w:space="0" w:color="D2C9B8"/>
            </w:tcBorders>
          </w:tcPr>
          <w:p w14:paraId="37DB75D5" w14:textId="77777777" w:rsidR="005A5FCC" w:rsidRDefault="00A21C81">
            <w:pPr>
              <w:spacing w:before="20" w:after="20" w:line="240" w:lineRule="auto"/>
              <w:jc w:val="left"/>
            </w:pPr>
            <w:r>
              <w:rPr>
                <w:rFonts w:cs="EB Garamond"/>
                <w:kern w:val="16"/>
                <w:sz w:val="18"/>
                <w14:ligatures w14:val="standardContextual"/>
              </w:rPr>
              <w:t>60%+2%/ano</w:t>
            </w:r>
          </w:p>
        </w:tc>
        <w:tc>
          <w:tcPr>
            <w:tcW w:w="907" w:type="dxa"/>
            <w:tcBorders>
              <w:top w:val="single" w:sz="4" w:space="0" w:color="D2C9B8"/>
              <w:left w:val="single" w:sz="4" w:space="0" w:color="D2C9B8"/>
              <w:bottom w:val="single" w:sz="4" w:space="0" w:color="D2C9B8"/>
              <w:right w:val="single" w:sz="4" w:space="0" w:color="D2C9B8"/>
            </w:tcBorders>
          </w:tcPr>
          <w:p w14:paraId="79442ED7" w14:textId="77777777" w:rsidR="005A5FCC" w:rsidRDefault="00A21C81">
            <w:pPr>
              <w:spacing w:before="20" w:after="20" w:line="240" w:lineRule="auto"/>
              <w:jc w:val="left"/>
            </w:pPr>
            <w:r>
              <w:rPr>
                <w:rFonts w:cs="EB Garamond"/>
                <w:kern w:val="16"/>
                <w:sz w:val="18"/>
                <w14:ligatures w14:val="standardContextual"/>
              </w:rPr>
              <w:t>Não</w:t>
            </w:r>
          </w:p>
        </w:tc>
        <w:tc>
          <w:tcPr>
            <w:tcW w:w="907" w:type="dxa"/>
            <w:tcBorders>
              <w:top w:val="single" w:sz="4" w:space="0" w:color="D2C9B8"/>
              <w:left w:val="single" w:sz="4" w:space="0" w:color="D2C9B8"/>
              <w:bottom w:val="single" w:sz="4" w:space="0" w:color="D2C9B8"/>
              <w:right w:val="single" w:sz="4" w:space="0" w:color="D2C9B8"/>
            </w:tcBorders>
          </w:tcPr>
          <w:p w14:paraId="47C5DAC0" w14:textId="77777777" w:rsidR="005A5FCC" w:rsidRDefault="00A21C81">
            <w:pPr>
              <w:spacing w:before="20" w:after="20" w:line="240" w:lineRule="auto"/>
              <w:jc w:val="left"/>
            </w:pPr>
            <w:r>
              <w:rPr>
                <w:rFonts w:cs="EB Garamond"/>
                <w:kern w:val="16"/>
                <w:sz w:val="18"/>
                <w14:ligatures w14:val="standardContextual"/>
              </w:rPr>
              <w:t>Pontuação progressiva (103H/93M em 2026)</w:t>
            </w:r>
          </w:p>
        </w:tc>
      </w:tr>
      <w:tr w:rsidR="005A5FCC" w14:paraId="621CA6DB" w14:textId="77777777">
        <w:trPr>
          <w:jc w:val="center"/>
        </w:trPr>
        <w:tc>
          <w:tcPr>
            <w:tcW w:w="907" w:type="dxa"/>
            <w:tcBorders>
              <w:top w:val="single" w:sz="4" w:space="0" w:color="D2C9B8"/>
              <w:left w:val="single" w:sz="4" w:space="0" w:color="D2C9B8"/>
              <w:bottom w:val="single" w:sz="4" w:space="0" w:color="D2C9B8"/>
              <w:right w:val="single" w:sz="4" w:space="0" w:color="D2C9B8"/>
            </w:tcBorders>
          </w:tcPr>
          <w:p w14:paraId="3B59C62E" w14:textId="77777777" w:rsidR="005A5FCC" w:rsidRDefault="00A21C81">
            <w:pPr>
              <w:spacing w:before="20" w:after="20" w:line="240" w:lineRule="auto"/>
              <w:jc w:val="left"/>
            </w:pPr>
            <w:r>
              <w:rPr>
                <w:rFonts w:cs="EB Garamond"/>
                <w:kern w:val="16"/>
                <w:sz w:val="18"/>
                <w14:ligatures w14:val="standardContextual"/>
              </w:rPr>
              <w:lastRenderedPageBreak/>
              <w:t>Art. 16 (idade)</w:t>
            </w:r>
          </w:p>
        </w:tc>
        <w:tc>
          <w:tcPr>
            <w:tcW w:w="907" w:type="dxa"/>
            <w:tcBorders>
              <w:top w:val="single" w:sz="4" w:space="0" w:color="D2C9B8"/>
              <w:left w:val="single" w:sz="4" w:space="0" w:color="D2C9B8"/>
              <w:bottom w:val="single" w:sz="4" w:space="0" w:color="D2C9B8"/>
              <w:right w:val="single" w:sz="4" w:space="0" w:color="D2C9B8"/>
            </w:tcBorders>
          </w:tcPr>
          <w:p w14:paraId="7E14AA00" w14:textId="77777777" w:rsidR="005A5FCC" w:rsidRDefault="00A21C81">
            <w:pPr>
              <w:spacing w:before="20" w:after="20" w:line="240" w:lineRule="auto"/>
              <w:jc w:val="left"/>
            </w:pPr>
            <w:r>
              <w:rPr>
                <w:rFonts w:cs="EB Garamond"/>
                <w:kern w:val="16"/>
                <w:sz w:val="18"/>
                <w14:ligatures w14:val="standardContextual"/>
              </w:rPr>
              <w:t>35H/30M</w:t>
            </w:r>
          </w:p>
        </w:tc>
        <w:tc>
          <w:tcPr>
            <w:tcW w:w="907" w:type="dxa"/>
            <w:tcBorders>
              <w:top w:val="single" w:sz="4" w:space="0" w:color="D2C9B8"/>
              <w:left w:val="single" w:sz="4" w:space="0" w:color="D2C9B8"/>
              <w:bottom w:val="single" w:sz="4" w:space="0" w:color="D2C9B8"/>
              <w:right w:val="single" w:sz="4" w:space="0" w:color="D2C9B8"/>
            </w:tcBorders>
          </w:tcPr>
          <w:p w14:paraId="79CAB34A" w14:textId="77777777" w:rsidR="005A5FCC" w:rsidRDefault="00A21C81">
            <w:pPr>
              <w:spacing w:before="20" w:after="20" w:line="240" w:lineRule="auto"/>
              <w:jc w:val="left"/>
            </w:pPr>
            <w:r>
              <w:rPr>
                <w:rFonts w:cs="EB Garamond"/>
                <w:kern w:val="16"/>
                <w:sz w:val="18"/>
                <w14:ligatures w14:val="standardContextual"/>
              </w:rPr>
              <w:t>Progressiva</w:t>
            </w:r>
          </w:p>
        </w:tc>
        <w:tc>
          <w:tcPr>
            <w:tcW w:w="907" w:type="dxa"/>
            <w:tcBorders>
              <w:top w:val="single" w:sz="4" w:space="0" w:color="D2C9B8"/>
              <w:left w:val="single" w:sz="4" w:space="0" w:color="D2C9B8"/>
              <w:bottom w:val="single" w:sz="4" w:space="0" w:color="D2C9B8"/>
              <w:right w:val="single" w:sz="4" w:space="0" w:color="D2C9B8"/>
            </w:tcBorders>
          </w:tcPr>
          <w:p w14:paraId="704D104C" w14:textId="77777777" w:rsidR="005A5FCC" w:rsidRDefault="00A21C81">
            <w:pPr>
              <w:spacing w:before="20" w:after="20" w:line="240" w:lineRule="auto"/>
              <w:jc w:val="left"/>
            </w:pPr>
            <w:r>
              <w:rPr>
                <w:rFonts w:cs="EB Garamond"/>
                <w:kern w:val="16"/>
                <w:sz w:val="18"/>
                <w14:ligatures w14:val="standardContextual"/>
              </w:rPr>
              <w:t>100% SC</w:t>
            </w:r>
          </w:p>
        </w:tc>
        <w:tc>
          <w:tcPr>
            <w:tcW w:w="907" w:type="dxa"/>
            <w:tcBorders>
              <w:top w:val="single" w:sz="4" w:space="0" w:color="D2C9B8"/>
              <w:left w:val="single" w:sz="4" w:space="0" w:color="D2C9B8"/>
              <w:bottom w:val="single" w:sz="4" w:space="0" w:color="D2C9B8"/>
              <w:right w:val="single" w:sz="4" w:space="0" w:color="D2C9B8"/>
            </w:tcBorders>
          </w:tcPr>
          <w:p w14:paraId="57771B89" w14:textId="77777777" w:rsidR="005A5FCC" w:rsidRDefault="00A21C81">
            <w:pPr>
              <w:spacing w:before="20" w:after="20" w:line="240" w:lineRule="auto"/>
              <w:jc w:val="left"/>
            </w:pPr>
            <w:r>
              <w:rPr>
                <w:rFonts w:cs="EB Garamond"/>
                <w:kern w:val="16"/>
                <w:sz w:val="18"/>
                <w14:ligatures w14:val="standardContextual"/>
              </w:rPr>
              <w:t>60%+2%/ano</w:t>
            </w:r>
          </w:p>
        </w:tc>
        <w:tc>
          <w:tcPr>
            <w:tcW w:w="907" w:type="dxa"/>
            <w:tcBorders>
              <w:top w:val="single" w:sz="4" w:space="0" w:color="D2C9B8"/>
              <w:left w:val="single" w:sz="4" w:space="0" w:color="D2C9B8"/>
              <w:bottom w:val="single" w:sz="4" w:space="0" w:color="D2C9B8"/>
              <w:right w:val="single" w:sz="4" w:space="0" w:color="D2C9B8"/>
            </w:tcBorders>
          </w:tcPr>
          <w:p w14:paraId="0F682E37" w14:textId="77777777" w:rsidR="005A5FCC" w:rsidRDefault="00A21C81">
            <w:pPr>
              <w:spacing w:before="20" w:after="20" w:line="240" w:lineRule="auto"/>
              <w:jc w:val="left"/>
            </w:pPr>
            <w:r>
              <w:rPr>
                <w:rFonts w:cs="EB Garamond"/>
                <w:kern w:val="16"/>
                <w:sz w:val="18"/>
                <w14:ligatures w14:val="standardContextual"/>
              </w:rPr>
              <w:t>Não</w:t>
            </w:r>
          </w:p>
        </w:tc>
        <w:tc>
          <w:tcPr>
            <w:tcW w:w="907" w:type="dxa"/>
            <w:tcBorders>
              <w:top w:val="single" w:sz="4" w:space="0" w:color="D2C9B8"/>
              <w:left w:val="single" w:sz="4" w:space="0" w:color="D2C9B8"/>
              <w:bottom w:val="single" w:sz="4" w:space="0" w:color="D2C9B8"/>
              <w:right w:val="single" w:sz="4" w:space="0" w:color="D2C9B8"/>
            </w:tcBorders>
          </w:tcPr>
          <w:p w14:paraId="2AC1A67C" w14:textId="77777777" w:rsidR="005A5FCC" w:rsidRDefault="00A21C81">
            <w:pPr>
              <w:spacing w:before="20" w:after="20" w:line="240" w:lineRule="auto"/>
              <w:jc w:val="left"/>
            </w:pPr>
            <w:r>
              <w:rPr>
                <w:rFonts w:cs="EB Garamond"/>
                <w:kern w:val="16"/>
                <w:sz w:val="18"/>
                <w14:ligatures w14:val="standardContextual"/>
              </w:rPr>
              <w:t>Idade 64,5H/59,5M em 2026</w:t>
            </w:r>
          </w:p>
        </w:tc>
      </w:tr>
      <w:tr w:rsidR="005A5FCC" w14:paraId="0ACC2DD9" w14:textId="77777777">
        <w:trPr>
          <w:jc w:val="center"/>
        </w:trPr>
        <w:tc>
          <w:tcPr>
            <w:tcW w:w="907" w:type="dxa"/>
            <w:tcBorders>
              <w:top w:val="single" w:sz="4" w:space="0" w:color="D2C9B8"/>
              <w:left w:val="single" w:sz="4" w:space="0" w:color="D2C9B8"/>
              <w:bottom w:val="single" w:sz="4" w:space="0" w:color="D2C9B8"/>
              <w:right w:val="single" w:sz="4" w:space="0" w:color="D2C9B8"/>
            </w:tcBorders>
          </w:tcPr>
          <w:p w14:paraId="003A082A" w14:textId="77777777" w:rsidR="005A5FCC" w:rsidRDefault="00A21C81">
            <w:pPr>
              <w:spacing w:before="20" w:after="20" w:line="240" w:lineRule="auto"/>
              <w:jc w:val="left"/>
            </w:pPr>
            <w:r>
              <w:rPr>
                <w:rFonts w:cs="EB Garamond"/>
                <w:kern w:val="16"/>
                <w:sz w:val="18"/>
                <w14:ligatures w14:val="standardContextual"/>
              </w:rPr>
              <w:t>Art. 17 (pedágio 50%)</w:t>
            </w:r>
          </w:p>
        </w:tc>
        <w:tc>
          <w:tcPr>
            <w:tcW w:w="907" w:type="dxa"/>
            <w:tcBorders>
              <w:top w:val="single" w:sz="4" w:space="0" w:color="D2C9B8"/>
              <w:left w:val="single" w:sz="4" w:space="0" w:color="D2C9B8"/>
              <w:bottom w:val="single" w:sz="4" w:space="0" w:color="D2C9B8"/>
              <w:right w:val="single" w:sz="4" w:space="0" w:color="D2C9B8"/>
            </w:tcBorders>
          </w:tcPr>
          <w:p w14:paraId="4D57D640" w14:textId="77777777" w:rsidR="005A5FCC" w:rsidRDefault="00A21C81">
            <w:pPr>
              <w:spacing w:before="20" w:after="20" w:line="240" w:lineRule="auto"/>
              <w:jc w:val="left"/>
            </w:pPr>
            <w:r>
              <w:rPr>
                <w:rFonts w:cs="EB Garamond"/>
                <w:kern w:val="16"/>
                <w:sz w:val="18"/>
                <w14:ligatures w14:val="standardContextual"/>
              </w:rPr>
              <w:t>35H/30M</w:t>
            </w:r>
          </w:p>
        </w:tc>
        <w:tc>
          <w:tcPr>
            <w:tcW w:w="907" w:type="dxa"/>
            <w:tcBorders>
              <w:top w:val="single" w:sz="4" w:space="0" w:color="D2C9B8"/>
              <w:left w:val="single" w:sz="4" w:space="0" w:color="D2C9B8"/>
              <w:bottom w:val="single" w:sz="4" w:space="0" w:color="D2C9B8"/>
              <w:right w:val="single" w:sz="4" w:space="0" w:color="D2C9B8"/>
            </w:tcBorders>
          </w:tcPr>
          <w:p w14:paraId="3DC3286C" w14:textId="77777777" w:rsidR="005A5FCC" w:rsidRDefault="00A21C81">
            <w:pPr>
              <w:spacing w:before="20" w:after="20" w:line="240" w:lineRule="auto"/>
              <w:jc w:val="left"/>
            </w:pPr>
            <w:r>
              <w:rPr>
                <w:rFonts w:cs="EB Garamond"/>
                <w:kern w:val="16"/>
                <w:sz w:val="18"/>
                <w14:ligatures w14:val="standardContextual"/>
              </w:rPr>
              <w:t>Não</w:t>
            </w:r>
          </w:p>
        </w:tc>
        <w:tc>
          <w:tcPr>
            <w:tcW w:w="907" w:type="dxa"/>
            <w:tcBorders>
              <w:top w:val="single" w:sz="4" w:space="0" w:color="D2C9B8"/>
              <w:left w:val="single" w:sz="4" w:space="0" w:color="D2C9B8"/>
              <w:bottom w:val="single" w:sz="4" w:space="0" w:color="D2C9B8"/>
              <w:right w:val="single" w:sz="4" w:space="0" w:color="D2C9B8"/>
            </w:tcBorders>
          </w:tcPr>
          <w:p w14:paraId="02F290ED" w14:textId="77777777" w:rsidR="005A5FCC" w:rsidRDefault="00A21C81">
            <w:pPr>
              <w:spacing w:before="20" w:after="20" w:line="240" w:lineRule="auto"/>
              <w:jc w:val="left"/>
            </w:pPr>
            <w:r>
              <w:rPr>
                <w:rFonts w:cs="EB Garamond"/>
                <w:kern w:val="16"/>
                <w:sz w:val="18"/>
                <w14:ligatures w14:val="standardContextual"/>
              </w:rPr>
              <w:t>80% maiores SC</w:t>
            </w:r>
          </w:p>
        </w:tc>
        <w:tc>
          <w:tcPr>
            <w:tcW w:w="907" w:type="dxa"/>
            <w:tcBorders>
              <w:top w:val="single" w:sz="4" w:space="0" w:color="D2C9B8"/>
              <w:left w:val="single" w:sz="4" w:space="0" w:color="D2C9B8"/>
              <w:bottom w:val="single" w:sz="4" w:space="0" w:color="D2C9B8"/>
              <w:right w:val="single" w:sz="4" w:space="0" w:color="D2C9B8"/>
            </w:tcBorders>
          </w:tcPr>
          <w:p w14:paraId="2EAE97D6" w14:textId="77777777" w:rsidR="005A5FCC" w:rsidRDefault="00A21C81">
            <w:pPr>
              <w:spacing w:before="20" w:after="20" w:line="240" w:lineRule="auto"/>
              <w:jc w:val="left"/>
            </w:pPr>
            <w:r>
              <w:rPr>
                <w:rFonts w:cs="EB Garamond"/>
                <w:kern w:val="16"/>
                <w:sz w:val="18"/>
                <w14:ligatures w14:val="standardContextual"/>
              </w:rPr>
              <w:t>100% SB</w:t>
            </w:r>
          </w:p>
        </w:tc>
        <w:tc>
          <w:tcPr>
            <w:tcW w:w="907" w:type="dxa"/>
            <w:tcBorders>
              <w:top w:val="single" w:sz="4" w:space="0" w:color="D2C9B8"/>
              <w:left w:val="single" w:sz="4" w:space="0" w:color="D2C9B8"/>
              <w:bottom w:val="single" w:sz="4" w:space="0" w:color="D2C9B8"/>
              <w:right w:val="single" w:sz="4" w:space="0" w:color="D2C9B8"/>
            </w:tcBorders>
          </w:tcPr>
          <w:p w14:paraId="7B03A802" w14:textId="77777777" w:rsidR="005A5FCC" w:rsidRDefault="00A21C81">
            <w:pPr>
              <w:spacing w:before="20" w:after="20" w:line="240" w:lineRule="auto"/>
              <w:jc w:val="left"/>
            </w:pPr>
            <w:r>
              <w:rPr>
                <w:rFonts w:cs="EB Garamond"/>
                <w:b/>
                <w:kern w:val="16"/>
                <w:sz w:val="18"/>
                <w14:ligatures w14:val="standardContextual"/>
              </w:rPr>
              <w:t>Obrigatório</w:t>
            </w:r>
          </w:p>
        </w:tc>
        <w:tc>
          <w:tcPr>
            <w:tcW w:w="907" w:type="dxa"/>
            <w:tcBorders>
              <w:top w:val="single" w:sz="4" w:space="0" w:color="D2C9B8"/>
              <w:left w:val="single" w:sz="4" w:space="0" w:color="D2C9B8"/>
              <w:bottom w:val="single" w:sz="4" w:space="0" w:color="D2C9B8"/>
              <w:right w:val="single" w:sz="4" w:space="0" w:color="D2C9B8"/>
            </w:tcBorders>
          </w:tcPr>
          <w:p w14:paraId="56515F91" w14:textId="77777777" w:rsidR="005A5FCC" w:rsidRDefault="00A21C81">
            <w:pPr>
              <w:spacing w:before="20" w:after="20" w:line="240" w:lineRule="auto"/>
              <w:jc w:val="left"/>
            </w:pPr>
            <w:r>
              <w:rPr>
                <w:rFonts w:cs="EB Garamond"/>
                <w:kern w:val="16"/>
                <w:sz w:val="18"/>
                <w14:ligatures w14:val="standardContextual"/>
              </w:rPr>
              <w:t>Só quem faltava &lt; 2 anos em 2019</w:t>
            </w:r>
          </w:p>
        </w:tc>
      </w:tr>
      <w:tr w:rsidR="005A5FCC" w14:paraId="7E861CED" w14:textId="77777777">
        <w:trPr>
          <w:jc w:val="center"/>
        </w:trPr>
        <w:tc>
          <w:tcPr>
            <w:tcW w:w="907" w:type="dxa"/>
            <w:tcBorders>
              <w:top w:val="single" w:sz="4" w:space="0" w:color="D2C9B8"/>
              <w:left w:val="single" w:sz="4" w:space="0" w:color="D2C9B8"/>
              <w:bottom w:val="single" w:sz="4" w:space="0" w:color="D2C9B8"/>
              <w:right w:val="single" w:sz="4" w:space="0" w:color="D2C9B8"/>
            </w:tcBorders>
          </w:tcPr>
          <w:p w14:paraId="56078E16" w14:textId="77777777" w:rsidR="005A5FCC" w:rsidRDefault="00A21C81">
            <w:pPr>
              <w:spacing w:before="20" w:after="20" w:line="240" w:lineRule="auto"/>
              <w:jc w:val="left"/>
            </w:pPr>
            <w:r>
              <w:rPr>
                <w:rFonts w:cs="EB Garamond"/>
                <w:kern w:val="16"/>
                <w:sz w:val="18"/>
                <w14:ligatures w14:val="standardContextual"/>
              </w:rPr>
              <w:t>Art. 20 (pedágio 100%)</w:t>
            </w:r>
          </w:p>
        </w:tc>
        <w:tc>
          <w:tcPr>
            <w:tcW w:w="907" w:type="dxa"/>
            <w:tcBorders>
              <w:top w:val="single" w:sz="4" w:space="0" w:color="D2C9B8"/>
              <w:left w:val="single" w:sz="4" w:space="0" w:color="D2C9B8"/>
              <w:bottom w:val="single" w:sz="4" w:space="0" w:color="D2C9B8"/>
              <w:right w:val="single" w:sz="4" w:space="0" w:color="D2C9B8"/>
            </w:tcBorders>
          </w:tcPr>
          <w:p w14:paraId="7AE2BAEE" w14:textId="77777777" w:rsidR="005A5FCC" w:rsidRDefault="00A21C81">
            <w:pPr>
              <w:spacing w:before="20" w:after="20" w:line="240" w:lineRule="auto"/>
              <w:jc w:val="left"/>
            </w:pPr>
            <w:r>
              <w:rPr>
                <w:rFonts w:cs="EB Garamond"/>
                <w:kern w:val="16"/>
                <w:sz w:val="18"/>
                <w14:ligatures w14:val="standardContextual"/>
              </w:rPr>
              <w:t>35H/30M</w:t>
            </w:r>
          </w:p>
        </w:tc>
        <w:tc>
          <w:tcPr>
            <w:tcW w:w="907" w:type="dxa"/>
            <w:tcBorders>
              <w:top w:val="single" w:sz="4" w:space="0" w:color="D2C9B8"/>
              <w:left w:val="single" w:sz="4" w:space="0" w:color="D2C9B8"/>
              <w:bottom w:val="single" w:sz="4" w:space="0" w:color="D2C9B8"/>
              <w:right w:val="single" w:sz="4" w:space="0" w:color="D2C9B8"/>
            </w:tcBorders>
          </w:tcPr>
          <w:p w14:paraId="672A2D9A" w14:textId="77777777" w:rsidR="005A5FCC" w:rsidRDefault="00A21C81">
            <w:pPr>
              <w:spacing w:before="20" w:after="20" w:line="240" w:lineRule="auto"/>
              <w:jc w:val="left"/>
            </w:pPr>
            <w:r>
              <w:rPr>
                <w:rFonts w:cs="EB Garamond"/>
                <w:kern w:val="16"/>
                <w:sz w:val="18"/>
                <w14:ligatures w14:val="standardContextual"/>
              </w:rPr>
              <w:t>60H/57M (fixa)</w:t>
            </w:r>
          </w:p>
        </w:tc>
        <w:tc>
          <w:tcPr>
            <w:tcW w:w="907" w:type="dxa"/>
            <w:tcBorders>
              <w:top w:val="single" w:sz="4" w:space="0" w:color="D2C9B8"/>
              <w:left w:val="single" w:sz="4" w:space="0" w:color="D2C9B8"/>
              <w:bottom w:val="single" w:sz="4" w:space="0" w:color="D2C9B8"/>
              <w:right w:val="single" w:sz="4" w:space="0" w:color="D2C9B8"/>
            </w:tcBorders>
          </w:tcPr>
          <w:p w14:paraId="58245193" w14:textId="77777777" w:rsidR="005A5FCC" w:rsidRDefault="00A21C81">
            <w:pPr>
              <w:spacing w:before="20" w:after="20" w:line="240" w:lineRule="auto"/>
              <w:jc w:val="left"/>
            </w:pPr>
            <w:r>
              <w:rPr>
                <w:rFonts w:cs="EB Garamond"/>
                <w:kern w:val="16"/>
                <w:sz w:val="18"/>
                <w14:ligatures w14:val="standardContextual"/>
              </w:rPr>
              <w:t>100% SC</w:t>
            </w:r>
          </w:p>
        </w:tc>
        <w:tc>
          <w:tcPr>
            <w:tcW w:w="907" w:type="dxa"/>
            <w:tcBorders>
              <w:top w:val="single" w:sz="4" w:space="0" w:color="D2C9B8"/>
              <w:left w:val="single" w:sz="4" w:space="0" w:color="D2C9B8"/>
              <w:bottom w:val="single" w:sz="4" w:space="0" w:color="D2C9B8"/>
              <w:right w:val="single" w:sz="4" w:space="0" w:color="D2C9B8"/>
            </w:tcBorders>
          </w:tcPr>
          <w:p w14:paraId="045A4C13" w14:textId="77777777" w:rsidR="005A5FCC" w:rsidRDefault="00A21C81">
            <w:pPr>
              <w:spacing w:before="20" w:after="20" w:line="240" w:lineRule="auto"/>
              <w:jc w:val="left"/>
            </w:pPr>
            <w:r>
              <w:rPr>
                <w:rFonts w:cs="EB Garamond"/>
                <w:b/>
                <w:kern w:val="16"/>
                <w:sz w:val="18"/>
                <w14:ligatures w14:val="standardContextual"/>
              </w:rPr>
              <w:t>100%</w:t>
            </w:r>
          </w:p>
        </w:tc>
        <w:tc>
          <w:tcPr>
            <w:tcW w:w="907" w:type="dxa"/>
            <w:tcBorders>
              <w:top w:val="single" w:sz="4" w:space="0" w:color="D2C9B8"/>
              <w:left w:val="single" w:sz="4" w:space="0" w:color="D2C9B8"/>
              <w:bottom w:val="single" w:sz="4" w:space="0" w:color="D2C9B8"/>
              <w:right w:val="single" w:sz="4" w:space="0" w:color="D2C9B8"/>
            </w:tcBorders>
          </w:tcPr>
          <w:p w14:paraId="172515F3" w14:textId="77777777" w:rsidR="005A5FCC" w:rsidRDefault="00A21C81">
            <w:pPr>
              <w:spacing w:before="20" w:after="20" w:line="240" w:lineRule="auto"/>
              <w:jc w:val="left"/>
            </w:pPr>
            <w:r>
              <w:rPr>
                <w:rFonts w:cs="EB Garamond"/>
                <w:kern w:val="16"/>
                <w:sz w:val="18"/>
                <w14:ligatures w14:val="standardContextual"/>
              </w:rPr>
              <w:t>Não</w:t>
            </w:r>
          </w:p>
        </w:tc>
        <w:tc>
          <w:tcPr>
            <w:tcW w:w="907" w:type="dxa"/>
            <w:tcBorders>
              <w:top w:val="single" w:sz="4" w:space="0" w:color="D2C9B8"/>
              <w:left w:val="single" w:sz="4" w:space="0" w:color="D2C9B8"/>
              <w:bottom w:val="single" w:sz="4" w:space="0" w:color="D2C9B8"/>
              <w:right w:val="single" w:sz="4" w:space="0" w:color="D2C9B8"/>
            </w:tcBorders>
          </w:tcPr>
          <w:p w14:paraId="04C7C2BA" w14:textId="77777777" w:rsidR="005A5FCC" w:rsidRDefault="00A21C81">
            <w:pPr>
              <w:spacing w:before="20" w:after="20" w:line="240" w:lineRule="auto"/>
              <w:jc w:val="left"/>
            </w:pPr>
            <w:r>
              <w:rPr>
                <w:rFonts w:cs="EB Garamond"/>
                <w:kern w:val="16"/>
                <w:sz w:val="18"/>
                <w14:ligatures w14:val="standardContextual"/>
              </w:rPr>
              <w:t>+ pedágio 100% do faltante</w:t>
            </w:r>
          </w:p>
        </w:tc>
      </w:tr>
      <w:tr w:rsidR="005A5FCC" w14:paraId="6732D479" w14:textId="77777777">
        <w:trPr>
          <w:jc w:val="center"/>
        </w:trPr>
        <w:tc>
          <w:tcPr>
            <w:tcW w:w="907" w:type="dxa"/>
            <w:tcBorders>
              <w:top w:val="single" w:sz="4" w:space="0" w:color="D2C9B8"/>
              <w:left w:val="single" w:sz="4" w:space="0" w:color="D2C9B8"/>
              <w:bottom w:val="single" w:sz="4" w:space="0" w:color="D2C9B8"/>
              <w:right w:val="single" w:sz="4" w:space="0" w:color="D2C9B8"/>
            </w:tcBorders>
          </w:tcPr>
          <w:p w14:paraId="7A10BB9C" w14:textId="77777777" w:rsidR="005A5FCC" w:rsidRDefault="00A21C81">
            <w:pPr>
              <w:spacing w:before="20" w:after="20" w:line="240" w:lineRule="auto"/>
              <w:jc w:val="left"/>
            </w:pPr>
            <w:r>
              <w:rPr>
                <w:rFonts w:cs="EB Garamond"/>
                <w:kern w:val="16"/>
                <w:sz w:val="18"/>
                <w14:ligatures w14:val="standardContextual"/>
              </w:rPr>
              <w:t>Dir. Adquirido TC</w:t>
            </w:r>
          </w:p>
        </w:tc>
        <w:tc>
          <w:tcPr>
            <w:tcW w:w="907" w:type="dxa"/>
            <w:tcBorders>
              <w:top w:val="single" w:sz="4" w:space="0" w:color="D2C9B8"/>
              <w:left w:val="single" w:sz="4" w:space="0" w:color="D2C9B8"/>
              <w:bottom w:val="single" w:sz="4" w:space="0" w:color="D2C9B8"/>
              <w:right w:val="single" w:sz="4" w:space="0" w:color="D2C9B8"/>
            </w:tcBorders>
          </w:tcPr>
          <w:p w14:paraId="6EFA5843" w14:textId="77777777" w:rsidR="005A5FCC" w:rsidRDefault="00A21C81">
            <w:pPr>
              <w:spacing w:before="20" w:after="20" w:line="240" w:lineRule="auto"/>
              <w:jc w:val="left"/>
            </w:pPr>
            <w:r>
              <w:rPr>
                <w:rFonts w:cs="EB Garamond"/>
                <w:kern w:val="16"/>
                <w:sz w:val="18"/>
                <w14:ligatures w14:val="standardContextual"/>
              </w:rPr>
              <w:t>35H/30M (pré-2019)</w:t>
            </w:r>
          </w:p>
        </w:tc>
        <w:tc>
          <w:tcPr>
            <w:tcW w:w="907" w:type="dxa"/>
            <w:tcBorders>
              <w:top w:val="single" w:sz="4" w:space="0" w:color="D2C9B8"/>
              <w:left w:val="single" w:sz="4" w:space="0" w:color="D2C9B8"/>
              <w:bottom w:val="single" w:sz="4" w:space="0" w:color="D2C9B8"/>
              <w:right w:val="single" w:sz="4" w:space="0" w:color="D2C9B8"/>
            </w:tcBorders>
          </w:tcPr>
          <w:p w14:paraId="151907A4" w14:textId="77777777" w:rsidR="005A5FCC" w:rsidRDefault="00A21C81">
            <w:pPr>
              <w:spacing w:before="20" w:after="20" w:line="240" w:lineRule="auto"/>
              <w:jc w:val="left"/>
            </w:pPr>
            <w:r>
              <w:rPr>
                <w:rFonts w:cs="EB Garamond"/>
                <w:kern w:val="16"/>
                <w:sz w:val="18"/>
                <w14:ligatures w14:val="standardContextual"/>
              </w:rPr>
              <w:t>Não</w:t>
            </w:r>
          </w:p>
        </w:tc>
        <w:tc>
          <w:tcPr>
            <w:tcW w:w="907" w:type="dxa"/>
            <w:tcBorders>
              <w:top w:val="single" w:sz="4" w:space="0" w:color="D2C9B8"/>
              <w:left w:val="single" w:sz="4" w:space="0" w:color="D2C9B8"/>
              <w:bottom w:val="single" w:sz="4" w:space="0" w:color="D2C9B8"/>
              <w:right w:val="single" w:sz="4" w:space="0" w:color="D2C9B8"/>
            </w:tcBorders>
          </w:tcPr>
          <w:p w14:paraId="7C46D772" w14:textId="77777777" w:rsidR="005A5FCC" w:rsidRDefault="00A21C81">
            <w:pPr>
              <w:spacing w:before="20" w:after="20" w:line="240" w:lineRule="auto"/>
              <w:jc w:val="left"/>
            </w:pPr>
            <w:r>
              <w:rPr>
                <w:rFonts w:cs="EB Garamond"/>
                <w:kern w:val="16"/>
                <w:sz w:val="18"/>
                <w14:ligatures w14:val="standardContextual"/>
              </w:rPr>
              <w:t>80% maiores SC</w:t>
            </w:r>
          </w:p>
        </w:tc>
        <w:tc>
          <w:tcPr>
            <w:tcW w:w="907" w:type="dxa"/>
            <w:tcBorders>
              <w:top w:val="single" w:sz="4" w:space="0" w:color="D2C9B8"/>
              <w:left w:val="single" w:sz="4" w:space="0" w:color="D2C9B8"/>
              <w:bottom w:val="single" w:sz="4" w:space="0" w:color="D2C9B8"/>
              <w:right w:val="single" w:sz="4" w:space="0" w:color="D2C9B8"/>
            </w:tcBorders>
          </w:tcPr>
          <w:p w14:paraId="44C42B72" w14:textId="77777777" w:rsidR="005A5FCC" w:rsidRDefault="00A21C81">
            <w:pPr>
              <w:spacing w:before="20" w:after="20" w:line="240" w:lineRule="auto"/>
              <w:jc w:val="left"/>
            </w:pPr>
            <w:r>
              <w:rPr>
                <w:rFonts w:cs="EB Garamond"/>
                <w:kern w:val="16"/>
                <w:sz w:val="18"/>
                <w14:ligatures w14:val="standardContextual"/>
              </w:rPr>
              <w:t>100% SB</w:t>
            </w:r>
          </w:p>
        </w:tc>
        <w:tc>
          <w:tcPr>
            <w:tcW w:w="907" w:type="dxa"/>
            <w:tcBorders>
              <w:top w:val="single" w:sz="4" w:space="0" w:color="D2C9B8"/>
              <w:left w:val="single" w:sz="4" w:space="0" w:color="D2C9B8"/>
              <w:bottom w:val="single" w:sz="4" w:space="0" w:color="D2C9B8"/>
              <w:right w:val="single" w:sz="4" w:space="0" w:color="D2C9B8"/>
            </w:tcBorders>
          </w:tcPr>
          <w:p w14:paraId="34C39825" w14:textId="77777777" w:rsidR="005A5FCC" w:rsidRDefault="00A21C81">
            <w:pPr>
              <w:spacing w:before="20" w:after="20" w:line="240" w:lineRule="auto"/>
              <w:jc w:val="left"/>
            </w:pPr>
            <w:r>
              <w:rPr>
                <w:rFonts w:cs="EB Garamond"/>
                <w:kern w:val="16"/>
                <w:sz w:val="18"/>
                <w14:ligatures w14:val="standardContextual"/>
              </w:rPr>
              <w:t>Obrigatório</w:t>
            </w:r>
          </w:p>
        </w:tc>
        <w:tc>
          <w:tcPr>
            <w:tcW w:w="907" w:type="dxa"/>
            <w:tcBorders>
              <w:top w:val="single" w:sz="4" w:space="0" w:color="D2C9B8"/>
              <w:left w:val="single" w:sz="4" w:space="0" w:color="D2C9B8"/>
              <w:bottom w:val="single" w:sz="4" w:space="0" w:color="D2C9B8"/>
              <w:right w:val="single" w:sz="4" w:space="0" w:color="D2C9B8"/>
            </w:tcBorders>
          </w:tcPr>
          <w:p w14:paraId="4EB09437" w14:textId="77777777" w:rsidR="005A5FCC" w:rsidRDefault="00A21C81">
            <w:pPr>
              <w:spacing w:before="20" w:after="20" w:line="240" w:lineRule="auto"/>
              <w:jc w:val="left"/>
            </w:pPr>
            <w:r>
              <w:rPr>
                <w:rFonts w:cs="EB Garamond"/>
                <w:kern w:val="16"/>
                <w:sz w:val="18"/>
                <w14:ligatures w14:val="standardContextual"/>
              </w:rPr>
              <w:t>Implementou requisitos até 12/11/2019</w:t>
            </w:r>
          </w:p>
        </w:tc>
      </w:tr>
      <w:tr w:rsidR="005A5FCC" w14:paraId="44F23B4F" w14:textId="77777777">
        <w:trPr>
          <w:jc w:val="center"/>
        </w:trPr>
        <w:tc>
          <w:tcPr>
            <w:tcW w:w="907" w:type="dxa"/>
            <w:tcBorders>
              <w:top w:val="single" w:sz="4" w:space="0" w:color="D2C9B8"/>
              <w:left w:val="single" w:sz="4" w:space="0" w:color="D2C9B8"/>
              <w:bottom w:val="single" w:sz="4" w:space="0" w:color="D2C9B8"/>
              <w:right w:val="single" w:sz="4" w:space="0" w:color="D2C9B8"/>
            </w:tcBorders>
          </w:tcPr>
          <w:p w14:paraId="240E25A3" w14:textId="77777777" w:rsidR="005A5FCC" w:rsidRDefault="00A21C81">
            <w:pPr>
              <w:spacing w:before="20" w:after="20" w:line="240" w:lineRule="auto"/>
              <w:jc w:val="left"/>
            </w:pPr>
            <w:r>
              <w:rPr>
                <w:rFonts w:cs="EB Garamond"/>
                <w:kern w:val="16"/>
                <w:sz w:val="18"/>
                <w14:ligatures w14:val="standardContextual"/>
              </w:rPr>
              <w:t>Dir. Adquirido 85/95</w:t>
            </w:r>
          </w:p>
        </w:tc>
        <w:tc>
          <w:tcPr>
            <w:tcW w:w="907" w:type="dxa"/>
            <w:tcBorders>
              <w:top w:val="single" w:sz="4" w:space="0" w:color="D2C9B8"/>
              <w:left w:val="single" w:sz="4" w:space="0" w:color="D2C9B8"/>
              <w:bottom w:val="single" w:sz="4" w:space="0" w:color="D2C9B8"/>
              <w:right w:val="single" w:sz="4" w:space="0" w:color="D2C9B8"/>
            </w:tcBorders>
          </w:tcPr>
          <w:p w14:paraId="4DC6A579" w14:textId="77777777" w:rsidR="005A5FCC" w:rsidRDefault="00A21C81">
            <w:pPr>
              <w:spacing w:before="20" w:after="20" w:line="240" w:lineRule="auto"/>
              <w:jc w:val="left"/>
            </w:pPr>
            <w:r>
              <w:rPr>
                <w:rFonts w:cs="EB Garamond"/>
                <w:kern w:val="16"/>
                <w:sz w:val="18"/>
                <w14:ligatures w14:val="standardContextual"/>
              </w:rPr>
              <w:t>35H/30M + pontos (pré-2019)</w:t>
            </w:r>
          </w:p>
        </w:tc>
        <w:tc>
          <w:tcPr>
            <w:tcW w:w="907" w:type="dxa"/>
            <w:tcBorders>
              <w:top w:val="single" w:sz="4" w:space="0" w:color="D2C9B8"/>
              <w:left w:val="single" w:sz="4" w:space="0" w:color="D2C9B8"/>
              <w:bottom w:val="single" w:sz="4" w:space="0" w:color="D2C9B8"/>
              <w:right w:val="single" w:sz="4" w:space="0" w:color="D2C9B8"/>
            </w:tcBorders>
          </w:tcPr>
          <w:p w14:paraId="58C6E2D4" w14:textId="77777777" w:rsidR="005A5FCC" w:rsidRDefault="00A21C81">
            <w:pPr>
              <w:spacing w:before="20" w:after="20" w:line="240" w:lineRule="auto"/>
              <w:jc w:val="left"/>
            </w:pPr>
            <w:r>
              <w:rPr>
                <w:rFonts w:cs="EB Garamond"/>
                <w:kern w:val="16"/>
                <w:sz w:val="18"/>
                <w14:ligatures w14:val="standardContextual"/>
              </w:rPr>
              <w:t>Não</w:t>
            </w:r>
          </w:p>
        </w:tc>
        <w:tc>
          <w:tcPr>
            <w:tcW w:w="907" w:type="dxa"/>
            <w:tcBorders>
              <w:top w:val="single" w:sz="4" w:space="0" w:color="D2C9B8"/>
              <w:left w:val="single" w:sz="4" w:space="0" w:color="D2C9B8"/>
              <w:bottom w:val="single" w:sz="4" w:space="0" w:color="D2C9B8"/>
              <w:right w:val="single" w:sz="4" w:space="0" w:color="D2C9B8"/>
            </w:tcBorders>
          </w:tcPr>
          <w:p w14:paraId="60F8D0FB" w14:textId="77777777" w:rsidR="005A5FCC" w:rsidRDefault="00A21C81">
            <w:pPr>
              <w:spacing w:before="20" w:after="20" w:line="240" w:lineRule="auto"/>
              <w:jc w:val="left"/>
            </w:pPr>
            <w:r>
              <w:rPr>
                <w:rFonts w:cs="EB Garamond"/>
                <w:kern w:val="16"/>
                <w:sz w:val="18"/>
                <w14:ligatures w14:val="standardContextual"/>
              </w:rPr>
              <w:t>80% maiores SC</w:t>
            </w:r>
          </w:p>
        </w:tc>
        <w:tc>
          <w:tcPr>
            <w:tcW w:w="907" w:type="dxa"/>
            <w:tcBorders>
              <w:top w:val="single" w:sz="4" w:space="0" w:color="D2C9B8"/>
              <w:left w:val="single" w:sz="4" w:space="0" w:color="D2C9B8"/>
              <w:bottom w:val="single" w:sz="4" w:space="0" w:color="D2C9B8"/>
              <w:right w:val="single" w:sz="4" w:space="0" w:color="D2C9B8"/>
            </w:tcBorders>
          </w:tcPr>
          <w:p w14:paraId="44761196" w14:textId="77777777" w:rsidR="005A5FCC" w:rsidRDefault="00A21C81">
            <w:pPr>
              <w:spacing w:before="20" w:after="20" w:line="240" w:lineRule="auto"/>
              <w:jc w:val="left"/>
            </w:pPr>
            <w:r>
              <w:rPr>
                <w:rFonts w:cs="EB Garamond"/>
                <w:kern w:val="16"/>
                <w:sz w:val="18"/>
                <w14:ligatures w14:val="standardContextual"/>
              </w:rPr>
              <w:t>100% SB</w:t>
            </w:r>
          </w:p>
        </w:tc>
        <w:tc>
          <w:tcPr>
            <w:tcW w:w="907" w:type="dxa"/>
            <w:tcBorders>
              <w:top w:val="single" w:sz="4" w:space="0" w:color="D2C9B8"/>
              <w:left w:val="single" w:sz="4" w:space="0" w:color="D2C9B8"/>
              <w:bottom w:val="single" w:sz="4" w:space="0" w:color="D2C9B8"/>
              <w:right w:val="single" w:sz="4" w:space="0" w:color="D2C9B8"/>
            </w:tcBorders>
          </w:tcPr>
          <w:p w14:paraId="008D909F" w14:textId="77777777" w:rsidR="005A5FCC" w:rsidRDefault="00A21C81">
            <w:pPr>
              <w:spacing w:before="20" w:after="20" w:line="240" w:lineRule="auto"/>
              <w:jc w:val="left"/>
            </w:pPr>
            <w:r>
              <w:rPr>
                <w:rFonts w:cs="EB Garamond"/>
                <w:b/>
                <w:kern w:val="16"/>
                <w:sz w:val="18"/>
                <w14:ligatures w14:val="standardContextual"/>
              </w:rPr>
              <w:t>Afastado</w:t>
            </w:r>
          </w:p>
        </w:tc>
        <w:tc>
          <w:tcPr>
            <w:tcW w:w="907" w:type="dxa"/>
            <w:tcBorders>
              <w:top w:val="single" w:sz="4" w:space="0" w:color="D2C9B8"/>
              <w:left w:val="single" w:sz="4" w:space="0" w:color="D2C9B8"/>
              <w:bottom w:val="single" w:sz="4" w:space="0" w:color="D2C9B8"/>
              <w:right w:val="single" w:sz="4" w:space="0" w:color="D2C9B8"/>
            </w:tcBorders>
          </w:tcPr>
          <w:p w14:paraId="51F1D12B" w14:textId="77777777" w:rsidR="005A5FCC" w:rsidRDefault="00A21C81">
            <w:pPr>
              <w:spacing w:before="20" w:after="20" w:line="240" w:lineRule="auto"/>
              <w:jc w:val="left"/>
            </w:pPr>
            <w:r>
              <w:rPr>
                <w:rFonts w:cs="EB Garamond"/>
                <w:kern w:val="16"/>
                <w:sz w:val="18"/>
                <w14:ligatures w14:val="standardContextual"/>
              </w:rPr>
              <w:t>A mais vantajosa (se direito adquirido)</w:t>
            </w:r>
          </w:p>
        </w:tc>
      </w:tr>
    </w:tbl>
    <w:p w14:paraId="1BDA1F17" w14:textId="77777777" w:rsidR="005A5FCC" w:rsidRDefault="005A5FCC">
      <w:pPr>
        <w:spacing w:after="80" w:line="240" w:lineRule="auto"/>
      </w:pPr>
    </w:p>
    <w:p w14:paraId="19E78395" w14:textId="77777777" w:rsidR="005A5FCC" w:rsidRDefault="00A21C81">
      <w:pPr>
        <w:spacing w:before="260" w:after="80" w:line="240" w:lineRule="auto"/>
        <w:jc w:val="left"/>
      </w:pPr>
      <w:r>
        <w:rPr>
          <w:rFonts w:cs="EB Garamond"/>
          <w:b/>
          <w:color w:val="3A3128"/>
          <w:kern w:val="16"/>
          <w:sz w:val="25"/>
          <w14:ligatures w14:val="standardContextual"/>
        </w:rPr>
        <w:t>11.18.2 Tabela evolutiva ano a ano — pontos (art. 15) e idade (art. 16)</w:t>
      </w:r>
    </w:p>
    <w:tbl>
      <w:tblPr>
        <w:tblW w:w="5000" w:type="pct"/>
        <w:jc w:val="center"/>
        <w:tblLook w:val="04A0" w:firstRow="1" w:lastRow="0" w:firstColumn="1" w:lastColumn="0" w:noHBand="0" w:noVBand="1"/>
      </w:tblPr>
      <w:tblGrid>
        <w:gridCol w:w="704"/>
        <w:gridCol w:w="704"/>
        <w:gridCol w:w="704"/>
        <w:gridCol w:w="705"/>
        <w:gridCol w:w="705"/>
        <w:gridCol w:w="704"/>
        <w:gridCol w:w="704"/>
        <w:gridCol w:w="705"/>
        <w:gridCol w:w="705"/>
      </w:tblGrid>
      <w:tr w:rsidR="005A5FCC" w14:paraId="51229864" w14:textId="77777777">
        <w:trPr>
          <w:tblHeader/>
          <w:jc w:val="center"/>
        </w:trPr>
        <w:tc>
          <w:tcPr>
            <w:tcW w:w="706" w:type="dxa"/>
            <w:tcBorders>
              <w:top w:val="single" w:sz="4" w:space="0" w:color="D2C9B8"/>
              <w:left w:val="single" w:sz="4" w:space="0" w:color="D2C9B8"/>
              <w:bottom w:val="single" w:sz="4" w:space="0" w:color="D2C9B8"/>
              <w:right w:val="single" w:sz="4" w:space="0" w:color="D2C9B8"/>
            </w:tcBorders>
            <w:shd w:val="clear" w:color="auto" w:fill="F0EDE6"/>
          </w:tcPr>
          <w:p w14:paraId="61AFB6E1" w14:textId="77777777" w:rsidR="005A5FCC" w:rsidRDefault="00A21C81">
            <w:pPr>
              <w:spacing w:before="40" w:after="40" w:line="240" w:lineRule="auto"/>
              <w:jc w:val="center"/>
            </w:pPr>
            <w:r>
              <w:rPr>
                <w:rFonts w:cs="EB Garamond"/>
                <w:b/>
                <w:color w:val="2F2923"/>
                <w:kern w:val="16"/>
                <w:sz w:val="18"/>
                <w14:ligatures w14:val="standardContextual"/>
              </w:rPr>
              <w:t>Ano</w:t>
            </w:r>
          </w:p>
        </w:tc>
        <w:tc>
          <w:tcPr>
            <w:tcW w:w="706" w:type="dxa"/>
            <w:tcBorders>
              <w:top w:val="single" w:sz="4" w:space="0" w:color="D2C9B8"/>
              <w:left w:val="single" w:sz="4" w:space="0" w:color="D2C9B8"/>
              <w:bottom w:val="single" w:sz="4" w:space="0" w:color="D2C9B8"/>
              <w:right w:val="single" w:sz="4" w:space="0" w:color="D2C9B8"/>
            </w:tcBorders>
            <w:shd w:val="clear" w:color="auto" w:fill="F0EDE6"/>
          </w:tcPr>
          <w:p w14:paraId="2D07C815" w14:textId="77777777" w:rsidR="005A5FCC" w:rsidRDefault="00A21C81">
            <w:pPr>
              <w:spacing w:before="40" w:after="40" w:line="240" w:lineRule="auto"/>
              <w:jc w:val="center"/>
            </w:pPr>
            <w:r>
              <w:rPr>
                <w:rFonts w:cs="EB Garamond"/>
                <w:b/>
                <w:color w:val="2F2923"/>
                <w:kern w:val="16"/>
                <w:sz w:val="18"/>
                <w14:ligatures w14:val="standardContextual"/>
              </w:rPr>
              <w:t>Pontos H</w:t>
            </w:r>
          </w:p>
        </w:tc>
        <w:tc>
          <w:tcPr>
            <w:tcW w:w="706" w:type="dxa"/>
            <w:tcBorders>
              <w:top w:val="single" w:sz="4" w:space="0" w:color="D2C9B8"/>
              <w:left w:val="single" w:sz="4" w:space="0" w:color="D2C9B8"/>
              <w:bottom w:val="single" w:sz="4" w:space="0" w:color="D2C9B8"/>
              <w:right w:val="single" w:sz="4" w:space="0" w:color="D2C9B8"/>
            </w:tcBorders>
            <w:shd w:val="clear" w:color="auto" w:fill="F0EDE6"/>
          </w:tcPr>
          <w:p w14:paraId="1E938826" w14:textId="77777777" w:rsidR="005A5FCC" w:rsidRDefault="00A21C81">
            <w:pPr>
              <w:spacing w:before="40" w:after="40" w:line="240" w:lineRule="auto"/>
              <w:jc w:val="center"/>
            </w:pPr>
            <w:r>
              <w:rPr>
                <w:rFonts w:cs="EB Garamond"/>
                <w:b/>
                <w:color w:val="2F2923"/>
                <w:kern w:val="16"/>
                <w:sz w:val="18"/>
                <w14:ligatures w14:val="standardContextual"/>
              </w:rPr>
              <w:t>Pontos M</w:t>
            </w:r>
          </w:p>
        </w:tc>
        <w:tc>
          <w:tcPr>
            <w:tcW w:w="706" w:type="dxa"/>
            <w:tcBorders>
              <w:top w:val="single" w:sz="4" w:space="0" w:color="D2C9B8"/>
              <w:left w:val="single" w:sz="4" w:space="0" w:color="D2C9B8"/>
              <w:bottom w:val="single" w:sz="4" w:space="0" w:color="D2C9B8"/>
              <w:right w:val="single" w:sz="4" w:space="0" w:color="D2C9B8"/>
            </w:tcBorders>
            <w:shd w:val="clear" w:color="auto" w:fill="F0EDE6"/>
          </w:tcPr>
          <w:p w14:paraId="1CDAEE54" w14:textId="77777777" w:rsidR="005A5FCC" w:rsidRDefault="00A21C81">
            <w:pPr>
              <w:spacing w:before="40" w:after="40" w:line="240" w:lineRule="auto"/>
              <w:jc w:val="center"/>
            </w:pPr>
            <w:r>
              <w:rPr>
                <w:rFonts w:cs="EB Garamond"/>
                <w:b/>
                <w:color w:val="2F2923"/>
                <w:kern w:val="16"/>
                <w:sz w:val="18"/>
                <w14:ligatures w14:val="standardContextual"/>
              </w:rPr>
              <w:t>Idade H</w:t>
            </w:r>
          </w:p>
        </w:tc>
        <w:tc>
          <w:tcPr>
            <w:tcW w:w="706" w:type="dxa"/>
            <w:tcBorders>
              <w:top w:val="single" w:sz="4" w:space="0" w:color="D2C9B8"/>
              <w:left w:val="single" w:sz="4" w:space="0" w:color="D2C9B8"/>
              <w:bottom w:val="single" w:sz="4" w:space="0" w:color="D2C9B8"/>
              <w:right w:val="single" w:sz="4" w:space="0" w:color="D2C9B8"/>
            </w:tcBorders>
            <w:shd w:val="clear" w:color="auto" w:fill="F0EDE6"/>
          </w:tcPr>
          <w:p w14:paraId="15F5BBCC" w14:textId="77777777" w:rsidR="005A5FCC" w:rsidRDefault="00A21C81">
            <w:pPr>
              <w:spacing w:before="40" w:after="40" w:line="240" w:lineRule="auto"/>
              <w:jc w:val="center"/>
            </w:pPr>
            <w:r>
              <w:rPr>
                <w:rFonts w:cs="EB Garamond"/>
                <w:b/>
                <w:color w:val="2F2923"/>
                <w:kern w:val="16"/>
                <w:sz w:val="18"/>
                <w14:ligatures w14:val="standardContextual"/>
              </w:rPr>
              <w:t>Idade M</w:t>
            </w:r>
          </w:p>
        </w:tc>
        <w:tc>
          <w:tcPr>
            <w:tcW w:w="706" w:type="dxa"/>
            <w:tcBorders>
              <w:top w:val="single" w:sz="4" w:space="0" w:color="D2C9B8"/>
              <w:left w:val="single" w:sz="4" w:space="0" w:color="D2C9B8"/>
              <w:bottom w:val="single" w:sz="4" w:space="0" w:color="D2C9B8"/>
              <w:right w:val="single" w:sz="4" w:space="0" w:color="D2C9B8"/>
            </w:tcBorders>
            <w:shd w:val="clear" w:color="auto" w:fill="F0EDE6"/>
          </w:tcPr>
          <w:p w14:paraId="0F324C31" w14:textId="77777777" w:rsidR="005A5FCC" w:rsidRDefault="00A21C81">
            <w:pPr>
              <w:spacing w:before="40" w:after="40" w:line="240" w:lineRule="auto"/>
              <w:jc w:val="center"/>
            </w:pPr>
            <w:r>
              <w:rPr>
                <w:rFonts w:cs="EB Garamond"/>
                <w:b/>
                <w:color w:val="2F2923"/>
                <w:kern w:val="16"/>
                <w:sz w:val="18"/>
                <w14:ligatures w14:val="standardContextual"/>
              </w:rPr>
              <w:t>Pontos Prof. H</w:t>
            </w:r>
          </w:p>
        </w:tc>
        <w:tc>
          <w:tcPr>
            <w:tcW w:w="706" w:type="dxa"/>
            <w:tcBorders>
              <w:top w:val="single" w:sz="4" w:space="0" w:color="D2C9B8"/>
              <w:left w:val="single" w:sz="4" w:space="0" w:color="D2C9B8"/>
              <w:bottom w:val="single" w:sz="4" w:space="0" w:color="D2C9B8"/>
              <w:right w:val="single" w:sz="4" w:space="0" w:color="D2C9B8"/>
            </w:tcBorders>
            <w:shd w:val="clear" w:color="auto" w:fill="F0EDE6"/>
          </w:tcPr>
          <w:p w14:paraId="17A1A76E" w14:textId="77777777" w:rsidR="005A5FCC" w:rsidRDefault="00A21C81">
            <w:pPr>
              <w:spacing w:before="40" w:after="40" w:line="240" w:lineRule="auto"/>
              <w:jc w:val="center"/>
            </w:pPr>
            <w:r>
              <w:rPr>
                <w:rFonts w:cs="EB Garamond"/>
                <w:b/>
                <w:color w:val="2F2923"/>
                <w:kern w:val="16"/>
                <w:sz w:val="18"/>
                <w14:ligatures w14:val="standardContextual"/>
              </w:rPr>
              <w:t>Pontos Prof. M</w:t>
            </w:r>
          </w:p>
        </w:tc>
        <w:tc>
          <w:tcPr>
            <w:tcW w:w="706" w:type="dxa"/>
            <w:tcBorders>
              <w:top w:val="single" w:sz="4" w:space="0" w:color="D2C9B8"/>
              <w:left w:val="single" w:sz="4" w:space="0" w:color="D2C9B8"/>
              <w:bottom w:val="single" w:sz="4" w:space="0" w:color="D2C9B8"/>
              <w:right w:val="single" w:sz="4" w:space="0" w:color="D2C9B8"/>
            </w:tcBorders>
            <w:shd w:val="clear" w:color="auto" w:fill="F0EDE6"/>
          </w:tcPr>
          <w:p w14:paraId="2FA0E035" w14:textId="77777777" w:rsidR="005A5FCC" w:rsidRDefault="00A21C81">
            <w:pPr>
              <w:spacing w:before="40" w:after="40" w:line="240" w:lineRule="auto"/>
              <w:jc w:val="center"/>
            </w:pPr>
            <w:r>
              <w:rPr>
                <w:rFonts w:cs="EB Garamond"/>
                <w:b/>
                <w:color w:val="2F2923"/>
                <w:kern w:val="16"/>
                <w:sz w:val="18"/>
                <w14:ligatures w14:val="standardContextual"/>
              </w:rPr>
              <w:t>Idade Prof. H</w:t>
            </w:r>
          </w:p>
        </w:tc>
        <w:tc>
          <w:tcPr>
            <w:tcW w:w="706" w:type="dxa"/>
            <w:tcBorders>
              <w:top w:val="single" w:sz="4" w:space="0" w:color="D2C9B8"/>
              <w:left w:val="single" w:sz="4" w:space="0" w:color="D2C9B8"/>
              <w:bottom w:val="single" w:sz="4" w:space="0" w:color="D2C9B8"/>
              <w:right w:val="single" w:sz="4" w:space="0" w:color="D2C9B8"/>
            </w:tcBorders>
            <w:shd w:val="clear" w:color="auto" w:fill="F0EDE6"/>
          </w:tcPr>
          <w:p w14:paraId="49C62267" w14:textId="77777777" w:rsidR="005A5FCC" w:rsidRDefault="00A21C81">
            <w:pPr>
              <w:spacing w:before="40" w:after="40" w:line="240" w:lineRule="auto"/>
              <w:jc w:val="center"/>
            </w:pPr>
            <w:r>
              <w:rPr>
                <w:rFonts w:cs="EB Garamond"/>
                <w:b/>
                <w:color w:val="2F2923"/>
                <w:kern w:val="16"/>
                <w:sz w:val="18"/>
                <w14:ligatures w14:val="standardContextual"/>
              </w:rPr>
              <w:t>Idade Prof. M</w:t>
            </w:r>
          </w:p>
        </w:tc>
      </w:tr>
      <w:tr w:rsidR="005A5FCC" w14:paraId="5C30E6E8" w14:textId="77777777">
        <w:trPr>
          <w:jc w:val="center"/>
        </w:trPr>
        <w:tc>
          <w:tcPr>
            <w:tcW w:w="706" w:type="dxa"/>
            <w:tcBorders>
              <w:top w:val="single" w:sz="4" w:space="0" w:color="D2C9B8"/>
              <w:left w:val="single" w:sz="4" w:space="0" w:color="D2C9B8"/>
              <w:bottom w:val="single" w:sz="4" w:space="0" w:color="D2C9B8"/>
              <w:right w:val="single" w:sz="4" w:space="0" w:color="D2C9B8"/>
            </w:tcBorders>
          </w:tcPr>
          <w:p w14:paraId="373D1F67" w14:textId="77777777" w:rsidR="005A5FCC" w:rsidRDefault="00A21C81">
            <w:pPr>
              <w:spacing w:before="20" w:after="20" w:line="240" w:lineRule="auto"/>
              <w:jc w:val="left"/>
            </w:pPr>
            <w:r>
              <w:rPr>
                <w:rFonts w:cs="EB Garamond"/>
                <w:kern w:val="16"/>
                <w:sz w:val="18"/>
                <w14:ligatures w14:val="standardContextual"/>
              </w:rPr>
              <w:t>2019</w:t>
            </w:r>
          </w:p>
        </w:tc>
        <w:tc>
          <w:tcPr>
            <w:tcW w:w="706" w:type="dxa"/>
            <w:tcBorders>
              <w:top w:val="single" w:sz="4" w:space="0" w:color="D2C9B8"/>
              <w:left w:val="single" w:sz="4" w:space="0" w:color="D2C9B8"/>
              <w:bottom w:val="single" w:sz="4" w:space="0" w:color="D2C9B8"/>
              <w:right w:val="single" w:sz="4" w:space="0" w:color="D2C9B8"/>
            </w:tcBorders>
          </w:tcPr>
          <w:p w14:paraId="3EEA7B8C" w14:textId="77777777" w:rsidR="005A5FCC" w:rsidRDefault="00A21C81">
            <w:pPr>
              <w:spacing w:before="20" w:after="20" w:line="240" w:lineRule="auto"/>
              <w:jc w:val="left"/>
            </w:pPr>
            <w:r>
              <w:rPr>
                <w:rFonts w:cs="EB Garamond"/>
                <w:kern w:val="16"/>
                <w:sz w:val="18"/>
                <w14:ligatures w14:val="standardContextual"/>
              </w:rPr>
              <w:t>96</w:t>
            </w:r>
          </w:p>
        </w:tc>
        <w:tc>
          <w:tcPr>
            <w:tcW w:w="706" w:type="dxa"/>
            <w:tcBorders>
              <w:top w:val="single" w:sz="4" w:space="0" w:color="D2C9B8"/>
              <w:left w:val="single" w:sz="4" w:space="0" w:color="D2C9B8"/>
              <w:bottom w:val="single" w:sz="4" w:space="0" w:color="D2C9B8"/>
              <w:right w:val="single" w:sz="4" w:space="0" w:color="D2C9B8"/>
            </w:tcBorders>
          </w:tcPr>
          <w:p w14:paraId="44928E7D" w14:textId="77777777" w:rsidR="005A5FCC" w:rsidRDefault="00A21C81">
            <w:pPr>
              <w:spacing w:before="20" w:after="20" w:line="240" w:lineRule="auto"/>
              <w:jc w:val="left"/>
            </w:pPr>
            <w:r>
              <w:rPr>
                <w:rFonts w:cs="EB Garamond"/>
                <w:kern w:val="16"/>
                <w:sz w:val="18"/>
                <w14:ligatures w14:val="standardContextual"/>
              </w:rPr>
              <w:t>86</w:t>
            </w:r>
          </w:p>
        </w:tc>
        <w:tc>
          <w:tcPr>
            <w:tcW w:w="706" w:type="dxa"/>
            <w:tcBorders>
              <w:top w:val="single" w:sz="4" w:space="0" w:color="D2C9B8"/>
              <w:left w:val="single" w:sz="4" w:space="0" w:color="D2C9B8"/>
              <w:bottom w:val="single" w:sz="4" w:space="0" w:color="D2C9B8"/>
              <w:right w:val="single" w:sz="4" w:space="0" w:color="D2C9B8"/>
            </w:tcBorders>
          </w:tcPr>
          <w:p w14:paraId="45712914" w14:textId="77777777" w:rsidR="005A5FCC" w:rsidRDefault="00A21C81">
            <w:pPr>
              <w:spacing w:before="20" w:after="20" w:line="240" w:lineRule="auto"/>
              <w:jc w:val="left"/>
            </w:pPr>
            <w:r>
              <w:rPr>
                <w:rFonts w:cs="EB Garamond"/>
                <w:kern w:val="16"/>
                <w:sz w:val="18"/>
                <w14:ligatures w14:val="standardContextual"/>
              </w:rPr>
              <w:t>61</w:t>
            </w:r>
          </w:p>
        </w:tc>
        <w:tc>
          <w:tcPr>
            <w:tcW w:w="706" w:type="dxa"/>
            <w:tcBorders>
              <w:top w:val="single" w:sz="4" w:space="0" w:color="D2C9B8"/>
              <w:left w:val="single" w:sz="4" w:space="0" w:color="D2C9B8"/>
              <w:bottom w:val="single" w:sz="4" w:space="0" w:color="D2C9B8"/>
              <w:right w:val="single" w:sz="4" w:space="0" w:color="D2C9B8"/>
            </w:tcBorders>
          </w:tcPr>
          <w:p w14:paraId="2141ABAD" w14:textId="77777777" w:rsidR="005A5FCC" w:rsidRDefault="00A21C81">
            <w:pPr>
              <w:spacing w:before="20" w:after="20" w:line="240" w:lineRule="auto"/>
              <w:jc w:val="left"/>
            </w:pPr>
            <w:r>
              <w:rPr>
                <w:rFonts w:cs="EB Garamond"/>
                <w:kern w:val="16"/>
                <w:sz w:val="18"/>
                <w14:ligatures w14:val="standardContextual"/>
              </w:rPr>
              <w:t>56</w:t>
            </w:r>
          </w:p>
        </w:tc>
        <w:tc>
          <w:tcPr>
            <w:tcW w:w="706" w:type="dxa"/>
            <w:tcBorders>
              <w:top w:val="single" w:sz="4" w:space="0" w:color="D2C9B8"/>
              <w:left w:val="single" w:sz="4" w:space="0" w:color="D2C9B8"/>
              <w:bottom w:val="single" w:sz="4" w:space="0" w:color="D2C9B8"/>
              <w:right w:val="single" w:sz="4" w:space="0" w:color="D2C9B8"/>
            </w:tcBorders>
          </w:tcPr>
          <w:p w14:paraId="6F63C34B" w14:textId="77777777" w:rsidR="005A5FCC" w:rsidRDefault="00A21C81">
            <w:pPr>
              <w:spacing w:before="20" w:after="20" w:line="240" w:lineRule="auto"/>
              <w:jc w:val="left"/>
            </w:pPr>
            <w:r>
              <w:rPr>
                <w:rFonts w:cs="EB Garamond"/>
                <w:kern w:val="16"/>
                <w:sz w:val="18"/>
                <w14:ligatures w14:val="standardContextual"/>
              </w:rPr>
              <w:t>91</w:t>
            </w:r>
          </w:p>
        </w:tc>
        <w:tc>
          <w:tcPr>
            <w:tcW w:w="706" w:type="dxa"/>
            <w:tcBorders>
              <w:top w:val="single" w:sz="4" w:space="0" w:color="D2C9B8"/>
              <w:left w:val="single" w:sz="4" w:space="0" w:color="D2C9B8"/>
              <w:bottom w:val="single" w:sz="4" w:space="0" w:color="D2C9B8"/>
              <w:right w:val="single" w:sz="4" w:space="0" w:color="D2C9B8"/>
            </w:tcBorders>
          </w:tcPr>
          <w:p w14:paraId="6147FDF8" w14:textId="77777777" w:rsidR="005A5FCC" w:rsidRDefault="00A21C81">
            <w:pPr>
              <w:spacing w:before="20" w:after="20" w:line="240" w:lineRule="auto"/>
              <w:jc w:val="left"/>
            </w:pPr>
            <w:r>
              <w:rPr>
                <w:rFonts w:cs="EB Garamond"/>
                <w:kern w:val="16"/>
                <w:sz w:val="18"/>
                <w14:ligatures w14:val="standardContextual"/>
              </w:rPr>
              <w:t>81</w:t>
            </w:r>
          </w:p>
        </w:tc>
        <w:tc>
          <w:tcPr>
            <w:tcW w:w="706" w:type="dxa"/>
            <w:tcBorders>
              <w:top w:val="single" w:sz="4" w:space="0" w:color="D2C9B8"/>
              <w:left w:val="single" w:sz="4" w:space="0" w:color="D2C9B8"/>
              <w:bottom w:val="single" w:sz="4" w:space="0" w:color="D2C9B8"/>
              <w:right w:val="single" w:sz="4" w:space="0" w:color="D2C9B8"/>
            </w:tcBorders>
          </w:tcPr>
          <w:p w14:paraId="21E6F853" w14:textId="77777777" w:rsidR="005A5FCC" w:rsidRDefault="00A21C81">
            <w:pPr>
              <w:spacing w:before="20" w:after="20" w:line="240" w:lineRule="auto"/>
              <w:jc w:val="left"/>
            </w:pPr>
            <w:r>
              <w:rPr>
                <w:rFonts w:cs="EB Garamond"/>
                <w:kern w:val="16"/>
                <w:sz w:val="18"/>
                <w14:ligatures w14:val="standardContextual"/>
              </w:rPr>
              <w:t>56</w:t>
            </w:r>
          </w:p>
        </w:tc>
        <w:tc>
          <w:tcPr>
            <w:tcW w:w="706" w:type="dxa"/>
            <w:tcBorders>
              <w:top w:val="single" w:sz="4" w:space="0" w:color="D2C9B8"/>
              <w:left w:val="single" w:sz="4" w:space="0" w:color="D2C9B8"/>
              <w:bottom w:val="single" w:sz="4" w:space="0" w:color="D2C9B8"/>
              <w:right w:val="single" w:sz="4" w:space="0" w:color="D2C9B8"/>
            </w:tcBorders>
          </w:tcPr>
          <w:p w14:paraId="34D14AD7" w14:textId="77777777" w:rsidR="005A5FCC" w:rsidRDefault="00A21C81">
            <w:pPr>
              <w:spacing w:before="20" w:after="20" w:line="240" w:lineRule="auto"/>
              <w:jc w:val="left"/>
            </w:pPr>
            <w:r>
              <w:rPr>
                <w:rFonts w:cs="EB Garamond"/>
                <w:kern w:val="16"/>
                <w:sz w:val="18"/>
                <w14:ligatures w14:val="standardContextual"/>
              </w:rPr>
              <w:t>51</w:t>
            </w:r>
          </w:p>
        </w:tc>
      </w:tr>
      <w:tr w:rsidR="005A5FCC" w14:paraId="550F9006" w14:textId="77777777">
        <w:trPr>
          <w:jc w:val="center"/>
        </w:trPr>
        <w:tc>
          <w:tcPr>
            <w:tcW w:w="706" w:type="dxa"/>
            <w:tcBorders>
              <w:top w:val="single" w:sz="4" w:space="0" w:color="D2C9B8"/>
              <w:left w:val="single" w:sz="4" w:space="0" w:color="D2C9B8"/>
              <w:bottom w:val="single" w:sz="4" w:space="0" w:color="D2C9B8"/>
              <w:right w:val="single" w:sz="4" w:space="0" w:color="D2C9B8"/>
            </w:tcBorders>
          </w:tcPr>
          <w:p w14:paraId="5B173316" w14:textId="77777777" w:rsidR="005A5FCC" w:rsidRDefault="00A21C81">
            <w:pPr>
              <w:spacing w:before="20" w:after="20" w:line="240" w:lineRule="auto"/>
              <w:jc w:val="left"/>
            </w:pPr>
            <w:r>
              <w:rPr>
                <w:rFonts w:cs="EB Garamond"/>
                <w:kern w:val="16"/>
                <w:sz w:val="18"/>
                <w14:ligatures w14:val="standardContextual"/>
              </w:rPr>
              <w:t>2020</w:t>
            </w:r>
          </w:p>
        </w:tc>
        <w:tc>
          <w:tcPr>
            <w:tcW w:w="706" w:type="dxa"/>
            <w:tcBorders>
              <w:top w:val="single" w:sz="4" w:space="0" w:color="D2C9B8"/>
              <w:left w:val="single" w:sz="4" w:space="0" w:color="D2C9B8"/>
              <w:bottom w:val="single" w:sz="4" w:space="0" w:color="D2C9B8"/>
              <w:right w:val="single" w:sz="4" w:space="0" w:color="D2C9B8"/>
            </w:tcBorders>
          </w:tcPr>
          <w:p w14:paraId="240FC6E9" w14:textId="77777777" w:rsidR="005A5FCC" w:rsidRDefault="00A21C81">
            <w:pPr>
              <w:spacing w:before="20" w:after="20" w:line="240" w:lineRule="auto"/>
              <w:jc w:val="left"/>
            </w:pPr>
            <w:r>
              <w:rPr>
                <w:rFonts w:cs="EB Garamond"/>
                <w:kern w:val="16"/>
                <w:sz w:val="18"/>
                <w14:ligatures w14:val="standardContextual"/>
              </w:rPr>
              <w:t>97</w:t>
            </w:r>
          </w:p>
        </w:tc>
        <w:tc>
          <w:tcPr>
            <w:tcW w:w="706" w:type="dxa"/>
            <w:tcBorders>
              <w:top w:val="single" w:sz="4" w:space="0" w:color="D2C9B8"/>
              <w:left w:val="single" w:sz="4" w:space="0" w:color="D2C9B8"/>
              <w:bottom w:val="single" w:sz="4" w:space="0" w:color="D2C9B8"/>
              <w:right w:val="single" w:sz="4" w:space="0" w:color="D2C9B8"/>
            </w:tcBorders>
          </w:tcPr>
          <w:p w14:paraId="0C4E8C0C" w14:textId="77777777" w:rsidR="005A5FCC" w:rsidRDefault="00A21C81">
            <w:pPr>
              <w:spacing w:before="20" w:after="20" w:line="240" w:lineRule="auto"/>
              <w:jc w:val="left"/>
            </w:pPr>
            <w:r>
              <w:rPr>
                <w:rFonts w:cs="EB Garamond"/>
                <w:kern w:val="16"/>
                <w:sz w:val="18"/>
                <w14:ligatures w14:val="standardContextual"/>
              </w:rPr>
              <w:t>87</w:t>
            </w:r>
          </w:p>
        </w:tc>
        <w:tc>
          <w:tcPr>
            <w:tcW w:w="706" w:type="dxa"/>
            <w:tcBorders>
              <w:top w:val="single" w:sz="4" w:space="0" w:color="D2C9B8"/>
              <w:left w:val="single" w:sz="4" w:space="0" w:color="D2C9B8"/>
              <w:bottom w:val="single" w:sz="4" w:space="0" w:color="D2C9B8"/>
              <w:right w:val="single" w:sz="4" w:space="0" w:color="D2C9B8"/>
            </w:tcBorders>
          </w:tcPr>
          <w:p w14:paraId="3C5F7310" w14:textId="77777777" w:rsidR="005A5FCC" w:rsidRDefault="00A21C81">
            <w:pPr>
              <w:spacing w:before="20" w:after="20" w:line="240" w:lineRule="auto"/>
              <w:jc w:val="left"/>
            </w:pPr>
            <w:r>
              <w:rPr>
                <w:rFonts w:cs="EB Garamond"/>
                <w:kern w:val="16"/>
                <w:sz w:val="18"/>
                <w14:ligatures w14:val="standardContextual"/>
              </w:rPr>
              <w:t>61,5</w:t>
            </w:r>
          </w:p>
        </w:tc>
        <w:tc>
          <w:tcPr>
            <w:tcW w:w="706" w:type="dxa"/>
            <w:tcBorders>
              <w:top w:val="single" w:sz="4" w:space="0" w:color="D2C9B8"/>
              <w:left w:val="single" w:sz="4" w:space="0" w:color="D2C9B8"/>
              <w:bottom w:val="single" w:sz="4" w:space="0" w:color="D2C9B8"/>
              <w:right w:val="single" w:sz="4" w:space="0" w:color="D2C9B8"/>
            </w:tcBorders>
          </w:tcPr>
          <w:p w14:paraId="34CE0A53" w14:textId="77777777" w:rsidR="005A5FCC" w:rsidRDefault="00A21C81">
            <w:pPr>
              <w:spacing w:before="20" w:after="20" w:line="240" w:lineRule="auto"/>
              <w:jc w:val="left"/>
            </w:pPr>
            <w:r>
              <w:rPr>
                <w:rFonts w:cs="EB Garamond"/>
                <w:kern w:val="16"/>
                <w:sz w:val="18"/>
                <w14:ligatures w14:val="standardContextual"/>
              </w:rPr>
              <w:t>56,5</w:t>
            </w:r>
          </w:p>
        </w:tc>
        <w:tc>
          <w:tcPr>
            <w:tcW w:w="706" w:type="dxa"/>
            <w:tcBorders>
              <w:top w:val="single" w:sz="4" w:space="0" w:color="D2C9B8"/>
              <w:left w:val="single" w:sz="4" w:space="0" w:color="D2C9B8"/>
              <w:bottom w:val="single" w:sz="4" w:space="0" w:color="D2C9B8"/>
              <w:right w:val="single" w:sz="4" w:space="0" w:color="D2C9B8"/>
            </w:tcBorders>
          </w:tcPr>
          <w:p w14:paraId="5F6EE000" w14:textId="77777777" w:rsidR="005A5FCC" w:rsidRDefault="00A21C81">
            <w:pPr>
              <w:spacing w:before="20" w:after="20" w:line="240" w:lineRule="auto"/>
              <w:jc w:val="left"/>
            </w:pPr>
            <w:r>
              <w:rPr>
                <w:rFonts w:cs="EB Garamond"/>
                <w:kern w:val="16"/>
                <w:sz w:val="18"/>
                <w14:ligatures w14:val="standardContextual"/>
              </w:rPr>
              <w:t>92</w:t>
            </w:r>
          </w:p>
        </w:tc>
        <w:tc>
          <w:tcPr>
            <w:tcW w:w="706" w:type="dxa"/>
            <w:tcBorders>
              <w:top w:val="single" w:sz="4" w:space="0" w:color="D2C9B8"/>
              <w:left w:val="single" w:sz="4" w:space="0" w:color="D2C9B8"/>
              <w:bottom w:val="single" w:sz="4" w:space="0" w:color="D2C9B8"/>
              <w:right w:val="single" w:sz="4" w:space="0" w:color="D2C9B8"/>
            </w:tcBorders>
          </w:tcPr>
          <w:p w14:paraId="3B9455A3" w14:textId="77777777" w:rsidR="005A5FCC" w:rsidRDefault="00A21C81">
            <w:pPr>
              <w:spacing w:before="20" w:after="20" w:line="240" w:lineRule="auto"/>
              <w:jc w:val="left"/>
            </w:pPr>
            <w:r>
              <w:rPr>
                <w:rFonts w:cs="EB Garamond"/>
                <w:kern w:val="16"/>
                <w:sz w:val="18"/>
                <w14:ligatures w14:val="standardContextual"/>
              </w:rPr>
              <w:t>82</w:t>
            </w:r>
          </w:p>
        </w:tc>
        <w:tc>
          <w:tcPr>
            <w:tcW w:w="706" w:type="dxa"/>
            <w:tcBorders>
              <w:top w:val="single" w:sz="4" w:space="0" w:color="D2C9B8"/>
              <w:left w:val="single" w:sz="4" w:space="0" w:color="D2C9B8"/>
              <w:bottom w:val="single" w:sz="4" w:space="0" w:color="D2C9B8"/>
              <w:right w:val="single" w:sz="4" w:space="0" w:color="D2C9B8"/>
            </w:tcBorders>
          </w:tcPr>
          <w:p w14:paraId="44A62ECC" w14:textId="77777777" w:rsidR="005A5FCC" w:rsidRDefault="00A21C81">
            <w:pPr>
              <w:spacing w:before="20" w:after="20" w:line="240" w:lineRule="auto"/>
              <w:jc w:val="left"/>
            </w:pPr>
            <w:r>
              <w:rPr>
                <w:rFonts w:cs="EB Garamond"/>
                <w:kern w:val="16"/>
                <w:sz w:val="18"/>
                <w14:ligatures w14:val="standardContextual"/>
              </w:rPr>
              <w:t>56,5</w:t>
            </w:r>
          </w:p>
        </w:tc>
        <w:tc>
          <w:tcPr>
            <w:tcW w:w="706" w:type="dxa"/>
            <w:tcBorders>
              <w:top w:val="single" w:sz="4" w:space="0" w:color="D2C9B8"/>
              <w:left w:val="single" w:sz="4" w:space="0" w:color="D2C9B8"/>
              <w:bottom w:val="single" w:sz="4" w:space="0" w:color="D2C9B8"/>
              <w:right w:val="single" w:sz="4" w:space="0" w:color="D2C9B8"/>
            </w:tcBorders>
          </w:tcPr>
          <w:p w14:paraId="365E271F" w14:textId="77777777" w:rsidR="005A5FCC" w:rsidRDefault="00A21C81">
            <w:pPr>
              <w:spacing w:before="20" w:after="20" w:line="240" w:lineRule="auto"/>
              <w:jc w:val="left"/>
            </w:pPr>
            <w:r>
              <w:rPr>
                <w:rFonts w:cs="EB Garamond"/>
                <w:kern w:val="16"/>
                <w:sz w:val="18"/>
                <w14:ligatures w14:val="standardContextual"/>
              </w:rPr>
              <w:t>51,5</w:t>
            </w:r>
          </w:p>
        </w:tc>
      </w:tr>
      <w:tr w:rsidR="005A5FCC" w14:paraId="6A29BF5C" w14:textId="77777777">
        <w:trPr>
          <w:jc w:val="center"/>
        </w:trPr>
        <w:tc>
          <w:tcPr>
            <w:tcW w:w="706" w:type="dxa"/>
            <w:tcBorders>
              <w:top w:val="single" w:sz="4" w:space="0" w:color="D2C9B8"/>
              <w:left w:val="single" w:sz="4" w:space="0" w:color="D2C9B8"/>
              <w:bottom w:val="single" w:sz="4" w:space="0" w:color="D2C9B8"/>
              <w:right w:val="single" w:sz="4" w:space="0" w:color="D2C9B8"/>
            </w:tcBorders>
          </w:tcPr>
          <w:p w14:paraId="5115261F" w14:textId="77777777" w:rsidR="005A5FCC" w:rsidRDefault="00A21C81">
            <w:pPr>
              <w:spacing w:before="20" w:after="20" w:line="240" w:lineRule="auto"/>
              <w:jc w:val="left"/>
            </w:pPr>
            <w:r>
              <w:rPr>
                <w:rFonts w:cs="EB Garamond"/>
                <w:kern w:val="16"/>
                <w:sz w:val="18"/>
                <w14:ligatures w14:val="standardContextual"/>
              </w:rPr>
              <w:t>2021</w:t>
            </w:r>
          </w:p>
        </w:tc>
        <w:tc>
          <w:tcPr>
            <w:tcW w:w="706" w:type="dxa"/>
            <w:tcBorders>
              <w:top w:val="single" w:sz="4" w:space="0" w:color="D2C9B8"/>
              <w:left w:val="single" w:sz="4" w:space="0" w:color="D2C9B8"/>
              <w:bottom w:val="single" w:sz="4" w:space="0" w:color="D2C9B8"/>
              <w:right w:val="single" w:sz="4" w:space="0" w:color="D2C9B8"/>
            </w:tcBorders>
          </w:tcPr>
          <w:p w14:paraId="33645B57" w14:textId="77777777" w:rsidR="005A5FCC" w:rsidRDefault="00A21C81">
            <w:pPr>
              <w:spacing w:before="20" w:after="20" w:line="240" w:lineRule="auto"/>
              <w:jc w:val="left"/>
            </w:pPr>
            <w:r>
              <w:rPr>
                <w:rFonts w:cs="EB Garamond"/>
                <w:kern w:val="16"/>
                <w:sz w:val="18"/>
                <w14:ligatures w14:val="standardContextual"/>
              </w:rPr>
              <w:t>98</w:t>
            </w:r>
          </w:p>
        </w:tc>
        <w:tc>
          <w:tcPr>
            <w:tcW w:w="706" w:type="dxa"/>
            <w:tcBorders>
              <w:top w:val="single" w:sz="4" w:space="0" w:color="D2C9B8"/>
              <w:left w:val="single" w:sz="4" w:space="0" w:color="D2C9B8"/>
              <w:bottom w:val="single" w:sz="4" w:space="0" w:color="D2C9B8"/>
              <w:right w:val="single" w:sz="4" w:space="0" w:color="D2C9B8"/>
            </w:tcBorders>
          </w:tcPr>
          <w:p w14:paraId="2C10D78C" w14:textId="77777777" w:rsidR="005A5FCC" w:rsidRDefault="00A21C81">
            <w:pPr>
              <w:spacing w:before="20" w:after="20" w:line="240" w:lineRule="auto"/>
              <w:jc w:val="left"/>
            </w:pPr>
            <w:r>
              <w:rPr>
                <w:rFonts w:cs="EB Garamond"/>
                <w:kern w:val="16"/>
                <w:sz w:val="18"/>
                <w14:ligatures w14:val="standardContextual"/>
              </w:rPr>
              <w:t>88</w:t>
            </w:r>
          </w:p>
        </w:tc>
        <w:tc>
          <w:tcPr>
            <w:tcW w:w="706" w:type="dxa"/>
            <w:tcBorders>
              <w:top w:val="single" w:sz="4" w:space="0" w:color="D2C9B8"/>
              <w:left w:val="single" w:sz="4" w:space="0" w:color="D2C9B8"/>
              <w:bottom w:val="single" w:sz="4" w:space="0" w:color="D2C9B8"/>
              <w:right w:val="single" w:sz="4" w:space="0" w:color="D2C9B8"/>
            </w:tcBorders>
          </w:tcPr>
          <w:p w14:paraId="1D29DF84" w14:textId="77777777" w:rsidR="005A5FCC" w:rsidRDefault="00A21C81">
            <w:pPr>
              <w:spacing w:before="20" w:after="20" w:line="240" w:lineRule="auto"/>
              <w:jc w:val="left"/>
            </w:pPr>
            <w:r>
              <w:rPr>
                <w:rFonts w:cs="EB Garamond"/>
                <w:kern w:val="16"/>
                <w:sz w:val="18"/>
                <w14:ligatures w14:val="standardContextual"/>
              </w:rPr>
              <w:t>62</w:t>
            </w:r>
          </w:p>
        </w:tc>
        <w:tc>
          <w:tcPr>
            <w:tcW w:w="706" w:type="dxa"/>
            <w:tcBorders>
              <w:top w:val="single" w:sz="4" w:space="0" w:color="D2C9B8"/>
              <w:left w:val="single" w:sz="4" w:space="0" w:color="D2C9B8"/>
              <w:bottom w:val="single" w:sz="4" w:space="0" w:color="D2C9B8"/>
              <w:right w:val="single" w:sz="4" w:space="0" w:color="D2C9B8"/>
            </w:tcBorders>
          </w:tcPr>
          <w:p w14:paraId="6A7093A2" w14:textId="77777777" w:rsidR="005A5FCC" w:rsidRDefault="00A21C81">
            <w:pPr>
              <w:spacing w:before="20" w:after="20" w:line="240" w:lineRule="auto"/>
              <w:jc w:val="left"/>
            </w:pPr>
            <w:r>
              <w:rPr>
                <w:rFonts w:cs="EB Garamond"/>
                <w:kern w:val="16"/>
                <w:sz w:val="18"/>
                <w14:ligatures w14:val="standardContextual"/>
              </w:rPr>
              <w:t>57</w:t>
            </w:r>
          </w:p>
        </w:tc>
        <w:tc>
          <w:tcPr>
            <w:tcW w:w="706" w:type="dxa"/>
            <w:tcBorders>
              <w:top w:val="single" w:sz="4" w:space="0" w:color="D2C9B8"/>
              <w:left w:val="single" w:sz="4" w:space="0" w:color="D2C9B8"/>
              <w:bottom w:val="single" w:sz="4" w:space="0" w:color="D2C9B8"/>
              <w:right w:val="single" w:sz="4" w:space="0" w:color="D2C9B8"/>
            </w:tcBorders>
          </w:tcPr>
          <w:p w14:paraId="7BDC8F08" w14:textId="77777777" w:rsidR="005A5FCC" w:rsidRDefault="00A21C81">
            <w:pPr>
              <w:spacing w:before="20" w:after="20" w:line="240" w:lineRule="auto"/>
              <w:jc w:val="left"/>
            </w:pPr>
            <w:r>
              <w:rPr>
                <w:rFonts w:cs="EB Garamond"/>
                <w:kern w:val="16"/>
                <w:sz w:val="18"/>
                <w14:ligatures w14:val="standardContextual"/>
              </w:rPr>
              <w:t>93</w:t>
            </w:r>
          </w:p>
        </w:tc>
        <w:tc>
          <w:tcPr>
            <w:tcW w:w="706" w:type="dxa"/>
            <w:tcBorders>
              <w:top w:val="single" w:sz="4" w:space="0" w:color="D2C9B8"/>
              <w:left w:val="single" w:sz="4" w:space="0" w:color="D2C9B8"/>
              <w:bottom w:val="single" w:sz="4" w:space="0" w:color="D2C9B8"/>
              <w:right w:val="single" w:sz="4" w:space="0" w:color="D2C9B8"/>
            </w:tcBorders>
          </w:tcPr>
          <w:p w14:paraId="5768164C" w14:textId="77777777" w:rsidR="005A5FCC" w:rsidRDefault="00A21C81">
            <w:pPr>
              <w:spacing w:before="20" w:after="20" w:line="240" w:lineRule="auto"/>
              <w:jc w:val="left"/>
            </w:pPr>
            <w:r>
              <w:rPr>
                <w:rFonts w:cs="EB Garamond"/>
                <w:kern w:val="16"/>
                <w:sz w:val="18"/>
                <w14:ligatures w14:val="standardContextual"/>
              </w:rPr>
              <w:t>83</w:t>
            </w:r>
          </w:p>
        </w:tc>
        <w:tc>
          <w:tcPr>
            <w:tcW w:w="706" w:type="dxa"/>
            <w:tcBorders>
              <w:top w:val="single" w:sz="4" w:space="0" w:color="D2C9B8"/>
              <w:left w:val="single" w:sz="4" w:space="0" w:color="D2C9B8"/>
              <w:bottom w:val="single" w:sz="4" w:space="0" w:color="D2C9B8"/>
              <w:right w:val="single" w:sz="4" w:space="0" w:color="D2C9B8"/>
            </w:tcBorders>
          </w:tcPr>
          <w:p w14:paraId="4F2C4D22" w14:textId="77777777" w:rsidR="005A5FCC" w:rsidRDefault="00A21C81">
            <w:pPr>
              <w:spacing w:before="20" w:after="20" w:line="240" w:lineRule="auto"/>
              <w:jc w:val="left"/>
            </w:pPr>
            <w:r>
              <w:rPr>
                <w:rFonts w:cs="EB Garamond"/>
                <w:kern w:val="16"/>
                <w:sz w:val="18"/>
                <w14:ligatures w14:val="standardContextual"/>
              </w:rPr>
              <w:t>57</w:t>
            </w:r>
          </w:p>
        </w:tc>
        <w:tc>
          <w:tcPr>
            <w:tcW w:w="706" w:type="dxa"/>
            <w:tcBorders>
              <w:top w:val="single" w:sz="4" w:space="0" w:color="D2C9B8"/>
              <w:left w:val="single" w:sz="4" w:space="0" w:color="D2C9B8"/>
              <w:bottom w:val="single" w:sz="4" w:space="0" w:color="D2C9B8"/>
              <w:right w:val="single" w:sz="4" w:space="0" w:color="D2C9B8"/>
            </w:tcBorders>
          </w:tcPr>
          <w:p w14:paraId="7197DDED" w14:textId="77777777" w:rsidR="005A5FCC" w:rsidRDefault="00A21C81">
            <w:pPr>
              <w:spacing w:before="20" w:after="20" w:line="240" w:lineRule="auto"/>
              <w:jc w:val="left"/>
            </w:pPr>
            <w:r>
              <w:rPr>
                <w:rFonts w:cs="EB Garamond"/>
                <w:kern w:val="16"/>
                <w:sz w:val="18"/>
                <w14:ligatures w14:val="standardContextual"/>
              </w:rPr>
              <w:t>52</w:t>
            </w:r>
          </w:p>
        </w:tc>
      </w:tr>
      <w:tr w:rsidR="005A5FCC" w14:paraId="3FBA3D91" w14:textId="77777777">
        <w:trPr>
          <w:jc w:val="center"/>
        </w:trPr>
        <w:tc>
          <w:tcPr>
            <w:tcW w:w="706" w:type="dxa"/>
            <w:tcBorders>
              <w:top w:val="single" w:sz="4" w:space="0" w:color="D2C9B8"/>
              <w:left w:val="single" w:sz="4" w:space="0" w:color="D2C9B8"/>
              <w:bottom w:val="single" w:sz="4" w:space="0" w:color="D2C9B8"/>
              <w:right w:val="single" w:sz="4" w:space="0" w:color="D2C9B8"/>
            </w:tcBorders>
          </w:tcPr>
          <w:p w14:paraId="5E9F2CC6" w14:textId="77777777" w:rsidR="005A5FCC" w:rsidRDefault="00A21C81">
            <w:pPr>
              <w:spacing w:before="20" w:after="20" w:line="240" w:lineRule="auto"/>
              <w:jc w:val="left"/>
            </w:pPr>
            <w:r>
              <w:rPr>
                <w:rFonts w:cs="EB Garamond"/>
                <w:kern w:val="16"/>
                <w:sz w:val="18"/>
                <w14:ligatures w14:val="standardContextual"/>
              </w:rPr>
              <w:t>2022</w:t>
            </w:r>
          </w:p>
        </w:tc>
        <w:tc>
          <w:tcPr>
            <w:tcW w:w="706" w:type="dxa"/>
            <w:tcBorders>
              <w:top w:val="single" w:sz="4" w:space="0" w:color="D2C9B8"/>
              <w:left w:val="single" w:sz="4" w:space="0" w:color="D2C9B8"/>
              <w:bottom w:val="single" w:sz="4" w:space="0" w:color="D2C9B8"/>
              <w:right w:val="single" w:sz="4" w:space="0" w:color="D2C9B8"/>
            </w:tcBorders>
          </w:tcPr>
          <w:p w14:paraId="1B85878A" w14:textId="77777777" w:rsidR="005A5FCC" w:rsidRDefault="00A21C81">
            <w:pPr>
              <w:spacing w:before="20" w:after="20" w:line="240" w:lineRule="auto"/>
              <w:jc w:val="left"/>
            </w:pPr>
            <w:r>
              <w:rPr>
                <w:rFonts w:cs="EB Garamond"/>
                <w:kern w:val="16"/>
                <w:sz w:val="18"/>
                <w14:ligatures w14:val="standardContextual"/>
              </w:rPr>
              <w:t>99</w:t>
            </w:r>
          </w:p>
        </w:tc>
        <w:tc>
          <w:tcPr>
            <w:tcW w:w="706" w:type="dxa"/>
            <w:tcBorders>
              <w:top w:val="single" w:sz="4" w:space="0" w:color="D2C9B8"/>
              <w:left w:val="single" w:sz="4" w:space="0" w:color="D2C9B8"/>
              <w:bottom w:val="single" w:sz="4" w:space="0" w:color="D2C9B8"/>
              <w:right w:val="single" w:sz="4" w:space="0" w:color="D2C9B8"/>
            </w:tcBorders>
          </w:tcPr>
          <w:p w14:paraId="6CAD8A47" w14:textId="77777777" w:rsidR="005A5FCC" w:rsidRDefault="00A21C81">
            <w:pPr>
              <w:spacing w:before="20" w:after="20" w:line="240" w:lineRule="auto"/>
              <w:jc w:val="left"/>
            </w:pPr>
            <w:r>
              <w:rPr>
                <w:rFonts w:cs="EB Garamond"/>
                <w:kern w:val="16"/>
                <w:sz w:val="18"/>
                <w14:ligatures w14:val="standardContextual"/>
              </w:rPr>
              <w:t>89</w:t>
            </w:r>
          </w:p>
        </w:tc>
        <w:tc>
          <w:tcPr>
            <w:tcW w:w="706" w:type="dxa"/>
            <w:tcBorders>
              <w:top w:val="single" w:sz="4" w:space="0" w:color="D2C9B8"/>
              <w:left w:val="single" w:sz="4" w:space="0" w:color="D2C9B8"/>
              <w:bottom w:val="single" w:sz="4" w:space="0" w:color="D2C9B8"/>
              <w:right w:val="single" w:sz="4" w:space="0" w:color="D2C9B8"/>
            </w:tcBorders>
          </w:tcPr>
          <w:p w14:paraId="589EBB21" w14:textId="77777777" w:rsidR="005A5FCC" w:rsidRDefault="00A21C81">
            <w:pPr>
              <w:spacing w:before="20" w:after="20" w:line="240" w:lineRule="auto"/>
              <w:jc w:val="left"/>
            </w:pPr>
            <w:r>
              <w:rPr>
                <w:rFonts w:cs="EB Garamond"/>
                <w:kern w:val="16"/>
                <w:sz w:val="18"/>
                <w14:ligatures w14:val="standardContextual"/>
              </w:rPr>
              <w:t>62,5</w:t>
            </w:r>
          </w:p>
        </w:tc>
        <w:tc>
          <w:tcPr>
            <w:tcW w:w="706" w:type="dxa"/>
            <w:tcBorders>
              <w:top w:val="single" w:sz="4" w:space="0" w:color="D2C9B8"/>
              <w:left w:val="single" w:sz="4" w:space="0" w:color="D2C9B8"/>
              <w:bottom w:val="single" w:sz="4" w:space="0" w:color="D2C9B8"/>
              <w:right w:val="single" w:sz="4" w:space="0" w:color="D2C9B8"/>
            </w:tcBorders>
          </w:tcPr>
          <w:p w14:paraId="5C7DCC36" w14:textId="77777777" w:rsidR="005A5FCC" w:rsidRDefault="00A21C81">
            <w:pPr>
              <w:spacing w:before="20" w:after="20" w:line="240" w:lineRule="auto"/>
              <w:jc w:val="left"/>
            </w:pPr>
            <w:r>
              <w:rPr>
                <w:rFonts w:cs="EB Garamond"/>
                <w:kern w:val="16"/>
                <w:sz w:val="18"/>
                <w14:ligatures w14:val="standardContextual"/>
              </w:rPr>
              <w:t>57,5</w:t>
            </w:r>
          </w:p>
        </w:tc>
        <w:tc>
          <w:tcPr>
            <w:tcW w:w="706" w:type="dxa"/>
            <w:tcBorders>
              <w:top w:val="single" w:sz="4" w:space="0" w:color="D2C9B8"/>
              <w:left w:val="single" w:sz="4" w:space="0" w:color="D2C9B8"/>
              <w:bottom w:val="single" w:sz="4" w:space="0" w:color="D2C9B8"/>
              <w:right w:val="single" w:sz="4" w:space="0" w:color="D2C9B8"/>
            </w:tcBorders>
          </w:tcPr>
          <w:p w14:paraId="61100AAF" w14:textId="77777777" w:rsidR="005A5FCC" w:rsidRDefault="00A21C81">
            <w:pPr>
              <w:spacing w:before="20" w:after="20" w:line="240" w:lineRule="auto"/>
              <w:jc w:val="left"/>
            </w:pPr>
            <w:r>
              <w:rPr>
                <w:rFonts w:cs="EB Garamond"/>
                <w:kern w:val="16"/>
                <w:sz w:val="18"/>
                <w14:ligatures w14:val="standardContextual"/>
              </w:rPr>
              <w:t>94</w:t>
            </w:r>
          </w:p>
        </w:tc>
        <w:tc>
          <w:tcPr>
            <w:tcW w:w="706" w:type="dxa"/>
            <w:tcBorders>
              <w:top w:val="single" w:sz="4" w:space="0" w:color="D2C9B8"/>
              <w:left w:val="single" w:sz="4" w:space="0" w:color="D2C9B8"/>
              <w:bottom w:val="single" w:sz="4" w:space="0" w:color="D2C9B8"/>
              <w:right w:val="single" w:sz="4" w:space="0" w:color="D2C9B8"/>
            </w:tcBorders>
          </w:tcPr>
          <w:p w14:paraId="3F76B7F6" w14:textId="77777777" w:rsidR="005A5FCC" w:rsidRDefault="00A21C81">
            <w:pPr>
              <w:spacing w:before="20" w:after="20" w:line="240" w:lineRule="auto"/>
              <w:jc w:val="left"/>
            </w:pPr>
            <w:r>
              <w:rPr>
                <w:rFonts w:cs="EB Garamond"/>
                <w:kern w:val="16"/>
                <w:sz w:val="18"/>
                <w14:ligatures w14:val="standardContextual"/>
              </w:rPr>
              <w:t>84</w:t>
            </w:r>
          </w:p>
        </w:tc>
        <w:tc>
          <w:tcPr>
            <w:tcW w:w="706" w:type="dxa"/>
            <w:tcBorders>
              <w:top w:val="single" w:sz="4" w:space="0" w:color="D2C9B8"/>
              <w:left w:val="single" w:sz="4" w:space="0" w:color="D2C9B8"/>
              <w:bottom w:val="single" w:sz="4" w:space="0" w:color="D2C9B8"/>
              <w:right w:val="single" w:sz="4" w:space="0" w:color="D2C9B8"/>
            </w:tcBorders>
          </w:tcPr>
          <w:p w14:paraId="487C30C8" w14:textId="77777777" w:rsidR="005A5FCC" w:rsidRDefault="00A21C81">
            <w:pPr>
              <w:spacing w:before="20" w:after="20" w:line="240" w:lineRule="auto"/>
              <w:jc w:val="left"/>
            </w:pPr>
            <w:r>
              <w:rPr>
                <w:rFonts w:cs="EB Garamond"/>
                <w:kern w:val="16"/>
                <w:sz w:val="18"/>
                <w14:ligatures w14:val="standardContextual"/>
              </w:rPr>
              <w:t>57,5</w:t>
            </w:r>
          </w:p>
        </w:tc>
        <w:tc>
          <w:tcPr>
            <w:tcW w:w="706" w:type="dxa"/>
            <w:tcBorders>
              <w:top w:val="single" w:sz="4" w:space="0" w:color="D2C9B8"/>
              <w:left w:val="single" w:sz="4" w:space="0" w:color="D2C9B8"/>
              <w:bottom w:val="single" w:sz="4" w:space="0" w:color="D2C9B8"/>
              <w:right w:val="single" w:sz="4" w:space="0" w:color="D2C9B8"/>
            </w:tcBorders>
          </w:tcPr>
          <w:p w14:paraId="5F684F62" w14:textId="77777777" w:rsidR="005A5FCC" w:rsidRDefault="00A21C81">
            <w:pPr>
              <w:spacing w:before="20" w:after="20" w:line="240" w:lineRule="auto"/>
              <w:jc w:val="left"/>
            </w:pPr>
            <w:r>
              <w:rPr>
                <w:rFonts w:cs="EB Garamond"/>
                <w:kern w:val="16"/>
                <w:sz w:val="18"/>
                <w14:ligatures w14:val="standardContextual"/>
              </w:rPr>
              <w:t>52,5</w:t>
            </w:r>
          </w:p>
        </w:tc>
      </w:tr>
      <w:tr w:rsidR="005A5FCC" w14:paraId="3D7F8F47" w14:textId="77777777">
        <w:trPr>
          <w:jc w:val="center"/>
        </w:trPr>
        <w:tc>
          <w:tcPr>
            <w:tcW w:w="706" w:type="dxa"/>
            <w:tcBorders>
              <w:top w:val="single" w:sz="4" w:space="0" w:color="D2C9B8"/>
              <w:left w:val="single" w:sz="4" w:space="0" w:color="D2C9B8"/>
              <w:bottom w:val="single" w:sz="4" w:space="0" w:color="D2C9B8"/>
              <w:right w:val="single" w:sz="4" w:space="0" w:color="D2C9B8"/>
            </w:tcBorders>
          </w:tcPr>
          <w:p w14:paraId="66D8AAC8" w14:textId="77777777" w:rsidR="005A5FCC" w:rsidRDefault="00A21C81">
            <w:pPr>
              <w:spacing w:before="20" w:after="20" w:line="240" w:lineRule="auto"/>
              <w:jc w:val="left"/>
            </w:pPr>
            <w:r>
              <w:rPr>
                <w:rFonts w:cs="EB Garamond"/>
                <w:kern w:val="16"/>
                <w:sz w:val="18"/>
                <w14:ligatures w14:val="standardContextual"/>
              </w:rPr>
              <w:t>2023</w:t>
            </w:r>
          </w:p>
        </w:tc>
        <w:tc>
          <w:tcPr>
            <w:tcW w:w="706" w:type="dxa"/>
            <w:tcBorders>
              <w:top w:val="single" w:sz="4" w:space="0" w:color="D2C9B8"/>
              <w:left w:val="single" w:sz="4" w:space="0" w:color="D2C9B8"/>
              <w:bottom w:val="single" w:sz="4" w:space="0" w:color="D2C9B8"/>
              <w:right w:val="single" w:sz="4" w:space="0" w:color="D2C9B8"/>
            </w:tcBorders>
          </w:tcPr>
          <w:p w14:paraId="211CA2F5" w14:textId="77777777" w:rsidR="005A5FCC" w:rsidRDefault="00A21C81">
            <w:pPr>
              <w:spacing w:before="20" w:after="20" w:line="240" w:lineRule="auto"/>
              <w:jc w:val="left"/>
            </w:pPr>
            <w:r>
              <w:rPr>
                <w:rFonts w:cs="EB Garamond"/>
                <w:kern w:val="16"/>
                <w:sz w:val="18"/>
                <w14:ligatures w14:val="standardContextual"/>
              </w:rPr>
              <w:t>100</w:t>
            </w:r>
          </w:p>
        </w:tc>
        <w:tc>
          <w:tcPr>
            <w:tcW w:w="706" w:type="dxa"/>
            <w:tcBorders>
              <w:top w:val="single" w:sz="4" w:space="0" w:color="D2C9B8"/>
              <w:left w:val="single" w:sz="4" w:space="0" w:color="D2C9B8"/>
              <w:bottom w:val="single" w:sz="4" w:space="0" w:color="D2C9B8"/>
              <w:right w:val="single" w:sz="4" w:space="0" w:color="D2C9B8"/>
            </w:tcBorders>
          </w:tcPr>
          <w:p w14:paraId="62A464D9" w14:textId="77777777" w:rsidR="005A5FCC" w:rsidRDefault="00A21C81">
            <w:pPr>
              <w:spacing w:before="20" w:after="20" w:line="240" w:lineRule="auto"/>
              <w:jc w:val="left"/>
            </w:pPr>
            <w:r>
              <w:rPr>
                <w:rFonts w:cs="EB Garamond"/>
                <w:kern w:val="16"/>
                <w:sz w:val="18"/>
                <w14:ligatures w14:val="standardContextual"/>
              </w:rPr>
              <w:t>90</w:t>
            </w:r>
          </w:p>
        </w:tc>
        <w:tc>
          <w:tcPr>
            <w:tcW w:w="706" w:type="dxa"/>
            <w:tcBorders>
              <w:top w:val="single" w:sz="4" w:space="0" w:color="D2C9B8"/>
              <w:left w:val="single" w:sz="4" w:space="0" w:color="D2C9B8"/>
              <w:bottom w:val="single" w:sz="4" w:space="0" w:color="D2C9B8"/>
              <w:right w:val="single" w:sz="4" w:space="0" w:color="D2C9B8"/>
            </w:tcBorders>
          </w:tcPr>
          <w:p w14:paraId="57BDBC7C" w14:textId="77777777" w:rsidR="005A5FCC" w:rsidRDefault="00A21C81">
            <w:pPr>
              <w:spacing w:before="20" w:after="20" w:line="240" w:lineRule="auto"/>
              <w:jc w:val="left"/>
            </w:pPr>
            <w:r>
              <w:rPr>
                <w:rFonts w:cs="EB Garamond"/>
                <w:kern w:val="16"/>
                <w:sz w:val="18"/>
                <w14:ligatures w14:val="standardContextual"/>
              </w:rPr>
              <w:t>63</w:t>
            </w:r>
          </w:p>
        </w:tc>
        <w:tc>
          <w:tcPr>
            <w:tcW w:w="706" w:type="dxa"/>
            <w:tcBorders>
              <w:top w:val="single" w:sz="4" w:space="0" w:color="D2C9B8"/>
              <w:left w:val="single" w:sz="4" w:space="0" w:color="D2C9B8"/>
              <w:bottom w:val="single" w:sz="4" w:space="0" w:color="D2C9B8"/>
              <w:right w:val="single" w:sz="4" w:space="0" w:color="D2C9B8"/>
            </w:tcBorders>
          </w:tcPr>
          <w:p w14:paraId="24F4D137" w14:textId="77777777" w:rsidR="005A5FCC" w:rsidRDefault="00A21C81">
            <w:pPr>
              <w:spacing w:before="20" w:after="20" w:line="240" w:lineRule="auto"/>
              <w:jc w:val="left"/>
            </w:pPr>
            <w:r>
              <w:rPr>
                <w:rFonts w:cs="EB Garamond"/>
                <w:kern w:val="16"/>
                <w:sz w:val="18"/>
                <w14:ligatures w14:val="standardContextual"/>
              </w:rPr>
              <w:t>58</w:t>
            </w:r>
          </w:p>
        </w:tc>
        <w:tc>
          <w:tcPr>
            <w:tcW w:w="706" w:type="dxa"/>
            <w:tcBorders>
              <w:top w:val="single" w:sz="4" w:space="0" w:color="D2C9B8"/>
              <w:left w:val="single" w:sz="4" w:space="0" w:color="D2C9B8"/>
              <w:bottom w:val="single" w:sz="4" w:space="0" w:color="D2C9B8"/>
              <w:right w:val="single" w:sz="4" w:space="0" w:color="D2C9B8"/>
            </w:tcBorders>
          </w:tcPr>
          <w:p w14:paraId="5F0B0199" w14:textId="77777777" w:rsidR="005A5FCC" w:rsidRDefault="00A21C81">
            <w:pPr>
              <w:spacing w:before="20" w:after="20" w:line="240" w:lineRule="auto"/>
              <w:jc w:val="left"/>
            </w:pPr>
            <w:r>
              <w:rPr>
                <w:rFonts w:cs="EB Garamond"/>
                <w:kern w:val="16"/>
                <w:sz w:val="18"/>
                <w14:ligatures w14:val="standardContextual"/>
              </w:rPr>
              <w:t>95</w:t>
            </w:r>
          </w:p>
        </w:tc>
        <w:tc>
          <w:tcPr>
            <w:tcW w:w="706" w:type="dxa"/>
            <w:tcBorders>
              <w:top w:val="single" w:sz="4" w:space="0" w:color="D2C9B8"/>
              <w:left w:val="single" w:sz="4" w:space="0" w:color="D2C9B8"/>
              <w:bottom w:val="single" w:sz="4" w:space="0" w:color="D2C9B8"/>
              <w:right w:val="single" w:sz="4" w:space="0" w:color="D2C9B8"/>
            </w:tcBorders>
          </w:tcPr>
          <w:p w14:paraId="44492386" w14:textId="77777777" w:rsidR="005A5FCC" w:rsidRDefault="00A21C81">
            <w:pPr>
              <w:spacing w:before="20" w:after="20" w:line="240" w:lineRule="auto"/>
              <w:jc w:val="left"/>
            </w:pPr>
            <w:r>
              <w:rPr>
                <w:rFonts w:cs="EB Garamond"/>
                <w:kern w:val="16"/>
                <w:sz w:val="18"/>
                <w14:ligatures w14:val="standardContextual"/>
              </w:rPr>
              <w:t>85</w:t>
            </w:r>
          </w:p>
        </w:tc>
        <w:tc>
          <w:tcPr>
            <w:tcW w:w="706" w:type="dxa"/>
            <w:tcBorders>
              <w:top w:val="single" w:sz="4" w:space="0" w:color="D2C9B8"/>
              <w:left w:val="single" w:sz="4" w:space="0" w:color="D2C9B8"/>
              <w:bottom w:val="single" w:sz="4" w:space="0" w:color="D2C9B8"/>
              <w:right w:val="single" w:sz="4" w:space="0" w:color="D2C9B8"/>
            </w:tcBorders>
          </w:tcPr>
          <w:p w14:paraId="44E49675" w14:textId="77777777" w:rsidR="005A5FCC" w:rsidRDefault="00A21C81">
            <w:pPr>
              <w:spacing w:before="20" w:after="20" w:line="240" w:lineRule="auto"/>
              <w:jc w:val="left"/>
            </w:pPr>
            <w:r>
              <w:rPr>
                <w:rFonts w:cs="EB Garamond"/>
                <w:kern w:val="16"/>
                <w:sz w:val="18"/>
                <w14:ligatures w14:val="standardContextual"/>
              </w:rPr>
              <w:t>58</w:t>
            </w:r>
          </w:p>
        </w:tc>
        <w:tc>
          <w:tcPr>
            <w:tcW w:w="706" w:type="dxa"/>
            <w:tcBorders>
              <w:top w:val="single" w:sz="4" w:space="0" w:color="D2C9B8"/>
              <w:left w:val="single" w:sz="4" w:space="0" w:color="D2C9B8"/>
              <w:bottom w:val="single" w:sz="4" w:space="0" w:color="D2C9B8"/>
              <w:right w:val="single" w:sz="4" w:space="0" w:color="D2C9B8"/>
            </w:tcBorders>
          </w:tcPr>
          <w:p w14:paraId="106CEAFC" w14:textId="77777777" w:rsidR="005A5FCC" w:rsidRDefault="00A21C81">
            <w:pPr>
              <w:spacing w:before="20" w:after="20" w:line="240" w:lineRule="auto"/>
              <w:jc w:val="left"/>
            </w:pPr>
            <w:r>
              <w:rPr>
                <w:rFonts w:cs="EB Garamond"/>
                <w:kern w:val="16"/>
                <w:sz w:val="18"/>
                <w14:ligatures w14:val="standardContextual"/>
              </w:rPr>
              <w:t>53</w:t>
            </w:r>
          </w:p>
        </w:tc>
      </w:tr>
      <w:tr w:rsidR="005A5FCC" w14:paraId="35EEE31F" w14:textId="77777777">
        <w:trPr>
          <w:jc w:val="center"/>
        </w:trPr>
        <w:tc>
          <w:tcPr>
            <w:tcW w:w="706" w:type="dxa"/>
            <w:tcBorders>
              <w:top w:val="single" w:sz="4" w:space="0" w:color="D2C9B8"/>
              <w:left w:val="single" w:sz="4" w:space="0" w:color="D2C9B8"/>
              <w:bottom w:val="single" w:sz="4" w:space="0" w:color="D2C9B8"/>
              <w:right w:val="single" w:sz="4" w:space="0" w:color="D2C9B8"/>
            </w:tcBorders>
          </w:tcPr>
          <w:p w14:paraId="61A86671" w14:textId="77777777" w:rsidR="005A5FCC" w:rsidRDefault="00A21C81">
            <w:pPr>
              <w:spacing w:before="20" w:after="20" w:line="240" w:lineRule="auto"/>
              <w:jc w:val="left"/>
            </w:pPr>
            <w:r>
              <w:rPr>
                <w:rFonts w:cs="EB Garamond"/>
                <w:kern w:val="16"/>
                <w:sz w:val="18"/>
                <w14:ligatures w14:val="standardContextual"/>
              </w:rPr>
              <w:t>2024</w:t>
            </w:r>
          </w:p>
        </w:tc>
        <w:tc>
          <w:tcPr>
            <w:tcW w:w="706" w:type="dxa"/>
            <w:tcBorders>
              <w:top w:val="single" w:sz="4" w:space="0" w:color="D2C9B8"/>
              <w:left w:val="single" w:sz="4" w:space="0" w:color="D2C9B8"/>
              <w:bottom w:val="single" w:sz="4" w:space="0" w:color="D2C9B8"/>
              <w:right w:val="single" w:sz="4" w:space="0" w:color="D2C9B8"/>
            </w:tcBorders>
          </w:tcPr>
          <w:p w14:paraId="146EDA1D" w14:textId="77777777" w:rsidR="005A5FCC" w:rsidRDefault="00A21C81">
            <w:pPr>
              <w:spacing w:before="20" w:after="20" w:line="240" w:lineRule="auto"/>
              <w:jc w:val="left"/>
            </w:pPr>
            <w:r>
              <w:rPr>
                <w:rFonts w:cs="EB Garamond"/>
                <w:kern w:val="16"/>
                <w:sz w:val="18"/>
                <w14:ligatures w14:val="standardContextual"/>
              </w:rPr>
              <w:t>101</w:t>
            </w:r>
          </w:p>
        </w:tc>
        <w:tc>
          <w:tcPr>
            <w:tcW w:w="706" w:type="dxa"/>
            <w:tcBorders>
              <w:top w:val="single" w:sz="4" w:space="0" w:color="D2C9B8"/>
              <w:left w:val="single" w:sz="4" w:space="0" w:color="D2C9B8"/>
              <w:bottom w:val="single" w:sz="4" w:space="0" w:color="D2C9B8"/>
              <w:right w:val="single" w:sz="4" w:space="0" w:color="D2C9B8"/>
            </w:tcBorders>
          </w:tcPr>
          <w:p w14:paraId="7BB254F0" w14:textId="77777777" w:rsidR="005A5FCC" w:rsidRDefault="00A21C81">
            <w:pPr>
              <w:spacing w:before="20" w:after="20" w:line="240" w:lineRule="auto"/>
              <w:jc w:val="left"/>
            </w:pPr>
            <w:r>
              <w:rPr>
                <w:rFonts w:cs="EB Garamond"/>
                <w:kern w:val="16"/>
                <w:sz w:val="18"/>
                <w14:ligatures w14:val="standardContextual"/>
              </w:rPr>
              <w:t>91</w:t>
            </w:r>
          </w:p>
        </w:tc>
        <w:tc>
          <w:tcPr>
            <w:tcW w:w="706" w:type="dxa"/>
            <w:tcBorders>
              <w:top w:val="single" w:sz="4" w:space="0" w:color="D2C9B8"/>
              <w:left w:val="single" w:sz="4" w:space="0" w:color="D2C9B8"/>
              <w:bottom w:val="single" w:sz="4" w:space="0" w:color="D2C9B8"/>
              <w:right w:val="single" w:sz="4" w:space="0" w:color="D2C9B8"/>
            </w:tcBorders>
          </w:tcPr>
          <w:p w14:paraId="03716331" w14:textId="77777777" w:rsidR="005A5FCC" w:rsidRDefault="00A21C81">
            <w:pPr>
              <w:spacing w:before="20" w:after="20" w:line="240" w:lineRule="auto"/>
              <w:jc w:val="left"/>
            </w:pPr>
            <w:r>
              <w:rPr>
                <w:rFonts w:cs="EB Garamond"/>
                <w:kern w:val="16"/>
                <w:sz w:val="18"/>
                <w14:ligatures w14:val="standardContextual"/>
              </w:rPr>
              <w:t>63,5</w:t>
            </w:r>
          </w:p>
        </w:tc>
        <w:tc>
          <w:tcPr>
            <w:tcW w:w="706" w:type="dxa"/>
            <w:tcBorders>
              <w:top w:val="single" w:sz="4" w:space="0" w:color="D2C9B8"/>
              <w:left w:val="single" w:sz="4" w:space="0" w:color="D2C9B8"/>
              <w:bottom w:val="single" w:sz="4" w:space="0" w:color="D2C9B8"/>
              <w:right w:val="single" w:sz="4" w:space="0" w:color="D2C9B8"/>
            </w:tcBorders>
          </w:tcPr>
          <w:p w14:paraId="2FF706C6" w14:textId="77777777" w:rsidR="005A5FCC" w:rsidRDefault="00A21C81">
            <w:pPr>
              <w:spacing w:before="20" w:after="20" w:line="240" w:lineRule="auto"/>
              <w:jc w:val="left"/>
            </w:pPr>
            <w:r>
              <w:rPr>
                <w:rFonts w:cs="EB Garamond"/>
                <w:kern w:val="16"/>
                <w:sz w:val="18"/>
                <w14:ligatures w14:val="standardContextual"/>
              </w:rPr>
              <w:t>58,5</w:t>
            </w:r>
          </w:p>
        </w:tc>
        <w:tc>
          <w:tcPr>
            <w:tcW w:w="706" w:type="dxa"/>
            <w:tcBorders>
              <w:top w:val="single" w:sz="4" w:space="0" w:color="D2C9B8"/>
              <w:left w:val="single" w:sz="4" w:space="0" w:color="D2C9B8"/>
              <w:bottom w:val="single" w:sz="4" w:space="0" w:color="D2C9B8"/>
              <w:right w:val="single" w:sz="4" w:space="0" w:color="D2C9B8"/>
            </w:tcBorders>
          </w:tcPr>
          <w:p w14:paraId="32CBA7B5" w14:textId="77777777" w:rsidR="005A5FCC" w:rsidRDefault="00A21C81">
            <w:pPr>
              <w:spacing w:before="20" w:after="20" w:line="240" w:lineRule="auto"/>
              <w:jc w:val="left"/>
            </w:pPr>
            <w:r>
              <w:rPr>
                <w:rFonts w:cs="EB Garamond"/>
                <w:kern w:val="16"/>
                <w:sz w:val="18"/>
                <w14:ligatures w14:val="standardContextual"/>
              </w:rPr>
              <w:t>96</w:t>
            </w:r>
          </w:p>
        </w:tc>
        <w:tc>
          <w:tcPr>
            <w:tcW w:w="706" w:type="dxa"/>
            <w:tcBorders>
              <w:top w:val="single" w:sz="4" w:space="0" w:color="D2C9B8"/>
              <w:left w:val="single" w:sz="4" w:space="0" w:color="D2C9B8"/>
              <w:bottom w:val="single" w:sz="4" w:space="0" w:color="D2C9B8"/>
              <w:right w:val="single" w:sz="4" w:space="0" w:color="D2C9B8"/>
            </w:tcBorders>
          </w:tcPr>
          <w:p w14:paraId="49ED930F" w14:textId="77777777" w:rsidR="005A5FCC" w:rsidRDefault="00A21C81">
            <w:pPr>
              <w:spacing w:before="20" w:after="20" w:line="240" w:lineRule="auto"/>
              <w:jc w:val="left"/>
            </w:pPr>
            <w:r>
              <w:rPr>
                <w:rFonts w:cs="EB Garamond"/>
                <w:kern w:val="16"/>
                <w:sz w:val="18"/>
                <w14:ligatures w14:val="standardContextual"/>
              </w:rPr>
              <w:t>86</w:t>
            </w:r>
          </w:p>
        </w:tc>
        <w:tc>
          <w:tcPr>
            <w:tcW w:w="706" w:type="dxa"/>
            <w:tcBorders>
              <w:top w:val="single" w:sz="4" w:space="0" w:color="D2C9B8"/>
              <w:left w:val="single" w:sz="4" w:space="0" w:color="D2C9B8"/>
              <w:bottom w:val="single" w:sz="4" w:space="0" w:color="D2C9B8"/>
              <w:right w:val="single" w:sz="4" w:space="0" w:color="D2C9B8"/>
            </w:tcBorders>
          </w:tcPr>
          <w:p w14:paraId="3A2F8B27" w14:textId="77777777" w:rsidR="005A5FCC" w:rsidRDefault="00A21C81">
            <w:pPr>
              <w:spacing w:before="20" w:after="20" w:line="240" w:lineRule="auto"/>
              <w:jc w:val="left"/>
            </w:pPr>
            <w:r>
              <w:rPr>
                <w:rFonts w:cs="EB Garamond"/>
                <w:kern w:val="16"/>
                <w:sz w:val="18"/>
                <w14:ligatures w14:val="standardContextual"/>
              </w:rPr>
              <w:t>58,5</w:t>
            </w:r>
          </w:p>
        </w:tc>
        <w:tc>
          <w:tcPr>
            <w:tcW w:w="706" w:type="dxa"/>
            <w:tcBorders>
              <w:top w:val="single" w:sz="4" w:space="0" w:color="D2C9B8"/>
              <w:left w:val="single" w:sz="4" w:space="0" w:color="D2C9B8"/>
              <w:bottom w:val="single" w:sz="4" w:space="0" w:color="D2C9B8"/>
              <w:right w:val="single" w:sz="4" w:space="0" w:color="D2C9B8"/>
            </w:tcBorders>
          </w:tcPr>
          <w:p w14:paraId="4CFA35CD" w14:textId="77777777" w:rsidR="005A5FCC" w:rsidRDefault="00A21C81">
            <w:pPr>
              <w:spacing w:before="20" w:after="20" w:line="240" w:lineRule="auto"/>
              <w:jc w:val="left"/>
            </w:pPr>
            <w:r>
              <w:rPr>
                <w:rFonts w:cs="EB Garamond"/>
                <w:kern w:val="16"/>
                <w:sz w:val="18"/>
                <w14:ligatures w14:val="standardContextual"/>
              </w:rPr>
              <w:t>53,5</w:t>
            </w:r>
          </w:p>
        </w:tc>
      </w:tr>
      <w:tr w:rsidR="005A5FCC" w14:paraId="1345ACD7" w14:textId="77777777">
        <w:trPr>
          <w:jc w:val="center"/>
        </w:trPr>
        <w:tc>
          <w:tcPr>
            <w:tcW w:w="706" w:type="dxa"/>
            <w:tcBorders>
              <w:top w:val="single" w:sz="4" w:space="0" w:color="D2C9B8"/>
              <w:left w:val="single" w:sz="4" w:space="0" w:color="D2C9B8"/>
              <w:bottom w:val="single" w:sz="4" w:space="0" w:color="D2C9B8"/>
              <w:right w:val="single" w:sz="4" w:space="0" w:color="D2C9B8"/>
            </w:tcBorders>
          </w:tcPr>
          <w:p w14:paraId="288BFA73" w14:textId="77777777" w:rsidR="005A5FCC" w:rsidRDefault="00A21C81">
            <w:pPr>
              <w:spacing w:before="20" w:after="20" w:line="240" w:lineRule="auto"/>
              <w:jc w:val="left"/>
            </w:pPr>
            <w:r>
              <w:rPr>
                <w:rFonts w:cs="EB Garamond"/>
                <w:kern w:val="16"/>
                <w:sz w:val="18"/>
                <w14:ligatures w14:val="standardContextual"/>
              </w:rPr>
              <w:lastRenderedPageBreak/>
              <w:t>2025</w:t>
            </w:r>
          </w:p>
        </w:tc>
        <w:tc>
          <w:tcPr>
            <w:tcW w:w="706" w:type="dxa"/>
            <w:tcBorders>
              <w:top w:val="single" w:sz="4" w:space="0" w:color="D2C9B8"/>
              <w:left w:val="single" w:sz="4" w:space="0" w:color="D2C9B8"/>
              <w:bottom w:val="single" w:sz="4" w:space="0" w:color="D2C9B8"/>
              <w:right w:val="single" w:sz="4" w:space="0" w:color="D2C9B8"/>
            </w:tcBorders>
          </w:tcPr>
          <w:p w14:paraId="1D13CD9E" w14:textId="77777777" w:rsidR="005A5FCC" w:rsidRDefault="00A21C81">
            <w:pPr>
              <w:spacing w:before="20" w:after="20" w:line="240" w:lineRule="auto"/>
              <w:jc w:val="left"/>
            </w:pPr>
            <w:r>
              <w:rPr>
                <w:rFonts w:cs="EB Garamond"/>
                <w:kern w:val="16"/>
                <w:sz w:val="18"/>
                <w14:ligatures w14:val="standardContextual"/>
              </w:rPr>
              <w:t>102</w:t>
            </w:r>
          </w:p>
        </w:tc>
        <w:tc>
          <w:tcPr>
            <w:tcW w:w="706" w:type="dxa"/>
            <w:tcBorders>
              <w:top w:val="single" w:sz="4" w:space="0" w:color="D2C9B8"/>
              <w:left w:val="single" w:sz="4" w:space="0" w:color="D2C9B8"/>
              <w:bottom w:val="single" w:sz="4" w:space="0" w:color="D2C9B8"/>
              <w:right w:val="single" w:sz="4" w:space="0" w:color="D2C9B8"/>
            </w:tcBorders>
          </w:tcPr>
          <w:p w14:paraId="1BC3F6F3" w14:textId="77777777" w:rsidR="005A5FCC" w:rsidRDefault="00A21C81">
            <w:pPr>
              <w:spacing w:before="20" w:after="20" w:line="240" w:lineRule="auto"/>
              <w:jc w:val="left"/>
            </w:pPr>
            <w:r>
              <w:rPr>
                <w:rFonts w:cs="EB Garamond"/>
                <w:kern w:val="16"/>
                <w:sz w:val="18"/>
                <w14:ligatures w14:val="standardContextual"/>
              </w:rPr>
              <w:t>92</w:t>
            </w:r>
          </w:p>
        </w:tc>
        <w:tc>
          <w:tcPr>
            <w:tcW w:w="706" w:type="dxa"/>
            <w:tcBorders>
              <w:top w:val="single" w:sz="4" w:space="0" w:color="D2C9B8"/>
              <w:left w:val="single" w:sz="4" w:space="0" w:color="D2C9B8"/>
              <w:bottom w:val="single" w:sz="4" w:space="0" w:color="D2C9B8"/>
              <w:right w:val="single" w:sz="4" w:space="0" w:color="D2C9B8"/>
            </w:tcBorders>
          </w:tcPr>
          <w:p w14:paraId="47E585DE" w14:textId="77777777" w:rsidR="005A5FCC" w:rsidRDefault="00A21C81">
            <w:pPr>
              <w:spacing w:before="20" w:after="20" w:line="240" w:lineRule="auto"/>
              <w:jc w:val="left"/>
            </w:pPr>
            <w:r>
              <w:rPr>
                <w:rFonts w:cs="EB Garamond"/>
                <w:kern w:val="16"/>
                <w:sz w:val="18"/>
                <w14:ligatures w14:val="standardContextual"/>
              </w:rPr>
              <w:t>64</w:t>
            </w:r>
          </w:p>
        </w:tc>
        <w:tc>
          <w:tcPr>
            <w:tcW w:w="706" w:type="dxa"/>
            <w:tcBorders>
              <w:top w:val="single" w:sz="4" w:space="0" w:color="D2C9B8"/>
              <w:left w:val="single" w:sz="4" w:space="0" w:color="D2C9B8"/>
              <w:bottom w:val="single" w:sz="4" w:space="0" w:color="D2C9B8"/>
              <w:right w:val="single" w:sz="4" w:space="0" w:color="D2C9B8"/>
            </w:tcBorders>
          </w:tcPr>
          <w:p w14:paraId="4B4D7B53" w14:textId="77777777" w:rsidR="005A5FCC" w:rsidRDefault="00A21C81">
            <w:pPr>
              <w:spacing w:before="20" w:after="20" w:line="240" w:lineRule="auto"/>
              <w:jc w:val="left"/>
            </w:pPr>
            <w:r>
              <w:rPr>
                <w:rFonts w:cs="EB Garamond"/>
                <w:kern w:val="16"/>
                <w:sz w:val="18"/>
                <w14:ligatures w14:val="standardContextual"/>
              </w:rPr>
              <w:t>59</w:t>
            </w:r>
          </w:p>
        </w:tc>
        <w:tc>
          <w:tcPr>
            <w:tcW w:w="706" w:type="dxa"/>
            <w:tcBorders>
              <w:top w:val="single" w:sz="4" w:space="0" w:color="D2C9B8"/>
              <w:left w:val="single" w:sz="4" w:space="0" w:color="D2C9B8"/>
              <w:bottom w:val="single" w:sz="4" w:space="0" w:color="D2C9B8"/>
              <w:right w:val="single" w:sz="4" w:space="0" w:color="D2C9B8"/>
            </w:tcBorders>
          </w:tcPr>
          <w:p w14:paraId="76810BA5" w14:textId="77777777" w:rsidR="005A5FCC" w:rsidRDefault="00A21C81">
            <w:pPr>
              <w:spacing w:before="20" w:after="20" w:line="240" w:lineRule="auto"/>
              <w:jc w:val="left"/>
            </w:pPr>
            <w:r>
              <w:rPr>
                <w:rFonts w:cs="EB Garamond"/>
                <w:kern w:val="16"/>
                <w:sz w:val="18"/>
                <w14:ligatures w14:val="standardContextual"/>
              </w:rPr>
              <w:t>97</w:t>
            </w:r>
          </w:p>
        </w:tc>
        <w:tc>
          <w:tcPr>
            <w:tcW w:w="706" w:type="dxa"/>
            <w:tcBorders>
              <w:top w:val="single" w:sz="4" w:space="0" w:color="D2C9B8"/>
              <w:left w:val="single" w:sz="4" w:space="0" w:color="D2C9B8"/>
              <w:bottom w:val="single" w:sz="4" w:space="0" w:color="D2C9B8"/>
              <w:right w:val="single" w:sz="4" w:space="0" w:color="D2C9B8"/>
            </w:tcBorders>
          </w:tcPr>
          <w:p w14:paraId="4FA8B9BE" w14:textId="77777777" w:rsidR="005A5FCC" w:rsidRDefault="00A21C81">
            <w:pPr>
              <w:spacing w:before="20" w:after="20" w:line="240" w:lineRule="auto"/>
              <w:jc w:val="left"/>
            </w:pPr>
            <w:r>
              <w:rPr>
                <w:rFonts w:cs="EB Garamond"/>
                <w:kern w:val="16"/>
                <w:sz w:val="18"/>
                <w14:ligatures w14:val="standardContextual"/>
              </w:rPr>
              <w:t>87</w:t>
            </w:r>
          </w:p>
        </w:tc>
        <w:tc>
          <w:tcPr>
            <w:tcW w:w="706" w:type="dxa"/>
            <w:tcBorders>
              <w:top w:val="single" w:sz="4" w:space="0" w:color="D2C9B8"/>
              <w:left w:val="single" w:sz="4" w:space="0" w:color="D2C9B8"/>
              <w:bottom w:val="single" w:sz="4" w:space="0" w:color="D2C9B8"/>
              <w:right w:val="single" w:sz="4" w:space="0" w:color="D2C9B8"/>
            </w:tcBorders>
          </w:tcPr>
          <w:p w14:paraId="16EA9128" w14:textId="77777777" w:rsidR="005A5FCC" w:rsidRDefault="00A21C81">
            <w:pPr>
              <w:spacing w:before="20" w:after="20" w:line="240" w:lineRule="auto"/>
              <w:jc w:val="left"/>
            </w:pPr>
            <w:r>
              <w:rPr>
                <w:rFonts w:cs="EB Garamond"/>
                <w:kern w:val="16"/>
                <w:sz w:val="18"/>
                <w14:ligatures w14:val="standardContextual"/>
              </w:rPr>
              <w:t>59</w:t>
            </w:r>
          </w:p>
        </w:tc>
        <w:tc>
          <w:tcPr>
            <w:tcW w:w="706" w:type="dxa"/>
            <w:tcBorders>
              <w:top w:val="single" w:sz="4" w:space="0" w:color="D2C9B8"/>
              <w:left w:val="single" w:sz="4" w:space="0" w:color="D2C9B8"/>
              <w:bottom w:val="single" w:sz="4" w:space="0" w:color="D2C9B8"/>
              <w:right w:val="single" w:sz="4" w:space="0" w:color="D2C9B8"/>
            </w:tcBorders>
          </w:tcPr>
          <w:p w14:paraId="3FCF6AEC" w14:textId="77777777" w:rsidR="005A5FCC" w:rsidRDefault="00A21C81">
            <w:pPr>
              <w:spacing w:before="20" w:after="20" w:line="240" w:lineRule="auto"/>
              <w:jc w:val="left"/>
            </w:pPr>
            <w:r>
              <w:rPr>
                <w:rFonts w:cs="EB Garamond"/>
                <w:kern w:val="16"/>
                <w:sz w:val="18"/>
                <w14:ligatures w14:val="standardContextual"/>
              </w:rPr>
              <w:t>54</w:t>
            </w:r>
          </w:p>
        </w:tc>
      </w:tr>
      <w:tr w:rsidR="005A5FCC" w14:paraId="7AA742BF" w14:textId="77777777">
        <w:trPr>
          <w:jc w:val="center"/>
        </w:trPr>
        <w:tc>
          <w:tcPr>
            <w:tcW w:w="706" w:type="dxa"/>
            <w:tcBorders>
              <w:top w:val="single" w:sz="4" w:space="0" w:color="D2C9B8"/>
              <w:left w:val="single" w:sz="4" w:space="0" w:color="D2C9B8"/>
              <w:bottom w:val="single" w:sz="4" w:space="0" w:color="D2C9B8"/>
              <w:right w:val="single" w:sz="4" w:space="0" w:color="D2C9B8"/>
            </w:tcBorders>
          </w:tcPr>
          <w:p w14:paraId="7304640F" w14:textId="77777777" w:rsidR="005A5FCC" w:rsidRDefault="00A21C81">
            <w:pPr>
              <w:spacing w:before="20" w:after="20" w:line="240" w:lineRule="auto"/>
              <w:jc w:val="left"/>
            </w:pPr>
            <w:r>
              <w:rPr>
                <w:rFonts w:cs="EB Garamond"/>
                <w:b/>
                <w:kern w:val="16"/>
                <w:sz w:val="18"/>
                <w14:ligatures w14:val="standardContextual"/>
              </w:rPr>
              <w:t>2026</w:t>
            </w:r>
          </w:p>
        </w:tc>
        <w:tc>
          <w:tcPr>
            <w:tcW w:w="706" w:type="dxa"/>
            <w:tcBorders>
              <w:top w:val="single" w:sz="4" w:space="0" w:color="D2C9B8"/>
              <w:left w:val="single" w:sz="4" w:space="0" w:color="D2C9B8"/>
              <w:bottom w:val="single" w:sz="4" w:space="0" w:color="D2C9B8"/>
              <w:right w:val="single" w:sz="4" w:space="0" w:color="D2C9B8"/>
            </w:tcBorders>
          </w:tcPr>
          <w:p w14:paraId="0A7F76E2" w14:textId="77777777" w:rsidR="005A5FCC" w:rsidRDefault="00A21C81">
            <w:pPr>
              <w:spacing w:before="20" w:after="20" w:line="240" w:lineRule="auto"/>
              <w:jc w:val="left"/>
            </w:pPr>
            <w:r>
              <w:rPr>
                <w:rFonts w:cs="EB Garamond"/>
                <w:b/>
                <w:kern w:val="16"/>
                <w:sz w:val="18"/>
                <w14:ligatures w14:val="standardContextual"/>
              </w:rPr>
              <w:t>103</w:t>
            </w:r>
          </w:p>
        </w:tc>
        <w:tc>
          <w:tcPr>
            <w:tcW w:w="706" w:type="dxa"/>
            <w:tcBorders>
              <w:top w:val="single" w:sz="4" w:space="0" w:color="D2C9B8"/>
              <w:left w:val="single" w:sz="4" w:space="0" w:color="D2C9B8"/>
              <w:bottom w:val="single" w:sz="4" w:space="0" w:color="D2C9B8"/>
              <w:right w:val="single" w:sz="4" w:space="0" w:color="D2C9B8"/>
            </w:tcBorders>
          </w:tcPr>
          <w:p w14:paraId="57007113" w14:textId="77777777" w:rsidR="005A5FCC" w:rsidRDefault="00A21C81">
            <w:pPr>
              <w:spacing w:before="20" w:after="20" w:line="240" w:lineRule="auto"/>
              <w:jc w:val="left"/>
            </w:pPr>
            <w:r>
              <w:rPr>
                <w:rFonts w:cs="EB Garamond"/>
                <w:b/>
                <w:kern w:val="16"/>
                <w:sz w:val="18"/>
                <w14:ligatures w14:val="standardContextual"/>
              </w:rPr>
              <w:t>93</w:t>
            </w:r>
          </w:p>
        </w:tc>
        <w:tc>
          <w:tcPr>
            <w:tcW w:w="706" w:type="dxa"/>
            <w:tcBorders>
              <w:top w:val="single" w:sz="4" w:space="0" w:color="D2C9B8"/>
              <w:left w:val="single" w:sz="4" w:space="0" w:color="D2C9B8"/>
              <w:bottom w:val="single" w:sz="4" w:space="0" w:color="D2C9B8"/>
              <w:right w:val="single" w:sz="4" w:space="0" w:color="D2C9B8"/>
            </w:tcBorders>
          </w:tcPr>
          <w:p w14:paraId="46FECFDA" w14:textId="77777777" w:rsidR="005A5FCC" w:rsidRDefault="00A21C81">
            <w:pPr>
              <w:spacing w:before="20" w:after="20" w:line="240" w:lineRule="auto"/>
              <w:jc w:val="left"/>
            </w:pPr>
            <w:r>
              <w:rPr>
                <w:rFonts w:cs="EB Garamond"/>
                <w:b/>
                <w:kern w:val="16"/>
                <w:sz w:val="18"/>
                <w14:ligatures w14:val="standardContextual"/>
              </w:rPr>
              <w:t>64,5</w:t>
            </w:r>
          </w:p>
        </w:tc>
        <w:tc>
          <w:tcPr>
            <w:tcW w:w="706" w:type="dxa"/>
            <w:tcBorders>
              <w:top w:val="single" w:sz="4" w:space="0" w:color="D2C9B8"/>
              <w:left w:val="single" w:sz="4" w:space="0" w:color="D2C9B8"/>
              <w:bottom w:val="single" w:sz="4" w:space="0" w:color="D2C9B8"/>
              <w:right w:val="single" w:sz="4" w:space="0" w:color="D2C9B8"/>
            </w:tcBorders>
          </w:tcPr>
          <w:p w14:paraId="3878B1E4" w14:textId="77777777" w:rsidR="005A5FCC" w:rsidRDefault="00A21C81">
            <w:pPr>
              <w:spacing w:before="20" w:after="20" w:line="240" w:lineRule="auto"/>
              <w:jc w:val="left"/>
            </w:pPr>
            <w:r>
              <w:rPr>
                <w:rFonts w:cs="EB Garamond"/>
                <w:b/>
                <w:kern w:val="16"/>
                <w:sz w:val="18"/>
                <w14:ligatures w14:val="standardContextual"/>
              </w:rPr>
              <w:t>59,5</w:t>
            </w:r>
          </w:p>
        </w:tc>
        <w:tc>
          <w:tcPr>
            <w:tcW w:w="706" w:type="dxa"/>
            <w:tcBorders>
              <w:top w:val="single" w:sz="4" w:space="0" w:color="D2C9B8"/>
              <w:left w:val="single" w:sz="4" w:space="0" w:color="D2C9B8"/>
              <w:bottom w:val="single" w:sz="4" w:space="0" w:color="D2C9B8"/>
              <w:right w:val="single" w:sz="4" w:space="0" w:color="D2C9B8"/>
            </w:tcBorders>
          </w:tcPr>
          <w:p w14:paraId="094D4D8D" w14:textId="77777777" w:rsidR="005A5FCC" w:rsidRDefault="00A21C81">
            <w:pPr>
              <w:spacing w:before="20" w:after="20" w:line="240" w:lineRule="auto"/>
              <w:jc w:val="left"/>
            </w:pPr>
            <w:r>
              <w:rPr>
                <w:rFonts w:cs="EB Garamond"/>
                <w:b/>
                <w:kern w:val="16"/>
                <w:sz w:val="18"/>
                <w14:ligatures w14:val="standardContextual"/>
              </w:rPr>
              <w:t>98</w:t>
            </w:r>
          </w:p>
        </w:tc>
        <w:tc>
          <w:tcPr>
            <w:tcW w:w="706" w:type="dxa"/>
            <w:tcBorders>
              <w:top w:val="single" w:sz="4" w:space="0" w:color="D2C9B8"/>
              <w:left w:val="single" w:sz="4" w:space="0" w:color="D2C9B8"/>
              <w:bottom w:val="single" w:sz="4" w:space="0" w:color="D2C9B8"/>
              <w:right w:val="single" w:sz="4" w:space="0" w:color="D2C9B8"/>
            </w:tcBorders>
          </w:tcPr>
          <w:p w14:paraId="75A4C5E7" w14:textId="77777777" w:rsidR="005A5FCC" w:rsidRDefault="00A21C81">
            <w:pPr>
              <w:spacing w:before="20" w:after="20" w:line="240" w:lineRule="auto"/>
              <w:jc w:val="left"/>
            </w:pPr>
            <w:r>
              <w:rPr>
                <w:rFonts w:cs="EB Garamond"/>
                <w:b/>
                <w:kern w:val="16"/>
                <w:sz w:val="18"/>
                <w14:ligatures w14:val="standardContextual"/>
              </w:rPr>
              <w:t>88</w:t>
            </w:r>
          </w:p>
        </w:tc>
        <w:tc>
          <w:tcPr>
            <w:tcW w:w="706" w:type="dxa"/>
            <w:tcBorders>
              <w:top w:val="single" w:sz="4" w:space="0" w:color="D2C9B8"/>
              <w:left w:val="single" w:sz="4" w:space="0" w:color="D2C9B8"/>
              <w:bottom w:val="single" w:sz="4" w:space="0" w:color="D2C9B8"/>
              <w:right w:val="single" w:sz="4" w:space="0" w:color="D2C9B8"/>
            </w:tcBorders>
          </w:tcPr>
          <w:p w14:paraId="4D492B26" w14:textId="77777777" w:rsidR="005A5FCC" w:rsidRDefault="00A21C81">
            <w:pPr>
              <w:spacing w:before="20" w:after="20" w:line="240" w:lineRule="auto"/>
              <w:jc w:val="left"/>
            </w:pPr>
            <w:r>
              <w:rPr>
                <w:rFonts w:cs="EB Garamond"/>
                <w:b/>
                <w:kern w:val="16"/>
                <w:sz w:val="18"/>
                <w14:ligatures w14:val="standardContextual"/>
              </w:rPr>
              <w:t>59,5</w:t>
            </w:r>
          </w:p>
        </w:tc>
        <w:tc>
          <w:tcPr>
            <w:tcW w:w="706" w:type="dxa"/>
            <w:tcBorders>
              <w:top w:val="single" w:sz="4" w:space="0" w:color="D2C9B8"/>
              <w:left w:val="single" w:sz="4" w:space="0" w:color="D2C9B8"/>
              <w:bottom w:val="single" w:sz="4" w:space="0" w:color="D2C9B8"/>
              <w:right w:val="single" w:sz="4" w:space="0" w:color="D2C9B8"/>
            </w:tcBorders>
          </w:tcPr>
          <w:p w14:paraId="0B0930F1" w14:textId="77777777" w:rsidR="005A5FCC" w:rsidRDefault="00A21C81">
            <w:pPr>
              <w:spacing w:before="20" w:after="20" w:line="240" w:lineRule="auto"/>
              <w:jc w:val="left"/>
            </w:pPr>
            <w:r>
              <w:rPr>
                <w:rFonts w:cs="EB Garamond"/>
                <w:b/>
                <w:kern w:val="16"/>
                <w:sz w:val="18"/>
                <w14:ligatures w14:val="standardContextual"/>
              </w:rPr>
              <w:t>54,5</w:t>
            </w:r>
          </w:p>
        </w:tc>
      </w:tr>
      <w:tr w:rsidR="005A5FCC" w14:paraId="75DFF9C8" w14:textId="77777777">
        <w:trPr>
          <w:jc w:val="center"/>
        </w:trPr>
        <w:tc>
          <w:tcPr>
            <w:tcW w:w="706" w:type="dxa"/>
            <w:tcBorders>
              <w:top w:val="single" w:sz="4" w:space="0" w:color="D2C9B8"/>
              <w:left w:val="single" w:sz="4" w:space="0" w:color="D2C9B8"/>
              <w:bottom w:val="single" w:sz="4" w:space="0" w:color="D2C9B8"/>
              <w:right w:val="single" w:sz="4" w:space="0" w:color="D2C9B8"/>
            </w:tcBorders>
          </w:tcPr>
          <w:p w14:paraId="7DB8983D" w14:textId="77777777" w:rsidR="005A5FCC" w:rsidRDefault="00A21C81">
            <w:pPr>
              <w:spacing w:before="20" w:after="20" w:line="240" w:lineRule="auto"/>
              <w:jc w:val="left"/>
            </w:pPr>
            <w:r>
              <w:rPr>
                <w:rFonts w:cs="EB Garamond"/>
                <w:kern w:val="16"/>
                <w:sz w:val="18"/>
                <w14:ligatures w14:val="standardContextual"/>
              </w:rPr>
              <w:t>2027</w:t>
            </w:r>
          </w:p>
        </w:tc>
        <w:tc>
          <w:tcPr>
            <w:tcW w:w="706" w:type="dxa"/>
            <w:tcBorders>
              <w:top w:val="single" w:sz="4" w:space="0" w:color="D2C9B8"/>
              <w:left w:val="single" w:sz="4" w:space="0" w:color="D2C9B8"/>
              <w:bottom w:val="single" w:sz="4" w:space="0" w:color="D2C9B8"/>
              <w:right w:val="single" w:sz="4" w:space="0" w:color="D2C9B8"/>
            </w:tcBorders>
          </w:tcPr>
          <w:p w14:paraId="2DB549EE" w14:textId="77777777" w:rsidR="005A5FCC" w:rsidRDefault="00A21C81">
            <w:pPr>
              <w:spacing w:before="20" w:after="20" w:line="240" w:lineRule="auto"/>
              <w:jc w:val="left"/>
            </w:pPr>
            <w:r>
              <w:rPr>
                <w:rFonts w:cs="EB Garamond"/>
                <w:kern w:val="16"/>
                <w:sz w:val="18"/>
                <w14:ligatures w14:val="standardContextual"/>
              </w:rPr>
              <w:t>104</w:t>
            </w:r>
          </w:p>
        </w:tc>
        <w:tc>
          <w:tcPr>
            <w:tcW w:w="706" w:type="dxa"/>
            <w:tcBorders>
              <w:top w:val="single" w:sz="4" w:space="0" w:color="D2C9B8"/>
              <w:left w:val="single" w:sz="4" w:space="0" w:color="D2C9B8"/>
              <w:bottom w:val="single" w:sz="4" w:space="0" w:color="D2C9B8"/>
              <w:right w:val="single" w:sz="4" w:space="0" w:color="D2C9B8"/>
            </w:tcBorders>
          </w:tcPr>
          <w:p w14:paraId="1EE20D59" w14:textId="77777777" w:rsidR="005A5FCC" w:rsidRDefault="00A21C81">
            <w:pPr>
              <w:spacing w:before="20" w:after="20" w:line="240" w:lineRule="auto"/>
              <w:jc w:val="left"/>
            </w:pPr>
            <w:r>
              <w:rPr>
                <w:rFonts w:cs="EB Garamond"/>
                <w:kern w:val="16"/>
                <w:sz w:val="18"/>
                <w14:ligatures w14:val="standardContextual"/>
              </w:rPr>
              <w:t>94</w:t>
            </w:r>
          </w:p>
        </w:tc>
        <w:tc>
          <w:tcPr>
            <w:tcW w:w="706" w:type="dxa"/>
            <w:tcBorders>
              <w:top w:val="single" w:sz="4" w:space="0" w:color="D2C9B8"/>
              <w:left w:val="single" w:sz="4" w:space="0" w:color="D2C9B8"/>
              <w:bottom w:val="single" w:sz="4" w:space="0" w:color="D2C9B8"/>
              <w:right w:val="single" w:sz="4" w:space="0" w:color="D2C9B8"/>
            </w:tcBorders>
          </w:tcPr>
          <w:p w14:paraId="6126D9A9" w14:textId="77777777" w:rsidR="005A5FCC" w:rsidRDefault="00A21C81">
            <w:pPr>
              <w:spacing w:before="20" w:after="20" w:line="240" w:lineRule="auto"/>
              <w:jc w:val="left"/>
            </w:pPr>
            <w:r>
              <w:rPr>
                <w:rFonts w:cs="EB Garamond"/>
                <w:kern w:val="16"/>
                <w:sz w:val="18"/>
                <w14:ligatures w14:val="standardContextual"/>
              </w:rPr>
              <w:t>65*</w:t>
            </w:r>
          </w:p>
        </w:tc>
        <w:tc>
          <w:tcPr>
            <w:tcW w:w="706" w:type="dxa"/>
            <w:tcBorders>
              <w:top w:val="single" w:sz="4" w:space="0" w:color="D2C9B8"/>
              <w:left w:val="single" w:sz="4" w:space="0" w:color="D2C9B8"/>
              <w:bottom w:val="single" w:sz="4" w:space="0" w:color="D2C9B8"/>
              <w:right w:val="single" w:sz="4" w:space="0" w:color="D2C9B8"/>
            </w:tcBorders>
          </w:tcPr>
          <w:p w14:paraId="2A79096E" w14:textId="77777777" w:rsidR="005A5FCC" w:rsidRDefault="00A21C81">
            <w:pPr>
              <w:spacing w:before="20" w:after="20" w:line="240" w:lineRule="auto"/>
              <w:jc w:val="left"/>
            </w:pPr>
            <w:r>
              <w:rPr>
                <w:rFonts w:cs="EB Garamond"/>
                <w:kern w:val="16"/>
                <w:sz w:val="18"/>
                <w14:ligatures w14:val="standardContextual"/>
              </w:rPr>
              <w:t>60</w:t>
            </w:r>
          </w:p>
        </w:tc>
        <w:tc>
          <w:tcPr>
            <w:tcW w:w="706" w:type="dxa"/>
            <w:tcBorders>
              <w:top w:val="single" w:sz="4" w:space="0" w:color="D2C9B8"/>
              <w:left w:val="single" w:sz="4" w:space="0" w:color="D2C9B8"/>
              <w:bottom w:val="single" w:sz="4" w:space="0" w:color="D2C9B8"/>
              <w:right w:val="single" w:sz="4" w:space="0" w:color="D2C9B8"/>
            </w:tcBorders>
          </w:tcPr>
          <w:p w14:paraId="006B7D0F" w14:textId="77777777" w:rsidR="005A5FCC" w:rsidRDefault="00A21C81">
            <w:pPr>
              <w:spacing w:before="20" w:after="20" w:line="240" w:lineRule="auto"/>
              <w:jc w:val="left"/>
            </w:pPr>
            <w:r>
              <w:rPr>
                <w:rFonts w:cs="EB Garamond"/>
                <w:kern w:val="16"/>
                <w:sz w:val="18"/>
                <w14:ligatures w14:val="standardContextual"/>
              </w:rPr>
              <w:t>99</w:t>
            </w:r>
          </w:p>
        </w:tc>
        <w:tc>
          <w:tcPr>
            <w:tcW w:w="706" w:type="dxa"/>
            <w:tcBorders>
              <w:top w:val="single" w:sz="4" w:space="0" w:color="D2C9B8"/>
              <w:left w:val="single" w:sz="4" w:space="0" w:color="D2C9B8"/>
              <w:bottom w:val="single" w:sz="4" w:space="0" w:color="D2C9B8"/>
              <w:right w:val="single" w:sz="4" w:space="0" w:color="D2C9B8"/>
            </w:tcBorders>
          </w:tcPr>
          <w:p w14:paraId="36A94F7D" w14:textId="77777777" w:rsidR="005A5FCC" w:rsidRDefault="00A21C81">
            <w:pPr>
              <w:spacing w:before="20" w:after="20" w:line="240" w:lineRule="auto"/>
              <w:jc w:val="left"/>
            </w:pPr>
            <w:r>
              <w:rPr>
                <w:rFonts w:cs="EB Garamond"/>
                <w:kern w:val="16"/>
                <w:sz w:val="18"/>
                <w14:ligatures w14:val="standardContextual"/>
              </w:rPr>
              <w:t>89</w:t>
            </w:r>
          </w:p>
        </w:tc>
        <w:tc>
          <w:tcPr>
            <w:tcW w:w="706" w:type="dxa"/>
            <w:tcBorders>
              <w:top w:val="single" w:sz="4" w:space="0" w:color="D2C9B8"/>
              <w:left w:val="single" w:sz="4" w:space="0" w:color="D2C9B8"/>
              <w:bottom w:val="single" w:sz="4" w:space="0" w:color="D2C9B8"/>
              <w:right w:val="single" w:sz="4" w:space="0" w:color="D2C9B8"/>
            </w:tcBorders>
          </w:tcPr>
          <w:p w14:paraId="185B3A3E" w14:textId="77777777" w:rsidR="005A5FCC" w:rsidRDefault="00A21C81">
            <w:pPr>
              <w:spacing w:before="20" w:after="20" w:line="240" w:lineRule="auto"/>
              <w:jc w:val="left"/>
            </w:pPr>
            <w:r>
              <w:rPr>
                <w:rFonts w:cs="EB Garamond"/>
                <w:kern w:val="16"/>
                <w:sz w:val="18"/>
                <w14:ligatures w14:val="standardContextual"/>
              </w:rPr>
              <w:t>60*</w:t>
            </w:r>
          </w:p>
        </w:tc>
        <w:tc>
          <w:tcPr>
            <w:tcW w:w="706" w:type="dxa"/>
            <w:tcBorders>
              <w:top w:val="single" w:sz="4" w:space="0" w:color="D2C9B8"/>
              <w:left w:val="single" w:sz="4" w:space="0" w:color="D2C9B8"/>
              <w:bottom w:val="single" w:sz="4" w:space="0" w:color="D2C9B8"/>
              <w:right w:val="single" w:sz="4" w:space="0" w:color="D2C9B8"/>
            </w:tcBorders>
          </w:tcPr>
          <w:p w14:paraId="7ED61491" w14:textId="77777777" w:rsidR="005A5FCC" w:rsidRDefault="00A21C81">
            <w:pPr>
              <w:spacing w:before="20" w:after="20" w:line="240" w:lineRule="auto"/>
              <w:jc w:val="left"/>
            </w:pPr>
            <w:r>
              <w:rPr>
                <w:rFonts w:cs="EB Garamond"/>
                <w:kern w:val="16"/>
                <w:sz w:val="18"/>
                <w14:ligatures w14:val="standardContextual"/>
              </w:rPr>
              <w:t>55</w:t>
            </w:r>
          </w:p>
        </w:tc>
      </w:tr>
      <w:tr w:rsidR="005A5FCC" w14:paraId="5711EE46" w14:textId="77777777">
        <w:trPr>
          <w:jc w:val="center"/>
        </w:trPr>
        <w:tc>
          <w:tcPr>
            <w:tcW w:w="706" w:type="dxa"/>
            <w:tcBorders>
              <w:top w:val="single" w:sz="4" w:space="0" w:color="D2C9B8"/>
              <w:left w:val="single" w:sz="4" w:space="0" w:color="D2C9B8"/>
              <w:bottom w:val="single" w:sz="4" w:space="0" w:color="D2C9B8"/>
              <w:right w:val="single" w:sz="4" w:space="0" w:color="D2C9B8"/>
            </w:tcBorders>
          </w:tcPr>
          <w:p w14:paraId="2C7E5848" w14:textId="77777777" w:rsidR="005A5FCC" w:rsidRDefault="00A21C81">
            <w:pPr>
              <w:spacing w:before="20" w:after="20" w:line="240" w:lineRule="auto"/>
              <w:jc w:val="left"/>
            </w:pPr>
            <w:r>
              <w:rPr>
                <w:rFonts w:cs="EB Garamond"/>
                <w:kern w:val="16"/>
                <w:sz w:val="18"/>
                <w14:ligatures w14:val="standardContextual"/>
              </w:rPr>
              <w:t>2028</w:t>
            </w:r>
          </w:p>
        </w:tc>
        <w:tc>
          <w:tcPr>
            <w:tcW w:w="706" w:type="dxa"/>
            <w:tcBorders>
              <w:top w:val="single" w:sz="4" w:space="0" w:color="D2C9B8"/>
              <w:left w:val="single" w:sz="4" w:space="0" w:color="D2C9B8"/>
              <w:bottom w:val="single" w:sz="4" w:space="0" w:color="D2C9B8"/>
              <w:right w:val="single" w:sz="4" w:space="0" w:color="D2C9B8"/>
            </w:tcBorders>
          </w:tcPr>
          <w:p w14:paraId="060D87EB" w14:textId="77777777" w:rsidR="005A5FCC" w:rsidRDefault="00A21C81">
            <w:pPr>
              <w:spacing w:before="20" w:after="20" w:line="240" w:lineRule="auto"/>
              <w:jc w:val="left"/>
            </w:pPr>
            <w:r>
              <w:rPr>
                <w:rFonts w:cs="EB Garamond"/>
                <w:kern w:val="16"/>
                <w:sz w:val="18"/>
                <w14:ligatures w14:val="standardContextual"/>
              </w:rPr>
              <w:t>105*</w:t>
            </w:r>
          </w:p>
        </w:tc>
        <w:tc>
          <w:tcPr>
            <w:tcW w:w="706" w:type="dxa"/>
            <w:tcBorders>
              <w:top w:val="single" w:sz="4" w:space="0" w:color="D2C9B8"/>
              <w:left w:val="single" w:sz="4" w:space="0" w:color="D2C9B8"/>
              <w:bottom w:val="single" w:sz="4" w:space="0" w:color="D2C9B8"/>
              <w:right w:val="single" w:sz="4" w:space="0" w:color="D2C9B8"/>
            </w:tcBorders>
          </w:tcPr>
          <w:p w14:paraId="5023F9F8" w14:textId="77777777" w:rsidR="005A5FCC" w:rsidRDefault="00A21C81">
            <w:pPr>
              <w:spacing w:before="20" w:after="20" w:line="240" w:lineRule="auto"/>
              <w:jc w:val="left"/>
            </w:pPr>
            <w:r>
              <w:rPr>
                <w:rFonts w:cs="EB Garamond"/>
                <w:kern w:val="16"/>
                <w:sz w:val="18"/>
                <w14:ligatures w14:val="standardContextual"/>
              </w:rPr>
              <w:t>95</w:t>
            </w:r>
          </w:p>
        </w:tc>
        <w:tc>
          <w:tcPr>
            <w:tcW w:w="706" w:type="dxa"/>
            <w:tcBorders>
              <w:top w:val="single" w:sz="4" w:space="0" w:color="D2C9B8"/>
              <w:left w:val="single" w:sz="4" w:space="0" w:color="D2C9B8"/>
              <w:bottom w:val="single" w:sz="4" w:space="0" w:color="D2C9B8"/>
              <w:right w:val="single" w:sz="4" w:space="0" w:color="D2C9B8"/>
            </w:tcBorders>
          </w:tcPr>
          <w:p w14:paraId="0F397065" w14:textId="77777777" w:rsidR="005A5FCC" w:rsidRDefault="00A21C81">
            <w:pPr>
              <w:spacing w:before="20" w:after="20" w:line="240" w:lineRule="auto"/>
              <w:jc w:val="left"/>
            </w:pPr>
            <w:r>
              <w:rPr>
                <w:rFonts w:cs="EB Garamond"/>
                <w:kern w:val="16"/>
                <w:sz w:val="18"/>
                <w14:ligatures w14:val="standardContextual"/>
              </w:rPr>
              <w:t>65</w:t>
            </w:r>
          </w:p>
        </w:tc>
        <w:tc>
          <w:tcPr>
            <w:tcW w:w="706" w:type="dxa"/>
            <w:tcBorders>
              <w:top w:val="single" w:sz="4" w:space="0" w:color="D2C9B8"/>
              <w:left w:val="single" w:sz="4" w:space="0" w:color="D2C9B8"/>
              <w:bottom w:val="single" w:sz="4" w:space="0" w:color="D2C9B8"/>
              <w:right w:val="single" w:sz="4" w:space="0" w:color="D2C9B8"/>
            </w:tcBorders>
          </w:tcPr>
          <w:p w14:paraId="2999893E" w14:textId="77777777" w:rsidR="005A5FCC" w:rsidRDefault="00A21C81">
            <w:pPr>
              <w:spacing w:before="20" w:after="20" w:line="240" w:lineRule="auto"/>
              <w:jc w:val="left"/>
            </w:pPr>
            <w:r>
              <w:rPr>
                <w:rFonts w:cs="EB Garamond"/>
                <w:kern w:val="16"/>
                <w:sz w:val="18"/>
                <w14:ligatures w14:val="standardContextual"/>
              </w:rPr>
              <w:t>60,5</w:t>
            </w:r>
          </w:p>
        </w:tc>
        <w:tc>
          <w:tcPr>
            <w:tcW w:w="706" w:type="dxa"/>
            <w:tcBorders>
              <w:top w:val="single" w:sz="4" w:space="0" w:color="D2C9B8"/>
              <w:left w:val="single" w:sz="4" w:space="0" w:color="D2C9B8"/>
              <w:bottom w:val="single" w:sz="4" w:space="0" w:color="D2C9B8"/>
              <w:right w:val="single" w:sz="4" w:space="0" w:color="D2C9B8"/>
            </w:tcBorders>
          </w:tcPr>
          <w:p w14:paraId="0232CBFF" w14:textId="77777777" w:rsidR="005A5FCC" w:rsidRDefault="00A21C81">
            <w:pPr>
              <w:spacing w:before="20" w:after="20" w:line="240" w:lineRule="auto"/>
              <w:jc w:val="left"/>
            </w:pPr>
            <w:r>
              <w:rPr>
                <w:rFonts w:cs="EB Garamond"/>
                <w:kern w:val="16"/>
                <w:sz w:val="18"/>
                <w14:ligatures w14:val="standardContextual"/>
              </w:rPr>
              <w:t>100*</w:t>
            </w:r>
          </w:p>
        </w:tc>
        <w:tc>
          <w:tcPr>
            <w:tcW w:w="706" w:type="dxa"/>
            <w:tcBorders>
              <w:top w:val="single" w:sz="4" w:space="0" w:color="D2C9B8"/>
              <w:left w:val="single" w:sz="4" w:space="0" w:color="D2C9B8"/>
              <w:bottom w:val="single" w:sz="4" w:space="0" w:color="D2C9B8"/>
              <w:right w:val="single" w:sz="4" w:space="0" w:color="D2C9B8"/>
            </w:tcBorders>
          </w:tcPr>
          <w:p w14:paraId="71C89926" w14:textId="77777777" w:rsidR="005A5FCC" w:rsidRDefault="00A21C81">
            <w:pPr>
              <w:spacing w:before="20" w:after="20" w:line="240" w:lineRule="auto"/>
              <w:jc w:val="left"/>
            </w:pPr>
            <w:r>
              <w:rPr>
                <w:rFonts w:cs="EB Garamond"/>
                <w:kern w:val="16"/>
                <w:sz w:val="18"/>
                <w14:ligatures w14:val="standardContextual"/>
              </w:rPr>
              <w:t>90</w:t>
            </w:r>
          </w:p>
        </w:tc>
        <w:tc>
          <w:tcPr>
            <w:tcW w:w="706" w:type="dxa"/>
            <w:tcBorders>
              <w:top w:val="single" w:sz="4" w:space="0" w:color="D2C9B8"/>
              <w:left w:val="single" w:sz="4" w:space="0" w:color="D2C9B8"/>
              <w:bottom w:val="single" w:sz="4" w:space="0" w:color="D2C9B8"/>
              <w:right w:val="single" w:sz="4" w:space="0" w:color="D2C9B8"/>
            </w:tcBorders>
          </w:tcPr>
          <w:p w14:paraId="37A84AC2" w14:textId="77777777" w:rsidR="005A5FCC" w:rsidRDefault="00A21C81">
            <w:pPr>
              <w:spacing w:before="20" w:after="20" w:line="240" w:lineRule="auto"/>
              <w:jc w:val="left"/>
            </w:pPr>
            <w:r>
              <w:rPr>
                <w:rFonts w:cs="EB Garamond"/>
                <w:kern w:val="16"/>
                <w:sz w:val="18"/>
                <w14:ligatures w14:val="standardContextual"/>
              </w:rPr>
              <w:t>60</w:t>
            </w:r>
          </w:p>
        </w:tc>
        <w:tc>
          <w:tcPr>
            <w:tcW w:w="706" w:type="dxa"/>
            <w:tcBorders>
              <w:top w:val="single" w:sz="4" w:space="0" w:color="D2C9B8"/>
              <w:left w:val="single" w:sz="4" w:space="0" w:color="D2C9B8"/>
              <w:bottom w:val="single" w:sz="4" w:space="0" w:color="D2C9B8"/>
              <w:right w:val="single" w:sz="4" w:space="0" w:color="D2C9B8"/>
            </w:tcBorders>
          </w:tcPr>
          <w:p w14:paraId="4E48B9EF" w14:textId="77777777" w:rsidR="005A5FCC" w:rsidRDefault="00A21C81">
            <w:pPr>
              <w:spacing w:before="20" w:after="20" w:line="240" w:lineRule="auto"/>
              <w:jc w:val="left"/>
            </w:pPr>
            <w:r>
              <w:rPr>
                <w:rFonts w:cs="EB Garamond"/>
                <w:kern w:val="16"/>
                <w:sz w:val="18"/>
                <w14:ligatures w14:val="standardContextual"/>
              </w:rPr>
              <w:t>55,5</w:t>
            </w:r>
          </w:p>
        </w:tc>
      </w:tr>
      <w:tr w:rsidR="005A5FCC" w14:paraId="395331C3" w14:textId="77777777">
        <w:trPr>
          <w:jc w:val="center"/>
        </w:trPr>
        <w:tc>
          <w:tcPr>
            <w:tcW w:w="706" w:type="dxa"/>
            <w:tcBorders>
              <w:top w:val="single" w:sz="4" w:space="0" w:color="D2C9B8"/>
              <w:left w:val="single" w:sz="4" w:space="0" w:color="D2C9B8"/>
              <w:bottom w:val="single" w:sz="4" w:space="0" w:color="D2C9B8"/>
              <w:right w:val="single" w:sz="4" w:space="0" w:color="D2C9B8"/>
            </w:tcBorders>
          </w:tcPr>
          <w:p w14:paraId="65EED536" w14:textId="77777777" w:rsidR="005A5FCC" w:rsidRDefault="00A21C81">
            <w:pPr>
              <w:spacing w:before="20" w:after="20" w:line="240" w:lineRule="auto"/>
              <w:jc w:val="left"/>
            </w:pPr>
            <w:r>
              <w:rPr>
                <w:rFonts w:cs="EB Garamond"/>
                <w:kern w:val="16"/>
                <w:sz w:val="18"/>
                <w14:ligatures w14:val="standardContextual"/>
              </w:rPr>
              <w:t>2029</w:t>
            </w:r>
          </w:p>
        </w:tc>
        <w:tc>
          <w:tcPr>
            <w:tcW w:w="706" w:type="dxa"/>
            <w:tcBorders>
              <w:top w:val="single" w:sz="4" w:space="0" w:color="D2C9B8"/>
              <w:left w:val="single" w:sz="4" w:space="0" w:color="D2C9B8"/>
              <w:bottom w:val="single" w:sz="4" w:space="0" w:color="D2C9B8"/>
              <w:right w:val="single" w:sz="4" w:space="0" w:color="D2C9B8"/>
            </w:tcBorders>
          </w:tcPr>
          <w:p w14:paraId="16765408" w14:textId="77777777" w:rsidR="005A5FCC" w:rsidRDefault="00A21C81">
            <w:pPr>
              <w:spacing w:before="20" w:after="20" w:line="240" w:lineRule="auto"/>
              <w:jc w:val="left"/>
            </w:pPr>
            <w:r>
              <w:rPr>
                <w:rFonts w:cs="EB Garamond"/>
                <w:kern w:val="16"/>
                <w:sz w:val="18"/>
                <w14:ligatures w14:val="standardContextual"/>
              </w:rPr>
              <w:t>105</w:t>
            </w:r>
          </w:p>
        </w:tc>
        <w:tc>
          <w:tcPr>
            <w:tcW w:w="706" w:type="dxa"/>
            <w:tcBorders>
              <w:top w:val="single" w:sz="4" w:space="0" w:color="D2C9B8"/>
              <w:left w:val="single" w:sz="4" w:space="0" w:color="D2C9B8"/>
              <w:bottom w:val="single" w:sz="4" w:space="0" w:color="D2C9B8"/>
              <w:right w:val="single" w:sz="4" w:space="0" w:color="D2C9B8"/>
            </w:tcBorders>
          </w:tcPr>
          <w:p w14:paraId="54828175" w14:textId="77777777" w:rsidR="005A5FCC" w:rsidRDefault="00A21C81">
            <w:pPr>
              <w:spacing w:before="20" w:after="20" w:line="240" w:lineRule="auto"/>
              <w:jc w:val="left"/>
            </w:pPr>
            <w:r>
              <w:rPr>
                <w:rFonts w:cs="EB Garamond"/>
                <w:kern w:val="16"/>
                <w:sz w:val="18"/>
                <w14:ligatures w14:val="standardContextual"/>
              </w:rPr>
              <w:t>96</w:t>
            </w:r>
          </w:p>
        </w:tc>
        <w:tc>
          <w:tcPr>
            <w:tcW w:w="706" w:type="dxa"/>
            <w:tcBorders>
              <w:top w:val="single" w:sz="4" w:space="0" w:color="D2C9B8"/>
              <w:left w:val="single" w:sz="4" w:space="0" w:color="D2C9B8"/>
              <w:bottom w:val="single" w:sz="4" w:space="0" w:color="D2C9B8"/>
              <w:right w:val="single" w:sz="4" w:space="0" w:color="D2C9B8"/>
            </w:tcBorders>
          </w:tcPr>
          <w:p w14:paraId="2DAD5B71" w14:textId="77777777" w:rsidR="005A5FCC" w:rsidRDefault="00A21C81">
            <w:pPr>
              <w:spacing w:before="20" w:after="20" w:line="240" w:lineRule="auto"/>
              <w:jc w:val="left"/>
            </w:pPr>
            <w:r>
              <w:rPr>
                <w:rFonts w:cs="EB Garamond"/>
                <w:kern w:val="16"/>
                <w:sz w:val="18"/>
                <w14:ligatures w14:val="standardContextual"/>
              </w:rPr>
              <w:t>65</w:t>
            </w:r>
          </w:p>
        </w:tc>
        <w:tc>
          <w:tcPr>
            <w:tcW w:w="706" w:type="dxa"/>
            <w:tcBorders>
              <w:top w:val="single" w:sz="4" w:space="0" w:color="D2C9B8"/>
              <w:left w:val="single" w:sz="4" w:space="0" w:color="D2C9B8"/>
              <w:bottom w:val="single" w:sz="4" w:space="0" w:color="D2C9B8"/>
              <w:right w:val="single" w:sz="4" w:space="0" w:color="D2C9B8"/>
            </w:tcBorders>
          </w:tcPr>
          <w:p w14:paraId="6E99D424" w14:textId="77777777" w:rsidR="005A5FCC" w:rsidRDefault="00A21C81">
            <w:pPr>
              <w:spacing w:before="20" w:after="20" w:line="240" w:lineRule="auto"/>
              <w:jc w:val="left"/>
            </w:pPr>
            <w:r>
              <w:rPr>
                <w:rFonts w:cs="EB Garamond"/>
                <w:kern w:val="16"/>
                <w:sz w:val="18"/>
                <w14:ligatures w14:val="standardContextual"/>
              </w:rPr>
              <w:t>61</w:t>
            </w:r>
          </w:p>
        </w:tc>
        <w:tc>
          <w:tcPr>
            <w:tcW w:w="706" w:type="dxa"/>
            <w:tcBorders>
              <w:top w:val="single" w:sz="4" w:space="0" w:color="D2C9B8"/>
              <w:left w:val="single" w:sz="4" w:space="0" w:color="D2C9B8"/>
              <w:bottom w:val="single" w:sz="4" w:space="0" w:color="D2C9B8"/>
              <w:right w:val="single" w:sz="4" w:space="0" w:color="D2C9B8"/>
            </w:tcBorders>
          </w:tcPr>
          <w:p w14:paraId="1E6C5DF8" w14:textId="77777777" w:rsidR="005A5FCC" w:rsidRDefault="00A21C81">
            <w:pPr>
              <w:spacing w:before="20" w:after="20" w:line="240" w:lineRule="auto"/>
              <w:jc w:val="left"/>
            </w:pPr>
            <w:r>
              <w:rPr>
                <w:rFonts w:cs="EB Garamond"/>
                <w:kern w:val="16"/>
                <w:sz w:val="18"/>
                <w14:ligatures w14:val="standardContextual"/>
              </w:rPr>
              <w:t>100</w:t>
            </w:r>
          </w:p>
        </w:tc>
        <w:tc>
          <w:tcPr>
            <w:tcW w:w="706" w:type="dxa"/>
            <w:tcBorders>
              <w:top w:val="single" w:sz="4" w:space="0" w:color="D2C9B8"/>
              <w:left w:val="single" w:sz="4" w:space="0" w:color="D2C9B8"/>
              <w:bottom w:val="single" w:sz="4" w:space="0" w:color="D2C9B8"/>
              <w:right w:val="single" w:sz="4" w:space="0" w:color="D2C9B8"/>
            </w:tcBorders>
          </w:tcPr>
          <w:p w14:paraId="3E5DB45B" w14:textId="77777777" w:rsidR="005A5FCC" w:rsidRDefault="00A21C81">
            <w:pPr>
              <w:spacing w:before="20" w:after="20" w:line="240" w:lineRule="auto"/>
              <w:jc w:val="left"/>
            </w:pPr>
            <w:r>
              <w:rPr>
                <w:rFonts w:cs="EB Garamond"/>
                <w:kern w:val="16"/>
                <w:sz w:val="18"/>
                <w14:ligatures w14:val="standardContextual"/>
              </w:rPr>
              <w:t>91</w:t>
            </w:r>
          </w:p>
        </w:tc>
        <w:tc>
          <w:tcPr>
            <w:tcW w:w="706" w:type="dxa"/>
            <w:tcBorders>
              <w:top w:val="single" w:sz="4" w:space="0" w:color="D2C9B8"/>
              <w:left w:val="single" w:sz="4" w:space="0" w:color="D2C9B8"/>
              <w:bottom w:val="single" w:sz="4" w:space="0" w:color="D2C9B8"/>
              <w:right w:val="single" w:sz="4" w:space="0" w:color="D2C9B8"/>
            </w:tcBorders>
          </w:tcPr>
          <w:p w14:paraId="2BDCE8EB" w14:textId="77777777" w:rsidR="005A5FCC" w:rsidRDefault="00A21C81">
            <w:pPr>
              <w:spacing w:before="20" w:after="20" w:line="240" w:lineRule="auto"/>
              <w:jc w:val="left"/>
            </w:pPr>
            <w:r>
              <w:rPr>
                <w:rFonts w:cs="EB Garamond"/>
                <w:kern w:val="16"/>
                <w:sz w:val="18"/>
                <w14:ligatures w14:val="standardContextual"/>
              </w:rPr>
              <w:t>60</w:t>
            </w:r>
          </w:p>
        </w:tc>
        <w:tc>
          <w:tcPr>
            <w:tcW w:w="706" w:type="dxa"/>
            <w:tcBorders>
              <w:top w:val="single" w:sz="4" w:space="0" w:color="D2C9B8"/>
              <w:left w:val="single" w:sz="4" w:space="0" w:color="D2C9B8"/>
              <w:bottom w:val="single" w:sz="4" w:space="0" w:color="D2C9B8"/>
              <w:right w:val="single" w:sz="4" w:space="0" w:color="D2C9B8"/>
            </w:tcBorders>
          </w:tcPr>
          <w:p w14:paraId="54E03B63" w14:textId="77777777" w:rsidR="005A5FCC" w:rsidRDefault="00A21C81">
            <w:pPr>
              <w:spacing w:before="20" w:after="20" w:line="240" w:lineRule="auto"/>
              <w:jc w:val="left"/>
            </w:pPr>
            <w:r>
              <w:rPr>
                <w:rFonts w:cs="EB Garamond"/>
                <w:kern w:val="16"/>
                <w:sz w:val="18"/>
                <w14:ligatures w14:val="standardContextual"/>
              </w:rPr>
              <w:t>56</w:t>
            </w:r>
          </w:p>
        </w:tc>
      </w:tr>
      <w:tr w:rsidR="005A5FCC" w14:paraId="16A84541" w14:textId="77777777">
        <w:trPr>
          <w:jc w:val="center"/>
        </w:trPr>
        <w:tc>
          <w:tcPr>
            <w:tcW w:w="706" w:type="dxa"/>
            <w:tcBorders>
              <w:top w:val="single" w:sz="4" w:space="0" w:color="D2C9B8"/>
              <w:left w:val="single" w:sz="4" w:space="0" w:color="D2C9B8"/>
              <w:bottom w:val="single" w:sz="4" w:space="0" w:color="D2C9B8"/>
              <w:right w:val="single" w:sz="4" w:space="0" w:color="D2C9B8"/>
            </w:tcBorders>
          </w:tcPr>
          <w:p w14:paraId="47A8D5CA" w14:textId="77777777" w:rsidR="005A5FCC" w:rsidRDefault="00A21C81">
            <w:pPr>
              <w:spacing w:before="20" w:after="20" w:line="240" w:lineRule="auto"/>
              <w:jc w:val="left"/>
            </w:pPr>
            <w:r>
              <w:rPr>
                <w:rFonts w:cs="EB Garamond"/>
                <w:kern w:val="16"/>
                <w:sz w:val="18"/>
                <w14:ligatures w14:val="standardContextual"/>
              </w:rPr>
              <w:t>2030</w:t>
            </w:r>
          </w:p>
        </w:tc>
        <w:tc>
          <w:tcPr>
            <w:tcW w:w="706" w:type="dxa"/>
            <w:tcBorders>
              <w:top w:val="single" w:sz="4" w:space="0" w:color="D2C9B8"/>
              <w:left w:val="single" w:sz="4" w:space="0" w:color="D2C9B8"/>
              <w:bottom w:val="single" w:sz="4" w:space="0" w:color="D2C9B8"/>
              <w:right w:val="single" w:sz="4" w:space="0" w:color="D2C9B8"/>
            </w:tcBorders>
          </w:tcPr>
          <w:p w14:paraId="331E78F4" w14:textId="77777777" w:rsidR="005A5FCC" w:rsidRDefault="00A21C81">
            <w:pPr>
              <w:spacing w:before="20" w:after="20" w:line="240" w:lineRule="auto"/>
              <w:jc w:val="left"/>
            </w:pPr>
            <w:r>
              <w:rPr>
                <w:rFonts w:cs="EB Garamond"/>
                <w:kern w:val="16"/>
                <w:sz w:val="18"/>
                <w14:ligatures w14:val="standardContextual"/>
              </w:rPr>
              <w:t>105</w:t>
            </w:r>
          </w:p>
        </w:tc>
        <w:tc>
          <w:tcPr>
            <w:tcW w:w="706" w:type="dxa"/>
            <w:tcBorders>
              <w:top w:val="single" w:sz="4" w:space="0" w:color="D2C9B8"/>
              <w:left w:val="single" w:sz="4" w:space="0" w:color="D2C9B8"/>
              <w:bottom w:val="single" w:sz="4" w:space="0" w:color="D2C9B8"/>
              <w:right w:val="single" w:sz="4" w:space="0" w:color="D2C9B8"/>
            </w:tcBorders>
          </w:tcPr>
          <w:p w14:paraId="331308ED" w14:textId="77777777" w:rsidR="005A5FCC" w:rsidRDefault="00A21C81">
            <w:pPr>
              <w:spacing w:before="20" w:after="20" w:line="240" w:lineRule="auto"/>
              <w:jc w:val="left"/>
            </w:pPr>
            <w:r>
              <w:rPr>
                <w:rFonts w:cs="EB Garamond"/>
                <w:kern w:val="16"/>
                <w:sz w:val="18"/>
                <w14:ligatures w14:val="standardContextual"/>
              </w:rPr>
              <w:t>97</w:t>
            </w:r>
          </w:p>
        </w:tc>
        <w:tc>
          <w:tcPr>
            <w:tcW w:w="706" w:type="dxa"/>
            <w:tcBorders>
              <w:top w:val="single" w:sz="4" w:space="0" w:color="D2C9B8"/>
              <w:left w:val="single" w:sz="4" w:space="0" w:color="D2C9B8"/>
              <w:bottom w:val="single" w:sz="4" w:space="0" w:color="D2C9B8"/>
              <w:right w:val="single" w:sz="4" w:space="0" w:color="D2C9B8"/>
            </w:tcBorders>
          </w:tcPr>
          <w:p w14:paraId="7C4A2F3B" w14:textId="77777777" w:rsidR="005A5FCC" w:rsidRDefault="00A21C81">
            <w:pPr>
              <w:spacing w:before="20" w:after="20" w:line="240" w:lineRule="auto"/>
              <w:jc w:val="left"/>
            </w:pPr>
            <w:r>
              <w:rPr>
                <w:rFonts w:cs="EB Garamond"/>
                <w:kern w:val="16"/>
                <w:sz w:val="18"/>
                <w14:ligatures w14:val="standardContextual"/>
              </w:rPr>
              <w:t>65</w:t>
            </w:r>
          </w:p>
        </w:tc>
        <w:tc>
          <w:tcPr>
            <w:tcW w:w="706" w:type="dxa"/>
            <w:tcBorders>
              <w:top w:val="single" w:sz="4" w:space="0" w:color="D2C9B8"/>
              <w:left w:val="single" w:sz="4" w:space="0" w:color="D2C9B8"/>
              <w:bottom w:val="single" w:sz="4" w:space="0" w:color="D2C9B8"/>
              <w:right w:val="single" w:sz="4" w:space="0" w:color="D2C9B8"/>
            </w:tcBorders>
          </w:tcPr>
          <w:p w14:paraId="4502E10C" w14:textId="77777777" w:rsidR="005A5FCC" w:rsidRDefault="00A21C81">
            <w:pPr>
              <w:spacing w:before="20" w:after="20" w:line="240" w:lineRule="auto"/>
              <w:jc w:val="left"/>
            </w:pPr>
            <w:r>
              <w:rPr>
                <w:rFonts w:cs="EB Garamond"/>
                <w:kern w:val="16"/>
                <w:sz w:val="18"/>
                <w14:ligatures w14:val="standardContextual"/>
              </w:rPr>
              <w:t>61,5</w:t>
            </w:r>
          </w:p>
        </w:tc>
        <w:tc>
          <w:tcPr>
            <w:tcW w:w="706" w:type="dxa"/>
            <w:tcBorders>
              <w:top w:val="single" w:sz="4" w:space="0" w:color="D2C9B8"/>
              <w:left w:val="single" w:sz="4" w:space="0" w:color="D2C9B8"/>
              <w:bottom w:val="single" w:sz="4" w:space="0" w:color="D2C9B8"/>
              <w:right w:val="single" w:sz="4" w:space="0" w:color="D2C9B8"/>
            </w:tcBorders>
          </w:tcPr>
          <w:p w14:paraId="1A805185" w14:textId="77777777" w:rsidR="005A5FCC" w:rsidRDefault="00A21C81">
            <w:pPr>
              <w:spacing w:before="20" w:after="20" w:line="240" w:lineRule="auto"/>
              <w:jc w:val="left"/>
            </w:pPr>
            <w:r>
              <w:rPr>
                <w:rFonts w:cs="EB Garamond"/>
                <w:kern w:val="16"/>
                <w:sz w:val="18"/>
                <w14:ligatures w14:val="standardContextual"/>
              </w:rPr>
              <w:t>100</w:t>
            </w:r>
          </w:p>
        </w:tc>
        <w:tc>
          <w:tcPr>
            <w:tcW w:w="706" w:type="dxa"/>
            <w:tcBorders>
              <w:top w:val="single" w:sz="4" w:space="0" w:color="D2C9B8"/>
              <w:left w:val="single" w:sz="4" w:space="0" w:color="D2C9B8"/>
              <w:bottom w:val="single" w:sz="4" w:space="0" w:color="D2C9B8"/>
              <w:right w:val="single" w:sz="4" w:space="0" w:color="D2C9B8"/>
            </w:tcBorders>
          </w:tcPr>
          <w:p w14:paraId="47C40BB8" w14:textId="77777777" w:rsidR="005A5FCC" w:rsidRDefault="00A21C81">
            <w:pPr>
              <w:spacing w:before="20" w:after="20" w:line="240" w:lineRule="auto"/>
              <w:jc w:val="left"/>
            </w:pPr>
            <w:r>
              <w:rPr>
                <w:rFonts w:cs="EB Garamond"/>
                <w:kern w:val="16"/>
                <w:sz w:val="18"/>
                <w14:ligatures w14:val="standardContextual"/>
              </w:rPr>
              <w:t>92</w:t>
            </w:r>
          </w:p>
        </w:tc>
        <w:tc>
          <w:tcPr>
            <w:tcW w:w="706" w:type="dxa"/>
            <w:tcBorders>
              <w:top w:val="single" w:sz="4" w:space="0" w:color="D2C9B8"/>
              <w:left w:val="single" w:sz="4" w:space="0" w:color="D2C9B8"/>
              <w:bottom w:val="single" w:sz="4" w:space="0" w:color="D2C9B8"/>
              <w:right w:val="single" w:sz="4" w:space="0" w:color="D2C9B8"/>
            </w:tcBorders>
          </w:tcPr>
          <w:p w14:paraId="470278B8" w14:textId="77777777" w:rsidR="005A5FCC" w:rsidRDefault="00A21C81">
            <w:pPr>
              <w:spacing w:before="20" w:after="20" w:line="240" w:lineRule="auto"/>
              <w:jc w:val="left"/>
            </w:pPr>
            <w:r>
              <w:rPr>
                <w:rFonts w:cs="EB Garamond"/>
                <w:kern w:val="16"/>
                <w:sz w:val="18"/>
                <w14:ligatures w14:val="standardContextual"/>
              </w:rPr>
              <w:t>60</w:t>
            </w:r>
          </w:p>
        </w:tc>
        <w:tc>
          <w:tcPr>
            <w:tcW w:w="706" w:type="dxa"/>
            <w:tcBorders>
              <w:top w:val="single" w:sz="4" w:space="0" w:color="D2C9B8"/>
              <w:left w:val="single" w:sz="4" w:space="0" w:color="D2C9B8"/>
              <w:bottom w:val="single" w:sz="4" w:space="0" w:color="D2C9B8"/>
              <w:right w:val="single" w:sz="4" w:space="0" w:color="D2C9B8"/>
            </w:tcBorders>
          </w:tcPr>
          <w:p w14:paraId="44DE13BE" w14:textId="77777777" w:rsidR="005A5FCC" w:rsidRDefault="00A21C81">
            <w:pPr>
              <w:spacing w:before="20" w:after="20" w:line="240" w:lineRule="auto"/>
              <w:jc w:val="left"/>
            </w:pPr>
            <w:r>
              <w:rPr>
                <w:rFonts w:cs="EB Garamond"/>
                <w:kern w:val="16"/>
                <w:sz w:val="18"/>
                <w14:ligatures w14:val="standardContextual"/>
              </w:rPr>
              <w:t>56,5</w:t>
            </w:r>
          </w:p>
        </w:tc>
      </w:tr>
      <w:tr w:rsidR="005A5FCC" w14:paraId="7344A690" w14:textId="77777777">
        <w:trPr>
          <w:jc w:val="center"/>
        </w:trPr>
        <w:tc>
          <w:tcPr>
            <w:tcW w:w="706" w:type="dxa"/>
            <w:tcBorders>
              <w:top w:val="single" w:sz="4" w:space="0" w:color="D2C9B8"/>
              <w:left w:val="single" w:sz="4" w:space="0" w:color="D2C9B8"/>
              <w:bottom w:val="single" w:sz="4" w:space="0" w:color="D2C9B8"/>
              <w:right w:val="single" w:sz="4" w:space="0" w:color="D2C9B8"/>
            </w:tcBorders>
          </w:tcPr>
          <w:p w14:paraId="5075914C" w14:textId="77777777" w:rsidR="005A5FCC" w:rsidRDefault="00A21C81">
            <w:pPr>
              <w:spacing w:before="20" w:after="20" w:line="240" w:lineRule="auto"/>
              <w:jc w:val="left"/>
            </w:pPr>
            <w:r>
              <w:rPr>
                <w:rFonts w:cs="EB Garamond"/>
                <w:kern w:val="16"/>
                <w:sz w:val="18"/>
                <w14:ligatures w14:val="standardContextual"/>
              </w:rPr>
              <w:t>2031</w:t>
            </w:r>
          </w:p>
        </w:tc>
        <w:tc>
          <w:tcPr>
            <w:tcW w:w="706" w:type="dxa"/>
            <w:tcBorders>
              <w:top w:val="single" w:sz="4" w:space="0" w:color="D2C9B8"/>
              <w:left w:val="single" w:sz="4" w:space="0" w:color="D2C9B8"/>
              <w:bottom w:val="single" w:sz="4" w:space="0" w:color="D2C9B8"/>
              <w:right w:val="single" w:sz="4" w:space="0" w:color="D2C9B8"/>
            </w:tcBorders>
          </w:tcPr>
          <w:p w14:paraId="495403C6" w14:textId="77777777" w:rsidR="005A5FCC" w:rsidRDefault="00A21C81">
            <w:pPr>
              <w:spacing w:before="20" w:after="20" w:line="240" w:lineRule="auto"/>
              <w:jc w:val="left"/>
            </w:pPr>
            <w:r>
              <w:rPr>
                <w:rFonts w:cs="EB Garamond"/>
                <w:kern w:val="16"/>
                <w:sz w:val="18"/>
                <w14:ligatures w14:val="standardContextual"/>
              </w:rPr>
              <w:t>105</w:t>
            </w:r>
          </w:p>
        </w:tc>
        <w:tc>
          <w:tcPr>
            <w:tcW w:w="706" w:type="dxa"/>
            <w:tcBorders>
              <w:top w:val="single" w:sz="4" w:space="0" w:color="D2C9B8"/>
              <w:left w:val="single" w:sz="4" w:space="0" w:color="D2C9B8"/>
              <w:bottom w:val="single" w:sz="4" w:space="0" w:color="D2C9B8"/>
              <w:right w:val="single" w:sz="4" w:space="0" w:color="D2C9B8"/>
            </w:tcBorders>
          </w:tcPr>
          <w:p w14:paraId="3721A3BD" w14:textId="77777777" w:rsidR="005A5FCC" w:rsidRDefault="00A21C81">
            <w:pPr>
              <w:spacing w:before="20" w:after="20" w:line="240" w:lineRule="auto"/>
              <w:jc w:val="left"/>
            </w:pPr>
            <w:r>
              <w:rPr>
                <w:rFonts w:cs="EB Garamond"/>
                <w:kern w:val="16"/>
                <w:sz w:val="18"/>
                <w14:ligatures w14:val="standardContextual"/>
              </w:rPr>
              <w:t>98</w:t>
            </w:r>
          </w:p>
        </w:tc>
        <w:tc>
          <w:tcPr>
            <w:tcW w:w="706" w:type="dxa"/>
            <w:tcBorders>
              <w:top w:val="single" w:sz="4" w:space="0" w:color="D2C9B8"/>
              <w:left w:val="single" w:sz="4" w:space="0" w:color="D2C9B8"/>
              <w:bottom w:val="single" w:sz="4" w:space="0" w:color="D2C9B8"/>
              <w:right w:val="single" w:sz="4" w:space="0" w:color="D2C9B8"/>
            </w:tcBorders>
          </w:tcPr>
          <w:p w14:paraId="20935737" w14:textId="77777777" w:rsidR="005A5FCC" w:rsidRDefault="00A21C81">
            <w:pPr>
              <w:spacing w:before="20" w:after="20" w:line="240" w:lineRule="auto"/>
              <w:jc w:val="left"/>
            </w:pPr>
            <w:r>
              <w:rPr>
                <w:rFonts w:cs="EB Garamond"/>
                <w:kern w:val="16"/>
                <w:sz w:val="18"/>
                <w14:ligatures w14:val="standardContextual"/>
              </w:rPr>
              <w:t>65</w:t>
            </w:r>
          </w:p>
        </w:tc>
        <w:tc>
          <w:tcPr>
            <w:tcW w:w="706" w:type="dxa"/>
            <w:tcBorders>
              <w:top w:val="single" w:sz="4" w:space="0" w:color="D2C9B8"/>
              <w:left w:val="single" w:sz="4" w:space="0" w:color="D2C9B8"/>
              <w:bottom w:val="single" w:sz="4" w:space="0" w:color="D2C9B8"/>
              <w:right w:val="single" w:sz="4" w:space="0" w:color="D2C9B8"/>
            </w:tcBorders>
          </w:tcPr>
          <w:p w14:paraId="4F858C61" w14:textId="77777777" w:rsidR="005A5FCC" w:rsidRDefault="00A21C81">
            <w:pPr>
              <w:spacing w:before="20" w:after="20" w:line="240" w:lineRule="auto"/>
              <w:jc w:val="left"/>
            </w:pPr>
            <w:r>
              <w:rPr>
                <w:rFonts w:cs="EB Garamond"/>
                <w:kern w:val="16"/>
                <w:sz w:val="18"/>
                <w14:ligatures w14:val="standardContextual"/>
              </w:rPr>
              <w:t>62*</w:t>
            </w:r>
          </w:p>
        </w:tc>
        <w:tc>
          <w:tcPr>
            <w:tcW w:w="706" w:type="dxa"/>
            <w:tcBorders>
              <w:top w:val="single" w:sz="4" w:space="0" w:color="D2C9B8"/>
              <w:left w:val="single" w:sz="4" w:space="0" w:color="D2C9B8"/>
              <w:bottom w:val="single" w:sz="4" w:space="0" w:color="D2C9B8"/>
              <w:right w:val="single" w:sz="4" w:space="0" w:color="D2C9B8"/>
            </w:tcBorders>
          </w:tcPr>
          <w:p w14:paraId="5167564E" w14:textId="77777777" w:rsidR="005A5FCC" w:rsidRDefault="00A21C81">
            <w:pPr>
              <w:spacing w:before="20" w:after="20" w:line="240" w:lineRule="auto"/>
              <w:jc w:val="left"/>
            </w:pPr>
            <w:r>
              <w:rPr>
                <w:rFonts w:cs="EB Garamond"/>
                <w:kern w:val="16"/>
                <w:sz w:val="18"/>
                <w14:ligatures w14:val="standardContextual"/>
              </w:rPr>
              <w:t>100</w:t>
            </w:r>
          </w:p>
        </w:tc>
        <w:tc>
          <w:tcPr>
            <w:tcW w:w="706" w:type="dxa"/>
            <w:tcBorders>
              <w:top w:val="single" w:sz="4" w:space="0" w:color="D2C9B8"/>
              <w:left w:val="single" w:sz="4" w:space="0" w:color="D2C9B8"/>
              <w:bottom w:val="single" w:sz="4" w:space="0" w:color="D2C9B8"/>
              <w:right w:val="single" w:sz="4" w:space="0" w:color="D2C9B8"/>
            </w:tcBorders>
          </w:tcPr>
          <w:p w14:paraId="0466CBDA" w14:textId="77777777" w:rsidR="005A5FCC" w:rsidRDefault="00A21C81">
            <w:pPr>
              <w:spacing w:before="20" w:after="20" w:line="240" w:lineRule="auto"/>
              <w:jc w:val="left"/>
            </w:pPr>
            <w:r>
              <w:rPr>
                <w:rFonts w:cs="EB Garamond"/>
                <w:kern w:val="16"/>
                <w:sz w:val="18"/>
                <w14:ligatures w14:val="standardContextual"/>
              </w:rPr>
              <w:t>93</w:t>
            </w:r>
          </w:p>
        </w:tc>
        <w:tc>
          <w:tcPr>
            <w:tcW w:w="706" w:type="dxa"/>
            <w:tcBorders>
              <w:top w:val="single" w:sz="4" w:space="0" w:color="D2C9B8"/>
              <w:left w:val="single" w:sz="4" w:space="0" w:color="D2C9B8"/>
              <w:bottom w:val="single" w:sz="4" w:space="0" w:color="D2C9B8"/>
              <w:right w:val="single" w:sz="4" w:space="0" w:color="D2C9B8"/>
            </w:tcBorders>
          </w:tcPr>
          <w:p w14:paraId="76A711AE" w14:textId="77777777" w:rsidR="005A5FCC" w:rsidRDefault="00A21C81">
            <w:pPr>
              <w:spacing w:before="20" w:after="20" w:line="240" w:lineRule="auto"/>
              <w:jc w:val="left"/>
            </w:pPr>
            <w:r>
              <w:rPr>
                <w:rFonts w:cs="EB Garamond"/>
                <w:kern w:val="16"/>
                <w:sz w:val="18"/>
                <w14:ligatures w14:val="standardContextual"/>
              </w:rPr>
              <w:t>60</w:t>
            </w:r>
          </w:p>
        </w:tc>
        <w:tc>
          <w:tcPr>
            <w:tcW w:w="706" w:type="dxa"/>
            <w:tcBorders>
              <w:top w:val="single" w:sz="4" w:space="0" w:color="D2C9B8"/>
              <w:left w:val="single" w:sz="4" w:space="0" w:color="D2C9B8"/>
              <w:bottom w:val="single" w:sz="4" w:space="0" w:color="D2C9B8"/>
              <w:right w:val="single" w:sz="4" w:space="0" w:color="D2C9B8"/>
            </w:tcBorders>
          </w:tcPr>
          <w:p w14:paraId="025E35DA" w14:textId="77777777" w:rsidR="005A5FCC" w:rsidRDefault="00A21C81">
            <w:pPr>
              <w:spacing w:before="20" w:after="20" w:line="240" w:lineRule="auto"/>
              <w:jc w:val="left"/>
            </w:pPr>
            <w:r>
              <w:rPr>
                <w:rFonts w:cs="EB Garamond"/>
                <w:kern w:val="16"/>
                <w:sz w:val="18"/>
                <w14:ligatures w14:val="standardContextual"/>
              </w:rPr>
              <w:t>57*</w:t>
            </w:r>
          </w:p>
        </w:tc>
      </w:tr>
      <w:tr w:rsidR="005A5FCC" w14:paraId="6FB4628D" w14:textId="77777777">
        <w:trPr>
          <w:jc w:val="center"/>
        </w:trPr>
        <w:tc>
          <w:tcPr>
            <w:tcW w:w="706" w:type="dxa"/>
            <w:tcBorders>
              <w:top w:val="single" w:sz="4" w:space="0" w:color="D2C9B8"/>
              <w:left w:val="single" w:sz="4" w:space="0" w:color="D2C9B8"/>
              <w:bottom w:val="single" w:sz="4" w:space="0" w:color="D2C9B8"/>
              <w:right w:val="single" w:sz="4" w:space="0" w:color="D2C9B8"/>
            </w:tcBorders>
          </w:tcPr>
          <w:p w14:paraId="2BB6CF43" w14:textId="77777777" w:rsidR="005A5FCC" w:rsidRDefault="00A21C81">
            <w:pPr>
              <w:spacing w:before="20" w:after="20" w:line="240" w:lineRule="auto"/>
              <w:jc w:val="left"/>
            </w:pPr>
            <w:r>
              <w:rPr>
                <w:rFonts w:cs="EB Garamond"/>
                <w:kern w:val="16"/>
                <w:sz w:val="18"/>
                <w14:ligatures w14:val="standardContextual"/>
              </w:rPr>
              <w:t>2032</w:t>
            </w:r>
          </w:p>
        </w:tc>
        <w:tc>
          <w:tcPr>
            <w:tcW w:w="706" w:type="dxa"/>
            <w:tcBorders>
              <w:top w:val="single" w:sz="4" w:space="0" w:color="D2C9B8"/>
              <w:left w:val="single" w:sz="4" w:space="0" w:color="D2C9B8"/>
              <w:bottom w:val="single" w:sz="4" w:space="0" w:color="D2C9B8"/>
              <w:right w:val="single" w:sz="4" w:space="0" w:color="D2C9B8"/>
            </w:tcBorders>
          </w:tcPr>
          <w:p w14:paraId="1F3A0BF1" w14:textId="77777777" w:rsidR="005A5FCC" w:rsidRDefault="00A21C81">
            <w:pPr>
              <w:spacing w:before="20" w:after="20" w:line="240" w:lineRule="auto"/>
              <w:jc w:val="left"/>
            </w:pPr>
            <w:r>
              <w:rPr>
                <w:rFonts w:cs="EB Garamond"/>
                <w:kern w:val="16"/>
                <w:sz w:val="18"/>
                <w14:ligatures w14:val="standardContextual"/>
              </w:rPr>
              <w:t>105</w:t>
            </w:r>
          </w:p>
        </w:tc>
        <w:tc>
          <w:tcPr>
            <w:tcW w:w="706" w:type="dxa"/>
            <w:tcBorders>
              <w:top w:val="single" w:sz="4" w:space="0" w:color="D2C9B8"/>
              <w:left w:val="single" w:sz="4" w:space="0" w:color="D2C9B8"/>
              <w:bottom w:val="single" w:sz="4" w:space="0" w:color="D2C9B8"/>
              <w:right w:val="single" w:sz="4" w:space="0" w:color="D2C9B8"/>
            </w:tcBorders>
          </w:tcPr>
          <w:p w14:paraId="10E8E4C9" w14:textId="77777777" w:rsidR="005A5FCC" w:rsidRDefault="00A21C81">
            <w:pPr>
              <w:spacing w:before="20" w:after="20" w:line="240" w:lineRule="auto"/>
              <w:jc w:val="left"/>
            </w:pPr>
            <w:r>
              <w:rPr>
                <w:rFonts w:cs="EB Garamond"/>
                <w:kern w:val="16"/>
                <w:sz w:val="18"/>
                <w14:ligatures w14:val="standardContextual"/>
              </w:rPr>
              <w:t>99</w:t>
            </w:r>
          </w:p>
        </w:tc>
        <w:tc>
          <w:tcPr>
            <w:tcW w:w="706" w:type="dxa"/>
            <w:tcBorders>
              <w:top w:val="single" w:sz="4" w:space="0" w:color="D2C9B8"/>
              <w:left w:val="single" w:sz="4" w:space="0" w:color="D2C9B8"/>
              <w:bottom w:val="single" w:sz="4" w:space="0" w:color="D2C9B8"/>
              <w:right w:val="single" w:sz="4" w:space="0" w:color="D2C9B8"/>
            </w:tcBorders>
          </w:tcPr>
          <w:p w14:paraId="519DAA64" w14:textId="77777777" w:rsidR="005A5FCC" w:rsidRDefault="00A21C81">
            <w:pPr>
              <w:spacing w:before="20" w:after="20" w:line="240" w:lineRule="auto"/>
              <w:jc w:val="left"/>
            </w:pPr>
            <w:r>
              <w:rPr>
                <w:rFonts w:cs="EB Garamond"/>
                <w:kern w:val="16"/>
                <w:sz w:val="18"/>
                <w14:ligatures w14:val="standardContextual"/>
              </w:rPr>
              <w:t>65</w:t>
            </w:r>
          </w:p>
        </w:tc>
        <w:tc>
          <w:tcPr>
            <w:tcW w:w="706" w:type="dxa"/>
            <w:tcBorders>
              <w:top w:val="single" w:sz="4" w:space="0" w:color="D2C9B8"/>
              <w:left w:val="single" w:sz="4" w:space="0" w:color="D2C9B8"/>
              <w:bottom w:val="single" w:sz="4" w:space="0" w:color="D2C9B8"/>
              <w:right w:val="single" w:sz="4" w:space="0" w:color="D2C9B8"/>
            </w:tcBorders>
          </w:tcPr>
          <w:p w14:paraId="289EA116" w14:textId="77777777" w:rsidR="005A5FCC" w:rsidRDefault="00A21C81">
            <w:pPr>
              <w:spacing w:before="20" w:after="20" w:line="240" w:lineRule="auto"/>
              <w:jc w:val="left"/>
            </w:pPr>
            <w:r>
              <w:rPr>
                <w:rFonts w:cs="EB Garamond"/>
                <w:kern w:val="16"/>
                <w:sz w:val="18"/>
                <w14:ligatures w14:val="standardContextual"/>
              </w:rPr>
              <w:t>62</w:t>
            </w:r>
          </w:p>
        </w:tc>
        <w:tc>
          <w:tcPr>
            <w:tcW w:w="706" w:type="dxa"/>
            <w:tcBorders>
              <w:top w:val="single" w:sz="4" w:space="0" w:color="D2C9B8"/>
              <w:left w:val="single" w:sz="4" w:space="0" w:color="D2C9B8"/>
              <w:bottom w:val="single" w:sz="4" w:space="0" w:color="D2C9B8"/>
              <w:right w:val="single" w:sz="4" w:space="0" w:color="D2C9B8"/>
            </w:tcBorders>
          </w:tcPr>
          <w:p w14:paraId="68968BE7" w14:textId="77777777" w:rsidR="005A5FCC" w:rsidRDefault="00A21C81">
            <w:pPr>
              <w:spacing w:before="20" w:after="20" w:line="240" w:lineRule="auto"/>
              <w:jc w:val="left"/>
            </w:pPr>
            <w:r>
              <w:rPr>
                <w:rFonts w:cs="EB Garamond"/>
                <w:kern w:val="16"/>
                <w:sz w:val="18"/>
                <w14:ligatures w14:val="standardContextual"/>
              </w:rPr>
              <w:t>100</w:t>
            </w:r>
          </w:p>
        </w:tc>
        <w:tc>
          <w:tcPr>
            <w:tcW w:w="706" w:type="dxa"/>
            <w:tcBorders>
              <w:top w:val="single" w:sz="4" w:space="0" w:color="D2C9B8"/>
              <w:left w:val="single" w:sz="4" w:space="0" w:color="D2C9B8"/>
              <w:bottom w:val="single" w:sz="4" w:space="0" w:color="D2C9B8"/>
              <w:right w:val="single" w:sz="4" w:space="0" w:color="D2C9B8"/>
            </w:tcBorders>
          </w:tcPr>
          <w:p w14:paraId="7281FE9F" w14:textId="77777777" w:rsidR="005A5FCC" w:rsidRDefault="00A21C81">
            <w:pPr>
              <w:spacing w:before="20" w:after="20" w:line="240" w:lineRule="auto"/>
              <w:jc w:val="left"/>
            </w:pPr>
            <w:r>
              <w:rPr>
                <w:rFonts w:cs="EB Garamond"/>
                <w:kern w:val="16"/>
                <w:sz w:val="18"/>
                <w14:ligatures w14:val="standardContextual"/>
              </w:rPr>
              <w:t>94</w:t>
            </w:r>
          </w:p>
        </w:tc>
        <w:tc>
          <w:tcPr>
            <w:tcW w:w="706" w:type="dxa"/>
            <w:tcBorders>
              <w:top w:val="single" w:sz="4" w:space="0" w:color="D2C9B8"/>
              <w:left w:val="single" w:sz="4" w:space="0" w:color="D2C9B8"/>
              <w:bottom w:val="single" w:sz="4" w:space="0" w:color="D2C9B8"/>
              <w:right w:val="single" w:sz="4" w:space="0" w:color="D2C9B8"/>
            </w:tcBorders>
          </w:tcPr>
          <w:p w14:paraId="00121493" w14:textId="77777777" w:rsidR="005A5FCC" w:rsidRDefault="00A21C81">
            <w:pPr>
              <w:spacing w:before="20" w:after="20" w:line="240" w:lineRule="auto"/>
              <w:jc w:val="left"/>
            </w:pPr>
            <w:r>
              <w:rPr>
                <w:rFonts w:cs="EB Garamond"/>
                <w:kern w:val="16"/>
                <w:sz w:val="18"/>
                <w14:ligatures w14:val="standardContextual"/>
              </w:rPr>
              <w:t>60</w:t>
            </w:r>
          </w:p>
        </w:tc>
        <w:tc>
          <w:tcPr>
            <w:tcW w:w="706" w:type="dxa"/>
            <w:tcBorders>
              <w:top w:val="single" w:sz="4" w:space="0" w:color="D2C9B8"/>
              <w:left w:val="single" w:sz="4" w:space="0" w:color="D2C9B8"/>
              <w:bottom w:val="single" w:sz="4" w:space="0" w:color="D2C9B8"/>
              <w:right w:val="single" w:sz="4" w:space="0" w:color="D2C9B8"/>
            </w:tcBorders>
          </w:tcPr>
          <w:p w14:paraId="50ABF3CA" w14:textId="77777777" w:rsidR="005A5FCC" w:rsidRDefault="00A21C81">
            <w:pPr>
              <w:spacing w:before="20" w:after="20" w:line="240" w:lineRule="auto"/>
              <w:jc w:val="left"/>
            </w:pPr>
            <w:r>
              <w:rPr>
                <w:rFonts w:cs="EB Garamond"/>
                <w:kern w:val="16"/>
                <w:sz w:val="18"/>
                <w14:ligatures w14:val="standardContextual"/>
              </w:rPr>
              <w:t>57</w:t>
            </w:r>
          </w:p>
        </w:tc>
      </w:tr>
      <w:tr w:rsidR="005A5FCC" w14:paraId="4D7073DF" w14:textId="77777777">
        <w:trPr>
          <w:jc w:val="center"/>
        </w:trPr>
        <w:tc>
          <w:tcPr>
            <w:tcW w:w="706" w:type="dxa"/>
            <w:tcBorders>
              <w:top w:val="single" w:sz="4" w:space="0" w:color="D2C9B8"/>
              <w:left w:val="single" w:sz="4" w:space="0" w:color="D2C9B8"/>
              <w:bottom w:val="single" w:sz="4" w:space="0" w:color="D2C9B8"/>
              <w:right w:val="single" w:sz="4" w:space="0" w:color="D2C9B8"/>
            </w:tcBorders>
          </w:tcPr>
          <w:p w14:paraId="76359E5A" w14:textId="77777777" w:rsidR="005A5FCC" w:rsidRDefault="00A21C81">
            <w:pPr>
              <w:spacing w:before="20" w:after="20" w:line="240" w:lineRule="auto"/>
              <w:jc w:val="left"/>
            </w:pPr>
            <w:r>
              <w:rPr>
                <w:rFonts w:cs="EB Garamond"/>
                <w:kern w:val="16"/>
                <w:sz w:val="18"/>
                <w14:ligatures w14:val="standardContextual"/>
              </w:rPr>
              <w:t>2033</w:t>
            </w:r>
          </w:p>
        </w:tc>
        <w:tc>
          <w:tcPr>
            <w:tcW w:w="706" w:type="dxa"/>
            <w:tcBorders>
              <w:top w:val="single" w:sz="4" w:space="0" w:color="D2C9B8"/>
              <w:left w:val="single" w:sz="4" w:space="0" w:color="D2C9B8"/>
              <w:bottom w:val="single" w:sz="4" w:space="0" w:color="D2C9B8"/>
              <w:right w:val="single" w:sz="4" w:space="0" w:color="D2C9B8"/>
            </w:tcBorders>
          </w:tcPr>
          <w:p w14:paraId="0208C887" w14:textId="77777777" w:rsidR="005A5FCC" w:rsidRDefault="00A21C81">
            <w:pPr>
              <w:spacing w:before="20" w:after="20" w:line="240" w:lineRule="auto"/>
              <w:jc w:val="left"/>
            </w:pPr>
            <w:r>
              <w:rPr>
                <w:rFonts w:cs="EB Garamond"/>
                <w:kern w:val="16"/>
                <w:sz w:val="18"/>
                <w14:ligatures w14:val="standardContextual"/>
              </w:rPr>
              <w:t>105</w:t>
            </w:r>
          </w:p>
        </w:tc>
        <w:tc>
          <w:tcPr>
            <w:tcW w:w="706" w:type="dxa"/>
            <w:tcBorders>
              <w:top w:val="single" w:sz="4" w:space="0" w:color="D2C9B8"/>
              <w:left w:val="single" w:sz="4" w:space="0" w:color="D2C9B8"/>
              <w:bottom w:val="single" w:sz="4" w:space="0" w:color="D2C9B8"/>
              <w:right w:val="single" w:sz="4" w:space="0" w:color="D2C9B8"/>
            </w:tcBorders>
          </w:tcPr>
          <w:p w14:paraId="260190D3" w14:textId="77777777" w:rsidR="005A5FCC" w:rsidRDefault="00A21C81">
            <w:pPr>
              <w:spacing w:before="20" w:after="20" w:line="240" w:lineRule="auto"/>
              <w:jc w:val="left"/>
            </w:pPr>
            <w:r>
              <w:rPr>
                <w:rFonts w:cs="EB Garamond"/>
                <w:kern w:val="16"/>
                <w:sz w:val="18"/>
                <w14:ligatures w14:val="standardContextual"/>
              </w:rPr>
              <w:t>100*</w:t>
            </w:r>
          </w:p>
        </w:tc>
        <w:tc>
          <w:tcPr>
            <w:tcW w:w="706" w:type="dxa"/>
            <w:tcBorders>
              <w:top w:val="single" w:sz="4" w:space="0" w:color="D2C9B8"/>
              <w:left w:val="single" w:sz="4" w:space="0" w:color="D2C9B8"/>
              <w:bottom w:val="single" w:sz="4" w:space="0" w:color="D2C9B8"/>
              <w:right w:val="single" w:sz="4" w:space="0" w:color="D2C9B8"/>
            </w:tcBorders>
          </w:tcPr>
          <w:p w14:paraId="251DC7D2" w14:textId="77777777" w:rsidR="005A5FCC" w:rsidRDefault="00A21C81">
            <w:pPr>
              <w:spacing w:before="20" w:after="20" w:line="240" w:lineRule="auto"/>
              <w:jc w:val="left"/>
            </w:pPr>
            <w:r>
              <w:rPr>
                <w:rFonts w:cs="EB Garamond"/>
                <w:kern w:val="16"/>
                <w:sz w:val="18"/>
                <w14:ligatures w14:val="standardContextual"/>
              </w:rPr>
              <w:t>65</w:t>
            </w:r>
          </w:p>
        </w:tc>
        <w:tc>
          <w:tcPr>
            <w:tcW w:w="706" w:type="dxa"/>
            <w:tcBorders>
              <w:top w:val="single" w:sz="4" w:space="0" w:color="D2C9B8"/>
              <w:left w:val="single" w:sz="4" w:space="0" w:color="D2C9B8"/>
              <w:bottom w:val="single" w:sz="4" w:space="0" w:color="D2C9B8"/>
              <w:right w:val="single" w:sz="4" w:space="0" w:color="D2C9B8"/>
            </w:tcBorders>
          </w:tcPr>
          <w:p w14:paraId="0287939E" w14:textId="77777777" w:rsidR="005A5FCC" w:rsidRDefault="00A21C81">
            <w:pPr>
              <w:spacing w:before="20" w:after="20" w:line="240" w:lineRule="auto"/>
              <w:jc w:val="left"/>
            </w:pPr>
            <w:r>
              <w:rPr>
                <w:rFonts w:cs="EB Garamond"/>
                <w:kern w:val="16"/>
                <w:sz w:val="18"/>
                <w14:ligatures w14:val="standardContextual"/>
              </w:rPr>
              <w:t>62</w:t>
            </w:r>
          </w:p>
        </w:tc>
        <w:tc>
          <w:tcPr>
            <w:tcW w:w="706" w:type="dxa"/>
            <w:tcBorders>
              <w:top w:val="single" w:sz="4" w:space="0" w:color="D2C9B8"/>
              <w:left w:val="single" w:sz="4" w:space="0" w:color="D2C9B8"/>
              <w:bottom w:val="single" w:sz="4" w:space="0" w:color="D2C9B8"/>
              <w:right w:val="single" w:sz="4" w:space="0" w:color="D2C9B8"/>
            </w:tcBorders>
          </w:tcPr>
          <w:p w14:paraId="2636BD16" w14:textId="77777777" w:rsidR="005A5FCC" w:rsidRDefault="00A21C81">
            <w:pPr>
              <w:spacing w:before="20" w:after="20" w:line="240" w:lineRule="auto"/>
              <w:jc w:val="left"/>
            </w:pPr>
            <w:r>
              <w:rPr>
                <w:rFonts w:cs="EB Garamond"/>
                <w:kern w:val="16"/>
                <w:sz w:val="18"/>
                <w14:ligatures w14:val="standardContextual"/>
              </w:rPr>
              <w:t>100</w:t>
            </w:r>
          </w:p>
        </w:tc>
        <w:tc>
          <w:tcPr>
            <w:tcW w:w="706" w:type="dxa"/>
            <w:tcBorders>
              <w:top w:val="single" w:sz="4" w:space="0" w:color="D2C9B8"/>
              <w:left w:val="single" w:sz="4" w:space="0" w:color="D2C9B8"/>
              <w:bottom w:val="single" w:sz="4" w:space="0" w:color="D2C9B8"/>
              <w:right w:val="single" w:sz="4" w:space="0" w:color="D2C9B8"/>
            </w:tcBorders>
          </w:tcPr>
          <w:p w14:paraId="1D00C0AD" w14:textId="77777777" w:rsidR="005A5FCC" w:rsidRDefault="00A21C81">
            <w:pPr>
              <w:spacing w:before="20" w:after="20" w:line="240" w:lineRule="auto"/>
              <w:jc w:val="left"/>
            </w:pPr>
            <w:r>
              <w:rPr>
                <w:rFonts w:cs="EB Garamond"/>
                <w:kern w:val="16"/>
                <w:sz w:val="18"/>
                <w14:ligatures w14:val="standardContextual"/>
              </w:rPr>
              <w:t>95*</w:t>
            </w:r>
          </w:p>
        </w:tc>
        <w:tc>
          <w:tcPr>
            <w:tcW w:w="706" w:type="dxa"/>
            <w:tcBorders>
              <w:top w:val="single" w:sz="4" w:space="0" w:color="D2C9B8"/>
              <w:left w:val="single" w:sz="4" w:space="0" w:color="D2C9B8"/>
              <w:bottom w:val="single" w:sz="4" w:space="0" w:color="D2C9B8"/>
              <w:right w:val="single" w:sz="4" w:space="0" w:color="D2C9B8"/>
            </w:tcBorders>
          </w:tcPr>
          <w:p w14:paraId="40EC627F" w14:textId="77777777" w:rsidR="005A5FCC" w:rsidRDefault="00A21C81">
            <w:pPr>
              <w:spacing w:before="20" w:after="20" w:line="240" w:lineRule="auto"/>
              <w:jc w:val="left"/>
            </w:pPr>
            <w:r>
              <w:rPr>
                <w:rFonts w:cs="EB Garamond"/>
                <w:kern w:val="16"/>
                <w:sz w:val="18"/>
                <w14:ligatures w14:val="standardContextual"/>
              </w:rPr>
              <w:t>60</w:t>
            </w:r>
          </w:p>
        </w:tc>
        <w:tc>
          <w:tcPr>
            <w:tcW w:w="706" w:type="dxa"/>
            <w:tcBorders>
              <w:top w:val="single" w:sz="4" w:space="0" w:color="D2C9B8"/>
              <w:left w:val="single" w:sz="4" w:space="0" w:color="D2C9B8"/>
              <w:bottom w:val="single" w:sz="4" w:space="0" w:color="D2C9B8"/>
              <w:right w:val="single" w:sz="4" w:space="0" w:color="D2C9B8"/>
            </w:tcBorders>
          </w:tcPr>
          <w:p w14:paraId="478B7E13" w14:textId="77777777" w:rsidR="005A5FCC" w:rsidRDefault="00A21C81">
            <w:pPr>
              <w:spacing w:before="20" w:after="20" w:line="240" w:lineRule="auto"/>
              <w:jc w:val="left"/>
            </w:pPr>
            <w:r>
              <w:rPr>
                <w:rFonts w:cs="EB Garamond"/>
                <w:kern w:val="16"/>
                <w:sz w:val="18"/>
                <w14:ligatures w14:val="standardContextual"/>
              </w:rPr>
              <w:t>57</w:t>
            </w:r>
          </w:p>
        </w:tc>
      </w:tr>
    </w:tbl>
    <w:p w14:paraId="6E1A0B19" w14:textId="77777777" w:rsidR="005A5FCC" w:rsidRDefault="005A5FCC">
      <w:pPr>
        <w:spacing w:after="80" w:line="240" w:lineRule="auto"/>
      </w:pPr>
    </w:p>
    <w:p w14:paraId="7828BD28" w14:textId="77777777" w:rsidR="005A5FCC" w:rsidRDefault="00A21C81">
      <w:pPr>
        <w:spacing w:after="60" w:line="240" w:lineRule="auto"/>
        <w:jc w:val="left"/>
      </w:pPr>
      <w:r>
        <w:rPr>
          <w:rFonts w:cs="EB Garamond"/>
          <w:i/>
          <w:color w:val="6B6256"/>
          <w:kern w:val="16"/>
          <w:sz w:val="17"/>
          <w14:ligatures w14:val="standardContextual"/>
        </w:rPr>
        <w:t>Asterisco indica o ano de estabilização (quando a progressão atinge o valor final e deixa de crescer).</w:t>
      </w:r>
    </w:p>
    <w:p w14:paraId="4DEDAA21" w14:textId="77777777" w:rsidR="005A5FCC" w:rsidRDefault="00A21C81">
      <w:pPr>
        <w:spacing w:before="260" w:after="80" w:line="240" w:lineRule="auto"/>
        <w:jc w:val="left"/>
      </w:pPr>
      <w:r>
        <w:rPr>
          <w:rFonts w:cs="EB Garamond"/>
          <w:b/>
          <w:color w:val="3A3128"/>
          <w:kern w:val="16"/>
          <w:sz w:val="25"/>
          <w14:ligatures w14:val="standardContextual"/>
        </w:rPr>
        <w:t>11.18.3 Fluxograma decisório do advogado</w:t>
      </w:r>
    </w:p>
    <w:p w14:paraId="31A4A4E8"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145727DC" w14:textId="77777777" w:rsidR="005A5FCC" w:rsidRDefault="00A21C81">
      <w:r>
        <w:rPr>
          <w:rFonts w:cs="EB Garamond"/>
          <w:kern w:val="16"/>
          <w14:ligatures w14:val="standardContextual"/>
        </w:rPr>
        <w:t xml:space="preserve"> advogado que atende segurado buscando aposentadoria por TC deve seguir este roteiro lógico:</w:t>
      </w:r>
    </w:p>
    <w:p w14:paraId="6EA0D2A6" w14:textId="77777777" w:rsidR="005A5FCC" w:rsidRDefault="00A21C81">
      <w:pPr>
        <w:ind w:firstLine="238"/>
      </w:pPr>
      <w:r>
        <w:rPr>
          <w:rFonts w:cs="EB Garamond"/>
          <w:b/>
          <w:kern w:val="16"/>
          <w14:ligatures w14:val="standardContextual"/>
        </w:rPr>
        <w:t>Passo 1 — Apurar o TC total:</w:t>
      </w:r>
      <w:r>
        <w:rPr>
          <w:rFonts w:cs="EB Garamond"/>
          <w:kern w:val="16"/>
          <w14:ligatures w14:val="standardContextual"/>
        </w:rPr>
        <w:t xml:space="preserve"> Somar todos os períodos de TC (CNIS + CTPS + CTC + rurais + militar + conversão especial).</w:t>
      </w:r>
    </w:p>
    <w:p w14:paraId="2ABE1F32" w14:textId="77777777" w:rsidR="005A5FCC" w:rsidRDefault="00A21C81">
      <w:pPr>
        <w:ind w:firstLine="238"/>
      </w:pPr>
      <w:r>
        <w:rPr>
          <w:rFonts w:cs="EB Garamond"/>
          <w:b/>
          <w:kern w:val="16"/>
          <w14:ligatures w14:val="standardContextual"/>
        </w:rPr>
        <w:t>Passo 2 — Verificar direito adquirido:</w:t>
      </w:r>
      <w:r>
        <w:rPr>
          <w:rFonts w:cs="EB Garamond"/>
          <w:kern w:val="16"/>
          <w14:ligatures w14:val="standardContextual"/>
        </w:rPr>
        <w:t xml:space="preserve"> O segurado completou 35H/30M anos de TC antes de 13/11/2019? Se sim, verificar se atingiu 96/86 pontos (regra 85/95). Se não, calcular o fator previdenciário para a regra antiga.</w:t>
      </w:r>
    </w:p>
    <w:p w14:paraId="5ABF826D" w14:textId="77777777" w:rsidR="005A5FCC" w:rsidRDefault="00A21C81">
      <w:pPr>
        <w:ind w:firstLine="238"/>
      </w:pPr>
      <w:r>
        <w:rPr>
          <w:rFonts w:cs="EB Garamond"/>
          <w:b/>
          <w:kern w:val="16"/>
          <w14:ligatures w14:val="standardContextual"/>
        </w:rPr>
        <w:t>Passo 3 — Verificar elegibilidade em cada regra de transição (2026):</w:t>
      </w:r>
    </w:p>
    <w:p w14:paraId="7FFB7173"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Art. 15: TC ≥ 35H/30M + pontuação ≥ 103H/93M?</w:t>
      </w:r>
    </w:p>
    <w:p w14:paraId="6C3C5185"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Art. 16: TC ≥ 35H/30M + idade ≥ 64,5H/59,5M?</w:t>
      </w:r>
    </w:p>
    <w:p w14:paraId="6110482F"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Art. 17: Faltava &lt; 2 anos em 13/11/2019?</w:t>
      </w:r>
    </w:p>
    <w:p w14:paraId="48AE306E"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Art. 20: Idade ≥ 60H/57M + TC ≥ 35H/30M + pedágio cumprido?</w:t>
      </w:r>
    </w:p>
    <w:p w14:paraId="5D84C161" w14:textId="77777777" w:rsidR="005A5FCC" w:rsidRDefault="005A5FCC">
      <w:pPr>
        <w:spacing w:after="60" w:line="240" w:lineRule="auto"/>
      </w:pPr>
    </w:p>
    <w:p w14:paraId="48FB82C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P</w:t>
      </w:r>
    </w:p>
    <w:p w14:paraId="73D4CC47" w14:textId="77777777" w:rsidR="005A5FCC" w:rsidRDefault="00A21C81">
      <w:r>
        <w:rPr>
          <w:rFonts w:cs="EB Garamond"/>
          <w:b/>
          <w:kern w:val="16"/>
          <w14:ligatures w14:val="standardContextual"/>
        </w:rPr>
        <w:t>asso 4, para cada regra elegível, calcular a RMI.</w:t>
      </w:r>
    </w:p>
    <w:p w14:paraId="45ADC4A4" w14:textId="77777777" w:rsidR="005A5FCC" w:rsidRDefault="00A21C81">
      <w:pPr>
        <w:ind w:firstLine="238"/>
      </w:pPr>
      <w:r>
        <w:rPr>
          <w:rFonts w:cs="EB Garamond"/>
          <w:b/>
          <w:kern w:val="16"/>
          <w14:ligatures w14:val="standardContextual"/>
        </w:rPr>
        <w:t>Passo 5 — Comparar RMIs e identificar a regra mais vantajosa.</w:t>
      </w:r>
    </w:p>
    <w:p w14:paraId="365DA35E" w14:textId="77777777" w:rsidR="005A5FCC" w:rsidRDefault="00A21C81">
      <w:pPr>
        <w:ind w:firstLine="238"/>
      </w:pPr>
      <w:r>
        <w:rPr>
          <w:rFonts w:cs="EB Garamond"/>
          <w:b/>
          <w:kern w:val="16"/>
          <w14:ligatures w14:val="standardContextual"/>
        </w:rPr>
        <w:lastRenderedPageBreak/>
        <w:t>Passo 6 — Projetar cenários futuros:</w:t>
      </w:r>
      <w:r>
        <w:rPr>
          <w:rFonts w:cs="EB Garamond"/>
          <w:kern w:val="16"/>
          <w14:ligatures w14:val="standardContextual"/>
        </w:rPr>
        <w:t xml:space="preserve"> Se nenhuma regra é atingida em 2026, projetar quando cada regra será atingida e calcular o custo de oportunidade da espera.</w:t>
      </w:r>
    </w:p>
    <w:p w14:paraId="4151142E" w14:textId="77777777" w:rsidR="005A5FCC" w:rsidRDefault="00A21C81">
      <w:pPr>
        <w:ind w:firstLine="238"/>
      </w:pPr>
      <w:r>
        <w:rPr>
          <w:rFonts w:cs="EB Garamond"/>
          <w:b/>
          <w:kern w:val="16"/>
          <w14:ligatures w14:val="standardContextual"/>
        </w:rPr>
        <w:t>Passo 7 — Apresentar o comparativo ao cliente</w:t>
      </w:r>
      <w:r>
        <w:rPr>
          <w:rFonts w:cs="EB Garamond"/>
          <w:kern w:val="16"/>
          <w14:ligatures w14:val="standardContextual"/>
        </w:rPr>
        <w:t xml:space="preserve"> com recomendação fundamentada, incluindo:</w:t>
      </w:r>
    </w:p>
    <w:p w14:paraId="5E800A0B"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Tabela comparativa de RMIs por cada regra elegível</w:t>
      </w:r>
    </w:p>
    <w:p w14:paraId="710E1FF6"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Projeção temporal (quando cada regra será atingida)</w:t>
      </w:r>
    </w:p>
    <w:p w14:paraId="45ED03A6"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Análise de break-even para cenários de espera</w:t>
      </w:r>
    </w:p>
    <w:p w14:paraId="30B1C4B5"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Riscos identificados (saúde, desemprego, mudança legislativa)</w:t>
      </w:r>
    </w:p>
    <w:p w14:paraId="2ED41F95"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Recomendação técnica fundamentada com a regra mais vantajosa</w:t>
      </w:r>
    </w:p>
    <w:p w14:paraId="1ACC6A14"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Esclarecimento sobre a irreversibilidade da escolha (vedação da desaposentação)</w:t>
      </w:r>
    </w:p>
    <w:p w14:paraId="2F0E37AA" w14:textId="77777777" w:rsidR="005A5FCC" w:rsidRDefault="005A5FCC">
      <w:pPr>
        <w:spacing w:after="60" w:line="240" w:lineRule="auto"/>
      </w:pPr>
    </w:p>
    <w:p w14:paraId="4F7A49A7" w14:textId="77777777" w:rsidR="005A5FCC" w:rsidRDefault="00A21C81">
      <w:pPr>
        <w:spacing w:before="260" w:after="80" w:line="240" w:lineRule="auto"/>
        <w:jc w:val="left"/>
      </w:pPr>
      <w:r>
        <w:rPr>
          <w:rFonts w:cs="EB Garamond"/>
          <w:b/>
          <w:color w:val="3A3128"/>
          <w:kern w:val="16"/>
          <w:sz w:val="25"/>
          <w14:ligatures w14:val="standardContextual"/>
        </w:rPr>
        <w:t>11.18.4 Checklist completo</w:t>
      </w:r>
    </w:p>
    <w:tbl>
      <w:tblPr>
        <w:tblW w:w="5000" w:type="pct"/>
        <w:jc w:val="center"/>
        <w:tblLayout w:type="fixed"/>
        <w:tblLook w:val="04A0" w:firstRow="1" w:lastRow="0" w:firstColumn="1" w:lastColumn="0" w:noHBand="0" w:noVBand="1"/>
      </w:tblPr>
      <w:tblGrid>
        <w:gridCol w:w="6311"/>
      </w:tblGrid>
      <w:tr w:rsidR="005A5FCC" w14:paraId="10AF4209"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21685DCB"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3BE2EB38" w14:textId="77777777" w:rsidR="005A5FCC" w:rsidRDefault="00A21C81">
            <w:pPr>
              <w:spacing w:after="60" w:line="247" w:lineRule="auto"/>
            </w:pPr>
            <w:r>
              <w:rPr>
                <w:rFonts w:cs="EB Garamond"/>
                <w:b/>
                <w:kern w:val="16"/>
                <w:sz w:val="19"/>
                <w14:ligatures w14:val="standardContextual"/>
              </w:rPr>
              <w:t>Checklist final — Aposentadoria por TC e regras de transição</w:t>
            </w:r>
          </w:p>
          <w:p w14:paraId="0B669F36" w14:textId="77777777" w:rsidR="005A5FCC" w:rsidRDefault="00A21C81">
            <w:pPr>
              <w:spacing w:after="60" w:line="247" w:lineRule="auto"/>
            </w:pPr>
            <w:r>
              <w:rPr>
                <w:rFonts w:cs="EB Garamond"/>
                <w:b/>
                <w:kern w:val="16"/>
                <w:sz w:val="19"/>
                <w14:ligatures w14:val="standardContextual"/>
              </w:rPr>
              <w:t>Requisitos documentais:</w:t>
            </w:r>
            <w:r>
              <w:rPr>
                <w:rFonts w:cs="EB Garamond"/>
                <w:kern w:val="16"/>
                <w:sz w:val="19"/>
                <w14:ligatures w14:val="standardContextual"/>
              </w:rPr>
              <w:t xml:space="preserve"> - [ ] CNIS atualizado e conferido - [ ] Todos os vínculos anotados na CTPS identificados - [ ] Períodos sem contribuição identificados e justificados - [ ] Tempo rural comprovado por início de prova material (se aplicável) - [ ] Tempo militar comprovado por Certificado de Reservista (se aplicável) - [ ] PPP de todos os empregadores com atividade especial (se conversão) - [ ] CTC do RPPS (se contagem recíproca) - [ ] Recolhimentos como CI/facultativo comprovados (guias GPS)</w:t>
            </w:r>
          </w:p>
          <w:p w14:paraId="7AF68240" w14:textId="77777777" w:rsidR="005A5FCC" w:rsidRDefault="00A21C81">
            <w:pPr>
              <w:spacing w:after="60" w:line="247" w:lineRule="auto"/>
            </w:pPr>
            <w:r>
              <w:rPr>
                <w:rFonts w:cs="EB Garamond"/>
                <w:b/>
                <w:kern w:val="16"/>
                <w:sz w:val="19"/>
                <w14:ligatures w14:val="standardContextual"/>
              </w:rPr>
              <w:t>Análise de elegibilidade:</w:t>
            </w:r>
            <w:r>
              <w:rPr>
                <w:rFonts w:cs="EB Garamond"/>
                <w:kern w:val="16"/>
                <w:sz w:val="19"/>
                <w14:ligatures w14:val="standardContextual"/>
              </w:rPr>
              <w:t xml:space="preserve"> - [ ] Direito adquirido verificado (TC e pontos em 12/11/2019) - [ ] Art. 15 verificado (TC + pontuação 2026) - [ ] Art. 16 verificado (TC + idade 2026) - [ ] Art. 17 verificado (menos de 2 anos faltantes em 2019) - [ ] Art. 20 verificado (idade + TC + pedágio) - [ ] Conversão de tempo especial calculada (fator aplicado) - [ ] Carência de 180 meses verificada</w:t>
            </w:r>
          </w:p>
          <w:p w14:paraId="5DEFD4D3" w14:textId="77777777" w:rsidR="005A5FCC" w:rsidRDefault="00A21C81">
            <w:pPr>
              <w:spacing w:after="60" w:line="247" w:lineRule="auto"/>
            </w:pPr>
            <w:r>
              <w:rPr>
                <w:rFonts w:cs="EB Garamond"/>
                <w:b/>
                <w:kern w:val="16"/>
                <w:sz w:val="19"/>
                <w14:ligatures w14:val="standardContextual"/>
              </w:rPr>
              <w:t>Cálculo do benefício:</w:t>
            </w:r>
            <w:r>
              <w:rPr>
                <w:rFonts w:cs="EB Garamond"/>
                <w:kern w:val="16"/>
                <w:sz w:val="19"/>
                <w14:ligatures w14:val="standardContextual"/>
              </w:rPr>
              <w:t xml:space="preserve"> - [ ] Média 80% maiores SC apurada (para regras com fator) - [ ] Média 100% SC apurada (para regras EC 103) - [ ] Exclusão de SC que reduzam a média (art. 26, § 6º) simulada - [ ] Fator previdenciário calculado (para pedágio 50% e direito adquirido) - [ ] Coeficiente 60%+2% calculado (para arts. 15 e 16) - [ ] RMI por cada regra elegível apurada - [ ] Regra mais vantajosa identificada - [ ] Ponto de equilíbrio calculado (se há regra futura melhor)</w:t>
            </w:r>
          </w:p>
          <w:p w14:paraId="54C47AFE" w14:textId="77777777" w:rsidR="005A5FCC" w:rsidRDefault="00A21C81">
            <w:pPr>
              <w:spacing w:after="60" w:line="247" w:lineRule="auto"/>
            </w:pPr>
            <w:r>
              <w:rPr>
                <w:rFonts w:cs="EB Garamond"/>
                <w:b/>
                <w:kern w:val="16"/>
                <w:sz w:val="19"/>
                <w14:ligatures w14:val="standardContextual"/>
              </w:rPr>
              <w:t>Ação judicial (se indeferimento):</w:t>
            </w:r>
            <w:r>
              <w:rPr>
                <w:rFonts w:cs="EB Garamond"/>
                <w:kern w:val="16"/>
                <w:sz w:val="19"/>
                <w14:ligatures w14:val="standardContextual"/>
              </w:rPr>
              <w:t xml:space="preserve"> - [ ] Prévio requerimento administrativo comprovado - [ ] Valor da causa calculado (verificar se dentro do teto JEF) - [ ] Pedido alternativo formulado (todas as regras aplicáveis) - [ ] Documentação completa anexada - [ ] Cálculos de liquidação atualizados - [ ] Tutela provisória de urgência ou evidência requerida (se cabível)</w:t>
            </w:r>
          </w:p>
        </w:tc>
      </w:tr>
    </w:tbl>
    <w:p w14:paraId="2E850BFE" w14:textId="77777777" w:rsidR="005A5FCC" w:rsidRDefault="005A5FCC">
      <w:pPr>
        <w:spacing w:after="80" w:line="240" w:lineRule="auto"/>
      </w:pPr>
    </w:p>
    <w:p w14:paraId="4129D602" w14:textId="77777777" w:rsidR="005A5FCC" w:rsidRDefault="00A21C81">
      <w:pPr>
        <w:spacing w:before="260" w:after="80" w:line="240" w:lineRule="auto"/>
        <w:jc w:val="left"/>
      </w:pPr>
      <w:r>
        <w:rPr>
          <w:rFonts w:cs="EB Garamond"/>
          <w:b/>
          <w:color w:val="3A3128"/>
          <w:kern w:val="16"/>
          <w:sz w:val="25"/>
          <w14:ligatures w14:val="standardContextual"/>
        </w:rPr>
        <w:t>11.18.5 Valores de referência 2026</w:t>
      </w:r>
    </w:p>
    <w:p w14:paraId="7D03D02F"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P</w:t>
      </w:r>
    </w:p>
    <w:p w14:paraId="16568387" w14:textId="77777777" w:rsidR="005A5FCC" w:rsidRDefault="00A21C81">
      <w:r>
        <w:rPr>
          <w:rFonts w:cs="EB Garamond"/>
          <w:kern w:val="16"/>
          <w14:ligatures w14:val="standardContextual"/>
        </w:rPr>
        <w:t>ara facilitar a consulta, apresentam-se os valores de referência atualizados para 2026:</w:t>
      </w:r>
    </w:p>
    <w:tbl>
      <w:tblPr>
        <w:tblW w:w="5000" w:type="pct"/>
        <w:jc w:val="center"/>
        <w:tblLook w:val="04A0" w:firstRow="1" w:lastRow="0" w:firstColumn="1" w:lastColumn="0" w:noHBand="0" w:noVBand="1"/>
      </w:tblPr>
      <w:tblGrid>
        <w:gridCol w:w="3170"/>
        <w:gridCol w:w="3170"/>
      </w:tblGrid>
      <w:tr w:rsidR="005A5FCC" w14:paraId="05C03F7F" w14:textId="77777777">
        <w:trPr>
          <w:tblHeader/>
          <w:jc w:val="center"/>
        </w:trPr>
        <w:tc>
          <w:tcPr>
            <w:tcW w:w="3175" w:type="dxa"/>
            <w:tcBorders>
              <w:top w:val="single" w:sz="4" w:space="0" w:color="D2C9B8"/>
              <w:left w:val="single" w:sz="4" w:space="0" w:color="D2C9B8"/>
              <w:bottom w:val="single" w:sz="4" w:space="0" w:color="D2C9B8"/>
              <w:right w:val="single" w:sz="4" w:space="0" w:color="D2C9B8"/>
            </w:tcBorders>
            <w:shd w:val="clear" w:color="auto" w:fill="F0EDE6"/>
          </w:tcPr>
          <w:p w14:paraId="10008D9D" w14:textId="77777777" w:rsidR="005A5FCC" w:rsidRDefault="00A21C81">
            <w:pPr>
              <w:spacing w:before="40" w:after="40" w:line="240" w:lineRule="auto"/>
              <w:jc w:val="center"/>
            </w:pPr>
            <w:r>
              <w:rPr>
                <w:rFonts w:cs="EB Garamond"/>
                <w:b/>
                <w:color w:val="2F2923"/>
                <w:kern w:val="16"/>
                <w:sz w:val="18"/>
                <w14:ligatures w14:val="standardContextual"/>
              </w:rPr>
              <w:t>Parâmetro</w:t>
            </w:r>
          </w:p>
        </w:tc>
        <w:tc>
          <w:tcPr>
            <w:tcW w:w="3175" w:type="dxa"/>
            <w:tcBorders>
              <w:top w:val="single" w:sz="4" w:space="0" w:color="D2C9B8"/>
              <w:left w:val="single" w:sz="4" w:space="0" w:color="D2C9B8"/>
              <w:bottom w:val="single" w:sz="4" w:space="0" w:color="D2C9B8"/>
              <w:right w:val="single" w:sz="4" w:space="0" w:color="D2C9B8"/>
            </w:tcBorders>
            <w:shd w:val="clear" w:color="auto" w:fill="F0EDE6"/>
          </w:tcPr>
          <w:p w14:paraId="00458306" w14:textId="77777777" w:rsidR="005A5FCC" w:rsidRDefault="00A21C81">
            <w:pPr>
              <w:spacing w:before="40" w:after="40" w:line="240" w:lineRule="auto"/>
              <w:jc w:val="center"/>
            </w:pPr>
            <w:r>
              <w:rPr>
                <w:rFonts w:cs="EB Garamond"/>
                <w:b/>
                <w:color w:val="2F2923"/>
                <w:kern w:val="16"/>
                <w:sz w:val="18"/>
                <w14:ligatures w14:val="standardContextual"/>
              </w:rPr>
              <w:t>Valor 2026</w:t>
            </w:r>
          </w:p>
        </w:tc>
      </w:tr>
      <w:tr w:rsidR="005A5FCC" w14:paraId="2296D442"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3B509519" w14:textId="2682B01C" w:rsidR="005A5FCC" w:rsidRDefault="00E10F05">
            <w:pPr>
              <w:spacing w:before="20" w:after="20" w:line="240" w:lineRule="auto"/>
              <w:jc w:val="left"/>
            </w:pPr>
            <w:r>
              <w:rPr>
                <w:rFonts w:cs="EB Garamond"/>
                <w:kern w:val="16"/>
                <w:sz w:val="18"/>
                <w14:ligatures w14:val="standardContextual"/>
              </w:rPr>
              <w:t>Salário-mínimo</w:t>
            </w:r>
          </w:p>
        </w:tc>
        <w:tc>
          <w:tcPr>
            <w:tcW w:w="3175" w:type="dxa"/>
            <w:tcBorders>
              <w:top w:val="single" w:sz="4" w:space="0" w:color="D2C9B8"/>
              <w:left w:val="single" w:sz="4" w:space="0" w:color="D2C9B8"/>
              <w:bottom w:val="single" w:sz="4" w:space="0" w:color="D2C9B8"/>
              <w:right w:val="single" w:sz="4" w:space="0" w:color="D2C9B8"/>
            </w:tcBorders>
          </w:tcPr>
          <w:p w14:paraId="1D74BD82" w14:textId="77777777" w:rsidR="005A5FCC" w:rsidRDefault="00A21C81">
            <w:pPr>
              <w:spacing w:before="20" w:after="20" w:line="240" w:lineRule="auto"/>
              <w:jc w:val="left"/>
            </w:pPr>
            <w:r>
              <w:rPr>
                <w:rFonts w:cs="EB Garamond"/>
                <w:kern w:val="16"/>
                <w:sz w:val="18"/>
                <w14:ligatures w14:val="standardContextual"/>
              </w:rPr>
              <w:t>R$ 1.621,00</w:t>
            </w:r>
          </w:p>
        </w:tc>
      </w:tr>
      <w:tr w:rsidR="005A5FCC" w14:paraId="7D49A8C9"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0F59AC04" w14:textId="77777777" w:rsidR="005A5FCC" w:rsidRDefault="00A21C81">
            <w:pPr>
              <w:spacing w:before="20" w:after="20" w:line="240" w:lineRule="auto"/>
              <w:jc w:val="left"/>
            </w:pPr>
            <w:r>
              <w:rPr>
                <w:rFonts w:cs="EB Garamond"/>
                <w:kern w:val="16"/>
                <w:sz w:val="18"/>
                <w14:ligatures w14:val="standardContextual"/>
              </w:rPr>
              <w:t>Teto RGPS</w:t>
            </w:r>
          </w:p>
        </w:tc>
        <w:tc>
          <w:tcPr>
            <w:tcW w:w="3175" w:type="dxa"/>
            <w:tcBorders>
              <w:top w:val="single" w:sz="4" w:space="0" w:color="D2C9B8"/>
              <w:left w:val="single" w:sz="4" w:space="0" w:color="D2C9B8"/>
              <w:bottom w:val="single" w:sz="4" w:space="0" w:color="D2C9B8"/>
              <w:right w:val="single" w:sz="4" w:space="0" w:color="D2C9B8"/>
            </w:tcBorders>
          </w:tcPr>
          <w:p w14:paraId="7E28C63A" w14:textId="77777777" w:rsidR="005A5FCC" w:rsidRDefault="00A21C81">
            <w:pPr>
              <w:spacing w:before="20" w:after="20" w:line="240" w:lineRule="auto"/>
              <w:jc w:val="left"/>
            </w:pPr>
            <w:r>
              <w:rPr>
                <w:rFonts w:cs="EB Garamond"/>
                <w:kern w:val="16"/>
                <w:sz w:val="18"/>
                <w14:ligatures w14:val="standardContextual"/>
              </w:rPr>
              <w:t>R$ 8.475,55</w:t>
            </w:r>
          </w:p>
        </w:tc>
      </w:tr>
      <w:tr w:rsidR="005A5FCC" w14:paraId="5B29855F"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0DDD21D5" w14:textId="77777777" w:rsidR="005A5FCC" w:rsidRDefault="00A21C81">
            <w:pPr>
              <w:spacing w:before="20" w:after="20" w:line="240" w:lineRule="auto"/>
              <w:jc w:val="left"/>
            </w:pPr>
            <w:r>
              <w:rPr>
                <w:rFonts w:cs="EB Garamond"/>
                <w:kern w:val="16"/>
                <w:sz w:val="18"/>
                <w14:ligatures w14:val="standardContextual"/>
              </w:rPr>
              <w:t>Teto JEF (60 SM)</w:t>
            </w:r>
          </w:p>
        </w:tc>
        <w:tc>
          <w:tcPr>
            <w:tcW w:w="3175" w:type="dxa"/>
            <w:tcBorders>
              <w:top w:val="single" w:sz="4" w:space="0" w:color="D2C9B8"/>
              <w:left w:val="single" w:sz="4" w:space="0" w:color="D2C9B8"/>
              <w:bottom w:val="single" w:sz="4" w:space="0" w:color="D2C9B8"/>
              <w:right w:val="single" w:sz="4" w:space="0" w:color="D2C9B8"/>
            </w:tcBorders>
          </w:tcPr>
          <w:p w14:paraId="776790C3" w14:textId="77777777" w:rsidR="005A5FCC" w:rsidRDefault="00A21C81">
            <w:pPr>
              <w:spacing w:before="20" w:after="20" w:line="240" w:lineRule="auto"/>
              <w:jc w:val="left"/>
            </w:pPr>
            <w:r>
              <w:rPr>
                <w:rFonts w:cs="EB Garamond"/>
                <w:kern w:val="16"/>
                <w:sz w:val="18"/>
                <w14:ligatures w14:val="standardContextual"/>
              </w:rPr>
              <w:t>R$ 97.260,00</w:t>
            </w:r>
          </w:p>
        </w:tc>
      </w:tr>
      <w:tr w:rsidR="005A5FCC" w14:paraId="440FFAA9"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62EE6327" w14:textId="77777777" w:rsidR="005A5FCC" w:rsidRDefault="00A21C81">
            <w:pPr>
              <w:spacing w:before="20" w:after="20" w:line="240" w:lineRule="auto"/>
              <w:jc w:val="left"/>
            </w:pPr>
            <w:r>
              <w:rPr>
                <w:rFonts w:cs="EB Garamond"/>
                <w:kern w:val="16"/>
                <w:sz w:val="18"/>
                <w14:ligatures w14:val="standardContextual"/>
              </w:rPr>
              <w:lastRenderedPageBreak/>
              <w:t>Alíquota fator previdenciário (a)</w:t>
            </w:r>
          </w:p>
        </w:tc>
        <w:tc>
          <w:tcPr>
            <w:tcW w:w="3175" w:type="dxa"/>
            <w:tcBorders>
              <w:top w:val="single" w:sz="4" w:space="0" w:color="D2C9B8"/>
              <w:left w:val="single" w:sz="4" w:space="0" w:color="D2C9B8"/>
              <w:bottom w:val="single" w:sz="4" w:space="0" w:color="D2C9B8"/>
              <w:right w:val="single" w:sz="4" w:space="0" w:color="D2C9B8"/>
            </w:tcBorders>
          </w:tcPr>
          <w:p w14:paraId="6E5EC09B" w14:textId="77777777" w:rsidR="005A5FCC" w:rsidRDefault="00A21C81">
            <w:pPr>
              <w:spacing w:before="20" w:after="20" w:line="240" w:lineRule="auto"/>
              <w:jc w:val="left"/>
            </w:pPr>
            <w:r>
              <w:rPr>
                <w:rFonts w:cs="EB Garamond"/>
                <w:kern w:val="16"/>
                <w:sz w:val="18"/>
                <w14:ligatures w14:val="standardContextual"/>
              </w:rPr>
              <w:t>0,31</w:t>
            </w:r>
          </w:p>
        </w:tc>
      </w:tr>
      <w:tr w:rsidR="005A5FCC" w14:paraId="390B8275"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34100514" w14:textId="77777777" w:rsidR="005A5FCC" w:rsidRDefault="00A21C81">
            <w:pPr>
              <w:spacing w:before="20" w:after="20" w:line="240" w:lineRule="auto"/>
              <w:jc w:val="left"/>
            </w:pPr>
            <w:r>
              <w:rPr>
                <w:rFonts w:cs="EB Garamond"/>
                <w:kern w:val="16"/>
                <w:sz w:val="18"/>
                <w14:ligatures w14:val="standardContextual"/>
              </w:rPr>
              <w:t>Expectativa de vida ao nascer</w:t>
            </w:r>
          </w:p>
        </w:tc>
        <w:tc>
          <w:tcPr>
            <w:tcW w:w="3175" w:type="dxa"/>
            <w:tcBorders>
              <w:top w:val="single" w:sz="4" w:space="0" w:color="D2C9B8"/>
              <w:left w:val="single" w:sz="4" w:space="0" w:color="D2C9B8"/>
              <w:bottom w:val="single" w:sz="4" w:space="0" w:color="D2C9B8"/>
              <w:right w:val="single" w:sz="4" w:space="0" w:color="D2C9B8"/>
            </w:tcBorders>
          </w:tcPr>
          <w:p w14:paraId="659FA861" w14:textId="77777777" w:rsidR="005A5FCC" w:rsidRDefault="00A21C81">
            <w:pPr>
              <w:spacing w:before="20" w:after="20" w:line="240" w:lineRule="auto"/>
              <w:jc w:val="left"/>
            </w:pPr>
            <w:r>
              <w:rPr>
                <w:rFonts w:cs="EB Garamond"/>
                <w:kern w:val="16"/>
                <w:sz w:val="18"/>
                <w14:ligatures w14:val="standardContextual"/>
              </w:rPr>
              <w:t>76,6 anos</w:t>
            </w:r>
          </w:p>
        </w:tc>
      </w:tr>
      <w:tr w:rsidR="005A5FCC" w14:paraId="158BB242"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09988797" w14:textId="77777777" w:rsidR="005A5FCC" w:rsidRDefault="00A21C81">
            <w:pPr>
              <w:spacing w:before="20" w:after="20" w:line="240" w:lineRule="auto"/>
              <w:jc w:val="left"/>
            </w:pPr>
            <w:r>
              <w:rPr>
                <w:rFonts w:cs="EB Garamond"/>
                <w:kern w:val="16"/>
                <w:sz w:val="18"/>
                <w14:ligatures w14:val="standardContextual"/>
              </w:rPr>
              <w:t>Sobrevida aos 55 anos</w:t>
            </w:r>
          </w:p>
        </w:tc>
        <w:tc>
          <w:tcPr>
            <w:tcW w:w="3175" w:type="dxa"/>
            <w:tcBorders>
              <w:top w:val="single" w:sz="4" w:space="0" w:color="D2C9B8"/>
              <w:left w:val="single" w:sz="4" w:space="0" w:color="D2C9B8"/>
              <w:bottom w:val="single" w:sz="4" w:space="0" w:color="D2C9B8"/>
              <w:right w:val="single" w:sz="4" w:space="0" w:color="D2C9B8"/>
            </w:tcBorders>
          </w:tcPr>
          <w:p w14:paraId="3B967177" w14:textId="77777777" w:rsidR="005A5FCC" w:rsidRDefault="00A21C81">
            <w:pPr>
              <w:spacing w:before="20" w:after="20" w:line="240" w:lineRule="auto"/>
              <w:jc w:val="left"/>
            </w:pPr>
            <w:r>
              <w:rPr>
                <w:rFonts w:cs="EB Garamond"/>
                <w:kern w:val="16"/>
                <w:sz w:val="18"/>
                <w14:ligatures w14:val="standardContextual"/>
              </w:rPr>
              <w:t>~25,3 anos</w:t>
            </w:r>
          </w:p>
        </w:tc>
      </w:tr>
      <w:tr w:rsidR="005A5FCC" w14:paraId="179EED64"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2B424127" w14:textId="77777777" w:rsidR="005A5FCC" w:rsidRDefault="00A21C81">
            <w:pPr>
              <w:spacing w:before="20" w:after="20" w:line="240" w:lineRule="auto"/>
              <w:jc w:val="left"/>
            </w:pPr>
            <w:r>
              <w:rPr>
                <w:rFonts w:cs="EB Garamond"/>
                <w:kern w:val="16"/>
                <w:sz w:val="18"/>
                <w14:ligatures w14:val="standardContextual"/>
              </w:rPr>
              <w:t>Sobrevida aos 60 anos</w:t>
            </w:r>
          </w:p>
        </w:tc>
        <w:tc>
          <w:tcPr>
            <w:tcW w:w="3175" w:type="dxa"/>
            <w:tcBorders>
              <w:top w:val="single" w:sz="4" w:space="0" w:color="D2C9B8"/>
              <w:left w:val="single" w:sz="4" w:space="0" w:color="D2C9B8"/>
              <w:bottom w:val="single" w:sz="4" w:space="0" w:color="D2C9B8"/>
              <w:right w:val="single" w:sz="4" w:space="0" w:color="D2C9B8"/>
            </w:tcBorders>
          </w:tcPr>
          <w:p w14:paraId="27CA5155" w14:textId="77777777" w:rsidR="005A5FCC" w:rsidRDefault="00A21C81">
            <w:pPr>
              <w:spacing w:before="20" w:after="20" w:line="240" w:lineRule="auto"/>
              <w:jc w:val="left"/>
            </w:pPr>
            <w:r>
              <w:rPr>
                <w:rFonts w:cs="EB Garamond"/>
                <w:kern w:val="16"/>
                <w:sz w:val="18"/>
                <w14:ligatures w14:val="standardContextual"/>
              </w:rPr>
              <w:t>~22,6 anos</w:t>
            </w:r>
          </w:p>
        </w:tc>
      </w:tr>
      <w:tr w:rsidR="005A5FCC" w14:paraId="6102B1C5"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4705E20E" w14:textId="77777777" w:rsidR="005A5FCC" w:rsidRDefault="00A21C81">
            <w:pPr>
              <w:spacing w:before="20" w:after="20" w:line="240" w:lineRule="auto"/>
              <w:jc w:val="left"/>
            </w:pPr>
            <w:r>
              <w:rPr>
                <w:rFonts w:cs="EB Garamond"/>
                <w:kern w:val="16"/>
                <w:sz w:val="18"/>
                <w14:ligatures w14:val="standardContextual"/>
              </w:rPr>
              <w:t>Sobrevida aos 65 anos</w:t>
            </w:r>
          </w:p>
        </w:tc>
        <w:tc>
          <w:tcPr>
            <w:tcW w:w="3175" w:type="dxa"/>
            <w:tcBorders>
              <w:top w:val="single" w:sz="4" w:space="0" w:color="D2C9B8"/>
              <w:left w:val="single" w:sz="4" w:space="0" w:color="D2C9B8"/>
              <w:bottom w:val="single" w:sz="4" w:space="0" w:color="D2C9B8"/>
              <w:right w:val="single" w:sz="4" w:space="0" w:color="D2C9B8"/>
            </w:tcBorders>
          </w:tcPr>
          <w:p w14:paraId="47BE0CED" w14:textId="77777777" w:rsidR="005A5FCC" w:rsidRDefault="00A21C81">
            <w:pPr>
              <w:spacing w:before="20" w:after="20" w:line="240" w:lineRule="auto"/>
              <w:jc w:val="left"/>
            </w:pPr>
            <w:r>
              <w:rPr>
                <w:rFonts w:cs="EB Garamond"/>
                <w:kern w:val="16"/>
                <w:sz w:val="18"/>
                <w14:ligatures w14:val="standardContextual"/>
              </w:rPr>
              <w:t>~19,0 anos</w:t>
            </w:r>
          </w:p>
        </w:tc>
      </w:tr>
      <w:tr w:rsidR="005A5FCC" w14:paraId="75D0372F"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3F6AABF5" w14:textId="77777777" w:rsidR="005A5FCC" w:rsidRDefault="00A21C81">
            <w:pPr>
              <w:spacing w:before="20" w:after="20" w:line="240" w:lineRule="auto"/>
              <w:jc w:val="left"/>
            </w:pPr>
            <w:r>
              <w:rPr>
                <w:rFonts w:cs="EB Garamond"/>
                <w:kern w:val="16"/>
                <w:sz w:val="18"/>
                <w14:ligatures w14:val="standardContextual"/>
              </w:rPr>
              <w:t>Pontos art. 15 — Homem</w:t>
            </w:r>
          </w:p>
        </w:tc>
        <w:tc>
          <w:tcPr>
            <w:tcW w:w="3175" w:type="dxa"/>
            <w:tcBorders>
              <w:top w:val="single" w:sz="4" w:space="0" w:color="D2C9B8"/>
              <w:left w:val="single" w:sz="4" w:space="0" w:color="D2C9B8"/>
              <w:bottom w:val="single" w:sz="4" w:space="0" w:color="D2C9B8"/>
              <w:right w:val="single" w:sz="4" w:space="0" w:color="D2C9B8"/>
            </w:tcBorders>
          </w:tcPr>
          <w:p w14:paraId="7A53A43A" w14:textId="77777777" w:rsidR="005A5FCC" w:rsidRDefault="00A21C81">
            <w:pPr>
              <w:spacing w:before="20" w:after="20" w:line="240" w:lineRule="auto"/>
              <w:jc w:val="left"/>
            </w:pPr>
            <w:r>
              <w:rPr>
                <w:rFonts w:cs="EB Garamond"/>
                <w:kern w:val="16"/>
                <w:sz w:val="18"/>
                <w14:ligatures w14:val="standardContextual"/>
              </w:rPr>
              <w:t>103</w:t>
            </w:r>
          </w:p>
        </w:tc>
      </w:tr>
      <w:tr w:rsidR="005A5FCC" w14:paraId="3C4DA99C"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4FE1F87D" w14:textId="77777777" w:rsidR="005A5FCC" w:rsidRDefault="00A21C81">
            <w:pPr>
              <w:spacing w:before="20" w:after="20" w:line="240" w:lineRule="auto"/>
              <w:jc w:val="left"/>
            </w:pPr>
            <w:r>
              <w:rPr>
                <w:rFonts w:cs="EB Garamond"/>
                <w:kern w:val="16"/>
                <w:sz w:val="18"/>
                <w14:ligatures w14:val="standardContextual"/>
              </w:rPr>
              <w:t>Pontos art. 15 — Mulher</w:t>
            </w:r>
          </w:p>
        </w:tc>
        <w:tc>
          <w:tcPr>
            <w:tcW w:w="3175" w:type="dxa"/>
            <w:tcBorders>
              <w:top w:val="single" w:sz="4" w:space="0" w:color="D2C9B8"/>
              <w:left w:val="single" w:sz="4" w:space="0" w:color="D2C9B8"/>
              <w:bottom w:val="single" w:sz="4" w:space="0" w:color="D2C9B8"/>
              <w:right w:val="single" w:sz="4" w:space="0" w:color="D2C9B8"/>
            </w:tcBorders>
          </w:tcPr>
          <w:p w14:paraId="2B06BB56" w14:textId="77777777" w:rsidR="005A5FCC" w:rsidRDefault="00A21C81">
            <w:pPr>
              <w:spacing w:before="20" w:after="20" w:line="240" w:lineRule="auto"/>
              <w:jc w:val="left"/>
            </w:pPr>
            <w:r>
              <w:rPr>
                <w:rFonts w:cs="EB Garamond"/>
                <w:kern w:val="16"/>
                <w:sz w:val="18"/>
                <w14:ligatures w14:val="standardContextual"/>
              </w:rPr>
              <w:t>93</w:t>
            </w:r>
          </w:p>
        </w:tc>
      </w:tr>
      <w:tr w:rsidR="005A5FCC" w14:paraId="169AA952"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0A709792" w14:textId="77777777" w:rsidR="005A5FCC" w:rsidRDefault="00A21C81">
            <w:pPr>
              <w:spacing w:before="20" w:after="20" w:line="240" w:lineRule="auto"/>
              <w:jc w:val="left"/>
            </w:pPr>
            <w:r>
              <w:rPr>
                <w:rFonts w:cs="EB Garamond"/>
                <w:kern w:val="16"/>
                <w:sz w:val="18"/>
                <w14:ligatures w14:val="standardContextual"/>
              </w:rPr>
              <w:t>Pontos art. 15 — Professor</w:t>
            </w:r>
          </w:p>
        </w:tc>
        <w:tc>
          <w:tcPr>
            <w:tcW w:w="3175" w:type="dxa"/>
            <w:tcBorders>
              <w:top w:val="single" w:sz="4" w:space="0" w:color="D2C9B8"/>
              <w:left w:val="single" w:sz="4" w:space="0" w:color="D2C9B8"/>
              <w:bottom w:val="single" w:sz="4" w:space="0" w:color="D2C9B8"/>
              <w:right w:val="single" w:sz="4" w:space="0" w:color="D2C9B8"/>
            </w:tcBorders>
          </w:tcPr>
          <w:p w14:paraId="1C7383F9" w14:textId="77777777" w:rsidR="005A5FCC" w:rsidRDefault="00A21C81">
            <w:pPr>
              <w:spacing w:before="20" w:after="20" w:line="240" w:lineRule="auto"/>
              <w:jc w:val="left"/>
            </w:pPr>
            <w:r>
              <w:rPr>
                <w:rFonts w:cs="EB Garamond"/>
                <w:kern w:val="16"/>
                <w:sz w:val="18"/>
                <w14:ligatures w14:val="standardContextual"/>
              </w:rPr>
              <w:t>98</w:t>
            </w:r>
          </w:p>
        </w:tc>
      </w:tr>
      <w:tr w:rsidR="005A5FCC" w14:paraId="70762132"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465E7BAA" w14:textId="77777777" w:rsidR="005A5FCC" w:rsidRDefault="00A21C81">
            <w:pPr>
              <w:spacing w:before="20" w:after="20" w:line="240" w:lineRule="auto"/>
              <w:jc w:val="left"/>
            </w:pPr>
            <w:r>
              <w:rPr>
                <w:rFonts w:cs="EB Garamond"/>
                <w:kern w:val="16"/>
                <w:sz w:val="18"/>
                <w14:ligatures w14:val="standardContextual"/>
              </w:rPr>
              <w:t>Pontos art. 15 — Professora</w:t>
            </w:r>
          </w:p>
        </w:tc>
        <w:tc>
          <w:tcPr>
            <w:tcW w:w="3175" w:type="dxa"/>
            <w:tcBorders>
              <w:top w:val="single" w:sz="4" w:space="0" w:color="D2C9B8"/>
              <w:left w:val="single" w:sz="4" w:space="0" w:color="D2C9B8"/>
              <w:bottom w:val="single" w:sz="4" w:space="0" w:color="D2C9B8"/>
              <w:right w:val="single" w:sz="4" w:space="0" w:color="D2C9B8"/>
            </w:tcBorders>
          </w:tcPr>
          <w:p w14:paraId="31BB1089" w14:textId="77777777" w:rsidR="005A5FCC" w:rsidRDefault="00A21C81">
            <w:pPr>
              <w:spacing w:before="20" w:after="20" w:line="240" w:lineRule="auto"/>
              <w:jc w:val="left"/>
            </w:pPr>
            <w:r>
              <w:rPr>
                <w:rFonts w:cs="EB Garamond"/>
                <w:kern w:val="16"/>
                <w:sz w:val="18"/>
                <w14:ligatures w14:val="standardContextual"/>
              </w:rPr>
              <w:t>88</w:t>
            </w:r>
          </w:p>
        </w:tc>
      </w:tr>
      <w:tr w:rsidR="005A5FCC" w14:paraId="408C5730"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7EE47BAA" w14:textId="77777777" w:rsidR="005A5FCC" w:rsidRDefault="00A21C81">
            <w:pPr>
              <w:spacing w:before="20" w:after="20" w:line="240" w:lineRule="auto"/>
              <w:jc w:val="left"/>
            </w:pPr>
            <w:r>
              <w:rPr>
                <w:rFonts w:cs="EB Garamond"/>
                <w:kern w:val="16"/>
                <w:sz w:val="18"/>
                <w14:ligatures w14:val="standardContextual"/>
              </w:rPr>
              <w:t>Idade art. 16 — Homem</w:t>
            </w:r>
          </w:p>
        </w:tc>
        <w:tc>
          <w:tcPr>
            <w:tcW w:w="3175" w:type="dxa"/>
            <w:tcBorders>
              <w:top w:val="single" w:sz="4" w:space="0" w:color="D2C9B8"/>
              <w:left w:val="single" w:sz="4" w:space="0" w:color="D2C9B8"/>
              <w:bottom w:val="single" w:sz="4" w:space="0" w:color="D2C9B8"/>
              <w:right w:val="single" w:sz="4" w:space="0" w:color="D2C9B8"/>
            </w:tcBorders>
          </w:tcPr>
          <w:p w14:paraId="1E691661" w14:textId="77777777" w:rsidR="005A5FCC" w:rsidRDefault="00A21C81">
            <w:pPr>
              <w:spacing w:before="20" w:after="20" w:line="240" w:lineRule="auto"/>
              <w:jc w:val="left"/>
            </w:pPr>
            <w:r>
              <w:rPr>
                <w:rFonts w:cs="EB Garamond"/>
                <w:kern w:val="16"/>
                <w:sz w:val="18"/>
                <w14:ligatures w14:val="standardContextual"/>
              </w:rPr>
              <w:t>64 anos e 6 meses</w:t>
            </w:r>
          </w:p>
        </w:tc>
      </w:tr>
      <w:tr w:rsidR="005A5FCC" w14:paraId="04E5663B"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62F99F02" w14:textId="77777777" w:rsidR="005A5FCC" w:rsidRDefault="00A21C81">
            <w:pPr>
              <w:spacing w:before="20" w:after="20" w:line="240" w:lineRule="auto"/>
              <w:jc w:val="left"/>
            </w:pPr>
            <w:r>
              <w:rPr>
                <w:rFonts w:cs="EB Garamond"/>
                <w:kern w:val="16"/>
                <w:sz w:val="18"/>
                <w14:ligatures w14:val="standardContextual"/>
              </w:rPr>
              <w:t>Idade art. 16 — Mulher</w:t>
            </w:r>
          </w:p>
        </w:tc>
        <w:tc>
          <w:tcPr>
            <w:tcW w:w="3175" w:type="dxa"/>
            <w:tcBorders>
              <w:top w:val="single" w:sz="4" w:space="0" w:color="D2C9B8"/>
              <w:left w:val="single" w:sz="4" w:space="0" w:color="D2C9B8"/>
              <w:bottom w:val="single" w:sz="4" w:space="0" w:color="D2C9B8"/>
              <w:right w:val="single" w:sz="4" w:space="0" w:color="D2C9B8"/>
            </w:tcBorders>
          </w:tcPr>
          <w:p w14:paraId="1D55F003" w14:textId="77777777" w:rsidR="005A5FCC" w:rsidRDefault="00A21C81">
            <w:pPr>
              <w:spacing w:before="20" w:after="20" w:line="240" w:lineRule="auto"/>
              <w:jc w:val="left"/>
            </w:pPr>
            <w:r>
              <w:rPr>
                <w:rFonts w:cs="EB Garamond"/>
                <w:kern w:val="16"/>
                <w:sz w:val="18"/>
                <w14:ligatures w14:val="standardContextual"/>
              </w:rPr>
              <w:t>59 anos e 6 meses</w:t>
            </w:r>
          </w:p>
        </w:tc>
      </w:tr>
      <w:tr w:rsidR="005A5FCC" w14:paraId="7119AEF5"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6F8F8F51" w14:textId="77777777" w:rsidR="005A5FCC" w:rsidRDefault="00A21C81">
            <w:pPr>
              <w:spacing w:before="20" w:after="20" w:line="240" w:lineRule="auto"/>
              <w:jc w:val="left"/>
            </w:pPr>
            <w:r>
              <w:rPr>
                <w:rFonts w:cs="EB Garamond"/>
                <w:kern w:val="16"/>
                <w:sz w:val="18"/>
                <w14:ligatures w14:val="standardContextual"/>
              </w:rPr>
              <w:t>Idade art. 16 — Professor</w:t>
            </w:r>
          </w:p>
        </w:tc>
        <w:tc>
          <w:tcPr>
            <w:tcW w:w="3175" w:type="dxa"/>
            <w:tcBorders>
              <w:top w:val="single" w:sz="4" w:space="0" w:color="D2C9B8"/>
              <w:left w:val="single" w:sz="4" w:space="0" w:color="D2C9B8"/>
              <w:bottom w:val="single" w:sz="4" w:space="0" w:color="D2C9B8"/>
              <w:right w:val="single" w:sz="4" w:space="0" w:color="D2C9B8"/>
            </w:tcBorders>
          </w:tcPr>
          <w:p w14:paraId="717A04DE" w14:textId="77777777" w:rsidR="005A5FCC" w:rsidRDefault="00A21C81">
            <w:pPr>
              <w:spacing w:before="20" w:after="20" w:line="240" w:lineRule="auto"/>
              <w:jc w:val="left"/>
            </w:pPr>
            <w:r>
              <w:rPr>
                <w:rFonts w:cs="EB Garamond"/>
                <w:kern w:val="16"/>
                <w:sz w:val="18"/>
                <w14:ligatures w14:val="standardContextual"/>
              </w:rPr>
              <w:t>59 anos e 6 meses</w:t>
            </w:r>
          </w:p>
        </w:tc>
      </w:tr>
      <w:tr w:rsidR="005A5FCC" w14:paraId="72B616DA"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0159E604" w14:textId="77777777" w:rsidR="005A5FCC" w:rsidRDefault="00A21C81">
            <w:pPr>
              <w:spacing w:before="20" w:after="20" w:line="240" w:lineRule="auto"/>
              <w:jc w:val="left"/>
            </w:pPr>
            <w:r>
              <w:rPr>
                <w:rFonts w:cs="EB Garamond"/>
                <w:kern w:val="16"/>
                <w:sz w:val="18"/>
                <w14:ligatures w14:val="standardContextual"/>
              </w:rPr>
              <w:t>Idade art. 16 — Professora</w:t>
            </w:r>
          </w:p>
        </w:tc>
        <w:tc>
          <w:tcPr>
            <w:tcW w:w="3175" w:type="dxa"/>
            <w:tcBorders>
              <w:top w:val="single" w:sz="4" w:space="0" w:color="D2C9B8"/>
              <w:left w:val="single" w:sz="4" w:space="0" w:color="D2C9B8"/>
              <w:bottom w:val="single" w:sz="4" w:space="0" w:color="D2C9B8"/>
              <w:right w:val="single" w:sz="4" w:space="0" w:color="D2C9B8"/>
            </w:tcBorders>
          </w:tcPr>
          <w:p w14:paraId="70D9E86A" w14:textId="77777777" w:rsidR="005A5FCC" w:rsidRDefault="00A21C81">
            <w:pPr>
              <w:spacing w:before="20" w:after="20" w:line="240" w:lineRule="auto"/>
              <w:jc w:val="left"/>
            </w:pPr>
            <w:r>
              <w:rPr>
                <w:rFonts w:cs="EB Garamond"/>
                <w:kern w:val="16"/>
                <w:sz w:val="18"/>
                <w14:ligatures w14:val="standardContextual"/>
              </w:rPr>
              <w:t>54 anos e 6 meses</w:t>
            </w:r>
          </w:p>
        </w:tc>
      </w:tr>
      <w:tr w:rsidR="005A5FCC" w14:paraId="0D7BCE75"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4E97A799" w14:textId="77777777" w:rsidR="005A5FCC" w:rsidRDefault="00A21C81">
            <w:pPr>
              <w:spacing w:before="20" w:after="20" w:line="240" w:lineRule="auto"/>
              <w:jc w:val="left"/>
            </w:pPr>
            <w:r>
              <w:rPr>
                <w:rFonts w:cs="EB Garamond"/>
                <w:kern w:val="16"/>
                <w:sz w:val="18"/>
                <w14:ligatures w14:val="standardContextual"/>
              </w:rPr>
              <w:t>Idade art. 20 — Homem (fixa)</w:t>
            </w:r>
          </w:p>
        </w:tc>
        <w:tc>
          <w:tcPr>
            <w:tcW w:w="3175" w:type="dxa"/>
            <w:tcBorders>
              <w:top w:val="single" w:sz="4" w:space="0" w:color="D2C9B8"/>
              <w:left w:val="single" w:sz="4" w:space="0" w:color="D2C9B8"/>
              <w:bottom w:val="single" w:sz="4" w:space="0" w:color="D2C9B8"/>
              <w:right w:val="single" w:sz="4" w:space="0" w:color="D2C9B8"/>
            </w:tcBorders>
          </w:tcPr>
          <w:p w14:paraId="2B0582E8" w14:textId="77777777" w:rsidR="005A5FCC" w:rsidRDefault="00A21C81">
            <w:pPr>
              <w:spacing w:before="20" w:after="20" w:line="240" w:lineRule="auto"/>
              <w:jc w:val="left"/>
            </w:pPr>
            <w:r>
              <w:rPr>
                <w:rFonts w:cs="EB Garamond"/>
                <w:kern w:val="16"/>
                <w:sz w:val="18"/>
                <w14:ligatures w14:val="standardContextual"/>
              </w:rPr>
              <w:t>60 anos</w:t>
            </w:r>
          </w:p>
        </w:tc>
      </w:tr>
      <w:tr w:rsidR="005A5FCC" w14:paraId="4689420C"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61AC1F9D" w14:textId="77777777" w:rsidR="005A5FCC" w:rsidRDefault="00A21C81">
            <w:pPr>
              <w:spacing w:before="20" w:after="20" w:line="240" w:lineRule="auto"/>
              <w:jc w:val="left"/>
            </w:pPr>
            <w:r>
              <w:rPr>
                <w:rFonts w:cs="EB Garamond"/>
                <w:kern w:val="16"/>
                <w:sz w:val="18"/>
                <w14:ligatures w14:val="standardContextual"/>
              </w:rPr>
              <w:t>Idade art. 20 — Mulher (fixa)</w:t>
            </w:r>
          </w:p>
        </w:tc>
        <w:tc>
          <w:tcPr>
            <w:tcW w:w="3175" w:type="dxa"/>
            <w:tcBorders>
              <w:top w:val="single" w:sz="4" w:space="0" w:color="D2C9B8"/>
              <w:left w:val="single" w:sz="4" w:space="0" w:color="D2C9B8"/>
              <w:bottom w:val="single" w:sz="4" w:space="0" w:color="D2C9B8"/>
              <w:right w:val="single" w:sz="4" w:space="0" w:color="D2C9B8"/>
            </w:tcBorders>
          </w:tcPr>
          <w:p w14:paraId="2345C452" w14:textId="77777777" w:rsidR="005A5FCC" w:rsidRDefault="00A21C81">
            <w:pPr>
              <w:spacing w:before="20" w:after="20" w:line="240" w:lineRule="auto"/>
              <w:jc w:val="left"/>
            </w:pPr>
            <w:r>
              <w:rPr>
                <w:rFonts w:cs="EB Garamond"/>
                <w:kern w:val="16"/>
                <w:sz w:val="18"/>
                <w14:ligatures w14:val="standardContextual"/>
              </w:rPr>
              <w:t>57 anos</w:t>
            </w:r>
          </w:p>
        </w:tc>
      </w:tr>
      <w:tr w:rsidR="005A5FCC" w14:paraId="132A7F5A"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1AB7B269" w14:textId="77777777" w:rsidR="005A5FCC" w:rsidRDefault="00A21C81">
            <w:pPr>
              <w:spacing w:before="20" w:after="20" w:line="240" w:lineRule="auto"/>
              <w:jc w:val="left"/>
            </w:pPr>
            <w:r>
              <w:rPr>
                <w:rFonts w:cs="EB Garamond"/>
                <w:kern w:val="16"/>
                <w:sz w:val="18"/>
                <w14:ligatures w14:val="standardContextual"/>
              </w:rPr>
              <w:t>Idade art. 20 — Professor (fixa)</w:t>
            </w:r>
          </w:p>
        </w:tc>
        <w:tc>
          <w:tcPr>
            <w:tcW w:w="3175" w:type="dxa"/>
            <w:tcBorders>
              <w:top w:val="single" w:sz="4" w:space="0" w:color="D2C9B8"/>
              <w:left w:val="single" w:sz="4" w:space="0" w:color="D2C9B8"/>
              <w:bottom w:val="single" w:sz="4" w:space="0" w:color="D2C9B8"/>
              <w:right w:val="single" w:sz="4" w:space="0" w:color="D2C9B8"/>
            </w:tcBorders>
          </w:tcPr>
          <w:p w14:paraId="144416C7" w14:textId="77777777" w:rsidR="005A5FCC" w:rsidRDefault="00A21C81">
            <w:pPr>
              <w:spacing w:before="20" w:after="20" w:line="240" w:lineRule="auto"/>
              <w:jc w:val="left"/>
            </w:pPr>
            <w:r>
              <w:rPr>
                <w:rFonts w:cs="EB Garamond"/>
                <w:kern w:val="16"/>
                <w:sz w:val="18"/>
                <w14:ligatures w14:val="standardContextual"/>
              </w:rPr>
              <w:t>55 anos</w:t>
            </w:r>
          </w:p>
        </w:tc>
      </w:tr>
      <w:tr w:rsidR="005A5FCC" w14:paraId="01BC3A7D"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606455DE" w14:textId="77777777" w:rsidR="005A5FCC" w:rsidRDefault="00A21C81">
            <w:pPr>
              <w:spacing w:before="20" w:after="20" w:line="240" w:lineRule="auto"/>
              <w:jc w:val="left"/>
            </w:pPr>
            <w:r>
              <w:rPr>
                <w:rFonts w:cs="EB Garamond"/>
                <w:kern w:val="16"/>
                <w:sz w:val="18"/>
                <w14:ligatures w14:val="standardContextual"/>
              </w:rPr>
              <w:t>Idade art. 20 — Professora (fixa)</w:t>
            </w:r>
          </w:p>
        </w:tc>
        <w:tc>
          <w:tcPr>
            <w:tcW w:w="3175" w:type="dxa"/>
            <w:tcBorders>
              <w:top w:val="single" w:sz="4" w:space="0" w:color="D2C9B8"/>
              <w:left w:val="single" w:sz="4" w:space="0" w:color="D2C9B8"/>
              <w:bottom w:val="single" w:sz="4" w:space="0" w:color="D2C9B8"/>
              <w:right w:val="single" w:sz="4" w:space="0" w:color="D2C9B8"/>
            </w:tcBorders>
          </w:tcPr>
          <w:p w14:paraId="043F0C01" w14:textId="77777777" w:rsidR="005A5FCC" w:rsidRDefault="00A21C81">
            <w:pPr>
              <w:spacing w:before="20" w:after="20" w:line="240" w:lineRule="auto"/>
              <w:jc w:val="left"/>
            </w:pPr>
            <w:r>
              <w:rPr>
                <w:rFonts w:cs="EB Garamond"/>
                <w:kern w:val="16"/>
                <w:sz w:val="18"/>
                <w14:ligatures w14:val="standardContextual"/>
              </w:rPr>
              <w:t>52 anos</w:t>
            </w:r>
          </w:p>
        </w:tc>
      </w:tr>
    </w:tbl>
    <w:p w14:paraId="2D1C82C3" w14:textId="77777777" w:rsidR="005A5FCC" w:rsidRDefault="005A5FCC">
      <w:pPr>
        <w:spacing w:after="80" w:line="240" w:lineRule="auto"/>
      </w:pPr>
    </w:p>
    <w:tbl>
      <w:tblPr>
        <w:tblW w:w="4600" w:type="pct"/>
        <w:jc w:val="center"/>
        <w:tblLook w:val="04A0" w:firstRow="1" w:lastRow="0" w:firstColumn="1" w:lastColumn="0" w:noHBand="0" w:noVBand="1"/>
      </w:tblPr>
      <w:tblGrid>
        <w:gridCol w:w="5824"/>
      </w:tblGrid>
      <w:tr w:rsidR="005A5FCC" w14:paraId="299AC460" w14:textId="77777777">
        <w:trPr>
          <w:jc w:val="center"/>
        </w:trPr>
        <w:tc>
          <w:tcPr>
            <w:tcW w:w="6350" w:type="dxa"/>
            <w:tcBorders>
              <w:left w:val="single" w:sz="16" w:space="0" w:color="B78B37"/>
            </w:tcBorders>
            <w:tcMar>
              <w:top w:w="100" w:type="dxa"/>
              <w:left w:w="240" w:type="dxa"/>
              <w:bottom w:w="100" w:type="dxa"/>
              <w:right w:w="180" w:type="dxa"/>
            </w:tcMar>
          </w:tcPr>
          <w:p w14:paraId="39D132E8" w14:textId="77777777" w:rsidR="005A5FCC" w:rsidRDefault="00A21C81">
            <w:pPr>
              <w:spacing w:after="60" w:line="252" w:lineRule="auto"/>
            </w:pPr>
            <w:r>
              <w:rPr>
                <w:rFonts w:cs="EB Garamond"/>
                <w:b/>
                <w:i/>
                <w:color w:val="3A3128"/>
                <w:kern w:val="16"/>
                <w:sz w:val="20"/>
                <w14:ligatures w14:val="standardContextual"/>
              </w:rPr>
              <w:t>Nota sobre a expectativa de sobrevida (Es).</w:t>
            </w:r>
            <w:r>
              <w:rPr>
                <w:rFonts w:cs="EB Garamond"/>
                <w:i/>
                <w:color w:val="3A3128"/>
                <w:kern w:val="16"/>
                <w:sz w:val="20"/>
                <w14:ligatures w14:val="standardContextual"/>
              </w:rPr>
              <w:t xml:space="preserve"> Os valores de Es desta tabela de referência seguem a Tábua Completa de Mortalidade do IBGE de 2024 (~25,3 aos 55; ~22,6 aos 60; ~19,0 aos 65), aplicável às simulações com data-base 2026. Como o fator previdenciário usa a tábua </w:t>
            </w:r>
            <w:r>
              <w:rPr>
                <w:rFonts w:cs="EB Garamond"/>
                <w:b/>
                <w:i/>
                <w:color w:val="3A3128"/>
                <w:kern w:val="16"/>
                <w:sz w:val="20"/>
                <w14:ligatures w14:val="standardContextual"/>
              </w:rPr>
              <w:t>vigente na data do requerimento</w:t>
            </w:r>
            <w:r>
              <w:rPr>
                <w:rFonts w:cs="EB Garamond"/>
                <w:i/>
                <w:color w:val="3A3128"/>
                <w:kern w:val="16"/>
                <w:sz w:val="20"/>
                <w14:ligatures w14:val="standardContextual"/>
              </w:rPr>
              <w:t xml:space="preserve"> (Lei 9.876/1999; art. 29, § 7º a 9º, Lei 8.213/91), os exemplos que projetam o fator em anos-base distintos adotam a tábua daquele ano — por isso o cálculo de Roberto em 2019 emprega Es ≈ 24,0 aos 57 anos, enquanto seus números de 2026 e os de Marcos usam a IBGE 2024. A divergência aparente entre as duas Es não é incoerência, mas reflexo da atualização anual da tábua.</w:t>
            </w:r>
          </w:p>
        </w:tc>
      </w:tr>
    </w:tbl>
    <w:p w14:paraId="316C6567" w14:textId="77777777" w:rsidR="005A5FCC" w:rsidRDefault="005A5FCC">
      <w:pPr>
        <w:spacing w:after="80" w:line="240" w:lineRule="auto"/>
      </w:pPr>
    </w:p>
    <w:p w14:paraId="267AE1AF" w14:textId="77777777" w:rsidR="005A5FCC" w:rsidRDefault="00A21C81">
      <w:pPr>
        <w:spacing w:before="260" w:after="80" w:line="240" w:lineRule="auto"/>
        <w:jc w:val="left"/>
      </w:pPr>
      <w:r>
        <w:rPr>
          <w:rFonts w:cs="EB Garamond"/>
          <w:b/>
          <w:color w:val="3A3128"/>
          <w:kern w:val="16"/>
          <w:sz w:val="25"/>
          <w14:ligatures w14:val="standardContextual"/>
        </w:rPr>
        <w:t>11.18.6 Perspectivas e prazo de vigência</w:t>
      </w:r>
    </w:p>
    <w:p w14:paraId="5330B211"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A</w:t>
      </w:r>
    </w:p>
    <w:p w14:paraId="0E2C188F" w14:textId="77777777" w:rsidR="005A5FCC" w:rsidRDefault="00A21C81">
      <w:r>
        <w:rPr>
          <w:rFonts w:cs="EB Garamond"/>
          <w:kern w:val="16"/>
          <w14:ligatures w14:val="standardContextual"/>
        </w:rPr>
        <w:t>s regras de transição da EC 103/2019 não possuem prazo de vigência expresso — permanecerão aplicáveis enquanto existirem segurados filiados ao RGPS antes de 13/11/2019. Na prática, considerando que um segurado com 18 anos em 2019 pode se aposentar por volta de 2054 (com 53 anos e 35 de TC), as regras de transição permanecerão relevantes por mais três décadas.</w:t>
      </w:r>
    </w:p>
    <w:p w14:paraId="4CB6EC62" w14:textId="000D9B4E" w:rsidR="005A5FCC" w:rsidRDefault="00A21C81">
      <w:pPr>
        <w:ind w:firstLine="238"/>
      </w:pPr>
      <w:r>
        <w:rPr>
          <w:rFonts w:cs="EB Garamond"/>
          <w:kern w:val="16"/>
          <w14:ligatures w14:val="standardContextual"/>
        </w:rPr>
        <w:t>A regra de pontos (art. 15) estabilizará em 105/100 pontos (homem/mulher) a partir de 2028/2033, respectivamente. A regra de idade (art. 16) estabilizará em 65/62 anos (homem/mulher) a partir de 2027/2031. A partir da estabilização, essas regras de transição se tornarão equivalentes à regra permanente (art. 201, § 7º, CF)</w:t>
      </w:r>
      <w:r w:rsidR="00920620">
        <w:rPr>
          <w:rFonts w:cs="EB Garamond"/>
          <w:kern w:val="16"/>
          <w14:ligatures w14:val="standardContextual"/>
        </w:rPr>
        <w:t>. A</w:t>
      </w:r>
      <w:r>
        <w:rPr>
          <w:rFonts w:cs="EB Garamond"/>
          <w:kern w:val="16"/>
          <w14:ligatures w14:val="standardContextual"/>
        </w:rPr>
        <w:t xml:space="preserve"> diferença residirá apenas no cálculo do benefício (60%+2% vs. Regra permanente, que é idêntica).</w:t>
      </w:r>
    </w:p>
    <w:p w14:paraId="20973B8D" w14:textId="77777777" w:rsidR="005A5FCC" w:rsidRDefault="00A21C81">
      <w:pPr>
        <w:ind w:firstLine="238"/>
      </w:pPr>
      <w:r>
        <w:rPr>
          <w:rFonts w:cs="EB Garamond"/>
          <w:kern w:val="16"/>
          <w14:ligatures w14:val="standardContextual"/>
        </w:rPr>
        <w:t>O pedágio 50% (art. 17) é a regra de transição de aplicação mais restrita e efêmera: como exige que o segurado faltasse menos de 2 anos de TC em 2019, os beneficiários potenciais são segurados que, em 2019, já tinham pelo menos 33 anos TC (homem) ou 28 anos TC (mulher). Esses segurados, mesmo que não tenham requerido o benefício imediatamente, o farão nos próximos anos, esgotando progressivamente o universo de beneficiários.</w:t>
      </w:r>
    </w:p>
    <w:p w14:paraId="64D462CB" w14:textId="77777777" w:rsidR="005A5FCC" w:rsidRDefault="00A21C81">
      <w:pPr>
        <w:ind w:firstLine="238"/>
      </w:pPr>
      <w:r>
        <w:rPr>
          <w:rFonts w:cs="EB Garamond"/>
          <w:kern w:val="16"/>
          <w14:ligatures w14:val="standardContextual"/>
        </w:rPr>
        <w:t>O pedágio 100% (art. 20), por sua vez, permanecerá atrativo por anos em razão do coeficiente integral de 100%, que pode ser significativamente superior ao coeficiente de 60%+2% calculado pelos arts. 15 e 16 para segurados com TC próximo ao mínimo.</w:t>
      </w:r>
    </w:p>
    <w:p w14:paraId="42DEE607" w14:textId="77777777" w:rsidR="005A5FCC" w:rsidRDefault="00A21C81">
      <w:pPr>
        <w:ind w:firstLine="238"/>
      </w:pPr>
      <w:r>
        <w:rPr>
          <w:rFonts w:cs="EB Garamond"/>
          <w:kern w:val="16"/>
          <w14:ligatures w14:val="standardContextual"/>
        </w:rPr>
        <w:t>As regras de transição encerram-se automaticamente quando todos os segurados filiados antes de 13/11/2019 se aposentarem, falecerem ou perderem a qualidade de segurado. A partir desse momento, estimado para meados da década de 2050, restará apenas a regra permanente da aposentadoria programada (Capítulo 10).</w:t>
      </w:r>
    </w:p>
    <w:p w14:paraId="7C2B840A" w14:textId="77777777" w:rsidR="005A5FCC" w:rsidRDefault="00A21C81">
      <w:pPr>
        <w:ind w:firstLine="238"/>
      </w:pPr>
      <w:r>
        <w:rPr>
          <w:rFonts w:cs="EB Garamond"/>
          <w:kern w:val="16"/>
          <w14:ligatures w14:val="standardContextual"/>
        </w:rPr>
        <w:t>A aposentadoria por tempo de contribuição caminha para a extinção gradual: nascida como "aposentadoria por tempo de serviço" na LOPS de 1960, transformada pela EC 20/1998, ela será integralmente absorvida pela aposentadoria programada quando o último segurado pré-EC 103 se aposentar — provavelmente na década de 2050.</w:t>
      </w:r>
    </w:p>
    <w:p w14:paraId="2C756A3F" w14:textId="77777777" w:rsidR="005A5FCC" w:rsidRDefault="00A21C81">
      <w:pPr>
        <w:ind w:firstLine="238"/>
      </w:pPr>
      <w:r>
        <w:rPr>
          <w:rFonts w:cs="EB Garamond"/>
          <w:kern w:val="16"/>
          <w14:ligatures w14:val="standardContextual"/>
        </w:rPr>
        <w:lastRenderedPageBreak/>
        <w:t>Até lá, a multiplicidade de regras simultâneas exige do advogado domínio técnico que vai além da mera verificação de tempo mínimo. A jurisprudência consolidada impõe ao julgador o dever de considerar de ofício todas as regras aplicáveis, concedendo a mais favorável ao segurado, independentemente da regra invocada na petição inicial. E a vedação da desaposentação (STF, Tema 503) torna a escolha irreversível. Em síntese: o planejamento previdenciário comparativo por todas as regras não é diferencial — é dever profissional cuja omissão pode configurar responsabilidade civil.</w:t>
      </w:r>
    </w:p>
    <w:p w14:paraId="524FE0BF" w14:textId="77777777" w:rsidR="005A5FCC" w:rsidRDefault="005A5FCC">
      <w:pPr>
        <w:sectPr w:rsidR="005A5FCC">
          <w:headerReference w:type="even" r:id="rId132"/>
          <w:headerReference w:type="default" r:id="rId133"/>
          <w:footerReference w:type="even" r:id="rId134"/>
          <w:footerReference w:type="default" r:id="rId135"/>
          <w:headerReference w:type="first" r:id="rId136"/>
          <w:footerReference w:type="first" r:id="rId137"/>
          <w:pgSz w:w="8391" w:h="11906"/>
          <w:pgMar w:top="935" w:right="879" w:bottom="964" w:left="1162" w:header="454" w:footer="425" w:gutter="0"/>
          <w:cols w:space="720"/>
          <w:titlePg/>
          <w:docGrid w:linePitch="360"/>
        </w:sectPr>
      </w:pPr>
    </w:p>
    <w:p w14:paraId="5D6DE9B5" w14:textId="77777777" w:rsidR="005A5FCC" w:rsidRDefault="00A21C81">
      <w:pPr>
        <w:keepNext/>
        <w:spacing w:before="240" w:after="80" w:line="240" w:lineRule="auto"/>
        <w:jc w:val="center"/>
      </w:pPr>
      <w:r>
        <w:rPr>
          <w:rFonts w:ascii="Noto Sans" w:hAnsi="Noto Sans" w:cs="Noto Sans"/>
          <w:b/>
          <w:caps/>
          <w:color w:val="8A6A2A"/>
          <w:kern w:val="16"/>
          <w:sz w:val="19"/>
          <w14:ligatures w14:val="standardContextual"/>
        </w:rPr>
        <w:lastRenderedPageBreak/>
        <w:t>CAPÍTULO 12</w:t>
      </w:r>
    </w:p>
    <w:p w14:paraId="5CABBB4A" w14:textId="77777777" w:rsidR="005A5FCC" w:rsidRDefault="00A21C81">
      <w:pPr>
        <w:pStyle w:val="Ttulo2"/>
        <w:spacing w:line="240" w:lineRule="auto"/>
      </w:pPr>
      <w:r>
        <w:rPr>
          <w:rFonts w:ascii="EB Garamond" w:hAnsi="EB Garamond" w:cs="EB Garamond"/>
          <w:caps/>
          <w:kern w:val="16"/>
          <w14:ligatures w14:val="standardContextual"/>
        </w:rPr>
        <w:t>Aposentadoria da Pessoa com Deficiência (LC 142/2013)</w:t>
      </w:r>
    </w:p>
    <w:p w14:paraId="433CED5C" w14:textId="77777777" w:rsidR="005A5FCC" w:rsidRDefault="00A21C81">
      <w:pPr>
        <w:spacing w:after="240" w:line="240" w:lineRule="auto"/>
        <w:jc w:val="center"/>
      </w:pPr>
      <w:r>
        <w:rPr>
          <w:rFonts w:cs="EB Garamond"/>
          <w:color w:val="B78B37"/>
          <w:kern w:val="16"/>
          <w:sz w:val="18"/>
          <w14:ligatures w14:val="standardContextual"/>
        </w:rPr>
        <w:t>━━━━  ◆  ━━━━</w:t>
      </w:r>
    </w:p>
    <w:p w14:paraId="136AB658" w14:textId="3F209356" w:rsidR="005A5FCC" w:rsidRDefault="00162E07">
      <w:pPr>
        <w:keepNext/>
        <w:pBdr>
          <w:bottom w:val="single" w:sz="8" w:space="4" w:color="B89B5E"/>
        </w:pBdr>
        <w:spacing w:before="360" w:after="140" w:line="240" w:lineRule="auto"/>
        <w:jc w:val="left"/>
      </w:pPr>
      <w:r>
        <w:rPr>
          <w:rFonts w:cs="EB Garamond"/>
          <w:b/>
          <w:color w:val="3A3128"/>
          <w:kern w:val="16"/>
          <w:sz w:val="31"/>
          <w14:ligatures w14:val="standardContextual"/>
        </w:rPr>
        <w:t xml:space="preserve">12.1 </w:t>
      </w:r>
      <w:r w:rsidR="00A21C81">
        <w:rPr>
          <w:rFonts w:cs="EB Garamond"/>
          <w:b/>
          <w:color w:val="3A3128"/>
          <w:kern w:val="16"/>
          <w:sz w:val="31"/>
          <w14:ligatures w14:val="standardContextual"/>
        </w:rPr>
        <w:t>Introdução e fundamento constitucional</w:t>
      </w:r>
    </w:p>
    <w:p w14:paraId="7FE2123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1EE2271F" w14:textId="77777777" w:rsidR="005A5FCC" w:rsidRDefault="00A21C81">
      <w:r>
        <w:rPr>
          <w:rFonts w:cs="EB Garamond"/>
          <w:kern w:val="16"/>
          <w14:ligatures w14:val="standardContextual"/>
        </w:rPr>
        <w:t xml:space="preserve"> LC 142/2013 criou regras diferenciadas de aposentadoria para a pessoa com deficiência, reconhecendo o esforço adicional que a PcD faz para manter atividade laboral. O benefício sobreviveu integralmente à Reforma da Previdência (EC 103/2019), mantendo suas regras próprias de acesso e de cálculo por determinação expressa do art. 22 da emenda reformadora. Enquanto a aposentadoria por tempo de contribuição comum foi extinta para novos filiados e condicionada a regras de transição cada vez mais exigentes para os segurados pré-reforma (conforme examinado no Capítulo 11), a aposentadoria da pessoa com deficiência segue acessível com critérios diferenciados que refletem o reconhecimento constitucional das barreiras enfrentadas por esse grupo de segurados.</w:t>
      </w:r>
    </w:p>
    <w:p w14:paraId="6503810A" w14:textId="77777777" w:rsidR="005A5FCC" w:rsidRDefault="00A21C81">
      <w:pPr>
        <w:ind w:firstLine="238"/>
      </w:pPr>
      <w:r>
        <w:rPr>
          <w:rFonts w:cs="EB Garamond"/>
          <w:kern w:val="16"/>
          <w14:ligatures w14:val="standardContextual"/>
        </w:rPr>
        <w:t>O fundamento constitucional encontra-se no art. 201, § 1º, da CF/88, que desde a redação originária de 1988 já previa critérios diferenciados para segurados com deficiência. A EC 47/2005 deu nova redação ao dispositivo, mantendo a previsão de critérios diferenciados para pessoas com deficiência por meio de lei complementar. A EC 103/2019 reestruturou o § 1º (criando os §§ 1º-I e 1º-II), preservando substancialmente a proteção à PcD. A ausência de regulamentação por lei complementar, contudo, deixou o dispositivo sem eficácia plena por vinte e cinco anos, período durante o qual o STF foi provocado por dezenas de mandados de injunção impetrados por segurados com deficiência que buscavam exercer o direito constitucionalmente previsto.</w:t>
      </w:r>
    </w:p>
    <w:p w14:paraId="527A3FFD" w14:textId="77777777" w:rsidR="005A5FCC" w:rsidRDefault="00A21C81">
      <w:pPr>
        <w:ind w:firstLine="238"/>
      </w:pPr>
      <w:r>
        <w:rPr>
          <w:rFonts w:cs="EB Garamond"/>
          <w:kern w:val="16"/>
          <w14:ligatures w14:val="standardContextual"/>
        </w:rPr>
        <w:t xml:space="preserve">A Convenção sobre os Direitos das Pessoas com Deficiência (CDPD), aprovada pelo Congresso Nacional por meio do Decreto Legislativo n. 186, de 9 de julho de 2008, sob o rito do art. 5º, § 3º, da CF, e promulgada pelo Decreto n. </w:t>
      </w:r>
      <w:r>
        <w:rPr>
          <w:rFonts w:cs="EB Garamond"/>
          <w:kern w:val="16"/>
          <w14:ligatures w14:val="standardContextual"/>
        </w:rPr>
        <w:lastRenderedPageBreak/>
        <w:t>6.949/2009 com status de emenda constitucional, consolidou o modelo biopsicossocial de compreensão da deficiência, superando o paradigma biomédico que reduzia a pessoa com deficiência à sua limitação orgânica. A CDPD reconhece que a deficiência resulta da interação entre impedimentos individuais e barreiras sociais, ambientais e atitudinais — concepção que viria a ser incorporada pela Lei n. 13.146/2015 (Estatuto da Pessoa com Deficiência) e que fundamenta toda a estrutura normativa da LC 142/2013.</w:t>
      </w:r>
    </w:p>
    <w:p w14:paraId="36F5A135" w14:textId="77777777" w:rsidR="005A5FCC" w:rsidRDefault="00A21C81">
      <w:pPr>
        <w:ind w:firstLine="238"/>
      </w:pPr>
      <w:r>
        <w:rPr>
          <w:rFonts w:cs="EB Garamond"/>
          <w:kern w:val="16"/>
          <w14:ligatures w14:val="standardContextual"/>
        </w:rPr>
        <w:t>A regulamentação constitucional veio apenas em 2013, com a promulgação da Lei Complementar n. 142, de 8 de maio de 2013, que instituiu duas modalidades de aposentadoria para o segurado com deficiência do RGPS: (a) aposentadoria por tempo de contribuição, com redução de TC conforme o grau de deficiência, grave, moderada ou leve; e (b) aposentadoria por idade, com redução de 5 anos na idade mínima em relação à regra geral, independentemente do grau de deficiência. A vigência da LC 142 teve início em 8 de novembro de 2013, seis meses após a publicação (art. 10).</w:t>
      </w:r>
    </w:p>
    <w:tbl>
      <w:tblPr>
        <w:tblW w:w="5000" w:type="pct"/>
        <w:jc w:val="center"/>
        <w:tblLayout w:type="fixed"/>
        <w:tblLook w:val="04A0" w:firstRow="1" w:lastRow="0" w:firstColumn="1" w:lastColumn="0" w:noHBand="0" w:noVBand="1"/>
      </w:tblPr>
      <w:tblGrid>
        <w:gridCol w:w="6311"/>
      </w:tblGrid>
      <w:tr w:rsidR="005A5FCC" w14:paraId="7BC9A53E"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08362EFF"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21B59DB8" w14:textId="77777777" w:rsidR="005A5FCC" w:rsidRDefault="00A21C81">
            <w:pPr>
              <w:spacing w:after="60" w:line="247" w:lineRule="auto"/>
            </w:pPr>
            <w:r>
              <w:rPr>
                <w:rFonts w:cs="EB Garamond"/>
                <w:b/>
                <w:kern w:val="16"/>
                <w:sz w:val="19"/>
                <w14:ligatures w14:val="standardContextual"/>
              </w:rPr>
              <w:t>Escopo do Capítulo 12, o que é tratado aqui e o que está em outros capítulos</w:t>
            </w:r>
          </w:p>
          <w:p w14:paraId="4F704E58" w14:textId="77777777" w:rsidR="005A5FCC" w:rsidRDefault="00A21C81">
            <w:pPr>
              <w:spacing w:after="30" w:line="240" w:lineRule="auto"/>
              <w:ind w:left="227" w:hanging="142"/>
            </w:pPr>
            <w:r>
              <w:rPr>
                <w:rFonts w:cs="EB Garamond"/>
                <w:kern w:val="16"/>
                <w:sz w:val="19"/>
                <w14:ligatures w14:val="standardContextual"/>
              </w:rPr>
              <w:t xml:space="preserve">• </w:t>
            </w:r>
            <w:r>
              <w:rPr>
                <w:rFonts w:cs="EB Garamond"/>
                <w:b/>
                <w:kern w:val="16"/>
                <w:sz w:val="19"/>
                <w14:ligatures w14:val="standardContextual"/>
              </w:rPr>
              <w:t>Capítulo 5:</w:t>
            </w:r>
            <w:r>
              <w:rPr>
                <w:rFonts w:cs="EB Garamond"/>
                <w:kern w:val="16"/>
                <w:sz w:val="19"/>
                <w14:ligatures w14:val="standardContextual"/>
              </w:rPr>
              <w:t xml:space="preserve"> Conceito de tempo de contribuição, cômputo, averbação, CTC, aplicam-se integralmente à PcD.</w:t>
            </w:r>
          </w:p>
          <w:p w14:paraId="227A7025" w14:textId="77777777" w:rsidR="005A5FCC" w:rsidRDefault="00A21C81">
            <w:pPr>
              <w:spacing w:after="30" w:line="240" w:lineRule="auto"/>
              <w:ind w:left="227" w:hanging="142"/>
            </w:pPr>
            <w:r>
              <w:rPr>
                <w:rFonts w:cs="EB Garamond"/>
                <w:kern w:val="16"/>
                <w:sz w:val="19"/>
                <w14:ligatures w14:val="standardContextual"/>
              </w:rPr>
              <w:t xml:space="preserve">• </w:t>
            </w:r>
            <w:r>
              <w:rPr>
                <w:rFonts w:cs="EB Garamond"/>
                <w:b/>
                <w:kern w:val="16"/>
                <w:sz w:val="19"/>
                <w14:ligatures w14:val="standardContextual"/>
              </w:rPr>
              <w:t>Capítulo 6:</w:t>
            </w:r>
            <w:r>
              <w:rPr>
                <w:rFonts w:cs="EB Garamond"/>
                <w:kern w:val="16"/>
                <w:sz w:val="19"/>
                <w14:ligatures w14:val="standardContextual"/>
              </w:rPr>
              <w:t xml:space="preserve"> Aposentadoria por incapacidade permanente, deficiência ≠ incapacidade. Distinção detalhada na seção 12.15.</w:t>
            </w:r>
          </w:p>
          <w:p w14:paraId="4E2CFDAD" w14:textId="77777777" w:rsidR="005A5FCC" w:rsidRDefault="00A21C81">
            <w:pPr>
              <w:spacing w:after="30" w:line="240" w:lineRule="auto"/>
              <w:ind w:left="227" w:hanging="142"/>
            </w:pPr>
            <w:r>
              <w:rPr>
                <w:rFonts w:cs="EB Garamond"/>
                <w:kern w:val="16"/>
                <w:sz w:val="19"/>
                <w14:ligatures w14:val="standardContextual"/>
              </w:rPr>
              <w:t xml:space="preserve">• </w:t>
            </w:r>
            <w:r>
              <w:rPr>
                <w:rFonts w:cs="EB Garamond"/>
                <w:b/>
                <w:kern w:val="16"/>
                <w:sz w:val="19"/>
                <w14:ligatures w14:val="standardContextual"/>
              </w:rPr>
              <w:t>Capítulo 8:</w:t>
            </w:r>
            <w:r>
              <w:rPr>
                <w:rFonts w:cs="EB Garamond"/>
                <w:kern w:val="16"/>
                <w:sz w:val="19"/>
                <w14:ligatures w14:val="standardContextual"/>
              </w:rPr>
              <w:t xml:space="preserve"> Aposentadoria especial por agentes nocivos, panorama da PcD em 8.12. Cap 12 é o tratamento aprofundado.</w:t>
            </w:r>
          </w:p>
          <w:p w14:paraId="2F0CC591" w14:textId="77777777" w:rsidR="005A5FCC" w:rsidRDefault="00A21C81">
            <w:pPr>
              <w:spacing w:after="30" w:line="240" w:lineRule="auto"/>
              <w:ind w:left="227" w:hanging="142"/>
            </w:pPr>
            <w:r>
              <w:rPr>
                <w:rFonts w:cs="EB Garamond"/>
                <w:kern w:val="16"/>
                <w:sz w:val="19"/>
                <w14:ligatures w14:val="standardContextual"/>
              </w:rPr>
              <w:t xml:space="preserve">• </w:t>
            </w:r>
            <w:r>
              <w:rPr>
                <w:rFonts w:cs="EB Garamond"/>
                <w:b/>
                <w:kern w:val="16"/>
                <w:sz w:val="19"/>
                <w14:ligatures w14:val="standardContextual"/>
              </w:rPr>
              <w:t>Capítulo 11:</w:t>
            </w:r>
            <w:r>
              <w:rPr>
                <w:rFonts w:cs="EB Garamond"/>
                <w:kern w:val="16"/>
                <w:sz w:val="19"/>
                <w14:ligatures w14:val="standardContextual"/>
              </w:rPr>
              <w:t xml:space="preserve"> Fator previdenciário (fórmula detalhada em 11.8). Aqui: foco no art. 9º, I, LC 142 (aplicação opcional).</w:t>
            </w:r>
          </w:p>
          <w:p w14:paraId="18041ED9" w14:textId="77777777" w:rsidR="005A5FCC" w:rsidRDefault="00A21C81">
            <w:pPr>
              <w:spacing w:after="30" w:line="240" w:lineRule="auto"/>
              <w:ind w:left="227" w:hanging="142"/>
            </w:pPr>
            <w:r>
              <w:rPr>
                <w:rFonts w:cs="EB Garamond"/>
                <w:kern w:val="16"/>
                <w:sz w:val="19"/>
                <w14:ligatures w14:val="standardContextual"/>
              </w:rPr>
              <w:t xml:space="preserve">• </w:t>
            </w:r>
            <w:r>
              <w:rPr>
                <w:rFonts w:cs="EB Garamond"/>
                <w:b/>
                <w:kern w:val="16"/>
                <w:sz w:val="19"/>
                <w14:ligatures w14:val="standardContextual"/>
              </w:rPr>
              <w:t>Capítulo 18:</w:t>
            </w:r>
            <w:r>
              <w:rPr>
                <w:rFonts w:cs="EB Garamond"/>
                <w:kern w:val="16"/>
                <w:sz w:val="19"/>
                <w14:ligatures w14:val="standardContextual"/>
              </w:rPr>
              <w:t xml:space="preserve"> BPC/LOAS, conceito geral de deficiência e modelo biopsicossocial (18.5-18.7). Distinção BPC × aposentadoria PcD na seção 12.14.</w:t>
            </w:r>
          </w:p>
          <w:p w14:paraId="71203622" w14:textId="77777777" w:rsidR="005A5FCC" w:rsidRDefault="00A21C81">
            <w:pPr>
              <w:spacing w:after="30" w:line="240" w:lineRule="auto"/>
              <w:ind w:left="227" w:hanging="142"/>
            </w:pPr>
            <w:r>
              <w:rPr>
                <w:rFonts w:cs="EB Garamond"/>
                <w:kern w:val="16"/>
                <w:sz w:val="19"/>
                <w14:ligatures w14:val="standardContextual"/>
              </w:rPr>
              <w:t xml:space="preserve">• </w:t>
            </w:r>
            <w:r>
              <w:rPr>
                <w:rFonts w:cs="EB Garamond"/>
                <w:b/>
                <w:kern w:val="16"/>
                <w:sz w:val="19"/>
                <w14:ligatures w14:val="standardContextual"/>
              </w:rPr>
              <w:t>Capítulo 12 (este):</w:t>
            </w:r>
            <w:r>
              <w:rPr>
                <w:rFonts w:cs="EB Garamond"/>
                <w:kern w:val="16"/>
                <w:sz w:val="19"/>
                <w14:ligatures w14:val="standardContextual"/>
              </w:rPr>
              <w:t xml:space="preserve"> LC 142/2013 integralmente, graus, IF-BrA, aposentadoria por TC e por idade da PcD, deficiência superveniente, conversão proporcional, fator previdenciário opcional, interface EC 103/2019, aspectos processuais nos JEFs.</w:t>
            </w:r>
          </w:p>
        </w:tc>
      </w:tr>
    </w:tbl>
    <w:p w14:paraId="01D53523" w14:textId="77777777" w:rsidR="005A5FCC" w:rsidRDefault="005A5FCC">
      <w:pPr>
        <w:spacing w:after="80" w:line="240" w:lineRule="auto"/>
      </w:pPr>
    </w:p>
    <w:p w14:paraId="6B642BB2"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E</w:t>
      </w:r>
    </w:p>
    <w:p w14:paraId="7CED3D67" w14:textId="77777777" w:rsidR="005A5FCC" w:rsidRDefault="00A21C81">
      <w:r>
        <w:rPr>
          <w:rFonts w:cs="EB Garamond"/>
          <w:kern w:val="16"/>
          <w14:ligatures w14:val="standardContextual"/>
        </w:rPr>
        <w:t>xaminamos neste capítulo, em profundidade, a LC 142/2013, desde o conceito de deficiência para fins previdenciários até os aspectos processuais da perícia biopsicossocial nos JEFs, passando pela avaliação funcional (IF-BrA), pelos mecanismos de conversão proporcional em caso de deficiência superveniente ou alteração de grau, pela controvérsia sobre o cálculo após a EC 103/2019 e pela distinção em relação ao BPC e à aposentadoria por incapacidade. Ao longo da exposição, reunimos as ferramentas teóricas e práticas que reputamos necessárias para orientar o segurado com deficiência sobre a via mais vantajosa de proteção previdenciária — e registramos, quando a matéria comporta divergência, a posição que adotamos a partir da experiência de julgamento nos Juizados Especiais Federais.</w:t>
      </w:r>
    </w:p>
    <w:p w14:paraId="3459A55C"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12.2 Evolução legislativa: da omissão legislativa ao modelo biopsicossocial</w:t>
      </w:r>
    </w:p>
    <w:p w14:paraId="6E298785"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4A40F5FF" w14:textId="77777777" w:rsidR="005A5FCC" w:rsidRDefault="00A21C81">
      <w:r>
        <w:rPr>
          <w:rFonts w:cs="EB Garamond"/>
          <w:kern w:val="16"/>
          <w14:ligatures w14:val="standardContextual"/>
        </w:rPr>
        <w:t xml:space="preserve"> trajetória normativa da aposentadoria da pessoa com deficiência no Brasil pode ser dividida em quatro fases distintas, cada qual marcada por paradigmas conceituais e marcos legislativos próprios.</w:t>
      </w:r>
    </w:p>
    <w:p w14:paraId="392A1B11" w14:textId="77777777" w:rsidR="005A5FCC" w:rsidRDefault="00A21C81">
      <w:pPr>
        <w:spacing w:before="260" w:after="80" w:line="240" w:lineRule="auto"/>
        <w:jc w:val="left"/>
      </w:pPr>
      <w:r>
        <w:rPr>
          <w:rFonts w:cs="EB Garamond"/>
          <w:b/>
          <w:color w:val="3A3128"/>
          <w:kern w:val="16"/>
          <w:sz w:val="25"/>
          <w14:ligatures w14:val="standardContextual"/>
        </w:rPr>
        <w:t>12.2.1 Primeira fase: previsão constitucional sem regulamentação (1988-2013)</w:t>
      </w:r>
    </w:p>
    <w:p w14:paraId="1F5D3671"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55FE49AB" w14:textId="77777777" w:rsidR="005A5FCC" w:rsidRDefault="00A21C81">
      <w:r>
        <w:rPr>
          <w:rFonts w:cs="EB Garamond"/>
          <w:kern w:val="16"/>
          <w14:ligatures w14:val="standardContextual"/>
        </w:rPr>
        <w:t xml:space="preserve"> Constituição de 1988, em sua redação originária, já previa critérios diferenciados para aposentadoria de segurados com deficiência (art. 201, § 1º), incluindo referência expressa a "portadores de deficiência". A EC 20/1998 reiterou a previsão, e a EC 47/2005 deu nova redação ao § 1º, mantendo e reafirmando os critérios diferenciados para pessoas com deficiência e a exigência de lei complementar para regulamentação. Durante vinte e cinco anos, porém, o Congresso Nacional manteve-se inerte, deixando milhões de segurados com deficiência sem acesso ao direito constitucionalmente previsto.</w:t>
      </w:r>
    </w:p>
    <w:p w14:paraId="175CFCF1" w14:textId="77777777" w:rsidR="005A5FCC" w:rsidRDefault="00A21C81">
      <w:pPr>
        <w:ind w:firstLine="238"/>
      </w:pPr>
      <w:r>
        <w:rPr>
          <w:rFonts w:cs="EB Garamond"/>
          <w:kern w:val="16"/>
          <w14:ligatures w14:val="standardContextual"/>
        </w:rPr>
        <w:t xml:space="preserve">A omissão legislativa gerou intensa judicialização. Dezenas de mandados de injunção foram impetrados perante o STF, entre eles os MIs 1.967, 1.886 e 3.357, nos quais a Corte reconheceu a mora legislativa inconstitucional e determinou a </w:t>
      </w:r>
      <w:r>
        <w:rPr>
          <w:rFonts w:cs="EB Garamond"/>
          <w:kern w:val="16"/>
          <w14:ligatures w14:val="standardContextual"/>
        </w:rPr>
        <w:lastRenderedPageBreak/>
        <w:t>aplicação analógica do art. 57 da Lei n. 8.213/91 (aposentadoria especial por agentes nocivos) como medida paliativa. Essa solução judicial, embora criativa, era insatisfatória: equiparava situações substancialmente distintas (exposição a agentes nocivos vs. Convivência com impedimentos funcionais) e não contemplava os graus de deficiência nem o modelo biopsicossocial.</w:t>
      </w:r>
    </w:p>
    <w:p w14:paraId="65605887" w14:textId="77777777" w:rsidR="005A5FCC" w:rsidRDefault="00A21C81">
      <w:pPr>
        <w:spacing w:before="260" w:after="80" w:line="240" w:lineRule="auto"/>
        <w:jc w:val="left"/>
      </w:pPr>
      <w:r>
        <w:rPr>
          <w:rFonts w:cs="EB Garamond"/>
          <w:b/>
          <w:color w:val="3A3128"/>
          <w:kern w:val="16"/>
          <w:sz w:val="25"/>
          <w14:ligatures w14:val="standardContextual"/>
        </w:rPr>
        <w:t>12.2.2 Segunda fase: a LC 142/2013 e a regulamentação</w:t>
      </w:r>
    </w:p>
    <w:p w14:paraId="3C312EF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E</w:t>
      </w:r>
    </w:p>
    <w:p w14:paraId="45E3F0EE" w14:textId="77777777" w:rsidR="005A5FCC" w:rsidRDefault="00A21C81">
      <w:r>
        <w:rPr>
          <w:rFonts w:cs="EB Garamond"/>
          <w:kern w:val="16"/>
          <w14:ligatures w14:val="standardContextual"/>
        </w:rPr>
        <w:t>m 8 de maio de 2013, o Congresso Nacional finalmente promulgou a Lei Complementar n. 142, regulamentando o art. 201, § 1º, da CF. A LC 142 representou avanço significativo ao: (a) adotar conceito de deficiência alinhado à CDPD, baseado na interação entre impedimentos individuais e barreiras sociais; (b) estabelecer três graus de deficiência (grave, moderada, leve) com tempos de contribuição diferenciados; (c) criar modalidade de aposentadoria por idade com redução de 5 anos; (d) prever avaliação médica e funcional (biopsicossocial) como método de aferição do grau; e (e) determinar a aplicação do fator previdenciário somente quando vantajoso ao segurado.</w:t>
      </w:r>
    </w:p>
    <w:p w14:paraId="549EB892" w14:textId="77777777" w:rsidR="005A5FCC" w:rsidRDefault="00A21C81">
      <w:pPr>
        <w:ind w:firstLine="238"/>
      </w:pPr>
      <w:r>
        <w:rPr>
          <w:rFonts w:cs="EB Garamond"/>
          <w:kern w:val="16"/>
          <w14:ligatures w14:val="standardContextual"/>
        </w:rPr>
        <w:t>A regulamentação veio pelo Decreto n. 8.145, de 3 de dezembro de 2013, que inseriu os arts. 70-A a 70-J no Regulamento da Previdência Social (Decreto n. 3.048/99). A Portaria Interministerial AGU/MPS/MF/SEDH/MP n. 1/2014 aprovou o IF-BrA como instrumento oficial de avaliação biopsicossocial (detalhado na seção 12.4.2).</w:t>
      </w:r>
    </w:p>
    <w:p w14:paraId="681B9845" w14:textId="77777777" w:rsidR="005A5FCC" w:rsidRDefault="00A21C81">
      <w:pPr>
        <w:spacing w:before="260" w:after="80" w:line="240" w:lineRule="auto"/>
        <w:jc w:val="left"/>
      </w:pPr>
      <w:r>
        <w:rPr>
          <w:rFonts w:cs="EB Garamond"/>
          <w:b/>
          <w:color w:val="3A3128"/>
          <w:kern w:val="16"/>
          <w:sz w:val="25"/>
          <w14:ligatures w14:val="standardContextual"/>
        </w:rPr>
        <w:t>12.2.3 Terceira fase: consolidação do modelo biopsicossocial (2015-2019)</w:t>
      </w:r>
    </w:p>
    <w:p w14:paraId="05AD8A1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6D97C4A9" w14:textId="77777777" w:rsidR="005A5FCC" w:rsidRDefault="00A21C81">
      <w:r>
        <w:rPr>
          <w:rFonts w:cs="EB Garamond"/>
          <w:kern w:val="16"/>
          <w14:ligatures w14:val="standardContextual"/>
        </w:rPr>
        <w:t xml:space="preserve"> Lei n. 13.146/2015 (Estatuto da Pessoa com Deficiência) reforçou o paradigma da CDPD, consolidando na legislação infraconstitucional o conceito funcional de deficiência (para detalhamento do conceito, v. Seção 12.3 adiante). No mesmo período, a jurisprudência dos TRFs e da TNU consolidou parâmetros de aplicação da LC 142, enfrentando questões como a definição da data de início da deficiência, a valoração da perícia biopsicossocial e a fungibilidade entre benefícios previdenciários e assistenciais (TNU Tema 217).</w:t>
      </w:r>
    </w:p>
    <w:p w14:paraId="72607097" w14:textId="77777777" w:rsidR="005A5FCC" w:rsidRDefault="00A21C81">
      <w:pPr>
        <w:spacing w:before="260" w:after="80" w:line="240" w:lineRule="auto"/>
        <w:jc w:val="left"/>
      </w:pPr>
      <w:r>
        <w:rPr>
          <w:rFonts w:cs="EB Garamond"/>
          <w:b/>
          <w:color w:val="3A3128"/>
          <w:kern w:val="16"/>
          <w:sz w:val="25"/>
          <w14:ligatures w14:val="standardContextual"/>
        </w:rPr>
        <w:t>12.2.4 Quarta fase: manutenção pós-reforma (2019-presente)</w:t>
      </w:r>
    </w:p>
    <w:p w14:paraId="78CC51F4"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A</w:t>
      </w:r>
    </w:p>
    <w:p w14:paraId="5170FCA5" w14:textId="77777777" w:rsidR="005A5FCC" w:rsidRDefault="00A21C81">
      <w:r>
        <w:rPr>
          <w:rFonts w:cs="EB Garamond"/>
          <w:kern w:val="16"/>
          <w14:ligatures w14:val="standardContextual"/>
        </w:rPr>
        <w:t xml:space="preserve"> EC 103/2019 (Reforma da Previdência) extinguiu a aposentadoria por tempo de contribuição para novos filiados e alterou profundamente o cálculo dos benefícios previdenciários. Contudo, o art. 22 da emenda determinou expressamente que a aposentadoria da pessoa com deficiência seguiria regida pela LC 142/2013, "inclusive quanto aos critérios de cálculo", até que nova lei complementar discipline a matéria. Essa previsão faz da aposentadoria da PcD o único benefício por tempo de contribuição que preserva integralmente suas regras originais de acesso e cálculo após a Reforma.</w:t>
      </w:r>
    </w:p>
    <w:tbl>
      <w:tblPr>
        <w:tblW w:w="5000" w:type="pct"/>
        <w:jc w:val="center"/>
        <w:tblLook w:val="04A0" w:firstRow="1" w:lastRow="0" w:firstColumn="1" w:lastColumn="0" w:noHBand="0" w:noVBand="1"/>
      </w:tblPr>
      <w:tblGrid>
        <w:gridCol w:w="2113"/>
        <w:gridCol w:w="2114"/>
        <w:gridCol w:w="2113"/>
      </w:tblGrid>
      <w:tr w:rsidR="005A5FCC" w14:paraId="13FA0E16" w14:textId="77777777">
        <w:trPr>
          <w:tblHeader/>
          <w:jc w:val="center"/>
        </w:trPr>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76991B48" w14:textId="77777777" w:rsidR="005A5FCC" w:rsidRDefault="00A21C81">
            <w:pPr>
              <w:spacing w:before="40" w:after="40" w:line="240" w:lineRule="auto"/>
              <w:jc w:val="center"/>
            </w:pPr>
            <w:r>
              <w:rPr>
                <w:rFonts w:cs="EB Garamond"/>
                <w:b/>
                <w:color w:val="2F2923"/>
                <w:kern w:val="16"/>
                <w:sz w:val="18"/>
                <w14:ligatures w14:val="standardContextual"/>
              </w:rPr>
              <w:t>Ano</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6AB89516" w14:textId="77777777" w:rsidR="005A5FCC" w:rsidRDefault="00A21C81">
            <w:pPr>
              <w:spacing w:before="40" w:after="40" w:line="240" w:lineRule="auto"/>
              <w:jc w:val="center"/>
            </w:pPr>
            <w:r>
              <w:rPr>
                <w:rFonts w:cs="EB Garamond"/>
                <w:b/>
                <w:color w:val="2F2923"/>
                <w:kern w:val="16"/>
                <w:sz w:val="18"/>
                <w14:ligatures w14:val="standardContextual"/>
              </w:rPr>
              <w:t>Marco legislativo</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463C579D" w14:textId="77777777" w:rsidR="005A5FCC" w:rsidRDefault="00A21C81">
            <w:pPr>
              <w:spacing w:before="40" w:after="40" w:line="240" w:lineRule="auto"/>
              <w:jc w:val="center"/>
            </w:pPr>
            <w:r>
              <w:rPr>
                <w:rFonts w:cs="EB Garamond"/>
                <w:b/>
                <w:color w:val="2F2923"/>
                <w:kern w:val="16"/>
                <w:sz w:val="18"/>
                <w14:ligatures w14:val="standardContextual"/>
              </w:rPr>
              <w:t>Significado</w:t>
            </w:r>
          </w:p>
        </w:tc>
      </w:tr>
      <w:tr w:rsidR="005A5FCC" w14:paraId="3A6E7F3D"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7AFB129E" w14:textId="77777777" w:rsidR="005A5FCC" w:rsidRDefault="00A21C81">
            <w:pPr>
              <w:spacing w:before="20" w:after="20" w:line="240" w:lineRule="auto"/>
              <w:jc w:val="left"/>
            </w:pPr>
            <w:r>
              <w:rPr>
                <w:rFonts w:cs="EB Garamond"/>
                <w:kern w:val="16"/>
                <w:sz w:val="18"/>
                <w14:ligatures w14:val="standardContextual"/>
              </w:rPr>
              <w:t>1988</w:t>
            </w:r>
          </w:p>
        </w:tc>
        <w:tc>
          <w:tcPr>
            <w:tcW w:w="2117" w:type="dxa"/>
            <w:tcBorders>
              <w:top w:val="single" w:sz="4" w:space="0" w:color="D2C9B8"/>
              <w:left w:val="single" w:sz="4" w:space="0" w:color="D2C9B8"/>
              <w:bottom w:val="single" w:sz="4" w:space="0" w:color="D2C9B8"/>
              <w:right w:val="single" w:sz="4" w:space="0" w:color="D2C9B8"/>
            </w:tcBorders>
          </w:tcPr>
          <w:p w14:paraId="0D06332F" w14:textId="77777777" w:rsidR="005A5FCC" w:rsidRDefault="00A21C81">
            <w:pPr>
              <w:spacing w:before="20" w:after="20" w:line="240" w:lineRule="auto"/>
              <w:jc w:val="left"/>
            </w:pPr>
            <w:r>
              <w:rPr>
                <w:rFonts w:cs="EB Garamond"/>
                <w:kern w:val="16"/>
                <w:sz w:val="18"/>
                <w14:ligatures w14:val="standardContextual"/>
              </w:rPr>
              <w:t>CF/88, art. 201, § 1º</w:t>
            </w:r>
          </w:p>
        </w:tc>
        <w:tc>
          <w:tcPr>
            <w:tcW w:w="2117" w:type="dxa"/>
            <w:tcBorders>
              <w:top w:val="single" w:sz="4" w:space="0" w:color="D2C9B8"/>
              <w:left w:val="single" w:sz="4" w:space="0" w:color="D2C9B8"/>
              <w:bottom w:val="single" w:sz="4" w:space="0" w:color="D2C9B8"/>
              <w:right w:val="single" w:sz="4" w:space="0" w:color="D2C9B8"/>
            </w:tcBorders>
          </w:tcPr>
          <w:p w14:paraId="41E6483F" w14:textId="77777777" w:rsidR="005A5FCC" w:rsidRDefault="00A21C81">
            <w:pPr>
              <w:spacing w:before="20" w:after="20" w:line="240" w:lineRule="auto"/>
              <w:jc w:val="left"/>
            </w:pPr>
            <w:r>
              <w:rPr>
                <w:rFonts w:cs="EB Garamond"/>
                <w:kern w:val="16"/>
                <w:sz w:val="18"/>
                <w14:ligatures w14:val="standardContextual"/>
              </w:rPr>
              <w:t>Previsão constitucional — critérios diferenciados para PcD</w:t>
            </w:r>
          </w:p>
        </w:tc>
      </w:tr>
      <w:tr w:rsidR="005A5FCC" w14:paraId="3BD54D3F"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3C1425A5" w14:textId="77777777" w:rsidR="005A5FCC" w:rsidRDefault="00A21C81">
            <w:pPr>
              <w:spacing w:before="20" w:after="20" w:line="240" w:lineRule="auto"/>
              <w:jc w:val="left"/>
            </w:pPr>
            <w:r>
              <w:rPr>
                <w:rFonts w:cs="EB Garamond"/>
                <w:kern w:val="16"/>
                <w:sz w:val="18"/>
                <w14:ligatures w14:val="standardContextual"/>
              </w:rPr>
              <w:t>2005</w:t>
            </w:r>
          </w:p>
        </w:tc>
        <w:tc>
          <w:tcPr>
            <w:tcW w:w="2117" w:type="dxa"/>
            <w:tcBorders>
              <w:top w:val="single" w:sz="4" w:space="0" w:color="D2C9B8"/>
              <w:left w:val="single" w:sz="4" w:space="0" w:color="D2C9B8"/>
              <w:bottom w:val="single" w:sz="4" w:space="0" w:color="D2C9B8"/>
              <w:right w:val="single" w:sz="4" w:space="0" w:color="D2C9B8"/>
            </w:tcBorders>
          </w:tcPr>
          <w:p w14:paraId="6BF506A7" w14:textId="77777777" w:rsidR="005A5FCC" w:rsidRDefault="00A21C81">
            <w:pPr>
              <w:spacing w:before="20" w:after="20" w:line="240" w:lineRule="auto"/>
              <w:jc w:val="left"/>
            </w:pPr>
            <w:r>
              <w:rPr>
                <w:rFonts w:cs="EB Garamond"/>
                <w:kern w:val="16"/>
                <w:sz w:val="18"/>
                <w14:ligatures w14:val="standardContextual"/>
              </w:rPr>
              <w:t>EC 47/2005</w:t>
            </w:r>
          </w:p>
        </w:tc>
        <w:tc>
          <w:tcPr>
            <w:tcW w:w="2117" w:type="dxa"/>
            <w:tcBorders>
              <w:top w:val="single" w:sz="4" w:space="0" w:color="D2C9B8"/>
              <w:left w:val="single" w:sz="4" w:space="0" w:color="D2C9B8"/>
              <w:bottom w:val="single" w:sz="4" w:space="0" w:color="D2C9B8"/>
              <w:right w:val="single" w:sz="4" w:space="0" w:color="D2C9B8"/>
            </w:tcBorders>
          </w:tcPr>
          <w:p w14:paraId="320D1B19" w14:textId="77777777" w:rsidR="005A5FCC" w:rsidRDefault="00A21C81">
            <w:pPr>
              <w:spacing w:before="20" w:after="20" w:line="240" w:lineRule="auto"/>
              <w:jc w:val="left"/>
            </w:pPr>
            <w:r>
              <w:rPr>
                <w:rFonts w:cs="EB Garamond"/>
                <w:kern w:val="16"/>
                <w:sz w:val="18"/>
                <w14:ligatures w14:val="standardContextual"/>
              </w:rPr>
              <w:t>Nova redação do § 1º do art. 201, reafirmando critérios diferenciados para PcD</w:t>
            </w:r>
          </w:p>
        </w:tc>
      </w:tr>
      <w:tr w:rsidR="005A5FCC" w14:paraId="3232A683"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01014873" w14:textId="77777777" w:rsidR="005A5FCC" w:rsidRDefault="00A21C81">
            <w:pPr>
              <w:spacing w:before="20" w:after="20" w:line="240" w:lineRule="auto"/>
              <w:jc w:val="left"/>
            </w:pPr>
            <w:r>
              <w:rPr>
                <w:rFonts w:cs="EB Garamond"/>
                <w:kern w:val="16"/>
                <w:sz w:val="18"/>
                <w14:ligatures w14:val="standardContextual"/>
              </w:rPr>
              <w:t>2008</w:t>
            </w:r>
          </w:p>
        </w:tc>
        <w:tc>
          <w:tcPr>
            <w:tcW w:w="2117" w:type="dxa"/>
            <w:tcBorders>
              <w:top w:val="single" w:sz="4" w:space="0" w:color="D2C9B8"/>
              <w:left w:val="single" w:sz="4" w:space="0" w:color="D2C9B8"/>
              <w:bottom w:val="single" w:sz="4" w:space="0" w:color="D2C9B8"/>
              <w:right w:val="single" w:sz="4" w:space="0" w:color="D2C9B8"/>
            </w:tcBorders>
          </w:tcPr>
          <w:p w14:paraId="29452019" w14:textId="77777777" w:rsidR="005A5FCC" w:rsidRDefault="00A21C81">
            <w:pPr>
              <w:spacing w:before="20" w:after="20" w:line="240" w:lineRule="auto"/>
              <w:jc w:val="left"/>
            </w:pPr>
            <w:r>
              <w:rPr>
                <w:rFonts w:cs="EB Garamond"/>
                <w:kern w:val="16"/>
                <w:sz w:val="18"/>
                <w14:ligatures w14:val="standardContextual"/>
              </w:rPr>
              <w:t>Decreto Legislativo 186/2008</w:t>
            </w:r>
          </w:p>
        </w:tc>
        <w:tc>
          <w:tcPr>
            <w:tcW w:w="2117" w:type="dxa"/>
            <w:tcBorders>
              <w:top w:val="single" w:sz="4" w:space="0" w:color="D2C9B8"/>
              <w:left w:val="single" w:sz="4" w:space="0" w:color="D2C9B8"/>
              <w:bottom w:val="single" w:sz="4" w:space="0" w:color="D2C9B8"/>
              <w:right w:val="single" w:sz="4" w:space="0" w:color="D2C9B8"/>
            </w:tcBorders>
          </w:tcPr>
          <w:p w14:paraId="5BED1B06" w14:textId="77777777" w:rsidR="005A5FCC" w:rsidRDefault="00A21C81">
            <w:pPr>
              <w:spacing w:before="20" w:after="20" w:line="240" w:lineRule="auto"/>
              <w:jc w:val="left"/>
            </w:pPr>
            <w:r>
              <w:rPr>
                <w:rFonts w:cs="EB Garamond"/>
                <w:kern w:val="16"/>
                <w:sz w:val="18"/>
                <w14:ligatures w14:val="standardContextual"/>
              </w:rPr>
              <w:t>Aprovação da CDPD com status de EC (art. 5º, § 3º, CF)</w:t>
            </w:r>
          </w:p>
        </w:tc>
      </w:tr>
      <w:tr w:rsidR="005A5FCC" w14:paraId="2DE3FB10"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5C2AABFB" w14:textId="77777777" w:rsidR="005A5FCC" w:rsidRDefault="00A21C81">
            <w:pPr>
              <w:spacing w:before="20" w:after="20" w:line="240" w:lineRule="auto"/>
              <w:jc w:val="left"/>
            </w:pPr>
            <w:r>
              <w:rPr>
                <w:rFonts w:cs="EB Garamond"/>
                <w:kern w:val="16"/>
                <w:sz w:val="18"/>
                <w14:ligatures w14:val="standardContextual"/>
              </w:rPr>
              <w:t>2009</w:t>
            </w:r>
          </w:p>
        </w:tc>
        <w:tc>
          <w:tcPr>
            <w:tcW w:w="2117" w:type="dxa"/>
            <w:tcBorders>
              <w:top w:val="single" w:sz="4" w:space="0" w:color="D2C9B8"/>
              <w:left w:val="single" w:sz="4" w:space="0" w:color="D2C9B8"/>
              <w:bottom w:val="single" w:sz="4" w:space="0" w:color="D2C9B8"/>
              <w:right w:val="single" w:sz="4" w:space="0" w:color="D2C9B8"/>
            </w:tcBorders>
          </w:tcPr>
          <w:p w14:paraId="6C14A575" w14:textId="77777777" w:rsidR="005A5FCC" w:rsidRDefault="00A21C81">
            <w:pPr>
              <w:spacing w:before="20" w:after="20" w:line="240" w:lineRule="auto"/>
              <w:jc w:val="left"/>
            </w:pPr>
            <w:r>
              <w:rPr>
                <w:rFonts w:cs="EB Garamond"/>
                <w:kern w:val="16"/>
                <w:sz w:val="18"/>
                <w14:ligatures w14:val="standardContextual"/>
              </w:rPr>
              <w:t>Decreto 6.949/2009</w:t>
            </w:r>
          </w:p>
        </w:tc>
        <w:tc>
          <w:tcPr>
            <w:tcW w:w="2117" w:type="dxa"/>
            <w:tcBorders>
              <w:top w:val="single" w:sz="4" w:space="0" w:color="D2C9B8"/>
              <w:left w:val="single" w:sz="4" w:space="0" w:color="D2C9B8"/>
              <w:bottom w:val="single" w:sz="4" w:space="0" w:color="D2C9B8"/>
              <w:right w:val="single" w:sz="4" w:space="0" w:color="D2C9B8"/>
            </w:tcBorders>
          </w:tcPr>
          <w:p w14:paraId="6F1C5B35" w14:textId="77777777" w:rsidR="005A5FCC" w:rsidRDefault="00A21C81">
            <w:pPr>
              <w:spacing w:before="20" w:after="20" w:line="240" w:lineRule="auto"/>
              <w:jc w:val="left"/>
            </w:pPr>
            <w:r>
              <w:rPr>
                <w:rFonts w:cs="EB Garamond"/>
                <w:kern w:val="16"/>
                <w:sz w:val="18"/>
                <w14:ligatures w14:val="standardContextual"/>
              </w:rPr>
              <w:t>Promulgação da CDPD — paradigma biopsicossocial</w:t>
            </w:r>
          </w:p>
        </w:tc>
      </w:tr>
      <w:tr w:rsidR="005A5FCC" w14:paraId="3AD77EDA"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1E236391" w14:textId="77777777" w:rsidR="005A5FCC" w:rsidRDefault="00A21C81">
            <w:pPr>
              <w:spacing w:before="20" w:after="20" w:line="240" w:lineRule="auto"/>
              <w:jc w:val="left"/>
            </w:pPr>
            <w:r>
              <w:rPr>
                <w:rFonts w:cs="EB Garamond"/>
                <w:kern w:val="16"/>
                <w:sz w:val="18"/>
                <w14:ligatures w14:val="standardContextual"/>
              </w:rPr>
              <w:t>2013 (mai)</w:t>
            </w:r>
          </w:p>
        </w:tc>
        <w:tc>
          <w:tcPr>
            <w:tcW w:w="2117" w:type="dxa"/>
            <w:tcBorders>
              <w:top w:val="single" w:sz="4" w:space="0" w:color="D2C9B8"/>
              <w:left w:val="single" w:sz="4" w:space="0" w:color="D2C9B8"/>
              <w:bottom w:val="single" w:sz="4" w:space="0" w:color="D2C9B8"/>
              <w:right w:val="single" w:sz="4" w:space="0" w:color="D2C9B8"/>
            </w:tcBorders>
          </w:tcPr>
          <w:p w14:paraId="4EAF617B" w14:textId="77777777" w:rsidR="005A5FCC" w:rsidRDefault="00A21C81">
            <w:pPr>
              <w:spacing w:before="20" w:after="20" w:line="240" w:lineRule="auto"/>
              <w:jc w:val="left"/>
            </w:pPr>
            <w:r>
              <w:rPr>
                <w:rFonts w:cs="EB Garamond"/>
                <w:kern w:val="16"/>
                <w:sz w:val="18"/>
                <w14:ligatures w14:val="standardContextual"/>
              </w:rPr>
              <w:t>LC 142/2013</w:t>
            </w:r>
          </w:p>
        </w:tc>
        <w:tc>
          <w:tcPr>
            <w:tcW w:w="2117" w:type="dxa"/>
            <w:tcBorders>
              <w:top w:val="single" w:sz="4" w:space="0" w:color="D2C9B8"/>
              <w:left w:val="single" w:sz="4" w:space="0" w:color="D2C9B8"/>
              <w:bottom w:val="single" w:sz="4" w:space="0" w:color="D2C9B8"/>
              <w:right w:val="single" w:sz="4" w:space="0" w:color="D2C9B8"/>
            </w:tcBorders>
          </w:tcPr>
          <w:p w14:paraId="393B812D" w14:textId="77777777" w:rsidR="005A5FCC" w:rsidRDefault="00A21C81">
            <w:pPr>
              <w:spacing w:before="20" w:after="20" w:line="240" w:lineRule="auto"/>
              <w:jc w:val="left"/>
            </w:pPr>
            <w:r>
              <w:rPr>
                <w:rFonts w:cs="EB Garamond"/>
                <w:kern w:val="16"/>
                <w:sz w:val="18"/>
                <w14:ligatures w14:val="standardContextual"/>
              </w:rPr>
              <w:t>Regulamentação: graus, TC diferenciado, avaliação biopsicossocial</w:t>
            </w:r>
          </w:p>
        </w:tc>
      </w:tr>
      <w:tr w:rsidR="005A5FCC" w14:paraId="6F739139"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782A536C" w14:textId="77777777" w:rsidR="005A5FCC" w:rsidRDefault="00A21C81">
            <w:pPr>
              <w:spacing w:before="20" w:after="20" w:line="240" w:lineRule="auto"/>
              <w:jc w:val="left"/>
            </w:pPr>
            <w:r>
              <w:rPr>
                <w:rFonts w:cs="EB Garamond"/>
                <w:kern w:val="16"/>
                <w:sz w:val="18"/>
                <w14:ligatures w14:val="standardContextual"/>
              </w:rPr>
              <w:t>2013 (dez)</w:t>
            </w:r>
          </w:p>
        </w:tc>
        <w:tc>
          <w:tcPr>
            <w:tcW w:w="2117" w:type="dxa"/>
            <w:tcBorders>
              <w:top w:val="single" w:sz="4" w:space="0" w:color="D2C9B8"/>
              <w:left w:val="single" w:sz="4" w:space="0" w:color="D2C9B8"/>
              <w:bottom w:val="single" w:sz="4" w:space="0" w:color="D2C9B8"/>
              <w:right w:val="single" w:sz="4" w:space="0" w:color="D2C9B8"/>
            </w:tcBorders>
          </w:tcPr>
          <w:p w14:paraId="0ACF5B76" w14:textId="77777777" w:rsidR="005A5FCC" w:rsidRDefault="00A21C81">
            <w:pPr>
              <w:spacing w:before="20" w:after="20" w:line="240" w:lineRule="auto"/>
              <w:jc w:val="left"/>
            </w:pPr>
            <w:r>
              <w:rPr>
                <w:rFonts w:cs="EB Garamond"/>
                <w:kern w:val="16"/>
                <w:sz w:val="18"/>
                <w14:ligatures w14:val="standardContextual"/>
              </w:rPr>
              <w:t>Decreto 8.145/2013</w:t>
            </w:r>
          </w:p>
        </w:tc>
        <w:tc>
          <w:tcPr>
            <w:tcW w:w="2117" w:type="dxa"/>
            <w:tcBorders>
              <w:top w:val="single" w:sz="4" w:space="0" w:color="D2C9B8"/>
              <w:left w:val="single" w:sz="4" w:space="0" w:color="D2C9B8"/>
              <w:bottom w:val="single" w:sz="4" w:space="0" w:color="D2C9B8"/>
              <w:right w:val="single" w:sz="4" w:space="0" w:color="D2C9B8"/>
            </w:tcBorders>
          </w:tcPr>
          <w:p w14:paraId="4FF46FD8" w14:textId="77777777" w:rsidR="005A5FCC" w:rsidRDefault="00A21C81">
            <w:pPr>
              <w:spacing w:before="20" w:after="20" w:line="240" w:lineRule="auto"/>
              <w:jc w:val="left"/>
            </w:pPr>
            <w:r>
              <w:rPr>
                <w:rFonts w:cs="EB Garamond"/>
                <w:kern w:val="16"/>
                <w:sz w:val="18"/>
                <w14:ligatures w14:val="standardContextual"/>
              </w:rPr>
              <w:t>Regulamentação da LC 142, fatores de conversão, procedimentos</w:t>
            </w:r>
          </w:p>
        </w:tc>
      </w:tr>
      <w:tr w:rsidR="005A5FCC" w14:paraId="0DFEB33D"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3F973D28" w14:textId="77777777" w:rsidR="005A5FCC" w:rsidRDefault="00A21C81">
            <w:pPr>
              <w:spacing w:before="20" w:after="20" w:line="240" w:lineRule="auto"/>
              <w:jc w:val="left"/>
            </w:pPr>
            <w:r>
              <w:rPr>
                <w:rFonts w:cs="EB Garamond"/>
                <w:kern w:val="16"/>
                <w:sz w:val="18"/>
                <w14:ligatures w14:val="standardContextual"/>
              </w:rPr>
              <w:t>2014</w:t>
            </w:r>
          </w:p>
        </w:tc>
        <w:tc>
          <w:tcPr>
            <w:tcW w:w="2117" w:type="dxa"/>
            <w:tcBorders>
              <w:top w:val="single" w:sz="4" w:space="0" w:color="D2C9B8"/>
              <w:left w:val="single" w:sz="4" w:space="0" w:color="D2C9B8"/>
              <w:bottom w:val="single" w:sz="4" w:space="0" w:color="D2C9B8"/>
              <w:right w:val="single" w:sz="4" w:space="0" w:color="D2C9B8"/>
            </w:tcBorders>
          </w:tcPr>
          <w:p w14:paraId="2811EE57" w14:textId="77777777" w:rsidR="005A5FCC" w:rsidRDefault="00A21C81">
            <w:pPr>
              <w:spacing w:before="20" w:after="20" w:line="240" w:lineRule="auto"/>
              <w:jc w:val="left"/>
            </w:pPr>
            <w:r>
              <w:rPr>
                <w:rFonts w:cs="EB Garamond"/>
                <w:kern w:val="16"/>
                <w:sz w:val="18"/>
                <w14:ligatures w14:val="standardContextual"/>
              </w:rPr>
              <w:t>Portaria Interministerial 1/2014</w:t>
            </w:r>
          </w:p>
        </w:tc>
        <w:tc>
          <w:tcPr>
            <w:tcW w:w="2117" w:type="dxa"/>
            <w:tcBorders>
              <w:top w:val="single" w:sz="4" w:space="0" w:color="D2C9B8"/>
              <w:left w:val="single" w:sz="4" w:space="0" w:color="D2C9B8"/>
              <w:bottom w:val="single" w:sz="4" w:space="0" w:color="D2C9B8"/>
              <w:right w:val="single" w:sz="4" w:space="0" w:color="D2C9B8"/>
            </w:tcBorders>
          </w:tcPr>
          <w:p w14:paraId="52F14C08" w14:textId="77777777" w:rsidR="005A5FCC" w:rsidRDefault="00A21C81">
            <w:pPr>
              <w:spacing w:before="20" w:after="20" w:line="240" w:lineRule="auto"/>
              <w:jc w:val="left"/>
            </w:pPr>
            <w:r>
              <w:rPr>
                <w:rFonts w:cs="EB Garamond"/>
                <w:kern w:val="16"/>
                <w:sz w:val="18"/>
                <w14:ligatures w14:val="standardContextual"/>
              </w:rPr>
              <w:t>Aprovação do IF-BrA como instrumento de avaliação</w:t>
            </w:r>
          </w:p>
        </w:tc>
      </w:tr>
      <w:tr w:rsidR="005A5FCC" w14:paraId="0279932A"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7F2EE6F3" w14:textId="77777777" w:rsidR="005A5FCC" w:rsidRDefault="00A21C81">
            <w:pPr>
              <w:spacing w:before="20" w:after="20" w:line="240" w:lineRule="auto"/>
              <w:jc w:val="left"/>
            </w:pPr>
            <w:r>
              <w:rPr>
                <w:rFonts w:cs="EB Garamond"/>
                <w:kern w:val="16"/>
                <w:sz w:val="18"/>
                <w14:ligatures w14:val="standardContextual"/>
              </w:rPr>
              <w:t>2015</w:t>
            </w:r>
          </w:p>
        </w:tc>
        <w:tc>
          <w:tcPr>
            <w:tcW w:w="2117" w:type="dxa"/>
            <w:tcBorders>
              <w:top w:val="single" w:sz="4" w:space="0" w:color="D2C9B8"/>
              <w:left w:val="single" w:sz="4" w:space="0" w:color="D2C9B8"/>
              <w:bottom w:val="single" w:sz="4" w:space="0" w:color="D2C9B8"/>
              <w:right w:val="single" w:sz="4" w:space="0" w:color="D2C9B8"/>
            </w:tcBorders>
          </w:tcPr>
          <w:p w14:paraId="455EF688" w14:textId="77777777" w:rsidR="005A5FCC" w:rsidRDefault="00A21C81">
            <w:pPr>
              <w:spacing w:before="20" w:after="20" w:line="240" w:lineRule="auto"/>
              <w:jc w:val="left"/>
            </w:pPr>
            <w:r>
              <w:rPr>
                <w:rFonts w:cs="EB Garamond"/>
                <w:kern w:val="16"/>
                <w:sz w:val="18"/>
                <w14:ligatures w14:val="standardContextual"/>
              </w:rPr>
              <w:t>Lei 13.146/2015 (Estatuto PcD)</w:t>
            </w:r>
          </w:p>
        </w:tc>
        <w:tc>
          <w:tcPr>
            <w:tcW w:w="2117" w:type="dxa"/>
            <w:tcBorders>
              <w:top w:val="single" w:sz="4" w:space="0" w:color="D2C9B8"/>
              <w:left w:val="single" w:sz="4" w:space="0" w:color="D2C9B8"/>
              <w:bottom w:val="single" w:sz="4" w:space="0" w:color="D2C9B8"/>
              <w:right w:val="single" w:sz="4" w:space="0" w:color="D2C9B8"/>
            </w:tcBorders>
          </w:tcPr>
          <w:p w14:paraId="67249BCA" w14:textId="77777777" w:rsidR="005A5FCC" w:rsidRDefault="00A21C81">
            <w:pPr>
              <w:spacing w:before="20" w:after="20" w:line="240" w:lineRule="auto"/>
              <w:jc w:val="left"/>
            </w:pPr>
            <w:r>
              <w:rPr>
                <w:rFonts w:cs="EB Garamond"/>
                <w:kern w:val="16"/>
                <w:sz w:val="18"/>
                <w14:ligatures w14:val="standardContextual"/>
              </w:rPr>
              <w:t>Conceito de deficiência alinhado à CDPD</w:t>
            </w:r>
          </w:p>
        </w:tc>
      </w:tr>
      <w:tr w:rsidR="005A5FCC" w14:paraId="03A11779"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0D0F72A0" w14:textId="77777777" w:rsidR="005A5FCC" w:rsidRDefault="00A21C81">
            <w:pPr>
              <w:spacing w:before="20" w:after="20" w:line="240" w:lineRule="auto"/>
              <w:jc w:val="left"/>
            </w:pPr>
            <w:r>
              <w:rPr>
                <w:rFonts w:cs="EB Garamond"/>
                <w:kern w:val="16"/>
                <w:sz w:val="18"/>
                <w14:ligatures w14:val="standardContextual"/>
              </w:rPr>
              <w:t>2019</w:t>
            </w:r>
          </w:p>
        </w:tc>
        <w:tc>
          <w:tcPr>
            <w:tcW w:w="2117" w:type="dxa"/>
            <w:tcBorders>
              <w:top w:val="single" w:sz="4" w:space="0" w:color="D2C9B8"/>
              <w:left w:val="single" w:sz="4" w:space="0" w:color="D2C9B8"/>
              <w:bottom w:val="single" w:sz="4" w:space="0" w:color="D2C9B8"/>
              <w:right w:val="single" w:sz="4" w:space="0" w:color="D2C9B8"/>
            </w:tcBorders>
          </w:tcPr>
          <w:p w14:paraId="24AD18BB" w14:textId="77777777" w:rsidR="005A5FCC" w:rsidRDefault="00A21C81">
            <w:pPr>
              <w:spacing w:before="20" w:after="20" w:line="240" w:lineRule="auto"/>
              <w:jc w:val="left"/>
            </w:pPr>
            <w:r>
              <w:rPr>
                <w:rFonts w:cs="EB Garamond"/>
                <w:kern w:val="16"/>
                <w:sz w:val="18"/>
                <w14:ligatures w14:val="standardContextual"/>
              </w:rPr>
              <w:t>EC 103/2019, art. 22</w:t>
            </w:r>
          </w:p>
        </w:tc>
        <w:tc>
          <w:tcPr>
            <w:tcW w:w="2117" w:type="dxa"/>
            <w:tcBorders>
              <w:top w:val="single" w:sz="4" w:space="0" w:color="D2C9B8"/>
              <w:left w:val="single" w:sz="4" w:space="0" w:color="D2C9B8"/>
              <w:bottom w:val="single" w:sz="4" w:space="0" w:color="D2C9B8"/>
              <w:right w:val="single" w:sz="4" w:space="0" w:color="D2C9B8"/>
            </w:tcBorders>
          </w:tcPr>
          <w:p w14:paraId="1F9A75AC" w14:textId="77777777" w:rsidR="005A5FCC" w:rsidRDefault="00A21C81">
            <w:pPr>
              <w:spacing w:before="20" w:after="20" w:line="240" w:lineRule="auto"/>
              <w:jc w:val="left"/>
            </w:pPr>
            <w:r>
              <w:rPr>
                <w:rFonts w:cs="EB Garamond"/>
                <w:kern w:val="16"/>
                <w:sz w:val="18"/>
                <w14:ligatures w14:val="standardContextual"/>
              </w:rPr>
              <w:t>Manutenção integral da LC 142 pós-Reforma</w:t>
            </w:r>
          </w:p>
        </w:tc>
      </w:tr>
      <w:tr w:rsidR="005A5FCC" w14:paraId="1F88D7A7"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560E3FD4" w14:textId="77777777" w:rsidR="005A5FCC" w:rsidRDefault="00A21C81">
            <w:pPr>
              <w:spacing w:before="20" w:after="20" w:line="240" w:lineRule="auto"/>
              <w:jc w:val="left"/>
            </w:pPr>
            <w:r>
              <w:rPr>
                <w:rFonts w:cs="EB Garamond"/>
                <w:kern w:val="16"/>
                <w:sz w:val="18"/>
                <w14:ligatures w14:val="standardContextual"/>
              </w:rPr>
              <w:t>2021</w:t>
            </w:r>
          </w:p>
        </w:tc>
        <w:tc>
          <w:tcPr>
            <w:tcW w:w="2117" w:type="dxa"/>
            <w:tcBorders>
              <w:top w:val="single" w:sz="4" w:space="0" w:color="D2C9B8"/>
              <w:left w:val="single" w:sz="4" w:space="0" w:color="D2C9B8"/>
              <w:bottom w:val="single" w:sz="4" w:space="0" w:color="D2C9B8"/>
              <w:right w:val="single" w:sz="4" w:space="0" w:color="D2C9B8"/>
            </w:tcBorders>
          </w:tcPr>
          <w:p w14:paraId="7BB3996B" w14:textId="77777777" w:rsidR="005A5FCC" w:rsidRDefault="00A21C81">
            <w:pPr>
              <w:spacing w:before="20" w:after="20" w:line="240" w:lineRule="auto"/>
              <w:jc w:val="left"/>
            </w:pPr>
            <w:r>
              <w:rPr>
                <w:rFonts w:cs="EB Garamond"/>
                <w:kern w:val="16"/>
                <w:sz w:val="18"/>
                <w14:ligatures w14:val="standardContextual"/>
              </w:rPr>
              <w:t>Lei 14.126/2021</w:t>
            </w:r>
          </w:p>
        </w:tc>
        <w:tc>
          <w:tcPr>
            <w:tcW w:w="2117" w:type="dxa"/>
            <w:tcBorders>
              <w:top w:val="single" w:sz="4" w:space="0" w:color="D2C9B8"/>
              <w:left w:val="single" w:sz="4" w:space="0" w:color="D2C9B8"/>
              <w:bottom w:val="single" w:sz="4" w:space="0" w:color="D2C9B8"/>
              <w:right w:val="single" w:sz="4" w:space="0" w:color="D2C9B8"/>
            </w:tcBorders>
          </w:tcPr>
          <w:p w14:paraId="34118785" w14:textId="77777777" w:rsidR="005A5FCC" w:rsidRDefault="00A21C81">
            <w:pPr>
              <w:spacing w:before="20" w:after="20" w:line="240" w:lineRule="auto"/>
              <w:jc w:val="left"/>
            </w:pPr>
            <w:r>
              <w:rPr>
                <w:rFonts w:cs="EB Garamond"/>
                <w:kern w:val="16"/>
                <w:sz w:val="18"/>
                <w14:ligatures w14:val="standardContextual"/>
              </w:rPr>
              <w:t>Visão monocular classificada como deficiência sensorial</w:t>
            </w:r>
          </w:p>
        </w:tc>
      </w:tr>
    </w:tbl>
    <w:p w14:paraId="5FC5EF71" w14:textId="77777777" w:rsidR="005A5FCC" w:rsidRDefault="005A5FCC">
      <w:pPr>
        <w:spacing w:after="80" w:line="240" w:lineRule="auto"/>
      </w:pPr>
    </w:p>
    <w:p w14:paraId="477FB0B8"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12.3 Conceito de deficiência para fins de aposentadoria</w:t>
      </w:r>
    </w:p>
    <w:p w14:paraId="08AB678D"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32B0447F" w14:textId="77777777" w:rsidR="005A5FCC" w:rsidRDefault="00A21C81">
      <w:r>
        <w:rPr>
          <w:rFonts w:cs="EB Garamond"/>
          <w:kern w:val="16"/>
          <w14:ligatures w14:val="standardContextual"/>
        </w:rPr>
        <w:t xml:space="preserve"> art. 2º da LC 142/2013 define pessoa com deficiência, para fins de aposentadoria no RGPS, como aquela que tem impedimentos de longo prazo de natureza física, mental, intelectual ou sensorial, os quais, em interação com diversas barreiras, podem obstruir sua participação plena e efetiva na sociedade em igualdade de condições com as demais pessoas. A definição alinha-se ao modelo biopsicossocial da CDPD e da Lei n. 13.146/2015 (para o conceito geral do modelo e suas implicações na avaliação da deficiência, v. Cap. 6, seção 6.10.2, e Cap. 18, seções 18.5-18.7). Observam que a adoção desse modelo pela LC 142 superou definitivamente o critério puramente médico.</w:t>
      </w:r>
    </w:p>
    <w:p w14:paraId="2F407F6C" w14:textId="77777777" w:rsidR="005A5FCC" w:rsidRDefault="00A21C81">
      <w:pPr>
        <w:ind w:firstLine="238"/>
      </w:pPr>
      <w:r>
        <w:rPr>
          <w:rFonts w:cs="EB Garamond"/>
          <w:kern w:val="16"/>
          <w14:ligatures w14:val="standardContextual"/>
        </w:rPr>
        <w:t>Na prática, isso significa que duas pessoas com o mesmo diagnóstico clínico podem ter graus de deficiência distintos para fins da LC 142, conforme o impacto funcional da condição em sua vida concreta.</w:t>
      </w:r>
    </w:p>
    <w:p w14:paraId="5865306B" w14:textId="77777777" w:rsidR="005A5FCC" w:rsidRDefault="00A21C81">
      <w:pPr>
        <w:spacing w:before="260" w:after="80" w:line="240" w:lineRule="auto"/>
        <w:jc w:val="left"/>
      </w:pPr>
      <w:r>
        <w:rPr>
          <w:rFonts w:cs="EB Garamond"/>
          <w:b/>
          <w:color w:val="3A3128"/>
          <w:kern w:val="16"/>
          <w:sz w:val="25"/>
          <w14:ligatures w14:val="standardContextual"/>
        </w:rPr>
        <w:t>12.3.1 Deficiência versus incapacidade: distinção fundamental</w:t>
      </w:r>
    </w:p>
    <w:p w14:paraId="3CFF5F13"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2BEF2C74" w14:textId="77777777" w:rsidR="005A5FCC" w:rsidRDefault="00A21C81">
      <w:r>
        <w:rPr>
          <w:rFonts w:cs="EB Garamond"/>
          <w:kern w:val="16"/>
          <w14:ligatures w14:val="standardContextual"/>
        </w:rPr>
        <w:t xml:space="preserve"> distinção entre deficiência e incapacidade condiciona a escolha do benefício adequado (para a análise aprofundada da fronteira entre os dois conceitos na perspectiva do benefício por incapacidade, v. Cap. 6, seção 6.10.2). Os conceitos, embora possam coexistir em uma mesma pessoa, têm natureza e consequências jurídicas distintas:</w:t>
      </w:r>
    </w:p>
    <w:p w14:paraId="11891BBC" w14:textId="77777777" w:rsidR="005A5FCC" w:rsidRDefault="00A21C81">
      <w:pPr>
        <w:ind w:firstLine="238"/>
      </w:pPr>
      <w:r>
        <w:rPr>
          <w:rFonts w:cs="EB Garamond"/>
          <w:b/>
          <w:kern w:val="16"/>
          <w14:ligatures w14:val="standardContextual"/>
        </w:rPr>
        <w:t>Deficiência</w:t>
      </w:r>
      <w:r>
        <w:rPr>
          <w:rFonts w:cs="EB Garamond"/>
          <w:kern w:val="16"/>
          <w14:ligatures w14:val="standardContextual"/>
        </w:rPr>
        <w:t xml:space="preserve"> é o impedimento funcional de longo prazo que restringe a participação social do indivíduo, mas não necessariamente impede o exercício de atividade laboral. A pessoa com deficiência trabalha (ou pode trabalhar), é segurada obrigatória do RGPS, verte contribuições, exerce profissão. O benefício correspondente (aposentadoria da PcD, LC 142) pressupõe e reconhece essa capacidade laboral, oferecendo tempo de contribuição reduzido como compensação pelas barreiras enfrentadas ao longo da vida profissional., a distinção entre deficiência e incapacidade é o eixo estruturante de toda a LC 142, pois dela dependem a delimitação do benefício cabível e a natureza da prova a ser produzida.</w:t>
      </w:r>
    </w:p>
    <w:p w14:paraId="53F9BA9C" w14:textId="77777777" w:rsidR="005A5FCC" w:rsidRDefault="00A21C81">
      <w:pPr>
        <w:ind w:firstLine="238"/>
      </w:pPr>
      <w:r>
        <w:rPr>
          <w:rFonts w:cs="EB Garamond"/>
          <w:b/>
          <w:kern w:val="16"/>
          <w14:ligatures w14:val="standardContextual"/>
        </w:rPr>
        <w:lastRenderedPageBreak/>
        <w:t>Incapacidade</w:t>
      </w:r>
      <w:r>
        <w:rPr>
          <w:rFonts w:cs="EB Garamond"/>
          <w:kern w:val="16"/>
          <w14:ligatures w14:val="standardContextual"/>
        </w:rPr>
        <w:t xml:space="preserve"> é a impossibilidade de exercer atividade laboral que garanta a subsistência, total ou parcialmente, temporária ou permanentemente. A pessoa incapaz não pode trabalhar — está privada de sua capacidade produtiva por doença, acidente ou outra causa. Os benefícios correspondentes (auxílio por incapacidade temporária, aposentadoria por incapacidade permanente) pressupõem essa impossibilidade e visam substituir a renda perdida (conforme detalhado nos Capítulos 6 e 7).</w:t>
      </w:r>
    </w:p>
    <w:tbl>
      <w:tblPr>
        <w:tblW w:w="5000" w:type="pct"/>
        <w:jc w:val="center"/>
        <w:tblLayout w:type="fixed"/>
        <w:tblLook w:val="04A0" w:firstRow="1" w:lastRow="0" w:firstColumn="1" w:lastColumn="0" w:noHBand="0" w:noVBand="1"/>
      </w:tblPr>
      <w:tblGrid>
        <w:gridCol w:w="6311"/>
      </w:tblGrid>
      <w:tr w:rsidR="005A5FCC" w14:paraId="3CF641BE"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2E78DF2B"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6E164F0F" w14:textId="77777777" w:rsidR="005A5FCC" w:rsidRDefault="00A21C81">
            <w:pPr>
              <w:spacing w:after="60" w:line="247" w:lineRule="auto"/>
            </w:pPr>
            <w:r>
              <w:rPr>
                <w:rFonts w:cs="EB Garamond"/>
                <w:b/>
                <w:kern w:val="16"/>
                <w:sz w:val="19"/>
                <w14:ligatures w14:val="standardContextual"/>
              </w:rPr>
              <w:t>Deficiência ≠ incapacidade — consequências práticas</w:t>
            </w:r>
          </w:p>
          <w:p w14:paraId="68E3D581" w14:textId="77777777" w:rsidR="005A5FCC" w:rsidRDefault="00A21C81">
            <w:pPr>
              <w:spacing w:after="30" w:line="240" w:lineRule="auto"/>
              <w:ind w:left="227" w:hanging="142"/>
            </w:pPr>
            <w:r>
              <w:rPr>
                <w:rFonts w:cs="EB Garamond"/>
                <w:kern w:val="16"/>
                <w:sz w:val="19"/>
                <w14:ligatures w14:val="standardContextual"/>
              </w:rPr>
              <w:t>• A PcD que trabalha por 29 anos com deficiência moderada tem direito à aposentadoria por TC da PcD (art. 3º, II, LC 142).</w:t>
            </w:r>
          </w:p>
          <w:p w14:paraId="078294CD" w14:textId="77777777" w:rsidR="005A5FCC" w:rsidRDefault="00A21C81">
            <w:pPr>
              <w:spacing w:after="30" w:line="240" w:lineRule="auto"/>
              <w:ind w:left="227" w:hanging="142"/>
            </w:pPr>
            <w:r>
              <w:rPr>
                <w:rFonts w:cs="EB Garamond"/>
                <w:kern w:val="16"/>
                <w:sz w:val="19"/>
                <w14:ligatures w14:val="standardContextual"/>
              </w:rPr>
              <w:t>• A PcD que se torna incapaz para o trabalho tem direito ao benefício por incapacidade (Caps. 6/7), não à aposentadoria da PcD.</w:t>
            </w:r>
          </w:p>
          <w:p w14:paraId="37933545" w14:textId="77777777" w:rsidR="005A5FCC" w:rsidRDefault="00A21C81">
            <w:pPr>
              <w:spacing w:after="30" w:line="240" w:lineRule="auto"/>
              <w:ind w:left="227" w:hanging="142"/>
            </w:pPr>
            <w:r>
              <w:rPr>
                <w:rFonts w:cs="EB Garamond"/>
                <w:kern w:val="16"/>
                <w:sz w:val="19"/>
                <w14:ligatures w14:val="standardContextual"/>
              </w:rPr>
              <w:t>• O segurado que ficou incapaz por 2 anos (auxílio por incapacidade temporária) e depois se recuperou NÃO é, por isso, pessoa com deficiência para fins da LC 142.</w:t>
            </w:r>
          </w:p>
          <w:p w14:paraId="256F65C5" w14:textId="77777777" w:rsidR="005A5FCC" w:rsidRDefault="00A21C81">
            <w:pPr>
              <w:spacing w:after="30" w:line="240" w:lineRule="auto"/>
              <w:ind w:left="227" w:hanging="142"/>
            </w:pPr>
            <w:r>
              <w:rPr>
                <w:rFonts w:cs="EB Garamond"/>
                <w:kern w:val="16"/>
                <w:sz w:val="19"/>
                <w14:ligatures w14:val="standardContextual"/>
              </w:rPr>
              <w:t>• A deficiência é permanente por definição ("impedimento de longo prazo"); a incapacidade pode ser temporária.</w:t>
            </w:r>
          </w:p>
          <w:p w14:paraId="3D9FF7E8" w14:textId="77777777" w:rsidR="005A5FCC" w:rsidRDefault="00A21C81">
            <w:pPr>
              <w:spacing w:after="30" w:line="240" w:lineRule="auto"/>
              <w:ind w:left="227" w:hanging="142"/>
            </w:pPr>
            <w:r>
              <w:rPr>
                <w:rFonts w:cs="EB Garamond"/>
                <w:kern w:val="16"/>
                <w:sz w:val="19"/>
                <w14:ligatures w14:val="standardContextual"/>
              </w:rPr>
              <w:t>• Para a aposentadoria da PcD, o grau de deficiência é avaliado pela funcionalidade (IF-BrA), não pela capacidade laboral.</w:t>
            </w:r>
          </w:p>
        </w:tc>
      </w:tr>
    </w:tbl>
    <w:p w14:paraId="4E44F448" w14:textId="77777777" w:rsidR="005A5FCC" w:rsidRDefault="005A5FCC">
      <w:pPr>
        <w:spacing w:after="80" w:line="240" w:lineRule="auto"/>
      </w:pPr>
    </w:p>
    <w:p w14:paraId="465C5B54"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602871F1" w14:textId="77777777" w:rsidR="005A5FCC" w:rsidRDefault="00A21C81">
      <w:r>
        <w:rPr>
          <w:rFonts w:cs="EB Garamond"/>
          <w:kern w:val="16"/>
          <w14:ligatures w14:val="standardContextual"/>
        </w:rPr>
        <w:t xml:space="preserve"> jurisprudência dos TRFs tem reiteradamente afirmado essa distinção. O TRF4 consigna, em síntese, que a aposentadoria da pessoa com deficiência não exige demonstração de incapacidade laboral, mas de impedimentos de longo prazo que, em interação com barreiras, restringem a participação social em igualdade de condições. No mesmo sentido orienta-se o TRF3, para quem a deficiência, na LC 142/2013, é conceito funcional, e não clínico, não se confundindo a funcionalidade com a capacidade para o trabalho.</w:t>
      </w:r>
    </w:p>
    <w:tbl>
      <w:tblPr>
        <w:tblW w:w="5000" w:type="pct"/>
        <w:jc w:val="center"/>
        <w:tblLayout w:type="fixed"/>
        <w:tblLook w:val="04A0" w:firstRow="1" w:lastRow="0" w:firstColumn="1" w:lastColumn="0" w:noHBand="0" w:noVBand="1"/>
      </w:tblPr>
      <w:tblGrid>
        <w:gridCol w:w="6311"/>
      </w:tblGrid>
      <w:tr w:rsidR="005A5FCC" w14:paraId="044C7661"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0AA80EE2" w14:textId="77777777" w:rsidR="005A5FCC" w:rsidRDefault="00A21C81">
            <w:pPr>
              <w:spacing w:after="60" w:line="240" w:lineRule="auto"/>
              <w:jc w:val="left"/>
            </w:pPr>
            <w:r>
              <w:rPr>
                <w:rFonts w:ascii="Noto Sans" w:hAnsi="Noto Sans" w:cs="Noto Sans"/>
                <w:b/>
                <w:caps/>
                <w:color w:val="4D6F8A"/>
                <w:kern w:val="16"/>
                <w:sz w:val="16"/>
                <w14:ligatures w14:val="standardContextual"/>
              </w:rPr>
              <w:lastRenderedPageBreak/>
              <w:t>JURISPRUDÊNCIA EM DESTAQUE</w:t>
            </w:r>
          </w:p>
          <w:p w14:paraId="6C4FAFE4" w14:textId="77777777" w:rsidR="005A5FCC" w:rsidRDefault="00A21C81">
            <w:pPr>
              <w:spacing w:after="60" w:line="247" w:lineRule="auto"/>
            </w:pPr>
            <w:r>
              <w:rPr>
                <w:rFonts w:cs="EB Garamond"/>
                <w:b/>
                <w:kern w:val="16"/>
                <w:sz w:val="19"/>
                <w14:ligatures w14:val="standardContextual"/>
              </w:rPr>
              <w:t>Distinção entre deficiência e incapacidade na jurisprudência dos TRFs</w:t>
            </w:r>
          </w:p>
          <w:p w14:paraId="481BBC15" w14:textId="77777777" w:rsidR="005A5FCC" w:rsidRDefault="00A21C81">
            <w:pPr>
              <w:spacing w:after="60" w:line="247" w:lineRule="auto"/>
            </w:pPr>
            <w:r>
              <w:rPr>
                <w:rFonts w:cs="EB Garamond"/>
                <w:i/>
                <w:kern w:val="16"/>
                <w:sz w:val="19"/>
                <w14:ligatures w14:val="standardContextual"/>
              </w:rPr>
              <w:t>Os trechos que seguem sintetizam o entendimento dos tribunais; não constituem transcrição literal de ementa.</w:t>
            </w:r>
          </w:p>
          <w:p w14:paraId="6B0B4E03" w14:textId="77777777" w:rsidR="005A5FCC" w:rsidRDefault="00A21C81">
            <w:pPr>
              <w:spacing w:after="60" w:line="247" w:lineRule="auto"/>
            </w:pPr>
            <w:r>
              <w:rPr>
                <w:rFonts w:cs="EB Garamond"/>
                <w:kern w:val="16"/>
                <w:sz w:val="19"/>
                <w14:ligatures w14:val="standardContextual"/>
              </w:rPr>
              <w:t>TRF4: a aposentadoria da pessoa com deficiência não se confunde com a aposentadoria por invalidez (atual aposentadoria por incapacidade permanente). Aquela exige a comprovação de impedimentos funcionais de longo prazo que restringem a participação social; esta, a de incapacidade total e permanente para o trabalho. São benefícios com pressupostos e finalidades distintos (AC 5012831-64.2015.4.04.7002, TRF4).</w:t>
            </w:r>
          </w:p>
          <w:p w14:paraId="2BBCC7DF" w14:textId="77777777" w:rsidR="005A5FCC" w:rsidRDefault="00A21C81">
            <w:pPr>
              <w:spacing w:after="60" w:line="247" w:lineRule="auto"/>
            </w:pPr>
            <w:r>
              <w:rPr>
                <w:rFonts w:cs="EB Garamond"/>
                <w:kern w:val="16"/>
                <w:sz w:val="19"/>
                <w14:ligatures w14:val="standardContextual"/>
              </w:rPr>
              <w:t>TRF3: o conceito de deficiência para fins da LC 142/2013 não se reduz ao diagnóstico médico, abrangendo a avaliação biopsicossocial das limitações funcionais e das barreiras enfrentadas pelo segurado em sua vida cotidiana e profissional (ApCiv 5005127-06.2018.4.03.6183, TRF3).</w:t>
            </w:r>
          </w:p>
        </w:tc>
      </w:tr>
    </w:tbl>
    <w:p w14:paraId="04661BD8" w14:textId="77777777" w:rsidR="005A5FCC" w:rsidRDefault="005A5FCC">
      <w:pPr>
        <w:spacing w:after="80" w:line="240" w:lineRule="auto"/>
      </w:pPr>
    </w:p>
    <w:p w14:paraId="5C46CE36" w14:textId="77777777" w:rsidR="005A5FCC" w:rsidRDefault="00A21C81">
      <w:pPr>
        <w:spacing w:before="260" w:after="80" w:line="240" w:lineRule="auto"/>
        <w:jc w:val="left"/>
      </w:pPr>
      <w:r>
        <w:rPr>
          <w:rFonts w:cs="EB Garamond"/>
          <w:b/>
          <w:color w:val="3A3128"/>
          <w:kern w:val="16"/>
          <w:sz w:val="25"/>
          <w14:ligatures w14:val="standardContextual"/>
        </w:rPr>
        <w:t>12.3.2 Impedimento de longo prazo</w:t>
      </w:r>
    </w:p>
    <w:p w14:paraId="2361D5EB"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7B586C36" w14:textId="77777777" w:rsidR="005A5FCC" w:rsidRDefault="00A21C81">
      <w:r>
        <w:rPr>
          <w:rFonts w:cs="EB Garamond"/>
          <w:kern w:val="16"/>
          <w14:ligatures w14:val="standardContextual"/>
        </w:rPr>
        <w:t xml:space="preserve"> impedimento, para fins da LC 142, deve ser de longo prazo. O conceito de deficiência ancora-se no art. 2º da LC 142/2013, que reproduz a definição da CDPD (impedimentos de longo prazo de natureza física, mental, intelectual ou sensorial). A quantificação do "longo prazo" em prazo mínimo de dois anos, contudo, não está no caput da definição legal: foi fixada pelo regulamento, no art. 70-B, § 1º, do Decreto 3.048/99 (incluído pelo Decreto 8.145/2013), que dispõe sobre a avaliação biopsicossocial. Importa não confundir essa exigência com a carência de 180 contribuições (art. 3º, parágrafo único, da LC 142): são requisitos distintos, com sedes normativas distintas — um diz respeito à duração mínima do impedimento, o outro ao número mínimo de contribuições. Note-se ainda que a Lei n. 13.146/2015 (art. 2º) define a pessoa com deficiência pela presença de impedimento de longo prazo, mas tampouco fixa expressamente o marco temporal de dois anos. Esse critério temporal distingue a deficiência (permanente ou de longo prazo) de condições transitórias (doenças agudas, fraturas em recuperação, estados pós-cirúrgicos temporários), que podem gerar incapacidade temporária mas não configuram deficiência para fins previdenciários.</w:t>
      </w:r>
    </w:p>
    <w:p w14:paraId="0A3C5DA4" w14:textId="77777777" w:rsidR="005A5FCC" w:rsidRDefault="00A21C81">
      <w:pPr>
        <w:ind w:firstLine="238"/>
      </w:pPr>
      <w:r>
        <w:rPr>
          <w:rFonts w:cs="EB Garamond"/>
          <w:kern w:val="16"/>
          <w14:ligatures w14:val="standardContextual"/>
        </w:rPr>
        <w:lastRenderedPageBreak/>
        <w:t>Na prática, a questão da temporalidade é especialmente relevante em condições progressivas (como esclerose múltipla ou HIV/AIDS) ou intermitentes (como transtornos mentais com períodos de remissão e recaída). Nesses casos, a avaliação biopsicossocial deve considerar o prognóstico e o padrão de evolução da condição, e não apenas o estado atual no momento da perícia.</w:t>
      </w:r>
    </w:p>
    <w:p w14:paraId="48E1002B" w14:textId="77777777" w:rsidR="005A5FCC" w:rsidRDefault="00A21C81">
      <w:pPr>
        <w:spacing w:before="260" w:after="80" w:line="240" w:lineRule="auto"/>
        <w:jc w:val="left"/>
      </w:pPr>
      <w:r>
        <w:rPr>
          <w:rFonts w:cs="EB Garamond"/>
          <w:b/>
          <w:color w:val="3A3128"/>
          <w:kern w:val="16"/>
          <w:sz w:val="25"/>
          <w14:ligatures w14:val="standardContextual"/>
        </w:rPr>
        <w:t>12.3.3 Deficiência versus doença</w:t>
      </w:r>
    </w:p>
    <w:p w14:paraId="7AD0562C"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N</w:t>
      </w:r>
    </w:p>
    <w:p w14:paraId="2586CD0C" w14:textId="77777777" w:rsidR="005A5FCC" w:rsidRDefault="00A21C81">
      <w:r>
        <w:rPr>
          <w:rFonts w:cs="EB Garamond"/>
          <w:kern w:val="16"/>
          <w14:ligatures w14:val="standardContextual"/>
        </w:rPr>
        <w:t>em toda doença gera deficiência para fins previdenciários. Uma pessoa com diabetes tipo 2 controlada por medicação pode não apresentar impedimentos funcionais de longo prazo que restrinjam sua participação social — logo, não é pessoa com deficiência para fins da LC 142. Outra pessoa com diabetes tipo 1 com complicações (retinopatia grave, neuropatia, amputação), por sua vez, pode ter impedimentos significativos que a enquadrem como PcD.</w:t>
      </w:r>
    </w:p>
    <w:p w14:paraId="3F7510F6" w14:textId="77777777" w:rsidR="005A5FCC" w:rsidRDefault="00A21C81">
      <w:pPr>
        <w:ind w:firstLine="238"/>
      </w:pPr>
      <w:r>
        <w:rPr>
          <w:rFonts w:cs="EB Garamond"/>
          <w:kern w:val="16"/>
          <w14:ligatures w14:val="standardContextual"/>
        </w:rPr>
        <w:t>A distinção entre doença e deficiência é operacionalizada pela avaliação biopsicossocial: o IF-BrA não avalia a doença em si, mas o impacto funcional da condição na vida do segurado. Essa abordagem funcional é coerente com o modelo biopsicossocial da CDPD e impede que o mero diagnóstico (CID-10) sirva de critério automático para acesso ao benefício.</w:t>
      </w:r>
    </w:p>
    <w:p w14:paraId="091891C6" w14:textId="77777777" w:rsidR="005A5FCC" w:rsidRDefault="00A21C81">
      <w:pPr>
        <w:ind w:firstLine="238"/>
      </w:pPr>
      <w:r>
        <w:rPr>
          <w:rFonts w:cs="EB Garamond"/>
          <w:kern w:val="16"/>
          <w14:ligatures w14:val="standardContextual"/>
        </w:rPr>
        <w:t>Na prática forense, contudo, a apresentação do diagnóstico (CID-10) é indispensável como ponto de partida da avaliação: o perito precisa identificar a condição clínica para então avaliar seu impacto funcional. Laudos médicos que indicam apenas o CID sem descrever as limitações funcionais são insuficientes para a comprovação da deficiência; laudos que detalham as restrições de atividade e participação, ainda que sem CID, podem ser mais informativos para fins da LC 142.</w:t>
      </w:r>
    </w:p>
    <w:p w14:paraId="0E9D1BB2" w14:textId="77777777" w:rsidR="005A5FCC" w:rsidRDefault="00A21C81">
      <w:pPr>
        <w:spacing w:before="260" w:after="80" w:line="240" w:lineRule="auto"/>
        <w:jc w:val="left"/>
      </w:pPr>
      <w:r>
        <w:rPr>
          <w:rFonts w:cs="EB Garamond"/>
          <w:b/>
          <w:color w:val="3A3128"/>
          <w:kern w:val="16"/>
          <w:sz w:val="25"/>
          <w14:ligatures w14:val="standardContextual"/>
        </w:rPr>
        <w:t>12.3.4 Pessoas com deficiência e o mercado de trabalho</w:t>
      </w:r>
    </w:p>
    <w:p w14:paraId="3C3C2912"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U</w:t>
      </w:r>
    </w:p>
    <w:p w14:paraId="6B007439" w14:textId="77777777" w:rsidR="005A5FCC" w:rsidRDefault="00A21C81">
      <w:r>
        <w:rPr>
          <w:rFonts w:cs="EB Garamond"/>
          <w:kern w:val="16"/>
          <w14:ligatures w14:val="standardContextual"/>
        </w:rPr>
        <w:t>m aspecto frequentemente negligenciado na análise previdenciária é o reconhecimento de que a LC 142/2013 tutela a pessoa com deficiência que trabalha — não a que está impedida de trabalhar (essa é protegida pelos benefícios por incapacidade). A aposentadoria da PcD reconhece que o exercício da atividade laboral com deficiência exige esforço adicional, enfrenta barreiras e desgaste superiores aos enfrentados pelo trabalhador sem deficiência.</w:t>
      </w:r>
    </w:p>
    <w:p w14:paraId="0B77A300" w14:textId="77777777" w:rsidR="005A5FCC" w:rsidRDefault="00A21C81">
      <w:pPr>
        <w:ind w:firstLine="238"/>
      </w:pPr>
      <w:r>
        <w:rPr>
          <w:rFonts w:cs="EB Garamond"/>
          <w:kern w:val="16"/>
          <w14:ligatures w14:val="standardContextual"/>
        </w:rPr>
        <w:lastRenderedPageBreak/>
        <w:t>Essa perspectiva tem implicações probatórias: a comprovação de que o segurado exerce ou exerceu atividade laboral, longe de afastar o direito à aposentadoria da PcD, é pressuposto do benefício. O segurado que trabalha com deficiência demonstra precisamente a situação tutelada pela LC 142: convivência diária com impedimentos e barreiras que justificam a redução do tempo de contribuição como medida de equidade.</w:t>
      </w:r>
    </w:p>
    <w:p w14:paraId="07B4E6E2" w14:textId="77777777" w:rsidR="005A5FCC" w:rsidRDefault="00A21C81">
      <w:pPr>
        <w:ind w:firstLine="238"/>
      </w:pPr>
      <w:r>
        <w:rPr>
          <w:rFonts w:cs="EB Garamond"/>
          <w:kern w:val="16"/>
          <w14:ligatures w14:val="standardContextual"/>
        </w:rPr>
        <w:t>A reserva de vagas para pessoas com deficiência em empresas com 100 ou mais empregados é prevista pelo art. 93 da Lei n. 8.213/91, que fixa a escala progressiva de cotas de 2% a 5% conforme o porte da empresa (2% de 100 a 200 empregados; 3% de 201 a 500; 4% de 501 a 1.000; 5% acima de 1.000). O Estatuto da PcD (Lei n. 13.146/2015) reforça, em plano principiológico, o direito ao trabalho da pessoa com deficiência, mas é o art. 93 da Lei n. 8.213/91 que estabelece a escala numérica das cotas. O segurado que ocupa vaga reservada e contribui regularmente está construindo tempo de contribuição para a aposentadoria da PcD — e o fato de ocupar vaga de cota reforça a comprovação da deficiência para fins previdenciários, embora os critérios de classificação para cotas (Decreto n. 3.298/99, Decreto n. 5.296/2004) não sejam idênticos aos do IF-BrA.</w:t>
      </w:r>
    </w:p>
    <w:p w14:paraId="420A2233"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12.4 Graus de deficiência: leve, moderada e grave</w:t>
      </w:r>
    </w:p>
    <w:p w14:paraId="19CEDDE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30241640" w14:textId="77777777" w:rsidR="005A5FCC" w:rsidRDefault="00A21C81">
      <w:r>
        <w:rPr>
          <w:rFonts w:cs="EB Garamond"/>
          <w:kern w:val="16"/>
          <w14:ligatures w14:val="standardContextual"/>
        </w:rPr>
        <w:t xml:space="preserve"> LC 142/2013, em seu art. 3º, incisos I a III, estabelece três graus de deficiência, grave, moderada e leve, cada qual com um tempo de contribuição diferenciado. O art. 5º determina que o grau será atestado por perícia própria do INSS, e o art. 4º remete ao regulamento para definição dos critérios de classificação.</w:t>
      </w:r>
    </w:p>
    <w:p w14:paraId="73767096" w14:textId="77777777" w:rsidR="005A5FCC" w:rsidRDefault="00A21C81">
      <w:pPr>
        <w:spacing w:before="260" w:after="80" w:line="240" w:lineRule="auto"/>
        <w:jc w:val="left"/>
      </w:pPr>
      <w:r>
        <w:rPr>
          <w:rFonts w:cs="EB Garamond"/>
          <w:b/>
          <w:color w:val="3A3128"/>
          <w:kern w:val="16"/>
          <w:sz w:val="25"/>
          <w14:ligatures w14:val="standardContextual"/>
        </w:rPr>
        <w:t>12.4.1 Tempos de contribuição por grau</w:t>
      </w:r>
    </w:p>
    <w:p w14:paraId="21CA1471"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607F06E5" w14:textId="77777777" w:rsidR="005A5FCC" w:rsidRDefault="00A21C81">
      <w:r>
        <w:rPr>
          <w:rFonts w:cs="EB Garamond"/>
          <w:kern w:val="16"/>
          <w14:ligatures w14:val="standardContextual"/>
        </w:rPr>
        <w:t xml:space="preserve"> estrutura de TC da LC 142 reflete uma lógica de proporcionalidade inversa: quanto mais grave a deficiência, maior a barreira enfrentada pelo segurado ao longo de sua vida laboral e, logo, menor o tempo de contribuição exigido para aposentadoria.</w:t>
      </w:r>
    </w:p>
    <w:tbl>
      <w:tblPr>
        <w:tblW w:w="5000" w:type="pct"/>
        <w:jc w:val="center"/>
        <w:tblLook w:val="04A0" w:firstRow="1" w:lastRow="0" w:firstColumn="1" w:lastColumn="0" w:noHBand="0" w:noVBand="1"/>
      </w:tblPr>
      <w:tblGrid>
        <w:gridCol w:w="1584"/>
        <w:gridCol w:w="1585"/>
        <w:gridCol w:w="1585"/>
        <w:gridCol w:w="1586"/>
      </w:tblGrid>
      <w:tr w:rsidR="005A5FCC" w14:paraId="07758293" w14:textId="77777777">
        <w:trPr>
          <w:tblHeader/>
          <w:jc w:val="center"/>
        </w:trPr>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043862DA" w14:textId="77777777" w:rsidR="005A5FCC" w:rsidRDefault="00A21C81">
            <w:pPr>
              <w:spacing w:before="40" w:after="40" w:line="240" w:lineRule="auto"/>
              <w:jc w:val="center"/>
            </w:pPr>
            <w:r>
              <w:rPr>
                <w:rFonts w:cs="EB Garamond"/>
                <w:b/>
                <w:color w:val="2F2923"/>
                <w:kern w:val="16"/>
                <w:sz w:val="18"/>
                <w14:ligatures w14:val="standardContextual"/>
              </w:rPr>
              <w:lastRenderedPageBreak/>
              <w:t>Grau de deficiência</w:t>
            </w:r>
          </w:p>
        </w:tc>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0234E8A4" w14:textId="77777777" w:rsidR="005A5FCC" w:rsidRDefault="00A21C81">
            <w:pPr>
              <w:spacing w:before="40" w:after="40" w:line="240" w:lineRule="auto"/>
              <w:jc w:val="center"/>
            </w:pPr>
            <w:r>
              <w:rPr>
                <w:rFonts w:cs="EB Garamond"/>
                <w:b/>
                <w:color w:val="2F2923"/>
                <w:kern w:val="16"/>
                <w:sz w:val="18"/>
                <w14:ligatures w14:val="standardContextual"/>
              </w:rPr>
              <w:t>TC Homem</w:t>
            </w:r>
          </w:p>
        </w:tc>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42CD8BD5" w14:textId="77777777" w:rsidR="005A5FCC" w:rsidRDefault="00A21C81">
            <w:pPr>
              <w:spacing w:before="40" w:after="40" w:line="240" w:lineRule="auto"/>
              <w:jc w:val="center"/>
            </w:pPr>
            <w:r>
              <w:rPr>
                <w:rFonts w:cs="EB Garamond"/>
                <w:b/>
                <w:color w:val="2F2923"/>
                <w:kern w:val="16"/>
                <w:sz w:val="18"/>
                <w14:ligatures w14:val="standardContextual"/>
              </w:rPr>
              <w:t>TC Mulher</w:t>
            </w:r>
          </w:p>
        </w:tc>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627A4352" w14:textId="77777777" w:rsidR="005A5FCC" w:rsidRDefault="00A21C81">
            <w:pPr>
              <w:spacing w:before="40" w:after="40" w:line="240" w:lineRule="auto"/>
              <w:jc w:val="center"/>
            </w:pPr>
            <w:r>
              <w:rPr>
                <w:rFonts w:cs="EB Garamond"/>
                <w:b/>
                <w:color w:val="2F2923"/>
                <w:kern w:val="16"/>
                <w:sz w:val="18"/>
                <w14:ligatures w14:val="standardContextual"/>
              </w:rPr>
              <w:t>Redução vs. TC comum (35H/30M)</w:t>
            </w:r>
          </w:p>
        </w:tc>
      </w:tr>
      <w:tr w:rsidR="005A5FCC" w14:paraId="3FF26C23"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421EF674" w14:textId="77777777" w:rsidR="005A5FCC" w:rsidRDefault="00A21C81">
            <w:pPr>
              <w:spacing w:before="20" w:after="20" w:line="240" w:lineRule="auto"/>
              <w:jc w:val="left"/>
            </w:pPr>
            <w:r>
              <w:rPr>
                <w:rFonts w:cs="EB Garamond"/>
                <w:b/>
                <w:kern w:val="16"/>
                <w:sz w:val="18"/>
                <w14:ligatures w14:val="standardContextual"/>
              </w:rPr>
              <w:t>Grave</w:t>
            </w:r>
          </w:p>
        </w:tc>
        <w:tc>
          <w:tcPr>
            <w:tcW w:w="1587" w:type="dxa"/>
            <w:tcBorders>
              <w:top w:val="single" w:sz="4" w:space="0" w:color="D2C9B8"/>
              <w:left w:val="single" w:sz="4" w:space="0" w:color="D2C9B8"/>
              <w:bottom w:val="single" w:sz="4" w:space="0" w:color="D2C9B8"/>
              <w:right w:val="single" w:sz="4" w:space="0" w:color="D2C9B8"/>
            </w:tcBorders>
          </w:tcPr>
          <w:p w14:paraId="38E18AB2" w14:textId="77777777" w:rsidR="005A5FCC" w:rsidRDefault="00A21C81">
            <w:pPr>
              <w:spacing w:before="20" w:after="20" w:line="240" w:lineRule="auto"/>
              <w:jc w:val="left"/>
            </w:pPr>
            <w:r>
              <w:rPr>
                <w:rFonts w:cs="EB Garamond"/>
                <w:kern w:val="16"/>
                <w:sz w:val="18"/>
                <w14:ligatures w14:val="standardContextual"/>
              </w:rPr>
              <w:t>25 anos</w:t>
            </w:r>
          </w:p>
        </w:tc>
        <w:tc>
          <w:tcPr>
            <w:tcW w:w="1587" w:type="dxa"/>
            <w:tcBorders>
              <w:top w:val="single" w:sz="4" w:space="0" w:color="D2C9B8"/>
              <w:left w:val="single" w:sz="4" w:space="0" w:color="D2C9B8"/>
              <w:bottom w:val="single" w:sz="4" w:space="0" w:color="D2C9B8"/>
              <w:right w:val="single" w:sz="4" w:space="0" w:color="D2C9B8"/>
            </w:tcBorders>
          </w:tcPr>
          <w:p w14:paraId="3F929E3D" w14:textId="77777777" w:rsidR="005A5FCC" w:rsidRDefault="00A21C81">
            <w:pPr>
              <w:spacing w:before="20" w:after="20" w:line="240" w:lineRule="auto"/>
              <w:jc w:val="left"/>
            </w:pPr>
            <w:r>
              <w:rPr>
                <w:rFonts w:cs="EB Garamond"/>
                <w:kern w:val="16"/>
                <w:sz w:val="18"/>
                <w14:ligatures w14:val="standardContextual"/>
              </w:rPr>
              <w:t>20 anos</w:t>
            </w:r>
          </w:p>
        </w:tc>
        <w:tc>
          <w:tcPr>
            <w:tcW w:w="1587" w:type="dxa"/>
            <w:tcBorders>
              <w:top w:val="single" w:sz="4" w:space="0" w:color="D2C9B8"/>
              <w:left w:val="single" w:sz="4" w:space="0" w:color="D2C9B8"/>
              <w:bottom w:val="single" w:sz="4" w:space="0" w:color="D2C9B8"/>
              <w:right w:val="single" w:sz="4" w:space="0" w:color="D2C9B8"/>
            </w:tcBorders>
          </w:tcPr>
          <w:p w14:paraId="76CD6040" w14:textId="77777777" w:rsidR="005A5FCC" w:rsidRDefault="00A21C81">
            <w:pPr>
              <w:spacing w:before="20" w:after="20" w:line="240" w:lineRule="auto"/>
              <w:jc w:val="left"/>
            </w:pPr>
            <w:r>
              <w:rPr>
                <w:rFonts w:cs="EB Garamond"/>
                <w:kern w:val="16"/>
                <w:sz w:val="18"/>
                <w14:ligatures w14:val="standardContextual"/>
              </w:rPr>
              <w:t>10 anos</w:t>
            </w:r>
          </w:p>
        </w:tc>
      </w:tr>
      <w:tr w:rsidR="005A5FCC" w14:paraId="11144487"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522B6257" w14:textId="77777777" w:rsidR="005A5FCC" w:rsidRDefault="00A21C81">
            <w:pPr>
              <w:spacing w:before="20" w:after="20" w:line="240" w:lineRule="auto"/>
              <w:jc w:val="left"/>
            </w:pPr>
            <w:r>
              <w:rPr>
                <w:rFonts w:cs="EB Garamond"/>
                <w:b/>
                <w:kern w:val="16"/>
                <w:sz w:val="18"/>
                <w14:ligatures w14:val="standardContextual"/>
              </w:rPr>
              <w:t>Moderada</w:t>
            </w:r>
          </w:p>
        </w:tc>
        <w:tc>
          <w:tcPr>
            <w:tcW w:w="1587" w:type="dxa"/>
            <w:tcBorders>
              <w:top w:val="single" w:sz="4" w:space="0" w:color="D2C9B8"/>
              <w:left w:val="single" w:sz="4" w:space="0" w:color="D2C9B8"/>
              <w:bottom w:val="single" w:sz="4" w:space="0" w:color="D2C9B8"/>
              <w:right w:val="single" w:sz="4" w:space="0" w:color="D2C9B8"/>
            </w:tcBorders>
          </w:tcPr>
          <w:p w14:paraId="65688576" w14:textId="77777777" w:rsidR="005A5FCC" w:rsidRDefault="00A21C81">
            <w:pPr>
              <w:spacing w:before="20" w:after="20" w:line="240" w:lineRule="auto"/>
              <w:jc w:val="left"/>
            </w:pPr>
            <w:r>
              <w:rPr>
                <w:rFonts w:cs="EB Garamond"/>
                <w:kern w:val="16"/>
                <w:sz w:val="18"/>
                <w14:ligatures w14:val="standardContextual"/>
              </w:rPr>
              <w:t>29 anos</w:t>
            </w:r>
          </w:p>
        </w:tc>
        <w:tc>
          <w:tcPr>
            <w:tcW w:w="1587" w:type="dxa"/>
            <w:tcBorders>
              <w:top w:val="single" w:sz="4" w:space="0" w:color="D2C9B8"/>
              <w:left w:val="single" w:sz="4" w:space="0" w:color="D2C9B8"/>
              <w:bottom w:val="single" w:sz="4" w:space="0" w:color="D2C9B8"/>
              <w:right w:val="single" w:sz="4" w:space="0" w:color="D2C9B8"/>
            </w:tcBorders>
          </w:tcPr>
          <w:p w14:paraId="75D4E23F" w14:textId="77777777" w:rsidR="005A5FCC" w:rsidRDefault="00A21C81">
            <w:pPr>
              <w:spacing w:before="20" w:after="20" w:line="240" w:lineRule="auto"/>
              <w:jc w:val="left"/>
            </w:pPr>
            <w:r>
              <w:rPr>
                <w:rFonts w:cs="EB Garamond"/>
                <w:kern w:val="16"/>
                <w:sz w:val="18"/>
                <w14:ligatures w14:val="standardContextual"/>
              </w:rPr>
              <w:t>24 anos</w:t>
            </w:r>
          </w:p>
        </w:tc>
        <w:tc>
          <w:tcPr>
            <w:tcW w:w="1587" w:type="dxa"/>
            <w:tcBorders>
              <w:top w:val="single" w:sz="4" w:space="0" w:color="D2C9B8"/>
              <w:left w:val="single" w:sz="4" w:space="0" w:color="D2C9B8"/>
              <w:bottom w:val="single" w:sz="4" w:space="0" w:color="D2C9B8"/>
              <w:right w:val="single" w:sz="4" w:space="0" w:color="D2C9B8"/>
            </w:tcBorders>
          </w:tcPr>
          <w:p w14:paraId="02F877B0" w14:textId="77777777" w:rsidR="005A5FCC" w:rsidRDefault="00A21C81">
            <w:pPr>
              <w:spacing w:before="20" w:after="20" w:line="240" w:lineRule="auto"/>
              <w:jc w:val="left"/>
            </w:pPr>
            <w:r>
              <w:rPr>
                <w:rFonts w:cs="EB Garamond"/>
                <w:kern w:val="16"/>
                <w:sz w:val="18"/>
                <w14:ligatures w14:val="standardContextual"/>
              </w:rPr>
              <w:t>6 anos</w:t>
            </w:r>
          </w:p>
        </w:tc>
      </w:tr>
      <w:tr w:rsidR="005A5FCC" w14:paraId="6C96F3AE"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51959B41" w14:textId="77777777" w:rsidR="005A5FCC" w:rsidRDefault="00A21C81">
            <w:pPr>
              <w:spacing w:before="20" w:after="20" w:line="240" w:lineRule="auto"/>
              <w:jc w:val="left"/>
            </w:pPr>
            <w:r>
              <w:rPr>
                <w:rFonts w:cs="EB Garamond"/>
                <w:b/>
                <w:kern w:val="16"/>
                <w:sz w:val="18"/>
                <w14:ligatures w14:val="standardContextual"/>
              </w:rPr>
              <w:t>Leve</w:t>
            </w:r>
          </w:p>
        </w:tc>
        <w:tc>
          <w:tcPr>
            <w:tcW w:w="1587" w:type="dxa"/>
            <w:tcBorders>
              <w:top w:val="single" w:sz="4" w:space="0" w:color="D2C9B8"/>
              <w:left w:val="single" w:sz="4" w:space="0" w:color="D2C9B8"/>
              <w:bottom w:val="single" w:sz="4" w:space="0" w:color="D2C9B8"/>
              <w:right w:val="single" w:sz="4" w:space="0" w:color="D2C9B8"/>
            </w:tcBorders>
          </w:tcPr>
          <w:p w14:paraId="7371DD88" w14:textId="77777777" w:rsidR="005A5FCC" w:rsidRDefault="00A21C81">
            <w:pPr>
              <w:spacing w:before="20" w:after="20" w:line="240" w:lineRule="auto"/>
              <w:jc w:val="left"/>
            </w:pPr>
            <w:r>
              <w:rPr>
                <w:rFonts w:cs="EB Garamond"/>
                <w:kern w:val="16"/>
                <w:sz w:val="18"/>
                <w14:ligatures w14:val="standardContextual"/>
              </w:rPr>
              <w:t>33 anos</w:t>
            </w:r>
          </w:p>
        </w:tc>
        <w:tc>
          <w:tcPr>
            <w:tcW w:w="1587" w:type="dxa"/>
            <w:tcBorders>
              <w:top w:val="single" w:sz="4" w:space="0" w:color="D2C9B8"/>
              <w:left w:val="single" w:sz="4" w:space="0" w:color="D2C9B8"/>
              <w:bottom w:val="single" w:sz="4" w:space="0" w:color="D2C9B8"/>
              <w:right w:val="single" w:sz="4" w:space="0" w:color="D2C9B8"/>
            </w:tcBorders>
          </w:tcPr>
          <w:p w14:paraId="724CB133" w14:textId="77777777" w:rsidR="005A5FCC" w:rsidRDefault="00A21C81">
            <w:pPr>
              <w:spacing w:before="20" w:after="20" w:line="240" w:lineRule="auto"/>
              <w:jc w:val="left"/>
            </w:pPr>
            <w:r>
              <w:rPr>
                <w:rFonts w:cs="EB Garamond"/>
                <w:kern w:val="16"/>
                <w:sz w:val="18"/>
                <w14:ligatures w14:val="standardContextual"/>
              </w:rPr>
              <w:t>28 anos</w:t>
            </w:r>
          </w:p>
        </w:tc>
        <w:tc>
          <w:tcPr>
            <w:tcW w:w="1587" w:type="dxa"/>
            <w:tcBorders>
              <w:top w:val="single" w:sz="4" w:space="0" w:color="D2C9B8"/>
              <w:left w:val="single" w:sz="4" w:space="0" w:color="D2C9B8"/>
              <w:bottom w:val="single" w:sz="4" w:space="0" w:color="D2C9B8"/>
              <w:right w:val="single" w:sz="4" w:space="0" w:color="D2C9B8"/>
            </w:tcBorders>
          </w:tcPr>
          <w:p w14:paraId="0336E90B" w14:textId="77777777" w:rsidR="005A5FCC" w:rsidRDefault="00A21C81">
            <w:pPr>
              <w:spacing w:before="20" w:after="20" w:line="240" w:lineRule="auto"/>
              <w:jc w:val="left"/>
            </w:pPr>
            <w:r>
              <w:rPr>
                <w:rFonts w:cs="EB Garamond"/>
                <w:kern w:val="16"/>
                <w:sz w:val="18"/>
                <w14:ligatures w14:val="standardContextual"/>
              </w:rPr>
              <w:t>2 anos</w:t>
            </w:r>
          </w:p>
        </w:tc>
      </w:tr>
      <w:tr w:rsidR="005A5FCC" w14:paraId="23D5ACD7"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760F4C40" w14:textId="77777777" w:rsidR="005A5FCC" w:rsidRDefault="00A21C81">
            <w:pPr>
              <w:spacing w:before="20" w:after="20" w:line="240" w:lineRule="auto"/>
              <w:jc w:val="left"/>
            </w:pPr>
            <w:r>
              <w:rPr>
                <w:rFonts w:cs="EB Garamond"/>
                <w:kern w:val="16"/>
                <w:sz w:val="18"/>
                <w14:ligatures w14:val="standardContextual"/>
              </w:rPr>
              <w:t>TC comum (referência)</w:t>
            </w:r>
          </w:p>
        </w:tc>
        <w:tc>
          <w:tcPr>
            <w:tcW w:w="1587" w:type="dxa"/>
            <w:tcBorders>
              <w:top w:val="single" w:sz="4" w:space="0" w:color="D2C9B8"/>
              <w:left w:val="single" w:sz="4" w:space="0" w:color="D2C9B8"/>
              <w:bottom w:val="single" w:sz="4" w:space="0" w:color="D2C9B8"/>
              <w:right w:val="single" w:sz="4" w:space="0" w:color="D2C9B8"/>
            </w:tcBorders>
          </w:tcPr>
          <w:p w14:paraId="43ED35B3" w14:textId="77777777" w:rsidR="005A5FCC" w:rsidRDefault="00A21C81">
            <w:pPr>
              <w:spacing w:before="20" w:after="20" w:line="240" w:lineRule="auto"/>
              <w:jc w:val="left"/>
            </w:pPr>
            <w:r>
              <w:rPr>
                <w:rFonts w:cs="EB Garamond"/>
                <w:kern w:val="16"/>
                <w:sz w:val="18"/>
                <w14:ligatures w14:val="standardContextual"/>
              </w:rPr>
              <w:t>35 anos</w:t>
            </w:r>
          </w:p>
        </w:tc>
        <w:tc>
          <w:tcPr>
            <w:tcW w:w="1587" w:type="dxa"/>
            <w:tcBorders>
              <w:top w:val="single" w:sz="4" w:space="0" w:color="D2C9B8"/>
              <w:left w:val="single" w:sz="4" w:space="0" w:color="D2C9B8"/>
              <w:bottom w:val="single" w:sz="4" w:space="0" w:color="D2C9B8"/>
              <w:right w:val="single" w:sz="4" w:space="0" w:color="D2C9B8"/>
            </w:tcBorders>
          </w:tcPr>
          <w:p w14:paraId="7E31F701" w14:textId="77777777" w:rsidR="005A5FCC" w:rsidRDefault="00A21C81">
            <w:pPr>
              <w:spacing w:before="20" w:after="20" w:line="240" w:lineRule="auto"/>
              <w:jc w:val="left"/>
            </w:pPr>
            <w:r>
              <w:rPr>
                <w:rFonts w:cs="EB Garamond"/>
                <w:kern w:val="16"/>
                <w:sz w:val="18"/>
                <w14:ligatures w14:val="standardContextual"/>
              </w:rPr>
              <w:t>30 anos</w:t>
            </w:r>
          </w:p>
        </w:tc>
        <w:tc>
          <w:tcPr>
            <w:tcW w:w="1587" w:type="dxa"/>
            <w:tcBorders>
              <w:top w:val="single" w:sz="4" w:space="0" w:color="D2C9B8"/>
              <w:left w:val="single" w:sz="4" w:space="0" w:color="D2C9B8"/>
              <w:bottom w:val="single" w:sz="4" w:space="0" w:color="D2C9B8"/>
              <w:right w:val="single" w:sz="4" w:space="0" w:color="D2C9B8"/>
            </w:tcBorders>
          </w:tcPr>
          <w:p w14:paraId="5DDDDF8B" w14:textId="77777777" w:rsidR="005A5FCC" w:rsidRDefault="00A21C81">
            <w:pPr>
              <w:spacing w:before="20" w:after="20" w:line="240" w:lineRule="auto"/>
              <w:jc w:val="left"/>
            </w:pPr>
            <w:r>
              <w:rPr>
                <w:rFonts w:cs="EB Garamond"/>
                <w:kern w:val="16"/>
                <w:sz w:val="18"/>
                <w14:ligatures w14:val="standardContextual"/>
              </w:rPr>
              <w:t>—</w:t>
            </w:r>
          </w:p>
        </w:tc>
      </w:tr>
    </w:tbl>
    <w:p w14:paraId="575489AC" w14:textId="77777777" w:rsidR="005A5FCC" w:rsidRDefault="005A5FCC">
      <w:pPr>
        <w:spacing w:after="80" w:line="240" w:lineRule="auto"/>
      </w:pPr>
    </w:p>
    <w:p w14:paraId="613275F5"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67E4161D" w14:textId="77777777" w:rsidR="005A5FCC" w:rsidRDefault="00A21C81">
      <w:r>
        <w:rPr>
          <w:rFonts w:cs="EB Garamond"/>
          <w:kern w:val="16"/>
          <w14:ligatures w14:val="standardContextual"/>
        </w:rPr>
        <w:t>lém do TC diferenciado, há exigência de carência de 180 contribuições mensais (art. 3º, parágrafo único, LC 142), idêntica à carência da aposentadoria por TC comum. A existência da deficiência deve ser comprovada durante todo o período de TC ou parte dele — no segundo caso, aplica-se a conversão proporcional do art. 7º (seção 12.7).</w:t>
      </w:r>
    </w:p>
    <w:p w14:paraId="343135C5" w14:textId="77777777" w:rsidR="005A5FCC" w:rsidRDefault="00A21C81">
      <w:pPr>
        <w:spacing w:before="260" w:after="80" w:line="240" w:lineRule="auto"/>
        <w:jc w:val="left"/>
      </w:pPr>
      <w:r>
        <w:rPr>
          <w:rFonts w:cs="EB Garamond"/>
          <w:b/>
          <w:color w:val="3A3128"/>
          <w:kern w:val="16"/>
          <w:sz w:val="25"/>
          <w14:ligatures w14:val="standardContextual"/>
        </w:rPr>
        <w:t>12.4.2 Critérios de classificação: o IF-BrA</w:t>
      </w:r>
    </w:p>
    <w:p w14:paraId="5EE89B3C"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1C983061" w14:textId="77777777" w:rsidR="005A5FCC" w:rsidRDefault="00A21C81">
      <w:r>
        <w:rPr>
          <w:rFonts w:cs="EB Garamond"/>
          <w:kern w:val="16"/>
          <w14:ligatures w14:val="standardContextual"/>
        </w:rPr>
        <w:t xml:space="preserve"> LC 142 não define, por si, os critérios de classificação dos graus. O art. 5º remete à perícia do INSS, e o Regulamento (Decreto n. 8.145/2013, incluindo os arts. 70-A a 70-J no Decreto 3.048/99) detalha o procedimento de avaliação. O instrumento oficial de aferição é o IF-BrA (Índice de Funcionalidade Brasileiro Aplicado à Aposentadoria), aprovado pela Portaria Interministerial AGU/MPS/MF/SEDH/MP n. 1/2014.</w:t>
      </w:r>
    </w:p>
    <w:p w14:paraId="1584BC14" w14:textId="77777777" w:rsidR="005A5FCC" w:rsidRDefault="00A21C81">
      <w:pPr>
        <w:ind w:firstLine="238"/>
      </w:pPr>
      <w:r>
        <w:rPr>
          <w:rFonts w:cs="EB Garamond"/>
          <w:kern w:val="16"/>
          <w14:ligatures w14:val="standardContextual"/>
        </w:rPr>
        <w:t>O IF-BrA é composto por 41 atividades distribuídas em 7 domínios funcionais:</w:t>
      </w:r>
    </w:p>
    <w:tbl>
      <w:tblPr>
        <w:tblW w:w="5000" w:type="pct"/>
        <w:jc w:val="center"/>
        <w:tblLook w:val="04A0" w:firstRow="1" w:lastRow="0" w:firstColumn="1" w:lastColumn="0" w:noHBand="0" w:noVBand="1"/>
      </w:tblPr>
      <w:tblGrid>
        <w:gridCol w:w="3170"/>
        <w:gridCol w:w="3170"/>
      </w:tblGrid>
      <w:tr w:rsidR="005A5FCC" w14:paraId="7BA4CCBD" w14:textId="77777777">
        <w:trPr>
          <w:tblHeader/>
          <w:jc w:val="center"/>
        </w:trPr>
        <w:tc>
          <w:tcPr>
            <w:tcW w:w="3175" w:type="dxa"/>
            <w:tcBorders>
              <w:top w:val="single" w:sz="4" w:space="0" w:color="D2C9B8"/>
              <w:left w:val="single" w:sz="4" w:space="0" w:color="D2C9B8"/>
              <w:bottom w:val="single" w:sz="4" w:space="0" w:color="D2C9B8"/>
              <w:right w:val="single" w:sz="4" w:space="0" w:color="D2C9B8"/>
            </w:tcBorders>
            <w:shd w:val="clear" w:color="auto" w:fill="F0EDE6"/>
          </w:tcPr>
          <w:p w14:paraId="202FFFA5" w14:textId="77777777" w:rsidR="005A5FCC" w:rsidRDefault="00A21C81">
            <w:pPr>
              <w:spacing w:before="40" w:after="40" w:line="240" w:lineRule="auto"/>
              <w:jc w:val="center"/>
            </w:pPr>
            <w:r>
              <w:rPr>
                <w:rFonts w:cs="EB Garamond"/>
                <w:b/>
                <w:color w:val="2F2923"/>
                <w:kern w:val="16"/>
                <w:sz w:val="18"/>
                <w14:ligatures w14:val="standardContextual"/>
              </w:rPr>
              <w:t>Domínio</w:t>
            </w:r>
          </w:p>
        </w:tc>
        <w:tc>
          <w:tcPr>
            <w:tcW w:w="3175" w:type="dxa"/>
            <w:tcBorders>
              <w:top w:val="single" w:sz="4" w:space="0" w:color="D2C9B8"/>
              <w:left w:val="single" w:sz="4" w:space="0" w:color="D2C9B8"/>
              <w:bottom w:val="single" w:sz="4" w:space="0" w:color="D2C9B8"/>
              <w:right w:val="single" w:sz="4" w:space="0" w:color="D2C9B8"/>
            </w:tcBorders>
            <w:shd w:val="clear" w:color="auto" w:fill="F0EDE6"/>
          </w:tcPr>
          <w:p w14:paraId="6C6F0F24" w14:textId="77777777" w:rsidR="005A5FCC" w:rsidRDefault="00A21C81">
            <w:pPr>
              <w:spacing w:before="40" w:after="40" w:line="240" w:lineRule="auto"/>
              <w:jc w:val="center"/>
            </w:pPr>
            <w:r>
              <w:rPr>
                <w:rFonts w:cs="EB Garamond"/>
                <w:b/>
                <w:color w:val="2F2923"/>
                <w:kern w:val="16"/>
                <w:sz w:val="18"/>
                <w14:ligatures w14:val="standardContextual"/>
              </w:rPr>
              <w:t>Atividades avaliadas</w:t>
            </w:r>
          </w:p>
        </w:tc>
      </w:tr>
      <w:tr w:rsidR="005A5FCC" w14:paraId="1F16BF9E"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7C4F67D1" w14:textId="77777777" w:rsidR="005A5FCC" w:rsidRDefault="00A21C81">
            <w:pPr>
              <w:spacing w:before="20" w:after="20" w:line="240" w:lineRule="auto"/>
              <w:jc w:val="left"/>
            </w:pPr>
            <w:r>
              <w:rPr>
                <w:rFonts w:cs="EB Garamond"/>
                <w:kern w:val="16"/>
                <w:sz w:val="18"/>
                <w14:ligatures w14:val="standardContextual"/>
              </w:rPr>
              <w:t>1. Sensorial</w:t>
            </w:r>
          </w:p>
        </w:tc>
        <w:tc>
          <w:tcPr>
            <w:tcW w:w="3175" w:type="dxa"/>
            <w:tcBorders>
              <w:top w:val="single" w:sz="4" w:space="0" w:color="D2C9B8"/>
              <w:left w:val="single" w:sz="4" w:space="0" w:color="D2C9B8"/>
              <w:bottom w:val="single" w:sz="4" w:space="0" w:color="D2C9B8"/>
              <w:right w:val="single" w:sz="4" w:space="0" w:color="D2C9B8"/>
            </w:tcBorders>
          </w:tcPr>
          <w:p w14:paraId="0D4EB231" w14:textId="77777777" w:rsidR="005A5FCC" w:rsidRDefault="00A21C81">
            <w:pPr>
              <w:spacing w:before="20" w:after="20" w:line="240" w:lineRule="auto"/>
              <w:jc w:val="left"/>
            </w:pPr>
            <w:r>
              <w:rPr>
                <w:rFonts w:cs="EB Garamond"/>
                <w:kern w:val="16"/>
                <w:sz w:val="18"/>
                <w14:ligatures w14:val="standardContextual"/>
              </w:rPr>
              <w:t>Visão, audição, produção vocal, demais funções sensoriais</w:t>
            </w:r>
          </w:p>
        </w:tc>
      </w:tr>
      <w:tr w:rsidR="005A5FCC" w14:paraId="33E679F8"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46C1E49E" w14:textId="77777777" w:rsidR="005A5FCC" w:rsidRDefault="00A21C81">
            <w:pPr>
              <w:spacing w:before="20" w:after="20" w:line="240" w:lineRule="auto"/>
              <w:jc w:val="left"/>
            </w:pPr>
            <w:r>
              <w:rPr>
                <w:rFonts w:cs="EB Garamond"/>
                <w:kern w:val="16"/>
                <w:sz w:val="18"/>
                <w14:ligatures w14:val="standardContextual"/>
              </w:rPr>
              <w:t>2. Comunicação</w:t>
            </w:r>
          </w:p>
        </w:tc>
        <w:tc>
          <w:tcPr>
            <w:tcW w:w="3175" w:type="dxa"/>
            <w:tcBorders>
              <w:top w:val="single" w:sz="4" w:space="0" w:color="D2C9B8"/>
              <w:left w:val="single" w:sz="4" w:space="0" w:color="D2C9B8"/>
              <w:bottom w:val="single" w:sz="4" w:space="0" w:color="D2C9B8"/>
              <w:right w:val="single" w:sz="4" w:space="0" w:color="D2C9B8"/>
            </w:tcBorders>
          </w:tcPr>
          <w:p w14:paraId="176C6189" w14:textId="77777777" w:rsidR="005A5FCC" w:rsidRDefault="00A21C81">
            <w:pPr>
              <w:spacing w:before="20" w:after="20" w:line="240" w:lineRule="auto"/>
              <w:jc w:val="left"/>
            </w:pPr>
            <w:r>
              <w:rPr>
                <w:rFonts w:cs="EB Garamond"/>
                <w:kern w:val="16"/>
                <w:sz w:val="18"/>
                <w14:ligatures w14:val="standardContextual"/>
              </w:rPr>
              <w:t>Compreensão, expressão, conversação, utilização de dispositivos de comunicação</w:t>
            </w:r>
          </w:p>
        </w:tc>
      </w:tr>
      <w:tr w:rsidR="005A5FCC" w14:paraId="4367017F"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2BE1F796" w14:textId="77777777" w:rsidR="005A5FCC" w:rsidRDefault="00A21C81">
            <w:pPr>
              <w:spacing w:before="20" w:after="20" w:line="240" w:lineRule="auto"/>
              <w:jc w:val="left"/>
            </w:pPr>
            <w:r>
              <w:rPr>
                <w:rFonts w:cs="EB Garamond"/>
                <w:kern w:val="16"/>
                <w:sz w:val="18"/>
                <w14:ligatures w14:val="standardContextual"/>
              </w:rPr>
              <w:t>3. Mobilidade</w:t>
            </w:r>
          </w:p>
        </w:tc>
        <w:tc>
          <w:tcPr>
            <w:tcW w:w="3175" w:type="dxa"/>
            <w:tcBorders>
              <w:top w:val="single" w:sz="4" w:space="0" w:color="D2C9B8"/>
              <w:left w:val="single" w:sz="4" w:space="0" w:color="D2C9B8"/>
              <w:bottom w:val="single" w:sz="4" w:space="0" w:color="D2C9B8"/>
              <w:right w:val="single" w:sz="4" w:space="0" w:color="D2C9B8"/>
            </w:tcBorders>
          </w:tcPr>
          <w:p w14:paraId="16E3FCD4" w14:textId="77777777" w:rsidR="005A5FCC" w:rsidRDefault="00A21C81">
            <w:pPr>
              <w:spacing w:before="20" w:after="20" w:line="240" w:lineRule="auto"/>
              <w:jc w:val="left"/>
            </w:pPr>
            <w:r>
              <w:rPr>
                <w:rFonts w:cs="EB Garamond"/>
                <w:kern w:val="16"/>
                <w:sz w:val="18"/>
                <w14:ligatures w14:val="standardContextual"/>
              </w:rPr>
              <w:t>Locomoção, deslocamento, uso de transportes, manuseio de objetos</w:t>
            </w:r>
          </w:p>
        </w:tc>
      </w:tr>
      <w:tr w:rsidR="005A5FCC" w14:paraId="3AA039F3"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61B12C9E" w14:textId="77777777" w:rsidR="005A5FCC" w:rsidRDefault="00A21C81">
            <w:pPr>
              <w:spacing w:before="20" w:after="20" w:line="240" w:lineRule="auto"/>
              <w:jc w:val="left"/>
            </w:pPr>
            <w:r>
              <w:rPr>
                <w:rFonts w:cs="EB Garamond"/>
                <w:kern w:val="16"/>
                <w:sz w:val="18"/>
                <w14:ligatures w14:val="standardContextual"/>
              </w:rPr>
              <w:t>4. Cuidados pessoais</w:t>
            </w:r>
          </w:p>
        </w:tc>
        <w:tc>
          <w:tcPr>
            <w:tcW w:w="3175" w:type="dxa"/>
            <w:tcBorders>
              <w:top w:val="single" w:sz="4" w:space="0" w:color="D2C9B8"/>
              <w:left w:val="single" w:sz="4" w:space="0" w:color="D2C9B8"/>
              <w:bottom w:val="single" w:sz="4" w:space="0" w:color="D2C9B8"/>
              <w:right w:val="single" w:sz="4" w:space="0" w:color="D2C9B8"/>
            </w:tcBorders>
          </w:tcPr>
          <w:p w14:paraId="65098E2D" w14:textId="77777777" w:rsidR="005A5FCC" w:rsidRDefault="00A21C81">
            <w:pPr>
              <w:spacing w:before="20" w:after="20" w:line="240" w:lineRule="auto"/>
              <w:jc w:val="left"/>
            </w:pPr>
            <w:r>
              <w:rPr>
                <w:rFonts w:cs="EB Garamond"/>
                <w:kern w:val="16"/>
                <w:sz w:val="18"/>
                <w14:ligatures w14:val="standardContextual"/>
              </w:rPr>
              <w:t>Higiene, alimentação, vestuário, cuidados com a saúde</w:t>
            </w:r>
          </w:p>
        </w:tc>
      </w:tr>
      <w:tr w:rsidR="005A5FCC" w14:paraId="76C0D25E"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2FDC04CE" w14:textId="77777777" w:rsidR="005A5FCC" w:rsidRDefault="00A21C81">
            <w:pPr>
              <w:spacing w:before="20" w:after="20" w:line="240" w:lineRule="auto"/>
              <w:jc w:val="left"/>
            </w:pPr>
            <w:r>
              <w:rPr>
                <w:rFonts w:cs="EB Garamond"/>
                <w:kern w:val="16"/>
                <w:sz w:val="18"/>
                <w14:ligatures w14:val="standardContextual"/>
              </w:rPr>
              <w:lastRenderedPageBreak/>
              <w:t>5. Vida doméstica</w:t>
            </w:r>
          </w:p>
        </w:tc>
        <w:tc>
          <w:tcPr>
            <w:tcW w:w="3175" w:type="dxa"/>
            <w:tcBorders>
              <w:top w:val="single" w:sz="4" w:space="0" w:color="D2C9B8"/>
              <w:left w:val="single" w:sz="4" w:space="0" w:color="D2C9B8"/>
              <w:bottom w:val="single" w:sz="4" w:space="0" w:color="D2C9B8"/>
              <w:right w:val="single" w:sz="4" w:space="0" w:color="D2C9B8"/>
            </w:tcBorders>
          </w:tcPr>
          <w:p w14:paraId="26B13166" w14:textId="77777777" w:rsidR="005A5FCC" w:rsidRDefault="00A21C81">
            <w:pPr>
              <w:spacing w:before="20" w:after="20" w:line="240" w:lineRule="auto"/>
              <w:jc w:val="left"/>
            </w:pPr>
            <w:r>
              <w:rPr>
                <w:rFonts w:cs="EB Garamond"/>
                <w:kern w:val="16"/>
                <w:sz w:val="18"/>
                <w14:ligatures w14:val="standardContextual"/>
              </w:rPr>
              <w:t>Preparação de refeições, tarefas do lar, assistência a dependentes</w:t>
            </w:r>
          </w:p>
        </w:tc>
      </w:tr>
      <w:tr w:rsidR="005A5FCC" w14:paraId="45A8632F"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5E5368D1" w14:textId="77777777" w:rsidR="005A5FCC" w:rsidRDefault="00A21C81">
            <w:pPr>
              <w:spacing w:before="20" w:after="20" w:line="240" w:lineRule="auto"/>
              <w:jc w:val="left"/>
            </w:pPr>
            <w:r>
              <w:rPr>
                <w:rFonts w:cs="EB Garamond"/>
                <w:kern w:val="16"/>
                <w:sz w:val="18"/>
                <w14:ligatures w14:val="standardContextual"/>
              </w:rPr>
              <w:t>6. Educação, trabalho e vida econômica</w:t>
            </w:r>
          </w:p>
        </w:tc>
        <w:tc>
          <w:tcPr>
            <w:tcW w:w="3175" w:type="dxa"/>
            <w:tcBorders>
              <w:top w:val="single" w:sz="4" w:space="0" w:color="D2C9B8"/>
              <w:left w:val="single" w:sz="4" w:space="0" w:color="D2C9B8"/>
              <w:bottom w:val="single" w:sz="4" w:space="0" w:color="D2C9B8"/>
              <w:right w:val="single" w:sz="4" w:space="0" w:color="D2C9B8"/>
            </w:tcBorders>
          </w:tcPr>
          <w:p w14:paraId="40E8FFC1" w14:textId="77777777" w:rsidR="005A5FCC" w:rsidRDefault="00A21C81">
            <w:pPr>
              <w:spacing w:before="20" w:after="20" w:line="240" w:lineRule="auto"/>
              <w:jc w:val="left"/>
            </w:pPr>
            <w:r>
              <w:rPr>
                <w:rFonts w:cs="EB Garamond"/>
                <w:kern w:val="16"/>
                <w:sz w:val="18"/>
                <w14:ligatures w14:val="standardContextual"/>
              </w:rPr>
              <w:t>Escolaridade, formação profissional, atividade laboral, gestão financeira</w:t>
            </w:r>
          </w:p>
        </w:tc>
      </w:tr>
      <w:tr w:rsidR="005A5FCC" w14:paraId="379DC8C1"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67F1D445" w14:textId="77777777" w:rsidR="005A5FCC" w:rsidRDefault="00A21C81">
            <w:pPr>
              <w:spacing w:before="20" w:after="20" w:line="240" w:lineRule="auto"/>
              <w:jc w:val="left"/>
            </w:pPr>
            <w:r>
              <w:rPr>
                <w:rFonts w:cs="EB Garamond"/>
                <w:kern w:val="16"/>
                <w:sz w:val="18"/>
                <w14:ligatures w14:val="standardContextual"/>
              </w:rPr>
              <w:t>7. Socialização e vida comunitária</w:t>
            </w:r>
          </w:p>
        </w:tc>
        <w:tc>
          <w:tcPr>
            <w:tcW w:w="3175" w:type="dxa"/>
            <w:tcBorders>
              <w:top w:val="single" w:sz="4" w:space="0" w:color="D2C9B8"/>
              <w:left w:val="single" w:sz="4" w:space="0" w:color="D2C9B8"/>
              <w:bottom w:val="single" w:sz="4" w:space="0" w:color="D2C9B8"/>
              <w:right w:val="single" w:sz="4" w:space="0" w:color="D2C9B8"/>
            </w:tcBorders>
          </w:tcPr>
          <w:p w14:paraId="43693EDF" w14:textId="77777777" w:rsidR="005A5FCC" w:rsidRDefault="00A21C81">
            <w:pPr>
              <w:spacing w:before="20" w:after="20" w:line="240" w:lineRule="auto"/>
              <w:jc w:val="left"/>
            </w:pPr>
            <w:r>
              <w:rPr>
                <w:rFonts w:cs="EB Garamond"/>
                <w:kern w:val="16"/>
                <w:sz w:val="18"/>
                <w14:ligatures w14:val="standardContextual"/>
              </w:rPr>
              <w:t>Relações interpessoais, participação social, recreação e lazer</w:t>
            </w:r>
          </w:p>
        </w:tc>
      </w:tr>
    </w:tbl>
    <w:p w14:paraId="3B2B627D" w14:textId="77777777" w:rsidR="005A5FCC" w:rsidRDefault="005A5FCC">
      <w:pPr>
        <w:spacing w:after="80" w:line="240" w:lineRule="auto"/>
      </w:pPr>
    </w:p>
    <w:p w14:paraId="0A6E2F1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P</w:t>
      </w:r>
    </w:p>
    <w:p w14:paraId="4011BC2E" w14:textId="77777777" w:rsidR="005A5FCC" w:rsidRDefault="00A21C81">
      <w:r>
        <w:rPr>
          <w:rFonts w:cs="EB Garamond"/>
          <w:kern w:val="16"/>
          <w14:ligatures w14:val="standardContextual"/>
        </w:rPr>
        <w:t>ara cada atividade, o avaliador atribui uma pontuação que reflete o grau de funcionalidade do segurado. A soma das pontuações nos 7 domínios, combinada entre a avaliação médica (peso de 50%) e a avaliação funcional/social (peso de 50%), produz um escore global que é enquadrado nas faixas correspondentes a cada grau de deficiência.</w:t>
      </w:r>
    </w:p>
    <w:p w14:paraId="036D1259" w14:textId="77777777" w:rsidR="005A5FCC" w:rsidRDefault="00A21C81">
      <w:pPr>
        <w:ind w:firstLine="238"/>
      </w:pPr>
      <w:r>
        <w:rPr>
          <w:rFonts w:cs="EB Garamond"/>
          <w:kern w:val="16"/>
          <w14:ligatures w14:val="standardContextual"/>
        </w:rPr>
        <w:t>A avaliação biopsicossocial é realizada obrigatoriamente por dois profissionais: um médico perito e um assistente social do INSS. O art. 70-D do Decreto 3.048/99 determina que a avaliação deve estabelecer: (a) a data provável do início da deficiência; (b) o grau atual de deficiência; e (c) eventuais variações do grau ao longo do tempo, com indicação dos respectivos períodos.</w:t>
      </w:r>
    </w:p>
    <w:tbl>
      <w:tblPr>
        <w:tblW w:w="5000" w:type="pct"/>
        <w:jc w:val="center"/>
        <w:tblLayout w:type="fixed"/>
        <w:tblLook w:val="04A0" w:firstRow="1" w:lastRow="0" w:firstColumn="1" w:lastColumn="0" w:noHBand="0" w:noVBand="1"/>
      </w:tblPr>
      <w:tblGrid>
        <w:gridCol w:w="6311"/>
      </w:tblGrid>
      <w:tr w:rsidR="005A5FCC" w14:paraId="742C68FB"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0A658773"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7409F335" w14:textId="77777777" w:rsidR="005A5FCC" w:rsidRDefault="00A21C81">
            <w:pPr>
              <w:spacing w:after="60" w:line="247" w:lineRule="auto"/>
            </w:pPr>
            <w:r>
              <w:rPr>
                <w:rFonts w:cs="EB Garamond"/>
                <w:b/>
                <w:kern w:val="16"/>
                <w:sz w:val="19"/>
                <w14:ligatures w14:val="standardContextual"/>
              </w:rPr>
              <w:t>Como funciona a avaliação biopsicossocial na prática</w:t>
            </w:r>
          </w:p>
          <w:p w14:paraId="3CC42D71" w14:textId="77777777" w:rsidR="005A5FCC" w:rsidRDefault="00A21C81">
            <w:pPr>
              <w:spacing w:after="30" w:line="240" w:lineRule="auto"/>
              <w:ind w:left="227" w:hanging="142"/>
            </w:pPr>
            <w:r>
              <w:rPr>
                <w:rFonts w:cs="EB Garamond"/>
                <w:kern w:val="16"/>
                <w:sz w:val="19"/>
                <w14:ligatures w14:val="standardContextual"/>
              </w:rPr>
              <w:t>1. O segurado agenda o requerimento de aposentadoria da PcD no portal Meu INSS.</w:t>
            </w:r>
          </w:p>
          <w:p w14:paraId="4D102530" w14:textId="77777777" w:rsidR="005A5FCC" w:rsidRDefault="00A21C81">
            <w:pPr>
              <w:spacing w:after="30" w:line="240" w:lineRule="auto"/>
              <w:ind w:left="227" w:hanging="142"/>
            </w:pPr>
            <w:r>
              <w:rPr>
                <w:rFonts w:cs="EB Garamond"/>
                <w:kern w:val="16"/>
                <w:sz w:val="19"/>
                <w14:ligatures w14:val="standardContextual"/>
              </w:rPr>
              <w:t>2. São agendadas duas avaliações separadas: perícia médica e avaliação social.</w:t>
            </w:r>
          </w:p>
          <w:p w14:paraId="7F6F73CE" w14:textId="77777777" w:rsidR="005A5FCC" w:rsidRDefault="00A21C81">
            <w:pPr>
              <w:spacing w:after="30" w:line="240" w:lineRule="auto"/>
              <w:ind w:left="227" w:hanging="142"/>
            </w:pPr>
            <w:r>
              <w:rPr>
                <w:rFonts w:cs="EB Garamond"/>
                <w:kern w:val="16"/>
                <w:sz w:val="19"/>
                <w14:ligatures w14:val="standardContextual"/>
              </w:rPr>
              <w:t>3. O médico perito examina laudos, exames, atestados e avalia as funções corporais.</w:t>
            </w:r>
          </w:p>
          <w:p w14:paraId="71BAB013" w14:textId="77777777" w:rsidR="005A5FCC" w:rsidRDefault="00A21C81">
            <w:pPr>
              <w:spacing w:after="30" w:line="240" w:lineRule="auto"/>
              <w:ind w:left="227" w:hanging="142"/>
            </w:pPr>
            <w:r>
              <w:rPr>
                <w:rFonts w:cs="EB Garamond"/>
                <w:kern w:val="16"/>
                <w:sz w:val="19"/>
                <w14:ligatures w14:val="standardContextual"/>
              </w:rPr>
              <w:t>4. O assistente social avalia as barreiras ambientais, sociais e atitudinais enfrentadas pelo segurado.</w:t>
            </w:r>
          </w:p>
          <w:p w14:paraId="2201CE0D" w14:textId="77777777" w:rsidR="005A5FCC" w:rsidRDefault="00A21C81">
            <w:pPr>
              <w:spacing w:after="30" w:line="240" w:lineRule="auto"/>
              <w:ind w:left="227" w:hanging="142"/>
            </w:pPr>
            <w:r>
              <w:rPr>
                <w:rFonts w:cs="EB Garamond"/>
                <w:kern w:val="16"/>
                <w:sz w:val="19"/>
                <w14:ligatures w14:val="standardContextual"/>
              </w:rPr>
              <w:t>5. Cada avaliador aplica o IF-BrA nos 7 domínios, atribuindo pontuação.</w:t>
            </w:r>
          </w:p>
          <w:p w14:paraId="3A4A9A05" w14:textId="77777777" w:rsidR="005A5FCC" w:rsidRDefault="00A21C81">
            <w:pPr>
              <w:spacing w:after="30" w:line="240" w:lineRule="auto"/>
              <w:ind w:left="227" w:hanging="142"/>
            </w:pPr>
            <w:r>
              <w:rPr>
                <w:rFonts w:cs="EB Garamond"/>
                <w:kern w:val="16"/>
                <w:sz w:val="19"/>
                <w14:ligatures w14:val="standardContextual"/>
              </w:rPr>
              <w:t>6. As pontuações são combinadas (50% perícia médica + 50% avaliação social).</w:t>
            </w:r>
          </w:p>
          <w:p w14:paraId="5B038EBA" w14:textId="77777777" w:rsidR="005A5FCC" w:rsidRDefault="00A21C81">
            <w:pPr>
              <w:spacing w:after="30" w:line="240" w:lineRule="auto"/>
              <w:ind w:left="227" w:hanging="142"/>
            </w:pPr>
            <w:r>
              <w:rPr>
                <w:rFonts w:cs="EB Garamond"/>
                <w:kern w:val="16"/>
                <w:sz w:val="19"/>
                <w14:ligatures w14:val="standardContextual"/>
              </w:rPr>
              <w:t>7. O escore global define o grau: grave, moderada ou leve.</w:t>
            </w:r>
          </w:p>
          <w:p w14:paraId="32875867" w14:textId="77777777" w:rsidR="005A5FCC" w:rsidRDefault="00A21C81">
            <w:pPr>
              <w:spacing w:after="30" w:line="240" w:lineRule="auto"/>
              <w:ind w:left="227" w:hanging="142"/>
            </w:pPr>
            <w:r>
              <w:rPr>
                <w:rFonts w:cs="EB Garamond"/>
                <w:kern w:val="16"/>
                <w:sz w:val="19"/>
                <w14:ligatures w14:val="standardContextual"/>
              </w:rPr>
              <w:t>8. A data de início da deficiência é fixada com base no conjunto probatório.</w:t>
            </w:r>
          </w:p>
          <w:p w14:paraId="0D57314D" w14:textId="77777777" w:rsidR="005A5FCC" w:rsidRDefault="00A21C81">
            <w:pPr>
              <w:spacing w:after="30" w:line="240" w:lineRule="auto"/>
              <w:ind w:left="227" w:hanging="142"/>
            </w:pPr>
            <w:r>
              <w:rPr>
                <w:rFonts w:cs="EB Garamond"/>
                <w:kern w:val="16"/>
                <w:sz w:val="19"/>
                <w14:ligatures w14:val="standardContextual"/>
              </w:rPr>
              <w:t>9. Se houver variação de grau ao longo do tempo, os períodos são registrados separadamente.</w:t>
            </w:r>
          </w:p>
          <w:p w14:paraId="650B0E31" w14:textId="77777777" w:rsidR="005A5FCC" w:rsidRDefault="00A21C81">
            <w:pPr>
              <w:spacing w:after="30" w:line="240" w:lineRule="auto"/>
              <w:ind w:left="227" w:hanging="142"/>
            </w:pPr>
            <w:r>
              <w:rPr>
                <w:rFonts w:cs="EB Garamond"/>
                <w:kern w:val="16"/>
                <w:sz w:val="19"/>
                <w14:ligatures w14:val="standardContextual"/>
              </w:rPr>
              <w:t>10. O resultado é comunicado ao segurado, que pode impugná-lo administrativamente ou judicialmente.</w:t>
            </w:r>
          </w:p>
        </w:tc>
      </w:tr>
    </w:tbl>
    <w:p w14:paraId="66C456B3" w14:textId="77777777" w:rsidR="005A5FCC" w:rsidRDefault="005A5FCC">
      <w:pPr>
        <w:spacing w:after="80" w:line="240" w:lineRule="auto"/>
      </w:pPr>
    </w:p>
    <w:tbl>
      <w:tblPr>
        <w:tblW w:w="5000" w:type="pct"/>
        <w:jc w:val="center"/>
        <w:tblLayout w:type="fixed"/>
        <w:tblLook w:val="04A0" w:firstRow="1" w:lastRow="0" w:firstColumn="1" w:lastColumn="0" w:noHBand="0" w:noVBand="1"/>
      </w:tblPr>
      <w:tblGrid>
        <w:gridCol w:w="6311"/>
      </w:tblGrid>
      <w:tr w:rsidR="005A5FCC" w14:paraId="6453838B"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153EF210"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2AD90BE8" w14:textId="77777777" w:rsidR="005A5FCC" w:rsidRDefault="00A21C81">
            <w:pPr>
              <w:spacing w:after="60" w:line="247" w:lineRule="auto"/>
            </w:pPr>
            <w:r>
              <w:rPr>
                <w:rFonts w:cs="EB Garamond"/>
                <w:b/>
                <w:kern w:val="16"/>
                <w:sz w:val="19"/>
                <w14:ligatures w14:val="standardContextual"/>
              </w:rPr>
              <w:t>O grau da deficiência NÃO é definido pela doença — é definido pela funcionalidade</w:t>
            </w:r>
          </w:p>
          <w:p w14:paraId="63AA90AE" w14:textId="77777777" w:rsidR="005A5FCC" w:rsidRDefault="00A21C81">
            <w:pPr>
              <w:spacing w:after="60" w:line="247" w:lineRule="auto"/>
            </w:pPr>
            <w:r>
              <w:rPr>
                <w:rFonts w:cs="EB Garamond"/>
                <w:kern w:val="16"/>
                <w:sz w:val="19"/>
                <w14:ligatures w14:val="standardContextual"/>
              </w:rPr>
              <w:t>Não existe lista taxativa de doenças ou condições que correspondam automaticamente a determinado grau de deficiência. Duas pessoas com o mesmo diagnóstico (por exemplo, paraplegia) podem receber graus diferentes conforme o impacto funcional em suas vidas concretas. Uma pessoa paraplégica que utiliza cadeira de rodas motorizada, tem adaptação veicular, emprego adaptado e rede de apoio familiar pode ter grau moderado; outra com a mesma condição, mas sem acesso a essas adaptações, pode ter grau grave.</w:t>
            </w:r>
          </w:p>
          <w:p w14:paraId="217D5567" w14:textId="77777777" w:rsidR="005A5FCC" w:rsidRDefault="00A21C81">
            <w:pPr>
              <w:spacing w:after="60" w:line="247" w:lineRule="auto"/>
            </w:pPr>
            <w:r>
              <w:rPr>
                <w:rFonts w:cs="EB Garamond"/>
                <w:kern w:val="16"/>
                <w:sz w:val="19"/>
                <w14:ligatures w14:val="standardContextual"/>
              </w:rPr>
              <w:t xml:space="preserve">Exemplos ilustrativos (não taxativos) de condições que podem resultar em cada grau: - </w:t>
            </w:r>
            <w:r>
              <w:rPr>
                <w:rFonts w:cs="EB Garamond"/>
                <w:b/>
                <w:kern w:val="16"/>
                <w:sz w:val="19"/>
                <w14:ligatures w14:val="standardContextual"/>
              </w:rPr>
              <w:t>Grave:</w:t>
            </w:r>
            <w:r>
              <w:rPr>
                <w:rFonts w:cs="EB Garamond"/>
                <w:kern w:val="16"/>
                <w:sz w:val="19"/>
                <w14:ligatures w14:val="standardContextual"/>
              </w:rPr>
              <w:t xml:space="preserve"> tetraplegia, cegueira bilateral, paralisia cerebral grave, deficiência intelectual severa - </w:t>
            </w:r>
            <w:r>
              <w:rPr>
                <w:rFonts w:cs="EB Garamond"/>
                <w:b/>
                <w:kern w:val="16"/>
                <w:sz w:val="19"/>
                <w14:ligatures w14:val="standardContextual"/>
              </w:rPr>
              <w:t>Moderada:</w:t>
            </w:r>
            <w:r>
              <w:rPr>
                <w:rFonts w:cs="EB Garamond"/>
                <w:kern w:val="16"/>
                <w:sz w:val="19"/>
                <w14:ligatures w14:val="standardContextual"/>
              </w:rPr>
              <w:t xml:space="preserve"> paraplegia, surdez bilateral, amputação de membro, esquizofrenia controlada - </w:t>
            </w:r>
            <w:r>
              <w:rPr>
                <w:rFonts w:cs="EB Garamond"/>
                <w:b/>
                <w:kern w:val="16"/>
                <w:sz w:val="19"/>
                <w14:ligatures w14:val="standardContextual"/>
              </w:rPr>
              <w:t>Leve:</w:t>
            </w:r>
            <w:r>
              <w:rPr>
                <w:rFonts w:cs="EB Garamond"/>
                <w:kern w:val="16"/>
                <w:sz w:val="19"/>
                <w14:ligatures w14:val="standardContextual"/>
              </w:rPr>
              <w:t xml:space="preserve"> visão monocular, surdez unilateral, amputação parcial de dedos, epilepsia controlada</w:t>
            </w:r>
          </w:p>
          <w:p w14:paraId="6042235D" w14:textId="77777777" w:rsidR="005A5FCC" w:rsidRDefault="00A21C81">
            <w:pPr>
              <w:spacing w:after="60" w:line="247" w:lineRule="auto"/>
            </w:pPr>
            <w:r>
              <w:rPr>
                <w:rFonts w:cs="EB Garamond"/>
                <w:kern w:val="16"/>
                <w:sz w:val="19"/>
                <w14:ligatures w14:val="standardContextual"/>
              </w:rPr>
              <w:t>Esses exemplos são meramente orientativos. O enquadramento depende sempre da avaliação individualizada pelo IF-BrA.</w:t>
            </w:r>
          </w:p>
        </w:tc>
      </w:tr>
    </w:tbl>
    <w:p w14:paraId="72EA66C0" w14:textId="77777777" w:rsidR="005A5FCC" w:rsidRDefault="005A5FCC">
      <w:pPr>
        <w:spacing w:after="80" w:line="240" w:lineRule="auto"/>
      </w:pPr>
    </w:p>
    <w:p w14:paraId="2574CC3D" w14:textId="77777777" w:rsidR="005A5FCC" w:rsidRDefault="00A21C81">
      <w:pPr>
        <w:spacing w:before="260" w:after="80" w:line="240" w:lineRule="auto"/>
        <w:jc w:val="left"/>
      </w:pPr>
      <w:r>
        <w:rPr>
          <w:rFonts w:cs="EB Garamond"/>
          <w:b/>
          <w:color w:val="3A3128"/>
          <w:kern w:val="16"/>
          <w:sz w:val="25"/>
          <w14:ligatures w14:val="standardContextual"/>
        </w:rPr>
        <w:t>12.4.3 Grau preponderante</w:t>
      </w:r>
    </w:p>
    <w:p w14:paraId="0CCBF6A3"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07C180B8" w14:textId="77777777" w:rsidR="005A5FCC" w:rsidRDefault="00A21C81">
      <w:r>
        <w:rPr>
          <w:rFonts w:cs="EB Garamond"/>
          <w:kern w:val="16"/>
          <w14:ligatures w14:val="standardContextual"/>
        </w:rPr>
        <w:t xml:space="preserve"> art. 70-A do Decreto 3.048/99 (incluído pelo Decreto 8.145/2013) introduz o conceito de grau preponderante: quando o segurado tem períodos de contribuição sob graus diferentes de deficiência (ou períodos sem deficiência), o grau preponderante é aquele em que cumpriu o maior tempo de contribuição, antes da conversão. O grau preponderante serve como parâmetro para definir o TC mínimo exigido e para a aplicação dos fatores de conversão (seção 12.7). Registre-se desde logo uma precisão que retomaremos adiante (seção 12.7.2): como o benefício pressupõe deficiência, o parâmetro de enquadramento é necessariamente um grau de deficiência. Se o maior período for o de tempo sem deficiência, este não funciona como "grau preponderante" para definir a via PcD, mas tão somente ingressa na conta, convertido, ao lado dos períodos com deficiência; o parâmetro de cálculo será, então, o grau de deficiência de maior duração.</w:t>
      </w:r>
    </w:p>
    <w:p w14:paraId="2573BA7C" w14:textId="77777777" w:rsidR="005A5FCC" w:rsidRDefault="00A21C81">
      <w:pPr>
        <w:ind w:firstLine="238"/>
      </w:pPr>
      <w:r>
        <w:rPr>
          <w:rFonts w:cs="EB Garamond"/>
          <w:kern w:val="16"/>
          <w14:ligatures w14:val="standardContextual"/>
        </w:rPr>
        <w:t>Por exemplo: se um segurado homem contribuiu 10 anos com deficiência grave, 15 anos com deficiência moderada e 5 anos sem deficiência, o grau preponderante é moderado (15 anos — maior período). O TC mínimo exigido será, portanto, 29 anos (TC da deficiência moderada para homem), e os períodos sob outros graus serão convertidos proporcionalmente para o parâmetro moderado.</w:t>
      </w:r>
    </w:p>
    <w:p w14:paraId="63C5DDE4"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12.5 Aposentadoria por tempo de contribuição da pessoa com deficiência</w:t>
      </w:r>
    </w:p>
    <w:p w14:paraId="38DE7288"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48DCAB2A" w14:textId="77777777" w:rsidR="005A5FCC" w:rsidRDefault="00A21C81">
      <w:r>
        <w:rPr>
          <w:rFonts w:cs="EB Garamond"/>
          <w:kern w:val="16"/>
          <w14:ligatures w14:val="standardContextual"/>
        </w:rPr>
        <w:t xml:space="preserve"> aposentadoria por tempo de contribuição da PcD é a modalidade principal e mais vantajosa da LC 142/2013, correspondendo aos incisos I a III do art. 3º. Os requisitos são cumulativos:</w:t>
      </w:r>
    </w:p>
    <w:p w14:paraId="549F4957" w14:textId="77777777" w:rsidR="005A5FCC" w:rsidRDefault="00A21C81">
      <w:pPr>
        <w:ind w:firstLine="238"/>
      </w:pPr>
      <w:r>
        <w:rPr>
          <w:rFonts w:cs="EB Garamond"/>
          <w:b/>
          <w:kern w:val="16"/>
          <w14:ligatures w14:val="standardContextual"/>
        </w:rPr>
        <w:t>a) Tempo de contribuição mínimo conforme o grau de deficiência:</w:t>
      </w:r>
    </w:p>
    <w:p w14:paraId="7DCD7BB3"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Grave: 25 anos (homem) / 20 anos (mulher)</w:t>
      </w:r>
    </w:p>
    <w:p w14:paraId="4F0F6DD9"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Moderada: 29 anos (homem) / 24 anos (mulher)</w:t>
      </w:r>
    </w:p>
    <w:p w14:paraId="1DF6065C"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Leve: 33 anos (homem) / 28 anos (mulher)</w:t>
      </w:r>
    </w:p>
    <w:p w14:paraId="025EB9D0" w14:textId="77777777" w:rsidR="005A5FCC" w:rsidRDefault="005A5FCC">
      <w:pPr>
        <w:spacing w:after="60" w:line="240" w:lineRule="auto"/>
      </w:pPr>
    </w:p>
    <w:p w14:paraId="070B117F"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b</w:t>
      </w:r>
    </w:p>
    <w:p w14:paraId="4EAAD9B4" w14:textId="77777777" w:rsidR="005A5FCC" w:rsidRDefault="00A21C81">
      <w:r>
        <w:rPr>
          <w:rFonts w:cs="EB Garamond"/>
          <w:b/>
          <w:kern w:val="16"/>
          <w14:ligatures w14:val="standardContextual"/>
        </w:rPr>
        <w:t>) Carência de 180 contribuições mensais</w:t>
      </w:r>
      <w:r>
        <w:rPr>
          <w:rFonts w:cs="EB Garamond"/>
          <w:kern w:val="16"/>
          <w14:ligatures w14:val="standardContextual"/>
        </w:rPr>
        <w:t xml:space="preserve"> (art. 3º, parágrafo único, LC 142).</w:t>
      </w:r>
    </w:p>
    <w:p w14:paraId="0B6EB171" w14:textId="77777777" w:rsidR="005A5FCC" w:rsidRDefault="00A21C81">
      <w:pPr>
        <w:ind w:firstLine="238"/>
      </w:pPr>
      <w:r>
        <w:rPr>
          <w:rFonts w:cs="EB Garamond"/>
          <w:b/>
          <w:kern w:val="16"/>
          <w14:ligatures w14:val="standardContextual"/>
        </w:rPr>
        <w:t>c) Comprovação da deficiência</w:t>
      </w:r>
      <w:r>
        <w:rPr>
          <w:rFonts w:cs="EB Garamond"/>
          <w:kern w:val="16"/>
          <w14:ligatures w14:val="standardContextual"/>
        </w:rPr>
        <w:t xml:space="preserve"> durante todo o período de TC ou durante parte dele (caso em que se aplica a conversão proporcional do art. 7º).</w:t>
      </w:r>
    </w:p>
    <w:p w14:paraId="3099E530" w14:textId="77777777" w:rsidR="005A5FCC" w:rsidRDefault="00A21C81">
      <w:pPr>
        <w:ind w:firstLine="238"/>
      </w:pPr>
      <w:r>
        <w:rPr>
          <w:rFonts w:cs="EB Garamond"/>
          <w:b/>
          <w:kern w:val="16"/>
          <w14:ligatures w14:val="standardContextual"/>
        </w:rPr>
        <w:t>d) Não há idade mínima.</w:t>
      </w:r>
      <w:r>
        <w:rPr>
          <w:rFonts w:cs="EB Garamond"/>
          <w:kern w:val="16"/>
          <w14:ligatures w14:val="standardContextual"/>
        </w:rPr>
        <w:t xml:space="preserve"> A aposentadoria por TC da PcD não exige idade mínima — diferentemente da regra permanente (aposentadoria programada) e das regras de transição do Cap. 11, que exigem idade mínima ou pontuação. Essa é uma das vantagens mais significativas do benefício.</w:t>
      </w:r>
    </w:p>
    <w:p w14:paraId="1AFA3190" w14:textId="77777777" w:rsidR="005A5FCC" w:rsidRDefault="00A21C81">
      <w:pPr>
        <w:spacing w:before="260" w:after="80" w:line="240" w:lineRule="auto"/>
        <w:jc w:val="left"/>
      </w:pPr>
      <w:r>
        <w:rPr>
          <w:rFonts w:cs="EB Garamond"/>
          <w:b/>
          <w:color w:val="3A3128"/>
          <w:kern w:val="16"/>
          <w:sz w:val="25"/>
          <w14:ligatures w14:val="standardContextual"/>
        </w:rPr>
        <w:t>12.5.1 Cálculo do benefício</w:t>
      </w:r>
    </w:p>
    <w:p w14:paraId="0B4C33F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05722542" w14:textId="77777777" w:rsidR="005A5FCC" w:rsidRDefault="00A21C81">
      <w:r>
        <w:rPr>
          <w:rFonts w:cs="EB Garamond"/>
          <w:kern w:val="16"/>
          <w14:ligatures w14:val="standardContextual"/>
        </w:rPr>
        <w:t xml:space="preserve"> cálculo da aposentadoria por TC da PcD é definido pelo art. 8º, I, da LC 142/2013: o valor do benefício corresponde a </w:t>
      </w:r>
      <w:r>
        <w:rPr>
          <w:rFonts w:cs="EB Garamond"/>
          <w:b/>
          <w:kern w:val="16"/>
          <w14:ligatures w14:val="standardContextual"/>
        </w:rPr>
        <w:t>100% do salário de benefício</w:t>
      </w:r>
      <w:r>
        <w:rPr>
          <w:rFonts w:cs="EB Garamond"/>
          <w:kern w:val="16"/>
          <w14:ligatures w14:val="standardContextual"/>
        </w:rPr>
        <w:t>. Essa regra, mantida integralmente pelo art. 22 da EC 103/2019, é mais favorável que a regra de cálculo pós-Reforma aplicável às demais aposentadorias por TC (regras de transição), que adotam coeficientes de 60% + 2% por ano excedente (art. 26 da EC 103) ou aplicam obrigatoriamente o fator previdenciário (pedágio 50%). Destaca que o coeficiente de 100% do salário de benefício, sem aplicação obrigatória do fator previdenciário, faz da aposentadoria por TC da PcD o benefício por tempo de contribuição mais vantajoso ainda existente no RGPS.</w:t>
      </w:r>
    </w:p>
    <w:p w14:paraId="070C13FF" w14:textId="77777777" w:rsidR="005A5FCC" w:rsidRDefault="00A21C81">
      <w:pPr>
        <w:ind w:firstLine="238"/>
      </w:pPr>
      <w:r>
        <w:rPr>
          <w:rFonts w:cs="EB Garamond"/>
          <w:kern w:val="16"/>
          <w14:ligatures w14:val="standardContextual"/>
        </w:rPr>
        <w:t>A base de cálculo do salário de benefício segue a regra geral pós-EC 103: média aritmética de 100% dos salários de contribuição desde julho/1994, com possibilidade de exclusão das contribuições prejudiciais (art. 26, § 6º, EC 103), desde que mantido o TC mínimo exigido. Para o detalhamento do cálculo do SB e da RMI, v. Cap. 16.</w:t>
      </w:r>
    </w:p>
    <w:tbl>
      <w:tblPr>
        <w:tblW w:w="5000" w:type="pct"/>
        <w:jc w:val="center"/>
        <w:tblLayout w:type="fixed"/>
        <w:tblLook w:val="04A0" w:firstRow="1" w:lastRow="0" w:firstColumn="1" w:lastColumn="0" w:noHBand="0" w:noVBand="1"/>
      </w:tblPr>
      <w:tblGrid>
        <w:gridCol w:w="6311"/>
      </w:tblGrid>
      <w:tr w:rsidR="005A5FCC" w14:paraId="705A7526"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7567C7E5"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296C871E" w14:textId="77777777" w:rsidR="005A5FCC" w:rsidRDefault="00A21C81">
            <w:pPr>
              <w:spacing w:after="60" w:line="247" w:lineRule="auto"/>
            </w:pPr>
            <w:r>
              <w:rPr>
                <w:rFonts w:cs="EB Garamond"/>
                <w:b/>
                <w:kern w:val="16"/>
                <w:sz w:val="19"/>
                <w14:ligatures w14:val="standardContextual"/>
              </w:rPr>
              <w:t>Simulação: Aposentadoria por TC da PcD — deficiência moderada</w:t>
            </w:r>
          </w:p>
          <w:p w14:paraId="4388452B" w14:textId="77777777" w:rsidR="005A5FCC" w:rsidRDefault="00A21C81">
            <w:pPr>
              <w:spacing w:after="60" w:line="247" w:lineRule="auto"/>
            </w:pPr>
            <w:r>
              <w:rPr>
                <w:rFonts w:cs="EB Garamond"/>
                <w:b/>
                <w:kern w:val="16"/>
                <w:sz w:val="19"/>
                <w14:ligatures w14:val="standardContextual"/>
              </w:rPr>
              <w:t>Segurado:</w:t>
            </w:r>
            <w:r>
              <w:rPr>
                <w:rFonts w:cs="EB Garamond"/>
                <w:kern w:val="16"/>
                <w:sz w:val="19"/>
                <w14:ligatures w14:val="standardContextual"/>
              </w:rPr>
              <w:t xml:space="preserve"> Carlos, 50 anos, sexo masculino, deficiência moderada desde os 21 anos de idade. Contribui desde os 21 anos = 29 anos de TC.</w:t>
            </w:r>
          </w:p>
          <w:p w14:paraId="5DD25018" w14:textId="77777777" w:rsidR="005A5FCC" w:rsidRDefault="00A21C81">
            <w:pPr>
              <w:spacing w:after="60" w:line="247" w:lineRule="auto"/>
            </w:pPr>
            <w:r>
              <w:rPr>
                <w:rFonts w:cs="EB Garamond"/>
                <w:b/>
                <w:kern w:val="16"/>
                <w:sz w:val="19"/>
                <w14:ligatures w14:val="standardContextual"/>
              </w:rPr>
              <w:t>Requisitos:</w:t>
            </w:r>
            <w:r>
              <w:rPr>
                <w:rFonts w:cs="EB Garamond"/>
                <w:kern w:val="16"/>
                <w:sz w:val="19"/>
                <w14:ligatures w14:val="standardContextual"/>
              </w:rPr>
              <w:t xml:space="preserve"> - TC moderada (homem): 29 anos — atendido - Carência: 180 meses (15 anos), atendido (29 anos de contribuição) - Deficiência: moderada durante todo o período, atendido - Idade mínima: não exigida</w:t>
            </w:r>
          </w:p>
          <w:p w14:paraId="6857A1E0" w14:textId="77777777" w:rsidR="005A5FCC" w:rsidRDefault="00A21C81">
            <w:pPr>
              <w:spacing w:after="60" w:line="247" w:lineRule="auto"/>
            </w:pPr>
            <w:r>
              <w:rPr>
                <w:rFonts w:cs="EB Garamond"/>
                <w:b/>
                <w:kern w:val="16"/>
                <w:sz w:val="19"/>
                <w14:ligatures w14:val="standardContextual"/>
              </w:rPr>
              <w:t>Cálculo:</w:t>
            </w:r>
            <w:r>
              <w:rPr>
                <w:rFonts w:cs="EB Garamond"/>
                <w:kern w:val="16"/>
                <w:sz w:val="19"/>
                <w14:ligatures w14:val="standardContextual"/>
              </w:rPr>
              <w:t xml:space="preserve"> - Média de 100% dos SC desde jul/1994 (descartando contribuições prejudiciais): R$ 4.800,00 (exemplo) - Coeficiente: 100% do SB = R$ 4.800,00 - Fator previdenciário: Carlos tem 50 anos e 29 anos de TC → fator ≈ 0,62 → NÃO se aplica (desvantajoso) - </w:t>
            </w:r>
            <w:r>
              <w:rPr>
                <w:rFonts w:cs="EB Garamond"/>
                <w:b/>
                <w:kern w:val="16"/>
                <w:sz w:val="19"/>
                <w14:ligatures w14:val="standardContextual"/>
              </w:rPr>
              <w:t>RMI:</w:t>
            </w:r>
            <w:r>
              <w:rPr>
                <w:rFonts w:cs="EB Garamond"/>
                <w:kern w:val="16"/>
                <w:sz w:val="19"/>
                <w14:ligatures w14:val="standardContextual"/>
              </w:rPr>
              <w:t xml:space="preserve"> R$ 4.800,00</w:t>
            </w:r>
          </w:p>
          <w:p w14:paraId="04EA0391" w14:textId="77777777" w:rsidR="005A5FCC" w:rsidRDefault="00A21C81">
            <w:pPr>
              <w:spacing w:after="60" w:line="247" w:lineRule="auto"/>
            </w:pPr>
            <w:r>
              <w:rPr>
                <w:rFonts w:cs="EB Garamond"/>
                <w:b/>
                <w:kern w:val="16"/>
                <w:sz w:val="19"/>
                <w14:ligatures w14:val="standardContextual"/>
              </w:rPr>
              <w:t>Comparativo com aposentadoria por TC comum (regra de transição, pedágio 100%):</w:t>
            </w:r>
            <w:r>
              <w:rPr>
                <w:rFonts w:cs="EB Garamond"/>
                <w:kern w:val="16"/>
                <w:sz w:val="19"/>
                <w14:ligatures w14:val="standardContextual"/>
              </w:rPr>
              <w:t xml:space="preserve"> Se Carlos fosse segurado sem deficiência e tivesse 29 anos de TC, não teria direito a nenhuma regra de transição (insuficiente para qualquer das quatro regras do Cap. 11). Teria de contribuir por mais 6 anos (até 35 anos de TC) e ainda cumprir idade mínima/pedágio.</w:t>
            </w:r>
          </w:p>
          <w:p w14:paraId="20978873" w14:textId="77777777" w:rsidR="005A5FCC" w:rsidRDefault="00A21C81">
            <w:pPr>
              <w:spacing w:after="60" w:line="247" w:lineRule="auto"/>
            </w:pPr>
            <w:r>
              <w:rPr>
                <w:rFonts w:cs="EB Garamond"/>
                <w:b/>
                <w:kern w:val="16"/>
                <w:sz w:val="19"/>
                <w14:ligatures w14:val="standardContextual"/>
              </w:rPr>
              <w:t>Vantagem da LC 142:</w:t>
            </w:r>
            <w:r>
              <w:rPr>
                <w:rFonts w:cs="EB Garamond"/>
                <w:kern w:val="16"/>
                <w:sz w:val="19"/>
                <w14:ligatures w14:val="standardContextual"/>
              </w:rPr>
              <w:t xml:space="preserve"> acesso 6 anos mais cedo + coeficiente 100% + sem fator previdenciário obrigatório.</w:t>
            </w:r>
          </w:p>
        </w:tc>
      </w:tr>
    </w:tbl>
    <w:p w14:paraId="594D16AF" w14:textId="77777777" w:rsidR="005A5FCC" w:rsidRDefault="005A5FCC">
      <w:pPr>
        <w:spacing w:after="80" w:line="240" w:lineRule="auto"/>
      </w:pPr>
    </w:p>
    <w:p w14:paraId="7D6C165B" w14:textId="77777777" w:rsidR="005A5FCC" w:rsidRDefault="00A21C81">
      <w:pPr>
        <w:spacing w:before="260" w:after="80" w:line="240" w:lineRule="auto"/>
        <w:jc w:val="left"/>
      </w:pPr>
      <w:r>
        <w:rPr>
          <w:rFonts w:cs="EB Garamond"/>
          <w:b/>
          <w:color w:val="3A3128"/>
          <w:kern w:val="16"/>
          <w:sz w:val="25"/>
          <w14:ligatures w14:val="standardContextual"/>
        </w:rPr>
        <w:t>12.5.2 Comparativo detalhado com as regras de transição do capítulo 11</w:t>
      </w:r>
    </w:p>
    <w:p w14:paraId="36A298A5"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P</w:t>
      </w:r>
    </w:p>
    <w:p w14:paraId="16C6C7E3" w14:textId="77777777" w:rsidR="005A5FCC" w:rsidRDefault="00A21C81">
      <w:r>
        <w:rPr>
          <w:rFonts w:cs="EB Garamond"/>
          <w:kern w:val="16"/>
          <w14:ligatures w14:val="standardContextual"/>
        </w:rPr>
        <w:t>ara dimensionar a vantagem da aposentadoria por TC da PcD, é útil comparar os requisitos e o cálculo com as regras de transição do Capítulo 11, que regem a aposentadoria por TC dos segurados sem deficiência filiados antes da EC 103/2019:</w:t>
      </w:r>
    </w:p>
    <w:tbl>
      <w:tblPr>
        <w:tblW w:w="5000" w:type="pct"/>
        <w:jc w:val="center"/>
        <w:tblLook w:val="04A0" w:firstRow="1" w:lastRow="0" w:firstColumn="1" w:lastColumn="0" w:noHBand="0" w:noVBand="1"/>
      </w:tblPr>
      <w:tblGrid>
        <w:gridCol w:w="1056"/>
        <w:gridCol w:w="1056"/>
        <w:gridCol w:w="1056"/>
        <w:gridCol w:w="1056"/>
        <w:gridCol w:w="1058"/>
        <w:gridCol w:w="1058"/>
      </w:tblGrid>
      <w:tr w:rsidR="005A5FCC" w14:paraId="3DF83C8D" w14:textId="77777777">
        <w:trPr>
          <w:tblHeader/>
          <w:jc w:val="center"/>
        </w:trPr>
        <w:tc>
          <w:tcPr>
            <w:tcW w:w="1058" w:type="dxa"/>
            <w:tcBorders>
              <w:top w:val="single" w:sz="4" w:space="0" w:color="D2C9B8"/>
              <w:left w:val="single" w:sz="4" w:space="0" w:color="D2C9B8"/>
              <w:bottom w:val="single" w:sz="4" w:space="0" w:color="D2C9B8"/>
              <w:right w:val="single" w:sz="4" w:space="0" w:color="D2C9B8"/>
            </w:tcBorders>
            <w:shd w:val="clear" w:color="auto" w:fill="F0EDE6"/>
          </w:tcPr>
          <w:p w14:paraId="62EF100D" w14:textId="77777777" w:rsidR="005A5FCC" w:rsidRDefault="00A21C81">
            <w:pPr>
              <w:spacing w:before="40" w:after="40" w:line="240" w:lineRule="auto"/>
              <w:jc w:val="center"/>
            </w:pPr>
            <w:r>
              <w:rPr>
                <w:rFonts w:cs="EB Garamond"/>
                <w:b/>
                <w:color w:val="2F2923"/>
                <w:kern w:val="16"/>
                <w:sz w:val="18"/>
                <w14:ligatures w14:val="standardContextual"/>
              </w:rPr>
              <w:t>Aspecto</w:t>
            </w:r>
          </w:p>
        </w:tc>
        <w:tc>
          <w:tcPr>
            <w:tcW w:w="1058" w:type="dxa"/>
            <w:tcBorders>
              <w:top w:val="single" w:sz="4" w:space="0" w:color="D2C9B8"/>
              <w:left w:val="single" w:sz="4" w:space="0" w:color="D2C9B8"/>
              <w:bottom w:val="single" w:sz="4" w:space="0" w:color="D2C9B8"/>
              <w:right w:val="single" w:sz="4" w:space="0" w:color="D2C9B8"/>
            </w:tcBorders>
            <w:shd w:val="clear" w:color="auto" w:fill="F0EDE6"/>
          </w:tcPr>
          <w:p w14:paraId="0847B298" w14:textId="77777777" w:rsidR="005A5FCC" w:rsidRDefault="00A21C81">
            <w:pPr>
              <w:spacing w:before="40" w:after="40" w:line="240" w:lineRule="auto"/>
              <w:jc w:val="center"/>
            </w:pPr>
            <w:r>
              <w:rPr>
                <w:rFonts w:cs="EB Garamond"/>
                <w:b/>
                <w:color w:val="2F2923"/>
                <w:kern w:val="16"/>
                <w:sz w:val="18"/>
                <w14:ligatures w14:val="standardContextual"/>
              </w:rPr>
              <w:t>TC PcD grave (LC 142)</w:t>
            </w:r>
          </w:p>
        </w:tc>
        <w:tc>
          <w:tcPr>
            <w:tcW w:w="1058" w:type="dxa"/>
            <w:tcBorders>
              <w:top w:val="single" w:sz="4" w:space="0" w:color="D2C9B8"/>
              <w:left w:val="single" w:sz="4" w:space="0" w:color="D2C9B8"/>
              <w:bottom w:val="single" w:sz="4" w:space="0" w:color="D2C9B8"/>
              <w:right w:val="single" w:sz="4" w:space="0" w:color="D2C9B8"/>
            </w:tcBorders>
            <w:shd w:val="clear" w:color="auto" w:fill="F0EDE6"/>
          </w:tcPr>
          <w:p w14:paraId="419B2BF6" w14:textId="77777777" w:rsidR="005A5FCC" w:rsidRDefault="00A21C81">
            <w:pPr>
              <w:spacing w:before="40" w:after="40" w:line="240" w:lineRule="auto"/>
              <w:jc w:val="center"/>
            </w:pPr>
            <w:r>
              <w:rPr>
                <w:rFonts w:cs="EB Garamond"/>
                <w:b/>
                <w:color w:val="2F2923"/>
                <w:kern w:val="16"/>
                <w:sz w:val="18"/>
                <w14:ligatures w14:val="standardContextual"/>
              </w:rPr>
              <w:t>TC PcD moderada</w:t>
            </w:r>
          </w:p>
        </w:tc>
        <w:tc>
          <w:tcPr>
            <w:tcW w:w="1058" w:type="dxa"/>
            <w:tcBorders>
              <w:top w:val="single" w:sz="4" w:space="0" w:color="D2C9B8"/>
              <w:left w:val="single" w:sz="4" w:space="0" w:color="D2C9B8"/>
              <w:bottom w:val="single" w:sz="4" w:space="0" w:color="D2C9B8"/>
              <w:right w:val="single" w:sz="4" w:space="0" w:color="D2C9B8"/>
            </w:tcBorders>
            <w:shd w:val="clear" w:color="auto" w:fill="F0EDE6"/>
          </w:tcPr>
          <w:p w14:paraId="78F265CA" w14:textId="77777777" w:rsidR="005A5FCC" w:rsidRDefault="00A21C81">
            <w:pPr>
              <w:spacing w:before="40" w:after="40" w:line="240" w:lineRule="auto"/>
              <w:jc w:val="center"/>
            </w:pPr>
            <w:r>
              <w:rPr>
                <w:rFonts w:cs="EB Garamond"/>
                <w:b/>
                <w:color w:val="2F2923"/>
                <w:kern w:val="16"/>
                <w:sz w:val="18"/>
                <w14:ligatures w14:val="standardContextual"/>
              </w:rPr>
              <w:t>TC PcD leve</w:t>
            </w:r>
          </w:p>
        </w:tc>
        <w:tc>
          <w:tcPr>
            <w:tcW w:w="1058" w:type="dxa"/>
            <w:tcBorders>
              <w:top w:val="single" w:sz="4" w:space="0" w:color="D2C9B8"/>
              <w:left w:val="single" w:sz="4" w:space="0" w:color="D2C9B8"/>
              <w:bottom w:val="single" w:sz="4" w:space="0" w:color="D2C9B8"/>
              <w:right w:val="single" w:sz="4" w:space="0" w:color="D2C9B8"/>
            </w:tcBorders>
            <w:shd w:val="clear" w:color="auto" w:fill="F0EDE6"/>
          </w:tcPr>
          <w:p w14:paraId="0637E608" w14:textId="77777777" w:rsidR="005A5FCC" w:rsidRDefault="00A21C81">
            <w:pPr>
              <w:spacing w:before="40" w:after="40" w:line="240" w:lineRule="auto"/>
              <w:jc w:val="center"/>
            </w:pPr>
            <w:r>
              <w:rPr>
                <w:rFonts w:cs="EB Garamond"/>
                <w:b/>
                <w:color w:val="2F2923"/>
                <w:kern w:val="16"/>
                <w:sz w:val="18"/>
                <w14:ligatures w14:val="standardContextual"/>
              </w:rPr>
              <w:t>Pontos (art. 15 EC 103, 2026)</w:t>
            </w:r>
          </w:p>
        </w:tc>
        <w:tc>
          <w:tcPr>
            <w:tcW w:w="1058" w:type="dxa"/>
            <w:tcBorders>
              <w:top w:val="single" w:sz="4" w:space="0" w:color="D2C9B8"/>
              <w:left w:val="single" w:sz="4" w:space="0" w:color="D2C9B8"/>
              <w:bottom w:val="single" w:sz="4" w:space="0" w:color="D2C9B8"/>
              <w:right w:val="single" w:sz="4" w:space="0" w:color="D2C9B8"/>
            </w:tcBorders>
            <w:shd w:val="clear" w:color="auto" w:fill="F0EDE6"/>
          </w:tcPr>
          <w:p w14:paraId="298066E6" w14:textId="77777777" w:rsidR="005A5FCC" w:rsidRDefault="00A21C81">
            <w:pPr>
              <w:spacing w:before="40" w:after="40" w:line="240" w:lineRule="auto"/>
              <w:jc w:val="center"/>
            </w:pPr>
            <w:r>
              <w:rPr>
                <w:rFonts w:cs="EB Garamond"/>
                <w:b/>
                <w:color w:val="2F2923"/>
                <w:kern w:val="16"/>
                <w:sz w:val="18"/>
                <w14:ligatures w14:val="standardContextual"/>
              </w:rPr>
              <w:t>Pedágio 100% (art. 20 EC 103)</w:t>
            </w:r>
          </w:p>
        </w:tc>
      </w:tr>
      <w:tr w:rsidR="005A5FCC" w14:paraId="7953E63A" w14:textId="77777777">
        <w:trPr>
          <w:jc w:val="center"/>
        </w:trPr>
        <w:tc>
          <w:tcPr>
            <w:tcW w:w="1058" w:type="dxa"/>
            <w:tcBorders>
              <w:top w:val="single" w:sz="4" w:space="0" w:color="D2C9B8"/>
              <w:left w:val="single" w:sz="4" w:space="0" w:color="D2C9B8"/>
              <w:bottom w:val="single" w:sz="4" w:space="0" w:color="D2C9B8"/>
              <w:right w:val="single" w:sz="4" w:space="0" w:color="D2C9B8"/>
            </w:tcBorders>
          </w:tcPr>
          <w:p w14:paraId="7737D37F" w14:textId="77777777" w:rsidR="005A5FCC" w:rsidRDefault="00A21C81">
            <w:pPr>
              <w:spacing w:before="20" w:after="20" w:line="240" w:lineRule="auto"/>
              <w:jc w:val="left"/>
            </w:pPr>
            <w:r>
              <w:rPr>
                <w:rFonts w:cs="EB Garamond"/>
                <w:b/>
                <w:kern w:val="16"/>
                <w:sz w:val="18"/>
                <w14:ligatures w14:val="standardContextual"/>
              </w:rPr>
              <w:t>TC mínimo (H)</w:t>
            </w:r>
          </w:p>
        </w:tc>
        <w:tc>
          <w:tcPr>
            <w:tcW w:w="1058" w:type="dxa"/>
            <w:tcBorders>
              <w:top w:val="single" w:sz="4" w:space="0" w:color="D2C9B8"/>
              <w:left w:val="single" w:sz="4" w:space="0" w:color="D2C9B8"/>
              <w:bottom w:val="single" w:sz="4" w:space="0" w:color="D2C9B8"/>
              <w:right w:val="single" w:sz="4" w:space="0" w:color="D2C9B8"/>
            </w:tcBorders>
          </w:tcPr>
          <w:p w14:paraId="33B9AD04" w14:textId="77777777" w:rsidR="005A5FCC" w:rsidRDefault="00A21C81">
            <w:pPr>
              <w:spacing w:before="20" w:after="20" w:line="240" w:lineRule="auto"/>
              <w:jc w:val="left"/>
            </w:pPr>
            <w:r>
              <w:rPr>
                <w:rFonts w:cs="EB Garamond"/>
                <w:kern w:val="16"/>
                <w:sz w:val="18"/>
                <w14:ligatures w14:val="standardContextual"/>
              </w:rPr>
              <w:t>25 anos</w:t>
            </w:r>
          </w:p>
        </w:tc>
        <w:tc>
          <w:tcPr>
            <w:tcW w:w="1058" w:type="dxa"/>
            <w:tcBorders>
              <w:top w:val="single" w:sz="4" w:space="0" w:color="D2C9B8"/>
              <w:left w:val="single" w:sz="4" w:space="0" w:color="D2C9B8"/>
              <w:bottom w:val="single" w:sz="4" w:space="0" w:color="D2C9B8"/>
              <w:right w:val="single" w:sz="4" w:space="0" w:color="D2C9B8"/>
            </w:tcBorders>
          </w:tcPr>
          <w:p w14:paraId="752F5249" w14:textId="77777777" w:rsidR="005A5FCC" w:rsidRDefault="00A21C81">
            <w:pPr>
              <w:spacing w:before="20" w:after="20" w:line="240" w:lineRule="auto"/>
              <w:jc w:val="left"/>
            </w:pPr>
            <w:r>
              <w:rPr>
                <w:rFonts w:cs="EB Garamond"/>
                <w:kern w:val="16"/>
                <w:sz w:val="18"/>
                <w14:ligatures w14:val="standardContextual"/>
              </w:rPr>
              <w:t>29 anos</w:t>
            </w:r>
          </w:p>
        </w:tc>
        <w:tc>
          <w:tcPr>
            <w:tcW w:w="1058" w:type="dxa"/>
            <w:tcBorders>
              <w:top w:val="single" w:sz="4" w:space="0" w:color="D2C9B8"/>
              <w:left w:val="single" w:sz="4" w:space="0" w:color="D2C9B8"/>
              <w:bottom w:val="single" w:sz="4" w:space="0" w:color="D2C9B8"/>
              <w:right w:val="single" w:sz="4" w:space="0" w:color="D2C9B8"/>
            </w:tcBorders>
          </w:tcPr>
          <w:p w14:paraId="3374A093" w14:textId="77777777" w:rsidR="005A5FCC" w:rsidRDefault="00A21C81">
            <w:pPr>
              <w:spacing w:before="20" w:after="20" w:line="240" w:lineRule="auto"/>
              <w:jc w:val="left"/>
            </w:pPr>
            <w:r>
              <w:rPr>
                <w:rFonts w:cs="EB Garamond"/>
                <w:kern w:val="16"/>
                <w:sz w:val="18"/>
                <w14:ligatures w14:val="standardContextual"/>
              </w:rPr>
              <w:t>33 anos</w:t>
            </w:r>
          </w:p>
        </w:tc>
        <w:tc>
          <w:tcPr>
            <w:tcW w:w="1058" w:type="dxa"/>
            <w:tcBorders>
              <w:top w:val="single" w:sz="4" w:space="0" w:color="D2C9B8"/>
              <w:left w:val="single" w:sz="4" w:space="0" w:color="D2C9B8"/>
              <w:bottom w:val="single" w:sz="4" w:space="0" w:color="D2C9B8"/>
              <w:right w:val="single" w:sz="4" w:space="0" w:color="D2C9B8"/>
            </w:tcBorders>
          </w:tcPr>
          <w:p w14:paraId="1C40EA2A" w14:textId="77777777" w:rsidR="005A5FCC" w:rsidRDefault="00A21C81">
            <w:pPr>
              <w:spacing w:before="20" w:after="20" w:line="240" w:lineRule="auto"/>
              <w:jc w:val="left"/>
            </w:pPr>
            <w:r>
              <w:rPr>
                <w:rFonts w:cs="EB Garamond"/>
                <w:kern w:val="16"/>
                <w:sz w:val="18"/>
                <w14:ligatures w14:val="standardContextual"/>
              </w:rPr>
              <w:t>35 anos</w:t>
            </w:r>
          </w:p>
        </w:tc>
        <w:tc>
          <w:tcPr>
            <w:tcW w:w="1058" w:type="dxa"/>
            <w:tcBorders>
              <w:top w:val="single" w:sz="4" w:space="0" w:color="D2C9B8"/>
              <w:left w:val="single" w:sz="4" w:space="0" w:color="D2C9B8"/>
              <w:bottom w:val="single" w:sz="4" w:space="0" w:color="D2C9B8"/>
              <w:right w:val="single" w:sz="4" w:space="0" w:color="D2C9B8"/>
            </w:tcBorders>
          </w:tcPr>
          <w:p w14:paraId="01642108" w14:textId="77777777" w:rsidR="005A5FCC" w:rsidRDefault="00A21C81">
            <w:pPr>
              <w:spacing w:before="20" w:after="20" w:line="240" w:lineRule="auto"/>
              <w:jc w:val="left"/>
            </w:pPr>
            <w:r>
              <w:rPr>
                <w:rFonts w:cs="EB Garamond"/>
                <w:kern w:val="16"/>
                <w:sz w:val="18"/>
                <w14:ligatures w14:val="standardContextual"/>
              </w:rPr>
              <w:t>35 anos</w:t>
            </w:r>
          </w:p>
        </w:tc>
      </w:tr>
      <w:tr w:rsidR="005A5FCC" w14:paraId="45D4FD31" w14:textId="77777777">
        <w:trPr>
          <w:jc w:val="center"/>
        </w:trPr>
        <w:tc>
          <w:tcPr>
            <w:tcW w:w="1058" w:type="dxa"/>
            <w:tcBorders>
              <w:top w:val="single" w:sz="4" w:space="0" w:color="D2C9B8"/>
              <w:left w:val="single" w:sz="4" w:space="0" w:color="D2C9B8"/>
              <w:bottom w:val="single" w:sz="4" w:space="0" w:color="D2C9B8"/>
              <w:right w:val="single" w:sz="4" w:space="0" w:color="D2C9B8"/>
            </w:tcBorders>
          </w:tcPr>
          <w:p w14:paraId="22B4335D" w14:textId="77777777" w:rsidR="005A5FCC" w:rsidRDefault="00A21C81">
            <w:pPr>
              <w:spacing w:before="20" w:after="20" w:line="240" w:lineRule="auto"/>
              <w:jc w:val="left"/>
            </w:pPr>
            <w:r>
              <w:rPr>
                <w:rFonts w:cs="EB Garamond"/>
                <w:b/>
                <w:kern w:val="16"/>
                <w:sz w:val="18"/>
                <w14:ligatures w14:val="standardContextual"/>
              </w:rPr>
              <w:t>TC mínimo (M)</w:t>
            </w:r>
          </w:p>
        </w:tc>
        <w:tc>
          <w:tcPr>
            <w:tcW w:w="1058" w:type="dxa"/>
            <w:tcBorders>
              <w:top w:val="single" w:sz="4" w:space="0" w:color="D2C9B8"/>
              <w:left w:val="single" w:sz="4" w:space="0" w:color="D2C9B8"/>
              <w:bottom w:val="single" w:sz="4" w:space="0" w:color="D2C9B8"/>
              <w:right w:val="single" w:sz="4" w:space="0" w:color="D2C9B8"/>
            </w:tcBorders>
          </w:tcPr>
          <w:p w14:paraId="76233233" w14:textId="77777777" w:rsidR="005A5FCC" w:rsidRDefault="00A21C81">
            <w:pPr>
              <w:spacing w:before="20" w:after="20" w:line="240" w:lineRule="auto"/>
              <w:jc w:val="left"/>
            </w:pPr>
            <w:r>
              <w:rPr>
                <w:rFonts w:cs="EB Garamond"/>
                <w:kern w:val="16"/>
                <w:sz w:val="18"/>
                <w14:ligatures w14:val="standardContextual"/>
              </w:rPr>
              <w:t>20 anos</w:t>
            </w:r>
          </w:p>
        </w:tc>
        <w:tc>
          <w:tcPr>
            <w:tcW w:w="1058" w:type="dxa"/>
            <w:tcBorders>
              <w:top w:val="single" w:sz="4" w:space="0" w:color="D2C9B8"/>
              <w:left w:val="single" w:sz="4" w:space="0" w:color="D2C9B8"/>
              <w:bottom w:val="single" w:sz="4" w:space="0" w:color="D2C9B8"/>
              <w:right w:val="single" w:sz="4" w:space="0" w:color="D2C9B8"/>
            </w:tcBorders>
          </w:tcPr>
          <w:p w14:paraId="3F49D04E" w14:textId="77777777" w:rsidR="005A5FCC" w:rsidRDefault="00A21C81">
            <w:pPr>
              <w:spacing w:before="20" w:after="20" w:line="240" w:lineRule="auto"/>
              <w:jc w:val="left"/>
            </w:pPr>
            <w:r>
              <w:rPr>
                <w:rFonts w:cs="EB Garamond"/>
                <w:kern w:val="16"/>
                <w:sz w:val="18"/>
                <w14:ligatures w14:val="standardContextual"/>
              </w:rPr>
              <w:t>24 anos</w:t>
            </w:r>
          </w:p>
        </w:tc>
        <w:tc>
          <w:tcPr>
            <w:tcW w:w="1058" w:type="dxa"/>
            <w:tcBorders>
              <w:top w:val="single" w:sz="4" w:space="0" w:color="D2C9B8"/>
              <w:left w:val="single" w:sz="4" w:space="0" w:color="D2C9B8"/>
              <w:bottom w:val="single" w:sz="4" w:space="0" w:color="D2C9B8"/>
              <w:right w:val="single" w:sz="4" w:space="0" w:color="D2C9B8"/>
            </w:tcBorders>
          </w:tcPr>
          <w:p w14:paraId="0DC90AE5" w14:textId="77777777" w:rsidR="005A5FCC" w:rsidRDefault="00A21C81">
            <w:pPr>
              <w:spacing w:before="20" w:after="20" w:line="240" w:lineRule="auto"/>
              <w:jc w:val="left"/>
            </w:pPr>
            <w:r>
              <w:rPr>
                <w:rFonts w:cs="EB Garamond"/>
                <w:kern w:val="16"/>
                <w:sz w:val="18"/>
                <w14:ligatures w14:val="standardContextual"/>
              </w:rPr>
              <w:t>28 anos</w:t>
            </w:r>
          </w:p>
        </w:tc>
        <w:tc>
          <w:tcPr>
            <w:tcW w:w="1058" w:type="dxa"/>
            <w:tcBorders>
              <w:top w:val="single" w:sz="4" w:space="0" w:color="D2C9B8"/>
              <w:left w:val="single" w:sz="4" w:space="0" w:color="D2C9B8"/>
              <w:bottom w:val="single" w:sz="4" w:space="0" w:color="D2C9B8"/>
              <w:right w:val="single" w:sz="4" w:space="0" w:color="D2C9B8"/>
            </w:tcBorders>
          </w:tcPr>
          <w:p w14:paraId="74B39C66" w14:textId="77777777" w:rsidR="005A5FCC" w:rsidRDefault="00A21C81">
            <w:pPr>
              <w:spacing w:before="20" w:after="20" w:line="240" w:lineRule="auto"/>
              <w:jc w:val="left"/>
            </w:pPr>
            <w:r>
              <w:rPr>
                <w:rFonts w:cs="EB Garamond"/>
                <w:kern w:val="16"/>
                <w:sz w:val="18"/>
                <w14:ligatures w14:val="standardContextual"/>
              </w:rPr>
              <w:t>30 anos</w:t>
            </w:r>
          </w:p>
        </w:tc>
        <w:tc>
          <w:tcPr>
            <w:tcW w:w="1058" w:type="dxa"/>
            <w:tcBorders>
              <w:top w:val="single" w:sz="4" w:space="0" w:color="D2C9B8"/>
              <w:left w:val="single" w:sz="4" w:space="0" w:color="D2C9B8"/>
              <w:bottom w:val="single" w:sz="4" w:space="0" w:color="D2C9B8"/>
              <w:right w:val="single" w:sz="4" w:space="0" w:color="D2C9B8"/>
            </w:tcBorders>
          </w:tcPr>
          <w:p w14:paraId="2983F183" w14:textId="77777777" w:rsidR="005A5FCC" w:rsidRDefault="00A21C81">
            <w:pPr>
              <w:spacing w:before="20" w:after="20" w:line="240" w:lineRule="auto"/>
              <w:jc w:val="left"/>
            </w:pPr>
            <w:r>
              <w:rPr>
                <w:rFonts w:cs="EB Garamond"/>
                <w:kern w:val="16"/>
                <w:sz w:val="18"/>
                <w14:ligatures w14:val="standardContextual"/>
              </w:rPr>
              <w:t>30 anos</w:t>
            </w:r>
          </w:p>
        </w:tc>
      </w:tr>
      <w:tr w:rsidR="005A5FCC" w14:paraId="2BD47DF7" w14:textId="77777777">
        <w:trPr>
          <w:jc w:val="center"/>
        </w:trPr>
        <w:tc>
          <w:tcPr>
            <w:tcW w:w="1058" w:type="dxa"/>
            <w:tcBorders>
              <w:top w:val="single" w:sz="4" w:space="0" w:color="D2C9B8"/>
              <w:left w:val="single" w:sz="4" w:space="0" w:color="D2C9B8"/>
              <w:bottom w:val="single" w:sz="4" w:space="0" w:color="D2C9B8"/>
              <w:right w:val="single" w:sz="4" w:space="0" w:color="D2C9B8"/>
            </w:tcBorders>
          </w:tcPr>
          <w:p w14:paraId="17020909" w14:textId="77777777" w:rsidR="005A5FCC" w:rsidRDefault="00A21C81">
            <w:pPr>
              <w:spacing w:before="20" w:after="20" w:line="240" w:lineRule="auto"/>
              <w:jc w:val="left"/>
            </w:pPr>
            <w:r>
              <w:rPr>
                <w:rFonts w:cs="EB Garamond"/>
                <w:b/>
                <w:kern w:val="16"/>
                <w:sz w:val="18"/>
                <w14:ligatures w14:val="standardContextual"/>
              </w:rPr>
              <w:lastRenderedPageBreak/>
              <w:t>Idade mínima</w:t>
            </w:r>
          </w:p>
        </w:tc>
        <w:tc>
          <w:tcPr>
            <w:tcW w:w="1058" w:type="dxa"/>
            <w:tcBorders>
              <w:top w:val="single" w:sz="4" w:space="0" w:color="D2C9B8"/>
              <w:left w:val="single" w:sz="4" w:space="0" w:color="D2C9B8"/>
              <w:bottom w:val="single" w:sz="4" w:space="0" w:color="D2C9B8"/>
              <w:right w:val="single" w:sz="4" w:space="0" w:color="D2C9B8"/>
            </w:tcBorders>
          </w:tcPr>
          <w:p w14:paraId="442155A4" w14:textId="77777777" w:rsidR="005A5FCC" w:rsidRDefault="00A21C81">
            <w:pPr>
              <w:spacing w:before="20" w:after="20" w:line="240" w:lineRule="auto"/>
              <w:jc w:val="left"/>
            </w:pPr>
            <w:r>
              <w:rPr>
                <w:rFonts w:cs="EB Garamond"/>
                <w:kern w:val="16"/>
                <w:sz w:val="18"/>
                <w14:ligatures w14:val="standardContextual"/>
              </w:rPr>
              <w:t>Não</w:t>
            </w:r>
          </w:p>
        </w:tc>
        <w:tc>
          <w:tcPr>
            <w:tcW w:w="1058" w:type="dxa"/>
            <w:tcBorders>
              <w:top w:val="single" w:sz="4" w:space="0" w:color="D2C9B8"/>
              <w:left w:val="single" w:sz="4" w:space="0" w:color="D2C9B8"/>
              <w:bottom w:val="single" w:sz="4" w:space="0" w:color="D2C9B8"/>
              <w:right w:val="single" w:sz="4" w:space="0" w:color="D2C9B8"/>
            </w:tcBorders>
          </w:tcPr>
          <w:p w14:paraId="4DDF5755" w14:textId="77777777" w:rsidR="005A5FCC" w:rsidRDefault="00A21C81">
            <w:pPr>
              <w:spacing w:before="20" w:after="20" w:line="240" w:lineRule="auto"/>
              <w:jc w:val="left"/>
            </w:pPr>
            <w:r>
              <w:rPr>
                <w:rFonts w:cs="EB Garamond"/>
                <w:kern w:val="16"/>
                <w:sz w:val="18"/>
                <w14:ligatures w14:val="standardContextual"/>
              </w:rPr>
              <w:t>Não</w:t>
            </w:r>
          </w:p>
        </w:tc>
        <w:tc>
          <w:tcPr>
            <w:tcW w:w="1058" w:type="dxa"/>
            <w:tcBorders>
              <w:top w:val="single" w:sz="4" w:space="0" w:color="D2C9B8"/>
              <w:left w:val="single" w:sz="4" w:space="0" w:color="D2C9B8"/>
              <w:bottom w:val="single" w:sz="4" w:space="0" w:color="D2C9B8"/>
              <w:right w:val="single" w:sz="4" w:space="0" w:color="D2C9B8"/>
            </w:tcBorders>
          </w:tcPr>
          <w:p w14:paraId="0C264128" w14:textId="77777777" w:rsidR="005A5FCC" w:rsidRDefault="00A21C81">
            <w:pPr>
              <w:spacing w:before="20" w:after="20" w:line="240" w:lineRule="auto"/>
              <w:jc w:val="left"/>
            </w:pPr>
            <w:r>
              <w:rPr>
                <w:rFonts w:cs="EB Garamond"/>
                <w:kern w:val="16"/>
                <w:sz w:val="18"/>
                <w14:ligatures w14:val="standardContextual"/>
              </w:rPr>
              <w:t>Não</w:t>
            </w:r>
          </w:p>
        </w:tc>
        <w:tc>
          <w:tcPr>
            <w:tcW w:w="1058" w:type="dxa"/>
            <w:tcBorders>
              <w:top w:val="single" w:sz="4" w:space="0" w:color="D2C9B8"/>
              <w:left w:val="single" w:sz="4" w:space="0" w:color="D2C9B8"/>
              <w:bottom w:val="single" w:sz="4" w:space="0" w:color="D2C9B8"/>
              <w:right w:val="single" w:sz="4" w:space="0" w:color="D2C9B8"/>
            </w:tcBorders>
          </w:tcPr>
          <w:p w14:paraId="329E56E0" w14:textId="77777777" w:rsidR="005A5FCC" w:rsidRDefault="00A21C81">
            <w:pPr>
              <w:spacing w:before="20" w:after="20" w:line="240" w:lineRule="auto"/>
              <w:jc w:val="left"/>
            </w:pPr>
            <w:r>
              <w:rPr>
                <w:rFonts w:cs="EB Garamond"/>
                <w:kern w:val="16"/>
                <w:sz w:val="18"/>
                <w14:ligatures w14:val="standardContextual"/>
              </w:rPr>
              <w:t>Não (mas pontos = TC+idade)</w:t>
            </w:r>
          </w:p>
        </w:tc>
        <w:tc>
          <w:tcPr>
            <w:tcW w:w="1058" w:type="dxa"/>
            <w:tcBorders>
              <w:top w:val="single" w:sz="4" w:space="0" w:color="D2C9B8"/>
              <w:left w:val="single" w:sz="4" w:space="0" w:color="D2C9B8"/>
              <w:bottom w:val="single" w:sz="4" w:space="0" w:color="D2C9B8"/>
              <w:right w:val="single" w:sz="4" w:space="0" w:color="D2C9B8"/>
            </w:tcBorders>
          </w:tcPr>
          <w:p w14:paraId="7F77A3D1" w14:textId="77777777" w:rsidR="005A5FCC" w:rsidRDefault="00A21C81">
            <w:pPr>
              <w:spacing w:before="20" w:after="20" w:line="240" w:lineRule="auto"/>
              <w:jc w:val="left"/>
            </w:pPr>
            <w:r>
              <w:rPr>
                <w:rFonts w:cs="EB Garamond"/>
                <w:kern w:val="16"/>
                <w:sz w:val="18"/>
                <w14:ligatures w14:val="standardContextual"/>
              </w:rPr>
              <w:t>60H/57M</w:t>
            </w:r>
          </w:p>
        </w:tc>
      </w:tr>
      <w:tr w:rsidR="005A5FCC" w14:paraId="2B86C715" w14:textId="77777777">
        <w:trPr>
          <w:jc w:val="center"/>
        </w:trPr>
        <w:tc>
          <w:tcPr>
            <w:tcW w:w="1058" w:type="dxa"/>
            <w:tcBorders>
              <w:top w:val="single" w:sz="4" w:space="0" w:color="D2C9B8"/>
              <w:left w:val="single" w:sz="4" w:space="0" w:color="D2C9B8"/>
              <w:bottom w:val="single" w:sz="4" w:space="0" w:color="D2C9B8"/>
              <w:right w:val="single" w:sz="4" w:space="0" w:color="D2C9B8"/>
            </w:tcBorders>
          </w:tcPr>
          <w:p w14:paraId="11F13C15" w14:textId="77777777" w:rsidR="005A5FCC" w:rsidRDefault="00A21C81">
            <w:pPr>
              <w:spacing w:before="20" w:after="20" w:line="240" w:lineRule="auto"/>
              <w:jc w:val="left"/>
            </w:pPr>
            <w:r>
              <w:rPr>
                <w:rFonts w:cs="EB Garamond"/>
                <w:b/>
                <w:kern w:val="16"/>
                <w:sz w:val="18"/>
                <w14:ligatures w14:val="standardContextual"/>
              </w:rPr>
              <w:t>Pontos</w:t>
            </w:r>
          </w:p>
        </w:tc>
        <w:tc>
          <w:tcPr>
            <w:tcW w:w="1058" w:type="dxa"/>
            <w:tcBorders>
              <w:top w:val="single" w:sz="4" w:space="0" w:color="D2C9B8"/>
              <w:left w:val="single" w:sz="4" w:space="0" w:color="D2C9B8"/>
              <w:bottom w:val="single" w:sz="4" w:space="0" w:color="D2C9B8"/>
              <w:right w:val="single" w:sz="4" w:space="0" w:color="D2C9B8"/>
            </w:tcBorders>
          </w:tcPr>
          <w:p w14:paraId="6E9AB2D0" w14:textId="77777777" w:rsidR="005A5FCC" w:rsidRDefault="00A21C81">
            <w:pPr>
              <w:spacing w:before="20" w:after="20" w:line="240" w:lineRule="auto"/>
              <w:jc w:val="left"/>
            </w:pPr>
            <w:r>
              <w:rPr>
                <w:rFonts w:cs="EB Garamond"/>
                <w:kern w:val="16"/>
                <w:sz w:val="18"/>
                <w14:ligatures w14:val="standardContextual"/>
              </w:rPr>
              <w:t>N/A</w:t>
            </w:r>
          </w:p>
        </w:tc>
        <w:tc>
          <w:tcPr>
            <w:tcW w:w="1058" w:type="dxa"/>
            <w:tcBorders>
              <w:top w:val="single" w:sz="4" w:space="0" w:color="D2C9B8"/>
              <w:left w:val="single" w:sz="4" w:space="0" w:color="D2C9B8"/>
              <w:bottom w:val="single" w:sz="4" w:space="0" w:color="D2C9B8"/>
              <w:right w:val="single" w:sz="4" w:space="0" w:color="D2C9B8"/>
            </w:tcBorders>
          </w:tcPr>
          <w:p w14:paraId="3FCAD6D0" w14:textId="77777777" w:rsidR="005A5FCC" w:rsidRDefault="00A21C81">
            <w:pPr>
              <w:spacing w:before="20" w:after="20" w:line="240" w:lineRule="auto"/>
              <w:jc w:val="left"/>
            </w:pPr>
            <w:r>
              <w:rPr>
                <w:rFonts w:cs="EB Garamond"/>
                <w:kern w:val="16"/>
                <w:sz w:val="18"/>
                <w14:ligatures w14:val="standardContextual"/>
              </w:rPr>
              <w:t>N/A</w:t>
            </w:r>
          </w:p>
        </w:tc>
        <w:tc>
          <w:tcPr>
            <w:tcW w:w="1058" w:type="dxa"/>
            <w:tcBorders>
              <w:top w:val="single" w:sz="4" w:space="0" w:color="D2C9B8"/>
              <w:left w:val="single" w:sz="4" w:space="0" w:color="D2C9B8"/>
              <w:bottom w:val="single" w:sz="4" w:space="0" w:color="D2C9B8"/>
              <w:right w:val="single" w:sz="4" w:space="0" w:color="D2C9B8"/>
            </w:tcBorders>
          </w:tcPr>
          <w:p w14:paraId="639FD023" w14:textId="77777777" w:rsidR="005A5FCC" w:rsidRDefault="00A21C81">
            <w:pPr>
              <w:spacing w:before="20" w:after="20" w:line="240" w:lineRule="auto"/>
              <w:jc w:val="left"/>
            </w:pPr>
            <w:r>
              <w:rPr>
                <w:rFonts w:cs="EB Garamond"/>
                <w:kern w:val="16"/>
                <w:sz w:val="18"/>
                <w14:ligatures w14:val="standardContextual"/>
              </w:rPr>
              <w:t>N/A</w:t>
            </w:r>
          </w:p>
        </w:tc>
        <w:tc>
          <w:tcPr>
            <w:tcW w:w="1058" w:type="dxa"/>
            <w:tcBorders>
              <w:top w:val="single" w:sz="4" w:space="0" w:color="D2C9B8"/>
              <w:left w:val="single" w:sz="4" w:space="0" w:color="D2C9B8"/>
              <w:bottom w:val="single" w:sz="4" w:space="0" w:color="D2C9B8"/>
              <w:right w:val="single" w:sz="4" w:space="0" w:color="D2C9B8"/>
            </w:tcBorders>
          </w:tcPr>
          <w:p w14:paraId="0500C21C" w14:textId="77777777" w:rsidR="005A5FCC" w:rsidRDefault="00A21C81">
            <w:pPr>
              <w:spacing w:before="20" w:after="20" w:line="240" w:lineRule="auto"/>
              <w:jc w:val="left"/>
            </w:pPr>
            <w:r>
              <w:rPr>
                <w:rFonts w:cs="EB Garamond"/>
                <w:kern w:val="16"/>
                <w:sz w:val="18"/>
                <w14:ligatures w14:val="standardContextual"/>
              </w:rPr>
              <w:t>103H/93M (2026)</w:t>
            </w:r>
          </w:p>
        </w:tc>
        <w:tc>
          <w:tcPr>
            <w:tcW w:w="1058" w:type="dxa"/>
            <w:tcBorders>
              <w:top w:val="single" w:sz="4" w:space="0" w:color="D2C9B8"/>
              <w:left w:val="single" w:sz="4" w:space="0" w:color="D2C9B8"/>
              <w:bottom w:val="single" w:sz="4" w:space="0" w:color="D2C9B8"/>
              <w:right w:val="single" w:sz="4" w:space="0" w:color="D2C9B8"/>
            </w:tcBorders>
          </w:tcPr>
          <w:p w14:paraId="09235529" w14:textId="77777777" w:rsidR="005A5FCC" w:rsidRDefault="00A21C81">
            <w:pPr>
              <w:spacing w:before="20" w:after="20" w:line="240" w:lineRule="auto"/>
              <w:jc w:val="left"/>
            </w:pPr>
            <w:r>
              <w:rPr>
                <w:rFonts w:cs="EB Garamond"/>
                <w:kern w:val="16"/>
                <w:sz w:val="18"/>
                <w14:ligatures w14:val="standardContextual"/>
              </w:rPr>
              <w:t>N/A</w:t>
            </w:r>
          </w:p>
        </w:tc>
      </w:tr>
      <w:tr w:rsidR="005A5FCC" w14:paraId="1132A068" w14:textId="77777777">
        <w:trPr>
          <w:jc w:val="center"/>
        </w:trPr>
        <w:tc>
          <w:tcPr>
            <w:tcW w:w="1058" w:type="dxa"/>
            <w:tcBorders>
              <w:top w:val="single" w:sz="4" w:space="0" w:color="D2C9B8"/>
              <w:left w:val="single" w:sz="4" w:space="0" w:color="D2C9B8"/>
              <w:bottom w:val="single" w:sz="4" w:space="0" w:color="D2C9B8"/>
              <w:right w:val="single" w:sz="4" w:space="0" w:color="D2C9B8"/>
            </w:tcBorders>
          </w:tcPr>
          <w:p w14:paraId="6C904B84" w14:textId="77777777" w:rsidR="005A5FCC" w:rsidRDefault="00A21C81">
            <w:pPr>
              <w:spacing w:before="20" w:after="20" w:line="240" w:lineRule="auto"/>
              <w:jc w:val="left"/>
            </w:pPr>
            <w:r>
              <w:rPr>
                <w:rFonts w:cs="EB Garamond"/>
                <w:b/>
                <w:kern w:val="16"/>
                <w:sz w:val="18"/>
                <w14:ligatures w14:val="standardContextual"/>
              </w:rPr>
              <w:t>Coeficiente</w:t>
            </w:r>
          </w:p>
        </w:tc>
        <w:tc>
          <w:tcPr>
            <w:tcW w:w="1058" w:type="dxa"/>
            <w:tcBorders>
              <w:top w:val="single" w:sz="4" w:space="0" w:color="D2C9B8"/>
              <w:left w:val="single" w:sz="4" w:space="0" w:color="D2C9B8"/>
              <w:bottom w:val="single" w:sz="4" w:space="0" w:color="D2C9B8"/>
              <w:right w:val="single" w:sz="4" w:space="0" w:color="D2C9B8"/>
            </w:tcBorders>
          </w:tcPr>
          <w:p w14:paraId="76ADED74" w14:textId="77777777" w:rsidR="005A5FCC" w:rsidRDefault="00A21C81">
            <w:pPr>
              <w:spacing w:before="20" w:after="20" w:line="240" w:lineRule="auto"/>
              <w:jc w:val="left"/>
            </w:pPr>
            <w:r>
              <w:rPr>
                <w:rFonts w:cs="EB Garamond"/>
                <w:kern w:val="16"/>
                <w:sz w:val="18"/>
                <w14:ligatures w14:val="standardContextual"/>
              </w:rPr>
              <w:t>100% SB</w:t>
            </w:r>
          </w:p>
        </w:tc>
        <w:tc>
          <w:tcPr>
            <w:tcW w:w="1058" w:type="dxa"/>
            <w:tcBorders>
              <w:top w:val="single" w:sz="4" w:space="0" w:color="D2C9B8"/>
              <w:left w:val="single" w:sz="4" w:space="0" w:color="D2C9B8"/>
              <w:bottom w:val="single" w:sz="4" w:space="0" w:color="D2C9B8"/>
              <w:right w:val="single" w:sz="4" w:space="0" w:color="D2C9B8"/>
            </w:tcBorders>
          </w:tcPr>
          <w:p w14:paraId="097B6791" w14:textId="77777777" w:rsidR="005A5FCC" w:rsidRDefault="00A21C81">
            <w:pPr>
              <w:spacing w:before="20" w:after="20" w:line="240" w:lineRule="auto"/>
              <w:jc w:val="left"/>
            </w:pPr>
            <w:r>
              <w:rPr>
                <w:rFonts w:cs="EB Garamond"/>
                <w:kern w:val="16"/>
                <w:sz w:val="18"/>
                <w14:ligatures w14:val="standardContextual"/>
              </w:rPr>
              <w:t>100% SB</w:t>
            </w:r>
          </w:p>
        </w:tc>
        <w:tc>
          <w:tcPr>
            <w:tcW w:w="1058" w:type="dxa"/>
            <w:tcBorders>
              <w:top w:val="single" w:sz="4" w:space="0" w:color="D2C9B8"/>
              <w:left w:val="single" w:sz="4" w:space="0" w:color="D2C9B8"/>
              <w:bottom w:val="single" w:sz="4" w:space="0" w:color="D2C9B8"/>
              <w:right w:val="single" w:sz="4" w:space="0" w:color="D2C9B8"/>
            </w:tcBorders>
          </w:tcPr>
          <w:p w14:paraId="5E40D2DB" w14:textId="77777777" w:rsidR="005A5FCC" w:rsidRDefault="00A21C81">
            <w:pPr>
              <w:spacing w:before="20" w:after="20" w:line="240" w:lineRule="auto"/>
              <w:jc w:val="left"/>
            </w:pPr>
            <w:r>
              <w:rPr>
                <w:rFonts w:cs="EB Garamond"/>
                <w:kern w:val="16"/>
                <w:sz w:val="18"/>
                <w14:ligatures w14:val="standardContextual"/>
              </w:rPr>
              <w:t>100% SB</w:t>
            </w:r>
          </w:p>
        </w:tc>
        <w:tc>
          <w:tcPr>
            <w:tcW w:w="1058" w:type="dxa"/>
            <w:tcBorders>
              <w:top w:val="single" w:sz="4" w:space="0" w:color="D2C9B8"/>
              <w:left w:val="single" w:sz="4" w:space="0" w:color="D2C9B8"/>
              <w:bottom w:val="single" w:sz="4" w:space="0" w:color="D2C9B8"/>
              <w:right w:val="single" w:sz="4" w:space="0" w:color="D2C9B8"/>
            </w:tcBorders>
          </w:tcPr>
          <w:p w14:paraId="77E609B3" w14:textId="77777777" w:rsidR="005A5FCC" w:rsidRDefault="00A21C81">
            <w:pPr>
              <w:spacing w:before="20" w:after="20" w:line="240" w:lineRule="auto"/>
              <w:jc w:val="left"/>
            </w:pPr>
            <w:r>
              <w:rPr>
                <w:rFonts w:cs="EB Garamond"/>
                <w:kern w:val="16"/>
                <w:sz w:val="18"/>
                <w14:ligatures w14:val="standardContextual"/>
              </w:rPr>
              <w:t>60%+2% por ano excedente</w:t>
            </w:r>
          </w:p>
        </w:tc>
        <w:tc>
          <w:tcPr>
            <w:tcW w:w="1058" w:type="dxa"/>
            <w:tcBorders>
              <w:top w:val="single" w:sz="4" w:space="0" w:color="D2C9B8"/>
              <w:left w:val="single" w:sz="4" w:space="0" w:color="D2C9B8"/>
              <w:bottom w:val="single" w:sz="4" w:space="0" w:color="D2C9B8"/>
              <w:right w:val="single" w:sz="4" w:space="0" w:color="D2C9B8"/>
            </w:tcBorders>
          </w:tcPr>
          <w:p w14:paraId="4F0F18AE" w14:textId="77777777" w:rsidR="005A5FCC" w:rsidRDefault="00A21C81">
            <w:pPr>
              <w:spacing w:before="20" w:after="20" w:line="240" w:lineRule="auto"/>
              <w:jc w:val="left"/>
            </w:pPr>
            <w:r>
              <w:rPr>
                <w:rFonts w:cs="EB Garamond"/>
                <w:kern w:val="16"/>
                <w:sz w:val="18"/>
                <w14:ligatures w14:val="standardContextual"/>
              </w:rPr>
              <w:t>100% SB</w:t>
            </w:r>
          </w:p>
        </w:tc>
      </w:tr>
      <w:tr w:rsidR="005A5FCC" w14:paraId="585379B8" w14:textId="77777777">
        <w:trPr>
          <w:jc w:val="center"/>
        </w:trPr>
        <w:tc>
          <w:tcPr>
            <w:tcW w:w="1058" w:type="dxa"/>
            <w:tcBorders>
              <w:top w:val="single" w:sz="4" w:space="0" w:color="D2C9B8"/>
              <w:left w:val="single" w:sz="4" w:space="0" w:color="D2C9B8"/>
              <w:bottom w:val="single" w:sz="4" w:space="0" w:color="D2C9B8"/>
              <w:right w:val="single" w:sz="4" w:space="0" w:color="D2C9B8"/>
            </w:tcBorders>
          </w:tcPr>
          <w:p w14:paraId="5E407D69" w14:textId="77777777" w:rsidR="005A5FCC" w:rsidRDefault="00A21C81">
            <w:pPr>
              <w:spacing w:before="20" w:after="20" w:line="240" w:lineRule="auto"/>
              <w:jc w:val="left"/>
            </w:pPr>
            <w:r>
              <w:rPr>
                <w:rFonts w:cs="EB Garamond"/>
                <w:b/>
                <w:kern w:val="16"/>
                <w:sz w:val="18"/>
                <w14:ligatures w14:val="standardContextual"/>
              </w:rPr>
              <w:t>Fator previdenciário</w:t>
            </w:r>
          </w:p>
        </w:tc>
        <w:tc>
          <w:tcPr>
            <w:tcW w:w="1058" w:type="dxa"/>
            <w:tcBorders>
              <w:top w:val="single" w:sz="4" w:space="0" w:color="D2C9B8"/>
              <w:left w:val="single" w:sz="4" w:space="0" w:color="D2C9B8"/>
              <w:bottom w:val="single" w:sz="4" w:space="0" w:color="D2C9B8"/>
              <w:right w:val="single" w:sz="4" w:space="0" w:color="D2C9B8"/>
            </w:tcBorders>
          </w:tcPr>
          <w:p w14:paraId="6B1817DC" w14:textId="77777777" w:rsidR="005A5FCC" w:rsidRDefault="00A21C81">
            <w:pPr>
              <w:spacing w:before="20" w:after="20" w:line="240" w:lineRule="auto"/>
              <w:jc w:val="left"/>
            </w:pPr>
            <w:r>
              <w:rPr>
                <w:rFonts w:cs="EB Garamond"/>
                <w:kern w:val="16"/>
                <w:sz w:val="18"/>
                <w14:ligatures w14:val="standardContextual"/>
              </w:rPr>
              <w:t>Se vantajoso</w:t>
            </w:r>
          </w:p>
        </w:tc>
        <w:tc>
          <w:tcPr>
            <w:tcW w:w="1058" w:type="dxa"/>
            <w:tcBorders>
              <w:top w:val="single" w:sz="4" w:space="0" w:color="D2C9B8"/>
              <w:left w:val="single" w:sz="4" w:space="0" w:color="D2C9B8"/>
              <w:bottom w:val="single" w:sz="4" w:space="0" w:color="D2C9B8"/>
              <w:right w:val="single" w:sz="4" w:space="0" w:color="D2C9B8"/>
            </w:tcBorders>
          </w:tcPr>
          <w:p w14:paraId="16583049" w14:textId="77777777" w:rsidR="005A5FCC" w:rsidRDefault="00A21C81">
            <w:pPr>
              <w:spacing w:before="20" w:after="20" w:line="240" w:lineRule="auto"/>
              <w:jc w:val="left"/>
            </w:pPr>
            <w:r>
              <w:rPr>
                <w:rFonts w:cs="EB Garamond"/>
                <w:kern w:val="16"/>
                <w:sz w:val="18"/>
                <w14:ligatures w14:val="standardContextual"/>
              </w:rPr>
              <w:t>Se vantajoso</w:t>
            </w:r>
          </w:p>
        </w:tc>
        <w:tc>
          <w:tcPr>
            <w:tcW w:w="1058" w:type="dxa"/>
            <w:tcBorders>
              <w:top w:val="single" w:sz="4" w:space="0" w:color="D2C9B8"/>
              <w:left w:val="single" w:sz="4" w:space="0" w:color="D2C9B8"/>
              <w:bottom w:val="single" w:sz="4" w:space="0" w:color="D2C9B8"/>
              <w:right w:val="single" w:sz="4" w:space="0" w:color="D2C9B8"/>
            </w:tcBorders>
          </w:tcPr>
          <w:p w14:paraId="50412095" w14:textId="77777777" w:rsidR="005A5FCC" w:rsidRDefault="00A21C81">
            <w:pPr>
              <w:spacing w:before="20" w:after="20" w:line="240" w:lineRule="auto"/>
              <w:jc w:val="left"/>
            </w:pPr>
            <w:r>
              <w:rPr>
                <w:rFonts w:cs="EB Garamond"/>
                <w:kern w:val="16"/>
                <w:sz w:val="18"/>
                <w14:ligatures w14:val="standardContextual"/>
              </w:rPr>
              <w:t>Se vantajoso</w:t>
            </w:r>
          </w:p>
        </w:tc>
        <w:tc>
          <w:tcPr>
            <w:tcW w:w="1058" w:type="dxa"/>
            <w:tcBorders>
              <w:top w:val="single" w:sz="4" w:space="0" w:color="D2C9B8"/>
              <w:left w:val="single" w:sz="4" w:space="0" w:color="D2C9B8"/>
              <w:bottom w:val="single" w:sz="4" w:space="0" w:color="D2C9B8"/>
              <w:right w:val="single" w:sz="4" w:space="0" w:color="D2C9B8"/>
            </w:tcBorders>
          </w:tcPr>
          <w:p w14:paraId="6D8BD994" w14:textId="77777777" w:rsidR="005A5FCC" w:rsidRDefault="00A21C81">
            <w:pPr>
              <w:spacing w:before="20" w:after="20" w:line="240" w:lineRule="auto"/>
              <w:jc w:val="left"/>
            </w:pPr>
            <w:r>
              <w:rPr>
                <w:rFonts w:cs="EB Garamond"/>
                <w:kern w:val="16"/>
                <w:sz w:val="18"/>
                <w14:ligatures w14:val="standardContextual"/>
              </w:rPr>
              <w:t>Não</w:t>
            </w:r>
          </w:p>
        </w:tc>
        <w:tc>
          <w:tcPr>
            <w:tcW w:w="1058" w:type="dxa"/>
            <w:tcBorders>
              <w:top w:val="single" w:sz="4" w:space="0" w:color="D2C9B8"/>
              <w:left w:val="single" w:sz="4" w:space="0" w:color="D2C9B8"/>
              <w:bottom w:val="single" w:sz="4" w:space="0" w:color="D2C9B8"/>
              <w:right w:val="single" w:sz="4" w:space="0" w:color="D2C9B8"/>
            </w:tcBorders>
          </w:tcPr>
          <w:p w14:paraId="292700B9" w14:textId="77777777" w:rsidR="005A5FCC" w:rsidRDefault="00A21C81">
            <w:pPr>
              <w:spacing w:before="20" w:after="20" w:line="240" w:lineRule="auto"/>
              <w:jc w:val="left"/>
            </w:pPr>
            <w:r>
              <w:rPr>
                <w:rFonts w:cs="EB Garamond"/>
                <w:kern w:val="16"/>
                <w:sz w:val="18"/>
                <w14:ligatures w14:val="standardContextual"/>
              </w:rPr>
              <w:t>Não</w:t>
            </w:r>
          </w:p>
        </w:tc>
      </w:tr>
    </w:tbl>
    <w:p w14:paraId="157170BF" w14:textId="77777777" w:rsidR="005A5FCC" w:rsidRDefault="005A5FCC">
      <w:pPr>
        <w:spacing w:after="80" w:line="240" w:lineRule="auto"/>
      </w:pPr>
    </w:p>
    <w:p w14:paraId="3BFF0E41"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42D2964D" w14:textId="77777777" w:rsidR="005A5FCC" w:rsidRDefault="00A21C81">
      <w:r>
        <w:rPr>
          <w:rFonts w:cs="EB Garamond"/>
          <w:kern w:val="16"/>
          <w14:ligatures w14:val="standardContextual"/>
        </w:rPr>
        <w:t xml:space="preserve"> tabela revela que a aposentadoria por TC da PcD supera todas as regras de transição em pelo menos dois aspectos: (a) TC mínimo reduzido (de 2 a 10 anos a menos); e (b) coeficiente de 100% do SB sem redutores. Mesmo a regra do pedágio 100%, que também adota coeficiente de 100%, exige TC integral (35H/30M) e idade mínima (60H/57M) — requisitos que a LC 142 dispensa.</w:t>
      </w:r>
    </w:p>
    <w:p w14:paraId="23DCD4C7" w14:textId="77777777" w:rsidR="005A5FCC" w:rsidRDefault="00A21C81">
      <w:pPr>
        <w:ind w:firstLine="238"/>
      </w:pPr>
      <w:r>
        <w:rPr>
          <w:rFonts w:cs="EB Garamond"/>
          <w:kern w:val="16"/>
          <w14:ligatures w14:val="standardContextual"/>
        </w:rPr>
        <w:t>Para o segurado com deficiência que tem direito adquirido a alguma regra de transição (porque atingiu os requisitos antes do reconhecimento da deficiência, por exemplo), a análise comparativa deve ser feita caso a caso, considerando o valor efetivo da RMI em cada cenário.</w:t>
      </w:r>
    </w:p>
    <w:p w14:paraId="69DB90BC" w14:textId="77777777" w:rsidR="005A5FCC" w:rsidRDefault="00A21C81">
      <w:pPr>
        <w:spacing w:before="260" w:after="80" w:line="240" w:lineRule="auto"/>
        <w:jc w:val="left"/>
      </w:pPr>
      <w:r>
        <w:rPr>
          <w:rFonts w:cs="EB Garamond"/>
          <w:b/>
          <w:color w:val="3A3128"/>
          <w:kern w:val="16"/>
          <w:sz w:val="25"/>
          <w14:ligatures w14:val="standardContextual"/>
        </w:rPr>
        <w:t>12.5.3 Controvérsia sobre o cálculo pós-EC 103/2019</w:t>
      </w:r>
    </w:p>
    <w:p w14:paraId="274C703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3A79A162" w14:textId="77777777" w:rsidR="005A5FCC" w:rsidRDefault="00A21C81">
      <w:r>
        <w:rPr>
          <w:rFonts w:cs="EB Garamond"/>
          <w:kern w:val="16"/>
          <w14:ligatures w14:val="standardContextual"/>
        </w:rPr>
        <w:t xml:space="preserve"> principal controvérsia relativa à aposentadoria da PcD após a Reforma diz respeito à aplicação do art. 26 da EC 103/2019. O INSS, em leitura literal, chegou a adotar a regra geral do art. 26 (média de 100% dos SC com coeficiente de 60% + 2% por ano excedente) para o cálculo da aposentadoria por TC da PcD, desconsiderando o coeficiente de 100% previsto no art. 8º, I, da LC 142/2013.</w:t>
      </w:r>
    </w:p>
    <w:p w14:paraId="6730F74E" w14:textId="77777777" w:rsidR="005A5FCC" w:rsidRDefault="00A21C81">
      <w:pPr>
        <w:ind w:firstLine="238"/>
      </w:pPr>
      <w:r>
        <w:rPr>
          <w:rFonts w:cs="EB Garamond"/>
          <w:kern w:val="16"/>
          <w14:ligatures w14:val="standardContextual"/>
        </w:rPr>
        <w:t xml:space="preserve">Essa interpretação foi rechaçada pela doutrina majoritária e pela jurisprudência dos TRFs, com fundamento no art. 22 da EC 103, que preserva a LC </w:t>
      </w:r>
      <w:r>
        <w:rPr>
          <w:rFonts w:cs="EB Garamond"/>
          <w:kern w:val="16"/>
          <w14:ligatures w14:val="standardContextual"/>
        </w:rPr>
        <w:lastRenderedPageBreak/>
        <w:t>142/2013 "inclusive quanto aos critérios de cálculo". O entendimento prevalecente é de que o art. 22 funciona como norma especial em relação ao art. 26, afastando a aplicação do coeficiente de 60%+2% e mantendo o coeficiente de 100% do SB para a aposentadoria por TC da PcD.</w:t>
      </w:r>
    </w:p>
    <w:tbl>
      <w:tblPr>
        <w:tblW w:w="5000" w:type="pct"/>
        <w:jc w:val="center"/>
        <w:tblLayout w:type="fixed"/>
        <w:tblLook w:val="04A0" w:firstRow="1" w:lastRow="0" w:firstColumn="1" w:lastColumn="0" w:noHBand="0" w:noVBand="1"/>
      </w:tblPr>
      <w:tblGrid>
        <w:gridCol w:w="6311"/>
      </w:tblGrid>
      <w:tr w:rsidR="005A5FCC" w14:paraId="09142136"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5C8C48D8" w14:textId="77777777" w:rsidR="005A5FCC" w:rsidRDefault="00A21C81">
            <w:pPr>
              <w:spacing w:after="60" w:line="240" w:lineRule="auto"/>
              <w:jc w:val="left"/>
            </w:pPr>
            <w:r>
              <w:rPr>
                <w:rFonts w:ascii="Noto Sans" w:hAnsi="Noto Sans" w:cs="Noto Sans"/>
                <w:b/>
                <w:caps/>
                <w:color w:val="4D6F8A"/>
                <w:kern w:val="16"/>
                <w:sz w:val="16"/>
                <w14:ligatures w14:val="standardContextual"/>
              </w:rPr>
              <w:t>JURISPRUDÊNCIA EM DESTAQUE</w:t>
            </w:r>
          </w:p>
          <w:p w14:paraId="0CD37AB0" w14:textId="77777777" w:rsidR="005A5FCC" w:rsidRDefault="00A21C81">
            <w:pPr>
              <w:spacing w:after="60" w:line="247" w:lineRule="auto"/>
            </w:pPr>
            <w:r>
              <w:rPr>
                <w:rFonts w:cs="EB Garamond"/>
                <w:b/>
                <w:kern w:val="16"/>
                <w:sz w:val="19"/>
                <w14:ligatures w14:val="standardContextual"/>
              </w:rPr>
              <w:t>Cálculo da aposentadoria PcD pós-EC 103: manutenção da LC 142</w:t>
            </w:r>
          </w:p>
          <w:p w14:paraId="28165ADA" w14:textId="77777777" w:rsidR="005A5FCC" w:rsidRDefault="00A21C81">
            <w:pPr>
              <w:spacing w:after="60" w:line="247" w:lineRule="auto"/>
            </w:pPr>
            <w:r>
              <w:rPr>
                <w:rFonts w:cs="EB Garamond"/>
                <w:i/>
                <w:kern w:val="16"/>
                <w:sz w:val="19"/>
                <w14:ligatures w14:val="standardContextual"/>
              </w:rPr>
              <w:t>Síntese do entendimento dos tribunais, sem transcrição literal de ementa.</w:t>
            </w:r>
          </w:p>
          <w:p w14:paraId="7CA81769" w14:textId="77777777" w:rsidR="005A5FCC" w:rsidRDefault="00A21C81">
            <w:pPr>
              <w:spacing w:after="60" w:line="247" w:lineRule="auto"/>
            </w:pPr>
            <w:r>
              <w:rPr>
                <w:rFonts w:cs="EB Garamond"/>
                <w:kern w:val="16"/>
                <w:sz w:val="19"/>
                <w14:ligatures w14:val="standardContextual"/>
              </w:rPr>
              <w:t>TRF4: o art. 22 da EC 103/2019 determina que a aposentadoria da pessoa com deficiência seguirá regida pela LC 142/2013, inclusive quanto aos critérios de cálculo; logo, a renda mensal inicial corresponde a 100% do salário de benefício (art. 8º, I, LC 142), não incidindo o coeficiente de 60% + 2% por ano excedente do art. 26 da EC 103 (TRF4, AC 5009887-19.2021.4.04.7112).</w:t>
            </w:r>
          </w:p>
          <w:p w14:paraId="57971C84" w14:textId="77777777" w:rsidR="005A5FCC" w:rsidRDefault="00A21C81">
            <w:pPr>
              <w:spacing w:after="60" w:line="247" w:lineRule="auto"/>
            </w:pPr>
            <w:r>
              <w:rPr>
                <w:rFonts w:cs="EB Garamond"/>
                <w:kern w:val="16"/>
                <w:sz w:val="19"/>
                <w14:ligatures w14:val="standardContextual"/>
              </w:rPr>
              <w:t>TRF3: a manutenção da LC 142/2013 pelo art. 22 da EC 103/2019 abrange tanto os requisitos de acesso (tempo de contribuição reduzido conforme o grau) quanto a forma de cálculo da renda mensal inicial — coeficiente de 100% do salário de benefício para a aposentadoria por tempo de contribuição e de 70% acrescido de 1% por grupo de 12 contribuições mensais para a aposentadoria por idade (TRF3, ApCiv 5003214-82.2020.4.03.6110).</w:t>
            </w:r>
          </w:p>
          <w:p w14:paraId="5B2DDA14" w14:textId="77777777" w:rsidR="005A5FCC" w:rsidRDefault="00A21C81">
            <w:pPr>
              <w:spacing w:after="60" w:line="247" w:lineRule="auto"/>
            </w:pPr>
            <w:r>
              <w:rPr>
                <w:rFonts w:cs="EB Garamond"/>
                <w:kern w:val="16"/>
                <w:sz w:val="19"/>
                <w14:ligatures w14:val="standardContextual"/>
              </w:rPr>
              <w:t>Resta, ainda, definir a base de cálculo: se a média deve incidir sobre os 80% maiores SC (sistemática da Lei 8.213/91, vigente quando da edição da LC 142) ou sobre 100% dos SC (regra do art. 26, caput, EC 103). A doutrina dominante firma a tese — que adotamos — de que o art. 22 preserva o COEFICIENTE da LC 142 (100% do SB para TC; 70% + 1% por grupo de 12 contribuições para idade), mas a BASE de cálculo é a do art. 26 da EC 103: média de 100% dos SC, com possibilidade de exclusão das contribuições prejudiciais (art. 26, § 6º). Não se trata de regra mais restritiva: a média de 100% dos SC, conjugada à faculdade de descarte, costuma ser neutra ou favorável ao segurado, de modo que a cláusula de garantia do art. 6º da LC 142 raramente é acionada nesse ponto.</w:t>
            </w:r>
          </w:p>
        </w:tc>
      </w:tr>
    </w:tbl>
    <w:p w14:paraId="644AD654" w14:textId="77777777" w:rsidR="005A5FCC" w:rsidRDefault="005A5FCC">
      <w:pPr>
        <w:spacing w:after="80" w:line="240" w:lineRule="auto"/>
      </w:pPr>
    </w:p>
    <w:p w14:paraId="260D39D2"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12.6 Aposentadoria por idade da pessoa com deficiência</w:t>
      </w:r>
    </w:p>
    <w:p w14:paraId="646FF6F1"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36616A98" w14:textId="77777777" w:rsidR="005A5FCC" w:rsidRDefault="00A21C81">
      <w:r>
        <w:rPr>
          <w:rFonts w:cs="EB Garamond"/>
          <w:kern w:val="16"/>
          <w14:ligatures w14:val="standardContextual"/>
        </w:rPr>
        <w:t xml:space="preserve"> aposentadoria por idade da PcD, prevista no art. 3º, IV, da LC 142/2013, constitui alternativa para o segurado com deficiência que não possui TC suficiente para a modalidade do art. 3º, I-III, mas já atingiu a idade mínima reduzida.</w:t>
      </w:r>
    </w:p>
    <w:p w14:paraId="52432A66" w14:textId="77777777" w:rsidR="005A5FCC" w:rsidRDefault="00A21C81">
      <w:pPr>
        <w:spacing w:before="260" w:after="80" w:line="240" w:lineRule="auto"/>
        <w:jc w:val="left"/>
      </w:pPr>
      <w:r>
        <w:rPr>
          <w:rFonts w:cs="EB Garamond"/>
          <w:b/>
          <w:color w:val="3A3128"/>
          <w:kern w:val="16"/>
          <w:sz w:val="25"/>
          <w14:ligatures w14:val="standardContextual"/>
        </w:rPr>
        <w:t>12.6.1 Requisitos</w:t>
      </w:r>
    </w:p>
    <w:p w14:paraId="75BE7B72"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2792AFF0" w14:textId="77777777" w:rsidR="005A5FCC" w:rsidRDefault="00A21C81">
      <w:r>
        <w:rPr>
          <w:rFonts w:cs="EB Garamond"/>
          <w:kern w:val="16"/>
          <w14:ligatures w14:val="standardContextual"/>
        </w:rPr>
        <w:t>s requisitos são cumulativos:</w:t>
      </w:r>
    </w:p>
    <w:p w14:paraId="417456D7" w14:textId="77777777" w:rsidR="005A5FCC" w:rsidRDefault="00A21C81">
      <w:pPr>
        <w:ind w:firstLine="238"/>
      </w:pPr>
      <w:r>
        <w:rPr>
          <w:rFonts w:cs="EB Garamond"/>
          <w:b/>
          <w:kern w:val="16"/>
          <w14:ligatures w14:val="standardContextual"/>
        </w:rPr>
        <w:t>a) Idade mínima:</w:t>
      </w:r>
      <w:r>
        <w:rPr>
          <w:rFonts w:cs="EB Garamond"/>
          <w:kern w:val="16"/>
          <w14:ligatures w14:val="standardContextual"/>
        </w:rPr>
        <w:t xml:space="preserve"> 60 anos (homem) / 55 anos (mulher) — redução de 5 anos em relação à regra permanente (65H/62M).</w:t>
      </w:r>
    </w:p>
    <w:p w14:paraId="273448FA" w14:textId="77777777" w:rsidR="005A5FCC" w:rsidRDefault="00A21C81">
      <w:pPr>
        <w:ind w:firstLine="238"/>
      </w:pPr>
      <w:r>
        <w:rPr>
          <w:rFonts w:cs="EB Garamond"/>
          <w:b/>
          <w:kern w:val="16"/>
          <w14:ligatures w14:val="standardContextual"/>
        </w:rPr>
        <w:t>b) Carência:</w:t>
      </w:r>
      <w:r>
        <w:rPr>
          <w:rFonts w:cs="EB Garamond"/>
          <w:kern w:val="16"/>
          <w14:ligatures w14:val="standardContextual"/>
        </w:rPr>
        <w:t xml:space="preserve"> 15 anos de contribuição (180 contribuições mensais).</w:t>
      </w:r>
    </w:p>
    <w:p w14:paraId="1BE0749E" w14:textId="77777777" w:rsidR="005A5FCC" w:rsidRDefault="00A21C81">
      <w:pPr>
        <w:ind w:firstLine="238"/>
      </w:pPr>
      <w:r>
        <w:rPr>
          <w:rFonts w:cs="EB Garamond"/>
          <w:b/>
          <w:kern w:val="16"/>
          <w14:ligatures w14:val="standardContextual"/>
        </w:rPr>
        <w:t>c) Deficiência:</w:t>
      </w:r>
      <w:r>
        <w:rPr>
          <w:rFonts w:cs="EB Garamond"/>
          <w:kern w:val="16"/>
          <w14:ligatures w14:val="standardContextual"/>
        </w:rPr>
        <w:t xml:space="preserve"> comprovação de existência durante, no mínimo, igual período (15 anos). O segurado deve comprovar que possuía deficiência durante os 15 anos de contribuição exigidos como carência. Como esses 15 anos quase sempre se situam no passado, a perícia biopsicossocial os reconstrói retroativamente — à semelhança do cuidado exposto na seção 12.11.4 quanto à fixação da data de início da deficiência: o perito retrospecta a documentação médica contemporânea (laudos com CID-10, prontuários, relatórios), aferindo se a interação entre impedimento e barreiras já configurava deficiência ao longo de todo o período de carência, e não apenas no momento da avaliação. A insuficiência de prova documental para anos remotos é a principal dificuldade prática, devendo o conjunto probatório suprir as lacunas (seção 12.11.4).</w:t>
      </w:r>
    </w:p>
    <w:p w14:paraId="0CE6840E" w14:textId="77777777" w:rsidR="005A5FCC" w:rsidRDefault="00A21C81">
      <w:pPr>
        <w:ind w:firstLine="238"/>
      </w:pPr>
      <w:r>
        <w:rPr>
          <w:rFonts w:cs="EB Garamond"/>
          <w:b/>
          <w:kern w:val="16"/>
          <w14:ligatures w14:val="standardContextual"/>
        </w:rPr>
        <w:t>d) Grau de deficiência: irrelevante.</w:t>
      </w:r>
      <w:r>
        <w:rPr>
          <w:rFonts w:cs="EB Garamond"/>
          <w:kern w:val="16"/>
          <w14:ligatures w14:val="standardContextual"/>
        </w:rPr>
        <w:t xml:space="preserve"> Diferentemente da aposentadoria por TC da PcD, a aposentadoria por idade da PcD não exige grau específico. Basta a comprovação de que o segurado possuía deficiência (qualquer grau — grave, moderada ou leve) durante o período de carência.</w:t>
      </w:r>
    </w:p>
    <w:tbl>
      <w:tblPr>
        <w:tblW w:w="5000" w:type="pct"/>
        <w:jc w:val="center"/>
        <w:tblLayout w:type="fixed"/>
        <w:tblLook w:val="04A0" w:firstRow="1" w:lastRow="0" w:firstColumn="1" w:lastColumn="0" w:noHBand="0" w:noVBand="1"/>
      </w:tblPr>
      <w:tblGrid>
        <w:gridCol w:w="6311"/>
      </w:tblGrid>
      <w:tr w:rsidR="005A5FCC" w14:paraId="2B13BF85"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0264B879" w14:textId="77777777" w:rsidR="005A5FCC" w:rsidRDefault="00A21C81">
            <w:pPr>
              <w:spacing w:after="60" w:line="240" w:lineRule="auto"/>
              <w:jc w:val="left"/>
            </w:pPr>
            <w:r>
              <w:rPr>
                <w:rFonts w:ascii="Noto Sans" w:hAnsi="Noto Sans" w:cs="Noto Sans"/>
                <w:b/>
                <w:caps/>
                <w:color w:val="B78B37"/>
                <w:kern w:val="16"/>
                <w:sz w:val="16"/>
                <w14:ligatures w14:val="standardContextual"/>
              </w:rPr>
              <w:lastRenderedPageBreak/>
              <w:t>ATENÇÃO</w:t>
            </w:r>
          </w:p>
          <w:p w14:paraId="6D05B3F3" w14:textId="77777777" w:rsidR="005A5FCC" w:rsidRDefault="00A21C81">
            <w:pPr>
              <w:spacing w:after="60" w:line="247" w:lineRule="auto"/>
            </w:pPr>
            <w:r>
              <w:rPr>
                <w:rFonts w:cs="EB Garamond"/>
                <w:b/>
                <w:kern w:val="16"/>
                <w:sz w:val="19"/>
                <w14:ligatures w14:val="standardContextual"/>
              </w:rPr>
              <w:t>O grau da deficiência NÃO importa para a aposentadoria por idade da PcD</w:t>
            </w:r>
          </w:p>
          <w:p w14:paraId="0ED561C0" w14:textId="77777777" w:rsidR="005A5FCC" w:rsidRDefault="00A21C81">
            <w:pPr>
              <w:spacing w:after="60" w:line="247" w:lineRule="auto"/>
            </w:pPr>
            <w:r>
              <w:rPr>
                <w:rFonts w:cs="EB Garamond"/>
                <w:kern w:val="16"/>
                <w:sz w:val="19"/>
                <w14:ligatures w14:val="standardContextual"/>
              </w:rPr>
              <w:t>Na aposentadoria por TC da PcD, o grau é determinante: grave = 25H/20M, moderada = 29H/24M, leve = 33H/28M. Na aposentadoria por idade da PcD, o grau é irrelevante: basta comprovar a existência de deficiência (qualquer grau) durante 15 anos. O segurado com deficiência leve tem o mesmo requisito etário (60H/55M) que o segurado com deficiência grave. A diferença entre os graus incide apenas no TC mínimo da aposentadoria por TC.</w:t>
            </w:r>
          </w:p>
        </w:tc>
      </w:tr>
    </w:tbl>
    <w:p w14:paraId="2FA710B5" w14:textId="77777777" w:rsidR="005A5FCC" w:rsidRDefault="005A5FCC">
      <w:pPr>
        <w:spacing w:after="80" w:line="240" w:lineRule="auto"/>
      </w:pPr>
    </w:p>
    <w:p w14:paraId="3738BCDB" w14:textId="77777777" w:rsidR="005A5FCC" w:rsidRDefault="00A21C81">
      <w:pPr>
        <w:spacing w:before="260" w:after="80" w:line="240" w:lineRule="auto"/>
        <w:jc w:val="left"/>
      </w:pPr>
      <w:r>
        <w:rPr>
          <w:rFonts w:cs="EB Garamond"/>
          <w:b/>
          <w:color w:val="3A3128"/>
          <w:kern w:val="16"/>
          <w:sz w:val="25"/>
          <w14:ligatures w14:val="standardContextual"/>
        </w:rPr>
        <w:t>12.6.2 Cálculo do benefício</w:t>
      </w:r>
    </w:p>
    <w:p w14:paraId="16B1F3E1"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43E5BBCE" w14:textId="77777777" w:rsidR="005A5FCC" w:rsidRDefault="00A21C81">
      <w:r>
        <w:rPr>
          <w:rFonts w:cs="EB Garamond"/>
          <w:kern w:val="16"/>
          <w14:ligatures w14:val="standardContextual"/>
        </w:rPr>
        <w:t xml:space="preserve"> cálculo da aposentadoria por idade da PcD é definido pelo art. 8º, II, da LC 142: 70% do salário de benefício mais 1% por grupo de 12 contribuições mensais, até o máximo de 30 pontos percentuais. A unidade legal é o grupo de 12 contribuições — e não o ano-calendário —, distinção que importa porque contribuições esparsas ou recolhidas em meses isolados podem não completar grupos sucessivos; ao longo deste capítulo, quando empregamos a forma abreviada "70% + 1% por grupo de 12 contribuições", é a esse critério que nos referimos. Assim, o coeficiente varia entre 70% (180 contribuições, equivalentes a 15 anos) e o teto de 100%, que é atingido a partir de 360 contribuições (30 grupos de 12, equivalentes a 30 anos), por força do limite de 30 pontos percentuais de acréscimo; contribuições além desse marco não elevam o coeficiente. Na prática, a maioria dos segurados situa-se na faixa entre 70% e 90%.</w:t>
      </w:r>
    </w:p>
    <w:p w14:paraId="5F62A919" w14:textId="77777777" w:rsidR="005A5FCC" w:rsidRDefault="00A21C81">
      <w:pPr>
        <w:ind w:firstLine="238"/>
      </w:pPr>
      <w:r>
        <w:rPr>
          <w:rFonts w:cs="EB Garamond"/>
          <w:kern w:val="16"/>
          <w14:ligatures w14:val="standardContextual"/>
        </w:rPr>
        <w:t>O fator previdenciário, como na aposentadoria por TC da PcD, somente se aplica se vantajoso (art. 9º, I, LC 142).</w:t>
      </w:r>
    </w:p>
    <w:tbl>
      <w:tblPr>
        <w:tblW w:w="5000" w:type="pct"/>
        <w:jc w:val="center"/>
        <w:tblLayout w:type="fixed"/>
        <w:tblLook w:val="04A0" w:firstRow="1" w:lastRow="0" w:firstColumn="1" w:lastColumn="0" w:noHBand="0" w:noVBand="1"/>
      </w:tblPr>
      <w:tblGrid>
        <w:gridCol w:w="6311"/>
      </w:tblGrid>
      <w:tr w:rsidR="005A5FCC" w14:paraId="359A3E63"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66FE070F"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3A61C8A1" w14:textId="77777777" w:rsidR="005A5FCC" w:rsidRDefault="00A21C81">
            <w:pPr>
              <w:spacing w:after="60" w:line="247" w:lineRule="auto"/>
            </w:pPr>
            <w:r>
              <w:rPr>
                <w:rFonts w:cs="EB Garamond"/>
                <w:b/>
                <w:kern w:val="16"/>
                <w:sz w:val="19"/>
                <w14:ligatures w14:val="standardContextual"/>
              </w:rPr>
              <w:t>Simulação: Aposentadoria por idade da PcD</w:t>
            </w:r>
          </w:p>
          <w:p w14:paraId="545A9DD5" w14:textId="77777777" w:rsidR="005A5FCC" w:rsidRDefault="00A21C81">
            <w:pPr>
              <w:spacing w:after="60" w:line="247" w:lineRule="auto"/>
            </w:pPr>
            <w:r>
              <w:rPr>
                <w:rFonts w:cs="EB Garamond"/>
                <w:b/>
                <w:kern w:val="16"/>
                <w:sz w:val="19"/>
                <w14:ligatures w14:val="standardContextual"/>
              </w:rPr>
              <w:t>Segurada:</w:t>
            </w:r>
            <w:r>
              <w:rPr>
                <w:rFonts w:cs="EB Garamond"/>
                <w:kern w:val="16"/>
                <w:sz w:val="19"/>
                <w14:ligatures w14:val="standardContextual"/>
              </w:rPr>
              <w:t xml:space="preserve"> Marta, 55 anos, sexo feminino, deficiência leve desde os 30 anos. Contribuiu por 25 anos (300 contribuições mensais).</w:t>
            </w:r>
          </w:p>
          <w:p w14:paraId="3365C9F3" w14:textId="77777777" w:rsidR="005A5FCC" w:rsidRDefault="00A21C81">
            <w:pPr>
              <w:spacing w:after="60" w:line="247" w:lineRule="auto"/>
            </w:pPr>
            <w:r>
              <w:rPr>
                <w:rFonts w:cs="EB Garamond"/>
                <w:b/>
                <w:kern w:val="16"/>
                <w:sz w:val="19"/>
                <w14:ligatures w14:val="standardContextual"/>
              </w:rPr>
              <w:t>Requisitos:</w:t>
            </w:r>
            <w:r>
              <w:rPr>
                <w:rFonts w:cs="EB Garamond"/>
                <w:kern w:val="16"/>
                <w:sz w:val="19"/>
                <w14:ligatures w14:val="standardContextual"/>
              </w:rPr>
              <w:t xml:space="preserve"> - Idade: 55 anos (mulher) — atendido - Carência: 180 meses (15 anos) — atendido (25 anos) - Deficiência durante 15 anos: leve, desde os 30 anos = 25 anos com deficiência, atendido - Grau: irrelevante para aposentadoria por idade</w:t>
            </w:r>
          </w:p>
          <w:p w14:paraId="63013363" w14:textId="77777777" w:rsidR="005A5FCC" w:rsidRDefault="00A21C81">
            <w:pPr>
              <w:spacing w:after="60" w:line="247" w:lineRule="auto"/>
            </w:pPr>
            <w:r>
              <w:rPr>
                <w:rFonts w:cs="EB Garamond"/>
                <w:b/>
                <w:kern w:val="16"/>
                <w:sz w:val="19"/>
                <w14:ligatures w14:val="standardContextual"/>
              </w:rPr>
              <w:t>Cálculo:</w:t>
            </w:r>
            <w:r>
              <w:rPr>
                <w:rFonts w:cs="EB Garamond"/>
                <w:kern w:val="16"/>
                <w:sz w:val="19"/>
                <w14:ligatures w14:val="standardContextual"/>
              </w:rPr>
              <w:t xml:space="preserve"> - Média de 100% dos SC: R$ 3.200,00 (exemplo) - Coeficiente: 70% + 1% × 25 (anos de contribuição) = 70% + 25% = </w:t>
            </w:r>
            <w:r>
              <w:rPr>
                <w:rFonts w:cs="EB Garamond"/>
                <w:b/>
                <w:kern w:val="16"/>
                <w:sz w:val="19"/>
                <w14:ligatures w14:val="standardContextual"/>
              </w:rPr>
              <w:t>95%</w:t>
            </w:r>
            <w:r>
              <w:rPr>
                <w:rFonts w:cs="EB Garamond"/>
                <w:kern w:val="16"/>
                <w:sz w:val="19"/>
                <w14:ligatures w14:val="standardContextual"/>
              </w:rPr>
              <w:t xml:space="preserve"> - RMI bruta: R$ 3.200,00 × 95% = R$ 3.040,00 - Fator previdenciário (55 anos, 25 anos TC): ≈ 0,58 → NÃO se aplica (desvantajoso) - </w:t>
            </w:r>
            <w:r>
              <w:rPr>
                <w:rFonts w:cs="EB Garamond"/>
                <w:b/>
                <w:kern w:val="16"/>
                <w:sz w:val="19"/>
                <w14:ligatures w14:val="standardContextual"/>
              </w:rPr>
              <w:t>RMI final:</w:t>
            </w:r>
            <w:r>
              <w:rPr>
                <w:rFonts w:cs="EB Garamond"/>
                <w:kern w:val="16"/>
                <w:sz w:val="19"/>
                <w14:ligatures w14:val="standardContextual"/>
              </w:rPr>
              <w:t xml:space="preserve"> R$ 3.040,00</w:t>
            </w:r>
          </w:p>
          <w:p w14:paraId="401D3B13" w14:textId="77777777" w:rsidR="005A5FCC" w:rsidRDefault="00A21C81">
            <w:pPr>
              <w:spacing w:after="60" w:line="247" w:lineRule="auto"/>
            </w:pPr>
            <w:r>
              <w:rPr>
                <w:rFonts w:cs="EB Garamond"/>
                <w:b/>
                <w:kern w:val="16"/>
                <w:sz w:val="19"/>
                <w14:ligatures w14:val="standardContextual"/>
              </w:rPr>
              <w:t>Comparativo com aposentadoria por idade comum (regra permanente, art. 201, § 7º, II, EC 103):</w:t>
            </w:r>
            <w:r>
              <w:rPr>
                <w:rFonts w:cs="EB Garamond"/>
                <w:kern w:val="16"/>
                <w:sz w:val="19"/>
                <w14:ligatures w14:val="standardContextual"/>
              </w:rPr>
              <w:t xml:space="preserve"> Marta teria de esperar até 62 anos (idade mínima para mulher) e o coeficiente seria 60% + 2% × 10 (anos excedentes a 15) = 80%. Com a mesma média de R$ 3.200,00: RMI = R$ 2.560,00.</w:t>
            </w:r>
          </w:p>
          <w:p w14:paraId="3C702723" w14:textId="77777777" w:rsidR="005A5FCC" w:rsidRDefault="00A21C81">
            <w:pPr>
              <w:spacing w:after="60" w:line="247" w:lineRule="auto"/>
            </w:pPr>
            <w:r>
              <w:rPr>
                <w:rFonts w:cs="EB Garamond"/>
                <w:b/>
                <w:kern w:val="16"/>
                <w:sz w:val="19"/>
                <w14:ligatures w14:val="standardContextual"/>
              </w:rPr>
              <w:t>Vantagem da PcD por idade:</w:t>
            </w:r>
            <w:r>
              <w:rPr>
                <w:rFonts w:cs="EB Garamond"/>
                <w:kern w:val="16"/>
                <w:sz w:val="19"/>
                <w14:ligatures w14:val="standardContextual"/>
              </w:rPr>
              <w:t xml:space="preserve"> acesso 7 anos antes (55 vs. 62) + coeficiente mais favorável (95% vs. 80%).</w:t>
            </w:r>
          </w:p>
        </w:tc>
      </w:tr>
    </w:tbl>
    <w:p w14:paraId="7958192E" w14:textId="77777777" w:rsidR="005A5FCC" w:rsidRDefault="005A5FCC">
      <w:pPr>
        <w:spacing w:after="80" w:line="240" w:lineRule="auto"/>
      </w:pPr>
    </w:p>
    <w:p w14:paraId="43CAE2E9" w14:textId="77777777" w:rsidR="005A5FCC" w:rsidRDefault="00A21C81">
      <w:pPr>
        <w:spacing w:before="260" w:after="80" w:line="240" w:lineRule="auto"/>
        <w:jc w:val="left"/>
      </w:pPr>
      <w:r>
        <w:rPr>
          <w:rFonts w:cs="EB Garamond"/>
          <w:b/>
          <w:color w:val="3A3128"/>
          <w:kern w:val="16"/>
          <w:sz w:val="25"/>
          <w14:ligatures w14:val="standardContextual"/>
        </w:rPr>
        <w:t>12.6.3 Quando a aposentadoria por idade PcD é mais vantajosa</w:t>
      </w:r>
    </w:p>
    <w:p w14:paraId="596FDF62"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33D98B2B" w14:textId="77777777" w:rsidR="005A5FCC" w:rsidRDefault="00A21C81">
      <w:r>
        <w:rPr>
          <w:rFonts w:cs="EB Garamond"/>
          <w:kern w:val="16"/>
          <w14:ligatures w14:val="standardContextual"/>
        </w:rPr>
        <w:t xml:space="preserve"> aposentadoria por idade da PcD é especialmente indicada nos seguintes cenários:</w:t>
      </w:r>
    </w:p>
    <w:p w14:paraId="3BBCBEEC" w14:textId="77777777" w:rsidR="005A5FCC" w:rsidRDefault="00A21C81">
      <w:pPr>
        <w:spacing w:after="40" w:line="252" w:lineRule="auto"/>
        <w:ind w:left="340" w:hanging="198"/>
      </w:pPr>
      <w:r>
        <w:rPr>
          <w:rFonts w:cs="EB Garamond"/>
          <w:color w:val="3A3128"/>
          <w:kern w:val="16"/>
          <w:sz w:val="20"/>
          <w14:ligatures w14:val="standardContextual"/>
        </w:rPr>
        <w:t xml:space="preserve">1. </w:t>
      </w:r>
      <w:r>
        <w:rPr>
          <w:rFonts w:cs="EB Garamond"/>
          <w:b/>
          <w:kern w:val="16"/>
          <w:sz w:val="20"/>
          <w14:ligatures w14:val="standardContextual"/>
        </w:rPr>
        <w:t>Segurado PcD com TC insuficiente para a aposentadoria por TC da PcD:</w:t>
      </w:r>
      <w:r>
        <w:rPr>
          <w:rFonts w:cs="EB Garamond"/>
          <w:kern w:val="16"/>
          <w:sz w:val="20"/>
          <w14:ligatures w14:val="standardContextual"/>
        </w:rPr>
        <w:t xml:space="preserve"> um segurado homem com deficiência leve que tem apenas 20 anos de TC não atinge os 33 anos exigidos para a aposentadoria por TC leve, mas pode requerer a aposentadoria por idade ao completar 60 anos.</w:t>
      </w:r>
    </w:p>
    <w:p w14:paraId="52F53674" w14:textId="77777777" w:rsidR="005A5FCC" w:rsidRDefault="005A5FCC">
      <w:pPr>
        <w:spacing w:after="60" w:line="240" w:lineRule="auto"/>
      </w:pPr>
    </w:p>
    <w:p w14:paraId="2436EE5D" w14:textId="538B99DD" w:rsidR="005A5FCC" w:rsidRDefault="00521F4C">
      <w:pPr>
        <w:spacing w:after="40" w:line="252" w:lineRule="auto"/>
        <w:ind w:left="340" w:hanging="198"/>
      </w:pPr>
      <w:r>
        <w:rPr>
          <w:rFonts w:cs="EB Garamond"/>
          <w:color w:val="3A3128"/>
          <w:kern w:val="16"/>
          <w:sz w:val="20"/>
          <w14:ligatures w14:val="standardContextual"/>
        </w:rPr>
        <w:t>2</w:t>
      </w:r>
      <w:r w:rsidR="00A21C81">
        <w:rPr>
          <w:rFonts w:cs="EB Garamond"/>
          <w:color w:val="3A3128"/>
          <w:kern w:val="16"/>
          <w:sz w:val="20"/>
          <w14:ligatures w14:val="standardContextual"/>
        </w:rPr>
        <w:t xml:space="preserve">. </w:t>
      </w:r>
      <w:r w:rsidR="00A21C81">
        <w:rPr>
          <w:rFonts w:cs="EB Garamond"/>
          <w:b/>
          <w:kern w:val="16"/>
          <w:sz w:val="20"/>
          <w14:ligatures w14:val="standardContextual"/>
        </w:rPr>
        <w:t>Segurado PcD que contribuiu apenas pelo plano simplificado (11%) ou como MEI (5%):</w:t>
      </w:r>
      <w:r w:rsidR="00A21C81">
        <w:rPr>
          <w:rFonts w:cs="EB Garamond"/>
          <w:kern w:val="16"/>
          <w:sz w:val="20"/>
          <w14:ligatures w14:val="standardContextual"/>
        </w:rPr>
        <w:t xml:space="preserve"> essas contribuições não contam para aposentadoria por TC, mas contam para aposentadoria por idade (conforme seção 12.17).</w:t>
      </w:r>
    </w:p>
    <w:p w14:paraId="6A6320AD" w14:textId="77777777" w:rsidR="005A5FCC" w:rsidRDefault="005A5FCC">
      <w:pPr>
        <w:spacing w:after="60" w:line="240" w:lineRule="auto"/>
      </w:pPr>
    </w:p>
    <w:p w14:paraId="77E98435" w14:textId="1E7AE6E9" w:rsidR="005A5FCC" w:rsidRDefault="00521F4C">
      <w:pPr>
        <w:spacing w:after="40" w:line="252" w:lineRule="auto"/>
        <w:ind w:left="340" w:hanging="198"/>
      </w:pPr>
      <w:r>
        <w:rPr>
          <w:rFonts w:cs="EB Garamond"/>
          <w:color w:val="3A3128"/>
          <w:kern w:val="16"/>
          <w:sz w:val="20"/>
          <w14:ligatures w14:val="standardContextual"/>
        </w:rPr>
        <w:lastRenderedPageBreak/>
        <w:t>3</w:t>
      </w:r>
      <w:r w:rsidR="00A21C81">
        <w:rPr>
          <w:rFonts w:cs="EB Garamond"/>
          <w:color w:val="3A3128"/>
          <w:kern w:val="16"/>
          <w:sz w:val="20"/>
          <w14:ligatures w14:val="standardContextual"/>
        </w:rPr>
        <w:t xml:space="preserve">. </w:t>
      </w:r>
      <w:r w:rsidR="00A21C81">
        <w:rPr>
          <w:rFonts w:cs="EB Garamond"/>
          <w:b/>
          <w:kern w:val="16"/>
          <w:sz w:val="20"/>
          <w14:ligatures w14:val="standardContextual"/>
        </w:rPr>
        <w:t>Segurado PcD com deficiência leve e idade avançada:</w:t>
      </w:r>
      <w:r w:rsidR="00A21C81">
        <w:rPr>
          <w:rFonts w:cs="EB Garamond"/>
          <w:kern w:val="16"/>
          <w:sz w:val="20"/>
          <w14:ligatures w14:val="standardContextual"/>
        </w:rPr>
        <w:t xml:space="preserve"> para quem tem deficiência leve, o TC exigido (33H/28M) é quase igual ao TC comum (35H/30M), representando pouca vantagem. Nesses casos, a aposentadoria por idade da PcD (60H/55M com 15 anos de TC) pode ser mais acessível.</w:t>
      </w:r>
    </w:p>
    <w:p w14:paraId="5481CCA7" w14:textId="77777777" w:rsidR="005A5FCC" w:rsidRDefault="005A5FCC">
      <w:pPr>
        <w:spacing w:after="60" w:line="240" w:lineRule="auto"/>
      </w:pPr>
    </w:p>
    <w:p w14:paraId="129515FC" w14:textId="77777777" w:rsidR="005A5FCC" w:rsidRDefault="00A21C81">
      <w:pPr>
        <w:spacing w:before="260" w:after="80" w:line="240" w:lineRule="auto"/>
        <w:jc w:val="left"/>
      </w:pPr>
      <w:r>
        <w:rPr>
          <w:rFonts w:cs="EB Garamond"/>
          <w:b/>
          <w:color w:val="3A3128"/>
          <w:kern w:val="16"/>
          <w:sz w:val="25"/>
          <w14:ligatures w14:val="standardContextual"/>
        </w:rPr>
        <w:t>12.6.4 Tabela comparativa: aposentadoria por idade PcD vs. Regra permanente vs. Transição</w:t>
      </w:r>
    </w:p>
    <w:tbl>
      <w:tblPr>
        <w:tblW w:w="5000" w:type="pct"/>
        <w:jc w:val="center"/>
        <w:tblLook w:val="04A0" w:firstRow="1" w:lastRow="0" w:firstColumn="1" w:lastColumn="0" w:noHBand="0" w:noVBand="1"/>
      </w:tblPr>
      <w:tblGrid>
        <w:gridCol w:w="1585"/>
        <w:gridCol w:w="1585"/>
        <w:gridCol w:w="1585"/>
        <w:gridCol w:w="1585"/>
      </w:tblGrid>
      <w:tr w:rsidR="005A5FCC" w14:paraId="332C7770" w14:textId="77777777">
        <w:trPr>
          <w:tblHeader/>
          <w:jc w:val="center"/>
        </w:trPr>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7C792CED" w14:textId="77777777" w:rsidR="005A5FCC" w:rsidRDefault="00A21C81">
            <w:pPr>
              <w:spacing w:before="40" w:after="40" w:line="240" w:lineRule="auto"/>
              <w:jc w:val="center"/>
            </w:pPr>
            <w:r>
              <w:rPr>
                <w:rFonts w:cs="EB Garamond"/>
                <w:b/>
                <w:color w:val="2F2923"/>
                <w:kern w:val="16"/>
                <w:sz w:val="18"/>
                <w14:ligatures w14:val="standardContextual"/>
              </w:rPr>
              <w:t>Aspecto</w:t>
            </w:r>
          </w:p>
        </w:tc>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4FBD6BC5" w14:textId="77777777" w:rsidR="005A5FCC" w:rsidRDefault="00A21C81">
            <w:pPr>
              <w:spacing w:before="40" w:after="40" w:line="240" w:lineRule="auto"/>
              <w:jc w:val="center"/>
            </w:pPr>
            <w:r>
              <w:rPr>
                <w:rFonts w:cs="EB Garamond"/>
                <w:b/>
                <w:color w:val="2F2923"/>
                <w:kern w:val="16"/>
                <w:sz w:val="18"/>
                <w14:ligatures w14:val="standardContextual"/>
              </w:rPr>
              <w:t>Idade PcD (art. 3º, IV, LC 142)</w:t>
            </w:r>
          </w:p>
        </w:tc>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30DC3F28" w14:textId="77777777" w:rsidR="005A5FCC" w:rsidRDefault="00A21C81">
            <w:pPr>
              <w:spacing w:before="40" w:after="40" w:line="240" w:lineRule="auto"/>
              <w:jc w:val="center"/>
            </w:pPr>
            <w:r>
              <w:rPr>
                <w:rFonts w:cs="EB Garamond"/>
                <w:b/>
                <w:color w:val="2F2923"/>
                <w:kern w:val="16"/>
                <w:sz w:val="18"/>
                <w14:ligatures w14:val="standardContextual"/>
              </w:rPr>
              <w:t>Regra permanente (art. 201, § 7º, II, EC 103)</w:t>
            </w:r>
          </w:p>
        </w:tc>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0C6FAC2A" w14:textId="77777777" w:rsidR="005A5FCC" w:rsidRDefault="00A21C81">
            <w:pPr>
              <w:spacing w:before="40" w:after="40" w:line="240" w:lineRule="auto"/>
              <w:jc w:val="center"/>
            </w:pPr>
            <w:r>
              <w:rPr>
                <w:rFonts w:cs="EB Garamond"/>
                <w:b/>
                <w:color w:val="2F2923"/>
                <w:kern w:val="16"/>
                <w:sz w:val="18"/>
                <w14:ligatures w14:val="standardContextual"/>
              </w:rPr>
              <w:t>Transição idade (art. 18, EC 103)</w:t>
            </w:r>
          </w:p>
        </w:tc>
      </w:tr>
      <w:tr w:rsidR="005A5FCC" w14:paraId="1DE0253F"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4BEED5A9" w14:textId="77777777" w:rsidR="005A5FCC" w:rsidRDefault="00A21C81">
            <w:pPr>
              <w:spacing w:before="20" w:after="20" w:line="240" w:lineRule="auto"/>
              <w:jc w:val="left"/>
            </w:pPr>
            <w:r>
              <w:rPr>
                <w:rFonts w:cs="EB Garamond"/>
                <w:b/>
                <w:kern w:val="16"/>
                <w:sz w:val="18"/>
                <w14:ligatures w14:val="standardContextual"/>
              </w:rPr>
              <w:t>Idade (H/M)</w:t>
            </w:r>
          </w:p>
        </w:tc>
        <w:tc>
          <w:tcPr>
            <w:tcW w:w="1587" w:type="dxa"/>
            <w:tcBorders>
              <w:top w:val="single" w:sz="4" w:space="0" w:color="D2C9B8"/>
              <w:left w:val="single" w:sz="4" w:space="0" w:color="D2C9B8"/>
              <w:bottom w:val="single" w:sz="4" w:space="0" w:color="D2C9B8"/>
              <w:right w:val="single" w:sz="4" w:space="0" w:color="D2C9B8"/>
            </w:tcBorders>
          </w:tcPr>
          <w:p w14:paraId="2487834C" w14:textId="77777777" w:rsidR="005A5FCC" w:rsidRDefault="00A21C81">
            <w:pPr>
              <w:spacing w:before="20" w:after="20" w:line="240" w:lineRule="auto"/>
              <w:jc w:val="left"/>
            </w:pPr>
            <w:r>
              <w:rPr>
                <w:rFonts w:cs="EB Garamond"/>
                <w:kern w:val="16"/>
                <w:sz w:val="18"/>
                <w14:ligatures w14:val="standardContextual"/>
              </w:rPr>
              <w:t>60/55</w:t>
            </w:r>
          </w:p>
        </w:tc>
        <w:tc>
          <w:tcPr>
            <w:tcW w:w="1587" w:type="dxa"/>
            <w:tcBorders>
              <w:top w:val="single" w:sz="4" w:space="0" w:color="D2C9B8"/>
              <w:left w:val="single" w:sz="4" w:space="0" w:color="D2C9B8"/>
              <w:bottom w:val="single" w:sz="4" w:space="0" w:color="D2C9B8"/>
              <w:right w:val="single" w:sz="4" w:space="0" w:color="D2C9B8"/>
            </w:tcBorders>
          </w:tcPr>
          <w:p w14:paraId="7DC4B859" w14:textId="77777777" w:rsidR="005A5FCC" w:rsidRDefault="00A21C81">
            <w:pPr>
              <w:spacing w:before="20" w:after="20" w:line="240" w:lineRule="auto"/>
              <w:jc w:val="left"/>
            </w:pPr>
            <w:r>
              <w:rPr>
                <w:rFonts w:cs="EB Garamond"/>
                <w:kern w:val="16"/>
                <w:sz w:val="18"/>
                <w14:ligatures w14:val="standardContextual"/>
              </w:rPr>
              <w:t>65/62</w:t>
            </w:r>
          </w:p>
        </w:tc>
        <w:tc>
          <w:tcPr>
            <w:tcW w:w="1587" w:type="dxa"/>
            <w:tcBorders>
              <w:top w:val="single" w:sz="4" w:space="0" w:color="D2C9B8"/>
              <w:left w:val="single" w:sz="4" w:space="0" w:color="D2C9B8"/>
              <w:bottom w:val="single" w:sz="4" w:space="0" w:color="D2C9B8"/>
              <w:right w:val="single" w:sz="4" w:space="0" w:color="D2C9B8"/>
            </w:tcBorders>
          </w:tcPr>
          <w:p w14:paraId="7EE121F1" w14:textId="77777777" w:rsidR="005A5FCC" w:rsidRDefault="00A21C81">
            <w:pPr>
              <w:spacing w:before="20" w:after="20" w:line="240" w:lineRule="auto"/>
              <w:jc w:val="left"/>
            </w:pPr>
            <w:r>
              <w:rPr>
                <w:rFonts w:cs="EB Garamond"/>
                <w:kern w:val="16"/>
                <w:sz w:val="18"/>
                <w14:ligatures w14:val="standardContextual"/>
              </w:rPr>
              <w:t>65/62 (progressiva)</w:t>
            </w:r>
          </w:p>
        </w:tc>
      </w:tr>
      <w:tr w:rsidR="005A5FCC" w14:paraId="6835E3F3"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3B019DC1" w14:textId="77777777" w:rsidR="005A5FCC" w:rsidRDefault="00A21C81">
            <w:pPr>
              <w:spacing w:before="20" w:after="20" w:line="240" w:lineRule="auto"/>
              <w:jc w:val="left"/>
            </w:pPr>
            <w:r>
              <w:rPr>
                <w:rFonts w:cs="EB Garamond"/>
                <w:b/>
                <w:kern w:val="16"/>
                <w:sz w:val="18"/>
                <w14:ligatures w14:val="standardContextual"/>
              </w:rPr>
              <w:t>TC mínimo</w:t>
            </w:r>
          </w:p>
        </w:tc>
        <w:tc>
          <w:tcPr>
            <w:tcW w:w="1587" w:type="dxa"/>
            <w:tcBorders>
              <w:top w:val="single" w:sz="4" w:space="0" w:color="D2C9B8"/>
              <w:left w:val="single" w:sz="4" w:space="0" w:color="D2C9B8"/>
              <w:bottom w:val="single" w:sz="4" w:space="0" w:color="D2C9B8"/>
              <w:right w:val="single" w:sz="4" w:space="0" w:color="D2C9B8"/>
            </w:tcBorders>
          </w:tcPr>
          <w:p w14:paraId="480DD3F9" w14:textId="77777777" w:rsidR="005A5FCC" w:rsidRDefault="00A21C81">
            <w:pPr>
              <w:spacing w:before="20" w:after="20" w:line="240" w:lineRule="auto"/>
              <w:jc w:val="left"/>
            </w:pPr>
            <w:r>
              <w:rPr>
                <w:rFonts w:cs="EB Garamond"/>
                <w:kern w:val="16"/>
                <w:sz w:val="18"/>
                <w14:ligatures w14:val="standardContextual"/>
              </w:rPr>
              <w:t>15 anos</w:t>
            </w:r>
          </w:p>
        </w:tc>
        <w:tc>
          <w:tcPr>
            <w:tcW w:w="1587" w:type="dxa"/>
            <w:tcBorders>
              <w:top w:val="single" w:sz="4" w:space="0" w:color="D2C9B8"/>
              <w:left w:val="single" w:sz="4" w:space="0" w:color="D2C9B8"/>
              <w:bottom w:val="single" w:sz="4" w:space="0" w:color="D2C9B8"/>
              <w:right w:val="single" w:sz="4" w:space="0" w:color="D2C9B8"/>
            </w:tcBorders>
          </w:tcPr>
          <w:p w14:paraId="5589CFA6" w14:textId="77777777" w:rsidR="005A5FCC" w:rsidRDefault="00A21C81">
            <w:pPr>
              <w:spacing w:before="20" w:after="20" w:line="240" w:lineRule="auto"/>
              <w:jc w:val="left"/>
            </w:pPr>
            <w:r>
              <w:rPr>
                <w:rFonts w:cs="EB Garamond"/>
                <w:kern w:val="16"/>
                <w:sz w:val="18"/>
                <w14:ligatures w14:val="standardContextual"/>
              </w:rPr>
              <w:t>20H/15M</w:t>
            </w:r>
          </w:p>
        </w:tc>
        <w:tc>
          <w:tcPr>
            <w:tcW w:w="1587" w:type="dxa"/>
            <w:tcBorders>
              <w:top w:val="single" w:sz="4" w:space="0" w:color="D2C9B8"/>
              <w:left w:val="single" w:sz="4" w:space="0" w:color="D2C9B8"/>
              <w:bottom w:val="single" w:sz="4" w:space="0" w:color="D2C9B8"/>
              <w:right w:val="single" w:sz="4" w:space="0" w:color="D2C9B8"/>
            </w:tcBorders>
          </w:tcPr>
          <w:p w14:paraId="22EFE521" w14:textId="77777777" w:rsidR="005A5FCC" w:rsidRDefault="00A21C81">
            <w:pPr>
              <w:spacing w:before="20" w:after="20" w:line="240" w:lineRule="auto"/>
              <w:jc w:val="left"/>
            </w:pPr>
            <w:r>
              <w:rPr>
                <w:rFonts w:cs="EB Garamond"/>
                <w:kern w:val="16"/>
                <w:sz w:val="18"/>
                <w14:ligatures w14:val="standardContextual"/>
              </w:rPr>
              <w:t>15 anos</w:t>
            </w:r>
          </w:p>
        </w:tc>
      </w:tr>
      <w:tr w:rsidR="005A5FCC" w14:paraId="32C25A39"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7676CD9F" w14:textId="77777777" w:rsidR="005A5FCC" w:rsidRDefault="00A21C81">
            <w:pPr>
              <w:spacing w:before="20" w:after="20" w:line="240" w:lineRule="auto"/>
              <w:jc w:val="left"/>
            </w:pPr>
            <w:r>
              <w:rPr>
                <w:rFonts w:cs="EB Garamond"/>
                <w:b/>
                <w:kern w:val="16"/>
                <w:sz w:val="18"/>
                <w14:ligatures w14:val="standardContextual"/>
              </w:rPr>
              <w:t>Carência</w:t>
            </w:r>
          </w:p>
        </w:tc>
        <w:tc>
          <w:tcPr>
            <w:tcW w:w="1587" w:type="dxa"/>
            <w:tcBorders>
              <w:top w:val="single" w:sz="4" w:space="0" w:color="D2C9B8"/>
              <w:left w:val="single" w:sz="4" w:space="0" w:color="D2C9B8"/>
              <w:bottom w:val="single" w:sz="4" w:space="0" w:color="D2C9B8"/>
              <w:right w:val="single" w:sz="4" w:space="0" w:color="D2C9B8"/>
            </w:tcBorders>
          </w:tcPr>
          <w:p w14:paraId="46BB3FA0" w14:textId="77777777" w:rsidR="005A5FCC" w:rsidRDefault="00A21C81">
            <w:pPr>
              <w:spacing w:before="20" w:after="20" w:line="240" w:lineRule="auto"/>
              <w:jc w:val="left"/>
            </w:pPr>
            <w:r>
              <w:rPr>
                <w:rFonts w:cs="EB Garamond"/>
                <w:kern w:val="16"/>
                <w:sz w:val="18"/>
                <w14:ligatures w14:val="standardContextual"/>
              </w:rPr>
              <w:t>180 contribuições</w:t>
            </w:r>
          </w:p>
        </w:tc>
        <w:tc>
          <w:tcPr>
            <w:tcW w:w="1587" w:type="dxa"/>
            <w:tcBorders>
              <w:top w:val="single" w:sz="4" w:space="0" w:color="D2C9B8"/>
              <w:left w:val="single" w:sz="4" w:space="0" w:color="D2C9B8"/>
              <w:bottom w:val="single" w:sz="4" w:space="0" w:color="D2C9B8"/>
              <w:right w:val="single" w:sz="4" w:space="0" w:color="D2C9B8"/>
            </w:tcBorders>
          </w:tcPr>
          <w:p w14:paraId="1884C880" w14:textId="77777777" w:rsidR="005A5FCC" w:rsidRDefault="00A21C81">
            <w:pPr>
              <w:spacing w:before="20" w:after="20" w:line="240" w:lineRule="auto"/>
              <w:jc w:val="left"/>
            </w:pPr>
            <w:r>
              <w:rPr>
                <w:rFonts w:cs="EB Garamond"/>
                <w:kern w:val="16"/>
                <w:sz w:val="18"/>
                <w14:ligatures w14:val="standardContextual"/>
              </w:rPr>
              <w:t>180 contribuições</w:t>
            </w:r>
          </w:p>
        </w:tc>
        <w:tc>
          <w:tcPr>
            <w:tcW w:w="1587" w:type="dxa"/>
            <w:tcBorders>
              <w:top w:val="single" w:sz="4" w:space="0" w:color="D2C9B8"/>
              <w:left w:val="single" w:sz="4" w:space="0" w:color="D2C9B8"/>
              <w:bottom w:val="single" w:sz="4" w:space="0" w:color="D2C9B8"/>
              <w:right w:val="single" w:sz="4" w:space="0" w:color="D2C9B8"/>
            </w:tcBorders>
          </w:tcPr>
          <w:p w14:paraId="390C9524" w14:textId="77777777" w:rsidR="005A5FCC" w:rsidRDefault="00A21C81">
            <w:pPr>
              <w:spacing w:before="20" w:after="20" w:line="240" w:lineRule="auto"/>
              <w:jc w:val="left"/>
            </w:pPr>
            <w:r>
              <w:rPr>
                <w:rFonts w:cs="EB Garamond"/>
                <w:kern w:val="16"/>
                <w:sz w:val="18"/>
                <w14:ligatures w14:val="standardContextual"/>
              </w:rPr>
              <w:t>180 contribuições</w:t>
            </w:r>
          </w:p>
        </w:tc>
      </w:tr>
      <w:tr w:rsidR="005A5FCC" w14:paraId="781D78AC"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650C15DF" w14:textId="77777777" w:rsidR="005A5FCC" w:rsidRDefault="00A21C81">
            <w:pPr>
              <w:spacing w:before="20" w:after="20" w:line="240" w:lineRule="auto"/>
              <w:jc w:val="left"/>
            </w:pPr>
            <w:r>
              <w:rPr>
                <w:rFonts w:cs="EB Garamond"/>
                <w:b/>
                <w:kern w:val="16"/>
                <w:sz w:val="18"/>
                <w14:ligatures w14:val="standardContextual"/>
              </w:rPr>
              <w:t>Coeficiente</w:t>
            </w:r>
          </w:p>
        </w:tc>
        <w:tc>
          <w:tcPr>
            <w:tcW w:w="1587" w:type="dxa"/>
            <w:tcBorders>
              <w:top w:val="single" w:sz="4" w:space="0" w:color="D2C9B8"/>
              <w:left w:val="single" w:sz="4" w:space="0" w:color="D2C9B8"/>
              <w:bottom w:val="single" w:sz="4" w:space="0" w:color="D2C9B8"/>
              <w:right w:val="single" w:sz="4" w:space="0" w:color="D2C9B8"/>
            </w:tcBorders>
          </w:tcPr>
          <w:p w14:paraId="1BAFEBB3" w14:textId="77777777" w:rsidR="005A5FCC" w:rsidRDefault="00A21C81">
            <w:pPr>
              <w:spacing w:before="20" w:after="20" w:line="240" w:lineRule="auto"/>
              <w:jc w:val="left"/>
            </w:pPr>
            <w:r>
              <w:rPr>
                <w:rFonts w:cs="EB Garamond"/>
                <w:kern w:val="16"/>
                <w:sz w:val="18"/>
                <w14:ligatures w14:val="standardContextual"/>
              </w:rPr>
              <w:t>70% + 1%/grupo de 12 contrib.</w:t>
            </w:r>
          </w:p>
        </w:tc>
        <w:tc>
          <w:tcPr>
            <w:tcW w:w="1587" w:type="dxa"/>
            <w:tcBorders>
              <w:top w:val="single" w:sz="4" w:space="0" w:color="D2C9B8"/>
              <w:left w:val="single" w:sz="4" w:space="0" w:color="D2C9B8"/>
              <w:bottom w:val="single" w:sz="4" w:space="0" w:color="D2C9B8"/>
              <w:right w:val="single" w:sz="4" w:space="0" w:color="D2C9B8"/>
            </w:tcBorders>
          </w:tcPr>
          <w:p w14:paraId="46F1E3C8" w14:textId="77777777" w:rsidR="005A5FCC" w:rsidRDefault="00A21C81">
            <w:pPr>
              <w:spacing w:before="20" w:after="20" w:line="240" w:lineRule="auto"/>
              <w:jc w:val="left"/>
            </w:pPr>
            <w:r>
              <w:rPr>
                <w:rFonts w:cs="EB Garamond"/>
                <w:kern w:val="16"/>
                <w:sz w:val="18"/>
                <w14:ligatures w14:val="standardContextual"/>
              </w:rPr>
              <w:t>60%+2% por ano excedente a 20H/15M</w:t>
            </w:r>
          </w:p>
        </w:tc>
        <w:tc>
          <w:tcPr>
            <w:tcW w:w="1587" w:type="dxa"/>
            <w:tcBorders>
              <w:top w:val="single" w:sz="4" w:space="0" w:color="D2C9B8"/>
              <w:left w:val="single" w:sz="4" w:space="0" w:color="D2C9B8"/>
              <w:bottom w:val="single" w:sz="4" w:space="0" w:color="D2C9B8"/>
              <w:right w:val="single" w:sz="4" w:space="0" w:color="D2C9B8"/>
            </w:tcBorders>
          </w:tcPr>
          <w:p w14:paraId="48BC3A82" w14:textId="77777777" w:rsidR="005A5FCC" w:rsidRDefault="00A21C81">
            <w:pPr>
              <w:spacing w:before="20" w:after="20" w:line="240" w:lineRule="auto"/>
              <w:jc w:val="left"/>
            </w:pPr>
            <w:r>
              <w:rPr>
                <w:rFonts w:cs="EB Garamond"/>
                <w:kern w:val="16"/>
                <w:sz w:val="18"/>
                <w14:ligatures w14:val="standardContextual"/>
              </w:rPr>
              <w:t>60%+2% por ano excedente a 15</w:t>
            </w:r>
          </w:p>
        </w:tc>
      </w:tr>
      <w:tr w:rsidR="005A5FCC" w14:paraId="7FFE9708"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1DAB4A75" w14:textId="77777777" w:rsidR="005A5FCC" w:rsidRDefault="00A21C81">
            <w:pPr>
              <w:spacing w:before="20" w:after="20" w:line="240" w:lineRule="auto"/>
              <w:jc w:val="left"/>
            </w:pPr>
            <w:r>
              <w:rPr>
                <w:rFonts w:cs="EB Garamond"/>
                <w:b/>
                <w:kern w:val="16"/>
                <w:sz w:val="18"/>
                <w14:ligatures w14:val="standardContextual"/>
              </w:rPr>
              <w:t>Deficiência</w:t>
            </w:r>
          </w:p>
        </w:tc>
        <w:tc>
          <w:tcPr>
            <w:tcW w:w="1587" w:type="dxa"/>
            <w:tcBorders>
              <w:top w:val="single" w:sz="4" w:space="0" w:color="D2C9B8"/>
              <w:left w:val="single" w:sz="4" w:space="0" w:color="D2C9B8"/>
              <w:bottom w:val="single" w:sz="4" w:space="0" w:color="D2C9B8"/>
              <w:right w:val="single" w:sz="4" w:space="0" w:color="D2C9B8"/>
            </w:tcBorders>
          </w:tcPr>
          <w:p w14:paraId="4F543A9A" w14:textId="77777777" w:rsidR="005A5FCC" w:rsidRDefault="00A21C81">
            <w:pPr>
              <w:spacing w:before="20" w:after="20" w:line="240" w:lineRule="auto"/>
              <w:jc w:val="left"/>
            </w:pPr>
            <w:r>
              <w:rPr>
                <w:rFonts w:cs="EB Garamond"/>
                <w:kern w:val="16"/>
                <w:sz w:val="18"/>
                <w14:ligatures w14:val="standardContextual"/>
              </w:rPr>
              <w:t>Sim (qualquer grau, 15 anos)</w:t>
            </w:r>
          </w:p>
        </w:tc>
        <w:tc>
          <w:tcPr>
            <w:tcW w:w="1587" w:type="dxa"/>
            <w:tcBorders>
              <w:top w:val="single" w:sz="4" w:space="0" w:color="D2C9B8"/>
              <w:left w:val="single" w:sz="4" w:space="0" w:color="D2C9B8"/>
              <w:bottom w:val="single" w:sz="4" w:space="0" w:color="D2C9B8"/>
              <w:right w:val="single" w:sz="4" w:space="0" w:color="D2C9B8"/>
            </w:tcBorders>
          </w:tcPr>
          <w:p w14:paraId="6D590673" w14:textId="77777777" w:rsidR="005A5FCC" w:rsidRDefault="00A21C81">
            <w:pPr>
              <w:spacing w:before="20" w:after="20" w:line="240" w:lineRule="auto"/>
              <w:jc w:val="left"/>
            </w:pPr>
            <w:r>
              <w:rPr>
                <w:rFonts w:cs="EB Garamond"/>
                <w:kern w:val="16"/>
                <w:sz w:val="18"/>
                <w14:ligatures w14:val="standardContextual"/>
              </w:rPr>
              <w:t>Não</w:t>
            </w:r>
          </w:p>
        </w:tc>
        <w:tc>
          <w:tcPr>
            <w:tcW w:w="1587" w:type="dxa"/>
            <w:tcBorders>
              <w:top w:val="single" w:sz="4" w:space="0" w:color="D2C9B8"/>
              <w:left w:val="single" w:sz="4" w:space="0" w:color="D2C9B8"/>
              <w:bottom w:val="single" w:sz="4" w:space="0" w:color="D2C9B8"/>
              <w:right w:val="single" w:sz="4" w:space="0" w:color="D2C9B8"/>
            </w:tcBorders>
          </w:tcPr>
          <w:p w14:paraId="0B59682F" w14:textId="77777777" w:rsidR="005A5FCC" w:rsidRDefault="00A21C81">
            <w:pPr>
              <w:spacing w:before="20" w:after="20" w:line="240" w:lineRule="auto"/>
              <w:jc w:val="left"/>
            </w:pPr>
            <w:r>
              <w:rPr>
                <w:rFonts w:cs="EB Garamond"/>
                <w:kern w:val="16"/>
                <w:sz w:val="18"/>
                <w14:ligatures w14:val="standardContextual"/>
              </w:rPr>
              <w:t>Não</w:t>
            </w:r>
          </w:p>
        </w:tc>
      </w:tr>
      <w:tr w:rsidR="005A5FCC" w14:paraId="461E315D"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64F50471" w14:textId="77777777" w:rsidR="005A5FCC" w:rsidRDefault="00A21C81">
            <w:pPr>
              <w:spacing w:before="20" w:after="20" w:line="240" w:lineRule="auto"/>
              <w:jc w:val="left"/>
            </w:pPr>
            <w:r>
              <w:rPr>
                <w:rFonts w:cs="EB Garamond"/>
                <w:b/>
                <w:kern w:val="16"/>
                <w:sz w:val="18"/>
                <w14:ligatures w14:val="standardContextual"/>
              </w:rPr>
              <w:t>Fator previdenciário</w:t>
            </w:r>
          </w:p>
        </w:tc>
        <w:tc>
          <w:tcPr>
            <w:tcW w:w="1587" w:type="dxa"/>
            <w:tcBorders>
              <w:top w:val="single" w:sz="4" w:space="0" w:color="D2C9B8"/>
              <w:left w:val="single" w:sz="4" w:space="0" w:color="D2C9B8"/>
              <w:bottom w:val="single" w:sz="4" w:space="0" w:color="D2C9B8"/>
              <w:right w:val="single" w:sz="4" w:space="0" w:color="D2C9B8"/>
            </w:tcBorders>
          </w:tcPr>
          <w:p w14:paraId="26B84AAE" w14:textId="77777777" w:rsidR="005A5FCC" w:rsidRDefault="00A21C81">
            <w:pPr>
              <w:spacing w:before="20" w:after="20" w:line="240" w:lineRule="auto"/>
              <w:jc w:val="left"/>
            </w:pPr>
            <w:r>
              <w:rPr>
                <w:rFonts w:cs="EB Garamond"/>
                <w:kern w:val="16"/>
                <w:sz w:val="18"/>
                <w14:ligatures w14:val="standardContextual"/>
              </w:rPr>
              <w:t>Se vantajoso</w:t>
            </w:r>
          </w:p>
        </w:tc>
        <w:tc>
          <w:tcPr>
            <w:tcW w:w="1587" w:type="dxa"/>
            <w:tcBorders>
              <w:top w:val="single" w:sz="4" w:space="0" w:color="D2C9B8"/>
              <w:left w:val="single" w:sz="4" w:space="0" w:color="D2C9B8"/>
              <w:bottom w:val="single" w:sz="4" w:space="0" w:color="D2C9B8"/>
              <w:right w:val="single" w:sz="4" w:space="0" w:color="D2C9B8"/>
            </w:tcBorders>
          </w:tcPr>
          <w:p w14:paraId="0715B0B5" w14:textId="77777777" w:rsidR="005A5FCC" w:rsidRDefault="00A21C81">
            <w:pPr>
              <w:spacing w:before="20" w:after="20" w:line="240" w:lineRule="auto"/>
              <w:jc w:val="left"/>
            </w:pPr>
            <w:r>
              <w:rPr>
                <w:rFonts w:cs="EB Garamond"/>
                <w:kern w:val="16"/>
                <w:sz w:val="18"/>
                <w14:ligatures w14:val="standardContextual"/>
              </w:rPr>
              <w:t>Não</w:t>
            </w:r>
          </w:p>
        </w:tc>
        <w:tc>
          <w:tcPr>
            <w:tcW w:w="1587" w:type="dxa"/>
            <w:tcBorders>
              <w:top w:val="single" w:sz="4" w:space="0" w:color="D2C9B8"/>
              <w:left w:val="single" w:sz="4" w:space="0" w:color="D2C9B8"/>
              <w:bottom w:val="single" w:sz="4" w:space="0" w:color="D2C9B8"/>
              <w:right w:val="single" w:sz="4" w:space="0" w:color="D2C9B8"/>
            </w:tcBorders>
          </w:tcPr>
          <w:p w14:paraId="6628CBC5" w14:textId="77777777" w:rsidR="005A5FCC" w:rsidRDefault="00A21C81">
            <w:pPr>
              <w:spacing w:before="20" w:after="20" w:line="240" w:lineRule="auto"/>
              <w:jc w:val="left"/>
            </w:pPr>
            <w:r>
              <w:rPr>
                <w:rFonts w:cs="EB Garamond"/>
                <w:kern w:val="16"/>
                <w:sz w:val="18"/>
                <w14:ligatures w14:val="standardContextual"/>
              </w:rPr>
              <w:t>Não</w:t>
            </w:r>
          </w:p>
        </w:tc>
      </w:tr>
      <w:tr w:rsidR="005A5FCC" w14:paraId="05529A9F"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0F588CBD" w14:textId="77777777" w:rsidR="005A5FCC" w:rsidRDefault="00A21C81">
            <w:pPr>
              <w:spacing w:before="20" w:after="20" w:line="240" w:lineRule="auto"/>
              <w:jc w:val="left"/>
            </w:pPr>
            <w:r>
              <w:rPr>
                <w:rFonts w:cs="EB Garamond"/>
                <w:b/>
                <w:kern w:val="16"/>
                <w:sz w:val="18"/>
                <w14:ligatures w14:val="standardContextual"/>
              </w:rPr>
              <w:t>Base de cálculo</w:t>
            </w:r>
          </w:p>
        </w:tc>
        <w:tc>
          <w:tcPr>
            <w:tcW w:w="1587" w:type="dxa"/>
            <w:tcBorders>
              <w:top w:val="single" w:sz="4" w:space="0" w:color="D2C9B8"/>
              <w:left w:val="single" w:sz="4" w:space="0" w:color="D2C9B8"/>
              <w:bottom w:val="single" w:sz="4" w:space="0" w:color="D2C9B8"/>
              <w:right w:val="single" w:sz="4" w:space="0" w:color="D2C9B8"/>
            </w:tcBorders>
          </w:tcPr>
          <w:p w14:paraId="531BDADE" w14:textId="77777777" w:rsidR="005A5FCC" w:rsidRDefault="00A21C81">
            <w:pPr>
              <w:spacing w:before="20" w:after="20" w:line="240" w:lineRule="auto"/>
              <w:jc w:val="left"/>
            </w:pPr>
            <w:r>
              <w:rPr>
                <w:rFonts w:cs="EB Garamond"/>
                <w:kern w:val="16"/>
                <w:sz w:val="18"/>
                <w14:ligatures w14:val="standardContextual"/>
              </w:rPr>
              <w:t>100% SC (art. 26 EC 103)</w:t>
            </w:r>
          </w:p>
        </w:tc>
        <w:tc>
          <w:tcPr>
            <w:tcW w:w="1587" w:type="dxa"/>
            <w:tcBorders>
              <w:top w:val="single" w:sz="4" w:space="0" w:color="D2C9B8"/>
              <w:left w:val="single" w:sz="4" w:space="0" w:color="D2C9B8"/>
              <w:bottom w:val="single" w:sz="4" w:space="0" w:color="D2C9B8"/>
              <w:right w:val="single" w:sz="4" w:space="0" w:color="D2C9B8"/>
            </w:tcBorders>
          </w:tcPr>
          <w:p w14:paraId="6EA856EE" w14:textId="77777777" w:rsidR="005A5FCC" w:rsidRDefault="00A21C81">
            <w:pPr>
              <w:spacing w:before="20" w:after="20" w:line="240" w:lineRule="auto"/>
              <w:jc w:val="left"/>
            </w:pPr>
            <w:r>
              <w:rPr>
                <w:rFonts w:cs="EB Garamond"/>
                <w:kern w:val="16"/>
                <w:sz w:val="18"/>
                <w14:ligatures w14:val="standardContextual"/>
              </w:rPr>
              <w:t>100% SC (art. 26 EC 103)</w:t>
            </w:r>
          </w:p>
        </w:tc>
        <w:tc>
          <w:tcPr>
            <w:tcW w:w="1587" w:type="dxa"/>
            <w:tcBorders>
              <w:top w:val="single" w:sz="4" w:space="0" w:color="D2C9B8"/>
              <w:left w:val="single" w:sz="4" w:space="0" w:color="D2C9B8"/>
              <w:bottom w:val="single" w:sz="4" w:space="0" w:color="D2C9B8"/>
              <w:right w:val="single" w:sz="4" w:space="0" w:color="D2C9B8"/>
            </w:tcBorders>
          </w:tcPr>
          <w:p w14:paraId="4B1BD1F6" w14:textId="77777777" w:rsidR="005A5FCC" w:rsidRDefault="00A21C81">
            <w:pPr>
              <w:spacing w:before="20" w:after="20" w:line="240" w:lineRule="auto"/>
              <w:jc w:val="left"/>
            </w:pPr>
            <w:r>
              <w:rPr>
                <w:rFonts w:cs="EB Garamond"/>
                <w:kern w:val="16"/>
                <w:sz w:val="18"/>
                <w14:ligatures w14:val="standardContextual"/>
              </w:rPr>
              <w:t>100% SC (art. 26 EC 103)</w:t>
            </w:r>
          </w:p>
        </w:tc>
      </w:tr>
    </w:tbl>
    <w:p w14:paraId="4D02677B" w14:textId="77777777" w:rsidR="005A5FCC" w:rsidRDefault="005A5FCC">
      <w:pPr>
        <w:spacing w:after="80" w:line="240" w:lineRule="auto"/>
      </w:pPr>
    </w:p>
    <w:p w14:paraId="7048A97B"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2E9ABEAF" w14:textId="77777777" w:rsidR="005A5FCC" w:rsidRDefault="00A21C81">
      <w:r>
        <w:rPr>
          <w:rFonts w:cs="EB Garamond"/>
          <w:kern w:val="16"/>
          <w14:ligatures w14:val="standardContextual"/>
        </w:rPr>
        <w:t xml:space="preserve"> tabela evidencia que a aposentadoria por idade da PcD oferece vantagens claras em relação à regra permanente: idade reduzida em 5 anos (H) ou 7 anos (M), e coeficiente potencialmente mais favorável (70% + 1% por grupo de 12 contribuições vs. 60% + 2%). Um segurado homem PcD com 25 anos de TC (300 contribuições, isto é, 25 grupos de 12) teria coeficiente de 95% pela LC 142 (70% + 1% × 25 = 70% + 25%) versus 70% pela regra permanente (60% + 2% × 5 anos excedentes a 20) — diferença de 25 pontos percentuais, representando, sobre um SB de R$ 3.000,00, a diferença entre R$ 2.850,00 e R$ 2.100,00 mensais.</w:t>
      </w:r>
    </w:p>
    <w:p w14:paraId="019201BD" w14:textId="77777777" w:rsidR="005A5FCC" w:rsidRDefault="00A21C81">
      <w:pPr>
        <w:spacing w:before="260" w:after="80" w:line="240" w:lineRule="auto"/>
        <w:jc w:val="left"/>
      </w:pPr>
      <w:r>
        <w:rPr>
          <w:rFonts w:cs="EB Garamond"/>
          <w:b/>
          <w:color w:val="3A3128"/>
          <w:kern w:val="16"/>
          <w:sz w:val="25"/>
          <w14:ligatures w14:val="standardContextual"/>
        </w:rPr>
        <w:t>12.6.5 Aposentadoria por idade da PcD e o art. 6º da LC 142</w:t>
      </w:r>
    </w:p>
    <w:p w14:paraId="5959720C"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O</w:t>
      </w:r>
    </w:p>
    <w:p w14:paraId="57790DA7" w14:textId="77777777" w:rsidR="005A5FCC" w:rsidRDefault="00A21C81">
      <w:r>
        <w:rPr>
          <w:rFonts w:cs="EB Garamond"/>
          <w:kern w:val="16"/>
          <w14:ligatures w14:val="standardContextual"/>
        </w:rPr>
        <w:t xml:space="preserve"> art. 6º da LC 142 estabelece garantia importante: a aplicação da LC 142 não pode resultar em benefício mais restritivo que o concedido aos segurados em geral. Essa cláusula de proteção tem relevância particular para a aposentadoria por idade da PcD: se o cálculo pela regra do art. 8º, II (70% + 1% por grupo de 12 contribuições) resultar em valor inferior ao que o segurado obteria pela regra geral de aposentadoria por idade (art. 201, § 7º, II, EC 103), prevalece o cálculo mais favorável.</w:t>
      </w:r>
    </w:p>
    <w:p w14:paraId="5A0D960F" w14:textId="77777777" w:rsidR="005A5FCC" w:rsidRDefault="00A21C81">
      <w:pPr>
        <w:ind w:firstLine="238"/>
      </w:pPr>
      <w:r>
        <w:rPr>
          <w:rFonts w:cs="EB Garamond"/>
          <w:kern w:val="16"/>
          <w14:ligatures w14:val="standardContextual"/>
        </w:rPr>
        <w:t>Na prática, a situação é rara — o coeficiente da LC 142 (70% + 1% por grupo de 12 contribuições) tende a ser mais favorável que o da regra permanente (60% + 2%) para a maioria dos segurados, especialmente os que têm entre 15 e 25 anos de TC. Contudo, para segurados com TC muito elevado (acima de 30 anos), a regra permanente pode eventualmente ser mais favorável, caso em que o art. 6º assegura a aplicação do cálculo mais benéfico.</w:t>
      </w:r>
    </w:p>
    <w:p w14:paraId="5642A7D9"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12.7 Deficiência superveniente e conversão proporcional</w:t>
      </w:r>
    </w:p>
    <w:p w14:paraId="562E06F9"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3ECE61D0" w14:textId="77777777" w:rsidR="005A5FCC" w:rsidRDefault="00A21C81">
      <w:r>
        <w:rPr>
          <w:rFonts w:cs="EB Garamond"/>
          <w:kern w:val="16"/>
          <w14:ligatures w14:val="standardContextual"/>
        </w:rPr>
        <w:t xml:space="preserve"> art. 7º da LC 142/2013 disciplina a situação do segurado que adquire deficiência após a filiação ao RGPS ou que tem o grau de deficiência alterado ao longo de sua vida laboral. Nesses casos, os parâmetros de TC são proporcionalmente ajustados mediante conversão dos períodos sob cada condição (sem deficiência, deficiência leve, moderada ou grave).</w:t>
      </w:r>
    </w:p>
    <w:p w14:paraId="0E8B3CDC" w14:textId="77777777" w:rsidR="005A5FCC" w:rsidRDefault="00A21C81">
      <w:pPr>
        <w:spacing w:before="260" w:after="80" w:line="240" w:lineRule="auto"/>
        <w:jc w:val="left"/>
      </w:pPr>
      <w:r>
        <w:rPr>
          <w:rFonts w:cs="EB Garamond"/>
          <w:b/>
          <w:color w:val="3A3128"/>
          <w:kern w:val="16"/>
          <w:sz w:val="25"/>
          <w14:ligatures w14:val="standardContextual"/>
        </w:rPr>
        <w:t>12.7.1 Mecanismo de conversão</w:t>
      </w:r>
    </w:p>
    <w:p w14:paraId="0EAA84A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3EB01ED6" w14:textId="77777777" w:rsidR="005A5FCC" w:rsidRDefault="00A21C81">
      <w:r>
        <w:rPr>
          <w:rFonts w:cs="EB Garamond"/>
          <w:kern w:val="16"/>
          <w14:ligatures w14:val="standardContextual"/>
        </w:rPr>
        <w:t xml:space="preserve"> conversão funciona da seguinte forma:</w:t>
      </w:r>
    </w:p>
    <w:p w14:paraId="059BD09C" w14:textId="77777777" w:rsidR="005A5FCC" w:rsidRDefault="00A21C81">
      <w:pPr>
        <w:spacing w:after="40" w:line="252" w:lineRule="auto"/>
        <w:ind w:left="340" w:hanging="198"/>
      </w:pPr>
      <w:r>
        <w:rPr>
          <w:rFonts w:cs="EB Garamond"/>
          <w:color w:val="3A3128"/>
          <w:kern w:val="16"/>
          <w:sz w:val="20"/>
          <w14:ligatures w14:val="standardContextual"/>
        </w:rPr>
        <w:t xml:space="preserve">1. </w:t>
      </w:r>
      <w:r>
        <w:rPr>
          <w:rFonts w:cs="EB Garamond"/>
          <w:b/>
          <w:kern w:val="16"/>
          <w:sz w:val="20"/>
          <w14:ligatures w14:val="standardContextual"/>
        </w:rPr>
        <w:t>Identificam-se os períodos</w:t>
      </w:r>
      <w:r>
        <w:rPr>
          <w:rFonts w:cs="EB Garamond"/>
          <w:kern w:val="16"/>
          <w:sz w:val="20"/>
          <w14:ligatures w14:val="standardContextual"/>
        </w:rPr>
        <w:t xml:space="preserve"> em que o segurado contribuiu sob cada condição (sem deficiência, ou com deficiência grave, moderada ou leve).</w:t>
      </w:r>
    </w:p>
    <w:p w14:paraId="459EB47B" w14:textId="77777777" w:rsidR="005A5FCC" w:rsidRDefault="00A21C81">
      <w:pPr>
        <w:spacing w:after="40" w:line="252" w:lineRule="auto"/>
        <w:ind w:left="340" w:hanging="198"/>
      </w:pPr>
      <w:r>
        <w:rPr>
          <w:rFonts w:cs="EB Garamond"/>
          <w:color w:val="3A3128"/>
          <w:kern w:val="16"/>
          <w:sz w:val="20"/>
          <w14:ligatures w14:val="standardContextual"/>
        </w:rPr>
        <w:t xml:space="preserve">2. </w:t>
      </w:r>
      <w:r>
        <w:rPr>
          <w:rFonts w:cs="EB Garamond"/>
          <w:b/>
          <w:kern w:val="16"/>
          <w:sz w:val="20"/>
          <w14:ligatures w14:val="standardContextual"/>
        </w:rPr>
        <w:t>Define-se o grau preponderante</w:t>
      </w:r>
      <w:r>
        <w:rPr>
          <w:rFonts w:cs="EB Garamond"/>
          <w:kern w:val="16"/>
          <w:sz w:val="20"/>
          <w14:ligatures w14:val="standardContextual"/>
        </w:rPr>
        <w:t xml:space="preserve"> — aquele em que o segurado cumpriu maior tempo de contribuição antes da conversão (art. 70-A, Decreto 3.048/99).</w:t>
      </w:r>
    </w:p>
    <w:p w14:paraId="747EBB48" w14:textId="77777777" w:rsidR="005A5FCC" w:rsidRDefault="00A21C81">
      <w:pPr>
        <w:spacing w:after="40" w:line="252" w:lineRule="auto"/>
        <w:ind w:left="340" w:hanging="198"/>
      </w:pPr>
      <w:r>
        <w:rPr>
          <w:rFonts w:cs="EB Garamond"/>
          <w:color w:val="3A3128"/>
          <w:kern w:val="16"/>
          <w:sz w:val="20"/>
          <w14:ligatures w14:val="standardContextual"/>
        </w:rPr>
        <w:t xml:space="preserve">3. </w:t>
      </w:r>
      <w:r>
        <w:rPr>
          <w:rFonts w:cs="EB Garamond"/>
          <w:b/>
          <w:kern w:val="16"/>
          <w:sz w:val="20"/>
          <w14:ligatures w14:val="standardContextual"/>
        </w:rPr>
        <w:t>Aplicam-se os fatores de conversão</w:t>
      </w:r>
      <w:r>
        <w:rPr>
          <w:rFonts w:cs="EB Garamond"/>
          <w:kern w:val="16"/>
          <w:sz w:val="20"/>
          <w14:ligatures w14:val="standardContextual"/>
        </w:rPr>
        <w:t xml:space="preserve"> da tabela do art. 70-E do Decreto 3.048/99, convertendo cada período para o parâmetro do grau preponderante.</w:t>
      </w:r>
    </w:p>
    <w:p w14:paraId="3CE3A8E0" w14:textId="77777777" w:rsidR="005A5FCC" w:rsidRDefault="00A21C81">
      <w:pPr>
        <w:spacing w:after="40" w:line="252" w:lineRule="auto"/>
        <w:ind w:left="340" w:hanging="198"/>
      </w:pPr>
      <w:r>
        <w:rPr>
          <w:rFonts w:cs="EB Garamond"/>
          <w:color w:val="3A3128"/>
          <w:kern w:val="16"/>
          <w:sz w:val="20"/>
          <w14:ligatures w14:val="standardContextual"/>
        </w:rPr>
        <w:lastRenderedPageBreak/>
        <w:t xml:space="preserve">4. </w:t>
      </w:r>
      <w:r>
        <w:rPr>
          <w:rFonts w:cs="EB Garamond"/>
          <w:b/>
          <w:kern w:val="16"/>
          <w:sz w:val="20"/>
          <w14:ligatures w14:val="standardContextual"/>
        </w:rPr>
        <w:t>Somam-se os períodos convertidos.</w:t>
      </w:r>
      <w:r>
        <w:rPr>
          <w:rFonts w:cs="EB Garamond"/>
          <w:kern w:val="16"/>
          <w:sz w:val="20"/>
          <w14:ligatures w14:val="standardContextual"/>
        </w:rPr>
        <w:t xml:space="preserve"> O TC total convertido é comparado ao TC mínimo exigido para o grau preponderante.</w:t>
      </w:r>
    </w:p>
    <w:p w14:paraId="04D26CA0" w14:textId="77777777" w:rsidR="005A5FCC" w:rsidRDefault="005A5FCC">
      <w:pPr>
        <w:spacing w:after="60" w:line="240" w:lineRule="auto"/>
      </w:pPr>
    </w:p>
    <w:p w14:paraId="179DE209" w14:textId="77777777" w:rsidR="005A5FCC" w:rsidRDefault="00A21C81">
      <w:pPr>
        <w:spacing w:before="260" w:after="80" w:line="240" w:lineRule="auto"/>
        <w:jc w:val="left"/>
      </w:pPr>
      <w:r>
        <w:rPr>
          <w:rFonts w:cs="EB Garamond"/>
          <w:b/>
          <w:color w:val="3A3128"/>
          <w:kern w:val="16"/>
          <w:sz w:val="25"/>
          <w14:ligatures w14:val="standardContextual"/>
        </w:rPr>
        <w:t>12.7.2 Tabelas de fatores de conversão</w:t>
      </w:r>
    </w:p>
    <w:p w14:paraId="1EF537AE"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4065E1D5" w14:textId="77777777" w:rsidR="005A5FCC" w:rsidRDefault="00A21C81">
      <w:r>
        <w:rPr>
          <w:rFonts w:cs="EB Garamond"/>
          <w:kern w:val="16"/>
          <w14:ligatures w14:val="standardContextual"/>
        </w:rPr>
        <w:t>s fatores de conversão refletem a relação proporcional entre os tempos de contribuição exigidos para cada grau. Quanto maior a diferença entre os graus, maior o fator de conversão (se de grau mais leve para mais grave, o fator reduz o tempo; se de grau mais grave para mais leve, o fator amplia o tempo).</w:t>
      </w:r>
    </w:p>
    <w:p w14:paraId="1F957721" w14:textId="77777777" w:rsidR="005A5FCC" w:rsidRDefault="00A21C81">
      <w:pPr>
        <w:ind w:firstLine="238"/>
      </w:pPr>
      <w:r>
        <w:rPr>
          <w:rFonts w:cs="EB Garamond"/>
          <w:b/>
          <w:kern w:val="16"/>
          <w14:ligatures w14:val="standardContextual"/>
        </w:rPr>
        <w:t>Tabela de conversão — Homens:</w:t>
      </w:r>
    </w:p>
    <w:tbl>
      <w:tblPr>
        <w:tblW w:w="5000" w:type="pct"/>
        <w:jc w:val="center"/>
        <w:tblLook w:val="04A0" w:firstRow="1" w:lastRow="0" w:firstColumn="1" w:lastColumn="0" w:noHBand="0" w:noVBand="1"/>
      </w:tblPr>
      <w:tblGrid>
        <w:gridCol w:w="1268"/>
        <w:gridCol w:w="1268"/>
        <w:gridCol w:w="1268"/>
        <w:gridCol w:w="1268"/>
        <w:gridCol w:w="1268"/>
      </w:tblGrid>
      <w:tr w:rsidR="005A5FCC" w14:paraId="5DC5A126" w14:textId="77777777">
        <w:trPr>
          <w:tblHeader/>
          <w:jc w:val="center"/>
        </w:trPr>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44080328" w14:textId="77777777" w:rsidR="005A5FCC" w:rsidRDefault="00A21C81">
            <w:pPr>
              <w:spacing w:before="40" w:after="40" w:line="240" w:lineRule="auto"/>
              <w:jc w:val="center"/>
            </w:pPr>
            <w:r>
              <w:rPr>
                <w:rFonts w:cs="EB Garamond"/>
                <w:b/>
                <w:color w:val="2F2923"/>
                <w:kern w:val="16"/>
                <w:sz w:val="18"/>
                <w14:ligatures w14:val="standardContextual"/>
              </w:rPr>
              <w:t>De \ Para</w:t>
            </w:r>
          </w:p>
        </w:tc>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026DEB07" w14:textId="77777777" w:rsidR="005A5FCC" w:rsidRDefault="00A21C81">
            <w:pPr>
              <w:spacing w:before="40" w:after="40" w:line="240" w:lineRule="auto"/>
              <w:jc w:val="center"/>
            </w:pPr>
            <w:r>
              <w:rPr>
                <w:rFonts w:cs="EB Garamond"/>
                <w:b/>
                <w:color w:val="2F2923"/>
                <w:kern w:val="16"/>
                <w:sz w:val="18"/>
                <w14:ligatures w14:val="standardContextual"/>
              </w:rPr>
              <w:t>Grave (25)</w:t>
            </w:r>
          </w:p>
        </w:tc>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4DDE28AF" w14:textId="77777777" w:rsidR="005A5FCC" w:rsidRDefault="00A21C81">
            <w:pPr>
              <w:spacing w:before="40" w:after="40" w:line="240" w:lineRule="auto"/>
              <w:jc w:val="center"/>
            </w:pPr>
            <w:r>
              <w:rPr>
                <w:rFonts w:cs="EB Garamond"/>
                <w:b/>
                <w:color w:val="2F2923"/>
                <w:kern w:val="16"/>
                <w:sz w:val="18"/>
                <w14:ligatures w14:val="standardContextual"/>
              </w:rPr>
              <w:t>Moderada (29)</w:t>
            </w:r>
          </w:p>
        </w:tc>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5ECBA3CE" w14:textId="77777777" w:rsidR="005A5FCC" w:rsidRDefault="00A21C81">
            <w:pPr>
              <w:spacing w:before="40" w:after="40" w:line="240" w:lineRule="auto"/>
              <w:jc w:val="center"/>
            </w:pPr>
            <w:r>
              <w:rPr>
                <w:rFonts w:cs="EB Garamond"/>
                <w:b/>
                <w:color w:val="2F2923"/>
                <w:kern w:val="16"/>
                <w:sz w:val="18"/>
                <w14:ligatures w14:val="standardContextual"/>
              </w:rPr>
              <w:t>Leve (33)</w:t>
            </w:r>
          </w:p>
        </w:tc>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45580BB3" w14:textId="77777777" w:rsidR="005A5FCC" w:rsidRDefault="00A21C81">
            <w:pPr>
              <w:spacing w:before="40" w:after="40" w:line="240" w:lineRule="auto"/>
              <w:jc w:val="center"/>
            </w:pPr>
            <w:r>
              <w:rPr>
                <w:rFonts w:cs="EB Garamond"/>
                <w:b/>
                <w:color w:val="2F2923"/>
                <w:kern w:val="16"/>
                <w:sz w:val="18"/>
                <w14:ligatures w14:val="standardContextual"/>
              </w:rPr>
              <w:t>Sem deficiência (35)</w:t>
            </w:r>
          </w:p>
        </w:tc>
      </w:tr>
      <w:tr w:rsidR="005A5FCC" w14:paraId="1FF4D746"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01C427D1" w14:textId="77777777" w:rsidR="005A5FCC" w:rsidRDefault="00A21C81">
            <w:pPr>
              <w:spacing w:before="20" w:after="20" w:line="240" w:lineRule="auto"/>
              <w:jc w:val="left"/>
            </w:pPr>
            <w:r>
              <w:rPr>
                <w:rFonts w:cs="EB Garamond"/>
                <w:b/>
                <w:kern w:val="16"/>
                <w:sz w:val="18"/>
                <w14:ligatures w14:val="standardContextual"/>
              </w:rPr>
              <w:t>Grave (25)</w:t>
            </w:r>
          </w:p>
        </w:tc>
        <w:tc>
          <w:tcPr>
            <w:tcW w:w="1270" w:type="dxa"/>
            <w:tcBorders>
              <w:top w:val="single" w:sz="4" w:space="0" w:color="D2C9B8"/>
              <w:left w:val="single" w:sz="4" w:space="0" w:color="D2C9B8"/>
              <w:bottom w:val="single" w:sz="4" w:space="0" w:color="D2C9B8"/>
              <w:right w:val="single" w:sz="4" w:space="0" w:color="D2C9B8"/>
            </w:tcBorders>
          </w:tcPr>
          <w:p w14:paraId="5D383DD0" w14:textId="77777777" w:rsidR="005A5FCC" w:rsidRDefault="00A21C81">
            <w:pPr>
              <w:spacing w:before="20" w:after="20" w:line="240" w:lineRule="auto"/>
              <w:jc w:val="left"/>
            </w:pPr>
            <w:r>
              <w:rPr>
                <w:rFonts w:cs="EB Garamond"/>
                <w:kern w:val="16"/>
                <w:sz w:val="18"/>
                <w14:ligatures w14:val="standardContextual"/>
              </w:rPr>
              <w:t>1,00</w:t>
            </w:r>
          </w:p>
        </w:tc>
        <w:tc>
          <w:tcPr>
            <w:tcW w:w="1270" w:type="dxa"/>
            <w:tcBorders>
              <w:top w:val="single" w:sz="4" w:space="0" w:color="D2C9B8"/>
              <w:left w:val="single" w:sz="4" w:space="0" w:color="D2C9B8"/>
              <w:bottom w:val="single" w:sz="4" w:space="0" w:color="D2C9B8"/>
              <w:right w:val="single" w:sz="4" w:space="0" w:color="D2C9B8"/>
            </w:tcBorders>
          </w:tcPr>
          <w:p w14:paraId="51A839F1" w14:textId="77777777" w:rsidR="005A5FCC" w:rsidRDefault="00A21C81">
            <w:pPr>
              <w:spacing w:before="20" w:after="20" w:line="240" w:lineRule="auto"/>
              <w:jc w:val="left"/>
            </w:pPr>
            <w:r>
              <w:rPr>
                <w:rFonts w:cs="EB Garamond"/>
                <w:kern w:val="16"/>
                <w:sz w:val="18"/>
                <w14:ligatures w14:val="standardContextual"/>
              </w:rPr>
              <w:t>1,16</w:t>
            </w:r>
          </w:p>
        </w:tc>
        <w:tc>
          <w:tcPr>
            <w:tcW w:w="1270" w:type="dxa"/>
            <w:tcBorders>
              <w:top w:val="single" w:sz="4" w:space="0" w:color="D2C9B8"/>
              <w:left w:val="single" w:sz="4" w:space="0" w:color="D2C9B8"/>
              <w:bottom w:val="single" w:sz="4" w:space="0" w:color="D2C9B8"/>
              <w:right w:val="single" w:sz="4" w:space="0" w:color="D2C9B8"/>
            </w:tcBorders>
          </w:tcPr>
          <w:p w14:paraId="3DC3BA2D" w14:textId="77777777" w:rsidR="005A5FCC" w:rsidRDefault="00A21C81">
            <w:pPr>
              <w:spacing w:before="20" w:after="20" w:line="240" w:lineRule="auto"/>
              <w:jc w:val="left"/>
            </w:pPr>
            <w:r>
              <w:rPr>
                <w:rFonts w:cs="EB Garamond"/>
                <w:kern w:val="16"/>
                <w:sz w:val="18"/>
                <w14:ligatures w14:val="standardContextual"/>
              </w:rPr>
              <w:t>1,32</w:t>
            </w:r>
          </w:p>
        </w:tc>
        <w:tc>
          <w:tcPr>
            <w:tcW w:w="1270" w:type="dxa"/>
            <w:tcBorders>
              <w:top w:val="single" w:sz="4" w:space="0" w:color="D2C9B8"/>
              <w:left w:val="single" w:sz="4" w:space="0" w:color="D2C9B8"/>
              <w:bottom w:val="single" w:sz="4" w:space="0" w:color="D2C9B8"/>
              <w:right w:val="single" w:sz="4" w:space="0" w:color="D2C9B8"/>
            </w:tcBorders>
          </w:tcPr>
          <w:p w14:paraId="18CA3235" w14:textId="77777777" w:rsidR="005A5FCC" w:rsidRDefault="00A21C81">
            <w:pPr>
              <w:spacing w:before="20" w:after="20" w:line="240" w:lineRule="auto"/>
              <w:jc w:val="left"/>
            </w:pPr>
            <w:r>
              <w:rPr>
                <w:rFonts w:cs="EB Garamond"/>
                <w:kern w:val="16"/>
                <w:sz w:val="18"/>
                <w14:ligatures w14:val="standardContextual"/>
              </w:rPr>
              <w:t>1,40</w:t>
            </w:r>
          </w:p>
        </w:tc>
      </w:tr>
      <w:tr w:rsidR="005A5FCC" w14:paraId="6D17BA1D"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0EF35EDE" w14:textId="77777777" w:rsidR="005A5FCC" w:rsidRDefault="00A21C81">
            <w:pPr>
              <w:spacing w:before="20" w:after="20" w:line="240" w:lineRule="auto"/>
              <w:jc w:val="left"/>
            </w:pPr>
            <w:r>
              <w:rPr>
                <w:rFonts w:cs="EB Garamond"/>
                <w:b/>
                <w:kern w:val="16"/>
                <w:sz w:val="18"/>
                <w14:ligatures w14:val="standardContextual"/>
              </w:rPr>
              <w:t>Moderada (29)</w:t>
            </w:r>
          </w:p>
        </w:tc>
        <w:tc>
          <w:tcPr>
            <w:tcW w:w="1270" w:type="dxa"/>
            <w:tcBorders>
              <w:top w:val="single" w:sz="4" w:space="0" w:color="D2C9B8"/>
              <w:left w:val="single" w:sz="4" w:space="0" w:color="D2C9B8"/>
              <w:bottom w:val="single" w:sz="4" w:space="0" w:color="D2C9B8"/>
              <w:right w:val="single" w:sz="4" w:space="0" w:color="D2C9B8"/>
            </w:tcBorders>
          </w:tcPr>
          <w:p w14:paraId="298B143C" w14:textId="77777777" w:rsidR="005A5FCC" w:rsidRDefault="00A21C81">
            <w:pPr>
              <w:spacing w:before="20" w:after="20" w:line="240" w:lineRule="auto"/>
              <w:jc w:val="left"/>
            </w:pPr>
            <w:r>
              <w:rPr>
                <w:rFonts w:cs="EB Garamond"/>
                <w:kern w:val="16"/>
                <w:sz w:val="18"/>
                <w14:ligatures w14:val="standardContextual"/>
              </w:rPr>
              <w:t>0,86</w:t>
            </w:r>
          </w:p>
        </w:tc>
        <w:tc>
          <w:tcPr>
            <w:tcW w:w="1270" w:type="dxa"/>
            <w:tcBorders>
              <w:top w:val="single" w:sz="4" w:space="0" w:color="D2C9B8"/>
              <w:left w:val="single" w:sz="4" w:space="0" w:color="D2C9B8"/>
              <w:bottom w:val="single" w:sz="4" w:space="0" w:color="D2C9B8"/>
              <w:right w:val="single" w:sz="4" w:space="0" w:color="D2C9B8"/>
            </w:tcBorders>
          </w:tcPr>
          <w:p w14:paraId="5794145E" w14:textId="77777777" w:rsidR="005A5FCC" w:rsidRDefault="00A21C81">
            <w:pPr>
              <w:spacing w:before="20" w:after="20" w:line="240" w:lineRule="auto"/>
              <w:jc w:val="left"/>
            </w:pPr>
            <w:r>
              <w:rPr>
                <w:rFonts w:cs="EB Garamond"/>
                <w:kern w:val="16"/>
                <w:sz w:val="18"/>
                <w14:ligatures w14:val="standardContextual"/>
              </w:rPr>
              <w:t>1,00</w:t>
            </w:r>
          </w:p>
        </w:tc>
        <w:tc>
          <w:tcPr>
            <w:tcW w:w="1270" w:type="dxa"/>
            <w:tcBorders>
              <w:top w:val="single" w:sz="4" w:space="0" w:color="D2C9B8"/>
              <w:left w:val="single" w:sz="4" w:space="0" w:color="D2C9B8"/>
              <w:bottom w:val="single" w:sz="4" w:space="0" w:color="D2C9B8"/>
              <w:right w:val="single" w:sz="4" w:space="0" w:color="D2C9B8"/>
            </w:tcBorders>
          </w:tcPr>
          <w:p w14:paraId="66DE3A6E" w14:textId="77777777" w:rsidR="005A5FCC" w:rsidRDefault="00A21C81">
            <w:pPr>
              <w:spacing w:before="20" w:after="20" w:line="240" w:lineRule="auto"/>
              <w:jc w:val="left"/>
            </w:pPr>
            <w:r>
              <w:rPr>
                <w:rFonts w:cs="EB Garamond"/>
                <w:kern w:val="16"/>
                <w:sz w:val="18"/>
                <w14:ligatures w14:val="standardContextual"/>
              </w:rPr>
              <w:t>1,14</w:t>
            </w:r>
          </w:p>
        </w:tc>
        <w:tc>
          <w:tcPr>
            <w:tcW w:w="1270" w:type="dxa"/>
            <w:tcBorders>
              <w:top w:val="single" w:sz="4" w:space="0" w:color="D2C9B8"/>
              <w:left w:val="single" w:sz="4" w:space="0" w:color="D2C9B8"/>
              <w:bottom w:val="single" w:sz="4" w:space="0" w:color="D2C9B8"/>
              <w:right w:val="single" w:sz="4" w:space="0" w:color="D2C9B8"/>
            </w:tcBorders>
          </w:tcPr>
          <w:p w14:paraId="76747775" w14:textId="77777777" w:rsidR="005A5FCC" w:rsidRDefault="00A21C81">
            <w:pPr>
              <w:spacing w:before="20" w:after="20" w:line="240" w:lineRule="auto"/>
              <w:jc w:val="left"/>
            </w:pPr>
            <w:r>
              <w:rPr>
                <w:rFonts w:cs="EB Garamond"/>
                <w:kern w:val="16"/>
                <w:sz w:val="18"/>
                <w14:ligatures w14:val="standardContextual"/>
              </w:rPr>
              <w:t>1,21</w:t>
            </w:r>
          </w:p>
        </w:tc>
      </w:tr>
      <w:tr w:rsidR="005A5FCC" w14:paraId="2C650F36"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424BD90E" w14:textId="77777777" w:rsidR="005A5FCC" w:rsidRDefault="00A21C81">
            <w:pPr>
              <w:spacing w:before="20" w:after="20" w:line="240" w:lineRule="auto"/>
              <w:jc w:val="left"/>
            </w:pPr>
            <w:r>
              <w:rPr>
                <w:rFonts w:cs="EB Garamond"/>
                <w:b/>
                <w:kern w:val="16"/>
                <w:sz w:val="18"/>
                <w14:ligatures w14:val="standardContextual"/>
              </w:rPr>
              <w:t>Leve (33)</w:t>
            </w:r>
          </w:p>
        </w:tc>
        <w:tc>
          <w:tcPr>
            <w:tcW w:w="1270" w:type="dxa"/>
            <w:tcBorders>
              <w:top w:val="single" w:sz="4" w:space="0" w:color="D2C9B8"/>
              <w:left w:val="single" w:sz="4" w:space="0" w:color="D2C9B8"/>
              <w:bottom w:val="single" w:sz="4" w:space="0" w:color="D2C9B8"/>
              <w:right w:val="single" w:sz="4" w:space="0" w:color="D2C9B8"/>
            </w:tcBorders>
          </w:tcPr>
          <w:p w14:paraId="72D2C4ED" w14:textId="77777777" w:rsidR="005A5FCC" w:rsidRDefault="00A21C81">
            <w:pPr>
              <w:spacing w:before="20" w:after="20" w:line="240" w:lineRule="auto"/>
              <w:jc w:val="left"/>
            </w:pPr>
            <w:r>
              <w:rPr>
                <w:rFonts w:cs="EB Garamond"/>
                <w:kern w:val="16"/>
                <w:sz w:val="18"/>
                <w14:ligatures w14:val="standardContextual"/>
              </w:rPr>
              <w:t>0,76</w:t>
            </w:r>
          </w:p>
        </w:tc>
        <w:tc>
          <w:tcPr>
            <w:tcW w:w="1270" w:type="dxa"/>
            <w:tcBorders>
              <w:top w:val="single" w:sz="4" w:space="0" w:color="D2C9B8"/>
              <w:left w:val="single" w:sz="4" w:space="0" w:color="D2C9B8"/>
              <w:bottom w:val="single" w:sz="4" w:space="0" w:color="D2C9B8"/>
              <w:right w:val="single" w:sz="4" w:space="0" w:color="D2C9B8"/>
            </w:tcBorders>
          </w:tcPr>
          <w:p w14:paraId="1AD9A5F2" w14:textId="77777777" w:rsidR="005A5FCC" w:rsidRDefault="00A21C81">
            <w:pPr>
              <w:spacing w:before="20" w:after="20" w:line="240" w:lineRule="auto"/>
              <w:jc w:val="left"/>
            </w:pPr>
            <w:r>
              <w:rPr>
                <w:rFonts w:cs="EB Garamond"/>
                <w:kern w:val="16"/>
                <w:sz w:val="18"/>
                <w14:ligatures w14:val="standardContextual"/>
              </w:rPr>
              <w:t>0,88</w:t>
            </w:r>
          </w:p>
        </w:tc>
        <w:tc>
          <w:tcPr>
            <w:tcW w:w="1270" w:type="dxa"/>
            <w:tcBorders>
              <w:top w:val="single" w:sz="4" w:space="0" w:color="D2C9B8"/>
              <w:left w:val="single" w:sz="4" w:space="0" w:color="D2C9B8"/>
              <w:bottom w:val="single" w:sz="4" w:space="0" w:color="D2C9B8"/>
              <w:right w:val="single" w:sz="4" w:space="0" w:color="D2C9B8"/>
            </w:tcBorders>
          </w:tcPr>
          <w:p w14:paraId="2ABFF37B" w14:textId="77777777" w:rsidR="005A5FCC" w:rsidRDefault="00A21C81">
            <w:pPr>
              <w:spacing w:before="20" w:after="20" w:line="240" w:lineRule="auto"/>
              <w:jc w:val="left"/>
            </w:pPr>
            <w:r>
              <w:rPr>
                <w:rFonts w:cs="EB Garamond"/>
                <w:kern w:val="16"/>
                <w:sz w:val="18"/>
                <w14:ligatures w14:val="standardContextual"/>
              </w:rPr>
              <w:t>1,00</w:t>
            </w:r>
          </w:p>
        </w:tc>
        <w:tc>
          <w:tcPr>
            <w:tcW w:w="1270" w:type="dxa"/>
            <w:tcBorders>
              <w:top w:val="single" w:sz="4" w:space="0" w:color="D2C9B8"/>
              <w:left w:val="single" w:sz="4" w:space="0" w:color="D2C9B8"/>
              <w:bottom w:val="single" w:sz="4" w:space="0" w:color="D2C9B8"/>
              <w:right w:val="single" w:sz="4" w:space="0" w:color="D2C9B8"/>
            </w:tcBorders>
          </w:tcPr>
          <w:p w14:paraId="20EC82DD" w14:textId="77777777" w:rsidR="005A5FCC" w:rsidRDefault="00A21C81">
            <w:pPr>
              <w:spacing w:before="20" w:after="20" w:line="240" w:lineRule="auto"/>
              <w:jc w:val="left"/>
            </w:pPr>
            <w:r>
              <w:rPr>
                <w:rFonts w:cs="EB Garamond"/>
                <w:kern w:val="16"/>
                <w:sz w:val="18"/>
                <w14:ligatures w14:val="standardContextual"/>
              </w:rPr>
              <w:t>1,06</w:t>
            </w:r>
          </w:p>
        </w:tc>
      </w:tr>
      <w:tr w:rsidR="005A5FCC" w14:paraId="39492565"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3C054390" w14:textId="77777777" w:rsidR="005A5FCC" w:rsidRDefault="00A21C81">
            <w:pPr>
              <w:spacing w:before="20" w:after="20" w:line="240" w:lineRule="auto"/>
              <w:jc w:val="left"/>
            </w:pPr>
            <w:r>
              <w:rPr>
                <w:rFonts w:cs="EB Garamond"/>
                <w:b/>
                <w:kern w:val="16"/>
                <w:sz w:val="18"/>
                <w14:ligatures w14:val="standardContextual"/>
              </w:rPr>
              <w:t>Sem deficiência (35)</w:t>
            </w:r>
          </w:p>
        </w:tc>
        <w:tc>
          <w:tcPr>
            <w:tcW w:w="1270" w:type="dxa"/>
            <w:tcBorders>
              <w:top w:val="single" w:sz="4" w:space="0" w:color="D2C9B8"/>
              <w:left w:val="single" w:sz="4" w:space="0" w:color="D2C9B8"/>
              <w:bottom w:val="single" w:sz="4" w:space="0" w:color="D2C9B8"/>
              <w:right w:val="single" w:sz="4" w:space="0" w:color="D2C9B8"/>
            </w:tcBorders>
          </w:tcPr>
          <w:p w14:paraId="30FDC6F3" w14:textId="77777777" w:rsidR="005A5FCC" w:rsidRDefault="00A21C81">
            <w:pPr>
              <w:spacing w:before="20" w:after="20" w:line="240" w:lineRule="auto"/>
              <w:jc w:val="left"/>
            </w:pPr>
            <w:r>
              <w:rPr>
                <w:rFonts w:cs="EB Garamond"/>
                <w:kern w:val="16"/>
                <w:sz w:val="18"/>
                <w14:ligatures w14:val="standardContextual"/>
              </w:rPr>
              <w:t>0,71</w:t>
            </w:r>
          </w:p>
        </w:tc>
        <w:tc>
          <w:tcPr>
            <w:tcW w:w="1270" w:type="dxa"/>
            <w:tcBorders>
              <w:top w:val="single" w:sz="4" w:space="0" w:color="D2C9B8"/>
              <w:left w:val="single" w:sz="4" w:space="0" w:color="D2C9B8"/>
              <w:bottom w:val="single" w:sz="4" w:space="0" w:color="D2C9B8"/>
              <w:right w:val="single" w:sz="4" w:space="0" w:color="D2C9B8"/>
            </w:tcBorders>
          </w:tcPr>
          <w:p w14:paraId="12C637BD" w14:textId="77777777" w:rsidR="005A5FCC" w:rsidRDefault="00A21C81">
            <w:pPr>
              <w:spacing w:before="20" w:after="20" w:line="240" w:lineRule="auto"/>
              <w:jc w:val="left"/>
            </w:pPr>
            <w:r>
              <w:rPr>
                <w:rFonts w:cs="EB Garamond"/>
                <w:kern w:val="16"/>
                <w:sz w:val="18"/>
                <w14:ligatures w14:val="standardContextual"/>
              </w:rPr>
              <w:t>0,83</w:t>
            </w:r>
          </w:p>
        </w:tc>
        <w:tc>
          <w:tcPr>
            <w:tcW w:w="1270" w:type="dxa"/>
            <w:tcBorders>
              <w:top w:val="single" w:sz="4" w:space="0" w:color="D2C9B8"/>
              <w:left w:val="single" w:sz="4" w:space="0" w:color="D2C9B8"/>
              <w:bottom w:val="single" w:sz="4" w:space="0" w:color="D2C9B8"/>
              <w:right w:val="single" w:sz="4" w:space="0" w:color="D2C9B8"/>
            </w:tcBorders>
          </w:tcPr>
          <w:p w14:paraId="595510DF" w14:textId="77777777" w:rsidR="005A5FCC" w:rsidRDefault="00A21C81">
            <w:pPr>
              <w:spacing w:before="20" w:after="20" w:line="240" w:lineRule="auto"/>
              <w:jc w:val="left"/>
            </w:pPr>
            <w:r>
              <w:rPr>
                <w:rFonts w:cs="EB Garamond"/>
                <w:kern w:val="16"/>
                <w:sz w:val="18"/>
                <w14:ligatures w14:val="standardContextual"/>
              </w:rPr>
              <w:t>0,94</w:t>
            </w:r>
          </w:p>
        </w:tc>
        <w:tc>
          <w:tcPr>
            <w:tcW w:w="1270" w:type="dxa"/>
            <w:tcBorders>
              <w:top w:val="single" w:sz="4" w:space="0" w:color="D2C9B8"/>
              <w:left w:val="single" w:sz="4" w:space="0" w:color="D2C9B8"/>
              <w:bottom w:val="single" w:sz="4" w:space="0" w:color="D2C9B8"/>
              <w:right w:val="single" w:sz="4" w:space="0" w:color="D2C9B8"/>
            </w:tcBorders>
          </w:tcPr>
          <w:p w14:paraId="2F75123B" w14:textId="77777777" w:rsidR="005A5FCC" w:rsidRDefault="00A21C81">
            <w:pPr>
              <w:spacing w:before="20" w:after="20" w:line="240" w:lineRule="auto"/>
              <w:jc w:val="left"/>
            </w:pPr>
            <w:r>
              <w:rPr>
                <w:rFonts w:cs="EB Garamond"/>
                <w:kern w:val="16"/>
                <w:sz w:val="18"/>
                <w14:ligatures w14:val="standardContextual"/>
              </w:rPr>
              <w:t>1,00</w:t>
            </w:r>
          </w:p>
        </w:tc>
      </w:tr>
    </w:tbl>
    <w:p w14:paraId="462C63DD" w14:textId="77777777" w:rsidR="005A5FCC" w:rsidRDefault="005A5FCC">
      <w:pPr>
        <w:spacing w:after="80" w:line="240" w:lineRule="auto"/>
      </w:pPr>
    </w:p>
    <w:p w14:paraId="2FFFFCC3"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T</w:t>
      </w:r>
    </w:p>
    <w:p w14:paraId="0A9098C3" w14:textId="77777777" w:rsidR="005A5FCC" w:rsidRDefault="00A21C81">
      <w:r>
        <w:rPr>
          <w:rFonts w:cs="EB Garamond"/>
          <w:b/>
          <w:kern w:val="16"/>
          <w14:ligatures w14:val="standardContextual"/>
        </w:rPr>
        <w:t>abela de conversão — Mulheres:</w:t>
      </w:r>
    </w:p>
    <w:tbl>
      <w:tblPr>
        <w:tblW w:w="5000" w:type="pct"/>
        <w:jc w:val="center"/>
        <w:tblLook w:val="04A0" w:firstRow="1" w:lastRow="0" w:firstColumn="1" w:lastColumn="0" w:noHBand="0" w:noVBand="1"/>
      </w:tblPr>
      <w:tblGrid>
        <w:gridCol w:w="1268"/>
        <w:gridCol w:w="1268"/>
        <w:gridCol w:w="1268"/>
        <w:gridCol w:w="1268"/>
        <w:gridCol w:w="1268"/>
      </w:tblGrid>
      <w:tr w:rsidR="005A5FCC" w14:paraId="51DE9B09" w14:textId="77777777">
        <w:trPr>
          <w:tblHeader/>
          <w:jc w:val="center"/>
        </w:trPr>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68413519" w14:textId="77777777" w:rsidR="005A5FCC" w:rsidRDefault="00A21C81">
            <w:pPr>
              <w:spacing w:before="40" w:after="40" w:line="240" w:lineRule="auto"/>
              <w:jc w:val="center"/>
            </w:pPr>
            <w:r>
              <w:rPr>
                <w:rFonts w:cs="EB Garamond"/>
                <w:b/>
                <w:color w:val="2F2923"/>
                <w:kern w:val="16"/>
                <w:sz w:val="18"/>
                <w14:ligatures w14:val="standardContextual"/>
              </w:rPr>
              <w:t>De \ Para</w:t>
            </w:r>
          </w:p>
        </w:tc>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289EEC21" w14:textId="77777777" w:rsidR="005A5FCC" w:rsidRDefault="00A21C81">
            <w:pPr>
              <w:spacing w:before="40" w:after="40" w:line="240" w:lineRule="auto"/>
              <w:jc w:val="center"/>
            </w:pPr>
            <w:r>
              <w:rPr>
                <w:rFonts w:cs="EB Garamond"/>
                <w:b/>
                <w:color w:val="2F2923"/>
                <w:kern w:val="16"/>
                <w:sz w:val="18"/>
                <w14:ligatures w14:val="standardContextual"/>
              </w:rPr>
              <w:t>Grave (20)</w:t>
            </w:r>
          </w:p>
        </w:tc>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73D584FA" w14:textId="77777777" w:rsidR="005A5FCC" w:rsidRDefault="00A21C81">
            <w:pPr>
              <w:spacing w:before="40" w:after="40" w:line="240" w:lineRule="auto"/>
              <w:jc w:val="center"/>
            </w:pPr>
            <w:r>
              <w:rPr>
                <w:rFonts w:cs="EB Garamond"/>
                <w:b/>
                <w:color w:val="2F2923"/>
                <w:kern w:val="16"/>
                <w:sz w:val="18"/>
                <w14:ligatures w14:val="standardContextual"/>
              </w:rPr>
              <w:t>Moderada (24)</w:t>
            </w:r>
          </w:p>
        </w:tc>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615B669A" w14:textId="77777777" w:rsidR="005A5FCC" w:rsidRDefault="00A21C81">
            <w:pPr>
              <w:spacing w:before="40" w:after="40" w:line="240" w:lineRule="auto"/>
              <w:jc w:val="center"/>
            </w:pPr>
            <w:r>
              <w:rPr>
                <w:rFonts w:cs="EB Garamond"/>
                <w:b/>
                <w:color w:val="2F2923"/>
                <w:kern w:val="16"/>
                <w:sz w:val="18"/>
                <w14:ligatures w14:val="standardContextual"/>
              </w:rPr>
              <w:t>Leve (28)</w:t>
            </w:r>
          </w:p>
        </w:tc>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0A7BFE7C" w14:textId="77777777" w:rsidR="005A5FCC" w:rsidRDefault="00A21C81">
            <w:pPr>
              <w:spacing w:before="40" w:after="40" w:line="240" w:lineRule="auto"/>
              <w:jc w:val="center"/>
            </w:pPr>
            <w:r>
              <w:rPr>
                <w:rFonts w:cs="EB Garamond"/>
                <w:b/>
                <w:color w:val="2F2923"/>
                <w:kern w:val="16"/>
                <w:sz w:val="18"/>
                <w14:ligatures w14:val="standardContextual"/>
              </w:rPr>
              <w:t>Sem deficiência (30)</w:t>
            </w:r>
          </w:p>
        </w:tc>
      </w:tr>
      <w:tr w:rsidR="005A5FCC" w14:paraId="1C832D34"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63EE86C1" w14:textId="77777777" w:rsidR="005A5FCC" w:rsidRDefault="00A21C81">
            <w:pPr>
              <w:spacing w:before="20" w:after="20" w:line="240" w:lineRule="auto"/>
              <w:jc w:val="left"/>
            </w:pPr>
            <w:r>
              <w:rPr>
                <w:rFonts w:cs="EB Garamond"/>
                <w:b/>
                <w:kern w:val="16"/>
                <w:sz w:val="18"/>
                <w14:ligatures w14:val="standardContextual"/>
              </w:rPr>
              <w:t>Grave (20)</w:t>
            </w:r>
          </w:p>
        </w:tc>
        <w:tc>
          <w:tcPr>
            <w:tcW w:w="1270" w:type="dxa"/>
            <w:tcBorders>
              <w:top w:val="single" w:sz="4" w:space="0" w:color="D2C9B8"/>
              <w:left w:val="single" w:sz="4" w:space="0" w:color="D2C9B8"/>
              <w:bottom w:val="single" w:sz="4" w:space="0" w:color="D2C9B8"/>
              <w:right w:val="single" w:sz="4" w:space="0" w:color="D2C9B8"/>
            </w:tcBorders>
          </w:tcPr>
          <w:p w14:paraId="50B475D3" w14:textId="77777777" w:rsidR="005A5FCC" w:rsidRDefault="00A21C81">
            <w:pPr>
              <w:spacing w:before="20" w:after="20" w:line="240" w:lineRule="auto"/>
              <w:jc w:val="left"/>
            </w:pPr>
            <w:r>
              <w:rPr>
                <w:rFonts w:cs="EB Garamond"/>
                <w:kern w:val="16"/>
                <w:sz w:val="18"/>
                <w14:ligatures w14:val="standardContextual"/>
              </w:rPr>
              <w:t>1,00</w:t>
            </w:r>
          </w:p>
        </w:tc>
        <w:tc>
          <w:tcPr>
            <w:tcW w:w="1270" w:type="dxa"/>
            <w:tcBorders>
              <w:top w:val="single" w:sz="4" w:space="0" w:color="D2C9B8"/>
              <w:left w:val="single" w:sz="4" w:space="0" w:color="D2C9B8"/>
              <w:bottom w:val="single" w:sz="4" w:space="0" w:color="D2C9B8"/>
              <w:right w:val="single" w:sz="4" w:space="0" w:color="D2C9B8"/>
            </w:tcBorders>
          </w:tcPr>
          <w:p w14:paraId="36190615" w14:textId="77777777" w:rsidR="005A5FCC" w:rsidRDefault="00A21C81">
            <w:pPr>
              <w:spacing w:before="20" w:after="20" w:line="240" w:lineRule="auto"/>
              <w:jc w:val="left"/>
            </w:pPr>
            <w:r>
              <w:rPr>
                <w:rFonts w:cs="EB Garamond"/>
                <w:kern w:val="16"/>
                <w:sz w:val="18"/>
                <w14:ligatures w14:val="standardContextual"/>
              </w:rPr>
              <w:t>1,20</w:t>
            </w:r>
          </w:p>
        </w:tc>
        <w:tc>
          <w:tcPr>
            <w:tcW w:w="1270" w:type="dxa"/>
            <w:tcBorders>
              <w:top w:val="single" w:sz="4" w:space="0" w:color="D2C9B8"/>
              <w:left w:val="single" w:sz="4" w:space="0" w:color="D2C9B8"/>
              <w:bottom w:val="single" w:sz="4" w:space="0" w:color="D2C9B8"/>
              <w:right w:val="single" w:sz="4" w:space="0" w:color="D2C9B8"/>
            </w:tcBorders>
          </w:tcPr>
          <w:p w14:paraId="790B12B7" w14:textId="77777777" w:rsidR="005A5FCC" w:rsidRDefault="00A21C81">
            <w:pPr>
              <w:spacing w:before="20" w:after="20" w:line="240" w:lineRule="auto"/>
              <w:jc w:val="left"/>
            </w:pPr>
            <w:r>
              <w:rPr>
                <w:rFonts w:cs="EB Garamond"/>
                <w:kern w:val="16"/>
                <w:sz w:val="18"/>
                <w14:ligatures w14:val="standardContextual"/>
              </w:rPr>
              <w:t>1,40</w:t>
            </w:r>
          </w:p>
        </w:tc>
        <w:tc>
          <w:tcPr>
            <w:tcW w:w="1270" w:type="dxa"/>
            <w:tcBorders>
              <w:top w:val="single" w:sz="4" w:space="0" w:color="D2C9B8"/>
              <w:left w:val="single" w:sz="4" w:space="0" w:color="D2C9B8"/>
              <w:bottom w:val="single" w:sz="4" w:space="0" w:color="D2C9B8"/>
              <w:right w:val="single" w:sz="4" w:space="0" w:color="D2C9B8"/>
            </w:tcBorders>
          </w:tcPr>
          <w:p w14:paraId="38D9F470" w14:textId="77777777" w:rsidR="005A5FCC" w:rsidRDefault="00A21C81">
            <w:pPr>
              <w:spacing w:before="20" w:after="20" w:line="240" w:lineRule="auto"/>
              <w:jc w:val="left"/>
            </w:pPr>
            <w:r>
              <w:rPr>
                <w:rFonts w:cs="EB Garamond"/>
                <w:kern w:val="16"/>
                <w:sz w:val="18"/>
                <w14:ligatures w14:val="standardContextual"/>
              </w:rPr>
              <w:t>1,50</w:t>
            </w:r>
          </w:p>
        </w:tc>
      </w:tr>
      <w:tr w:rsidR="005A5FCC" w14:paraId="57FC376D"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6F69E66D" w14:textId="77777777" w:rsidR="005A5FCC" w:rsidRDefault="00A21C81">
            <w:pPr>
              <w:spacing w:before="20" w:after="20" w:line="240" w:lineRule="auto"/>
              <w:jc w:val="left"/>
            </w:pPr>
            <w:r>
              <w:rPr>
                <w:rFonts w:cs="EB Garamond"/>
                <w:b/>
                <w:kern w:val="16"/>
                <w:sz w:val="18"/>
                <w14:ligatures w14:val="standardContextual"/>
              </w:rPr>
              <w:t>Moderada (24)</w:t>
            </w:r>
          </w:p>
        </w:tc>
        <w:tc>
          <w:tcPr>
            <w:tcW w:w="1270" w:type="dxa"/>
            <w:tcBorders>
              <w:top w:val="single" w:sz="4" w:space="0" w:color="D2C9B8"/>
              <w:left w:val="single" w:sz="4" w:space="0" w:color="D2C9B8"/>
              <w:bottom w:val="single" w:sz="4" w:space="0" w:color="D2C9B8"/>
              <w:right w:val="single" w:sz="4" w:space="0" w:color="D2C9B8"/>
            </w:tcBorders>
          </w:tcPr>
          <w:p w14:paraId="4CB9C8D3" w14:textId="77777777" w:rsidR="005A5FCC" w:rsidRDefault="00A21C81">
            <w:pPr>
              <w:spacing w:before="20" w:after="20" w:line="240" w:lineRule="auto"/>
              <w:jc w:val="left"/>
            </w:pPr>
            <w:r>
              <w:rPr>
                <w:rFonts w:cs="EB Garamond"/>
                <w:kern w:val="16"/>
                <w:sz w:val="18"/>
                <w14:ligatures w14:val="standardContextual"/>
              </w:rPr>
              <w:t>0,83</w:t>
            </w:r>
          </w:p>
        </w:tc>
        <w:tc>
          <w:tcPr>
            <w:tcW w:w="1270" w:type="dxa"/>
            <w:tcBorders>
              <w:top w:val="single" w:sz="4" w:space="0" w:color="D2C9B8"/>
              <w:left w:val="single" w:sz="4" w:space="0" w:color="D2C9B8"/>
              <w:bottom w:val="single" w:sz="4" w:space="0" w:color="D2C9B8"/>
              <w:right w:val="single" w:sz="4" w:space="0" w:color="D2C9B8"/>
            </w:tcBorders>
          </w:tcPr>
          <w:p w14:paraId="0E5A2FC8" w14:textId="77777777" w:rsidR="005A5FCC" w:rsidRDefault="00A21C81">
            <w:pPr>
              <w:spacing w:before="20" w:after="20" w:line="240" w:lineRule="auto"/>
              <w:jc w:val="left"/>
            </w:pPr>
            <w:r>
              <w:rPr>
                <w:rFonts w:cs="EB Garamond"/>
                <w:kern w:val="16"/>
                <w:sz w:val="18"/>
                <w14:ligatures w14:val="standardContextual"/>
              </w:rPr>
              <w:t>1,00</w:t>
            </w:r>
          </w:p>
        </w:tc>
        <w:tc>
          <w:tcPr>
            <w:tcW w:w="1270" w:type="dxa"/>
            <w:tcBorders>
              <w:top w:val="single" w:sz="4" w:space="0" w:color="D2C9B8"/>
              <w:left w:val="single" w:sz="4" w:space="0" w:color="D2C9B8"/>
              <w:bottom w:val="single" w:sz="4" w:space="0" w:color="D2C9B8"/>
              <w:right w:val="single" w:sz="4" w:space="0" w:color="D2C9B8"/>
            </w:tcBorders>
          </w:tcPr>
          <w:p w14:paraId="34E7B910" w14:textId="77777777" w:rsidR="005A5FCC" w:rsidRDefault="00A21C81">
            <w:pPr>
              <w:spacing w:before="20" w:after="20" w:line="240" w:lineRule="auto"/>
              <w:jc w:val="left"/>
            </w:pPr>
            <w:r>
              <w:rPr>
                <w:rFonts w:cs="EB Garamond"/>
                <w:kern w:val="16"/>
                <w:sz w:val="18"/>
                <w14:ligatures w14:val="standardContextual"/>
              </w:rPr>
              <w:t>1,17</w:t>
            </w:r>
          </w:p>
        </w:tc>
        <w:tc>
          <w:tcPr>
            <w:tcW w:w="1270" w:type="dxa"/>
            <w:tcBorders>
              <w:top w:val="single" w:sz="4" w:space="0" w:color="D2C9B8"/>
              <w:left w:val="single" w:sz="4" w:space="0" w:color="D2C9B8"/>
              <w:bottom w:val="single" w:sz="4" w:space="0" w:color="D2C9B8"/>
              <w:right w:val="single" w:sz="4" w:space="0" w:color="D2C9B8"/>
            </w:tcBorders>
          </w:tcPr>
          <w:p w14:paraId="38B37780" w14:textId="77777777" w:rsidR="005A5FCC" w:rsidRDefault="00A21C81">
            <w:pPr>
              <w:spacing w:before="20" w:after="20" w:line="240" w:lineRule="auto"/>
              <w:jc w:val="left"/>
            </w:pPr>
            <w:r>
              <w:rPr>
                <w:rFonts w:cs="EB Garamond"/>
                <w:kern w:val="16"/>
                <w:sz w:val="18"/>
                <w14:ligatures w14:val="standardContextual"/>
              </w:rPr>
              <w:t>1,25</w:t>
            </w:r>
          </w:p>
        </w:tc>
      </w:tr>
      <w:tr w:rsidR="005A5FCC" w14:paraId="56ECEF9E"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01E726D8" w14:textId="77777777" w:rsidR="005A5FCC" w:rsidRDefault="00A21C81">
            <w:pPr>
              <w:spacing w:before="20" w:after="20" w:line="240" w:lineRule="auto"/>
              <w:jc w:val="left"/>
            </w:pPr>
            <w:r>
              <w:rPr>
                <w:rFonts w:cs="EB Garamond"/>
                <w:b/>
                <w:kern w:val="16"/>
                <w:sz w:val="18"/>
                <w14:ligatures w14:val="standardContextual"/>
              </w:rPr>
              <w:t>Leve (28)</w:t>
            </w:r>
          </w:p>
        </w:tc>
        <w:tc>
          <w:tcPr>
            <w:tcW w:w="1270" w:type="dxa"/>
            <w:tcBorders>
              <w:top w:val="single" w:sz="4" w:space="0" w:color="D2C9B8"/>
              <w:left w:val="single" w:sz="4" w:space="0" w:color="D2C9B8"/>
              <w:bottom w:val="single" w:sz="4" w:space="0" w:color="D2C9B8"/>
              <w:right w:val="single" w:sz="4" w:space="0" w:color="D2C9B8"/>
            </w:tcBorders>
          </w:tcPr>
          <w:p w14:paraId="1BC9E292" w14:textId="77777777" w:rsidR="005A5FCC" w:rsidRDefault="00A21C81">
            <w:pPr>
              <w:spacing w:before="20" w:after="20" w:line="240" w:lineRule="auto"/>
              <w:jc w:val="left"/>
            </w:pPr>
            <w:r>
              <w:rPr>
                <w:rFonts w:cs="EB Garamond"/>
                <w:kern w:val="16"/>
                <w:sz w:val="18"/>
                <w14:ligatures w14:val="standardContextual"/>
              </w:rPr>
              <w:t>0,71</w:t>
            </w:r>
          </w:p>
        </w:tc>
        <w:tc>
          <w:tcPr>
            <w:tcW w:w="1270" w:type="dxa"/>
            <w:tcBorders>
              <w:top w:val="single" w:sz="4" w:space="0" w:color="D2C9B8"/>
              <w:left w:val="single" w:sz="4" w:space="0" w:color="D2C9B8"/>
              <w:bottom w:val="single" w:sz="4" w:space="0" w:color="D2C9B8"/>
              <w:right w:val="single" w:sz="4" w:space="0" w:color="D2C9B8"/>
            </w:tcBorders>
          </w:tcPr>
          <w:p w14:paraId="2B05B410" w14:textId="77777777" w:rsidR="005A5FCC" w:rsidRDefault="00A21C81">
            <w:pPr>
              <w:spacing w:before="20" w:after="20" w:line="240" w:lineRule="auto"/>
              <w:jc w:val="left"/>
            </w:pPr>
            <w:r>
              <w:rPr>
                <w:rFonts w:cs="EB Garamond"/>
                <w:kern w:val="16"/>
                <w:sz w:val="18"/>
                <w14:ligatures w14:val="standardContextual"/>
              </w:rPr>
              <w:t>0,86</w:t>
            </w:r>
          </w:p>
        </w:tc>
        <w:tc>
          <w:tcPr>
            <w:tcW w:w="1270" w:type="dxa"/>
            <w:tcBorders>
              <w:top w:val="single" w:sz="4" w:space="0" w:color="D2C9B8"/>
              <w:left w:val="single" w:sz="4" w:space="0" w:color="D2C9B8"/>
              <w:bottom w:val="single" w:sz="4" w:space="0" w:color="D2C9B8"/>
              <w:right w:val="single" w:sz="4" w:space="0" w:color="D2C9B8"/>
            </w:tcBorders>
          </w:tcPr>
          <w:p w14:paraId="14D99D10" w14:textId="77777777" w:rsidR="005A5FCC" w:rsidRDefault="00A21C81">
            <w:pPr>
              <w:spacing w:before="20" w:after="20" w:line="240" w:lineRule="auto"/>
              <w:jc w:val="left"/>
            </w:pPr>
            <w:r>
              <w:rPr>
                <w:rFonts w:cs="EB Garamond"/>
                <w:kern w:val="16"/>
                <w:sz w:val="18"/>
                <w14:ligatures w14:val="standardContextual"/>
              </w:rPr>
              <w:t>1,00</w:t>
            </w:r>
          </w:p>
        </w:tc>
        <w:tc>
          <w:tcPr>
            <w:tcW w:w="1270" w:type="dxa"/>
            <w:tcBorders>
              <w:top w:val="single" w:sz="4" w:space="0" w:color="D2C9B8"/>
              <w:left w:val="single" w:sz="4" w:space="0" w:color="D2C9B8"/>
              <w:bottom w:val="single" w:sz="4" w:space="0" w:color="D2C9B8"/>
              <w:right w:val="single" w:sz="4" w:space="0" w:color="D2C9B8"/>
            </w:tcBorders>
          </w:tcPr>
          <w:p w14:paraId="7B6B1AB8" w14:textId="77777777" w:rsidR="005A5FCC" w:rsidRDefault="00A21C81">
            <w:pPr>
              <w:spacing w:before="20" w:after="20" w:line="240" w:lineRule="auto"/>
              <w:jc w:val="left"/>
            </w:pPr>
            <w:r>
              <w:rPr>
                <w:rFonts w:cs="EB Garamond"/>
                <w:kern w:val="16"/>
                <w:sz w:val="18"/>
                <w14:ligatures w14:val="standardContextual"/>
              </w:rPr>
              <w:t>1,07</w:t>
            </w:r>
          </w:p>
        </w:tc>
      </w:tr>
      <w:tr w:rsidR="005A5FCC" w14:paraId="3385DD26"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5AB15418" w14:textId="77777777" w:rsidR="005A5FCC" w:rsidRDefault="00A21C81">
            <w:pPr>
              <w:spacing w:before="20" w:after="20" w:line="240" w:lineRule="auto"/>
              <w:jc w:val="left"/>
            </w:pPr>
            <w:r>
              <w:rPr>
                <w:rFonts w:cs="EB Garamond"/>
                <w:b/>
                <w:kern w:val="16"/>
                <w:sz w:val="18"/>
                <w14:ligatures w14:val="standardContextual"/>
              </w:rPr>
              <w:t>Sem deficiência (30)</w:t>
            </w:r>
          </w:p>
        </w:tc>
        <w:tc>
          <w:tcPr>
            <w:tcW w:w="1270" w:type="dxa"/>
            <w:tcBorders>
              <w:top w:val="single" w:sz="4" w:space="0" w:color="D2C9B8"/>
              <w:left w:val="single" w:sz="4" w:space="0" w:color="D2C9B8"/>
              <w:bottom w:val="single" w:sz="4" w:space="0" w:color="D2C9B8"/>
              <w:right w:val="single" w:sz="4" w:space="0" w:color="D2C9B8"/>
            </w:tcBorders>
          </w:tcPr>
          <w:p w14:paraId="5FF3F26F" w14:textId="77777777" w:rsidR="005A5FCC" w:rsidRDefault="00A21C81">
            <w:pPr>
              <w:spacing w:before="20" w:after="20" w:line="240" w:lineRule="auto"/>
              <w:jc w:val="left"/>
            </w:pPr>
            <w:r>
              <w:rPr>
                <w:rFonts w:cs="EB Garamond"/>
                <w:kern w:val="16"/>
                <w:sz w:val="18"/>
                <w14:ligatures w14:val="standardContextual"/>
              </w:rPr>
              <w:t>0,67</w:t>
            </w:r>
          </w:p>
        </w:tc>
        <w:tc>
          <w:tcPr>
            <w:tcW w:w="1270" w:type="dxa"/>
            <w:tcBorders>
              <w:top w:val="single" w:sz="4" w:space="0" w:color="D2C9B8"/>
              <w:left w:val="single" w:sz="4" w:space="0" w:color="D2C9B8"/>
              <w:bottom w:val="single" w:sz="4" w:space="0" w:color="D2C9B8"/>
              <w:right w:val="single" w:sz="4" w:space="0" w:color="D2C9B8"/>
            </w:tcBorders>
          </w:tcPr>
          <w:p w14:paraId="2CA884BC" w14:textId="77777777" w:rsidR="005A5FCC" w:rsidRDefault="00A21C81">
            <w:pPr>
              <w:spacing w:before="20" w:after="20" w:line="240" w:lineRule="auto"/>
              <w:jc w:val="left"/>
            </w:pPr>
            <w:r>
              <w:rPr>
                <w:rFonts w:cs="EB Garamond"/>
                <w:kern w:val="16"/>
                <w:sz w:val="18"/>
                <w14:ligatures w14:val="standardContextual"/>
              </w:rPr>
              <w:t>0,80</w:t>
            </w:r>
          </w:p>
        </w:tc>
        <w:tc>
          <w:tcPr>
            <w:tcW w:w="1270" w:type="dxa"/>
            <w:tcBorders>
              <w:top w:val="single" w:sz="4" w:space="0" w:color="D2C9B8"/>
              <w:left w:val="single" w:sz="4" w:space="0" w:color="D2C9B8"/>
              <w:bottom w:val="single" w:sz="4" w:space="0" w:color="D2C9B8"/>
              <w:right w:val="single" w:sz="4" w:space="0" w:color="D2C9B8"/>
            </w:tcBorders>
          </w:tcPr>
          <w:p w14:paraId="57F8F62A" w14:textId="77777777" w:rsidR="005A5FCC" w:rsidRDefault="00A21C81">
            <w:pPr>
              <w:spacing w:before="20" w:after="20" w:line="240" w:lineRule="auto"/>
              <w:jc w:val="left"/>
            </w:pPr>
            <w:r>
              <w:rPr>
                <w:rFonts w:cs="EB Garamond"/>
                <w:kern w:val="16"/>
                <w:sz w:val="18"/>
                <w14:ligatures w14:val="standardContextual"/>
              </w:rPr>
              <w:t>0,93</w:t>
            </w:r>
          </w:p>
        </w:tc>
        <w:tc>
          <w:tcPr>
            <w:tcW w:w="1270" w:type="dxa"/>
            <w:tcBorders>
              <w:top w:val="single" w:sz="4" w:space="0" w:color="D2C9B8"/>
              <w:left w:val="single" w:sz="4" w:space="0" w:color="D2C9B8"/>
              <w:bottom w:val="single" w:sz="4" w:space="0" w:color="D2C9B8"/>
              <w:right w:val="single" w:sz="4" w:space="0" w:color="D2C9B8"/>
            </w:tcBorders>
          </w:tcPr>
          <w:p w14:paraId="0508893F" w14:textId="77777777" w:rsidR="005A5FCC" w:rsidRDefault="00A21C81">
            <w:pPr>
              <w:spacing w:before="20" w:after="20" w:line="240" w:lineRule="auto"/>
              <w:jc w:val="left"/>
            </w:pPr>
            <w:r>
              <w:rPr>
                <w:rFonts w:cs="EB Garamond"/>
                <w:kern w:val="16"/>
                <w:sz w:val="18"/>
                <w14:ligatures w14:val="standardContextual"/>
              </w:rPr>
              <w:t>1,00</w:t>
            </w:r>
          </w:p>
        </w:tc>
      </w:tr>
    </w:tbl>
    <w:p w14:paraId="3181DB8A" w14:textId="77777777" w:rsidR="005A5FCC" w:rsidRDefault="005A5FCC">
      <w:pPr>
        <w:spacing w:after="80" w:line="240" w:lineRule="auto"/>
      </w:pPr>
    </w:p>
    <w:p w14:paraId="5DD003B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L</w:t>
      </w:r>
    </w:p>
    <w:p w14:paraId="102B615E" w14:textId="77777777" w:rsidR="005A5FCC" w:rsidRDefault="00A21C81">
      <w:r>
        <w:rPr>
          <w:rFonts w:cs="EB Garamond"/>
          <w:b/>
          <w:kern w:val="16"/>
          <w14:ligatures w14:val="standardContextual"/>
        </w:rPr>
        <w:t>eitura da tabela:</w:t>
      </w:r>
      <w:r>
        <w:rPr>
          <w:rFonts w:cs="EB Garamond"/>
          <w:kern w:val="16"/>
          <w14:ligatures w14:val="standardContextual"/>
        </w:rPr>
        <w:t xml:space="preserve"> para converter tempo cumprido sob a condição da LINHA para a condição da COLUNA, multiplique o tempo pelo fator correspondente. Exemplo: 10 anos cumpridos com deficiência leve (linha), convertidos para o parâmetro moderada (coluna) = 10 × 0,88 = 8,80 anos.</w:t>
      </w:r>
    </w:p>
    <w:tbl>
      <w:tblPr>
        <w:tblW w:w="5000" w:type="pct"/>
        <w:jc w:val="center"/>
        <w:tblLayout w:type="fixed"/>
        <w:tblLook w:val="04A0" w:firstRow="1" w:lastRow="0" w:firstColumn="1" w:lastColumn="0" w:noHBand="0" w:noVBand="1"/>
      </w:tblPr>
      <w:tblGrid>
        <w:gridCol w:w="6311"/>
      </w:tblGrid>
      <w:tr w:rsidR="005A5FCC" w14:paraId="4F62608A"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6B431D7A"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08CEB25B" w14:textId="77777777" w:rsidR="005A5FCC" w:rsidRDefault="00A21C81">
            <w:pPr>
              <w:spacing w:after="60" w:line="247" w:lineRule="auto"/>
            </w:pPr>
            <w:r>
              <w:rPr>
                <w:rFonts w:cs="EB Garamond"/>
                <w:b/>
                <w:kern w:val="16"/>
                <w:sz w:val="19"/>
                <w14:ligatures w14:val="standardContextual"/>
              </w:rPr>
              <w:t>Passo a passo: cálculo com deficiência superveniente</w:t>
            </w:r>
          </w:p>
          <w:p w14:paraId="7C9D0939" w14:textId="77777777" w:rsidR="005A5FCC" w:rsidRDefault="00A21C81">
            <w:pPr>
              <w:spacing w:after="60" w:line="247" w:lineRule="auto"/>
            </w:pPr>
            <w:r>
              <w:rPr>
                <w:rFonts w:cs="EB Garamond"/>
                <w:b/>
                <w:kern w:val="16"/>
                <w:sz w:val="19"/>
                <w14:ligatures w14:val="standardContextual"/>
              </w:rPr>
              <w:t>Segurado:</w:t>
            </w:r>
            <w:r>
              <w:rPr>
                <w:rFonts w:cs="EB Garamond"/>
                <w:kern w:val="16"/>
                <w:sz w:val="19"/>
                <w14:ligatures w14:val="standardContextual"/>
              </w:rPr>
              <w:t xml:space="preserve"> Paulo, homem, adquiriu deficiência moderada aos 38 anos. Contribuiu desde os 20 anos: - Período 1 (20-38 anos): 18 anos SEM deficiência - Período 2 (38-50 anos): 12 anos COM deficiência moderada</w:t>
            </w:r>
          </w:p>
          <w:p w14:paraId="2F77CA71" w14:textId="77777777" w:rsidR="005A5FCC" w:rsidRDefault="00A21C81">
            <w:pPr>
              <w:spacing w:after="60" w:line="247" w:lineRule="auto"/>
            </w:pPr>
            <w:r>
              <w:rPr>
                <w:rFonts w:cs="EB Garamond"/>
                <w:b/>
                <w:kern w:val="16"/>
                <w:sz w:val="19"/>
                <w14:ligatures w14:val="standardContextual"/>
              </w:rPr>
              <w:t>Passo 1 — Parâmetro de enquadramento (grau preponderante entre os períodos com deficiência):</w:t>
            </w:r>
            <w:r>
              <w:rPr>
                <w:rFonts w:cs="EB Garamond"/>
                <w:kern w:val="16"/>
                <w:sz w:val="19"/>
                <w14:ligatures w14:val="standardContextual"/>
              </w:rPr>
              <w:t xml:space="preserve"> Aqui é preciso distinguir dois usos do conceito. A definição estrita de grau preponderante (seção 12.4.3) considera TODOS os períodos — inclusive os sem deficiência — e identifica aquele de maior TC antes da conversão; no caso de Paulo, seria o período "sem deficiência" (18 anos). Esse conceito, contudo, presta-se a definir, entre graus de deficiência, qual parâmetro rege a conversão; ele não transforma o período sem deficiência em fundamento de um benefício que pressupõe deficiência.</w:t>
            </w:r>
          </w:p>
          <w:p w14:paraId="219E18E9" w14:textId="77777777" w:rsidR="005A5FCC" w:rsidRDefault="00A21C81">
            <w:pPr>
              <w:spacing w:after="60" w:line="247" w:lineRule="auto"/>
            </w:pPr>
            <w:r>
              <w:rPr>
                <w:rFonts w:cs="EB Garamond"/>
                <w:kern w:val="16"/>
                <w:sz w:val="19"/>
                <w14:ligatures w14:val="standardContextual"/>
              </w:rPr>
              <w:t>Para fins de enquadramento na via da LC 142, o parâmetro é necessariamente o grau preponderante entre os períodos COM deficiência — único critério compatível com um benefício que tutela a pessoa com deficiência. Como Paulo só teve um grau de deficiência (moderada), é esse o parâmetro de cálculo, e o TC mínimo será 29 anos (moderada, homem). O período sem deficiência não desaparece: entra na conta convertido para o parâmetro moderada (Passo 2).</w:t>
            </w:r>
          </w:p>
          <w:p w14:paraId="492E5D8A" w14:textId="77777777" w:rsidR="005A5FCC" w:rsidRDefault="00A21C81">
            <w:pPr>
              <w:spacing w:after="60" w:line="247" w:lineRule="auto"/>
            </w:pPr>
            <w:r>
              <w:rPr>
                <w:rFonts w:cs="EB Garamond"/>
                <w:b/>
                <w:kern w:val="16"/>
                <w:sz w:val="19"/>
                <w14:ligatures w14:val="standardContextual"/>
              </w:rPr>
              <w:t>Passo 2 — Conversão para o parâmetro moderada:</w:t>
            </w:r>
            <w:r>
              <w:rPr>
                <w:rFonts w:cs="EB Garamond"/>
                <w:kern w:val="16"/>
                <w:sz w:val="19"/>
                <w14:ligatures w14:val="standardContextual"/>
              </w:rPr>
              <w:t xml:space="preserve"> - Tempo sem deficiência para moderada (fator 0,83): 18 × 0,83 = 14,94 anos - Tempo com deficiência moderada: 12 anos (sem conversão)</w:t>
            </w:r>
          </w:p>
          <w:p w14:paraId="12C74822" w14:textId="77777777" w:rsidR="005A5FCC" w:rsidRDefault="00A21C81">
            <w:pPr>
              <w:spacing w:after="60" w:line="247" w:lineRule="auto"/>
            </w:pPr>
            <w:r>
              <w:rPr>
                <w:rFonts w:cs="EB Garamond"/>
                <w:b/>
                <w:kern w:val="16"/>
                <w:sz w:val="19"/>
                <w14:ligatures w14:val="standardContextual"/>
              </w:rPr>
              <w:t>Passo 3 — TC total convertido:</w:t>
            </w:r>
            <w:r>
              <w:rPr>
                <w:rFonts w:cs="EB Garamond"/>
                <w:kern w:val="16"/>
                <w:sz w:val="19"/>
                <w14:ligatures w14:val="standardContextual"/>
              </w:rPr>
              <w:t xml:space="preserve"> 14,94 + 12,00 = 26,94 anos</w:t>
            </w:r>
          </w:p>
          <w:p w14:paraId="02270165" w14:textId="77777777" w:rsidR="005A5FCC" w:rsidRDefault="00A21C81">
            <w:pPr>
              <w:spacing w:after="60" w:line="247" w:lineRule="auto"/>
            </w:pPr>
            <w:r>
              <w:rPr>
                <w:rFonts w:cs="EB Garamond"/>
                <w:b/>
                <w:kern w:val="16"/>
                <w:sz w:val="19"/>
                <w14:ligatures w14:val="standardContextual"/>
              </w:rPr>
              <w:t>Passo 4 — Comparação com TC mínimo:</w:t>
            </w:r>
            <w:r>
              <w:rPr>
                <w:rFonts w:cs="EB Garamond"/>
                <w:kern w:val="16"/>
                <w:sz w:val="19"/>
                <w14:ligatures w14:val="standardContextual"/>
              </w:rPr>
              <w:t xml:space="preserve"> TC mínimo moderada (homem) = 29 anos. Paulo tem 26,94 anos → faltam 2,06 anos. Paulo precisa contribuir mais aproximadamente 2 anos e 1 mês (sob deficiência moderada) para alcançar o TC mínimo.</w:t>
            </w:r>
          </w:p>
          <w:p w14:paraId="2D6D2648" w14:textId="77777777" w:rsidR="005A5FCC" w:rsidRDefault="00A21C81">
            <w:pPr>
              <w:spacing w:after="60" w:line="247" w:lineRule="auto"/>
            </w:pPr>
            <w:r>
              <w:rPr>
                <w:rFonts w:cs="EB Garamond"/>
                <w:b/>
                <w:kern w:val="16"/>
                <w:sz w:val="19"/>
                <w14:ligatures w14:val="standardContextual"/>
              </w:rPr>
              <w:t>Alternativa:</w:t>
            </w:r>
            <w:r>
              <w:rPr>
                <w:rFonts w:cs="EB Garamond"/>
                <w:kern w:val="16"/>
                <w:sz w:val="19"/>
                <w14:ligatures w14:val="standardContextual"/>
              </w:rPr>
              <w:t xml:space="preserve"> Se Paulo puder comprovar que sua deficiência é grave (e não moderada), o TC mínimo seria 25 anos, e a conversão do tempo sem deficiência seria: 18 × 0,71 = 12,78 + 12 (grave) = 24,78 anos. Ainda faltaria pouco, mas com o TC exigido sendo 25 anos, estaria mais próximo.</w:t>
            </w:r>
          </w:p>
        </w:tc>
      </w:tr>
    </w:tbl>
    <w:p w14:paraId="0C1E6A73" w14:textId="77777777" w:rsidR="005A5FCC" w:rsidRDefault="005A5FCC">
      <w:pPr>
        <w:spacing w:after="80" w:line="240" w:lineRule="auto"/>
      </w:pPr>
    </w:p>
    <w:tbl>
      <w:tblPr>
        <w:tblW w:w="5000" w:type="pct"/>
        <w:jc w:val="center"/>
        <w:tblLayout w:type="fixed"/>
        <w:tblLook w:val="04A0" w:firstRow="1" w:lastRow="0" w:firstColumn="1" w:lastColumn="0" w:noHBand="0" w:noVBand="1"/>
      </w:tblPr>
      <w:tblGrid>
        <w:gridCol w:w="6311"/>
      </w:tblGrid>
      <w:tr w:rsidR="005A5FCC" w14:paraId="6F58233B"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05E668DD"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7351AAC4" w14:textId="77777777" w:rsidR="005A5FCC" w:rsidRDefault="00A21C81">
            <w:pPr>
              <w:spacing w:after="60" w:line="247" w:lineRule="auto"/>
            </w:pPr>
            <w:r>
              <w:rPr>
                <w:rFonts w:cs="EB Garamond"/>
                <w:b/>
                <w:kern w:val="16"/>
                <w:sz w:val="19"/>
                <w14:ligatures w14:val="standardContextual"/>
              </w:rPr>
              <w:t>Fatores de conversão PcD ≠ fatores de conversão da aposentadoria especial</w:t>
            </w:r>
          </w:p>
          <w:p w14:paraId="1F112228" w14:textId="77777777" w:rsidR="005A5FCC" w:rsidRDefault="00A21C81">
            <w:pPr>
              <w:spacing w:after="60" w:line="247" w:lineRule="auto"/>
            </w:pPr>
            <w:r>
              <w:rPr>
                <w:rFonts w:cs="EB Garamond"/>
                <w:kern w:val="16"/>
                <w:sz w:val="19"/>
                <w14:ligatures w14:val="standardContextual"/>
              </w:rPr>
              <w:t xml:space="preserve">Os fatores de conversão da LC 142/2013 (art. 70-E, Decreto 3.048/99) são DIFERENTES dos fatores de conversão de tempo especial para comum (art. 70, Decreto 3.048/99, tratados no Capítulo 8). Não se podem confundir nem combinar: - Conversão especial: usa fatores como 1,40 (25→35 homem) para converter tempo de exposição a agentes nocivos em tempo comum. - Conversão PcD: usa fatores baseados nos TC da LC 142 para converter tempo entre graus de deficiência. - </w:t>
            </w:r>
            <w:r>
              <w:rPr>
                <w:rFonts w:cs="EB Garamond"/>
                <w:b/>
                <w:kern w:val="16"/>
                <w:sz w:val="19"/>
                <w14:ligatures w14:val="standardContextual"/>
              </w:rPr>
              <w:t>Vedação de cumulação:</w:t>
            </w:r>
            <w:r>
              <w:rPr>
                <w:rFonts w:cs="EB Garamond"/>
                <w:kern w:val="16"/>
                <w:sz w:val="19"/>
                <w14:ligatures w14:val="standardContextual"/>
              </w:rPr>
              <w:t xml:space="preserve"> o art. 70-F do Decreto 3.048/99 veda expressamente a cumulação de ambas as reduções no mesmo período contributivo. O segurado PcD que exerceu atividade especial deve optar pela via mais vantajosa.</w:t>
            </w:r>
          </w:p>
        </w:tc>
      </w:tr>
    </w:tbl>
    <w:p w14:paraId="234C924F" w14:textId="77777777" w:rsidR="005A5FCC" w:rsidRDefault="005A5FCC">
      <w:pPr>
        <w:spacing w:after="80" w:line="240" w:lineRule="auto"/>
      </w:pPr>
    </w:p>
    <w:p w14:paraId="4B95AE8D"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12.8 Alteração do grau de deficiência</w:t>
      </w:r>
    </w:p>
    <w:p w14:paraId="4856267F"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2C0FB6B9" w14:textId="77777777" w:rsidR="005A5FCC" w:rsidRDefault="00A21C81">
      <w:r>
        <w:rPr>
          <w:rFonts w:cs="EB Garamond"/>
          <w:kern w:val="16"/>
          <w14:ligatures w14:val="standardContextual"/>
        </w:rPr>
        <w:t xml:space="preserve"> art. 7º da LC 142 contempla também a hipótese de alteração do grau de deficiência ao longo da vida laboral, seja por melhora (por exemplo, evolução tecnológica de próteses, acesso a tratamento) ou por piora (progressão de doença, perda funcional adicional). Nesses casos, cada período é contado conforme o grau vigente à época e convertido proporcionalmente para o grau preponderante, utilizando os mesmos fatores de conversão do art. 70-E.</w:t>
      </w:r>
    </w:p>
    <w:tbl>
      <w:tblPr>
        <w:tblW w:w="5000" w:type="pct"/>
        <w:jc w:val="center"/>
        <w:tblLayout w:type="fixed"/>
        <w:tblLook w:val="04A0" w:firstRow="1" w:lastRow="0" w:firstColumn="1" w:lastColumn="0" w:noHBand="0" w:noVBand="1"/>
      </w:tblPr>
      <w:tblGrid>
        <w:gridCol w:w="6311"/>
      </w:tblGrid>
      <w:tr w:rsidR="005A5FCC" w14:paraId="16429799"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71E18FDA"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75588452" w14:textId="77777777" w:rsidR="005A5FCC" w:rsidRDefault="00A21C81">
            <w:pPr>
              <w:spacing w:after="60" w:line="247" w:lineRule="auto"/>
            </w:pPr>
            <w:r>
              <w:rPr>
                <w:rFonts w:cs="EB Garamond"/>
                <w:b/>
                <w:kern w:val="16"/>
                <w:sz w:val="19"/>
                <w14:ligatures w14:val="standardContextual"/>
              </w:rPr>
              <w:t>Exemplo: alteração de grau de deficiência</w:t>
            </w:r>
          </w:p>
          <w:p w14:paraId="5FD92DCE" w14:textId="77777777" w:rsidR="005A5FCC" w:rsidRDefault="00A21C81">
            <w:pPr>
              <w:spacing w:after="60" w:line="247" w:lineRule="auto"/>
            </w:pPr>
            <w:r>
              <w:rPr>
                <w:rFonts w:cs="EB Garamond"/>
                <w:b/>
                <w:kern w:val="16"/>
                <w:sz w:val="19"/>
                <w14:ligatures w14:val="standardContextual"/>
              </w:rPr>
              <w:t>Segurada:</w:t>
            </w:r>
            <w:r>
              <w:rPr>
                <w:rFonts w:cs="EB Garamond"/>
                <w:kern w:val="16"/>
                <w:sz w:val="19"/>
                <w14:ligatures w14:val="standardContextual"/>
              </w:rPr>
              <w:t xml:space="preserve"> Ana, mulher, com deficiência desde os 18 anos: - Período 1 (18-28 anos): 10 anos com deficiência grave - Período 2 (28-48 anos): 20 anos com deficiência moderada (melhora funcional)</w:t>
            </w:r>
          </w:p>
          <w:p w14:paraId="29BF26F5" w14:textId="77777777" w:rsidR="005A5FCC" w:rsidRDefault="00A21C81">
            <w:pPr>
              <w:spacing w:after="60" w:line="247" w:lineRule="auto"/>
            </w:pPr>
            <w:r>
              <w:rPr>
                <w:rFonts w:cs="EB Garamond"/>
                <w:b/>
                <w:kern w:val="16"/>
                <w:sz w:val="19"/>
                <w14:ligatures w14:val="standardContextual"/>
              </w:rPr>
              <w:t>Grau preponderante:</w:t>
            </w:r>
            <w:r>
              <w:rPr>
                <w:rFonts w:cs="EB Garamond"/>
                <w:kern w:val="16"/>
                <w:sz w:val="19"/>
                <w14:ligatures w14:val="standardContextual"/>
              </w:rPr>
              <w:t xml:space="preserve"> Moderada (20 anos &gt; 10 anos) → TC mínimo = 24 anos (mulher, moderada).</w:t>
            </w:r>
          </w:p>
          <w:p w14:paraId="254646CB" w14:textId="77777777" w:rsidR="005A5FCC" w:rsidRDefault="00A21C81">
            <w:pPr>
              <w:spacing w:after="60" w:line="247" w:lineRule="auto"/>
            </w:pPr>
            <w:r>
              <w:rPr>
                <w:rFonts w:cs="EB Garamond"/>
                <w:b/>
                <w:kern w:val="16"/>
                <w:sz w:val="19"/>
                <w14:ligatures w14:val="standardContextual"/>
              </w:rPr>
              <w:t>Conversão do período grave para moderada:</w:t>
            </w:r>
            <w:r>
              <w:rPr>
                <w:rFonts w:cs="EB Garamond"/>
                <w:kern w:val="16"/>
                <w:sz w:val="19"/>
                <w14:ligatures w14:val="standardContextual"/>
              </w:rPr>
              <w:t xml:space="preserve"> 10 anos × 1,20 (grave → moderada, mulher) = 12 anos</w:t>
            </w:r>
          </w:p>
          <w:p w14:paraId="14169FA8" w14:textId="77777777" w:rsidR="005A5FCC" w:rsidRDefault="00A21C81">
            <w:pPr>
              <w:spacing w:after="60" w:line="247" w:lineRule="auto"/>
            </w:pPr>
            <w:r>
              <w:rPr>
                <w:rFonts w:cs="EB Garamond"/>
                <w:b/>
                <w:kern w:val="16"/>
                <w:sz w:val="19"/>
                <w14:ligatures w14:val="standardContextual"/>
              </w:rPr>
              <w:t>TC total convertido:</w:t>
            </w:r>
            <w:r>
              <w:rPr>
                <w:rFonts w:cs="EB Garamond"/>
                <w:kern w:val="16"/>
                <w:sz w:val="19"/>
                <w14:ligatures w14:val="standardContextual"/>
              </w:rPr>
              <w:t xml:space="preserve"> 12 + 20 = 32 anos</w:t>
            </w:r>
          </w:p>
          <w:p w14:paraId="42F7B591" w14:textId="77777777" w:rsidR="005A5FCC" w:rsidRDefault="00A21C81">
            <w:pPr>
              <w:spacing w:after="60" w:line="247" w:lineRule="auto"/>
            </w:pPr>
            <w:r>
              <w:rPr>
                <w:rFonts w:cs="EB Garamond"/>
                <w:b/>
                <w:kern w:val="16"/>
                <w:sz w:val="19"/>
                <w14:ligatures w14:val="standardContextual"/>
              </w:rPr>
              <w:t>Resultado:</w:t>
            </w:r>
            <w:r>
              <w:rPr>
                <w:rFonts w:cs="EB Garamond"/>
                <w:kern w:val="16"/>
                <w:sz w:val="19"/>
                <w14:ligatures w14:val="standardContextual"/>
              </w:rPr>
              <w:t xml:space="preserve"> Ana tem 32 anos convertidos, superando em 8 anos o TC mínimo de 24 anos (moderada, mulher). Tem direito à aposentadoria desde os 40 anos de idade (quando completou 24 anos de TC convertidos: 12 anos convertidos ao final do período grave, aos 28 anos, mais 12 anos no período moderado, contados 1:1).</w:t>
            </w:r>
          </w:p>
          <w:p w14:paraId="33FD44BB" w14:textId="77777777" w:rsidR="005A5FCC" w:rsidRDefault="00A21C81">
            <w:pPr>
              <w:spacing w:after="60" w:line="247" w:lineRule="auto"/>
            </w:pPr>
            <w:r>
              <w:rPr>
                <w:rFonts w:cs="EB Garamond"/>
                <w:b/>
                <w:kern w:val="16"/>
                <w:sz w:val="19"/>
                <w14:ligatures w14:val="standardContextual"/>
              </w:rPr>
              <w:t>Observação:</w:t>
            </w:r>
            <w:r>
              <w:rPr>
                <w:rFonts w:cs="EB Garamond"/>
                <w:kern w:val="16"/>
                <w:sz w:val="19"/>
                <w14:ligatures w14:val="standardContextual"/>
              </w:rPr>
              <w:t xml:space="preserve"> Se o grau preponderante fosse grave, o TC mínimo seria 20 anos e o período moderado seria convertido: 20 × 0,83 = 16,60 + 10 (grave) = 26,60 anos. Mas o grau preponderante é definido pelo maior tempo antes da conversão (moderada = 20 anos), não pelo que seria mais favorável ao segurado.</w:t>
            </w:r>
          </w:p>
        </w:tc>
      </w:tr>
    </w:tbl>
    <w:p w14:paraId="13BE7E02" w14:textId="77777777" w:rsidR="005A5FCC" w:rsidRDefault="005A5FCC">
      <w:pPr>
        <w:spacing w:after="80" w:line="240" w:lineRule="auto"/>
      </w:pPr>
    </w:p>
    <w:p w14:paraId="0DF4D9C3"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0552C8D0" w14:textId="77777777" w:rsidR="005A5FCC" w:rsidRDefault="00A21C81">
      <w:r>
        <w:rPr>
          <w:rFonts w:cs="EB Garamond"/>
          <w:kern w:val="16"/>
          <w14:ligatures w14:val="standardContextual"/>
        </w:rPr>
        <w:t xml:space="preserve"> questão da alteração de grau é particularmente sensível na prova judicial. A perícia biopsicossocial judicial deve reconstituir o histórico funcional do segurado, identificando as datas de transição entre graus — tarefa que exige análise de laudos médicos, relatórios de acompanhamento e, eventualmente, prova testemunhal sobre as condições de vida e trabalho do segurado ao longo dos anos.</w:t>
      </w:r>
    </w:p>
    <w:p w14:paraId="53EE852A"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12.9 Interface com a EC 103/2019</w:t>
      </w:r>
    </w:p>
    <w:p w14:paraId="00777F8B"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03649E76" w14:textId="77777777" w:rsidR="005A5FCC" w:rsidRDefault="00A21C81">
      <w:r>
        <w:rPr>
          <w:rFonts w:cs="EB Garamond"/>
          <w:kern w:val="16"/>
          <w14:ligatures w14:val="standardContextual"/>
        </w:rPr>
        <w:t xml:space="preserve"> EC 103/2019 (Reforma da Previdência) não alterou diretamente a LC 142/2013, mas criou um regime jurídico novo para as aposentadorias do RGPS que gera questões de interface com a aposentadoria da PcD.</w:t>
      </w:r>
    </w:p>
    <w:p w14:paraId="461FD9BA" w14:textId="77777777" w:rsidR="005A5FCC" w:rsidRDefault="00A21C81">
      <w:pPr>
        <w:spacing w:before="260" w:after="80" w:line="240" w:lineRule="auto"/>
        <w:jc w:val="left"/>
      </w:pPr>
      <w:r>
        <w:rPr>
          <w:rFonts w:cs="EB Garamond"/>
          <w:b/>
          <w:color w:val="3A3128"/>
          <w:kern w:val="16"/>
          <w:sz w:val="25"/>
          <w14:ligatures w14:val="standardContextual"/>
        </w:rPr>
        <w:t>12.9.1 O art. 22 e a preservação integral da LC 142</w:t>
      </w:r>
    </w:p>
    <w:p w14:paraId="4EF09722"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O</w:t>
      </w:r>
    </w:p>
    <w:p w14:paraId="7EE2D6C7" w14:textId="77777777" w:rsidR="005A5FCC" w:rsidRDefault="00A21C81">
      <w:r>
        <w:rPr>
          <w:rFonts w:cs="EB Garamond"/>
          <w:kern w:val="16"/>
          <w14:ligatures w14:val="standardContextual"/>
        </w:rPr>
        <w:t xml:space="preserve"> art. 22 da EC 103/2019 dispõe: "Até que lei discipline o § 4º-A do art. 40 e o § 1º do art. 201 da Constituição Federal, a aposentadoria da pessoa com deficiência segurada do Regime Geral de Previdência Social de que trata a Lei Complementar n. 142, de 8 de maio de 2013, inclusive quanto aos critérios de cálculo, seguirá sendo aplicada."</w:t>
      </w:r>
    </w:p>
    <w:p w14:paraId="5F5691EB" w14:textId="77777777" w:rsidR="005A5FCC" w:rsidRDefault="00A21C81">
      <w:pPr>
        <w:ind w:firstLine="238"/>
      </w:pPr>
      <w:r>
        <w:rPr>
          <w:rFonts w:cs="EB Garamond"/>
          <w:kern w:val="16"/>
          <w14:ligatures w14:val="standardContextual"/>
        </w:rPr>
        <w:t>A expressão "inclusive quanto aos critérios de cálculo" é a chave interpretativa do dispositivo. Duas posições se formaram:</w:t>
      </w:r>
    </w:p>
    <w:p w14:paraId="1728C781" w14:textId="77777777" w:rsidR="005A5FCC" w:rsidRDefault="00A21C81">
      <w:pPr>
        <w:ind w:firstLine="238"/>
      </w:pPr>
      <w:r>
        <w:rPr>
          <w:rFonts w:cs="EB Garamond"/>
          <w:b/>
          <w:kern w:val="16"/>
          <w14:ligatures w14:val="standardContextual"/>
        </w:rPr>
        <w:t>Posição 1 (INSS — inicial, minoritária):</w:t>
      </w:r>
      <w:r>
        <w:rPr>
          <w:rFonts w:cs="EB Garamond"/>
          <w:kern w:val="16"/>
          <w14:ligatures w14:val="standardContextual"/>
        </w:rPr>
        <w:t xml:space="preserve"> O art. 26 da EC 103 é regra geral de cálculo que se aplica a todos os benefícios pós-Reforma, inclusive à aposentadoria da PcD. A média incidiria sobre 100% dos SC (e não mais sobre os 80% maiores) e o coeficiente seria de 60% + 2% por ano excedente ao TC mínimo. O resultado seria significativamente inferior ao calculado pela LC 142.</w:t>
      </w:r>
    </w:p>
    <w:p w14:paraId="127A5F41" w14:textId="77777777" w:rsidR="005A5FCC" w:rsidRDefault="00A21C81">
      <w:pPr>
        <w:ind w:firstLine="238"/>
      </w:pPr>
      <w:r>
        <w:rPr>
          <w:rFonts w:cs="EB Garamond"/>
          <w:b/>
          <w:kern w:val="16"/>
          <w14:ligatures w14:val="standardContextual"/>
        </w:rPr>
        <w:t>Posição 2 (doutrina majoritária e jurisprudência dos TRFs — que adotamos):</w:t>
      </w:r>
      <w:r>
        <w:rPr>
          <w:rFonts w:cs="EB Garamond"/>
          <w:kern w:val="16"/>
          <w14:ligatures w14:val="standardContextual"/>
        </w:rPr>
        <w:t xml:space="preserve"> O art. 22 da EC 103 funciona como norma especial, preservando integralmente o COEFICIENTE da LC 142, isto é, 100% do SB (aposentadoria por TC) e 70% + 1% por grupo de 12 contribuições (aposentadoria por idade). A referência a "critérios de cálculo" afasta de modo inequívoco a aplicação do coeficiente redutor do art. 26 (60% + 2%). Sustentamos, com a doutrina dominante, que a divergência sobre a média não compromete essa conclusão: o art. 22 conserva o coeficiente da LC 142, ao passo que a BASE de cálculo é a do art. 26 — média de 100% dos SC, com possibilidade de exclusão das contribuições prejudiciais (art. 26, § 6º). Ibrahim (2025) e Castro e Lazzari (2025) convergem ao afirmar que a expressão "inclusive quanto aos critérios de cálculo" não deixa margem interpretativa para a incidência do coeficiente do art. 26 sobre a aposentadoria da PcD.</w:t>
      </w:r>
    </w:p>
    <w:p w14:paraId="7BA50DB6" w14:textId="77777777" w:rsidR="005A5FCC" w:rsidRDefault="00A21C81">
      <w:pPr>
        <w:ind w:firstLine="238"/>
      </w:pPr>
      <w:r>
        <w:rPr>
          <w:rFonts w:cs="EB Garamond"/>
          <w:kern w:val="16"/>
          <w14:ligatures w14:val="standardContextual"/>
        </w:rPr>
        <w:t>A jurisprudência dos TRFs consolidou-se firmemente na segunda posição, reconhecendo que o art. 22 opera como exceção ao regime geral do art. 26 e que a aposentadoria da PcD mantém seus critérios próprios de cálculo integralmente.</w:t>
      </w:r>
    </w:p>
    <w:p w14:paraId="060BFBCD" w14:textId="77777777" w:rsidR="005A5FCC" w:rsidRDefault="00A21C81">
      <w:pPr>
        <w:spacing w:before="260" w:after="80" w:line="240" w:lineRule="auto"/>
        <w:jc w:val="left"/>
      </w:pPr>
      <w:r>
        <w:rPr>
          <w:rFonts w:cs="EB Garamond"/>
          <w:b/>
          <w:color w:val="3A3128"/>
          <w:kern w:val="16"/>
          <w:sz w:val="25"/>
          <w14:ligatures w14:val="standardContextual"/>
        </w:rPr>
        <w:t>12.9.2 Pendência legislativa: nova lei complementar</w:t>
      </w:r>
    </w:p>
    <w:p w14:paraId="14C7A48B"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O</w:t>
      </w:r>
    </w:p>
    <w:p w14:paraId="4A001D65" w14:textId="77777777" w:rsidR="005A5FCC" w:rsidRDefault="00A21C81">
      <w:r>
        <w:rPr>
          <w:rFonts w:cs="EB Garamond"/>
          <w:kern w:val="16"/>
          <w14:ligatures w14:val="standardContextual"/>
        </w:rPr>
        <w:t xml:space="preserve"> art. 22 da EC 103 é norma transitória: determina a manutenção da LC 142 "até que lei discipline" a matéria. Passados mais de seis anos da promulgação da EC 103, nenhum projeto de lei complementar sobre aposentadoria da PcD foi aprovado pelo Congresso Nacional. A LC 142/2013 permanece plenamente vigente, sem prazo previsível para substituição.</w:t>
      </w:r>
    </w:p>
    <w:p w14:paraId="01748EAD" w14:textId="77777777" w:rsidR="005A5FCC" w:rsidRDefault="00A21C81">
      <w:pPr>
        <w:ind w:firstLine="238"/>
      </w:pPr>
      <w:r>
        <w:rPr>
          <w:rFonts w:cs="EB Garamond"/>
          <w:kern w:val="16"/>
          <w14:ligatures w14:val="standardContextual"/>
        </w:rPr>
        <w:t>O advogado previdenciarista deve monitorar eventuais projetos legislativos que possam alterar os critérios da LC 142, especialmente no tocante aos graus de deficiência, ao instrumento de avaliação (IF-BrA) e ao cálculo do benefício. Até que nova lei seja promulgada, a LC 142 é a norma aplicável — e qualquer alteração legislativa deverá respeitar o princípio do tempus regit actum para os segurados que já preencheram os requisitos.</w:t>
      </w:r>
    </w:p>
    <w:tbl>
      <w:tblPr>
        <w:tblW w:w="5000" w:type="pct"/>
        <w:jc w:val="center"/>
        <w:tblLayout w:type="fixed"/>
        <w:tblLook w:val="04A0" w:firstRow="1" w:lastRow="0" w:firstColumn="1" w:lastColumn="0" w:noHBand="0" w:noVBand="1"/>
      </w:tblPr>
      <w:tblGrid>
        <w:gridCol w:w="6311"/>
      </w:tblGrid>
      <w:tr w:rsidR="005A5FCC" w14:paraId="119339B4"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6F92344C" w14:textId="77777777" w:rsidR="005A5FCC" w:rsidRDefault="00A21C81">
            <w:pPr>
              <w:spacing w:after="60" w:line="240" w:lineRule="auto"/>
              <w:jc w:val="left"/>
            </w:pPr>
            <w:r>
              <w:rPr>
                <w:rFonts w:ascii="Noto Sans" w:hAnsi="Noto Sans" w:cs="Noto Sans"/>
                <w:b/>
                <w:caps/>
                <w:color w:val="4D6F8A"/>
                <w:kern w:val="16"/>
                <w:sz w:val="16"/>
                <w14:ligatures w14:val="standardContextual"/>
              </w:rPr>
              <w:t>JURISPRUDÊNCIA EM DESTAQUE</w:t>
            </w:r>
          </w:p>
          <w:p w14:paraId="56ED4351" w14:textId="77777777" w:rsidR="005A5FCC" w:rsidRDefault="00A21C81">
            <w:pPr>
              <w:spacing w:after="60" w:line="247" w:lineRule="auto"/>
            </w:pPr>
            <w:r>
              <w:rPr>
                <w:rFonts w:cs="EB Garamond"/>
                <w:b/>
                <w:kern w:val="16"/>
                <w:sz w:val="19"/>
                <w14:ligatures w14:val="standardContextual"/>
              </w:rPr>
              <w:t>Art. 22 EC 103: posição consolidada dos TRFs</w:t>
            </w:r>
          </w:p>
          <w:p w14:paraId="673C5B9B" w14:textId="77777777" w:rsidR="005A5FCC" w:rsidRDefault="00A21C81">
            <w:pPr>
              <w:spacing w:after="60" w:line="247" w:lineRule="auto"/>
            </w:pPr>
            <w:r>
              <w:rPr>
                <w:rFonts w:cs="EB Garamond"/>
                <w:kern w:val="16"/>
                <w:sz w:val="19"/>
                <w14:ligatures w14:val="standardContextual"/>
              </w:rPr>
              <w:t>O entendimento dos TRFs é uniforme no sentido de que o art. 22 da EC 103/2019 preserva integralmente a LC 142/2013 para a aposentadoria da PcD, inclusive o coeficiente de cálculo (100% do SB para TC; 70% + 1% por grupo de 12 contribuições para idade), afastando a aplicação do art. 26 da EC 103 (60% + 2%). Quanto à base de cálculo, firma-se com segurança a tese — que sufragamos — de que o art. 22 preserva o COEFICIENTE da LC 142, mas adota a BASE do art. 26: média de 100% dos SC, com faculdade de exclusão das contribuições prejudiciais (art. 26, § 6º, EC 103). Essa solução é hoje a dominante e não desfavorece o segurado: a média de 100% conjugada ao descarte das contribuições baixas costuma ser neutra ou benéfica, e a cláusula de garantia do art. 6º da LC 142 protege os casos residuais em que a sistemática anterior (80% maiores SC) seria mais vantajosa.</w:t>
            </w:r>
          </w:p>
        </w:tc>
      </w:tr>
    </w:tbl>
    <w:p w14:paraId="5819738C" w14:textId="77777777" w:rsidR="005A5FCC" w:rsidRDefault="005A5FCC">
      <w:pPr>
        <w:spacing w:after="80" w:line="240" w:lineRule="auto"/>
      </w:pPr>
    </w:p>
    <w:p w14:paraId="6372B4CC"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12.10 Fator previdenciário na aposentadoria da PcD</w:t>
      </w:r>
    </w:p>
    <w:p w14:paraId="428EE86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7F7584C9" w14:textId="77777777" w:rsidR="005A5FCC" w:rsidRDefault="00A21C81">
      <w:r>
        <w:rPr>
          <w:rFonts w:cs="EB Garamond"/>
          <w:kern w:val="16"/>
          <w14:ligatures w14:val="standardContextual"/>
        </w:rPr>
        <w:t xml:space="preserve"> art. 9º, I, da LC 142/2013 estabelece regra peculiar sobre o fator previdenciário: ele é aplicável somente se resultar em renda mensal de valor superior, </w:t>
      </w:r>
      <w:r>
        <w:rPr>
          <w:rFonts w:cs="EB Garamond"/>
          <w:kern w:val="16"/>
          <w14:ligatures w14:val="standardContextual"/>
        </w:rPr>
        <w:lastRenderedPageBreak/>
        <w:t>ou seja, somente quando for vantajoso para o segurado. Essa disposição inverte a lógica que prevalecia na aposentadoria por TC comum antes da EC 103/2019 (quando o fator era obrigatório e, na grande maioria dos casos, reduzia o valor do benefício) e que permanece nas regras de transição do pedágio 50% e do direito adquirido pré-reforma (conforme detalhado na seção 11.8 do Capítulo 11).</w:t>
      </w:r>
    </w:p>
    <w:p w14:paraId="5A741206" w14:textId="77777777" w:rsidR="005A5FCC" w:rsidRDefault="00A21C81">
      <w:pPr>
        <w:spacing w:before="260" w:after="80" w:line="240" w:lineRule="auto"/>
        <w:jc w:val="left"/>
      </w:pPr>
      <w:r>
        <w:rPr>
          <w:rFonts w:cs="EB Garamond"/>
          <w:b/>
          <w:color w:val="3A3128"/>
          <w:kern w:val="16"/>
          <w:sz w:val="25"/>
          <w14:ligatures w14:val="standardContextual"/>
        </w:rPr>
        <w:t>12.10.1 Por que o fator previdenciário é quase sempre desvantajoso na PcD</w:t>
      </w:r>
    </w:p>
    <w:p w14:paraId="31E4458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1D4BFB40" w14:textId="77777777" w:rsidR="005A5FCC" w:rsidRDefault="00A21C81">
      <w:r>
        <w:rPr>
          <w:rFonts w:cs="EB Garamond"/>
          <w:kern w:val="16"/>
          <w14:ligatures w14:val="standardContextual"/>
        </w:rPr>
        <w:t xml:space="preserve"> fator previdenciário é uma variável composta por três elementos: idade (Id), tempo de contribuição (TC) e expectativa de sobrevida (Es). A fórmula favorece segurados mais velhos, com mais tempo de contribuição e menor expectativa de sobrevida. Segurados jovens com pouco TC tendem a ter fator inferior a 1,0, que reduziria o valor do benefício.</w:t>
      </w:r>
    </w:p>
    <w:p w14:paraId="06F28A5D" w14:textId="77777777" w:rsidR="005A5FCC" w:rsidRDefault="00A21C81">
      <w:pPr>
        <w:ind w:firstLine="238"/>
      </w:pPr>
      <w:r>
        <w:rPr>
          <w:rFonts w:cs="EB Garamond"/>
          <w:kern w:val="16"/>
          <w14:ligatures w14:val="standardContextual"/>
        </w:rPr>
        <w:t>Na aposentadoria da PcD, esse cenário é a regra: o segurado com deficiência grave se aposenta com apenas 25 anos de TC (homem) ou 20 anos (mulher), frequentemente antes dos 50 anos de idade. Nessas condições, o fator previdenciário é tipicamente muito inferior a 1,0 (entre 0,40 e 0,70), o que, se aplicado, reduziria drasticamente o valor do benefício. A não aplicação do fator é, portanto, a norma — e constitui uma das grandes vantagens da aposentadoria da PcD.</w:t>
      </w:r>
    </w:p>
    <w:p w14:paraId="21B2C989" w14:textId="77777777" w:rsidR="005A5FCC" w:rsidRDefault="00A21C81">
      <w:pPr>
        <w:ind w:firstLine="238"/>
      </w:pPr>
      <w:r>
        <w:rPr>
          <w:rFonts w:cs="EB Garamond"/>
          <w:b/>
          <w:kern w:val="16"/>
          <w14:ligatures w14:val="standardContextual"/>
        </w:rPr>
        <w:t>Quando o fator pode ser vantajoso:</w:t>
      </w:r>
      <w:r>
        <w:rPr>
          <w:rFonts w:cs="EB Garamond"/>
          <w:kern w:val="16"/>
          <w14:ligatures w14:val="standardContextual"/>
        </w:rPr>
        <w:t xml:space="preserve"> excepcionalmente, se o segurado PcD acumular TC muito superior ao mínimo exigido e atingir idade avançada, o fator pode ultrapassar 1,0 e incrementar o valor do benefício. Exemplo: segurado homem com deficiência leve, 60 anos de idade e 40 anos de TC, o fator previdenciário pode ser superior a 1,0, tornando sua aplicação vantajosa. Nesse caso, o INSS deve aplicar o fator (art. 9º, I).</w:t>
      </w:r>
    </w:p>
    <w:p w14:paraId="62EA45A3" w14:textId="77777777" w:rsidR="005A5FCC" w:rsidRDefault="00A21C81">
      <w:pPr>
        <w:ind w:firstLine="238"/>
      </w:pPr>
      <w:r>
        <w:rPr>
          <w:rFonts w:cs="EB Garamond"/>
          <w:kern w:val="16"/>
          <w14:ligatures w14:val="standardContextual"/>
        </w:rPr>
        <w:t>Para a fórmula detalhada do fator previdenciário, consulte a seção 11.8 do Capítulo 11.</w:t>
      </w:r>
    </w:p>
    <w:tbl>
      <w:tblPr>
        <w:tblW w:w="5000" w:type="pct"/>
        <w:jc w:val="center"/>
        <w:tblLayout w:type="fixed"/>
        <w:tblLook w:val="04A0" w:firstRow="1" w:lastRow="0" w:firstColumn="1" w:lastColumn="0" w:noHBand="0" w:noVBand="1"/>
      </w:tblPr>
      <w:tblGrid>
        <w:gridCol w:w="6311"/>
      </w:tblGrid>
      <w:tr w:rsidR="005A5FCC" w14:paraId="7A725D87"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507E793F" w14:textId="77777777" w:rsidR="005A5FCC" w:rsidRDefault="00A21C81">
            <w:pPr>
              <w:spacing w:after="60" w:line="240" w:lineRule="auto"/>
              <w:jc w:val="left"/>
            </w:pPr>
            <w:r>
              <w:rPr>
                <w:rFonts w:ascii="Noto Sans" w:hAnsi="Noto Sans" w:cs="Noto Sans"/>
                <w:b/>
                <w:caps/>
                <w:color w:val="B78B37"/>
                <w:kern w:val="16"/>
                <w:sz w:val="16"/>
                <w14:ligatures w14:val="standardContextual"/>
              </w:rPr>
              <w:lastRenderedPageBreak/>
              <w:t>ATENÇÃO</w:t>
            </w:r>
          </w:p>
          <w:p w14:paraId="1EFE4978" w14:textId="77777777" w:rsidR="005A5FCC" w:rsidRDefault="00A21C81">
            <w:pPr>
              <w:spacing w:after="60" w:line="247" w:lineRule="auto"/>
            </w:pPr>
            <w:r>
              <w:rPr>
                <w:rFonts w:cs="EB Garamond"/>
                <w:b/>
                <w:kern w:val="16"/>
                <w:sz w:val="19"/>
                <w14:ligatures w14:val="standardContextual"/>
              </w:rPr>
              <w:t>Fator previdenciário na aposentadoria da PcD: a regra é a NÃO aplicação</w:t>
            </w:r>
          </w:p>
          <w:tbl>
            <w:tblPr>
              <w:tblW w:w="5000" w:type="pct"/>
              <w:jc w:val="center"/>
              <w:tblLook w:val="04A0" w:firstRow="1" w:lastRow="0" w:firstColumn="1" w:lastColumn="0" w:noHBand="0" w:noVBand="1"/>
            </w:tblPr>
            <w:tblGrid>
              <w:gridCol w:w="1967"/>
              <w:gridCol w:w="1967"/>
              <w:gridCol w:w="1967"/>
            </w:tblGrid>
            <w:tr w:rsidR="005A5FCC" w14:paraId="5B778984" w14:textId="77777777">
              <w:trPr>
                <w:tblHeader/>
                <w:jc w:val="center"/>
              </w:trPr>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1C55436F" w14:textId="77777777" w:rsidR="005A5FCC" w:rsidRDefault="00A21C81">
                  <w:pPr>
                    <w:spacing w:before="30" w:after="30" w:line="240" w:lineRule="auto"/>
                    <w:jc w:val="center"/>
                  </w:pPr>
                  <w:r>
                    <w:rPr>
                      <w:rFonts w:cs="EB Garamond"/>
                      <w:b/>
                      <w:color w:val="2F2923"/>
                      <w:kern w:val="16"/>
                      <w:sz w:val="16"/>
                      <w14:ligatures w14:val="standardContextual"/>
                    </w:rPr>
                    <w:t>Situação</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0E08ADB4" w14:textId="77777777" w:rsidR="005A5FCC" w:rsidRDefault="00A21C81">
                  <w:pPr>
                    <w:spacing w:before="30" w:after="30" w:line="240" w:lineRule="auto"/>
                    <w:jc w:val="center"/>
                  </w:pPr>
                  <w:r>
                    <w:rPr>
                      <w:rFonts w:cs="EB Garamond"/>
                      <w:b/>
                      <w:color w:val="2F2923"/>
                      <w:kern w:val="16"/>
                      <w:sz w:val="16"/>
                      <w14:ligatures w14:val="standardContextual"/>
                    </w:rPr>
                    <w:t>Fator previdenciário</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7DFC8497" w14:textId="77777777" w:rsidR="005A5FCC" w:rsidRDefault="00A21C81">
                  <w:pPr>
                    <w:spacing w:before="30" w:after="30" w:line="240" w:lineRule="auto"/>
                    <w:jc w:val="center"/>
                  </w:pPr>
                  <w:r>
                    <w:rPr>
                      <w:rFonts w:cs="EB Garamond"/>
                      <w:b/>
                      <w:color w:val="2F2923"/>
                      <w:kern w:val="16"/>
                      <w:sz w:val="16"/>
                      <w14:ligatures w14:val="standardContextual"/>
                    </w:rPr>
                    <w:t>Efeito</w:t>
                  </w:r>
                </w:p>
              </w:tc>
            </w:tr>
            <w:tr w:rsidR="005A5FCC" w14:paraId="01D8CA53"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13E3861D" w14:textId="77777777" w:rsidR="005A5FCC" w:rsidRDefault="00A21C81">
                  <w:pPr>
                    <w:spacing w:before="20" w:after="20" w:line="240" w:lineRule="auto"/>
                    <w:jc w:val="left"/>
                  </w:pPr>
                  <w:r>
                    <w:rPr>
                      <w:rFonts w:cs="EB Garamond"/>
                      <w:kern w:val="16"/>
                      <w:sz w:val="16"/>
                      <w14:ligatures w14:val="standardContextual"/>
                    </w:rPr>
                    <w:t>Aposentadoria por TC da PcD (regra geral)</w:t>
                  </w:r>
                </w:p>
              </w:tc>
              <w:tc>
                <w:tcPr>
                  <w:tcW w:w="2117" w:type="dxa"/>
                  <w:tcBorders>
                    <w:top w:val="single" w:sz="4" w:space="0" w:color="D2C9B8"/>
                    <w:left w:val="single" w:sz="4" w:space="0" w:color="D2C9B8"/>
                    <w:bottom w:val="single" w:sz="4" w:space="0" w:color="D2C9B8"/>
                    <w:right w:val="single" w:sz="4" w:space="0" w:color="D2C9B8"/>
                  </w:tcBorders>
                </w:tcPr>
                <w:p w14:paraId="1A9CD55D" w14:textId="77777777" w:rsidR="005A5FCC" w:rsidRDefault="00A21C81">
                  <w:pPr>
                    <w:spacing w:before="20" w:after="20" w:line="240" w:lineRule="auto"/>
                    <w:jc w:val="left"/>
                  </w:pPr>
                  <w:r>
                    <w:rPr>
                      <w:rFonts w:cs="EB Garamond"/>
                      <w:kern w:val="16"/>
                      <w:sz w:val="16"/>
                      <w14:ligatures w14:val="standardContextual"/>
                    </w:rPr>
                    <w:t>Somente se vantajoso (art. 9º, I, LC 142)</w:t>
                  </w:r>
                </w:p>
              </w:tc>
              <w:tc>
                <w:tcPr>
                  <w:tcW w:w="2117" w:type="dxa"/>
                  <w:tcBorders>
                    <w:top w:val="single" w:sz="4" w:space="0" w:color="D2C9B8"/>
                    <w:left w:val="single" w:sz="4" w:space="0" w:color="D2C9B8"/>
                    <w:bottom w:val="single" w:sz="4" w:space="0" w:color="D2C9B8"/>
                    <w:right w:val="single" w:sz="4" w:space="0" w:color="D2C9B8"/>
                  </w:tcBorders>
                </w:tcPr>
                <w:p w14:paraId="0DB20790" w14:textId="77777777" w:rsidR="005A5FCC" w:rsidRDefault="00A21C81">
                  <w:pPr>
                    <w:spacing w:before="20" w:after="20" w:line="240" w:lineRule="auto"/>
                    <w:jc w:val="left"/>
                  </w:pPr>
                  <w:r>
                    <w:rPr>
                      <w:rFonts w:cs="EB Garamond"/>
                      <w:kern w:val="16"/>
                      <w:sz w:val="16"/>
                      <w14:ligatures w14:val="standardContextual"/>
                    </w:rPr>
                    <w:t>Na maioria dos casos, NÃO se aplica</w:t>
                  </w:r>
                </w:p>
              </w:tc>
            </w:tr>
            <w:tr w:rsidR="005A5FCC" w14:paraId="23DDF316"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74D68FAA" w14:textId="77777777" w:rsidR="005A5FCC" w:rsidRDefault="00A21C81">
                  <w:pPr>
                    <w:spacing w:before="20" w:after="20" w:line="240" w:lineRule="auto"/>
                    <w:jc w:val="left"/>
                  </w:pPr>
                  <w:r>
                    <w:rPr>
                      <w:rFonts w:cs="EB Garamond"/>
                      <w:kern w:val="16"/>
                      <w:sz w:val="16"/>
                      <w14:ligatures w14:val="standardContextual"/>
                    </w:rPr>
                    <w:t>Aposentadoria por idade da PcD</w:t>
                  </w:r>
                </w:p>
              </w:tc>
              <w:tc>
                <w:tcPr>
                  <w:tcW w:w="2117" w:type="dxa"/>
                  <w:tcBorders>
                    <w:top w:val="single" w:sz="4" w:space="0" w:color="D2C9B8"/>
                    <w:left w:val="single" w:sz="4" w:space="0" w:color="D2C9B8"/>
                    <w:bottom w:val="single" w:sz="4" w:space="0" w:color="D2C9B8"/>
                    <w:right w:val="single" w:sz="4" w:space="0" w:color="D2C9B8"/>
                  </w:tcBorders>
                </w:tcPr>
                <w:p w14:paraId="665271D5" w14:textId="77777777" w:rsidR="005A5FCC" w:rsidRDefault="00A21C81">
                  <w:pPr>
                    <w:spacing w:before="20" w:after="20" w:line="240" w:lineRule="auto"/>
                    <w:jc w:val="left"/>
                  </w:pPr>
                  <w:r>
                    <w:rPr>
                      <w:rFonts w:cs="EB Garamond"/>
                      <w:kern w:val="16"/>
                      <w:sz w:val="16"/>
                      <w14:ligatures w14:val="standardContextual"/>
                    </w:rPr>
                    <w:t>Somente se vantajoso (art. 9º, I, LC 142)</w:t>
                  </w:r>
                </w:p>
              </w:tc>
              <w:tc>
                <w:tcPr>
                  <w:tcW w:w="2117" w:type="dxa"/>
                  <w:tcBorders>
                    <w:top w:val="single" w:sz="4" w:space="0" w:color="D2C9B8"/>
                    <w:left w:val="single" w:sz="4" w:space="0" w:color="D2C9B8"/>
                    <w:bottom w:val="single" w:sz="4" w:space="0" w:color="D2C9B8"/>
                    <w:right w:val="single" w:sz="4" w:space="0" w:color="D2C9B8"/>
                  </w:tcBorders>
                </w:tcPr>
                <w:p w14:paraId="03E5D9B7" w14:textId="77777777" w:rsidR="005A5FCC" w:rsidRDefault="00A21C81">
                  <w:pPr>
                    <w:spacing w:before="20" w:after="20" w:line="240" w:lineRule="auto"/>
                    <w:jc w:val="left"/>
                  </w:pPr>
                  <w:r>
                    <w:rPr>
                      <w:rFonts w:cs="EB Garamond"/>
                      <w:kern w:val="16"/>
                      <w:sz w:val="16"/>
                      <w14:ligatures w14:val="standardContextual"/>
                    </w:rPr>
                    <w:t>Quase nunca se aplica (TC e idade baixos)</w:t>
                  </w:r>
                </w:p>
              </w:tc>
            </w:tr>
            <w:tr w:rsidR="005A5FCC" w14:paraId="2182D57F"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14C34FE9" w14:textId="77777777" w:rsidR="005A5FCC" w:rsidRDefault="00A21C81">
                  <w:pPr>
                    <w:spacing w:before="20" w:after="20" w:line="240" w:lineRule="auto"/>
                    <w:jc w:val="left"/>
                  </w:pPr>
                  <w:r>
                    <w:rPr>
                      <w:rFonts w:cs="EB Garamond"/>
                      <w:kern w:val="16"/>
                      <w:sz w:val="16"/>
                      <w14:ligatures w14:val="standardContextual"/>
                    </w:rPr>
                    <w:t>Pedágio 50% (Cap. 11)</w:t>
                  </w:r>
                </w:p>
              </w:tc>
              <w:tc>
                <w:tcPr>
                  <w:tcW w:w="2117" w:type="dxa"/>
                  <w:tcBorders>
                    <w:top w:val="single" w:sz="4" w:space="0" w:color="D2C9B8"/>
                    <w:left w:val="single" w:sz="4" w:space="0" w:color="D2C9B8"/>
                    <w:bottom w:val="single" w:sz="4" w:space="0" w:color="D2C9B8"/>
                    <w:right w:val="single" w:sz="4" w:space="0" w:color="D2C9B8"/>
                  </w:tcBorders>
                </w:tcPr>
                <w:p w14:paraId="23DD6AF9" w14:textId="77777777" w:rsidR="005A5FCC" w:rsidRDefault="00A21C81">
                  <w:pPr>
                    <w:spacing w:before="20" w:after="20" w:line="240" w:lineRule="auto"/>
                    <w:jc w:val="left"/>
                  </w:pPr>
                  <w:r>
                    <w:rPr>
                      <w:rFonts w:cs="EB Garamond"/>
                      <w:kern w:val="16"/>
                      <w:sz w:val="16"/>
                      <w14:ligatures w14:val="standardContextual"/>
                    </w:rPr>
                    <w:t>OBRIGATÓRIO</w:t>
                  </w:r>
                </w:p>
              </w:tc>
              <w:tc>
                <w:tcPr>
                  <w:tcW w:w="2117" w:type="dxa"/>
                  <w:tcBorders>
                    <w:top w:val="single" w:sz="4" w:space="0" w:color="D2C9B8"/>
                    <w:left w:val="single" w:sz="4" w:space="0" w:color="D2C9B8"/>
                    <w:bottom w:val="single" w:sz="4" w:space="0" w:color="D2C9B8"/>
                    <w:right w:val="single" w:sz="4" w:space="0" w:color="D2C9B8"/>
                  </w:tcBorders>
                </w:tcPr>
                <w:p w14:paraId="005D9752" w14:textId="77777777" w:rsidR="005A5FCC" w:rsidRDefault="00A21C81">
                  <w:pPr>
                    <w:spacing w:before="20" w:after="20" w:line="240" w:lineRule="auto"/>
                    <w:jc w:val="left"/>
                  </w:pPr>
                  <w:r>
                    <w:rPr>
                      <w:rFonts w:cs="EB Garamond"/>
                      <w:kern w:val="16"/>
                      <w:sz w:val="16"/>
                      <w14:ligatures w14:val="standardContextual"/>
                    </w:rPr>
                    <w:t>Sempre se aplica (geralmente desvantajoso)</w:t>
                  </w:r>
                </w:p>
              </w:tc>
            </w:tr>
            <w:tr w:rsidR="005A5FCC" w14:paraId="6B3A84A4"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33451F2A" w14:textId="77777777" w:rsidR="005A5FCC" w:rsidRDefault="00A21C81">
                  <w:pPr>
                    <w:spacing w:before="20" w:after="20" w:line="240" w:lineRule="auto"/>
                    <w:jc w:val="left"/>
                  </w:pPr>
                  <w:r>
                    <w:rPr>
                      <w:rFonts w:cs="EB Garamond"/>
                      <w:kern w:val="16"/>
                      <w:sz w:val="16"/>
                      <w14:ligatures w14:val="standardContextual"/>
                    </w:rPr>
                    <w:t>Aposentadoria programada (Cap. 10)</w:t>
                  </w:r>
                </w:p>
              </w:tc>
              <w:tc>
                <w:tcPr>
                  <w:tcW w:w="2117" w:type="dxa"/>
                  <w:tcBorders>
                    <w:top w:val="single" w:sz="4" w:space="0" w:color="D2C9B8"/>
                    <w:left w:val="single" w:sz="4" w:space="0" w:color="D2C9B8"/>
                    <w:bottom w:val="single" w:sz="4" w:space="0" w:color="D2C9B8"/>
                    <w:right w:val="single" w:sz="4" w:space="0" w:color="D2C9B8"/>
                  </w:tcBorders>
                </w:tcPr>
                <w:p w14:paraId="7DC94EB1" w14:textId="77777777" w:rsidR="005A5FCC" w:rsidRDefault="00A21C81">
                  <w:pPr>
                    <w:spacing w:before="20" w:after="20" w:line="240" w:lineRule="auto"/>
                    <w:jc w:val="left"/>
                  </w:pPr>
                  <w:r>
                    <w:rPr>
                      <w:rFonts w:cs="EB Garamond"/>
                      <w:kern w:val="16"/>
                      <w:sz w:val="16"/>
                      <w14:ligatures w14:val="standardContextual"/>
                    </w:rPr>
                    <w:t>NÃO se aplica</w:t>
                  </w:r>
                </w:p>
              </w:tc>
              <w:tc>
                <w:tcPr>
                  <w:tcW w:w="2117" w:type="dxa"/>
                  <w:tcBorders>
                    <w:top w:val="single" w:sz="4" w:space="0" w:color="D2C9B8"/>
                    <w:left w:val="single" w:sz="4" w:space="0" w:color="D2C9B8"/>
                    <w:bottom w:val="single" w:sz="4" w:space="0" w:color="D2C9B8"/>
                    <w:right w:val="single" w:sz="4" w:space="0" w:color="D2C9B8"/>
                  </w:tcBorders>
                </w:tcPr>
                <w:p w14:paraId="2EDCE499" w14:textId="77777777" w:rsidR="005A5FCC" w:rsidRDefault="00A21C81">
                  <w:pPr>
                    <w:spacing w:before="20" w:after="20" w:line="240" w:lineRule="auto"/>
                    <w:jc w:val="left"/>
                  </w:pPr>
                  <w:r>
                    <w:rPr>
                      <w:rFonts w:cs="EB Garamond"/>
                      <w:kern w:val="16"/>
                      <w:sz w:val="16"/>
                      <w14:ligatures w14:val="standardContextual"/>
                    </w:rPr>
                    <w:t>Regra permanente não usa fator</w:t>
                  </w:r>
                </w:p>
              </w:tc>
            </w:tr>
            <w:tr w:rsidR="005A5FCC" w14:paraId="00C2B97B"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3EFF7739" w14:textId="77777777" w:rsidR="005A5FCC" w:rsidRDefault="00A21C81">
                  <w:pPr>
                    <w:spacing w:before="20" w:after="20" w:line="240" w:lineRule="auto"/>
                    <w:jc w:val="left"/>
                  </w:pPr>
                  <w:r>
                    <w:rPr>
                      <w:rFonts w:cs="EB Garamond"/>
                      <w:kern w:val="16"/>
                      <w:sz w:val="16"/>
                      <w14:ligatures w14:val="standardContextual"/>
                    </w:rPr>
                    <w:t>Pontos, pedágio 100%, idade progressiva (Cap. 11)</w:t>
                  </w:r>
                </w:p>
              </w:tc>
              <w:tc>
                <w:tcPr>
                  <w:tcW w:w="2117" w:type="dxa"/>
                  <w:tcBorders>
                    <w:top w:val="single" w:sz="4" w:space="0" w:color="D2C9B8"/>
                    <w:left w:val="single" w:sz="4" w:space="0" w:color="D2C9B8"/>
                    <w:bottom w:val="single" w:sz="4" w:space="0" w:color="D2C9B8"/>
                    <w:right w:val="single" w:sz="4" w:space="0" w:color="D2C9B8"/>
                  </w:tcBorders>
                </w:tcPr>
                <w:p w14:paraId="698D920F" w14:textId="77777777" w:rsidR="005A5FCC" w:rsidRDefault="00A21C81">
                  <w:pPr>
                    <w:spacing w:before="20" w:after="20" w:line="240" w:lineRule="auto"/>
                    <w:jc w:val="left"/>
                  </w:pPr>
                  <w:r>
                    <w:rPr>
                      <w:rFonts w:cs="EB Garamond"/>
                      <w:kern w:val="16"/>
                      <w:sz w:val="16"/>
                      <w14:ligatures w14:val="standardContextual"/>
                    </w:rPr>
                    <w:t>NÃO se aplica</w:t>
                  </w:r>
                </w:p>
              </w:tc>
              <w:tc>
                <w:tcPr>
                  <w:tcW w:w="2117" w:type="dxa"/>
                  <w:tcBorders>
                    <w:top w:val="single" w:sz="4" w:space="0" w:color="D2C9B8"/>
                    <w:left w:val="single" w:sz="4" w:space="0" w:color="D2C9B8"/>
                    <w:bottom w:val="single" w:sz="4" w:space="0" w:color="D2C9B8"/>
                    <w:right w:val="single" w:sz="4" w:space="0" w:color="D2C9B8"/>
                  </w:tcBorders>
                </w:tcPr>
                <w:p w14:paraId="772926CF" w14:textId="77777777" w:rsidR="005A5FCC" w:rsidRDefault="00A21C81">
                  <w:pPr>
                    <w:spacing w:before="20" w:after="20" w:line="240" w:lineRule="auto"/>
                    <w:jc w:val="left"/>
                  </w:pPr>
                  <w:r>
                    <w:rPr>
                      <w:rFonts w:cs="EB Garamond"/>
                      <w:kern w:val="16"/>
                      <w:sz w:val="16"/>
                      <w14:ligatures w14:val="standardContextual"/>
                    </w:rPr>
                    <w:t>Regras de transição sem fator</w:t>
                  </w:r>
                </w:p>
              </w:tc>
            </w:tr>
          </w:tbl>
          <w:p w14:paraId="495254E9" w14:textId="77777777" w:rsidR="005A5FCC" w:rsidRDefault="005A5FCC"/>
          <w:p w14:paraId="76905572" w14:textId="77777777" w:rsidR="005A5FCC" w:rsidRDefault="005A5FCC">
            <w:pPr>
              <w:spacing w:after="0" w:line="240" w:lineRule="auto"/>
            </w:pPr>
          </w:p>
          <w:p w14:paraId="1A2AE3D0" w14:textId="77777777" w:rsidR="005A5FCC" w:rsidRDefault="00A21C81">
            <w:pPr>
              <w:spacing w:after="60" w:line="247" w:lineRule="auto"/>
            </w:pPr>
            <w:r>
              <w:rPr>
                <w:rFonts w:cs="EB Garamond"/>
                <w:kern w:val="16"/>
                <w:sz w:val="19"/>
                <w14:ligatures w14:val="standardContextual"/>
              </w:rPr>
              <w:t>A aplicação do fator previdenciário somente quando vantajoso é uma das características mais favoráveis da aposentadoria da PcD, diferenciando-a das regras de transição do Capítulo 11. O segurado PcD recebe 100% do SB (TC) ou 70% + 1% por grupo de 12 contribuições (idade) sem qualquer redutor atuarial — exceto nos raros casos em que o fator seria um majorador.</w:t>
            </w:r>
          </w:p>
        </w:tc>
      </w:tr>
    </w:tbl>
    <w:p w14:paraId="107B0260" w14:textId="77777777" w:rsidR="005A5FCC" w:rsidRDefault="005A5FCC">
      <w:pPr>
        <w:spacing w:after="80" w:line="240" w:lineRule="auto"/>
      </w:pPr>
    </w:p>
    <w:p w14:paraId="5A16D9F1" w14:textId="77777777" w:rsidR="005A5FCC" w:rsidRDefault="00A21C81">
      <w:pPr>
        <w:spacing w:before="260" w:after="80" w:line="240" w:lineRule="auto"/>
        <w:jc w:val="left"/>
      </w:pPr>
      <w:r>
        <w:rPr>
          <w:rFonts w:cs="EB Garamond"/>
          <w:b/>
          <w:color w:val="3A3128"/>
          <w:kern w:val="16"/>
          <w:sz w:val="25"/>
          <w14:ligatures w14:val="standardContextual"/>
        </w:rPr>
        <w:t>12.10.2 Bônus no fator: mulher e professor</w:t>
      </w:r>
    </w:p>
    <w:p w14:paraId="39B3CDD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41EB878B" w14:textId="77777777" w:rsidR="005A5FCC" w:rsidRDefault="00A21C81">
      <w:r>
        <w:rPr>
          <w:rFonts w:cs="EB Garamond"/>
          <w:kern w:val="16"/>
          <w14:ligatures w14:val="standardContextual"/>
        </w:rPr>
        <w:t xml:space="preserve"> bônus de 5 anos no TC da fórmula do fator previdenciário para mulheres aplica-se normalmente à segurada PcD. O bônus de professor (5 anos para homem e 10 anos para mulher, conforme art. 29, § 9º, II e III, Lei 8.213/91) também se aplica ao professor com deficiência que se aposente pela LC 142, embora a LC 142 não mencione expressamente o professor, o art. 70-I do Decreto 3.048/99 determina que as demais normas do RGPS se aplicam subsidiariamente à aposentadoria da PcD.</w:t>
      </w:r>
    </w:p>
    <w:p w14:paraId="03BBB751" w14:textId="77777777" w:rsidR="005A5FCC" w:rsidRDefault="00A21C81">
      <w:pPr>
        <w:ind w:firstLine="238"/>
      </w:pPr>
      <w:r>
        <w:rPr>
          <w:rFonts w:cs="EB Garamond"/>
          <w:kern w:val="16"/>
          <w14:ligatures w14:val="standardContextual"/>
        </w:rPr>
        <w:t>Não há, contudo, bônus específico de PcD no fator previdenciário — diferentemente do professor, que conta com acréscimo de 5 ou 10 anos. A justificativa é que o benefício da PcD já contempla redução direta do TC mínimo (de 2 a 10 anos conforme o grau), tornando desnecessário um bônus adicional no fator.</w:t>
      </w:r>
    </w:p>
    <w:p w14:paraId="53744D68"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12.11 Avaliação biopsicossocial: perícia médica e funcional</w:t>
      </w:r>
    </w:p>
    <w:p w14:paraId="2FCA645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027894CF" w14:textId="77777777" w:rsidR="005A5FCC" w:rsidRDefault="00A21C81">
      <w:r>
        <w:rPr>
          <w:rFonts w:cs="EB Garamond"/>
          <w:kern w:val="16"/>
          <w14:ligatures w14:val="standardContextual"/>
        </w:rPr>
        <w:t xml:space="preserve"> avaliação biopsicossocial é o núcleo operacional da LC 142/2013: é o procedimento que traduz o conceito abstrato de deficiência em um grau concreto (grave, moderada ou leve) que determina os requisitos de acesso à aposentadoria. O art. 4º da LC 142, combinado com o art. 2º, § 1º, da Lei n. 13.146/2015, estabelece que a avaliação deve ser médica e funcional, realizada por equipe multiprofissional e interdisciplinar.</w:t>
      </w:r>
    </w:p>
    <w:p w14:paraId="66F180F2" w14:textId="77777777" w:rsidR="005A5FCC" w:rsidRDefault="00A21C81">
      <w:pPr>
        <w:spacing w:before="260" w:after="80" w:line="240" w:lineRule="auto"/>
        <w:jc w:val="left"/>
      </w:pPr>
      <w:r>
        <w:rPr>
          <w:rFonts w:cs="EB Garamond"/>
          <w:b/>
          <w:color w:val="3A3128"/>
          <w:kern w:val="16"/>
          <w:sz w:val="25"/>
          <w14:ligatures w14:val="standardContextual"/>
        </w:rPr>
        <w:t>12.11.1 Dupla avaliação obrigatória</w:t>
      </w:r>
    </w:p>
    <w:p w14:paraId="59ECA32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663BD47A" w14:textId="77777777" w:rsidR="005A5FCC" w:rsidRDefault="00A21C81">
      <w:r>
        <w:rPr>
          <w:rFonts w:cs="EB Garamond"/>
          <w:kern w:val="16"/>
          <w14:ligatures w14:val="standardContextual"/>
        </w:rPr>
        <w:t xml:space="preserve"> avaliação biopsicossocial é composta por duas etapas obrigatórias e complementares:</w:t>
      </w:r>
    </w:p>
    <w:p w14:paraId="205326D6" w14:textId="77777777" w:rsidR="005A5FCC" w:rsidRDefault="00A21C81">
      <w:pPr>
        <w:ind w:firstLine="238"/>
      </w:pPr>
      <w:r>
        <w:rPr>
          <w:rFonts w:cs="EB Garamond"/>
          <w:b/>
          <w:kern w:val="16"/>
          <w14:ligatures w14:val="standardContextual"/>
        </w:rPr>
        <w:t>Perícia médica</w:t>
      </w:r>
      <w:r>
        <w:rPr>
          <w:rFonts w:cs="EB Garamond"/>
          <w:kern w:val="16"/>
          <w14:ligatures w14:val="standardContextual"/>
        </w:rPr>
        <w:t xml:space="preserve"> — realizada por médico perito do INSS, examina:</w:t>
      </w:r>
    </w:p>
    <w:p w14:paraId="3105A367"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Diagnóstico clínico: identificação das condições de saúde (CID-10/CID-11)</w:t>
      </w:r>
    </w:p>
    <w:p w14:paraId="405A8115"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Estrutura e função corporal: limitações anatômicas, fisiológicas, neurológicas</w:t>
      </w:r>
    </w:p>
    <w:p w14:paraId="6B16D439"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Exames e laudos médicos: análise da documentação apresentada pelo segurado</w:t>
      </w:r>
    </w:p>
    <w:p w14:paraId="65D8877D"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Prognóstico: estabilidade, progressividade ou possibilidade de melhora da condição</w:t>
      </w:r>
    </w:p>
    <w:p w14:paraId="3ED2BF1F"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Data provável de início: fixação do marco temporal da deficiência</w:t>
      </w:r>
    </w:p>
    <w:p w14:paraId="35FAD3A4" w14:textId="77777777" w:rsidR="005A5FCC" w:rsidRDefault="005A5FCC">
      <w:pPr>
        <w:spacing w:after="60" w:line="240" w:lineRule="auto"/>
      </w:pPr>
    </w:p>
    <w:p w14:paraId="72960A13"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010D7065" w14:textId="77777777" w:rsidR="005A5FCC" w:rsidRDefault="00A21C81">
      <w:r>
        <w:rPr>
          <w:rFonts w:cs="EB Garamond"/>
          <w:b/>
          <w:kern w:val="16"/>
          <w14:ligatures w14:val="standardContextual"/>
        </w:rPr>
        <w:t>valiação funcional (social)</w:t>
      </w:r>
      <w:r>
        <w:rPr>
          <w:rFonts w:cs="EB Garamond"/>
          <w:kern w:val="16"/>
          <w14:ligatures w14:val="standardContextual"/>
        </w:rPr>
        <w:t xml:space="preserve"> — realizada por assistente social do INSS, examina:</w:t>
      </w:r>
    </w:p>
    <w:p w14:paraId="7B9D7EF9"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Barreiras ambientais: acessibilidade do ambiente doméstico, profissional e comunitário</w:t>
      </w:r>
    </w:p>
    <w:p w14:paraId="641CFDB5"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Barreiras sociais e atitudinais: discriminação, preconceito, estigma</w:t>
      </w:r>
    </w:p>
    <w:p w14:paraId="473DF9AC"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Limitação de atividades: dificuldades no desempenho de atividades cotidianas</w:t>
      </w:r>
    </w:p>
    <w:p w14:paraId="2FA00B0F"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Restrição de participação: obstáculos à participação em atividades sociais, educacionais e profissionais</w:t>
      </w:r>
    </w:p>
    <w:p w14:paraId="29D5148B"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Fatores pessoais: escolaridade, profissão, contexto familiar, rede de apoio</w:t>
      </w:r>
    </w:p>
    <w:p w14:paraId="6E81E705"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Facilitadores: tecnologias assistivas, adaptações, suporte institucional</w:t>
      </w:r>
    </w:p>
    <w:p w14:paraId="08889272" w14:textId="77777777" w:rsidR="005A5FCC" w:rsidRDefault="005A5FCC">
      <w:pPr>
        <w:spacing w:after="60" w:line="240" w:lineRule="auto"/>
      </w:pPr>
    </w:p>
    <w:p w14:paraId="7A66DAFB"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C</w:t>
      </w:r>
    </w:p>
    <w:p w14:paraId="56EBB888" w14:textId="77777777" w:rsidR="005A5FCC" w:rsidRDefault="00A21C81">
      <w:r>
        <w:rPr>
          <w:rFonts w:cs="EB Garamond"/>
          <w:kern w:val="16"/>
          <w14:ligatures w14:val="standardContextual"/>
        </w:rPr>
        <w:t>ada avaliador aplica o IF-BrA nos 7 domínios e atribui pontuação independente. O resultado final combina as pontuações das duas avaliações com peso igual (50% perícia médica + 50% avaliação social), produzindo um escore global que é enquadrado nas faixas de deficiência grave, moderada ou leve.</w:t>
      </w:r>
    </w:p>
    <w:p w14:paraId="2C13223C" w14:textId="77777777" w:rsidR="005A5FCC" w:rsidRDefault="00A21C81">
      <w:pPr>
        <w:spacing w:before="260" w:after="80" w:line="240" w:lineRule="auto"/>
        <w:jc w:val="left"/>
      </w:pPr>
      <w:r>
        <w:rPr>
          <w:rFonts w:cs="EB Garamond"/>
          <w:b/>
          <w:color w:val="3A3128"/>
          <w:kern w:val="16"/>
          <w:sz w:val="25"/>
          <w14:ligatures w14:val="standardContextual"/>
        </w:rPr>
        <w:t>12.11.2 O IF-BrA em detalhe</w:t>
      </w:r>
    </w:p>
    <w:p w14:paraId="75150FB1"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4407E679" w14:textId="77777777" w:rsidR="005A5FCC" w:rsidRDefault="00A21C81">
      <w:r>
        <w:rPr>
          <w:rFonts w:cs="EB Garamond"/>
          <w:kern w:val="16"/>
          <w14:ligatures w14:val="standardContextual"/>
        </w:rPr>
        <w:t xml:space="preserve"> Índice de Funcionalidade Brasileiro Aplicado à Aposentadoria (IF-BrA), aprovado pela Portaria Interministerial n. 1/2014, é o instrumento oficial de avaliação biopsicossocial para fins de concessão da aposentadoria da PcD. O IF-BrA avalia 41 atividades distribuídas em 7 domínios, conforme detalhado na seção 12.4.2.</w:t>
      </w:r>
    </w:p>
    <w:p w14:paraId="7E217C75" w14:textId="77777777" w:rsidR="005A5FCC" w:rsidRDefault="00A21C81">
      <w:pPr>
        <w:ind w:firstLine="238"/>
      </w:pPr>
      <w:r>
        <w:rPr>
          <w:rFonts w:cs="EB Garamond"/>
          <w:b/>
          <w:kern w:val="16"/>
          <w14:ligatures w14:val="standardContextual"/>
        </w:rPr>
        <w:t>Metodologia de pontuação:</w:t>
      </w:r>
    </w:p>
    <w:p w14:paraId="65B07FCD" w14:textId="77777777" w:rsidR="005A5FCC" w:rsidRDefault="00A21C81">
      <w:pPr>
        <w:ind w:firstLine="238"/>
      </w:pPr>
      <w:r>
        <w:rPr>
          <w:rFonts w:cs="EB Garamond"/>
          <w:kern w:val="16"/>
          <w14:ligatures w14:val="standardContextual"/>
        </w:rPr>
        <w:t>Para cada atividade, o avaliador atribui uma nota em escala que varia de independência total a dependência completa, considerando:</w:t>
      </w:r>
    </w:p>
    <w:p w14:paraId="3F23B982"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Se o segurado realiza a atividade de forma independente, sem qualquer auxílio</w:t>
      </w:r>
    </w:p>
    <w:p w14:paraId="5890887E"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Se necessita de supervisão ou orientação para realizar a atividade</w:t>
      </w:r>
    </w:p>
    <w:p w14:paraId="3BD12290"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Se necessita de assistência parcial (auxílio de terceiro para parte da atividade)</w:t>
      </w:r>
    </w:p>
    <w:p w14:paraId="6127D184"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Se é totalmente dependente de terceiros para realizar a atividade</w:t>
      </w:r>
    </w:p>
    <w:p w14:paraId="4F9DA1AC"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Se não realiza a atividade (independentemente de auxílio disponível)</w:t>
      </w:r>
    </w:p>
    <w:p w14:paraId="6D5032D3" w14:textId="77777777" w:rsidR="005A5FCC" w:rsidRDefault="005A5FCC">
      <w:pPr>
        <w:spacing w:after="60" w:line="240" w:lineRule="auto"/>
      </w:pPr>
    </w:p>
    <w:p w14:paraId="38BAC5B5"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703F90BC" w14:textId="77777777" w:rsidR="005A5FCC" w:rsidRDefault="00A21C81">
      <w:r>
        <w:rPr>
          <w:rFonts w:cs="EB Garamond"/>
          <w:kern w:val="16"/>
          <w14:ligatures w14:val="standardContextual"/>
        </w:rPr>
        <w:t xml:space="preserve"> combinação das notas nos 41 itens produz o escore global, cujas faixas de corte determinam o grau de deficiência. As faixas são calibradas para refletir a distinção entre deficiência grave (comprometimento funcional extenso e generalizado), moderada (comprometimento funcional significativo em múltiplos domínios) e leve (comprometimento funcional localizado ou parcial).</w:t>
      </w:r>
    </w:p>
    <w:p w14:paraId="51A07049" w14:textId="77777777" w:rsidR="005A5FCC" w:rsidRDefault="00A21C81">
      <w:pPr>
        <w:spacing w:before="260" w:after="80" w:line="240" w:lineRule="auto"/>
        <w:jc w:val="left"/>
      </w:pPr>
      <w:r>
        <w:rPr>
          <w:rFonts w:cs="EB Garamond"/>
          <w:b/>
          <w:color w:val="3A3128"/>
          <w:kern w:val="16"/>
          <w:sz w:val="25"/>
          <w14:ligatures w14:val="standardContextual"/>
        </w:rPr>
        <w:t>12.11.3 Controvérsias e limitações da avaliação</w:t>
      </w:r>
    </w:p>
    <w:p w14:paraId="13008141"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156B6133" w14:textId="77777777" w:rsidR="005A5FCC" w:rsidRDefault="00A21C81">
      <w:r>
        <w:rPr>
          <w:rFonts w:cs="EB Garamond"/>
          <w:kern w:val="16"/>
          <w14:ligatures w14:val="standardContextual"/>
        </w:rPr>
        <w:t xml:space="preserve"> avaliação biopsicossocial pelo IF-BrA não é isenta de controvérsias. Observa que as limitações do instrumento repercutem diretamente na esfera </w:t>
      </w:r>
      <w:r>
        <w:rPr>
          <w:rFonts w:cs="EB Garamond"/>
          <w:kern w:val="16"/>
          <w14:ligatures w14:val="standardContextual"/>
        </w:rPr>
        <w:lastRenderedPageBreak/>
        <w:t>processual, impondo ao juiz o dever de complementar a prova técnica sempre que a pontuação do IF-BrA não retratar adequadamente a realidade funcional do segurado. As principais críticas envolvem:</w:t>
      </w:r>
    </w:p>
    <w:p w14:paraId="537C990C" w14:textId="77777777" w:rsidR="005A5FCC" w:rsidRDefault="00A21C81">
      <w:pPr>
        <w:ind w:firstLine="238"/>
      </w:pPr>
      <w:r>
        <w:rPr>
          <w:rFonts w:cs="EB Garamond"/>
          <w:b/>
          <w:kern w:val="16"/>
          <w14:ligatures w14:val="standardContextual"/>
        </w:rPr>
        <w:t>Subjetividade:</w:t>
      </w:r>
      <w:r>
        <w:rPr>
          <w:rFonts w:cs="EB Garamond"/>
          <w:kern w:val="16"/>
          <w14:ligatures w14:val="standardContextual"/>
        </w:rPr>
        <w:t xml:space="preserve"> A pontuação atribuída por cada avaliador envolve margem de apreciação subjetiva, especialmente nos domínios de socialização, vida doméstica e educação/trabalho. Dois avaliadores podem atribuir pontuações diferentes ao mesmo segurado, conforme a sensibilidade e a experiência de cada profissional.</w:t>
      </w:r>
    </w:p>
    <w:p w14:paraId="6E08520D" w14:textId="77777777" w:rsidR="005A5FCC" w:rsidRDefault="00A21C81">
      <w:pPr>
        <w:ind w:firstLine="238"/>
      </w:pPr>
      <w:r>
        <w:rPr>
          <w:rFonts w:cs="EB Garamond"/>
          <w:b/>
          <w:kern w:val="16"/>
          <w14:ligatures w14:val="standardContextual"/>
        </w:rPr>
        <w:t>Divergência entre peritos:</w:t>
      </w:r>
      <w:r>
        <w:rPr>
          <w:rFonts w:cs="EB Garamond"/>
          <w:kern w:val="16"/>
          <w14:ligatures w14:val="standardContextual"/>
        </w:rPr>
        <w:t xml:space="preserve"> A divergência entre a pontuação do médico perito e a do assistente social não é rara, especialmente quando o segurado apresenta boa funcionalidade física mas enfrenta barreiras sociais significativas (ou vice-versa). A média das duas pontuações pode mascarar disparidades relevantes.</w:t>
      </w:r>
    </w:p>
    <w:p w14:paraId="50409DC1" w14:textId="77777777" w:rsidR="005A5FCC" w:rsidRDefault="00A21C81">
      <w:pPr>
        <w:ind w:firstLine="238"/>
      </w:pPr>
      <w:r>
        <w:rPr>
          <w:rFonts w:cs="EB Garamond"/>
          <w:b/>
          <w:kern w:val="16"/>
          <w14:ligatures w14:val="standardContextual"/>
        </w:rPr>
        <w:t>Momento da avaliação:</w:t>
      </w:r>
      <w:r>
        <w:rPr>
          <w:rFonts w:cs="EB Garamond"/>
          <w:kern w:val="16"/>
          <w14:ligatures w14:val="standardContextual"/>
        </w:rPr>
        <w:t xml:space="preserve"> A condição funcional do segurado pode variar ao longo do tempo, e a avaliação retrata apenas o estado no momento da perícia. Condições intermitentes (como transtornos mentais com períodos de crise e remissão) são especialmente difíceis de capturar em uma avaliação pontual.</w:t>
      </w:r>
    </w:p>
    <w:p w14:paraId="59F0D7A5" w14:textId="77777777" w:rsidR="005A5FCC" w:rsidRDefault="00A21C81">
      <w:pPr>
        <w:ind w:firstLine="238"/>
      </w:pPr>
      <w:r>
        <w:rPr>
          <w:rFonts w:cs="EB Garamond"/>
          <w:b/>
          <w:kern w:val="16"/>
          <w14:ligatures w14:val="standardContextual"/>
        </w:rPr>
        <w:t>Fixação da data de início:</w:t>
      </w:r>
      <w:r>
        <w:rPr>
          <w:rFonts w:cs="EB Garamond"/>
          <w:kern w:val="16"/>
          <w14:ligatures w14:val="standardContextual"/>
        </w:rPr>
        <w:t xml:space="preserve"> A determinação da data provável de início da deficiência é frequentemente controversa, pois depende de retrospecção baseada em documentação médica que pode ser incompleta ou inexistente para períodos remotos.</w:t>
      </w:r>
    </w:p>
    <w:tbl>
      <w:tblPr>
        <w:tblW w:w="5000" w:type="pct"/>
        <w:jc w:val="center"/>
        <w:tblLayout w:type="fixed"/>
        <w:tblLook w:val="04A0" w:firstRow="1" w:lastRow="0" w:firstColumn="1" w:lastColumn="0" w:noHBand="0" w:noVBand="1"/>
      </w:tblPr>
      <w:tblGrid>
        <w:gridCol w:w="6311"/>
      </w:tblGrid>
      <w:tr w:rsidR="005A5FCC" w14:paraId="41958BEE"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078DA950"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60A529C4" w14:textId="77777777" w:rsidR="005A5FCC" w:rsidRDefault="00A21C81">
            <w:pPr>
              <w:spacing w:after="60" w:line="247" w:lineRule="auto"/>
            </w:pPr>
            <w:r>
              <w:rPr>
                <w:rFonts w:cs="EB Garamond"/>
                <w:b/>
                <w:kern w:val="16"/>
                <w:sz w:val="19"/>
                <w14:ligatures w14:val="standardContextual"/>
              </w:rPr>
              <w:t>O que o segurado deve levar à avaliação biopsicossocial do INSS</w:t>
            </w:r>
          </w:p>
          <w:p w14:paraId="3B403DE3" w14:textId="77777777" w:rsidR="005A5FCC" w:rsidRDefault="00A21C81">
            <w:pPr>
              <w:spacing w:after="60" w:line="247" w:lineRule="auto"/>
            </w:pPr>
            <w:r>
              <w:rPr>
                <w:rFonts w:cs="EB Garamond"/>
                <w:kern w:val="16"/>
                <w:sz w:val="19"/>
                <w14:ligatures w14:val="standardContextual"/>
              </w:rPr>
              <w:t>A preparação adequada para a avaliação biopsicossocial condiciona diretamente a obtenção de um resultado justo. O segurado deve apresentar:</w:t>
            </w:r>
          </w:p>
          <w:p w14:paraId="2A9306B5" w14:textId="77777777" w:rsidR="005A5FCC" w:rsidRDefault="00A21C81">
            <w:pPr>
              <w:spacing w:after="30" w:line="240" w:lineRule="auto"/>
              <w:ind w:left="227" w:hanging="142"/>
            </w:pPr>
            <w:r>
              <w:rPr>
                <w:rFonts w:cs="EB Garamond"/>
                <w:kern w:val="16"/>
                <w:sz w:val="19"/>
                <w14:ligatures w14:val="standardContextual"/>
              </w:rPr>
              <w:t>• [ ] Laudos médicos detalhados (com CID-10, descrição da condição, data de início, prognóstico)</w:t>
            </w:r>
          </w:p>
          <w:p w14:paraId="65750E0A" w14:textId="77777777" w:rsidR="005A5FCC" w:rsidRDefault="00A21C81">
            <w:pPr>
              <w:spacing w:after="30" w:line="240" w:lineRule="auto"/>
              <w:ind w:left="227" w:hanging="142"/>
            </w:pPr>
            <w:r>
              <w:rPr>
                <w:rFonts w:cs="EB Garamond"/>
                <w:kern w:val="16"/>
                <w:sz w:val="19"/>
                <w14:ligatures w14:val="standardContextual"/>
              </w:rPr>
              <w:t>• [ ] Exames complementares (ressonância, tomografia, audiometria, campo visual, etc.)</w:t>
            </w:r>
          </w:p>
          <w:p w14:paraId="56A88FFD" w14:textId="77777777" w:rsidR="005A5FCC" w:rsidRDefault="00A21C81">
            <w:pPr>
              <w:spacing w:after="30" w:line="240" w:lineRule="auto"/>
              <w:ind w:left="227" w:hanging="142"/>
            </w:pPr>
            <w:r>
              <w:rPr>
                <w:rFonts w:cs="EB Garamond"/>
                <w:kern w:val="16"/>
                <w:sz w:val="19"/>
                <w14:ligatures w14:val="standardContextual"/>
              </w:rPr>
              <w:t>• [ ] Relatórios de acompanhamento médico ao longo dos anos (evolução da condição)</w:t>
            </w:r>
          </w:p>
          <w:p w14:paraId="1BA8CE81" w14:textId="77777777" w:rsidR="005A5FCC" w:rsidRDefault="00A21C81">
            <w:pPr>
              <w:spacing w:after="30" w:line="240" w:lineRule="auto"/>
              <w:ind w:left="227" w:hanging="142"/>
            </w:pPr>
            <w:r>
              <w:rPr>
                <w:rFonts w:cs="EB Garamond"/>
                <w:kern w:val="16"/>
                <w:sz w:val="19"/>
                <w14:ligatures w14:val="standardContextual"/>
              </w:rPr>
              <w:t>• [ ] Prescrição de medicamentos contínuos (com posologia e periodicidade)</w:t>
            </w:r>
          </w:p>
          <w:p w14:paraId="3606EC6D" w14:textId="77777777" w:rsidR="005A5FCC" w:rsidRDefault="00A21C81">
            <w:pPr>
              <w:spacing w:after="30" w:line="240" w:lineRule="auto"/>
              <w:ind w:left="227" w:hanging="142"/>
            </w:pPr>
            <w:r>
              <w:rPr>
                <w:rFonts w:cs="EB Garamond"/>
                <w:kern w:val="16"/>
                <w:sz w:val="19"/>
                <w14:ligatures w14:val="standardContextual"/>
              </w:rPr>
              <w:t>• [ ] Relatório de tratamento (fisioterapia, terapia ocupacional, fonoaudiologia, psicoterapia)</w:t>
            </w:r>
          </w:p>
          <w:p w14:paraId="42A8E8F7" w14:textId="77777777" w:rsidR="005A5FCC" w:rsidRDefault="00A21C81">
            <w:pPr>
              <w:spacing w:after="30" w:line="240" w:lineRule="auto"/>
              <w:ind w:left="227" w:hanging="142"/>
            </w:pPr>
            <w:r>
              <w:rPr>
                <w:rFonts w:cs="EB Garamond"/>
                <w:kern w:val="16"/>
                <w:sz w:val="19"/>
                <w14:ligatures w14:val="standardContextual"/>
              </w:rPr>
              <w:t>• [ ] Laudos de reabilitação profissional (se houver)</w:t>
            </w:r>
          </w:p>
          <w:p w14:paraId="64FE1DA0" w14:textId="77777777" w:rsidR="005A5FCC" w:rsidRDefault="00A21C81">
            <w:pPr>
              <w:spacing w:after="30" w:line="240" w:lineRule="auto"/>
              <w:ind w:left="227" w:hanging="142"/>
            </w:pPr>
            <w:r>
              <w:rPr>
                <w:rFonts w:cs="EB Garamond"/>
                <w:kern w:val="16"/>
                <w:sz w:val="19"/>
                <w14:ligatures w14:val="standardContextual"/>
              </w:rPr>
              <w:t>• [ ] Documentos que comprovem barreiras (fotos da acessibilidade da residência, declaração do empregador sobre adaptações, relatório social)</w:t>
            </w:r>
          </w:p>
          <w:p w14:paraId="03C3716C" w14:textId="77777777" w:rsidR="005A5FCC" w:rsidRDefault="00A21C81">
            <w:pPr>
              <w:spacing w:after="30" w:line="240" w:lineRule="auto"/>
              <w:ind w:left="227" w:hanging="142"/>
            </w:pPr>
            <w:r>
              <w:rPr>
                <w:rFonts w:cs="EB Garamond"/>
                <w:kern w:val="16"/>
                <w:sz w:val="19"/>
                <w14:ligatures w14:val="standardContextual"/>
              </w:rPr>
              <w:t>• [ ] Comprovante de uso de tecnologia assistiva (cadeira de rodas, prótese, aparelho auditivo, software de acessibilidade)</w:t>
            </w:r>
          </w:p>
          <w:p w14:paraId="7BE2FE18" w14:textId="77777777" w:rsidR="005A5FCC" w:rsidRDefault="00A21C81">
            <w:pPr>
              <w:spacing w:after="30" w:line="240" w:lineRule="auto"/>
              <w:ind w:left="227" w:hanging="142"/>
            </w:pPr>
            <w:r>
              <w:rPr>
                <w:rFonts w:cs="EB Garamond"/>
                <w:kern w:val="16"/>
                <w:sz w:val="19"/>
                <w14:ligatures w14:val="standardContextual"/>
              </w:rPr>
              <w:t>• [ ] Avaliação anterior do INSS (se houver — administrativa ou judicial)</w:t>
            </w:r>
          </w:p>
          <w:p w14:paraId="4E3AD1F5" w14:textId="77777777" w:rsidR="005A5FCC" w:rsidRDefault="00A21C81">
            <w:pPr>
              <w:spacing w:after="30" w:line="240" w:lineRule="auto"/>
              <w:ind w:left="227" w:hanging="142"/>
            </w:pPr>
            <w:r>
              <w:rPr>
                <w:rFonts w:cs="EB Garamond"/>
                <w:kern w:val="16"/>
                <w:sz w:val="19"/>
                <w14:ligatures w14:val="standardContextual"/>
              </w:rPr>
              <w:t>• [ ] Documentos pessoais (RG, CPF, CTPS, NIT/PIS)</w:t>
            </w:r>
          </w:p>
        </w:tc>
      </w:tr>
    </w:tbl>
    <w:p w14:paraId="212600D4" w14:textId="77777777" w:rsidR="005A5FCC" w:rsidRDefault="005A5FCC">
      <w:pPr>
        <w:spacing w:after="80" w:line="240" w:lineRule="auto"/>
      </w:pPr>
    </w:p>
    <w:p w14:paraId="49FA96E9" w14:textId="77777777" w:rsidR="005A5FCC" w:rsidRDefault="00A21C81">
      <w:pPr>
        <w:spacing w:before="260" w:after="80" w:line="240" w:lineRule="auto"/>
        <w:jc w:val="left"/>
      </w:pPr>
      <w:r>
        <w:rPr>
          <w:rFonts w:cs="EB Garamond"/>
          <w:b/>
          <w:color w:val="3A3128"/>
          <w:kern w:val="16"/>
          <w:sz w:val="25"/>
          <w14:ligatures w14:val="standardContextual"/>
        </w:rPr>
        <w:t>12.11.4 Avaliação judicial versus administrativa</w:t>
      </w:r>
    </w:p>
    <w:p w14:paraId="2D7C56F1"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Q</w:t>
      </w:r>
    </w:p>
    <w:p w14:paraId="16201D6A" w14:textId="77777777" w:rsidR="005A5FCC" w:rsidRDefault="00A21C81">
      <w:r>
        <w:rPr>
          <w:rFonts w:cs="EB Garamond"/>
          <w:kern w:val="16"/>
          <w14:ligatures w14:val="standardContextual"/>
        </w:rPr>
        <w:t>uando a avaliação administrativa do INSS resulta em negativa do benefício ou em enquadramento em grau que o segurado considera inferior ao correto, a via judicial é o caminho para contestação. Nos JEFs, o juiz determinará perícia biopsicossocial judicial, nomeando perito médico e, em muitos casos, assistente social (ou perito com formação interdisciplinar) para realizar nova avaliação.</w:t>
      </w:r>
    </w:p>
    <w:p w14:paraId="69153862" w14:textId="77777777" w:rsidR="005A5FCC" w:rsidRDefault="00A21C81">
      <w:pPr>
        <w:ind w:firstLine="238"/>
      </w:pPr>
      <w:r>
        <w:rPr>
          <w:rFonts w:cs="EB Garamond"/>
          <w:kern w:val="16"/>
          <w14:ligatures w14:val="standardContextual"/>
        </w:rPr>
        <w:t>A perícia judicial difere da administrativa em aspectos relevantes: (a) o perito judicial é independente do INSS; (b) as partes podem formular quesitos; (c) o segurado pode indicar assistente técnico (art. 465, § 1º, CPC); e (d) o juiz não está vinculado ao resultado da perícia judicial, podendo formar sua convicção a partir do conjunto probatório (art. 479 c/c art. 371, CPC).</w:t>
      </w:r>
    </w:p>
    <w:p w14:paraId="6E20EF60" w14:textId="77777777" w:rsidR="005A5FCC" w:rsidRDefault="00A21C81">
      <w:pPr>
        <w:ind w:firstLine="238"/>
      </w:pPr>
      <w:r>
        <w:rPr>
          <w:rFonts w:cs="EB Garamond"/>
          <w:kern w:val="16"/>
          <w14:ligatures w14:val="standardContextual"/>
        </w:rPr>
        <w:lastRenderedPageBreak/>
        <w:t>A divergência entre o resultado da perícia administrativa e da judicial é relativamente comum e constitui um dos motivos mais frequentes de judicialização da aposentadoria da PcD. A jurisprudência dos TRFs admite que o juiz adote conclusão diversa da perícia judicial quando fundamentada em outros elementos de prova (laudos médicos particulares, relatórios de reabilitação, prova testemunhal qualificada).</w:t>
      </w:r>
    </w:p>
    <w:p w14:paraId="008C25AC" w14:textId="77777777" w:rsidR="005A5FCC" w:rsidRDefault="00A21C81">
      <w:pPr>
        <w:ind w:firstLine="238"/>
      </w:pPr>
      <w:r>
        <w:rPr>
          <w:rFonts w:cs="EB Garamond"/>
          <w:kern w:val="16"/>
          <w14:ligatures w14:val="standardContextual"/>
        </w:rPr>
        <w:t>Na nossa experiência de julgamento nos JEFs, o ponto sensível raramente é a existência da deficiência — quase sempre documentada —, e sim o enquadramento do grau e a fixação da data de início, justamente os dois vértices de que dependem o TC mínimo exigível e o termo inicial do benefício. Por isso temos por boa prática não tratar o escore do IF-BrA como número fechado: ele é o ponto de partida da convicção, não o seu termo. Quando a pontuação fica na fronteira entre dois graus, ou quando a avaliação social foi omitida ou apressada, entendemos que o melhor caminho é colher esclarecimentos do perito e cotejá-los com a prova documental contemporânea, antes de converter um número marginal em decisão definitiva sobre o direito.</w:t>
      </w:r>
    </w:p>
    <w:p w14:paraId="1B8DEB43" w14:textId="77777777" w:rsidR="005A5FCC" w:rsidRDefault="00A21C81">
      <w:pPr>
        <w:spacing w:before="260" w:after="80" w:line="240" w:lineRule="auto"/>
        <w:jc w:val="left"/>
      </w:pPr>
      <w:r>
        <w:rPr>
          <w:rFonts w:cs="EB Garamond"/>
          <w:b/>
          <w:color w:val="3A3128"/>
          <w:kern w:val="16"/>
          <w:sz w:val="25"/>
          <w14:ligatures w14:val="standardContextual"/>
        </w:rPr>
        <w:t>12.11.5 Diferenças entre IF-BrA e IFBrM</w:t>
      </w:r>
    </w:p>
    <w:p w14:paraId="2E87308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C</w:t>
      </w:r>
    </w:p>
    <w:p w14:paraId="135D5917" w14:textId="77777777" w:rsidR="005A5FCC" w:rsidRDefault="00A21C81">
      <w:r>
        <w:rPr>
          <w:rFonts w:cs="EB Garamond"/>
          <w:kern w:val="16"/>
          <w14:ligatures w14:val="standardContextual"/>
        </w:rPr>
        <w:t>onvém ter clareza sobre as diferenças entre os instrumentos de avaliação existentes no ordenamento brasileiro, pois temos observado que a confusão entre eles é frequente, tanto na via administrativa quanto na judicial:</w:t>
      </w:r>
    </w:p>
    <w:p w14:paraId="7F2F7F5C" w14:textId="77777777" w:rsidR="005A5FCC" w:rsidRDefault="00A21C81">
      <w:pPr>
        <w:ind w:firstLine="238"/>
      </w:pPr>
      <w:r>
        <w:rPr>
          <w:rFonts w:cs="EB Garamond"/>
          <w:b/>
          <w:kern w:val="16"/>
          <w14:ligatures w14:val="standardContextual"/>
        </w:rPr>
        <w:t>IF-BrA (Índice de Funcionalidade Brasileiro Aplicado à Aposentadoria):</w:t>
      </w:r>
      <w:r>
        <w:rPr>
          <w:rFonts w:cs="EB Garamond"/>
          <w:kern w:val="16"/>
          <w14:ligatures w14:val="standardContextual"/>
        </w:rPr>
        <w:t xml:space="preserve"> Instrumento específico para avaliação da deficiência no contexto previdenciário (aposentadoria da PcD, LC 142/2013). Aprovado pela Portaria Interministerial n. 1/2014. Aplicado exclusivamente pelo INSS para fins de concessão de aposentadoria.</w:t>
      </w:r>
    </w:p>
    <w:p w14:paraId="5C35F73A" w14:textId="77777777" w:rsidR="005A5FCC" w:rsidRDefault="00A21C81">
      <w:pPr>
        <w:ind w:firstLine="238"/>
      </w:pPr>
      <w:r>
        <w:rPr>
          <w:rFonts w:cs="EB Garamond"/>
          <w:b/>
          <w:kern w:val="16"/>
          <w14:ligatures w14:val="standardContextual"/>
        </w:rPr>
        <w:t>IFBrM (Índice de Funcionalidade Brasileiro Modificado):</w:t>
      </w:r>
      <w:r>
        <w:rPr>
          <w:rFonts w:cs="EB Garamond"/>
          <w:kern w:val="16"/>
          <w14:ligatures w14:val="standardContextual"/>
        </w:rPr>
        <w:t xml:space="preserve"> Instrumento mais amplo, desenvolvido para avaliar a deficiência em diversas políticas públicas (BPC, cotas, isenções, reserva de vagas). É a evolução do IFBr original, com ajustes metodológicos para aplicação em contextos assistenciais e de inclusão social. A </w:t>
      </w:r>
      <w:r>
        <w:rPr>
          <w:rFonts w:cs="EB Garamond"/>
          <w:kern w:val="16"/>
          <w14:ligatures w14:val="standardContextual"/>
        </w:rPr>
        <w:lastRenderedPageBreak/>
        <w:t>Lei n. 13.146/2015 (art. 2º, § 2º) prevê que a avaliação biopsicossocial da deficiência será realizada por instrumento definido em regulamento — referência que abrange o IFBrM.</w:t>
      </w:r>
    </w:p>
    <w:p w14:paraId="1D5A459D" w14:textId="77777777" w:rsidR="005A5FCC" w:rsidRDefault="00A21C81">
      <w:pPr>
        <w:ind w:firstLine="238"/>
      </w:pPr>
      <w:r>
        <w:rPr>
          <w:rFonts w:cs="EB Garamond"/>
          <w:b/>
          <w:kern w:val="16"/>
          <w14:ligatures w14:val="standardContextual"/>
        </w:rPr>
        <w:t>Implicação prática:</w:t>
      </w:r>
      <w:r>
        <w:rPr>
          <w:rFonts w:cs="EB Garamond"/>
          <w:kern w:val="16"/>
          <w14:ligatures w14:val="standardContextual"/>
        </w:rPr>
        <w:t xml:space="preserve"> Uma avaliação pelo IFBrM (realizada, por exemplo, para concessão de BPC ou para reserva de vaga em concurso público) não substitui a avaliação pelo IF-BrA para fins de aposentadoria da PcD. São instrumentos distintos, com faixas de corte, domínios e finalidades diferentes. Contudo, o resultado de uma avaliação por qualquer dos instrumentos pode servir como elemento de prova complementar em processo judicial que discuta o grau de deficiência do segurado.</w:t>
      </w:r>
    </w:p>
    <w:p w14:paraId="2B2D4DD6" w14:textId="77777777" w:rsidR="005A5FCC" w:rsidRDefault="00A21C81">
      <w:pPr>
        <w:spacing w:before="260" w:after="80" w:line="240" w:lineRule="auto"/>
        <w:jc w:val="left"/>
      </w:pPr>
      <w:r>
        <w:rPr>
          <w:rFonts w:cs="EB Garamond"/>
          <w:b/>
          <w:color w:val="3A3128"/>
          <w:kern w:val="16"/>
          <w:sz w:val="25"/>
          <w14:ligatures w14:val="standardContextual"/>
        </w:rPr>
        <w:t>12.11.6 Tempo de espera e acessibilidade do procedimento</w:t>
      </w:r>
    </w:p>
    <w:p w14:paraId="040FCE42"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U</w:t>
      </w:r>
    </w:p>
    <w:p w14:paraId="6D686056" w14:textId="77777777" w:rsidR="005A5FCC" w:rsidRDefault="00A21C81">
      <w:r>
        <w:rPr>
          <w:rFonts w:cs="EB Garamond"/>
          <w:kern w:val="16"/>
          <w14:ligatures w14:val="standardContextual"/>
        </w:rPr>
        <w:t>m dos obstáculos práticos mais relevantes para o segurado PcD é o tempo de espera para agendamento da avaliação biopsicossocial no INSS. Em diversas localidades, a escassez de assistentes sociais e médicos peritos habilitados para a aplicação do IF-BrA resulta em filas de espera que podem ultrapassar vários meses, retardando significativamente o acesso ao benefício.</w:t>
      </w:r>
    </w:p>
    <w:p w14:paraId="5844C371" w14:textId="77777777" w:rsidR="005A5FCC" w:rsidRDefault="00A21C81">
      <w:pPr>
        <w:ind w:firstLine="238"/>
      </w:pPr>
      <w:r>
        <w:rPr>
          <w:rFonts w:cs="EB Garamond"/>
          <w:kern w:val="16"/>
          <w14:ligatures w14:val="standardContextual"/>
        </w:rPr>
        <w:t>A Lei n. 13.146/2015 (Estatuto da PcD) e a CDPD impõem ao poder público o dever de assegurar acessibilidade plena nos procedimentos administrativos. Na prática da avaliação biopsicossocial, isso significa que: (a) o local de avaliação deve ser acessível (rampa, elevador, sinalização tátil, intérprete de Libras); (b) o segurado que não pode se deslocar tem direito à avaliação domiciliar ou hospitalar; (c) a comunicação deve ser adaptada ao tipo de impedimento (visual, auditivo, intelectual); e (d) o tempo de avaliação deve ser adequado — avaliações apressadas comprometem a qualidade do resultado.</w:t>
      </w:r>
    </w:p>
    <w:p w14:paraId="610ABE29" w14:textId="77777777" w:rsidR="005A5FCC" w:rsidRDefault="00A21C81">
      <w:pPr>
        <w:ind w:firstLine="238"/>
      </w:pPr>
      <w:r>
        <w:rPr>
          <w:rFonts w:cs="EB Garamond"/>
          <w:kern w:val="16"/>
          <w14:ligatures w14:val="standardContextual"/>
        </w:rPr>
        <w:t>O descumprimento desses deveres de acessibilidade pode ser impugnado administrativamente (ouvidoria do INSS) ou judicialmente (mandado de segurança para garantir avaliação acessível e em prazo razoável).</w:t>
      </w:r>
    </w:p>
    <w:p w14:paraId="742E0B40"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12.12 Prova da deficiência no processo judicial</w:t>
      </w:r>
    </w:p>
    <w:p w14:paraId="257286B8"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35A70D0C" w14:textId="77777777" w:rsidR="005A5FCC" w:rsidRDefault="00A21C81">
      <w:r>
        <w:rPr>
          <w:rFonts w:cs="EB Garamond"/>
          <w:kern w:val="16"/>
          <w14:ligatures w14:val="standardContextual"/>
        </w:rPr>
        <w:t xml:space="preserve"> comprovação da deficiência em juízo é uma das questões mais complexas da aposentadoria da PcD, envolvendo múltiplos meios de prova e uma dinâmica processual peculiar nos JEFs.</w:t>
      </w:r>
    </w:p>
    <w:p w14:paraId="64AC54C8" w14:textId="77777777" w:rsidR="005A5FCC" w:rsidRDefault="00A21C81">
      <w:pPr>
        <w:spacing w:before="260" w:after="80" w:line="240" w:lineRule="auto"/>
        <w:jc w:val="left"/>
      </w:pPr>
      <w:r>
        <w:rPr>
          <w:rFonts w:cs="EB Garamond"/>
          <w:b/>
          <w:color w:val="3A3128"/>
          <w:kern w:val="16"/>
          <w:sz w:val="25"/>
          <w14:ligatures w14:val="standardContextual"/>
        </w:rPr>
        <w:t>12.12.1 Ônus da prova</w:t>
      </w:r>
    </w:p>
    <w:p w14:paraId="423D6B2D"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4945741D" w14:textId="4E575C45" w:rsidR="005A5FCC" w:rsidRDefault="00A21C81">
      <w:r>
        <w:rPr>
          <w:rFonts w:cs="EB Garamond"/>
          <w:kern w:val="16"/>
          <w14:ligatures w14:val="standardContextual"/>
        </w:rPr>
        <w:t xml:space="preserve"> ônus de provar a deficiência, </w:t>
      </w:r>
      <w:r w:rsidR="001261E0">
        <w:rPr>
          <w:rFonts w:cs="EB Garamond"/>
          <w:kern w:val="16"/>
          <w14:ligatures w14:val="standardContextual"/>
        </w:rPr>
        <w:t>seu grau e sua duração incumbem</w:t>
      </w:r>
      <w:r>
        <w:rPr>
          <w:rFonts w:cs="EB Garamond"/>
          <w:kern w:val="16"/>
          <w14:ligatures w14:val="standardContextual"/>
        </w:rPr>
        <w:t xml:space="preserve"> ao segurado (art. 373, I, CPC). Não se aplica inversão do ônus da prova, pois a deficiência é fato constitutivo do direito do autor. Contudo, a jurisprudência tem reconhecido que, em matéria previdenciária, o ônus probatório deve ser interpretado com razoabilidade, considerando a hipossuficiência do segurado e as dificuldades inerentes à prova de condições funcionais de longo prazo.</w:t>
      </w:r>
    </w:p>
    <w:p w14:paraId="0884636A" w14:textId="77777777" w:rsidR="005A5FCC" w:rsidRDefault="00A21C81">
      <w:pPr>
        <w:spacing w:before="260" w:after="80" w:line="240" w:lineRule="auto"/>
        <w:jc w:val="left"/>
      </w:pPr>
      <w:r>
        <w:rPr>
          <w:rFonts w:cs="EB Garamond"/>
          <w:b/>
          <w:color w:val="3A3128"/>
          <w:kern w:val="16"/>
          <w:sz w:val="25"/>
          <w14:ligatures w14:val="standardContextual"/>
        </w:rPr>
        <w:t>12.12.2 Prova pericial judicial</w:t>
      </w:r>
    </w:p>
    <w:p w14:paraId="59E69C0B"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7EFD3738" w14:textId="77777777" w:rsidR="005A5FCC" w:rsidRDefault="00A21C81">
      <w:r>
        <w:rPr>
          <w:rFonts w:cs="EB Garamond"/>
          <w:kern w:val="16"/>
          <w14:ligatures w14:val="standardContextual"/>
        </w:rPr>
        <w:t xml:space="preserve"> prova pericial é o meio de prova central na aposentadoria da PcD. O juiz dos JEFs determinará perícia biopsicossocial, que idealmente deve contemplar:</w:t>
      </w:r>
    </w:p>
    <w:p w14:paraId="533C6EC1" w14:textId="77777777" w:rsidR="005A5FCC" w:rsidRDefault="00A21C81">
      <w:pPr>
        <w:ind w:firstLine="238"/>
      </w:pPr>
      <w:r>
        <w:rPr>
          <w:rFonts w:cs="EB Garamond"/>
          <w:b/>
          <w:kern w:val="16"/>
          <w14:ligatures w14:val="standardContextual"/>
        </w:rPr>
        <w:t>Perito médico judicial:</w:t>
      </w:r>
      <w:r>
        <w:rPr>
          <w:rFonts w:cs="EB Garamond"/>
          <w:kern w:val="16"/>
          <w14:ligatures w14:val="standardContextual"/>
        </w:rPr>
        <w:t xml:space="preserve"> examina o segurado, analisa documentação médica, responde quesitos técnicos sobre diagnóstico, grau de funcionalidade, data de início e variações de grau.</w:t>
      </w:r>
    </w:p>
    <w:p w14:paraId="5071D56D" w14:textId="77777777" w:rsidR="005A5FCC" w:rsidRDefault="00A21C81">
      <w:pPr>
        <w:ind w:firstLine="238"/>
      </w:pPr>
      <w:r>
        <w:rPr>
          <w:rFonts w:cs="EB Garamond"/>
          <w:b/>
          <w:kern w:val="16"/>
          <w14:ligatures w14:val="standardContextual"/>
        </w:rPr>
        <w:t>Assistente social (ou segundo perito):</w:t>
      </w:r>
      <w:r>
        <w:rPr>
          <w:rFonts w:cs="EB Garamond"/>
          <w:kern w:val="16"/>
          <w14:ligatures w14:val="standardContextual"/>
        </w:rPr>
        <w:t xml:space="preserve"> avalia as barreiras sociais, ambientais e atitudinais enfrentadas pelo segurado, respondendo quesitos sobre limitação de atividades e restrição de participação.</w:t>
      </w:r>
    </w:p>
    <w:p w14:paraId="3A15A558" w14:textId="77777777" w:rsidR="005A5FCC" w:rsidRDefault="00A21C81">
      <w:pPr>
        <w:ind w:firstLine="238"/>
      </w:pPr>
      <w:r>
        <w:rPr>
          <w:rFonts w:cs="EB Garamond"/>
          <w:kern w:val="16"/>
          <w14:ligatures w14:val="standardContextual"/>
        </w:rPr>
        <w:t>Na prática dos JEFs, nem sempre há nomeação de dois peritos. Alguns juízos nomeiam apenas perito médico, que deve, na medida do possível, avaliar também os aspectos funcionais e sociais. A ausência de avaliação social autônoma pode comprometer a fidedignidade do resultado, especialmente em casos de deficiência mental, intelectual ou sensorial com forte componente de barreira social.</w:t>
      </w:r>
    </w:p>
    <w:tbl>
      <w:tblPr>
        <w:tblW w:w="5000" w:type="pct"/>
        <w:jc w:val="center"/>
        <w:tblLayout w:type="fixed"/>
        <w:tblLook w:val="04A0" w:firstRow="1" w:lastRow="0" w:firstColumn="1" w:lastColumn="0" w:noHBand="0" w:noVBand="1"/>
      </w:tblPr>
      <w:tblGrid>
        <w:gridCol w:w="6311"/>
      </w:tblGrid>
      <w:tr w:rsidR="005A5FCC" w14:paraId="7CFAB775"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6B74E646"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7EB30C4E" w14:textId="77777777" w:rsidR="005A5FCC" w:rsidRDefault="00A21C81">
            <w:pPr>
              <w:spacing w:after="60" w:line="247" w:lineRule="auto"/>
            </w:pPr>
            <w:r>
              <w:rPr>
                <w:rFonts w:cs="EB Garamond"/>
                <w:b/>
                <w:kern w:val="16"/>
                <w:sz w:val="19"/>
                <w14:ligatures w14:val="standardContextual"/>
              </w:rPr>
              <w:t>Quesitos sugeridos para perícia biopsicossocial judicial</w:t>
            </w:r>
          </w:p>
          <w:p w14:paraId="35EBF65C" w14:textId="77777777" w:rsidR="005A5FCC" w:rsidRDefault="00A21C81">
            <w:pPr>
              <w:spacing w:after="60" w:line="247" w:lineRule="auto"/>
            </w:pPr>
            <w:r>
              <w:rPr>
                <w:rFonts w:cs="EB Garamond"/>
                <w:b/>
                <w:kern w:val="16"/>
                <w:sz w:val="19"/>
                <w14:ligatures w14:val="standardContextual"/>
              </w:rPr>
              <w:t>Ao perito médico:</w:t>
            </w:r>
            <w:r>
              <w:rPr>
                <w:rFonts w:cs="EB Garamond"/>
                <w:kern w:val="16"/>
                <w:sz w:val="19"/>
                <w14:ligatures w14:val="standardContextual"/>
              </w:rPr>
              <w:t xml:space="preserve"> 1. O segurado apresenta impedimentos de natureza física, mental, intelectual ou sensorial? Quais? 2. Esses impedimentos são de longo prazo (duração mínima de 2 anos)? 3. Qual a data provável de início dos impedimentos? 4. Qual o grau de deficiência do segurado conforme o IF-BrA (grave, moderada ou leve)? 5. Houve variação do grau ao longo do tempo? Em caso positivo, indique os períodos e graus correspondentes. 6. Os impedimentos, em interação com barreiras, restringem a participação plena do segurado em igualdade de condições? 7. O segurado utiliza tecnologia assistiva? Qual? Há quanto tempo? 8. Existe possibilidade de melhora funcional com tratamento ou reabilitação?</w:t>
            </w:r>
          </w:p>
          <w:p w14:paraId="38570229" w14:textId="77777777" w:rsidR="005A5FCC" w:rsidRDefault="00A21C81">
            <w:pPr>
              <w:spacing w:after="60" w:line="247" w:lineRule="auto"/>
            </w:pPr>
            <w:r>
              <w:rPr>
                <w:rFonts w:cs="EB Garamond"/>
                <w:b/>
                <w:kern w:val="16"/>
                <w:sz w:val="19"/>
                <w14:ligatures w14:val="standardContextual"/>
              </w:rPr>
              <w:t>Ao assistente social (se nomeado):</w:t>
            </w:r>
            <w:r>
              <w:rPr>
                <w:rFonts w:cs="EB Garamond"/>
                <w:kern w:val="16"/>
                <w:sz w:val="19"/>
                <w14:ligatures w14:val="standardContextual"/>
              </w:rPr>
              <w:t xml:space="preserve"> 1. Descreva as condições de moradia, acessibilidade e ambiente doméstico do segurado. 2. Quais barreiras ambientais, sociais e atitudinais o segurado enfrenta em sua vida cotidiana? 3. Quais atividades da vida diária o segurado realiza com dificuldade ou não realiza? 4. O segurado possui rede de apoio familiar ou institucional? 5. Quais limitações de participação social o segurado enfrenta (educação, trabalho, lazer, vida comunitária)? 6. O segurado exerce atividade laboral? Com quais adaptações ou limitações? 7. Avalie os 7 domínios do IF-BrA conforme sua percepção funcional do segurado.</w:t>
            </w:r>
          </w:p>
        </w:tc>
      </w:tr>
    </w:tbl>
    <w:p w14:paraId="395CF82B" w14:textId="77777777" w:rsidR="005A5FCC" w:rsidRDefault="005A5FCC">
      <w:pPr>
        <w:spacing w:after="80" w:line="240" w:lineRule="auto"/>
      </w:pPr>
    </w:p>
    <w:p w14:paraId="3EA95C6B" w14:textId="77777777" w:rsidR="005A5FCC" w:rsidRDefault="00A21C81">
      <w:pPr>
        <w:spacing w:before="260" w:after="80" w:line="240" w:lineRule="auto"/>
        <w:jc w:val="left"/>
      </w:pPr>
      <w:r>
        <w:rPr>
          <w:rFonts w:cs="EB Garamond"/>
          <w:b/>
          <w:color w:val="3A3128"/>
          <w:kern w:val="16"/>
          <w:sz w:val="25"/>
          <w14:ligatures w14:val="standardContextual"/>
        </w:rPr>
        <w:t>12.12.3 Prova documental complementar</w:t>
      </w:r>
    </w:p>
    <w:p w14:paraId="024B43B3"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1C70E0CD" w14:textId="77777777" w:rsidR="005A5FCC" w:rsidRDefault="00A21C81">
      <w:r>
        <w:rPr>
          <w:rFonts w:cs="EB Garamond"/>
          <w:kern w:val="16"/>
          <w14:ligatures w14:val="standardContextual"/>
        </w:rPr>
        <w:t xml:space="preserve"> perícia judicial deve ser complementada por documentação que corrobore a existência, o grau e a duração da deficiência:</w:t>
      </w:r>
    </w:p>
    <w:p w14:paraId="316CE9D9"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Laudos médicos particulares:</w:t>
      </w:r>
      <w:r>
        <w:rPr>
          <w:rFonts w:cs="EB Garamond"/>
          <w:kern w:val="16"/>
          <w:sz w:val="20"/>
          <w14:ligatures w14:val="standardContextual"/>
        </w:rPr>
        <w:t xml:space="preserve"> devem ser detalhados, com CID, descrição funcional e data. Laudos genéricos ("paciente com deficiência") ou sem CID têm pouco valor probatório.</w:t>
      </w:r>
    </w:p>
    <w:p w14:paraId="3A53FE5A"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Relatórios de acompanhamento terapêutico:</w:t>
      </w:r>
      <w:r>
        <w:rPr>
          <w:rFonts w:cs="EB Garamond"/>
          <w:kern w:val="16"/>
          <w:sz w:val="20"/>
          <w14:ligatures w14:val="standardContextual"/>
        </w:rPr>
        <w:t xml:space="preserve"> fisioterapia, terapia ocupacional, fonoaudiologia, psicoterapia — demonstram a continuidade do impedimento.</w:t>
      </w:r>
    </w:p>
    <w:p w14:paraId="43519857"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Laudos de serviços de reabilitação:</w:t>
      </w:r>
      <w:r>
        <w:rPr>
          <w:rFonts w:cs="EB Garamond"/>
          <w:kern w:val="16"/>
          <w:sz w:val="20"/>
          <w14:ligatures w14:val="standardContextual"/>
        </w:rPr>
        <w:t xml:space="preserve"> INSS, APAE, associações especializadas — comprovam a deficiência e eventuais variações.</w:t>
      </w:r>
    </w:p>
    <w:p w14:paraId="2C4E0CAF" w14:textId="77777777" w:rsidR="005A5FCC" w:rsidRDefault="00A21C81">
      <w:pPr>
        <w:spacing w:after="40" w:line="252" w:lineRule="auto"/>
        <w:ind w:left="340" w:hanging="198"/>
      </w:pPr>
      <w:r>
        <w:rPr>
          <w:rFonts w:cs="EB Garamond"/>
          <w:color w:val="3A3128"/>
          <w:kern w:val="16"/>
          <w:sz w:val="20"/>
          <w14:ligatures w14:val="standardContextual"/>
        </w:rPr>
        <w:lastRenderedPageBreak/>
        <w:t xml:space="preserve">• </w:t>
      </w:r>
      <w:r>
        <w:rPr>
          <w:rFonts w:cs="EB Garamond"/>
          <w:b/>
          <w:kern w:val="16"/>
          <w:sz w:val="20"/>
          <w14:ligatures w14:val="standardContextual"/>
        </w:rPr>
        <w:t>Avaliação anterior do INSS:</w:t>
      </w:r>
      <w:r>
        <w:rPr>
          <w:rFonts w:cs="EB Garamond"/>
          <w:kern w:val="16"/>
          <w:sz w:val="20"/>
          <w14:ligatures w14:val="standardContextual"/>
        </w:rPr>
        <w:t xml:space="preserve"> se o segurado já foi submetido a avaliação biopsicossocial administrativa (mesmo com resultado negativo), o documento deve ser juntado como elemento comparativo.</w:t>
      </w:r>
    </w:p>
    <w:p w14:paraId="49496F90"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CID-10/CID-11 e CIF:</w:t>
      </w:r>
      <w:r>
        <w:rPr>
          <w:rFonts w:cs="EB Garamond"/>
          <w:kern w:val="16"/>
          <w:sz w:val="20"/>
          <w14:ligatures w14:val="standardContextual"/>
        </w:rPr>
        <w:t xml:space="preserve"> a classificação da condição segundo a CID e a classificação funcional segundo a CIF (Classificação Internacional de Funcionalidade, Incapacidade e Saúde) são referenciais técnicos relevantes, embora não vinculem o perito.</w:t>
      </w:r>
    </w:p>
    <w:p w14:paraId="2149C6EC" w14:textId="77777777" w:rsidR="005A5FCC" w:rsidRDefault="005A5FCC">
      <w:pPr>
        <w:spacing w:after="60" w:line="240" w:lineRule="auto"/>
      </w:pPr>
    </w:p>
    <w:p w14:paraId="26611CE2" w14:textId="77777777" w:rsidR="005A5FCC" w:rsidRDefault="00A21C81">
      <w:pPr>
        <w:spacing w:before="260" w:after="80" w:line="240" w:lineRule="auto"/>
        <w:jc w:val="left"/>
      </w:pPr>
      <w:r>
        <w:rPr>
          <w:rFonts w:cs="EB Garamond"/>
          <w:b/>
          <w:color w:val="3A3128"/>
          <w:kern w:val="16"/>
          <w:sz w:val="25"/>
          <w14:ligatures w14:val="standardContextual"/>
        </w:rPr>
        <w:t>12.12.4 Prova testemunhal</w:t>
      </w:r>
    </w:p>
    <w:p w14:paraId="769DD913"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209D98FA" w14:textId="77777777" w:rsidR="005A5FCC" w:rsidRDefault="00A21C81">
      <w:r>
        <w:rPr>
          <w:rFonts w:cs="EB Garamond"/>
          <w:kern w:val="16"/>
          <w14:ligatures w14:val="standardContextual"/>
        </w:rPr>
        <w:t xml:space="preserve"> prova testemunhal tem papel subsidiário na aposentadoria da PcD: não substitui a perícia, mas pode complementá-la, especialmente para:</w:t>
      </w:r>
    </w:p>
    <w:p w14:paraId="59027806"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Comprovar a existência da deficiência em períodos remotos (quando não há documentação médica);</w:t>
      </w:r>
    </w:p>
    <w:p w14:paraId="4EC369C7"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Demonstrar as barreiras enfrentadas pelo segurado no ambiente de trabalho e na vida comunitária;</w:t>
      </w:r>
    </w:p>
    <w:p w14:paraId="39BDCAD7"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Corroborar a data de início da deficiência, quando a documentação médica é insuficiente.</w:t>
      </w:r>
    </w:p>
    <w:p w14:paraId="411B61E3" w14:textId="77777777" w:rsidR="005A5FCC" w:rsidRDefault="005A5FCC">
      <w:pPr>
        <w:spacing w:after="60" w:line="240" w:lineRule="auto"/>
      </w:pPr>
    </w:p>
    <w:p w14:paraId="52871BC1"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2440903C" w14:textId="77777777" w:rsidR="005A5FCC" w:rsidRDefault="00A21C81">
      <w:r>
        <w:rPr>
          <w:rFonts w:cs="EB Garamond"/>
          <w:kern w:val="16"/>
          <w14:ligatures w14:val="standardContextual"/>
        </w:rPr>
        <w:t xml:space="preserve"> jurisprudência dos TRFs admite a prova testemunhal como meio complementar, mas é uniforme em exigir a perícia como prova principal. Decisões que concedem a aposentadoria da PcD exclusivamente com base em prova testemunhal são excepcionais e geralmente reformadas em grau recursal.</w:t>
      </w:r>
    </w:p>
    <w:tbl>
      <w:tblPr>
        <w:tblW w:w="5000" w:type="pct"/>
        <w:jc w:val="center"/>
        <w:tblLayout w:type="fixed"/>
        <w:tblLook w:val="04A0" w:firstRow="1" w:lastRow="0" w:firstColumn="1" w:lastColumn="0" w:noHBand="0" w:noVBand="1"/>
      </w:tblPr>
      <w:tblGrid>
        <w:gridCol w:w="6311"/>
      </w:tblGrid>
      <w:tr w:rsidR="005A5FCC" w14:paraId="37D08A58"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5BEA0E75" w14:textId="77777777" w:rsidR="005A5FCC" w:rsidRDefault="00A21C81">
            <w:pPr>
              <w:spacing w:after="60" w:line="240" w:lineRule="auto"/>
              <w:jc w:val="left"/>
            </w:pPr>
            <w:r>
              <w:rPr>
                <w:rFonts w:ascii="Noto Sans" w:hAnsi="Noto Sans" w:cs="Noto Sans"/>
                <w:b/>
                <w:caps/>
                <w:color w:val="4D6F8A"/>
                <w:kern w:val="16"/>
                <w:sz w:val="16"/>
                <w14:ligatures w14:val="standardContextual"/>
              </w:rPr>
              <w:lastRenderedPageBreak/>
              <w:t>JURISPRUDÊNCIA EM DESTAQUE</w:t>
            </w:r>
          </w:p>
          <w:p w14:paraId="3D399557" w14:textId="77777777" w:rsidR="005A5FCC" w:rsidRDefault="00A21C81">
            <w:pPr>
              <w:spacing w:after="60" w:line="247" w:lineRule="auto"/>
            </w:pPr>
            <w:r>
              <w:rPr>
                <w:rFonts w:cs="EB Garamond"/>
                <w:b/>
                <w:kern w:val="16"/>
                <w:sz w:val="19"/>
                <w14:ligatures w14:val="standardContextual"/>
              </w:rPr>
              <w:t>Valoração da prova pericial nos JEFs — aposentadoria da PcD</w:t>
            </w:r>
          </w:p>
          <w:p w14:paraId="65230797" w14:textId="77777777" w:rsidR="005A5FCC" w:rsidRDefault="00A21C81">
            <w:pPr>
              <w:spacing w:after="60" w:line="247" w:lineRule="auto"/>
            </w:pPr>
            <w:r>
              <w:rPr>
                <w:rFonts w:cs="EB Garamond"/>
                <w:i/>
                <w:kern w:val="16"/>
                <w:sz w:val="19"/>
                <w14:ligatures w14:val="standardContextual"/>
              </w:rPr>
              <w:t>Síntese do entendimento dos tribunais, sem transcrição literal de ementa.</w:t>
            </w:r>
          </w:p>
          <w:p w14:paraId="0BE715A8" w14:textId="77777777" w:rsidR="005A5FCC" w:rsidRDefault="00A21C81">
            <w:pPr>
              <w:spacing w:after="60" w:line="247" w:lineRule="auto"/>
            </w:pPr>
            <w:r>
              <w:rPr>
                <w:rFonts w:cs="EB Garamond"/>
                <w:kern w:val="16"/>
                <w:sz w:val="19"/>
                <w14:ligatures w14:val="standardContextual"/>
              </w:rPr>
              <w:t>TRF4: a perícia biopsicossocial é meio de prova indispensável para a aferição do grau de deficiência e fixação da data de início, nos termos da LC 142/2013; o juiz pode, contudo, complementar ou afastar as conclusões periciais quando fundamentado em outros elementos do conjunto probatório, especialmente laudos médicos particulares contemporâneos ao período controvertido (TRF4, AC 5008734-55.2019.4.04.7001).</w:t>
            </w:r>
          </w:p>
          <w:p w14:paraId="3B3693CA" w14:textId="77777777" w:rsidR="005A5FCC" w:rsidRDefault="00A21C81">
            <w:pPr>
              <w:spacing w:after="60" w:line="247" w:lineRule="auto"/>
            </w:pPr>
            <w:r>
              <w:rPr>
                <w:rFonts w:cs="EB Garamond"/>
                <w:kern w:val="16"/>
                <w:sz w:val="19"/>
                <w14:ligatures w14:val="standardContextual"/>
              </w:rPr>
              <w:t>TNU: a perícia biopsicossocial para fins da LC 142/2013 deve avaliar tanto os aspectos médicos (estrutura e função corporal) quanto os sociais (barreiras e limitação de participação), nos termos da CDPD e da Lei 13.146/2015; a omissão da avaliação social compromete a validade da perícia (TNU, PEDILEF 0502831-39.2017.4.05.8300).</w:t>
            </w:r>
          </w:p>
        </w:tc>
      </w:tr>
    </w:tbl>
    <w:p w14:paraId="56582344" w14:textId="77777777" w:rsidR="005A5FCC" w:rsidRDefault="005A5FCC">
      <w:pPr>
        <w:spacing w:after="80" w:line="240" w:lineRule="auto"/>
      </w:pPr>
    </w:p>
    <w:p w14:paraId="0E4DC49E"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12.13 Visão monocular e deficiência</w:t>
      </w:r>
    </w:p>
    <w:p w14:paraId="587C9DDD"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3FC11787" w14:textId="77777777" w:rsidR="005A5FCC" w:rsidRDefault="00A21C81">
      <w:r>
        <w:rPr>
          <w:rFonts w:cs="EB Garamond"/>
          <w:kern w:val="16"/>
          <w14:ligatures w14:val="standardContextual"/>
        </w:rPr>
        <w:t xml:space="preserve"> Lei n. 14.126, de 22 de março de 2021, classificou a visão monocular como deficiência sensorial do tipo visual para todos os efeitos legais. Essa classificação legal teve impacto direto na aplicação da LC 142/2013, ao ampliar o universo de segurados elegíveis à aposentadoria da PcD.</w:t>
      </w:r>
    </w:p>
    <w:p w14:paraId="6DB073A0" w14:textId="77777777" w:rsidR="005A5FCC" w:rsidRDefault="00A21C81">
      <w:pPr>
        <w:spacing w:before="260" w:after="80" w:line="240" w:lineRule="auto"/>
        <w:jc w:val="left"/>
      </w:pPr>
      <w:r>
        <w:rPr>
          <w:rFonts w:cs="EB Garamond"/>
          <w:b/>
          <w:color w:val="3A3128"/>
          <w:kern w:val="16"/>
          <w:sz w:val="25"/>
          <w14:ligatures w14:val="standardContextual"/>
        </w:rPr>
        <w:t>12.13.1 Enquadramento na LC 142</w:t>
      </w:r>
    </w:p>
    <w:p w14:paraId="2550BC4F"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2554EDDB" w14:textId="77777777" w:rsidR="005A5FCC" w:rsidRDefault="00A21C81">
      <w:r>
        <w:rPr>
          <w:rFonts w:cs="EB Garamond"/>
          <w:kern w:val="16"/>
          <w14:ligatures w14:val="standardContextual"/>
        </w:rPr>
        <w:t xml:space="preserve"> visão monocular, classificada legalmente como deficiência sensorial, permite ao segurado que comprove essa condição requerer a aposentadoria da PcD. Contudo, a Lei 14.126/2021 não define automaticamente o grau de deficiência da pessoa com visão monocular — a classificação em leve, moderada ou grave depende da avaliação biopsicossocial (IF-BrA), que considera não apenas o diagnóstico (visão monocular) mas o impacto funcional da condição na vida do segurado.</w:t>
      </w:r>
    </w:p>
    <w:p w14:paraId="4635A527" w14:textId="77777777" w:rsidR="005A5FCC" w:rsidRDefault="00A21C81">
      <w:pPr>
        <w:ind w:firstLine="238"/>
      </w:pPr>
      <w:r>
        <w:rPr>
          <w:rFonts w:cs="EB Garamond"/>
          <w:kern w:val="16"/>
          <w14:ligatures w14:val="standardContextual"/>
        </w:rPr>
        <w:lastRenderedPageBreak/>
        <w:t>Na prática, a maioria dos segurados com visão monocular é classificada como pessoa com deficiência leve, pois a perda de visão em um olho, embora configure deficiência sensorial, tipicamente não compromete extensamente os domínios avaliados pelo IF-BrA (comunicação, mobilidade, cuidados pessoais, vida doméstica, socialização). Exceções ocorrem quando a visão monocular se combina com outros impedimentos ou quando a atividade profissional do segurado exige visão binocular (como pilotos, operadores de guindastes, microscopistas), caso em que o impacto funcional é maior e pode resultar em grau moderado.</w:t>
      </w:r>
    </w:p>
    <w:p w14:paraId="130DA4A9" w14:textId="77777777" w:rsidR="005A5FCC" w:rsidRDefault="00A21C81">
      <w:pPr>
        <w:spacing w:before="260" w:after="80" w:line="240" w:lineRule="auto"/>
        <w:jc w:val="left"/>
      </w:pPr>
      <w:r>
        <w:rPr>
          <w:rFonts w:cs="EB Garamond"/>
          <w:b/>
          <w:color w:val="3A3128"/>
          <w:kern w:val="16"/>
          <w:sz w:val="25"/>
          <w14:ligatures w14:val="standardContextual"/>
        </w:rPr>
        <w:t>12.13.2 Divergência jurisprudencial</w:t>
      </w:r>
    </w:p>
    <w:p w14:paraId="0D72928F"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7F6D1D09" w14:textId="77777777" w:rsidR="005A5FCC" w:rsidRDefault="00A21C81">
      <w:r>
        <w:rPr>
          <w:rFonts w:cs="EB Garamond"/>
          <w:kern w:val="16"/>
          <w14:ligatures w14:val="standardContextual"/>
        </w:rPr>
        <w:t xml:space="preserve"> jurisprudência sobre visão monocular e LC 142 apresenta divergência relevante:</w:t>
      </w:r>
    </w:p>
    <w:p w14:paraId="17FFDF1A" w14:textId="77777777" w:rsidR="005A5FCC" w:rsidRDefault="00A21C81">
      <w:pPr>
        <w:ind w:firstLine="238"/>
      </w:pPr>
      <w:r>
        <w:rPr>
          <w:rFonts w:cs="EB Garamond"/>
          <w:b/>
          <w:kern w:val="16"/>
          <w14:ligatures w14:val="standardContextual"/>
        </w:rPr>
        <w:t>Posição da TNU:</w:t>
      </w:r>
      <w:r>
        <w:rPr>
          <w:rFonts w:cs="EB Garamond"/>
          <w:kern w:val="16"/>
          <w14:ligatures w14:val="standardContextual"/>
        </w:rPr>
        <w:t xml:space="preserve"> O mero diagnóstico de visão monocular não garante, por si só, a aposentadoria da PcD. É imprescindível a avaliação biopsicossocial (IF-BrA) para aferição do grau de deficiência, pois o conceito de deficiência da LC 142 é funcional, não diagnóstico. A visão monocular pode configurar deficiência leve, moderada ou mesmo não configurar deficiência para fins previdenciários, conforme o resultado da avaliação.</w:t>
      </w:r>
    </w:p>
    <w:p w14:paraId="4E1EB399" w14:textId="77777777" w:rsidR="005A5FCC" w:rsidRDefault="00A21C81">
      <w:pPr>
        <w:ind w:firstLine="238"/>
      </w:pPr>
      <w:r>
        <w:rPr>
          <w:rFonts w:cs="EB Garamond"/>
          <w:b/>
          <w:kern w:val="16"/>
          <w14:ligatures w14:val="standardContextual"/>
        </w:rPr>
        <w:t>Posição da TRU da 4ª Região (JEF):</w:t>
      </w:r>
      <w:r>
        <w:rPr>
          <w:rFonts w:cs="EB Garamond"/>
          <w:kern w:val="16"/>
          <w14:ligatures w14:val="standardContextual"/>
        </w:rPr>
        <w:t xml:space="preserve"> A visão monocular presume deficiência leve para fins de aposentadoria pela LC 142/2013, dispensando a aplicação do IF-BrA quando a condição está suficientemente documentada por exames oftalmológicos. Esse entendimento — firmado pela Turma Regional de Uniformização dos Juizados Especiais Federais da 4ª Região, e não pelo colegiado do TRF4 enquanto tribunal — é mais favorável ao segurado, mas não é unânime.</w:t>
      </w:r>
    </w:p>
    <w:p w14:paraId="0ADCD58B" w14:textId="77777777" w:rsidR="005A5FCC" w:rsidRDefault="00A21C81">
      <w:pPr>
        <w:ind w:firstLine="238"/>
      </w:pPr>
      <w:r>
        <w:rPr>
          <w:rFonts w:cs="EB Garamond"/>
          <w:kern w:val="16"/>
          <w14:ligatures w14:val="standardContextual"/>
        </w:rPr>
        <w:t xml:space="preserve">Cumpre, aqui, uma ressalva crítica. Embora a presunção fixada pela TRU da 4ª Região seja, em regra, benéfica ao segurado, parece-nos dogmaticamente frágil. Ao dispensar o IF-BrA mediante a só comprovação do diagnóstico oftalmológico, a tese reintroduz pela porta dos fundos o critério biomédico que a CDPD e a própria LC 142 expressamente abandonaram: converte o rótulo clínico (visão monocular) em grau de deficiência, quando o sistema da LC 142 condiciona o grau ao impacto funcional concreto, aferido pela interação entre impedimento e </w:t>
      </w:r>
      <w:r>
        <w:rPr>
          <w:rFonts w:cs="EB Garamond"/>
          <w:kern w:val="16"/>
          <w14:ligatures w14:val="standardContextual"/>
        </w:rPr>
        <w:lastRenderedPageBreak/>
        <w:t>barreiras. A presunção tem, ainda, dupla face: se é cômoda ao segurado de funcionalidade preservada, prejudica aquele cujo impedimento visual, somado a outros fatores, justificaria enquadramento em grau mais elevado — e que, sob a presunção, teria seu pleito artificialmente nivelado por baixo. Por isso, entendemos preferível a orientação da TNU, que preserva a coerência do modelo biopsicossocial e melhor se ajusta à finalidade da norma. A presunção de grau leve, quando muito, deve operar como piso probatório, jamais como teto que obste a demonstração de grau superior.</w:t>
      </w:r>
    </w:p>
    <w:tbl>
      <w:tblPr>
        <w:tblW w:w="5000" w:type="pct"/>
        <w:jc w:val="center"/>
        <w:tblLayout w:type="fixed"/>
        <w:tblLook w:val="04A0" w:firstRow="1" w:lastRow="0" w:firstColumn="1" w:lastColumn="0" w:noHBand="0" w:noVBand="1"/>
      </w:tblPr>
      <w:tblGrid>
        <w:gridCol w:w="6311"/>
      </w:tblGrid>
      <w:tr w:rsidR="005A5FCC" w14:paraId="0C33894E"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54F8EA9F" w14:textId="77777777" w:rsidR="005A5FCC" w:rsidRDefault="00A21C81">
            <w:pPr>
              <w:spacing w:after="60" w:line="240" w:lineRule="auto"/>
              <w:jc w:val="left"/>
            </w:pPr>
            <w:r>
              <w:rPr>
                <w:rFonts w:ascii="Noto Sans" w:hAnsi="Noto Sans" w:cs="Noto Sans"/>
                <w:b/>
                <w:caps/>
                <w:color w:val="4D6F8A"/>
                <w:kern w:val="16"/>
                <w:sz w:val="16"/>
                <w14:ligatures w14:val="standardContextual"/>
              </w:rPr>
              <w:t>JURISPRUDÊNCIA EM DESTAQUE</w:t>
            </w:r>
          </w:p>
          <w:p w14:paraId="6C4DA748" w14:textId="77777777" w:rsidR="005A5FCC" w:rsidRDefault="00A21C81">
            <w:pPr>
              <w:spacing w:after="60" w:line="247" w:lineRule="auto"/>
            </w:pPr>
            <w:r>
              <w:rPr>
                <w:rFonts w:cs="EB Garamond"/>
                <w:b/>
                <w:kern w:val="16"/>
                <w:sz w:val="19"/>
                <w14:ligatures w14:val="standardContextual"/>
              </w:rPr>
              <w:t>Visão monocular e aposentadoria da PcD: divergência TNU × TRU da 4ª Região (JEF)</w:t>
            </w:r>
          </w:p>
          <w:p w14:paraId="7A1766F8" w14:textId="77777777" w:rsidR="005A5FCC" w:rsidRDefault="00A21C81">
            <w:pPr>
              <w:spacing w:after="60" w:line="247" w:lineRule="auto"/>
            </w:pPr>
            <w:r>
              <w:rPr>
                <w:rFonts w:cs="EB Garamond"/>
                <w:i/>
                <w:kern w:val="16"/>
                <w:sz w:val="19"/>
                <w14:ligatures w14:val="standardContextual"/>
              </w:rPr>
              <w:t>Síntese do entendimento dos tribunais, sem transcrição literal de ementa.</w:t>
            </w:r>
          </w:p>
          <w:p w14:paraId="6ED634FF" w14:textId="77777777" w:rsidR="005A5FCC" w:rsidRDefault="00A21C81">
            <w:pPr>
              <w:spacing w:after="60" w:line="247" w:lineRule="auto"/>
            </w:pPr>
            <w:r>
              <w:rPr>
                <w:rFonts w:cs="EB Garamond"/>
                <w:kern w:val="16"/>
                <w:sz w:val="19"/>
                <w14:ligatures w14:val="standardContextual"/>
              </w:rPr>
              <w:t>TNU: o diagnóstico de visão monocular, ainda que classificado como deficiência sensorial pela Lei 14.126/2021, não dispensa a avaliação biopsicossocial para fins de concessão da aposentadoria prevista na LC 142/2013; o grau deve ser aferido pelo IF-BrA, considerando a interação entre o impedimento visual e as barreiras enfrentadas pelo segurado (TNU, PEDILEF 5003741-40.2019.4.04.7107).</w:t>
            </w:r>
          </w:p>
          <w:p w14:paraId="2ABC130C" w14:textId="77777777" w:rsidR="005A5FCC" w:rsidRDefault="00A21C81">
            <w:pPr>
              <w:spacing w:after="60" w:line="247" w:lineRule="auto"/>
            </w:pPr>
            <w:r>
              <w:rPr>
                <w:rFonts w:cs="EB Garamond"/>
                <w:kern w:val="16"/>
                <w:sz w:val="19"/>
                <w14:ligatures w14:val="standardContextual"/>
              </w:rPr>
              <w:t>TRU da 4ª Região (JEF): a pessoa com visão monocular é presumivelmente deficiente leve para fins da LC 142/2013, bastando a comprovação da condição por exames oftalmológicos para ensejar a aposentadoria por tempo de contribuição da pessoa com deficiência (TRU da 4ª Região, 5015273-33.2017.4.04.7107). Trata-se de orientação da Turma Regional de Uniformização dos Juizados Especiais Federais, não de jurisprudência do colegiado do TRF4 enquanto tribunal.</w:t>
            </w:r>
          </w:p>
        </w:tc>
      </w:tr>
    </w:tbl>
    <w:p w14:paraId="302735ED" w14:textId="77777777" w:rsidR="005A5FCC" w:rsidRDefault="005A5FCC">
      <w:pPr>
        <w:spacing w:after="80" w:line="240" w:lineRule="auto"/>
      </w:pPr>
    </w:p>
    <w:tbl>
      <w:tblPr>
        <w:tblW w:w="5000" w:type="pct"/>
        <w:jc w:val="center"/>
        <w:tblLayout w:type="fixed"/>
        <w:tblLook w:val="04A0" w:firstRow="1" w:lastRow="0" w:firstColumn="1" w:lastColumn="0" w:noHBand="0" w:noVBand="1"/>
      </w:tblPr>
      <w:tblGrid>
        <w:gridCol w:w="6311"/>
      </w:tblGrid>
      <w:tr w:rsidR="005A5FCC" w14:paraId="3BAB8A29"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6B4C8E9A" w14:textId="77777777" w:rsidR="005A5FCC" w:rsidRDefault="00A21C81">
            <w:pPr>
              <w:spacing w:after="60" w:line="240" w:lineRule="auto"/>
              <w:jc w:val="left"/>
            </w:pPr>
            <w:r>
              <w:rPr>
                <w:rFonts w:ascii="Noto Sans" w:hAnsi="Noto Sans" w:cs="Noto Sans"/>
                <w:b/>
                <w:caps/>
                <w:color w:val="B78B37"/>
                <w:kern w:val="16"/>
                <w:sz w:val="16"/>
                <w14:ligatures w14:val="standardContextual"/>
              </w:rPr>
              <w:lastRenderedPageBreak/>
              <w:t>ATENÇÃO</w:t>
            </w:r>
          </w:p>
          <w:p w14:paraId="73078B0D" w14:textId="77777777" w:rsidR="005A5FCC" w:rsidRDefault="00A21C81">
            <w:pPr>
              <w:spacing w:after="60" w:line="247" w:lineRule="auto"/>
            </w:pPr>
            <w:r>
              <w:rPr>
                <w:rFonts w:cs="EB Garamond"/>
                <w:b/>
                <w:kern w:val="16"/>
                <w:sz w:val="19"/>
                <w14:ligatures w14:val="standardContextual"/>
              </w:rPr>
              <w:t>Visão monocular: é deficiência, mas o grau depende da avaliação</w:t>
            </w:r>
          </w:p>
          <w:p w14:paraId="036E5B27" w14:textId="77777777" w:rsidR="005A5FCC" w:rsidRDefault="00A21C81">
            <w:pPr>
              <w:spacing w:after="60" w:line="247" w:lineRule="auto"/>
            </w:pPr>
            <w:r>
              <w:rPr>
                <w:rFonts w:cs="EB Garamond"/>
                <w:kern w:val="16"/>
                <w:sz w:val="19"/>
                <w14:ligatures w14:val="standardContextual"/>
              </w:rPr>
              <w:t>Após a Lei 14.126/2021, não há dúvida de que a visão monocular é deficiência sensorial para todos os efeitos legais. Contudo: - O enquadramento na LC 142/2013 (grave, moderada ou leve) depende da avaliação biopsicossocial. - Na maioria dos casos, resultará em deficiência leve (TC de 33H/28M). - Em casos excepcionais (atividade profissional que exige visão binocular, presença de outros impedimentos), pode resultar em grau moderado. - A TNU exige avaliação biopsicossocial; a TRU da 4ª Região (JEF) admite presunção de deficiência leve. - O advogado deve preparar a prova para demonstrar o impacto funcional concreto da visão monocular na vida do segurado, independentemente da posição do tribunal competente.</w:t>
            </w:r>
          </w:p>
        </w:tc>
      </w:tr>
    </w:tbl>
    <w:p w14:paraId="3EE01A11" w14:textId="77777777" w:rsidR="005A5FCC" w:rsidRDefault="005A5FCC">
      <w:pPr>
        <w:spacing w:after="80" w:line="240" w:lineRule="auto"/>
      </w:pPr>
    </w:p>
    <w:p w14:paraId="3654C97B"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12.14 Distinção BPC × aposentadoria PcD: qual pedir?</w:t>
      </w:r>
    </w:p>
    <w:p w14:paraId="6DC23C3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4F8CDD3A" w14:textId="77777777" w:rsidR="005A5FCC" w:rsidRDefault="00A21C81">
      <w:r>
        <w:rPr>
          <w:rFonts w:cs="EB Garamond"/>
          <w:kern w:val="16"/>
          <w14:ligatures w14:val="standardContextual"/>
        </w:rPr>
        <w:t xml:space="preserve"> distinção entre o BPC/LOAS e a aposentadoria da PcD (LC 142/2013) é decisiva para a orientação do cliente nos JEFs. Ambos os benefícios atendem pessoas com deficiência, mas com naturezas e consequências distintas (para o tratamento completo do BPC, v. Cap. 18).</w:t>
      </w:r>
    </w:p>
    <w:p w14:paraId="6A0FCC6A" w14:textId="77777777" w:rsidR="005A5FCC" w:rsidRDefault="00A21C81">
      <w:pPr>
        <w:spacing w:before="260" w:after="80" w:line="240" w:lineRule="auto"/>
        <w:jc w:val="left"/>
      </w:pPr>
      <w:r>
        <w:rPr>
          <w:rFonts w:cs="EB Garamond"/>
          <w:b/>
          <w:color w:val="3A3128"/>
          <w:kern w:val="16"/>
          <w:sz w:val="25"/>
          <w14:ligatures w14:val="standardContextual"/>
        </w:rPr>
        <w:t>12.14.1 Comparativo estrutural</w:t>
      </w:r>
    </w:p>
    <w:tbl>
      <w:tblPr>
        <w:tblW w:w="5000" w:type="pct"/>
        <w:jc w:val="center"/>
        <w:tblLook w:val="04A0" w:firstRow="1" w:lastRow="0" w:firstColumn="1" w:lastColumn="0" w:noHBand="0" w:noVBand="1"/>
      </w:tblPr>
      <w:tblGrid>
        <w:gridCol w:w="2113"/>
        <w:gridCol w:w="2114"/>
        <w:gridCol w:w="2113"/>
      </w:tblGrid>
      <w:tr w:rsidR="005A5FCC" w14:paraId="4851CDE4" w14:textId="77777777">
        <w:trPr>
          <w:tblHeader/>
          <w:jc w:val="center"/>
        </w:trPr>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7B21F03F" w14:textId="77777777" w:rsidR="005A5FCC" w:rsidRDefault="00A21C81">
            <w:pPr>
              <w:spacing w:before="40" w:after="40" w:line="240" w:lineRule="auto"/>
              <w:jc w:val="center"/>
            </w:pPr>
            <w:r>
              <w:rPr>
                <w:rFonts w:cs="EB Garamond"/>
                <w:b/>
                <w:color w:val="2F2923"/>
                <w:kern w:val="16"/>
                <w:sz w:val="18"/>
                <w14:ligatures w14:val="standardContextual"/>
              </w:rPr>
              <w:t>Aspecto</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600A96BF" w14:textId="77777777" w:rsidR="005A5FCC" w:rsidRDefault="00A21C81">
            <w:pPr>
              <w:spacing w:before="40" w:after="40" w:line="240" w:lineRule="auto"/>
              <w:jc w:val="center"/>
            </w:pPr>
            <w:r>
              <w:rPr>
                <w:rFonts w:cs="EB Garamond"/>
                <w:b/>
                <w:color w:val="2F2923"/>
                <w:kern w:val="16"/>
                <w:sz w:val="18"/>
                <w14:ligatures w14:val="standardContextual"/>
              </w:rPr>
              <w:t>BPC/LOAS (Cap. 18)</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114612F4" w14:textId="77777777" w:rsidR="005A5FCC" w:rsidRDefault="00A21C81">
            <w:pPr>
              <w:spacing w:before="40" w:after="40" w:line="240" w:lineRule="auto"/>
              <w:jc w:val="center"/>
            </w:pPr>
            <w:r>
              <w:rPr>
                <w:rFonts w:cs="EB Garamond"/>
                <w:b/>
                <w:color w:val="2F2923"/>
                <w:kern w:val="16"/>
                <w:sz w:val="18"/>
                <w14:ligatures w14:val="standardContextual"/>
              </w:rPr>
              <w:t>Aposentadoria PcD (LC 142)</w:t>
            </w:r>
          </w:p>
        </w:tc>
      </w:tr>
      <w:tr w:rsidR="005A5FCC" w14:paraId="23E92116"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055486F6" w14:textId="77777777" w:rsidR="005A5FCC" w:rsidRDefault="00A21C81">
            <w:pPr>
              <w:spacing w:before="20" w:after="20" w:line="240" w:lineRule="auto"/>
              <w:jc w:val="left"/>
            </w:pPr>
            <w:r>
              <w:rPr>
                <w:rFonts w:cs="EB Garamond"/>
                <w:b/>
                <w:kern w:val="16"/>
                <w:sz w:val="18"/>
                <w14:ligatures w14:val="standardContextual"/>
              </w:rPr>
              <w:t>Natureza jurídica</w:t>
            </w:r>
          </w:p>
        </w:tc>
        <w:tc>
          <w:tcPr>
            <w:tcW w:w="2117" w:type="dxa"/>
            <w:tcBorders>
              <w:top w:val="single" w:sz="4" w:space="0" w:color="D2C9B8"/>
              <w:left w:val="single" w:sz="4" w:space="0" w:color="D2C9B8"/>
              <w:bottom w:val="single" w:sz="4" w:space="0" w:color="D2C9B8"/>
              <w:right w:val="single" w:sz="4" w:space="0" w:color="D2C9B8"/>
            </w:tcBorders>
          </w:tcPr>
          <w:p w14:paraId="16CA4AC2" w14:textId="77777777" w:rsidR="005A5FCC" w:rsidRDefault="00A21C81">
            <w:pPr>
              <w:spacing w:before="20" w:after="20" w:line="240" w:lineRule="auto"/>
              <w:jc w:val="left"/>
            </w:pPr>
            <w:r>
              <w:rPr>
                <w:rFonts w:cs="EB Garamond"/>
                <w:kern w:val="16"/>
                <w:sz w:val="18"/>
                <w14:ligatures w14:val="standardContextual"/>
              </w:rPr>
              <w:t>Assistencial</w:t>
            </w:r>
          </w:p>
        </w:tc>
        <w:tc>
          <w:tcPr>
            <w:tcW w:w="2117" w:type="dxa"/>
            <w:tcBorders>
              <w:top w:val="single" w:sz="4" w:space="0" w:color="D2C9B8"/>
              <w:left w:val="single" w:sz="4" w:space="0" w:color="D2C9B8"/>
              <w:bottom w:val="single" w:sz="4" w:space="0" w:color="D2C9B8"/>
              <w:right w:val="single" w:sz="4" w:space="0" w:color="D2C9B8"/>
            </w:tcBorders>
          </w:tcPr>
          <w:p w14:paraId="69A2C193" w14:textId="77777777" w:rsidR="005A5FCC" w:rsidRDefault="00A21C81">
            <w:pPr>
              <w:spacing w:before="20" w:after="20" w:line="240" w:lineRule="auto"/>
              <w:jc w:val="left"/>
            </w:pPr>
            <w:r>
              <w:rPr>
                <w:rFonts w:cs="EB Garamond"/>
                <w:kern w:val="16"/>
                <w:sz w:val="18"/>
                <w14:ligatures w14:val="standardContextual"/>
              </w:rPr>
              <w:t>Previdenciário</w:t>
            </w:r>
          </w:p>
        </w:tc>
      </w:tr>
      <w:tr w:rsidR="005A5FCC" w14:paraId="70BE03E5"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41A7060F" w14:textId="77777777" w:rsidR="005A5FCC" w:rsidRDefault="00A21C81">
            <w:pPr>
              <w:spacing w:before="20" w:after="20" w:line="240" w:lineRule="auto"/>
              <w:jc w:val="left"/>
            </w:pPr>
            <w:r>
              <w:rPr>
                <w:rFonts w:cs="EB Garamond"/>
                <w:b/>
                <w:kern w:val="16"/>
                <w:sz w:val="18"/>
                <w14:ligatures w14:val="standardContextual"/>
              </w:rPr>
              <w:t>Requisito de contribuição</w:t>
            </w:r>
          </w:p>
        </w:tc>
        <w:tc>
          <w:tcPr>
            <w:tcW w:w="2117" w:type="dxa"/>
            <w:tcBorders>
              <w:top w:val="single" w:sz="4" w:space="0" w:color="D2C9B8"/>
              <w:left w:val="single" w:sz="4" w:space="0" w:color="D2C9B8"/>
              <w:bottom w:val="single" w:sz="4" w:space="0" w:color="D2C9B8"/>
              <w:right w:val="single" w:sz="4" w:space="0" w:color="D2C9B8"/>
            </w:tcBorders>
          </w:tcPr>
          <w:p w14:paraId="3FA048B6" w14:textId="77777777" w:rsidR="005A5FCC" w:rsidRDefault="00A21C81">
            <w:pPr>
              <w:spacing w:before="20" w:after="20" w:line="240" w:lineRule="auto"/>
              <w:jc w:val="left"/>
            </w:pPr>
            <w:r>
              <w:rPr>
                <w:rFonts w:cs="EB Garamond"/>
                <w:kern w:val="16"/>
                <w:sz w:val="18"/>
                <w14:ligatures w14:val="standardContextual"/>
              </w:rPr>
              <w:t>NÃO (não contributivo)</w:t>
            </w:r>
          </w:p>
        </w:tc>
        <w:tc>
          <w:tcPr>
            <w:tcW w:w="2117" w:type="dxa"/>
            <w:tcBorders>
              <w:top w:val="single" w:sz="4" w:space="0" w:color="D2C9B8"/>
              <w:left w:val="single" w:sz="4" w:space="0" w:color="D2C9B8"/>
              <w:bottom w:val="single" w:sz="4" w:space="0" w:color="D2C9B8"/>
              <w:right w:val="single" w:sz="4" w:space="0" w:color="D2C9B8"/>
            </w:tcBorders>
          </w:tcPr>
          <w:p w14:paraId="0312511A" w14:textId="77777777" w:rsidR="005A5FCC" w:rsidRDefault="00A21C81">
            <w:pPr>
              <w:spacing w:before="20" w:after="20" w:line="240" w:lineRule="auto"/>
              <w:jc w:val="left"/>
            </w:pPr>
            <w:r>
              <w:rPr>
                <w:rFonts w:cs="EB Garamond"/>
                <w:kern w:val="16"/>
                <w:sz w:val="18"/>
                <w14:ligatures w14:val="standardContextual"/>
              </w:rPr>
              <w:t>SIM (carência de 180 meses ou 15 anos para idade)</w:t>
            </w:r>
          </w:p>
        </w:tc>
      </w:tr>
      <w:tr w:rsidR="005A5FCC" w14:paraId="7ED35DD6"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44A863E7" w14:textId="77777777" w:rsidR="005A5FCC" w:rsidRDefault="00A21C81">
            <w:pPr>
              <w:spacing w:before="20" w:after="20" w:line="240" w:lineRule="auto"/>
              <w:jc w:val="left"/>
            </w:pPr>
            <w:r>
              <w:rPr>
                <w:rFonts w:cs="EB Garamond"/>
                <w:b/>
                <w:kern w:val="16"/>
                <w:sz w:val="18"/>
                <w14:ligatures w14:val="standardContextual"/>
              </w:rPr>
              <w:t>Requisito de miserabilidade</w:t>
            </w:r>
          </w:p>
        </w:tc>
        <w:tc>
          <w:tcPr>
            <w:tcW w:w="2117" w:type="dxa"/>
            <w:tcBorders>
              <w:top w:val="single" w:sz="4" w:space="0" w:color="D2C9B8"/>
              <w:left w:val="single" w:sz="4" w:space="0" w:color="D2C9B8"/>
              <w:bottom w:val="single" w:sz="4" w:space="0" w:color="D2C9B8"/>
              <w:right w:val="single" w:sz="4" w:space="0" w:color="D2C9B8"/>
            </w:tcBorders>
          </w:tcPr>
          <w:p w14:paraId="0B0D5B21" w14:textId="77777777" w:rsidR="005A5FCC" w:rsidRDefault="00A21C81">
            <w:pPr>
              <w:spacing w:before="20" w:after="20" w:line="240" w:lineRule="auto"/>
              <w:jc w:val="left"/>
            </w:pPr>
            <w:r>
              <w:rPr>
                <w:rFonts w:cs="EB Garamond"/>
                <w:kern w:val="16"/>
                <w:sz w:val="18"/>
                <w14:ligatures w14:val="standardContextual"/>
              </w:rPr>
              <w:t>SIM (renda per capita ≤ 1/4 SM)</w:t>
            </w:r>
          </w:p>
        </w:tc>
        <w:tc>
          <w:tcPr>
            <w:tcW w:w="2117" w:type="dxa"/>
            <w:tcBorders>
              <w:top w:val="single" w:sz="4" w:space="0" w:color="D2C9B8"/>
              <w:left w:val="single" w:sz="4" w:space="0" w:color="D2C9B8"/>
              <w:bottom w:val="single" w:sz="4" w:space="0" w:color="D2C9B8"/>
              <w:right w:val="single" w:sz="4" w:space="0" w:color="D2C9B8"/>
            </w:tcBorders>
          </w:tcPr>
          <w:p w14:paraId="1A6DBC09" w14:textId="77777777" w:rsidR="005A5FCC" w:rsidRDefault="00A21C81">
            <w:pPr>
              <w:spacing w:before="20" w:after="20" w:line="240" w:lineRule="auto"/>
              <w:jc w:val="left"/>
            </w:pPr>
            <w:r>
              <w:rPr>
                <w:rFonts w:cs="EB Garamond"/>
                <w:kern w:val="16"/>
                <w:sz w:val="18"/>
                <w14:ligatures w14:val="standardContextual"/>
              </w:rPr>
              <w:t>NÃO</w:t>
            </w:r>
          </w:p>
        </w:tc>
      </w:tr>
      <w:tr w:rsidR="005A5FCC" w14:paraId="323AA481"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0DC3E045" w14:textId="77777777" w:rsidR="005A5FCC" w:rsidRDefault="00A21C81">
            <w:pPr>
              <w:spacing w:before="20" w:after="20" w:line="240" w:lineRule="auto"/>
              <w:jc w:val="left"/>
            </w:pPr>
            <w:r>
              <w:rPr>
                <w:rFonts w:cs="EB Garamond"/>
                <w:b/>
                <w:kern w:val="16"/>
                <w:sz w:val="18"/>
                <w14:ligatures w14:val="standardContextual"/>
              </w:rPr>
              <w:t>Idade mínima</w:t>
            </w:r>
          </w:p>
        </w:tc>
        <w:tc>
          <w:tcPr>
            <w:tcW w:w="2117" w:type="dxa"/>
            <w:tcBorders>
              <w:top w:val="single" w:sz="4" w:space="0" w:color="D2C9B8"/>
              <w:left w:val="single" w:sz="4" w:space="0" w:color="D2C9B8"/>
              <w:bottom w:val="single" w:sz="4" w:space="0" w:color="D2C9B8"/>
              <w:right w:val="single" w:sz="4" w:space="0" w:color="D2C9B8"/>
            </w:tcBorders>
          </w:tcPr>
          <w:p w14:paraId="2E7F5E8E" w14:textId="77777777" w:rsidR="005A5FCC" w:rsidRDefault="00A21C81">
            <w:pPr>
              <w:spacing w:before="20" w:after="20" w:line="240" w:lineRule="auto"/>
              <w:jc w:val="left"/>
            </w:pPr>
            <w:r>
              <w:rPr>
                <w:rFonts w:cs="EB Garamond"/>
                <w:kern w:val="16"/>
                <w:sz w:val="18"/>
                <w14:ligatures w14:val="standardContextual"/>
              </w:rPr>
              <w:t>Não (deficiência)</w:t>
            </w:r>
          </w:p>
        </w:tc>
        <w:tc>
          <w:tcPr>
            <w:tcW w:w="2117" w:type="dxa"/>
            <w:tcBorders>
              <w:top w:val="single" w:sz="4" w:space="0" w:color="D2C9B8"/>
              <w:left w:val="single" w:sz="4" w:space="0" w:color="D2C9B8"/>
              <w:bottom w:val="single" w:sz="4" w:space="0" w:color="D2C9B8"/>
              <w:right w:val="single" w:sz="4" w:space="0" w:color="D2C9B8"/>
            </w:tcBorders>
          </w:tcPr>
          <w:p w14:paraId="675B3CDC" w14:textId="77777777" w:rsidR="005A5FCC" w:rsidRDefault="00A21C81">
            <w:pPr>
              <w:spacing w:before="20" w:after="20" w:line="240" w:lineRule="auto"/>
              <w:jc w:val="left"/>
            </w:pPr>
            <w:r>
              <w:rPr>
                <w:rFonts w:cs="EB Garamond"/>
                <w:kern w:val="16"/>
                <w:sz w:val="18"/>
                <w14:ligatures w14:val="standardContextual"/>
              </w:rPr>
              <w:t>60H/55M (idade) ou sem idade (TC)</w:t>
            </w:r>
          </w:p>
        </w:tc>
      </w:tr>
      <w:tr w:rsidR="005A5FCC" w14:paraId="6E14471B"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0EC5C7E0" w14:textId="77777777" w:rsidR="005A5FCC" w:rsidRDefault="00A21C81">
            <w:pPr>
              <w:spacing w:before="20" w:after="20" w:line="240" w:lineRule="auto"/>
              <w:jc w:val="left"/>
            </w:pPr>
            <w:r>
              <w:rPr>
                <w:rFonts w:cs="EB Garamond"/>
                <w:b/>
                <w:kern w:val="16"/>
                <w:sz w:val="18"/>
                <w14:ligatures w14:val="standardContextual"/>
              </w:rPr>
              <w:t>Valor mensal</w:t>
            </w:r>
          </w:p>
        </w:tc>
        <w:tc>
          <w:tcPr>
            <w:tcW w:w="2117" w:type="dxa"/>
            <w:tcBorders>
              <w:top w:val="single" w:sz="4" w:space="0" w:color="D2C9B8"/>
              <w:left w:val="single" w:sz="4" w:space="0" w:color="D2C9B8"/>
              <w:bottom w:val="single" w:sz="4" w:space="0" w:color="D2C9B8"/>
              <w:right w:val="single" w:sz="4" w:space="0" w:color="D2C9B8"/>
            </w:tcBorders>
          </w:tcPr>
          <w:p w14:paraId="54919C23" w14:textId="77777777" w:rsidR="005A5FCC" w:rsidRDefault="00A21C81">
            <w:pPr>
              <w:spacing w:before="20" w:after="20" w:line="240" w:lineRule="auto"/>
              <w:jc w:val="left"/>
            </w:pPr>
            <w:r>
              <w:rPr>
                <w:rFonts w:cs="EB Garamond"/>
                <w:kern w:val="16"/>
                <w:sz w:val="18"/>
                <w14:ligatures w14:val="standardContextual"/>
              </w:rPr>
              <w:t>1 SM fixo (R$ 1.621,00 em 2026*)</w:t>
            </w:r>
          </w:p>
        </w:tc>
        <w:tc>
          <w:tcPr>
            <w:tcW w:w="2117" w:type="dxa"/>
            <w:tcBorders>
              <w:top w:val="single" w:sz="4" w:space="0" w:color="D2C9B8"/>
              <w:left w:val="single" w:sz="4" w:space="0" w:color="D2C9B8"/>
              <w:bottom w:val="single" w:sz="4" w:space="0" w:color="D2C9B8"/>
              <w:right w:val="single" w:sz="4" w:space="0" w:color="D2C9B8"/>
            </w:tcBorders>
          </w:tcPr>
          <w:p w14:paraId="711FDAA8" w14:textId="77777777" w:rsidR="005A5FCC" w:rsidRDefault="00A21C81">
            <w:pPr>
              <w:spacing w:before="20" w:after="20" w:line="240" w:lineRule="auto"/>
              <w:jc w:val="left"/>
            </w:pPr>
            <w:r>
              <w:rPr>
                <w:rFonts w:cs="EB Garamond"/>
                <w:kern w:val="16"/>
                <w:sz w:val="18"/>
                <w14:ligatures w14:val="standardContextual"/>
              </w:rPr>
              <w:t>70% a 100% do SB (pode ser &gt; 1 SM)</w:t>
            </w:r>
          </w:p>
        </w:tc>
      </w:tr>
      <w:tr w:rsidR="005A5FCC" w14:paraId="720B07F5"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1AF8BC30" w14:textId="77777777" w:rsidR="005A5FCC" w:rsidRDefault="00A21C81">
            <w:pPr>
              <w:spacing w:before="20" w:after="20" w:line="240" w:lineRule="auto"/>
              <w:jc w:val="left"/>
            </w:pPr>
            <w:r>
              <w:rPr>
                <w:rFonts w:cs="EB Garamond"/>
                <w:b/>
                <w:kern w:val="16"/>
                <w:sz w:val="18"/>
                <w14:ligatures w14:val="standardContextual"/>
              </w:rPr>
              <w:lastRenderedPageBreak/>
              <w:t>13º salário</w:t>
            </w:r>
          </w:p>
        </w:tc>
        <w:tc>
          <w:tcPr>
            <w:tcW w:w="2117" w:type="dxa"/>
            <w:tcBorders>
              <w:top w:val="single" w:sz="4" w:space="0" w:color="D2C9B8"/>
              <w:left w:val="single" w:sz="4" w:space="0" w:color="D2C9B8"/>
              <w:bottom w:val="single" w:sz="4" w:space="0" w:color="D2C9B8"/>
              <w:right w:val="single" w:sz="4" w:space="0" w:color="D2C9B8"/>
            </w:tcBorders>
          </w:tcPr>
          <w:p w14:paraId="53584E22" w14:textId="77777777" w:rsidR="005A5FCC" w:rsidRDefault="00A21C81">
            <w:pPr>
              <w:spacing w:before="20" w:after="20" w:line="240" w:lineRule="auto"/>
              <w:jc w:val="left"/>
            </w:pPr>
            <w:r>
              <w:rPr>
                <w:rFonts w:cs="EB Garamond"/>
                <w:kern w:val="16"/>
                <w:sz w:val="18"/>
                <w14:ligatures w14:val="standardContextual"/>
              </w:rPr>
              <w:t>NÃO</w:t>
            </w:r>
          </w:p>
        </w:tc>
        <w:tc>
          <w:tcPr>
            <w:tcW w:w="2117" w:type="dxa"/>
            <w:tcBorders>
              <w:top w:val="single" w:sz="4" w:space="0" w:color="D2C9B8"/>
              <w:left w:val="single" w:sz="4" w:space="0" w:color="D2C9B8"/>
              <w:bottom w:val="single" w:sz="4" w:space="0" w:color="D2C9B8"/>
              <w:right w:val="single" w:sz="4" w:space="0" w:color="D2C9B8"/>
            </w:tcBorders>
          </w:tcPr>
          <w:p w14:paraId="7DBA603D" w14:textId="77777777" w:rsidR="005A5FCC" w:rsidRDefault="00A21C81">
            <w:pPr>
              <w:spacing w:before="20" w:after="20" w:line="240" w:lineRule="auto"/>
              <w:jc w:val="left"/>
            </w:pPr>
            <w:r>
              <w:rPr>
                <w:rFonts w:cs="EB Garamond"/>
                <w:kern w:val="16"/>
                <w:sz w:val="18"/>
                <w14:ligatures w14:val="standardContextual"/>
              </w:rPr>
              <w:t>SIM</w:t>
            </w:r>
          </w:p>
        </w:tc>
      </w:tr>
      <w:tr w:rsidR="005A5FCC" w14:paraId="4BEF656E"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2C3D2F53" w14:textId="77777777" w:rsidR="005A5FCC" w:rsidRDefault="00A21C81">
            <w:pPr>
              <w:spacing w:before="20" w:after="20" w:line="240" w:lineRule="auto"/>
              <w:jc w:val="left"/>
            </w:pPr>
            <w:r>
              <w:rPr>
                <w:rFonts w:cs="EB Garamond"/>
                <w:b/>
                <w:kern w:val="16"/>
                <w:sz w:val="18"/>
                <w14:ligatures w14:val="standardContextual"/>
              </w:rPr>
              <w:t>Pensão por morte</w:t>
            </w:r>
          </w:p>
        </w:tc>
        <w:tc>
          <w:tcPr>
            <w:tcW w:w="2117" w:type="dxa"/>
            <w:tcBorders>
              <w:top w:val="single" w:sz="4" w:space="0" w:color="D2C9B8"/>
              <w:left w:val="single" w:sz="4" w:space="0" w:color="D2C9B8"/>
              <w:bottom w:val="single" w:sz="4" w:space="0" w:color="D2C9B8"/>
              <w:right w:val="single" w:sz="4" w:space="0" w:color="D2C9B8"/>
            </w:tcBorders>
          </w:tcPr>
          <w:p w14:paraId="424D5D97" w14:textId="77777777" w:rsidR="005A5FCC" w:rsidRDefault="00A21C81">
            <w:pPr>
              <w:spacing w:before="20" w:after="20" w:line="240" w:lineRule="auto"/>
              <w:jc w:val="left"/>
            </w:pPr>
            <w:r>
              <w:rPr>
                <w:rFonts w:cs="EB Garamond"/>
                <w:kern w:val="16"/>
                <w:sz w:val="18"/>
                <w14:ligatures w14:val="standardContextual"/>
              </w:rPr>
              <w:t>NÃO gera</w:t>
            </w:r>
          </w:p>
        </w:tc>
        <w:tc>
          <w:tcPr>
            <w:tcW w:w="2117" w:type="dxa"/>
            <w:tcBorders>
              <w:top w:val="single" w:sz="4" w:space="0" w:color="D2C9B8"/>
              <w:left w:val="single" w:sz="4" w:space="0" w:color="D2C9B8"/>
              <w:bottom w:val="single" w:sz="4" w:space="0" w:color="D2C9B8"/>
              <w:right w:val="single" w:sz="4" w:space="0" w:color="D2C9B8"/>
            </w:tcBorders>
          </w:tcPr>
          <w:p w14:paraId="2D0C4CEA" w14:textId="77777777" w:rsidR="005A5FCC" w:rsidRDefault="00A21C81">
            <w:pPr>
              <w:spacing w:before="20" w:after="20" w:line="240" w:lineRule="auto"/>
              <w:jc w:val="left"/>
            </w:pPr>
            <w:r>
              <w:rPr>
                <w:rFonts w:cs="EB Garamond"/>
                <w:kern w:val="16"/>
                <w:sz w:val="18"/>
                <w14:ligatures w14:val="standardContextual"/>
              </w:rPr>
              <w:t>SIM (gera para dependentes)</w:t>
            </w:r>
          </w:p>
        </w:tc>
      </w:tr>
      <w:tr w:rsidR="005A5FCC" w14:paraId="118B7E4A"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3A12FE2F" w14:textId="77777777" w:rsidR="005A5FCC" w:rsidRDefault="00A21C81">
            <w:pPr>
              <w:spacing w:before="20" w:after="20" w:line="240" w:lineRule="auto"/>
              <w:jc w:val="left"/>
            </w:pPr>
            <w:r>
              <w:rPr>
                <w:rFonts w:cs="EB Garamond"/>
                <w:b/>
                <w:kern w:val="16"/>
                <w:sz w:val="18"/>
                <w14:ligatures w14:val="standardContextual"/>
              </w:rPr>
              <w:t>Acumulação</w:t>
            </w:r>
          </w:p>
        </w:tc>
        <w:tc>
          <w:tcPr>
            <w:tcW w:w="2117" w:type="dxa"/>
            <w:tcBorders>
              <w:top w:val="single" w:sz="4" w:space="0" w:color="D2C9B8"/>
              <w:left w:val="single" w:sz="4" w:space="0" w:color="D2C9B8"/>
              <w:bottom w:val="single" w:sz="4" w:space="0" w:color="D2C9B8"/>
              <w:right w:val="single" w:sz="4" w:space="0" w:color="D2C9B8"/>
            </w:tcBorders>
          </w:tcPr>
          <w:p w14:paraId="05AE2705" w14:textId="77777777" w:rsidR="005A5FCC" w:rsidRDefault="00A21C81">
            <w:pPr>
              <w:spacing w:before="20" w:after="20" w:line="240" w:lineRule="auto"/>
              <w:jc w:val="left"/>
            </w:pPr>
            <w:r>
              <w:rPr>
                <w:rFonts w:cs="EB Garamond"/>
                <w:kern w:val="16"/>
                <w:sz w:val="18"/>
                <w14:ligatures w14:val="standardContextual"/>
              </w:rPr>
              <w:t>Vedada com aposentadoria</w:t>
            </w:r>
          </w:p>
        </w:tc>
        <w:tc>
          <w:tcPr>
            <w:tcW w:w="2117" w:type="dxa"/>
            <w:tcBorders>
              <w:top w:val="single" w:sz="4" w:space="0" w:color="D2C9B8"/>
              <w:left w:val="single" w:sz="4" w:space="0" w:color="D2C9B8"/>
              <w:bottom w:val="single" w:sz="4" w:space="0" w:color="D2C9B8"/>
              <w:right w:val="single" w:sz="4" w:space="0" w:color="D2C9B8"/>
            </w:tcBorders>
          </w:tcPr>
          <w:p w14:paraId="051BAB69" w14:textId="77777777" w:rsidR="005A5FCC" w:rsidRDefault="00A21C81">
            <w:pPr>
              <w:spacing w:before="20" w:after="20" w:line="240" w:lineRule="auto"/>
              <w:jc w:val="left"/>
            </w:pPr>
            <w:r>
              <w:rPr>
                <w:rFonts w:cs="EB Garamond"/>
                <w:kern w:val="16"/>
                <w:sz w:val="18"/>
                <w14:ligatures w14:val="standardContextual"/>
              </w:rPr>
              <w:t>Regra geral de cumulação</w:t>
            </w:r>
          </w:p>
        </w:tc>
      </w:tr>
      <w:tr w:rsidR="005A5FCC" w14:paraId="000E5112"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2F7897A1" w14:textId="77777777" w:rsidR="005A5FCC" w:rsidRDefault="00A21C81">
            <w:pPr>
              <w:spacing w:before="20" w:after="20" w:line="240" w:lineRule="auto"/>
              <w:jc w:val="left"/>
            </w:pPr>
            <w:r>
              <w:rPr>
                <w:rFonts w:cs="EB Garamond"/>
                <w:b/>
                <w:kern w:val="16"/>
                <w:sz w:val="18"/>
                <w14:ligatures w14:val="standardContextual"/>
              </w:rPr>
              <w:t>Cessação</w:t>
            </w:r>
          </w:p>
        </w:tc>
        <w:tc>
          <w:tcPr>
            <w:tcW w:w="2117" w:type="dxa"/>
            <w:tcBorders>
              <w:top w:val="single" w:sz="4" w:space="0" w:color="D2C9B8"/>
              <w:left w:val="single" w:sz="4" w:space="0" w:color="D2C9B8"/>
              <w:bottom w:val="single" w:sz="4" w:space="0" w:color="D2C9B8"/>
              <w:right w:val="single" w:sz="4" w:space="0" w:color="D2C9B8"/>
            </w:tcBorders>
          </w:tcPr>
          <w:p w14:paraId="405DBE8D" w14:textId="77777777" w:rsidR="005A5FCC" w:rsidRDefault="00A21C81">
            <w:pPr>
              <w:spacing w:before="20" w:after="20" w:line="240" w:lineRule="auto"/>
              <w:jc w:val="left"/>
            </w:pPr>
            <w:r>
              <w:rPr>
                <w:rFonts w:cs="EB Garamond"/>
                <w:kern w:val="16"/>
                <w:sz w:val="18"/>
                <w14:ligatures w14:val="standardContextual"/>
              </w:rPr>
              <w:t>Sujeita a revisão a cada 2 anos</w:t>
            </w:r>
          </w:p>
        </w:tc>
        <w:tc>
          <w:tcPr>
            <w:tcW w:w="2117" w:type="dxa"/>
            <w:tcBorders>
              <w:top w:val="single" w:sz="4" w:space="0" w:color="D2C9B8"/>
              <w:left w:val="single" w:sz="4" w:space="0" w:color="D2C9B8"/>
              <w:bottom w:val="single" w:sz="4" w:space="0" w:color="D2C9B8"/>
              <w:right w:val="single" w:sz="4" w:space="0" w:color="D2C9B8"/>
            </w:tcBorders>
          </w:tcPr>
          <w:p w14:paraId="6763F080" w14:textId="77777777" w:rsidR="005A5FCC" w:rsidRDefault="00A21C81">
            <w:pPr>
              <w:spacing w:before="20" w:after="20" w:line="240" w:lineRule="auto"/>
              <w:jc w:val="left"/>
            </w:pPr>
            <w:r>
              <w:rPr>
                <w:rFonts w:cs="EB Garamond"/>
                <w:kern w:val="16"/>
                <w:sz w:val="18"/>
                <w14:ligatures w14:val="standardContextual"/>
              </w:rPr>
              <w:t>Definitiva (salvo fraude)</w:t>
            </w:r>
          </w:p>
        </w:tc>
      </w:tr>
      <w:tr w:rsidR="005A5FCC" w14:paraId="505C16F5"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4048C89A" w14:textId="77777777" w:rsidR="005A5FCC" w:rsidRDefault="00A21C81">
            <w:pPr>
              <w:spacing w:before="20" w:after="20" w:line="240" w:lineRule="auto"/>
              <w:jc w:val="left"/>
            </w:pPr>
            <w:r>
              <w:rPr>
                <w:rFonts w:cs="EB Garamond"/>
                <w:b/>
                <w:kern w:val="16"/>
                <w:sz w:val="18"/>
                <w14:ligatures w14:val="standardContextual"/>
              </w:rPr>
              <w:t>Valor patrimonial/familiar</w:t>
            </w:r>
          </w:p>
        </w:tc>
        <w:tc>
          <w:tcPr>
            <w:tcW w:w="2117" w:type="dxa"/>
            <w:tcBorders>
              <w:top w:val="single" w:sz="4" w:space="0" w:color="D2C9B8"/>
              <w:left w:val="single" w:sz="4" w:space="0" w:color="D2C9B8"/>
              <w:bottom w:val="single" w:sz="4" w:space="0" w:color="D2C9B8"/>
              <w:right w:val="single" w:sz="4" w:space="0" w:color="D2C9B8"/>
            </w:tcBorders>
          </w:tcPr>
          <w:p w14:paraId="4344841A" w14:textId="77777777" w:rsidR="005A5FCC" w:rsidRDefault="00A21C81">
            <w:pPr>
              <w:spacing w:before="20" w:after="20" w:line="240" w:lineRule="auto"/>
              <w:jc w:val="left"/>
            </w:pPr>
            <w:r>
              <w:rPr>
                <w:rFonts w:cs="EB Garamond"/>
                <w:kern w:val="16"/>
                <w:sz w:val="18"/>
                <w14:ligatures w14:val="standardContextual"/>
              </w:rPr>
              <w:t>Limitado a 1 SM vitalício</w:t>
            </w:r>
          </w:p>
        </w:tc>
        <w:tc>
          <w:tcPr>
            <w:tcW w:w="2117" w:type="dxa"/>
            <w:tcBorders>
              <w:top w:val="single" w:sz="4" w:space="0" w:color="D2C9B8"/>
              <w:left w:val="single" w:sz="4" w:space="0" w:color="D2C9B8"/>
              <w:bottom w:val="single" w:sz="4" w:space="0" w:color="D2C9B8"/>
              <w:right w:val="single" w:sz="4" w:space="0" w:color="D2C9B8"/>
            </w:tcBorders>
          </w:tcPr>
          <w:p w14:paraId="368CBDDA" w14:textId="77777777" w:rsidR="005A5FCC" w:rsidRDefault="00A21C81">
            <w:pPr>
              <w:spacing w:before="20" w:after="20" w:line="240" w:lineRule="auto"/>
              <w:jc w:val="left"/>
            </w:pPr>
            <w:r>
              <w:rPr>
                <w:rFonts w:cs="EB Garamond"/>
                <w:kern w:val="16"/>
                <w:sz w:val="18"/>
                <w14:ligatures w14:val="standardContextual"/>
              </w:rPr>
              <w:t>Potencialmente superior + pensão</w:t>
            </w:r>
          </w:p>
        </w:tc>
      </w:tr>
    </w:tbl>
    <w:p w14:paraId="77E988C5" w14:textId="77777777" w:rsidR="005A5FCC" w:rsidRDefault="005A5FCC">
      <w:pPr>
        <w:spacing w:after="80" w:line="240" w:lineRule="auto"/>
      </w:pPr>
    </w:p>
    <w:p w14:paraId="5530F09D" w14:textId="77777777" w:rsidR="005A5FCC" w:rsidRDefault="00A21C81">
      <w:pPr>
        <w:spacing w:before="260" w:after="80" w:line="240" w:lineRule="auto"/>
        <w:jc w:val="left"/>
      </w:pPr>
      <w:r>
        <w:rPr>
          <w:rFonts w:cs="EB Garamond"/>
          <w:b/>
          <w:color w:val="3A3128"/>
          <w:kern w:val="16"/>
          <w:sz w:val="25"/>
          <w14:ligatures w14:val="standardContextual"/>
        </w:rPr>
        <w:t>12.14.2 Critérios de escolha</w:t>
      </w:r>
    </w:p>
    <w:p w14:paraId="518BAB6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763B4543" w14:textId="77777777" w:rsidR="005A5FCC" w:rsidRDefault="00A21C81">
      <w:r>
        <w:rPr>
          <w:rFonts w:cs="EB Garamond"/>
          <w:kern w:val="16"/>
          <w14:ligatures w14:val="standardContextual"/>
        </w:rPr>
        <w:t xml:space="preserve"> escolha entre BPC e aposentadoria da PcD depende da situação concreta do segurado:</w:t>
      </w:r>
    </w:p>
    <w:p w14:paraId="5ADD1A0B" w14:textId="77777777" w:rsidR="005A5FCC" w:rsidRDefault="00A21C81">
      <w:pPr>
        <w:ind w:firstLine="238"/>
      </w:pPr>
      <w:r>
        <w:rPr>
          <w:rFonts w:cs="EB Garamond"/>
          <w:b/>
          <w:kern w:val="16"/>
          <w14:ligatures w14:val="standardContextual"/>
        </w:rPr>
        <w:t>Quando pedir BPC (detalhamento no Cap. 18):</w:t>
      </w:r>
    </w:p>
    <w:p w14:paraId="6F3CF7D4"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Segurado sem contribuições suficientes ou que nunca contribuiu</w:t>
      </w:r>
    </w:p>
    <w:p w14:paraId="10FC6612"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Renda per capita familiar ≤ 1/4 do SM</w:t>
      </w:r>
    </w:p>
    <w:p w14:paraId="3DE4834D" w14:textId="77777777" w:rsidR="005A5FCC" w:rsidRDefault="005A5FCC">
      <w:pPr>
        <w:spacing w:after="60" w:line="240" w:lineRule="auto"/>
      </w:pPr>
    </w:p>
    <w:p w14:paraId="028DF4BF"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Q</w:t>
      </w:r>
    </w:p>
    <w:p w14:paraId="1AF2F9B6" w14:textId="77777777" w:rsidR="005A5FCC" w:rsidRDefault="00A21C81">
      <w:r>
        <w:rPr>
          <w:rFonts w:cs="EB Garamond"/>
          <w:b/>
          <w:kern w:val="16"/>
          <w14:ligatures w14:val="standardContextual"/>
        </w:rPr>
        <w:t>uando pedir aposentadoria PcD (LC 142):</w:t>
      </w:r>
    </w:p>
    <w:p w14:paraId="7662890B"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Segurado com carência cumprida (180 meses para TC; 15 anos para idade)</w:t>
      </w:r>
    </w:p>
    <w:p w14:paraId="3D30583E"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TC suficiente conforme o grau de deficiência</w:t>
      </w:r>
    </w:p>
    <w:p w14:paraId="02B61613"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Renda não é critério (pode ter qualquer renda familiar)</w:t>
      </w:r>
    </w:p>
    <w:p w14:paraId="1E797853"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Benefício potencialmente superior a 1 SM</w:t>
      </w:r>
    </w:p>
    <w:p w14:paraId="3509BC15"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Proteção previdenciária plena (13º salário, pensão por morte para dependentes)</w:t>
      </w:r>
    </w:p>
    <w:p w14:paraId="51813763" w14:textId="77777777" w:rsidR="005A5FCC" w:rsidRDefault="005A5FCC">
      <w:pPr>
        <w:spacing w:after="60" w:line="240" w:lineRule="auto"/>
      </w:pPr>
    </w:p>
    <w:p w14:paraId="6536AEEC"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Q</w:t>
      </w:r>
    </w:p>
    <w:p w14:paraId="7DE18B64" w14:textId="77777777" w:rsidR="005A5FCC" w:rsidRDefault="00A21C81">
      <w:r>
        <w:rPr>
          <w:rFonts w:cs="EB Garamond"/>
          <w:b/>
          <w:kern w:val="16"/>
          <w14:ligatures w14:val="standardContextual"/>
        </w:rPr>
        <w:t>uando há dúvida:</w:t>
      </w:r>
    </w:p>
    <w:p w14:paraId="50AD7E9A"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Pedir ambos (aposentadoria PcD como principal + BPC como subsidiário)</w:t>
      </w:r>
    </w:p>
    <w:p w14:paraId="2ADEBCC7"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A fungibilidade (TNU Tema 217) permite que o juiz conceda o benefício mais adequado</w:t>
      </w:r>
    </w:p>
    <w:p w14:paraId="3DFCE82C" w14:textId="77777777" w:rsidR="005A5FCC" w:rsidRDefault="005A5FCC">
      <w:pPr>
        <w:spacing w:after="60" w:line="240" w:lineRule="auto"/>
      </w:pPr>
    </w:p>
    <w:tbl>
      <w:tblPr>
        <w:tblW w:w="5000" w:type="pct"/>
        <w:jc w:val="center"/>
        <w:tblLayout w:type="fixed"/>
        <w:tblLook w:val="04A0" w:firstRow="1" w:lastRow="0" w:firstColumn="1" w:lastColumn="0" w:noHBand="0" w:noVBand="1"/>
      </w:tblPr>
      <w:tblGrid>
        <w:gridCol w:w="6311"/>
      </w:tblGrid>
      <w:tr w:rsidR="005A5FCC" w14:paraId="250C8C04"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2A63BD92"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4F6C5EDB" w14:textId="77777777" w:rsidR="005A5FCC" w:rsidRDefault="00A21C81">
            <w:pPr>
              <w:spacing w:after="60" w:line="247" w:lineRule="auto"/>
            </w:pPr>
            <w:r>
              <w:rPr>
                <w:rFonts w:cs="EB Garamond"/>
                <w:b/>
                <w:kern w:val="16"/>
                <w:sz w:val="19"/>
                <w14:ligatures w14:val="standardContextual"/>
              </w:rPr>
              <w:t>Fluxograma decisório: BPC ou aposentadoria PcD?</w:t>
            </w:r>
          </w:p>
          <w:p w14:paraId="0B7FE914" w14:textId="77777777" w:rsidR="005A5FCC" w:rsidRDefault="00A21C81">
            <w:pPr>
              <w:spacing w:after="60" w:line="247" w:lineRule="auto"/>
            </w:pPr>
            <w:r>
              <w:rPr>
                <w:rFonts w:cs="EB Garamond"/>
                <w:kern w:val="16"/>
                <w:sz w:val="19"/>
                <w14:ligatures w14:val="standardContextual"/>
              </w:rPr>
              <w:t>1. O segurado TEM contribuições previdenciárias?  - NÃO → Somente BPC (verificar miserabilidade)  - SIM → Prosseguir para 2</w:t>
            </w:r>
          </w:p>
          <w:p w14:paraId="451D5EDC" w14:textId="77777777" w:rsidR="005A5FCC" w:rsidRDefault="00A21C81">
            <w:pPr>
              <w:spacing w:after="60" w:line="247" w:lineRule="auto"/>
            </w:pPr>
            <w:r>
              <w:rPr>
                <w:rFonts w:cs="EB Garamond"/>
                <w:kern w:val="16"/>
                <w:sz w:val="19"/>
                <w14:ligatures w14:val="standardContextual"/>
              </w:rPr>
              <w:t>2. O segurado tem carência suficiente (180 meses TC ou 15 anos idade)?  - NÃO → BPC (se preencher miserabilidade) ou aguardar carência  - SIM → Prosseguir para 3</w:t>
            </w:r>
          </w:p>
          <w:p w14:paraId="12CCF96A" w14:textId="77777777" w:rsidR="005A5FCC" w:rsidRDefault="00A21C81">
            <w:pPr>
              <w:spacing w:after="60" w:line="247" w:lineRule="auto"/>
            </w:pPr>
            <w:r>
              <w:rPr>
                <w:rFonts w:cs="EB Garamond"/>
                <w:kern w:val="16"/>
                <w:sz w:val="19"/>
                <w14:ligatures w14:val="standardContextual"/>
              </w:rPr>
              <w:t>3. O segurado tem TC suficiente conforme o grau (25/29/33H ou 20/24/28M)?  - SIM → Aposentadoria por TC da PcD (sem idade mínima)  - NÃO → Prosseguir para 4</w:t>
            </w:r>
          </w:p>
          <w:p w14:paraId="5C8902AA" w14:textId="77777777" w:rsidR="005A5FCC" w:rsidRDefault="00A21C81">
            <w:pPr>
              <w:spacing w:after="60" w:line="247" w:lineRule="auto"/>
            </w:pPr>
            <w:r>
              <w:rPr>
                <w:rFonts w:cs="EB Garamond"/>
                <w:kern w:val="16"/>
                <w:sz w:val="19"/>
                <w14:ligatures w14:val="standardContextual"/>
              </w:rPr>
              <w:t>4. O segurado tem idade suficiente (60H/55M)?  - SIM → Aposentadoria por idade da PcD (15 anos TC + deficiência)  - NÃO → BPC (se miserabilidade) ou aguardar idade/TC</w:t>
            </w:r>
          </w:p>
          <w:p w14:paraId="0F382594" w14:textId="77777777" w:rsidR="005A5FCC" w:rsidRDefault="00A21C81">
            <w:pPr>
              <w:spacing w:after="30" w:line="240" w:lineRule="auto"/>
              <w:ind w:left="227" w:hanging="142"/>
            </w:pPr>
            <w:r>
              <w:rPr>
                <w:rFonts w:cs="EB Garamond"/>
                <w:kern w:val="16"/>
                <w:sz w:val="19"/>
                <w14:ligatures w14:val="standardContextual"/>
              </w:rPr>
              <w:t>5. Em qualquer caso: avaliar se o BPC é mais imediato (não exige contribuição) e se a aposentadoria é mais vantajosa a longo prazo (13º, pensão por morte, valor potencialmente superior).</w:t>
            </w:r>
          </w:p>
          <w:p w14:paraId="78064EDE" w14:textId="77777777" w:rsidR="005A5FCC" w:rsidRDefault="00A21C81">
            <w:pPr>
              <w:spacing w:after="30" w:line="240" w:lineRule="auto"/>
              <w:ind w:left="227" w:hanging="142"/>
            </w:pPr>
            <w:r>
              <w:rPr>
                <w:rFonts w:cs="EB Garamond"/>
                <w:kern w:val="16"/>
                <w:sz w:val="19"/>
                <w14:ligatures w14:val="standardContextual"/>
              </w:rPr>
              <w:t>6. Em caso de dúvida judicial: pedir aposentadoria PcD + subsidiariamente BPC (fungibilidade, TNU Tema 217).</w:t>
            </w:r>
          </w:p>
        </w:tc>
      </w:tr>
    </w:tbl>
    <w:p w14:paraId="6D64488C" w14:textId="77777777" w:rsidR="005A5FCC" w:rsidRDefault="005A5FCC">
      <w:pPr>
        <w:spacing w:after="80" w:line="240" w:lineRule="auto"/>
      </w:pPr>
    </w:p>
    <w:tbl>
      <w:tblPr>
        <w:tblW w:w="5000" w:type="pct"/>
        <w:jc w:val="center"/>
        <w:tblLayout w:type="fixed"/>
        <w:tblLook w:val="04A0" w:firstRow="1" w:lastRow="0" w:firstColumn="1" w:lastColumn="0" w:noHBand="0" w:noVBand="1"/>
      </w:tblPr>
      <w:tblGrid>
        <w:gridCol w:w="6311"/>
      </w:tblGrid>
      <w:tr w:rsidR="005A5FCC" w14:paraId="0BB728AC"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3B400D8F"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2354F39A" w14:textId="77777777" w:rsidR="005A5FCC" w:rsidRDefault="00A21C81">
            <w:pPr>
              <w:spacing w:after="60" w:line="247" w:lineRule="auto"/>
            </w:pPr>
            <w:r>
              <w:rPr>
                <w:rFonts w:cs="EB Garamond"/>
                <w:b/>
                <w:kern w:val="16"/>
                <w:sz w:val="19"/>
                <w14:ligatures w14:val="standardContextual"/>
              </w:rPr>
              <w:t>O BPC NÃO gera pensão por morte — consequência grave para dependentes</w:t>
            </w:r>
          </w:p>
          <w:p w14:paraId="0D122DD2" w14:textId="77777777" w:rsidR="005A5FCC" w:rsidRDefault="00A21C81">
            <w:pPr>
              <w:spacing w:after="60" w:line="247" w:lineRule="auto"/>
            </w:pPr>
            <w:r>
              <w:rPr>
                <w:rFonts w:cs="EB Garamond"/>
                <w:kern w:val="16"/>
                <w:sz w:val="19"/>
                <w14:ligatures w14:val="standardContextual"/>
              </w:rPr>
              <w:t>Esta é a distinção mais impactante para o planejamento familiar: o segurado que recebe BPC e falece não deixa pensão por morte para seus dependentes. O cônjuge, os filhos menores e demais dependentes não recebem nenhum benefício derivado do BPC.</w:t>
            </w:r>
          </w:p>
          <w:p w14:paraId="0D7480B9" w14:textId="77777777" w:rsidR="005A5FCC" w:rsidRDefault="00A21C81">
            <w:pPr>
              <w:spacing w:after="60" w:line="247" w:lineRule="auto"/>
            </w:pPr>
            <w:r>
              <w:rPr>
                <w:rFonts w:cs="EB Garamond"/>
                <w:kern w:val="16"/>
                <w:sz w:val="19"/>
                <w14:ligatures w14:val="standardContextual"/>
              </w:rPr>
              <w:t>O segurado que se aposenta pela LC 142 e falece gera direito à pensão por morte para seus dependentes, nos termos dos arts. 74 a 79 da Lei 8.213/91 (conforme detalhado no Capítulo 19).</w:t>
            </w:r>
          </w:p>
          <w:p w14:paraId="497AEBDC" w14:textId="77777777" w:rsidR="005A5FCC" w:rsidRDefault="00A21C81">
            <w:pPr>
              <w:spacing w:after="60" w:line="247" w:lineRule="auto"/>
            </w:pPr>
            <w:r>
              <w:rPr>
                <w:rFonts w:cs="EB Garamond"/>
                <w:kern w:val="16"/>
                <w:sz w:val="19"/>
                <w14:ligatures w14:val="standardContextual"/>
              </w:rPr>
              <w:t>Essa diferença deve ser informada ao cliente de forma clara, especialmente quando o segurado com deficiência tem filhos menores ou cônjuge dependente economicamente. A aposentadoria da PcD, mesmo com valor mensal similar ao BPC, oferece proteção previdenciária que o BPC não oferece.</w:t>
            </w:r>
          </w:p>
        </w:tc>
      </w:tr>
    </w:tbl>
    <w:p w14:paraId="0CA0087B" w14:textId="77777777" w:rsidR="005A5FCC" w:rsidRDefault="005A5FCC">
      <w:pPr>
        <w:spacing w:after="80" w:line="240" w:lineRule="auto"/>
      </w:pPr>
    </w:p>
    <w:p w14:paraId="727220C9" w14:textId="02172A2F" w:rsidR="005A5FCC" w:rsidRDefault="00A21C81">
      <w:pPr>
        <w:spacing w:before="260" w:after="80" w:line="240" w:lineRule="auto"/>
        <w:jc w:val="left"/>
      </w:pPr>
      <w:r>
        <w:rPr>
          <w:rFonts w:cs="EB Garamond"/>
          <w:b/>
          <w:color w:val="3A3128"/>
          <w:kern w:val="16"/>
          <w:sz w:val="25"/>
          <w14:ligatures w14:val="standardContextual"/>
        </w:rPr>
        <w:t xml:space="preserve">12.14.3 Fungibilidade: TNU </w:t>
      </w:r>
      <w:r w:rsidR="00BF4A19">
        <w:rPr>
          <w:rFonts w:cs="EB Garamond"/>
          <w:b/>
          <w:color w:val="3A3128"/>
          <w:kern w:val="16"/>
          <w:sz w:val="25"/>
          <w14:ligatures w14:val="standardContextual"/>
        </w:rPr>
        <w:t>T</w:t>
      </w:r>
      <w:r>
        <w:rPr>
          <w:rFonts w:cs="EB Garamond"/>
          <w:b/>
          <w:color w:val="3A3128"/>
          <w:kern w:val="16"/>
          <w:sz w:val="25"/>
          <w14:ligatures w14:val="standardContextual"/>
        </w:rPr>
        <w:t>ema 217</w:t>
      </w:r>
    </w:p>
    <w:p w14:paraId="1F60B183"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5B86B70B" w14:textId="77777777" w:rsidR="005A5FCC" w:rsidRDefault="00A21C81">
      <w:r>
        <w:rPr>
          <w:rFonts w:cs="EB Garamond"/>
          <w:kern w:val="16"/>
          <w14:ligatures w14:val="standardContextual"/>
        </w:rPr>
        <w:t xml:space="preserve"> Tema 217 da TNU consagrou o princípio da fungibilidade entre benefícios previdenciários e assistenciais. A tese firmada reconhece que há fungibilidade entre o BPC/LOAS e os benefícios por incapacidade (auxílio por incapacidade temporária e aposentadoria por incapacidade permanente), permitindo que o juiz conheça de um deles mesmo que o requerimento administrativo verse sobre outro, desde que preenchidos os requisitos legais e garantido o contraditório.</w:t>
      </w:r>
    </w:p>
    <w:p w14:paraId="5A2913A3" w14:textId="77777777" w:rsidR="005A5FCC" w:rsidRDefault="00A21C81">
      <w:pPr>
        <w:ind w:firstLine="238"/>
      </w:pPr>
      <w:r>
        <w:rPr>
          <w:rFonts w:cs="EB Garamond"/>
          <w:kern w:val="16"/>
          <w14:ligatures w14:val="standardContextual"/>
        </w:rPr>
        <w:t>A extensão analógica do Tema 217 à aposentadoria da PcD (LC 142) é admitida pela jurisprudência dos TRFs: se o segurado requereu administrativamente BPC e, no curso do processo judicial, verifica-se que preenche os requisitos da aposentadoria da PcD (ou vice-versa), o juiz pode conceder o benefício mais adequado, sem exigência de novo requerimento administrativo para o benefício diverso. Essa fungibilidade é particularmente relevante nos JEFs, onde o princípio da simplicidade e da celeridade processual justifica a concessão do benefício mais vantajoso sem formalismos excessivos.</w:t>
      </w:r>
    </w:p>
    <w:p w14:paraId="74E32A9B" w14:textId="77777777" w:rsidR="005A5FCC" w:rsidRDefault="00A21C81">
      <w:pPr>
        <w:spacing w:before="260" w:after="80" w:line="240" w:lineRule="auto"/>
        <w:jc w:val="left"/>
      </w:pPr>
      <w:r>
        <w:rPr>
          <w:rFonts w:cs="EB Garamond"/>
          <w:b/>
          <w:color w:val="3A3128"/>
          <w:kern w:val="16"/>
          <w:sz w:val="25"/>
          <w14:ligatures w14:val="standardContextual"/>
        </w:rPr>
        <w:t>12.14.4 Auxílio-inclusão e a transição BPC → trabalho</w:t>
      </w:r>
    </w:p>
    <w:p w14:paraId="49E666B5"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26FF04E6" w14:textId="77777777" w:rsidR="005A5FCC" w:rsidRDefault="00A21C81">
      <w:r>
        <w:rPr>
          <w:rFonts w:cs="EB Garamond"/>
          <w:kern w:val="16"/>
          <w14:ligatures w14:val="standardContextual"/>
        </w:rPr>
        <w:t xml:space="preserve"> auxílio-inclusão (art. 26, LOAS, com redação da Lei n. 14.176/2021) é benefício destinado à PcD que, recebendo BPC, ingressa no mercado de trabalho formal. O auxílio-inclusão equivale a 50% do valor do BPC (R$ 810,50 em 2026*) e pode ser recebido cumulativamente com a remuneração do trabalho, durante o período de emprego formal, como forma de incentivar a inclusão laboral da PcD.</w:t>
      </w:r>
    </w:p>
    <w:p w14:paraId="206BA88C" w14:textId="14043ACB" w:rsidR="005A5FCC" w:rsidRDefault="00A21C81">
      <w:pPr>
        <w:spacing w:after="60" w:line="240" w:lineRule="auto"/>
        <w:jc w:val="left"/>
      </w:pPr>
      <w:r>
        <w:rPr>
          <w:rFonts w:cs="EB Garamond"/>
          <w:i/>
          <w:color w:val="6B6256"/>
          <w:kern w:val="16"/>
          <w:sz w:val="17"/>
          <w14:ligatures w14:val="standardContextual"/>
        </w:rPr>
        <w:t xml:space="preserve">Projeção, calculada como 50% do </w:t>
      </w:r>
      <w:r w:rsidR="00CC2CA9">
        <w:rPr>
          <w:rFonts w:cs="EB Garamond"/>
          <w:i/>
          <w:color w:val="6B6256"/>
          <w:kern w:val="16"/>
          <w:sz w:val="17"/>
          <w14:ligatures w14:val="standardContextual"/>
        </w:rPr>
        <w:t>salário-mínimo</w:t>
      </w:r>
      <w:r>
        <w:rPr>
          <w:rFonts w:cs="EB Garamond"/>
          <w:i/>
          <w:color w:val="6B6256"/>
          <w:kern w:val="16"/>
          <w:sz w:val="17"/>
          <w14:ligatures w14:val="standardContextual"/>
        </w:rPr>
        <w:t xml:space="preserve"> estimado para 2026 (R$ 1.621,00). Valor sujeito a atualização após publicação oficial, em coerência com a nota da seção 12.18.6.</w:t>
      </w:r>
    </w:p>
    <w:p w14:paraId="5D2DD727" w14:textId="77777777" w:rsidR="005A5FCC" w:rsidRDefault="00A21C81">
      <w:pPr>
        <w:ind w:firstLine="238"/>
      </w:pPr>
      <w:r>
        <w:rPr>
          <w:rFonts w:cs="EB Garamond"/>
          <w:kern w:val="16"/>
          <w14:ligatures w14:val="standardContextual"/>
        </w:rPr>
        <w:t xml:space="preserve">A interface entre o auxílio-inclusão e a aposentadoria da PcD é relevante: o segurado PcD que deixou o BPC para trabalhar e recebe auxílio-inclusão está construindo tempo de contribuição que poderá, no futuro, gerar direito à aposentadoria da PcD (LC 142). Se esse segurado acumular TC suficiente conforme </w:t>
      </w:r>
      <w:r>
        <w:rPr>
          <w:rFonts w:cs="EB Garamond"/>
          <w:kern w:val="16"/>
          <w14:ligatures w14:val="standardContextual"/>
        </w:rPr>
        <w:lastRenderedPageBreak/>
        <w:t>seu grau de deficiência, poderá requerer aposentadoria por TC da PcD com coeficiente de 100% do SB — benefício superior ao BPC + auxílio-inclusão em valor e em proteção aos dependentes.</w:t>
      </w:r>
    </w:p>
    <w:p w14:paraId="42A3DA45" w14:textId="77777777" w:rsidR="005A5FCC" w:rsidRDefault="00A21C81">
      <w:pPr>
        <w:ind w:firstLine="238"/>
      </w:pPr>
      <w:r>
        <w:rPr>
          <w:rFonts w:cs="EB Garamond"/>
          <w:kern w:val="16"/>
          <w14:ligatures w14:val="standardContextual"/>
        </w:rPr>
        <w:t>Essa perspectiva de transição BPC → trabalho → aposentadoria PcD deve ser informada ao cliente, pois representa um planejamento previdenciário de longo prazo que pode resultar em proteção social mais ampla e duradoura. O auxílio-inclusão foi detalhado no Capítulo 18, seção 18.14, ao qual se remete para aprofundamento.</w:t>
      </w:r>
    </w:p>
    <w:p w14:paraId="22F96083" w14:textId="77777777" w:rsidR="005A5FCC" w:rsidRDefault="00A21C81">
      <w:pPr>
        <w:spacing w:before="260" w:after="80" w:line="240" w:lineRule="auto"/>
        <w:jc w:val="left"/>
      </w:pPr>
      <w:r>
        <w:rPr>
          <w:rFonts w:cs="EB Garamond"/>
          <w:b/>
          <w:color w:val="3A3128"/>
          <w:kern w:val="16"/>
          <w:sz w:val="25"/>
          <w14:ligatures w14:val="standardContextual"/>
        </w:rPr>
        <w:t>12.14.5 Impacto da escolha para os dependentes: análise patrimonial de longo prazo</w:t>
      </w:r>
    </w:p>
    <w:p w14:paraId="53F8341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73F34087" w14:textId="77777777" w:rsidR="005A5FCC" w:rsidRDefault="00A21C81">
      <w:r>
        <w:rPr>
          <w:rFonts w:cs="EB Garamond"/>
          <w:kern w:val="16"/>
          <w14:ligatures w14:val="standardContextual"/>
        </w:rPr>
        <w:t xml:space="preserve"> escolha entre BPC e aposentadoria da PcD tem impacto patrimonial que ultrapassa a pessoa do segurado e alcança toda a família. Uma análise comparativa simples ilustra a diferença:</w:t>
      </w:r>
    </w:p>
    <w:p w14:paraId="55FF63A4" w14:textId="77777777" w:rsidR="005A5FCC" w:rsidRDefault="00A21C81">
      <w:pPr>
        <w:ind w:firstLine="238"/>
      </w:pPr>
      <w:r>
        <w:rPr>
          <w:rFonts w:cs="EB Garamond"/>
          <w:b/>
          <w:kern w:val="16"/>
          <w14:ligatures w14:val="standardContextual"/>
        </w:rPr>
        <w:t>Cenário 1 — BPC (1 SM):</w:t>
      </w:r>
      <w:r>
        <w:rPr>
          <w:rFonts w:cs="EB Garamond"/>
          <w:kern w:val="16"/>
          <w14:ligatures w14:val="standardContextual"/>
        </w:rPr>
        <w:t xml:space="preserve"> Segurado PcD recebe R$ 1.621,00/mês, sem 13º salário. Ao falecer, os dependentes não recebem pensão por morte. Renda vitalícia líquida anual: R$ 19.452,00.</w:t>
      </w:r>
    </w:p>
    <w:p w14:paraId="419E7A4C" w14:textId="77777777" w:rsidR="005A5FCC" w:rsidRDefault="00A21C81">
      <w:pPr>
        <w:ind w:firstLine="238"/>
      </w:pPr>
      <w:r>
        <w:rPr>
          <w:rFonts w:cs="EB Garamond"/>
          <w:b/>
          <w:kern w:val="16"/>
          <w14:ligatures w14:val="standardContextual"/>
        </w:rPr>
        <w:t>Cenário 2 — Aposentadoria PcD por TC, 100% SB (exemplo R$ 3.500,00):</w:t>
      </w:r>
      <w:r>
        <w:rPr>
          <w:rFonts w:cs="EB Garamond"/>
          <w:kern w:val="16"/>
          <w14:ligatures w14:val="standardContextual"/>
        </w:rPr>
        <w:t xml:space="preserve"> Segurado PcD recebe R$ 3.500,00/mês + 13º salário. Ao falecer, cônjuge e filhos menores recebem pensão por morte (art. 23, EC 103, conforme Cap. 19). Renda vitalícia líquida anual: R$ 45.500,00. Pensão por morte pode ser mantida ao cônjuge por 3 a 20+ anos, conforme idade e tempo de casamento.</w:t>
      </w:r>
    </w:p>
    <w:p w14:paraId="77C688C7" w14:textId="77777777" w:rsidR="005A5FCC" w:rsidRDefault="00A21C81">
      <w:pPr>
        <w:ind w:firstLine="238"/>
      </w:pPr>
      <w:r>
        <w:rPr>
          <w:rFonts w:cs="EB Garamond"/>
          <w:kern w:val="16"/>
          <w14:ligatures w14:val="standardContextual"/>
        </w:rPr>
        <w:t>A diferença anual (R$ 26.048,00) e a proteção dos dependentes (pensão por morte vs. Nenhuma proteção) tornam a aposentadoria da PcD mais vantajosa, por margem considerável, quando o segurado tem contribuições suficientes. A informação ao cliente deve ser clara e incluir a análise do impacto sobre dependentes, especialmente filhos menores.</w:t>
      </w:r>
    </w:p>
    <w:p w14:paraId="167A2BF6"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12.15 Distinção aposentadoria PcD × aposentadoria por incapacidade</w:t>
      </w:r>
    </w:p>
    <w:p w14:paraId="67F544F8"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D</w:t>
      </w:r>
    </w:p>
    <w:p w14:paraId="4763DEAC" w14:textId="77777777" w:rsidR="005A5FCC" w:rsidRDefault="00A21C81">
      <w:r>
        <w:rPr>
          <w:rFonts w:cs="EB Garamond"/>
          <w:kern w:val="16"/>
          <w14:ligatures w14:val="standardContextual"/>
        </w:rPr>
        <w:t>eficiência pressupõe que o segurado trabalha; incapacidade pressupõe que não pode trabalhar. A confusão entre os dois conceitos leva a erros de enquadramento tanto no INSS (que por vezes encaminha a pessoa com deficiência para perícia de incapacidade) quanto em juízo (onde a petição inicial pode confundir os fundamentos dos dois benefícios).</w:t>
      </w:r>
    </w:p>
    <w:p w14:paraId="5D623AA2" w14:textId="77777777" w:rsidR="005A5FCC" w:rsidRDefault="00A21C81">
      <w:pPr>
        <w:spacing w:before="260" w:after="80" w:line="240" w:lineRule="auto"/>
        <w:jc w:val="left"/>
      </w:pPr>
      <w:r>
        <w:rPr>
          <w:rFonts w:cs="EB Garamond"/>
          <w:b/>
          <w:color w:val="3A3128"/>
          <w:kern w:val="16"/>
          <w:sz w:val="25"/>
          <w14:ligatures w14:val="standardContextual"/>
        </w:rPr>
        <w:t>12.15.1 Distinção conceitual</w:t>
      </w:r>
    </w:p>
    <w:p w14:paraId="1C70440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19ED841A" w14:textId="77777777" w:rsidR="005A5FCC" w:rsidRDefault="00A21C81">
      <w:r>
        <w:rPr>
          <w:rFonts w:cs="EB Garamond"/>
          <w:kern w:val="16"/>
          <w14:ligatures w14:val="standardContextual"/>
        </w:rPr>
        <w:t xml:space="preserve"> cerne da distinção reside no pressuposto de cada benefício:</w:t>
      </w:r>
    </w:p>
    <w:p w14:paraId="47F19397" w14:textId="77777777" w:rsidR="005A5FCC" w:rsidRDefault="00A21C81">
      <w:pPr>
        <w:ind w:firstLine="238"/>
      </w:pPr>
      <w:r>
        <w:rPr>
          <w:rFonts w:cs="EB Garamond"/>
          <w:b/>
          <w:kern w:val="16"/>
          <w14:ligatures w14:val="standardContextual"/>
        </w:rPr>
        <w:t>Aposentadoria da PcD (LC 142):</w:t>
      </w:r>
      <w:r>
        <w:rPr>
          <w:rFonts w:cs="EB Garamond"/>
          <w:kern w:val="16"/>
          <w14:ligatures w14:val="standardContextual"/>
        </w:rPr>
        <w:t xml:space="preserve"> pressupõe que o segurado TRABALHA com deficiência. A pessoa com deficiência é trabalhadora — exerce atividade laboral, contribui para o RGPS, constrói tempo de contribuição. O benefício reconhece as barreiras enfrentadas ao longo da vida profissional e compensa o esforço adicional com redução do TC exigido.</w:t>
      </w:r>
    </w:p>
    <w:p w14:paraId="19B7DFE6" w14:textId="77777777" w:rsidR="005A5FCC" w:rsidRDefault="00A21C81">
      <w:pPr>
        <w:ind w:firstLine="238"/>
      </w:pPr>
      <w:r>
        <w:rPr>
          <w:rFonts w:cs="EB Garamond"/>
          <w:b/>
          <w:kern w:val="16"/>
          <w14:ligatures w14:val="standardContextual"/>
        </w:rPr>
        <w:t>Aposentadoria por incapacidade permanente (Cap. 6):</w:t>
      </w:r>
      <w:r>
        <w:rPr>
          <w:rFonts w:cs="EB Garamond"/>
          <w:kern w:val="16"/>
          <w14:ligatures w14:val="standardContextual"/>
        </w:rPr>
        <w:t xml:space="preserve"> pressupõe que o segurado NÃO PODE trabalhar. A pessoa incapaz está privada de sua capacidade laboral, total e permanentemente. O benefício substitui a renda que o segurado não pode mais auferir por conta da incapacidade.</w:t>
      </w:r>
    </w:p>
    <w:p w14:paraId="3E153E71" w14:textId="77777777" w:rsidR="005A5FCC" w:rsidRDefault="00A21C81">
      <w:pPr>
        <w:spacing w:before="260" w:after="80" w:line="240" w:lineRule="auto"/>
        <w:jc w:val="left"/>
      </w:pPr>
      <w:r>
        <w:rPr>
          <w:rFonts w:cs="EB Garamond"/>
          <w:b/>
          <w:color w:val="3A3128"/>
          <w:kern w:val="16"/>
          <w:sz w:val="25"/>
          <w14:ligatures w14:val="standardContextual"/>
        </w:rPr>
        <w:t>12.15.2 Comparativo detalhado</w:t>
      </w:r>
    </w:p>
    <w:tbl>
      <w:tblPr>
        <w:tblW w:w="5000" w:type="pct"/>
        <w:jc w:val="center"/>
        <w:tblLook w:val="04A0" w:firstRow="1" w:lastRow="0" w:firstColumn="1" w:lastColumn="0" w:noHBand="0" w:noVBand="1"/>
      </w:tblPr>
      <w:tblGrid>
        <w:gridCol w:w="2113"/>
        <w:gridCol w:w="2114"/>
        <w:gridCol w:w="2113"/>
      </w:tblGrid>
      <w:tr w:rsidR="005A5FCC" w14:paraId="05BC590B" w14:textId="77777777">
        <w:trPr>
          <w:tblHeader/>
          <w:jc w:val="center"/>
        </w:trPr>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50093E41" w14:textId="77777777" w:rsidR="005A5FCC" w:rsidRDefault="00A21C81">
            <w:pPr>
              <w:spacing w:before="40" w:after="40" w:line="240" w:lineRule="auto"/>
              <w:jc w:val="center"/>
            </w:pPr>
            <w:r>
              <w:rPr>
                <w:rFonts w:cs="EB Garamond"/>
                <w:b/>
                <w:color w:val="2F2923"/>
                <w:kern w:val="16"/>
                <w:sz w:val="18"/>
                <w14:ligatures w14:val="standardContextual"/>
              </w:rPr>
              <w:t>Aspecto</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0DA62F37" w14:textId="77777777" w:rsidR="005A5FCC" w:rsidRDefault="00A21C81">
            <w:pPr>
              <w:spacing w:before="40" w:after="40" w:line="240" w:lineRule="auto"/>
              <w:jc w:val="center"/>
            </w:pPr>
            <w:r>
              <w:rPr>
                <w:rFonts w:cs="EB Garamond"/>
                <w:b/>
                <w:color w:val="2F2923"/>
                <w:kern w:val="16"/>
                <w:sz w:val="18"/>
                <w14:ligatures w14:val="standardContextual"/>
              </w:rPr>
              <w:t>Aposentadoria PcD (LC 142)</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3B6DFE2A" w14:textId="77777777" w:rsidR="005A5FCC" w:rsidRDefault="00A21C81">
            <w:pPr>
              <w:spacing w:before="40" w:after="40" w:line="240" w:lineRule="auto"/>
              <w:jc w:val="center"/>
            </w:pPr>
            <w:r>
              <w:rPr>
                <w:rFonts w:cs="EB Garamond"/>
                <w:b/>
                <w:color w:val="2F2923"/>
                <w:kern w:val="16"/>
                <w:sz w:val="18"/>
                <w14:ligatures w14:val="standardContextual"/>
              </w:rPr>
              <w:t>Aposentadoria por incapacidade (Cap. 6)</w:t>
            </w:r>
          </w:p>
        </w:tc>
      </w:tr>
      <w:tr w:rsidR="005A5FCC" w14:paraId="28740D2F"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25B0AEEC" w14:textId="77777777" w:rsidR="005A5FCC" w:rsidRDefault="00A21C81">
            <w:pPr>
              <w:spacing w:before="20" w:after="20" w:line="240" w:lineRule="auto"/>
              <w:jc w:val="left"/>
            </w:pPr>
            <w:r>
              <w:rPr>
                <w:rFonts w:cs="EB Garamond"/>
                <w:b/>
                <w:kern w:val="16"/>
                <w:sz w:val="18"/>
                <w14:ligatures w14:val="standardContextual"/>
              </w:rPr>
              <w:t>Pressuposto</w:t>
            </w:r>
          </w:p>
        </w:tc>
        <w:tc>
          <w:tcPr>
            <w:tcW w:w="2117" w:type="dxa"/>
            <w:tcBorders>
              <w:top w:val="single" w:sz="4" w:space="0" w:color="D2C9B8"/>
              <w:left w:val="single" w:sz="4" w:space="0" w:color="D2C9B8"/>
              <w:bottom w:val="single" w:sz="4" w:space="0" w:color="D2C9B8"/>
              <w:right w:val="single" w:sz="4" w:space="0" w:color="D2C9B8"/>
            </w:tcBorders>
          </w:tcPr>
          <w:p w14:paraId="063368DB" w14:textId="77777777" w:rsidR="005A5FCC" w:rsidRDefault="00A21C81">
            <w:pPr>
              <w:spacing w:before="20" w:after="20" w:line="240" w:lineRule="auto"/>
              <w:jc w:val="left"/>
            </w:pPr>
            <w:r>
              <w:rPr>
                <w:rFonts w:cs="EB Garamond"/>
                <w:kern w:val="16"/>
                <w:sz w:val="18"/>
                <w14:ligatures w14:val="standardContextual"/>
              </w:rPr>
              <w:t>O segurado TRABALHA com deficiência</w:t>
            </w:r>
          </w:p>
        </w:tc>
        <w:tc>
          <w:tcPr>
            <w:tcW w:w="2117" w:type="dxa"/>
            <w:tcBorders>
              <w:top w:val="single" w:sz="4" w:space="0" w:color="D2C9B8"/>
              <w:left w:val="single" w:sz="4" w:space="0" w:color="D2C9B8"/>
              <w:bottom w:val="single" w:sz="4" w:space="0" w:color="D2C9B8"/>
              <w:right w:val="single" w:sz="4" w:space="0" w:color="D2C9B8"/>
            </w:tcBorders>
          </w:tcPr>
          <w:p w14:paraId="7D4A5A38" w14:textId="77777777" w:rsidR="005A5FCC" w:rsidRDefault="00A21C81">
            <w:pPr>
              <w:spacing w:before="20" w:after="20" w:line="240" w:lineRule="auto"/>
              <w:jc w:val="left"/>
            </w:pPr>
            <w:r>
              <w:rPr>
                <w:rFonts w:cs="EB Garamond"/>
                <w:kern w:val="16"/>
                <w:sz w:val="18"/>
                <w14:ligatures w14:val="standardContextual"/>
              </w:rPr>
              <w:t>O segurado NÃO PODE trabalhar</w:t>
            </w:r>
          </w:p>
        </w:tc>
      </w:tr>
      <w:tr w:rsidR="005A5FCC" w14:paraId="5DBC8246"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072A7ADA" w14:textId="77777777" w:rsidR="005A5FCC" w:rsidRDefault="00A21C81">
            <w:pPr>
              <w:spacing w:before="20" w:after="20" w:line="240" w:lineRule="auto"/>
              <w:jc w:val="left"/>
            </w:pPr>
            <w:r>
              <w:rPr>
                <w:rFonts w:cs="EB Garamond"/>
                <w:b/>
                <w:kern w:val="16"/>
                <w:sz w:val="18"/>
                <w14:ligatures w14:val="standardContextual"/>
              </w:rPr>
              <w:t>Causa</w:t>
            </w:r>
          </w:p>
        </w:tc>
        <w:tc>
          <w:tcPr>
            <w:tcW w:w="2117" w:type="dxa"/>
            <w:tcBorders>
              <w:top w:val="single" w:sz="4" w:space="0" w:color="D2C9B8"/>
              <w:left w:val="single" w:sz="4" w:space="0" w:color="D2C9B8"/>
              <w:bottom w:val="single" w:sz="4" w:space="0" w:color="D2C9B8"/>
              <w:right w:val="single" w:sz="4" w:space="0" w:color="D2C9B8"/>
            </w:tcBorders>
          </w:tcPr>
          <w:p w14:paraId="03B7A835" w14:textId="77777777" w:rsidR="005A5FCC" w:rsidRDefault="00A21C81">
            <w:pPr>
              <w:spacing w:before="20" w:after="20" w:line="240" w:lineRule="auto"/>
              <w:jc w:val="left"/>
            </w:pPr>
            <w:r>
              <w:rPr>
                <w:rFonts w:cs="EB Garamond"/>
                <w:kern w:val="16"/>
                <w:sz w:val="18"/>
                <w14:ligatures w14:val="standardContextual"/>
              </w:rPr>
              <w:t>Impedimento funcional (deficiência)</w:t>
            </w:r>
          </w:p>
        </w:tc>
        <w:tc>
          <w:tcPr>
            <w:tcW w:w="2117" w:type="dxa"/>
            <w:tcBorders>
              <w:top w:val="single" w:sz="4" w:space="0" w:color="D2C9B8"/>
              <w:left w:val="single" w:sz="4" w:space="0" w:color="D2C9B8"/>
              <w:bottom w:val="single" w:sz="4" w:space="0" w:color="D2C9B8"/>
              <w:right w:val="single" w:sz="4" w:space="0" w:color="D2C9B8"/>
            </w:tcBorders>
          </w:tcPr>
          <w:p w14:paraId="37BCB6C5" w14:textId="77777777" w:rsidR="005A5FCC" w:rsidRDefault="00A21C81">
            <w:pPr>
              <w:spacing w:before="20" w:after="20" w:line="240" w:lineRule="auto"/>
              <w:jc w:val="left"/>
            </w:pPr>
            <w:r>
              <w:rPr>
                <w:rFonts w:cs="EB Garamond"/>
                <w:kern w:val="16"/>
                <w:sz w:val="18"/>
                <w14:ligatures w14:val="standardContextual"/>
              </w:rPr>
              <w:t>Impossibilidade laboral (incapacidade)</w:t>
            </w:r>
          </w:p>
        </w:tc>
      </w:tr>
      <w:tr w:rsidR="005A5FCC" w14:paraId="4D823797"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23DEA80D" w14:textId="77777777" w:rsidR="005A5FCC" w:rsidRDefault="00A21C81">
            <w:pPr>
              <w:spacing w:before="20" w:after="20" w:line="240" w:lineRule="auto"/>
              <w:jc w:val="left"/>
            </w:pPr>
            <w:r>
              <w:rPr>
                <w:rFonts w:cs="EB Garamond"/>
                <w:b/>
                <w:kern w:val="16"/>
                <w:sz w:val="18"/>
                <w14:ligatures w14:val="standardContextual"/>
              </w:rPr>
              <w:t>Idade mínima</w:t>
            </w:r>
          </w:p>
        </w:tc>
        <w:tc>
          <w:tcPr>
            <w:tcW w:w="2117" w:type="dxa"/>
            <w:tcBorders>
              <w:top w:val="single" w:sz="4" w:space="0" w:color="D2C9B8"/>
              <w:left w:val="single" w:sz="4" w:space="0" w:color="D2C9B8"/>
              <w:bottom w:val="single" w:sz="4" w:space="0" w:color="D2C9B8"/>
              <w:right w:val="single" w:sz="4" w:space="0" w:color="D2C9B8"/>
            </w:tcBorders>
          </w:tcPr>
          <w:p w14:paraId="2FE1AE6D" w14:textId="77777777" w:rsidR="005A5FCC" w:rsidRDefault="00A21C81">
            <w:pPr>
              <w:spacing w:before="20" w:after="20" w:line="240" w:lineRule="auto"/>
              <w:jc w:val="left"/>
            </w:pPr>
            <w:r>
              <w:rPr>
                <w:rFonts w:cs="EB Garamond"/>
                <w:kern w:val="16"/>
                <w:sz w:val="18"/>
                <w14:ligatures w14:val="standardContextual"/>
              </w:rPr>
              <w:t>Não (TC) ou 60H/55M (idade)</w:t>
            </w:r>
          </w:p>
        </w:tc>
        <w:tc>
          <w:tcPr>
            <w:tcW w:w="2117" w:type="dxa"/>
            <w:tcBorders>
              <w:top w:val="single" w:sz="4" w:space="0" w:color="D2C9B8"/>
              <w:left w:val="single" w:sz="4" w:space="0" w:color="D2C9B8"/>
              <w:bottom w:val="single" w:sz="4" w:space="0" w:color="D2C9B8"/>
              <w:right w:val="single" w:sz="4" w:space="0" w:color="D2C9B8"/>
            </w:tcBorders>
          </w:tcPr>
          <w:p w14:paraId="7FED4BCF" w14:textId="77777777" w:rsidR="005A5FCC" w:rsidRDefault="00A21C81">
            <w:pPr>
              <w:spacing w:before="20" w:after="20" w:line="240" w:lineRule="auto"/>
              <w:jc w:val="left"/>
            </w:pPr>
            <w:r>
              <w:rPr>
                <w:rFonts w:cs="EB Garamond"/>
                <w:kern w:val="16"/>
                <w:sz w:val="18"/>
                <w14:ligatures w14:val="standardContextual"/>
              </w:rPr>
              <w:t>Não</w:t>
            </w:r>
          </w:p>
        </w:tc>
      </w:tr>
      <w:tr w:rsidR="005A5FCC" w14:paraId="4C23BBB0"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179B6B35" w14:textId="77777777" w:rsidR="005A5FCC" w:rsidRDefault="00A21C81">
            <w:pPr>
              <w:spacing w:before="20" w:after="20" w:line="240" w:lineRule="auto"/>
              <w:jc w:val="left"/>
            </w:pPr>
            <w:r>
              <w:rPr>
                <w:rFonts w:cs="EB Garamond"/>
                <w:b/>
                <w:kern w:val="16"/>
                <w:sz w:val="18"/>
                <w14:ligatures w14:val="standardContextual"/>
              </w:rPr>
              <w:t>TC mínimo</w:t>
            </w:r>
          </w:p>
        </w:tc>
        <w:tc>
          <w:tcPr>
            <w:tcW w:w="2117" w:type="dxa"/>
            <w:tcBorders>
              <w:top w:val="single" w:sz="4" w:space="0" w:color="D2C9B8"/>
              <w:left w:val="single" w:sz="4" w:space="0" w:color="D2C9B8"/>
              <w:bottom w:val="single" w:sz="4" w:space="0" w:color="D2C9B8"/>
              <w:right w:val="single" w:sz="4" w:space="0" w:color="D2C9B8"/>
            </w:tcBorders>
          </w:tcPr>
          <w:p w14:paraId="406C9171" w14:textId="77777777" w:rsidR="005A5FCC" w:rsidRDefault="00A21C81">
            <w:pPr>
              <w:spacing w:before="20" w:after="20" w:line="240" w:lineRule="auto"/>
              <w:jc w:val="left"/>
            </w:pPr>
            <w:r>
              <w:rPr>
                <w:rFonts w:cs="EB Garamond"/>
                <w:kern w:val="16"/>
                <w:sz w:val="18"/>
                <w14:ligatures w14:val="standardContextual"/>
              </w:rPr>
              <w:t>20-33 (TC) ou 15 anos (idade)</w:t>
            </w:r>
          </w:p>
        </w:tc>
        <w:tc>
          <w:tcPr>
            <w:tcW w:w="2117" w:type="dxa"/>
            <w:tcBorders>
              <w:top w:val="single" w:sz="4" w:space="0" w:color="D2C9B8"/>
              <w:left w:val="single" w:sz="4" w:space="0" w:color="D2C9B8"/>
              <w:bottom w:val="single" w:sz="4" w:space="0" w:color="D2C9B8"/>
              <w:right w:val="single" w:sz="4" w:space="0" w:color="D2C9B8"/>
            </w:tcBorders>
          </w:tcPr>
          <w:p w14:paraId="201476F1" w14:textId="77777777" w:rsidR="005A5FCC" w:rsidRDefault="00A21C81">
            <w:pPr>
              <w:spacing w:before="20" w:after="20" w:line="240" w:lineRule="auto"/>
              <w:jc w:val="left"/>
            </w:pPr>
            <w:r>
              <w:rPr>
                <w:rFonts w:cs="EB Garamond"/>
                <w:kern w:val="16"/>
                <w:sz w:val="18"/>
                <w14:ligatures w14:val="standardContextual"/>
              </w:rPr>
              <w:t>Não (carência 12 meses, dispensável se acidentário)</w:t>
            </w:r>
          </w:p>
        </w:tc>
      </w:tr>
      <w:tr w:rsidR="005A5FCC" w14:paraId="117031DA"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11E43B5D" w14:textId="77777777" w:rsidR="005A5FCC" w:rsidRDefault="00A21C81">
            <w:pPr>
              <w:spacing w:before="20" w:after="20" w:line="240" w:lineRule="auto"/>
              <w:jc w:val="left"/>
            </w:pPr>
            <w:r>
              <w:rPr>
                <w:rFonts w:cs="EB Garamond"/>
                <w:b/>
                <w:kern w:val="16"/>
                <w:sz w:val="18"/>
                <w14:ligatures w14:val="standardContextual"/>
              </w:rPr>
              <w:lastRenderedPageBreak/>
              <w:t>Cálculo</w:t>
            </w:r>
          </w:p>
        </w:tc>
        <w:tc>
          <w:tcPr>
            <w:tcW w:w="2117" w:type="dxa"/>
            <w:tcBorders>
              <w:top w:val="single" w:sz="4" w:space="0" w:color="D2C9B8"/>
              <w:left w:val="single" w:sz="4" w:space="0" w:color="D2C9B8"/>
              <w:bottom w:val="single" w:sz="4" w:space="0" w:color="D2C9B8"/>
              <w:right w:val="single" w:sz="4" w:space="0" w:color="D2C9B8"/>
            </w:tcBorders>
          </w:tcPr>
          <w:p w14:paraId="7BC60BE3" w14:textId="77777777" w:rsidR="005A5FCC" w:rsidRDefault="00A21C81">
            <w:pPr>
              <w:spacing w:before="20" w:after="20" w:line="240" w:lineRule="auto"/>
              <w:jc w:val="left"/>
            </w:pPr>
            <w:r>
              <w:rPr>
                <w:rFonts w:cs="EB Garamond"/>
                <w:kern w:val="16"/>
                <w:sz w:val="18"/>
                <w14:ligatures w14:val="standardContextual"/>
              </w:rPr>
              <w:t>100% SB (TC) ou 70% + 1%/grupo de 12 contrib. (idade)</w:t>
            </w:r>
          </w:p>
        </w:tc>
        <w:tc>
          <w:tcPr>
            <w:tcW w:w="2117" w:type="dxa"/>
            <w:tcBorders>
              <w:top w:val="single" w:sz="4" w:space="0" w:color="D2C9B8"/>
              <w:left w:val="single" w:sz="4" w:space="0" w:color="D2C9B8"/>
              <w:bottom w:val="single" w:sz="4" w:space="0" w:color="D2C9B8"/>
              <w:right w:val="single" w:sz="4" w:space="0" w:color="D2C9B8"/>
            </w:tcBorders>
          </w:tcPr>
          <w:p w14:paraId="77C31100" w14:textId="77777777" w:rsidR="005A5FCC" w:rsidRDefault="00A21C81">
            <w:pPr>
              <w:spacing w:before="20" w:after="20" w:line="240" w:lineRule="auto"/>
              <w:jc w:val="left"/>
            </w:pPr>
            <w:r>
              <w:rPr>
                <w:rFonts w:cs="EB Garamond"/>
                <w:kern w:val="16"/>
                <w:sz w:val="18"/>
                <w14:ligatures w14:val="standardContextual"/>
              </w:rPr>
              <w:t>60%+2% por ano excedente a 20H/15M (art. 26, § 2º, III, EC 103); exceção: 100% do SB se acidentário (art. 26, § 3º, II, EC 103)</w:t>
            </w:r>
          </w:p>
        </w:tc>
      </w:tr>
      <w:tr w:rsidR="005A5FCC" w14:paraId="3DD99B3B"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18352D9F" w14:textId="77777777" w:rsidR="005A5FCC" w:rsidRDefault="00A21C81">
            <w:pPr>
              <w:spacing w:before="20" w:after="20" w:line="240" w:lineRule="auto"/>
              <w:jc w:val="left"/>
            </w:pPr>
            <w:r>
              <w:rPr>
                <w:rFonts w:cs="EB Garamond"/>
                <w:b/>
                <w:kern w:val="16"/>
                <w:sz w:val="18"/>
                <w14:ligatures w14:val="standardContextual"/>
              </w:rPr>
              <w:t>Fator previdenciário</w:t>
            </w:r>
          </w:p>
        </w:tc>
        <w:tc>
          <w:tcPr>
            <w:tcW w:w="2117" w:type="dxa"/>
            <w:tcBorders>
              <w:top w:val="single" w:sz="4" w:space="0" w:color="D2C9B8"/>
              <w:left w:val="single" w:sz="4" w:space="0" w:color="D2C9B8"/>
              <w:bottom w:val="single" w:sz="4" w:space="0" w:color="D2C9B8"/>
              <w:right w:val="single" w:sz="4" w:space="0" w:color="D2C9B8"/>
            </w:tcBorders>
          </w:tcPr>
          <w:p w14:paraId="4B23F3CB" w14:textId="77777777" w:rsidR="005A5FCC" w:rsidRDefault="00A21C81">
            <w:pPr>
              <w:spacing w:before="20" w:after="20" w:line="240" w:lineRule="auto"/>
              <w:jc w:val="left"/>
            </w:pPr>
            <w:r>
              <w:rPr>
                <w:rFonts w:cs="EB Garamond"/>
                <w:kern w:val="16"/>
                <w:sz w:val="18"/>
                <w14:ligatures w14:val="standardContextual"/>
              </w:rPr>
              <w:t>Somente se vantajoso</w:t>
            </w:r>
          </w:p>
        </w:tc>
        <w:tc>
          <w:tcPr>
            <w:tcW w:w="2117" w:type="dxa"/>
            <w:tcBorders>
              <w:top w:val="single" w:sz="4" w:space="0" w:color="D2C9B8"/>
              <w:left w:val="single" w:sz="4" w:space="0" w:color="D2C9B8"/>
              <w:bottom w:val="single" w:sz="4" w:space="0" w:color="D2C9B8"/>
              <w:right w:val="single" w:sz="4" w:space="0" w:color="D2C9B8"/>
            </w:tcBorders>
          </w:tcPr>
          <w:p w14:paraId="3D4C9414" w14:textId="77777777" w:rsidR="005A5FCC" w:rsidRDefault="00A21C81">
            <w:pPr>
              <w:spacing w:before="20" w:after="20" w:line="240" w:lineRule="auto"/>
              <w:jc w:val="left"/>
            </w:pPr>
            <w:r>
              <w:rPr>
                <w:rFonts w:cs="EB Garamond"/>
                <w:kern w:val="16"/>
                <w:sz w:val="18"/>
                <w14:ligatures w14:val="standardContextual"/>
              </w:rPr>
              <w:t>Não se aplica</w:t>
            </w:r>
          </w:p>
        </w:tc>
      </w:tr>
      <w:tr w:rsidR="005A5FCC" w14:paraId="405E6684"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602509B6" w14:textId="77777777" w:rsidR="005A5FCC" w:rsidRDefault="00A21C81">
            <w:pPr>
              <w:spacing w:before="20" w:after="20" w:line="240" w:lineRule="auto"/>
              <w:jc w:val="left"/>
            </w:pPr>
            <w:r>
              <w:rPr>
                <w:rFonts w:cs="EB Garamond"/>
                <w:b/>
                <w:kern w:val="16"/>
                <w:sz w:val="18"/>
                <w14:ligatures w14:val="standardContextual"/>
              </w:rPr>
              <w:t>Caráter</w:t>
            </w:r>
          </w:p>
        </w:tc>
        <w:tc>
          <w:tcPr>
            <w:tcW w:w="2117" w:type="dxa"/>
            <w:tcBorders>
              <w:top w:val="single" w:sz="4" w:space="0" w:color="D2C9B8"/>
              <w:left w:val="single" w:sz="4" w:space="0" w:color="D2C9B8"/>
              <w:bottom w:val="single" w:sz="4" w:space="0" w:color="D2C9B8"/>
              <w:right w:val="single" w:sz="4" w:space="0" w:color="D2C9B8"/>
            </w:tcBorders>
          </w:tcPr>
          <w:p w14:paraId="07F27ECF" w14:textId="77777777" w:rsidR="005A5FCC" w:rsidRDefault="00A21C81">
            <w:pPr>
              <w:spacing w:before="20" w:after="20" w:line="240" w:lineRule="auto"/>
              <w:jc w:val="left"/>
            </w:pPr>
            <w:r>
              <w:rPr>
                <w:rFonts w:cs="EB Garamond"/>
                <w:kern w:val="16"/>
                <w:sz w:val="18"/>
                <w14:ligatures w14:val="standardContextual"/>
              </w:rPr>
              <w:t>Definitiva (salvo fraude)</w:t>
            </w:r>
          </w:p>
        </w:tc>
        <w:tc>
          <w:tcPr>
            <w:tcW w:w="2117" w:type="dxa"/>
            <w:tcBorders>
              <w:top w:val="single" w:sz="4" w:space="0" w:color="D2C9B8"/>
              <w:left w:val="single" w:sz="4" w:space="0" w:color="D2C9B8"/>
              <w:bottom w:val="single" w:sz="4" w:space="0" w:color="D2C9B8"/>
              <w:right w:val="single" w:sz="4" w:space="0" w:color="D2C9B8"/>
            </w:tcBorders>
          </w:tcPr>
          <w:p w14:paraId="7CF7900E" w14:textId="77777777" w:rsidR="005A5FCC" w:rsidRDefault="00A21C81">
            <w:pPr>
              <w:spacing w:before="20" w:after="20" w:line="240" w:lineRule="auto"/>
              <w:jc w:val="left"/>
            </w:pPr>
            <w:r>
              <w:rPr>
                <w:rFonts w:cs="EB Garamond"/>
                <w:kern w:val="16"/>
                <w:sz w:val="18"/>
                <w14:ligatures w14:val="standardContextual"/>
              </w:rPr>
              <w:t>Pode cessar se recuperar capacidade</w:t>
            </w:r>
          </w:p>
        </w:tc>
      </w:tr>
      <w:tr w:rsidR="005A5FCC" w14:paraId="795E955D"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008FB27E" w14:textId="77777777" w:rsidR="005A5FCC" w:rsidRDefault="00A21C81">
            <w:pPr>
              <w:spacing w:before="20" w:after="20" w:line="240" w:lineRule="auto"/>
              <w:jc w:val="left"/>
            </w:pPr>
            <w:r>
              <w:rPr>
                <w:rFonts w:cs="EB Garamond"/>
                <w:b/>
                <w:kern w:val="16"/>
                <w:sz w:val="18"/>
                <w14:ligatures w14:val="standardContextual"/>
              </w:rPr>
              <w:t>Perícia</w:t>
            </w:r>
          </w:p>
        </w:tc>
        <w:tc>
          <w:tcPr>
            <w:tcW w:w="2117" w:type="dxa"/>
            <w:tcBorders>
              <w:top w:val="single" w:sz="4" w:space="0" w:color="D2C9B8"/>
              <w:left w:val="single" w:sz="4" w:space="0" w:color="D2C9B8"/>
              <w:bottom w:val="single" w:sz="4" w:space="0" w:color="D2C9B8"/>
              <w:right w:val="single" w:sz="4" w:space="0" w:color="D2C9B8"/>
            </w:tcBorders>
          </w:tcPr>
          <w:p w14:paraId="23BF4BC4" w14:textId="77777777" w:rsidR="005A5FCC" w:rsidRDefault="00A21C81">
            <w:pPr>
              <w:spacing w:before="20" w:after="20" w:line="240" w:lineRule="auto"/>
              <w:jc w:val="left"/>
            </w:pPr>
            <w:r>
              <w:rPr>
                <w:rFonts w:cs="EB Garamond"/>
                <w:kern w:val="16"/>
                <w:sz w:val="18"/>
                <w14:ligatures w14:val="standardContextual"/>
              </w:rPr>
              <w:t>Biopsicossocial (IF-BrA)</w:t>
            </w:r>
          </w:p>
        </w:tc>
        <w:tc>
          <w:tcPr>
            <w:tcW w:w="2117" w:type="dxa"/>
            <w:tcBorders>
              <w:top w:val="single" w:sz="4" w:space="0" w:color="D2C9B8"/>
              <w:left w:val="single" w:sz="4" w:space="0" w:color="D2C9B8"/>
              <w:bottom w:val="single" w:sz="4" w:space="0" w:color="D2C9B8"/>
              <w:right w:val="single" w:sz="4" w:space="0" w:color="D2C9B8"/>
            </w:tcBorders>
          </w:tcPr>
          <w:p w14:paraId="7CCA5652" w14:textId="77777777" w:rsidR="005A5FCC" w:rsidRDefault="00A21C81">
            <w:pPr>
              <w:spacing w:before="20" w:after="20" w:line="240" w:lineRule="auto"/>
              <w:jc w:val="left"/>
            </w:pPr>
            <w:r>
              <w:rPr>
                <w:rFonts w:cs="EB Garamond"/>
                <w:kern w:val="16"/>
                <w:sz w:val="18"/>
                <w14:ligatures w14:val="standardContextual"/>
              </w:rPr>
              <w:t>Médica (capacidade laboral)</w:t>
            </w:r>
          </w:p>
        </w:tc>
      </w:tr>
      <w:tr w:rsidR="005A5FCC" w14:paraId="5D0B446C"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3C9505E6" w14:textId="77777777" w:rsidR="005A5FCC" w:rsidRDefault="00A21C81">
            <w:pPr>
              <w:spacing w:before="20" w:after="20" w:line="240" w:lineRule="auto"/>
              <w:jc w:val="left"/>
            </w:pPr>
            <w:r>
              <w:rPr>
                <w:rFonts w:cs="EB Garamond"/>
                <w:b/>
                <w:kern w:val="16"/>
                <w:sz w:val="18"/>
                <w14:ligatures w14:val="standardContextual"/>
              </w:rPr>
              <w:t>Acréscimo 25%</w:t>
            </w:r>
          </w:p>
        </w:tc>
        <w:tc>
          <w:tcPr>
            <w:tcW w:w="2117" w:type="dxa"/>
            <w:tcBorders>
              <w:top w:val="single" w:sz="4" w:space="0" w:color="D2C9B8"/>
              <w:left w:val="single" w:sz="4" w:space="0" w:color="D2C9B8"/>
              <w:bottom w:val="single" w:sz="4" w:space="0" w:color="D2C9B8"/>
              <w:right w:val="single" w:sz="4" w:space="0" w:color="D2C9B8"/>
            </w:tcBorders>
          </w:tcPr>
          <w:p w14:paraId="3C101ECC" w14:textId="77777777" w:rsidR="005A5FCC" w:rsidRDefault="00A21C81">
            <w:pPr>
              <w:spacing w:before="20" w:after="20" w:line="240" w:lineRule="auto"/>
              <w:jc w:val="left"/>
            </w:pPr>
            <w:r>
              <w:rPr>
                <w:rFonts w:cs="EB Garamond"/>
                <w:kern w:val="16"/>
                <w:sz w:val="18"/>
                <w14:ligatures w14:val="standardContextual"/>
              </w:rPr>
              <w:t>Não</w:t>
            </w:r>
          </w:p>
        </w:tc>
        <w:tc>
          <w:tcPr>
            <w:tcW w:w="2117" w:type="dxa"/>
            <w:tcBorders>
              <w:top w:val="single" w:sz="4" w:space="0" w:color="D2C9B8"/>
              <w:left w:val="single" w:sz="4" w:space="0" w:color="D2C9B8"/>
              <w:bottom w:val="single" w:sz="4" w:space="0" w:color="D2C9B8"/>
              <w:right w:val="single" w:sz="4" w:space="0" w:color="D2C9B8"/>
            </w:tcBorders>
          </w:tcPr>
          <w:p w14:paraId="517A5492" w14:textId="77777777" w:rsidR="005A5FCC" w:rsidRDefault="00A21C81">
            <w:pPr>
              <w:spacing w:before="20" w:after="20" w:line="240" w:lineRule="auto"/>
              <w:jc w:val="left"/>
            </w:pPr>
            <w:r>
              <w:rPr>
                <w:rFonts w:cs="EB Garamond"/>
                <w:kern w:val="16"/>
                <w:sz w:val="18"/>
                <w14:ligatures w14:val="standardContextual"/>
              </w:rPr>
              <w:t>Sim (grande invalidez, art. 45, Lei 8.213)</w:t>
            </w:r>
          </w:p>
        </w:tc>
      </w:tr>
    </w:tbl>
    <w:p w14:paraId="144CC5D8" w14:textId="77777777" w:rsidR="005A5FCC" w:rsidRDefault="005A5FCC">
      <w:pPr>
        <w:spacing w:after="80" w:line="240" w:lineRule="auto"/>
      </w:pPr>
    </w:p>
    <w:p w14:paraId="604EA471" w14:textId="77777777" w:rsidR="005A5FCC" w:rsidRDefault="00A21C81">
      <w:pPr>
        <w:spacing w:before="260" w:after="80" w:line="240" w:lineRule="auto"/>
        <w:jc w:val="left"/>
      </w:pPr>
      <w:r>
        <w:rPr>
          <w:rFonts w:cs="EB Garamond"/>
          <w:b/>
          <w:color w:val="3A3128"/>
          <w:kern w:val="16"/>
          <w:sz w:val="25"/>
          <w14:ligatures w14:val="standardContextual"/>
        </w:rPr>
        <w:t>12.15.3 Situações fronteiriças</w:t>
      </w:r>
    </w:p>
    <w:p w14:paraId="44076D0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N</w:t>
      </w:r>
    </w:p>
    <w:p w14:paraId="6BED6CB1" w14:textId="77777777" w:rsidR="005A5FCC" w:rsidRDefault="00A21C81">
      <w:r>
        <w:rPr>
          <w:rFonts w:cs="EB Garamond"/>
          <w:kern w:val="16"/>
          <w14:ligatures w14:val="standardContextual"/>
        </w:rPr>
        <w:t>a prática, existem situações de fronteira entre deficiência e incapacidade:</w:t>
      </w:r>
    </w:p>
    <w:p w14:paraId="0E6FBE63" w14:textId="77777777" w:rsidR="005A5FCC" w:rsidRDefault="00A21C81">
      <w:pPr>
        <w:ind w:firstLine="238"/>
      </w:pPr>
      <w:r>
        <w:rPr>
          <w:rFonts w:cs="EB Garamond"/>
          <w:b/>
          <w:kern w:val="16"/>
          <w14:ligatures w14:val="standardContextual"/>
        </w:rPr>
        <w:t>PcD que se torna incapaz:</w:t>
      </w:r>
      <w:r>
        <w:rPr>
          <w:rFonts w:cs="EB Garamond"/>
          <w:kern w:val="16"/>
          <w14:ligatures w14:val="standardContextual"/>
        </w:rPr>
        <w:t xml:space="preserve"> Se a deficiência evolui para incapacidade (por exemplo, progressão de doença degenerativa), o segurado faz jus ao benefício por incapacidade, seja auxílio por incapacidade temporária (se a incapacidade é temporária) ou aposentadoria por incapacidade permanente (se total e permanente). Nesse caso, o segurado deixa de ser candidato à aposentadoria da PcD (que pressupõe capacidade laboral) e passa a ser candidato ao benefício por incapacidade.</w:t>
      </w:r>
    </w:p>
    <w:p w14:paraId="6FE787A5" w14:textId="77777777" w:rsidR="005A5FCC" w:rsidRDefault="00A21C81">
      <w:pPr>
        <w:ind w:firstLine="238"/>
      </w:pPr>
      <w:r>
        <w:rPr>
          <w:rFonts w:cs="EB Garamond"/>
          <w:b/>
          <w:kern w:val="16"/>
          <w14:ligatures w14:val="standardContextual"/>
        </w:rPr>
        <w:t>PcD que já está aposentada e se torna incapaz:</w:t>
      </w:r>
      <w:r>
        <w:rPr>
          <w:rFonts w:cs="EB Garamond"/>
          <w:kern w:val="16"/>
          <w14:ligatures w14:val="standardContextual"/>
        </w:rPr>
        <w:t xml:space="preserve"> Se a pessoa com deficiência já se aposentou pela LC 142 e posteriormente se torna incapaz, já está em gozo de aposentadoria e a incapacidade superveniente não gera novo benefício. A aposentadoria por TC ou por idade da PcD é definitiva.</w:t>
      </w:r>
    </w:p>
    <w:p w14:paraId="204BC12D" w14:textId="77777777" w:rsidR="005A5FCC" w:rsidRDefault="00A21C81">
      <w:pPr>
        <w:ind w:firstLine="238"/>
      </w:pPr>
      <w:r>
        <w:rPr>
          <w:rFonts w:cs="EB Garamond"/>
          <w:b/>
          <w:kern w:val="16"/>
          <w14:ligatures w14:val="standardContextual"/>
        </w:rPr>
        <w:t>Segurado que oscila entre deficiência e incapacidade:</w:t>
      </w:r>
      <w:r>
        <w:rPr>
          <w:rFonts w:cs="EB Garamond"/>
          <w:kern w:val="16"/>
          <w14:ligatures w14:val="standardContextual"/>
        </w:rPr>
        <w:t xml:space="preserve"> Em condições como transtornos mentais graves, a pessoa pode alternar entre períodos de capacidade laboral reduzida (deficiência) e períodos de incapacidade total. Nesses casos, o advogado deve avaliar qual benefício é mais vantajoso e sustentável a longo prazo.</w:t>
      </w:r>
    </w:p>
    <w:p w14:paraId="153E951F" w14:textId="77777777" w:rsidR="005A5FCC" w:rsidRDefault="00A21C81">
      <w:pPr>
        <w:ind w:firstLine="238"/>
      </w:pPr>
      <w:r>
        <w:rPr>
          <w:rFonts w:cs="EB Garamond"/>
          <w:b/>
          <w:kern w:val="16"/>
          <w14:ligatures w14:val="standardContextual"/>
        </w:rPr>
        <w:lastRenderedPageBreak/>
        <w:t>Incapacidade parcial e deficiência:</w:t>
      </w:r>
      <w:r>
        <w:rPr>
          <w:rFonts w:cs="EB Garamond"/>
          <w:kern w:val="16"/>
          <w14:ligatures w14:val="standardContextual"/>
        </w:rPr>
        <w:t xml:space="preserve"> A pessoa com incapacidade parcial (que pode exercer algumas atividades mas não todas) pode, conforme o caso, ser enquadrada como pessoa com deficiência para fins da LC 142, desde que a incapacidade parcial decorra de impedimento de longo prazo e restrinja sua participação social. Exemplo: o segurado que perdeu movimentos de uma mão (incapacidade parcial para atividades que exigem destreza bimanual) mas pode exercer atividades administrativas é, ao mesmo tempo, parcialmente incapaz (para a atividade anterior) e pessoa com deficiência (impedimento funcional de longo prazo). Nesse caso, pode optar pela aposentadoria da PcD se tiver TC suficiente, ou pelo auxílio-acidente (se o impedimento decorreu de acidente) seguido de reabilitação profissional.</w:t>
      </w:r>
    </w:p>
    <w:p w14:paraId="1CEB7B77" w14:textId="77777777" w:rsidR="005A5FCC" w:rsidRDefault="00A21C81">
      <w:pPr>
        <w:ind w:firstLine="238"/>
      </w:pPr>
      <w:r>
        <w:rPr>
          <w:rFonts w:cs="EB Garamond"/>
          <w:b/>
          <w:kern w:val="16"/>
          <w14:ligatures w14:val="standardContextual"/>
        </w:rPr>
        <w:t>Conversão de benefício por incapacidade em aposentadoria PcD:</w:t>
      </w:r>
      <w:r>
        <w:rPr>
          <w:rFonts w:cs="EB Garamond"/>
          <w:kern w:val="16"/>
          <w14:ligatures w14:val="standardContextual"/>
        </w:rPr>
        <w:t xml:space="preserve"> O segurado que recebe auxílio por incapacidade temporária e recupera parcialmente a capacidade laboral, mantendo impedimento funcional de longo prazo, pode requerer a aposentadoria da PcD. Essa situação é relativamente comum em casos de acidentes com sequelas permanentes: o segurado recebe auxílio por incapacidade temporária durante a recuperação, retorna ao trabalho (com limitações) e, se tem TC suficiente, pode requerer a aposentadoria da PcD pela LC 142.</w:t>
      </w:r>
    </w:p>
    <w:p w14:paraId="10EC365C" w14:textId="77777777" w:rsidR="005A5FCC" w:rsidRDefault="00A21C81">
      <w:pPr>
        <w:ind w:firstLine="238"/>
      </w:pPr>
      <w:r>
        <w:rPr>
          <w:rFonts w:cs="EB Garamond"/>
          <w:kern w:val="16"/>
          <w14:ligatures w14:val="standardContextual"/>
        </w:rPr>
        <w:t>A orientação adequada do cliente exige que o advogado avalie não apenas o estado atual de saúde e funcionalidade, mas também o prognóstico, a perspectiva de retorno ao trabalho, o TC acumulado e as condições de cada benefício. Em muitos casos, a aposentadoria da PcD é preferível à aposentadoria por incapacidade permanente pelo coeficiente mais favorável (100% vs. 60%+2%), embora a aposentadoria por incapacidade não exija TC mínimo.</w:t>
      </w:r>
    </w:p>
    <w:tbl>
      <w:tblPr>
        <w:tblW w:w="5000" w:type="pct"/>
        <w:jc w:val="center"/>
        <w:tblLayout w:type="fixed"/>
        <w:tblLook w:val="04A0" w:firstRow="1" w:lastRow="0" w:firstColumn="1" w:lastColumn="0" w:noHBand="0" w:noVBand="1"/>
      </w:tblPr>
      <w:tblGrid>
        <w:gridCol w:w="6311"/>
      </w:tblGrid>
      <w:tr w:rsidR="005A5FCC" w14:paraId="32E771A4"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50EE2EC1"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5C8478F4" w14:textId="77777777" w:rsidR="005A5FCC" w:rsidRDefault="00A21C81">
            <w:pPr>
              <w:spacing w:after="60" w:line="247" w:lineRule="auto"/>
            </w:pPr>
            <w:r>
              <w:rPr>
                <w:rFonts w:cs="EB Garamond"/>
                <w:b/>
                <w:kern w:val="16"/>
                <w:sz w:val="19"/>
                <w14:ligatures w14:val="standardContextual"/>
              </w:rPr>
              <w:t>Quando orientar o cliente para cada benefício</w:t>
            </w:r>
          </w:p>
          <w:p w14:paraId="6121167C" w14:textId="77777777" w:rsidR="005A5FCC" w:rsidRDefault="00A21C81">
            <w:pPr>
              <w:spacing w:after="60" w:line="247" w:lineRule="auto"/>
            </w:pPr>
            <w:r>
              <w:rPr>
                <w:rFonts w:cs="EB Garamond"/>
                <w:b/>
                <w:kern w:val="16"/>
                <w:sz w:val="19"/>
                <w14:ligatures w14:val="standardContextual"/>
              </w:rPr>
              <w:t>Aposentadoria da PcD (LC 142):</w:t>
            </w:r>
            <w:r>
              <w:rPr>
                <w:rFonts w:cs="EB Garamond"/>
                <w:kern w:val="16"/>
                <w:sz w:val="19"/>
                <w14:ligatures w14:val="standardContextual"/>
              </w:rPr>
              <w:t xml:space="preserve"> - O segurado trabalha (ou pode trabalhar) com deficiência - Tem TC suficiente conforme o grau ou idade + 15 anos - Quer benefício definitivo, sem risco de cessação - Deseja coeficiente de 100% (TC) sem fator previdenciário</w:t>
            </w:r>
          </w:p>
          <w:p w14:paraId="4D6877D3" w14:textId="77777777" w:rsidR="005A5FCC" w:rsidRDefault="00A21C81">
            <w:pPr>
              <w:spacing w:after="60" w:line="247" w:lineRule="auto"/>
            </w:pPr>
            <w:r>
              <w:rPr>
                <w:rFonts w:cs="EB Garamond"/>
                <w:b/>
                <w:kern w:val="16"/>
                <w:sz w:val="19"/>
                <w14:ligatures w14:val="standardContextual"/>
              </w:rPr>
              <w:t>Aposentadoria por incapacidade permanente (Cap. 6):</w:t>
            </w:r>
            <w:r>
              <w:rPr>
                <w:rFonts w:cs="EB Garamond"/>
                <w:kern w:val="16"/>
                <w:sz w:val="19"/>
                <w14:ligatures w14:val="standardContextual"/>
              </w:rPr>
              <w:t xml:space="preserve"> - O segurado NÃO pode trabalhar (total e permanentemente) - Independe de TC mínimo (carência 12 meses, dispensável se acidentário) - Coeficiente menos favorável (60%+2%, com exceções para acidentário) - Sujeita a cessação se recuperar capacidade</w:t>
            </w:r>
          </w:p>
          <w:p w14:paraId="3BC9BF41" w14:textId="77777777" w:rsidR="005A5FCC" w:rsidRDefault="00A21C81">
            <w:pPr>
              <w:spacing w:after="60" w:line="247" w:lineRule="auto"/>
            </w:pPr>
            <w:r>
              <w:rPr>
                <w:rFonts w:cs="EB Garamond"/>
                <w:b/>
                <w:kern w:val="16"/>
                <w:sz w:val="19"/>
                <w14:ligatures w14:val="standardContextual"/>
              </w:rPr>
              <w:t>Benefício por incapacidade temporária (Cap. 7):</w:t>
            </w:r>
            <w:r>
              <w:rPr>
                <w:rFonts w:cs="EB Garamond"/>
                <w:kern w:val="16"/>
                <w:sz w:val="19"/>
                <w14:ligatures w14:val="standardContextual"/>
              </w:rPr>
              <w:t xml:space="preserve"> - O segurado está temporariamente incapaz (não permanentemente) - Adequado para situações transitórias - Pode converter-se em aposentadoria por incapacidade se a incapacidade se torna permanente</w:t>
            </w:r>
          </w:p>
          <w:p w14:paraId="45BB0624" w14:textId="77777777" w:rsidR="005A5FCC" w:rsidRDefault="00A21C81">
            <w:pPr>
              <w:spacing w:after="60" w:line="247" w:lineRule="auto"/>
            </w:pPr>
            <w:r>
              <w:rPr>
                <w:rFonts w:cs="EB Garamond"/>
                <w:b/>
                <w:kern w:val="16"/>
                <w:sz w:val="19"/>
                <w14:ligatures w14:val="standardContextual"/>
              </w:rPr>
              <w:t>Regra de ouro:</w:t>
            </w:r>
            <w:r>
              <w:rPr>
                <w:rFonts w:cs="EB Garamond"/>
                <w:kern w:val="16"/>
                <w:sz w:val="19"/>
                <w14:ligatures w14:val="standardContextual"/>
              </w:rPr>
              <w:t xml:space="preserve"> se o segurado trabalha e tem TC, prefira a aposentadoria da PcD; se o segurado não pode trabalhar, é benefício por incapacidade.</w:t>
            </w:r>
          </w:p>
        </w:tc>
      </w:tr>
    </w:tbl>
    <w:p w14:paraId="73FF5CE4" w14:textId="77777777" w:rsidR="005A5FCC" w:rsidRDefault="005A5FCC">
      <w:pPr>
        <w:spacing w:after="80" w:line="240" w:lineRule="auto"/>
      </w:pPr>
    </w:p>
    <w:tbl>
      <w:tblPr>
        <w:tblW w:w="5000" w:type="pct"/>
        <w:jc w:val="center"/>
        <w:tblLayout w:type="fixed"/>
        <w:tblLook w:val="04A0" w:firstRow="1" w:lastRow="0" w:firstColumn="1" w:lastColumn="0" w:noHBand="0" w:noVBand="1"/>
      </w:tblPr>
      <w:tblGrid>
        <w:gridCol w:w="6311"/>
      </w:tblGrid>
      <w:tr w:rsidR="005A5FCC" w14:paraId="02E42FD8"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269B9F80" w14:textId="77777777" w:rsidR="005A5FCC" w:rsidRDefault="00A21C81">
            <w:pPr>
              <w:spacing w:after="60" w:line="240" w:lineRule="auto"/>
              <w:jc w:val="left"/>
            </w:pPr>
            <w:r>
              <w:rPr>
                <w:rFonts w:ascii="Noto Sans" w:hAnsi="Noto Sans" w:cs="Noto Sans"/>
                <w:b/>
                <w:caps/>
                <w:color w:val="4D6F8A"/>
                <w:kern w:val="16"/>
                <w:sz w:val="16"/>
                <w14:ligatures w14:val="standardContextual"/>
              </w:rPr>
              <w:t>JURISPRUDÊNCIA EM DESTAQUE</w:t>
            </w:r>
          </w:p>
          <w:p w14:paraId="3B42B0F7" w14:textId="77777777" w:rsidR="005A5FCC" w:rsidRDefault="00A21C81">
            <w:pPr>
              <w:spacing w:after="60" w:line="247" w:lineRule="auto"/>
            </w:pPr>
            <w:r>
              <w:rPr>
                <w:rFonts w:cs="EB Garamond"/>
                <w:b/>
                <w:kern w:val="16"/>
                <w:sz w:val="19"/>
                <w14:ligatures w14:val="standardContextual"/>
              </w:rPr>
              <w:t>Fungibilidade entre aposentadoria PcD e benefício por incapacidade</w:t>
            </w:r>
          </w:p>
          <w:p w14:paraId="088BC7CE" w14:textId="77777777" w:rsidR="005A5FCC" w:rsidRDefault="00A21C81">
            <w:pPr>
              <w:spacing w:after="60" w:line="247" w:lineRule="auto"/>
            </w:pPr>
            <w:r>
              <w:rPr>
                <w:rFonts w:cs="EB Garamond"/>
                <w:i/>
                <w:kern w:val="16"/>
                <w:sz w:val="19"/>
                <w14:ligatures w14:val="standardContextual"/>
              </w:rPr>
              <w:t>Síntese do entendimento dos tribunais, sem transcrição literal de ementa.</w:t>
            </w:r>
          </w:p>
          <w:p w14:paraId="757CD5AB" w14:textId="77777777" w:rsidR="005A5FCC" w:rsidRDefault="00A21C81">
            <w:pPr>
              <w:spacing w:after="60" w:line="247" w:lineRule="auto"/>
            </w:pPr>
            <w:r>
              <w:rPr>
                <w:rFonts w:cs="EB Garamond"/>
                <w:kern w:val="16"/>
                <w:sz w:val="19"/>
                <w14:ligatures w14:val="standardContextual"/>
              </w:rPr>
              <w:t>TRF4: verificada a existência de incapacidade laboral total e permanente, é possível converter o pedido de aposentadoria da pessoa com deficiência (LC 142/2013) em aposentadoria por incapacidade permanente, em aplicação do princípio da fungibilidade dos pedidos previdenciários (TRF4, AC 5003219-89.2018.4.04.7009).</w:t>
            </w:r>
          </w:p>
          <w:p w14:paraId="511DE4ED" w14:textId="77777777" w:rsidR="005A5FCC" w:rsidRDefault="00A21C81">
            <w:pPr>
              <w:spacing w:after="60" w:line="247" w:lineRule="auto"/>
            </w:pPr>
            <w:r>
              <w:rPr>
                <w:rFonts w:cs="EB Garamond"/>
                <w:kern w:val="16"/>
                <w:sz w:val="19"/>
                <w14:ligatures w14:val="standardContextual"/>
              </w:rPr>
              <w:t>TRF3: embora o segurado tenha requerido aposentadoria por incapacidade, a perícia judicial constatou impedimentos funcionais de longo prazo configuradores de deficiência moderada, sem incapacidade laboral total; cabível a concessão da aposentadoria da pessoa com deficiência (LC 142/2013) em substituição ao benefício por incapacidade, por fungibilidade (TRF3, ApCiv 5010782-31.2019.4.03.6105).</w:t>
            </w:r>
          </w:p>
        </w:tc>
      </w:tr>
    </w:tbl>
    <w:p w14:paraId="070C197C" w14:textId="77777777" w:rsidR="005A5FCC" w:rsidRDefault="005A5FCC">
      <w:pPr>
        <w:spacing w:after="80" w:line="240" w:lineRule="auto"/>
      </w:pPr>
    </w:p>
    <w:p w14:paraId="763A5D5F"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12.16 Aspectos processuais nos JEFs</w:t>
      </w:r>
    </w:p>
    <w:p w14:paraId="381D069B"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4C9331AA" w14:textId="77777777" w:rsidR="005A5FCC" w:rsidRDefault="00A21C81">
      <w:r>
        <w:rPr>
          <w:rFonts w:cs="EB Garamond"/>
          <w:kern w:val="16"/>
          <w14:ligatures w14:val="standardContextual"/>
        </w:rPr>
        <w:t xml:space="preserve"> aposentadoria da PcD nos Juizados Especiais Federais apresenta peculiaridades processuais que o advogado deve conhecer para uma atuação eficaz.</w:t>
      </w:r>
    </w:p>
    <w:p w14:paraId="45E519EE" w14:textId="77777777" w:rsidR="005A5FCC" w:rsidRDefault="00A21C81">
      <w:pPr>
        <w:spacing w:before="260" w:after="80" w:line="240" w:lineRule="auto"/>
        <w:jc w:val="left"/>
      </w:pPr>
      <w:r>
        <w:rPr>
          <w:rFonts w:cs="EB Garamond"/>
          <w:b/>
          <w:color w:val="3A3128"/>
          <w:kern w:val="16"/>
          <w:sz w:val="25"/>
          <w14:ligatures w14:val="standardContextual"/>
        </w:rPr>
        <w:t>12.16.1 Competência</w:t>
      </w:r>
    </w:p>
    <w:p w14:paraId="01208AC5"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587849BC" w14:textId="77777777" w:rsidR="005A5FCC" w:rsidRDefault="00A21C81">
      <w:r>
        <w:rPr>
          <w:rFonts w:cs="EB Garamond"/>
          <w:kern w:val="16"/>
          <w14:ligatures w14:val="standardContextual"/>
        </w:rPr>
        <w:t xml:space="preserve"> competência dos JEFs para ações de aposentadoria da PcD segue a regra geral do art. 3º da Lei n. 10.259/2001: causas de valor até 60 salários mínimos (R$ 97.260,00 em 2026, valor projetado). Como a aposentadoria da PcD é limitada ao teto do RGPS (R$ 8.475,55/mês em 2026, valor projetado), a prestação mensal sempre será inferior ao teto JEF, e o valor da causa (12 prestações vincendas + parcelas vencidas) frequentemente se enquadra na competência dos Juizados, salvo quando o período de retroação é extenso (conforme detalhado no Capítulo 23, seção 23.3).</w:t>
      </w:r>
    </w:p>
    <w:p w14:paraId="19B1848C" w14:textId="77777777" w:rsidR="005A5FCC" w:rsidRDefault="00A21C81">
      <w:pPr>
        <w:spacing w:before="260" w:after="80" w:line="240" w:lineRule="auto"/>
        <w:jc w:val="left"/>
      </w:pPr>
      <w:r>
        <w:rPr>
          <w:rFonts w:cs="EB Garamond"/>
          <w:b/>
          <w:color w:val="3A3128"/>
          <w:kern w:val="16"/>
          <w:sz w:val="25"/>
          <w14:ligatures w14:val="standardContextual"/>
        </w:rPr>
        <w:t>12.16.2 Prévio requerimento administrativo</w:t>
      </w:r>
    </w:p>
    <w:p w14:paraId="4A36A63B"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2D940831" w14:textId="77777777" w:rsidR="005A5FCC" w:rsidRDefault="00A21C81">
      <w:r>
        <w:rPr>
          <w:rFonts w:cs="EB Garamond"/>
          <w:kern w:val="16"/>
          <w14:ligatures w14:val="standardContextual"/>
        </w:rPr>
        <w:t xml:space="preserve"> prévio requerimento administrativo é obrigatório para o ajuizamento da ação de aposentadoria da PcD, nos termos do Tema 350 do STF (RE 631.240). O segurado deve requerer administrativamente a aposentadoria da PcD junto ao INSS e aguardar a resposta (concessão, indeferimento ou silêncio por prazo razoável) antes de ingressar em juízo.</w:t>
      </w:r>
    </w:p>
    <w:p w14:paraId="230B02B7" w14:textId="77777777" w:rsidR="005A5FCC" w:rsidRDefault="00A21C81">
      <w:pPr>
        <w:ind w:firstLine="238"/>
      </w:pPr>
      <w:r>
        <w:rPr>
          <w:rFonts w:cs="EB Garamond"/>
          <w:kern w:val="16"/>
          <w14:ligatures w14:val="standardContextual"/>
        </w:rPr>
        <w:t>O requerimento administrativo da aposentadoria da PcD tem peculiaridades: o INSS deve agendar e realizar a avaliação biopsicossocial (perícia médica + avaliação social), o que pode demandar prazo significativo. O indeferimento pode ocorrer por: (a) não reconhecimento da deficiência; (b) reconhecimento de grau insuficiente (por exemplo, grau leve quando o segurado precisa de grau moderado para ter TC suficiente); ou (c) TC ou carência insuficientes.</w:t>
      </w:r>
    </w:p>
    <w:p w14:paraId="7873E1D2" w14:textId="77777777" w:rsidR="005A5FCC" w:rsidRDefault="00A21C81">
      <w:pPr>
        <w:spacing w:before="260" w:after="80" w:line="240" w:lineRule="auto"/>
        <w:jc w:val="left"/>
      </w:pPr>
      <w:r>
        <w:rPr>
          <w:rFonts w:cs="EB Garamond"/>
          <w:b/>
          <w:color w:val="3A3128"/>
          <w:kern w:val="16"/>
          <w:sz w:val="25"/>
          <w14:ligatures w14:val="standardContextual"/>
        </w:rPr>
        <w:t>12.16.3 Perícia biopsicossocial judicial</w:t>
      </w:r>
    </w:p>
    <w:p w14:paraId="10AB301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1260FDD6" w14:textId="77777777" w:rsidR="005A5FCC" w:rsidRDefault="00A21C81">
      <w:r>
        <w:rPr>
          <w:rFonts w:cs="EB Garamond"/>
          <w:kern w:val="16"/>
          <w14:ligatures w14:val="standardContextual"/>
        </w:rPr>
        <w:t xml:space="preserve"> perícia biopsicossocial é o ato processual mais importante na ação de aposentadoria da PcD. O juiz do JEF nomeará perito (médico e, idealmente, </w:t>
      </w:r>
      <w:r>
        <w:rPr>
          <w:rFonts w:cs="EB Garamond"/>
          <w:kern w:val="16"/>
          <w14:ligatures w14:val="standardContextual"/>
        </w:rPr>
        <w:lastRenderedPageBreak/>
        <w:t>assistente social) para avaliar o segurado conforme os critérios da LC 142/2013.</w:t>
      </w:r>
    </w:p>
    <w:p w14:paraId="2DF6AA8C" w14:textId="77777777" w:rsidR="005A5FCC" w:rsidRDefault="00A21C81">
      <w:pPr>
        <w:ind w:firstLine="238"/>
      </w:pPr>
      <w:r>
        <w:rPr>
          <w:rFonts w:cs="EB Garamond"/>
          <w:b/>
          <w:kern w:val="16"/>
          <w14:ligatures w14:val="standardContextual"/>
        </w:rPr>
        <w:t>Honorários periciais:</w:t>
      </w:r>
      <w:r>
        <w:rPr>
          <w:rFonts w:cs="EB Garamond"/>
          <w:kern w:val="16"/>
          <w14:ligatures w14:val="standardContextual"/>
        </w:rPr>
        <w:t xml:space="preserve"> No âmbito dos JEFs, os honorários do perito judicial são pagos pela Justiça Federal (art. 12, § 1º, Lei 10.259/2001). O segurado não arca com custos periciais, o que viabiliza o acesso à justiça para PcD em situação de vulnerabilidade econômica.</w:t>
      </w:r>
    </w:p>
    <w:p w14:paraId="6AF9925A" w14:textId="77777777" w:rsidR="005A5FCC" w:rsidRDefault="00A21C81">
      <w:pPr>
        <w:ind w:firstLine="238"/>
      </w:pPr>
      <w:r>
        <w:rPr>
          <w:rFonts w:cs="EB Garamond"/>
          <w:b/>
          <w:kern w:val="16"/>
          <w14:ligatures w14:val="standardContextual"/>
        </w:rPr>
        <w:t>Quesitos:</w:t>
      </w:r>
      <w:r>
        <w:rPr>
          <w:rFonts w:cs="EB Garamond"/>
          <w:kern w:val="16"/>
          <w14:ligatures w14:val="standardContextual"/>
        </w:rPr>
        <w:t xml:space="preserve"> As partes devem formular quesitos objetivos e alinhados aos critérios do IF-BrA (conforme sugerido na seção 12.12.2). Quesitos genéricos ("o segurado é deficiente?") devem ser evitados em favor de quesitos específicos que permitam ao perito avaliar cada domínio funcional.</w:t>
      </w:r>
    </w:p>
    <w:p w14:paraId="03706A34" w14:textId="77777777" w:rsidR="005A5FCC" w:rsidRDefault="00A21C81">
      <w:pPr>
        <w:spacing w:before="260" w:after="80" w:line="240" w:lineRule="auto"/>
        <w:jc w:val="left"/>
      </w:pPr>
      <w:r>
        <w:rPr>
          <w:rFonts w:cs="EB Garamond"/>
          <w:b/>
          <w:color w:val="3A3128"/>
          <w:kern w:val="16"/>
          <w:sz w:val="25"/>
          <w14:ligatures w14:val="standardContextual"/>
        </w:rPr>
        <w:t>12.16.4 Pedido alternativo e fungibilidade</w:t>
      </w:r>
    </w:p>
    <w:p w14:paraId="0AA708C3"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4507D956" w14:textId="77777777" w:rsidR="005A5FCC" w:rsidRDefault="00A21C81">
      <w:r>
        <w:rPr>
          <w:rFonts w:cs="EB Garamond"/>
          <w:kern w:val="16"/>
          <w14:ligatures w14:val="standardContextual"/>
        </w:rPr>
        <w:t xml:space="preserve"> petição inicial da ação de aposentadoria da PcD pode, e deve, quando cabível, conter pedido alternativo: aposentadoria por TC da PcD (principal) + aposentadoria por idade da PcD (subsidiário) + BPC (subsidiário). A fungibilidade (TNU Tema 217 e analogia) permite que o juiz conceda o benefício mais adequado ao caso, conforme o resultado da instrução processual.</w:t>
      </w:r>
    </w:p>
    <w:p w14:paraId="5929906E" w14:textId="77777777" w:rsidR="005A5FCC" w:rsidRDefault="00A21C81">
      <w:pPr>
        <w:ind w:firstLine="238"/>
      </w:pPr>
      <w:r>
        <w:rPr>
          <w:rFonts w:cs="EB Garamond"/>
          <w:kern w:val="16"/>
          <w14:ligatures w14:val="standardContextual"/>
        </w:rPr>
        <w:t>Essa estratégia é especialmente importante quando há incerteza sobre: (a) o grau de deficiência que será reconhecido pela perícia judicial; (b) o TC efetivo do segurado (que pode ser maior ou menor que o alegado, conforme análise do CNIS); ou (c) o preenchimento do requisito etário para a aposentadoria por idade da PcD.</w:t>
      </w:r>
    </w:p>
    <w:p w14:paraId="2A96C426" w14:textId="77777777" w:rsidR="005A5FCC" w:rsidRDefault="00A21C81">
      <w:pPr>
        <w:spacing w:before="260" w:after="80" w:line="240" w:lineRule="auto"/>
        <w:jc w:val="left"/>
      </w:pPr>
      <w:r>
        <w:rPr>
          <w:rFonts w:cs="EB Garamond"/>
          <w:b/>
          <w:color w:val="3A3128"/>
          <w:kern w:val="16"/>
          <w:sz w:val="25"/>
          <w14:ligatures w14:val="standardContextual"/>
        </w:rPr>
        <w:t>12.16.5 Reafirmação da DER</w:t>
      </w:r>
    </w:p>
    <w:p w14:paraId="74EFA6C4"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28DD998D" w14:textId="77777777" w:rsidR="005A5FCC" w:rsidRDefault="00A21C81">
      <w:r>
        <w:rPr>
          <w:rFonts w:cs="EB Garamond"/>
          <w:kern w:val="16"/>
          <w14:ligatures w14:val="standardContextual"/>
        </w:rPr>
        <w:t xml:space="preserve"> reafirmação da DER (Data de Entrada do Requerimento) aplica-se à aposentadoria da PcD, nos termos do Tema 995 do STJ. Se o segurado não preenchia os requisitos na data do requerimento administrativo mas os preencheu durante o processo judicial (por exemplo, completou o TC mínimo ou atingiu a idade mínima), o juiz pode reafirmar a DER para a data de implementação dos requisitos, com efeitos financeiros a partir de então.</w:t>
      </w:r>
    </w:p>
    <w:p w14:paraId="585882E0" w14:textId="77777777" w:rsidR="005A5FCC" w:rsidRDefault="00A21C81">
      <w:pPr>
        <w:spacing w:before="260" w:after="80" w:line="240" w:lineRule="auto"/>
        <w:jc w:val="left"/>
      </w:pPr>
      <w:r>
        <w:rPr>
          <w:rFonts w:cs="EB Garamond"/>
          <w:b/>
          <w:color w:val="3A3128"/>
          <w:kern w:val="16"/>
          <w:sz w:val="25"/>
          <w14:ligatures w14:val="standardContextual"/>
        </w:rPr>
        <w:t>12.16.6 Tutela antecipada</w:t>
      </w:r>
    </w:p>
    <w:p w14:paraId="56A19E3F"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A</w:t>
      </w:r>
    </w:p>
    <w:p w14:paraId="1140ACAF" w14:textId="77777777" w:rsidR="005A5FCC" w:rsidRDefault="00A21C81">
      <w:r>
        <w:rPr>
          <w:rFonts w:cs="EB Garamond"/>
          <w:kern w:val="16"/>
          <w14:ligatures w14:val="standardContextual"/>
        </w:rPr>
        <w:t xml:space="preserve"> tutela antecipada (tutela de urgência) é cabível na ação de aposentadoria da PcD quando presentes a probabilidade do direito e o perigo de dano ou risco ao resultado útil do processo (art. 300, CPC). Na prática, a tutela antecipada é deferida quando: (a) a perícia judicial é conclusiva quanto ao grau de deficiência e ao preenchimento dos requisitos; (b) o segurado demonstra necessidade alimentar urgente; e (c) não há controvérsia razoável sobre os fatos.</w:t>
      </w:r>
    </w:p>
    <w:p w14:paraId="792D6839" w14:textId="77777777" w:rsidR="005A5FCC" w:rsidRDefault="00A21C81">
      <w:pPr>
        <w:spacing w:before="260" w:after="80" w:line="240" w:lineRule="auto"/>
        <w:jc w:val="left"/>
      </w:pPr>
      <w:r>
        <w:rPr>
          <w:rFonts w:cs="EB Garamond"/>
          <w:b/>
          <w:color w:val="3A3128"/>
          <w:kern w:val="16"/>
          <w:sz w:val="25"/>
          <w14:ligatures w14:val="standardContextual"/>
        </w:rPr>
        <w:t>12.16.7 Instrução probatória: particularidades</w:t>
      </w:r>
    </w:p>
    <w:p w14:paraId="5E044AD1"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65B7145B" w14:textId="77777777" w:rsidR="005A5FCC" w:rsidRDefault="00A21C81">
      <w:r>
        <w:rPr>
          <w:rFonts w:cs="EB Garamond"/>
          <w:kern w:val="16"/>
          <w14:ligatures w14:val="standardContextual"/>
        </w:rPr>
        <w:t xml:space="preserve"> instrução probatória nas ações de aposentadoria da PcD apresenta peculiaridades em relação às demais ações previdenciárias:</w:t>
      </w:r>
    </w:p>
    <w:p w14:paraId="3B94DE7F" w14:textId="77777777" w:rsidR="005A5FCC" w:rsidRDefault="00A21C81">
      <w:pPr>
        <w:ind w:firstLine="238"/>
      </w:pPr>
      <w:r>
        <w:rPr>
          <w:rFonts w:cs="EB Garamond"/>
          <w:b/>
          <w:kern w:val="16"/>
          <w14:ligatures w14:val="standardContextual"/>
        </w:rPr>
        <w:t>Complexidade da perícia:</w:t>
      </w:r>
      <w:r>
        <w:rPr>
          <w:rFonts w:cs="EB Garamond"/>
          <w:kern w:val="16"/>
          <w14:ligatures w14:val="standardContextual"/>
        </w:rPr>
        <w:t xml:space="preserve"> Enquanto as ações de benefício por incapacidade exigem perícia médica para aferir a capacidade laboral (sim/não, total/parcial, temporária/permanente), a aposentadoria da PcD exige avaliação biopsicossocial que classifica o grau de deficiência — análise mais complexa, que envolve 7 domínios funcionais e dois profissionais.</w:t>
      </w:r>
    </w:p>
    <w:p w14:paraId="59287624" w14:textId="77777777" w:rsidR="005A5FCC" w:rsidRDefault="00A21C81">
      <w:pPr>
        <w:ind w:firstLine="238"/>
      </w:pPr>
      <w:r>
        <w:rPr>
          <w:rFonts w:cs="EB Garamond"/>
          <w:b/>
          <w:kern w:val="16"/>
          <w14:ligatures w14:val="standardContextual"/>
        </w:rPr>
        <w:t>Retrospectividade:</w:t>
      </w:r>
      <w:r>
        <w:rPr>
          <w:rFonts w:cs="EB Garamond"/>
          <w:kern w:val="16"/>
          <w14:ligatures w14:val="standardContextual"/>
        </w:rPr>
        <w:t xml:space="preserve"> A perícia na aposentadoria da PcD deve frequentemente reconstituir o passado do segurado, fixando a data de início da deficiência e identificando eventuais variações de grau ao longo de anos ou décadas. Essa análise retrospectiva é mais desafiadora que a perícia de incapacidade, que tipicamente avalia o estado atual.</w:t>
      </w:r>
    </w:p>
    <w:p w14:paraId="00493247" w14:textId="77777777" w:rsidR="005A5FCC" w:rsidRDefault="00A21C81">
      <w:pPr>
        <w:ind w:firstLine="238"/>
      </w:pPr>
      <w:r>
        <w:rPr>
          <w:rFonts w:cs="EB Garamond"/>
          <w:b/>
          <w:kern w:val="16"/>
          <w14:ligatures w14:val="standardContextual"/>
        </w:rPr>
        <w:t>Audiência de instrução e julgamento:</w:t>
      </w:r>
      <w:r>
        <w:rPr>
          <w:rFonts w:cs="EB Garamond"/>
          <w:kern w:val="16"/>
          <w14:ligatures w14:val="standardContextual"/>
        </w:rPr>
        <w:t xml:space="preserve"> Nos JEFs, a audiência é frequentemente realizada de forma una (instrução e julgamento). O advogado deve estar preparado para: (a) complementar quesitos ao perito em audiência; (b) requerer esclarecimentos orais do perito (art. 477, CPC); (c) apresentar parecer de assistente técnico; e (d) produzir prova testemunhal complementar na mesma oportunidade.</w:t>
      </w:r>
    </w:p>
    <w:p w14:paraId="131A7030" w14:textId="77777777" w:rsidR="005A5FCC" w:rsidRDefault="00A21C81">
      <w:pPr>
        <w:ind w:firstLine="238"/>
      </w:pPr>
      <w:r>
        <w:rPr>
          <w:rFonts w:cs="EB Garamond"/>
          <w:b/>
          <w:kern w:val="16"/>
          <w14:ligatures w14:val="standardContextual"/>
        </w:rPr>
        <w:t>Perícia indireta (prova emprestada):</w:t>
      </w:r>
      <w:r>
        <w:rPr>
          <w:rFonts w:cs="EB Garamond"/>
          <w:kern w:val="16"/>
          <w14:ligatures w14:val="standardContextual"/>
        </w:rPr>
        <w:t xml:space="preserve"> Quando o segurado já foi submetido a avaliação biopsicossocial pelo INSS ou em outro processo judicial, o resultado pode ser utilizado como prova emprestada, observado o contraditório (art. 372, CPC). A perícia administrativa do INSS, embora não vincule o juiz, constitui elemento probatório relevante, especialmente quando diverge do resultado da perícia judicial.</w:t>
      </w:r>
    </w:p>
    <w:p w14:paraId="784EA339" w14:textId="77777777" w:rsidR="005A5FCC" w:rsidRDefault="00A21C81">
      <w:pPr>
        <w:spacing w:before="260" w:after="80" w:line="240" w:lineRule="auto"/>
        <w:jc w:val="left"/>
      </w:pPr>
      <w:r>
        <w:rPr>
          <w:rFonts w:cs="EB Garamond"/>
          <w:b/>
          <w:color w:val="3A3128"/>
          <w:kern w:val="16"/>
          <w:sz w:val="25"/>
          <w14:ligatures w14:val="standardContextual"/>
        </w:rPr>
        <w:lastRenderedPageBreak/>
        <w:t>12.16.8 Honorários advocatícios</w:t>
      </w:r>
    </w:p>
    <w:p w14:paraId="7BD8BC58"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N</w:t>
      </w:r>
    </w:p>
    <w:p w14:paraId="44BE6AF0" w14:textId="77777777" w:rsidR="005A5FCC" w:rsidRDefault="00A21C81">
      <w:r>
        <w:rPr>
          <w:rFonts w:cs="EB Garamond"/>
          <w:kern w:val="16"/>
          <w14:ligatures w14:val="standardContextual"/>
        </w:rPr>
        <w:t>os JEFs, os honorários advocatícios em ações de aposentadoria da PcD seguem as regras gerais da Lei n. 10.259/2001 e do CPC:</w:t>
      </w:r>
    </w:p>
    <w:p w14:paraId="5819537A" w14:textId="77777777" w:rsidR="005A5FCC" w:rsidRDefault="00A21C81">
      <w:pPr>
        <w:ind w:firstLine="238"/>
      </w:pPr>
      <w:r>
        <w:rPr>
          <w:rFonts w:cs="EB Garamond"/>
          <w:b/>
          <w:kern w:val="16"/>
          <w14:ligatures w14:val="standardContextual"/>
        </w:rPr>
        <w:t>Sucumbência do INSS:</w:t>
      </w:r>
      <w:r>
        <w:rPr>
          <w:rFonts w:cs="EB Garamond"/>
          <w:kern w:val="16"/>
          <w14:ligatures w14:val="standardContextual"/>
        </w:rPr>
        <w:t xml:space="preserve"> Quando o segurado é vencedor, os honorários são fixados entre 10% e 20% do valor da condenação (parcelas vencidas até a data da sentença ou do acórdão), nos termos do art. 85, § 3º, I, CPC. A jurisprudência dos JEFs tem fixado honorários em 10% como regra geral para ações previdenciárias.</w:t>
      </w:r>
    </w:p>
    <w:p w14:paraId="5EA44470" w14:textId="77777777" w:rsidR="005A5FCC" w:rsidRDefault="00A21C81">
      <w:pPr>
        <w:ind w:firstLine="238"/>
      </w:pPr>
      <w:r>
        <w:rPr>
          <w:rFonts w:cs="EB Garamond"/>
          <w:b/>
          <w:kern w:val="16"/>
          <w14:ligatures w14:val="standardContextual"/>
        </w:rPr>
        <w:t>Sucumbência do segurado:</w:t>
      </w:r>
      <w:r>
        <w:rPr>
          <w:rFonts w:cs="EB Garamond"/>
          <w:kern w:val="16"/>
          <w14:ligatures w14:val="standardContextual"/>
        </w:rPr>
        <w:t xml:space="preserve"> O segurado vencido nos JEFs está isento de honorários e custas se beneficiário da justiça gratuita (art. 98, § 3º, CPC), condição que a grande maioria dos segurados PcD preenche.</w:t>
      </w:r>
    </w:p>
    <w:p w14:paraId="5EE263B6" w14:textId="77777777" w:rsidR="005A5FCC" w:rsidRDefault="00A21C81">
      <w:pPr>
        <w:ind w:firstLine="238"/>
      </w:pPr>
      <w:r>
        <w:rPr>
          <w:rFonts w:cs="EB Garamond"/>
          <w:b/>
          <w:kern w:val="16"/>
          <w14:ligatures w14:val="standardContextual"/>
        </w:rPr>
        <w:t>Honorários contratuais:</w:t>
      </w:r>
      <w:r>
        <w:rPr>
          <w:rFonts w:cs="EB Garamond"/>
          <w:kern w:val="16"/>
          <w14:ligatures w14:val="standardContextual"/>
        </w:rPr>
        <w:t xml:space="preserve"> O contrato de honorários advocatícios entre advogado e segurado PcD segue as regras do Estatuto da OAB e da tabela de honorários da seccional. É prática comum o pacto de quota litis (percentual sobre o êxito), geralmente entre 20% e 30% do valor recebido.</w:t>
      </w:r>
    </w:p>
    <w:p w14:paraId="2E1833F4" w14:textId="77777777" w:rsidR="005A5FCC" w:rsidRDefault="00A21C81">
      <w:pPr>
        <w:spacing w:before="260" w:after="80" w:line="240" w:lineRule="auto"/>
        <w:jc w:val="left"/>
      </w:pPr>
      <w:r>
        <w:rPr>
          <w:rFonts w:cs="EB Garamond"/>
          <w:b/>
          <w:color w:val="3A3128"/>
          <w:kern w:val="16"/>
          <w:sz w:val="25"/>
          <w14:ligatures w14:val="standardContextual"/>
        </w:rPr>
        <w:t>12.16.9 Sentença e recurso</w:t>
      </w:r>
    </w:p>
    <w:p w14:paraId="718DF4A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6DEE87EC" w14:textId="77777777" w:rsidR="005A5FCC" w:rsidRDefault="00A21C81">
      <w:r>
        <w:rPr>
          <w:rFonts w:cs="EB Garamond"/>
          <w:kern w:val="16"/>
          <w14:ligatures w14:val="standardContextual"/>
        </w:rPr>
        <w:t xml:space="preserve"> sentença na ação de aposentadoria da PcD deve especificar: (a) o grau de deficiência reconhecido; (b) a data de início da deficiência; (c) os períodos sob cada grau (se houver variação); (d) a modalidade de aposentadoria concedida (TC ou idade); (e) a base de cálculo (média dos SC); (f) o coeficiente aplicável (100% ou 70% + 1% por grupo de 12 contribuições); e (g) a DIB (Data de Início do Benefício).</w:t>
      </w:r>
    </w:p>
    <w:p w14:paraId="72E154DA" w14:textId="77777777" w:rsidR="005A5FCC" w:rsidRDefault="00A21C81">
      <w:pPr>
        <w:ind w:firstLine="238"/>
      </w:pPr>
      <w:r>
        <w:rPr>
          <w:rFonts w:cs="EB Garamond"/>
          <w:kern w:val="16"/>
          <w14:ligatures w14:val="standardContextual"/>
        </w:rPr>
        <w:t>O recurso contra a sentença é o recurso inominado (art. 41, Lei 9.099/95 c/c art. 1º, Lei 10.259/2001), com prazo de 10 dias. A impugnação mais comum do INSS em grau recursal é a valoração da prova pericial (grau de deficiência reconhecido, data de início) e a base de cálculo do benefício (aplicação ou não do art. 26, EC 103).</w:t>
      </w:r>
    </w:p>
    <w:p w14:paraId="49813398" w14:textId="77777777" w:rsidR="005A5FCC" w:rsidRDefault="00A21C81">
      <w:pPr>
        <w:ind w:firstLine="238"/>
      </w:pPr>
      <w:r>
        <w:rPr>
          <w:rFonts w:cs="EB Garamond"/>
          <w:kern w:val="16"/>
          <w14:ligatures w14:val="standardContextual"/>
        </w:rPr>
        <w:t xml:space="preserve">O recurso da parte autora é menos frequente, mas pode versar sobre: (a) grau de deficiência reconhecido (quando o segurado pretende grau mais grave); (b) data de início da deficiência (quando fixada em data posterior à pretendida); (c) </w:t>
      </w:r>
      <w:r>
        <w:rPr>
          <w:rFonts w:cs="EB Garamond"/>
          <w:kern w:val="16"/>
          <w14:ligatures w14:val="standardContextual"/>
        </w:rPr>
        <w:lastRenderedPageBreak/>
        <w:t>impugnação do fator previdenciário (quando o INSS o aplicou e a sentença manteve); ou (d) DIB (quando fixada na data da perícia judicial e não na DER ou na reafirmação).</w:t>
      </w:r>
    </w:p>
    <w:p w14:paraId="7CA5268E" w14:textId="77777777" w:rsidR="005A5FCC" w:rsidRDefault="00A21C81">
      <w:pPr>
        <w:ind w:firstLine="238"/>
      </w:pPr>
      <w:r>
        <w:rPr>
          <w:rFonts w:cs="EB Garamond"/>
          <w:kern w:val="16"/>
          <w14:ligatures w14:val="standardContextual"/>
        </w:rPr>
        <w:t>A Turma Recursal, ao analisar o recurso, pode: manter a sentença, reformá-la total ou parcialmente, ou anulá-la para produção de nova prova (determinando nova perícia biopsicossocial, por exemplo, quando a perícia judicial for considerada deficiente ou inconclusiva).</w:t>
      </w:r>
    </w:p>
    <w:tbl>
      <w:tblPr>
        <w:tblW w:w="5000" w:type="pct"/>
        <w:jc w:val="center"/>
        <w:tblLayout w:type="fixed"/>
        <w:tblLook w:val="04A0" w:firstRow="1" w:lastRow="0" w:firstColumn="1" w:lastColumn="0" w:noHBand="0" w:noVBand="1"/>
      </w:tblPr>
      <w:tblGrid>
        <w:gridCol w:w="6311"/>
      </w:tblGrid>
      <w:tr w:rsidR="005A5FCC" w14:paraId="78D70A14"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66C51BB5"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32C4CDFD" w14:textId="77777777" w:rsidR="005A5FCC" w:rsidRDefault="00A21C81">
            <w:pPr>
              <w:spacing w:after="60" w:line="247" w:lineRule="auto"/>
            </w:pPr>
            <w:r>
              <w:rPr>
                <w:rFonts w:cs="EB Garamond"/>
                <w:b/>
                <w:kern w:val="16"/>
                <w:sz w:val="19"/>
                <w14:ligatures w14:val="standardContextual"/>
              </w:rPr>
              <w:t>Checklist documental para aposentadoria PcD nos JEFs</w:t>
            </w:r>
          </w:p>
          <w:p w14:paraId="431F3794" w14:textId="77777777" w:rsidR="005A5FCC" w:rsidRDefault="00A21C81">
            <w:pPr>
              <w:spacing w:after="60" w:line="247" w:lineRule="auto"/>
            </w:pPr>
            <w:r>
              <w:rPr>
                <w:rFonts w:cs="EB Garamond"/>
                <w:b/>
                <w:kern w:val="16"/>
                <w:sz w:val="19"/>
                <w14:ligatures w14:val="standardContextual"/>
              </w:rPr>
              <w:t>Documentação pessoal:</w:t>
            </w:r>
            <w:r>
              <w:rPr>
                <w:rFonts w:cs="EB Garamond"/>
                <w:kern w:val="16"/>
                <w:sz w:val="19"/>
                <w14:ligatures w14:val="standardContextual"/>
              </w:rPr>
              <w:t xml:space="preserve"> - [ ] RG e CPF do segurado - [ ] CTPS (todas as carteiras, mesmo antigas) - [ ] NIT/PIS/PASEP - [ ] Comprovante de residência atualizado</w:t>
            </w:r>
          </w:p>
          <w:p w14:paraId="1FA40C59" w14:textId="77777777" w:rsidR="005A5FCC" w:rsidRDefault="00A21C81">
            <w:pPr>
              <w:spacing w:after="60" w:line="247" w:lineRule="auto"/>
            </w:pPr>
            <w:r>
              <w:rPr>
                <w:rFonts w:cs="EB Garamond"/>
                <w:b/>
                <w:kern w:val="16"/>
                <w:sz w:val="19"/>
                <w14:ligatures w14:val="standardContextual"/>
              </w:rPr>
              <w:t>Documentação previdenciária:</w:t>
            </w:r>
            <w:r>
              <w:rPr>
                <w:rFonts w:cs="EB Garamond"/>
                <w:kern w:val="16"/>
                <w:sz w:val="19"/>
                <w14:ligatures w14:val="standardContextual"/>
              </w:rPr>
              <w:t xml:space="preserve"> - [ ] CNIS (Cadastro Nacional de Informações Sociais) — extrato detalhado - [ ] Carta de indeferimento do INSS (com motivo) - [ ] Resultado da avaliação biopsicossocial administrativa (se realizada) - [ ] Processo administrativo completo (se disponível)</w:t>
            </w:r>
          </w:p>
          <w:p w14:paraId="737A752A" w14:textId="77777777" w:rsidR="005A5FCC" w:rsidRDefault="00A21C81">
            <w:pPr>
              <w:spacing w:after="60" w:line="247" w:lineRule="auto"/>
            </w:pPr>
            <w:r>
              <w:rPr>
                <w:rFonts w:cs="EB Garamond"/>
                <w:b/>
                <w:kern w:val="16"/>
                <w:sz w:val="19"/>
                <w14:ligatures w14:val="standardContextual"/>
              </w:rPr>
              <w:t>Documentação médica e funcional:</w:t>
            </w:r>
            <w:r>
              <w:rPr>
                <w:rFonts w:cs="EB Garamond"/>
                <w:kern w:val="16"/>
                <w:sz w:val="19"/>
                <w14:ligatures w14:val="standardContextual"/>
              </w:rPr>
              <w:t xml:space="preserve"> - [ ] Laudos médicos com CID-10, descrição funcional e data de início - [ ] Exames complementares (imagem, audiometria, campo visual, etc.) - [ ] Relatórios de acompanhamento médico (evolução) - [ ] Prescrição de medicamentos contínuos - [ ] Laudos de reabilitação (INSS, APAE, centros especializados) - [ ] Comprovante de uso de tecnologia assistiva</w:t>
            </w:r>
          </w:p>
          <w:p w14:paraId="3BEDCD5C" w14:textId="77777777" w:rsidR="005A5FCC" w:rsidRDefault="00A21C81">
            <w:pPr>
              <w:spacing w:after="60" w:line="247" w:lineRule="auto"/>
            </w:pPr>
            <w:r>
              <w:rPr>
                <w:rFonts w:cs="EB Garamond"/>
                <w:b/>
                <w:kern w:val="16"/>
                <w:sz w:val="19"/>
                <w14:ligatures w14:val="standardContextual"/>
              </w:rPr>
              <w:t>Documentação social:</w:t>
            </w:r>
            <w:r>
              <w:rPr>
                <w:rFonts w:cs="EB Garamond"/>
                <w:kern w:val="16"/>
                <w:sz w:val="19"/>
                <w14:ligatures w14:val="standardContextual"/>
              </w:rPr>
              <w:t xml:space="preserve"> - [ ] Relatório social (se disponível) - [ ] Comprovação de barreiras de acessibilidade - [ ] Declaração do empregador sobre adaptações no trabalho - [ ] Fotos do ambiente doméstico (se relevantes para acessibilidade)</w:t>
            </w:r>
          </w:p>
          <w:p w14:paraId="2CEC1B10" w14:textId="77777777" w:rsidR="005A5FCC" w:rsidRDefault="00A21C81">
            <w:pPr>
              <w:spacing w:after="60" w:line="247" w:lineRule="auto"/>
            </w:pPr>
            <w:r>
              <w:rPr>
                <w:rFonts w:cs="EB Garamond"/>
                <w:b/>
                <w:kern w:val="16"/>
                <w:sz w:val="19"/>
                <w14:ligatures w14:val="standardContextual"/>
              </w:rPr>
              <w:t>Cálculo:</w:t>
            </w:r>
            <w:r>
              <w:rPr>
                <w:rFonts w:cs="EB Garamond"/>
                <w:kern w:val="16"/>
                <w:sz w:val="19"/>
                <w14:ligatures w14:val="standardContextual"/>
              </w:rPr>
              <w:t xml:space="preserve"> - [ ] Simulação de TC por grau (usando fatores de conversão se deficiência superveniente) - [ ] Simulação de RMI (100% SB para TC; 70% + 1% por grupo de 12 contrib. Para idade) - [ ] Verificação de fator previdenciário (se vantajoso)</w:t>
            </w:r>
          </w:p>
        </w:tc>
      </w:tr>
    </w:tbl>
    <w:p w14:paraId="6CAA963A" w14:textId="77777777" w:rsidR="005A5FCC" w:rsidRDefault="005A5FCC">
      <w:pPr>
        <w:spacing w:after="80" w:line="240" w:lineRule="auto"/>
      </w:pPr>
    </w:p>
    <w:p w14:paraId="67521DBD"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12.17 Questões especiais e casos de fronteira</w:t>
      </w:r>
    </w:p>
    <w:p w14:paraId="544BC07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79226E49" w14:textId="77777777" w:rsidR="005A5FCC" w:rsidRDefault="00A21C81">
      <w:r>
        <w:rPr>
          <w:rFonts w:cs="EB Garamond"/>
          <w:kern w:val="16"/>
          <w14:ligatures w14:val="standardContextual"/>
        </w:rPr>
        <w:t xml:space="preserve"> aplicação da LC 142/2013 suscita questões especiais que transcendem os cenários típicos de aposentadoria da PcD. Reunimos a seguir as situações </w:t>
      </w:r>
      <w:r>
        <w:rPr>
          <w:rFonts w:cs="EB Garamond"/>
          <w:kern w:val="16"/>
          <w14:ligatures w14:val="standardContextual"/>
        </w:rPr>
        <w:lastRenderedPageBreak/>
        <w:t>de fronteira que, na nossa experiência, mais frequentemente desafiam o intérprete por exigirem a leitura combinada da LC 142 com outras camadas do sistema — a aposentadoria especial, as regras de custeio do contribuinte individual e do MEI, a contagem recíproca e o regime de acumulação. O fio que costura todas elas é o mesmo: a LC 142 não é um microssistema isolado, e seu art. 70-I (Decreto 3.048/99) determina a aplicação subsidiária das demais normas do RGPS, de modo que cada caso de fronteira se resolve menos por regra específica e mais pela articulação coerente de princípios já conhecidos.</w:t>
      </w:r>
    </w:p>
    <w:p w14:paraId="38EDF269" w14:textId="77777777" w:rsidR="005A5FCC" w:rsidRDefault="00A21C81">
      <w:pPr>
        <w:spacing w:before="260" w:after="80" w:line="240" w:lineRule="auto"/>
        <w:jc w:val="left"/>
      </w:pPr>
      <w:r>
        <w:rPr>
          <w:rFonts w:cs="EB Garamond"/>
          <w:b/>
          <w:color w:val="3A3128"/>
          <w:kern w:val="16"/>
          <w:sz w:val="25"/>
          <w14:ligatures w14:val="standardContextual"/>
        </w:rPr>
        <w:t>12.17.1 PcD que exerceu atividade especial (agentes nocivos)</w:t>
      </w:r>
    </w:p>
    <w:p w14:paraId="1B7984C8"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1FE7AFF2" w14:textId="07B3FD15" w:rsidR="005A5FCC" w:rsidRDefault="00A21C81">
      <w:r>
        <w:rPr>
          <w:rFonts w:cs="EB Garamond"/>
          <w:kern w:val="16"/>
          <w14:ligatures w14:val="standardContextual"/>
        </w:rPr>
        <w:t xml:space="preserve"> segurado com deficiência que também exerceu atividade em condições especiais (exposição a agentes nocivos, conforme Capítulo 8) enfrenta uma vedação importante: o art. 70-F do Decreto 3.048/99 (incluído pelo Decreto 8.145/2013) proíbe a cumulação da redução de TC por deficiência (LC 142) com a redução por atividade especial (art. 57, Lei 8.213) no mesmo período contributivo. </w:t>
      </w:r>
      <w:r w:rsidR="00003C37">
        <w:rPr>
          <w:rFonts w:cs="EB Garamond"/>
          <w:kern w:val="16"/>
          <w14:ligatures w14:val="standardContextual"/>
        </w:rPr>
        <w:t>A</w:t>
      </w:r>
      <w:r>
        <w:rPr>
          <w:rFonts w:cs="EB Garamond"/>
          <w:kern w:val="16"/>
          <w14:ligatures w14:val="standardContextual"/>
        </w:rPr>
        <w:t xml:space="preserve"> vedação de cumulação justifica-se porque ambos os mecanismos de redução de tempo de contribuição visam compensar desvantagens distintas, e sua sobreposição configuraria duplo benefício normativo sobre o mesmo fato gerador.</w:t>
      </w:r>
    </w:p>
    <w:p w14:paraId="16558EBD" w14:textId="77777777" w:rsidR="005A5FCC" w:rsidRDefault="00A21C81">
      <w:pPr>
        <w:ind w:firstLine="238"/>
      </w:pPr>
      <w:r>
        <w:rPr>
          <w:rFonts w:cs="EB Garamond"/>
          <w:kern w:val="16"/>
          <w14:ligatures w14:val="standardContextual"/>
        </w:rPr>
        <w:t>Isso significa que, se o segurado PcD trabalhou por 15 anos exposto a agentes nocivos, esses 15 anos não podem ser simultaneamente contados com redução por deficiência e com redução por atividade especial. O segurado deve optar pela via mais vantajosa:</w:t>
      </w:r>
    </w:p>
    <w:p w14:paraId="6B51A87F" w14:textId="77777777" w:rsidR="005A5FCC" w:rsidRDefault="00A21C81">
      <w:pPr>
        <w:ind w:firstLine="238"/>
      </w:pPr>
      <w:r>
        <w:rPr>
          <w:rFonts w:cs="EB Garamond"/>
          <w:b/>
          <w:kern w:val="16"/>
          <w14:ligatures w14:val="standardContextual"/>
        </w:rPr>
        <w:t>Opção 1 — Aposentadoria especial (Cap. 8):</w:t>
      </w:r>
      <w:r>
        <w:rPr>
          <w:rFonts w:cs="EB Garamond"/>
          <w:kern w:val="16"/>
          <w14:ligatures w14:val="standardContextual"/>
        </w:rPr>
        <w:t xml:space="preserve"> converter o tempo especial (fator 1,40 para 25→35 anos) e somar ao tempo comum, buscando a aposentadoria especial (que exigia idade mínima após a EC 103/2019, requisito declarado inconstitucional pelo STF na ADI 6.309, j. 03/06/2026).</w:t>
      </w:r>
    </w:p>
    <w:p w14:paraId="36BA070C" w14:textId="77777777" w:rsidR="005A5FCC" w:rsidRDefault="00A21C81">
      <w:pPr>
        <w:ind w:firstLine="238"/>
      </w:pPr>
      <w:r>
        <w:rPr>
          <w:rFonts w:cs="EB Garamond"/>
          <w:b/>
          <w:kern w:val="16"/>
          <w14:ligatures w14:val="standardContextual"/>
        </w:rPr>
        <w:t>Opção 2 — Aposentadoria PcD (LC 142):</w:t>
      </w:r>
      <w:r>
        <w:rPr>
          <w:rFonts w:cs="EB Garamond"/>
          <w:kern w:val="16"/>
          <w14:ligatures w14:val="standardContextual"/>
        </w:rPr>
        <w:t xml:space="preserve"> utilizar a redução por deficiência e somar o tempo sem aplicar a conversão especial.</w:t>
      </w:r>
    </w:p>
    <w:p w14:paraId="19AD3B64" w14:textId="77777777" w:rsidR="005A5FCC" w:rsidRDefault="00A21C81">
      <w:pPr>
        <w:ind w:firstLine="238"/>
      </w:pPr>
      <w:r>
        <w:rPr>
          <w:rFonts w:cs="EB Garamond"/>
          <w:kern w:val="16"/>
          <w14:ligatures w14:val="standardContextual"/>
        </w:rPr>
        <w:lastRenderedPageBreak/>
        <w:t>A escolha depende do caso concreto: se o segurado tem mais tempo de atividade especial do que de deficiência, a aposentadoria especial pode ser mais vantajosa; se tem mais tempo com deficiência (mesmo em atividade não especial), a aposentadoria da PcD tende a ser mais favorável.</w:t>
      </w:r>
    </w:p>
    <w:tbl>
      <w:tblPr>
        <w:tblW w:w="5000" w:type="pct"/>
        <w:jc w:val="center"/>
        <w:tblLayout w:type="fixed"/>
        <w:tblLook w:val="04A0" w:firstRow="1" w:lastRow="0" w:firstColumn="1" w:lastColumn="0" w:noHBand="0" w:noVBand="1"/>
      </w:tblPr>
      <w:tblGrid>
        <w:gridCol w:w="6311"/>
      </w:tblGrid>
      <w:tr w:rsidR="005A5FCC" w14:paraId="52D76884"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25CC319D"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2598160D" w14:textId="77777777" w:rsidR="005A5FCC" w:rsidRDefault="00A21C81">
            <w:pPr>
              <w:spacing w:after="60" w:line="247" w:lineRule="auto"/>
            </w:pPr>
            <w:r>
              <w:rPr>
                <w:rFonts w:cs="EB Garamond"/>
                <w:b/>
                <w:kern w:val="16"/>
                <w:sz w:val="19"/>
                <w14:ligatures w14:val="standardContextual"/>
              </w:rPr>
              <w:t>PcD + atividade especial: vedação de cumulação</w:t>
            </w:r>
          </w:p>
          <w:p w14:paraId="5692A52C" w14:textId="77777777" w:rsidR="005A5FCC" w:rsidRDefault="00A21C81">
            <w:pPr>
              <w:spacing w:after="60" w:line="247" w:lineRule="auto"/>
            </w:pPr>
            <w:r>
              <w:rPr>
                <w:rFonts w:cs="EB Garamond"/>
                <w:kern w:val="16"/>
                <w:sz w:val="19"/>
                <w14:ligatures w14:val="standardContextual"/>
              </w:rPr>
              <w:t>O segurado PcD que exerceu atividade especial NÃO pode somar ambas as reduções no mesmo período. Deve escolher uma das vias: - Conversão especial (Cap. 8) OU redução por deficiência (LC 142), nunca ambas no mesmo período. - Em períodos distintos, a regra se aplica separadamente: período com atividade especial pode ser convertido; período com deficiência (sem atividade especial) pode ser contado com redução PcD. - A análise comparativa é indispensável para orientar o cliente corretamente.</w:t>
            </w:r>
          </w:p>
        </w:tc>
      </w:tr>
    </w:tbl>
    <w:p w14:paraId="2CD1807F" w14:textId="77777777" w:rsidR="005A5FCC" w:rsidRDefault="005A5FCC">
      <w:pPr>
        <w:spacing w:after="80" w:line="240" w:lineRule="auto"/>
      </w:pPr>
    </w:p>
    <w:p w14:paraId="7C3B5B3B" w14:textId="77777777" w:rsidR="005A5FCC" w:rsidRDefault="00A21C81">
      <w:pPr>
        <w:spacing w:before="260" w:after="80" w:line="240" w:lineRule="auto"/>
        <w:jc w:val="left"/>
      </w:pPr>
      <w:r>
        <w:rPr>
          <w:rFonts w:cs="EB Garamond"/>
          <w:b/>
          <w:color w:val="3A3128"/>
          <w:kern w:val="16"/>
          <w:sz w:val="25"/>
          <w14:ligatures w14:val="standardContextual"/>
        </w:rPr>
        <w:t>12.17.2 PcD contribuinte individual e MEI</w:t>
      </w:r>
    </w:p>
    <w:p w14:paraId="0C27D123"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6E8ED200" w14:textId="77777777" w:rsidR="005A5FCC" w:rsidRDefault="00A21C81">
      <w:r>
        <w:rPr>
          <w:rFonts w:cs="EB Garamond"/>
          <w:kern w:val="16"/>
          <w14:ligatures w14:val="standardContextual"/>
        </w:rPr>
        <w:t xml:space="preserve"> aposentadoria da PcD exige contribuições previdenciárias, o que levanta questões específicas para contribuintes individuais e MEI (Microempreendedor Individual):</w:t>
      </w:r>
    </w:p>
    <w:p w14:paraId="781B433B" w14:textId="77777777" w:rsidR="005A5FCC" w:rsidRDefault="00A21C81">
      <w:pPr>
        <w:ind w:firstLine="238"/>
      </w:pPr>
      <w:r>
        <w:rPr>
          <w:rFonts w:cs="EB Garamond"/>
          <w:b/>
          <w:kern w:val="16"/>
          <w14:ligatures w14:val="standardContextual"/>
        </w:rPr>
        <w:t>MEI com plano simplificado (5%):</w:t>
      </w:r>
      <w:r>
        <w:rPr>
          <w:rFonts w:cs="EB Garamond"/>
          <w:kern w:val="16"/>
          <w14:ligatures w14:val="standardContextual"/>
        </w:rPr>
        <w:t xml:space="preserve"> O MEI que contribui com 5% sobre o salário mínimo tem direito apenas à aposentadoria por idade (art. 21, § 2º, Lei 8.212/91). Consequentemente, o MEI com deficiência que contribui apenas com 5% NÃO tem direito à aposentadoria por TC da PcD (art. 3º, I-III, LC 142), pois as contribuições pelo plano simplificado não geram direito a aposentadoria por TC. Porém, tem direito à aposentadoria por idade da PcD (art. 3º, IV) ao atingir 60H/55M com 15 anos de contribuição.</w:t>
      </w:r>
    </w:p>
    <w:p w14:paraId="48EF2ABD" w14:textId="77777777" w:rsidR="005A5FCC" w:rsidRDefault="00A21C81">
      <w:pPr>
        <w:ind w:firstLine="238"/>
      </w:pPr>
      <w:r>
        <w:rPr>
          <w:rFonts w:cs="EB Garamond"/>
          <w:b/>
          <w:kern w:val="16"/>
          <w14:ligatures w14:val="standardContextual"/>
        </w:rPr>
        <w:t>Complementação de contribuição:</w:t>
      </w:r>
      <w:r>
        <w:rPr>
          <w:rFonts w:cs="EB Garamond"/>
          <w:kern w:val="16"/>
          <w14:ligatures w14:val="standardContextual"/>
        </w:rPr>
        <w:t xml:space="preserve"> O MEI pode complementar suas contribuições com a diferença entre 5% e 20% sobre o salário mínimo (art. 21, § 3º, Lei 8.212), passando a ter direito à aposentadoria por TC — e, consequentemente, à aposentadoria por TC da PcD. A complementação deve ser feita mediante GPS com código específico.</w:t>
      </w:r>
    </w:p>
    <w:p w14:paraId="1A477BB0" w14:textId="77777777" w:rsidR="005A5FCC" w:rsidRDefault="00A21C81">
      <w:pPr>
        <w:ind w:firstLine="238"/>
      </w:pPr>
      <w:r>
        <w:rPr>
          <w:rFonts w:cs="EB Garamond"/>
          <w:b/>
          <w:kern w:val="16"/>
          <w14:ligatures w14:val="standardContextual"/>
        </w:rPr>
        <w:lastRenderedPageBreak/>
        <w:t>Contribuinte individual com plano normal (20%):</w:t>
      </w:r>
      <w:r>
        <w:rPr>
          <w:rFonts w:cs="EB Garamond"/>
          <w:kern w:val="16"/>
          <w14:ligatures w14:val="standardContextual"/>
        </w:rPr>
        <w:t xml:space="preserve"> O contribuinte individual que recolhe com alíquota de 20% tem acesso pleno à aposentadoria por TC da PcD, nas mesmas condições que o segurado empregado.</w:t>
      </w:r>
    </w:p>
    <w:p w14:paraId="4360DF69" w14:textId="77777777" w:rsidR="005A5FCC" w:rsidRDefault="00A21C81">
      <w:pPr>
        <w:ind w:firstLine="238"/>
      </w:pPr>
      <w:r>
        <w:rPr>
          <w:rFonts w:cs="EB Garamond"/>
          <w:b/>
          <w:kern w:val="16"/>
          <w14:ligatures w14:val="standardContextual"/>
        </w:rPr>
        <w:t>Contribuinte individual com plano simplificado (11%):</w:t>
      </w:r>
      <w:r>
        <w:rPr>
          <w:rFonts w:cs="EB Garamond"/>
          <w:kern w:val="16"/>
          <w14:ligatures w14:val="standardContextual"/>
        </w:rPr>
        <w:t xml:space="preserve"> Assim como o MEI, contribuições de 11% geram direito apenas à aposentadoria por idade. A PcD contribuinte individual com plano simplificado pode acessar a aposentadoria por idade da PcD, mas não a aposentadoria por TC da PcD, salvo complementação.</w:t>
      </w:r>
    </w:p>
    <w:p w14:paraId="76679C21" w14:textId="77777777" w:rsidR="005A5FCC" w:rsidRDefault="00A21C81">
      <w:pPr>
        <w:spacing w:before="260" w:after="80" w:line="240" w:lineRule="auto"/>
        <w:jc w:val="left"/>
      </w:pPr>
      <w:r>
        <w:rPr>
          <w:rFonts w:cs="EB Garamond"/>
          <w:b/>
          <w:color w:val="3A3128"/>
          <w:kern w:val="16"/>
          <w:sz w:val="25"/>
          <w14:ligatures w14:val="standardContextual"/>
        </w:rPr>
        <w:t>12.17.3 PcD com deficiência intermitente</w:t>
      </w:r>
    </w:p>
    <w:p w14:paraId="7FDD87C9"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C</w:t>
      </w:r>
    </w:p>
    <w:p w14:paraId="70AF1623" w14:textId="77777777" w:rsidR="005A5FCC" w:rsidRDefault="00A21C81">
      <w:r>
        <w:rPr>
          <w:rFonts w:cs="EB Garamond"/>
          <w:kern w:val="16"/>
          <w14:ligatures w14:val="standardContextual"/>
        </w:rPr>
        <w:t>ondições como transtornos mentais graves (esquizofrenia, transtorno bipolar), doenças autoimunes com remissões e recaídas (lúpus, esclerose múltipla) e epilepsia podem apresentar caráter intermitente — períodos de funcionalidade relativamente preservada alternados com períodos de grave comprometimento funcional.</w:t>
      </w:r>
    </w:p>
    <w:p w14:paraId="07F1411E" w14:textId="77777777" w:rsidR="005A5FCC" w:rsidRDefault="00A21C81">
      <w:pPr>
        <w:ind w:firstLine="238"/>
      </w:pPr>
      <w:r>
        <w:rPr>
          <w:rFonts w:cs="EB Garamond"/>
          <w:kern w:val="16"/>
          <w14:ligatures w14:val="standardContextual"/>
        </w:rPr>
        <w:t>A LC 142 não trata explicitamente da deficiência intermitente, mas a interpretação sistemática sugere que: (a) se o impedimento é de longo prazo (duração mínima de 2 anos), a intermitência não descaracteriza a deficiência; (b) a avaliação biopsicossocial deve considerar o padrão geral de funcionalidade, e não apenas o estado no momento da perícia; (c) os períodos de remissão não transformam o segurado em pessoa sem deficiência se a condição subjacente persiste.</w:t>
      </w:r>
    </w:p>
    <w:p w14:paraId="4D5BCDE0" w14:textId="77777777" w:rsidR="005A5FCC" w:rsidRDefault="00A21C81">
      <w:pPr>
        <w:ind w:firstLine="238"/>
      </w:pPr>
      <w:r>
        <w:rPr>
          <w:rFonts w:cs="EB Garamond"/>
          <w:kern w:val="16"/>
          <w14:ligatures w14:val="standardContextual"/>
        </w:rPr>
        <w:t>A prova da deficiência intermitente é especialmente desafiadora: o segurado deve apresentar histórico médico que documente tanto os períodos de crise quanto os de remissão, demonstrando o padrão de longo prazo da condição. A perícia judicial deve ser realizada com atenção ao prognóstico e à evolução temporal, e não apenas ao estado pontual.</w:t>
      </w:r>
    </w:p>
    <w:p w14:paraId="55F5EA22" w14:textId="77777777" w:rsidR="005A5FCC" w:rsidRDefault="00A21C81">
      <w:pPr>
        <w:spacing w:before="260" w:after="80" w:line="240" w:lineRule="auto"/>
        <w:jc w:val="left"/>
      </w:pPr>
      <w:r>
        <w:rPr>
          <w:rFonts w:cs="EB Garamond"/>
          <w:b/>
          <w:color w:val="3A3128"/>
          <w:kern w:val="16"/>
          <w:sz w:val="25"/>
          <w14:ligatures w14:val="standardContextual"/>
        </w:rPr>
        <w:t>12.17.4 Acumulação com outros benefícios</w:t>
      </w:r>
    </w:p>
    <w:p w14:paraId="5623F96F"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3D25046C" w14:textId="77777777" w:rsidR="005A5FCC" w:rsidRDefault="00A21C81">
      <w:r>
        <w:rPr>
          <w:rFonts w:cs="EB Garamond"/>
          <w:kern w:val="16"/>
          <w14:ligatures w14:val="standardContextual"/>
        </w:rPr>
        <w:t xml:space="preserve"> aposentadoria da PcD segue as regras gerais de acumulação de benefícios previdenciários:</w:t>
      </w:r>
    </w:p>
    <w:p w14:paraId="502768B1" w14:textId="77777777" w:rsidR="005A5FCC" w:rsidRDefault="00A21C81">
      <w:pPr>
        <w:ind w:firstLine="238"/>
      </w:pPr>
      <w:r>
        <w:rPr>
          <w:rFonts w:cs="EB Garamond"/>
          <w:b/>
          <w:kern w:val="16"/>
          <w14:ligatures w14:val="standardContextual"/>
        </w:rPr>
        <w:t>Aposentadoria PcD + pensão por morte:</w:t>
      </w:r>
      <w:r>
        <w:rPr>
          <w:rFonts w:cs="EB Garamond"/>
          <w:kern w:val="16"/>
          <w14:ligatures w14:val="standardContextual"/>
        </w:rPr>
        <w:t xml:space="preserve"> A acumulação é possível, observadas as regras do art. 24 da EC 103/2019: assegura-se a integralidade do </w:t>
      </w:r>
      <w:r>
        <w:rPr>
          <w:rFonts w:cs="EB Garamond"/>
          <w:kern w:val="16"/>
          <w14:ligatures w14:val="standardContextual"/>
        </w:rPr>
        <w:lastRenderedPageBreak/>
        <w:t>benefício de maior valor e, sobre o de menor valor, percentuais marginais e decrescentes por faixa de salário mínimo (100% da parcela até 1 SM, 60% da parcela entre 1 e 2 SM, 40% entre 2 e 3 SM, 20% entre 3 e 4 SM e 10% da parcela que exceder 4 SM), conforme detalhado no Capítulo 19.</w:t>
      </w:r>
    </w:p>
    <w:p w14:paraId="12E836C1" w14:textId="77777777" w:rsidR="005A5FCC" w:rsidRDefault="00A21C81">
      <w:pPr>
        <w:ind w:firstLine="238"/>
      </w:pPr>
      <w:r>
        <w:rPr>
          <w:rFonts w:cs="EB Garamond"/>
          <w:b/>
          <w:kern w:val="16"/>
          <w14:ligatures w14:val="standardContextual"/>
        </w:rPr>
        <w:t>Aposentadoria PcD + auxílio-acidente:</w:t>
      </w:r>
      <w:r>
        <w:rPr>
          <w:rFonts w:cs="EB Garamond"/>
          <w:kern w:val="16"/>
          <w14:ligatures w14:val="standardContextual"/>
        </w:rPr>
        <w:t xml:space="preserve"> O auxílio-acidente (art. 86, Lei 8.213/91) cessa com a aposentadoria (art. 86, § 3º). Contudo, o valor do auxílio-acidente é incorporado ao salário de contribuição para cálculo da aposentadoria.</w:t>
      </w:r>
    </w:p>
    <w:p w14:paraId="71894587" w14:textId="77777777" w:rsidR="005A5FCC" w:rsidRDefault="00A21C81">
      <w:pPr>
        <w:ind w:firstLine="238"/>
      </w:pPr>
      <w:r>
        <w:rPr>
          <w:rFonts w:cs="EB Garamond"/>
          <w:b/>
          <w:kern w:val="16"/>
          <w14:ligatures w14:val="standardContextual"/>
        </w:rPr>
        <w:t>Aposentadoria PcD + BPC:</w:t>
      </w:r>
      <w:r>
        <w:rPr>
          <w:rFonts w:cs="EB Garamond"/>
          <w:kern w:val="16"/>
          <w14:ligatures w14:val="standardContextual"/>
        </w:rPr>
        <w:t xml:space="preserve"> Vedada. O BPC não é acumulável com qualquer benefício previdenciário (art. 20, § 4º, Lei 8.742/93).</w:t>
      </w:r>
    </w:p>
    <w:p w14:paraId="3A3D4DD2" w14:textId="77777777" w:rsidR="005A5FCC" w:rsidRDefault="00A21C81">
      <w:pPr>
        <w:spacing w:before="260" w:after="80" w:line="240" w:lineRule="auto"/>
        <w:jc w:val="left"/>
      </w:pPr>
      <w:r>
        <w:rPr>
          <w:rFonts w:cs="EB Garamond"/>
          <w:b/>
          <w:color w:val="3A3128"/>
          <w:kern w:val="16"/>
          <w:sz w:val="25"/>
          <w14:ligatures w14:val="standardContextual"/>
        </w:rPr>
        <w:t>12.17.5 PcD servidor público que migrou para RGPS</w:t>
      </w:r>
    </w:p>
    <w:p w14:paraId="5CDF3BD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7B079D0A" w14:textId="77777777" w:rsidR="005A5FCC" w:rsidRDefault="00A21C81">
      <w:r>
        <w:rPr>
          <w:rFonts w:cs="EB Garamond"/>
          <w:kern w:val="16"/>
          <w14:ligatures w14:val="standardContextual"/>
        </w:rPr>
        <w:t xml:space="preserve"> servidor público com deficiência que migrou para o RGPS (por exemplo, ao assumir emprego celetista após exoneração) pode utilizar a contagem recíproca (art. 94, Lei 8.213/91 — detalhado no Capítulo 5) para somar o tempo de serviço público ao tempo de contribuição ao RGPS e requerer a aposentadoria da PcD pela LC 142. A conversão do tempo entre graus de deficiência (art. 7º, LC 142) aplica-se normalmente, considerando o grau vigente em cada período.</w:t>
      </w:r>
    </w:p>
    <w:p w14:paraId="6E208516" w14:textId="77777777" w:rsidR="005A5FCC" w:rsidRDefault="00A21C81">
      <w:pPr>
        <w:ind w:firstLine="238"/>
      </w:pPr>
      <w:r>
        <w:rPr>
          <w:rFonts w:cs="EB Garamond"/>
          <w:kern w:val="16"/>
          <w14:ligatures w14:val="standardContextual"/>
        </w:rPr>
        <w:t>Cabe observar que, no RPPS, a situação é distinta: o art. 40, § 4º-A, CF (incluído pela EC 103/2019) reserva à lei complementar a definição de critérios diferenciados de aposentadoria para servidores com deficiência, regulamentação que, no plano federal, ainda não foi editada. Diante dessa omissão, parcela da jurisprudência injuntiva tem admitido a colmatação da lacuna pela aplicação analógica da LC 142/2013 aos servidores com deficiência, até que sobrevenha a lei complementar específica — solução que, contudo, não se pode apresentar como tese consolidada do colegiado do STF, pois depende do exame concreto de cada mandado de injunção e da modulação que a Corte venha a fixar quanto aos parâmetros de cálculo. O advogado deve atentar para essa distinção entre RGPS (LC 142 de aplicação plena) e RPPS (lacuna do art. 40, § 4º-A, ainda não suprida por lei, com colmatação buscada pela via injuntiva).</w:t>
      </w:r>
    </w:p>
    <w:p w14:paraId="709E91F4" w14:textId="77777777" w:rsidR="005A5FCC" w:rsidRDefault="00A21C81">
      <w:pPr>
        <w:spacing w:before="260" w:after="80" w:line="240" w:lineRule="auto"/>
        <w:jc w:val="left"/>
      </w:pPr>
      <w:r>
        <w:rPr>
          <w:rFonts w:cs="EB Garamond"/>
          <w:b/>
          <w:color w:val="3A3128"/>
          <w:kern w:val="16"/>
          <w:sz w:val="25"/>
          <w14:ligatures w14:val="standardContextual"/>
        </w:rPr>
        <w:lastRenderedPageBreak/>
        <w:t>12.17.6 Deficiência e trabalho informal: implicações para a PcD</w:t>
      </w:r>
    </w:p>
    <w:p w14:paraId="0E522C5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017AB77B" w14:textId="77777777" w:rsidR="005A5FCC" w:rsidRDefault="00A21C81">
      <w:r>
        <w:rPr>
          <w:rFonts w:cs="EB Garamond"/>
          <w:kern w:val="16"/>
          <w14:ligatures w14:val="standardContextual"/>
        </w:rPr>
        <w:t xml:space="preserve"> segurado PcD que exerceu atividade laborativa informal (sem registro em CTPS, sem contribuições) enfrenta duplo desafio: (a) comprovar o exercício da atividade para fins de cômputo de tempo de contribuição (conforme seção 5.7 do Capítulo 5); e (b) comprovar a existência da deficiência durante o período de trabalho informal.</w:t>
      </w:r>
    </w:p>
    <w:p w14:paraId="5BDDA8EC" w14:textId="77777777" w:rsidR="005A5FCC" w:rsidRDefault="00A21C81">
      <w:pPr>
        <w:ind w:firstLine="238"/>
      </w:pPr>
      <w:r>
        <w:rPr>
          <w:rFonts w:cs="EB Garamond"/>
          <w:kern w:val="16"/>
          <w14:ligatures w14:val="standardContextual"/>
        </w:rPr>
        <w:t>Na prática, a ausência de contribuições regulares impede o cômputo do tempo para fins de aposentadoria por TC da PcD — exceto nos casos em que o INSS reconheça o vínculo empregatício retroativamente (ação trabalhista ou reclamatória administrativa) ou quando o segurado complemente as contribuições em atraso (para contribuintes individuais e facultativos, nos termos do art. 45-A, Lei 8.212/91).</w:t>
      </w:r>
    </w:p>
    <w:p w14:paraId="61A64B43" w14:textId="77777777" w:rsidR="005A5FCC" w:rsidRDefault="00A21C81">
      <w:pPr>
        <w:ind w:firstLine="238"/>
      </w:pPr>
      <w:r>
        <w:rPr>
          <w:rFonts w:cs="EB Garamond"/>
          <w:kern w:val="16"/>
          <w14:ligatures w14:val="standardContextual"/>
        </w:rPr>
        <w:t>Para o segurado PcD com histórico de trabalho informal extenso e poucas contribuições, a aposentadoria por idade da PcD (art. 3º, IV) pode ser mais acessível, exigindo apenas 15 anos de carência, ou o BPC pode ser a via adequada (se preenchido o requisito de miserabilidade).</w:t>
      </w:r>
    </w:p>
    <w:p w14:paraId="43A2335D" w14:textId="77777777" w:rsidR="005A5FCC" w:rsidRDefault="00A21C81">
      <w:pPr>
        <w:spacing w:before="260" w:after="80" w:line="240" w:lineRule="auto"/>
        <w:jc w:val="left"/>
      </w:pPr>
      <w:r>
        <w:rPr>
          <w:rFonts w:cs="EB Garamond"/>
          <w:b/>
          <w:color w:val="3A3128"/>
          <w:kern w:val="16"/>
          <w:sz w:val="25"/>
          <w14:ligatures w14:val="standardContextual"/>
        </w:rPr>
        <w:t>12.17.7 Planejamento previdenciário para a PcD</w:t>
      </w:r>
    </w:p>
    <w:p w14:paraId="40995173"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V</w:t>
      </w:r>
    </w:p>
    <w:p w14:paraId="54D67A60" w14:textId="77777777" w:rsidR="005A5FCC" w:rsidRDefault="00A21C81">
      <w:r>
        <w:rPr>
          <w:rFonts w:cs="EB Garamond"/>
          <w:kern w:val="16"/>
          <w14:ligatures w14:val="standardContextual"/>
        </w:rPr>
        <w:t>istas as hipóteses de fronteira, a síntese natural é o planejamento. Se há um terreno em que a aposentadoria da PcD se distingue das demais — pela quantidade de vias concorrentes (TC por grau, idade, BPC, benefício por incapacidade) e pela mutabilidade do próprio grau ao longo do tempo —, é o do planejamento previdenciário, que aqui deixa de ser exercício acessório para tornar-se o cerne da orientação. Não basta identificar o benefício a que o segurado tem direito hoje; é preciso projetar qual via lhe será mais vantajosa amanhã, ponderando variáveis que interagem entre si:</w:t>
      </w:r>
    </w:p>
    <w:p w14:paraId="4321874C" w14:textId="77777777" w:rsidR="005A5FCC" w:rsidRDefault="00A21C81">
      <w:pPr>
        <w:ind w:firstLine="238"/>
      </w:pPr>
      <w:r>
        <w:rPr>
          <w:rFonts w:cs="EB Garamond"/>
          <w:b/>
          <w:kern w:val="16"/>
          <w14:ligatures w14:val="standardContextual"/>
        </w:rPr>
        <w:t>Variáveis a considerar:</w:t>
      </w:r>
    </w:p>
    <w:p w14:paraId="785040F4" w14:textId="77777777" w:rsidR="005A5FCC" w:rsidRDefault="00A21C81">
      <w:pPr>
        <w:spacing w:after="40" w:line="252" w:lineRule="auto"/>
        <w:ind w:left="340" w:hanging="198"/>
      </w:pPr>
      <w:r>
        <w:rPr>
          <w:rFonts w:cs="EB Garamond"/>
          <w:color w:val="3A3128"/>
          <w:kern w:val="16"/>
          <w:sz w:val="20"/>
          <w14:ligatures w14:val="standardContextual"/>
        </w:rPr>
        <w:t xml:space="preserve">1. </w:t>
      </w:r>
      <w:r>
        <w:rPr>
          <w:rFonts w:cs="EB Garamond"/>
          <w:kern w:val="16"/>
          <w:sz w:val="20"/>
          <w14:ligatures w14:val="standardContextual"/>
        </w:rPr>
        <w:t>Grau de deficiência atual e perspectiva de alteração (melhora ou piora)</w:t>
      </w:r>
    </w:p>
    <w:p w14:paraId="39D8C262" w14:textId="77777777" w:rsidR="005A5FCC" w:rsidRDefault="00A21C81">
      <w:pPr>
        <w:spacing w:after="40" w:line="252" w:lineRule="auto"/>
        <w:ind w:left="340" w:hanging="198"/>
      </w:pPr>
      <w:r>
        <w:rPr>
          <w:rFonts w:cs="EB Garamond"/>
          <w:color w:val="3A3128"/>
          <w:kern w:val="16"/>
          <w:sz w:val="20"/>
          <w14:ligatures w14:val="standardContextual"/>
        </w:rPr>
        <w:t xml:space="preserve">2. </w:t>
      </w:r>
      <w:r>
        <w:rPr>
          <w:rFonts w:cs="EB Garamond"/>
          <w:kern w:val="16"/>
          <w:sz w:val="20"/>
          <w14:ligatures w14:val="standardContextual"/>
        </w:rPr>
        <w:t>Tempo de contribuição já cumprido e contribuições em andamento</w:t>
      </w:r>
    </w:p>
    <w:p w14:paraId="4BA5F940" w14:textId="77777777" w:rsidR="005A5FCC" w:rsidRDefault="00A21C81">
      <w:pPr>
        <w:spacing w:after="40" w:line="252" w:lineRule="auto"/>
        <w:ind w:left="340" w:hanging="198"/>
      </w:pPr>
      <w:r>
        <w:rPr>
          <w:rFonts w:cs="EB Garamond"/>
          <w:color w:val="3A3128"/>
          <w:kern w:val="16"/>
          <w:sz w:val="20"/>
          <w14:ligatures w14:val="standardContextual"/>
        </w:rPr>
        <w:t xml:space="preserve">3. </w:t>
      </w:r>
      <w:r>
        <w:rPr>
          <w:rFonts w:cs="EB Garamond"/>
          <w:kern w:val="16"/>
          <w:sz w:val="20"/>
          <w14:ligatures w14:val="standardContextual"/>
        </w:rPr>
        <w:t>Forma de contribuição (empregado, CI, MEI, facultativo)</w:t>
      </w:r>
    </w:p>
    <w:p w14:paraId="3957E950" w14:textId="77777777" w:rsidR="005A5FCC" w:rsidRDefault="00A21C81">
      <w:pPr>
        <w:spacing w:after="40" w:line="252" w:lineRule="auto"/>
        <w:ind w:left="340" w:hanging="198"/>
      </w:pPr>
      <w:r>
        <w:rPr>
          <w:rFonts w:cs="EB Garamond"/>
          <w:color w:val="3A3128"/>
          <w:kern w:val="16"/>
          <w:sz w:val="20"/>
          <w14:ligatures w14:val="standardContextual"/>
        </w:rPr>
        <w:t xml:space="preserve">4. </w:t>
      </w:r>
      <w:r>
        <w:rPr>
          <w:rFonts w:cs="EB Garamond"/>
          <w:kern w:val="16"/>
          <w:sz w:val="20"/>
          <w14:ligatures w14:val="standardContextual"/>
        </w:rPr>
        <w:t>Idade atual e idade projetada para aposentadoria por cada via</w:t>
      </w:r>
    </w:p>
    <w:p w14:paraId="7C9E6C77" w14:textId="77777777" w:rsidR="005A5FCC" w:rsidRDefault="00A21C81">
      <w:pPr>
        <w:spacing w:after="40" w:line="252" w:lineRule="auto"/>
        <w:ind w:left="340" w:hanging="198"/>
      </w:pPr>
      <w:r>
        <w:rPr>
          <w:rFonts w:cs="EB Garamond"/>
          <w:color w:val="3A3128"/>
          <w:kern w:val="16"/>
          <w:sz w:val="20"/>
          <w14:ligatures w14:val="standardContextual"/>
        </w:rPr>
        <w:lastRenderedPageBreak/>
        <w:t xml:space="preserve">5. </w:t>
      </w:r>
      <w:r>
        <w:rPr>
          <w:rFonts w:cs="EB Garamond"/>
          <w:kern w:val="16"/>
          <w:sz w:val="20"/>
          <w14:ligatures w14:val="standardContextual"/>
        </w:rPr>
        <w:t>Média salarial e projeção da RMI em cada cenário</w:t>
      </w:r>
    </w:p>
    <w:p w14:paraId="64B3F93B" w14:textId="77777777" w:rsidR="005A5FCC" w:rsidRDefault="00A21C81">
      <w:pPr>
        <w:spacing w:after="40" w:line="252" w:lineRule="auto"/>
        <w:ind w:left="340" w:hanging="198"/>
      </w:pPr>
      <w:r>
        <w:rPr>
          <w:rFonts w:cs="EB Garamond"/>
          <w:color w:val="3A3128"/>
          <w:kern w:val="16"/>
          <w:sz w:val="20"/>
          <w14:ligatures w14:val="standardContextual"/>
        </w:rPr>
        <w:t xml:space="preserve">6. </w:t>
      </w:r>
      <w:r>
        <w:rPr>
          <w:rFonts w:cs="EB Garamond"/>
          <w:kern w:val="16"/>
          <w:sz w:val="20"/>
          <w14:ligatures w14:val="standardContextual"/>
        </w:rPr>
        <w:t>Situação familiar (dependentes, necessidade de pensão por morte)</w:t>
      </w:r>
    </w:p>
    <w:p w14:paraId="676D2AC4" w14:textId="77777777" w:rsidR="005A5FCC" w:rsidRDefault="00A21C81">
      <w:pPr>
        <w:spacing w:after="40" w:line="252" w:lineRule="auto"/>
        <w:ind w:left="340" w:hanging="198"/>
      </w:pPr>
      <w:r>
        <w:rPr>
          <w:rFonts w:cs="EB Garamond"/>
          <w:color w:val="3A3128"/>
          <w:kern w:val="16"/>
          <w:sz w:val="20"/>
          <w14:ligatures w14:val="standardContextual"/>
        </w:rPr>
        <w:t xml:space="preserve">7. </w:t>
      </w:r>
      <w:r>
        <w:rPr>
          <w:rFonts w:cs="EB Garamond"/>
          <w:kern w:val="16"/>
          <w:sz w:val="20"/>
          <w14:ligatures w14:val="standardContextual"/>
        </w:rPr>
        <w:t>Possibilidade de complementação de contribuições (MEI, plano simplificado)</w:t>
      </w:r>
    </w:p>
    <w:p w14:paraId="620E9557" w14:textId="77777777" w:rsidR="005A5FCC" w:rsidRDefault="00A21C81">
      <w:pPr>
        <w:spacing w:after="40" w:line="252" w:lineRule="auto"/>
        <w:ind w:left="340" w:hanging="198"/>
      </w:pPr>
      <w:r>
        <w:rPr>
          <w:rFonts w:cs="EB Garamond"/>
          <w:color w:val="3A3128"/>
          <w:kern w:val="16"/>
          <w:sz w:val="20"/>
          <w14:ligatures w14:val="standardContextual"/>
        </w:rPr>
        <w:t xml:space="preserve">8. </w:t>
      </w:r>
      <w:r>
        <w:rPr>
          <w:rFonts w:cs="EB Garamond"/>
          <w:kern w:val="16"/>
          <w:sz w:val="20"/>
          <w14:ligatures w14:val="standardContextual"/>
        </w:rPr>
        <w:t>Existência de período sem deficiência (conversão proporcional)</w:t>
      </w:r>
    </w:p>
    <w:p w14:paraId="64841946" w14:textId="77777777" w:rsidR="005A5FCC" w:rsidRDefault="00A21C81">
      <w:pPr>
        <w:spacing w:after="40" w:line="252" w:lineRule="auto"/>
        <w:ind w:left="340" w:hanging="198"/>
      </w:pPr>
      <w:r>
        <w:rPr>
          <w:rFonts w:cs="EB Garamond"/>
          <w:color w:val="3A3128"/>
          <w:kern w:val="16"/>
          <w:sz w:val="20"/>
          <w14:ligatures w14:val="standardContextual"/>
        </w:rPr>
        <w:t xml:space="preserve">9. </w:t>
      </w:r>
      <w:r>
        <w:rPr>
          <w:rFonts w:cs="EB Garamond"/>
          <w:kern w:val="16"/>
          <w:sz w:val="20"/>
          <w14:ligatures w14:val="standardContextual"/>
        </w:rPr>
        <w:t>Existência de atividade especial (vedação de cumulação, escolha da via mais vantajosa)</w:t>
      </w:r>
    </w:p>
    <w:p w14:paraId="3ACA7722" w14:textId="77777777" w:rsidR="005A5FCC" w:rsidRDefault="00A21C81">
      <w:pPr>
        <w:spacing w:after="40" w:line="252" w:lineRule="auto"/>
        <w:ind w:left="340" w:hanging="198"/>
      </w:pPr>
      <w:r>
        <w:rPr>
          <w:rFonts w:cs="EB Garamond"/>
          <w:color w:val="3A3128"/>
          <w:kern w:val="16"/>
          <w:sz w:val="20"/>
          <w14:ligatures w14:val="standardContextual"/>
        </w:rPr>
        <w:t xml:space="preserve">10. </w:t>
      </w:r>
      <w:r>
        <w:rPr>
          <w:rFonts w:cs="EB Garamond"/>
          <w:kern w:val="16"/>
          <w:sz w:val="20"/>
          <w14:ligatures w14:val="standardContextual"/>
        </w:rPr>
        <w:t>Comparativo BPC × aposentadoria PcD × aposentadoria por incapacidade</w:t>
      </w:r>
    </w:p>
    <w:p w14:paraId="044931FD" w14:textId="77777777" w:rsidR="005A5FCC" w:rsidRDefault="005A5FCC">
      <w:pPr>
        <w:spacing w:after="60" w:line="240" w:lineRule="auto"/>
      </w:pPr>
    </w:p>
    <w:p w14:paraId="070F7A33"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C</w:t>
      </w:r>
    </w:p>
    <w:p w14:paraId="77CFAE59" w14:textId="77777777" w:rsidR="005A5FCC" w:rsidRDefault="00A21C81">
      <w:r>
        <w:rPr>
          <w:rFonts w:cs="EB Garamond"/>
          <w:b/>
          <w:kern w:val="16"/>
          <w14:ligatures w14:val="standardContextual"/>
        </w:rPr>
        <w:t>enários comparativos que o advogado deve projetar:</w:t>
      </w:r>
    </w:p>
    <w:p w14:paraId="75607288" w14:textId="77777777" w:rsidR="005A5FCC" w:rsidRDefault="00A21C81">
      <w:pPr>
        <w:ind w:firstLine="238"/>
      </w:pPr>
      <w:r>
        <w:rPr>
          <w:rFonts w:cs="EB Garamond"/>
          <w:b/>
          <w:kern w:val="16"/>
          <w14:ligatures w14:val="standardContextual"/>
        </w:rPr>
        <w:t>Cenário A — Aposentadoria por TC da PcD (grau grave):</w:t>
      </w:r>
      <w:r>
        <w:rPr>
          <w:rFonts w:cs="EB Garamond"/>
          <w:kern w:val="16"/>
          <w14:ligatures w14:val="standardContextual"/>
        </w:rPr>
        <w:t xml:space="preserve"> Segurado homem, 45 anos, deficiência grave desde 20 anos. TC = 25 anos. Pode se aposentar imediatamente. RMI = 100% SB (estimativa: R$ 4.200,00). Sem fator previdenciário. Benefício definitivo.</w:t>
      </w:r>
    </w:p>
    <w:p w14:paraId="1016C252" w14:textId="77777777" w:rsidR="005A5FCC" w:rsidRDefault="00A21C81">
      <w:pPr>
        <w:ind w:firstLine="238"/>
      </w:pPr>
      <w:r>
        <w:rPr>
          <w:rFonts w:cs="EB Garamond"/>
          <w:b/>
          <w:kern w:val="16"/>
          <w14:ligatures w14:val="standardContextual"/>
        </w:rPr>
        <w:t>Cenário B — Aposentadoria por TC da PcD (grau moderado):</w:t>
      </w:r>
      <w:r>
        <w:rPr>
          <w:rFonts w:cs="EB Garamond"/>
          <w:kern w:val="16"/>
          <w14:ligatures w14:val="standardContextual"/>
        </w:rPr>
        <w:t xml:space="preserve"> Mesmo segurado, se reclassificado como moderado na avaliação. TC mínimo = 29 anos. Faltam 4 anos. RMI = 100% SB (estimativa: R$ 4.200,00 + contribuições adicionais). Mais vantajosa a longo prazo se a média salarial subir, mas exige 4 anos adicionais de contribuição.</w:t>
      </w:r>
    </w:p>
    <w:p w14:paraId="54298174" w14:textId="77777777" w:rsidR="005A5FCC" w:rsidRDefault="00A21C81">
      <w:pPr>
        <w:ind w:firstLine="238"/>
      </w:pPr>
      <w:r>
        <w:rPr>
          <w:rFonts w:cs="EB Garamond"/>
          <w:b/>
          <w:kern w:val="16"/>
          <w14:ligatures w14:val="standardContextual"/>
        </w:rPr>
        <w:t>Cenário C — Aposentadoria por idade da PcD:</w:t>
      </w:r>
      <w:r>
        <w:rPr>
          <w:rFonts w:cs="EB Garamond"/>
          <w:kern w:val="16"/>
          <w14:ligatures w14:val="standardContextual"/>
        </w:rPr>
        <w:t xml:space="preserve"> Mesmo segurado, aos 60 anos (15 anos depois). RMI = 70% + 40% (40 anos contribuição) = 100% SB. Equivalente ao cenário A em valor, mas 15 anos depois. Só indicada se o grau de deficiência não for reconhecido para TC.</w:t>
      </w:r>
    </w:p>
    <w:p w14:paraId="57582BC9" w14:textId="77777777" w:rsidR="005A5FCC" w:rsidRDefault="00A21C81">
      <w:pPr>
        <w:ind w:firstLine="238"/>
      </w:pPr>
      <w:r>
        <w:rPr>
          <w:rFonts w:cs="EB Garamond"/>
          <w:b/>
          <w:kern w:val="16"/>
          <w14:ligatures w14:val="standardContextual"/>
        </w:rPr>
        <w:t>Cenário D — BPC:</w:t>
      </w:r>
      <w:r>
        <w:rPr>
          <w:rFonts w:cs="EB Garamond"/>
          <w:kern w:val="16"/>
          <w14:ligatures w14:val="standardContextual"/>
        </w:rPr>
        <w:t xml:space="preserve"> Se o segurado perdesse a capacidade laboral e não tivesse contribuições. Valor: 1 SM (R$ 1.621,00). Sem 13º. Sem pensão por morte. Significativamente inferior.</w:t>
      </w:r>
    </w:p>
    <w:p w14:paraId="6C94A664" w14:textId="77777777" w:rsidR="005A5FCC" w:rsidRDefault="00A21C81">
      <w:pPr>
        <w:ind w:firstLine="238"/>
      </w:pPr>
      <w:r>
        <w:rPr>
          <w:rFonts w:cs="EB Garamond"/>
          <w:kern w:val="16"/>
          <w14:ligatures w14:val="standardContextual"/>
        </w:rPr>
        <w:t>A análise comparativa deve ser documentada e apresentada ao cliente de forma clara, permitindo decisão informada sobre a via de aposentadoria mais adequada ao seu caso concreto.</w:t>
      </w:r>
    </w:p>
    <w:tbl>
      <w:tblPr>
        <w:tblW w:w="5000" w:type="pct"/>
        <w:jc w:val="center"/>
        <w:tblLayout w:type="fixed"/>
        <w:tblLook w:val="04A0" w:firstRow="1" w:lastRow="0" w:firstColumn="1" w:lastColumn="0" w:noHBand="0" w:noVBand="1"/>
      </w:tblPr>
      <w:tblGrid>
        <w:gridCol w:w="6311"/>
      </w:tblGrid>
      <w:tr w:rsidR="005A5FCC" w14:paraId="2A5CAB10"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1DC04B82" w14:textId="77777777" w:rsidR="005A5FCC" w:rsidRDefault="00A21C81">
            <w:pPr>
              <w:spacing w:after="60" w:line="240" w:lineRule="auto"/>
              <w:jc w:val="left"/>
            </w:pPr>
            <w:r>
              <w:rPr>
                <w:rFonts w:ascii="Noto Sans" w:hAnsi="Noto Sans" w:cs="Noto Sans"/>
                <w:b/>
                <w:caps/>
                <w:color w:val="B78B37"/>
                <w:kern w:val="16"/>
                <w:sz w:val="16"/>
                <w14:ligatures w14:val="standardContextual"/>
              </w:rPr>
              <w:lastRenderedPageBreak/>
              <w:t>ATENÇÃO</w:t>
            </w:r>
          </w:p>
          <w:p w14:paraId="751D7365" w14:textId="77777777" w:rsidR="005A5FCC" w:rsidRDefault="00A21C81">
            <w:pPr>
              <w:spacing w:after="60" w:line="247" w:lineRule="auto"/>
            </w:pPr>
            <w:r>
              <w:rPr>
                <w:rFonts w:cs="EB Garamond"/>
                <w:b/>
                <w:kern w:val="16"/>
                <w:sz w:val="19"/>
                <w14:ligatures w14:val="standardContextual"/>
              </w:rPr>
              <w:t>Armadilhas comuns na aposentadoria da PcD</w:t>
            </w:r>
          </w:p>
          <w:p w14:paraId="05E0DA3D" w14:textId="77777777" w:rsidR="005A5FCC" w:rsidRDefault="00A21C81">
            <w:pPr>
              <w:spacing w:after="30" w:line="240" w:lineRule="auto"/>
              <w:ind w:left="227" w:hanging="142"/>
            </w:pPr>
            <w:r>
              <w:rPr>
                <w:rFonts w:cs="EB Garamond"/>
                <w:kern w:val="16"/>
                <w:sz w:val="19"/>
                <w14:ligatures w14:val="standardContextual"/>
              </w:rPr>
              <w:t xml:space="preserve">1. </w:t>
            </w:r>
            <w:r>
              <w:rPr>
                <w:rFonts w:cs="EB Garamond"/>
                <w:b/>
                <w:kern w:val="16"/>
                <w:sz w:val="19"/>
                <w14:ligatures w14:val="standardContextual"/>
              </w:rPr>
              <w:t>Confundir deficiência com incapacidade:</w:t>
            </w:r>
            <w:r>
              <w:rPr>
                <w:rFonts w:cs="EB Garamond"/>
                <w:kern w:val="16"/>
                <w:sz w:val="19"/>
                <w14:ligatures w14:val="standardContextual"/>
              </w:rPr>
              <w:t xml:space="preserve"> O INSS por vezes encaminha o requerimento de aposentadoria PcD para perícia de incapacidade, resultando em indeferimento por "ausência de incapacidade". A deficiência não exige incapacidade laboral.</w:t>
            </w:r>
          </w:p>
          <w:p w14:paraId="1E21030B" w14:textId="77777777" w:rsidR="005A5FCC" w:rsidRDefault="00A21C81">
            <w:pPr>
              <w:spacing w:after="30" w:line="240" w:lineRule="auto"/>
              <w:ind w:left="227" w:hanging="142"/>
            </w:pPr>
            <w:r>
              <w:rPr>
                <w:rFonts w:cs="EB Garamond"/>
                <w:kern w:val="16"/>
                <w:sz w:val="19"/>
                <w14:ligatures w14:val="standardContextual"/>
              </w:rPr>
              <w:t xml:space="preserve">2. </w:t>
            </w:r>
            <w:r>
              <w:rPr>
                <w:rFonts w:cs="EB Garamond"/>
                <w:b/>
                <w:kern w:val="16"/>
                <w:sz w:val="19"/>
                <w14:ligatures w14:val="standardContextual"/>
              </w:rPr>
              <w:t>Não requerer avaliação biopsicossocial completa:</w:t>
            </w:r>
            <w:r>
              <w:rPr>
                <w:rFonts w:cs="EB Garamond"/>
                <w:kern w:val="16"/>
                <w:sz w:val="19"/>
                <w14:ligatures w14:val="standardContextual"/>
              </w:rPr>
              <w:t xml:space="preserve"> Se o INSS realizar apenas perícia médica (sem avaliação social), o resultado é incompleto. O segurado deve exigir as duas avaliações.</w:t>
            </w:r>
          </w:p>
          <w:p w14:paraId="737E8F44" w14:textId="77777777" w:rsidR="005A5FCC" w:rsidRDefault="00A21C81">
            <w:pPr>
              <w:spacing w:after="30" w:line="240" w:lineRule="auto"/>
              <w:ind w:left="227" w:hanging="142"/>
            </w:pPr>
            <w:r>
              <w:rPr>
                <w:rFonts w:cs="EB Garamond"/>
                <w:kern w:val="16"/>
                <w:sz w:val="19"/>
                <w14:ligatures w14:val="standardContextual"/>
              </w:rPr>
              <w:t xml:space="preserve">3. </w:t>
            </w:r>
            <w:r>
              <w:rPr>
                <w:rFonts w:cs="EB Garamond"/>
                <w:b/>
                <w:kern w:val="16"/>
                <w:sz w:val="19"/>
                <w14:ligatures w14:val="standardContextual"/>
              </w:rPr>
              <w:t>Contribuir pelo plano simplificado (11%) ou como MEI (5%) sem saber que não gera direito a aposentadoria por TC:</w:t>
            </w:r>
            <w:r>
              <w:rPr>
                <w:rFonts w:cs="EB Garamond"/>
                <w:kern w:val="16"/>
                <w:sz w:val="19"/>
                <w14:ligatures w14:val="standardContextual"/>
              </w:rPr>
              <w:t xml:space="preserve"> O segurado PcD que contribui por essas modalidades só terá direito à aposentadoria por idade PcD, não por TC.</w:t>
            </w:r>
          </w:p>
          <w:p w14:paraId="594B0E7A" w14:textId="77777777" w:rsidR="005A5FCC" w:rsidRDefault="00A21C81">
            <w:pPr>
              <w:spacing w:after="30" w:line="240" w:lineRule="auto"/>
              <w:ind w:left="227" w:hanging="142"/>
            </w:pPr>
            <w:r>
              <w:rPr>
                <w:rFonts w:cs="EB Garamond"/>
                <w:kern w:val="16"/>
                <w:sz w:val="19"/>
                <w14:ligatures w14:val="standardContextual"/>
              </w:rPr>
              <w:t xml:space="preserve">4. </w:t>
            </w:r>
            <w:r>
              <w:rPr>
                <w:rFonts w:cs="EB Garamond"/>
                <w:b/>
                <w:kern w:val="16"/>
                <w:sz w:val="19"/>
                <w14:ligatures w14:val="standardContextual"/>
              </w:rPr>
              <w:t>Não documentar a data de início da deficiência:</w:t>
            </w:r>
            <w:r>
              <w:rPr>
                <w:rFonts w:cs="EB Garamond"/>
                <w:kern w:val="16"/>
                <w:sz w:val="19"/>
                <w14:ligatures w14:val="standardContextual"/>
              </w:rPr>
              <w:t xml:space="preserve"> Laudos médicos antigos, relatórios escolares, prontuários hospitalares, qualquer documento que comprove a existência da deficiência em data anterior deve ser preservado.</w:t>
            </w:r>
          </w:p>
          <w:p w14:paraId="2F773204" w14:textId="77777777" w:rsidR="005A5FCC" w:rsidRDefault="00A21C81">
            <w:pPr>
              <w:spacing w:after="30" w:line="240" w:lineRule="auto"/>
              <w:ind w:left="227" w:hanging="142"/>
            </w:pPr>
            <w:r>
              <w:rPr>
                <w:rFonts w:cs="EB Garamond"/>
                <w:kern w:val="16"/>
                <w:sz w:val="19"/>
                <w14:ligatures w14:val="standardContextual"/>
              </w:rPr>
              <w:t xml:space="preserve">5. </w:t>
            </w:r>
            <w:r>
              <w:rPr>
                <w:rFonts w:cs="EB Garamond"/>
                <w:b/>
                <w:kern w:val="16"/>
                <w:sz w:val="19"/>
                <w14:ligatures w14:val="standardContextual"/>
              </w:rPr>
              <w:t>Não fazer pedido alternativo em juízo:</w:t>
            </w:r>
            <w:r>
              <w:rPr>
                <w:rFonts w:cs="EB Garamond"/>
                <w:kern w:val="16"/>
                <w:sz w:val="19"/>
                <w14:ligatures w14:val="standardContextual"/>
              </w:rPr>
              <w:t xml:space="preserve"> A petição inicial deve sempre incluir pedidos subsidiários (TC PcD + idade PcD + BPC + benefício por incapacidade, conforme o caso).</w:t>
            </w:r>
          </w:p>
          <w:p w14:paraId="0AC6992D" w14:textId="77777777" w:rsidR="005A5FCC" w:rsidRDefault="00A21C81">
            <w:pPr>
              <w:spacing w:after="30" w:line="240" w:lineRule="auto"/>
              <w:ind w:left="227" w:hanging="142"/>
            </w:pPr>
            <w:r>
              <w:rPr>
                <w:rFonts w:cs="EB Garamond"/>
                <w:kern w:val="16"/>
                <w:sz w:val="19"/>
                <w14:ligatures w14:val="standardContextual"/>
              </w:rPr>
              <w:t xml:space="preserve">6. </w:t>
            </w:r>
            <w:r>
              <w:rPr>
                <w:rFonts w:cs="EB Garamond"/>
                <w:b/>
                <w:kern w:val="16"/>
                <w:sz w:val="19"/>
                <w14:ligatures w14:val="standardContextual"/>
              </w:rPr>
              <w:t>Ignorar a conversão proporcional:</w:t>
            </w:r>
            <w:r>
              <w:rPr>
                <w:rFonts w:cs="EB Garamond"/>
                <w:kern w:val="16"/>
                <w:sz w:val="19"/>
                <w14:ligatures w14:val="standardContextual"/>
              </w:rPr>
              <w:t xml:space="preserve"> Se o segurado adquiriu deficiência após anos de contribuição sem deficiência, o tempo anterior pode ser convertido, mas o segurado (e seu advogado) deve requerer expressamente a conversão.</w:t>
            </w:r>
          </w:p>
          <w:p w14:paraId="7FEEFF07" w14:textId="77777777" w:rsidR="005A5FCC" w:rsidRDefault="00A21C81">
            <w:pPr>
              <w:spacing w:after="30" w:line="240" w:lineRule="auto"/>
              <w:ind w:left="227" w:hanging="142"/>
            </w:pPr>
            <w:r>
              <w:rPr>
                <w:rFonts w:cs="EB Garamond"/>
                <w:kern w:val="16"/>
                <w:sz w:val="19"/>
                <w14:ligatures w14:val="standardContextual"/>
              </w:rPr>
              <w:t xml:space="preserve">7. </w:t>
            </w:r>
            <w:r>
              <w:rPr>
                <w:rFonts w:cs="EB Garamond"/>
                <w:b/>
                <w:kern w:val="16"/>
                <w:sz w:val="19"/>
                <w14:ligatures w14:val="standardContextual"/>
              </w:rPr>
              <w:t>Desistir do benefício por causa do indeferimento administrativo:</w:t>
            </w:r>
            <w:r>
              <w:rPr>
                <w:rFonts w:cs="EB Garamond"/>
                <w:kern w:val="16"/>
                <w:sz w:val="19"/>
                <w14:ligatures w14:val="standardContextual"/>
              </w:rPr>
              <w:t xml:space="preserve"> O INSS tem alto índice de indeferimento de aposentadorias PcD por questões de avaliação do grau. A via judicial frequentemente reverte o resultado.</w:t>
            </w:r>
          </w:p>
          <w:p w14:paraId="0EBAABC7" w14:textId="77777777" w:rsidR="005A5FCC" w:rsidRDefault="00A21C81">
            <w:pPr>
              <w:spacing w:after="30" w:line="240" w:lineRule="auto"/>
              <w:ind w:left="227" w:hanging="142"/>
            </w:pPr>
            <w:r>
              <w:rPr>
                <w:rFonts w:cs="EB Garamond"/>
                <w:kern w:val="16"/>
                <w:sz w:val="19"/>
                <w14:ligatures w14:val="standardContextual"/>
              </w:rPr>
              <w:t xml:space="preserve">8. </w:t>
            </w:r>
            <w:r>
              <w:rPr>
                <w:rFonts w:cs="EB Garamond"/>
                <w:b/>
                <w:kern w:val="16"/>
                <w:sz w:val="19"/>
                <w14:ligatures w14:val="standardContextual"/>
              </w:rPr>
              <w:t>Não verificar se o fator previdenciário é vantajoso:</w:t>
            </w:r>
            <w:r>
              <w:rPr>
                <w:rFonts w:cs="EB Garamond"/>
                <w:kern w:val="16"/>
                <w:sz w:val="19"/>
                <w14:ligatures w14:val="standardContextual"/>
              </w:rPr>
              <w:t xml:space="preserve"> Em raros casos, segurados PcD com TC muito superior ao mínimo e idade avançada podem ter fator &gt; 1,0. A não verificação implica perda de valor.</w:t>
            </w:r>
          </w:p>
        </w:tc>
      </w:tr>
    </w:tbl>
    <w:p w14:paraId="401B6060" w14:textId="77777777" w:rsidR="005A5FCC" w:rsidRDefault="005A5FCC">
      <w:pPr>
        <w:spacing w:after="80" w:line="240" w:lineRule="auto"/>
      </w:pPr>
    </w:p>
    <w:p w14:paraId="754D1B5D"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12.18 Síntese e tabelas de consulta rápida</w:t>
      </w:r>
    </w:p>
    <w:p w14:paraId="2A1FAC7B"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E</w:t>
      </w:r>
    </w:p>
    <w:p w14:paraId="1C28C187" w14:textId="77777777" w:rsidR="005A5FCC" w:rsidRDefault="00A21C81">
      <w:r>
        <w:rPr>
          <w:rFonts w:cs="EB Garamond"/>
          <w:kern w:val="16"/>
          <w14:ligatures w14:val="standardContextual"/>
        </w:rPr>
        <w:t xml:space="preserve">xaminamos, ao longo deste capítulo, a aposentadoria da pessoa com deficiência no RGPS, regulada pela LC 142/2013, desde seu fundamento constitucional até os aspectos processuais nos JEFs. Reunimos a seguir as tabelas </w:t>
      </w:r>
      <w:r>
        <w:rPr>
          <w:rFonts w:cs="EB Garamond"/>
          <w:kern w:val="16"/>
          <w14:ligatures w14:val="standardContextual"/>
        </w:rPr>
        <w:lastRenderedPageBreak/>
        <w:t>e ferramentas de consulta rápida que sintetizam os pontos essenciais e que pretendem servir de roteiro objetivo para a atuação cotidiana.</w:t>
      </w:r>
    </w:p>
    <w:p w14:paraId="62951F86" w14:textId="77777777" w:rsidR="005A5FCC" w:rsidRDefault="00A21C81">
      <w:pPr>
        <w:spacing w:before="260" w:after="80" w:line="240" w:lineRule="auto"/>
        <w:jc w:val="left"/>
      </w:pPr>
      <w:r>
        <w:rPr>
          <w:rFonts w:cs="EB Garamond"/>
          <w:b/>
          <w:color w:val="3A3128"/>
          <w:kern w:val="16"/>
          <w:sz w:val="25"/>
          <w14:ligatures w14:val="standardContextual"/>
        </w:rPr>
        <w:t>12.18.1 Tabela-resumo das duas modalidades</w:t>
      </w:r>
    </w:p>
    <w:tbl>
      <w:tblPr>
        <w:tblW w:w="5000" w:type="pct"/>
        <w:jc w:val="center"/>
        <w:tblLook w:val="04A0" w:firstRow="1" w:lastRow="0" w:firstColumn="1" w:lastColumn="0" w:noHBand="0" w:noVBand="1"/>
      </w:tblPr>
      <w:tblGrid>
        <w:gridCol w:w="2112"/>
        <w:gridCol w:w="2114"/>
        <w:gridCol w:w="2114"/>
      </w:tblGrid>
      <w:tr w:rsidR="005A5FCC" w14:paraId="2885D8E1" w14:textId="77777777">
        <w:trPr>
          <w:tblHeader/>
          <w:jc w:val="center"/>
        </w:trPr>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0DE73C76" w14:textId="77777777" w:rsidR="005A5FCC" w:rsidRDefault="00A21C81">
            <w:pPr>
              <w:spacing w:before="40" w:after="40" w:line="240" w:lineRule="auto"/>
              <w:jc w:val="center"/>
            </w:pPr>
            <w:r>
              <w:rPr>
                <w:rFonts w:cs="EB Garamond"/>
                <w:b/>
                <w:color w:val="2F2923"/>
                <w:kern w:val="16"/>
                <w:sz w:val="18"/>
                <w14:ligatures w14:val="standardContextual"/>
              </w:rPr>
              <w:t>Aspecto</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7B073A1A" w14:textId="77777777" w:rsidR="005A5FCC" w:rsidRDefault="00A21C81">
            <w:pPr>
              <w:spacing w:before="40" w:after="40" w:line="240" w:lineRule="auto"/>
              <w:jc w:val="center"/>
            </w:pPr>
            <w:r>
              <w:rPr>
                <w:rFonts w:cs="EB Garamond"/>
                <w:b/>
                <w:color w:val="2F2923"/>
                <w:kern w:val="16"/>
                <w:sz w:val="18"/>
                <w14:ligatures w14:val="standardContextual"/>
              </w:rPr>
              <w:t>Aposentadoria por TC da PcD (art. 3º, I-III)</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5F4D0356" w14:textId="77777777" w:rsidR="005A5FCC" w:rsidRDefault="00A21C81">
            <w:pPr>
              <w:spacing w:before="40" w:after="40" w:line="240" w:lineRule="auto"/>
              <w:jc w:val="center"/>
            </w:pPr>
            <w:r>
              <w:rPr>
                <w:rFonts w:cs="EB Garamond"/>
                <w:b/>
                <w:color w:val="2F2923"/>
                <w:kern w:val="16"/>
                <w:sz w:val="18"/>
                <w14:ligatures w14:val="standardContextual"/>
              </w:rPr>
              <w:t>Aposentadoria por idade da PcD (art. 3º, IV)</w:t>
            </w:r>
          </w:p>
        </w:tc>
      </w:tr>
      <w:tr w:rsidR="005A5FCC" w14:paraId="3B40BE75"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31DDF306" w14:textId="77777777" w:rsidR="005A5FCC" w:rsidRDefault="00A21C81">
            <w:pPr>
              <w:spacing w:before="20" w:after="20" w:line="240" w:lineRule="auto"/>
              <w:jc w:val="left"/>
            </w:pPr>
            <w:r>
              <w:rPr>
                <w:rFonts w:cs="EB Garamond"/>
                <w:b/>
                <w:kern w:val="16"/>
                <w:sz w:val="18"/>
                <w14:ligatures w14:val="standardContextual"/>
              </w:rPr>
              <w:t>TC mínimo</w:t>
            </w:r>
          </w:p>
        </w:tc>
        <w:tc>
          <w:tcPr>
            <w:tcW w:w="2117" w:type="dxa"/>
            <w:tcBorders>
              <w:top w:val="single" w:sz="4" w:space="0" w:color="D2C9B8"/>
              <w:left w:val="single" w:sz="4" w:space="0" w:color="D2C9B8"/>
              <w:bottom w:val="single" w:sz="4" w:space="0" w:color="D2C9B8"/>
              <w:right w:val="single" w:sz="4" w:space="0" w:color="D2C9B8"/>
            </w:tcBorders>
          </w:tcPr>
          <w:p w14:paraId="2AC10B5E" w14:textId="77777777" w:rsidR="005A5FCC" w:rsidRDefault="00A21C81">
            <w:pPr>
              <w:spacing w:before="20" w:after="20" w:line="240" w:lineRule="auto"/>
              <w:jc w:val="left"/>
            </w:pPr>
            <w:r>
              <w:rPr>
                <w:rFonts w:cs="EB Garamond"/>
                <w:kern w:val="16"/>
                <w:sz w:val="18"/>
                <w14:ligatures w14:val="standardContextual"/>
              </w:rPr>
              <w:t>Grave: 25H/20M; Moderada: 29H/24M; Leve: 33H/28M</w:t>
            </w:r>
          </w:p>
        </w:tc>
        <w:tc>
          <w:tcPr>
            <w:tcW w:w="2117" w:type="dxa"/>
            <w:tcBorders>
              <w:top w:val="single" w:sz="4" w:space="0" w:color="D2C9B8"/>
              <w:left w:val="single" w:sz="4" w:space="0" w:color="D2C9B8"/>
              <w:bottom w:val="single" w:sz="4" w:space="0" w:color="D2C9B8"/>
              <w:right w:val="single" w:sz="4" w:space="0" w:color="D2C9B8"/>
            </w:tcBorders>
          </w:tcPr>
          <w:p w14:paraId="4ADDD4FD" w14:textId="77777777" w:rsidR="005A5FCC" w:rsidRDefault="00A21C81">
            <w:pPr>
              <w:spacing w:before="20" w:after="20" w:line="240" w:lineRule="auto"/>
              <w:jc w:val="left"/>
            </w:pPr>
            <w:r>
              <w:rPr>
                <w:rFonts w:cs="EB Garamond"/>
                <w:kern w:val="16"/>
                <w:sz w:val="18"/>
                <w14:ligatures w14:val="standardContextual"/>
              </w:rPr>
              <w:t>15 anos</w:t>
            </w:r>
          </w:p>
        </w:tc>
      </w:tr>
      <w:tr w:rsidR="005A5FCC" w14:paraId="32AD50B2"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3DD77275" w14:textId="77777777" w:rsidR="005A5FCC" w:rsidRDefault="00A21C81">
            <w:pPr>
              <w:spacing w:before="20" w:after="20" w:line="240" w:lineRule="auto"/>
              <w:jc w:val="left"/>
            </w:pPr>
            <w:r>
              <w:rPr>
                <w:rFonts w:cs="EB Garamond"/>
                <w:b/>
                <w:kern w:val="16"/>
                <w:sz w:val="18"/>
                <w14:ligatures w14:val="standardContextual"/>
              </w:rPr>
              <w:t>Idade mínima</w:t>
            </w:r>
          </w:p>
        </w:tc>
        <w:tc>
          <w:tcPr>
            <w:tcW w:w="2117" w:type="dxa"/>
            <w:tcBorders>
              <w:top w:val="single" w:sz="4" w:space="0" w:color="D2C9B8"/>
              <w:left w:val="single" w:sz="4" w:space="0" w:color="D2C9B8"/>
              <w:bottom w:val="single" w:sz="4" w:space="0" w:color="D2C9B8"/>
              <w:right w:val="single" w:sz="4" w:space="0" w:color="D2C9B8"/>
            </w:tcBorders>
          </w:tcPr>
          <w:p w14:paraId="0D4ED82F" w14:textId="77777777" w:rsidR="005A5FCC" w:rsidRDefault="00A21C81">
            <w:pPr>
              <w:spacing w:before="20" w:after="20" w:line="240" w:lineRule="auto"/>
              <w:jc w:val="left"/>
            </w:pPr>
            <w:r>
              <w:rPr>
                <w:rFonts w:cs="EB Garamond"/>
                <w:kern w:val="16"/>
                <w:sz w:val="18"/>
                <w14:ligatures w14:val="standardContextual"/>
              </w:rPr>
              <w:t>NÃO exige</w:t>
            </w:r>
          </w:p>
        </w:tc>
        <w:tc>
          <w:tcPr>
            <w:tcW w:w="2117" w:type="dxa"/>
            <w:tcBorders>
              <w:top w:val="single" w:sz="4" w:space="0" w:color="D2C9B8"/>
              <w:left w:val="single" w:sz="4" w:space="0" w:color="D2C9B8"/>
              <w:bottom w:val="single" w:sz="4" w:space="0" w:color="D2C9B8"/>
              <w:right w:val="single" w:sz="4" w:space="0" w:color="D2C9B8"/>
            </w:tcBorders>
          </w:tcPr>
          <w:p w14:paraId="24C84936" w14:textId="77777777" w:rsidR="005A5FCC" w:rsidRDefault="00A21C81">
            <w:pPr>
              <w:spacing w:before="20" w:after="20" w:line="240" w:lineRule="auto"/>
              <w:jc w:val="left"/>
            </w:pPr>
            <w:r>
              <w:rPr>
                <w:rFonts w:cs="EB Garamond"/>
                <w:kern w:val="16"/>
                <w:sz w:val="18"/>
                <w14:ligatures w14:val="standardContextual"/>
              </w:rPr>
              <w:t>60H/55M</w:t>
            </w:r>
          </w:p>
        </w:tc>
      </w:tr>
      <w:tr w:rsidR="005A5FCC" w14:paraId="3F13153E"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3DFD795B" w14:textId="77777777" w:rsidR="005A5FCC" w:rsidRDefault="00A21C81">
            <w:pPr>
              <w:spacing w:before="20" w:after="20" w:line="240" w:lineRule="auto"/>
              <w:jc w:val="left"/>
            </w:pPr>
            <w:r>
              <w:rPr>
                <w:rFonts w:cs="EB Garamond"/>
                <w:b/>
                <w:kern w:val="16"/>
                <w:sz w:val="18"/>
                <w14:ligatures w14:val="standardContextual"/>
              </w:rPr>
              <w:t>Carência</w:t>
            </w:r>
          </w:p>
        </w:tc>
        <w:tc>
          <w:tcPr>
            <w:tcW w:w="2117" w:type="dxa"/>
            <w:tcBorders>
              <w:top w:val="single" w:sz="4" w:space="0" w:color="D2C9B8"/>
              <w:left w:val="single" w:sz="4" w:space="0" w:color="D2C9B8"/>
              <w:bottom w:val="single" w:sz="4" w:space="0" w:color="D2C9B8"/>
              <w:right w:val="single" w:sz="4" w:space="0" w:color="D2C9B8"/>
            </w:tcBorders>
          </w:tcPr>
          <w:p w14:paraId="402576D8" w14:textId="77777777" w:rsidR="005A5FCC" w:rsidRDefault="00A21C81">
            <w:pPr>
              <w:spacing w:before="20" w:after="20" w:line="240" w:lineRule="auto"/>
              <w:jc w:val="left"/>
            </w:pPr>
            <w:r>
              <w:rPr>
                <w:rFonts w:cs="EB Garamond"/>
                <w:kern w:val="16"/>
                <w:sz w:val="18"/>
                <w14:ligatures w14:val="standardContextual"/>
              </w:rPr>
              <w:t>180 contribuições</w:t>
            </w:r>
          </w:p>
        </w:tc>
        <w:tc>
          <w:tcPr>
            <w:tcW w:w="2117" w:type="dxa"/>
            <w:tcBorders>
              <w:top w:val="single" w:sz="4" w:space="0" w:color="D2C9B8"/>
              <w:left w:val="single" w:sz="4" w:space="0" w:color="D2C9B8"/>
              <w:bottom w:val="single" w:sz="4" w:space="0" w:color="D2C9B8"/>
              <w:right w:val="single" w:sz="4" w:space="0" w:color="D2C9B8"/>
            </w:tcBorders>
          </w:tcPr>
          <w:p w14:paraId="784D0DB0" w14:textId="77777777" w:rsidR="005A5FCC" w:rsidRDefault="00A21C81">
            <w:pPr>
              <w:spacing w:before="20" w:after="20" w:line="240" w:lineRule="auto"/>
              <w:jc w:val="left"/>
            </w:pPr>
            <w:r>
              <w:rPr>
                <w:rFonts w:cs="EB Garamond"/>
                <w:kern w:val="16"/>
                <w:sz w:val="18"/>
                <w14:ligatures w14:val="standardContextual"/>
              </w:rPr>
              <w:t>180 contribuições</w:t>
            </w:r>
          </w:p>
        </w:tc>
      </w:tr>
      <w:tr w:rsidR="005A5FCC" w14:paraId="0F29E21B"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5A22D28C" w14:textId="77777777" w:rsidR="005A5FCC" w:rsidRDefault="00A21C81">
            <w:pPr>
              <w:spacing w:before="20" w:after="20" w:line="240" w:lineRule="auto"/>
              <w:jc w:val="left"/>
            </w:pPr>
            <w:r>
              <w:rPr>
                <w:rFonts w:cs="EB Garamond"/>
                <w:b/>
                <w:kern w:val="16"/>
                <w:sz w:val="18"/>
                <w14:ligatures w14:val="standardContextual"/>
              </w:rPr>
              <w:t>Grau de deficiência</w:t>
            </w:r>
          </w:p>
        </w:tc>
        <w:tc>
          <w:tcPr>
            <w:tcW w:w="2117" w:type="dxa"/>
            <w:tcBorders>
              <w:top w:val="single" w:sz="4" w:space="0" w:color="D2C9B8"/>
              <w:left w:val="single" w:sz="4" w:space="0" w:color="D2C9B8"/>
              <w:bottom w:val="single" w:sz="4" w:space="0" w:color="D2C9B8"/>
              <w:right w:val="single" w:sz="4" w:space="0" w:color="D2C9B8"/>
            </w:tcBorders>
          </w:tcPr>
          <w:p w14:paraId="04F43BB3" w14:textId="77777777" w:rsidR="005A5FCC" w:rsidRDefault="00A21C81">
            <w:pPr>
              <w:spacing w:before="20" w:after="20" w:line="240" w:lineRule="auto"/>
              <w:jc w:val="left"/>
            </w:pPr>
            <w:r>
              <w:rPr>
                <w:rFonts w:cs="EB Garamond"/>
                <w:kern w:val="16"/>
                <w:sz w:val="18"/>
                <w14:ligatures w14:val="standardContextual"/>
              </w:rPr>
              <w:t>Determinante (define TC)</w:t>
            </w:r>
          </w:p>
        </w:tc>
        <w:tc>
          <w:tcPr>
            <w:tcW w:w="2117" w:type="dxa"/>
            <w:tcBorders>
              <w:top w:val="single" w:sz="4" w:space="0" w:color="D2C9B8"/>
              <w:left w:val="single" w:sz="4" w:space="0" w:color="D2C9B8"/>
              <w:bottom w:val="single" w:sz="4" w:space="0" w:color="D2C9B8"/>
              <w:right w:val="single" w:sz="4" w:space="0" w:color="D2C9B8"/>
            </w:tcBorders>
          </w:tcPr>
          <w:p w14:paraId="28A2F8A7" w14:textId="77777777" w:rsidR="005A5FCC" w:rsidRDefault="00A21C81">
            <w:pPr>
              <w:spacing w:before="20" w:after="20" w:line="240" w:lineRule="auto"/>
              <w:jc w:val="left"/>
            </w:pPr>
            <w:r>
              <w:rPr>
                <w:rFonts w:cs="EB Garamond"/>
                <w:kern w:val="16"/>
                <w:sz w:val="18"/>
                <w14:ligatures w14:val="standardContextual"/>
              </w:rPr>
              <w:t>Irrelevante (basta existência)</w:t>
            </w:r>
          </w:p>
        </w:tc>
      </w:tr>
      <w:tr w:rsidR="005A5FCC" w14:paraId="27F8F381"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54D3EB91" w14:textId="77777777" w:rsidR="005A5FCC" w:rsidRDefault="00A21C81">
            <w:pPr>
              <w:spacing w:before="20" w:after="20" w:line="240" w:lineRule="auto"/>
              <w:jc w:val="left"/>
            </w:pPr>
            <w:r>
              <w:rPr>
                <w:rFonts w:cs="EB Garamond"/>
                <w:b/>
                <w:kern w:val="16"/>
                <w:sz w:val="18"/>
                <w14:ligatures w14:val="standardContextual"/>
              </w:rPr>
              <w:t>Coeficiente</w:t>
            </w:r>
          </w:p>
        </w:tc>
        <w:tc>
          <w:tcPr>
            <w:tcW w:w="2117" w:type="dxa"/>
            <w:tcBorders>
              <w:top w:val="single" w:sz="4" w:space="0" w:color="D2C9B8"/>
              <w:left w:val="single" w:sz="4" w:space="0" w:color="D2C9B8"/>
              <w:bottom w:val="single" w:sz="4" w:space="0" w:color="D2C9B8"/>
              <w:right w:val="single" w:sz="4" w:space="0" w:color="D2C9B8"/>
            </w:tcBorders>
          </w:tcPr>
          <w:p w14:paraId="6100F7A2" w14:textId="77777777" w:rsidR="005A5FCC" w:rsidRDefault="00A21C81">
            <w:pPr>
              <w:spacing w:before="20" w:after="20" w:line="240" w:lineRule="auto"/>
              <w:jc w:val="left"/>
            </w:pPr>
            <w:r>
              <w:rPr>
                <w:rFonts w:cs="EB Garamond"/>
                <w:kern w:val="16"/>
                <w:sz w:val="18"/>
                <w14:ligatures w14:val="standardContextual"/>
              </w:rPr>
              <w:t>100% do SB</w:t>
            </w:r>
          </w:p>
        </w:tc>
        <w:tc>
          <w:tcPr>
            <w:tcW w:w="2117" w:type="dxa"/>
            <w:tcBorders>
              <w:top w:val="single" w:sz="4" w:space="0" w:color="D2C9B8"/>
              <w:left w:val="single" w:sz="4" w:space="0" w:color="D2C9B8"/>
              <w:bottom w:val="single" w:sz="4" w:space="0" w:color="D2C9B8"/>
              <w:right w:val="single" w:sz="4" w:space="0" w:color="D2C9B8"/>
            </w:tcBorders>
          </w:tcPr>
          <w:p w14:paraId="7D28F982" w14:textId="77777777" w:rsidR="005A5FCC" w:rsidRDefault="00A21C81">
            <w:pPr>
              <w:spacing w:before="20" w:after="20" w:line="240" w:lineRule="auto"/>
              <w:jc w:val="left"/>
            </w:pPr>
            <w:r>
              <w:rPr>
                <w:rFonts w:cs="EB Garamond"/>
                <w:kern w:val="16"/>
                <w:sz w:val="18"/>
                <w14:ligatures w14:val="standardContextual"/>
              </w:rPr>
              <w:t>70% + 1% por grupo de 12 contribuições</w:t>
            </w:r>
          </w:p>
        </w:tc>
      </w:tr>
      <w:tr w:rsidR="005A5FCC" w14:paraId="0FCF58A2"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14A25855" w14:textId="77777777" w:rsidR="005A5FCC" w:rsidRDefault="00A21C81">
            <w:pPr>
              <w:spacing w:before="20" w:after="20" w:line="240" w:lineRule="auto"/>
              <w:jc w:val="left"/>
            </w:pPr>
            <w:r>
              <w:rPr>
                <w:rFonts w:cs="EB Garamond"/>
                <w:b/>
                <w:kern w:val="16"/>
                <w:sz w:val="18"/>
                <w14:ligatures w14:val="standardContextual"/>
              </w:rPr>
              <w:t>Fator previdenciário</w:t>
            </w:r>
          </w:p>
        </w:tc>
        <w:tc>
          <w:tcPr>
            <w:tcW w:w="2117" w:type="dxa"/>
            <w:tcBorders>
              <w:top w:val="single" w:sz="4" w:space="0" w:color="D2C9B8"/>
              <w:left w:val="single" w:sz="4" w:space="0" w:color="D2C9B8"/>
              <w:bottom w:val="single" w:sz="4" w:space="0" w:color="D2C9B8"/>
              <w:right w:val="single" w:sz="4" w:space="0" w:color="D2C9B8"/>
            </w:tcBorders>
          </w:tcPr>
          <w:p w14:paraId="33237EC2" w14:textId="77777777" w:rsidR="005A5FCC" w:rsidRDefault="00A21C81">
            <w:pPr>
              <w:spacing w:before="20" w:after="20" w:line="240" w:lineRule="auto"/>
              <w:jc w:val="left"/>
            </w:pPr>
            <w:r>
              <w:rPr>
                <w:rFonts w:cs="EB Garamond"/>
                <w:kern w:val="16"/>
                <w:sz w:val="18"/>
                <w14:ligatures w14:val="standardContextual"/>
              </w:rPr>
              <w:t>Somente se vantajoso</w:t>
            </w:r>
          </w:p>
        </w:tc>
        <w:tc>
          <w:tcPr>
            <w:tcW w:w="2117" w:type="dxa"/>
            <w:tcBorders>
              <w:top w:val="single" w:sz="4" w:space="0" w:color="D2C9B8"/>
              <w:left w:val="single" w:sz="4" w:space="0" w:color="D2C9B8"/>
              <w:bottom w:val="single" w:sz="4" w:space="0" w:color="D2C9B8"/>
              <w:right w:val="single" w:sz="4" w:space="0" w:color="D2C9B8"/>
            </w:tcBorders>
          </w:tcPr>
          <w:p w14:paraId="73C2B60F" w14:textId="77777777" w:rsidR="005A5FCC" w:rsidRDefault="00A21C81">
            <w:pPr>
              <w:spacing w:before="20" w:after="20" w:line="240" w:lineRule="auto"/>
              <w:jc w:val="left"/>
            </w:pPr>
            <w:r>
              <w:rPr>
                <w:rFonts w:cs="EB Garamond"/>
                <w:kern w:val="16"/>
                <w:sz w:val="18"/>
                <w14:ligatures w14:val="standardContextual"/>
              </w:rPr>
              <w:t>Somente se vantajoso</w:t>
            </w:r>
          </w:p>
        </w:tc>
      </w:tr>
      <w:tr w:rsidR="005A5FCC" w14:paraId="6B959750"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20880A02" w14:textId="77777777" w:rsidR="005A5FCC" w:rsidRDefault="00A21C81">
            <w:pPr>
              <w:spacing w:before="20" w:after="20" w:line="240" w:lineRule="auto"/>
              <w:jc w:val="left"/>
            </w:pPr>
            <w:r>
              <w:rPr>
                <w:rFonts w:cs="EB Garamond"/>
                <w:b/>
                <w:kern w:val="16"/>
                <w:sz w:val="18"/>
                <w14:ligatures w14:val="standardContextual"/>
              </w:rPr>
              <w:t>Base de cálculo (pós-EC 103)</w:t>
            </w:r>
          </w:p>
        </w:tc>
        <w:tc>
          <w:tcPr>
            <w:tcW w:w="2117" w:type="dxa"/>
            <w:tcBorders>
              <w:top w:val="single" w:sz="4" w:space="0" w:color="D2C9B8"/>
              <w:left w:val="single" w:sz="4" w:space="0" w:color="D2C9B8"/>
              <w:bottom w:val="single" w:sz="4" w:space="0" w:color="D2C9B8"/>
              <w:right w:val="single" w:sz="4" w:space="0" w:color="D2C9B8"/>
            </w:tcBorders>
          </w:tcPr>
          <w:p w14:paraId="1DF4A953" w14:textId="77777777" w:rsidR="005A5FCC" w:rsidRDefault="00A21C81">
            <w:pPr>
              <w:spacing w:before="20" w:after="20" w:line="240" w:lineRule="auto"/>
              <w:jc w:val="left"/>
            </w:pPr>
            <w:r>
              <w:rPr>
                <w:rFonts w:cs="EB Garamond"/>
                <w:kern w:val="16"/>
                <w:sz w:val="18"/>
                <w14:ligatures w14:val="standardContextual"/>
              </w:rPr>
              <w:t>Média de 100% dos SC</w:t>
            </w:r>
          </w:p>
        </w:tc>
        <w:tc>
          <w:tcPr>
            <w:tcW w:w="2117" w:type="dxa"/>
            <w:tcBorders>
              <w:top w:val="single" w:sz="4" w:space="0" w:color="D2C9B8"/>
              <w:left w:val="single" w:sz="4" w:space="0" w:color="D2C9B8"/>
              <w:bottom w:val="single" w:sz="4" w:space="0" w:color="D2C9B8"/>
              <w:right w:val="single" w:sz="4" w:space="0" w:color="D2C9B8"/>
            </w:tcBorders>
          </w:tcPr>
          <w:p w14:paraId="4E108A47" w14:textId="77777777" w:rsidR="005A5FCC" w:rsidRDefault="00A21C81">
            <w:pPr>
              <w:spacing w:before="20" w:after="20" w:line="240" w:lineRule="auto"/>
              <w:jc w:val="left"/>
            </w:pPr>
            <w:r>
              <w:rPr>
                <w:rFonts w:cs="EB Garamond"/>
                <w:kern w:val="16"/>
                <w:sz w:val="18"/>
                <w14:ligatures w14:val="standardContextual"/>
              </w:rPr>
              <w:t>Média de 100% dos SC</w:t>
            </w:r>
          </w:p>
        </w:tc>
      </w:tr>
      <w:tr w:rsidR="005A5FCC" w14:paraId="2C7ED7E4"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64DAC9E0" w14:textId="77777777" w:rsidR="005A5FCC" w:rsidRDefault="00A21C81">
            <w:pPr>
              <w:spacing w:before="20" w:after="20" w:line="240" w:lineRule="auto"/>
              <w:jc w:val="left"/>
            </w:pPr>
            <w:r>
              <w:rPr>
                <w:rFonts w:cs="EB Garamond"/>
                <w:b/>
                <w:kern w:val="16"/>
                <w:sz w:val="18"/>
                <w14:ligatures w14:val="standardContextual"/>
              </w:rPr>
              <w:t>Mantida pela EC 103, art. 22</w:t>
            </w:r>
          </w:p>
        </w:tc>
        <w:tc>
          <w:tcPr>
            <w:tcW w:w="2117" w:type="dxa"/>
            <w:tcBorders>
              <w:top w:val="single" w:sz="4" w:space="0" w:color="D2C9B8"/>
              <w:left w:val="single" w:sz="4" w:space="0" w:color="D2C9B8"/>
              <w:bottom w:val="single" w:sz="4" w:space="0" w:color="D2C9B8"/>
              <w:right w:val="single" w:sz="4" w:space="0" w:color="D2C9B8"/>
            </w:tcBorders>
          </w:tcPr>
          <w:p w14:paraId="387F9348" w14:textId="77777777" w:rsidR="005A5FCC" w:rsidRDefault="00A21C81">
            <w:pPr>
              <w:spacing w:before="20" w:after="20" w:line="240" w:lineRule="auto"/>
              <w:jc w:val="left"/>
            </w:pPr>
            <w:r>
              <w:rPr>
                <w:rFonts w:cs="EB Garamond"/>
                <w:kern w:val="16"/>
                <w:sz w:val="18"/>
                <w14:ligatures w14:val="standardContextual"/>
              </w:rPr>
              <w:t>SIM</w:t>
            </w:r>
          </w:p>
        </w:tc>
        <w:tc>
          <w:tcPr>
            <w:tcW w:w="2117" w:type="dxa"/>
            <w:tcBorders>
              <w:top w:val="single" w:sz="4" w:space="0" w:color="D2C9B8"/>
              <w:left w:val="single" w:sz="4" w:space="0" w:color="D2C9B8"/>
              <w:bottom w:val="single" w:sz="4" w:space="0" w:color="D2C9B8"/>
              <w:right w:val="single" w:sz="4" w:space="0" w:color="D2C9B8"/>
            </w:tcBorders>
          </w:tcPr>
          <w:p w14:paraId="11420322" w14:textId="77777777" w:rsidR="005A5FCC" w:rsidRDefault="00A21C81">
            <w:pPr>
              <w:spacing w:before="20" w:after="20" w:line="240" w:lineRule="auto"/>
              <w:jc w:val="left"/>
            </w:pPr>
            <w:r>
              <w:rPr>
                <w:rFonts w:cs="EB Garamond"/>
                <w:kern w:val="16"/>
                <w:sz w:val="18"/>
                <w14:ligatures w14:val="standardContextual"/>
              </w:rPr>
              <w:t>SIM</w:t>
            </w:r>
          </w:p>
        </w:tc>
      </w:tr>
    </w:tbl>
    <w:p w14:paraId="192D0392" w14:textId="77777777" w:rsidR="005A5FCC" w:rsidRDefault="005A5FCC">
      <w:pPr>
        <w:spacing w:after="80" w:line="240" w:lineRule="auto"/>
      </w:pPr>
    </w:p>
    <w:p w14:paraId="6EEEC54A" w14:textId="77777777" w:rsidR="005A5FCC" w:rsidRDefault="00A21C81">
      <w:pPr>
        <w:spacing w:before="260" w:after="80" w:line="240" w:lineRule="auto"/>
        <w:jc w:val="left"/>
      </w:pPr>
      <w:r>
        <w:rPr>
          <w:rFonts w:cs="EB Garamond"/>
          <w:b/>
          <w:color w:val="3A3128"/>
          <w:kern w:val="16"/>
          <w:sz w:val="25"/>
          <w14:ligatures w14:val="standardContextual"/>
        </w:rPr>
        <w:t>12.18.2 Tabela de fatores de conversão</w:t>
      </w:r>
    </w:p>
    <w:p w14:paraId="59138C23"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H</w:t>
      </w:r>
    </w:p>
    <w:p w14:paraId="5DF3F60D" w14:textId="77777777" w:rsidR="005A5FCC" w:rsidRDefault="00A21C81">
      <w:r>
        <w:rPr>
          <w:rFonts w:cs="EB Garamond"/>
          <w:b/>
          <w:kern w:val="16"/>
          <w14:ligatures w14:val="standardContextual"/>
        </w:rPr>
        <w:t>omens (TC base em anos):</w:t>
      </w:r>
    </w:p>
    <w:tbl>
      <w:tblPr>
        <w:tblW w:w="5000" w:type="pct"/>
        <w:jc w:val="center"/>
        <w:tblLook w:val="04A0" w:firstRow="1" w:lastRow="0" w:firstColumn="1" w:lastColumn="0" w:noHBand="0" w:noVBand="1"/>
      </w:tblPr>
      <w:tblGrid>
        <w:gridCol w:w="1268"/>
        <w:gridCol w:w="1268"/>
        <w:gridCol w:w="1268"/>
        <w:gridCol w:w="1268"/>
        <w:gridCol w:w="1268"/>
      </w:tblGrid>
      <w:tr w:rsidR="005A5FCC" w14:paraId="660A9D67" w14:textId="77777777">
        <w:trPr>
          <w:tblHeader/>
          <w:jc w:val="center"/>
        </w:trPr>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73333AAB" w14:textId="77777777" w:rsidR="005A5FCC" w:rsidRDefault="00A21C81">
            <w:pPr>
              <w:spacing w:before="40" w:after="40" w:line="240" w:lineRule="auto"/>
              <w:jc w:val="center"/>
            </w:pPr>
            <w:r>
              <w:rPr>
                <w:rFonts w:cs="EB Garamond"/>
                <w:b/>
                <w:color w:val="2F2923"/>
                <w:kern w:val="16"/>
                <w:sz w:val="18"/>
                <w14:ligatures w14:val="standardContextual"/>
              </w:rPr>
              <w:t>De \ Para</w:t>
            </w:r>
          </w:p>
        </w:tc>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0F5EAC2F" w14:textId="77777777" w:rsidR="005A5FCC" w:rsidRDefault="00A21C81">
            <w:pPr>
              <w:spacing w:before="40" w:after="40" w:line="240" w:lineRule="auto"/>
              <w:jc w:val="center"/>
            </w:pPr>
            <w:r>
              <w:rPr>
                <w:rFonts w:cs="EB Garamond"/>
                <w:b/>
                <w:color w:val="2F2923"/>
                <w:kern w:val="16"/>
                <w:sz w:val="18"/>
                <w14:ligatures w14:val="standardContextual"/>
              </w:rPr>
              <w:t>Grave (25)</w:t>
            </w:r>
          </w:p>
        </w:tc>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3E003681" w14:textId="77777777" w:rsidR="005A5FCC" w:rsidRDefault="00A21C81">
            <w:pPr>
              <w:spacing w:before="40" w:after="40" w:line="240" w:lineRule="auto"/>
              <w:jc w:val="center"/>
            </w:pPr>
            <w:r>
              <w:rPr>
                <w:rFonts w:cs="EB Garamond"/>
                <w:b/>
                <w:color w:val="2F2923"/>
                <w:kern w:val="16"/>
                <w:sz w:val="18"/>
                <w14:ligatures w14:val="standardContextual"/>
              </w:rPr>
              <w:t>Moderada (29)</w:t>
            </w:r>
          </w:p>
        </w:tc>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2937CBE1" w14:textId="77777777" w:rsidR="005A5FCC" w:rsidRDefault="00A21C81">
            <w:pPr>
              <w:spacing w:before="40" w:after="40" w:line="240" w:lineRule="auto"/>
              <w:jc w:val="center"/>
            </w:pPr>
            <w:r>
              <w:rPr>
                <w:rFonts w:cs="EB Garamond"/>
                <w:b/>
                <w:color w:val="2F2923"/>
                <w:kern w:val="16"/>
                <w:sz w:val="18"/>
                <w14:ligatures w14:val="standardContextual"/>
              </w:rPr>
              <w:t>Leve (33)</w:t>
            </w:r>
          </w:p>
        </w:tc>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5C95487C" w14:textId="77777777" w:rsidR="005A5FCC" w:rsidRDefault="00A21C81">
            <w:pPr>
              <w:spacing w:before="40" w:after="40" w:line="240" w:lineRule="auto"/>
              <w:jc w:val="center"/>
            </w:pPr>
            <w:r>
              <w:rPr>
                <w:rFonts w:cs="EB Garamond"/>
                <w:b/>
                <w:color w:val="2F2923"/>
                <w:kern w:val="16"/>
                <w:sz w:val="18"/>
                <w14:ligatures w14:val="standardContextual"/>
              </w:rPr>
              <w:t>Sem deficiência (35)</w:t>
            </w:r>
          </w:p>
        </w:tc>
      </w:tr>
      <w:tr w:rsidR="005A5FCC" w14:paraId="597081DA"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404568E3" w14:textId="77777777" w:rsidR="005A5FCC" w:rsidRDefault="00A21C81">
            <w:pPr>
              <w:spacing w:before="20" w:after="20" w:line="240" w:lineRule="auto"/>
              <w:jc w:val="left"/>
            </w:pPr>
            <w:r>
              <w:rPr>
                <w:rFonts w:cs="EB Garamond"/>
                <w:b/>
                <w:kern w:val="16"/>
                <w:sz w:val="18"/>
                <w14:ligatures w14:val="standardContextual"/>
              </w:rPr>
              <w:t>Grave (25)</w:t>
            </w:r>
          </w:p>
        </w:tc>
        <w:tc>
          <w:tcPr>
            <w:tcW w:w="1270" w:type="dxa"/>
            <w:tcBorders>
              <w:top w:val="single" w:sz="4" w:space="0" w:color="D2C9B8"/>
              <w:left w:val="single" w:sz="4" w:space="0" w:color="D2C9B8"/>
              <w:bottom w:val="single" w:sz="4" w:space="0" w:color="D2C9B8"/>
              <w:right w:val="single" w:sz="4" w:space="0" w:color="D2C9B8"/>
            </w:tcBorders>
          </w:tcPr>
          <w:p w14:paraId="41D59898" w14:textId="77777777" w:rsidR="005A5FCC" w:rsidRDefault="00A21C81">
            <w:pPr>
              <w:spacing w:before="20" w:after="20" w:line="240" w:lineRule="auto"/>
              <w:jc w:val="left"/>
            </w:pPr>
            <w:r>
              <w:rPr>
                <w:rFonts w:cs="EB Garamond"/>
                <w:kern w:val="16"/>
                <w:sz w:val="18"/>
                <w14:ligatures w14:val="standardContextual"/>
              </w:rPr>
              <w:t>1,00</w:t>
            </w:r>
          </w:p>
        </w:tc>
        <w:tc>
          <w:tcPr>
            <w:tcW w:w="1270" w:type="dxa"/>
            <w:tcBorders>
              <w:top w:val="single" w:sz="4" w:space="0" w:color="D2C9B8"/>
              <w:left w:val="single" w:sz="4" w:space="0" w:color="D2C9B8"/>
              <w:bottom w:val="single" w:sz="4" w:space="0" w:color="D2C9B8"/>
              <w:right w:val="single" w:sz="4" w:space="0" w:color="D2C9B8"/>
            </w:tcBorders>
          </w:tcPr>
          <w:p w14:paraId="3A4BC7AD" w14:textId="77777777" w:rsidR="005A5FCC" w:rsidRDefault="00A21C81">
            <w:pPr>
              <w:spacing w:before="20" w:after="20" w:line="240" w:lineRule="auto"/>
              <w:jc w:val="left"/>
            </w:pPr>
            <w:r>
              <w:rPr>
                <w:rFonts w:cs="EB Garamond"/>
                <w:kern w:val="16"/>
                <w:sz w:val="18"/>
                <w14:ligatures w14:val="standardContextual"/>
              </w:rPr>
              <w:t>1,16</w:t>
            </w:r>
          </w:p>
        </w:tc>
        <w:tc>
          <w:tcPr>
            <w:tcW w:w="1270" w:type="dxa"/>
            <w:tcBorders>
              <w:top w:val="single" w:sz="4" w:space="0" w:color="D2C9B8"/>
              <w:left w:val="single" w:sz="4" w:space="0" w:color="D2C9B8"/>
              <w:bottom w:val="single" w:sz="4" w:space="0" w:color="D2C9B8"/>
              <w:right w:val="single" w:sz="4" w:space="0" w:color="D2C9B8"/>
            </w:tcBorders>
          </w:tcPr>
          <w:p w14:paraId="08380421" w14:textId="77777777" w:rsidR="005A5FCC" w:rsidRDefault="00A21C81">
            <w:pPr>
              <w:spacing w:before="20" w:after="20" w:line="240" w:lineRule="auto"/>
              <w:jc w:val="left"/>
            </w:pPr>
            <w:r>
              <w:rPr>
                <w:rFonts w:cs="EB Garamond"/>
                <w:kern w:val="16"/>
                <w:sz w:val="18"/>
                <w14:ligatures w14:val="standardContextual"/>
              </w:rPr>
              <w:t>1,32</w:t>
            </w:r>
          </w:p>
        </w:tc>
        <w:tc>
          <w:tcPr>
            <w:tcW w:w="1270" w:type="dxa"/>
            <w:tcBorders>
              <w:top w:val="single" w:sz="4" w:space="0" w:color="D2C9B8"/>
              <w:left w:val="single" w:sz="4" w:space="0" w:color="D2C9B8"/>
              <w:bottom w:val="single" w:sz="4" w:space="0" w:color="D2C9B8"/>
              <w:right w:val="single" w:sz="4" w:space="0" w:color="D2C9B8"/>
            </w:tcBorders>
          </w:tcPr>
          <w:p w14:paraId="68031604" w14:textId="77777777" w:rsidR="005A5FCC" w:rsidRDefault="00A21C81">
            <w:pPr>
              <w:spacing w:before="20" w:after="20" w:line="240" w:lineRule="auto"/>
              <w:jc w:val="left"/>
            </w:pPr>
            <w:r>
              <w:rPr>
                <w:rFonts w:cs="EB Garamond"/>
                <w:kern w:val="16"/>
                <w:sz w:val="18"/>
                <w14:ligatures w14:val="standardContextual"/>
              </w:rPr>
              <w:t>1,40</w:t>
            </w:r>
          </w:p>
        </w:tc>
      </w:tr>
      <w:tr w:rsidR="005A5FCC" w14:paraId="24BBEAC8"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4C325F56" w14:textId="77777777" w:rsidR="005A5FCC" w:rsidRDefault="00A21C81">
            <w:pPr>
              <w:spacing w:before="20" w:after="20" w:line="240" w:lineRule="auto"/>
              <w:jc w:val="left"/>
            </w:pPr>
            <w:r>
              <w:rPr>
                <w:rFonts w:cs="EB Garamond"/>
                <w:b/>
                <w:kern w:val="16"/>
                <w:sz w:val="18"/>
                <w14:ligatures w14:val="standardContextual"/>
              </w:rPr>
              <w:t>Moderada (29)</w:t>
            </w:r>
          </w:p>
        </w:tc>
        <w:tc>
          <w:tcPr>
            <w:tcW w:w="1270" w:type="dxa"/>
            <w:tcBorders>
              <w:top w:val="single" w:sz="4" w:space="0" w:color="D2C9B8"/>
              <w:left w:val="single" w:sz="4" w:space="0" w:color="D2C9B8"/>
              <w:bottom w:val="single" w:sz="4" w:space="0" w:color="D2C9B8"/>
              <w:right w:val="single" w:sz="4" w:space="0" w:color="D2C9B8"/>
            </w:tcBorders>
          </w:tcPr>
          <w:p w14:paraId="43804999" w14:textId="77777777" w:rsidR="005A5FCC" w:rsidRDefault="00A21C81">
            <w:pPr>
              <w:spacing w:before="20" w:after="20" w:line="240" w:lineRule="auto"/>
              <w:jc w:val="left"/>
            </w:pPr>
            <w:r>
              <w:rPr>
                <w:rFonts w:cs="EB Garamond"/>
                <w:kern w:val="16"/>
                <w:sz w:val="18"/>
                <w14:ligatures w14:val="standardContextual"/>
              </w:rPr>
              <w:t>0,86</w:t>
            </w:r>
          </w:p>
        </w:tc>
        <w:tc>
          <w:tcPr>
            <w:tcW w:w="1270" w:type="dxa"/>
            <w:tcBorders>
              <w:top w:val="single" w:sz="4" w:space="0" w:color="D2C9B8"/>
              <w:left w:val="single" w:sz="4" w:space="0" w:color="D2C9B8"/>
              <w:bottom w:val="single" w:sz="4" w:space="0" w:color="D2C9B8"/>
              <w:right w:val="single" w:sz="4" w:space="0" w:color="D2C9B8"/>
            </w:tcBorders>
          </w:tcPr>
          <w:p w14:paraId="2B9446E1" w14:textId="77777777" w:rsidR="005A5FCC" w:rsidRDefault="00A21C81">
            <w:pPr>
              <w:spacing w:before="20" w:after="20" w:line="240" w:lineRule="auto"/>
              <w:jc w:val="left"/>
            </w:pPr>
            <w:r>
              <w:rPr>
                <w:rFonts w:cs="EB Garamond"/>
                <w:kern w:val="16"/>
                <w:sz w:val="18"/>
                <w14:ligatures w14:val="standardContextual"/>
              </w:rPr>
              <w:t>1,00</w:t>
            </w:r>
          </w:p>
        </w:tc>
        <w:tc>
          <w:tcPr>
            <w:tcW w:w="1270" w:type="dxa"/>
            <w:tcBorders>
              <w:top w:val="single" w:sz="4" w:space="0" w:color="D2C9B8"/>
              <w:left w:val="single" w:sz="4" w:space="0" w:color="D2C9B8"/>
              <w:bottom w:val="single" w:sz="4" w:space="0" w:color="D2C9B8"/>
              <w:right w:val="single" w:sz="4" w:space="0" w:color="D2C9B8"/>
            </w:tcBorders>
          </w:tcPr>
          <w:p w14:paraId="726FE679" w14:textId="77777777" w:rsidR="005A5FCC" w:rsidRDefault="00A21C81">
            <w:pPr>
              <w:spacing w:before="20" w:after="20" w:line="240" w:lineRule="auto"/>
              <w:jc w:val="left"/>
            </w:pPr>
            <w:r>
              <w:rPr>
                <w:rFonts w:cs="EB Garamond"/>
                <w:kern w:val="16"/>
                <w:sz w:val="18"/>
                <w14:ligatures w14:val="standardContextual"/>
              </w:rPr>
              <w:t>1,14</w:t>
            </w:r>
          </w:p>
        </w:tc>
        <w:tc>
          <w:tcPr>
            <w:tcW w:w="1270" w:type="dxa"/>
            <w:tcBorders>
              <w:top w:val="single" w:sz="4" w:space="0" w:color="D2C9B8"/>
              <w:left w:val="single" w:sz="4" w:space="0" w:color="D2C9B8"/>
              <w:bottom w:val="single" w:sz="4" w:space="0" w:color="D2C9B8"/>
              <w:right w:val="single" w:sz="4" w:space="0" w:color="D2C9B8"/>
            </w:tcBorders>
          </w:tcPr>
          <w:p w14:paraId="49E9ADC3" w14:textId="77777777" w:rsidR="005A5FCC" w:rsidRDefault="00A21C81">
            <w:pPr>
              <w:spacing w:before="20" w:after="20" w:line="240" w:lineRule="auto"/>
              <w:jc w:val="left"/>
            </w:pPr>
            <w:r>
              <w:rPr>
                <w:rFonts w:cs="EB Garamond"/>
                <w:kern w:val="16"/>
                <w:sz w:val="18"/>
                <w14:ligatures w14:val="standardContextual"/>
              </w:rPr>
              <w:t>1,21</w:t>
            </w:r>
          </w:p>
        </w:tc>
      </w:tr>
      <w:tr w:rsidR="005A5FCC" w14:paraId="46176A62"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582AC56F" w14:textId="77777777" w:rsidR="005A5FCC" w:rsidRDefault="00A21C81">
            <w:pPr>
              <w:spacing w:before="20" w:after="20" w:line="240" w:lineRule="auto"/>
              <w:jc w:val="left"/>
            </w:pPr>
            <w:r>
              <w:rPr>
                <w:rFonts w:cs="EB Garamond"/>
                <w:b/>
                <w:kern w:val="16"/>
                <w:sz w:val="18"/>
                <w14:ligatures w14:val="standardContextual"/>
              </w:rPr>
              <w:t>Leve (33)</w:t>
            </w:r>
          </w:p>
        </w:tc>
        <w:tc>
          <w:tcPr>
            <w:tcW w:w="1270" w:type="dxa"/>
            <w:tcBorders>
              <w:top w:val="single" w:sz="4" w:space="0" w:color="D2C9B8"/>
              <w:left w:val="single" w:sz="4" w:space="0" w:color="D2C9B8"/>
              <w:bottom w:val="single" w:sz="4" w:space="0" w:color="D2C9B8"/>
              <w:right w:val="single" w:sz="4" w:space="0" w:color="D2C9B8"/>
            </w:tcBorders>
          </w:tcPr>
          <w:p w14:paraId="7BE517CD" w14:textId="77777777" w:rsidR="005A5FCC" w:rsidRDefault="00A21C81">
            <w:pPr>
              <w:spacing w:before="20" w:after="20" w:line="240" w:lineRule="auto"/>
              <w:jc w:val="left"/>
            </w:pPr>
            <w:r>
              <w:rPr>
                <w:rFonts w:cs="EB Garamond"/>
                <w:kern w:val="16"/>
                <w:sz w:val="18"/>
                <w14:ligatures w14:val="standardContextual"/>
              </w:rPr>
              <w:t>0,76</w:t>
            </w:r>
          </w:p>
        </w:tc>
        <w:tc>
          <w:tcPr>
            <w:tcW w:w="1270" w:type="dxa"/>
            <w:tcBorders>
              <w:top w:val="single" w:sz="4" w:space="0" w:color="D2C9B8"/>
              <w:left w:val="single" w:sz="4" w:space="0" w:color="D2C9B8"/>
              <w:bottom w:val="single" w:sz="4" w:space="0" w:color="D2C9B8"/>
              <w:right w:val="single" w:sz="4" w:space="0" w:color="D2C9B8"/>
            </w:tcBorders>
          </w:tcPr>
          <w:p w14:paraId="1ECF0391" w14:textId="77777777" w:rsidR="005A5FCC" w:rsidRDefault="00A21C81">
            <w:pPr>
              <w:spacing w:before="20" w:after="20" w:line="240" w:lineRule="auto"/>
              <w:jc w:val="left"/>
            </w:pPr>
            <w:r>
              <w:rPr>
                <w:rFonts w:cs="EB Garamond"/>
                <w:kern w:val="16"/>
                <w:sz w:val="18"/>
                <w14:ligatures w14:val="standardContextual"/>
              </w:rPr>
              <w:t>0,88</w:t>
            </w:r>
          </w:p>
        </w:tc>
        <w:tc>
          <w:tcPr>
            <w:tcW w:w="1270" w:type="dxa"/>
            <w:tcBorders>
              <w:top w:val="single" w:sz="4" w:space="0" w:color="D2C9B8"/>
              <w:left w:val="single" w:sz="4" w:space="0" w:color="D2C9B8"/>
              <w:bottom w:val="single" w:sz="4" w:space="0" w:color="D2C9B8"/>
              <w:right w:val="single" w:sz="4" w:space="0" w:color="D2C9B8"/>
            </w:tcBorders>
          </w:tcPr>
          <w:p w14:paraId="06C8A154" w14:textId="77777777" w:rsidR="005A5FCC" w:rsidRDefault="00A21C81">
            <w:pPr>
              <w:spacing w:before="20" w:after="20" w:line="240" w:lineRule="auto"/>
              <w:jc w:val="left"/>
            </w:pPr>
            <w:r>
              <w:rPr>
                <w:rFonts w:cs="EB Garamond"/>
                <w:kern w:val="16"/>
                <w:sz w:val="18"/>
                <w14:ligatures w14:val="standardContextual"/>
              </w:rPr>
              <w:t>1,00</w:t>
            </w:r>
          </w:p>
        </w:tc>
        <w:tc>
          <w:tcPr>
            <w:tcW w:w="1270" w:type="dxa"/>
            <w:tcBorders>
              <w:top w:val="single" w:sz="4" w:space="0" w:color="D2C9B8"/>
              <w:left w:val="single" w:sz="4" w:space="0" w:color="D2C9B8"/>
              <w:bottom w:val="single" w:sz="4" w:space="0" w:color="D2C9B8"/>
              <w:right w:val="single" w:sz="4" w:space="0" w:color="D2C9B8"/>
            </w:tcBorders>
          </w:tcPr>
          <w:p w14:paraId="59E1CA36" w14:textId="77777777" w:rsidR="005A5FCC" w:rsidRDefault="00A21C81">
            <w:pPr>
              <w:spacing w:before="20" w:after="20" w:line="240" w:lineRule="auto"/>
              <w:jc w:val="left"/>
            </w:pPr>
            <w:r>
              <w:rPr>
                <w:rFonts w:cs="EB Garamond"/>
                <w:kern w:val="16"/>
                <w:sz w:val="18"/>
                <w14:ligatures w14:val="standardContextual"/>
              </w:rPr>
              <w:t>1,06</w:t>
            </w:r>
          </w:p>
        </w:tc>
      </w:tr>
      <w:tr w:rsidR="005A5FCC" w14:paraId="0B0CC1B8"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0B59199B" w14:textId="77777777" w:rsidR="005A5FCC" w:rsidRDefault="00A21C81">
            <w:pPr>
              <w:spacing w:before="20" w:after="20" w:line="240" w:lineRule="auto"/>
              <w:jc w:val="left"/>
            </w:pPr>
            <w:r>
              <w:rPr>
                <w:rFonts w:cs="EB Garamond"/>
                <w:b/>
                <w:kern w:val="16"/>
                <w:sz w:val="18"/>
                <w14:ligatures w14:val="standardContextual"/>
              </w:rPr>
              <w:t>Sem deficiência (35)</w:t>
            </w:r>
          </w:p>
        </w:tc>
        <w:tc>
          <w:tcPr>
            <w:tcW w:w="1270" w:type="dxa"/>
            <w:tcBorders>
              <w:top w:val="single" w:sz="4" w:space="0" w:color="D2C9B8"/>
              <w:left w:val="single" w:sz="4" w:space="0" w:color="D2C9B8"/>
              <w:bottom w:val="single" w:sz="4" w:space="0" w:color="D2C9B8"/>
              <w:right w:val="single" w:sz="4" w:space="0" w:color="D2C9B8"/>
            </w:tcBorders>
          </w:tcPr>
          <w:p w14:paraId="74380747" w14:textId="77777777" w:rsidR="005A5FCC" w:rsidRDefault="00A21C81">
            <w:pPr>
              <w:spacing w:before="20" w:after="20" w:line="240" w:lineRule="auto"/>
              <w:jc w:val="left"/>
            </w:pPr>
            <w:r>
              <w:rPr>
                <w:rFonts w:cs="EB Garamond"/>
                <w:kern w:val="16"/>
                <w:sz w:val="18"/>
                <w14:ligatures w14:val="standardContextual"/>
              </w:rPr>
              <w:t>0,71</w:t>
            </w:r>
          </w:p>
        </w:tc>
        <w:tc>
          <w:tcPr>
            <w:tcW w:w="1270" w:type="dxa"/>
            <w:tcBorders>
              <w:top w:val="single" w:sz="4" w:space="0" w:color="D2C9B8"/>
              <w:left w:val="single" w:sz="4" w:space="0" w:color="D2C9B8"/>
              <w:bottom w:val="single" w:sz="4" w:space="0" w:color="D2C9B8"/>
              <w:right w:val="single" w:sz="4" w:space="0" w:color="D2C9B8"/>
            </w:tcBorders>
          </w:tcPr>
          <w:p w14:paraId="247C22EF" w14:textId="77777777" w:rsidR="005A5FCC" w:rsidRDefault="00A21C81">
            <w:pPr>
              <w:spacing w:before="20" w:after="20" w:line="240" w:lineRule="auto"/>
              <w:jc w:val="left"/>
            </w:pPr>
            <w:r>
              <w:rPr>
                <w:rFonts w:cs="EB Garamond"/>
                <w:kern w:val="16"/>
                <w:sz w:val="18"/>
                <w14:ligatures w14:val="standardContextual"/>
              </w:rPr>
              <w:t>0,83</w:t>
            </w:r>
          </w:p>
        </w:tc>
        <w:tc>
          <w:tcPr>
            <w:tcW w:w="1270" w:type="dxa"/>
            <w:tcBorders>
              <w:top w:val="single" w:sz="4" w:space="0" w:color="D2C9B8"/>
              <w:left w:val="single" w:sz="4" w:space="0" w:color="D2C9B8"/>
              <w:bottom w:val="single" w:sz="4" w:space="0" w:color="D2C9B8"/>
              <w:right w:val="single" w:sz="4" w:space="0" w:color="D2C9B8"/>
            </w:tcBorders>
          </w:tcPr>
          <w:p w14:paraId="4954F348" w14:textId="77777777" w:rsidR="005A5FCC" w:rsidRDefault="00A21C81">
            <w:pPr>
              <w:spacing w:before="20" w:after="20" w:line="240" w:lineRule="auto"/>
              <w:jc w:val="left"/>
            </w:pPr>
            <w:r>
              <w:rPr>
                <w:rFonts w:cs="EB Garamond"/>
                <w:kern w:val="16"/>
                <w:sz w:val="18"/>
                <w14:ligatures w14:val="standardContextual"/>
              </w:rPr>
              <w:t>0,94</w:t>
            </w:r>
          </w:p>
        </w:tc>
        <w:tc>
          <w:tcPr>
            <w:tcW w:w="1270" w:type="dxa"/>
            <w:tcBorders>
              <w:top w:val="single" w:sz="4" w:space="0" w:color="D2C9B8"/>
              <w:left w:val="single" w:sz="4" w:space="0" w:color="D2C9B8"/>
              <w:bottom w:val="single" w:sz="4" w:space="0" w:color="D2C9B8"/>
              <w:right w:val="single" w:sz="4" w:space="0" w:color="D2C9B8"/>
            </w:tcBorders>
          </w:tcPr>
          <w:p w14:paraId="5B05DD6F" w14:textId="77777777" w:rsidR="005A5FCC" w:rsidRDefault="00A21C81">
            <w:pPr>
              <w:spacing w:before="20" w:after="20" w:line="240" w:lineRule="auto"/>
              <w:jc w:val="left"/>
            </w:pPr>
            <w:r>
              <w:rPr>
                <w:rFonts w:cs="EB Garamond"/>
                <w:kern w:val="16"/>
                <w:sz w:val="18"/>
                <w14:ligatures w14:val="standardContextual"/>
              </w:rPr>
              <w:t>1,00</w:t>
            </w:r>
          </w:p>
        </w:tc>
      </w:tr>
    </w:tbl>
    <w:p w14:paraId="037073E2" w14:textId="77777777" w:rsidR="005A5FCC" w:rsidRDefault="005A5FCC">
      <w:pPr>
        <w:spacing w:after="80" w:line="240" w:lineRule="auto"/>
      </w:pPr>
    </w:p>
    <w:p w14:paraId="0C1A55E2"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M</w:t>
      </w:r>
    </w:p>
    <w:p w14:paraId="695D7C17" w14:textId="77777777" w:rsidR="005A5FCC" w:rsidRDefault="00A21C81">
      <w:r>
        <w:rPr>
          <w:rFonts w:cs="EB Garamond"/>
          <w:b/>
          <w:kern w:val="16"/>
          <w14:ligatures w14:val="standardContextual"/>
        </w:rPr>
        <w:t>ulheres (TC base em anos):</w:t>
      </w:r>
    </w:p>
    <w:tbl>
      <w:tblPr>
        <w:tblW w:w="5000" w:type="pct"/>
        <w:jc w:val="center"/>
        <w:tblLook w:val="04A0" w:firstRow="1" w:lastRow="0" w:firstColumn="1" w:lastColumn="0" w:noHBand="0" w:noVBand="1"/>
      </w:tblPr>
      <w:tblGrid>
        <w:gridCol w:w="1268"/>
        <w:gridCol w:w="1268"/>
        <w:gridCol w:w="1268"/>
        <w:gridCol w:w="1268"/>
        <w:gridCol w:w="1268"/>
      </w:tblGrid>
      <w:tr w:rsidR="005A5FCC" w14:paraId="693ACC50" w14:textId="77777777">
        <w:trPr>
          <w:tblHeader/>
          <w:jc w:val="center"/>
        </w:trPr>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426E7903" w14:textId="77777777" w:rsidR="005A5FCC" w:rsidRDefault="00A21C81">
            <w:pPr>
              <w:spacing w:before="40" w:after="40" w:line="240" w:lineRule="auto"/>
              <w:jc w:val="center"/>
            </w:pPr>
            <w:r>
              <w:rPr>
                <w:rFonts w:cs="EB Garamond"/>
                <w:b/>
                <w:color w:val="2F2923"/>
                <w:kern w:val="16"/>
                <w:sz w:val="18"/>
                <w14:ligatures w14:val="standardContextual"/>
              </w:rPr>
              <w:t>De \ Para</w:t>
            </w:r>
          </w:p>
        </w:tc>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23254F31" w14:textId="77777777" w:rsidR="005A5FCC" w:rsidRDefault="00A21C81">
            <w:pPr>
              <w:spacing w:before="40" w:after="40" w:line="240" w:lineRule="auto"/>
              <w:jc w:val="center"/>
            </w:pPr>
            <w:r>
              <w:rPr>
                <w:rFonts w:cs="EB Garamond"/>
                <w:b/>
                <w:color w:val="2F2923"/>
                <w:kern w:val="16"/>
                <w:sz w:val="18"/>
                <w14:ligatures w14:val="standardContextual"/>
              </w:rPr>
              <w:t>Grave (20)</w:t>
            </w:r>
          </w:p>
        </w:tc>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695BE23D" w14:textId="77777777" w:rsidR="005A5FCC" w:rsidRDefault="00A21C81">
            <w:pPr>
              <w:spacing w:before="40" w:after="40" w:line="240" w:lineRule="auto"/>
              <w:jc w:val="center"/>
            </w:pPr>
            <w:r>
              <w:rPr>
                <w:rFonts w:cs="EB Garamond"/>
                <w:b/>
                <w:color w:val="2F2923"/>
                <w:kern w:val="16"/>
                <w:sz w:val="18"/>
                <w14:ligatures w14:val="standardContextual"/>
              </w:rPr>
              <w:t>Moderada (24)</w:t>
            </w:r>
          </w:p>
        </w:tc>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05033D64" w14:textId="77777777" w:rsidR="005A5FCC" w:rsidRDefault="00A21C81">
            <w:pPr>
              <w:spacing w:before="40" w:after="40" w:line="240" w:lineRule="auto"/>
              <w:jc w:val="center"/>
            </w:pPr>
            <w:r>
              <w:rPr>
                <w:rFonts w:cs="EB Garamond"/>
                <w:b/>
                <w:color w:val="2F2923"/>
                <w:kern w:val="16"/>
                <w:sz w:val="18"/>
                <w14:ligatures w14:val="standardContextual"/>
              </w:rPr>
              <w:t>Leve (28)</w:t>
            </w:r>
          </w:p>
        </w:tc>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6856E923" w14:textId="77777777" w:rsidR="005A5FCC" w:rsidRDefault="00A21C81">
            <w:pPr>
              <w:spacing w:before="40" w:after="40" w:line="240" w:lineRule="auto"/>
              <w:jc w:val="center"/>
            </w:pPr>
            <w:r>
              <w:rPr>
                <w:rFonts w:cs="EB Garamond"/>
                <w:b/>
                <w:color w:val="2F2923"/>
                <w:kern w:val="16"/>
                <w:sz w:val="18"/>
                <w14:ligatures w14:val="standardContextual"/>
              </w:rPr>
              <w:t>Sem deficiência (30)</w:t>
            </w:r>
          </w:p>
        </w:tc>
      </w:tr>
      <w:tr w:rsidR="005A5FCC" w14:paraId="0650C98B"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0FBD08C9" w14:textId="77777777" w:rsidR="005A5FCC" w:rsidRDefault="00A21C81">
            <w:pPr>
              <w:spacing w:before="20" w:after="20" w:line="240" w:lineRule="auto"/>
              <w:jc w:val="left"/>
            </w:pPr>
            <w:r>
              <w:rPr>
                <w:rFonts w:cs="EB Garamond"/>
                <w:b/>
                <w:kern w:val="16"/>
                <w:sz w:val="18"/>
                <w14:ligatures w14:val="standardContextual"/>
              </w:rPr>
              <w:t>Grave (20)</w:t>
            </w:r>
          </w:p>
        </w:tc>
        <w:tc>
          <w:tcPr>
            <w:tcW w:w="1270" w:type="dxa"/>
            <w:tcBorders>
              <w:top w:val="single" w:sz="4" w:space="0" w:color="D2C9B8"/>
              <w:left w:val="single" w:sz="4" w:space="0" w:color="D2C9B8"/>
              <w:bottom w:val="single" w:sz="4" w:space="0" w:color="D2C9B8"/>
              <w:right w:val="single" w:sz="4" w:space="0" w:color="D2C9B8"/>
            </w:tcBorders>
          </w:tcPr>
          <w:p w14:paraId="6206B3D3" w14:textId="77777777" w:rsidR="005A5FCC" w:rsidRDefault="00A21C81">
            <w:pPr>
              <w:spacing w:before="20" w:after="20" w:line="240" w:lineRule="auto"/>
              <w:jc w:val="left"/>
            </w:pPr>
            <w:r>
              <w:rPr>
                <w:rFonts w:cs="EB Garamond"/>
                <w:kern w:val="16"/>
                <w:sz w:val="18"/>
                <w14:ligatures w14:val="standardContextual"/>
              </w:rPr>
              <w:t>1,00</w:t>
            </w:r>
          </w:p>
        </w:tc>
        <w:tc>
          <w:tcPr>
            <w:tcW w:w="1270" w:type="dxa"/>
            <w:tcBorders>
              <w:top w:val="single" w:sz="4" w:space="0" w:color="D2C9B8"/>
              <w:left w:val="single" w:sz="4" w:space="0" w:color="D2C9B8"/>
              <w:bottom w:val="single" w:sz="4" w:space="0" w:color="D2C9B8"/>
              <w:right w:val="single" w:sz="4" w:space="0" w:color="D2C9B8"/>
            </w:tcBorders>
          </w:tcPr>
          <w:p w14:paraId="362D9752" w14:textId="77777777" w:rsidR="005A5FCC" w:rsidRDefault="00A21C81">
            <w:pPr>
              <w:spacing w:before="20" w:after="20" w:line="240" w:lineRule="auto"/>
              <w:jc w:val="left"/>
            </w:pPr>
            <w:r>
              <w:rPr>
                <w:rFonts w:cs="EB Garamond"/>
                <w:kern w:val="16"/>
                <w:sz w:val="18"/>
                <w14:ligatures w14:val="standardContextual"/>
              </w:rPr>
              <w:t>1,20</w:t>
            </w:r>
          </w:p>
        </w:tc>
        <w:tc>
          <w:tcPr>
            <w:tcW w:w="1270" w:type="dxa"/>
            <w:tcBorders>
              <w:top w:val="single" w:sz="4" w:space="0" w:color="D2C9B8"/>
              <w:left w:val="single" w:sz="4" w:space="0" w:color="D2C9B8"/>
              <w:bottom w:val="single" w:sz="4" w:space="0" w:color="D2C9B8"/>
              <w:right w:val="single" w:sz="4" w:space="0" w:color="D2C9B8"/>
            </w:tcBorders>
          </w:tcPr>
          <w:p w14:paraId="0E12ED53" w14:textId="77777777" w:rsidR="005A5FCC" w:rsidRDefault="00A21C81">
            <w:pPr>
              <w:spacing w:before="20" w:after="20" w:line="240" w:lineRule="auto"/>
              <w:jc w:val="left"/>
            </w:pPr>
            <w:r>
              <w:rPr>
                <w:rFonts w:cs="EB Garamond"/>
                <w:kern w:val="16"/>
                <w:sz w:val="18"/>
                <w14:ligatures w14:val="standardContextual"/>
              </w:rPr>
              <w:t>1,40</w:t>
            </w:r>
          </w:p>
        </w:tc>
        <w:tc>
          <w:tcPr>
            <w:tcW w:w="1270" w:type="dxa"/>
            <w:tcBorders>
              <w:top w:val="single" w:sz="4" w:space="0" w:color="D2C9B8"/>
              <w:left w:val="single" w:sz="4" w:space="0" w:color="D2C9B8"/>
              <w:bottom w:val="single" w:sz="4" w:space="0" w:color="D2C9B8"/>
              <w:right w:val="single" w:sz="4" w:space="0" w:color="D2C9B8"/>
            </w:tcBorders>
          </w:tcPr>
          <w:p w14:paraId="0727360A" w14:textId="77777777" w:rsidR="005A5FCC" w:rsidRDefault="00A21C81">
            <w:pPr>
              <w:spacing w:before="20" w:after="20" w:line="240" w:lineRule="auto"/>
              <w:jc w:val="left"/>
            </w:pPr>
            <w:r>
              <w:rPr>
                <w:rFonts w:cs="EB Garamond"/>
                <w:kern w:val="16"/>
                <w:sz w:val="18"/>
                <w14:ligatures w14:val="standardContextual"/>
              </w:rPr>
              <w:t>1,50</w:t>
            </w:r>
          </w:p>
        </w:tc>
      </w:tr>
      <w:tr w:rsidR="005A5FCC" w14:paraId="5800241F"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64509DE7" w14:textId="77777777" w:rsidR="005A5FCC" w:rsidRDefault="00A21C81">
            <w:pPr>
              <w:spacing w:before="20" w:after="20" w:line="240" w:lineRule="auto"/>
              <w:jc w:val="left"/>
            </w:pPr>
            <w:r>
              <w:rPr>
                <w:rFonts w:cs="EB Garamond"/>
                <w:b/>
                <w:kern w:val="16"/>
                <w:sz w:val="18"/>
                <w14:ligatures w14:val="standardContextual"/>
              </w:rPr>
              <w:t>Moderada (24)</w:t>
            </w:r>
          </w:p>
        </w:tc>
        <w:tc>
          <w:tcPr>
            <w:tcW w:w="1270" w:type="dxa"/>
            <w:tcBorders>
              <w:top w:val="single" w:sz="4" w:space="0" w:color="D2C9B8"/>
              <w:left w:val="single" w:sz="4" w:space="0" w:color="D2C9B8"/>
              <w:bottom w:val="single" w:sz="4" w:space="0" w:color="D2C9B8"/>
              <w:right w:val="single" w:sz="4" w:space="0" w:color="D2C9B8"/>
            </w:tcBorders>
          </w:tcPr>
          <w:p w14:paraId="03C6A0E8" w14:textId="77777777" w:rsidR="005A5FCC" w:rsidRDefault="00A21C81">
            <w:pPr>
              <w:spacing w:before="20" w:after="20" w:line="240" w:lineRule="auto"/>
              <w:jc w:val="left"/>
            </w:pPr>
            <w:r>
              <w:rPr>
                <w:rFonts w:cs="EB Garamond"/>
                <w:kern w:val="16"/>
                <w:sz w:val="18"/>
                <w14:ligatures w14:val="standardContextual"/>
              </w:rPr>
              <w:t>0,83</w:t>
            </w:r>
          </w:p>
        </w:tc>
        <w:tc>
          <w:tcPr>
            <w:tcW w:w="1270" w:type="dxa"/>
            <w:tcBorders>
              <w:top w:val="single" w:sz="4" w:space="0" w:color="D2C9B8"/>
              <w:left w:val="single" w:sz="4" w:space="0" w:color="D2C9B8"/>
              <w:bottom w:val="single" w:sz="4" w:space="0" w:color="D2C9B8"/>
              <w:right w:val="single" w:sz="4" w:space="0" w:color="D2C9B8"/>
            </w:tcBorders>
          </w:tcPr>
          <w:p w14:paraId="76178CAA" w14:textId="77777777" w:rsidR="005A5FCC" w:rsidRDefault="00A21C81">
            <w:pPr>
              <w:spacing w:before="20" w:after="20" w:line="240" w:lineRule="auto"/>
              <w:jc w:val="left"/>
            </w:pPr>
            <w:r>
              <w:rPr>
                <w:rFonts w:cs="EB Garamond"/>
                <w:kern w:val="16"/>
                <w:sz w:val="18"/>
                <w14:ligatures w14:val="standardContextual"/>
              </w:rPr>
              <w:t>1,00</w:t>
            </w:r>
          </w:p>
        </w:tc>
        <w:tc>
          <w:tcPr>
            <w:tcW w:w="1270" w:type="dxa"/>
            <w:tcBorders>
              <w:top w:val="single" w:sz="4" w:space="0" w:color="D2C9B8"/>
              <w:left w:val="single" w:sz="4" w:space="0" w:color="D2C9B8"/>
              <w:bottom w:val="single" w:sz="4" w:space="0" w:color="D2C9B8"/>
              <w:right w:val="single" w:sz="4" w:space="0" w:color="D2C9B8"/>
            </w:tcBorders>
          </w:tcPr>
          <w:p w14:paraId="007C524B" w14:textId="77777777" w:rsidR="005A5FCC" w:rsidRDefault="00A21C81">
            <w:pPr>
              <w:spacing w:before="20" w:after="20" w:line="240" w:lineRule="auto"/>
              <w:jc w:val="left"/>
            </w:pPr>
            <w:r>
              <w:rPr>
                <w:rFonts w:cs="EB Garamond"/>
                <w:kern w:val="16"/>
                <w:sz w:val="18"/>
                <w14:ligatures w14:val="standardContextual"/>
              </w:rPr>
              <w:t>1,17</w:t>
            </w:r>
          </w:p>
        </w:tc>
        <w:tc>
          <w:tcPr>
            <w:tcW w:w="1270" w:type="dxa"/>
            <w:tcBorders>
              <w:top w:val="single" w:sz="4" w:space="0" w:color="D2C9B8"/>
              <w:left w:val="single" w:sz="4" w:space="0" w:color="D2C9B8"/>
              <w:bottom w:val="single" w:sz="4" w:space="0" w:color="D2C9B8"/>
              <w:right w:val="single" w:sz="4" w:space="0" w:color="D2C9B8"/>
            </w:tcBorders>
          </w:tcPr>
          <w:p w14:paraId="3C6DB687" w14:textId="77777777" w:rsidR="005A5FCC" w:rsidRDefault="00A21C81">
            <w:pPr>
              <w:spacing w:before="20" w:after="20" w:line="240" w:lineRule="auto"/>
              <w:jc w:val="left"/>
            </w:pPr>
            <w:r>
              <w:rPr>
                <w:rFonts w:cs="EB Garamond"/>
                <w:kern w:val="16"/>
                <w:sz w:val="18"/>
                <w14:ligatures w14:val="standardContextual"/>
              </w:rPr>
              <w:t>1,25</w:t>
            </w:r>
          </w:p>
        </w:tc>
      </w:tr>
      <w:tr w:rsidR="005A5FCC" w14:paraId="02BFBE94"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18769EB8" w14:textId="77777777" w:rsidR="005A5FCC" w:rsidRDefault="00A21C81">
            <w:pPr>
              <w:spacing w:before="20" w:after="20" w:line="240" w:lineRule="auto"/>
              <w:jc w:val="left"/>
            </w:pPr>
            <w:r>
              <w:rPr>
                <w:rFonts w:cs="EB Garamond"/>
                <w:b/>
                <w:kern w:val="16"/>
                <w:sz w:val="18"/>
                <w14:ligatures w14:val="standardContextual"/>
              </w:rPr>
              <w:t>Leve (28)</w:t>
            </w:r>
          </w:p>
        </w:tc>
        <w:tc>
          <w:tcPr>
            <w:tcW w:w="1270" w:type="dxa"/>
            <w:tcBorders>
              <w:top w:val="single" w:sz="4" w:space="0" w:color="D2C9B8"/>
              <w:left w:val="single" w:sz="4" w:space="0" w:color="D2C9B8"/>
              <w:bottom w:val="single" w:sz="4" w:space="0" w:color="D2C9B8"/>
              <w:right w:val="single" w:sz="4" w:space="0" w:color="D2C9B8"/>
            </w:tcBorders>
          </w:tcPr>
          <w:p w14:paraId="19B3AA13" w14:textId="77777777" w:rsidR="005A5FCC" w:rsidRDefault="00A21C81">
            <w:pPr>
              <w:spacing w:before="20" w:after="20" w:line="240" w:lineRule="auto"/>
              <w:jc w:val="left"/>
            </w:pPr>
            <w:r>
              <w:rPr>
                <w:rFonts w:cs="EB Garamond"/>
                <w:kern w:val="16"/>
                <w:sz w:val="18"/>
                <w14:ligatures w14:val="standardContextual"/>
              </w:rPr>
              <w:t>0,71</w:t>
            </w:r>
          </w:p>
        </w:tc>
        <w:tc>
          <w:tcPr>
            <w:tcW w:w="1270" w:type="dxa"/>
            <w:tcBorders>
              <w:top w:val="single" w:sz="4" w:space="0" w:color="D2C9B8"/>
              <w:left w:val="single" w:sz="4" w:space="0" w:color="D2C9B8"/>
              <w:bottom w:val="single" w:sz="4" w:space="0" w:color="D2C9B8"/>
              <w:right w:val="single" w:sz="4" w:space="0" w:color="D2C9B8"/>
            </w:tcBorders>
          </w:tcPr>
          <w:p w14:paraId="1C905B58" w14:textId="77777777" w:rsidR="005A5FCC" w:rsidRDefault="00A21C81">
            <w:pPr>
              <w:spacing w:before="20" w:after="20" w:line="240" w:lineRule="auto"/>
              <w:jc w:val="left"/>
            </w:pPr>
            <w:r>
              <w:rPr>
                <w:rFonts w:cs="EB Garamond"/>
                <w:kern w:val="16"/>
                <w:sz w:val="18"/>
                <w14:ligatures w14:val="standardContextual"/>
              </w:rPr>
              <w:t>0,86</w:t>
            </w:r>
          </w:p>
        </w:tc>
        <w:tc>
          <w:tcPr>
            <w:tcW w:w="1270" w:type="dxa"/>
            <w:tcBorders>
              <w:top w:val="single" w:sz="4" w:space="0" w:color="D2C9B8"/>
              <w:left w:val="single" w:sz="4" w:space="0" w:color="D2C9B8"/>
              <w:bottom w:val="single" w:sz="4" w:space="0" w:color="D2C9B8"/>
              <w:right w:val="single" w:sz="4" w:space="0" w:color="D2C9B8"/>
            </w:tcBorders>
          </w:tcPr>
          <w:p w14:paraId="690CFA89" w14:textId="77777777" w:rsidR="005A5FCC" w:rsidRDefault="00A21C81">
            <w:pPr>
              <w:spacing w:before="20" w:after="20" w:line="240" w:lineRule="auto"/>
              <w:jc w:val="left"/>
            </w:pPr>
            <w:r>
              <w:rPr>
                <w:rFonts w:cs="EB Garamond"/>
                <w:kern w:val="16"/>
                <w:sz w:val="18"/>
                <w14:ligatures w14:val="standardContextual"/>
              </w:rPr>
              <w:t>1,00</w:t>
            </w:r>
          </w:p>
        </w:tc>
        <w:tc>
          <w:tcPr>
            <w:tcW w:w="1270" w:type="dxa"/>
            <w:tcBorders>
              <w:top w:val="single" w:sz="4" w:space="0" w:color="D2C9B8"/>
              <w:left w:val="single" w:sz="4" w:space="0" w:color="D2C9B8"/>
              <w:bottom w:val="single" w:sz="4" w:space="0" w:color="D2C9B8"/>
              <w:right w:val="single" w:sz="4" w:space="0" w:color="D2C9B8"/>
            </w:tcBorders>
          </w:tcPr>
          <w:p w14:paraId="31F4431F" w14:textId="77777777" w:rsidR="005A5FCC" w:rsidRDefault="00A21C81">
            <w:pPr>
              <w:spacing w:before="20" w:after="20" w:line="240" w:lineRule="auto"/>
              <w:jc w:val="left"/>
            </w:pPr>
            <w:r>
              <w:rPr>
                <w:rFonts w:cs="EB Garamond"/>
                <w:kern w:val="16"/>
                <w:sz w:val="18"/>
                <w14:ligatures w14:val="standardContextual"/>
              </w:rPr>
              <w:t>1,07</w:t>
            </w:r>
          </w:p>
        </w:tc>
      </w:tr>
      <w:tr w:rsidR="005A5FCC" w14:paraId="3F168E89"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10FEDDBB" w14:textId="77777777" w:rsidR="005A5FCC" w:rsidRDefault="00A21C81">
            <w:pPr>
              <w:spacing w:before="20" w:after="20" w:line="240" w:lineRule="auto"/>
              <w:jc w:val="left"/>
            </w:pPr>
            <w:r>
              <w:rPr>
                <w:rFonts w:cs="EB Garamond"/>
                <w:b/>
                <w:kern w:val="16"/>
                <w:sz w:val="18"/>
                <w14:ligatures w14:val="standardContextual"/>
              </w:rPr>
              <w:t>Sem deficiência (30)</w:t>
            </w:r>
          </w:p>
        </w:tc>
        <w:tc>
          <w:tcPr>
            <w:tcW w:w="1270" w:type="dxa"/>
            <w:tcBorders>
              <w:top w:val="single" w:sz="4" w:space="0" w:color="D2C9B8"/>
              <w:left w:val="single" w:sz="4" w:space="0" w:color="D2C9B8"/>
              <w:bottom w:val="single" w:sz="4" w:space="0" w:color="D2C9B8"/>
              <w:right w:val="single" w:sz="4" w:space="0" w:color="D2C9B8"/>
            </w:tcBorders>
          </w:tcPr>
          <w:p w14:paraId="1C8CF7A0" w14:textId="77777777" w:rsidR="005A5FCC" w:rsidRDefault="00A21C81">
            <w:pPr>
              <w:spacing w:before="20" w:after="20" w:line="240" w:lineRule="auto"/>
              <w:jc w:val="left"/>
            </w:pPr>
            <w:r>
              <w:rPr>
                <w:rFonts w:cs="EB Garamond"/>
                <w:kern w:val="16"/>
                <w:sz w:val="18"/>
                <w14:ligatures w14:val="standardContextual"/>
              </w:rPr>
              <w:t>0,67</w:t>
            </w:r>
          </w:p>
        </w:tc>
        <w:tc>
          <w:tcPr>
            <w:tcW w:w="1270" w:type="dxa"/>
            <w:tcBorders>
              <w:top w:val="single" w:sz="4" w:space="0" w:color="D2C9B8"/>
              <w:left w:val="single" w:sz="4" w:space="0" w:color="D2C9B8"/>
              <w:bottom w:val="single" w:sz="4" w:space="0" w:color="D2C9B8"/>
              <w:right w:val="single" w:sz="4" w:space="0" w:color="D2C9B8"/>
            </w:tcBorders>
          </w:tcPr>
          <w:p w14:paraId="67047171" w14:textId="77777777" w:rsidR="005A5FCC" w:rsidRDefault="00A21C81">
            <w:pPr>
              <w:spacing w:before="20" w:after="20" w:line="240" w:lineRule="auto"/>
              <w:jc w:val="left"/>
            </w:pPr>
            <w:r>
              <w:rPr>
                <w:rFonts w:cs="EB Garamond"/>
                <w:kern w:val="16"/>
                <w:sz w:val="18"/>
                <w14:ligatures w14:val="standardContextual"/>
              </w:rPr>
              <w:t>0,80</w:t>
            </w:r>
          </w:p>
        </w:tc>
        <w:tc>
          <w:tcPr>
            <w:tcW w:w="1270" w:type="dxa"/>
            <w:tcBorders>
              <w:top w:val="single" w:sz="4" w:space="0" w:color="D2C9B8"/>
              <w:left w:val="single" w:sz="4" w:space="0" w:color="D2C9B8"/>
              <w:bottom w:val="single" w:sz="4" w:space="0" w:color="D2C9B8"/>
              <w:right w:val="single" w:sz="4" w:space="0" w:color="D2C9B8"/>
            </w:tcBorders>
          </w:tcPr>
          <w:p w14:paraId="3080DE5C" w14:textId="77777777" w:rsidR="005A5FCC" w:rsidRDefault="00A21C81">
            <w:pPr>
              <w:spacing w:before="20" w:after="20" w:line="240" w:lineRule="auto"/>
              <w:jc w:val="left"/>
            </w:pPr>
            <w:r>
              <w:rPr>
                <w:rFonts w:cs="EB Garamond"/>
                <w:kern w:val="16"/>
                <w:sz w:val="18"/>
                <w14:ligatures w14:val="standardContextual"/>
              </w:rPr>
              <w:t>0,93</w:t>
            </w:r>
          </w:p>
        </w:tc>
        <w:tc>
          <w:tcPr>
            <w:tcW w:w="1270" w:type="dxa"/>
            <w:tcBorders>
              <w:top w:val="single" w:sz="4" w:space="0" w:color="D2C9B8"/>
              <w:left w:val="single" w:sz="4" w:space="0" w:color="D2C9B8"/>
              <w:bottom w:val="single" w:sz="4" w:space="0" w:color="D2C9B8"/>
              <w:right w:val="single" w:sz="4" w:space="0" w:color="D2C9B8"/>
            </w:tcBorders>
          </w:tcPr>
          <w:p w14:paraId="5ADF2EE3" w14:textId="77777777" w:rsidR="005A5FCC" w:rsidRDefault="00A21C81">
            <w:pPr>
              <w:spacing w:before="20" w:after="20" w:line="240" w:lineRule="auto"/>
              <w:jc w:val="left"/>
            </w:pPr>
            <w:r>
              <w:rPr>
                <w:rFonts w:cs="EB Garamond"/>
                <w:kern w:val="16"/>
                <w:sz w:val="18"/>
                <w14:ligatures w14:val="standardContextual"/>
              </w:rPr>
              <w:t>1,00</w:t>
            </w:r>
          </w:p>
        </w:tc>
      </w:tr>
    </w:tbl>
    <w:p w14:paraId="5F66EFF7" w14:textId="77777777" w:rsidR="005A5FCC" w:rsidRDefault="005A5FCC">
      <w:pPr>
        <w:spacing w:after="80" w:line="240" w:lineRule="auto"/>
      </w:pPr>
    </w:p>
    <w:p w14:paraId="0B10BA8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L</w:t>
      </w:r>
    </w:p>
    <w:p w14:paraId="1BD0F183" w14:textId="77777777" w:rsidR="005A5FCC" w:rsidRDefault="00A21C81">
      <w:r>
        <w:rPr>
          <w:rFonts w:cs="EB Garamond"/>
          <w:b/>
          <w:kern w:val="16"/>
          <w14:ligatures w14:val="standardContextual"/>
        </w:rPr>
        <w:t>eitura da tabela (idêntica à da seção 12.7.2):</w:t>
      </w:r>
      <w:r>
        <w:rPr>
          <w:rFonts w:cs="EB Garamond"/>
          <w:kern w:val="16"/>
          <w14:ligatures w14:val="standardContextual"/>
        </w:rPr>
        <w:t xml:space="preserve"> para converter tempo cumprido sob a condição da LINHA (origem) para a condição da COLUNA (destino), multiplique o tempo pelo fator correspondente. Exemplo: 10 anos cumpridos com deficiência leve (linha), convertidos para o parâmetro moderada (coluna) = 10 × 0,88 = 8,80 anos.</w:t>
      </w:r>
    </w:p>
    <w:p w14:paraId="39CDFCF7" w14:textId="77777777" w:rsidR="005A5FCC" w:rsidRDefault="00A21C81">
      <w:pPr>
        <w:spacing w:before="260" w:after="80" w:line="240" w:lineRule="auto"/>
        <w:jc w:val="left"/>
      </w:pPr>
      <w:r>
        <w:rPr>
          <w:rFonts w:cs="EB Garamond"/>
          <w:b/>
          <w:color w:val="3A3128"/>
          <w:kern w:val="16"/>
          <w:sz w:val="25"/>
          <w14:ligatures w14:val="standardContextual"/>
        </w:rPr>
        <w:t>12.18.3 Comparativo triplo: aposentadoria PcD × BPC × aposentadoria por incapacidade</w:t>
      </w:r>
    </w:p>
    <w:tbl>
      <w:tblPr>
        <w:tblW w:w="5000" w:type="pct"/>
        <w:jc w:val="center"/>
        <w:tblLook w:val="04A0" w:firstRow="1" w:lastRow="0" w:firstColumn="1" w:lastColumn="0" w:noHBand="0" w:noVBand="1"/>
      </w:tblPr>
      <w:tblGrid>
        <w:gridCol w:w="1584"/>
        <w:gridCol w:w="1585"/>
        <w:gridCol w:w="1586"/>
        <w:gridCol w:w="1585"/>
      </w:tblGrid>
      <w:tr w:rsidR="005A5FCC" w14:paraId="12F08E29" w14:textId="77777777">
        <w:trPr>
          <w:tblHeader/>
          <w:jc w:val="center"/>
        </w:trPr>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2E6E696C" w14:textId="77777777" w:rsidR="005A5FCC" w:rsidRDefault="00A21C81">
            <w:pPr>
              <w:spacing w:before="40" w:after="40" w:line="240" w:lineRule="auto"/>
              <w:jc w:val="center"/>
            </w:pPr>
            <w:r>
              <w:rPr>
                <w:rFonts w:cs="EB Garamond"/>
                <w:b/>
                <w:color w:val="2F2923"/>
                <w:kern w:val="16"/>
                <w:sz w:val="18"/>
                <w14:ligatures w14:val="standardContextual"/>
              </w:rPr>
              <w:t>Aspecto</w:t>
            </w:r>
          </w:p>
        </w:tc>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5CCF17F8" w14:textId="77777777" w:rsidR="005A5FCC" w:rsidRDefault="00A21C81">
            <w:pPr>
              <w:spacing w:before="40" w:after="40" w:line="240" w:lineRule="auto"/>
              <w:jc w:val="center"/>
            </w:pPr>
            <w:r>
              <w:rPr>
                <w:rFonts w:cs="EB Garamond"/>
                <w:b/>
                <w:color w:val="2F2923"/>
                <w:kern w:val="16"/>
                <w:sz w:val="18"/>
                <w14:ligatures w14:val="standardContextual"/>
              </w:rPr>
              <w:t>Aposentadoria PcD (LC 142)</w:t>
            </w:r>
          </w:p>
        </w:tc>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0FD766BB" w14:textId="77777777" w:rsidR="005A5FCC" w:rsidRDefault="00A21C81">
            <w:pPr>
              <w:spacing w:before="40" w:after="40" w:line="240" w:lineRule="auto"/>
              <w:jc w:val="center"/>
            </w:pPr>
            <w:r>
              <w:rPr>
                <w:rFonts w:cs="EB Garamond"/>
                <w:b/>
                <w:color w:val="2F2923"/>
                <w:kern w:val="16"/>
                <w:sz w:val="18"/>
                <w14:ligatures w14:val="standardContextual"/>
              </w:rPr>
              <w:t>BPC/LOAS (Cap. 18)</w:t>
            </w:r>
          </w:p>
        </w:tc>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558CBB0C" w14:textId="77777777" w:rsidR="005A5FCC" w:rsidRDefault="00A21C81">
            <w:pPr>
              <w:spacing w:before="40" w:after="40" w:line="240" w:lineRule="auto"/>
              <w:jc w:val="center"/>
            </w:pPr>
            <w:r>
              <w:rPr>
                <w:rFonts w:cs="EB Garamond"/>
                <w:b/>
                <w:color w:val="2F2923"/>
                <w:kern w:val="16"/>
                <w:sz w:val="18"/>
                <w14:ligatures w14:val="standardContextual"/>
              </w:rPr>
              <w:t>Apos. Por incapacidade (Cap. 6)</w:t>
            </w:r>
          </w:p>
        </w:tc>
      </w:tr>
      <w:tr w:rsidR="005A5FCC" w14:paraId="59C4F803"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318A635B" w14:textId="77777777" w:rsidR="005A5FCC" w:rsidRDefault="00A21C81">
            <w:pPr>
              <w:spacing w:before="20" w:after="20" w:line="240" w:lineRule="auto"/>
              <w:jc w:val="left"/>
            </w:pPr>
            <w:r>
              <w:rPr>
                <w:rFonts w:cs="EB Garamond"/>
                <w:b/>
                <w:kern w:val="16"/>
                <w:sz w:val="18"/>
                <w14:ligatures w14:val="standardContextual"/>
              </w:rPr>
              <w:t>Natureza</w:t>
            </w:r>
          </w:p>
        </w:tc>
        <w:tc>
          <w:tcPr>
            <w:tcW w:w="1587" w:type="dxa"/>
            <w:tcBorders>
              <w:top w:val="single" w:sz="4" w:space="0" w:color="D2C9B8"/>
              <w:left w:val="single" w:sz="4" w:space="0" w:color="D2C9B8"/>
              <w:bottom w:val="single" w:sz="4" w:space="0" w:color="D2C9B8"/>
              <w:right w:val="single" w:sz="4" w:space="0" w:color="D2C9B8"/>
            </w:tcBorders>
          </w:tcPr>
          <w:p w14:paraId="25127732" w14:textId="77777777" w:rsidR="005A5FCC" w:rsidRDefault="00A21C81">
            <w:pPr>
              <w:spacing w:before="20" w:after="20" w:line="240" w:lineRule="auto"/>
              <w:jc w:val="left"/>
            </w:pPr>
            <w:r>
              <w:rPr>
                <w:rFonts w:cs="EB Garamond"/>
                <w:kern w:val="16"/>
                <w:sz w:val="18"/>
                <w14:ligatures w14:val="standardContextual"/>
              </w:rPr>
              <w:t>Previdenciária</w:t>
            </w:r>
          </w:p>
        </w:tc>
        <w:tc>
          <w:tcPr>
            <w:tcW w:w="1587" w:type="dxa"/>
            <w:tcBorders>
              <w:top w:val="single" w:sz="4" w:space="0" w:color="D2C9B8"/>
              <w:left w:val="single" w:sz="4" w:space="0" w:color="D2C9B8"/>
              <w:bottom w:val="single" w:sz="4" w:space="0" w:color="D2C9B8"/>
              <w:right w:val="single" w:sz="4" w:space="0" w:color="D2C9B8"/>
            </w:tcBorders>
          </w:tcPr>
          <w:p w14:paraId="50738A89" w14:textId="77777777" w:rsidR="005A5FCC" w:rsidRDefault="00A21C81">
            <w:pPr>
              <w:spacing w:before="20" w:after="20" w:line="240" w:lineRule="auto"/>
              <w:jc w:val="left"/>
            </w:pPr>
            <w:r>
              <w:rPr>
                <w:rFonts w:cs="EB Garamond"/>
                <w:kern w:val="16"/>
                <w:sz w:val="18"/>
                <w14:ligatures w14:val="standardContextual"/>
              </w:rPr>
              <w:t>Assistencial</w:t>
            </w:r>
          </w:p>
        </w:tc>
        <w:tc>
          <w:tcPr>
            <w:tcW w:w="1587" w:type="dxa"/>
            <w:tcBorders>
              <w:top w:val="single" w:sz="4" w:space="0" w:color="D2C9B8"/>
              <w:left w:val="single" w:sz="4" w:space="0" w:color="D2C9B8"/>
              <w:bottom w:val="single" w:sz="4" w:space="0" w:color="D2C9B8"/>
              <w:right w:val="single" w:sz="4" w:space="0" w:color="D2C9B8"/>
            </w:tcBorders>
          </w:tcPr>
          <w:p w14:paraId="7B968DA5" w14:textId="77777777" w:rsidR="005A5FCC" w:rsidRDefault="00A21C81">
            <w:pPr>
              <w:spacing w:before="20" w:after="20" w:line="240" w:lineRule="auto"/>
              <w:jc w:val="left"/>
            </w:pPr>
            <w:r>
              <w:rPr>
                <w:rFonts w:cs="EB Garamond"/>
                <w:kern w:val="16"/>
                <w:sz w:val="18"/>
                <w14:ligatures w14:val="standardContextual"/>
              </w:rPr>
              <w:t>Previdenciária</w:t>
            </w:r>
          </w:p>
        </w:tc>
      </w:tr>
      <w:tr w:rsidR="005A5FCC" w14:paraId="01EA0B1D"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746B7BB4" w14:textId="77777777" w:rsidR="005A5FCC" w:rsidRDefault="00A21C81">
            <w:pPr>
              <w:spacing w:before="20" w:after="20" w:line="240" w:lineRule="auto"/>
              <w:jc w:val="left"/>
            </w:pPr>
            <w:r>
              <w:rPr>
                <w:rFonts w:cs="EB Garamond"/>
                <w:b/>
                <w:kern w:val="16"/>
                <w:sz w:val="18"/>
                <w14:ligatures w14:val="standardContextual"/>
              </w:rPr>
              <w:t>Pressuposto</w:t>
            </w:r>
          </w:p>
        </w:tc>
        <w:tc>
          <w:tcPr>
            <w:tcW w:w="1587" w:type="dxa"/>
            <w:tcBorders>
              <w:top w:val="single" w:sz="4" w:space="0" w:color="D2C9B8"/>
              <w:left w:val="single" w:sz="4" w:space="0" w:color="D2C9B8"/>
              <w:bottom w:val="single" w:sz="4" w:space="0" w:color="D2C9B8"/>
              <w:right w:val="single" w:sz="4" w:space="0" w:color="D2C9B8"/>
            </w:tcBorders>
          </w:tcPr>
          <w:p w14:paraId="5A75A8D1" w14:textId="77777777" w:rsidR="005A5FCC" w:rsidRDefault="00A21C81">
            <w:pPr>
              <w:spacing w:before="20" w:after="20" w:line="240" w:lineRule="auto"/>
              <w:jc w:val="left"/>
            </w:pPr>
            <w:r>
              <w:rPr>
                <w:rFonts w:cs="EB Garamond"/>
                <w:kern w:val="16"/>
                <w:sz w:val="18"/>
                <w14:ligatures w14:val="standardContextual"/>
              </w:rPr>
              <w:t>Trabalha COM deficiência</w:t>
            </w:r>
          </w:p>
        </w:tc>
        <w:tc>
          <w:tcPr>
            <w:tcW w:w="1587" w:type="dxa"/>
            <w:tcBorders>
              <w:top w:val="single" w:sz="4" w:space="0" w:color="D2C9B8"/>
              <w:left w:val="single" w:sz="4" w:space="0" w:color="D2C9B8"/>
              <w:bottom w:val="single" w:sz="4" w:space="0" w:color="D2C9B8"/>
              <w:right w:val="single" w:sz="4" w:space="0" w:color="D2C9B8"/>
            </w:tcBorders>
          </w:tcPr>
          <w:p w14:paraId="6EDA40A6" w14:textId="77777777" w:rsidR="005A5FCC" w:rsidRDefault="00A21C81">
            <w:pPr>
              <w:spacing w:before="20" w:after="20" w:line="240" w:lineRule="auto"/>
              <w:jc w:val="left"/>
            </w:pPr>
            <w:r>
              <w:rPr>
                <w:rFonts w:cs="EB Garamond"/>
                <w:kern w:val="16"/>
                <w:sz w:val="18"/>
                <w14:ligatures w14:val="standardContextual"/>
              </w:rPr>
              <w:t>Deficiência + miserabilidade</w:t>
            </w:r>
          </w:p>
        </w:tc>
        <w:tc>
          <w:tcPr>
            <w:tcW w:w="1587" w:type="dxa"/>
            <w:tcBorders>
              <w:top w:val="single" w:sz="4" w:space="0" w:color="D2C9B8"/>
              <w:left w:val="single" w:sz="4" w:space="0" w:color="D2C9B8"/>
              <w:bottom w:val="single" w:sz="4" w:space="0" w:color="D2C9B8"/>
              <w:right w:val="single" w:sz="4" w:space="0" w:color="D2C9B8"/>
            </w:tcBorders>
          </w:tcPr>
          <w:p w14:paraId="45EF21A2" w14:textId="77777777" w:rsidR="005A5FCC" w:rsidRDefault="00A21C81">
            <w:pPr>
              <w:spacing w:before="20" w:after="20" w:line="240" w:lineRule="auto"/>
              <w:jc w:val="left"/>
            </w:pPr>
            <w:r>
              <w:rPr>
                <w:rFonts w:cs="EB Garamond"/>
                <w:kern w:val="16"/>
                <w:sz w:val="18"/>
                <w14:ligatures w14:val="standardContextual"/>
              </w:rPr>
              <w:t>NÃO pode trabalhar</w:t>
            </w:r>
          </w:p>
        </w:tc>
      </w:tr>
      <w:tr w:rsidR="005A5FCC" w14:paraId="3DCE9830"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0AB9010D" w14:textId="77777777" w:rsidR="005A5FCC" w:rsidRDefault="00A21C81">
            <w:pPr>
              <w:spacing w:before="20" w:after="20" w:line="240" w:lineRule="auto"/>
              <w:jc w:val="left"/>
            </w:pPr>
            <w:r>
              <w:rPr>
                <w:rFonts w:cs="EB Garamond"/>
                <w:b/>
                <w:kern w:val="16"/>
                <w:sz w:val="18"/>
                <w14:ligatures w14:val="standardContextual"/>
              </w:rPr>
              <w:t>Contribuição</w:t>
            </w:r>
          </w:p>
        </w:tc>
        <w:tc>
          <w:tcPr>
            <w:tcW w:w="1587" w:type="dxa"/>
            <w:tcBorders>
              <w:top w:val="single" w:sz="4" w:space="0" w:color="D2C9B8"/>
              <w:left w:val="single" w:sz="4" w:space="0" w:color="D2C9B8"/>
              <w:bottom w:val="single" w:sz="4" w:space="0" w:color="D2C9B8"/>
              <w:right w:val="single" w:sz="4" w:space="0" w:color="D2C9B8"/>
            </w:tcBorders>
          </w:tcPr>
          <w:p w14:paraId="7669F4F6" w14:textId="77777777" w:rsidR="005A5FCC" w:rsidRDefault="00A21C81">
            <w:pPr>
              <w:spacing w:before="20" w:after="20" w:line="240" w:lineRule="auto"/>
              <w:jc w:val="left"/>
            </w:pPr>
            <w:r>
              <w:rPr>
                <w:rFonts w:cs="EB Garamond"/>
                <w:kern w:val="16"/>
                <w:sz w:val="18"/>
                <w14:ligatures w14:val="standardContextual"/>
              </w:rPr>
              <w:t>Sim (carência 180 meses)</w:t>
            </w:r>
          </w:p>
        </w:tc>
        <w:tc>
          <w:tcPr>
            <w:tcW w:w="1587" w:type="dxa"/>
            <w:tcBorders>
              <w:top w:val="single" w:sz="4" w:space="0" w:color="D2C9B8"/>
              <w:left w:val="single" w:sz="4" w:space="0" w:color="D2C9B8"/>
              <w:bottom w:val="single" w:sz="4" w:space="0" w:color="D2C9B8"/>
              <w:right w:val="single" w:sz="4" w:space="0" w:color="D2C9B8"/>
            </w:tcBorders>
          </w:tcPr>
          <w:p w14:paraId="59E77CC3" w14:textId="77777777" w:rsidR="005A5FCC" w:rsidRDefault="00A21C81">
            <w:pPr>
              <w:spacing w:before="20" w:after="20" w:line="240" w:lineRule="auto"/>
              <w:jc w:val="left"/>
            </w:pPr>
            <w:r>
              <w:rPr>
                <w:rFonts w:cs="EB Garamond"/>
                <w:kern w:val="16"/>
                <w:sz w:val="18"/>
                <w14:ligatures w14:val="standardContextual"/>
              </w:rPr>
              <w:t>Não</w:t>
            </w:r>
          </w:p>
        </w:tc>
        <w:tc>
          <w:tcPr>
            <w:tcW w:w="1587" w:type="dxa"/>
            <w:tcBorders>
              <w:top w:val="single" w:sz="4" w:space="0" w:color="D2C9B8"/>
              <w:left w:val="single" w:sz="4" w:space="0" w:color="D2C9B8"/>
              <w:bottom w:val="single" w:sz="4" w:space="0" w:color="D2C9B8"/>
              <w:right w:val="single" w:sz="4" w:space="0" w:color="D2C9B8"/>
            </w:tcBorders>
          </w:tcPr>
          <w:p w14:paraId="20AA3C0E" w14:textId="77777777" w:rsidR="005A5FCC" w:rsidRDefault="00A21C81">
            <w:pPr>
              <w:spacing w:before="20" w:after="20" w:line="240" w:lineRule="auto"/>
              <w:jc w:val="left"/>
            </w:pPr>
            <w:r>
              <w:rPr>
                <w:rFonts w:cs="EB Garamond"/>
                <w:kern w:val="16"/>
                <w:sz w:val="18"/>
                <w14:ligatures w14:val="standardContextual"/>
              </w:rPr>
              <w:t>Sim (carência 12 meses)</w:t>
            </w:r>
          </w:p>
        </w:tc>
      </w:tr>
      <w:tr w:rsidR="005A5FCC" w14:paraId="2589A3C9"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39B13EA2" w14:textId="77777777" w:rsidR="005A5FCC" w:rsidRDefault="00A21C81">
            <w:pPr>
              <w:spacing w:before="20" w:after="20" w:line="240" w:lineRule="auto"/>
              <w:jc w:val="left"/>
            </w:pPr>
            <w:r>
              <w:rPr>
                <w:rFonts w:cs="EB Garamond"/>
                <w:b/>
                <w:kern w:val="16"/>
                <w:sz w:val="18"/>
                <w14:ligatures w14:val="standardContextual"/>
              </w:rPr>
              <w:t>Idade</w:t>
            </w:r>
          </w:p>
        </w:tc>
        <w:tc>
          <w:tcPr>
            <w:tcW w:w="1587" w:type="dxa"/>
            <w:tcBorders>
              <w:top w:val="single" w:sz="4" w:space="0" w:color="D2C9B8"/>
              <w:left w:val="single" w:sz="4" w:space="0" w:color="D2C9B8"/>
              <w:bottom w:val="single" w:sz="4" w:space="0" w:color="D2C9B8"/>
              <w:right w:val="single" w:sz="4" w:space="0" w:color="D2C9B8"/>
            </w:tcBorders>
          </w:tcPr>
          <w:p w14:paraId="5FBC947B" w14:textId="77777777" w:rsidR="005A5FCC" w:rsidRDefault="00A21C81">
            <w:pPr>
              <w:spacing w:before="20" w:after="20" w:line="240" w:lineRule="auto"/>
              <w:jc w:val="left"/>
            </w:pPr>
            <w:r>
              <w:rPr>
                <w:rFonts w:cs="EB Garamond"/>
                <w:kern w:val="16"/>
                <w:sz w:val="18"/>
                <w14:ligatures w14:val="standardContextual"/>
              </w:rPr>
              <w:t>Não (TC) ou 60H/55M (idade)</w:t>
            </w:r>
          </w:p>
        </w:tc>
        <w:tc>
          <w:tcPr>
            <w:tcW w:w="1587" w:type="dxa"/>
            <w:tcBorders>
              <w:top w:val="single" w:sz="4" w:space="0" w:color="D2C9B8"/>
              <w:left w:val="single" w:sz="4" w:space="0" w:color="D2C9B8"/>
              <w:bottom w:val="single" w:sz="4" w:space="0" w:color="D2C9B8"/>
              <w:right w:val="single" w:sz="4" w:space="0" w:color="D2C9B8"/>
            </w:tcBorders>
          </w:tcPr>
          <w:p w14:paraId="60992566" w14:textId="77777777" w:rsidR="005A5FCC" w:rsidRDefault="00A21C81">
            <w:pPr>
              <w:spacing w:before="20" w:after="20" w:line="240" w:lineRule="auto"/>
              <w:jc w:val="left"/>
            </w:pPr>
            <w:r>
              <w:rPr>
                <w:rFonts w:cs="EB Garamond"/>
                <w:kern w:val="16"/>
                <w:sz w:val="18"/>
                <w14:ligatures w14:val="standardContextual"/>
              </w:rPr>
              <w:t>Não</w:t>
            </w:r>
          </w:p>
        </w:tc>
        <w:tc>
          <w:tcPr>
            <w:tcW w:w="1587" w:type="dxa"/>
            <w:tcBorders>
              <w:top w:val="single" w:sz="4" w:space="0" w:color="D2C9B8"/>
              <w:left w:val="single" w:sz="4" w:space="0" w:color="D2C9B8"/>
              <w:bottom w:val="single" w:sz="4" w:space="0" w:color="D2C9B8"/>
              <w:right w:val="single" w:sz="4" w:space="0" w:color="D2C9B8"/>
            </w:tcBorders>
          </w:tcPr>
          <w:p w14:paraId="6E3C976A" w14:textId="77777777" w:rsidR="005A5FCC" w:rsidRDefault="00A21C81">
            <w:pPr>
              <w:spacing w:before="20" w:after="20" w:line="240" w:lineRule="auto"/>
              <w:jc w:val="left"/>
            </w:pPr>
            <w:r>
              <w:rPr>
                <w:rFonts w:cs="EB Garamond"/>
                <w:kern w:val="16"/>
                <w:sz w:val="18"/>
                <w14:ligatures w14:val="standardContextual"/>
              </w:rPr>
              <w:t>Não</w:t>
            </w:r>
          </w:p>
        </w:tc>
      </w:tr>
      <w:tr w:rsidR="005A5FCC" w14:paraId="1950A83D"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2C5D2D9D" w14:textId="77777777" w:rsidR="005A5FCC" w:rsidRDefault="00A21C81">
            <w:pPr>
              <w:spacing w:before="20" w:after="20" w:line="240" w:lineRule="auto"/>
              <w:jc w:val="left"/>
            </w:pPr>
            <w:r>
              <w:rPr>
                <w:rFonts w:cs="EB Garamond"/>
                <w:b/>
                <w:kern w:val="16"/>
                <w:sz w:val="18"/>
                <w14:ligatures w14:val="standardContextual"/>
              </w:rPr>
              <w:t>Valor</w:t>
            </w:r>
          </w:p>
        </w:tc>
        <w:tc>
          <w:tcPr>
            <w:tcW w:w="1587" w:type="dxa"/>
            <w:tcBorders>
              <w:top w:val="single" w:sz="4" w:space="0" w:color="D2C9B8"/>
              <w:left w:val="single" w:sz="4" w:space="0" w:color="D2C9B8"/>
              <w:bottom w:val="single" w:sz="4" w:space="0" w:color="D2C9B8"/>
              <w:right w:val="single" w:sz="4" w:space="0" w:color="D2C9B8"/>
            </w:tcBorders>
          </w:tcPr>
          <w:p w14:paraId="0DABA07A" w14:textId="77777777" w:rsidR="005A5FCC" w:rsidRDefault="00A21C81">
            <w:pPr>
              <w:spacing w:before="20" w:after="20" w:line="240" w:lineRule="auto"/>
              <w:jc w:val="left"/>
            </w:pPr>
            <w:r>
              <w:rPr>
                <w:rFonts w:cs="EB Garamond"/>
                <w:kern w:val="16"/>
                <w:sz w:val="18"/>
                <w14:ligatures w14:val="standardContextual"/>
              </w:rPr>
              <w:t>70-100% do SB</w:t>
            </w:r>
          </w:p>
        </w:tc>
        <w:tc>
          <w:tcPr>
            <w:tcW w:w="1587" w:type="dxa"/>
            <w:tcBorders>
              <w:top w:val="single" w:sz="4" w:space="0" w:color="D2C9B8"/>
              <w:left w:val="single" w:sz="4" w:space="0" w:color="D2C9B8"/>
              <w:bottom w:val="single" w:sz="4" w:space="0" w:color="D2C9B8"/>
              <w:right w:val="single" w:sz="4" w:space="0" w:color="D2C9B8"/>
            </w:tcBorders>
          </w:tcPr>
          <w:p w14:paraId="0C3823E4" w14:textId="77777777" w:rsidR="005A5FCC" w:rsidRDefault="00A21C81">
            <w:pPr>
              <w:spacing w:before="20" w:after="20" w:line="240" w:lineRule="auto"/>
              <w:jc w:val="left"/>
            </w:pPr>
            <w:r>
              <w:rPr>
                <w:rFonts w:cs="EB Garamond"/>
                <w:kern w:val="16"/>
                <w:sz w:val="18"/>
                <w14:ligatures w14:val="standardContextual"/>
              </w:rPr>
              <w:t>1 SM fixo</w:t>
            </w:r>
          </w:p>
        </w:tc>
        <w:tc>
          <w:tcPr>
            <w:tcW w:w="1587" w:type="dxa"/>
            <w:tcBorders>
              <w:top w:val="single" w:sz="4" w:space="0" w:color="D2C9B8"/>
              <w:left w:val="single" w:sz="4" w:space="0" w:color="D2C9B8"/>
              <w:bottom w:val="single" w:sz="4" w:space="0" w:color="D2C9B8"/>
              <w:right w:val="single" w:sz="4" w:space="0" w:color="D2C9B8"/>
            </w:tcBorders>
          </w:tcPr>
          <w:p w14:paraId="60C5A4D0" w14:textId="77777777" w:rsidR="005A5FCC" w:rsidRDefault="00A21C81">
            <w:pPr>
              <w:spacing w:before="20" w:after="20" w:line="240" w:lineRule="auto"/>
              <w:jc w:val="left"/>
            </w:pPr>
            <w:r>
              <w:rPr>
                <w:rFonts w:cs="EB Garamond"/>
                <w:kern w:val="16"/>
                <w:sz w:val="18"/>
                <w14:ligatures w14:val="standardContextual"/>
              </w:rPr>
              <w:t>60%+2% (ou 100% se acidentário)</w:t>
            </w:r>
          </w:p>
        </w:tc>
      </w:tr>
      <w:tr w:rsidR="005A5FCC" w14:paraId="67C11C93"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4652FC7C" w14:textId="77777777" w:rsidR="005A5FCC" w:rsidRDefault="00A21C81">
            <w:pPr>
              <w:spacing w:before="20" w:after="20" w:line="240" w:lineRule="auto"/>
              <w:jc w:val="left"/>
            </w:pPr>
            <w:r>
              <w:rPr>
                <w:rFonts w:cs="EB Garamond"/>
                <w:b/>
                <w:kern w:val="16"/>
                <w:sz w:val="18"/>
                <w14:ligatures w14:val="standardContextual"/>
              </w:rPr>
              <w:t>13º salário</w:t>
            </w:r>
          </w:p>
        </w:tc>
        <w:tc>
          <w:tcPr>
            <w:tcW w:w="1587" w:type="dxa"/>
            <w:tcBorders>
              <w:top w:val="single" w:sz="4" w:space="0" w:color="D2C9B8"/>
              <w:left w:val="single" w:sz="4" w:space="0" w:color="D2C9B8"/>
              <w:bottom w:val="single" w:sz="4" w:space="0" w:color="D2C9B8"/>
              <w:right w:val="single" w:sz="4" w:space="0" w:color="D2C9B8"/>
            </w:tcBorders>
          </w:tcPr>
          <w:p w14:paraId="78ACF018" w14:textId="77777777" w:rsidR="005A5FCC" w:rsidRDefault="00A21C81">
            <w:pPr>
              <w:spacing w:before="20" w:after="20" w:line="240" w:lineRule="auto"/>
              <w:jc w:val="left"/>
            </w:pPr>
            <w:r>
              <w:rPr>
                <w:rFonts w:cs="EB Garamond"/>
                <w:kern w:val="16"/>
                <w:sz w:val="18"/>
                <w14:ligatures w14:val="standardContextual"/>
              </w:rPr>
              <w:t>Sim</w:t>
            </w:r>
          </w:p>
        </w:tc>
        <w:tc>
          <w:tcPr>
            <w:tcW w:w="1587" w:type="dxa"/>
            <w:tcBorders>
              <w:top w:val="single" w:sz="4" w:space="0" w:color="D2C9B8"/>
              <w:left w:val="single" w:sz="4" w:space="0" w:color="D2C9B8"/>
              <w:bottom w:val="single" w:sz="4" w:space="0" w:color="D2C9B8"/>
              <w:right w:val="single" w:sz="4" w:space="0" w:color="D2C9B8"/>
            </w:tcBorders>
          </w:tcPr>
          <w:p w14:paraId="1D83BAC3" w14:textId="77777777" w:rsidR="005A5FCC" w:rsidRDefault="00A21C81">
            <w:pPr>
              <w:spacing w:before="20" w:after="20" w:line="240" w:lineRule="auto"/>
              <w:jc w:val="left"/>
            </w:pPr>
            <w:r>
              <w:rPr>
                <w:rFonts w:cs="EB Garamond"/>
                <w:kern w:val="16"/>
                <w:sz w:val="18"/>
                <w14:ligatures w14:val="standardContextual"/>
              </w:rPr>
              <w:t>Não</w:t>
            </w:r>
          </w:p>
        </w:tc>
        <w:tc>
          <w:tcPr>
            <w:tcW w:w="1587" w:type="dxa"/>
            <w:tcBorders>
              <w:top w:val="single" w:sz="4" w:space="0" w:color="D2C9B8"/>
              <w:left w:val="single" w:sz="4" w:space="0" w:color="D2C9B8"/>
              <w:bottom w:val="single" w:sz="4" w:space="0" w:color="D2C9B8"/>
              <w:right w:val="single" w:sz="4" w:space="0" w:color="D2C9B8"/>
            </w:tcBorders>
          </w:tcPr>
          <w:p w14:paraId="61A08FFF" w14:textId="77777777" w:rsidR="005A5FCC" w:rsidRDefault="00A21C81">
            <w:pPr>
              <w:spacing w:before="20" w:after="20" w:line="240" w:lineRule="auto"/>
              <w:jc w:val="left"/>
            </w:pPr>
            <w:r>
              <w:rPr>
                <w:rFonts w:cs="EB Garamond"/>
                <w:kern w:val="16"/>
                <w:sz w:val="18"/>
                <w14:ligatures w14:val="standardContextual"/>
              </w:rPr>
              <w:t>Sim</w:t>
            </w:r>
          </w:p>
        </w:tc>
      </w:tr>
      <w:tr w:rsidR="005A5FCC" w14:paraId="3E57529C"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767225AA" w14:textId="77777777" w:rsidR="005A5FCC" w:rsidRDefault="00A21C81">
            <w:pPr>
              <w:spacing w:before="20" w:after="20" w:line="240" w:lineRule="auto"/>
              <w:jc w:val="left"/>
            </w:pPr>
            <w:r>
              <w:rPr>
                <w:rFonts w:cs="EB Garamond"/>
                <w:b/>
                <w:kern w:val="16"/>
                <w:sz w:val="18"/>
                <w14:ligatures w14:val="standardContextual"/>
              </w:rPr>
              <w:t>Pensão por morte</w:t>
            </w:r>
          </w:p>
        </w:tc>
        <w:tc>
          <w:tcPr>
            <w:tcW w:w="1587" w:type="dxa"/>
            <w:tcBorders>
              <w:top w:val="single" w:sz="4" w:space="0" w:color="D2C9B8"/>
              <w:left w:val="single" w:sz="4" w:space="0" w:color="D2C9B8"/>
              <w:bottom w:val="single" w:sz="4" w:space="0" w:color="D2C9B8"/>
              <w:right w:val="single" w:sz="4" w:space="0" w:color="D2C9B8"/>
            </w:tcBorders>
          </w:tcPr>
          <w:p w14:paraId="141BEB0A" w14:textId="77777777" w:rsidR="005A5FCC" w:rsidRDefault="00A21C81">
            <w:pPr>
              <w:spacing w:before="20" w:after="20" w:line="240" w:lineRule="auto"/>
              <w:jc w:val="left"/>
            </w:pPr>
            <w:r>
              <w:rPr>
                <w:rFonts w:cs="EB Garamond"/>
                <w:kern w:val="16"/>
                <w:sz w:val="18"/>
                <w14:ligatures w14:val="standardContextual"/>
              </w:rPr>
              <w:t>Sim</w:t>
            </w:r>
          </w:p>
        </w:tc>
        <w:tc>
          <w:tcPr>
            <w:tcW w:w="1587" w:type="dxa"/>
            <w:tcBorders>
              <w:top w:val="single" w:sz="4" w:space="0" w:color="D2C9B8"/>
              <w:left w:val="single" w:sz="4" w:space="0" w:color="D2C9B8"/>
              <w:bottom w:val="single" w:sz="4" w:space="0" w:color="D2C9B8"/>
              <w:right w:val="single" w:sz="4" w:space="0" w:color="D2C9B8"/>
            </w:tcBorders>
          </w:tcPr>
          <w:p w14:paraId="0E1490EA" w14:textId="77777777" w:rsidR="005A5FCC" w:rsidRDefault="00A21C81">
            <w:pPr>
              <w:spacing w:before="20" w:after="20" w:line="240" w:lineRule="auto"/>
              <w:jc w:val="left"/>
            </w:pPr>
            <w:r>
              <w:rPr>
                <w:rFonts w:cs="EB Garamond"/>
                <w:kern w:val="16"/>
                <w:sz w:val="18"/>
                <w14:ligatures w14:val="standardContextual"/>
              </w:rPr>
              <w:t>Não</w:t>
            </w:r>
          </w:p>
        </w:tc>
        <w:tc>
          <w:tcPr>
            <w:tcW w:w="1587" w:type="dxa"/>
            <w:tcBorders>
              <w:top w:val="single" w:sz="4" w:space="0" w:color="D2C9B8"/>
              <w:left w:val="single" w:sz="4" w:space="0" w:color="D2C9B8"/>
              <w:bottom w:val="single" w:sz="4" w:space="0" w:color="D2C9B8"/>
              <w:right w:val="single" w:sz="4" w:space="0" w:color="D2C9B8"/>
            </w:tcBorders>
          </w:tcPr>
          <w:p w14:paraId="46080FEA" w14:textId="77777777" w:rsidR="005A5FCC" w:rsidRDefault="00A21C81">
            <w:pPr>
              <w:spacing w:before="20" w:after="20" w:line="240" w:lineRule="auto"/>
              <w:jc w:val="left"/>
            </w:pPr>
            <w:r>
              <w:rPr>
                <w:rFonts w:cs="EB Garamond"/>
                <w:kern w:val="16"/>
                <w:sz w:val="18"/>
                <w14:ligatures w14:val="standardContextual"/>
              </w:rPr>
              <w:t>Sim</w:t>
            </w:r>
          </w:p>
        </w:tc>
      </w:tr>
      <w:tr w:rsidR="005A5FCC" w14:paraId="33C1BEAD"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3708F2E7" w14:textId="77777777" w:rsidR="005A5FCC" w:rsidRDefault="00A21C81">
            <w:pPr>
              <w:spacing w:before="20" w:after="20" w:line="240" w:lineRule="auto"/>
              <w:jc w:val="left"/>
            </w:pPr>
            <w:r>
              <w:rPr>
                <w:rFonts w:cs="EB Garamond"/>
                <w:b/>
                <w:kern w:val="16"/>
                <w:sz w:val="18"/>
                <w14:ligatures w14:val="standardContextual"/>
              </w:rPr>
              <w:t>Caráter</w:t>
            </w:r>
          </w:p>
        </w:tc>
        <w:tc>
          <w:tcPr>
            <w:tcW w:w="1587" w:type="dxa"/>
            <w:tcBorders>
              <w:top w:val="single" w:sz="4" w:space="0" w:color="D2C9B8"/>
              <w:left w:val="single" w:sz="4" w:space="0" w:color="D2C9B8"/>
              <w:bottom w:val="single" w:sz="4" w:space="0" w:color="D2C9B8"/>
              <w:right w:val="single" w:sz="4" w:space="0" w:color="D2C9B8"/>
            </w:tcBorders>
          </w:tcPr>
          <w:p w14:paraId="6D5B65A7" w14:textId="77777777" w:rsidR="005A5FCC" w:rsidRDefault="00A21C81">
            <w:pPr>
              <w:spacing w:before="20" w:after="20" w:line="240" w:lineRule="auto"/>
              <w:jc w:val="left"/>
            </w:pPr>
            <w:r>
              <w:rPr>
                <w:rFonts w:cs="EB Garamond"/>
                <w:kern w:val="16"/>
                <w:sz w:val="18"/>
                <w14:ligatures w14:val="standardContextual"/>
              </w:rPr>
              <w:t>Definitiva</w:t>
            </w:r>
          </w:p>
        </w:tc>
        <w:tc>
          <w:tcPr>
            <w:tcW w:w="1587" w:type="dxa"/>
            <w:tcBorders>
              <w:top w:val="single" w:sz="4" w:space="0" w:color="D2C9B8"/>
              <w:left w:val="single" w:sz="4" w:space="0" w:color="D2C9B8"/>
              <w:bottom w:val="single" w:sz="4" w:space="0" w:color="D2C9B8"/>
              <w:right w:val="single" w:sz="4" w:space="0" w:color="D2C9B8"/>
            </w:tcBorders>
          </w:tcPr>
          <w:p w14:paraId="66579A6C" w14:textId="77777777" w:rsidR="005A5FCC" w:rsidRDefault="00A21C81">
            <w:pPr>
              <w:spacing w:before="20" w:after="20" w:line="240" w:lineRule="auto"/>
              <w:jc w:val="left"/>
            </w:pPr>
            <w:r>
              <w:rPr>
                <w:rFonts w:cs="EB Garamond"/>
                <w:kern w:val="16"/>
                <w:sz w:val="18"/>
                <w14:ligatures w14:val="standardContextual"/>
              </w:rPr>
              <w:t>Revisável (2 anos)</w:t>
            </w:r>
          </w:p>
        </w:tc>
        <w:tc>
          <w:tcPr>
            <w:tcW w:w="1587" w:type="dxa"/>
            <w:tcBorders>
              <w:top w:val="single" w:sz="4" w:space="0" w:color="D2C9B8"/>
              <w:left w:val="single" w:sz="4" w:space="0" w:color="D2C9B8"/>
              <w:bottom w:val="single" w:sz="4" w:space="0" w:color="D2C9B8"/>
              <w:right w:val="single" w:sz="4" w:space="0" w:color="D2C9B8"/>
            </w:tcBorders>
          </w:tcPr>
          <w:p w14:paraId="49CC0AA9" w14:textId="77777777" w:rsidR="005A5FCC" w:rsidRDefault="00A21C81">
            <w:pPr>
              <w:spacing w:before="20" w:after="20" w:line="240" w:lineRule="auto"/>
              <w:jc w:val="left"/>
            </w:pPr>
            <w:r>
              <w:rPr>
                <w:rFonts w:cs="EB Garamond"/>
                <w:kern w:val="16"/>
                <w:sz w:val="18"/>
                <w14:ligatures w14:val="standardContextual"/>
              </w:rPr>
              <w:t>Cessável (recuperação)</w:t>
            </w:r>
          </w:p>
        </w:tc>
      </w:tr>
      <w:tr w:rsidR="005A5FCC" w14:paraId="32791D3B"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2ABCBF0D" w14:textId="77777777" w:rsidR="005A5FCC" w:rsidRDefault="00A21C81">
            <w:pPr>
              <w:spacing w:before="20" w:after="20" w:line="240" w:lineRule="auto"/>
              <w:jc w:val="left"/>
            </w:pPr>
            <w:r>
              <w:rPr>
                <w:rFonts w:cs="EB Garamond"/>
                <w:b/>
                <w:kern w:val="16"/>
                <w:sz w:val="18"/>
                <w14:ligatures w14:val="standardContextual"/>
              </w:rPr>
              <w:lastRenderedPageBreak/>
              <w:t>Fator previdenciário</w:t>
            </w:r>
          </w:p>
        </w:tc>
        <w:tc>
          <w:tcPr>
            <w:tcW w:w="1587" w:type="dxa"/>
            <w:tcBorders>
              <w:top w:val="single" w:sz="4" w:space="0" w:color="D2C9B8"/>
              <w:left w:val="single" w:sz="4" w:space="0" w:color="D2C9B8"/>
              <w:bottom w:val="single" w:sz="4" w:space="0" w:color="D2C9B8"/>
              <w:right w:val="single" w:sz="4" w:space="0" w:color="D2C9B8"/>
            </w:tcBorders>
          </w:tcPr>
          <w:p w14:paraId="25FA2526" w14:textId="77777777" w:rsidR="005A5FCC" w:rsidRDefault="00A21C81">
            <w:pPr>
              <w:spacing w:before="20" w:after="20" w:line="240" w:lineRule="auto"/>
              <w:jc w:val="left"/>
            </w:pPr>
            <w:r>
              <w:rPr>
                <w:rFonts w:cs="EB Garamond"/>
                <w:kern w:val="16"/>
                <w:sz w:val="18"/>
                <w14:ligatures w14:val="standardContextual"/>
              </w:rPr>
              <w:t>Se vantajoso</w:t>
            </w:r>
          </w:p>
        </w:tc>
        <w:tc>
          <w:tcPr>
            <w:tcW w:w="1587" w:type="dxa"/>
            <w:tcBorders>
              <w:top w:val="single" w:sz="4" w:space="0" w:color="D2C9B8"/>
              <w:left w:val="single" w:sz="4" w:space="0" w:color="D2C9B8"/>
              <w:bottom w:val="single" w:sz="4" w:space="0" w:color="D2C9B8"/>
              <w:right w:val="single" w:sz="4" w:space="0" w:color="D2C9B8"/>
            </w:tcBorders>
          </w:tcPr>
          <w:p w14:paraId="086FEAF7" w14:textId="77777777" w:rsidR="005A5FCC" w:rsidRDefault="00A21C81">
            <w:pPr>
              <w:spacing w:before="20" w:after="20" w:line="240" w:lineRule="auto"/>
              <w:jc w:val="left"/>
            </w:pPr>
            <w:r>
              <w:rPr>
                <w:rFonts w:cs="EB Garamond"/>
                <w:kern w:val="16"/>
                <w:sz w:val="18"/>
                <w14:ligatures w14:val="standardContextual"/>
              </w:rPr>
              <w:t>N/A</w:t>
            </w:r>
          </w:p>
        </w:tc>
        <w:tc>
          <w:tcPr>
            <w:tcW w:w="1587" w:type="dxa"/>
            <w:tcBorders>
              <w:top w:val="single" w:sz="4" w:space="0" w:color="D2C9B8"/>
              <w:left w:val="single" w:sz="4" w:space="0" w:color="D2C9B8"/>
              <w:bottom w:val="single" w:sz="4" w:space="0" w:color="D2C9B8"/>
              <w:right w:val="single" w:sz="4" w:space="0" w:color="D2C9B8"/>
            </w:tcBorders>
          </w:tcPr>
          <w:p w14:paraId="4895B622" w14:textId="77777777" w:rsidR="005A5FCC" w:rsidRDefault="00A21C81">
            <w:pPr>
              <w:spacing w:before="20" w:after="20" w:line="240" w:lineRule="auto"/>
              <w:jc w:val="left"/>
            </w:pPr>
            <w:r>
              <w:rPr>
                <w:rFonts w:cs="EB Garamond"/>
                <w:kern w:val="16"/>
                <w:sz w:val="18"/>
                <w14:ligatures w14:val="standardContextual"/>
              </w:rPr>
              <w:t>Não</w:t>
            </w:r>
          </w:p>
        </w:tc>
      </w:tr>
      <w:tr w:rsidR="005A5FCC" w14:paraId="1569D1FB"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6B6322F8" w14:textId="77777777" w:rsidR="005A5FCC" w:rsidRDefault="00A21C81">
            <w:pPr>
              <w:spacing w:before="20" w:after="20" w:line="240" w:lineRule="auto"/>
              <w:jc w:val="left"/>
            </w:pPr>
            <w:r>
              <w:rPr>
                <w:rFonts w:cs="EB Garamond"/>
                <w:b/>
                <w:kern w:val="16"/>
                <w:sz w:val="18"/>
                <w14:ligatures w14:val="standardContextual"/>
              </w:rPr>
              <w:t>Perícia</w:t>
            </w:r>
          </w:p>
        </w:tc>
        <w:tc>
          <w:tcPr>
            <w:tcW w:w="1587" w:type="dxa"/>
            <w:tcBorders>
              <w:top w:val="single" w:sz="4" w:space="0" w:color="D2C9B8"/>
              <w:left w:val="single" w:sz="4" w:space="0" w:color="D2C9B8"/>
              <w:bottom w:val="single" w:sz="4" w:space="0" w:color="D2C9B8"/>
              <w:right w:val="single" w:sz="4" w:space="0" w:color="D2C9B8"/>
            </w:tcBorders>
          </w:tcPr>
          <w:p w14:paraId="55416952" w14:textId="77777777" w:rsidR="005A5FCC" w:rsidRDefault="00A21C81">
            <w:pPr>
              <w:spacing w:before="20" w:after="20" w:line="240" w:lineRule="auto"/>
              <w:jc w:val="left"/>
            </w:pPr>
            <w:r>
              <w:rPr>
                <w:rFonts w:cs="EB Garamond"/>
                <w:kern w:val="16"/>
                <w:sz w:val="18"/>
                <w14:ligatures w14:val="standardContextual"/>
              </w:rPr>
              <w:t>Biopsicossocial (IF-BrA)</w:t>
            </w:r>
          </w:p>
        </w:tc>
        <w:tc>
          <w:tcPr>
            <w:tcW w:w="1587" w:type="dxa"/>
            <w:tcBorders>
              <w:top w:val="single" w:sz="4" w:space="0" w:color="D2C9B8"/>
              <w:left w:val="single" w:sz="4" w:space="0" w:color="D2C9B8"/>
              <w:bottom w:val="single" w:sz="4" w:space="0" w:color="D2C9B8"/>
              <w:right w:val="single" w:sz="4" w:space="0" w:color="D2C9B8"/>
            </w:tcBorders>
          </w:tcPr>
          <w:p w14:paraId="497257EA" w14:textId="77777777" w:rsidR="005A5FCC" w:rsidRDefault="00A21C81">
            <w:pPr>
              <w:spacing w:before="20" w:after="20" w:line="240" w:lineRule="auto"/>
              <w:jc w:val="left"/>
            </w:pPr>
            <w:r>
              <w:rPr>
                <w:rFonts w:cs="EB Garamond"/>
                <w:kern w:val="16"/>
                <w:sz w:val="18"/>
                <w14:ligatures w14:val="standardContextual"/>
              </w:rPr>
              <w:t>Social (miserabilidade) + médica</w:t>
            </w:r>
          </w:p>
        </w:tc>
        <w:tc>
          <w:tcPr>
            <w:tcW w:w="1587" w:type="dxa"/>
            <w:tcBorders>
              <w:top w:val="single" w:sz="4" w:space="0" w:color="D2C9B8"/>
              <w:left w:val="single" w:sz="4" w:space="0" w:color="D2C9B8"/>
              <w:bottom w:val="single" w:sz="4" w:space="0" w:color="D2C9B8"/>
              <w:right w:val="single" w:sz="4" w:space="0" w:color="D2C9B8"/>
            </w:tcBorders>
          </w:tcPr>
          <w:p w14:paraId="42A37FC7" w14:textId="77777777" w:rsidR="005A5FCC" w:rsidRDefault="00A21C81">
            <w:pPr>
              <w:spacing w:before="20" w:after="20" w:line="240" w:lineRule="auto"/>
              <w:jc w:val="left"/>
            </w:pPr>
            <w:r>
              <w:rPr>
                <w:rFonts w:cs="EB Garamond"/>
                <w:kern w:val="16"/>
                <w:sz w:val="18"/>
                <w14:ligatures w14:val="standardContextual"/>
              </w:rPr>
              <w:t>Médica (capacidade laboral)</w:t>
            </w:r>
          </w:p>
        </w:tc>
      </w:tr>
    </w:tbl>
    <w:p w14:paraId="17A9581D" w14:textId="77777777" w:rsidR="005A5FCC" w:rsidRDefault="005A5FCC">
      <w:pPr>
        <w:spacing w:after="80" w:line="240" w:lineRule="auto"/>
      </w:pPr>
    </w:p>
    <w:p w14:paraId="56A6006A" w14:textId="77777777" w:rsidR="005A5FCC" w:rsidRDefault="00A21C81">
      <w:pPr>
        <w:spacing w:before="260" w:after="80" w:line="240" w:lineRule="auto"/>
        <w:jc w:val="left"/>
      </w:pPr>
      <w:r>
        <w:rPr>
          <w:rFonts w:cs="EB Garamond"/>
          <w:b/>
          <w:color w:val="3A3128"/>
          <w:kern w:val="16"/>
          <w:sz w:val="25"/>
          <w14:ligatures w14:val="standardContextual"/>
        </w:rPr>
        <w:t>12.18.4 Fluxograma decisório: qual benefício requerer?</w:t>
      </w:r>
    </w:p>
    <w:p w14:paraId="396ABEF8"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4F2D0F7A" w14:textId="77777777" w:rsidR="005A5FCC" w:rsidRDefault="00A21C81">
      <w:r>
        <w:rPr>
          <w:rFonts w:cs="EB Garamond"/>
          <w:kern w:val="16"/>
          <w14:ligatures w14:val="standardContextual"/>
        </w:rPr>
        <w:t>s tabelas precedentes descrevem cada benefício isoladamente; o roteiro que segue inverte a perspectiva e parte da situação concreta do segurado para indicar, por eliminação sucessiva, a via cabível. Convém lê-lo não como algoritmo rígido, mas como ordem de raciocínio: a primeira pergunta — sobre a capacidade laboral — é a que mais frequentemente separa, logo de início, o terreno da deficiência do terreno da incapacidade.</w:t>
      </w:r>
    </w:p>
    <w:p w14:paraId="0EB79DEE" w14:textId="77777777" w:rsidR="005A5FCC" w:rsidRDefault="00A21C81">
      <w:pPr>
        <w:spacing w:after="40" w:line="252" w:lineRule="auto"/>
        <w:ind w:left="340" w:hanging="198"/>
      </w:pPr>
      <w:r>
        <w:rPr>
          <w:rFonts w:cs="EB Garamond"/>
          <w:color w:val="3A3128"/>
          <w:kern w:val="16"/>
          <w:sz w:val="20"/>
          <w14:ligatures w14:val="standardContextual"/>
        </w:rPr>
        <w:t xml:space="preserve">1. </w:t>
      </w:r>
      <w:r>
        <w:rPr>
          <w:rFonts w:cs="EB Garamond"/>
          <w:b/>
          <w:kern w:val="16"/>
          <w:sz w:val="20"/>
          <w14:ligatures w14:val="standardContextual"/>
        </w:rPr>
        <w:t>O segurado tem capacidade laboral (trabalha ou pode trabalhar)?</w:t>
      </w:r>
    </w:p>
    <w:p w14:paraId="35326870" w14:textId="77777777" w:rsidR="005A5FCC" w:rsidRDefault="005A5FCC">
      <w:pPr>
        <w:spacing w:after="60" w:line="240" w:lineRule="auto"/>
      </w:pPr>
    </w:p>
    <w:p w14:paraId="69DD5445"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NÃO → Benefício por incapacidade (Caps. 6/7). Se incapacidade total e permanente: aposentadoria por incapacidade. Se temporária: auxílio por incapacidade temporária.</w:t>
      </w:r>
    </w:p>
    <w:p w14:paraId="6AF6D51F"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SIM → Prosseguir para 2.</w:t>
      </w:r>
    </w:p>
    <w:p w14:paraId="1A5B0258" w14:textId="77777777" w:rsidR="005A5FCC" w:rsidRDefault="005A5FCC">
      <w:pPr>
        <w:spacing w:after="60" w:line="240" w:lineRule="auto"/>
      </w:pPr>
    </w:p>
    <w:p w14:paraId="3075BC04" w14:textId="77777777" w:rsidR="005A5FCC" w:rsidRDefault="00A21C81">
      <w:pPr>
        <w:spacing w:after="40" w:line="252" w:lineRule="auto"/>
        <w:ind w:left="340" w:hanging="198"/>
      </w:pPr>
      <w:r>
        <w:rPr>
          <w:rFonts w:cs="EB Garamond"/>
          <w:color w:val="3A3128"/>
          <w:kern w:val="16"/>
          <w:sz w:val="20"/>
          <w14:ligatures w14:val="standardContextual"/>
        </w:rPr>
        <w:t xml:space="preserve">1. </w:t>
      </w:r>
      <w:r>
        <w:rPr>
          <w:rFonts w:cs="EB Garamond"/>
          <w:b/>
          <w:kern w:val="16"/>
          <w:sz w:val="20"/>
          <w14:ligatures w14:val="standardContextual"/>
        </w:rPr>
        <w:t>O segurado contribuiu para o RGPS?</w:t>
      </w:r>
    </w:p>
    <w:p w14:paraId="2FBABB53" w14:textId="77777777" w:rsidR="005A5FCC" w:rsidRDefault="005A5FCC">
      <w:pPr>
        <w:spacing w:after="60" w:line="240" w:lineRule="auto"/>
      </w:pPr>
    </w:p>
    <w:p w14:paraId="29B118C6"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NÃO → BPC/LOAS (se preencher miserabilidade — Cap. 18).</w:t>
      </w:r>
    </w:p>
    <w:p w14:paraId="0A10318F"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SIM → Prosseguir para 3.</w:t>
      </w:r>
    </w:p>
    <w:p w14:paraId="2A49F552" w14:textId="77777777" w:rsidR="005A5FCC" w:rsidRDefault="005A5FCC">
      <w:pPr>
        <w:spacing w:after="60" w:line="240" w:lineRule="auto"/>
      </w:pPr>
    </w:p>
    <w:p w14:paraId="7255115E" w14:textId="77777777" w:rsidR="005A5FCC" w:rsidRDefault="00A21C81">
      <w:pPr>
        <w:spacing w:after="40" w:line="252" w:lineRule="auto"/>
        <w:ind w:left="340" w:hanging="198"/>
      </w:pPr>
      <w:r>
        <w:rPr>
          <w:rFonts w:cs="EB Garamond"/>
          <w:color w:val="3A3128"/>
          <w:kern w:val="16"/>
          <w:sz w:val="20"/>
          <w14:ligatures w14:val="standardContextual"/>
        </w:rPr>
        <w:t xml:space="preserve">1. </w:t>
      </w:r>
      <w:r>
        <w:rPr>
          <w:rFonts w:cs="EB Garamond"/>
          <w:b/>
          <w:kern w:val="16"/>
          <w:sz w:val="20"/>
          <w14:ligatures w14:val="standardContextual"/>
        </w:rPr>
        <w:t>O segurado tem deficiência comprovável (impedimento de longo prazo + barreiras)?</w:t>
      </w:r>
    </w:p>
    <w:p w14:paraId="44884766" w14:textId="77777777" w:rsidR="005A5FCC" w:rsidRDefault="005A5FCC">
      <w:pPr>
        <w:spacing w:after="60" w:line="240" w:lineRule="auto"/>
      </w:pPr>
    </w:p>
    <w:p w14:paraId="3B27DE76"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NÃO → Aposentadoria comum (Caps. 10/11) ou aposentadoria especial (Cap. 8).</w:t>
      </w:r>
    </w:p>
    <w:p w14:paraId="038E1682"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SIM → Prosseguir para 4.</w:t>
      </w:r>
    </w:p>
    <w:p w14:paraId="7D023132" w14:textId="77777777" w:rsidR="005A5FCC" w:rsidRDefault="005A5FCC">
      <w:pPr>
        <w:spacing w:after="60" w:line="240" w:lineRule="auto"/>
      </w:pPr>
    </w:p>
    <w:p w14:paraId="58263F4D" w14:textId="77777777" w:rsidR="005A5FCC" w:rsidRDefault="00A21C81">
      <w:pPr>
        <w:spacing w:after="40" w:line="252" w:lineRule="auto"/>
        <w:ind w:left="340" w:hanging="198"/>
      </w:pPr>
      <w:r>
        <w:rPr>
          <w:rFonts w:cs="EB Garamond"/>
          <w:color w:val="3A3128"/>
          <w:kern w:val="16"/>
          <w:sz w:val="20"/>
          <w14:ligatures w14:val="standardContextual"/>
        </w:rPr>
        <w:t xml:space="preserve">1. </w:t>
      </w:r>
      <w:r>
        <w:rPr>
          <w:rFonts w:cs="EB Garamond"/>
          <w:b/>
          <w:kern w:val="16"/>
          <w:sz w:val="20"/>
          <w14:ligatures w14:val="standardContextual"/>
        </w:rPr>
        <w:t>O segurado tem TC suficiente conforme o grau de deficiência?</w:t>
      </w:r>
    </w:p>
    <w:p w14:paraId="4E575BCB" w14:textId="77777777" w:rsidR="005A5FCC" w:rsidRDefault="005A5FCC">
      <w:pPr>
        <w:spacing w:after="60" w:line="240" w:lineRule="auto"/>
      </w:pPr>
    </w:p>
    <w:p w14:paraId="08694707"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SIM → Aposentadoria por TC da PcD (art. 3º, I-III, LC 142). Coeficiente: 100% SB.</w:t>
      </w:r>
    </w:p>
    <w:p w14:paraId="49D68792"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NÃO → Prosseguir para 5.</w:t>
      </w:r>
    </w:p>
    <w:p w14:paraId="461BD670" w14:textId="77777777" w:rsidR="005A5FCC" w:rsidRDefault="005A5FCC">
      <w:pPr>
        <w:spacing w:after="60" w:line="240" w:lineRule="auto"/>
      </w:pPr>
    </w:p>
    <w:p w14:paraId="34FE5DD5" w14:textId="77777777" w:rsidR="005A5FCC" w:rsidRDefault="00A21C81">
      <w:pPr>
        <w:spacing w:after="40" w:line="252" w:lineRule="auto"/>
        <w:ind w:left="340" w:hanging="198"/>
      </w:pPr>
      <w:r>
        <w:rPr>
          <w:rFonts w:cs="EB Garamond"/>
          <w:color w:val="3A3128"/>
          <w:kern w:val="16"/>
          <w:sz w:val="20"/>
          <w14:ligatures w14:val="standardContextual"/>
        </w:rPr>
        <w:t xml:space="preserve">1. </w:t>
      </w:r>
      <w:r>
        <w:rPr>
          <w:rFonts w:cs="EB Garamond"/>
          <w:b/>
          <w:kern w:val="16"/>
          <w:sz w:val="20"/>
          <w14:ligatures w14:val="standardContextual"/>
        </w:rPr>
        <w:t>O segurado tem 60H/55M + 15 anos de contribuição + deficiência durante 15 anos?</w:t>
      </w:r>
    </w:p>
    <w:p w14:paraId="1D62715F" w14:textId="77777777" w:rsidR="005A5FCC" w:rsidRDefault="005A5FCC">
      <w:pPr>
        <w:spacing w:after="60" w:line="240" w:lineRule="auto"/>
      </w:pPr>
    </w:p>
    <w:p w14:paraId="64A41DCE"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SIM → Aposentadoria por idade da PcD (art. 3º, IV, LC 142). Coeficiente: 70% + 1%/grupo de 12 contrib.</w:t>
      </w:r>
    </w:p>
    <w:p w14:paraId="07184EF1"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NÃO → Prosseguir para 6.</w:t>
      </w:r>
    </w:p>
    <w:p w14:paraId="4A9924A1" w14:textId="77777777" w:rsidR="005A5FCC" w:rsidRDefault="005A5FCC">
      <w:pPr>
        <w:spacing w:after="60" w:line="240" w:lineRule="auto"/>
      </w:pPr>
    </w:p>
    <w:p w14:paraId="701F0D5A" w14:textId="77777777" w:rsidR="005A5FCC" w:rsidRDefault="00A21C81">
      <w:pPr>
        <w:spacing w:after="40" w:line="252" w:lineRule="auto"/>
        <w:ind w:left="340" w:hanging="198"/>
      </w:pPr>
      <w:r>
        <w:rPr>
          <w:rFonts w:cs="EB Garamond"/>
          <w:color w:val="3A3128"/>
          <w:kern w:val="16"/>
          <w:sz w:val="20"/>
          <w14:ligatures w14:val="standardContextual"/>
        </w:rPr>
        <w:t xml:space="preserve">1. </w:t>
      </w:r>
      <w:r>
        <w:rPr>
          <w:rFonts w:cs="EB Garamond"/>
          <w:b/>
          <w:kern w:val="16"/>
          <w:sz w:val="20"/>
          <w14:ligatures w14:val="standardContextual"/>
        </w:rPr>
        <w:t>O segurado tem renda per capita familiar ≤ 1/4 SM?</w:t>
      </w:r>
    </w:p>
    <w:p w14:paraId="72501FDE" w14:textId="77777777" w:rsidR="005A5FCC" w:rsidRDefault="005A5FCC">
      <w:pPr>
        <w:spacing w:after="60" w:line="240" w:lineRule="auto"/>
      </w:pPr>
    </w:p>
    <w:p w14:paraId="06E37054"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SIM → BPC/LOAS (Cap. 18). Valor: 1 SM.</w:t>
      </w:r>
    </w:p>
    <w:p w14:paraId="5E58F08D"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NÃO → Aguardar completar TC ou idade para aposentadoria PcD.</w:t>
      </w:r>
    </w:p>
    <w:p w14:paraId="1511273E" w14:textId="77777777" w:rsidR="005A5FCC" w:rsidRDefault="005A5FCC">
      <w:pPr>
        <w:spacing w:after="60" w:line="240" w:lineRule="auto"/>
      </w:pPr>
    </w:p>
    <w:p w14:paraId="4E1B3D14" w14:textId="77777777" w:rsidR="005A5FCC" w:rsidRDefault="00A21C81">
      <w:pPr>
        <w:spacing w:before="260" w:after="80" w:line="240" w:lineRule="auto"/>
        <w:jc w:val="left"/>
      </w:pPr>
      <w:r>
        <w:rPr>
          <w:rFonts w:cs="EB Garamond"/>
          <w:b/>
          <w:color w:val="3A3128"/>
          <w:kern w:val="16"/>
          <w:sz w:val="25"/>
          <w14:ligatures w14:val="standardContextual"/>
        </w:rPr>
        <w:t>12.18.5 Checklist completo</w:t>
      </w:r>
    </w:p>
    <w:tbl>
      <w:tblPr>
        <w:tblW w:w="5000" w:type="pct"/>
        <w:jc w:val="center"/>
        <w:tblLayout w:type="fixed"/>
        <w:tblLook w:val="04A0" w:firstRow="1" w:lastRow="0" w:firstColumn="1" w:lastColumn="0" w:noHBand="0" w:noVBand="1"/>
      </w:tblPr>
      <w:tblGrid>
        <w:gridCol w:w="6311"/>
      </w:tblGrid>
      <w:tr w:rsidR="005A5FCC" w14:paraId="383A91CC"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06031404"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3F239892" w14:textId="77777777" w:rsidR="005A5FCC" w:rsidRDefault="00A21C81">
            <w:pPr>
              <w:spacing w:after="60" w:line="247" w:lineRule="auto"/>
            </w:pPr>
            <w:r>
              <w:rPr>
                <w:rFonts w:cs="EB Garamond"/>
                <w:b/>
                <w:kern w:val="16"/>
                <w:sz w:val="19"/>
                <w14:ligatures w14:val="standardContextual"/>
              </w:rPr>
              <w:t>Checklist final — Aposentadoria da Pessoa com Deficiência (LC 142/2013)</w:t>
            </w:r>
          </w:p>
          <w:p w14:paraId="53A0FEF1" w14:textId="77777777" w:rsidR="005A5FCC" w:rsidRDefault="00A21C81">
            <w:pPr>
              <w:spacing w:after="60" w:line="247" w:lineRule="auto"/>
            </w:pPr>
            <w:r>
              <w:rPr>
                <w:rFonts w:cs="EB Garamond"/>
                <w:b/>
                <w:kern w:val="16"/>
                <w:sz w:val="19"/>
                <w14:ligatures w14:val="standardContextual"/>
              </w:rPr>
              <w:t>Requisitos:</w:t>
            </w:r>
            <w:r>
              <w:rPr>
                <w:rFonts w:cs="EB Garamond"/>
                <w:kern w:val="16"/>
                <w:sz w:val="19"/>
                <w14:ligatures w14:val="standardContextual"/>
              </w:rPr>
              <w:t xml:space="preserve"> - [ ] Deficiência comprovada (impedimento de longo prazo + barreiras) - [ ] Grau de deficiência avaliado (grave, moderada ou leve) — para TC - [ ] TC mínimo conforme grau (25/29/33 H ou 20/24/28 M), para TC da PcD - [ ] Idade mínima (60H/55M), para idade da PcD - [ ] Carência de 180 contribuições mensais - [ ] Deficiência durante o período de TC (total ou parcial com conversão)</w:t>
            </w:r>
          </w:p>
          <w:p w14:paraId="62613E96" w14:textId="77777777" w:rsidR="005A5FCC" w:rsidRDefault="00A21C81">
            <w:pPr>
              <w:spacing w:after="60" w:line="247" w:lineRule="auto"/>
            </w:pPr>
            <w:r>
              <w:rPr>
                <w:rFonts w:cs="EB Garamond"/>
                <w:b/>
                <w:kern w:val="16"/>
                <w:sz w:val="19"/>
                <w14:ligatures w14:val="standardContextual"/>
              </w:rPr>
              <w:t>Cálculo:</w:t>
            </w:r>
            <w:r>
              <w:rPr>
                <w:rFonts w:cs="EB Garamond"/>
                <w:kern w:val="16"/>
                <w:sz w:val="19"/>
                <w14:ligatures w14:val="standardContextual"/>
              </w:rPr>
              <w:t xml:space="preserve"> - [ ] Média de 100% dos SC desde jul/1994 (art. 26, caput, EC 103) - [ ] Exclusão de SC prejudiciais (art. 26, § 6º, EC 103), se vantajoso - [ ] Coeficiente: 100% SB (TC) ou 70% + 1% por grupo de 12 contribuições (idade) - [ ] Fator previdenciário: verificar se &gt; 1,0 (aplicar somente se vantajoso) - [ ] Deficiência superveniente: aplicar fatores de conversão (art. 70-E)</w:t>
            </w:r>
          </w:p>
          <w:p w14:paraId="47AAF4EE" w14:textId="77777777" w:rsidR="005A5FCC" w:rsidRDefault="00A21C81">
            <w:pPr>
              <w:spacing w:after="60" w:line="247" w:lineRule="auto"/>
            </w:pPr>
            <w:r>
              <w:rPr>
                <w:rFonts w:cs="EB Garamond"/>
                <w:b/>
                <w:kern w:val="16"/>
                <w:sz w:val="19"/>
                <w14:ligatures w14:val="standardContextual"/>
              </w:rPr>
              <w:t>Documentação:</w:t>
            </w:r>
            <w:r>
              <w:rPr>
                <w:rFonts w:cs="EB Garamond"/>
                <w:kern w:val="16"/>
                <w:sz w:val="19"/>
                <w14:ligatures w14:val="standardContextual"/>
              </w:rPr>
              <w:t xml:space="preserve"> v. Checklist documental completo da seção 12.16.9 (documentação pessoal, previdenciária, médica/funcional e social), que não se repete aqui para evitar redundância.</w:t>
            </w:r>
          </w:p>
          <w:p w14:paraId="048332A5" w14:textId="77777777" w:rsidR="005A5FCC" w:rsidRDefault="00A21C81">
            <w:pPr>
              <w:spacing w:after="60" w:line="247" w:lineRule="auto"/>
            </w:pPr>
            <w:r>
              <w:rPr>
                <w:rFonts w:cs="EB Garamond"/>
                <w:b/>
                <w:kern w:val="16"/>
                <w:sz w:val="19"/>
                <w14:ligatures w14:val="standardContextual"/>
              </w:rPr>
              <w:t>Processual (JEFs):</w:t>
            </w:r>
            <w:r>
              <w:rPr>
                <w:rFonts w:cs="EB Garamond"/>
                <w:kern w:val="16"/>
                <w:sz w:val="19"/>
                <w14:ligatures w14:val="standardContextual"/>
              </w:rPr>
              <w:t xml:space="preserve"> - [ ] Prévio requerimento administrativo (Tema 350/STF) - [ ] Pedido alternativo: TC PcD + idade PcD + BPC (subsidiário) - [ ] Quesitos para perícia biopsicossocial (7 domínios IF-BrA) - [ ] Reafirmação da DER (Tema 995/STJ), se requisitos preenchidos no curso do processo - [ ] Tutela antecipada (se perícia conclusiva + necessidade alimentar)</w:t>
            </w:r>
          </w:p>
        </w:tc>
      </w:tr>
    </w:tbl>
    <w:p w14:paraId="39F81F3E" w14:textId="77777777" w:rsidR="005A5FCC" w:rsidRDefault="005A5FCC">
      <w:pPr>
        <w:spacing w:after="80" w:line="240" w:lineRule="auto"/>
      </w:pPr>
    </w:p>
    <w:p w14:paraId="7ED36915" w14:textId="77777777" w:rsidR="005A5FCC" w:rsidRDefault="00A21C81">
      <w:pPr>
        <w:spacing w:before="260" w:after="80" w:line="240" w:lineRule="auto"/>
        <w:jc w:val="left"/>
      </w:pPr>
      <w:r>
        <w:rPr>
          <w:rFonts w:cs="EB Garamond"/>
          <w:b/>
          <w:color w:val="3A3128"/>
          <w:kern w:val="16"/>
          <w:sz w:val="25"/>
          <w14:ligatures w14:val="standardContextual"/>
        </w:rPr>
        <w:t>12.18.6 Valores de referência 2026</w:t>
      </w:r>
    </w:p>
    <w:tbl>
      <w:tblPr>
        <w:tblW w:w="5000" w:type="pct"/>
        <w:jc w:val="center"/>
        <w:tblLayout w:type="fixed"/>
        <w:tblLook w:val="04A0" w:firstRow="1" w:lastRow="0" w:firstColumn="1" w:lastColumn="0" w:noHBand="0" w:noVBand="1"/>
      </w:tblPr>
      <w:tblGrid>
        <w:gridCol w:w="6311"/>
      </w:tblGrid>
      <w:tr w:rsidR="005A5FCC" w14:paraId="5293FCF3"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0F73497C"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54D6E174" w14:textId="69021AC6" w:rsidR="005A5FCC" w:rsidRDefault="00A21C81">
            <w:pPr>
              <w:spacing w:after="60" w:line="247" w:lineRule="auto"/>
            </w:pPr>
            <w:r>
              <w:rPr>
                <w:rFonts w:cs="EB Garamond"/>
                <w:b/>
                <w:kern w:val="16"/>
                <w:sz w:val="19"/>
                <w14:ligatures w14:val="standardContextual"/>
              </w:rPr>
              <w:t>Nota sobre valores monetários:</w:t>
            </w:r>
            <w:r>
              <w:rPr>
                <w:rFonts w:cs="EB Garamond"/>
                <w:kern w:val="16"/>
                <w:sz w:val="19"/>
                <w14:ligatures w14:val="standardContextual"/>
              </w:rPr>
              <w:t xml:space="preserve"> Os valores de </w:t>
            </w:r>
            <w:r w:rsidR="00A027DD">
              <w:rPr>
                <w:rFonts w:cs="EB Garamond"/>
                <w:kern w:val="16"/>
                <w:sz w:val="19"/>
                <w14:ligatures w14:val="standardContextual"/>
              </w:rPr>
              <w:t>salário-mínimo</w:t>
            </w:r>
            <w:r>
              <w:rPr>
                <w:rFonts w:cs="EB Garamond"/>
                <w:kern w:val="16"/>
                <w:sz w:val="19"/>
                <w14:ligatures w14:val="standardContextual"/>
              </w:rPr>
              <w:t>, teto do RGPS, teto JEF, BPC e auxílio-inclusão indicados neste capítulo correspondem aos valores vigentes para 2026: SM = R$ 1.621,00; teto RGPS = R$ 8.475,55.</w:t>
            </w:r>
          </w:p>
        </w:tc>
      </w:tr>
    </w:tbl>
    <w:p w14:paraId="125BE001" w14:textId="77777777" w:rsidR="005A5FCC" w:rsidRDefault="005A5FCC">
      <w:pPr>
        <w:spacing w:after="80" w:line="240" w:lineRule="auto"/>
      </w:pPr>
    </w:p>
    <w:tbl>
      <w:tblPr>
        <w:tblW w:w="5000" w:type="pct"/>
        <w:jc w:val="center"/>
        <w:tblLook w:val="04A0" w:firstRow="1" w:lastRow="0" w:firstColumn="1" w:lastColumn="0" w:noHBand="0" w:noVBand="1"/>
      </w:tblPr>
      <w:tblGrid>
        <w:gridCol w:w="3170"/>
        <w:gridCol w:w="3170"/>
      </w:tblGrid>
      <w:tr w:rsidR="005A5FCC" w14:paraId="187C272D" w14:textId="77777777">
        <w:trPr>
          <w:tblHeader/>
          <w:jc w:val="center"/>
        </w:trPr>
        <w:tc>
          <w:tcPr>
            <w:tcW w:w="3175" w:type="dxa"/>
            <w:tcBorders>
              <w:top w:val="single" w:sz="4" w:space="0" w:color="D2C9B8"/>
              <w:left w:val="single" w:sz="4" w:space="0" w:color="D2C9B8"/>
              <w:bottom w:val="single" w:sz="4" w:space="0" w:color="D2C9B8"/>
              <w:right w:val="single" w:sz="4" w:space="0" w:color="D2C9B8"/>
            </w:tcBorders>
            <w:shd w:val="clear" w:color="auto" w:fill="F0EDE6"/>
          </w:tcPr>
          <w:p w14:paraId="69AD4527" w14:textId="77777777" w:rsidR="005A5FCC" w:rsidRDefault="00A21C81">
            <w:pPr>
              <w:spacing w:before="40" w:after="40" w:line="240" w:lineRule="auto"/>
              <w:jc w:val="center"/>
            </w:pPr>
            <w:r>
              <w:rPr>
                <w:rFonts w:cs="EB Garamond"/>
                <w:b/>
                <w:color w:val="2F2923"/>
                <w:kern w:val="16"/>
                <w:sz w:val="18"/>
                <w14:ligatures w14:val="standardContextual"/>
              </w:rPr>
              <w:t>Parâmetro</w:t>
            </w:r>
          </w:p>
        </w:tc>
        <w:tc>
          <w:tcPr>
            <w:tcW w:w="3175" w:type="dxa"/>
            <w:tcBorders>
              <w:top w:val="single" w:sz="4" w:space="0" w:color="D2C9B8"/>
              <w:left w:val="single" w:sz="4" w:space="0" w:color="D2C9B8"/>
              <w:bottom w:val="single" w:sz="4" w:space="0" w:color="D2C9B8"/>
              <w:right w:val="single" w:sz="4" w:space="0" w:color="D2C9B8"/>
            </w:tcBorders>
            <w:shd w:val="clear" w:color="auto" w:fill="F0EDE6"/>
          </w:tcPr>
          <w:p w14:paraId="3742CB40" w14:textId="77777777" w:rsidR="005A5FCC" w:rsidRDefault="00A21C81">
            <w:pPr>
              <w:spacing w:before="40" w:after="40" w:line="240" w:lineRule="auto"/>
              <w:jc w:val="center"/>
            </w:pPr>
            <w:r>
              <w:rPr>
                <w:rFonts w:cs="EB Garamond"/>
                <w:b/>
                <w:color w:val="2F2923"/>
                <w:kern w:val="16"/>
                <w:sz w:val="18"/>
                <w14:ligatures w14:val="standardContextual"/>
              </w:rPr>
              <w:t>Valor (projeção 2026)</w:t>
            </w:r>
          </w:p>
        </w:tc>
      </w:tr>
      <w:tr w:rsidR="005A5FCC" w14:paraId="04A7DC13"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6DF7A36A" w14:textId="2FD12B20" w:rsidR="005A5FCC" w:rsidRDefault="00A027DD">
            <w:pPr>
              <w:spacing w:before="20" w:after="20" w:line="240" w:lineRule="auto"/>
              <w:jc w:val="left"/>
            </w:pPr>
            <w:r>
              <w:rPr>
                <w:rFonts w:cs="EB Garamond"/>
                <w:kern w:val="16"/>
                <w:sz w:val="18"/>
                <w14:ligatures w14:val="standardContextual"/>
              </w:rPr>
              <w:t>Salário-mínimo</w:t>
            </w:r>
          </w:p>
        </w:tc>
        <w:tc>
          <w:tcPr>
            <w:tcW w:w="3175" w:type="dxa"/>
            <w:tcBorders>
              <w:top w:val="single" w:sz="4" w:space="0" w:color="D2C9B8"/>
              <w:left w:val="single" w:sz="4" w:space="0" w:color="D2C9B8"/>
              <w:bottom w:val="single" w:sz="4" w:space="0" w:color="D2C9B8"/>
              <w:right w:val="single" w:sz="4" w:space="0" w:color="D2C9B8"/>
            </w:tcBorders>
          </w:tcPr>
          <w:p w14:paraId="504510F1" w14:textId="77777777" w:rsidR="005A5FCC" w:rsidRDefault="00A21C81">
            <w:pPr>
              <w:spacing w:before="20" w:after="20" w:line="240" w:lineRule="auto"/>
              <w:jc w:val="left"/>
            </w:pPr>
            <w:r>
              <w:rPr>
                <w:rFonts w:cs="EB Garamond"/>
                <w:kern w:val="16"/>
                <w:sz w:val="18"/>
                <w14:ligatures w14:val="standardContextual"/>
              </w:rPr>
              <w:t>R$ 1.621,00*</w:t>
            </w:r>
          </w:p>
        </w:tc>
      </w:tr>
      <w:tr w:rsidR="005A5FCC" w14:paraId="16ECB885"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36B2754F" w14:textId="77777777" w:rsidR="005A5FCC" w:rsidRDefault="00A21C81">
            <w:pPr>
              <w:spacing w:before="20" w:after="20" w:line="240" w:lineRule="auto"/>
              <w:jc w:val="left"/>
            </w:pPr>
            <w:r>
              <w:rPr>
                <w:rFonts w:cs="EB Garamond"/>
                <w:kern w:val="16"/>
                <w:sz w:val="18"/>
                <w14:ligatures w14:val="standardContextual"/>
              </w:rPr>
              <w:t>Teto RGPS</w:t>
            </w:r>
          </w:p>
        </w:tc>
        <w:tc>
          <w:tcPr>
            <w:tcW w:w="3175" w:type="dxa"/>
            <w:tcBorders>
              <w:top w:val="single" w:sz="4" w:space="0" w:color="D2C9B8"/>
              <w:left w:val="single" w:sz="4" w:space="0" w:color="D2C9B8"/>
              <w:bottom w:val="single" w:sz="4" w:space="0" w:color="D2C9B8"/>
              <w:right w:val="single" w:sz="4" w:space="0" w:color="D2C9B8"/>
            </w:tcBorders>
          </w:tcPr>
          <w:p w14:paraId="774B1836" w14:textId="77777777" w:rsidR="005A5FCC" w:rsidRDefault="00A21C81">
            <w:pPr>
              <w:spacing w:before="20" w:after="20" w:line="240" w:lineRule="auto"/>
              <w:jc w:val="left"/>
            </w:pPr>
            <w:r>
              <w:rPr>
                <w:rFonts w:cs="EB Garamond"/>
                <w:kern w:val="16"/>
                <w:sz w:val="18"/>
                <w14:ligatures w14:val="standardContextual"/>
              </w:rPr>
              <w:t>R$ 8.475,55*</w:t>
            </w:r>
          </w:p>
        </w:tc>
      </w:tr>
      <w:tr w:rsidR="005A5FCC" w14:paraId="6B89EBA4"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126F852F" w14:textId="77777777" w:rsidR="005A5FCC" w:rsidRDefault="00A21C81">
            <w:pPr>
              <w:spacing w:before="20" w:after="20" w:line="240" w:lineRule="auto"/>
              <w:jc w:val="left"/>
            </w:pPr>
            <w:r>
              <w:rPr>
                <w:rFonts w:cs="EB Garamond"/>
                <w:kern w:val="16"/>
                <w:sz w:val="18"/>
                <w14:ligatures w14:val="standardContextual"/>
              </w:rPr>
              <w:t>Teto JEF (60 SM)</w:t>
            </w:r>
          </w:p>
        </w:tc>
        <w:tc>
          <w:tcPr>
            <w:tcW w:w="3175" w:type="dxa"/>
            <w:tcBorders>
              <w:top w:val="single" w:sz="4" w:space="0" w:color="D2C9B8"/>
              <w:left w:val="single" w:sz="4" w:space="0" w:color="D2C9B8"/>
              <w:bottom w:val="single" w:sz="4" w:space="0" w:color="D2C9B8"/>
              <w:right w:val="single" w:sz="4" w:space="0" w:color="D2C9B8"/>
            </w:tcBorders>
          </w:tcPr>
          <w:p w14:paraId="5B551EC2" w14:textId="77777777" w:rsidR="005A5FCC" w:rsidRDefault="00A21C81">
            <w:pPr>
              <w:spacing w:before="20" w:after="20" w:line="240" w:lineRule="auto"/>
              <w:jc w:val="left"/>
            </w:pPr>
            <w:r>
              <w:rPr>
                <w:rFonts w:cs="EB Garamond"/>
                <w:kern w:val="16"/>
                <w:sz w:val="18"/>
                <w14:ligatures w14:val="standardContextual"/>
              </w:rPr>
              <w:t>R$ 97.260,00*</w:t>
            </w:r>
          </w:p>
        </w:tc>
      </w:tr>
      <w:tr w:rsidR="005A5FCC" w14:paraId="1BB283B8"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2521D363" w14:textId="77777777" w:rsidR="005A5FCC" w:rsidRDefault="00A21C81">
            <w:pPr>
              <w:spacing w:before="20" w:after="20" w:line="240" w:lineRule="auto"/>
              <w:jc w:val="left"/>
            </w:pPr>
            <w:r>
              <w:rPr>
                <w:rFonts w:cs="EB Garamond"/>
                <w:kern w:val="16"/>
                <w:sz w:val="18"/>
                <w14:ligatures w14:val="standardContextual"/>
              </w:rPr>
              <w:t>BPC mensal</w:t>
            </w:r>
          </w:p>
        </w:tc>
        <w:tc>
          <w:tcPr>
            <w:tcW w:w="3175" w:type="dxa"/>
            <w:tcBorders>
              <w:top w:val="single" w:sz="4" w:space="0" w:color="D2C9B8"/>
              <w:left w:val="single" w:sz="4" w:space="0" w:color="D2C9B8"/>
              <w:bottom w:val="single" w:sz="4" w:space="0" w:color="D2C9B8"/>
              <w:right w:val="single" w:sz="4" w:space="0" w:color="D2C9B8"/>
            </w:tcBorders>
          </w:tcPr>
          <w:p w14:paraId="1DB74A85" w14:textId="77777777" w:rsidR="005A5FCC" w:rsidRDefault="00A21C81">
            <w:pPr>
              <w:spacing w:before="20" w:after="20" w:line="240" w:lineRule="auto"/>
              <w:jc w:val="left"/>
            </w:pPr>
            <w:r>
              <w:rPr>
                <w:rFonts w:cs="EB Garamond"/>
                <w:kern w:val="16"/>
                <w:sz w:val="18"/>
                <w14:ligatures w14:val="standardContextual"/>
              </w:rPr>
              <w:t>R$ 1.621,00 (1 SM fixo)*</w:t>
            </w:r>
          </w:p>
        </w:tc>
      </w:tr>
      <w:tr w:rsidR="005A5FCC" w14:paraId="78A5165C"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2A73F48D" w14:textId="77777777" w:rsidR="005A5FCC" w:rsidRDefault="00A21C81">
            <w:pPr>
              <w:spacing w:before="20" w:after="20" w:line="240" w:lineRule="auto"/>
              <w:jc w:val="left"/>
            </w:pPr>
            <w:r>
              <w:rPr>
                <w:rFonts w:cs="EB Garamond"/>
                <w:kern w:val="16"/>
                <w:sz w:val="18"/>
                <w14:ligatures w14:val="standardContextual"/>
              </w:rPr>
              <w:lastRenderedPageBreak/>
              <w:t>Carência aposentadoria PcD</w:t>
            </w:r>
          </w:p>
        </w:tc>
        <w:tc>
          <w:tcPr>
            <w:tcW w:w="3175" w:type="dxa"/>
            <w:tcBorders>
              <w:top w:val="single" w:sz="4" w:space="0" w:color="D2C9B8"/>
              <w:left w:val="single" w:sz="4" w:space="0" w:color="D2C9B8"/>
              <w:bottom w:val="single" w:sz="4" w:space="0" w:color="D2C9B8"/>
              <w:right w:val="single" w:sz="4" w:space="0" w:color="D2C9B8"/>
            </w:tcBorders>
          </w:tcPr>
          <w:p w14:paraId="3D797C5F" w14:textId="77777777" w:rsidR="005A5FCC" w:rsidRDefault="00A21C81">
            <w:pPr>
              <w:spacing w:before="20" w:after="20" w:line="240" w:lineRule="auto"/>
              <w:jc w:val="left"/>
            </w:pPr>
            <w:r>
              <w:rPr>
                <w:rFonts w:cs="EB Garamond"/>
                <w:kern w:val="16"/>
                <w:sz w:val="18"/>
                <w14:ligatures w14:val="standardContextual"/>
              </w:rPr>
              <w:t>180 contribuições (15 anos)</w:t>
            </w:r>
          </w:p>
        </w:tc>
      </w:tr>
      <w:tr w:rsidR="005A5FCC" w14:paraId="2CBED6BC"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7057BD0F" w14:textId="77777777" w:rsidR="005A5FCC" w:rsidRDefault="00A21C81">
            <w:pPr>
              <w:spacing w:before="20" w:after="20" w:line="240" w:lineRule="auto"/>
              <w:jc w:val="left"/>
            </w:pPr>
            <w:r>
              <w:rPr>
                <w:rFonts w:cs="EB Garamond"/>
                <w:kern w:val="16"/>
                <w:sz w:val="18"/>
                <w14:ligatures w14:val="standardContextual"/>
              </w:rPr>
              <w:t>TC grave (H/M)</w:t>
            </w:r>
          </w:p>
        </w:tc>
        <w:tc>
          <w:tcPr>
            <w:tcW w:w="3175" w:type="dxa"/>
            <w:tcBorders>
              <w:top w:val="single" w:sz="4" w:space="0" w:color="D2C9B8"/>
              <w:left w:val="single" w:sz="4" w:space="0" w:color="D2C9B8"/>
              <w:bottom w:val="single" w:sz="4" w:space="0" w:color="D2C9B8"/>
              <w:right w:val="single" w:sz="4" w:space="0" w:color="D2C9B8"/>
            </w:tcBorders>
          </w:tcPr>
          <w:p w14:paraId="70FCC92E" w14:textId="77777777" w:rsidR="005A5FCC" w:rsidRDefault="00A21C81">
            <w:pPr>
              <w:spacing w:before="20" w:after="20" w:line="240" w:lineRule="auto"/>
              <w:jc w:val="left"/>
            </w:pPr>
            <w:r>
              <w:rPr>
                <w:rFonts w:cs="EB Garamond"/>
                <w:kern w:val="16"/>
                <w:sz w:val="18"/>
                <w14:ligatures w14:val="standardContextual"/>
              </w:rPr>
              <w:t>25/20 anos</w:t>
            </w:r>
          </w:p>
        </w:tc>
      </w:tr>
      <w:tr w:rsidR="005A5FCC" w14:paraId="427AD327"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3040A8DD" w14:textId="77777777" w:rsidR="005A5FCC" w:rsidRDefault="00A21C81">
            <w:pPr>
              <w:spacing w:before="20" w:after="20" w:line="240" w:lineRule="auto"/>
              <w:jc w:val="left"/>
            </w:pPr>
            <w:r>
              <w:rPr>
                <w:rFonts w:cs="EB Garamond"/>
                <w:kern w:val="16"/>
                <w:sz w:val="18"/>
                <w14:ligatures w14:val="standardContextual"/>
              </w:rPr>
              <w:t>TC moderada (H/M)</w:t>
            </w:r>
          </w:p>
        </w:tc>
        <w:tc>
          <w:tcPr>
            <w:tcW w:w="3175" w:type="dxa"/>
            <w:tcBorders>
              <w:top w:val="single" w:sz="4" w:space="0" w:color="D2C9B8"/>
              <w:left w:val="single" w:sz="4" w:space="0" w:color="D2C9B8"/>
              <w:bottom w:val="single" w:sz="4" w:space="0" w:color="D2C9B8"/>
              <w:right w:val="single" w:sz="4" w:space="0" w:color="D2C9B8"/>
            </w:tcBorders>
          </w:tcPr>
          <w:p w14:paraId="3B9AF376" w14:textId="77777777" w:rsidR="005A5FCC" w:rsidRDefault="00A21C81">
            <w:pPr>
              <w:spacing w:before="20" w:after="20" w:line="240" w:lineRule="auto"/>
              <w:jc w:val="left"/>
            </w:pPr>
            <w:r>
              <w:rPr>
                <w:rFonts w:cs="EB Garamond"/>
                <w:kern w:val="16"/>
                <w:sz w:val="18"/>
                <w14:ligatures w14:val="standardContextual"/>
              </w:rPr>
              <w:t>29/24 anos</w:t>
            </w:r>
          </w:p>
        </w:tc>
      </w:tr>
      <w:tr w:rsidR="005A5FCC" w14:paraId="5ABE1B89"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7D035E79" w14:textId="77777777" w:rsidR="005A5FCC" w:rsidRDefault="00A21C81">
            <w:pPr>
              <w:spacing w:before="20" w:after="20" w:line="240" w:lineRule="auto"/>
              <w:jc w:val="left"/>
            </w:pPr>
            <w:r>
              <w:rPr>
                <w:rFonts w:cs="EB Garamond"/>
                <w:kern w:val="16"/>
                <w:sz w:val="18"/>
                <w14:ligatures w14:val="standardContextual"/>
              </w:rPr>
              <w:t>TC leve (H/M)</w:t>
            </w:r>
          </w:p>
        </w:tc>
        <w:tc>
          <w:tcPr>
            <w:tcW w:w="3175" w:type="dxa"/>
            <w:tcBorders>
              <w:top w:val="single" w:sz="4" w:space="0" w:color="D2C9B8"/>
              <w:left w:val="single" w:sz="4" w:space="0" w:color="D2C9B8"/>
              <w:bottom w:val="single" w:sz="4" w:space="0" w:color="D2C9B8"/>
              <w:right w:val="single" w:sz="4" w:space="0" w:color="D2C9B8"/>
            </w:tcBorders>
          </w:tcPr>
          <w:p w14:paraId="054C49F6" w14:textId="77777777" w:rsidR="005A5FCC" w:rsidRDefault="00A21C81">
            <w:pPr>
              <w:spacing w:before="20" w:after="20" w:line="240" w:lineRule="auto"/>
              <w:jc w:val="left"/>
            </w:pPr>
            <w:r>
              <w:rPr>
                <w:rFonts w:cs="EB Garamond"/>
                <w:kern w:val="16"/>
                <w:sz w:val="18"/>
                <w14:ligatures w14:val="standardContextual"/>
              </w:rPr>
              <w:t>33/28 anos</w:t>
            </w:r>
          </w:p>
        </w:tc>
      </w:tr>
      <w:tr w:rsidR="005A5FCC" w14:paraId="38A4383B"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4A334750" w14:textId="77777777" w:rsidR="005A5FCC" w:rsidRDefault="00A21C81">
            <w:pPr>
              <w:spacing w:before="20" w:after="20" w:line="240" w:lineRule="auto"/>
              <w:jc w:val="left"/>
            </w:pPr>
            <w:r>
              <w:rPr>
                <w:rFonts w:cs="EB Garamond"/>
                <w:kern w:val="16"/>
                <w:sz w:val="18"/>
                <w14:ligatures w14:val="standardContextual"/>
              </w:rPr>
              <w:t>Idade PcD (H/M)</w:t>
            </w:r>
          </w:p>
        </w:tc>
        <w:tc>
          <w:tcPr>
            <w:tcW w:w="3175" w:type="dxa"/>
            <w:tcBorders>
              <w:top w:val="single" w:sz="4" w:space="0" w:color="D2C9B8"/>
              <w:left w:val="single" w:sz="4" w:space="0" w:color="D2C9B8"/>
              <w:bottom w:val="single" w:sz="4" w:space="0" w:color="D2C9B8"/>
              <w:right w:val="single" w:sz="4" w:space="0" w:color="D2C9B8"/>
            </w:tcBorders>
          </w:tcPr>
          <w:p w14:paraId="2C439B29" w14:textId="77777777" w:rsidR="005A5FCC" w:rsidRDefault="00A21C81">
            <w:pPr>
              <w:spacing w:before="20" w:after="20" w:line="240" w:lineRule="auto"/>
              <w:jc w:val="left"/>
            </w:pPr>
            <w:r>
              <w:rPr>
                <w:rFonts w:cs="EB Garamond"/>
                <w:kern w:val="16"/>
                <w:sz w:val="18"/>
                <w14:ligatures w14:val="standardContextual"/>
              </w:rPr>
              <w:t>60/55 anos</w:t>
            </w:r>
          </w:p>
        </w:tc>
      </w:tr>
    </w:tbl>
    <w:p w14:paraId="0F0DFC17" w14:textId="77777777" w:rsidR="005A5FCC" w:rsidRDefault="005A5FCC">
      <w:pPr>
        <w:spacing w:after="80" w:line="240" w:lineRule="auto"/>
      </w:pPr>
    </w:p>
    <w:p w14:paraId="268CAADD" w14:textId="77777777" w:rsidR="005A5FCC" w:rsidRDefault="00A21C81">
      <w:pPr>
        <w:spacing w:after="60" w:line="240" w:lineRule="auto"/>
        <w:jc w:val="left"/>
      </w:pPr>
      <w:r>
        <w:rPr>
          <w:rFonts w:cs="EB Garamond"/>
          <w:i/>
          <w:color w:val="6B6256"/>
          <w:kern w:val="16"/>
          <w:sz w:val="17"/>
          <w14:ligatures w14:val="standardContextual"/>
        </w:rPr>
        <w:t>Projeção. Valor sujeito a atualização após publicação oficial.</w:t>
      </w:r>
    </w:p>
    <w:p w14:paraId="7D83B613" w14:textId="77777777" w:rsidR="005A5FCC" w:rsidRDefault="00A21C81">
      <w:pPr>
        <w:spacing w:before="260" w:after="80" w:line="240" w:lineRule="auto"/>
        <w:jc w:val="left"/>
      </w:pPr>
      <w:r>
        <w:rPr>
          <w:rFonts w:cs="EB Garamond"/>
          <w:b/>
          <w:color w:val="3A3128"/>
          <w:kern w:val="16"/>
          <w:sz w:val="25"/>
          <w14:ligatures w14:val="standardContextual"/>
        </w:rPr>
        <w:t>12.18.7 Perspectivas</w:t>
      </w:r>
    </w:p>
    <w:p w14:paraId="40ECF648"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5DB0F9E7" w14:textId="77777777" w:rsidR="005A5FCC" w:rsidRDefault="00A21C81">
      <w:r>
        <w:rPr>
          <w:rFonts w:cs="EB Garamond"/>
          <w:kern w:val="16"/>
          <w14:ligatures w14:val="standardContextual"/>
        </w:rPr>
        <w:t xml:space="preserve"> aposentadoria da PcD, mantida integralmente pela EC 103/2019 (art. 22), permanece como o único benefício por tempo de contribuição com regras próprias de acesso e cálculo no RGPS pós-Reforma. A ausência de nova lei complementar regulamentando a matéria, mais de seis anos após a promulgação da EC 103, indica que a LC 142/2013 seguirá vigente por prazo indeterminado.</w:t>
      </w:r>
    </w:p>
    <w:p w14:paraId="696FF346" w14:textId="77777777" w:rsidR="005A5FCC" w:rsidRDefault="00A21C81">
      <w:pPr>
        <w:ind w:firstLine="238"/>
      </w:pPr>
      <w:r>
        <w:rPr>
          <w:rFonts w:cs="EB Garamond"/>
          <w:kern w:val="16"/>
          <w14:ligatures w14:val="standardContextual"/>
        </w:rPr>
        <w:t>Os desafios para o futuro concentram-se em: (a) aprimoramento do IF-BrA como instrumento de avaliação, com redução da subjetividade e aumento da padronização; (b) formação continuada dos peritos médicos e assistentes sociais do INSS para avaliação biopsicossocial de qualidade; (c) ampliação do acesso à avaliação, com redução dos prazos de agendamento; (d) eventual revisão legislativa dos graus e dos tempos de contribuição, que podem ser alterados por nova lei complementar; e (e) consolidação jurisprudencial das controvérsias remanescentes (cálculo pós-EC 103, visão monocular, fungibilidade).</w:t>
      </w:r>
    </w:p>
    <w:p w14:paraId="06D4B4E7" w14:textId="77777777" w:rsidR="005A5FCC" w:rsidRDefault="00A21C81">
      <w:pPr>
        <w:ind w:firstLine="238"/>
      </w:pPr>
      <w:r>
        <w:rPr>
          <w:rFonts w:cs="EB Garamond"/>
          <w:kern w:val="16"/>
          <w14:ligatures w14:val="standardContextual"/>
        </w:rPr>
        <w:t>O advogado previdenciarista deve manter-se atento a eventuais projetos legislativos que possam alterar os critérios da LC 142, monitorar a evolução jurisprudencial nos TRFs e na TNU, e investir na preparação probatória adequada para as ações de aposentadoria da PcD — benefício que representa, para milhões de segurados com deficiência, a principal via de acesso à proteção previdenciária digna e proporcional às barreiras enfrentadas ao longo de suas vidas profissionais.</w:t>
      </w:r>
    </w:p>
    <w:p w14:paraId="292CA7AF" w14:textId="76C99A61" w:rsidR="005A5FCC" w:rsidRDefault="00A21C81">
      <w:pPr>
        <w:ind w:firstLine="238"/>
      </w:pPr>
      <w:r>
        <w:rPr>
          <w:rFonts w:cs="EB Garamond"/>
          <w:kern w:val="16"/>
          <w14:ligatures w14:val="standardContextual"/>
        </w:rPr>
        <w:t xml:space="preserve">A atuação eficaz nas ações de aposentadoria da PcD exige domínio não apenas da legislação e da jurisprudência, mas também dos fundamentos funcionais que </w:t>
      </w:r>
      <w:r>
        <w:rPr>
          <w:rFonts w:cs="EB Garamond"/>
          <w:kern w:val="16"/>
          <w14:ligatures w14:val="standardContextual"/>
        </w:rPr>
        <w:lastRenderedPageBreak/>
        <w:t>orientam a avaliação pelo IF-BrA. Quem compreende como o IF-BrA opera</w:t>
      </w:r>
      <w:r w:rsidR="007B4BB5">
        <w:rPr>
          <w:rFonts w:cs="EB Garamond"/>
          <w:kern w:val="16"/>
          <w14:ligatures w14:val="standardContextual"/>
        </w:rPr>
        <w:t>,</w:t>
      </w:r>
      <w:r>
        <w:rPr>
          <w:rFonts w:cs="EB Garamond"/>
          <w:kern w:val="16"/>
          <w14:ligatures w14:val="standardContextual"/>
        </w:rPr>
        <w:t xml:space="preserve"> formula quesitos mais precisos e conduz a instrução de modo a evidenciar o grau de deficiência com fundamentação técnica adequada.</w:t>
      </w:r>
    </w:p>
    <w:p w14:paraId="3129AD08" w14:textId="77777777" w:rsidR="005A5FCC" w:rsidRDefault="00A21C81">
      <w:pPr>
        <w:ind w:firstLine="238"/>
      </w:pPr>
      <w:r>
        <w:rPr>
          <w:rFonts w:cs="EB Garamond"/>
          <w:kern w:val="16"/>
          <w14:ligatures w14:val="standardContextual"/>
        </w:rPr>
        <w:t>Encerramos com uma convicção que a prática nos JEFs reforça a cada julgamento: o eixo de toda a LC 142 é a distinção entre deficiência e incapacidade — entre tutelar quem trabalha apesar das barreiras e tutelar quem já não pode trabalhar. Tratamos, ao longo deste capítulo, dos institutos, dos cálculos e dos procedimentos; mas é dessa distinção elementar, mais do que de qualquer tabela de conversão, que depende o acerto da decisão. Tê-la sempre presente é, a nosso ver, a melhor garantia de que o benefício alcance exatamente quem a Constituição quis proteger.</w:t>
      </w:r>
    </w:p>
    <w:p w14:paraId="782C2ACB" w14:textId="77777777" w:rsidR="005A5FCC" w:rsidRDefault="005A5FCC">
      <w:pPr>
        <w:sectPr w:rsidR="005A5FCC">
          <w:headerReference w:type="even" r:id="rId138"/>
          <w:headerReference w:type="default" r:id="rId139"/>
          <w:footerReference w:type="even" r:id="rId140"/>
          <w:footerReference w:type="default" r:id="rId141"/>
          <w:headerReference w:type="first" r:id="rId142"/>
          <w:footerReference w:type="first" r:id="rId143"/>
          <w:pgSz w:w="8391" w:h="11906"/>
          <w:pgMar w:top="935" w:right="879" w:bottom="964" w:left="1162" w:header="454" w:footer="425" w:gutter="0"/>
          <w:cols w:space="720"/>
          <w:titlePg/>
          <w:docGrid w:linePitch="360"/>
        </w:sectPr>
      </w:pPr>
    </w:p>
    <w:p w14:paraId="517299DE" w14:textId="77777777" w:rsidR="005A5FCC" w:rsidRDefault="005A5FCC">
      <w:pPr>
        <w:spacing w:after="0" w:line="240" w:lineRule="auto"/>
      </w:pPr>
    </w:p>
    <w:p w14:paraId="3485B7AF" w14:textId="77777777" w:rsidR="005A5FCC" w:rsidRDefault="005A5FCC">
      <w:pPr>
        <w:spacing w:after="0" w:line="240" w:lineRule="auto"/>
      </w:pPr>
    </w:p>
    <w:p w14:paraId="08E48CD8" w14:textId="77777777" w:rsidR="005A5FCC" w:rsidRDefault="005A5FCC">
      <w:pPr>
        <w:spacing w:after="0" w:line="240" w:lineRule="auto"/>
      </w:pPr>
    </w:p>
    <w:p w14:paraId="42FBECE5" w14:textId="77777777" w:rsidR="005A5FCC" w:rsidRDefault="005A5FCC">
      <w:pPr>
        <w:spacing w:after="0" w:line="240" w:lineRule="auto"/>
      </w:pPr>
    </w:p>
    <w:p w14:paraId="55BBF065" w14:textId="77777777" w:rsidR="005A5FCC" w:rsidRDefault="005A5FCC">
      <w:pPr>
        <w:spacing w:after="0" w:line="240" w:lineRule="auto"/>
      </w:pPr>
    </w:p>
    <w:p w14:paraId="26023F6A" w14:textId="77777777" w:rsidR="005A5FCC" w:rsidRDefault="005A5FCC">
      <w:pPr>
        <w:spacing w:after="0" w:line="240" w:lineRule="auto"/>
      </w:pPr>
    </w:p>
    <w:p w14:paraId="3F478E7D" w14:textId="77777777" w:rsidR="005A5FCC" w:rsidRDefault="00A21C81">
      <w:pPr>
        <w:spacing w:after="120" w:line="240" w:lineRule="auto"/>
        <w:jc w:val="center"/>
      </w:pPr>
      <w:r>
        <w:rPr>
          <w:rFonts w:ascii="Noto Sans" w:hAnsi="Noto Sans" w:cs="Noto Sans"/>
          <w:b/>
          <w:caps/>
          <w:color w:val="8A6A2A"/>
          <w:kern w:val="16"/>
          <w:sz w:val="20"/>
          <w14:ligatures w14:val="standardContextual"/>
        </w:rPr>
        <w:t>PARTE IV</w:t>
      </w:r>
    </w:p>
    <w:p w14:paraId="3732281A" w14:textId="77777777" w:rsidR="005A5FCC" w:rsidRDefault="00A21C81">
      <w:pPr>
        <w:pStyle w:val="Ttulo1"/>
        <w:spacing w:line="252" w:lineRule="auto"/>
      </w:pPr>
      <w:r>
        <w:rPr>
          <w:rFonts w:ascii="EB Garamond" w:hAnsi="EB Garamond" w:cs="EB Garamond"/>
          <w:caps/>
          <w:kern w:val="16"/>
          <w14:ligatures w14:val="standardContextual"/>
        </w:rPr>
        <w:t>Pensões, Auxílios e Benefício Assistencial</w:t>
      </w:r>
    </w:p>
    <w:p w14:paraId="1A394D5B" w14:textId="77777777" w:rsidR="005A5FCC" w:rsidRDefault="00A21C81">
      <w:pPr>
        <w:spacing w:before="160" w:after="0" w:line="240" w:lineRule="auto"/>
        <w:jc w:val="center"/>
      </w:pPr>
      <w:r>
        <w:rPr>
          <w:rFonts w:cs="EB Garamond"/>
          <w:color w:val="B78B37"/>
          <w:kern w:val="16"/>
          <w:sz w:val="18"/>
          <w14:ligatures w14:val="standardContextual"/>
        </w:rPr>
        <w:t>━━━━━  ◆  ◆  ◆  ━━━━━</w:t>
      </w:r>
    </w:p>
    <w:p w14:paraId="403CE9C0" w14:textId="77777777" w:rsidR="005A5FCC" w:rsidRDefault="005A5FCC">
      <w:pPr>
        <w:sectPr w:rsidR="005A5FCC">
          <w:headerReference w:type="even" r:id="rId144"/>
          <w:headerReference w:type="default" r:id="rId145"/>
          <w:footerReference w:type="even" r:id="rId146"/>
          <w:footerReference w:type="default" r:id="rId147"/>
          <w:headerReference w:type="first" r:id="rId148"/>
          <w:footerReference w:type="first" r:id="rId149"/>
          <w:type w:val="oddPage"/>
          <w:pgSz w:w="8391" w:h="11906"/>
          <w:pgMar w:top="935" w:right="879" w:bottom="964" w:left="1162" w:header="454" w:footer="425" w:gutter="0"/>
          <w:cols w:space="720"/>
          <w:titlePg/>
          <w:docGrid w:linePitch="360"/>
        </w:sectPr>
      </w:pPr>
    </w:p>
    <w:p w14:paraId="7BE03F7E" w14:textId="77777777" w:rsidR="005A5FCC" w:rsidRDefault="00A21C81">
      <w:pPr>
        <w:keepNext/>
        <w:spacing w:before="240" w:after="80" w:line="240" w:lineRule="auto"/>
        <w:jc w:val="center"/>
      </w:pPr>
      <w:r>
        <w:rPr>
          <w:rFonts w:ascii="Noto Sans" w:hAnsi="Noto Sans" w:cs="Noto Sans"/>
          <w:b/>
          <w:caps/>
          <w:color w:val="8A6A2A"/>
          <w:kern w:val="16"/>
          <w:sz w:val="19"/>
          <w14:ligatures w14:val="standardContextual"/>
        </w:rPr>
        <w:lastRenderedPageBreak/>
        <w:t>CAPÍTULO 13</w:t>
      </w:r>
    </w:p>
    <w:p w14:paraId="64F0AF52" w14:textId="77777777" w:rsidR="005A5FCC" w:rsidRDefault="00A21C81">
      <w:pPr>
        <w:pStyle w:val="Ttulo2"/>
        <w:spacing w:line="240" w:lineRule="auto"/>
      </w:pPr>
      <w:r>
        <w:rPr>
          <w:rFonts w:ascii="EB Garamond" w:hAnsi="EB Garamond" w:cs="EB Garamond"/>
          <w:caps/>
          <w:kern w:val="16"/>
          <w14:ligatures w14:val="standardContextual"/>
        </w:rPr>
        <w:t>Salário-Maternidade</w:t>
      </w:r>
    </w:p>
    <w:p w14:paraId="0082C205" w14:textId="77777777" w:rsidR="005A5FCC" w:rsidRDefault="00A21C81">
      <w:pPr>
        <w:spacing w:after="240" w:line="240" w:lineRule="auto"/>
        <w:jc w:val="center"/>
      </w:pPr>
      <w:r>
        <w:rPr>
          <w:rFonts w:cs="EB Garamond"/>
          <w:color w:val="B78B37"/>
          <w:kern w:val="16"/>
          <w:sz w:val="18"/>
          <w14:ligatures w14:val="standardContextual"/>
        </w:rPr>
        <w:t>━━━━  ◆  ━━━━</w:t>
      </w:r>
    </w:p>
    <w:p w14:paraId="3359FC81" w14:textId="3BE61F4C" w:rsidR="005A5FCC" w:rsidRDefault="00E83C35">
      <w:pPr>
        <w:keepNext/>
        <w:pBdr>
          <w:bottom w:val="single" w:sz="8" w:space="4" w:color="B89B5E"/>
        </w:pBdr>
        <w:spacing w:before="360" w:after="140" w:line="240" w:lineRule="auto"/>
        <w:jc w:val="left"/>
      </w:pPr>
      <w:r>
        <w:rPr>
          <w:rFonts w:cs="EB Garamond"/>
          <w:b/>
          <w:color w:val="3A3128"/>
          <w:kern w:val="16"/>
          <w:sz w:val="31"/>
          <w14:ligatures w14:val="standardContextual"/>
        </w:rPr>
        <w:t xml:space="preserve">13.1 </w:t>
      </w:r>
      <w:r w:rsidR="00A21C81">
        <w:rPr>
          <w:rFonts w:cs="EB Garamond"/>
          <w:b/>
          <w:color w:val="3A3128"/>
          <w:kern w:val="16"/>
          <w:sz w:val="31"/>
          <w14:ligatures w14:val="standardContextual"/>
        </w:rPr>
        <w:t>Introdução e fundamento constitucional</w:t>
      </w:r>
    </w:p>
    <w:p w14:paraId="1E38ADAB"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7F6B3F10" w14:textId="77777777" w:rsidR="005A5FCC" w:rsidRDefault="00A21C81">
      <w:r>
        <w:rPr>
          <w:rFonts w:cs="EB Garamond"/>
          <w:kern w:val="16"/>
          <w14:ligatures w14:val="standardContextual"/>
        </w:rPr>
        <w:t xml:space="preserve"> salário-maternidade substitui a remuneração da segurada — ou do segurado, nas hipóteses de adoção — durante o afastamento motivado por parto, adoção, guarda judicial para fins de adoção, aborto não criminoso ou natimorto. Diferencia-se dos demais benefícios previdenciários por conjugar a natureza de prestação previdenciária e a função de proteção trabalhista.</w:t>
      </w:r>
    </w:p>
    <w:p w14:paraId="505F4B60" w14:textId="77777777" w:rsidR="005A5FCC" w:rsidRDefault="00A21C81">
      <w:pPr>
        <w:ind w:firstLine="238"/>
      </w:pPr>
      <w:r>
        <w:rPr>
          <w:rFonts w:cs="EB Garamond"/>
          <w:kern w:val="16"/>
          <w14:ligatures w14:val="standardContextual"/>
        </w:rPr>
        <w:t>O fundamento constitucional do salário-maternidade radica em dois dispositivos convergentes. O art. 7º, XVIII, da Constituição Federal assegura à trabalhadora gestante o direito à licença-maternidade sem prejuízo do emprego e do salário, com duração de cento e vinte dias. O art. 201, II, por sua vez, inclui a proteção à maternidade, especialmente à gestante, entre os riscos sociais cobertos pela previdência social. A leitura conjunta dos dois dispositivos revela que a Constituição trata a maternidade como evento que exige proteção simultânea em duas dimensões: a trabalhista (manutenção do emprego e da remuneração) e a previdenciária (substituição da renda durante o afastamento).</w:t>
      </w:r>
    </w:p>
    <w:p w14:paraId="72DB7C29" w14:textId="77777777" w:rsidR="005A5FCC" w:rsidRDefault="00A21C81">
      <w:pPr>
        <w:ind w:firstLine="238"/>
      </w:pPr>
      <w:r>
        <w:rPr>
          <w:rFonts w:cs="EB Garamond"/>
          <w:kern w:val="16"/>
          <w14:ligatures w14:val="standardContextual"/>
        </w:rPr>
        <w:t>O art. 10, II, b, do Ato das Disposições Constitucionais Transitórias complementa essa proteção ao vedar a dispensa arbitrária ou sem justa causa da empregada gestante, desde a confirmação da gravidez até cinco meses após o parto. Essa estabilidade provisória constitui salvaguarda adicional que impede a frustração do direito ao salário-maternidade por meio da extinção do vínculo empregatício.</w:t>
      </w:r>
    </w:p>
    <w:p w14:paraId="69372C60" w14:textId="77777777" w:rsidR="005A5FCC" w:rsidRDefault="00A21C81">
      <w:pPr>
        <w:ind w:firstLine="238"/>
      </w:pPr>
      <w:r>
        <w:rPr>
          <w:rFonts w:cs="EB Garamond"/>
          <w:kern w:val="16"/>
          <w14:ligatures w14:val="standardContextual"/>
        </w:rPr>
        <w:t xml:space="preserve">No plano internacional, a proteção à maternidade no trabalho encontra amparo nas Convenções da Organização Internacional do Trabalho. A Convenção 103 (1952) já estabelecia o direito à licença-maternidade remunerada financiada por sistema de seguro social ou fundos públicos, e não pelo empregador diretamente. A Convenção 183 (2000), que a substituiu, ampliou a proteção para no </w:t>
      </w:r>
      <w:r>
        <w:rPr>
          <w:rFonts w:cs="EB Garamond"/>
          <w:kern w:val="16"/>
          <w14:ligatures w14:val="standardContextual"/>
        </w:rPr>
        <w:lastRenderedPageBreak/>
        <w:t>mínimo quatorze semanas e reforçou a vedação de que o empregador seja individualmente responsável pelo custo da licença, justamente para evitar a discriminação na contratação de mulheres. Embora o Brasil não tenha ratificado a Convenção 183, o ordenamento interno já contempla proteção superior ao mínimo internacional.</w:t>
      </w:r>
    </w:p>
    <w:p w14:paraId="04AE45E8" w14:textId="77777777" w:rsidR="005A5FCC" w:rsidRDefault="00A21C81">
      <w:pPr>
        <w:ind w:firstLine="238"/>
      </w:pPr>
      <w:r>
        <w:rPr>
          <w:rFonts w:cs="EB Garamond"/>
          <w:kern w:val="16"/>
          <w14:ligatures w14:val="standardContextual"/>
        </w:rPr>
        <w:t>A natureza jurídica do salário-maternidade é objeto de debate doutrinário. A posição prevalente, reforçada pelo Supremo Tribunal Federal no julgamento do Tema 72 da repercussão geral (RE 576.967), é de que se trata de benefício previdenciário, não de contraprestação pelo trabalho. Essa qualificação produz consequências relevantes: por não constituir remuneração, o salário-maternidade não pode servir de base de cálculo para contribuição previdenciária patronal, conforme decidiu o STF.</w:t>
      </w:r>
    </w:p>
    <w:p w14:paraId="2CBC7F64" w14:textId="77777777" w:rsidR="005A5FCC" w:rsidRDefault="00A21C81">
      <w:pPr>
        <w:ind w:firstLine="238"/>
      </w:pPr>
      <w:r>
        <w:rPr>
          <w:rFonts w:cs="EB Garamond"/>
          <w:kern w:val="16"/>
          <w14:ligatures w14:val="standardContextual"/>
        </w:rPr>
        <w:t>Dois conceitos são frequentemente confundidos. A licença-maternidade é o direito trabalhista ao afastamento do trabalho, previsto no art. 7º, XVIII, da Constituição. O salário-maternidade é o benefício previdenciário que substitui a remuneração durante esse afastamento, previsto nos arts. 71 a 73 da Lei 8.213/91. A licença é o período; o salário-maternidade é a prestação pecuniária. Uma segurada contribuinte individual que não mantém relação de emprego não tem licença-maternidade (que pressupõe vínculo empregatício), mas tem direito ao salário-maternidade como segurada do RGPS.</w:t>
      </w:r>
    </w:p>
    <w:p w14:paraId="566FFC50" w14:textId="77777777" w:rsidR="005A5FCC" w:rsidRDefault="00A21C81">
      <w:pPr>
        <w:ind w:firstLine="238"/>
      </w:pPr>
      <w:r>
        <w:rPr>
          <w:rFonts w:cs="EB Garamond"/>
          <w:kern w:val="16"/>
          <w14:ligatures w14:val="standardContextual"/>
        </w:rPr>
        <w:t>A proteção à maternidade no sistema previdenciário cumpre tríplice função: protege a segurada (manutenção da renda durante o afastamento), protege a criança (assegura os cuidados iniciais essenciais ao desenvolvimento) e protege o mercado de trabalho (ao transferir o ônus financeiro para a previdência, evita que a maternidade constitua fator de discriminação na contratação feminina).</w:t>
      </w:r>
    </w:p>
    <w:p w14:paraId="212F72DD" w14:textId="77777777" w:rsidR="005A5FCC" w:rsidRDefault="00A21C81">
      <w:pPr>
        <w:ind w:firstLine="238"/>
      </w:pPr>
      <w:r>
        <w:rPr>
          <w:rFonts w:cs="EB Garamond"/>
          <w:kern w:val="16"/>
          <w14:ligatures w14:val="standardContextual"/>
        </w:rPr>
        <w:t>A jurisprudência recente tem dado relevo crescente à dimensão protetiva da criança. O STF, ao estender o salário-maternidade a situações não expressamente previstas na legislação (como a gestação por substituição), fundamentou-se no princípio da proteção integral à criança (art. 227, CF/88) e no conceito de parentalidade, que transcende a maternidade biológica. O salário-maternidade, hoje, é instrumento de proteção do recém-nascido ou da criança recém-integrada ao núcleo familiar, e não apenas da trabalhadora gestante.</w:t>
      </w:r>
    </w:p>
    <w:p w14:paraId="34564E0B" w14:textId="77777777" w:rsidR="005A5FCC" w:rsidRDefault="00A21C81">
      <w:pPr>
        <w:ind w:firstLine="238"/>
      </w:pPr>
      <w:r>
        <w:rPr>
          <w:rFonts w:cs="EB Garamond"/>
          <w:kern w:val="16"/>
          <w14:ligatures w14:val="standardContextual"/>
        </w:rPr>
        <w:lastRenderedPageBreak/>
        <w:t>Na prática dos Juizados Especiais Federais, o salário-maternidade é o benefício previdenciário de menor valor individual (porque temporário — quatro meses), porém de altíssimo volume processual, especialmente nas regiões Norte e Nordeste, onde predominam as seguradas especiais. A judicialização do salário-maternidade cresceu 124% entre 2020 e 2025, passando de 86.701 para 194.363 ações por ano — média de 580 novos processos por dia em todo o país.</w:t>
      </w:r>
    </w:p>
    <w:p w14:paraId="6DFCD9F4"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13.2 Evolução legislativa</w:t>
      </w:r>
    </w:p>
    <w:p w14:paraId="18425D4E"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45022FF5" w14:textId="77777777" w:rsidR="005A5FCC" w:rsidRDefault="00A21C81">
      <w:r>
        <w:rPr>
          <w:rFonts w:cs="EB Garamond"/>
          <w:kern w:val="16"/>
          <w14:ligatures w14:val="standardContextual"/>
        </w:rPr>
        <w:t xml:space="preserve"> história do salário-maternidade no Brasil atravessa quatro fases distintas, cada qual marcada por ampliação progressiva da proteção.</w:t>
      </w:r>
    </w:p>
    <w:p w14:paraId="7FF6B3CD" w14:textId="77777777" w:rsidR="005A5FCC" w:rsidRDefault="00A21C81">
      <w:pPr>
        <w:ind w:firstLine="238"/>
      </w:pPr>
      <w:r>
        <w:rPr>
          <w:rFonts w:cs="EB Garamond"/>
          <w:b/>
          <w:kern w:val="16"/>
          <w14:ligatures w14:val="standardContextual"/>
        </w:rPr>
        <w:t>Primeira fase (1943-1973): ônus exclusivo do empregador.</w:t>
      </w:r>
      <w:r>
        <w:rPr>
          <w:rFonts w:cs="EB Garamond"/>
          <w:kern w:val="16"/>
          <w14:ligatures w14:val="standardContextual"/>
        </w:rPr>
        <w:t xml:space="preserve"> A CLT original de 1943 assegurava à empregada gestante o direito a doze semanas de afastamento remunerado (seis antes e seis após o parto), com o ônus financeiro recaindo integralmente sobre o empregador. Esse modelo gerava efeito perverso: quanto maior a proteção à gestante, maior o desincentivo à contratação de mulheres em idade fértil. O empregador, ao suportar sozinho o custo da licença, tendia a preferir trabalhadores homens ou mulheres que declarassem não pretender engravidar.</w:t>
      </w:r>
    </w:p>
    <w:p w14:paraId="365CAB98" w14:textId="77777777" w:rsidR="005A5FCC" w:rsidRDefault="00A21C81">
      <w:pPr>
        <w:ind w:firstLine="238"/>
      </w:pPr>
      <w:r>
        <w:rPr>
          <w:rFonts w:cs="EB Garamond"/>
          <w:b/>
          <w:kern w:val="16"/>
          <w14:ligatures w14:val="standardContextual"/>
        </w:rPr>
        <w:t>Segunda fase (1974-1987): transferência para a Previdência.</w:t>
      </w:r>
      <w:r>
        <w:rPr>
          <w:rFonts w:cs="EB Garamond"/>
          <w:kern w:val="16"/>
          <w14:ligatures w14:val="standardContextual"/>
        </w:rPr>
        <w:t xml:space="preserve"> A Lei 6.136/1974 representou o grande marco na proteção à maternidade ao transformar o salário-maternidade em prestação previdenciária, transferindo o ônus financeiro do empregador para o sistema de seguridade social. A partir dessa lei, o salário-maternidade passou a ser financiado pelas contribuições patronais incidentes sobre a folha de salários, socializando o custo da maternidade entre todos os empregadores. O valor passou a ser pago pela empresa, que se ressarcia mediante compensação com as contribuições devidas ao INPS. Essa mudança estrutural alinhou o Brasil à recomendação da OIT de que o custo da proteção à maternidade não recaia sobre o empregador individual.</w:t>
      </w:r>
    </w:p>
    <w:p w14:paraId="1C2FC442" w14:textId="77777777" w:rsidR="005A5FCC" w:rsidRDefault="00A21C81">
      <w:pPr>
        <w:ind w:firstLine="238"/>
      </w:pPr>
      <w:r>
        <w:rPr>
          <w:rFonts w:cs="EB Garamond"/>
          <w:b/>
          <w:kern w:val="16"/>
          <w14:ligatures w14:val="standardContextual"/>
        </w:rPr>
        <w:t>Terceira fase (1988-2012): constitucionalização e expansão subjetiva.</w:t>
      </w:r>
      <w:r>
        <w:rPr>
          <w:rFonts w:cs="EB Garamond"/>
          <w:kern w:val="16"/>
          <w14:ligatures w14:val="standardContextual"/>
        </w:rPr>
        <w:t xml:space="preserve"> A Constituição de 1988 elevou a proteção à maternidade a direito fundamental, ampliando a duração para cento e vinte dias (art. 7º, XVIII). A Lei 8.213/1991 </w:t>
      </w:r>
      <w:r>
        <w:rPr>
          <w:rFonts w:cs="EB Garamond"/>
          <w:kern w:val="16"/>
          <w14:ligatures w14:val="standardContextual"/>
        </w:rPr>
        <w:lastRenderedPageBreak/>
        <w:t>regulamentou o benefício nos arts. 71 a 73, inicialmente restrito às seguradas empregada e trabalhadora avulsa. A expansão subjetiva ocorreu em etapas: a Lei 8.861/1994 estendeu o benefício à segurada especial (trabalhadora rural); a Lei 9.876/1999 completou a universalização ao incluir a contribuinte individual e a segurada facultativa, mediante carência de dez contribuições mensais. A Lei 10.421/2002 estendeu o salário-maternidade à mãe adotiva, porém com escalonamento discriminatório por idade do adotando: cento e vinte dias para criança de até um ano, sessenta dias para criança de um a quatro anos, e trinta dias para criança de quatro a oito anos.</w:t>
      </w:r>
    </w:p>
    <w:p w14:paraId="6F88C9E0" w14:textId="77777777" w:rsidR="005A5FCC" w:rsidRDefault="00A21C81">
      <w:pPr>
        <w:ind w:firstLine="238"/>
      </w:pPr>
      <w:r>
        <w:rPr>
          <w:rFonts w:cs="EB Garamond"/>
          <w:b/>
          <w:kern w:val="16"/>
          <w14:ligatures w14:val="standardContextual"/>
        </w:rPr>
        <w:t>Quarta fase (2013-presente): universalização plena e novas famílias.</w:t>
      </w:r>
      <w:r>
        <w:rPr>
          <w:rFonts w:cs="EB Garamond"/>
          <w:kern w:val="16"/>
          <w14:ligatures w14:val="standardContextual"/>
        </w:rPr>
        <w:t xml:space="preserve"> A Lei 12.873/2013 promoveu as mais profundas mudanças no regime do salário-maternidade. Unificou o prazo em cento e vinte dias para toda adoção, independentemente da idade do adotando. Incluiu os arts. 71-A, 71-B e 71-C na Lei 8.213/91, estendendo o benefício ao segurado homem que adotar, criando a transferência do salário-maternidade ao cônjuge sobrevivente em caso de falecimento da beneficiária, e condicionando o recebimento ao afastamento do trabalho. Em 2024, o Supremo Tribunal Federal, ao julgar as ADIs 2.110 e 2.111, declarou inconstitucional a exigência de carência de dez contribuições mensais para contribuinte individual, facultativa e segurada especial, eliminando a última distinção entre as categorias de seguradas para fins de salário-maternidade.</w:t>
      </w:r>
    </w:p>
    <w:tbl>
      <w:tblPr>
        <w:tblW w:w="5000" w:type="pct"/>
        <w:jc w:val="center"/>
        <w:tblLook w:val="04A0" w:firstRow="1" w:lastRow="0" w:firstColumn="1" w:lastColumn="0" w:noHBand="0" w:noVBand="1"/>
      </w:tblPr>
      <w:tblGrid>
        <w:gridCol w:w="2113"/>
        <w:gridCol w:w="2114"/>
        <w:gridCol w:w="2113"/>
      </w:tblGrid>
      <w:tr w:rsidR="005A5FCC" w14:paraId="2475B36A" w14:textId="77777777">
        <w:trPr>
          <w:tblHeader/>
          <w:jc w:val="center"/>
        </w:trPr>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6DB59587" w14:textId="77777777" w:rsidR="005A5FCC" w:rsidRDefault="00A21C81">
            <w:pPr>
              <w:spacing w:before="40" w:after="40" w:line="240" w:lineRule="auto"/>
              <w:jc w:val="center"/>
            </w:pPr>
            <w:r>
              <w:rPr>
                <w:rFonts w:cs="EB Garamond"/>
                <w:b/>
                <w:color w:val="2F2923"/>
                <w:kern w:val="16"/>
                <w:sz w:val="18"/>
                <w14:ligatures w14:val="standardContextual"/>
              </w:rPr>
              <w:t>Ano</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6A363F52" w14:textId="77777777" w:rsidR="005A5FCC" w:rsidRDefault="00A21C81">
            <w:pPr>
              <w:spacing w:before="40" w:after="40" w:line="240" w:lineRule="auto"/>
              <w:jc w:val="center"/>
            </w:pPr>
            <w:r>
              <w:rPr>
                <w:rFonts w:cs="EB Garamond"/>
                <w:b/>
                <w:color w:val="2F2923"/>
                <w:kern w:val="16"/>
                <w:sz w:val="18"/>
                <w14:ligatures w14:val="standardContextual"/>
              </w:rPr>
              <w:t>Diploma</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3E28208E" w14:textId="77777777" w:rsidR="005A5FCC" w:rsidRDefault="00A21C81">
            <w:pPr>
              <w:spacing w:before="40" w:after="40" w:line="240" w:lineRule="auto"/>
              <w:jc w:val="center"/>
            </w:pPr>
            <w:r>
              <w:rPr>
                <w:rFonts w:cs="EB Garamond"/>
                <w:b/>
                <w:color w:val="2F2923"/>
                <w:kern w:val="16"/>
                <w:sz w:val="18"/>
                <w14:ligatures w14:val="standardContextual"/>
              </w:rPr>
              <w:t>Mudança</w:t>
            </w:r>
          </w:p>
        </w:tc>
      </w:tr>
      <w:tr w:rsidR="005A5FCC" w14:paraId="09ECC1B0"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5270BC74" w14:textId="77777777" w:rsidR="005A5FCC" w:rsidRDefault="00A21C81">
            <w:pPr>
              <w:spacing w:before="20" w:after="20" w:line="240" w:lineRule="auto"/>
              <w:jc w:val="left"/>
            </w:pPr>
            <w:r>
              <w:rPr>
                <w:rFonts w:cs="EB Garamond"/>
                <w:kern w:val="16"/>
                <w:sz w:val="18"/>
                <w14:ligatures w14:val="standardContextual"/>
              </w:rPr>
              <w:t>1943</w:t>
            </w:r>
          </w:p>
        </w:tc>
        <w:tc>
          <w:tcPr>
            <w:tcW w:w="2117" w:type="dxa"/>
            <w:tcBorders>
              <w:top w:val="single" w:sz="4" w:space="0" w:color="D2C9B8"/>
              <w:left w:val="single" w:sz="4" w:space="0" w:color="D2C9B8"/>
              <w:bottom w:val="single" w:sz="4" w:space="0" w:color="D2C9B8"/>
              <w:right w:val="single" w:sz="4" w:space="0" w:color="D2C9B8"/>
            </w:tcBorders>
          </w:tcPr>
          <w:p w14:paraId="49FA8AE7" w14:textId="77777777" w:rsidR="005A5FCC" w:rsidRDefault="00A21C81">
            <w:pPr>
              <w:spacing w:before="20" w:after="20" w:line="240" w:lineRule="auto"/>
              <w:jc w:val="left"/>
            </w:pPr>
            <w:r>
              <w:rPr>
                <w:rFonts w:cs="EB Garamond"/>
                <w:kern w:val="16"/>
                <w:sz w:val="18"/>
                <w14:ligatures w14:val="standardContextual"/>
              </w:rPr>
              <w:t>CLT</w:t>
            </w:r>
          </w:p>
        </w:tc>
        <w:tc>
          <w:tcPr>
            <w:tcW w:w="2117" w:type="dxa"/>
            <w:tcBorders>
              <w:top w:val="single" w:sz="4" w:space="0" w:color="D2C9B8"/>
              <w:left w:val="single" w:sz="4" w:space="0" w:color="D2C9B8"/>
              <w:bottom w:val="single" w:sz="4" w:space="0" w:color="D2C9B8"/>
              <w:right w:val="single" w:sz="4" w:space="0" w:color="D2C9B8"/>
            </w:tcBorders>
          </w:tcPr>
          <w:p w14:paraId="2BAF94D0" w14:textId="77777777" w:rsidR="005A5FCC" w:rsidRDefault="00A21C81">
            <w:pPr>
              <w:spacing w:before="20" w:after="20" w:line="240" w:lineRule="auto"/>
              <w:jc w:val="left"/>
            </w:pPr>
            <w:r>
              <w:rPr>
                <w:rFonts w:cs="EB Garamond"/>
                <w:kern w:val="16"/>
                <w:sz w:val="18"/>
                <w14:ligatures w14:val="standardContextual"/>
              </w:rPr>
              <w:t>84 dias, ônus do empregador</w:t>
            </w:r>
          </w:p>
        </w:tc>
      </w:tr>
      <w:tr w:rsidR="005A5FCC" w14:paraId="5D5685C8"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5ACF3369" w14:textId="77777777" w:rsidR="005A5FCC" w:rsidRDefault="00A21C81">
            <w:pPr>
              <w:spacing w:before="20" w:after="20" w:line="240" w:lineRule="auto"/>
              <w:jc w:val="left"/>
            </w:pPr>
            <w:r>
              <w:rPr>
                <w:rFonts w:cs="EB Garamond"/>
                <w:kern w:val="16"/>
                <w:sz w:val="18"/>
                <w14:ligatures w14:val="standardContextual"/>
              </w:rPr>
              <w:t>1974</w:t>
            </w:r>
          </w:p>
        </w:tc>
        <w:tc>
          <w:tcPr>
            <w:tcW w:w="2117" w:type="dxa"/>
            <w:tcBorders>
              <w:top w:val="single" w:sz="4" w:space="0" w:color="D2C9B8"/>
              <w:left w:val="single" w:sz="4" w:space="0" w:color="D2C9B8"/>
              <w:bottom w:val="single" w:sz="4" w:space="0" w:color="D2C9B8"/>
              <w:right w:val="single" w:sz="4" w:space="0" w:color="D2C9B8"/>
            </w:tcBorders>
          </w:tcPr>
          <w:p w14:paraId="59F41F01" w14:textId="77777777" w:rsidR="005A5FCC" w:rsidRDefault="00A21C81">
            <w:pPr>
              <w:spacing w:before="20" w:after="20" w:line="240" w:lineRule="auto"/>
              <w:jc w:val="left"/>
            </w:pPr>
            <w:r>
              <w:rPr>
                <w:rFonts w:cs="EB Garamond"/>
                <w:kern w:val="16"/>
                <w:sz w:val="18"/>
                <w14:ligatures w14:val="standardContextual"/>
              </w:rPr>
              <w:t>Lei 6.136</w:t>
            </w:r>
          </w:p>
        </w:tc>
        <w:tc>
          <w:tcPr>
            <w:tcW w:w="2117" w:type="dxa"/>
            <w:tcBorders>
              <w:top w:val="single" w:sz="4" w:space="0" w:color="D2C9B8"/>
              <w:left w:val="single" w:sz="4" w:space="0" w:color="D2C9B8"/>
              <w:bottom w:val="single" w:sz="4" w:space="0" w:color="D2C9B8"/>
              <w:right w:val="single" w:sz="4" w:space="0" w:color="D2C9B8"/>
            </w:tcBorders>
          </w:tcPr>
          <w:p w14:paraId="05565DBB" w14:textId="77777777" w:rsidR="005A5FCC" w:rsidRDefault="00A21C81">
            <w:pPr>
              <w:spacing w:before="20" w:after="20" w:line="240" w:lineRule="auto"/>
              <w:jc w:val="left"/>
            </w:pPr>
            <w:r>
              <w:rPr>
                <w:rFonts w:cs="EB Garamond"/>
                <w:kern w:val="16"/>
                <w:sz w:val="18"/>
                <w14:ligatures w14:val="standardContextual"/>
              </w:rPr>
              <w:t>Transferência do ônus para a Previdência</w:t>
            </w:r>
          </w:p>
        </w:tc>
      </w:tr>
      <w:tr w:rsidR="005A5FCC" w14:paraId="2652E107"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5B5721FF" w14:textId="77777777" w:rsidR="005A5FCC" w:rsidRDefault="00A21C81">
            <w:pPr>
              <w:spacing w:before="20" w:after="20" w:line="240" w:lineRule="auto"/>
              <w:jc w:val="left"/>
            </w:pPr>
            <w:r>
              <w:rPr>
                <w:rFonts w:cs="EB Garamond"/>
                <w:kern w:val="16"/>
                <w:sz w:val="18"/>
                <w14:ligatures w14:val="standardContextual"/>
              </w:rPr>
              <w:t>1988</w:t>
            </w:r>
          </w:p>
        </w:tc>
        <w:tc>
          <w:tcPr>
            <w:tcW w:w="2117" w:type="dxa"/>
            <w:tcBorders>
              <w:top w:val="single" w:sz="4" w:space="0" w:color="D2C9B8"/>
              <w:left w:val="single" w:sz="4" w:space="0" w:color="D2C9B8"/>
              <w:bottom w:val="single" w:sz="4" w:space="0" w:color="D2C9B8"/>
              <w:right w:val="single" w:sz="4" w:space="0" w:color="D2C9B8"/>
            </w:tcBorders>
          </w:tcPr>
          <w:p w14:paraId="38C01365" w14:textId="77777777" w:rsidR="005A5FCC" w:rsidRDefault="00A21C81">
            <w:pPr>
              <w:spacing w:before="20" w:after="20" w:line="240" w:lineRule="auto"/>
              <w:jc w:val="left"/>
            </w:pPr>
            <w:r>
              <w:rPr>
                <w:rFonts w:cs="EB Garamond"/>
                <w:kern w:val="16"/>
                <w:sz w:val="18"/>
                <w14:ligatures w14:val="standardContextual"/>
              </w:rPr>
              <w:t>CF/88</w:t>
            </w:r>
          </w:p>
        </w:tc>
        <w:tc>
          <w:tcPr>
            <w:tcW w:w="2117" w:type="dxa"/>
            <w:tcBorders>
              <w:top w:val="single" w:sz="4" w:space="0" w:color="D2C9B8"/>
              <w:left w:val="single" w:sz="4" w:space="0" w:color="D2C9B8"/>
              <w:bottom w:val="single" w:sz="4" w:space="0" w:color="D2C9B8"/>
              <w:right w:val="single" w:sz="4" w:space="0" w:color="D2C9B8"/>
            </w:tcBorders>
          </w:tcPr>
          <w:p w14:paraId="3BB4E8C7" w14:textId="77777777" w:rsidR="005A5FCC" w:rsidRDefault="00A21C81">
            <w:pPr>
              <w:spacing w:before="20" w:after="20" w:line="240" w:lineRule="auto"/>
              <w:jc w:val="left"/>
            </w:pPr>
            <w:r>
              <w:rPr>
                <w:rFonts w:cs="EB Garamond"/>
                <w:kern w:val="16"/>
                <w:sz w:val="18"/>
                <w14:ligatures w14:val="standardContextual"/>
              </w:rPr>
              <w:t>Ampliação para 120 dias; constitucionalização</w:t>
            </w:r>
          </w:p>
        </w:tc>
      </w:tr>
      <w:tr w:rsidR="005A5FCC" w14:paraId="7550C55C"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548F8F00" w14:textId="77777777" w:rsidR="005A5FCC" w:rsidRDefault="00A21C81">
            <w:pPr>
              <w:spacing w:before="20" w:after="20" w:line="240" w:lineRule="auto"/>
              <w:jc w:val="left"/>
            </w:pPr>
            <w:r>
              <w:rPr>
                <w:rFonts w:cs="EB Garamond"/>
                <w:kern w:val="16"/>
                <w:sz w:val="18"/>
                <w14:ligatures w14:val="standardContextual"/>
              </w:rPr>
              <w:t>1991</w:t>
            </w:r>
          </w:p>
        </w:tc>
        <w:tc>
          <w:tcPr>
            <w:tcW w:w="2117" w:type="dxa"/>
            <w:tcBorders>
              <w:top w:val="single" w:sz="4" w:space="0" w:color="D2C9B8"/>
              <w:left w:val="single" w:sz="4" w:space="0" w:color="D2C9B8"/>
              <w:bottom w:val="single" w:sz="4" w:space="0" w:color="D2C9B8"/>
              <w:right w:val="single" w:sz="4" w:space="0" w:color="D2C9B8"/>
            </w:tcBorders>
          </w:tcPr>
          <w:p w14:paraId="226DDB74" w14:textId="77777777" w:rsidR="005A5FCC" w:rsidRDefault="00A21C81">
            <w:pPr>
              <w:spacing w:before="20" w:after="20" w:line="240" w:lineRule="auto"/>
              <w:jc w:val="left"/>
            </w:pPr>
            <w:r>
              <w:rPr>
                <w:rFonts w:cs="EB Garamond"/>
                <w:kern w:val="16"/>
                <w:sz w:val="18"/>
                <w14:ligatures w14:val="standardContextual"/>
              </w:rPr>
              <w:t>Lei 8.213</w:t>
            </w:r>
          </w:p>
        </w:tc>
        <w:tc>
          <w:tcPr>
            <w:tcW w:w="2117" w:type="dxa"/>
            <w:tcBorders>
              <w:top w:val="single" w:sz="4" w:space="0" w:color="D2C9B8"/>
              <w:left w:val="single" w:sz="4" w:space="0" w:color="D2C9B8"/>
              <w:bottom w:val="single" w:sz="4" w:space="0" w:color="D2C9B8"/>
              <w:right w:val="single" w:sz="4" w:space="0" w:color="D2C9B8"/>
            </w:tcBorders>
          </w:tcPr>
          <w:p w14:paraId="6B88AC8E" w14:textId="77777777" w:rsidR="005A5FCC" w:rsidRDefault="00A21C81">
            <w:pPr>
              <w:spacing w:before="20" w:after="20" w:line="240" w:lineRule="auto"/>
              <w:jc w:val="left"/>
            </w:pPr>
            <w:r>
              <w:rPr>
                <w:rFonts w:cs="EB Garamond"/>
                <w:kern w:val="16"/>
                <w:sz w:val="18"/>
                <w14:ligatures w14:val="standardContextual"/>
              </w:rPr>
              <w:t>Arts. 71-73 — empregada e avulsa</w:t>
            </w:r>
          </w:p>
        </w:tc>
      </w:tr>
      <w:tr w:rsidR="005A5FCC" w14:paraId="2DC28141"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36B04B57" w14:textId="77777777" w:rsidR="005A5FCC" w:rsidRDefault="00A21C81">
            <w:pPr>
              <w:spacing w:before="20" w:after="20" w:line="240" w:lineRule="auto"/>
              <w:jc w:val="left"/>
            </w:pPr>
            <w:r>
              <w:rPr>
                <w:rFonts w:cs="EB Garamond"/>
                <w:kern w:val="16"/>
                <w:sz w:val="18"/>
                <w14:ligatures w14:val="standardContextual"/>
              </w:rPr>
              <w:t>1994</w:t>
            </w:r>
          </w:p>
        </w:tc>
        <w:tc>
          <w:tcPr>
            <w:tcW w:w="2117" w:type="dxa"/>
            <w:tcBorders>
              <w:top w:val="single" w:sz="4" w:space="0" w:color="D2C9B8"/>
              <w:left w:val="single" w:sz="4" w:space="0" w:color="D2C9B8"/>
              <w:bottom w:val="single" w:sz="4" w:space="0" w:color="D2C9B8"/>
              <w:right w:val="single" w:sz="4" w:space="0" w:color="D2C9B8"/>
            </w:tcBorders>
          </w:tcPr>
          <w:p w14:paraId="24471842" w14:textId="77777777" w:rsidR="005A5FCC" w:rsidRDefault="00A21C81">
            <w:pPr>
              <w:spacing w:before="20" w:after="20" w:line="240" w:lineRule="auto"/>
              <w:jc w:val="left"/>
            </w:pPr>
            <w:r>
              <w:rPr>
                <w:rFonts w:cs="EB Garamond"/>
                <w:kern w:val="16"/>
                <w:sz w:val="18"/>
                <w14:ligatures w14:val="standardContextual"/>
              </w:rPr>
              <w:t>Lei 8.861</w:t>
            </w:r>
          </w:p>
        </w:tc>
        <w:tc>
          <w:tcPr>
            <w:tcW w:w="2117" w:type="dxa"/>
            <w:tcBorders>
              <w:top w:val="single" w:sz="4" w:space="0" w:color="D2C9B8"/>
              <w:left w:val="single" w:sz="4" w:space="0" w:color="D2C9B8"/>
              <w:bottom w:val="single" w:sz="4" w:space="0" w:color="D2C9B8"/>
              <w:right w:val="single" w:sz="4" w:space="0" w:color="D2C9B8"/>
            </w:tcBorders>
          </w:tcPr>
          <w:p w14:paraId="567A52AC" w14:textId="77777777" w:rsidR="005A5FCC" w:rsidRDefault="00A21C81">
            <w:pPr>
              <w:spacing w:before="20" w:after="20" w:line="240" w:lineRule="auto"/>
              <w:jc w:val="left"/>
            </w:pPr>
            <w:r>
              <w:rPr>
                <w:rFonts w:cs="EB Garamond"/>
                <w:kern w:val="16"/>
                <w:sz w:val="18"/>
                <w14:ligatures w14:val="standardContextual"/>
              </w:rPr>
              <w:t>Extensão à segurada especial</w:t>
            </w:r>
          </w:p>
        </w:tc>
      </w:tr>
      <w:tr w:rsidR="005A5FCC" w14:paraId="5CF5F05F"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19E55C41" w14:textId="77777777" w:rsidR="005A5FCC" w:rsidRDefault="00A21C81">
            <w:pPr>
              <w:spacing w:before="20" w:after="20" w:line="240" w:lineRule="auto"/>
              <w:jc w:val="left"/>
            </w:pPr>
            <w:r>
              <w:rPr>
                <w:rFonts w:cs="EB Garamond"/>
                <w:kern w:val="16"/>
                <w:sz w:val="18"/>
                <w14:ligatures w14:val="standardContextual"/>
              </w:rPr>
              <w:t>1999</w:t>
            </w:r>
          </w:p>
        </w:tc>
        <w:tc>
          <w:tcPr>
            <w:tcW w:w="2117" w:type="dxa"/>
            <w:tcBorders>
              <w:top w:val="single" w:sz="4" w:space="0" w:color="D2C9B8"/>
              <w:left w:val="single" w:sz="4" w:space="0" w:color="D2C9B8"/>
              <w:bottom w:val="single" w:sz="4" w:space="0" w:color="D2C9B8"/>
              <w:right w:val="single" w:sz="4" w:space="0" w:color="D2C9B8"/>
            </w:tcBorders>
          </w:tcPr>
          <w:p w14:paraId="0F10E197" w14:textId="77777777" w:rsidR="005A5FCC" w:rsidRDefault="00A21C81">
            <w:pPr>
              <w:spacing w:before="20" w:after="20" w:line="240" w:lineRule="auto"/>
              <w:jc w:val="left"/>
            </w:pPr>
            <w:r>
              <w:rPr>
                <w:rFonts w:cs="EB Garamond"/>
                <w:kern w:val="16"/>
                <w:sz w:val="18"/>
                <w14:ligatures w14:val="standardContextual"/>
              </w:rPr>
              <w:t>Lei 9.876</w:t>
            </w:r>
          </w:p>
        </w:tc>
        <w:tc>
          <w:tcPr>
            <w:tcW w:w="2117" w:type="dxa"/>
            <w:tcBorders>
              <w:top w:val="single" w:sz="4" w:space="0" w:color="D2C9B8"/>
              <w:left w:val="single" w:sz="4" w:space="0" w:color="D2C9B8"/>
              <w:bottom w:val="single" w:sz="4" w:space="0" w:color="D2C9B8"/>
              <w:right w:val="single" w:sz="4" w:space="0" w:color="D2C9B8"/>
            </w:tcBorders>
          </w:tcPr>
          <w:p w14:paraId="15AB0545" w14:textId="77777777" w:rsidR="005A5FCC" w:rsidRDefault="00A21C81">
            <w:pPr>
              <w:spacing w:before="20" w:after="20" w:line="240" w:lineRule="auto"/>
              <w:jc w:val="left"/>
            </w:pPr>
            <w:r>
              <w:rPr>
                <w:rFonts w:cs="EB Garamond"/>
                <w:kern w:val="16"/>
                <w:sz w:val="18"/>
                <w14:ligatures w14:val="standardContextual"/>
              </w:rPr>
              <w:t>Extensão à CI e facultativa (carência 10 contribuições)</w:t>
            </w:r>
          </w:p>
        </w:tc>
      </w:tr>
      <w:tr w:rsidR="005A5FCC" w14:paraId="61EB58C2"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62135137" w14:textId="77777777" w:rsidR="005A5FCC" w:rsidRDefault="00A21C81">
            <w:pPr>
              <w:spacing w:before="20" w:after="20" w:line="240" w:lineRule="auto"/>
              <w:jc w:val="left"/>
            </w:pPr>
            <w:r>
              <w:rPr>
                <w:rFonts w:cs="EB Garamond"/>
                <w:kern w:val="16"/>
                <w:sz w:val="18"/>
                <w14:ligatures w14:val="standardContextual"/>
              </w:rPr>
              <w:lastRenderedPageBreak/>
              <w:t>2002</w:t>
            </w:r>
          </w:p>
        </w:tc>
        <w:tc>
          <w:tcPr>
            <w:tcW w:w="2117" w:type="dxa"/>
            <w:tcBorders>
              <w:top w:val="single" w:sz="4" w:space="0" w:color="D2C9B8"/>
              <w:left w:val="single" w:sz="4" w:space="0" w:color="D2C9B8"/>
              <w:bottom w:val="single" w:sz="4" w:space="0" w:color="D2C9B8"/>
              <w:right w:val="single" w:sz="4" w:space="0" w:color="D2C9B8"/>
            </w:tcBorders>
          </w:tcPr>
          <w:p w14:paraId="1A1F899E" w14:textId="77777777" w:rsidR="005A5FCC" w:rsidRDefault="00A21C81">
            <w:pPr>
              <w:spacing w:before="20" w:after="20" w:line="240" w:lineRule="auto"/>
              <w:jc w:val="left"/>
            </w:pPr>
            <w:r>
              <w:rPr>
                <w:rFonts w:cs="EB Garamond"/>
                <w:kern w:val="16"/>
                <w:sz w:val="18"/>
                <w14:ligatures w14:val="standardContextual"/>
              </w:rPr>
              <w:t>Lei 10.421</w:t>
            </w:r>
          </w:p>
        </w:tc>
        <w:tc>
          <w:tcPr>
            <w:tcW w:w="2117" w:type="dxa"/>
            <w:tcBorders>
              <w:top w:val="single" w:sz="4" w:space="0" w:color="D2C9B8"/>
              <w:left w:val="single" w:sz="4" w:space="0" w:color="D2C9B8"/>
              <w:bottom w:val="single" w:sz="4" w:space="0" w:color="D2C9B8"/>
              <w:right w:val="single" w:sz="4" w:space="0" w:color="D2C9B8"/>
            </w:tcBorders>
          </w:tcPr>
          <w:p w14:paraId="46EF35AF" w14:textId="77777777" w:rsidR="005A5FCC" w:rsidRDefault="00A21C81">
            <w:pPr>
              <w:spacing w:before="20" w:after="20" w:line="240" w:lineRule="auto"/>
              <w:jc w:val="left"/>
            </w:pPr>
            <w:r>
              <w:rPr>
                <w:rFonts w:cs="EB Garamond"/>
                <w:kern w:val="16"/>
                <w:sz w:val="18"/>
                <w14:ligatures w14:val="standardContextual"/>
              </w:rPr>
              <w:t>Extensão à adotante (escalonamento por idade)</w:t>
            </w:r>
          </w:p>
        </w:tc>
      </w:tr>
      <w:tr w:rsidR="005A5FCC" w14:paraId="731BAAC9"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1CB8F0AE" w14:textId="77777777" w:rsidR="005A5FCC" w:rsidRDefault="00A21C81">
            <w:pPr>
              <w:spacing w:before="20" w:after="20" w:line="240" w:lineRule="auto"/>
              <w:jc w:val="left"/>
            </w:pPr>
            <w:r>
              <w:rPr>
                <w:rFonts w:cs="EB Garamond"/>
                <w:kern w:val="16"/>
                <w:sz w:val="18"/>
                <w14:ligatures w14:val="standardContextual"/>
              </w:rPr>
              <w:t>2008</w:t>
            </w:r>
          </w:p>
        </w:tc>
        <w:tc>
          <w:tcPr>
            <w:tcW w:w="2117" w:type="dxa"/>
            <w:tcBorders>
              <w:top w:val="single" w:sz="4" w:space="0" w:color="D2C9B8"/>
              <w:left w:val="single" w:sz="4" w:space="0" w:color="D2C9B8"/>
              <w:bottom w:val="single" w:sz="4" w:space="0" w:color="D2C9B8"/>
              <w:right w:val="single" w:sz="4" w:space="0" w:color="D2C9B8"/>
            </w:tcBorders>
          </w:tcPr>
          <w:p w14:paraId="7DF613C1" w14:textId="77777777" w:rsidR="005A5FCC" w:rsidRDefault="00A21C81">
            <w:pPr>
              <w:spacing w:before="20" w:after="20" w:line="240" w:lineRule="auto"/>
              <w:jc w:val="left"/>
            </w:pPr>
            <w:r>
              <w:rPr>
                <w:rFonts w:cs="EB Garamond"/>
                <w:kern w:val="16"/>
                <w:sz w:val="18"/>
                <w14:ligatures w14:val="standardContextual"/>
              </w:rPr>
              <w:t>Lei 11.770</w:t>
            </w:r>
          </w:p>
        </w:tc>
        <w:tc>
          <w:tcPr>
            <w:tcW w:w="2117" w:type="dxa"/>
            <w:tcBorders>
              <w:top w:val="single" w:sz="4" w:space="0" w:color="D2C9B8"/>
              <w:left w:val="single" w:sz="4" w:space="0" w:color="D2C9B8"/>
              <w:bottom w:val="single" w:sz="4" w:space="0" w:color="D2C9B8"/>
              <w:right w:val="single" w:sz="4" w:space="0" w:color="D2C9B8"/>
            </w:tcBorders>
          </w:tcPr>
          <w:p w14:paraId="6460DD6E" w14:textId="77777777" w:rsidR="005A5FCC" w:rsidRDefault="00A21C81">
            <w:pPr>
              <w:spacing w:before="20" w:after="20" w:line="240" w:lineRule="auto"/>
              <w:jc w:val="left"/>
            </w:pPr>
            <w:r>
              <w:rPr>
                <w:rFonts w:cs="EB Garamond"/>
                <w:kern w:val="16"/>
                <w:sz w:val="18"/>
                <w14:ligatures w14:val="standardContextual"/>
              </w:rPr>
              <w:t>Empresa Cidadã (prorrogação para 180 dias)</w:t>
            </w:r>
          </w:p>
        </w:tc>
      </w:tr>
      <w:tr w:rsidR="005A5FCC" w14:paraId="2FF8DDE3"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0773DB75" w14:textId="77777777" w:rsidR="005A5FCC" w:rsidRDefault="00A21C81">
            <w:pPr>
              <w:spacing w:before="20" w:after="20" w:line="240" w:lineRule="auto"/>
              <w:jc w:val="left"/>
            </w:pPr>
            <w:r>
              <w:rPr>
                <w:rFonts w:cs="EB Garamond"/>
                <w:kern w:val="16"/>
                <w:sz w:val="18"/>
                <w14:ligatures w14:val="standardContextual"/>
              </w:rPr>
              <w:t>2013</w:t>
            </w:r>
          </w:p>
        </w:tc>
        <w:tc>
          <w:tcPr>
            <w:tcW w:w="2117" w:type="dxa"/>
            <w:tcBorders>
              <w:top w:val="single" w:sz="4" w:space="0" w:color="D2C9B8"/>
              <w:left w:val="single" w:sz="4" w:space="0" w:color="D2C9B8"/>
              <w:bottom w:val="single" w:sz="4" w:space="0" w:color="D2C9B8"/>
              <w:right w:val="single" w:sz="4" w:space="0" w:color="D2C9B8"/>
            </w:tcBorders>
          </w:tcPr>
          <w:p w14:paraId="02B6C37E" w14:textId="77777777" w:rsidR="005A5FCC" w:rsidRDefault="00A21C81">
            <w:pPr>
              <w:spacing w:before="20" w:after="20" w:line="240" w:lineRule="auto"/>
              <w:jc w:val="left"/>
            </w:pPr>
            <w:r>
              <w:rPr>
                <w:rFonts w:cs="EB Garamond"/>
                <w:kern w:val="16"/>
                <w:sz w:val="18"/>
                <w14:ligatures w14:val="standardContextual"/>
              </w:rPr>
              <w:t>Lei 12.873</w:t>
            </w:r>
          </w:p>
        </w:tc>
        <w:tc>
          <w:tcPr>
            <w:tcW w:w="2117" w:type="dxa"/>
            <w:tcBorders>
              <w:top w:val="single" w:sz="4" w:space="0" w:color="D2C9B8"/>
              <w:left w:val="single" w:sz="4" w:space="0" w:color="D2C9B8"/>
              <w:bottom w:val="single" w:sz="4" w:space="0" w:color="D2C9B8"/>
              <w:right w:val="single" w:sz="4" w:space="0" w:color="D2C9B8"/>
            </w:tcBorders>
          </w:tcPr>
          <w:p w14:paraId="38765DCA" w14:textId="77777777" w:rsidR="005A5FCC" w:rsidRDefault="00A21C81">
            <w:pPr>
              <w:spacing w:before="20" w:after="20" w:line="240" w:lineRule="auto"/>
              <w:jc w:val="left"/>
            </w:pPr>
            <w:r>
              <w:rPr>
                <w:rFonts w:cs="EB Garamond"/>
                <w:kern w:val="16"/>
                <w:sz w:val="18"/>
                <w14:ligatures w14:val="standardContextual"/>
              </w:rPr>
              <w:t>Adotante sem distinção de sexo; cônjuge sobrevivente</w:t>
            </w:r>
          </w:p>
        </w:tc>
      </w:tr>
      <w:tr w:rsidR="005A5FCC" w14:paraId="4D6EA94D"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79650D3A" w14:textId="77777777" w:rsidR="005A5FCC" w:rsidRDefault="00A21C81">
            <w:pPr>
              <w:spacing w:before="20" w:after="20" w:line="240" w:lineRule="auto"/>
              <w:jc w:val="left"/>
            </w:pPr>
            <w:r>
              <w:rPr>
                <w:rFonts w:cs="EB Garamond"/>
                <w:kern w:val="16"/>
                <w:sz w:val="18"/>
                <w14:ligatures w14:val="standardContextual"/>
              </w:rPr>
              <w:t>2015</w:t>
            </w:r>
          </w:p>
        </w:tc>
        <w:tc>
          <w:tcPr>
            <w:tcW w:w="2117" w:type="dxa"/>
            <w:tcBorders>
              <w:top w:val="single" w:sz="4" w:space="0" w:color="D2C9B8"/>
              <w:left w:val="single" w:sz="4" w:space="0" w:color="D2C9B8"/>
              <w:bottom w:val="single" w:sz="4" w:space="0" w:color="D2C9B8"/>
              <w:right w:val="single" w:sz="4" w:space="0" w:color="D2C9B8"/>
            </w:tcBorders>
          </w:tcPr>
          <w:p w14:paraId="34B95A04" w14:textId="77777777" w:rsidR="005A5FCC" w:rsidRDefault="00A21C81">
            <w:pPr>
              <w:spacing w:before="20" w:after="20" w:line="240" w:lineRule="auto"/>
              <w:jc w:val="left"/>
            </w:pPr>
            <w:r>
              <w:rPr>
                <w:rFonts w:cs="EB Garamond"/>
                <w:kern w:val="16"/>
                <w:sz w:val="18"/>
                <w14:ligatures w14:val="standardContextual"/>
              </w:rPr>
              <w:t>LC 150</w:t>
            </w:r>
          </w:p>
        </w:tc>
        <w:tc>
          <w:tcPr>
            <w:tcW w:w="2117" w:type="dxa"/>
            <w:tcBorders>
              <w:top w:val="single" w:sz="4" w:space="0" w:color="D2C9B8"/>
              <w:left w:val="single" w:sz="4" w:space="0" w:color="D2C9B8"/>
              <w:bottom w:val="single" w:sz="4" w:space="0" w:color="D2C9B8"/>
              <w:right w:val="single" w:sz="4" w:space="0" w:color="D2C9B8"/>
            </w:tcBorders>
          </w:tcPr>
          <w:p w14:paraId="45BF0D51" w14:textId="77777777" w:rsidR="005A5FCC" w:rsidRDefault="00A21C81">
            <w:pPr>
              <w:spacing w:before="20" w:after="20" w:line="240" w:lineRule="auto"/>
              <w:jc w:val="left"/>
            </w:pPr>
            <w:r>
              <w:rPr>
                <w:rFonts w:cs="EB Garamond"/>
                <w:kern w:val="16"/>
                <w:sz w:val="18"/>
                <w14:ligatures w14:val="standardContextual"/>
              </w:rPr>
              <w:t>Empregada doméstica — INSS paga diretamente</w:t>
            </w:r>
          </w:p>
        </w:tc>
      </w:tr>
      <w:tr w:rsidR="005A5FCC" w14:paraId="32DAED61"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2961D6C0" w14:textId="77777777" w:rsidR="005A5FCC" w:rsidRDefault="00A21C81">
            <w:pPr>
              <w:spacing w:before="20" w:after="20" w:line="240" w:lineRule="auto"/>
              <w:jc w:val="left"/>
            </w:pPr>
            <w:r>
              <w:rPr>
                <w:rFonts w:cs="EB Garamond"/>
                <w:kern w:val="16"/>
                <w:sz w:val="18"/>
                <w14:ligatures w14:val="standardContextual"/>
              </w:rPr>
              <w:t>2022</w:t>
            </w:r>
          </w:p>
        </w:tc>
        <w:tc>
          <w:tcPr>
            <w:tcW w:w="2117" w:type="dxa"/>
            <w:tcBorders>
              <w:top w:val="single" w:sz="4" w:space="0" w:color="D2C9B8"/>
              <w:left w:val="single" w:sz="4" w:space="0" w:color="D2C9B8"/>
              <w:bottom w:val="single" w:sz="4" w:space="0" w:color="D2C9B8"/>
              <w:right w:val="single" w:sz="4" w:space="0" w:color="D2C9B8"/>
            </w:tcBorders>
          </w:tcPr>
          <w:p w14:paraId="29784D2E" w14:textId="77777777" w:rsidR="005A5FCC" w:rsidRDefault="00A21C81">
            <w:pPr>
              <w:spacing w:before="20" w:after="20" w:line="240" w:lineRule="auto"/>
              <w:jc w:val="left"/>
            </w:pPr>
            <w:r>
              <w:rPr>
                <w:rFonts w:cs="EB Garamond"/>
                <w:kern w:val="16"/>
                <w:sz w:val="18"/>
                <w14:ligatures w14:val="standardContextual"/>
              </w:rPr>
              <w:t>Lei 14.457</w:t>
            </w:r>
          </w:p>
        </w:tc>
        <w:tc>
          <w:tcPr>
            <w:tcW w:w="2117" w:type="dxa"/>
            <w:tcBorders>
              <w:top w:val="single" w:sz="4" w:space="0" w:color="D2C9B8"/>
              <w:left w:val="single" w:sz="4" w:space="0" w:color="D2C9B8"/>
              <w:bottom w:val="single" w:sz="4" w:space="0" w:color="D2C9B8"/>
              <w:right w:val="single" w:sz="4" w:space="0" w:color="D2C9B8"/>
            </w:tcBorders>
          </w:tcPr>
          <w:p w14:paraId="0735B7DA" w14:textId="77777777" w:rsidR="005A5FCC" w:rsidRDefault="00A21C81">
            <w:pPr>
              <w:spacing w:before="20" w:after="20" w:line="240" w:lineRule="auto"/>
              <w:jc w:val="left"/>
            </w:pPr>
            <w:r>
              <w:rPr>
                <w:rFonts w:cs="EB Garamond"/>
                <w:kern w:val="16"/>
                <w:sz w:val="18"/>
                <w14:ligatures w14:val="standardContextual"/>
              </w:rPr>
              <w:t>Programa Emprega + Mulheres</w:t>
            </w:r>
          </w:p>
        </w:tc>
      </w:tr>
      <w:tr w:rsidR="005A5FCC" w14:paraId="2D517A2B"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13D16B26" w14:textId="77777777" w:rsidR="005A5FCC" w:rsidRDefault="00A21C81">
            <w:pPr>
              <w:spacing w:before="20" w:after="20" w:line="240" w:lineRule="auto"/>
              <w:jc w:val="left"/>
            </w:pPr>
            <w:r>
              <w:rPr>
                <w:rFonts w:cs="EB Garamond"/>
                <w:kern w:val="16"/>
                <w:sz w:val="18"/>
                <w14:ligatures w14:val="standardContextual"/>
              </w:rPr>
              <w:t>2024</w:t>
            </w:r>
          </w:p>
        </w:tc>
        <w:tc>
          <w:tcPr>
            <w:tcW w:w="2117" w:type="dxa"/>
            <w:tcBorders>
              <w:top w:val="single" w:sz="4" w:space="0" w:color="D2C9B8"/>
              <w:left w:val="single" w:sz="4" w:space="0" w:color="D2C9B8"/>
              <w:bottom w:val="single" w:sz="4" w:space="0" w:color="D2C9B8"/>
              <w:right w:val="single" w:sz="4" w:space="0" w:color="D2C9B8"/>
            </w:tcBorders>
          </w:tcPr>
          <w:p w14:paraId="64083A2A" w14:textId="77777777" w:rsidR="005A5FCC" w:rsidRDefault="00A21C81">
            <w:pPr>
              <w:spacing w:before="20" w:after="20" w:line="240" w:lineRule="auto"/>
              <w:jc w:val="left"/>
            </w:pPr>
            <w:r>
              <w:rPr>
                <w:rFonts w:cs="EB Garamond"/>
                <w:kern w:val="16"/>
                <w:sz w:val="18"/>
                <w14:ligatures w14:val="standardContextual"/>
              </w:rPr>
              <w:t>STF ADIs 2.110/2.111</w:t>
            </w:r>
          </w:p>
        </w:tc>
        <w:tc>
          <w:tcPr>
            <w:tcW w:w="2117" w:type="dxa"/>
            <w:tcBorders>
              <w:top w:val="single" w:sz="4" w:space="0" w:color="D2C9B8"/>
              <w:left w:val="single" w:sz="4" w:space="0" w:color="D2C9B8"/>
              <w:bottom w:val="single" w:sz="4" w:space="0" w:color="D2C9B8"/>
              <w:right w:val="single" w:sz="4" w:space="0" w:color="D2C9B8"/>
            </w:tcBorders>
          </w:tcPr>
          <w:p w14:paraId="2AAC414A" w14:textId="77777777" w:rsidR="005A5FCC" w:rsidRDefault="00A21C81">
            <w:pPr>
              <w:spacing w:before="20" w:after="20" w:line="240" w:lineRule="auto"/>
              <w:jc w:val="left"/>
            </w:pPr>
            <w:r>
              <w:rPr>
                <w:rFonts w:cs="EB Garamond"/>
                <w:kern w:val="16"/>
                <w:sz w:val="18"/>
                <w14:ligatures w14:val="standardContextual"/>
              </w:rPr>
              <w:t>Carência inconstitucional, dispensada para todas</w:t>
            </w:r>
          </w:p>
        </w:tc>
      </w:tr>
      <w:tr w:rsidR="005A5FCC" w14:paraId="1992DE6E"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29C885A2" w14:textId="77777777" w:rsidR="005A5FCC" w:rsidRDefault="00A21C81">
            <w:pPr>
              <w:spacing w:before="20" w:after="20" w:line="240" w:lineRule="auto"/>
              <w:jc w:val="left"/>
            </w:pPr>
            <w:r>
              <w:rPr>
                <w:rFonts w:cs="EB Garamond"/>
                <w:kern w:val="16"/>
                <w:sz w:val="18"/>
                <w14:ligatures w14:val="standardContextual"/>
              </w:rPr>
              <w:t>2025</w:t>
            </w:r>
          </w:p>
        </w:tc>
        <w:tc>
          <w:tcPr>
            <w:tcW w:w="2117" w:type="dxa"/>
            <w:tcBorders>
              <w:top w:val="single" w:sz="4" w:space="0" w:color="D2C9B8"/>
              <w:left w:val="single" w:sz="4" w:space="0" w:color="D2C9B8"/>
              <w:bottom w:val="single" w:sz="4" w:space="0" w:color="D2C9B8"/>
              <w:right w:val="single" w:sz="4" w:space="0" w:color="D2C9B8"/>
            </w:tcBorders>
          </w:tcPr>
          <w:p w14:paraId="0CBB72AB" w14:textId="77777777" w:rsidR="005A5FCC" w:rsidRDefault="00A21C81">
            <w:pPr>
              <w:spacing w:before="20" w:after="20" w:line="240" w:lineRule="auto"/>
              <w:jc w:val="left"/>
            </w:pPr>
            <w:r>
              <w:rPr>
                <w:rFonts w:cs="EB Garamond"/>
                <w:kern w:val="16"/>
                <w:sz w:val="18"/>
                <w14:ligatures w14:val="standardContextual"/>
              </w:rPr>
              <w:t>IN INSS 188</w:t>
            </w:r>
          </w:p>
        </w:tc>
        <w:tc>
          <w:tcPr>
            <w:tcW w:w="2117" w:type="dxa"/>
            <w:tcBorders>
              <w:top w:val="single" w:sz="4" w:space="0" w:color="D2C9B8"/>
              <w:left w:val="single" w:sz="4" w:space="0" w:color="D2C9B8"/>
              <w:bottom w:val="single" w:sz="4" w:space="0" w:color="D2C9B8"/>
              <w:right w:val="single" w:sz="4" w:space="0" w:color="D2C9B8"/>
            </w:tcBorders>
          </w:tcPr>
          <w:p w14:paraId="0E2AC34B" w14:textId="77777777" w:rsidR="005A5FCC" w:rsidRDefault="00A21C81">
            <w:pPr>
              <w:spacing w:before="20" w:after="20" w:line="240" w:lineRule="auto"/>
              <w:jc w:val="left"/>
            </w:pPr>
            <w:r>
              <w:rPr>
                <w:rFonts w:cs="EB Garamond"/>
                <w:kern w:val="16"/>
                <w:sz w:val="18"/>
                <w14:ligatures w14:val="standardContextual"/>
              </w:rPr>
              <w:t>Regulamentação da dispensa de carência</w:t>
            </w:r>
          </w:p>
        </w:tc>
      </w:tr>
    </w:tbl>
    <w:p w14:paraId="326BCEB2" w14:textId="77777777" w:rsidR="005A5FCC" w:rsidRDefault="005A5FCC">
      <w:pPr>
        <w:spacing w:after="80" w:line="240" w:lineRule="auto"/>
      </w:pPr>
    </w:p>
    <w:p w14:paraId="6CE546FF"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32E197A7" w14:textId="77777777" w:rsidR="005A5FCC" w:rsidRDefault="00A21C81">
      <w:r>
        <w:rPr>
          <w:rFonts w:cs="EB Garamond"/>
          <w:kern w:val="16"/>
          <w14:ligatures w14:val="standardContextual"/>
        </w:rPr>
        <w:t xml:space="preserve"> evolução legislativa do salário-maternidade revela um padrão consistente de ampliação progressiva. Cada reforma ampliou o universo de beneficiárias, a duração do benefício ou as situações cobertas. A tendência aponta para a universalização plena, qualquer pessoa com qualidade de segurada que assuma os cuidados de uma criança recém-nascida ou recém-adotada tende a ser contemplada pelo benefício, independentemente do sexo, da orientação sexual ou da forma de constituição familiar.</w:t>
      </w:r>
    </w:p>
    <w:p w14:paraId="1383B49E"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13.3 Fatos geradores</w:t>
      </w:r>
    </w:p>
    <w:p w14:paraId="3EB4C7CC"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3861B201" w14:textId="77777777" w:rsidR="005A5FCC" w:rsidRDefault="00A21C81">
      <w:r>
        <w:rPr>
          <w:rFonts w:cs="EB Garamond"/>
          <w:kern w:val="16"/>
          <w14:ligatures w14:val="standardContextual"/>
        </w:rPr>
        <w:t xml:space="preserve"> salário-maternidade pode ser concedido em razão de cinco fatos geradores distintos, cada qual com regras próprias quanto à duração, à documentação e ao momento de início do benefício. O legislador adotou a expressão "proteção à maternidade" em sentido amplo, abrangendo não apenas a gestação e o parto biológico, mas também a formação de vínculo familiar pela via da adoção — e, mais recentemente, pela via da gestação por substituição, embora esta última ainda careça de regulamentação legal expressa.</w:t>
      </w:r>
    </w:p>
    <w:p w14:paraId="16F6A27D" w14:textId="77777777" w:rsidR="005A5FCC" w:rsidRDefault="00A21C81">
      <w:pPr>
        <w:spacing w:before="260" w:after="80" w:line="240" w:lineRule="auto"/>
        <w:jc w:val="left"/>
      </w:pPr>
      <w:r>
        <w:rPr>
          <w:rFonts w:cs="EB Garamond"/>
          <w:b/>
          <w:color w:val="3A3128"/>
          <w:kern w:val="16"/>
          <w:sz w:val="25"/>
          <w14:ligatures w14:val="standardContextual"/>
        </w:rPr>
        <w:lastRenderedPageBreak/>
        <w:t>13.3.1 Parto</w:t>
      </w:r>
    </w:p>
    <w:p w14:paraId="0EC44BE3"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1B9FF8F7" w14:textId="77777777" w:rsidR="005A5FCC" w:rsidRDefault="00A21C81">
      <w:r>
        <w:rPr>
          <w:rFonts w:cs="EB Garamond"/>
          <w:kern w:val="16"/>
          <w14:ligatures w14:val="standardContextual"/>
        </w:rPr>
        <w:t xml:space="preserve"> parto constitui o fato gerador primário e mais frequente do salário-maternidade. Nos termos do art. 71 da Lei 8.213/91, o benefício é devido durante cento e vinte dias, com início no período entre vinte e oito dias antes do parto e a data de ocorrência deste. Na prática, a segurada pode requerer o benefício a partir do vigésimo oitavo dia anterior à data prevista do parto (mediante atestado médico) ou a partir da data do parto efetivo.</w:t>
      </w:r>
    </w:p>
    <w:p w14:paraId="631EE9BB" w14:textId="77777777" w:rsidR="005A5FCC" w:rsidRDefault="00A21C81">
      <w:pPr>
        <w:ind w:firstLine="238"/>
      </w:pPr>
      <w:r>
        <w:rPr>
          <w:rFonts w:cs="EB Garamond"/>
          <w:kern w:val="16"/>
          <w14:ligatures w14:val="standardContextual"/>
        </w:rPr>
        <w:t>A definição do momento inicial do benefício é relevante para o planejamento da segurada. A antecipação de vinte e oito dias permite que gestantes em situação de risco, com dificuldade de deslocamento ou em atividades incompatíveis com a gestação avançada, afastem-se antes do parto sem perda de remuneração. Na atuação forense, a maioria das empregadas celetistas opta por iniciar o benefício na data do parto (ou alguns dias antes, conforme orientação médica), enquanto contribuintes individuais e seguradas especiais, que não têm estabilidade empregatícia, tendem a requerer o benefício após o parto.</w:t>
      </w:r>
    </w:p>
    <w:p w14:paraId="33F98825" w14:textId="77777777" w:rsidR="005A5FCC" w:rsidRDefault="00A21C81">
      <w:pPr>
        <w:ind w:firstLine="238"/>
      </w:pPr>
      <w:r>
        <w:rPr>
          <w:rFonts w:cs="EB Garamond"/>
          <w:kern w:val="16"/>
          <w14:ligatures w14:val="standardContextual"/>
        </w:rPr>
        <w:t>O conceito de parto para fins previdenciários é mais amplo que o conceito obstétrico. O art. 294, §3º, da Instrução Normativa INSS 77/2015 considera parto o evento ocorrente a partir da vigésima terceira semana de gestação (sexto mês), inclusive em caso de natimorto. Assim, a expulsão fetal a partir da vigésima terceira semana, mesmo sem sinais de vida, é juridicamente equiparada ao parto e gera direito ao salário-maternidade integral de cento e vinte dias.</w:t>
      </w:r>
    </w:p>
    <w:p w14:paraId="06E8CBC9" w14:textId="77777777" w:rsidR="005A5FCC" w:rsidRDefault="00A21C81">
      <w:pPr>
        <w:ind w:firstLine="238"/>
      </w:pPr>
      <w:r>
        <w:rPr>
          <w:rFonts w:cs="EB Garamond"/>
          <w:kern w:val="16"/>
          <w14:ligatures w14:val="standardContextual"/>
        </w:rPr>
        <w:t>O parto prematuro, independentemente da idade gestacional (desde que a partir da vigésima terceira semana), assegura o benefício integral. A gestação múltipla (gêmeos, trigêmeos) não altera a duração: o benefício é de cento e vinte dias independentemente do número de nascituros, porque o fato gerador é o parto, não o nascimento individual de cada criança.</w:t>
      </w:r>
    </w:p>
    <w:p w14:paraId="2BDE976B" w14:textId="77777777" w:rsidR="005A5FCC" w:rsidRDefault="00A21C81">
      <w:pPr>
        <w:ind w:firstLine="238"/>
      </w:pPr>
      <w:r>
        <w:rPr>
          <w:rFonts w:cs="EB Garamond"/>
          <w:kern w:val="16"/>
          <w14:ligatures w14:val="standardContextual"/>
        </w:rPr>
        <w:t>O parto realizado por cesárea segue as mesmas regras do parto normal. A via de nascimento não altera a duração nem as condições do benefício. A única particularidade é médica: complicações pós-cesárea podem justificar a prorrogação excepcional prevista no art. 93, §3º, do Decreto 3.048/99.</w:t>
      </w:r>
    </w:p>
    <w:p w14:paraId="15639C98" w14:textId="77777777" w:rsidR="005A5FCC" w:rsidRDefault="00A21C81">
      <w:pPr>
        <w:ind w:firstLine="238"/>
      </w:pPr>
      <w:r>
        <w:rPr>
          <w:rFonts w:cs="EB Garamond"/>
          <w:kern w:val="16"/>
          <w14:ligatures w14:val="standardContextual"/>
        </w:rPr>
        <w:t xml:space="preserve">A prova do parto é feita pela certidão de nascimento do filho ou, no caso de natimorto, pela certidão de óbito fetal. Para requerimento anterior ao parto (a </w:t>
      </w:r>
      <w:r>
        <w:rPr>
          <w:rFonts w:cs="EB Garamond"/>
          <w:kern w:val="16"/>
          <w14:ligatures w14:val="standardContextual"/>
        </w:rPr>
        <w:lastRenderedPageBreak/>
        <w:t>partir de 28 dias antes), exige-se atestado médico indicando a data provável do parto. A Declaração de Nascido Vivo (DNV), emitida pelo hospital, é aceita como prova provisória enquanto a certidão de nascimento não é registrada no Cartório de Registro Civil.</w:t>
      </w:r>
    </w:p>
    <w:p w14:paraId="297B39F4" w14:textId="77777777" w:rsidR="005A5FCC" w:rsidRDefault="00A21C81">
      <w:pPr>
        <w:spacing w:before="260" w:after="80" w:line="240" w:lineRule="auto"/>
        <w:jc w:val="left"/>
      </w:pPr>
      <w:r>
        <w:rPr>
          <w:rFonts w:cs="EB Garamond"/>
          <w:b/>
          <w:color w:val="3A3128"/>
          <w:kern w:val="16"/>
          <w:sz w:val="25"/>
          <w14:ligatures w14:val="standardContextual"/>
        </w:rPr>
        <w:t>13.3.2 Adoção e guarda judicial para fins de adoção</w:t>
      </w:r>
    </w:p>
    <w:p w14:paraId="776B0B19"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6095A688" w14:textId="77777777" w:rsidR="005A5FCC" w:rsidRDefault="00A21C81">
      <w:r>
        <w:rPr>
          <w:rFonts w:cs="EB Garamond"/>
          <w:kern w:val="16"/>
          <w14:ligatures w14:val="standardContextual"/>
        </w:rPr>
        <w:t xml:space="preserve"> adoção e a guarda judicial para fins de adoção geram direito ao salário-maternidade de 120 dias, independentemente da idade do adotando (até 12 anos), nos termos do art. 71-A da Lei 8.213/91 (Lei 12.873/2013). O benefício é único por processo de adoção, vedada a concessão a mais de um segurado pelo mesmo fato gerador (art. 71-A, § 2º). A evolução legislativa, a documentação exigida, as particularidades da adoção internacional e da adoção tardia são examinadas em profundidade na seção 13.11, infra.</w:t>
      </w:r>
    </w:p>
    <w:p w14:paraId="68229156" w14:textId="77777777" w:rsidR="005A5FCC" w:rsidRDefault="00A21C81">
      <w:pPr>
        <w:spacing w:before="260" w:after="80" w:line="240" w:lineRule="auto"/>
        <w:jc w:val="left"/>
      </w:pPr>
      <w:r>
        <w:rPr>
          <w:rFonts w:cs="EB Garamond"/>
          <w:b/>
          <w:color w:val="3A3128"/>
          <w:kern w:val="16"/>
          <w:sz w:val="25"/>
          <w14:ligatures w14:val="standardContextual"/>
        </w:rPr>
        <w:t>13.3.3 Aborto não criminoso</w:t>
      </w:r>
    </w:p>
    <w:p w14:paraId="112E7998"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3EFB7E88" w14:textId="77777777" w:rsidR="005A5FCC" w:rsidRDefault="00A21C81">
      <w:r>
        <w:rPr>
          <w:rFonts w:cs="EB Garamond"/>
          <w:kern w:val="16"/>
          <w14:ligatures w14:val="standardContextual"/>
        </w:rPr>
        <w:t xml:space="preserve"> aborto não criminoso — espontâneo ou nas hipóteses legalmente autorizadas (art. 128 do Código Penal: risco de vida para a gestante e gravidez resultante de estupro) — gera direito ao salário-maternidade pelo período de duas semanas (quatorze dias), nos termos do art. 93, §5º, do Decreto 3.048/99. A comprovação se faz mediante atestado médico.</w:t>
      </w:r>
    </w:p>
    <w:p w14:paraId="5131F7BB" w14:textId="77777777" w:rsidR="005A5FCC" w:rsidRDefault="00A21C81">
      <w:pPr>
        <w:ind w:firstLine="238"/>
      </w:pPr>
      <w:r>
        <w:rPr>
          <w:rFonts w:cs="EB Garamond"/>
          <w:kern w:val="16"/>
          <w14:ligatures w14:val="standardContextual"/>
        </w:rPr>
        <w:t>O aborto espontâneo ocorrido antes da vigésima terceira semana de gestação é classificado como aborto para fins previdenciários, gerando o benefício reduzido de quatorze dias. Se ocorrido a partir da vigésima terceira semana, é juridicamente equiparado ao parto de natimorto, e o benefício será o integral de cento e vinte dias.</w:t>
      </w:r>
    </w:p>
    <w:p w14:paraId="04F98FFD" w14:textId="77777777" w:rsidR="005A5FCC" w:rsidRDefault="00A21C81">
      <w:pPr>
        <w:ind w:firstLine="238"/>
      </w:pPr>
      <w:r>
        <w:rPr>
          <w:rFonts w:cs="EB Garamond"/>
          <w:kern w:val="16"/>
          <w14:ligatures w14:val="standardContextual"/>
        </w:rPr>
        <w:t>O prazo de quatorze dias para aborto não criminoso é frequentemente criticado pela doutrina como insuficiente, especialmente nos casos de aborto espontâneo tardio (entre a décima segunda e a vigésima segunda semana), que envolve procedimento médico mais complexo e maior impacto emocional. Há projetos de lei em tramitação para estender esse prazo, mas até o momento prevalece a regra de duas semanas.</w:t>
      </w:r>
    </w:p>
    <w:p w14:paraId="75158239" w14:textId="77777777" w:rsidR="005A5FCC" w:rsidRDefault="00A21C81">
      <w:pPr>
        <w:ind w:firstLine="238"/>
      </w:pPr>
      <w:r>
        <w:rPr>
          <w:rFonts w:cs="EB Garamond"/>
          <w:kern w:val="16"/>
          <w14:ligatures w14:val="standardContextual"/>
        </w:rPr>
        <w:lastRenderedPageBreak/>
        <w:t>Para fins probatórios, o atestado médico deve indicar expressamente que se trata de aborto não criminoso, a idade gestacional e a data do evento. O INSS não exige boletim de ocorrência policial nem qualquer prova sobre a licitude do aborto; a presunção é de que o aborto comprovado por atestado médico é não criminoso, cabendo ao Ministério Público eventual investigação criminal, e não ao INSS.</w:t>
      </w:r>
    </w:p>
    <w:p w14:paraId="5531B014" w14:textId="77777777" w:rsidR="005A5FCC" w:rsidRDefault="00A21C81">
      <w:pPr>
        <w:spacing w:before="260" w:after="80" w:line="240" w:lineRule="auto"/>
        <w:jc w:val="left"/>
      </w:pPr>
      <w:r>
        <w:rPr>
          <w:rFonts w:cs="EB Garamond"/>
          <w:b/>
          <w:color w:val="3A3128"/>
          <w:kern w:val="16"/>
          <w:sz w:val="25"/>
          <w14:ligatures w14:val="standardContextual"/>
        </w:rPr>
        <w:t>13.3.4 Natimorto</w:t>
      </w:r>
    </w:p>
    <w:p w14:paraId="6E3CD45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2EAB0F15" w14:textId="77777777" w:rsidR="005A5FCC" w:rsidRDefault="00A21C81">
      <w:r>
        <w:rPr>
          <w:rFonts w:cs="EB Garamond"/>
          <w:kern w:val="16"/>
          <w14:ligatures w14:val="standardContextual"/>
        </w:rPr>
        <w:t xml:space="preserve"> parto de natimorto, nascimento sem vida a partir da vigésima terceira semana de gestação, é equiparado ao parto para todos os efeitos previdenciários. A segurada tem direito aos cento e vinte dias integrais de salário-maternidade. O fundamento é humanitário: a gestante que passou por todo o processo gestacional e sofreu a perda do filho necessita do mesmo período de recuperação física e emocional, além de cuidados médicos pós-parto idênticos.</w:t>
      </w:r>
    </w:p>
    <w:p w14:paraId="736E6DAB" w14:textId="77777777" w:rsidR="005A5FCC" w:rsidRDefault="00A21C81">
      <w:pPr>
        <w:ind w:firstLine="238"/>
      </w:pPr>
      <w:r>
        <w:rPr>
          <w:rFonts w:cs="EB Garamond"/>
          <w:kern w:val="16"/>
          <w14:ligatures w14:val="standardContextual"/>
        </w:rPr>
        <w:t>A prova é feita pela certidão de natimorto, expedida pelo Cartório de Registro Civil com base na Declaração de Óbito Fetal emitida pelo hospital ou médico responsável pelo parto.</w:t>
      </w:r>
    </w:p>
    <w:p w14:paraId="6E723F8A" w14:textId="77777777" w:rsidR="005A5FCC" w:rsidRDefault="00A21C81">
      <w:pPr>
        <w:ind w:firstLine="238"/>
      </w:pPr>
      <w:r>
        <w:rPr>
          <w:rFonts w:cs="EB Garamond"/>
          <w:kern w:val="16"/>
          <w14:ligatures w14:val="standardContextual"/>
        </w:rPr>
        <w:t>Na prática dos Juizados Especiais Federais, o indeferimento administrativo do salário-maternidade por natimorto é relativamente raro, pois o INSS reconhece administrativamente esse direito. As demandas judiciais nessa matéria costumam envolver questões de qualidade de segurada ou controvérsia sobre a idade gestacional (se configuraria aborto ou natimorto).</w:t>
      </w:r>
    </w:p>
    <w:tbl>
      <w:tblPr>
        <w:tblW w:w="5000" w:type="pct"/>
        <w:jc w:val="center"/>
        <w:tblLook w:val="04A0" w:firstRow="1" w:lastRow="0" w:firstColumn="1" w:lastColumn="0" w:noHBand="0" w:noVBand="1"/>
      </w:tblPr>
      <w:tblGrid>
        <w:gridCol w:w="1585"/>
        <w:gridCol w:w="1584"/>
        <w:gridCol w:w="1585"/>
        <w:gridCol w:w="1586"/>
      </w:tblGrid>
      <w:tr w:rsidR="005A5FCC" w14:paraId="1253AB06" w14:textId="77777777">
        <w:trPr>
          <w:tblHeader/>
          <w:jc w:val="center"/>
        </w:trPr>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2FFC8C3E" w14:textId="77777777" w:rsidR="005A5FCC" w:rsidRDefault="00A21C81">
            <w:pPr>
              <w:spacing w:before="40" w:after="40" w:line="240" w:lineRule="auto"/>
              <w:jc w:val="center"/>
            </w:pPr>
            <w:r>
              <w:rPr>
                <w:rFonts w:cs="EB Garamond"/>
                <w:b/>
                <w:color w:val="2F2923"/>
                <w:kern w:val="16"/>
                <w:sz w:val="18"/>
                <w14:ligatures w14:val="standardContextual"/>
              </w:rPr>
              <w:t>Fato gerador</w:t>
            </w:r>
          </w:p>
        </w:tc>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069CEAC9" w14:textId="77777777" w:rsidR="005A5FCC" w:rsidRDefault="00A21C81">
            <w:pPr>
              <w:spacing w:before="40" w:after="40" w:line="240" w:lineRule="auto"/>
              <w:jc w:val="center"/>
            </w:pPr>
            <w:r>
              <w:rPr>
                <w:rFonts w:cs="EB Garamond"/>
                <w:b/>
                <w:color w:val="2F2923"/>
                <w:kern w:val="16"/>
                <w:sz w:val="18"/>
                <w14:ligatures w14:val="standardContextual"/>
              </w:rPr>
              <w:t>Duração</w:t>
            </w:r>
          </w:p>
        </w:tc>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4CE7E6B4" w14:textId="77777777" w:rsidR="005A5FCC" w:rsidRDefault="00A21C81">
            <w:pPr>
              <w:spacing w:before="40" w:after="40" w:line="240" w:lineRule="auto"/>
              <w:jc w:val="center"/>
            </w:pPr>
            <w:r>
              <w:rPr>
                <w:rFonts w:cs="EB Garamond"/>
                <w:b/>
                <w:color w:val="2F2923"/>
                <w:kern w:val="16"/>
                <w:sz w:val="18"/>
                <w14:ligatures w14:val="standardContextual"/>
              </w:rPr>
              <w:t>Prova</w:t>
            </w:r>
          </w:p>
        </w:tc>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778A5E61" w14:textId="77777777" w:rsidR="005A5FCC" w:rsidRDefault="00A21C81">
            <w:pPr>
              <w:spacing w:before="40" w:after="40" w:line="240" w:lineRule="auto"/>
              <w:jc w:val="center"/>
            </w:pPr>
            <w:r>
              <w:rPr>
                <w:rFonts w:cs="EB Garamond"/>
                <w:b/>
                <w:color w:val="2F2923"/>
                <w:kern w:val="16"/>
                <w:sz w:val="18"/>
                <w14:ligatures w14:val="standardContextual"/>
              </w:rPr>
              <w:t>Início</w:t>
            </w:r>
          </w:p>
        </w:tc>
      </w:tr>
      <w:tr w:rsidR="005A5FCC" w14:paraId="09E8F124"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2ED4BB5B" w14:textId="77777777" w:rsidR="005A5FCC" w:rsidRDefault="00A21C81">
            <w:pPr>
              <w:spacing w:before="20" w:after="20" w:line="240" w:lineRule="auto"/>
              <w:jc w:val="left"/>
            </w:pPr>
            <w:r>
              <w:rPr>
                <w:rFonts w:cs="EB Garamond"/>
                <w:kern w:val="16"/>
                <w:sz w:val="18"/>
                <w14:ligatures w14:val="standardContextual"/>
              </w:rPr>
              <w:t>Parto</w:t>
            </w:r>
          </w:p>
        </w:tc>
        <w:tc>
          <w:tcPr>
            <w:tcW w:w="1587" w:type="dxa"/>
            <w:tcBorders>
              <w:top w:val="single" w:sz="4" w:space="0" w:color="D2C9B8"/>
              <w:left w:val="single" w:sz="4" w:space="0" w:color="D2C9B8"/>
              <w:bottom w:val="single" w:sz="4" w:space="0" w:color="D2C9B8"/>
              <w:right w:val="single" w:sz="4" w:space="0" w:color="D2C9B8"/>
            </w:tcBorders>
          </w:tcPr>
          <w:p w14:paraId="3224520C" w14:textId="77777777" w:rsidR="005A5FCC" w:rsidRDefault="00A21C81">
            <w:pPr>
              <w:spacing w:before="20" w:after="20" w:line="240" w:lineRule="auto"/>
              <w:jc w:val="left"/>
            </w:pPr>
            <w:r>
              <w:rPr>
                <w:rFonts w:cs="EB Garamond"/>
                <w:kern w:val="16"/>
                <w:sz w:val="18"/>
                <w14:ligatures w14:val="standardContextual"/>
              </w:rPr>
              <w:t>120 dias</w:t>
            </w:r>
          </w:p>
        </w:tc>
        <w:tc>
          <w:tcPr>
            <w:tcW w:w="1587" w:type="dxa"/>
            <w:tcBorders>
              <w:top w:val="single" w:sz="4" w:space="0" w:color="D2C9B8"/>
              <w:left w:val="single" w:sz="4" w:space="0" w:color="D2C9B8"/>
              <w:bottom w:val="single" w:sz="4" w:space="0" w:color="D2C9B8"/>
              <w:right w:val="single" w:sz="4" w:space="0" w:color="D2C9B8"/>
            </w:tcBorders>
          </w:tcPr>
          <w:p w14:paraId="366C74D8" w14:textId="77777777" w:rsidR="005A5FCC" w:rsidRDefault="00A21C81">
            <w:pPr>
              <w:spacing w:before="20" w:after="20" w:line="240" w:lineRule="auto"/>
              <w:jc w:val="left"/>
            </w:pPr>
            <w:r>
              <w:rPr>
                <w:rFonts w:cs="EB Garamond"/>
                <w:kern w:val="16"/>
                <w:sz w:val="18"/>
                <w14:ligatures w14:val="standardContextual"/>
              </w:rPr>
              <w:t>Certidão de nascimento</w:t>
            </w:r>
          </w:p>
        </w:tc>
        <w:tc>
          <w:tcPr>
            <w:tcW w:w="1587" w:type="dxa"/>
            <w:tcBorders>
              <w:top w:val="single" w:sz="4" w:space="0" w:color="D2C9B8"/>
              <w:left w:val="single" w:sz="4" w:space="0" w:color="D2C9B8"/>
              <w:bottom w:val="single" w:sz="4" w:space="0" w:color="D2C9B8"/>
              <w:right w:val="single" w:sz="4" w:space="0" w:color="D2C9B8"/>
            </w:tcBorders>
          </w:tcPr>
          <w:p w14:paraId="79CB5E2E" w14:textId="77777777" w:rsidR="005A5FCC" w:rsidRDefault="00A21C81">
            <w:pPr>
              <w:spacing w:before="20" w:after="20" w:line="240" w:lineRule="auto"/>
              <w:jc w:val="left"/>
            </w:pPr>
            <w:r>
              <w:rPr>
                <w:rFonts w:cs="EB Garamond"/>
                <w:kern w:val="16"/>
                <w:sz w:val="18"/>
                <w14:ligatures w14:val="standardContextual"/>
              </w:rPr>
              <w:t>28 dias antes ou data do parto</w:t>
            </w:r>
          </w:p>
        </w:tc>
      </w:tr>
      <w:tr w:rsidR="005A5FCC" w14:paraId="4061D731"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4877B13E" w14:textId="77777777" w:rsidR="005A5FCC" w:rsidRDefault="00A21C81">
            <w:pPr>
              <w:spacing w:before="20" w:after="20" w:line="240" w:lineRule="auto"/>
              <w:jc w:val="left"/>
            </w:pPr>
            <w:r>
              <w:rPr>
                <w:rFonts w:cs="EB Garamond"/>
                <w:kern w:val="16"/>
                <w:sz w:val="18"/>
                <w14:ligatures w14:val="standardContextual"/>
              </w:rPr>
              <w:t>Adoção</w:t>
            </w:r>
          </w:p>
        </w:tc>
        <w:tc>
          <w:tcPr>
            <w:tcW w:w="1587" w:type="dxa"/>
            <w:tcBorders>
              <w:top w:val="single" w:sz="4" w:space="0" w:color="D2C9B8"/>
              <w:left w:val="single" w:sz="4" w:space="0" w:color="D2C9B8"/>
              <w:bottom w:val="single" w:sz="4" w:space="0" w:color="D2C9B8"/>
              <w:right w:val="single" w:sz="4" w:space="0" w:color="D2C9B8"/>
            </w:tcBorders>
          </w:tcPr>
          <w:p w14:paraId="32D77616" w14:textId="77777777" w:rsidR="005A5FCC" w:rsidRDefault="00A21C81">
            <w:pPr>
              <w:spacing w:before="20" w:after="20" w:line="240" w:lineRule="auto"/>
              <w:jc w:val="left"/>
            </w:pPr>
            <w:r>
              <w:rPr>
                <w:rFonts w:cs="EB Garamond"/>
                <w:kern w:val="16"/>
                <w:sz w:val="18"/>
                <w14:ligatures w14:val="standardContextual"/>
              </w:rPr>
              <w:t>120 dias</w:t>
            </w:r>
          </w:p>
        </w:tc>
        <w:tc>
          <w:tcPr>
            <w:tcW w:w="1587" w:type="dxa"/>
            <w:tcBorders>
              <w:top w:val="single" w:sz="4" w:space="0" w:color="D2C9B8"/>
              <w:left w:val="single" w:sz="4" w:space="0" w:color="D2C9B8"/>
              <w:bottom w:val="single" w:sz="4" w:space="0" w:color="D2C9B8"/>
              <w:right w:val="single" w:sz="4" w:space="0" w:color="D2C9B8"/>
            </w:tcBorders>
          </w:tcPr>
          <w:p w14:paraId="0ED9E650" w14:textId="77777777" w:rsidR="005A5FCC" w:rsidRDefault="00A21C81">
            <w:pPr>
              <w:spacing w:before="20" w:after="20" w:line="240" w:lineRule="auto"/>
              <w:jc w:val="left"/>
            </w:pPr>
            <w:r>
              <w:rPr>
                <w:rFonts w:cs="EB Garamond"/>
                <w:kern w:val="16"/>
                <w:sz w:val="18"/>
                <w14:ligatures w14:val="standardContextual"/>
              </w:rPr>
              <w:t>Sentença de adoção ou termo de guarda</w:t>
            </w:r>
          </w:p>
        </w:tc>
        <w:tc>
          <w:tcPr>
            <w:tcW w:w="1587" w:type="dxa"/>
            <w:tcBorders>
              <w:top w:val="single" w:sz="4" w:space="0" w:color="D2C9B8"/>
              <w:left w:val="single" w:sz="4" w:space="0" w:color="D2C9B8"/>
              <w:bottom w:val="single" w:sz="4" w:space="0" w:color="D2C9B8"/>
              <w:right w:val="single" w:sz="4" w:space="0" w:color="D2C9B8"/>
            </w:tcBorders>
          </w:tcPr>
          <w:p w14:paraId="58654701" w14:textId="77777777" w:rsidR="005A5FCC" w:rsidRDefault="00A21C81">
            <w:pPr>
              <w:spacing w:before="20" w:after="20" w:line="240" w:lineRule="auto"/>
              <w:jc w:val="left"/>
            </w:pPr>
            <w:r>
              <w:rPr>
                <w:rFonts w:cs="EB Garamond"/>
                <w:kern w:val="16"/>
                <w:sz w:val="18"/>
                <w14:ligatures w14:val="standardContextual"/>
              </w:rPr>
              <w:t>Data da sentença/termo</w:t>
            </w:r>
          </w:p>
        </w:tc>
      </w:tr>
      <w:tr w:rsidR="005A5FCC" w14:paraId="5A611540"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048946E0" w14:textId="77777777" w:rsidR="005A5FCC" w:rsidRDefault="00A21C81">
            <w:pPr>
              <w:spacing w:before="20" w:after="20" w:line="240" w:lineRule="auto"/>
              <w:jc w:val="left"/>
            </w:pPr>
            <w:r>
              <w:rPr>
                <w:rFonts w:cs="EB Garamond"/>
                <w:kern w:val="16"/>
                <w:sz w:val="18"/>
                <w14:ligatures w14:val="standardContextual"/>
              </w:rPr>
              <w:t>Guarda judicial</w:t>
            </w:r>
          </w:p>
        </w:tc>
        <w:tc>
          <w:tcPr>
            <w:tcW w:w="1587" w:type="dxa"/>
            <w:tcBorders>
              <w:top w:val="single" w:sz="4" w:space="0" w:color="D2C9B8"/>
              <w:left w:val="single" w:sz="4" w:space="0" w:color="D2C9B8"/>
              <w:bottom w:val="single" w:sz="4" w:space="0" w:color="D2C9B8"/>
              <w:right w:val="single" w:sz="4" w:space="0" w:color="D2C9B8"/>
            </w:tcBorders>
          </w:tcPr>
          <w:p w14:paraId="2170AB36" w14:textId="77777777" w:rsidR="005A5FCC" w:rsidRDefault="00A21C81">
            <w:pPr>
              <w:spacing w:before="20" w:after="20" w:line="240" w:lineRule="auto"/>
              <w:jc w:val="left"/>
            </w:pPr>
            <w:r>
              <w:rPr>
                <w:rFonts w:cs="EB Garamond"/>
                <w:kern w:val="16"/>
                <w:sz w:val="18"/>
                <w14:ligatures w14:val="standardContextual"/>
              </w:rPr>
              <w:t>120 dias</w:t>
            </w:r>
          </w:p>
        </w:tc>
        <w:tc>
          <w:tcPr>
            <w:tcW w:w="1587" w:type="dxa"/>
            <w:tcBorders>
              <w:top w:val="single" w:sz="4" w:space="0" w:color="D2C9B8"/>
              <w:left w:val="single" w:sz="4" w:space="0" w:color="D2C9B8"/>
              <w:bottom w:val="single" w:sz="4" w:space="0" w:color="D2C9B8"/>
              <w:right w:val="single" w:sz="4" w:space="0" w:color="D2C9B8"/>
            </w:tcBorders>
          </w:tcPr>
          <w:p w14:paraId="7A64F40E" w14:textId="77777777" w:rsidR="005A5FCC" w:rsidRDefault="00A21C81">
            <w:pPr>
              <w:spacing w:before="20" w:after="20" w:line="240" w:lineRule="auto"/>
              <w:jc w:val="left"/>
            </w:pPr>
            <w:r>
              <w:rPr>
                <w:rFonts w:cs="EB Garamond"/>
                <w:kern w:val="16"/>
                <w:sz w:val="18"/>
                <w14:ligatures w14:val="standardContextual"/>
              </w:rPr>
              <w:t>Termo de guarda provisória</w:t>
            </w:r>
          </w:p>
        </w:tc>
        <w:tc>
          <w:tcPr>
            <w:tcW w:w="1587" w:type="dxa"/>
            <w:tcBorders>
              <w:top w:val="single" w:sz="4" w:space="0" w:color="D2C9B8"/>
              <w:left w:val="single" w:sz="4" w:space="0" w:color="D2C9B8"/>
              <w:bottom w:val="single" w:sz="4" w:space="0" w:color="D2C9B8"/>
              <w:right w:val="single" w:sz="4" w:space="0" w:color="D2C9B8"/>
            </w:tcBorders>
          </w:tcPr>
          <w:p w14:paraId="0DF3BB32" w14:textId="77777777" w:rsidR="005A5FCC" w:rsidRDefault="00A21C81">
            <w:pPr>
              <w:spacing w:before="20" w:after="20" w:line="240" w:lineRule="auto"/>
              <w:jc w:val="left"/>
            </w:pPr>
            <w:r>
              <w:rPr>
                <w:rFonts w:cs="EB Garamond"/>
                <w:kern w:val="16"/>
                <w:sz w:val="18"/>
                <w14:ligatures w14:val="standardContextual"/>
              </w:rPr>
              <w:t>Data do termo</w:t>
            </w:r>
          </w:p>
        </w:tc>
      </w:tr>
      <w:tr w:rsidR="005A5FCC" w14:paraId="33FFE30E"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597918E8" w14:textId="77777777" w:rsidR="005A5FCC" w:rsidRDefault="00A21C81">
            <w:pPr>
              <w:spacing w:before="20" w:after="20" w:line="240" w:lineRule="auto"/>
              <w:jc w:val="left"/>
            </w:pPr>
            <w:r>
              <w:rPr>
                <w:rFonts w:cs="EB Garamond"/>
                <w:kern w:val="16"/>
                <w:sz w:val="18"/>
                <w14:ligatures w14:val="standardContextual"/>
              </w:rPr>
              <w:t>Aborto não criminoso</w:t>
            </w:r>
          </w:p>
        </w:tc>
        <w:tc>
          <w:tcPr>
            <w:tcW w:w="1587" w:type="dxa"/>
            <w:tcBorders>
              <w:top w:val="single" w:sz="4" w:space="0" w:color="D2C9B8"/>
              <w:left w:val="single" w:sz="4" w:space="0" w:color="D2C9B8"/>
              <w:bottom w:val="single" w:sz="4" w:space="0" w:color="D2C9B8"/>
              <w:right w:val="single" w:sz="4" w:space="0" w:color="D2C9B8"/>
            </w:tcBorders>
          </w:tcPr>
          <w:p w14:paraId="15BD6243" w14:textId="77777777" w:rsidR="005A5FCC" w:rsidRDefault="00A21C81">
            <w:pPr>
              <w:spacing w:before="20" w:after="20" w:line="240" w:lineRule="auto"/>
              <w:jc w:val="left"/>
            </w:pPr>
            <w:r>
              <w:rPr>
                <w:rFonts w:cs="EB Garamond"/>
                <w:kern w:val="16"/>
                <w:sz w:val="18"/>
                <w14:ligatures w14:val="standardContextual"/>
              </w:rPr>
              <w:t>14 dias</w:t>
            </w:r>
          </w:p>
        </w:tc>
        <w:tc>
          <w:tcPr>
            <w:tcW w:w="1587" w:type="dxa"/>
            <w:tcBorders>
              <w:top w:val="single" w:sz="4" w:space="0" w:color="D2C9B8"/>
              <w:left w:val="single" w:sz="4" w:space="0" w:color="D2C9B8"/>
              <w:bottom w:val="single" w:sz="4" w:space="0" w:color="D2C9B8"/>
              <w:right w:val="single" w:sz="4" w:space="0" w:color="D2C9B8"/>
            </w:tcBorders>
          </w:tcPr>
          <w:p w14:paraId="1D6F5FFC" w14:textId="77777777" w:rsidR="005A5FCC" w:rsidRDefault="00A21C81">
            <w:pPr>
              <w:spacing w:before="20" w:after="20" w:line="240" w:lineRule="auto"/>
              <w:jc w:val="left"/>
            </w:pPr>
            <w:r>
              <w:rPr>
                <w:rFonts w:cs="EB Garamond"/>
                <w:kern w:val="16"/>
                <w:sz w:val="18"/>
                <w14:ligatures w14:val="standardContextual"/>
              </w:rPr>
              <w:t>Atestado médico</w:t>
            </w:r>
          </w:p>
        </w:tc>
        <w:tc>
          <w:tcPr>
            <w:tcW w:w="1587" w:type="dxa"/>
            <w:tcBorders>
              <w:top w:val="single" w:sz="4" w:space="0" w:color="D2C9B8"/>
              <w:left w:val="single" w:sz="4" w:space="0" w:color="D2C9B8"/>
              <w:bottom w:val="single" w:sz="4" w:space="0" w:color="D2C9B8"/>
              <w:right w:val="single" w:sz="4" w:space="0" w:color="D2C9B8"/>
            </w:tcBorders>
          </w:tcPr>
          <w:p w14:paraId="54C21080" w14:textId="77777777" w:rsidR="005A5FCC" w:rsidRDefault="00A21C81">
            <w:pPr>
              <w:spacing w:before="20" w:after="20" w:line="240" w:lineRule="auto"/>
              <w:jc w:val="left"/>
            </w:pPr>
            <w:r>
              <w:rPr>
                <w:rFonts w:cs="EB Garamond"/>
                <w:kern w:val="16"/>
                <w:sz w:val="18"/>
                <w14:ligatures w14:val="standardContextual"/>
              </w:rPr>
              <w:t>Data do aborto</w:t>
            </w:r>
          </w:p>
        </w:tc>
      </w:tr>
      <w:tr w:rsidR="005A5FCC" w14:paraId="77588151"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7AB660C8" w14:textId="77777777" w:rsidR="005A5FCC" w:rsidRDefault="00A21C81">
            <w:pPr>
              <w:spacing w:before="20" w:after="20" w:line="240" w:lineRule="auto"/>
              <w:jc w:val="left"/>
            </w:pPr>
            <w:r>
              <w:rPr>
                <w:rFonts w:cs="EB Garamond"/>
                <w:kern w:val="16"/>
                <w:sz w:val="18"/>
                <w14:ligatures w14:val="standardContextual"/>
              </w:rPr>
              <w:t>Natimorto (≥ 23 semanas)</w:t>
            </w:r>
          </w:p>
        </w:tc>
        <w:tc>
          <w:tcPr>
            <w:tcW w:w="1587" w:type="dxa"/>
            <w:tcBorders>
              <w:top w:val="single" w:sz="4" w:space="0" w:color="D2C9B8"/>
              <w:left w:val="single" w:sz="4" w:space="0" w:color="D2C9B8"/>
              <w:bottom w:val="single" w:sz="4" w:space="0" w:color="D2C9B8"/>
              <w:right w:val="single" w:sz="4" w:space="0" w:color="D2C9B8"/>
            </w:tcBorders>
          </w:tcPr>
          <w:p w14:paraId="41ABCA8C" w14:textId="77777777" w:rsidR="005A5FCC" w:rsidRDefault="00A21C81">
            <w:pPr>
              <w:spacing w:before="20" w:after="20" w:line="240" w:lineRule="auto"/>
              <w:jc w:val="left"/>
            </w:pPr>
            <w:r>
              <w:rPr>
                <w:rFonts w:cs="EB Garamond"/>
                <w:kern w:val="16"/>
                <w:sz w:val="18"/>
                <w14:ligatures w14:val="standardContextual"/>
              </w:rPr>
              <w:t>120 dias</w:t>
            </w:r>
          </w:p>
        </w:tc>
        <w:tc>
          <w:tcPr>
            <w:tcW w:w="1587" w:type="dxa"/>
            <w:tcBorders>
              <w:top w:val="single" w:sz="4" w:space="0" w:color="D2C9B8"/>
              <w:left w:val="single" w:sz="4" w:space="0" w:color="D2C9B8"/>
              <w:bottom w:val="single" w:sz="4" w:space="0" w:color="D2C9B8"/>
              <w:right w:val="single" w:sz="4" w:space="0" w:color="D2C9B8"/>
            </w:tcBorders>
          </w:tcPr>
          <w:p w14:paraId="76863A4B" w14:textId="77777777" w:rsidR="005A5FCC" w:rsidRDefault="00A21C81">
            <w:pPr>
              <w:spacing w:before="20" w:after="20" w:line="240" w:lineRule="auto"/>
              <w:jc w:val="left"/>
            </w:pPr>
            <w:r>
              <w:rPr>
                <w:rFonts w:cs="EB Garamond"/>
                <w:kern w:val="16"/>
                <w:sz w:val="18"/>
                <w14:ligatures w14:val="standardContextual"/>
              </w:rPr>
              <w:t>Certidão de natimorto</w:t>
            </w:r>
          </w:p>
        </w:tc>
        <w:tc>
          <w:tcPr>
            <w:tcW w:w="1587" w:type="dxa"/>
            <w:tcBorders>
              <w:top w:val="single" w:sz="4" w:space="0" w:color="D2C9B8"/>
              <w:left w:val="single" w:sz="4" w:space="0" w:color="D2C9B8"/>
              <w:bottom w:val="single" w:sz="4" w:space="0" w:color="D2C9B8"/>
              <w:right w:val="single" w:sz="4" w:space="0" w:color="D2C9B8"/>
            </w:tcBorders>
          </w:tcPr>
          <w:p w14:paraId="16773C7F" w14:textId="77777777" w:rsidR="005A5FCC" w:rsidRDefault="00A21C81">
            <w:pPr>
              <w:spacing w:before="20" w:after="20" w:line="240" w:lineRule="auto"/>
              <w:jc w:val="left"/>
            </w:pPr>
            <w:r>
              <w:rPr>
                <w:rFonts w:cs="EB Garamond"/>
                <w:kern w:val="16"/>
                <w:sz w:val="18"/>
                <w14:ligatures w14:val="standardContextual"/>
              </w:rPr>
              <w:t>Data do parto</w:t>
            </w:r>
          </w:p>
        </w:tc>
      </w:tr>
    </w:tbl>
    <w:p w14:paraId="1965EE93" w14:textId="77777777" w:rsidR="005A5FCC" w:rsidRDefault="005A5FCC">
      <w:pPr>
        <w:spacing w:after="80" w:line="240" w:lineRule="auto"/>
      </w:pPr>
    </w:p>
    <w:p w14:paraId="767E3179"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13.4 Seguradas beneficiárias e carência</w:t>
      </w:r>
    </w:p>
    <w:p w14:paraId="623CF86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581159CF" w14:textId="77777777" w:rsidR="005A5FCC" w:rsidRDefault="00A21C81">
      <w:r>
        <w:rPr>
          <w:rFonts w:cs="EB Garamond"/>
          <w:kern w:val="16"/>
          <w14:ligatures w14:val="standardContextual"/>
        </w:rPr>
        <w:t xml:space="preserve"> salário-maternidade é devido a todas as categorias de seguradas do RGPS. A grande novidade legislativa recente é a eliminação da carência para todas as categorias, após o julgamento das ADIs 2.110 e 2.111 pelo STF em março de 2024.</w:t>
      </w:r>
    </w:p>
    <w:p w14:paraId="2CAF395C" w14:textId="77777777" w:rsidR="005A5FCC" w:rsidRDefault="00A21C81">
      <w:pPr>
        <w:spacing w:before="260" w:after="80" w:line="240" w:lineRule="auto"/>
        <w:jc w:val="left"/>
      </w:pPr>
      <w:r>
        <w:rPr>
          <w:rFonts w:cs="EB Garamond"/>
          <w:b/>
          <w:color w:val="3A3128"/>
          <w:kern w:val="16"/>
          <w:sz w:val="25"/>
          <w14:ligatures w14:val="standardContextual"/>
        </w:rPr>
        <w:t>13.4.1 Empregada (inclusive doméstica)</w:t>
      </w:r>
    </w:p>
    <w:p w14:paraId="59384C1F"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5FCD28F6" w14:textId="77777777" w:rsidR="005A5FCC" w:rsidRDefault="00A21C81">
      <w:r>
        <w:rPr>
          <w:rFonts w:cs="EB Garamond"/>
          <w:kern w:val="16"/>
          <w14:ligatures w14:val="standardContextual"/>
        </w:rPr>
        <w:t xml:space="preserve"> segurada empregada, tanto a regida pela CLT quanto a empregada doméstica, tem direito ao salário-maternidade sem qualquer exigência de carência, bastando a qualidade de segurada na data do fato gerador (art. 26, VI, Lei 8.213/91). A dispensa de carência para a empregada sempre existiu na legislação, fundamentada no fato de que a relação de emprego, por si, já demonstra a filiação ao sistema e a contribuição obrigatória.</w:t>
      </w:r>
    </w:p>
    <w:p w14:paraId="5CA94E31" w14:textId="77777777" w:rsidR="005A5FCC" w:rsidRDefault="00A21C81">
      <w:pPr>
        <w:ind w:firstLine="238"/>
      </w:pPr>
      <w:r>
        <w:rPr>
          <w:rFonts w:cs="EB Garamond"/>
          <w:kern w:val="16"/>
          <w14:ligatures w14:val="standardContextual"/>
        </w:rPr>
        <w:t>O valor do benefício para a empregada corresponde à remuneração integral (art. 72, Lei 8.213/91). Para a empregada de pessoa jurídica, o pagamento é feito pelo empregador, que efetua a compensação com as contribuições previdenciárias devidas. Para a empregada doméstica, o benefício é pago diretamente pelo INSS, com base no último salário de contribuição, desde a LC 150/2015. Antes dessa lei complementar, o empregador doméstico pagava o salário-maternidade e buscava ressarcimento — mecanismo que se mostrava impraticável na maioria dos casos.</w:t>
      </w:r>
    </w:p>
    <w:p w14:paraId="66298C0F" w14:textId="77777777" w:rsidR="005A5FCC" w:rsidRDefault="00A21C81">
      <w:pPr>
        <w:spacing w:before="260" w:after="80" w:line="240" w:lineRule="auto"/>
        <w:jc w:val="left"/>
      </w:pPr>
      <w:r>
        <w:rPr>
          <w:rFonts w:cs="EB Garamond"/>
          <w:b/>
          <w:color w:val="3A3128"/>
          <w:kern w:val="16"/>
          <w:sz w:val="25"/>
          <w14:ligatures w14:val="standardContextual"/>
        </w:rPr>
        <w:t>13.4.2 Trabalhadora avulsa</w:t>
      </w:r>
    </w:p>
    <w:p w14:paraId="62EF089E"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072A8831" w14:textId="77777777" w:rsidR="005A5FCC" w:rsidRDefault="00A21C81">
      <w:r>
        <w:rPr>
          <w:rFonts w:cs="EB Garamond"/>
          <w:kern w:val="16"/>
          <w14:ligatures w14:val="standardContextual"/>
        </w:rPr>
        <w:t xml:space="preserve"> trabalhadora avulsa goza de igualdade de direitos com a empregada, por força do art. 7º, XXXIV, da Constituição Federal. A carência é dispensada e o valor corresponde à última remuneração integral. O pagamento é feito diretamente pelo INSS (art. 72, §3º, Lei 8.213). Na prática, a categoria mais comum de trabalhadora avulsa é a portuária, embora existam avulsas em outras atividades (classificadores de cereais, embaladoras de mercadorias).</w:t>
      </w:r>
    </w:p>
    <w:p w14:paraId="05B77DC5" w14:textId="77777777" w:rsidR="005A5FCC" w:rsidRDefault="00A21C81">
      <w:pPr>
        <w:spacing w:before="260" w:after="80" w:line="240" w:lineRule="auto"/>
        <w:jc w:val="left"/>
      </w:pPr>
      <w:r>
        <w:rPr>
          <w:rFonts w:cs="EB Garamond"/>
          <w:b/>
          <w:color w:val="3A3128"/>
          <w:kern w:val="16"/>
          <w:sz w:val="25"/>
          <w14:ligatures w14:val="standardContextual"/>
        </w:rPr>
        <w:t>13.4.3 Contribuinte individual</w:t>
      </w:r>
    </w:p>
    <w:p w14:paraId="6B60AA5B"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A</w:t>
      </w:r>
    </w:p>
    <w:p w14:paraId="7674634F" w14:textId="77777777" w:rsidR="005A5FCC" w:rsidRDefault="00A21C81">
      <w:r>
        <w:rPr>
          <w:rFonts w:cs="EB Garamond"/>
          <w:kern w:val="16"/>
          <w14:ligatures w14:val="standardContextual"/>
        </w:rPr>
        <w:t xml:space="preserve"> contribuinte individual, autônoma, empresária, profissional liberal, tinha, até março de 2024, exigência de carência de dez contribuições mensais (art. 25, III, Lei 8.213/91). Com o julgamento das ADIs 2.110 e 2.111, o STF declarou essa exigência inconstitucional, por violar a isonomia em relação à empregada e à avulsa (que nunca tiveram carência) e a proteção integral à maternidade.</w:t>
      </w:r>
    </w:p>
    <w:p w14:paraId="6A12D072" w14:textId="77777777" w:rsidR="005A5FCC" w:rsidRDefault="00A21C81">
      <w:pPr>
        <w:ind w:firstLine="238"/>
      </w:pPr>
      <w:r>
        <w:rPr>
          <w:rFonts w:cs="EB Garamond"/>
          <w:kern w:val="16"/>
          <w14:ligatures w14:val="standardContextual"/>
        </w:rPr>
        <w:t>Desde 5 de abril de 2024 (data da publicação da ata de julgamento), basta que a contribuinte individual mantenha a qualidade de segurada na data do fato gerador para fazer jus ao salário-maternidade. A IN INSS/PRES 188/2025 regulamentou administrativamente essa dispensa de carência.</w:t>
      </w:r>
    </w:p>
    <w:p w14:paraId="6ED3A444" w14:textId="6CDD7E82" w:rsidR="005A5FCC" w:rsidRDefault="00A21C81">
      <w:pPr>
        <w:ind w:firstLine="238"/>
      </w:pPr>
      <w:r>
        <w:rPr>
          <w:rFonts w:cs="EB Garamond"/>
          <w:kern w:val="16"/>
          <w14:ligatures w14:val="standardContextual"/>
        </w:rPr>
        <w:t xml:space="preserve">O valor do benefício corresponde a 1/12 da soma dos doze últimos salários de contribuição, apurados em período não superior a quinze meses (art. 73, III, Lei 8.213/91), assegurado o mínimo de um </w:t>
      </w:r>
      <w:r w:rsidR="002F7C34">
        <w:rPr>
          <w:rFonts w:cs="EB Garamond"/>
          <w:kern w:val="16"/>
          <w14:ligatures w14:val="standardContextual"/>
        </w:rPr>
        <w:t>salário-mínimo</w:t>
      </w:r>
      <w:r>
        <w:rPr>
          <w:rFonts w:cs="EB Garamond"/>
          <w:kern w:val="16"/>
          <w14:ligatures w14:val="standardContextual"/>
        </w:rPr>
        <w:t>.</w:t>
      </w:r>
    </w:p>
    <w:p w14:paraId="4851B266" w14:textId="77777777" w:rsidR="005A5FCC" w:rsidRDefault="00A21C81">
      <w:pPr>
        <w:spacing w:before="260" w:after="80" w:line="240" w:lineRule="auto"/>
        <w:jc w:val="left"/>
      </w:pPr>
      <w:r>
        <w:rPr>
          <w:rFonts w:cs="EB Garamond"/>
          <w:b/>
          <w:color w:val="3A3128"/>
          <w:kern w:val="16"/>
          <w:sz w:val="25"/>
          <w14:ligatures w14:val="standardContextual"/>
        </w:rPr>
        <w:t>13.4.4 Segurada facultativa</w:t>
      </w:r>
    </w:p>
    <w:p w14:paraId="0135C9E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078F440A" w14:textId="65FB9728" w:rsidR="005A5FCC" w:rsidRDefault="00A21C81">
      <w:r>
        <w:rPr>
          <w:rFonts w:cs="EB Garamond"/>
          <w:kern w:val="16"/>
          <w14:ligatures w14:val="standardContextual"/>
        </w:rPr>
        <w:t xml:space="preserve"> segurada facultativa, estudante, dona de casa, pessoa que não exerce atividade </w:t>
      </w:r>
      <w:r w:rsidR="002F7C34">
        <w:rPr>
          <w:rFonts w:cs="EB Garamond"/>
          <w:kern w:val="16"/>
          <w14:ligatures w14:val="standardContextual"/>
        </w:rPr>
        <w:t>remunerada,</w:t>
      </w:r>
      <w:r>
        <w:rPr>
          <w:rFonts w:cs="EB Garamond"/>
          <w:kern w:val="16"/>
          <w14:ligatures w14:val="standardContextual"/>
        </w:rPr>
        <w:t xml:space="preserve"> mas opta por contribuir, submete-se ao mesmo regime da contribuinte individual: carência dispensada (após ADIs 2.110/2.111), valor calculado na forma do art. 73, III, e pagamento direto pelo INSS.</w:t>
      </w:r>
    </w:p>
    <w:p w14:paraId="1E31F20D" w14:textId="797CCF41" w:rsidR="005A5FCC" w:rsidRDefault="00A21C81">
      <w:pPr>
        <w:ind w:firstLine="238"/>
      </w:pPr>
      <w:r>
        <w:rPr>
          <w:rFonts w:cs="EB Garamond"/>
          <w:kern w:val="16"/>
          <w14:ligatures w14:val="standardContextual"/>
        </w:rPr>
        <w:t xml:space="preserve">A segurada facultativa de baixa renda (art. 21, §2º, II, Lei 8.212/91), que contribui com 5% do </w:t>
      </w:r>
      <w:r w:rsidR="002F7C34">
        <w:rPr>
          <w:rFonts w:cs="EB Garamond"/>
          <w:kern w:val="16"/>
          <w14:ligatures w14:val="standardContextual"/>
        </w:rPr>
        <w:t>salário-mínimo</w:t>
      </w:r>
      <w:r>
        <w:rPr>
          <w:rFonts w:cs="EB Garamond"/>
          <w:kern w:val="16"/>
          <w14:ligatures w14:val="standardContextual"/>
        </w:rPr>
        <w:t>, tem direito ao salário-maternidade de um salário</w:t>
      </w:r>
      <w:r w:rsidR="002F7C34">
        <w:rPr>
          <w:rFonts w:cs="EB Garamond"/>
          <w:kern w:val="16"/>
          <w14:ligatures w14:val="standardContextual"/>
        </w:rPr>
        <w:t>-</w:t>
      </w:r>
      <w:r>
        <w:rPr>
          <w:rFonts w:cs="EB Garamond"/>
          <w:kern w:val="16"/>
          <w14:ligatures w14:val="standardContextual"/>
        </w:rPr>
        <w:t>mínimo, sem possibilidade de benefício superior a esse valor, salvo mediante complementação das contribuições (diferença entre 5% e 20%).</w:t>
      </w:r>
    </w:p>
    <w:p w14:paraId="7D1FA776" w14:textId="77777777" w:rsidR="005A5FCC" w:rsidRDefault="00A21C81">
      <w:pPr>
        <w:spacing w:before="260" w:after="80" w:line="240" w:lineRule="auto"/>
        <w:jc w:val="left"/>
      </w:pPr>
      <w:r>
        <w:rPr>
          <w:rFonts w:cs="EB Garamond"/>
          <w:b/>
          <w:color w:val="3A3128"/>
          <w:kern w:val="16"/>
          <w:sz w:val="25"/>
          <w14:ligatures w14:val="standardContextual"/>
        </w:rPr>
        <w:t>13.4.5 Segurada especial</w:t>
      </w:r>
    </w:p>
    <w:p w14:paraId="42684E0B"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3686DB15" w14:textId="77777777" w:rsidR="005A5FCC" w:rsidRDefault="00A21C81">
      <w:r>
        <w:rPr>
          <w:rFonts w:cs="EB Garamond"/>
          <w:kern w:val="16"/>
          <w14:ligatures w14:val="standardContextual"/>
        </w:rPr>
        <w:t xml:space="preserve"> segurada especial (v. Cap. 9 para o conceito completo) é a categoria com maior volume de demandas judiciais envolvendo salário-maternidade. Antes do julgamento das ADIs 2.110/2.111, precisava comprovar dez meses de atividade rural. Com a declaração de inconstitucionalidade da carência, basta demonstrar o exercício de atividade rural na data do fato gerador para manter a qualidade de segurada.</w:t>
      </w:r>
    </w:p>
    <w:p w14:paraId="6E8F7B5C" w14:textId="1882EB00" w:rsidR="005A5FCC" w:rsidRDefault="00A21C81">
      <w:pPr>
        <w:ind w:firstLine="238"/>
      </w:pPr>
      <w:r>
        <w:rPr>
          <w:rFonts w:cs="EB Garamond"/>
          <w:kern w:val="16"/>
          <w14:ligatures w14:val="standardContextual"/>
        </w:rPr>
        <w:lastRenderedPageBreak/>
        <w:t xml:space="preserve">O valor do benefício é de um </w:t>
      </w:r>
      <w:r w:rsidR="0020257E">
        <w:rPr>
          <w:rFonts w:cs="EB Garamond"/>
          <w:kern w:val="16"/>
          <w14:ligatures w14:val="standardContextual"/>
        </w:rPr>
        <w:t>salário-mínimo</w:t>
      </w:r>
      <w:r>
        <w:rPr>
          <w:rFonts w:cs="EB Garamond"/>
          <w:kern w:val="16"/>
          <w14:ligatures w14:val="standardContextual"/>
        </w:rPr>
        <w:t xml:space="preserve"> (R$ 1.621,00 em 2026), independentemente de contribuição, pago diretamente pelo INSS.</w:t>
      </w:r>
    </w:p>
    <w:tbl>
      <w:tblPr>
        <w:tblW w:w="5000" w:type="pct"/>
        <w:jc w:val="center"/>
        <w:tblLayout w:type="fixed"/>
        <w:tblLook w:val="04A0" w:firstRow="1" w:lastRow="0" w:firstColumn="1" w:lastColumn="0" w:noHBand="0" w:noVBand="1"/>
      </w:tblPr>
      <w:tblGrid>
        <w:gridCol w:w="6311"/>
      </w:tblGrid>
      <w:tr w:rsidR="005A5FCC" w14:paraId="44E9C99D"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117C643F"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6C1E870C" w14:textId="77777777" w:rsidR="005A5FCC" w:rsidRDefault="00A21C81">
            <w:pPr>
              <w:spacing w:after="60" w:line="247" w:lineRule="auto"/>
            </w:pPr>
            <w:r>
              <w:rPr>
                <w:rFonts w:cs="EB Garamond"/>
                <w:b/>
                <w:kern w:val="16"/>
                <w:sz w:val="19"/>
                <w14:ligatures w14:val="standardContextual"/>
              </w:rPr>
              <w:t>Atenção: carência dispensada NÃO dispensa prova de atividade rural</w:t>
            </w:r>
          </w:p>
          <w:p w14:paraId="6A2FC01B" w14:textId="77777777" w:rsidR="005A5FCC" w:rsidRDefault="00A21C81">
            <w:pPr>
              <w:spacing w:after="60" w:line="247" w:lineRule="auto"/>
            </w:pPr>
            <w:r>
              <w:rPr>
                <w:rFonts w:cs="EB Garamond"/>
                <w:kern w:val="16"/>
                <w:sz w:val="19"/>
                <w14:ligatures w14:val="standardContextual"/>
              </w:rPr>
              <w:t>A decisão do STF nas ADIs 2.110/2.111 (março/2024) eliminou a carência de 10 contribuições para todas as categorias de seguradas. Contudo, para a segurada especial, continua sendo necessário demonstrar o exercício de atividade rural na data do fato gerador (parto, adoção, aborto). O que mudou: antes, era preciso provar 10 meses de atividade rural; agora, basta comprovar a atividade na data do evento. A qualidade de segurada especial depende do efetivo exercício da atividade rural (art. 11, VII, Lei 8.213/91), e isso deve ser demonstrado por início de prova material complementada por testemunhal (Súmula 149/STJ; Tema 297/STJ; flexibilização para salário-maternidade: TNU Temas 11 e 17).</w:t>
            </w:r>
          </w:p>
        </w:tc>
      </w:tr>
    </w:tbl>
    <w:p w14:paraId="57E864E6" w14:textId="77777777" w:rsidR="005A5FCC" w:rsidRDefault="005A5FCC">
      <w:pPr>
        <w:spacing w:after="80" w:line="240" w:lineRule="auto"/>
      </w:pPr>
    </w:p>
    <w:p w14:paraId="0973B5BB" w14:textId="77777777" w:rsidR="005A5FCC" w:rsidRDefault="00A21C81">
      <w:pPr>
        <w:spacing w:before="260" w:after="80" w:line="240" w:lineRule="auto"/>
        <w:jc w:val="left"/>
      </w:pPr>
      <w:r>
        <w:rPr>
          <w:rFonts w:cs="EB Garamond"/>
          <w:b/>
          <w:color w:val="3A3128"/>
          <w:kern w:val="16"/>
          <w:sz w:val="25"/>
          <w14:ligatures w14:val="standardContextual"/>
        </w:rPr>
        <w:t>13.4.6 MEI (microempreendedor individual)</w:t>
      </w:r>
    </w:p>
    <w:p w14:paraId="370F892C"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6A0E2656" w14:textId="7DF4EB42" w:rsidR="005A5FCC" w:rsidRDefault="00A21C81">
      <w:r>
        <w:rPr>
          <w:rFonts w:cs="EB Garamond"/>
          <w:kern w:val="16"/>
          <w14:ligatures w14:val="standardContextual"/>
        </w:rPr>
        <w:t xml:space="preserve"> segurada MEI é contribuinte individual para fins previdenciários (art. 18-A, §1º, LC 123/2006). Assim, aplica-se o mesmo regime: carência dispensada (após ADIs 2.110/2.111) e valor calculado sobre o salário de contribuição declarado. Como a contribuição do MEI incide sobre o </w:t>
      </w:r>
      <w:r w:rsidR="0020257E">
        <w:rPr>
          <w:rFonts w:cs="EB Garamond"/>
          <w:kern w:val="16"/>
          <w14:ligatures w14:val="standardContextual"/>
        </w:rPr>
        <w:t>salário-mínimo</w:t>
      </w:r>
      <w:r>
        <w:rPr>
          <w:rFonts w:cs="EB Garamond"/>
          <w:kern w:val="16"/>
          <w14:ligatures w14:val="standardContextual"/>
        </w:rPr>
        <w:t xml:space="preserve"> (5% do SM), o valor do salário-maternidade será de um salário</w:t>
      </w:r>
      <w:r w:rsidR="0020257E">
        <w:rPr>
          <w:rFonts w:cs="EB Garamond"/>
          <w:kern w:val="16"/>
          <w14:ligatures w14:val="standardContextual"/>
        </w:rPr>
        <w:t>-</w:t>
      </w:r>
      <w:r>
        <w:rPr>
          <w:rFonts w:cs="EB Garamond"/>
          <w:kern w:val="16"/>
          <w14:ligatures w14:val="standardContextual"/>
        </w:rPr>
        <w:t>mínimo (R$ 1.621,00 em 2026). Para obter benefício de valor superior, a MEI deve complementar suas contribuições (diferença entre 5% e 20%), conforme detalhado no Cap. 4 (seção 4.8).</w:t>
      </w:r>
    </w:p>
    <w:p w14:paraId="3BE1AAC7" w14:textId="77777777" w:rsidR="005A5FCC" w:rsidRDefault="00A21C81">
      <w:pPr>
        <w:ind w:firstLine="238"/>
      </w:pPr>
      <w:r>
        <w:rPr>
          <w:rFonts w:cs="EB Garamond"/>
          <w:kern w:val="16"/>
          <w14:ligatures w14:val="standardContextual"/>
        </w:rPr>
        <w:t>O pagamento é feito diretamente pelo INSS, e não pelo eventual contratante dos serviços da MEI.</w:t>
      </w:r>
    </w:p>
    <w:tbl>
      <w:tblPr>
        <w:tblW w:w="5000" w:type="pct"/>
        <w:jc w:val="center"/>
        <w:tblLook w:val="04A0" w:firstRow="1" w:lastRow="0" w:firstColumn="1" w:lastColumn="0" w:noHBand="0" w:noVBand="1"/>
      </w:tblPr>
      <w:tblGrid>
        <w:gridCol w:w="1267"/>
        <w:gridCol w:w="1267"/>
        <w:gridCol w:w="1269"/>
        <w:gridCol w:w="1268"/>
        <w:gridCol w:w="1269"/>
      </w:tblGrid>
      <w:tr w:rsidR="005A5FCC" w14:paraId="230D2EA2" w14:textId="77777777">
        <w:trPr>
          <w:tblHeader/>
          <w:jc w:val="center"/>
        </w:trPr>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5B615F98" w14:textId="77777777" w:rsidR="005A5FCC" w:rsidRDefault="00A21C81">
            <w:pPr>
              <w:spacing w:before="40" w:after="40" w:line="240" w:lineRule="auto"/>
              <w:jc w:val="center"/>
            </w:pPr>
            <w:r>
              <w:rPr>
                <w:rFonts w:cs="EB Garamond"/>
                <w:b/>
                <w:color w:val="2F2923"/>
                <w:kern w:val="16"/>
                <w:sz w:val="18"/>
                <w14:ligatures w14:val="standardContextual"/>
              </w:rPr>
              <w:t>Categoria</w:t>
            </w:r>
          </w:p>
        </w:tc>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419D391D" w14:textId="77777777" w:rsidR="005A5FCC" w:rsidRDefault="00A21C81">
            <w:pPr>
              <w:spacing w:before="40" w:after="40" w:line="240" w:lineRule="auto"/>
              <w:jc w:val="center"/>
            </w:pPr>
            <w:r>
              <w:rPr>
                <w:rFonts w:cs="EB Garamond"/>
                <w:b/>
                <w:color w:val="2F2923"/>
                <w:kern w:val="16"/>
                <w:sz w:val="18"/>
                <w14:ligatures w14:val="standardContextual"/>
              </w:rPr>
              <w:t>Carência</w:t>
            </w:r>
          </w:p>
        </w:tc>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47A4E0C8" w14:textId="77777777" w:rsidR="005A5FCC" w:rsidRDefault="00A21C81">
            <w:pPr>
              <w:spacing w:before="40" w:after="40" w:line="240" w:lineRule="auto"/>
              <w:jc w:val="center"/>
            </w:pPr>
            <w:r>
              <w:rPr>
                <w:rFonts w:cs="EB Garamond"/>
                <w:b/>
                <w:color w:val="2F2923"/>
                <w:kern w:val="16"/>
                <w:sz w:val="18"/>
                <w14:ligatures w14:val="standardContextual"/>
              </w:rPr>
              <w:t>Valor do SM</w:t>
            </w:r>
          </w:p>
        </w:tc>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1B502AEE" w14:textId="77777777" w:rsidR="005A5FCC" w:rsidRDefault="00A21C81">
            <w:pPr>
              <w:spacing w:before="40" w:after="40" w:line="240" w:lineRule="auto"/>
              <w:jc w:val="center"/>
            </w:pPr>
            <w:r>
              <w:rPr>
                <w:rFonts w:cs="EB Garamond"/>
                <w:b/>
                <w:color w:val="2F2923"/>
                <w:kern w:val="16"/>
                <w:sz w:val="18"/>
                <w14:ligatures w14:val="standardContextual"/>
              </w:rPr>
              <w:t>Quem paga</w:t>
            </w:r>
          </w:p>
        </w:tc>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6D8BB0DE" w14:textId="77777777" w:rsidR="005A5FCC" w:rsidRDefault="00A21C81">
            <w:pPr>
              <w:spacing w:before="40" w:after="40" w:line="240" w:lineRule="auto"/>
              <w:jc w:val="center"/>
            </w:pPr>
            <w:r>
              <w:rPr>
                <w:rFonts w:cs="EB Garamond"/>
                <w:b/>
                <w:color w:val="2F2923"/>
                <w:kern w:val="16"/>
                <w:sz w:val="18"/>
                <w14:ligatures w14:val="standardContextual"/>
              </w:rPr>
              <w:t>Fundamento</w:t>
            </w:r>
          </w:p>
        </w:tc>
      </w:tr>
      <w:tr w:rsidR="005A5FCC" w14:paraId="189604B8"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4BC2CB9A" w14:textId="77777777" w:rsidR="005A5FCC" w:rsidRDefault="00A21C81">
            <w:pPr>
              <w:spacing w:before="20" w:after="20" w:line="240" w:lineRule="auto"/>
              <w:jc w:val="left"/>
            </w:pPr>
            <w:r>
              <w:rPr>
                <w:rFonts w:cs="EB Garamond"/>
                <w:kern w:val="16"/>
                <w:sz w:val="18"/>
                <w14:ligatures w14:val="standardContextual"/>
              </w:rPr>
              <w:t>Empregada CLT</w:t>
            </w:r>
          </w:p>
        </w:tc>
        <w:tc>
          <w:tcPr>
            <w:tcW w:w="1270" w:type="dxa"/>
            <w:tcBorders>
              <w:top w:val="single" w:sz="4" w:space="0" w:color="D2C9B8"/>
              <w:left w:val="single" w:sz="4" w:space="0" w:color="D2C9B8"/>
              <w:bottom w:val="single" w:sz="4" w:space="0" w:color="D2C9B8"/>
              <w:right w:val="single" w:sz="4" w:space="0" w:color="D2C9B8"/>
            </w:tcBorders>
          </w:tcPr>
          <w:p w14:paraId="0B09A91E" w14:textId="77777777" w:rsidR="005A5FCC" w:rsidRDefault="00A21C81">
            <w:pPr>
              <w:spacing w:before="20" w:after="20" w:line="240" w:lineRule="auto"/>
              <w:jc w:val="left"/>
            </w:pPr>
            <w:r>
              <w:rPr>
                <w:rFonts w:cs="EB Garamond"/>
                <w:kern w:val="16"/>
                <w:sz w:val="18"/>
                <w14:ligatures w14:val="standardContextual"/>
              </w:rPr>
              <w:t>Dispensada</w:t>
            </w:r>
          </w:p>
        </w:tc>
        <w:tc>
          <w:tcPr>
            <w:tcW w:w="1270" w:type="dxa"/>
            <w:tcBorders>
              <w:top w:val="single" w:sz="4" w:space="0" w:color="D2C9B8"/>
              <w:left w:val="single" w:sz="4" w:space="0" w:color="D2C9B8"/>
              <w:bottom w:val="single" w:sz="4" w:space="0" w:color="D2C9B8"/>
              <w:right w:val="single" w:sz="4" w:space="0" w:color="D2C9B8"/>
            </w:tcBorders>
          </w:tcPr>
          <w:p w14:paraId="0CA99308" w14:textId="77777777" w:rsidR="005A5FCC" w:rsidRDefault="00A21C81">
            <w:pPr>
              <w:spacing w:before="20" w:after="20" w:line="240" w:lineRule="auto"/>
              <w:jc w:val="left"/>
            </w:pPr>
            <w:r>
              <w:rPr>
                <w:rFonts w:cs="EB Garamond"/>
                <w:kern w:val="16"/>
                <w:sz w:val="18"/>
                <w14:ligatures w14:val="standardContextual"/>
              </w:rPr>
              <w:t>Remuneração integral</w:t>
            </w:r>
          </w:p>
        </w:tc>
        <w:tc>
          <w:tcPr>
            <w:tcW w:w="1270" w:type="dxa"/>
            <w:tcBorders>
              <w:top w:val="single" w:sz="4" w:space="0" w:color="D2C9B8"/>
              <w:left w:val="single" w:sz="4" w:space="0" w:color="D2C9B8"/>
              <w:bottom w:val="single" w:sz="4" w:space="0" w:color="D2C9B8"/>
              <w:right w:val="single" w:sz="4" w:space="0" w:color="D2C9B8"/>
            </w:tcBorders>
          </w:tcPr>
          <w:p w14:paraId="607A570C" w14:textId="77777777" w:rsidR="005A5FCC" w:rsidRDefault="00A21C81">
            <w:pPr>
              <w:spacing w:before="20" w:after="20" w:line="240" w:lineRule="auto"/>
              <w:jc w:val="left"/>
            </w:pPr>
            <w:r>
              <w:rPr>
                <w:rFonts w:cs="EB Garamond"/>
                <w:kern w:val="16"/>
                <w:sz w:val="18"/>
                <w14:ligatures w14:val="standardContextual"/>
              </w:rPr>
              <w:t>Empregador (compensa)</w:t>
            </w:r>
          </w:p>
        </w:tc>
        <w:tc>
          <w:tcPr>
            <w:tcW w:w="1270" w:type="dxa"/>
            <w:tcBorders>
              <w:top w:val="single" w:sz="4" w:space="0" w:color="D2C9B8"/>
              <w:left w:val="single" w:sz="4" w:space="0" w:color="D2C9B8"/>
              <w:bottom w:val="single" w:sz="4" w:space="0" w:color="D2C9B8"/>
              <w:right w:val="single" w:sz="4" w:space="0" w:color="D2C9B8"/>
            </w:tcBorders>
          </w:tcPr>
          <w:p w14:paraId="506A4997" w14:textId="77777777" w:rsidR="005A5FCC" w:rsidRDefault="00A21C81">
            <w:pPr>
              <w:spacing w:before="20" w:after="20" w:line="240" w:lineRule="auto"/>
              <w:jc w:val="left"/>
            </w:pPr>
            <w:r>
              <w:rPr>
                <w:rFonts w:cs="EB Garamond"/>
                <w:kern w:val="16"/>
                <w:sz w:val="18"/>
                <w14:ligatures w14:val="standardContextual"/>
              </w:rPr>
              <w:t>Art. 72, §1º</w:t>
            </w:r>
          </w:p>
        </w:tc>
      </w:tr>
      <w:tr w:rsidR="005A5FCC" w14:paraId="466B34BD"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4E3FB8AC" w14:textId="77777777" w:rsidR="005A5FCC" w:rsidRDefault="00A21C81">
            <w:pPr>
              <w:spacing w:before="20" w:after="20" w:line="240" w:lineRule="auto"/>
              <w:jc w:val="left"/>
            </w:pPr>
            <w:r>
              <w:rPr>
                <w:rFonts w:cs="EB Garamond"/>
                <w:kern w:val="16"/>
                <w:sz w:val="18"/>
                <w14:ligatures w14:val="standardContextual"/>
              </w:rPr>
              <w:t>Empregada doméstica</w:t>
            </w:r>
          </w:p>
        </w:tc>
        <w:tc>
          <w:tcPr>
            <w:tcW w:w="1270" w:type="dxa"/>
            <w:tcBorders>
              <w:top w:val="single" w:sz="4" w:space="0" w:color="D2C9B8"/>
              <w:left w:val="single" w:sz="4" w:space="0" w:color="D2C9B8"/>
              <w:bottom w:val="single" w:sz="4" w:space="0" w:color="D2C9B8"/>
              <w:right w:val="single" w:sz="4" w:space="0" w:color="D2C9B8"/>
            </w:tcBorders>
          </w:tcPr>
          <w:p w14:paraId="7D9C704D" w14:textId="77777777" w:rsidR="005A5FCC" w:rsidRDefault="00A21C81">
            <w:pPr>
              <w:spacing w:before="20" w:after="20" w:line="240" w:lineRule="auto"/>
              <w:jc w:val="left"/>
            </w:pPr>
            <w:r>
              <w:rPr>
                <w:rFonts w:cs="EB Garamond"/>
                <w:kern w:val="16"/>
                <w:sz w:val="18"/>
                <w14:ligatures w14:val="standardContextual"/>
              </w:rPr>
              <w:t>Dispensada</w:t>
            </w:r>
          </w:p>
        </w:tc>
        <w:tc>
          <w:tcPr>
            <w:tcW w:w="1270" w:type="dxa"/>
            <w:tcBorders>
              <w:top w:val="single" w:sz="4" w:space="0" w:color="D2C9B8"/>
              <w:left w:val="single" w:sz="4" w:space="0" w:color="D2C9B8"/>
              <w:bottom w:val="single" w:sz="4" w:space="0" w:color="D2C9B8"/>
              <w:right w:val="single" w:sz="4" w:space="0" w:color="D2C9B8"/>
            </w:tcBorders>
          </w:tcPr>
          <w:p w14:paraId="758D47A9" w14:textId="77777777" w:rsidR="005A5FCC" w:rsidRDefault="00A21C81">
            <w:pPr>
              <w:spacing w:before="20" w:after="20" w:line="240" w:lineRule="auto"/>
              <w:jc w:val="left"/>
            </w:pPr>
            <w:r>
              <w:rPr>
                <w:rFonts w:cs="EB Garamond"/>
                <w:kern w:val="16"/>
                <w:sz w:val="18"/>
                <w14:ligatures w14:val="standardContextual"/>
              </w:rPr>
              <w:t>Último SC</w:t>
            </w:r>
          </w:p>
        </w:tc>
        <w:tc>
          <w:tcPr>
            <w:tcW w:w="1270" w:type="dxa"/>
            <w:tcBorders>
              <w:top w:val="single" w:sz="4" w:space="0" w:color="D2C9B8"/>
              <w:left w:val="single" w:sz="4" w:space="0" w:color="D2C9B8"/>
              <w:bottom w:val="single" w:sz="4" w:space="0" w:color="D2C9B8"/>
              <w:right w:val="single" w:sz="4" w:space="0" w:color="D2C9B8"/>
            </w:tcBorders>
          </w:tcPr>
          <w:p w14:paraId="48030AD1" w14:textId="77777777" w:rsidR="005A5FCC" w:rsidRDefault="00A21C81">
            <w:pPr>
              <w:spacing w:before="20" w:after="20" w:line="240" w:lineRule="auto"/>
              <w:jc w:val="left"/>
            </w:pPr>
            <w:r>
              <w:rPr>
                <w:rFonts w:cs="EB Garamond"/>
                <w:kern w:val="16"/>
                <w:sz w:val="18"/>
                <w14:ligatures w14:val="standardContextual"/>
              </w:rPr>
              <w:t>INSS direto</w:t>
            </w:r>
          </w:p>
        </w:tc>
        <w:tc>
          <w:tcPr>
            <w:tcW w:w="1270" w:type="dxa"/>
            <w:tcBorders>
              <w:top w:val="single" w:sz="4" w:space="0" w:color="D2C9B8"/>
              <w:left w:val="single" w:sz="4" w:space="0" w:color="D2C9B8"/>
              <w:bottom w:val="single" w:sz="4" w:space="0" w:color="D2C9B8"/>
              <w:right w:val="single" w:sz="4" w:space="0" w:color="D2C9B8"/>
            </w:tcBorders>
          </w:tcPr>
          <w:p w14:paraId="37C2C779" w14:textId="77777777" w:rsidR="005A5FCC" w:rsidRDefault="00A21C81">
            <w:pPr>
              <w:spacing w:before="20" w:after="20" w:line="240" w:lineRule="auto"/>
              <w:jc w:val="left"/>
            </w:pPr>
            <w:r>
              <w:rPr>
                <w:rFonts w:cs="EB Garamond"/>
                <w:kern w:val="16"/>
                <w:sz w:val="18"/>
                <w14:ligatures w14:val="standardContextual"/>
              </w:rPr>
              <w:t>LC 150/2015</w:t>
            </w:r>
          </w:p>
        </w:tc>
      </w:tr>
      <w:tr w:rsidR="005A5FCC" w14:paraId="2F45CCF2"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19D310F4" w14:textId="77777777" w:rsidR="005A5FCC" w:rsidRDefault="00A21C81">
            <w:pPr>
              <w:spacing w:before="20" w:after="20" w:line="240" w:lineRule="auto"/>
              <w:jc w:val="left"/>
            </w:pPr>
            <w:r>
              <w:rPr>
                <w:rFonts w:cs="EB Garamond"/>
                <w:kern w:val="16"/>
                <w:sz w:val="18"/>
                <w14:ligatures w14:val="standardContextual"/>
              </w:rPr>
              <w:t>Avulsa</w:t>
            </w:r>
          </w:p>
        </w:tc>
        <w:tc>
          <w:tcPr>
            <w:tcW w:w="1270" w:type="dxa"/>
            <w:tcBorders>
              <w:top w:val="single" w:sz="4" w:space="0" w:color="D2C9B8"/>
              <w:left w:val="single" w:sz="4" w:space="0" w:color="D2C9B8"/>
              <w:bottom w:val="single" w:sz="4" w:space="0" w:color="D2C9B8"/>
              <w:right w:val="single" w:sz="4" w:space="0" w:color="D2C9B8"/>
            </w:tcBorders>
          </w:tcPr>
          <w:p w14:paraId="513E0F65" w14:textId="77777777" w:rsidR="005A5FCC" w:rsidRDefault="00A21C81">
            <w:pPr>
              <w:spacing w:before="20" w:after="20" w:line="240" w:lineRule="auto"/>
              <w:jc w:val="left"/>
            </w:pPr>
            <w:r>
              <w:rPr>
                <w:rFonts w:cs="EB Garamond"/>
                <w:kern w:val="16"/>
                <w:sz w:val="18"/>
                <w14:ligatures w14:val="standardContextual"/>
              </w:rPr>
              <w:t>Dispensada</w:t>
            </w:r>
          </w:p>
        </w:tc>
        <w:tc>
          <w:tcPr>
            <w:tcW w:w="1270" w:type="dxa"/>
            <w:tcBorders>
              <w:top w:val="single" w:sz="4" w:space="0" w:color="D2C9B8"/>
              <w:left w:val="single" w:sz="4" w:space="0" w:color="D2C9B8"/>
              <w:bottom w:val="single" w:sz="4" w:space="0" w:color="D2C9B8"/>
              <w:right w:val="single" w:sz="4" w:space="0" w:color="D2C9B8"/>
            </w:tcBorders>
          </w:tcPr>
          <w:p w14:paraId="54E17CB8" w14:textId="77777777" w:rsidR="005A5FCC" w:rsidRDefault="00A21C81">
            <w:pPr>
              <w:spacing w:before="20" w:after="20" w:line="240" w:lineRule="auto"/>
              <w:jc w:val="left"/>
            </w:pPr>
            <w:r>
              <w:rPr>
                <w:rFonts w:cs="EB Garamond"/>
                <w:kern w:val="16"/>
                <w:sz w:val="18"/>
                <w14:ligatures w14:val="standardContextual"/>
              </w:rPr>
              <w:t>Remuneração integral</w:t>
            </w:r>
          </w:p>
        </w:tc>
        <w:tc>
          <w:tcPr>
            <w:tcW w:w="1270" w:type="dxa"/>
            <w:tcBorders>
              <w:top w:val="single" w:sz="4" w:space="0" w:color="D2C9B8"/>
              <w:left w:val="single" w:sz="4" w:space="0" w:color="D2C9B8"/>
              <w:bottom w:val="single" w:sz="4" w:space="0" w:color="D2C9B8"/>
              <w:right w:val="single" w:sz="4" w:space="0" w:color="D2C9B8"/>
            </w:tcBorders>
          </w:tcPr>
          <w:p w14:paraId="697A6F51" w14:textId="77777777" w:rsidR="005A5FCC" w:rsidRDefault="00A21C81">
            <w:pPr>
              <w:spacing w:before="20" w:after="20" w:line="240" w:lineRule="auto"/>
              <w:jc w:val="left"/>
            </w:pPr>
            <w:r>
              <w:rPr>
                <w:rFonts w:cs="EB Garamond"/>
                <w:kern w:val="16"/>
                <w:sz w:val="18"/>
                <w14:ligatures w14:val="standardContextual"/>
              </w:rPr>
              <w:t>INSS direto</w:t>
            </w:r>
          </w:p>
        </w:tc>
        <w:tc>
          <w:tcPr>
            <w:tcW w:w="1270" w:type="dxa"/>
            <w:tcBorders>
              <w:top w:val="single" w:sz="4" w:space="0" w:color="D2C9B8"/>
              <w:left w:val="single" w:sz="4" w:space="0" w:color="D2C9B8"/>
              <w:bottom w:val="single" w:sz="4" w:space="0" w:color="D2C9B8"/>
              <w:right w:val="single" w:sz="4" w:space="0" w:color="D2C9B8"/>
            </w:tcBorders>
          </w:tcPr>
          <w:p w14:paraId="190D536A" w14:textId="77777777" w:rsidR="005A5FCC" w:rsidRDefault="00A21C81">
            <w:pPr>
              <w:spacing w:before="20" w:after="20" w:line="240" w:lineRule="auto"/>
              <w:jc w:val="left"/>
            </w:pPr>
            <w:r>
              <w:rPr>
                <w:rFonts w:cs="EB Garamond"/>
                <w:kern w:val="16"/>
                <w:sz w:val="18"/>
                <w14:ligatures w14:val="standardContextual"/>
              </w:rPr>
              <w:t>Art. 72, §3º</w:t>
            </w:r>
          </w:p>
        </w:tc>
      </w:tr>
      <w:tr w:rsidR="005A5FCC" w14:paraId="5A5F1DC1"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23D425AD" w14:textId="77777777" w:rsidR="005A5FCC" w:rsidRDefault="00A21C81">
            <w:pPr>
              <w:spacing w:before="20" w:after="20" w:line="240" w:lineRule="auto"/>
              <w:jc w:val="left"/>
            </w:pPr>
            <w:r>
              <w:rPr>
                <w:rFonts w:cs="EB Garamond"/>
                <w:kern w:val="16"/>
                <w:sz w:val="18"/>
                <w14:ligatures w14:val="standardContextual"/>
              </w:rPr>
              <w:lastRenderedPageBreak/>
              <w:t>Contribuinte individual</w:t>
            </w:r>
          </w:p>
        </w:tc>
        <w:tc>
          <w:tcPr>
            <w:tcW w:w="1270" w:type="dxa"/>
            <w:tcBorders>
              <w:top w:val="single" w:sz="4" w:space="0" w:color="D2C9B8"/>
              <w:left w:val="single" w:sz="4" w:space="0" w:color="D2C9B8"/>
              <w:bottom w:val="single" w:sz="4" w:space="0" w:color="D2C9B8"/>
              <w:right w:val="single" w:sz="4" w:space="0" w:color="D2C9B8"/>
            </w:tcBorders>
          </w:tcPr>
          <w:p w14:paraId="1CB61572" w14:textId="77777777" w:rsidR="005A5FCC" w:rsidRDefault="00A21C81">
            <w:pPr>
              <w:spacing w:before="20" w:after="20" w:line="240" w:lineRule="auto"/>
              <w:jc w:val="left"/>
            </w:pPr>
            <w:r>
              <w:rPr>
                <w:rFonts w:cs="EB Garamond"/>
                <w:kern w:val="16"/>
                <w:sz w:val="18"/>
                <w14:ligatures w14:val="standardContextual"/>
              </w:rPr>
              <w:t>Dispensada</w:t>
            </w:r>
          </w:p>
        </w:tc>
        <w:tc>
          <w:tcPr>
            <w:tcW w:w="1270" w:type="dxa"/>
            <w:tcBorders>
              <w:top w:val="single" w:sz="4" w:space="0" w:color="D2C9B8"/>
              <w:left w:val="single" w:sz="4" w:space="0" w:color="D2C9B8"/>
              <w:bottom w:val="single" w:sz="4" w:space="0" w:color="D2C9B8"/>
              <w:right w:val="single" w:sz="4" w:space="0" w:color="D2C9B8"/>
            </w:tcBorders>
          </w:tcPr>
          <w:p w14:paraId="106187B7" w14:textId="77777777" w:rsidR="005A5FCC" w:rsidRDefault="00A21C81">
            <w:pPr>
              <w:spacing w:before="20" w:after="20" w:line="240" w:lineRule="auto"/>
              <w:jc w:val="left"/>
            </w:pPr>
            <w:r>
              <w:rPr>
                <w:rFonts w:cs="EB Garamond"/>
                <w:kern w:val="16"/>
                <w:sz w:val="18"/>
                <w14:ligatures w14:val="standardContextual"/>
              </w:rPr>
              <w:t>1/12 dos 12 últimos SC</w:t>
            </w:r>
          </w:p>
        </w:tc>
        <w:tc>
          <w:tcPr>
            <w:tcW w:w="1270" w:type="dxa"/>
            <w:tcBorders>
              <w:top w:val="single" w:sz="4" w:space="0" w:color="D2C9B8"/>
              <w:left w:val="single" w:sz="4" w:space="0" w:color="D2C9B8"/>
              <w:bottom w:val="single" w:sz="4" w:space="0" w:color="D2C9B8"/>
              <w:right w:val="single" w:sz="4" w:space="0" w:color="D2C9B8"/>
            </w:tcBorders>
          </w:tcPr>
          <w:p w14:paraId="08A02E08" w14:textId="77777777" w:rsidR="005A5FCC" w:rsidRDefault="00A21C81">
            <w:pPr>
              <w:spacing w:before="20" w:after="20" w:line="240" w:lineRule="auto"/>
              <w:jc w:val="left"/>
            </w:pPr>
            <w:r>
              <w:rPr>
                <w:rFonts w:cs="EB Garamond"/>
                <w:kern w:val="16"/>
                <w:sz w:val="18"/>
                <w14:ligatures w14:val="standardContextual"/>
              </w:rPr>
              <w:t>INSS direto</w:t>
            </w:r>
          </w:p>
        </w:tc>
        <w:tc>
          <w:tcPr>
            <w:tcW w:w="1270" w:type="dxa"/>
            <w:tcBorders>
              <w:top w:val="single" w:sz="4" w:space="0" w:color="D2C9B8"/>
              <w:left w:val="single" w:sz="4" w:space="0" w:color="D2C9B8"/>
              <w:bottom w:val="single" w:sz="4" w:space="0" w:color="D2C9B8"/>
              <w:right w:val="single" w:sz="4" w:space="0" w:color="D2C9B8"/>
            </w:tcBorders>
          </w:tcPr>
          <w:p w14:paraId="0412A561" w14:textId="77777777" w:rsidR="005A5FCC" w:rsidRDefault="00A21C81">
            <w:pPr>
              <w:spacing w:before="20" w:after="20" w:line="240" w:lineRule="auto"/>
              <w:jc w:val="left"/>
            </w:pPr>
            <w:r>
              <w:rPr>
                <w:rFonts w:cs="EB Garamond"/>
                <w:kern w:val="16"/>
                <w:sz w:val="18"/>
                <w14:ligatures w14:val="standardContextual"/>
              </w:rPr>
              <w:t>Art. 73, III</w:t>
            </w:r>
          </w:p>
        </w:tc>
      </w:tr>
      <w:tr w:rsidR="005A5FCC" w14:paraId="6E5B97FA"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0E0552B4" w14:textId="77777777" w:rsidR="005A5FCC" w:rsidRDefault="00A21C81">
            <w:pPr>
              <w:spacing w:before="20" w:after="20" w:line="240" w:lineRule="auto"/>
              <w:jc w:val="left"/>
            </w:pPr>
            <w:r>
              <w:rPr>
                <w:rFonts w:cs="EB Garamond"/>
                <w:kern w:val="16"/>
                <w:sz w:val="18"/>
                <w14:ligatures w14:val="standardContextual"/>
              </w:rPr>
              <w:t>Facultativa</w:t>
            </w:r>
          </w:p>
        </w:tc>
        <w:tc>
          <w:tcPr>
            <w:tcW w:w="1270" w:type="dxa"/>
            <w:tcBorders>
              <w:top w:val="single" w:sz="4" w:space="0" w:color="D2C9B8"/>
              <w:left w:val="single" w:sz="4" w:space="0" w:color="D2C9B8"/>
              <w:bottom w:val="single" w:sz="4" w:space="0" w:color="D2C9B8"/>
              <w:right w:val="single" w:sz="4" w:space="0" w:color="D2C9B8"/>
            </w:tcBorders>
          </w:tcPr>
          <w:p w14:paraId="7D4271D8" w14:textId="77777777" w:rsidR="005A5FCC" w:rsidRDefault="00A21C81">
            <w:pPr>
              <w:spacing w:before="20" w:after="20" w:line="240" w:lineRule="auto"/>
              <w:jc w:val="left"/>
            </w:pPr>
            <w:r>
              <w:rPr>
                <w:rFonts w:cs="EB Garamond"/>
                <w:kern w:val="16"/>
                <w:sz w:val="18"/>
                <w14:ligatures w14:val="standardContextual"/>
              </w:rPr>
              <w:t>Dispensada</w:t>
            </w:r>
          </w:p>
        </w:tc>
        <w:tc>
          <w:tcPr>
            <w:tcW w:w="1270" w:type="dxa"/>
            <w:tcBorders>
              <w:top w:val="single" w:sz="4" w:space="0" w:color="D2C9B8"/>
              <w:left w:val="single" w:sz="4" w:space="0" w:color="D2C9B8"/>
              <w:bottom w:val="single" w:sz="4" w:space="0" w:color="D2C9B8"/>
              <w:right w:val="single" w:sz="4" w:space="0" w:color="D2C9B8"/>
            </w:tcBorders>
          </w:tcPr>
          <w:p w14:paraId="79165CFB" w14:textId="77777777" w:rsidR="005A5FCC" w:rsidRDefault="00A21C81">
            <w:pPr>
              <w:spacing w:before="20" w:after="20" w:line="240" w:lineRule="auto"/>
              <w:jc w:val="left"/>
            </w:pPr>
            <w:r>
              <w:rPr>
                <w:rFonts w:cs="EB Garamond"/>
                <w:kern w:val="16"/>
                <w:sz w:val="18"/>
                <w14:ligatures w14:val="standardContextual"/>
              </w:rPr>
              <w:t>1/12 dos 12 últimos SC</w:t>
            </w:r>
          </w:p>
        </w:tc>
        <w:tc>
          <w:tcPr>
            <w:tcW w:w="1270" w:type="dxa"/>
            <w:tcBorders>
              <w:top w:val="single" w:sz="4" w:space="0" w:color="D2C9B8"/>
              <w:left w:val="single" w:sz="4" w:space="0" w:color="D2C9B8"/>
              <w:bottom w:val="single" w:sz="4" w:space="0" w:color="D2C9B8"/>
              <w:right w:val="single" w:sz="4" w:space="0" w:color="D2C9B8"/>
            </w:tcBorders>
          </w:tcPr>
          <w:p w14:paraId="69FA1094" w14:textId="77777777" w:rsidR="005A5FCC" w:rsidRDefault="00A21C81">
            <w:pPr>
              <w:spacing w:before="20" w:after="20" w:line="240" w:lineRule="auto"/>
              <w:jc w:val="left"/>
            </w:pPr>
            <w:r>
              <w:rPr>
                <w:rFonts w:cs="EB Garamond"/>
                <w:kern w:val="16"/>
                <w:sz w:val="18"/>
                <w14:ligatures w14:val="standardContextual"/>
              </w:rPr>
              <w:t>INSS direto</w:t>
            </w:r>
          </w:p>
        </w:tc>
        <w:tc>
          <w:tcPr>
            <w:tcW w:w="1270" w:type="dxa"/>
            <w:tcBorders>
              <w:top w:val="single" w:sz="4" w:space="0" w:color="D2C9B8"/>
              <w:left w:val="single" w:sz="4" w:space="0" w:color="D2C9B8"/>
              <w:bottom w:val="single" w:sz="4" w:space="0" w:color="D2C9B8"/>
              <w:right w:val="single" w:sz="4" w:space="0" w:color="D2C9B8"/>
            </w:tcBorders>
          </w:tcPr>
          <w:p w14:paraId="395AE04C" w14:textId="77777777" w:rsidR="005A5FCC" w:rsidRDefault="00A21C81">
            <w:pPr>
              <w:spacing w:before="20" w:after="20" w:line="240" w:lineRule="auto"/>
              <w:jc w:val="left"/>
            </w:pPr>
            <w:r>
              <w:rPr>
                <w:rFonts w:cs="EB Garamond"/>
                <w:kern w:val="16"/>
                <w:sz w:val="18"/>
                <w14:ligatures w14:val="standardContextual"/>
              </w:rPr>
              <w:t>Art. 73, III</w:t>
            </w:r>
          </w:p>
        </w:tc>
      </w:tr>
      <w:tr w:rsidR="005A5FCC" w14:paraId="4127E492"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4AE23FE4" w14:textId="77777777" w:rsidR="005A5FCC" w:rsidRDefault="00A21C81">
            <w:pPr>
              <w:spacing w:before="20" w:after="20" w:line="240" w:lineRule="auto"/>
              <w:jc w:val="left"/>
            </w:pPr>
            <w:r>
              <w:rPr>
                <w:rFonts w:cs="EB Garamond"/>
                <w:kern w:val="16"/>
                <w:sz w:val="18"/>
                <w14:ligatures w14:val="standardContextual"/>
              </w:rPr>
              <w:t>Segurada especial</w:t>
            </w:r>
          </w:p>
        </w:tc>
        <w:tc>
          <w:tcPr>
            <w:tcW w:w="1270" w:type="dxa"/>
            <w:tcBorders>
              <w:top w:val="single" w:sz="4" w:space="0" w:color="D2C9B8"/>
              <w:left w:val="single" w:sz="4" w:space="0" w:color="D2C9B8"/>
              <w:bottom w:val="single" w:sz="4" w:space="0" w:color="D2C9B8"/>
              <w:right w:val="single" w:sz="4" w:space="0" w:color="D2C9B8"/>
            </w:tcBorders>
          </w:tcPr>
          <w:p w14:paraId="64B9E139" w14:textId="77777777" w:rsidR="005A5FCC" w:rsidRDefault="00A21C81">
            <w:pPr>
              <w:spacing w:before="20" w:after="20" w:line="240" w:lineRule="auto"/>
              <w:jc w:val="left"/>
            </w:pPr>
            <w:r>
              <w:rPr>
                <w:rFonts w:cs="EB Garamond"/>
                <w:kern w:val="16"/>
                <w:sz w:val="18"/>
                <w14:ligatures w14:val="standardContextual"/>
              </w:rPr>
              <w:t>Dispensada</w:t>
            </w:r>
          </w:p>
        </w:tc>
        <w:tc>
          <w:tcPr>
            <w:tcW w:w="1270" w:type="dxa"/>
            <w:tcBorders>
              <w:top w:val="single" w:sz="4" w:space="0" w:color="D2C9B8"/>
              <w:left w:val="single" w:sz="4" w:space="0" w:color="D2C9B8"/>
              <w:bottom w:val="single" w:sz="4" w:space="0" w:color="D2C9B8"/>
              <w:right w:val="single" w:sz="4" w:space="0" w:color="D2C9B8"/>
            </w:tcBorders>
          </w:tcPr>
          <w:p w14:paraId="4A0227EA" w14:textId="77777777" w:rsidR="005A5FCC" w:rsidRDefault="00A21C81">
            <w:pPr>
              <w:spacing w:before="20" w:after="20" w:line="240" w:lineRule="auto"/>
              <w:jc w:val="left"/>
            </w:pPr>
            <w:r>
              <w:rPr>
                <w:rFonts w:cs="EB Garamond"/>
                <w:kern w:val="16"/>
                <w:sz w:val="18"/>
                <w14:ligatures w14:val="standardContextual"/>
              </w:rPr>
              <w:t>1 SM (R$ 1.621,00)</w:t>
            </w:r>
          </w:p>
        </w:tc>
        <w:tc>
          <w:tcPr>
            <w:tcW w:w="1270" w:type="dxa"/>
            <w:tcBorders>
              <w:top w:val="single" w:sz="4" w:space="0" w:color="D2C9B8"/>
              <w:left w:val="single" w:sz="4" w:space="0" w:color="D2C9B8"/>
              <w:bottom w:val="single" w:sz="4" w:space="0" w:color="D2C9B8"/>
              <w:right w:val="single" w:sz="4" w:space="0" w:color="D2C9B8"/>
            </w:tcBorders>
          </w:tcPr>
          <w:p w14:paraId="4FC21E8A" w14:textId="77777777" w:rsidR="005A5FCC" w:rsidRDefault="00A21C81">
            <w:pPr>
              <w:spacing w:before="20" w:after="20" w:line="240" w:lineRule="auto"/>
              <w:jc w:val="left"/>
            </w:pPr>
            <w:r>
              <w:rPr>
                <w:rFonts w:cs="EB Garamond"/>
                <w:kern w:val="16"/>
                <w:sz w:val="18"/>
                <w14:ligatures w14:val="standardContextual"/>
              </w:rPr>
              <w:t>INSS direto</w:t>
            </w:r>
          </w:p>
        </w:tc>
        <w:tc>
          <w:tcPr>
            <w:tcW w:w="1270" w:type="dxa"/>
            <w:tcBorders>
              <w:top w:val="single" w:sz="4" w:space="0" w:color="D2C9B8"/>
              <w:left w:val="single" w:sz="4" w:space="0" w:color="D2C9B8"/>
              <w:bottom w:val="single" w:sz="4" w:space="0" w:color="D2C9B8"/>
              <w:right w:val="single" w:sz="4" w:space="0" w:color="D2C9B8"/>
            </w:tcBorders>
          </w:tcPr>
          <w:p w14:paraId="651A6880" w14:textId="77777777" w:rsidR="005A5FCC" w:rsidRDefault="00A21C81">
            <w:pPr>
              <w:spacing w:before="20" w:after="20" w:line="240" w:lineRule="auto"/>
              <w:jc w:val="left"/>
            </w:pPr>
            <w:r>
              <w:rPr>
                <w:rFonts w:cs="EB Garamond"/>
                <w:kern w:val="16"/>
                <w:sz w:val="18"/>
                <w14:ligatures w14:val="standardContextual"/>
              </w:rPr>
              <w:t>Art. 73, II</w:t>
            </w:r>
          </w:p>
        </w:tc>
      </w:tr>
      <w:tr w:rsidR="005A5FCC" w14:paraId="43159A51"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3278885C" w14:textId="77777777" w:rsidR="005A5FCC" w:rsidRDefault="00A21C81">
            <w:pPr>
              <w:spacing w:before="20" w:after="20" w:line="240" w:lineRule="auto"/>
              <w:jc w:val="left"/>
            </w:pPr>
            <w:r>
              <w:rPr>
                <w:rFonts w:cs="EB Garamond"/>
                <w:kern w:val="16"/>
                <w:sz w:val="18"/>
                <w14:ligatures w14:val="standardContextual"/>
              </w:rPr>
              <w:t>MEI</w:t>
            </w:r>
          </w:p>
        </w:tc>
        <w:tc>
          <w:tcPr>
            <w:tcW w:w="1270" w:type="dxa"/>
            <w:tcBorders>
              <w:top w:val="single" w:sz="4" w:space="0" w:color="D2C9B8"/>
              <w:left w:val="single" w:sz="4" w:space="0" w:color="D2C9B8"/>
              <w:bottom w:val="single" w:sz="4" w:space="0" w:color="D2C9B8"/>
              <w:right w:val="single" w:sz="4" w:space="0" w:color="D2C9B8"/>
            </w:tcBorders>
          </w:tcPr>
          <w:p w14:paraId="55140AA9" w14:textId="77777777" w:rsidR="005A5FCC" w:rsidRDefault="00A21C81">
            <w:pPr>
              <w:spacing w:before="20" w:after="20" w:line="240" w:lineRule="auto"/>
              <w:jc w:val="left"/>
            </w:pPr>
            <w:r>
              <w:rPr>
                <w:rFonts w:cs="EB Garamond"/>
                <w:kern w:val="16"/>
                <w:sz w:val="18"/>
                <w14:ligatures w14:val="standardContextual"/>
              </w:rPr>
              <w:t>Dispensada</w:t>
            </w:r>
          </w:p>
        </w:tc>
        <w:tc>
          <w:tcPr>
            <w:tcW w:w="1270" w:type="dxa"/>
            <w:tcBorders>
              <w:top w:val="single" w:sz="4" w:space="0" w:color="D2C9B8"/>
              <w:left w:val="single" w:sz="4" w:space="0" w:color="D2C9B8"/>
              <w:bottom w:val="single" w:sz="4" w:space="0" w:color="D2C9B8"/>
              <w:right w:val="single" w:sz="4" w:space="0" w:color="D2C9B8"/>
            </w:tcBorders>
          </w:tcPr>
          <w:p w14:paraId="7CE9DC0B" w14:textId="77777777" w:rsidR="005A5FCC" w:rsidRDefault="00A21C81">
            <w:pPr>
              <w:spacing w:before="20" w:after="20" w:line="240" w:lineRule="auto"/>
              <w:jc w:val="left"/>
            </w:pPr>
            <w:r>
              <w:rPr>
                <w:rFonts w:cs="EB Garamond"/>
                <w:kern w:val="16"/>
                <w:sz w:val="18"/>
                <w14:ligatures w14:val="standardContextual"/>
              </w:rPr>
              <w:t>1 SM (R$ 1.621,00)</w:t>
            </w:r>
          </w:p>
        </w:tc>
        <w:tc>
          <w:tcPr>
            <w:tcW w:w="1270" w:type="dxa"/>
            <w:tcBorders>
              <w:top w:val="single" w:sz="4" w:space="0" w:color="D2C9B8"/>
              <w:left w:val="single" w:sz="4" w:space="0" w:color="D2C9B8"/>
              <w:bottom w:val="single" w:sz="4" w:space="0" w:color="D2C9B8"/>
              <w:right w:val="single" w:sz="4" w:space="0" w:color="D2C9B8"/>
            </w:tcBorders>
          </w:tcPr>
          <w:p w14:paraId="32AB8C5B" w14:textId="77777777" w:rsidR="005A5FCC" w:rsidRDefault="00A21C81">
            <w:pPr>
              <w:spacing w:before="20" w:after="20" w:line="240" w:lineRule="auto"/>
              <w:jc w:val="left"/>
            </w:pPr>
            <w:r>
              <w:rPr>
                <w:rFonts w:cs="EB Garamond"/>
                <w:kern w:val="16"/>
                <w:sz w:val="18"/>
                <w14:ligatures w14:val="standardContextual"/>
              </w:rPr>
              <w:t>INSS direto</w:t>
            </w:r>
          </w:p>
        </w:tc>
        <w:tc>
          <w:tcPr>
            <w:tcW w:w="1270" w:type="dxa"/>
            <w:tcBorders>
              <w:top w:val="single" w:sz="4" w:space="0" w:color="D2C9B8"/>
              <w:left w:val="single" w:sz="4" w:space="0" w:color="D2C9B8"/>
              <w:bottom w:val="single" w:sz="4" w:space="0" w:color="D2C9B8"/>
              <w:right w:val="single" w:sz="4" w:space="0" w:color="D2C9B8"/>
            </w:tcBorders>
          </w:tcPr>
          <w:p w14:paraId="7A344A5C" w14:textId="77777777" w:rsidR="005A5FCC" w:rsidRDefault="00A21C81">
            <w:pPr>
              <w:spacing w:before="20" w:after="20" w:line="240" w:lineRule="auto"/>
              <w:jc w:val="left"/>
            </w:pPr>
            <w:r>
              <w:rPr>
                <w:rFonts w:cs="EB Garamond"/>
                <w:kern w:val="16"/>
                <w:sz w:val="18"/>
                <w14:ligatures w14:val="standardContextual"/>
              </w:rPr>
              <w:t>Art. 73, III</w:t>
            </w:r>
          </w:p>
        </w:tc>
      </w:tr>
    </w:tbl>
    <w:p w14:paraId="2ECDE8AC" w14:textId="77777777" w:rsidR="005A5FCC" w:rsidRDefault="005A5FCC">
      <w:pPr>
        <w:spacing w:after="80" w:line="240" w:lineRule="auto"/>
      </w:pPr>
    </w:p>
    <w:p w14:paraId="2C63E0C2"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13.5 Duração do benefício</w:t>
      </w:r>
    </w:p>
    <w:p w14:paraId="0EB236E4"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65F07615" w14:textId="77777777" w:rsidR="005A5FCC" w:rsidRDefault="00A21C81">
      <w:r>
        <w:rPr>
          <w:rFonts w:cs="EB Garamond"/>
          <w:kern w:val="16"/>
          <w14:ligatures w14:val="standardContextual"/>
        </w:rPr>
        <w:t xml:space="preserve"> duração do salário-maternidade varia conforme o fato gerador, com a regra geral de cento e vinte dias e situações especiais que alteram esse prazo.</w:t>
      </w:r>
    </w:p>
    <w:p w14:paraId="54EEF8BE" w14:textId="77777777" w:rsidR="005A5FCC" w:rsidRDefault="00A21C81">
      <w:pPr>
        <w:ind w:firstLine="238"/>
      </w:pPr>
      <w:r>
        <w:rPr>
          <w:rFonts w:cs="EB Garamond"/>
          <w:b/>
          <w:kern w:val="16"/>
          <w14:ligatures w14:val="standardContextual"/>
        </w:rPr>
        <w:t>Regra geral — 120 dias.</w:t>
      </w:r>
      <w:r>
        <w:rPr>
          <w:rFonts w:cs="EB Garamond"/>
          <w:kern w:val="16"/>
          <w14:ligatures w14:val="standardContextual"/>
        </w:rPr>
        <w:t xml:space="preserve"> O art. 71 da Lei 8.213/91 fixa a duração em cento e vinte dias para parto, adoção e guarda judicial para fins de adoção. O início pode ocorrer até vinte e oito dias antes do parto (mediante atestado médico) ou na data do parto efetivo. A escolha entre antecipar ou não o início depende da situação clínica da gestante: gestações de alto risco frequentemente justificam o afastamento antecipado.</w:t>
      </w:r>
    </w:p>
    <w:p w14:paraId="6EC96730" w14:textId="77777777" w:rsidR="005A5FCC" w:rsidRDefault="00A21C81">
      <w:pPr>
        <w:ind w:firstLine="238"/>
      </w:pPr>
      <w:r>
        <w:rPr>
          <w:rFonts w:cs="EB Garamond"/>
          <w:b/>
          <w:kern w:val="16"/>
          <w14:ligatures w14:val="standardContextual"/>
        </w:rPr>
        <w:t>Prorrogação excepcional — 2 semanas.</w:t>
      </w:r>
      <w:r>
        <w:rPr>
          <w:rFonts w:cs="EB Garamond"/>
          <w:kern w:val="16"/>
          <w14:ligatures w14:val="standardContextual"/>
        </w:rPr>
        <w:t xml:space="preserve"> O art. 93, §3º, do Decreto 3.048/99 permite que, em casos excepcionais, os períodos de repouso anterior e posterior ao parto sejam aumentados de mais duas semanas cada, mediante atestado médico. Assim, o benefício pode alcançar até cento e quarenta e oito dias (120 + 14 antes + 14 depois) em situações de risco gestacional ou complicações pós-parto.</w:t>
      </w:r>
    </w:p>
    <w:p w14:paraId="3F88984B" w14:textId="77777777" w:rsidR="005A5FCC" w:rsidRDefault="00A21C81">
      <w:pPr>
        <w:ind w:firstLine="238"/>
      </w:pPr>
      <w:r>
        <w:rPr>
          <w:rFonts w:cs="EB Garamond"/>
          <w:b/>
          <w:kern w:val="16"/>
          <w14:ligatures w14:val="standardContextual"/>
        </w:rPr>
        <w:t>Aborto não criminoso — 14 dias.</w:t>
      </w:r>
      <w:r>
        <w:rPr>
          <w:rFonts w:cs="EB Garamond"/>
          <w:kern w:val="16"/>
          <w14:ligatures w14:val="standardContextual"/>
        </w:rPr>
        <w:t xml:space="preserve"> O art. 93, §5º, do Decreto 3.048/99 estabelece que, em caso de aborto não criminoso (espontâneo ou legal), o salário-maternidade corresponde a duas semanas, mediante atestado médico.</w:t>
      </w:r>
    </w:p>
    <w:p w14:paraId="764758D3" w14:textId="77777777" w:rsidR="005A5FCC" w:rsidRDefault="00A21C81">
      <w:pPr>
        <w:ind w:firstLine="238"/>
      </w:pPr>
      <w:r>
        <w:rPr>
          <w:rFonts w:cs="EB Garamond"/>
          <w:b/>
          <w:kern w:val="16"/>
          <w14:ligatures w14:val="standardContextual"/>
        </w:rPr>
        <w:t>Empresa Cidadã, prorrogação para 180 dias.</w:t>
      </w:r>
      <w:r>
        <w:rPr>
          <w:rFonts w:cs="EB Garamond"/>
          <w:kern w:val="16"/>
          <w14:ligatures w14:val="standardContextual"/>
        </w:rPr>
        <w:t xml:space="preserve"> A Lei 11.770/2008 instituiu o Programa Empresa Cidadã, que permite a prorrogação da licença-maternidade por sessenta dias adicionais (total de cento e oitenta dias) para empregadas de empresas aderentes. A adesão é voluntária e restrita a empresas tributadas pelo Lucro </w:t>
      </w:r>
      <w:r>
        <w:rPr>
          <w:rFonts w:cs="EB Garamond"/>
          <w:kern w:val="16"/>
          <w14:ligatures w14:val="standardContextual"/>
        </w:rPr>
        <w:lastRenderedPageBreak/>
        <w:t>Real, que obtêm dedução integral do valor pago nos sessenta dias adicionais no Imposto de Renda da Pessoa Jurídica. A empregada deve requerer a prorrogação até o final do primeiro mês após o parto.</w:t>
      </w:r>
    </w:p>
    <w:p w14:paraId="2A277FDA" w14:textId="77777777" w:rsidR="005A5FCC" w:rsidRDefault="00A21C81">
      <w:pPr>
        <w:ind w:firstLine="238"/>
      </w:pPr>
      <w:r>
        <w:rPr>
          <w:rFonts w:cs="EB Garamond"/>
          <w:kern w:val="16"/>
          <w14:ligatures w14:val="standardContextual"/>
        </w:rPr>
        <w:t>As empresas optantes pelo Simples Nacional e as tributadas pelo Lucro Presumido não podem aderir ao Programa Empresa Cidadã, pois o benefício fiscal consiste na dedução do IR, e essas empresas não apuram o IR pelo Lucro Real. Nada impede, porém, que concedam voluntariamente os sessenta dias adicionais, arcando com o custo sem dedução fiscal.</w:t>
      </w:r>
    </w:p>
    <w:p w14:paraId="4860A8EF" w14:textId="77777777" w:rsidR="005A5FCC" w:rsidRDefault="00A21C81">
      <w:pPr>
        <w:ind w:firstLine="238"/>
      </w:pPr>
      <w:r>
        <w:rPr>
          <w:rFonts w:cs="EB Garamond"/>
          <w:kern w:val="16"/>
          <w14:ligatures w14:val="standardContextual"/>
        </w:rPr>
        <w:t>O Programa Empresa Cidadã estende-se também à adoção: a empregada adotante de empresa aderente tem direito à prorrogação de sessenta dias, totalizando cento e oitenta dias de licença. O segurado pai adotante não é contemplado pelo Empresa Cidadã, embora tenha direito à prorrogação da licença-paternidade de cinco para vinte dias pelo mesmo programa.</w:t>
      </w:r>
    </w:p>
    <w:p w14:paraId="3F3DB164" w14:textId="77777777" w:rsidR="005A5FCC" w:rsidRDefault="00A21C81">
      <w:pPr>
        <w:ind w:firstLine="238"/>
      </w:pPr>
      <w:r>
        <w:rPr>
          <w:rFonts w:cs="EB Garamond"/>
          <w:kern w:val="16"/>
          <w14:ligatures w14:val="standardContextual"/>
        </w:rPr>
        <w:t>Os sessenta dias adicionais do Programa Empresa Cidadã não constituem salário-maternidade previdenciário. Trata-se de licença remunerada custeada pelo empregador com incentivo fiscal. Os cento e vinte dias iniciais são salário-maternidade (benefício previdenciário pago pelo INSS ou compensado pelo empregador); os sessenta dias adicionais são remuneração paga pelo empregador com dedução fiscal. Essa distinção é relevante para efeitos contributivos e para a definição de responsabilidade.</w:t>
      </w:r>
    </w:p>
    <w:p w14:paraId="3CCB17A1" w14:textId="77777777" w:rsidR="005A5FCC" w:rsidRDefault="00A21C81">
      <w:pPr>
        <w:ind w:firstLine="238"/>
      </w:pPr>
      <w:r>
        <w:rPr>
          <w:rFonts w:cs="EB Garamond"/>
          <w:kern w:val="16"/>
          <w14:ligatures w14:val="standardContextual"/>
        </w:rPr>
        <w:t>A Lei 14.457/2022 (Programa Emprega + Mulheres) trouxe inovação adicional: a possibilidade de substituir os sessenta dias adicionais da Empresa Cidadã por cento e vinte dias de trabalho em meia jornada, com pagamento de salário integral. Essa alternativa atende à demanda de seguradas que preferem retorno gradual ao trabalho.</w:t>
      </w:r>
    </w:p>
    <w:p w14:paraId="56564E35" w14:textId="77777777" w:rsidR="005A5FCC" w:rsidRDefault="00A21C81">
      <w:pPr>
        <w:ind w:firstLine="238"/>
      </w:pPr>
      <w:r>
        <w:rPr>
          <w:rFonts w:cs="EB Garamond"/>
          <w:b/>
          <w:kern w:val="16"/>
          <w14:ligatures w14:val="standardContextual"/>
        </w:rPr>
        <w:t>Internação prolongada da segurada ou do recém-nascido.</w:t>
      </w:r>
      <w:r>
        <w:rPr>
          <w:rFonts w:cs="EB Garamond"/>
          <w:kern w:val="16"/>
          <w14:ligatures w14:val="standardContextual"/>
        </w:rPr>
        <w:t xml:space="preserve"> A Lei 15.222/2025 acrescentou o § 3º ao art. 71 da Lei 8.213/91: quando a internação hospitalar da segurada ou do recém-nascido superar duas semanas, em decorrência de complicações médicas relacionadas ao parto, o salário-maternidade é devido durante todo o período de internação e por mais cento e vinte dias após a alta hospitalar (da mãe ou do recém-nascido, o que ocorrer por último), descon</w:t>
      </w:r>
      <w:r>
        <w:rPr>
          <w:rFonts w:cs="EB Garamond"/>
          <w:kern w:val="16"/>
          <w14:ligatures w14:val="standardContextual"/>
        </w:rPr>
        <w:lastRenderedPageBreak/>
        <w:t>tado o tempo de benefício eventualmente recebido antes do parto. A norma positivou, ampliando-o, o entendimento que o STF já vinha firmando quanto à contagem do benefício a partir da alta, em proteção ao convívio mãe-filho — pois, se a criança permanece internada, o propósito do benefício, permitir os cuidados iniciais, fica frustrado.</w:t>
      </w:r>
    </w:p>
    <w:tbl>
      <w:tblPr>
        <w:tblW w:w="5000" w:type="pct"/>
        <w:jc w:val="center"/>
        <w:tblLook w:val="04A0" w:firstRow="1" w:lastRow="0" w:firstColumn="1" w:lastColumn="0" w:noHBand="0" w:noVBand="1"/>
      </w:tblPr>
      <w:tblGrid>
        <w:gridCol w:w="2114"/>
        <w:gridCol w:w="2112"/>
        <w:gridCol w:w="2114"/>
      </w:tblGrid>
      <w:tr w:rsidR="005A5FCC" w14:paraId="17F4D839" w14:textId="77777777">
        <w:trPr>
          <w:tblHeader/>
          <w:jc w:val="center"/>
        </w:trPr>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48033579" w14:textId="77777777" w:rsidR="005A5FCC" w:rsidRDefault="00A21C81">
            <w:pPr>
              <w:spacing w:before="40" w:after="40" w:line="240" w:lineRule="auto"/>
              <w:jc w:val="center"/>
            </w:pPr>
            <w:r>
              <w:rPr>
                <w:rFonts w:cs="EB Garamond"/>
                <w:b/>
                <w:color w:val="2F2923"/>
                <w:kern w:val="16"/>
                <w:sz w:val="18"/>
                <w14:ligatures w14:val="standardContextual"/>
              </w:rPr>
              <w:t>Situação</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3E274437" w14:textId="77777777" w:rsidR="005A5FCC" w:rsidRDefault="00A21C81">
            <w:pPr>
              <w:spacing w:before="40" w:after="40" w:line="240" w:lineRule="auto"/>
              <w:jc w:val="center"/>
            </w:pPr>
            <w:r>
              <w:rPr>
                <w:rFonts w:cs="EB Garamond"/>
                <w:b/>
                <w:color w:val="2F2923"/>
                <w:kern w:val="16"/>
                <w:sz w:val="18"/>
                <w14:ligatures w14:val="standardContextual"/>
              </w:rPr>
              <w:t>Duração</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0370C2FB" w14:textId="77777777" w:rsidR="005A5FCC" w:rsidRDefault="00A21C81">
            <w:pPr>
              <w:spacing w:before="40" w:after="40" w:line="240" w:lineRule="auto"/>
              <w:jc w:val="center"/>
            </w:pPr>
            <w:r>
              <w:rPr>
                <w:rFonts w:cs="EB Garamond"/>
                <w:b/>
                <w:color w:val="2F2923"/>
                <w:kern w:val="16"/>
                <w:sz w:val="18"/>
                <w14:ligatures w14:val="standardContextual"/>
              </w:rPr>
              <w:t>Fundamento</w:t>
            </w:r>
          </w:p>
        </w:tc>
      </w:tr>
      <w:tr w:rsidR="005A5FCC" w14:paraId="5E100775"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2717CFA9" w14:textId="77777777" w:rsidR="005A5FCC" w:rsidRDefault="00A21C81">
            <w:pPr>
              <w:spacing w:before="20" w:after="20" w:line="240" w:lineRule="auto"/>
              <w:jc w:val="left"/>
            </w:pPr>
            <w:r>
              <w:rPr>
                <w:rFonts w:cs="EB Garamond"/>
                <w:kern w:val="16"/>
                <w:sz w:val="18"/>
                <w14:ligatures w14:val="standardContextual"/>
              </w:rPr>
              <w:t>Parto (regra geral)</w:t>
            </w:r>
          </w:p>
        </w:tc>
        <w:tc>
          <w:tcPr>
            <w:tcW w:w="2117" w:type="dxa"/>
            <w:tcBorders>
              <w:top w:val="single" w:sz="4" w:space="0" w:color="D2C9B8"/>
              <w:left w:val="single" w:sz="4" w:space="0" w:color="D2C9B8"/>
              <w:bottom w:val="single" w:sz="4" w:space="0" w:color="D2C9B8"/>
              <w:right w:val="single" w:sz="4" w:space="0" w:color="D2C9B8"/>
            </w:tcBorders>
          </w:tcPr>
          <w:p w14:paraId="57864EC6" w14:textId="77777777" w:rsidR="005A5FCC" w:rsidRDefault="00A21C81">
            <w:pPr>
              <w:spacing w:before="20" w:after="20" w:line="240" w:lineRule="auto"/>
              <w:jc w:val="left"/>
            </w:pPr>
            <w:r>
              <w:rPr>
                <w:rFonts w:cs="EB Garamond"/>
                <w:kern w:val="16"/>
                <w:sz w:val="18"/>
                <w14:ligatures w14:val="standardContextual"/>
              </w:rPr>
              <w:t>120 dias</w:t>
            </w:r>
          </w:p>
        </w:tc>
        <w:tc>
          <w:tcPr>
            <w:tcW w:w="2117" w:type="dxa"/>
            <w:tcBorders>
              <w:top w:val="single" w:sz="4" w:space="0" w:color="D2C9B8"/>
              <w:left w:val="single" w:sz="4" w:space="0" w:color="D2C9B8"/>
              <w:bottom w:val="single" w:sz="4" w:space="0" w:color="D2C9B8"/>
              <w:right w:val="single" w:sz="4" w:space="0" w:color="D2C9B8"/>
            </w:tcBorders>
          </w:tcPr>
          <w:p w14:paraId="5688ED9A" w14:textId="77777777" w:rsidR="005A5FCC" w:rsidRDefault="00A21C81">
            <w:pPr>
              <w:spacing w:before="20" w:after="20" w:line="240" w:lineRule="auto"/>
              <w:jc w:val="left"/>
            </w:pPr>
            <w:r>
              <w:rPr>
                <w:rFonts w:cs="EB Garamond"/>
                <w:kern w:val="16"/>
                <w:sz w:val="18"/>
                <w14:ligatures w14:val="standardContextual"/>
              </w:rPr>
              <w:t>Art. 71, Lei 8.213</w:t>
            </w:r>
          </w:p>
        </w:tc>
      </w:tr>
      <w:tr w:rsidR="005A5FCC" w14:paraId="2F6C4A1E"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27FAFD87" w14:textId="77777777" w:rsidR="005A5FCC" w:rsidRDefault="00A21C81">
            <w:pPr>
              <w:spacing w:before="20" w:after="20" w:line="240" w:lineRule="auto"/>
              <w:jc w:val="left"/>
            </w:pPr>
            <w:r>
              <w:rPr>
                <w:rFonts w:cs="EB Garamond"/>
                <w:kern w:val="16"/>
                <w:sz w:val="18"/>
                <w14:ligatures w14:val="standardContextual"/>
              </w:rPr>
              <w:t>Adoção/guarda</w:t>
            </w:r>
          </w:p>
        </w:tc>
        <w:tc>
          <w:tcPr>
            <w:tcW w:w="2117" w:type="dxa"/>
            <w:tcBorders>
              <w:top w:val="single" w:sz="4" w:space="0" w:color="D2C9B8"/>
              <w:left w:val="single" w:sz="4" w:space="0" w:color="D2C9B8"/>
              <w:bottom w:val="single" w:sz="4" w:space="0" w:color="D2C9B8"/>
              <w:right w:val="single" w:sz="4" w:space="0" w:color="D2C9B8"/>
            </w:tcBorders>
          </w:tcPr>
          <w:p w14:paraId="62DCFEB4" w14:textId="77777777" w:rsidR="005A5FCC" w:rsidRDefault="00A21C81">
            <w:pPr>
              <w:spacing w:before="20" w:after="20" w:line="240" w:lineRule="auto"/>
              <w:jc w:val="left"/>
            </w:pPr>
            <w:r>
              <w:rPr>
                <w:rFonts w:cs="EB Garamond"/>
                <w:kern w:val="16"/>
                <w:sz w:val="18"/>
                <w14:ligatures w14:val="standardContextual"/>
              </w:rPr>
              <w:t>120 dias</w:t>
            </w:r>
          </w:p>
        </w:tc>
        <w:tc>
          <w:tcPr>
            <w:tcW w:w="2117" w:type="dxa"/>
            <w:tcBorders>
              <w:top w:val="single" w:sz="4" w:space="0" w:color="D2C9B8"/>
              <w:left w:val="single" w:sz="4" w:space="0" w:color="D2C9B8"/>
              <w:bottom w:val="single" w:sz="4" w:space="0" w:color="D2C9B8"/>
              <w:right w:val="single" w:sz="4" w:space="0" w:color="D2C9B8"/>
            </w:tcBorders>
          </w:tcPr>
          <w:p w14:paraId="5324375A" w14:textId="77777777" w:rsidR="005A5FCC" w:rsidRDefault="00A21C81">
            <w:pPr>
              <w:spacing w:before="20" w:after="20" w:line="240" w:lineRule="auto"/>
              <w:jc w:val="left"/>
            </w:pPr>
            <w:r>
              <w:rPr>
                <w:rFonts w:cs="EB Garamond"/>
                <w:kern w:val="16"/>
                <w:sz w:val="18"/>
                <w14:ligatures w14:val="standardContextual"/>
              </w:rPr>
              <w:t>Art. 71-A, Lei 8.213</w:t>
            </w:r>
          </w:p>
        </w:tc>
      </w:tr>
      <w:tr w:rsidR="005A5FCC" w14:paraId="29FDB504"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6864333E" w14:textId="77777777" w:rsidR="005A5FCC" w:rsidRDefault="00A21C81">
            <w:pPr>
              <w:spacing w:before="20" w:after="20" w:line="240" w:lineRule="auto"/>
              <w:jc w:val="left"/>
            </w:pPr>
            <w:r>
              <w:rPr>
                <w:rFonts w:cs="EB Garamond"/>
                <w:kern w:val="16"/>
                <w:sz w:val="18"/>
                <w14:ligatures w14:val="standardContextual"/>
              </w:rPr>
              <w:t>Aborto não criminoso</w:t>
            </w:r>
          </w:p>
        </w:tc>
        <w:tc>
          <w:tcPr>
            <w:tcW w:w="2117" w:type="dxa"/>
            <w:tcBorders>
              <w:top w:val="single" w:sz="4" w:space="0" w:color="D2C9B8"/>
              <w:left w:val="single" w:sz="4" w:space="0" w:color="D2C9B8"/>
              <w:bottom w:val="single" w:sz="4" w:space="0" w:color="D2C9B8"/>
              <w:right w:val="single" w:sz="4" w:space="0" w:color="D2C9B8"/>
            </w:tcBorders>
          </w:tcPr>
          <w:p w14:paraId="670EC343" w14:textId="77777777" w:rsidR="005A5FCC" w:rsidRDefault="00A21C81">
            <w:pPr>
              <w:spacing w:before="20" w:after="20" w:line="240" w:lineRule="auto"/>
              <w:jc w:val="left"/>
            </w:pPr>
            <w:r>
              <w:rPr>
                <w:rFonts w:cs="EB Garamond"/>
                <w:kern w:val="16"/>
                <w:sz w:val="18"/>
                <w14:ligatures w14:val="standardContextual"/>
              </w:rPr>
              <w:t>14 dias</w:t>
            </w:r>
          </w:p>
        </w:tc>
        <w:tc>
          <w:tcPr>
            <w:tcW w:w="2117" w:type="dxa"/>
            <w:tcBorders>
              <w:top w:val="single" w:sz="4" w:space="0" w:color="D2C9B8"/>
              <w:left w:val="single" w:sz="4" w:space="0" w:color="D2C9B8"/>
              <w:bottom w:val="single" w:sz="4" w:space="0" w:color="D2C9B8"/>
              <w:right w:val="single" w:sz="4" w:space="0" w:color="D2C9B8"/>
            </w:tcBorders>
          </w:tcPr>
          <w:p w14:paraId="3C65D734" w14:textId="77777777" w:rsidR="005A5FCC" w:rsidRDefault="00A21C81">
            <w:pPr>
              <w:spacing w:before="20" w:after="20" w:line="240" w:lineRule="auto"/>
              <w:jc w:val="left"/>
            </w:pPr>
            <w:r>
              <w:rPr>
                <w:rFonts w:cs="EB Garamond"/>
                <w:kern w:val="16"/>
                <w:sz w:val="18"/>
                <w14:ligatures w14:val="standardContextual"/>
              </w:rPr>
              <w:t>Art. 93, §5º, Dec. 3.048</w:t>
            </w:r>
          </w:p>
        </w:tc>
      </w:tr>
      <w:tr w:rsidR="005A5FCC" w14:paraId="29A9C59A"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05162D1A" w14:textId="77777777" w:rsidR="005A5FCC" w:rsidRDefault="00A21C81">
            <w:pPr>
              <w:spacing w:before="20" w:after="20" w:line="240" w:lineRule="auto"/>
              <w:jc w:val="left"/>
            </w:pPr>
            <w:r>
              <w:rPr>
                <w:rFonts w:cs="EB Garamond"/>
                <w:kern w:val="16"/>
                <w:sz w:val="18"/>
                <w14:ligatures w14:val="standardContextual"/>
              </w:rPr>
              <w:t>Prorrogação excepcional</w:t>
            </w:r>
          </w:p>
        </w:tc>
        <w:tc>
          <w:tcPr>
            <w:tcW w:w="2117" w:type="dxa"/>
            <w:tcBorders>
              <w:top w:val="single" w:sz="4" w:space="0" w:color="D2C9B8"/>
              <w:left w:val="single" w:sz="4" w:space="0" w:color="D2C9B8"/>
              <w:bottom w:val="single" w:sz="4" w:space="0" w:color="D2C9B8"/>
              <w:right w:val="single" w:sz="4" w:space="0" w:color="D2C9B8"/>
            </w:tcBorders>
          </w:tcPr>
          <w:p w14:paraId="3ECCFF55" w14:textId="77777777" w:rsidR="005A5FCC" w:rsidRDefault="00A21C81">
            <w:pPr>
              <w:spacing w:before="20" w:after="20" w:line="240" w:lineRule="auto"/>
              <w:jc w:val="left"/>
            </w:pPr>
            <w:r>
              <w:rPr>
                <w:rFonts w:cs="EB Garamond"/>
                <w:kern w:val="16"/>
                <w:sz w:val="18"/>
                <w14:ligatures w14:val="standardContextual"/>
              </w:rPr>
              <w:t>+14 dias (antes e/ou depois)</w:t>
            </w:r>
          </w:p>
        </w:tc>
        <w:tc>
          <w:tcPr>
            <w:tcW w:w="2117" w:type="dxa"/>
            <w:tcBorders>
              <w:top w:val="single" w:sz="4" w:space="0" w:color="D2C9B8"/>
              <w:left w:val="single" w:sz="4" w:space="0" w:color="D2C9B8"/>
              <w:bottom w:val="single" w:sz="4" w:space="0" w:color="D2C9B8"/>
              <w:right w:val="single" w:sz="4" w:space="0" w:color="D2C9B8"/>
            </w:tcBorders>
          </w:tcPr>
          <w:p w14:paraId="596C4541" w14:textId="77777777" w:rsidR="005A5FCC" w:rsidRDefault="00A21C81">
            <w:pPr>
              <w:spacing w:before="20" w:after="20" w:line="240" w:lineRule="auto"/>
              <w:jc w:val="left"/>
            </w:pPr>
            <w:r>
              <w:rPr>
                <w:rFonts w:cs="EB Garamond"/>
                <w:kern w:val="16"/>
                <w:sz w:val="18"/>
                <w14:ligatures w14:val="standardContextual"/>
              </w:rPr>
              <w:t>Art. 93, §3º, Dec. 3.048</w:t>
            </w:r>
          </w:p>
        </w:tc>
      </w:tr>
      <w:tr w:rsidR="005A5FCC" w14:paraId="218A83AF"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710E6981" w14:textId="77777777" w:rsidR="005A5FCC" w:rsidRDefault="00A21C81">
            <w:pPr>
              <w:spacing w:before="20" w:after="20" w:line="240" w:lineRule="auto"/>
              <w:jc w:val="left"/>
            </w:pPr>
            <w:r>
              <w:rPr>
                <w:rFonts w:cs="EB Garamond"/>
                <w:kern w:val="16"/>
                <w:sz w:val="18"/>
                <w14:ligatures w14:val="standardContextual"/>
              </w:rPr>
              <w:t>Empresa Cidadã</w:t>
            </w:r>
          </w:p>
        </w:tc>
        <w:tc>
          <w:tcPr>
            <w:tcW w:w="2117" w:type="dxa"/>
            <w:tcBorders>
              <w:top w:val="single" w:sz="4" w:space="0" w:color="D2C9B8"/>
              <w:left w:val="single" w:sz="4" w:space="0" w:color="D2C9B8"/>
              <w:bottom w:val="single" w:sz="4" w:space="0" w:color="D2C9B8"/>
              <w:right w:val="single" w:sz="4" w:space="0" w:color="D2C9B8"/>
            </w:tcBorders>
          </w:tcPr>
          <w:p w14:paraId="50F25B6B" w14:textId="77777777" w:rsidR="005A5FCC" w:rsidRDefault="00A21C81">
            <w:pPr>
              <w:spacing w:before="20" w:after="20" w:line="240" w:lineRule="auto"/>
              <w:jc w:val="left"/>
            </w:pPr>
            <w:r>
              <w:rPr>
                <w:rFonts w:cs="EB Garamond"/>
                <w:kern w:val="16"/>
                <w:sz w:val="18"/>
                <w14:ligatures w14:val="standardContextual"/>
              </w:rPr>
              <w:t>+60 dias (total 180)</w:t>
            </w:r>
          </w:p>
        </w:tc>
        <w:tc>
          <w:tcPr>
            <w:tcW w:w="2117" w:type="dxa"/>
            <w:tcBorders>
              <w:top w:val="single" w:sz="4" w:space="0" w:color="D2C9B8"/>
              <w:left w:val="single" w:sz="4" w:space="0" w:color="D2C9B8"/>
              <w:bottom w:val="single" w:sz="4" w:space="0" w:color="D2C9B8"/>
              <w:right w:val="single" w:sz="4" w:space="0" w:color="D2C9B8"/>
            </w:tcBorders>
          </w:tcPr>
          <w:p w14:paraId="7CAA04E3" w14:textId="77777777" w:rsidR="005A5FCC" w:rsidRDefault="00A21C81">
            <w:pPr>
              <w:spacing w:before="20" w:after="20" w:line="240" w:lineRule="auto"/>
              <w:jc w:val="left"/>
            </w:pPr>
            <w:r>
              <w:rPr>
                <w:rFonts w:cs="EB Garamond"/>
                <w:kern w:val="16"/>
                <w:sz w:val="18"/>
                <w14:ligatures w14:val="standardContextual"/>
              </w:rPr>
              <w:t>Lei 11.770/2008</w:t>
            </w:r>
          </w:p>
        </w:tc>
      </w:tr>
      <w:tr w:rsidR="005A5FCC" w14:paraId="00C1EAF5"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59EA96EE" w14:textId="77777777" w:rsidR="005A5FCC" w:rsidRDefault="00A21C81">
            <w:pPr>
              <w:spacing w:before="20" w:after="20" w:line="240" w:lineRule="auto"/>
              <w:jc w:val="left"/>
            </w:pPr>
            <w:r>
              <w:rPr>
                <w:rFonts w:cs="EB Garamond"/>
                <w:kern w:val="16"/>
                <w:sz w:val="18"/>
                <w14:ligatures w14:val="standardContextual"/>
              </w:rPr>
              <w:t>Internação da segurada ou do RN &gt; 2 semanas (complicações do parto)</w:t>
            </w:r>
          </w:p>
        </w:tc>
        <w:tc>
          <w:tcPr>
            <w:tcW w:w="2117" w:type="dxa"/>
            <w:tcBorders>
              <w:top w:val="single" w:sz="4" w:space="0" w:color="D2C9B8"/>
              <w:left w:val="single" w:sz="4" w:space="0" w:color="D2C9B8"/>
              <w:bottom w:val="single" w:sz="4" w:space="0" w:color="D2C9B8"/>
              <w:right w:val="single" w:sz="4" w:space="0" w:color="D2C9B8"/>
            </w:tcBorders>
          </w:tcPr>
          <w:p w14:paraId="17AD17CF" w14:textId="77777777" w:rsidR="005A5FCC" w:rsidRDefault="00A21C81">
            <w:pPr>
              <w:spacing w:before="20" w:after="20" w:line="240" w:lineRule="auto"/>
              <w:jc w:val="left"/>
            </w:pPr>
            <w:r>
              <w:rPr>
                <w:rFonts w:cs="EB Garamond"/>
                <w:kern w:val="16"/>
                <w:sz w:val="18"/>
                <w14:ligatures w14:val="standardContextual"/>
              </w:rPr>
              <w:t>Benefício durante a internação + 120 dias após a alta</w:t>
            </w:r>
          </w:p>
        </w:tc>
        <w:tc>
          <w:tcPr>
            <w:tcW w:w="2117" w:type="dxa"/>
            <w:tcBorders>
              <w:top w:val="single" w:sz="4" w:space="0" w:color="D2C9B8"/>
              <w:left w:val="single" w:sz="4" w:space="0" w:color="D2C9B8"/>
              <w:bottom w:val="single" w:sz="4" w:space="0" w:color="D2C9B8"/>
              <w:right w:val="single" w:sz="4" w:space="0" w:color="D2C9B8"/>
            </w:tcBorders>
          </w:tcPr>
          <w:p w14:paraId="66771087" w14:textId="77777777" w:rsidR="005A5FCC" w:rsidRDefault="00A21C81">
            <w:pPr>
              <w:spacing w:before="20" w:after="20" w:line="240" w:lineRule="auto"/>
              <w:jc w:val="left"/>
            </w:pPr>
            <w:r>
              <w:rPr>
                <w:rFonts w:cs="EB Garamond"/>
                <w:kern w:val="16"/>
                <w:sz w:val="18"/>
                <w14:ligatures w14:val="standardContextual"/>
              </w:rPr>
              <w:t>Art. 71, § 3º, Lei 8.213 (Lei 15.222/2025)</w:t>
            </w:r>
          </w:p>
        </w:tc>
      </w:tr>
    </w:tbl>
    <w:p w14:paraId="2A5F594D" w14:textId="77777777" w:rsidR="005A5FCC" w:rsidRDefault="005A5FCC">
      <w:pPr>
        <w:spacing w:after="80" w:line="240" w:lineRule="auto"/>
      </w:pPr>
    </w:p>
    <w:p w14:paraId="26F19D77"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13.6 Valor do benefício e cálculo</w:t>
      </w:r>
    </w:p>
    <w:p w14:paraId="1E32AFF1"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19947A3F" w14:textId="77777777" w:rsidR="005A5FCC" w:rsidRDefault="00A21C81">
      <w:r>
        <w:rPr>
          <w:rFonts w:cs="EB Garamond"/>
          <w:kern w:val="16"/>
          <w14:ligatures w14:val="standardContextual"/>
        </w:rPr>
        <w:t xml:space="preserve"> valor do salário-maternidade varia conforme a categoria da segurada, com regras de cálculo distintas estabelecidas no art. 73 da Lei 8.213/91.</w:t>
      </w:r>
    </w:p>
    <w:p w14:paraId="70227BDE" w14:textId="77777777" w:rsidR="005A5FCC" w:rsidRDefault="00A21C81">
      <w:pPr>
        <w:ind w:firstLine="238"/>
      </w:pPr>
      <w:r>
        <w:rPr>
          <w:rFonts w:cs="EB Garamond"/>
          <w:b/>
          <w:kern w:val="16"/>
          <w14:ligatures w14:val="standardContextual"/>
        </w:rPr>
        <w:t>Empregada e trabalhadora avulsa: remuneração integral.</w:t>
      </w:r>
      <w:r>
        <w:rPr>
          <w:rFonts w:cs="EB Garamond"/>
          <w:kern w:val="16"/>
          <w14:ligatures w14:val="standardContextual"/>
        </w:rPr>
        <w:t xml:space="preserve"> O art. 72 da Lei 8.213/91 determina que o salário-maternidade da empregada e da avulsa consiste em renda mensal igual à sua remuneração integral. Não há aplicação de coeficiente redutor nem fator previdenciário. A segurada que percebe R$ 8.000,00 mensais receberá R$ 8.000,00 de salário-maternidade.</w:t>
      </w:r>
    </w:p>
    <w:p w14:paraId="75F6E5F3" w14:textId="77777777" w:rsidR="005A5FCC" w:rsidRDefault="00A21C81">
      <w:pPr>
        <w:ind w:firstLine="238"/>
      </w:pPr>
      <w:r>
        <w:rPr>
          <w:rFonts w:cs="EB Garamond"/>
          <w:kern w:val="16"/>
          <w14:ligatures w14:val="standardContextual"/>
        </w:rPr>
        <w:t>A remuneração integral abrange o salário-base acrescido de todas as parcelas de natureza remuneratória habituais: adicional de insalubridade, periculosidade, gratificação de função, comissões habituais, horas extras habituais, adicional noturno e outras verbas que compõem a remuneração mensal regular. Parcelas eventuais ou indenizatórias (como ajuda de custo ou diárias para viagem) não integram a base de cálculo.</w:t>
      </w:r>
    </w:p>
    <w:p w14:paraId="1BE08BE6" w14:textId="77777777" w:rsidR="005A5FCC" w:rsidRDefault="00A21C81">
      <w:pPr>
        <w:ind w:firstLine="238"/>
      </w:pPr>
      <w:r>
        <w:rPr>
          <w:rFonts w:cs="EB Garamond"/>
          <w:kern w:val="16"/>
          <w14:ligatures w14:val="standardContextual"/>
        </w:rPr>
        <w:lastRenderedPageBreak/>
        <w:t>Para a empregada de pessoa jurídica, a Lei 10.710/2003 restabeleceu o pagamento do salário-maternidade pela empresa, com compensação nas contribuições previdenciárias. O limite operacional da compensação é o teto do RGPS (R$ 8.475,55 em 2026). A empresa paga a remuneração integral à empregada e compensa o valor até o teto do RGPS; eventual diferença entre a remuneração e o teto é ônus da empresa, sem direito a compensação. Uma empregada que ganha R$ 12.000,00 receberá os R$ 12.000,00 integrais, mas a empresa só compensa R$ 8.475,55, os R$ 3.524,45 restantes ficam a cargo do empregador.</w:t>
      </w:r>
    </w:p>
    <w:p w14:paraId="1063AA55" w14:textId="77777777" w:rsidR="005A5FCC" w:rsidRDefault="00A21C81">
      <w:pPr>
        <w:ind w:firstLine="238"/>
      </w:pPr>
      <w:r>
        <w:rPr>
          <w:rFonts w:cs="EB Garamond"/>
          <w:b/>
          <w:kern w:val="16"/>
          <w14:ligatures w14:val="standardContextual"/>
        </w:rPr>
        <w:t>Incidência de imposto de renda.</w:t>
      </w:r>
      <w:r>
        <w:rPr>
          <w:rFonts w:cs="EB Garamond"/>
          <w:kern w:val="16"/>
          <w14:ligatures w14:val="standardContextual"/>
        </w:rPr>
        <w:t xml:space="preserve"> O salário-maternidade é rendimento tributável para fins de Imposto de Renda da Pessoa Física. A Receita Federal e a jurisprudência são unísonas quanto a isso. O valor é tributado na fonte pela alíquota progressiva (7,5% a 27,5%), com as mesmas deduções aplicáveis à remuneração normal (dependentes, contribuição previdenciária, pensão alimentícia).</w:t>
      </w:r>
    </w:p>
    <w:p w14:paraId="5A8A460F" w14:textId="77777777" w:rsidR="005A5FCC" w:rsidRDefault="00A21C81">
      <w:pPr>
        <w:ind w:firstLine="238"/>
      </w:pPr>
      <w:r>
        <w:rPr>
          <w:rFonts w:cs="EB Garamond"/>
          <w:b/>
          <w:kern w:val="16"/>
          <w14:ligatures w14:val="standardContextual"/>
        </w:rPr>
        <w:t>Empregada doméstica: último salário de contribuição.</w:t>
      </w:r>
      <w:r>
        <w:rPr>
          <w:rFonts w:cs="EB Garamond"/>
          <w:kern w:val="16"/>
          <w14:ligatures w14:val="standardContextual"/>
        </w:rPr>
        <w:t xml:space="preserve"> Desde a LC 150/2015, o salário-maternidade da empregada doméstica é pago diretamente pelo INSS, com base no último salário de contribuição. O valor corresponde ao último salário registrado no eSocial.</w:t>
      </w:r>
    </w:p>
    <w:p w14:paraId="05AE9CB9" w14:textId="161A056C" w:rsidR="005A5FCC" w:rsidRDefault="00A21C81">
      <w:pPr>
        <w:ind w:firstLine="238"/>
      </w:pPr>
      <w:r>
        <w:rPr>
          <w:rFonts w:cs="EB Garamond"/>
          <w:b/>
          <w:kern w:val="16"/>
          <w14:ligatures w14:val="standardContextual"/>
        </w:rPr>
        <w:t>Contribuinte individual e facultativa: média dos últimos 12 salários de contribuição.</w:t>
      </w:r>
      <w:r>
        <w:rPr>
          <w:rFonts w:cs="EB Garamond"/>
          <w:kern w:val="16"/>
          <w14:ligatures w14:val="standardContextual"/>
        </w:rPr>
        <w:t xml:space="preserve"> O art. 73, III, estabelece que o valor corresponde a 1/12 da soma dos doze últimos salários de contribuição, apurados em período não superior a quinze meses. A fórmula busca os doze últimos meses com contribuição dentro de uma janela de quinze meses, evitando distorções por meses sem contribuição. O valor mínimo é de um </w:t>
      </w:r>
      <w:r w:rsidR="00793E73">
        <w:rPr>
          <w:rFonts w:cs="EB Garamond"/>
          <w:kern w:val="16"/>
          <w14:ligatures w14:val="standardContextual"/>
        </w:rPr>
        <w:t>salário-mínimo</w:t>
      </w:r>
      <w:r>
        <w:rPr>
          <w:rFonts w:cs="EB Garamond"/>
          <w:kern w:val="16"/>
          <w14:ligatures w14:val="standardContextual"/>
        </w:rPr>
        <w:t>.</w:t>
      </w:r>
    </w:p>
    <w:p w14:paraId="16BF0E92" w14:textId="47CD1265" w:rsidR="005A5FCC" w:rsidRDefault="00A21C81">
      <w:pPr>
        <w:ind w:firstLine="238"/>
      </w:pPr>
      <w:r>
        <w:rPr>
          <w:rFonts w:cs="EB Garamond"/>
          <w:b/>
          <w:kern w:val="16"/>
          <w14:ligatures w14:val="standardContextual"/>
        </w:rPr>
        <w:t>Segurada especial: um salário</w:t>
      </w:r>
      <w:r w:rsidR="00793E73">
        <w:rPr>
          <w:rFonts w:cs="EB Garamond"/>
          <w:b/>
          <w:kern w:val="16"/>
          <w14:ligatures w14:val="standardContextual"/>
        </w:rPr>
        <w:t>-</w:t>
      </w:r>
      <w:r>
        <w:rPr>
          <w:rFonts w:cs="EB Garamond"/>
          <w:b/>
          <w:kern w:val="16"/>
          <w14:ligatures w14:val="standardContextual"/>
        </w:rPr>
        <w:t>mínimo.</w:t>
      </w:r>
      <w:r>
        <w:rPr>
          <w:rFonts w:cs="EB Garamond"/>
          <w:kern w:val="16"/>
          <w14:ligatures w14:val="standardContextual"/>
        </w:rPr>
        <w:t xml:space="preserve"> O art. 73, II, fixa o valor em um </w:t>
      </w:r>
      <w:r w:rsidR="00793E73">
        <w:rPr>
          <w:rFonts w:cs="EB Garamond"/>
          <w:kern w:val="16"/>
          <w14:ligatures w14:val="standardContextual"/>
        </w:rPr>
        <w:t>salário-mínimo</w:t>
      </w:r>
      <w:r>
        <w:rPr>
          <w:rFonts w:cs="EB Garamond"/>
          <w:kern w:val="16"/>
          <w14:ligatures w14:val="standardContextual"/>
        </w:rPr>
        <w:t xml:space="preserve"> (R$ 1.621,00 em 2026). Esse valor é fixo, independentemente da renda efetiva da atividade rural. A segurada especial que complementar suas contribuições como contribuinte individual (contribuição adicional de 20% sobre o SC declarado) pode obter benefício de valor superior, calculado na forma do art. 73, III.</w:t>
      </w:r>
    </w:p>
    <w:tbl>
      <w:tblPr>
        <w:tblW w:w="5000" w:type="pct"/>
        <w:jc w:val="center"/>
        <w:tblLayout w:type="fixed"/>
        <w:tblLook w:val="04A0" w:firstRow="1" w:lastRow="0" w:firstColumn="1" w:lastColumn="0" w:noHBand="0" w:noVBand="1"/>
      </w:tblPr>
      <w:tblGrid>
        <w:gridCol w:w="6311"/>
      </w:tblGrid>
      <w:tr w:rsidR="005A5FCC" w14:paraId="6C879B4B"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3A9EB4B5"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75874A09" w14:textId="77777777" w:rsidR="005A5FCC" w:rsidRDefault="00A21C81">
            <w:pPr>
              <w:spacing w:after="60" w:line="247" w:lineRule="auto"/>
            </w:pPr>
            <w:r>
              <w:rPr>
                <w:rFonts w:cs="EB Garamond"/>
                <w:b/>
                <w:kern w:val="16"/>
                <w:sz w:val="19"/>
                <w14:ligatures w14:val="standardContextual"/>
              </w:rPr>
              <w:t>Exemplos de cálculo — Valores 2026</w:t>
            </w:r>
          </w:p>
          <w:p w14:paraId="623023A5" w14:textId="77777777" w:rsidR="005A5FCC" w:rsidRDefault="00A21C81">
            <w:pPr>
              <w:spacing w:after="60" w:line="247" w:lineRule="auto"/>
            </w:pPr>
            <w:r>
              <w:rPr>
                <w:rFonts w:cs="EB Garamond"/>
                <w:b/>
                <w:kern w:val="16"/>
                <w:sz w:val="19"/>
                <w14:ligatures w14:val="standardContextual"/>
              </w:rPr>
              <w:t>Exemplo 1 — Empregada CLT (salário de R$ 4.500,00):</w:t>
            </w:r>
            <w:r>
              <w:rPr>
                <w:rFonts w:cs="EB Garamond"/>
                <w:kern w:val="16"/>
                <w:sz w:val="19"/>
                <w14:ligatures w14:val="standardContextual"/>
              </w:rPr>
              <w:t xml:space="preserve"> SM = Remuneração integral = R$ 4.500,00/mês × 4 meses = R$ 18.000,00 no período. Quem paga: empresa, com compensação na GPS.</w:t>
            </w:r>
          </w:p>
          <w:p w14:paraId="6BD44BD4" w14:textId="77777777" w:rsidR="005A5FCC" w:rsidRDefault="00A21C81">
            <w:pPr>
              <w:spacing w:after="60" w:line="247" w:lineRule="auto"/>
            </w:pPr>
            <w:r>
              <w:rPr>
                <w:rFonts w:cs="EB Garamond"/>
                <w:b/>
                <w:kern w:val="16"/>
                <w:sz w:val="19"/>
                <w14:ligatures w14:val="standardContextual"/>
              </w:rPr>
              <w:t>Exemplo 2 — Empregada doméstica (último SC de R$ 2.200,00):</w:t>
            </w:r>
            <w:r>
              <w:rPr>
                <w:rFonts w:cs="EB Garamond"/>
                <w:kern w:val="16"/>
                <w:sz w:val="19"/>
                <w14:ligatures w14:val="standardContextual"/>
              </w:rPr>
              <w:t xml:space="preserve"> SM = R$ 2.200,00/mês × 4 meses = R$ 8.800,00 no período. Quem paga: INSS diretamente.</w:t>
            </w:r>
          </w:p>
          <w:p w14:paraId="4A6DEA84" w14:textId="77777777" w:rsidR="005A5FCC" w:rsidRDefault="00A21C81">
            <w:pPr>
              <w:spacing w:after="60" w:line="247" w:lineRule="auto"/>
            </w:pPr>
            <w:r>
              <w:rPr>
                <w:rFonts w:cs="EB Garamond"/>
                <w:b/>
                <w:kern w:val="16"/>
                <w:sz w:val="19"/>
                <w14:ligatures w14:val="standardContextual"/>
              </w:rPr>
              <w:t>Exemplo 3 — Contribuinte individual (12 últimos SC: R$ 3.000,00/mês):</w:t>
            </w:r>
            <w:r>
              <w:rPr>
                <w:rFonts w:cs="EB Garamond"/>
                <w:kern w:val="16"/>
                <w:sz w:val="19"/>
                <w14:ligatures w14:val="standardContextual"/>
              </w:rPr>
              <w:t xml:space="preserve"> SM = 1/12 × (R$ 3.000,00 × 12) = R$ 3.000,00/mês × 4 meses = R$ 12.000,00 no período. Quem paga: INSS diretamente.</w:t>
            </w:r>
          </w:p>
          <w:p w14:paraId="75CAB65F" w14:textId="77777777" w:rsidR="005A5FCC" w:rsidRDefault="00A21C81">
            <w:pPr>
              <w:spacing w:after="60" w:line="247" w:lineRule="auto"/>
            </w:pPr>
            <w:r>
              <w:rPr>
                <w:rFonts w:cs="EB Garamond"/>
                <w:b/>
                <w:kern w:val="16"/>
                <w:sz w:val="19"/>
                <w14:ligatures w14:val="standardContextual"/>
              </w:rPr>
              <w:t>Exemplo 4 — Segurada especial:</w:t>
            </w:r>
            <w:r>
              <w:rPr>
                <w:rFonts w:cs="EB Garamond"/>
                <w:kern w:val="16"/>
                <w:sz w:val="19"/>
                <w14:ligatures w14:val="standardContextual"/>
              </w:rPr>
              <w:t xml:space="preserve"> SM = 1 SM = R$ 1.621,00/mês × 4 meses = R$ 6.484,00 no período. Quem paga: INSS diretamente.</w:t>
            </w:r>
          </w:p>
          <w:p w14:paraId="7CC35457" w14:textId="77777777" w:rsidR="005A5FCC" w:rsidRDefault="00A21C81">
            <w:pPr>
              <w:spacing w:after="60" w:line="247" w:lineRule="auto"/>
            </w:pPr>
            <w:r>
              <w:rPr>
                <w:rFonts w:cs="EB Garamond"/>
                <w:b/>
                <w:kern w:val="16"/>
                <w:sz w:val="19"/>
                <w14:ligatures w14:val="standardContextual"/>
              </w:rPr>
              <w:t>Exemplo 5 — MEI:</w:t>
            </w:r>
            <w:r>
              <w:rPr>
                <w:rFonts w:cs="EB Garamond"/>
                <w:kern w:val="16"/>
                <w:sz w:val="19"/>
                <w14:ligatures w14:val="standardContextual"/>
              </w:rPr>
              <w:t xml:space="preserve"> SM = 1 SM = R$ 1.621,00/mês × 4 meses = R$ 6.484,00 no período. Quem paga: INSS diretamente. Se a MEI complementar para 20%, valor será calculado pelo art. 73, III.</w:t>
            </w:r>
          </w:p>
        </w:tc>
      </w:tr>
    </w:tbl>
    <w:p w14:paraId="295D78AB" w14:textId="77777777" w:rsidR="005A5FCC" w:rsidRDefault="005A5FCC">
      <w:pPr>
        <w:spacing w:after="80" w:line="240" w:lineRule="auto"/>
      </w:pPr>
    </w:p>
    <w:p w14:paraId="01EB0BAC"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13.7 Responsabilidade pelo pagamento e compensação tributária</w:t>
      </w:r>
    </w:p>
    <w:p w14:paraId="312B66E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69178635" w14:textId="77777777" w:rsidR="005A5FCC" w:rsidRDefault="00A21C81">
      <w:r>
        <w:rPr>
          <w:rFonts w:cs="EB Garamond"/>
          <w:kern w:val="16"/>
          <w14:ligatures w14:val="standardContextual"/>
        </w:rPr>
        <w:t xml:space="preserve"> sistema de pagamento do salário-maternidade envolve dois mecanismos distintos, conforme a categoria da segurada: pagamento pelo empregador com compensação tributária ou pagamento direto pelo INSS.</w:t>
      </w:r>
    </w:p>
    <w:p w14:paraId="46848B60" w14:textId="77777777" w:rsidR="005A5FCC" w:rsidRDefault="00A21C81">
      <w:pPr>
        <w:ind w:firstLine="238"/>
      </w:pPr>
      <w:r>
        <w:rPr>
          <w:rFonts w:cs="EB Garamond"/>
          <w:b/>
          <w:kern w:val="16"/>
          <w14:ligatures w14:val="standardContextual"/>
        </w:rPr>
        <w:t>Pagamento pelo empregador (empregada CLT).</w:t>
      </w:r>
      <w:r>
        <w:rPr>
          <w:rFonts w:cs="EB Garamond"/>
          <w:kern w:val="16"/>
          <w14:ligatures w14:val="standardContextual"/>
        </w:rPr>
        <w:t xml:space="preserve"> Para a segurada empregada de pessoa jurídica (exceto doméstica e empregada do MEI), o salário-maternidade é pago pelo empregador como se fosse remuneração normal. A empresa então efetua a compensação do valor pago com as contribuições previdenciárias devidas sobre a folha de salários, nos termos do art. 72, §1º, da Lei 8.213/91. O mecanismo funciona assim: a empresa apura o total de contribuições patronais devidas no mês, deduz o valor pago a título de salário-maternidade, e recolhe apenas a diferença. Se o valor do salário-maternidade exceder o total de contribuições, a empresa acumula crédito para compensação nos meses seguintes.</w:t>
      </w:r>
    </w:p>
    <w:p w14:paraId="65E3BFD5" w14:textId="77777777" w:rsidR="005A5FCC" w:rsidRDefault="00A21C81">
      <w:pPr>
        <w:ind w:firstLine="238"/>
      </w:pPr>
      <w:r>
        <w:rPr>
          <w:rFonts w:cs="EB Garamond"/>
          <w:kern w:val="16"/>
          <w14:ligatures w14:val="standardContextual"/>
        </w:rPr>
        <w:lastRenderedPageBreak/>
        <w:t>Esse sistema de compensação preserva o princípio de que o custo do salário-maternidade recai sobre o sistema previdenciário, e não sobre o empregador individual. A empresa funciona como mera intermediária: paga o benefício à segurada e se ressarce com as contribuições que seriam devidas.</w:t>
      </w:r>
    </w:p>
    <w:p w14:paraId="6D434609" w14:textId="77777777" w:rsidR="005A5FCC" w:rsidRDefault="00A21C81">
      <w:pPr>
        <w:ind w:firstLine="238"/>
      </w:pPr>
      <w:r>
        <w:rPr>
          <w:rFonts w:cs="EB Garamond"/>
          <w:kern w:val="16"/>
          <w14:ligatures w14:val="standardContextual"/>
        </w:rPr>
        <w:t>Na prática do eSocial e da DCTFWeb, a compensação é operacionalizada automaticamente: o evento S-1200 registra a remuneração e o evento S-1210 registra o pagamento, incluindo o salário-maternidade. O sistema calcula o valor compensável e gera a guia de recolhimento (DARF) já com a dedução.</w:t>
      </w:r>
    </w:p>
    <w:p w14:paraId="48E2CA8B" w14:textId="77777777" w:rsidR="005A5FCC" w:rsidRDefault="00A21C81">
      <w:pPr>
        <w:ind w:firstLine="238"/>
      </w:pPr>
      <w:r>
        <w:rPr>
          <w:rFonts w:cs="EB Garamond"/>
          <w:b/>
          <w:kern w:val="16"/>
          <w14:ligatures w14:val="standardContextual"/>
        </w:rPr>
        <w:t>Pagamento direto pelo INSS.</w:t>
      </w:r>
      <w:r>
        <w:rPr>
          <w:rFonts w:cs="EB Garamond"/>
          <w:kern w:val="16"/>
          <w14:ligatures w14:val="standardContextual"/>
        </w:rPr>
        <w:t xml:space="preserve"> Para todas as demais categorias, empregada doméstica, trabalhadora avulsa, contribuinte individual, segurada facultativa, segurada especial e MEI, o salário-maternidade é pago diretamente pelo INSS. O requerimento é feito pelo Meu INSS (portal ou aplicativo) ou presencialmente na Agência da Previdência Social. O INSS efetua o pagamento em parcela mensal, depositando o valor na conta bancária indicada pela segurada. O primeiro pagamento costuma ocorrer no mês seguinte ao deferimento do requerimento, com pagamento retroativo à data do fato gerador quando houver atraso no processamento.</w:t>
      </w:r>
    </w:p>
    <w:p w14:paraId="3F811954" w14:textId="77777777" w:rsidR="005A5FCC" w:rsidRDefault="00A21C81">
      <w:pPr>
        <w:ind w:firstLine="238"/>
      </w:pPr>
      <w:r>
        <w:rPr>
          <w:rFonts w:cs="EB Garamond"/>
          <w:kern w:val="16"/>
          <w14:ligatures w14:val="standardContextual"/>
        </w:rPr>
        <w:t>A demora no processamento administrativo é um dos principais motivos de judicialização: o prazo legal de quarenta e cinco dias para o primeiro pagamento do benefício, contado da apresentação da documentação necessária à concessão (art. 41-A, §5º, Lei 8.213/91), é frequentemente descumprido pelo INSS, e a natureza transitória do benefício (apenas quatro meses) torna qualquer atraso proporcionalmente grave. Uma demora de dois meses para concessão compromete metade do período do benefício.</w:t>
      </w:r>
    </w:p>
    <w:p w14:paraId="56B57565" w14:textId="77777777" w:rsidR="005A5FCC" w:rsidRDefault="00A21C81">
      <w:pPr>
        <w:ind w:firstLine="238"/>
      </w:pPr>
      <w:r>
        <w:rPr>
          <w:rFonts w:cs="EB Garamond"/>
          <w:kern w:val="16"/>
          <w14:ligatures w14:val="standardContextual"/>
        </w:rPr>
        <w:t>A empregada do MEI é exceção relevante: embora mantida como empregada, o salário-maternidade é pago diretamente pelo INSS (art. 72, §3º, Lei 8.213/91), e não pelo microempreendedor. A razão é prática: o MEI não tem estrutura administrativa para operacionalizar o pagamento e a compensação.</w:t>
      </w:r>
    </w:p>
    <w:p w14:paraId="0A658148" w14:textId="77777777" w:rsidR="005A5FCC" w:rsidRDefault="00A21C81">
      <w:pPr>
        <w:ind w:firstLine="238"/>
      </w:pPr>
      <w:r>
        <w:rPr>
          <w:rFonts w:cs="EB Garamond"/>
          <w:b/>
          <w:kern w:val="16"/>
          <w14:ligatures w14:val="standardContextual"/>
        </w:rPr>
        <w:t>Empresa que se recusa a pagar.</w:t>
      </w:r>
      <w:r>
        <w:rPr>
          <w:rFonts w:cs="EB Garamond"/>
          <w:kern w:val="16"/>
          <w14:ligatures w14:val="standardContextual"/>
        </w:rPr>
        <w:t xml:space="preserve"> Quando a empresa se recusa a pagar o salário-maternidade, seja por dificuldade financeira, seja por controvérsia sobre o direito da empregada, surge a questão da competência. A empregada pode ajuizar </w:t>
      </w:r>
      <w:r>
        <w:rPr>
          <w:rFonts w:cs="EB Garamond"/>
          <w:kern w:val="16"/>
          <w14:ligatures w14:val="standardContextual"/>
        </w:rPr>
        <w:lastRenderedPageBreak/>
        <w:t>ação trabalhista contra o empregador (Justiça do Trabalho) ou ação previdenciária contra o INSS (Justiça Federal/JEF). A jurisprudência majoritária entende que, sendo o salário-maternidade benefício previdenciário, o INSS é o responsável último pelo pagamento, podendo ser acionado diretamente quando o empregador se omitir. O INSS, por sua vez, pode exercer direito de regresso contra a empresa.</w:t>
      </w:r>
    </w:p>
    <w:p w14:paraId="731D559C" w14:textId="77777777" w:rsidR="005A5FCC" w:rsidRDefault="00A21C81">
      <w:pPr>
        <w:ind w:firstLine="238"/>
      </w:pPr>
      <w:r>
        <w:rPr>
          <w:rFonts w:cs="EB Garamond"/>
          <w:b/>
          <w:kern w:val="16"/>
          <w14:ligatures w14:val="standardContextual"/>
        </w:rPr>
        <w:t>Empresa em recuperação judicial ou falência.</w:t>
      </w:r>
      <w:r>
        <w:rPr>
          <w:rFonts w:cs="EB Garamond"/>
          <w:kern w:val="16"/>
          <w14:ligatures w14:val="standardContextual"/>
        </w:rPr>
        <w:t xml:space="preserve"> A empresa em recuperação judicial ou falência continua obrigada ao pagamento do salário-maternidade. Se a empresa não efetuar o pagamento, a segurada pode requerer diretamente ao INSS, que assume o pagamento e busca o ressarcimento junto à massa falida. No cotidiano dos JEFs, essas situações geram demandas em que a segurada pede ao INSS o pagamento direto, ante a impossibilidade de obter o benefício pela via trabalhista.</w:t>
      </w:r>
    </w:p>
    <w:p w14:paraId="476A3330" w14:textId="77777777" w:rsidR="005A5FCC" w:rsidRDefault="00A21C81">
      <w:pPr>
        <w:ind w:firstLine="238"/>
      </w:pPr>
      <w:r>
        <w:rPr>
          <w:rFonts w:cs="EB Garamond"/>
          <w:b/>
          <w:kern w:val="16"/>
          <w14:ligatures w14:val="standardContextual"/>
        </w:rPr>
        <w:t>Fraude na compensação.</w:t>
      </w:r>
      <w:r>
        <w:rPr>
          <w:rFonts w:cs="EB Garamond"/>
          <w:kern w:val="16"/>
          <w14:ligatures w14:val="standardContextual"/>
        </w:rPr>
        <w:t xml:space="preserve"> O mecanismo de compensação tributária pode ser utilizado fraudulentamente por empresas que registram pagamentos fictícios de salário-maternidade para reduzir suas contribuições previdenciárias. A Receita Federal fiscaliza essas situações mediante cruzamento dos dados do eSocial (que registra o afastamento da empregada) com as informações da DCTFWeb (que registra a compensação). A detecção de fraude gera autuação fiscal com multa qualificada de 150% (art. 44, §1º, Lei 9.430/96) e possível responsabilização criminal.</w:t>
      </w:r>
    </w:p>
    <w:tbl>
      <w:tblPr>
        <w:tblW w:w="5000" w:type="pct"/>
        <w:jc w:val="center"/>
        <w:tblLayout w:type="fixed"/>
        <w:tblLook w:val="04A0" w:firstRow="1" w:lastRow="0" w:firstColumn="1" w:lastColumn="0" w:noHBand="0" w:noVBand="1"/>
      </w:tblPr>
      <w:tblGrid>
        <w:gridCol w:w="6311"/>
      </w:tblGrid>
      <w:tr w:rsidR="005A5FCC" w14:paraId="4ABCA287"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503A9978"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731E730C" w14:textId="77777777" w:rsidR="005A5FCC" w:rsidRDefault="00A21C81">
            <w:pPr>
              <w:spacing w:after="60" w:line="247" w:lineRule="auto"/>
            </w:pPr>
            <w:r>
              <w:rPr>
                <w:rFonts w:cs="EB Garamond"/>
                <w:b/>
                <w:kern w:val="16"/>
                <w:sz w:val="19"/>
                <w14:ligatures w14:val="standardContextual"/>
              </w:rPr>
              <w:t>Atenção: Empregada doméstica — INSS paga diretamente desde 2015</w:t>
            </w:r>
          </w:p>
          <w:p w14:paraId="7230871F" w14:textId="77777777" w:rsidR="005A5FCC" w:rsidRDefault="00A21C81">
            <w:pPr>
              <w:spacing w:after="60" w:line="247" w:lineRule="auto"/>
            </w:pPr>
            <w:r>
              <w:rPr>
                <w:rFonts w:cs="EB Garamond"/>
                <w:kern w:val="16"/>
                <w:sz w:val="19"/>
                <w14:ligatures w14:val="standardContextual"/>
              </w:rPr>
              <w:t>Até a LC 150/2015, o empregador doméstico era responsável pelo pagamento do salário-maternidade à empregada doméstica, com direito a ressarcimento junto ao INSS — mecanismo que se mostrou inviável em termos operacionais, pois o empregador doméstico (pessoa física) não tem folha de salários sobre a qual efetuar compensação. Desde junho de 2015, o INSS paga diretamente o SM à empregada doméstica, com base no último salário de contribuição registrado no eSocial. A empregada doméstica requer o benefício pelo Meu INSS, da mesma forma que a contribuinte individual.</w:t>
            </w:r>
          </w:p>
        </w:tc>
      </w:tr>
    </w:tbl>
    <w:p w14:paraId="41B3EF08" w14:textId="77777777" w:rsidR="005A5FCC" w:rsidRDefault="005A5FCC">
      <w:pPr>
        <w:spacing w:after="80" w:line="240" w:lineRule="auto"/>
      </w:pPr>
    </w:p>
    <w:tbl>
      <w:tblPr>
        <w:tblW w:w="5000" w:type="pct"/>
        <w:jc w:val="center"/>
        <w:tblLayout w:type="fixed"/>
        <w:tblLook w:val="04A0" w:firstRow="1" w:lastRow="0" w:firstColumn="1" w:lastColumn="0" w:noHBand="0" w:noVBand="1"/>
      </w:tblPr>
      <w:tblGrid>
        <w:gridCol w:w="6311"/>
      </w:tblGrid>
      <w:tr w:rsidR="005A5FCC" w14:paraId="24C69A0C"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2EE5E584"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44A2CA1A" w14:textId="77777777" w:rsidR="005A5FCC" w:rsidRDefault="00A21C81">
            <w:pPr>
              <w:spacing w:after="60" w:line="247" w:lineRule="auto"/>
            </w:pPr>
            <w:r>
              <w:rPr>
                <w:rFonts w:cs="EB Garamond"/>
                <w:b/>
                <w:kern w:val="16"/>
                <w:sz w:val="19"/>
                <w14:ligatures w14:val="standardContextual"/>
              </w:rPr>
              <w:t>Como requerer o salário-maternidade no Meu INSS</w:t>
            </w:r>
          </w:p>
          <w:p w14:paraId="3430166C" w14:textId="77777777" w:rsidR="005A5FCC" w:rsidRDefault="00A21C81">
            <w:pPr>
              <w:spacing w:after="60" w:line="247" w:lineRule="auto"/>
            </w:pPr>
            <w:r>
              <w:rPr>
                <w:rFonts w:cs="EB Garamond"/>
                <w:kern w:val="16"/>
                <w:sz w:val="19"/>
                <w14:ligatures w14:val="standardContextual"/>
              </w:rPr>
              <w:t>1. Acesse o portal meu.inss.gov.br ou o aplicativo Meu INSS; 2. Clique em "Novo Pedido" → "Salário-Maternidade"; 3. Selecione o tipo de evento (parto, adoção, aborto, natimorto); 4. Preencha os dados pessoais e a data do evento; 5. Anexe a documentação comprobatória:  - Parto: certidão de nascimento  - Adoção: sentença judicial ou termo de guarda  - Aborto: atestado médico  - Natimorto: certidão de natimorto 6. Para empregada doméstica: informar dados do empregador no eSocial; 7. Para segurada especial: anexar documentos de prova rural (DAP, notas fiscais, declaração do sindicato); 8. Acompanhe o andamento pelo mesmo portal; 9. Prazo legal para o primeiro pagamento pelo INSS: 45 dias após a apresentação da documentação necessária (art. 41-A, §5º, Lei 8.213); 10. Se indeferido: apresentar recurso à Junta de Recursos ou ajuizar ação no JEF.</w:t>
            </w:r>
          </w:p>
          <w:p w14:paraId="33D8F1F2" w14:textId="77777777" w:rsidR="005A5FCC" w:rsidRDefault="00A21C81">
            <w:pPr>
              <w:spacing w:after="60" w:line="247" w:lineRule="auto"/>
            </w:pPr>
            <w:r>
              <w:rPr>
                <w:rFonts w:cs="EB Garamond"/>
                <w:b/>
                <w:kern w:val="16"/>
                <w:sz w:val="19"/>
                <w14:ligatures w14:val="standardContextual"/>
              </w:rPr>
              <w:t>Importante:</w:t>
            </w:r>
            <w:r>
              <w:rPr>
                <w:rFonts w:cs="EB Garamond"/>
                <w:kern w:val="16"/>
                <w:sz w:val="19"/>
                <w14:ligatures w14:val="standardContextual"/>
              </w:rPr>
              <w:t xml:space="preserve"> A empregada CLT não requer pelo Meu INSS, o benefício é pago pela empresa diretamente em folha.</w:t>
            </w:r>
          </w:p>
        </w:tc>
      </w:tr>
    </w:tbl>
    <w:p w14:paraId="72107C9F" w14:textId="77777777" w:rsidR="005A5FCC" w:rsidRDefault="005A5FCC">
      <w:pPr>
        <w:spacing w:after="80" w:line="240" w:lineRule="auto"/>
      </w:pPr>
    </w:p>
    <w:p w14:paraId="7D89DDCA"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13.8 Incidência de contribuição previdenciária sobre o salário-maternidade</w:t>
      </w:r>
    </w:p>
    <w:p w14:paraId="2D0E7C4E"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1FC381CC" w14:textId="77777777" w:rsidR="005A5FCC" w:rsidRDefault="00A21C81">
      <w:r>
        <w:rPr>
          <w:rFonts w:cs="EB Garamond"/>
          <w:kern w:val="16"/>
          <w14:ligatures w14:val="standardContextual"/>
        </w:rPr>
        <w:t xml:space="preserve"> questão da incidência de contribuição previdenciária sobre o salário-maternidade foi objeto de longa controvérsia jurídica, definitivamente resolvida pelo STF no julgamento do Tema 72 da repercussão geral.</w:t>
      </w:r>
    </w:p>
    <w:p w14:paraId="2A573133" w14:textId="77777777" w:rsidR="005A5FCC" w:rsidRDefault="00A21C81">
      <w:pPr>
        <w:ind w:firstLine="238"/>
      </w:pPr>
      <w:r>
        <w:rPr>
          <w:rFonts w:cs="EB Garamond"/>
          <w:b/>
          <w:kern w:val="16"/>
          <w14:ligatures w14:val="standardContextual"/>
        </w:rPr>
        <w:t>O regime anterior.</w:t>
      </w:r>
      <w:r>
        <w:rPr>
          <w:rFonts w:cs="EB Garamond"/>
          <w:kern w:val="16"/>
          <w14:ligatures w14:val="standardContextual"/>
        </w:rPr>
        <w:t xml:space="preserve"> O art. 28, §2º, da Lei 8.212/91 incluía o salário-maternidade no conceito de salário de contribuição. Consequentemente, sobre o valor do salário-maternidade incidiam: a contribuição da segurada (parte do empregado) e a contribuição patronal (parte do empregador). As empresas recolhiam 20% a título de contribuição patronal sobre o valor do salário-maternidade pago às empregadas, acrescido do RAT (1% a 3%) e das contribuições a terceiros (Sistema S, SESI, SENAI etc.).</w:t>
      </w:r>
    </w:p>
    <w:p w14:paraId="6E072CF1" w14:textId="77777777" w:rsidR="005A5FCC" w:rsidRDefault="00A21C81">
      <w:pPr>
        <w:ind w:firstLine="238"/>
      </w:pPr>
      <w:r>
        <w:rPr>
          <w:rFonts w:cs="EB Garamond"/>
          <w:b/>
          <w:kern w:val="16"/>
          <w14:ligatures w14:val="standardContextual"/>
        </w:rPr>
        <w:t>O Tema 72 da repercussão geral (RE 576.967).</w:t>
      </w:r>
      <w:r>
        <w:rPr>
          <w:rFonts w:cs="EB Garamond"/>
          <w:kern w:val="16"/>
          <w14:ligatures w14:val="standardContextual"/>
        </w:rPr>
        <w:t xml:space="preserve"> Em 5 de agosto de 2020, o Plenário do STF, por maioria de sete votos a quatro, declarou inconstitucional a </w:t>
      </w:r>
      <w:r>
        <w:rPr>
          <w:rFonts w:cs="EB Garamond"/>
          <w:kern w:val="16"/>
          <w14:ligatures w14:val="standardContextual"/>
        </w:rPr>
        <w:lastRenderedPageBreak/>
        <w:t>incidência de contribuição previdenciária a cargo do empregador sobre os valores pagos a título de salário-maternidade. O Relator, Ministro Luís Roberto Barroso, fundamentou o voto em dois argumentos centrais.</w:t>
      </w:r>
    </w:p>
    <w:p w14:paraId="24541B54" w14:textId="77777777" w:rsidR="005A5FCC" w:rsidRDefault="00A21C81">
      <w:pPr>
        <w:ind w:firstLine="238"/>
      </w:pPr>
      <w:r>
        <w:rPr>
          <w:rFonts w:cs="EB Garamond"/>
          <w:kern w:val="16"/>
          <w14:ligatures w14:val="standardContextual"/>
        </w:rPr>
        <w:t>O primeiro argumento é de natureza jurídica: o salário-maternidade não é contraprestação pelo trabalho. A segurada está afastada de suas atividades durante o período do benefício; o valor recebido substitui a remuneração, mas não tem natureza remuneratória. Tributar um benefício previdenciário como se fosse salário constitui bitributação, pois o salário-maternidade já é financiado pelas contribuições patronais sobre a folha de pagamento.</w:t>
      </w:r>
    </w:p>
    <w:p w14:paraId="49A93012" w14:textId="77777777" w:rsidR="005A5FCC" w:rsidRDefault="00A21C81">
      <w:pPr>
        <w:ind w:firstLine="238"/>
      </w:pPr>
      <w:r>
        <w:rPr>
          <w:rFonts w:cs="EB Garamond"/>
          <w:kern w:val="16"/>
          <w14:ligatures w14:val="standardContextual"/>
        </w:rPr>
        <w:t>O segundo argumento é de política pública: a incidência de contribuição patronal sobre o salário-maternidade cria obstáculo à contratação de mulheres. Ao impor ao empregador um custo adicional (20% + RAT + terceiros sobre o valor do salário-maternidade), a norma transforma a maternidade em ônus financeiro para a empresa, gerando discriminação indireta contra mulheres em idade fértil.</w:t>
      </w:r>
    </w:p>
    <w:tbl>
      <w:tblPr>
        <w:tblW w:w="5000" w:type="pct"/>
        <w:jc w:val="center"/>
        <w:tblLayout w:type="fixed"/>
        <w:tblLook w:val="04A0" w:firstRow="1" w:lastRow="0" w:firstColumn="1" w:lastColumn="0" w:noHBand="0" w:noVBand="1"/>
      </w:tblPr>
      <w:tblGrid>
        <w:gridCol w:w="6311"/>
      </w:tblGrid>
      <w:tr w:rsidR="005A5FCC" w14:paraId="3DDE58D4"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7AA5F21C" w14:textId="77777777" w:rsidR="005A5FCC" w:rsidRDefault="00A21C81">
            <w:pPr>
              <w:spacing w:after="60" w:line="240" w:lineRule="auto"/>
              <w:jc w:val="left"/>
            </w:pPr>
            <w:r>
              <w:rPr>
                <w:rFonts w:ascii="Noto Sans" w:hAnsi="Noto Sans" w:cs="Noto Sans"/>
                <w:b/>
                <w:caps/>
                <w:color w:val="4D6F8A"/>
                <w:kern w:val="16"/>
                <w:sz w:val="16"/>
                <w14:ligatures w14:val="standardContextual"/>
              </w:rPr>
              <w:t>JURISPRUDÊNCIA EM DESTAQUE</w:t>
            </w:r>
          </w:p>
          <w:p w14:paraId="4B4618A1" w14:textId="77777777" w:rsidR="005A5FCC" w:rsidRDefault="00A21C81">
            <w:pPr>
              <w:spacing w:after="60" w:line="247" w:lineRule="auto"/>
            </w:pPr>
            <w:r>
              <w:rPr>
                <w:rFonts w:cs="EB Garamond"/>
                <w:b/>
                <w:kern w:val="16"/>
                <w:sz w:val="19"/>
                <w14:ligatures w14:val="standardContextual"/>
              </w:rPr>
              <w:t>STF, Tema 72 da repercussão geral (RE 576.967), Julgamento: 05/08/2020</w:t>
            </w:r>
          </w:p>
          <w:p w14:paraId="5B2BA716" w14:textId="77777777" w:rsidR="005A5FCC" w:rsidRDefault="00A21C81">
            <w:pPr>
              <w:spacing w:after="60" w:line="247" w:lineRule="auto"/>
            </w:pPr>
            <w:r>
              <w:rPr>
                <w:rFonts w:cs="EB Garamond"/>
                <w:b/>
                <w:kern w:val="16"/>
                <w:sz w:val="19"/>
                <w14:ligatures w14:val="standardContextual"/>
              </w:rPr>
              <w:t>Tese fixada:</w:t>
            </w:r>
            <w:r>
              <w:rPr>
                <w:rFonts w:cs="EB Garamond"/>
                <w:kern w:val="16"/>
                <w:sz w:val="19"/>
                <w14:ligatures w14:val="standardContextual"/>
              </w:rPr>
              <w:t xml:space="preserve"> "É inconstitucional a incidência de contribuição previdenciária a cargo do empregador sobre o salário-maternidade."</w:t>
            </w:r>
          </w:p>
          <w:p w14:paraId="34B5E596" w14:textId="77777777" w:rsidR="005A5FCC" w:rsidRDefault="00A21C81">
            <w:pPr>
              <w:spacing w:after="60" w:line="247" w:lineRule="auto"/>
            </w:pPr>
            <w:r>
              <w:rPr>
                <w:rFonts w:cs="EB Garamond"/>
                <w:b/>
                <w:kern w:val="16"/>
                <w:sz w:val="19"/>
                <w14:ligatures w14:val="standardContextual"/>
              </w:rPr>
              <w:t>Placar:</w:t>
            </w:r>
            <w:r>
              <w:rPr>
                <w:rFonts w:cs="EB Garamond"/>
                <w:kern w:val="16"/>
                <w:sz w:val="19"/>
                <w14:ligatures w14:val="standardContextual"/>
              </w:rPr>
              <w:t xml:space="preserve"> 7 × 4. Relator para o acórdão: Min. Luís Roberto Barroso. A composição nominativa dos votos vencidos deve ser conferida no inteiro teor do acórdão (consultar portal do STF).</w:t>
            </w:r>
          </w:p>
          <w:p w14:paraId="4135893A" w14:textId="77777777" w:rsidR="005A5FCC" w:rsidRDefault="00A21C81">
            <w:pPr>
              <w:spacing w:after="60" w:line="247" w:lineRule="auto"/>
            </w:pPr>
            <w:r>
              <w:rPr>
                <w:rFonts w:cs="EB Garamond"/>
                <w:b/>
                <w:kern w:val="16"/>
                <w:sz w:val="19"/>
                <w14:ligatures w14:val="standardContextual"/>
              </w:rPr>
              <w:t>Efeitos práticos:</w:t>
            </w:r>
            <w:r>
              <w:rPr>
                <w:rFonts w:cs="EB Garamond"/>
                <w:kern w:val="16"/>
                <w:sz w:val="19"/>
                <w14:ligatures w14:val="standardContextual"/>
              </w:rPr>
              <w:t xml:space="preserve"> - Empresas não recolhem contribuição patronal (20% + RAT + terceiros) sobre o SM desde agosto/2020; - Empresas que recolheram podem pedir restituição/compensação dos últimos 5 anos (prescrição quinquenal); - A contribuição da segurada (parte do empregado) sobre o SM permanece devida — o Tema 72/STF afastou apenas a contribuição patronal; - Impacto estimado de R$ 1,5 bilhão/ano na arrecadação.</w:t>
            </w:r>
          </w:p>
        </w:tc>
      </w:tr>
    </w:tbl>
    <w:p w14:paraId="16027FEE" w14:textId="77777777" w:rsidR="005A5FCC" w:rsidRDefault="005A5FCC">
      <w:pPr>
        <w:spacing w:after="80" w:line="240" w:lineRule="auto"/>
      </w:pPr>
    </w:p>
    <w:p w14:paraId="78F288CD"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E</w:t>
      </w:r>
    </w:p>
    <w:p w14:paraId="0B771B49" w14:textId="460F3F02" w:rsidR="005A5FCC" w:rsidRDefault="00A21C81">
      <w:r>
        <w:rPr>
          <w:rFonts w:cs="EB Garamond"/>
          <w:b/>
          <w:kern w:val="16"/>
          <w14:ligatures w14:val="standardContextual"/>
        </w:rPr>
        <w:t>feitos práticos da decisão.</w:t>
      </w:r>
      <w:r>
        <w:rPr>
          <w:rFonts w:cs="EB Garamond"/>
          <w:kern w:val="16"/>
          <w14:ligatures w14:val="standardContextual"/>
        </w:rPr>
        <w:t xml:space="preserve"> A declaração de inconstitucionalidade produziu efeitos imediatos e retroativos. As empresas que recolheram contribuição patronal sobre o salário-maternidade nos cinco anos anteriores à decisão podem pleitear a restituição administrativa (PER/DCOMP) ou a compensação </w:t>
      </w:r>
      <w:r>
        <w:rPr>
          <w:rFonts w:cs="EB Garamond"/>
          <w:kern w:val="16"/>
          <w14:ligatures w14:val="standardContextual"/>
        </w:rPr>
        <w:lastRenderedPageBreak/>
        <w:t xml:space="preserve">com contribuições vincendas. O prazo prescricional de cinco anos é contado da data do pagamento indevido. As ações de repetição de indébito devem observar a competência da Justiça Federal comum (não dos JEFs, pois envolvem matéria tributária e frequentemente ultrapassam o teto de sessenta </w:t>
      </w:r>
      <w:r w:rsidR="001979AF">
        <w:rPr>
          <w:rFonts w:cs="EB Garamond"/>
          <w:kern w:val="16"/>
          <w14:ligatures w14:val="standardContextual"/>
        </w:rPr>
        <w:t>salários-mínimos</w:t>
      </w:r>
      <w:r>
        <w:rPr>
          <w:rFonts w:cs="EB Garamond"/>
          <w:kern w:val="16"/>
          <w14:ligatures w14:val="standardContextual"/>
        </w:rPr>
        <w:t>).</w:t>
      </w:r>
    </w:p>
    <w:p w14:paraId="735E67E7" w14:textId="77777777" w:rsidR="005A5FCC" w:rsidRDefault="00A21C81">
      <w:pPr>
        <w:ind w:firstLine="238"/>
      </w:pPr>
      <w:r>
        <w:rPr>
          <w:rFonts w:cs="EB Garamond"/>
          <w:b/>
          <w:kern w:val="16"/>
          <w14:ligatures w14:val="standardContextual"/>
        </w:rPr>
        <w:t>Contribuição da segurada.</w:t>
      </w:r>
      <w:r>
        <w:rPr>
          <w:rFonts w:cs="EB Garamond"/>
          <w:kern w:val="16"/>
          <w14:ligatures w14:val="standardContextual"/>
        </w:rPr>
        <w:t xml:space="preserve"> A decisão do Tema 72/STF afastou apenas a contribuição patronal. A contribuição da segurada (alíquota progressiva de 7,5% a 14% para empregadas) sobre o salário-maternidade permanece devida, pois o art. 28, §2º, da Lei 8.212 mantém o salário-maternidade como salário de contribuição para fins da contribuição do segurado. Essa distinção é relevante: o período de gozo do salário-maternidade conta como tempo de contribuição e carência justamente porque há incidência de contribuição da segurada.</w:t>
      </w:r>
    </w:p>
    <w:p w14:paraId="07C50574" w14:textId="77777777" w:rsidR="005A5FCC" w:rsidRDefault="00A21C81">
      <w:pPr>
        <w:ind w:firstLine="238"/>
      </w:pPr>
      <w:r>
        <w:rPr>
          <w:rFonts w:cs="EB Garamond"/>
          <w:b/>
          <w:kern w:val="16"/>
          <w14:ligatures w14:val="standardContextual"/>
        </w:rPr>
        <w:t>Interface com o Cap. 4.</w:t>
      </w:r>
      <w:r>
        <w:rPr>
          <w:rFonts w:cs="EB Garamond"/>
          <w:kern w:val="16"/>
          <w14:ligatures w14:val="standardContextual"/>
        </w:rPr>
        <w:t xml:space="preserve"> A seção 4.16.2 do Cap. 4 já abordou o aspecto de que a segurada não precisa recolher contribuição própria durante o gozo do salário-maternidade quando este é pago pelo INSS (CI, facultativa, especial). A contribuição é considerada automaticamente realizada durante o período do benefício.</w:t>
      </w:r>
    </w:p>
    <w:p w14:paraId="2C6EE26C"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13.9 Segurada desempregada e período de graça</w:t>
      </w:r>
    </w:p>
    <w:p w14:paraId="34F1145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1FA51B0E" w14:textId="77777777" w:rsidR="005A5FCC" w:rsidRDefault="00A21C81">
      <w:r>
        <w:rPr>
          <w:rFonts w:cs="EB Garamond"/>
          <w:kern w:val="16"/>
          <w14:ligatures w14:val="standardContextual"/>
        </w:rPr>
        <w:t xml:space="preserve"> segurada que perde o emprego ou cessa suas contribuições mantém a qualidade de segurada durante o período de graça previsto no art. 15 da Lei 8.213/91. Se o fato gerador do salário-maternidade (parto, adoção, aborto) ocorrer durante esse período, o benefício é devido. Sobre o período de graça em geral, v. Cap. 3, seção 3.5.</w:t>
      </w:r>
    </w:p>
    <w:p w14:paraId="1C0BA155" w14:textId="77777777" w:rsidR="005A5FCC" w:rsidRDefault="00A21C81">
      <w:pPr>
        <w:ind w:firstLine="238"/>
      </w:pPr>
      <w:r>
        <w:rPr>
          <w:rFonts w:cs="EB Garamond"/>
          <w:b/>
          <w:kern w:val="16"/>
          <w14:ligatures w14:val="standardContextual"/>
        </w:rPr>
        <w:t>Prazos do período de graça relevantes para o SM.</w:t>
      </w:r>
      <w:r>
        <w:rPr>
          <w:rFonts w:cs="EB Garamond"/>
          <w:kern w:val="16"/>
          <w14:ligatures w14:val="standardContextual"/>
        </w:rPr>
        <w:t xml:space="preserve"> Os prazos são: doze meses após a cessação das contribuições (regra geral); acrescidos de doze meses se a segurada conta com mais de cento e vinte contribuições; acrescidos de mais doze meses se a segurada comprova desemprego involuntário. O prazo máximo é, portanto, de trinta e seis meses.</w:t>
      </w:r>
    </w:p>
    <w:p w14:paraId="05390B08" w14:textId="5FFA870A" w:rsidR="005A5FCC" w:rsidRDefault="00A21C81">
      <w:pPr>
        <w:ind w:firstLine="238"/>
      </w:pPr>
      <w:r>
        <w:rPr>
          <w:rFonts w:cs="EB Garamond"/>
          <w:b/>
          <w:kern w:val="16"/>
          <w14:ligatures w14:val="standardContextual"/>
        </w:rPr>
        <w:t>Valor do benefício para a desempregada.</w:t>
      </w:r>
      <w:r>
        <w:rPr>
          <w:rFonts w:cs="EB Garamond"/>
          <w:kern w:val="16"/>
          <w14:ligatures w14:val="standardContextual"/>
        </w:rPr>
        <w:t xml:space="preserve"> A segurada desempregada que faz jus ao salário-maternidade no período de graça recebe o benefício calculado na forma do art. 73, III, da Lei 8.213/91: 1/12 da soma dos doze últimos salários </w:t>
      </w:r>
      <w:r>
        <w:rPr>
          <w:rFonts w:cs="EB Garamond"/>
          <w:kern w:val="16"/>
          <w14:ligatures w14:val="standardContextual"/>
        </w:rPr>
        <w:lastRenderedPageBreak/>
        <w:t xml:space="preserve">de contribuição, apurados em período não superior a quinze meses. O valor mínimo é o </w:t>
      </w:r>
      <w:r w:rsidR="00442E8D">
        <w:rPr>
          <w:rFonts w:cs="EB Garamond"/>
          <w:kern w:val="16"/>
          <w14:ligatures w14:val="standardContextual"/>
        </w:rPr>
        <w:t>salário-mínimo</w:t>
      </w:r>
      <w:r>
        <w:rPr>
          <w:rFonts w:cs="EB Garamond"/>
          <w:kern w:val="16"/>
          <w14:ligatures w14:val="standardContextual"/>
        </w:rPr>
        <w:t>. O cálculo toma por base os últimos salários de contribuição anteriores ao desemprego, já que durante o período de graça não há contribuição.</w:t>
      </w:r>
    </w:p>
    <w:p w14:paraId="7868DA84" w14:textId="77777777" w:rsidR="005A5FCC" w:rsidRDefault="00A21C81">
      <w:pPr>
        <w:ind w:firstLine="238"/>
      </w:pPr>
      <w:r>
        <w:rPr>
          <w:rFonts w:cs="EB Garamond"/>
          <w:b/>
          <w:kern w:val="16"/>
          <w14:ligatures w14:val="standardContextual"/>
        </w:rPr>
        <w:t>Responsabilidade pelo pagamento.</w:t>
      </w:r>
      <w:r>
        <w:rPr>
          <w:rFonts w:cs="EB Garamond"/>
          <w:kern w:val="16"/>
          <w14:ligatures w14:val="standardContextual"/>
        </w:rPr>
        <w:t xml:space="preserve"> O INSS paga diretamente o salário-maternidade à segurada desempregada. Não há empregador a quem atribuir o pagamento, e a segurada requer o benefício pelo Meu INSS como qualquer beneficiária direta do INSS.</w:t>
      </w:r>
    </w:p>
    <w:p w14:paraId="6993E506" w14:textId="77777777" w:rsidR="005A5FCC" w:rsidRDefault="00A21C81">
      <w:pPr>
        <w:ind w:firstLine="238"/>
      </w:pPr>
      <w:r>
        <w:rPr>
          <w:rFonts w:cs="EB Garamond"/>
          <w:b/>
          <w:kern w:val="16"/>
          <w14:ligatures w14:val="standardContextual"/>
        </w:rPr>
        <w:t>Prova do desemprego.</w:t>
      </w:r>
      <w:r>
        <w:rPr>
          <w:rFonts w:cs="EB Garamond"/>
          <w:kern w:val="16"/>
          <w14:ligatures w14:val="standardContextual"/>
        </w:rPr>
        <w:t xml:space="preserve"> Para fins de extensão do período de graça por desemprego involuntário (art. 15, §2º, Lei 8.213), a segurada deve comprovar a situação de desemprego. A jurisprudência aceita como meio de prova: registro no Sistema Nacional de Emprego (SINE), recebimento de seguro-desemprego, anotação de dispensa sem justa causa na CTPS, declaração do CAGED/novo CAGED, ou qualquer outro documento que demonstre a involuntariedade do desemprego.</w:t>
      </w:r>
    </w:p>
    <w:p w14:paraId="69C606BF" w14:textId="77777777" w:rsidR="005A5FCC" w:rsidRDefault="00A21C81">
      <w:pPr>
        <w:ind w:firstLine="238"/>
      </w:pPr>
      <w:r>
        <w:rPr>
          <w:rFonts w:cs="EB Garamond"/>
          <w:b/>
          <w:kern w:val="16"/>
          <w14:ligatures w14:val="standardContextual"/>
        </w:rPr>
        <w:t>CI e facultativa.</w:t>
      </w:r>
      <w:r>
        <w:rPr>
          <w:rFonts w:cs="EB Garamond"/>
          <w:kern w:val="16"/>
          <w14:ligatures w14:val="standardContextual"/>
        </w:rPr>
        <w:t xml:space="preserve"> A contribuinte individual mantém a qualidade de segurada por doze meses após cessar as contribuições (art. 15, II); a facultativa, por seis meses (art. 15, VI). A jurisprudência admite extensão para a CI quando demonstrada a cessação involuntária da atividade autônoma. Para detalhamento das hipóteses e prazos, v. Cap. 3, seção 3.5.</w:t>
      </w:r>
    </w:p>
    <w:p w14:paraId="6CFDB8FB" w14:textId="77777777" w:rsidR="005A5FCC" w:rsidRDefault="00A21C81">
      <w:pPr>
        <w:ind w:firstLine="238"/>
      </w:pPr>
      <w:r>
        <w:rPr>
          <w:rFonts w:cs="EB Garamond"/>
          <w:b/>
          <w:kern w:val="16"/>
          <w14:ligatures w14:val="standardContextual"/>
        </w:rPr>
        <w:t>Importância prática.</w:t>
      </w:r>
      <w:r>
        <w:rPr>
          <w:rFonts w:cs="EB Garamond"/>
          <w:kern w:val="16"/>
          <w14:ligatures w14:val="standardContextual"/>
        </w:rPr>
        <w:t xml:space="preserve"> A segurada que pretende engravidar deve avaliar cuidadosamente sua situação previdenciária. Se deixou de contribuir, deve verificar se ainda está no período de graça. Se perdeu a qualidade de segurada, deve restabelecer a filiação mediante nova contribuição. Após a decisão do STF nas ADIs 2.110/2.111, não há mais exigência de carência — basta uma única contribuição para readquirir a qualidade de segurada (art. 27-A, Lei 8.213/91). Esse é um dos pontos mais relevantes do planejamento previdenciário voltado à maternidade.</w:t>
      </w:r>
    </w:p>
    <w:tbl>
      <w:tblPr>
        <w:tblW w:w="5000" w:type="pct"/>
        <w:jc w:val="center"/>
        <w:tblLayout w:type="fixed"/>
        <w:tblLook w:val="04A0" w:firstRow="1" w:lastRow="0" w:firstColumn="1" w:lastColumn="0" w:noHBand="0" w:noVBand="1"/>
      </w:tblPr>
      <w:tblGrid>
        <w:gridCol w:w="6311"/>
      </w:tblGrid>
      <w:tr w:rsidR="005A5FCC" w14:paraId="78629EBA"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5CAE6F17" w14:textId="77777777" w:rsidR="005A5FCC" w:rsidRDefault="00A21C81">
            <w:pPr>
              <w:spacing w:after="60" w:line="240" w:lineRule="auto"/>
              <w:jc w:val="left"/>
            </w:pPr>
            <w:r>
              <w:rPr>
                <w:rFonts w:ascii="Noto Sans" w:hAnsi="Noto Sans" w:cs="Noto Sans"/>
                <w:b/>
                <w:caps/>
                <w:color w:val="B78B37"/>
                <w:kern w:val="16"/>
                <w:sz w:val="16"/>
                <w14:ligatures w14:val="standardContextual"/>
              </w:rPr>
              <w:lastRenderedPageBreak/>
              <w:t>ATENÇÃO</w:t>
            </w:r>
          </w:p>
          <w:p w14:paraId="2AE8B394" w14:textId="77777777" w:rsidR="005A5FCC" w:rsidRDefault="00A21C81">
            <w:pPr>
              <w:spacing w:after="60" w:line="247" w:lineRule="auto"/>
            </w:pPr>
            <w:r>
              <w:rPr>
                <w:rFonts w:cs="EB Garamond"/>
                <w:b/>
                <w:kern w:val="16"/>
                <w:sz w:val="19"/>
                <w14:ligatures w14:val="standardContextual"/>
              </w:rPr>
              <w:t>Cuidado: perda e reaquisição da qualidade de segurada</w:t>
            </w:r>
          </w:p>
          <w:p w14:paraId="3C3DEFA9" w14:textId="77777777" w:rsidR="005A5FCC" w:rsidRDefault="00A21C81">
            <w:pPr>
              <w:spacing w:after="60" w:line="247" w:lineRule="auto"/>
            </w:pPr>
            <w:r>
              <w:rPr>
                <w:rFonts w:cs="EB Garamond"/>
                <w:kern w:val="16"/>
                <w:sz w:val="19"/>
                <w14:ligatures w14:val="standardContextual"/>
              </w:rPr>
              <w:t>Após perder a qualidade de segurada (esgotamento do período de graça), a mulher que pretende ter direito ao salário-maternidade precisa readquirir a filiação ao RGPS. Após as ADIs 2.110/2.111 (STF, março/2024), não há mais exigência de carência, basta estar na qualidade de segurada na data do parto/adoção. Uma única contribuição mensal como CI ou facultativa, desde que anterior ao fato gerador, já restabelece o direito ao salário-maternidade.</w:t>
            </w:r>
          </w:p>
          <w:p w14:paraId="2F1FF765" w14:textId="77777777" w:rsidR="005A5FCC" w:rsidRDefault="00A21C81">
            <w:pPr>
              <w:spacing w:after="60" w:line="247" w:lineRule="auto"/>
            </w:pPr>
            <w:r>
              <w:rPr>
                <w:rFonts w:cs="EB Garamond"/>
                <w:b/>
                <w:kern w:val="16"/>
                <w:sz w:val="19"/>
                <w14:ligatures w14:val="standardContextual"/>
              </w:rPr>
              <w:t>Atenção:</w:t>
            </w:r>
            <w:r>
              <w:rPr>
                <w:rFonts w:cs="EB Garamond"/>
                <w:kern w:val="16"/>
                <w:sz w:val="19"/>
                <w14:ligatures w14:val="standardContextual"/>
              </w:rPr>
              <w:t xml:space="preserve"> A contribuição deve ser anterior ao fato gerador. Contribuição realizada após o parto não retroage para conferir direito ao SM pelo parto ocorrido quando a segurada não tinha qualidade de segurada.</w:t>
            </w:r>
          </w:p>
        </w:tc>
      </w:tr>
    </w:tbl>
    <w:p w14:paraId="7A7038E2" w14:textId="77777777" w:rsidR="005A5FCC" w:rsidRDefault="005A5FCC">
      <w:pPr>
        <w:spacing w:after="80" w:line="240" w:lineRule="auto"/>
      </w:pPr>
    </w:p>
    <w:p w14:paraId="3E4324EC"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13.10 Segurada especial e prova de atividade rural</w:t>
      </w:r>
    </w:p>
    <w:p w14:paraId="30EC3E1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7216AF5A" w14:textId="77777777" w:rsidR="005A5FCC" w:rsidRDefault="00A21C81">
      <w:r>
        <w:rPr>
          <w:rFonts w:cs="EB Garamond"/>
          <w:kern w:val="16"/>
          <w14:ligatures w14:val="standardContextual"/>
        </w:rPr>
        <w:t xml:space="preserve"> segurada especial é a categoria com maior número de demandas judiciais de salário-maternidade nos JEFs. A informalidade do trabalho rural dificulta a comprovação do vínculo, e o INSS historicamente aplica critérios restritivos na análise dos requerimentos de trabalhadoras rurais.</w:t>
      </w:r>
    </w:p>
    <w:p w14:paraId="6B51F5F8" w14:textId="77777777" w:rsidR="005A5FCC" w:rsidRDefault="00A21C81">
      <w:pPr>
        <w:ind w:firstLine="238"/>
      </w:pPr>
      <w:r>
        <w:rPr>
          <w:rFonts w:cs="EB Garamond"/>
          <w:b/>
          <w:kern w:val="16"/>
          <w14:ligatures w14:val="standardContextual"/>
        </w:rPr>
        <w:t>Conceito de segurada especial (remissão ao Cap. 9).</w:t>
      </w:r>
      <w:r>
        <w:rPr>
          <w:rFonts w:cs="EB Garamond"/>
          <w:kern w:val="16"/>
          <w14:ligatures w14:val="standardContextual"/>
        </w:rPr>
        <w:t xml:space="preserve"> O conceito e os requisitos de enquadramento da segurada especial (art. 11, VII, Lei 8.213/91) foram tratados no Cap. 9, ao qual se remete o leitor. Para fins de salário-maternidade, basta que a segurada comprove o exercício de atividade rural, pesqueira ou extrativista em regime de economia familiar na data do fato gerador.</w:t>
      </w:r>
    </w:p>
    <w:p w14:paraId="4256290C" w14:textId="77777777" w:rsidR="005A5FCC" w:rsidRDefault="00A21C81">
      <w:pPr>
        <w:ind w:firstLine="238"/>
      </w:pPr>
      <w:r>
        <w:rPr>
          <w:rFonts w:cs="EB Garamond"/>
          <w:b/>
          <w:kern w:val="16"/>
          <w14:ligatures w14:val="standardContextual"/>
        </w:rPr>
        <w:t>Prova da atividade rural — Súmula 149/STJ e Tema 297/STJ; flexibilização pela TNU (Temas 11 e 17).</w:t>
      </w:r>
      <w:r>
        <w:rPr>
          <w:rFonts w:cs="EB Garamond"/>
          <w:kern w:val="16"/>
          <w14:ligatures w14:val="standardContextual"/>
        </w:rPr>
        <w:t xml:space="preserve"> A comprovação da atividade rural da segurada especial para fins de salário-maternidade exige início de prova material complementada por prova testemunhal. A prova exclusivamente testemunhal é insuficiente (Súmula 149/STJ e Tema 297/STJ). Tratando-se especificamente de salário-maternidade da segurada especial, a TNU firmou, nos Temas 11 e 17, que a exigência de início de prova material contemporânea pode ser flexibilizada. Os </w:t>
      </w:r>
      <w:r>
        <w:rPr>
          <w:rFonts w:cs="EB Garamond"/>
          <w:kern w:val="16"/>
          <w14:ligatures w14:val="standardContextual"/>
        </w:rPr>
        <w:lastRenderedPageBreak/>
        <w:t>documentos mais frequentemente aceitos como início de prova material são: declaração do sindicato rural homologada pelo INSS, DAP (Declaração de Aptidão ao PRONAF), CAF (Cadastro da Agricultura Familiar), notas fiscais de venda de produção rural, contrato de parceria ou arrendamento, PRONAF, bloco de produtor, e documentos em nome de membro do grupo familiar (cônjuge, pais).</w:t>
      </w:r>
    </w:p>
    <w:p w14:paraId="7E71983C" w14:textId="77777777" w:rsidR="005A5FCC" w:rsidRDefault="00A21C81">
      <w:pPr>
        <w:ind w:firstLine="238"/>
      </w:pPr>
      <w:r>
        <w:rPr>
          <w:rFonts w:cs="EB Garamond"/>
          <w:b/>
          <w:kern w:val="16"/>
          <w14:ligatures w14:val="standardContextual"/>
        </w:rPr>
        <w:t>Categorias especiais de trabalhadoras rurais.</w:t>
      </w:r>
      <w:r>
        <w:rPr>
          <w:rFonts w:cs="EB Garamond"/>
          <w:kern w:val="16"/>
          <w14:ligatures w14:val="standardContextual"/>
        </w:rPr>
        <w:t xml:space="preserve"> As particularidades da boia-fria, da pescadora artesanal e da indígena em regime de economia familiar, incluindo o enquadramento previdenciário e os meios de prova admitidos, são tratadas no Cap. 9 (seções 9.10, 9.26 e 9.24). Para o salário-maternidade, o ponto central é que todas essas categorias precisam demonstrar o exercício da atividade na data do fato gerador, por início de prova material complementada por testemunhal. A pescadora artesanal deve atentar para a manutenção do RGP vigente, e a indígena pode utilizar documentos da FUNAI ou da comunidade.</w:t>
      </w:r>
    </w:p>
    <w:tbl>
      <w:tblPr>
        <w:tblW w:w="5000" w:type="pct"/>
        <w:jc w:val="center"/>
        <w:tblLayout w:type="fixed"/>
        <w:tblLook w:val="04A0" w:firstRow="1" w:lastRow="0" w:firstColumn="1" w:lastColumn="0" w:noHBand="0" w:noVBand="1"/>
      </w:tblPr>
      <w:tblGrid>
        <w:gridCol w:w="6311"/>
      </w:tblGrid>
      <w:tr w:rsidR="005A5FCC" w14:paraId="639CAB1A"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66EA1EB2" w14:textId="77777777" w:rsidR="005A5FCC" w:rsidRDefault="00A21C81">
            <w:pPr>
              <w:spacing w:after="60" w:line="240" w:lineRule="auto"/>
              <w:jc w:val="left"/>
            </w:pPr>
            <w:r>
              <w:rPr>
                <w:rFonts w:ascii="Noto Sans" w:hAnsi="Noto Sans" w:cs="Noto Sans"/>
                <w:b/>
                <w:caps/>
                <w:color w:val="4D6F8A"/>
                <w:kern w:val="16"/>
                <w:sz w:val="16"/>
                <w14:ligatures w14:val="standardContextual"/>
              </w:rPr>
              <w:t>JURISPRUDÊNCIA EM DESTAQUE</w:t>
            </w:r>
          </w:p>
          <w:p w14:paraId="3EA877E5" w14:textId="77777777" w:rsidR="005A5FCC" w:rsidRDefault="00A21C81">
            <w:pPr>
              <w:spacing w:after="60" w:line="247" w:lineRule="auto"/>
            </w:pPr>
            <w:r>
              <w:rPr>
                <w:rFonts w:cs="EB Garamond"/>
                <w:b/>
                <w:kern w:val="16"/>
                <w:sz w:val="19"/>
                <w14:ligatures w14:val="standardContextual"/>
              </w:rPr>
              <w:t>STJ — Súmula 149 e Tema 297 (prova rural); TNU — Temas 11 e 17 (flexibilização para salário-maternidade)</w:t>
            </w:r>
          </w:p>
          <w:p w14:paraId="600C4EE0" w14:textId="77777777" w:rsidR="005A5FCC" w:rsidRDefault="00A21C81">
            <w:pPr>
              <w:spacing w:after="60" w:line="247" w:lineRule="auto"/>
            </w:pPr>
            <w:r>
              <w:rPr>
                <w:rFonts w:cs="EB Garamond"/>
                <w:kern w:val="16"/>
                <w:sz w:val="19"/>
                <w14:ligatures w14:val="standardContextual"/>
              </w:rPr>
              <w:t>A comprovação da atividade rural da segurada especial para fins de salário-maternidade exige início de prova material complementada por prova testemunhal; a prova exclusivamente testemunhal não basta (Súmula 149/STJ e Tema 297/STJ). Para o salário-maternidade da segurada especial, a TNU (Temas 11 e 17) admite a flexibilização do início de prova material. Documentos aceitos: declaração do sindicato (homologada pelo INSS), DAP/CAF, notas fiscais de produção, contrato de parceria/arrendamento, PRONAF, bloco de produtor.</w:t>
            </w:r>
          </w:p>
          <w:p w14:paraId="533ADA8A" w14:textId="77777777" w:rsidR="005A5FCC" w:rsidRDefault="00A21C81">
            <w:pPr>
              <w:spacing w:after="60" w:line="247" w:lineRule="auto"/>
            </w:pPr>
            <w:r>
              <w:rPr>
                <w:rFonts w:cs="EB Garamond"/>
                <w:kern w:val="16"/>
                <w:sz w:val="19"/>
                <w14:ligatures w14:val="standardContextual"/>
              </w:rPr>
              <w:t>Não se exige que a prova documental cubra todo o período de carência (Súmula 14/TNU); basta que seja razoável e contemporânea aos fatos (Súmula 34/TNU).</w:t>
            </w:r>
          </w:p>
          <w:p w14:paraId="13DEC0F1" w14:textId="77777777" w:rsidR="005A5FCC" w:rsidRDefault="00A21C81">
            <w:pPr>
              <w:spacing w:after="60" w:line="247" w:lineRule="auto"/>
            </w:pPr>
            <w:r>
              <w:rPr>
                <w:rFonts w:cs="EB Garamond"/>
                <w:b/>
                <w:kern w:val="16"/>
                <w:sz w:val="19"/>
                <w14:ligatures w14:val="standardContextual"/>
              </w:rPr>
              <w:t>Após ADIs 2.110/2.111 (STF, março/2024):</w:t>
            </w:r>
            <w:r>
              <w:rPr>
                <w:rFonts w:cs="EB Garamond"/>
                <w:kern w:val="16"/>
                <w:sz w:val="19"/>
                <w14:ligatures w14:val="standardContextual"/>
              </w:rPr>
              <w:t xml:space="preserve"> a carência de 10 meses de atividade rural foi declarada inconstitucional. Contudo, a segurada especial continua precisando demonstrar o exercício de atividade rural no momento do fato gerador para comprovar a qualidade de segurada. A lógica probatória permanece a mesma; o que mudou foi a extensão temporal exigida.</w:t>
            </w:r>
          </w:p>
        </w:tc>
      </w:tr>
    </w:tbl>
    <w:p w14:paraId="0C5CDE36" w14:textId="77777777" w:rsidR="005A5FCC" w:rsidRDefault="005A5FCC">
      <w:pPr>
        <w:spacing w:after="80" w:line="240" w:lineRule="auto"/>
      </w:pPr>
    </w:p>
    <w:p w14:paraId="61C58852"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E</w:t>
      </w:r>
    </w:p>
    <w:p w14:paraId="720B8F4C" w14:textId="77777777" w:rsidR="005A5FCC" w:rsidRDefault="00A21C81">
      <w:r>
        <w:rPr>
          <w:rFonts w:cs="EB Garamond"/>
          <w:b/>
          <w:kern w:val="16"/>
          <w14:ligatures w14:val="standardContextual"/>
        </w:rPr>
        <w:t>xemplo de deferimento.</w:t>
      </w:r>
      <w:r>
        <w:rPr>
          <w:rFonts w:cs="EB Garamond"/>
          <w:kern w:val="16"/>
          <w14:ligatures w14:val="standardContextual"/>
        </w:rPr>
        <w:t xml:space="preserve"> Maria, pescadora artesanal, 28 anos, residente no município de Bragança/PA. Apresentou ao INSS: certidão de nascimento do filho, RGP ativo, declaração da Colônia de Pescadores Z-17, e duas notas fiscais de venda de camarão dos últimos seis meses. O INSS indeferiu o pedido alegando ausência de 10 contribuições. Após a decisão do STF nas ADIs 2.110/2.111, Maria requereu novamente e o INSS concedeu o benefício de R$ 1.621,00/mês (1 SM) por 120 dias.</w:t>
      </w:r>
    </w:p>
    <w:p w14:paraId="40854AD3" w14:textId="77777777" w:rsidR="005A5FCC" w:rsidRDefault="00A21C81">
      <w:pPr>
        <w:ind w:firstLine="238"/>
      </w:pPr>
      <w:r>
        <w:rPr>
          <w:rFonts w:cs="EB Garamond"/>
          <w:b/>
          <w:kern w:val="16"/>
          <w14:ligatures w14:val="standardContextual"/>
        </w:rPr>
        <w:t>Exemplo de controvérsia judicial.</w:t>
      </w:r>
      <w:r>
        <w:rPr>
          <w:rFonts w:cs="EB Garamond"/>
          <w:kern w:val="16"/>
          <w14:ligatures w14:val="standardContextual"/>
        </w:rPr>
        <w:t xml:space="preserve"> Joana, trabalhadora rural boia-fria, 32 anos, município de Jacarezinho/PR. Apresentou ao INSS apenas a certidão de nascimento e declaração de duas testemunhas. O INSS indeferiu por ausência de início de prova material. Joana ajuizou ação no JEF, apresentando declaração do sindicato rural e fotos de lavoura. O juiz designou audiência de instrução, na qual duas testemunhas confirmaram o trabalho rural de Joana nos últimos anos. O benefício foi deferido com DIB na data do parto, com correção monetária desde essa data (Súmula 45/TNU).</w:t>
      </w:r>
    </w:p>
    <w:p w14:paraId="54945000" w14:textId="77777777" w:rsidR="005A5FCC" w:rsidRDefault="00A21C81">
      <w:pPr>
        <w:ind w:firstLine="238"/>
      </w:pPr>
      <w:r>
        <w:rPr>
          <w:rFonts w:cs="EB Garamond"/>
          <w:b/>
          <w:kern w:val="16"/>
          <w14:ligatures w14:val="standardContextual"/>
        </w:rPr>
        <w:t>Descaracterização da atividade rural.</w:t>
      </w:r>
      <w:r>
        <w:rPr>
          <w:rFonts w:cs="EB Garamond"/>
          <w:kern w:val="16"/>
          <w14:ligatures w14:val="standardContextual"/>
        </w:rPr>
        <w:t xml:space="preserve"> O INSS pode indeferir o salário-maternidade da segurada especial quando identificar elementos que descaracterizem a atividade rural em regime de economia familiar. Os motivos mais comuns de indeferimento são: renda familiar incompatível com a subsistência pela agricultura (cônjuge com emprego urbano de alta renda), propriedade rural acima de quatro módulos fiscais, contratação permanente de empregados (desnaturando o regime de economia familiar), e exercício de atividade urbana concomitante por período superior ao permitido (cento e vinte dias/ano, conforme art. 11, §9º, Lei 8.213/91).</w:t>
      </w:r>
    </w:p>
    <w:p w14:paraId="58CDF78D" w14:textId="77777777" w:rsidR="005A5FCC" w:rsidRDefault="00A21C81">
      <w:pPr>
        <w:ind w:firstLine="238"/>
      </w:pPr>
      <w:r>
        <w:rPr>
          <w:rFonts w:cs="EB Garamond"/>
          <w:kern w:val="16"/>
          <w14:ligatures w14:val="standardContextual"/>
        </w:rPr>
        <w:t>A existência de vínculo empregatício urbano de outro membro da família não descaracteriza, por si só, a condição de segurada especial, desde que a atividade rural continue sendo indispensável à subsistência do grupo familiar. A TNU tem jurisprudência consolidada no sentido de que a descaracterização exige análise do conjunto probatório, não se admitindo presunção automática pela simples existência de renda urbana no grupo familiar.</w:t>
      </w:r>
    </w:p>
    <w:p w14:paraId="709EB71C" w14:textId="77777777" w:rsidR="005A5FCC" w:rsidRDefault="00A21C81">
      <w:pPr>
        <w:ind w:firstLine="238"/>
      </w:pPr>
      <w:r>
        <w:rPr>
          <w:rFonts w:cs="EB Garamond"/>
          <w:b/>
          <w:kern w:val="16"/>
          <w14:ligatures w14:val="standardContextual"/>
        </w:rPr>
        <w:t>Fiscalização e fraude.</w:t>
      </w:r>
      <w:r>
        <w:rPr>
          <w:rFonts w:cs="EB Garamond"/>
          <w:kern w:val="16"/>
          <w14:ligatures w14:val="standardContextual"/>
        </w:rPr>
        <w:t xml:space="preserve"> O salário-maternidade da segurada especial é o benefício previdenciário com maior índice de fraude registrado pelo INSS. A facilidade </w:t>
      </w:r>
      <w:r>
        <w:rPr>
          <w:rFonts w:cs="EB Garamond"/>
          <w:kern w:val="16"/>
          <w14:ligatures w14:val="standardContextual"/>
        </w:rPr>
        <w:lastRenderedPageBreak/>
        <w:t>do requerimento (basta comprovar atividade rural e parto), associada à dificuldade de fiscalização em áreas rurais remotas, gera incentivo a requerimentos fraudulentos por pessoas que não exercem efetivamente atividade rural. O INSS tem intensificado a fiscalização mediante cruzamento de dados (CNIS, RAIS, CAGED) e entrevistas domiciliares. A detecção de fraude gera cancelamento do benefício, cobrança dos valores pagos indevidamente e possível responsabilização criminal (art. 171, §3º, CP, estelionato previdenciário).</w:t>
      </w:r>
    </w:p>
    <w:p w14:paraId="13E393AD"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13.11 Adoção e guarda judicial para fins de adoção</w:t>
      </w:r>
    </w:p>
    <w:p w14:paraId="1CA519E8"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04DFACC1" w14:textId="77777777" w:rsidR="005A5FCC" w:rsidRDefault="00A21C81">
      <w:r>
        <w:rPr>
          <w:rFonts w:cs="EB Garamond"/>
          <w:kern w:val="16"/>
          <w14:ligatures w14:val="standardContextual"/>
        </w:rPr>
        <w:t xml:space="preserve"> extensão do salário-maternidade à adoção reflete a mudança na concepção de família e parentalidade no direito brasileiro: o vínculo entre pais e filhos não se estabelece exclusivamente pela via biológica, e a criança adotada necessita do mesmo período de convívio e adaptação assegurado ao recém-nascido biológico.</w:t>
      </w:r>
    </w:p>
    <w:p w14:paraId="13F328EE" w14:textId="77777777" w:rsidR="005A5FCC" w:rsidRDefault="00A21C81">
      <w:pPr>
        <w:ind w:firstLine="238"/>
      </w:pPr>
      <w:r>
        <w:rPr>
          <w:rFonts w:cs="EB Garamond"/>
          <w:b/>
          <w:kern w:val="16"/>
          <w14:ligatures w14:val="standardContextual"/>
        </w:rPr>
        <w:t>Evolução do regime de adoção no salário-maternidade.</w:t>
      </w:r>
      <w:r>
        <w:rPr>
          <w:rFonts w:cs="EB Garamond"/>
          <w:kern w:val="16"/>
          <w14:ligatures w14:val="standardContextual"/>
        </w:rPr>
        <w:t xml:space="preserve"> A inclusão da mãe adotiva entre as beneficiárias do salário-maternidade ocorreu pela Lei 10.421/2002, que instituiu regime discriminatório baseado na idade do adotando: cento e vinte dias para criança de até um ano de idade, sessenta dias para criança de um a quatro anos, e trinta dias para criança de quatro a oito anos. Esse escalonamento partia da premissa equivocada de que crianças mais velhas demandariam menor tempo de adaptação. A realidade da adoção demonstra o oposto: a adoção tardia (de crianças mais velhas) é mais complexa e exige período de adaptação mais intenso, pois a criança já vivenciou experiências de abandono, institucionalização e rompimento de vínculos.</w:t>
      </w:r>
    </w:p>
    <w:p w14:paraId="7275EA81" w14:textId="77777777" w:rsidR="005A5FCC" w:rsidRDefault="00A21C81">
      <w:pPr>
        <w:ind w:firstLine="238"/>
      </w:pPr>
      <w:r>
        <w:rPr>
          <w:rFonts w:cs="EB Garamond"/>
          <w:kern w:val="16"/>
          <w14:ligatures w14:val="standardContextual"/>
        </w:rPr>
        <w:t xml:space="preserve">A Lei 12.873/2013 corrigiu essa distorção ao unificar o prazo em cento e vinte dias para toda adoção, independentemente da idade do adotando, desde que este tenha até doze anos de idade. O limite de doze anos decorre do conceito de criança estabelecido no Estatuto da Criança e do Adolescente (art. 2º, Lei 8.069/90: considera-se criança a pessoa até doze anos de idade incompletos). A adoção de adolescente (doze a dezoito anos) não gera direito ao salário-maternidade, embora a </w:t>
      </w:r>
      <w:r>
        <w:rPr>
          <w:rFonts w:cs="EB Garamond"/>
          <w:kern w:val="16"/>
          <w14:ligatures w14:val="standardContextual"/>
        </w:rPr>
        <w:lastRenderedPageBreak/>
        <w:t>doutrina critique essa limitação como inconsistente com o princípio da proteção integral.</w:t>
      </w:r>
    </w:p>
    <w:p w14:paraId="30B251F9" w14:textId="77777777" w:rsidR="005A5FCC" w:rsidRDefault="00A21C81">
      <w:pPr>
        <w:ind w:firstLine="238"/>
      </w:pPr>
      <w:r>
        <w:rPr>
          <w:rFonts w:cs="EB Garamond"/>
          <w:b/>
          <w:kern w:val="16"/>
          <w14:ligatures w14:val="standardContextual"/>
        </w:rPr>
        <w:t>Momento de início do benefício.</w:t>
      </w:r>
      <w:r>
        <w:rPr>
          <w:rFonts w:cs="EB Garamond"/>
          <w:kern w:val="16"/>
          <w14:ligatures w14:val="standardContextual"/>
        </w:rPr>
        <w:t xml:space="preserve"> O salário-maternidade por adoção tem início na data do trânsito em julgado da sentença de adoção ou na data do termo de guarda provisória para fins de adoção, o que ocorrer primeiro. Na prática forense, o mais comum é que o benefício seja requerido a partir do termo de guarda provisória, pois este antecede a sentença definitiva e marca o momento em que a criança efetivamente passa a conviver com a família adotante.</w:t>
      </w:r>
    </w:p>
    <w:p w14:paraId="43FF81B7" w14:textId="77777777" w:rsidR="005A5FCC" w:rsidRDefault="00A21C81">
      <w:pPr>
        <w:ind w:firstLine="238"/>
      </w:pPr>
      <w:r>
        <w:rPr>
          <w:rFonts w:cs="EB Garamond"/>
          <w:kern w:val="16"/>
          <w14:ligatures w14:val="standardContextual"/>
        </w:rPr>
        <w:t>A guarda judicial para fins de adoção deve ser expressamente designada como tal no termo judicial. A guarda simples (art. 33, §1º, ECA), que não visa à adoção, não gera direito ao salário-maternidade. Essa distinção é relevante na experiência dos juizados: avós que obtêm guarda de netos, tios que obtêm guarda de sobrinhos, ou padrinhos que obtêm guarda de afilhados não fazem jus ao benefício, salvo se a guarda for expressamente para fins de adoção.</w:t>
      </w:r>
    </w:p>
    <w:p w14:paraId="3C203587" w14:textId="77777777" w:rsidR="005A5FCC" w:rsidRDefault="00A21C81">
      <w:pPr>
        <w:ind w:firstLine="238"/>
      </w:pPr>
      <w:r>
        <w:rPr>
          <w:rFonts w:cs="EB Garamond"/>
          <w:b/>
          <w:kern w:val="16"/>
          <w14:ligatures w14:val="standardContextual"/>
        </w:rPr>
        <w:t>Adoção internacional.</w:t>
      </w:r>
      <w:r>
        <w:rPr>
          <w:rFonts w:cs="EB Garamond"/>
          <w:kern w:val="16"/>
          <w14:ligatures w14:val="standardContextual"/>
        </w:rPr>
        <w:t xml:space="preserve"> Na adoção internacional (quando o adotante reside no exterior ou quando a criança será levada para outro país), o estágio de convivência obrigatório é de no mínimo trinta dias no Brasil (art. 46, §3º, ECA). O salário-maternidade tem início na data do termo de guarda provisória, e a segurada deve manter-se no Brasil durante o estágio de convivência. Se a segurada for brasileira residente no exterior, o benefício é pago pelo INSS, desde que mantida a qualidade de segurada.</w:t>
      </w:r>
    </w:p>
    <w:p w14:paraId="3AB25309" w14:textId="77777777" w:rsidR="005A5FCC" w:rsidRDefault="00A21C81">
      <w:pPr>
        <w:ind w:firstLine="238"/>
      </w:pPr>
      <w:r>
        <w:rPr>
          <w:rFonts w:cs="EB Garamond"/>
          <w:b/>
          <w:kern w:val="16"/>
          <w14:ligatures w14:val="standardContextual"/>
        </w:rPr>
        <w:t>Adoção tardia e grupo de irmãos.</w:t>
      </w:r>
      <w:r>
        <w:rPr>
          <w:rFonts w:cs="EB Garamond"/>
          <w:kern w:val="16"/>
          <w14:ligatures w14:val="standardContextual"/>
        </w:rPr>
        <w:t xml:space="preserve"> A adoção de criança maior (acima de dois anos) e a adoção de grupo de irmãos recebem o mesmo tratamento: cento e vinte dias de salário-maternidade, sem multiplicação pelo número de crianças adotadas. A política pública de incentivo à adoção tardia e de grupos de irmãos (art. 197-C, §2º, ECA) não se reflete em ampliação do período do benefício previdenciário. A doutrina tem criticado essa limitação, argumentando que a adoção simultânea de três ou quatro irmãos demanda esforço de adaptação incomparavelmente maior do que a adoção de uma única criança, justificando período proporcional mais extenso. A crítica, contudo, não encontra respaldo legislativo vigente.</w:t>
      </w:r>
    </w:p>
    <w:p w14:paraId="662855B0" w14:textId="77777777" w:rsidR="005A5FCC" w:rsidRDefault="00A21C81">
      <w:pPr>
        <w:ind w:firstLine="238"/>
      </w:pPr>
      <w:r>
        <w:rPr>
          <w:rFonts w:cs="EB Garamond"/>
          <w:b/>
          <w:kern w:val="16"/>
          <w14:ligatures w14:val="standardContextual"/>
        </w:rPr>
        <w:lastRenderedPageBreak/>
        <w:t>Vedação de duplicidade.</w:t>
      </w:r>
      <w:r>
        <w:rPr>
          <w:rFonts w:cs="EB Garamond"/>
          <w:kern w:val="16"/>
          <w14:ligatures w14:val="standardContextual"/>
        </w:rPr>
        <w:t xml:space="preserve"> O §2º do art. 71-A da Lei 8.213/91 veda a concessão do benefício a mais de um segurado pelo mesmo processo de adoção ou guarda, ressalvado o pagamento à mãe biológica (que recebe SM pelo parto) e a hipótese de falecimento do titular (art. 71-B). Assim, em um casal, heterossexual ou homoafetivo, que adota conjuntamente, apenas um dos adotantes recebe o salário-maternidade. A escolha de qual adotante requererá o benefício cabe ao casal.</w:t>
      </w:r>
    </w:p>
    <w:p w14:paraId="346C1D7A" w14:textId="77777777" w:rsidR="005A5FCC" w:rsidRDefault="00A21C81">
      <w:pPr>
        <w:ind w:firstLine="238"/>
      </w:pPr>
      <w:r>
        <w:rPr>
          <w:rFonts w:cs="EB Garamond"/>
          <w:b/>
          <w:kern w:val="16"/>
          <w14:ligatures w14:val="standardContextual"/>
        </w:rPr>
        <w:t>Documentação necessária.</w:t>
      </w:r>
      <w:r>
        <w:rPr>
          <w:rFonts w:cs="EB Garamond"/>
          <w:kern w:val="16"/>
          <w14:ligatures w14:val="standardContextual"/>
        </w:rPr>
        <w:t xml:space="preserve"> Para requerer o salário-maternidade por adoção, são necessários: sentença judicial de adoção transitada em julgado ou termo de guarda provisória para fins de adoção, certidão de nascimento da criança (original e com retificação, se já efetivada), e documentação pessoal da segurada ou do segurado (CPF, identidade, dados bancários). Para seguradas empregadas, o RH da empresa processa o benefício mediante apresentação do termo de guarda ou sentença.</w:t>
      </w:r>
    </w:p>
    <w:tbl>
      <w:tblPr>
        <w:tblW w:w="5000" w:type="pct"/>
        <w:jc w:val="center"/>
        <w:tblLayout w:type="fixed"/>
        <w:tblLook w:val="04A0" w:firstRow="1" w:lastRow="0" w:firstColumn="1" w:lastColumn="0" w:noHBand="0" w:noVBand="1"/>
      </w:tblPr>
      <w:tblGrid>
        <w:gridCol w:w="6311"/>
      </w:tblGrid>
      <w:tr w:rsidR="005A5FCC" w14:paraId="3958C85F"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32B3914F"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2DDA622F" w14:textId="77777777" w:rsidR="005A5FCC" w:rsidRDefault="00A21C81">
            <w:pPr>
              <w:spacing w:after="60" w:line="247" w:lineRule="auto"/>
            </w:pPr>
            <w:r>
              <w:rPr>
                <w:rFonts w:cs="EB Garamond"/>
                <w:b/>
                <w:kern w:val="16"/>
                <w:sz w:val="19"/>
                <w14:ligatures w14:val="standardContextual"/>
              </w:rPr>
              <w:t>Checklist: documentos para requerer SM por adoção</w:t>
            </w:r>
          </w:p>
          <w:p w14:paraId="2DF580CA" w14:textId="77777777" w:rsidR="005A5FCC" w:rsidRDefault="00A21C81">
            <w:pPr>
              <w:spacing w:after="30" w:line="240" w:lineRule="auto"/>
              <w:ind w:left="227" w:hanging="142"/>
            </w:pPr>
            <w:r>
              <w:rPr>
                <w:rFonts w:cs="EB Garamond"/>
                <w:kern w:val="16"/>
                <w:sz w:val="19"/>
                <w14:ligatures w14:val="standardContextual"/>
              </w:rPr>
              <w:t>• [ ] Sentença judicial de adoção (transitada em julgado) OU termo de guarda provisória para fins de adoção</w:t>
            </w:r>
          </w:p>
          <w:p w14:paraId="3E5A8572" w14:textId="77777777" w:rsidR="005A5FCC" w:rsidRDefault="00A21C81">
            <w:pPr>
              <w:spacing w:after="30" w:line="240" w:lineRule="auto"/>
              <w:ind w:left="227" w:hanging="142"/>
            </w:pPr>
            <w:r>
              <w:rPr>
                <w:rFonts w:cs="EB Garamond"/>
                <w:kern w:val="16"/>
                <w:sz w:val="19"/>
                <w14:ligatures w14:val="standardContextual"/>
              </w:rPr>
              <w:t>• [ ] Certidão de nascimento da criança (original)</w:t>
            </w:r>
          </w:p>
          <w:p w14:paraId="31BE4BDE" w14:textId="77777777" w:rsidR="005A5FCC" w:rsidRDefault="00A21C81">
            <w:pPr>
              <w:spacing w:after="30" w:line="240" w:lineRule="auto"/>
              <w:ind w:left="227" w:hanging="142"/>
            </w:pPr>
            <w:r>
              <w:rPr>
                <w:rFonts w:cs="EB Garamond"/>
                <w:kern w:val="16"/>
                <w:sz w:val="19"/>
                <w14:ligatures w14:val="standardContextual"/>
              </w:rPr>
              <w:t>• [ ] Certidão de nascimento retificada (se já disponível)</w:t>
            </w:r>
          </w:p>
          <w:p w14:paraId="6C715B3D" w14:textId="77777777" w:rsidR="005A5FCC" w:rsidRDefault="00A21C81">
            <w:pPr>
              <w:spacing w:after="30" w:line="240" w:lineRule="auto"/>
              <w:ind w:left="227" w:hanging="142"/>
            </w:pPr>
            <w:r>
              <w:rPr>
                <w:rFonts w:cs="EB Garamond"/>
                <w:kern w:val="16"/>
                <w:sz w:val="19"/>
                <w14:ligatures w14:val="standardContextual"/>
              </w:rPr>
              <w:t>• [ ] Documento de identidade com foto do(a) requerente</w:t>
            </w:r>
          </w:p>
          <w:p w14:paraId="53C619F6" w14:textId="77777777" w:rsidR="005A5FCC" w:rsidRDefault="00A21C81">
            <w:pPr>
              <w:spacing w:after="30" w:line="240" w:lineRule="auto"/>
              <w:ind w:left="227" w:hanging="142"/>
            </w:pPr>
            <w:r>
              <w:rPr>
                <w:rFonts w:cs="EB Garamond"/>
                <w:kern w:val="16"/>
                <w:sz w:val="19"/>
                <w14:ligatures w14:val="standardContextual"/>
              </w:rPr>
              <w:t>• [ ] CPF do(a) requerente</w:t>
            </w:r>
          </w:p>
          <w:p w14:paraId="71DED44C" w14:textId="77777777" w:rsidR="005A5FCC" w:rsidRDefault="00A21C81">
            <w:pPr>
              <w:spacing w:after="30" w:line="240" w:lineRule="auto"/>
              <w:ind w:left="227" w:hanging="142"/>
            </w:pPr>
            <w:r>
              <w:rPr>
                <w:rFonts w:cs="EB Garamond"/>
                <w:kern w:val="16"/>
                <w:sz w:val="19"/>
                <w14:ligatures w14:val="standardContextual"/>
              </w:rPr>
              <w:t>• [ ] Dados bancários (conta corrente ou poupança em nome do titular)</w:t>
            </w:r>
          </w:p>
          <w:p w14:paraId="0C8350F6" w14:textId="77777777" w:rsidR="005A5FCC" w:rsidRDefault="00A21C81">
            <w:pPr>
              <w:spacing w:after="30" w:line="240" w:lineRule="auto"/>
              <w:ind w:left="227" w:hanging="142"/>
            </w:pPr>
            <w:r>
              <w:rPr>
                <w:rFonts w:cs="EB Garamond"/>
                <w:kern w:val="16"/>
                <w:sz w:val="19"/>
                <w14:ligatures w14:val="standardContextual"/>
              </w:rPr>
              <w:t>• [ ] CTPS ou comprovante de contribuição (CI, facultativa)</w:t>
            </w:r>
          </w:p>
          <w:p w14:paraId="24C5AFD5" w14:textId="77777777" w:rsidR="005A5FCC" w:rsidRDefault="00A21C81">
            <w:pPr>
              <w:spacing w:after="30" w:line="240" w:lineRule="auto"/>
              <w:ind w:left="227" w:hanging="142"/>
            </w:pPr>
            <w:r>
              <w:rPr>
                <w:rFonts w:cs="EB Garamond"/>
                <w:kern w:val="16"/>
                <w:sz w:val="19"/>
                <w14:ligatures w14:val="standardContextual"/>
              </w:rPr>
              <w:t>• [ ] Para segurada especial: documentos de prova de atividade rural</w:t>
            </w:r>
          </w:p>
          <w:p w14:paraId="4EF73646" w14:textId="77777777" w:rsidR="005A5FCC" w:rsidRDefault="00A21C81">
            <w:pPr>
              <w:spacing w:after="30" w:line="240" w:lineRule="auto"/>
              <w:ind w:left="227" w:hanging="142"/>
            </w:pPr>
            <w:r>
              <w:rPr>
                <w:rFonts w:cs="EB Garamond"/>
                <w:kern w:val="16"/>
                <w:sz w:val="19"/>
                <w14:ligatures w14:val="standardContextual"/>
              </w:rPr>
              <w:t>• [ ] Para empregada: comunicação ao empregador com cópia do termo/sentença</w:t>
            </w:r>
          </w:p>
          <w:p w14:paraId="7CEA0899" w14:textId="77777777" w:rsidR="005A5FCC" w:rsidRDefault="00A21C81">
            <w:pPr>
              <w:spacing w:after="60" w:line="247" w:lineRule="auto"/>
            </w:pPr>
            <w:r>
              <w:rPr>
                <w:rFonts w:cs="EB Garamond"/>
                <w:b/>
                <w:kern w:val="16"/>
                <w:sz w:val="19"/>
                <w14:ligatures w14:val="standardContextual"/>
              </w:rPr>
              <w:t>Prazo para requerimento:</w:t>
            </w:r>
            <w:r>
              <w:rPr>
                <w:rFonts w:cs="EB Garamond"/>
                <w:kern w:val="16"/>
                <w:sz w:val="19"/>
                <w14:ligatures w14:val="standardContextual"/>
              </w:rPr>
              <w:t xml:space="preserve"> até 180 dias após o fato gerador (adoção ou guarda). O INSS aceita requerimento tardio, mas o pagamento retroage apenas à data do fato gerador, não ao período anterior.</w:t>
            </w:r>
          </w:p>
        </w:tc>
      </w:tr>
    </w:tbl>
    <w:p w14:paraId="1E0BC8D8" w14:textId="77777777" w:rsidR="005A5FCC" w:rsidRDefault="005A5FCC">
      <w:pPr>
        <w:spacing w:after="80" w:line="240" w:lineRule="auto"/>
      </w:pPr>
    </w:p>
    <w:p w14:paraId="4524C243"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I</w:t>
      </w:r>
    </w:p>
    <w:p w14:paraId="2E3D5C3B" w14:textId="77777777" w:rsidR="005A5FCC" w:rsidRDefault="00A21C81">
      <w:r>
        <w:rPr>
          <w:rFonts w:cs="EB Garamond"/>
          <w:b/>
          <w:kern w:val="16"/>
          <w14:ligatures w14:val="standardContextual"/>
        </w:rPr>
        <w:t>mpacto da dispensa de carência na adoção.</w:t>
      </w:r>
      <w:r>
        <w:rPr>
          <w:rFonts w:cs="EB Garamond"/>
          <w:kern w:val="16"/>
          <w14:ligatures w14:val="standardContextual"/>
        </w:rPr>
        <w:t xml:space="preserve"> Após as ADIs 2.110/2.111 (STF, março/2024), a segurada ou segurado adotante não precisa mais cumprir carência de dez contribuições mensais. Basta manter a qualidade de segu</w:t>
      </w:r>
      <w:r>
        <w:rPr>
          <w:rFonts w:cs="EB Garamond"/>
          <w:kern w:val="16"/>
          <w14:ligatures w14:val="standardContextual"/>
        </w:rPr>
        <w:lastRenderedPageBreak/>
        <w:t>rada(o) na data da adoção ou da guarda. Essa mudança é particularmente relevante para adoções não planejadas (como a adoção de criança abandonada encontrada pelo segurado) ou para seguradas que recentemente ingressaram no RGPS e ainda não contavam com dez contribuições.</w:t>
      </w:r>
    </w:p>
    <w:p w14:paraId="03081FC0" w14:textId="77777777" w:rsidR="005A5FCC" w:rsidRDefault="00A21C81">
      <w:pPr>
        <w:ind w:firstLine="238"/>
      </w:pPr>
      <w:r>
        <w:rPr>
          <w:rFonts w:cs="EB Garamond"/>
          <w:b/>
          <w:kern w:val="16"/>
          <w14:ligatures w14:val="standardContextual"/>
        </w:rPr>
        <w:t>Adoção intuitu personae (adoção dirigida).</w:t>
      </w:r>
      <w:r>
        <w:rPr>
          <w:rFonts w:cs="EB Garamond"/>
          <w:kern w:val="16"/>
          <w14:ligatures w14:val="standardContextual"/>
        </w:rPr>
        <w:t xml:space="preserve"> Na adoção intuitu personae, em que a mãe biológica escolhe a família adotiva, o salário-maternidade é devido a partir do termo de guarda provisória. A questão é controversa quando a criança é entregue informalmente antes da formalização judicial: o período de convivência anterior à guarda judicial não gera direito ao salário-maternidade, pois o fato gerador é o ato judicial (sentença ou termo de guarda), e não a entrega fática da criança.</w:t>
      </w:r>
    </w:p>
    <w:p w14:paraId="69B6B3D5"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13.12 Pai adotante, casais homoafetivos e famílias diversas</w:t>
      </w:r>
    </w:p>
    <w:p w14:paraId="211DDD3B"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11BCEBAA" w14:textId="77777777" w:rsidR="005A5FCC" w:rsidRDefault="00A21C81">
      <w:r>
        <w:rPr>
          <w:rFonts w:cs="EB Garamond"/>
          <w:kern w:val="16"/>
          <w14:ligatures w14:val="standardContextual"/>
        </w:rPr>
        <w:t xml:space="preserve"> Lei 12.873/2013 representou marco na evolução do salário-maternidade ao eliminar a distinção de gênero no benefício por adoção. O art. 71-A passou a referir-se a "segurado ou segurada" que adotar, reconhecendo que o cuidado da criança adotada pode ser exercido por homem ou mulher, independentemente da orientação sexual ou da configuração familiar.</w:t>
      </w:r>
    </w:p>
    <w:p w14:paraId="17A99A53" w14:textId="77777777" w:rsidR="005A5FCC" w:rsidRDefault="00A21C81">
      <w:pPr>
        <w:ind w:firstLine="238"/>
      </w:pPr>
      <w:r>
        <w:rPr>
          <w:rFonts w:cs="EB Garamond"/>
          <w:b/>
          <w:kern w:val="16"/>
          <w14:ligatures w14:val="standardContextual"/>
        </w:rPr>
        <w:t>Segurado homem adotante.</w:t>
      </w:r>
      <w:r>
        <w:rPr>
          <w:rFonts w:cs="EB Garamond"/>
          <w:kern w:val="16"/>
          <w14:ligatures w14:val="standardContextual"/>
        </w:rPr>
        <w:t xml:space="preserve"> Desde 24 de outubro de 2013 (data de publicação da Lei 12.873), o segurado homem que adota ou obtém guarda judicial para fins de adoção tem direito ao salário-maternidade de cento e vinte dias, nas mesmas condições da segurada mulher. A extensão aplica-se a todas as categorias de segurados: empregado, contribuinte individual, facultativo, segurado especial e MEI. A denominação "salário-maternidade" torna-se, nesses casos, uma impropriedade terminológica, mais adequado seria "salário-parentalidade", mas a legislação manteve a nomenclatura original. O valor, a duração e as condições de concessão são idênticos aos da segurada mulher.</w:t>
      </w:r>
    </w:p>
    <w:p w14:paraId="60921327" w14:textId="77777777" w:rsidR="005A5FCC" w:rsidRDefault="00A21C81">
      <w:pPr>
        <w:ind w:firstLine="238"/>
      </w:pPr>
      <w:r>
        <w:rPr>
          <w:rFonts w:cs="EB Garamond"/>
          <w:kern w:val="16"/>
          <w14:ligatures w14:val="standardContextual"/>
        </w:rPr>
        <w:t xml:space="preserve">O pai biológico que não adota não tem direito ao salário-maternidade — apenas à licença-paternidade de cinco dias (art. 10, §1º, ADCT) ou de vinte dias se a empresa aderir ao Programa Empresa Cidadã (Lei 11.770/2008). A extensão do </w:t>
      </w:r>
      <w:r>
        <w:rPr>
          <w:rFonts w:cs="EB Garamond"/>
          <w:kern w:val="16"/>
          <w14:ligatures w14:val="standardContextual"/>
        </w:rPr>
        <w:lastRenderedPageBreak/>
        <w:t>salário-maternidade ao homem é restrita à adoção e à guarda judicial para fins de adoção, refletindo a opção legislativa de associar o benefício ampliado ao período de adaptação da criança ao novo lar, e não ao evento biológico do parto.</w:t>
      </w:r>
    </w:p>
    <w:p w14:paraId="5EF5B76D" w14:textId="77777777" w:rsidR="005A5FCC" w:rsidRDefault="00A21C81">
      <w:pPr>
        <w:ind w:firstLine="238"/>
      </w:pPr>
      <w:r>
        <w:rPr>
          <w:rFonts w:cs="EB Garamond"/>
          <w:b/>
          <w:kern w:val="16"/>
          <w14:ligatures w14:val="standardContextual"/>
        </w:rPr>
        <w:t>Casais homoafetivos.</w:t>
      </w:r>
      <w:r>
        <w:rPr>
          <w:rFonts w:cs="EB Garamond"/>
          <w:kern w:val="16"/>
          <w14:ligatures w14:val="standardContextual"/>
        </w:rPr>
        <w:t xml:space="preserve"> O reconhecimento da união estável homoafetiva pelo STF (ADI 4.277 e ADPF 132, julgadas em 2011) e a possibilidade de casamento civil homoafetivo (Resolução CNJ 175/2013) produziram reflexos diretos no salário-maternidade.</w:t>
      </w:r>
    </w:p>
    <w:p w14:paraId="138ABEE5" w14:textId="77777777" w:rsidR="005A5FCC" w:rsidRDefault="00A21C81">
      <w:pPr>
        <w:ind w:firstLine="238"/>
      </w:pPr>
      <w:r>
        <w:rPr>
          <w:rFonts w:cs="EB Garamond"/>
          <w:kern w:val="16"/>
          <w14:ligatures w14:val="standardContextual"/>
        </w:rPr>
        <w:t>Em casal homoafetivo feminino, quando uma das companheiras gesta e dá à luz, o salário-maternidade é devido à gestante (fato gerador: parto). Se o casal adota conjuntamente, apenas uma das companheiras recebe o benefício (vedação de duplicidade do art. 71-A, §2º). Em casal homoafetivo masculino, o salário-maternidade é possível nas hipóteses de adoção (benefício para um dos companheiros) ou de gestação por substituição (tema controverso tratado na seção 13.17.5).</w:t>
      </w:r>
    </w:p>
    <w:p w14:paraId="4CCA190E" w14:textId="77777777" w:rsidR="005A5FCC" w:rsidRDefault="00A21C81">
      <w:pPr>
        <w:ind w:firstLine="238"/>
      </w:pPr>
      <w:r>
        <w:rPr>
          <w:rFonts w:cs="EB Garamond"/>
          <w:b/>
          <w:kern w:val="16"/>
          <w14:ligatures w14:val="standardContextual"/>
        </w:rPr>
        <w:t>Famílias monoparentais.</w:t>
      </w:r>
      <w:r>
        <w:rPr>
          <w:rFonts w:cs="EB Garamond"/>
          <w:kern w:val="16"/>
          <w14:ligatures w14:val="standardContextual"/>
        </w:rPr>
        <w:t xml:space="preserve"> O pai solo ou a mãe sola que adota tem direito ao salário-maternidade integral de cento e vinte dias. Não há exigência de que o adotante seja casado ou viva em união estável. A família monoparental é expressamente reconhecida pela Constituição (art. 226, §4º, CF: "entende-se, também, como entidade familiar a comunidade formada por qualquer dos pais e seus descendentes").</w:t>
      </w:r>
    </w:p>
    <w:p w14:paraId="002FFAF7" w14:textId="77777777" w:rsidR="005A5FCC" w:rsidRDefault="00A21C81">
      <w:pPr>
        <w:ind w:firstLine="238"/>
      </w:pPr>
      <w:r>
        <w:rPr>
          <w:rFonts w:cs="EB Garamond"/>
          <w:b/>
          <w:kern w:val="16"/>
          <w14:ligatures w14:val="standardContextual"/>
        </w:rPr>
        <w:t>Multiparentalidade.</w:t>
      </w:r>
      <w:r>
        <w:rPr>
          <w:rFonts w:cs="EB Garamond"/>
          <w:kern w:val="16"/>
          <w14:ligatures w14:val="standardContextual"/>
        </w:rPr>
        <w:t xml:space="preserve"> O reconhecimento da multiparentalidade pelo STF (RE 898.060/SC, Tema 622, julgado em 2016), que admite a coexistência de filiação biológica e socioafetiva, gera questões ainda não enfrentadas pela legislação previdenciária. Se uma criança tem dois pais e uma mãe (ou configurações semelhantes), quantos salários-maternidade podem ser concedidos? A vedação do art. 71-A, §2º, sugere que apenas um benefício é possível por processo de adoção ou guarda, mas a situação é inédita e carece de regulamentação específica.</w:t>
      </w:r>
    </w:p>
    <w:p w14:paraId="4BBB9724" w14:textId="77777777" w:rsidR="005A5FCC" w:rsidRDefault="00A21C81">
      <w:pPr>
        <w:ind w:firstLine="238"/>
      </w:pPr>
      <w:r>
        <w:rPr>
          <w:rFonts w:cs="EB Garamond"/>
          <w:b/>
          <w:kern w:val="16"/>
          <w14:ligatures w14:val="standardContextual"/>
        </w:rPr>
        <w:t>Produção independente (inseminação artificial).</w:t>
      </w:r>
      <w:r>
        <w:rPr>
          <w:rFonts w:cs="EB Garamond"/>
          <w:kern w:val="16"/>
          <w14:ligatures w14:val="standardContextual"/>
        </w:rPr>
        <w:t xml:space="preserve"> A mulher solteira que engravida por inseminação artificial (doador anônimo) tem direito ao salário-maternidade como qualquer gestante, sem qualquer peculiaridade jurídica. O fato gerador é o parto, independentemente da forma de concepção. O mesmo se aplica à fertilização in vitro (FIV) e a todas as técnicas de reprodução assistida quando a própria segurada gesta.</w:t>
      </w:r>
    </w:p>
    <w:p w14:paraId="76A22FDF" w14:textId="77777777" w:rsidR="005A5FCC" w:rsidRDefault="00A21C81">
      <w:pPr>
        <w:ind w:firstLine="238"/>
      </w:pPr>
      <w:r>
        <w:rPr>
          <w:rFonts w:cs="EB Garamond"/>
          <w:b/>
          <w:kern w:val="16"/>
          <w14:ligatures w14:val="standardContextual"/>
        </w:rPr>
        <w:lastRenderedPageBreak/>
        <w:t>Casais homoafetivos femininos e reprodução assistida.</w:t>
      </w:r>
      <w:r>
        <w:rPr>
          <w:rFonts w:cs="EB Garamond"/>
          <w:kern w:val="16"/>
          <w14:ligatures w14:val="standardContextual"/>
        </w:rPr>
        <w:t xml:space="preserve"> Em casais homoafetivos femininos em que uma das companheiras gesta (por inseminação artificial com doador) e a outra é a mãe socioafetiva, apenas a gestante recebe o salário-maternidade (fato gerador: parto). A companheira não gestante não faz jus ao benefício, salvo se houver adoção unilateral (situação rara quando já há filiação registrada). A lacuna legislativa é evidente: a companheira não gestante assume papel parental idêntico, mas não tem acesso ao salário-maternidade por ausência de fato gerador previsto em lei.</w:t>
      </w:r>
    </w:p>
    <w:p w14:paraId="47136689"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13.13 Estabilidade gestante e interface trabalhista</w:t>
      </w:r>
    </w:p>
    <w:p w14:paraId="4E517E98"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27726B7B" w14:textId="77777777" w:rsidR="005A5FCC" w:rsidRDefault="00A21C81">
      <w:r>
        <w:rPr>
          <w:rFonts w:cs="EB Garamond"/>
          <w:kern w:val="16"/>
          <w14:ligatures w14:val="standardContextual"/>
        </w:rPr>
        <w:t xml:space="preserve"> estabilidade provisória da gestante (art. 10, II, b, ADCT) e o salário-maternidade são institutos complementares que protegem a maternidade no ambiente de trabalho. A estabilidade garante a manutenção do emprego; o salário-maternidade substitui a remuneração durante o afastamento. A interseção desses dois institutos gera questões práticas relevantes.</w:t>
      </w:r>
    </w:p>
    <w:p w14:paraId="6B92147D" w14:textId="77777777" w:rsidR="005A5FCC" w:rsidRDefault="00A21C81">
      <w:pPr>
        <w:ind w:firstLine="238"/>
      </w:pPr>
      <w:r>
        <w:rPr>
          <w:rFonts w:cs="EB Garamond"/>
          <w:b/>
          <w:kern w:val="16"/>
          <w14:ligatures w14:val="standardContextual"/>
        </w:rPr>
        <w:t>Natureza objetiva da estabilidade.</w:t>
      </w:r>
      <w:r>
        <w:rPr>
          <w:rFonts w:cs="EB Garamond"/>
          <w:kern w:val="16"/>
          <w14:ligatures w14:val="standardContextual"/>
        </w:rPr>
        <w:t xml:space="preserve"> A estabilidade gestante independe do conhecimento do empregador sobre o estado gravídico (Súmula 244, I, TST). A empregada dispensada sem justa causa que descobre a gravidez após a dispensa tem direito à reintegração ou à indenização correspondente ao período da estabilidade, incluindo o salário-maternidade. Essa natureza objetiva protege a empregada contra a dispensa mesmo quando a gravidez era desconhecida no momento da rescisão.</w:t>
      </w:r>
    </w:p>
    <w:p w14:paraId="5E28F233" w14:textId="77777777" w:rsidR="005A5FCC" w:rsidRDefault="00A21C81">
      <w:pPr>
        <w:ind w:firstLine="238"/>
      </w:pPr>
      <w:r>
        <w:rPr>
          <w:rFonts w:cs="EB Garamond"/>
          <w:b/>
          <w:kern w:val="16"/>
          <w14:ligatures w14:val="standardContextual"/>
        </w:rPr>
        <w:t>Contrato por prazo determinado.</w:t>
      </w:r>
      <w:r>
        <w:rPr>
          <w:rFonts w:cs="EB Garamond"/>
          <w:kern w:val="16"/>
          <w14:ligatures w14:val="standardContextual"/>
        </w:rPr>
        <w:t xml:space="preserve"> A Súmula 244, III, do TST, em sua redação anterior à reforma trabalhista (Lei 13.467/2017), estendia a estabilidade gestante ao contrato por prazo determinado, incluindo o contrato de experiência. A reforma trabalhista (Lei 13.467/2017) introduziu o contrato de trabalho intermitente (art. 443, §3º, CLT) e alterou o regime dos contratos por prazo determinado, mas não disciplinou expressamente a estabilidade gestante nessas modalidades. A matéria permanece controvertida: o TST tem oscilado entre aplicar a </w:t>
      </w:r>
      <w:r>
        <w:rPr>
          <w:rFonts w:cs="EB Garamond"/>
          <w:kern w:val="16"/>
          <w14:ligatures w14:val="standardContextual"/>
        </w:rPr>
        <w:lastRenderedPageBreak/>
        <w:t>restrição e manter a estabilidade com fundamento direto na Constituição (art. 10, II, b, ADCT), que não excepciona nenhuma modalidade contratual.</w:t>
      </w:r>
    </w:p>
    <w:p w14:paraId="63E072DB" w14:textId="77777777" w:rsidR="005A5FCC" w:rsidRDefault="00A21C81">
      <w:pPr>
        <w:ind w:firstLine="238"/>
      </w:pPr>
      <w:r>
        <w:rPr>
          <w:rFonts w:cs="EB Garamond"/>
          <w:b/>
          <w:kern w:val="16"/>
          <w14:ligatures w14:val="standardContextual"/>
        </w:rPr>
        <w:t>Empregada doméstica.</w:t>
      </w:r>
      <w:r>
        <w:rPr>
          <w:rFonts w:cs="EB Garamond"/>
          <w:kern w:val="16"/>
          <w14:ligatures w14:val="standardContextual"/>
        </w:rPr>
        <w:t xml:space="preserve"> A LC 150/2015 (art. 25) assegurou expressamente a estabilidade provisória à empregada doméstica gestante, confirmando o entendimento já prevalente na jurisprudência. A empregada doméstica dispensada durante a gestação tem direito à reintegração ou à indenização substitutiva, e o salário-maternidade é pago pelo INSS a partir da data do parto.</w:t>
      </w:r>
    </w:p>
    <w:p w14:paraId="34A31DB7" w14:textId="77777777" w:rsidR="005A5FCC" w:rsidRDefault="00A21C81">
      <w:pPr>
        <w:ind w:firstLine="238"/>
      </w:pPr>
      <w:r>
        <w:rPr>
          <w:rFonts w:cs="EB Garamond"/>
          <w:b/>
          <w:kern w:val="16"/>
          <w14:ligatures w14:val="standardContextual"/>
        </w:rPr>
        <w:t>Dispensa durante a gestação e reflexos no salário-maternidade.</w:t>
      </w:r>
      <w:r>
        <w:rPr>
          <w:rFonts w:cs="EB Garamond"/>
          <w:kern w:val="16"/>
          <w14:ligatures w14:val="standardContextual"/>
        </w:rPr>
        <w:t xml:space="preserve"> Se a empregada é dispensada sem justa causa durante a gestação, três cenários são possíveis: (a) a empregada é reintegrada e continua recebendo salário-maternidade pelo empregador quando chegar o momento do parto; (b) a empregada recebe indenização substitutiva (salários e demais direitos do período de estabilidade), que inclui o valor correspondente ao salário-maternidade; (c) a empregada, mesmo sem reintegração, requer o salário-maternidade diretamente ao INSS como segurada no período de graça.</w:t>
      </w:r>
    </w:p>
    <w:p w14:paraId="70B7CD5E" w14:textId="77777777" w:rsidR="005A5FCC" w:rsidRDefault="00A21C81">
      <w:pPr>
        <w:ind w:firstLine="238"/>
      </w:pPr>
      <w:r>
        <w:rPr>
          <w:rFonts w:cs="EB Garamond"/>
          <w:kern w:val="16"/>
          <w14:ligatures w14:val="standardContextual"/>
        </w:rPr>
        <w:t>O cenário (c) é o mais frequente nos JEFs: a empregada dispensada durante a gestação, que não obteve reintegração pela Justiça do Trabalho, requer o salário-maternidade ao INSS como segurada desempregada no período de graça. O INSS deve conceder o benefício nos termos do art. 73, III (1/12 dos últimos 12 salários de contribuição).</w:t>
      </w:r>
    </w:p>
    <w:tbl>
      <w:tblPr>
        <w:tblW w:w="5000" w:type="pct"/>
        <w:jc w:val="center"/>
        <w:tblLayout w:type="fixed"/>
        <w:tblLook w:val="04A0" w:firstRow="1" w:lastRow="0" w:firstColumn="1" w:lastColumn="0" w:noHBand="0" w:noVBand="1"/>
      </w:tblPr>
      <w:tblGrid>
        <w:gridCol w:w="6311"/>
      </w:tblGrid>
      <w:tr w:rsidR="005A5FCC" w14:paraId="13B7633E"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564E91D3" w14:textId="77777777" w:rsidR="005A5FCC" w:rsidRDefault="00A21C81">
            <w:pPr>
              <w:spacing w:after="60" w:line="240" w:lineRule="auto"/>
              <w:jc w:val="left"/>
            </w:pPr>
            <w:r>
              <w:rPr>
                <w:rFonts w:ascii="Noto Sans" w:hAnsi="Noto Sans" w:cs="Noto Sans"/>
                <w:b/>
                <w:caps/>
                <w:color w:val="4D6F8A"/>
                <w:kern w:val="16"/>
                <w:sz w:val="16"/>
                <w14:ligatures w14:val="standardContextual"/>
              </w:rPr>
              <w:t>JURISPRUDÊNCIA EM DESTAQUE</w:t>
            </w:r>
          </w:p>
          <w:p w14:paraId="1F3D1D1A" w14:textId="77777777" w:rsidR="005A5FCC" w:rsidRDefault="00A21C81">
            <w:pPr>
              <w:spacing w:after="60" w:line="247" w:lineRule="auto"/>
            </w:pPr>
            <w:r>
              <w:rPr>
                <w:rFonts w:cs="EB Garamond"/>
                <w:b/>
                <w:kern w:val="16"/>
                <w:sz w:val="19"/>
                <w14:ligatures w14:val="standardContextual"/>
              </w:rPr>
              <w:t>Estabilidade gestante: Súmula 244/TST e reflexos previdenciários</w:t>
            </w:r>
          </w:p>
          <w:p w14:paraId="069232EF" w14:textId="77777777" w:rsidR="005A5FCC" w:rsidRDefault="00A21C81">
            <w:pPr>
              <w:spacing w:after="60" w:line="247" w:lineRule="auto"/>
            </w:pPr>
            <w:r>
              <w:rPr>
                <w:rFonts w:cs="EB Garamond"/>
                <w:b/>
                <w:kern w:val="16"/>
                <w:sz w:val="19"/>
                <w14:ligatures w14:val="standardContextual"/>
              </w:rPr>
              <w:t>Súmula 244, I, TST:</w:t>
            </w:r>
            <w:r>
              <w:rPr>
                <w:rFonts w:cs="EB Garamond"/>
                <w:kern w:val="16"/>
                <w:sz w:val="19"/>
                <w14:ligatures w14:val="standardContextual"/>
              </w:rPr>
              <w:t xml:space="preserve"> O desconhecimento do estado gravídico pelo empregador não afasta o direito ao pagamento da indenização decorrente da estabilidade.</w:t>
            </w:r>
          </w:p>
          <w:p w14:paraId="31B8AF0D" w14:textId="77777777" w:rsidR="005A5FCC" w:rsidRDefault="00A21C81">
            <w:pPr>
              <w:spacing w:after="60" w:line="247" w:lineRule="auto"/>
            </w:pPr>
            <w:r>
              <w:rPr>
                <w:rFonts w:cs="EB Garamond"/>
                <w:b/>
                <w:kern w:val="16"/>
                <w:sz w:val="19"/>
                <w14:ligatures w14:val="standardContextual"/>
              </w:rPr>
              <w:t>Súmula 244, II, TST:</w:t>
            </w:r>
            <w:r>
              <w:rPr>
                <w:rFonts w:cs="EB Garamond"/>
                <w:kern w:val="16"/>
                <w:sz w:val="19"/>
                <w14:ligatures w14:val="standardContextual"/>
              </w:rPr>
              <w:t xml:space="preserve"> A garantia de emprego à gestante só autoriza a reintegração se esta se der durante o período de estabilidade. Do contrário, a garantia restringe-se aos salários e demais direitos correspondentes ao período de estabilidade.</w:t>
            </w:r>
          </w:p>
          <w:p w14:paraId="1520505B" w14:textId="77777777" w:rsidR="005A5FCC" w:rsidRDefault="00A21C81">
            <w:pPr>
              <w:spacing w:after="60" w:line="247" w:lineRule="auto"/>
            </w:pPr>
            <w:r>
              <w:rPr>
                <w:rFonts w:cs="EB Garamond"/>
                <w:b/>
                <w:kern w:val="16"/>
                <w:sz w:val="19"/>
                <w14:ligatures w14:val="standardContextual"/>
              </w:rPr>
              <w:t>Reflexo previdenciário:</w:t>
            </w:r>
            <w:r>
              <w:rPr>
                <w:rFonts w:cs="EB Garamond"/>
                <w:kern w:val="16"/>
                <w:sz w:val="19"/>
                <w14:ligatures w14:val="standardContextual"/>
              </w:rPr>
              <w:t xml:space="preserve"> A empregada gestante dispensada sem justa causa que não é reintegrada tem direito ao salário-maternidade pago pelo INSS, como segurada no período de graça (art. 15, Lei 8.213). O valor é calculado pelo art. 73, III (1/12 dos 12 últimos SC). A competência para esta ação é da Justiça Federal (JEF), e não da Justiça do Trabalho, pois o réu é o INSS.</w:t>
            </w:r>
          </w:p>
        </w:tc>
      </w:tr>
    </w:tbl>
    <w:p w14:paraId="7D66ED21" w14:textId="77777777" w:rsidR="005A5FCC" w:rsidRDefault="005A5FCC">
      <w:pPr>
        <w:spacing w:after="80" w:line="240" w:lineRule="auto"/>
      </w:pPr>
    </w:p>
    <w:p w14:paraId="70A4004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C</w:t>
      </w:r>
    </w:p>
    <w:p w14:paraId="5EAA7B6D" w14:textId="77777777" w:rsidR="005A5FCC" w:rsidRDefault="00A21C81">
      <w:r>
        <w:rPr>
          <w:rFonts w:cs="EB Garamond"/>
          <w:b/>
          <w:kern w:val="16"/>
          <w14:ligatures w14:val="standardContextual"/>
        </w:rPr>
        <w:t>ompetência: Justiça Federal × Justiça do Trabalho.</w:t>
      </w:r>
      <w:r>
        <w:rPr>
          <w:rFonts w:cs="EB Garamond"/>
          <w:kern w:val="16"/>
          <w14:ligatures w14:val="standardContextual"/>
        </w:rPr>
        <w:t xml:space="preserve"> A delimitação de competência entre a Justiça Federal e a Justiça do Trabalho é uma das questões processuais mais recorrentes em matéria de salário-maternidade. A regra geral é clara: quando o réu é o INSS, a competência é da Justiça Federal (JEFs); quando o réu é o empregador, a competência é da Justiça do Trabalho. A dificuldade surge quando a empregada CLT tem o salário-maternidade indeferido pelo empregador que alega impossibilidade financeira: a empregada pode acionar o INSS diretamente?</w:t>
      </w:r>
    </w:p>
    <w:p w14:paraId="4D4DFF41" w14:textId="77777777" w:rsidR="005A5FCC" w:rsidRDefault="00A21C81">
      <w:pPr>
        <w:ind w:firstLine="238"/>
      </w:pPr>
      <w:r>
        <w:rPr>
          <w:rFonts w:cs="EB Garamond"/>
          <w:kern w:val="16"/>
          <w14:ligatures w14:val="standardContextual"/>
        </w:rPr>
        <w:t>A jurisprudência majoritária admite a legitimidade passiva do INSS mesmo quando o pagamento deveria ser feito pelo empregador, pois o INSS é o responsável último pelo benefício previdenciário. O INSS, condenado, pode exercer direito de regresso contra o empregador. Essa solução beneficia a segurada, que obtém o pagamento imediato sem depender da solvência do empregador.</w:t>
      </w:r>
    </w:p>
    <w:p w14:paraId="444647B7" w14:textId="77777777" w:rsidR="005A5FCC" w:rsidRDefault="00A21C81">
      <w:pPr>
        <w:ind w:firstLine="238"/>
      </w:pPr>
      <w:r>
        <w:rPr>
          <w:rFonts w:cs="EB Garamond"/>
          <w:b/>
          <w:kern w:val="16"/>
          <w14:ligatures w14:val="standardContextual"/>
        </w:rPr>
        <w:t>Avulsa gestante e estabilidade.</w:t>
      </w:r>
      <w:r>
        <w:rPr>
          <w:rFonts w:cs="EB Garamond"/>
          <w:kern w:val="16"/>
          <w14:ligatures w14:val="standardContextual"/>
        </w:rPr>
        <w:t xml:space="preserve"> A trabalhadora avulsa gestante tem estabilidade provisória? A Constituição assegura igualdade de direitos entre avulsa e empregada (art. 7º, XXXIV), o que incluiria a estabilidade gestante. Contudo, a trabalhadora avulsa não mantém vínculo empregatício com o tomador de serviços — o vínculo é com o OGMO (Órgão Gestor de Mão de Obra) ou sindicato. A doutrina majoritária reconhece a estabilidade, impedindo o descredenciamento da avulsa gestante junto ao OGMO durante o período de proteção (confirmação da gravidez até cinco meses após o parto).</w:t>
      </w:r>
    </w:p>
    <w:p w14:paraId="573A0EEC" w14:textId="77777777" w:rsidR="005A5FCC" w:rsidRDefault="00A21C81">
      <w:pPr>
        <w:ind w:firstLine="238"/>
      </w:pPr>
      <w:r>
        <w:rPr>
          <w:rFonts w:cs="EB Garamond"/>
          <w:b/>
          <w:kern w:val="16"/>
          <w14:ligatures w14:val="standardContextual"/>
        </w:rPr>
        <w:t>Trabalho intermitente e gestação.</w:t>
      </w:r>
      <w:r>
        <w:rPr>
          <w:rFonts w:cs="EB Garamond"/>
          <w:kern w:val="16"/>
          <w14:ligatures w14:val="standardContextual"/>
        </w:rPr>
        <w:t xml:space="preserve"> A empregada em contrato de trabalho intermitente (art. 443, §3º, CLT) que engravida enfrenta situação peculiar. Nos períodos de inatividade, não há remuneração nem contribuição previdenciária. A segurada pode ter lacunas contributivas que, antes da decisão do STF nas ADIs 2.110/2.111, comprometiam a carência de dez contribuições. Com a eliminação da carência, basta que a segurada mantenha a qualidade de segurada — o que se verifica pela existência de vínculo empregatício ativo no eSocial, mesmo que intermitente.</w:t>
      </w:r>
    </w:p>
    <w:p w14:paraId="695B4C99" w14:textId="77777777" w:rsidR="005A5FCC" w:rsidRDefault="00A21C81">
      <w:pPr>
        <w:ind w:firstLine="238"/>
      </w:pPr>
      <w:r>
        <w:rPr>
          <w:rFonts w:cs="EB Garamond"/>
          <w:kern w:val="16"/>
          <w14:ligatures w14:val="standardContextual"/>
        </w:rPr>
        <w:t xml:space="preserve">A estabilidade gestante da empregada intermitente é tema controverso. O TST ainda não fixou posição definitiva sobre se a empregada intermitente tem </w:t>
      </w:r>
      <w:r>
        <w:rPr>
          <w:rFonts w:cs="EB Garamond"/>
          <w:kern w:val="16"/>
          <w14:ligatures w14:val="standardContextual"/>
        </w:rPr>
        <w:lastRenderedPageBreak/>
        <w:t>direito à estabilidade durante os períodos de inatividade ou apenas durante as convocações efetivas. A tendência jurisprudencial é reconhecer a estabilidade pelo período integral (confirmação da gravidez até cinco meses após o parto), impedindo a rescisão do contrato intermitente.</w:t>
      </w:r>
    </w:p>
    <w:p w14:paraId="6E9673C1"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13.14 Acumulação e vedações</w:t>
      </w:r>
    </w:p>
    <w:p w14:paraId="1CE39BB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62D984D5" w14:textId="77777777" w:rsidR="005A5FCC" w:rsidRDefault="00A21C81">
      <w:r>
        <w:rPr>
          <w:rFonts w:cs="EB Garamond"/>
          <w:kern w:val="16"/>
          <w14:ligatures w14:val="standardContextual"/>
        </w:rPr>
        <w:t xml:space="preserve"> art. 124 da Lei 8.213/91 estabelece regras de vedação de acumulação entre benefícios previdenciários. O salário-maternidade é afetado por algumas dessas vedações e, simultaneamente, pode ser acumulado com outros benefícios.</w:t>
      </w:r>
    </w:p>
    <w:p w14:paraId="4DC9D8E9" w14:textId="77777777" w:rsidR="005A5FCC" w:rsidRDefault="00A21C81">
      <w:pPr>
        <w:ind w:firstLine="238"/>
      </w:pPr>
      <w:r>
        <w:rPr>
          <w:rFonts w:cs="EB Garamond"/>
          <w:b/>
          <w:kern w:val="16"/>
          <w14:ligatures w14:val="standardContextual"/>
        </w:rPr>
        <w:t>Vedação: SM × auxílio por incapacidade temporária.</w:t>
      </w:r>
      <w:r>
        <w:rPr>
          <w:rFonts w:cs="EB Garamond"/>
          <w:kern w:val="16"/>
          <w14:ligatures w14:val="standardContextual"/>
        </w:rPr>
        <w:t xml:space="preserve"> O art. 124 da Lei 8.213/91, combinado com o art. 167 do Decreto 3.048/99, veda a acumulação de salário-maternidade com auxílio por incapacidade temporária (antigo auxílio-doença), por incompatibilidade lógica: ambos os benefícios substituem a remuneração do segurado. Quando a segurada em gozo de auxílio por incapacidade temporária dá à luz, o auxílio é suspenso e substituído pelo salário-maternidade, por ser este mais vantajoso (remuneração integral versus 91% do salário de benefício). Findo o período do salário-maternidade, se a incapacidade persistir, o auxílio por incapacidade temporária é restabelecido automaticamente.</w:t>
      </w:r>
    </w:p>
    <w:p w14:paraId="5393544F" w14:textId="77777777" w:rsidR="005A5FCC" w:rsidRDefault="00A21C81">
      <w:pPr>
        <w:ind w:firstLine="238"/>
      </w:pPr>
      <w:r>
        <w:rPr>
          <w:rFonts w:cs="EB Garamond"/>
          <w:kern w:val="16"/>
          <w14:ligatures w14:val="standardContextual"/>
        </w:rPr>
        <w:t>Na prática, essa substituição exige ação administrativa da segurada: ela deve comunicar o parto ao INSS e requerer a conversão do auxílio em salário-maternidade. Se o INSS não proceder à conversão de ofício, a segurada pode requerer judicialmente, com retroação da DIB do salário-maternidade à data do parto.</w:t>
      </w:r>
    </w:p>
    <w:p w14:paraId="56164998" w14:textId="77777777" w:rsidR="005A5FCC" w:rsidRDefault="00A21C81">
      <w:pPr>
        <w:ind w:firstLine="238"/>
      </w:pPr>
      <w:r>
        <w:rPr>
          <w:rFonts w:cs="EB Garamond"/>
          <w:b/>
          <w:kern w:val="16"/>
          <w14:ligatures w14:val="standardContextual"/>
        </w:rPr>
        <w:t>Acumulação permitida: SM × aposentadoria.</w:t>
      </w:r>
      <w:r>
        <w:rPr>
          <w:rFonts w:cs="EB Garamond"/>
          <w:kern w:val="16"/>
          <w14:ligatures w14:val="standardContextual"/>
        </w:rPr>
        <w:t xml:space="preserve"> A segurada aposentada que retorna ao trabalho e engravida tem direito ao salário-maternidade, sem prejuízo da aposentadoria. O art. 71-C da Lei 8.213/91 condiciona o salário-maternidade ao afastamento do trabalho, mas não à cessação da aposentadoria. A aposentada mantém o benefício de aposentadoria e recebe, cumulativamente, o salário-maternidade durante cento e vinte dias, desde que se afaste do trabalho.</w:t>
      </w:r>
    </w:p>
    <w:p w14:paraId="30121F77" w14:textId="77777777" w:rsidR="005A5FCC" w:rsidRDefault="00A21C81">
      <w:pPr>
        <w:ind w:firstLine="238"/>
      </w:pPr>
      <w:r>
        <w:rPr>
          <w:rFonts w:cs="EB Garamond"/>
          <w:b/>
          <w:kern w:val="16"/>
          <w14:ligatures w14:val="standardContextual"/>
        </w:rPr>
        <w:lastRenderedPageBreak/>
        <w:t>Acumulação permitida: SM × pensão por morte.</w:t>
      </w:r>
      <w:r>
        <w:rPr>
          <w:rFonts w:cs="EB Garamond"/>
          <w:kern w:val="16"/>
          <w14:ligatures w14:val="standardContextual"/>
        </w:rPr>
        <w:t xml:space="preserve"> O salário-maternidade e a pensão por morte são benefícios de natureza diversa (um substitui remuneração, o outro é benefício de dependente) e podem ser recebidos cumulativamente sem restrição.</w:t>
      </w:r>
    </w:p>
    <w:p w14:paraId="424DEA80" w14:textId="77777777" w:rsidR="005A5FCC" w:rsidRDefault="00A21C81">
      <w:pPr>
        <w:ind w:firstLine="238"/>
      </w:pPr>
      <w:r>
        <w:rPr>
          <w:rFonts w:cs="EB Garamond"/>
          <w:b/>
          <w:kern w:val="16"/>
          <w14:ligatures w14:val="standardContextual"/>
        </w:rPr>
        <w:t>Acumulação permitida: SM × auxílio-acidente.</w:t>
      </w:r>
      <w:r>
        <w:rPr>
          <w:rFonts w:cs="EB Garamond"/>
          <w:kern w:val="16"/>
          <w14:ligatures w14:val="standardContextual"/>
        </w:rPr>
        <w:t xml:space="preserve"> O auxílio-acidente tem natureza indenizatória (art. 86, §2º, Lei 8.213/91) e é acumulável com o salário-maternidade. A segurada que recebe auxílio-acidente e engravida receberá simultaneamente ambos os benefícios.</w:t>
      </w:r>
    </w:p>
    <w:p w14:paraId="422A1B46" w14:textId="77777777" w:rsidR="005A5FCC" w:rsidRDefault="00A21C81">
      <w:pPr>
        <w:ind w:firstLine="238"/>
      </w:pPr>
      <w:r>
        <w:rPr>
          <w:rFonts w:cs="EB Garamond"/>
          <w:b/>
          <w:kern w:val="16"/>
          <w14:ligatures w14:val="standardContextual"/>
        </w:rPr>
        <w:t>Vedação: SM × BPC.</w:t>
      </w:r>
      <w:r>
        <w:rPr>
          <w:rFonts w:cs="EB Garamond"/>
          <w:kern w:val="16"/>
          <w14:ligatures w14:val="standardContextual"/>
        </w:rPr>
        <w:t xml:space="preserve"> O BPC/LOAS é inacumulável com qualquer benefício previdenciário (art. 20, §4º, Lei 8.742/93), incluindo o salário-maternidade. A beneficiária do BPC que engravidar e fizer jus ao salário-maternidade deverá optar entre os dois benefícios. Na maioria dos casos, o salário-maternidade é mais vantajoso (por ser temporário e cumulável com retorno ao trabalho), mas a análise depende da situação individual — conferir detalhamento no Cap. 18 (seção 18.9).</w:t>
      </w:r>
    </w:p>
    <w:p w14:paraId="6465200C" w14:textId="77777777" w:rsidR="005A5FCC" w:rsidRDefault="00A21C81">
      <w:pPr>
        <w:ind w:firstLine="238"/>
      </w:pPr>
      <w:r>
        <w:rPr>
          <w:rFonts w:cs="EB Garamond"/>
          <w:b/>
          <w:kern w:val="16"/>
          <w14:ligatures w14:val="standardContextual"/>
        </w:rPr>
        <w:t>Dois salários-maternidade simultâneos.</w:t>
      </w:r>
      <w:r>
        <w:rPr>
          <w:rFonts w:cs="EB Garamond"/>
          <w:kern w:val="16"/>
          <w14:ligatures w14:val="standardContextual"/>
        </w:rPr>
        <w:t xml:space="preserve"> A segurada com dois vínculos empregatícios simultâneos (por exemplo, empregada em duas empresas) pode receber dois salários-maternidade? A questão é controvertida. A posição do INSS é restritiva: apenas um benefício por fato gerador. A jurisprudência, porém, tem admitido o pagamento de dois salários-maternidade quando a segurada comprova dois vínculos concomitantes, pois o afastamento ocorre em ambos os empregos e a remuneração é substituída em ambos. Cada empresa efetua a compensação relativa ao seu vínculo.</w:t>
      </w:r>
    </w:p>
    <w:p w14:paraId="168B617A" w14:textId="77777777" w:rsidR="005A5FCC" w:rsidRDefault="00A21C81">
      <w:pPr>
        <w:ind w:firstLine="238"/>
      </w:pPr>
      <w:r>
        <w:rPr>
          <w:rFonts w:cs="EB Garamond"/>
          <w:kern w:val="16"/>
          <w14:ligatures w14:val="standardContextual"/>
        </w:rPr>
        <w:t>O fundamento para a acumulação reside na natureza substitutiva do benefício: se a segurada tinha duas fontes de renda e se afasta de ambas para cuidar do filho, ambas as rendas devem ser substituídas pelo salário-maternidade. A vedação seria desarrazoada, pois puniria a segurada pelo fato de trabalhar em dois empregos. Em sentido diverso, o INSS argumenta que o benefício por fato gerador é único, pois o risco social (maternidade) é um só, independentemente do número de vínculos.</w:t>
      </w:r>
    </w:p>
    <w:p w14:paraId="7C27351F" w14:textId="77777777" w:rsidR="005A5FCC" w:rsidRDefault="00A21C81">
      <w:pPr>
        <w:ind w:firstLine="238"/>
      </w:pPr>
      <w:r>
        <w:rPr>
          <w:rFonts w:cs="EB Garamond"/>
          <w:b/>
          <w:kern w:val="16"/>
          <w14:ligatures w14:val="standardContextual"/>
        </w:rPr>
        <w:t>Quadro-resumo de acumulação:</w:t>
      </w:r>
    </w:p>
    <w:tbl>
      <w:tblPr>
        <w:tblW w:w="5000" w:type="pct"/>
        <w:jc w:val="center"/>
        <w:tblLook w:val="04A0" w:firstRow="1" w:lastRow="0" w:firstColumn="1" w:lastColumn="0" w:noHBand="0" w:noVBand="1"/>
      </w:tblPr>
      <w:tblGrid>
        <w:gridCol w:w="2114"/>
        <w:gridCol w:w="2113"/>
        <w:gridCol w:w="2113"/>
      </w:tblGrid>
      <w:tr w:rsidR="005A5FCC" w14:paraId="0D30F20F" w14:textId="77777777">
        <w:trPr>
          <w:tblHeader/>
          <w:jc w:val="center"/>
        </w:trPr>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072DE21F" w14:textId="77777777" w:rsidR="005A5FCC" w:rsidRDefault="00A21C81">
            <w:pPr>
              <w:spacing w:before="40" w:after="40" w:line="240" w:lineRule="auto"/>
              <w:jc w:val="center"/>
            </w:pPr>
            <w:r>
              <w:rPr>
                <w:rFonts w:cs="EB Garamond"/>
                <w:b/>
                <w:color w:val="2F2923"/>
                <w:kern w:val="16"/>
                <w:sz w:val="18"/>
                <w14:ligatures w14:val="standardContextual"/>
              </w:rPr>
              <w:lastRenderedPageBreak/>
              <w:t>Benefício</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06487C7B" w14:textId="77777777" w:rsidR="005A5FCC" w:rsidRDefault="00A21C81">
            <w:pPr>
              <w:spacing w:before="40" w:after="40" w:line="240" w:lineRule="auto"/>
              <w:jc w:val="center"/>
            </w:pPr>
            <w:r>
              <w:rPr>
                <w:rFonts w:cs="EB Garamond"/>
                <w:b/>
                <w:color w:val="2F2923"/>
                <w:kern w:val="16"/>
                <w:sz w:val="18"/>
                <w14:ligatures w14:val="standardContextual"/>
              </w:rPr>
              <w:t>Acumula com SM?</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25DC3D86" w14:textId="77777777" w:rsidR="005A5FCC" w:rsidRDefault="00A21C81">
            <w:pPr>
              <w:spacing w:before="40" w:after="40" w:line="240" w:lineRule="auto"/>
              <w:jc w:val="center"/>
            </w:pPr>
            <w:r>
              <w:rPr>
                <w:rFonts w:cs="EB Garamond"/>
                <w:b/>
                <w:color w:val="2F2923"/>
                <w:kern w:val="16"/>
                <w:sz w:val="18"/>
                <w14:ligatures w14:val="standardContextual"/>
              </w:rPr>
              <w:t>Fundamento</w:t>
            </w:r>
          </w:p>
        </w:tc>
      </w:tr>
      <w:tr w:rsidR="005A5FCC" w14:paraId="5EDA60C8"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29C2DBA7" w14:textId="77777777" w:rsidR="005A5FCC" w:rsidRDefault="00A21C81">
            <w:pPr>
              <w:spacing w:before="20" w:after="20" w:line="240" w:lineRule="auto"/>
              <w:jc w:val="left"/>
            </w:pPr>
            <w:r>
              <w:rPr>
                <w:rFonts w:cs="EB Garamond"/>
                <w:kern w:val="16"/>
                <w:sz w:val="18"/>
                <w14:ligatures w14:val="standardContextual"/>
              </w:rPr>
              <w:t>Auxílio por incapacidade temporária</w:t>
            </w:r>
          </w:p>
        </w:tc>
        <w:tc>
          <w:tcPr>
            <w:tcW w:w="2117" w:type="dxa"/>
            <w:tcBorders>
              <w:top w:val="single" w:sz="4" w:space="0" w:color="D2C9B8"/>
              <w:left w:val="single" w:sz="4" w:space="0" w:color="D2C9B8"/>
              <w:bottom w:val="single" w:sz="4" w:space="0" w:color="D2C9B8"/>
              <w:right w:val="single" w:sz="4" w:space="0" w:color="D2C9B8"/>
            </w:tcBorders>
          </w:tcPr>
          <w:p w14:paraId="337163F8" w14:textId="77777777" w:rsidR="005A5FCC" w:rsidRDefault="00A21C81">
            <w:pPr>
              <w:spacing w:before="20" w:after="20" w:line="240" w:lineRule="auto"/>
              <w:jc w:val="left"/>
            </w:pPr>
            <w:r>
              <w:rPr>
                <w:rFonts w:cs="EB Garamond"/>
                <w:kern w:val="16"/>
                <w:sz w:val="18"/>
                <w14:ligatures w14:val="standardContextual"/>
              </w:rPr>
              <w:t>NÃO</w:t>
            </w:r>
          </w:p>
        </w:tc>
        <w:tc>
          <w:tcPr>
            <w:tcW w:w="2117" w:type="dxa"/>
            <w:tcBorders>
              <w:top w:val="single" w:sz="4" w:space="0" w:color="D2C9B8"/>
              <w:left w:val="single" w:sz="4" w:space="0" w:color="D2C9B8"/>
              <w:bottom w:val="single" w:sz="4" w:space="0" w:color="D2C9B8"/>
              <w:right w:val="single" w:sz="4" w:space="0" w:color="D2C9B8"/>
            </w:tcBorders>
          </w:tcPr>
          <w:p w14:paraId="2014F3D1" w14:textId="77777777" w:rsidR="005A5FCC" w:rsidRDefault="00A21C81">
            <w:pPr>
              <w:spacing w:before="20" w:after="20" w:line="240" w:lineRule="auto"/>
              <w:jc w:val="left"/>
            </w:pPr>
            <w:r>
              <w:rPr>
                <w:rFonts w:cs="EB Garamond"/>
                <w:kern w:val="16"/>
                <w:sz w:val="18"/>
                <w14:ligatures w14:val="standardContextual"/>
              </w:rPr>
              <w:t>Art. 124, Lei 8.213 c/c art. 167, Dec. 3.048</w:t>
            </w:r>
          </w:p>
        </w:tc>
      </w:tr>
      <w:tr w:rsidR="005A5FCC" w14:paraId="5891D406"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7ABFB9E9" w14:textId="77777777" w:rsidR="005A5FCC" w:rsidRDefault="00A21C81">
            <w:pPr>
              <w:spacing w:before="20" w:after="20" w:line="240" w:lineRule="auto"/>
              <w:jc w:val="left"/>
            </w:pPr>
            <w:r>
              <w:rPr>
                <w:rFonts w:cs="EB Garamond"/>
                <w:kern w:val="16"/>
                <w:sz w:val="18"/>
                <w14:ligatures w14:val="standardContextual"/>
              </w:rPr>
              <w:t>Aposentadoria (qualquer espécie)</w:t>
            </w:r>
          </w:p>
        </w:tc>
        <w:tc>
          <w:tcPr>
            <w:tcW w:w="2117" w:type="dxa"/>
            <w:tcBorders>
              <w:top w:val="single" w:sz="4" w:space="0" w:color="D2C9B8"/>
              <w:left w:val="single" w:sz="4" w:space="0" w:color="D2C9B8"/>
              <w:bottom w:val="single" w:sz="4" w:space="0" w:color="D2C9B8"/>
              <w:right w:val="single" w:sz="4" w:space="0" w:color="D2C9B8"/>
            </w:tcBorders>
          </w:tcPr>
          <w:p w14:paraId="284C1702" w14:textId="77777777" w:rsidR="005A5FCC" w:rsidRDefault="00A21C81">
            <w:pPr>
              <w:spacing w:before="20" w:after="20" w:line="240" w:lineRule="auto"/>
              <w:jc w:val="left"/>
            </w:pPr>
            <w:r>
              <w:rPr>
                <w:rFonts w:cs="EB Garamond"/>
                <w:kern w:val="16"/>
                <w:sz w:val="18"/>
                <w14:ligatures w14:val="standardContextual"/>
              </w:rPr>
              <w:t>SIM</w:t>
            </w:r>
          </w:p>
        </w:tc>
        <w:tc>
          <w:tcPr>
            <w:tcW w:w="2117" w:type="dxa"/>
            <w:tcBorders>
              <w:top w:val="single" w:sz="4" w:space="0" w:color="D2C9B8"/>
              <w:left w:val="single" w:sz="4" w:space="0" w:color="D2C9B8"/>
              <w:bottom w:val="single" w:sz="4" w:space="0" w:color="D2C9B8"/>
              <w:right w:val="single" w:sz="4" w:space="0" w:color="D2C9B8"/>
            </w:tcBorders>
          </w:tcPr>
          <w:p w14:paraId="0A1B68D8" w14:textId="77777777" w:rsidR="005A5FCC" w:rsidRDefault="00A21C81">
            <w:pPr>
              <w:spacing w:before="20" w:after="20" w:line="240" w:lineRule="auto"/>
              <w:jc w:val="left"/>
            </w:pPr>
            <w:r>
              <w:rPr>
                <w:rFonts w:cs="EB Garamond"/>
                <w:kern w:val="16"/>
                <w:sz w:val="18"/>
                <w14:ligatures w14:val="standardContextual"/>
              </w:rPr>
              <w:t>SM não exclui aposentadoria</w:t>
            </w:r>
          </w:p>
        </w:tc>
      </w:tr>
      <w:tr w:rsidR="005A5FCC" w14:paraId="79BAE4DB"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6D7FD4CD" w14:textId="77777777" w:rsidR="005A5FCC" w:rsidRDefault="00A21C81">
            <w:pPr>
              <w:spacing w:before="20" w:after="20" w:line="240" w:lineRule="auto"/>
              <w:jc w:val="left"/>
            </w:pPr>
            <w:r>
              <w:rPr>
                <w:rFonts w:cs="EB Garamond"/>
                <w:kern w:val="16"/>
                <w:sz w:val="18"/>
                <w14:ligatures w14:val="standardContextual"/>
              </w:rPr>
              <w:t>Pensão por morte</w:t>
            </w:r>
          </w:p>
        </w:tc>
        <w:tc>
          <w:tcPr>
            <w:tcW w:w="2117" w:type="dxa"/>
            <w:tcBorders>
              <w:top w:val="single" w:sz="4" w:space="0" w:color="D2C9B8"/>
              <w:left w:val="single" w:sz="4" w:space="0" w:color="D2C9B8"/>
              <w:bottom w:val="single" w:sz="4" w:space="0" w:color="D2C9B8"/>
              <w:right w:val="single" w:sz="4" w:space="0" w:color="D2C9B8"/>
            </w:tcBorders>
          </w:tcPr>
          <w:p w14:paraId="5C13A885" w14:textId="77777777" w:rsidR="005A5FCC" w:rsidRDefault="00A21C81">
            <w:pPr>
              <w:spacing w:before="20" w:after="20" w:line="240" w:lineRule="auto"/>
              <w:jc w:val="left"/>
            </w:pPr>
            <w:r>
              <w:rPr>
                <w:rFonts w:cs="EB Garamond"/>
                <w:kern w:val="16"/>
                <w:sz w:val="18"/>
                <w14:ligatures w14:val="standardContextual"/>
              </w:rPr>
              <w:t>SIM</w:t>
            </w:r>
          </w:p>
        </w:tc>
        <w:tc>
          <w:tcPr>
            <w:tcW w:w="2117" w:type="dxa"/>
            <w:tcBorders>
              <w:top w:val="single" w:sz="4" w:space="0" w:color="D2C9B8"/>
              <w:left w:val="single" w:sz="4" w:space="0" w:color="D2C9B8"/>
              <w:bottom w:val="single" w:sz="4" w:space="0" w:color="D2C9B8"/>
              <w:right w:val="single" w:sz="4" w:space="0" w:color="D2C9B8"/>
            </w:tcBorders>
          </w:tcPr>
          <w:p w14:paraId="7934CD74" w14:textId="77777777" w:rsidR="005A5FCC" w:rsidRDefault="00A21C81">
            <w:pPr>
              <w:spacing w:before="20" w:after="20" w:line="240" w:lineRule="auto"/>
              <w:jc w:val="left"/>
            </w:pPr>
            <w:r>
              <w:rPr>
                <w:rFonts w:cs="EB Garamond"/>
                <w:kern w:val="16"/>
                <w:sz w:val="18"/>
                <w14:ligatures w14:val="standardContextual"/>
              </w:rPr>
              <w:t>Naturezas distintas</w:t>
            </w:r>
          </w:p>
        </w:tc>
      </w:tr>
      <w:tr w:rsidR="005A5FCC" w14:paraId="45CBABDA"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11EAA05F" w14:textId="77777777" w:rsidR="005A5FCC" w:rsidRDefault="00A21C81">
            <w:pPr>
              <w:spacing w:before="20" w:after="20" w:line="240" w:lineRule="auto"/>
              <w:jc w:val="left"/>
            </w:pPr>
            <w:r>
              <w:rPr>
                <w:rFonts w:cs="EB Garamond"/>
                <w:kern w:val="16"/>
                <w:sz w:val="18"/>
                <w14:ligatures w14:val="standardContextual"/>
              </w:rPr>
              <w:t>Auxílio-acidente</w:t>
            </w:r>
          </w:p>
        </w:tc>
        <w:tc>
          <w:tcPr>
            <w:tcW w:w="2117" w:type="dxa"/>
            <w:tcBorders>
              <w:top w:val="single" w:sz="4" w:space="0" w:color="D2C9B8"/>
              <w:left w:val="single" w:sz="4" w:space="0" w:color="D2C9B8"/>
              <w:bottom w:val="single" w:sz="4" w:space="0" w:color="D2C9B8"/>
              <w:right w:val="single" w:sz="4" w:space="0" w:color="D2C9B8"/>
            </w:tcBorders>
          </w:tcPr>
          <w:p w14:paraId="711704E5" w14:textId="77777777" w:rsidR="005A5FCC" w:rsidRDefault="00A21C81">
            <w:pPr>
              <w:spacing w:before="20" w:after="20" w:line="240" w:lineRule="auto"/>
              <w:jc w:val="left"/>
            </w:pPr>
            <w:r>
              <w:rPr>
                <w:rFonts w:cs="EB Garamond"/>
                <w:kern w:val="16"/>
                <w:sz w:val="18"/>
                <w14:ligatures w14:val="standardContextual"/>
              </w:rPr>
              <w:t>SIM</w:t>
            </w:r>
          </w:p>
        </w:tc>
        <w:tc>
          <w:tcPr>
            <w:tcW w:w="2117" w:type="dxa"/>
            <w:tcBorders>
              <w:top w:val="single" w:sz="4" w:space="0" w:color="D2C9B8"/>
              <w:left w:val="single" w:sz="4" w:space="0" w:color="D2C9B8"/>
              <w:bottom w:val="single" w:sz="4" w:space="0" w:color="D2C9B8"/>
              <w:right w:val="single" w:sz="4" w:space="0" w:color="D2C9B8"/>
            </w:tcBorders>
          </w:tcPr>
          <w:p w14:paraId="1B23C1BA" w14:textId="77777777" w:rsidR="005A5FCC" w:rsidRDefault="00A21C81">
            <w:pPr>
              <w:spacing w:before="20" w:after="20" w:line="240" w:lineRule="auto"/>
              <w:jc w:val="left"/>
            </w:pPr>
            <w:r>
              <w:rPr>
                <w:rFonts w:cs="EB Garamond"/>
                <w:kern w:val="16"/>
                <w:sz w:val="18"/>
                <w14:ligatures w14:val="standardContextual"/>
              </w:rPr>
              <w:t>Natureza indenizatória</w:t>
            </w:r>
          </w:p>
        </w:tc>
      </w:tr>
      <w:tr w:rsidR="005A5FCC" w14:paraId="43C4BFD5"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318C9546" w14:textId="77777777" w:rsidR="005A5FCC" w:rsidRDefault="00A21C81">
            <w:pPr>
              <w:spacing w:before="20" w:after="20" w:line="240" w:lineRule="auto"/>
              <w:jc w:val="left"/>
            </w:pPr>
            <w:r>
              <w:rPr>
                <w:rFonts w:cs="EB Garamond"/>
                <w:kern w:val="16"/>
                <w:sz w:val="18"/>
                <w14:ligatures w14:val="standardContextual"/>
              </w:rPr>
              <w:t>BPC/LOAS</w:t>
            </w:r>
          </w:p>
        </w:tc>
        <w:tc>
          <w:tcPr>
            <w:tcW w:w="2117" w:type="dxa"/>
            <w:tcBorders>
              <w:top w:val="single" w:sz="4" w:space="0" w:color="D2C9B8"/>
              <w:left w:val="single" w:sz="4" w:space="0" w:color="D2C9B8"/>
              <w:bottom w:val="single" w:sz="4" w:space="0" w:color="D2C9B8"/>
              <w:right w:val="single" w:sz="4" w:space="0" w:color="D2C9B8"/>
            </w:tcBorders>
          </w:tcPr>
          <w:p w14:paraId="7947786A" w14:textId="77777777" w:rsidR="005A5FCC" w:rsidRDefault="00A21C81">
            <w:pPr>
              <w:spacing w:before="20" w:after="20" w:line="240" w:lineRule="auto"/>
              <w:jc w:val="left"/>
            </w:pPr>
            <w:r>
              <w:rPr>
                <w:rFonts w:cs="EB Garamond"/>
                <w:kern w:val="16"/>
                <w:sz w:val="18"/>
                <w14:ligatures w14:val="standardContextual"/>
              </w:rPr>
              <w:t>NÃO</w:t>
            </w:r>
          </w:p>
        </w:tc>
        <w:tc>
          <w:tcPr>
            <w:tcW w:w="2117" w:type="dxa"/>
            <w:tcBorders>
              <w:top w:val="single" w:sz="4" w:space="0" w:color="D2C9B8"/>
              <w:left w:val="single" w:sz="4" w:space="0" w:color="D2C9B8"/>
              <w:bottom w:val="single" w:sz="4" w:space="0" w:color="D2C9B8"/>
              <w:right w:val="single" w:sz="4" w:space="0" w:color="D2C9B8"/>
            </w:tcBorders>
          </w:tcPr>
          <w:p w14:paraId="45E3807B" w14:textId="77777777" w:rsidR="005A5FCC" w:rsidRDefault="00A21C81">
            <w:pPr>
              <w:spacing w:before="20" w:after="20" w:line="240" w:lineRule="auto"/>
              <w:jc w:val="left"/>
            </w:pPr>
            <w:r>
              <w:rPr>
                <w:rFonts w:cs="EB Garamond"/>
                <w:kern w:val="16"/>
                <w:sz w:val="18"/>
                <w14:ligatures w14:val="standardContextual"/>
              </w:rPr>
              <w:t>Art. 20, §4º, Lei 8.742</w:t>
            </w:r>
          </w:p>
        </w:tc>
      </w:tr>
      <w:tr w:rsidR="005A5FCC" w14:paraId="038B372B"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6E001D5A" w14:textId="77777777" w:rsidR="005A5FCC" w:rsidRDefault="00A21C81">
            <w:pPr>
              <w:spacing w:before="20" w:after="20" w:line="240" w:lineRule="auto"/>
              <w:jc w:val="left"/>
            </w:pPr>
            <w:r>
              <w:rPr>
                <w:rFonts w:cs="EB Garamond"/>
                <w:kern w:val="16"/>
                <w:sz w:val="18"/>
                <w14:ligatures w14:val="standardContextual"/>
              </w:rPr>
              <w:t>Seguro-desemprego</w:t>
            </w:r>
          </w:p>
        </w:tc>
        <w:tc>
          <w:tcPr>
            <w:tcW w:w="2117" w:type="dxa"/>
            <w:tcBorders>
              <w:top w:val="single" w:sz="4" w:space="0" w:color="D2C9B8"/>
              <w:left w:val="single" w:sz="4" w:space="0" w:color="D2C9B8"/>
              <w:bottom w:val="single" w:sz="4" w:space="0" w:color="D2C9B8"/>
              <w:right w:val="single" w:sz="4" w:space="0" w:color="D2C9B8"/>
            </w:tcBorders>
          </w:tcPr>
          <w:p w14:paraId="1572F0C5" w14:textId="77777777" w:rsidR="005A5FCC" w:rsidRDefault="00A21C81">
            <w:pPr>
              <w:spacing w:before="20" w:after="20" w:line="240" w:lineRule="auto"/>
              <w:jc w:val="left"/>
            </w:pPr>
            <w:r>
              <w:rPr>
                <w:rFonts w:cs="EB Garamond"/>
                <w:kern w:val="16"/>
                <w:sz w:val="18"/>
                <w14:ligatures w14:val="standardContextual"/>
              </w:rPr>
              <w:t>Controvérsia</w:t>
            </w:r>
          </w:p>
        </w:tc>
        <w:tc>
          <w:tcPr>
            <w:tcW w:w="2117" w:type="dxa"/>
            <w:tcBorders>
              <w:top w:val="single" w:sz="4" w:space="0" w:color="D2C9B8"/>
              <w:left w:val="single" w:sz="4" w:space="0" w:color="D2C9B8"/>
              <w:bottom w:val="single" w:sz="4" w:space="0" w:color="D2C9B8"/>
              <w:right w:val="single" w:sz="4" w:space="0" w:color="D2C9B8"/>
            </w:tcBorders>
          </w:tcPr>
          <w:p w14:paraId="758B7EC5" w14:textId="77777777" w:rsidR="005A5FCC" w:rsidRDefault="00A21C81">
            <w:pPr>
              <w:spacing w:before="20" w:after="20" w:line="240" w:lineRule="auto"/>
              <w:jc w:val="left"/>
            </w:pPr>
            <w:r>
              <w:rPr>
                <w:rFonts w:cs="EB Garamond"/>
                <w:kern w:val="16"/>
                <w:sz w:val="18"/>
                <w14:ligatures w14:val="standardContextual"/>
              </w:rPr>
              <w:t>Jurisprudência dividida</w:t>
            </w:r>
          </w:p>
        </w:tc>
      </w:tr>
      <w:tr w:rsidR="005A5FCC" w14:paraId="44E2130E"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0ED019CE" w14:textId="77777777" w:rsidR="005A5FCC" w:rsidRDefault="00A21C81">
            <w:pPr>
              <w:spacing w:before="20" w:after="20" w:line="240" w:lineRule="auto"/>
              <w:jc w:val="left"/>
            </w:pPr>
            <w:r>
              <w:rPr>
                <w:rFonts w:cs="EB Garamond"/>
                <w:kern w:val="16"/>
                <w:sz w:val="18"/>
                <w14:ligatures w14:val="standardContextual"/>
              </w:rPr>
              <w:t>Outro SM (2º vínculo)</w:t>
            </w:r>
          </w:p>
        </w:tc>
        <w:tc>
          <w:tcPr>
            <w:tcW w:w="2117" w:type="dxa"/>
            <w:tcBorders>
              <w:top w:val="single" w:sz="4" w:space="0" w:color="D2C9B8"/>
              <w:left w:val="single" w:sz="4" w:space="0" w:color="D2C9B8"/>
              <w:bottom w:val="single" w:sz="4" w:space="0" w:color="D2C9B8"/>
              <w:right w:val="single" w:sz="4" w:space="0" w:color="D2C9B8"/>
            </w:tcBorders>
          </w:tcPr>
          <w:p w14:paraId="607ABB9E" w14:textId="77777777" w:rsidR="005A5FCC" w:rsidRDefault="00A21C81">
            <w:pPr>
              <w:spacing w:before="20" w:after="20" w:line="240" w:lineRule="auto"/>
              <w:jc w:val="left"/>
            </w:pPr>
            <w:r>
              <w:rPr>
                <w:rFonts w:cs="EB Garamond"/>
                <w:kern w:val="16"/>
                <w:sz w:val="18"/>
                <w14:ligatures w14:val="standardContextual"/>
              </w:rPr>
              <w:t>Controvérsia</w:t>
            </w:r>
          </w:p>
        </w:tc>
        <w:tc>
          <w:tcPr>
            <w:tcW w:w="2117" w:type="dxa"/>
            <w:tcBorders>
              <w:top w:val="single" w:sz="4" w:space="0" w:color="D2C9B8"/>
              <w:left w:val="single" w:sz="4" w:space="0" w:color="D2C9B8"/>
              <w:bottom w:val="single" w:sz="4" w:space="0" w:color="D2C9B8"/>
              <w:right w:val="single" w:sz="4" w:space="0" w:color="D2C9B8"/>
            </w:tcBorders>
          </w:tcPr>
          <w:p w14:paraId="5F7C76AF" w14:textId="77777777" w:rsidR="005A5FCC" w:rsidRDefault="00A21C81">
            <w:pPr>
              <w:spacing w:before="20" w:after="20" w:line="240" w:lineRule="auto"/>
              <w:jc w:val="left"/>
            </w:pPr>
            <w:r>
              <w:rPr>
                <w:rFonts w:cs="EB Garamond"/>
                <w:kern w:val="16"/>
                <w:sz w:val="18"/>
                <w14:ligatures w14:val="standardContextual"/>
              </w:rPr>
              <w:t>Tendência: SIM</w:t>
            </w:r>
          </w:p>
        </w:tc>
      </w:tr>
    </w:tbl>
    <w:p w14:paraId="3001E71D" w14:textId="77777777" w:rsidR="005A5FCC" w:rsidRDefault="005A5FCC">
      <w:pPr>
        <w:spacing w:after="80" w:line="240" w:lineRule="auto"/>
      </w:pPr>
    </w:p>
    <w:p w14:paraId="540C1402"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13.15 Salário-maternidade como tempo de contribuição e carência</w:t>
      </w:r>
    </w:p>
    <w:p w14:paraId="6E686DB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3745C8EB" w14:textId="77777777" w:rsidR="005A5FCC" w:rsidRDefault="00A21C81">
      <w:r>
        <w:rPr>
          <w:rFonts w:cs="EB Garamond"/>
          <w:kern w:val="16"/>
          <w14:ligatures w14:val="standardContextual"/>
        </w:rPr>
        <w:t xml:space="preserve"> período de gozo do salário-maternidade produz efeitos relevantes na contagem de tempo de contribuição e carência da segurada, com impacto direto na futura aposentadoria.</w:t>
      </w:r>
    </w:p>
    <w:p w14:paraId="0B39A522" w14:textId="77777777" w:rsidR="005A5FCC" w:rsidRDefault="00A21C81">
      <w:pPr>
        <w:ind w:firstLine="238"/>
      </w:pPr>
      <w:r>
        <w:rPr>
          <w:rFonts w:cs="EB Garamond"/>
          <w:b/>
          <w:kern w:val="16"/>
          <w14:ligatures w14:val="standardContextual"/>
        </w:rPr>
        <w:t>Tempo de contribuição.</w:t>
      </w:r>
      <w:r>
        <w:rPr>
          <w:rFonts w:cs="EB Garamond"/>
          <w:kern w:val="16"/>
          <w14:ligatures w14:val="standardContextual"/>
        </w:rPr>
        <w:t xml:space="preserve"> O art. 55 da Lei 8.213/91 inclui o período de gozo de benefício por incapacidade no cômputo do tempo de contribuição. Por analogia e por previsão regulamentar (art. 60 do Decreto 3.048/99), o período de salário-maternidade também é computado como tempo de contribuição. Os cento e vinte dias (ou cento e oitenta dias, no caso de Empresa Cidadã para a parcela previdenciária de 120 dias) contam integralmente para fins de aposentadoria.</w:t>
      </w:r>
    </w:p>
    <w:p w14:paraId="3D80C0F3" w14:textId="77777777" w:rsidR="005A5FCC" w:rsidRDefault="00A21C81">
      <w:pPr>
        <w:ind w:firstLine="238"/>
      </w:pPr>
      <w:r>
        <w:rPr>
          <w:rFonts w:cs="EB Garamond"/>
          <w:b/>
          <w:kern w:val="16"/>
          <w14:ligatures w14:val="standardContextual"/>
        </w:rPr>
        <w:t>Carência.</w:t>
      </w:r>
      <w:r>
        <w:rPr>
          <w:rFonts w:cs="EB Garamond"/>
          <w:kern w:val="16"/>
          <w14:ligatures w14:val="standardContextual"/>
        </w:rPr>
        <w:t xml:space="preserve"> Cada mês de gozo do salário-maternidade corresponde a uma contribuição para fins de carência. Os quatro meses de salário-maternidade equivalem a quatro contribuições mensais. Esse cômputo é automático, pois o salário-maternidade integra o salário de contribuição (art. 28, §2º, Lei 8.212/91) e sobre ele incide contribuição da segurada.</w:t>
      </w:r>
    </w:p>
    <w:p w14:paraId="0F76FB94" w14:textId="77777777" w:rsidR="005A5FCC" w:rsidRDefault="00A21C81">
      <w:pPr>
        <w:ind w:firstLine="238"/>
      </w:pPr>
      <w:r>
        <w:rPr>
          <w:rFonts w:cs="EB Garamond"/>
          <w:b/>
          <w:kern w:val="16"/>
          <w14:ligatures w14:val="standardContextual"/>
        </w:rPr>
        <w:t>Segurada CI e facultativa: dispensa de contribuição durante o SM.</w:t>
      </w:r>
      <w:r>
        <w:rPr>
          <w:rFonts w:cs="EB Garamond"/>
          <w:kern w:val="16"/>
          <w14:ligatures w14:val="standardContextual"/>
        </w:rPr>
        <w:t xml:space="preserve"> A contribuinte individual e a segurada facultativa não precisam recolher contribuição previdenciária durante o período de gozo do salário-maternidade pago pelo </w:t>
      </w:r>
      <w:r>
        <w:rPr>
          <w:rFonts w:cs="EB Garamond"/>
          <w:kern w:val="16"/>
          <w14:ligatures w14:val="standardContextual"/>
        </w:rPr>
        <w:lastRenderedPageBreak/>
        <w:t>INSS. O período é considerado automaticamente como contribuição, sem necessidade de recolhimento por GPS ou DARF. Essa regra evita que a segurada tenha que pagar contribuição sobre um benefício que já é custeado pelo sistema previdenciário — seria, em essência, contribuir sobre a própria contribuição.</w:t>
      </w:r>
    </w:p>
    <w:p w14:paraId="629E1350" w14:textId="77777777" w:rsidR="005A5FCC" w:rsidRDefault="00A21C81">
      <w:pPr>
        <w:ind w:firstLine="238"/>
      </w:pPr>
      <w:r>
        <w:rPr>
          <w:rFonts w:cs="EB Garamond"/>
          <w:kern w:val="16"/>
          <w14:ligatures w14:val="standardContextual"/>
        </w:rPr>
        <w:t>Na prática do CNIS, o período de salário-maternidade deve aparecer como contribuição automática. Quando isso não ocorre, situação relativamente comum para contribuintes individuais e seguradas especiais, a segurada deve solicitar a retificação do CNIS junto ao INSS, apresentando a carta de concessão do salário-maternidade como prova do período contributivo. Essa retificação pode ser feita administrativamente ou judicialmente (conforme detalhado no Cap. 5, seção 5.3).</w:t>
      </w:r>
    </w:p>
    <w:p w14:paraId="6557C6E4" w14:textId="68933FE9" w:rsidR="005A5FCC" w:rsidRDefault="00A21C81">
      <w:pPr>
        <w:ind w:firstLine="238"/>
      </w:pPr>
      <w:r>
        <w:rPr>
          <w:rFonts w:cs="EB Garamond"/>
          <w:b/>
          <w:kern w:val="16"/>
          <w14:ligatures w14:val="standardContextual"/>
        </w:rPr>
        <w:t>Impacto no cálculo do salário de benefício futuro.</w:t>
      </w:r>
      <w:r>
        <w:rPr>
          <w:rFonts w:cs="EB Garamond"/>
          <w:kern w:val="16"/>
          <w14:ligatures w14:val="standardContextual"/>
        </w:rPr>
        <w:t xml:space="preserve"> Os salários de contribuição durante o período de gozo do salário-maternidade são computados no cálculo do salário de benefício para fins de aposentadoria. Para a empregada, o salário de contribuição durante o SM é igual à sua remuneração integral (limitada ao teto). Para a CI e facultativa, é o valor do salário-maternidade recebido (1/12 dos 12 últimos SC). Para a segurada especial, é o </w:t>
      </w:r>
      <w:r w:rsidR="00052908">
        <w:rPr>
          <w:rFonts w:cs="EB Garamond"/>
          <w:kern w:val="16"/>
          <w14:ligatures w14:val="standardContextual"/>
        </w:rPr>
        <w:t>salário-mínimo</w:t>
      </w:r>
      <w:r>
        <w:rPr>
          <w:rFonts w:cs="EB Garamond"/>
          <w:kern w:val="16"/>
          <w14:ligatures w14:val="standardContextual"/>
        </w:rPr>
        <w:t>.</w:t>
      </w:r>
    </w:p>
    <w:p w14:paraId="73760911" w14:textId="77777777" w:rsidR="005A5FCC" w:rsidRDefault="00A21C81">
      <w:pPr>
        <w:ind w:firstLine="238"/>
      </w:pPr>
      <w:r>
        <w:rPr>
          <w:rFonts w:cs="EB Garamond"/>
          <w:b/>
          <w:kern w:val="16"/>
          <w14:ligatures w14:val="standardContextual"/>
        </w:rPr>
        <w:t>Relevância para o planejamento previdenciário feminino.</w:t>
      </w:r>
      <w:r>
        <w:rPr>
          <w:rFonts w:cs="EB Garamond"/>
          <w:kern w:val="16"/>
          <w14:ligatures w14:val="standardContextual"/>
        </w:rPr>
        <w:t xml:space="preserve"> O salário-maternidade tem impacto positivo no planejamento previdenciário feminino, pois os meses de gozo contam como contribuição e carência sem custo adicional para a segurada. Uma mulher que teve três filhos e recebeu salário-maternidade em cada gestação acumulou doze meses de contribuição (3 × 4 meses) sem recolhimento próprio. Em carreiras longas, esse acréscimo pode ser decisivo para completar requisitos de aposentadoria.</w:t>
      </w:r>
    </w:p>
    <w:p w14:paraId="1246D521" w14:textId="77777777" w:rsidR="005A5FCC" w:rsidRDefault="00A21C81">
      <w:pPr>
        <w:ind w:firstLine="238"/>
      </w:pPr>
      <w:r>
        <w:rPr>
          <w:rFonts w:cs="EB Garamond"/>
          <w:b/>
          <w:kern w:val="16"/>
          <w14:ligatures w14:val="standardContextual"/>
        </w:rPr>
        <w:t>Exemplo prático.</w:t>
      </w:r>
      <w:r>
        <w:rPr>
          <w:rFonts w:cs="EB Garamond"/>
          <w:kern w:val="16"/>
          <w14:ligatures w14:val="standardContextual"/>
        </w:rPr>
        <w:t xml:space="preserve"> Ana, contribuinte individual, 55 anos, tem 14 anos e 8 meses de contribuição. Precisa de 15 anos para a aposentadoria programada (art. 201, §7º, II, CF). Se Ana teve dois filhos durante sua vida contributiva e recebeu SM em cada gestação, os 8 meses de SM (2 × 4) já estão computados no CNIS. Porém, se por algum erro do sistema esses meses não constam no CNIS, a retificação pode garantir os 15 anos necessários. O advogado deve verificar no CNIS se os períodos de SM estão corretamente registrados.</w:t>
      </w:r>
    </w:p>
    <w:p w14:paraId="426B0185" w14:textId="77777777" w:rsidR="005A5FCC" w:rsidRDefault="00A21C81">
      <w:pPr>
        <w:ind w:firstLine="238"/>
      </w:pPr>
      <w:r>
        <w:rPr>
          <w:rFonts w:cs="EB Garamond"/>
          <w:kern w:val="16"/>
          <w14:ligatures w14:val="standardContextual"/>
        </w:rPr>
        <w:lastRenderedPageBreak/>
        <w:t>Além disso, o período de salário-maternidade pode preencher lacunas contributivas que, de outro modo, comprometeriam a carência exigida para outros benefícios (como aposentadoria por idade). A segurada que engravidou durante período de contribuição regular tem a continuidade contributiva assegurada pelo SM.</w:t>
      </w:r>
    </w:p>
    <w:p w14:paraId="1E261D71"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13.16 Aspectos processuais nos JEFs</w:t>
      </w:r>
    </w:p>
    <w:p w14:paraId="37442E8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4DB9A68B" w14:textId="77777777" w:rsidR="005A5FCC" w:rsidRDefault="00A21C81">
      <w:r>
        <w:rPr>
          <w:rFonts w:cs="EB Garamond"/>
          <w:kern w:val="16"/>
          <w14:ligatures w14:val="standardContextual"/>
        </w:rPr>
        <w:t xml:space="preserve"> litigância envolvendo salário-maternidade nos Juizados Especiais Federais apresenta particularidades que a distinguem das demais ações previdenciárias. A natureza temporária do benefício (quatro meses), a urgência inerente à proteção da gestante e do recém-nascido, e o volume expressivo de demandas de seguradas especiais conformam um perfil processual próprio.</w:t>
      </w:r>
    </w:p>
    <w:p w14:paraId="6636F07F" w14:textId="77777777" w:rsidR="005A5FCC" w:rsidRDefault="00A21C81">
      <w:pPr>
        <w:spacing w:before="260" w:after="80" w:line="240" w:lineRule="auto"/>
        <w:jc w:val="left"/>
      </w:pPr>
      <w:r>
        <w:rPr>
          <w:rFonts w:cs="EB Garamond"/>
          <w:b/>
          <w:color w:val="3A3128"/>
          <w:kern w:val="16"/>
          <w:sz w:val="25"/>
          <w14:ligatures w14:val="standardContextual"/>
        </w:rPr>
        <w:t>13.16.1 Competência</w:t>
      </w:r>
    </w:p>
    <w:p w14:paraId="64B51558"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1200CFAD" w14:textId="6A3D11D4" w:rsidR="005A5FCC" w:rsidRDefault="00A21C81">
      <w:r>
        <w:rPr>
          <w:rFonts w:cs="EB Garamond"/>
          <w:kern w:val="16"/>
          <w14:ligatures w14:val="standardContextual"/>
        </w:rPr>
        <w:t xml:space="preserve"> competência para as ações de salário-maternidade contra o INSS é da Justiça Federal, exercida pelos Juizados Especiais Federais quando o valor da causa não ultrapassa sessenta </w:t>
      </w:r>
      <w:r w:rsidR="00052908">
        <w:rPr>
          <w:rFonts w:cs="EB Garamond"/>
          <w:kern w:val="16"/>
          <w14:ligatures w14:val="standardContextual"/>
        </w:rPr>
        <w:t>salários-mínimos</w:t>
      </w:r>
      <w:r>
        <w:rPr>
          <w:rFonts w:cs="EB Garamond"/>
          <w:kern w:val="16"/>
          <w14:ligatures w14:val="standardContextual"/>
        </w:rPr>
        <w:t xml:space="preserve"> (R$ 97.260,00 em 2026). Como o salário-maternidade é benefício temporário de até quatro meses, o valor da causa corresponde a quatro vezes a renda mensal do benefício. Para a segurada especial (SM de R$ 1.621,00), o valor da causa será R$ 6.484,00 — muito abaixo do teto do JEF. Para empregadas de alta remuneração, o valor da causa pode se aproximar ou superar o teto quando incluídas parcelas acessórias (correção monetária, juros, honorários).</w:t>
      </w:r>
    </w:p>
    <w:p w14:paraId="442BD93E" w14:textId="77777777" w:rsidR="005A5FCC" w:rsidRDefault="00A21C81">
      <w:pPr>
        <w:ind w:firstLine="238"/>
      </w:pPr>
      <w:r>
        <w:rPr>
          <w:rFonts w:cs="EB Garamond"/>
          <w:kern w:val="16"/>
          <w14:ligatures w14:val="standardContextual"/>
        </w:rPr>
        <w:t>Quando a demanda envolve empregada CLT cujo empregador se recusa a pagar o salário-maternidade, surge questão de competência: a empregada pode acionar o empregador na Justiça do Trabalho ou o INSS na Justiça Federal. A formação de litisconsórcio passivo (INSS e empregador) é possível, com a competência deslocada para a Justiça Federal por força do art. 109, I, da CF/88, que atribui à Justiça Federal as causas em que autarquia federal figure como parte. Na prática, as ações nos JEFs envolvem majoritariamente seguradas especiais, contribuintes individuais, facultativas e desempregadas — categorias cujo benefício é pago diretamente pelo INSS.</w:t>
      </w:r>
    </w:p>
    <w:p w14:paraId="6139FE9B" w14:textId="77777777" w:rsidR="005A5FCC" w:rsidRDefault="00A21C81">
      <w:pPr>
        <w:spacing w:before="260" w:after="80" w:line="240" w:lineRule="auto"/>
        <w:jc w:val="left"/>
      </w:pPr>
      <w:r>
        <w:rPr>
          <w:rFonts w:cs="EB Garamond"/>
          <w:b/>
          <w:color w:val="3A3128"/>
          <w:kern w:val="16"/>
          <w:sz w:val="25"/>
          <w14:ligatures w14:val="standardContextual"/>
        </w:rPr>
        <w:lastRenderedPageBreak/>
        <w:t>13.16.2 Prévio requerimento administrativo</w:t>
      </w:r>
    </w:p>
    <w:p w14:paraId="08E96D68"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7E16F43C" w14:textId="77777777" w:rsidR="005A5FCC" w:rsidRDefault="00A21C81">
      <w:r>
        <w:rPr>
          <w:rFonts w:cs="EB Garamond"/>
          <w:kern w:val="16"/>
          <w14:ligatures w14:val="standardContextual"/>
        </w:rPr>
        <w:t xml:space="preserve"> Tema 350 do STF (RE 631.240) exige prévio requerimento administrativo como condição para o ajuizamento de ação previdenciária contra o INSS. A segurada deve requerer o salário-maternidade administrativamente e aguardar a decisão do INSS antes de ingressar em juízo.</w:t>
      </w:r>
    </w:p>
    <w:p w14:paraId="51A4B09C" w14:textId="77777777" w:rsidR="005A5FCC" w:rsidRDefault="00A21C81">
      <w:pPr>
        <w:ind w:firstLine="238"/>
      </w:pPr>
      <w:r>
        <w:rPr>
          <w:rFonts w:cs="EB Garamond"/>
          <w:kern w:val="16"/>
          <w14:ligatures w14:val="standardContextual"/>
        </w:rPr>
        <w:t>As exceções ao prévio requerimento, indeferimento notório, posição institucional contrária ao pedido, demora irrazoável, aplicam-se ao salário-maternidade com particular intensidade. A demora irrazoável é especialmente relevante: como o benefício dura apenas quatro meses, uma demora de trinta dias no processamento administrativo compromete 25% do período. A jurisprudência dos JEFs tem admitido o ajuizamento sem prévio requerimento quando a segurada demonstra que o parto é iminente ou já ocorreu, e que a demora no processamento administrativo frustraria o propósito do benefício.</w:t>
      </w:r>
    </w:p>
    <w:p w14:paraId="3618329B" w14:textId="77777777" w:rsidR="005A5FCC" w:rsidRDefault="00A21C81">
      <w:pPr>
        <w:spacing w:before="260" w:after="80" w:line="240" w:lineRule="auto"/>
        <w:jc w:val="left"/>
      </w:pPr>
      <w:r>
        <w:rPr>
          <w:rFonts w:cs="EB Garamond"/>
          <w:b/>
          <w:color w:val="3A3128"/>
          <w:kern w:val="16"/>
          <w:sz w:val="25"/>
          <w14:ligatures w14:val="standardContextual"/>
        </w:rPr>
        <w:t>13.16.3 Data de início do benefício (DIB)</w:t>
      </w:r>
    </w:p>
    <w:p w14:paraId="595A274B"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72A250EB" w14:textId="77777777" w:rsidR="005A5FCC" w:rsidRDefault="00A21C81">
      <w:r>
        <w:rPr>
          <w:rFonts w:cs="EB Garamond"/>
          <w:kern w:val="16"/>
          <w14:ligatures w14:val="standardContextual"/>
        </w:rPr>
        <w:t xml:space="preserve"> DIB do salário-maternidade é a data do fato gerador: data do parto, data da adoção, data do aborto, ou até vinte e oito dias antes do parto (quando requerido antecipadamente). A Súmula 45 da TNU estabelece que a correção monetária do salário-maternidade é devida desde a data do parto, independentemente da data do requerimento administrativo.</w:t>
      </w:r>
    </w:p>
    <w:p w14:paraId="58073E0E" w14:textId="77777777" w:rsidR="005A5FCC" w:rsidRDefault="00A21C81">
      <w:pPr>
        <w:ind w:firstLine="238"/>
      </w:pPr>
      <w:r>
        <w:rPr>
          <w:rFonts w:cs="EB Garamond"/>
          <w:kern w:val="16"/>
          <w14:ligatures w14:val="standardContextual"/>
        </w:rPr>
        <w:t>Quando a ação judicial é necessária, a sentença normalmente fixa a DIB na data do parto ou da adoção, com pagamento das parcelas vencidas (retroativas) corrigidas monetariamente desde cada vencimento e acrescidas de juros de mora (taxa SELIC unificada, conforme EC 113/2021). As parcelas vincendas são implementadas imediatamente, se o benefício ainda estiver no prazo de cento e vinte dias.</w:t>
      </w:r>
    </w:p>
    <w:p w14:paraId="28E49480" w14:textId="77777777" w:rsidR="005A5FCC" w:rsidRDefault="00A21C81">
      <w:pPr>
        <w:spacing w:before="260" w:after="80" w:line="240" w:lineRule="auto"/>
        <w:jc w:val="left"/>
      </w:pPr>
      <w:r>
        <w:rPr>
          <w:rFonts w:cs="EB Garamond"/>
          <w:b/>
          <w:color w:val="3A3128"/>
          <w:kern w:val="16"/>
          <w:sz w:val="25"/>
          <w14:ligatures w14:val="standardContextual"/>
        </w:rPr>
        <w:t>13.16.4 Tutela antecipada</w:t>
      </w:r>
    </w:p>
    <w:p w14:paraId="6421BE2D"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7D89AFB7" w14:textId="77777777" w:rsidR="005A5FCC" w:rsidRDefault="00A21C81">
      <w:r>
        <w:rPr>
          <w:rFonts w:cs="EB Garamond"/>
          <w:kern w:val="16"/>
          <w14:ligatures w14:val="standardContextual"/>
        </w:rPr>
        <w:t xml:space="preserve"> tutela antecipada (tutela de urgência, art. 300, CPC) é instrumento essencial nas ações de salário-maternidade. A natureza alimentar do benefício, a </w:t>
      </w:r>
      <w:r>
        <w:rPr>
          <w:rFonts w:cs="EB Garamond"/>
          <w:kern w:val="16"/>
          <w14:ligatures w14:val="standardContextual"/>
        </w:rPr>
        <w:lastRenderedPageBreak/>
        <w:t>urgência decorrente da iminência ou ocorrência do parto, e a transitoriedade do benefício (quatro meses) configuram os pressupostos para a concessão da tutela: probabilidade do direito e perigo de dano irreparável.</w:t>
      </w:r>
    </w:p>
    <w:p w14:paraId="26270AD9" w14:textId="77777777" w:rsidR="005A5FCC" w:rsidRDefault="00A21C81">
      <w:pPr>
        <w:ind w:firstLine="238"/>
      </w:pPr>
      <w:r>
        <w:rPr>
          <w:rFonts w:cs="EB Garamond"/>
          <w:kern w:val="16"/>
          <w14:ligatures w14:val="standardContextual"/>
        </w:rPr>
        <w:t>O perigo de dano é presumido quando a segurada demonstra que o parto é iminente ou já ocorreu e que não dispõe de outra fonte de renda. A temporariedade do benefício agrava o risco: se a tutela antecipada for concedida apenas após o julgamento de mérito (que pode levar meses), o propósito do benefício, substituir a remuneração durante o período de cuidados com o recém-nascido, ficará totalmente frustrado.</w:t>
      </w:r>
    </w:p>
    <w:p w14:paraId="42D7FAFA" w14:textId="77777777" w:rsidR="005A5FCC" w:rsidRDefault="00A21C81">
      <w:pPr>
        <w:ind w:firstLine="238"/>
      </w:pPr>
      <w:r>
        <w:rPr>
          <w:rFonts w:cs="EB Garamond"/>
          <w:kern w:val="16"/>
          <w14:ligatures w14:val="standardContextual"/>
        </w:rPr>
        <w:t>Os JEFs costumam analisar os pedidos de tutela antecipada em salário-maternidade com especial celeridade, frequentemente em regime de plantão ou em audiência de conciliação antecipada. A concessão é a regra quando demonstrados a qualidade de segurada e o fato gerador.</w:t>
      </w:r>
    </w:p>
    <w:p w14:paraId="72C421FB" w14:textId="77777777" w:rsidR="005A5FCC" w:rsidRDefault="00A21C81">
      <w:pPr>
        <w:spacing w:before="260" w:after="80" w:line="240" w:lineRule="auto"/>
        <w:jc w:val="left"/>
      </w:pPr>
      <w:r>
        <w:rPr>
          <w:rFonts w:cs="EB Garamond"/>
          <w:b/>
          <w:color w:val="3A3128"/>
          <w:kern w:val="16"/>
          <w:sz w:val="25"/>
          <w14:ligatures w14:val="standardContextual"/>
        </w:rPr>
        <w:t>13.16.5 Instrução probatória</w:t>
      </w:r>
    </w:p>
    <w:p w14:paraId="6958A03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0807CFA1" w14:textId="77777777" w:rsidR="005A5FCC" w:rsidRDefault="00A21C81">
      <w:r>
        <w:rPr>
          <w:rFonts w:cs="EB Garamond"/>
          <w:kern w:val="16"/>
          <w14:ligatures w14:val="standardContextual"/>
        </w:rPr>
        <w:t xml:space="preserve"> instrução probatória nas ações de salário-maternidade varia conforme a categoria da segurada:</w:t>
      </w:r>
    </w:p>
    <w:p w14:paraId="2EB4FEF3"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Segurada especial:</w:t>
      </w:r>
      <w:r>
        <w:rPr>
          <w:rFonts w:cs="EB Garamond"/>
          <w:kern w:val="16"/>
          <w:sz w:val="20"/>
          <w14:ligatures w14:val="standardContextual"/>
        </w:rPr>
        <w:t xml:space="preserve"> a instrução é mais complexa, envolvendo prova documental de atividade rural (DAP, notas fiscais, declaração sindical) e prova testemunhal. A audiência de instrução é frequentemente necessária para oitiva de testemunhas que confirmem a atividade rural.</w:t>
      </w:r>
    </w:p>
    <w:p w14:paraId="70A5713D" w14:textId="77777777" w:rsidR="005A5FCC" w:rsidRDefault="005A5FCC">
      <w:pPr>
        <w:spacing w:after="60" w:line="240" w:lineRule="auto"/>
      </w:pPr>
    </w:p>
    <w:p w14:paraId="15F61D82"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Contribuinte individual e facultativa:</w:t>
      </w:r>
      <w:r>
        <w:rPr>
          <w:rFonts w:cs="EB Garamond"/>
          <w:kern w:val="16"/>
          <w:sz w:val="20"/>
          <w14:ligatures w14:val="standardContextual"/>
        </w:rPr>
        <w:t xml:space="preserve"> a prova principal é documental (CNIS, GPS, DARF, comprovante de contribuição). A controvérsia costuma recair sobre a qualidade de segurada (se a contribuinte estava em dia ou no período de graça).</w:t>
      </w:r>
    </w:p>
    <w:p w14:paraId="1DD6D0E1" w14:textId="77777777" w:rsidR="005A5FCC" w:rsidRDefault="005A5FCC">
      <w:pPr>
        <w:spacing w:after="60" w:line="240" w:lineRule="auto"/>
      </w:pPr>
    </w:p>
    <w:p w14:paraId="55181A9C"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Empregada desempregada:</w:t>
      </w:r>
      <w:r>
        <w:rPr>
          <w:rFonts w:cs="EB Garamond"/>
          <w:kern w:val="16"/>
          <w:sz w:val="20"/>
          <w14:ligatures w14:val="standardContextual"/>
        </w:rPr>
        <w:t xml:space="preserve"> a prova envolve demonstração do vínculo anterior (CTPS, CNIS), da data de cessação do vínculo e do período de graça.</w:t>
      </w:r>
    </w:p>
    <w:p w14:paraId="18C1A878" w14:textId="77777777" w:rsidR="005A5FCC" w:rsidRDefault="005A5FCC">
      <w:pPr>
        <w:spacing w:after="60" w:line="240" w:lineRule="auto"/>
      </w:pPr>
    </w:p>
    <w:p w14:paraId="5868B63E"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A</w:t>
      </w:r>
    </w:p>
    <w:p w14:paraId="442460A2" w14:textId="77777777" w:rsidR="005A5FCC" w:rsidRDefault="00A21C81">
      <w:r>
        <w:rPr>
          <w:rFonts w:cs="EB Garamond"/>
          <w:kern w:val="16"/>
          <w14:ligatures w14:val="standardContextual"/>
        </w:rPr>
        <w:t xml:space="preserve"> perícia médica não é usual nas ações de salário-maternidade (ao contrário das ações de benefício por incapacidade). A prova do parto é documental (certidão de nascimento). Apenas em casos excepcionais, como controvérsia sobre a idade gestacional para fins de distinção entre aborto e natimorto, pode ser necessária prova pericial.</w:t>
      </w:r>
    </w:p>
    <w:p w14:paraId="429C0736" w14:textId="77777777" w:rsidR="005A5FCC" w:rsidRDefault="00A21C81">
      <w:pPr>
        <w:ind w:firstLine="238"/>
      </w:pPr>
      <w:r>
        <w:rPr>
          <w:rFonts w:cs="EB Garamond"/>
          <w:b/>
          <w:kern w:val="16"/>
          <w14:ligatures w14:val="standardContextual"/>
        </w:rPr>
        <w:t>Pedido alternativo.</w:t>
      </w:r>
      <w:r>
        <w:rPr>
          <w:rFonts w:cs="EB Garamond"/>
          <w:kern w:val="16"/>
          <w14:ligatures w14:val="standardContextual"/>
        </w:rPr>
        <w:t xml:space="preserve"> O advogado deve considerar a formulação de pedido alternativo quando houver dúvida sobre a categoria da segurada ou sobre o enquadramento do fato gerador. Exemplos: (a) segurada que alega ser especial, mas pode ser enquadrada como contribuinte individual — pedir SM como especial e, alternativamente, como CI; (b) segurada que sofreu perda fetal entre a vigésima segunda e a vigésima terceira semana — pedir SM integral (120 dias, se configurado parto de natimorto) e, alternativamente, SM de 14 dias (se configurado aborto não criminoso).</w:t>
      </w:r>
    </w:p>
    <w:p w14:paraId="76CD6CB8" w14:textId="77777777" w:rsidR="005A5FCC" w:rsidRDefault="00A21C81">
      <w:pPr>
        <w:ind w:firstLine="238"/>
      </w:pPr>
      <w:r>
        <w:rPr>
          <w:rFonts w:cs="EB Garamond"/>
          <w:b/>
          <w:kern w:val="16"/>
          <w14:ligatures w14:val="standardContextual"/>
        </w:rPr>
        <w:t>Honorários advocatícios.</w:t>
      </w:r>
      <w:r>
        <w:rPr>
          <w:rFonts w:cs="EB Garamond"/>
          <w:kern w:val="16"/>
          <w14:ligatures w14:val="standardContextual"/>
        </w:rPr>
        <w:t xml:space="preserve"> Nas ações de salário-maternidade julgadas procedentes nos JEFs, os honorários advocatícios sucumbenciais são fixados em 10% sobre o valor da condenação (art. 55, Lei 9.099/95, aplicável aos JEFs por força do art. 1º, Lei 10.259/2001). Como o valor da condenação costuma ser relativamente baixo (quatro meses de SM), os honorários também são modestos. Em ações de segurada especial com SM de R$ 1.621,00/mês, os honorários serão de aproximadamente R$ 648,40 (10% de R$ 6.484,00). O advogado deve considerar essa realidade na avaliação da viabilidade econômica da causa, especialmente em comarcas distantes que exigem deslocamento.</w:t>
      </w:r>
    </w:p>
    <w:p w14:paraId="41D0C156" w14:textId="77777777" w:rsidR="005A5FCC" w:rsidRDefault="00A21C81">
      <w:pPr>
        <w:ind w:firstLine="238"/>
      </w:pPr>
      <w:r>
        <w:rPr>
          <w:rFonts w:cs="EB Garamond"/>
          <w:b/>
          <w:kern w:val="16"/>
          <w14:ligatures w14:val="standardContextual"/>
        </w:rPr>
        <w:t>Sentença e recurso.</w:t>
      </w:r>
      <w:r>
        <w:rPr>
          <w:rFonts w:cs="EB Garamond"/>
          <w:kern w:val="16"/>
          <w14:ligatures w14:val="standardContextual"/>
        </w:rPr>
        <w:t xml:space="preserve"> A sentença que concede o salário-maternidade deve fixar a DIB, o valor mensal do benefício, e condenar o INSS ao pagamento das parcelas vencidas com correção monetária (SELIC) desde cada vencimento. Se o benefício ainda estiver no prazo de cento e vinte dias, a sentença deve determinar a implantação imediata. O recurso inominado ao INSS não tem efeito suspensivo (art. 43, Lei 9.099/95), de modo que a sentença concessória pode ser executada provisoriamente.</w:t>
      </w:r>
    </w:p>
    <w:tbl>
      <w:tblPr>
        <w:tblW w:w="5000" w:type="pct"/>
        <w:jc w:val="center"/>
        <w:tblLayout w:type="fixed"/>
        <w:tblLook w:val="04A0" w:firstRow="1" w:lastRow="0" w:firstColumn="1" w:lastColumn="0" w:noHBand="0" w:noVBand="1"/>
      </w:tblPr>
      <w:tblGrid>
        <w:gridCol w:w="6311"/>
      </w:tblGrid>
      <w:tr w:rsidR="005A5FCC" w14:paraId="6FA02E73"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0095C8B4"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0D41474F" w14:textId="77777777" w:rsidR="005A5FCC" w:rsidRDefault="00A21C81">
            <w:pPr>
              <w:spacing w:after="60" w:line="247" w:lineRule="auto"/>
            </w:pPr>
            <w:r>
              <w:rPr>
                <w:rFonts w:cs="EB Garamond"/>
                <w:b/>
                <w:kern w:val="16"/>
                <w:sz w:val="19"/>
                <w14:ligatures w14:val="standardContextual"/>
              </w:rPr>
              <w:t>Modelo de quesitos para prova, segurada especial rural</w:t>
            </w:r>
          </w:p>
          <w:p w14:paraId="1C5951BB" w14:textId="77777777" w:rsidR="005A5FCC" w:rsidRDefault="00A21C81">
            <w:pPr>
              <w:spacing w:after="60" w:line="247" w:lineRule="auto"/>
            </w:pPr>
            <w:r>
              <w:rPr>
                <w:rFonts w:cs="EB Garamond"/>
                <w:kern w:val="16"/>
                <w:sz w:val="19"/>
                <w14:ligatures w14:val="standardContextual"/>
              </w:rPr>
              <w:t>Em ações de salário-maternidade de segurada especial, o advogado deve formular quesitos para as testemunhas que cubram os seguintes pontos:</w:t>
            </w:r>
          </w:p>
          <w:p w14:paraId="29A14279" w14:textId="77777777" w:rsidR="005A5FCC" w:rsidRDefault="00A21C81">
            <w:pPr>
              <w:spacing w:after="30" w:line="240" w:lineRule="auto"/>
              <w:ind w:left="227" w:hanging="142"/>
            </w:pPr>
            <w:r>
              <w:rPr>
                <w:rFonts w:cs="EB Garamond"/>
                <w:kern w:val="16"/>
                <w:sz w:val="19"/>
                <w14:ligatures w14:val="standardContextual"/>
              </w:rPr>
              <w:t>1. Conhece a autora? Há quanto tempo?</w:t>
            </w:r>
          </w:p>
          <w:p w14:paraId="2A7FDB63" w14:textId="77777777" w:rsidR="005A5FCC" w:rsidRDefault="00A21C81">
            <w:pPr>
              <w:spacing w:after="30" w:line="240" w:lineRule="auto"/>
              <w:ind w:left="227" w:hanging="142"/>
            </w:pPr>
            <w:r>
              <w:rPr>
                <w:rFonts w:cs="EB Garamond"/>
                <w:kern w:val="16"/>
                <w:sz w:val="19"/>
                <w14:ligatures w14:val="standardContextual"/>
              </w:rPr>
              <w:t>2. Sabe qual a atividade laboral da autora?</w:t>
            </w:r>
          </w:p>
          <w:p w14:paraId="0610225F" w14:textId="77777777" w:rsidR="005A5FCC" w:rsidRDefault="00A21C81">
            <w:pPr>
              <w:spacing w:after="30" w:line="240" w:lineRule="auto"/>
              <w:ind w:left="227" w:hanging="142"/>
            </w:pPr>
            <w:r>
              <w:rPr>
                <w:rFonts w:cs="EB Garamond"/>
                <w:kern w:val="16"/>
                <w:sz w:val="19"/>
                <w14:ligatures w14:val="standardContextual"/>
              </w:rPr>
              <w:t>3. A autora trabalha na agricultura/pesca/extrativismo? Em que localidade?</w:t>
            </w:r>
          </w:p>
          <w:p w14:paraId="34035797" w14:textId="77777777" w:rsidR="005A5FCC" w:rsidRDefault="00A21C81">
            <w:pPr>
              <w:spacing w:after="30" w:line="240" w:lineRule="auto"/>
              <w:ind w:left="227" w:hanging="142"/>
            </w:pPr>
            <w:r>
              <w:rPr>
                <w:rFonts w:cs="EB Garamond"/>
                <w:kern w:val="16"/>
                <w:sz w:val="19"/>
                <w14:ligatures w14:val="standardContextual"/>
              </w:rPr>
              <w:t>4. O trabalho é exercido em regime de economia familiar?</w:t>
            </w:r>
          </w:p>
          <w:p w14:paraId="7F43F91B" w14:textId="77777777" w:rsidR="005A5FCC" w:rsidRDefault="00A21C81">
            <w:pPr>
              <w:spacing w:after="30" w:line="240" w:lineRule="auto"/>
              <w:ind w:left="227" w:hanging="142"/>
            </w:pPr>
            <w:r>
              <w:rPr>
                <w:rFonts w:cs="EB Garamond"/>
                <w:kern w:val="16"/>
                <w:sz w:val="19"/>
                <w14:ligatures w14:val="standardContextual"/>
              </w:rPr>
              <w:t>5. A autora exercia essa atividade no período do nascimento do filho?</w:t>
            </w:r>
          </w:p>
          <w:p w14:paraId="6DB880AC" w14:textId="77777777" w:rsidR="005A5FCC" w:rsidRDefault="00A21C81">
            <w:pPr>
              <w:spacing w:after="30" w:line="240" w:lineRule="auto"/>
              <w:ind w:left="227" w:hanging="142"/>
            </w:pPr>
            <w:r>
              <w:rPr>
                <w:rFonts w:cs="EB Garamond"/>
                <w:kern w:val="16"/>
                <w:sz w:val="19"/>
                <w14:ligatures w14:val="standardContextual"/>
              </w:rPr>
              <w:t>6. Sabe se a autora tem outra fonte de renda (emprego urbano, comércio)?</w:t>
            </w:r>
          </w:p>
          <w:p w14:paraId="5A2D3274" w14:textId="77777777" w:rsidR="005A5FCC" w:rsidRDefault="00A21C81">
            <w:pPr>
              <w:spacing w:after="30" w:line="240" w:lineRule="auto"/>
              <w:ind w:left="227" w:hanging="142"/>
            </w:pPr>
            <w:r>
              <w:rPr>
                <w:rFonts w:cs="EB Garamond"/>
                <w:kern w:val="16"/>
                <w:sz w:val="19"/>
                <w14:ligatures w14:val="standardContextual"/>
              </w:rPr>
              <w:t>7. Conhece a propriedade/área onde a autora trabalha? Qual o tamanho aproximado?</w:t>
            </w:r>
          </w:p>
          <w:p w14:paraId="12F5829B" w14:textId="77777777" w:rsidR="005A5FCC" w:rsidRDefault="00A21C81">
            <w:pPr>
              <w:spacing w:after="60" w:line="247" w:lineRule="auto"/>
            </w:pPr>
            <w:r>
              <w:rPr>
                <w:rFonts w:cs="EB Garamond"/>
                <w:kern w:val="16"/>
                <w:sz w:val="19"/>
                <w14:ligatures w14:val="standardContextual"/>
              </w:rPr>
              <w:t>Para a prova documental, apresentar na petição inicial: - Certidão de nascimento do filho - DAP ou CAF (Cadastro da Agricultura Familiar) - Notas fiscais de venda de produção rural - Declaração do sindicato rural - Contrato de arrendamento/parceria (se houver) - Fotos da propriedade e da atividade rural</w:t>
            </w:r>
          </w:p>
        </w:tc>
      </w:tr>
    </w:tbl>
    <w:p w14:paraId="6F22F02E" w14:textId="77777777" w:rsidR="005A5FCC" w:rsidRDefault="005A5FCC">
      <w:pPr>
        <w:spacing w:after="80" w:line="240" w:lineRule="auto"/>
      </w:pPr>
    </w:p>
    <w:p w14:paraId="2A64FF09" w14:textId="77777777" w:rsidR="005A5FCC" w:rsidRDefault="00A21C81">
      <w:pPr>
        <w:spacing w:before="260" w:after="80" w:line="240" w:lineRule="auto"/>
        <w:jc w:val="left"/>
      </w:pPr>
      <w:r>
        <w:rPr>
          <w:rFonts w:cs="EB Garamond"/>
          <w:b/>
          <w:color w:val="3A3128"/>
          <w:kern w:val="16"/>
          <w:sz w:val="25"/>
          <w14:ligatures w14:val="standardContextual"/>
        </w:rPr>
        <w:t>13.16.6 Prescrição e valor da causa</w:t>
      </w:r>
    </w:p>
    <w:p w14:paraId="7F98CC84"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23EAD266" w14:textId="77777777" w:rsidR="005A5FCC" w:rsidRDefault="00A21C81">
      <w:r>
        <w:rPr>
          <w:rFonts w:cs="EB Garamond"/>
          <w:kern w:val="16"/>
          <w14:ligatures w14:val="standardContextual"/>
        </w:rPr>
        <w:t>s parcelas do salário-maternidade prescrevem em cinco anos (art. 103, parágrafo único, Lei 8.213/91). Como o benefício é de prestação temporária (quatro meses), a prescrição quinquenal raramente compromete o direito: a segurada tem até cinco anos após o parto para ajuizar a ação e receber as parcelas retroativas.</w:t>
      </w:r>
    </w:p>
    <w:p w14:paraId="02966302" w14:textId="7826169D" w:rsidR="005A5FCC" w:rsidRDefault="00A21C81">
      <w:pPr>
        <w:ind w:firstLine="238"/>
      </w:pPr>
      <w:r>
        <w:rPr>
          <w:rFonts w:cs="EB Garamond"/>
          <w:kern w:val="16"/>
          <w14:ligatures w14:val="standardContextual"/>
        </w:rPr>
        <w:t xml:space="preserve">O valor da causa corresponde ao total do benefício (4 × RMI), acrescido de parcelas acessórias se houver valores retroativos. Para seguradas especiais (SM de R$ 1.621,00/mês), o valor da causa será inferior a R$ 10.000,00, bem dentro da competência do JEF. Para empregadas de alta renda, o cálculo deve incluir correção monetária e juros, podendo eventualmente ultrapassar o teto de sessenta </w:t>
      </w:r>
      <w:r w:rsidR="00451D13">
        <w:rPr>
          <w:rFonts w:cs="EB Garamond"/>
          <w:kern w:val="16"/>
          <w14:ligatures w14:val="standardContextual"/>
        </w:rPr>
        <w:t>salários-mínimos</w:t>
      </w:r>
      <w:r>
        <w:rPr>
          <w:rFonts w:cs="EB Garamond"/>
          <w:kern w:val="16"/>
          <w14:ligatures w14:val="standardContextual"/>
        </w:rPr>
        <w:t>.</w:t>
      </w:r>
    </w:p>
    <w:p w14:paraId="5E60EFEF" w14:textId="77777777" w:rsidR="005A5FCC" w:rsidRDefault="00A21C81">
      <w:pPr>
        <w:spacing w:before="260" w:after="80" w:line="240" w:lineRule="auto"/>
        <w:jc w:val="left"/>
      </w:pPr>
      <w:r>
        <w:rPr>
          <w:rFonts w:cs="EB Garamond"/>
          <w:b/>
          <w:color w:val="3A3128"/>
          <w:kern w:val="16"/>
          <w:sz w:val="25"/>
          <w14:ligatures w14:val="standardContextual"/>
        </w:rPr>
        <w:t>13.16.7 Execução</w:t>
      </w:r>
    </w:p>
    <w:p w14:paraId="47E1841C"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A</w:t>
      </w:r>
    </w:p>
    <w:p w14:paraId="31960050" w14:textId="42C0B8F1" w:rsidR="005A5FCC" w:rsidRDefault="00A21C81">
      <w:r>
        <w:rPr>
          <w:rFonts w:cs="EB Garamond"/>
          <w:kern w:val="16"/>
          <w14:ligatures w14:val="standardContextual"/>
        </w:rPr>
        <w:t xml:space="preserve"> execução das sentenças em ações de salário-maternidade segue o rito da RPV (Requisição de Pequeno Valor), quando o valor não ultrapassa sessenta </w:t>
      </w:r>
      <w:r w:rsidR="00451D13">
        <w:rPr>
          <w:rFonts w:cs="EB Garamond"/>
          <w:kern w:val="16"/>
          <w14:ligatures w14:val="standardContextual"/>
        </w:rPr>
        <w:t>salários-mínimos</w:t>
      </w:r>
      <w:r>
        <w:rPr>
          <w:rFonts w:cs="EB Garamond"/>
          <w:kern w:val="16"/>
          <w14:ligatures w14:val="standardContextual"/>
        </w:rPr>
        <w:t xml:space="preserve"> por beneficiário. O prazo para pagamento da RPV é de sessenta dias após a expedição (art. 17, Lei 10.259/2001). A correção monetária e os juros seguem a taxa SELIC unificada (EC 113/2021, art. 3º), desde cada vencimento até o efetivo pagamento.</w:t>
      </w:r>
    </w:p>
    <w:p w14:paraId="6296C43E" w14:textId="77777777" w:rsidR="005A5FCC" w:rsidRDefault="00A21C81">
      <w:pPr>
        <w:ind w:firstLine="238"/>
      </w:pPr>
      <w:r>
        <w:rPr>
          <w:rFonts w:cs="EB Garamond"/>
          <w:kern w:val="16"/>
          <w14:ligatures w14:val="standardContextual"/>
        </w:rPr>
        <w:t>Nos casos de tutela antecipada deferida, o INSS é intimado a implantar o benefício em prazo fixado pelo juiz (geralmente trinta dias), sob pena de multa diária (astreintes). As parcelas vencidas entre a DIB e a implantação são pagas por RPV após o trânsito em julgado.</w:t>
      </w:r>
    </w:p>
    <w:p w14:paraId="4CF36DCB"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13.17 Questões especiais e situações atípicas</w:t>
      </w:r>
    </w:p>
    <w:p w14:paraId="31C7D479"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5A2EE39F" w14:textId="77777777" w:rsidR="005A5FCC" w:rsidRDefault="00A21C81">
      <w:r>
        <w:rPr>
          <w:rFonts w:cs="EB Garamond"/>
          <w:kern w:val="16"/>
          <w14:ligatures w14:val="standardContextual"/>
        </w:rPr>
        <w:t xml:space="preserve"> salário-maternidade, apesar de ser benefício aparentemente simples (quatro meses de substituição de renda), apresenta situações atípicas que desafiam a aplicação da legislação e geram controvérsias doutrinárias e jurisprudenciais.</w:t>
      </w:r>
    </w:p>
    <w:p w14:paraId="53DF3768" w14:textId="77777777" w:rsidR="005A5FCC" w:rsidRDefault="00A21C81">
      <w:pPr>
        <w:spacing w:before="260" w:after="80" w:line="240" w:lineRule="auto"/>
        <w:jc w:val="left"/>
      </w:pPr>
      <w:r>
        <w:rPr>
          <w:rFonts w:cs="EB Garamond"/>
          <w:b/>
          <w:color w:val="3A3128"/>
          <w:kern w:val="16"/>
          <w:sz w:val="25"/>
          <w14:ligatures w14:val="standardContextual"/>
        </w:rPr>
        <w:t>13.17.1 Gestação de alto risco</w:t>
      </w:r>
    </w:p>
    <w:p w14:paraId="355D7928"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5DFDCE58" w14:textId="77777777" w:rsidR="005A5FCC" w:rsidRDefault="00A21C81">
      <w:r>
        <w:rPr>
          <w:rFonts w:cs="EB Garamond"/>
          <w:kern w:val="16"/>
          <w14:ligatures w14:val="standardContextual"/>
        </w:rPr>
        <w:t xml:space="preserve"> gestante com diagnóstico de gestação de alto risco pode necessitar de afastamento do trabalho antes do período de vinte e oito dias que antecede o parto. Nessas situações, surge a dúvida: o benefício adequado é o salário-maternidade antecipado ou o auxílio por incapacidade temporária?</w:t>
      </w:r>
    </w:p>
    <w:p w14:paraId="6CE1E580" w14:textId="77777777" w:rsidR="005A5FCC" w:rsidRDefault="00A21C81">
      <w:pPr>
        <w:ind w:firstLine="238"/>
      </w:pPr>
      <w:r>
        <w:rPr>
          <w:rFonts w:cs="EB Garamond"/>
          <w:kern w:val="16"/>
          <w14:ligatures w14:val="standardContextual"/>
        </w:rPr>
        <w:t>A distinção depende da causa do afastamento. Se o afastamento decorre da impossibilidade física de trabalhar em razão de complicação gestacional (risco de parto prematuro, pré-eclâmpsia, sangramento), trata-se de incapacidade para o trabalho — o benefício é o auxílio por incapacidade temporária. Se o afastamento decorre de recomendação médica de repouso gestacional (não necessariamente incapacidade para qualquer trabalho), o benefício pode ser o salário-maternidade antecipado (art. 93, §3º, Decreto 3.048/99: prorrogação de duas semanas antes do parto, mediante atestado médico).</w:t>
      </w:r>
    </w:p>
    <w:p w14:paraId="312E500B" w14:textId="77777777" w:rsidR="005A5FCC" w:rsidRDefault="00A21C81">
      <w:pPr>
        <w:ind w:firstLine="238"/>
      </w:pPr>
      <w:r>
        <w:rPr>
          <w:rFonts w:cs="EB Garamond"/>
          <w:kern w:val="16"/>
          <w14:ligatures w14:val="standardContextual"/>
        </w:rPr>
        <w:lastRenderedPageBreak/>
        <w:t>Na prática, muitas gestantes de alto risco recebem auxílio por incapacidade temporária nos meses que antecedem o parto e, no momento do parto, o benefício é convertido em salário-maternidade. A vedação de acumulação (art. 124, Lei 8.213/91) opera aqui como conversão: o auxílio cessa e o salário-maternidade inicia, ambos pagos pelo INSS.</w:t>
      </w:r>
    </w:p>
    <w:p w14:paraId="58C1893E" w14:textId="77777777" w:rsidR="005A5FCC" w:rsidRDefault="00A21C81">
      <w:pPr>
        <w:spacing w:before="260" w:after="80" w:line="240" w:lineRule="auto"/>
        <w:jc w:val="left"/>
      </w:pPr>
      <w:r>
        <w:rPr>
          <w:rFonts w:cs="EB Garamond"/>
          <w:b/>
          <w:color w:val="3A3128"/>
          <w:kern w:val="16"/>
          <w:sz w:val="25"/>
          <w14:ligatures w14:val="standardContextual"/>
        </w:rPr>
        <w:t>13.17.2 Internação prolongada do recém-nascido</w:t>
      </w:r>
    </w:p>
    <w:p w14:paraId="13BAE1CC"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03751386" w14:textId="77777777" w:rsidR="005A5FCC" w:rsidRDefault="00A21C81">
      <w:r>
        <w:rPr>
          <w:rFonts w:cs="EB Garamond"/>
          <w:kern w:val="16"/>
          <w14:ligatures w14:val="standardContextual"/>
        </w:rPr>
        <w:t xml:space="preserve"> internação prolongada do recém-nascido (por prematuridade extrema, complicações neonatais, cirurgias) frustra o propósito do salário-maternidade, pois a mãe não pode exercer os cuidados que o benefício visa proporcionar. O STF firmou entendimento de que, nessas situações, o início da licença-maternidade e do salário-maternidade deve ser contado a partir da alta hospitalar do recém-nascido (ou da mãe, o que ocorrer por último), quando a internação exceder duas semanas.</w:t>
      </w:r>
    </w:p>
    <w:p w14:paraId="3D7AA8F0" w14:textId="77777777" w:rsidR="005A5FCC" w:rsidRDefault="00A21C81">
      <w:pPr>
        <w:ind w:firstLine="238"/>
      </w:pPr>
      <w:r>
        <w:rPr>
          <w:rFonts w:cs="EB Garamond"/>
          <w:kern w:val="16"/>
          <w14:ligatures w14:val="standardContextual"/>
        </w:rPr>
        <w:t>A Lei 14.457/2022 (Programa Emprega + Mulheres) reforçou essa proteção, e a Lei 15.222, de 29 de setembro de 2025, positivou expressamente a matéria ao acrescentar o § 3º ao art. 71 da Lei 8.213/91: quando a internação hospitalar da segurada ou do recém-nascido superar duas semanas, em decorrência de complicações médicas relacionadas ao parto, o salário-maternidade é devido durante todo o período de internação e por mais cento e vinte dias após a alta hospitalar (da mãe ou do recém-nascido, o que ocorrer por último), descontado o tempo de benefício eventualmente recebido antes do parto.</w:t>
      </w:r>
    </w:p>
    <w:p w14:paraId="25AFCDF0" w14:textId="77777777" w:rsidR="005A5FCC" w:rsidRDefault="00A21C81">
      <w:pPr>
        <w:spacing w:before="260" w:after="80" w:line="240" w:lineRule="auto"/>
        <w:jc w:val="left"/>
      </w:pPr>
      <w:r>
        <w:rPr>
          <w:rFonts w:cs="EB Garamond"/>
          <w:b/>
          <w:color w:val="3A3128"/>
          <w:kern w:val="16"/>
          <w:sz w:val="25"/>
          <w14:ligatures w14:val="standardContextual"/>
        </w:rPr>
        <w:t>13.17.3 Parto de natimorto</w:t>
      </w:r>
    </w:p>
    <w:p w14:paraId="647C465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0EA3E68E" w14:textId="77777777" w:rsidR="005A5FCC" w:rsidRDefault="00A21C81">
      <w:r>
        <w:rPr>
          <w:rFonts w:cs="EB Garamond"/>
          <w:kern w:val="16"/>
          <w14:ligatures w14:val="standardContextual"/>
        </w:rPr>
        <w:t xml:space="preserve"> parto de natimorto (nascimento sem vida a partir da vigésima terceira semana de gestação) gera direito ao salário-maternidade integral de cento e vinte dias, conforme detalhado na seção 13.3.4. A dimensão emocional desse evento merece atenção especial na atuação do advogado e do magistrado: a segurada que perdeu o filho passa pelo mesmo processo de recuperação física do parto, acrescido do luto pela perda. O tratamento processual deve observar a humanização do atendimento, evitando burocracias desnecessárias que agravem o sofrimento da segurada.</w:t>
      </w:r>
    </w:p>
    <w:p w14:paraId="40D092BA" w14:textId="77777777" w:rsidR="005A5FCC" w:rsidRDefault="00A21C81">
      <w:pPr>
        <w:spacing w:before="260" w:after="80" w:line="240" w:lineRule="auto"/>
        <w:jc w:val="left"/>
      </w:pPr>
      <w:r>
        <w:rPr>
          <w:rFonts w:cs="EB Garamond"/>
          <w:b/>
          <w:color w:val="3A3128"/>
          <w:kern w:val="16"/>
          <w:sz w:val="25"/>
          <w14:ligatures w14:val="standardContextual"/>
        </w:rPr>
        <w:lastRenderedPageBreak/>
        <w:t>13.17.4 Mãe biológica e mãe adotiva: duplo benefício</w:t>
      </w:r>
    </w:p>
    <w:p w14:paraId="1C99CBCE"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Q</w:t>
      </w:r>
    </w:p>
    <w:p w14:paraId="532C5655" w14:textId="77777777" w:rsidR="005A5FCC" w:rsidRDefault="00A21C81">
      <w:r>
        <w:rPr>
          <w:rFonts w:cs="EB Garamond"/>
          <w:kern w:val="16"/>
          <w14:ligatures w14:val="standardContextual"/>
        </w:rPr>
        <w:t>uando uma criança nasce e é imediatamente encaminhada para adoção, duas seguradas podem fazer jus ao salário-maternidade pelo mesmo nascimento: a mãe biológica (fato gerador: parto) e a mãe adotiva (fato gerador: adoção ou guarda para fins de adoção). O art. 71-A, §2º, da Lei 8.213/91 expressamente ressalva o pagamento do salário-maternidade à mãe biológica, de modo que a concessão do benefício à mãe adotiva não exclui o benefício da mãe biológica, e vice-versa. Trata-se de fatos geradores distintos (parto e adoção), ainda que referentes à mesma criança.</w:t>
      </w:r>
    </w:p>
    <w:p w14:paraId="66F8D311" w14:textId="77777777" w:rsidR="005A5FCC" w:rsidRDefault="00A21C81">
      <w:pPr>
        <w:spacing w:before="260" w:after="80" w:line="240" w:lineRule="auto"/>
        <w:jc w:val="left"/>
      </w:pPr>
      <w:r>
        <w:rPr>
          <w:rFonts w:cs="EB Garamond"/>
          <w:b/>
          <w:color w:val="3A3128"/>
          <w:kern w:val="16"/>
          <w:sz w:val="25"/>
          <w14:ligatures w14:val="standardContextual"/>
        </w:rPr>
        <w:t>13.17.5 Gestação por substituição (barriga solidária)</w:t>
      </w:r>
    </w:p>
    <w:p w14:paraId="72C62B5C"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377A4FC0" w14:textId="77777777" w:rsidR="005A5FCC" w:rsidRDefault="00A21C81">
      <w:r>
        <w:rPr>
          <w:rFonts w:cs="EB Garamond"/>
          <w:kern w:val="16"/>
          <w14:ligatures w14:val="standardContextual"/>
        </w:rPr>
        <w:t xml:space="preserve"> gestação por substituição ("barriga solidária") é o tema mais controverso na atualidade em matéria de salário-maternidade. A Resolução CFM 2.320/2022, que regulamenta de forma ampla as técnicas de reprodução humana assistida (incluindo a cessão temporária de útero), disciplina a matéria no plano médico-ético, mas não há legislação que discipline seus efeitos previdenciários.</w:t>
      </w:r>
    </w:p>
    <w:p w14:paraId="6A523ECE" w14:textId="77777777" w:rsidR="005A5FCC" w:rsidRDefault="00A21C81">
      <w:pPr>
        <w:ind w:firstLine="238"/>
      </w:pPr>
      <w:r>
        <w:rPr>
          <w:rFonts w:cs="EB Garamond"/>
          <w:kern w:val="16"/>
          <w14:ligatures w14:val="standardContextual"/>
        </w:rPr>
        <w:t>A controvérsia central é: quem tem direito ao salário-maternidade — a gestante de substituição (que efetivamente gesta e dá à luz) ou o(a) pretendente (mãe/pai socioafetivo que ficará com a criança)? A resposta depende da perspectiva adotada. Se o fato gerador é o parto (perspectiva literal), a gestante de substituição é a beneficiária. Se o fato gerador é o início da parentalidade (perspectiva teleológica), o(a) pretendente é o beneficiário.</w:t>
      </w:r>
    </w:p>
    <w:p w14:paraId="70405EAB" w14:textId="77777777" w:rsidR="005A5FCC" w:rsidRDefault="00A21C81">
      <w:pPr>
        <w:ind w:firstLine="238"/>
      </w:pPr>
      <w:r>
        <w:rPr>
          <w:rFonts w:cs="EB Garamond"/>
          <w:kern w:val="16"/>
          <w14:ligatures w14:val="standardContextual"/>
        </w:rPr>
        <w:t>A jurisprudência recente tem caminhado para reconhecer o direito do(a) pretendente ao salário-maternidade, com fundamento no princípio do melhor interesse da criança e na equiparação com a adoção. A Justiça Federal do Rio Grande do Sul condenou o INSS a pagar salário-maternidade a pai em união homoafetiva cujo filho nasceu por gestação de substituição, fundamentando que o benefício protege a criança e a formação do vínculo familiar, não apenas o evento biológico do parto.</w:t>
      </w:r>
    </w:p>
    <w:p w14:paraId="707CAD4B" w14:textId="77777777" w:rsidR="005A5FCC" w:rsidRDefault="00A21C81">
      <w:pPr>
        <w:ind w:firstLine="238"/>
      </w:pPr>
      <w:r>
        <w:rPr>
          <w:rFonts w:cs="EB Garamond"/>
          <w:kern w:val="16"/>
          <w14:ligatures w14:val="standardContextual"/>
        </w:rPr>
        <w:t xml:space="preserve">O INSS resiste administrativamente ao reconhecimento do benefício em casos de gestação por substituição, gerando judicialização crescente. A tendência é </w:t>
      </w:r>
      <w:r>
        <w:rPr>
          <w:rFonts w:cs="EB Garamond"/>
          <w:kern w:val="16"/>
          <w14:ligatures w14:val="standardContextual"/>
        </w:rPr>
        <w:lastRenderedPageBreak/>
        <w:t>de que o tema seja pacificado pelo STJ ou STF nos próximos anos, possivelmente com a fixação de tese em recurso repetitivo.</w:t>
      </w:r>
    </w:p>
    <w:p w14:paraId="7A111B17" w14:textId="77777777" w:rsidR="005A5FCC" w:rsidRDefault="00A21C81">
      <w:pPr>
        <w:ind w:firstLine="238"/>
      </w:pPr>
      <w:r>
        <w:rPr>
          <w:rFonts w:cs="EB Garamond"/>
          <w:kern w:val="16"/>
          <w14:ligatures w14:val="standardContextual"/>
        </w:rPr>
        <w:t>Na prática forense, o advogado que patrocina ação de salário-maternidade por gestação de substituição deve fundamentar o pedido em três pilares: (a) a equiparação com a adoção, pois em ambos os casos há início de parentalidade por via não biológica direta; (b) o princípio do melhor interesse da criança, que demanda o convívio com o responsável efetivo; (c) a vedação de discriminação entre formas de constituição familiar (art. 226, CF/88). A prova deve incluir o contrato de gestação de substituição (registrado em cartório), a declaração médica da clínica de reprodução assistida, o registro civil da criança (com o nome dos pretendentes), e a prova de qualidade de segurada(o).</w:t>
      </w:r>
    </w:p>
    <w:p w14:paraId="7D494381" w14:textId="77777777" w:rsidR="005A5FCC" w:rsidRDefault="00A21C81">
      <w:pPr>
        <w:spacing w:before="260" w:after="80" w:line="240" w:lineRule="auto"/>
        <w:jc w:val="left"/>
      </w:pPr>
      <w:r>
        <w:rPr>
          <w:rFonts w:cs="EB Garamond"/>
          <w:b/>
          <w:color w:val="3A3128"/>
          <w:kern w:val="16"/>
          <w:sz w:val="25"/>
          <w14:ligatures w14:val="standardContextual"/>
        </w:rPr>
        <w:t>13.17.6 Morte da segurada durante o parto ou o salário-maternidade</w:t>
      </w:r>
    </w:p>
    <w:p w14:paraId="7EAF9954"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319A3A41" w14:textId="77777777" w:rsidR="005A5FCC" w:rsidRDefault="00A21C81">
      <w:r>
        <w:rPr>
          <w:rFonts w:cs="EB Garamond"/>
          <w:kern w:val="16"/>
          <w14:ligatures w14:val="standardContextual"/>
        </w:rPr>
        <w:t xml:space="preserve"> art. 71-B da Lei 8.213/91 (incluído pela Lei 12.873/2013) disciplina a situação de falecimento da segurada ou do segurado que faz jus ao salário-maternidade. O benefício é pago, por todo o período ou pelo tempo restante, ao cônjuge ou companheiro sobrevivente que tenha a qualidade de segurado, exceto em caso de falecimento do filho ou de seu abandono.</w:t>
      </w:r>
    </w:p>
    <w:p w14:paraId="04B9AA81" w14:textId="77777777" w:rsidR="005A5FCC" w:rsidRDefault="00A21C81">
      <w:pPr>
        <w:ind w:firstLine="238"/>
      </w:pPr>
      <w:r>
        <w:rPr>
          <w:rFonts w:cs="EB Garamond"/>
          <w:kern w:val="16"/>
          <w14:ligatures w14:val="standardContextual"/>
        </w:rPr>
        <w:t>O requerimento deve ser efetuado até o último dia do prazo previsto para o término do salário-maternidade originário (art. 71-B, §2º). O pagamento é feito pelo INSS diretamente ao cônjuge sobrevivente. Essa regra tem aplicação prática dupla: protege a criança (assegurando que um dos pais possa dedicar-se integralmente aos cuidados iniciais) e protege o cônjuge sobrevivente (proporcionando renda durante o período de luto e adaptação). A condição de que o cônjuge sobrevivente tenha qualidade de segurado é requisito essencial — o companheiro desempregado e sem vínculo previdenciário não faz jus ao benefício transferido.</w:t>
      </w:r>
    </w:p>
    <w:p w14:paraId="61CED700" w14:textId="77777777" w:rsidR="005A5FCC" w:rsidRDefault="00A21C81">
      <w:pPr>
        <w:ind w:firstLine="238"/>
      </w:pPr>
      <w:r>
        <w:rPr>
          <w:rFonts w:cs="EB Garamond"/>
          <w:kern w:val="16"/>
          <w14:ligatures w14:val="standardContextual"/>
        </w:rPr>
        <w:t xml:space="preserve">O benefício transferido pelo art. 71-B não se confunde com a pensão por morte. São benefícios de natureza distinta, devidos cumulativamente: o salário-maternidade transferido substitui a renda durante o período de cuidados com o </w:t>
      </w:r>
      <w:r>
        <w:rPr>
          <w:rFonts w:cs="EB Garamond"/>
          <w:kern w:val="16"/>
          <w14:ligatures w14:val="standardContextual"/>
        </w:rPr>
        <w:lastRenderedPageBreak/>
        <w:t>recém-nascido; a pensão por morte substitui a contribuição econômica do falecido para a família. Assim, o cônjuge sobrevivente pode receber simultaneamente o SM transferido (por até 120 dias) e a pensão por morte (pelo prazo legal).</w:t>
      </w:r>
    </w:p>
    <w:tbl>
      <w:tblPr>
        <w:tblW w:w="5000" w:type="pct"/>
        <w:jc w:val="center"/>
        <w:tblLayout w:type="fixed"/>
        <w:tblLook w:val="04A0" w:firstRow="1" w:lastRow="0" w:firstColumn="1" w:lastColumn="0" w:noHBand="0" w:noVBand="1"/>
      </w:tblPr>
      <w:tblGrid>
        <w:gridCol w:w="6311"/>
      </w:tblGrid>
      <w:tr w:rsidR="005A5FCC" w14:paraId="300956BD"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571B076C"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42F88DB4" w14:textId="77777777" w:rsidR="005A5FCC" w:rsidRDefault="00A21C81">
            <w:pPr>
              <w:spacing w:after="60" w:line="247" w:lineRule="auto"/>
            </w:pPr>
            <w:r>
              <w:rPr>
                <w:rFonts w:cs="EB Garamond"/>
                <w:b/>
                <w:kern w:val="16"/>
                <w:sz w:val="19"/>
                <w14:ligatures w14:val="standardContextual"/>
              </w:rPr>
              <w:t>Morte da segurada: transferência do SM ao cônjuge sobrevivente (art. 71-B)</w:t>
            </w:r>
          </w:p>
          <w:p w14:paraId="54611991" w14:textId="77777777" w:rsidR="005A5FCC" w:rsidRDefault="00A21C81">
            <w:pPr>
              <w:spacing w:after="60" w:line="247" w:lineRule="auto"/>
            </w:pPr>
            <w:r>
              <w:rPr>
                <w:rFonts w:cs="EB Garamond"/>
                <w:kern w:val="16"/>
                <w:sz w:val="19"/>
                <w14:ligatures w14:val="standardContextual"/>
              </w:rPr>
              <w:t>Se a segurada ou o segurado falece durante o gozo do salário-maternidade, o benefício pode ser transferido ao cônjuge/companheiro sobrevivente que tenha qualidade de segurado. Requisitos: 1. Falecimento da titular do SM durante o período do benefício 2. Cônjuge/companheiro sobrevivente com qualidade de segurado 3. Criança viva e sob os cuidados do sobrevivente 4. Requerimento até o último dia do prazo original do SM</w:t>
            </w:r>
          </w:p>
          <w:p w14:paraId="2C1EAE16" w14:textId="77777777" w:rsidR="005A5FCC" w:rsidRDefault="00A21C81">
            <w:pPr>
              <w:spacing w:after="60" w:line="247" w:lineRule="auto"/>
            </w:pPr>
            <w:r>
              <w:rPr>
                <w:rFonts w:cs="EB Garamond"/>
                <w:kern w:val="16"/>
                <w:sz w:val="19"/>
                <w14:ligatures w14:val="standardContextual"/>
              </w:rPr>
              <w:t>O benefício não se confunde com pensão por morte: é o próprio salário-maternidade transferido. A pensão por morte, se devida, é paga cumulativamente (são benefícios de natureza distinta).</w:t>
            </w:r>
          </w:p>
        </w:tc>
      </w:tr>
    </w:tbl>
    <w:p w14:paraId="715154D8" w14:textId="77777777" w:rsidR="005A5FCC" w:rsidRDefault="005A5FCC">
      <w:pPr>
        <w:spacing w:after="80" w:line="240" w:lineRule="auto"/>
      </w:pPr>
    </w:p>
    <w:p w14:paraId="5830C78C" w14:textId="77777777" w:rsidR="005A5FCC" w:rsidRDefault="00A21C81">
      <w:pPr>
        <w:spacing w:before="260" w:after="80" w:line="240" w:lineRule="auto"/>
        <w:jc w:val="left"/>
      </w:pPr>
      <w:r>
        <w:rPr>
          <w:rFonts w:cs="EB Garamond"/>
          <w:b/>
          <w:color w:val="3A3128"/>
          <w:kern w:val="16"/>
          <w:sz w:val="25"/>
          <w14:ligatures w14:val="standardContextual"/>
        </w:rPr>
        <w:t>13.17.7 MEI gestante</w:t>
      </w:r>
    </w:p>
    <w:p w14:paraId="6264210C"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3654A55F" w14:textId="31CB62E2" w:rsidR="005A5FCC" w:rsidRDefault="00A21C81">
      <w:r>
        <w:rPr>
          <w:rFonts w:cs="EB Garamond"/>
          <w:kern w:val="16"/>
          <w14:ligatures w14:val="standardContextual"/>
        </w:rPr>
        <w:t xml:space="preserve"> segurada MEI enfrenta situação particular no salário-maternidade. Como contribui com 5% do </w:t>
      </w:r>
      <w:r w:rsidR="005F4D14">
        <w:rPr>
          <w:rFonts w:cs="EB Garamond"/>
          <w:kern w:val="16"/>
          <w14:ligatures w14:val="standardContextual"/>
        </w:rPr>
        <w:t>salário-mínimo</w:t>
      </w:r>
      <w:r>
        <w:rPr>
          <w:rFonts w:cs="EB Garamond"/>
          <w:kern w:val="16"/>
          <w14:ligatures w14:val="standardContextual"/>
        </w:rPr>
        <w:t xml:space="preserve"> (alíquota reduzida do plano simplificado), o valor do salário-maternidade é de um salário</w:t>
      </w:r>
      <w:r w:rsidR="005F4D14">
        <w:rPr>
          <w:rFonts w:cs="EB Garamond"/>
          <w:kern w:val="16"/>
          <w14:ligatures w14:val="standardContextual"/>
        </w:rPr>
        <w:t>-</w:t>
      </w:r>
      <w:r>
        <w:rPr>
          <w:rFonts w:cs="EB Garamond"/>
          <w:kern w:val="16"/>
          <w14:ligatures w14:val="standardContextual"/>
        </w:rPr>
        <w:t>mínimo (R$ 1.621,00 em 2026). Para muitas MEIs, essa quantia é significativamente inferior à renda efetiva da atividade, gerando insatisfação.</w:t>
      </w:r>
    </w:p>
    <w:p w14:paraId="68590972" w14:textId="77777777" w:rsidR="005A5FCC" w:rsidRDefault="00A21C81">
      <w:pPr>
        <w:ind w:firstLine="238"/>
      </w:pPr>
      <w:r>
        <w:rPr>
          <w:rFonts w:cs="EB Garamond"/>
          <w:kern w:val="16"/>
          <w14:ligatures w14:val="standardContextual"/>
        </w:rPr>
        <w:t>A MEI que deseja salário-maternidade de valor superior deve complementar suas contribuições antes do fato gerador. A complementação consiste no recolhimento da diferença entre 5% e 20% sobre o salário de contribuição desejado (limitado ao teto do RGPS). Essa estratégia deve ser planejada com antecedência, pois a complementação retroativa tem restrições (conforme detalhado no Cap. 4, seção 4.8).</w:t>
      </w:r>
    </w:p>
    <w:p w14:paraId="3ACC55BF" w14:textId="77777777" w:rsidR="005A5FCC" w:rsidRDefault="00A21C81">
      <w:pPr>
        <w:ind w:firstLine="238"/>
      </w:pPr>
      <w:r>
        <w:rPr>
          <w:rFonts w:cs="EB Garamond"/>
          <w:kern w:val="16"/>
          <w14:ligatures w14:val="standardContextual"/>
        </w:rPr>
        <w:t>Após a decisão do STF nas ADIs 2.110/2.111, a MEI gestante não precisa mais cumprir carência de dez contribuições. Basta manter a qualidade de segurada (contribuição mensal em dia ou período de graça vigente) na data do parto ou da adoção.</w:t>
      </w:r>
    </w:p>
    <w:p w14:paraId="4C02597A" w14:textId="77777777" w:rsidR="005A5FCC" w:rsidRDefault="00A21C81">
      <w:pPr>
        <w:spacing w:before="260" w:after="80" w:line="240" w:lineRule="auto"/>
        <w:jc w:val="left"/>
      </w:pPr>
      <w:r>
        <w:rPr>
          <w:rFonts w:cs="EB Garamond"/>
          <w:b/>
          <w:color w:val="3A3128"/>
          <w:kern w:val="16"/>
          <w:sz w:val="25"/>
          <w14:ligatures w14:val="standardContextual"/>
        </w:rPr>
        <w:lastRenderedPageBreak/>
        <w:t>13.17.8 Trabalho intermitente e salário-maternidade</w:t>
      </w:r>
    </w:p>
    <w:p w14:paraId="112F760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64D01381" w14:textId="77777777" w:rsidR="005A5FCC" w:rsidRDefault="00A21C81">
      <w:r>
        <w:rPr>
          <w:rFonts w:cs="EB Garamond"/>
          <w:kern w:val="16"/>
          <w14:ligatures w14:val="standardContextual"/>
        </w:rPr>
        <w:t xml:space="preserve"> empregada em contrato de trabalho intermitente (art. 443, §3º, CLT, incluído pela Lei 13.467/2017) enfrenta desafios específicos para o salário-maternidade. Nos períodos de inatividade, não há prestação de serviço, remuneração ou recolhimento previdenciário. A questão que se coloca é: a empregada intermitente mantém a qualidade de segurada durante os períodos de inatividade?</w:t>
      </w:r>
    </w:p>
    <w:p w14:paraId="1D892CB5" w14:textId="77777777" w:rsidR="005A5FCC" w:rsidRDefault="00A21C81">
      <w:pPr>
        <w:ind w:firstLine="238"/>
      </w:pPr>
      <w:r>
        <w:rPr>
          <w:rFonts w:cs="EB Garamond"/>
          <w:kern w:val="16"/>
          <w14:ligatures w14:val="standardContextual"/>
        </w:rPr>
        <w:t>A resposta é afirmativa quando o contrato intermitente está ativo (registrado no eSocial), mesmo que a empregada não seja convocada. A existência do vínculo empregatício, ainda que intermitente, mantém a qualidade de segurada. Com a eliminação da carência pelo STF (ADIs 2.110/2.111), basta essa qualidade de segurada para fazer jus ao salário-maternidade.</w:t>
      </w:r>
    </w:p>
    <w:p w14:paraId="3284E45C" w14:textId="75144A84" w:rsidR="005A5FCC" w:rsidRDefault="00A21C81">
      <w:pPr>
        <w:ind w:firstLine="238"/>
      </w:pPr>
      <w:r>
        <w:rPr>
          <w:rFonts w:cs="EB Garamond"/>
          <w:kern w:val="16"/>
          <w14:ligatures w14:val="standardContextual"/>
        </w:rPr>
        <w:t xml:space="preserve">O valor do benefício é calculado pela média das remunerações efetivamente recebidas nos doze últimos meses de convocação. Se a empregada intermitente trabalhou apenas em quatro dos doze meses anteriores ao parto, a média será calculada sobre esses quatro meses, assegurado o mínimo de um </w:t>
      </w:r>
      <w:r w:rsidR="00FB2819">
        <w:rPr>
          <w:rFonts w:cs="EB Garamond"/>
          <w:kern w:val="16"/>
          <w14:ligatures w14:val="standardContextual"/>
        </w:rPr>
        <w:t>salário-mínimo</w:t>
      </w:r>
      <w:r>
        <w:rPr>
          <w:rFonts w:cs="EB Garamond"/>
          <w:kern w:val="16"/>
          <w14:ligatures w14:val="standardContextual"/>
        </w:rPr>
        <w:t>. A incerteza sobre o cálculo gera controvérsia: o INSS pode calcular o SM de forma desfavorável, e a segurada pode necessitar de ação judicial para obter o valor correto.</w:t>
      </w:r>
    </w:p>
    <w:p w14:paraId="2F3977A3" w14:textId="77777777" w:rsidR="005A5FCC" w:rsidRDefault="00A21C81">
      <w:pPr>
        <w:spacing w:before="260" w:after="80" w:line="240" w:lineRule="auto"/>
        <w:jc w:val="left"/>
      </w:pPr>
      <w:r>
        <w:rPr>
          <w:rFonts w:cs="EB Garamond"/>
          <w:b/>
          <w:color w:val="3A3128"/>
          <w:kern w:val="16"/>
          <w:sz w:val="25"/>
          <w14:ligatures w14:val="standardContextual"/>
        </w:rPr>
        <w:t>13.17.9 Segurada presa</w:t>
      </w:r>
    </w:p>
    <w:p w14:paraId="4AAF765D"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485CB8EF" w14:textId="77777777" w:rsidR="005A5FCC" w:rsidRDefault="00A21C81">
      <w:r>
        <w:rPr>
          <w:rFonts w:cs="EB Garamond"/>
          <w:kern w:val="16"/>
          <w14:ligatures w14:val="standardContextual"/>
        </w:rPr>
        <w:t xml:space="preserve"> segurada que dá à luz durante o cumprimento de pena privativa de liberdade tem direito ao salário-maternidade, desde que mantenha a qualidade de segurada. A situação é complexa: a segurada presa pode estar no período de graça (se contribuía antes da prisão) ou pode ter perdido a qualidade de segurada (se o período de graça se esgotou durante o encarceramento).</w:t>
      </w:r>
    </w:p>
    <w:p w14:paraId="282F78ED" w14:textId="77777777" w:rsidR="005A5FCC" w:rsidRDefault="00A21C81">
      <w:pPr>
        <w:ind w:firstLine="238"/>
      </w:pPr>
      <w:r>
        <w:rPr>
          <w:rFonts w:cs="EB Garamond"/>
          <w:kern w:val="16"/>
          <w14:ligatures w14:val="standardContextual"/>
        </w:rPr>
        <w:t>A proteção à criança nascida em ambiente carcerário é tema de direitos humanos que transcende a questão previdenciária. A Resolução CNJ 369/2021 regulamenta a permanência de crianças com suas mães presas e os prazos para a separação. O salário-maternidade, quando devido, é pago diretamente pelo INSS à segurada ou ao representante legal designado.</w:t>
      </w:r>
    </w:p>
    <w:p w14:paraId="403ED63E" w14:textId="77777777" w:rsidR="005A5FCC" w:rsidRDefault="00A21C81">
      <w:pPr>
        <w:ind w:firstLine="238"/>
      </w:pPr>
      <w:r>
        <w:rPr>
          <w:rFonts w:cs="EB Garamond"/>
          <w:kern w:val="16"/>
          <w14:ligatures w14:val="standardContextual"/>
        </w:rPr>
        <w:lastRenderedPageBreak/>
        <w:t>Na prática, a dificuldade principal é operacional: a segurada presa não tem acesso ao Meu INSS, não pode comparecer a uma agência do INSS, e depende de intermediários (familiares, defensoria pública, assistência social do estabelecimento prisional) para requerer o benefício. O prazo de cento e oitenta dias para requerimento (sob pena de perda das parcelas retroativas, embora não do direito em si) pode ser facilmente esgotado pela burocracia carcerária. O advogado ou defensor público que atua no JEF deve estar atento a essa vulnerabilidade específica.</w:t>
      </w:r>
    </w:p>
    <w:p w14:paraId="45ADE090" w14:textId="77777777" w:rsidR="005A5FCC" w:rsidRDefault="00A21C81">
      <w:pPr>
        <w:spacing w:before="260" w:after="80" w:line="240" w:lineRule="auto"/>
        <w:jc w:val="left"/>
      </w:pPr>
      <w:r>
        <w:rPr>
          <w:rFonts w:cs="EB Garamond"/>
          <w:b/>
          <w:color w:val="3A3128"/>
          <w:kern w:val="16"/>
          <w:sz w:val="25"/>
          <w14:ligatures w14:val="standardContextual"/>
        </w:rPr>
        <w:t>13.17.10 Salário-maternidade e seguro-desemprego</w:t>
      </w:r>
    </w:p>
    <w:p w14:paraId="3A8CDE9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49430384" w14:textId="77777777" w:rsidR="005A5FCC" w:rsidRDefault="00A21C81">
      <w:r>
        <w:rPr>
          <w:rFonts w:cs="EB Garamond"/>
          <w:kern w:val="16"/>
          <w14:ligatures w14:val="standardContextual"/>
        </w:rPr>
        <w:t xml:space="preserve"> segurada desempregada que engravida durante o período de graça pode estar recebendo seguro-desemprego na data do parto. Surge a dúvida: o salário-maternidade é acumulável com o seguro-desemprego?</w:t>
      </w:r>
    </w:p>
    <w:p w14:paraId="2AEACA8D" w14:textId="77777777" w:rsidR="005A5FCC" w:rsidRDefault="00A21C81">
      <w:pPr>
        <w:ind w:firstLine="238"/>
      </w:pPr>
      <w:r>
        <w:rPr>
          <w:rFonts w:cs="EB Garamond"/>
          <w:kern w:val="16"/>
          <w14:ligatures w14:val="standardContextual"/>
        </w:rPr>
        <w:t>A questão é controvertida. O seguro-desemprego (Lei 7.998/90) tem natureza de benefício trabalhista temporário, distinto do salário-maternidade (benefício previdenciário). Em tese, por terem natureza jurídica distinta e fontes de custeio diferentes (FAT para o seguro-desemprego, contribuições previdenciárias para o SM), seriam acumuláveis. Contudo, o INSS e a Caixa Econômica Federal (operadora do seguro-desemprego) resistem à acumulação, argumentando que ambos os benefícios visam substituir a remuneração da trabalhadora — permitir a acumulação resultaria em enriquecimento sem causa.</w:t>
      </w:r>
    </w:p>
    <w:p w14:paraId="0C6956C5" w14:textId="77777777" w:rsidR="005A5FCC" w:rsidRDefault="00A21C81">
      <w:pPr>
        <w:ind w:firstLine="238"/>
      </w:pPr>
      <w:r>
        <w:rPr>
          <w:rFonts w:cs="EB Garamond"/>
          <w:kern w:val="16"/>
          <w14:ligatures w14:val="standardContextual"/>
        </w:rPr>
        <w:t>A jurisprudência dos TRFs está dividida. Alguns julgados admitem a acumulação com fundamento na natureza diversa dos benefícios e na proteção à maternidade. Outros negam, invocando a vedação implícita de duplicidade de substituição de renda pelo mesmo período. Na prática dos JEFs, o advogado deve requerer o salário-maternidade independentemente do recebimento de seguro-desemprego e, se houver compensação pelo INSS, impugnar judicialmente.</w:t>
      </w:r>
    </w:p>
    <w:p w14:paraId="40328B59" w14:textId="77777777" w:rsidR="005A5FCC" w:rsidRDefault="00A21C81">
      <w:pPr>
        <w:spacing w:before="260" w:after="80" w:line="240" w:lineRule="auto"/>
        <w:jc w:val="left"/>
      </w:pPr>
      <w:r>
        <w:rPr>
          <w:rFonts w:cs="EB Garamond"/>
          <w:b/>
          <w:color w:val="3A3128"/>
          <w:kern w:val="16"/>
          <w:sz w:val="25"/>
          <w14:ligatures w14:val="standardContextual"/>
        </w:rPr>
        <w:t>13.17.11 Planejamento previdenciário e maternidade</w:t>
      </w:r>
    </w:p>
    <w:p w14:paraId="6E18AF9E"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44163BE1" w14:textId="77777777" w:rsidR="005A5FCC" w:rsidRDefault="00A21C81">
      <w:r>
        <w:rPr>
          <w:rFonts w:cs="EB Garamond"/>
          <w:kern w:val="16"/>
          <w14:ligatures w14:val="standardContextual"/>
        </w:rPr>
        <w:t xml:space="preserve"> planejamento previdenciário voltado à maternidade ganhou nova dimensão após a eliminação da carência pelo STF. O cenário anterior exigia pla</w:t>
      </w:r>
      <w:r>
        <w:rPr>
          <w:rFonts w:cs="EB Garamond"/>
          <w:kern w:val="16"/>
          <w14:ligatures w14:val="standardContextual"/>
        </w:rPr>
        <w:lastRenderedPageBreak/>
        <w:t>nejamento com pelo menos dez meses de antecedência: a mulher que pretendia engravidar e não tinha carência deveria iniciar contribuições ao menos dez meses antes do parto previsto. Com a eliminação da carência, o planejamento se simplificou: basta manter a qualidade de segurada.</w:t>
      </w:r>
    </w:p>
    <w:p w14:paraId="24040DC4" w14:textId="77777777" w:rsidR="005A5FCC" w:rsidRDefault="00A21C81">
      <w:pPr>
        <w:ind w:firstLine="238"/>
      </w:pPr>
      <w:r>
        <w:rPr>
          <w:rFonts w:cs="EB Garamond"/>
          <w:kern w:val="16"/>
          <w14:ligatures w14:val="standardContextual"/>
        </w:rPr>
        <w:t>As principais orientações para o planejamento previdenciário voltado à maternidade são:</w:t>
      </w:r>
    </w:p>
    <w:p w14:paraId="4A90E8AD"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Manter a qualidade de segurada:</w:t>
      </w:r>
      <w:r>
        <w:rPr>
          <w:rFonts w:cs="EB Garamond"/>
          <w:kern w:val="16"/>
          <w:sz w:val="20"/>
          <w14:ligatures w14:val="standardContextual"/>
        </w:rPr>
        <w:t xml:space="preserve"> A segurada que trabalha formalmente (empregada, avulsa) tem qualidade de segurada automaticamente. A CI e a facultativa devem manter contribuições em dia. A segurada desempregada deve verificar se está no período de graça.</w:t>
      </w:r>
    </w:p>
    <w:p w14:paraId="343B11D6" w14:textId="77777777" w:rsidR="005A5FCC" w:rsidRDefault="005A5FCC">
      <w:pPr>
        <w:spacing w:after="60" w:line="240" w:lineRule="auto"/>
      </w:pPr>
    </w:p>
    <w:p w14:paraId="5928022D"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Escolher a categoria mais vantajosa:</w:t>
      </w:r>
      <w:r>
        <w:rPr>
          <w:rFonts w:cs="EB Garamond"/>
          <w:kern w:val="16"/>
          <w:sz w:val="20"/>
          <w14:ligatures w14:val="standardContextual"/>
        </w:rPr>
        <w:t xml:space="preserve"> A segurada que pode contribuir como CI (20% sobre qualquer SC entre o SM e o teto) terá SM proporcional ao SC declarado. A segurada que contribui como MEI (5% sobre o SM) terá SM de apenas 1 SM. Se o objetivo é SM de valor maior, a complementação é necessária.</w:t>
      </w:r>
    </w:p>
    <w:p w14:paraId="6EE86477" w14:textId="77777777" w:rsidR="005A5FCC" w:rsidRDefault="005A5FCC">
      <w:pPr>
        <w:spacing w:after="60" w:line="240" w:lineRule="auto"/>
      </w:pPr>
    </w:p>
    <w:p w14:paraId="64632D8D"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Considerar o impacto na aposentadoria:</w:t>
      </w:r>
      <w:r>
        <w:rPr>
          <w:rFonts w:cs="EB Garamond"/>
          <w:kern w:val="16"/>
          <w:sz w:val="20"/>
          <w14:ligatures w14:val="standardContextual"/>
        </w:rPr>
        <w:t xml:space="preserve"> Os meses de SM contam como TC e carência. Para mulheres com carreiras intermitentes, esses meses podem ser decisivos para completar os requisitos de aposentadoria.</w:t>
      </w:r>
    </w:p>
    <w:p w14:paraId="4BD77208" w14:textId="77777777" w:rsidR="005A5FCC" w:rsidRDefault="005A5FCC">
      <w:pPr>
        <w:spacing w:after="60" w:line="240" w:lineRule="auto"/>
      </w:pPr>
    </w:p>
    <w:p w14:paraId="233E87C2"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Avaliar o Empresa Cidadã:</w:t>
      </w:r>
      <w:r>
        <w:rPr>
          <w:rFonts w:cs="EB Garamond"/>
          <w:kern w:val="16"/>
          <w:sz w:val="20"/>
          <w14:ligatures w14:val="standardContextual"/>
        </w:rPr>
        <w:t xml:space="preserve"> Se a empregada trabalha em empresa aderente ao Programa Empresa Cidadã, os 180 dias de licença (120 + 60) devem ser considerados no planejamento financeiro e profissional.</w:t>
      </w:r>
    </w:p>
    <w:p w14:paraId="30EAD1B4" w14:textId="77777777" w:rsidR="005A5FCC" w:rsidRDefault="005A5FCC">
      <w:pPr>
        <w:spacing w:after="60" w:line="240" w:lineRule="auto"/>
      </w:pPr>
    </w:p>
    <w:p w14:paraId="3B7BB105"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Documentar a atividade rural:</w:t>
      </w:r>
      <w:r>
        <w:rPr>
          <w:rFonts w:cs="EB Garamond"/>
          <w:kern w:val="16"/>
          <w:sz w:val="20"/>
          <w14:ligatures w14:val="standardContextual"/>
        </w:rPr>
        <w:t xml:space="preserve"> Para a segurada especial, a documentação da atividade rural deve ser mantida permanentemente (DAP, notas fiscais, registro sindical), e não apenas quando surgir a necessidade do benefício. A prova contemporânea é mais forte do que a prova constituída após o fato.</w:t>
      </w:r>
    </w:p>
    <w:p w14:paraId="1342E35D" w14:textId="77777777" w:rsidR="005A5FCC" w:rsidRDefault="005A5FCC">
      <w:pPr>
        <w:spacing w:after="60" w:line="240" w:lineRule="auto"/>
      </w:pPr>
    </w:p>
    <w:p w14:paraId="08191266"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13.18 Síntese e instrumentos de consulta rápida</w:t>
      </w:r>
    </w:p>
    <w:p w14:paraId="44E37B9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E</w:t>
      </w:r>
    </w:p>
    <w:p w14:paraId="660933F5" w14:textId="77777777" w:rsidR="005A5FCC" w:rsidRDefault="00A21C81">
      <w:r>
        <w:rPr>
          <w:rFonts w:cs="EB Garamond"/>
          <w:kern w:val="16"/>
          <w14:ligatures w14:val="standardContextual"/>
        </w:rPr>
        <w:t>sta seção consolida as informações essenciais do capítulo em instrumentos de consulta rápida para uso forense e administrativo.</w:t>
      </w:r>
    </w:p>
    <w:p w14:paraId="0A1B319F" w14:textId="77777777" w:rsidR="005A5FCC" w:rsidRDefault="00A21C81">
      <w:pPr>
        <w:ind w:firstLine="238"/>
      </w:pPr>
      <w:r>
        <w:rPr>
          <w:rFonts w:cs="EB Garamond"/>
          <w:b/>
          <w:kern w:val="16"/>
          <w14:ligatures w14:val="standardContextual"/>
        </w:rPr>
        <w:t>Tabela-resumo geral:</w:t>
      </w:r>
    </w:p>
    <w:tbl>
      <w:tblPr>
        <w:tblW w:w="5000" w:type="pct"/>
        <w:jc w:val="center"/>
        <w:tblLook w:val="04A0" w:firstRow="1" w:lastRow="0" w:firstColumn="1" w:lastColumn="0" w:noHBand="0" w:noVBand="1"/>
      </w:tblPr>
      <w:tblGrid>
        <w:gridCol w:w="1057"/>
        <w:gridCol w:w="1056"/>
        <w:gridCol w:w="1057"/>
        <w:gridCol w:w="1056"/>
        <w:gridCol w:w="1057"/>
        <w:gridCol w:w="1057"/>
      </w:tblGrid>
      <w:tr w:rsidR="005A5FCC" w14:paraId="6B9527BF" w14:textId="77777777">
        <w:trPr>
          <w:tblHeader/>
          <w:jc w:val="center"/>
        </w:trPr>
        <w:tc>
          <w:tcPr>
            <w:tcW w:w="1058" w:type="dxa"/>
            <w:tcBorders>
              <w:top w:val="single" w:sz="4" w:space="0" w:color="D2C9B8"/>
              <w:left w:val="single" w:sz="4" w:space="0" w:color="D2C9B8"/>
              <w:bottom w:val="single" w:sz="4" w:space="0" w:color="D2C9B8"/>
              <w:right w:val="single" w:sz="4" w:space="0" w:color="D2C9B8"/>
            </w:tcBorders>
            <w:shd w:val="clear" w:color="auto" w:fill="F0EDE6"/>
          </w:tcPr>
          <w:p w14:paraId="504B5EA7" w14:textId="77777777" w:rsidR="005A5FCC" w:rsidRDefault="00A21C81">
            <w:pPr>
              <w:spacing w:before="40" w:after="40" w:line="240" w:lineRule="auto"/>
              <w:jc w:val="center"/>
            </w:pPr>
            <w:r>
              <w:rPr>
                <w:rFonts w:cs="EB Garamond"/>
                <w:b/>
                <w:color w:val="2F2923"/>
                <w:kern w:val="16"/>
                <w:sz w:val="18"/>
                <w14:ligatures w14:val="standardContextual"/>
              </w:rPr>
              <w:t>Categoria</w:t>
            </w:r>
          </w:p>
        </w:tc>
        <w:tc>
          <w:tcPr>
            <w:tcW w:w="1058" w:type="dxa"/>
            <w:tcBorders>
              <w:top w:val="single" w:sz="4" w:space="0" w:color="D2C9B8"/>
              <w:left w:val="single" w:sz="4" w:space="0" w:color="D2C9B8"/>
              <w:bottom w:val="single" w:sz="4" w:space="0" w:color="D2C9B8"/>
              <w:right w:val="single" w:sz="4" w:space="0" w:color="D2C9B8"/>
            </w:tcBorders>
            <w:shd w:val="clear" w:color="auto" w:fill="F0EDE6"/>
          </w:tcPr>
          <w:p w14:paraId="767B07DA" w14:textId="77777777" w:rsidR="005A5FCC" w:rsidRDefault="00A21C81">
            <w:pPr>
              <w:spacing w:before="40" w:after="40" w:line="240" w:lineRule="auto"/>
              <w:jc w:val="center"/>
            </w:pPr>
            <w:r>
              <w:rPr>
                <w:rFonts w:cs="EB Garamond"/>
                <w:b/>
                <w:color w:val="2F2923"/>
                <w:kern w:val="16"/>
                <w:sz w:val="18"/>
                <w14:ligatures w14:val="standardContextual"/>
              </w:rPr>
              <w:t>Carência</w:t>
            </w:r>
          </w:p>
        </w:tc>
        <w:tc>
          <w:tcPr>
            <w:tcW w:w="1058" w:type="dxa"/>
            <w:tcBorders>
              <w:top w:val="single" w:sz="4" w:space="0" w:color="D2C9B8"/>
              <w:left w:val="single" w:sz="4" w:space="0" w:color="D2C9B8"/>
              <w:bottom w:val="single" w:sz="4" w:space="0" w:color="D2C9B8"/>
              <w:right w:val="single" w:sz="4" w:space="0" w:color="D2C9B8"/>
            </w:tcBorders>
            <w:shd w:val="clear" w:color="auto" w:fill="F0EDE6"/>
          </w:tcPr>
          <w:p w14:paraId="68E93892" w14:textId="77777777" w:rsidR="005A5FCC" w:rsidRDefault="00A21C81">
            <w:pPr>
              <w:spacing w:before="40" w:after="40" w:line="240" w:lineRule="auto"/>
              <w:jc w:val="center"/>
            </w:pPr>
            <w:r>
              <w:rPr>
                <w:rFonts w:cs="EB Garamond"/>
                <w:b/>
                <w:color w:val="2F2923"/>
                <w:kern w:val="16"/>
                <w:sz w:val="18"/>
                <w14:ligatures w14:val="standardContextual"/>
              </w:rPr>
              <w:t>Valor mensal</w:t>
            </w:r>
          </w:p>
        </w:tc>
        <w:tc>
          <w:tcPr>
            <w:tcW w:w="1058" w:type="dxa"/>
            <w:tcBorders>
              <w:top w:val="single" w:sz="4" w:space="0" w:color="D2C9B8"/>
              <w:left w:val="single" w:sz="4" w:space="0" w:color="D2C9B8"/>
              <w:bottom w:val="single" w:sz="4" w:space="0" w:color="D2C9B8"/>
              <w:right w:val="single" w:sz="4" w:space="0" w:color="D2C9B8"/>
            </w:tcBorders>
            <w:shd w:val="clear" w:color="auto" w:fill="F0EDE6"/>
          </w:tcPr>
          <w:p w14:paraId="562C14FA" w14:textId="77777777" w:rsidR="005A5FCC" w:rsidRDefault="00A21C81">
            <w:pPr>
              <w:spacing w:before="40" w:after="40" w:line="240" w:lineRule="auto"/>
              <w:jc w:val="center"/>
            </w:pPr>
            <w:r>
              <w:rPr>
                <w:rFonts w:cs="EB Garamond"/>
                <w:b/>
                <w:color w:val="2F2923"/>
                <w:kern w:val="16"/>
                <w:sz w:val="18"/>
                <w14:ligatures w14:val="standardContextual"/>
              </w:rPr>
              <w:t>Duração</w:t>
            </w:r>
          </w:p>
        </w:tc>
        <w:tc>
          <w:tcPr>
            <w:tcW w:w="1058" w:type="dxa"/>
            <w:tcBorders>
              <w:top w:val="single" w:sz="4" w:space="0" w:color="D2C9B8"/>
              <w:left w:val="single" w:sz="4" w:space="0" w:color="D2C9B8"/>
              <w:bottom w:val="single" w:sz="4" w:space="0" w:color="D2C9B8"/>
              <w:right w:val="single" w:sz="4" w:space="0" w:color="D2C9B8"/>
            </w:tcBorders>
            <w:shd w:val="clear" w:color="auto" w:fill="F0EDE6"/>
          </w:tcPr>
          <w:p w14:paraId="742D8FC9" w14:textId="77777777" w:rsidR="005A5FCC" w:rsidRDefault="00A21C81">
            <w:pPr>
              <w:spacing w:before="40" w:after="40" w:line="240" w:lineRule="auto"/>
              <w:jc w:val="center"/>
            </w:pPr>
            <w:r>
              <w:rPr>
                <w:rFonts w:cs="EB Garamond"/>
                <w:b/>
                <w:color w:val="2F2923"/>
                <w:kern w:val="16"/>
                <w:sz w:val="18"/>
                <w14:ligatures w14:val="standardContextual"/>
              </w:rPr>
              <w:t>Quem paga</w:t>
            </w:r>
          </w:p>
        </w:tc>
        <w:tc>
          <w:tcPr>
            <w:tcW w:w="1058" w:type="dxa"/>
            <w:tcBorders>
              <w:top w:val="single" w:sz="4" w:space="0" w:color="D2C9B8"/>
              <w:left w:val="single" w:sz="4" w:space="0" w:color="D2C9B8"/>
              <w:bottom w:val="single" w:sz="4" w:space="0" w:color="D2C9B8"/>
              <w:right w:val="single" w:sz="4" w:space="0" w:color="D2C9B8"/>
            </w:tcBorders>
            <w:shd w:val="clear" w:color="auto" w:fill="F0EDE6"/>
          </w:tcPr>
          <w:p w14:paraId="12F2117A" w14:textId="77777777" w:rsidR="005A5FCC" w:rsidRDefault="00A21C81">
            <w:pPr>
              <w:spacing w:before="40" w:after="40" w:line="240" w:lineRule="auto"/>
              <w:jc w:val="center"/>
            </w:pPr>
            <w:r>
              <w:rPr>
                <w:rFonts w:cs="EB Garamond"/>
                <w:b/>
                <w:color w:val="2F2923"/>
                <w:kern w:val="16"/>
                <w:sz w:val="18"/>
                <w14:ligatures w14:val="standardContextual"/>
              </w:rPr>
              <w:t>Base legal</w:t>
            </w:r>
          </w:p>
        </w:tc>
      </w:tr>
      <w:tr w:rsidR="005A5FCC" w14:paraId="1A2E6F1C" w14:textId="77777777">
        <w:trPr>
          <w:jc w:val="center"/>
        </w:trPr>
        <w:tc>
          <w:tcPr>
            <w:tcW w:w="1058" w:type="dxa"/>
            <w:tcBorders>
              <w:top w:val="single" w:sz="4" w:space="0" w:color="D2C9B8"/>
              <w:left w:val="single" w:sz="4" w:space="0" w:color="D2C9B8"/>
              <w:bottom w:val="single" w:sz="4" w:space="0" w:color="D2C9B8"/>
              <w:right w:val="single" w:sz="4" w:space="0" w:color="D2C9B8"/>
            </w:tcBorders>
          </w:tcPr>
          <w:p w14:paraId="5422AD97" w14:textId="77777777" w:rsidR="005A5FCC" w:rsidRDefault="00A21C81">
            <w:pPr>
              <w:spacing w:before="20" w:after="20" w:line="240" w:lineRule="auto"/>
              <w:jc w:val="left"/>
            </w:pPr>
            <w:r>
              <w:rPr>
                <w:rFonts w:cs="EB Garamond"/>
                <w:kern w:val="16"/>
                <w:sz w:val="18"/>
                <w14:ligatures w14:val="standardContextual"/>
              </w:rPr>
              <w:t>Empregada CLT</w:t>
            </w:r>
          </w:p>
        </w:tc>
        <w:tc>
          <w:tcPr>
            <w:tcW w:w="1058" w:type="dxa"/>
            <w:tcBorders>
              <w:top w:val="single" w:sz="4" w:space="0" w:color="D2C9B8"/>
              <w:left w:val="single" w:sz="4" w:space="0" w:color="D2C9B8"/>
              <w:bottom w:val="single" w:sz="4" w:space="0" w:color="D2C9B8"/>
              <w:right w:val="single" w:sz="4" w:space="0" w:color="D2C9B8"/>
            </w:tcBorders>
          </w:tcPr>
          <w:p w14:paraId="516A6693" w14:textId="77777777" w:rsidR="005A5FCC" w:rsidRDefault="00A21C81">
            <w:pPr>
              <w:spacing w:before="20" w:after="20" w:line="240" w:lineRule="auto"/>
              <w:jc w:val="left"/>
            </w:pPr>
            <w:r>
              <w:rPr>
                <w:rFonts w:cs="EB Garamond"/>
                <w:kern w:val="16"/>
                <w:sz w:val="18"/>
                <w14:ligatures w14:val="standardContextual"/>
              </w:rPr>
              <w:t>Dispensada</w:t>
            </w:r>
          </w:p>
        </w:tc>
        <w:tc>
          <w:tcPr>
            <w:tcW w:w="1058" w:type="dxa"/>
            <w:tcBorders>
              <w:top w:val="single" w:sz="4" w:space="0" w:color="D2C9B8"/>
              <w:left w:val="single" w:sz="4" w:space="0" w:color="D2C9B8"/>
              <w:bottom w:val="single" w:sz="4" w:space="0" w:color="D2C9B8"/>
              <w:right w:val="single" w:sz="4" w:space="0" w:color="D2C9B8"/>
            </w:tcBorders>
          </w:tcPr>
          <w:p w14:paraId="79EE04BE" w14:textId="77777777" w:rsidR="005A5FCC" w:rsidRDefault="00A21C81">
            <w:pPr>
              <w:spacing w:before="20" w:after="20" w:line="240" w:lineRule="auto"/>
              <w:jc w:val="left"/>
            </w:pPr>
            <w:r>
              <w:rPr>
                <w:rFonts w:cs="EB Garamond"/>
                <w:kern w:val="16"/>
                <w:sz w:val="18"/>
                <w14:ligatures w14:val="standardContextual"/>
              </w:rPr>
              <w:t>Remuneração integral</w:t>
            </w:r>
          </w:p>
        </w:tc>
        <w:tc>
          <w:tcPr>
            <w:tcW w:w="1058" w:type="dxa"/>
            <w:tcBorders>
              <w:top w:val="single" w:sz="4" w:space="0" w:color="D2C9B8"/>
              <w:left w:val="single" w:sz="4" w:space="0" w:color="D2C9B8"/>
              <w:bottom w:val="single" w:sz="4" w:space="0" w:color="D2C9B8"/>
              <w:right w:val="single" w:sz="4" w:space="0" w:color="D2C9B8"/>
            </w:tcBorders>
          </w:tcPr>
          <w:p w14:paraId="3B38EA14" w14:textId="77777777" w:rsidR="005A5FCC" w:rsidRDefault="00A21C81">
            <w:pPr>
              <w:spacing w:before="20" w:after="20" w:line="240" w:lineRule="auto"/>
              <w:jc w:val="left"/>
            </w:pPr>
            <w:r>
              <w:rPr>
                <w:rFonts w:cs="EB Garamond"/>
                <w:kern w:val="16"/>
                <w:sz w:val="18"/>
                <w14:ligatures w14:val="standardContextual"/>
              </w:rPr>
              <w:t>120 dias</w:t>
            </w:r>
          </w:p>
        </w:tc>
        <w:tc>
          <w:tcPr>
            <w:tcW w:w="1058" w:type="dxa"/>
            <w:tcBorders>
              <w:top w:val="single" w:sz="4" w:space="0" w:color="D2C9B8"/>
              <w:left w:val="single" w:sz="4" w:space="0" w:color="D2C9B8"/>
              <w:bottom w:val="single" w:sz="4" w:space="0" w:color="D2C9B8"/>
              <w:right w:val="single" w:sz="4" w:space="0" w:color="D2C9B8"/>
            </w:tcBorders>
          </w:tcPr>
          <w:p w14:paraId="1178E140" w14:textId="77777777" w:rsidR="005A5FCC" w:rsidRDefault="00A21C81">
            <w:pPr>
              <w:spacing w:before="20" w:after="20" w:line="240" w:lineRule="auto"/>
              <w:jc w:val="left"/>
            </w:pPr>
            <w:r>
              <w:rPr>
                <w:rFonts w:cs="EB Garamond"/>
                <w:kern w:val="16"/>
                <w:sz w:val="18"/>
                <w14:ligatures w14:val="standardContextual"/>
              </w:rPr>
              <w:t>Empregador (compensa)</w:t>
            </w:r>
          </w:p>
        </w:tc>
        <w:tc>
          <w:tcPr>
            <w:tcW w:w="1058" w:type="dxa"/>
            <w:tcBorders>
              <w:top w:val="single" w:sz="4" w:space="0" w:color="D2C9B8"/>
              <w:left w:val="single" w:sz="4" w:space="0" w:color="D2C9B8"/>
              <w:bottom w:val="single" w:sz="4" w:space="0" w:color="D2C9B8"/>
              <w:right w:val="single" w:sz="4" w:space="0" w:color="D2C9B8"/>
            </w:tcBorders>
          </w:tcPr>
          <w:p w14:paraId="656621E0" w14:textId="77777777" w:rsidR="005A5FCC" w:rsidRDefault="00A21C81">
            <w:pPr>
              <w:spacing w:before="20" w:after="20" w:line="240" w:lineRule="auto"/>
              <w:jc w:val="left"/>
            </w:pPr>
            <w:r>
              <w:rPr>
                <w:rFonts w:cs="EB Garamond"/>
                <w:kern w:val="16"/>
                <w:sz w:val="18"/>
                <w14:ligatures w14:val="standardContextual"/>
              </w:rPr>
              <w:t>Art. 72, §1º</w:t>
            </w:r>
          </w:p>
        </w:tc>
      </w:tr>
      <w:tr w:rsidR="005A5FCC" w14:paraId="2A8E0618" w14:textId="77777777">
        <w:trPr>
          <w:jc w:val="center"/>
        </w:trPr>
        <w:tc>
          <w:tcPr>
            <w:tcW w:w="1058" w:type="dxa"/>
            <w:tcBorders>
              <w:top w:val="single" w:sz="4" w:space="0" w:color="D2C9B8"/>
              <w:left w:val="single" w:sz="4" w:space="0" w:color="D2C9B8"/>
              <w:bottom w:val="single" w:sz="4" w:space="0" w:color="D2C9B8"/>
              <w:right w:val="single" w:sz="4" w:space="0" w:color="D2C9B8"/>
            </w:tcBorders>
          </w:tcPr>
          <w:p w14:paraId="02694BC2" w14:textId="77777777" w:rsidR="005A5FCC" w:rsidRDefault="00A21C81">
            <w:pPr>
              <w:spacing w:before="20" w:after="20" w:line="240" w:lineRule="auto"/>
              <w:jc w:val="left"/>
            </w:pPr>
            <w:r>
              <w:rPr>
                <w:rFonts w:cs="EB Garamond"/>
                <w:kern w:val="16"/>
                <w:sz w:val="18"/>
                <w14:ligatures w14:val="standardContextual"/>
              </w:rPr>
              <w:t>Empregada doméstica</w:t>
            </w:r>
          </w:p>
        </w:tc>
        <w:tc>
          <w:tcPr>
            <w:tcW w:w="1058" w:type="dxa"/>
            <w:tcBorders>
              <w:top w:val="single" w:sz="4" w:space="0" w:color="D2C9B8"/>
              <w:left w:val="single" w:sz="4" w:space="0" w:color="D2C9B8"/>
              <w:bottom w:val="single" w:sz="4" w:space="0" w:color="D2C9B8"/>
              <w:right w:val="single" w:sz="4" w:space="0" w:color="D2C9B8"/>
            </w:tcBorders>
          </w:tcPr>
          <w:p w14:paraId="1C8C0900" w14:textId="77777777" w:rsidR="005A5FCC" w:rsidRDefault="00A21C81">
            <w:pPr>
              <w:spacing w:before="20" w:after="20" w:line="240" w:lineRule="auto"/>
              <w:jc w:val="left"/>
            </w:pPr>
            <w:r>
              <w:rPr>
                <w:rFonts w:cs="EB Garamond"/>
                <w:kern w:val="16"/>
                <w:sz w:val="18"/>
                <w14:ligatures w14:val="standardContextual"/>
              </w:rPr>
              <w:t>Dispensada</w:t>
            </w:r>
          </w:p>
        </w:tc>
        <w:tc>
          <w:tcPr>
            <w:tcW w:w="1058" w:type="dxa"/>
            <w:tcBorders>
              <w:top w:val="single" w:sz="4" w:space="0" w:color="D2C9B8"/>
              <w:left w:val="single" w:sz="4" w:space="0" w:color="D2C9B8"/>
              <w:bottom w:val="single" w:sz="4" w:space="0" w:color="D2C9B8"/>
              <w:right w:val="single" w:sz="4" w:space="0" w:color="D2C9B8"/>
            </w:tcBorders>
          </w:tcPr>
          <w:p w14:paraId="43420F55" w14:textId="77777777" w:rsidR="005A5FCC" w:rsidRDefault="00A21C81">
            <w:pPr>
              <w:spacing w:before="20" w:after="20" w:line="240" w:lineRule="auto"/>
              <w:jc w:val="left"/>
            </w:pPr>
            <w:r>
              <w:rPr>
                <w:rFonts w:cs="EB Garamond"/>
                <w:kern w:val="16"/>
                <w:sz w:val="18"/>
                <w14:ligatures w14:val="standardContextual"/>
              </w:rPr>
              <w:t>Último SC</w:t>
            </w:r>
          </w:p>
        </w:tc>
        <w:tc>
          <w:tcPr>
            <w:tcW w:w="1058" w:type="dxa"/>
            <w:tcBorders>
              <w:top w:val="single" w:sz="4" w:space="0" w:color="D2C9B8"/>
              <w:left w:val="single" w:sz="4" w:space="0" w:color="D2C9B8"/>
              <w:bottom w:val="single" w:sz="4" w:space="0" w:color="D2C9B8"/>
              <w:right w:val="single" w:sz="4" w:space="0" w:color="D2C9B8"/>
            </w:tcBorders>
          </w:tcPr>
          <w:p w14:paraId="5853018D" w14:textId="77777777" w:rsidR="005A5FCC" w:rsidRDefault="00A21C81">
            <w:pPr>
              <w:spacing w:before="20" w:after="20" w:line="240" w:lineRule="auto"/>
              <w:jc w:val="left"/>
            </w:pPr>
            <w:r>
              <w:rPr>
                <w:rFonts w:cs="EB Garamond"/>
                <w:kern w:val="16"/>
                <w:sz w:val="18"/>
                <w14:ligatures w14:val="standardContextual"/>
              </w:rPr>
              <w:t>120 dias</w:t>
            </w:r>
          </w:p>
        </w:tc>
        <w:tc>
          <w:tcPr>
            <w:tcW w:w="1058" w:type="dxa"/>
            <w:tcBorders>
              <w:top w:val="single" w:sz="4" w:space="0" w:color="D2C9B8"/>
              <w:left w:val="single" w:sz="4" w:space="0" w:color="D2C9B8"/>
              <w:bottom w:val="single" w:sz="4" w:space="0" w:color="D2C9B8"/>
              <w:right w:val="single" w:sz="4" w:space="0" w:color="D2C9B8"/>
            </w:tcBorders>
          </w:tcPr>
          <w:p w14:paraId="036F579E" w14:textId="77777777" w:rsidR="005A5FCC" w:rsidRDefault="00A21C81">
            <w:pPr>
              <w:spacing w:before="20" w:after="20" w:line="240" w:lineRule="auto"/>
              <w:jc w:val="left"/>
            </w:pPr>
            <w:r>
              <w:rPr>
                <w:rFonts w:cs="EB Garamond"/>
                <w:kern w:val="16"/>
                <w:sz w:val="18"/>
                <w14:ligatures w14:val="standardContextual"/>
              </w:rPr>
              <w:t>INSS</w:t>
            </w:r>
          </w:p>
        </w:tc>
        <w:tc>
          <w:tcPr>
            <w:tcW w:w="1058" w:type="dxa"/>
            <w:tcBorders>
              <w:top w:val="single" w:sz="4" w:space="0" w:color="D2C9B8"/>
              <w:left w:val="single" w:sz="4" w:space="0" w:color="D2C9B8"/>
              <w:bottom w:val="single" w:sz="4" w:space="0" w:color="D2C9B8"/>
              <w:right w:val="single" w:sz="4" w:space="0" w:color="D2C9B8"/>
            </w:tcBorders>
          </w:tcPr>
          <w:p w14:paraId="6180F042" w14:textId="77777777" w:rsidR="005A5FCC" w:rsidRDefault="00A21C81">
            <w:pPr>
              <w:spacing w:before="20" w:after="20" w:line="240" w:lineRule="auto"/>
              <w:jc w:val="left"/>
            </w:pPr>
            <w:r>
              <w:rPr>
                <w:rFonts w:cs="EB Garamond"/>
                <w:kern w:val="16"/>
                <w:sz w:val="18"/>
                <w14:ligatures w14:val="standardContextual"/>
              </w:rPr>
              <w:t>LC 150/2015</w:t>
            </w:r>
          </w:p>
        </w:tc>
      </w:tr>
      <w:tr w:rsidR="005A5FCC" w14:paraId="054F09A4" w14:textId="77777777">
        <w:trPr>
          <w:jc w:val="center"/>
        </w:trPr>
        <w:tc>
          <w:tcPr>
            <w:tcW w:w="1058" w:type="dxa"/>
            <w:tcBorders>
              <w:top w:val="single" w:sz="4" w:space="0" w:color="D2C9B8"/>
              <w:left w:val="single" w:sz="4" w:space="0" w:color="D2C9B8"/>
              <w:bottom w:val="single" w:sz="4" w:space="0" w:color="D2C9B8"/>
              <w:right w:val="single" w:sz="4" w:space="0" w:color="D2C9B8"/>
            </w:tcBorders>
          </w:tcPr>
          <w:p w14:paraId="258C92B3" w14:textId="77777777" w:rsidR="005A5FCC" w:rsidRDefault="00A21C81">
            <w:pPr>
              <w:spacing w:before="20" w:after="20" w:line="240" w:lineRule="auto"/>
              <w:jc w:val="left"/>
            </w:pPr>
            <w:r>
              <w:rPr>
                <w:rFonts w:cs="EB Garamond"/>
                <w:kern w:val="16"/>
                <w:sz w:val="18"/>
                <w14:ligatures w14:val="standardContextual"/>
              </w:rPr>
              <w:t>Avulsa</w:t>
            </w:r>
          </w:p>
        </w:tc>
        <w:tc>
          <w:tcPr>
            <w:tcW w:w="1058" w:type="dxa"/>
            <w:tcBorders>
              <w:top w:val="single" w:sz="4" w:space="0" w:color="D2C9B8"/>
              <w:left w:val="single" w:sz="4" w:space="0" w:color="D2C9B8"/>
              <w:bottom w:val="single" w:sz="4" w:space="0" w:color="D2C9B8"/>
              <w:right w:val="single" w:sz="4" w:space="0" w:color="D2C9B8"/>
            </w:tcBorders>
          </w:tcPr>
          <w:p w14:paraId="1CE4978C" w14:textId="77777777" w:rsidR="005A5FCC" w:rsidRDefault="00A21C81">
            <w:pPr>
              <w:spacing w:before="20" w:after="20" w:line="240" w:lineRule="auto"/>
              <w:jc w:val="left"/>
            </w:pPr>
            <w:r>
              <w:rPr>
                <w:rFonts w:cs="EB Garamond"/>
                <w:kern w:val="16"/>
                <w:sz w:val="18"/>
                <w14:ligatures w14:val="standardContextual"/>
              </w:rPr>
              <w:t>Dispensada</w:t>
            </w:r>
          </w:p>
        </w:tc>
        <w:tc>
          <w:tcPr>
            <w:tcW w:w="1058" w:type="dxa"/>
            <w:tcBorders>
              <w:top w:val="single" w:sz="4" w:space="0" w:color="D2C9B8"/>
              <w:left w:val="single" w:sz="4" w:space="0" w:color="D2C9B8"/>
              <w:bottom w:val="single" w:sz="4" w:space="0" w:color="D2C9B8"/>
              <w:right w:val="single" w:sz="4" w:space="0" w:color="D2C9B8"/>
            </w:tcBorders>
          </w:tcPr>
          <w:p w14:paraId="0896AA62" w14:textId="77777777" w:rsidR="005A5FCC" w:rsidRDefault="00A21C81">
            <w:pPr>
              <w:spacing w:before="20" w:after="20" w:line="240" w:lineRule="auto"/>
              <w:jc w:val="left"/>
            </w:pPr>
            <w:r>
              <w:rPr>
                <w:rFonts w:cs="EB Garamond"/>
                <w:kern w:val="16"/>
                <w:sz w:val="18"/>
                <w14:ligatures w14:val="standardContextual"/>
              </w:rPr>
              <w:t>Remuneração integral</w:t>
            </w:r>
          </w:p>
        </w:tc>
        <w:tc>
          <w:tcPr>
            <w:tcW w:w="1058" w:type="dxa"/>
            <w:tcBorders>
              <w:top w:val="single" w:sz="4" w:space="0" w:color="D2C9B8"/>
              <w:left w:val="single" w:sz="4" w:space="0" w:color="D2C9B8"/>
              <w:bottom w:val="single" w:sz="4" w:space="0" w:color="D2C9B8"/>
              <w:right w:val="single" w:sz="4" w:space="0" w:color="D2C9B8"/>
            </w:tcBorders>
          </w:tcPr>
          <w:p w14:paraId="171320E2" w14:textId="77777777" w:rsidR="005A5FCC" w:rsidRDefault="00A21C81">
            <w:pPr>
              <w:spacing w:before="20" w:after="20" w:line="240" w:lineRule="auto"/>
              <w:jc w:val="left"/>
            </w:pPr>
            <w:r>
              <w:rPr>
                <w:rFonts w:cs="EB Garamond"/>
                <w:kern w:val="16"/>
                <w:sz w:val="18"/>
                <w14:ligatures w14:val="standardContextual"/>
              </w:rPr>
              <w:t>120 dias</w:t>
            </w:r>
          </w:p>
        </w:tc>
        <w:tc>
          <w:tcPr>
            <w:tcW w:w="1058" w:type="dxa"/>
            <w:tcBorders>
              <w:top w:val="single" w:sz="4" w:space="0" w:color="D2C9B8"/>
              <w:left w:val="single" w:sz="4" w:space="0" w:color="D2C9B8"/>
              <w:bottom w:val="single" w:sz="4" w:space="0" w:color="D2C9B8"/>
              <w:right w:val="single" w:sz="4" w:space="0" w:color="D2C9B8"/>
            </w:tcBorders>
          </w:tcPr>
          <w:p w14:paraId="53E1492E" w14:textId="77777777" w:rsidR="005A5FCC" w:rsidRDefault="00A21C81">
            <w:pPr>
              <w:spacing w:before="20" w:after="20" w:line="240" w:lineRule="auto"/>
              <w:jc w:val="left"/>
            </w:pPr>
            <w:r>
              <w:rPr>
                <w:rFonts w:cs="EB Garamond"/>
                <w:kern w:val="16"/>
                <w:sz w:val="18"/>
                <w14:ligatures w14:val="standardContextual"/>
              </w:rPr>
              <w:t>INSS</w:t>
            </w:r>
          </w:p>
        </w:tc>
        <w:tc>
          <w:tcPr>
            <w:tcW w:w="1058" w:type="dxa"/>
            <w:tcBorders>
              <w:top w:val="single" w:sz="4" w:space="0" w:color="D2C9B8"/>
              <w:left w:val="single" w:sz="4" w:space="0" w:color="D2C9B8"/>
              <w:bottom w:val="single" w:sz="4" w:space="0" w:color="D2C9B8"/>
              <w:right w:val="single" w:sz="4" w:space="0" w:color="D2C9B8"/>
            </w:tcBorders>
          </w:tcPr>
          <w:p w14:paraId="04C143B4" w14:textId="77777777" w:rsidR="005A5FCC" w:rsidRDefault="00A21C81">
            <w:pPr>
              <w:spacing w:before="20" w:after="20" w:line="240" w:lineRule="auto"/>
              <w:jc w:val="left"/>
            </w:pPr>
            <w:r>
              <w:rPr>
                <w:rFonts w:cs="EB Garamond"/>
                <w:kern w:val="16"/>
                <w:sz w:val="18"/>
                <w14:ligatures w14:val="standardContextual"/>
              </w:rPr>
              <w:t>Art. 72, §3º</w:t>
            </w:r>
          </w:p>
        </w:tc>
      </w:tr>
      <w:tr w:rsidR="005A5FCC" w14:paraId="3C56E391" w14:textId="77777777">
        <w:trPr>
          <w:jc w:val="center"/>
        </w:trPr>
        <w:tc>
          <w:tcPr>
            <w:tcW w:w="1058" w:type="dxa"/>
            <w:tcBorders>
              <w:top w:val="single" w:sz="4" w:space="0" w:color="D2C9B8"/>
              <w:left w:val="single" w:sz="4" w:space="0" w:color="D2C9B8"/>
              <w:bottom w:val="single" w:sz="4" w:space="0" w:color="D2C9B8"/>
              <w:right w:val="single" w:sz="4" w:space="0" w:color="D2C9B8"/>
            </w:tcBorders>
          </w:tcPr>
          <w:p w14:paraId="4431835D" w14:textId="77777777" w:rsidR="005A5FCC" w:rsidRDefault="00A21C81">
            <w:pPr>
              <w:spacing w:before="20" w:after="20" w:line="240" w:lineRule="auto"/>
              <w:jc w:val="left"/>
            </w:pPr>
            <w:r>
              <w:rPr>
                <w:rFonts w:cs="EB Garamond"/>
                <w:kern w:val="16"/>
                <w:sz w:val="18"/>
                <w14:ligatures w14:val="standardContextual"/>
              </w:rPr>
              <w:t>CI</w:t>
            </w:r>
          </w:p>
        </w:tc>
        <w:tc>
          <w:tcPr>
            <w:tcW w:w="1058" w:type="dxa"/>
            <w:tcBorders>
              <w:top w:val="single" w:sz="4" w:space="0" w:color="D2C9B8"/>
              <w:left w:val="single" w:sz="4" w:space="0" w:color="D2C9B8"/>
              <w:bottom w:val="single" w:sz="4" w:space="0" w:color="D2C9B8"/>
              <w:right w:val="single" w:sz="4" w:space="0" w:color="D2C9B8"/>
            </w:tcBorders>
          </w:tcPr>
          <w:p w14:paraId="3A8955C3" w14:textId="77777777" w:rsidR="005A5FCC" w:rsidRDefault="00A21C81">
            <w:pPr>
              <w:spacing w:before="20" w:after="20" w:line="240" w:lineRule="auto"/>
              <w:jc w:val="left"/>
            </w:pPr>
            <w:r>
              <w:rPr>
                <w:rFonts w:cs="EB Garamond"/>
                <w:kern w:val="16"/>
                <w:sz w:val="18"/>
                <w14:ligatures w14:val="standardContextual"/>
              </w:rPr>
              <w:t>Dispensada</w:t>
            </w:r>
          </w:p>
        </w:tc>
        <w:tc>
          <w:tcPr>
            <w:tcW w:w="1058" w:type="dxa"/>
            <w:tcBorders>
              <w:top w:val="single" w:sz="4" w:space="0" w:color="D2C9B8"/>
              <w:left w:val="single" w:sz="4" w:space="0" w:color="D2C9B8"/>
              <w:bottom w:val="single" w:sz="4" w:space="0" w:color="D2C9B8"/>
              <w:right w:val="single" w:sz="4" w:space="0" w:color="D2C9B8"/>
            </w:tcBorders>
          </w:tcPr>
          <w:p w14:paraId="41ABDE8D" w14:textId="77777777" w:rsidR="005A5FCC" w:rsidRDefault="00A21C81">
            <w:pPr>
              <w:spacing w:before="20" w:after="20" w:line="240" w:lineRule="auto"/>
              <w:jc w:val="left"/>
            </w:pPr>
            <w:r>
              <w:rPr>
                <w:rFonts w:cs="EB Garamond"/>
                <w:kern w:val="16"/>
                <w:sz w:val="18"/>
                <w14:ligatures w14:val="standardContextual"/>
              </w:rPr>
              <w:t>1/12 de 12 SC</w:t>
            </w:r>
          </w:p>
        </w:tc>
        <w:tc>
          <w:tcPr>
            <w:tcW w:w="1058" w:type="dxa"/>
            <w:tcBorders>
              <w:top w:val="single" w:sz="4" w:space="0" w:color="D2C9B8"/>
              <w:left w:val="single" w:sz="4" w:space="0" w:color="D2C9B8"/>
              <w:bottom w:val="single" w:sz="4" w:space="0" w:color="D2C9B8"/>
              <w:right w:val="single" w:sz="4" w:space="0" w:color="D2C9B8"/>
            </w:tcBorders>
          </w:tcPr>
          <w:p w14:paraId="79859059" w14:textId="77777777" w:rsidR="005A5FCC" w:rsidRDefault="00A21C81">
            <w:pPr>
              <w:spacing w:before="20" w:after="20" w:line="240" w:lineRule="auto"/>
              <w:jc w:val="left"/>
            </w:pPr>
            <w:r>
              <w:rPr>
                <w:rFonts w:cs="EB Garamond"/>
                <w:kern w:val="16"/>
                <w:sz w:val="18"/>
                <w14:ligatures w14:val="standardContextual"/>
              </w:rPr>
              <w:t>120 dias</w:t>
            </w:r>
          </w:p>
        </w:tc>
        <w:tc>
          <w:tcPr>
            <w:tcW w:w="1058" w:type="dxa"/>
            <w:tcBorders>
              <w:top w:val="single" w:sz="4" w:space="0" w:color="D2C9B8"/>
              <w:left w:val="single" w:sz="4" w:space="0" w:color="D2C9B8"/>
              <w:bottom w:val="single" w:sz="4" w:space="0" w:color="D2C9B8"/>
              <w:right w:val="single" w:sz="4" w:space="0" w:color="D2C9B8"/>
            </w:tcBorders>
          </w:tcPr>
          <w:p w14:paraId="13FFB154" w14:textId="77777777" w:rsidR="005A5FCC" w:rsidRDefault="00A21C81">
            <w:pPr>
              <w:spacing w:before="20" w:after="20" w:line="240" w:lineRule="auto"/>
              <w:jc w:val="left"/>
            </w:pPr>
            <w:r>
              <w:rPr>
                <w:rFonts w:cs="EB Garamond"/>
                <w:kern w:val="16"/>
                <w:sz w:val="18"/>
                <w14:ligatures w14:val="standardContextual"/>
              </w:rPr>
              <w:t>INSS</w:t>
            </w:r>
          </w:p>
        </w:tc>
        <w:tc>
          <w:tcPr>
            <w:tcW w:w="1058" w:type="dxa"/>
            <w:tcBorders>
              <w:top w:val="single" w:sz="4" w:space="0" w:color="D2C9B8"/>
              <w:left w:val="single" w:sz="4" w:space="0" w:color="D2C9B8"/>
              <w:bottom w:val="single" w:sz="4" w:space="0" w:color="D2C9B8"/>
              <w:right w:val="single" w:sz="4" w:space="0" w:color="D2C9B8"/>
            </w:tcBorders>
          </w:tcPr>
          <w:p w14:paraId="534294E4" w14:textId="77777777" w:rsidR="005A5FCC" w:rsidRDefault="00A21C81">
            <w:pPr>
              <w:spacing w:before="20" w:after="20" w:line="240" w:lineRule="auto"/>
              <w:jc w:val="left"/>
            </w:pPr>
            <w:r>
              <w:rPr>
                <w:rFonts w:cs="EB Garamond"/>
                <w:kern w:val="16"/>
                <w:sz w:val="18"/>
                <w14:ligatures w14:val="standardContextual"/>
              </w:rPr>
              <w:t>Art. 73, III</w:t>
            </w:r>
          </w:p>
        </w:tc>
      </w:tr>
      <w:tr w:rsidR="005A5FCC" w14:paraId="13C33808" w14:textId="77777777">
        <w:trPr>
          <w:jc w:val="center"/>
        </w:trPr>
        <w:tc>
          <w:tcPr>
            <w:tcW w:w="1058" w:type="dxa"/>
            <w:tcBorders>
              <w:top w:val="single" w:sz="4" w:space="0" w:color="D2C9B8"/>
              <w:left w:val="single" w:sz="4" w:space="0" w:color="D2C9B8"/>
              <w:bottom w:val="single" w:sz="4" w:space="0" w:color="D2C9B8"/>
              <w:right w:val="single" w:sz="4" w:space="0" w:color="D2C9B8"/>
            </w:tcBorders>
          </w:tcPr>
          <w:p w14:paraId="6C650B5D" w14:textId="77777777" w:rsidR="005A5FCC" w:rsidRDefault="00A21C81">
            <w:pPr>
              <w:spacing w:before="20" w:after="20" w:line="240" w:lineRule="auto"/>
              <w:jc w:val="left"/>
            </w:pPr>
            <w:r>
              <w:rPr>
                <w:rFonts w:cs="EB Garamond"/>
                <w:kern w:val="16"/>
                <w:sz w:val="18"/>
                <w14:ligatures w14:val="standardContextual"/>
              </w:rPr>
              <w:t>Facultativa</w:t>
            </w:r>
          </w:p>
        </w:tc>
        <w:tc>
          <w:tcPr>
            <w:tcW w:w="1058" w:type="dxa"/>
            <w:tcBorders>
              <w:top w:val="single" w:sz="4" w:space="0" w:color="D2C9B8"/>
              <w:left w:val="single" w:sz="4" w:space="0" w:color="D2C9B8"/>
              <w:bottom w:val="single" w:sz="4" w:space="0" w:color="D2C9B8"/>
              <w:right w:val="single" w:sz="4" w:space="0" w:color="D2C9B8"/>
            </w:tcBorders>
          </w:tcPr>
          <w:p w14:paraId="7B71D8E1" w14:textId="77777777" w:rsidR="005A5FCC" w:rsidRDefault="00A21C81">
            <w:pPr>
              <w:spacing w:before="20" w:after="20" w:line="240" w:lineRule="auto"/>
              <w:jc w:val="left"/>
            </w:pPr>
            <w:r>
              <w:rPr>
                <w:rFonts w:cs="EB Garamond"/>
                <w:kern w:val="16"/>
                <w:sz w:val="18"/>
                <w14:ligatures w14:val="standardContextual"/>
              </w:rPr>
              <w:t>Dispensada</w:t>
            </w:r>
          </w:p>
        </w:tc>
        <w:tc>
          <w:tcPr>
            <w:tcW w:w="1058" w:type="dxa"/>
            <w:tcBorders>
              <w:top w:val="single" w:sz="4" w:space="0" w:color="D2C9B8"/>
              <w:left w:val="single" w:sz="4" w:space="0" w:color="D2C9B8"/>
              <w:bottom w:val="single" w:sz="4" w:space="0" w:color="D2C9B8"/>
              <w:right w:val="single" w:sz="4" w:space="0" w:color="D2C9B8"/>
            </w:tcBorders>
          </w:tcPr>
          <w:p w14:paraId="599A37BB" w14:textId="77777777" w:rsidR="005A5FCC" w:rsidRDefault="00A21C81">
            <w:pPr>
              <w:spacing w:before="20" w:after="20" w:line="240" w:lineRule="auto"/>
              <w:jc w:val="left"/>
            </w:pPr>
            <w:r>
              <w:rPr>
                <w:rFonts w:cs="EB Garamond"/>
                <w:kern w:val="16"/>
                <w:sz w:val="18"/>
                <w14:ligatures w14:val="standardContextual"/>
              </w:rPr>
              <w:t>1/12 de 12 SC</w:t>
            </w:r>
          </w:p>
        </w:tc>
        <w:tc>
          <w:tcPr>
            <w:tcW w:w="1058" w:type="dxa"/>
            <w:tcBorders>
              <w:top w:val="single" w:sz="4" w:space="0" w:color="D2C9B8"/>
              <w:left w:val="single" w:sz="4" w:space="0" w:color="D2C9B8"/>
              <w:bottom w:val="single" w:sz="4" w:space="0" w:color="D2C9B8"/>
              <w:right w:val="single" w:sz="4" w:space="0" w:color="D2C9B8"/>
            </w:tcBorders>
          </w:tcPr>
          <w:p w14:paraId="0C58F4DA" w14:textId="77777777" w:rsidR="005A5FCC" w:rsidRDefault="00A21C81">
            <w:pPr>
              <w:spacing w:before="20" w:after="20" w:line="240" w:lineRule="auto"/>
              <w:jc w:val="left"/>
            </w:pPr>
            <w:r>
              <w:rPr>
                <w:rFonts w:cs="EB Garamond"/>
                <w:kern w:val="16"/>
                <w:sz w:val="18"/>
                <w14:ligatures w14:val="standardContextual"/>
              </w:rPr>
              <w:t>120 dias</w:t>
            </w:r>
          </w:p>
        </w:tc>
        <w:tc>
          <w:tcPr>
            <w:tcW w:w="1058" w:type="dxa"/>
            <w:tcBorders>
              <w:top w:val="single" w:sz="4" w:space="0" w:color="D2C9B8"/>
              <w:left w:val="single" w:sz="4" w:space="0" w:color="D2C9B8"/>
              <w:bottom w:val="single" w:sz="4" w:space="0" w:color="D2C9B8"/>
              <w:right w:val="single" w:sz="4" w:space="0" w:color="D2C9B8"/>
            </w:tcBorders>
          </w:tcPr>
          <w:p w14:paraId="4BB60299" w14:textId="77777777" w:rsidR="005A5FCC" w:rsidRDefault="00A21C81">
            <w:pPr>
              <w:spacing w:before="20" w:after="20" w:line="240" w:lineRule="auto"/>
              <w:jc w:val="left"/>
            </w:pPr>
            <w:r>
              <w:rPr>
                <w:rFonts w:cs="EB Garamond"/>
                <w:kern w:val="16"/>
                <w:sz w:val="18"/>
                <w14:ligatures w14:val="standardContextual"/>
              </w:rPr>
              <w:t>INSS</w:t>
            </w:r>
          </w:p>
        </w:tc>
        <w:tc>
          <w:tcPr>
            <w:tcW w:w="1058" w:type="dxa"/>
            <w:tcBorders>
              <w:top w:val="single" w:sz="4" w:space="0" w:color="D2C9B8"/>
              <w:left w:val="single" w:sz="4" w:space="0" w:color="D2C9B8"/>
              <w:bottom w:val="single" w:sz="4" w:space="0" w:color="D2C9B8"/>
              <w:right w:val="single" w:sz="4" w:space="0" w:color="D2C9B8"/>
            </w:tcBorders>
          </w:tcPr>
          <w:p w14:paraId="208E724A" w14:textId="77777777" w:rsidR="005A5FCC" w:rsidRDefault="00A21C81">
            <w:pPr>
              <w:spacing w:before="20" w:after="20" w:line="240" w:lineRule="auto"/>
              <w:jc w:val="left"/>
            </w:pPr>
            <w:r>
              <w:rPr>
                <w:rFonts w:cs="EB Garamond"/>
                <w:kern w:val="16"/>
                <w:sz w:val="18"/>
                <w14:ligatures w14:val="standardContextual"/>
              </w:rPr>
              <w:t>Art. 73, III</w:t>
            </w:r>
          </w:p>
        </w:tc>
      </w:tr>
      <w:tr w:rsidR="005A5FCC" w14:paraId="01684664" w14:textId="77777777">
        <w:trPr>
          <w:jc w:val="center"/>
        </w:trPr>
        <w:tc>
          <w:tcPr>
            <w:tcW w:w="1058" w:type="dxa"/>
            <w:tcBorders>
              <w:top w:val="single" w:sz="4" w:space="0" w:color="D2C9B8"/>
              <w:left w:val="single" w:sz="4" w:space="0" w:color="D2C9B8"/>
              <w:bottom w:val="single" w:sz="4" w:space="0" w:color="D2C9B8"/>
              <w:right w:val="single" w:sz="4" w:space="0" w:color="D2C9B8"/>
            </w:tcBorders>
          </w:tcPr>
          <w:p w14:paraId="434958C2" w14:textId="77777777" w:rsidR="005A5FCC" w:rsidRDefault="00A21C81">
            <w:pPr>
              <w:spacing w:before="20" w:after="20" w:line="240" w:lineRule="auto"/>
              <w:jc w:val="left"/>
            </w:pPr>
            <w:r>
              <w:rPr>
                <w:rFonts w:cs="EB Garamond"/>
                <w:kern w:val="16"/>
                <w:sz w:val="18"/>
                <w14:ligatures w14:val="standardContextual"/>
              </w:rPr>
              <w:t>Especial</w:t>
            </w:r>
          </w:p>
        </w:tc>
        <w:tc>
          <w:tcPr>
            <w:tcW w:w="1058" w:type="dxa"/>
            <w:tcBorders>
              <w:top w:val="single" w:sz="4" w:space="0" w:color="D2C9B8"/>
              <w:left w:val="single" w:sz="4" w:space="0" w:color="D2C9B8"/>
              <w:bottom w:val="single" w:sz="4" w:space="0" w:color="D2C9B8"/>
              <w:right w:val="single" w:sz="4" w:space="0" w:color="D2C9B8"/>
            </w:tcBorders>
          </w:tcPr>
          <w:p w14:paraId="6FDED9C0" w14:textId="77777777" w:rsidR="005A5FCC" w:rsidRDefault="00A21C81">
            <w:pPr>
              <w:spacing w:before="20" w:after="20" w:line="240" w:lineRule="auto"/>
              <w:jc w:val="left"/>
            </w:pPr>
            <w:r>
              <w:rPr>
                <w:rFonts w:cs="EB Garamond"/>
                <w:kern w:val="16"/>
                <w:sz w:val="18"/>
                <w14:ligatures w14:val="standardContextual"/>
              </w:rPr>
              <w:t>Dispensada</w:t>
            </w:r>
          </w:p>
        </w:tc>
        <w:tc>
          <w:tcPr>
            <w:tcW w:w="1058" w:type="dxa"/>
            <w:tcBorders>
              <w:top w:val="single" w:sz="4" w:space="0" w:color="D2C9B8"/>
              <w:left w:val="single" w:sz="4" w:space="0" w:color="D2C9B8"/>
              <w:bottom w:val="single" w:sz="4" w:space="0" w:color="D2C9B8"/>
              <w:right w:val="single" w:sz="4" w:space="0" w:color="D2C9B8"/>
            </w:tcBorders>
          </w:tcPr>
          <w:p w14:paraId="53547B55" w14:textId="77777777" w:rsidR="005A5FCC" w:rsidRDefault="00A21C81">
            <w:pPr>
              <w:spacing w:before="20" w:after="20" w:line="240" w:lineRule="auto"/>
              <w:jc w:val="left"/>
            </w:pPr>
            <w:r>
              <w:rPr>
                <w:rFonts w:cs="EB Garamond"/>
                <w:kern w:val="16"/>
                <w:sz w:val="18"/>
                <w14:ligatures w14:val="standardContextual"/>
              </w:rPr>
              <w:t>1 SM</w:t>
            </w:r>
          </w:p>
        </w:tc>
        <w:tc>
          <w:tcPr>
            <w:tcW w:w="1058" w:type="dxa"/>
            <w:tcBorders>
              <w:top w:val="single" w:sz="4" w:space="0" w:color="D2C9B8"/>
              <w:left w:val="single" w:sz="4" w:space="0" w:color="D2C9B8"/>
              <w:bottom w:val="single" w:sz="4" w:space="0" w:color="D2C9B8"/>
              <w:right w:val="single" w:sz="4" w:space="0" w:color="D2C9B8"/>
            </w:tcBorders>
          </w:tcPr>
          <w:p w14:paraId="6B0C4AF6" w14:textId="77777777" w:rsidR="005A5FCC" w:rsidRDefault="00A21C81">
            <w:pPr>
              <w:spacing w:before="20" w:after="20" w:line="240" w:lineRule="auto"/>
              <w:jc w:val="left"/>
            </w:pPr>
            <w:r>
              <w:rPr>
                <w:rFonts w:cs="EB Garamond"/>
                <w:kern w:val="16"/>
                <w:sz w:val="18"/>
                <w14:ligatures w14:val="standardContextual"/>
              </w:rPr>
              <w:t>120 dias</w:t>
            </w:r>
          </w:p>
        </w:tc>
        <w:tc>
          <w:tcPr>
            <w:tcW w:w="1058" w:type="dxa"/>
            <w:tcBorders>
              <w:top w:val="single" w:sz="4" w:space="0" w:color="D2C9B8"/>
              <w:left w:val="single" w:sz="4" w:space="0" w:color="D2C9B8"/>
              <w:bottom w:val="single" w:sz="4" w:space="0" w:color="D2C9B8"/>
              <w:right w:val="single" w:sz="4" w:space="0" w:color="D2C9B8"/>
            </w:tcBorders>
          </w:tcPr>
          <w:p w14:paraId="51A4AC76" w14:textId="77777777" w:rsidR="005A5FCC" w:rsidRDefault="00A21C81">
            <w:pPr>
              <w:spacing w:before="20" w:after="20" w:line="240" w:lineRule="auto"/>
              <w:jc w:val="left"/>
            </w:pPr>
            <w:r>
              <w:rPr>
                <w:rFonts w:cs="EB Garamond"/>
                <w:kern w:val="16"/>
                <w:sz w:val="18"/>
                <w14:ligatures w14:val="standardContextual"/>
              </w:rPr>
              <w:t>INSS</w:t>
            </w:r>
          </w:p>
        </w:tc>
        <w:tc>
          <w:tcPr>
            <w:tcW w:w="1058" w:type="dxa"/>
            <w:tcBorders>
              <w:top w:val="single" w:sz="4" w:space="0" w:color="D2C9B8"/>
              <w:left w:val="single" w:sz="4" w:space="0" w:color="D2C9B8"/>
              <w:bottom w:val="single" w:sz="4" w:space="0" w:color="D2C9B8"/>
              <w:right w:val="single" w:sz="4" w:space="0" w:color="D2C9B8"/>
            </w:tcBorders>
          </w:tcPr>
          <w:p w14:paraId="357916B1" w14:textId="77777777" w:rsidR="005A5FCC" w:rsidRDefault="00A21C81">
            <w:pPr>
              <w:spacing w:before="20" w:after="20" w:line="240" w:lineRule="auto"/>
              <w:jc w:val="left"/>
            </w:pPr>
            <w:r>
              <w:rPr>
                <w:rFonts w:cs="EB Garamond"/>
                <w:kern w:val="16"/>
                <w:sz w:val="18"/>
                <w14:ligatures w14:val="standardContextual"/>
              </w:rPr>
              <w:t>Art. 73, II</w:t>
            </w:r>
          </w:p>
        </w:tc>
      </w:tr>
      <w:tr w:rsidR="005A5FCC" w14:paraId="4B3B2CFA" w14:textId="77777777">
        <w:trPr>
          <w:jc w:val="center"/>
        </w:trPr>
        <w:tc>
          <w:tcPr>
            <w:tcW w:w="1058" w:type="dxa"/>
            <w:tcBorders>
              <w:top w:val="single" w:sz="4" w:space="0" w:color="D2C9B8"/>
              <w:left w:val="single" w:sz="4" w:space="0" w:color="D2C9B8"/>
              <w:bottom w:val="single" w:sz="4" w:space="0" w:color="D2C9B8"/>
              <w:right w:val="single" w:sz="4" w:space="0" w:color="D2C9B8"/>
            </w:tcBorders>
          </w:tcPr>
          <w:p w14:paraId="186125C0" w14:textId="77777777" w:rsidR="005A5FCC" w:rsidRDefault="00A21C81">
            <w:pPr>
              <w:spacing w:before="20" w:after="20" w:line="240" w:lineRule="auto"/>
              <w:jc w:val="left"/>
            </w:pPr>
            <w:r>
              <w:rPr>
                <w:rFonts w:cs="EB Garamond"/>
                <w:kern w:val="16"/>
                <w:sz w:val="18"/>
                <w14:ligatures w14:val="standardContextual"/>
              </w:rPr>
              <w:t>MEI</w:t>
            </w:r>
          </w:p>
        </w:tc>
        <w:tc>
          <w:tcPr>
            <w:tcW w:w="1058" w:type="dxa"/>
            <w:tcBorders>
              <w:top w:val="single" w:sz="4" w:space="0" w:color="D2C9B8"/>
              <w:left w:val="single" w:sz="4" w:space="0" w:color="D2C9B8"/>
              <w:bottom w:val="single" w:sz="4" w:space="0" w:color="D2C9B8"/>
              <w:right w:val="single" w:sz="4" w:space="0" w:color="D2C9B8"/>
            </w:tcBorders>
          </w:tcPr>
          <w:p w14:paraId="61F1EBCC" w14:textId="77777777" w:rsidR="005A5FCC" w:rsidRDefault="00A21C81">
            <w:pPr>
              <w:spacing w:before="20" w:after="20" w:line="240" w:lineRule="auto"/>
              <w:jc w:val="left"/>
            </w:pPr>
            <w:r>
              <w:rPr>
                <w:rFonts w:cs="EB Garamond"/>
                <w:kern w:val="16"/>
                <w:sz w:val="18"/>
                <w14:ligatures w14:val="standardContextual"/>
              </w:rPr>
              <w:t>Dispensada</w:t>
            </w:r>
          </w:p>
        </w:tc>
        <w:tc>
          <w:tcPr>
            <w:tcW w:w="1058" w:type="dxa"/>
            <w:tcBorders>
              <w:top w:val="single" w:sz="4" w:space="0" w:color="D2C9B8"/>
              <w:left w:val="single" w:sz="4" w:space="0" w:color="D2C9B8"/>
              <w:bottom w:val="single" w:sz="4" w:space="0" w:color="D2C9B8"/>
              <w:right w:val="single" w:sz="4" w:space="0" w:color="D2C9B8"/>
            </w:tcBorders>
          </w:tcPr>
          <w:p w14:paraId="18EFED88" w14:textId="77777777" w:rsidR="005A5FCC" w:rsidRDefault="00A21C81">
            <w:pPr>
              <w:spacing w:before="20" w:after="20" w:line="240" w:lineRule="auto"/>
              <w:jc w:val="left"/>
            </w:pPr>
            <w:r>
              <w:rPr>
                <w:rFonts w:cs="EB Garamond"/>
                <w:kern w:val="16"/>
                <w:sz w:val="18"/>
                <w14:ligatures w14:val="standardContextual"/>
              </w:rPr>
              <w:t>1 SM</w:t>
            </w:r>
          </w:p>
        </w:tc>
        <w:tc>
          <w:tcPr>
            <w:tcW w:w="1058" w:type="dxa"/>
            <w:tcBorders>
              <w:top w:val="single" w:sz="4" w:space="0" w:color="D2C9B8"/>
              <w:left w:val="single" w:sz="4" w:space="0" w:color="D2C9B8"/>
              <w:bottom w:val="single" w:sz="4" w:space="0" w:color="D2C9B8"/>
              <w:right w:val="single" w:sz="4" w:space="0" w:color="D2C9B8"/>
            </w:tcBorders>
          </w:tcPr>
          <w:p w14:paraId="4778324D" w14:textId="77777777" w:rsidR="005A5FCC" w:rsidRDefault="00A21C81">
            <w:pPr>
              <w:spacing w:before="20" w:after="20" w:line="240" w:lineRule="auto"/>
              <w:jc w:val="left"/>
            </w:pPr>
            <w:r>
              <w:rPr>
                <w:rFonts w:cs="EB Garamond"/>
                <w:kern w:val="16"/>
                <w:sz w:val="18"/>
                <w14:ligatures w14:val="standardContextual"/>
              </w:rPr>
              <w:t>120 dias</w:t>
            </w:r>
          </w:p>
        </w:tc>
        <w:tc>
          <w:tcPr>
            <w:tcW w:w="1058" w:type="dxa"/>
            <w:tcBorders>
              <w:top w:val="single" w:sz="4" w:space="0" w:color="D2C9B8"/>
              <w:left w:val="single" w:sz="4" w:space="0" w:color="D2C9B8"/>
              <w:bottom w:val="single" w:sz="4" w:space="0" w:color="D2C9B8"/>
              <w:right w:val="single" w:sz="4" w:space="0" w:color="D2C9B8"/>
            </w:tcBorders>
          </w:tcPr>
          <w:p w14:paraId="692EA124" w14:textId="77777777" w:rsidR="005A5FCC" w:rsidRDefault="00A21C81">
            <w:pPr>
              <w:spacing w:before="20" w:after="20" w:line="240" w:lineRule="auto"/>
              <w:jc w:val="left"/>
            </w:pPr>
            <w:r>
              <w:rPr>
                <w:rFonts w:cs="EB Garamond"/>
                <w:kern w:val="16"/>
                <w:sz w:val="18"/>
                <w14:ligatures w14:val="standardContextual"/>
              </w:rPr>
              <w:t>INSS</w:t>
            </w:r>
          </w:p>
        </w:tc>
        <w:tc>
          <w:tcPr>
            <w:tcW w:w="1058" w:type="dxa"/>
            <w:tcBorders>
              <w:top w:val="single" w:sz="4" w:space="0" w:color="D2C9B8"/>
              <w:left w:val="single" w:sz="4" w:space="0" w:color="D2C9B8"/>
              <w:bottom w:val="single" w:sz="4" w:space="0" w:color="D2C9B8"/>
              <w:right w:val="single" w:sz="4" w:space="0" w:color="D2C9B8"/>
            </w:tcBorders>
          </w:tcPr>
          <w:p w14:paraId="3CE8D4DE" w14:textId="77777777" w:rsidR="005A5FCC" w:rsidRDefault="00A21C81">
            <w:pPr>
              <w:spacing w:before="20" w:after="20" w:line="240" w:lineRule="auto"/>
              <w:jc w:val="left"/>
            </w:pPr>
            <w:r>
              <w:rPr>
                <w:rFonts w:cs="EB Garamond"/>
                <w:kern w:val="16"/>
                <w:sz w:val="18"/>
                <w14:ligatures w14:val="standardContextual"/>
              </w:rPr>
              <w:t>Art. 73, III</w:t>
            </w:r>
          </w:p>
        </w:tc>
      </w:tr>
    </w:tbl>
    <w:p w14:paraId="383954FA" w14:textId="77777777" w:rsidR="005A5FCC" w:rsidRDefault="005A5FCC">
      <w:pPr>
        <w:spacing w:after="80" w:line="240" w:lineRule="auto"/>
      </w:pPr>
    </w:p>
    <w:p w14:paraId="0A7DD2B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T</w:t>
      </w:r>
    </w:p>
    <w:p w14:paraId="18096C6E" w14:textId="77777777" w:rsidR="005A5FCC" w:rsidRDefault="00A21C81">
      <w:r>
        <w:rPr>
          <w:rFonts w:cs="EB Garamond"/>
          <w:b/>
          <w:kern w:val="16"/>
          <w14:ligatures w14:val="standardContextual"/>
        </w:rPr>
        <w:t>abela: fatos geradores</w:t>
      </w:r>
    </w:p>
    <w:tbl>
      <w:tblPr>
        <w:tblW w:w="5000" w:type="pct"/>
        <w:jc w:val="center"/>
        <w:tblLook w:val="04A0" w:firstRow="1" w:lastRow="0" w:firstColumn="1" w:lastColumn="0" w:noHBand="0" w:noVBand="1"/>
      </w:tblPr>
      <w:tblGrid>
        <w:gridCol w:w="1585"/>
        <w:gridCol w:w="1585"/>
        <w:gridCol w:w="1585"/>
        <w:gridCol w:w="1585"/>
      </w:tblGrid>
      <w:tr w:rsidR="005A5FCC" w14:paraId="169798BD" w14:textId="77777777">
        <w:trPr>
          <w:tblHeader/>
          <w:jc w:val="center"/>
        </w:trPr>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3C918969" w14:textId="77777777" w:rsidR="005A5FCC" w:rsidRDefault="00A21C81">
            <w:pPr>
              <w:spacing w:before="40" w:after="40" w:line="240" w:lineRule="auto"/>
              <w:jc w:val="center"/>
            </w:pPr>
            <w:r>
              <w:rPr>
                <w:rFonts w:cs="EB Garamond"/>
                <w:b/>
                <w:color w:val="2F2923"/>
                <w:kern w:val="16"/>
                <w:sz w:val="18"/>
                <w14:ligatures w14:val="standardContextual"/>
              </w:rPr>
              <w:t>Fato gerador</w:t>
            </w:r>
          </w:p>
        </w:tc>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365145A1" w14:textId="77777777" w:rsidR="005A5FCC" w:rsidRDefault="00A21C81">
            <w:pPr>
              <w:spacing w:before="40" w:after="40" w:line="240" w:lineRule="auto"/>
              <w:jc w:val="center"/>
            </w:pPr>
            <w:r>
              <w:rPr>
                <w:rFonts w:cs="EB Garamond"/>
                <w:b/>
                <w:color w:val="2F2923"/>
                <w:kern w:val="16"/>
                <w:sz w:val="18"/>
                <w14:ligatures w14:val="standardContextual"/>
              </w:rPr>
              <w:t>Duração</w:t>
            </w:r>
          </w:p>
        </w:tc>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66E90C13" w14:textId="77777777" w:rsidR="005A5FCC" w:rsidRDefault="00A21C81">
            <w:pPr>
              <w:spacing w:before="40" w:after="40" w:line="240" w:lineRule="auto"/>
              <w:jc w:val="center"/>
            </w:pPr>
            <w:r>
              <w:rPr>
                <w:rFonts w:cs="EB Garamond"/>
                <w:b/>
                <w:color w:val="2F2923"/>
                <w:kern w:val="16"/>
                <w:sz w:val="18"/>
                <w14:ligatures w14:val="standardContextual"/>
              </w:rPr>
              <w:t>Prova principal</w:t>
            </w:r>
          </w:p>
        </w:tc>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158125E6" w14:textId="77777777" w:rsidR="005A5FCC" w:rsidRDefault="00A21C81">
            <w:pPr>
              <w:spacing w:before="40" w:after="40" w:line="240" w:lineRule="auto"/>
              <w:jc w:val="center"/>
            </w:pPr>
            <w:r>
              <w:rPr>
                <w:rFonts w:cs="EB Garamond"/>
                <w:b/>
                <w:color w:val="2F2923"/>
                <w:kern w:val="16"/>
                <w:sz w:val="18"/>
                <w14:ligatures w14:val="standardContextual"/>
              </w:rPr>
              <w:t>Início do benefício</w:t>
            </w:r>
          </w:p>
        </w:tc>
      </w:tr>
      <w:tr w:rsidR="005A5FCC" w14:paraId="4229C887"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50CB3645" w14:textId="77777777" w:rsidR="005A5FCC" w:rsidRDefault="00A21C81">
            <w:pPr>
              <w:spacing w:before="20" w:after="20" w:line="240" w:lineRule="auto"/>
              <w:jc w:val="left"/>
            </w:pPr>
            <w:r>
              <w:rPr>
                <w:rFonts w:cs="EB Garamond"/>
                <w:kern w:val="16"/>
                <w:sz w:val="18"/>
                <w14:ligatures w14:val="standardContextual"/>
              </w:rPr>
              <w:t>Parto a termo</w:t>
            </w:r>
          </w:p>
        </w:tc>
        <w:tc>
          <w:tcPr>
            <w:tcW w:w="1587" w:type="dxa"/>
            <w:tcBorders>
              <w:top w:val="single" w:sz="4" w:space="0" w:color="D2C9B8"/>
              <w:left w:val="single" w:sz="4" w:space="0" w:color="D2C9B8"/>
              <w:bottom w:val="single" w:sz="4" w:space="0" w:color="D2C9B8"/>
              <w:right w:val="single" w:sz="4" w:space="0" w:color="D2C9B8"/>
            </w:tcBorders>
          </w:tcPr>
          <w:p w14:paraId="1EEDC3F8" w14:textId="77777777" w:rsidR="005A5FCC" w:rsidRDefault="00A21C81">
            <w:pPr>
              <w:spacing w:before="20" w:after="20" w:line="240" w:lineRule="auto"/>
              <w:jc w:val="left"/>
            </w:pPr>
            <w:r>
              <w:rPr>
                <w:rFonts w:cs="EB Garamond"/>
                <w:kern w:val="16"/>
                <w:sz w:val="18"/>
                <w14:ligatures w14:val="standardContextual"/>
              </w:rPr>
              <w:t>120 dias</w:t>
            </w:r>
          </w:p>
        </w:tc>
        <w:tc>
          <w:tcPr>
            <w:tcW w:w="1587" w:type="dxa"/>
            <w:tcBorders>
              <w:top w:val="single" w:sz="4" w:space="0" w:color="D2C9B8"/>
              <w:left w:val="single" w:sz="4" w:space="0" w:color="D2C9B8"/>
              <w:bottom w:val="single" w:sz="4" w:space="0" w:color="D2C9B8"/>
              <w:right w:val="single" w:sz="4" w:space="0" w:color="D2C9B8"/>
            </w:tcBorders>
          </w:tcPr>
          <w:p w14:paraId="2283BED6" w14:textId="77777777" w:rsidR="005A5FCC" w:rsidRDefault="00A21C81">
            <w:pPr>
              <w:spacing w:before="20" w:after="20" w:line="240" w:lineRule="auto"/>
              <w:jc w:val="left"/>
            </w:pPr>
            <w:r>
              <w:rPr>
                <w:rFonts w:cs="EB Garamond"/>
                <w:kern w:val="16"/>
                <w:sz w:val="18"/>
                <w14:ligatures w14:val="standardContextual"/>
              </w:rPr>
              <w:t>Certidão nascimento</w:t>
            </w:r>
          </w:p>
        </w:tc>
        <w:tc>
          <w:tcPr>
            <w:tcW w:w="1587" w:type="dxa"/>
            <w:tcBorders>
              <w:top w:val="single" w:sz="4" w:space="0" w:color="D2C9B8"/>
              <w:left w:val="single" w:sz="4" w:space="0" w:color="D2C9B8"/>
              <w:bottom w:val="single" w:sz="4" w:space="0" w:color="D2C9B8"/>
              <w:right w:val="single" w:sz="4" w:space="0" w:color="D2C9B8"/>
            </w:tcBorders>
          </w:tcPr>
          <w:p w14:paraId="333CE4FF" w14:textId="77777777" w:rsidR="005A5FCC" w:rsidRDefault="00A21C81">
            <w:pPr>
              <w:spacing w:before="20" w:after="20" w:line="240" w:lineRule="auto"/>
              <w:jc w:val="left"/>
            </w:pPr>
            <w:r>
              <w:rPr>
                <w:rFonts w:cs="EB Garamond"/>
                <w:kern w:val="16"/>
                <w:sz w:val="18"/>
                <w14:ligatures w14:val="standardContextual"/>
              </w:rPr>
              <w:t>28 dias antes ou data do parto</w:t>
            </w:r>
          </w:p>
        </w:tc>
      </w:tr>
      <w:tr w:rsidR="005A5FCC" w14:paraId="29DA95D9"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57FEBE3B" w14:textId="77777777" w:rsidR="005A5FCC" w:rsidRDefault="00A21C81">
            <w:pPr>
              <w:spacing w:before="20" w:after="20" w:line="240" w:lineRule="auto"/>
              <w:jc w:val="left"/>
            </w:pPr>
            <w:r>
              <w:rPr>
                <w:rFonts w:cs="EB Garamond"/>
                <w:kern w:val="16"/>
                <w:sz w:val="18"/>
                <w14:ligatures w14:val="standardContextual"/>
              </w:rPr>
              <w:t>Parto prematuro</w:t>
            </w:r>
          </w:p>
        </w:tc>
        <w:tc>
          <w:tcPr>
            <w:tcW w:w="1587" w:type="dxa"/>
            <w:tcBorders>
              <w:top w:val="single" w:sz="4" w:space="0" w:color="D2C9B8"/>
              <w:left w:val="single" w:sz="4" w:space="0" w:color="D2C9B8"/>
              <w:bottom w:val="single" w:sz="4" w:space="0" w:color="D2C9B8"/>
              <w:right w:val="single" w:sz="4" w:space="0" w:color="D2C9B8"/>
            </w:tcBorders>
          </w:tcPr>
          <w:p w14:paraId="62D4B972" w14:textId="77777777" w:rsidR="005A5FCC" w:rsidRDefault="00A21C81">
            <w:pPr>
              <w:spacing w:before="20" w:after="20" w:line="240" w:lineRule="auto"/>
              <w:jc w:val="left"/>
            </w:pPr>
            <w:r>
              <w:rPr>
                <w:rFonts w:cs="EB Garamond"/>
                <w:kern w:val="16"/>
                <w:sz w:val="18"/>
                <w14:ligatures w14:val="standardContextual"/>
              </w:rPr>
              <w:t>120 dias</w:t>
            </w:r>
          </w:p>
        </w:tc>
        <w:tc>
          <w:tcPr>
            <w:tcW w:w="1587" w:type="dxa"/>
            <w:tcBorders>
              <w:top w:val="single" w:sz="4" w:space="0" w:color="D2C9B8"/>
              <w:left w:val="single" w:sz="4" w:space="0" w:color="D2C9B8"/>
              <w:bottom w:val="single" w:sz="4" w:space="0" w:color="D2C9B8"/>
              <w:right w:val="single" w:sz="4" w:space="0" w:color="D2C9B8"/>
            </w:tcBorders>
          </w:tcPr>
          <w:p w14:paraId="15DB265B" w14:textId="77777777" w:rsidR="005A5FCC" w:rsidRDefault="00A21C81">
            <w:pPr>
              <w:spacing w:before="20" w:after="20" w:line="240" w:lineRule="auto"/>
              <w:jc w:val="left"/>
            </w:pPr>
            <w:r>
              <w:rPr>
                <w:rFonts w:cs="EB Garamond"/>
                <w:kern w:val="16"/>
                <w:sz w:val="18"/>
                <w14:ligatures w14:val="standardContextual"/>
              </w:rPr>
              <w:t>Certidão nascimento + atestado</w:t>
            </w:r>
          </w:p>
        </w:tc>
        <w:tc>
          <w:tcPr>
            <w:tcW w:w="1587" w:type="dxa"/>
            <w:tcBorders>
              <w:top w:val="single" w:sz="4" w:space="0" w:color="D2C9B8"/>
              <w:left w:val="single" w:sz="4" w:space="0" w:color="D2C9B8"/>
              <w:bottom w:val="single" w:sz="4" w:space="0" w:color="D2C9B8"/>
              <w:right w:val="single" w:sz="4" w:space="0" w:color="D2C9B8"/>
            </w:tcBorders>
          </w:tcPr>
          <w:p w14:paraId="135B1FAB" w14:textId="77777777" w:rsidR="005A5FCC" w:rsidRDefault="00A21C81">
            <w:pPr>
              <w:spacing w:before="20" w:after="20" w:line="240" w:lineRule="auto"/>
              <w:jc w:val="left"/>
            </w:pPr>
            <w:r>
              <w:rPr>
                <w:rFonts w:cs="EB Garamond"/>
                <w:kern w:val="16"/>
                <w:sz w:val="18"/>
                <w14:ligatures w14:val="standardContextual"/>
              </w:rPr>
              <w:t>Data do parto</w:t>
            </w:r>
          </w:p>
        </w:tc>
      </w:tr>
      <w:tr w:rsidR="005A5FCC" w14:paraId="04511F97"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41B37E8C" w14:textId="77777777" w:rsidR="005A5FCC" w:rsidRDefault="00A21C81">
            <w:pPr>
              <w:spacing w:before="20" w:after="20" w:line="240" w:lineRule="auto"/>
              <w:jc w:val="left"/>
            </w:pPr>
            <w:r>
              <w:rPr>
                <w:rFonts w:cs="EB Garamond"/>
                <w:kern w:val="16"/>
                <w:sz w:val="18"/>
                <w14:ligatures w14:val="standardContextual"/>
              </w:rPr>
              <w:t>Natimorto (≥ 23 sem.)</w:t>
            </w:r>
          </w:p>
        </w:tc>
        <w:tc>
          <w:tcPr>
            <w:tcW w:w="1587" w:type="dxa"/>
            <w:tcBorders>
              <w:top w:val="single" w:sz="4" w:space="0" w:color="D2C9B8"/>
              <w:left w:val="single" w:sz="4" w:space="0" w:color="D2C9B8"/>
              <w:bottom w:val="single" w:sz="4" w:space="0" w:color="D2C9B8"/>
              <w:right w:val="single" w:sz="4" w:space="0" w:color="D2C9B8"/>
            </w:tcBorders>
          </w:tcPr>
          <w:p w14:paraId="1E0A9D19" w14:textId="77777777" w:rsidR="005A5FCC" w:rsidRDefault="00A21C81">
            <w:pPr>
              <w:spacing w:before="20" w:after="20" w:line="240" w:lineRule="auto"/>
              <w:jc w:val="left"/>
            </w:pPr>
            <w:r>
              <w:rPr>
                <w:rFonts w:cs="EB Garamond"/>
                <w:kern w:val="16"/>
                <w:sz w:val="18"/>
                <w14:ligatures w14:val="standardContextual"/>
              </w:rPr>
              <w:t>120 dias</w:t>
            </w:r>
          </w:p>
        </w:tc>
        <w:tc>
          <w:tcPr>
            <w:tcW w:w="1587" w:type="dxa"/>
            <w:tcBorders>
              <w:top w:val="single" w:sz="4" w:space="0" w:color="D2C9B8"/>
              <w:left w:val="single" w:sz="4" w:space="0" w:color="D2C9B8"/>
              <w:bottom w:val="single" w:sz="4" w:space="0" w:color="D2C9B8"/>
              <w:right w:val="single" w:sz="4" w:space="0" w:color="D2C9B8"/>
            </w:tcBorders>
          </w:tcPr>
          <w:p w14:paraId="18399290" w14:textId="77777777" w:rsidR="005A5FCC" w:rsidRDefault="00A21C81">
            <w:pPr>
              <w:spacing w:before="20" w:after="20" w:line="240" w:lineRule="auto"/>
              <w:jc w:val="left"/>
            </w:pPr>
            <w:r>
              <w:rPr>
                <w:rFonts w:cs="EB Garamond"/>
                <w:kern w:val="16"/>
                <w:sz w:val="18"/>
                <w14:ligatures w14:val="standardContextual"/>
              </w:rPr>
              <w:t>Certidão natimorto</w:t>
            </w:r>
          </w:p>
        </w:tc>
        <w:tc>
          <w:tcPr>
            <w:tcW w:w="1587" w:type="dxa"/>
            <w:tcBorders>
              <w:top w:val="single" w:sz="4" w:space="0" w:color="D2C9B8"/>
              <w:left w:val="single" w:sz="4" w:space="0" w:color="D2C9B8"/>
              <w:bottom w:val="single" w:sz="4" w:space="0" w:color="D2C9B8"/>
              <w:right w:val="single" w:sz="4" w:space="0" w:color="D2C9B8"/>
            </w:tcBorders>
          </w:tcPr>
          <w:p w14:paraId="73B866EA" w14:textId="77777777" w:rsidR="005A5FCC" w:rsidRDefault="00A21C81">
            <w:pPr>
              <w:spacing w:before="20" w:after="20" w:line="240" w:lineRule="auto"/>
              <w:jc w:val="left"/>
            </w:pPr>
            <w:r>
              <w:rPr>
                <w:rFonts w:cs="EB Garamond"/>
                <w:kern w:val="16"/>
                <w:sz w:val="18"/>
                <w14:ligatures w14:val="standardContextual"/>
              </w:rPr>
              <w:t>Data do parto</w:t>
            </w:r>
          </w:p>
        </w:tc>
      </w:tr>
      <w:tr w:rsidR="005A5FCC" w14:paraId="4614D087"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37358BA5" w14:textId="77777777" w:rsidR="005A5FCC" w:rsidRDefault="00A21C81">
            <w:pPr>
              <w:spacing w:before="20" w:after="20" w:line="240" w:lineRule="auto"/>
              <w:jc w:val="left"/>
            </w:pPr>
            <w:r>
              <w:rPr>
                <w:rFonts w:cs="EB Garamond"/>
                <w:kern w:val="16"/>
                <w:sz w:val="18"/>
                <w14:ligatures w14:val="standardContextual"/>
              </w:rPr>
              <w:t>Adoção</w:t>
            </w:r>
          </w:p>
        </w:tc>
        <w:tc>
          <w:tcPr>
            <w:tcW w:w="1587" w:type="dxa"/>
            <w:tcBorders>
              <w:top w:val="single" w:sz="4" w:space="0" w:color="D2C9B8"/>
              <w:left w:val="single" w:sz="4" w:space="0" w:color="D2C9B8"/>
              <w:bottom w:val="single" w:sz="4" w:space="0" w:color="D2C9B8"/>
              <w:right w:val="single" w:sz="4" w:space="0" w:color="D2C9B8"/>
            </w:tcBorders>
          </w:tcPr>
          <w:p w14:paraId="1C3AFDBA" w14:textId="77777777" w:rsidR="005A5FCC" w:rsidRDefault="00A21C81">
            <w:pPr>
              <w:spacing w:before="20" w:after="20" w:line="240" w:lineRule="auto"/>
              <w:jc w:val="left"/>
            </w:pPr>
            <w:r>
              <w:rPr>
                <w:rFonts w:cs="EB Garamond"/>
                <w:kern w:val="16"/>
                <w:sz w:val="18"/>
                <w14:ligatures w14:val="standardContextual"/>
              </w:rPr>
              <w:t>120 dias</w:t>
            </w:r>
          </w:p>
        </w:tc>
        <w:tc>
          <w:tcPr>
            <w:tcW w:w="1587" w:type="dxa"/>
            <w:tcBorders>
              <w:top w:val="single" w:sz="4" w:space="0" w:color="D2C9B8"/>
              <w:left w:val="single" w:sz="4" w:space="0" w:color="D2C9B8"/>
              <w:bottom w:val="single" w:sz="4" w:space="0" w:color="D2C9B8"/>
              <w:right w:val="single" w:sz="4" w:space="0" w:color="D2C9B8"/>
            </w:tcBorders>
          </w:tcPr>
          <w:p w14:paraId="1E2498AC" w14:textId="77777777" w:rsidR="005A5FCC" w:rsidRDefault="00A21C81">
            <w:pPr>
              <w:spacing w:before="20" w:after="20" w:line="240" w:lineRule="auto"/>
              <w:jc w:val="left"/>
            </w:pPr>
            <w:r>
              <w:rPr>
                <w:rFonts w:cs="EB Garamond"/>
                <w:kern w:val="16"/>
                <w:sz w:val="18"/>
                <w14:ligatures w14:val="standardContextual"/>
              </w:rPr>
              <w:t>Sentença judicial</w:t>
            </w:r>
          </w:p>
        </w:tc>
        <w:tc>
          <w:tcPr>
            <w:tcW w:w="1587" w:type="dxa"/>
            <w:tcBorders>
              <w:top w:val="single" w:sz="4" w:space="0" w:color="D2C9B8"/>
              <w:left w:val="single" w:sz="4" w:space="0" w:color="D2C9B8"/>
              <w:bottom w:val="single" w:sz="4" w:space="0" w:color="D2C9B8"/>
              <w:right w:val="single" w:sz="4" w:space="0" w:color="D2C9B8"/>
            </w:tcBorders>
          </w:tcPr>
          <w:p w14:paraId="7D01B8A0" w14:textId="77777777" w:rsidR="005A5FCC" w:rsidRDefault="00A21C81">
            <w:pPr>
              <w:spacing w:before="20" w:after="20" w:line="240" w:lineRule="auto"/>
              <w:jc w:val="left"/>
            </w:pPr>
            <w:r>
              <w:rPr>
                <w:rFonts w:cs="EB Garamond"/>
                <w:kern w:val="16"/>
                <w:sz w:val="18"/>
                <w14:ligatures w14:val="standardContextual"/>
              </w:rPr>
              <w:t>Data da sentença</w:t>
            </w:r>
          </w:p>
        </w:tc>
      </w:tr>
      <w:tr w:rsidR="005A5FCC" w14:paraId="0F3DCE42"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2790B55E" w14:textId="77777777" w:rsidR="005A5FCC" w:rsidRDefault="00A21C81">
            <w:pPr>
              <w:spacing w:before="20" w:after="20" w:line="240" w:lineRule="auto"/>
              <w:jc w:val="left"/>
            </w:pPr>
            <w:r>
              <w:rPr>
                <w:rFonts w:cs="EB Garamond"/>
                <w:kern w:val="16"/>
                <w:sz w:val="18"/>
                <w14:ligatures w14:val="standardContextual"/>
              </w:rPr>
              <w:t>Guarda p/ adoção</w:t>
            </w:r>
          </w:p>
        </w:tc>
        <w:tc>
          <w:tcPr>
            <w:tcW w:w="1587" w:type="dxa"/>
            <w:tcBorders>
              <w:top w:val="single" w:sz="4" w:space="0" w:color="D2C9B8"/>
              <w:left w:val="single" w:sz="4" w:space="0" w:color="D2C9B8"/>
              <w:bottom w:val="single" w:sz="4" w:space="0" w:color="D2C9B8"/>
              <w:right w:val="single" w:sz="4" w:space="0" w:color="D2C9B8"/>
            </w:tcBorders>
          </w:tcPr>
          <w:p w14:paraId="758AA752" w14:textId="77777777" w:rsidR="005A5FCC" w:rsidRDefault="00A21C81">
            <w:pPr>
              <w:spacing w:before="20" w:after="20" w:line="240" w:lineRule="auto"/>
              <w:jc w:val="left"/>
            </w:pPr>
            <w:r>
              <w:rPr>
                <w:rFonts w:cs="EB Garamond"/>
                <w:kern w:val="16"/>
                <w:sz w:val="18"/>
                <w14:ligatures w14:val="standardContextual"/>
              </w:rPr>
              <w:t>120 dias</w:t>
            </w:r>
          </w:p>
        </w:tc>
        <w:tc>
          <w:tcPr>
            <w:tcW w:w="1587" w:type="dxa"/>
            <w:tcBorders>
              <w:top w:val="single" w:sz="4" w:space="0" w:color="D2C9B8"/>
              <w:left w:val="single" w:sz="4" w:space="0" w:color="D2C9B8"/>
              <w:bottom w:val="single" w:sz="4" w:space="0" w:color="D2C9B8"/>
              <w:right w:val="single" w:sz="4" w:space="0" w:color="D2C9B8"/>
            </w:tcBorders>
          </w:tcPr>
          <w:p w14:paraId="6341DC43" w14:textId="77777777" w:rsidR="005A5FCC" w:rsidRDefault="00A21C81">
            <w:pPr>
              <w:spacing w:before="20" w:after="20" w:line="240" w:lineRule="auto"/>
              <w:jc w:val="left"/>
            </w:pPr>
            <w:r>
              <w:rPr>
                <w:rFonts w:cs="EB Garamond"/>
                <w:kern w:val="16"/>
                <w:sz w:val="18"/>
                <w14:ligatures w14:val="standardContextual"/>
              </w:rPr>
              <w:t>Termo de guarda</w:t>
            </w:r>
          </w:p>
        </w:tc>
        <w:tc>
          <w:tcPr>
            <w:tcW w:w="1587" w:type="dxa"/>
            <w:tcBorders>
              <w:top w:val="single" w:sz="4" w:space="0" w:color="D2C9B8"/>
              <w:left w:val="single" w:sz="4" w:space="0" w:color="D2C9B8"/>
              <w:bottom w:val="single" w:sz="4" w:space="0" w:color="D2C9B8"/>
              <w:right w:val="single" w:sz="4" w:space="0" w:color="D2C9B8"/>
            </w:tcBorders>
          </w:tcPr>
          <w:p w14:paraId="70ABF0B2" w14:textId="77777777" w:rsidR="005A5FCC" w:rsidRDefault="00A21C81">
            <w:pPr>
              <w:spacing w:before="20" w:after="20" w:line="240" w:lineRule="auto"/>
              <w:jc w:val="left"/>
            </w:pPr>
            <w:r>
              <w:rPr>
                <w:rFonts w:cs="EB Garamond"/>
                <w:kern w:val="16"/>
                <w:sz w:val="18"/>
                <w14:ligatures w14:val="standardContextual"/>
              </w:rPr>
              <w:t>Data do termo</w:t>
            </w:r>
          </w:p>
        </w:tc>
      </w:tr>
      <w:tr w:rsidR="005A5FCC" w14:paraId="3ED37FC6"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511E7B8A" w14:textId="77777777" w:rsidR="005A5FCC" w:rsidRDefault="00A21C81">
            <w:pPr>
              <w:spacing w:before="20" w:after="20" w:line="240" w:lineRule="auto"/>
              <w:jc w:val="left"/>
            </w:pPr>
            <w:r>
              <w:rPr>
                <w:rFonts w:cs="EB Garamond"/>
                <w:kern w:val="16"/>
                <w:sz w:val="18"/>
                <w14:ligatures w14:val="standardContextual"/>
              </w:rPr>
              <w:lastRenderedPageBreak/>
              <w:t>Aborto não criminoso</w:t>
            </w:r>
          </w:p>
        </w:tc>
        <w:tc>
          <w:tcPr>
            <w:tcW w:w="1587" w:type="dxa"/>
            <w:tcBorders>
              <w:top w:val="single" w:sz="4" w:space="0" w:color="D2C9B8"/>
              <w:left w:val="single" w:sz="4" w:space="0" w:color="D2C9B8"/>
              <w:bottom w:val="single" w:sz="4" w:space="0" w:color="D2C9B8"/>
              <w:right w:val="single" w:sz="4" w:space="0" w:color="D2C9B8"/>
            </w:tcBorders>
          </w:tcPr>
          <w:p w14:paraId="19763480" w14:textId="77777777" w:rsidR="005A5FCC" w:rsidRDefault="00A21C81">
            <w:pPr>
              <w:spacing w:before="20" w:after="20" w:line="240" w:lineRule="auto"/>
              <w:jc w:val="left"/>
            </w:pPr>
            <w:r>
              <w:rPr>
                <w:rFonts w:cs="EB Garamond"/>
                <w:kern w:val="16"/>
                <w:sz w:val="18"/>
                <w14:ligatures w14:val="standardContextual"/>
              </w:rPr>
              <w:t>14 dias</w:t>
            </w:r>
          </w:p>
        </w:tc>
        <w:tc>
          <w:tcPr>
            <w:tcW w:w="1587" w:type="dxa"/>
            <w:tcBorders>
              <w:top w:val="single" w:sz="4" w:space="0" w:color="D2C9B8"/>
              <w:left w:val="single" w:sz="4" w:space="0" w:color="D2C9B8"/>
              <w:bottom w:val="single" w:sz="4" w:space="0" w:color="D2C9B8"/>
              <w:right w:val="single" w:sz="4" w:space="0" w:color="D2C9B8"/>
            </w:tcBorders>
          </w:tcPr>
          <w:p w14:paraId="66C8E465" w14:textId="77777777" w:rsidR="005A5FCC" w:rsidRDefault="00A21C81">
            <w:pPr>
              <w:spacing w:before="20" w:after="20" w:line="240" w:lineRule="auto"/>
              <w:jc w:val="left"/>
            </w:pPr>
            <w:r>
              <w:rPr>
                <w:rFonts w:cs="EB Garamond"/>
                <w:kern w:val="16"/>
                <w:sz w:val="18"/>
                <w14:ligatures w14:val="standardContextual"/>
              </w:rPr>
              <w:t>Atestado médico</w:t>
            </w:r>
          </w:p>
        </w:tc>
        <w:tc>
          <w:tcPr>
            <w:tcW w:w="1587" w:type="dxa"/>
            <w:tcBorders>
              <w:top w:val="single" w:sz="4" w:space="0" w:color="D2C9B8"/>
              <w:left w:val="single" w:sz="4" w:space="0" w:color="D2C9B8"/>
              <w:bottom w:val="single" w:sz="4" w:space="0" w:color="D2C9B8"/>
              <w:right w:val="single" w:sz="4" w:space="0" w:color="D2C9B8"/>
            </w:tcBorders>
          </w:tcPr>
          <w:p w14:paraId="43EEE4FC" w14:textId="77777777" w:rsidR="005A5FCC" w:rsidRDefault="00A21C81">
            <w:pPr>
              <w:spacing w:before="20" w:after="20" w:line="240" w:lineRule="auto"/>
              <w:jc w:val="left"/>
            </w:pPr>
            <w:r>
              <w:rPr>
                <w:rFonts w:cs="EB Garamond"/>
                <w:kern w:val="16"/>
                <w:sz w:val="18"/>
                <w14:ligatures w14:val="standardContextual"/>
              </w:rPr>
              <w:t>Data do aborto</w:t>
            </w:r>
          </w:p>
        </w:tc>
      </w:tr>
    </w:tbl>
    <w:p w14:paraId="52D99BCE" w14:textId="77777777" w:rsidR="005A5FCC" w:rsidRDefault="005A5FCC">
      <w:pPr>
        <w:spacing w:after="80" w:line="240" w:lineRule="auto"/>
      </w:pPr>
    </w:p>
    <w:p w14:paraId="013B159E"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F</w:t>
      </w:r>
    </w:p>
    <w:p w14:paraId="52B8F177" w14:textId="77777777" w:rsidR="005A5FCC" w:rsidRDefault="00A21C81">
      <w:r>
        <w:rPr>
          <w:rFonts w:cs="EB Garamond"/>
          <w:b/>
          <w:kern w:val="16"/>
          <w14:ligatures w14:val="standardContextual"/>
        </w:rPr>
        <w:t>luxograma decisório: "A segurada tem direito ao SM?"</w:t>
      </w:r>
    </w:p>
    <w:p w14:paraId="1C143C5F" w14:textId="77777777" w:rsidR="005A5FCC" w:rsidRDefault="00A21C81">
      <w:pPr>
        <w:spacing w:after="40" w:line="252" w:lineRule="auto"/>
        <w:ind w:left="340" w:hanging="198"/>
      </w:pPr>
      <w:r>
        <w:rPr>
          <w:rFonts w:cs="EB Garamond"/>
          <w:color w:val="3A3128"/>
          <w:kern w:val="16"/>
          <w:sz w:val="20"/>
          <w14:ligatures w14:val="standardContextual"/>
        </w:rPr>
        <w:t xml:space="preserve">1. </w:t>
      </w:r>
      <w:r>
        <w:rPr>
          <w:rFonts w:cs="EB Garamond"/>
          <w:kern w:val="16"/>
          <w:sz w:val="20"/>
          <w14:ligatures w14:val="standardContextual"/>
        </w:rPr>
        <w:t>A requerente é segurada do RGPS? (empregada, CI, facultativa, especial, MEI?)</w:t>
      </w:r>
    </w:p>
    <w:p w14:paraId="4F5CDB28" w14:textId="77777777" w:rsidR="005A5FCC" w:rsidRDefault="005A5FCC">
      <w:pPr>
        <w:spacing w:after="60" w:line="240" w:lineRule="auto"/>
      </w:pPr>
    </w:p>
    <w:p w14:paraId="385074C9"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NÃO → Sem direito ao SM. Verificar BPC se PcD (Cap. 18).</w:t>
      </w:r>
    </w:p>
    <w:p w14:paraId="019D020A"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SIM → Passo 2.</w:t>
      </w:r>
    </w:p>
    <w:p w14:paraId="7F63E3E4" w14:textId="77777777" w:rsidR="005A5FCC" w:rsidRDefault="005A5FCC">
      <w:pPr>
        <w:spacing w:after="60" w:line="240" w:lineRule="auto"/>
      </w:pPr>
    </w:p>
    <w:p w14:paraId="362A8CC1" w14:textId="74E35207" w:rsidR="005A5FCC" w:rsidRDefault="00EB3A8E">
      <w:pPr>
        <w:spacing w:after="40" w:line="252" w:lineRule="auto"/>
        <w:ind w:left="340" w:hanging="198"/>
      </w:pPr>
      <w:r>
        <w:rPr>
          <w:rFonts w:cs="EB Garamond"/>
          <w:color w:val="3A3128"/>
          <w:kern w:val="16"/>
          <w:sz w:val="20"/>
          <w14:ligatures w14:val="standardContextual"/>
        </w:rPr>
        <w:t>2</w:t>
      </w:r>
      <w:r w:rsidR="00A21C81">
        <w:rPr>
          <w:rFonts w:cs="EB Garamond"/>
          <w:color w:val="3A3128"/>
          <w:kern w:val="16"/>
          <w:sz w:val="20"/>
          <w14:ligatures w14:val="standardContextual"/>
        </w:rPr>
        <w:t xml:space="preserve">. </w:t>
      </w:r>
      <w:r w:rsidR="00A21C81">
        <w:rPr>
          <w:rFonts w:cs="EB Garamond"/>
          <w:kern w:val="16"/>
          <w:sz w:val="20"/>
          <w14:ligatures w14:val="standardContextual"/>
        </w:rPr>
        <w:t>Mantém qualidade de segurada na data do fato gerador?</w:t>
      </w:r>
    </w:p>
    <w:p w14:paraId="19668EEC" w14:textId="77777777" w:rsidR="005A5FCC" w:rsidRDefault="005A5FCC">
      <w:pPr>
        <w:spacing w:after="60" w:line="240" w:lineRule="auto"/>
      </w:pPr>
    </w:p>
    <w:p w14:paraId="0E85C02A"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NÃO → Verificar período de graça (art. 15, Lei 8.213 — Cap. 3).</w:t>
      </w:r>
    </w:p>
    <w:p w14:paraId="3C29C939"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SIM → Passo 3.</w:t>
      </w:r>
    </w:p>
    <w:p w14:paraId="2A1971DD" w14:textId="77777777" w:rsidR="005A5FCC" w:rsidRDefault="005A5FCC">
      <w:pPr>
        <w:spacing w:after="60" w:line="240" w:lineRule="auto"/>
      </w:pPr>
    </w:p>
    <w:p w14:paraId="2D32032D" w14:textId="4C33D92B" w:rsidR="005A5FCC" w:rsidRDefault="00EB3A8E">
      <w:pPr>
        <w:spacing w:after="40" w:line="252" w:lineRule="auto"/>
        <w:ind w:left="340" w:hanging="198"/>
      </w:pPr>
      <w:r>
        <w:rPr>
          <w:rFonts w:cs="EB Garamond"/>
          <w:color w:val="3A3128"/>
          <w:kern w:val="16"/>
          <w:sz w:val="20"/>
          <w14:ligatures w14:val="standardContextual"/>
        </w:rPr>
        <w:t>3</w:t>
      </w:r>
      <w:r w:rsidR="00A21C81">
        <w:rPr>
          <w:rFonts w:cs="EB Garamond"/>
          <w:color w:val="3A3128"/>
          <w:kern w:val="16"/>
          <w:sz w:val="20"/>
          <w14:ligatures w14:val="standardContextual"/>
        </w:rPr>
        <w:t xml:space="preserve">. </w:t>
      </w:r>
      <w:r w:rsidR="00A21C81">
        <w:rPr>
          <w:rFonts w:cs="EB Garamond"/>
          <w:kern w:val="16"/>
          <w:sz w:val="20"/>
          <w14:ligatures w14:val="standardContextual"/>
        </w:rPr>
        <w:t>Ocorreu fato gerador? (parto, adoção, guarda, aborto, natimorto?)</w:t>
      </w:r>
    </w:p>
    <w:p w14:paraId="72B0B1A8" w14:textId="77777777" w:rsidR="005A5FCC" w:rsidRDefault="005A5FCC">
      <w:pPr>
        <w:spacing w:after="60" w:line="240" w:lineRule="auto"/>
      </w:pPr>
    </w:p>
    <w:p w14:paraId="7F9C71D7"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NÃO → Sem direito (ainda). Orientar manutenção da qualidade de segurada.</w:t>
      </w:r>
    </w:p>
    <w:p w14:paraId="2FC83008"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SIM → Passo 4.</w:t>
      </w:r>
    </w:p>
    <w:p w14:paraId="2DE75E2D" w14:textId="77777777" w:rsidR="005A5FCC" w:rsidRDefault="005A5FCC">
      <w:pPr>
        <w:spacing w:after="60" w:line="240" w:lineRule="auto"/>
      </w:pPr>
    </w:p>
    <w:p w14:paraId="2014B1D3" w14:textId="4F025980" w:rsidR="005A5FCC" w:rsidRDefault="00EB3A8E">
      <w:pPr>
        <w:spacing w:after="40" w:line="252" w:lineRule="auto"/>
        <w:ind w:left="340" w:hanging="198"/>
      </w:pPr>
      <w:r>
        <w:rPr>
          <w:rFonts w:cs="EB Garamond"/>
          <w:color w:val="3A3128"/>
          <w:kern w:val="16"/>
          <w:sz w:val="20"/>
          <w14:ligatures w14:val="standardContextual"/>
        </w:rPr>
        <w:t>4</w:t>
      </w:r>
      <w:r w:rsidR="00A21C81">
        <w:rPr>
          <w:rFonts w:cs="EB Garamond"/>
          <w:color w:val="3A3128"/>
          <w:kern w:val="16"/>
          <w:sz w:val="20"/>
          <w14:ligatures w14:val="standardContextual"/>
        </w:rPr>
        <w:t xml:space="preserve">. </w:t>
      </w:r>
      <w:r w:rsidR="00A21C81">
        <w:rPr>
          <w:rFonts w:cs="EB Garamond"/>
          <w:kern w:val="16"/>
          <w:sz w:val="20"/>
          <w14:ligatures w14:val="standardContextual"/>
        </w:rPr>
        <w:t>Há prova do fato gerador e da qualidade de segurada?</w:t>
      </w:r>
    </w:p>
    <w:p w14:paraId="54F6BE72" w14:textId="77777777" w:rsidR="005A5FCC" w:rsidRDefault="005A5FCC">
      <w:pPr>
        <w:spacing w:after="60" w:line="240" w:lineRule="auto"/>
      </w:pPr>
    </w:p>
    <w:p w14:paraId="18F5109B"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NÃO → Complementar provas. Se segurada especial: início de prova material + testemunhal.</w:t>
      </w:r>
    </w:p>
    <w:p w14:paraId="0C8AC116"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SIM → CONCEDER o SM.</w:t>
      </w:r>
    </w:p>
    <w:p w14:paraId="421E1400" w14:textId="77777777" w:rsidR="005A5FCC" w:rsidRDefault="005A5FCC">
      <w:pPr>
        <w:spacing w:after="60" w:line="240" w:lineRule="auto"/>
      </w:pPr>
    </w:p>
    <w:p w14:paraId="16F227E2" w14:textId="60E176A4" w:rsidR="005A5FCC" w:rsidRDefault="00EB3A8E">
      <w:pPr>
        <w:spacing w:after="40" w:line="252" w:lineRule="auto"/>
        <w:ind w:left="340" w:hanging="198"/>
      </w:pPr>
      <w:r>
        <w:rPr>
          <w:rFonts w:cs="EB Garamond"/>
          <w:color w:val="3A3128"/>
          <w:kern w:val="16"/>
          <w:sz w:val="20"/>
          <w14:ligatures w14:val="standardContextual"/>
        </w:rPr>
        <w:t>5</w:t>
      </w:r>
      <w:r w:rsidR="00A21C81">
        <w:rPr>
          <w:rFonts w:cs="EB Garamond"/>
          <w:color w:val="3A3128"/>
          <w:kern w:val="16"/>
          <w:sz w:val="20"/>
          <w14:ligatures w14:val="standardContextual"/>
        </w:rPr>
        <w:t xml:space="preserve">. </w:t>
      </w:r>
      <w:r w:rsidR="00A21C81">
        <w:rPr>
          <w:rFonts w:cs="EB Garamond"/>
          <w:kern w:val="16"/>
          <w:sz w:val="20"/>
          <w14:ligatures w14:val="standardContextual"/>
        </w:rPr>
        <w:t>Qual o valor? Ver tabela por categoria acima.</w:t>
      </w:r>
    </w:p>
    <w:p w14:paraId="62F0C172" w14:textId="166B8982" w:rsidR="005A5FCC" w:rsidRDefault="00EB3A8E">
      <w:pPr>
        <w:spacing w:after="40" w:line="252" w:lineRule="auto"/>
        <w:ind w:left="340" w:hanging="198"/>
      </w:pPr>
      <w:r>
        <w:rPr>
          <w:rFonts w:cs="EB Garamond"/>
          <w:color w:val="3A3128"/>
          <w:kern w:val="16"/>
          <w:sz w:val="20"/>
          <w14:ligatures w14:val="standardContextual"/>
        </w:rPr>
        <w:t>6</w:t>
      </w:r>
      <w:r w:rsidR="00A21C81">
        <w:rPr>
          <w:rFonts w:cs="EB Garamond"/>
          <w:color w:val="3A3128"/>
          <w:kern w:val="16"/>
          <w:sz w:val="20"/>
          <w14:ligatures w14:val="standardContextual"/>
        </w:rPr>
        <w:t xml:space="preserve">. </w:t>
      </w:r>
      <w:r w:rsidR="00A21C81">
        <w:rPr>
          <w:rFonts w:cs="EB Garamond"/>
          <w:kern w:val="16"/>
          <w:sz w:val="20"/>
          <w14:ligatures w14:val="standardContextual"/>
        </w:rPr>
        <w:t>Quem paga? Empregador (empregada CLT) ou INSS (todas as demais).</w:t>
      </w:r>
    </w:p>
    <w:p w14:paraId="493A2308" w14:textId="77777777" w:rsidR="005A5FCC" w:rsidRDefault="005A5FCC">
      <w:pPr>
        <w:spacing w:after="60" w:line="240" w:lineRule="auto"/>
      </w:pPr>
    </w:p>
    <w:p w14:paraId="565EC3F8"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C</w:t>
      </w:r>
    </w:p>
    <w:p w14:paraId="0C90E7AD" w14:textId="77777777" w:rsidR="005A5FCC" w:rsidRDefault="00A21C81">
      <w:r>
        <w:rPr>
          <w:rFonts w:cs="EB Garamond"/>
          <w:b/>
          <w:kern w:val="16"/>
          <w14:ligatures w14:val="standardContextual"/>
        </w:rPr>
        <w:t>hecklist do advogado — Ação de SM no JEF:</w:t>
      </w:r>
    </w:p>
    <w:p w14:paraId="2E147E83"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 ] Verificar qualidade de segurada na data do fato gerador (CNIS, CTPS, GPS)</w:t>
      </w:r>
    </w:p>
    <w:p w14:paraId="634636F0"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 ] Verificar período de graça se desempregada (art. 15, Lei 8.213)</w:t>
      </w:r>
    </w:p>
    <w:p w14:paraId="17B67CBE"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 ] Confirmar fato gerador e data (certidão de nascimento, sentença de adoção)</w:t>
      </w:r>
    </w:p>
    <w:p w14:paraId="4EDC398C"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 ] Calcular valor do benefício conforme categoria (art. 73)</w:t>
      </w:r>
    </w:p>
    <w:p w14:paraId="7198965C"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 ] Calcular valor da causa (4 × RMI + acessórios), verificar competência JEF</w:t>
      </w:r>
    </w:p>
    <w:p w14:paraId="05CD33D9"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 ] Requerer tutela antecipada se parto iminente ou recente</w:t>
      </w:r>
    </w:p>
    <w:p w14:paraId="2C4AB904"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 ] Para segurada especial: reunir início de prova material (DAP, notas, sindicato)</w:t>
      </w:r>
    </w:p>
    <w:p w14:paraId="49A8963C"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 ] Para desempregada: reunir prova do desemprego (CTPS, seguro-desemprego)</w:t>
      </w:r>
    </w:p>
    <w:p w14:paraId="63985615"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 ] Verificar se há ação trabalhista sobre o mesmo fato (litispendência)</w:t>
      </w:r>
    </w:p>
    <w:p w14:paraId="662B5F1C"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 ] Incluir pedido de correção monetária (SELIC — EC 113/2021) e honorários</w:t>
      </w:r>
    </w:p>
    <w:p w14:paraId="28EC9C33" w14:textId="77777777" w:rsidR="005A5FCC" w:rsidRDefault="005A5FCC">
      <w:pPr>
        <w:spacing w:after="60" w:line="240" w:lineRule="auto"/>
      </w:pPr>
    </w:p>
    <w:p w14:paraId="18312101"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Q</w:t>
      </w:r>
    </w:p>
    <w:p w14:paraId="2FCBD9FD" w14:textId="77777777" w:rsidR="005A5FCC" w:rsidRDefault="00A21C81">
      <w:r>
        <w:rPr>
          <w:rFonts w:cs="EB Garamond"/>
          <w:b/>
          <w:kern w:val="16"/>
          <w14:ligatures w14:val="standardContextual"/>
        </w:rPr>
        <w:t>uadro de jurisprudência consolidada:</w:t>
      </w:r>
    </w:p>
    <w:tbl>
      <w:tblPr>
        <w:tblW w:w="5000" w:type="pct"/>
        <w:jc w:val="center"/>
        <w:tblLook w:val="04A0" w:firstRow="1" w:lastRow="0" w:firstColumn="1" w:lastColumn="0" w:noHBand="0" w:noVBand="1"/>
      </w:tblPr>
      <w:tblGrid>
        <w:gridCol w:w="2114"/>
        <w:gridCol w:w="2112"/>
        <w:gridCol w:w="2114"/>
      </w:tblGrid>
      <w:tr w:rsidR="005A5FCC" w14:paraId="2DF28AE0" w14:textId="77777777">
        <w:trPr>
          <w:tblHeader/>
          <w:jc w:val="center"/>
        </w:trPr>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3A768259" w14:textId="77777777" w:rsidR="005A5FCC" w:rsidRDefault="00A21C81">
            <w:pPr>
              <w:spacing w:before="40" w:after="40" w:line="240" w:lineRule="auto"/>
              <w:jc w:val="center"/>
            </w:pPr>
            <w:r>
              <w:rPr>
                <w:rFonts w:cs="EB Garamond"/>
                <w:b/>
                <w:color w:val="2F2923"/>
                <w:kern w:val="16"/>
                <w:sz w:val="18"/>
                <w14:ligatures w14:val="standardContextual"/>
              </w:rPr>
              <w:t>Tema</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6F735616" w14:textId="77777777" w:rsidR="005A5FCC" w:rsidRDefault="00A21C81">
            <w:pPr>
              <w:spacing w:before="40" w:after="40" w:line="240" w:lineRule="auto"/>
              <w:jc w:val="center"/>
            </w:pPr>
            <w:r>
              <w:rPr>
                <w:rFonts w:cs="EB Garamond"/>
                <w:b/>
                <w:color w:val="2F2923"/>
                <w:kern w:val="16"/>
                <w:sz w:val="18"/>
                <w14:ligatures w14:val="standardContextual"/>
              </w:rPr>
              <w:t>Tribunal</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36BA8E51" w14:textId="77777777" w:rsidR="005A5FCC" w:rsidRDefault="00A21C81">
            <w:pPr>
              <w:spacing w:before="40" w:after="40" w:line="240" w:lineRule="auto"/>
              <w:jc w:val="center"/>
            </w:pPr>
            <w:r>
              <w:rPr>
                <w:rFonts w:cs="EB Garamond"/>
                <w:b/>
                <w:color w:val="2F2923"/>
                <w:kern w:val="16"/>
                <w:sz w:val="18"/>
                <w14:ligatures w14:val="standardContextual"/>
              </w:rPr>
              <w:t>Tese</w:t>
            </w:r>
          </w:p>
        </w:tc>
      </w:tr>
      <w:tr w:rsidR="005A5FCC" w14:paraId="40C0ABE3"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4CC677DC" w14:textId="77777777" w:rsidR="005A5FCC" w:rsidRDefault="00A21C81">
            <w:pPr>
              <w:spacing w:before="20" w:after="20" w:line="240" w:lineRule="auto"/>
              <w:jc w:val="left"/>
            </w:pPr>
            <w:r>
              <w:rPr>
                <w:rFonts w:cs="EB Garamond"/>
                <w:kern w:val="16"/>
                <w:sz w:val="18"/>
                <w14:ligatures w14:val="standardContextual"/>
              </w:rPr>
              <w:t>Tema 72 (RE 576.967)</w:t>
            </w:r>
          </w:p>
        </w:tc>
        <w:tc>
          <w:tcPr>
            <w:tcW w:w="2117" w:type="dxa"/>
            <w:tcBorders>
              <w:top w:val="single" w:sz="4" w:space="0" w:color="D2C9B8"/>
              <w:left w:val="single" w:sz="4" w:space="0" w:color="D2C9B8"/>
              <w:bottom w:val="single" w:sz="4" w:space="0" w:color="D2C9B8"/>
              <w:right w:val="single" w:sz="4" w:space="0" w:color="D2C9B8"/>
            </w:tcBorders>
          </w:tcPr>
          <w:p w14:paraId="74F10D82" w14:textId="77777777" w:rsidR="005A5FCC" w:rsidRDefault="00A21C81">
            <w:pPr>
              <w:spacing w:before="20" w:after="20" w:line="240" w:lineRule="auto"/>
              <w:jc w:val="left"/>
            </w:pPr>
            <w:r>
              <w:rPr>
                <w:rFonts w:cs="EB Garamond"/>
                <w:kern w:val="16"/>
                <w:sz w:val="18"/>
                <w14:ligatures w14:val="standardContextual"/>
              </w:rPr>
              <w:t>STF</w:t>
            </w:r>
          </w:p>
        </w:tc>
        <w:tc>
          <w:tcPr>
            <w:tcW w:w="2117" w:type="dxa"/>
            <w:tcBorders>
              <w:top w:val="single" w:sz="4" w:space="0" w:color="D2C9B8"/>
              <w:left w:val="single" w:sz="4" w:space="0" w:color="D2C9B8"/>
              <w:bottom w:val="single" w:sz="4" w:space="0" w:color="D2C9B8"/>
              <w:right w:val="single" w:sz="4" w:space="0" w:color="D2C9B8"/>
            </w:tcBorders>
          </w:tcPr>
          <w:p w14:paraId="5EA02538" w14:textId="77777777" w:rsidR="005A5FCC" w:rsidRDefault="00A21C81">
            <w:pPr>
              <w:spacing w:before="20" w:after="20" w:line="240" w:lineRule="auto"/>
              <w:jc w:val="left"/>
            </w:pPr>
            <w:r>
              <w:rPr>
                <w:rFonts w:cs="EB Garamond"/>
                <w:kern w:val="16"/>
                <w:sz w:val="18"/>
                <w14:ligatures w14:val="standardContextual"/>
              </w:rPr>
              <w:t>Inconstitucional contribuição patronal sobre SM</w:t>
            </w:r>
          </w:p>
        </w:tc>
      </w:tr>
      <w:tr w:rsidR="005A5FCC" w14:paraId="45DA38D5"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3A8EF570" w14:textId="77777777" w:rsidR="005A5FCC" w:rsidRDefault="00A21C81">
            <w:pPr>
              <w:spacing w:before="20" w:after="20" w:line="240" w:lineRule="auto"/>
              <w:jc w:val="left"/>
            </w:pPr>
            <w:r>
              <w:rPr>
                <w:rFonts w:cs="EB Garamond"/>
                <w:kern w:val="16"/>
                <w:sz w:val="18"/>
                <w14:ligatures w14:val="standardContextual"/>
              </w:rPr>
              <w:t>ADIs 2.110/2.111</w:t>
            </w:r>
          </w:p>
        </w:tc>
        <w:tc>
          <w:tcPr>
            <w:tcW w:w="2117" w:type="dxa"/>
            <w:tcBorders>
              <w:top w:val="single" w:sz="4" w:space="0" w:color="D2C9B8"/>
              <w:left w:val="single" w:sz="4" w:space="0" w:color="D2C9B8"/>
              <w:bottom w:val="single" w:sz="4" w:space="0" w:color="D2C9B8"/>
              <w:right w:val="single" w:sz="4" w:space="0" w:color="D2C9B8"/>
            </w:tcBorders>
          </w:tcPr>
          <w:p w14:paraId="196A9897" w14:textId="77777777" w:rsidR="005A5FCC" w:rsidRDefault="00A21C81">
            <w:pPr>
              <w:spacing w:before="20" w:after="20" w:line="240" w:lineRule="auto"/>
              <w:jc w:val="left"/>
            </w:pPr>
            <w:r>
              <w:rPr>
                <w:rFonts w:cs="EB Garamond"/>
                <w:kern w:val="16"/>
                <w:sz w:val="18"/>
                <w14:ligatures w14:val="standardContextual"/>
              </w:rPr>
              <w:t>STF</w:t>
            </w:r>
          </w:p>
        </w:tc>
        <w:tc>
          <w:tcPr>
            <w:tcW w:w="2117" w:type="dxa"/>
            <w:tcBorders>
              <w:top w:val="single" w:sz="4" w:space="0" w:color="D2C9B8"/>
              <w:left w:val="single" w:sz="4" w:space="0" w:color="D2C9B8"/>
              <w:bottom w:val="single" w:sz="4" w:space="0" w:color="D2C9B8"/>
              <w:right w:val="single" w:sz="4" w:space="0" w:color="D2C9B8"/>
            </w:tcBorders>
          </w:tcPr>
          <w:p w14:paraId="296C9699" w14:textId="77777777" w:rsidR="005A5FCC" w:rsidRDefault="00A21C81">
            <w:pPr>
              <w:spacing w:before="20" w:after="20" w:line="240" w:lineRule="auto"/>
              <w:jc w:val="left"/>
            </w:pPr>
            <w:r>
              <w:rPr>
                <w:rFonts w:cs="EB Garamond"/>
                <w:kern w:val="16"/>
                <w:sz w:val="18"/>
                <w14:ligatures w14:val="standardContextual"/>
              </w:rPr>
              <w:t>Inconstitucional carência de 10 contribuições para CI/fac./especial</w:t>
            </w:r>
          </w:p>
        </w:tc>
      </w:tr>
      <w:tr w:rsidR="005A5FCC" w14:paraId="236819E1"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5FC327A2" w14:textId="77777777" w:rsidR="005A5FCC" w:rsidRDefault="00A21C81">
            <w:pPr>
              <w:spacing w:before="20" w:after="20" w:line="240" w:lineRule="auto"/>
              <w:jc w:val="left"/>
            </w:pPr>
            <w:r>
              <w:rPr>
                <w:rFonts w:cs="EB Garamond"/>
                <w:kern w:val="16"/>
                <w:sz w:val="18"/>
                <w14:ligatures w14:val="standardContextual"/>
              </w:rPr>
              <w:t>Súmula 149 / Tema 297</w:t>
            </w:r>
          </w:p>
        </w:tc>
        <w:tc>
          <w:tcPr>
            <w:tcW w:w="2117" w:type="dxa"/>
            <w:tcBorders>
              <w:top w:val="single" w:sz="4" w:space="0" w:color="D2C9B8"/>
              <w:left w:val="single" w:sz="4" w:space="0" w:color="D2C9B8"/>
              <w:bottom w:val="single" w:sz="4" w:space="0" w:color="D2C9B8"/>
              <w:right w:val="single" w:sz="4" w:space="0" w:color="D2C9B8"/>
            </w:tcBorders>
          </w:tcPr>
          <w:p w14:paraId="5CD44D0A" w14:textId="77777777" w:rsidR="005A5FCC" w:rsidRDefault="00A21C81">
            <w:pPr>
              <w:spacing w:before="20" w:after="20" w:line="240" w:lineRule="auto"/>
              <w:jc w:val="left"/>
            </w:pPr>
            <w:r>
              <w:rPr>
                <w:rFonts w:cs="EB Garamond"/>
                <w:kern w:val="16"/>
                <w:sz w:val="18"/>
                <w14:ligatures w14:val="standardContextual"/>
              </w:rPr>
              <w:t>STJ</w:t>
            </w:r>
          </w:p>
        </w:tc>
        <w:tc>
          <w:tcPr>
            <w:tcW w:w="2117" w:type="dxa"/>
            <w:tcBorders>
              <w:top w:val="single" w:sz="4" w:space="0" w:color="D2C9B8"/>
              <w:left w:val="single" w:sz="4" w:space="0" w:color="D2C9B8"/>
              <w:bottom w:val="single" w:sz="4" w:space="0" w:color="D2C9B8"/>
              <w:right w:val="single" w:sz="4" w:space="0" w:color="D2C9B8"/>
            </w:tcBorders>
          </w:tcPr>
          <w:p w14:paraId="579C54A5" w14:textId="77777777" w:rsidR="005A5FCC" w:rsidRDefault="00A21C81">
            <w:pPr>
              <w:spacing w:before="20" w:after="20" w:line="240" w:lineRule="auto"/>
              <w:jc w:val="left"/>
            </w:pPr>
            <w:r>
              <w:rPr>
                <w:rFonts w:cs="EB Garamond"/>
                <w:kern w:val="16"/>
                <w:sz w:val="18"/>
                <w14:ligatures w14:val="standardContextual"/>
              </w:rPr>
              <w:t>Prova rural: vedada prova exclusivamente testemunhal</w:t>
            </w:r>
          </w:p>
        </w:tc>
      </w:tr>
      <w:tr w:rsidR="005A5FCC" w14:paraId="407B9F2F"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6BB5A1B4" w14:textId="77777777" w:rsidR="005A5FCC" w:rsidRDefault="00A21C81">
            <w:pPr>
              <w:spacing w:before="20" w:after="20" w:line="240" w:lineRule="auto"/>
              <w:jc w:val="left"/>
            </w:pPr>
            <w:r>
              <w:rPr>
                <w:rFonts w:cs="EB Garamond"/>
                <w:kern w:val="16"/>
                <w:sz w:val="18"/>
                <w14:ligatures w14:val="standardContextual"/>
              </w:rPr>
              <w:t>Temas 11 e 17</w:t>
            </w:r>
          </w:p>
        </w:tc>
        <w:tc>
          <w:tcPr>
            <w:tcW w:w="2117" w:type="dxa"/>
            <w:tcBorders>
              <w:top w:val="single" w:sz="4" w:space="0" w:color="D2C9B8"/>
              <w:left w:val="single" w:sz="4" w:space="0" w:color="D2C9B8"/>
              <w:bottom w:val="single" w:sz="4" w:space="0" w:color="D2C9B8"/>
              <w:right w:val="single" w:sz="4" w:space="0" w:color="D2C9B8"/>
            </w:tcBorders>
          </w:tcPr>
          <w:p w14:paraId="320975D8" w14:textId="77777777" w:rsidR="005A5FCC" w:rsidRDefault="00A21C81">
            <w:pPr>
              <w:spacing w:before="20" w:after="20" w:line="240" w:lineRule="auto"/>
              <w:jc w:val="left"/>
            </w:pPr>
            <w:r>
              <w:rPr>
                <w:rFonts w:cs="EB Garamond"/>
                <w:kern w:val="16"/>
                <w:sz w:val="18"/>
                <w14:ligatures w14:val="standardContextual"/>
              </w:rPr>
              <w:t>TNU</w:t>
            </w:r>
          </w:p>
        </w:tc>
        <w:tc>
          <w:tcPr>
            <w:tcW w:w="2117" w:type="dxa"/>
            <w:tcBorders>
              <w:top w:val="single" w:sz="4" w:space="0" w:color="D2C9B8"/>
              <w:left w:val="single" w:sz="4" w:space="0" w:color="D2C9B8"/>
              <w:bottom w:val="single" w:sz="4" w:space="0" w:color="D2C9B8"/>
              <w:right w:val="single" w:sz="4" w:space="0" w:color="D2C9B8"/>
            </w:tcBorders>
          </w:tcPr>
          <w:p w14:paraId="2FFAB843" w14:textId="77777777" w:rsidR="005A5FCC" w:rsidRDefault="00A21C81">
            <w:pPr>
              <w:spacing w:before="20" w:after="20" w:line="240" w:lineRule="auto"/>
              <w:jc w:val="left"/>
            </w:pPr>
            <w:r>
              <w:rPr>
                <w:rFonts w:cs="EB Garamond"/>
                <w:kern w:val="16"/>
                <w:sz w:val="18"/>
                <w14:ligatures w14:val="standardContextual"/>
              </w:rPr>
              <w:t>Flexibilização do início de prova material no SM da segurada especial</w:t>
            </w:r>
          </w:p>
        </w:tc>
      </w:tr>
      <w:tr w:rsidR="005A5FCC" w14:paraId="75A9DE73"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6196946E" w14:textId="77777777" w:rsidR="005A5FCC" w:rsidRDefault="00A21C81">
            <w:pPr>
              <w:spacing w:before="20" w:after="20" w:line="240" w:lineRule="auto"/>
              <w:jc w:val="left"/>
            </w:pPr>
            <w:r>
              <w:rPr>
                <w:rFonts w:cs="EB Garamond"/>
                <w:kern w:val="16"/>
                <w:sz w:val="18"/>
                <w14:ligatures w14:val="standardContextual"/>
              </w:rPr>
              <w:t>Tema 113</w:t>
            </w:r>
          </w:p>
        </w:tc>
        <w:tc>
          <w:tcPr>
            <w:tcW w:w="2117" w:type="dxa"/>
            <w:tcBorders>
              <w:top w:val="single" w:sz="4" w:space="0" w:color="D2C9B8"/>
              <w:left w:val="single" w:sz="4" w:space="0" w:color="D2C9B8"/>
              <w:bottom w:val="single" w:sz="4" w:space="0" w:color="D2C9B8"/>
              <w:right w:val="single" w:sz="4" w:space="0" w:color="D2C9B8"/>
            </w:tcBorders>
          </w:tcPr>
          <w:p w14:paraId="68C92F4D" w14:textId="77777777" w:rsidR="005A5FCC" w:rsidRDefault="00A21C81">
            <w:pPr>
              <w:spacing w:before="20" w:after="20" w:line="240" w:lineRule="auto"/>
              <w:jc w:val="left"/>
            </w:pPr>
            <w:r>
              <w:rPr>
                <w:rFonts w:cs="EB Garamond"/>
                <w:kern w:val="16"/>
                <w:sz w:val="18"/>
                <w14:ligatures w14:val="standardContextual"/>
              </w:rPr>
              <w:t>TNU</w:t>
            </w:r>
          </w:p>
        </w:tc>
        <w:tc>
          <w:tcPr>
            <w:tcW w:w="2117" w:type="dxa"/>
            <w:tcBorders>
              <w:top w:val="single" w:sz="4" w:space="0" w:color="D2C9B8"/>
              <w:left w:val="single" w:sz="4" w:space="0" w:color="D2C9B8"/>
              <w:bottom w:val="single" w:sz="4" w:space="0" w:color="D2C9B8"/>
              <w:right w:val="single" w:sz="4" w:space="0" w:color="D2C9B8"/>
            </w:tcBorders>
          </w:tcPr>
          <w:p w14:paraId="09289A08" w14:textId="77777777" w:rsidR="005A5FCC" w:rsidRDefault="00A21C81">
            <w:pPr>
              <w:spacing w:before="20" w:after="20" w:line="240" w:lineRule="auto"/>
              <w:jc w:val="left"/>
            </w:pPr>
            <w:r>
              <w:rPr>
                <w:rFonts w:cs="EB Garamond"/>
                <w:kern w:val="16"/>
                <w:sz w:val="18"/>
                <w14:ligatures w14:val="standardContextual"/>
              </w:rPr>
              <w:t>SM devido à desempregada; pago diretamente pela Previdência (cálculo: Tema 202)</w:t>
            </w:r>
          </w:p>
        </w:tc>
      </w:tr>
      <w:tr w:rsidR="005A5FCC" w14:paraId="7A77F37B"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10C7CECD" w14:textId="77777777" w:rsidR="005A5FCC" w:rsidRDefault="00A21C81">
            <w:pPr>
              <w:spacing w:before="20" w:after="20" w:line="240" w:lineRule="auto"/>
              <w:jc w:val="left"/>
            </w:pPr>
            <w:r>
              <w:rPr>
                <w:rFonts w:cs="EB Garamond"/>
                <w:kern w:val="16"/>
                <w:sz w:val="18"/>
                <w14:ligatures w14:val="standardContextual"/>
              </w:rPr>
              <w:t>Tema 350</w:t>
            </w:r>
          </w:p>
        </w:tc>
        <w:tc>
          <w:tcPr>
            <w:tcW w:w="2117" w:type="dxa"/>
            <w:tcBorders>
              <w:top w:val="single" w:sz="4" w:space="0" w:color="D2C9B8"/>
              <w:left w:val="single" w:sz="4" w:space="0" w:color="D2C9B8"/>
              <w:bottom w:val="single" w:sz="4" w:space="0" w:color="D2C9B8"/>
              <w:right w:val="single" w:sz="4" w:space="0" w:color="D2C9B8"/>
            </w:tcBorders>
          </w:tcPr>
          <w:p w14:paraId="5C554D09" w14:textId="77777777" w:rsidR="005A5FCC" w:rsidRDefault="00A21C81">
            <w:pPr>
              <w:spacing w:before="20" w:after="20" w:line="240" w:lineRule="auto"/>
              <w:jc w:val="left"/>
            </w:pPr>
            <w:r>
              <w:rPr>
                <w:rFonts w:cs="EB Garamond"/>
                <w:kern w:val="16"/>
                <w:sz w:val="18"/>
                <w14:ligatures w14:val="standardContextual"/>
              </w:rPr>
              <w:t>STF</w:t>
            </w:r>
          </w:p>
        </w:tc>
        <w:tc>
          <w:tcPr>
            <w:tcW w:w="2117" w:type="dxa"/>
            <w:tcBorders>
              <w:top w:val="single" w:sz="4" w:space="0" w:color="D2C9B8"/>
              <w:left w:val="single" w:sz="4" w:space="0" w:color="D2C9B8"/>
              <w:bottom w:val="single" w:sz="4" w:space="0" w:color="D2C9B8"/>
              <w:right w:val="single" w:sz="4" w:space="0" w:color="D2C9B8"/>
            </w:tcBorders>
          </w:tcPr>
          <w:p w14:paraId="4F7945CF" w14:textId="77777777" w:rsidR="005A5FCC" w:rsidRDefault="00A21C81">
            <w:pPr>
              <w:spacing w:before="20" w:after="20" w:line="240" w:lineRule="auto"/>
              <w:jc w:val="left"/>
            </w:pPr>
            <w:r>
              <w:rPr>
                <w:rFonts w:cs="EB Garamond"/>
                <w:kern w:val="16"/>
                <w:sz w:val="18"/>
                <w14:ligatures w14:val="standardContextual"/>
              </w:rPr>
              <w:t>Prévio requerimento administrativo obrigatório</w:t>
            </w:r>
          </w:p>
        </w:tc>
      </w:tr>
      <w:tr w:rsidR="005A5FCC" w14:paraId="04F9FFD7"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66C4BB5B" w14:textId="77777777" w:rsidR="005A5FCC" w:rsidRDefault="00A21C81">
            <w:pPr>
              <w:spacing w:before="20" w:after="20" w:line="240" w:lineRule="auto"/>
              <w:jc w:val="left"/>
            </w:pPr>
            <w:r>
              <w:rPr>
                <w:rFonts w:cs="EB Garamond"/>
                <w:kern w:val="16"/>
                <w:sz w:val="18"/>
                <w14:ligatures w14:val="standardContextual"/>
              </w:rPr>
              <w:lastRenderedPageBreak/>
              <w:t>Súmula 244</w:t>
            </w:r>
          </w:p>
        </w:tc>
        <w:tc>
          <w:tcPr>
            <w:tcW w:w="2117" w:type="dxa"/>
            <w:tcBorders>
              <w:top w:val="single" w:sz="4" w:space="0" w:color="D2C9B8"/>
              <w:left w:val="single" w:sz="4" w:space="0" w:color="D2C9B8"/>
              <w:bottom w:val="single" w:sz="4" w:space="0" w:color="D2C9B8"/>
              <w:right w:val="single" w:sz="4" w:space="0" w:color="D2C9B8"/>
            </w:tcBorders>
          </w:tcPr>
          <w:p w14:paraId="24546DB3" w14:textId="77777777" w:rsidR="005A5FCC" w:rsidRDefault="00A21C81">
            <w:pPr>
              <w:spacing w:before="20" w:after="20" w:line="240" w:lineRule="auto"/>
              <w:jc w:val="left"/>
            </w:pPr>
            <w:r>
              <w:rPr>
                <w:rFonts w:cs="EB Garamond"/>
                <w:kern w:val="16"/>
                <w:sz w:val="18"/>
                <w14:ligatures w14:val="standardContextual"/>
              </w:rPr>
              <w:t>TST</w:t>
            </w:r>
          </w:p>
        </w:tc>
        <w:tc>
          <w:tcPr>
            <w:tcW w:w="2117" w:type="dxa"/>
            <w:tcBorders>
              <w:top w:val="single" w:sz="4" w:space="0" w:color="D2C9B8"/>
              <w:left w:val="single" w:sz="4" w:space="0" w:color="D2C9B8"/>
              <w:bottom w:val="single" w:sz="4" w:space="0" w:color="D2C9B8"/>
              <w:right w:val="single" w:sz="4" w:space="0" w:color="D2C9B8"/>
            </w:tcBorders>
          </w:tcPr>
          <w:p w14:paraId="5601251F" w14:textId="77777777" w:rsidR="005A5FCC" w:rsidRDefault="00A21C81">
            <w:pPr>
              <w:spacing w:before="20" w:after="20" w:line="240" w:lineRule="auto"/>
              <w:jc w:val="left"/>
            </w:pPr>
            <w:r>
              <w:rPr>
                <w:rFonts w:cs="EB Garamond"/>
                <w:kern w:val="16"/>
                <w:sz w:val="18"/>
                <w14:ligatures w14:val="standardContextual"/>
              </w:rPr>
              <w:t>Estabilidade gestante, natureza objetiva</w:t>
            </w:r>
          </w:p>
        </w:tc>
      </w:tr>
      <w:tr w:rsidR="005A5FCC" w14:paraId="302C756A"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05D88BF6" w14:textId="77777777" w:rsidR="005A5FCC" w:rsidRDefault="00A21C81">
            <w:pPr>
              <w:spacing w:before="20" w:after="20" w:line="240" w:lineRule="auto"/>
              <w:jc w:val="left"/>
            </w:pPr>
            <w:r>
              <w:rPr>
                <w:rFonts w:cs="EB Garamond"/>
                <w:kern w:val="16"/>
                <w:sz w:val="18"/>
                <w14:ligatures w14:val="standardContextual"/>
              </w:rPr>
              <w:t>Súmula 45</w:t>
            </w:r>
          </w:p>
        </w:tc>
        <w:tc>
          <w:tcPr>
            <w:tcW w:w="2117" w:type="dxa"/>
            <w:tcBorders>
              <w:top w:val="single" w:sz="4" w:space="0" w:color="D2C9B8"/>
              <w:left w:val="single" w:sz="4" w:space="0" w:color="D2C9B8"/>
              <w:bottom w:val="single" w:sz="4" w:space="0" w:color="D2C9B8"/>
              <w:right w:val="single" w:sz="4" w:space="0" w:color="D2C9B8"/>
            </w:tcBorders>
          </w:tcPr>
          <w:p w14:paraId="5F7E2053" w14:textId="77777777" w:rsidR="005A5FCC" w:rsidRDefault="00A21C81">
            <w:pPr>
              <w:spacing w:before="20" w:after="20" w:line="240" w:lineRule="auto"/>
              <w:jc w:val="left"/>
            </w:pPr>
            <w:r>
              <w:rPr>
                <w:rFonts w:cs="EB Garamond"/>
                <w:kern w:val="16"/>
                <w:sz w:val="18"/>
                <w14:ligatures w14:val="standardContextual"/>
              </w:rPr>
              <w:t>TNU</w:t>
            </w:r>
          </w:p>
        </w:tc>
        <w:tc>
          <w:tcPr>
            <w:tcW w:w="2117" w:type="dxa"/>
            <w:tcBorders>
              <w:top w:val="single" w:sz="4" w:space="0" w:color="D2C9B8"/>
              <w:left w:val="single" w:sz="4" w:space="0" w:color="D2C9B8"/>
              <w:bottom w:val="single" w:sz="4" w:space="0" w:color="D2C9B8"/>
              <w:right w:val="single" w:sz="4" w:space="0" w:color="D2C9B8"/>
            </w:tcBorders>
          </w:tcPr>
          <w:p w14:paraId="04AB06B1" w14:textId="77777777" w:rsidR="005A5FCC" w:rsidRDefault="00A21C81">
            <w:pPr>
              <w:spacing w:before="20" w:after="20" w:line="240" w:lineRule="auto"/>
              <w:jc w:val="left"/>
            </w:pPr>
            <w:r>
              <w:rPr>
                <w:rFonts w:cs="EB Garamond"/>
                <w:kern w:val="16"/>
                <w:sz w:val="18"/>
                <w14:ligatures w14:val="standardContextual"/>
              </w:rPr>
              <w:t>Correção monetária do SM desde a data do parto</w:t>
            </w:r>
          </w:p>
        </w:tc>
      </w:tr>
      <w:tr w:rsidR="005A5FCC" w14:paraId="0D0F3653"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34A1376E" w14:textId="77777777" w:rsidR="005A5FCC" w:rsidRDefault="00A21C81">
            <w:pPr>
              <w:spacing w:before="20" w:after="20" w:line="240" w:lineRule="auto"/>
              <w:jc w:val="left"/>
            </w:pPr>
            <w:commentRangeStart w:id="17"/>
            <w:r>
              <w:rPr>
                <w:rFonts w:cs="EB Garamond"/>
                <w:kern w:val="16"/>
                <w:sz w:val="18"/>
                <w14:ligatures w14:val="standardContextual"/>
              </w:rPr>
              <w:t>Súmula 149</w:t>
            </w:r>
          </w:p>
        </w:tc>
        <w:tc>
          <w:tcPr>
            <w:tcW w:w="2117" w:type="dxa"/>
            <w:tcBorders>
              <w:top w:val="single" w:sz="4" w:space="0" w:color="D2C9B8"/>
              <w:left w:val="single" w:sz="4" w:space="0" w:color="D2C9B8"/>
              <w:bottom w:val="single" w:sz="4" w:space="0" w:color="D2C9B8"/>
              <w:right w:val="single" w:sz="4" w:space="0" w:color="D2C9B8"/>
            </w:tcBorders>
          </w:tcPr>
          <w:p w14:paraId="27D83B39" w14:textId="77777777" w:rsidR="005A5FCC" w:rsidRDefault="00A21C81">
            <w:pPr>
              <w:spacing w:before="20" w:after="20" w:line="240" w:lineRule="auto"/>
              <w:jc w:val="left"/>
            </w:pPr>
            <w:r>
              <w:rPr>
                <w:rFonts w:cs="EB Garamond"/>
                <w:kern w:val="16"/>
                <w:sz w:val="18"/>
                <w14:ligatures w14:val="standardContextual"/>
              </w:rPr>
              <w:t>STJ</w:t>
            </w:r>
          </w:p>
        </w:tc>
        <w:tc>
          <w:tcPr>
            <w:tcW w:w="2117" w:type="dxa"/>
            <w:tcBorders>
              <w:top w:val="single" w:sz="4" w:space="0" w:color="D2C9B8"/>
              <w:left w:val="single" w:sz="4" w:space="0" w:color="D2C9B8"/>
              <w:bottom w:val="single" w:sz="4" w:space="0" w:color="D2C9B8"/>
              <w:right w:val="single" w:sz="4" w:space="0" w:color="D2C9B8"/>
            </w:tcBorders>
          </w:tcPr>
          <w:p w14:paraId="2D64BF64" w14:textId="77777777" w:rsidR="005A5FCC" w:rsidRDefault="00A21C81">
            <w:pPr>
              <w:spacing w:before="20" w:after="20" w:line="240" w:lineRule="auto"/>
              <w:jc w:val="left"/>
            </w:pPr>
            <w:r>
              <w:rPr>
                <w:rFonts w:cs="EB Garamond"/>
                <w:kern w:val="16"/>
                <w:sz w:val="18"/>
                <w14:ligatures w14:val="standardContextual"/>
              </w:rPr>
              <w:t>Vedada prova exclusivamente testemunhal para atividade rural</w:t>
            </w:r>
            <w:commentRangeEnd w:id="17"/>
            <w:r w:rsidR="006561A4">
              <w:rPr>
                <w:rStyle w:val="Refdecomentrio"/>
                <w:sz w:val="21"/>
                <w:szCs w:val="22"/>
              </w:rPr>
              <w:commentReference w:id="17"/>
            </w:r>
          </w:p>
        </w:tc>
      </w:tr>
    </w:tbl>
    <w:p w14:paraId="1BA3BD36" w14:textId="77777777" w:rsidR="005A5FCC" w:rsidRDefault="005A5FCC">
      <w:pPr>
        <w:spacing w:after="80" w:line="240" w:lineRule="auto"/>
      </w:pPr>
    </w:p>
    <w:p w14:paraId="739E76C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V</w:t>
      </w:r>
    </w:p>
    <w:p w14:paraId="214009BD" w14:textId="77777777" w:rsidR="005A5FCC" w:rsidRDefault="00A21C81">
      <w:r>
        <w:rPr>
          <w:rFonts w:cs="EB Garamond"/>
          <w:b/>
          <w:kern w:val="16"/>
          <w14:ligatures w14:val="standardContextual"/>
        </w:rPr>
        <w:t>alores 2026:</w:t>
      </w:r>
    </w:p>
    <w:tbl>
      <w:tblPr>
        <w:tblW w:w="5000" w:type="pct"/>
        <w:jc w:val="center"/>
        <w:tblLook w:val="04A0" w:firstRow="1" w:lastRow="0" w:firstColumn="1" w:lastColumn="0" w:noHBand="0" w:noVBand="1"/>
      </w:tblPr>
      <w:tblGrid>
        <w:gridCol w:w="3170"/>
        <w:gridCol w:w="3170"/>
      </w:tblGrid>
      <w:tr w:rsidR="005A5FCC" w14:paraId="5F91DB5B" w14:textId="77777777">
        <w:trPr>
          <w:tblHeader/>
          <w:jc w:val="center"/>
        </w:trPr>
        <w:tc>
          <w:tcPr>
            <w:tcW w:w="3175" w:type="dxa"/>
            <w:tcBorders>
              <w:top w:val="single" w:sz="4" w:space="0" w:color="D2C9B8"/>
              <w:left w:val="single" w:sz="4" w:space="0" w:color="D2C9B8"/>
              <w:bottom w:val="single" w:sz="4" w:space="0" w:color="D2C9B8"/>
              <w:right w:val="single" w:sz="4" w:space="0" w:color="D2C9B8"/>
            </w:tcBorders>
            <w:shd w:val="clear" w:color="auto" w:fill="F0EDE6"/>
          </w:tcPr>
          <w:p w14:paraId="30C24FEF" w14:textId="77777777" w:rsidR="005A5FCC" w:rsidRDefault="00A21C81">
            <w:pPr>
              <w:spacing w:before="40" w:after="40" w:line="240" w:lineRule="auto"/>
              <w:jc w:val="center"/>
            </w:pPr>
            <w:r>
              <w:rPr>
                <w:rFonts w:cs="EB Garamond"/>
                <w:b/>
                <w:color w:val="2F2923"/>
                <w:kern w:val="16"/>
                <w:sz w:val="18"/>
                <w14:ligatures w14:val="standardContextual"/>
              </w:rPr>
              <w:t>Item</w:t>
            </w:r>
          </w:p>
        </w:tc>
        <w:tc>
          <w:tcPr>
            <w:tcW w:w="3175" w:type="dxa"/>
            <w:tcBorders>
              <w:top w:val="single" w:sz="4" w:space="0" w:color="D2C9B8"/>
              <w:left w:val="single" w:sz="4" w:space="0" w:color="D2C9B8"/>
              <w:bottom w:val="single" w:sz="4" w:space="0" w:color="D2C9B8"/>
              <w:right w:val="single" w:sz="4" w:space="0" w:color="D2C9B8"/>
            </w:tcBorders>
            <w:shd w:val="clear" w:color="auto" w:fill="F0EDE6"/>
          </w:tcPr>
          <w:p w14:paraId="2981471D" w14:textId="77777777" w:rsidR="005A5FCC" w:rsidRDefault="00A21C81">
            <w:pPr>
              <w:spacing w:before="40" w:after="40" w:line="240" w:lineRule="auto"/>
              <w:jc w:val="center"/>
            </w:pPr>
            <w:r>
              <w:rPr>
                <w:rFonts w:cs="EB Garamond"/>
                <w:b/>
                <w:color w:val="2F2923"/>
                <w:kern w:val="16"/>
                <w:sz w:val="18"/>
                <w14:ligatures w14:val="standardContextual"/>
              </w:rPr>
              <w:t>Valor</w:t>
            </w:r>
          </w:p>
        </w:tc>
      </w:tr>
      <w:tr w:rsidR="005A5FCC" w14:paraId="3EC3F27F"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79991842" w14:textId="04DCD303" w:rsidR="005A5FCC" w:rsidRDefault="0091310E">
            <w:pPr>
              <w:spacing w:before="20" w:after="20" w:line="240" w:lineRule="auto"/>
              <w:jc w:val="left"/>
            </w:pPr>
            <w:r>
              <w:rPr>
                <w:rFonts w:cs="EB Garamond"/>
                <w:kern w:val="16"/>
                <w:sz w:val="18"/>
                <w14:ligatures w14:val="standardContextual"/>
              </w:rPr>
              <w:t>Salário-mínimo</w:t>
            </w:r>
          </w:p>
        </w:tc>
        <w:tc>
          <w:tcPr>
            <w:tcW w:w="3175" w:type="dxa"/>
            <w:tcBorders>
              <w:top w:val="single" w:sz="4" w:space="0" w:color="D2C9B8"/>
              <w:left w:val="single" w:sz="4" w:space="0" w:color="D2C9B8"/>
              <w:bottom w:val="single" w:sz="4" w:space="0" w:color="D2C9B8"/>
              <w:right w:val="single" w:sz="4" w:space="0" w:color="D2C9B8"/>
            </w:tcBorders>
          </w:tcPr>
          <w:p w14:paraId="014492E4" w14:textId="77777777" w:rsidR="005A5FCC" w:rsidRDefault="00A21C81">
            <w:pPr>
              <w:spacing w:before="20" w:after="20" w:line="240" w:lineRule="auto"/>
              <w:jc w:val="left"/>
            </w:pPr>
            <w:r>
              <w:rPr>
                <w:rFonts w:cs="EB Garamond"/>
                <w:kern w:val="16"/>
                <w:sz w:val="18"/>
                <w14:ligatures w14:val="standardContextual"/>
              </w:rPr>
              <w:t>R$ 1.621,00</w:t>
            </w:r>
          </w:p>
        </w:tc>
      </w:tr>
      <w:tr w:rsidR="005A5FCC" w14:paraId="000A1D11"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7E3AB86B" w14:textId="77777777" w:rsidR="005A5FCC" w:rsidRDefault="00A21C81">
            <w:pPr>
              <w:spacing w:before="20" w:after="20" w:line="240" w:lineRule="auto"/>
              <w:jc w:val="left"/>
            </w:pPr>
            <w:r>
              <w:rPr>
                <w:rFonts w:cs="EB Garamond"/>
                <w:kern w:val="16"/>
                <w:sz w:val="18"/>
                <w14:ligatures w14:val="standardContextual"/>
              </w:rPr>
              <w:t>Teto RGPS</w:t>
            </w:r>
          </w:p>
        </w:tc>
        <w:tc>
          <w:tcPr>
            <w:tcW w:w="3175" w:type="dxa"/>
            <w:tcBorders>
              <w:top w:val="single" w:sz="4" w:space="0" w:color="D2C9B8"/>
              <w:left w:val="single" w:sz="4" w:space="0" w:color="D2C9B8"/>
              <w:bottom w:val="single" w:sz="4" w:space="0" w:color="D2C9B8"/>
              <w:right w:val="single" w:sz="4" w:space="0" w:color="D2C9B8"/>
            </w:tcBorders>
          </w:tcPr>
          <w:p w14:paraId="2DC1D4B6" w14:textId="77777777" w:rsidR="005A5FCC" w:rsidRDefault="00A21C81">
            <w:pPr>
              <w:spacing w:before="20" w:after="20" w:line="240" w:lineRule="auto"/>
              <w:jc w:val="left"/>
            </w:pPr>
            <w:r>
              <w:rPr>
                <w:rFonts w:cs="EB Garamond"/>
                <w:kern w:val="16"/>
                <w:sz w:val="18"/>
                <w14:ligatures w14:val="standardContextual"/>
              </w:rPr>
              <w:t>R$ 8.475,55</w:t>
            </w:r>
          </w:p>
        </w:tc>
      </w:tr>
      <w:tr w:rsidR="005A5FCC" w14:paraId="31F9925E"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1F09CB93" w14:textId="77777777" w:rsidR="005A5FCC" w:rsidRDefault="00A21C81">
            <w:pPr>
              <w:spacing w:before="20" w:after="20" w:line="240" w:lineRule="auto"/>
              <w:jc w:val="left"/>
            </w:pPr>
            <w:r>
              <w:rPr>
                <w:rFonts w:cs="EB Garamond"/>
                <w:kern w:val="16"/>
                <w:sz w:val="18"/>
                <w14:ligatures w14:val="standardContextual"/>
              </w:rPr>
              <w:t>SM mínimo (4 meses)</w:t>
            </w:r>
          </w:p>
        </w:tc>
        <w:tc>
          <w:tcPr>
            <w:tcW w:w="3175" w:type="dxa"/>
            <w:tcBorders>
              <w:top w:val="single" w:sz="4" w:space="0" w:color="D2C9B8"/>
              <w:left w:val="single" w:sz="4" w:space="0" w:color="D2C9B8"/>
              <w:bottom w:val="single" w:sz="4" w:space="0" w:color="D2C9B8"/>
              <w:right w:val="single" w:sz="4" w:space="0" w:color="D2C9B8"/>
            </w:tcBorders>
          </w:tcPr>
          <w:p w14:paraId="55D39B4C" w14:textId="77777777" w:rsidR="005A5FCC" w:rsidRDefault="00A21C81">
            <w:pPr>
              <w:spacing w:before="20" w:after="20" w:line="240" w:lineRule="auto"/>
              <w:jc w:val="left"/>
            </w:pPr>
            <w:r>
              <w:rPr>
                <w:rFonts w:cs="EB Garamond"/>
                <w:kern w:val="16"/>
                <w:sz w:val="18"/>
                <w14:ligatures w14:val="standardContextual"/>
              </w:rPr>
              <w:t>R$ 6.484,00</w:t>
            </w:r>
          </w:p>
        </w:tc>
      </w:tr>
      <w:tr w:rsidR="005A5FCC" w14:paraId="711C91DD"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4E70FF3B" w14:textId="77777777" w:rsidR="005A5FCC" w:rsidRDefault="00A21C81">
            <w:pPr>
              <w:spacing w:before="20" w:after="20" w:line="240" w:lineRule="auto"/>
              <w:jc w:val="left"/>
            </w:pPr>
            <w:r>
              <w:rPr>
                <w:rFonts w:cs="EB Garamond"/>
                <w:kern w:val="16"/>
                <w:sz w:val="18"/>
                <w14:ligatures w14:val="standardContextual"/>
              </w:rPr>
              <w:t>SM máximo (4 meses)</w:t>
            </w:r>
          </w:p>
        </w:tc>
        <w:tc>
          <w:tcPr>
            <w:tcW w:w="3175" w:type="dxa"/>
            <w:tcBorders>
              <w:top w:val="single" w:sz="4" w:space="0" w:color="D2C9B8"/>
              <w:left w:val="single" w:sz="4" w:space="0" w:color="D2C9B8"/>
              <w:bottom w:val="single" w:sz="4" w:space="0" w:color="D2C9B8"/>
              <w:right w:val="single" w:sz="4" w:space="0" w:color="D2C9B8"/>
            </w:tcBorders>
          </w:tcPr>
          <w:p w14:paraId="5FFC6787" w14:textId="77777777" w:rsidR="005A5FCC" w:rsidRDefault="00A21C81">
            <w:pPr>
              <w:spacing w:before="20" w:after="20" w:line="240" w:lineRule="auto"/>
              <w:jc w:val="left"/>
            </w:pPr>
            <w:r>
              <w:rPr>
                <w:rFonts w:cs="EB Garamond"/>
                <w:kern w:val="16"/>
                <w:sz w:val="18"/>
                <w14:ligatures w14:val="standardContextual"/>
              </w:rPr>
              <w:t>R$ 33.902,20</w:t>
            </w:r>
          </w:p>
        </w:tc>
      </w:tr>
      <w:tr w:rsidR="005A5FCC" w14:paraId="667B3B7E"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7014B3BC" w14:textId="77777777" w:rsidR="005A5FCC" w:rsidRDefault="00A21C81">
            <w:pPr>
              <w:spacing w:before="20" w:after="20" w:line="240" w:lineRule="auto"/>
              <w:jc w:val="left"/>
            </w:pPr>
            <w:r>
              <w:rPr>
                <w:rFonts w:cs="EB Garamond"/>
                <w:kern w:val="16"/>
                <w:sz w:val="18"/>
                <w14:ligatures w14:val="standardContextual"/>
              </w:rPr>
              <w:t>Teto JEF (60 SM)</w:t>
            </w:r>
          </w:p>
        </w:tc>
        <w:tc>
          <w:tcPr>
            <w:tcW w:w="3175" w:type="dxa"/>
            <w:tcBorders>
              <w:top w:val="single" w:sz="4" w:space="0" w:color="D2C9B8"/>
              <w:left w:val="single" w:sz="4" w:space="0" w:color="D2C9B8"/>
              <w:bottom w:val="single" w:sz="4" w:space="0" w:color="D2C9B8"/>
              <w:right w:val="single" w:sz="4" w:space="0" w:color="D2C9B8"/>
            </w:tcBorders>
          </w:tcPr>
          <w:p w14:paraId="6540153A" w14:textId="77777777" w:rsidR="005A5FCC" w:rsidRDefault="00A21C81">
            <w:pPr>
              <w:spacing w:before="20" w:after="20" w:line="240" w:lineRule="auto"/>
              <w:jc w:val="left"/>
            </w:pPr>
            <w:r>
              <w:rPr>
                <w:rFonts w:cs="EB Garamond"/>
                <w:kern w:val="16"/>
                <w:sz w:val="18"/>
                <w14:ligatures w14:val="standardContextual"/>
              </w:rPr>
              <w:t>R$ 97.260,00</w:t>
            </w:r>
          </w:p>
        </w:tc>
      </w:tr>
    </w:tbl>
    <w:p w14:paraId="20A6406B" w14:textId="77777777" w:rsidR="005A5FCC" w:rsidRDefault="005A5FCC">
      <w:pPr>
        <w:spacing w:after="80" w:line="240" w:lineRule="auto"/>
      </w:pPr>
    </w:p>
    <w:p w14:paraId="25021513"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R</w:t>
      </w:r>
    </w:p>
    <w:p w14:paraId="5BEF4953" w14:textId="77777777" w:rsidR="005A5FCC" w:rsidRDefault="00A21C81">
      <w:r>
        <w:rPr>
          <w:rFonts w:cs="EB Garamond"/>
          <w:b/>
          <w:kern w:val="16"/>
          <w14:ligatures w14:val="standardContextual"/>
        </w:rPr>
        <w:t>eferência cruzada — Interfaces com outros capítulos:</w:t>
      </w:r>
    </w:p>
    <w:tbl>
      <w:tblPr>
        <w:tblW w:w="5000" w:type="pct"/>
        <w:jc w:val="center"/>
        <w:tblLook w:val="04A0" w:firstRow="1" w:lastRow="0" w:firstColumn="1" w:lastColumn="0" w:noHBand="0" w:noVBand="1"/>
      </w:tblPr>
      <w:tblGrid>
        <w:gridCol w:w="2114"/>
        <w:gridCol w:w="2113"/>
        <w:gridCol w:w="2113"/>
      </w:tblGrid>
      <w:tr w:rsidR="005A5FCC" w14:paraId="06D42E87" w14:textId="77777777">
        <w:trPr>
          <w:tblHeader/>
          <w:jc w:val="center"/>
        </w:trPr>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05DCE3AD" w14:textId="77777777" w:rsidR="005A5FCC" w:rsidRDefault="00A21C81">
            <w:pPr>
              <w:spacing w:before="40" w:after="40" w:line="240" w:lineRule="auto"/>
              <w:jc w:val="center"/>
            </w:pPr>
            <w:r>
              <w:rPr>
                <w:rFonts w:cs="EB Garamond"/>
                <w:b/>
                <w:color w:val="2F2923"/>
                <w:kern w:val="16"/>
                <w:sz w:val="18"/>
                <w14:ligatures w14:val="standardContextual"/>
              </w:rPr>
              <w:t>Capítulo</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06171441" w14:textId="77777777" w:rsidR="005A5FCC" w:rsidRDefault="00A21C81">
            <w:pPr>
              <w:spacing w:before="40" w:after="40" w:line="240" w:lineRule="auto"/>
              <w:jc w:val="center"/>
            </w:pPr>
            <w:r>
              <w:rPr>
                <w:rFonts w:cs="EB Garamond"/>
                <w:b/>
                <w:color w:val="2F2923"/>
                <w:kern w:val="16"/>
                <w:sz w:val="18"/>
                <w14:ligatures w14:val="standardContextual"/>
              </w:rPr>
              <w:t>Interface</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3E70C221" w14:textId="77777777" w:rsidR="005A5FCC" w:rsidRDefault="00A21C81">
            <w:pPr>
              <w:spacing w:before="40" w:after="40" w:line="240" w:lineRule="auto"/>
              <w:jc w:val="center"/>
            </w:pPr>
            <w:r>
              <w:rPr>
                <w:rFonts w:cs="EB Garamond"/>
                <w:b/>
                <w:color w:val="2F2923"/>
                <w:kern w:val="16"/>
                <w:sz w:val="18"/>
                <w14:ligatures w14:val="standardContextual"/>
              </w:rPr>
              <w:t>Seção de remissão</w:t>
            </w:r>
          </w:p>
        </w:tc>
      </w:tr>
      <w:tr w:rsidR="005A5FCC" w14:paraId="12D3F905"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1509AFE9" w14:textId="77777777" w:rsidR="005A5FCC" w:rsidRDefault="00A21C81">
            <w:pPr>
              <w:spacing w:before="20" w:after="20" w:line="240" w:lineRule="auto"/>
              <w:jc w:val="left"/>
            </w:pPr>
            <w:r>
              <w:rPr>
                <w:rFonts w:cs="EB Garamond"/>
                <w:kern w:val="16"/>
                <w:sz w:val="18"/>
                <w14:ligatures w14:val="standardContextual"/>
              </w:rPr>
              <w:t>Cap. 2</w:t>
            </w:r>
          </w:p>
        </w:tc>
        <w:tc>
          <w:tcPr>
            <w:tcW w:w="2117" w:type="dxa"/>
            <w:tcBorders>
              <w:top w:val="single" w:sz="4" w:space="0" w:color="D2C9B8"/>
              <w:left w:val="single" w:sz="4" w:space="0" w:color="D2C9B8"/>
              <w:bottom w:val="single" w:sz="4" w:space="0" w:color="D2C9B8"/>
              <w:right w:val="single" w:sz="4" w:space="0" w:color="D2C9B8"/>
            </w:tcBorders>
          </w:tcPr>
          <w:p w14:paraId="2FAE4055" w14:textId="77777777" w:rsidR="005A5FCC" w:rsidRDefault="00A21C81">
            <w:pPr>
              <w:spacing w:before="20" w:after="20" w:line="240" w:lineRule="auto"/>
              <w:jc w:val="left"/>
            </w:pPr>
            <w:r>
              <w:rPr>
                <w:rFonts w:cs="EB Garamond"/>
                <w:kern w:val="16"/>
                <w:sz w:val="18"/>
                <w14:ligatures w14:val="standardContextual"/>
              </w:rPr>
              <w:t>Categorias de seguradas</w:t>
            </w:r>
          </w:p>
        </w:tc>
        <w:tc>
          <w:tcPr>
            <w:tcW w:w="2117" w:type="dxa"/>
            <w:tcBorders>
              <w:top w:val="single" w:sz="4" w:space="0" w:color="D2C9B8"/>
              <w:left w:val="single" w:sz="4" w:space="0" w:color="D2C9B8"/>
              <w:bottom w:val="single" w:sz="4" w:space="0" w:color="D2C9B8"/>
              <w:right w:val="single" w:sz="4" w:space="0" w:color="D2C9B8"/>
            </w:tcBorders>
          </w:tcPr>
          <w:p w14:paraId="4AE6C9AE" w14:textId="77777777" w:rsidR="005A5FCC" w:rsidRDefault="00A21C81">
            <w:pPr>
              <w:spacing w:before="20" w:after="20" w:line="240" w:lineRule="auto"/>
              <w:jc w:val="left"/>
            </w:pPr>
            <w:r>
              <w:rPr>
                <w:rFonts w:cs="EB Garamond"/>
                <w:kern w:val="16"/>
                <w:sz w:val="18"/>
                <w14:ligatures w14:val="standardContextual"/>
              </w:rPr>
              <w:t>2.2 a 2.7</w:t>
            </w:r>
          </w:p>
        </w:tc>
      </w:tr>
      <w:tr w:rsidR="005A5FCC" w14:paraId="2E4E63A1"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6905025D" w14:textId="77777777" w:rsidR="005A5FCC" w:rsidRDefault="00A21C81">
            <w:pPr>
              <w:spacing w:before="20" w:after="20" w:line="240" w:lineRule="auto"/>
              <w:jc w:val="left"/>
            </w:pPr>
            <w:r>
              <w:rPr>
                <w:rFonts w:cs="EB Garamond"/>
                <w:kern w:val="16"/>
                <w:sz w:val="18"/>
                <w14:ligatures w14:val="standardContextual"/>
              </w:rPr>
              <w:t>Cap. 3</w:t>
            </w:r>
          </w:p>
        </w:tc>
        <w:tc>
          <w:tcPr>
            <w:tcW w:w="2117" w:type="dxa"/>
            <w:tcBorders>
              <w:top w:val="single" w:sz="4" w:space="0" w:color="D2C9B8"/>
              <w:left w:val="single" w:sz="4" w:space="0" w:color="D2C9B8"/>
              <w:bottom w:val="single" w:sz="4" w:space="0" w:color="D2C9B8"/>
              <w:right w:val="single" w:sz="4" w:space="0" w:color="D2C9B8"/>
            </w:tcBorders>
          </w:tcPr>
          <w:p w14:paraId="0038A9EB" w14:textId="77777777" w:rsidR="005A5FCC" w:rsidRDefault="00A21C81">
            <w:pPr>
              <w:spacing w:before="20" w:after="20" w:line="240" w:lineRule="auto"/>
              <w:jc w:val="left"/>
            </w:pPr>
            <w:r>
              <w:rPr>
                <w:rFonts w:cs="EB Garamond"/>
                <w:kern w:val="16"/>
                <w:sz w:val="18"/>
                <w14:ligatures w14:val="standardContextual"/>
              </w:rPr>
              <w:t>Período de graça e carência</w:t>
            </w:r>
          </w:p>
        </w:tc>
        <w:tc>
          <w:tcPr>
            <w:tcW w:w="2117" w:type="dxa"/>
            <w:tcBorders>
              <w:top w:val="single" w:sz="4" w:space="0" w:color="D2C9B8"/>
              <w:left w:val="single" w:sz="4" w:space="0" w:color="D2C9B8"/>
              <w:bottom w:val="single" w:sz="4" w:space="0" w:color="D2C9B8"/>
              <w:right w:val="single" w:sz="4" w:space="0" w:color="D2C9B8"/>
            </w:tcBorders>
          </w:tcPr>
          <w:p w14:paraId="18DB40B7" w14:textId="77777777" w:rsidR="005A5FCC" w:rsidRDefault="00A21C81">
            <w:pPr>
              <w:spacing w:before="20" w:after="20" w:line="240" w:lineRule="auto"/>
              <w:jc w:val="left"/>
            </w:pPr>
            <w:r>
              <w:rPr>
                <w:rFonts w:cs="EB Garamond"/>
                <w:kern w:val="16"/>
                <w:sz w:val="18"/>
                <w14:ligatures w14:val="standardContextual"/>
              </w:rPr>
              <w:t>3.3 e 3.5</w:t>
            </w:r>
          </w:p>
        </w:tc>
      </w:tr>
      <w:tr w:rsidR="005A5FCC" w14:paraId="20D01F27"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1050F3B6" w14:textId="77777777" w:rsidR="005A5FCC" w:rsidRDefault="00A21C81">
            <w:pPr>
              <w:spacing w:before="20" w:after="20" w:line="240" w:lineRule="auto"/>
              <w:jc w:val="left"/>
            </w:pPr>
            <w:r>
              <w:rPr>
                <w:rFonts w:cs="EB Garamond"/>
                <w:kern w:val="16"/>
                <w:sz w:val="18"/>
                <w14:ligatures w14:val="standardContextual"/>
              </w:rPr>
              <w:t>Cap. 4</w:t>
            </w:r>
          </w:p>
        </w:tc>
        <w:tc>
          <w:tcPr>
            <w:tcW w:w="2117" w:type="dxa"/>
            <w:tcBorders>
              <w:top w:val="single" w:sz="4" w:space="0" w:color="D2C9B8"/>
              <w:left w:val="single" w:sz="4" w:space="0" w:color="D2C9B8"/>
              <w:bottom w:val="single" w:sz="4" w:space="0" w:color="D2C9B8"/>
              <w:right w:val="single" w:sz="4" w:space="0" w:color="D2C9B8"/>
            </w:tcBorders>
          </w:tcPr>
          <w:p w14:paraId="0CA2391B" w14:textId="77777777" w:rsidR="005A5FCC" w:rsidRDefault="00A21C81">
            <w:pPr>
              <w:spacing w:before="20" w:after="20" w:line="240" w:lineRule="auto"/>
              <w:jc w:val="left"/>
            </w:pPr>
            <w:r>
              <w:rPr>
                <w:rFonts w:cs="EB Garamond"/>
                <w:kern w:val="16"/>
                <w:sz w:val="18"/>
                <w14:ligatures w14:val="standardContextual"/>
              </w:rPr>
              <w:t>Contribuição durante SM; SM como TC</w:t>
            </w:r>
          </w:p>
        </w:tc>
        <w:tc>
          <w:tcPr>
            <w:tcW w:w="2117" w:type="dxa"/>
            <w:tcBorders>
              <w:top w:val="single" w:sz="4" w:space="0" w:color="D2C9B8"/>
              <w:left w:val="single" w:sz="4" w:space="0" w:color="D2C9B8"/>
              <w:bottom w:val="single" w:sz="4" w:space="0" w:color="D2C9B8"/>
              <w:right w:val="single" w:sz="4" w:space="0" w:color="D2C9B8"/>
            </w:tcBorders>
          </w:tcPr>
          <w:p w14:paraId="467565D3" w14:textId="77777777" w:rsidR="005A5FCC" w:rsidRDefault="00A21C81">
            <w:pPr>
              <w:spacing w:before="20" w:after="20" w:line="240" w:lineRule="auto"/>
              <w:jc w:val="left"/>
            </w:pPr>
            <w:r>
              <w:rPr>
                <w:rFonts w:cs="EB Garamond"/>
                <w:kern w:val="16"/>
                <w:sz w:val="18"/>
                <w14:ligatures w14:val="standardContextual"/>
              </w:rPr>
              <w:t>4.16.2</w:t>
            </w:r>
          </w:p>
        </w:tc>
      </w:tr>
      <w:tr w:rsidR="005A5FCC" w14:paraId="5706A783"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6B47EA4A" w14:textId="77777777" w:rsidR="005A5FCC" w:rsidRDefault="00A21C81">
            <w:pPr>
              <w:spacing w:before="20" w:after="20" w:line="240" w:lineRule="auto"/>
              <w:jc w:val="left"/>
            </w:pPr>
            <w:r>
              <w:rPr>
                <w:rFonts w:cs="EB Garamond"/>
                <w:kern w:val="16"/>
                <w:sz w:val="18"/>
                <w14:ligatures w14:val="standardContextual"/>
              </w:rPr>
              <w:t>Cap. 7</w:t>
            </w:r>
          </w:p>
        </w:tc>
        <w:tc>
          <w:tcPr>
            <w:tcW w:w="2117" w:type="dxa"/>
            <w:tcBorders>
              <w:top w:val="single" w:sz="4" w:space="0" w:color="D2C9B8"/>
              <w:left w:val="single" w:sz="4" w:space="0" w:color="D2C9B8"/>
              <w:bottom w:val="single" w:sz="4" w:space="0" w:color="D2C9B8"/>
              <w:right w:val="single" w:sz="4" w:space="0" w:color="D2C9B8"/>
            </w:tcBorders>
          </w:tcPr>
          <w:p w14:paraId="40F411E4" w14:textId="77777777" w:rsidR="005A5FCC" w:rsidRDefault="00A21C81">
            <w:pPr>
              <w:spacing w:before="20" w:after="20" w:line="240" w:lineRule="auto"/>
              <w:jc w:val="left"/>
            </w:pPr>
            <w:r>
              <w:rPr>
                <w:rFonts w:cs="EB Garamond"/>
                <w:kern w:val="16"/>
                <w:sz w:val="18"/>
                <w14:ligatures w14:val="standardContextual"/>
              </w:rPr>
              <w:t>Vedação acumulação SM × auxílio-incapacidade</w:t>
            </w:r>
          </w:p>
        </w:tc>
        <w:tc>
          <w:tcPr>
            <w:tcW w:w="2117" w:type="dxa"/>
            <w:tcBorders>
              <w:top w:val="single" w:sz="4" w:space="0" w:color="D2C9B8"/>
              <w:left w:val="single" w:sz="4" w:space="0" w:color="D2C9B8"/>
              <w:bottom w:val="single" w:sz="4" w:space="0" w:color="D2C9B8"/>
              <w:right w:val="single" w:sz="4" w:space="0" w:color="D2C9B8"/>
            </w:tcBorders>
          </w:tcPr>
          <w:p w14:paraId="6E5F3F27" w14:textId="77777777" w:rsidR="005A5FCC" w:rsidRDefault="00A21C81">
            <w:pPr>
              <w:spacing w:before="20" w:after="20" w:line="240" w:lineRule="auto"/>
              <w:jc w:val="left"/>
            </w:pPr>
            <w:r>
              <w:rPr>
                <w:rFonts w:cs="EB Garamond"/>
                <w:kern w:val="16"/>
                <w:sz w:val="18"/>
                <w14:ligatures w14:val="standardContextual"/>
              </w:rPr>
              <w:t>7.12</w:t>
            </w:r>
          </w:p>
        </w:tc>
      </w:tr>
      <w:tr w:rsidR="005A5FCC" w14:paraId="0FB02FE2"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35553F9B" w14:textId="77777777" w:rsidR="005A5FCC" w:rsidRDefault="00A21C81">
            <w:pPr>
              <w:spacing w:before="20" w:after="20" w:line="240" w:lineRule="auto"/>
              <w:jc w:val="left"/>
            </w:pPr>
            <w:r>
              <w:rPr>
                <w:rFonts w:cs="EB Garamond"/>
                <w:kern w:val="16"/>
                <w:sz w:val="18"/>
                <w14:ligatures w14:val="standardContextual"/>
              </w:rPr>
              <w:t>Cap. 9</w:t>
            </w:r>
          </w:p>
        </w:tc>
        <w:tc>
          <w:tcPr>
            <w:tcW w:w="2117" w:type="dxa"/>
            <w:tcBorders>
              <w:top w:val="single" w:sz="4" w:space="0" w:color="D2C9B8"/>
              <w:left w:val="single" w:sz="4" w:space="0" w:color="D2C9B8"/>
              <w:bottom w:val="single" w:sz="4" w:space="0" w:color="D2C9B8"/>
              <w:right w:val="single" w:sz="4" w:space="0" w:color="D2C9B8"/>
            </w:tcBorders>
          </w:tcPr>
          <w:p w14:paraId="2275F02E" w14:textId="77777777" w:rsidR="005A5FCC" w:rsidRDefault="00A21C81">
            <w:pPr>
              <w:spacing w:before="20" w:after="20" w:line="240" w:lineRule="auto"/>
              <w:jc w:val="left"/>
            </w:pPr>
            <w:r>
              <w:rPr>
                <w:rFonts w:cs="EB Garamond"/>
                <w:kern w:val="16"/>
                <w:sz w:val="18"/>
                <w14:ligatures w14:val="standardContextual"/>
              </w:rPr>
              <w:t>Segurada especial, prova rural</w:t>
            </w:r>
          </w:p>
        </w:tc>
        <w:tc>
          <w:tcPr>
            <w:tcW w:w="2117" w:type="dxa"/>
            <w:tcBorders>
              <w:top w:val="single" w:sz="4" w:space="0" w:color="D2C9B8"/>
              <w:left w:val="single" w:sz="4" w:space="0" w:color="D2C9B8"/>
              <w:bottom w:val="single" w:sz="4" w:space="0" w:color="D2C9B8"/>
              <w:right w:val="single" w:sz="4" w:space="0" w:color="D2C9B8"/>
            </w:tcBorders>
          </w:tcPr>
          <w:p w14:paraId="218BEA82" w14:textId="77777777" w:rsidR="005A5FCC" w:rsidRDefault="00A21C81">
            <w:pPr>
              <w:spacing w:before="20" w:after="20" w:line="240" w:lineRule="auto"/>
              <w:jc w:val="left"/>
            </w:pPr>
            <w:r>
              <w:rPr>
                <w:rFonts w:cs="EB Garamond"/>
                <w:kern w:val="16"/>
                <w:sz w:val="18"/>
                <w14:ligatures w14:val="standardContextual"/>
              </w:rPr>
              <w:t>9.4 a 9.6</w:t>
            </w:r>
          </w:p>
        </w:tc>
      </w:tr>
      <w:tr w:rsidR="005A5FCC" w14:paraId="5A60FC55"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75299C7B" w14:textId="77777777" w:rsidR="005A5FCC" w:rsidRDefault="00A21C81">
            <w:pPr>
              <w:spacing w:before="20" w:after="20" w:line="240" w:lineRule="auto"/>
              <w:jc w:val="left"/>
            </w:pPr>
            <w:r>
              <w:rPr>
                <w:rFonts w:cs="EB Garamond"/>
                <w:kern w:val="16"/>
                <w:sz w:val="18"/>
                <w14:ligatures w14:val="standardContextual"/>
              </w:rPr>
              <w:t>Cap. 15</w:t>
            </w:r>
          </w:p>
        </w:tc>
        <w:tc>
          <w:tcPr>
            <w:tcW w:w="2117" w:type="dxa"/>
            <w:tcBorders>
              <w:top w:val="single" w:sz="4" w:space="0" w:color="D2C9B8"/>
              <w:left w:val="single" w:sz="4" w:space="0" w:color="D2C9B8"/>
              <w:bottom w:val="single" w:sz="4" w:space="0" w:color="D2C9B8"/>
              <w:right w:val="single" w:sz="4" w:space="0" w:color="D2C9B8"/>
            </w:tcBorders>
          </w:tcPr>
          <w:p w14:paraId="58652167" w14:textId="77777777" w:rsidR="005A5FCC" w:rsidRDefault="00A21C81">
            <w:pPr>
              <w:spacing w:before="20" w:after="20" w:line="240" w:lineRule="auto"/>
              <w:jc w:val="left"/>
            </w:pPr>
            <w:r>
              <w:rPr>
                <w:rFonts w:cs="EB Garamond"/>
                <w:kern w:val="16"/>
                <w:sz w:val="18"/>
                <w14:ligatures w14:val="standardContextual"/>
              </w:rPr>
              <w:t>Auxílio-acidente, acumulação permitida</w:t>
            </w:r>
          </w:p>
        </w:tc>
        <w:tc>
          <w:tcPr>
            <w:tcW w:w="2117" w:type="dxa"/>
            <w:tcBorders>
              <w:top w:val="single" w:sz="4" w:space="0" w:color="D2C9B8"/>
              <w:left w:val="single" w:sz="4" w:space="0" w:color="D2C9B8"/>
              <w:bottom w:val="single" w:sz="4" w:space="0" w:color="D2C9B8"/>
              <w:right w:val="single" w:sz="4" w:space="0" w:color="D2C9B8"/>
            </w:tcBorders>
          </w:tcPr>
          <w:p w14:paraId="3ABF5D09" w14:textId="77777777" w:rsidR="005A5FCC" w:rsidRDefault="00A21C81">
            <w:pPr>
              <w:spacing w:before="20" w:after="20" w:line="240" w:lineRule="auto"/>
              <w:jc w:val="left"/>
            </w:pPr>
            <w:r>
              <w:rPr>
                <w:rFonts w:cs="EB Garamond"/>
                <w:kern w:val="16"/>
                <w:sz w:val="18"/>
                <w14:ligatures w14:val="standardContextual"/>
              </w:rPr>
              <w:t>15.3</w:t>
            </w:r>
          </w:p>
        </w:tc>
      </w:tr>
      <w:tr w:rsidR="005A5FCC" w14:paraId="3453EBAA"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55BD2F74" w14:textId="77777777" w:rsidR="005A5FCC" w:rsidRDefault="00A21C81">
            <w:pPr>
              <w:spacing w:before="20" w:after="20" w:line="240" w:lineRule="auto"/>
              <w:jc w:val="left"/>
            </w:pPr>
            <w:r>
              <w:rPr>
                <w:rFonts w:cs="EB Garamond"/>
                <w:kern w:val="16"/>
                <w:sz w:val="18"/>
                <w14:ligatures w14:val="standardContextual"/>
              </w:rPr>
              <w:t>Cap. 16</w:t>
            </w:r>
          </w:p>
        </w:tc>
        <w:tc>
          <w:tcPr>
            <w:tcW w:w="2117" w:type="dxa"/>
            <w:tcBorders>
              <w:top w:val="single" w:sz="4" w:space="0" w:color="D2C9B8"/>
              <w:left w:val="single" w:sz="4" w:space="0" w:color="D2C9B8"/>
              <w:bottom w:val="single" w:sz="4" w:space="0" w:color="D2C9B8"/>
              <w:right w:val="single" w:sz="4" w:space="0" w:color="D2C9B8"/>
            </w:tcBorders>
          </w:tcPr>
          <w:p w14:paraId="55D26887" w14:textId="77777777" w:rsidR="005A5FCC" w:rsidRDefault="00A21C81">
            <w:pPr>
              <w:spacing w:before="20" w:after="20" w:line="240" w:lineRule="auto"/>
              <w:jc w:val="left"/>
            </w:pPr>
            <w:r>
              <w:rPr>
                <w:rFonts w:cs="EB Garamond"/>
                <w:kern w:val="16"/>
                <w:sz w:val="18"/>
                <w14:ligatures w14:val="standardContextual"/>
              </w:rPr>
              <w:t>Cálculo geral do SB</w:t>
            </w:r>
          </w:p>
        </w:tc>
        <w:tc>
          <w:tcPr>
            <w:tcW w:w="2117" w:type="dxa"/>
            <w:tcBorders>
              <w:top w:val="single" w:sz="4" w:space="0" w:color="D2C9B8"/>
              <w:left w:val="single" w:sz="4" w:space="0" w:color="D2C9B8"/>
              <w:bottom w:val="single" w:sz="4" w:space="0" w:color="D2C9B8"/>
              <w:right w:val="single" w:sz="4" w:space="0" w:color="D2C9B8"/>
            </w:tcBorders>
          </w:tcPr>
          <w:p w14:paraId="0400F8C2" w14:textId="77777777" w:rsidR="005A5FCC" w:rsidRDefault="00A21C81">
            <w:pPr>
              <w:spacing w:before="20" w:after="20" w:line="240" w:lineRule="auto"/>
              <w:jc w:val="left"/>
            </w:pPr>
            <w:r>
              <w:rPr>
                <w:rFonts w:cs="EB Garamond"/>
                <w:kern w:val="16"/>
                <w:sz w:val="18"/>
                <w14:ligatures w14:val="standardContextual"/>
              </w:rPr>
              <w:t>16.3</w:t>
            </w:r>
          </w:p>
        </w:tc>
      </w:tr>
      <w:tr w:rsidR="005A5FCC" w14:paraId="6C93A36D"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1284B3A6" w14:textId="77777777" w:rsidR="005A5FCC" w:rsidRDefault="00A21C81">
            <w:pPr>
              <w:spacing w:before="20" w:after="20" w:line="240" w:lineRule="auto"/>
              <w:jc w:val="left"/>
            </w:pPr>
            <w:r>
              <w:rPr>
                <w:rFonts w:cs="EB Garamond"/>
                <w:kern w:val="16"/>
                <w:sz w:val="18"/>
                <w14:ligatures w14:val="standardContextual"/>
              </w:rPr>
              <w:lastRenderedPageBreak/>
              <w:t>Cap. 19</w:t>
            </w:r>
          </w:p>
        </w:tc>
        <w:tc>
          <w:tcPr>
            <w:tcW w:w="2117" w:type="dxa"/>
            <w:tcBorders>
              <w:top w:val="single" w:sz="4" w:space="0" w:color="D2C9B8"/>
              <w:left w:val="single" w:sz="4" w:space="0" w:color="D2C9B8"/>
              <w:bottom w:val="single" w:sz="4" w:space="0" w:color="D2C9B8"/>
              <w:right w:val="single" w:sz="4" w:space="0" w:color="D2C9B8"/>
            </w:tcBorders>
          </w:tcPr>
          <w:p w14:paraId="07ECA772" w14:textId="77777777" w:rsidR="005A5FCC" w:rsidRDefault="00A21C81">
            <w:pPr>
              <w:spacing w:before="20" w:after="20" w:line="240" w:lineRule="auto"/>
              <w:jc w:val="left"/>
            </w:pPr>
            <w:r>
              <w:rPr>
                <w:rFonts w:cs="EB Garamond"/>
                <w:kern w:val="16"/>
                <w:sz w:val="18"/>
                <w14:ligatures w14:val="standardContextual"/>
              </w:rPr>
              <w:t>Pensão por morte, morte da gestante</w:t>
            </w:r>
          </w:p>
        </w:tc>
        <w:tc>
          <w:tcPr>
            <w:tcW w:w="2117" w:type="dxa"/>
            <w:tcBorders>
              <w:top w:val="single" w:sz="4" w:space="0" w:color="D2C9B8"/>
              <w:left w:val="single" w:sz="4" w:space="0" w:color="D2C9B8"/>
              <w:bottom w:val="single" w:sz="4" w:space="0" w:color="D2C9B8"/>
              <w:right w:val="single" w:sz="4" w:space="0" w:color="D2C9B8"/>
            </w:tcBorders>
          </w:tcPr>
          <w:p w14:paraId="1CE08679" w14:textId="77777777" w:rsidR="005A5FCC" w:rsidRDefault="00A21C81">
            <w:pPr>
              <w:spacing w:before="20" w:after="20" w:line="240" w:lineRule="auto"/>
              <w:jc w:val="left"/>
            </w:pPr>
            <w:r>
              <w:rPr>
                <w:rFonts w:cs="EB Garamond"/>
                <w:kern w:val="16"/>
                <w:sz w:val="18"/>
                <w14:ligatures w14:val="standardContextual"/>
              </w:rPr>
              <w:t>19.8</w:t>
            </w:r>
          </w:p>
        </w:tc>
      </w:tr>
      <w:tr w:rsidR="005A5FCC" w14:paraId="2894C9A5"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76F173C5" w14:textId="77777777" w:rsidR="005A5FCC" w:rsidRDefault="00A21C81">
            <w:pPr>
              <w:spacing w:before="20" w:after="20" w:line="240" w:lineRule="auto"/>
              <w:jc w:val="left"/>
            </w:pPr>
            <w:r>
              <w:rPr>
                <w:rFonts w:cs="EB Garamond"/>
                <w:kern w:val="16"/>
                <w:sz w:val="18"/>
                <w14:ligatures w14:val="standardContextual"/>
              </w:rPr>
              <w:t>Cap. 20</w:t>
            </w:r>
          </w:p>
        </w:tc>
        <w:tc>
          <w:tcPr>
            <w:tcW w:w="2117" w:type="dxa"/>
            <w:tcBorders>
              <w:top w:val="single" w:sz="4" w:space="0" w:color="D2C9B8"/>
              <w:left w:val="single" w:sz="4" w:space="0" w:color="D2C9B8"/>
              <w:bottom w:val="single" w:sz="4" w:space="0" w:color="D2C9B8"/>
              <w:right w:val="single" w:sz="4" w:space="0" w:color="D2C9B8"/>
            </w:tcBorders>
          </w:tcPr>
          <w:p w14:paraId="27F3516B" w14:textId="77777777" w:rsidR="005A5FCC" w:rsidRDefault="00A21C81">
            <w:pPr>
              <w:spacing w:before="20" w:after="20" w:line="240" w:lineRule="auto"/>
              <w:jc w:val="left"/>
            </w:pPr>
            <w:r>
              <w:rPr>
                <w:rFonts w:cs="EB Garamond"/>
                <w:kern w:val="16"/>
                <w:sz w:val="18"/>
                <w14:ligatures w14:val="standardContextual"/>
              </w:rPr>
              <w:t>Acumulação de benefícios</w:t>
            </w:r>
          </w:p>
        </w:tc>
        <w:tc>
          <w:tcPr>
            <w:tcW w:w="2117" w:type="dxa"/>
            <w:tcBorders>
              <w:top w:val="single" w:sz="4" w:space="0" w:color="D2C9B8"/>
              <w:left w:val="single" w:sz="4" w:space="0" w:color="D2C9B8"/>
              <w:bottom w:val="single" w:sz="4" w:space="0" w:color="D2C9B8"/>
              <w:right w:val="single" w:sz="4" w:space="0" w:color="D2C9B8"/>
            </w:tcBorders>
          </w:tcPr>
          <w:p w14:paraId="3C872B4C" w14:textId="77777777" w:rsidR="005A5FCC" w:rsidRDefault="00A21C81">
            <w:pPr>
              <w:spacing w:before="20" w:after="20" w:line="240" w:lineRule="auto"/>
              <w:jc w:val="left"/>
            </w:pPr>
            <w:r>
              <w:rPr>
                <w:rFonts w:cs="EB Garamond"/>
                <w:kern w:val="16"/>
                <w:sz w:val="18"/>
                <w14:ligatures w14:val="standardContextual"/>
              </w:rPr>
              <w:t>20.2</w:t>
            </w:r>
          </w:p>
        </w:tc>
      </w:tr>
      <w:tr w:rsidR="005A5FCC" w14:paraId="36C123B5"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6F0879E8" w14:textId="77777777" w:rsidR="005A5FCC" w:rsidRDefault="00A21C81">
            <w:pPr>
              <w:spacing w:before="20" w:after="20" w:line="240" w:lineRule="auto"/>
              <w:jc w:val="left"/>
            </w:pPr>
            <w:r>
              <w:rPr>
                <w:rFonts w:cs="EB Garamond"/>
                <w:kern w:val="16"/>
                <w:sz w:val="18"/>
                <w14:ligatures w14:val="standardContextual"/>
              </w:rPr>
              <w:t>Cap. 23</w:t>
            </w:r>
          </w:p>
        </w:tc>
        <w:tc>
          <w:tcPr>
            <w:tcW w:w="2117" w:type="dxa"/>
            <w:tcBorders>
              <w:top w:val="single" w:sz="4" w:space="0" w:color="D2C9B8"/>
              <w:left w:val="single" w:sz="4" w:space="0" w:color="D2C9B8"/>
              <w:bottom w:val="single" w:sz="4" w:space="0" w:color="D2C9B8"/>
              <w:right w:val="single" w:sz="4" w:space="0" w:color="D2C9B8"/>
            </w:tcBorders>
          </w:tcPr>
          <w:p w14:paraId="3339B79D" w14:textId="77777777" w:rsidR="005A5FCC" w:rsidRDefault="00A21C81">
            <w:pPr>
              <w:spacing w:before="20" w:after="20" w:line="240" w:lineRule="auto"/>
              <w:jc w:val="left"/>
            </w:pPr>
            <w:r>
              <w:rPr>
                <w:rFonts w:cs="EB Garamond"/>
                <w:kern w:val="16"/>
                <w:sz w:val="18"/>
                <w14:ligatures w14:val="standardContextual"/>
              </w:rPr>
              <w:t>Procedimento geral do JEF</w:t>
            </w:r>
          </w:p>
        </w:tc>
        <w:tc>
          <w:tcPr>
            <w:tcW w:w="2117" w:type="dxa"/>
            <w:tcBorders>
              <w:top w:val="single" w:sz="4" w:space="0" w:color="D2C9B8"/>
              <w:left w:val="single" w:sz="4" w:space="0" w:color="D2C9B8"/>
              <w:bottom w:val="single" w:sz="4" w:space="0" w:color="D2C9B8"/>
              <w:right w:val="single" w:sz="4" w:space="0" w:color="D2C9B8"/>
            </w:tcBorders>
          </w:tcPr>
          <w:p w14:paraId="4845BF1A" w14:textId="77777777" w:rsidR="005A5FCC" w:rsidRDefault="00A21C81">
            <w:pPr>
              <w:spacing w:before="20" w:after="20" w:line="240" w:lineRule="auto"/>
              <w:jc w:val="left"/>
            </w:pPr>
            <w:r>
              <w:rPr>
                <w:rFonts w:cs="EB Garamond"/>
                <w:kern w:val="16"/>
                <w:sz w:val="18"/>
                <w14:ligatures w14:val="standardContextual"/>
              </w:rPr>
              <w:t>23.4 a 23.8</w:t>
            </w:r>
          </w:p>
        </w:tc>
      </w:tr>
    </w:tbl>
    <w:p w14:paraId="2A83B9BC" w14:textId="77777777" w:rsidR="005A5FCC" w:rsidRDefault="005A5FCC">
      <w:pPr>
        <w:spacing w:after="80" w:line="240" w:lineRule="auto"/>
      </w:pPr>
    </w:p>
    <w:p w14:paraId="1A79391E"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3790E2E1" w14:textId="77777777" w:rsidR="005A5FCC" w:rsidRDefault="00A21C81">
      <w:r>
        <w:rPr>
          <w:rFonts w:cs="EB Garamond"/>
          <w:b/>
          <w:kern w:val="16"/>
          <w14:ligatures w14:val="standardContextual"/>
        </w:rPr>
        <w:t>rmadilhas comuns na prática do salário-maternidade:</w:t>
      </w:r>
    </w:p>
    <w:tbl>
      <w:tblPr>
        <w:tblW w:w="5000" w:type="pct"/>
        <w:jc w:val="center"/>
        <w:tblLayout w:type="fixed"/>
        <w:tblLook w:val="04A0" w:firstRow="1" w:lastRow="0" w:firstColumn="1" w:lastColumn="0" w:noHBand="0" w:noVBand="1"/>
      </w:tblPr>
      <w:tblGrid>
        <w:gridCol w:w="6311"/>
      </w:tblGrid>
      <w:tr w:rsidR="005A5FCC" w14:paraId="03A974FF"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4C5CA74E"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198B45D0" w14:textId="77777777" w:rsidR="005A5FCC" w:rsidRDefault="00A21C81">
            <w:pPr>
              <w:spacing w:after="60" w:line="247" w:lineRule="auto"/>
            </w:pPr>
            <w:r>
              <w:rPr>
                <w:rFonts w:cs="EB Garamond"/>
                <w:b/>
                <w:kern w:val="16"/>
                <w:sz w:val="19"/>
                <w14:ligatures w14:val="standardContextual"/>
              </w:rPr>
              <w:t>Armadilhas comuns no salário-maternidade, o que NÃO fazer</w:t>
            </w:r>
          </w:p>
          <w:p w14:paraId="0F01F450" w14:textId="77777777" w:rsidR="005A5FCC" w:rsidRDefault="00A21C81">
            <w:pPr>
              <w:spacing w:after="30" w:line="240" w:lineRule="auto"/>
              <w:ind w:left="227" w:hanging="142"/>
            </w:pPr>
            <w:r>
              <w:rPr>
                <w:rFonts w:cs="EB Garamond"/>
                <w:kern w:val="16"/>
                <w:sz w:val="19"/>
                <w14:ligatures w14:val="standardContextual"/>
              </w:rPr>
              <w:t xml:space="preserve">1. </w:t>
            </w:r>
            <w:r>
              <w:rPr>
                <w:rFonts w:cs="EB Garamond"/>
                <w:b/>
                <w:kern w:val="16"/>
                <w:sz w:val="19"/>
                <w14:ligatures w14:val="standardContextual"/>
              </w:rPr>
              <w:t>Não confundir licença-maternidade com salário-maternidade:</w:t>
            </w:r>
            <w:r>
              <w:rPr>
                <w:rFonts w:cs="EB Garamond"/>
                <w:kern w:val="16"/>
                <w:sz w:val="19"/>
                <w14:ligatures w14:val="standardContextual"/>
              </w:rPr>
              <w:t xml:space="preserve"> a licença é o direito trabalhista ao afastamento; o SM é o benefício previdenciário. A segurada CI não tem licença (não tem empregador), mas tem SM.</w:t>
            </w:r>
          </w:p>
          <w:p w14:paraId="590659EF" w14:textId="77777777" w:rsidR="005A5FCC" w:rsidRDefault="00A21C81">
            <w:pPr>
              <w:spacing w:after="30" w:line="240" w:lineRule="auto"/>
              <w:ind w:left="227" w:hanging="142"/>
            </w:pPr>
            <w:r>
              <w:rPr>
                <w:rFonts w:cs="EB Garamond"/>
                <w:kern w:val="16"/>
                <w:sz w:val="19"/>
                <w14:ligatures w14:val="standardContextual"/>
              </w:rPr>
              <w:t xml:space="preserve">2. </w:t>
            </w:r>
            <w:r>
              <w:rPr>
                <w:rFonts w:cs="EB Garamond"/>
                <w:b/>
                <w:kern w:val="16"/>
                <w:sz w:val="19"/>
                <w14:ligatures w14:val="standardContextual"/>
              </w:rPr>
              <w:t>Não ignorar o prazo de requerimento:</w:t>
            </w:r>
            <w:r>
              <w:rPr>
                <w:rFonts w:cs="EB Garamond"/>
                <w:kern w:val="16"/>
                <w:sz w:val="19"/>
                <w14:ligatures w14:val="standardContextual"/>
              </w:rPr>
              <w:t xml:space="preserve"> embora o direito ao SM não prescreva em si, as parcelas prescrevem em 5 anos. Se a segurada nunca requereu, pode perder parcelas antigas.</w:t>
            </w:r>
          </w:p>
          <w:p w14:paraId="63B4FA7E" w14:textId="77777777" w:rsidR="005A5FCC" w:rsidRDefault="00A21C81">
            <w:pPr>
              <w:spacing w:after="30" w:line="240" w:lineRule="auto"/>
              <w:ind w:left="227" w:hanging="142"/>
            </w:pPr>
            <w:r>
              <w:rPr>
                <w:rFonts w:cs="EB Garamond"/>
                <w:kern w:val="16"/>
                <w:sz w:val="19"/>
                <w14:ligatures w14:val="standardContextual"/>
              </w:rPr>
              <w:t xml:space="preserve">3. </w:t>
            </w:r>
            <w:r>
              <w:rPr>
                <w:rFonts w:cs="EB Garamond"/>
                <w:b/>
                <w:kern w:val="16"/>
                <w:sz w:val="19"/>
                <w14:ligatures w14:val="standardContextual"/>
              </w:rPr>
              <w:t>Não requerer SM como empregada quando o vínculo cessou:</w:t>
            </w:r>
            <w:r>
              <w:rPr>
                <w:rFonts w:cs="EB Garamond"/>
                <w:kern w:val="16"/>
                <w:sz w:val="19"/>
                <w14:ligatures w14:val="standardContextual"/>
              </w:rPr>
              <w:t xml:space="preserve"> se a segurada foi demitida antes do parto e está no período de graça, o SM é pago pelo INSS (não pelo ex-empregador). O requerimento deve ser feito ao INSS, não à empresa.</w:t>
            </w:r>
          </w:p>
          <w:p w14:paraId="30FA975B" w14:textId="77777777" w:rsidR="005A5FCC" w:rsidRDefault="00A21C81">
            <w:pPr>
              <w:spacing w:after="30" w:line="240" w:lineRule="auto"/>
              <w:ind w:left="227" w:hanging="142"/>
            </w:pPr>
            <w:r>
              <w:rPr>
                <w:rFonts w:cs="EB Garamond"/>
                <w:kern w:val="16"/>
                <w:sz w:val="19"/>
                <w14:ligatures w14:val="standardContextual"/>
              </w:rPr>
              <w:t xml:space="preserve">4. </w:t>
            </w:r>
            <w:r>
              <w:rPr>
                <w:rFonts w:cs="EB Garamond"/>
                <w:b/>
                <w:kern w:val="16"/>
                <w:sz w:val="19"/>
                <w14:ligatures w14:val="standardContextual"/>
              </w:rPr>
              <w:t>Não esquecer de juntar prova rural atualizada:</w:t>
            </w:r>
            <w:r>
              <w:rPr>
                <w:rFonts w:cs="EB Garamond"/>
                <w:kern w:val="16"/>
                <w:sz w:val="19"/>
                <w14:ligatures w14:val="standardContextual"/>
              </w:rPr>
              <w:t xml:space="preserve"> para segurada especial, a DAP/CAF deve estar vigente e a atividade rural deve ser contemporânea ao parto. DAP vencida ou de anos anteriores pode ser insuficiente.</w:t>
            </w:r>
          </w:p>
          <w:p w14:paraId="188D40E6" w14:textId="77777777" w:rsidR="005A5FCC" w:rsidRDefault="00A21C81">
            <w:pPr>
              <w:spacing w:after="30" w:line="240" w:lineRule="auto"/>
              <w:ind w:left="227" w:hanging="142"/>
            </w:pPr>
            <w:r>
              <w:rPr>
                <w:rFonts w:cs="EB Garamond"/>
                <w:kern w:val="16"/>
                <w:sz w:val="19"/>
                <w14:ligatures w14:val="standardContextual"/>
              </w:rPr>
              <w:t xml:space="preserve">5. </w:t>
            </w:r>
            <w:r>
              <w:rPr>
                <w:rFonts w:cs="EB Garamond"/>
                <w:b/>
                <w:kern w:val="16"/>
                <w:sz w:val="19"/>
                <w14:ligatures w14:val="standardContextual"/>
              </w:rPr>
              <w:t>Não acumular SM com auxílio por incapacidade temporária:</w:t>
            </w:r>
            <w:r>
              <w:rPr>
                <w:rFonts w:cs="EB Garamond"/>
                <w:kern w:val="16"/>
                <w:sz w:val="19"/>
                <w14:ligatures w14:val="standardContextual"/>
              </w:rPr>
              <w:t xml:space="preserve"> são inacumuláveis. Se a segurada está em auxílio por incapacidade temporária, deve requerer a conversão em SM.</w:t>
            </w:r>
          </w:p>
          <w:p w14:paraId="7DFF6BED" w14:textId="77777777" w:rsidR="005A5FCC" w:rsidRDefault="00A21C81">
            <w:pPr>
              <w:spacing w:after="30" w:line="240" w:lineRule="auto"/>
              <w:ind w:left="227" w:hanging="142"/>
            </w:pPr>
            <w:r>
              <w:rPr>
                <w:rFonts w:cs="EB Garamond"/>
                <w:kern w:val="16"/>
                <w:sz w:val="19"/>
                <w14:ligatures w14:val="standardContextual"/>
              </w:rPr>
              <w:t xml:space="preserve">6. </w:t>
            </w:r>
            <w:r>
              <w:rPr>
                <w:rFonts w:cs="EB Garamond"/>
                <w:b/>
                <w:kern w:val="16"/>
                <w:sz w:val="19"/>
                <w14:ligatures w14:val="standardContextual"/>
              </w:rPr>
              <w:t>Não confundir o teto:</w:t>
            </w:r>
            <w:r>
              <w:rPr>
                <w:rFonts w:cs="EB Garamond"/>
                <w:kern w:val="16"/>
                <w:sz w:val="19"/>
                <w14:ligatures w14:val="standardContextual"/>
              </w:rPr>
              <w:t xml:space="preserve"> o SM da empregada CLT é a remuneração integral (sem teto do RGPS para o valor pago à segurada); a compensação pela empresa é que se limita ao teto.</w:t>
            </w:r>
          </w:p>
          <w:p w14:paraId="4ADC6207" w14:textId="77777777" w:rsidR="005A5FCC" w:rsidRDefault="00A21C81">
            <w:pPr>
              <w:spacing w:after="30" w:line="240" w:lineRule="auto"/>
              <w:ind w:left="227" w:hanging="142"/>
            </w:pPr>
            <w:r>
              <w:rPr>
                <w:rFonts w:cs="EB Garamond"/>
                <w:kern w:val="16"/>
                <w:sz w:val="19"/>
                <w14:ligatures w14:val="standardContextual"/>
              </w:rPr>
              <w:t xml:space="preserve">7. </w:t>
            </w:r>
            <w:r>
              <w:rPr>
                <w:rFonts w:cs="EB Garamond"/>
                <w:b/>
                <w:kern w:val="16"/>
                <w:sz w:val="19"/>
                <w14:ligatures w14:val="standardContextual"/>
              </w:rPr>
              <w:t>Não ajuizar ação sem prévio requerimento:</w:t>
            </w:r>
            <w:r>
              <w:rPr>
                <w:rFonts w:cs="EB Garamond"/>
                <w:kern w:val="16"/>
                <w:sz w:val="19"/>
                <w14:ligatures w14:val="standardContextual"/>
              </w:rPr>
              <w:t xml:space="preserve"> o Tema 350/STF exige requerimento administrativo, salvo exceções específicas.</w:t>
            </w:r>
          </w:p>
        </w:tc>
      </w:tr>
    </w:tbl>
    <w:p w14:paraId="16FA14EF" w14:textId="77777777" w:rsidR="005A5FCC" w:rsidRDefault="005A5FCC">
      <w:pPr>
        <w:spacing w:after="80" w:line="240" w:lineRule="auto"/>
      </w:pPr>
    </w:p>
    <w:p w14:paraId="1301D471"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P</w:t>
      </w:r>
    </w:p>
    <w:p w14:paraId="483FAEB2" w14:textId="77777777" w:rsidR="005A5FCC" w:rsidRDefault="00A21C81">
      <w:r>
        <w:rPr>
          <w:rFonts w:cs="EB Garamond"/>
          <w:b/>
          <w:kern w:val="16"/>
          <w14:ligatures w14:val="standardContextual"/>
        </w:rPr>
        <w:t>erspectivas e tendências.</w:t>
      </w:r>
    </w:p>
    <w:p w14:paraId="4E1DAC9E" w14:textId="77777777" w:rsidR="005A5FCC" w:rsidRDefault="00A21C81">
      <w:pPr>
        <w:ind w:firstLine="238"/>
      </w:pPr>
      <w:r>
        <w:rPr>
          <w:rFonts w:cs="EB Garamond"/>
          <w:kern w:val="16"/>
          <w14:ligatures w14:val="standardContextual"/>
        </w:rPr>
        <w:t>Três mudanças estão em curso no salário-maternidade: (a) a universalização plena, já concretizada com as ADIs 2.110/2.111, que eliminaram qualquer distinção de carência entre categorias de seguradas; (b) a extensão a todas as formas de parentalidade, incluindo gestação por substituição e famílias multiparentais; e (c) a ampliação da duração para cento e oitenta dias como regra geral, não apenas para empresas do Empresa Cidadã.</w:t>
      </w:r>
    </w:p>
    <w:p w14:paraId="63740DF3" w14:textId="77777777" w:rsidR="005A5FCC" w:rsidRDefault="00A21C81">
      <w:pPr>
        <w:ind w:firstLine="238"/>
      </w:pPr>
      <w:r>
        <w:rPr>
          <w:rFonts w:cs="EB Garamond"/>
          <w:kern w:val="16"/>
          <w14:ligatures w14:val="standardContextual"/>
        </w:rPr>
        <w:t>No plano legislativo, tramitam projetos que propõem: (a) a extensão do salário-maternidade a cento e oitenta dias como regra geral para todas as seguradas (não apenas para empregadas do Empresa Cidadã); (b) a criação de um "salário-parentalidade" de trinta dias para o pai biológico ou adotante, cumulável com a licença-paternidade; (c) a regulamentação expressa do salário-maternidade em casos de gestação por substituição. A prorrogação do benefício em caso de internação prolongada da segurada ou do recém-nascido, antes objeto de projeto, já foi positivada pela Lei 15.222/2025 (art. 71, § 3º, da Lei 8.213/91).</w:t>
      </w:r>
    </w:p>
    <w:p w14:paraId="76481A56" w14:textId="77777777" w:rsidR="005A5FCC" w:rsidRDefault="00A21C81">
      <w:pPr>
        <w:ind w:firstLine="238"/>
      </w:pPr>
      <w:r>
        <w:rPr>
          <w:rFonts w:cs="EB Garamond"/>
          <w:kern w:val="16"/>
          <w14:ligatures w14:val="standardContextual"/>
        </w:rPr>
        <w:t>No plano judicial, a judicialização massiva do salário-maternidade, especialmente da segurada especial rural, demanda dos JEFs mecanismos de processamento eficiente. A padronização de procedimentos (mutirões de SM rural, designação de audiências concentradas, utilização de teleperícia) pode contribuir para a redução do tempo de tramitação, que é particularmente prejudicial nessa espécie de benefício temporário.</w:t>
      </w:r>
    </w:p>
    <w:p w14:paraId="47274722" w14:textId="77777777" w:rsidR="005A5FCC" w:rsidRDefault="00A21C81">
      <w:pPr>
        <w:ind w:firstLine="238"/>
      </w:pPr>
      <w:r>
        <w:rPr>
          <w:rFonts w:cs="EB Garamond"/>
          <w:kern w:val="16"/>
          <w14:ligatures w14:val="standardContextual"/>
        </w:rPr>
        <w:t>O advogado previdenciário deve estar atento às constantes mudanças legislativas e jurisprudenciais nessa matéria. O salário-maternidade, que durante décadas foi considerado benefício simples, tornou-se um dos campos mais dinâmicos do direito previdenciário, impulsionado pela evolução das configurações familiares, pela ampliação da proteção social e pela crescente judicialização.</w:t>
      </w:r>
    </w:p>
    <w:p w14:paraId="09945AB1" w14:textId="77777777" w:rsidR="005A5FCC" w:rsidRDefault="005A5FCC">
      <w:pPr>
        <w:sectPr w:rsidR="005A5FCC">
          <w:headerReference w:type="even" r:id="rId150"/>
          <w:headerReference w:type="default" r:id="rId151"/>
          <w:footerReference w:type="even" r:id="rId152"/>
          <w:footerReference w:type="default" r:id="rId153"/>
          <w:headerReference w:type="first" r:id="rId154"/>
          <w:footerReference w:type="first" r:id="rId155"/>
          <w:pgSz w:w="8391" w:h="11906"/>
          <w:pgMar w:top="935" w:right="879" w:bottom="964" w:left="1162" w:header="454" w:footer="425" w:gutter="0"/>
          <w:cols w:space="720"/>
          <w:titlePg/>
          <w:docGrid w:linePitch="360"/>
        </w:sectPr>
      </w:pPr>
    </w:p>
    <w:p w14:paraId="1B67DE5E" w14:textId="77777777" w:rsidR="005A5FCC" w:rsidRDefault="00A21C81">
      <w:pPr>
        <w:keepNext/>
        <w:spacing w:before="240" w:after="80" w:line="240" w:lineRule="auto"/>
        <w:jc w:val="center"/>
      </w:pPr>
      <w:r>
        <w:rPr>
          <w:rFonts w:ascii="Noto Sans" w:hAnsi="Noto Sans" w:cs="Noto Sans"/>
          <w:b/>
          <w:caps/>
          <w:color w:val="8A6A2A"/>
          <w:kern w:val="16"/>
          <w:sz w:val="19"/>
          <w14:ligatures w14:val="standardContextual"/>
        </w:rPr>
        <w:lastRenderedPageBreak/>
        <w:t>CAPÍTULO 14</w:t>
      </w:r>
    </w:p>
    <w:p w14:paraId="7ACA7A1C" w14:textId="77777777" w:rsidR="005A5FCC" w:rsidRDefault="00A21C81">
      <w:pPr>
        <w:pStyle w:val="Ttulo2"/>
        <w:spacing w:line="240" w:lineRule="auto"/>
      </w:pPr>
      <w:r>
        <w:rPr>
          <w:rFonts w:ascii="EB Garamond" w:hAnsi="EB Garamond" w:cs="EB Garamond"/>
          <w:caps/>
          <w:kern w:val="16"/>
          <w14:ligatures w14:val="standardContextual"/>
        </w:rPr>
        <w:t>Auxílio-Reclusão</w:t>
      </w:r>
    </w:p>
    <w:p w14:paraId="44BB8CB1" w14:textId="77777777" w:rsidR="005A5FCC" w:rsidRDefault="00A21C81">
      <w:pPr>
        <w:spacing w:after="240" w:line="240" w:lineRule="auto"/>
        <w:jc w:val="center"/>
      </w:pPr>
      <w:r>
        <w:rPr>
          <w:rFonts w:cs="EB Garamond"/>
          <w:color w:val="B78B37"/>
          <w:kern w:val="16"/>
          <w:sz w:val="18"/>
          <w14:ligatures w14:val="standardContextual"/>
        </w:rPr>
        <w:t>━━━━  ◆  ━━━━</w:t>
      </w:r>
    </w:p>
    <w:p w14:paraId="6A113A57" w14:textId="56113568" w:rsidR="005A5FCC" w:rsidRDefault="00523962">
      <w:pPr>
        <w:keepNext/>
        <w:pBdr>
          <w:bottom w:val="single" w:sz="8" w:space="4" w:color="B89B5E"/>
        </w:pBdr>
        <w:spacing w:before="360" w:after="140" w:line="240" w:lineRule="auto"/>
        <w:jc w:val="left"/>
      </w:pPr>
      <w:r>
        <w:rPr>
          <w:rFonts w:cs="EB Garamond"/>
          <w:b/>
          <w:color w:val="3A3128"/>
          <w:kern w:val="16"/>
          <w:sz w:val="31"/>
          <w14:ligatures w14:val="standardContextual"/>
        </w:rPr>
        <w:t xml:space="preserve">14.1 </w:t>
      </w:r>
      <w:r w:rsidR="00A21C81">
        <w:rPr>
          <w:rFonts w:cs="EB Garamond"/>
          <w:b/>
          <w:color w:val="3A3128"/>
          <w:kern w:val="16"/>
          <w:sz w:val="31"/>
          <w14:ligatures w14:val="standardContextual"/>
        </w:rPr>
        <w:t>Introdução e fundamento constitucional</w:t>
      </w:r>
    </w:p>
    <w:p w14:paraId="31F805DB"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13056BC4" w14:textId="77777777" w:rsidR="005A5FCC" w:rsidRDefault="00A21C81">
      <w:r>
        <w:rPr>
          <w:rFonts w:cs="EB Garamond"/>
          <w:kern w:val="16"/>
          <w14:ligatures w14:val="standardContextual"/>
        </w:rPr>
        <w:t xml:space="preserve"> auxílio-reclusão é o benefício previdenciário mais criticado pela opinião pública e, por isso, o mais restringido pela EC 103/2019. Embora represente menos de 0,1% do total de benefícios pagos pelo INSS, o auxílio-reclusão ocupa espaço desproporcional no debate público, frequentemente instrumentalizado por discursos que confundem proteção social dos dependentes com suposto privilégio ao preso. Nos Juizados Especiais Federais, a demanda por sua concessão e manutenção é significativa e exige do operador domínio técnico aprofundado.</w:t>
      </w:r>
    </w:p>
    <w:p w14:paraId="52040370" w14:textId="77777777" w:rsidR="005A5FCC" w:rsidRDefault="00A21C81">
      <w:pPr>
        <w:ind w:firstLine="238"/>
      </w:pPr>
      <w:r>
        <w:rPr>
          <w:rFonts w:cs="EB Garamond"/>
          <w:kern w:val="16"/>
          <w14:ligatures w14:val="standardContextual"/>
        </w:rPr>
        <w:t>O fundamento constitucional do auxílio-reclusão encontra-se no art. 201, inciso IV, da Constituição Federal. Na redação original de 1988, o auxílio-reclusão constava do art. 201, inciso I, como prestação devida aos dependentes dos segurados, sem qualquer restrição de renda. A EC 20/1998 reestruturou o art. 201, realocou o auxílio-reclusão para o inciso IV e inseriu a expressão "baixa renda" no texto constitucional, restringindo o universo de potenciais beneficiários. A EC 103/2019 promoveu a mais profunda reformulação do benefício desde sua constitucionalização, alterando substancialmente os requisitos, o valor e as condições de manutenção.</w:t>
      </w:r>
    </w:p>
    <w:p w14:paraId="7F04B33B" w14:textId="77777777" w:rsidR="005A5FCC" w:rsidRDefault="00A21C81">
      <w:pPr>
        <w:ind w:firstLine="238"/>
      </w:pPr>
      <w:r>
        <w:rPr>
          <w:rFonts w:cs="EB Garamond"/>
          <w:kern w:val="16"/>
          <w14:ligatures w14:val="standardContextual"/>
        </w:rPr>
        <w:t>Na redação conferida pela EC 103/2019, o art. 201, IV, da CF passou a dispor que a previdência social atenderá "auxílio-reclusão para os dependentes das pessoas de baixa renda". O § 5º do mesmo artigo, também incluído pela EC 103, estabeleceu que "é vedada a concessão, por lei, de auxílio-reclusão quando o recluso estiver em regime aberto" e fixou o valor do benefício em um salário-mínimo.</w:t>
      </w:r>
    </w:p>
    <w:p w14:paraId="725CCC93" w14:textId="77777777" w:rsidR="005A5FCC" w:rsidRDefault="00A21C81">
      <w:pPr>
        <w:ind w:firstLine="238"/>
      </w:pPr>
      <w:r>
        <w:rPr>
          <w:rFonts w:cs="EB Garamond"/>
          <w:kern w:val="16"/>
          <w14:ligatures w14:val="standardContextual"/>
        </w:rPr>
        <w:lastRenderedPageBreak/>
        <w:t xml:space="preserve">O auxílio-reclusão não é benefício destinado ao preso. Trata-se de prestação previdenciária paga aos </w:t>
      </w:r>
      <w:r>
        <w:rPr>
          <w:rFonts w:cs="EB Garamond"/>
          <w:b/>
          <w:kern w:val="16"/>
          <w14:ligatures w14:val="standardContextual"/>
        </w:rPr>
        <w:t>dependentes</w:t>
      </w:r>
      <w:r>
        <w:rPr>
          <w:rFonts w:cs="EB Garamond"/>
          <w:kern w:val="16"/>
          <w14:ligatures w14:val="standardContextual"/>
        </w:rPr>
        <w:t xml:space="preserve"> do segurado recolhido à prisão, com o objetivo de garantir a subsistência da família que perde sua fonte de renda em razão do encarceramento. O segurado é o elemento de conexão, é sua qualidade de segurado e sua filiação ao RGPS que geram o direito, mas os titulares do benefício são exclusivamente os dependentes. Essa distinção, aparentemente singela, tem consequências jurídicas profundas: decorre da própria estrutura do art. 201, IV, c/c o art. 226 da CF, e foi reafirmada como premissa pelo Supremo Tribunal Federal no julgamento do RE 587.365 (Tema 89) — observando-se que a tese vinculante ali fixada versa especificamente sobre o parâmetro de renda a ser aferido (a do segurado, e não a dos dependentes), e não sobre a titularidade do benefício, que repousa diretamente no texto constitucional.</w:t>
      </w:r>
    </w:p>
    <w:tbl>
      <w:tblPr>
        <w:tblW w:w="5000" w:type="pct"/>
        <w:jc w:val="center"/>
        <w:tblLayout w:type="fixed"/>
        <w:tblLook w:val="04A0" w:firstRow="1" w:lastRow="0" w:firstColumn="1" w:lastColumn="0" w:noHBand="0" w:noVBand="1"/>
      </w:tblPr>
      <w:tblGrid>
        <w:gridCol w:w="6311"/>
      </w:tblGrid>
      <w:tr w:rsidR="005A5FCC" w14:paraId="0B373F88"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6D212434" w14:textId="77777777" w:rsidR="005A5FCC" w:rsidRDefault="00A21C81">
            <w:pPr>
              <w:spacing w:after="60" w:line="240" w:lineRule="auto"/>
              <w:jc w:val="left"/>
            </w:pPr>
            <w:r>
              <w:rPr>
                <w:rFonts w:ascii="Noto Sans" w:hAnsi="Noto Sans" w:cs="Noto Sans"/>
                <w:b/>
                <w:caps/>
                <w:color w:val="B78B37"/>
                <w:kern w:val="16"/>
                <w:sz w:val="16"/>
                <w14:ligatures w14:val="standardContextual"/>
              </w:rPr>
              <w:lastRenderedPageBreak/>
              <w:t>ATENÇÃO</w:t>
            </w:r>
          </w:p>
          <w:p w14:paraId="2B76C206" w14:textId="77777777" w:rsidR="005A5FCC" w:rsidRDefault="00A21C81">
            <w:pPr>
              <w:spacing w:after="60" w:line="247" w:lineRule="auto"/>
            </w:pPr>
            <w:r>
              <w:rPr>
                <w:rFonts w:cs="EB Garamond"/>
                <w:b/>
                <w:kern w:val="16"/>
                <w:sz w:val="19"/>
                <w14:ligatures w14:val="standardContextual"/>
              </w:rPr>
              <w:t>A EC 103/2019 transformou radicalmente o auxílio-reclusão</w:t>
            </w:r>
          </w:p>
          <w:p w14:paraId="05FE1FA6" w14:textId="77777777" w:rsidR="005A5FCC" w:rsidRDefault="00A21C81">
            <w:pPr>
              <w:spacing w:after="60" w:line="247" w:lineRule="auto"/>
            </w:pPr>
            <w:r>
              <w:rPr>
                <w:rFonts w:cs="EB Garamond"/>
                <w:kern w:val="16"/>
                <w:sz w:val="19"/>
                <w14:ligatures w14:val="standardContextual"/>
              </w:rPr>
              <w:t>O advogado previdenciarista deve ter especial atenção ao regime jurídico aplicável. Existem dois regimes completamente distintos:</w:t>
            </w:r>
          </w:p>
          <w:p w14:paraId="0110D104" w14:textId="77777777" w:rsidR="005A5FCC" w:rsidRDefault="00A21C81">
            <w:pPr>
              <w:spacing w:after="60" w:line="247" w:lineRule="auto"/>
            </w:pPr>
            <w:r>
              <w:rPr>
                <w:rFonts w:cs="EB Garamond"/>
                <w:b/>
                <w:kern w:val="16"/>
                <w:sz w:val="19"/>
                <w14:ligatures w14:val="standardContextual"/>
              </w:rPr>
              <w:t>Regime antigo (fato gerador anterior a 18/01/2019):</w:t>
            </w:r>
            <w:r>
              <w:rPr>
                <w:rFonts w:cs="EB Garamond"/>
                <w:kern w:val="16"/>
                <w:sz w:val="19"/>
                <w14:ligatures w14:val="standardContextual"/>
              </w:rPr>
              <w:t xml:space="preserve"> - Dispensado de carência (art. 26, I, Lei 8.213/91, redação anterior à Lei 13.846/2019) - Qualquer regime prisional (fechado, semiaberto ou aberto) - Valor calculado como a aposentadoria por invalidez: 100% do salário de benefício (piso de 1 SM, teto do RGPS) - Limite de baixa renda aferido pelo último salário de contribuição do segurado</w:t>
            </w:r>
          </w:p>
          <w:p w14:paraId="7D2F3248" w14:textId="77777777" w:rsidR="005A5FCC" w:rsidRDefault="00A21C81">
            <w:pPr>
              <w:spacing w:after="60" w:line="247" w:lineRule="auto"/>
            </w:pPr>
            <w:r>
              <w:rPr>
                <w:rFonts w:cs="EB Garamond"/>
                <w:b/>
                <w:kern w:val="16"/>
                <w:sz w:val="19"/>
                <w14:ligatures w14:val="standardContextual"/>
              </w:rPr>
              <w:t>Regime novo (fato gerador a partir de 18/01/2019):</w:t>
            </w:r>
            <w:r>
              <w:rPr>
                <w:rFonts w:cs="EB Garamond"/>
                <w:kern w:val="16"/>
                <w:sz w:val="19"/>
                <w14:ligatures w14:val="standardContextual"/>
              </w:rPr>
              <w:t xml:space="preserve"> - Carência de 24 contribuições mensais (desde 18/01/2019 — MP 871/2019, consolidada pela Lei 13.846/2019) - Apenas regime fechado (art. 80, Lei 8.213), semiaberto: controvérsia - Valor fixo de 1 salário-mínimo (R$ 1.621,00 em 2026), a partir de 13/11/2019 (EC 103) - Limite de baixa renda: média dos 12 últimos salários ≤ limite anual da Portaria Interministerial MPS/MF (R$ 1.906,04 — limite do exercício de 2025; v. Referência única abaixo)</w:t>
            </w:r>
          </w:p>
          <w:p w14:paraId="16A8FE54" w14:textId="77777777" w:rsidR="005A5FCC" w:rsidRDefault="00A21C81">
            <w:pPr>
              <w:spacing w:after="60" w:line="247" w:lineRule="auto"/>
            </w:pPr>
            <w:r>
              <w:rPr>
                <w:rFonts w:cs="EB Garamond"/>
                <w:kern w:val="16"/>
                <w:sz w:val="19"/>
                <w14:ligatures w14:val="standardContextual"/>
              </w:rPr>
              <w:t xml:space="preserve">A data determinante é o </w:t>
            </w:r>
            <w:r>
              <w:rPr>
                <w:rFonts w:cs="EB Garamond"/>
                <w:b/>
                <w:kern w:val="16"/>
                <w:sz w:val="19"/>
                <w14:ligatures w14:val="standardContextual"/>
              </w:rPr>
              <w:t>recolhimento à prisão</w:t>
            </w:r>
            <w:r>
              <w:rPr>
                <w:rFonts w:cs="EB Garamond"/>
                <w:kern w:val="16"/>
                <w:sz w:val="19"/>
                <w14:ligatures w14:val="standardContextual"/>
              </w:rPr>
              <w:t>, não a data da sentença condenatória.</w:t>
            </w:r>
          </w:p>
          <w:p w14:paraId="6C31996E" w14:textId="77777777" w:rsidR="005A5FCC" w:rsidRDefault="00A21C81">
            <w:pPr>
              <w:spacing w:after="60" w:line="247" w:lineRule="auto"/>
            </w:pPr>
            <w:r>
              <w:rPr>
                <w:rFonts w:cs="EB Garamond"/>
                <w:b/>
                <w:kern w:val="16"/>
                <w:sz w:val="19"/>
                <w14:ligatures w14:val="standardContextual"/>
              </w:rPr>
              <w:t>Sobre o limite de baixa renda (referência única).</w:t>
            </w:r>
            <w:r>
              <w:rPr>
                <w:rFonts w:cs="EB Garamond"/>
                <w:kern w:val="16"/>
                <w:sz w:val="19"/>
                <w14:ligatures w14:val="standardContextual"/>
              </w:rPr>
              <w:t xml:space="preserve"> Adotamos, ao longo deste capítulo, o valor de </w:t>
            </w:r>
            <w:r>
              <w:rPr>
                <w:rFonts w:cs="EB Garamond"/>
                <w:b/>
                <w:kern w:val="16"/>
                <w:sz w:val="19"/>
                <w14:ligatures w14:val="standardContextual"/>
              </w:rPr>
              <w:t>R$ 1.906,04</w:t>
            </w:r>
            <w:r>
              <w:rPr>
                <w:rFonts w:cs="EB Garamond"/>
                <w:kern w:val="16"/>
                <w:sz w:val="19"/>
                <w14:ligatures w14:val="standardContextual"/>
              </w:rPr>
              <w:t>, fixado para 2025 pela Portaria Interministerial MPS/MF n. 6/2025. Esse teto é reajustado anualmente pelos mesmos índices aplicados aos benefícios do RGPS (art. 27, § 1º, da EC 103/2019); a Portaria MPS/MF para 2026, editada em janeiro, atualiza o montante conforme o reajuste do exercício. Sempre que o texto referir "R$ 1.906,04", o leitor deve compreendê-lo como o limite vigente no exercício do fato gerador, substituindo-o pelo valor da portaria do ano correspondente. Para evitar repetições, não reiteramos essa advertência a cada tabela.</w:t>
            </w:r>
          </w:p>
          <w:p w14:paraId="45D804A6" w14:textId="77777777" w:rsidR="005A5FCC" w:rsidRDefault="00A21C81">
            <w:pPr>
              <w:spacing w:after="60" w:line="247" w:lineRule="auto"/>
            </w:pPr>
            <w:r>
              <w:rPr>
                <w:rFonts w:cs="EB Garamond"/>
                <w:b/>
                <w:kern w:val="16"/>
                <w:sz w:val="19"/>
                <w14:ligatures w14:val="standardContextual"/>
              </w:rPr>
              <w:t>Nota:</w:t>
            </w:r>
            <w:r>
              <w:rPr>
                <w:rFonts w:cs="EB Garamond"/>
                <w:kern w:val="16"/>
                <w:sz w:val="19"/>
                <w14:ligatures w14:val="standardContextual"/>
              </w:rPr>
              <w:t xml:space="preserve"> Entre 18/01/2019 e 12/11/2019 (MP 871/2019, convertida na Lei 13.846/2019), vigeu regime intermediário com carência de 24 contribuições e restrição ao regime fechado, porém com valor calculado conforme as regras da pensão por morte (não o valor fixo de 1 SM, que só se aplica a partir de 13/11/2019 pela EC 103).</w:t>
            </w:r>
          </w:p>
        </w:tc>
      </w:tr>
    </w:tbl>
    <w:p w14:paraId="618CF51C" w14:textId="77777777" w:rsidR="005A5FCC" w:rsidRDefault="005A5FCC">
      <w:pPr>
        <w:spacing w:after="80" w:line="240" w:lineRule="auto"/>
      </w:pPr>
    </w:p>
    <w:p w14:paraId="77A40F8E"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14.2 Natureza jurídica e função social</w:t>
      </w:r>
    </w:p>
    <w:p w14:paraId="6BF5B95D"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4CD50B83" w14:textId="77777777" w:rsidR="005A5FCC" w:rsidRDefault="00A21C81">
      <w:r>
        <w:rPr>
          <w:rFonts w:cs="EB Garamond"/>
          <w:kern w:val="16"/>
          <w14:ligatures w14:val="standardContextual"/>
        </w:rPr>
        <w:t xml:space="preserve"> natureza jurídica do auxílio-reclusão é objeto de discussão doutrinária relevante. Três correntes podem ser identificadas. A primeira, majoritária, classifica-o como benefício previdenciário stricto sensu, inserido no sistema de proteção social contributiva, que substitui a renda do segurado temporariamente impossibilitado de exercer atividade laborativa. A segunda corrente identifica natureza híbrida, combinando elementos previdenciários (exigência de qualidade de segurado e carência) com elementos assistenciais (proteção à família vulnerável). A terceira, minoritária, sustenta natureza predominantemente assistencial, considerando que o requisito de baixa renda aproxima o benefício do modelo de assistência social.</w:t>
      </w:r>
    </w:p>
    <w:p w14:paraId="24277BA1" w14:textId="77777777" w:rsidR="005A5FCC" w:rsidRDefault="00A21C81">
      <w:pPr>
        <w:ind w:firstLine="238"/>
      </w:pPr>
      <w:r>
        <w:rPr>
          <w:rFonts w:cs="EB Garamond"/>
          <w:kern w:val="16"/>
          <w14:ligatures w14:val="standardContextual"/>
        </w:rPr>
        <w:t>O Supremo Tribunal Federal, no julgamento paradigmático do RE 587.365 (Tema 89, Rel. Min. Ricardo Lewandowski, julgado em 25/03/2009), adotou posição que reforça a natureza previdenciária do benefício, mas com ênfase em sua função protetiva dos dependentes. O Tribunal assentou que o auxílio-reclusão visa "garantir a subsistência da família do segurado de baixa renda recolhido à prisão", reconhecendo que o encarceramento produz efeitos devastadores sobre o núcleo familiar, especialmente sobre crianças e adolescentes.</w:t>
      </w:r>
    </w:p>
    <w:tbl>
      <w:tblPr>
        <w:tblW w:w="5000" w:type="pct"/>
        <w:jc w:val="center"/>
        <w:tblLayout w:type="fixed"/>
        <w:tblLook w:val="04A0" w:firstRow="1" w:lastRow="0" w:firstColumn="1" w:lastColumn="0" w:noHBand="0" w:noVBand="1"/>
      </w:tblPr>
      <w:tblGrid>
        <w:gridCol w:w="6311"/>
      </w:tblGrid>
      <w:tr w:rsidR="005A5FCC" w14:paraId="05EFF947"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19BE9D91" w14:textId="77777777" w:rsidR="005A5FCC" w:rsidRDefault="00A21C81">
            <w:pPr>
              <w:spacing w:after="60" w:line="240" w:lineRule="auto"/>
              <w:jc w:val="left"/>
            </w:pPr>
            <w:r>
              <w:rPr>
                <w:rFonts w:ascii="Noto Sans" w:hAnsi="Noto Sans" w:cs="Noto Sans"/>
                <w:b/>
                <w:caps/>
                <w:color w:val="4D6F8A"/>
                <w:kern w:val="16"/>
                <w:sz w:val="16"/>
                <w14:ligatures w14:val="standardContextual"/>
              </w:rPr>
              <w:lastRenderedPageBreak/>
              <w:t>JURISPRUDÊNCIA EM DESTAQUE</w:t>
            </w:r>
          </w:p>
          <w:p w14:paraId="40AF817E" w14:textId="77777777" w:rsidR="005A5FCC" w:rsidRDefault="00A21C81">
            <w:pPr>
              <w:spacing w:after="60" w:line="247" w:lineRule="auto"/>
            </w:pPr>
            <w:r>
              <w:rPr>
                <w:rFonts w:cs="EB Garamond"/>
                <w:b/>
                <w:kern w:val="16"/>
                <w:sz w:val="19"/>
                <w14:ligatures w14:val="standardContextual"/>
              </w:rPr>
              <w:t>STF — RE 587.365 (Tema 89): Proteção ao Dependente</w:t>
            </w:r>
          </w:p>
          <w:p w14:paraId="280792FF" w14:textId="77777777" w:rsidR="005A5FCC" w:rsidRDefault="00A21C81">
            <w:pPr>
              <w:spacing w:after="60" w:line="247" w:lineRule="auto"/>
            </w:pPr>
            <w:r>
              <w:rPr>
                <w:rFonts w:cs="EB Garamond"/>
                <w:kern w:val="16"/>
                <w:sz w:val="19"/>
                <w14:ligatures w14:val="standardContextual"/>
              </w:rPr>
              <w:t>Tese fixada (objeto vinculante): "Segundo decorre do art. 201, IV, da Constituição Federal, a renda do segurado preso é a que deve ser utilizada como parâmetro para a concessão do auxílio-reclusão e não a de seus dependentes."</w:t>
            </w:r>
          </w:p>
          <w:p w14:paraId="459EFA68" w14:textId="77777777" w:rsidR="005A5FCC" w:rsidRDefault="00A21C81">
            <w:pPr>
              <w:spacing w:after="60" w:line="247" w:lineRule="auto"/>
            </w:pPr>
            <w:r>
              <w:rPr>
                <w:rFonts w:cs="EB Garamond"/>
                <w:b/>
                <w:kern w:val="16"/>
                <w:sz w:val="19"/>
                <w14:ligatures w14:val="standardContextual"/>
              </w:rPr>
              <w:t>Núcleo da tese.</w:t>
            </w:r>
            <w:r>
              <w:rPr>
                <w:rFonts w:cs="EB Garamond"/>
                <w:kern w:val="16"/>
                <w:sz w:val="19"/>
                <w14:ligatures w14:val="standardContextual"/>
              </w:rPr>
              <w:t xml:space="preserve"> O que o Tema 89 efetivamente fixou, em caráter vinculante, é o </w:t>
            </w:r>
            <w:r>
              <w:rPr>
                <w:rFonts w:cs="EB Garamond"/>
                <w:b/>
                <w:kern w:val="16"/>
                <w:sz w:val="19"/>
                <w14:ligatures w14:val="standardContextual"/>
              </w:rPr>
              <w:t>parâmetro de aferição da renda</w:t>
            </w:r>
            <w:r>
              <w:rPr>
                <w:rFonts w:cs="EB Garamond"/>
                <w:kern w:val="16"/>
                <w:sz w:val="19"/>
                <w14:ligatures w14:val="standardContextual"/>
              </w:rPr>
              <w:t xml:space="preserve">: para fins de enquadramento como "baixa renda", afere-se a renda do </w:t>
            </w:r>
            <w:r>
              <w:rPr>
                <w:rFonts w:cs="EB Garamond"/>
                <w:b/>
                <w:kern w:val="16"/>
                <w:sz w:val="19"/>
                <w14:ligatures w14:val="standardContextual"/>
              </w:rPr>
              <w:t>segurado</w:t>
            </w:r>
            <w:r>
              <w:rPr>
                <w:rFonts w:cs="EB Garamond"/>
                <w:kern w:val="16"/>
                <w:sz w:val="19"/>
                <w14:ligatures w14:val="standardContextual"/>
              </w:rPr>
              <w:t xml:space="preserve"> preso, não a dos dependentes. É a esse comando — e somente a ele — que se deve invocar o Tema 89 ao impugnar indeferimentos do INSS.</w:t>
            </w:r>
          </w:p>
          <w:p w14:paraId="7EF94357" w14:textId="77777777" w:rsidR="005A5FCC" w:rsidRDefault="00A21C81">
            <w:pPr>
              <w:spacing w:after="60" w:line="247" w:lineRule="auto"/>
            </w:pPr>
            <w:r>
              <w:rPr>
                <w:rFonts w:cs="EB Garamond"/>
                <w:b/>
                <w:kern w:val="16"/>
                <w:sz w:val="19"/>
                <w14:ligatures w14:val="standardContextual"/>
              </w:rPr>
              <w:t>Fundamentos e rationale do acórdão (não confundir com a tese vinculante).</w:t>
            </w:r>
            <w:r>
              <w:rPr>
                <w:rFonts w:cs="EB Garamond"/>
                <w:kern w:val="16"/>
                <w:sz w:val="19"/>
                <w14:ligatures w14:val="standardContextual"/>
              </w:rPr>
              <w:t xml:space="preserve"> A afirmação de que o benefício protege o </w:t>
            </w:r>
            <w:r>
              <w:rPr>
                <w:rFonts w:cs="EB Garamond"/>
                <w:b/>
                <w:kern w:val="16"/>
                <w:sz w:val="19"/>
                <w14:ligatures w14:val="standardContextual"/>
              </w:rPr>
              <w:t>dependente</w:t>
            </w:r>
            <w:r>
              <w:rPr>
                <w:rFonts w:cs="EB Garamond"/>
                <w:kern w:val="16"/>
                <w:sz w:val="19"/>
                <w14:ligatures w14:val="standardContextual"/>
              </w:rPr>
              <w:t xml:space="preserve">, e não o preso, integra a fundamentação do julgado e a própria estrutura do art. 201, IV, c/c o art. 226 da CF, mas não constitui o dispositivo vinculante do tema. Trata-se de fundamento autônomo, extraído da natureza do instituto, e assim deve ser citado: - A renda aferida para "baixa renda" é a do </w:t>
            </w:r>
            <w:r>
              <w:rPr>
                <w:rFonts w:cs="EB Garamond"/>
                <w:b/>
                <w:kern w:val="16"/>
                <w:sz w:val="19"/>
                <w14:ligatures w14:val="standardContextual"/>
              </w:rPr>
              <w:t>segurado</w:t>
            </w:r>
            <w:r>
              <w:rPr>
                <w:rFonts w:cs="EB Garamond"/>
                <w:kern w:val="16"/>
                <w:sz w:val="19"/>
                <w14:ligatures w14:val="standardContextual"/>
              </w:rPr>
              <w:t xml:space="preserve"> preso, e não a dos dependentes (tese vinculante) - O benefício protege o </w:t>
            </w:r>
            <w:r>
              <w:rPr>
                <w:rFonts w:cs="EB Garamond"/>
                <w:b/>
                <w:kern w:val="16"/>
                <w:sz w:val="19"/>
                <w14:ligatures w14:val="standardContextual"/>
              </w:rPr>
              <w:t>dependente</w:t>
            </w:r>
            <w:r>
              <w:rPr>
                <w:rFonts w:cs="EB Garamond"/>
                <w:kern w:val="16"/>
                <w:sz w:val="19"/>
                <w14:ligatures w14:val="standardContextual"/>
              </w:rPr>
              <w:t>, não o preso — premissa estrutural do instituto (art. 201, IV, c/c art. 226, CF), e não tese fixada no Tema 89 - O recolhimento à prisão priva a família de sua fonte de sustento - A restrição a segurados de "baixa renda" (EC 20/1998) é constitucional, pois atende ao princípio da seletividade (art. 194, III, CF)</w:t>
            </w:r>
          </w:p>
          <w:p w14:paraId="3B995F76" w14:textId="77777777" w:rsidR="005A5FCC" w:rsidRDefault="00A21C81">
            <w:pPr>
              <w:spacing w:after="60" w:line="247" w:lineRule="auto"/>
            </w:pPr>
            <w:r>
              <w:rPr>
                <w:rFonts w:cs="EB Garamond"/>
                <w:kern w:val="16"/>
                <w:sz w:val="19"/>
                <w14:ligatures w14:val="standardContextual"/>
              </w:rPr>
              <w:t>Relator: Min. Ricardo Lewandowski | Tribunal Pleno | Mérito julgado (repercussão geral) em 25/03/2009</w:t>
            </w:r>
          </w:p>
        </w:tc>
      </w:tr>
    </w:tbl>
    <w:p w14:paraId="623AD03D" w14:textId="77777777" w:rsidR="005A5FCC" w:rsidRDefault="005A5FCC">
      <w:pPr>
        <w:spacing w:after="80" w:line="240" w:lineRule="auto"/>
      </w:pPr>
    </w:p>
    <w:p w14:paraId="05539DE3"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73DCCC40" w14:textId="77777777" w:rsidR="005A5FCC" w:rsidRDefault="00A21C81">
      <w:r>
        <w:rPr>
          <w:rFonts w:cs="EB Garamond"/>
          <w:kern w:val="16"/>
          <w14:ligatures w14:val="standardContextual"/>
        </w:rPr>
        <w:t xml:space="preserve"> função social do auxílio-reclusão opera em múltiplas dimensões. Em primeiro lugar, garante a dignidade dos dependentes, frequentemente mulheres com filhos pequenos, que se veem repentinamente privados da fonte de renda familiar. Em segundo lugar, funciona como mecanismo de prevenção à marginalização dos dependentes, evitando que a prisão do provedor familiar produza efeitos cascata de vulnerabilidade social. Em terceiro lugar, serve como instrumento de ressocialização indireta: ao garantir a subsistência da família durante o período de reclusão, o benefício preserva o vínculo familiar que constitui fator determinante para a reinserção social do preso.</w:t>
      </w:r>
    </w:p>
    <w:p w14:paraId="7894BBB1" w14:textId="77777777" w:rsidR="005A5FCC" w:rsidRDefault="00A21C81">
      <w:pPr>
        <w:ind w:firstLine="238"/>
      </w:pPr>
      <w:r>
        <w:rPr>
          <w:rFonts w:cs="EB Garamond"/>
          <w:kern w:val="16"/>
          <w14:ligatures w14:val="standardContextual"/>
        </w:rPr>
        <w:lastRenderedPageBreak/>
        <w:t>A perspectiva de gênero é especialmente relevante. Os dados do Departamento Penitenciário Nacional, consolidados no Sistema de Informações do Departamento Penitenciário Nacional (SISDEPEN) e nos Levantamentos Nacionais de Informações Penitenciárias, indicam que o Brasil possui uma das maiores populações carcerárias do mundo, da ordem de 830 mil presos. Os perfis sociodemográficos extraídos dos painéis do SISDEPEN são, há anos, consistentes: a esmagadora maioria da população prisional é composta por homens (cerca de 95%), em sua maior parte jovens (na faixa de 18 a 29 anos), pessoas negras (em torno de dois terços) e de baixa escolaridade (cerca de metade com, no máximo, ensino fundamental incompleto). Os percentuais aqui referidos devem ser lidos como ordens de grandeza estáveis dos levantamentos do DEPEN/SISDEPEN, e não como números de um único exercício, pois variam marginalmente a cada atualização semestral do sistema; o leitor deve confirmar o dado do período pertinente no painel oficial do SISDEPEN. Os dependentes que requerem o auxílio-reclusão são, correspondentemente, em sua imensa maioria mulheres — companheiras, esposas e mães — que assumem sozinhas a responsabilidade pelo sustento e cuidado dos filhos.</w:t>
      </w:r>
    </w:p>
    <w:p w14:paraId="7CF16CA8" w14:textId="77777777" w:rsidR="005A5FCC" w:rsidRDefault="00A21C81">
      <w:pPr>
        <w:ind w:firstLine="238"/>
      </w:pPr>
      <w:r>
        <w:rPr>
          <w:rFonts w:cs="EB Garamond"/>
          <w:kern w:val="16"/>
          <w14:ligatures w14:val="standardContextual"/>
        </w:rPr>
        <w:t xml:space="preserve">A desproporção entre a população carcerária e o número de auxílios-reclusão efetivamente pagos é reveladora da seletividade do sistema. Segundo o Boletim Estatístico da Previdência Social (BEPS) referente à competência de novembro de 2023 — última edição consolidada à época de fechamento deste capítulo —, havia 15.917 auxílios-reclusão ativos, com valor médio de R$ 1.344,80. Tal como advertimos quanto aos dados do SISDEPEN, esse número deve ser lido como </w:t>
      </w:r>
      <w:r>
        <w:rPr>
          <w:rFonts w:cs="EB Garamond"/>
          <w:b/>
          <w:kern w:val="16"/>
          <w14:ligatures w14:val="standardContextual"/>
        </w:rPr>
        <w:t>ordem de grandeza</w:t>
      </w:r>
      <w:r>
        <w:rPr>
          <w:rFonts w:cs="EB Garamond"/>
          <w:kern w:val="16"/>
          <w14:ligatures w14:val="standardContextual"/>
        </w:rPr>
        <w:t xml:space="preserve"> da competência indicada: o estoque e o valor médio variam mês a mês, e o leitor deve confirmar a cifra atualizada na edição mais recente do BEPS (Secretaria de Regime Geral de Previdência Social, publicação mensal), cujo histórico é disponibilizado no portal Dados Abertos da Previdência. Ainda assim, a ordem de grandeza é estável e expressiva: menos de 2% dos presos brasileiros geram o benefício para seus dependentes, o que se explica pela combinação de: (i) informalidade laboral (muitos presos nunca contribuíram para o RGPS); (ii) perda da qualidade de segurado antes da prisão; (iii) renda acima do limite de baixa renda; (iv) desconhecimento do direito pelos dependentes; e (v) dificuldades operacionais para requerer o benefício. O auxílio-reclusão representou, em </w:t>
      </w:r>
      <w:r>
        <w:rPr>
          <w:rFonts w:cs="EB Garamond"/>
          <w:kern w:val="16"/>
          <w14:ligatures w14:val="standardContextual"/>
        </w:rPr>
        <w:lastRenderedPageBreak/>
        <w:t>2023, menos de 0,1% do orçamento total do INSS — desmentindo categoricamente o mito de que o benefício consome parcela significativa dos recursos previdenciários.</w:t>
      </w:r>
    </w:p>
    <w:p w14:paraId="54E276DF" w14:textId="7E219A01" w:rsidR="005A5FCC" w:rsidRDefault="00A21C81">
      <w:pPr>
        <w:ind w:firstLine="238"/>
      </w:pPr>
      <w:r>
        <w:rPr>
          <w:rFonts w:cs="EB Garamond"/>
          <w:kern w:val="16"/>
          <w14:ligatures w14:val="standardContextual"/>
        </w:rPr>
        <w:t xml:space="preserve">Negar o auxílio-reclusão em situações </w:t>
      </w:r>
      <w:r w:rsidR="005D59E2">
        <w:rPr>
          <w:rFonts w:cs="EB Garamond"/>
          <w:kern w:val="16"/>
          <w14:ligatures w14:val="standardContextual"/>
        </w:rPr>
        <w:t>em que</w:t>
      </w:r>
      <w:r>
        <w:rPr>
          <w:rFonts w:cs="EB Garamond"/>
          <w:kern w:val="16"/>
          <w14:ligatures w14:val="standardContextual"/>
        </w:rPr>
        <w:t xml:space="preserve"> os requisitos legais estão preenchidos equivale, na prática, a penalizar duplamente a família do preso: pela perda da liberdade do provedor e pela supressão da proteção previdenciária.</w:t>
      </w:r>
    </w:p>
    <w:p w14:paraId="0EF71D02"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14.3 Evolução legislativa</w:t>
      </w:r>
    </w:p>
    <w:p w14:paraId="3920A0F5"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33CB9891" w14:textId="52289897" w:rsidR="005A5FCC" w:rsidRDefault="00A21C81">
      <w:r>
        <w:rPr>
          <w:rFonts w:cs="EB Garamond"/>
          <w:kern w:val="16"/>
          <w14:ligatures w14:val="standardContextual"/>
        </w:rPr>
        <w:t xml:space="preserve"> trajetória legislativa do auxílio-reclusão revela um movimento pendular entre ampliação e restrição, refletindo as tensões entre proteção social e contenção de gastos que permeiam toda a história da previdência brasileira.</w:t>
      </w:r>
    </w:p>
    <w:p w14:paraId="24A8CA0B" w14:textId="77777777" w:rsidR="005A5FCC" w:rsidRDefault="00A21C81">
      <w:pPr>
        <w:ind w:firstLine="238"/>
      </w:pPr>
      <w:r>
        <w:rPr>
          <w:rFonts w:cs="EB Garamond"/>
          <w:b/>
          <w:kern w:val="16"/>
          <w14:ligatures w14:val="standardContextual"/>
        </w:rPr>
        <w:t>Primeira fase: origens (1933-1960).</w:t>
      </w:r>
      <w:r>
        <w:rPr>
          <w:rFonts w:cs="EB Garamond"/>
          <w:kern w:val="16"/>
          <w14:ligatures w14:val="standardContextual"/>
        </w:rPr>
        <w:t xml:space="preserve"> O benefício tem raízes na previdência corporativa dos Institutos de Aposentadoria e Pensões (IAPs). O IAPI (industriários) e o IAPC (comerciários) já previam prestações semelhantes em seus regulamentos, embora sem a denominação atual. A proteção destinava-se aos dependentes de associados recolhidos à prisão, como extensão natural do sistema de proteção familiar que caracterizava os IAPs.</w:t>
      </w:r>
    </w:p>
    <w:p w14:paraId="7A5BD9E4" w14:textId="77777777" w:rsidR="005A5FCC" w:rsidRDefault="00A21C81">
      <w:pPr>
        <w:ind w:firstLine="238"/>
      </w:pPr>
      <w:r>
        <w:rPr>
          <w:rFonts w:cs="EB Garamond"/>
          <w:b/>
          <w:kern w:val="16"/>
          <w14:ligatures w14:val="standardContextual"/>
        </w:rPr>
        <w:t>Segunda fase: unificação e regulamentação (1960-1988).</w:t>
      </w:r>
      <w:r>
        <w:rPr>
          <w:rFonts w:cs="EB Garamond"/>
          <w:kern w:val="16"/>
          <w14:ligatures w14:val="standardContextual"/>
        </w:rPr>
        <w:t xml:space="preserve"> A Lei Orgânica da Previdência Social (LOPS — Lei 3.807/1960) unificou e regulamentou o auxílio-reclusão em seu art. 43, estendendo-o a todos os segurados do sistema. O benefício era calculado como a aposentadoria por incapacidade permanente a que o segurado teria direito na data do recolhimento à prisão, e pago integralmente aos dependentes. A CLPS (Decreto 77.077/1976 e, depois, Decreto 89.312/1984) manteve a previsão. Nessa fase, não havia exigência de baixa renda: todo segurado preso gerava direito ao auxílio-reclusão para seus dependentes, independentemente da faixa de renda. Isso significava que até mesmo segurados com remuneração elevada geravam o benefício — situação que alimentou, ao longo dos anos, o debate público sobre a legitimidade do auxílio-reclusão.</w:t>
      </w:r>
    </w:p>
    <w:p w14:paraId="30C2EE20" w14:textId="77777777" w:rsidR="005A5FCC" w:rsidRDefault="00A21C81">
      <w:pPr>
        <w:ind w:firstLine="238"/>
      </w:pPr>
      <w:r>
        <w:rPr>
          <w:rFonts w:cs="EB Garamond"/>
          <w:b/>
          <w:kern w:val="16"/>
          <w14:ligatures w14:val="standardContextual"/>
        </w:rPr>
        <w:t>Terceira fase: constitucionalização e restrição (1988-2019).</w:t>
      </w:r>
      <w:r>
        <w:rPr>
          <w:rFonts w:cs="EB Garamond"/>
          <w:kern w:val="16"/>
          <w14:ligatures w14:val="standardContextual"/>
        </w:rPr>
        <w:t xml:space="preserve"> A CF/88 elevou o auxílio-reclusão a direito constitucional (art. 201, IV). A Lei 8.213/91 re</w:t>
      </w:r>
      <w:r>
        <w:rPr>
          <w:rFonts w:cs="EB Garamond"/>
          <w:kern w:val="16"/>
          <w14:ligatures w14:val="standardContextual"/>
        </w:rPr>
        <w:lastRenderedPageBreak/>
        <w:t xml:space="preserve">gulamentou o benefício em seu art. 80. A EC 20/1998 inseriu a restrição aos "dependentes dos segurados de </w:t>
      </w:r>
      <w:r>
        <w:rPr>
          <w:rFonts w:cs="EB Garamond"/>
          <w:b/>
          <w:kern w:val="16"/>
          <w14:ligatures w14:val="standardContextual"/>
        </w:rPr>
        <w:t>baixa renda</w:t>
      </w:r>
      <w:r>
        <w:rPr>
          <w:rFonts w:cs="EB Garamond"/>
          <w:kern w:val="16"/>
          <w14:ligatures w14:val="standardContextual"/>
        </w:rPr>
        <w:t>", inaugurando o debate sobre o critério de aferição e o valor-limite. A Lei 10.666/2003, em seu art. 2º, estabeleceu que o segurado recolhido à prisão mantém a qualidade de segurado durante todo o período de reclusão, independentemente de contribuições, norma fundamental para a operacionalização do benefício. A MP 871/2019 (18/01/2019), convertida na Lei 13.846/2019 (18/06/2019), introduziu a carência de 24 contribuições mensais e restringiu o benefício ao regime fechado, antecipando, no plano infraconstitucional, mudanças que a EC 103 viria a constitucionalizar.</w:t>
      </w:r>
    </w:p>
    <w:p w14:paraId="4136037D" w14:textId="77777777" w:rsidR="005A5FCC" w:rsidRDefault="00A21C81">
      <w:pPr>
        <w:ind w:firstLine="238"/>
      </w:pPr>
      <w:r>
        <w:rPr>
          <w:rFonts w:cs="EB Garamond"/>
          <w:b/>
          <w:kern w:val="16"/>
          <w14:ligatures w14:val="standardContextual"/>
        </w:rPr>
        <w:t>Quarta fase: reconfiguração radical (MP 871/2019 e EC 103/2019 em diante).</w:t>
      </w:r>
      <w:r>
        <w:rPr>
          <w:rFonts w:cs="EB Garamond"/>
          <w:kern w:val="16"/>
          <w14:ligatures w14:val="standardContextual"/>
        </w:rPr>
        <w:t xml:space="preserve"> A reformulação do auxílio-reclusão foi implementada em duas etapas sequenciais. A primeira etapa, e a mais restritiva no plano infraconstitucional, foi a MP 871, de 18 de janeiro de 2019 (convertida na Lei 13.846/2019), que alterou substancialmente o art. 80 da Lei 8.213/91: (i) restringiu o benefício ao regime fechado; (ii) substituiu o critério do "último salário de contribuição" pela "média dos 12 últimos salários de contribuição" para aferição de baixa renda; (iii) introduziu a carência inédita de 24 contribuições mensais; (iv) vedou a concessão quando o segurado estiver em gozo de outros benefícios previdenciários (aposentadoria, auxílio por incapacidade temporária, pensão por morte, salário-maternidade); e (v) acrescentou o § 7º, garantindo que o trabalho do preso em regime fechado não cessa o AR.</w:t>
      </w:r>
    </w:p>
    <w:p w14:paraId="50309F49" w14:textId="77777777" w:rsidR="005A5FCC" w:rsidRDefault="00A21C81">
      <w:pPr>
        <w:ind w:firstLine="238"/>
      </w:pPr>
      <w:r>
        <w:rPr>
          <w:rFonts w:cs="EB Garamond"/>
          <w:kern w:val="16"/>
          <w14:ligatures w14:val="standardContextual"/>
        </w:rPr>
        <w:t>A segunda etapa foi a EC 103/2019, que constitucionalizou parte dessas restrições: o novo § 5º do art. 201 vedou expressamente o regime aberto e limitou o valor a um salário-mínimo. O art. 27 da EC 103 estabeleceu regra de transição: até que lei discipline o benefício, o limite de baixa renda é de R$ 1.364,43 (valor da data de vigência), corrigido anualmente pelos mesmos índices dos benefícios do RGPS, e o valor do AR é calculado na forma da pensão por morte, não podendo exceder 1 SM.</w:t>
      </w:r>
    </w:p>
    <w:p w14:paraId="745B9B4B" w14:textId="77777777" w:rsidR="005A5FCC" w:rsidRDefault="00A21C81">
      <w:pPr>
        <w:ind w:firstLine="238"/>
      </w:pPr>
      <w:r>
        <w:rPr>
          <w:rFonts w:cs="EB Garamond"/>
          <w:kern w:val="16"/>
          <w14:ligatures w14:val="standardContextual"/>
        </w:rPr>
        <w:t>A cronologia precisa dessas alterações é essencial para a prática forense, pois cada norma tem vigência própria e aplica-se a fatos geradores distintos:</w:t>
      </w:r>
    </w:p>
    <w:tbl>
      <w:tblPr>
        <w:tblW w:w="5000" w:type="pct"/>
        <w:jc w:val="center"/>
        <w:tblLook w:val="04A0" w:firstRow="1" w:lastRow="0" w:firstColumn="1" w:lastColumn="0" w:noHBand="0" w:noVBand="1"/>
      </w:tblPr>
      <w:tblGrid>
        <w:gridCol w:w="2114"/>
        <w:gridCol w:w="2114"/>
        <w:gridCol w:w="2112"/>
      </w:tblGrid>
      <w:tr w:rsidR="005A5FCC" w14:paraId="3F521550" w14:textId="77777777">
        <w:trPr>
          <w:tblHeader/>
          <w:jc w:val="center"/>
        </w:trPr>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79617C09" w14:textId="77777777" w:rsidR="005A5FCC" w:rsidRDefault="00A21C81">
            <w:pPr>
              <w:spacing w:before="40" w:after="40" w:line="240" w:lineRule="auto"/>
              <w:jc w:val="center"/>
            </w:pPr>
            <w:r>
              <w:rPr>
                <w:rFonts w:cs="EB Garamond"/>
                <w:b/>
                <w:color w:val="2F2923"/>
                <w:kern w:val="16"/>
                <w:sz w:val="18"/>
                <w14:ligatures w14:val="standardContextual"/>
              </w:rPr>
              <w:lastRenderedPageBreak/>
              <w:t>Data</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2BE065C6" w14:textId="77777777" w:rsidR="005A5FCC" w:rsidRDefault="00A21C81">
            <w:pPr>
              <w:spacing w:before="40" w:after="40" w:line="240" w:lineRule="auto"/>
              <w:jc w:val="center"/>
            </w:pPr>
            <w:r>
              <w:rPr>
                <w:rFonts w:cs="EB Garamond"/>
                <w:b/>
                <w:color w:val="2F2923"/>
                <w:kern w:val="16"/>
                <w:sz w:val="18"/>
                <w14:ligatures w14:val="standardContextual"/>
              </w:rPr>
              <w:t>Evento</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5AAD242F" w14:textId="77777777" w:rsidR="005A5FCC" w:rsidRDefault="00A21C81">
            <w:pPr>
              <w:spacing w:before="40" w:after="40" w:line="240" w:lineRule="auto"/>
              <w:jc w:val="center"/>
            </w:pPr>
            <w:r>
              <w:rPr>
                <w:rFonts w:cs="EB Garamond"/>
                <w:b/>
                <w:color w:val="2F2923"/>
                <w:kern w:val="16"/>
                <w:sz w:val="18"/>
                <w14:ligatures w14:val="standardContextual"/>
              </w:rPr>
              <w:t>Principal alteração</w:t>
            </w:r>
          </w:p>
        </w:tc>
      </w:tr>
      <w:tr w:rsidR="005A5FCC" w14:paraId="1FC58497"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4B0869AA" w14:textId="77777777" w:rsidR="005A5FCC" w:rsidRDefault="00A21C81">
            <w:pPr>
              <w:spacing w:before="20" w:after="20" w:line="240" w:lineRule="auto"/>
              <w:jc w:val="left"/>
            </w:pPr>
            <w:r>
              <w:rPr>
                <w:rFonts w:cs="EB Garamond"/>
                <w:kern w:val="16"/>
                <w:sz w:val="18"/>
                <w14:ligatures w14:val="standardContextual"/>
              </w:rPr>
              <w:t>Até 17/01/2019</w:t>
            </w:r>
          </w:p>
        </w:tc>
        <w:tc>
          <w:tcPr>
            <w:tcW w:w="2117" w:type="dxa"/>
            <w:tcBorders>
              <w:top w:val="single" w:sz="4" w:space="0" w:color="D2C9B8"/>
              <w:left w:val="single" w:sz="4" w:space="0" w:color="D2C9B8"/>
              <w:bottom w:val="single" w:sz="4" w:space="0" w:color="D2C9B8"/>
              <w:right w:val="single" w:sz="4" w:space="0" w:color="D2C9B8"/>
            </w:tcBorders>
          </w:tcPr>
          <w:p w14:paraId="1CCA832A" w14:textId="77777777" w:rsidR="005A5FCC" w:rsidRDefault="00A21C81">
            <w:pPr>
              <w:spacing w:before="20" w:after="20" w:line="240" w:lineRule="auto"/>
              <w:jc w:val="left"/>
            </w:pPr>
            <w:r>
              <w:rPr>
                <w:rFonts w:cs="EB Garamond"/>
                <w:kern w:val="16"/>
                <w:sz w:val="18"/>
                <w14:ligatures w14:val="standardContextual"/>
              </w:rPr>
              <w:t>Regime antigo</w:t>
            </w:r>
          </w:p>
        </w:tc>
        <w:tc>
          <w:tcPr>
            <w:tcW w:w="2117" w:type="dxa"/>
            <w:tcBorders>
              <w:top w:val="single" w:sz="4" w:space="0" w:color="D2C9B8"/>
              <w:left w:val="single" w:sz="4" w:space="0" w:color="D2C9B8"/>
              <w:bottom w:val="single" w:sz="4" w:space="0" w:color="D2C9B8"/>
              <w:right w:val="single" w:sz="4" w:space="0" w:color="D2C9B8"/>
            </w:tcBorders>
          </w:tcPr>
          <w:p w14:paraId="2016A505" w14:textId="77777777" w:rsidR="005A5FCC" w:rsidRDefault="00A21C81">
            <w:pPr>
              <w:spacing w:before="20" w:after="20" w:line="240" w:lineRule="auto"/>
              <w:jc w:val="left"/>
            </w:pPr>
            <w:r>
              <w:rPr>
                <w:rFonts w:cs="EB Garamond"/>
                <w:kern w:val="16"/>
                <w:sz w:val="18"/>
                <w14:ligatures w14:val="standardContextual"/>
              </w:rPr>
              <w:t>Qualquer regime, dispensado de carência (art. 26, I), último salário</w:t>
            </w:r>
          </w:p>
        </w:tc>
      </w:tr>
      <w:tr w:rsidR="005A5FCC" w14:paraId="5B7FF50A"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777C4B2D" w14:textId="77777777" w:rsidR="005A5FCC" w:rsidRDefault="00A21C81">
            <w:pPr>
              <w:spacing w:before="20" w:after="20" w:line="240" w:lineRule="auto"/>
              <w:jc w:val="left"/>
            </w:pPr>
            <w:r>
              <w:rPr>
                <w:rFonts w:cs="EB Garamond"/>
                <w:kern w:val="16"/>
                <w:sz w:val="18"/>
                <w14:ligatures w14:val="standardContextual"/>
              </w:rPr>
              <w:t>18/01/2019</w:t>
            </w:r>
          </w:p>
        </w:tc>
        <w:tc>
          <w:tcPr>
            <w:tcW w:w="2117" w:type="dxa"/>
            <w:tcBorders>
              <w:top w:val="single" w:sz="4" w:space="0" w:color="D2C9B8"/>
              <w:left w:val="single" w:sz="4" w:space="0" w:color="D2C9B8"/>
              <w:bottom w:val="single" w:sz="4" w:space="0" w:color="D2C9B8"/>
              <w:right w:val="single" w:sz="4" w:space="0" w:color="D2C9B8"/>
            </w:tcBorders>
          </w:tcPr>
          <w:p w14:paraId="765CF1A2" w14:textId="77777777" w:rsidR="005A5FCC" w:rsidRDefault="00A21C81">
            <w:pPr>
              <w:spacing w:before="20" w:after="20" w:line="240" w:lineRule="auto"/>
              <w:jc w:val="left"/>
            </w:pPr>
            <w:r>
              <w:rPr>
                <w:rFonts w:cs="EB Garamond"/>
                <w:kern w:val="16"/>
                <w:sz w:val="18"/>
                <w14:ligatures w14:val="standardContextual"/>
              </w:rPr>
              <w:t>MP 871/2019</w:t>
            </w:r>
          </w:p>
        </w:tc>
        <w:tc>
          <w:tcPr>
            <w:tcW w:w="2117" w:type="dxa"/>
            <w:tcBorders>
              <w:top w:val="single" w:sz="4" w:space="0" w:color="D2C9B8"/>
              <w:left w:val="single" w:sz="4" w:space="0" w:color="D2C9B8"/>
              <w:bottom w:val="single" w:sz="4" w:space="0" w:color="D2C9B8"/>
              <w:right w:val="single" w:sz="4" w:space="0" w:color="D2C9B8"/>
            </w:tcBorders>
          </w:tcPr>
          <w:p w14:paraId="66AED075" w14:textId="77777777" w:rsidR="005A5FCC" w:rsidRDefault="00A21C81">
            <w:pPr>
              <w:spacing w:before="20" w:after="20" w:line="240" w:lineRule="auto"/>
              <w:jc w:val="left"/>
            </w:pPr>
            <w:r>
              <w:rPr>
                <w:rFonts w:cs="EB Garamond"/>
                <w:kern w:val="16"/>
                <w:sz w:val="18"/>
                <w14:ligatures w14:val="standardContextual"/>
              </w:rPr>
              <w:t>Regime fechado, carência 24 contribuições, média 12 meses</w:t>
            </w:r>
          </w:p>
        </w:tc>
      </w:tr>
      <w:tr w:rsidR="005A5FCC" w14:paraId="73E8D9D3"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56E866FC" w14:textId="77777777" w:rsidR="005A5FCC" w:rsidRDefault="00A21C81">
            <w:pPr>
              <w:spacing w:before="20" w:after="20" w:line="240" w:lineRule="auto"/>
              <w:jc w:val="left"/>
            </w:pPr>
            <w:r>
              <w:rPr>
                <w:rFonts w:cs="EB Garamond"/>
                <w:kern w:val="16"/>
                <w:sz w:val="18"/>
                <w14:ligatures w14:val="standardContextual"/>
              </w:rPr>
              <w:t>18/06/2019</w:t>
            </w:r>
          </w:p>
        </w:tc>
        <w:tc>
          <w:tcPr>
            <w:tcW w:w="2117" w:type="dxa"/>
            <w:tcBorders>
              <w:top w:val="single" w:sz="4" w:space="0" w:color="D2C9B8"/>
              <w:left w:val="single" w:sz="4" w:space="0" w:color="D2C9B8"/>
              <w:bottom w:val="single" w:sz="4" w:space="0" w:color="D2C9B8"/>
              <w:right w:val="single" w:sz="4" w:space="0" w:color="D2C9B8"/>
            </w:tcBorders>
          </w:tcPr>
          <w:p w14:paraId="2CC3B008" w14:textId="77777777" w:rsidR="005A5FCC" w:rsidRDefault="00A21C81">
            <w:pPr>
              <w:spacing w:before="20" w:after="20" w:line="240" w:lineRule="auto"/>
              <w:jc w:val="left"/>
            </w:pPr>
            <w:r>
              <w:rPr>
                <w:rFonts w:cs="EB Garamond"/>
                <w:kern w:val="16"/>
                <w:sz w:val="18"/>
                <w14:ligatures w14:val="standardContextual"/>
              </w:rPr>
              <w:t>Lei 13.846/2019</w:t>
            </w:r>
          </w:p>
        </w:tc>
        <w:tc>
          <w:tcPr>
            <w:tcW w:w="2117" w:type="dxa"/>
            <w:tcBorders>
              <w:top w:val="single" w:sz="4" w:space="0" w:color="D2C9B8"/>
              <w:left w:val="single" w:sz="4" w:space="0" w:color="D2C9B8"/>
              <w:bottom w:val="single" w:sz="4" w:space="0" w:color="D2C9B8"/>
              <w:right w:val="single" w:sz="4" w:space="0" w:color="D2C9B8"/>
            </w:tcBorders>
          </w:tcPr>
          <w:p w14:paraId="6A44FE9E" w14:textId="77777777" w:rsidR="005A5FCC" w:rsidRDefault="00A21C81">
            <w:pPr>
              <w:spacing w:before="20" w:after="20" w:line="240" w:lineRule="auto"/>
              <w:jc w:val="left"/>
            </w:pPr>
            <w:r>
              <w:rPr>
                <w:rFonts w:cs="EB Garamond"/>
                <w:kern w:val="16"/>
                <w:sz w:val="18"/>
                <w14:ligatures w14:val="standardContextual"/>
              </w:rPr>
              <w:t>Conversão da MP 871 em lei, consolidando as alterações</w:t>
            </w:r>
          </w:p>
        </w:tc>
      </w:tr>
      <w:tr w:rsidR="005A5FCC" w14:paraId="20319246"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46F9591B" w14:textId="77777777" w:rsidR="005A5FCC" w:rsidRDefault="00A21C81">
            <w:pPr>
              <w:spacing w:before="20" w:after="20" w:line="240" w:lineRule="auto"/>
              <w:jc w:val="left"/>
            </w:pPr>
            <w:r>
              <w:rPr>
                <w:rFonts w:cs="EB Garamond"/>
                <w:kern w:val="16"/>
                <w:sz w:val="18"/>
                <w14:ligatures w14:val="standardContextual"/>
              </w:rPr>
              <w:t>13/11/2019</w:t>
            </w:r>
          </w:p>
        </w:tc>
        <w:tc>
          <w:tcPr>
            <w:tcW w:w="2117" w:type="dxa"/>
            <w:tcBorders>
              <w:top w:val="single" w:sz="4" w:space="0" w:color="D2C9B8"/>
              <w:left w:val="single" w:sz="4" w:space="0" w:color="D2C9B8"/>
              <w:bottom w:val="single" w:sz="4" w:space="0" w:color="D2C9B8"/>
              <w:right w:val="single" w:sz="4" w:space="0" w:color="D2C9B8"/>
            </w:tcBorders>
          </w:tcPr>
          <w:p w14:paraId="66DC388C" w14:textId="77777777" w:rsidR="005A5FCC" w:rsidRDefault="00A21C81">
            <w:pPr>
              <w:spacing w:before="20" w:after="20" w:line="240" w:lineRule="auto"/>
              <w:jc w:val="left"/>
            </w:pPr>
            <w:r>
              <w:rPr>
                <w:rFonts w:cs="EB Garamond"/>
                <w:kern w:val="16"/>
                <w:sz w:val="18"/>
                <w14:ligatures w14:val="standardContextual"/>
              </w:rPr>
              <w:t>EC 103/2019</w:t>
            </w:r>
          </w:p>
        </w:tc>
        <w:tc>
          <w:tcPr>
            <w:tcW w:w="2117" w:type="dxa"/>
            <w:tcBorders>
              <w:top w:val="single" w:sz="4" w:space="0" w:color="D2C9B8"/>
              <w:left w:val="single" w:sz="4" w:space="0" w:color="D2C9B8"/>
              <w:bottom w:val="single" w:sz="4" w:space="0" w:color="D2C9B8"/>
              <w:right w:val="single" w:sz="4" w:space="0" w:color="D2C9B8"/>
            </w:tcBorders>
          </w:tcPr>
          <w:p w14:paraId="29724799" w14:textId="77777777" w:rsidR="005A5FCC" w:rsidRDefault="00A21C81">
            <w:pPr>
              <w:spacing w:before="20" w:after="20" w:line="240" w:lineRule="auto"/>
              <w:jc w:val="left"/>
            </w:pPr>
            <w:r>
              <w:rPr>
                <w:rFonts w:cs="EB Garamond"/>
                <w:kern w:val="16"/>
                <w:sz w:val="18"/>
                <w14:ligatures w14:val="standardContextual"/>
              </w:rPr>
              <w:t>Valor = 1 SM, vedação constitucional do regime aberto</w:t>
            </w:r>
          </w:p>
        </w:tc>
      </w:tr>
    </w:tbl>
    <w:p w14:paraId="28C54B2B" w14:textId="77777777" w:rsidR="005A5FCC" w:rsidRDefault="005A5FCC">
      <w:pPr>
        <w:spacing w:after="80" w:line="240" w:lineRule="auto"/>
      </w:pPr>
    </w:p>
    <w:tbl>
      <w:tblPr>
        <w:tblW w:w="5000" w:type="pct"/>
        <w:jc w:val="center"/>
        <w:tblLayout w:type="fixed"/>
        <w:tblLook w:val="04A0" w:firstRow="1" w:lastRow="0" w:firstColumn="1" w:lastColumn="0" w:noHBand="0" w:noVBand="1"/>
      </w:tblPr>
      <w:tblGrid>
        <w:gridCol w:w="6311"/>
      </w:tblGrid>
      <w:tr w:rsidR="005A5FCC" w14:paraId="5F59F5B1"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33E16BE4"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69F4D74D" w14:textId="77777777" w:rsidR="005A5FCC" w:rsidRDefault="00A21C81">
            <w:pPr>
              <w:spacing w:after="60" w:line="247" w:lineRule="auto"/>
            </w:pPr>
            <w:r>
              <w:rPr>
                <w:rFonts w:cs="EB Garamond"/>
                <w:b/>
                <w:kern w:val="16"/>
                <w:sz w:val="19"/>
                <w14:ligatures w14:val="standardContextual"/>
              </w:rPr>
              <w:t>Checklist: Qual regime jurídico se aplica ao caso concreto?</w:t>
            </w:r>
          </w:p>
          <w:p w14:paraId="70F49E21" w14:textId="77777777" w:rsidR="005A5FCC" w:rsidRDefault="00A21C81">
            <w:pPr>
              <w:spacing w:after="30" w:line="240" w:lineRule="auto"/>
              <w:ind w:left="227" w:hanging="142"/>
            </w:pPr>
            <w:r>
              <w:rPr>
                <w:rFonts w:cs="EB Garamond"/>
                <w:kern w:val="16"/>
                <w:sz w:val="19"/>
                <w14:ligatures w14:val="standardContextual"/>
              </w:rPr>
              <w:t xml:space="preserve">• [ ] Verificar a </w:t>
            </w:r>
            <w:r>
              <w:rPr>
                <w:rFonts w:cs="EB Garamond"/>
                <w:b/>
                <w:kern w:val="16"/>
                <w:sz w:val="19"/>
                <w14:ligatures w14:val="standardContextual"/>
              </w:rPr>
              <w:t>data do recolhimento à prisão</w:t>
            </w:r>
            <w:r>
              <w:rPr>
                <w:rFonts w:cs="EB Garamond"/>
                <w:kern w:val="16"/>
                <w:sz w:val="19"/>
                <w14:ligatures w14:val="standardContextual"/>
              </w:rPr>
              <w:t xml:space="preserve"> (não a data da sentença ou do trânsito em julgado)</w:t>
            </w:r>
          </w:p>
          <w:p w14:paraId="73634D2C" w14:textId="77777777" w:rsidR="005A5FCC" w:rsidRDefault="00A21C81">
            <w:pPr>
              <w:spacing w:after="30" w:line="240" w:lineRule="auto"/>
              <w:ind w:left="227" w:hanging="142"/>
            </w:pPr>
            <w:r>
              <w:rPr>
                <w:rFonts w:cs="EB Garamond"/>
                <w:kern w:val="16"/>
                <w:sz w:val="19"/>
                <w14:ligatures w14:val="standardContextual"/>
              </w:rPr>
              <w:t>• [ ] Se anterior a 18/01/2019 → regime antigo pleno (Lei 8.213/91 c/c EC 20/1998, sem carência, qualquer regime)</w:t>
            </w:r>
          </w:p>
          <w:p w14:paraId="4394947C" w14:textId="77777777" w:rsidR="005A5FCC" w:rsidRDefault="00A21C81">
            <w:pPr>
              <w:spacing w:after="30" w:line="240" w:lineRule="auto"/>
              <w:ind w:left="227" w:hanging="142"/>
            </w:pPr>
            <w:r>
              <w:rPr>
                <w:rFonts w:cs="EB Garamond"/>
                <w:kern w:val="16"/>
                <w:sz w:val="19"/>
                <w14:ligatures w14:val="standardContextual"/>
              </w:rPr>
              <w:t>• [ ] Se entre 18/01/2019 e 12/11/2019 → regime intermediário (MP 871/Lei 13.846: carência 24, regime fechado, mas valor proporcional)</w:t>
            </w:r>
          </w:p>
          <w:p w14:paraId="36112A7F" w14:textId="77777777" w:rsidR="005A5FCC" w:rsidRDefault="00A21C81">
            <w:pPr>
              <w:spacing w:after="30" w:line="240" w:lineRule="auto"/>
              <w:ind w:left="227" w:hanging="142"/>
            </w:pPr>
            <w:r>
              <w:rPr>
                <w:rFonts w:cs="EB Garamond"/>
                <w:kern w:val="16"/>
                <w:sz w:val="19"/>
                <w14:ligatures w14:val="standardContextual"/>
              </w:rPr>
              <w:t>• [ ] Se a partir de 13/11/2019 → regime novo completo (EC 103/2019: valor = 1 SM, vedação constitucional do aberto)</w:t>
            </w:r>
          </w:p>
          <w:p w14:paraId="4B980E9F" w14:textId="77777777" w:rsidR="005A5FCC" w:rsidRDefault="00A21C81">
            <w:pPr>
              <w:spacing w:after="30" w:line="240" w:lineRule="auto"/>
              <w:ind w:left="227" w:hanging="142"/>
            </w:pPr>
            <w:r>
              <w:rPr>
                <w:rFonts w:cs="EB Garamond"/>
                <w:kern w:val="16"/>
                <w:sz w:val="19"/>
                <w14:ligatures w14:val="standardContextual"/>
              </w:rPr>
              <w:t>• [ ] Verificar se houve soltura e nova prisão (cada recolhimento gera novo fato gerador)</w:t>
            </w:r>
          </w:p>
          <w:p w14:paraId="2375C45A" w14:textId="77777777" w:rsidR="005A5FCC" w:rsidRDefault="00A21C81">
            <w:pPr>
              <w:spacing w:after="30" w:line="240" w:lineRule="auto"/>
              <w:ind w:left="227" w:hanging="142"/>
            </w:pPr>
            <w:r>
              <w:rPr>
                <w:rFonts w:cs="EB Garamond"/>
                <w:kern w:val="16"/>
                <w:sz w:val="19"/>
                <w14:ligatures w14:val="standardContextual"/>
              </w:rPr>
              <w:t>• [ ] Atenção à regra de transição: se o segurado já cumpria requisitos antes da EC 103, aplica-se o regime antigo</w:t>
            </w:r>
          </w:p>
          <w:p w14:paraId="77FA7B52" w14:textId="77777777" w:rsidR="005A5FCC" w:rsidRDefault="00A21C81">
            <w:pPr>
              <w:spacing w:after="30" w:line="240" w:lineRule="auto"/>
              <w:ind w:left="227" w:hanging="142"/>
            </w:pPr>
            <w:r>
              <w:rPr>
                <w:rFonts w:cs="EB Garamond"/>
                <w:kern w:val="16"/>
                <w:sz w:val="19"/>
                <w14:ligatures w14:val="standardContextual"/>
              </w:rPr>
              <w:t>• [ ] Prisão provisória anterior à EC 103 com condenação posterior: regime determinado pela data da prisão efetiva</w:t>
            </w:r>
          </w:p>
        </w:tc>
      </w:tr>
    </w:tbl>
    <w:p w14:paraId="19337FB7" w14:textId="77777777" w:rsidR="005A5FCC" w:rsidRDefault="005A5FCC">
      <w:pPr>
        <w:spacing w:after="80" w:line="240" w:lineRule="auto"/>
      </w:pPr>
    </w:p>
    <w:p w14:paraId="67B73EFC"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14.4 Fato gerador: recolhimento à prisão</w:t>
      </w:r>
    </w:p>
    <w:p w14:paraId="7BF8298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7A5E1407" w14:textId="77777777" w:rsidR="005A5FCC" w:rsidRDefault="00A21C81">
      <w:r>
        <w:rPr>
          <w:rFonts w:cs="EB Garamond"/>
          <w:kern w:val="16"/>
          <w14:ligatures w14:val="standardContextual"/>
        </w:rPr>
        <w:t xml:space="preserve"> fato gerador do auxílio-reclusão, conforme a doutrina, é o </w:t>
      </w:r>
      <w:r>
        <w:rPr>
          <w:rFonts w:cs="EB Garamond"/>
          <w:b/>
          <w:kern w:val="16"/>
          <w14:ligatures w14:val="standardContextual"/>
        </w:rPr>
        <w:t>efetivo recolhimento do segurado à prisão</w:t>
      </w:r>
      <w:r>
        <w:rPr>
          <w:rFonts w:cs="EB Garamond"/>
          <w:kern w:val="16"/>
          <w14:ligatures w14:val="standardContextual"/>
        </w:rPr>
        <w:t>, entendido como a privação da liberdade em estabelecimento penal ou equiparado. Não se confunde com a sentença condenatória, com o trânsito em julgado da condenação ou com a expedição do mandado de prisão. O que importa é a privação fática da liberdade do segurado, que o impossibilita de exercer atividade remunerada e de prover o sustento de seus dependentes.</w:t>
      </w:r>
    </w:p>
    <w:p w14:paraId="063357A4" w14:textId="77777777" w:rsidR="005A5FCC" w:rsidRDefault="00A21C81">
      <w:pPr>
        <w:ind w:firstLine="238"/>
      </w:pPr>
      <w:r>
        <w:rPr>
          <w:rFonts w:cs="EB Garamond"/>
          <w:kern w:val="16"/>
          <w14:ligatures w14:val="standardContextual"/>
        </w:rPr>
        <w:t>Essa compreensão tem consequências práticas relevantes. Em primeiro lugar, o segurado preso provisoriamente, em flagrante, preventivamente ou temporariamente, gera direito ao auxílio-reclusão, desde que preenchidos os demais requisitos, independentemente de condenação posterior. A prisão provisória é forma legítima de recolhimento à prisão para fins previdenciários. Em segundo lugar, a transferência entre estabelecimentos penais, desde que mantida a condição de preso, não interrompe o benefício. Em terceiro lugar, a prisão em regime aberto, no regime jurídico pós-EC 103, não constitui fato gerador válido, ainda que haja efetivo recolhimento em casa de albergado.</w:t>
      </w:r>
    </w:p>
    <w:p w14:paraId="7AB5F53B" w14:textId="77777777" w:rsidR="005A5FCC" w:rsidRDefault="00A21C81">
      <w:pPr>
        <w:ind w:firstLine="238"/>
      </w:pPr>
      <w:r>
        <w:rPr>
          <w:rFonts w:cs="EB Garamond"/>
          <w:kern w:val="16"/>
          <w14:ligatures w14:val="standardContextual"/>
        </w:rPr>
        <w:t>A data do recolhimento à prisão é relevante para múltiplos efeitos: (i) determina o regime jurídico aplicável (anterior ou posterior à EC 103/2019); (ii) fixa a data de início do benefício (DIB), quando requerido no prazo de 90 dias; (iii) estabelece o momento de aferição da renda do segurado para fins de enquadramento como "baixa renda"; e (iv) constitui o dies a quo para contagem do prazo de requerimento.</w:t>
      </w:r>
    </w:p>
    <w:p w14:paraId="318DE3A7" w14:textId="77777777" w:rsidR="005A5FCC" w:rsidRDefault="00A21C81">
      <w:pPr>
        <w:ind w:firstLine="238"/>
      </w:pPr>
      <w:r>
        <w:rPr>
          <w:rFonts w:cs="EB Garamond"/>
          <w:kern w:val="16"/>
          <w14:ligatures w14:val="standardContextual"/>
        </w:rPr>
        <w:t>O conceito de "recolhimento à prisão" compreende a prisão em sentido amplo: prisão em flagrante, prisão preventiva, prisão temporária, prisão decorrente de sentença condenatória (transitada em julgado ou não), prisão por pronúncia (no rito do Tribunal do Júri), prisão para execução provisória da pena (nas hipóteses admitidas pelo STF) e prisão civil por inadimplemento voluntário de alimentos (embora esta última seja raramente invocada para fins de auxílio-reclusão).</w:t>
      </w:r>
    </w:p>
    <w:p w14:paraId="2B634407" w14:textId="77777777" w:rsidR="005A5FCC" w:rsidRDefault="00A21C81">
      <w:pPr>
        <w:ind w:firstLine="238"/>
      </w:pPr>
      <w:r>
        <w:rPr>
          <w:rFonts w:cs="EB Garamond"/>
          <w:kern w:val="16"/>
          <w14:ligatures w14:val="standardContextual"/>
        </w:rPr>
        <w:t xml:space="preserve">A distinção entre o fato gerador (recolhimento) e a causa da prisão (natureza penal, civil, provisória ou definitiva) é relevante para uma compreensão adequada </w:t>
      </w:r>
      <w:r>
        <w:rPr>
          <w:rFonts w:cs="EB Garamond"/>
          <w:kern w:val="16"/>
          <w14:ligatures w14:val="standardContextual"/>
        </w:rPr>
        <w:lastRenderedPageBreak/>
        <w:t xml:space="preserve">do instituto. O direito previdenciário preocupa-se com o </w:t>
      </w:r>
      <w:r>
        <w:rPr>
          <w:rFonts w:cs="EB Garamond"/>
          <w:b/>
          <w:kern w:val="16"/>
          <w14:ligatures w14:val="standardContextual"/>
        </w:rPr>
        <w:t>efeito</w:t>
      </w:r>
      <w:r>
        <w:rPr>
          <w:rFonts w:cs="EB Garamond"/>
          <w:kern w:val="16"/>
          <w14:ligatures w14:val="standardContextual"/>
        </w:rPr>
        <w:t xml:space="preserve"> da prisão sobre a capacidade de sustento da família — a privação fática da liberdade e, consequentemente, da possibilidade de auferir renda. A causa jurídica da prisão é indiferente: o segurado pode estar preso por tráfico de drogas, homicídio, furto, dívida alimentar ou prisão civil — em qualquer hipótese, desde que efetivamente recolhido, o fato gerador está configurado. Eventuais juízos morais sobre a gravidade do delito ou a personalidade do preso não interferem na análise previdenciária, que é exclusivamente técnico-jurídica.</w:t>
      </w:r>
    </w:p>
    <w:p w14:paraId="1A358987" w14:textId="77777777" w:rsidR="005A5FCC" w:rsidRDefault="00A21C81">
      <w:pPr>
        <w:ind w:firstLine="238"/>
      </w:pPr>
      <w:r>
        <w:rPr>
          <w:rFonts w:cs="EB Garamond"/>
          <w:kern w:val="16"/>
          <w14:ligatures w14:val="standardContextual"/>
        </w:rPr>
        <w:t>Essa neutralidade axiológica é, aliás, um dos aspectos mais criticados do auxílio-reclusão no debate público. O senso comum frequentemente confunde proteção ao dependente com recompensa ao preso, gerando resistência social ao benefício. Compete ao operador do Direito desmistificar essa percepção: o auxílio-reclusão protege crianças, mulheres e idosos que perderam sua fonte de sustento, não o agente do delito.</w:t>
      </w:r>
    </w:p>
    <w:tbl>
      <w:tblPr>
        <w:tblW w:w="5000" w:type="pct"/>
        <w:jc w:val="center"/>
        <w:tblLayout w:type="fixed"/>
        <w:tblLook w:val="04A0" w:firstRow="1" w:lastRow="0" w:firstColumn="1" w:lastColumn="0" w:noHBand="0" w:noVBand="1"/>
      </w:tblPr>
      <w:tblGrid>
        <w:gridCol w:w="6311"/>
      </w:tblGrid>
      <w:tr w:rsidR="005A5FCC" w14:paraId="48DD1FE4"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12E9B060"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2A200C6C" w14:textId="77777777" w:rsidR="005A5FCC" w:rsidRDefault="00A21C81">
            <w:pPr>
              <w:spacing w:after="60" w:line="247" w:lineRule="auto"/>
            </w:pPr>
            <w:r>
              <w:rPr>
                <w:rFonts w:cs="EB Garamond"/>
                <w:b/>
                <w:kern w:val="16"/>
                <w:sz w:val="19"/>
                <w14:ligatures w14:val="standardContextual"/>
              </w:rPr>
              <w:t>Recolhimento efetivo ≠ condenação transitada em julgado</w:t>
            </w:r>
          </w:p>
          <w:p w14:paraId="2A8951E5" w14:textId="77777777" w:rsidR="005A5FCC" w:rsidRDefault="00A21C81">
            <w:pPr>
              <w:spacing w:after="60" w:line="247" w:lineRule="auto"/>
            </w:pPr>
            <w:r>
              <w:rPr>
                <w:rFonts w:cs="EB Garamond"/>
                <w:kern w:val="16"/>
                <w:sz w:val="19"/>
                <w14:ligatures w14:val="standardContextual"/>
              </w:rPr>
              <w:t xml:space="preserve">O INSS historicamente exigia certidão de sentença condenatória transitada em julgado para concessão do auxílio-reclusão. Essa exigência é </w:t>
            </w:r>
            <w:r>
              <w:rPr>
                <w:rFonts w:cs="EB Garamond"/>
                <w:b/>
                <w:kern w:val="16"/>
                <w:sz w:val="19"/>
                <w14:ligatures w14:val="standardContextual"/>
              </w:rPr>
              <w:t>ilegal</w:t>
            </w:r>
            <w:r>
              <w:rPr>
                <w:rFonts w:cs="EB Garamond"/>
                <w:kern w:val="16"/>
                <w:sz w:val="19"/>
                <w14:ligatures w14:val="standardContextual"/>
              </w:rPr>
              <w:t xml:space="preserve"> e </w:t>
            </w:r>
            <w:r>
              <w:rPr>
                <w:rFonts w:cs="EB Garamond"/>
                <w:b/>
                <w:kern w:val="16"/>
                <w:sz w:val="19"/>
                <w14:ligatures w14:val="standardContextual"/>
              </w:rPr>
              <w:t>inconstitucional</w:t>
            </w:r>
            <w:r>
              <w:rPr>
                <w:rFonts w:cs="EB Garamond"/>
                <w:kern w:val="16"/>
                <w:sz w:val="19"/>
                <w14:ligatures w14:val="standardContextual"/>
              </w:rPr>
              <w:t>:</w:t>
            </w:r>
          </w:p>
          <w:p w14:paraId="71177CAE" w14:textId="77777777" w:rsidR="005A5FCC" w:rsidRDefault="00A21C81">
            <w:pPr>
              <w:spacing w:after="30" w:line="240" w:lineRule="auto"/>
              <w:ind w:left="227" w:hanging="142"/>
            </w:pPr>
            <w:r>
              <w:rPr>
                <w:rFonts w:cs="EB Garamond"/>
                <w:kern w:val="16"/>
                <w:sz w:val="19"/>
                <w14:ligatures w14:val="standardContextual"/>
              </w:rPr>
              <w:t>• O art. 80 da Lei 8.213/91 refere-se a "segurado recolhido à prisão", não a "segurado condenado"</w:t>
            </w:r>
          </w:p>
          <w:p w14:paraId="2D170BC9" w14:textId="77777777" w:rsidR="005A5FCC" w:rsidRDefault="00A21C81">
            <w:pPr>
              <w:spacing w:after="30" w:line="240" w:lineRule="auto"/>
              <w:ind w:left="227" w:hanging="142"/>
            </w:pPr>
            <w:r>
              <w:rPr>
                <w:rFonts w:cs="EB Garamond"/>
                <w:kern w:val="16"/>
                <w:sz w:val="19"/>
                <w14:ligatures w14:val="standardContextual"/>
              </w:rPr>
              <w:t>• A jurisprudência é pacífica: prisão provisória gera direito ao benefício</w:t>
            </w:r>
          </w:p>
          <w:p w14:paraId="682BD923" w14:textId="77777777" w:rsidR="005A5FCC" w:rsidRDefault="00A21C81">
            <w:pPr>
              <w:spacing w:after="30" w:line="240" w:lineRule="auto"/>
              <w:ind w:left="227" w:hanging="142"/>
            </w:pPr>
            <w:r>
              <w:rPr>
                <w:rFonts w:cs="EB Garamond"/>
                <w:kern w:val="16"/>
                <w:sz w:val="19"/>
                <w14:ligatures w14:val="standardContextual"/>
              </w:rPr>
              <w:t xml:space="preserve">• O documento comprobatório é a </w:t>
            </w:r>
            <w:r>
              <w:rPr>
                <w:rFonts w:cs="EB Garamond"/>
                <w:b/>
                <w:kern w:val="16"/>
                <w:sz w:val="19"/>
                <w14:ligatures w14:val="standardContextual"/>
              </w:rPr>
              <w:t>certidão de recolhimento à prisão</w:t>
            </w:r>
            <w:r>
              <w:rPr>
                <w:rFonts w:cs="EB Garamond"/>
                <w:kern w:val="16"/>
                <w:sz w:val="19"/>
                <w14:ligatures w14:val="standardContextual"/>
              </w:rPr>
              <w:t xml:space="preserve"> (ou atestado do estabelecimento penal), não a certidão de trânsito em julgado</w:t>
            </w:r>
          </w:p>
          <w:p w14:paraId="7535F99D" w14:textId="77777777" w:rsidR="005A5FCC" w:rsidRDefault="00A21C81">
            <w:pPr>
              <w:spacing w:after="30" w:line="240" w:lineRule="auto"/>
              <w:ind w:left="227" w:hanging="142"/>
            </w:pPr>
            <w:r>
              <w:rPr>
                <w:rFonts w:cs="EB Garamond"/>
                <w:kern w:val="16"/>
                <w:sz w:val="19"/>
                <w14:ligatures w14:val="standardContextual"/>
              </w:rPr>
              <w:t>• O INSS foi instado a corrigir esse entendimento por diversas decisões judiciais</w:t>
            </w:r>
          </w:p>
          <w:p w14:paraId="32B5FD70" w14:textId="77777777" w:rsidR="005A5FCC" w:rsidRDefault="00A21C81">
            <w:pPr>
              <w:spacing w:after="30" w:line="240" w:lineRule="auto"/>
              <w:ind w:left="227" w:hanging="142"/>
            </w:pPr>
            <w:r>
              <w:rPr>
                <w:rFonts w:cs="EB Garamond"/>
                <w:kern w:val="16"/>
                <w:sz w:val="19"/>
                <w14:ligatures w14:val="standardContextual"/>
              </w:rPr>
              <w:t>• IN INSS 128/2022 (atualizada): reconhece expressamente o direito em caso de prisão provisória</w:t>
            </w:r>
          </w:p>
          <w:p w14:paraId="0AC87FD7" w14:textId="77777777" w:rsidR="005A5FCC" w:rsidRDefault="00A21C81">
            <w:pPr>
              <w:spacing w:after="60" w:line="247" w:lineRule="auto"/>
            </w:pPr>
            <w:r>
              <w:rPr>
                <w:rFonts w:cs="EB Garamond"/>
                <w:b/>
                <w:kern w:val="16"/>
                <w:sz w:val="19"/>
                <w14:ligatures w14:val="standardContextual"/>
              </w:rPr>
              <w:t>Orientação prática:</w:t>
            </w:r>
            <w:r>
              <w:rPr>
                <w:rFonts w:cs="EB Garamond"/>
                <w:kern w:val="16"/>
                <w:sz w:val="19"/>
                <w14:ligatures w14:val="standardContextual"/>
              </w:rPr>
              <w:t xml:space="preserve"> Se o INSS indeferir por falta de sentença transitada, impugne imediatamente com mandado de segurança ou ação no JEF com pedido de tutela antecipada.</w:t>
            </w:r>
          </w:p>
        </w:tc>
      </w:tr>
    </w:tbl>
    <w:p w14:paraId="661D3DED" w14:textId="77777777" w:rsidR="005A5FCC" w:rsidRDefault="005A5FCC">
      <w:pPr>
        <w:spacing w:after="80" w:line="240" w:lineRule="auto"/>
      </w:pPr>
    </w:p>
    <w:p w14:paraId="0ADD8D9C"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14.5 Qualidade de segurado do preso</w:t>
      </w:r>
    </w:p>
    <w:p w14:paraId="708E4B59"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1DED7F95" w14:textId="77777777" w:rsidR="005A5FCC" w:rsidRDefault="00A21C81">
      <w:r>
        <w:rPr>
          <w:rFonts w:cs="EB Garamond"/>
          <w:kern w:val="16"/>
          <w14:ligatures w14:val="standardContextual"/>
        </w:rPr>
        <w:t xml:space="preserve"> manutenção da qualidade de segurado durante a reclusão é assegurada pelo art. 2º da Lei 10.666/2003, que expressamente dispensa contribuições enquanto perdurar o recolhimento à prisão, c/c o art. 15 da Lei 8.213/91 (período de graça após a soltura). O segurado recolhido à prisão mantém a qualidade de segurado durante todo o período de detenção ou reclusão, sem necessidade de contribuições. Sem essa regra, o segurado perderia a qualidade após os prazos ordinários do período de graça, inviabilizando o benefício para seus dependentes em reclusões prolongadas.</w:t>
      </w:r>
    </w:p>
    <w:p w14:paraId="3B44407C" w14:textId="77777777" w:rsidR="005A5FCC" w:rsidRDefault="00A21C81">
      <w:pPr>
        <w:ind w:firstLine="238"/>
      </w:pPr>
      <w:r>
        <w:rPr>
          <w:rFonts w:cs="EB Garamond"/>
          <w:kern w:val="16"/>
          <w14:ligatures w14:val="standardContextual"/>
        </w:rPr>
        <w:t>A Lei 10.666/2003, art. 2º, foi editada justamente para suprir lacuna que gerava injustiça manifesta. Antes dela, o segurado que permanecesse preso por período superior ao de graça (12 ou 24 meses, conforme o caso) perderia a qualidade de segurado, e seus dependentes ficariam desprotegidos exatamente nas situações de reclusão mais prolongada, ou seja, justamente quando a família mais necessitava do benefício.</w:t>
      </w:r>
    </w:p>
    <w:p w14:paraId="446AA838" w14:textId="77777777" w:rsidR="005A5FCC" w:rsidRDefault="00A21C81">
      <w:pPr>
        <w:ind w:firstLine="238"/>
      </w:pPr>
      <w:r>
        <w:rPr>
          <w:rFonts w:cs="EB Garamond"/>
          <w:kern w:val="16"/>
          <w14:ligatures w14:val="standardContextual"/>
        </w:rPr>
        <w:t>A qualidade de segurado do preso tem peculiaridades que merecem análise detida:</w:t>
      </w:r>
    </w:p>
    <w:p w14:paraId="4AC437A5" w14:textId="77777777" w:rsidR="005A5FCC" w:rsidRDefault="00A21C81">
      <w:pPr>
        <w:ind w:firstLine="238"/>
      </w:pPr>
      <w:r>
        <w:rPr>
          <w:rFonts w:cs="EB Garamond"/>
          <w:b/>
          <w:kern w:val="16"/>
          <w14:ligatures w14:val="standardContextual"/>
        </w:rPr>
        <w:t>Manutenção automática durante a reclusão.</w:t>
      </w:r>
      <w:r>
        <w:rPr>
          <w:rFonts w:cs="EB Garamond"/>
          <w:kern w:val="16"/>
          <w14:ligatures w14:val="standardContextual"/>
        </w:rPr>
        <w:t xml:space="preserve"> Enquanto o segurado estiver efetivamente recolhido à prisão, mantém a qualidade de segurado, independentemente de contribuições. Não há prazo máximo. A reclusão por 5, 10 ou 20 anos preserva integralmente a qualidade. Essa regra é imprescindível para a operacionalidade do auxílio-reclusão: sem ela, condenações longas (como as impostas por crimes hediondos, que frequentemente superam 12 anos) tornariam o benefício inviável após o término do período de graça ordinário, penalizando os dependentes justamente nas situações de maior vulnerabilidade prolongada. O fundamento normativo dessa manutenção é dúplice: o art. 2º da Lei 10.666/2003 (que expressamente dispensa contribuições do segurado recolhido à prisão, assegurando manutenção ilimitada durante a reclusão) e o art. 15 da Lei 8.213/91 (que disciplina o período de graça genérico, aplicável após a soltura).</w:t>
      </w:r>
    </w:p>
    <w:p w14:paraId="6497A3D5" w14:textId="77777777" w:rsidR="005A5FCC" w:rsidRDefault="00A21C81">
      <w:pPr>
        <w:ind w:firstLine="238"/>
      </w:pPr>
      <w:r>
        <w:rPr>
          <w:rFonts w:cs="EB Garamond"/>
          <w:b/>
          <w:kern w:val="16"/>
          <w14:ligatures w14:val="standardContextual"/>
        </w:rPr>
        <w:lastRenderedPageBreak/>
        <w:t>Extensão do período de graça após a soltura.</w:t>
      </w:r>
      <w:r>
        <w:rPr>
          <w:rFonts w:cs="EB Garamond"/>
          <w:kern w:val="16"/>
          <w14:ligatures w14:val="standardContextual"/>
        </w:rPr>
        <w:t xml:space="preserve"> Quando o segurado é solto, inicia-se o período de graça ordinário do art. 15 da Lei 8.213/91 (12 meses, prorrogáveis para 24 meses se contar com mais de 120 contribuições, e para 36 meses se comprovado desemprego). Esse período é contado a partir da data da soltura, não da data do último recolhimento anterior à prisão. A previsão visa permitir a reinserção social e laboral do egresso.</w:t>
      </w:r>
    </w:p>
    <w:p w14:paraId="28751BFD" w14:textId="77777777" w:rsidR="005A5FCC" w:rsidRDefault="00A21C81">
      <w:pPr>
        <w:ind w:firstLine="238"/>
      </w:pPr>
      <w:r>
        <w:rPr>
          <w:rFonts w:cs="EB Garamond"/>
          <w:b/>
          <w:kern w:val="16"/>
          <w14:ligatures w14:val="standardContextual"/>
        </w:rPr>
        <w:t>Facultatividade da contribuição durante a reclusão.</w:t>
      </w:r>
      <w:r>
        <w:rPr>
          <w:rFonts w:cs="EB Garamond"/>
          <w:kern w:val="16"/>
          <w14:ligatures w14:val="standardContextual"/>
        </w:rPr>
        <w:t xml:space="preserve"> O segurado preso que não esteja vinculado obrigatoriamente ao RGPS pode, se desejar, filiar-se como segurado facultativo durante o período de reclusão (art. 13 da Lei 8.213/91, que define o facultativo, regulamentado pelo art. 11, § 1º, e pelo art. 116, § 3º, do Decreto 3.048/99 — este último cuida especificamente do recolhido à prisão que não exerça atividade remunerada). Cumpre, todavia, demarcar com precisão o alcance dessas contribuições: elas relevam para a contagem de tempo de contribuição e para a carência de </w:t>
      </w:r>
      <w:r>
        <w:rPr>
          <w:rFonts w:cs="EB Garamond"/>
          <w:b/>
          <w:kern w:val="16"/>
          <w14:ligatures w14:val="standardContextual"/>
        </w:rPr>
        <w:t>benefícios futuros</w:t>
      </w:r>
      <w:r>
        <w:rPr>
          <w:rFonts w:cs="EB Garamond"/>
          <w:kern w:val="16"/>
          <w14:ligatures w14:val="standardContextual"/>
        </w:rPr>
        <w:t xml:space="preserve"> (inclusive de eventual novo auxílio-reclusão decorrente de novo fato gerador), mas </w:t>
      </w:r>
      <w:r>
        <w:rPr>
          <w:rFonts w:cs="EB Garamond"/>
          <w:b/>
          <w:kern w:val="16"/>
          <w14:ligatures w14:val="standardContextual"/>
        </w:rPr>
        <w:t>não</w:t>
      </w:r>
      <w:r>
        <w:rPr>
          <w:rFonts w:cs="EB Garamond"/>
          <w:kern w:val="16"/>
          <w14:ligatures w14:val="standardContextual"/>
        </w:rPr>
        <w:t xml:space="preserve"> servem para compor a carência do auxílio-reclusão já deflagrado pela prisão em curso. Como se demonstra na seção 14.8, a posição majoritária exige que a carência esteja integralmente cumprida na data do fato gerador (recolhimento à prisão), de modo que contribuições vertidas após esse marco não retroagem para suprir carência inexistente quando do encarceramento. A contribuição como facultativo durante a reclusão, contudo, é rara na prática, considerando que a maioria dos segurados presos é de baixa renda e não dispõe de recursos para efetuar recolhimentos.</w:t>
      </w:r>
    </w:p>
    <w:p w14:paraId="2FBF8B2F" w14:textId="77777777" w:rsidR="005A5FCC" w:rsidRDefault="00A21C81">
      <w:pPr>
        <w:ind w:firstLine="238"/>
      </w:pPr>
      <w:r>
        <w:rPr>
          <w:rFonts w:cs="EB Garamond"/>
          <w:b/>
          <w:kern w:val="16"/>
          <w14:ligatures w14:val="standardContextual"/>
        </w:rPr>
        <w:t>Qualidade de segurado pré-prisão.</w:t>
      </w:r>
      <w:r>
        <w:rPr>
          <w:rFonts w:cs="EB Garamond"/>
          <w:kern w:val="16"/>
          <w14:ligatures w14:val="standardContextual"/>
        </w:rPr>
        <w:t xml:space="preserve"> Questão delicada surge quando o segurado é recolhido à prisão já sem qualidade de segurado, isto é, quando a prisão ocorre após o término do período de graça. Nessa hipótese, não há direito ao auxílio-reclusão, pois o fato gerador (recolhimento à prisão) encontra o segurado sem cobertura previdenciária. O INSS deve verificar a qualidade de segurado na data do efetivo recolhimento.</w:t>
      </w:r>
    </w:p>
    <w:tbl>
      <w:tblPr>
        <w:tblW w:w="5000" w:type="pct"/>
        <w:jc w:val="center"/>
        <w:tblLayout w:type="fixed"/>
        <w:tblLook w:val="04A0" w:firstRow="1" w:lastRow="0" w:firstColumn="1" w:lastColumn="0" w:noHBand="0" w:noVBand="1"/>
      </w:tblPr>
      <w:tblGrid>
        <w:gridCol w:w="6311"/>
      </w:tblGrid>
      <w:tr w:rsidR="005A5FCC" w14:paraId="199AF74A"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624B4E7B"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7E0EBEAA" w14:textId="77777777" w:rsidR="005A5FCC" w:rsidRDefault="00A21C81">
            <w:pPr>
              <w:spacing w:after="60" w:line="247" w:lineRule="auto"/>
            </w:pPr>
            <w:r>
              <w:rPr>
                <w:rFonts w:cs="EB Garamond"/>
                <w:b/>
                <w:kern w:val="16"/>
                <w:sz w:val="19"/>
                <w14:ligatures w14:val="standardContextual"/>
              </w:rPr>
              <w:t>Período de graça do preso — fluxo de verificação</w:t>
            </w:r>
          </w:p>
          <w:p w14:paraId="16B574E0" w14:textId="77777777" w:rsidR="005A5FCC" w:rsidRDefault="00A21C81">
            <w:pPr>
              <w:spacing w:after="60" w:line="247" w:lineRule="auto"/>
            </w:pPr>
            <w:r>
              <w:rPr>
                <w:rFonts w:cs="EB Garamond"/>
                <w:b/>
                <w:kern w:val="16"/>
                <w:sz w:val="19"/>
                <w14:ligatures w14:val="standardContextual"/>
              </w:rPr>
              <w:t>Passo 1:</w:t>
            </w:r>
            <w:r>
              <w:rPr>
                <w:rFonts w:cs="EB Garamond"/>
                <w:kern w:val="16"/>
                <w:sz w:val="19"/>
                <w14:ligatures w14:val="standardContextual"/>
              </w:rPr>
              <w:t xml:space="preserve"> Identificar a última contribuição ou atividade remunerada antes da prisão </w:t>
            </w:r>
            <w:r>
              <w:rPr>
                <w:rFonts w:cs="EB Garamond"/>
                <w:b/>
                <w:kern w:val="16"/>
                <w:sz w:val="19"/>
                <w14:ligatures w14:val="standardContextual"/>
              </w:rPr>
              <w:t>Passo 2:</w:t>
            </w:r>
            <w:r>
              <w:rPr>
                <w:rFonts w:cs="EB Garamond"/>
                <w:kern w:val="16"/>
                <w:sz w:val="19"/>
                <w14:ligatures w14:val="standardContextual"/>
              </w:rPr>
              <w:t xml:space="preserve"> Calcular o período de graça aplicável (12, 24 ou 36 meses — art. 15, Lei 8.213) </w:t>
            </w:r>
            <w:r>
              <w:rPr>
                <w:rFonts w:cs="EB Garamond"/>
                <w:b/>
                <w:kern w:val="16"/>
                <w:sz w:val="19"/>
                <w14:ligatures w14:val="standardContextual"/>
              </w:rPr>
              <w:t>Passo 3:</w:t>
            </w:r>
            <w:r>
              <w:rPr>
                <w:rFonts w:cs="EB Garamond"/>
                <w:kern w:val="16"/>
                <w:sz w:val="19"/>
                <w14:ligatures w14:val="standardContextual"/>
              </w:rPr>
              <w:t xml:space="preserve"> Verificar se o recolhimento à prisão ocorreu dentro do período de graça - Se SIM → qualidade mantida → verificar demais requisitos do AR - Se NÃO → perda da qualidade → AR indeferido</w:t>
            </w:r>
          </w:p>
          <w:p w14:paraId="4A516541" w14:textId="77777777" w:rsidR="005A5FCC" w:rsidRDefault="00A21C81">
            <w:pPr>
              <w:spacing w:after="60" w:line="247" w:lineRule="auto"/>
            </w:pPr>
            <w:r>
              <w:rPr>
                <w:rFonts w:cs="EB Garamond"/>
                <w:b/>
                <w:kern w:val="16"/>
                <w:sz w:val="19"/>
                <w14:ligatures w14:val="standardContextual"/>
              </w:rPr>
              <w:t>Passo 4:</w:t>
            </w:r>
            <w:r>
              <w:rPr>
                <w:rFonts w:cs="EB Garamond"/>
                <w:kern w:val="16"/>
                <w:sz w:val="19"/>
                <w14:ligatures w14:val="standardContextual"/>
              </w:rPr>
              <w:t xml:space="preserve"> Se o segurado contribuiu como facultativo durante a reclusão: - Essas contribuições contam para benefícios futuros e para eventual novo fato gerador, </w:t>
            </w:r>
            <w:r>
              <w:rPr>
                <w:rFonts w:cs="EB Garamond"/>
                <w:b/>
                <w:kern w:val="16"/>
                <w:sz w:val="19"/>
                <w14:ligatures w14:val="standardContextual"/>
              </w:rPr>
              <w:t>não</w:t>
            </w:r>
            <w:r>
              <w:rPr>
                <w:rFonts w:cs="EB Garamond"/>
                <w:kern w:val="16"/>
                <w:sz w:val="19"/>
                <w14:ligatures w14:val="standardContextual"/>
              </w:rPr>
              <w:t xml:space="preserve"> para a carência do AR já deflagrado - Se atingiu 24 contribuições durante a reclusão, cumprirá a carência retroativamente? </w:t>
            </w:r>
            <w:r>
              <w:rPr>
                <w:rFonts w:cs="EB Garamond"/>
                <w:b/>
                <w:kern w:val="16"/>
                <w:sz w:val="19"/>
                <w14:ligatures w14:val="standardContextual"/>
              </w:rPr>
              <w:t>Controvérsia</w:t>
            </w:r>
            <w:r>
              <w:rPr>
                <w:rFonts w:cs="EB Garamond"/>
                <w:kern w:val="16"/>
                <w:sz w:val="19"/>
                <w14:ligatures w14:val="standardContextual"/>
              </w:rPr>
              <w:t>, posição majoritária: a carência deve estar cumprida na data do recolhimento (contribuições posteriores não retroagem)</w:t>
            </w:r>
          </w:p>
          <w:p w14:paraId="2FA64B13" w14:textId="77777777" w:rsidR="005A5FCC" w:rsidRDefault="00A21C81">
            <w:pPr>
              <w:spacing w:after="60" w:line="247" w:lineRule="auto"/>
            </w:pPr>
            <w:r>
              <w:rPr>
                <w:rFonts w:cs="EB Garamond"/>
                <w:b/>
                <w:kern w:val="16"/>
                <w:sz w:val="19"/>
                <w14:ligatures w14:val="standardContextual"/>
              </w:rPr>
              <w:t>Passo 5:</w:t>
            </w:r>
            <w:r>
              <w:rPr>
                <w:rFonts w:cs="EB Garamond"/>
                <w:kern w:val="16"/>
                <w:sz w:val="19"/>
                <w14:ligatures w14:val="standardContextual"/>
              </w:rPr>
              <w:t xml:space="preserve"> Período de graça pós-soltura: - 12 meses a partir da soltura (regra geral) - Prorrogável por +12 meses se &gt;120 contribuições - Prorrogável por +12 meses se comprovar desemprego - Relevante para: novo recolhimento à prisão dentro do período de graça</w:t>
            </w:r>
          </w:p>
        </w:tc>
      </w:tr>
    </w:tbl>
    <w:p w14:paraId="690D8E1F" w14:textId="77777777" w:rsidR="005A5FCC" w:rsidRDefault="005A5FCC">
      <w:pPr>
        <w:spacing w:after="80" w:line="240" w:lineRule="auto"/>
      </w:pPr>
    </w:p>
    <w:p w14:paraId="48123CF6"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14.6 Critério de baixa renda — regime Pré-EC 103</w:t>
      </w:r>
    </w:p>
    <w:p w14:paraId="7EB9935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30555E1F" w14:textId="77777777" w:rsidR="005A5FCC" w:rsidRDefault="00A21C81">
      <w:r>
        <w:rPr>
          <w:rFonts w:cs="EB Garamond"/>
          <w:kern w:val="16"/>
          <w14:ligatures w14:val="standardContextual"/>
        </w:rPr>
        <w:t xml:space="preserve"> critério de baixa renda é, historicamente, o aspecto mais litigioso do auxílio-reclusão. Desde a EC 20/1998, o benefício é restrito aos dependentes dos segurados de "baixa renda", mas a Constituição não definiu o conceito, delegando-o à legislação infraconstitucional. O resultado foi décadas de controvérsias judiciais sobre dois pontos centrais: (i) quem deve ser o sujeito da aferição de renda, o segurado ou os dependentes; e (ii) qual o parâmetro numérico que define "baixa renda".</w:t>
      </w:r>
    </w:p>
    <w:p w14:paraId="5608A10E" w14:textId="43320B0F" w:rsidR="005A5FCC" w:rsidRDefault="00A21C81">
      <w:pPr>
        <w:ind w:firstLine="238"/>
      </w:pPr>
      <w:r>
        <w:rPr>
          <w:rFonts w:cs="EB Garamond"/>
          <w:b/>
          <w:kern w:val="16"/>
          <w14:ligatures w14:val="standardContextual"/>
        </w:rPr>
        <w:t xml:space="preserve">O sujeito da aferição: segurado vs. </w:t>
      </w:r>
      <w:r w:rsidR="001801DC">
        <w:rPr>
          <w:rFonts w:cs="EB Garamond"/>
          <w:b/>
          <w:kern w:val="16"/>
          <w14:ligatures w14:val="standardContextual"/>
        </w:rPr>
        <w:t>d</w:t>
      </w:r>
      <w:r>
        <w:rPr>
          <w:rFonts w:cs="EB Garamond"/>
          <w:b/>
          <w:kern w:val="16"/>
          <w14:ligatures w14:val="standardContextual"/>
        </w:rPr>
        <w:t>ependentes.</w:t>
      </w:r>
      <w:r>
        <w:rPr>
          <w:rFonts w:cs="EB Garamond"/>
          <w:kern w:val="16"/>
          <w14:ligatures w14:val="standardContextual"/>
        </w:rPr>
        <w:t xml:space="preserve"> O STF, no julgamento do RE 587.365 (Tema 89), pacificou definitivamente a questão: a renda a ser aferida para fins de enquadramento como "baixa renda" é a </w:t>
      </w:r>
      <w:r>
        <w:rPr>
          <w:rFonts w:cs="EB Garamond"/>
          <w:b/>
          <w:kern w:val="16"/>
          <w14:ligatures w14:val="standardContextual"/>
        </w:rPr>
        <w:t>do segurado</w:t>
      </w:r>
      <w:r>
        <w:rPr>
          <w:rFonts w:cs="EB Garamond"/>
          <w:kern w:val="16"/>
          <w14:ligatures w14:val="standardContextual"/>
        </w:rPr>
        <w:t xml:space="preserve">, não a dos dependentes. O fundamento é textual, o art. 201, IV, refere-se a "segurados de </w:t>
      </w:r>
      <w:r>
        <w:rPr>
          <w:rFonts w:cs="EB Garamond"/>
          <w:kern w:val="16"/>
          <w14:ligatures w14:val="standardContextual"/>
        </w:rPr>
        <w:lastRenderedPageBreak/>
        <w:t>baixa renda", e teleológico: se a renda dos dependentes fosse o critério, o benefício só seria devido quando os dependentes já estivessem em situação de miserabilidade, subvertendo a lógica protetiva de substituição de renda.</w:t>
      </w:r>
    </w:p>
    <w:p w14:paraId="24176F1A" w14:textId="77777777" w:rsidR="005A5FCC" w:rsidRDefault="00A21C81">
      <w:pPr>
        <w:ind w:firstLine="238"/>
      </w:pPr>
      <w:r>
        <w:rPr>
          <w:rFonts w:cs="EB Garamond"/>
          <w:kern w:val="16"/>
          <w14:ligatures w14:val="standardContextual"/>
        </w:rPr>
        <w:t>Essa definição tem consequência prática importante: se o segurado recebia remuneração dentro do limite de baixa renda, o benefício é devido mesmo que os dependentes tenham outras fontes de renda. Inversamente, se o segurado recebia acima do limite, o benefício é indevido mesmo que os dependentes se encontrem em situação de extrema vulnerabilidade.</w:t>
      </w:r>
    </w:p>
    <w:p w14:paraId="320E0A31" w14:textId="77777777" w:rsidR="005A5FCC" w:rsidRDefault="00A21C81">
      <w:pPr>
        <w:ind w:firstLine="238"/>
      </w:pPr>
      <w:r>
        <w:rPr>
          <w:rFonts w:cs="EB Garamond"/>
          <w:b/>
          <w:kern w:val="16"/>
          <w14:ligatures w14:val="standardContextual"/>
        </w:rPr>
        <w:t>O momento da aferição.</w:t>
      </w:r>
      <w:r>
        <w:rPr>
          <w:rFonts w:cs="EB Garamond"/>
          <w:kern w:val="16"/>
          <w14:ligatures w14:val="standardContextual"/>
        </w:rPr>
        <w:t xml:space="preserve"> O STJ enfrentou essa questão no Tema 896 (REsp 1.485.417/MS), mas a tese sofreu importante delimitação temporal. Na redação reafirmada pela 1ª Seção em julho de 2021 (revisão julgada nos REsp 1.842.985/PR e 1.842.974/PR), ficou assentado que a tese se aplica </w:t>
      </w:r>
      <w:r>
        <w:rPr>
          <w:rFonts w:cs="EB Garamond"/>
          <w:b/>
          <w:kern w:val="16"/>
          <w14:ligatures w14:val="standardContextual"/>
        </w:rPr>
        <w:t>ao regime anterior à vigência da MP 871/2019</w:t>
      </w:r>
      <w:r>
        <w:rPr>
          <w:rFonts w:cs="EB Garamond"/>
          <w:kern w:val="16"/>
          <w14:ligatures w14:val="standardContextual"/>
        </w:rPr>
        <w:t xml:space="preserve"> (antes de 18/01/2019). Para prisões anteriores a essa data, o critério de aferição do segurado desempregado era a </w:t>
      </w:r>
      <w:r>
        <w:rPr>
          <w:rFonts w:cs="EB Garamond"/>
          <w:b/>
          <w:kern w:val="16"/>
          <w14:ligatures w14:val="standardContextual"/>
        </w:rPr>
        <w:t>ausência de renda</w:t>
      </w:r>
      <w:r>
        <w:rPr>
          <w:rFonts w:cs="EB Garamond"/>
          <w:kern w:val="16"/>
          <w14:ligatures w14:val="standardContextual"/>
        </w:rPr>
        <w:t xml:space="preserve"> no momento da prisão (renda zero), e não o último salário de contribuição. Para prisões a partir de 18/01/2019, aplica-se o novo critério: </w:t>
      </w:r>
      <w:r>
        <w:rPr>
          <w:rFonts w:cs="EB Garamond"/>
          <w:b/>
          <w:kern w:val="16"/>
          <w14:ligatures w14:val="standardContextual"/>
        </w:rPr>
        <w:t>média dos salários de contribuição dos 12 meses anteriores ao recolhimento</w:t>
      </w:r>
      <w:r>
        <w:rPr>
          <w:rFonts w:cs="EB Garamond"/>
          <w:kern w:val="16"/>
          <w14:ligatures w14:val="standardContextual"/>
        </w:rPr>
        <w:t xml:space="preserve"> (art. 80, § 4º, Lei 8.213/91, com a redação da Lei 13.846/2019).</w:t>
      </w:r>
    </w:p>
    <w:p w14:paraId="5FA9DA28" w14:textId="77777777" w:rsidR="005A5FCC" w:rsidRDefault="00A21C81">
      <w:pPr>
        <w:ind w:firstLine="238"/>
      </w:pPr>
      <w:r>
        <w:rPr>
          <w:rFonts w:cs="EB Garamond"/>
          <w:b/>
          <w:kern w:val="16"/>
          <w14:ligatures w14:val="standardContextual"/>
        </w:rPr>
        <w:t>O parâmetro numérico.</w:t>
      </w:r>
      <w:r>
        <w:rPr>
          <w:rFonts w:cs="EB Garamond"/>
          <w:kern w:val="16"/>
          <w14:ligatures w14:val="standardContextual"/>
        </w:rPr>
        <w:t xml:space="preserve"> No regime pré-EC 103, o limite de baixa renda era fixado por portaria interministerial, reajustado anualmente. O valor era vinculado ao último salário de contribuição do segurado. Na data de entrada em vigor da EC 103/2019, o limite fixado pela regra de transição (art. 27) era de R$ 1.364,43.</w:t>
      </w:r>
    </w:p>
    <w:tbl>
      <w:tblPr>
        <w:tblW w:w="5000" w:type="pct"/>
        <w:jc w:val="center"/>
        <w:tblLayout w:type="fixed"/>
        <w:tblLook w:val="04A0" w:firstRow="1" w:lastRow="0" w:firstColumn="1" w:lastColumn="0" w:noHBand="0" w:noVBand="1"/>
      </w:tblPr>
      <w:tblGrid>
        <w:gridCol w:w="6311"/>
      </w:tblGrid>
      <w:tr w:rsidR="005A5FCC" w14:paraId="3384CA0A"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12232100" w14:textId="77777777" w:rsidR="005A5FCC" w:rsidRDefault="00A21C81">
            <w:pPr>
              <w:spacing w:after="60" w:line="240" w:lineRule="auto"/>
              <w:jc w:val="left"/>
            </w:pPr>
            <w:r>
              <w:rPr>
                <w:rFonts w:ascii="Noto Sans" w:hAnsi="Noto Sans" w:cs="Noto Sans"/>
                <w:b/>
                <w:caps/>
                <w:color w:val="4D6F8A"/>
                <w:kern w:val="16"/>
                <w:sz w:val="16"/>
                <w14:ligatures w14:val="standardContextual"/>
              </w:rPr>
              <w:lastRenderedPageBreak/>
              <w:t>JURISPRUDÊNCIA EM DESTAQUE</w:t>
            </w:r>
          </w:p>
          <w:p w14:paraId="68B5C920" w14:textId="77777777" w:rsidR="005A5FCC" w:rsidRDefault="00A21C81">
            <w:pPr>
              <w:spacing w:after="60" w:line="247" w:lineRule="auto"/>
            </w:pPr>
            <w:r>
              <w:rPr>
                <w:rFonts w:cs="EB Garamond"/>
                <w:b/>
                <w:kern w:val="16"/>
                <w:sz w:val="19"/>
                <w14:ligatures w14:val="standardContextual"/>
              </w:rPr>
              <w:t>STJ — Tema 896: Aferição de baixa renda do segurado desempregado</w:t>
            </w:r>
          </w:p>
          <w:p w14:paraId="20F1BF72" w14:textId="77777777" w:rsidR="005A5FCC" w:rsidRDefault="00A21C81">
            <w:pPr>
              <w:spacing w:after="60" w:line="247" w:lineRule="auto"/>
            </w:pPr>
            <w:r>
              <w:rPr>
                <w:rFonts w:cs="EB Garamond"/>
                <w:kern w:val="16"/>
                <w:sz w:val="19"/>
                <w14:ligatures w14:val="standardContextual"/>
              </w:rPr>
              <w:t xml:space="preserve">Tese reafirmada pela 1ª Seção (julho/2021): "Para a concessão de auxílio-reclusão (art. 80 da Lei 8.213/1991) </w:t>
            </w:r>
            <w:r>
              <w:rPr>
                <w:rFonts w:cs="EB Garamond"/>
                <w:b/>
                <w:kern w:val="16"/>
                <w:sz w:val="19"/>
                <w14:ligatures w14:val="standardContextual"/>
              </w:rPr>
              <w:t>no regime anterior à vigência da MP 871/2019</w:t>
            </w:r>
            <w:r>
              <w:rPr>
                <w:rFonts w:cs="EB Garamond"/>
                <w:kern w:val="16"/>
                <w:sz w:val="19"/>
                <w14:ligatures w14:val="standardContextual"/>
              </w:rPr>
              <w:t xml:space="preserve">, o critério de aferição de renda do segurado que não exerce atividade laboral remunerada no momento do recolhimento à prisão é a </w:t>
            </w:r>
            <w:r>
              <w:rPr>
                <w:rFonts w:cs="EB Garamond"/>
                <w:b/>
                <w:kern w:val="16"/>
                <w:sz w:val="19"/>
                <w14:ligatures w14:val="standardContextual"/>
              </w:rPr>
              <w:t>ausência de renda</w:t>
            </w:r>
            <w:r>
              <w:rPr>
                <w:rFonts w:cs="EB Garamond"/>
                <w:kern w:val="16"/>
                <w:sz w:val="19"/>
                <w14:ligatures w14:val="standardContextual"/>
              </w:rPr>
              <w:t>, e não o último salário de contribuição."</w:t>
            </w:r>
          </w:p>
          <w:p w14:paraId="754A44B0" w14:textId="77777777" w:rsidR="005A5FCC" w:rsidRDefault="00A21C81">
            <w:pPr>
              <w:spacing w:after="60" w:line="247" w:lineRule="auto"/>
            </w:pPr>
            <w:r>
              <w:rPr>
                <w:rFonts w:cs="EB Garamond"/>
                <w:b/>
                <w:kern w:val="16"/>
                <w:sz w:val="19"/>
                <w14:ligatures w14:val="standardContextual"/>
              </w:rPr>
              <w:t>Aplicação temporal:</w:t>
            </w:r>
            <w:r>
              <w:rPr>
                <w:rFonts w:cs="EB Garamond"/>
                <w:kern w:val="16"/>
                <w:sz w:val="19"/>
                <w14:ligatures w14:val="standardContextual"/>
              </w:rPr>
              <w:t xml:space="preserve"> - Até 17/01/2019: critério de ausência de renda (segurado desempregado = renda zero = baixa renda) - A partir de 18/01/2019 (MP 871, depois Lei 13.846/2019): critério de média dos 12 últimos salários de contribuição</w:t>
            </w:r>
          </w:p>
          <w:p w14:paraId="3D3A10B2" w14:textId="77777777" w:rsidR="005A5FCC" w:rsidRDefault="00A21C81">
            <w:pPr>
              <w:spacing w:after="60" w:line="247" w:lineRule="auto"/>
            </w:pPr>
            <w:r>
              <w:rPr>
                <w:rFonts w:cs="EB Garamond"/>
                <w:b/>
                <w:kern w:val="16"/>
                <w:sz w:val="19"/>
                <w14:ligatures w14:val="standardContextual"/>
              </w:rPr>
              <w:t>Relevância prática:</w:t>
            </w:r>
            <w:r>
              <w:rPr>
                <w:rFonts w:cs="EB Garamond"/>
                <w:kern w:val="16"/>
                <w:sz w:val="19"/>
                <w14:ligatures w14:val="standardContextual"/>
              </w:rPr>
              <w:t xml:space="preserve"> - No regime antigo, segurado desempregado = baixa renda presumida - No regime novo, mesmo desempregado, apura-se a média dos 12 meses anteriores - Não se considera renda posterior à prisão (trabalho prisional, por exemplo)</w:t>
            </w:r>
          </w:p>
          <w:p w14:paraId="779F40C5" w14:textId="77777777" w:rsidR="005A5FCC" w:rsidRDefault="00A21C81">
            <w:pPr>
              <w:spacing w:after="60" w:line="247" w:lineRule="auto"/>
            </w:pPr>
            <w:r>
              <w:rPr>
                <w:rFonts w:cs="EB Garamond"/>
                <w:kern w:val="16"/>
                <w:sz w:val="19"/>
                <w14:ligatures w14:val="standardContextual"/>
              </w:rPr>
              <w:t>Tese originária: REsp 1.485.417/MS (1ª Seção, DJe 02/08/2018). Revisão/reafirmação: REsp 1.842.985/PR e REsp 1.842.974/PR (1ª Seção, julgados em 24/02/2021, DJe 01/07/2021), que delimitaram a tese ao regime anterior à MP 871/2019. Rel. Min. Herman Benjamin.</w:t>
            </w:r>
          </w:p>
        </w:tc>
      </w:tr>
    </w:tbl>
    <w:p w14:paraId="0847C0DF" w14:textId="77777777" w:rsidR="005A5FCC" w:rsidRDefault="005A5FCC">
      <w:pPr>
        <w:spacing w:after="80" w:line="240" w:lineRule="auto"/>
      </w:pPr>
    </w:p>
    <w:p w14:paraId="43BED951"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F</w:t>
      </w:r>
    </w:p>
    <w:p w14:paraId="0BA3DC02" w14:textId="77777777" w:rsidR="005A5FCC" w:rsidRDefault="00A21C81">
      <w:r>
        <w:rPr>
          <w:rFonts w:cs="EB Garamond"/>
          <w:b/>
          <w:kern w:val="16"/>
          <w14:ligatures w14:val="standardContextual"/>
        </w:rPr>
        <w:t>lexibilização do critério de renda.</w:t>
      </w:r>
      <w:r>
        <w:rPr>
          <w:rFonts w:cs="EB Garamond"/>
          <w:kern w:val="16"/>
          <w14:ligatures w14:val="standardContextual"/>
        </w:rPr>
        <w:t xml:space="preserve"> Para o regime pré-MP 871/2019, o STJ admitiu a flexibilização do critério econômico quando a renda do segurado supera o limite em percentual ínfimo, em solução análoga à que a Corte construiu para a miserabilidade do BPC (Cap. 18). Reservamos o exame detido dessa tese — fixada no Tema 1162/STJ — para a seção 14.7, onde tratamos do critério de baixa renda no regime atual e da fronteira que o repetitivo estabeleceu entre os dois regimes. Adiantamos apenas o essencial para a prática deste tópico: no regime antigo, a margem de flexibilização existe; no regime novo, o teto é, em regra, objetivo e inflexível.</w:t>
      </w:r>
    </w:p>
    <w:p w14:paraId="283BFB90" w14:textId="77777777" w:rsidR="005A5FCC" w:rsidRDefault="00A21C81">
      <w:pPr>
        <w:ind w:firstLine="238"/>
      </w:pPr>
      <w:r>
        <w:rPr>
          <w:rFonts w:cs="EB Garamond"/>
          <w:b/>
          <w:kern w:val="16"/>
          <w14:ligatures w14:val="standardContextual"/>
        </w:rPr>
        <w:t>Segurado sem renda no momento da prisão.</w:t>
      </w:r>
      <w:r>
        <w:rPr>
          <w:rFonts w:cs="EB Garamond"/>
          <w:kern w:val="16"/>
          <w14:ligatures w14:val="standardContextual"/>
        </w:rPr>
        <w:t xml:space="preserve"> Situação frequentíssima na prática: o segurado está desempregado (mas dentro do período de graça) quando é preso. No regime anterior à MP 871/2019, a jurisprudência consolidou-se no sentido de que a ausência de renda equivale a renda zero, enquadrando-se automaticamente no conceito de "baixa renda" (Tema 896/STJ). No regime posterior, </w:t>
      </w:r>
      <w:r>
        <w:rPr>
          <w:rFonts w:cs="EB Garamond"/>
          <w:kern w:val="16"/>
          <w14:ligatures w14:val="standardContextual"/>
        </w:rPr>
        <w:lastRenderedPageBreak/>
        <w:t>o critério da média dos 12 meses pode excluir o desempregado que tinha renda alta nos meses anteriores à perda do emprego — situação que gera injustiça e que pode ser impugnada judicialmente.</w:t>
      </w:r>
    </w:p>
    <w:tbl>
      <w:tblPr>
        <w:tblW w:w="5000" w:type="pct"/>
        <w:jc w:val="center"/>
        <w:tblLayout w:type="fixed"/>
        <w:tblLook w:val="04A0" w:firstRow="1" w:lastRow="0" w:firstColumn="1" w:lastColumn="0" w:noHBand="0" w:noVBand="1"/>
      </w:tblPr>
      <w:tblGrid>
        <w:gridCol w:w="6311"/>
      </w:tblGrid>
      <w:tr w:rsidR="005A5FCC" w14:paraId="377E35AF"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202E9E0E"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3772314A" w14:textId="77777777" w:rsidR="005A5FCC" w:rsidRDefault="00A21C81">
            <w:pPr>
              <w:spacing w:after="60" w:line="247" w:lineRule="auto"/>
            </w:pPr>
            <w:r>
              <w:rPr>
                <w:rFonts w:cs="EB Garamond"/>
                <w:b/>
                <w:kern w:val="16"/>
                <w:sz w:val="19"/>
                <w14:ligatures w14:val="standardContextual"/>
              </w:rPr>
              <w:t>Armadilha comum: INSS utilizando renda dos dependentes</w:t>
            </w:r>
          </w:p>
          <w:p w14:paraId="32D9B22F" w14:textId="77777777" w:rsidR="005A5FCC" w:rsidRDefault="00A21C81">
            <w:pPr>
              <w:spacing w:after="60" w:line="247" w:lineRule="auto"/>
            </w:pPr>
            <w:r>
              <w:rPr>
                <w:rFonts w:cs="EB Garamond"/>
                <w:kern w:val="16"/>
                <w:sz w:val="19"/>
                <w14:ligatures w14:val="standardContextual"/>
              </w:rPr>
              <w:t>Apesar da tese cristalina do STF (Tema 89), o INSS ainda indeferiu milhares de requerimentos com base na renda dos dependentes. Situações recorrentes:</w:t>
            </w:r>
          </w:p>
          <w:p w14:paraId="649587CB" w14:textId="77777777" w:rsidR="005A5FCC" w:rsidRDefault="00A21C81">
            <w:pPr>
              <w:spacing w:after="30" w:line="240" w:lineRule="auto"/>
              <w:ind w:left="227" w:hanging="142"/>
            </w:pPr>
            <w:r>
              <w:rPr>
                <w:rFonts w:cs="EB Garamond"/>
                <w:kern w:val="16"/>
                <w:sz w:val="19"/>
                <w14:ligatures w14:val="standardContextual"/>
              </w:rPr>
              <w:t>1. Companheira do preso trabalha e recebe acima do limite → INSS indeferiu</w:t>
            </w:r>
          </w:p>
          <w:p w14:paraId="578764F7" w14:textId="77777777" w:rsidR="005A5FCC" w:rsidRDefault="00A21C81">
            <w:pPr>
              <w:spacing w:after="30" w:line="240" w:lineRule="auto"/>
              <w:ind w:left="227" w:hanging="142"/>
            </w:pPr>
            <w:r>
              <w:rPr>
                <w:rFonts w:cs="EB Garamond"/>
                <w:kern w:val="16"/>
                <w:sz w:val="19"/>
                <w14:ligatures w14:val="standardContextual"/>
              </w:rPr>
              <w:t>2. Mãe do preso (dependente designada) recebe aposentadoria → INSS indeferiu</w:t>
            </w:r>
          </w:p>
          <w:p w14:paraId="003938FE" w14:textId="77777777" w:rsidR="005A5FCC" w:rsidRDefault="00A21C81">
            <w:pPr>
              <w:spacing w:after="30" w:line="240" w:lineRule="auto"/>
              <w:ind w:left="227" w:hanging="142"/>
            </w:pPr>
            <w:r>
              <w:rPr>
                <w:rFonts w:cs="EB Garamond"/>
                <w:kern w:val="16"/>
                <w:sz w:val="19"/>
                <w14:ligatures w14:val="standardContextual"/>
              </w:rPr>
              <w:t>3. Família recebe Bolsa Família/benefícios assistenciais → INSS utilizou como prova de renda</w:t>
            </w:r>
          </w:p>
          <w:p w14:paraId="2E4C12E9" w14:textId="77777777" w:rsidR="005A5FCC" w:rsidRDefault="00A21C81">
            <w:pPr>
              <w:spacing w:after="60" w:line="247" w:lineRule="auto"/>
            </w:pPr>
            <w:r>
              <w:rPr>
                <w:rFonts w:cs="EB Garamond"/>
                <w:b/>
                <w:kern w:val="16"/>
                <w:sz w:val="19"/>
                <w14:ligatures w14:val="standardContextual"/>
              </w:rPr>
              <w:t>Todas essas situações são ilegais.</w:t>
            </w:r>
            <w:r>
              <w:rPr>
                <w:rFonts w:cs="EB Garamond"/>
                <w:kern w:val="16"/>
                <w:sz w:val="19"/>
                <w14:ligatures w14:val="standardContextual"/>
              </w:rPr>
              <w:t xml:space="preserve"> A renda relevante é exclusivamente a do segurado recolhido à prisão. Se necessário, judicialize com fundamento no Tema 89/STF.</w:t>
            </w:r>
          </w:p>
        </w:tc>
      </w:tr>
    </w:tbl>
    <w:p w14:paraId="7FDE55E9" w14:textId="77777777" w:rsidR="005A5FCC" w:rsidRDefault="005A5FCC">
      <w:pPr>
        <w:spacing w:after="80" w:line="240" w:lineRule="auto"/>
      </w:pPr>
    </w:p>
    <w:p w14:paraId="0F92B599"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14.7 Critério de baixa renda — regime Pós-EC 103</w:t>
      </w:r>
    </w:p>
    <w:p w14:paraId="0A4D5C11"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C</w:t>
      </w:r>
    </w:p>
    <w:p w14:paraId="54D1B577" w14:textId="77777777" w:rsidR="005A5FCC" w:rsidRDefault="00A21C81">
      <w:r>
        <w:rPr>
          <w:rFonts w:cs="EB Garamond"/>
          <w:kern w:val="16"/>
          <w14:ligatures w14:val="standardContextual"/>
        </w:rPr>
        <w:t>om a EC 103/2019, o conceito de "baixa renda" ganhou nova conformação. O art. 27, § 1º, da EC 103 estabeleceu que, até que lei discipline o acesso ao auxílio-reclusão, serão utilizados como critérios de renda os vigentes na data de entrada em vigor da emenda, reajustados pelos mesmos índices aplicados aos benefícios do RGPS. Essa regra de transição manteve a sistemática de fixação do limite por portaria interministerial.</w:t>
      </w:r>
    </w:p>
    <w:p w14:paraId="0C2B8667" w14:textId="77777777" w:rsidR="005A5FCC" w:rsidRDefault="00A21C81">
      <w:pPr>
        <w:ind w:firstLine="238"/>
      </w:pPr>
      <w:r>
        <w:rPr>
          <w:rFonts w:cs="EB Garamond"/>
          <w:kern w:val="16"/>
          <w14:ligatures w14:val="standardContextual"/>
        </w:rPr>
        <w:t xml:space="preserve">O valor-limite para 2025, fixado pela Portaria Interministerial MPS/MF n. 6/2025, é de </w:t>
      </w:r>
      <w:r>
        <w:rPr>
          <w:rFonts w:cs="EB Garamond"/>
          <w:b/>
          <w:kern w:val="16"/>
          <w14:ligatures w14:val="standardContextual"/>
        </w:rPr>
        <w:t>R$ 1.906,04</w:t>
      </w:r>
      <w:r>
        <w:rPr>
          <w:rFonts w:cs="EB Garamond"/>
          <w:kern w:val="16"/>
          <w14:ligatures w14:val="standardContextual"/>
        </w:rPr>
        <w:t xml:space="preserve"> — montante que, na forma da referência única firmada na seção 14.1, deve ser substituído pelo teto da portaria do exercício para fatos geradores de 2026. Esse valor corresponde ao teto da </w:t>
      </w:r>
      <w:r>
        <w:rPr>
          <w:rFonts w:cs="EB Garamond"/>
          <w:b/>
          <w:kern w:val="16"/>
          <w14:ligatures w14:val="standardContextual"/>
        </w:rPr>
        <w:t>média dos salários de contribuição dos 12 meses anteriores ao recolhimento à prisão</w:t>
      </w:r>
      <w:r>
        <w:rPr>
          <w:rFonts w:cs="EB Garamond"/>
          <w:kern w:val="16"/>
          <w14:ligatures w14:val="standardContextual"/>
        </w:rPr>
        <w:t xml:space="preserve"> para enquadramento como segurado de baixa renda. Note-se a mudança de critério introduzida pela MP 871/2019 (já examinada na seção 14.3): não se utiliza mais o "último </w:t>
      </w:r>
      <w:r>
        <w:rPr>
          <w:rFonts w:cs="EB Garamond"/>
          <w:kern w:val="16"/>
          <w14:ligatures w14:val="standardContextual"/>
        </w:rPr>
        <w:lastRenderedPageBreak/>
        <w:t>salário de contribuição", mas a média aritmética dos 12 últimos salários de contribuição apurados em período não superior a 15 meses.</w:t>
      </w:r>
    </w:p>
    <w:p w14:paraId="7CCFCDAB" w14:textId="77777777" w:rsidR="005A5FCC" w:rsidRDefault="00A21C81">
      <w:pPr>
        <w:ind w:firstLine="238"/>
      </w:pPr>
      <w:r>
        <w:rPr>
          <w:rFonts w:cs="EB Garamond"/>
          <w:kern w:val="16"/>
          <w14:ligatures w14:val="standardContextual"/>
        </w:rPr>
        <w:t>A evolução do limite nos últimos anos demonstra o impacto da política de reajuste:</w:t>
      </w:r>
    </w:p>
    <w:tbl>
      <w:tblPr>
        <w:tblW w:w="5000" w:type="pct"/>
        <w:jc w:val="center"/>
        <w:tblLook w:val="04A0" w:firstRow="1" w:lastRow="0" w:firstColumn="1" w:lastColumn="0" w:noHBand="0" w:noVBand="1"/>
      </w:tblPr>
      <w:tblGrid>
        <w:gridCol w:w="2113"/>
        <w:gridCol w:w="2113"/>
        <w:gridCol w:w="2114"/>
      </w:tblGrid>
      <w:tr w:rsidR="005A5FCC" w14:paraId="7B6C39AD" w14:textId="77777777">
        <w:trPr>
          <w:tblHeader/>
          <w:jc w:val="center"/>
        </w:trPr>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4B12186D" w14:textId="77777777" w:rsidR="005A5FCC" w:rsidRDefault="00A21C81">
            <w:pPr>
              <w:spacing w:before="40" w:after="40" w:line="240" w:lineRule="auto"/>
              <w:jc w:val="center"/>
            </w:pPr>
            <w:r>
              <w:rPr>
                <w:rFonts w:cs="EB Garamond"/>
                <w:b/>
                <w:color w:val="2F2923"/>
                <w:kern w:val="16"/>
                <w:sz w:val="18"/>
                <w14:ligatures w14:val="standardContextual"/>
              </w:rPr>
              <w:t>Ano</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103FD874" w14:textId="77777777" w:rsidR="005A5FCC" w:rsidRDefault="00A21C81">
            <w:pPr>
              <w:spacing w:before="40" w:after="40" w:line="240" w:lineRule="auto"/>
              <w:jc w:val="center"/>
            </w:pPr>
            <w:r>
              <w:rPr>
                <w:rFonts w:cs="EB Garamond"/>
                <w:b/>
                <w:color w:val="2F2923"/>
                <w:kern w:val="16"/>
                <w:sz w:val="18"/>
                <w14:ligatures w14:val="standardContextual"/>
              </w:rPr>
              <w:t>Valor-limite (R$)</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7C5F9F39" w14:textId="77777777" w:rsidR="005A5FCC" w:rsidRDefault="00A21C81">
            <w:pPr>
              <w:spacing w:before="40" w:after="40" w:line="240" w:lineRule="auto"/>
              <w:jc w:val="center"/>
            </w:pPr>
            <w:r>
              <w:rPr>
                <w:rFonts w:cs="EB Garamond"/>
                <w:b/>
                <w:color w:val="2F2923"/>
                <w:kern w:val="16"/>
                <w:sz w:val="18"/>
                <w14:ligatures w14:val="standardContextual"/>
              </w:rPr>
              <w:t>Base normativa</w:t>
            </w:r>
          </w:p>
        </w:tc>
      </w:tr>
      <w:tr w:rsidR="005A5FCC" w14:paraId="74A85463"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01ED9850" w14:textId="77777777" w:rsidR="005A5FCC" w:rsidRDefault="00A21C81">
            <w:pPr>
              <w:spacing w:before="20" w:after="20" w:line="240" w:lineRule="auto"/>
              <w:jc w:val="left"/>
            </w:pPr>
            <w:r>
              <w:rPr>
                <w:rFonts w:cs="EB Garamond"/>
                <w:kern w:val="16"/>
                <w:sz w:val="18"/>
                <w14:ligatures w14:val="standardContextual"/>
              </w:rPr>
              <w:t>2020</w:t>
            </w:r>
          </w:p>
        </w:tc>
        <w:tc>
          <w:tcPr>
            <w:tcW w:w="2117" w:type="dxa"/>
            <w:tcBorders>
              <w:top w:val="single" w:sz="4" w:space="0" w:color="D2C9B8"/>
              <w:left w:val="single" w:sz="4" w:space="0" w:color="D2C9B8"/>
              <w:bottom w:val="single" w:sz="4" w:space="0" w:color="D2C9B8"/>
              <w:right w:val="single" w:sz="4" w:space="0" w:color="D2C9B8"/>
            </w:tcBorders>
          </w:tcPr>
          <w:p w14:paraId="12F8EF49" w14:textId="77777777" w:rsidR="005A5FCC" w:rsidRDefault="00A21C81">
            <w:pPr>
              <w:spacing w:before="20" w:after="20" w:line="240" w:lineRule="auto"/>
              <w:jc w:val="left"/>
            </w:pPr>
            <w:r>
              <w:rPr>
                <w:rFonts w:cs="EB Garamond"/>
                <w:kern w:val="16"/>
                <w:sz w:val="18"/>
                <w14:ligatures w14:val="standardContextual"/>
              </w:rPr>
              <w:t>1.425,56</w:t>
            </w:r>
          </w:p>
        </w:tc>
        <w:tc>
          <w:tcPr>
            <w:tcW w:w="2117" w:type="dxa"/>
            <w:tcBorders>
              <w:top w:val="single" w:sz="4" w:space="0" w:color="D2C9B8"/>
              <w:left w:val="single" w:sz="4" w:space="0" w:color="D2C9B8"/>
              <w:bottom w:val="single" w:sz="4" w:space="0" w:color="D2C9B8"/>
              <w:right w:val="single" w:sz="4" w:space="0" w:color="D2C9B8"/>
            </w:tcBorders>
          </w:tcPr>
          <w:p w14:paraId="73007C2A" w14:textId="77777777" w:rsidR="005A5FCC" w:rsidRDefault="00A21C81">
            <w:pPr>
              <w:spacing w:before="20" w:after="20" w:line="240" w:lineRule="auto"/>
              <w:jc w:val="left"/>
            </w:pPr>
            <w:r>
              <w:rPr>
                <w:rFonts w:cs="EB Garamond"/>
                <w:kern w:val="16"/>
                <w:sz w:val="18"/>
                <w14:ligatures w14:val="standardContextual"/>
              </w:rPr>
              <w:t>Portaria SEPRT 3.659/2020</w:t>
            </w:r>
          </w:p>
        </w:tc>
      </w:tr>
      <w:tr w:rsidR="005A5FCC" w14:paraId="37D39C13"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78BA40FD" w14:textId="77777777" w:rsidR="005A5FCC" w:rsidRDefault="00A21C81">
            <w:pPr>
              <w:spacing w:before="20" w:after="20" w:line="240" w:lineRule="auto"/>
              <w:jc w:val="left"/>
            </w:pPr>
            <w:r>
              <w:rPr>
                <w:rFonts w:cs="EB Garamond"/>
                <w:kern w:val="16"/>
                <w:sz w:val="18"/>
                <w14:ligatures w14:val="standardContextual"/>
              </w:rPr>
              <w:t>2021</w:t>
            </w:r>
          </w:p>
        </w:tc>
        <w:tc>
          <w:tcPr>
            <w:tcW w:w="2117" w:type="dxa"/>
            <w:tcBorders>
              <w:top w:val="single" w:sz="4" w:space="0" w:color="D2C9B8"/>
              <w:left w:val="single" w:sz="4" w:space="0" w:color="D2C9B8"/>
              <w:bottom w:val="single" w:sz="4" w:space="0" w:color="D2C9B8"/>
              <w:right w:val="single" w:sz="4" w:space="0" w:color="D2C9B8"/>
            </w:tcBorders>
          </w:tcPr>
          <w:p w14:paraId="1C5C20D3" w14:textId="77777777" w:rsidR="005A5FCC" w:rsidRDefault="00A21C81">
            <w:pPr>
              <w:spacing w:before="20" w:after="20" w:line="240" w:lineRule="auto"/>
              <w:jc w:val="left"/>
            </w:pPr>
            <w:r>
              <w:rPr>
                <w:rFonts w:cs="EB Garamond"/>
                <w:kern w:val="16"/>
                <w:sz w:val="18"/>
                <w14:ligatures w14:val="standardContextual"/>
              </w:rPr>
              <w:t>1.503,25</w:t>
            </w:r>
          </w:p>
        </w:tc>
        <w:tc>
          <w:tcPr>
            <w:tcW w:w="2117" w:type="dxa"/>
            <w:tcBorders>
              <w:top w:val="single" w:sz="4" w:space="0" w:color="D2C9B8"/>
              <w:left w:val="single" w:sz="4" w:space="0" w:color="D2C9B8"/>
              <w:bottom w:val="single" w:sz="4" w:space="0" w:color="D2C9B8"/>
              <w:right w:val="single" w:sz="4" w:space="0" w:color="D2C9B8"/>
            </w:tcBorders>
          </w:tcPr>
          <w:p w14:paraId="1563FC52" w14:textId="77777777" w:rsidR="005A5FCC" w:rsidRDefault="00A21C81">
            <w:pPr>
              <w:spacing w:before="20" w:after="20" w:line="240" w:lineRule="auto"/>
              <w:jc w:val="left"/>
            </w:pPr>
            <w:r>
              <w:rPr>
                <w:rFonts w:cs="EB Garamond"/>
                <w:kern w:val="16"/>
                <w:sz w:val="18"/>
                <w14:ligatures w14:val="standardContextual"/>
              </w:rPr>
              <w:t>Portaria SEPRT 477/2021</w:t>
            </w:r>
          </w:p>
        </w:tc>
      </w:tr>
      <w:tr w:rsidR="005A5FCC" w14:paraId="7A74E4D4"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4C1746EA" w14:textId="77777777" w:rsidR="005A5FCC" w:rsidRDefault="00A21C81">
            <w:pPr>
              <w:spacing w:before="20" w:after="20" w:line="240" w:lineRule="auto"/>
              <w:jc w:val="left"/>
            </w:pPr>
            <w:r>
              <w:rPr>
                <w:rFonts w:cs="EB Garamond"/>
                <w:kern w:val="16"/>
                <w:sz w:val="18"/>
                <w14:ligatures w14:val="standardContextual"/>
              </w:rPr>
              <w:t>2022</w:t>
            </w:r>
          </w:p>
        </w:tc>
        <w:tc>
          <w:tcPr>
            <w:tcW w:w="2117" w:type="dxa"/>
            <w:tcBorders>
              <w:top w:val="single" w:sz="4" w:space="0" w:color="D2C9B8"/>
              <w:left w:val="single" w:sz="4" w:space="0" w:color="D2C9B8"/>
              <w:bottom w:val="single" w:sz="4" w:space="0" w:color="D2C9B8"/>
              <w:right w:val="single" w:sz="4" w:space="0" w:color="D2C9B8"/>
            </w:tcBorders>
          </w:tcPr>
          <w:p w14:paraId="340859D2" w14:textId="77777777" w:rsidR="005A5FCC" w:rsidRDefault="00A21C81">
            <w:pPr>
              <w:spacing w:before="20" w:after="20" w:line="240" w:lineRule="auto"/>
              <w:jc w:val="left"/>
            </w:pPr>
            <w:r>
              <w:rPr>
                <w:rFonts w:cs="EB Garamond"/>
                <w:kern w:val="16"/>
                <w:sz w:val="18"/>
                <w14:ligatures w14:val="standardContextual"/>
              </w:rPr>
              <w:t>1.655,98</w:t>
            </w:r>
          </w:p>
        </w:tc>
        <w:tc>
          <w:tcPr>
            <w:tcW w:w="2117" w:type="dxa"/>
            <w:tcBorders>
              <w:top w:val="single" w:sz="4" w:space="0" w:color="D2C9B8"/>
              <w:left w:val="single" w:sz="4" w:space="0" w:color="D2C9B8"/>
              <w:bottom w:val="single" w:sz="4" w:space="0" w:color="D2C9B8"/>
              <w:right w:val="single" w:sz="4" w:space="0" w:color="D2C9B8"/>
            </w:tcBorders>
          </w:tcPr>
          <w:p w14:paraId="3F6AACD3" w14:textId="77777777" w:rsidR="005A5FCC" w:rsidRDefault="00A21C81">
            <w:pPr>
              <w:spacing w:before="20" w:after="20" w:line="240" w:lineRule="auto"/>
              <w:jc w:val="left"/>
            </w:pPr>
            <w:r>
              <w:rPr>
                <w:rFonts w:cs="EB Garamond"/>
                <w:kern w:val="16"/>
                <w:sz w:val="18"/>
                <w14:ligatures w14:val="standardContextual"/>
              </w:rPr>
              <w:t>Portaria MTP 12/2022</w:t>
            </w:r>
          </w:p>
        </w:tc>
      </w:tr>
      <w:tr w:rsidR="005A5FCC" w14:paraId="4BE81135"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717B9279" w14:textId="77777777" w:rsidR="005A5FCC" w:rsidRDefault="00A21C81">
            <w:pPr>
              <w:spacing w:before="20" w:after="20" w:line="240" w:lineRule="auto"/>
              <w:jc w:val="left"/>
            </w:pPr>
            <w:r>
              <w:rPr>
                <w:rFonts w:cs="EB Garamond"/>
                <w:kern w:val="16"/>
                <w:sz w:val="18"/>
                <w14:ligatures w14:val="standardContextual"/>
              </w:rPr>
              <w:t>2023</w:t>
            </w:r>
          </w:p>
        </w:tc>
        <w:tc>
          <w:tcPr>
            <w:tcW w:w="2117" w:type="dxa"/>
            <w:tcBorders>
              <w:top w:val="single" w:sz="4" w:space="0" w:color="D2C9B8"/>
              <w:left w:val="single" w:sz="4" w:space="0" w:color="D2C9B8"/>
              <w:bottom w:val="single" w:sz="4" w:space="0" w:color="D2C9B8"/>
              <w:right w:val="single" w:sz="4" w:space="0" w:color="D2C9B8"/>
            </w:tcBorders>
          </w:tcPr>
          <w:p w14:paraId="2CAF16BB" w14:textId="77777777" w:rsidR="005A5FCC" w:rsidRDefault="00A21C81">
            <w:pPr>
              <w:spacing w:before="20" w:after="20" w:line="240" w:lineRule="auto"/>
              <w:jc w:val="left"/>
            </w:pPr>
            <w:r>
              <w:rPr>
                <w:rFonts w:cs="EB Garamond"/>
                <w:kern w:val="16"/>
                <w:sz w:val="18"/>
                <w14:ligatures w14:val="standardContextual"/>
              </w:rPr>
              <w:t>1.754,18</w:t>
            </w:r>
          </w:p>
        </w:tc>
        <w:tc>
          <w:tcPr>
            <w:tcW w:w="2117" w:type="dxa"/>
            <w:tcBorders>
              <w:top w:val="single" w:sz="4" w:space="0" w:color="D2C9B8"/>
              <w:left w:val="single" w:sz="4" w:space="0" w:color="D2C9B8"/>
              <w:bottom w:val="single" w:sz="4" w:space="0" w:color="D2C9B8"/>
              <w:right w:val="single" w:sz="4" w:space="0" w:color="D2C9B8"/>
            </w:tcBorders>
          </w:tcPr>
          <w:p w14:paraId="5407D7A1" w14:textId="77777777" w:rsidR="005A5FCC" w:rsidRDefault="00A21C81">
            <w:pPr>
              <w:spacing w:before="20" w:after="20" w:line="240" w:lineRule="auto"/>
              <w:jc w:val="left"/>
            </w:pPr>
            <w:r>
              <w:rPr>
                <w:rFonts w:cs="EB Garamond"/>
                <w:kern w:val="16"/>
                <w:sz w:val="18"/>
                <w14:ligatures w14:val="standardContextual"/>
              </w:rPr>
              <w:t>Portaria MPS 26/2023</w:t>
            </w:r>
          </w:p>
        </w:tc>
      </w:tr>
      <w:tr w:rsidR="005A5FCC" w14:paraId="41543EFB"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20E8F04D" w14:textId="77777777" w:rsidR="005A5FCC" w:rsidRDefault="00A21C81">
            <w:pPr>
              <w:spacing w:before="20" w:after="20" w:line="240" w:lineRule="auto"/>
              <w:jc w:val="left"/>
            </w:pPr>
            <w:r>
              <w:rPr>
                <w:rFonts w:cs="EB Garamond"/>
                <w:kern w:val="16"/>
                <w:sz w:val="18"/>
                <w14:ligatures w14:val="standardContextual"/>
              </w:rPr>
              <w:t>2024</w:t>
            </w:r>
          </w:p>
        </w:tc>
        <w:tc>
          <w:tcPr>
            <w:tcW w:w="2117" w:type="dxa"/>
            <w:tcBorders>
              <w:top w:val="single" w:sz="4" w:space="0" w:color="D2C9B8"/>
              <w:left w:val="single" w:sz="4" w:space="0" w:color="D2C9B8"/>
              <w:bottom w:val="single" w:sz="4" w:space="0" w:color="D2C9B8"/>
              <w:right w:val="single" w:sz="4" w:space="0" w:color="D2C9B8"/>
            </w:tcBorders>
          </w:tcPr>
          <w:p w14:paraId="23578FD8" w14:textId="77777777" w:rsidR="005A5FCC" w:rsidRDefault="00A21C81">
            <w:pPr>
              <w:spacing w:before="20" w:after="20" w:line="240" w:lineRule="auto"/>
              <w:jc w:val="left"/>
            </w:pPr>
            <w:r>
              <w:rPr>
                <w:rFonts w:cs="EB Garamond"/>
                <w:kern w:val="16"/>
                <w:sz w:val="18"/>
                <w14:ligatures w14:val="standardContextual"/>
              </w:rPr>
              <w:t>1.819,26</w:t>
            </w:r>
          </w:p>
        </w:tc>
        <w:tc>
          <w:tcPr>
            <w:tcW w:w="2117" w:type="dxa"/>
            <w:tcBorders>
              <w:top w:val="single" w:sz="4" w:space="0" w:color="D2C9B8"/>
              <w:left w:val="single" w:sz="4" w:space="0" w:color="D2C9B8"/>
              <w:bottom w:val="single" w:sz="4" w:space="0" w:color="D2C9B8"/>
              <w:right w:val="single" w:sz="4" w:space="0" w:color="D2C9B8"/>
            </w:tcBorders>
          </w:tcPr>
          <w:p w14:paraId="71360B16" w14:textId="77777777" w:rsidR="005A5FCC" w:rsidRDefault="00A21C81">
            <w:pPr>
              <w:spacing w:before="20" w:after="20" w:line="240" w:lineRule="auto"/>
              <w:jc w:val="left"/>
            </w:pPr>
            <w:r>
              <w:rPr>
                <w:rFonts w:cs="EB Garamond"/>
                <w:kern w:val="16"/>
                <w:sz w:val="18"/>
                <w14:ligatures w14:val="standardContextual"/>
              </w:rPr>
              <w:t>Portaria MPS/MF 2/2024</w:t>
            </w:r>
          </w:p>
        </w:tc>
      </w:tr>
      <w:tr w:rsidR="005A5FCC" w14:paraId="573DAF5F"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580103EA" w14:textId="77777777" w:rsidR="005A5FCC" w:rsidRDefault="00A21C81">
            <w:pPr>
              <w:spacing w:before="20" w:after="20" w:line="240" w:lineRule="auto"/>
              <w:jc w:val="left"/>
            </w:pPr>
            <w:r>
              <w:rPr>
                <w:rFonts w:cs="EB Garamond"/>
                <w:kern w:val="16"/>
                <w:sz w:val="18"/>
                <w14:ligatures w14:val="standardContextual"/>
              </w:rPr>
              <w:t>2025</w:t>
            </w:r>
          </w:p>
        </w:tc>
        <w:tc>
          <w:tcPr>
            <w:tcW w:w="2117" w:type="dxa"/>
            <w:tcBorders>
              <w:top w:val="single" w:sz="4" w:space="0" w:color="D2C9B8"/>
              <w:left w:val="single" w:sz="4" w:space="0" w:color="D2C9B8"/>
              <w:bottom w:val="single" w:sz="4" w:space="0" w:color="D2C9B8"/>
              <w:right w:val="single" w:sz="4" w:space="0" w:color="D2C9B8"/>
            </w:tcBorders>
          </w:tcPr>
          <w:p w14:paraId="3A0014F4" w14:textId="77777777" w:rsidR="005A5FCC" w:rsidRDefault="00A21C81">
            <w:pPr>
              <w:spacing w:before="20" w:after="20" w:line="240" w:lineRule="auto"/>
              <w:jc w:val="left"/>
            </w:pPr>
            <w:r>
              <w:rPr>
                <w:rFonts w:cs="EB Garamond"/>
                <w:kern w:val="16"/>
                <w:sz w:val="18"/>
                <w14:ligatures w14:val="standardContextual"/>
              </w:rPr>
              <w:t>1.906,04</w:t>
            </w:r>
          </w:p>
        </w:tc>
        <w:tc>
          <w:tcPr>
            <w:tcW w:w="2117" w:type="dxa"/>
            <w:tcBorders>
              <w:top w:val="single" w:sz="4" w:space="0" w:color="D2C9B8"/>
              <w:left w:val="single" w:sz="4" w:space="0" w:color="D2C9B8"/>
              <w:bottom w:val="single" w:sz="4" w:space="0" w:color="D2C9B8"/>
              <w:right w:val="single" w:sz="4" w:space="0" w:color="D2C9B8"/>
            </w:tcBorders>
          </w:tcPr>
          <w:p w14:paraId="3030B287" w14:textId="77777777" w:rsidR="005A5FCC" w:rsidRDefault="00A21C81">
            <w:pPr>
              <w:spacing w:before="20" w:after="20" w:line="240" w:lineRule="auto"/>
              <w:jc w:val="left"/>
            </w:pPr>
            <w:r>
              <w:rPr>
                <w:rFonts w:cs="EB Garamond"/>
                <w:kern w:val="16"/>
                <w:sz w:val="18"/>
                <w14:ligatures w14:val="standardContextual"/>
              </w:rPr>
              <w:t>Portaria MPS/MF 6/2025</w:t>
            </w:r>
          </w:p>
        </w:tc>
      </w:tr>
    </w:tbl>
    <w:p w14:paraId="747DB08A" w14:textId="77777777" w:rsidR="005A5FCC" w:rsidRDefault="005A5FCC">
      <w:pPr>
        <w:spacing w:after="80" w:line="240" w:lineRule="auto"/>
      </w:pPr>
    </w:p>
    <w:tbl>
      <w:tblPr>
        <w:tblW w:w="5000" w:type="pct"/>
        <w:jc w:val="center"/>
        <w:tblLayout w:type="fixed"/>
        <w:tblLook w:val="04A0" w:firstRow="1" w:lastRow="0" w:firstColumn="1" w:lastColumn="0" w:noHBand="0" w:noVBand="1"/>
      </w:tblPr>
      <w:tblGrid>
        <w:gridCol w:w="6311"/>
      </w:tblGrid>
      <w:tr w:rsidR="005A5FCC" w14:paraId="7D2F3637"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14EAA6F4"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0913AC32" w14:textId="77777777" w:rsidR="005A5FCC" w:rsidRDefault="00A21C81">
            <w:pPr>
              <w:spacing w:after="60" w:line="247" w:lineRule="auto"/>
            </w:pPr>
            <w:r>
              <w:rPr>
                <w:rFonts w:cs="EB Garamond"/>
                <w:b/>
                <w:kern w:val="16"/>
                <w:sz w:val="19"/>
                <w14:ligatures w14:val="standardContextual"/>
              </w:rPr>
              <w:t>Verificação prática do enquadramento como baixa renda (2025)</w:t>
            </w:r>
          </w:p>
          <w:p w14:paraId="52C1AD90" w14:textId="77777777" w:rsidR="005A5FCC" w:rsidRDefault="00A21C81">
            <w:pPr>
              <w:spacing w:after="60" w:line="247" w:lineRule="auto"/>
            </w:pPr>
            <w:r>
              <w:rPr>
                <w:rFonts w:cs="EB Garamond"/>
                <w:b/>
                <w:kern w:val="16"/>
                <w:sz w:val="19"/>
                <w14:ligatures w14:val="standardContextual"/>
              </w:rPr>
              <w:t>Limite vigente (2025):</w:t>
            </w:r>
            <w:r>
              <w:rPr>
                <w:rFonts w:cs="EB Garamond"/>
                <w:kern w:val="16"/>
                <w:sz w:val="19"/>
                <w14:ligatures w14:val="standardContextual"/>
              </w:rPr>
              <w:t xml:space="preserve"> R$ 1.906,04 (média dos 12 últimos salários de contribuição). Para fatos geradores de 2026, aplicar o valor da Portaria MPS/MF do exercício, na forma da referência única da seção 14.1.</w:t>
            </w:r>
          </w:p>
          <w:p w14:paraId="6B2C5E61" w14:textId="77777777" w:rsidR="005A5FCC" w:rsidRDefault="00A21C81">
            <w:pPr>
              <w:spacing w:after="60" w:line="247" w:lineRule="auto"/>
            </w:pPr>
            <w:r>
              <w:rPr>
                <w:rFonts w:cs="EB Garamond"/>
                <w:b/>
                <w:kern w:val="16"/>
                <w:sz w:val="19"/>
                <w14:ligatures w14:val="standardContextual"/>
              </w:rPr>
              <w:t>Passo 1:</w:t>
            </w:r>
            <w:r>
              <w:rPr>
                <w:rFonts w:cs="EB Garamond"/>
                <w:kern w:val="16"/>
                <w:sz w:val="19"/>
                <w14:ligatures w14:val="standardContextual"/>
              </w:rPr>
              <w:t xml:space="preserve"> Apurar a média dos salários de contribuição dos 12 meses anteriores à prisão - Empregado/doméstico/avulso: média dos 12 últimos salários no CNIS - Contribuinte individual: média das 12 últimas contribuições - Segurado especial: 1 SM presumido (R$ 1.621,00 em 2026) → SEMPRE abaixo do limite - Desempregado em período de graça (regime pré-MP 871/2019): renda zero → abaixo do limite - Desempregado em período de graça (regime pós-MP 871/2019): média dos 12 meses antes da perda do emprego - Facultativo: média das 12 últimas contribuições</w:t>
            </w:r>
          </w:p>
          <w:p w14:paraId="202D8CC0" w14:textId="77777777" w:rsidR="005A5FCC" w:rsidRDefault="00A21C81">
            <w:pPr>
              <w:spacing w:after="60" w:line="247" w:lineRule="auto"/>
            </w:pPr>
            <w:r>
              <w:rPr>
                <w:rFonts w:cs="EB Garamond"/>
                <w:b/>
                <w:kern w:val="16"/>
                <w:sz w:val="19"/>
                <w14:ligatures w14:val="standardContextual"/>
              </w:rPr>
              <w:t>Passo 2:</w:t>
            </w:r>
            <w:r>
              <w:rPr>
                <w:rFonts w:cs="EB Garamond"/>
                <w:kern w:val="16"/>
                <w:sz w:val="19"/>
                <w14:ligatures w14:val="standardContextual"/>
              </w:rPr>
              <w:t xml:space="preserve"> Comparar com o limite vigente na data do recolhimento - Se ≤ limite do exercício (R$ 1.906,04 em 2025) → enquadrado como baixa renda → verificar demais requisitos - Se &gt; limite do exercício → NÃO enquadrado → AR indeferido</w:t>
            </w:r>
          </w:p>
          <w:p w14:paraId="0E7D6F9B" w14:textId="77777777" w:rsidR="005A5FCC" w:rsidRDefault="00A21C81">
            <w:pPr>
              <w:spacing w:after="60" w:line="247" w:lineRule="auto"/>
            </w:pPr>
            <w:r>
              <w:rPr>
                <w:rFonts w:cs="EB Garamond"/>
                <w:b/>
                <w:kern w:val="16"/>
                <w:sz w:val="19"/>
                <w14:ligatures w14:val="standardContextual"/>
              </w:rPr>
              <w:t>Passo 3:</w:t>
            </w:r>
            <w:r>
              <w:rPr>
                <w:rFonts w:cs="EB Garamond"/>
                <w:kern w:val="16"/>
                <w:sz w:val="19"/>
                <w14:ligatures w14:val="standardContextual"/>
              </w:rPr>
              <w:t xml:space="preserve"> Situações especiais - Segurado com múltiplos vínculos: somar todas as remunerações de cada mês para calcular a média - Meses sem contribuição dentro dos 15 meses: excluídos do cálculo da média - Segurado com menos de 12 contribuições: média das contribuições existentes</w:t>
            </w:r>
          </w:p>
        </w:tc>
      </w:tr>
    </w:tbl>
    <w:p w14:paraId="173FE2EE" w14:textId="77777777" w:rsidR="005A5FCC" w:rsidRDefault="005A5FCC">
      <w:pPr>
        <w:spacing w:after="80" w:line="240" w:lineRule="auto"/>
      </w:pPr>
    </w:p>
    <w:p w14:paraId="08F17D2F"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A</w:t>
      </w:r>
    </w:p>
    <w:p w14:paraId="335C3ACF" w14:textId="77777777" w:rsidR="005A5FCC" w:rsidRDefault="00A21C81">
      <w:r>
        <w:rPr>
          <w:rFonts w:cs="EB Garamond"/>
          <w:kern w:val="16"/>
          <w14:ligatures w14:val="standardContextual"/>
        </w:rPr>
        <w:t xml:space="preserve"> questão da flexibilização do limite de baixa renda foi enfrentada pelo STJ no </w:t>
      </w:r>
      <w:r>
        <w:rPr>
          <w:rFonts w:cs="EB Garamond"/>
          <w:b/>
          <w:kern w:val="16"/>
          <w14:ligatures w14:val="standardContextual"/>
        </w:rPr>
        <w:t>Tema 1162</w:t>
      </w:r>
      <w:r>
        <w:rPr>
          <w:rFonts w:cs="EB Garamond"/>
          <w:kern w:val="16"/>
          <w14:ligatures w14:val="standardContextual"/>
        </w:rPr>
        <w:t xml:space="preserve"> (leading case REsp 1.958.361, e REsp 1.971.856 e 1.971.857, 1ª Seção). Conforme o registro oficial do repetitivo, a </w:t>
      </w:r>
      <w:r>
        <w:rPr>
          <w:rFonts w:cs="EB Garamond"/>
          <w:b/>
          <w:kern w:val="16"/>
          <w14:ligatures w14:val="standardContextual"/>
        </w:rPr>
        <w:t>afetação</w:t>
      </w:r>
      <w:r>
        <w:rPr>
          <w:rFonts w:cs="EB Garamond"/>
          <w:kern w:val="16"/>
          <w14:ligatures w14:val="standardContextual"/>
        </w:rPr>
        <w:t xml:space="preserve"> coube à relatoria da Min. Assusete Magalhães (ProAfR julgado em 23/08/2022, DJe 01/09/2022); o </w:t>
      </w:r>
      <w:r>
        <w:rPr>
          <w:rFonts w:cs="EB Garamond"/>
          <w:b/>
          <w:kern w:val="16"/>
          <w14:ligatures w14:val="standardContextual"/>
        </w:rPr>
        <w:t>acórdão de mérito</w:t>
      </w:r>
      <w:r>
        <w:rPr>
          <w:rFonts w:cs="EB Garamond"/>
          <w:kern w:val="16"/>
          <w14:ligatures w14:val="standardContextual"/>
        </w:rPr>
        <w:t xml:space="preserve">, contudo, foi relatado pelo Min. Teodoro Silva Santos, com julgamento </w:t>
      </w:r>
      <w:r>
        <w:rPr>
          <w:rFonts w:cs="EB Garamond"/>
          <w:b/>
          <w:kern w:val="16"/>
          <w14:ligatures w14:val="standardContextual"/>
        </w:rPr>
        <w:t>concluído em 12/11/2025</w:t>
      </w:r>
      <w:r>
        <w:rPr>
          <w:rFonts w:cs="EB Garamond"/>
          <w:kern w:val="16"/>
          <w14:ligatures w14:val="standardContextual"/>
        </w:rPr>
        <w:t xml:space="preserve"> pela Primeira Seção e acórdão publicado em 19/11/2025. A sucessão de relatoria entre a fase de afetação e o julgamento de mérito é o que explica a coexistência dos dois nomes nos registros do feito; ao citar o repetitivo, deve-se atribuir o voto condutor ao relator do acórdão (Min. Teodoro Silva Santos). A Seção fixou tese em dois pontos: (i) no regime anterior à MP 871/2019, é possível flexibilizar o critério econômico quando a renda supera o limite em percentual ínfimo; (ii) a partir da MP 871/2019, </w:t>
      </w:r>
      <w:r>
        <w:rPr>
          <w:rFonts w:cs="EB Garamond"/>
          <w:b/>
          <w:kern w:val="16"/>
          <w14:ligatures w14:val="standardContextual"/>
        </w:rPr>
        <w:t>não é possível</w:t>
      </w:r>
      <w:r>
        <w:rPr>
          <w:rFonts w:cs="EB Garamond"/>
          <w:kern w:val="16"/>
          <w14:ligatures w14:val="standardContextual"/>
        </w:rPr>
        <w:t xml:space="preserve"> flexibilizar o teto, exceto se o Executivo deixar de corrigir anualmente o limite. Reputamos a segunda ressalva especialmente relevante e, na prática, subexplorada: a inflexibilidade do teto no regime novo é condicionada à efetiva atualização anual pelo Poder Executivo, de modo que a omissão ou o atraso na edição da portaria reabre, por exceção expressa do próprio repetitivo, espaço para a flexibilização. A tese tem, assim, impacto direto na prática dos JEFs — para prisões anteriores a 18/01/2019, cabe arguir a flexibilização quando a renda excede marginalmente o limite; para prisões posteriores, o parâmetro é objetivo, salvo a hipótese de desatualização administrativa do teto.</w:t>
      </w:r>
    </w:p>
    <w:p w14:paraId="7448DCA8"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14.8 Carência de 24 contribuições</w:t>
      </w:r>
    </w:p>
    <w:p w14:paraId="2A46017C"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5AB3AD9D" w14:textId="77777777" w:rsidR="005A5FCC" w:rsidRDefault="00A21C81">
      <w:r>
        <w:rPr>
          <w:rFonts w:cs="EB Garamond"/>
          <w:kern w:val="16"/>
          <w14:ligatures w14:val="standardContextual"/>
        </w:rPr>
        <w:t xml:space="preserve"> exigência de carência de 24 contribuições mensais para o auxílio-reclusão é inovação introduzida pela MP 871/2019, convertida na Lei 13.846/2019, e constitucionalizada pela EC 103/2019. A carência já vigorava desde 18/01/2019, data da MP 871; a Lei 13.846 consolidou a exigência sem inaugurá-la.</w:t>
      </w:r>
    </w:p>
    <w:p w14:paraId="3A184963" w14:textId="77777777" w:rsidR="005A5FCC" w:rsidRDefault="00A21C81">
      <w:pPr>
        <w:ind w:firstLine="238"/>
      </w:pPr>
      <w:r>
        <w:rPr>
          <w:rFonts w:cs="EB Garamond"/>
          <w:kern w:val="16"/>
          <w14:ligatures w14:val="standardContextual"/>
        </w:rPr>
        <w:t xml:space="preserve">No regime anterior à MP 871/2019, o auxílio-reclusão era expressamente dispensado de carência pelo art. 26, I, da Lei 8.213/91, que incluía o auxílio-reclusão no rol de benefícios independentes de carência, ao lado da pensão por morte. </w:t>
      </w:r>
      <w:r>
        <w:rPr>
          <w:rFonts w:cs="EB Garamond"/>
          <w:kern w:val="16"/>
          <w14:ligatures w14:val="standardContextual"/>
        </w:rPr>
        <w:lastRenderedPageBreak/>
        <w:t>Bastava que o segurado mantivesse a qualidade de segurado na data do recolhimento à prisão.</w:t>
      </w:r>
    </w:p>
    <w:p w14:paraId="50C41D47" w14:textId="77777777" w:rsidR="005A5FCC" w:rsidRDefault="00A21C81">
      <w:pPr>
        <w:ind w:firstLine="238"/>
      </w:pPr>
      <w:r>
        <w:rPr>
          <w:rFonts w:cs="EB Garamond"/>
          <w:kern w:val="16"/>
          <w14:ligatures w14:val="standardContextual"/>
        </w:rPr>
        <w:t xml:space="preserve">A nova exigência de 24 contribuições mensais é a mais elevada carência entre os </w:t>
      </w:r>
      <w:r>
        <w:rPr>
          <w:rFonts w:cs="EB Garamond"/>
          <w:b/>
          <w:kern w:val="16"/>
          <w14:ligatures w14:val="standardContextual"/>
        </w:rPr>
        <w:t>benefícios de risco</w:t>
      </w:r>
      <w:r>
        <w:rPr>
          <w:rFonts w:cs="EB Garamond"/>
          <w:kern w:val="16"/>
          <w14:ligatures w14:val="standardContextual"/>
        </w:rPr>
        <w:t xml:space="preserve"> do sistema — aqueles cujo fato gerador é um evento imprevisível e não programável, como a morte, a incapacidade ou, aqui, o encarceramento. O cotejo pertinente não é com a aposentadoria programada (180 contribuições), pois esta pressupõe justamente um percurso contributivo planejado ao longo da vida laboral; comparar as duas em valor absoluto seria equivocado, já que respondem a lógicas distintas. O ponto crítico é outro: dentro da categoria dos benefícios de cobertura de risco — em que o segurado não tem como antecipar o sinistro e ajustar seu histórico contributivo —, o auxílio-reclusão passou a exigir mais do que qualquer outro (a pensão por morte, p. Ex., permanece sem carência para concessão). É nessa desproporção </w:t>
      </w:r>
      <w:r>
        <w:rPr>
          <w:rFonts w:cs="EB Garamond"/>
          <w:i/>
          <w:kern w:val="16"/>
          <w14:ligatures w14:val="standardContextual"/>
        </w:rPr>
        <w:t>intracategoria</w:t>
      </w:r>
      <w:r>
        <w:rPr>
          <w:rFonts w:cs="EB Garamond"/>
          <w:kern w:val="16"/>
          <w14:ligatures w14:val="standardContextual"/>
        </w:rPr>
        <w:t xml:space="preserve"> que reside a fragilidade constitucional da exigência.</w:t>
      </w:r>
    </w:p>
    <w:p w14:paraId="0EA3FD1F" w14:textId="77777777" w:rsidR="005A5FCC" w:rsidRDefault="00A21C81">
      <w:pPr>
        <w:ind w:firstLine="238"/>
      </w:pPr>
      <w:r>
        <w:rPr>
          <w:rFonts w:cs="EB Garamond"/>
          <w:b/>
          <w:kern w:val="16"/>
          <w14:ligatures w14:val="standardContextual"/>
        </w:rPr>
        <w:t>A tese de inconstitucionalidade.</w:t>
      </w:r>
      <w:r>
        <w:rPr>
          <w:rFonts w:cs="EB Garamond"/>
          <w:kern w:val="16"/>
          <w14:ligatures w14:val="standardContextual"/>
        </w:rPr>
        <w:t xml:space="preserve"> O argumento mais robusto contra a carência não é, a nosso ver, formal, mas material: trata-se da </w:t>
      </w:r>
      <w:r>
        <w:rPr>
          <w:rFonts w:cs="EB Garamond"/>
          <w:b/>
          <w:kern w:val="16"/>
          <w14:ligatures w14:val="standardContextual"/>
        </w:rPr>
        <w:t>desproporcionalidade entre o requisito e o risco coberto</w:t>
      </w:r>
      <w:r>
        <w:rPr>
          <w:rFonts w:cs="EB Garamond"/>
          <w:kern w:val="16"/>
          <w14:ligatures w14:val="standardContextual"/>
        </w:rPr>
        <w:t xml:space="preserve">. O encarceramento é evento abrupto e imprevisível, que atinge sobretudo segurados de baixa renda com vínculos informais, intermitentes ou de curta duração — exatamente o perfil que tem maior dificuldade de acumular 24 contribuições contínuas. A exigência opera, nessa medida, como filtro que exclui da proteção justamente quem dela mais necessita, em tensão direta com o princípio da universalidade da cobertura (art. 194, I, CF). A esse núcleo somam-se dois reforços de menor densidade dogmática, mas relevantes: a alegação de </w:t>
      </w:r>
      <w:r>
        <w:rPr>
          <w:rFonts w:cs="EB Garamond"/>
          <w:b/>
          <w:kern w:val="16"/>
          <w14:ligatures w14:val="standardContextual"/>
        </w:rPr>
        <w:t>retrocesso social</w:t>
      </w:r>
      <w:r>
        <w:rPr>
          <w:rFonts w:cs="EB Garamond"/>
          <w:kern w:val="16"/>
          <w14:ligatures w14:val="standardContextual"/>
        </w:rPr>
        <w:t xml:space="preserve">, pois a carência saltou de zero para 24 contribuições sem contrapartida protetiva; e a de </w:t>
      </w:r>
      <w:r>
        <w:rPr>
          <w:rFonts w:cs="EB Garamond"/>
          <w:b/>
          <w:kern w:val="16"/>
          <w14:ligatures w14:val="standardContextual"/>
        </w:rPr>
        <w:t>discriminação indireta</w:t>
      </w:r>
      <w:r>
        <w:rPr>
          <w:rFonts w:cs="EB Garamond"/>
          <w:kern w:val="16"/>
          <w14:ligatures w14:val="standardContextual"/>
        </w:rPr>
        <w:t>, na medida em que o perfil socioeconômico da população carcerária — predominantemente jovem, negra e de baixa escolaridade — sugere impacto desproporcional sobre grupos já marginalizados. Os dois últimos, embora retoricamente fortes, dependem de premissas empíricas e principiológicas que tribunais tendem a examinar com cautela; recomendamos articulá-los como reforço da desproporcionalidade, e não como fundamento autônomo.</w:t>
      </w:r>
    </w:p>
    <w:p w14:paraId="443236F3" w14:textId="0174517E" w:rsidR="005A5FCC" w:rsidRDefault="00A21C81">
      <w:pPr>
        <w:ind w:firstLine="238"/>
      </w:pPr>
      <w:r>
        <w:rPr>
          <w:rFonts w:cs="EB Garamond"/>
          <w:b/>
          <w:kern w:val="16"/>
          <w14:ligatures w14:val="standardContextual"/>
        </w:rPr>
        <w:lastRenderedPageBreak/>
        <w:t>A tese de constitucionalidade.</w:t>
      </w:r>
      <w:r>
        <w:rPr>
          <w:rFonts w:cs="EB Garamond"/>
          <w:kern w:val="16"/>
          <w14:ligatures w14:val="standardContextual"/>
        </w:rPr>
        <w:t xml:space="preserve"> Em sentido contrário, sustenta-se que a fixação de carência </w:t>
      </w:r>
      <w:r w:rsidR="00F72DCE">
        <w:rPr>
          <w:rFonts w:cs="EB Garamond"/>
          <w:kern w:val="16"/>
          <w14:ligatures w14:val="standardContextual"/>
        </w:rPr>
        <w:t>se insere</w:t>
      </w:r>
      <w:r>
        <w:rPr>
          <w:rFonts w:cs="EB Garamond"/>
          <w:kern w:val="16"/>
          <w14:ligatures w14:val="standardContextual"/>
        </w:rPr>
        <w:t xml:space="preserve"> na </w:t>
      </w:r>
      <w:r>
        <w:rPr>
          <w:rFonts w:cs="EB Garamond"/>
          <w:b/>
          <w:kern w:val="16"/>
          <w14:ligatures w14:val="standardContextual"/>
        </w:rPr>
        <w:t>livre conformação do legislador</w:t>
      </w:r>
      <w:r>
        <w:rPr>
          <w:rFonts w:cs="EB Garamond"/>
          <w:kern w:val="16"/>
          <w14:ligatures w14:val="standardContextual"/>
        </w:rPr>
        <w:t xml:space="preserve">, a quem a Constituição confiou a definição dos requisitos dos benefícios, dentro de margem de discricionariedade que comportaria os 24 meses. A esse argumento de competência agrega-se o de </w:t>
      </w:r>
      <w:r>
        <w:rPr>
          <w:rFonts w:cs="EB Garamond"/>
          <w:b/>
          <w:kern w:val="16"/>
          <w14:ligatures w14:val="standardContextual"/>
        </w:rPr>
        <w:t>equilíbrio atuarial</w:t>
      </w:r>
      <w:r>
        <w:rPr>
          <w:rFonts w:cs="EB Garamond"/>
          <w:kern w:val="16"/>
          <w14:ligatures w14:val="standardContextual"/>
        </w:rPr>
        <w:t xml:space="preserve">: a carência mais elevada responderia a preocupações legítimas de sustentabilidade, evitando que contribuições mínimas gerem benefícios de longa duração — preocupação que a exposição de motivos da MP 871/2019 verbalizou ao invocar a necessidade de coibir abusos e fraudes. Há, ainda, um argumento de </w:t>
      </w:r>
      <w:r>
        <w:rPr>
          <w:rFonts w:cs="EB Garamond"/>
          <w:b/>
          <w:kern w:val="16"/>
          <w14:ligatures w14:val="standardContextual"/>
        </w:rPr>
        <w:t>coerência sistemática</w:t>
      </w:r>
      <w:r>
        <w:rPr>
          <w:rFonts w:cs="EB Garamond"/>
          <w:kern w:val="16"/>
          <w14:ligatures w14:val="standardContextual"/>
        </w:rPr>
        <w:t xml:space="preserve">, embora ele deva ser manejado com ressalva: é certo que a EC 103/2019 elevou requisitos de modo generalizado, mas o paralelo com a pensão por morte é apenas parcial, pois esta permanece </w:t>
      </w:r>
      <w:r>
        <w:rPr>
          <w:rFonts w:cs="EB Garamond"/>
          <w:b/>
          <w:kern w:val="16"/>
          <w14:ligatures w14:val="standardContextual"/>
        </w:rPr>
        <w:t>sem carência para concessão</w:t>
      </w:r>
      <w:r>
        <w:rPr>
          <w:rFonts w:cs="EB Garamond"/>
          <w:kern w:val="16"/>
          <w14:ligatures w14:val="standardContextual"/>
        </w:rPr>
        <w:t xml:space="preserve"> (art. 26, I, Lei 8.213/91) — as 18 contribuições do art. 77, § 2º, V-b, condicionam não a concessão, mas a duração estendida do benefício ao cônjuge. Por fim, invoca-se a experiência comparada, de menor peso, segundo a qual sistemas estrangeiros exigem períodos contributivos equivalentes para benefícios análogos.</w:t>
      </w:r>
    </w:p>
    <w:tbl>
      <w:tblPr>
        <w:tblW w:w="5000" w:type="pct"/>
        <w:jc w:val="center"/>
        <w:tblLayout w:type="fixed"/>
        <w:tblLook w:val="04A0" w:firstRow="1" w:lastRow="0" w:firstColumn="1" w:lastColumn="0" w:noHBand="0" w:noVBand="1"/>
      </w:tblPr>
      <w:tblGrid>
        <w:gridCol w:w="6311"/>
      </w:tblGrid>
      <w:tr w:rsidR="005A5FCC" w14:paraId="5BECA180"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5572D3F4"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313A2304" w14:textId="77777777" w:rsidR="005A5FCC" w:rsidRDefault="00A21C81">
            <w:pPr>
              <w:spacing w:after="60" w:line="247" w:lineRule="auto"/>
            </w:pPr>
            <w:r>
              <w:rPr>
                <w:rFonts w:cs="EB Garamond"/>
                <w:b/>
                <w:kern w:val="16"/>
                <w:sz w:val="19"/>
                <w14:ligatures w14:val="standardContextual"/>
              </w:rPr>
              <w:t>Carência de 24 contribuições: impacto desproporcional</w:t>
            </w:r>
          </w:p>
          <w:p w14:paraId="1E5E0F18" w14:textId="77777777" w:rsidR="005A5FCC" w:rsidRDefault="00A21C81">
            <w:pPr>
              <w:spacing w:after="60" w:line="247" w:lineRule="auto"/>
            </w:pPr>
            <w:r>
              <w:rPr>
                <w:rFonts w:cs="EB Garamond"/>
                <w:kern w:val="16"/>
                <w:sz w:val="19"/>
                <w14:ligatures w14:val="standardContextual"/>
              </w:rPr>
              <w:t>A exigência de 24 contribuições atinge frontalmente o perfil típico do segurado cujos dependentes requerem auxílio-reclusão:</w:t>
            </w:r>
          </w:p>
          <w:p w14:paraId="1975DFDE" w14:textId="77777777" w:rsidR="005A5FCC" w:rsidRDefault="00A21C81">
            <w:pPr>
              <w:spacing w:after="30" w:line="240" w:lineRule="auto"/>
              <w:ind w:left="227" w:hanging="142"/>
            </w:pPr>
            <w:r>
              <w:rPr>
                <w:rFonts w:cs="EB Garamond"/>
                <w:kern w:val="16"/>
                <w:sz w:val="19"/>
                <w14:ligatures w14:val="standardContextual"/>
              </w:rPr>
              <w:t>• Trabalhadores de baixa renda com vínculos empregatícios curtos e informais</w:t>
            </w:r>
          </w:p>
          <w:p w14:paraId="5A19FA73" w14:textId="77777777" w:rsidR="005A5FCC" w:rsidRDefault="00A21C81">
            <w:pPr>
              <w:spacing w:after="30" w:line="240" w:lineRule="auto"/>
              <w:ind w:left="227" w:hanging="142"/>
            </w:pPr>
            <w:r>
              <w:rPr>
                <w:rFonts w:cs="EB Garamond"/>
                <w:kern w:val="16"/>
                <w:sz w:val="19"/>
                <w14:ligatures w14:val="standardContextual"/>
              </w:rPr>
              <w:t>• Jovens no início da vida laboral</w:t>
            </w:r>
          </w:p>
          <w:p w14:paraId="31A9ED76" w14:textId="77777777" w:rsidR="005A5FCC" w:rsidRDefault="00A21C81">
            <w:pPr>
              <w:spacing w:after="30" w:line="240" w:lineRule="auto"/>
              <w:ind w:left="227" w:hanging="142"/>
            </w:pPr>
            <w:r>
              <w:rPr>
                <w:rFonts w:cs="EB Garamond"/>
                <w:kern w:val="16"/>
                <w:sz w:val="19"/>
                <w14:ligatures w14:val="standardContextual"/>
              </w:rPr>
              <w:t>• Trabalhadores intermitentes ou sazonais</w:t>
            </w:r>
          </w:p>
          <w:p w14:paraId="5F079FFB" w14:textId="77777777" w:rsidR="005A5FCC" w:rsidRDefault="00A21C81">
            <w:pPr>
              <w:spacing w:after="30" w:line="240" w:lineRule="auto"/>
              <w:ind w:left="227" w:hanging="142"/>
            </w:pPr>
            <w:r>
              <w:rPr>
                <w:rFonts w:cs="EB Garamond"/>
                <w:kern w:val="16"/>
                <w:sz w:val="19"/>
                <w14:ligatures w14:val="standardContextual"/>
              </w:rPr>
              <w:t>• MEIs com contribuições irregulares</w:t>
            </w:r>
          </w:p>
          <w:p w14:paraId="42915167" w14:textId="77777777" w:rsidR="005A5FCC" w:rsidRDefault="00A21C81">
            <w:pPr>
              <w:spacing w:after="60" w:line="247" w:lineRule="auto"/>
            </w:pPr>
            <w:r>
              <w:rPr>
                <w:rFonts w:cs="EB Garamond"/>
                <w:b/>
                <w:kern w:val="16"/>
                <w:sz w:val="19"/>
                <w14:ligatures w14:val="standardContextual"/>
              </w:rPr>
              <w:t>Na prática forense dos JEFs</w:t>
            </w:r>
            <w:r>
              <w:rPr>
                <w:rFonts w:cs="EB Garamond"/>
                <w:kern w:val="16"/>
                <w:sz w:val="19"/>
                <w14:ligatures w14:val="standardContextual"/>
              </w:rPr>
              <w:t>, observa-se que a maioria dos indeferimentos pós-EC 103 fundamenta-se na ausência de 24 contribuições. O advogado deve: 1. Verificar TODAS as contribuições no CNIS (incluindo períodos não registrados) 2. Requerer retificação do CNIS para inclusão de vínculos omitidos 3. Computar período de atividade rural anterior (se aplicável) 4. Avaliar a tese de inconstitucionalidade da carência (especialmente em JEFs com posicionamento favorável) 5. Aplicar a regra da metade do art. 27-A da Lei 8.213/91 (12 contribuições) quando preenchidos os requisitos, ver Cap. 3, seção 3.2</w:t>
            </w:r>
          </w:p>
        </w:tc>
      </w:tr>
    </w:tbl>
    <w:p w14:paraId="1FFC9779" w14:textId="77777777" w:rsidR="005A5FCC" w:rsidRDefault="005A5FCC">
      <w:pPr>
        <w:spacing w:after="80" w:line="240" w:lineRule="auto"/>
      </w:pPr>
    </w:p>
    <w:p w14:paraId="384BCCFB"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A</w:t>
      </w:r>
    </w:p>
    <w:p w14:paraId="4F0392B9" w14:textId="77777777" w:rsidR="005A5FCC" w:rsidRDefault="00A21C81">
      <w:r>
        <w:rPr>
          <w:rFonts w:cs="EB Garamond"/>
          <w:kern w:val="16"/>
          <w14:ligatures w14:val="standardContextual"/>
        </w:rPr>
        <w:t xml:space="preserve"> regra da metade da carência (art. 27-A da Lei 8.213/91, incluído pela Lei 13.846/2019) tem aplicação relevante ao auxílio-reclusão. Quando o segurado que não atingiu as 24 contribuições se filiar ao RGPS após a vigência da Lei 13.846/2019, a carência exigida será de 12 contribuições (metade de 24). Essa regra de transição, analisada em detalhe no Capítulo 3 (seção 3.2), representa importante válvula de escape para segurados com contribuição intermediária.</w:t>
      </w:r>
    </w:p>
    <w:p w14:paraId="57209F5E" w14:textId="77777777" w:rsidR="005A5FCC" w:rsidRDefault="00A21C81">
      <w:pPr>
        <w:ind w:firstLine="238"/>
      </w:pPr>
      <w:r>
        <w:rPr>
          <w:rFonts w:cs="EB Garamond"/>
          <w:kern w:val="16"/>
          <w14:ligatures w14:val="standardContextual"/>
        </w:rPr>
        <w:t>A aplicação concreta da regra da metade no auxílio-reclusão merece detalhamento. O art. 27-A dispõe que, no caso de perda da qualidade de segurado, para efeito de carência para a concessão de benefícios, o segurado deverá contar, a partir da nova filiação ao RGPS, com metade dos períodos previstos. Assim:</w:t>
      </w:r>
    </w:p>
    <w:p w14:paraId="198EC306"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Segurado com filiação contínua ao RGPS: carência integral de 24 contribuições</w:t>
      </w:r>
    </w:p>
    <w:p w14:paraId="14DC89E9"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Segurado que perdeu a qualidade e se refiliou após a Lei 13.846/2019: carência de 12 contribuições</w:t>
      </w:r>
    </w:p>
    <w:p w14:paraId="6BA3631E" w14:textId="14293C8C"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 xml:space="preserve">Segurado que nunca perdeu a </w:t>
      </w:r>
      <w:r w:rsidR="00DE5212">
        <w:rPr>
          <w:rFonts w:cs="EB Garamond"/>
          <w:kern w:val="16"/>
          <w:sz w:val="20"/>
          <w14:ligatures w14:val="standardContextual"/>
        </w:rPr>
        <w:t>qualidade,</w:t>
      </w:r>
      <w:r>
        <w:rPr>
          <w:rFonts w:cs="EB Garamond"/>
          <w:kern w:val="16"/>
          <w:sz w:val="20"/>
          <w14:ligatures w14:val="standardContextual"/>
        </w:rPr>
        <w:t xml:space="preserve"> mas se filiou pela primeira vez após a Lei 13.846/2019: carência integral de 24 contribuições (a regra da metade é para refiliação, não para primeira filiação)</w:t>
      </w:r>
    </w:p>
    <w:p w14:paraId="761E6DEE" w14:textId="77777777" w:rsidR="005A5FCC" w:rsidRDefault="005A5FCC">
      <w:pPr>
        <w:spacing w:after="60" w:line="240" w:lineRule="auto"/>
      </w:pPr>
    </w:p>
    <w:p w14:paraId="086C435E"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3C612306" w14:textId="77777777" w:rsidR="005A5FCC" w:rsidRDefault="00A21C81">
      <w:r>
        <w:rPr>
          <w:rFonts w:cs="EB Garamond"/>
          <w:kern w:val="16"/>
          <w14:ligatures w14:val="standardContextual"/>
        </w:rPr>
        <w:t xml:space="preserve"> interação entre a carência do auxílio-reclusão e a qualidade de segurado do preso gera complexidade adicional. Considere-se o exemplo: segurado com 18 contribuições é preso. Não atingiu 24 contribuições — AR indeferido por carência. Contudo, durante a reclusão, mantém qualidade de segurado (art. 2º, Lei 10.666/2003) e pode contribuir como facultativo. Se completar 24 contribuições durante a reclusão, os dependentes teriam direito ao AR? A posição majoritária é negativa: a carência deve estar cumprida na data do fato gerador (recolhimento à prisão). Contribuições posteriores não retroagem para suprir carência inexistente na data do fato gerador. Posição minoritária admite a contagem posterior, por analogia com a reafirmação da DER na aposentadoria (Tema 995/STJ).</w:t>
      </w:r>
    </w:p>
    <w:tbl>
      <w:tblPr>
        <w:tblW w:w="5000" w:type="pct"/>
        <w:jc w:val="center"/>
        <w:tblLayout w:type="fixed"/>
        <w:tblLook w:val="04A0" w:firstRow="1" w:lastRow="0" w:firstColumn="1" w:lastColumn="0" w:noHBand="0" w:noVBand="1"/>
      </w:tblPr>
      <w:tblGrid>
        <w:gridCol w:w="6311"/>
      </w:tblGrid>
      <w:tr w:rsidR="005A5FCC" w14:paraId="664A457C"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758967A8" w14:textId="77777777" w:rsidR="005A5FCC" w:rsidRDefault="00A21C81">
            <w:pPr>
              <w:spacing w:after="60" w:line="240" w:lineRule="auto"/>
              <w:jc w:val="left"/>
            </w:pPr>
            <w:r>
              <w:rPr>
                <w:rFonts w:ascii="Noto Sans" w:hAnsi="Noto Sans" w:cs="Noto Sans"/>
                <w:b/>
                <w:caps/>
                <w:color w:val="4D6F8A"/>
                <w:kern w:val="16"/>
                <w:sz w:val="16"/>
                <w14:ligatures w14:val="standardContextual"/>
              </w:rPr>
              <w:lastRenderedPageBreak/>
              <w:t>JURISPRUDÊNCIA EM DESTAQUE</w:t>
            </w:r>
          </w:p>
          <w:p w14:paraId="335A8700" w14:textId="77777777" w:rsidR="005A5FCC" w:rsidRDefault="00A21C81">
            <w:pPr>
              <w:spacing w:after="60" w:line="247" w:lineRule="auto"/>
            </w:pPr>
            <w:r>
              <w:rPr>
                <w:rFonts w:cs="EB Garamond"/>
                <w:b/>
                <w:kern w:val="16"/>
                <w:sz w:val="19"/>
                <w14:ligatures w14:val="standardContextual"/>
              </w:rPr>
              <w:t>Constitucionalidade da carência de 24 contribuições</w:t>
            </w:r>
          </w:p>
          <w:p w14:paraId="32F9E54A" w14:textId="77777777" w:rsidR="005A5FCC" w:rsidRDefault="00A21C81">
            <w:pPr>
              <w:spacing w:after="60" w:line="247" w:lineRule="auto"/>
            </w:pPr>
            <w:r>
              <w:rPr>
                <w:rFonts w:cs="EB Garamond"/>
                <w:kern w:val="16"/>
                <w:sz w:val="19"/>
                <w14:ligatures w14:val="standardContextual"/>
              </w:rPr>
              <w:t>A questão da constitucionalidade da carência de 24 contribuições para o auxílio-reclusão ainda não foi definitivamente enfrentada pelo STF em sede de controle concentrado. Decisões monocráticas e turmas recursais têm apresentado posições divergentes:</w:t>
            </w:r>
          </w:p>
          <w:p w14:paraId="37DE1D01" w14:textId="77777777" w:rsidR="005A5FCC" w:rsidRDefault="00A21C81">
            <w:pPr>
              <w:spacing w:after="60" w:line="247" w:lineRule="auto"/>
            </w:pPr>
            <w:r>
              <w:rPr>
                <w:rFonts w:cs="EB Garamond"/>
                <w:b/>
                <w:kern w:val="16"/>
                <w:sz w:val="19"/>
                <w14:ligatures w14:val="standardContextual"/>
              </w:rPr>
              <w:t>Posição 1 — Constitucional:</w:t>
            </w:r>
            <w:r>
              <w:rPr>
                <w:rFonts w:cs="EB Garamond"/>
                <w:kern w:val="16"/>
                <w:sz w:val="19"/>
                <w14:ligatures w14:val="standardContextual"/>
              </w:rPr>
              <w:t xml:space="preserve"> A fixação de carência é competência legislativa, e 24 contribuições não é prazo irrazoável. Precedentes em turmas recursais do TRF1 e TRF5.</w:t>
            </w:r>
          </w:p>
          <w:p w14:paraId="5F0B7006" w14:textId="77777777" w:rsidR="005A5FCC" w:rsidRDefault="00A21C81">
            <w:pPr>
              <w:spacing w:after="60" w:line="247" w:lineRule="auto"/>
            </w:pPr>
            <w:r>
              <w:rPr>
                <w:rFonts w:cs="EB Garamond"/>
                <w:b/>
                <w:kern w:val="16"/>
                <w:sz w:val="19"/>
                <w14:ligatures w14:val="standardContextual"/>
              </w:rPr>
              <w:t>Posição 2 — Inconstitucional:</w:t>
            </w:r>
            <w:r>
              <w:rPr>
                <w:rFonts w:cs="EB Garamond"/>
                <w:kern w:val="16"/>
                <w:sz w:val="19"/>
                <w14:ligatures w14:val="standardContextual"/>
              </w:rPr>
              <w:t xml:space="preserve"> Carência desproporcional que viola a universalidade da cobertura (art. 194, I, CF), produz discriminação indireta contra a população de baixa renda e configura retrocesso social. Decisões em turmas recursais do TRF3 e TRF4.</w:t>
            </w:r>
          </w:p>
          <w:p w14:paraId="54D58D04" w14:textId="77777777" w:rsidR="005A5FCC" w:rsidRDefault="00A21C81">
            <w:pPr>
              <w:spacing w:after="60" w:line="247" w:lineRule="auto"/>
            </w:pPr>
            <w:r>
              <w:rPr>
                <w:rFonts w:cs="EB Garamond"/>
                <w:b/>
                <w:kern w:val="16"/>
                <w:sz w:val="19"/>
                <w14:ligatures w14:val="standardContextual"/>
              </w:rPr>
              <w:t>Posição 3 — Aplicação mitigada:</w:t>
            </w:r>
            <w:r>
              <w:rPr>
                <w:rFonts w:cs="EB Garamond"/>
                <w:kern w:val="16"/>
                <w:sz w:val="19"/>
                <w14:ligatures w14:val="standardContextual"/>
              </w:rPr>
              <w:t xml:space="preserve"> Aplica-se a regra da metade (art. 27-A) sempre que possível, e em casos extremos, dispensa-se a carência por aplicação direta dos princípios constitucionais.</w:t>
            </w:r>
          </w:p>
          <w:p w14:paraId="1F8FAF71" w14:textId="77777777" w:rsidR="005A5FCC" w:rsidRDefault="00A21C81">
            <w:pPr>
              <w:spacing w:after="60" w:line="247" w:lineRule="auto"/>
            </w:pPr>
            <w:r>
              <w:rPr>
                <w:rFonts w:cs="EB Garamond"/>
                <w:b/>
                <w:kern w:val="16"/>
                <w:sz w:val="19"/>
                <w14:ligatures w14:val="standardContextual"/>
              </w:rPr>
              <w:t>Orientação prática:</w:t>
            </w:r>
            <w:r>
              <w:rPr>
                <w:rFonts w:cs="EB Garamond"/>
                <w:kern w:val="16"/>
                <w:sz w:val="19"/>
                <w14:ligatures w14:val="standardContextual"/>
              </w:rPr>
              <w:t xml:space="preserve"> Arguir a inconstitucionalidade como tese subsidiária, sempre acompanhada da demonstração concreta de contribuições no CNIS e da aplicação da regra da metade.</w:t>
            </w:r>
          </w:p>
        </w:tc>
      </w:tr>
    </w:tbl>
    <w:p w14:paraId="4A58922B" w14:textId="77777777" w:rsidR="005A5FCC" w:rsidRDefault="005A5FCC">
      <w:pPr>
        <w:spacing w:after="80" w:line="240" w:lineRule="auto"/>
      </w:pPr>
    </w:p>
    <w:p w14:paraId="42EC5995"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14.9 Regime prisional: a tensão entre Constituição e lei ordinária</w:t>
      </w:r>
    </w:p>
    <w:p w14:paraId="00357A6E"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1EA68483" w14:textId="77777777" w:rsidR="005A5FCC" w:rsidRDefault="00A21C81">
      <w:r>
        <w:rPr>
          <w:rFonts w:cs="EB Garamond"/>
          <w:kern w:val="16"/>
          <w14:ligatures w14:val="standardContextual"/>
        </w:rPr>
        <w:t xml:space="preserve"> questão do regime prisional exigido para o auxílio-reclusão é uma das mais complexas do tema, pois envolve uma </w:t>
      </w:r>
      <w:r>
        <w:rPr>
          <w:rFonts w:cs="EB Garamond"/>
          <w:b/>
          <w:kern w:val="16"/>
          <w14:ligatures w14:val="standardContextual"/>
        </w:rPr>
        <w:t>tensão normativa</w:t>
      </w:r>
      <w:r>
        <w:rPr>
          <w:rFonts w:cs="EB Garamond"/>
          <w:kern w:val="16"/>
          <w14:ligatures w14:val="standardContextual"/>
        </w:rPr>
        <w:t xml:space="preserve"> entre o texto constitucional (EC 103/2019) e a lei ordinária (art. 80, Lei 8.213/91, com redação da Lei 13.846/2019).</w:t>
      </w:r>
    </w:p>
    <w:p w14:paraId="7536520E" w14:textId="77777777" w:rsidR="005A5FCC" w:rsidRDefault="00A21C81">
      <w:pPr>
        <w:ind w:firstLine="238"/>
      </w:pPr>
      <w:r>
        <w:rPr>
          <w:rFonts w:cs="EB Garamond"/>
          <w:b/>
          <w:kern w:val="16"/>
          <w14:ligatures w14:val="standardContextual"/>
        </w:rPr>
        <w:t>O que diz a Constituição.</w:t>
      </w:r>
      <w:r>
        <w:rPr>
          <w:rFonts w:cs="EB Garamond"/>
          <w:kern w:val="16"/>
          <w14:ligatures w14:val="standardContextual"/>
        </w:rPr>
        <w:t xml:space="preserve"> O § 5º do art. 201 da CF, incluído pela EC 103/2019, estabelece que "é vedada a concessão, por lei, de auxílio-reclusão quando o recluso estiver em regime aberto". A leitura a contrario sensu indica que a Constituição admite o benefício nos regimes </w:t>
      </w:r>
      <w:r>
        <w:rPr>
          <w:rFonts w:cs="EB Garamond"/>
          <w:b/>
          <w:kern w:val="16"/>
          <w14:ligatures w14:val="standardContextual"/>
        </w:rPr>
        <w:t>fechado e semiaberto</w:t>
      </w:r>
      <w:r>
        <w:rPr>
          <w:rFonts w:cs="EB Garamond"/>
          <w:kern w:val="16"/>
          <w14:ligatures w14:val="standardContextual"/>
        </w:rPr>
        <w:t xml:space="preserve"> — vedando apenas o aberto.</w:t>
      </w:r>
    </w:p>
    <w:p w14:paraId="3FF6E1B7" w14:textId="77777777" w:rsidR="005A5FCC" w:rsidRDefault="00A21C81">
      <w:pPr>
        <w:ind w:firstLine="238"/>
      </w:pPr>
      <w:r>
        <w:rPr>
          <w:rFonts w:cs="EB Garamond"/>
          <w:b/>
          <w:kern w:val="16"/>
          <w14:ligatures w14:val="standardContextual"/>
        </w:rPr>
        <w:lastRenderedPageBreak/>
        <w:t>O que diz a lei ordinária.</w:t>
      </w:r>
      <w:r>
        <w:rPr>
          <w:rFonts w:cs="EB Garamond"/>
          <w:kern w:val="16"/>
          <w14:ligatures w14:val="standardContextual"/>
        </w:rPr>
        <w:t xml:space="preserve"> O art. 80 da Lei 8.213/91, com a redação dada pela Lei 13.846/2019 (conversão da MP 871/2019), restringe o benefício ao segurado "recolhido à prisão em </w:t>
      </w:r>
      <w:r>
        <w:rPr>
          <w:rFonts w:cs="EB Garamond"/>
          <w:b/>
          <w:kern w:val="16"/>
          <w14:ligatures w14:val="standardContextual"/>
        </w:rPr>
        <w:t>regime fechado</w:t>
      </w:r>
      <w:r>
        <w:rPr>
          <w:rFonts w:cs="EB Garamond"/>
          <w:kern w:val="16"/>
          <w14:ligatures w14:val="standardContextual"/>
        </w:rPr>
        <w:t xml:space="preserve">". Ou seja, a lei é </w:t>
      </w:r>
      <w:r>
        <w:rPr>
          <w:rFonts w:cs="EB Garamond"/>
          <w:b/>
          <w:kern w:val="16"/>
          <w14:ligatures w14:val="standardContextual"/>
        </w:rPr>
        <w:t>mais restritiva</w:t>
      </w:r>
      <w:r>
        <w:rPr>
          <w:rFonts w:cs="EB Garamond"/>
          <w:kern w:val="16"/>
          <w14:ligatures w14:val="standardContextual"/>
        </w:rPr>
        <w:t xml:space="preserve"> que a Constituição: exclui não apenas o regime aberto (como faz a CF), mas também o regime </w:t>
      </w:r>
      <w:r>
        <w:rPr>
          <w:rFonts w:cs="EB Garamond"/>
          <w:b/>
          <w:kern w:val="16"/>
          <w14:ligatures w14:val="standardContextual"/>
        </w:rPr>
        <w:t>semiaberto</w:t>
      </w:r>
      <w:r>
        <w:rPr>
          <w:rFonts w:cs="EB Garamond"/>
          <w:kern w:val="16"/>
          <w14:ligatures w14:val="standardContextual"/>
        </w:rPr>
        <w:t>.</w:t>
      </w:r>
    </w:p>
    <w:p w14:paraId="7D3E026B" w14:textId="77777777" w:rsidR="005A5FCC" w:rsidRDefault="00A21C81">
      <w:pPr>
        <w:ind w:firstLine="238"/>
      </w:pPr>
      <w:r>
        <w:rPr>
          <w:rFonts w:cs="EB Garamond"/>
          <w:kern w:val="16"/>
          <w14:ligatures w14:val="standardContextual"/>
        </w:rPr>
        <w:t>Essa divergência gera controvérsia relevante:</w:t>
      </w:r>
    </w:p>
    <w:p w14:paraId="4EEFB403" w14:textId="77777777" w:rsidR="005A5FCC" w:rsidRDefault="00A21C81">
      <w:pPr>
        <w:ind w:firstLine="238"/>
      </w:pPr>
      <w:r>
        <w:rPr>
          <w:rFonts w:cs="EB Garamond"/>
          <w:b/>
          <w:kern w:val="16"/>
          <w14:ligatures w14:val="standardContextual"/>
        </w:rPr>
        <w:t>Posição restritiva (INSS e parte dos TRFs):</w:t>
      </w:r>
      <w:r>
        <w:rPr>
          <w:rFonts w:cs="EB Garamond"/>
          <w:kern w:val="16"/>
          <w14:ligatures w14:val="standardContextual"/>
        </w:rPr>
        <w:t xml:space="preserve"> A lei pode ser mais restritiva que a CF, pois a vedação constitucional do regime aberto é um piso mínimo de proteção, não um teto. O legislador ordinário tem liberdade para fixar requisitos adicionais, inclusive limitar ao regime fechado.</w:t>
      </w:r>
    </w:p>
    <w:p w14:paraId="5CD9BBB8" w14:textId="77777777" w:rsidR="005A5FCC" w:rsidRDefault="00A21C81">
      <w:pPr>
        <w:ind w:firstLine="238"/>
      </w:pPr>
      <w:r>
        <w:rPr>
          <w:rFonts w:cs="EB Garamond"/>
          <w:b/>
          <w:kern w:val="16"/>
          <w14:ligatures w14:val="standardContextual"/>
        </w:rPr>
        <w:t>Posição ampliativa (parte da doutrina, incluindo Ibrahim (2025) e Castro e Lazzari (2025), e dos TRFs):</w:t>
      </w:r>
      <w:r>
        <w:rPr>
          <w:rFonts w:cs="EB Garamond"/>
          <w:kern w:val="16"/>
          <w14:ligatures w14:val="standardContextual"/>
        </w:rPr>
        <w:t xml:space="preserve"> A CF vedou apenas o regime aberto. Ao fazê-lo, implicitamente autorizou os regimes fechado e semiaberto. A lei ordinária não pode restringir direito que a Constituição assegurou. O art. 80, ao excluir o semiaberto, seria parcialmente inconstitucional por violação ao art. 201, IV e § 5º, da CF.</w:t>
      </w:r>
    </w:p>
    <w:p w14:paraId="28035983" w14:textId="77777777" w:rsidR="005A5FCC" w:rsidRDefault="00A21C81">
      <w:pPr>
        <w:ind w:firstLine="238"/>
      </w:pPr>
      <w:r>
        <w:rPr>
          <w:rFonts w:cs="EB Garamond"/>
          <w:b/>
          <w:kern w:val="16"/>
          <w14:ligatures w14:val="standardContextual"/>
        </w:rPr>
        <w:t>Evolução temporal.</w:t>
      </w:r>
      <w:r>
        <w:rPr>
          <w:rFonts w:cs="EB Garamond"/>
          <w:kern w:val="16"/>
          <w14:ligatures w14:val="standardContextual"/>
        </w:rPr>
        <w:t xml:space="preserve"> A linha do tempo das alterações legislativas esclarece a controvérsia:</w:t>
      </w:r>
    </w:p>
    <w:tbl>
      <w:tblPr>
        <w:tblW w:w="5000" w:type="pct"/>
        <w:jc w:val="center"/>
        <w:tblLook w:val="04A0" w:firstRow="1" w:lastRow="0" w:firstColumn="1" w:lastColumn="0" w:noHBand="0" w:noVBand="1"/>
      </w:tblPr>
      <w:tblGrid>
        <w:gridCol w:w="2114"/>
        <w:gridCol w:w="2114"/>
        <w:gridCol w:w="2112"/>
      </w:tblGrid>
      <w:tr w:rsidR="005A5FCC" w14:paraId="1A1D2BDF" w14:textId="77777777">
        <w:trPr>
          <w:tblHeader/>
          <w:jc w:val="center"/>
        </w:trPr>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238DBE00" w14:textId="77777777" w:rsidR="005A5FCC" w:rsidRDefault="00A21C81">
            <w:pPr>
              <w:spacing w:before="40" w:after="40" w:line="240" w:lineRule="auto"/>
              <w:jc w:val="center"/>
            </w:pPr>
            <w:r>
              <w:rPr>
                <w:rFonts w:cs="EB Garamond"/>
                <w:b/>
                <w:color w:val="2F2923"/>
                <w:kern w:val="16"/>
                <w:sz w:val="18"/>
                <w14:ligatures w14:val="standardContextual"/>
              </w:rPr>
              <w:t>Data</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0FBEBD73" w14:textId="77777777" w:rsidR="005A5FCC" w:rsidRDefault="00A21C81">
            <w:pPr>
              <w:spacing w:before="40" w:after="40" w:line="240" w:lineRule="auto"/>
              <w:jc w:val="center"/>
            </w:pPr>
            <w:r>
              <w:rPr>
                <w:rFonts w:cs="EB Garamond"/>
                <w:b/>
                <w:color w:val="2F2923"/>
                <w:kern w:val="16"/>
                <w:sz w:val="18"/>
                <w14:ligatures w14:val="standardContextual"/>
              </w:rPr>
              <w:t>Norma</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2376A824" w14:textId="77777777" w:rsidR="005A5FCC" w:rsidRDefault="00A21C81">
            <w:pPr>
              <w:spacing w:before="40" w:after="40" w:line="240" w:lineRule="auto"/>
              <w:jc w:val="center"/>
            </w:pPr>
            <w:r>
              <w:rPr>
                <w:rFonts w:cs="EB Garamond"/>
                <w:b/>
                <w:color w:val="2F2923"/>
                <w:kern w:val="16"/>
                <w:sz w:val="18"/>
                <w14:ligatures w14:val="standardContextual"/>
              </w:rPr>
              <w:t>Regime prisional exigido</w:t>
            </w:r>
          </w:p>
        </w:tc>
      </w:tr>
      <w:tr w:rsidR="005A5FCC" w14:paraId="3BD40D6C"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6C28C5BA" w14:textId="77777777" w:rsidR="005A5FCC" w:rsidRDefault="00A21C81">
            <w:pPr>
              <w:spacing w:before="20" w:after="20" w:line="240" w:lineRule="auto"/>
              <w:jc w:val="left"/>
            </w:pPr>
            <w:r>
              <w:rPr>
                <w:rFonts w:cs="EB Garamond"/>
                <w:kern w:val="16"/>
                <w:sz w:val="18"/>
                <w14:ligatures w14:val="standardContextual"/>
              </w:rPr>
              <w:t>Até 17/01/2019</w:t>
            </w:r>
          </w:p>
        </w:tc>
        <w:tc>
          <w:tcPr>
            <w:tcW w:w="2117" w:type="dxa"/>
            <w:tcBorders>
              <w:top w:val="single" w:sz="4" w:space="0" w:color="D2C9B8"/>
              <w:left w:val="single" w:sz="4" w:space="0" w:color="D2C9B8"/>
              <w:bottom w:val="single" w:sz="4" w:space="0" w:color="D2C9B8"/>
              <w:right w:val="single" w:sz="4" w:space="0" w:color="D2C9B8"/>
            </w:tcBorders>
          </w:tcPr>
          <w:p w14:paraId="733667DA" w14:textId="77777777" w:rsidR="005A5FCC" w:rsidRDefault="00A21C81">
            <w:pPr>
              <w:spacing w:before="20" w:after="20" w:line="240" w:lineRule="auto"/>
              <w:jc w:val="left"/>
            </w:pPr>
            <w:r>
              <w:rPr>
                <w:rFonts w:cs="EB Garamond"/>
                <w:kern w:val="16"/>
                <w:sz w:val="18"/>
                <w14:ligatures w14:val="standardContextual"/>
              </w:rPr>
              <w:t>Lei 8.213/91 (redação original)</w:t>
            </w:r>
          </w:p>
        </w:tc>
        <w:tc>
          <w:tcPr>
            <w:tcW w:w="2117" w:type="dxa"/>
            <w:tcBorders>
              <w:top w:val="single" w:sz="4" w:space="0" w:color="D2C9B8"/>
              <w:left w:val="single" w:sz="4" w:space="0" w:color="D2C9B8"/>
              <w:bottom w:val="single" w:sz="4" w:space="0" w:color="D2C9B8"/>
              <w:right w:val="single" w:sz="4" w:space="0" w:color="D2C9B8"/>
            </w:tcBorders>
          </w:tcPr>
          <w:p w14:paraId="093B1CFF" w14:textId="77777777" w:rsidR="005A5FCC" w:rsidRDefault="00A21C81">
            <w:pPr>
              <w:spacing w:before="20" w:after="20" w:line="240" w:lineRule="auto"/>
              <w:jc w:val="left"/>
            </w:pPr>
            <w:r>
              <w:rPr>
                <w:rFonts w:cs="EB Garamond"/>
                <w:kern w:val="16"/>
                <w:sz w:val="18"/>
                <w14:ligatures w14:val="standardContextual"/>
              </w:rPr>
              <w:t>Qualquer regime (fechado, semiaberto, aberto)</w:t>
            </w:r>
          </w:p>
        </w:tc>
      </w:tr>
      <w:tr w:rsidR="005A5FCC" w14:paraId="569E7092"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5113B735" w14:textId="77777777" w:rsidR="005A5FCC" w:rsidRDefault="00A21C81">
            <w:pPr>
              <w:spacing w:before="20" w:after="20" w:line="240" w:lineRule="auto"/>
              <w:jc w:val="left"/>
            </w:pPr>
            <w:r>
              <w:rPr>
                <w:rFonts w:cs="EB Garamond"/>
                <w:kern w:val="16"/>
                <w:sz w:val="18"/>
                <w14:ligatures w14:val="standardContextual"/>
              </w:rPr>
              <w:t>18/01/2019 a 12/11/2019</w:t>
            </w:r>
          </w:p>
        </w:tc>
        <w:tc>
          <w:tcPr>
            <w:tcW w:w="2117" w:type="dxa"/>
            <w:tcBorders>
              <w:top w:val="single" w:sz="4" w:space="0" w:color="D2C9B8"/>
              <w:left w:val="single" w:sz="4" w:space="0" w:color="D2C9B8"/>
              <w:bottom w:val="single" w:sz="4" w:space="0" w:color="D2C9B8"/>
              <w:right w:val="single" w:sz="4" w:space="0" w:color="D2C9B8"/>
            </w:tcBorders>
          </w:tcPr>
          <w:p w14:paraId="7C685753" w14:textId="77777777" w:rsidR="005A5FCC" w:rsidRDefault="00A21C81">
            <w:pPr>
              <w:spacing w:before="20" w:after="20" w:line="240" w:lineRule="auto"/>
              <w:jc w:val="left"/>
            </w:pPr>
            <w:r>
              <w:rPr>
                <w:rFonts w:cs="EB Garamond"/>
                <w:kern w:val="16"/>
                <w:sz w:val="18"/>
                <w14:ligatures w14:val="standardContextual"/>
              </w:rPr>
              <w:t>MP 871/2019 (convertida na Lei 13.846/2019)</w:t>
            </w:r>
          </w:p>
        </w:tc>
        <w:tc>
          <w:tcPr>
            <w:tcW w:w="2117" w:type="dxa"/>
            <w:tcBorders>
              <w:top w:val="single" w:sz="4" w:space="0" w:color="D2C9B8"/>
              <w:left w:val="single" w:sz="4" w:space="0" w:color="D2C9B8"/>
              <w:bottom w:val="single" w:sz="4" w:space="0" w:color="D2C9B8"/>
              <w:right w:val="single" w:sz="4" w:space="0" w:color="D2C9B8"/>
            </w:tcBorders>
          </w:tcPr>
          <w:p w14:paraId="49EAFAA5" w14:textId="77777777" w:rsidR="005A5FCC" w:rsidRDefault="00A21C81">
            <w:pPr>
              <w:spacing w:before="20" w:after="20" w:line="240" w:lineRule="auto"/>
              <w:jc w:val="left"/>
            </w:pPr>
            <w:r>
              <w:rPr>
                <w:rFonts w:cs="EB Garamond"/>
                <w:b/>
                <w:kern w:val="16"/>
                <w:sz w:val="18"/>
                <w14:ligatures w14:val="standardContextual"/>
              </w:rPr>
              <w:t>Apenas regime fechado</w:t>
            </w:r>
          </w:p>
        </w:tc>
      </w:tr>
      <w:tr w:rsidR="005A5FCC" w14:paraId="2A12041E"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175168B5" w14:textId="77777777" w:rsidR="005A5FCC" w:rsidRDefault="00A21C81">
            <w:pPr>
              <w:spacing w:before="20" w:after="20" w:line="240" w:lineRule="auto"/>
              <w:jc w:val="left"/>
            </w:pPr>
            <w:r>
              <w:rPr>
                <w:rFonts w:cs="EB Garamond"/>
                <w:kern w:val="16"/>
                <w:sz w:val="18"/>
                <w14:ligatures w14:val="standardContextual"/>
              </w:rPr>
              <w:t>A partir de 13/11/2019</w:t>
            </w:r>
          </w:p>
        </w:tc>
        <w:tc>
          <w:tcPr>
            <w:tcW w:w="2117" w:type="dxa"/>
            <w:tcBorders>
              <w:top w:val="single" w:sz="4" w:space="0" w:color="D2C9B8"/>
              <w:left w:val="single" w:sz="4" w:space="0" w:color="D2C9B8"/>
              <w:bottom w:val="single" w:sz="4" w:space="0" w:color="D2C9B8"/>
              <w:right w:val="single" w:sz="4" w:space="0" w:color="D2C9B8"/>
            </w:tcBorders>
          </w:tcPr>
          <w:p w14:paraId="292AAF2A" w14:textId="77777777" w:rsidR="005A5FCC" w:rsidRDefault="00A21C81">
            <w:pPr>
              <w:spacing w:before="20" w:after="20" w:line="240" w:lineRule="auto"/>
              <w:jc w:val="left"/>
            </w:pPr>
            <w:r>
              <w:rPr>
                <w:rFonts w:cs="EB Garamond"/>
                <w:kern w:val="16"/>
                <w:sz w:val="18"/>
                <w14:ligatures w14:val="standardContextual"/>
              </w:rPr>
              <w:t>EC 103/2019, art. 201, § 5º</w:t>
            </w:r>
          </w:p>
        </w:tc>
        <w:tc>
          <w:tcPr>
            <w:tcW w:w="2117" w:type="dxa"/>
            <w:tcBorders>
              <w:top w:val="single" w:sz="4" w:space="0" w:color="D2C9B8"/>
              <w:left w:val="single" w:sz="4" w:space="0" w:color="D2C9B8"/>
              <w:bottom w:val="single" w:sz="4" w:space="0" w:color="D2C9B8"/>
              <w:right w:val="single" w:sz="4" w:space="0" w:color="D2C9B8"/>
            </w:tcBorders>
          </w:tcPr>
          <w:p w14:paraId="658E95B4" w14:textId="77777777" w:rsidR="005A5FCC" w:rsidRDefault="00A21C81">
            <w:pPr>
              <w:spacing w:before="20" w:after="20" w:line="240" w:lineRule="auto"/>
              <w:jc w:val="left"/>
            </w:pPr>
            <w:r>
              <w:rPr>
                <w:rFonts w:cs="EB Garamond"/>
                <w:kern w:val="16"/>
                <w:sz w:val="18"/>
                <w14:ligatures w14:val="standardContextual"/>
              </w:rPr>
              <w:t>CF: veda apenas aberto (fechado e semiaberto) / Lei: apenas fechado</w:t>
            </w:r>
          </w:p>
        </w:tc>
      </w:tr>
    </w:tbl>
    <w:p w14:paraId="1034B1B1" w14:textId="77777777" w:rsidR="005A5FCC" w:rsidRDefault="005A5FCC">
      <w:pPr>
        <w:spacing w:after="80" w:line="240" w:lineRule="auto"/>
      </w:pPr>
    </w:p>
    <w:p w14:paraId="50918F05"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N</w:t>
      </w:r>
    </w:p>
    <w:p w14:paraId="7B2883BC" w14:textId="77777777" w:rsidR="005A5FCC" w:rsidRDefault="00A21C81">
      <w:r>
        <w:rPr>
          <w:rFonts w:cs="EB Garamond"/>
          <w:kern w:val="16"/>
          <w14:ligatures w14:val="standardContextual"/>
        </w:rPr>
        <w:t>a prática administrativa, o INSS aplica o art. 80 e concede o AR apenas para regime fechado. Nos JEFs, há espaço para arguir a inconstitucionalidade parcial do art. 80 e pleitear o benefício no regime semiaberto, com fundamento direto na CF.</w:t>
      </w:r>
    </w:p>
    <w:p w14:paraId="5C52CA17" w14:textId="77777777" w:rsidR="005A5FCC" w:rsidRDefault="00A21C81">
      <w:pPr>
        <w:ind w:firstLine="238"/>
      </w:pPr>
      <w:r>
        <w:rPr>
          <w:rFonts w:cs="EB Garamond"/>
          <w:kern w:val="16"/>
          <w14:ligatures w14:val="standardContextual"/>
        </w:rPr>
        <w:t xml:space="preserve">Tomamos posição nessa controvérsia. Parece-nos que a leitura que melhor harmoniza lei e Constituição é a ampliativa: ao vedar a concessão apenas no regime </w:t>
      </w:r>
      <w:r>
        <w:rPr>
          <w:rFonts w:cs="EB Garamond"/>
          <w:kern w:val="16"/>
          <w14:ligatures w14:val="standardContextual"/>
        </w:rPr>
        <w:lastRenderedPageBreak/>
        <w:t>aberto, o art. 201, § 5º, da CF traçou o limite do que o legislador poderia excluir, e a exclusão legal do semiaberto avança sobre espaço que o constituinte derivado, podendo restringi-lo, optou por preservar. Não se trata de exigir do legislador que conceda o benefício em todo regime não vedado, mas de reconhecer que a supressão do semiaberto, por via ordinária, esvazia parcialmente a garantia constitucional sem amparo em distinção material relevante — afinal, no semiaberto o segurado permanece impedido de prover livremente o sustento da família, que é precisamente o risco que o auxílio-reclusão cobre. Reconhecemos, porém, que a jurisprudência ainda não pacificou o tema e que a tese restritiva conta com respaldo relevante; daí por que a arguição deve ser sempre acompanhada da demonstração concreta do regime fixado pelo juízo da execução.</w:t>
      </w:r>
    </w:p>
    <w:p w14:paraId="6F1FCBDD" w14:textId="77777777" w:rsidR="005A5FCC" w:rsidRDefault="00A21C81">
      <w:pPr>
        <w:ind w:firstLine="238"/>
      </w:pPr>
      <w:r>
        <w:rPr>
          <w:rFonts w:cs="EB Garamond"/>
          <w:b/>
          <w:kern w:val="16"/>
          <w14:ligatures w14:val="standardContextual"/>
        </w:rPr>
        <w:t>Progressão de regime.</w:t>
      </w:r>
      <w:r>
        <w:rPr>
          <w:rFonts w:cs="EB Garamond"/>
          <w:kern w:val="16"/>
          <w14:ligatures w14:val="standardContextual"/>
        </w:rPr>
        <w:t xml:space="preserve"> Quando o segurado progride do regime fechado para o semiaberto, o INSS cessa automaticamente o AR (com base no art. 80 — "regime fechado"). Se o dependente discordar, pode judicializar alegando que a CF permite o semiaberto. Se o segurado progride para o regime aberto, a cessação é incontroversa, vedação constitucional expressa.</w:t>
      </w:r>
    </w:p>
    <w:p w14:paraId="31DCD2A0" w14:textId="77777777" w:rsidR="005A5FCC" w:rsidRDefault="00A21C81">
      <w:pPr>
        <w:ind w:firstLine="238"/>
      </w:pPr>
      <w:r>
        <w:rPr>
          <w:rFonts w:cs="EB Garamond"/>
          <w:b/>
          <w:kern w:val="16"/>
          <w14:ligatures w14:val="standardContextual"/>
        </w:rPr>
        <w:t>Regressão de regime.</w:t>
      </w:r>
      <w:r>
        <w:rPr>
          <w:rFonts w:cs="EB Garamond"/>
          <w:kern w:val="16"/>
          <w14:ligatures w14:val="standardContextual"/>
        </w:rPr>
        <w:t xml:space="preserve"> Quando o segurado regride para o regime fechado (falta grave, nova condenação), o AR pode ser restabelecido, desde que os demais requisitos permaneçam preenchidos. O dependente deve formular novo requerimento.</w:t>
      </w:r>
    </w:p>
    <w:p w14:paraId="7F8908FB" w14:textId="77777777" w:rsidR="005A5FCC" w:rsidRDefault="00A21C81">
      <w:pPr>
        <w:ind w:firstLine="238"/>
      </w:pPr>
      <w:r>
        <w:rPr>
          <w:rFonts w:cs="EB Garamond"/>
          <w:b/>
          <w:kern w:val="16"/>
          <w14:ligatures w14:val="standardContextual"/>
        </w:rPr>
        <w:t>Regime semiaberto e trabalho externo.</w:t>
      </w:r>
      <w:r>
        <w:rPr>
          <w:rFonts w:cs="EB Garamond"/>
          <w:kern w:val="16"/>
          <w14:ligatures w14:val="standardContextual"/>
        </w:rPr>
        <w:t xml:space="preserve"> O trabalho externo no regime semiaberto (art. 35, § 2º, do CP c/c arts. 36-37 da LEP) gera questão adicional: se o segurado trabalha externamente, aufere remuneração. Porém, essa remuneração não afeta o AR, pois a renda relevante é a do momento do recolhimento à prisão (Tema 896/STJ), não a posterior. O art. 80, § 7º, da Lei 8.213/91 é expresso: "O exercício de atividade remunerada do segurado recluso, em cumprimento de pena em regime fechado, não acarreta a perda do direito ao recebimento do auxílio-reclusão para seus dependentes."</w:t>
      </w:r>
    </w:p>
    <w:tbl>
      <w:tblPr>
        <w:tblW w:w="5000" w:type="pct"/>
        <w:jc w:val="center"/>
        <w:tblLayout w:type="fixed"/>
        <w:tblLook w:val="04A0" w:firstRow="1" w:lastRow="0" w:firstColumn="1" w:lastColumn="0" w:noHBand="0" w:noVBand="1"/>
      </w:tblPr>
      <w:tblGrid>
        <w:gridCol w:w="6311"/>
      </w:tblGrid>
      <w:tr w:rsidR="005A5FCC" w14:paraId="1FFD34ED"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472A829D" w14:textId="77777777" w:rsidR="005A5FCC" w:rsidRDefault="00A21C81">
            <w:pPr>
              <w:spacing w:after="60" w:line="240" w:lineRule="auto"/>
              <w:jc w:val="left"/>
            </w:pPr>
            <w:r>
              <w:rPr>
                <w:rFonts w:ascii="Noto Sans" w:hAnsi="Noto Sans" w:cs="Noto Sans"/>
                <w:b/>
                <w:caps/>
                <w:color w:val="B78B37"/>
                <w:kern w:val="16"/>
                <w:sz w:val="16"/>
                <w14:ligatures w14:val="standardContextual"/>
              </w:rPr>
              <w:lastRenderedPageBreak/>
              <w:t>ATENÇÃO</w:t>
            </w:r>
          </w:p>
          <w:p w14:paraId="44E19D92" w14:textId="77777777" w:rsidR="005A5FCC" w:rsidRDefault="00A21C81">
            <w:pPr>
              <w:spacing w:after="60" w:line="247" w:lineRule="auto"/>
            </w:pPr>
            <w:r>
              <w:rPr>
                <w:rFonts w:cs="EB Garamond"/>
                <w:b/>
                <w:kern w:val="16"/>
                <w:sz w:val="19"/>
                <w14:ligatures w14:val="standardContextual"/>
              </w:rPr>
              <w:t>Regime prisional: três situações distintas</w:t>
            </w:r>
          </w:p>
          <w:tbl>
            <w:tblPr>
              <w:tblW w:w="5000" w:type="pct"/>
              <w:jc w:val="center"/>
              <w:tblLook w:val="04A0" w:firstRow="1" w:lastRow="0" w:firstColumn="1" w:lastColumn="0" w:noHBand="0" w:noVBand="1"/>
            </w:tblPr>
            <w:tblGrid>
              <w:gridCol w:w="1967"/>
              <w:gridCol w:w="1967"/>
              <w:gridCol w:w="1967"/>
            </w:tblGrid>
            <w:tr w:rsidR="005A5FCC" w14:paraId="5C7228DB" w14:textId="77777777">
              <w:trPr>
                <w:tblHeader/>
                <w:jc w:val="center"/>
              </w:trPr>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1E66D065" w14:textId="77777777" w:rsidR="005A5FCC" w:rsidRDefault="00A21C81">
                  <w:pPr>
                    <w:spacing w:before="30" w:after="30" w:line="240" w:lineRule="auto"/>
                    <w:jc w:val="center"/>
                  </w:pPr>
                  <w:r>
                    <w:rPr>
                      <w:rFonts w:cs="EB Garamond"/>
                      <w:b/>
                      <w:color w:val="2F2923"/>
                      <w:kern w:val="16"/>
                      <w:sz w:val="16"/>
                      <w14:ligatures w14:val="standardContextual"/>
                    </w:rPr>
                    <w:t>Regime</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69556ACF" w14:textId="77777777" w:rsidR="005A5FCC" w:rsidRDefault="00A21C81">
                  <w:pPr>
                    <w:spacing w:before="30" w:after="30" w:line="240" w:lineRule="auto"/>
                    <w:jc w:val="center"/>
                  </w:pPr>
                  <w:r>
                    <w:rPr>
                      <w:rFonts w:cs="EB Garamond"/>
                      <w:b/>
                      <w:color w:val="2F2923"/>
                      <w:kern w:val="16"/>
                      <w:sz w:val="16"/>
                      <w14:ligatures w14:val="standardContextual"/>
                    </w:rPr>
                    <w:t>Direito ao AR?</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0CEF8947" w14:textId="77777777" w:rsidR="005A5FCC" w:rsidRDefault="00A21C81">
                  <w:pPr>
                    <w:spacing w:before="30" w:after="30" w:line="240" w:lineRule="auto"/>
                    <w:jc w:val="center"/>
                  </w:pPr>
                  <w:r>
                    <w:rPr>
                      <w:rFonts w:cs="EB Garamond"/>
                      <w:b/>
                      <w:color w:val="2F2923"/>
                      <w:kern w:val="16"/>
                      <w:sz w:val="16"/>
                      <w14:ligatures w14:val="standardContextual"/>
                    </w:rPr>
                    <w:t>Fundamento</w:t>
                  </w:r>
                </w:p>
              </w:tc>
            </w:tr>
            <w:tr w:rsidR="005A5FCC" w14:paraId="7F8A7C04"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22963F03" w14:textId="77777777" w:rsidR="005A5FCC" w:rsidRDefault="00A21C81">
                  <w:pPr>
                    <w:spacing w:before="20" w:after="20" w:line="240" w:lineRule="auto"/>
                    <w:jc w:val="left"/>
                  </w:pPr>
                  <w:r>
                    <w:rPr>
                      <w:rFonts w:cs="EB Garamond"/>
                      <w:kern w:val="16"/>
                      <w:sz w:val="16"/>
                      <w14:ligatures w14:val="standardContextual"/>
                    </w:rPr>
                    <w:t>Fechado</w:t>
                  </w:r>
                </w:p>
              </w:tc>
              <w:tc>
                <w:tcPr>
                  <w:tcW w:w="2117" w:type="dxa"/>
                  <w:tcBorders>
                    <w:top w:val="single" w:sz="4" w:space="0" w:color="D2C9B8"/>
                    <w:left w:val="single" w:sz="4" w:space="0" w:color="D2C9B8"/>
                    <w:bottom w:val="single" w:sz="4" w:space="0" w:color="D2C9B8"/>
                    <w:right w:val="single" w:sz="4" w:space="0" w:color="D2C9B8"/>
                  </w:tcBorders>
                </w:tcPr>
                <w:p w14:paraId="78FC2DAE" w14:textId="77777777" w:rsidR="005A5FCC" w:rsidRDefault="00A21C81">
                  <w:pPr>
                    <w:spacing w:before="20" w:after="20" w:line="240" w:lineRule="auto"/>
                    <w:jc w:val="left"/>
                  </w:pPr>
                  <w:r>
                    <w:rPr>
                      <w:rFonts w:cs="EB Garamond"/>
                      <w:b/>
                      <w:kern w:val="16"/>
                      <w:sz w:val="16"/>
                      <w14:ligatures w14:val="standardContextual"/>
                    </w:rPr>
                    <w:t>SIM</w:t>
                  </w:r>
                  <w:r>
                    <w:rPr>
                      <w:rFonts w:cs="EB Garamond"/>
                      <w:kern w:val="16"/>
                      <w:sz w:val="16"/>
                      <w14:ligatures w14:val="standardContextual"/>
                    </w:rPr>
                    <w:t xml:space="preserve"> (incontroverso)</w:t>
                  </w:r>
                </w:p>
              </w:tc>
              <w:tc>
                <w:tcPr>
                  <w:tcW w:w="2117" w:type="dxa"/>
                  <w:tcBorders>
                    <w:top w:val="single" w:sz="4" w:space="0" w:color="D2C9B8"/>
                    <w:left w:val="single" w:sz="4" w:space="0" w:color="D2C9B8"/>
                    <w:bottom w:val="single" w:sz="4" w:space="0" w:color="D2C9B8"/>
                    <w:right w:val="single" w:sz="4" w:space="0" w:color="D2C9B8"/>
                  </w:tcBorders>
                </w:tcPr>
                <w:p w14:paraId="7D715302" w14:textId="77777777" w:rsidR="005A5FCC" w:rsidRDefault="00A21C81">
                  <w:pPr>
                    <w:spacing w:before="20" w:after="20" w:line="240" w:lineRule="auto"/>
                    <w:jc w:val="left"/>
                  </w:pPr>
                  <w:r>
                    <w:rPr>
                      <w:rFonts w:cs="EB Garamond"/>
                      <w:kern w:val="16"/>
                      <w:sz w:val="16"/>
                      <w14:ligatures w14:val="standardContextual"/>
                    </w:rPr>
                    <w:t>Art. 80, Lei 8.213 + art. 201, § 5º, CF</w:t>
                  </w:r>
                </w:p>
              </w:tc>
            </w:tr>
            <w:tr w:rsidR="005A5FCC" w14:paraId="77322BD1"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7EC4B53D" w14:textId="77777777" w:rsidR="005A5FCC" w:rsidRDefault="00A21C81">
                  <w:pPr>
                    <w:spacing w:before="20" w:after="20" w:line="240" w:lineRule="auto"/>
                    <w:jc w:val="left"/>
                  </w:pPr>
                  <w:r>
                    <w:rPr>
                      <w:rFonts w:cs="EB Garamond"/>
                      <w:kern w:val="16"/>
                      <w:sz w:val="16"/>
                      <w14:ligatures w14:val="standardContextual"/>
                    </w:rPr>
                    <w:t>Semiaberto</w:t>
                  </w:r>
                </w:p>
              </w:tc>
              <w:tc>
                <w:tcPr>
                  <w:tcW w:w="2117" w:type="dxa"/>
                  <w:tcBorders>
                    <w:top w:val="single" w:sz="4" w:space="0" w:color="D2C9B8"/>
                    <w:left w:val="single" w:sz="4" w:space="0" w:color="D2C9B8"/>
                    <w:bottom w:val="single" w:sz="4" w:space="0" w:color="D2C9B8"/>
                    <w:right w:val="single" w:sz="4" w:space="0" w:color="D2C9B8"/>
                  </w:tcBorders>
                </w:tcPr>
                <w:p w14:paraId="5B69D4E0" w14:textId="77777777" w:rsidR="005A5FCC" w:rsidRDefault="00A21C81">
                  <w:pPr>
                    <w:spacing w:before="20" w:after="20" w:line="240" w:lineRule="auto"/>
                    <w:jc w:val="left"/>
                  </w:pPr>
                  <w:r>
                    <w:rPr>
                      <w:rFonts w:cs="EB Garamond"/>
                      <w:b/>
                      <w:kern w:val="16"/>
                      <w:sz w:val="16"/>
                      <w14:ligatures w14:val="standardContextual"/>
                    </w:rPr>
                    <w:t>CONTROVÉRSIA</w:t>
                  </w:r>
                </w:p>
              </w:tc>
              <w:tc>
                <w:tcPr>
                  <w:tcW w:w="2117" w:type="dxa"/>
                  <w:tcBorders>
                    <w:top w:val="single" w:sz="4" w:space="0" w:color="D2C9B8"/>
                    <w:left w:val="single" w:sz="4" w:space="0" w:color="D2C9B8"/>
                    <w:bottom w:val="single" w:sz="4" w:space="0" w:color="D2C9B8"/>
                    <w:right w:val="single" w:sz="4" w:space="0" w:color="D2C9B8"/>
                  </w:tcBorders>
                </w:tcPr>
                <w:p w14:paraId="06188EFD" w14:textId="77777777" w:rsidR="005A5FCC" w:rsidRDefault="00A21C81">
                  <w:pPr>
                    <w:spacing w:before="20" w:after="20" w:line="240" w:lineRule="auto"/>
                    <w:jc w:val="left"/>
                  </w:pPr>
                  <w:r>
                    <w:rPr>
                      <w:rFonts w:cs="EB Garamond"/>
                      <w:kern w:val="16"/>
                      <w:sz w:val="16"/>
                      <w14:ligatures w14:val="standardContextual"/>
                    </w:rPr>
                    <w:t>CF permite (veda só aberto) × Lei exige regime fechado</w:t>
                  </w:r>
                </w:p>
              </w:tc>
            </w:tr>
            <w:tr w:rsidR="005A5FCC" w14:paraId="59AE8925"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5AC7DBB3" w14:textId="77777777" w:rsidR="005A5FCC" w:rsidRDefault="00A21C81">
                  <w:pPr>
                    <w:spacing w:before="20" w:after="20" w:line="240" w:lineRule="auto"/>
                    <w:jc w:val="left"/>
                  </w:pPr>
                  <w:r>
                    <w:rPr>
                      <w:rFonts w:cs="EB Garamond"/>
                      <w:kern w:val="16"/>
                      <w:sz w:val="16"/>
                      <w14:ligatures w14:val="standardContextual"/>
                    </w:rPr>
                    <w:t>Aberto</w:t>
                  </w:r>
                </w:p>
              </w:tc>
              <w:tc>
                <w:tcPr>
                  <w:tcW w:w="2117" w:type="dxa"/>
                  <w:tcBorders>
                    <w:top w:val="single" w:sz="4" w:space="0" w:color="D2C9B8"/>
                    <w:left w:val="single" w:sz="4" w:space="0" w:color="D2C9B8"/>
                    <w:bottom w:val="single" w:sz="4" w:space="0" w:color="D2C9B8"/>
                    <w:right w:val="single" w:sz="4" w:space="0" w:color="D2C9B8"/>
                  </w:tcBorders>
                </w:tcPr>
                <w:p w14:paraId="404435B9" w14:textId="77777777" w:rsidR="005A5FCC" w:rsidRDefault="00A21C81">
                  <w:pPr>
                    <w:spacing w:before="20" w:after="20" w:line="240" w:lineRule="auto"/>
                    <w:jc w:val="left"/>
                  </w:pPr>
                  <w:r>
                    <w:rPr>
                      <w:rFonts w:cs="EB Garamond"/>
                      <w:b/>
                      <w:kern w:val="16"/>
                      <w:sz w:val="16"/>
                      <w14:ligatures w14:val="standardContextual"/>
                    </w:rPr>
                    <w:t>NÃO</w:t>
                  </w:r>
                </w:p>
              </w:tc>
              <w:tc>
                <w:tcPr>
                  <w:tcW w:w="2117" w:type="dxa"/>
                  <w:tcBorders>
                    <w:top w:val="single" w:sz="4" w:space="0" w:color="D2C9B8"/>
                    <w:left w:val="single" w:sz="4" w:space="0" w:color="D2C9B8"/>
                    <w:bottom w:val="single" w:sz="4" w:space="0" w:color="D2C9B8"/>
                    <w:right w:val="single" w:sz="4" w:space="0" w:color="D2C9B8"/>
                  </w:tcBorders>
                </w:tcPr>
                <w:p w14:paraId="13CDCFEE" w14:textId="77777777" w:rsidR="005A5FCC" w:rsidRDefault="00A21C81">
                  <w:pPr>
                    <w:spacing w:before="20" w:after="20" w:line="240" w:lineRule="auto"/>
                    <w:jc w:val="left"/>
                  </w:pPr>
                  <w:r>
                    <w:rPr>
                      <w:rFonts w:cs="EB Garamond"/>
                      <w:kern w:val="16"/>
                      <w:sz w:val="16"/>
                      <w14:ligatures w14:val="standardContextual"/>
                    </w:rPr>
                    <w:t>Vedação constitucional expressa (art. 201, § 5º, CF)</w:t>
                  </w:r>
                </w:p>
              </w:tc>
            </w:tr>
          </w:tbl>
          <w:p w14:paraId="17D02650" w14:textId="77777777" w:rsidR="005A5FCC" w:rsidRDefault="005A5FCC"/>
          <w:p w14:paraId="275A84AF" w14:textId="77777777" w:rsidR="005A5FCC" w:rsidRDefault="005A5FCC">
            <w:pPr>
              <w:spacing w:after="0" w:line="240" w:lineRule="auto"/>
            </w:pPr>
          </w:p>
          <w:p w14:paraId="56A0FB33" w14:textId="77777777" w:rsidR="005A5FCC" w:rsidRDefault="00A21C81">
            <w:pPr>
              <w:spacing w:after="60" w:line="247" w:lineRule="auto"/>
            </w:pPr>
            <w:r>
              <w:rPr>
                <w:rFonts w:cs="EB Garamond"/>
                <w:b/>
                <w:kern w:val="16"/>
                <w:sz w:val="19"/>
                <w14:ligatures w14:val="standardContextual"/>
              </w:rPr>
              <w:t>Orientação ao advogado:</w:t>
            </w:r>
            <w:r>
              <w:rPr>
                <w:rFonts w:cs="EB Garamond"/>
                <w:kern w:val="16"/>
                <w:sz w:val="19"/>
                <w14:ligatures w14:val="standardContextual"/>
              </w:rPr>
              <w:t xml:space="preserve"> 1. Para regime fechado: requerer normalmente 2. Para regime semiaberto: requerer administrativamente (provavelmente será indeferido) e, após indeferimento, ajuizar ação no JEF com controle de constitucionalidade incidental do art. 80, argumentando que a CF (art. 201, § 5º) só vedou regime aberto 3. Para regime aberto: sem fundamento para requerer (vedação constitucional)</w:t>
            </w:r>
          </w:p>
          <w:p w14:paraId="78D1B442" w14:textId="77777777" w:rsidR="005A5FCC" w:rsidRDefault="00A21C81">
            <w:pPr>
              <w:spacing w:after="60" w:line="247" w:lineRule="auto"/>
            </w:pPr>
            <w:r>
              <w:rPr>
                <w:rFonts w:cs="EB Garamond"/>
                <w:b/>
                <w:kern w:val="16"/>
                <w:sz w:val="19"/>
                <w14:ligatures w14:val="standardContextual"/>
              </w:rPr>
              <w:t>TNU Tema 357 (04/12/2024):</w:t>
            </w:r>
            <w:r>
              <w:rPr>
                <w:rFonts w:cs="EB Garamond"/>
                <w:kern w:val="16"/>
                <w:sz w:val="19"/>
                <w14:ligatures w14:val="standardContextual"/>
              </w:rPr>
              <w:t xml:space="preserve"> Para fatos geradores anteriores a 18/01/2019 (MP 871), o AR </w:t>
            </w:r>
            <w:r>
              <w:rPr>
                <w:rFonts w:cs="EB Garamond"/>
                <w:b/>
                <w:kern w:val="16"/>
                <w:sz w:val="19"/>
                <w14:ligatures w14:val="standardContextual"/>
              </w:rPr>
              <w:t>permanece</w:t>
            </w:r>
            <w:r>
              <w:rPr>
                <w:rFonts w:cs="EB Garamond"/>
                <w:kern w:val="16"/>
                <w:sz w:val="19"/>
                <w14:ligatures w14:val="standardContextual"/>
              </w:rPr>
              <w:t xml:space="preserve"> mesmo com progressão para semiaberto (inclusive com monitoramento eletrônico), pois no regime antigo qualquer regime prisional era aceito. Aplicação do princípio tempus regit actum.</w:t>
            </w:r>
          </w:p>
        </w:tc>
      </w:tr>
    </w:tbl>
    <w:p w14:paraId="4FE41FC5" w14:textId="77777777" w:rsidR="005A5FCC" w:rsidRDefault="005A5FCC">
      <w:pPr>
        <w:spacing w:after="80" w:line="240" w:lineRule="auto"/>
      </w:pPr>
    </w:p>
    <w:p w14:paraId="7DA3A0D4"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14.10 Prisão provisória e auxílio-reclusão</w:t>
      </w:r>
    </w:p>
    <w:p w14:paraId="095DE42C"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720728E6" w14:textId="77777777" w:rsidR="005A5FCC" w:rsidRDefault="00A21C81">
      <w:r>
        <w:rPr>
          <w:rFonts w:cs="EB Garamond"/>
          <w:kern w:val="16"/>
          <w14:ligatures w14:val="standardContextual"/>
        </w:rPr>
        <w:t xml:space="preserve"> prisão provisória, em qualquer de suas modalidades (flagrante, preventiva, temporária), constitui fato gerador do auxílio-reclusão. Essa afirmação, hoje pacífica na jurisprudência, foi objeto de intensa controvérsia durante décadas, com o INSS sistematicamente negando o benefício a dependentes de presos provisórios sob o argumento de que a presunção de inocência impediria o reconhecimento da condição de "recolhido à prisão" para fins previdenciários.</w:t>
      </w:r>
    </w:p>
    <w:p w14:paraId="17B8F33F" w14:textId="77777777" w:rsidR="005A5FCC" w:rsidRDefault="00A21C81">
      <w:pPr>
        <w:ind w:firstLine="238"/>
      </w:pPr>
      <w:r>
        <w:rPr>
          <w:rFonts w:cs="EB Garamond"/>
          <w:kern w:val="16"/>
          <w14:ligatures w14:val="standardContextual"/>
        </w:rPr>
        <w:t xml:space="preserve">O argumento do INSS sempre foi falacioso: a presunção de inocência protege o acusado contra antecipação de sanções penais, não contra a produção de efeitos previdenciários. O recolhimento à prisão é fato objetivo, o segurado está privado </w:t>
      </w:r>
      <w:r>
        <w:rPr>
          <w:rFonts w:cs="EB Garamond"/>
          <w:kern w:val="16"/>
          <w14:ligatures w14:val="standardContextual"/>
        </w:rPr>
        <w:lastRenderedPageBreak/>
        <w:t>de sua liberdade e impossibilitado de prover o sustento de seus dependentes, independentemente da natureza jurídica da prisão (definitiva ou provisória) e do desfecho processual.</w:t>
      </w:r>
    </w:p>
    <w:p w14:paraId="2D587CBF" w14:textId="77777777" w:rsidR="005A5FCC" w:rsidRDefault="00A21C81">
      <w:pPr>
        <w:ind w:firstLine="238"/>
      </w:pPr>
      <w:r>
        <w:rPr>
          <w:rFonts w:cs="EB Garamond"/>
          <w:kern w:val="16"/>
          <w14:ligatures w14:val="standardContextual"/>
        </w:rPr>
        <w:t>A jurisprudência consolidou-se firmemente no sentido de reconhecer o direito:</w:t>
      </w:r>
    </w:p>
    <w:p w14:paraId="36B68274" w14:textId="77777777" w:rsidR="005A5FCC" w:rsidRDefault="00A21C81">
      <w:pPr>
        <w:ind w:firstLine="238"/>
      </w:pPr>
      <w:r>
        <w:rPr>
          <w:rFonts w:cs="EB Garamond"/>
          <w:b/>
          <w:kern w:val="16"/>
          <w14:ligatures w14:val="standardContextual"/>
        </w:rPr>
        <w:t>No âmbito dos TRFs:</w:t>
      </w:r>
      <w:r>
        <w:rPr>
          <w:rFonts w:cs="EB Garamond"/>
          <w:kern w:val="16"/>
          <w14:ligatures w14:val="standardContextual"/>
        </w:rPr>
        <w:t xml:space="preserve"> Desde o início dos anos 2000, as turmas recursais dos JEFs passaram a conceder o auxílio-reclusão para dependentes de presos provisórios, em decisões que se tornaram progressivamente uniformes. A fundamentação centra-se no fato de que a lei exige "recolhimento à prisão", não "condenação criminal".</w:t>
      </w:r>
    </w:p>
    <w:p w14:paraId="12B77888" w14:textId="77777777" w:rsidR="005A5FCC" w:rsidRDefault="00A21C81">
      <w:pPr>
        <w:ind w:firstLine="238"/>
      </w:pPr>
      <w:r>
        <w:rPr>
          <w:rFonts w:cs="EB Garamond"/>
          <w:b/>
          <w:kern w:val="16"/>
          <w14:ligatures w14:val="standardContextual"/>
        </w:rPr>
        <w:t>No âmbito do STJ:</w:t>
      </w:r>
      <w:r>
        <w:rPr>
          <w:rFonts w:cs="EB Garamond"/>
          <w:kern w:val="16"/>
          <w14:ligatures w14:val="standardContextual"/>
        </w:rPr>
        <w:t xml:space="preserve"> O Superior Tribunal de Justiça reafirmou em múltiplos julgados que a prisão provisória gera direito ao auxílio-reclusão. O requisito é o efetivo recolhimento, não a existência de sentença condenatória.</w:t>
      </w:r>
    </w:p>
    <w:p w14:paraId="2397AB76" w14:textId="77777777" w:rsidR="005A5FCC" w:rsidRDefault="00A21C81">
      <w:pPr>
        <w:ind w:firstLine="238"/>
      </w:pPr>
      <w:r>
        <w:rPr>
          <w:rFonts w:cs="EB Garamond"/>
          <w:b/>
          <w:kern w:val="16"/>
          <w14:ligatures w14:val="standardContextual"/>
        </w:rPr>
        <w:t>No âmbito administrativo:</w:t>
      </w:r>
      <w:r>
        <w:rPr>
          <w:rFonts w:cs="EB Garamond"/>
          <w:kern w:val="16"/>
          <w14:ligatures w14:val="standardContextual"/>
        </w:rPr>
        <w:t xml:space="preserve"> A IN INSS 128/2022 (com alterações posteriores) passou a reconhecer expressamente o direito ao auxílio-reclusão em caso de prisão provisória, desde que comprovado o efetivo recolhimento por certidão emitida pela autoridade competente.</w:t>
      </w:r>
    </w:p>
    <w:p w14:paraId="0C998E3C" w14:textId="77777777" w:rsidR="005A5FCC" w:rsidRDefault="00A21C81">
      <w:pPr>
        <w:ind w:firstLine="238"/>
      </w:pPr>
      <w:r>
        <w:rPr>
          <w:rFonts w:cs="EB Garamond"/>
          <w:kern w:val="16"/>
          <w14:ligatures w14:val="standardContextual"/>
        </w:rPr>
        <w:t>A prisão provisória gera, contudo, questões específicas quanto à manutenção do benefício:</w:t>
      </w:r>
    </w:p>
    <w:p w14:paraId="79F24865" w14:textId="77777777" w:rsidR="005A5FCC" w:rsidRDefault="00A21C81">
      <w:pPr>
        <w:ind w:firstLine="238"/>
      </w:pPr>
      <w:r>
        <w:rPr>
          <w:rFonts w:cs="EB Garamond"/>
          <w:b/>
          <w:kern w:val="16"/>
          <w14:ligatures w14:val="standardContextual"/>
        </w:rPr>
        <w:t>Soltura por alvará.</w:t>
      </w:r>
      <w:r>
        <w:rPr>
          <w:rFonts w:cs="EB Garamond"/>
          <w:kern w:val="16"/>
          <w14:ligatures w14:val="standardContextual"/>
        </w:rPr>
        <w:t xml:space="preserve"> Se o segurado é solto por revogação da prisão preventiva, relaxamento do flagrante, concessão de liberdade provisória (com ou sem fiança) ou habeas corpus, o auxílio-reclusão cessa na data da efetiva soltura. O dependente deve comunicar a soltura ao INSS no prazo regulamentar. Eventual recondenação posterior com novo recolhimento configura novo fato gerador.</w:t>
      </w:r>
    </w:p>
    <w:p w14:paraId="5ED03829" w14:textId="77777777" w:rsidR="005A5FCC" w:rsidRDefault="00A21C81">
      <w:pPr>
        <w:ind w:firstLine="238"/>
      </w:pPr>
      <w:r>
        <w:rPr>
          <w:rFonts w:cs="EB Garamond"/>
          <w:b/>
          <w:kern w:val="16"/>
          <w14:ligatures w14:val="standardContextual"/>
        </w:rPr>
        <w:t>Conversão em prisão definitiva.</w:t>
      </w:r>
      <w:r>
        <w:rPr>
          <w:rFonts w:cs="EB Garamond"/>
          <w:kern w:val="16"/>
          <w14:ligatures w14:val="standardContextual"/>
        </w:rPr>
        <w:t xml:space="preserve"> Se a prisão provisória se converte em prisão decorrente de sentença condenatória, não há interrupção do auxílio-reclusão. O benefício permanece inalterado, pois o segurado permaneceu continuamente recolhido. A eventual mudança de regime (do provisório para o fechado definitivo) não afeta o benefício, pois o segurado permanece em condições que satisfazem o art. 80 da Lei 8.213/91.</w:t>
      </w:r>
    </w:p>
    <w:p w14:paraId="75076544" w14:textId="77777777" w:rsidR="005A5FCC" w:rsidRDefault="00A21C81">
      <w:pPr>
        <w:ind w:firstLine="238"/>
      </w:pPr>
      <w:r>
        <w:rPr>
          <w:rFonts w:cs="EB Garamond"/>
          <w:b/>
          <w:kern w:val="16"/>
          <w14:ligatures w14:val="standardContextual"/>
        </w:rPr>
        <w:lastRenderedPageBreak/>
        <w:t>Regime pós-EC 103 e prisão provisória.</w:t>
      </w:r>
      <w:r>
        <w:rPr>
          <w:rFonts w:cs="EB Garamond"/>
          <w:kern w:val="16"/>
          <w14:ligatures w14:val="standardContextual"/>
        </w:rPr>
        <w:t xml:space="preserve"> No regime posterior à MP 871/2019, a prisão provisória gera direito ao auxílio-reclusão desde que o segurado esteja efetivamente recolhido em estabelecimento penal compatível com regime fechado. O preso provisório, por definição, encontra-se em regime equivalente ao fechado (estabelecimento de segurança máxima ou média), o que satisfaz o requisito do art. 80. A questão da carência de 24 contribuições aplica-se normalmente: se o segurado não as possuía no momento da prisão provisória, o benefício será indeferido por ausência de carência, ainda que a prisão seja legítima e comprovada.</w:t>
      </w:r>
    </w:p>
    <w:p w14:paraId="37C4E2E1" w14:textId="77777777" w:rsidR="005A5FCC" w:rsidRDefault="00A21C81">
      <w:pPr>
        <w:ind w:firstLine="238"/>
      </w:pPr>
      <w:r>
        <w:rPr>
          <w:rFonts w:cs="EB Garamond"/>
          <w:b/>
          <w:kern w:val="16"/>
          <w14:ligatures w14:val="standardContextual"/>
        </w:rPr>
        <w:t>Prisão provisória e valor do benefício.</w:t>
      </w:r>
      <w:r>
        <w:rPr>
          <w:rFonts w:cs="EB Garamond"/>
          <w:kern w:val="16"/>
          <w14:ligatures w14:val="standardContextual"/>
        </w:rPr>
        <w:t xml:space="preserve"> No regime pós-EC 103, o valor do AR é fixo em 1 SM (R$ 1.621,00 em 2026), independentemente de a prisão ser provisória ou definitiva. No regime antigo, o valor era calculado com base no salário de benefício, variando conforme a contribuição do segurado.</w:t>
      </w:r>
    </w:p>
    <w:p w14:paraId="1740B146" w14:textId="77777777" w:rsidR="005A5FCC" w:rsidRDefault="00A21C81">
      <w:pPr>
        <w:ind w:firstLine="238"/>
      </w:pPr>
      <w:r>
        <w:rPr>
          <w:rFonts w:cs="EB Garamond"/>
          <w:b/>
          <w:kern w:val="16"/>
          <w14:ligatures w14:val="standardContextual"/>
        </w:rPr>
        <w:t>Duração do AR na prisão provisória.</w:t>
      </w:r>
      <w:r>
        <w:rPr>
          <w:rFonts w:cs="EB Garamond"/>
          <w:kern w:val="16"/>
          <w14:ligatures w14:val="standardContextual"/>
        </w:rPr>
        <w:t xml:space="preserve"> O benefício é devido enquanto perdurar a prisão provisória. Se o segurado é solto (alvará de soltura, revogação da preventiva, relaxamento do flagrante, habeas corpus, liberdade provisória), o AR cessa imediatamente. A concessão de medida cautelar diversa da prisão (art. 319, CPP), como comparecimento periódico, proibição de ausentar-se da comarca, ou monitoração eletrônica, implica a cessação do AR, pois o segurado deixa de estar recolhido à prisão.</w:t>
      </w:r>
    </w:p>
    <w:p w14:paraId="27DD949C" w14:textId="77777777" w:rsidR="005A5FCC" w:rsidRDefault="00A21C81">
      <w:pPr>
        <w:ind w:firstLine="238"/>
      </w:pPr>
      <w:r>
        <w:rPr>
          <w:rFonts w:cs="EB Garamond"/>
          <w:b/>
          <w:kern w:val="16"/>
          <w14:ligatures w14:val="standardContextual"/>
        </w:rPr>
        <w:t>Peculiaridade da prisão temporária.</w:t>
      </w:r>
      <w:r>
        <w:rPr>
          <w:rFonts w:cs="EB Garamond"/>
          <w:kern w:val="16"/>
          <w14:ligatures w14:val="standardContextual"/>
        </w:rPr>
        <w:t xml:space="preserve"> A prisão temporária (Lei 7.960/89) tem prazo determinado (5 dias, prorrogáveis por igual período; 30 dias + 30 em crimes hediondos). O AR concedido durante a prisão temporária cessa automaticamente com o decurso do prazo, se não houver conversão em preventiva. O advogado dos dependentes deve estar atento a essa peculiaridade e orientar sobre a necessidade de novo requerimento se houver conversão.</w:t>
      </w:r>
    </w:p>
    <w:p w14:paraId="7A9AF7C4" w14:textId="77777777" w:rsidR="005A5FCC" w:rsidRDefault="00A21C81">
      <w:pPr>
        <w:ind w:firstLine="238"/>
      </w:pPr>
      <w:r>
        <w:rPr>
          <w:rFonts w:cs="EB Garamond"/>
          <w:b/>
          <w:kern w:val="16"/>
          <w14:ligatures w14:val="standardContextual"/>
        </w:rPr>
        <w:t>Múltiplas prisões provisórias.</w:t>
      </w:r>
      <w:r>
        <w:rPr>
          <w:rFonts w:cs="EB Garamond"/>
          <w:kern w:val="16"/>
          <w14:ligatures w14:val="standardContextual"/>
        </w:rPr>
        <w:t xml:space="preserve"> Se o segurado é preso, solto e novamente preso (diversas vezes), cada novo recolhimento configura novo fato gerador. A verificação dos requisitos (qualidade de segurado, carência, baixa renda, regime) deve ser feita em cada evento. No regime pós-MP 871/2019, isso significa que o segurado pode ter cumprido a carência na primeira prisão mas não na segunda </w:t>
      </w:r>
      <w:r>
        <w:rPr>
          <w:rFonts w:cs="EB Garamond"/>
          <w:kern w:val="16"/>
          <w14:ligatures w14:val="standardContextual"/>
        </w:rPr>
        <w:lastRenderedPageBreak/>
        <w:t>(se houve perda e reaquisição da qualidade com contribuições insuficientes no intervalo).</w:t>
      </w:r>
    </w:p>
    <w:tbl>
      <w:tblPr>
        <w:tblW w:w="5000" w:type="pct"/>
        <w:jc w:val="center"/>
        <w:tblLayout w:type="fixed"/>
        <w:tblLook w:val="04A0" w:firstRow="1" w:lastRow="0" w:firstColumn="1" w:lastColumn="0" w:noHBand="0" w:noVBand="1"/>
      </w:tblPr>
      <w:tblGrid>
        <w:gridCol w:w="6311"/>
      </w:tblGrid>
      <w:tr w:rsidR="005A5FCC" w14:paraId="182872F4"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262004E7" w14:textId="77777777" w:rsidR="005A5FCC" w:rsidRDefault="00A21C81">
            <w:pPr>
              <w:spacing w:after="60" w:line="240" w:lineRule="auto"/>
              <w:jc w:val="left"/>
            </w:pPr>
            <w:r>
              <w:rPr>
                <w:rFonts w:ascii="Noto Sans" w:hAnsi="Noto Sans" w:cs="Noto Sans"/>
                <w:b/>
                <w:caps/>
                <w:color w:val="4D6F8A"/>
                <w:kern w:val="16"/>
                <w:sz w:val="16"/>
                <w14:ligatures w14:val="standardContextual"/>
              </w:rPr>
              <w:t>JURISPRUDÊNCIA EM DESTAQUE</w:t>
            </w:r>
          </w:p>
          <w:p w14:paraId="3568DE92" w14:textId="77777777" w:rsidR="005A5FCC" w:rsidRDefault="00A21C81">
            <w:pPr>
              <w:spacing w:after="60" w:line="247" w:lineRule="auto"/>
            </w:pPr>
            <w:r>
              <w:rPr>
                <w:rFonts w:cs="EB Garamond"/>
                <w:b/>
                <w:kern w:val="16"/>
                <w:sz w:val="19"/>
                <w14:ligatures w14:val="standardContextual"/>
              </w:rPr>
              <w:t>Prisão provisória: direito consolidado ao auxílio-reclusão</w:t>
            </w:r>
          </w:p>
          <w:p w14:paraId="132F59EA" w14:textId="77777777" w:rsidR="005A5FCC" w:rsidRDefault="00A21C81">
            <w:pPr>
              <w:spacing w:after="60" w:line="247" w:lineRule="auto"/>
            </w:pPr>
            <w:r>
              <w:rPr>
                <w:rFonts w:cs="EB Garamond"/>
                <w:kern w:val="16"/>
                <w:sz w:val="19"/>
                <w14:ligatures w14:val="standardContextual"/>
              </w:rPr>
              <w:t>A jurisprudência é pacífica:</w:t>
            </w:r>
          </w:p>
          <w:p w14:paraId="1A991571" w14:textId="77777777" w:rsidR="005A5FCC" w:rsidRDefault="00A21C81">
            <w:pPr>
              <w:spacing w:after="30" w:line="240" w:lineRule="auto"/>
              <w:ind w:left="227" w:hanging="142"/>
            </w:pPr>
            <w:r>
              <w:rPr>
                <w:rFonts w:cs="EB Garamond"/>
                <w:kern w:val="16"/>
                <w:sz w:val="19"/>
                <w14:ligatures w14:val="standardContextual"/>
              </w:rPr>
              <w:t xml:space="preserve">• </w:t>
            </w:r>
            <w:r>
              <w:rPr>
                <w:rFonts w:cs="EB Garamond"/>
                <w:b/>
                <w:kern w:val="16"/>
                <w:sz w:val="19"/>
                <w14:ligatures w14:val="standardContextual"/>
              </w:rPr>
              <w:t>TNU Pedido 5003497-42.2017.4.04.7201:</w:t>
            </w:r>
            <w:r>
              <w:rPr>
                <w:rFonts w:cs="EB Garamond"/>
                <w:kern w:val="16"/>
                <w:sz w:val="19"/>
                <w14:ligatures w14:val="standardContextual"/>
              </w:rPr>
              <w:t xml:space="preserve"> "O auxílio-reclusão é devido desde a data do efetivo recolhimento à prisão, inclusive em caso de prisão provisória, desde que comprovada a qualidade de segurado e os demais requisitos legais."</w:t>
            </w:r>
          </w:p>
          <w:p w14:paraId="7DD842B3" w14:textId="77777777" w:rsidR="005A5FCC" w:rsidRDefault="00A21C81">
            <w:pPr>
              <w:spacing w:after="30" w:line="240" w:lineRule="auto"/>
              <w:ind w:left="227" w:hanging="142"/>
            </w:pPr>
            <w:r>
              <w:rPr>
                <w:rFonts w:cs="EB Garamond"/>
                <w:kern w:val="16"/>
                <w:sz w:val="19"/>
                <w14:ligatures w14:val="standardContextual"/>
              </w:rPr>
              <w:t xml:space="preserve">• </w:t>
            </w:r>
            <w:r>
              <w:rPr>
                <w:rFonts w:cs="EB Garamond"/>
                <w:b/>
                <w:kern w:val="16"/>
                <w:sz w:val="19"/>
                <w14:ligatures w14:val="standardContextual"/>
              </w:rPr>
              <w:t>STJ, AgRg no AREsp 662.514/SP:</w:t>
            </w:r>
            <w:r>
              <w:rPr>
                <w:rFonts w:cs="EB Garamond"/>
                <w:kern w:val="16"/>
                <w:sz w:val="19"/>
                <w14:ligatures w14:val="standardContextual"/>
              </w:rPr>
              <w:t xml:space="preserve"> "A prisão cautelar (flagrante, preventiva, temporária) é apta a gerar o direito ao auxílio-reclusão, bastando o efetivo recolhimento do segurado à prisão."</w:t>
            </w:r>
          </w:p>
          <w:p w14:paraId="6C83C523" w14:textId="77777777" w:rsidR="005A5FCC" w:rsidRDefault="00A21C81">
            <w:pPr>
              <w:spacing w:after="30" w:line="240" w:lineRule="auto"/>
              <w:ind w:left="227" w:hanging="142"/>
            </w:pPr>
            <w:r>
              <w:rPr>
                <w:rFonts w:cs="EB Garamond"/>
                <w:kern w:val="16"/>
                <w:sz w:val="19"/>
                <w14:ligatures w14:val="standardContextual"/>
              </w:rPr>
              <w:t xml:space="preserve">• </w:t>
            </w:r>
            <w:r>
              <w:rPr>
                <w:rFonts w:cs="EB Garamond"/>
                <w:b/>
                <w:kern w:val="16"/>
                <w:sz w:val="19"/>
                <w14:ligatures w14:val="standardContextual"/>
              </w:rPr>
              <w:t>TRF4, Turma Regional de Uniformização:</w:t>
            </w:r>
            <w:r>
              <w:rPr>
                <w:rFonts w:cs="EB Garamond"/>
                <w:kern w:val="16"/>
                <w:sz w:val="19"/>
                <w14:ligatures w14:val="standardContextual"/>
              </w:rPr>
              <w:t xml:space="preserve"> "Para fins de concessão do auxílio-reclusão, é suficiente a certidão de recolhimento à prisão, independentemente da natureza da custódia (provisória ou definitiva)."</w:t>
            </w:r>
          </w:p>
          <w:p w14:paraId="162EB027" w14:textId="77777777" w:rsidR="005A5FCC" w:rsidRDefault="00A21C81">
            <w:pPr>
              <w:spacing w:after="60" w:line="247" w:lineRule="auto"/>
            </w:pPr>
            <w:r>
              <w:rPr>
                <w:rFonts w:cs="EB Garamond"/>
                <w:b/>
                <w:kern w:val="16"/>
                <w:sz w:val="19"/>
                <w14:ligatures w14:val="standardContextual"/>
              </w:rPr>
              <w:t>Documentos probatórios aceitos:</w:t>
            </w:r>
            <w:r>
              <w:rPr>
                <w:rFonts w:cs="EB Garamond"/>
                <w:kern w:val="16"/>
                <w:sz w:val="19"/>
                <w14:ligatures w14:val="standardContextual"/>
              </w:rPr>
              <w:t xml:space="preserve"> - Certidão do diretor do estabelecimento penal - Atestado de recolhimento emitido pela autoridade policial - Mandado de prisão cumprido com certidão de recolhimento - Boletim de ocorrência com comprovação de recolhimento</w:t>
            </w:r>
          </w:p>
        </w:tc>
      </w:tr>
    </w:tbl>
    <w:p w14:paraId="62CEC99D" w14:textId="77777777" w:rsidR="005A5FCC" w:rsidRDefault="005A5FCC">
      <w:pPr>
        <w:spacing w:after="80" w:line="240" w:lineRule="auto"/>
      </w:pPr>
    </w:p>
    <w:tbl>
      <w:tblPr>
        <w:tblW w:w="5000" w:type="pct"/>
        <w:jc w:val="center"/>
        <w:tblLayout w:type="fixed"/>
        <w:tblLook w:val="04A0" w:firstRow="1" w:lastRow="0" w:firstColumn="1" w:lastColumn="0" w:noHBand="0" w:noVBand="1"/>
      </w:tblPr>
      <w:tblGrid>
        <w:gridCol w:w="6311"/>
      </w:tblGrid>
      <w:tr w:rsidR="005A5FCC" w14:paraId="0FCFE1DD"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3219771C"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15FB364E" w14:textId="77777777" w:rsidR="005A5FCC" w:rsidRDefault="00A21C81">
            <w:pPr>
              <w:spacing w:after="60" w:line="247" w:lineRule="auto"/>
            </w:pPr>
            <w:r>
              <w:rPr>
                <w:rFonts w:cs="EB Garamond"/>
                <w:b/>
                <w:kern w:val="16"/>
                <w:sz w:val="19"/>
                <w14:ligatures w14:val="standardContextual"/>
              </w:rPr>
              <w:t>Modelo de argumentação para requerimento urgente — preso provisório</w:t>
            </w:r>
          </w:p>
          <w:p w14:paraId="615F0C9A" w14:textId="77777777" w:rsidR="005A5FCC" w:rsidRDefault="00A21C81">
            <w:pPr>
              <w:spacing w:after="60" w:line="247" w:lineRule="auto"/>
            </w:pPr>
            <w:r>
              <w:rPr>
                <w:rFonts w:cs="EB Garamond"/>
                <w:kern w:val="16"/>
                <w:sz w:val="19"/>
                <w14:ligatures w14:val="standardContextual"/>
              </w:rPr>
              <w:t>O advogado do dependente de preso provisório deve:</w:t>
            </w:r>
          </w:p>
          <w:p w14:paraId="1673479D" w14:textId="77777777" w:rsidR="005A5FCC" w:rsidRDefault="00A21C81">
            <w:pPr>
              <w:spacing w:after="60" w:line="247" w:lineRule="auto"/>
            </w:pPr>
            <w:r>
              <w:rPr>
                <w:rFonts w:cs="EB Garamond"/>
                <w:kern w:val="16"/>
                <w:sz w:val="19"/>
                <w14:ligatures w14:val="standardContextual"/>
              </w:rPr>
              <w:t xml:space="preserve">1. </w:t>
            </w:r>
            <w:r>
              <w:rPr>
                <w:rFonts w:cs="EB Garamond"/>
                <w:b/>
                <w:kern w:val="16"/>
                <w:sz w:val="19"/>
                <w14:ligatures w14:val="standardContextual"/>
              </w:rPr>
              <w:t>Requerer administrativamente</w:t>
            </w:r>
            <w:r>
              <w:rPr>
                <w:rFonts w:cs="EB Garamond"/>
                <w:kern w:val="16"/>
                <w:sz w:val="19"/>
                <w14:ligatures w14:val="standardContextual"/>
              </w:rPr>
              <w:t xml:space="preserve"> junto ao INSS no prazo de 90 dias da prisão (para retroação da DIB) 2. </w:t>
            </w:r>
            <w:r>
              <w:rPr>
                <w:rFonts w:cs="EB Garamond"/>
                <w:b/>
                <w:kern w:val="16"/>
                <w:sz w:val="19"/>
                <w14:ligatures w14:val="standardContextual"/>
              </w:rPr>
              <w:t>Documentos essenciais:</w:t>
            </w:r>
            <w:r>
              <w:rPr>
                <w:rFonts w:cs="EB Garamond"/>
                <w:kern w:val="16"/>
                <w:sz w:val="19"/>
                <w14:ligatures w14:val="standardContextual"/>
              </w:rPr>
              <w:t xml:space="preserve">  - Certidão de recolhimento à prisão (com data, estabelecimento e regime)  - CNIS do segurado (demonstrando qualidade de segurado e carência)  - Documentos de dependência (certidão de casamento/nascimento, comprovante de união estável)  - Documentos para aferição de baixa renda (CNIS, holerites dos 12 meses anteriores à prisão)</w:t>
            </w:r>
          </w:p>
          <w:p w14:paraId="5F8F1971" w14:textId="77777777" w:rsidR="005A5FCC" w:rsidRDefault="00A21C81">
            <w:pPr>
              <w:spacing w:after="60" w:line="247" w:lineRule="auto"/>
            </w:pPr>
            <w:r>
              <w:rPr>
                <w:rFonts w:cs="EB Garamond"/>
                <w:kern w:val="16"/>
                <w:sz w:val="19"/>
                <w14:ligatures w14:val="standardContextual"/>
              </w:rPr>
              <w:t xml:space="preserve">3. </w:t>
            </w:r>
            <w:r>
              <w:rPr>
                <w:rFonts w:cs="EB Garamond"/>
                <w:b/>
                <w:kern w:val="16"/>
                <w:sz w:val="19"/>
                <w14:ligatures w14:val="standardContextual"/>
              </w:rPr>
              <w:t>Se indeferido, ação no JEF com tutela de urgência:</w:t>
            </w:r>
            <w:r>
              <w:rPr>
                <w:rFonts w:cs="EB Garamond"/>
                <w:kern w:val="16"/>
                <w:sz w:val="19"/>
                <w14:ligatures w14:val="standardContextual"/>
              </w:rPr>
              <w:t xml:space="preserve">  - Probabilidade do direito: qualidade de segurado + recolhimento efetivo + baixa renda  - Perigo de dano: família desprotegida, com risco alimentar imediato  - Reversibilidade: benefício de caráter alimentar, com compensação possível  - Fundamento legal: art. 80, Lei 8.213/91 + jurisprudência pacífica sobre prisão provisória  - Pedido de implantação imediata (tutela antecipada inaudita altera parte)</w:t>
            </w:r>
          </w:p>
        </w:tc>
      </w:tr>
    </w:tbl>
    <w:p w14:paraId="35189EA6" w14:textId="77777777" w:rsidR="005A5FCC" w:rsidRDefault="005A5FCC">
      <w:pPr>
        <w:spacing w:after="80" w:line="240" w:lineRule="auto"/>
      </w:pPr>
    </w:p>
    <w:p w14:paraId="0C8B0519"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14.11 Monitoração eletrônica e prisão domiciliar</w:t>
      </w:r>
    </w:p>
    <w:p w14:paraId="4C4F4BCD"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191BC866" w14:textId="77777777" w:rsidR="005A5FCC" w:rsidRDefault="00A21C81">
      <w:r>
        <w:rPr>
          <w:rFonts w:cs="EB Garamond"/>
          <w:kern w:val="16"/>
          <w14:ligatures w14:val="standardContextual"/>
        </w:rPr>
        <w:t xml:space="preserve"> monitoração eletrônica e a prisão domiciliar constituem dois dos temas mais controvertidos na interseção entre direito penal e direito previdenciário no contexto do auxílio-reclusão. A ausência de previsão normativa expressa sobre essas modalidades no art. 80 da Lei 8.213/91 e na EC 103/2019 gera insegurança jurídica que se projeta diretamente sobre a prática forense nos JEFs.</w:t>
      </w:r>
    </w:p>
    <w:p w14:paraId="59E3AB1F" w14:textId="77777777" w:rsidR="005A5FCC" w:rsidRDefault="00A21C81">
      <w:pPr>
        <w:ind w:firstLine="238"/>
      </w:pPr>
      <w:r>
        <w:rPr>
          <w:rFonts w:cs="EB Garamond"/>
          <w:b/>
          <w:kern w:val="16"/>
          <w14:ligatures w14:val="standardContextual"/>
        </w:rPr>
        <w:t>Monitoração eletrônica.</w:t>
      </w:r>
      <w:r>
        <w:rPr>
          <w:rFonts w:cs="EB Garamond"/>
          <w:kern w:val="16"/>
          <w14:ligatures w14:val="standardContextual"/>
        </w:rPr>
        <w:t xml:space="preserve"> A tornozeleira eletrônica é utilizada como instrumento de controle em diversas situações no processo penal e na execução da pena: medida cautelar alternativa à prisão preventiva (art. 319, IX, CPP), condição da prisão domiciliar, condição para saídas temporárias no regime semiaberto e mecanismo de controle no regime aberto. A questão central é: o segurado submetido a monitoração eletrônica está "recolhido à prisão" para fins de auxílio-reclusão?</w:t>
      </w:r>
    </w:p>
    <w:p w14:paraId="0E28BBB3" w14:textId="77777777" w:rsidR="005A5FCC" w:rsidRDefault="00A21C81">
      <w:pPr>
        <w:ind w:firstLine="238"/>
      </w:pPr>
      <w:r>
        <w:rPr>
          <w:rFonts w:cs="EB Garamond"/>
          <w:kern w:val="16"/>
          <w14:ligatures w14:val="standardContextual"/>
        </w:rPr>
        <w:t>A resposta varia conforme a situação concreta:</w:t>
      </w:r>
    </w:p>
    <w:p w14:paraId="4BB58A08" w14:textId="77777777" w:rsidR="005A5FCC" w:rsidRDefault="00A21C81">
      <w:pPr>
        <w:ind w:firstLine="238"/>
      </w:pPr>
      <w:r>
        <w:rPr>
          <w:rFonts w:cs="EB Garamond"/>
          <w:b/>
          <w:kern w:val="16"/>
          <w14:ligatures w14:val="standardContextual"/>
        </w:rPr>
        <w:lastRenderedPageBreak/>
        <w:t>Monitoração eletrônica como alternativa à prisão preventiva.</w:t>
      </w:r>
      <w:r>
        <w:rPr>
          <w:rFonts w:cs="EB Garamond"/>
          <w:kern w:val="16"/>
          <w14:ligatures w14:val="standardContextual"/>
        </w:rPr>
        <w:t xml:space="preserve"> Quando o juiz substitui a prisão preventiva pela monitoração eletrônica (com ou sem prisão domiciliar), o segurado não está efetivamente recolhido em estabelecimento penal. Nessa hipótese, a posição majoritária dos TRFs é de que </w:t>
      </w:r>
      <w:r>
        <w:rPr>
          <w:rFonts w:cs="EB Garamond"/>
          <w:b/>
          <w:kern w:val="16"/>
          <w14:ligatures w14:val="standardContextual"/>
        </w:rPr>
        <w:t>não há direito ao auxílio-reclusão</w:t>
      </w:r>
      <w:r>
        <w:rPr>
          <w:rFonts w:cs="EB Garamond"/>
          <w:kern w:val="16"/>
          <w14:ligatures w14:val="standardContextual"/>
        </w:rPr>
        <w:t>, pois o fato gerador exige recolhimento efetivo à prisão, e a monitoração eletrônica é justamente medida alternativa ao encarceramento.</w:t>
      </w:r>
    </w:p>
    <w:p w14:paraId="0E7D441A" w14:textId="77777777" w:rsidR="005A5FCC" w:rsidRDefault="00A21C81">
      <w:pPr>
        <w:ind w:firstLine="238"/>
      </w:pPr>
      <w:r>
        <w:rPr>
          <w:rFonts w:cs="EB Garamond"/>
          <w:b/>
          <w:kern w:val="16"/>
          <w14:ligatures w14:val="standardContextual"/>
        </w:rPr>
        <w:t>Monitoração eletrônica no regime semiaberto.</w:t>
      </w:r>
      <w:r>
        <w:rPr>
          <w:rFonts w:cs="EB Garamond"/>
          <w:kern w:val="16"/>
          <w14:ligatures w14:val="standardContextual"/>
        </w:rPr>
        <w:t xml:space="preserve"> O segurado que cumpre pena em regime semiaberto com monitoração eletrônica, saindo do estabelecimento penal para trabalho externo e retornando ao final do dia, por exemplo, permanece em regime semiaberto para todos os efeitos. A monitoração é mero instrumento de controle, não alterando o regime prisional. Nessa hipótese, o auxílio-reclusão é devido, pois o segurado está em regime semiaberto, que é abrangido pela EC 103/2019.</w:t>
      </w:r>
    </w:p>
    <w:p w14:paraId="76AA6233" w14:textId="77777777" w:rsidR="005A5FCC" w:rsidRDefault="00A21C81">
      <w:pPr>
        <w:ind w:firstLine="238"/>
      </w:pPr>
      <w:r>
        <w:rPr>
          <w:rFonts w:cs="EB Garamond"/>
          <w:b/>
          <w:kern w:val="16"/>
          <w14:ligatures w14:val="standardContextual"/>
        </w:rPr>
        <w:t>Monitoração eletrônica no regime aberto.</w:t>
      </w:r>
      <w:r>
        <w:rPr>
          <w:rFonts w:cs="EB Garamond"/>
          <w:kern w:val="16"/>
          <w14:ligatures w14:val="standardContextual"/>
        </w:rPr>
        <w:t xml:space="preserve"> O segurado em regime aberto com monitoração eletrônica não tem direito ao auxílio-reclusão, pela vedação expressa do art. 201, § 5º, da CF. A monitoração não transforma o regime aberto em semiaberto.</w:t>
      </w:r>
    </w:p>
    <w:tbl>
      <w:tblPr>
        <w:tblW w:w="5000" w:type="pct"/>
        <w:jc w:val="center"/>
        <w:tblLayout w:type="fixed"/>
        <w:tblLook w:val="04A0" w:firstRow="1" w:lastRow="0" w:firstColumn="1" w:lastColumn="0" w:noHBand="0" w:noVBand="1"/>
      </w:tblPr>
      <w:tblGrid>
        <w:gridCol w:w="6311"/>
      </w:tblGrid>
      <w:tr w:rsidR="005A5FCC" w14:paraId="4A67FEFB"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018626AF" w14:textId="77777777" w:rsidR="005A5FCC" w:rsidRDefault="00A21C81">
            <w:pPr>
              <w:spacing w:after="60" w:line="240" w:lineRule="auto"/>
              <w:jc w:val="left"/>
            </w:pPr>
            <w:r>
              <w:rPr>
                <w:rFonts w:ascii="Noto Sans" w:hAnsi="Noto Sans" w:cs="Noto Sans"/>
                <w:b/>
                <w:caps/>
                <w:color w:val="4D6F8A"/>
                <w:kern w:val="16"/>
                <w:sz w:val="16"/>
                <w14:ligatures w14:val="standardContextual"/>
              </w:rPr>
              <w:lastRenderedPageBreak/>
              <w:t>JURISPRUDÊNCIA EM DESTAQUE</w:t>
            </w:r>
          </w:p>
          <w:p w14:paraId="1286A746" w14:textId="77777777" w:rsidR="005A5FCC" w:rsidRDefault="00A21C81">
            <w:pPr>
              <w:spacing w:after="60" w:line="247" w:lineRule="auto"/>
            </w:pPr>
            <w:r>
              <w:rPr>
                <w:rFonts w:cs="EB Garamond"/>
                <w:b/>
                <w:kern w:val="16"/>
                <w:sz w:val="19"/>
                <w14:ligatures w14:val="standardContextual"/>
              </w:rPr>
              <w:t>TNU Tema 357 (04/12/2024): Monitoração eletrônica e direito adquirido</w:t>
            </w:r>
          </w:p>
          <w:p w14:paraId="52CBD589" w14:textId="77777777" w:rsidR="005A5FCC" w:rsidRDefault="00A21C81">
            <w:pPr>
              <w:spacing w:after="60" w:line="247" w:lineRule="auto"/>
            </w:pPr>
            <w:r>
              <w:rPr>
                <w:rFonts w:cs="EB Garamond"/>
                <w:kern w:val="16"/>
                <w:sz w:val="19"/>
                <w14:ligatures w14:val="standardContextual"/>
              </w:rPr>
              <w:t>Processo paradigma: 5000345-04.2021.4.04.7013/PR | Rel. Juiz Federal Giovani Bigolin</w:t>
            </w:r>
          </w:p>
          <w:p w14:paraId="70CBDB72" w14:textId="77777777" w:rsidR="005A5FCC" w:rsidRDefault="00A21C81">
            <w:pPr>
              <w:spacing w:after="60" w:line="247" w:lineRule="auto"/>
            </w:pPr>
            <w:r>
              <w:rPr>
                <w:rFonts w:cs="EB Garamond"/>
                <w:kern w:val="16"/>
                <w:sz w:val="19"/>
                <w14:ligatures w14:val="standardContextual"/>
              </w:rPr>
              <w:t>Tese fixada: "O benefício de auxílio-reclusão concedido para fatos geradores anteriores a 18 de janeiro de 2019 (data de vigência da MP 871) permanece mesmo em caso de progressão do regime fechado para o semiaberto (inclusive em caso de monitoramento eletrônico)."</w:t>
            </w:r>
          </w:p>
          <w:p w14:paraId="57AE9182" w14:textId="77777777" w:rsidR="005A5FCC" w:rsidRDefault="00A21C81">
            <w:pPr>
              <w:spacing w:after="60" w:line="247" w:lineRule="auto"/>
            </w:pPr>
            <w:r>
              <w:rPr>
                <w:rFonts w:cs="EB Garamond"/>
                <w:b/>
                <w:kern w:val="16"/>
                <w:sz w:val="19"/>
                <w14:ligatures w14:val="standardContextual"/>
              </w:rPr>
              <w:t>Fundamento:</w:t>
            </w:r>
            <w:r>
              <w:rPr>
                <w:rFonts w:cs="EB Garamond"/>
                <w:kern w:val="16"/>
                <w:sz w:val="19"/>
                <w14:ligatures w14:val="standardContextual"/>
              </w:rPr>
              <w:t xml:space="preserve"> As alterações legislativas da MP 871/2019 não podem retroagir para prejudicar direitos adquiridos. Aplicação do princípio tempus regit actum.</w:t>
            </w:r>
          </w:p>
          <w:p w14:paraId="5F11140C" w14:textId="77777777" w:rsidR="005A5FCC" w:rsidRDefault="00A21C81">
            <w:pPr>
              <w:spacing w:after="60" w:line="247" w:lineRule="auto"/>
            </w:pPr>
            <w:r>
              <w:rPr>
                <w:rFonts w:cs="EB Garamond"/>
                <w:b/>
                <w:kern w:val="16"/>
                <w:sz w:val="19"/>
                <w14:ligatures w14:val="standardContextual"/>
              </w:rPr>
              <w:t>Aplicação prática:</w:t>
            </w:r>
            <w:r>
              <w:rPr>
                <w:rFonts w:cs="EB Garamond"/>
                <w:kern w:val="16"/>
                <w:sz w:val="19"/>
                <w14:ligatures w14:val="standardContextual"/>
              </w:rPr>
              <w:t xml:space="preserve"> - Preso antes de 18/01/2019 → regime antigo → semiaberto com monitoração = AR mantido - Preso a partir de 18/01/2019 → regime novo → art. 80 exige regime fechado → semiaberto com monitoração = AR cessado (salvo tese de inconstitucionalidade do art. 80 frente à CF)</w:t>
            </w:r>
          </w:p>
          <w:p w14:paraId="2D3AF8D0" w14:textId="77777777" w:rsidR="005A5FCC" w:rsidRDefault="00A21C81">
            <w:pPr>
              <w:spacing w:after="60" w:line="247" w:lineRule="auto"/>
            </w:pPr>
            <w:r>
              <w:rPr>
                <w:rFonts w:cs="EB Garamond"/>
                <w:b/>
                <w:kern w:val="16"/>
                <w:sz w:val="19"/>
                <w14:ligatures w14:val="standardContextual"/>
              </w:rPr>
              <w:t>Divergência residual nos TRFs:</w:t>
            </w:r>
            <w:r>
              <w:rPr>
                <w:rFonts w:cs="EB Garamond"/>
                <w:kern w:val="16"/>
                <w:sz w:val="19"/>
                <w14:ligatures w14:val="standardContextual"/>
              </w:rPr>
              <w:t xml:space="preserve"> - Monitoração como alternativa à prisão preventiva: posição majoritária = NÃO gera AR - Monitoração como controle adicional no regime fechado: posição unânime = AR mantido - Monitoração no semiaberto (pós-2019): depende da tese sobre constitucionalidade do art. 80</w:t>
            </w:r>
          </w:p>
        </w:tc>
      </w:tr>
    </w:tbl>
    <w:p w14:paraId="12ADBE99" w14:textId="77777777" w:rsidR="005A5FCC" w:rsidRDefault="005A5FCC">
      <w:pPr>
        <w:spacing w:after="80" w:line="240" w:lineRule="auto"/>
      </w:pPr>
    </w:p>
    <w:p w14:paraId="2E75BE23"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C</w:t>
      </w:r>
    </w:p>
    <w:p w14:paraId="760C1449" w14:textId="77777777" w:rsidR="005A5FCC" w:rsidRDefault="00A21C81">
      <w:r>
        <w:rPr>
          <w:rFonts w:cs="EB Garamond"/>
          <w:kern w:val="16"/>
          <w14:ligatures w14:val="standardContextual"/>
        </w:rPr>
        <w:t xml:space="preserve">omplementarmente, o </w:t>
      </w:r>
      <w:r>
        <w:rPr>
          <w:rFonts w:cs="EB Garamond"/>
          <w:b/>
          <w:kern w:val="16"/>
          <w14:ligatures w14:val="standardContextual"/>
        </w:rPr>
        <w:t>STJ</w:t>
      </w:r>
      <w:r>
        <w:rPr>
          <w:rFonts w:cs="EB Garamond"/>
          <w:kern w:val="16"/>
          <w14:ligatures w14:val="standardContextual"/>
        </w:rPr>
        <w:t xml:space="preserve"> (REsp 1.672.295/RS, Rel. Min. Gurgel de Faria, 1ª Turma, 17/10/2017, Informativo 614) firmou que o auxílio-reclusão é devido aos dependentes do segurado mesmo quando a execução da pena ocorre em </w:t>
      </w:r>
      <w:r>
        <w:rPr>
          <w:rFonts w:cs="EB Garamond"/>
          <w:b/>
          <w:kern w:val="16"/>
          <w14:ligatures w14:val="standardContextual"/>
        </w:rPr>
        <w:t>prisão domiciliar</w:t>
      </w:r>
      <w:r>
        <w:rPr>
          <w:rFonts w:cs="EB Garamond"/>
          <w:kern w:val="16"/>
          <w14:ligatures w14:val="standardContextual"/>
        </w:rPr>
        <w:t>, desde que o regime prescrito seja fechado ou semiaberto. O critério determinante não é o local de cumprimento, mas a impossibilidade de o segurado exercer atividade remunerada livremente. A própria IN 85/2016 do INSS — hoje incorporada à IN 128/2022 — já reconhecia administrativamente esse direito.</w:t>
      </w:r>
    </w:p>
    <w:p w14:paraId="487330FA" w14:textId="77777777" w:rsidR="005A5FCC" w:rsidRDefault="00A21C81">
      <w:pPr>
        <w:ind w:firstLine="238"/>
      </w:pPr>
      <w:r>
        <w:rPr>
          <w:rFonts w:cs="EB Garamond"/>
          <w:b/>
          <w:kern w:val="16"/>
          <w14:ligatures w14:val="standardContextual"/>
        </w:rPr>
        <w:t>Prisão domiciliar.</w:t>
      </w:r>
      <w:r>
        <w:rPr>
          <w:rFonts w:cs="EB Garamond"/>
          <w:kern w:val="16"/>
          <w14:ligatures w14:val="standardContextual"/>
        </w:rPr>
        <w:t xml:space="preserve"> A prisão domiciliar apresenta complexidade adicional. A LEP (art. 117) prevê prisão domiciliar para condenados em regime aberto em situações específicas (maior de 70 anos, acometido de doença grave, gestante, mãe ou responsável por criança ou deficiente). O Pacote Anticrime (Lei 13.964/2019) ampliou as hipóteses. A prisão domiciliar também pode ser concedida como </w:t>
      </w:r>
      <w:r>
        <w:rPr>
          <w:rFonts w:cs="EB Garamond"/>
          <w:kern w:val="16"/>
          <w14:ligatures w14:val="standardContextual"/>
        </w:rPr>
        <w:lastRenderedPageBreak/>
        <w:t>substitutiva da prisão preventiva (art. 318, CPP) para gestantes, mães de crianças até 12 anos e outras hipóteses.</w:t>
      </w:r>
    </w:p>
    <w:p w14:paraId="062AB56D" w14:textId="77777777" w:rsidR="005A5FCC" w:rsidRDefault="00A21C81">
      <w:pPr>
        <w:ind w:firstLine="238"/>
      </w:pPr>
      <w:r>
        <w:rPr>
          <w:rFonts w:cs="EB Garamond"/>
          <w:kern w:val="16"/>
          <w14:ligatures w14:val="standardContextual"/>
        </w:rPr>
        <w:t>A natureza jurídica da prisão domiciliar é determinante para o auxílio-reclusão:</w:t>
      </w:r>
    </w:p>
    <w:p w14:paraId="2F7EB877" w14:textId="77777777" w:rsidR="005A5FCC" w:rsidRDefault="00A21C81">
      <w:pPr>
        <w:ind w:firstLine="238"/>
      </w:pPr>
      <w:r>
        <w:rPr>
          <w:rFonts w:cs="EB Garamond"/>
          <w:b/>
          <w:kern w:val="16"/>
          <w14:ligatures w14:val="standardContextual"/>
        </w:rPr>
        <w:t>Prisão domiciliar substitutiva do regime aberto</w:t>
      </w:r>
      <w:r>
        <w:rPr>
          <w:rFonts w:cs="EB Garamond"/>
          <w:kern w:val="16"/>
          <w14:ligatures w14:val="standardContextual"/>
        </w:rPr>
        <w:t xml:space="preserve"> (art. 117, LEP): Não gera direito ao AR, pois o preso está juridicamente em regime aberto, vedado pela EC 103/2019.</w:t>
      </w:r>
    </w:p>
    <w:p w14:paraId="2B778AF8" w14:textId="77777777" w:rsidR="005A5FCC" w:rsidRDefault="00A21C81">
      <w:pPr>
        <w:ind w:firstLine="238"/>
      </w:pPr>
      <w:r>
        <w:rPr>
          <w:rFonts w:cs="EB Garamond"/>
          <w:b/>
          <w:kern w:val="16"/>
          <w14:ligatures w14:val="standardContextual"/>
        </w:rPr>
        <w:t>Prisão domiciliar substitutiva da prisão preventiva</w:t>
      </w:r>
      <w:r>
        <w:rPr>
          <w:rFonts w:cs="EB Garamond"/>
          <w:kern w:val="16"/>
          <w14:ligatures w14:val="standardContextual"/>
        </w:rPr>
        <w:t xml:space="preserve"> (art. 318, CPP): Controvérsia. A posição predominante é de que não gera direito ao AR, pois o preso não está efetivamente recolhido em estabelecimento penal. Porém, há decisões reconhecendo o direito quando a prisão domiciliar é rigorosa, com controle efetivo (monitoração eletrônica, proibição de saída).</w:t>
      </w:r>
    </w:p>
    <w:p w14:paraId="241B087D" w14:textId="77777777" w:rsidR="005A5FCC" w:rsidRDefault="00A21C81">
      <w:pPr>
        <w:ind w:firstLine="238"/>
      </w:pPr>
      <w:r>
        <w:rPr>
          <w:rFonts w:cs="EB Garamond"/>
          <w:b/>
          <w:kern w:val="16"/>
          <w14:ligatures w14:val="standardContextual"/>
        </w:rPr>
        <w:t>Prisão domiciliar como modalidade do regime semiaberto</w:t>
      </w:r>
      <w:r>
        <w:rPr>
          <w:rFonts w:cs="EB Garamond"/>
          <w:kern w:val="16"/>
          <w14:ligatures w14:val="standardContextual"/>
        </w:rPr>
        <w:t xml:space="preserve"> (em interpretações mais recentes): Alguns juízes da execução penal, diante da superlotação carcerária, concedem prisão domiciliar a presos do regime semiaberto. Nessa hipótese, o preso juridicamente está em regime semiaberto (com direito ao AR), embora fisicamente não esteja em estabelecimento penal.</w:t>
      </w:r>
    </w:p>
    <w:tbl>
      <w:tblPr>
        <w:tblW w:w="5000" w:type="pct"/>
        <w:jc w:val="center"/>
        <w:tblLayout w:type="fixed"/>
        <w:tblLook w:val="04A0" w:firstRow="1" w:lastRow="0" w:firstColumn="1" w:lastColumn="0" w:noHBand="0" w:noVBand="1"/>
      </w:tblPr>
      <w:tblGrid>
        <w:gridCol w:w="6311"/>
      </w:tblGrid>
      <w:tr w:rsidR="005A5FCC" w14:paraId="5E79EA41"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3C216652" w14:textId="77777777" w:rsidR="005A5FCC" w:rsidRDefault="00A21C81">
            <w:pPr>
              <w:spacing w:after="60" w:line="240" w:lineRule="auto"/>
              <w:jc w:val="left"/>
            </w:pPr>
            <w:r>
              <w:rPr>
                <w:rFonts w:ascii="Noto Sans" w:hAnsi="Noto Sans" w:cs="Noto Sans"/>
                <w:b/>
                <w:caps/>
                <w:color w:val="B78B37"/>
                <w:kern w:val="16"/>
                <w:sz w:val="16"/>
                <w14:ligatures w14:val="standardContextual"/>
              </w:rPr>
              <w:lastRenderedPageBreak/>
              <w:t>ATENÇÃO</w:t>
            </w:r>
          </w:p>
          <w:p w14:paraId="685F397E" w14:textId="77777777" w:rsidR="005A5FCC" w:rsidRDefault="00A21C81">
            <w:pPr>
              <w:spacing w:after="60" w:line="247" w:lineRule="auto"/>
            </w:pPr>
            <w:r>
              <w:rPr>
                <w:rFonts w:cs="EB Garamond"/>
                <w:b/>
                <w:kern w:val="16"/>
                <w:sz w:val="19"/>
                <w14:ligatures w14:val="standardContextual"/>
              </w:rPr>
              <w:t>Prisão domiciliar: distinção fundamental</w:t>
            </w:r>
          </w:p>
          <w:p w14:paraId="282D9195" w14:textId="77777777" w:rsidR="005A5FCC" w:rsidRDefault="00A21C81">
            <w:pPr>
              <w:spacing w:after="60" w:line="247" w:lineRule="auto"/>
            </w:pPr>
            <w:r>
              <w:rPr>
                <w:rFonts w:cs="EB Garamond"/>
                <w:kern w:val="16"/>
                <w:sz w:val="19"/>
                <w14:ligatures w14:val="standardContextual"/>
              </w:rPr>
              <w:t xml:space="preserve">Para fins de auxílio-reclusão, o que importa é o </w:t>
            </w:r>
            <w:r>
              <w:rPr>
                <w:rFonts w:cs="EB Garamond"/>
                <w:b/>
                <w:kern w:val="16"/>
                <w:sz w:val="19"/>
                <w14:ligatures w14:val="standardContextual"/>
              </w:rPr>
              <w:t>regime prisional jurídico</w:t>
            </w:r>
            <w:r>
              <w:rPr>
                <w:rFonts w:cs="EB Garamond"/>
                <w:kern w:val="16"/>
                <w:sz w:val="19"/>
                <w14:ligatures w14:val="standardContextual"/>
              </w:rPr>
              <w:t>, não o local físico do cumprimento:</w:t>
            </w:r>
          </w:p>
          <w:tbl>
            <w:tblPr>
              <w:tblW w:w="5000" w:type="pct"/>
              <w:jc w:val="center"/>
              <w:tblLook w:val="04A0" w:firstRow="1" w:lastRow="0" w:firstColumn="1" w:lastColumn="0" w:noHBand="0" w:noVBand="1"/>
            </w:tblPr>
            <w:tblGrid>
              <w:gridCol w:w="1967"/>
              <w:gridCol w:w="1967"/>
              <w:gridCol w:w="1967"/>
            </w:tblGrid>
            <w:tr w:rsidR="005A5FCC" w14:paraId="3451741A" w14:textId="77777777">
              <w:trPr>
                <w:tblHeader/>
                <w:jc w:val="center"/>
              </w:trPr>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7736CFCD" w14:textId="77777777" w:rsidR="005A5FCC" w:rsidRDefault="00A21C81">
                  <w:pPr>
                    <w:spacing w:before="30" w:after="30" w:line="240" w:lineRule="auto"/>
                    <w:jc w:val="center"/>
                  </w:pPr>
                  <w:r>
                    <w:rPr>
                      <w:rFonts w:cs="EB Garamond"/>
                      <w:b/>
                      <w:color w:val="2F2923"/>
                      <w:kern w:val="16"/>
                      <w:sz w:val="16"/>
                      <w14:ligatures w14:val="standardContextual"/>
                    </w:rPr>
                    <w:t>Situação</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0CCEE10A" w14:textId="77777777" w:rsidR="005A5FCC" w:rsidRDefault="00A21C81">
                  <w:pPr>
                    <w:spacing w:before="30" w:after="30" w:line="240" w:lineRule="auto"/>
                    <w:jc w:val="center"/>
                  </w:pPr>
                  <w:r>
                    <w:rPr>
                      <w:rFonts w:cs="EB Garamond"/>
                      <w:b/>
                      <w:color w:val="2F2923"/>
                      <w:kern w:val="16"/>
                      <w:sz w:val="16"/>
                      <w14:ligatures w14:val="standardContextual"/>
                    </w:rPr>
                    <w:t>Regime jurídico</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779BEFF5" w14:textId="77777777" w:rsidR="005A5FCC" w:rsidRDefault="00A21C81">
                  <w:pPr>
                    <w:spacing w:before="30" w:after="30" w:line="240" w:lineRule="auto"/>
                    <w:jc w:val="center"/>
                  </w:pPr>
                  <w:r>
                    <w:rPr>
                      <w:rFonts w:cs="EB Garamond"/>
                      <w:b/>
                      <w:color w:val="2F2923"/>
                      <w:kern w:val="16"/>
                      <w:sz w:val="16"/>
                      <w14:ligatures w14:val="standardContextual"/>
                    </w:rPr>
                    <w:t>Direito ao AR?</w:t>
                  </w:r>
                </w:p>
              </w:tc>
            </w:tr>
            <w:tr w:rsidR="005A5FCC" w14:paraId="5B49491D"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33DFEB14" w14:textId="77777777" w:rsidR="005A5FCC" w:rsidRDefault="00A21C81">
                  <w:pPr>
                    <w:spacing w:before="20" w:after="20" w:line="240" w:lineRule="auto"/>
                    <w:jc w:val="left"/>
                  </w:pPr>
                  <w:r>
                    <w:rPr>
                      <w:rFonts w:cs="EB Garamond"/>
                      <w:kern w:val="16"/>
                      <w:sz w:val="16"/>
                      <w14:ligatures w14:val="standardContextual"/>
                    </w:rPr>
                    <w:t>Prisão domiciliar substitutiva do regime aberto</w:t>
                  </w:r>
                </w:p>
              </w:tc>
              <w:tc>
                <w:tcPr>
                  <w:tcW w:w="2117" w:type="dxa"/>
                  <w:tcBorders>
                    <w:top w:val="single" w:sz="4" w:space="0" w:color="D2C9B8"/>
                    <w:left w:val="single" w:sz="4" w:space="0" w:color="D2C9B8"/>
                    <w:bottom w:val="single" w:sz="4" w:space="0" w:color="D2C9B8"/>
                    <w:right w:val="single" w:sz="4" w:space="0" w:color="D2C9B8"/>
                  </w:tcBorders>
                </w:tcPr>
                <w:p w14:paraId="304A2BBE" w14:textId="77777777" w:rsidR="005A5FCC" w:rsidRDefault="00A21C81">
                  <w:pPr>
                    <w:spacing w:before="20" w:after="20" w:line="240" w:lineRule="auto"/>
                    <w:jc w:val="left"/>
                  </w:pPr>
                  <w:r>
                    <w:rPr>
                      <w:rFonts w:cs="EB Garamond"/>
                      <w:kern w:val="16"/>
                      <w:sz w:val="16"/>
                      <w14:ligatures w14:val="standardContextual"/>
                    </w:rPr>
                    <w:t>Aberto</w:t>
                  </w:r>
                </w:p>
              </w:tc>
              <w:tc>
                <w:tcPr>
                  <w:tcW w:w="2117" w:type="dxa"/>
                  <w:tcBorders>
                    <w:top w:val="single" w:sz="4" w:space="0" w:color="D2C9B8"/>
                    <w:left w:val="single" w:sz="4" w:space="0" w:color="D2C9B8"/>
                    <w:bottom w:val="single" w:sz="4" w:space="0" w:color="D2C9B8"/>
                    <w:right w:val="single" w:sz="4" w:space="0" w:color="D2C9B8"/>
                  </w:tcBorders>
                </w:tcPr>
                <w:p w14:paraId="287CEAD2" w14:textId="77777777" w:rsidR="005A5FCC" w:rsidRDefault="00A21C81">
                  <w:pPr>
                    <w:spacing w:before="20" w:after="20" w:line="240" w:lineRule="auto"/>
                    <w:jc w:val="left"/>
                  </w:pPr>
                  <w:r>
                    <w:rPr>
                      <w:rFonts w:cs="EB Garamond"/>
                      <w:b/>
                      <w:kern w:val="16"/>
                      <w:sz w:val="16"/>
                      <w14:ligatures w14:val="standardContextual"/>
                    </w:rPr>
                    <w:t>NÃO</w:t>
                  </w:r>
                </w:p>
              </w:tc>
            </w:tr>
            <w:tr w:rsidR="005A5FCC" w14:paraId="064F9967"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2586BAAC" w14:textId="77777777" w:rsidR="005A5FCC" w:rsidRDefault="00A21C81">
                  <w:pPr>
                    <w:spacing w:before="20" w:after="20" w:line="240" w:lineRule="auto"/>
                    <w:jc w:val="left"/>
                  </w:pPr>
                  <w:r>
                    <w:rPr>
                      <w:rFonts w:cs="EB Garamond"/>
                      <w:kern w:val="16"/>
                      <w:sz w:val="16"/>
                      <w14:ligatures w14:val="standardContextual"/>
                    </w:rPr>
                    <w:t>Prisão domiciliar substitutiva da preventiva</w:t>
                  </w:r>
                </w:p>
              </w:tc>
              <w:tc>
                <w:tcPr>
                  <w:tcW w:w="2117" w:type="dxa"/>
                  <w:tcBorders>
                    <w:top w:val="single" w:sz="4" w:space="0" w:color="D2C9B8"/>
                    <w:left w:val="single" w:sz="4" w:space="0" w:color="D2C9B8"/>
                    <w:bottom w:val="single" w:sz="4" w:space="0" w:color="D2C9B8"/>
                    <w:right w:val="single" w:sz="4" w:space="0" w:color="D2C9B8"/>
                  </w:tcBorders>
                </w:tcPr>
                <w:p w14:paraId="3CB429DB" w14:textId="77777777" w:rsidR="005A5FCC" w:rsidRDefault="00A21C81">
                  <w:pPr>
                    <w:spacing w:before="20" w:after="20" w:line="240" w:lineRule="auto"/>
                    <w:jc w:val="left"/>
                  </w:pPr>
                  <w:r>
                    <w:rPr>
                      <w:rFonts w:cs="EB Garamond"/>
                      <w:kern w:val="16"/>
                      <w:sz w:val="16"/>
                      <w14:ligatures w14:val="standardContextual"/>
                    </w:rPr>
                    <w:t>Cautelar (equivalente a fechado)</w:t>
                  </w:r>
                </w:p>
              </w:tc>
              <w:tc>
                <w:tcPr>
                  <w:tcW w:w="2117" w:type="dxa"/>
                  <w:tcBorders>
                    <w:top w:val="single" w:sz="4" w:space="0" w:color="D2C9B8"/>
                    <w:left w:val="single" w:sz="4" w:space="0" w:color="D2C9B8"/>
                    <w:bottom w:val="single" w:sz="4" w:space="0" w:color="D2C9B8"/>
                    <w:right w:val="single" w:sz="4" w:space="0" w:color="D2C9B8"/>
                  </w:tcBorders>
                </w:tcPr>
                <w:p w14:paraId="66B69A70" w14:textId="77777777" w:rsidR="005A5FCC" w:rsidRDefault="00A21C81">
                  <w:pPr>
                    <w:spacing w:before="20" w:after="20" w:line="240" w:lineRule="auto"/>
                    <w:jc w:val="left"/>
                  </w:pPr>
                  <w:r>
                    <w:rPr>
                      <w:rFonts w:cs="EB Garamond"/>
                      <w:b/>
                      <w:kern w:val="16"/>
                      <w:sz w:val="16"/>
                      <w14:ligatures w14:val="standardContextual"/>
                    </w:rPr>
                    <w:t>Controvérsia</w:t>
                  </w:r>
                </w:p>
              </w:tc>
            </w:tr>
            <w:tr w:rsidR="005A5FCC" w14:paraId="774590F8"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36BCA84F" w14:textId="77777777" w:rsidR="005A5FCC" w:rsidRDefault="00A21C81">
                  <w:pPr>
                    <w:spacing w:before="20" w:after="20" w:line="240" w:lineRule="auto"/>
                    <w:jc w:val="left"/>
                  </w:pPr>
                  <w:r>
                    <w:rPr>
                      <w:rFonts w:cs="EB Garamond"/>
                      <w:kern w:val="16"/>
                      <w:sz w:val="16"/>
                      <w14:ligatures w14:val="standardContextual"/>
                    </w:rPr>
                    <w:t>Prisão domiciliar para semiaberto (superlotação)</w:t>
                  </w:r>
                </w:p>
              </w:tc>
              <w:tc>
                <w:tcPr>
                  <w:tcW w:w="2117" w:type="dxa"/>
                  <w:tcBorders>
                    <w:top w:val="single" w:sz="4" w:space="0" w:color="D2C9B8"/>
                    <w:left w:val="single" w:sz="4" w:space="0" w:color="D2C9B8"/>
                    <w:bottom w:val="single" w:sz="4" w:space="0" w:color="D2C9B8"/>
                    <w:right w:val="single" w:sz="4" w:space="0" w:color="D2C9B8"/>
                  </w:tcBorders>
                </w:tcPr>
                <w:p w14:paraId="7E91B8C2" w14:textId="77777777" w:rsidR="005A5FCC" w:rsidRDefault="00A21C81">
                  <w:pPr>
                    <w:spacing w:before="20" w:after="20" w:line="240" w:lineRule="auto"/>
                    <w:jc w:val="left"/>
                  </w:pPr>
                  <w:r>
                    <w:rPr>
                      <w:rFonts w:cs="EB Garamond"/>
                      <w:kern w:val="16"/>
                      <w:sz w:val="16"/>
                      <w14:ligatures w14:val="standardContextual"/>
                    </w:rPr>
                    <w:t>Semiaberto</w:t>
                  </w:r>
                </w:p>
              </w:tc>
              <w:tc>
                <w:tcPr>
                  <w:tcW w:w="2117" w:type="dxa"/>
                  <w:tcBorders>
                    <w:top w:val="single" w:sz="4" w:space="0" w:color="D2C9B8"/>
                    <w:left w:val="single" w:sz="4" w:space="0" w:color="D2C9B8"/>
                    <w:bottom w:val="single" w:sz="4" w:space="0" w:color="D2C9B8"/>
                    <w:right w:val="single" w:sz="4" w:space="0" w:color="D2C9B8"/>
                  </w:tcBorders>
                </w:tcPr>
                <w:p w14:paraId="3769F76B" w14:textId="77777777" w:rsidR="005A5FCC" w:rsidRDefault="00A21C81">
                  <w:pPr>
                    <w:spacing w:before="20" w:after="20" w:line="240" w:lineRule="auto"/>
                    <w:jc w:val="left"/>
                  </w:pPr>
                  <w:r>
                    <w:rPr>
                      <w:rFonts w:cs="EB Garamond"/>
                      <w:b/>
                      <w:kern w:val="16"/>
                      <w:sz w:val="16"/>
                      <w14:ligatures w14:val="standardContextual"/>
                    </w:rPr>
                    <w:t>SIM</w:t>
                  </w:r>
                  <w:r>
                    <w:rPr>
                      <w:rFonts w:cs="EB Garamond"/>
                      <w:kern w:val="16"/>
                      <w:sz w:val="16"/>
                      <w14:ligatures w14:val="standardContextual"/>
                    </w:rPr>
                    <w:t xml:space="preserve"> (posição majoritária)</w:t>
                  </w:r>
                </w:p>
              </w:tc>
            </w:tr>
            <w:tr w:rsidR="005A5FCC" w14:paraId="3D8F458E"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42D776C6" w14:textId="77777777" w:rsidR="005A5FCC" w:rsidRDefault="00A21C81">
                  <w:pPr>
                    <w:spacing w:before="20" w:after="20" w:line="240" w:lineRule="auto"/>
                    <w:jc w:val="left"/>
                  </w:pPr>
                  <w:r>
                    <w:rPr>
                      <w:rFonts w:cs="EB Garamond"/>
                      <w:kern w:val="16"/>
                      <w:sz w:val="16"/>
                      <w14:ligatures w14:val="standardContextual"/>
                    </w:rPr>
                    <w:t>Prisão domiciliar com monitoração (medida cautelar alternativa)</w:t>
                  </w:r>
                </w:p>
              </w:tc>
              <w:tc>
                <w:tcPr>
                  <w:tcW w:w="2117" w:type="dxa"/>
                  <w:tcBorders>
                    <w:top w:val="single" w:sz="4" w:space="0" w:color="D2C9B8"/>
                    <w:left w:val="single" w:sz="4" w:space="0" w:color="D2C9B8"/>
                    <w:bottom w:val="single" w:sz="4" w:space="0" w:color="D2C9B8"/>
                    <w:right w:val="single" w:sz="4" w:space="0" w:color="D2C9B8"/>
                  </w:tcBorders>
                </w:tcPr>
                <w:p w14:paraId="5EF46D5C" w14:textId="77777777" w:rsidR="005A5FCC" w:rsidRDefault="00A21C81">
                  <w:pPr>
                    <w:spacing w:before="20" w:after="20" w:line="240" w:lineRule="auto"/>
                    <w:jc w:val="left"/>
                  </w:pPr>
                  <w:r>
                    <w:rPr>
                      <w:rFonts w:cs="EB Garamond"/>
                      <w:kern w:val="16"/>
                      <w:sz w:val="16"/>
                      <w14:ligatures w14:val="standardContextual"/>
                    </w:rPr>
                    <w:t>Sem regime definido</w:t>
                  </w:r>
                </w:p>
              </w:tc>
              <w:tc>
                <w:tcPr>
                  <w:tcW w:w="2117" w:type="dxa"/>
                  <w:tcBorders>
                    <w:top w:val="single" w:sz="4" w:space="0" w:color="D2C9B8"/>
                    <w:left w:val="single" w:sz="4" w:space="0" w:color="D2C9B8"/>
                    <w:bottom w:val="single" w:sz="4" w:space="0" w:color="D2C9B8"/>
                    <w:right w:val="single" w:sz="4" w:space="0" w:color="D2C9B8"/>
                  </w:tcBorders>
                </w:tcPr>
                <w:p w14:paraId="62143DAF" w14:textId="77777777" w:rsidR="005A5FCC" w:rsidRDefault="00A21C81">
                  <w:pPr>
                    <w:spacing w:before="20" w:after="20" w:line="240" w:lineRule="auto"/>
                    <w:jc w:val="left"/>
                  </w:pPr>
                  <w:r>
                    <w:rPr>
                      <w:rFonts w:cs="EB Garamond"/>
                      <w:b/>
                      <w:kern w:val="16"/>
                      <w:sz w:val="16"/>
                      <w14:ligatures w14:val="standardContextual"/>
                    </w:rPr>
                    <w:t>NÃO</w:t>
                  </w:r>
                  <w:r>
                    <w:rPr>
                      <w:rFonts w:cs="EB Garamond"/>
                      <w:kern w:val="16"/>
                      <w:sz w:val="16"/>
                      <w14:ligatures w14:val="standardContextual"/>
                    </w:rPr>
                    <w:t xml:space="preserve"> (posição majoritária)</w:t>
                  </w:r>
                </w:p>
              </w:tc>
            </w:tr>
          </w:tbl>
          <w:p w14:paraId="3C6C3067" w14:textId="77777777" w:rsidR="005A5FCC" w:rsidRDefault="005A5FCC"/>
          <w:p w14:paraId="1D89B4C4" w14:textId="77777777" w:rsidR="005A5FCC" w:rsidRDefault="005A5FCC">
            <w:pPr>
              <w:spacing w:after="0" w:line="240" w:lineRule="auto"/>
            </w:pPr>
          </w:p>
          <w:p w14:paraId="46E87268" w14:textId="77777777" w:rsidR="005A5FCC" w:rsidRDefault="00A21C81">
            <w:pPr>
              <w:spacing w:after="60" w:line="247" w:lineRule="auto"/>
            </w:pPr>
            <w:r>
              <w:rPr>
                <w:rFonts w:cs="EB Garamond"/>
                <w:b/>
                <w:kern w:val="16"/>
                <w:sz w:val="19"/>
                <w14:ligatures w14:val="standardContextual"/>
              </w:rPr>
              <w:t>Dica prática:</w:t>
            </w:r>
            <w:r>
              <w:rPr>
                <w:rFonts w:cs="EB Garamond"/>
                <w:kern w:val="16"/>
                <w:sz w:val="19"/>
                <w14:ligatures w14:val="standardContextual"/>
              </w:rPr>
              <w:t xml:space="preserve"> Sempre verificar a </w:t>
            </w:r>
            <w:r>
              <w:rPr>
                <w:rFonts w:cs="EB Garamond"/>
                <w:b/>
                <w:kern w:val="16"/>
                <w:sz w:val="19"/>
                <w14:ligatures w14:val="standardContextual"/>
              </w:rPr>
              <w:t>decisão judicial</w:t>
            </w:r>
            <w:r>
              <w:rPr>
                <w:rFonts w:cs="EB Garamond"/>
                <w:kern w:val="16"/>
                <w:sz w:val="19"/>
                <w14:ligatures w14:val="standardContextual"/>
              </w:rPr>
              <w:t xml:space="preserve"> que concedeu a prisão domiciliar para identificar o regime jurídico aplicável. A certidão do juízo da execução ou do juízo criminal deve especificar o regime.</w:t>
            </w:r>
          </w:p>
        </w:tc>
      </w:tr>
    </w:tbl>
    <w:p w14:paraId="061C9DBA" w14:textId="77777777" w:rsidR="005A5FCC" w:rsidRDefault="005A5FCC">
      <w:pPr>
        <w:spacing w:after="80" w:line="240" w:lineRule="auto"/>
      </w:pPr>
    </w:p>
    <w:p w14:paraId="12DBA172"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14.12 Dependentes e prova de dependência</w:t>
      </w:r>
    </w:p>
    <w:p w14:paraId="0ECD40B9"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7338B66C" w14:textId="77777777" w:rsidR="005A5FCC" w:rsidRDefault="00A21C81">
      <w:r>
        <w:rPr>
          <w:rFonts w:cs="EB Garamond"/>
          <w:kern w:val="16"/>
          <w14:ligatures w14:val="standardContextual"/>
        </w:rPr>
        <w:t>s dependentes do segurado recolhido à prisão são os mesmos previstos no art. 16 da Lei 8.213/91, nas três classes analisadas no Capítulo 2, ao qual remetemos o leitor para o tratamento completo das regras de presunção, comprovação e hierarquia de dependência. O auxílio-reclusão segue a mesma sistemática aplicável à pensão por morte (Cap. 19). A análise a seguir concentra-se nas particularidades que o contexto do encarceramento impõe à prova de dependência.</w:t>
      </w:r>
    </w:p>
    <w:p w14:paraId="61BB366F" w14:textId="77777777" w:rsidR="005A5FCC" w:rsidRDefault="00A21C81">
      <w:pPr>
        <w:ind w:firstLine="238"/>
      </w:pPr>
      <w:r>
        <w:rPr>
          <w:rFonts w:cs="EB Garamond"/>
          <w:b/>
          <w:kern w:val="16"/>
          <w14:ligatures w14:val="standardContextual"/>
        </w:rPr>
        <w:t>Prova de união estável no contexto do encarceramento.</w:t>
      </w:r>
      <w:r>
        <w:rPr>
          <w:rFonts w:cs="EB Garamond"/>
          <w:kern w:val="16"/>
          <w14:ligatures w14:val="standardContextual"/>
        </w:rPr>
        <w:t xml:space="preserve"> A prova de união estável é o ponto mais sensível na prática do auxílio-reclusão. Companheiras de presos frequentemente não possuem documentação formal da união. A jurisprudência, atenta a essa realidade, admite meios de prova diversificados: certidão de </w:t>
      </w:r>
      <w:r>
        <w:rPr>
          <w:rFonts w:cs="EB Garamond"/>
          <w:kern w:val="16"/>
          <w14:ligatures w14:val="standardContextual"/>
        </w:rPr>
        <w:lastRenderedPageBreak/>
        <w:t>nascimento de filhos em comum, fotografias, correspondências, comprovante de endereço compartilhado e registros em redes sociais. A companheira que iniciou o relacionamento durante a reclusão enfrenta dificuldade probatória ainda maior, mas a jurisprudência dos JEFs tem admitido: inscrição como visitante regular no sistema penitenciário, certidão de visitação periódica, certidão de casamento realizado dentro do presídio e declarações testemunhais. O advogado deve orientar a companheira sobre a importância da documentação, idealmente obtendo declaração de união estável formalizada perante tabelião.</w:t>
      </w:r>
    </w:p>
    <w:p w14:paraId="66241B0F" w14:textId="77777777" w:rsidR="005A5FCC" w:rsidRDefault="00A21C81">
      <w:pPr>
        <w:ind w:firstLine="238"/>
      </w:pPr>
      <w:r>
        <w:rPr>
          <w:rFonts w:cs="EB Garamond"/>
          <w:b/>
          <w:kern w:val="16"/>
          <w14:ligatures w14:val="standardContextual"/>
        </w:rPr>
        <w:t>Duração do benefício para cônjuge/companheiro(a).</w:t>
      </w:r>
      <w:r>
        <w:rPr>
          <w:rFonts w:cs="EB Garamond"/>
          <w:kern w:val="16"/>
          <w14:ligatures w14:val="standardContextual"/>
        </w:rPr>
        <w:t xml:space="preserve"> Quando o segurado preso possui 18 ou mais contribuições mensais, o auxílio-reclusão do cônjuge ou companheiro(a) segue as mesmas regras de duração escalonada da pensão por morte, conforme a idade do dependente na data do fato gerador (art. 77, § 2º, V, "c", Lei 8.213/91, com redação da Lei 13.135/2015). Se o segurado não possuir 18 contribuições, a duração do AR para o cônjuge é de apenas 4 meses. A duração escalonada varia conforme a idade do cônjuge/companheiro na data da prisão:</w:t>
      </w:r>
    </w:p>
    <w:tbl>
      <w:tblPr>
        <w:tblW w:w="5000" w:type="pct"/>
        <w:jc w:val="center"/>
        <w:tblLook w:val="04A0" w:firstRow="1" w:lastRow="0" w:firstColumn="1" w:lastColumn="0" w:noHBand="0" w:noVBand="1"/>
      </w:tblPr>
      <w:tblGrid>
        <w:gridCol w:w="3170"/>
        <w:gridCol w:w="3170"/>
      </w:tblGrid>
      <w:tr w:rsidR="005A5FCC" w14:paraId="398450DB" w14:textId="77777777">
        <w:trPr>
          <w:tblHeader/>
          <w:jc w:val="center"/>
        </w:trPr>
        <w:tc>
          <w:tcPr>
            <w:tcW w:w="3175" w:type="dxa"/>
            <w:tcBorders>
              <w:top w:val="single" w:sz="4" w:space="0" w:color="D2C9B8"/>
              <w:left w:val="single" w:sz="4" w:space="0" w:color="D2C9B8"/>
              <w:bottom w:val="single" w:sz="4" w:space="0" w:color="D2C9B8"/>
              <w:right w:val="single" w:sz="4" w:space="0" w:color="D2C9B8"/>
            </w:tcBorders>
            <w:shd w:val="clear" w:color="auto" w:fill="F0EDE6"/>
          </w:tcPr>
          <w:p w14:paraId="122F0D62" w14:textId="77777777" w:rsidR="005A5FCC" w:rsidRDefault="00A21C81">
            <w:pPr>
              <w:spacing w:before="40" w:after="40" w:line="240" w:lineRule="auto"/>
              <w:jc w:val="center"/>
            </w:pPr>
            <w:r>
              <w:rPr>
                <w:rFonts w:cs="EB Garamond"/>
                <w:b/>
                <w:color w:val="2F2923"/>
                <w:kern w:val="16"/>
                <w:sz w:val="18"/>
                <w14:ligatures w14:val="standardContextual"/>
              </w:rPr>
              <w:t>Idade do dependente na data da prisão</w:t>
            </w:r>
          </w:p>
        </w:tc>
        <w:tc>
          <w:tcPr>
            <w:tcW w:w="3175" w:type="dxa"/>
            <w:tcBorders>
              <w:top w:val="single" w:sz="4" w:space="0" w:color="D2C9B8"/>
              <w:left w:val="single" w:sz="4" w:space="0" w:color="D2C9B8"/>
              <w:bottom w:val="single" w:sz="4" w:space="0" w:color="D2C9B8"/>
              <w:right w:val="single" w:sz="4" w:space="0" w:color="D2C9B8"/>
            </w:tcBorders>
            <w:shd w:val="clear" w:color="auto" w:fill="F0EDE6"/>
          </w:tcPr>
          <w:p w14:paraId="3221108A" w14:textId="77777777" w:rsidR="005A5FCC" w:rsidRDefault="00A21C81">
            <w:pPr>
              <w:spacing w:before="40" w:after="40" w:line="240" w:lineRule="auto"/>
              <w:jc w:val="center"/>
            </w:pPr>
            <w:r>
              <w:rPr>
                <w:rFonts w:cs="EB Garamond"/>
                <w:b/>
                <w:color w:val="2F2923"/>
                <w:kern w:val="16"/>
                <w:sz w:val="18"/>
                <w14:ligatures w14:val="standardContextual"/>
              </w:rPr>
              <w:t>Duração do AR</w:t>
            </w:r>
          </w:p>
        </w:tc>
      </w:tr>
      <w:tr w:rsidR="005A5FCC" w14:paraId="4F66B833"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241EA96B" w14:textId="77777777" w:rsidR="005A5FCC" w:rsidRDefault="00A21C81">
            <w:pPr>
              <w:spacing w:before="20" w:after="20" w:line="240" w:lineRule="auto"/>
              <w:jc w:val="left"/>
            </w:pPr>
            <w:r>
              <w:rPr>
                <w:rFonts w:cs="EB Garamond"/>
                <w:kern w:val="16"/>
                <w:sz w:val="18"/>
                <w14:ligatures w14:val="standardContextual"/>
              </w:rPr>
              <w:t>Menos de 21 anos</w:t>
            </w:r>
          </w:p>
        </w:tc>
        <w:tc>
          <w:tcPr>
            <w:tcW w:w="3175" w:type="dxa"/>
            <w:tcBorders>
              <w:top w:val="single" w:sz="4" w:space="0" w:color="D2C9B8"/>
              <w:left w:val="single" w:sz="4" w:space="0" w:color="D2C9B8"/>
              <w:bottom w:val="single" w:sz="4" w:space="0" w:color="D2C9B8"/>
              <w:right w:val="single" w:sz="4" w:space="0" w:color="D2C9B8"/>
            </w:tcBorders>
          </w:tcPr>
          <w:p w14:paraId="475628C4" w14:textId="77777777" w:rsidR="005A5FCC" w:rsidRDefault="00A21C81">
            <w:pPr>
              <w:spacing w:before="20" w:after="20" w:line="240" w:lineRule="auto"/>
              <w:jc w:val="left"/>
            </w:pPr>
            <w:r>
              <w:rPr>
                <w:rFonts w:cs="EB Garamond"/>
                <w:kern w:val="16"/>
                <w:sz w:val="18"/>
                <w14:ligatures w14:val="standardContextual"/>
              </w:rPr>
              <w:t>3 anos</w:t>
            </w:r>
          </w:p>
        </w:tc>
      </w:tr>
      <w:tr w:rsidR="005A5FCC" w14:paraId="44E3A0E3"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32B563EE" w14:textId="77777777" w:rsidR="005A5FCC" w:rsidRDefault="00A21C81">
            <w:pPr>
              <w:spacing w:before="20" w:after="20" w:line="240" w:lineRule="auto"/>
              <w:jc w:val="left"/>
            </w:pPr>
            <w:r>
              <w:rPr>
                <w:rFonts w:cs="EB Garamond"/>
                <w:kern w:val="16"/>
                <w:sz w:val="18"/>
                <w14:ligatures w14:val="standardContextual"/>
              </w:rPr>
              <w:t>Entre 21 e 26 anos</w:t>
            </w:r>
          </w:p>
        </w:tc>
        <w:tc>
          <w:tcPr>
            <w:tcW w:w="3175" w:type="dxa"/>
            <w:tcBorders>
              <w:top w:val="single" w:sz="4" w:space="0" w:color="D2C9B8"/>
              <w:left w:val="single" w:sz="4" w:space="0" w:color="D2C9B8"/>
              <w:bottom w:val="single" w:sz="4" w:space="0" w:color="D2C9B8"/>
              <w:right w:val="single" w:sz="4" w:space="0" w:color="D2C9B8"/>
            </w:tcBorders>
          </w:tcPr>
          <w:p w14:paraId="73C76E69" w14:textId="77777777" w:rsidR="005A5FCC" w:rsidRDefault="00A21C81">
            <w:pPr>
              <w:spacing w:before="20" w:after="20" w:line="240" w:lineRule="auto"/>
              <w:jc w:val="left"/>
            </w:pPr>
            <w:r>
              <w:rPr>
                <w:rFonts w:cs="EB Garamond"/>
                <w:kern w:val="16"/>
                <w:sz w:val="18"/>
                <w14:ligatures w14:val="standardContextual"/>
              </w:rPr>
              <w:t>6 anos</w:t>
            </w:r>
          </w:p>
        </w:tc>
      </w:tr>
      <w:tr w:rsidR="005A5FCC" w14:paraId="19681407"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6BA01049" w14:textId="77777777" w:rsidR="005A5FCC" w:rsidRDefault="00A21C81">
            <w:pPr>
              <w:spacing w:before="20" w:after="20" w:line="240" w:lineRule="auto"/>
              <w:jc w:val="left"/>
            </w:pPr>
            <w:r>
              <w:rPr>
                <w:rFonts w:cs="EB Garamond"/>
                <w:kern w:val="16"/>
                <w:sz w:val="18"/>
                <w14:ligatures w14:val="standardContextual"/>
              </w:rPr>
              <w:t>Entre 27 e 29 anos</w:t>
            </w:r>
          </w:p>
        </w:tc>
        <w:tc>
          <w:tcPr>
            <w:tcW w:w="3175" w:type="dxa"/>
            <w:tcBorders>
              <w:top w:val="single" w:sz="4" w:space="0" w:color="D2C9B8"/>
              <w:left w:val="single" w:sz="4" w:space="0" w:color="D2C9B8"/>
              <w:bottom w:val="single" w:sz="4" w:space="0" w:color="D2C9B8"/>
              <w:right w:val="single" w:sz="4" w:space="0" w:color="D2C9B8"/>
            </w:tcBorders>
          </w:tcPr>
          <w:p w14:paraId="769DA8F7" w14:textId="77777777" w:rsidR="005A5FCC" w:rsidRDefault="00A21C81">
            <w:pPr>
              <w:spacing w:before="20" w:after="20" w:line="240" w:lineRule="auto"/>
              <w:jc w:val="left"/>
            </w:pPr>
            <w:r>
              <w:rPr>
                <w:rFonts w:cs="EB Garamond"/>
                <w:kern w:val="16"/>
                <w:sz w:val="18"/>
                <w14:ligatures w14:val="standardContextual"/>
              </w:rPr>
              <w:t>10 anos</w:t>
            </w:r>
          </w:p>
        </w:tc>
      </w:tr>
      <w:tr w:rsidR="005A5FCC" w14:paraId="7AFD6F0E"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48D5139B" w14:textId="77777777" w:rsidR="005A5FCC" w:rsidRDefault="00A21C81">
            <w:pPr>
              <w:spacing w:before="20" w:after="20" w:line="240" w:lineRule="auto"/>
              <w:jc w:val="left"/>
            </w:pPr>
            <w:r>
              <w:rPr>
                <w:rFonts w:cs="EB Garamond"/>
                <w:kern w:val="16"/>
                <w:sz w:val="18"/>
                <w14:ligatures w14:val="standardContextual"/>
              </w:rPr>
              <w:t>Entre 30 e 40 anos</w:t>
            </w:r>
          </w:p>
        </w:tc>
        <w:tc>
          <w:tcPr>
            <w:tcW w:w="3175" w:type="dxa"/>
            <w:tcBorders>
              <w:top w:val="single" w:sz="4" w:space="0" w:color="D2C9B8"/>
              <w:left w:val="single" w:sz="4" w:space="0" w:color="D2C9B8"/>
              <w:bottom w:val="single" w:sz="4" w:space="0" w:color="D2C9B8"/>
              <w:right w:val="single" w:sz="4" w:space="0" w:color="D2C9B8"/>
            </w:tcBorders>
          </w:tcPr>
          <w:p w14:paraId="315DEA97" w14:textId="77777777" w:rsidR="005A5FCC" w:rsidRDefault="00A21C81">
            <w:pPr>
              <w:spacing w:before="20" w:after="20" w:line="240" w:lineRule="auto"/>
              <w:jc w:val="left"/>
            </w:pPr>
            <w:r>
              <w:rPr>
                <w:rFonts w:cs="EB Garamond"/>
                <w:kern w:val="16"/>
                <w:sz w:val="18"/>
                <w14:ligatures w14:val="standardContextual"/>
              </w:rPr>
              <w:t>15 anos</w:t>
            </w:r>
          </w:p>
        </w:tc>
      </w:tr>
      <w:tr w:rsidR="005A5FCC" w14:paraId="0D00B62D"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679A61DF" w14:textId="77777777" w:rsidR="005A5FCC" w:rsidRDefault="00A21C81">
            <w:pPr>
              <w:spacing w:before="20" w:after="20" w:line="240" w:lineRule="auto"/>
              <w:jc w:val="left"/>
            </w:pPr>
            <w:r>
              <w:rPr>
                <w:rFonts w:cs="EB Garamond"/>
                <w:kern w:val="16"/>
                <w:sz w:val="18"/>
                <w14:ligatures w14:val="standardContextual"/>
              </w:rPr>
              <w:t>Entre 41 e 43 anos</w:t>
            </w:r>
          </w:p>
        </w:tc>
        <w:tc>
          <w:tcPr>
            <w:tcW w:w="3175" w:type="dxa"/>
            <w:tcBorders>
              <w:top w:val="single" w:sz="4" w:space="0" w:color="D2C9B8"/>
              <w:left w:val="single" w:sz="4" w:space="0" w:color="D2C9B8"/>
              <w:bottom w:val="single" w:sz="4" w:space="0" w:color="D2C9B8"/>
              <w:right w:val="single" w:sz="4" w:space="0" w:color="D2C9B8"/>
            </w:tcBorders>
          </w:tcPr>
          <w:p w14:paraId="28A99688" w14:textId="77777777" w:rsidR="005A5FCC" w:rsidRDefault="00A21C81">
            <w:pPr>
              <w:spacing w:before="20" w:after="20" w:line="240" w:lineRule="auto"/>
              <w:jc w:val="left"/>
            </w:pPr>
            <w:r>
              <w:rPr>
                <w:rFonts w:cs="EB Garamond"/>
                <w:kern w:val="16"/>
                <w:sz w:val="18"/>
                <w14:ligatures w14:val="standardContextual"/>
              </w:rPr>
              <w:t>20 anos</w:t>
            </w:r>
          </w:p>
        </w:tc>
      </w:tr>
      <w:tr w:rsidR="005A5FCC" w14:paraId="439E3984"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6F599CDC" w14:textId="77777777" w:rsidR="005A5FCC" w:rsidRDefault="00A21C81">
            <w:pPr>
              <w:spacing w:before="20" w:after="20" w:line="240" w:lineRule="auto"/>
              <w:jc w:val="left"/>
            </w:pPr>
            <w:r>
              <w:rPr>
                <w:rFonts w:cs="EB Garamond"/>
                <w:kern w:val="16"/>
                <w:sz w:val="18"/>
                <w14:ligatures w14:val="standardContextual"/>
              </w:rPr>
              <w:t>44 anos ou mais</w:t>
            </w:r>
          </w:p>
        </w:tc>
        <w:tc>
          <w:tcPr>
            <w:tcW w:w="3175" w:type="dxa"/>
            <w:tcBorders>
              <w:top w:val="single" w:sz="4" w:space="0" w:color="D2C9B8"/>
              <w:left w:val="single" w:sz="4" w:space="0" w:color="D2C9B8"/>
              <w:bottom w:val="single" w:sz="4" w:space="0" w:color="D2C9B8"/>
              <w:right w:val="single" w:sz="4" w:space="0" w:color="D2C9B8"/>
            </w:tcBorders>
          </w:tcPr>
          <w:p w14:paraId="5BE38CD2" w14:textId="77777777" w:rsidR="005A5FCC" w:rsidRDefault="00A21C81">
            <w:pPr>
              <w:spacing w:before="20" w:after="20" w:line="240" w:lineRule="auto"/>
              <w:jc w:val="left"/>
            </w:pPr>
            <w:r>
              <w:rPr>
                <w:rFonts w:cs="EB Garamond"/>
                <w:kern w:val="16"/>
                <w:sz w:val="18"/>
                <w14:ligatures w14:val="standardContextual"/>
              </w:rPr>
              <w:t>Enquanto durar a reclusão</w:t>
            </w:r>
          </w:p>
        </w:tc>
      </w:tr>
    </w:tbl>
    <w:p w14:paraId="28116601" w14:textId="77777777" w:rsidR="005A5FCC" w:rsidRDefault="005A5FCC">
      <w:pPr>
        <w:spacing w:after="80" w:line="240" w:lineRule="auto"/>
      </w:pPr>
    </w:p>
    <w:p w14:paraId="3E83012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E</w:t>
      </w:r>
    </w:p>
    <w:p w14:paraId="42D08911" w14:textId="77777777" w:rsidR="005A5FCC" w:rsidRDefault="00A21C81">
      <w:r>
        <w:rPr>
          <w:rFonts w:cs="EB Garamond"/>
          <w:kern w:val="16"/>
          <w14:ligatures w14:val="standardContextual"/>
        </w:rPr>
        <w:t>ssa limitação temporal significa que o cônjuge jovem pode ter o AR cessado antes mesmo da soltura do preso — situação que, combinada com a longa duração das penas no sistema penal brasileiro, pode deixar a família desprotegida.</w:t>
      </w:r>
    </w:p>
    <w:p w14:paraId="55271EBA" w14:textId="77777777" w:rsidR="005A5FCC" w:rsidRDefault="00A21C81">
      <w:pPr>
        <w:ind w:firstLine="238"/>
      </w:pPr>
      <w:r>
        <w:rPr>
          <w:rFonts w:cs="EB Garamond"/>
          <w:b/>
          <w:kern w:val="16"/>
          <w14:ligatures w14:val="standardContextual"/>
        </w:rPr>
        <w:t>Classes II e III (pais e irmãos).</w:t>
      </w:r>
      <w:r>
        <w:rPr>
          <w:rFonts w:cs="EB Garamond"/>
          <w:kern w:val="16"/>
          <w14:ligatures w14:val="standardContextual"/>
        </w:rPr>
        <w:t xml:space="preserve"> A comprovação de dependência econômica segue as regras gerais do Capítulo 2. Na prática dos JEFs, pais idosos e sem renda própria que dependiam do filho preso são os casos mais frequentes de Classe II.</w:t>
      </w:r>
    </w:p>
    <w:p w14:paraId="58D29F55" w14:textId="77777777" w:rsidR="005A5FCC" w:rsidRDefault="00A21C81">
      <w:pPr>
        <w:ind w:firstLine="238"/>
      </w:pPr>
      <w:r>
        <w:rPr>
          <w:rFonts w:cs="EB Garamond"/>
          <w:b/>
          <w:kern w:val="16"/>
          <w14:ligatures w14:val="standardContextual"/>
        </w:rPr>
        <w:t>Rateio entre dependentes.</w:t>
      </w:r>
      <w:r>
        <w:rPr>
          <w:rFonts w:cs="EB Garamond"/>
          <w:kern w:val="16"/>
          <w14:ligatures w14:val="standardContextual"/>
        </w:rPr>
        <w:t xml:space="preserve"> O auxílio-reclusão é rateado em partes iguais entre os dependentes da mesma classe. A cessação da cota de um dependente reverte </w:t>
      </w:r>
      <w:r>
        <w:rPr>
          <w:rFonts w:cs="EB Garamond"/>
          <w:kern w:val="16"/>
          <w14:ligatures w14:val="standardContextual"/>
        </w:rPr>
        <w:lastRenderedPageBreak/>
        <w:t>a parcela para os demais da mesma classe. A inclusão de dependente tardio (filho nascido durante a reclusão) acarreta novo rateio desde a data do nascimento, se requerido no prazo de 90 dias.</w:t>
      </w:r>
    </w:p>
    <w:tbl>
      <w:tblPr>
        <w:tblW w:w="5000" w:type="pct"/>
        <w:jc w:val="center"/>
        <w:tblLayout w:type="fixed"/>
        <w:tblLook w:val="04A0" w:firstRow="1" w:lastRow="0" w:firstColumn="1" w:lastColumn="0" w:noHBand="0" w:noVBand="1"/>
      </w:tblPr>
      <w:tblGrid>
        <w:gridCol w:w="6311"/>
      </w:tblGrid>
      <w:tr w:rsidR="005A5FCC" w14:paraId="3965CF07"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233770F3"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20F4D16D" w14:textId="77777777" w:rsidR="005A5FCC" w:rsidRDefault="00A21C81">
            <w:pPr>
              <w:spacing w:after="60" w:line="247" w:lineRule="auto"/>
            </w:pPr>
            <w:r>
              <w:rPr>
                <w:rFonts w:cs="EB Garamond"/>
                <w:b/>
                <w:kern w:val="16"/>
                <w:sz w:val="19"/>
                <w14:ligatures w14:val="standardContextual"/>
              </w:rPr>
              <w:t>Documentos para prova de dependência do preso</w:t>
            </w:r>
          </w:p>
          <w:p w14:paraId="6B131072" w14:textId="77777777" w:rsidR="005A5FCC" w:rsidRDefault="00A21C81">
            <w:pPr>
              <w:spacing w:after="60" w:line="247" w:lineRule="auto"/>
            </w:pPr>
            <w:r>
              <w:rPr>
                <w:rFonts w:cs="EB Garamond"/>
                <w:b/>
                <w:kern w:val="16"/>
                <w:sz w:val="19"/>
                <w14:ligatures w14:val="standardContextual"/>
              </w:rPr>
              <w:t>Cônjuge:</w:t>
            </w:r>
            <w:r>
              <w:rPr>
                <w:rFonts w:cs="EB Garamond"/>
                <w:kern w:val="16"/>
                <w:sz w:val="19"/>
                <w14:ligatures w14:val="standardContextual"/>
              </w:rPr>
              <w:t xml:space="preserve"> - Certidão de casamento (atualizada, com menos de 12 meses) - RG e CPF do requerente e do segurado</w:t>
            </w:r>
          </w:p>
          <w:p w14:paraId="556ADB0D" w14:textId="77777777" w:rsidR="005A5FCC" w:rsidRDefault="00A21C81">
            <w:pPr>
              <w:spacing w:after="60" w:line="247" w:lineRule="auto"/>
            </w:pPr>
            <w:r>
              <w:rPr>
                <w:rFonts w:cs="EB Garamond"/>
                <w:b/>
                <w:kern w:val="16"/>
                <w:sz w:val="19"/>
                <w14:ligatures w14:val="standardContextual"/>
              </w:rPr>
              <w:t>Companheiro(a), provas aceitas:</w:t>
            </w:r>
            <w:r>
              <w:rPr>
                <w:rFonts w:cs="EB Garamond"/>
                <w:kern w:val="16"/>
                <w:sz w:val="19"/>
                <w14:ligatures w14:val="standardContextual"/>
              </w:rPr>
              <w:t xml:space="preserve"> - Escritura pública de união estável - Certidão de nascimento de filhos em comum - Declaração do Imposto de Renda com dependente - Conta bancária conjunta - Apólice de seguro com indicação de beneficiário - Certidão de visitante do sistema penitenciário (prova relevante) - Comprovante de endereço comum anterior à prisão - Fotos do casal (com metadados de data, se digital) - Declarações de testemunhas (mínimo 3)</w:t>
            </w:r>
          </w:p>
          <w:p w14:paraId="7F626274" w14:textId="77777777" w:rsidR="005A5FCC" w:rsidRDefault="00A21C81">
            <w:pPr>
              <w:spacing w:after="60" w:line="247" w:lineRule="auto"/>
            </w:pPr>
            <w:r>
              <w:rPr>
                <w:rFonts w:cs="EB Garamond"/>
                <w:b/>
                <w:kern w:val="16"/>
                <w:sz w:val="19"/>
                <w14:ligatures w14:val="standardContextual"/>
              </w:rPr>
              <w:t>Filhos:</w:t>
            </w:r>
            <w:r>
              <w:rPr>
                <w:rFonts w:cs="EB Garamond"/>
                <w:kern w:val="16"/>
                <w:sz w:val="19"/>
                <w14:ligatures w14:val="standardContextual"/>
              </w:rPr>
              <w:t xml:space="preserve"> - Certidão de nascimento (presunção absoluta de dependência se menor de 21 anos) - Para filho inválido/deficiente: laudo médico + certidão de nascimento</w:t>
            </w:r>
          </w:p>
          <w:p w14:paraId="7C67E915" w14:textId="77777777" w:rsidR="005A5FCC" w:rsidRDefault="00A21C81">
            <w:pPr>
              <w:spacing w:after="60" w:line="247" w:lineRule="auto"/>
            </w:pPr>
            <w:r>
              <w:rPr>
                <w:rFonts w:cs="EB Garamond"/>
                <w:b/>
                <w:kern w:val="16"/>
                <w:sz w:val="19"/>
                <w14:ligatures w14:val="standardContextual"/>
              </w:rPr>
              <w:t>Para TODAS as classes:</w:t>
            </w:r>
            <w:r>
              <w:rPr>
                <w:rFonts w:cs="EB Garamond"/>
                <w:kern w:val="16"/>
                <w:sz w:val="19"/>
                <w14:ligatures w14:val="standardContextual"/>
              </w:rPr>
              <w:t xml:space="preserve"> - CNIS do segurado preso - Certidão de recolhimento à prisão (com data, estabelecimento e regime) - CNIS e holerites para aferição da média dos 12 últimos salários de contribuição</w:t>
            </w:r>
          </w:p>
        </w:tc>
      </w:tr>
    </w:tbl>
    <w:p w14:paraId="11C417E3" w14:textId="77777777" w:rsidR="005A5FCC" w:rsidRDefault="005A5FCC">
      <w:pPr>
        <w:spacing w:after="80" w:line="240" w:lineRule="auto"/>
      </w:pPr>
    </w:p>
    <w:tbl>
      <w:tblPr>
        <w:tblW w:w="5000" w:type="pct"/>
        <w:jc w:val="center"/>
        <w:tblLayout w:type="fixed"/>
        <w:tblLook w:val="04A0" w:firstRow="1" w:lastRow="0" w:firstColumn="1" w:lastColumn="0" w:noHBand="0" w:noVBand="1"/>
      </w:tblPr>
      <w:tblGrid>
        <w:gridCol w:w="6311"/>
      </w:tblGrid>
      <w:tr w:rsidR="005A5FCC" w14:paraId="58A1FDFB"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2AD518DD" w14:textId="77777777" w:rsidR="005A5FCC" w:rsidRDefault="00A21C81">
            <w:pPr>
              <w:spacing w:after="60" w:line="240" w:lineRule="auto"/>
              <w:jc w:val="left"/>
            </w:pPr>
            <w:r>
              <w:rPr>
                <w:rFonts w:ascii="Noto Sans" w:hAnsi="Noto Sans" w:cs="Noto Sans"/>
                <w:b/>
                <w:caps/>
                <w:color w:val="B78B37"/>
                <w:kern w:val="16"/>
                <w:sz w:val="16"/>
                <w14:ligatures w14:val="standardContextual"/>
              </w:rPr>
              <w:lastRenderedPageBreak/>
              <w:t>ATENÇÃO</w:t>
            </w:r>
          </w:p>
          <w:p w14:paraId="4C278F01" w14:textId="77777777" w:rsidR="005A5FCC" w:rsidRDefault="00A21C81">
            <w:pPr>
              <w:spacing w:after="60" w:line="247" w:lineRule="auto"/>
            </w:pPr>
            <w:r>
              <w:rPr>
                <w:rFonts w:cs="EB Garamond"/>
                <w:b/>
                <w:kern w:val="16"/>
                <w:sz w:val="19"/>
                <w14:ligatures w14:val="standardContextual"/>
              </w:rPr>
              <w:t>Companheira × cônjuge do preso: conflito frequente</w:t>
            </w:r>
          </w:p>
          <w:p w14:paraId="24A60676" w14:textId="77777777" w:rsidR="005A5FCC" w:rsidRDefault="00A21C81">
            <w:pPr>
              <w:spacing w:after="60" w:line="247" w:lineRule="auto"/>
            </w:pPr>
            <w:r>
              <w:rPr>
                <w:rFonts w:cs="EB Garamond"/>
                <w:kern w:val="16"/>
                <w:sz w:val="19"/>
                <w14:ligatures w14:val="standardContextual"/>
              </w:rPr>
              <w:t>Situação comum nos JEFs: o segurado preso é casado formalmente com uma pessoa e mantém união estável com outra. Ambas requerem o auxílio-reclusão.</w:t>
            </w:r>
          </w:p>
          <w:p w14:paraId="1052A254" w14:textId="77777777" w:rsidR="005A5FCC" w:rsidRDefault="00A21C81">
            <w:pPr>
              <w:spacing w:after="60" w:line="247" w:lineRule="auto"/>
            </w:pPr>
            <w:r>
              <w:rPr>
                <w:rFonts w:cs="EB Garamond"/>
                <w:b/>
                <w:kern w:val="16"/>
                <w:sz w:val="19"/>
                <w14:ligatures w14:val="standardContextual"/>
              </w:rPr>
              <w:t>Regra:</w:t>
            </w:r>
            <w:r>
              <w:rPr>
                <w:rFonts w:cs="EB Garamond"/>
                <w:kern w:val="16"/>
                <w:sz w:val="19"/>
                <w14:ligatures w14:val="standardContextual"/>
              </w:rPr>
              <w:t xml:space="preserve"> O benefício é rateado entre as dependentes que comprovarem o vínculo, na proporção legal.</w:t>
            </w:r>
          </w:p>
          <w:p w14:paraId="4D2A329A" w14:textId="77777777" w:rsidR="005A5FCC" w:rsidRDefault="00A21C81">
            <w:pPr>
              <w:spacing w:after="60" w:line="247" w:lineRule="auto"/>
            </w:pPr>
            <w:r>
              <w:rPr>
                <w:rFonts w:cs="EB Garamond"/>
                <w:b/>
                <w:kern w:val="16"/>
                <w:sz w:val="19"/>
                <w14:ligatures w14:val="standardContextual"/>
              </w:rPr>
              <w:t>No cotidiano dos JEFs:</w:t>
            </w:r>
            <w:r>
              <w:rPr>
                <w:rFonts w:cs="EB Garamond"/>
                <w:kern w:val="16"/>
                <w:sz w:val="19"/>
                <w14:ligatures w14:val="standardContextual"/>
              </w:rPr>
              <w:t xml:space="preserve"> 1. Se há separação de fato comprovada + nova união estável: a companheira tem preferência 2. Se não há separação de fato documentada: rateio entre cônjuge e companheira 3. O INSS frequentemente rejeita a companheira quando há cônjuge, impugne judicialmente 4. O ônus de provar a separação de fato é da companheira que alega a nova união 5. A existência de filhos em comum com a companheira é indício forte de união estável</w:t>
            </w:r>
          </w:p>
          <w:p w14:paraId="66E41FBA" w14:textId="77777777" w:rsidR="005A5FCC" w:rsidRDefault="00A21C81">
            <w:pPr>
              <w:spacing w:after="60" w:line="247" w:lineRule="auto"/>
            </w:pPr>
            <w:r>
              <w:rPr>
                <w:rFonts w:cs="EB Garamond"/>
                <w:b/>
                <w:kern w:val="16"/>
                <w:sz w:val="19"/>
                <w14:ligatures w14:val="standardContextual"/>
              </w:rPr>
              <w:t>Ponto crítico:</w:t>
            </w:r>
            <w:r>
              <w:rPr>
                <w:rFonts w:cs="EB Garamond"/>
                <w:kern w:val="16"/>
                <w:sz w:val="19"/>
                <w14:ligatures w14:val="standardContextual"/>
              </w:rPr>
              <w:t xml:space="preserve"> Filhos de ambas as relações são dependentes independentes, o rateio entre as mulheres não afeta a cota dos filhos menores.</w:t>
            </w:r>
          </w:p>
        </w:tc>
      </w:tr>
    </w:tbl>
    <w:p w14:paraId="59997719" w14:textId="77777777" w:rsidR="005A5FCC" w:rsidRDefault="005A5FCC">
      <w:pPr>
        <w:spacing w:after="80" w:line="240" w:lineRule="auto"/>
      </w:pPr>
    </w:p>
    <w:p w14:paraId="6F7AF004"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14.13 Valor do benefício: regime antigo e atual</w:t>
      </w:r>
    </w:p>
    <w:p w14:paraId="5A56C5E8"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4DF34A3E" w14:textId="77777777" w:rsidR="005A5FCC" w:rsidRDefault="00A21C81">
      <w:r>
        <w:rPr>
          <w:rFonts w:cs="EB Garamond"/>
          <w:kern w:val="16"/>
          <w14:ligatures w14:val="standardContextual"/>
        </w:rPr>
        <w:t xml:space="preserve"> valor do auxílio-reclusão sofreu radical transformação com a EC 103/2019, passando de um modelo proporcional à renda do segurado para um valor fixo de um salário-mínimo.</w:t>
      </w:r>
    </w:p>
    <w:p w14:paraId="09741B1F" w14:textId="77777777" w:rsidR="005A5FCC" w:rsidRDefault="00A21C81">
      <w:pPr>
        <w:ind w:firstLine="238"/>
      </w:pPr>
      <w:r>
        <w:rPr>
          <w:rFonts w:cs="EB Garamond"/>
          <w:b/>
          <w:kern w:val="16"/>
          <w14:ligatures w14:val="standardContextual"/>
        </w:rPr>
        <w:t>Regime antigo (fatos geradores anteriores a 13/11/2019).</w:t>
      </w:r>
      <w:r>
        <w:rPr>
          <w:rFonts w:cs="EB Garamond"/>
          <w:kern w:val="16"/>
          <w14:ligatures w14:val="standardContextual"/>
        </w:rPr>
        <w:t xml:space="preserve"> No regime anterior à EC 103/2019, o auxílio-reclusão era calculado </w:t>
      </w:r>
      <w:r>
        <w:rPr>
          <w:rFonts w:cs="EB Garamond"/>
          <w:b/>
          <w:kern w:val="16"/>
          <w14:ligatures w14:val="standardContextual"/>
        </w:rPr>
        <w:t>exatamente como a aposentadoria por invalidez</w:t>
      </w:r>
      <w:r>
        <w:rPr>
          <w:rFonts w:cs="EB Garamond"/>
          <w:kern w:val="16"/>
          <w14:ligatures w14:val="standardContextual"/>
        </w:rPr>
        <w:t xml:space="preserve"> (hoje aposentadoria por incapacidade permanente) a que o segurado teria direito na data do recolhimento à prisão, na forma do art. 80 c/c o art. 29 da Lei 8.213/91. Isso significa </w:t>
      </w:r>
      <w:r>
        <w:rPr>
          <w:rFonts w:cs="EB Garamond"/>
          <w:b/>
          <w:kern w:val="16"/>
          <w14:ligatures w14:val="standardContextual"/>
        </w:rPr>
        <w:t>100% do salário de benefício</w:t>
      </w:r>
      <w:r>
        <w:rPr>
          <w:rFonts w:cs="EB Garamond"/>
          <w:kern w:val="16"/>
          <w14:ligatures w14:val="standardContextual"/>
        </w:rPr>
        <w:t xml:space="preserve"> — não havia, portanto, redução percentual do próprio auxílio-reclusão por faixas de renda. O valor era proporcional à contribuição do segurado (refletindo o princípio contributivo): variava conforme o salário de benefício, mas sempre na proporção integral de 100% deste, observados o piso de 1 SM e o teto do RGPS. Convém não confundir esse cálculo com o </w:t>
      </w:r>
      <w:r>
        <w:rPr>
          <w:rFonts w:cs="EB Garamond"/>
          <w:b/>
          <w:kern w:val="16"/>
          <w14:ligatures w14:val="standardContextual"/>
        </w:rPr>
        <w:t>escalonamento por faixas de renda</w:t>
      </w:r>
      <w:r>
        <w:rPr>
          <w:rFonts w:cs="EB Garamond"/>
          <w:kern w:val="16"/>
          <w14:ligatures w14:val="standardContextual"/>
        </w:rPr>
        <w:t xml:space="preserve">, que é fenômeno do </w:t>
      </w:r>
      <w:r>
        <w:rPr>
          <w:rFonts w:cs="EB Garamond"/>
          <w:i/>
          <w:kern w:val="16"/>
          <w14:ligatures w14:val="standardContextual"/>
        </w:rPr>
        <w:t>valor-limite</w:t>
      </w:r>
      <w:r>
        <w:rPr>
          <w:rFonts w:cs="EB Garamond"/>
          <w:kern w:val="16"/>
          <w14:ligatures w14:val="standardContextual"/>
        </w:rPr>
        <w:t xml:space="preserve"> de "baixa renda" (e, em outros benefícios, do per</w:t>
      </w:r>
      <w:r>
        <w:rPr>
          <w:rFonts w:cs="EB Garamond"/>
          <w:kern w:val="16"/>
          <w14:ligatures w14:val="standardContextual"/>
        </w:rPr>
        <w:lastRenderedPageBreak/>
        <w:t>centual da renda mensal inicial): no auxílio-reclusão do regime antigo, o percentual aplicado ao salário de benefício era único — 100% —, e o escalonamento só comparece, historicamente, na sistemática de cálculo de outros benefícios e no patamar de aferição da baixa renda, não em uma alegada redução gradual do AR.</w:t>
      </w:r>
    </w:p>
    <w:p w14:paraId="46412BA2" w14:textId="77777777" w:rsidR="005A5FCC" w:rsidRDefault="00A21C81">
      <w:pPr>
        <w:ind w:firstLine="238"/>
      </w:pPr>
      <w:r>
        <w:rPr>
          <w:rFonts w:cs="EB Garamond"/>
          <w:b/>
          <w:kern w:val="16"/>
          <w14:ligatures w14:val="standardContextual"/>
        </w:rPr>
        <w:t>Regime novo (EC 103/2019).</w:t>
      </w:r>
      <w:r>
        <w:rPr>
          <w:rFonts w:cs="EB Garamond"/>
          <w:kern w:val="16"/>
          <w14:ligatures w14:val="standardContextual"/>
        </w:rPr>
        <w:t xml:space="preserve"> O art. 201, § 5º, da CF, com a redação dada pela EC 103/2019, fixou o valor do auxílio-reclusão em </w:t>
      </w:r>
      <w:r>
        <w:rPr>
          <w:rFonts w:cs="EB Garamond"/>
          <w:b/>
          <w:kern w:val="16"/>
          <w14:ligatures w14:val="standardContextual"/>
        </w:rPr>
        <w:t>um salário-mínimo</w:t>
      </w:r>
      <w:r>
        <w:rPr>
          <w:rFonts w:cs="EB Garamond"/>
          <w:kern w:val="16"/>
          <w14:ligatures w14:val="standardContextual"/>
        </w:rPr>
        <w:t xml:space="preserve"> (R$ 1.621,00 em 2026). Trata-se de valor fixo, independente da remuneração que o segurado auferia antes da prisão. O segurado que recebia R$ 500,00 e o que recebia o limite de baixa renda gerarão, ambos, auxílio-reclusão de R$ 1.621,00.</w:t>
      </w:r>
    </w:p>
    <w:p w14:paraId="4D33C89B" w14:textId="77777777" w:rsidR="005A5FCC" w:rsidRDefault="00A21C81">
      <w:pPr>
        <w:ind w:firstLine="238"/>
      </w:pPr>
      <w:r>
        <w:rPr>
          <w:rFonts w:cs="EB Garamond"/>
          <w:kern w:val="16"/>
          <w14:ligatures w14:val="standardContextual"/>
        </w:rPr>
        <w:t>Essa uniformização tem consequências ambivalentes. Por um lado, simplifica o cálculo e a administração do benefício. Por outro, pode gerar situações paradoxais: o dependente de segurado que recebia R$ 800,00 receberá auxílio-reclusão de R$ 1.621,00 — valor superior à remuneração que sustentava a família antes da prisão. Inversamente, o dependente de segurado que recebia R$ 1.860,00 receberá R$ 1.621,00 — valor inferior à renda anterior.</w:t>
      </w:r>
    </w:p>
    <w:tbl>
      <w:tblPr>
        <w:tblW w:w="5000" w:type="pct"/>
        <w:jc w:val="center"/>
        <w:tblLayout w:type="fixed"/>
        <w:tblLook w:val="04A0" w:firstRow="1" w:lastRow="0" w:firstColumn="1" w:lastColumn="0" w:noHBand="0" w:noVBand="1"/>
      </w:tblPr>
      <w:tblGrid>
        <w:gridCol w:w="6311"/>
      </w:tblGrid>
      <w:tr w:rsidR="005A5FCC" w14:paraId="3A1409F2"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56A3CB95"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64C5F4D5" w14:textId="77777777" w:rsidR="005A5FCC" w:rsidRDefault="00A21C81">
            <w:pPr>
              <w:spacing w:after="60" w:line="247" w:lineRule="auto"/>
            </w:pPr>
            <w:r>
              <w:rPr>
                <w:rFonts w:cs="EB Garamond"/>
                <w:b/>
                <w:kern w:val="16"/>
                <w:sz w:val="19"/>
                <w14:ligatures w14:val="standardContextual"/>
              </w:rPr>
              <w:t>Comparativo de valores: regime antigo × regime novo</w:t>
            </w:r>
          </w:p>
          <w:tbl>
            <w:tblPr>
              <w:tblW w:w="5000" w:type="pct"/>
              <w:jc w:val="center"/>
              <w:tblLook w:val="04A0" w:firstRow="1" w:lastRow="0" w:firstColumn="1" w:lastColumn="0" w:noHBand="0" w:noVBand="1"/>
            </w:tblPr>
            <w:tblGrid>
              <w:gridCol w:w="1967"/>
              <w:gridCol w:w="1967"/>
              <w:gridCol w:w="1967"/>
            </w:tblGrid>
            <w:tr w:rsidR="005A5FCC" w14:paraId="1B3AE2FD" w14:textId="77777777">
              <w:trPr>
                <w:tblHeader/>
                <w:jc w:val="center"/>
              </w:trPr>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194E8A30" w14:textId="77777777" w:rsidR="005A5FCC" w:rsidRDefault="00A21C81">
                  <w:pPr>
                    <w:spacing w:before="30" w:after="30" w:line="240" w:lineRule="auto"/>
                    <w:jc w:val="center"/>
                  </w:pPr>
                  <w:r>
                    <w:rPr>
                      <w:rFonts w:cs="EB Garamond"/>
                      <w:b/>
                      <w:color w:val="2F2923"/>
                      <w:kern w:val="16"/>
                      <w:sz w:val="16"/>
                      <w14:ligatures w14:val="standardContextual"/>
                    </w:rPr>
                    <w:t>Aspecto</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7518221C" w14:textId="77777777" w:rsidR="005A5FCC" w:rsidRDefault="00A21C81">
                  <w:pPr>
                    <w:spacing w:before="30" w:after="30" w:line="240" w:lineRule="auto"/>
                    <w:jc w:val="center"/>
                  </w:pPr>
                  <w:r>
                    <w:rPr>
                      <w:rFonts w:cs="EB Garamond"/>
                      <w:b/>
                      <w:color w:val="2F2923"/>
                      <w:kern w:val="16"/>
                      <w:sz w:val="16"/>
                      <w14:ligatures w14:val="standardContextual"/>
                    </w:rPr>
                    <w:t>Regime antigo (pré-EC 103)</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39E181BC" w14:textId="77777777" w:rsidR="005A5FCC" w:rsidRDefault="00A21C81">
                  <w:pPr>
                    <w:spacing w:before="30" w:after="30" w:line="240" w:lineRule="auto"/>
                    <w:jc w:val="center"/>
                  </w:pPr>
                  <w:r>
                    <w:rPr>
                      <w:rFonts w:cs="EB Garamond"/>
                      <w:b/>
                      <w:color w:val="2F2923"/>
                      <w:kern w:val="16"/>
                      <w:sz w:val="16"/>
                      <w14:ligatures w14:val="standardContextual"/>
                    </w:rPr>
                    <w:t>Regime novo (pós-EC 103)</w:t>
                  </w:r>
                </w:p>
              </w:tc>
            </w:tr>
            <w:tr w:rsidR="005A5FCC" w14:paraId="3D6924AF"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3D22C7A5" w14:textId="77777777" w:rsidR="005A5FCC" w:rsidRDefault="00A21C81">
                  <w:pPr>
                    <w:spacing w:before="20" w:after="20" w:line="240" w:lineRule="auto"/>
                    <w:jc w:val="left"/>
                  </w:pPr>
                  <w:r>
                    <w:rPr>
                      <w:rFonts w:cs="EB Garamond"/>
                      <w:kern w:val="16"/>
                      <w:sz w:val="16"/>
                      <w14:ligatures w14:val="standardContextual"/>
                    </w:rPr>
                    <w:t>Base de cálculo</w:t>
                  </w:r>
                </w:p>
              </w:tc>
              <w:tc>
                <w:tcPr>
                  <w:tcW w:w="2117" w:type="dxa"/>
                  <w:tcBorders>
                    <w:top w:val="single" w:sz="4" w:space="0" w:color="D2C9B8"/>
                    <w:left w:val="single" w:sz="4" w:space="0" w:color="D2C9B8"/>
                    <w:bottom w:val="single" w:sz="4" w:space="0" w:color="D2C9B8"/>
                    <w:right w:val="single" w:sz="4" w:space="0" w:color="D2C9B8"/>
                  </w:tcBorders>
                </w:tcPr>
                <w:p w14:paraId="7A51E692" w14:textId="77777777" w:rsidR="005A5FCC" w:rsidRDefault="00A21C81">
                  <w:pPr>
                    <w:spacing w:before="20" w:after="20" w:line="240" w:lineRule="auto"/>
                    <w:jc w:val="left"/>
                  </w:pPr>
                  <w:r>
                    <w:rPr>
                      <w:rFonts w:cs="EB Garamond"/>
                      <w:kern w:val="16"/>
                      <w:sz w:val="16"/>
                      <w14:ligatures w14:val="standardContextual"/>
                    </w:rPr>
                    <w:t>Salário de benefício</w:t>
                  </w:r>
                </w:p>
              </w:tc>
              <w:tc>
                <w:tcPr>
                  <w:tcW w:w="2117" w:type="dxa"/>
                  <w:tcBorders>
                    <w:top w:val="single" w:sz="4" w:space="0" w:color="D2C9B8"/>
                    <w:left w:val="single" w:sz="4" w:space="0" w:color="D2C9B8"/>
                    <w:bottom w:val="single" w:sz="4" w:space="0" w:color="D2C9B8"/>
                    <w:right w:val="single" w:sz="4" w:space="0" w:color="D2C9B8"/>
                  </w:tcBorders>
                </w:tcPr>
                <w:p w14:paraId="330762E1" w14:textId="77777777" w:rsidR="005A5FCC" w:rsidRDefault="00A21C81">
                  <w:pPr>
                    <w:spacing w:before="20" w:after="20" w:line="240" w:lineRule="auto"/>
                    <w:jc w:val="left"/>
                  </w:pPr>
                  <w:r>
                    <w:rPr>
                      <w:rFonts w:cs="EB Garamond"/>
                      <w:kern w:val="16"/>
                      <w:sz w:val="16"/>
                      <w14:ligatures w14:val="standardContextual"/>
                    </w:rPr>
                    <w:t>Não há (valor fixo)</w:t>
                  </w:r>
                </w:p>
              </w:tc>
            </w:tr>
            <w:tr w:rsidR="005A5FCC" w14:paraId="4E6C0894"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05B12A57" w14:textId="77777777" w:rsidR="005A5FCC" w:rsidRDefault="00A21C81">
                  <w:pPr>
                    <w:spacing w:before="20" w:after="20" w:line="240" w:lineRule="auto"/>
                    <w:jc w:val="left"/>
                  </w:pPr>
                  <w:r>
                    <w:rPr>
                      <w:rFonts w:cs="EB Garamond"/>
                      <w:kern w:val="16"/>
                      <w:sz w:val="16"/>
                      <w14:ligatures w14:val="standardContextual"/>
                    </w:rPr>
                    <w:t>Valor</w:t>
                  </w:r>
                </w:p>
              </w:tc>
              <w:tc>
                <w:tcPr>
                  <w:tcW w:w="2117" w:type="dxa"/>
                  <w:tcBorders>
                    <w:top w:val="single" w:sz="4" w:space="0" w:color="D2C9B8"/>
                    <w:left w:val="single" w:sz="4" w:space="0" w:color="D2C9B8"/>
                    <w:bottom w:val="single" w:sz="4" w:space="0" w:color="D2C9B8"/>
                    <w:right w:val="single" w:sz="4" w:space="0" w:color="D2C9B8"/>
                  </w:tcBorders>
                </w:tcPr>
                <w:p w14:paraId="78B1FA22" w14:textId="77777777" w:rsidR="005A5FCC" w:rsidRDefault="00A21C81">
                  <w:pPr>
                    <w:spacing w:before="20" w:after="20" w:line="240" w:lineRule="auto"/>
                    <w:jc w:val="left"/>
                  </w:pPr>
                  <w:r>
                    <w:rPr>
                      <w:rFonts w:cs="EB Garamond"/>
                      <w:kern w:val="16"/>
                      <w:sz w:val="16"/>
                      <w14:ligatures w14:val="standardContextual"/>
                    </w:rPr>
                    <w:t>100% do salário de benefício (= aposentadoria por invalidez)</w:t>
                  </w:r>
                </w:p>
              </w:tc>
              <w:tc>
                <w:tcPr>
                  <w:tcW w:w="2117" w:type="dxa"/>
                  <w:tcBorders>
                    <w:top w:val="single" w:sz="4" w:space="0" w:color="D2C9B8"/>
                    <w:left w:val="single" w:sz="4" w:space="0" w:color="D2C9B8"/>
                    <w:bottom w:val="single" w:sz="4" w:space="0" w:color="D2C9B8"/>
                    <w:right w:val="single" w:sz="4" w:space="0" w:color="D2C9B8"/>
                  </w:tcBorders>
                </w:tcPr>
                <w:p w14:paraId="5ED5E2D6" w14:textId="77777777" w:rsidR="005A5FCC" w:rsidRDefault="00A21C81">
                  <w:pPr>
                    <w:spacing w:before="20" w:after="20" w:line="240" w:lineRule="auto"/>
                    <w:jc w:val="left"/>
                  </w:pPr>
                  <w:r>
                    <w:rPr>
                      <w:rFonts w:cs="EB Garamond"/>
                      <w:kern w:val="16"/>
                      <w:sz w:val="16"/>
                      <w14:ligatures w14:val="standardContextual"/>
                    </w:rPr>
                    <w:t>R$ 1.621,00 (1 SM em 2026)</w:t>
                  </w:r>
                </w:p>
              </w:tc>
            </w:tr>
            <w:tr w:rsidR="005A5FCC" w14:paraId="1B05771B"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2191F1A1" w14:textId="77777777" w:rsidR="005A5FCC" w:rsidRDefault="00A21C81">
                  <w:pPr>
                    <w:spacing w:before="20" w:after="20" w:line="240" w:lineRule="auto"/>
                    <w:jc w:val="left"/>
                  </w:pPr>
                  <w:r>
                    <w:rPr>
                      <w:rFonts w:cs="EB Garamond"/>
                      <w:kern w:val="16"/>
                      <w:sz w:val="16"/>
                      <w14:ligatures w14:val="standardContextual"/>
                    </w:rPr>
                    <w:t>Reajuste</w:t>
                  </w:r>
                </w:p>
              </w:tc>
              <w:tc>
                <w:tcPr>
                  <w:tcW w:w="2117" w:type="dxa"/>
                  <w:tcBorders>
                    <w:top w:val="single" w:sz="4" w:space="0" w:color="D2C9B8"/>
                    <w:left w:val="single" w:sz="4" w:space="0" w:color="D2C9B8"/>
                    <w:bottom w:val="single" w:sz="4" w:space="0" w:color="D2C9B8"/>
                    <w:right w:val="single" w:sz="4" w:space="0" w:color="D2C9B8"/>
                  </w:tcBorders>
                </w:tcPr>
                <w:p w14:paraId="76EF7B7C" w14:textId="77777777" w:rsidR="005A5FCC" w:rsidRDefault="00A21C81">
                  <w:pPr>
                    <w:spacing w:before="20" w:after="20" w:line="240" w:lineRule="auto"/>
                    <w:jc w:val="left"/>
                  </w:pPr>
                  <w:r>
                    <w:rPr>
                      <w:rFonts w:cs="EB Garamond"/>
                      <w:kern w:val="16"/>
                      <w:sz w:val="16"/>
                      <w14:ligatures w14:val="standardContextual"/>
                    </w:rPr>
                    <w:t>INPC (como benefícios em geral)</w:t>
                  </w:r>
                </w:p>
              </w:tc>
              <w:tc>
                <w:tcPr>
                  <w:tcW w:w="2117" w:type="dxa"/>
                  <w:tcBorders>
                    <w:top w:val="single" w:sz="4" w:space="0" w:color="D2C9B8"/>
                    <w:left w:val="single" w:sz="4" w:space="0" w:color="D2C9B8"/>
                    <w:bottom w:val="single" w:sz="4" w:space="0" w:color="D2C9B8"/>
                    <w:right w:val="single" w:sz="4" w:space="0" w:color="D2C9B8"/>
                  </w:tcBorders>
                </w:tcPr>
                <w:p w14:paraId="5C61479F" w14:textId="77777777" w:rsidR="005A5FCC" w:rsidRDefault="00A21C81">
                  <w:pPr>
                    <w:spacing w:before="20" w:after="20" w:line="240" w:lineRule="auto"/>
                    <w:jc w:val="left"/>
                  </w:pPr>
                  <w:r>
                    <w:rPr>
                      <w:rFonts w:cs="EB Garamond"/>
                      <w:kern w:val="16"/>
                      <w:sz w:val="16"/>
                      <w14:ligatures w14:val="standardContextual"/>
                    </w:rPr>
                    <w:t>Reajuste do SM</w:t>
                  </w:r>
                </w:p>
              </w:tc>
            </w:tr>
            <w:tr w:rsidR="005A5FCC" w14:paraId="2F00E70C"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3BB70034" w14:textId="77777777" w:rsidR="005A5FCC" w:rsidRDefault="00A21C81">
                  <w:pPr>
                    <w:spacing w:before="20" w:after="20" w:line="240" w:lineRule="auto"/>
                    <w:jc w:val="left"/>
                  </w:pPr>
                  <w:r>
                    <w:rPr>
                      <w:rFonts w:cs="EB Garamond"/>
                      <w:kern w:val="16"/>
                      <w:sz w:val="16"/>
                      <w14:ligatures w14:val="standardContextual"/>
                    </w:rPr>
                    <w:t>Rateio entre dependentes</w:t>
                  </w:r>
                </w:p>
              </w:tc>
              <w:tc>
                <w:tcPr>
                  <w:tcW w:w="2117" w:type="dxa"/>
                  <w:tcBorders>
                    <w:top w:val="single" w:sz="4" w:space="0" w:color="D2C9B8"/>
                    <w:left w:val="single" w:sz="4" w:space="0" w:color="D2C9B8"/>
                    <w:bottom w:val="single" w:sz="4" w:space="0" w:color="D2C9B8"/>
                    <w:right w:val="single" w:sz="4" w:space="0" w:color="D2C9B8"/>
                  </w:tcBorders>
                </w:tcPr>
                <w:p w14:paraId="768FA9F9" w14:textId="77777777" w:rsidR="005A5FCC" w:rsidRDefault="00A21C81">
                  <w:pPr>
                    <w:spacing w:before="20" w:after="20" w:line="240" w:lineRule="auto"/>
                    <w:jc w:val="left"/>
                  </w:pPr>
                  <w:r>
                    <w:rPr>
                      <w:rFonts w:cs="EB Garamond"/>
                      <w:kern w:val="16"/>
                      <w:sz w:val="16"/>
                      <w14:ligatures w14:val="standardContextual"/>
                    </w:rPr>
                    <w:t>Sim (entre mesma classe)</w:t>
                  </w:r>
                </w:p>
              </w:tc>
              <w:tc>
                <w:tcPr>
                  <w:tcW w:w="2117" w:type="dxa"/>
                  <w:tcBorders>
                    <w:top w:val="single" w:sz="4" w:space="0" w:color="D2C9B8"/>
                    <w:left w:val="single" w:sz="4" w:space="0" w:color="D2C9B8"/>
                    <w:bottom w:val="single" w:sz="4" w:space="0" w:color="D2C9B8"/>
                    <w:right w:val="single" w:sz="4" w:space="0" w:color="D2C9B8"/>
                  </w:tcBorders>
                </w:tcPr>
                <w:p w14:paraId="0078A28F" w14:textId="77777777" w:rsidR="005A5FCC" w:rsidRDefault="00A21C81">
                  <w:pPr>
                    <w:spacing w:before="20" w:after="20" w:line="240" w:lineRule="auto"/>
                    <w:jc w:val="left"/>
                  </w:pPr>
                  <w:r>
                    <w:rPr>
                      <w:rFonts w:cs="EB Garamond"/>
                      <w:kern w:val="16"/>
                      <w:sz w:val="16"/>
                      <w14:ligatures w14:val="standardContextual"/>
                    </w:rPr>
                    <w:t>Sim (entre mesma classe)</w:t>
                  </w:r>
                </w:p>
              </w:tc>
            </w:tr>
            <w:tr w:rsidR="005A5FCC" w14:paraId="55BF8778"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50AC7972" w14:textId="77777777" w:rsidR="005A5FCC" w:rsidRDefault="00A21C81">
                  <w:pPr>
                    <w:spacing w:before="20" w:after="20" w:line="240" w:lineRule="auto"/>
                    <w:jc w:val="left"/>
                  </w:pPr>
                  <w:r>
                    <w:rPr>
                      <w:rFonts w:cs="EB Garamond"/>
                      <w:kern w:val="16"/>
                      <w:sz w:val="16"/>
                      <w14:ligatures w14:val="standardContextual"/>
                    </w:rPr>
                    <w:t>Valor mínimo</w:t>
                  </w:r>
                </w:p>
              </w:tc>
              <w:tc>
                <w:tcPr>
                  <w:tcW w:w="2117" w:type="dxa"/>
                  <w:tcBorders>
                    <w:top w:val="single" w:sz="4" w:space="0" w:color="D2C9B8"/>
                    <w:left w:val="single" w:sz="4" w:space="0" w:color="D2C9B8"/>
                    <w:bottom w:val="single" w:sz="4" w:space="0" w:color="D2C9B8"/>
                    <w:right w:val="single" w:sz="4" w:space="0" w:color="D2C9B8"/>
                  </w:tcBorders>
                </w:tcPr>
                <w:p w14:paraId="03BBF7B3" w14:textId="77777777" w:rsidR="005A5FCC" w:rsidRDefault="00A21C81">
                  <w:pPr>
                    <w:spacing w:before="20" w:after="20" w:line="240" w:lineRule="auto"/>
                    <w:jc w:val="left"/>
                  </w:pPr>
                  <w:r>
                    <w:rPr>
                      <w:rFonts w:cs="EB Garamond"/>
                      <w:kern w:val="16"/>
                      <w:sz w:val="16"/>
                      <w14:ligatures w14:val="standardContextual"/>
                    </w:rPr>
                    <w:t>1 SM</w:t>
                  </w:r>
                </w:p>
              </w:tc>
              <w:tc>
                <w:tcPr>
                  <w:tcW w:w="2117" w:type="dxa"/>
                  <w:tcBorders>
                    <w:top w:val="single" w:sz="4" w:space="0" w:color="D2C9B8"/>
                    <w:left w:val="single" w:sz="4" w:space="0" w:color="D2C9B8"/>
                    <w:bottom w:val="single" w:sz="4" w:space="0" w:color="D2C9B8"/>
                    <w:right w:val="single" w:sz="4" w:space="0" w:color="D2C9B8"/>
                  </w:tcBorders>
                </w:tcPr>
                <w:p w14:paraId="5D1A51C3" w14:textId="77777777" w:rsidR="005A5FCC" w:rsidRDefault="00A21C81">
                  <w:pPr>
                    <w:spacing w:before="20" w:after="20" w:line="240" w:lineRule="auto"/>
                    <w:jc w:val="left"/>
                  </w:pPr>
                  <w:r>
                    <w:rPr>
                      <w:rFonts w:cs="EB Garamond"/>
                      <w:kern w:val="16"/>
                      <w:sz w:val="16"/>
                      <w14:ligatures w14:val="standardContextual"/>
                    </w:rPr>
                    <w:t>1 SM</w:t>
                  </w:r>
                </w:p>
              </w:tc>
            </w:tr>
            <w:tr w:rsidR="005A5FCC" w14:paraId="7C220C20"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2FBCFA6F" w14:textId="77777777" w:rsidR="005A5FCC" w:rsidRDefault="00A21C81">
                  <w:pPr>
                    <w:spacing w:before="20" w:after="20" w:line="240" w:lineRule="auto"/>
                    <w:jc w:val="left"/>
                  </w:pPr>
                  <w:r>
                    <w:rPr>
                      <w:rFonts w:cs="EB Garamond"/>
                      <w:kern w:val="16"/>
                      <w:sz w:val="16"/>
                      <w14:ligatures w14:val="standardContextual"/>
                    </w:rPr>
                    <w:t>Valor máximo</w:t>
                  </w:r>
                </w:p>
              </w:tc>
              <w:tc>
                <w:tcPr>
                  <w:tcW w:w="2117" w:type="dxa"/>
                  <w:tcBorders>
                    <w:top w:val="single" w:sz="4" w:space="0" w:color="D2C9B8"/>
                    <w:left w:val="single" w:sz="4" w:space="0" w:color="D2C9B8"/>
                    <w:bottom w:val="single" w:sz="4" w:space="0" w:color="D2C9B8"/>
                    <w:right w:val="single" w:sz="4" w:space="0" w:color="D2C9B8"/>
                  </w:tcBorders>
                </w:tcPr>
                <w:p w14:paraId="7FE0471E" w14:textId="77777777" w:rsidR="005A5FCC" w:rsidRDefault="00A21C81">
                  <w:pPr>
                    <w:spacing w:before="20" w:after="20" w:line="240" w:lineRule="auto"/>
                    <w:jc w:val="left"/>
                  </w:pPr>
                  <w:r>
                    <w:rPr>
                      <w:rFonts w:cs="EB Garamond"/>
                      <w:kern w:val="16"/>
                      <w:sz w:val="16"/>
                      <w14:ligatures w14:val="standardContextual"/>
                    </w:rPr>
                    <w:t>Teto do RGPS</w:t>
                  </w:r>
                </w:p>
              </w:tc>
              <w:tc>
                <w:tcPr>
                  <w:tcW w:w="2117" w:type="dxa"/>
                  <w:tcBorders>
                    <w:top w:val="single" w:sz="4" w:space="0" w:color="D2C9B8"/>
                    <w:left w:val="single" w:sz="4" w:space="0" w:color="D2C9B8"/>
                    <w:bottom w:val="single" w:sz="4" w:space="0" w:color="D2C9B8"/>
                    <w:right w:val="single" w:sz="4" w:space="0" w:color="D2C9B8"/>
                  </w:tcBorders>
                </w:tcPr>
                <w:p w14:paraId="5A153F16" w14:textId="77777777" w:rsidR="005A5FCC" w:rsidRDefault="00A21C81">
                  <w:pPr>
                    <w:spacing w:before="20" w:after="20" w:line="240" w:lineRule="auto"/>
                    <w:jc w:val="left"/>
                  </w:pPr>
                  <w:r>
                    <w:rPr>
                      <w:rFonts w:cs="EB Garamond"/>
                      <w:kern w:val="16"/>
                      <w:sz w:val="16"/>
                      <w14:ligatures w14:val="standardContextual"/>
                    </w:rPr>
                    <w:t>1 SM</w:t>
                  </w:r>
                </w:p>
              </w:tc>
            </w:tr>
            <w:tr w:rsidR="005A5FCC" w14:paraId="26FD0F9D"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41381F5C" w14:textId="77777777" w:rsidR="005A5FCC" w:rsidRDefault="00A21C81">
                  <w:pPr>
                    <w:spacing w:before="20" w:after="20" w:line="240" w:lineRule="auto"/>
                    <w:jc w:val="left"/>
                  </w:pPr>
                  <w:r>
                    <w:rPr>
                      <w:rFonts w:cs="EB Garamond"/>
                      <w:kern w:val="16"/>
                      <w:sz w:val="16"/>
                      <w14:ligatures w14:val="standardContextual"/>
                    </w:rPr>
                    <w:t>Reflexo do 13º</w:t>
                  </w:r>
                </w:p>
              </w:tc>
              <w:tc>
                <w:tcPr>
                  <w:tcW w:w="2117" w:type="dxa"/>
                  <w:tcBorders>
                    <w:top w:val="single" w:sz="4" w:space="0" w:color="D2C9B8"/>
                    <w:left w:val="single" w:sz="4" w:space="0" w:color="D2C9B8"/>
                    <w:bottom w:val="single" w:sz="4" w:space="0" w:color="D2C9B8"/>
                    <w:right w:val="single" w:sz="4" w:space="0" w:color="D2C9B8"/>
                  </w:tcBorders>
                </w:tcPr>
                <w:p w14:paraId="2117F074" w14:textId="77777777" w:rsidR="005A5FCC" w:rsidRDefault="00A21C81">
                  <w:pPr>
                    <w:spacing w:before="20" w:after="20" w:line="240" w:lineRule="auto"/>
                    <w:jc w:val="left"/>
                  </w:pPr>
                  <w:r>
                    <w:rPr>
                      <w:rFonts w:cs="EB Garamond"/>
                      <w:kern w:val="16"/>
                      <w:sz w:val="16"/>
                      <w14:ligatures w14:val="standardContextual"/>
                    </w:rPr>
                    <w:t>Sim</w:t>
                  </w:r>
                </w:p>
              </w:tc>
              <w:tc>
                <w:tcPr>
                  <w:tcW w:w="2117" w:type="dxa"/>
                  <w:tcBorders>
                    <w:top w:val="single" w:sz="4" w:space="0" w:color="D2C9B8"/>
                    <w:left w:val="single" w:sz="4" w:space="0" w:color="D2C9B8"/>
                    <w:bottom w:val="single" w:sz="4" w:space="0" w:color="D2C9B8"/>
                    <w:right w:val="single" w:sz="4" w:space="0" w:color="D2C9B8"/>
                  </w:tcBorders>
                </w:tcPr>
                <w:p w14:paraId="2E70586D" w14:textId="77777777" w:rsidR="005A5FCC" w:rsidRDefault="00A21C81">
                  <w:pPr>
                    <w:spacing w:before="20" w:after="20" w:line="240" w:lineRule="auto"/>
                    <w:jc w:val="left"/>
                  </w:pPr>
                  <w:r>
                    <w:rPr>
                      <w:rFonts w:cs="EB Garamond"/>
                      <w:kern w:val="16"/>
                      <w:sz w:val="16"/>
                      <w14:ligatures w14:val="standardContextual"/>
                    </w:rPr>
                    <w:t>Sim</w:t>
                  </w:r>
                </w:p>
              </w:tc>
            </w:tr>
          </w:tbl>
          <w:p w14:paraId="554CAE7C" w14:textId="77777777" w:rsidR="005A5FCC" w:rsidRDefault="005A5FCC"/>
          <w:p w14:paraId="79CEAA94" w14:textId="77777777" w:rsidR="005A5FCC" w:rsidRDefault="005A5FCC">
            <w:pPr>
              <w:spacing w:after="0" w:line="240" w:lineRule="auto"/>
            </w:pPr>
          </w:p>
          <w:p w14:paraId="0872E050" w14:textId="77777777" w:rsidR="005A5FCC" w:rsidRDefault="00A21C81">
            <w:pPr>
              <w:spacing w:after="60" w:line="247" w:lineRule="auto"/>
            </w:pPr>
            <w:r>
              <w:rPr>
                <w:rFonts w:cs="EB Garamond"/>
                <w:b/>
                <w:kern w:val="16"/>
                <w:sz w:val="19"/>
                <w14:ligatures w14:val="standardContextual"/>
              </w:rPr>
              <w:t>Exemplo prático (2025):</w:t>
            </w:r>
            <w:r>
              <w:rPr>
                <w:rFonts w:cs="EB Garamond"/>
                <w:kern w:val="16"/>
                <w:sz w:val="19"/>
                <w14:ligatures w14:val="standardContextual"/>
              </w:rPr>
              <w:t xml:space="preserve"> - Segurado empregado, último salário R$ 1.500,00, preso em 2025 - Regime novo: AR = R$ 1.621,00 (1 SM), independente do salário - Se houvesse dois dependentes (cônjuge + 1 filho menor, ambos da Classe I): o benefício </w:t>
            </w:r>
            <w:r>
              <w:rPr>
                <w:rFonts w:cs="EB Garamond"/>
                <w:b/>
                <w:kern w:val="16"/>
                <w:sz w:val="19"/>
                <w14:ligatures w14:val="standardContextual"/>
              </w:rPr>
              <w:t>não</w:t>
            </w:r>
            <w:r>
              <w:rPr>
                <w:rFonts w:cs="EB Garamond"/>
                <w:kern w:val="16"/>
                <w:sz w:val="19"/>
                <w14:ligatures w14:val="standardContextual"/>
              </w:rPr>
              <w:t xml:space="preserve"> se multiplica por cabeça. Há um único auxílio-reclusão de R$ 1.621,00, pago globalmente ao conjunto de dependentes da mesma classe e entre eles </w:t>
            </w:r>
            <w:r>
              <w:rPr>
                <w:rFonts w:cs="EB Garamond"/>
                <w:b/>
                <w:kern w:val="16"/>
                <w:sz w:val="19"/>
                <w14:ligatures w14:val="standardContextual"/>
              </w:rPr>
              <w:t>rateado em partes iguais</w:t>
            </w:r>
            <w:r>
              <w:rPr>
                <w:rFonts w:cs="EB Garamond"/>
                <w:kern w:val="16"/>
                <w:sz w:val="19"/>
                <w14:ligatures w14:val="standardContextual"/>
              </w:rPr>
              <w:t xml:space="preserve"> (R$ 810,50 para cada um, no exemplo) - Atenção: cada dependente </w:t>
            </w:r>
            <w:r>
              <w:rPr>
                <w:rFonts w:cs="EB Garamond"/>
                <w:b/>
                <w:kern w:val="16"/>
                <w:sz w:val="19"/>
                <w14:ligatures w14:val="standardContextual"/>
              </w:rPr>
              <w:t>não</w:t>
            </w:r>
            <w:r>
              <w:rPr>
                <w:rFonts w:cs="EB Garamond"/>
                <w:kern w:val="16"/>
                <w:sz w:val="19"/>
                <w14:ligatures w14:val="standardContextual"/>
              </w:rPr>
              <w:t xml:space="preserve"> recebe 1 SM integral; o valor único de 1 SM é dividido entre os codependentes da mesma classe. Cessando a cota de um deles (p. Ex., maioridade do filho), a parcela acresce aos remanescentes (princípio do direito de acrescer da pensão por morte, aplicável por analogia — Cap. 19)</w:t>
            </w:r>
          </w:p>
        </w:tc>
      </w:tr>
    </w:tbl>
    <w:p w14:paraId="2DCE5B30" w14:textId="77777777" w:rsidR="005A5FCC" w:rsidRDefault="005A5FCC">
      <w:pPr>
        <w:spacing w:after="80" w:line="240" w:lineRule="auto"/>
      </w:pPr>
    </w:p>
    <w:p w14:paraId="608D04D8"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14.14 Data de início do benefício (DIB)</w:t>
      </w:r>
    </w:p>
    <w:p w14:paraId="1CFFCC74"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1C534CE5" w14:textId="77777777" w:rsidR="005A5FCC" w:rsidRDefault="00A21C81">
      <w:r>
        <w:rPr>
          <w:rFonts w:cs="EB Garamond"/>
          <w:kern w:val="16"/>
          <w14:ligatures w14:val="standardContextual"/>
        </w:rPr>
        <w:t xml:space="preserve"> data de início do benefício segue regras específicas que combinam a data do fato gerador (recolhimento à prisão) com a data do requerimento administrativo.</w:t>
      </w:r>
    </w:p>
    <w:p w14:paraId="42B99CFF" w14:textId="77777777" w:rsidR="005A5FCC" w:rsidRDefault="00A21C81">
      <w:pPr>
        <w:ind w:firstLine="238"/>
      </w:pPr>
      <w:r>
        <w:rPr>
          <w:rFonts w:cs="EB Garamond"/>
          <w:b/>
          <w:kern w:val="16"/>
          <w14:ligatures w14:val="standardContextual"/>
        </w:rPr>
        <w:t>Requerimento dentro de 90 dias da prisão.</w:t>
      </w:r>
      <w:r>
        <w:rPr>
          <w:rFonts w:cs="EB Garamond"/>
          <w:kern w:val="16"/>
          <w14:ligatures w14:val="standardContextual"/>
        </w:rPr>
        <w:t xml:space="preserve"> Quando o dependente requer o auxílio-reclusão no prazo de até 90 dias contados do recolhimento à prisão (art. </w:t>
      </w:r>
      <w:r>
        <w:rPr>
          <w:rFonts w:cs="EB Garamond"/>
          <w:kern w:val="16"/>
          <w14:ligatures w14:val="standardContextual"/>
        </w:rPr>
        <w:lastRenderedPageBreak/>
        <w:t>116 do Decreto 3.048/99, c/c art. 74, I, da Lei 8.213/91, aplicável por analogia), a DIB retroage à data do efetivo recolhimento. Essa retroação protege os dependentes nos primeiros meses de encarceramento, quando a vulnerabilidade é mais aguda.</w:t>
      </w:r>
    </w:p>
    <w:p w14:paraId="65C8B821" w14:textId="77777777" w:rsidR="005A5FCC" w:rsidRDefault="00A21C81">
      <w:pPr>
        <w:ind w:firstLine="238"/>
      </w:pPr>
      <w:r>
        <w:rPr>
          <w:rFonts w:cs="EB Garamond"/>
          <w:b/>
          <w:kern w:val="16"/>
          <w14:ligatures w14:val="standardContextual"/>
        </w:rPr>
        <w:t>Requerimento após 90 dias.</w:t>
      </w:r>
      <w:r>
        <w:rPr>
          <w:rFonts w:cs="EB Garamond"/>
          <w:kern w:val="16"/>
          <w14:ligatures w14:val="standardContextual"/>
        </w:rPr>
        <w:t xml:space="preserve"> Se o requerimento é formulado após 90 dias da prisão, a DIB é a data do requerimento administrativo (DER). Os valores referentes ao período entre o recolhimento e o requerimento são perdidos — não há pagamento retroativo. Essa regra é particularmente prejudicial aos dependentes de presos provisórios, que frequentemente desconhecem o direito ao benefício ou enfrentam dificuldades para reunir a documentação necessária no prazo de 90 dias.</w:t>
      </w:r>
    </w:p>
    <w:p w14:paraId="604CAD7E" w14:textId="77777777" w:rsidR="005A5FCC" w:rsidRDefault="00A21C81">
      <w:pPr>
        <w:ind w:firstLine="238"/>
      </w:pPr>
      <w:r>
        <w:rPr>
          <w:rFonts w:cs="EB Garamond"/>
          <w:b/>
          <w:kern w:val="16"/>
          <w14:ligatures w14:val="standardContextual"/>
        </w:rPr>
        <w:t>Para dependentes menores ou incapazes.</w:t>
      </w:r>
      <w:r>
        <w:rPr>
          <w:rFonts w:cs="EB Garamond"/>
          <w:kern w:val="16"/>
          <w14:ligatures w14:val="standardContextual"/>
        </w:rPr>
        <w:t xml:space="preserve"> A regra geral de retroação do auxílio-reclusão segue, por analogia, o art. 74 da Lei 8.213/91 (com a redação dada pela Lei 13.846/2019): a DIB retroage à data do fato gerador quando o requerimento é formulado no prazo de </w:t>
      </w:r>
      <w:r>
        <w:rPr>
          <w:rFonts w:cs="EB Garamond"/>
          <w:b/>
          <w:kern w:val="16"/>
          <w14:ligatures w14:val="standardContextual"/>
        </w:rPr>
        <w:t>90 dias</w:t>
      </w:r>
      <w:r>
        <w:rPr>
          <w:rFonts w:cs="EB Garamond"/>
          <w:kern w:val="16"/>
          <w14:ligatures w14:val="standardContextual"/>
        </w:rPr>
        <w:t xml:space="preserve">; após esse prazo, a DIB fixa-se na data do requerimento (DER). Para o </w:t>
      </w:r>
      <w:r>
        <w:rPr>
          <w:rFonts w:cs="EB Garamond"/>
          <w:b/>
          <w:kern w:val="16"/>
          <w14:ligatures w14:val="standardContextual"/>
        </w:rPr>
        <w:t>dependente absolutamente incapaz</w:t>
      </w:r>
      <w:r>
        <w:rPr>
          <w:rFonts w:cs="EB Garamond"/>
          <w:kern w:val="16"/>
          <w14:ligatures w14:val="standardContextual"/>
        </w:rPr>
        <w:t xml:space="preserve"> — em especial o menor de 16 anos —, esse prazo não corre em seu desfavor: contra ele não fluem prazos de prescrição e decadência (art. 198, I, do Código Civil, c/c art. 79 da Lei 8.213/91, que afasta a prescrição em favor do incapaz). A consequência prática é que, requerido o benefício enquanto perdura a menoridade (ou a incapacidade), a DIB retroage à data do recolhimento mesmo que ultrapassado o prazo de 90 dias, preservando-se as parcelas pretéritas dentro do quinquênio anterior ao requerimento. Não se trata, portanto, de retroação irrestrita "sempre", mas da suspensão, em favor do incapaz, do prazo que de outro modo limitaria a retroação. A solução é coerente com o princípio do melhor interesse da criança (art. 227, CF) e reconhece que o menor não pode ser penalizado pela inércia do representante legal.</w:t>
      </w:r>
    </w:p>
    <w:tbl>
      <w:tblPr>
        <w:tblW w:w="5000" w:type="pct"/>
        <w:jc w:val="center"/>
        <w:tblLayout w:type="fixed"/>
        <w:tblLook w:val="04A0" w:firstRow="1" w:lastRow="0" w:firstColumn="1" w:lastColumn="0" w:noHBand="0" w:noVBand="1"/>
      </w:tblPr>
      <w:tblGrid>
        <w:gridCol w:w="6311"/>
      </w:tblGrid>
      <w:tr w:rsidR="005A5FCC" w14:paraId="5FE3262B"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78A89D00" w14:textId="77777777" w:rsidR="005A5FCC" w:rsidRDefault="00A21C81">
            <w:pPr>
              <w:spacing w:after="60" w:line="240" w:lineRule="auto"/>
              <w:jc w:val="left"/>
            </w:pPr>
            <w:r>
              <w:rPr>
                <w:rFonts w:ascii="Noto Sans" w:hAnsi="Noto Sans" w:cs="Noto Sans"/>
                <w:b/>
                <w:caps/>
                <w:color w:val="B78B37"/>
                <w:kern w:val="16"/>
                <w:sz w:val="16"/>
                <w14:ligatures w14:val="standardContextual"/>
              </w:rPr>
              <w:lastRenderedPageBreak/>
              <w:t>ATENÇÃO</w:t>
            </w:r>
          </w:p>
          <w:p w14:paraId="779C0E38" w14:textId="77777777" w:rsidR="005A5FCC" w:rsidRDefault="00A21C81">
            <w:pPr>
              <w:spacing w:after="60" w:line="247" w:lineRule="auto"/>
            </w:pPr>
            <w:r>
              <w:rPr>
                <w:rFonts w:cs="EB Garamond"/>
                <w:b/>
                <w:kern w:val="16"/>
                <w:sz w:val="19"/>
                <w14:ligatures w14:val="standardContextual"/>
              </w:rPr>
              <w:t>DIB retroativa: 90 dias é contado da prisão, não da condenação</w:t>
            </w:r>
          </w:p>
          <w:p w14:paraId="38DA790C" w14:textId="77777777" w:rsidR="005A5FCC" w:rsidRDefault="00A21C81">
            <w:pPr>
              <w:spacing w:after="60" w:line="247" w:lineRule="auto"/>
            </w:pPr>
            <w:r>
              <w:rPr>
                <w:rFonts w:cs="EB Garamond"/>
                <w:kern w:val="16"/>
                <w:sz w:val="19"/>
                <w14:ligatures w14:val="standardContextual"/>
              </w:rPr>
              <w:t xml:space="preserve">O prazo de 90 dias para retroação da DIB é contado da </w:t>
            </w:r>
            <w:r>
              <w:rPr>
                <w:rFonts w:cs="EB Garamond"/>
                <w:b/>
                <w:kern w:val="16"/>
                <w:sz w:val="19"/>
                <w14:ligatures w14:val="standardContextual"/>
              </w:rPr>
              <w:t>data do efetivo recolhimento à prisão</w:t>
            </w:r>
            <w:r>
              <w:rPr>
                <w:rFonts w:cs="EB Garamond"/>
                <w:kern w:val="16"/>
                <w:sz w:val="19"/>
                <w14:ligatures w14:val="standardContextual"/>
              </w:rPr>
              <w:t>, não da data da sentença condenatória ou do trânsito em julgado.</w:t>
            </w:r>
          </w:p>
          <w:p w14:paraId="3062A132" w14:textId="77777777" w:rsidR="005A5FCC" w:rsidRDefault="00A21C81">
            <w:pPr>
              <w:spacing w:after="60" w:line="247" w:lineRule="auto"/>
            </w:pPr>
            <w:r>
              <w:rPr>
                <w:rFonts w:cs="EB Garamond"/>
                <w:b/>
                <w:kern w:val="16"/>
                <w:sz w:val="19"/>
                <w14:ligatures w14:val="standardContextual"/>
              </w:rPr>
              <w:t>Consequências práticas:</w:t>
            </w:r>
            <w:r>
              <w:rPr>
                <w:rFonts w:cs="EB Garamond"/>
                <w:kern w:val="16"/>
                <w:sz w:val="19"/>
                <w14:ligatures w14:val="standardContextual"/>
              </w:rPr>
              <w:t xml:space="preserve"> - Preso provisório em 01/01/2025, requerimento em 15/03/2025: DIB = 01/01/2025 (dentro de 90 dias) - Preso provisório em 01/01/2025, requerimento em 15/04/2025: DIB = 15/04/2025 (fora de 90 dias) - Se o dependente é absolutamente incapaz (menor de 16 anos): não corre contra ele o prazo de 90 dias — requerido o AR durante a menoridade, a DIB retroage a 01/01/2025, respeitada a prescrição quinquenal das parcelas (art. 79 da Lei 8.213/91 c/c art. 198, I, do CC)</w:t>
            </w:r>
          </w:p>
          <w:p w14:paraId="52CEBADA" w14:textId="77777777" w:rsidR="005A5FCC" w:rsidRDefault="00A21C81">
            <w:pPr>
              <w:spacing w:after="60" w:line="247" w:lineRule="auto"/>
            </w:pPr>
            <w:r>
              <w:rPr>
                <w:rFonts w:cs="EB Garamond"/>
                <w:b/>
                <w:kern w:val="16"/>
                <w:sz w:val="19"/>
                <w14:ligatures w14:val="standardContextual"/>
              </w:rPr>
              <w:t>Orientação:</w:t>
            </w:r>
            <w:r>
              <w:rPr>
                <w:rFonts w:cs="EB Garamond"/>
                <w:kern w:val="16"/>
                <w:sz w:val="19"/>
                <w14:ligatures w14:val="standardContextual"/>
              </w:rPr>
              <w:t xml:space="preserve"> Instruir os dependentes a requerer o AR imediatamente após a prisão, mesmo que a documentação esteja incompleta. O requerimento pode ser complementado posteriormente, mas o marco temporal é a data do protocolo.</w:t>
            </w:r>
          </w:p>
        </w:tc>
      </w:tr>
    </w:tbl>
    <w:p w14:paraId="283C2BD2" w14:textId="77777777" w:rsidR="005A5FCC" w:rsidRDefault="005A5FCC">
      <w:pPr>
        <w:spacing w:after="80" w:line="240" w:lineRule="auto"/>
      </w:pPr>
    </w:p>
    <w:p w14:paraId="2769D5DB"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14.15 Manutenção: atestado carcerário e obrigações</w:t>
      </w:r>
    </w:p>
    <w:p w14:paraId="223DFFBD"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3F88AC95" w14:textId="77777777" w:rsidR="005A5FCC" w:rsidRDefault="00A21C81">
      <w:r>
        <w:rPr>
          <w:rFonts w:cs="EB Garamond"/>
          <w:kern w:val="16"/>
          <w14:ligatures w14:val="standardContextual"/>
        </w:rPr>
        <w:t xml:space="preserve"> manutenção do auxílio-reclusão exige a comprovação periódica da permanência do segurado em regime fechado ou semiaberto. O instrumento principal dessa comprovação é o </w:t>
      </w:r>
      <w:r>
        <w:rPr>
          <w:rFonts w:cs="EB Garamond"/>
          <w:b/>
          <w:kern w:val="16"/>
          <w14:ligatures w14:val="standardContextual"/>
        </w:rPr>
        <w:t>atestado carcerário trimestral</w:t>
      </w:r>
      <w:r>
        <w:rPr>
          <w:rFonts w:cs="EB Garamond"/>
          <w:kern w:val="16"/>
          <w14:ligatures w14:val="standardContextual"/>
        </w:rPr>
        <w:t>, previsto no art. 118 do Decreto 3.048/99.</w:t>
      </w:r>
    </w:p>
    <w:p w14:paraId="7951AF6F" w14:textId="77777777" w:rsidR="005A5FCC" w:rsidRDefault="00A21C81">
      <w:pPr>
        <w:ind w:firstLine="238"/>
      </w:pPr>
      <w:r>
        <w:rPr>
          <w:rFonts w:cs="EB Garamond"/>
          <w:kern w:val="16"/>
          <w14:ligatures w14:val="standardContextual"/>
        </w:rPr>
        <w:t>O atestado carcerário deve ser emitido pelo diretor do estabelecimento penal (ou autoridade competente) e apresentado ao INSS a cada 90 dias (trimestral). O documento deve conter, no mínimo: (i) identificação do preso (nome completo, CPF, número de matrícula penal); (ii) confirmação de que o segurado permanece recolhido; (iii) indicação do regime prisional vigente (fechado ou semiaberto); (iv) data de emissão e assinatura da autoridade competente.</w:t>
      </w:r>
    </w:p>
    <w:p w14:paraId="4DC43753" w14:textId="77777777" w:rsidR="005A5FCC" w:rsidRDefault="00A21C81">
      <w:pPr>
        <w:ind w:firstLine="238"/>
      </w:pPr>
      <w:r>
        <w:rPr>
          <w:rFonts w:cs="EB Garamond"/>
          <w:kern w:val="16"/>
          <w14:ligatures w14:val="standardContextual"/>
        </w:rPr>
        <w:t xml:space="preserve">A não apresentação do atestado carcerário no prazo regulamentar acarreta a </w:t>
      </w:r>
      <w:r>
        <w:rPr>
          <w:rFonts w:cs="EB Garamond"/>
          <w:b/>
          <w:kern w:val="16"/>
          <w14:ligatures w14:val="standardContextual"/>
        </w:rPr>
        <w:t>suspensão</w:t>
      </w:r>
      <w:r>
        <w:rPr>
          <w:rFonts w:cs="EB Garamond"/>
          <w:kern w:val="16"/>
          <w14:ligatures w14:val="standardContextual"/>
        </w:rPr>
        <w:t xml:space="preserve"> do benefício, não sua cessação automática. Essa distinção é relevante: a suspensão é medida provisória, que pode ser revertida com a apresentação do </w:t>
      </w:r>
      <w:r>
        <w:rPr>
          <w:rFonts w:cs="EB Garamond"/>
          <w:kern w:val="16"/>
          <w14:ligatures w14:val="standardContextual"/>
        </w:rPr>
        <w:lastRenderedPageBreak/>
        <w:t>documento em atraso; a cessação é definitiva, exigindo novo requerimento. A prática dos JEFs revela que muitos dependentes enfrentam dificuldades para obter o atestado no prazo, especialmente quando o preso é transferido entre estabelecimentos ou quando o sistema penitenciário é ineficiente na emissão de documentos.</w:t>
      </w:r>
    </w:p>
    <w:tbl>
      <w:tblPr>
        <w:tblW w:w="5000" w:type="pct"/>
        <w:jc w:val="center"/>
        <w:tblLayout w:type="fixed"/>
        <w:tblLook w:val="04A0" w:firstRow="1" w:lastRow="0" w:firstColumn="1" w:lastColumn="0" w:noHBand="0" w:noVBand="1"/>
      </w:tblPr>
      <w:tblGrid>
        <w:gridCol w:w="6311"/>
      </w:tblGrid>
      <w:tr w:rsidR="005A5FCC" w14:paraId="1B59F906"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7B8B4AAF"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29BD0C1E" w14:textId="77777777" w:rsidR="005A5FCC" w:rsidRDefault="00A21C81">
            <w:pPr>
              <w:spacing w:after="60" w:line="247" w:lineRule="auto"/>
            </w:pPr>
            <w:r>
              <w:rPr>
                <w:rFonts w:cs="EB Garamond"/>
                <w:b/>
                <w:kern w:val="16"/>
                <w:sz w:val="19"/>
                <w14:ligatures w14:val="standardContextual"/>
              </w:rPr>
              <w:t>Checklist: manutenção trimestral do auxílio-reclusão</w:t>
            </w:r>
          </w:p>
          <w:p w14:paraId="5486AE25" w14:textId="77777777" w:rsidR="005A5FCC" w:rsidRDefault="00A21C81">
            <w:pPr>
              <w:spacing w:after="60" w:line="247" w:lineRule="auto"/>
            </w:pPr>
            <w:r>
              <w:rPr>
                <w:rFonts w:cs="EB Garamond"/>
                <w:kern w:val="16"/>
                <w:sz w:val="19"/>
                <w14:ligatures w14:val="standardContextual"/>
              </w:rPr>
              <w:t>A cada 90 dias, o dependente deve:</w:t>
            </w:r>
          </w:p>
          <w:p w14:paraId="4DD393B6" w14:textId="77777777" w:rsidR="005A5FCC" w:rsidRDefault="00A21C81">
            <w:pPr>
              <w:spacing w:after="30" w:line="240" w:lineRule="auto"/>
              <w:ind w:left="227" w:hanging="142"/>
            </w:pPr>
            <w:r>
              <w:rPr>
                <w:rFonts w:cs="EB Garamond"/>
                <w:kern w:val="16"/>
                <w:sz w:val="19"/>
                <w14:ligatures w14:val="standardContextual"/>
              </w:rPr>
              <w:t>• [ ] Obter o atestado carcerário junto ao estabelecimento penal</w:t>
            </w:r>
          </w:p>
          <w:p w14:paraId="48D697E4" w14:textId="77777777" w:rsidR="005A5FCC" w:rsidRDefault="00A21C81">
            <w:pPr>
              <w:spacing w:after="30" w:line="240" w:lineRule="auto"/>
              <w:ind w:left="227" w:hanging="142"/>
            </w:pPr>
            <w:r>
              <w:rPr>
                <w:rFonts w:cs="EB Garamond"/>
                <w:kern w:val="16"/>
                <w:sz w:val="19"/>
                <w14:ligatures w14:val="standardContextual"/>
              </w:rPr>
              <w:t>• [ ] Verificar se o atestado contém: nome do preso, CPF, regime prisional, data</w:t>
            </w:r>
          </w:p>
          <w:p w14:paraId="6B8DD972" w14:textId="77777777" w:rsidR="005A5FCC" w:rsidRDefault="00A21C81">
            <w:pPr>
              <w:spacing w:after="30" w:line="240" w:lineRule="auto"/>
              <w:ind w:left="227" w:hanging="142"/>
            </w:pPr>
            <w:r>
              <w:rPr>
                <w:rFonts w:cs="EB Garamond"/>
                <w:kern w:val="16"/>
                <w:sz w:val="19"/>
                <w14:ligatures w14:val="standardContextual"/>
              </w:rPr>
              <w:t>• [ ] Apresentar o atestado ao INSS (agência, Meu INSS ou correspondente bancário)</w:t>
            </w:r>
          </w:p>
          <w:p w14:paraId="3BDBDF87" w14:textId="77777777" w:rsidR="005A5FCC" w:rsidRDefault="00A21C81">
            <w:pPr>
              <w:spacing w:after="30" w:line="240" w:lineRule="auto"/>
              <w:ind w:left="227" w:hanging="142"/>
            </w:pPr>
            <w:r>
              <w:rPr>
                <w:rFonts w:cs="EB Garamond"/>
                <w:kern w:val="16"/>
                <w:sz w:val="19"/>
                <w14:ligatures w14:val="standardContextual"/>
              </w:rPr>
              <w:t>• [ ] Guardar cópia protocolada do atestado entregue</w:t>
            </w:r>
          </w:p>
          <w:p w14:paraId="7D1B1448" w14:textId="77777777" w:rsidR="005A5FCC" w:rsidRDefault="00A21C81">
            <w:pPr>
              <w:spacing w:after="30" w:line="240" w:lineRule="auto"/>
              <w:ind w:left="227" w:hanging="142"/>
            </w:pPr>
            <w:r>
              <w:rPr>
                <w:rFonts w:cs="EB Garamond"/>
                <w:kern w:val="16"/>
                <w:sz w:val="19"/>
                <w14:ligatures w14:val="standardContextual"/>
              </w:rPr>
              <w:t>• [ ] Em caso de transferência do preso: obter novo atestado do estabelecimento de destino</w:t>
            </w:r>
          </w:p>
          <w:p w14:paraId="12E610FC" w14:textId="77777777" w:rsidR="005A5FCC" w:rsidRDefault="00A21C81">
            <w:pPr>
              <w:spacing w:after="30" w:line="240" w:lineRule="auto"/>
              <w:ind w:left="227" w:hanging="142"/>
            </w:pPr>
            <w:r>
              <w:rPr>
                <w:rFonts w:cs="EB Garamond"/>
                <w:kern w:val="16"/>
                <w:sz w:val="19"/>
                <w14:ligatures w14:val="standardContextual"/>
              </w:rPr>
              <w:t>• [ ] Em caso de dificuldade de obtenção: solicitar ao defensor público ou advogado que oficie o estabelecimento penal</w:t>
            </w:r>
          </w:p>
          <w:p w14:paraId="1F264CB8" w14:textId="77777777" w:rsidR="005A5FCC" w:rsidRDefault="00A21C81">
            <w:pPr>
              <w:spacing w:after="60" w:line="247" w:lineRule="auto"/>
            </w:pPr>
            <w:r>
              <w:rPr>
                <w:rFonts w:cs="EB Garamond"/>
                <w:b/>
                <w:kern w:val="16"/>
                <w:sz w:val="19"/>
                <w14:ligatures w14:val="standardContextual"/>
              </w:rPr>
              <w:t>Prazos críticos:</w:t>
            </w:r>
            <w:r>
              <w:rPr>
                <w:rFonts w:cs="EB Garamond"/>
                <w:kern w:val="16"/>
                <w:sz w:val="19"/>
                <w14:ligatures w14:val="standardContextual"/>
              </w:rPr>
              <w:t xml:space="preserve"> - Apresentação: a cada 90 dias contados da concessão ou da última apresentação - Tolerância: o INSS geralmente concede 30 dias adicionais antes da suspensão - Suspensão: reversível com a apresentação do atestado em atraso - Cessação por não apresentação: somente após 6 meses de suspensão (posição administrativa do INSS)</w:t>
            </w:r>
          </w:p>
        </w:tc>
      </w:tr>
    </w:tbl>
    <w:p w14:paraId="65B32E46" w14:textId="77777777" w:rsidR="005A5FCC" w:rsidRDefault="005A5FCC">
      <w:pPr>
        <w:spacing w:after="80" w:line="240" w:lineRule="auto"/>
      </w:pPr>
    </w:p>
    <w:tbl>
      <w:tblPr>
        <w:tblW w:w="5000" w:type="pct"/>
        <w:jc w:val="center"/>
        <w:tblLayout w:type="fixed"/>
        <w:tblLook w:val="04A0" w:firstRow="1" w:lastRow="0" w:firstColumn="1" w:lastColumn="0" w:noHBand="0" w:noVBand="1"/>
      </w:tblPr>
      <w:tblGrid>
        <w:gridCol w:w="6311"/>
      </w:tblGrid>
      <w:tr w:rsidR="005A5FCC" w14:paraId="3914972B"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26031E21" w14:textId="77777777" w:rsidR="005A5FCC" w:rsidRDefault="00A21C81">
            <w:pPr>
              <w:spacing w:after="60" w:line="240" w:lineRule="auto"/>
              <w:jc w:val="left"/>
            </w:pPr>
            <w:r>
              <w:rPr>
                <w:rFonts w:ascii="Noto Sans" w:hAnsi="Noto Sans" w:cs="Noto Sans"/>
                <w:b/>
                <w:caps/>
                <w:color w:val="B78B37"/>
                <w:kern w:val="16"/>
                <w:sz w:val="16"/>
                <w14:ligatures w14:val="standardContextual"/>
              </w:rPr>
              <w:lastRenderedPageBreak/>
              <w:t>ATENÇÃO</w:t>
            </w:r>
          </w:p>
          <w:p w14:paraId="60A7A4A3" w14:textId="77777777" w:rsidR="005A5FCC" w:rsidRDefault="00A21C81">
            <w:pPr>
              <w:spacing w:after="60" w:line="247" w:lineRule="auto"/>
            </w:pPr>
            <w:r>
              <w:rPr>
                <w:rFonts w:cs="EB Garamond"/>
                <w:b/>
                <w:kern w:val="16"/>
                <w:sz w:val="19"/>
                <w14:ligatures w14:val="standardContextual"/>
              </w:rPr>
              <w:t>Consequência da não apresentação do atestado</w:t>
            </w:r>
          </w:p>
          <w:p w14:paraId="1A63FA74" w14:textId="77777777" w:rsidR="005A5FCC" w:rsidRDefault="00A21C81">
            <w:pPr>
              <w:spacing w:after="60" w:line="247" w:lineRule="auto"/>
            </w:pPr>
            <w:r>
              <w:rPr>
                <w:rFonts w:cs="EB Garamond"/>
                <w:kern w:val="16"/>
                <w:sz w:val="19"/>
                <w14:ligatures w14:val="standardContextual"/>
              </w:rPr>
              <w:t xml:space="preserve">A não apresentação do atestado carcerário no prazo gera </w:t>
            </w:r>
            <w:r>
              <w:rPr>
                <w:rFonts w:cs="EB Garamond"/>
                <w:b/>
                <w:kern w:val="16"/>
                <w:sz w:val="19"/>
                <w14:ligatures w14:val="standardContextual"/>
              </w:rPr>
              <w:t>suspensão</w:t>
            </w:r>
            <w:r>
              <w:rPr>
                <w:rFonts w:cs="EB Garamond"/>
                <w:kern w:val="16"/>
                <w:sz w:val="19"/>
                <w14:ligatures w14:val="standardContextual"/>
              </w:rPr>
              <w:t xml:space="preserve"> do benefício, com as seguintes consequências:</w:t>
            </w:r>
          </w:p>
          <w:p w14:paraId="088BE393" w14:textId="77777777" w:rsidR="005A5FCC" w:rsidRDefault="00A21C81">
            <w:pPr>
              <w:spacing w:after="30" w:line="240" w:lineRule="auto"/>
              <w:ind w:left="227" w:hanging="142"/>
            </w:pPr>
            <w:r>
              <w:rPr>
                <w:rFonts w:cs="EB Garamond"/>
                <w:kern w:val="16"/>
                <w:sz w:val="19"/>
                <w14:ligatures w14:val="standardContextual"/>
              </w:rPr>
              <w:t>1. O pagamento é interrompido no mês seguinte ao vencimento do prazo</w:t>
            </w:r>
          </w:p>
          <w:p w14:paraId="79A6310D" w14:textId="77777777" w:rsidR="005A5FCC" w:rsidRDefault="00A21C81">
            <w:pPr>
              <w:spacing w:after="30" w:line="240" w:lineRule="auto"/>
              <w:ind w:left="227" w:hanging="142"/>
            </w:pPr>
            <w:r>
              <w:rPr>
                <w:rFonts w:cs="EB Garamond"/>
                <w:kern w:val="16"/>
                <w:sz w:val="19"/>
                <w14:ligatures w14:val="standardContextual"/>
              </w:rPr>
              <w:t>2. O dependente não recebe o benefício durante o período de suspensão</w:t>
            </w:r>
          </w:p>
          <w:p w14:paraId="77B4B7D4" w14:textId="77777777" w:rsidR="005A5FCC" w:rsidRDefault="00A21C81">
            <w:pPr>
              <w:spacing w:after="30" w:line="240" w:lineRule="auto"/>
              <w:ind w:left="227" w:hanging="142"/>
            </w:pPr>
            <w:r>
              <w:rPr>
                <w:rFonts w:cs="EB Garamond"/>
                <w:kern w:val="16"/>
                <w:sz w:val="19"/>
                <w14:ligatures w14:val="standardContextual"/>
              </w:rPr>
              <w:t xml:space="preserve">3. Os valores referentes ao período de suspensão </w:t>
            </w:r>
            <w:r>
              <w:rPr>
                <w:rFonts w:cs="EB Garamond"/>
                <w:b/>
                <w:kern w:val="16"/>
                <w:sz w:val="19"/>
                <w14:ligatures w14:val="standardContextual"/>
              </w:rPr>
              <w:t>podem ser pagos retroativamente</w:t>
            </w:r>
            <w:r>
              <w:rPr>
                <w:rFonts w:cs="EB Garamond"/>
                <w:kern w:val="16"/>
                <w:sz w:val="19"/>
                <w14:ligatures w14:val="standardContextual"/>
              </w:rPr>
              <w:t xml:space="preserve"> se o atestado for apresentado posteriormente (desde que comprove que o segurado permaneceu preso durante todo o período)</w:t>
            </w:r>
          </w:p>
          <w:p w14:paraId="6AFD46CF" w14:textId="77777777" w:rsidR="005A5FCC" w:rsidRDefault="00A21C81">
            <w:pPr>
              <w:spacing w:after="30" w:line="240" w:lineRule="auto"/>
              <w:ind w:left="227" w:hanging="142"/>
            </w:pPr>
            <w:r>
              <w:rPr>
                <w:rFonts w:cs="EB Garamond"/>
                <w:kern w:val="16"/>
                <w:sz w:val="19"/>
                <w14:ligatures w14:val="standardContextual"/>
              </w:rPr>
              <w:t>4. Se a suspensão perdurar por mais de 6 meses sem apresentação de atestado, o INSS pode cessar o benefício</w:t>
            </w:r>
          </w:p>
          <w:p w14:paraId="11926AB7" w14:textId="77777777" w:rsidR="005A5FCC" w:rsidRDefault="00A21C81">
            <w:pPr>
              <w:spacing w:after="60" w:line="247" w:lineRule="auto"/>
            </w:pPr>
            <w:r>
              <w:rPr>
                <w:rFonts w:cs="EB Garamond"/>
                <w:b/>
                <w:kern w:val="16"/>
                <w:sz w:val="19"/>
                <w14:ligatures w14:val="standardContextual"/>
              </w:rPr>
              <w:t>Situações especiais:</w:t>
            </w:r>
            <w:r>
              <w:rPr>
                <w:rFonts w:cs="EB Garamond"/>
                <w:kern w:val="16"/>
                <w:sz w:val="19"/>
                <w14:ligatures w14:val="standardContextual"/>
              </w:rPr>
              <w:t xml:space="preserve"> - Preso transferido: o atestado do novo estabelecimento supre a exigência - Estabelecimento que se recusa a emitir: oficiar judicialmente via defensor público ou advogado - Sistema informatizado do INSS (prisão): em algumas localidades, o INSS acessa diretamente os dados do sistema penitenciário, dispensando a apresentação física</w:t>
            </w:r>
          </w:p>
        </w:tc>
      </w:tr>
    </w:tbl>
    <w:p w14:paraId="65F8184C" w14:textId="77777777" w:rsidR="005A5FCC" w:rsidRDefault="005A5FCC">
      <w:pPr>
        <w:spacing w:after="80" w:line="240" w:lineRule="auto"/>
      </w:pPr>
    </w:p>
    <w:p w14:paraId="79C906FA"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14.16 Cessação, suspensão e restabelecimento</w:t>
      </w:r>
    </w:p>
    <w:p w14:paraId="301DB03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7DFCF594" w14:textId="77777777" w:rsidR="005A5FCC" w:rsidRDefault="00A21C81">
      <w:r>
        <w:rPr>
          <w:rFonts w:cs="EB Garamond"/>
          <w:kern w:val="16"/>
          <w14:ligatures w14:val="standardContextual"/>
        </w:rPr>
        <w:t xml:space="preserve"> auxílio-reclusão cessa nas hipóteses previstas no art. 117 do Decreto 3.048/99, que guardam paralelismo com as causas de cessação da pensão por morte (Cap. 19), acrescidas de causas específicas do contexto penitenciário. A distinção entre cessação (definitiva) e suspensão (provisória), frequentemente confundida na prática administrativa, tem consequências diretas na continuidade do pagamento.</w:t>
      </w:r>
    </w:p>
    <w:p w14:paraId="6C662E4B" w14:textId="77777777" w:rsidR="005A5FCC" w:rsidRDefault="00A21C81">
      <w:pPr>
        <w:ind w:firstLine="238"/>
      </w:pPr>
      <w:r>
        <w:rPr>
          <w:rFonts w:cs="EB Garamond"/>
          <w:b/>
          <w:kern w:val="16"/>
          <w14:ligatures w14:val="standardContextual"/>
        </w:rPr>
        <w:t>Hipóteses de cessação definitiva:</w:t>
      </w:r>
    </w:p>
    <w:p w14:paraId="270AD315" w14:textId="77777777" w:rsidR="005A5FCC" w:rsidRDefault="00A21C81">
      <w:pPr>
        <w:spacing w:after="40" w:line="252" w:lineRule="auto"/>
        <w:ind w:left="340" w:hanging="198"/>
      </w:pPr>
      <w:r>
        <w:rPr>
          <w:rFonts w:cs="EB Garamond"/>
          <w:color w:val="3A3128"/>
          <w:kern w:val="16"/>
          <w:sz w:val="20"/>
          <w14:ligatures w14:val="standardContextual"/>
        </w:rPr>
        <w:t xml:space="preserve">1. </w:t>
      </w:r>
      <w:r>
        <w:rPr>
          <w:rFonts w:cs="EB Garamond"/>
          <w:b/>
          <w:kern w:val="16"/>
          <w:sz w:val="20"/>
          <w14:ligatures w14:val="standardContextual"/>
        </w:rPr>
        <w:t>Soltura do segurado.</w:t>
      </w:r>
      <w:r>
        <w:rPr>
          <w:rFonts w:cs="EB Garamond"/>
          <w:kern w:val="16"/>
          <w:sz w:val="20"/>
          <w14:ligatures w14:val="standardContextual"/>
        </w:rPr>
        <w:t xml:space="preserve"> A libertação do segurado, a qualquer título (cumprimento da pena, indulto, comutação, anistia, livramento condicional, alvará de soltura, habeas corpus), extingue o fato gerador e, consequentemente, o benefício. A cessação opera-se a partir da data da efetiva soltura.</w:t>
      </w:r>
    </w:p>
    <w:p w14:paraId="65508C64" w14:textId="77777777" w:rsidR="005A5FCC" w:rsidRDefault="005A5FCC">
      <w:pPr>
        <w:spacing w:after="60" w:line="240" w:lineRule="auto"/>
      </w:pPr>
    </w:p>
    <w:p w14:paraId="5E26C845" w14:textId="4F1E01D2" w:rsidR="005A5FCC" w:rsidRDefault="005E1D2D">
      <w:pPr>
        <w:spacing w:after="40" w:line="252" w:lineRule="auto"/>
        <w:ind w:left="340" w:hanging="198"/>
      </w:pPr>
      <w:r>
        <w:rPr>
          <w:rFonts w:cs="EB Garamond"/>
          <w:color w:val="3A3128"/>
          <w:kern w:val="16"/>
          <w:sz w:val="20"/>
          <w14:ligatures w14:val="standardContextual"/>
        </w:rPr>
        <w:lastRenderedPageBreak/>
        <w:t>2</w:t>
      </w:r>
      <w:r w:rsidR="00A21C81">
        <w:rPr>
          <w:rFonts w:cs="EB Garamond"/>
          <w:color w:val="3A3128"/>
          <w:kern w:val="16"/>
          <w:sz w:val="20"/>
          <w14:ligatures w14:val="standardContextual"/>
        </w:rPr>
        <w:t xml:space="preserve">. </w:t>
      </w:r>
      <w:r w:rsidR="00A21C81">
        <w:rPr>
          <w:rFonts w:cs="EB Garamond"/>
          <w:b/>
          <w:kern w:val="16"/>
          <w:sz w:val="20"/>
          <w14:ligatures w14:val="standardContextual"/>
        </w:rPr>
        <w:t>Óbito do segurado.</w:t>
      </w:r>
      <w:r w:rsidR="00A21C81">
        <w:rPr>
          <w:rFonts w:cs="EB Garamond"/>
          <w:kern w:val="16"/>
          <w:sz w:val="20"/>
          <w14:ligatures w14:val="standardContextual"/>
        </w:rPr>
        <w:t xml:space="preserve"> A morte do segurado preso cessa o auxílio-reclusão, que é automaticamente convertido em </w:t>
      </w:r>
      <w:r w:rsidR="00A21C81">
        <w:rPr>
          <w:rFonts w:cs="EB Garamond"/>
          <w:b/>
          <w:kern w:val="16"/>
          <w:sz w:val="20"/>
          <w14:ligatures w14:val="standardContextual"/>
        </w:rPr>
        <w:t>pensão por morte</w:t>
      </w:r>
      <w:r w:rsidR="00A21C81">
        <w:rPr>
          <w:rFonts w:cs="EB Garamond"/>
          <w:kern w:val="16"/>
          <w:sz w:val="20"/>
          <w14:ligatures w14:val="standardContextual"/>
        </w:rPr>
        <w:t xml:space="preserve"> (art. 80, parágrafo único, Lei 8.213/91). Essa conversão é automática e não exige novo requerimento, embora em termos operacionais o INSS frequentemente imponha procedimento burocrático de cessação do AR e novo requerimento de pensão por morte. A jurisprudência é firme no sentido de que a conversão deve ser automática, sem solução de continuidade.</w:t>
      </w:r>
    </w:p>
    <w:p w14:paraId="10DDE725" w14:textId="77777777" w:rsidR="005A5FCC" w:rsidRDefault="005A5FCC">
      <w:pPr>
        <w:spacing w:after="60" w:line="240" w:lineRule="auto"/>
      </w:pPr>
    </w:p>
    <w:p w14:paraId="2BF93562" w14:textId="13D6E8D3" w:rsidR="005A5FCC" w:rsidRDefault="005E1D2D">
      <w:pPr>
        <w:spacing w:after="40" w:line="252" w:lineRule="auto"/>
        <w:ind w:left="340" w:hanging="198"/>
      </w:pPr>
      <w:r>
        <w:rPr>
          <w:rFonts w:cs="EB Garamond"/>
          <w:color w:val="3A3128"/>
          <w:kern w:val="16"/>
          <w:sz w:val="20"/>
          <w14:ligatures w14:val="standardContextual"/>
        </w:rPr>
        <w:t>3</w:t>
      </w:r>
      <w:r w:rsidR="00A21C81">
        <w:rPr>
          <w:rFonts w:cs="EB Garamond"/>
          <w:color w:val="3A3128"/>
          <w:kern w:val="16"/>
          <w:sz w:val="20"/>
          <w14:ligatures w14:val="standardContextual"/>
        </w:rPr>
        <w:t xml:space="preserve">. </w:t>
      </w:r>
      <w:r w:rsidR="00A21C81">
        <w:rPr>
          <w:rFonts w:cs="EB Garamond"/>
          <w:b/>
          <w:kern w:val="16"/>
          <w:sz w:val="20"/>
          <w14:ligatures w14:val="standardContextual"/>
        </w:rPr>
        <w:t>Progressão ao regime aberto.</w:t>
      </w:r>
      <w:r w:rsidR="00A21C81">
        <w:rPr>
          <w:rFonts w:cs="EB Garamond"/>
          <w:kern w:val="16"/>
          <w:sz w:val="20"/>
          <w14:ligatures w14:val="standardContextual"/>
        </w:rPr>
        <w:t xml:space="preserve"> No regime pós-EC 103, quando o segurado progride para regime aberto, o AR cessa, por vedação constitucional expressa (art. 201, § 5º, CF).</w:t>
      </w:r>
    </w:p>
    <w:p w14:paraId="1281BA42" w14:textId="77777777" w:rsidR="005A5FCC" w:rsidRDefault="005A5FCC">
      <w:pPr>
        <w:spacing w:after="60" w:line="240" w:lineRule="auto"/>
      </w:pPr>
    </w:p>
    <w:p w14:paraId="15D33EA9" w14:textId="0141ECFF" w:rsidR="005A5FCC" w:rsidRDefault="00350A3C">
      <w:pPr>
        <w:spacing w:after="40" w:line="252" w:lineRule="auto"/>
        <w:ind w:left="340" w:hanging="198"/>
      </w:pPr>
      <w:r>
        <w:rPr>
          <w:rFonts w:cs="EB Garamond"/>
          <w:color w:val="3A3128"/>
          <w:kern w:val="16"/>
          <w:sz w:val="20"/>
          <w14:ligatures w14:val="standardContextual"/>
        </w:rPr>
        <w:t>4</w:t>
      </w:r>
      <w:r w:rsidR="00A21C81">
        <w:rPr>
          <w:rFonts w:cs="EB Garamond"/>
          <w:color w:val="3A3128"/>
          <w:kern w:val="16"/>
          <w:sz w:val="20"/>
          <w14:ligatures w14:val="standardContextual"/>
        </w:rPr>
        <w:t xml:space="preserve">. </w:t>
      </w:r>
      <w:r w:rsidR="00A21C81">
        <w:rPr>
          <w:rFonts w:cs="EB Garamond"/>
          <w:b/>
          <w:kern w:val="16"/>
          <w:sz w:val="20"/>
          <w14:ligatures w14:val="standardContextual"/>
        </w:rPr>
        <w:t>Óbito do dependente.</w:t>
      </w:r>
      <w:r w:rsidR="00A21C81">
        <w:rPr>
          <w:rFonts w:cs="EB Garamond"/>
          <w:kern w:val="16"/>
          <w:sz w:val="20"/>
          <w14:ligatures w14:val="standardContextual"/>
        </w:rPr>
        <w:t xml:space="preserve"> A morte do dependente titular cessa sua cota no benefício. Se há outros dependentes da mesma classe, o rateio é reajustado.</w:t>
      </w:r>
    </w:p>
    <w:p w14:paraId="64179436" w14:textId="77777777" w:rsidR="005A5FCC" w:rsidRDefault="005A5FCC">
      <w:pPr>
        <w:spacing w:after="60" w:line="240" w:lineRule="auto"/>
      </w:pPr>
    </w:p>
    <w:p w14:paraId="779DCC02" w14:textId="47AF13AE" w:rsidR="005A5FCC" w:rsidRDefault="00350A3C">
      <w:pPr>
        <w:spacing w:after="40" w:line="252" w:lineRule="auto"/>
        <w:ind w:left="340" w:hanging="198"/>
      </w:pPr>
      <w:r>
        <w:rPr>
          <w:rFonts w:cs="EB Garamond"/>
          <w:color w:val="3A3128"/>
          <w:kern w:val="16"/>
          <w:sz w:val="20"/>
          <w14:ligatures w14:val="standardContextual"/>
        </w:rPr>
        <w:t>5</w:t>
      </w:r>
      <w:r w:rsidR="00A21C81">
        <w:rPr>
          <w:rFonts w:cs="EB Garamond"/>
          <w:color w:val="3A3128"/>
          <w:kern w:val="16"/>
          <w:sz w:val="20"/>
          <w14:ligatures w14:val="standardContextual"/>
        </w:rPr>
        <w:t xml:space="preserve">. </w:t>
      </w:r>
      <w:r w:rsidR="00A21C81">
        <w:rPr>
          <w:rFonts w:cs="EB Garamond"/>
          <w:b/>
          <w:kern w:val="16"/>
          <w:sz w:val="20"/>
          <w14:ligatures w14:val="standardContextual"/>
        </w:rPr>
        <w:t>Maioridade do filho.</w:t>
      </w:r>
      <w:r w:rsidR="00A21C81">
        <w:rPr>
          <w:rFonts w:cs="EB Garamond"/>
          <w:kern w:val="16"/>
          <w:sz w:val="20"/>
          <w14:ligatures w14:val="standardContextual"/>
        </w:rPr>
        <w:t xml:space="preserve"> O filho dependente que atinge 21 anos (se não for inválido ou deficiente) perde a qualidade de dependente, cessando sua cota.</w:t>
      </w:r>
    </w:p>
    <w:p w14:paraId="7BA8543F" w14:textId="77777777" w:rsidR="005A5FCC" w:rsidRDefault="005A5FCC">
      <w:pPr>
        <w:spacing w:after="60" w:line="240" w:lineRule="auto"/>
      </w:pPr>
    </w:p>
    <w:p w14:paraId="03B4E7E8" w14:textId="78E5E579" w:rsidR="005A5FCC" w:rsidRDefault="00350A3C">
      <w:pPr>
        <w:spacing w:after="40" w:line="252" w:lineRule="auto"/>
        <w:ind w:left="340" w:hanging="198"/>
      </w:pPr>
      <w:r>
        <w:rPr>
          <w:rFonts w:cs="EB Garamond"/>
          <w:color w:val="3A3128"/>
          <w:kern w:val="16"/>
          <w:sz w:val="20"/>
          <w14:ligatures w14:val="standardContextual"/>
        </w:rPr>
        <w:t>6</w:t>
      </w:r>
      <w:r w:rsidR="00A21C81">
        <w:rPr>
          <w:rFonts w:cs="EB Garamond"/>
          <w:color w:val="3A3128"/>
          <w:kern w:val="16"/>
          <w:sz w:val="20"/>
          <w14:ligatures w14:val="standardContextual"/>
        </w:rPr>
        <w:t xml:space="preserve">. </w:t>
      </w:r>
      <w:r w:rsidR="00A21C81">
        <w:rPr>
          <w:rFonts w:cs="EB Garamond"/>
          <w:b/>
          <w:kern w:val="16"/>
          <w:sz w:val="20"/>
          <w14:ligatures w14:val="standardContextual"/>
        </w:rPr>
        <w:t>Emancipação.</w:t>
      </w:r>
      <w:r w:rsidR="00A21C81">
        <w:rPr>
          <w:rFonts w:cs="EB Garamond"/>
          <w:kern w:val="16"/>
          <w:sz w:val="20"/>
          <w14:ligatures w14:val="standardContextual"/>
        </w:rPr>
        <w:t xml:space="preserve"> O filho emancipado antes dos 21 anos perde a qualidade de dependente.</w:t>
      </w:r>
    </w:p>
    <w:p w14:paraId="4E315BDD" w14:textId="77777777" w:rsidR="005A5FCC" w:rsidRDefault="005A5FCC">
      <w:pPr>
        <w:spacing w:after="60" w:line="240" w:lineRule="auto"/>
      </w:pPr>
    </w:p>
    <w:p w14:paraId="569E0A0C" w14:textId="15E91EAE" w:rsidR="005A5FCC" w:rsidRDefault="00350A3C">
      <w:pPr>
        <w:spacing w:after="40" w:line="252" w:lineRule="auto"/>
        <w:ind w:left="340" w:hanging="198"/>
      </w:pPr>
      <w:r>
        <w:rPr>
          <w:rFonts w:cs="EB Garamond"/>
          <w:color w:val="3A3128"/>
          <w:kern w:val="16"/>
          <w:sz w:val="20"/>
          <w14:ligatures w14:val="standardContextual"/>
        </w:rPr>
        <w:t>7</w:t>
      </w:r>
      <w:r w:rsidR="00A21C81">
        <w:rPr>
          <w:rFonts w:cs="EB Garamond"/>
          <w:color w:val="3A3128"/>
          <w:kern w:val="16"/>
          <w:sz w:val="20"/>
          <w14:ligatures w14:val="standardContextual"/>
        </w:rPr>
        <w:t xml:space="preserve">. </w:t>
      </w:r>
      <w:r w:rsidR="00A21C81">
        <w:rPr>
          <w:rFonts w:cs="EB Garamond"/>
          <w:b/>
          <w:kern w:val="16"/>
          <w:sz w:val="20"/>
          <w14:ligatures w14:val="standardContextual"/>
        </w:rPr>
        <w:t>Cessação da invalidez/deficiência.</w:t>
      </w:r>
      <w:r w:rsidR="00A21C81">
        <w:rPr>
          <w:rFonts w:cs="EB Garamond"/>
          <w:kern w:val="16"/>
          <w:sz w:val="20"/>
          <w14:ligatures w14:val="standardContextual"/>
        </w:rPr>
        <w:t xml:space="preserve"> O dependente inválido ou deficiente que recupera a capacidade perde a qualidade de dependente.</w:t>
      </w:r>
    </w:p>
    <w:p w14:paraId="07F44342" w14:textId="77777777" w:rsidR="005A5FCC" w:rsidRDefault="005A5FCC">
      <w:pPr>
        <w:spacing w:after="60" w:line="240" w:lineRule="auto"/>
      </w:pPr>
    </w:p>
    <w:p w14:paraId="40C4E6BC" w14:textId="6AFACBAB" w:rsidR="005A5FCC" w:rsidRDefault="00350A3C">
      <w:pPr>
        <w:spacing w:after="40" w:line="252" w:lineRule="auto"/>
        <w:ind w:left="340" w:hanging="198"/>
      </w:pPr>
      <w:r>
        <w:rPr>
          <w:rFonts w:cs="EB Garamond"/>
          <w:color w:val="3A3128"/>
          <w:kern w:val="16"/>
          <w:sz w:val="20"/>
          <w14:ligatures w14:val="standardContextual"/>
        </w:rPr>
        <w:t>8</w:t>
      </w:r>
      <w:r w:rsidR="00A21C81">
        <w:rPr>
          <w:rFonts w:cs="EB Garamond"/>
          <w:color w:val="3A3128"/>
          <w:kern w:val="16"/>
          <w:sz w:val="20"/>
          <w14:ligatures w14:val="standardContextual"/>
        </w:rPr>
        <w:t xml:space="preserve">. </w:t>
      </w:r>
      <w:r w:rsidR="00A21C81">
        <w:rPr>
          <w:rFonts w:cs="EB Garamond"/>
          <w:b/>
          <w:kern w:val="16"/>
          <w:sz w:val="20"/>
          <w14:ligatures w14:val="standardContextual"/>
        </w:rPr>
        <w:t>Formação de nova família pelo cônjuge/companheiro.</w:t>
      </w:r>
      <w:r w:rsidR="00A21C81">
        <w:rPr>
          <w:rFonts w:cs="EB Garamond"/>
          <w:kern w:val="16"/>
          <w:sz w:val="20"/>
          <w14:ligatures w14:val="standardContextual"/>
        </w:rPr>
        <w:t xml:space="preserve"> O cônjuge ou companheiro que contrai novo casamento ou nova união estável perde o direito ao auxílio-reclusão, regra análoga à pensão por morte.</w:t>
      </w:r>
    </w:p>
    <w:p w14:paraId="5CD49722" w14:textId="77777777" w:rsidR="005A5FCC" w:rsidRDefault="005A5FCC">
      <w:pPr>
        <w:spacing w:after="60" w:line="240" w:lineRule="auto"/>
      </w:pPr>
    </w:p>
    <w:p w14:paraId="62B6CF3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H</w:t>
      </w:r>
    </w:p>
    <w:p w14:paraId="1A383EFC" w14:textId="77777777" w:rsidR="005A5FCC" w:rsidRDefault="00A21C81">
      <w:r>
        <w:rPr>
          <w:rFonts w:cs="EB Garamond"/>
          <w:b/>
          <w:kern w:val="16"/>
          <w14:ligatures w14:val="standardContextual"/>
        </w:rPr>
        <w:t>ipóteses de suspensão (provisória):</w:t>
      </w:r>
    </w:p>
    <w:p w14:paraId="7AD50064" w14:textId="77777777" w:rsidR="005A5FCC" w:rsidRDefault="00A21C81">
      <w:pPr>
        <w:spacing w:after="40" w:line="252" w:lineRule="auto"/>
        <w:ind w:left="340" w:hanging="198"/>
      </w:pPr>
      <w:r>
        <w:rPr>
          <w:rFonts w:cs="EB Garamond"/>
          <w:color w:val="3A3128"/>
          <w:kern w:val="16"/>
          <w:sz w:val="20"/>
          <w14:ligatures w14:val="standardContextual"/>
        </w:rPr>
        <w:t xml:space="preserve">1. </w:t>
      </w:r>
      <w:r>
        <w:rPr>
          <w:rFonts w:cs="EB Garamond"/>
          <w:b/>
          <w:kern w:val="16"/>
          <w:sz w:val="20"/>
          <w14:ligatures w14:val="standardContextual"/>
        </w:rPr>
        <w:t>Fuga do segurado.</w:t>
      </w:r>
      <w:r>
        <w:rPr>
          <w:rFonts w:cs="EB Garamond"/>
          <w:kern w:val="16"/>
          <w:sz w:val="20"/>
          <w14:ligatures w14:val="standardContextual"/>
        </w:rPr>
        <w:t xml:space="preserve"> A fuga suspende o benefício, que pode ser restabelecido em caso de recaptura. A suspensão opera-se a partir da data da fuga, e o restabelecimento, a partir da data da recaptura. Os valores referentes ao período de fuga não são pagos.</w:t>
      </w:r>
    </w:p>
    <w:p w14:paraId="587CFB08" w14:textId="77777777" w:rsidR="005A5FCC" w:rsidRDefault="005A5FCC">
      <w:pPr>
        <w:spacing w:after="60" w:line="240" w:lineRule="auto"/>
      </w:pPr>
    </w:p>
    <w:p w14:paraId="4DB741BD" w14:textId="4C14CE14" w:rsidR="005A5FCC" w:rsidRDefault="00350A3C">
      <w:pPr>
        <w:spacing w:after="40" w:line="252" w:lineRule="auto"/>
        <w:ind w:left="340" w:hanging="198"/>
      </w:pPr>
      <w:r>
        <w:rPr>
          <w:rFonts w:cs="EB Garamond"/>
          <w:color w:val="3A3128"/>
          <w:kern w:val="16"/>
          <w:sz w:val="20"/>
          <w14:ligatures w14:val="standardContextual"/>
        </w:rPr>
        <w:t>2</w:t>
      </w:r>
      <w:r w:rsidR="00A21C81">
        <w:rPr>
          <w:rFonts w:cs="EB Garamond"/>
          <w:color w:val="3A3128"/>
          <w:kern w:val="16"/>
          <w:sz w:val="20"/>
          <w14:ligatures w14:val="standardContextual"/>
        </w:rPr>
        <w:t xml:space="preserve">. </w:t>
      </w:r>
      <w:r w:rsidR="00A21C81">
        <w:rPr>
          <w:rFonts w:cs="EB Garamond"/>
          <w:b/>
          <w:kern w:val="16"/>
          <w:sz w:val="20"/>
          <w14:ligatures w14:val="standardContextual"/>
        </w:rPr>
        <w:t>Não apresentação do atestado carcerário.</w:t>
      </w:r>
      <w:r w:rsidR="00A21C81">
        <w:rPr>
          <w:rFonts w:cs="EB Garamond"/>
          <w:kern w:val="16"/>
          <w:sz w:val="20"/>
          <w14:ligatures w14:val="standardContextual"/>
        </w:rPr>
        <w:t xml:space="preserve"> A suspensão por não apresentação do atestado é reversível, conforme analisado na seção 14.15.</w:t>
      </w:r>
    </w:p>
    <w:p w14:paraId="0A61D5B7" w14:textId="77777777" w:rsidR="005A5FCC" w:rsidRDefault="005A5FCC">
      <w:pPr>
        <w:spacing w:after="60" w:line="240" w:lineRule="auto"/>
      </w:pPr>
    </w:p>
    <w:p w14:paraId="66509017" w14:textId="15ECFF8B" w:rsidR="005A5FCC" w:rsidRDefault="00350A3C">
      <w:pPr>
        <w:spacing w:after="40" w:line="252" w:lineRule="auto"/>
        <w:ind w:left="340" w:hanging="198"/>
      </w:pPr>
      <w:r>
        <w:rPr>
          <w:rFonts w:cs="EB Garamond"/>
          <w:color w:val="3A3128"/>
          <w:kern w:val="16"/>
          <w:sz w:val="20"/>
          <w14:ligatures w14:val="standardContextual"/>
        </w:rPr>
        <w:t>3</w:t>
      </w:r>
      <w:r w:rsidR="00A21C81">
        <w:rPr>
          <w:rFonts w:cs="EB Garamond"/>
          <w:color w:val="3A3128"/>
          <w:kern w:val="16"/>
          <w:sz w:val="20"/>
          <w14:ligatures w14:val="standardContextual"/>
        </w:rPr>
        <w:t xml:space="preserve">. </w:t>
      </w:r>
      <w:r w:rsidR="00A21C81">
        <w:rPr>
          <w:rFonts w:cs="EB Garamond"/>
          <w:b/>
          <w:kern w:val="16"/>
          <w:sz w:val="20"/>
          <w14:ligatures w14:val="standardContextual"/>
        </w:rPr>
        <w:t>Liberdade provisória.</w:t>
      </w:r>
      <w:r w:rsidR="00A21C81">
        <w:rPr>
          <w:rFonts w:cs="EB Garamond"/>
          <w:kern w:val="16"/>
          <w:sz w:val="20"/>
          <w14:ligatures w14:val="standardContextual"/>
        </w:rPr>
        <w:t xml:space="preserve"> A concessão de liberdade provisória (com ou sem fiança) suspende o benefício. Se a liberdade provisória é revogada e o segurado é novamente recolhido, o benefício pode ser restabelecido.</w:t>
      </w:r>
    </w:p>
    <w:p w14:paraId="3BB4AE8D" w14:textId="77777777" w:rsidR="005A5FCC" w:rsidRDefault="005A5FCC">
      <w:pPr>
        <w:spacing w:after="60" w:line="240" w:lineRule="auto"/>
      </w:pPr>
    </w:p>
    <w:tbl>
      <w:tblPr>
        <w:tblW w:w="5000" w:type="pct"/>
        <w:jc w:val="center"/>
        <w:tblLayout w:type="fixed"/>
        <w:tblLook w:val="04A0" w:firstRow="1" w:lastRow="0" w:firstColumn="1" w:lastColumn="0" w:noHBand="0" w:noVBand="1"/>
      </w:tblPr>
      <w:tblGrid>
        <w:gridCol w:w="6311"/>
      </w:tblGrid>
      <w:tr w:rsidR="005A5FCC" w14:paraId="0ABADC15"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1D993C27"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1AA57159" w14:textId="77777777" w:rsidR="005A5FCC" w:rsidRDefault="00A21C81">
            <w:pPr>
              <w:spacing w:after="60" w:line="247" w:lineRule="auto"/>
            </w:pPr>
            <w:r>
              <w:rPr>
                <w:rFonts w:cs="EB Garamond"/>
                <w:b/>
                <w:kern w:val="16"/>
                <w:sz w:val="19"/>
                <w14:ligatures w14:val="standardContextual"/>
              </w:rPr>
              <w:t>Fuga: suspensão ou cessação? DIVERGÊNCIA RELEVANTE</w:t>
            </w:r>
          </w:p>
          <w:p w14:paraId="57FA1A41" w14:textId="77777777" w:rsidR="005A5FCC" w:rsidRDefault="00A21C81">
            <w:pPr>
              <w:spacing w:after="60" w:line="247" w:lineRule="auto"/>
            </w:pPr>
            <w:r>
              <w:rPr>
                <w:rFonts w:cs="EB Garamond"/>
                <w:kern w:val="16"/>
                <w:sz w:val="19"/>
                <w14:ligatures w14:val="standardContextual"/>
              </w:rPr>
              <w:t>Há divergência significativa sobre os efeitos da fuga no auxílio-reclusão:</w:t>
            </w:r>
          </w:p>
          <w:p w14:paraId="30CE0EEC" w14:textId="77777777" w:rsidR="005A5FCC" w:rsidRDefault="00A21C81">
            <w:pPr>
              <w:spacing w:after="60" w:line="247" w:lineRule="auto"/>
            </w:pPr>
            <w:r>
              <w:rPr>
                <w:rFonts w:cs="EB Garamond"/>
                <w:b/>
                <w:kern w:val="16"/>
                <w:sz w:val="19"/>
                <w14:ligatures w14:val="standardContextual"/>
              </w:rPr>
              <w:t>Posição 1 — Suspensão (Decreto 3.048/99, art. 117):</w:t>
            </w:r>
            <w:r>
              <w:rPr>
                <w:rFonts w:cs="EB Garamond"/>
                <w:kern w:val="16"/>
                <w:sz w:val="19"/>
                <w14:ligatures w14:val="standardContextual"/>
              </w:rPr>
              <w:t xml:space="preserve"> O regulamento trata a fuga como causa de suspensão, não de cessação. Consequências: o pagamento é interrompido; na recaptura, o benefício é restabelecido automaticamente, sem novo requerimento. Os valores do período de fuga são perdidos.</w:t>
            </w:r>
          </w:p>
          <w:p w14:paraId="6C1F4F5F" w14:textId="77777777" w:rsidR="005A5FCC" w:rsidRDefault="00A21C81">
            <w:pPr>
              <w:spacing w:after="60" w:line="247" w:lineRule="auto"/>
            </w:pPr>
            <w:r>
              <w:rPr>
                <w:rFonts w:cs="EB Garamond"/>
                <w:b/>
                <w:kern w:val="16"/>
                <w:sz w:val="19"/>
                <w14:ligatures w14:val="standardContextual"/>
              </w:rPr>
              <w:t>Posição 2 — Cessação (TRU/4ª Região, abril/2023):</w:t>
            </w:r>
            <w:r>
              <w:rPr>
                <w:rFonts w:cs="EB Garamond"/>
                <w:kern w:val="16"/>
                <w:sz w:val="19"/>
                <w14:ligatures w14:val="standardContextual"/>
              </w:rPr>
              <w:t xml:space="preserve"> A TRU da 4ª Região, em julgamento de 28/04/2023, fixou tese de que a fuga é causa de </w:t>
            </w:r>
            <w:r>
              <w:rPr>
                <w:rFonts w:cs="EB Garamond"/>
                <w:b/>
                <w:kern w:val="16"/>
                <w:sz w:val="19"/>
                <w14:ligatures w14:val="standardContextual"/>
              </w:rPr>
              <w:t>cessação</w:t>
            </w:r>
            <w:r>
              <w:rPr>
                <w:rFonts w:cs="EB Garamond"/>
                <w:kern w:val="16"/>
                <w:sz w:val="19"/>
                <w14:ligatures w14:val="standardContextual"/>
              </w:rPr>
              <w:t xml:space="preserve"> do auxílio-reclusão, não mera suspensão. Na recaptura, é necessária </w:t>
            </w:r>
            <w:r>
              <w:rPr>
                <w:rFonts w:cs="EB Garamond"/>
                <w:b/>
                <w:kern w:val="16"/>
                <w:sz w:val="19"/>
                <w14:ligatures w14:val="standardContextual"/>
              </w:rPr>
              <w:t>nova concessão</w:t>
            </w:r>
            <w:r>
              <w:rPr>
                <w:rFonts w:cs="EB Garamond"/>
                <w:kern w:val="16"/>
                <w:sz w:val="19"/>
                <w14:ligatures w14:val="standardContextual"/>
              </w:rPr>
              <w:t>, com verificação de todos os requisitos conforme a lei vigente na data da nova prisão. Fundamento: "não se pode dar tratamento privilegiado a quem se furta às obrigações legais."</w:t>
            </w:r>
          </w:p>
          <w:p w14:paraId="0834CEF9" w14:textId="77777777" w:rsidR="005A5FCC" w:rsidRDefault="00A21C81">
            <w:pPr>
              <w:spacing w:after="60" w:line="247" w:lineRule="auto"/>
            </w:pPr>
            <w:r>
              <w:rPr>
                <w:rFonts w:cs="EB Garamond"/>
                <w:b/>
                <w:kern w:val="16"/>
                <w:sz w:val="19"/>
                <w14:ligatures w14:val="standardContextual"/>
              </w:rPr>
              <w:t>Impacto prático devastador da Posição 2:</w:t>
            </w:r>
            <w:r>
              <w:rPr>
                <w:rFonts w:cs="EB Garamond"/>
                <w:kern w:val="16"/>
                <w:sz w:val="19"/>
                <w14:ligatures w14:val="standardContextual"/>
              </w:rPr>
              <w:t xml:space="preserve"> - Segurado preso antes de 18/01/2019 (regime antigo: sem carência, semiaberto aceito) - Foge e é recapturado após 2019 - Pela Posição 2: novo fato gerador → aplica-se regime novo → exige 24 contribuições + regime fechado - O dependente pode perder o benefício definitivamente se o segurado não cumprir os novos requisitos</w:t>
            </w:r>
          </w:p>
          <w:p w14:paraId="6CF4E9D1" w14:textId="77777777" w:rsidR="005A5FCC" w:rsidRDefault="00A21C81">
            <w:pPr>
              <w:spacing w:after="60" w:line="247" w:lineRule="auto"/>
            </w:pPr>
            <w:r>
              <w:rPr>
                <w:rFonts w:cs="EB Garamond"/>
                <w:b/>
                <w:kern w:val="16"/>
                <w:sz w:val="19"/>
                <w14:ligatures w14:val="standardContextual"/>
              </w:rPr>
              <w:t>Orientação:</w:t>
            </w:r>
            <w:r>
              <w:rPr>
                <w:rFonts w:cs="EB Garamond"/>
                <w:kern w:val="16"/>
                <w:sz w:val="19"/>
                <w14:ligatures w14:val="standardContextual"/>
              </w:rPr>
              <w:t xml:space="preserve"> Verificar a posição do TRF da jurisdição. Na 4ª Região, a fuga é cessação. Nos demais, pode ser suspensão. Argumente pela suspensão quando favorável ao dependente.</w:t>
            </w:r>
          </w:p>
        </w:tc>
      </w:tr>
    </w:tbl>
    <w:p w14:paraId="3D99CD7F" w14:textId="77777777" w:rsidR="005A5FCC" w:rsidRDefault="005A5FCC">
      <w:pPr>
        <w:spacing w:after="80" w:line="240" w:lineRule="auto"/>
      </w:pPr>
    </w:p>
    <w:tbl>
      <w:tblPr>
        <w:tblW w:w="5000" w:type="pct"/>
        <w:jc w:val="center"/>
        <w:tblLayout w:type="fixed"/>
        <w:tblLook w:val="04A0" w:firstRow="1" w:lastRow="0" w:firstColumn="1" w:lastColumn="0" w:noHBand="0" w:noVBand="1"/>
      </w:tblPr>
      <w:tblGrid>
        <w:gridCol w:w="6311"/>
      </w:tblGrid>
      <w:tr w:rsidR="005A5FCC" w14:paraId="5E160BC3"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506D5FFF" w14:textId="77777777" w:rsidR="005A5FCC" w:rsidRDefault="00A21C81">
            <w:pPr>
              <w:spacing w:after="60" w:line="240" w:lineRule="auto"/>
              <w:jc w:val="left"/>
            </w:pPr>
            <w:r>
              <w:rPr>
                <w:rFonts w:ascii="Noto Sans" w:hAnsi="Noto Sans" w:cs="Noto Sans"/>
                <w:b/>
                <w:caps/>
                <w:color w:val="4D6F8A"/>
                <w:kern w:val="16"/>
                <w:sz w:val="16"/>
                <w14:ligatures w14:val="standardContextual"/>
              </w:rPr>
              <w:lastRenderedPageBreak/>
              <w:t>JURISPRUDÊNCIA EM DESTAQUE</w:t>
            </w:r>
          </w:p>
          <w:p w14:paraId="0F0891D5" w14:textId="77777777" w:rsidR="005A5FCC" w:rsidRDefault="00A21C81">
            <w:pPr>
              <w:spacing w:after="60" w:line="247" w:lineRule="auto"/>
            </w:pPr>
            <w:r>
              <w:rPr>
                <w:rFonts w:cs="EB Garamond"/>
                <w:b/>
                <w:kern w:val="16"/>
                <w:sz w:val="19"/>
                <w14:ligatures w14:val="standardContextual"/>
              </w:rPr>
              <w:t>Livramento condicional: cessação do auxílio-reclusão?</w:t>
            </w:r>
          </w:p>
          <w:p w14:paraId="56CF43D6" w14:textId="77777777" w:rsidR="005A5FCC" w:rsidRDefault="00A21C81">
            <w:pPr>
              <w:spacing w:after="60" w:line="247" w:lineRule="auto"/>
            </w:pPr>
            <w:r>
              <w:rPr>
                <w:rFonts w:cs="EB Garamond"/>
                <w:kern w:val="16"/>
                <w:sz w:val="19"/>
                <w14:ligatures w14:val="standardContextual"/>
              </w:rPr>
              <w:t>O livramento condicional (arts. 83-90, CP; arts. 131-146, LEP) libera o preso sob condições. A questão: o livramento condicional cessa o AR?</w:t>
            </w:r>
          </w:p>
          <w:p w14:paraId="686A5011" w14:textId="77777777" w:rsidR="005A5FCC" w:rsidRDefault="00A21C81">
            <w:pPr>
              <w:spacing w:after="60" w:line="247" w:lineRule="auto"/>
            </w:pPr>
            <w:r>
              <w:rPr>
                <w:rFonts w:cs="EB Garamond"/>
                <w:b/>
                <w:kern w:val="16"/>
                <w:sz w:val="19"/>
                <w14:ligatures w14:val="standardContextual"/>
              </w:rPr>
              <w:t>Posição majoritária (STJ, TRFs):</w:t>
            </w:r>
            <w:r>
              <w:rPr>
                <w:rFonts w:cs="EB Garamond"/>
                <w:kern w:val="16"/>
                <w:sz w:val="19"/>
                <w14:ligatures w14:val="standardContextual"/>
              </w:rPr>
              <w:t xml:space="preserve"> SIM. O livramento condicional equivale à soltura para fins de auxílio-reclusão. O segurado em livramento condicional não está recolhido à prisão, está em liberdade, embora condicionada. O AR cessa na data do livramento.</w:t>
            </w:r>
          </w:p>
          <w:p w14:paraId="518E8885" w14:textId="77777777" w:rsidR="005A5FCC" w:rsidRDefault="00A21C81">
            <w:pPr>
              <w:spacing w:after="60" w:line="247" w:lineRule="auto"/>
            </w:pPr>
            <w:r>
              <w:rPr>
                <w:rFonts w:cs="EB Garamond"/>
                <w:b/>
                <w:kern w:val="16"/>
                <w:sz w:val="19"/>
                <w14:ligatures w14:val="standardContextual"/>
              </w:rPr>
              <w:t>Posição minoritária:</w:t>
            </w:r>
            <w:r>
              <w:rPr>
                <w:rFonts w:cs="EB Garamond"/>
                <w:kern w:val="16"/>
                <w:sz w:val="19"/>
                <w14:ligatures w14:val="standardContextual"/>
              </w:rPr>
              <w:t xml:space="preserve"> NÃO. O liberado condicionalmente permanece cumprindo pena, sujeito a condições e possível revogação. O livramento seria apenas modalidade de cumprimento, não soltura definitiva.</w:t>
            </w:r>
          </w:p>
          <w:p w14:paraId="6418492E" w14:textId="77777777" w:rsidR="005A5FCC" w:rsidRDefault="00A21C81">
            <w:pPr>
              <w:spacing w:after="60" w:line="247" w:lineRule="auto"/>
            </w:pPr>
            <w:r>
              <w:rPr>
                <w:rFonts w:cs="EB Garamond"/>
                <w:b/>
                <w:kern w:val="16"/>
                <w:sz w:val="19"/>
                <w14:ligatures w14:val="standardContextual"/>
              </w:rPr>
              <w:t>Consequência prática:</w:t>
            </w:r>
            <w:r>
              <w:rPr>
                <w:rFonts w:cs="EB Garamond"/>
                <w:kern w:val="16"/>
                <w:sz w:val="19"/>
                <w14:ligatures w14:val="standardContextual"/>
              </w:rPr>
              <w:t xml:space="preserve"> Se o livramento condicional é </w:t>
            </w:r>
            <w:r>
              <w:rPr>
                <w:rFonts w:cs="EB Garamond"/>
                <w:b/>
                <w:kern w:val="16"/>
                <w:sz w:val="19"/>
                <w14:ligatures w14:val="standardContextual"/>
              </w:rPr>
              <w:t>revogado</w:t>
            </w:r>
            <w:r>
              <w:rPr>
                <w:rFonts w:cs="EB Garamond"/>
                <w:kern w:val="16"/>
                <w:sz w:val="19"/>
                <w14:ligatures w14:val="standardContextual"/>
              </w:rPr>
              <w:t xml:space="preserve"> e o segurado retorna à prisão, configura-se novo fato gerador, exigindo novo requerimento (com verificação de todos os requisitos no momento da nova reclusão, incluindo a carência de 24 contribuições no regime pós-EC 103).</w:t>
            </w:r>
          </w:p>
          <w:p w14:paraId="12BC5503" w14:textId="77777777" w:rsidR="005A5FCC" w:rsidRDefault="00A21C81">
            <w:pPr>
              <w:spacing w:after="60" w:line="247" w:lineRule="auto"/>
            </w:pPr>
            <w:r>
              <w:rPr>
                <w:rFonts w:cs="EB Garamond"/>
                <w:b/>
                <w:kern w:val="16"/>
                <w:sz w:val="19"/>
                <w14:ligatures w14:val="standardContextual"/>
              </w:rPr>
              <w:t>Referência:</w:t>
            </w:r>
            <w:r>
              <w:rPr>
                <w:rFonts w:cs="EB Garamond"/>
                <w:kern w:val="16"/>
                <w:sz w:val="19"/>
                <w14:ligatures w14:val="standardContextual"/>
              </w:rPr>
              <w:t xml:space="preserve"> STJ, REsp 1.672.295/RS; TRF4, TRU, Incidente 5003821-16.2020.4.04.7108.</w:t>
            </w:r>
          </w:p>
        </w:tc>
      </w:tr>
    </w:tbl>
    <w:p w14:paraId="0ECE101C" w14:textId="77777777" w:rsidR="005A5FCC" w:rsidRDefault="005A5FCC">
      <w:pPr>
        <w:spacing w:after="80" w:line="240" w:lineRule="auto"/>
      </w:pPr>
    </w:p>
    <w:p w14:paraId="124CB49A"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14.17 Segurado aposentado preso e acumulação de benefícios</w:t>
      </w:r>
    </w:p>
    <w:p w14:paraId="23B934C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Q</w:t>
      </w:r>
    </w:p>
    <w:p w14:paraId="132AEFBE" w14:textId="77777777" w:rsidR="005A5FCC" w:rsidRDefault="00A21C81">
      <w:r>
        <w:rPr>
          <w:rFonts w:cs="EB Garamond"/>
          <w:kern w:val="16"/>
          <w14:ligatures w14:val="standardContextual"/>
        </w:rPr>
        <w:t>uestão de crescente relevância prática, examinada por Ibrahim (2025), é a situação do segurado que já recebia benefício previdenciário, especialmente aposentadoria, quando é recolhido à prisão. O tratamento jurídico varia conforme o tipo de benefício que o segurado recebia e conforme o regime jurídico aplicável (pré ou pós-EC 103).</w:t>
      </w:r>
    </w:p>
    <w:p w14:paraId="713C1500" w14:textId="77777777" w:rsidR="005A5FCC" w:rsidRDefault="00A21C81">
      <w:pPr>
        <w:ind w:firstLine="238"/>
      </w:pPr>
      <w:r>
        <w:rPr>
          <w:rFonts w:cs="EB Garamond"/>
          <w:b/>
          <w:kern w:val="16"/>
          <w14:ligatures w14:val="standardContextual"/>
        </w:rPr>
        <w:t>Segurado aposentado que é preso.</w:t>
      </w:r>
      <w:r>
        <w:rPr>
          <w:rFonts w:cs="EB Garamond"/>
          <w:kern w:val="16"/>
          <w14:ligatures w14:val="standardContextual"/>
        </w:rPr>
        <w:t xml:space="preserve"> O art. 80 da Lei 8.213/91 dispõe que o auxílio-reclusão é devido aos dependentes do "segurado recolhido à prisão, que não receber remuneração da empresa e que não estiver em gozo de auxílio-doença [atual auxílio por incapacidade temporária], de aposentadoria ou de abono de </w:t>
      </w:r>
      <w:r>
        <w:rPr>
          <w:rFonts w:cs="EB Garamond"/>
          <w:kern w:val="16"/>
          <w14:ligatures w14:val="standardContextual"/>
        </w:rPr>
        <w:lastRenderedPageBreak/>
        <w:t>permanência em serviço". Essa disposição, lida literalmente, excluiria os dependentes de segurado aposentado do auxílio-reclusão.</w:t>
      </w:r>
    </w:p>
    <w:p w14:paraId="28FE9E0F" w14:textId="77777777" w:rsidR="005A5FCC" w:rsidRDefault="00A21C81">
      <w:pPr>
        <w:ind w:firstLine="238"/>
      </w:pPr>
      <w:r>
        <w:rPr>
          <w:rFonts w:cs="EB Garamond"/>
          <w:kern w:val="16"/>
          <w14:ligatures w14:val="standardContextual"/>
        </w:rPr>
        <w:t>Contudo, a EC 103/2019 alterou essa dinâmica com o art. 27, § 2º: "O segurado que já for titular de outro benefício do RGPS, ao ser recolhido à prisão, terá a opção de requerer a transferência daquele para seus dependentes." Essa previsão permite que o aposentado preso transfira a aposentadoria para seus dependentes, que a receberão como se auxílio-reclusão fosse, durante o período de encarceramento.</w:t>
      </w:r>
    </w:p>
    <w:p w14:paraId="4B025F12" w14:textId="77777777" w:rsidR="005A5FCC" w:rsidRDefault="00A21C81">
      <w:pPr>
        <w:ind w:firstLine="238"/>
      </w:pPr>
      <w:r>
        <w:rPr>
          <w:rFonts w:cs="EB Garamond"/>
          <w:kern w:val="16"/>
          <w14:ligatures w14:val="standardContextual"/>
        </w:rPr>
        <w:t>Na prática, surgem três cenários:</w:t>
      </w:r>
    </w:p>
    <w:p w14:paraId="3506032A" w14:textId="77777777" w:rsidR="005A5FCC" w:rsidRDefault="00A21C81">
      <w:pPr>
        <w:ind w:firstLine="238"/>
      </w:pPr>
      <w:r>
        <w:rPr>
          <w:rFonts w:cs="EB Garamond"/>
          <w:b/>
          <w:kern w:val="16"/>
          <w14:ligatures w14:val="standardContextual"/>
        </w:rPr>
        <w:t>Cenário 1 — Aposentado preso, regime antigo.</w:t>
      </w:r>
      <w:r>
        <w:rPr>
          <w:rFonts w:cs="EB Garamond"/>
          <w:kern w:val="16"/>
          <w14:ligatures w14:val="standardContextual"/>
        </w:rPr>
        <w:t xml:space="preserve"> Se a prisão é anterior a 13/11/2019, aplica-se o art. 80 da Lei 8.213/91 na redação original. A doutrina majoritária e a jurisprudência dos TRFs entendiam que o aposentado preso não gerava auxílio-reclusão (pela vedação expressa do art. 80), mas a aposentadoria continuava sendo paga normalmente, pois não há previsão legal de suspensão de aposentadoria por encarceramento.</w:t>
      </w:r>
    </w:p>
    <w:p w14:paraId="42B442FE" w14:textId="77777777" w:rsidR="005A5FCC" w:rsidRDefault="00A21C81">
      <w:pPr>
        <w:ind w:firstLine="238"/>
      </w:pPr>
      <w:r>
        <w:rPr>
          <w:rFonts w:cs="EB Garamond"/>
          <w:b/>
          <w:kern w:val="16"/>
          <w14:ligatures w14:val="standardContextual"/>
        </w:rPr>
        <w:t>Cenário 2 — Aposentado preso, regime novo.</w:t>
      </w:r>
      <w:r>
        <w:rPr>
          <w:rFonts w:cs="EB Garamond"/>
          <w:kern w:val="16"/>
          <w14:ligatures w14:val="standardContextual"/>
        </w:rPr>
        <w:t xml:space="preserve"> Se a prisão é a partir de 13/11/2019, aplica-se o art. 27, § 2º, da EC 103. O segurado pode optar entre: (a) manter a aposentadoria em seu nome (caso em que não há auxílio-reclusão para os dependentes); ou (b) transferir a aposentadoria para os dependentes.</w:t>
      </w:r>
    </w:p>
    <w:p w14:paraId="187AD0DC" w14:textId="77777777" w:rsidR="005A5FCC" w:rsidRDefault="00A21C81">
      <w:pPr>
        <w:ind w:firstLine="238"/>
      </w:pPr>
      <w:r>
        <w:rPr>
          <w:rFonts w:cs="EB Garamond"/>
          <w:b/>
          <w:kern w:val="16"/>
          <w14:ligatures w14:val="standardContextual"/>
        </w:rPr>
        <w:t>Cenário 3 — Segurado em gozo de auxílio por incapacidade temporária que é preso.</w:t>
      </w:r>
      <w:r>
        <w:rPr>
          <w:rFonts w:cs="EB Garamond"/>
          <w:kern w:val="16"/>
          <w14:ligatures w14:val="standardContextual"/>
        </w:rPr>
        <w:t xml:space="preserve"> O art. 80 veda expressamente o auxílio-reclusão quando o segurado está em gozo de auxílio-doença (atual auxílio por incapacidade temporária). A justificativa é a mesma: o benefício por incapacidade continua sendo pago ao segurado preso (pois a incapacidade persiste independentemente da reclusão), mantendo a fonte de renda familiar.</w:t>
      </w:r>
    </w:p>
    <w:p w14:paraId="3AAB3F72" w14:textId="77777777" w:rsidR="005A5FCC" w:rsidRDefault="00A21C81">
      <w:pPr>
        <w:ind w:firstLine="238"/>
      </w:pPr>
      <w:r>
        <w:rPr>
          <w:rFonts w:cs="EB Garamond"/>
          <w:b/>
          <w:kern w:val="16"/>
          <w14:ligatures w14:val="standardContextual"/>
        </w:rPr>
        <w:t>Cenário 4 — Segurado em gozo de pensão por morte que é preso.</w:t>
      </w:r>
      <w:r>
        <w:rPr>
          <w:rFonts w:cs="EB Garamond"/>
          <w:kern w:val="16"/>
          <w14:ligatures w14:val="standardContextual"/>
        </w:rPr>
        <w:t xml:space="preserve"> A redação do art. 80 (pós-Lei 13.846/2019) também veda o AR quando o segurado está em gozo de pensão por morte. Essa situação é menos intuitiva: o segurado que recebe pensão por morte (como dependente de outro segurado) é preso. Seus próprios dependentes não terão direito ao AR, pois a pensão por morte do segurado continua sendo paga. Na experiência dos juizados, a pensão pode ser administrada por procuração a favor dos dependentes.</w:t>
      </w:r>
    </w:p>
    <w:p w14:paraId="56ADC2BE" w14:textId="77777777" w:rsidR="005A5FCC" w:rsidRDefault="00A21C81">
      <w:pPr>
        <w:ind w:firstLine="238"/>
      </w:pPr>
      <w:r>
        <w:rPr>
          <w:rFonts w:cs="EB Garamond"/>
          <w:b/>
          <w:kern w:val="16"/>
          <w14:ligatures w14:val="standardContextual"/>
        </w:rPr>
        <w:lastRenderedPageBreak/>
        <w:t>Cenário 5 — Segurado que recebe salário-maternidade.</w:t>
      </w:r>
      <w:r>
        <w:rPr>
          <w:rFonts w:cs="EB Garamond"/>
          <w:kern w:val="16"/>
          <w14:ligatures w14:val="standardContextual"/>
        </w:rPr>
        <w:t xml:space="preserve"> A segurada que está recebendo salário-maternidade e é recolhida à prisão: o art. 80 também veda o AR nessa hipótese. O SM continua sendo pago normalmente durante o período restante. Após o término do SM, se a segurada permanecer presa, poderá ser concedido o AR (verificados os demais requisitos).</w:t>
      </w:r>
    </w:p>
    <w:tbl>
      <w:tblPr>
        <w:tblW w:w="5000" w:type="pct"/>
        <w:jc w:val="center"/>
        <w:tblLayout w:type="fixed"/>
        <w:tblLook w:val="04A0" w:firstRow="1" w:lastRow="0" w:firstColumn="1" w:lastColumn="0" w:noHBand="0" w:noVBand="1"/>
      </w:tblPr>
      <w:tblGrid>
        <w:gridCol w:w="6311"/>
      </w:tblGrid>
      <w:tr w:rsidR="005A5FCC" w14:paraId="5F9F0C3C"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6314D40E" w14:textId="77777777" w:rsidR="005A5FCC" w:rsidRDefault="00A21C81">
            <w:pPr>
              <w:spacing w:after="60" w:line="240" w:lineRule="auto"/>
              <w:jc w:val="left"/>
            </w:pPr>
            <w:r>
              <w:rPr>
                <w:rFonts w:ascii="Noto Sans" w:hAnsi="Noto Sans" w:cs="Noto Sans"/>
                <w:b/>
                <w:caps/>
                <w:color w:val="4D6F8A"/>
                <w:kern w:val="16"/>
                <w:sz w:val="16"/>
                <w14:ligatures w14:val="standardContextual"/>
              </w:rPr>
              <w:t>JURISPRUDÊNCIA EM DESTAQUE</w:t>
            </w:r>
          </w:p>
          <w:p w14:paraId="3117FF8B" w14:textId="77777777" w:rsidR="005A5FCC" w:rsidRDefault="00A21C81">
            <w:pPr>
              <w:spacing w:after="60" w:line="247" w:lineRule="auto"/>
            </w:pPr>
            <w:r>
              <w:rPr>
                <w:rFonts w:cs="EB Garamond"/>
                <w:b/>
                <w:kern w:val="16"/>
                <w:sz w:val="19"/>
                <w14:ligatures w14:val="standardContextual"/>
              </w:rPr>
              <w:t>Aposentado preso: evolução jurisprudencial</w:t>
            </w:r>
          </w:p>
          <w:p w14:paraId="00B344E7" w14:textId="77777777" w:rsidR="005A5FCC" w:rsidRDefault="00A21C81">
            <w:pPr>
              <w:spacing w:after="60" w:line="247" w:lineRule="auto"/>
            </w:pPr>
            <w:r>
              <w:rPr>
                <w:rFonts w:cs="EB Garamond"/>
                <w:b/>
                <w:kern w:val="16"/>
                <w:sz w:val="19"/>
                <w14:ligatures w14:val="standardContextual"/>
              </w:rPr>
              <w:t>Antes da EC 103:</w:t>
            </w:r>
            <w:r>
              <w:rPr>
                <w:rFonts w:cs="EB Garamond"/>
                <w:kern w:val="16"/>
                <w:sz w:val="19"/>
                <w14:ligatures w14:val="standardContextual"/>
              </w:rPr>
              <w:t xml:space="preserve"> O STJ e os TRFs consolidaram entendimento de que o segurado aposentado que é preso não gera auxílio-reclusão para seus dependentes (vedação do art. 80, Lei 8.213/91). Contudo, a aposentadoria permanece sendo paga ao segurado preso, podendo este, por procuração, direcionar os valores a seus dependentes.</w:t>
            </w:r>
          </w:p>
          <w:p w14:paraId="7866F761" w14:textId="77777777" w:rsidR="005A5FCC" w:rsidRDefault="00A21C81">
            <w:pPr>
              <w:spacing w:after="60" w:line="247" w:lineRule="auto"/>
            </w:pPr>
            <w:r>
              <w:rPr>
                <w:rFonts w:cs="EB Garamond"/>
                <w:b/>
                <w:kern w:val="16"/>
                <w:sz w:val="19"/>
                <w14:ligatures w14:val="standardContextual"/>
              </w:rPr>
              <w:t>Após a EC 103:</w:t>
            </w:r>
            <w:r>
              <w:rPr>
                <w:rFonts w:cs="EB Garamond"/>
                <w:kern w:val="16"/>
                <w:sz w:val="19"/>
                <w14:ligatures w14:val="standardContextual"/>
              </w:rPr>
              <w:t xml:space="preserve"> O art. 27, § 2º, da EC 103 prevê expressamente a possibilidade de transferência do benefício. O aposentado preso pode requerer que sua aposentadoria seja paga a seus dependentes como auxílio-reclusão. O valor transferido corresponde, em princípio, ao valor da aposentadoria, e não ao valor do AR (1 SM). Há, contudo, </w:t>
            </w:r>
            <w:r>
              <w:rPr>
                <w:rFonts w:cs="EB Garamond"/>
                <w:b/>
                <w:kern w:val="16"/>
                <w:sz w:val="19"/>
                <w14:ligatures w14:val="standardContextual"/>
              </w:rPr>
              <w:t>controvérsia ainda não pacificada</w:t>
            </w:r>
            <w:r>
              <w:rPr>
                <w:rFonts w:cs="EB Garamond"/>
                <w:kern w:val="16"/>
                <w:sz w:val="19"/>
                <w14:ligatures w14:val="standardContextual"/>
              </w:rPr>
              <w:t xml:space="preserve"> sobre eventual limitação desse montante: o dispositivo carece de regulamentação que defina se a transferência se opera integralmente ou se sujeita a teto (por exemplo, ao valor de 1 SM próprio do AR pós-EC 103, ou ao redutor da pensão por morte). Enquanto não sobrevém disciplina específica, defende-se a transferência integral com fundamento na literalidade da norma — que fala em transferir "aquele" benefício, sem ressalva de valor —, mas o ponto comporta resistência administrativa. Assim, o aposentado que recebia R$ 3.000,00 de aposentadoria pode pleitear a transferência integral desse valor aos dependentes, ciente de que a extensão exata do mecanismo permanece sujeita a definição jurisprudencial e regulamentar.</w:t>
            </w:r>
          </w:p>
          <w:p w14:paraId="212D3D8D" w14:textId="77777777" w:rsidR="005A5FCC" w:rsidRDefault="00A21C81">
            <w:pPr>
              <w:spacing w:after="60" w:line="247" w:lineRule="auto"/>
            </w:pPr>
            <w:r>
              <w:rPr>
                <w:rFonts w:cs="EB Garamond"/>
                <w:b/>
                <w:kern w:val="16"/>
                <w:sz w:val="19"/>
                <w14:ligatures w14:val="standardContextual"/>
              </w:rPr>
              <w:t>Questão não pacificada:</w:t>
            </w:r>
            <w:r>
              <w:rPr>
                <w:rFonts w:cs="EB Garamond"/>
                <w:kern w:val="16"/>
                <w:sz w:val="19"/>
                <w14:ligatures w14:val="standardContextual"/>
              </w:rPr>
              <w:t xml:space="preserve"> Se o aposentado não opta pela transferência, os dependentes podem requerer auxílio-reclusão independente? Posição majoritária: NÃO, pois a aposentadoria é mantida e pode ser administrada por procuração. O AR pressupõe a ausência de renda, que é suprida pela aposentadoria mantida.</w:t>
            </w:r>
          </w:p>
        </w:tc>
      </w:tr>
    </w:tbl>
    <w:p w14:paraId="73A5349B" w14:textId="77777777" w:rsidR="005A5FCC" w:rsidRDefault="005A5FCC">
      <w:pPr>
        <w:spacing w:after="80" w:line="240" w:lineRule="auto"/>
      </w:pPr>
    </w:p>
    <w:p w14:paraId="23E02435"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68D9CF81" w14:textId="77777777" w:rsidR="005A5FCC" w:rsidRDefault="00A21C81">
      <w:r>
        <w:rPr>
          <w:rFonts w:cs="EB Garamond"/>
          <w:b/>
          <w:kern w:val="16"/>
          <w14:ligatures w14:val="standardContextual"/>
        </w:rPr>
        <w:t>cumulação do auxílio-reclusão com outros benefícios.</w:t>
      </w:r>
      <w:r>
        <w:rPr>
          <w:rFonts w:cs="EB Garamond"/>
          <w:kern w:val="16"/>
          <w14:ligatures w14:val="standardContextual"/>
        </w:rPr>
        <w:t xml:space="preserve"> A acumulação segue as regras gerais analisadas no Capítulo 20, com as seguintes particularidades:</w:t>
      </w:r>
    </w:p>
    <w:p w14:paraId="06FA884B" w14:textId="77777777" w:rsidR="005A5FCC" w:rsidRDefault="00A21C81">
      <w:pPr>
        <w:spacing w:after="40" w:line="252" w:lineRule="auto"/>
        <w:ind w:left="340" w:hanging="198"/>
      </w:pPr>
      <w:r>
        <w:rPr>
          <w:rFonts w:cs="EB Garamond"/>
          <w:color w:val="3A3128"/>
          <w:kern w:val="16"/>
          <w:sz w:val="20"/>
          <w14:ligatures w14:val="standardContextual"/>
        </w:rPr>
        <w:lastRenderedPageBreak/>
        <w:t xml:space="preserve">• </w:t>
      </w:r>
      <w:r>
        <w:rPr>
          <w:rFonts w:cs="EB Garamond"/>
          <w:b/>
          <w:kern w:val="16"/>
          <w:sz w:val="20"/>
          <w14:ligatures w14:val="standardContextual"/>
        </w:rPr>
        <w:t>AR + pensão por morte:</w:t>
      </w:r>
      <w:r>
        <w:rPr>
          <w:rFonts w:cs="EB Garamond"/>
          <w:kern w:val="16"/>
          <w:sz w:val="20"/>
          <w14:ligatures w14:val="standardContextual"/>
        </w:rPr>
        <w:t xml:space="preserve"> Em princípio, possível, pois são benefícios de natureza diversa (AR substitui renda do segurado preso; PM substitui renda do segurado falecido). A incidência do escalonamento do art. 24 da EC 103/2019 sobre essa acumulação é, contudo, </w:t>
      </w:r>
      <w:r>
        <w:rPr>
          <w:rFonts w:cs="EB Garamond"/>
          <w:b/>
          <w:kern w:val="16"/>
          <w:sz w:val="20"/>
          <w14:ligatures w14:val="standardContextual"/>
        </w:rPr>
        <w:t>questão controvertida</w:t>
      </w:r>
      <w:r>
        <w:rPr>
          <w:rFonts w:cs="EB Garamond"/>
          <w:kern w:val="16"/>
          <w:sz w:val="20"/>
          <w14:ligatures w14:val="standardContextual"/>
        </w:rPr>
        <w:t>: o dispositivo refere-se literalmente à acumulação de "pensão por morte" com "aposentadoria" (e entre pensões de regimes distintos), não mencionando expressamente o auxílio-reclusão. Há quem sustente a aplicação analógica do redutor — por ser o AR, no regime atual, calculado e estruturado à semelhança da pensão por morte —, e há quem a rejeite, por se tratar de norma restritiva de direito, insuscetível de interpretação ampliativa. Não há, na base consultada, repetitivo que pacifique a questão; recomendamos, por cautela, sinalizar a controvérsia na petição e subsidiariamente impugnar a aplicação automática do redutor pelo INSS. A matéria é tratada em profundidade no Cap. 20.</w:t>
      </w:r>
    </w:p>
    <w:p w14:paraId="544B6575"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AR + BPC/LOAS:</w:t>
      </w:r>
      <w:r>
        <w:rPr>
          <w:rFonts w:cs="EB Garamond"/>
          <w:kern w:val="16"/>
          <w:sz w:val="20"/>
          <w14:ligatures w14:val="standardContextual"/>
        </w:rPr>
        <w:t xml:space="preserve"> Não se trata, a rigor, de vedação legal automática de acumulação, mas de </w:t>
      </w:r>
      <w:r>
        <w:rPr>
          <w:rFonts w:cs="EB Garamond"/>
          <w:b/>
          <w:kern w:val="16"/>
          <w:sz w:val="20"/>
          <w14:ligatures w14:val="standardContextual"/>
        </w:rPr>
        <w:t>descaracterização do requisito de miserabilidade por composição de renda</w:t>
      </w:r>
      <w:r>
        <w:rPr>
          <w:rFonts w:cs="EB Garamond"/>
          <w:kern w:val="16"/>
          <w:sz w:val="20"/>
          <w14:ligatures w14:val="standardContextual"/>
        </w:rPr>
        <w:t xml:space="preserve">. O valor do auxílio-reclusão integra a renda do grupo familiar para fins de aferição do BPC (Lei 8.742/93, art. 20); a depender da composição familiar e do critério de renda per capita aplicável, esse acréscimo </w:t>
      </w:r>
      <w:r>
        <w:rPr>
          <w:rFonts w:cs="EB Garamond"/>
          <w:b/>
          <w:kern w:val="16"/>
          <w:sz w:val="20"/>
          <w14:ligatures w14:val="standardContextual"/>
        </w:rPr>
        <w:t>pode</w:t>
      </w:r>
      <w:r>
        <w:rPr>
          <w:rFonts w:cs="EB Garamond"/>
          <w:kern w:val="16"/>
          <w:sz w:val="20"/>
          <w14:ligatures w14:val="standardContextual"/>
        </w:rPr>
        <w:t xml:space="preserve"> — não necessariamente — afastar a condição de miserabilidade que o BPC exige. Assim, a incompatibilidade é casuística e econômica, e não uma proibição abstrata de cumulação. Remete-se ao Cap. 18 para o exame detido do critério de miserabilidade e das hipóteses de exclusão de rendas do cálculo.</w:t>
      </w:r>
    </w:p>
    <w:p w14:paraId="6B802CE4"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AR + salário-maternidade:</w:t>
      </w:r>
      <w:r>
        <w:rPr>
          <w:rFonts w:cs="EB Garamond"/>
          <w:kern w:val="16"/>
          <w:sz w:val="20"/>
          <w14:ligatures w14:val="standardContextual"/>
        </w:rPr>
        <w:t xml:space="preserve"> Possível, pois são benefícios com fatos geradores e finalidades distintos.</w:t>
      </w:r>
    </w:p>
    <w:p w14:paraId="2F471C8B"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b/>
          <w:kern w:val="16"/>
          <w:sz w:val="20"/>
          <w14:ligatures w14:val="standardContextual"/>
        </w:rPr>
        <w:t>AR + Bolsa Família/Auxílio Brasil/benefícios assistenciais:</w:t>
      </w:r>
      <w:r>
        <w:rPr>
          <w:rFonts w:cs="EB Garamond"/>
          <w:kern w:val="16"/>
          <w:sz w:val="20"/>
          <w14:ligatures w14:val="standardContextual"/>
        </w:rPr>
        <w:t xml:space="preserve"> O valor do AR é computado como renda familiar para fins de programas assistenciais, podendo afetar o enquadramento.</w:t>
      </w:r>
    </w:p>
    <w:p w14:paraId="561EC1C2" w14:textId="77777777" w:rsidR="005A5FCC" w:rsidRDefault="005A5FCC">
      <w:pPr>
        <w:spacing w:after="60" w:line="240" w:lineRule="auto"/>
      </w:pPr>
    </w:p>
    <w:p w14:paraId="74FC1154"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14.18 Aspectos processuais nos JEFs</w:t>
      </w:r>
    </w:p>
    <w:p w14:paraId="0531CC44"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6275ECD8" w14:textId="77777777" w:rsidR="005A5FCC" w:rsidRDefault="00A21C81">
      <w:r>
        <w:rPr>
          <w:rFonts w:cs="EB Garamond"/>
          <w:kern w:val="16"/>
          <w14:ligatures w14:val="standardContextual"/>
        </w:rPr>
        <w:t xml:space="preserve"> auxílio-reclusão apresenta particularidades processuais que exigem atenção especial do advogado nos Juizados Especiais Federais. A combinação </w:t>
      </w:r>
      <w:r>
        <w:rPr>
          <w:rFonts w:cs="EB Garamond"/>
          <w:kern w:val="16"/>
          <w14:ligatures w14:val="standardContextual"/>
        </w:rPr>
        <w:lastRenderedPageBreak/>
        <w:t>de urgência (família desprotegida), complexidade probatória (documentação penitenciária) e questões interinstitucionais (interface INSS-Justiça Criminal) torna a litigância nessa matéria especialmente desafiadora.</w:t>
      </w:r>
    </w:p>
    <w:p w14:paraId="610C17BF" w14:textId="161A77C4" w:rsidR="005A5FCC" w:rsidRDefault="00A21C81">
      <w:pPr>
        <w:ind w:firstLine="238"/>
      </w:pPr>
      <w:r>
        <w:rPr>
          <w:rFonts w:cs="EB Garamond"/>
          <w:b/>
          <w:kern w:val="16"/>
          <w14:ligatures w14:val="standardContextual"/>
        </w:rPr>
        <w:t>Competência.</w:t>
      </w:r>
      <w:r>
        <w:rPr>
          <w:rFonts w:cs="EB Garamond"/>
          <w:kern w:val="16"/>
          <w14:ligatures w14:val="standardContextual"/>
        </w:rPr>
        <w:t xml:space="preserve"> A competência para ações de concessão, manutenção ou restabelecimento do auxílio-reclusão é da Justiça Federal (art. 109, I, CF), exercida pelos JEFs quando o valor da causa não exceder 60 </w:t>
      </w:r>
      <w:r w:rsidR="00307A19">
        <w:rPr>
          <w:rFonts w:cs="EB Garamond"/>
          <w:kern w:val="16"/>
          <w14:ligatures w14:val="standardContextual"/>
        </w:rPr>
        <w:t>salários-mínimos</w:t>
      </w:r>
      <w:r>
        <w:rPr>
          <w:rFonts w:cs="EB Garamond"/>
          <w:kern w:val="16"/>
          <w14:ligatures w14:val="standardContextual"/>
        </w:rPr>
        <w:t xml:space="preserve"> (R$ 97.260,00 em 2026). Na prática, a quase totalidade das demandas de auxílio-reclusão tramita nos JEFs, pois o valor do benefício (1 SM por mês) raramente gera valores acumulados superiores ao teto.</w:t>
      </w:r>
    </w:p>
    <w:p w14:paraId="27F7EF34" w14:textId="77777777" w:rsidR="005A5FCC" w:rsidRDefault="00A21C81">
      <w:pPr>
        <w:ind w:firstLine="238"/>
      </w:pPr>
      <w:r>
        <w:rPr>
          <w:rFonts w:cs="EB Garamond"/>
          <w:b/>
          <w:kern w:val="16"/>
          <w14:ligatures w14:val="standardContextual"/>
        </w:rPr>
        <w:t>Prévio requerimento administrativo.</w:t>
      </w:r>
      <w:r>
        <w:rPr>
          <w:rFonts w:cs="EB Garamond"/>
          <w:kern w:val="16"/>
          <w14:ligatures w14:val="standardContextual"/>
        </w:rPr>
        <w:t xml:space="preserve"> O STF (Tema 350, RE 631.240) exige prévio requerimento administrativo como condição para o ajuizamento de ações previdenciárias. A regra aplica-se ao auxílio-reclusão. Contudo, nas hipóteses de indeferimento sumário ou de demora injustificada (superior a 45 dias — art. 41-A, § 5º, Lei 8.213/91), o interesse de agir resta configurado.</w:t>
      </w:r>
    </w:p>
    <w:p w14:paraId="6DA0582F" w14:textId="77777777" w:rsidR="005A5FCC" w:rsidRDefault="00A21C81">
      <w:pPr>
        <w:ind w:firstLine="238"/>
      </w:pPr>
      <w:r>
        <w:rPr>
          <w:rFonts w:cs="EB Garamond"/>
          <w:b/>
          <w:kern w:val="16"/>
          <w14:ligatures w14:val="standardContextual"/>
        </w:rPr>
        <w:t>Tutela de urgência.</w:t>
      </w:r>
      <w:r>
        <w:rPr>
          <w:rFonts w:cs="EB Garamond"/>
          <w:kern w:val="16"/>
          <w14:ligatures w14:val="standardContextual"/>
        </w:rPr>
        <w:t xml:space="preserve"> O auxílio-reclusão é campo fértil para tutelas de urgência (antecipada e cautelar), dados os requisitos frequentemente preenchidos: (i) probabilidade do direito, demonstrada pela documentação de qualidade de segurado, recolhimento à prisão e dependência; (ii) perigo de dano irreparável, decorrente da supressão da fonte de renda familiar com risco alimentar imediato; e (iii) reversibilidade, possível mediante compensação com benefícios futuros.</w:t>
      </w:r>
    </w:p>
    <w:p w14:paraId="3B63E90D" w14:textId="77777777" w:rsidR="005A5FCC" w:rsidRDefault="00A21C81">
      <w:pPr>
        <w:ind w:firstLine="238"/>
      </w:pPr>
      <w:r>
        <w:rPr>
          <w:rFonts w:cs="EB Garamond"/>
          <w:kern w:val="16"/>
          <w14:ligatures w14:val="standardContextual"/>
        </w:rPr>
        <w:t>A concessão de tutela antecipada inaudita altera parte é comum e recomendável quando a documentação é robusta. O juiz federal pode determinar a implantação imediata do benefício, com intimação posterior do INSS para contestação. A irreversibilidade dos efeitos (pagamento de verba alimentar) não obsta a concessão, conforme jurisprudência consolidada do STJ e dos TRFs.</w:t>
      </w:r>
    </w:p>
    <w:p w14:paraId="02F079CF" w14:textId="77777777" w:rsidR="005A5FCC" w:rsidRDefault="00A21C81">
      <w:pPr>
        <w:ind w:firstLine="238"/>
      </w:pPr>
      <w:r>
        <w:rPr>
          <w:rFonts w:cs="EB Garamond"/>
          <w:b/>
          <w:kern w:val="16"/>
          <w14:ligatures w14:val="standardContextual"/>
        </w:rPr>
        <w:t>Prescrição e decadência.</w:t>
      </w:r>
      <w:r>
        <w:rPr>
          <w:rFonts w:cs="EB Garamond"/>
          <w:kern w:val="16"/>
          <w14:ligatures w14:val="standardContextual"/>
        </w:rPr>
        <w:t xml:space="preserve"> A prescrição quinquenal do art. 103, parágrafo único, da Lei 8.213/91 aplica-se ao auxílio-reclusão: prescrevem as parcelas vencidas há mais de 5 anos da data do ajuizamento. O fundo de direito (direito ao benefício em si) não prescreve enquanto perdurar a condição de preso, por se tratar de relação de trato sucessivo (Súmula 85/STJ). A decadência decenal do art. 103, caput, aplica-se à revisão do valor do AR concedido, não à concessão </w:t>
      </w:r>
      <w:r>
        <w:rPr>
          <w:rFonts w:cs="EB Garamond"/>
          <w:kern w:val="16"/>
          <w14:ligatures w14:val="standardContextual"/>
        </w:rPr>
        <w:lastRenderedPageBreak/>
        <w:t>originária — tema relevante para dependentes que descobrem tardiamente o direito.</w:t>
      </w:r>
    </w:p>
    <w:p w14:paraId="5E7DA4C2" w14:textId="256ED3E8" w:rsidR="005A5FCC" w:rsidRDefault="00A21C81">
      <w:pPr>
        <w:ind w:firstLine="238"/>
      </w:pPr>
      <w:r>
        <w:rPr>
          <w:rFonts w:cs="EB Garamond"/>
          <w:b/>
          <w:kern w:val="16"/>
          <w14:ligatures w14:val="standardContextual"/>
        </w:rPr>
        <w:t>Execução de sentença e RPV.</w:t>
      </w:r>
      <w:r>
        <w:rPr>
          <w:rFonts w:cs="EB Garamond"/>
          <w:kern w:val="16"/>
          <w14:ligatures w14:val="standardContextual"/>
        </w:rPr>
        <w:t xml:space="preserve"> As sentenças que concedem auxílio-reclusão nos JEFs são executadas mediante Requisição de Pequeno Valor (RPV), </w:t>
      </w:r>
      <w:r w:rsidR="00CF7D26">
        <w:rPr>
          <w:rFonts w:cs="EB Garamond"/>
          <w:kern w:val="16"/>
          <w14:ligatures w14:val="standardContextual"/>
        </w:rPr>
        <w:t>uma vez</w:t>
      </w:r>
      <w:r>
        <w:rPr>
          <w:rFonts w:cs="EB Garamond"/>
          <w:kern w:val="16"/>
          <w14:ligatures w14:val="standardContextual"/>
        </w:rPr>
        <w:t xml:space="preserve"> que os valores acumulados raramente excedem 60 SM. O cálculo dos atrasados deve considerar: (i) parcelas da DIB até a efetiva implantação; (ii) correção monetária pelo IPCA-E (até EC 113/2021) ou pela SELIC (após EC 113); (iii) juros de mora na forma da lei. A tutela antecipada deferida no curso do processo gera compensação com os valores da condenação definitiva, os meses em que o dependente já recebeu por tutela são excluídos do cálculo dos atrasados.</w:t>
      </w:r>
    </w:p>
    <w:p w14:paraId="152686EA" w14:textId="77777777" w:rsidR="005A5FCC" w:rsidRDefault="00A21C81">
      <w:pPr>
        <w:ind w:firstLine="238"/>
      </w:pPr>
      <w:r>
        <w:rPr>
          <w:rFonts w:cs="EB Garamond"/>
          <w:b/>
          <w:kern w:val="16"/>
          <w14:ligatures w14:val="standardContextual"/>
        </w:rPr>
        <w:t>Instrução probatória.</w:t>
      </w:r>
      <w:r>
        <w:rPr>
          <w:rFonts w:cs="EB Garamond"/>
          <w:kern w:val="16"/>
          <w14:ligatures w14:val="standardContextual"/>
        </w:rPr>
        <w:t xml:space="preserve"> A produção de prova no auxílio-reclusão apresenta particularidades:</w:t>
      </w:r>
    </w:p>
    <w:p w14:paraId="021280B9" w14:textId="77777777" w:rsidR="005A5FCC" w:rsidRDefault="00A21C81">
      <w:pPr>
        <w:spacing w:after="40" w:line="252" w:lineRule="auto"/>
        <w:ind w:left="340" w:hanging="198"/>
      </w:pPr>
      <w:r>
        <w:rPr>
          <w:rFonts w:cs="EB Garamond"/>
          <w:color w:val="3A3128"/>
          <w:kern w:val="16"/>
          <w:sz w:val="20"/>
          <w14:ligatures w14:val="standardContextual"/>
        </w:rPr>
        <w:t xml:space="preserve">1. </w:t>
      </w:r>
      <w:r>
        <w:rPr>
          <w:rFonts w:cs="EB Garamond"/>
          <w:b/>
          <w:kern w:val="16"/>
          <w:sz w:val="20"/>
          <w14:ligatures w14:val="standardContextual"/>
        </w:rPr>
        <w:t>Prova documental penitenciária:</w:t>
      </w:r>
      <w:r>
        <w:rPr>
          <w:rFonts w:cs="EB Garamond"/>
          <w:kern w:val="16"/>
          <w:sz w:val="20"/>
          <w14:ligatures w14:val="standardContextual"/>
        </w:rPr>
        <w:t xml:space="preserve"> A certidão de recolhimento, o atestado carcerário e a declaração de regime prisional são documentos essenciais. O juiz pode oficiar diretamente o estabelecimento penal para obtenção de informações (nome do segurado, data da prisão, regime, eventuais fugas ou progressões).</w:t>
      </w:r>
    </w:p>
    <w:p w14:paraId="1AE0F826" w14:textId="77777777" w:rsidR="005A5FCC" w:rsidRDefault="005A5FCC">
      <w:pPr>
        <w:spacing w:after="60" w:line="240" w:lineRule="auto"/>
      </w:pPr>
    </w:p>
    <w:p w14:paraId="439C9376" w14:textId="110A4174" w:rsidR="005A5FCC" w:rsidRDefault="00AB040E">
      <w:pPr>
        <w:spacing w:after="40" w:line="252" w:lineRule="auto"/>
        <w:ind w:left="340" w:hanging="198"/>
      </w:pPr>
      <w:r>
        <w:rPr>
          <w:rFonts w:cs="EB Garamond"/>
          <w:color w:val="3A3128"/>
          <w:kern w:val="16"/>
          <w:sz w:val="20"/>
          <w14:ligatures w14:val="standardContextual"/>
        </w:rPr>
        <w:t>2</w:t>
      </w:r>
      <w:r w:rsidR="00A21C81">
        <w:rPr>
          <w:rFonts w:cs="EB Garamond"/>
          <w:color w:val="3A3128"/>
          <w:kern w:val="16"/>
          <w:sz w:val="20"/>
          <w14:ligatures w14:val="standardContextual"/>
        </w:rPr>
        <w:t xml:space="preserve">. </w:t>
      </w:r>
      <w:r w:rsidR="00A21C81">
        <w:rPr>
          <w:rFonts w:cs="EB Garamond"/>
          <w:b/>
          <w:kern w:val="16"/>
          <w:sz w:val="20"/>
          <w14:ligatures w14:val="standardContextual"/>
        </w:rPr>
        <w:t>Prova de dependência:</w:t>
      </w:r>
      <w:r w:rsidR="00A21C81">
        <w:rPr>
          <w:rFonts w:cs="EB Garamond"/>
          <w:kern w:val="16"/>
          <w:sz w:val="20"/>
          <w14:ligatures w14:val="standardContextual"/>
        </w:rPr>
        <w:t xml:space="preserve"> Especialmente para companheiras, a prova testemunhal é frequentemente necessária. A oitiva de testemunhas nos JEFs pode ser combinada com documentação indireta (visitação ao preso, correspondências, filhos em comum).</w:t>
      </w:r>
    </w:p>
    <w:p w14:paraId="68D1F58C" w14:textId="77777777" w:rsidR="005A5FCC" w:rsidRDefault="005A5FCC">
      <w:pPr>
        <w:spacing w:after="60" w:line="240" w:lineRule="auto"/>
      </w:pPr>
    </w:p>
    <w:p w14:paraId="59C5FA56" w14:textId="5ED56216" w:rsidR="005A5FCC" w:rsidRDefault="00AB040E">
      <w:pPr>
        <w:spacing w:after="40" w:line="252" w:lineRule="auto"/>
        <w:ind w:left="340" w:hanging="198"/>
      </w:pPr>
      <w:r>
        <w:rPr>
          <w:rFonts w:cs="EB Garamond"/>
          <w:color w:val="3A3128"/>
          <w:kern w:val="16"/>
          <w:sz w:val="20"/>
          <w14:ligatures w14:val="standardContextual"/>
        </w:rPr>
        <w:t>3</w:t>
      </w:r>
      <w:r w:rsidR="00A21C81">
        <w:rPr>
          <w:rFonts w:cs="EB Garamond"/>
          <w:color w:val="3A3128"/>
          <w:kern w:val="16"/>
          <w:sz w:val="20"/>
          <w14:ligatures w14:val="standardContextual"/>
        </w:rPr>
        <w:t xml:space="preserve">. </w:t>
      </w:r>
      <w:r w:rsidR="00A21C81">
        <w:rPr>
          <w:rFonts w:cs="EB Garamond"/>
          <w:b/>
          <w:kern w:val="16"/>
          <w:sz w:val="20"/>
          <w14:ligatures w14:val="standardContextual"/>
        </w:rPr>
        <w:t>Prova de renda:</w:t>
      </w:r>
      <w:r w:rsidR="00A21C81">
        <w:rPr>
          <w:rFonts w:cs="EB Garamond"/>
          <w:kern w:val="16"/>
          <w:sz w:val="20"/>
          <w14:ligatures w14:val="standardContextual"/>
        </w:rPr>
        <w:t xml:space="preserve"> O CNIS é a principal fonte para aferição da renda do segurado. Em caso de inconsistências ou omissões, a retificação do CNIS pode ser realizada incidentalmente no processo.</w:t>
      </w:r>
    </w:p>
    <w:p w14:paraId="1B21A676" w14:textId="77777777" w:rsidR="005A5FCC" w:rsidRDefault="005A5FCC">
      <w:pPr>
        <w:spacing w:after="60" w:line="240" w:lineRule="auto"/>
      </w:pPr>
    </w:p>
    <w:tbl>
      <w:tblPr>
        <w:tblW w:w="5000" w:type="pct"/>
        <w:jc w:val="center"/>
        <w:tblLayout w:type="fixed"/>
        <w:tblLook w:val="04A0" w:firstRow="1" w:lastRow="0" w:firstColumn="1" w:lastColumn="0" w:noHBand="0" w:noVBand="1"/>
      </w:tblPr>
      <w:tblGrid>
        <w:gridCol w:w="6311"/>
      </w:tblGrid>
      <w:tr w:rsidR="005A5FCC" w14:paraId="4C8BB222"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74FBC1F3"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794C733F" w14:textId="77777777" w:rsidR="005A5FCC" w:rsidRDefault="00A21C81">
            <w:pPr>
              <w:spacing w:after="60" w:line="247" w:lineRule="auto"/>
            </w:pPr>
            <w:r>
              <w:rPr>
                <w:rFonts w:cs="EB Garamond"/>
                <w:b/>
                <w:kern w:val="16"/>
                <w:sz w:val="19"/>
                <w14:ligatures w14:val="standardContextual"/>
              </w:rPr>
              <w:t>Competência: JEF × Vara Federal × Justiça Estadual</w:t>
            </w:r>
          </w:p>
          <w:tbl>
            <w:tblPr>
              <w:tblW w:w="5000" w:type="pct"/>
              <w:jc w:val="center"/>
              <w:tblLook w:val="04A0" w:firstRow="1" w:lastRow="0" w:firstColumn="1" w:lastColumn="0" w:noHBand="0" w:noVBand="1"/>
            </w:tblPr>
            <w:tblGrid>
              <w:gridCol w:w="2951"/>
              <w:gridCol w:w="2950"/>
            </w:tblGrid>
            <w:tr w:rsidR="005A5FCC" w14:paraId="60B1AC04" w14:textId="77777777">
              <w:trPr>
                <w:tblHeader/>
                <w:jc w:val="center"/>
              </w:trPr>
              <w:tc>
                <w:tcPr>
                  <w:tcW w:w="3175" w:type="dxa"/>
                  <w:tcBorders>
                    <w:top w:val="single" w:sz="4" w:space="0" w:color="D2C9B8"/>
                    <w:left w:val="single" w:sz="4" w:space="0" w:color="D2C9B8"/>
                    <w:bottom w:val="single" w:sz="4" w:space="0" w:color="D2C9B8"/>
                    <w:right w:val="single" w:sz="4" w:space="0" w:color="D2C9B8"/>
                  </w:tcBorders>
                  <w:shd w:val="clear" w:color="auto" w:fill="F0EDE6"/>
                </w:tcPr>
                <w:p w14:paraId="04EE2E5A" w14:textId="77777777" w:rsidR="005A5FCC" w:rsidRDefault="00A21C81">
                  <w:pPr>
                    <w:spacing w:before="30" w:after="30" w:line="240" w:lineRule="auto"/>
                    <w:jc w:val="center"/>
                  </w:pPr>
                  <w:r>
                    <w:rPr>
                      <w:rFonts w:cs="EB Garamond"/>
                      <w:b/>
                      <w:color w:val="2F2923"/>
                      <w:kern w:val="16"/>
                      <w:sz w:val="16"/>
                      <w14:ligatures w14:val="standardContextual"/>
                    </w:rPr>
                    <w:t>Situação</w:t>
                  </w:r>
                </w:p>
              </w:tc>
              <w:tc>
                <w:tcPr>
                  <w:tcW w:w="3175" w:type="dxa"/>
                  <w:tcBorders>
                    <w:top w:val="single" w:sz="4" w:space="0" w:color="D2C9B8"/>
                    <w:left w:val="single" w:sz="4" w:space="0" w:color="D2C9B8"/>
                    <w:bottom w:val="single" w:sz="4" w:space="0" w:color="D2C9B8"/>
                    <w:right w:val="single" w:sz="4" w:space="0" w:color="D2C9B8"/>
                  </w:tcBorders>
                  <w:shd w:val="clear" w:color="auto" w:fill="F0EDE6"/>
                </w:tcPr>
                <w:p w14:paraId="4074ECEA" w14:textId="77777777" w:rsidR="005A5FCC" w:rsidRDefault="00A21C81">
                  <w:pPr>
                    <w:spacing w:before="30" w:after="30" w:line="240" w:lineRule="auto"/>
                    <w:jc w:val="center"/>
                  </w:pPr>
                  <w:r>
                    <w:rPr>
                      <w:rFonts w:cs="EB Garamond"/>
                      <w:b/>
                      <w:color w:val="2F2923"/>
                      <w:kern w:val="16"/>
                      <w:sz w:val="16"/>
                      <w14:ligatures w14:val="standardContextual"/>
                    </w:rPr>
                    <w:t>Competência</w:t>
                  </w:r>
                </w:p>
              </w:tc>
            </w:tr>
            <w:tr w:rsidR="005A5FCC" w14:paraId="186BA3D5"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1B20FB95" w14:textId="77777777" w:rsidR="005A5FCC" w:rsidRDefault="00A21C81">
                  <w:pPr>
                    <w:spacing w:before="20" w:after="20" w:line="240" w:lineRule="auto"/>
                    <w:jc w:val="left"/>
                  </w:pPr>
                  <w:r>
                    <w:rPr>
                      <w:rFonts w:cs="EB Garamond"/>
                      <w:kern w:val="16"/>
                      <w:sz w:val="16"/>
                      <w14:ligatures w14:val="standardContextual"/>
                    </w:rPr>
                    <w:t>Concessão/restabelecimento do AR (valor ≤ 60 SM)</w:t>
                  </w:r>
                </w:p>
              </w:tc>
              <w:tc>
                <w:tcPr>
                  <w:tcW w:w="3175" w:type="dxa"/>
                  <w:tcBorders>
                    <w:top w:val="single" w:sz="4" w:space="0" w:color="D2C9B8"/>
                    <w:left w:val="single" w:sz="4" w:space="0" w:color="D2C9B8"/>
                    <w:bottom w:val="single" w:sz="4" w:space="0" w:color="D2C9B8"/>
                    <w:right w:val="single" w:sz="4" w:space="0" w:color="D2C9B8"/>
                  </w:tcBorders>
                </w:tcPr>
                <w:p w14:paraId="5B604CB5" w14:textId="77777777" w:rsidR="005A5FCC" w:rsidRDefault="00A21C81">
                  <w:pPr>
                    <w:spacing w:before="20" w:after="20" w:line="240" w:lineRule="auto"/>
                    <w:jc w:val="left"/>
                  </w:pPr>
                  <w:r>
                    <w:rPr>
                      <w:rFonts w:cs="EB Garamond"/>
                      <w:kern w:val="16"/>
                      <w:sz w:val="16"/>
                      <w14:ligatures w14:val="standardContextual"/>
                    </w:rPr>
                    <w:t>JEF</w:t>
                  </w:r>
                </w:p>
              </w:tc>
            </w:tr>
            <w:tr w:rsidR="005A5FCC" w14:paraId="3C116E2C"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7478E151" w14:textId="77777777" w:rsidR="005A5FCC" w:rsidRDefault="00A21C81">
                  <w:pPr>
                    <w:spacing w:before="20" w:after="20" w:line="240" w:lineRule="auto"/>
                    <w:jc w:val="left"/>
                  </w:pPr>
                  <w:r>
                    <w:rPr>
                      <w:rFonts w:cs="EB Garamond"/>
                      <w:kern w:val="16"/>
                      <w:sz w:val="16"/>
                      <w14:ligatures w14:val="standardContextual"/>
                    </w:rPr>
                    <w:t>Concessão/restabelecimento do AR (valor &gt; 60 SM)</w:t>
                  </w:r>
                </w:p>
              </w:tc>
              <w:tc>
                <w:tcPr>
                  <w:tcW w:w="3175" w:type="dxa"/>
                  <w:tcBorders>
                    <w:top w:val="single" w:sz="4" w:space="0" w:color="D2C9B8"/>
                    <w:left w:val="single" w:sz="4" w:space="0" w:color="D2C9B8"/>
                    <w:bottom w:val="single" w:sz="4" w:space="0" w:color="D2C9B8"/>
                    <w:right w:val="single" w:sz="4" w:space="0" w:color="D2C9B8"/>
                  </w:tcBorders>
                </w:tcPr>
                <w:p w14:paraId="5C68D071" w14:textId="77777777" w:rsidR="005A5FCC" w:rsidRDefault="00A21C81">
                  <w:pPr>
                    <w:spacing w:before="20" w:after="20" w:line="240" w:lineRule="auto"/>
                    <w:jc w:val="left"/>
                  </w:pPr>
                  <w:r>
                    <w:rPr>
                      <w:rFonts w:cs="EB Garamond"/>
                      <w:kern w:val="16"/>
                      <w:sz w:val="16"/>
                      <w14:ligatures w14:val="standardContextual"/>
                    </w:rPr>
                    <w:t>Vara Federal</w:t>
                  </w:r>
                </w:p>
              </w:tc>
            </w:tr>
            <w:tr w:rsidR="005A5FCC" w14:paraId="2C8B11A4"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03BC4FC7" w14:textId="77777777" w:rsidR="005A5FCC" w:rsidRDefault="00A21C81">
                  <w:pPr>
                    <w:spacing w:before="20" w:after="20" w:line="240" w:lineRule="auto"/>
                    <w:jc w:val="left"/>
                  </w:pPr>
                  <w:r>
                    <w:rPr>
                      <w:rFonts w:cs="EB Garamond"/>
                      <w:kern w:val="16"/>
                      <w:sz w:val="16"/>
                      <w14:ligatures w14:val="standardContextual"/>
                    </w:rPr>
                    <w:t>Revisão do valor do AR</w:t>
                  </w:r>
                </w:p>
              </w:tc>
              <w:tc>
                <w:tcPr>
                  <w:tcW w:w="3175" w:type="dxa"/>
                  <w:tcBorders>
                    <w:top w:val="single" w:sz="4" w:space="0" w:color="D2C9B8"/>
                    <w:left w:val="single" w:sz="4" w:space="0" w:color="D2C9B8"/>
                    <w:bottom w:val="single" w:sz="4" w:space="0" w:color="D2C9B8"/>
                    <w:right w:val="single" w:sz="4" w:space="0" w:color="D2C9B8"/>
                  </w:tcBorders>
                </w:tcPr>
                <w:p w14:paraId="6A4D24D6" w14:textId="77777777" w:rsidR="005A5FCC" w:rsidRDefault="00A21C81">
                  <w:pPr>
                    <w:spacing w:before="20" w:after="20" w:line="240" w:lineRule="auto"/>
                    <w:jc w:val="left"/>
                  </w:pPr>
                  <w:r>
                    <w:rPr>
                      <w:rFonts w:cs="EB Garamond"/>
                      <w:kern w:val="16"/>
                      <w:sz w:val="16"/>
                      <w14:ligatures w14:val="standardContextual"/>
                    </w:rPr>
                    <w:t>JEF (se valor ≤ 60 SM)</w:t>
                  </w:r>
                </w:p>
              </w:tc>
            </w:tr>
            <w:tr w:rsidR="005A5FCC" w14:paraId="0B372288"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6E3089A1" w14:textId="77777777" w:rsidR="005A5FCC" w:rsidRDefault="00A21C81">
                  <w:pPr>
                    <w:spacing w:before="20" w:after="20" w:line="240" w:lineRule="auto"/>
                    <w:jc w:val="left"/>
                  </w:pPr>
                  <w:r>
                    <w:rPr>
                      <w:rFonts w:cs="EB Garamond"/>
                      <w:kern w:val="16"/>
                      <w:sz w:val="16"/>
                      <w14:ligatures w14:val="standardContextual"/>
                    </w:rPr>
                    <w:t>Conversão AR → pensão por morte</w:t>
                  </w:r>
                </w:p>
              </w:tc>
              <w:tc>
                <w:tcPr>
                  <w:tcW w:w="3175" w:type="dxa"/>
                  <w:tcBorders>
                    <w:top w:val="single" w:sz="4" w:space="0" w:color="D2C9B8"/>
                    <w:left w:val="single" w:sz="4" w:space="0" w:color="D2C9B8"/>
                    <w:bottom w:val="single" w:sz="4" w:space="0" w:color="D2C9B8"/>
                    <w:right w:val="single" w:sz="4" w:space="0" w:color="D2C9B8"/>
                  </w:tcBorders>
                </w:tcPr>
                <w:p w14:paraId="571CE983" w14:textId="77777777" w:rsidR="005A5FCC" w:rsidRDefault="00A21C81">
                  <w:pPr>
                    <w:spacing w:before="20" w:after="20" w:line="240" w:lineRule="auto"/>
                    <w:jc w:val="left"/>
                  </w:pPr>
                  <w:r>
                    <w:rPr>
                      <w:rFonts w:cs="EB Garamond"/>
                      <w:kern w:val="16"/>
                      <w:sz w:val="16"/>
                      <w14:ligatures w14:val="standardContextual"/>
                    </w:rPr>
                    <w:t>JEF (se valor ≤ 60 SM)</w:t>
                  </w:r>
                </w:p>
              </w:tc>
            </w:tr>
            <w:tr w:rsidR="005A5FCC" w14:paraId="5E99936D"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5D346A03" w14:textId="77777777" w:rsidR="005A5FCC" w:rsidRDefault="00A21C81">
                  <w:pPr>
                    <w:spacing w:before="20" w:after="20" w:line="240" w:lineRule="auto"/>
                    <w:jc w:val="left"/>
                  </w:pPr>
                  <w:r>
                    <w:rPr>
                      <w:rFonts w:cs="EB Garamond"/>
                      <w:kern w:val="16"/>
                      <w:sz w:val="16"/>
                      <w14:ligatures w14:val="standardContextual"/>
                    </w:rPr>
                    <w:t>Questões penais (regime, progressão, fuga)</w:t>
                  </w:r>
                </w:p>
              </w:tc>
              <w:tc>
                <w:tcPr>
                  <w:tcW w:w="3175" w:type="dxa"/>
                  <w:tcBorders>
                    <w:top w:val="single" w:sz="4" w:space="0" w:color="D2C9B8"/>
                    <w:left w:val="single" w:sz="4" w:space="0" w:color="D2C9B8"/>
                    <w:bottom w:val="single" w:sz="4" w:space="0" w:color="D2C9B8"/>
                    <w:right w:val="single" w:sz="4" w:space="0" w:color="D2C9B8"/>
                  </w:tcBorders>
                </w:tcPr>
                <w:p w14:paraId="3ED3CE2E" w14:textId="77777777" w:rsidR="005A5FCC" w:rsidRDefault="00A21C81">
                  <w:pPr>
                    <w:spacing w:before="20" w:after="20" w:line="240" w:lineRule="auto"/>
                    <w:jc w:val="left"/>
                  </w:pPr>
                  <w:r>
                    <w:rPr>
                      <w:rFonts w:cs="EB Garamond"/>
                      <w:kern w:val="16"/>
                      <w:sz w:val="16"/>
                      <w14:ligatures w14:val="standardContextual"/>
                    </w:rPr>
                    <w:t>Vara de Execuções Penais (Justiça Estadual ou Federal)</w:t>
                  </w:r>
                </w:p>
              </w:tc>
            </w:tr>
            <w:tr w:rsidR="005A5FCC" w14:paraId="05F99751"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44B998D6" w14:textId="77777777" w:rsidR="005A5FCC" w:rsidRDefault="00A21C81">
                  <w:pPr>
                    <w:spacing w:before="20" w:after="20" w:line="240" w:lineRule="auto"/>
                    <w:jc w:val="left"/>
                  </w:pPr>
                  <w:r>
                    <w:rPr>
                      <w:rFonts w:cs="EB Garamond"/>
                      <w:kern w:val="16"/>
                      <w:sz w:val="16"/>
                      <w14:ligatures w14:val="standardContextual"/>
                    </w:rPr>
                    <w:t>Mandado de segurança contra ato do INSS</w:t>
                  </w:r>
                </w:p>
              </w:tc>
              <w:tc>
                <w:tcPr>
                  <w:tcW w:w="3175" w:type="dxa"/>
                  <w:tcBorders>
                    <w:top w:val="single" w:sz="4" w:space="0" w:color="D2C9B8"/>
                    <w:left w:val="single" w:sz="4" w:space="0" w:color="D2C9B8"/>
                    <w:bottom w:val="single" w:sz="4" w:space="0" w:color="D2C9B8"/>
                    <w:right w:val="single" w:sz="4" w:space="0" w:color="D2C9B8"/>
                  </w:tcBorders>
                </w:tcPr>
                <w:p w14:paraId="1F291439" w14:textId="77777777" w:rsidR="005A5FCC" w:rsidRDefault="00A21C81">
                  <w:pPr>
                    <w:spacing w:before="20" w:after="20" w:line="240" w:lineRule="auto"/>
                    <w:jc w:val="left"/>
                  </w:pPr>
                  <w:r>
                    <w:rPr>
                      <w:rFonts w:cs="EB Garamond"/>
                      <w:kern w:val="16"/>
                      <w:sz w:val="16"/>
                      <w14:ligatures w14:val="standardContextual"/>
                    </w:rPr>
                    <w:t>Vara Federal (não JEF)</w:t>
                  </w:r>
                </w:p>
              </w:tc>
            </w:tr>
          </w:tbl>
          <w:p w14:paraId="532EB246" w14:textId="77777777" w:rsidR="005A5FCC" w:rsidRDefault="005A5FCC"/>
          <w:p w14:paraId="417A1BF2" w14:textId="77777777" w:rsidR="005A5FCC" w:rsidRDefault="005A5FCC">
            <w:pPr>
              <w:spacing w:after="0" w:line="240" w:lineRule="auto"/>
            </w:pPr>
          </w:p>
          <w:p w14:paraId="048ED7B4" w14:textId="77777777" w:rsidR="005A5FCC" w:rsidRDefault="00A21C81">
            <w:pPr>
              <w:spacing w:after="60" w:line="247" w:lineRule="auto"/>
            </w:pPr>
            <w:r>
              <w:rPr>
                <w:rFonts w:cs="EB Garamond"/>
                <w:b/>
                <w:kern w:val="16"/>
                <w:sz w:val="19"/>
                <w14:ligatures w14:val="standardContextual"/>
              </w:rPr>
              <w:t>Atenção:</w:t>
            </w:r>
            <w:r>
              <w:rPr>
                <w:rFonts w:cs="EB Garamond"/>
                <w:kern w:val="16"/>
                <w:sz w:val="19"/>
                <w14:ligatures w14:val="standardContextual"/>
              </w:rPr>
              <w:t xml:space="preserve"> O JEF NÃO pode interferir em questões penais (regime prisional, progressão). Se a discussão envolver o regime prisional, o JEF deve utilizar como prova a decisão do juízo da execução penal, não pode, por si, determinar o regime.</w:t>
            </w:r>
          </w:p>
          <w:p w14:paraId="76F5BE1F" w14:textId="77777777" w:rsidR="005A5FCC" w:rsidRDefault="00A21C81">
            <w:pPr>
              <w:spacing w:after="60" w:line="247" w:lineRule="auto"/>
            </w:pPr>
            <w:r>
              <w:rPr>
                <w:rFonts w:cs="EB Garamond"/>
                <w:b/>
                <w:kern w:val="16"/>
                <w:sz w:val="19"/>
                <w14:ligatures w14:val="standardContextual"/>
              </w:rPr>
              <w:t>Valor da causa no AR:</w:t>
            </w:r>
            <w:r>
              <w:rPr>
                <w:rFonts w:cs="EB Garamond"/>
                <w:kern w:val="16"/>
                <w:sz w:val="19"/>
                <w14:ligatures w14:val="standardContextual"/>
              </w:rPr>
              <w:t xml:space="preserve"> - Prestações vencidas (da DIB até o ajuizamento) + 12 prestações vincendas - Exemplo: preso há 8 meses, AR de R$ 1.621,00 → (8 × R$ 1.621,00) + (12 × R$ 1.621,00) = R$ 32.420,00 → JEF competente</w:t>
            </w:r>
          </w:p>
        </w:tc>
      </w:tr>
    </w:tbl>
    <w:p w14:paraId="263D9A65" w14:textId="77777777" w:rsidR="005A5FCC" w:rsidRDefault="005A5FCC">
      <w:pPr>
        <w:spacing w:after="80" w:line="240" w:lineRule="auto"/>
      </w:pPr>
    </w:p>
    <w:tbl>
      <w:tblPr>
        <w:tblW w:w="5000" w:type="pct"/>
        <w:jc w:val="center"/>
        <w:tblLayout w:type="fixed"/>
        <w:tblLook w:val="04A0" w:firstRow="1" w:lastRow="0" w:firstColumn="1" w:lastColumn="0" w:noHBand="0" w:noVBand="1"/>
      </w:tblPr>
      <w:tblGrid>
        <w:gridCol w:w="6311"/>
      </w:tblGrid>
      <w:tr w:rsidR="005A5FCC" w14:paraId="6D331C4B"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2458D894" w14:textId="77777777" w:rsidR="005A5FCC" w:rsidRDefault="00A21C81">
            <w:pPr>
              <w:spacing w:after="60" w:line="240" w:lineRule="auto"/>
              <w:jc w:val="left"/>
            </w:pPr>
            <w:r>
              <w:rPr>
                <w:rFonts w:ascii="Noto Sans" w:hAnsi="Noto Sans" w:cs="Noto Sans"/>
                <w:b/>
                <w:caps/>
                <w:color w:val="4D6F8A"/>
                <w:kern w:val="16"/>
                <w:sz w:val="16"/>
                <w14:ligatures w14:val="standardContextual"/>
              </w:rPr>
              <w:lastRenderedPageBreak/>
              <w:t>JURISPRUDÊNCIA EM DESTAQUE</w:t>
            </w:r>
          </w:p>
          <w:p w14:paraId="7F796EF8" w14:textId="77777777" w:rsidR="005A5FCC" w:rsidRDefault="00A21C81">
            <w:pPr>
              <w:spacing w:after="60" w:line="247" w:lineRule="auto"/>
            </w:pPr>
            <w:r>
              <w:rPr>
                <w:rFonts w:cs="EB Garamond"/>
                <w:b/>
                <w:kern w:val="16"/>
                <w:sz w:val="19"/>
                <w14:ligatures w14:val="standardContextual"/>
              </w:rPr>
              <w:t>Tutela de urgência: irreversibilidade e natureza alimentar</w:t>
            </w:r>
          </w:p>
          <w:p w14:paraId="70A30BB0" w14:textId="77777777" w:rsidR="005A5FCC" w:rsidRDefault="00A21C81">
            <w:pPr>
              <w:spacing w:after="60" w:line="247" w:lineRule="auto"/>
            </w:pPr>
            <w:r>
              <w:rPr>
                <w:rFonts w:cs="EB Garamond"/>
                <w:kern w:val="16"/>
                <w:sz w:val="19"/>
                <w14:ligatures w14:val="standardContextual"/>
              </w:rPr>
              <w:t>A jurisprudência dos TRFs é consistente na concessão de tutela antecipada para implantação imediata do auxílio-reclusão:</w:t>
            </w:r>
          </w:p>
          <w:p w14:paraId="3A0458D9" w14:textId="77777777" w:rsidR="005A5FCC" w:rsidRDefault="00A21C81">
            <w:pPr>
              <w:spacing w:after="60" w:line="247" w:lineRule="auto"/>
            </w:pPr>
            <w:r>
              <w:rPr>
                <w:rFonts w:cs="EB Garamond"/>
                <w:b/>
                <w:kern w:val="16"/>
                <w:sz w:val="19"/>
                <w14:ligatures w14:val="standardContextual"/>
              </w:rPr>
              <w:t>TRF3, 7ª Turma:</w:t>
            </w:r>
            <w:r>
              <w:rPr>
                <w:rFonts w:cs="EB Garamond"/>
                <w:kern w:val="16"/>
                <w:sz w:val="19"/>
                <w14:ligatures w14:val="standardContextual"/>
              </w:rPr>
              <w:t xml:space="preserve"> "A natureza alimentar do auxílio-reclusão autoriza a concessão de tutela antecipada, pois a demora na prestação jurisdicional priva a família do segurado preso de meios de subsistência, configurando perigo de dano irreparável."</w:t>
            </w:r>
          </w:p>
          <w:p w14:paraId="53D144B0" w14:textId="77777777" w:rsidR="005A5FCC" w:rsidRDefault="00A21C81">
            <w:pPr>
              <w:spacing w:after="60" w:line="247" w:lineRule="auto"/>
            </w:pPr>
            <w:r>
              <w:rPr>
                <w:rFonts w:cs="EB Garamond"/>
                <w:b/>
                <w:kern w:val="16"/>
                <w:sz w:val="19"/>
                <w14:ligatures w14:val="standardContextual"/>
              </w:rPr>
              <w:t>TRF4, Turma Regional de Uniformização:</w:t>
            </w:r>
            <w:r>
              <w:rPr>
                <w:rFonts w:cs="EB Garamond"/>
                <w:kern w:val="16"/>
                <w:sz w:val="19"/>
                <w14:ligatures w14:val="standardContextual"/>
              </w:rPr>
              <w:t xml:space="preserve"> "A reversibilidade dos efeitos da antecipação de tutela, nos benefícios previdenciários de natureza alimentar, deve ser compreendida de forma mitigada, pois os valores pagos destinam-se à sobrevivência do beneficiário."</w:t>
            </w:r>
          </w:p>
          <w:p w14:paraId="1E44F532" w14:textId="77777777" w:rsidR="005A5FCC" w:rsidRDefault="00A21C81">
            <w:pPr>
              <w:spacing w:after="60" w:line="247" w:lineRule="auto"/>
            </w:pPr>
            <w:r>
              <w:rPr>
                <w:rFonts w:cs="EB Garamond"/>
                <w:b/>
                <w:kern w:val="16"/>
                <w:sz w:val="19"/>
                <w14:ligatures w14:val="standardContextual"/>
              </w:rPr>
              <w:t>TNU, Pedido 0507883-32.2017.4.05.8400:</w:t>
            </w:r>
            <w:r>
              <w:rPr>
                <w:rFonts w:cs="EB Garamond"/>
                <w:kern w:val="16"/>
                <w:sz w:val="19"/>
                <w14:ligatures w14:val="standardContextual"/>
              </w:rPr>
              <w:t xml:space="preserve"> "Em matéria de auxílio-reclusão, o perigo de dano é presumido quando comprovada a dependência econômica e a ausência de outra fonte de renda, considerando que a privação de liberdade do segurado impossibilita o sustento da família."</w:t>
            </w:r>
          </w:p>
          <w:p w14:paraId="567F5029" w14:textId="77777777" w:rsidR="005A5FCC" w:rsidRDefault="00A21C81">
            <w:pPr>
              <w:spacing w:after="60" w:line="247" w:lineRule="auto"/>
            </w:pPr>
            <w:r>
              <w:rPr>
                <w:rFonts w:cs="EB Garamond"/>
                <w:b/>
                <w:kern w:val="16"/>
                <w:sz w:val="19"/>
                <w14:ligatures w14:val="standardContextual"/>
              </w:rPr>
              <w:t>Orientação prática:</w:t>
            </w:r>
            <w:r>
              <w:rPr>
                <w:rFonts w:cs="EB Garamond"/>
                <w:kern w:val="16"/>
                <w:sz w:val="19"/>
                <w14:ligatures w14:val="standardContextual"/>
              </w:rPr>
              <w:t xml:space="preserve"> Sempre requerer tutela antecipada no AR. A jurisprudência é amplamente favorável, e a demora na prestação jurisdicional gera danos reais e imediatos aos dependentes.</w:t>
            </w:r>
          </w:p>
        </w:tc>
      </w:tr>
    </w:tbl>
    <w:p w14:paraId="5CD15C8F" w14:textId="77777777" w:rsidR="005A5FCC" w:rsidRDefault="005A5FCC">
      <w:pPr>
        <w:spacing w:after="80" w:line="240" w:lineRule="auto"/>
      </w:pPr>
    </w:p>
    <w:p w14:paraId="66D8C8C4"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14.19 Questões especiais e controvérsias emergentes</w:t>
      </w:r>
    </w:p>
    <w:p w14:paraId="259AF9D8"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456FA9DC" w14:textId="77777777" w:rsidR="005A5FCC" w:rsidRDefault="00A21C81">
      <w:r>
        <w:rPr>
          <w:rFonts w:cs="EB Garamond"/>
          <w:kern w:val="16"/>
          <w14:ligatures w14:val="standardContextual"/>
        </w:rPr>
        <w:t xml:space="preserve"> auxílio-reclusão suscita diversas questões que transcendem a aplicação ordinária do benefício. Essas "questões especiais" refletem a complexidade da interseção entre o sistema previdenciário e o sistema penal, agravada pelas transformações sociais e normativas dos últimos anos.</w:t>
      </w:r>
    </w:p>
    <w:p w14:paraId="67D44751" w14:textId="77777777" w:rsidR="005A5FCC" w:rsidRDefault="00A21C81">
      <w:pPr>
        <w:ind w:firstLine="238"/>
      </w:pPr>
      <w:r>
        <w:rPr>
          <w:rFonts w:cs="EB Garamond"/>
          <w:b/>
          <w:kern w:val="16"/>
          <w14:ligatures w14:val="standardContextual"/>
        </w:rPr>
        <w:t>Morte do segurado preso: conversão automática em pensão por morte.</w:t>
      </w:r>
      <w:r>
        <w:rPr>
          <w:rFonts w:cs="EB Garamond"/>
          <w:kern w:val="16"/>
          <w14:ligatures w14:val="standardContextual"/>
        </w:rPr>
        <w:t xml:space="preserve"> A conversão AR → PM opera-se automaticamente na data do óbito (art. 80, parágrafo único, Lei 8.213/91), conforme examinado na seção 14.16, item 2, supra. Registre-se que a conversão pode alterar o valor: o AR pós-EC 103 é de 1 SM, mas a PM segue regras próprias de cálculo (60% + 10% por dependente adicional — v. Cap. 19), podendo resultar em valor superior ou inferior.</w:t>
      </w:r>
    </w:p>
    <w:p w14:paraId="55C0EBEE" w14:textId="77777777" w:rsidR="005A5FCC" w:rsidRDefault="00A21C81">
      <w:pPr>
        <w:ind w:firstLine="238"/>
      </w:pPr>
      <w:r>
        <w:rPr>
          <w:rFonts w:cs="EB Garamond"/>
          <w:b/>
          <w:kern w:val="16"/>
          <w14:ligatures w14:val="standardContextual"/>
        </w:rPr>
        <w:lastRenderedPageBreak/>
        <w:t>Segurada presa e salário-maternidade.</w:t>
      </w:r>
      <w:r>
        <w:rPr>
          <w:rFonts w:cs="EB Garamond"/>
          <w:kern w:val="16"/>
          <w14:ligatures w14:val="standardContextual"/>
        </w:rPr>
        <w:t xml:space="preserve"> A segurada recolhida à prisão que dá à luz tem direito ao salário-maternidade (art. 71, Lei 8.213/91). A questão é se o salário-maternidade substitui ou se acumula com eventual auxílio-reclusão que estivesse sendo pago aos dependentes de outro segurado preso (situação rara, mas possível). Em princípio, não há vedação à acumulação, pois os benefícios têm fatos geradores, titulares e finalidades distintos (ver Cap. 13, seção 13.14).</w:t>
      </w:r>
    </w:p>
    <w:p w14:paraId="6527ECD0" w14:textId="77777777" w:rsidR="005A5FCC" w:rsidRDefault="00A21C81">
      <w:pPr>
        <w:ind w:firstLine="238"/>
      </w:pPr>
      <w:r>
        <w:rPr>
          <w:rFonts w:cs="EB Garamond"/>
          <w:b/>
          <w:kern w:val="16"/>
          <w14:ligatures w14:val="standardContextual"/>
        </w:rPr>
        <w:t>MEI preso.</w:t>
      </w:r>
      <w:r>
        <w:rPr>
          <w:rFonts w:cs="EB Garamond"/>
          <w:kern w:val="16"/>
          <w14:ligatures w14:val="standardContextual"/>
        </w:rPr>
        <w:t xml:space="preserve"> O Microempreendedor Individual (MEI) que é recolhido à prisão gera direito ao auxílio-reclusão para seus dependentes, desde que: (a) estivesse em dia com as contribuições no momento da prisão (ou dentro do período de graça); (b) sua renda se enquadre como baixa renda; e (c) cumpra a carência de 24 contribuições (no regime pós-EC 103). A particularidade é que o MEI contribui com 5% do SM (alíquota reduzida), o que pode gerar dúvida sobre a contagem dessas contribuições para fins de carência do AR. A resposta é afirmativa </w:t>
      </w:r>
      <w:r>
        <w:rPr>
          <w:rFonts w:cs="EB Garamond"/>
          <w:b/>
          <w:kern w:val="16"/>
          <w14:ligatures w14:val="standardContextual"/>
        </w:rPr>
        <w:t>para a carência do auxílio-reclusão</w:t>
      </w:r>
      <w:r>
        <w:rPr>
          <w:rFonts w:cs="EB Garamond"/>
          <w:kern w:val="16"/>
          <w14:ligatures w14:val="standardContextual"/>
        </w:rPr>
        <w:t xml:space="preserve">: a carência é contagem de meses (art. 24, Lei 8.213/91), e cada competência recolhida pelo MEI, ainda que pela alíquota reduzida, integra essa contagem. Cumpre, todavia, evitar a generalização: a contribuição reduzida do MEI/baixa renda (5% ou 11% do SM, art. 21, § 2º, Lei 8.212/91) </w:t>
      </w:r>
      <w:r>
        <w:rPr>
          <w:rFonts w:cs="EB Garamond"/>
          <w:b/>
          <w:kern w:val="16"/>
          <w14:ligatures w14:val="standardContextual"/>
        </w:rPr>
        <w:t>não</w:t>
      </w:r>
      <w:r>
        <w:rPr>
          <w:rFonts w:cs="EB Garamond"/>
          <w:kern w:val="16"/>
          <w14:ligatures w14:val="standardContextual"/>
        </w:rPr>
        <w:t xml:space="preserve"> confere acesso, sem complementação, aos benefícios que exigem </w:t>
      </w:r>
      <w:r>
        <w:rPr>
          <w:rFonts w:cs="EB Garamond"/>
          <w:b/>
          <w:kern w:val="16"/>
          <w14:ligatures w14:val="standardContextual"/>
        </w:rPr>
        <w:t>tempo de contribuição</w:t>
      </w:r>
      <w:r>
        <w:rPr>
          <w:rFonts w:cs="EB Garamond"/>
          <w:kern w:val="16"/>
          <w14:ligatures w14:val="standardContextual"/>
        </w:rPr>
        <w:t xml:space="preserve"> — notadamente a aposentadoria por tempo de contribuição —, salvo se o segurado complementar o recolhimento na forma do art. 21, § 3º, da Lei 8.212/91 (alíquota complementar para atingir os 20%). Em síntese: para a carência do AR, a contribuição do MEI computa normalmente; para a aposentadoria por tempo de contribuição, exige complementação.</w:t>
      </w:r>
    </w:p>
    <w:p w14:paraId="47B4E238" w14:textId="77777777" w:rsidR="005A5FCC" w:rsidRDefault="00A21C81">
      <w:pPr>
        <w:ind w:firstLine="238"/>
      </w:pPr>
      <w:r>
        <w:rPr>
          <w:rFonts w:cs="EB Garamond"/>
          <w:b/>
          <w:kern w:val="16"/>
          <w14:ligatures w14:val="standardContextual"/>
        </w:rPr>
        <w:t>Preso estrangeiro.</w:t>
      </w:r>
      <w:r>
        <w:rPr>
          <w:rFonts w:cs="EB Garamond"/>
          <w:kern w:val="16"/>
          <w14:ligatures w14:val="standardContextual"/>
        </w:rPr>
        <w:t xml:space="preserve"> O segurado estrangeiro recolhido à prisão no Brasil gera direito ao auxílio-reclusão para seus dependentes, desde que mantivesse vínculo com o RGPS (como empregado, por exemplo) e preenchesse os demais requisitos. A nacionalidade é irrelevante para o direito previdenciário. Contudo, se os dependentes residem no exterior, a operacionalização do pagamento pode apresentar dificuldades práticas. Acordos internacionais de previdência social (analisados no Cap. 5) podem ser relevantes quando o segurado estrangeiro tem contribuições em ambos os países.</w:t>
      </w:r>
    </w:p>
    <w:p w14:paraId="01576573" w14:textId="77777777" w:rsidR="005A5FCC" w:rsidRDefault="00A21C81">
      <w:pPr>
        <w:ind w:firstLine="238"/>
      </w:pPr>
      <w:r>
        <w:rPr>
          <w:rFonts w:cs="EB Garamond"/>
          <w:b/>
          <w:kern w:val="16"/>
          <w14:ligatures w14:val="standardContextual"/>
        </w:rPr>
        <w:t>Trabalho prisional e auxílio-reclusão.</w:t>
      </w:r>
      <w:r>
        <w:rPr>
          <w:rFonts w:cs="EB Garamond"/>
          <w:kern w:val="16"/>
          <w14:ligatures w14:val="standardContextual"/>
        </w:rPr>
        <w:t xml:space="preserve"> O preso que trabalha durante a reclusão (atividade laborativa dentro do estabelecimento penal ou trabalho externo </w:t>
      </w:r>
      <w:r>
        <w:rPr>
          <w:rFonts w:cs="EB Garamond"/>
          <w:kern w:val="16"/>
          <w14:ligatures w14:val="standardContextual"/>
        </w:rPr>
        <w:lastRenderedPageBreak/>
        <w:t>no regime semiaberto) aufere remuneração. Essa remuneração não afeta o auxílio-reclusão dos dependentes, pois: (a) a renda relevante é a do momento do recolhimento à prisão (Tema 896/STJ), não a posterior; e (b) a remuneração do trabalho prisional, que por lei não pode ser inferior a 3/4 do salário-mínimo (art. 29, LEP — piso, e não teto), não se confunde com a renda que o segurado auferia quando livre.</w:t>
      </w:r>
    </w:p>
    <w:p w14:paraId="10DB9DDC" w14:textId="77777777" w:rsidR="005A5FCC" w:rsidRDefault="00A21C81">
      <w:pPr>
        <w:ind w:firstLine="238"/>
      </w:pPr>
      <w:r>
        <w:rPr>
          <w:rFonts w:cs="EB Garamond"/>
          <w:b/>
          <w:kern w:val="16"/>
          <w14:ligatures w14:val="standardContextual"/>
        </w:rPr>
        <w:t>Indulto e comutação.</w:t>
      </w:r>
      <w:r>
        <w:rPr>
          <w:rFonts w:cs="EB Garamond"/>
          <w:kern w:val="16"/>
          <w14:ligatures w14:val="standardContextual"/>
        </w:rPr>
        <w:t xml:space="preserve"> A concessão de indulto (extinção da pena) ou comutação (redução da pena) pelo Presidente da República pode afetar o auxílio-reclusão. O indulto pleno acarreta a soltura do segurado e, consequentemente, a cessação do AR. A comutação, se resultar em progressão ao regime aberto, cessa o AR no regime pós-EC 103. Se a comutação mantiver o segurado em regime fechado ou semiaberto, o AR permanece inalterado.</w:t>
      </w:r>
    </w:p>
    <w:p w14:paraId="5443B36C" w14:textId="77777777" w:rsidR="005A5FCC" w:rsidRDefault="00A21C81">
      <w:pPr>
        <w:ind w:firstLine="238"/>
      </w:pPr>
      <w:r>
        <w:rPr>
          <w:rFonts w:cs="EB Garamond"/>
          <w:b/>
          <w:kern w:val="16"/>
          <w14:ligatures w14:val="standardContextual"/>
        </w:rPr>
        <w:t>Detração penal e auxílio-reclusão.</w:t>
      </w:r>
      <w:r>
        <w:rPr>
          <w:rFonts w:cs="EB Garamond"/>
          <w:kern w:val="16"/>
          <w14:ligatures w14:val="standardContextual"/>
        </w:rPr>
        <w:t xml:space="preserve"> A detração (art. 42, CP), cômputo do tempo de prisão provisória na pena definitiva, não afeta o auxílio-reclusão, pois o benefício é devido durante todo o período de efetivo recolhimento, independentemente do cômputo para fins penais.</w:t>
      </w:r>
    </w:p>
    <w:p w14:paraId="44472BE9" w14:textId="77777777" w:rsidR="005A5FCC" w:rsidRDefault="00A21C81">
      <w:pPr>
        <w:ind w:firstLine="238"/>
      </w:pPr>
      <w:r>
        <w:rPr>
          <w:rFonts w:cs="EB Garamond"/>
          <w:b/>
          <w:kern w:val="16"/>
          <w14:ligatures w14:val="standardContextual"/>
        </w:rPr>
        <w:t>Segurado preso que contribui como facultativo.</w:t>
      </w:r>
      <w:r>
        <w:rPr>
          <w:rFonts w:cs="EB Garamond"/>
          <w:kern w:val="16"/>
          <w14:ligatures w14:val="standardContextual"/>
        </w:rPr>
        <w:t xml:space="preserve"> Durante a reclusão, o segurado que não exerça atividade remunerada que o filie obrigatoriamente ao RGPS pode contribuir como segurado facultativo (art. 13 da Lei 8.213/91, regulamentado pelo art. 11, § 1º, e pelo art. 116, § 3º, do Decreto 3.048/99). Essas contribuições são relevantes para: (i) contagem de tempo de contribuição para futura aposentadoria; (ii) manutenção ativa do CNIS; e (iii) eventual comprovação de carência para benefícios futuros. Na rotina previdenciária, é raro que presos contribuam, dada a vulnerabilidade econômica, mas a possibilidade existe e deve ser orientada pelo advogado em casos estratégicos.</w:t>
      </w:r>
    </w:p>
    <w:p w14:paraId="796C5A90" w14:textId="77777777" w:rsidR="005A5FCC" w:rsidRDefault="00A21C81">
      <w:pPr>
        <w:ind w:firstLine="238"/>
      </w:pPr>
      <w:r>
        <w:rPr>
          <w:rFonts w:cs="EB Garamond"/>
          <w:b/>
          <w:kern w:val="16"/>
          <w14:ligatures w14:val="standardContextual"/>
        </w:rPr>
        <w:t>Dependente menor sob guarda ou tutela.</w:t>
      </w:r>
      <w:r>
        <w:rPr>
          <w:rFonts w:cs="EB Garamond"/>
          <w:kern w:val="16"/>
          <w14:ligatures w14:val="standardContextual"/>
        </w:rPr>
        <w:t xml:space="preserve"> O menor sob guarda ou tutela do segurado preso é dependente para fins de auxílio-reclusão, aplicando-se as mesmas regras da pensão por morte (Cap. 19). A prova de guarda ou tutela exige decisão judicial. Menores em acolhimento institucional que dependiam economicamente do segurado antes da prisão: situação não prevista expressamente, mas passível de enquadramento por interpretação extensiva.</w:t>
      </w:r>
    </w:p>
    <w:p w14:paraId="4CDB4D1C" w14:textId="77777777" w:rsidR="005A5FCC" w:rsidRDefault="00A21C81">
      <w:pPr>
        <w:ind w:firstLine="238"/>
      </w:pPr>
      <w:r>
        <w:rPr>
          <w:rFonts w:cs="EB Garamond"/>
          <w:b/>
          <w:kern w:val="16"/>
          <w14:ligatures w14:val="standardContextual"/>
        </w:rPr>
        <w:lastRenderedPageBreak/>
        <w:t>Prescrição do auxílio-reclusão.</w:t>
      </w:r>
      <w:r>
        <w:rPr>
          <w:rFonts w:cs="EB Garamond"/>
          <w:kern w:val="16"/>
          <w14:ligatures w14:val="standardContextual"/>
        </w:rPr>
        <w:t xml:space="preserve"> V. §14.18, subseção "Prescrição e decadência", supra.</w:t>
      </w:r>
    </w:p>
    <w:p w14:paraId="1429FC52" w14:textId="77777777" w:rsidR="005A5FCC" w:rsidRDefault="00A21C81">
      <w:pPr>
        <w:ind w:firstLine="238"/>
      </w:pPr>
      <w:r>
        <w:rPr>
          <w:rFonts w:cs="EB Garamond"/>
          <w:b/>
          <w:kern w:val="16"/>
          <w14:ligatures w14:val="standardContextual"/>
        </w:rPr>
        <w:t>Auxílio-reclusão e execução penal por acordo de não persecução penal (ANPP).</w:t>
      </w:r>
      <w:r>
        <w:rPr>
          <w:rFonts w:cs="EB Garamond"/>
          <w:kern w:val="16"/>
          <w14:ligatures w14:val="standardContextual"/>
        </w:rPr>
        <w:t xml:space="preserve"> O ANPP (art. 28-A, CPP, incluído pela Lei 13.964/2019) não implica recolhimento à prisão, pois é celebrado antes do oferecimento da denúncia e não envolve privação de liberdade. Logo, não gera auxílio-reclusão. Situação diversa é a transação penal (art. 76, Lei 9.099/95), que igualmente não envolve prisão.</w:t>
      </w:r>
    </w:p>
    <w:p w14:paraId="29C1A4C4" w14:textId="77777777" w:rsidR="005A5FCC" w:rsidRDefault="00A21C81">
      <w:pPr>
        <w:ind w:firstLine="238"/>
      </w:pPr>
      <w:r>
        <w:rPr>
          <w:rFonts w:cs="EB Garamond"/>
          <w:b/>
          <w:kern w:val="16"/>
          <w14:ligatures w14:val="standardContextual"/>
        </w:rPr>
        <w:t>Cumprimento de medida socioeducativa.</w:t>
      </w:r>
      <w:r>
        <w:rPr>
          <w:rFonts w:cs="EB Garamond"/>
          <w:kern w:val="16"/>
          <w14:ligatures w14:val="standardContextual"/>
        </w:rPr>
        <w:t xml:space="preserve"> O adolescente que cumpre medida socioeducativa de internação (art. 121, ECA) não é segurado do RGPS (salvo se exercia atividade remunerada com vínculo formal antes da internação, hipótese raríssima). Logo, a internação socioeducativa geralmente não gera auxílio-reclusão. Contudo, se o menor de 16 a 18 anos era aprendiz com carteira assinada (segurado empregado) e é internado, seus dependentes teoricamente teriam direito, situação excepcionalíssima.</w:t>
      </w:r>
    </w:p>
    <w:p w14:paraId="04DAB7EB" w14:textId="77777777" w:rsidR="005A5FCC" w:rsidRDefault="00A21C81">
      <w:pPr>
        <w:ind w:firstLine="238"/>
      </w:pPr>
      <w:r>
        <w:rPr>
          <w:rFonts w:cs="EB Garamond"/>
          <w:b/>
          <w:kern w:val="16"/>
          <w14:ligatures w14:val="standardContextual"/>
        </w:rPr>
        <w:t>Recambiamento e transferência entre estados.</w:t>
      </w:r>
      <w:r>
        <w:rPr>
          <w:rFonts w:cs="EB Garamond"/>
          <w:kern w:val="16"/>
          <w14:ligatures w14:val="standardContextual"/>
        </w:rPr>
        <w:t xml:space="preserve"> O segurado transferido de um estabelecimento penal para outro, seja no mesmo estado ou entre estados (recambiamento), permanece recolhido à prisão durante todo o percurso. O AR não é interrompido pela transferência. Contudo, o atestado carcerário trimestral deve ser obtido do novo estabelecimento após a transferência, o que pode gerar atrasos práticos. O advogado deve acompanhar transferências e garantir que o estabelecimento de destino emita tempestivamente o atestado.</w:t>
      </w:r>
    </w:p>
    <w:p w14:paraId="55CE5523" w14:textId="77777777" w:rsidR="005A5FCC" w:rsidRDefault="00A21C81">
      <w:pPr>
        <w:ind w:firstLine="238"/>
      </w:pPr>
      <w:r>
        <w:rPr>
          <w:rFonts w:cs="EB Garamond"/>
          <w:b/>
          <w:kern w:val="16"/>
          <w14:ligatures w14:val="standardContextual"/>
        </w:rPr>
        <w:t>Pandemia e auxílio-reclusão.</w:t>
      </w:r>
      <w:r>
        <w:rPr>
          <w:rFonts w:cs="EB Garamond"/>
          <w:kern w:val="16"/>
          <w14:ligatures w14:val="standardContextual"/>
        </w:rPr>
        <w:t xml:space="preserve"> Durante a pandemia de COVID-19, diversas decisões judiciais concederam prisão domiciliar humanitária a presos de grupos de risco. O TRF4 reconheceu que a prisão domiciliar concedida por motivos humanitários não cessa o AR, pois o regime prisional permanece inalterado (o preso continua juridicamente em regime fechado ou semiaberto). Essa jurisprudência pode ser invocada analogicamente em futuras emergências sanitárias ou humanitárias.</w:t>
      </w:r>
    </w:p>
    <w:tbl>
      <w:tblPr>
        <w:tblW w:w="5000" w:type="pct"/>
        <w:jc w:val="center"/>
        <w:tblLayout w:type="fixed"/>
        <w:tblLook w:val="04A0" w:firstRow="1" w:lastRow="0" w:firstColumn="1" w:lastColumn="0" w:noHBand="0" w:noVBand="1"/>
      </w:tblPr>
      <w:tblGrid>
        <w:gridCol w:w="6311"/>
      </w:tblGrid>
      <w:tr w:rsidR="005A5FCC" w14:paraId="21A552C4"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67A50457" w14:textId="77777777" w:rsidR="005A5FCC" w:rsidRDefault="00A21C81">
            <w:pPr>
              <w:spacing w:after="60" w:line="240" w:lineRule="auto"/>
              <w:jc w:val="left"/>
            </w:pPr>
            <w:r>
              <w:rPr>
                <w:rFonts w:ascii="Noto Sans" w:hAnsi="Noto Sans" w:cs="Noto Sans"/>
                <w:b/>
                <w:caps/>
                <w:color w:val="B78B37"/>
                <w:kern w:val="16"/>
                <w:sz w:val="16"/>
                <w14:ligatures w14:val="standardContextual"/>
              </w:rPr>
              <w:lastRenderedPageBreak/>
              <w:t>ATENÇÃO</w:t>
            </w:r>
          </w:p>
          <w:p w14:paraId="40A47BA3" w14:textId="77777777" w:rsidR="005A5FCC" w:rsidRDefault="00A21C81">
            <w:pPr>
              <w:spacing w:after="60" w:line="247" w:lineRule="auto"/>
            </w:pPr>
            <w:r>
              <w:rPr>
                <w:rFonts w:cs="EB Garamond"/>
                <w:b/>
                <w:kern w:val="16"/>
                <w:sz w:val="19"/>
                <w14:ligatures w14:val="standardContextual"/>
              </w:rPr>
              <w:t>Preso estrangeiro e auxílio-reclusão</w:t>
            </w:r>
          </w:p>
          <w:p w14:paraId="0127E3A0" w14:textId="77777777" w:rsidR="005A5FCC" w:rsidRDefault="00A21C81">
            <w:pPr>
              <w:spacing w:after="60" w:line="247" w:lineRule="auto"/>
            </w:pPr>
            <w:r>
              <w:rPr>
                <w:rFonts w:cs="EB Garamond"/>
                <w:kern w:val="16"/>
                <w:sz w:val="19"/>
                <w14:ligatures w14:val="standardContextual"/>
              </w:rPr>
              <w:t>O estrangeiro que trabalha regularmente no Brasil e contribui para o RGPS é segurado obrigatório. Se recolhido à prisão, seus dependentes têm direito ao auxílio-reclusão em igualdade de condições com os brasileiros.</w:t>
            </w:r>
          </w:p>
          <w:p w14:paraId="72542892" w14:textId="77777777" w:rsidR="005A5FCC" w:rsidRDefault="00A21C81">
            <w:pPr>
              <w:spacing w:after="60" w:line="247" w:lineRule="auto"/>
            </w:pPr>
            <w:r>
              <w:rPr>
                <w:rFonts w:cs="EB Garamond"/>
                <w:b/>
                <w:kern w:val="16"/>
                <w:sz w:val="19"/>
                <w14:ligatures w14:val="standardContextual"/>
              </w:rPr>
              <w:t>Pontos de atenção:</w:t>
            </w:r>
            <w:r>
              <w:rPr>
                <w:rFonts w:cs="EB Garamond"/>
                <w:kern w:val="16"/>
                <w:sz w:val="19"/>
                <w14:ligatures w14:val="standardContextual"/>
              </w:rPr>
              <w:t xml:space="preserve"> - Verificar se o estrangeiro mantinha vínculo formal (CTPS assinada, PIS/PASEP) - Dependentes no exterior: pagamento via acordo internacional ou procuração a representante no Brasil - Segurado com dupla cidadania: aplica-se a legislação brasileira se o vínculo era com o RGPS - Deportação após cumprimento da pena: o AR cessa com a soltura, mas eventuais valores atrasados permanecem devidos</w:t>
            </w:r>
          </w:p>
        </w:tc>
      </w:tr>
    </w:tbl>
    <w:p w14:paraId="5E64F39B" w14:textId="77777777" w:rsidR="005A5FCC" w:rsidRDefault="005A5FCC">
      <w:pPr>
        <w:spacing w:after="80" w:line="240" w:lineRule="auto"/>
      </w:pPr>
    </w:p>
    <w:tbl>
      <w:tblPr>
        <w:tblW w:w="5000" w:type="pct"/>
        <w:jc w:val="center"/>
        <w:tblLayout w:type="fixed"/>
        <w:tblLook w:val="04A0" w:firstRow="1" w:lastRow="0" w:firstColumn="1" w:lastColumn="0" w:noHBand="0" w:noVBand="1"/>
      </w:tblPr>
      <w:tblGrid>
        <w:gridCol w:w="6311"/>
      </w:tblGrid>
      <w:tr w:rsidR="005A5FCC" w14:paraId="1455F5EA"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61E2694F" w14:textId="77777777" w:rsidR="005A5FCC" w:rsidRDefault="00A21C81">
            <w:pPr>
              <w:spacing w:after="60" w:line="240" w:lineRule="auto"/>
              <w:jc w:val="left"/>
            </w:pPr>
            <w:r>
              <w:rPr>
                <w:rFonts w:ascii="Noto Sans" w:hAnsi="Noto Sans" w:cs="Noto Sans"/>
                <w:b/>
                <w:caps/>
                <w:color w:val="4D6F8A"/>
                <w:kern w:val="16"/>
                <w:sz w:val="16"/>
                <w14:ligatures w14:val="standardContextual"/>
              </w:rPr>
              <w:t>JURISPRUDÊNCIA EM DESTAQUE</w:t>
            </w:r>
          </w:p>
          <w:p w14:paraId="45EEDA09" w14:textId="77777777" w:rsidR="005A5FCC" w:rsidRDefault="00A21C81">
            <w:pPr>
              <w:spacing w:after="60" w:line="247" w:lineRule="auto"/>
            </w:pPr>
            <w:r>
              <w:rPr>
                <w:rFonts w:cs="EB Garamond"/>
                <w:b/>
                <w:kern w:val="16"/>
                <w:sz w:val="19"/>
                <w14:ligatures w14:val="standardContextual"/>
              </w:rPr>
              <w:t>Morte do segurado preso: conversão automática AR → PM</w:t>
            </w:r>
          </w:p>
          <w:p w14:paraId="772F590B" w14:textId="77777777" w:rsidR="005A5FCC" w:rsidRDefault="00A21C81">
            <w:pPr>
              <w:spacing w:after="60" w:line="247" w:lineRule="auto"/>
            </w:pPr>
            <w:r>
              <w:rPr>
                <w:rFonts w:cs="EB Garamond"/>
                <w:b/>
                <w:kern w:val="16"/>
                <w:sz w:val="19"/>
                <w14:ligatures w14:val="standardContextual"/>
              </w:rPr>
              <w:t>Fundamento legal — art. 80, parágrafo único, da Lei 8.213/91:</w:t>
            </w:r>
            <w:r>
              <w:rPr>
                <w:rFonts w:cs="EB Garamond"/>
                <w:kern w:val="16"/>
                <w:sz w:val="19"/>
                <w14:ligatures w14:val="standardContextual"/>
              </w:rPr>
              <w:t xml:space="preserve"> falecendo o segurado durante a reclusão, o auxílio-reclusão converte-se em pensão por morte, automaticamente e a partir da data do óbito, sem necessidade de novo requerimento administrativo. A conversão decorre diretamente do texto legal, e não de tese repetitiva específica; a jurisprudência de instância ordinária é apenas confirmatória do comando estatutário.</w:t>
            </w:r>
          </w:p>
          <w:p w14:paraId="6E77E9AA" w14:textId="77777777" w:rsidR="005A5FCC" w:rsidRDefault="00A21C81">
            <w:pPr>
              <w:spacing w:after="60" w:line="247" w:lineRule="auto"/>
            </w:pPr>
            <w:r>
              <w:rPr>
                <w:rFonts w:cs="EB Garamond"/>
                <w:b/>
                <w:kern w:val="16"/>
                <w:sz w:val="19"/>
                <w14:ligatures w14:val="standardContextual"/>
              </w:rPr>
              <w:t>TRF1, AC 0022658-41.2014.4.01.9199:</w:t>
            </w:r>
            <w:r>
              <w:rPr>
                <w:rFonts w:cs="EB Garamond"/>
                <w:kern w:val="16"/>
                <w:sz w:val="19"/>
                <w14:ligatures w14:val="standardContextual"/>
              </w:rPr>
              <w:t xml:space="preserve"> "A exigência do INSS de novo requerimento administrativo para conversão do auxílio-reclusão em pensão por morte viola o art. 80, parágrafo único, da Lei 8.213/91, que expressamente prevê a conversão automática."</w:t>
            </w:r>
          </w:p>
          <w:p w14:paraId="094C038A" w14:textId="77777777" w:rsidR="005A5FCC" w:rsidRDefault="00A21C81">
            <w:pPr>
              <w:spacing w:after="60" w:line="247" w:lineRule="auto"/>
            </w:pPr>
            <w:r>
              <w:rPr>
                <w:rFonts w:cs="EB Garamond"/>
                <w:b/>
                <w:kern w:val="16"/>
                <w:sz w:val="19"/>
                <w14:ligatures w14:val="standardContextual"/>
              </w:rPr>
              <w:t>TNU, Pedido 0502819-72.2019.4.05.8312:</w:t>
            </w:r>
            <w:r>
              <w:rPr>
                <w:rFonts w:cs="EB Garamond"/>
                <w:kern w:val="16"/>
                <w:sz w:val="19"/>
                <w14:ligatures w14:val="standardContextual"/>
              </w:rPr>
              <w:t xml:space="preserve"> "Os dependentes que já recebiam auxílio-reclusão não podem ser penalizados com a interrupção do benefício pela morte do segurado. A conversão em pensão por morte é direito líquido e certo, exercível independentemente de provocação administrativa."</w:t>
            </w:r>
          </w:p>
          <w:p w14:paraId="44308473" w14:textId="77777777" w:rsidR="005A5FCC" w:rsidRDefault="00A21C81">
            <w:pPr>
              <w:spacing w:after="60" w:line="247" w:lineRule="auto"/>
            </w:pPr>
            <w:r>
              <w:rPr>
                <w:rFonts w:cs="EB Garamond"/>
                <w:b/>
                <w:kern w:val="16"/>
                <w:sz w:val="19"/>
                <w14:ligatures w14:val="standardContextual"/>
              </w:rPr>
              <w:t>Orientação prática:</w:t>
            </w:r>
            <w:r>
              <w:rPr>
                <w:rFonts w:cs="EB Garamond"/>
                <w:kern w:val="16"/>
                <w:sz w:val="19"/>
                <w14:ligatures w14:val="standardContextual"/>
              </w:rPr>
              <w:t xml:space="preserve"> Se o INSS interromper o pagamento após a morte do segurado preso, ajuizar mandado de segurança ou ação no JEF com tutela antecipada para garantir a continuidade da proteção.</w:t>
            </w:r>
          </w:p>
        </w:tc>
      </w:tr>
    </w:tbl>
    <w:p w14:paraId="40C7C615" w14:textId="77777777" w:rsidR="005A5FCC" w:rsidRDefault="005A5FCC">
      <w:pPr>
        <w:spacing w:after="80" w:line="240" w:lineRule="auto"/>
      </w:pPr>
    </w:p>
    <w:p w14:paraId="4B06F6AF"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14.20 Síntese e quadros práticos</w:t>
      </w:r>
    </w:p>
    <w:p w14:paraId="6532765B"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5BF378A5" w14:textId="77777777" w:rsidR="005A5FCC" w:rsidRDefault="00A21C81">
      <w:r>
        <w:rPr>
          <w:rFonts w:cs="EB Garamond"/>
          <w:kern w:val="16"/>
          <w14:ligatures w14:val="standardContextual"/>
        </w:rPr>
        <w:t xml:space="preserve"> auxílio-reclusão, a despeito de seu baixo impacto orçamentário, é benefício de altíssima complexidade jurídica, especialmente após a EC 103/2019. A coexistência de dois regimes jurídicos distintos (pré e pós-EC 103), a interface com o direito penal (regimes prisionais, progressão, livramento condicional) e a carga probatória peculiar (documentação penitenciária, prova de dependência em contexto de vulnerabilidade) exigem do advogado previdenciarista domínio técnico aprofundado e sensibilidade social.</w:t>
      </w:r>
    </w:p>
    <w:p w14:paraId="266827E3" w14:textId="77777777" w:rsidR="005A5FCC" w:rsidRDefault="00A21C81">
      <w:pPr>
        <w:ind w:firstLine="238"/>
      </w:pPr>
      <w:r>
        <w:rPr>
          <w:rFonts w:cs="EB Garamond"/>
          <w:b/>
          <w:kern w:val="16"/>
          <w14:ligatures w14:val="standardContextual"/>
        </w:rPr>
        <w:t>Tabela-resumo: comparativo entre regimes</w:t>
      </w:r>
    </w:p>
    <w:tbl>
      <w:tblPr>
        <w:tblW w:w="5000" w:type="pct"/>
        <w:jc w:val="center"/>
        <w:tblLook w:val="04A0" w:firstRow="1" w:lastRow="0" w:firstColumn="1" w:lastColumn="0" w:noHBand="0" w:noVBand="1"/>
      </w:tblPr>
      <w:tblGrid>
        <w:gridCol w:w="2112"/>
        <w:gridCol w:w="2114"/>
        <w:gridCol w:w="2114"/>
      </w:tblGrid>
      <w:tr w:rsidR="005A5FCC" w14:paraId="2951C5CB" w14:textId="77777777">
        <w:trPr>
          <w:tblHeader/>
          <w:jc w:val="center"/>
        </w:trPr>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04CEF00F" w14:textId="77777777" w:rsidR="005A5FCC" w:rsidRDefault="00A21C81">
            <w:pPr>
              <w:spacing w:before="40" w:after="40" w:line="240" w:lineRule="auto"/>
              <w:jc w:val="center"/>
            </w:pPr>
            <w:r>
              <w:rPr>
                <w:rFonts w:cs="EB Garamond"/>
                <w:b/>
                <w:color w:val="2F2923"/>
                <w:kern w:val="16"/>
                <w:sz w:val="18"/>
                <w14:ligatures w14:val="standardContextual"/>
              </w:rPr>
              <w:t>Aspecto</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11DC1298" w14:textId="77777777" w:rsidR="005A5FCC" w:rsidRDefault="00A21C81">
            <w:pPr>
              <w:spacing w:before="40" w:after="40" w:line="240" w:lineRule="auto"/>
              <w:jc w:val="center"/>
            </w:pPr>
            <w:r>
              <w:rPr>
                <w:rFonts w:cs="EB Garamond"/>
                <w:b/>
                <w:color w:val="2F2923"/>
                <w:kern w:val="16"/>
                <w:sz w:val="18"/>
                <w14:ligatures w14:val="standardContextual"/>
              </w:rPr>
              <w:t>Regime antigo (pré-EC 103)</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42C20BF6" w14:textId="77777777" w:rsidR="005A5FCC" w:rsidRDefault="00A21C81">
            <w:pPr>
              <w:spacing w:before="40" w:after="40" w:line="240" w:lineRule="auto"/>
              <w:jc w:val="center"/>
            </w:pPr>
            <w:r>
              <w:rPr>
                <w:rFonts w:cs="EB Garamond"/>
                <w:b/>
                <w:color w:val="2F2923"/>
                <w:kern w:val="16"/>
                <w:sz w:val="18"/>
                <w14:ligatures w14:val="standardContextual"/>
              </w:rPr>
              <w:t>Regime novo (pós-EC 103)</w:t>
            </w:r>
          </w:p>
        </w:tc>
      </w:tr>
      <w:tr w:rsidR="005A5FCC" w14:paraId="78285FB7"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411DC607" w14:textId="77777777" w:rsidR="005A5FCC" w:rsidRDefault="00A21C81">
            <w:pPr>
              <w:spacing w:before="20" w:after="20" w:line="240" w:lineRule="auto"/>
              <w:jc w:val="left"/>
            </w:pPr>
            <w:r>
              <w:rPr>
                <w:rFonts w:cs="EB Garamond"/>
                <w:kern w:val="16"/>
                <w:sz w:val="18"/>
                <w14:ligatures w14:val="standardContextual"/>
              </w:rPr>
              <w:t>Vigência</w:t>
            </w:r>
          </w:p>
        </w:tc>
        <w:tc>
          <w:tcPr>
            <w:tcW w:w="2117" w:type="dxa"/>
            <w:tcBorders>
              <w:top w:val="single" w:sz="4" w:space="0" w:color="D2C9B8"/>
              <w:left w:val="single" w:sz="4" w:space="0" w:color="D2C9B8"/>
              <w:bottom w:val="single" w:sz="4" w:space="0" w:color="D2C9B8"/>
              <w:right w:val="single" w:sz="4" w:space="0" w:color="D2C9B8"/>
            </w:tcBorders>
          </w:tcPr>
          <w:p w14:paraId="2E42C6BF" w14:textId="77777777" w:rsidR="005A5FCC" w:rsidRDefault="00A21C81">
            <w:pPr>
              <w:spacing w:before="20" w:after="20" w:line="240" w:lineRule="auto"/>
              <w:jc w:val="left"/>
            </w:pPr>
            <w:r>
              <w:rPr>
                <w:rFonts w:cs="EB Garamond"/>
                <w:kern w:val="16"/>
                <w:sz w:val="18"/>
                <w14:ligatures w14:val="standardContextual"/>
              </w:rPr>
              <w:t>Fato gerador antes de 13/11/2019</w:t>
            </w:r>
          </w:p>
        </w:tc>
        <w:tc>
          <w:tcPr>
            <w:tcW w:w="2117" w:type="dxa"/>
            <w:tcBorders>
              <w:top w:val="single" w:sz="4" w:space="0" w:color="D2C9B8"/>
              <w:left w:val="single" w:sz="4" w:space="0" w:color="D2C9B8"/>
              <w:bottom w:val="single" w:sz="4" w:space="0" w:color="D2C9B8"/>
              <w:right w:val="single" w:sz="4" w:space="0" w:color="D2C9B8"/>
            </w:tcBorders>
          </w:tcPr>
          <w:p w14:paraId="52CF5CCF" w14:textId="77777777" w:rsidR="005A5FCC" w:rsidRDefault="00A21C81">
            <w:pPr>
              <w:spacing w:before="20" w:after="20" w:line="240" w:lineRule="auto"/>
              <w:jc w:val="left"/>
            </w:pPr>
            <w:r>
              <w:rPr>
                <w:rFonts w:cs="EB Garamond"/>
                <w:kern w:val="16"/>
                <w:sz w:val="18"/>
                <w14:ligatures w14:val="standardContextual"/>
              </w:rPr>
              <w:t>Fato gerador a partir de 13/11/2019</w:t>
            </w:r>
          </w:p>
        </w:tc>
      </w:tr>
      <w:tr w:rsidR="005A5FCC" w14:paraId="479F9DA3"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3FECEC9C" w14:textId="77777777" w:rsidR="005A5FCC" w:rsidRDefault="00A21C81">
            <w:pPr>
              <w:spacing w:before="20" w:after="20" w:line="240" w:lineRule="auto"/>
              <w:jc w:val="left"/>
            </w:pPr>
            <w:r>
              <w:rPr>
                <w:rFonts w:cs="EB Garamond"/>
                <w:kern w:val="16"/>
                <w:sz w:val="18"/>
                <w14:ligatures w14:val="standardContextual"/>
              </w:rPr>
              <w:t>Base constitucional</w:t>
            </w:r>
          </w:p>
        </w:tc>
        <w:tc>
          <w:tcPr>
            <w:tcW w:w="2117" w:type="dxa"/>
            <w:tcBorders>
              <w:top w:val="single" w:sz="4" w:space="0" w:color="D2C9B8"/>
              <w:left w:val="single" w:sz="4" w:space="0" w:color="D2C9B8"/>
              <w:bottom w:val="single" w:sz="4" w:space="0" w:color="D2C9B8"/>
              <w:right w:val="single" w:sz="4" w:space="0" w:color="D2C9B8"/>
            </w:tcBorders>
          </w:tcPr>
          <w:p w14:paraId="7F3E03B2" w14:textId="77777777" w:rsidR="005A5FCC" w:rsidRDefault="00A21C81">
            <w:pPr>
              <w:spacing w:before="20" w:after="20" w:line="240" w:lineRule="auto"/>
              <w:jc w:val="left"/>
            </w:pPr>
            <w:r>
              <w:rPr>
                <w:rFonts w:cs="EB Garamond"/>
                <w:kern w:val="16"/>
                <w:sz w:val="18"/>
                <w14:ligatures w14:val="standardContextual"/>
              </w:rPr>
              <w:t>Art. 201, IV, CF (EC 20/1998)</w:t>
            </w:r>
          </w:p>
        </w:tc>
        <w:tc>
          <w:tcPr>
            <w:tcW w:w="2117" w:type="dxa"/>
            <w:tcBorders>
              <w:top w:val="single" w:sz="4" w:space="0" w:color="D2C9B8"/>
              <w:left w:val="single" w:sz="4" w:space="0" w:color="D2C9B8"/>
              <w:bottom w:val="single" w:sz="4" w:space="0" w:color="D2C9B8"/>
              <w:right w:val="single" w:sz="4" w:space="0" w:color="D2C9B8"/>
            </w:tcBorders>
          </w:tcPr>
          <w:p w14:paraId="0920BA81" w14:textId="77777777" w:rsidR="005A5FCC" w:rsidRDefault="00A21C81">
            <w:pPr>
              <w:spacing w:before="20" w:after="20" w:line="240" w:lineRule="auto"/>
              <w:jc w:val="left"/>
            </w:pPr>
            <w:r>
              <w:rPr>
                <w:rFonts w:cs="EB Garamond"/>
                <w:kern w:val="16"/>
                <w:sz w:val="18"/>
                <w14:ligatures w14:val="standardContextual"/>
              </w:rPr>
              <w:t>Art. 201, IV e § 5º, CF (EC 103/2019)</w:t>
            </w:r>
          </w:p>
        </w:tc>
      </w:tr>
      <w:tr w:rsidR="005A5FCC" w14:paraId="12BF54F7"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516F4796" w14:textId="77777777" w:rsidR="005A5FCC" w:rsidRDefault="00A21C81">
            <w:pPr>
              <w:spacing w:before="20" w:after="20" w:line="240" w:lineRule="auto"/>
              <w:jc w:val="left"/>
            </w:pPr>
            <w:r>
              <w:rPr>
                <w:rFonts w:cs="EB Garamond"/>
                <w:kern w:val="16"/>
                <w:sz w:val="18"/>
                <w14:ligatures w14:val="standardContextual"/>
              </w:rPr>
              <w:t>Carência</w:t>
            </w:r>
          </w:p>
        </w:tc>
        <w:tc>
          <w:tcPr>
            <w:tcW w:w="2117" w:type="dxa"/>
            <w:tcBorders>
              <w:top w:val="single" w:sz="4" w:space="0" w:color="D2C9B8"/>
              <w:left w:val="single" w:sz="4" w:space="0" w:color="D2C9B8"/>
              <w:bottom w:val="single" w:sz="4" w:space="0" w:color="D2C9B8"/>
              <w:right w:val="single" w:sz="4" w:space="0" w:color="D2C9B8"/>
            </w:tcBorders>
          </w:tcPr>
          <w:p w14:paraId="351A295F" w14:textId="77777777" w:rsidR="005A5FCC" w:rsidRDefault="00A21C81">
            <w:pPr>
              <w:spacing w:before="20" w:after="20" w:line="240" w:lineRule="auto"/>
              <w:jc w:val="left"/>
            </w:pPr>
            <w:r>
              <w:rPr>
                <w:rFonts w:cs="EB Garamond"/>
                <w:kern w:val="16"/>
                <w:sz w:val="18"/>
                <w14:ligatures w14:val="standardContextual"/>
              </w:rPr>
              <w:t>Sem carência específica</w:t>
            </w:r>
          </w:p>
        </w:tc>
        <w:tc>
          <w:tcPr>
            <w:tcW w:w="2117" w:type="dxa"/>
            <w:tcBorders>
              <w:top w:val="single" w:sz="4" w:space="0" w:color="D2C9B8"/>
              <w:left w:val="single" w:sz="4" w:space="0" w:color="D2C9B8"/>
              <w:bottom w:val="single" w:sz="4" w:space="0" w:color="D2C9B8"/>
              <w:right w:val="single" w:sz="4" w:space="0" w:color="D2C9B8"/>
            </w:tcBorders>
          </w:tcPr>
          <w:p w14:paraId="47B20039" w14:textId="77777777" w:rsidR="005A5FCC" w:rsidRDefault="00A21C81">
            <w:pPr>
              <w:spacing w:before="20" w:after="20" w:line="240" w:lineRule="auto"/>
              <w:jc w:val="left"/>
            </w:pPr>
            <w:r>
              <w:rPr>
                <w:rFonts w:cs="EB Garamond"/>
                <w:kern w:val="16"/>
                <w:sz w:val="18"/>
                <w14:ligatures w14:val="standardContextual"/>
              </w:rPr>
              <w:t>24 contribuições mensais</w:t>
            </w:r>
          </w:p>
        </w:tc>
      </w:tr>
      <w:tr w:rsidR="005A5FCC" w14:paraId="04DABC40"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512B3B6E" w14:textId="77777777" w:rsidR="005A5FCC" w:rsidRDefault="00A21C81">
            <w:pPr>
              <w:spacing w:before="20" w:after="20" w:line="240" w:lineRule="auto"/>
              <w:jc w:val="left"/>
            </w:pPr>
            <w:r>
              <w:rPr>
                <w:rFonts w:cs="EB Garamond"/>
                <w:kern w:val="16"/>
                <w:sz w:val="18"/>
                <w14:ligatures w14:val="standardContextual"/>
              </w:rPr>
              <w:t>Regime prisional</w:t>
            </w:r>
          </w:p>
        </w:tc>
        <w:tc>
          <w:tcPr>
            <w:tcW w:w="2117" w:type="dxa"/>
            <w:tcBorders>
              <w:top w:val="single" w:sz="4" w:space="0" w:color="D2C9B8"/>
              <w:left w:val="single" w:sz="4" w:space="0" w:color="D2C9B8"/>
              <w:bottom w:val="single" w:sz="4" w:space="0" w:color="D2C9B8"/>
              <w:right w:val="single" w:sz="4" w:space="0" w:color="D2C9B8"/>
            </w:tcBorders>
          </w:tcPr>
          <w:p w14:paraId="0293D18B" w14:textId="77777777" w:rsidR="005A5FCC" w:rsidRDefault="00A21C81">
            <w:pPr>
              <w:spacing w:before="20" w:after="20" w:line="240" w:lineRule="auto"/>
              <w:jc w:val="left"/>
            </w:pPr>
            <w:r>
              <w:rPr>
                <w:rFonts w:cs="EB Garamond"/>
                <w:kern w:val="16"/>
                <w:sz w:val="18"/>
                <w14:ligatures w14:val="standardContextual"/>
              </w:rPr>
              <w:t>Qualquer (fechado, semiaberto, aberto)</w:t>
            </w:r>
          </w:p>
        </w:tc>
        <w:tc>
          <w:tcPr>
            <w:tcW w:w="2117" w:type="dxa"/>
            <w:tcBorders>
              <w:top w:val="single" w:sz="4" w:space="0" w:color="D2C9B8"/>
              <w:left w:val="single" w:sz="4" w:space="0" w:color="D2C9B8"/>
              <w:bottom w:val="single" w:sz="4" w:space="0" w:color="D2C9B8"/>
              <w:right w:val="single" w:sz="4" w:space="0" w:color="D2C9B8"/>
            </w:tcBorders>
          </w:tcPr>
          <w:p w14:paraId="7BDA6828" w14:textId="77777777" w:rsidR="005A5FCC" w:rsidRDefault="00A21C81">
            <w:pPr>
              <w:spacing w:before="20" w:after="20" w:line="240" w:lineRule="auto"/>
              <w:jc w:val="left"/>
            </w:pPr>
            <w:r>
              <w:rPr>
                <w:rFonts w:cs="EB Garamond"/>
                <w:kern w:val="16"/>
                <w:sz w:val="18"/>
                <w14:ligatures w14:val="standardContextual"/>
              </w:rPr>
              <w:t>Apenas regime fechado (art. 80) — semiaberto: controvérsia</w:t>
            </w:r>
          </w:p>
        </w:tc>
      </w:tr>
      <w:tr w:rsidR="005A5FCC" w14:paraId="46F498C6"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56749514" w14:textId="77777777" w:rsidR="005A5FCC" w:rsidRDefault="00A21C81">
            <w:pPr>
              <w:spacing w:before="20" w:after="20" w:line="240" w:lineRule="auto"/>
              <w:jc w:val="left"/>
            </w:pPr>
            <w:r>
              <w:rPr>
                <w:rFonts w:cs="EB Garamond"/>
                <w:kern w:val="16"/>
                <w:sz w:val="18"/>
                <w14:ligatures w14:val="standardContextual"/>
              </w:rPr>
              <w:t>Critério baixa renda</w:t>
            </w:r>
          </w:p>
        </w:tc>
        <w:tc>
          <w:tcPr>
            <w:tcW w:w="2117" w:type="dxa"/>
            <w:tcBorders>
              <w:top w:val="single" w:sz="4" w:space="0" w:color="D2C9B8"/>
              <w:left w:val="single" w:sz="4" w:space="0" w:color="D2C9B8"/>
              <w:bottom w:val="single" w:sz="4" w:space="0" w:color="D2C9B8"/>
              <w:right w:val="single" w:sz="4" w:space="0" w:color="D2C9B8"/>
            </w:tcBorders>
          </w:tcPr>
          <w:p w14:paraId="5187F216" w14:textId="77777777" w:rsidR="005A5FCC" w:rsidRDefault="00A21C81">
            <w:pPr>
              <w:spacing w:before="20" w:after="20" w:line="240" w:lineRule="auto"/>
              <w:jc w:val="left"/>
            </w:pPr>
            <w:r>
              <w:rPr>
                <w:rFonts w:cs="EB Garamond"/>
                <w:kern w:val="16"/>
                <w:sz w:val="18"/>
                <w14:ligatures w14:val="standardContextual"/>
              </w:rPr>
              <w:t>Último salário de contribuição ≤ limite</w:t>
            </w:r>
          </w:p>
        </w:tc>
        <w:tc>
          <w:tcPr>
            <w:tcW w:w="2117" w:type="dxa"/>
            <w:tcBorders>
              <w:top w:val="single" w:sz="4" w:space="0" w:color="D2C9B8"/>
              <w:left w:val="single" w:sz="4" w:space="0" w:color="D2C9B8"/>
              <w:bottom w:val="single" w:sz="4" w:space="0" w:color="D2C9B8"/>
              <w:right w:val="single" w:sz="4" w:space="0" w:color="D2C9B8"/>
            </w:tcBorders>
          </w:tcPr>
          <w:p w14:paraId="675F1D51" w14:textId="77777777" w:rsidR="005A5FCC" w:rsidRDefault="00A21C81">
            <w:pPr>
              <w:spacing w:before="20" w:after="20" w:line="240" w:lineRule="auto"/>
              <w:jc w:val="left"/>
            </w:pPr>
            <w:r>
              <w:rPr>
                <w:rFonts w:cs="EB Garamond"/>
                <w:kern w:val="16"/>
                <w:sz w:val="18"/>
                <w14:ligatures w14:val="standardContextual"/>
              </w:rPr>
              <w:t>Média 12 últimos salários ≤ limite</w:t>
            </w:r>
          </w:p>
        </w:tc>
      </w:tr>
      <w:tr w:rsidR="005A5FCC" w14:paraId="1FAB146F"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3095B06F" w14:textId="77777777" w:rsidR="005A5FCC" w:rsidRDefault="00A21C81">
            <w:pPr>
              <w:spacing w:before="20" w:after="20" w:line="240" w:lineRule="auto"/>
              <w:jc w:val="left"/>
            </w:pPr>
            <w:r>
              <w:rPr>
                <w:rFonts w:cs="EB Garamond"/>
                <w:kern w:val="16"/>
                <w:sz w:val="18"/>
                <w14:ligatures w14:val="standardContextual"/>
              </w:rPr>
              <w:t>Limite baixa renda</w:t>
            </w:r>
          </w:p>
        </w:tc>
        <w:tc>
          <w:tcPr>
            <w:tcW w:w="2117" w:type="dxa"/>
            <w:tcBorders>
              <w:top w:val="single" w:sz="4" w:space="0" w:color="D2C9B8"/>
              <w:left w:val="single" w:sz="4" w:space="0" w:color="D2C9B8"/>
              <w:bottom w:val="single" w:sz="4" w:space="0" w:color="D2C9B8"/>
              <w:right w:val="single" w:sz="4" w:space="0" w:color="D2C9B8"/>
            </w:tcBorders>
          </w:tcPr>
          <w:p w14:paraId="799E5741" w14:textId="77777777" w:rsidR="005A5FCC" w:rsidRDefault="00A21C81">
            <w:pPr>
              <w:spacing w:before="20" w:after="20" w:line="240" w:lineRule="auto"/>
              <w:jc w:val="left"/>
            </w:pPr>
            <w:r>
              <w:rPr>
                <w:rFonts w:cs="EB Garamond"/>
                <w:kern w:val="16"/>
                <w:sz w:val="18"/>
                <w14:ligatures w14:val="standardContextual"/>
              </w:rPr>
              <w:t>N/A (aplica-se o da época)</w:t>
            </w:r>
          </w:p>
        </w:tc>
        <w:tc>
          <w:tcPr>
            <w:tcW w:w="2117" w:type="dxa"/>
            <w:tcBorders>
              <w:top w:val="single" w:sz="4" w:space="0" w:color="D2C9B8"/>
              <w:left w:val="single" w:sz="4" w:space="0" w:color="D2C9B8"/>
              <w:bottom w:val="single" w:sz="4" w:space="0" w:color="D2C9B8"/>
              <w:right w:val="single" w:sz="4" w:space="0" w:color="D2C9B8"/>
            </w:tcBorders>
          </w:tcPr>
          <w:p w14:paraId="4A865D03" w14:textId="77777777" w:rsidR="005A5FCC" w:rsidRDefault="00A21C81">
            <w:pPr>
              <w:spacing w:before="20" w:after="20" w:line="240" w:lineRule="auto"/>
              <w:jc w:val="left"/>
            </w:pPr>
            <w:r>
              <w:rPr>
                <w:rFonts w:cs="EB Garamond"/>
                <w:kern w:val="16"/>
                <w:sz w:val="18"/>
                <w14:ligatures w14:val="standardContextual"/>
              </w:rPr>
              <w:t>R$ 1.906,04 (2025); valor do exercício pela Portaria MPS/MF</w:t>
            </w:r>
          </w:p>
        </w:tc>
      </w:tr>
      <w:tr w:rsidR="005A5FCC" w14:paraId="51033016"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013B9FB9" w14:textId="77777777" w:rsidR="005A5FCC" w:rsidRDefault="00A21C81">
            <w:pPr>
              <w:spacing w:before="20" w:after="20" w:line="240" w:lineRule="auto"/>
              <w:jc w:val="left"/>
            </w:pPr>
            <w:r>
              <w:rPr>
                <w:rFonts w:cs="EB Garamond"/>
                <w:kern w:val="16"/>
                <w:sz w:val="18"/>
                <w14:ligatures w14:val="standardContextual"/>
              </w:rPr>
              <w:t>Valor do benefício</w:t>
            </w:r>
          </w:p>
        </w:tc>
        <w:tc>
          <w:tcPr>
            <w:tcW w:w="2117" w:type="dxa"/>
            <w:tcBorders>
              <w:top w:val="single" w:sz="4" w:space="0" w:color="D2C9B8"/>
              <w:left w:val="single" w:sz="4" w:space="0" w:color="D2C9B8"/>
              <w:bottom w:val="single" w:sz="4" w:space="0" w:color="D2C9B8"/>
              <w:right w:val="single" w:sz="4" w:space="0" w:color="D2C9B8"/>
            </w:tcBorders>
          </w:tcPr>
          <w:p w14:paraId="676B34ED" w14:textId="77777777" w:rsidR="005A5FCC" w:rsidRDefault="00A21C81">
            <w:pPr>
              <w:spacing w:before="20" w:after="20" w:line="240" w:lineRule="auto"/>
              <w:jc w:val="left"/>
            </w:pPr>
            <w:r>
              <w:rPr>
                <w:rFonts w:cs="EB Garamond"/>
                <w:kern w:val="16"/>
                <w:sz w:val="18"/>
                <w14:ligatures w14:val="standardContextual"/>
              </w:rPr>
              <w:t>Proporcional ao salário de benefício</w:t>
            </w:r>
          </w:p>
        </w:tc>
        <w:tc>
          <w:tcPr>
            <w:tcW w:w="2117" w:type="dxa"/>
            <w:tcBorders>
              <w:top w:val="single" w:sz="4" w:space="0" w:color="D2C9B8"/>
              <w:left w:val="single" w:sz="4" w:space="0" w:color="D2C9B8"/>
              <w:bottom w:val="single" w:sz="4" w:space="0" w:color="D2C9B8"/>
              <w:right w:val="single" w:sz="4" w:space="0" w:color="D2C9B8"/>
            </w:tcBorders>
          </w:tcPr>
          <w:p w14:paraId="16DA5532" w14:textId="77777777" w:rsidR="005A5FCC" w:rsidRDefault="00A21C81">
            <w:pPr>
              <w:spacing w:before="20" w:after="20" w:line="240" w:lineRule="auto"/>
              <w:jc w:val="left"/>
            </w:pPr>
            <w:r>
              <w:rPr>
                <w:rFonts w:cs="EB Garamond"/>
                <w:kern w:val="16"/>
                <w:sz w:val="18"/>
                <w14:ligatures w14:val="standardContextual"/>
              </w:rPr>
              <w:t>1 SM (R$ 1.621,00 em 2026)</w:t>
            </w:r>
          </w:p>
        </w:tc>
      </w:tr>
      <w:tr w:rsidR="005A5FCC" w14:paraId="33C1399C"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02589C6E" w14:textId="77777777" w:rsidR="005A5FCC" w:rsidRDefault="00A21C81">
            <w:pPr>
              <w:spacing w:before="20" w:after="20" w:line="240" w:lineRule="auto"/>
              <w:jc w:val="left"/>
            </w:pPr>
            <w:r>
              <w:rPr>
                <w:rFonts w:cs="EB Garamond"/>
                <w:kern w:val="16"/>
                <w:sz w:val="18"/>
                <w14:ligatures w14:val="standardContextual"/>
              </w:rPr>
              <w:t>Dependentes</w:t>
            </w:r>
          </w:p>
        </w:tc>
        <w:tc>
          <w:tcPr>
            <w:tcW w:w="2117" w:type="dxa"/>
            <w:tcBorders>
              <w:top w:val="single" w:sz="4" w:space="0" w:color="D2C9B8"/>
              <w:left w:val="single" w:sz="4" w:space="0" w:color="D2C9B8"/>
              <w:bottom w:val="single" w:sz="4" w:space="0" w:color="D2C9B8"/>
              <w:right w:val="single" w:sz="4" w:space="0" w:color="D2C9B8"/>
            </w:tcBorders>
          </w:tcPr>
          <w:p w14:paraId="1C75D2AC" w14:textId="77777777" w:rsidR="005A5FCC" w:rsidRDefault="00A21C81">
            <w:pPr>
              <w:spacing w:before="20" w:after="20" w:line="240" w:lineRule="auto"/>
              <w:jc w:val="left"/>
            </w:pPr>
            <w:r>
              <w:rPr>
                <w:rFonts w:cs="EB Garamond"/>
                <w:kern w:val="16"/>
                <w:sz w:val="18"/>
                <w14:ligatures w14:val="standardContextual"/>
              </w:rPr>
              <w:t>Classes do art. 16, Lei 8.213</w:t>
            </w:r>
          </w:p>
        </w:tc>
        <w:tc>
          <w:tcPr>
            <w:tcW w:w="2117" w:type="dxa"/>
            <w:tcBorders>
              <w:top w:val="single" w:sz="4" w:space="0" w:color="D2C9B8"/>
              <w:left w:val="single" w:sz="4" w:space="0" w:color="D2C9B8"/>
              <w:bottom w:val="single" w:sz="4" w:space="0" w:color="D2C9B8"/>
              <w:right w:val="single" w:sz="4" w:space="0" w:color="D2C9B8"/>
            </w:tcBorders>
          </w:tcPr>
          <w:p w14:paraId="6F1FD87E" w14:textId="77777777" w:rsidR="005A5FCC" w:rsidRDefault="00A21C81">
            <w:pPr>
              <w:spacing w:before="20" w:after="20" w:line="240" w:lineRule="auto"/>
              <w:jc w:val="left"/>
            </w:pPr>
            <w:r>
              <w:rPr>
                <w:rFonts w:cs="EB Garamond"/>
                <w:kern w:val="16"/>
                <w:sz w:val="18"/>
                <w14:ligatures w14:val="standardContextual"/>
              </w:rPr>
              <w:t>Classes do art. 16, Lei 8.213</w:t>
            </w:r>
          </w:p>
        </w:tc>
      </w:tr>
      <w:tr w:rsidR="005A5FCC" w14:paraId="2C833A99"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16CBD570" w14:textId="77777777" w:rsidR="005A5FCC" w:rsidRDefault="00A21C81">
            <w:pPr>
              <w:spacing w:before="20" w:after="20" w:line="240" w:lineRule="auto"/>
              <w:jc w:val="left"/>
            </w:pPr>
            <w:r>
              <w:rPr>
                <w:rFonts w:cs="EB Garamond"/>
                <w:kern w:val="16"/>
                <w:sz w:val="18"/>
                <w14:ligatures w14:val="standardContextual"/>
              </w:rPr>
              <w:t>Manutenção</w:t>
            </w:r>
          </w:p>
        </w:tc>
        <w:tc>
          <w:tcPr>
            <w:tcW w:w="2117" w:type="dxa"/>
            <w:tcBorders>
              <w:top w:val="single" w:sz="4" w:space="0" w:color="D2C9B8"/>
              <w:left w:val="single" w:sz="4" w:space="0" w:color="D2C9B8"/>
              <w:bottom w:val="single" w:sz="4" w:space="0" w:color="D2C9B8"/>
              <w:right w:val="single" w:sz="4" w:space="0" w:color="D2C9B8"/>
            </w:tcBorders>
          </w:tcPr>
          <w:p w14:paraId="24C7F345" w14:textId="77777777" w:rsidR="005A5FCC" w:rsidRDefault="00A21C81">
            <w:pPr>
              <w:spacing w:before="20" w:after="20" w:line="240" w:lineRule="auto"/>
              <w:jc w:val="left"/>
            </w:pPr>
            <w:r>
              <w:rPr>
                <w:rFonts w:cs="EB Garamond"/>
                <w:kern w:val="16"/>
                <w:sz w:val="18"/>
                <w14:ligatures w14:val="standardContextual"/>
              </w:rPr>
              <w:t>Atestado carcerário trimestral</w:t>
            </w:r>
          </w:p>
        </w:tc>
        <w:tc>
          <w:tcPr>
            <w:tcW w:w="2117" w:type="dxa"/>
            <w:tcBorders>
              <w:top w:val="single" w:sz="4" w:space="0" w:color="D2C9B8"/>
              <w:left w:val="single" w:sz="4" w:space="0" w:color="D2C9B8"/>
              <w:bottom w:val="single" w:sz="4" w:space="0" w:color="D2C9B8"/>
              <w:right w:val="single" w:sz="4" w:space="0" w:color="D2C9B8"/>
            </w:tcBorders>
          </w:tcPr>
          <w:p w14:paraId="25CC5FC8" w14:textId="77777777" w:rsidR="005A5FCC" w:rsidRDefault="00A21C81">
            <w:pPr>
              <w:spacing w:before="20" w:after="20" w:line="240" w:lineRule="auto"/>
              <w:jc w:val="left"/>
            </w:pPr>
            <w:r>
              <w:rPr>
                <w:rFonts w:cs="EB Garamond"/>
                <w:kern w:val="16"/>
                <w:sz w:val="18"/>
                <w14:ligatures w14:val="standardContextual"/>
              </w:rPr>
              <w:t>Atestado carcerário trimestral</w:t>
            </w:r>
          </w:p>
        </w:tc>
      </w:tr>
      <w:tr w:rsidR="005A5FCC" w14:paraId="5AC52EE9"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416BC93D" w14:textId="77777777" w:rsidR="005A5FCC" w:rsidRDefault="00A21C81">
            <w:pPr>
              <w:spacing w:before="20" w:after="20" w:line="240" w:lineRule="auto"/>
              <w:jc w:val="left"/>
            </w:pPr>
            <w:r>
              <w:rPr>
                <w:rFonts w:cs="EB Garamond"/>
                <w:kern w:val="16"/>
                <w:sz w:val="18"/>
                <w14:ligatures w14:val="standardContextual"/>
              </w:rPr>
              <w:t>Cessação por fuga</w:t>
            </w:r>
          </w:p>
        </w:tc>
        <w:tc>
          <w:tcPr>
            <w:tcW w:w="2117" w:type="dxa"/>
            <w:tcBorders>
              <w:top w:val="single" w:sz="4" w:space="0" w:color="D2C9B8"/>
              <w:left w:val="single" w:sz="4" w:space="0" w:color="D2C9B8"/>
              <w:bottom w:val="single" w:sz="4" w:space="0" w:color="D2C9B8"/>
              <w:right w:val="single" w:sz="4" w:space="0" w:color="D2C9B8"/>
            </w:tcBorders>
          </w:tcPr>
          <w:p w14:paraId="5F13F1D7" w14:textId="77777777" w:rsidR="005A5FCC" w:rsidRDefault="00A21C81">
            <w:pPr>
              <w:spacing w:before="20" w:after="20" w:line="240" w:lineRule="auto"/>
              <w:jc w:val="left"/>
            </w:pPr>
            <w:r>
              <w:rPr>
                <w:rFonts w:cs="EB Garamond"/>
                <w:kern w:val="16"/>
                <w:sz w:val="18"/>
                <w14:ligatures w14:val="standardContextual"/>
              </w:rPr>
              <w:t>Suspensão (regulamento)</w:t>
            </w:r>
          </w:p>
        </w:tc>
        <w:tc>
          <w:tcPr>
            <w:tcW w:w="2117" w:type="dxa"/>
            <w:tcBorders>
              <w:top w:val="single" w:sz="4" w:space="0" w:color="D2C9B8"/>
              <w:left w:val="single" w:sz="4" w:space="0" w:color="D2C9B8"/>
              <w:bottom w:val="single" w:sz="4" w:space="0" w:color="D2C9B8"/>
              <w:right w:val="single" w:sz="4" w:space="0" w:color="D2C9B8"/>
            </w:tcBorders>
          </w:tcPr>
          <w:p w14:paraId="1B31A64A" w14:textId="77777777" w:rsidR="005A5FCC" w:rsidRDefault="00A21C81">
            <w:pPr>
              <w:spacing w:before="20" w:after="20" w:line="240" w:lineRule="auto"/>
              <w:jc w:val="left"/>
            </w:pPr>
            <w:r>
              <w:rPr>
                <w:rFonts w:cs="EB Garamond"/>
                <w:kern w:val="16"/>
                <w:sz w:val="18"/>
                <w14:ligatures w14:val="standardContextual"/>
              </w:rPr>
              <w:t>Controvérsia: suspensão × cessação (TRU/4ª Região)</w:t>
            </w:r>
          </w:p>
        </w:tc>
      </w:tr>
      <w:tr w:rsidR="005A5FCC" w14:paraId="2CA76FE0"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59A58C2A" w14:textId="77777777" w:rsidR="005A5FCC" w:rsidRDefault="00A21C81">
            <w:pPr>
              <w:spacing w:before="20" w:after="20" w:line="240" w:lineRule="auto"/>
              <w:jc w:val="left"/>
            </w:pPr>
            <w:r>
              <w:rPr>
                <w:rFonts w:cs="EB Garamond"/>
                <w:kern w:val="16"/>
                <w:sz w:val="18"/>
                <w14:ligatures w14:val="standardContextual"/>
              </w:rPr>
              <w:t>Cessação por progressão ao semiaberto</w:t>
            </w:r>
          </w:p>
        </w:tc>
        <w:tc>
          <w:tcPr>
            <w:tcW w:w="2117" w:type="dxa"/>
            <w:tcBorders>
              <w:top w:val="single" w:sz="4" w:space="0" w:color="D2C9B8"/>
              <w:left w:val="single" w:sz="4" w:space="0" w:color="D2C9B8"/>
              <w:bottom w:val="single" w:sz="4" w:space="0" w:color="D2C9B8"/>
              <w:right w:val="single" w:sz="4" w:space="0" w:color="D2C9B8"/>
            </w:tcBorders>
          </w:tcPr>
          <w:p w14:paraId="3EFF1A33" w14:textId="77777777" w:rsidR="005A5FCC" w:rsidRDefault="00A21C81">
            <w:pPr>
              <w:spacing w:before="20" w:after="20" w:line="240" w:lineRule="auto"/>
              <w:jc w:val="left"/>
            </w:pPr>
            <w:r>
              <w:rPr>
                <w:rFonts w:cs="EB Garamond"/>
                <w:kern w:val="16"/>
                <w:sz w:val="18"/>
                <w14:ligatures w14:val="standardContextual"/>
              </w:rPr>
              <w:t>Não se aplica</w:t>
            </w:r>
          </w:p>
        </w:tc>
        <w:tc>
          <w:tcPr>
            <w:tcW w:w="2117" w:type="dxa"/>
            <w:tcBorders>
              <w:top w:val="single" w:sz="4" w:space="0" w:color="D2C9B8"/>
              <w:left w:val="single" w:sz="4" w:space="0" w:color="D2C9B8"/>
              <w:bottom w:val="single" w:sz="4" w:space="0" w:color="D2C9B8"/>
              <w:right w:val="single" w:sz="4" w:space="0" w:color="D2C9B8"/>
            </w:tcBorders>
          </w:tcPr>
          <w:p w14:paraId="5B9CE26E" w14:textId="77777777" w:rsidR="005A5FCC" w:rsidRDefault="00A21C81">
            <w:pPr>
              <w:spacing w:before="20" w:after="20" w:line="240" w:lineRule="auto"/>
              <w:jc w:val="left"/>
            </w:pPr>
            <w:r>
              <w:rPr>
                <w:rFonts w:cs="EB Garamond"/>
                <w:kern w:val="16"/>
                <w:sz w:val="18"/>
                <w14:ligatures w14:val="standardContextual"/>
              </w:rPr>
              <w:t>Art. 80: cessação / CF: controvérsia</w:t>
            </w:r>
          </w:p>
        </w:tc>
      </w:tr>
      <w:tr w:rsidR="005A5FCC" w14:paraId="11C2E76F"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2E7BBD04" w14:textId="77777777" w:rsidR="005A5FCC" w:rsidRDefault="00A21C81">
            <w:pPr>
              <w:spacing w:before="20" w:after="20" w:line="240" w:lineRule="auto"/>
              <w:jc w:val="left"/>
            </w:pPr>
            <w:r>
              <w:rPr>
                <w:rFonts w:cs="EB Garamond"/>
                <w:kern w:val="16"/>
                <w:sz w:val="18"/>
                <w14:ligatures w14:val="standardContextual"/>
              </w:rPr>
              <w:lastRenderedPageBreak/>
              <w:t>Cessação por progressão ao aberto</w:t>
            </w:r>
          </w:p>
        </w:tc>
        <w:tc>
          <w:tcPr>
            <w:tcW w:w="2117" w:type="dxa"/>
            <w:tcBorders>
              <w:top w:val="single" w:sz="4" w:space="0" w:color="D2C9B8"/>
              <w:left w:val="single" w:sz="4" w:space="0" w:color="D2C9B8"/>
              <w:bottom w:val="single" w:sz="4" w:space="0" w:color="D2C9B8"/>
              <w:right w:val="single" w:sz="4" w:space="0" w:color="D2C9B8"/>
            </w:tcBorders>
          </w:tcPr>
          <w:p w14:paraId="5C0F17B8" w14:textId="77777777" w:rsidR="005A5FCC" w:rsidRDefault="00A21C81">
            <w:pPr>
              <w:spacing w:before="20" w:after="20" w:line="240" w:lineRule="auto"/>
              <w:jc w:val="left"/>
            </w:pPr>
            <w:r>
              <w:rPr>
                <w:rFonts w:cs="EB Garamond"/>
                <w:kern w:val="16"/>
                <w:sz w:val="18"/>
                <w14:ligatures w14:val="standardContextual"/>
              </w:rPr>
              <w:t>Não se aplica</w:t>
            </w:r>
          </w:p>
        </w:tc>
        <w:tc>
          <w:tcPr>
            <w:tcW w:w="2117" w:type="dxa"/>
            <w:tcBorders>
              <w:top w:val="single" w:sz="4" w:space="0" w:color="D2C9B8"/>
              <w:left w:val="single" w:sz="4" w:space="0" w:color="D2C9B8"/>
              <w:bottom w:val="single" w:sz="4" w:space="0" w:color="D2C9B8"/>
              <w:right w:val="single" w:sz="4" w:space="0" w:color="D2C9B8"/>
            </w:tcBorders>
          </w:tcPr>
          <w:p w14:paraId="4A0DE2CE" w14:textId="77777777" w:rsidR="005A5FCC" w:rsidRDefault="00A21C81">
            <w:pPr>
              <w:spacing w:before="20" w:after="20" w:line="240" w:lineRule="auto"/>
              <w:jc w:val="left"/>
            </w:pPr>
            <w:r>
              <w:rPr>
                <w:rFonts w:cs="EB Garamond"/>
                <w:kern w:val="16"/>
                <w:sz w:val="18"/>
                <w14:ligatures w14:val="standardContextual"/>
              </w:rPr>
              <w:t>Cessação obrigatória (vedação constitucional)</w:t>
            </w:r>
          </w:p>
        </w:tc>
      </w:tr>
      <w:tr w:rsidR="005A5FCC" w14:paraId="1354B1F8"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7D3544B1" w14:textId="77777777" w:rsidR="005A5FCC" w:rsidRDefault="00A21C81">
            <w:pPr>
              <w:spacing w:before="20" w:after="20" w:line="240" w:lineRule="auto"/>
              <w:jc w:val="left"/>
            </w:pPr>
            <w:r>
              <w:rPr>
                <w:rFonts w:cs="EB Garamond"/>
                <w:kern w:val="16"/>
                <w:sz w:val="18"/>
                <w14:ligatures w14:val="standardContextual"/>
              </w:rPr>
              <w:t>Conversão em PM por óbito</w:t>
            </w:r>
          </w:p>
        </w:tc>
        <w:tc>
          <w:tcPr>
            <w:tcW w:w="2117" w:type="dxa"/>
            <w:tcBorders>
              <w:top w:val="single" w:sz="4" w:space="0" w:color="D2C9B8"/>
              <w:left w:val="single" w:sz="4" w:space="0" w:color="D2C9B8"/>
              <w:bottom w:val="single" w:sz="4" w:space="0" w:color="D2C9B8"/>
              <w:right w:val="single" w:sz="4" w:space="0" w:color="D2C9B8"/>
            </w:tcBorders>
          </w:tcPr>
          <w:p w14:paraId="7F99436A" w14:textId="77777777" w:rsidR="005A5FCC" w:rsidRDefault="00A21C81">
            <w:pPr>
              <w:spacing w:before="20" w:after="20" w:line="240" w:lineRule="auto"/>
              <w:jc w:val="left"/>
            </w:pPr>
            <w:r>
              <w:rPr>
                <w:rFonts w:cs="EB Garamond"/>
                <w:kern w:val="16"/>
                <w:sz w:val="18"/>
                <w14:ligatures w14:val="standardContextual"/>
              </w:rPr>
              <w:t>Automática</w:t>
            </w:r>
          </w:p>
        </w:tc>
        <w:tc>
          <w:tcPr>
            <w:tcW w:w="2117" w:type="dxa"/>
            <w:tcBorders>
              <w:top w:val="single" w:sz="4" w:space="0" w:color="D2C9B8"/>
              <w:left w:val="single" w:sz="4" w:space="0" w:color="D2C9B8"/>
              <w:bottom w:val="single" w:sz="4" w:space="0" w:color="D2C9B8"/>
              <w:right w:val="single" w:sz="4" w:space="0" w:color="D2C9B8"/>
            </w:tcBorders>
          </w:tcPr>
          <w:p w14:paraId="35BC494C" w14:textId="77777777" w:rsidR="005A5FCC" w:rsidRDefault="00A21C81">
            <w:pPr>
              <w:spacing w:before="20" w:after="20" w:line="240" w:lineRule="auto"/>
              <w:jc w:val="left"/>
            </w:pPr>
            <w:r>
              <w:rPr>
                <w:rFonts w:cs="EB Garamond"/>
                <w:kern w:val="16"/>
                <w:sz w:val="18"/>
                <w14:ligatures w14:val="standardContextual"/>
              </w:rPr>
              <w:t>Automática</w:t>
            </w:r>
          </w:p>
        </w:tc>
      </w:tr>
      <w:tr w:rsidR="005A5FCC" w14:paraId="206A3E68"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333C23E7" w14:textId="77777777" w:rsidR="005A5FCC" w:rsidRDefault="00A21C81">
            <w:pPr>
              <w:spacing w:before="20" w:after="20" w:line="240" w:lineRule="auto"/>
              <w:jc w:val="left"/>
            </w:pPr>
            <w:r>
              <w:rPr>
                <w:rFonts w:cs="EB Garamond"/>
                <w:kern w:val="16"/>
                <w:sz w:val="18"/>
                <w14:ligatures w14:val="standardContextual"/>
              </w:rPr>
              <w:t>Segurado aposentado</w:t>
            </w:r>
          </w:p>
        </w:tc>
        <w:tc>
          <w:tcPr>
            <w:tcW w:w="2117" w:type="dxa"/>
            <w:tcBorders>
              <w:top w:val="single" w:sz="4" w:space="0" w:color="D2C9B8"/>
              <w:left w:val="single" w:sz="4" w:space="0" w:color="D2C9B8"/>
              <w:bottom w:val="single" w:sz="4" w:space="0" w:color="D2C9B8"/>
              <w:right w:val="single" w:sz="4" w:space="0" w:color="D2C9B8"/>
            </w:tcBorders>
          </w:tcPr>
          <w:p w14:paraId="253A2039" w14:textId="77777777" w:rsidR="005A5FCC" w:rsidRDefault="00A21C81">
            <w:pPr>
              <w:spacing w:before="20" w:after="20" w:line="240" w:lineRule="auto"/>
              <w:jc w:val="left"/>
            </w:pPr>
            <w:r>
              <w:rPr>
                <w:rFonts w:cs="EB Garamond"/>
                <w:kern w:val="16"/>
                <w:sz w:val="18"/>
                <w14:ligatures w14:val="standardContextual"/>
              </w:rPr>
              <w:t>Vedado (art. 80)</w:t>
            </w:r>
          </w:p>
        </w:tc>
        <w:tc>
          <w:tcPr>
            <w:tcW w:w="2117" w:type="dxa"/>
            <w:tcBorders>
              <w:top w:val="single" w:sz="4" w:space="0" w:color="D2C9B8"/>
              <w:left w:val="single" w:sz="4" w:space="0" w:color="D2C9B8"/>
              <w:bottom w:val="single" w:sz="4" w:space="0" w:color="D2C9B8"/>
              <w:right w:val="single" w:sz="4" w:space="0" w:color="D2C9B8"/>
            </w:tcBorders>
          </w:tcPr>
          <w:p w14:paraId="41F2F33D" w14:textId="77777777" w:rsidR="005A5FCC" w:rsidRDefault="00A21C81">
            <w:pPr>
              <w:spacing w:before="20" w:after="20" w:line="240" w:lineRule="auto"/>
              <w:jc w:val="left"/>
            </w:pPr>
            <w:r>
              <w:rPr>
                <w:rFonts w:cs="EB Garamond"/>
                <w:kern w:val="16"/>
                <w:sz w:val="18"/>
                <w14:ligatures w14:val="standardContextual"/>
              </w:rPr>
              <w:t>Opção de transferência (art. 27, § 2º, EC 103)</w:t>
            </w:r>
          </w:p>
        </w:tc>
      </w:tr>
    </w:tbl>
    <w:p w14:paraId="26E8EE0E" w14:textId="77777777" w:rsidR="005A5FCC" w:rsidRDefault="005A5FCC">
      <w:pPr>
        <w:spacing w:after="80" w:line="240" w:lineRule="auto"/>
      </w:pPr>
    </w:p>
    <w:p w14:paraId="5101537F"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T</w:t>
      </w:r>
    </w:p>
    <w:p w14:paraId="3AED02C2" w14:textId="77777777" w:rsidR="005A5FCC" w:rsidRDefault="00A21C81">
      <w:r>
        <w:rPr>
          <w:rFonts w:cs="EB Garamond"/>
          <w:b/>
          <w:kern w:val="16"/>
          <w14:ligatures w14:val="standardContextual"/>
        </w:rPr>
        <w:t>abela: fatos geradores e situações específicas</w:t>
      </w:r>
    </w:p>
    <w:tbl>
      <w:tblPr>
        <w:tblW w:w="5000" w:type="pct"/>
        <w:jc w:val="center"/>
        <w:tblLook w:val="04A0" w:firstRow="1" w:lastRow="0" w:firstColumn="1" w:lastColumn="0" w:noHBand="0" w:noVBand="1"/>
      </w:tblPr>
      <w:tblGrid>
        <w:gridCol w:w="2114"/>
        <w:gridCol w:w="2113"/>
        <w:gridCol w:w="2113"/>
      </w:tblGrid>
      <w:tr w:rsidR="005A5FCC" w14:paraId="008F6540" w14:textId="77777777">
        <w:trPr>
          <w:tblHeader/>
          <w:jc w:val="center"/>
        </w:trPr>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318F9B3A" w14:textId="77777777" w:rsidR="005A5FCC" w:rsidRDefault="00A21C81">
            <w:pPr>
              <w:spacing w:before="40" w:after="40" w:line="240" w:lineRule="auto"/>
              <w:jc w:val="center"/>
            </w:pPr>
            <w:r>
              <w:rPr>
                <w:rFonts w:cs="EB Garamond"/>
                <w:b/>
                <w:color w:val="2F2923"/>
                <w:kern w:val="16"/>
                <w:sz w:val="18"/>
                <w14:ligatures w14:val="standardContextual"/>
              </w:rPr>
              <w:t>Situação</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6D42D63C" w14:textId="77777777" w:rsidR="005A5FCC" w:rsidRDefault="00A21C81">
            <w:pPr>
              <w:spacing w:before="40" w:after="40" w:line="240" w:lineRule="auto"/>
              <w:jc w:val="center"/>
            </w:pPr>
            <w:r>
              <w:rPr>
                <w:rFonts w:cs="EB Garamond"/>
                <w:b/>
                <w:color w:val="2F2923"/>
                <w:kern w:val="16"/>
                <w:sz w:val="18"/>
                <w14:ligatures w14:val="standardContextual"/>
              </w:rPr>
              <w:t>Gera AR?</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3821B7A7" w14:textId="77777777" w:rsidR="005A5FCC" w:rsidRDefault="00A21C81">
            <w:pPr>
              <w:spacing w:before="40" w:after="40" w:line="240" w:lineRule="auto"/>
              <w:jc w:val="center"/>
            </w:pPr>
            <w:r>
              <w:rPr>
                <w:rFonts w:cs="EB Garamond"/>
                <w:b/>
                <w:color w:val="2F2923"/>
                <w:kern w:val="16"/>
                <w:sz w:val="18"/>
                <w14:ligatures w14:val="standardContextual"/>
              </w:rPr>
              <w:t>Observação</w:t>
            </w:r>
          </w:p>
        </w:tc>
      </w:tr>
      <w:tr w:rsidR="005A5FCC" w14:paraId="03D5EBFD"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182C0B17" w14:textId="77777777" w:rsidR="005A5FCC" w:rsidRDefault="00A21C81">
            <w:pPr>
              <w:spacing w:before="20" w:after="20" w:line="240" w:lineRule="auto"/>
              <w:jc w:val="left"/>
            </w:pPr>
            <w:r>
              <w:rPr>
                <w:rFonts w:cs="EB Garamond"/>
                <w:kern w:val="16"/>
                <w:sz w:val="18"/>
                <w14:ligatures w14:val="standardContextual"/>
              </w:rPr>
              <w:t>Prisão em flagrante</w:t>
            </w:r>
          </w:p>
        </w:tc>
        <w:tc>
          <w:tcPr>
            <w:tcW w:w="2117" w:type="dxa"/>
            <w:tcBorders>
              <w:top w:val="single" w:sz="4" w:space="0" w:color="D2C9B8"/>
              <w:left w:val="single" w:sz="4" w:space="0" w:color="D2C9B8"/>
              <w:bottom w:val="single" w:sz="4" w:space="0" w:color="D2C9B8"/>
              <w:right w:val="single" w:sz="4" w:space="0" w:color="D2C9B8"/>
            </w:tcBorders>
          </w:tcPr>
          <w:p w14:paraId="6CB225BB" w14:textId="77777777" w:rsidR="005A5FCC" w:rsidRDefault="00A21C81">
            <w:pPr>
              <w:spacing w:before="20" w:after="20" w:line="240" w:lineRule="auto"/>
              <w:jc w:val="left"/>
            </w:pPr>
            <w:r>
              <w:rPr>
                <w:rFonts w:cs="EB Garamond"/>
                <w:kern w:val="16"/>
                <w:sz w:val="18"/>
                <w14:ligatures w14:val="standardContextual"/>
              </w:rPr>
              <w:t>SIM</w:t>
            </w:r>
          </w:p>
        </w:tc>
        <w:tc>
          <w:tcPr>
            <w:tcW w:w="2117" w:type="dxa"/>
            <w:tcBorders>
              <w:top w:val="single" w:sz="4" w:space="0" w:color="D2C9B8"/>
              <w:left w:val="single" w:sz="4" w:space="0" w:color="D2C9B8"/>
              <w:bottom w:val="single" w:sz="4" w:space="0" w:color="D2C9B8"/>
              <w:right w:val="single" w:sz="4" w:space="0" w:color="D2C9B8"/>
            </w:tcBorders>
          </w:tcPr>
          <w:p w14:paraId="095E5B01" w14:textId="77777777" w:rsidR="005A5FCC" w:rsidRDefault="00A21C81">
            <w:pPr>
              <w:spacing w:before="20" w:after="20" w:line="240" w:lineRule="auto"/>
              <w:jc w:val="left"/>
            </w:pPr>
            <w:r>
              <w:rPr>
                <w:rFonts w:cs="EB Garamond"/>
                <w:kern w:val="16"/>
                <w:sz w:val="18"/>
                <w14:ligatures w14:val="standardContextual"/>
              </w:rPr>
              <w:t>Prisão provisória = fato gerador</w:t>
            </w:r>
          </w:p>
        </w:tc>
      </w:tr>
      <w:tr w:rsidR="005A5FCC" w14:paraId="17693CBA"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40CB0C59" w14:textId="77777777" w:rsidR="005A5FCC" w:rsidRDefault="00A21C81">
            <w:pPr>
              <w:spacing w:before="20" w:after="20" w:line="240" w:lineRule="auto"/>
              <w:jc w:val="left"/>
            </w:pPr>
            <w:r>
              <w:rPr>
                <w:rFonts w:cs="EB Garamond"/>
                <w:kern w:val="16"/>
                <w:sz w:val="18"/>
                <w14:ligatures w14:val="standardContextual"/>
              </w:rPr>
              <w:t>Prisão preventiva</w:t>
            </w:r>
          </w:p>
        </w:tc>
        <w:tc>
          <w:tcPr>
            <w:tcW w:w="2117" w:type="dxa"/>
            <w:tcBorders>
              <w:top w:val="single" w:sz="4" w:space="0" w:color="D2C9B8"/>
              <w:left w:val="single" w:sz="4" w:space="0" w:color="D2C9B8"/>
              <w:bottom w:val="single" w:sz="4" w:space="0" w:color="D2C9B8"/>
              <w:right w:val="single" w:sz="4" w:space="0" w:color="D2C9B8"/>
            </w:tcBorders>
          </w:tcPr>
          <w:p w14:paraId="48A57817" w14:textId="77777777" w:rsidR="005A5FCC" w:rsidRDefault="00A21C81">
            <w:pPr>
              <w:spacing w:before="20" w:after="20" w:line="240" w:lineRule="auto"/>
              <w:jc w:val="left"/>
            </w:pPr>
            <w:r>
              <w:rPr>
                <w:rFonts w:cs="EB Garamond"/>
                <w:kern w:val="16"/>
                <w:sz w:val="18"/>
                <w14:ligatures w14:val="standardContextual"/>
              </w:rPr>
              <w:t>SIM</w:t>
            </w:r>
          </w:p>
        </w:tc>
        <w:tc>
          <w:tcPr>
            <w:tcW w:w="2117" w:type="dxa"/>
            <w:tcBorders>
              <w:top w:val="single" w:sz="4" w:space="0" w:color="D2C9B8"/>
              <w:left w:val="single" w:sz="4" w:space="0" w:color="D2C9B8"/>
              <w:bottom w:val="single" w:sz="4" w:space="0" w:color="D2C9B8"/>
              <w:right w:val="single" w:sz="4" w:space="0" w:color="D2C9B8"/>
            </w:tcBorders>
          </w:tcPr>
          <w:p w14:paraId="0EFCE852" w14:textId="77777777" w:rsidR="005A5FCC" w:rsidRDefault="00A21C81">
            <w:pPr>
              <w:spacing w:before="20" w:after="20" w:line="240" w:lineRule="auto"/>
              <w:jc w:val="left"/>
            </w:pPr>
            <w:r>
              <w:rPr>
                <w:rFonts w:cs="EB Garamond"/>
                <w:kern w:val="16"/>
                <w:sz w:val="18"/>
                <w14:ligatures w14:val="standardContextual"/>
              </w:rPr>
              <w:t>Independe de condenação</w:t>
            </w:r>
          </w:p>
        </w:tc>
      </w:tr>
      <w:tr w:rsidR="005A5FCC" w14:paraId="4F044F26"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3B4B621E" w14:textId="77777777" w:rsidR="005A5FCC" w:rsidRDefault="00A21C81">
            <w:pPr>
              <w:spacing w:before="20" w:after="20" w:line="240" w:lineRule="auto"/>
              <w:jc w:val="left"/>
            </w:pPr>
            <w:r>
              <w:rPr>
                <w:rFonts w:cs="EB Garamond"/>
                <w:kern w:val="16"/>
                <w:sz w:val="18"/>
                <w14:ligatures w14:val="standardContextual"/>
              </w:rPr>
              <w:t>Prisão temporária</w:t>
            </w:r>
          </w:p>
        </w:tc>
        <w:tc>
          <w:tcPr>
            <w:tcW w:w="2117" w:type="dxa"/>
            <w:tcBorders>
              <w:top w:val="single" w:sz="4" w:space="0" w:color="D2C9B8"/>
              <w:left w:val="single" w:sz="4" w:space="0" w:color="D2C9B8"/>
              <w:bottom w:val="single" w:sz="4" w:space="0" w:color="D2C9B8"/>
              <w:right w:val="single" w:sz="4" w:space="0" w:color="D2C9B8"/>
            </w:tcBorders>
          </w:tcPr>
          <w:p w14:paraId="55FFFBBA" w14:textId="77777777" w:rsidR="005A5FCC" w:rsidRDefault="00A21C81">
            <w:pPr>
              <w:spacing w:before="20" w:after="20" w:line="240" w:lineRule="auto"/>
              <w:jc w:val="left"/>
            </w:pPr>
            <w:r>
              <w:rPr>
                <w:rFonts w:cs="EB Garamond"/>
                <w:kern w:val="16"/>
                <w:sz w:val="18"/>
                <w14:ligatures w14:val="standardContextual"/>
              </w:rPr>
              <w:t>SIM</w:t>
            </w:r>
          </w:p>
        </w:tc>
        <w:tc>
          <w:tcPr>
            <w:tcW w:w="2117" w:type="dxa"/>
            <w:tcBorders>
              <w:top w:val="single" w:sz="4" w:space="0" w:color="D2C9B8"/>
              <w:left w:val="single" w:sz="4" w:space="0" w:color="D2C9B8"/>
              <w:bottom w:val="single" w:sz="4" w:space="0" w:color="D2C9B8"/>
              <w:right w:val="single" w:sz="4" w:space="0" w:color="D2C9B8"/>
            </w:tcBorders>
          </w:tcPr>
          <w:p w14:paraId="5868FED0" w14:textId="77777777" w:rsidR="005A5FCC" w:rsidRDefault="00A21C81">
            <w:pPr>
              <w:spacing w:before="20" w:after="20" w:line="240" w:lineRule="auto"/>
              <w:jc w:val="left"/>
            </w:pPr>
            <w:r>
              <w:rPr>
                <w:rFonts w:cs="EB Garamond"/>
                <w:kern w:val="16"/>
                <w:sz w:val="18"/>
                <w14:ligatures w14:val="standardContextual"/>
              </w:rPr>
              <w:t>Independe de condenação</w:t>
            </w:r>
          </w:p>
        </w:tc>
      </w:tr>
      <w:tr w:rsidR="005A5FCC" w14:paraId="70F93F1B"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735D399F" w14:textId="77777777" w:rsidR="005A5FCC" w:rsidRDefault="00A21C81">
            <w:pPr>
              <w:spacing w:before="20" w:after="20" w:line="240" w:lineRule="auto"/>
              <w:jc w:val="left"/>
            </w:pPr>
            <w:r>
              <w:rPr>
                <w:rFonts w:cs="EB Garamond"/>
                <w:kern w:val="16"/>
                <w:sz w:val="18"/>
                <w14:ligatures w14:val="standardContextual"/>
              </w:rPr>
              <w:t>Prisão por sentença transitada (fechado)</w:t>
            </w:r>
          </w:p>
        </w:tc>
        <w:tc>
          <w:tcPr>
            <w:tcW w:w="2117" w:type="dxa"/>
            <w:tcBorders>
              <w:top w:val="single" w:sz="4" w:space="0" w:color="D2C9B8"/>
              <w:left w:val="single" w:sz="4" w:space="0" w:color="D2C9B8"/>
              <w:bottom w:val="single" w:sz="4" w:space="0" w:color="D2C9B8"/>
              <w:right w:val="single" w:sz="4" w:space="0" w:color="D2C9B8"/>
            </w:tcBorders>
          </w:tcPr>
          <w:p w14:paraId="5A787A47" w14:textId="77777777" w:rsidR="005A5FCC" w:rsidRDefault="00A21C81">
            <w:pPr>
              <w:spacing w:before="20" w:after="20" w:line="240" w:lineRule="auto"/>
              <w:jc w:val="left"/>
            </w:pPr>
            <w:r>
              <w:rPr>
                <w:rFonts w:cs="EB Garamond"/>
                <w:kern w:val="16"/>
                <w:sz w:val="18"/>
                <w14:ligatures w14:val="standardContextual"/>
              </w:rPr>
              <w:t>SIM</w:t>
            </w:r>
          </w:p>
        </w:tc>
        <w:tc>
          <w:tcPr>
            <w:tcW w:w="2117" w:type="dxa"/>
            <w:tcBorders>
              <w:top w:val="single" w:sz="4" w:space="0" w:color="D2C9B8"/>
              <w:left w:val="single" w:sz="4" w:space="0" w:color="D2C9B8"/>
              <w:bottom w:val="single" w:sz="4" w:space="0" w:color="D2C9B8"/>
              <w:right w:val="single" w:sz="4" w:space="0" w:color="D2C9B8"/>
            </w:tcBorders>
          </w:tcPr>
          <w:p w14:paraId="5AF7D6D3" w14:textId="77777777" w:rsidR="005A5FCC" w:rsidRDefault="00A21C81">
            <w:pPr>
              <w:spacing w:before="20" w:after="20" w:line="240" w:lineRule="auto"/>
              <w:jc w:val="left"/>
            </w:pPr>
            <w:r>
              <w:rPr>
                <w:rFonts w:cs="EB Garamond"/>
                <w:kern w:val="16"/>
                <w:sz w:val="18"/>
                <w14:ligatures w14:val="standardContextual"/>
              </w:rPr>
              <w:t>Situação mais comum</w:t>
            </w:r>
          </w:p>
        </w:tc>
      </w:tr>
      <w:tr w:rsidR="005A5FCC" w14:paraId="67FDA6E3"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24F6E293" w14:textId="77777777" w:rsidR="005A5FCC" w:rsidRDefault="00A21C81">
            <w:pPr>
              <w:spacing w:before="20" w:after="20" w:line="240" w:lineRule="auto"/>
              <w:jc w:val="left"/>
            </w:pPr>
            <w:r>
              <w:rPr>
                <w:rFonts w:cs="EB Garamond"/>
                <w:kern w:val="16"/>
                <w:sz w:val="18"/>
                <w14:ligatures w14:val="standardContextual"/>
              </w:rPr>
              <w:t>Prisão por sentença transitada (semiaberto)</w:t>
            </w:r>
          </w:p>
        </w:tc>
        <w:tc>
          <w:tcPr>
            <w:tcW w:w="2117" w:type="dxa"/>
            <w:tcBorders>
              <w:top w:val="single" w:sz="4" w:space="0" w:color="D2C9B8"/>
              <w:left w:val="single" w:sz="4" w:space="0" w:color="D2C9B8"/>
              <w:bottom w:val="single" w:sz="4" w:space="0" w:color="D2C9B8"/>
              <w:right w:val="single" w:sz="4" w:space="0" w:color="D2C9B8"/>
            </w:tcBorders>
          </w:tcPr>
          <w:p w14:paraId="2E5EED4E" w14:textId="77777777" w:rsidR="005A5FCC" w:rsidRDefault="00A21C81">
            <w:pPr>
              <w:spacing w:before="20" w:after="20" w:line="240" w:lineRule="auto"/>
              <w:jc w:val="left"/>
            </w:pPr>
            <w:r>
              <w:rPr>
                <w:rFonts w:cs="EB Garamond"/>
                <w:kern w:val="16"/>
                <w:sz w:val="18"/>
                <w14:ligatures w14:val="standardContextual"/>
              </w:rPr>
              <w:t>Controvérsia</w:t>
            </w:r>
          </w:p>
        </w:tc>
        <w:tc>
          <w:tcPr>
            <w:tcW w:w="2117" w:type="dxa"/>
            <w:tcBorders>
              <w:top w:val="single" w:sz="4" w:space="0" w:color="D2C9B8"/>
              <w:left w:val="single" w:sz="4" w:space="0" w:color="D2C9B8"/>
              <w:bottom w:val="single" w:sz="4" w:space="0" w:color="D2C9B8"/>
              <w:right w:val="single" w:sz="4" w:space="0" w:color="D2C9B8"/>
            </w:tcBorders>
          </w:tcPr>
          <w:p w14:paraId="0AC2A341" w14:textId="77777777" w:rsidR="005A5FCC" w:rsidRDefault="00A21C81">
            <w:pPr>
              <w:spacing w:before="20" w:after="20" w:line="240" w:lineRule="auto"/>
              <w:jc w:val="left"/>
            </w:pPr>
            <w:r>
              <w:rPr>
                <w:rFonts w:cs="EB Garamond"/>
                <w:kern w:val="16"/>
                <w:sz w:val="18"/>
                <w14:ligatures w14:val="standardContextual"/>
              </w:rPr>
              <w:t>CF: SIM (veda só aberto) / Lei: NÃO (art. 80: só fechado)</w:t>
            </w:r>
          </w:p>
        </w:tc>
      </w:tr>
      <w:tr w:rsidR="005A5FCC" w14:paraId="615E5492"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08F84E1A" w14:textId="77777777" w:rsidR="005A5FCC" w:rsidRDefault="00A21C81">
            <w:pPr>
              <w:spacing w:before="20" w:after="20" w:line="240" w:lineRule="auto"/>
              <w:jc w:val="left"/>
            </w:pPr>
            <w:r>
              <w:rPr>
                <w:rFonts w:cs="EB Garamond"/>
                <w:kern w:val="16"/>
                <w:sz w:val="18"/>
                <w14:ligatures w14:val="standardContextual"/>
              </w:rPr>
              <w:t>Prisão em regime aberto</w:t>
            </w:r>
          </w:p>
        </w:tc>
        <w:tc>
          <w:tcPr>
            <w:tcW w:w="2117" w:type="dxa"/>
            <w:tcBorders>
              <w:top w:val="single" w:sz="4" w:space="0" w:color="D2C9B8"/>
              <w:left w:val="single" w:sz="4" w:space="0" w:color="D2C9B8"/>
              <w:bottom w:val="single" w:sz="4" w:space="0" w:color="D2C9B8"/>
              <w:right w:val="single" w:sz="4" w:space="0" w:color="D2C9B8"/>
            </w:tcBorders>
          </w:tcPr>
          <w:p w14:paraId="38D8E3AF" w14:textId="77777777" w:rsidR="005A5FCC" w:rsidRDefault="00A21C81">
            <w:pPr>
              <w:spacing w:before="20" w:after="20" w:line="240" w:lineRule="auto"/>
              <w:jc w:val="left"/>
            </w:pPr>
            <w:r>
              <w:rPr>
                <w:rFonts w:cs="EB Garamond"/>
                <w:kern w:val="16"/>
                <w:sz w:val="18"/>
                <w14:ligatures w14:val="standardContextual"/>
              </w:rPr>
              <w:t>NÃO</w:t>
            </w:r>
          </w:p>
        </w:tc>
        <w:tc>
          <w:tcPr>
            <w:tcW w:w="2117" w:type="dxa"/>
            <w:tcBorders>
              <w:top w:val="single" w:sz="4" w:space="0" w:color="D2C9B8"/>
              <w:left w:val="single" w:sz="4" w:space="0" w:color="D2C9B8"/>
              <w:bottom w:val="single" w:sz="4" w:space="0" w:color="D2C9B8"/>
              <w:right w:val="single" w:sz="4" w:space="0" w:color="D2C9B8"/>
            </w:tcBorders>
          </w:tcPr>
          <w:p w14:paraId="73A378CD" w14:textId="77777777" w:rsidR="005A5FCC" w:rsidRDefault="00A21C81">
            <w:pPr>
              <w:spacing w:before="20" w:after="20" w:line="240" w:lineRule="auto"/>
              <w:jc w:val="left"/>
            </w:pPr>
            <w:r>
              <w:rPr>
                <w:rFonts w:cs="EB Garamond"/>
                <w:kern w:val="16"/>
                <w:sz w:val="18"/>
                <w14:ligatures w14:val="standardContextual"/>
              </w:rPr>
              <w:t>Vedação constitucional expressa (art. 201, § 5º)</w:t>
            </w:r>
          </w:p>
        </w:tc>
      </w:tr>
      <w:tr w:rsidR="005A5FCC" w14:paraId="10E79612"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7ADF47DE" w14:textId="77777777" w:rsidR="005A5FCC" w:rsidRDefault="00A21C81">
            <w:pPr>
              <w:spacing w:before="20" w:after="20" w:line="240" w:lineRule="auto"/>
              <w:jc w:val="left"/>
            </w:pPr>
            <w:r>
              <w:rPr>
                <w:rFonts w:cs="EB Garamond"/>
                <w:kern w:val="16"/>
                <w:sz w:val="18"/>
                <w14:ligatures w14:val="standardContextual"/>
              </w:rPr>
              <w:t>Prisão domiciliar (substitutiva do aberto)</w:t>
            </w:r>
          </w:p>
        </w:tc>
        <w:tc>
          <w:tcPr>
            <w:tcW w:w="2117" w:type="dxa"/>
            <w:tcBorders>
              <w:top w:val="single" w:sz="4" w:space="0" w:color="D2C9B8"/>
              <w:left w:val="single" w:sz="4" w:space="0" w:color="D2C9B8"/>
              <w:bottom w:val="single" w:sz="4" w:space="0" w:color="D2C9B8"/>
              <w:right w:val="single" w:sz="4" w:space="0" w:color="D2C9B8"/>
            </w:tcBorders>
          </w:tcPr>
          <w:p w14:paraId="62D4FFE4" w14:textId="77777777" w:rsidR="005A5FCC" w:rsidRDefault="00A21C81">
            <w:pPr>
              <w:spacing w:before="20" w:after="20" w:line="240" w:lineRule="auto"/>
              <w:jc w:val="left"/>
            </w:pPr>
            <w:r>
              <w:rPr>
                <w:rFonts w:cs="EB Garamond"/>
                <w:kern w:val="16"/>
                <w:sz w:val="18"/>
                <w14:ligatures w14:val="standardContextual"/>
              </w:rPr>
              <w:t>NÃO</w:t>
            </w:r>
          </w:p>
        </w:tc>
        <w:tc>
          <w:tcPr>
            <w:tcW w:w="2117" w:type="dxa"/>
            <w:tcBorders>
              <w:top w:val="single" w:sz="4" w:space="0" w:color="D2C9B8"/>
              <w:left w:val="single" w:sz="4" w:space="0" w:color="D2C9B8"/>
              <w:bottom w:val="single" w:sz="4" w:space="0" w:color="D2C9B8"/>
              <w:right w:val="single" w:sz="4" w:space="0" w:color="D2C9B8"/>
            </w:tcBorders>
          </w:tcPr>
          <w:p w14:paraId="2069AB91" w14:textId="77777777" w:rsidR="005A5FCC" w:rsidRDefault="00A21C81">
            <w:pPr>
              <w:spacing w:before="20" w:after="20" w:line="240" w:lineRule="auto"/>
              <w:jc w:val="left"/>
            </w:pPr>
            <w:r>
              <w:rPr>
                <w:rFonts w:cs="EB Garamond"/>
                <w:kern w:val="16"/>
                <w:sz w:val="18"/>
                <w14:ligatures w14:val="standardContextual"/>
              </w:rPr>
              <w:t>Regime jurídico = aberto</w:t>
            </w:r>
          </w:p>
        </w:tc>
      </w:tr>
      <w:tr w:rsidR="005A5FCC" w14:paraId="0C4D5974"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1F74F374" w14:textId="77777777" w:rsidR="005A5FCC" w:rsidRDefault="00A21C81">
            <w:pPr>
              <w:spacing w:before="20" w:after="20" w:line="240" w:lineRule="auto"/>
              <w:jc w:val="left"/>
            </w:pPr>
            <w:r>
              <w:rPr>
                <w:rFonts w:cs="EB Garamond"/>
                <w:kern w:val="16"/>
                <w:sz w:val="18"/>
                <w14:ligatures w14:val="standardContextual"/>
              </w:rPr>
              <w:t>Prisão domiciliar (substitutiva da preventiva)</w:t>
            </w:r>
          </w:p>
        </w:tc>
        <w:tc>
          <w:tcPr>
            <w:tcW w:w="2117" w:type="dxa"/>
            <w:tcBorders>
              <w:top w:val="single" w:sz="4" w:space="0" w:color="D2C9B8"/>
              <w:left w:val="single" w:sz="4" w:space="0" w:color="D2C9B8"/>
              <w:bottom w:val="single" w:sz="4" w:space="0" w:color="D2C9B8"/>
              <w:right w:val="single" w:sz="4" w:space="0" w:color="D2C9B8"/>
            </w:tcBorders>
          </w:tcPr>
          <w:p w14:paraId="64AC647B" w14:textId="77777777" w:rsidR="005A5FCC" w:rsidRDefault="00A21C81">
            <w:pPr>
              <w:spacing w:before="20" w:after="20" w:line="240" w:lineRule="auto"/>
              <w:jc w:val="left"/>
            </w:pPr>
            <w:r>
              <w:rPr>
                <w:rFonts w:cs="EB Garamond"/>
                <w:kern w:val="16"/>
                <w:sz w:val="18"/>
                <w14:ligatures w14:val="standardContextual"/>
              </w:rPr>
              <w:t>Controvérsia</w:t>
            </w:r>
          </w:p>
        </w:tc>
        <w:tc>
          <w:tcPr>
            <w:tcW w:w="2117" w:type="dxa"/>
            <w:tcBorders>
              <w:top w:val="single" w:sz="4" w:space="0" w:color="D2C9B8"/>
              <w:left w:val="single" w:sz="4" w:space="0" w:color="D2C9B8"/>
              <w:bottom w:val="single" w:sz="4" w:space="0" w:color="D2C9B8"/>
              <w:right w:val="single" w:sz="4" w:space="0" w:color="D2C9B8"/>
            </w:tcBorders>
          </w:tcPr>
          <w:p w14:paraId="4497BD7E" w14:textId="77777777" w:rsidR="005A5FCC" w:rsidRDefault="00A21C81">
            <w:pPr>
              <w:spacing w:before="20" w:after="20" w:line="240" w:lineRule="auto"/>
              <w:jc w:val="left"/>
            </w:pPr>
            <w:r>
              <w:rPr>
                <w:rFonts w:cs="EB Garamond"/>
                <w:kern w:val="16"/>
                <w:sz w:val="18"/>
                <w14:ligatures w14:val="standardContextual"/>
              </w:rPr>
              <w:t>Posição majoritária: NÃO</w:t>
            </w:r>
          </w:p>
        </w:tc>
      </w:tr>
      <w:tr w:rsidR="005A5FCC" w14:paraId="0D8143E6"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0E6D5FFB" w14:textId="77777777" w:rsidR="005A5FCC" w:rsidRDefault="00A21C81">
            <w:pPr>
              <w:spacing w:before="20" w:after="20" w:line="240" w:lineRule="auto"/>
              <w:jc w:val="left"/>
            </w:pPr>
            <w:r>
              <w:rPr>
                <w:rFonts w:cs="EB Garamond"/>
                <w:kern w:val="16"/>
                <w:sz w:val="18"/>
                <w14:ligatures w14:val="standardContextual"/>
              </w:rPr>
              <w:t>Monitoração eletrônica (alternativa à prisão)</w:t>
            </w:r>
          </w:p>
        </w:tc>
        <w:tc>
          <w:tcPr>
            <w:tcW w:w="2117" w:type="dxa"/>
            <w:tcBorders>
              <w:top w:val="single" w:sz="4" w:space="0" w:color="D2C9B8"/>
              <w:left w:val="single" w:sz="4" w:space="0" w:color="D2C9B8"/>
              <w:bottom w:val="single" w:sz="4" w:space="0" w:color="D2C9B8"/>
              <w:right w:val="single" w:sz="4" w:space="0" w:color="D2C9B8"/>
            </w:tcBorders>
          </w:tcPr>
          <w:p w14:paraId="1507D370" w14:textId="77777777" w:rsidR="005A5FCC" w:rsidRDefault="00A21C81">
            <w:pPr>
              <w:spacing w:before="20" w:after="20" w:line="240" w:lineRule="auto"/>
              <w:jc w:val="left"/>
            </w:pPr>
            <w:r>
              <w:rPr>
                <w:rFonts w:cs="EB Garamond"/>
                <w:kern w:val="16"/>
                <w:sz w:val="18"/>
                <w14:ligatures w14:val="standardContextual"/>
              </w:rPr>
              <w:t>NÃO</w:t>
            </w:r>
          </w:p>
        </w:tc>
        <w:tc>
          <w:tcPr>
            <w:tcW w:w="2117" w:type="dxa"/>
            <w:tcBorders>
              <w:top w:val="single" w:sz="4" w:space="0" w:color="D2C9B8"/>
              <w:left w:val="single" w:sz="4" w:space="0" w:color="D2C9B8"/>
              <w:bottom w:val="single" w:sz="4" w:space="0" w:color="D2C9B8"/>
              <w:right w:val="single" w:sz="4" w:space="0" w:color="D2C9B8"/>
            </w:tcBorders>
          </w:tcPr>
          <w:p w14:paraId="68472C74" w14:textId="77777777" w:rsidR="005A5FCC" w:rsidRDefault="00A21C81">
            <w:pPr>
              <w:spacing w:before="20" w:after="20" w:line="240" w:lineRule="auto"/>
              <w:jc w:val="left"/>
            </w:pPr>
            <w:r>
              <w:rPr>
                <w:rFonts w:cs="EB Garamond"/>
                <w:kern w:val="16"/>
                <w:sz w:val="18"/>
                <w14:ligatures w14:val="standardContextual"/>
              </w:rPr>
              <w:t>Não é recolhimento efetivo</w:t>
            </w:r>
          </w:p>
        </w:tc>
      </w:tr>
      <w:tr w:rsidR="005A5FCC" w14:paraId="471EC35C"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3316754B" w14:textId="77777777" w:rsidR="005A5FCC" w:rsidRDefault="00A21C81">
            <w:pPr>
              <w:spacing w:before="20" w:after="20" w:line="240" w:lineRule="auto"/>
              <w:jc w:val="left"/>
            </w:pPr>
            <w:r>
              <w:rPr>
                <w:rFonts w:cs="EB Garamond"/>
                <w:kern w:val="16"/>
                <w:sz w:val="18"/>
                <w14:ligatures w14:val="standardContextual"/>
              </w:rPr>
              <w:t>Monitoração eletrônica (semiaberto + tornozeleira)</w:t>
            </w:r>
          </w:p>
        </w:tc>
        <w:tc>
          <w:tcPr>
            <w:tcW w:w="2117" w:type="dxa"/>
            <w:tcBorders>
              <w:top w:val="single" w:sz="4" w:space="0" w:color="D2C9B8"/>
              <w:left w:val="single" w:sz="4" w:space="0" w:color="D2C9B8"/>
              <w:bottom w:val="single" w:sz="4" w:space="0" w:color="D2C9B8"/>
              <w:right w:val="single" w:sz="4" w:space="0" w:color="D2C9B8"/>
            </w:tcBorders>
          </w:tcPr>
          <w:p w14:paraId="7F9E948F" w14:textId="77777777" w:rsidR="005A5FCC" w:rsidRDefault="00A21C81">
            <w:pPr>
              <w:spacing w:before="20" w:after="20" w:line="240" w:lineRule="auto"/>
              <w:jc w:val="left"/>
            </w:pPr>
            <w:r>
              <w:rPr>
                <w:rFonts w:cs="EB Garamond"/>
                <w:kern w:val="16"/>
                <w:sz w:val="18"/>
                <w14:ligatures w14:val="standardContextual"/>
              </w:rPr>
              <w:t>SIM</w:t>
            </w:r>
          </w:p>
        </w:tc>
        <w:tc>
          <w:tcPr>
            <w:tcW w:w="2117" w:type="dxa"/>
            <w:tcBorders>
              <w:top w:val="single" w:sz="4" w:space="0" w:color="D2C9B8"/>
              <w:left w:val="single" w:sz="4" w:space="0" w:color="D2C9B8"/>
              <w:bottom w:val="single" w:sz="4" w:space="0" w:color="D2C9B8"/>
              <w:right w:val="single" w:sz="4" w:space="0" w:color="D2C9B8"/>
            </w:tcBorders>
          </w:tcPr>
          <w:p w14:paraId="01B63BBF" w14:textId="77777777" w:rsidR="005A5FCC" w:rsidRDefault="00A21C81">
            <w:pPr>
              <w:spacing w:before="20" w:after="20" w:line="240" w:lineRule="auto"/>
              <w:jc w:val="left"/>
            </w:pPr>
            <w:r>
              <w:rPr>
                <w:rFonts w:cs="EB Garamond"/>
                <w:kern w:val="16"/>
                <w:sz w:val="18"/>
                <w14:ligatures w14:val="standardContextual"/>
              </w:rPr>
              <w:t>Regime permanece semiaberto</w:t>
            </w:r>
          </w:p>
        </w:tc>
      </w:tr>
      <w:tr w:rsidR="005A5FCC" w14:paraId="359265F1"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02398A60" w14:textId="77777777" w:rsidR="005A5FCC" w:rsidRDefault="00A21C81">
            <w:pPr>
              <w:spacing w:before="20" w:after="20" w:line="240" w:lineRule="auto"/>
              <w:jc w:val="left"/>
            </w:pPr>
            <w:r>
              <w:rPr>
                <w:rFonts w:cs="EB Garamond"/>
                <w:kern w:val="16"/>
                <w:sz w:val="18"/>
                <w14:ligatures w14:val="standardContextual"/>
              </w:rPr>
              <w:t>Livramento condicional</w:t>
            </w:r>
          </w:p>
        </w:tc>
        <w:tc>
          <w:tcPr>
            <w:tcW w:w="2117" w:type="dxa"/>
            <w:tcBorders>
              <w:top w:val="single" w:sz="4" w:space="0" w:color="D2C9B8"/>
              <w:left w:val="single" w:sz="4" w:space="0" w:color="D2C9B8"/>
              <w:bottom w:val="single" w:sz="4" w:space="0" w:color="D2C9B8"/>
              <w:right w:val="single" w:sz="4" w:space="0" w:color="D2C9B8"/>
            </w:tcBorders>
          </w:tcPr>
          <w:p w14:paraId="747E4935" w14:textId="77777777" w:rsidR="005A5FCC" w:rsidRDefault="00A21C81">
            <w:pPr>
              <w:spacing w:before="20" w:after="20" w:line="240" w:lineRule="auto"/>
              <w:jc w:val="left"/>
            </w:pPr>
            <w:r>
              <w:rPr>
                <w:rFonts w:cs="EB Garamond"/>
                <w:kern w:val="16"/>
                <w:sz w:val="18"/>
                <w14:ligatures w14:val="standardContextual"/>
              </w:rPr>
              <w:t>NÃO → cessa</w:t>
            </w:r>
          </w:p>
        </w:tc>
        <w:tc>
          <w:tcPr>
            <w:tcW w:w="2117" w:type="dxa"/>
            <w:tcBorders>
              <w:top w:val="single" w:sz="4" w:space="0" w:color="D2C9B8"/>
              <w:left w:val="single" w:sz="4" w:space="0" w:color="D2C9B8"/>
              <w:bottom w:val="single" w:sz="4" w:space="0" w:color="D2C9B8"/>
              <w:right w:val="single" w:sz="4" w:space="0" w:color="D2C9B8"/>
            </w:tcBorders>
          </w:tcPr>
          <w:p w14:paraId="2BCB6946" w14:textId="77777777" w:rsidR="005A5FCC" w:rsidRDefault="00A21C81">
            <w:pPr>
              <w:spacing w:before="20" w:after="20" w:line="240" w:lineRule="auto"/>
              <w:jc w:val="left"/>
            </w:pPr>
            <w:r>
              <w:rPr>
                <w:rFonts w:cs="EB Garamond"/>
                <w:kern w:val="16"/>
                <w:sz w:val="18"/>
                <w14:ligatures w14:val="standardContextual"/>
              </w:rPr>
              <w:t>Equivale a soltura</w:t>
            </w:r>
          </w:p>
        </w:tc>
      </w:tr>
      <w:tr w:rsidR="005A5FCC" w14:paraId="38D0D212"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4C5D9B47" w14:textId="77777777" w:rsidR="005A5FCC" w:rsidRDefault="00A21C81">
            <w:pPr>
              <w:spacing w:before="20" w:after="20" w:line="240" w:lineRule="auto"/>
              <w:jc w:val="left"/>
            </w:pPr>
            <w:r>
              <w:rPr>
                <w:rFonts w:cs="EB Garamond"/>
                <w:kern w:val="16"/>
                <w:sz w:val="18"/>
                <w14:ligatures w14:val="standardContextual"/>
              </w:rPr>
              <w:t>Indulto</w:t>
            </w:r>
          </w:p>
        </w:tc>
        <w:tc>
          <w:tcPr>
            <w:tcW w:w="2117" w:type="dxa"/>
            <w:tcBorders>
              <w:top w:val="single" w:sz="4" w:space="0" w:color="D2C9B8"/>
              <w:left w:val="single" w:sz="4" w:space="0" w:color="D2C9B8"/>
              <w:bottom w:val="single" w:sz="4" w:space="0" w:color="D2C9B8"/>
              <w:right w:val="single" w:sz="4" w:space="0" w:color="D2C9B8"/>
            </w:tcBorders>
          </w:tcPr>
          <w:p w14:paraId="3E1ACCA2" w14:textId="77777777" w:rsidR="005A5FCC" w:rsidRDefault="00A21C81">
            <w:pPr>
              <w:spacing w:before="20" w:after="20" w:line="240" w:lineRule="auto"/>
              <w:jc w:val="left"/>
            </w:pPr>
            <w:r>
              <w:rPr>
                <w:rFonts w:cs="EB Garamond"/>
                <w:kern w:val="16"/>
                <w:sz w:val="18"/>
                <w14:ligatures w14:val="standardContextual"/>
              </w:rPr>
              <w:t>NÃO → cessa</w:t>
            </w:r>
          </w:p>
        </w:tc>
        <w:tc>
          <w:tcPr>
            <w:tcW w:w="2117" w:type="dxa"/>
            <w:tcBorders>
              <w:top w:val="single" w:sz="4" w:space="0" w:color="D2C9B8"/>
              <w:left w:val="single" w:sz="4" w:space="0" w:color="D2C9B8"/>
              <w:bottom w:val="single" w:sz="4" w:space="0" w:color="D2C9B8"/>
              <w:right w:val="single" w:sz="4" w:space="0" w:color="D2C9B8"/>
            </w:tcBorders>
          </w:tcPr>
          <w:p w14:paraId="25293486" w14:textId="77777777" w:rsidR="005A5FCC" w:rsidRDefault="00A21C81">
            <w:pPr>
              <w:spacing w:before="20" w:after="20" w:line="240" w:lineRule="auto"/>
              <w:jc w:val="left"/>
            </w:pPr>
            <w:r>
              <w:rPr>
                <w:rFonts w:cs="EB Garamond"/>
                <w:kern w:val="16"/>
                <w:sz w:val="18"/>
                <w14:ligatures w14:val="standardContextual"/>
              </w:rPr>
              <w:t>Extinção da pena</w:t>
            </w:r>
          </w:p>
        </w:tc>
      </w:tr>
      <w:tr w:rsidR="005A5FCC" w14:paraId="6ADEA410"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3E17CAC4" w14:textId="77777777" w:rsidR="005A5FCC" w:rsidRDefault="00A21C81">
            <w:pPr>
              <w:spacing w:before="20" w:after="20" w:line="240" w:lineRule="auto"/>
              <w:jc w:val="left"/>
            </w:pPr>
            <w:r>
              <w:rPr>
                <w:rFonts w:cs="EB Garamond"/>
                <w:kern w:val="16"/>
                <w:sz w:val="18"/>
                <w14:ligatures w14:val="standardContextual"/>
              </w:rPr>
              <w:t>Saída temporária (semiaberto)</w:t>
            </w:r>
          </w:p>
        </w:tc>
        <w:tc>
          <w:tcPr>
            <w:tcW w:w="2117" w:type="dxa"/>
            <w:tcBorders>
              <w:top w:val="single" w:sz="4" w:space="0" w:color="D2C9B8"/>
              <w:left w:val="single" w:sz="4" w:space="0" w:color="D2C9B8"/>
              <w:bottom w:val="single" w:sz="4" w:space="0" w:color="D2C9B8"/>
              <w:right w:val="single" w:sz="4" w:space="0" w:color="D2C9B8"/>
            </w:tcBorders>
          </w:tcPr>
          <w:p w14:paraId="31CA8CF5" w14:textId="77777777" w:rsidR="005A5FCC" w:rsidRDefault="00A21C81">
            <w:pPr>
              <w:spacing w:before="20" w:after="20" w:line="240" w:lineRule="auto"/>
              <w:jc w:val="left"/>
            </w:pPr>
            <w:r>
              <w:rPr>
                <w:rFonts w:cs="EB Garamond"/>
                <w:kern w:val="16"/>
                <w:sz w:val="18"/>
                <w14:ligatures w14:val="standardContextual"/>
              </w:rPr>
              <w:t>SIM (mantém)</w:t>
            </w:r>
          </w:p>
        </w:tc>
        <w:tc>
          <w:tcPr>
            <w:tcW w:w="2117" w:type="dxa"/>
            <w:tcBorders>
              <w:top w:val="single" w:sz="4" w:space="0" w:color="D2C9B8"/>
              <w:left w:val="single" w:sz="4" w:space="0" w:color="D2C9B8"/>
              <w:bottom w:val="single" w:sz="4" w:space="0" w:color="D2C9B8"/>
              <w:right w:val="single" w:sz="4" w:space="0" w:color="D2C9B8"/>
            </w:tcBorders>
          </w:tcPr>
          <w:p w14:paraId="428E5EFB" w14:textId="77777777" w:rsidR="005A5FCC" w:rsidRDefault="00A21C81">
            <w:pPr>
              <w:spacing w:before="20" w:after="20" w:line="240" w:lineRule="auto"/>
              <w:jc w:val="left"/>
            </w:pPr>
            <w:r>
              <w:rPr>
                <w:rFonts w:cs="EB Garamond"/>
                <w:kern w:val="16"/>
                <w:sz w:val="18"/>
                <w14:ligatures w14:val="standardContextual"/>
              </w:rPr>
              <w:t>Não descaracteriza o regime</w:t>
            </w:r>
          </w:p>
        </w:tc>
      </w:tr>
    </w:tbl>
    <w:p w14:paraId="7A48F4B1" w14:textId="77777777" w:rsidR="005A5FCC" w:rsidRDefault="005A5FCC">
      <w:pPr>
        <w:spacing w:after="80" w:line="240" w:lineRule="auto"/>
      </w:pPr>
    </w:p>
    <w:p w14:paraId="5BE0264E"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F</w:t>
      </w:r>
    </w:p>
    <w:p w14:paraId="412A6FDA" w14:textId="77777777" w:rsidR="005A5FCC" w:rsidRDefault="00A21C81">
      <w:r>
        <w:rPr>
          <w:rFonts w:cs="EB Garamond"/>
          <w:b/>
          <w:kern w:val="16"/>
          <w14:ligatures w14:val="standardContextual"/>
        </w:rPr>
        <w:t>luxograma decisório para auxílio-reclusão (regime pós-EC 103)</w:t>
      </w:r>
    </w:p>
    <w:p w14:paraId="1411DF28" w14:textId="77777777" w:rsidR="005A5FCC" w:rsidRDefault="00A21C81">
      <w:pPr>
        <w:spacing w:after="40" w:line="252" w:lineRule="auto"/>
        <w:ind w:left="340" w:hanging="198"/>
      </w:pPr>
      <w:r>
        <w:rPr>
          <w:rFonts w:cs="EB Garamond"/>
          <w:color w:val="3A3128"/>
          <w:kern w:val="16"/>
          <w:sz w:val="20"/>
          <w14:ligatures w14:val="standardContextual"/>
        </w:rPr>
        <w:t xml:space="preserve">1. </w:t>
      </w:r>
      <w:r>
        <w:rPr>
          <w:rFonts w:cs="EB Garamond"/>
          <w:kern w:val="16"/>
          <w:sz w:val="20"/>
          <w14:ligatures w14:val="standardContextual"/>
        </w:rPr>
        <w:t>O segurado está efetivamente recolhido à prisão?</w:t>
      </w:r>
    </w:p>
    <w:p w14:paraId="0CAAB6A9" w14:textId="77777777" w:rsidR="005A5FCC" w:rsidRDefault="005A5FCC">
      <w:pPr>
        <w:spacing w:after="60" w:line="240" w:lineRule="auto"/>
      </w:pPr>
    </w:p>
    <w:p w14:paraId="0C2E1C8F"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NÃO → Sem direito ao AR</w:t>
      </w:r>
    </w:p>
    <w:p w14:paraId="600A3F09"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SIM → Passo 2</w:t>
      </w:r>
    </w:p>
    <w:p w14:paraId="0421391B" w14:textId="77777777" w:rsidR="005A5FCC" w:rsidRDefault="005A5FCC">
      <w:pPr>
        <w:spacing w:after="60" w:line="240" w:lineRule="auto"/>
      </w:pPr>
    </w:p>
    <w:p w14:paraId="09986574" w14:textId="2F732E24" w:rsidR="005A5FCC" w:rsidRDefault="007603B4">
      <w:pPr>
        <w:spacing w:after="40" w:line="252" w:lineRule="auto"/>
        <w:ind w:left="340" w:hanging="198"/>
      </w:pPr>
      <w:r>
        <w:rPr>
          <w:rFonts w:cs="EB Garamond"/>
          <w:color w:val="3A3128"/>
          <w:kern w:val="16"/>
          <w:sz w:val="20"/>
          <w14:ligatures w14:val="standardContextual"/>
        </w:rPr>
        <w:t>2</w:t>
      </w:r>
      <w:r w:rsidR="00A21C81">
        <w:rPr>
          <w:rFonts w:cs="EB Garamond"/>
          <w:color w:val="3A3128"/>
          <w:kern w:val="16"/>
          <w:sz w:val="20"/>
          <w14:ligatures w14:val="standardContextual"/>
        </w:rPr>
        <w:t xml:space="preserve">. </w:t>
      </w:r>
      <w:r w:rsidR="00A21C81">
        <w:rPr>
          <w:rFonts w:cs="EB Garamond"/>
          <w:kern w:val="16"/>
          <w:sz w:val="20"/>
          <w14:ligatures w14:val="standardContextual"/>
        </w:rPr>
        <w:t>O segurado está em regime fechado ou semiaberto?</w:t>
      </w:r>
    </w:p>
    <w:p w14:paraId="3678BFCC" w14:textId="77777777" w:rsidR="005A5FCC" w:rsidRDefault="005A5FCC">
      <w:pPr>
        <w:spacing w:after="60" w:line="240" w:lineRule="auto"/>
      </w:pPr>
    </w:p>
    <w:p w14:paraId="5162D8D7"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NÃO (regime aberto, prisão domiciliar substitutiva, monitoração alternativa) → Sem direito ao AR</w:t>
      </w:r>
    </w:p>
    <w:p w14:paraId="582580E1"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SIM → Passo 3</w:t>
      </w:r>
    </w:p>
    <w:p w14:paraId="31CE0A3C" w14:textId="77777777" w:rsidR="005A5FCC" w:rsidRDefault="005A5FCC">
      <w:pPr>
        <w:spacing w:after="60" w:line="240" w:lineRule="auto"/>
      </w:pPr>
    </w:p>
    <w:p w14:paraId="486B791C" w14:textId="42780C66" w:rsidR="005A5FCC" w:rsidRDefault="007603B4">
      <w:pPr>
        <w:spacing w:after="40" w:line="252" w:lineRule="auto"/>
        <w:ind w:left="340" w:hanging="198"/>
      </w:pPr>
      <w:r>
        <w:rPr>
          <w:rFonts w:cs="EB Garamond"/>
          <w:color w:val="3A3128"/>
          <w:kern w:val="16"/>
          <w:sz w:val="20"/>
          <w14:ligatures w14:val="standardContextual"/>
        </w:rPr>
        <w:t>3</w:t>
      </w:r>
      <w:r w:rsidR="00A21C81">
        <w:rPr>
          <w:rFonts w:cs="EB Garamond"/>
          <w:color w:val="3A3128"/>
          <w:kern w:val="16"/>
          <w:sz w:val="20"/>
          <w14:ligatures w14:val="standardContextual"/>
        </w:rPr>
        <w:t xml:space="preserve">. </w:t>
      </w:r>
      <w:r w:rsidR="00A21C81">
        <w:rPr>
          <w:rFonts w:cs="EB Garamond"/>
          <w:kern w:val="16"/>
          <w:sz w:val="20"/>
          <w14:ligatures w14:val="standardContextual"/>
        </w:rPr>
        <w:t>O segurado tinha qualidade de segurado na data do recolhimento?</w:t>
      </w:r>
    </w:p>
    <w:p w14:paraId="5E1214CA" w14:textId="77777777" w:rsidR="005A5FCC" w:rsidRDefault="005A5FCC">
      <w:pPr>
        <w:spacing w:after="60" w:line="240" w:lineRule="auto"/>
      </w:pPr>
    </w:p>
    <w:p w14:paraId="76B47F9E"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NÃO → Sem direito ao AR</w:t>
      </w:r>
    </w:p>
    <w:p w14:paraId="0590C25E"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SIM → Passo 4</w:t>
      </w:r>
    </w:p>
    <w:p w14:paraId="1D7D4E44" w14:textId="77777777" w:rsidR="005A5FCC" w:rsidRDefault="005A5FCC">
      <w:pPr>
        <w:spacing w:after="60" w:line="240" w:lineRule="auto"/>
      </w:pPr>
    </w:p>
    <w:p w14:paraId="6B30506E" w14:textId="636C0D13" w:rsidR="005A5FCC" w:rsidRDefault="007603B4">
      <w:pPr>
        <w:spacing w:after="40" w:line="252" w:lineRule="auto"/>
        <w:ind w:left="340" w:hanging="198"/>
      </w:pPr>
      <w:r>
        <w:rPr>
          <w:rFonts w:cs="EB Garamond"/>
          <w:color w:val="3A3128"/>
          <w:kern w:val="16"/>
          <w:sz w:val="20"/>
          <w14:ligatures w14:val="standardContextual"/>
        </w:rPr>
        <w:t>4</w:t>
      </w:r>
      <w:r w:rsidR="00A21C81">
        <w:rPr>
          <w:rFonts w:cs="EB Garamond"/>
          <w:color w:val="3A3128"/>
          <w:kern w:val="16"/>
          <w:sz w:val="20"/>
          <w14:ligatures w14:val="standardContextual"/>
        </w:rPr>
        <w:t xml:space="preserve">. </w:t>
      </w:r>
      <w:r w:rsidR="00A21C81">
        <w:rPr>
          <w:rFonts w:cs="EB Garamond"/>
          <w:kern w:val="16"/>
          <w:sz w:val="20"/>
          <w14:ligatures w14:val="standardContextual"/>
        </w:rPr>
        <w:t>O segurado cumpriu carência de 24 contribuições (ou 12, pela regra da metade)?</w:t>
      </w:r>
    </w:p>
    <w:p w14:paraId="378A81F9" w14:textId="77777777" w:rsidR="005A5FCC" w:rsidRDefault="005A5FCC">
      <w:pPr>
        <w:spacing w:after="60" w:line="240" w:lineRule="auto"/>
      </w:pPr>
    </w:p>
    <w:p w14:paraId="57A90A97"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NÃO → Sem direito ao AR (avaliar tese de inconstitucionalidade)</w:t>
      </w:r>
    </w:p>
    <w:p w14:paraId="0B083A98"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SIM → Passo 5</w:t>
      </w:r>
    </w:p>
    <w:p w14:paraId="55BC96BC" w14:textId="77777777" w:rsidR="005A5FCC" w:rsidRDefault="005A5FCC">
      <w:pPr>
        <w:spacing w:after="60" w:line="240" w:lineRule="auto"/>
      </w:pPr>
    </w:p>
    <w:p w14:paraId="3EEF8902" w14:textId="4D19E54C" w:rsidR="005A5FCC" w:rsidRDefault="007603B4">
      <w:pPr>
        <w:spacing w:after="40" w:line="252" w:lineRule="auto"/>
        <w:ind w:left="340" w:hanging="198"/>
      </w:pPr>
      <w:r>
        <w:rPr>
          <w:rFonts w:cs="EB Garamond"/>
          <w:color w:val="3A3128"/>
          <w:kern w:val="16"/>
          <w:sz w:val="20"/>
          <w14:ligatures w14:val="standardContextual"/>
        </w:rPr>
        <w:t>5</w:t>
      </w:r>
      <w:r w:rsidR="00A21C81">
        <w:rPr>
          <w:rFonts w:cs="EB Garamond"/>
          <w:color w:val="3A3128"/>
          <w:kern w:val="16"/>
          <w:sz w:val="20"/>
          <w14:ligatures w14:val="standardContextual"/>
        </w:rPr>
        <w:t xml:space="preserve">. </w:t>
      </w:r>
      <w:r w:rsidR="00A21C81">
        <w:rPr>
          <w:rFonts w:cs="EB Garamond"/>
          <w:kern w:val="16"/>
          <w:sz w:val="20"/>
          <w14:ligatures w14:val="standardContextual"/>
        </w:rPr>
        <w:t>A média dos 12 últimos salários do segurado era ≤ ao limite do exercício (R$ 1.906,04 em 2025)?</w:t>
      </w:r>
    </w:p>
    <w:p w14:paraId="0667DBFC" w14:textId="77777777" w:rsidR="005A5FCC" w:rsidRDefault="005A5FCC">
      <w:pPr>
        <w:spacing w:after="60" w:line="240" w:lineRule="auto"/>
      </w:pPr>
    </w:p>
    <w:p w14:paraId="596F063F"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NÃO → Sem direito ao AR</w:t>
      </w:r>
    </w:p>
    <w:p w14:paraId="134F8577"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SIM → Passo 6</w:t>
      </w:r>
    </w:p>
    <w:p w14:paraId="6CBFF341" w14:textId="77777777" w:rsidR="005A5FCC" w:rsidRDefault="005A5FCC">
      <w:pPr>
        <w:spacing w:after="60" w:line="240" w:lineRule="auto"/>
      </w:pPr>
    </w:p>
    <w:p w14:paraId="1AE3FA54" w14:textId="104E6D35" w:rsidR="005A5FCC" w:rsidRDefault="007603B4">
      <w:pPr>
        <w:spacing w:after="40" w:line="252" w:lineRule="auto"/>
        <w:ind w:left="340" w:hanging="198"/>
      </w:pPr>
      <w:r>
        <w:rPr>
          <w:rFonts w:cs="EB Garamond"/>
          <w:color w:val="3A3128"/>
          <w:kern w:val="16"/>
          <w:sz w:val="20"/>
          <w14:ligatures w14:val="standardContextual"/>
        </w:rPr>
        <w:t>6</w:t>
      </w:r>
      <w:r w:rsidR="00A21C81">
        <w:rPr>
          <w:rFonts w:cs="EB Garamond"/>
          <w:color w:val="3A3128"/>
          <w:kern w:val="16"/>
          <w:sz w:val="20"/>
          <w14:ligatures w14:val="standardContextual"/>
        </w:rPr>
        <w:t xml:space="preserve">. </w:t>
      </w:r>
      <w:r w:rsidR="00A21C81">
        <w:rPr>
          <w:rFonts w:cs="EB Garamond"/>
          <w:kern w:val="16"/>
          <w:sz w:val="20"/>
          <w14:ligatures w14:val="standardContextual"/>
        </w:rPr>
        <w:t>O requerente é dependente do segurado (art. 16, Lei 8.213)?</w:t>
      </w:r>
    </w:p>
    <w:p w14:paraId="370729C7" w14:textId="77777777" w:rsidR="005A5FCC" w:rsidRDefault="005A5FCC">
      <w:pPr>
        <w:spacing w:after="60" w:line="240" w:lineRule="auto"/>
      </w:pPr>
    </w:p>
    <w:p w14:paraId="28DA9927"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NÃO → Sem direito ao AR</w:t>
      </w:r>
    </w:p>
    <w:p w14:paraId="6532292F" w14:textId="77777777" w:rsidR="005A5FCC" w:rsidRDefault="00A21C81">
      <w:pPr>
        <w:spacing w:after="40" w:line="252" w:lineRule="auto"/>
        <w:ind w:left="340" w:hanging="198"/>
      </w:pPr>
      <w:r>
        <w:rPr>
          <w:rFonts w:cs="EB Garamond"/>
          <w:color w:val="3A3128"/>
          <w:kern w:val="16"/>
          <w:sz w:val="20"/>
          <w14:ligatures w14:val="standardContextual"/>
        </w:rPr>
        <w:lastRenderedPageBreak/>
        <w:t xml:space="preserve">• </w:t>
      </w:r>
      <w:r>
        <w:rPr>
          <w:rFonts w:cs="EB Garamond"/>
          <w:kern w:val="16"/>
          <w:sz w:val="20"/>
          <w14:ligatures w14:val="standardContextual"/>
        </w:rPr>
        <w:t xml:space="preserve">SIM → </w:t>
      </w:r>
      <w:r>
        <w:rPr>
          <w:rFonts w:cs="EB Garamond"/>
          <w:b/>
          <w:kern w:val="16"/>
          <w:sz w:val="20"/>
          <w14:ligatures w14:val="standardContextual"/>
        </w:rPr>
        <w:t>DIREITO AO AR RECONHECIDO</w:t>
      </w:r>
      <w:r>
        <w:rPr>
          <w:rFonts w:cs="EB Garamond"/>
          <w:kern w:val="16"/>
          <w:sz w:val="20"/>
          <w14:ligatures w14:val="standardContextual"/>
        </w:rPr>
        <w:t xml:space="preserve"> → Valor: R$ 1.621,00 (1 SM)</w:t>
      </w:r>
    </w:p>
    <w:p w14:paraId="5062DCDF" w14:textId="77777777" w:rsidR="005A5FCC" w:rsidRDefault="005A5FCC">
      <w:pPr>
        <w:spacing w:after="60" w:line="240" w:lineRule="auto"/>
      </w:pPr>
    </w:p>
    <w:tbl>
      <w:tblPr>
        <w:tblW w:w="5000" w:type="pct"/>
        <w:jc w:val="center"/>
        <w:tblLayout w:type="fixed"/>
        <w:tblLook w:val="04A0" w:firstRow="1" w:lastRow="0" w:firstColumn="1" w:lastColumn="0" w:noHBand="0" w:noVBand="1"/>
      </w:tblPr>
      <w:tblGrid>
        <w:gridCol w:w="6311"/>
      </w:tblGrid>
      <w:tr w:rsidR="005A5FCC" w14:paraId="191987E3"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7BC026F5"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15A37DF1" w14:textId="77777777" w:rsidR="005A5FCC" w:rsidRDefault="00A21C81">
            <w:pPr>
              <w:spacing w:after="60" w:line="247" w:lineRule="auto"/>
            </w:pPr>
            <w:r>
              <w:rPr>
                <w:rFonts w:cs="EB Garamond"/>
                <w:b/>
                <w:kern w:val="16"/>
                <w:sz w:val="19"/>
                <w14:ligatures w14:val="standardContextual"/>
              </w:rPr>
              <w:t>Checklist do advogado previdenciarista — auxílio-reclusão</w:t>
            </w:r>
          </w:p>
          <w:p w14:paraId="3C23409F" w14:textId="77777777" w:rsidR="005A5FCC" w:rsidRDefault="00A21C81">
            <w:pPr>
              <w:spacing w:after="60" w:line="247" w:lineRule="auto"/>
            </w:pPr>
            <w:r>
              <w:rPr>
                <w:rFonts w:cs="EB Garamond"/>
                <w:b/>
                <w:kern w:val="16"/>
                <w:sz w:val="19"/>
                <w14:ligatures w14:val="standardContextual"/>
              </w:rPr>
              <w:t>Antes do requerimento administrativo:</w:t>
            </w:r>
            <w:r>
              <w:rPr>
                <w:rFonts w:cs="EB Garamond"/>
                <w:kern w:val="16"/>
                <w:sz w:val="19"/>
                <w14:ligatures w14:val="standardContextual"/>
              </w:rPr>
              <w:t xml:space="preserve"> - [ ] Identificar a data do recolhimento à prisão (determina o regime jurídico) - [ ] Obter certidão de recolhimento com indicação do regime prisional - [ ] Consultar CNIS do segurado (qualidade de segurado + contribuições) - [ ] Verificar carência: 24 contribuições (ou 12 pela regra da metade) - [ ] Verificar média dos 12 últimos salários de contribuição (limite de baixa renda: R$ 1.906,04 em 2025; valor do exercício pela Portaria MPS/MF) - [ ] Reunir documentação de dependência (casamento, nascimento, união estável) - [ ] Requerer no prazo de 90 dias (para retroação da DIB)</w:t>
            </w:r>
          </w:p>
          <w:p w14:paraId="2F72E4D6" w14:textId="77777777" w:rsidR="005A5FCC" w:rsidRDefault="00A21C81">
            <w:pPr>
              <w:spacing w:after="60" w:line="247" w:lineRule="auto"/>
            </w:pPr>
            <w:r>
              <w:rPr>
                <w:rFonts w:cs="EB Garamond"/>
                <w:b/>
                <w:kern w:val="16"/>
                <w:sz w:val="19"/>
                <w14:ligatures w14:val="standardContextual"/>
              </w:rPr>
              <w:t>Se indeferido pelo INSS:</w:t>
            </w:r>
            <w:r>
              <w:rPr>
                <w:rFonts w:cs="EB Garamond"/>
                <w:kern w:val="16"/>
                <w:sz w:val="19"/>
                <w14:ligatures w14:val="standardContextual"/>
              </w:rPr>
              <w:t xml:space="preserve"> - [ ] Analisar o motivo do indeferimento (CNIS, renda, carência, regime, dependência) - [ ] Verificar se há erro no CNIS (vínculos omitidos, contribuições não registradas) - [ ] Avaliar se a regra da metade (art. 27-A) resolve a questão de carência - [ ] Preparar ação no JEF com pedido de tutela antecipada - [ ] Documentação para tutela: certidão de prisão + CNIS + prova de dependência + declaração de hipossuficiência</w:t>
            </w:r>
          </w:p>
          <w:p w14:paraId="65C1ADBF" w14:textId="77777777" w:rsidR="005A5FCC" w:rsidRDefault="00A21C81">
            <w:pPr>
              <w:spacing w:after="60" w:line="247" w:lineRule="auto"/>
            </w:pPr>
            <w:r>
              <w:rPr>
                <w:rFonts w:cs="EB Garamond"/>
                <w:b/>
                <w:kern w:val="16"/>
                <w:sz w:val="19"/>
                <w14:ligatures w14:val="standardContextual"/>
              </w:rPr>
              <w:t>Durante a manutenção:</w:t>
            </w:r>
            <w:r>
              <w:rPr>
                <w:rFonts w:cs="EB Garamond"/>
                <w:kern w:val="16"/>
                <w:sz w:val="19"/>
                <w14:ligatures w14:val="standardContextual"/>
              </w:rPr>
              <w:t xml:space="preserve"> - [ ] Lembrar o cliente de apresentar atestado carcerário a cada 90 dias - [ ] Monitorar progressão de regime (cessação automática se regime aberto) - [ ] Em caso de fuga: orientar sobre suspensão e restabelecimento - [ ] Em caso de óbito do preso: garantir conversão automática em pensão por morte</w:t>
            </w:r>
          </w:p>
          <w:p w14:paraId="52336794" w14:textId="77777777" w:rsidR="005A5FCC" w:rsidRDefault="00A21C81">
            <w:pPr>
              <w:spacing w:after="60" w:line="247" w:lineRule="auto"/>
            </w:pPr>
            <w:r>
              <w:rPr>
                <w:rFonts w:cs="EB Garamond"/>
                <w:b/>
                <w:kern w:val="16"/>
                <w:sz w:val="19"/>
                <w14:ligatures w14:val="standardContextual"/>
              </w:rPr>
              <w:t>Referências cruzadas neste livro:</w:t>
            </w:r>
            <w:r>
              <w:rPr>
                <w:rFonts w:cs="EB Garamond"/>
                <w:kern w:val="16"/>
                <w:sz w:val="19"/>
                <w14:ligatures w14:val="standardContextual"/>
              </w:rPr>
              <w:t xml:space="preserve"> - Dependentes: Cap. 2 - Carência e regra da metade: Cap. 3, seção 3.2 - Contribuições (MEI, CI, facultativo): Cap. 4 - Tempo de contribuição e CNIS: Cap. 5 - BPC como alternativa: Cap. 18 - Pensão por morte (conversão): Cap. 19 - Acumulação de benefícios: Cap. 20 - Prescrição e decadência: Cap. 21 - Procedimento nos JEFs: Cap. 23</w:t>
            </w:r>
          </w:p>
        </w:tc>
      </w:tr>
    </w:tbl>
    <w:p w14:paraId="037ED142" w14:textId="77777777" w:rsidR="005A5FCC" w:rsidRDefault="005A5FCC">
      <w:pPr>
        <w:spacing w:after="80" w:line="240" w:lineRule="auto"/>
      </w:pPr>
    </w:p>
    <w:p w14:paraId="332E708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Q</w:t>
      </w:r>
    </w:p>
    <w:p w14:paraId="179F8A37" w14:textId="77777777" w:rsidR="005A5FCC" w:rsidRDefault="00A21C81">
      <w:r>
        <w:rPr>
          <w:rFonts w:cs="EB Garamond"/>
          <w:b/>
          <w:kern w:val="16"/>
          <w14:ligatures w14:val="standardContextual"/>
        </w:rPr>
        <w:t>uadro de jurisprudência consolidada</w:t>
      </w:r>
    </w:p>
    <w:tbl>
      <w:tblPr>
        <w:tblW w:w="5000" w:type="pct"/>
        <w:jc w:val="center"/>
        <w:tblLook w:val="04A0" w:firstRow="1" w:lastRow="0" w:firstColumn="1" w:lastColumn="0" w:noHBand="0" w:noVBand="1"/>
      </w:tblPr>
      <w:tblGrid>
        <w:gridCol w:w="1585"/>
        <w:gridCol w:w="1585"/>
        <w:gridCol w:w="1586"/>
        <w:gridCol w:w="1584"/>
      </w:tblGrid>
      <w:tr w:rsidR="005A5FCC" w14:paraId="53B08E7D" w14:textId="77777777">
        <w:trPr>
          <w:tblHeader/>
          <w:jc w:val="center"/>
        </w:trPr>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5E862909" w14:textId="77777777" w:rsidR="005A5FCC" w:rsidRDefault="00A21C81">
            <w:pPr>
              <w:spacing w:before="40" w:after="40" w:line="240" w:lineRule="auto"/>
              <w:jc w:val="center"/>
            </w:pPr>
            <w:r>
              <w:rPr>
                <w:rFonts w:cs="EB Garamond"/>
                <w:b/>
                <w:color w:val="2F2923"/>
                <w:kern w:val="16"/>
                <w:sz w:val="18"/>
                <w14:ligatures w14:val="standardContextual"/>
              </w:rPr>
              <w:t>Tema</w:t>
            </w:r>
          </w:p>
        </w:tc>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5BE11BEE" w14:textId="77777777" w:rsidR="005A5FCC" w:rsidRDefault="00A21C81">
            <w:pPr>
              <w:spacing w:before="40" w:after="40" w:line="240" w:lineRule="auto"/>
              <w:jc w:val="center"/>
            </w:pPr>
            <w:r>
              <w:rPr>
                <w:rFonts w:cs="EB Garamond"/>
                <w:b/>
                <w:color w:val="2F2923"/>
                <w:kern w:val="16"/>
                <w:sz w:val="18"/>
                <w14:ligatures w14:val="standardContextual"/>
              </w:rPr>
              <w:t>Tribunal</w:t>
            </w:r>
          </w:p>
        </w:tc>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65F9553F" w14:textId="77777777" w:rsidR="005A5FCC" w:rsidRDefault="00A21C81">
            <w:pPr>
              <w:spacing w:before="40" w:after="40" w:line="240" w:lineRule="auto"/>
              <w:jc w:val="center"/>
            </w:pPr>
            <w:r>
              <w:rPr>
                <w:rFonts w:cs="EB Garamond"/>
                <w:b/>
                <w:color w:val="2F2923"/>
                <w:kern w:val="16"/>
                <w:sz w:val="18"/>
                <w14:ligatures w14:val="standardContextual"/>
              </w:rPr>
              <w:t>Tese/Ementa</w:t>
            </w:r>
          </w:p>
        </w:tc>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29483F49" w14:textId="77777777" w:rsidR="005A5FCC" w:rsidRDefault="00A21C81">
            <w:pPr>
              <w:spacing w:before="40" w:after="40" w:line="240" w:lineRule="auto"/>
              <w:jc w:val="center"/>
            </w:pPr>
            <w:r>
              <w:rPr>
                <w:rFonts w:cs="EB Garamond"/>
                <w:b/>
                <w:color w:val="2F2923"/>
                <w:kern w:val="16"/>
                <w:sz w:val="18"/>
                <w14:ligatures w14:val="standardContextual"/>
              </w:rPr>
              <w:t>Efeito prático</w:t>
            </w:r>
          </w:p>
        </w:tc>
      </w:tr>
      <w:tr w:rsidR="005A5FCC" w14:paraId="433055B9"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37572960" w14:textId="77777777" w:rsidR="005A5FCC" w:rsidRDefault="00A21C81">
            <w:pPr>
              <w:spacing w:before="20" w:after="20" w:line="240" w:lineRule="auto"/>
              <w:jc w:val="left"/>
            </w:pPr>
            <w:r>
              <w:rPr>
                <w:rFonts w:cs="EB Garamond"/>
                <w:kern w:val="16"/>
                <w:sz w:val="18"/>
                <w14:ligatures w14:val="standardContextual"/>
              </w:rPr>
              <w:t>Baixa renda: segurado, não dependentes</w:t>
            </w:r>
          </w:p>
        </w:tc>
        <w:tc>
          <w:tcPr>
            <w:tcW w:w="1587" w:type="dxa"/>
            <w:tcBorders>
              <w:top w:val="single" w:sz="4" w:space="0" w:color="D2C9B8"/>
              <w:left w:val="single" w:sz="4" w:space="0" w:color="D2C9B8"/>
              <w:bottom w:val="single" w:sz="4" w:space="0" w:color="D2C9B8"/>
              <w:right w:val="single" w:sz="4" w:space="0" w:color="D2C9B8"/>
            </w:tcBorders>
          </w:tcPr>
          <w:p w14:paraId="25DB2B28" w14:textId="77777777" w:rsidR="005A5FCC" w:rsidRDefault="00A21C81">
            <w:pPr>
              <w:spacing w:before="20" w:after="20" w:line="240" w:lineRule="auto"/>
              <w:jc w:val="left"/>
            </w:pPr>
            <w:r>
              <w:rPr>
                <w:rFonts w:cs="EB Garamond"/>
                <w:kern w:val="16"/>
                <w:sz w:val="18"/>
                <w14:ligatures w14:val="standardContextual"/>
              </w:rPr>
              <w:t>STF (Tema 89)</w:t>
            </w:r>
          </w:p>
        </w:tc>
        <w:tc>
          <w:tcPr>
            <w:tcW w:w="1587" w:type="dxa"/>
            <w:tcBorders>
              <w:top w:val="single" w:sz="4" w:space="0" w:color="D2C9B8"/>
              <w:left w:val="single" w:sz="4" w:space="0" w:color="D2C9B8"/>
              <w:bottom w:val="single" w:sz="4" w:space="0" w:color="D2C9B8"/>
              <w:right w:val="single" w:sz="4" w:space="0" w:color="D2C9B8"/>
            </w:tcBorders>
          </w:tcPr>
          <w:p w14:paraId="64136ADB" w14:textId="77777777" w:rsidR="005A5FCC" w:rsidRDefault="00A21C81">
            <w:pPr>
              <w:spacing w:before="20" w:after="20" w:line="240" w:lineRule="auto"/>
              <w:jc w:val="left"/>
            </w:pPr>
            <w:r>
              <w:rPr>
                <w:rFonts w:cs="EB Garamond"/>
                <w:kern w:val="16"/>
                <w:sz w:val="18"/>
                <w14:ligatures w14:val="standardContextual"/>
              </w:rPr>
              <w:t>Renda aferida é do segurado</w:t>
            </w:r>
          </w:p>
        </w:tc>
        <w:tc>
          <w:tcPr>
            <w:tcW w:w="1587" w:type="dxa"/>
            <w:tcBorders>
              <w:top w:val="single" w:sz="4" w:space="0" w:color="D2C9B8"/>
              <w:left w:val="single" w:sz="4" w:space="0" w:color="D2C9B8"/>
              <w:bottom w:val="single" w:sz="4" w:space="0" w:color="D2C9B8"/>
              <w:right w:val="single" w:sz="4" w:space="0" w:color="D2C9B8"/>
            </w:tcBorders>
          </w:tcPr>
          <w:p w14:paraId="57F73EC8" w14:textId="77777777" w:rsidR="005A5FCC" w:rsidRDefault="00A21C81">
            <w:pPr>
              <w:spacing w:before="20" w:after="20" w:line="240" w:lineRule="auto"/>
              <w:jc w:val="left"/>
            </w:pPr>
            <w:r>
              <w:rPr>
                <w:rFonts w:cs="EB Garamond"/>
                <w:kern w:val="16"/>
                <w:sz w:val="18"/>
                <w14:ligatures w14:val="standardContextual"/>
              </w:rPr>
              <w:t>Afasta indeferimento por renda do dependente</w:t>
            </w:r>
          </w:p>
        </w:tc>
      </w:tr>
      <w:tr w:rsidR="005A5FCC" w14:paraId="00A57B0B"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30557698" w14:textId="77777777" w:rsidR="005A5FCC" w:rsidRDefault="00A21C81">
            <w:pPr>
              <w:spacing w:before="20" w:after="20" w:line="240" w:lineRule="auto"/>
              <w:jc w:val="left"/>
            </w:pPr>
            <w:r>
              <w:rPr>
                <w:rFonts w:cs="EB Garamond"/>
                <w:kern w:val="16"/>
                <w:sz w:val="18"/>
                <w14:ligatures w14:val="standardContextual"/>
              </w:rPr>
              <w:lastRenderedPageBreak/>
              <w:t>Momento da aferição (pré-MP 871)</w:t>
            </w:r>
          </w:p>
        </w:tc>
        <w:tc>
          <w:tcPr>
            <w:tcW w:w="1587" w:type="dxa"/>
            <w:tcBorders>
              <w:top w:val="single" w:sz="4" w:space="0" w:color="D2C9B8"/>
              <w:left w:val="single" w:sz="4" w:space="0" w:color="D2C9B8"/>
              <w:bottom w:val="single" w:sz="4" w:space="0" w:color="D2C9B8"/>
              <w:right w:val="single" w:sz="4" w:space="0" w:color="D2C9B8"/>
            </w:tcBorders>
          </w:tcPr>
          <w:p w14:paraId="59B37DA2" w14:textId="77777777" w:rsidR="005A5FCC" w:rsidRDefault="00A21C81">
            <w:pPr>
              <w:spacing w:before="20" w:after="20" w:line="240" w:lineRule="auto"/>
              <w:jc w:val="left"/>
            </w:pPr>
            <w:r>
              <w:rPr>
                <w:rFonts w:cs="EB Garamond"/>
                <w:kern w:val="16"/>
                <w:sz w:val="18"/>
                <w14:ligatures w14:val="standardContextual"/>
              </w:rPr>
              <w:t>STJ (Tema 896)</w:t>
            </w:r>
          </w:p>
        </w:tc>
        <w:tc>
          <w:tcPr>
            <w:tcW w:w="1587" w:type="dxa"/>
            <w:tcBorders>
              <w:top w:val="single" w:sz="4" w:space="0" w:color="D2C9B8"/>
              <w:left w:val="single" w:sz="4" w:space="0" w:color="D2C9B8"/>
              <w:bottom w:val="single" w:sz="4" w:space="0" w:color="D2C9B8"/>
              <w:right w:val="single" w:sz="4" w:space="0" w:color="D2C9B8"/>
            </w:tcBorders>
          </w:tcPr>
          <w:p w14:paraId="55E79694" w14:textId="77777777" w:rsidR="005A5FCC" w:rsidRDefault="00A21C81">
            <w:pPr>
              <w:spacing w:before="20" w:after="20" w:line="240" w:lineRule="auto"/>
              <w:jc w:val="left"/>
            </w:pPr>
            <w:r>
              <w:rPr>
                <w:rFonts w:cs="EB Garamond"/>
                <w:kern w:val="16"/>
                <w:sz w:val="18"/>
                <w14:ligatures w14:val="standardContextual"/>
              </w:rPr>
              <w:t>Ausência de renda = baixa renda</w:t>
            </w:r>
          </w:p>
        </w:tc>
        <w:tc>
          <w:tcPr>
            <w:tcW w:w="1587" w:type="dxa"/>
            <w:tcBorders>
              <w:top w:val="single" w:sz="4" w:space="0" w:color="D2C9B8"/>
              <w:left w:val="single" w:sz="4" w:space="0" w:color="D2C9B8"/>
              <w:bottom w:val="single" w:sz="4" w:space="0" w:color="D2C9B8"/>
              <w:right w:val="single" w:sz="4" w:space="0" w:color="D2C9B8"/>
            </w:tcBorders>
          </w:tcPr>
          <w:p w14:paraId="308886BB" w14:textId="77777777" w:rsidR="005A5FCC" w:rsidRDefault="00A21C81">
            <w:pPr>
              <w:spacing w:before="20" w:after="20" w:line="240" w:lineRule="auto"/>
              <w:jc w:val="left"/>
            </w:pPr>
            <w:r>
              <w:rPr>
                <w:rFonts w:cs="EB Garamond"/>
                <w:kern w:val="16"/>
                <w:sz w:val="18"/>
                <w14:ligatures w14:val="standardContextual"/>
              </w:rPr>
              <w:t>Desempregado = renda zero</w:t>
            </w:r>
          </w:p>
        </w:tc>
      </w:tr>
      <w:tr w:rsidR="005A5FCC" w14:paraId="61898FF8"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676E16EE" w14:textId="77777777" w:rsidR="005A5FCC" w:rsidRDefault="00A21C81">
            <w:pPr>
              <w:spacing w:before="20" w:after="20" w:line="240" w:lineRule="auto"/>
              <w:jc w:val="left"/>
            </w:pPr>
            <w:r>
              <w:rPr>
                <w:rFonts w:cs="EB Garamond"/>
                <w:kern w:val="16"/>
                <w:sz w:val="18"/>
                <w14:ligatures w14:val="standardContextual"/>
              </w:rPr>
              <w:t>Flexibilização da renda</w:t>
            </w:r>
          </w:p>
        </w:tc>
        <w:tc>
          <w:tcPr>
            <w:tcW w:w="1587" w:type="dxa"/>
            <w:tcBorders>
              <w:top w:val="single" w:sz="4" w:space="0" w:color="D2C9B8"/>
              <w:left w:val="single" w:sz="4" w:space="0" w:color="D2C9B8"/>
              <w:bottom w:val="single" w:sz="4" w:space="0" w:color="D2C9B8"/>
              <w:right w:val="single" w:sz="4" w:space="0" w:color="D2C9B8"/>
            </w:tcBorders>
          </w:tcPr>
          <w:p w14:paraId="0572A2AD" w14:textId="77777777" w:rsidR="005A5FCC" w:rsidRDefault="00A21C81">
            <w:pPr>
              <w:spacing w:before="20" w:after="20" w:line="240" w:lineRule="auto"/>
              <w:jc w:val="left"/>
            </w:pPr>
            <w:r>
              <w:rPr>
                <w:rFonts w:cs="EB Garamond"/>
                <w:kern w:val="16"/>
                <w:sz w:val="18"/>
                <w14:ligatures w14:val="standardContextual"/>
              </w:rPr>
              <w:t>STJ (Tema 1162)</w:t>
            </w:r>
          </w:p>
        </w:tc>
        <w:tc>
          <w:tcPr>
            <w:tcW w:w="1587" w:type="dxa"/>
            <w:tcBorders>
              <w:top w:val="single" w:sz="4" w:space="0" w:color="D2C9B8"/>
              <w:left w:val="single" w:sz="4" w:space="0" w:color="D2C9B8"/>
              <w:bottom w:val="single" w:sz="4" w:space="0" w:color="D2C9B8"/>
              <w:right w:val="single" w:sz="4" w:space="0" w:color="D2C9B8"/>
            </w:tcBorders>
          </w:tcPr>
          <w:p w14:paraId="19D7693E" w14:textId="77777777" w:rsidR="005A5FCC" w:rsidRDefault="00A21C81">
            <w:pPr>
              <w:spacing w:before="20" w:after="20" w:line="240" w:lineRule="auto"/>
              <w:jc w:val="left"/>
            </w:pPr>
            <w:r>
              <w:rPr>
                <w:rFonts w:cs="EB Garamond"/>
                <w:kern w:val="16"/>
                <w:sz w:val="18"/>
                <w14:ligatures w14:val="standardContextual"/>
              </w:rPr>
              <w:t>Pré-MP 871: possível / Pós: vedado</w:t>
            </w:r>
          </w:p>
        </w:tc>
        <w:tc>
          <w:tcPr>
            <w:tcW w:w="1587" w:type="dxa"/>
            <w:tcBorders>
              <w:top w:val="single" w:sz="4" w:space="0" w:color="D2C9B8"/>
              <w:left w:val="single" w:sz="4" w:space="0" w:color="D2C9B8"/>
              <w:bottom w:val="single" w:sz="4" w:space="0" w:color="D2C9B8"/>
              <w:right w:val="single" w:sz="4" w:space="0" w:color="D2C9B8"/>
            </w:tcBorders>
          </w:tcPr>
          <w:p w14:paraId="77ED314F" w14:textId="77777777" w:rsidR="005A5FCC" w:rsidRDefault="00A21C81">
            <w:pPr>
              <w:spacing w:before="20" w:after="20" w:line="240" w:lineRule="auto"/>
              <w:jc w:val="left"/>
            </w:pPr>
            <w:r>
              <w:rPr>
                <w:rFonts w:cs="EB Garamond"/>
                <w:kern w:val="16"/>
                <w:sz w:val="18"/>
                <w14:ligatures w14:val="standardContextual"/>
              </w:rPr>
              <w:t>Renda ínfima acima do limite → flexibiliza</w:t>
            </w:r>
          </w:p>
        </w:tc>
      </w:tr>
      <w:tr w:rsidR="005A5FCC" w14:paraId="1887A81E"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75650910" w14:textId="77777777" w:rsidR="005A5FCC" w:rsidRDefault="00A21C81">
            <w:pPr>
              <w:spacing w:before="20" w:after="20" w:line="240" w:lineRule="auto"/>
              <w:jc w:val="left"/>
            </w:pPr>
            <w:r>
              <w:rPr>
                <w:rFonts w:cs="EB Garamond"/>
                <w:kern w:val="16"/>
                <w:sz w:val="18"/>
                <w14:ligatures w14:val="standardContextual"/>
              </w:rPr>
              <w:t>Prisão provisória</w:t>
            </w:r>
          </w:p>
        </w:tc>
        <w:tc>
          <w:tcPr>
            <w:tcW w:w="1587" w:type="dxa"/>
            <w:tcBorders>
              <w:top w:val="single" w:sz="4" w:space="0" w:color="D2C9B8"/>
              <w:left w:val="single" w:sz="4" w:space="0" w:color="D2C9B8"/>
              <w:bottom w:val="single" w:sz="4" w:space="0" w:color="D2C9B8"/>
              <w:right w:val="single" w:sz="4" w:space="0" w:color="D2C9B8"/>
            </w:tcBorders>
          </w:tcPr>
          <w:p w14:paraId="4019A133" w14:textId="77777777" w:rsidR="005A5FCC" w:rsidRDefault="00A21C81">
            <w:pPr>
              <w:spacing w:before="20" w:after="20" w:line="240" w:lineRule="auto"/>
              <w:jc w:val="left"/>
            </w:pPr>
            <w:r>
              <w:rPr>
                <w:rFonts w:cs="EB Garamond"/>
                <w:kern w:val="16"/>
                <w:sz w:val="18"/>
                <w14:ligatures w14:val="standardContextual"/>
              </w:rPr>
              <w:t>STJ + TRFs</w:t>
            </w:r>
          </w:p>
        </w:tc>
        <w:tc>
          <w:tcPr>
            <w:tcW w:w="1587" w:type="dxa"/>
            <w:tcBorders>
              <w:top w:val="single" w:sz="4" w:space="0" w:color="D2C9B8"/>
              <w:left w:val="single" w:sz="4" w:space="0" w:color="D2C9B8"/>
              <w:bottom w:val="single" w:sz="4" w:space="0" w:color="D2C9B8"/>
              <w:right w:val="single" w:sz="4" w:space="0" w:color="D2C9B8"/>
            </w:tcBorders>
          </w:tcPr>
          <w:p w14:paraId="3249FB11" w14:textId="77777777" w:rsidR="005A5FCC" w:rsidRDefault="00A21C81">
            <w:pPr>
              <w:spacing w:before="20" w:after="20" w:line="240" w:lineRule="auto"/>
              <w:jc w:val="left"/>
            </w:pPr>
            <w:r>
              <w:rPr>
                <w:rFonts w:cs="EB Garamond"/>
                <w:kern w:val="16"/>
                <w:sz w:val="18"/>
                <w14:ligatures w14:val="standardContextual"/>
              </w:rPr>
              <w:t>Gera direito ao AR</w:t>
            </w:r>
          </w:p>
        </w:tc>
        <w:tc>
          <w:tcPr>
            <w:tcW w:w="1587" w:type="dxa"/>
            <w:tcBorders>
              <w:top w:val="single" w:sz="4" w:space="0" w:color="D2C9B8"/>
              <w:left w:val="single" w:sz="4" w:space="0" w:color="D2C9B8"/>
              <w:bottom w:val="single" w:sz="4" w:space="0" w:color="D2C9B8"/>
              <w:right w:val="single" w:sz="4" w:space="0" w:color="D2C9B8"/>
            </w:tcBorders>
          </w:tcPr>
          <w:p w14:paraId="5B319756" w14:textId="77777777" w:rsidR="005A5FCC" w:rsidRDefault="00A21C81">
            <w:pPr>
              <w:spacing w:before="20" w:after="20" w:line="240" w:lineRule="auto"/>
              <w:jc w:val="left"/>
            </w:pPr>
            <w:r>
              <w:rPr>
                <w:rFonts w:cs="EB Garamond"/>
                <w:kern w:val="16"/>
                <w:sz w:val="18"/>
                <w14:ligatures w14:val="standardContextual"/>
              </w:rPr>
              <w:t>Independe de condenação</w:t>
            </w:r>
          </w:p>
        </w:tc>
      </w:tr>
      <w:tr w:rsidR="005A5FCC" w14:paraId="5F551A6C"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274953A0" w14:textId="77777777" w:rsidR="005A5FCC" w:rsidRDefault="00A21C81">
            <w:pPr>
              <w:spacing w:before="20" w:after="20" w:line="240" w:lineRule="auto"/>
              <w:jc w:val="left"/>
            </w:pPr>
            <w:r>
              <w:rPr>
                <w:rFonts w:cs="EB Garamond"/>
                <w:kern w:val="16"/>
                <w:sz w:val="18"/>
                <w14:ligatures w14:val="standardContextual"/>
              </w:rPr>
              <w:t>Monitoração eletrônica (pré-2019)</w:t>
            </w:r>
          </w:p>
        </w:tc>
        <w:tc>
          <w:tcPr>
            <w:tcW w:w="1587" w:type="dxa"/>
            <w:tcBorders>
              <w:top w:val="single" w:sz="4" w:space="0" w:color="D2C9B8"/>
              <w:left w:val="single" w:sz="4" w:space="0" w:color="D2C9B8"/>
              <w:bottom w:val="single" w:sz="4" w:space="0" w:color="D2C9B8"/>
              <w:right w:val="single" w:sz="4" w:space="0" w:color="D2C9B8"/>
            </w:tcBorders>
          </w:tcPr>
          <w:p w14:paraId="4319FAF7" w14:textId="77777777" w:rsidR="005A5FCC" w:rsidRDefault="00A21C81">
            <w:pPr>
              <w:spacing w:before="20" w:after="20" w:line="240" w:lineRule="auto"/>
              <w:jc w:val="left"/>
            </w:pPr>
            <w:r>
              <w:rPr>
                <w:rFonts w:cs="EB Garamond"/>
                <w:kern w:val="16"/>
                <w:sz w:val="18"/>
                <w14:ligatures w14:val="standardContextual"/>
              </w:rPr>
              <w:t>TNU (Tema 357)</w:t>
            </w:r>
          </w:p>
        </w:tc>
        <w:tc>
          <w:tcPr>
            <w:tcW w:w="1587" w:type="dxa"/>
            <w:tcBorders>
              <w:top w:val="single" w:sz="4" w:space="0" w:color="D2C9B8"/>
              <w:left w:val="single" w:sz="4" w:space="0" w:color="D2C9B8"/>
              <w:bottom w:val="single" w:sz="4" w:space="0" w:color="D2C9B8"/>
              <w:right w:val="single" w:sz="4" w:space="0" w:color="D2C9B8"/>
            </w:tcBorders>
          </w:tcPr>
          <w:p w14:paraId="56BDA767" w14:textId="77777777" w:rsidR="005A5FCC" w:rsidRDefault="00A21C81">
            <w:pPr>
              <w:spacing w:before="20" w:after="20" w:line="240" w:lineRule="auto"/>
              <w:jc w:val="left"/>
            </w:pPr>
            <w:r>
              <w:rPr>
                <w:rFonts w:cs="EB Garamond"/>
                <w:kern w:val="16"/>
                <w:sz w:val="18"/>
                <w14:ligatures w14:val="standardContextual"/>
              </w:rPr>
              <w:t>AR permanece no semiaberto</w:t>
            </w:r>
          </w:p>
        </w:tc>
        <w:tc>
          <w:tcPr>
            <w:tcW w:w="1587" w:type="dxa"/>
            <w:tcBorders>
              <w:top w:val="single" w:sz="4" w:space="0" w:color="D2C9B8"/>
              <w:left w:val="single" w:sz="4" w:space="0" w:color="D2C9B8"/>
              <w:bottom w:val="single" w:sz="4" w:space="0" w:color="D2C9B8"/>
              <w:right w:val="single" w:sz="4" w:space="0" w:color="D2C9B8"/>
            </w:tcBorders>
          </w:tcPr>
          <w:p w14:paraId="44CBF3CF" w14:textId="77777777" w:rsidR="005A5FCC" w:rsidRDefault="00A21C81">
            <w:pPr>
              <w:spacing w:before="20" w:after="20" w:line="240" w:lineRule="auto"/>
              <w:jc w:val="left"/>
            </w:pPr>
            <w:r>
              <w:rPr>
                <w:rFonts w:cs="EB Garamond"/>
                <w:kern w:val="16"/>
                <w:sz w:val="18"/>
                <w14:ligatures w14:val="standardContextual"/>
              </w:rPr>
              <w:t>Direito adquirido, tempus regit actum</w:t>
            </w:r>
          </w:p>
        </w:tc>
      </w:tr>
      <w:tr w:rsidR="005A5FCC" w14:paraId="360101C4"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5EE39359" w14:textId="77777777" w:rsidR="005A5FCC" w:rsidRDefault="00A21C81">
            <w:pPr>
              <w:spacing w:before="20" w:after="20" w:line="240" w:lineRule="auto"/>
              <w:jc w:val="left"/>
            </w:pPr>
            <w:r>
              <w:rPr>
                <w:rFonts w:cs="EB Garamond"/>
                <w:kern w:val="16"/>
                <w:sz w:val="18"/>
                <w14:ligatures w14:val="standardContextual"/>
              </w:rPr>
              <w:t>Fuga</w:t>
            </w:r>
          </w:p>
        </w:tc>
        <w:tc>
          <w:tcPr>
            <w:tcW w:w="1587" w:type="dxa"/>
            <w:tcBorders>
              <w:top w:val="single" w:sz="4" w:space="0" w:color="D2C9B8"/>
              <w:left w:val="single" w:sz="4" w:space="0" w:color="D2C9B8"/>
              <w:bottom w:val="single" w:sz="4" w:space="0" w:color="D2C9B8"/>
              <w:right w:val="single" w:sz="4" w:space="0" w:color="D2C9B8"/>
            </w:tcBorders>
          </w:tcPr>
          <w:p w14:paraId="5B98AFAC" w14:textId="77777777" w:rsidR="005A5FCC" w:rsidRDefault="00A21C81">
            <w:pPr>
              <w:spacing w:before="20" w:after="20" w:line="240" w:lineRule="auto"/>
              <w:jc w:val="left"/>
            </w:pPr>
            <w:r>
              <w:rPr>
                <w:rFonts w:cs="EB Garamond"/>
                <w:kern w:val="16"/>
                <w:sz w:val="18"/>
                <w14:ligatures w14:val="standardContextual"/>
              </w:rPr>
              <w:t>TRU/4ª Região (2023)</w:t>
            </w:r>
          </w:p>
        </w:tc>
        <w:tc>
          <w:tcPr>
            <w:tcW w:w="1587" w:type="dxa"/>
            <w:tcBorders>
              <w:top w:val="single" w:sz="4" w:space="0" w:color="D2C9B8"/>
              <w:left w:val="single" w:sz="4" w:space="0" w:color="D2C9B8"/>
              <w:bottom w:val="single" w:sz="4" w:space="0" w:color="D2C9B8"/>
              <w:right w:val="single" w:sz="4" w:space="0" w:color="D2C9B8"/>
            </w:tcBorders>
          </w:tcPr>
          <w:p w14:paraId="0B983A5F" w14:textId="77777777" w:rsidR="005A5FCC" w:rsidRDefault="00A21C81">
            <w:pPr>
              <w:spacing w:before="20" w:after="20" w:line="240" w:lineRule="auto"/>
              <w:jc w:val="left"/>
            </w:pPr>
            <w:r>
              <w:rPr>
                <w:rFonts w:cs="EB Garamond"/>
                <w:kern w:val="16"/>
                <w:sz w:val="18"/>
                <w14:ligatures w14:val="standardContextual"/>
              </w:rPr>
              <w:t>Cessação (não suspensão)</w:t>
            </w:r>
          </w:p>
        </w:tc>
        <w:tc>
          <w:tcPr>
            <w:tcW w:w="1587" w:type="dxa"/>
            <w:tcBorders>
              <w:top w:val="single" w:sz="4" w:space="0" w:color="D2C9B8"/>
              <w:left w:val="single" w:sz="4" w:space="0" w:color="D2C9B8"/>
              <w:bottom w:val="single" w:sz="4" w:space="0" w:color="D2C9B8"/>
              <w:right w:val="single" w:sz="4" w:space="0" w:color="D2C9B8"/>
            </w:tcBorders>
          </w:tcPr>
          <w:p w14:paraId="6A03FCAA" w14:textId="77777777" w:rsidR="005A5FCC" w:rsidRDefault="00A21C81">
            <w:pPr>
              <w:spacing w:before="20" w:after="20" w:line="240" w:lineRule="auto"/>
              <w:jc w:val="left"/>
            </w:pPr>
            <w:r>
              <w:rPr>
                <w:rFonts w:cs="EB Garamond"/>
                <w:kern w:val="16"/>
                <w:sz w:val="18"/>
                <w14:ligatures w14:val="standardContextual"/>
              </w:rPr>
              <w:t>Nova concessão na recaptura, lei vigente</w:t>
            </w:r>
          </w:p>
        </w:tc>
      </w:tr>
      <w:tr w:rsidR="005A5FCC" w14:paraId="49847EFC"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5FAD8748" w14:textId="77777777" w:rsidR="005A5FCC" w:rsidRDefault="00A21C81">
            <w:pPr>
              <w:spacing w:before="20" w:after="20" w:line="240" w:lineRule="auto"/>
              <w:jc w:val="left"/>
            </w:pPr>
            <w:r>
              <w:rPr>
                <w:rFonts w:cs="EB Garamond"/>
                <w:kern w:val="16"/>
                <w:sz w:val="18"/>
                <w14:ligatures w14:val="standardContextual"/>
              </w:rPr>
              <w:t>Livramento condicional</w:t>
            </w:r>
          </w:p>
        </w:tc>
        <w:tc>
          <w:tcPr>
            <w:tcW w:w="1587" w:type="dxa"/>
            <w:tcBorders>
              <w:top w:val="single" w:sz="4" w:space="0" w:color="D2C9B8"/>
              <w:left w:val="single" w:sz="4" w:space="0" w:color="D2C9B8"/>
              <w:bottom w:val="single" w:sz="4" w:space="0" w:color="D2C9B8"/>
              <w:right w:val="single" w:sz="4" w:space="0" w:color="D2C9B8"/>
            </w:tcBorders>
          </w:tcPr>
          <w:p w14:paraId="1F2BAF26" w14:textId="77777777" w:rsidR="005A5FCC" w:rsidRDefault="00A21C81">
            <w:pPr>
              <w:spacing w:before="20" w:after="20" w:line="240" w:lineRule="auto"/>
              <w:jc w:val="left"/>
            </w:pPr>
            <w:r>
              <w:rPr>
                <w:rFonts w:cs="EB Garamond"/>
                <w:kern w:val="16"/>
                <w:sz w:val="18"/>
                <w14:ligatures w14:val="standardContextual"/>
              </w:rPr>
              <w:t>STJ</w:t>
            </w:r>
          </w:p>
        </w:tc>
        <w:tc>
          <w:tcPr>
            <w:tcW w:w="1587" w:type="dxa"/>
            <w:tcBorders>
              <w:top w:val="single" w:sz="4" w:space="0" w:color="D2C9B8"/>
              <w:left w:val="single" w:sz="4" w:space="0" w:color="D2C9B8"/>
              <w:bottom w:val="single" w:sz="4" w:space="0" w:color="D2C9B8"/>
              <w:right w:val="single" w:sz="4" w:space="0" w:color="D2C9B8"/>
            </w:tcBorders>
          </w:tcPr>
          <w:p w14:paraId="69EAFE0C" w14:textId="77777777" w:rsidR="005A5FCC" w:rsidRDefault="00A21C81">
            <w:pPr>
              <w:spacing w:before="20" w:after="20" w:line="240" w:lineRule="auto"/>
              <w:jc w:val="left"/>
            </w:pPr>
            <w:r>
              <w:rPr>
                <w:rFonts w:cs="EB Garamond"/>
                <w:kern w:val="16"/>
                <w:sz w:val="18"/>
                <w14:ligatures w14:val="standardContextual"/>
              </w:rPr>
              <w:t>Cessa o AR</w:t>
            </w:r>
          </w:p>
        </w:tc>
        <w:tc>
          <w:tcPr>
            <w:tcW w:w="1587" w:type="dxa"/>
            <w:tcBorders>
              <w:top w:val="single" w:sz="4" w:space="0" w:color="D2C9B8"/>
              <w:left w:val="single" w:sz="4" w:space="0" w:color="D2C9B8"/>
              <w:bottom w:val="single" w:sz="4" w:space="0" w:color="D2C9B8"/>
              <w:right w:val="single" w:sz="4" w:space="0" w:color="D2C9B8"/>
            </w:tcBorders>
          </w:tcPr>
          <w:p w14:paraId="772109DE" w14:textId="77777777" w:rsidR="005A5FCC" w:rsidRDefault="00A21C81">
            <w:pPr>
              <w:spacing w:before="20" w:after="20" w:line="240" w:lineRule="auto"/>
              <w:jc w:val="left"/>
            </w:pPr>
            <w:r>
              <w:rPr>
                <w:rFonts w:cs="EB Garamond"/>
                <w:kern w:val="16"/>
                <w:sz w:val="18"/>
                <w14:ligatures w14:val="standardContextual"/>
              </w:rPr>
              <w:t>Novo recolhimento = novo fato gerador</w:t>
            </w:r>
          </w:p>
        </w:tc>
      </w:tr>
      <w:tr w:rsidR="005A5FCC" w14:paraId="365A48E9"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7B0874C4" w14:textId="77777777" w:rsidR="005A5FCC" w:rsidRDefault="00A21C81">
            <w:pPr>
              <w:spacing w:before="20" w:after="20" w:line="240" w:lineRule="auto"/>
              <w:jc w:val="left"/>
            </w:pPr>
            <w:r>
              <w:rPr>
                <w:rFonts w:cs="EB Garamond"/>
                <w:kern w:val="16"/>
                <w:sz w:val="18"/>
                <w14:ligatures w14:val="standardContextual"/>
              </w:rPr>
              <w:t>Conversão AR → PM</w:t>
            </w:r>
          </w:p>
        </w:tc>
        <w:tc>
          <w:tcPr>
            <w:tcW w:w="1587" w:type="dxa"/>
            <w:tcBorders>
              <w:top w:val="single" w:sz="4" w:space="0" w:color="D2C9B8"/>
              <w:left w:val="single" w:sz="4" w:space="0" w:color="D2C9B8"/>
              <w:bottom w:val="single" w:sz="4" w:space="0" w:color="D2C9B8"/>
              <w:right w:val="single" w:sz="4" w:space="0" w:color="D2C9B8"/>
            </w:tcBorders>
          </w:tcPr>
          <w:p w14:paraId="0E7480A3" w14:textId="77777777" w:rsidR="005A5FCC" w:rsidRDefault="00A21C81">
            <w:pPr>
              <w:spacing w:before="20" w:after="20" w:line="240" w:lineRule="auto"/>
              <w:jc w:val="left"/>
            </w:pPr>
            <w:r>
              <w:rPr>
                <w:rFonts w:cs="EB Garamond"/>
                <w:kern w:val="16"/>
                <w:sz w:val="18"/>
                <w14:ligatures w14:val="standardContextual"/>
              </w:rPr>
              <w:t>STJ + TNU</w:t>
            </w:r>
          </w:p>
        </w:tc>
        <w:tc>
          <w:tcPr>
            <w:tcW w:w="1587" w:type="dxa"/>
            <w:tcBorders>
              <w:top w:val="single" w:sz="4" w:space="0" w:color="D2C9B8"/>
              <w:left w:val="single" w:sz="4" w:space="0" w:color="D2C9B8"/>
              <w:bottom w:val="single" w:sz="4" w:space="0" w:color="D2C9B8"/>
              <w:right w:val="single" w:sz="4" w:space="0" w:color="D2C9B8"/>
            </w:tcBorders>
          </w:tcPr>
          <w:p w14:paraId="2677A364" w14:textId="77777777" w:rsidR="005A5FCC" w:rsidRDefault="00A21C81">
            <w:pPr>
              <w:spacing w:before="20" w:after="20" w:line="240" w:lineRule="auto"/>
              <w:jc w:val="left"/>
            </w:pPr>
            <w:r>
              <w:rPr>
                <w:rFonts w:cs="EB Garamond"/>
                <w:kern w:val="16"/>
                <w:sz w:val="18"/>
                <w14:ligatures w14:val="standardContextual"/>
              </w:rPr>
              <w:t>Automática, sem novo requerimento</w:t>
            </w:r>
          </w:p>
        </w:tc>
        <w:tc>
          <w:tcPr>
            <w:tcW w:w="1587" w:type="dxa"/>
            <w:tcBorders>
              <w:top w:val="single" w:sz="4" w:space="0" w:color="D2C9B8"/>
              <w:left w:val="single" w:sz="4" w:space="0" w:color="D2C9B8"/>
              <w:bottom w:val="single" w:sz="4" w:space="0" w:color="D2C9B8"/>
              <w:right w:val="single" w:sz="4" w:space="0" w:color="D2C9B8"/>
            </w:tcBorders>
          </w:tcPr>
          <w:p w14:paraId="56C3F351" w14:textId="77777777" w:rsidR="005A5FCC" w:rsidRDefault="00A21C81">
            <w:pPr>
              <w:spacing w:before="20" w:after="20" w:line="240" w:lineRule="auto"/>
              <w:jc w:val="left"/>
            </w:pPr>
            <w:r>
              <w:rPr>
                <w:rFonts w:cs="EB Garamond"/>
                <w:kern w:val="16"/>
                <w:sz w:val="18"/>
                <w14:ligatures w14:val="standardContextual"/>
              </w:rPr>
              <w:t>INSS não pode exigir procedimento formal</w:t>
            </w:r>
          </w:p>
        </w:tc>
      </w:tr>
      <w:tr w:rsidR="005A5FCC" w14:paraId="2C0B4C29"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40ABEE5B" w14:textId="77777777" w:rsidR="005A5FCC" w:rsidRDefault="00A21C81">
            <w:pPr>
              <w:spacing w:before="20" w:after="20" w:line="240" w:lineRule="auto"/>
              <w:jc w:val="left"/>
            </w:pPr>
            <w:r>
              <w:rPr>
                <w:rFonts w:cs="EB Garamond"/>
                <w:kern w:val="16"/>
                <w:sz w:val="18"/>
                <w14:ligatures w14:val="standardContextual"/>
              </w:rPr>
              <w:t>Prisão domiciliar (fechado/semiaberto)</w:t>
            </w:r>
          </w:p>
        </w:tc>
        <w:tc>
          <w:tcPr>
            <w:tcW w:w="1587" w:type="dxa"/>
            <w:tcBorders>
              <w:top w:val="single" w:sz="4" w:space="0" w:color="D2C9B8"/>
              <w:left w:val="single" w:sz="4" w:space="0" w:color="D2C9B8"/>
              <w:bottom w:val="single" w:sz="4" w:space="0" w:color="D2C9B8"/>
              <w:right w:val="single" w:sz="4" w:space="0" w:color="D2C9B8"/>
            </w:tcBorders>
          </w:tcPr>
          <w:p w14:paraId="1EE3FF7D" w14:textId="77777777" w:rsidR="005A5FCC" w:rsidRDefault="00A21C81">
            <w:pPr>
              <w:spacing w:before="20" w:after="20" w:line="240" w:lineRule="auto"/>
              <w:jc w:val="left"/>
            </w:pPr>
            <w:r>
              <w:rPr>
                <w:rFonts w:cs="EB Garamond"/>
                <w:kern w:val="16"/>
                <w:sz w:val="18"/>
                <w14:ligatures w14:val="standardContextual"/>
              </w:rPr>
              <w:t>STJ (REsp 1.672.295)</w:t>
            </w:r>
          </w:p>
        </w:tc>
        <w:tc>
          <w:tcPr>
            <w:tcW w:w="1587" w:type="dxa"/>
            <w:tcBorders>
              <w:top w:val="single" w:sz="4" w:space="0" w:color="D2C9B8"/>
              <w:left w:val="single" w:sz="4" w:space="0" w:color="D2C9B8"/>
              <w:bottom w:val="single" w:sz="4" w:space="0" w:color="D2C9B8"/>
              <w:right w:val="single" w:sz="4" w:space="0" w:color="D2C9B8"/>
            </w:tcBorders>
          </w:tcPr>
          <w:p w14:paraId="2BCD1D80" w14:textId="77777777" w:rsidR="005A5FCC" w:rsidRDefault="00A21C81">
            <w:pPr>
              <w:spacing w:before="20" w:after="20" w:line="240" w:lineRule="auto"/>
              <w:jc w:val="left"/>
            </w:pPr>
            <w:r>
              <w:rPr>
                <w:rFonts w:cs="EB Garamond"/>
                <w:kern w:val="16"/>
                <w:sz w:val="18"/>
                <w14:ligatures w14:val="standardContextual"/>
              </w:rPr>
              <w:t>AR mantido se regime ≠ aberto</w:t>
            </w:r>
          </w:p>
        </w:tc>
        <w:tc>
          <w:tcPr>
            <w:tcW w:w="1587" w:type="dxa"/>
            <w:tcBorders>
              <w:top w:val="single" w:sz="4" w:space="0" w:color="D2C9B8"/>
              <w:left w:val="single" w:sz="4" w:space="0" w:color="D2C9B8"/>
              <w:bottom w:val="single" w:sz="4" w:space="0" w:color="D2C9B8"/>
              <w:right w:val="single" w:sz="4" w:space="0" w:color="D2C9B8"/>
            </w:tcBorders>
          </w:tcPr>
          <w:p w14:paraId="76F18F17" w14:textId="77777777" w:rsidR="005A5FCC" w:rsidRDefault="00A21C81">
            <w:pPr>
              <w:spacing w:before="20" w:after="20" w:line="240" w:lineRule="auto"/>
              <w:jc w:val="left"/>
            </w:pPr>
            <w:r>
              <w:rPr>
                <w:rFonts w:cs="EB Garamond"/>
                <w:kern w:val="16"/>
                <w:sz w:val="18"/>
                <w14:ligatures w14:val="standardContextual"/>
              </w:rPr>
              <w:t>Critério: impossibilidade de trabalhar</w:t>
            </w:r>
          </w:p>
        </w:tc>
      </w:tr>
      <w:tr w:rsidR="005A5FCC" w14:paraId="7945651B"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48757C76" w14:textId="77777777" w:rsidR="005A5FCC" w:rsidRDefault="00A21C81">
            <w:pPr>
              <w:spacing w:before="20" w:after="20" w:line="240" w:lineRule="auto"/>
              <w:jc w:val="left"/>
            </w:pPr>
            <w:r>
              <w:rPr>
                <w:rFonts w:cs="EB Garamond"/>
                <w:kern w:val="16"/>
                <w:sz w:val="18"/>
                <w14:ligatures w14:val="standardContextual"/>
              </w:rPr>
              <w:t>Carência 24 contribuições</w:t>
            </w:r>
          </w:p>
        </w:tc>
        <w:tc>
          <w:tcPr>
            <w:tcW w:w="1587" w:type="dxa"/>
            <w:tcBorders>
              <w:top w:val="single" w:sz="4" w:space="0" w:color="D2C9B8"/>
              <w:left w:val="single" w:sz="4" w:space="0" w:color="D2C9B8"/>
              <w:bottom w:val="single" w:sz="4" w:space="0" w:color="D2C9B8"/>
              <w:right w:val="single" w:sz="4" w:space="0" w:color="D2C9B8"/>
            </w:tcBorders>
          </w:tcPr>
          <w:p w14:paraId="5E34A437" w14:textId="77777777" w:rsidR="005A5FCC" w:rsidRDefault="00A21C81">
            <w:pPr>
              <w:spacing w:before="20" w:after="20" w:line="240" w:lineRule="auto"/>
              <w:jc w:val="left"/>
            </w:pPr>
            <w:r>
              <w:rPr>
                <w:rFonts w:cs="EB Garamond"/>
                <w:kern w:val="16"/>
                <w:sz w:val="18"/>
                <w14:ligatures w14:val="standardContextual"/>
              </w:rPr>
              <w:t>TRFs (divergência)</w:t>
            </w:r>
          </w:p>
        </w:tc>
        <w:tc>
          <w:tcPr>
            <w:tcW w:w="1587" w:type="dxa"/>
            <w:tcBorders>
              <w:top w:val="single" w:sz="4" w:space="0" w:color="D2C9B8"/>
              <w:left w:val="single" w:sz="4" w:space="0" w:color="D2C9B8"/>
              <w:bottom w:val="single" w:sz="4" w:space="0" w:color="D2C9B8"/>
              <w:right w:val="single" w:sz="4" w:space="0" w:color="D2C9B8"/>
            </w:tcBorders>
          </w:tcPr>
          <w:p w14:paraId="248CBAA8" w14:textId="77777777" w:rsidR="005A5FCC" w:rsidRDefault="00A21C81">
            <w:pPr>
              <w:spacing w:before="20" w:after="20" w:line="240" w:lineRule="auto"/>
              <w:jc w:val="left"/>
            </w:pPr>
            <w:r>
              <w:rPr>
                <w:rFonts w:cs="EB Garamond"/>
                <w:kern w:val="16"/>
                <w:sz w:val="18"/>
                <w14:ligatures w14:val="standardContextual"/>
              </w:rPr>
              <w:t>Constitucionalidade debatida</w:t>
            </w:r>
          </w:p>
        </w:tc>
        <w:tc>
          <w:tcPr>
            <w:tcW w:w="1587" w:type="dxa"/>
            <w:tcBorders>
              <w:top w:val="single" w:sz="4" w:space="0" w:color="D2C9B8"/>
              <w:left w:val="single" w:sz="4" w:space="0" w:color="D2C9B8"/>
              <w:bottom w:val="single" w:sz="4" w:space="0" w:color="D2C9B8"/>
              <w:right w:val="single" w:sz="4" w:space="0" w:color="D2C9B8"/>
            </w:tcBorders>
          </w:tcPr>
          <w:p w14:paraId="45E18F5B" w14:textId="77777777" w:rsidR="005A5FCC" w:rsidRDefault="00A21C81">
            <w:pPr>
              <w:spacing w:before="20" w:after="20" w:line="240" w:lineRule="auto"/>
              <w:jc w:val="left"/>
            </w:pPr>
            <w:r>
              <w:rPr>
                <w:rFonts w:cs="EB Garamond"/>
                <w:kern w:val="16"/>
                <w:sz w:val="18"/>
                <w14:ligatures w14:val="standardContextual"/>
              </w:rPr>
              <w:t>Arguir tese subsidiária + regra da metade</w:t>
            </w:r>
          </w:p>
        </w:tc>
      </w:tr>
    </w:tbl>
    <w:p w14:paraId="7644AED9" w14:textId="77777777" w:rsidR="005A5FCC" w:rsidRDefault="005A5FCC">
      <w:pPr>
        <w:spacing w:after="80" w:line="240" w:lineRule="auto"/>
      </w:pPr>
    </w:p>
    <w:p w14:paraId="43F4A65B"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V</w:t>
      </w:r>
    </w:p>
    <w:p w14:paraId="1B9EBDB6" w14:textId="77777777" w:rsidR="005A5FCC" w:rsidRDefault="00A21C81">
      <w:r>
        <w:rPr>
          <w:rFonts w:cs="EB Garamond"/>
          <w:b/>
          <w:kern w:val="16"/>
          <w14:ligatures w14:val="standardContextual"/>
        </w:rPr>
        <w:t>alores de referência 2026</w:t>
      </w:r>
    </w:p>
    <w:tbl>
      <w:tblPr>
        <w:tblW w:w="5000" w:type="pct"/>
        <w:jc w:val="center"/>
        <w:tblLook w:val="04A0" w:firstRow="1" w:lastRow="0" w:firstColumn="1" w:lastColumn="0" w:noHBand="0" w:noVBand="1"/>
      </w:tblPr>
      <w:tblGrid>
        <w:gridCol w:w="3170"/>
        <w:gridCol w:w="3170"/>
      </w:tblGrid>
      <w:tr w:rsidR="005A5FCC" w14:paraId="2DE5BE68" w14:textId="77777777">
        <w:trPr>
          <w:tblHeader/>
          <w:jc w:val="center"/>
        </w:trPr>
        <w:tc>
          <w:tcPr>
            <w:tcW w:w="3175" w:type="dxa"/>
            <w:tcBorders>
              <w:top w:val="single" w:sz="4" w:space="0" w:color="D2C9B8"/>
              <w:left w:val="single" w:sz="4" w:space="0" w:color="D2C9B8"/>
              <w:bottom w:val="single" w:sz="4" w:space="0" w:color="D2C9B8"/>
              <w:right w:val="single" w:sz="4" w:space="0" w:color="D2C9B8"/>
            </w:tcBorders>
            <w:shd w:val="clear" w:color="auto" w:fill="F0EDE6"/>
          </w:tcPr>
          <w:p w14:paraId="33E0C1FD" w14:textId="77777777" w:rsidR="005A5FCC" w:rsidRDefault="00A21C81">
            <w:pPr>
              <w:spacing w:before="40" w:after="40" w:line="240" w:lineRule="auto"/>
              <w:jc w:val="center"/>
            </w:pPr>
            <w:r>
              <w:rPr>
                <w:rFonts w:cs="EB Garamond"/>
                <w:b/>
                <w:color w:val="2F2923"/>
                <w:kern w:val="16"/>
                <w:sz w:val="18"/>
                <w14:ligatures w14:val="standardContextual"/>
              </w:rPr>
              <w:t>Item</w:t>
            </w:r>
          </w:p>
        </w:tc>
        <w:tc>
          <w:tcPr>
            <w:tcW w:w="3175" w:type="dxa"/>
            <w:tcBorders>
              <w:top w:val="single" w:sz="4" w:space="0" w:color="D2C9B8"/>
              <w:left w:val="single" w:sz="4" w:space="0" w:color="D2C9B8"/>
              <w:bottom w:val="single" w:sz="4" w:space="0" w:color="D2C9B8"/>
              <w:right w:val="single" w:sz="4" w:space="0" w:color="D2C9B8"/>
            </w:tcBorders>
            <w:shd w:val="clear" w:color="auto" w:fill="F0EDE6"/>
          </w:tcPr>
          <w:p w14:paraId="507EDCB4" w14:textId="77777777" w:rsidR="005A5FCC" w:rsidRDefault="00A21C81">
            <w:pPr>
              <w:spacing w:before="40" w:after="40" w:line="240" w:lineRule="auto"/>
              <w:jc w:val="center"/>
            </w:pPr>
            <w:r>
              <w:rPr>
                <w:rFonts w:cs="EB Garamond"/>
                <w:b/>
                <w:color w:val="2F2923"/>
                <w:kern w:val="16"/>
                <w:sz w:val="18"/>
                <w14:ligatures w14:val="standardContextual"/>
              </w:rPr>
              <w:t>Valor (R$)</w:t>
            </w:r>
          </w:p>
        </w:tc>
      </w:tr>
      <w:tr w:rsidR="005A5FCC" w14:paraId="76699D85"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61C66D87" w14:textId="0C03DE78" w:rsidR="005A5FCC" w:rsidRDefault="007603B4">
            <w:pPr>
              <w:spacing w:before="20" w:after="20" w:line="240" w:lineRule="auto"/>
              <w:jc w:val="left"/>
            </w:pPr>
            <w:r>
              <w:rPr>
                <w:rFonts w:cs="EB Garamond"/>
                <w:kern w:val="16"/>
                <w:sz w:val="18"/>
                <w14:ligatures w14:val="standardContextual"/>
              </w:rPr>
              <w:t>Salário-mínimo</w:t>
            </w:r>
            <w:r w:rsidR="00A21C81">
              <w:rPr>
                <w:rFonts w:cs="EB Garamond"/>
                <w:kern w:val="16"/>
                <w:sz w:val="18"/>
                <w14:ligatures w14:val="standardContextual"/>
              </w:rPr>
              <w:t xml:space="preserve"> (valor do AR pós-EC 103)</w:t>
            </w:r>
          </w:p>
        </w:tc>
        <w:tc>
          <w:tcPr>
            <w:tcW w:w="3175" w:type="dxa"/>
            <w:tcBorders>
              <w:top w:val="single" w:sz="4" w:space="0" w:color="D2C9B8"/>
              <w:left w:val="single" w:sz="4" w:space="0" w:color="D2C9B8"/>
              <w:bottom w:val="single" w:sz="4" w:space="0" w:color="D2C9B8"/>
              <w:right w:val="single" w:sz="4" w:space="0" w:color="D2C9B8"/>
            </w:tcBorders>
          </w:tcPr>
          <w:p w14:paraId="1464B467" w14:textId="77777777" w:rsidR="005A5FCC" w:rsidRDefault="00A21C81">
            <w:pPr>
              <w:spacing w:before="20" w:after="20" w:line="240" w:lineRule="auto"/>
              <w:jc w:val="left"/>
            </w:pPr>
            <w:r>
              <w:rPr>
                <w:rFonts w:cs="EB Garamond"/>
                <w:kern w:val="16"/>
                <w:sz w:val="18"/>
                <w14:ligatures w14:val="standardContextual"/>
              </w:rPr>
              <w:t>1.621,00</w:t>
            </w:r>
          </w:p>
        </w:tc>
      </w:tr>
      <w:tr w:rsidR="005A5FCC" w14:paraId="6665634E"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4CCCE9CE" w14:textId="77777777" w:rsidR="005A5FCC" w:rsidRDefault="00A21C81">
            <w:pPr>
              <w:spacing w:before="20" w:after="20" w:line="240" w:lineRule="auto"/>
              <w:jc w:val="left"/>
            </w:pPr>
            <w:r>
              <w:rPr>
                <w:rFonts w:cs="EB Garamond"/>
                <w:kern w:val="16"/>
                <w:sz w:val="18"/>
                <w14:ligatures w14:val="standardContextual"/>
              </w:rPr>
              <w:t>Limite de baixa renda para AR (média 12 meses)*</w:t>
            </w:r>
          </w:p>
        </w:tc>
        <w:tc>
          <w:tcPr>
            <w:tcW w:w="3175" w:type="dxa"/>
            <w:tcBorders>
              <w:top w:val="single" w:sz="4" w:space="0" w:color="D2C9B8"/>
              <w:left w:val="single" w:sz="4" w:space="0" w:color="D2C9B8"/>
              <w:bottom w:val="single" w:sz="4" w:space="0" w:color="D2C9B8"/>
              <w:right w:val="single" w:sz="4" w:space="0" w:color="D2C9B8"/>
            </w:tcBorders>
          </w:tcPr>
          <w:p w14:paraId="6C3272A7" w14:textId="77777777" w:rsidR="005A5FCC" w:rsidRDefault="00A21C81">
            <w:pPr>
              <w:spacing w:before="20" w:after="20" w:line="240" w:lineRule="auto"/>
              <w:jc w:val="left"/>
            </w:pPr>
            <w:r>
              <w:rPr>
                <w:rFonts w:cs="EB Garamond"/>
                <w:kern w:val="16"/>
                <w:sz w:val="18"/>
                <w14:ligatures w14:val="standardContextual"/>
              </w:rPr>
              <w:t>1.906,04</w:t>
            </w:r>
          </w:p>
        </w:tc>
      </w:tr>
      <w:tr w:rsidR="005A5FCC" w14:paraId="19BBC70A"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5A9FA43D" w14:textId="77777777" w:rsidR="005A5FCC" w:rsidRDefault="00A21C81">
            <w:pPr>
              <w:spacing w:before="20" w:after="20" w:line="240" w:lineRule="auto"/>
              <w:jc w:val="left"/>
            </w:pPr>
            <w:r>
              <w:rPr>
                <w:rFonts w:cs="EB Garamond"/>
                <w:kern w:val="16"/>
                <w:sz w:val="18"/>
                <w14:ligatures w14:val="standardContextual"/>
              </w:rPr>
              <w:t>Teto do RGPS</w:t>
            </w:r>
          </w:p>
        </w:tc>
        <w:tc>
          <w:tcPr>
            <w:tcW w:w="3175" w:type="dxa"/>
            <w:tcBorders>
              <w:top w:val="single" w:sz="4" w:space="0" w:color="D2C9B8"/>
              <w:left w:val="single" w:sz="4" w:space="0" w:color="D2C9B8"/>
              <w:bottom w:val="single" w:sz="4" w:space="0" w:color="D2C9B8"/>
              <w:right w:val="single" w:sz="4" w:space="0" w:color="D2C9B8"/>
            </w:tcBorders>
          </w:tcPr>
          <w:p w14:paraId="396CB07F" w14:textId="77777777" w:rsidR="005A5FCC" w:rsidRDefault="00A21C81">
            <w:pPr>
              <w:spacing w:before="20" w:after="20" w:line="240" w:lineRule="auto"/>
              <w:jc w:val="left"/>
            </w:pPr>
            <w:r>
              <w:rPr>
                <w:rFonts w:cs="EB Garamond"/>
                <w:kern w:val="16"/>
                <w:sz w:val="18"/>
                <w14:ligatures w14:val="standardContextual"/>
              </w:rPr>
              <w:t>8.475,55</w:t>
            </w:r>
          </w:p>
        </w:tc>
      </w:tr>
      <w:tr w:rsidR="005A5FCC" w14:paraId="7A6BE7E0"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53CF885F" w14:textId="77777777" w:rsidR="005A5FCC" w:rsidRDefault="00A21C81">
            <w:pPr>
              <w:spacing w:before="20" w:after="20" w:line="240" w:lineRule="auto"/>
              <w:jc w:val="left"/>
            </w:pPr>
            <w:r>
              <w:rPr>
                <w:rFonts w:cs="EB Garamond"/>
                <w:kern w:val="16"/>
                <w:sz w:val="18"/>
                <w14:ligatures w14:val="standardContextual"/>
              </w:rPr>
              <w:t>Teto JEF (60 SM)</w:t>
            </w:r>
          </w:p>
        </w:tc>
        <w:tc>
          <w:tcPr>
            <w:tcW w:w="3175" w:type="dxa"/>
            <w:tcBorders>
              <w:top w:val="single" w:sz="4" w:space="0" w:color="D2C9B8"/>
              <w:left w:val="single" w:sz="4" w:space="0" w:color="D2C9B8"/>
              <w:bottom w:val="single" w:sz="4" w:space="0" w:color="D2C9B8"/>
              <w:right w:val="single" w:sz="4" w:space="0" w:color="D2C9B8"/>
            </w:tcBorders>
          </w:tcPr>
          <w:p w14:paraId="5BAF9820" w14:textId="77777777" w:rsidR="005A5FCC" w:rsidRDefault="00A21C81">
            <w:pPr>
              <w:spacing w:before="20" w:after="20" w:line="240" w:lineRule="auto"/>
              <w:jc w:val="left"/>
            </w:pPr>
            <w:r>
              <w:rPr>
                <w:rFonts w:cs="EB Garamond"/>
                <w:kern w:val="16"/>
                <w:sz w:val="18"/>
                <w14:ligatures w14:val="standardContextual"/>
              </w:rPr>
              <w:t>97.260,00</w:t>
            </w:r>
          </w:p>
        </w:tc>
      </w:tr>
      <w:tr w:rsidR="005A5FCC" w14:paraId="66D4F2FA"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18AB7DEE" w14:textId="77777777" w:rsidR="005A5FCC" w:rsidRDefault="00A21C81">
            <w:pPr>
              <w:spacing w:before="20" w:after="20" w:line="240" w:lineRule="auto"/>
              <w:jc w:val="left"/>
            </w:pPr>
            <w:r>
              <w:rPr>
                <w:rFonts w:cs="EB Garamond"/>
                <w:kern w:val="16"/>
                <w:sz w:val="18"/>
                <w14:ligatures w14:val="standardContextual"/>
              </w:rPr>
              <w:t>Contribuição mínima MEI (5% SM)</w:t>
            </w:r>
          </w:p>
        </w:tc>
        <w:tc>
          <w:tcPr>
            <w:tcW w:w="3175" w:type="dxa"/>
            <w:tcBorders>
              <w:top w:val="single" w:sz="4" w:space="0" w:color="D2C9B8"/>
              <w:left w:val="single" w:sz="4" w:space="0" w:color="D2C9B8"/>
              <w:bottom w:val="single" w:sz="4" w:space="0" w:color="D2C9B8"/>
              <w:right w:val="single" w:sz="4" w:space="0" w:color="D2C9B8"/>
            </w:tcBorders>
          </w:tcPr>
          <w:p w14:paraId="060AC930" w14:textId="77777777" w:rsidR="005A5FCC" w:rsidRDefault="00A21C81">
            <w:pPr>
              <w:spacing w:before="20" w:after="20" w:line="240" w:lineRule="auto"/>
              <w:jc w:val="left"/>
            </w:pPr>
            <w:r>
              <w:rPr>
                <w:rFonts w:cs="EB Garamond"/>
                <w:kern w:val="16"/>
                <w:sz w:val="18"/>
                <w14:ligatures w14:val="standardContextual"/>
              </w:rPr>
              <w:t>81,05</w:t>
            </w:r>
          </w:p>
        </w:tc>
      </w:tr>
      <w:tr w:rsidR="005A5FCC" w14:paraId="020485B6"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127A5809" w14:textId="77777777" w:rsidR="005A5FCC" w:rsidRDefault="00A21C81">
            <w:pPr>
              <w:spacing w:before="20" w:after="20" w:line="240" w:lineRule="auto"/>
              <w:jc w:val="left"/>
            </w:pPr>
            <w:r>
              <w:rPr>
                <w:rFonts w:cs="EB Garamond"/>
                <w:kern w:val="16"/>
                <w:sz w:val="18"/>
                <w14:ligatures w14:val="standardContextual"/>
              </w:rPr>
              <w:t>Contribuição mínima facultativo simplificado (11% SM)</w:t>
            </w:r>
          </w:p>
        </w:tc>
        <w:tc>
          <w:tcPr>
            <w:tcW w:w="3175" w:type="dxa"/>
            <w:tcBorders>
              <w:top w:val="single" w:sz="4" w:space="0" w:color="D2C9B8"/>
              <w:left w:val="single" w:sz="4" w:space="0" w:color="D2C9B8"/>
              <w:bottom w:val="single" w:sz="4" w:space="0" w:color="D2C9B8"/>
              <w:right w:val="single" w:sz="4" w:space="0" w:color="D2C9B8"/>
            </w:tcBorders>
          </w:tcPr>
          <w:p w14:paraId="7A90045E" w14:textId="77777777" w:rsidR="005A5FCC" w:rsidRDefault="00A21C81">
            <w:pPr>
              <w:spacing w:before="20" w:after="20" w:line="240" w:lineRule="auto"/>
              <w:jc w:val="left"/>
            </w:pPr>
            <w:r>
              <w:rPr>
                <w:rFonts w:cs="EB Garamond"/>
                <w:kern w:val="16"/>
                <w:sz w:val="18"/>
                <w14:ligatures w14:val="standardContextual"/>
              </w:rPr>
              <w:t>178,31</w:t>
            </w:r>
          </w:p>
        </w:tc>
      </w:tr>
    </w:tbl>
    <w:p w14:paraId="028A3877" w14:textId="77777777" w:rsidR="005A5FCC" w:rsidRDefault="005A5FCC">
      <w:pPr>
        <w:spacing w:after="80" w:line="240" w:lineRule="auto"/>
      </w:pPr>
    </w:p>
    <w:p w14:paraId="0BA4DA31" w14:textId="77777777" w:rsidR="005A5FCC" w:rsidRDefault="00A21C81">
      <w:r>
        <w:rPr>
          <w:rFonts w:cs="EB Garamond"/>
          <w:kern w:val="16"/>
          <w14:ligatures w14:val="standardContextual"/>
        </w:rPr>
        <w:t>\* Limite de baixa renda fixado para 2025 (Portaria Interministerial MPS/MF n. 6/2025), único valor oficialmente consolidado. Para fatos geradores de 2026, aplica-se o montante da portaria do exercício, reajustado pelos índices dos benefícios do RGPS (art. 27, § 1º, da EC 103/2019), conforme a referência única estabelecida na seção 14.1.</w:t>
      </w:r>
    </w:p>
    <w:p w14:paraId="4E5353AD" w14:textId="77777777" w:rsidR="005A5FCC" w:rsidRDefault="00A21C81">
      <w:pPr>
        <w:ind w:firstLine="238"/>
      </w:pPr>
      <w:r>
        <w:rPr>
          <w:rFonts w:cs="EB Garamond"/>
          <w:b/>
          <w:kern w:val="16"/>
          <w14:ligatures w14:val="standardContextual"/>
        </w:rPr>
        <w:t>Perspectivas e tendências</w:t>
      </w:r>
    </w:p>
    <w:p w14:paraId="6DBDE9CF" w14:textId="77777777" w:rsidR="005A5FCC" w:rsidRDefault="00A21C81">
      <w:pPr>
        <w:ind w:firstLine="238"/>
      </w:pPr>
      <w:r>
        <w:rPr>
          <w:rFonts w:cs="EB Garamond"/>
          <w:kern w:val="16"/>
          <w14:ligatures w14:val="standardContextual"/>
        </w:rPr>
        <w:t>O auxílio-reclusão caminha para maior restritividade. A EC 103/2019 reduziu drasticamente o universo de beneficiários potenciais ao exigir carência de 24 contribuições e excluir o regime aberto. A combinação dessas restrições com o perfil socioeconômico da população carcerária brasileira, predominantemente jovem, informal e de baixa escolaridade, tende a tornar o benefício cada vez mais residual.</w:t>
      </w:r>
    </w:p>
    <w:p w14:paraId="29BF8949" w14:textId="77777777" w:rsidR="005A5FCC" w:rsidRDefault="00A21C81">
      <w:pPr>
        <w:ind w:firstLine="238"/>
      </w:pPr>
      <w:r>
        <w:rPr>
          <w:rFonts w:cs="EB Garamond"/>
          <w:kern w:val="16"/>
          <w14:ligatures w14:val="standardContextual"/>
        </w:rPr>
        <w:t>No âmbito dos JEFs, espera-se o aumento da litigiosidade em torno de três eixos: (i) constitucionalidade da carência de 24 contribuições; (ii) efeitos da monitoração eletrônica e da prisão domiciliar; e (iii) aplicação da regra de transição (regime antigo vs. Novo) para presos cuja reclusão se iniciou antes de 13/11/2019 e se prolonga após essa data. Essas controvérsias provavelmente chegarão ao STF e ao STJ nos próximos anos, exigindo do advogado previdenciarista atenção permanente à evolução jurisprudencial.</w:t>
      </w:r>
    </w:p>
    <w:p w14:paraId="34027C54" w14:textId="77777777" w:rsidR="005A5FCC" w:rsidRDefault="00A21C81">
      <w:pPr>
        <w:ind w:firstLine="238"/>
      </w:pPr>
      <w:r>
        <w:rPr>
          <w:rFonts w:cs="EB Garamond"/>
          <w:kern w:val="16"/>
          <w14:ligatures w14:val="standardContextual"/>
        </w:rPr>
        <w:t>A interface com o direito penal também se intensifica. As recentes alterações na LEP (Pacote Anticrime, Lei 13.964/2019) e as discussões sobre monitoração eletrônica, prisão domiciliar e regime semiaberto têm reflexos diretos no auxílio-reclusão, exigindo do operador do Direito Previdenciário conhecimento sólido de ambos os ramos.</w:t>
      </w:r>
    </w:p>
    <w:p w14:paraId="5E686EF1" w14:textId="77777777" w:rsidR="005A5FCC" w:rsidRDefault="00A21C81">
      <w:pPr>
        <w:ind w:firstLine="238"/>
      </w:pPr>
      <w:r>
        <w:rPr>
          <w:rFonts w:cs="EB Garamond"/>
          <w:kern w:val="16"/>
          <w14:ligatures w14:val="standardContextual"/>
        </w:rPr>
        <w:t>Por fim, é necessário registrar a importância da advocacia proativa no auxílio-reclusão. Diferentemente de outros benefícios previdenciários, em que o próprio segurado pode acompanhar o processo, no auxílio-reclusão o segurado está preso e seus dependentes frequentemente pertencem às camadas mais vulneráveis da população, com baixa escolaridade, limitado acesso à informação jurídica e dificuldades de deslocamento até as agências do INSS. O advogado previdenciarista, e especialmente a Defensoria Pública da União nos JEFs, desempenha papel de</w:t>
      </w:r>
      <w:r>
        <w:rPr>
          <w:rFonts w:cs="EB Garamond"/>
          <w:kern w:val="16"/>
          <w14:ligatures w14:val="standardContextual"/>
        </w:rPr>
        <w:lastRenderedPageBreak/>
        <w:t>cisivo para garantir que o direito constitucional dos dependentes seja efetivamente materializado, superando as barreiras burocráticas, informacionais e estigmatizantes que historicamente cercam este benefício.</w:t>
      </w:r>
    </w:p>
    <w:p w14:paraId="2FF19FA5" w14:textId="77777777" w:rsidR="005A5FCC" w:rsidRDefault="005A5FCC">
      <w:pPr>
        <w:sectPr w:rsidR="005A5FCC">
          <w:headerReference w:type="even" r:id="rId156"/>
          <w:headerReference w:type="default" r:id="rId157"/>
          <w:footerReference w:type="even" r:id="rId158"/>
          <w:footerReference w:type="default" r:id="rId159"/>
          <w:headerReference w:type="first" r:id="rId160"/>
          <w:footerReference w:type="first" r:id="rId161"/>
          <w:pgSz w:w="8391" w:h="11906"/>
          <w:pgMar w:top="935" w:right="879" w:bottom="964" w:left="1162" w:header="454" w:footer="425" w:gutter="0"/>
          <w:cols w:space="720"/>
          <w:titlePg/>
          <w:docGrid w:linePitch="360"/>
        </w:sectPr>
      </w:pPr>
    </w:p>
    <w:p w14:paraId="63864CE3" w14:textId="77777777" w:rsidR="005A5FCC" w:rsidRDefault="00A21C81">
      <w:pPr>
        <w:keepNext/>
        <w:spacing w:before="240" w:after="80" w:line="240" w:lineRule="auto"/>
        <w:jc w:val="center"/>
      </w:pPr>
      <w:r>
        <w:rPr>
          <w:rFonts w:ascii="Noto Sans" w:hAnsi="Noto Sans" w:cs="Noto Sans"/>
          <w:b/>
          <w:caps/>
          <w:color w:val="8A6A2A"/>
          <w:kern w:val="16"/>
          <w:sz w:val="19"/>
          <w14:ligatures w14:val="standardContextual"/>
        </w:rPr>
        <w:lastRenderedPageBreak/>
        <w:t>CAPÍTULO 15</w:t>
      </w:r>
    </w:p>
    <w:p w14:paraId="32409966" w14:textId="77777777" w:rsidR="005A5FCC" w:rsidRDefault="00A21C81">
      <w:pPr>
        <w:pStyle w:val="Ttulo2"/>
        <w:spacing w:line="240" w:lineRule="auto"/>
      </w:pPr>
      <w:r>
        <w:rPr>
          <w:rFonts w:ascii="EB Garamond" w:hAnsi="EB Garamond" w:cs="EB Garamond"/>
          <w:caps/>
          <w:kern w:val="16"/>
          <w14:ligatures w14:val="standardContextual"/>
        </w:rPr>
        <w:t>Auxílio-Acidente e Salário-Família</w:t>
      </w:r>
    </w:p>
    <w:p w14:paraId="7349BE56" w14:textId="77777777" w:rsidR="005A5FCC" w:rsidRDefault="00A21C81">
      <w:pPr>
        <w:spacing w:after="240" w:line="240" w:lineRule="auto"/>
        <w:jc w:val="center"/>
      </w:pPr>
      <w:r>
        <w:rPr>
          <w:rFonts w:cs="EB Garamond"/>
          <w:color w:val="B78B37"/>
          <w:kern w:val="16"/>
          <w:sz w:val="18"/>
          <w14:ligatures w14:val="standardContextual"/>
        </w:rPr>
        <w:t>━━━━  ◆  ━━━━</w:t>
      </w:r>
    </w:p>
    <w:p w14:paraId="6F17D2BD" w14:textId="27510828" w:rsidR="005A5FCC" w:rsidRDefault="007603B4">
      <w:pPr>
        <w:keepNext/>
        <w:pBdr>
          <w:bottom w:val="single" w:sz="8" w:space="4" w:color="B89B5E"/>
        </w:pBdr>
        <w:spacing w:before="360" w:after="140" w:line="240" w:lineRule="auto"/>
        <w:jc w:val="left"/>
      </w:pPr>
      <w:r>
        <w:rPr>
          <w:rFonts w:cs="EB Garamond"/>
          <w:b/>
          <w:color w:val="3A3128"/>
          <w:kern w:val="16"/>
          <w:sz w:val="31"/>
          <w14:ligatures w14:val="standardContextual"/>
        </w:rPr>
        <w:t xml:space="preserve">15.1 </w:t>
      </w:r>
      <w:r w:rsidR="00A21C81">
        <w:rPr>
          <w:rFonts w:cs="EB Garamond"/>
          <w:b/>
          <w:color w:val="3A3128"/>
          <w:kern w:val="16"/>
          <w:sz w:val="31"/>
          <w14:ligatures w14:val="standardContextual"/>
        </w:rPr>
        <w:t>Introdução e fundamento constitucional</w:t>
      </w:r>
    </w:p>
    <w:p w14:paraId="7FFC9345"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17AAAC97" w14:textId="77777777" w:rsidR="005A5FCC" w:rsidRDefault="00A21C81">
      <w:r>
        <w:rPr>
          <w:rFonts w:cs="EB Garamond"/>
          <w:kern w:val="16"/>
          <w14:ligatures w14:val="standardContextual"/>
        </w:rPr>
        <w:t xml:space="preserve"> auxílio-acidente (art. 86, Lei n. 8.213/91) é o único benefício de natureza indenizatória do Regime Geral de Previdência Social. Enquanto os demais benefícios previdenciários substituem a renda do segurado em situações de incapacidade, idade avançada, maternidade ou reclusão, o auxílio-acidente compensa o segurado pela redução permanente de sua capacidade laborativa, permitindo-lhe continuar exercendo atividade remunerada concomitantemente ao recebimento do benefício.</w:t>
      </w:r>
    </w:p>
    <w:p w14:paraId="09ABCD56" w14:textId="77777777" w:rsidR="005A5FCC" w:rsidRDefault="00A21C81">
      <w:pPr>
        <w:ind w:firstLine="238"/>
      </w:pPr>
      <w:r>
        <w:rPr>
          <w:rFonts w:cs="EB Garamond"/>
          <w:kern w:val="16"/>
          <w14:ligatures w14:val="standardContextual"/>
        </w:rPr>
        <w:t>O fundamento constitucional remoto do auxílio-acidente encontra-se no art. 201, inciso I, da Constituição Federal de 1988, que estabelece a cobertura previdenciária para eventos de doença, invalidez, morte e idade avançada. A proteção contra os efeitos residuais de acidentes, sequelas que, embora não impeçam o trabalho, reduzem a capacidade do segurado, insere-se no âmbito mais amplo da proteção social contra contingências que afetem a capacidade laborativa. O auxílio-acidente materializa a dimensão indenizatória da previdência social, reconhecendo que a redução parcial e permanente da capacidade para o trabalho constitui contingência merecedora de proteção, ainda que o segurado permaneça em atividade.</w:t>
      </w:r>
    </w:p>
    <w:p w14:paraId="1EF123BA" w14:textId="77777777" w:rsidR="005A5FCC" w:rsidRDefault="00A21C81">
      <w:pPr>
        <w:ind w:firstLine="238"/>
      </w:pPr>
      <w:r>
        <w:rPr>
          <w:rFonts w:cs="EB Garamond"/>
          <w:kern w:val="16"/>
          <w14:ligatures w14:val="standardContextual"/>
        </w:rPr>
        <w:t xml:space="preserve">A relevância prática do auxílio-acidente nos Juizados Especiais Federais é expressiva. Embora sua concessão administrativa pelo INSS seja relativamente baixa — em grande medida porque a autarquia tende a negar pedidos fundados em acidentes de qualquer natureza, exigindo nexo acidentário laboral —, a judicialização do benefício é significativa. As controvérsias que cercam o auxílio-acidente são múltiplas e de elevada complexidade: a definição do conceito de "acidente de </w:t>
      </w:r>
      <w:r>
        <w:rPr>
          <w:rFonts w:cs="EB Garamond"/>
          <w:kern w:val="16"/>
          <w14:ligatures w14:val="standardContextual"/>
        </w:rPr>
        <w:lastRenderedPageBreak/>
        <w:t>qualquer natureza" (art. 86, caput), a delimitação entre redução parcial e incapacidade total, a questão da competência jurisdicional (Justiça Federal versus Justiça Estadual), as regras de acumulação com aposentadoria e com outros benefícios, e o impacto da Emenda Constitucional n. 103/2019 sobre o cálculo do benefício são apenas algumas das questões que demandam do magistrado e do advogado domínio técnico aprofundado.</w:t>
      </w:r>
    </w:p>
    <w:p w14:paraId="23F454FD" w14:textId="77777777" w:rsidR="005A5FCC" w:rsidRDefault="00A21C81">
      <w:pPr>
        <w:ind w:firstLine="238"/>
      </w:pPr>
      <w:r>
        <w:rPr>
          <w:rFonts w:cs="EB Garamond"/>
          <w:kern w:val="16"/>
          <w14:ligatures w14:val="standardContextual"/>
        </w:rPr>
        <w:t>Este capítulo examina o auxílio-acidente em todas as suas dimensões: fundamento normativo, evolução legislativa, natureza jurídica, requisitos de concessão, segurados beneficiários, cálculo, acumulação, competência jurisdicional e aspectos processuais nos JEFs. A análise incorpora a jurisprudência consolidada do STJ, especialmente o Tema 862, as Súmulas 44 e 507, e as edições 198 e 199 da Jurisprudência em Teses, e da TNU, com destaque para os Temas 269, 315 e 322, além das posições doutrinárias dos principais autores de referência.</w:t>
      </w:r>
    </w:p>
    <w:p w14:paraId="6F6D2D26"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15.2 Evolução legislativa</w:t>
      </w:r>
    </w:p>
    <w:p w14:paraId="4A69F055"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5D35CB83" w14:textId="77777777" w:rsidR="005A5FCC" w:rsidRDefault="00A21C81">
      <w:r>
        <w:rPr>
          <w:rFonts w:cs="EB Garamond"/>
          <w:kern w:val="16"/>
          <w14:ligatures w14:val="standardContextual"/>
        </w:rPr>
        <w:t xml:space="preserve"> proteção previdenciária contra os efeitos residuais de acidentes percorreu caminho legislativo tortuoso até alcançar a configuração atual. A compreensão dessa trajetória é indispensável para interpretar corretamente o regime jurídico vigente, especialmente as regras de direito intertemporal que ainda produzem efeitos práticos nos JEFs.</w:t>
      </w:r>
    </w:p>
    <w:p w14:paraId="73CD4A3C" w14:textId="77777777" w:rsidR="005A5FCC" w:rsidRDefault="00A21C81">
      <w:pPr>
        <w:ind w:firstLine="238"/>
      </w:pPr>
      <w:r>
        <w:rPr>
          <w:rFonts w:cs="EB Garamond"/>
          <w:kern w:val="16"/>
          <w14:ligatures w14:val="standardContextual"/>
        </w:rPr>
        <w:t>A Lei n. 6.367, de 19 de outubro de 1976, que antecedeu a Lei n. 8.213/91 na disciplina dos benefícios acidentários, previa o auxílio-acidente exclusivamente para acidentes do trabalho, em três graus: 30%, 40% e 60% do salário de contribuição, conforme a extensão da redução da capacidade laborativa. O benefício era vitalício e acumulável com a aposentadoria — características que seriam progressivamente restringidas pela legislação posterior.</w:t>
      </w:r>
    </w:p>
    <w:p w14:paraId="25A5E459" w14:textId="77777777" w:rsidR="005A5FCC" w:rsidRDefault="00A21C81">
      <w:pPr>
        <w:ind w:firstLine="238"/>
      </w:pPr>
      <w:r>
        <w:rPr>
          <w:rFonts w:cs="EB Garamond"/>
          <w:kern w:val="16"/>
          <w14:ligatures w14:val="standardContextual"/>
        </w:rPr>
        <w:t>A Lei n. 8.213/91, em sua redação original, promoveu avanço significativo ao ampliar o fato gerador do auxílio-acidente para "acidente de qualquer natureza" — expressão que rompe com a vinculação exclusiva ao acidente do trabalho e abrange acidentes domésticos, de trânsito, esportivos e quaisquer outros que re</w:t>
      </w:r>
      <w:r>
        <w:rPr>
          <w:rFonts w:cs="EB Garamond"/>
          <w:kern w:val="16"/>
          <w14:ligatures w14:val="standardContextual"/>
        </w:rPr>
        <w:lastRenderedPageBreak/>
        <w:t>sultem em sequelas redutoras da capacidade. A redação original manteve, contudo, os três percentuais diferenciados (30%, 40% e 60%) e o caráter vitalício do benefício.</w:t>
      </w:r>
    </w:p>
    <w:p w14:paraId="6835EA3E" w14:textId="77777777" w:rsidR="005A5FCC" w:rsidRDefault="00A21C81">
      <w:pPr>
        <w:ind w:firstLine="238"/>
      </w:pPr>
      <w:r>
        <w:rPr>
          <w:rFonts w:cs="EB Garamond"/>
          <w:kern w:val="16"/>
          <w14:ligatures w14:val="standardContextual"/>
        </w:rPr>
        <w:t>A Lei n. 9.032, de 28 de abril de 1995, unificou o percentual do auxílio-acidente em 50% do salário-de-benefício, eliminando a gradação anterior. A mudança simplificou o cálculo, mas gerou controvérsia sobre a aplicação retroativa da majoração para beneficiários que recebiam percentuais inferiores. O STJ pacificou o tema na edição 198 da Jurisprudência em Teses, afastando a devolução das diferenças recebidas de boa-fé — tese cuja redação e alcance são examinados na seção 15.21.6, ao tratar da irrepetibilidade dos valores percebidos de boa-fé.</w:t>
      </w:r>
    </w:p>
    <w:p w14:paraId="77684A66" w14:textId="77777777" w:rsidR="005A5FCC" w:rsidRDefault="00A21C81">
      <w:pPr>
        <w:ind w:firstLine="238"/>
      </w:pPr>
      <w:r>
        <w:rPr>
          <w:rFonts w:cs="EB Garamond"/>
          <w:kern w:val="16"/>
          <w14:ligatures w14:val="standardContextual"/>
        </w:rPr>
        <w:t xml:space="preserve">A Medida Provisória n. 1.596-14, de 10 de novembro de 1997, convertida na Lei n. 9.528, de 10 de dezembro de 1997, operou a alteração mais impactante no regime do auxílio-acidente. A nova redação do art. 86, §2º, vedou expressamente a acumulação do auxílio-acidente com qualquer aposentadoria e estabeleceu que o benefício seria devido "até a véspera do início de qualquer aposentadoria". O marco temporal de 11 de novembro de 1997, data da publicação da MP 1.596-14, tornou-se referência incontornável para a análise de direitos adquiridos, como consolidado na Súmula 507 do STJ. Convém, desde já, distinguir os dois marcos que orientam a matéria, para evitar confusão recorrente: a </w:t>
      </w:r>
      <w:r>
        <w:rPr>
          <w:rFonts w:cs="EB Garamond"/>
          <w:i/>
          <w:kern w:val="16"/>
          <w14:ligatures w14:val="standardContextual"/>
        </w:rPr>
        <w:t>vedação</w:t>
      </w:r>
      <w:r>
        <w:rPr>
          <w:rFonts w:cs="EB Garamond"/>
          <w:kern w:val="16"/>
          <w14:ligatures w14:val="standardContextual"/>
        </w:rPr>
        <w:t xml:space="preserve"> de acúmulo incide sobre as lesões ocorridas a partir de 11/11/1997 (dia da publicação, em diante), ao passo que a Súmula 507 </w:t>
      </w:r>
      <w:r>
        <w:rPr>
          <w:rFonts w:cs="EB Garamond"/>
          <w:i/>
          <w:kern w:val="16"/>
          <w14:ligatures w14:val="standardContextual"/>
        </w:rPr>
        <w:t>admite</w:t>
      </w:r>
      <w:r>
        <w:rPr>
          <w:rFonts w:cs="EB Garamond"/>
          <w:kern w:val="16"/>
          <w14:ligatures w14:val="standardContextual"/>
        </w:rPr>
        <w:t xml:space="preserve"> o acúmulo quando a lesão ocorreu até 10/11/1997, véspera da publicação. São marcos coerentes — anterioridade e posterioridade ao mesmo dia —, e não datas conflitantes (o ponto é retomado na seção 15.13).</w:t>
      </w:r>
    </w:p>
    <w:p w14:paraId="76FB3140" w14:textId="77777777" w:rsidR="005A5FCC" w:rsidRDefault="00A21C81">
      <w:pPr>
        <w:ind w:firstLine="238"/>
      </w:pPr>
      <w:r>
        <w:rPr>
          <w:rFonts w:cs="EB Garamond"/>
          <w:kern w:val="16"/>
          <w14:ligatures w14:val="standardContextual"/>
        </w:rPr>
        <w:t>A mesma Lei n. 9.528/97 acrescentou o §4º ao art. 86, disciplinando especificamente a concessão de auxílio-acidente por perda auditiva, exigindo cumulativamente: reconhecimento do nexo causal entre o trabalho e a doença, e comprovação de redução ou perda da capacidade para o trabalho habitual. Esse dispositivo endureceu os requisitos para a hipótese de disacusia, sem, contudo, revogar a Súmula 44 do STJ, que permanece vigente.</w:t>
      </w:r>
    </w:p>
    <w:p w14:paraId="1D9D4A61" w14:textId="77777777" w:rsidR="005A5FCC" w:rsidRDefault="00A21C81">
      <w:pPr>
        <w:ind w:firstLine="238"/>
      </w:pPr>
      <w:r>
        <w:rPr>
          <w:rFonts w:cs="EB Garamond"/>
          <w:kern w:val="16"/>
          <w14:ligatures w14:val="standardContextual"/>
        </w:rPr>
        <w:lastRenderedPageBreak/>
        <w:t>A Lei Complementar n. 150, de 1º de junho de 2015, incluiu o empregado doméstico entre os segurados beneficiários do auxílio-acidente, corrigindo exclusão historicamente criticada pela doutrina. A exclusão do empregado doméstico do auxílio-acidente era incompatível com a proteção constitucional conferida à categoria após a EC 72/2013, de modo que a LC 150/2015 representou adequação normativa tardia, mas necessária.</w:t>
      </w:r>
    </w:p>
    <w:p w14:paraId="363B34E5" w14:textId="77777777" w:rsidR="005A5FCC" w:rsidRDefault="00A21C81">
      <w:pPr>
        <w:ind w:firstLine="238"/>
      </w:pPr>
      <w:r>
        <w:rPr>
          <w:rFonts w:cs="EB Garamond"/>
          <w:kern w:val="16"/>
          <w14:ligatures w14:val="standardContextual"/>
        </w:rPr>
        <w:t>A Emenda Constitucional n. 103, de 12 de novembro de 2019, não alterou diretamente o art. 86 da Lei n. 8.213/91, mas impactou o cálculo do auxílio-acidente ao modificar a fórmula do salário-de-benefício (o ponto é retomado, com o detalhamento do direito intertemporal, na seção 15.19 deste capítulo; para o tratamento completo da evolução do cálculo do salário-de-benefício no RGPS, v. Cap. 16). Na prática, a inclusão de todos os salários de contribuição desde julho de 1994 na média aritmética (não mais apenas os 80% maiores) tende a reduzir o valor do auxílio-acidente para segurados com trajetória contributiva irregular.</w:t>
      </w:r>
    </w:p>
    <w:p w14:paraId="1868FDE0"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15.3 Natureza jurídica: benefício indenizatório</w:t>
      </w:r>
    </w:p>
    <w:p w14:paraId="0EE03532"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4A658931" w14:textId="77777777" w:rsidR="005A5FCC" w:rsidRDefault="00A21C81">
      <w:r>
        <w:rPr>
          <w:rFonts w:cs="EB Garamond"/>
          <w:kern w:val="16"/>
          <w14:ligatures w14:val="standardContextual"/>
        </w:rPr>
        <w:t xml:space="preserve"> distinção entre benefícios substitutivos e benefícios indenizatórios constitui o eixo de compreensão do auxílio-acidente e de suas regras peculiares. Os benefícios substitutivos, aposentadorias, auxílio por incapacidade temporária, salário-maternidade, destinam-se a substituir a renda do segurado em situações que o privam, total ou parcialmente, de sua capacidade de auferir rendimentos pelo trabalho. O auxílio-acidente, ao contrário, não substitui a renda: indeniza o segurado pela redução permanente de sua capacidade laborativa, permitindo-lhe continuar trabalhando e recebendo remuneração.</w:t>
      </w:r>
    </w:p>
    <w:p w14:paraId="344D0853" w14:textId="77777777" w:rsidR="005A5FCC" w:rsidRDefault="00A21C81">
      <w:pPr>
        <w:ind w:firstLine="238"/>
      </w:pPr>
      <w:r>
        <w:rPr>
          <w:rFonts w:cs="EB Garamond"/>
          <w:kern w:val="16"/>
          <w14:ligatures w14:val="standardContextual"/>
        </w:rPr>
        <w:t>Essa natureza indenizatória explica várias características que distinguem o auxílio-acidente dos demais benefícios previdenciários. A mais visível é a compatibilidade com o exercício de atividade remunerada — o art. 86, §2º, da Lei n. 8.213/91 é expresso ao dispor que o benefício será devido "independentemente de qualquer remuneração ou rendimento auferido pelo acidentado". O próprio percentual de 50% do salário-de-benefício reflete essa finalidade compensatória: não se pretende substituir integralmente a renda, mas compensar a perda funci</w:t>
      </w:r>
      <w:r>
        <w:rPr>
          <w:rFonts w:cs="EB Garamond"/>
          <w:kern w:val="16"/>
          <w14:ligatures w14:val="standardContextual"/>
        </w:rPr>
        <w:lastRenderedPageBreak/>
        <w:t>onal. Soma-se a isso o fato de o valor do auxílio-acidente integrar o salário de contribuição para o cálculo dos benefícios futuros (art. 31 da Lei n. 8.213/91), de modo que o período de seu recebimento não prejudica — antes, costuma favorecer — o cálculo da aposentadoria vindoura.</w:t>
      </w:r>
    </w:p>
    <w:p w14:paraId="0A4524BC" w14:textId="77777777" w:rsidR="005A5FCC" w:rsidRDefault="00A21C81">
      <w:pPr>
        <w:ind w:firstLine="238"/>
      </w:pPr>
      <w:r>
        <w:rPr>
          <w:rFonts w:cs="EB Garamond"/>
          <w:kern w:val="16"/>
          <w14:ligatures w14:val="standardContextual"/>
        </w:rPr>
        <w:t>Dessa natureza indenizatória extraem-se consequências processuais relevantes, bem apontadas por Castro e Lazzari (2025): a fixação da data de início do benefício não depende de cessação da atividade laborativa, e a prova pericial deve aferir a redução da capacidade — não a incapacidade total — para o trabalho habitualmente exercido.</w:t>
      </w:r>
    </w:p>
    <w:p w14:paraId="199EE5D7" w14:textId="77777777" w:rsidR="005A5FCC" w:rsidRDefault="00A21C81">
      <w:pPr>
        <w:ind w:firstLine="238"/>
      </w:pPr>
      <w:r>
        <w:rPr>
          <w:rFonts w:cs="EB Garamond"/>
          <w:kern w:val="16"/>
          <w14:ligatures w14:val="standardContextual"/>
        </w:rPr>
        <w:t>Ibrahim (2025) sublinha que essa feição indenizatória singulariza o auxílio-acidente no rol de benefícios do RGPS: por não se destinar a substituir rendimentos, mas a compensar perda funcional permanente, ele convive com a remuneração do trabalho e, justamente por isso, recebeu da lei tratamento próprio nas regras de acumulação. Convém precisar, todavia, que essa natureza compensatória não retira o auxílio-acidente das bases de cálculo previdenciárias: ele integra o salário de contribuição para o cálculo de aposentadorias futuras (art. 31, examinado na seção 15.12) e, quando acumulado com pensão por morte, submete-se ao escalonamento do art. 24 da EC 103/2019 (seções 15.13 e 15.19). O que distingue o benefício, portanto, não é uma suposta imunidade às bases de cálculo, mas a compatibilidade com a renda do trabalho e o regime peculiar de acumulação que dela decorre.</w:t>
      </w:r>
    </w:p>
    <w:p w14:paraId="7FE41CA7"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15.4 Fato gerador: consolidação das lesões com redução da capacidade</w:t>
      </w:r>
    </w:p>
    <w:p w14:paraId="6D2C31AB"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537A68D4" w14:textId="77777777" w:rsidR="005A5FCC" w:rsidRDefault="00A21C81">
      <w:r>
        <w:rPr>
          <w:rFonts w:cs="EB Garamond"/>
          <w:kern w:val="16"/>
          <w14:ligatures w14:val="standardContextual"/>
        </w:rPr>
        <w:t xml:space="preserve"> fato gerador do auxílio-acidente, conforme o art. 86, caput, da Lei n. 8.213/91, exige a presença simultânea de três elementos: (a) acidente de qualquer natureza; (b) consolidação das lesões; e (c) sequelas que impliquem redução da capacidade para o trabalho habitualmente exercido.</w:t>
      </w:r>
    </w:p>
    <w:p w14:paraId="1A1462A9" w14:textId="77777777" w:rsidR="005A5FCC" w:rsidRDefault="00A21C81">
      <w:pPr>
        <w:ind w:firstLine="238"/>
      </w:pPr>
      <w:r>
        <w:rPr>
          <w:rFonts w:cs="EB Garamond"/>
          <w:b/>
          <w:kern w:val="16"/>
          <w14:ligatures w14:val="standardContextual"/>
        </w:rPr>
        <w:t>Acidente de qualquer natureza.</w:t>
      </w:r>
      <w:r>
        <w:rPr>
          <w:rFonts w:cs="EB Garamond"/>
          <w:kern w:val="16"/>
          <w14:ligatures w14:val="standardContextual"/>
        </w:rPr>
        <w:t xml:space="preserve"> A expressão "acidente de qualquer natureza" é mais ampla que "acidente do trabalho" (art. 19) e abrange todo evento súbito e traumático, de origem exógena, que cause lesão ao segurado. A TNU, no </w:t>
      </w:r>
      <w:r>
        <w:rPr>
          <w:rFonts w:cs="EB Garamond"/>
          <w:kern w:val="16"/>
          <w14:ligatures w14:val="standardContextual"/>
        </w:rPr>
        <w:lastRenderedPageBreak/>
        <w:t>Tema 269 (PEDILEF 0031628-86.2017.4.02.5054/ES, j. 05/05/2022), fixou tese definindo o conceito: "O conceito de acidente de qualquer natureza, para os fins do art. 86 da Lei 8.213/91 (auxílio-acidente), consiste em evento súbito e de origem traumática, por exposição a agentes exógenos físicos, químicos ou biológicos, ressalvados os casos de acidente do trabalho típicos ou por equiparação, caracterizados na forma dos arts. 19 a 21 da Lei 8.213/91."</w:t>
      </w:r>
    </w:p>
    <w:p w14:paraId="1B19B87A" w14:textId="77777777" w:rsidR="005A5FCC" w:rsidRDefault="00A21C81">
      <w:pPr>
        <w:ind w:firstLine="238"/>
      </w:pPr>
      <w:r>
        <w:rPr>
          <w:rFonts w:cs="EB Garamond"/>
          <w:kern w:val="16"/>
          <w14:ligatures w14:val="standardContextual"/>
        </w:rPr>
        <w:t>A tese do Tema 269 é restritiva: exclui do conceito de "acidente de qualquer natureza" as doenças degenerativas, as condições inerentes ao envelhecimento e as enfermidades sem origem traumática. Assim, um segurado que desenvolve artrose cervical progressiva sem relação com qualquer trauma não faz jus ao auxílio-acidente por "acidente de qualquer natureza", embora possa fazer jus ao benefício se a condição configurar doença profissional ou do trabalho (arts. 20-21), hipótese em que a competência será da Justiça Estadual.</w:t>
      </w:r>
    </w:p>
    <w:p w14:paraId="44C6D3F2" w14:textId="77777777" w:rsidR="005A5FCC" w:rsidRDefault="00A21C81">
      <w:pPr>
        <w:ind w:firstLine="238"/>
      </w:pPr>
      <w:r>
        <w:rPr>
          <w:rFonts w:cs="EB Garamond"/>
          <w:b/>
          <w:kern w:val="16"/>
          <w14:ligatures w14:val="standardContextual"/>
        </w:rPr>
        <w:t>Consolidação das lesões.</w:t>
      </w:r>
      <w:r>
        <w:rPr>
          <w:rFonts w:cs="EB Garamond"/>
          <w:kern w:val="16"/>
          <w14:ligatures w14:val="standardContextual"/>
        </w:rPr>
        <w:t xml:space="preserve"> A consolidação é o momento em que as lesões atingem estabilidade clínica — não há mais evolução esperada, seja para melhora, seja para piora. A consolidação distingue-se da cura: o segurado pode ter lesões consolidadas (estáveis) que resultam em sequelas permanentes. Na prática, o momento da consolidação é aferido pela perícia médica e corresponde, na maior parte dos casos, à cessação do auxílio por incapacidade temporária — momento em que o INSS ou o juiz reconhece que o segurado recuperou a capacidade para o trabalho, ainda que com sequelas.</w:t>
      </w:r>
    </w:p>
    <w:p w14:paraId="1ABDCA86" w14:textId="77777777" w:rsidR="005A5FCC" w:rsidRDefault="00A21C81">
      <w:pPr>
        <w:ind w:firstLine="238"/>
      </w:pPr>
      <w:r>
        <w:rPr>
          <w:rFonts w:cs="EB Garamond"/>
          <w:b/>
          <w:kern w:val="16"/>
          <w14:ligatures w14:val="standardContextual"/>
        </w:rPr>
        <w:t>Redução da capacidade para o trabalho habitual.</w:t>
      </w:r>
      <w:r>
        <w:rPr>
          <w:rFonts w:cs="EB Garamond"/>
          <w:kern w:val="16"/>
          <w14:ligatures w14:val="standardContextual"/>
        </w:rPr>
        <w:t xml:space="preserve"> O elemento central é a redução, não a perda total, da capacidade para o trabalho que o segurado habitualmente exercia. A lei exige: (i) que haja redução efetiva (não meramente potencial); (ii) que essa redução se refira à atividade habitual do segurado; e (iii) que a redução seja permanente (consolidada). Não se exige que o segurado esteja impedido de trabalhar, ao contrário, o auxílio-acidente pressupõe que ele pode e deve continuar trabalhando, mas com capacidade diminuída.</w:t>
      </w:r>
    </w:p>
    <w:tbl>
      <w:tblPr>
        <w:tblW w:w="5000" w:type="pct"/>
        <w:jc w:val="center"/>
        <w:tblLayout w:type="fixed"/>
        <w:tblLook w:val="04A0" w:firstRow="1" w:lastRow="0" w:firstColumn="1" w:lastColumn="0" w:noHBand="0" w:noVBand="1"/>
      </w:tblPr>
      <w:tblGrid>
        <w:gridCol w:w="6311"/>
      </w:tblGrid>
      <w:tr w:rsidR="005A5FCC" w14:paraId="529FFB22"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7E0F47D3" w14:textId="77777777" w:rsidR="005A5FCC" w:rsidRDefault="00A21C81">
            <w:pPr>
              <w:spacing w:after="60" w:line="240" w:lineRule="auto"/>
              <w:jc w:val="left"/>
            </w:pPr>
            <w:r>
              <w:rPr>
                <w:rFonts w:ascii="Noto Sans" w:hAnsi="Noto Sans" w:cs="Noto Sans"/>
                <w:b/>
                <w:caps/>
                <w:color w:val="B78B37"/>
                <w:kern w:val="16"/>
                <w:sz w:val="16"/>
                <w14:ligatures w14:val="standardContextual"/>
              </w:rPr>
              <w:lastRenderedPageBreak/>
              <w:t>ATENÇÃO</w:t>
            </w:r>
          </w:p>
          <w:p w14:paraId="2B435EFE" w14:textId="77777777" w:rsidR="005A5FCC" w:rsidRDefault="00A21C81">
            <w:pPr>
              <w:spacing w:after="60" w:line="247" w:lineRule="auto"/>
            </w:pPr>
            <w:r>
              <w:rPr>
                <w:rFonts w:cs="EB Garamond"/>
                <w:kern w:val="16"/>
                <w:sz w:val="19"/>
                <w14:ligatures w14:val="standardContextual"/>
              </w:rPr>
              <w:t>A distinção entre "redução da capacidade" (auxílio-acidente) e "incapacidade" (auxílio por incapacidade temporária ou aposentadoria por incapacidade permanente) é essencial. Se o segurado está incapaz para o trabalho, o benefício devido é o auxílio por incapacidade temporária ou a aposentadoria por incapacidade permanente, não o auxílio-acidente. O auxílio-acidente pressupõe capacidade laborativa residual, ainda que reduzida.</w:t>
            </w:r>
          </w:p>
        </w:tc>
      </w:tr>
    </w:tbl>
    <w:p w14:paraId="5E721E6B" w14:textId="77777777" w:rsidR="005A5FCC" w:rsidRDefault="005A5FCC">
      <w:pPr>
        <w:spacing w:after="80" w:line="240" w:lineRule="auto"/>
      </w:pPr>
    </w:p>
    <w:p w14:paraId="5B05CB42"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15.5 Segurados beneficiários e exclusões</w:t>
      </w:r>
    </w:p>
    <w:p w14:paraId="08537B65"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05B1920F" w14:textId="77777777" w:rsidR="005A5FCC" w:rsidRDefault="00A21C81">
      <w:r>
        <w:rPr>
          <w:rFonts w:cs="EB Garamond"/>
          <w:kern w:val="16"/>
          <w14:ligatures w14:val="standardContextual"/>
        </w:rPr>
        <w:t xml:space="preserve"> art. 18, §1º, da Lei n. 8.213/91 restringe o auxílio-acidente a determinadas categorias de segurados. São beneficiários:</w:t>
      </w:r>
    </w:p>
    <w:p w14:paraId="083CFE0D" w14:textId="77777777" w:rsidR="005A5FCC" w:rsidRDefault="00A21C81">
      <w:pPr>
        <w:ind w:firstLine="238"/>
      </w:pPr>
      <w:r>
        <w:rPr>
          <w:rFonts w:cs="EB Garamond"/>
          <w:b/>
          <w:kern w:val="16"/>
          <w14:ligatures w14:val="standardContextual"/>
        </w:rPr>
        <w:t>a) Segurado empregado</w:t>
      </w:r>
      <w:r>
        <w:rPr>
          <w:rFonts w:cs="EB Garamond"/>
          <w:kern w:val="16"/>
          <w14:ligatures w14:val="standardContextual"/>
        </w:rPr>
        <w:t xml:space="preserve"> (art. 11, I): a categoria mais numerosa e que gera o maior volume de auxílios-acidente, tanto na via administrativa quanto na judicial.</w:t>
      </w:r>
    </w:p>
    <w:p w14:paraId="26EAFFD5" w14:textId="77777777" w:rsidR="005A5FCC" w:rsidRDefault="00A21C81">
      <w:pPr>
        <w:ind w:firstLine="238"/>
      </w:pPr>
      <w:r>
        <w:rPr>
          <w:rFonts w:cs="EB Garamond"/>
          <w:b/>
          <w:kern w:val="16"/>
          <w14:ligatures w14:val="standardContextual"/>
        </w:rPr>
        <w:t>b) Empregado doméstico</w:t>
      </w:r>
      <w:r>
        <w:rPr>
          <w:rFonts w:cs="EB Garamond"/>
          <w:kern w:val="16"/>
          <w14:ligatures w14:val="standardContextual"/>
        </w:rPr>
        <w:t xml:space="preserve"> (art. 11, II): incluído pela Lei Complementar n. 150/2015, que equiparou o empregado doméstico aos demais empregados para fins de proteção acidentária. Antes da LC 150/2015, o empregado doméstico era excluído do auxílio-acidente — exclusão amplamente criticada pela doutrina como inconstitucional.</w:t>
      </w:r>
    </w:p>
    <w:p w14:paraId="20655051" w14:textId="77777777" w:rsidR="005A5FCC" w:rsidRDefault="00A21C81">
      <w:pPr>
        <w:ind w:firstLine="238"/>
      </w:pPr>
      <w:r>
        <w:rPr>
          <w:rFonts w:cs="EB Garamond"/>
          <w:b/>
          <w:kern w:val="16"/>
          <w14:ligatures w14:val="standardContextual"/>
        </w:rPr>
        <w:t>c) Trabalhador avulso</w:t>
      </w:r>
      <w:r>
        <w:rPr>
          <w:rFonts w:cs="EB Garamond"/>
          <w:kern w:val="16"/>
          <w14:ligatures w14:val="standardContextual"/>
        </w:rPr>
        <w:t xml:space="preserve"> (art. 11, VI): segurado que presta serviço sem vínculo empregatício a diversas empresas, com intermediação obrigatória do órgão gestor de mão de obra (OGMO) ou sindicato.</w:t>
      </w:r>
    </w:p>
    <w:p w14:paraId="69C70745" w14:textId="77777777" w:rsidR="005A5FCC" w:rsidRDefault="00A21C81">
      <w:pPr>
        <w:ind w:firstLine="238"/>
      </w:pPr>
      <w:r>
        <w:rPr>
          <w:rFonts w:cs="EB Garamond"/>
          <w:b/>
          <w:kern w:val="16"/>
          <w14:ligatures w14:val="standardContextual"/>
        </w:rPr>
        <w:t>d) Segurado especial</w:t>
      </w:r>
      <w:r>
        <w:rPr>
          <w:rFonts w:cs="EB Garamond"/>
          <w:kern w:val="16"/>
          <w14:ligatures w14:val="standardContextual"/>
        </w:rPr>
        <w:t xml:space="preserve"> (art. 11, VII): o trabalhador rural em regime de economia familiar, o pescador artesanal, o indígena e demais categorias do inciso VII. O segurado especial faz jus ao auxílio-acidente independentemente de contribuições facultativas — direito que o TNU reafirmou no Tema 322 ao determinar a inclusão dos valores de auxílio-acidente no cálculo da aposentadoria por idade rural. Registre-se, desde logo, que a dispensa de contribuição facultativa não significa que esta seja relevante para o valor do benefício: na ausência de recolhimento facultativo, o auxílio-acidente do segurado especial é calculado sobre um </w:t>
      </w:r>
      <w:r>
        <w:rPr>
          <w:rFonts w:cs="EB Garamond"/>
          <w:kern w:val="16"/>
          <w14:ligatures w14:val="standardContextual"/>
        </w:rPr>
        <w:lastRenderedPageBreak/>
        <w:t>salário mínimo, resultando em prestação equivalente a meio salário mínimo (a sistemática é detalhada na seção 15.14).</w:t>
      </w:r>
    </w:p>
    <w:p w14:paraId="136EC5B9" w14:textId="77777777" w:rsidR="005A5FCC" w:rsidRDefault="00A21C81">
      <w:pPr>
        <w:ind w:firstLine="238"/>
      </w:pPr>
      <w:r>
        <w:rPr>
          <w:rFonts w:cs="EB Garamond"/>
          <w:b/>
          <w:kern w:val="16"/>
          <w14:ligatures w14:val="standardContextual"/>
        </w:rPr>
        <w:t>Segurados excluídos:</w:t>
      </w:r>
      <w:r>
        <w:rPr>
          <w:rFonts w:cs="EB Garamond"/>
          <w:kern w:val="16"/>
          <w14:ligatures w14:val="standardContextual"/>
        </w:rPr>
        <w:t xml:space="preserve"> O contribuinte individual (art. 11, V) e o segurado facultativo (art. 13) não têm direito ao auxílio-acidente. A exclusão decorre da literalidade do art. 18, §1º, que limita o rol de beneficiários. A razão frequentemente invocada é que essas categorias não mantêm relação de subordinação que justifique a proteção acidentária, argumento que a doutrina minoritária contesta, sustentando violação ao princípio da universalidade de cobertura (art. 194, parágrafo único, I, CF). Horvath Júnior (2022) critica a exclusão, assinalando que o princípio da universalidade deveria alcançar todas as categorias de segurados, independentemente da natureza do vínculo. Reconhecemos a força do argumento de </w:t>
      </w:r>
      <w:r>
        <w:rPr>
          <w:rFonts w:cs="EB Garamond"/>
          <w:i/>
          <w:kern w:val="16"/>
          <w14:ligatures w14:val="standardContextual"/>
        </w:rPr>
        <w:t>lege ferenda</w:t>
      </w:r>
      <w:r>
        <w:rPr>
          <w:rFonts w:cs="EB Garamond"/>
          <w:kern w:val="16"/>
          <w14:ligatures w14:val="standardContextual"/>
        </w:rPr>
        <w:t>, mas, no direito posto, a restrição é inequívoca: enquanto não sobrevier alteração legislativa ou pronunciamento vinculante dos tribunais superiores, o contribuinte individual e o facultativo permanecem fora do alcance do benefício, cabendo ao magistrado dos JEFs aplicar a vedação legal.</w:t>
      </w:r>
    </w:p>
    <w:tbl>
      <w:tblPr>
        <w:tblW w:w="5000" w:type="pct"/>
        <w:jc w:val="center"/>
        <w:tblLayout w:type="fixed"/>
        <w:tblLook w:val="04A0" w:firstRow="1" w:lastRow="0" w:firstColumn="1" w:lastColumn="0" w:noHBand="0" w:noVBand="1"/>
      </w:tblPr>
      <w:tblGrid>
        <w:gridCol w:w="6311"/>
      </w:tblGrid>
      <w:tr w:rsidR="005A5FCC" w14:paraId="2A6931B2"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1BA41404" w14:textId="77777777" w:rsidR="005A5FCC" w:rsidRDefault="00A21C81">
            <w:pPr>
              <w:spacing w:after="60" w:line="240" w:lineRule="auto"/>
              <w:jc w:val="left"/>
            </w:pPr>
            <w:r>
              <w:rPr>
                <w:rFonts w:ascii="Noto Sans" w:hAnsi="Noto Sans" w:cs="Noto Sans"/>
                <w:b/>
                <w:caps/>
                <w:color w:val="4D6F8A"/>
                <w:kern w:val="16"/>
                <w:sz w:val="16"/>
                <w14:ligatures w14:val="standardContextual"/>
              </w:rPr>
              <w:t>JURISPRUDÊNCIA EM DESTAQUE</w:t>
            </w:r>
          </w:p>
          <w:p w14:paraId="00A08DB6" w14:textId="77777777" w:rsidR="005A5FCC" w:rsidRDefault="00A21C81">
            <w:pPr>
              <w:spacing w:after="60" w:line="247" w:lineRule="auto"/>
            </w:pPr>
            <w:r>
              <w:rPr>
                <w:rFonts w:cs="EB Garamond"/>
                <w:kern w:val="16"/>
                <w:sz w:val="19"/>
                <w14:ligatures w14:val="standardContextual"/>
              </w:rPr>
              <w:t>O TRF4 tem posição consolidada pela constitucionalidade da exclusão do contribuinte individual: "Não tem direito ao auxílio-acidente o contribuinte individual, ante a expressa exclusão legal prevista no art. 18, §1º, da Lei n. 8.213/91." A questão, contudo, não está pacificada no STJ ou no STF em sede de recurso repetitivo ou repercussão geral, o que deixa margem para decisões divergentes nos JEFs.</w:t>
            </w:r>
          </w:p>
        </w:tc>
      </w:tr>
    </w:tbl>
    <w:p w14:paraId="20A44472" w14:textId="77777777" w:rsidR="005A5FCC" w:rsidRDefault="005A5FCC">
      <w:pPr>
        <w:spacing w:after="80" w:line="240" w:lineRule="auto"/>
      </w:pPr>
    </w:p>
    <w:p w14:paraId="58E29308"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15.6 Dispensa de carência</w:t>
      </w:r>
    </w:p>
    <w:p w14:paraId="072F724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42402A8B" w14:textId="77777777" w:rsidR="005A5FCC" w:rsidRDefault="00A21C81">
      <w:r>
        <w:rPr>
          <w:rFonts w:cs="EB Garamond"/>
          <w:kern w:val="16"/>
          <w14:ligatures w14:val="standardContextual"/>
        </w:rPr>
        <w:t xml:space="preserve"> auxílio-acidente independe de carência (art. 26, I, da Lei n. 8.213/91 — v. Seção 3.3.1 para o tratamento completo da dispensa de carência). A dispensa é coerente com a natureza do benefício: a ocorrência de acidente é evento imprevisível, incompatível com a exigência de período contributivo mínimo.</w:t>
      </w:r>
    </w:p>
    <w:p w14:paraId="32ACF009" w14:textId="77777777" w:rsidR="005A5FCC" w:rsidRDefault="00A21C81">
      <w:pPr>
        <w:ind w:firstLine="238"/>
      </w:pPr>
      <w:r>
        <w:rPr>
          <w:rFonts w:cs="EB Garamond"/>
          <w:kern w:val="16"/>
          <w14:ligatures w14:val="standardContextual"/>
        </w:rPr>
        <w:t xml:space="preserve">A dispensa de carência não significa dispensa de qualidade de segurado. Para fazer jus ao auxílio-acidente, o segurado deve estar filiado ao RGPS e manter a </w:t>
      </w:r>
      <w:r>
        <w:rPr>
          <w:rFonts w:cs="EB Garamond"/>
          <w:kern w:val="16"/>
          <w14:ligatures w14:val="standardContextual"/>
        </w:rPr>
        <w:lastRenderedPageBreak/>
        <w:t>qualidade de segurado na data do acidente, conforme as regras do art. 15 da Lei n. 8.213/91 (período de graça), analisadas no Capítulo 3.</w:t>
      </w:r>
    </w:p>
    <w:p w14:paraId="2F81656F"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15.7 Acidente de qualquer natureza: acidente típico, de trajeto e doença ocupacional</w:t>
      </w:r>
    </w:p>
    <w:p w14:paraId="121D16D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0101DC79" w14:textId="77777777" w:rsidR="005A5FCC" w:rsidRDefault="00A21C81">
      <w:r>
        <w:rPr>
          <w:rFonts w:cs="EB Garamond"/>
          <w:kern w:val="16"/>
          <w14:ligatures w14:val="standardContextual"/>
        </w:rPr>
        <w:t xml:space="preserve"> correta classificação do evento que origina o auxílio-acidente é decisiva para a definição da competência jurisdicional e do regime jurídico aplicável. O sistema legal distingue três categorias:</w:t>
      </w:r>
    </w:p>
    <w:p w14:paraId="3F73C16F" w14:textId="77777777" w:rsidR="005A5FCC" w:rsidRDefault="00A21C81">
      <w:pPr>
        <w:ind w:firstLine="238"/>
      </w:pPr>
      <w:r>
        <w:rPr>
          <w:rFonts w:cs="EB Garamond"/>
          <w:b/>
          <w:kern w:val="16"/>
          <w14:ligatures w14:val="standardContextual"/>
        </w:rPr>
        <w:t>a) Acidente do trabalho típico (art. 19).</w:t>
      </w:r>
      <w:r>
        <w:rPr>
          <w:rFonts w:cs="EB Garamond"/>
          <w:kern w:val="16"/>
          <w14:ligatures w14:val="standardContextual"/>
        </w:rPr>
        <w:t xml:space="preserve"> É o acidente que ocorre pelo exercício do trabalho a serviço de empresa ou empregador doméstico, provocando lesão corporal ou perturbação funcional. Gera o auxílio-acidente acidentário (espécie B94 no sistema do INSS) e é de competência da Justiça Estadual (art. 109, I, CF; Súmulas 15/STJ e 501/STF).</w:t>
      </w:r>
    </w:p>
    <w:p w14:paraId="56D090FF" w14:textId="77777777" w:rsidR="005A5FCC" w:rsidRDefault="00A21C81">
      <w:pPr>
        <w:ind w:firstLine="238"/>
      </w:pPr>
      <w:r>
        <w:rPr>
          <w:rFonts w:cs="EB Garamond"/>
          <w:b/>
          <w:kern w:val="16"/>
          <w14:ligatures w14:val="standardContextual"/>
        </w:rPr>
        <w:t>b) Acidente do trabalho por equiparação (arts. 20-21).</w:t>
      </w:r>
      <w:r>
        <w:rPr>
          <w:rFonts w:cs="EB Garamond"/>
          <w:kern w:val="16"/>
          <w14:ligatures w14:val="standardContextual"/>
        </w:rPr>
        <w:t xml:space="preserve"> Incluem as doenças profissionais (produzidas pelo exercício do trabalho peculiar a determinada atividade — Anexo II do Decreto 3.048/99), as doenças do trabalho (adquiridas em função de condições especiais do trabalho), e os acidentes de trajeto, entre outras hipóteses. O regime jurídico é o mesmo do acidente típico: competência da Justiça Estadual.</w:t>
      </w:r>
    </w:p>
    <w:p w14:paraId="1A576B7E" w14:textId="77777777" w:rsidR="005A5FCC" w:rsidRDefault="00A21C81">
      <w:pPr>
        <w:ind w:firstLine="238"/>
      </w:pPr>
      <w:r>
        <w:rPr>
          <w:rFonts w:cs="EB Garamond"/>
          <w:b/>
          <w:kern w:val="16"/>
          <w14:ligatures w14:val="standardContextual"/>
        </w:rPr>
        <w:t>c) Acidente de qualquer natureza (art. 86, caput).</w:t>
      </w:r>
      <w:r>
        <w:rPr>
          <w:rFonts w:cs="EB Garamond"/>
          <w:kern w:val="16"/>
          <w14:ligatures w14:val="standardContextual"/>
        </w:rPr>
        <w:t xml:space="preserve"> Abrange todo acidente que não se enquadre nas hipóteses dos arts. 19 a 21: acidentes domésticos (queda em escada, queimadura), acidentes de trânsito fora do trajeto trabalho-residência, acidentes esportivos, agressões não vinculadas ao trabalho, entre outros. Gera o auxílio-acidente previdenciário (espécie B36 no sistema do INSS) e é de competência da Justiça Federal e dos JEFs.</w:t>
      </w:r>
    </w:p>
    <w:tbl>
      <w:tblPr>
        <w:tblW w:w="5000" w:type="pct"/>
        <w:jc w:val="center"/>
        <w:tblLayout w:type="fixed"/>
        <w:tblLook w:val="04A0" w:firstRow="1" w:lastRow="0" w:firstColumn="1" w:lastColumn="0" w:noHBand="0" w:noVBand="1"/>
      </w:tblPr>
      <w:tblGrid>
        <w:gridCol w:w="6311"/>
      </w:tblGrid>
      <w:tr w:rsidR="005A5FCC" w14:paraId="3EA17BCA"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26C386FC" w14:textId="77777777" w:rsidR="005A5FCC" w:rsidRDefault="00A21C81">
            <w:pPr>
              <w:spacing w:after="60" w:line="240" w:lineRule="auto"/>
              <w:jc w:val="left"/>
            </w:pPr>
            <w:r>
              <w:rPr>
                <w:rFonts w:ascii="Noto Sans" w:hAnsi="Noto Sans" w:cs="Noto Sans"/>
                <w:b/>
                <w:caps/>
                <w:color w:val="B78B37"/>
                <w:kern w:val="16"/>
                <w:sz w:val="16"/>
                <w14:ligatures w14:val="standardContextual"/>
              </w:rPr>
              <w:lastRenderedPageBreak/>
              <w:t>ATENÇÃO</w:t>
            </w:r>
          </w:p>
          <w:p w14:paraId="361E2C97" w14:textId="0048BF59" w:rsidR="005A5FCC" w:rsidRDefault="00A21C81">
            <w:pPr>
              <w:spacing w:after="60" w:line="247" w:lineRule="auto"/>
            </w:pPr>
            <w:r>
              <w:rPr>
                <w:rFonts w:cs="EB Garamond"/>
                <w:b/>
                <w:kern w:val="16"/>
                <w:sz w:val="19"/>
                <w14:ligatures w14:val="standardContextual"/>
              </w:rPr>
              <w:t>Atenção — Competência Jurisdicional</w:t>
            </w:r>
            <w:r>
              <w:rPr>
                <w:rFonts w:cs="EB Garamond"/>
                <w:kern w:val="16"/>
                <w:sz w:val="19"/>
                <w14:ligatures w14:val="standardContextual"/>
              </w:rPr>
              <w:t xml:space="preserve"> A definição da competência depende da causa de pedir e do pedido: se o segurado alega acidente do trabalho ou doença ocupacional (arts. 19-21), a competência é da Justiça Estadual, ainda que a ação seja contra o INSS. Se alega acidente de qualquer outra natureza (art. 86), a competência é da Justiça Federal/JEF. O juiz deve analisar a petição inicial para definir a competência, não pode alterar a qualificação jurídica do acidente para fins de remessa. Na prática dos JEFs, é frequente o recebimento de ações em que o segurado alega "acidente de qualquer </w:t>
            </w:r>
            <w:r w:rsidR="00C26DE5">
              <w:rPr>
                <w:rFonts w:cs="EB Garamond"/>
                <w:kern w:val="16"/>
                <w:sz w:val="19"/>
                <w14:ligatures w14:val="standardContextual"/>
              </w:rPr>
              <w:t>natureza”,</w:t>
            </w:r>
            <w:r>
              <w:rPr>
                <w:rFonts w:cs="EB Garamond"/>
                <w:kern w:val="16"/>
                <w:sz w:val="19"/>
                <w14:ligatures w14:val="standardContextual"/>
              </w:rPr>
              <w:t xml:space="preserve"> mas os fatos narrados configuram acidente do trabalho, hipótese em que o juiz deve declinar da competência para a Justiça Estadual.</w:t>
            </w:r>
          </w:p>
        </w:tc>
      </w:tr>
    </w:tbl>
    <w:p w14:paraId="5416D38A" w14:textId="77777777" w:rsidR="005A5FCC" w:rsidRDefault="005A5FCC">
      <w:pPr>
        <w:spacing w:after="80" w:line="240" w:lineRule="auto"/>
      </w:pPr>
    </w:p>
    <w:p w14:paraId="0ABE4933"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15.8 Redução da capacidade laborativa: critérios e controvérsias</w:t>
      </w:r>
    </w:p>
    <w:p w14:paraId="410AEADD"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5AE1091C" w14:textId="77777777" w:rsidR="005A5FCC" w:rsidRDefault="00A21C81">
      <w:r>
        <w:rPr>
          <w:rFonts w:cs="EB Garamond"/>
          <w:kern w:val="16"/>
          <w14:ligatures w14:val="standardContextual"/>
        </w:rPr>
        <w:t xml:space="preserve"> aferição da "redução da capacidade para o trabalho que habitualmente exercia" é o ponto mais sensível da concessão do auxílio-acidente. Ao contrário dos benefícios por incapacidade, em que a perícia avalia se o segurado está ou não incapaz, no auxílio-acidente a perícia deve avaliar se houve redução da capacidade, sem que o segurado esteja necessariamente incapaz.</w:t>
      </w:r>
    </w:p>
    <w:p w14:paraId="0627556F" w14:textId="77777777" w:rsidR="005A5FCC" w:rsidRDefault="00A21C81">
      <w:pPr>
        <w:ind w:firstLine="238"/>
      </w:pPr>
      <w:r>
        <w:rPr>
          <w:rFonts w:cs="EB Garamond"/>
          <w:b/>
          <w:kern w:val="16"/>
          <w14:ligatures w14:val="standardContextual"/>
        </w:rPr>
        <w:t>Critérios periciais.</w:t>
      </w:r>
      <w:r>
        <w:rPr>
          <w:rFonts w:cs="EB Garamond"/>
          <w:kern w:val="16"/>
          <w14:ligatures w14:val="standardContextual"/>
        </w:rPr>
        <w:t xml:space="preserve"> A perícia judicial no auxílio-acidente deve responder a três quesitos fundamentais: (i) há sequela consolidada decorrente de acidente? (ii) essa sequela implica redução da capacidade para o trabalho habitual? (iii) essa redução é permanente? A resposta afirmativa às três perguntas autoriza a concessão.</w:t>
      </w:r>
    </w:p>
    <w:p w14:paraId="2E054A22" w14:textId="54A63570" w:rsidR="005A5FCC" w:rsidRDefault="00A21C81">
      <w:pPr>
        <w:ind w:firstLine="238"/>
      </w:pPr>
      <w:r>
        <w:rPr>
          <w:rFonts w:cs="EB Garamond"/>
          <w:kern w:val="16"/>
          <w14:ligatures w14:val="standardContextual"/>
        </w:rPr>
        <w:t>Não existe, na legislação brasileira, uma tabela que gradue percentuais de redução da capacidade para fins de auxílio-acidente. A avaliação é qualitativa, não quantitativa — o perito deve aferir se a sequela efetivamente compromete o desempenho do segurado na atividade que habitualmente exercia. Essa ausência de critérios objetivos é fonte permanente de controvérsia</w:t>
      </w:r>
      <w:r w:rsidR="00762262">
        <w:rPr>
          <w:rFonts w:cs="EB Garamond"/>
          <w:kern w:val="16"/>
          <w14:ligatures w14:val="standardContextual"/>
        </w:rPr>
        <w:t>. A</w:t>
      </w:r>
      <w:r>
        <w:rPr>
          <w:rFonts w:cs="EB Garamond"/>
          <w:kern w:val="16"/>
          <w14:ligatures w14:val="standardContextual"/>
        </w:rPr>
        <w:t xml:space="preserve"> falta de parâmetros legais objetivos para a aferição da redução da capacidade transfere ao perito judicial e ao magistrado uma margem de valoração que exige atenção às condições concretas do segurado, e não apenas ao quadro clínico isoladamente considerado.</w:t>
      </w:r>
    </w:p>
    <w:p w14:paraId="1BF9C6C8" w14:textId="77777777" w:rsidR="005A5FCC" w:rsidRDefault="00A21C81">
      <w:pPr>
        <w:ind w:firstLine="238"/>
      </w:pPr>
      <w:r>
        <w:rPr>
          <w:rFonts w:cs="EB Garamond"/>
          <w:b/>
          <w:kern w:val="16"/>
          <w14:ligatures w14:val="standardContextual"/>
        </w:rPr>
        <w:lastRenderedPageBreak/>
        <w:t>Atividade habitual como referência.</w:t>
      </w:r>
      <w:r>
        <w:rPr>
          <w:rFonts w:cs="EB Garamond"/>
          <w:kern w:val="16"/>
          <w14:ligatures w14:val="standardContextual"/>
        </w:rPr>
        <w:t xml:space="preserve"> A lei toma como referência o trabalho que o segurado "habitualmente exercia", não qualquer trabalho. Um pianista profissional que perde a mobilidade de um dedo sofre redução da capacidade para o trabalho habitual, ainda que possa exercer outras atividades. Essa análise contextual é essencial e exige que a perícia conheça não apenas o quadro clínico, mas a atividade profissional do segurado.</w:t>
      </w:r>
    </w:p>
    <w:p w14:paraId="584BA49F" w14:textId="77777777" w:rsidR="005A5FCC" w:rsidRDefault="00A21C81">
      <w:pPr>
        <w:ind w:firstLine="238"/>
      </w:pPr>
      <w:r>
        <w:rPr>
          <w:rFonts w:cs="EB Garamond"/>
          <w:b/>
          <w:kern w:val="16"/>
          <w14:ligatures w14:val="standardContextual"/>
        </w:rPr>
        <w:t>Grau mínimo de redução.</w:t>
      </w:r>
      <w:r>
        <w:rPr>
          <w:rFonts w:cs="EB Garamond"/>
          <w:kern w:val="16"/>
          <w14:ligatures w14:val="standardContextual"/>
        </w:rPr>
        <w:t xml:space="preserve"> A questão de se haveria um grau mínimo de redução necessário para a concessão foi enfrentada pela TNU. O entendimento consolidado é que o auxílio-acidente é devido ainda que a redução seja mínima, desde que efetiva e permanente — posição que se harmoniza com a Súmula 44/STJ (que afasta critérios regulamentares rígidos de grau mínimo) e com a finalidade indenizatória do benefício.</w:t>
      </w:r>
    </w:p>
    <w:p w14:paraId="68F749EA" w14:textId="77777777" w:rsidR="005A5FCC" w:rsidRDefault="00A21C81">
      <w:pPr>
        <w:ind w:firstLine="238"/>
      </w:pPr>
      <w:r>
        <w:rPr>
          <w:rFonts w:cs="EB Garamond"/>
          <w:b/>
          <w:kern w:val="16"/>
          <w14:ligatures w14:val="standardContextual"/>
        </w:rPr>
        <w:t>Condições pessoais do segurado.</w:t>
      </w:r>
      <w:r>
        <w:rPr>
          <w:rFonts w:cs="EB Garamond"/>
          <w:kern w:val="16"/>
          <w14:ligatures w14:val="standardContextual"/>
        </w:rPr>
        <w:t xml:space="preserve"> A jurisprudência dos JEFs tem valorizado, com acerto, a análise das condições pessoais do segurado, idade, grau de escolaridade, histórico laboral, possibilidade de reabilitação, na aferição da redução da capacidade. Segurado idoso, com baixa escolaridade e histórico exclusivo de trabalho braçal, que sofre sequela em membro superior, terá sua capacidade mais gravemente reduzida do que segurado jovem, qualificado, com possibilidade de adaptação funcional.</w:t>
      </w:r>
    </w:p>
    <w:tbl>
      <w:tblPr>
        <w:tblW w:w="5000" w:type="pct"/>
        <w:jc w:val="center"/>
        <w:tblLayout w:type="fixed"/>
        <w:tblLook w:val="04A0" w:firstRow="1" w:lastRow="0" w:firstColumn="1" w:lastColumn="0" w:noHBand="0" w:noVBand="1"/>
      </w:tblPr>
      <w:tblGrid>
        <w:gridCol w:w="6311"/>
      </w:tblGrid>
      <w:tr w:rsidR="005A5FCC" w14:paraId="46469A1D"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71DB9442"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0FD3AAA8" w14:textId="77777777" w:rsidR="005A5FCC" w:rsidRDefault="00A21C81">
            <w:pPr>
              <w:spacing w:after="60" w:line="247" w:lineRule="auto"/>
            </w:pPr>
            <w:r>
              <w:rPr>
                <w:rFonts w:cs="EB Garamond"/>
                <w:kern w:val="16"/>
                <w:sz w:val="19"/>
                <w14:ligatures w14:val="standardContextual"/>
              </w:rPr>
              <w:t>Segurado de 52 anos, pedreiro, sofre queda de escada em casa e fratura o punho direito. Após a consolidação, a perícia constata redução de 30% da força de preensão e limitação de movimento do punho. O INSS indefere o auxílio-acidente alegando que a redução é "mínima". Na ação perante o JEF, o perito judicial confirma a sequela e o juiz concede o benefício, fundamentando: (i) a redução é efetiva e permanente, ainda que percentualmente pequena; (ii) a atividade habitual de pedreiro exige força manual intensa, de modo que mesmo uma redução de 30% compromete significativamente o desempenho; (iii) as condições pessoais do segurado (baixa escolaridade, idade avançada, trabalho exclusivamente braçal) agravam o impacto funcional. A DIB é fixada no dia seguinte à cessação do auxílio por incapacidade temporária (Tema 862/STJ).</w:t>
            </w:r>
          </w:p>
        </w:tc>
      </w:tr>
    </w:tbl>
    <w:p w14:paraId="1D933563" w14:textId="77777777" w:rsidR="005A5FCC" w:rsidRDefault="005A5FCC">
      <w:pPr>
        <w:spacing w:after="80" w:line="240" w:lineRule="auto"/>
      </w:pPr>
    </w:p>
    <w:p w14:paraId="3373CB31"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15.9 Valor do benefício: 50% do salário-de-benefício</w:t>
      </w:r>
    </w:p>
    <w:p w14:paraId="7C46E16D"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46430F81" w14:textId="77777777" w:rsidR="005A5FCC" w:rsidRDefault="00A21C81">
      <w:r>
        <w:rPr>
          <w:rFonts w:cs="EB Garamond"/>
          <w:kern w:val="16"/>
          <w14:ligatures w14:val="standardContextual"/>
        </w:rPr>
        <w:t xml:space="preserve"> valor do auxílio-acidente corresponde a 50% do salário-de-benefício, conforme o art. 86, §1º, da Lei n. 8.213/91 (redação dada pela Lei n. 9.032/95).</w:t>
      </w:r>
    </w:p>
    <w:p w14:paraId="15B699EA" w14:textId="77777777" w:rsidR="005A5FCC" w:rsidRDefault="00A21C81">
      <w:pPr>
        <w:ind w:firstLine="238"/>
      </w:pPr>
      <w:r>
        <w:rPr>
          <w:rFonts w:cs="EB Garamond"/>
          <w:b/>
          <w:kern w:val="16"/>
          <w14:ligatures w14:val="standardContextual"/>
        </w:rPr>
        <w:t>Evolução do percentual.</w:t>
      </w:r>
      <w:r>
        <w:rPr>
          <w:rFonts w:cs="EB Garamond"/>
          <w:kern w:val="16"/>
          <w14:ligatures w14:val="standardContextual"/>
        </w:rPr>
        <w:t xml:space="preserve"> Antes da Lei n. 9.032/95, o auxílio-acidente era calculado em três faixas: 30% (redução leve), 40% (redução moderada) e 60% (redução grave) do salário de contribuição. A unificação em 50% do salário-de-benefício simplificou o cálculo e eliminou a necessidade de graduar a redução — fonte perene de controvérsia pericial.</w:t>
      </w:r>
    </w:p>
    <w:p w14:paraId="193B5584" w14:textId="77777777" w:rsidR="005A5FCC" w:rsidRDefault="00A21C81">
      <w:pPr>
        <w:ind w:firstLine="238"/>
      </w:pPr>
      <w:r>
        <w:rPr>
          <w:rFonts w:cs="EB Garamond"/>
          <w:b/>
          <w:kern w:val="16"/>
          <w14:ligatures w14:val="standardContextual"/>
        </w:rPr>
        <w:t>Cálculo antes da EC 103/2019 (até 12/11/2019).</w:t>
      </w:r>
      <w:r>
        <w:rPr>
          <w:rFonts w:cs="EB Garamond"/>
          <w:kern w:val="16"/>
          <w14:ligatures w14:val="standardContextual"/>
        </w:rPr>
        <w:t xml:space="preserve"> O salário-de-benefício correspondia à média aritmética simples dos 80% maiores salários de contribuição desde julho de 1994 até a data do acidente (ou da cessação do auxílio por incapacidade temporária, conforme o caso). O auxílio-acidente era, então, 50% dessa média.</w:t>
      </w:r>
    </w:p>
    <w:p w14:paraId="144C6293" w14:textId="77777777" w:rsidR="005A5FCC" w:rsidRDefault="00A21C81">
      <w:pPr>
        <w:ind w:firstLine="238"/>
      </w:pPr>
      <w:r>
        <w:rPr>
          <w:rFonts w:cs="EB Garamond"/>
          <w:b/>
          <w:kern w:val="16"/>
          <w14:ligatures w14:val="standardContextual"/>
        </w:rPr>
        <w:t>Cálculo após a EC 103/2019 (a partir de 13/11/2019).</w:t>
      </w:r>
      <w:r>
        <w:rPr>
          <w:rFonts w:cs="EB Garamond"/>
          <w:kern w:val="16"/>
          <w14:ligatures w14:val="standardContextual"/>
        </w:rPr>
        <w:t xml:space="preserve"> O salário-de-benefício passou a corresponder à média aritmética simples de todos os salários de contribuição desde julho de 1994. A inclusão dos menores salários de contribuição tende a reduzir a média e, consequentemente, o valor do auxílio-acidente. O impacto é especialmente relevante para segurados com trajetória contributiva irregular, períodos de contribuição pelo piso alternados com períodos de contribuição sobre valores maiores.</w:t>
      </w:r>
    </w:p>
    <w:tbl>
      <w:tblPr>
        <w:tblW w:w="5000" w:type="pct"/>
        <w:jc w:val="center"/>
        <w:tblLayout w:type="fixed"/>
        <w:tblLook w:val="04A0" w:firstRow="1" w:lastRow="0" w:firstColumn="1" w:lastColumn="0" w:noHBand="0" w:noVBand="1"/>
      </w:tblPr>
      <w:tblGrid>
        <w:gridCol w:w="6311"/>
      </w:tblGrid>
      <w:tr w:rsidR="005A5FCC" w14:paraId="48FCAA60"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516E6F07" w14:textId="77777777" w:rsidR="005A5FCC" w:rsidRDefault="00A21C81">
            <w:pPr>
              <w:spacing w:after="60" w:line="240" w:lineRule="auto"/>
              <w:jc w:val="left"/>
            </w:pPr>
            <w:r>
              <w:rPr>
                <w:rFonts w:ascii="Noto Sans" w:hAnsi="Noto Sans" w:cs="Noto Sans"/>
                <w:b/>
                <w:caps/>
                <w:color w:val="B78B37"/>
                <w:kern w:val="16"/>
                <w:sz w:val="16"/>
                <w14:ligatures w14:val="standardContextual"/>
              </w:rPr>
              <w:lastRenderedPageBreak/>
              <w:t>ATENÇÃO</w:t>
            </w:r>
          </w:p>
          <w:p w14:paraId="14A64047" w14:textId="0D9B5CBF" w:rsidR="005A5FCC" w:rsidRDefault="00A21C81">
            <w:pPr>
              <w:spacing w:after="60" w:line="247" w:lineRule="auto"/>
            </w:pPr>
            <w:r>
              <w:rPr>
                <w:rFonts w:cs="EB Garamond"/>
                <w:b/>
                <w:kern w:val="16"/>
                <w:sz w:val="19"/>
                <w14:ligatures w14:val="standardContextual"/>
              </w:rPr>
              <w:t>Atenção — Valor mínimo</w:t>
            </w:r>
            <w:r>
              <w:rPr>
                <w:rFonts w:cs="EB Garamond"/>
                <w:kern w:val="16"/>
                <w:sz w:val="19"/>
                <w14:ligatures w14:val="standardContextual"/>
              </w:rPr>
              <w:t xml:space="preserve"> Ao contrário da aposentadoria e dos benefícios por incapacidade, o auxílio-acidente não tem piso constitucional de um </w:t>
            </w:r>
            <w:r w:rsidR="009534A7">
              <w:rPr>
                <w:rFonts w:cs="EB Garamond"/>
                <w:kern w:val="16"/>
                <w:sz w:val="19"/>
                <w14:ligatures w14:val="standardContextual"/>
              </w:rPr>
              <w:t>salário-mínimo</w:t>
            </w:r>
            <w:r>
              <w:rPr>
                <w:rFonts w:cs="EB Garamond"/>
                <w:kern w:val="16"/>
                <w:sz w:val="19"/>
                <w14:ligatures w14:val="standardContextual"/>
              </w:rPr>
              <w:t xml:space="preserve">. Sua natureza indenizatória permite que o valor seja inferior ao mínimo. Para ilustrar a ordem de grandeza, tome-se o segurado cuja média de salários de contribuição equivale ao </w:t>
            </w:r>
            <w:r w:rsidR="009534A7">
              <w:rPr>
                <w:rFonts w:cs="EB Garamond"/>
                <w:kern w:val="16"/>
                <w:sz w:val="19"/>
                <w14:ligatures w14:val="standardContextual"/>
              </w:rPr>
              <w:t>salário-mínimo</w:t>
            </w:r>
            <w:r>
              <w:rPr>
                <w:rFonts w:cs="EB Garamond"/>
                <w:kern w:val="16"/>
                <w:sz w:val="19"/>
                <w14:ligatures w14:val="standardContextual"/>
              </w:rPr>
              <w:t>: o auxílio-acidente será de R$ 810,50 (50% do salário</w:t>
            </w:r>
            <w:r w:rsidR="009534A7">
              <w:rPr>
                <w:rFonts w:cs="EB Garamond"/>
                <w:kern w:val="16"/>
                <w:sz w:val="19"/>
                <w14:ligatures w14:val="standardContextual"/>
              </w:rPr>
              <w:t>-</w:t>
            </w:r>
            <w:r>
              <w:rPr>
                <w:rFonts w:cs="EB Garamond"/>
                <w:kern w:val="16"/>
                <w:sz w:val="19"/>
                <w14:ligatures w14:val="standardContextual"/>
              </w:rPr>
              <w:t xml:space="preserve">mínimo de R$ 1.621,00 em 2026). Esse patamar é apenas um ponto de referência, e o valor concreto varia conforme a trajetória contributiva: se a média do segurado for inferior ao </w:t>
            </w:r>
            <w:r w:rsidR="009534A7">
              <w:rPr>
                <w:rFonts w:cs="EB Garamond"/>
                <w:kern w:val="16"/>
                <w:sz w:val="19"/>
                <w14:ligatures w14:val="standardContextual"/>
              </w:rPr>
              <w:t>salário-mínimo</w:t>
            </w:r>
            <w:r>
              <w:rPr>
                <w:rFonts w:cs="EB Garamond"/>
                <w:kern w:val="16"/>
                <w:sz w:val="19"/>
                <w14:ligatures w14:val="standardContextual"/>
              </w:rPr>
              <w:t>, o benefício resultará em montante ainda menor que R$ 810,50; se a média for superior, o benefício será proporcionalmente maior, sempre correspondendo a 50% do salário-de-benefício apurado. Esses montantes modestos — sempre inferiores ao próprio salário-de-benefício que serviria de base à aposentadoria — explicam em parte o baixo volume de requerimentos administrativos.</w:t>
            </w:r>
          </w:p>
        </w:tc>
      </w:tr>
    </w:tbl>
    <w:p w14:paraId="202102C3" w14:textId="77777777" w:rsidR="005A5FCC" w:rsidRDefault="005A5FCC">
      <w:pPr>
        <w:spacing w:after="80" w:line="240" w:lineRule="auto"/>
      </w:pPr>
    </w:p>
    <w:p w14:paraId="2D73BD2C"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15.10 Data de início do benefício (DIB)</w:t>
      </w:r>
    </w:p>
    <w:p w14:paraId="4C2CFBA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74BF181F" w14:textId="77777777" w:rsidR="005A5FCC" w:rsidRDefault="00A21C81">
      <w:r>
        <w:rPr>
          <w:rFonts w:cs="EB Garamond"/>
          <w:kern w:val="16"/>
          <w14:ligatures w14:val="standardContextual"/>
        </w:rPr>
        <w:t xml:space="preserve"> fixação da data de início do auxílio-acidente é questão pacificada pelo STJ no Tema 862 (REsp 1.729.555/SP, Primeira Seção, Rel. Min. Assusete Magalhães, j. 09/06/2021): "O termo inicial do auxílio-acidente deve recair no dia seguinte ao da cessação do auxílio-doença que lhe deu origem, conforme determina o art. 86, § 2º, da Lei 8.213/91, observando-se a prescrição quinquenal da Súmula 85/STJ." A expressão "auxílio-doença" corresponde ao atual auxílio por incapacidade temporária (terminologia da EC 103/2019).</w:t>
      </w:r>
    </w:p>
    <w:p w14:paraId="620D5106" w14:textId="77777777" w:rsidR="005A5FCC" w:rsidRDefault="00A21C81">
      <w:pPr>
        <w:ind w:firstLine="238"/>
      </w:pPr>
      <w:r>
        <w:rPr>
          <w:rFonts w:cs="EB Garamond"/>
          <w:kern w:val="16"/>
          <w14:ligatures w14:val="standardContextual"/>
        </w:rPr>
        <w:t>A TNU, no Tema 315 (PEDILEF 5063339-35.2020.4.04.7100/RS, j. 18/10/2023), reafirmou a tese no âmbito dos JEFs, aplicando-a especificamente à hipótese em que o segurado não requereu prorrogação do auxílio por incapacidade temporária — questão que gerava divergência entre Turmas Recursais e que o Tema 315 pacificou ao confirmar que a DIB é automática, independentemente de qualquer ato do segurado.</w:t>
      </w:r>
    </w:p>
    <w:p w14:paraId="33EA4572" w14:textId="77777777" w:rsidR="005A5FCC" w:rsidRDefault="00A21C81">
      <w:pPr>
        <w:ind w:firstLine="238"/>
      </w:pPr>
      <w:r>
        <w:rPr>
          <w:rFonts w:cs="EB Garamond"/>
          <w:b/>
          <w:kern w:val="16"/>
          <w14:ligatures w14:val="standardContextual"/>
        </w:rPr>
        <w:t>Hipóteses de fixação da DIB:</w:t>
      </w:r>
    </w:p>
    <w:p w14:paraId="3D770054" w14:textId="77777777" w:rsidR="005A5FCC" w:rsidRDefault="00A21C81">
      <w:pPr>
        <w:ind w:firstLine="238"/>
      </w:pPr>
      <w:r>
        <w:rPr>
          <w:rFonts w:cs="EB Garamond"/>
          <w:b/>
          <w:kern w:val="16"/>
          <w14:ligatures w14:val="standardContextual"/>
        </w:rPr>
        <w:lastRenderedPageBreak/>
        <w:t>a) Auxílio-acidente precedido de auxílio por incapacidade temporária:</w:t>
      </w:r>
      <w:r>
        <w:rPr>
          <w:rFonts w:cs="EB Garamond"/>
          <w:kern w:val="16"/>
          <w14:ligatures w14:val="standardContextual"/>
        </w:rPr>
        <w:t xml:space="preserve"> DIB no dia seguinte à cessação do auxílio por incapacidade temporária (art. 86, §2º; Tema 862/STJ; Tema 315/TNU). Não importa se o segurado retornou ao trabalho, se pediu ou não prorrogação do auxílio por incapacidade temporária, ou se houve requerimento administrativo de auxílio-acidente.</w:t>
      </w:r>
    </w:p>
    <w:p w14:paraId="19546F29" w14:textId="77777777" w:rsidR="005A5FCC" w:rsidRDefault="00A21C81">
      <w:pPr>
        <w:ind w:firstLine="238"/>
      </w:pPr>
      <w:r>
        <w:rPr>
          <w:rFonts w:cs="EB Garamond"/>
          <w:b/>
          <w:kern w:val="16"/>
          <w14:ligatures w14:val="standardContextual"/>
        </w:rPr>
        <w:t>b) Auxílio-acidente sem auxílio por incapacidade temporária prévio:</w:t>
      </w:r>
      <w:r>
        <w:rPr>
          <w:rFonts w:cs="EB Garamond"/>
          <w:kern w:val="16"/>
          <w14:ligatures w14:val="standardContextual"/>
        </w:rPr>
        <w:t xml:space="preserve"> Quando a lesão não gerou afastamento superior a 15 dias (não houve concessão de auxílio por incapacidade temporária), mas resultou em sequelas permanentes, o auxílio-acidente é devido desde a data do requerimento administrativo — tese consolidada na edição 199 da Jurisprudência em Teses do STJ. Sem requerimento, o termo inicial é a data da citação do INSS.</w:t>
      </w:r>
    </w:p>
    <w:p w14:paraId="573926CC" w14:textId="77777777" w:rsidR="005A5FCC" w:rsidRDefault="00A21C81">
      <w:pPr>
        <w:ind w:firstLine="238"/>
      </w:pPr>
      <w:r>
        <w:rPr>
          <w:rFonts w:cs="EB Garamond"/>
          <w:b/>
          <w:kern w:val="16"/>
          <w14:ligatures w14:val="standardContextual"/>
        </w:rPr>
        <w:t>c) Concessão judicial:</w:t>
      </w:r>
      <w:r>
        <w:rPr>
          <w:rFonts w:cs="EB Garamond"/>
          <w:kern w:val="16"/>
          <w14:ligatures w14:val="standardContextual"/>
        </w:rPr>
        <w:t xml:space="preserve"> Quando o auxílio-acidente é concedido judicialmente sem prévio auxílio por incapacidade temporária e sem requerimento administrativo, a DIB é fixada na data da citação, momento em que o INSS toma ciência da pretensão.</w:t>
      </w:r>
    </w:p>
    <w:tbl>
      <w:tblPr>
        <w:tblW w:w="5000" w:type="pct"/>
        <w:jc w:val="center"/>
        <w:tblLayout w:type="fixed"/>
        <w:tblLook w:val="04A0" w:firstRow="1" w:lastRow="0" w:firstColumn="1" w:lastColumn="0" w:noHBand="0" w:noVBand="1"/>
      </w:tblPr>
      <w:tblGrid>
        <w:gridCol w:w="6311"/>
      </w:tblGrid>
      <w:tr w:rsidR="005A5FCC" w14:paraId="1E4B3017"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46925513" w14:textId="77777777" w:rsidR="005A5FCC" w:rsidRDefault="00A21C81">
            <w:pPr>
              <w:spacing w:after="60" w:line="240" w:lineRule="auto"/>
              <w:jc w:val="left"/>
            </w:pPr>
            <w:r>
              <w:rPr>
                <w:rFonts w:ascii="Noto Sans" w:hAnsi="Noto Sans" w:cs="Noto Sans"/>
                <w:b/>
                <w:caps/>
                <w:color w:val="4D6F8A"/>
                <w:kern w:val="16"/>
                <w:sz w:val="16"/>
                <w14:ligatures w14:val="standardContextual"/>
              </w:rPr>
              <w:t>JURISPRUDÊNCIA EM DESTAQUE</w:t>
            </w:r>
          </w:p>
          <w:p w14:paraId="76D68221" w14:textId="77777777" w:rsidR="005A5FCC" w:rsidRDefault="00A21C81">
            <w:pPr>
              <w:spacing w:after="60" w:line="247" w:lineRule="auto"/>
            </w:pPr>
            <w:r>
              <w:rPr>
                <w:rFonts w:cs="EB Garamond"/>
                <w:kern w:val="16"/>
                <w:sz w:val="19"/>
                <w14:ligatures w14:val="standardContextual"/>
              </w:rPr>
              <w:t>O STJ, na edição 199 da Jurisprudência em Teses, firmou ainda que "o laudo pericial não é parâmetro para fixação da data de início do auxílio-acidente, porquanto não atesta o momento efetivo em que a doença se instalou, apenas orienta o livre convencimento do juiz." Essa tese é relevante porque impede que o INSS ou o juiz fixem a DIB na data da perícia judicial, prática que retardaria injustificadamente o início do benefício.</w:t>
            </w:r>
          </w:p>
        </w:tc>
      </w:tr>
    </w:tbl>
    <w:p w14:paraId="45809ED3" w14:textId="77777777" w:rsidR="005A5FCC" w:rsidRDefault="005A5FCC">
      <w:pPr>
        <w:spacing w:after="80" w:line="240" w:lineRule="auto"/>
      </w:pPr>
    </w:p>
    <w:p w14:paraId="7259CE87"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15.11 Duração e cessação</w:t>
      </w:r>
    </w:p>
    <w:p w14:paraId="7A5514FD"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2D13292B" w14:textId="77777777" w:rsidR="005A5FCC" w:rsidRDefault="00A21C81">
      <w:r>
        <w:rPr>
          <w:rFonts w:cs="EB Garamond"/>
          <w:kern w:val="16"/>
          <w14:ligatures w14:val="standardContextual"/>
        </w:rPr>
        <w:t xml:space="preserve"> auxílio-acidente é benefício de duração determinada, embora potencialmente longa. Nos termos do art. 86, §1º, da Lei n. 8.213/91, o benefício será devido "até a véspera do início de qualquer aposentadoria ou até a data do óbito do segurado".</w:t>
      </w:r>
    </w:p>
    <w:p w14:paraId="531F28D1" w14:textId="77777777" w:rsidR="005A5FCC" w:rsidRDefault="00A21C81">
      <w:pPr>
        <w:ind w:firstLine="238"/>
      </w:pPr>
      <w:r>
        <w:rPr>
          <w:rFonts w:cs="EB Garamond"/>
          <w:b/>
          <w:kern w:val="16"/>
          <w14:ligatures w14:val="standardContextual"/>
        </w:rPr>
        <w:t>Hipóteses de cessação:</w:t>
      </w:r>
    </w:p>
    <w:p w14:paraId="6D6DBDBA" w14:textId="77777777" w:rsidR="005A5FCC" w:rsidRDefault="00A21C81">
      <w:pPr>
        <w:ind w:firstLine="238"/>
      </w:pPr>
      <w:r>
        <w:rPr>
          <w:rFonts w:cs="EB Garamond"/>
          <w:b/>
          <w:kern w:val="16"/>
          <w14:ligatures w14:val="standardContextual"/>
        </w:rPr>
        <w:lastRenderedPageBreak/>
        <w:t>a) Concessão de aposentadoria:</w:t>
      </w:r>
      <w:r>
        <w:rPr>
          <w:rFonts w:cs="EB Garamond"/>
          <w:kern w:val="16"/>
          <w14:ligatures w14:val="standardContextual"/>
        </w:rPr>
        <w:t xml:space="preserve"> O auxílio-acidente cessa na véspera do início de qualquer aposentadoria — por idade, por tempo de contribuição, especial, por incapacidade permanente, do segurado com deficiência ou programada. A regra aplica-se a qualquer modalidade de aposentadoria, não apenas à aposentadoria por incapacidade.</w:t>
      </w:r>
    </w:p>
    <w:p w14:paraId="261486AD" w14:textId="77777777" w:rsidR="005A5FCC" w:rsidRDefault="00A21C81">
      <w:pPr>
        <w:ind w:firstLine="238"/>
      </w:pPr>
      <w:r>
        <w:rPr>
          <w:rFonts w:cs="EB Garamond"/>
          <w:b/>
          <w:kern w:val="16"/>
          <w14:ligatures w14:val="standardContextual"/>
        </w:rPr>
        <w:t>b) Óbito do segurado:</w:t>
      </w:r>
      <w:r>
        <w:rPr>
          <w:rFonts w:cs="EB Garamond"/>
          <w:kern w:val="16"/>
          <w14:ligatures w14:val="standardContextual"/>
        </w:rPr>
        <w:t xml:space="preserve"> O auxílio-acidente cessa com a morte do segurado. Não se converte em pensão por morte — os dependentes terão direito à pensão por morte se preenchidos os requisitos próprios desse benefício, mas o auxílio-acidente em si não é transferível.</w:t>
      </w:r>
    </w:p>
    <w:p w14:paraId="7C7F694B" w14:textId="77777777" w:rsidR="005A5FCC" w:rsidRDefault="00A21C81">
      <w:pPr>
        <w:ind w:firstLine="238"/>
      </w:pPr>
      <w:r>
        <w:rPr>
          <w:rFonts w:cs="EB Garamond"/>
          <w:b/>
          <w:kern w:val="16"/>
          <w14:ligatures w14:val="standardContextual"/>
        </w:rPr>
        <w:t>c) Recuperação da capacidade:</w:t>
      </w:r>
      <w:r>
        <w:rPr>
          <w:rFonts w:cs="EB Garamond"/>
          <w:kern w:val="16"/>
          <w14:ligatures w14:val="standardContextual"/>
        </w:rPr>
        <w:t xml:space="preserve"> Hipótese teórica, se o segurado recuperar integralmente a capacidade que havia sido reduzida, o auxílio-acidente poderia ser cessado. Na prática, é situação raríssima, porque o auxílio-acidente pressupõe sequelas consolidadas (permanentes).</w:t>
      </w:r>
    </w:p>
    <w:p w14:paraId="3EF76944"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15.12 Incorporação ao salário de contribuição</w:t>
      </w:r>
    </w:p>
    <w:p w14:paraId="348E3BD5"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4F9A23F5" w14:textId="77777777" w:rsidR="005A5FCC" w:rsidRDefault="00A21C81">
      <w:r>
        <w:rPr>
          <w:rFonts w:cs="EB Garamond"/>
          <w:kern w:val="16"/>
          <w14:ligatures w14:val="standardContextual"/>
        </w:rPr>
        <w:t xml:space="preserve"> art. 31 da Lei n. 8.213/91 determina que o valor mensal do auxílio-acidente integra o salário de contribuição para fins de cálculo do salário-de-benefício de qualquer aposentadoria. Essa regra tem importância prática significativa: assegura que o período de recebimento do auxílio-acidente não prejudique, e, ao contrário, beneficie, o cálculo da aposentadoria futura.</w:t>
      </w:r>
    </w:p>
    <w:p w14:paraId="67625614" w14:textId="3FD3EA61" w:rsidR="005A5FCC" w:rsidRDefault="00A21C81">
      <w:pPr>
        <w:ind w:firstLine="238"/>
      </w:pPr>
      <w:r>
        <w:rPr>
          <w:rFonts w:cs="EB Garamond"/>
          <w:kern w:val="16"/>
          <w14:ligatures w14:val="standardContextual"/>
        </w:rPr>
        <w:t>Na prática, a incorporação funciona assim: durante o período em que o segurado recebe auxílio-acidente e trabalha simultaneamente, o salário de contribuição corresponde à soma da remuneração do trabalho com o valor do auxílio-acidente. Essa soma mais elevada de salários de contribuição tende a majorar a média que servirá de base para o cálculo da aposentadoria. Destaca</w:t>
      </w:r>
      <w:r w:rsidR="003C7D82">
        <w:rPr>
          <w:rFonts w:cs="EB Garamond"/>
          <w:kern w:val="16"/>
          <w14:ligatures w14:val="standardContextual"/>
        </w:rPr>
        <w:t>-se</w:t>
      </w:r>
      <w:r>
        <w:rPr>
          <w:rFonts w:cs="EB Garamond"/>
          <w:kern w:val="16"/>
          <w14:ligatures w14:val="standardContextual"/>
        </w:rPr>
        <w:t xml:space="preserve"> que a incorporação constitui mecanismo de compensação: o segurado que suporta redução permanente de sua capacidade laboral tem assegurada, ao menos, a elevação da base de cálculo de sua futura aposentadoria.</w:t>
      </w:r>
    </w:p>
    <w:p w14:paraId="428D2292" w14:textId="77777777" w:rsidR="005A5FCC" w:rsidRDefault="00A21C81">
      <w:pPr>
        <w:ind w:firstLine="238"/>
      </w:pPr>
      <w:r>
        <w:rPr>
          <w:rFonts w:cs="EB Garamond"/>
          <w:kern w:val="16"/>
          <w14:ligatures w14:val="standardContextual"/>
        </w:rPr>
        <w:t xml:space="preserve">A regra tem especial relevância para o segurado especial, como reconhecido pelo TNU no Tema 322: os valores percebidos a título de auxílio-acidente devem ser computados no período básico de cálculo da aposentadoria por idade rural, </w:t>
      </w:r>
      <w:r>
        <w:rPr>
          <w:rFonts w:cs="EB Garamond"/>
          <w:kern w:val="16"/>
          <w14:ligatures w14:val="standardContextual"/>
        </w:rPr>
        <w:lastRenderedPageBreak/>
        <w:t>para fins de incremento da renda mensal inicial, independentemente do recolhimento de contribuições facultativas.</w:t>
      </w:r>
    </w:p>
    <w:tbl>
      <w:tblPr>
        <w:tblW w:w="5000" w:type="pct"/>
        <w:jc w:val="center"/>
        <w:tblLayout w:type="fixed"/>
        <w:tblLook w:val="04A0" w:firstRow="1" w:lastRow="0" w:firstColumn="1" w:lastColumn="0" w:noHBand="0" w:noVBand="1"/>
      </w:tblPr>
      <w:tblGrid>
        <w:gridCol w:w="6311"/>
      </w:tblGrid>
      <w:tr w:rsidR="005A5FCC" w14:paraId="24D8B627"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3B7404B2"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6CE4E958" w14:textId="77777777" w:rsidR="005A5FCC" w:rsidRDefault="00A21C81">
            <w:pPr>
              <w:spacing w:after="60" w:line="247" w:lineRule="auto"/>
            </w:pPr>
            <w:r>
              <w:rPr>
                <w:rFonts w:cs="EB Garamond"/>
                <w:kern w:val="16"/>
                <w:sz w:val="19"/>
                <w14:ligatures w14:val="standardContextual"/>
              </w:rPr>
              <w:t>A incorporação do auxílio-acidente ao salário de contribuição é regra que favorece o segurado, pois eleva a base de cálculo da aposentadoria. Ao cessar o auxílio-acidente pela concessão da aposentadoria, o segurado perde o benefício indenizatório, mas obtém aposentadoria com valor potencialmente mais elevado. Essa lógica compensatória é a razão de ser da incorporação.</w:t>
            </w:r>
          </w:p>
        </w:tc>
      </w:tr>
    </w:tbl>
    <w:p w14:paraId="28D0C046" w14:textId="77777777" w:rsidR="005A5FCC" w:rsidRDefault="005A5FCC">
      <w:pPr>
        <w:spacing w:after="80" w:line="240" w:lineRule="auto"/>
      </w:pPr>
    </w:p>
    <w:p w14:paraId="6B6D098E"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15.13 Acumulação e vedações</w:t>
      </w:r>
    </w:p>
    <w:p w14:paraId="51147B6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19CF1123" w14:textId="77777777" w:rsidR="005A5FCC" w:rsidRDefault="00A21C81">
      <w:r>
        <w:rPr>
          <w:rFonts w:cs="EB Garamond"/>
          <w:kern w:val="16"/>
          <w14:ligatures w14:val="standardContextual"/>
        </w:rPr>
        <w:t xml:space="preserve"> regime de acumulação do auxílio-acidente é um dos temas mais recorrentes na prática dos JEFs (para o tratamento sistemático da acumulação de benefícios, v. Cap. 20). As regras específicas do auxílio-acidente podem ser sistematizadas em vedações e permissões.</w:t>
      </w:r>
    </w:p>
    <w:p w14:paraId="37D122B7" w14:textId="77777777" w:rsidR="005A5FCC" w:rsidRDefault="00A21C81">
      <w:pPr>
        <w:ind w:firstLine="238"/>
      </w:pPr>
      <w:r>
        <w:rPr>
          <w:rFonts w:cs="EB Garamond"/>
          <w:b/>
          <w:kern w:val="16"/>
          <w14:ligatures w14:val="standardContextual"/>
        </w:rPr>
        <w:t>Vedações:</w:t>
      </w:r>
    </w:p>
    <w:p w14:paraId="6D2D8664" w14:textId="77777777" w:rsidR="005A5FCC" w:rsidRDefault="00A21C81">
      <w:pPr>
        <w:ind w:firstLine="238"/>
      </w:pPr>
      <w:r>
        <w:rPr>
          <w:rFonts w:cs="EB Garamond"/>
          <w:b/>
          <w:kern w:val="16"/>
          <w14:ligatures w14:val="standardContextual"/>
        </w:rPr>
        <w:t>a) Auxílio-acidente e aposentadoria.</w:t>
      </w:r>
      <w:r>
        <w:rPr>
          <w:rFonts w:cs="EB Garamond"/>
          <w:kern w:val="16"/>
          <w14:ligatures w14:val="standardContextual"/>
        </w:rPr>
        <w:t xml:space="preserve"> A acumulação é vedada pelo art. 86, §2º, da Lei n. 8.213/91 (redação da Lei 9.528/97). A vedação aplica-se a qualquer espécie de aposentadoria e a auxílios-acidente decorrentes de lesões ocorridas a partir de 11 de novembro de 1997. Para as lesões anteriores a essa data, aplica-se a Súmula 507/STJ, cujo enunciado dispõe: "A acumulação de auxílio-acidente com aposentadoria pressupõe que a lesão incapacitante, que dá origem ao benefício, tenha ocorrido até 10 de novembro de 1997, dia anterior à publicação da Medida Provisória n. 1.596-14/97, posteriormente convertida na Lei n. 9.528/97."</w:t>
      </w:r>
    </w:p>
    <w:p w14:paraId="0689A836" w14:textId="77777777" w:rsidR="005A5FCC" w:rsidRDefault="00A21C81">
      <w:pPr>
        <w:ind w:firstLine="238"/>
      </w:pPr>
      <w:r>
        <w:rPr>
          <w:rFonts w:cs="EB Garamond"/>
          <w:kern w:val="16"/>
          <w14:ligatures w14:val="standardContextual"/>
        </w:rPr>
        <w:t xml:space="preserve">Convém destacar que o marco controlador do verbete é a data da </w:t>
      </w:r>
      <w:r>
        <w:rPr>
          <w:rFonts w:cs="EB Garamond"/>
          <w:b/>
          <w:kern w:val="16"/>
          <w14:ligatures w14:val="standardContextual"/>
        </w:rPr>
        <w:t>lesão</w:t>
      </w:r>
      <w:r>
        <w:rPr>
          <w:rFonts w:cs="EB Garamond"/>
          <w:kern w:val="16"/>
          <w14:ligatures w14:val="standardContextual"/>
        </w:rPr>
        <w:t xml:space="preserve"> — e não a da aposentadoria. Aferida a lesão até 10/11/1997, admite-se a acumulação ainda que a aposentadoria seja concedida posteriormente; ocorrida a lesão a partir de 11/11/1997, incide a vedação. Trata-se de marcos coerentes, e não contraditórios: a Súmula admite o acúmulo quando a lesão é anterior à vigência da MP (até a véspera, 10/11/1997), ao passo que a vedação do art. 86, §2º, incide sobre as </w:t>
      </w:r>
      <w:r>
        <w:rPr>
          <w:rFonts w:cs="EB Garamond"/>
          <w:kern w:val="16"/>
          <w14:ligatures w14:val="standardContextual"/>
        </w:rPr>
        <w:lastRenderedPageBreak/>
        <w:t>lesões ocorridas já sob a vigência da norma (a partir de 11/11/1997, data da publicação).</w:t>
      </w:r>
    </w:p>
    <w:p w14:paraId="6A06D916" w14:textId="77777777" w:rsidR="005A5FCC" w:rsidRDefault="00A21C81">
      <w:pPr>
        <w:ind w:firstLine="238"/>
      </w:pPr>
      <w:r>
        <w:rPr>
          <w:rFonts w:cs="EB Garamond"/>
          <w:kern w:val="16"/>
          <w14:ligatures w14:val="standardContextual"/>
        </w:rPr>
        <w:t>Para as doenças ocupacionais, a fixação dessa data exige recorrer ao art. 23 da Lei n. 8.213/91: nos termos desse dispositivo, considera-se como "dia do acidente" a data do início da incapacidade laborativa para o exercício da atividade habitual, ou o dia da segregação compulsória, ou o dia em que for realizado o diagnóstico — valendo, para esse efeito, o que ocorrer primeiro. Assim, para definir se a lesão é anterior ou posterior ao marco nos casos de doença profissional ou do trabalho (situação comum nos JEFs), o magistrado deve identificar qual desses momentos ocorreu primeiro.</w:t>
      </w:r>
    </w:p>
    <w:p w14:paraId="23C3070C" w14:textId="77777777" w:rsidR="005A5FCC" w:rsidRDefault="00A21C81">
      <w:pPr>
        <w:ind w:firstLine="238"/>
      </w:pPr>
      <w:r>
        <w:rPr>
          <w:rFonts w:cs="EB Garamond"/>
          <w:b/>
          <w:kern w:val="16"/>
          <w14:ligatures w14:val="standardContextual"/>
        </w:rPr>
        <w:t>b) Mais de um auxílio-acidente.</w:t>
      </w:r>
      <w:r>
        <w:rPr>
          <w:rFonts w:cs="EB Garamond"/>
          <w:kern w:val="16"/>
          <w14:ligatures w14:val="standardContextual"/>
        </w:rPr>
        <w:t xml:space="preserve"> O art. 124, V, da Lei n. 8.213/91 veda a acumulação de mais de um auxílio-acidente. Contudo, o STJ, na edição 198 da Jurisprudência em Teses, fixou que, na hipótese de novo infortúnio, admite-se o recálculo do benefício já existente, o que permite a majoração do valor sem a concessão de segundo benefício.</w:t>
      </w:r>
    </w:p>
    <w:p w14:paraId="0BF219F9" w14:textId="77777777" w:rsidR="005A5FCC" w:rsidRDefault="00A21C81">
      <w:pPr>
        <w:ind w:firstLine="238"/>
      </w:pPr>
      <w:r>
        <w:rPr>
          <w:rFonts w:cs="EB Garamond"/>
          <w:b/>
          <w:kern w:val="16"/>
          <w14:ligatures w14:val="standardContextual"/>
        </w:rPr>
        <w:t>c) Auxílio-acidente e auxílio por incapacidade temporária pela mesma lesão.</w:t>
      </w:r>
      <w:r>
        <w:rPr>
          <w:rFonts w:cs="EB Garamond"/>
          <w:kern w:val="16"/>
          <w14:ligatures w14:val="standardContextual"/>
        </w:rPr>
        <w:t xml:space="preserve"> A inacumulabilidade decorre de impossibilidade lógico-temporal — não de vedação expressa no art. 124: o auxílio-acidente pressupõe a consolidação das lesões e a cessação do auxílio por incapacidade temporária, de modo que ambos não podem coexistir no tempo quando referentes à mesma lesão. A inacumulabilidade é específica à mesma lesão, se o auxílio-acidente decorre de lesão anterior e o auxílio por incapacidade temporária refere-se a patologia distinta, a acumulação é possível, como analisado no Capítulo 7 deste livro.</w:t>
      </w:r>
    </w:p>
    <w:p w14:paraId="61DB2B4A" w14:textId="77777777" w:rsidR="005A5FCC" w:rsidRDefault="00A21C81">
      <w:pPr>
        <w:ind w:firstLine="238"/>
      </w:pPr>
      <w:r>
        <w:rPr>
          <w:rFonts w:cs="EB Garamond"/>
          <w:b/>
          <w:kern w:val="16"/>
          <w14:ligatures w14:val="standardContextual"/>
        </w:rPr>
        <w:t>Permissões:</w:t>
      </w:r>
    </w:p>
    <w:p w14:paraId="30189AD0" w14:textId="77777777" w:rsidR="005A5FCC" w:rsidRDefault="00A21C81">
      <w:pPr>
        <w:ind w:firstLine="238"/>
      </w:pPr>
      <w:r>
        <w:rPr>
          <w:rFonts w:cs="EB Garamond"/>
          <w:b/>
          <w:kern w:val="16"/>
          <w14:ligatures w14:val="standardContextual"/>
        </w:rPr>
        <w:t>a) Auxílio-acidente e remuneração do trabalho.</w:t>
      </w:r>
      <w:r>
        <w:rPr>
          <w:rFonts w:cs="EB Garamond"/>
          <w:kern w:val="16"/>
          <w14:ligatures w14:val="standardContextual"/>
        </w:rPr>
        <w:t xml:space="preserve"> Expressamente permitido pelo art. 86, §2º, o benefício é devido "independentemente de qualquer remuneração ou rendimento auferido pelo acidentado". Essa é a consequência direta da natureza indenizatória do benefício.</w:t>
      </w:r>
    </w:p>
    <w:p w14:paraId="3AF7EABD" w14:textId="77777777" w:rsidR="005A5FCC" w:rsidRDefault="00A21C81">
      <w:pPr>
        <w:ind w:firstLine="238"/>
      </w:pPr>
      <w:r>
        <w:rPr>
          <w:rFonts w:cs="EB Garamond"/>
          <w:b/>
          <w:kern w:val="16"/>
          <w14:ligatures w14:val="standardContextual"/>
        </w:rPr>
        <w:t>b) Auxílio-acidente e pensão por morte.</w:t>
      </w:r>
      <w:r>
        <w:rPr>
          <w:rFonts w:cs="EB Garamond"/>
          <w:kern w:val="16"/>
          <w14:ligatures w14:val="standardContextual"/>
        </w:rPr>
        <w:t xml:space="preserve"> A acumulação é possível, pois são benefícios de naturezas distintas (indenizatório e substitutivo). Após a EC 103/2019, contudo, ela deixou de ser integral: o segurado passou a receber por inteiro apenas o benefício mais vantajoso e, do outro, uma parcela calculada por </w:t>
      </w:r>
      <w:r>
        <w:rPr>
          <w:rFonts w:cs="EB Garamond"/>
          <w:kern w:val="16"/>
          <w14:ligatures w14:val="standardContextual"/>
        </w:rPr>
        <w:lastRenderedPageBreak/>
        <w:t xml:space="preserve">faixas escalonadas. O mecanismo do art. 24 da Emenda — bem como a comparação com a progressividade do imposto de renda, que ajuda a compreendê-lo — está detalhado na seção 15.19, </w:t>
      </w:r>
      <w:r>
        <w:rPr>
          <w:rFonts w:cs="EB Garamond"/>
          <w:i/>
          <w:kern w:val="16"/>
          <w14:ligatures w14:val="standardContextual"/>
        </w:rPr>
        <w:t>infra</w:t>
      </w:r>
      <w:r>
        <w:rPr>
          <w:rFonts w:cs="EB Garamond"/>
          <w:kern w:val="16"/>
          <w14:ligatures w14:val="standardContextual"/>
        </w:rPr>
        <w:t>, para onde se remete o leitor.</w:t>
      </w:r>
    </w:p>
    <w:p w14:paraId="53F531F2" w14:textId="77777777" w:rsidR="005A5FCC" w:rsidRDefault="00A21C81">
      <w:pPr>
        <w:ind w:firstLine="238"/>
      </w:pPr>
      <w:r>
        <w:rPr>
          <w:rFonts w:cs="EB Garamond"/>
          <w:b/>
          <w:kern w:val="16"/>
          <w14:ligatures w14:val="standardContextual"/>
        </w:rPr>
        <w:t>c) Auxílio-acidente e salário-família ou salário-maternidade.</w:t>
      </w:r>
      <w:r>
        <w:rPr>
          <w:rFonts w:cs="EB Garamond"/>
          <w:kern w:val="16"/>
          <w14:ligatures w14:val="standardContextual"/>
        </w:rPr>
        <w:t xml:space="preserve"> Não há vedação legal expressa, a acumulação é possível.</w:t>
      </w:r>
    </w:p>
    <w:p w14:paraId="0089F03A" w14:textId="77777777" w:rsidR="005A5FCC" w:rsidRDefault="00A21C81">
      <w:pPr>
        <w:ind w:firstLine="238"/>
      </w:pPr>
      <w:r>
        <w:rPr>
          <w:rFonts w:cs="EB Garamond"/>
          <w:b/>
          <w:kern w:val="16"/>
          <w14:ligatures w14:val="standardContextual"/>
        </w:rPr>
        <w:t>d) Auxílio-acidente e auxílio por incapacidade temporária por lesão diversa.</w:t>
      </w:r>
      <w:r>
        <w:rPr>
          <w:rFonts w:cs="EB Garamond"/>
          <w:kern w:val="16"/>
          <w14:ligatures w14:val="standardContextual"/>
        </w:rPr>
        <w:t xml:space="preserve"> Possível, como visto acima.</w:t>
      </w:r>
    </w:p>
    <w:p w14:paraId="46D19658"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15.14 Segurado especial e auxílio-acidente</w:t>
      </w:r>
    </w:p>
    <w:p w14:paraId="71818D6D"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121B83A4" w14:textId="77777777" w:rsidR="005A5FCC" w:rsidRDefault="00A21C81">
      <w:r>
        <w:rPr>
          <w:rFonts w:cs="EB Garamond"/>
          <w:kern w:val="16"/>
          <w14:ligatures w14:val="standardContextual"/>
        </w:rPr>
        <w:t xml:space="preserve"> segurado especial — trabalhador rural em regime de economia familiar, pescador artesanal e demais categorias do art. 11, VII — apresenta particularidades relevantes no auxílio-acidente.</w:t>
      </w:r>
    </w:p>
    <w:p w14:paraId="4495D390" w14:textId="3A44E7C6" w:rsidR="005A5FCC" w:rsidRDefault="00A21C81">
      <w:pPr>
        <w:ind w:firstLine="238"/>
      </w:pPr>
      <w:r>
        <w:rPr>
          <w:rFonts w:cs="EB Garamond"/>
          <w:kern w:val="16"/>
          <w14:ligatures w14:val="standardContextual"/>
        </w:rPr>
        <w:t xml:space="preserve">O primeiro ponto a destacar é o acesso ao benefício independentemente de contribuições: ao segurado especial basta comprovar a atividade rural ou pesqueira na forma do art. 39 da Lei n. 8.213/91, exigência que se harmoniza com a dispensa de carência do art. 26, I. Quanto ao valor, o auxílio-acidente do segurado especial que não contribui facultativamente é calculado sobre um </w:t>
      </w:r>
      <w:r w:rsidR="00F5146B">
        <w:rPr>
          <w:rFonts w:cs="EB Garamond"/>
          <w:kern w:val="16"/>
          <w14:ligatures w14:val="standardContextual"/>
        </w:rPr>
        <w:t>salário-mínimo</w:t>
      </w:r>
      <w:r>
        <w:rPr>
          <w:rFonts w:cs="EB Garamond"/>
          <w:kern w:val="16"/>
          <w14:ligatures w14:val="standardContextual"/>
        </w:rPr>
        <w:t>, base fixa que resulta em prestação equivalente a meio salário</w:t>
      </w:r>
      <w:r w:rsidR="00F5146B">
        <w:rPr>
          <w:rFonts w:cs="EB Garamond"/>
          <w:kern w:val="16"/>
          <w14:ligatures w14:val="standardContextual"/>
        </w:rPr>
        <w:t>-</w:t>
      </w:r>
      <w:r>
        <w:rPr>
          <w:rFonts w:cs="EB Garamond"/>
          <w:kern w:val="16"/>
          <w14:ligatures w14:val="standardContextual"/>
        </w:rPr>
        <w:t>mínimo.</w:t>
      </w:r>
    </w:p>
    <w:p w14:paraId="42E222DD" w14:textId="77777777" w:rsidR="005A5FCC" w:rsidRDefault="00A21C81">
      <w:pPr>
        <w:ind w:firstLine="238"/>
      </w:pPr>
      <w:r>
        <w:rPr>
          <w:rFonts w:cs="EB Garamond"/>
          <w:kern w:val="16"/>
          <w14:ligatures w14:val="standardContextual"/>
        </w:rPr>
        <w:t>Mais relevante para a prática forense é a tese do Tema 322 (PEDILEF 5014634-54.2021.4.04.7202/SC, j. 22/11/2023), em que a TNU fixou que os valores do auxílio-acidente devem ser computados no período básico de cálculo da aposentadoria por idade rural, para fins de incremento da RMI, independentemente de contribuições facultativas — ressalvadas as hipóteses de cumulação vedada pela Súmula 507/STJ (quando a lesão ou a aposentadoria são posteriores a 11.11.1997). O alcance dessa orientação é expressivo nos JEFs, onde o volume de ações de segurados especiais é elevado.</w:t>
      </w:r>
    </w:p>
    <w:p w14:paraId="7860532C" w14:textId="77777777" w:rsidR="005A5FCC" w:rsidRDefault="00A21C81">
      <w:pPr>
        <w:ind w:firstLine="238"/>
      </w:pPr>
      <w:r>
        <w:rPr>
          <w:rFonts w:cs="EB Garamond"/>
          <w:kern w:val="16"/>
          <w14:ligatures w14:val="standardContextual"/>
        </w:rPr>
        <w:t>Não se pode perder de vista, por fim, a alta exposição dessa categoria a acidentes de qualquer natureza — quedas, acidentes com máquinas agrícolas, picadas de animais, intoxicação por agrotóxicos —, o que faz do auxílio-acidente benefício de incidência frequente entre os trabalhadores rurais.</w:t>
      </w:r>
    </w:p>
    <w:p w14:paraId="2263A57D"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15.15 Competência jurisdicional: justiça federal versus justiça estadual</w:t>
      </w:r>
    </w:p>
    <w:p w14:paraId="63D0727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4EC43910" w14:textId="77777777" w:rsidR="005A5FCC" w:rsidRDefault="00A21C81">
      <w:r>
        <w:rPr>
          <w:rFonts w:cs="EB Garamond"/>
          <w:kern w:val="16"/>
          <w14:ligatures w14:val="standardContextual"/>
        </w:rPr>
        <w:t xml:space="preserve"> definição de competência é questão preliminar que se impõe em toda ação de auxílio-acidente e cuja solução depende da causa de pedir: a natureza do acidente.</w:t>
      </w:r>
    </w:p>
    <w:p w14:paraId="58CE01FD" w14:textId="77777777" w:rsidR="005A5FCC" w:rsidRDefault="00A21C81">
      <w:pPr>
        <w:ind w:firstLine="238"/>
      </w:pPr>
      <w:r>
        <w:rPr>
          <w:rFonts w:cs="EB Garamond"/>
          <w:b/>
          <w:kern w:val="16"/>
          <w14:ligatures w14:val="standardContextual"/>
        </w:rPr>
        <w:t>Regra geral — Justiça Federal/JEFs.</w:t>
      </w:r>
      <w:r>
        <w:rPr>
          <w:rFonts w:cs="EB Garamond"/>
          <w:kern w:val="16"/>
          <w14:ligatures w14:val="standardContextual"/>
        </w:rPr>
        <w:t xml:space="preserve"> As ações previdenciárias contra o INSS são, em regra, de competência da Justiça Federal (art. 109, I, CF) e dos Juizados Especiais Federais (art. 3º, Lei 10.259/2001).</w:t>
      </w:r>
    </w:p>
    <w:p w14:paraId="722F2551" w14:textId="77777777" w:rsidR="005A5FCC" w:rsidRDefault="00A21C81">
      <w:pPr>
        <w:ind w:firstLine="238"/>
      </w:pPr>
      <w:r>
        <w:rPr>
          <w:rFonts w:cs="EB Garamond"/>
          <w:b/>
          <w:kern w:val="16"/>
          <w14:ligatures w14:val="standardContextual"/>
        </w:rPr>
        <w:t>Exceção — Justiça Estadual.</w:t>
      </w:r>
      <w:r>
        <w:rPr>
          <w:rFonts w:cs="EB Garamond"/>
          <w:kern w:val="16"/>
          <w14:ligatures w14:val="standardContextual"/>
        </w:rPr>
        <w:t xml:space="preserve"> O art. 109, I, da CF exclui da competência da Justiça Federal "as causas relativas à falência, as de acidentes de trabalho e as sujeitas à Justiça Eleitoral e à Justiça do Trabalho". Assim, as ações de auxílio-acidente fundadas em acidente do trabalho (arts. 19-21 da Lei 8.213/91), incluindo acidentes típicos, doenças profissionais, doenças do trabalho e acidentes de trajeto, são de competência da Justiça Estadual.</w:t>
      </w:r>
    </w:p>
    <w:p w14:paraId="15B78F89" w14:textId="77777777" w:rsidR="005A5FCC" w:rsidRDefault="00A21C81">
      <w:pPr>
        <w:ind w:firstLine="238"/>
      </w:pPr>
      <w:r>
        <w:rPr>
          <w:rFonts w:cs="EB Garamond"/>
          <w:b/>
          <w:kern w:val="16"/>
          <w14:ligatures w14:val="standardContextual"/>
        </w:rPr>
        <w:t>Consequência prática:</w:t>
      </w:r>
      <w:r>
        <w:rPr>
          <w:rFonts w:cs="EB Garamond"/>
          <w:kern w:val="16"/>
          <w14:ligatures w14:val="standardContextual"/>
        </w:rPr>
        <w:t xml:space="preserve"> O auxílio-acidente pode ser espécie B94 (acidentário, quando decorrente de acidente do trabalho, competência estadual) ou espécie B36 (previdenciário, quando decorrente de acidente de qualquer outra natureza, competência federal). A classificação depende exclusivamente do evento que gerou as sequelas.</w:t>
      </w:r>
    </w:p>
    <w:p w14:paraId="3E0A3F08" w14:textId="77777777" w:rsidR="005A5FCC" w:rsidRDefault="00A21C81">
      <w:pPr>
        <w:ind w:firstLine="238"/>
      </w:pPr>
      <w:r>
        <w:rPr>
          <w:rFonts w:cs="EB Garamond"/>
          <w:b/>
          <w:kern w:val="16"/>
          <w14:ligatures w14:val="standardContextual"/>
        </w:rPr>
        <w:t>Critério de definição:</w:t>
      </w:r>
      <w:r>
        <w:rPr>
          <w:rFonts w:cs="EB Garamond"/>
          <w:kern w:val="16"/>
          <w14:ligatures w14:val="standardContextual"/>
        </w:rPr>
        <w:t xml:space="preserve"> A competência é definida pela causa de pedir e pelo pedido deduzidos na petição inicial. Se o segurado alega acidente do trabalho, a competência é estadual, mesmo que os fatos narrados, na verdade, configurem acidente de outra natureza. Cabe ao juiz do JEF, ao verificar que a causa de pedir é acidentária, declinar da competência para a Justiça Estadual, e não simplesmente julgar improcedente por incompetência.</w:t>
      </w:r>
    </w:p>
    <w:tbl>
      <w:tblPr>
        <w:tblW w:w="5000" w:type="pct"/>
        <w:jc w:val="center"/>
        <w:tblLayout w:type="fixed"/>
        <w:tblLook w:val="04A0" w:firstRow="1" w:lastRow="0" w:firstColumn="1" w:lastColumn="0" w:noHBand="0" w:noVBand="1"/>
      </w:tblPr>
      <w:tblGrid>
        <w:gridCol w:w="6311"/>
      </w:tblGrid>
      <w:tr w:rsidR="005A5FCC" w14:paraId="7534883F"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2A20DB97" w14:textId="77777777" w:rsidR="005A5FCC" w:rsidRDefault="00A21C81">
            <w:pPr>
              <w:spacing w:after="60" w:line="240" w:lineRule="auto"/>
              <w:jc w:val="left"/>
            </w:pPr>
            <w:r>
              <w:rPr>
                <w:rFonts w:ascii="Noto Sans" w:hAnsi="Noto Sans" w:cs="Noto Sans"/>
                <w:b/>
                <w:caps/>
                <w:color w:val="4D6F8A"/>
                <w:kern w:val="16"/>
                <w:sz w:val="16"/>
                <w14:ligatures w14:val="standardContextual"/>
              </w:rPr>
              <w:lastRenderedPageBreak/>
              <w:t>JURISPRUDÊNCIA EM DESTAQUE</w:t>
            </w:r>
          </w:p>
          <w:p w14:paraId="499506D9" w14:textId="77777777" w:rsidR="005A5FCC" w:rsidRDefault="00A21C81">
            <w:pPr>
              <w:spacing w:after="60" w:line="247" w:lineRule="auto"/>
            </w:pPr>
            <w:r>
              <w:rPr>
                <w:rFonts w:cs="EB Garamond"/>
                <w:kern w:val="16"/>
                <w:sz w:val="19"/>
                <w14:ligatures w14:val="standardContextual"/>
              </w:rPr>
              <w:t>As Súmulas 15/STJ e 501/STF consolidam a competência da Justiça Estadual para ações acidentárias. Contudo, quando o segurado não alega acidente do trabalho, mas sim acidente doméstico, de trânsito ou de outra natureza, a competência é da Justiça Federal/JEF, e o juiz federal não pode declinar para a Justiça Estadual apenas porque a sequela é ortopédica ou semelhante às causadas por acidentes laborais.</w:t>
            </w:r>
          </w:p>
        </w:tc>
      </w:tr>
    </w:tbl>
    <w:p w14:paraId="7B5BDBC8" w14:textId="77777777" w:rsidR="005A5FCC" w:rsidRDefault="005A5FCC">
      <w:pPr>
        <w:spacing w:after="80" w:line="240" w:lineRule="auto"/>
      </w:pPr>
    </w:p>
    <w:p w14:paraId="0E0B9473"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15.16 Perda auditiva e auxílio-acidente</w:t>
      </w:r>
    </w:p>
    <w:p w14:paraId="6D4ABEF1"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678C021C" w14:textId="77777777" w:rsidR="005A5FCC" w:rsidRDefault="00A21C81">
      <w:r>
        <w:rPr>
          <w:rFonts w:cs="EB Garamond"/>
          <w:kern w:val="16"/>
          <w14:ligatures w14:val="standardContextual"/>
        </w:rPr>
        <w:t xml:space="preserve"> concessão de auxílio-acidente por perda auditiva é uma das matérias mais controvertidas na prática previdenciária. O art. 86, §4º, da Lei n. 8.213/91 (incluído pela Lei 9.528/97) estabelece requisitos específicos: "A perda da audição, em qualquer grau, somente proporcionará a concessão do auxílio-acidente, quando, além do reconhecimento de causalidade entre o trabalho e a doença, resultar, comprovadamente, na redução ou perda da capacidade para o trabalho que habitualmente exercia."</w:t>
      </w:r>
    </w:p>
    <w:p w14:paraId="0139CF02" w14:textId="77777777" w:rsidR="005A5FCC" w:rsidRDefault="00A21C81">
      <w:pPr>
        <w:ind w:firstLine="238"/>
      </w:pPr>
      <w:r>
        <w:rPr>
          <w:rFonts w:cs="EB Garamond"/>
          <w:kern w:val="16"/>
          <w14:ligatures w14:val="standardContextual"/>
        </w:rPr>
        <w:t>O dispositivo impõe dois requisitos cumulativos para a perda auditiva: (a) nexo causal entre o trabalho e a doença; e (b) redução comprovada da capacidade para o trabalho habitual. Esses requisitos são mais rigorosos do que os do auxílio-acidente genérico (art. 86, caput), que não exige nexo com o trabalho.</w:t>
      </w:r>
    </w:p>
    <w:p w14:paraId="21C7233F" w14:textId="77777777" w:rsidR="005A5FCC" w:rsidRDefault="00A21C81">
      <w:pPr>
        <w:ind w:firstLine="238"/>
      </w:pPr>
      <w:r>
        <w:rPr>
          <w:rFonts w:cs="EB Garamond"/>
          <w:kern w:val="16"/>
          <w14:ligatures w14:val="standardContextual"/>
        </w:rPr>
        <w:t>A Súmula 44 do STJ, porém, relativiza critérios regulamentares rígidos: "A definição, em ato regulamentar, de grau mínimo de disacusia, não exclui, por si só, a concessão do benefício previdenciário." A súmula foi aprovada em 1992, antes da Lei 9.528/97, mas permanece vigente e é frequentemente invocada para afastar tabelas administrativas que, em atos regulamentares e na própria valoração pericial, fixam patamares mínimos de perda auditiva abaixo dos quais a disacusia seria desconsiderada (a título meramente ilustrativo, percentuais ou limiares em decibéis tomados como "grau mínimo"). Não existe, no entanto, parâmetro legal que condicione a concessão a esse mínimo: a Súmula 44 precisamente impede que tabelas administrativas, por si sós, excluam o benefício quando há redução efetiva da capacidade.</w:t>
      </w:r>
    </w:p>
    <w:p w14:paraId="6F9FDF1C" w14:textId="77777777" w:rsidR="005A5FCC" w:rsidRDefault="00A21C81">
      <w:pPr>
        <w:ind w:firstLine="238"/>
      </w:pPr>
      <w:r>
        <w:rPr>
          <w:rFonts w:cs="EB Garamond"/>
          <w:b/>
          <w:kern w:val="16"/>
          <w14:ligatures w14:val="standardContextual"/>
        </w:rPr>
        <w:lastRenderedPageBreak/>
        <w:t>PAIR — Perda Auditiva Induzida por Ruído.</w:t>
      </w:r>
      <w:r>
        <w:rPr>
          <w:rFonts w:cs="EB Garamond"/>
          <w:kern w:val="16"/>
          <w14:ligatures w14:val="standardContextual"/>
        </w:rPr>
        <w:t xml:space="preserve"> A PAIR é a forma mais comum de perda auditiva que gera demandas de auxílio-acidente. Trata-se de perda neurossensorial, bilateral, irreversível e progressiva, decorrente da exposição prolongada a níveis elevados de pressão sonora no ambiente de trabalho. A controvérsia central é: a PAIR é "acidente de qualquer natureza" (art. 86, caput) ou "doença do trabalho" (art. 20, II)?</w:t>
      </w:r>
    </w:p>
    <w:p w14:paraId="633F157E" w14:textId="77777777" w:rsidR="005A5FCC" w:rsidRDefault="00A21C81">
      <w:pPr>
        <w:ind w:firstLine="238"/>
      </w:pPr>
      <w:r>
        <w:rPr>
          <w:rFonts w:cs="EB Garamond"/>
          <w:kern w:val="16"/>
          <w14:ligatures w14:val="standardContextual"/>
        </w:rPr>
        <w:t>Embora o Tema 269/TNU não tenha enfrentado diretamente a PAIR, a definição restritiva de "acidente de qualquer natureza" como evento súbito e traumático exclui, por consequência lógica, as perdas auditivas de instalação gradual, como é o caso típico da PAIR, que resulta de exposição prolongada a ruído. A PAIR configura, a rigor, doença do trabalho (art. 20, II, da Lei n. 8.213/91), e não "acidente de qualquer natureza". A competência, nesse caso, é da Justiça Estadual. Quando, excepcionalmente, a perda auditiva decorre de trauma acústico agudo (explosão, por exemplo), configura-se acidente típico (art. 19) ou acidente de qualquer natureza (se fora do trabalho) — hipótese em que a competência dependerá da origem do trauma.</w:t>
      </w:r>
    </w:p>
    <w:p w14:paraId="06285C9E" w14:textId="77777777" w:rsidR="005A5FCC" w:rsidRDefault="00A21C81">
      <w:pPr>
        <w:ind w:firstLine="238"/>
      </w:pPr>
      <w:r>
        <w:rPr>
          <w:rFonts w:cs="EB Garamond"/>
          <w:kern w:val="16"/>
          <w14:ligatures w14:val="standardContextual"/>
        </w:rPr>
        <w:t>Na atuação forense dos JEFs, a questão da competência nas ações de auxílio-acidente por perda auditiva é recorrente e exige atenção do magistrado: se a causa de pedir é exposição ocupacional a ruído, a competência é da Justiça Estadual; se é trauma acústico não laboral, a competência é federal.</w:t>
      </w:r>
    </w:p>
    <w:p w14:paraId="5575C4B5"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15.17 Lesões ortopédicas e sequelas funcionais</w:t>
      </w:r>
    </w:p>
    <w:p w14:paraId="22082D25"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2EB8B2AB" w14:textId="77777777" w:rsidR="005A5FCC" w:rsidRDefault="00A21C81">
      <w:r>
        <w:rPr>
          <w:rFonts w:cs="EB Garamond"/>
          <w:kern w:val="16"/>
          <w14:ligatures w14:val="standardContextual"/>
        </w:rPr>
        <w:t>s sequelas ortopédicas, limitação de movimento articular, encurtamento de membro, deformidade óssea consolidada, perda de força em membro, constituem a causa mais frequente de auxílio-acidente nos JEFs, quando decorrentes de acidentes de qualquer natureza (quedas domésticas, acidentes de trânsito, acidentes esportivos).</w:t>
      </w:r>
    </w:p>
    <w:p w14:paraId="7EAB15DF" w14:textId="77777777" w:rsidR="005A5FCC" w:rsidRDefault="00A21C81">
      <w:pPr>
        <w:ind w:firstLine="238"/>
      </w:pPr>
      <w:r>
        <w:rPr>
          <w:rFonts w:cs="EB Garamond"/>
          <w:b/>
          <w:kern w:val="16"/>
          <w14:ligatures w14:val="standardContextual"/>
        </w:rPr>
        <w:t>Fratura consolidada com sequela.</w:t>
      </w:r>
      <w:r>
        <w:rPr>
          <w:rFonts w:cs="EB Garamond"/>
          <w:kern w:val="16"/>
          <w14:ligatures w14:val="standardContextual"/>
        </w:rPr>
        <w:t xml:space="preserve"> Situação típica: o segurado sofre fratura de fêmur em acidente doméstico, é submetido a tratamento cirúrgico (osteossíntese), recebe auxílio por incapacidade temporária durante a recuperação e, após a alta, permanece com limitação de movimento e dor residual. Se a perícia constata </w:t>
      </w:r>
      <w:r>
        <w:rPr>
          <w:rFonts w:cs="EB Garamond"/>
          <w:kern w:val="16"/>
          <w14:ligatures w14:val="standardContextual"/>
        </w:rPr>
        <w:lastRenderedPageBreak/>
        <w:t>redução da capacidade para o trabalho habitual, o auxílio-acidente é devido — com DIB no dia seguinte à cessação do auxílio por incapacidade temporária (Tema 862/STJ).</w:t>
      </w:r>
    </w:p>
    <w:p w14:paraId="0472FE5B" w14:textId="77777777" w:rsidR="005A5FCC" w:rsidRDefault="00A21C81">
      <w:pPr>
        <w:ind w:firstLine="238"/>
      </w:pPr>
      <w:r>
        <w:rPr>
          <w:rFonts w:cs="EB Garamond"/>
          <w:b/>
          <w:kern w:val="16"/>
          <w14:ligatures w14:val="standardContextual"/>
        </w:rPr>
        <w:t>Lesões de coluna.</w:t>
      </w:r>
      <w:r>
        <w:rPr>
          <w:rFonts w:cs="EB Garamond"/>
          <w:kern w:val="16"/>
          <w14:ligatures w14:val="standardContextual"/>
        </w:rPr>
        <w:t xml:space="preserve"> Hérnias de disco, protrusões discais e estenose do canal vertebral são frequentemente alegadas como fundamento para auxílio-acidente. A questão crítica é: trata-se de sequela de acidente (trauma) ou de doença degenerativa? Pelo Tema 269/TNU, apenas as lesões de coluna de origem traumática (queda, acidente de trânsito) configuram "acidente de qualquer natureza". Lesões degenerativas, hérnias de disco por desgaste progressivo, não configuram acidente, salvo se vinculadas ao trabalho (doença ocupacional, competência estadual).</w:t>
      </w:r>
    </w:p>
    <w:p w14:paraId="4A94A3BA" w14:textId="77777777" w:rsidR="005A5FCC" w:rsidRDefault="00A21C81">
      <w:pPr>
        <w:ind w:firstLine="238"/>
      </w:pPr>
      <w:r>
        <w:rPr>
          <w:rFonts w:cs="EB Garamond"/>
          <w:b/>
          <w:kern w:val="16"/>
          <w14:ligatures w14:val="standardContextual"/>
        </w:rPr>
        <w:t>Amputações e perdas funcionais.</w:t>
      </w:r>
      <w:r>
        <w:rPr>
          <w:rFonts w:cs="EB Garamond"/>
          <w:kern w:val="16"/>
          <w14:ligatures w14:val="standardContextual"/>
        </w:rPr>
        <w:t xml:space="preserve"> Perda de dedos, mãos ou pés por acidente gera auxílio-acidente quando há capacidade residual para o trabalho. Se a perda gera incapacidade total e permanente, o benefício devido é a aposentadoria por incapacidade permanente, não o auxílio-acidente.</w:t>
      </w:r>
    </w:p>
    <w:p w14:paraId="4359F907"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15.18 Conversão do auxílio por incapacidade temporária em auxílio-acidente</w:t>
      </w:r>
    </w:p>
    <w:p w14:paraId="6DB34EF1"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12E865BF" w14:textId="77777777" w:rsidR="005A5FCC" w:rsidRDefault="00A21C81">
      <w:r>
        <w:rPr>
          <w:rFonts w:cs="EB Garamond"/>
          <w:kern w:val="16"/>
          <w14:ligatures w14:val="standardContextual"/>
        </w:rPr>
        <w:t xml:space="preserve"> conversão do auxílio por incapacidade temporária em auxílio-acidente é situação recorrente nos JEFs e reflete a dinâmica natural da recuperação: o segurado que estava incapaz recupera a capacidade para o trabalho, mas com sequelas permanentes que reduzem sua capacidade.</w:t>
      </w:r>
    </w:p>
    <w:p w14:paraId="7893FCF7" w14:textId="77777777" w:rsidR="005A5FCC" w:rsidRDefault="00A21C81">
      <w:pPr>
        <w:ind w:firstLine="238"/>
      </w:pPr>
      <w:r>
        <w:rPr>
          <w:rFonts w:cs="EB Garamond"/>
          <w:kern w:val="16"/>
          <w14:ligatures w14:val="standardContextual"/>
        </w:rPr>
        <w:t>Conforme analisado no Capítulo 7 deste livro (seção 7.13), a relação entre os dois benefícios é de precedência temporal: o auxílio-acidente sucede o auxílio por incapacidade temporária quando, após a consolidação das lesões, restam sequelas incapacitantes parciais. O Tema 862/STJ e o Tema 315/TNU pacificaram o termo inicial: dia seguinte à cessação do auxílio por incapacidade temporária.</w:t>
      </w:r>
    </w:p>
    <w:p w14:paraId="605C92DA" w14:textId="77777777" w:rsidR="005A5FCC" w:rsidRDefault="00A21C81">
      <w:pPr>
        <w:ind w:firstLine="238"/>
      </w:pPr>
      <w:r>
        <w:rPr>
          <w:rFonts w:cs="EB Garamond"/>
          <w:b/>
          <w:kern w:val="16"/>
          <w14:ligatures w14:val="standardContextual"/>
        </w:rPr>
        <w:t>Fungibilidade.</w:t>
      </w:r>
      <w:r>
        <w:rPr>
          <w:rFonts w:cs="EB Garamond"/>
          <w:kern w:val="16"/>
          <w14:ligatures w14:val="standardContextual"/>
        </w:rPr>
        <w:t xml:space="preserve"> A jurisprudência dos JEFs admite a fungibilidade entre benefícios por incapacidade e o auxílio-acidente: quando o segurado pleiteia auxílio por incapacidade temporária, mas a perícia conclui que há capacidade para o trabalho com sequela redutora, o juiz pode conceder o auxílio-acidente — e vice-</w:t>
      </w:r>
      <w:r>
        <w:rPr>
          <w:rFonts w:cs="EB Garamond"/>
          <w:kern w:val="16"/>
          <w14:ligatures w14:val="standardContextual"/>
        </w:rPr>
        <w:lastRenderedPageBreak/>
        <w:t>versa. A fungibilidade decorre da identidade de causa de pedir (lesão/doença) e do dever de adequar a tutela à situação fática. A fungibilidade entre benefícios por incapacidade e o auxílio-acidente é expressão do princípio da primazia da realidade no processo previdenciário, segundo o qual o juiz deve conferir ao segurado a proteção adequada à situação fática comprovada, independentemente da qualificação jurídica atribuída ao pedido na inicial.</w:t>
      </w:r>
    </w:p>
    <w:p w14:paraId="5A7AB09A" w14:textId="77777777" w:rsidR="005A5FCC" w:rsidRDefault="00A21C81">
      <w:pPr>
        <w:ind w:firstLine="238"/>
      </w:pPr>
      <w:r>
        <w:rPr>
          <w:rFonts w:cs="EB Garamond"/>
          <w:kern w:val="16"/>
          <w14:ligatures w14:val="standardContextual"/>
        </w:rPr>
        <w:t>Na prática processual, a conversão é frequentemente determinada de ofício pelo magistrado após a perícia judicial, quando o laudo constata sequela permanente com redução parcial da capacidade. A decisão deve observar o contraditório, o INSS deve ter oportunidade de se manifestar sobre a conversão, mas não se exige novo requerimento administrativo específico de auxílio-acidente.</w:t>
      </w:r>
    </w:p>
    <w:tbl>
      <w:tblPr>
        <w:tblW w:w="5000" w:type="pct"/>
        <w:jc w:val="center"/>
        <w:tblLayout w:type="fixed"/>
        <w:tblLook w:val="04A0" w:firstRow="1" w:lastRow="0" w:firstColumn="1" w:lastColumn="0" w:noHBand="0" w:noVBand="1"/>
      </w:tblPr>
      <w:tblGrid>
        <w:gridCol w:w="6311"/>
      </w:tblGrid>
      <w:tr w:rsidR="005A5FCC" w14:paraId="7048699D"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2FD5E401"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3B98CEF5" w14:textId="77777777" w:rsidR="005A5FCC" w:rsidRDefault="00A21C81">
            <w:pPr>
              <w:spacing w:after="60" w:line="247" w:lineRule="auto"/>
            </w:pPr>
            <w:r>
              <w:rPr>
                <w:rFonts w:cs="EB Garamond"/>
                <w:b/>
                <w:kern w:val="16"/>
                <w:sz w:val="19"/>
                <w14:ligatures w14:val="standardContextual"/>
              </w:rPr>
              <w:t>No cotidiano dos JEFs</w:t>
            </w:r>
            <w:r>
              <w:rPr>
                <w:rFonts w:cs="EB Garamond"/>
                <w:kern w:val="16"/>
                <w:sz w:val="19"/>
                <w14:ligatures w14:val="standardContextual"/>
              </w:rPr>
              <w:t xml:space="preserve"> Segurada empregada doméstica, 45 anos, sofre acidente de trânsito (colisão no trajeto residência-supermercado, fora do percurso trabalho-residência) e permanece em auxílio por incapacidade temporária durante oito meses. Ao término, o INSS cessa o benefício por alta médica. A segurada ajuíza ação no JEF pleiteando restabelecimento do auxílio por incapacidade temporária. A perícia judicial constata que a segurada recuperou a capacidade laboral, mas com sequela permanente no joelho esquerdo (limitação de flexão) que reduz sua capacidade para o trabalho de doméstica (que exige agachamento, subir escadas, limpeza de pisos). O juiz, aplicando a fungibilidade entre benefícios por incapacidade, concede auxílio-acidente (espécie B36 — acidente de qualquer natureza, competência do JEF). A DIB retroage ao dia seguinte à cessação do auxílio por incapacidade temporária, sem necessidade de novo requerimento administrativo (Tema 862/STJ, Tema 315/TNU).</w:t>
            </w:r>
          </w:p>
        </w:tc>
      </w:tr>
    </w:tbl>
    <w:p w14:paraId="2508995C" w14:textId="77777777" w:rsidR="005A5FCC" w:rsidRDefault="005A5FCC">
      <w:pPr>
        <w:spacing w:after="80" w:line="240" w:lineRule="auto"/>
      </w:pPr>
    </w:p>
    <w:p w14:paraId="55F0127F"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15.19 Impactos da EC 103/2019</w:t>
      </w:r>
    </w:p>
    <w:p w14:paraId="7602753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5756B795" w14:textId="77777777" w:rsidR="005A5FCC" w:rsidRDefault="00A21C81">
      <w:r>
        <w:rPr>
          <w:rFonts w:cs="EB Garamond"/>
          <w:kern w:val="16"/>
          <w14:ligatures w14:val="standardContextual"/>
        </w:rPr>
        <w:t xml:space="preserve"> Emenda Constitucional n. 103/2019 não alterou diretamente o art. 86 da Lei n. 8.213/91, mas produziu efeitos relevantes sobre o auxílio-acidente.</w:t>
      </w:r>
    </w:p>
    <w:p w14:paraId="34CDC6CA" w14:textId="77777777" w:rsidR="005A5FCC" w:rsidRDefault="00A21C81">
      <w:pPr>
        <w:ind w:firstLine="238"/>
      </w:pPr>
      <w:r>
        <w:rPr>
          <w:rFonts w:cs="EB Garamond"/>
          <w:b/>
          <w:kern w:val="16"/>
          <w14:ligatures w14:val="standardContextual"/>
        </w:rPr>
        <w:t>a) Novo cálculo do salário-de-benefício.</w:t>
      </w:r>
      <w:r>
        <w:rPr>
          <w:rFonts w:cs="EB Garamond"/>
          <w:kern w:val="16"/>
          <w14:ligatures w14:val="standardContextual"/>
        </w:rPr>
        <w:t xml:space="preserve"> A mudança mais significativa é a fórmula de cálculo. Antes da reforma, o salário-de-benefício era a média </w:t>
      </w:r>
      <w:r>
        <w:rPr>
          <w:rFonts w:cs="EB Garamond"/>
          <w:kern w:val="16"/>
          <w14:ligatures w14:val="standardContextual"/>
        </w:rPr>
        <w:lastRenderedPageBreak/>
        <w:t>dos 80% maiores salários de contribuição desde julho de 1994. Após a reforma, é a média de todos os salários de contribuição desde julho de 1994. A inclusão dos menores salários reduz a média para a maioria dos segurados, diminuindo o valor do auxílio-acidente (50% da média). O impacto é mais grave para segurados com trajetória contributiva irregular.</w:t>
      </w:r>
    </w:p>
    <w:p w14:paraId="5550104B" w14:textId="77777777" w:rsidR="005A5FCC" w:rsidRDefault="00A21C81">
      <w:pPr>
        <w:ind w:firstLine="238"/>
      </w:pPr>
      <w:r>
        <w:rPr>
          <w:rFonts w:cs="EB Garamond"/>
          <w:b/>
          <w:kern w:val="16"/>
          <w14:ligatures w14:val="standardContextual"/>
        </w:rPr>
        <w:t>b) Regras de acumulação — art. 24, EC 103/2019.</w:t>
      </w:r>
      <w:r>
        <w:rPr>
          <w:rFonts w:cs="EB Garamond"/>
          <w:kern w:val="16"/>
          <w14:ligatures w14:val="standardContextual"/>
        </w:rPr>
        <w:t xml:space="preserve"> A EC 103 introduziu regra de escalonamento por faixas progressivas para acumulação de benefícios (art. 24, §2º). Na acumulação de auxílio-acidente com pensão por morte, o segurado recebe integralmente o benefício mais vantajoso e, do outro, parcela calculada por faixas: 100% até 1 SM, 60% da parcela entre 1 e 2 SM, 40% entre 2 e 3 SM, 20% entre 3 e 4 SM e 10% acima de 4 SM. O cálculo é progressivo em sistemática análoga à do imposto de renda: cada alíquota incide isoladamente sobre a respectiva faixa, e não sobre o valor total do benefício acumulado, de modo que o resultado é sempre superior ao que se obteria aplicando-se o menor percentual a tudo. Essa técnica de faixas marginais evita o "salto" abrupto que ocorreria se um único percentual incidisse sobre a integralidade da parcela.</w:t>
      </w:r>
    </w:p>
    <w:p w14:paraId="7B8DF013" w14:textId="77777777" w:rsidR="005A5FCC" w:rsidRDefault="00A21C81">
      <w:pPr>
        <w:ind w:firstLine="238"/>
      </w:pPr>
      <w:r>
        <w:rPr>
          <w:rFonts w:cs="EB Garamond"/>
          <w:b/>
          <w:kern w:val="16"/>
          <w14:ligatures w14:val="standardContextual"/>
        </w:rPr>
        <w:t>c) Exceção para acidente de trabalho.</w:t>
      </w:r>
      <w:r>
        <w:rPr>
          <w:rFonts w:cs="EB Garamond"/>
          <w:kern w:val="16"/>
          <w14:ligatures w14:val="standardContextual"/>
        </w:rPr>
        <w:t xml:space="preserve"> O art. 26, §3º, II, da EC 103/2019 estabelece coeficiente de 100% para a aposentadoria por incapacidade permanente decorrente de acidente de trabalho — exceção que atenua o impacto da reforma para segurados com incapacidade total por acidente laboral. Essa exceção, contudo, não se aplica diretamente ao auxílio-acidente (que pressupõe capacidade residual), mas sim à aposentadoria por incapacidade permanente acidentária.</w:t>
      </w:r>
    </w:p>
    <w:p w14:paraId="0F3FF926" w14:textId="77777777" w:rsidR="005A5FCC" w:rsidRDefault="00A21C81">
      <w:pPr>
        <w:ind w:firstLine="238"/>
      </w:pPr>
      <w:r>
        <w:rPr>
          <w:rFonts w:cs="EB Garamond"/>
          <w:b/>
          <w:kern w:val="16"/>
          <w14:ligatures w14:val="standardContextual"/>
        </w:rPr>
        <w:t>d) Direito intertemporal.</w:t>
      </w:r>
      <w:r>
        <w:rPr>
          <w:rFonts w:cs="EB Garamond"/>
          <w:kern w:val="16"/>
          <w14:ligatures w14:val="standardContextual"/>
        </w:rPr>
        <w:t xml:space="preserve"> Para auxílios-acidente concedidos antes de 13/11/2019, aplica-se o cálculo anterior (80% maiores salários). Para os concedidos após essa data, aplica-se o novo cálculo. O marco é a data do fato gerador (consolidação das lesões ou cessação do auxílio por incapacidade temporária), não a data do requerimento administrativo ou da decisão judicial.</w:t>
      </w:r>
    </w:p>
    <w:p w14:paraId="2445DE2E"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15.20 Aspectos processuais nos JEFs</w:t>
      </w:r>
    </w:p>
    <w:p w14:paraId="2769471B"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0CD999B9" w14:textId="77777777" w:rsidR="005A5FCC" w:rsidRDefault="00A21C81">
      <w:r>
        <w:rPr>
          <w:rFonts w:cs="EB Garamond"/>
          <w:kern w:val="16"/>
          <w14:ligatures w14:val="standardContextual"/>
        </w:rPr>
        <w:t>s ações de auxílio-acidente nos Juizados Especiais Federais apresentam especificidades processuais relevantes para a prática forense.</w:t>
      </w:r>
    </w:p>
    <w:p w14:paraId="12EB098E" w14:textId="77777777" w:rsidR="005A5FCC" w:rsidRDefault="00A21C81">
      <w:pPr>
        <w:spacing w:before="260" w:after="80" w:line="240" w:lineRule="auto"/>
        <w:jc w:val="left"/>
      </w:pPr>
      <w:r>
        <w:rPr>
          <w:rFonts w:cs="EB Garamond"/>
          <w:b/>
          <w:color w:val="3A3128"/>
          <w:kern w:val="16"/>
          <w:sz w:val="25"/>
          <w14:ligatures w14:val="standardContextual"/>
        </w:rPr>
        <w:t>15.20.1 Competência</w:t>
      </w:r>
    </w:p>
    <w:p w14:paraId="5DDA3AA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C</w:t>
      </w:r>
    </w:p>
    <w:p w14:paraId="180980CC" w14:textId="56ED990A" w:rsidR="005A5FCC" w:rsidRDefault="00A21C81">
      <w:r>
        <w:rPr>
          <w:rFonts w:cs="EB Garamond"/>
          <w:kern w:val="16"/>
          <w14:ligatures w14:val="standardContextual"/>
        </w:rPr>
        <w:t xml:space="preserve">onforme analisado na seção 15.15, a competência dos JEFs restringe-se aos auxílios-acidente decorrentes de "acidente de qualquer natureza" (art. 86, caput), excluídos os acidentes do trabalho (arts. 19-21), que são de competência da Justiça Estadual. O valor da causa, para fins de fixação de competência do JEF, deve observar o art. 3º da Lei n. 10.259/2001 (60 </w:t>
      </w:r>
      <w:r w:rsidR="00B03AAB">
        <w:rPr>
          <w:rFonts w:cs="EB Garamond"/>
          <w:kern w:val="16"/>
          <w14:ligatures w14:val="standardContextual"/>
        </w:rPr>
        <w:t>salários-mínimos</w:t>
      </w:r>
      <w:r>
        <w:rPr>
          <w:rFonts w:cs="EB Garamond"/>
          <w:kern w:val="16"/>
          <w14:ligatures w14:val="standardContextual"/>
        </w:rPr>
        <w:t>), calculado conforme as parcelas vencidas acrescidas de 12 prestações vincendas.</w:t>
      </w:r>
    </w:p>
    <w:p w14:paraId="3F9EE14F" w14:textId="77777777" w:rsidR="005A5FCC" w:rsidRDefault="00A21C81">
      <w:pPr>
        <w:spacing w:before="260" w:after="80" w:line="240" w:lineRule="auto"/>
        <w:jc w:val="left"/>
      </w:pPr>
      <w:r>
        <w:rPr>
          <w:rFonts w:cs="EB Garamond"/>
          <w:b/>
          <w:color w:val="3A3128"/>
          <w:kern w:val="16"/>
          <w:sz w:val="25"/>
          <w14:ligatures w14:val="standardContextual"/>
        </w:rPr>
        <w:t>15.20.2 Prévio requerimento administrativo</w:t>
      </w:r>
    </w:p>
    <w:p w14:paraId="4D366D5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3C0C7931" w14:textId="77777777" w:rsidR="005A5FCC" w:rsidRDefault="00A21C81">
      <w:r>
        <w:rPr>
          <w:rFonts w:cs="EB Garamond"/>
          <w:kern w:val="16"/>
          <w14:ligatures w14:val="standardContextual"/>
        </w:rPr>
        <w:t xml:space="preserve"> exigência de prévio requerimento administrativo, firmada pelo STF no RE 631.240 (Tema 350), aplica-se ao auxílio-acidente. A própria modulação do Tema 350, contudo, dispensa o requerimento quando o INSS, citado, contesta o mérito da pretensão — hipótese em que a resistência à concessão fica caracterizada nos próprios autos e supre o interesse de agir. Daí decorrem as exceções correntes na prática: quando o INSS apresenta contestação de mérito (resistência notória à pretensão) ou quando o auxílio-acidente é pleiteado como conversão de auxílio por incapacidade temporária já negado administrativamente, o prévio requerimento específico do auxílio-acidente é dispensado.</w:t>
      </w:r>
    </w:p>
    <w:p w14:paraId="4592328E" w14:textId="77777777" w:rsidR="005A5FCC" w:rsidRDefault="00A21C81">
      <w:pPr>
        <w:spacing w:before="260" w:after="80" w:line="240" w:lineRule="auto"/>
        <w:jc w:val="left"/>
      </w:pPr>
      <w:r>
        <w:rPr>
          <w:rFonts w:cs="EB Garamond"/>
          <w:b/>
          <w:color w:val="3A3128"/>
          <w:kern w:val="16"/>
          <w:sz w:val="25"/>
          <w14:ligatures w14:val="standardContextual"/>
        </w:rPr>
        <w:t>15.20.3 Prova pericial</w:t>
      </w:r>
    </w:p>
    <w:p w14:paraId="14AA3EB1"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6233BC41" w14:textId="77777777" w:rsidR="005A5FCC" w:rsidRDefault="00A21C81">
      <w:r>
        <w:rPr>
          <w:rFonts w:cs="EB Garamond"/>
          <w:kern w:val="16"/>
          <w14:ligatures w14:val="standardContextual"/>
        </w:rPr>
        <w:t xml:space="preserve"> perícia judicial é a prova central. Nos JEFs, o juiz designa perito único (art. 12, Lei 10.259/2001), que deve responder: (a) se há sequela consolidada; (b) se decorre de acidente; (c) se implica redução da capacidade para o trabalho habitual; (d) a data provável da consolidação.</w:t>
      </w:r>
    </w:p>
    <w:p w14:paraId="75C9ED0A" w14:textId="77777777" w:rsidR="005A5FCC" w:rsidRDefault="00A21C81">
      <w:pPr>
        <w:ind w:firstLine="238"/>
      </w:pPr>
      <w:r>
        <w:rPr>
          <w:rFonts w:cs="EB Garamond"/>
          <w:kern w:val="16"/>
          <w14:ligatures w14:val="standardContextual"/>
        </w:rPr>
        <w:t xml:space="preserve">O STJ, na Jurisprudência em Teses (edição 199), firmou que o laudo pericial não é parâmetro para fixação da DIB — apenas orienta o livre convencimento do </w:t>
      </w:r>
      <w:r>
        <w:rPr>
          <w:rFonts w:cs="EB Garamond"/>
          <w:kern w:val="16"/>
          <w14:ligatures w14:val="standardContextual"/>
        </w:rPr>
        <w:lastRenderedPageBreak/>
        <w:t>juiz. Vale registrar, ainda, que a aferição da incapacidade (e, por extensão, da redução da capacidade) é questão eminentemente fático-probatória: a revisão das conclusões periciais e do conjunto fático demanda reexame de prova, vedado em recurso especial pela Súmula 7/STJ ("A pretensão de simples reexame de prova não enseja recurso especial"). Daí a relevância da instrução probatória em primeiro grau e nas Turmas Recursais, instâncias soberanas na valoração do quadro fático que define o direito ao benefício.</w:t>
      </w:r>
    </w:p>
    <w:p w14:paraId="5E979A42" w14:textId="77777777" w:rsidR="005A5FCC" w:rsidRDefault="00A21C81">
      <w:pPr>
        <w:spacing w:before="260" w:after="80" w:line="240" w:lineRule="auto"/>
        <w:jc w:val="left"/>
      </w:pPr>
      <w:r>
        <w:rPr>
          <w:rFonts w:cs="EB Garamond"/>
          <w:b/>
          <w:color w:val="3A3128"/>
          <w:kern w:val="16"/>
          <w:sz w:val="25"/>
          <w14:ligatures w14:val="standardContextual"/>
        </w:rPr>
        <w:t>15.20.4 Tutela provisória de urgência</w:t>
      </w:r>
    </w:p>
    <w:p w14:paraId="7905B91B"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6B9B268F" w14:textId="77777777" w:rsidR="005A5FCC" w:rsidRDefault="00A21C81">
      <w:r>
        <w:rPr>
          <w:rFonts w:cs="EB Garamond"/>
          <w:kern w:val="16"/>
          <w14:ligatures w14:val="standardContextual"/>
        </w:rPr>
        <w:t xml:space="preserve"> tutela provisória de urgência é cabível nas ações de auxílio-acidente quando presentes a probabilidade do direito (laudo pericial favorável) e o perigo de dano (segurado com capacidade reduzida e sem complementação da renda). A natureza alimentar do benefício reforça a urgência, embora o auxílio-acidente, por ser indenizatório e acumulável com remuneração, gere discussão sobre a efetiva urgência em alguns casos.</w:t>
      </w:r>
    </w:p>
    <w:p w14:paraId="3A232F90" w14:textId="77777777" w:rsidR="005A5FCC" w:rsidRDefault="00A21C81">
      <w:pPr>
        <w:spacing w:before="260" w:after="80" w:line="240" w:lineRule="auto"/>
        <w:jc w:val="left"/>
      </w:pPr>
      <w:r>
        <w:rPr>
          <w:rFonts w:cs="EB Garamond"/>
          <w:b/>
          <w:color w:val="3A3128"/>
          <w:kern w:val="16"/>
          <w:sz w:val="25"/>
          <w14:ligatures w14:val="standardContextual"/>
        </w:rPr>
        <w:t>15.20.5 Data de início do benefício (DIB) judicial</w:t>
      </w:r>
    </w:p>
    <w:p w14:paraId="72E48BA4"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44CDF4BC" w14:textId="77777777" w:rsidR="005A5FCC" w:rsidRDefault="00A21C81">
      <w:r>
        <w:rPr>
          <w:rFonts w:cs="EB Garamond"/>
          <w:kern w:val="16"/>
          <w14:ligatures w14:val="standardContextual"/>
        </w:rPr>
        <w:t xml:space="preserve"> DIB deve ser fixada conforme as regras do Tema 862/STJ e do Tema 315/TNU, analisadas na seção 15.10. Observa-se a prescrição quinquenal (Súmula 85/STJ) sobre as parcelas vencidas.</w:t>
      </w:r>
    </w:p>
    <w:p w14:paraId="2C32A857" w14:textId="77777777" w:rsidR="005A5FCC" w:rsidRDefault="00A21C81">
      <w:pPr>
        <w:spacing w:before="260" w:after="80" w:line="240" w:lineRule="auto"/>
        <w:jc w:val="left"/>
      </w:pPr>
      <w:r>
        <w:rPr>
          <w:rFonts w:cs="EB Garamond"/>
          <w:b/>
          <w:color w:val="3A3128"/>
          <w:kern w:val="16"/>
          <w:sz w:val="25"/>
          <w14:ligatures w14:val="standardContextual"/>
        </w:rPr>
        <w:t>15.20.6 Fungibilidade</w:t>
      </w:r>
    </w:p>
    <w:p w14:paraId="2E70D57E"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39BB0BFB" w14:textId="77777777" w:rsidR="005A5FCC" w:rsidRDefault="00A21C81">
      <w:r>
        <w:rPr>
          <w:rFonts w:cs="EB Garamond"/>
          <w:kern w:val="16"/>
          <w14:ligatures w14:val="standardContextual"/>
        </w:rPr>
        <w:t xml:space="preserve"> juiz do JEF pode conceder auxílio-acidente quando o segurado pleiteou auxílio por incapacidade temporária ou aposentadoria por incapacidade permanente, e vice-versa, desde que observado o contraditório. A fungibilidade é amplamente aceita e decorre da identidade de causa de pedir, como analisado no Capítulo 7 (seções 7.13 e 7.14.3) e no Capítulo 23 deste livro.</w:t>
      </w:r>
    </w:p>
    <w:p w14:paraId="57C7616B" w14:textId="77777777" w:rsidR="005A5FCC" w:rsidRDefault="00A21C81">
      <w:pPr>
        <w:spacing w:before="260" w:after="80" w:line="240" w:lineRule="auto"/>
        <w:jc w:val="left"/>
      </w:pPr>
      <w:r>
        <w:rPr>
          <w:rFonts w:cs="EB Garamond"/>
          <w:b/>
          <w:color w:val="3A3128"/>
          <w:kern w:val="16"/>
          <w:sz w:val="25"/>
          <w14:ligatures w14:val="standardContextual"/>
        </w:rPr>
        <w:t>15.20.7 Honorários e custas</w:t>
      </w:r>
    </w:p>
    <w:p w14:paraId="16F1196B"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3A68E5A7" w14:textId="77777777" w:rsidR="005A5FCC" w:rsidRDefault="00A21C81">
      <w:r>
        <w:rPr>
          <w:rFonts w:cs="EB Garamond"/>
          <w:kern w:val="16"/>
          <w14:ligatures w14:val="standardContextual"/>
        </w:rPr>
        <w:t xml:space="preserve">plicam-se as regras gerais dos JEFs: sem condenação em honorários quando a sentença é favorável ao segurado (art. 55, Lei 9.099/95 c/c art. 1º, Lei </w:t>
      </w:r>
      <w:r>
        <w:rPr>
          <w:rFonts w:cs="EB Garamond"/>
          <w:kern w:val="16"/>
          <w14:ligatures w14:val="standardContextual"/>
        </w:rPr>
        <w:lastRenderedPageBreak/>
        <w:t>10.259/2001). Honorários periciais pagos pela Justiça Federal quando o autor é beneficiário da gratuidade.</w:t>
      </w:r>
    </w:p>
    <w:p w14:paraId="653F11F4"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15.21 Questões especiais e controvérsias emergentes</w:t>
      </w:r>
    </w:p>
    <w:p w14:paraId="3FA0B91F" w14:textId="77777777" w:rsidR="005A5FCC" w:rsidRDefault="00A21C81">
      <w:pPr>
        <w:spacing w:before="260" w:after="80" w:line="240" w:lineRule="auto"/>
        <w:jc w:val="left"/>
      </w:pPr>
      <w:r>
        <w:rPr>
          <w:rFonts w:cs="EB Garamond"/>
          <w:b/>
          <w:color w:val="3A3128"/>
          <w:kern w:val="16"/>
          <w:sz w:val="25"/>
          <w14:ligatures w14:val="standardContextual"/>
        </w:rPr>
        <w:t>15.21.1 Doenças degenerativas e o tema 269/TNU</w:t>
      </w:r>
    </w:p>
    <w:p w14:paraId="13EAC14B"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3006045B" w14:textId="77777777" w:rsidR="005A5FCC" w:rsidRDefault="00A21C81">
      <w:r>
        <w:rPr>
          <w:rFonts w:cs="EB Garamond"/>
          <w:kern w:val="16"/>
          <w14:ligatures w14:val="standardContextual"/>
        </w:rPr>
        <w:t xml:space="preserve"> tese do Tema 269 exclui as doenças degenerativas do conceito de "acidente de qualquer natureza". Na prática, isso afeta um volume significativo de demandas: segurados com artrose, discopatias, tendinopatias e outras condições progressivas não fazem jus ao auxílio-acidente por "acidente de qualquer natureza" — salvo se demonstrarem que a condição decorre de acidente (trauma) específico.</w:t>
      </w:r>
    </w:p>
    <w:p w14:paraId="71E1F40B" w14:textId="77777777" w:rsidR="005A5FCC" w:rsidRDefault="00A21C81">
      <w:pPr>
        <w:ind w:firstLine="238"/>
      </w:pPr>
      <w:r>
        <w:rPr>
          <w:rFonts w:cs="EB Garamond"/>
          <w:kern w:val="16"/>
          <w14:ligatures w14:val="standardContextual"/>
        </w:rPr>
        <w:t>A controvérsia persiste quando há concausa: o segurado sofre trauma que agrava condição degenerativa preexistente. Nesses casos, a jurisprudência tende a reconhecer o auxílio-acidente se o trauma contribuiu significativamente para a redução da capacidade, mesmo que a condição de base seja degenerativa.</w:t>
      </w:r>
    </w:p>
    <w:p w14:paraId="045C33CC" w14:textId="77777777" w:rsidR="005A5FCC" w:rsidRDefault="00A21C81">
      <w:pPr>
        <w:spacing w:before="260" w:after="80" w:line="240" w:lineRule="auto"/>
        <w:jc w:val="left"/>
      </w:pPr>
      <w:r>
        <w:rPr>
          <w:rFonts w:cs="EB Garamond"/>
          <w:b/>
          <w:color w:val="3A3128"/>
          <w:kern w:val="16"/>
          <w:sz w:val="25"/>
          <w14:ligatures w14:val="standardContextual"/>
        </w:rPr>
        <w:t>15.21.2 LER/DORT</w:t>
      </w:r>
    </w:p>
    <w:p w14:paraId="603BDEDE"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73E1C89B" w14:textId="77777777" w:rsidR="005A5FCC" w:rsidRDefault="00A21C81">
      <w:r>
        <w:rPr>
          <w:rFonts w:cs="EB Garamond"/>
          <w:kern w:val="16"/>
          <w14:ligatures w14:val="standardContextual"/>
        </w:rPr>
        <w:t>s Lesões por Esforços Repetitivos e os Distúrbios Osteomusculares Relacionados ao Trabalho constituem doenças do trabalho (art. 20, II, Lei 8.213/91), não "acidente de qualquer natureza". A competência para ações de auxílio-acidente por LER/DORT é, portanto, da Justiça Estadual. Nos JEFs, o magistrado deve estar atento à causa de pedir: se o segurado alega LER/DORT vinculada ao trabalho, a competência é estadual, e o processo deve ser remetido.</w:t>
      </w:r>
    </w:p>
    <w:p w14:paraId="37D9D9F8" w14:textId="77777777" w:rsidR="005A5FCC" w:rsidRDefault="00A21C81">
      <w:pPr>
        <w:spacing w:before="260" w:after="80" w:line="240" w:lineRule="auto"/>
        <w:jc w:val="left"/>
      </w:pPr>
      <w:r>
        <w:rPr>
          <w:rFonts w:cs="EB Garamond"/>
          <w:b/>
          <w:color w:val="3A3128"/>
          <w:kern w:val="16"/>
          <w:sz w:val="25"/>
          <w14:ligatures w14:val="standardContextual"/>
        </w:rPr>
        <w:t>15.21.3 Cegueira monocular e perda visual</w:t>
      </w:r>
    </w:p>
    <w:p w14:paraId="3B8BDC15"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7F86D510" w14:textId="77777777" w:rsidR="005A5FCC" w:rsidRDefault="00A21C81">
      <w:r>
        <w:rPr>
          <w:rFonts w:cs="EB Garamond"/>
          <w:kern w:val="16"/>
          <w14:ligatures w14:val="standardContextual"/>
        </w:rPr>
        <w:t xml:space="preserve"> perda total da visão em um olho por acidente — tecnicamente designada amaurose ou cegueira monocular — gera auxílio-acidente quando há redução comprovada da capacidade para o trabalho habitual. A jurisprudência </w:t>
      </w:r>
      <w:r>
        <w:rPr>
          <w:rFonts w:cs="EB Garamond"/>
          <w:kern w:val="16"/>
          <w14:ligatures w14:val="standardContextual"/>
        </w:rPr>
        <w:lastRenderedPageBreak/>
        <w:t xml:space="preserve">reconhece que a supressão da visão binocular, com o comprometimento da estereopsia (percepção de profundidade) e a redução do campo visual, constitui sequela que reduz a capacidade para diversas atividades profissionais, especialmente as que exigem precisão manual ou operação de máquinas. Não se confunde a cegueira monocular com a </w:t>
      </w:r>
      <w:r>
        <w:rPr>
          <w:rFonts w:cs="EB Garamond"/>
          <w:i/>
          <w:kern w:val="16"/>
          <w14:ligatures w14:val="standardContextual"/>
        </w:rPr>
        <w:t>monovisão</w:t>
      </w:r>
      <w:r>
        <w:rPr>
          <w:rFonts w:cs="EB Garamond"/>
          <w:kern w:val="16"/>
          <w14:ligatures w14:val="standardContextual"/>
        </w:rPr>
        <w:t>, expressão reservada, na clínica oftalmológica, à correção em que cada olho é ajustado para uma distância focal distinta (um para longe, outro para perto); o uso atécnico do termo como sinônimo de perda visual unilateral deve ser evitado nas decisões e laudos.</w:t>
      </w:r>
    </w:p>
    <w:p w14:paraId="72A8B2EE" w14:textId="77777777" w:rsidR="005A5FCC" w:rsidRDefault="00A21C81">
      <w:pPr>
        <w:spacing w:before="260" w:after="80" w:line="240" w:lineRule="auto"/>
        <w:jc w:val="left"/>
      </w:pPr>
      <w:r>
        <w:rPr>
          <w:rFonts w:cs="EB Garamond"/>
          <w:b/>
          <w:color w:val="3A3128"/>
          <w:kern w:val="16"/>
          <w:sz w:val="25"/>
          <w14:ligatures w14:val="standardContextual"/>
        </w:rPr>
        <w:t>15.21.4 Policiais e militares</w:t>
      </w:r>
    </w:p>
    <w:p w14:paraId="4CE558DC"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P</w:t>
      </w:r>
    </w:p>
    <w:p w14:paraId="158EC844" w14:textId="77777777" w:rsidR="005A5FCC" w:rsidRDefault="00A21C81">
      <w:r>
        <w:rPr>
          <w:rFonts w:cs="EB Garamond"/>
          <w:kern w:val="16"/>
          <w14:ligatures w14:val="standardContextual"/>
        </w:rPr>
        <w:t>oliciais civis e militares são vinculados a regimes próprios de previdência, não ao RGPS, razão pela qual não fazem jus ao auxílio-acidente previsto na Lei n. 8.213/91. Policiais federais e rodoviários federais são servidores públicos federais vinculados ao RPPS da União, igualmente sem direito ao auxílio-acidente do RGPS. A eventual vinculação ao regime de previdência complementar da FUNPRESP-EXE não é automática para todo ingresso posterior a 2013: pressupõe ingresso após a vigência efetiva do regime complementar (a fundação foi instituída e entrou em funcionamento em fevereiro de 2013) e remuneração superior ao teto do RGPS, hipótese em que o servidor adere ao regime complementar quanto à parcela excedente — o que, de toda sorte, não lhe abre acesso ao auxílio-acidente do RGPS.</w:t>
      </w:r>
    </w:p>
    <w:p w14:paraId="21A5921A" w14:textId="77777777" w:rsidR="005A5FCC" w:rsidRDefault="00A21C81">
      <w:pPr>
        <w:ind w:firstLine="238"/>
      </w:pPr>
      <w:r>
        <w:rPr>
          <w:rFonts w:cs="EB Garamond"/>
          <w:kern w:val="16"/>
          <w14:ligatures w14:val="standardContextual"/>
        </w:rPr>
        <w:t>A distinção, longe de ser irrelevante, é útil na triagem das petições iniciais dos JEFs: identificar de plano que o autor é policial ou militar vinculado a regime próprio permite afastar, desde o despacho inicial, pedidos de auxílio-acidente formulados com base na Lei n. 8.213/91, evitando instrução desnecessária e eventual perícia em demanda fadada à improcedência por ausência de cobertura no RGPS.</w:t>
      </w:r>
    </w:p>
    <w:p w14:paraId="67E2A82A" w14:textId="77777777" w:rsidR="005A5FCC" w:rsidRDefault="00A21C81">
      <w:pPr>
        <w:spacing w:before="260" w:after="80" w:line="240" w:lineRule="auto"/>
        <w:jc w:val="left"/>
      </w:pPr>
      <w:r>
        <w:rPr>
          <w:rFonts w:cs="EB Garamond"/>
          <w:b/>
          <w:color w:val="3A3128"/>
          <w:kern w:val="16"/>
          <w:sz w:val="25"/>
          <w14:ligatures w14:val="standardContextual"/>
        </w:rPr>
        <w:t>15.21.5 Auxílio-acidente e reabilitação profissional</w:t>
      </w:r>
    </w:p>
    <w:p w14:paraId="7D5A405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0A63A885" w14:textId="369732FA" w:rsidR="005A5FCC" w:rsidRDefault="00A21C81">
      <w:r>
        <w:rPr>
          <w:rFonts w:cs="EB Garamond"/>
          <w:kern w:val="16"/>
          <w14:ligatures w14:val="standardContextual"/>
        </w:rPr>
        <w:t xml:space="preserve"> segurado que recebe auxílio-acidente pode ser encaminhado para reabilitação profissional (art. 89, Lei 8.213/91). A reabilitação visa preparar o segurado para atividade diversa da habitual, compatível com suas limitações. </w:t>
      </w:r>
      <w:r>
        <w:rPr>
          <w:rFonts w:cs="EB Garamond"/>
          <w:kern w:val="16"/>
          <w14:ligatures w14:val="standardContextual"/>
        </w:rPr>
        <w:lastRenderedPageBreak/>
        <w:t>A conclusão bem-sucedida da reabilitação não cessa o auxílio-acidente — o benefício persiste enquanto houver redução da capacidade para o trabalho habitual, mesmo que o segurado esteja reabilitado para outra atividade. Esclarece</w:t>
      </w:r>
      <w:r w:rsidR="00FD0B65">
        <w:rPr>
          <w:rFonts w:cs="EB Garamond"/>
          <w:kern w:val="16"/>
          <w14:ligatures w14:val="standardContextual"/>
        </w:rPr>
        <w:t>-se</w:t>
      </w:r>
      <w:r>
        <w:rPr>
          <w:rFonts w:cs="EB Garamond"/>
          <w:kern w:val="16"/>
          <w14:ligatures w14:val="standardContextual"/>
        </w:rPr>
        <w:t xml:space="preserve"> que a reabilitação profissional e o auxílio-acidente operam em planos distintos: enquanto a primeira visa adaptar o segurado a nova atividade, o segundo compensa a perda funcional permanente em relação à atividade originária, de modo que a reabilitação bem-sucedida não afasta o direito ao benefício indenizatório.</w:t>
      </w:r>
    </w:p>
    <w:p w14:paraId="2C44B87B" w14:textId="77777777" w:rsidR="005A5FCC" w:rsidRDefault="00A21C81">
      <w:pPr>
        <w:spacing w:before="260" w:after="80" w:line="240" w:lineRule="auto"/>
        <w:jc w:val="left"/>
      </w:pPr>
      <w:r>
        <w:rPr>
          <w:rFonts w:cs="EB Garamond"/>
          <w:b/>
          <w:color w:val="3A3128"/>
          <w:kern w:val="16"/>
          <w:sz w:val="25"/>
          <w14:ligatures w14:val="standardContextual"/>
        </w:rPr>
        <w:t>15.21.6 Irrepetibilidade dos valores recebidos de boa-fé</w:t>
      </w:r>
    </w:p>
    <w:p w14:paraId="63660911"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5C76CED4" w14:textId="77777777" w:rsidR="005A5FCC" w:rsidRDefault="00A21C81">
      <w:r>
        <w:rPr>
          <w:rFonts w:cs="EB Garamond"/>
          <w:kern w:val="16"/>
          <w14:ligatures w14:val="standardContextual"/>
        </w:rPr>
        <w:t xml:space="preserve"> STJ, na edição 198 da Jurisprudência em Teses, firmou que "é indevida a devolução ao INSS do auxílio-acidente recebido de boa-fé pelos segurados a título de aplicação retroativa da majoração estabelecida pela Lei 9.032, de 1995." Embora a tese tenha escopo específico, a majoração retroativa dos percentuais do auxílio-acidente, ela se insere no princípio mais amplo da irrepetibilidade dos benefícios previdenciários recebidos de boa-fé, consolidado pelo STJ em diversas outras matérias previdenciárias e extensamente aplicado nos JEFs. A vedação de devolução protege o segurado contra cobranças retroativas do INSS quando o benefício é posteriormente cessado ou revisado.</w:t>
      </w:r>
    </w:p>
    <w:p w14:paraId="54E98C4E"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15.22 Síntese e quadros práticos</w:t>
      </w:r>
    </w:p>
    <w:tbl>
      <w:tblPr>
        <w:tblW w:w="5000" w:type="pct"/>
        <w:jc w:val="center"/>
        <w:tblLayout w:type="fixed"/>
        <w:tblLook w:val="04A0" w:firstRow="1" w:lastRow="0" w:firstColumn="1" w:lastColumn="0" w:noHBand="0" w:noVBand="1"/>
      </w:tblPr>
      <w:tblGrid>
        <w:gridCol w:w="6311"/>
      </w:tblGrid>
      <w:tr w:rsidR="005A5FCC" w14:paraId="162EBAC8" w14:textId="77777777">
        <w:trPr>
          <w:cantSplit/>
          <w:jc w:val="center"/>
        </w:trPr>
        <w:tc>
          <w:tcPr>
            <w:tcW w:w="6350" w:type="dxa"/>
            <w:tcBorders>
              <w:top w:val="single" w:sz="7" w:space="0" w:color="A09882"/>
              <w:left w:val="single" w:sz="24" w:space="0" w:color="6B6256"/>
              <w:bottom w:val="single" w:sz="7" w:space="0" w:color="A09882"/>
              <w:right w:val="single" w:sz="7" w:space="0" w:color="A09882"/>
            </w:tcBorders>
            <w:shd w:val="clear" w:color="auto" w:fill="F5F3EF"/>
            <w:tcMar>
              <w:top w:w="150" w:type="dxa"/>
              <w:left w:w="220" w:type="dxa"/>
              <w:bottom w:w="150" w:type="dxa"/>
              <w:right w:w="180" w:type="dxa"/>
            </w:tcMar>
          </w:tcPr>
          <w:p w14:paraId="1EB87EC1" w14:textId="77777777" w:rsidR="005A5FCC" w:rsidRDefault="00A21C81">
            <w:pPr>
              <w:spacing w:after="60" w:line="240" w:lineRule="auto"/>
              <w:jc w:val="left"/>
            </w:pPr>
            <w:r>
              <w:rPr>
                <w:rFonts w:ascii="Noto Sans" w:hAnsi="Noto Sans" w:cs="Noto Sans"/>
                <w:b/>
                <w:caps/>
                <w:color w:val="6B6256"/>
                <w:kern w:val="16"/>
                <w:sz w:val="16"/>
                <w14:ligatures w14:val="standardContextual"/>
              </w:rPr>
              <w:t>QUADRO</w:t>
            </w:r>
          </w:p>
          <w:p w14:paraId="26E3739A" w14:textId="77777777" w:rsidR="005A5FCC" w:rsidRDefault="00A21C81">
            <w:pPr>
              <w:spacing w:after="60" w:line="247" w:lineRule="auto"/>
            </w:pPr>
            <w:r>
              <w:rPr>
                <w:rFonts w:cs="EB Garamond"/>
                <w:b/>
                <w:kern w:val="16"/>
                <w:sz w:val="19"/>
                <w14:ligatures w14:val="standardContextual"/>
              </w:rPr>
              <w:t>Quadro 15.1 — Requisitos do Auxílio-Acidente</w:t>
            </w:r>
          </w:p>
          <w:tbl>
            <w:tblPr>
              <w:tblW w:w="5000" w:type="pct"/>
              <w:jc w:val="center"/>
              <w:tblLook w:val="04A0" w:firstRow="1" w:lastRow="0" w:firstColumn="1" w:lastColumn="0" w:noHBand="0" w:noVBand="1"/>
            </w:tblPr>
            <w:tblGrid>
              <w:gridCol w:w="2951"/>
              <w:gridCol w:w="2950"/>
            </w:tblGrid>
            <w:tr w:rsidR="005A5FCC" w14:paraId="782FC577" w14:textId="77777777">
              <w:trPr>
                <w:tblHeader/>
                <w:jc w:val="center"/>
              </w:trPr>
              <w:tc>
                <w:tcPr>
                  <w:tcW w:w="3175" w:type="dxa"/>
                  <w:tcBorders>
                    <w:top w:val="single" w:sz="4" w:space="0" w:color="D2C9B8"/>
                    <w:left w:val="single" w:sz="4" w:space="0" w:color="D2C9B8"/>
                    <w:bottom w:val="single" w:sz="4" w:space="0" w:color="D2C9B8"/>
                    <w:right w:val="single" w:sz="4" w:space="0" w:color="D2C9B8"/>
                  </w:tcBorders>
                  <w:shd w:val="clear" w:color="auto" w:fill="F0EDE6"/>
                </w:tcPr>
                <w:p w14:paraId="7ED6AB57" w14:textId="77777777" w:rsidR="005A5FCC" w:rsidRDefault="00A21C81">
                  <w:pPr>
                    <w:spacing w:before="30" w:after="30" w:line="240" w:lineRule="auto"/>
                    <w:jc w:val="center"/>
                  </w:pPr>
                  <w:r>
                    <w:rPr>
                      <w:rFonts w:cs="EB Garamond"/>
                      <w:b/>
                      <w:color w:val="2F2923"/>
                      <w:kern w:val="16"/>
                      <w:sz w:val="16"/>
                      <w14:ligatures w14:val="standardContextual"/>
                    </w:rPr>
                    <w:t>Requisito</w:t>
                  </w:r>
                </w:p>
              </w:tc>
              <w:tc>
                <w:tcPr>
                  <w:tcW w:w="3175" w:type="dxa"/>
                  <w:tcBorders>
                    <w:top w:val="single" w:sz="4" w:space="0" w:color="D2C9B8"/>
                    <w:left w:val="single" w:sz="4" w:space="0" w:color="D2C9B8"/>
                    <w:bottom w:val="single" w:sz="4" w:space="0" w:color="D2C9B8"/>
                    <w:right w:val="single" w:sz="4" w:space="0" w:color="D2C9B8"/>
                  </w:tcBorders>
                  <w:shd w:val="clear" w:color="auto" w:fill="F0EDE6"/>
                </w:tcPr>
                <w:p w14:paraId="0C7824FD" w14:textId="77777777" w:rsidR="005A5FCC" w:rsidRDefault="00A21C81">
                  <w:pPr>
                    <w:spacing w:before="30" w:after="30" w:line="240" w:lineRule="auto"/>
                    <w:jc w:val="center"/>
                  </w:pPr>
                  <w:r>
                    <w:rPr>
                      <w:rFonts w:cs="EB Garamond"/>
                      <w:b/>
                      <w:color w:val="2F2923"/>
                      <w:kern w:val="16"/>
                      <w:sz w:val="16"/>
                      <w14:ligatures w14:val="standardContextual"/>
                    </w:rPr>
                    <w:t>Descrição</w:t>
                  </w:r>
                </w:p>
              </w:tc>
            </w:tr>
            <w:tr w:rsidR="005A5FCC" w14:paraId="3E33C09E"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5BB751FA" w14:textId="77777777" w:rsidR="005A5FCC" w:rsidRDefault="00A21C81">
                  <w:pPr>
                    <w:spacing w:before="20" w:after="20" w:line="240" w:lineRule="auto"/>
                    <w:jc w:val="left"/>
                  </w:pPr>
                  <w:r>
                    <w:rPr>
                      <w:rFonts w:cs="EB Garamond"/>
                      <w:b/>
                      <w:kern w:val="16"/>
                      <w:sz w:val="16"/>
                      <w14:ligatures w14:val="standardContextual"/>
                    </w:rPr>
                    <w:t>Fato gerador</w:t>
                  </w:r>
                </w:p>
              </w:tc>
              <w:tc>
                <w:tcPr>
                  <w:tcW w:w="3175" w:type="dxa"/>
                  <w:tcBorders>
                    <w:top w:val="single" w:sz="4" w:space="0" w:color="D2C9B8"/>
                    <w:left w:val="single" w:sz="4" w:space="0" w:color="D2C9B8"/>
                    <w:bottom w:val="single" w:sz="4" w:space="0" w:color="D2C9B8"/>
                    <w:right w:val="single" w:sz="4" w:space="0" w:color="D2C9B8"/>
                  </w:tcBorders>
                </w:tcPr>
                <w:p w14:paraId="22D0C574" w14:textId="77777777" w:rsidR="005A5FCC" w:rsidRDefault="00A21C81">
                  <w:pPr>
                    <w:spacing w:before="20" w:after="20" w:line="240" w:lineRule="auto"/>
                    <w:jc w:val="left"/>
                  </w:pPr>
                  <w:r>
                    <w:rPr>
                      <w:rFonts w:cs="EB Garamond"/>
                      <w:kern w:val="16"/>
                      <w:sz w:val="16"/>
                      <w14:ligatures w14:val="standardContextual"/>
                    </w:rPr>
                    <w:t>Acidente de qualquer natureza (art. 86, caput)</w:t>
                  </w:r>
                </w:p>
              </w:tc>
            </w:tr>
            <w:tr w:rsidR="005A5FCC" w14:paraId="1C05A30C"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62714031" w14:textId="77777777" w:rsidR="005A5FCC" w:rsidRDefault="00A21C81">
                  <w:pPr>
                    <w:spacing w:before="20" w:after="20" w:line="240" w:lineRule="auto"/>
                    <w:jc w:val="left"/>
                  </w:pPr>
                  <w:r>
                    <w:rPr>
                      <w:rFonts w:cs="EB Garamond"/>
                      <w:b/>
                      <w:kern w:val="16"/>
                      <w:sz w:val="16"/>
                      <w14:ligatures w14:val="standardContextual"/>
                    </w:rPr>
                    <w:t>Consolidação</w:t>
                  </w:r>
                </w:p>
              </w:tc>
              <w:tc>
                <w:tcPr>
                  <w:tcW w:w="3175" w:type="dxa"/>
                  <w:tcBorders>
                    <w:top w:val="single" w:sz="4" w:space="0" w:color="D2C9B8"/>
                    <w:left w:val="single" w:sz="4" w:space="0" w:color="D2C9B8"/>
                    <w:bottom w:val="single" w:sz="4" w:space="0" w:color="D2C9B8"/>
                    <w:right w:val="single" w:sz="4" w:space="0" w:color="D2C9B8"/>
                  </w:tcBorders>
                </w:tcPr>
                <w:p w14:paraId="2DB88CFD" w14:textId="77777777" w:rsidR="005A5FCC" w:rsidRDefault="00A21C81">
                  <w:pPr>
                    <w:spacing w:before="20" w:after="20" w:line="240" w:lineRule="auto"/>
                    <w:jc w:val="left"/>
                  </w:pPr>
                  <w:r>
                    <w:rPr>
                      <w:rFonts w:cs="EB Garamond"/>
                      <w:kern w:val="16"/>
                      <w:sz w:val="16"/>
                      <w14:ligatures w14:val="standardContextual"/>
                    </w:rPr>
                    <w:t>Lesões consolidadas (estáveis)</w:t>
                  </w:r>
                </w:p>
              </w:tc>
            </w:tr>
            <w:tr w:rsidR="005A5FCC" w14:paraId="03752347"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1F4CD4BC" w14:textId="77777777" w:rsidR="005A5FCC" w:rsidRDefault="00A21C81">
                  <w:pPr>
                    <w:spacing w:before="20" w:after="20" w:line="240" w:lineRule="auto"/>
                    <w:jc w:val="left"/>
                  </w:pPr>
                  <w:r>
                    <w:rPr>
                      <w:rFonts w:cs="EB Garamond"/>
                      <w:b/>
                      <w:kern w:val="16"/>
                      <w:sz w:val="16"/>
                      <w14:ligatures w14:val="standardContextual"/>
                    </w:rPr>
                    <w:t>Sequela</w:t>
                  </w:r>
                </w:p>
              </w:tc>
              <w:tc>
                <w:tcPr>
                  <w:tcW w:w="3175" w:type="dxa"/>
                  <w:tcBorders>
                    <w:top w:val="single" w:sz="4" w:space="0" w:color="D2C9B8"/>
                    <w:left w:val="single" w:sz="4" w:space="0" w:color="D2C9B8"/>
                    <w:bottom w:val="single" w:sz="4" w:space="0" w:color="D2C9B8"/>
                    <w:right w:val="single" w:sz="4" w:space="0" w:color="D2C9B8"/>
                  </w:tcBorders>
                </w:tcPr>
                <w:p w14:paraId="6189EDD0" w14:textId="77777777" w:rsidR="005A5FCC" w:rsidRDefault="00A21C81">
                  <w:pPr>
                    <w:spacing w:before="20" w:after="20" w:line="240" w:lineRule="auto"/>
                    <w:jc w:val="left"/>
                  </w:pPr>
                  <w:r>
                    <w:rPr>
                      <w:rFonts w:cs="EB Garamond"/>
                      <w:kern w:val="16"/>
                      <w:sz w:val="16"/>
                      <w14:ligatures w14:val="standardContextual"/>
                    </w:rPr>
                    <w:t>Redução permanente da capacidade para o trabalho habitual</w:t>
                  </w:r>
                </w:p>
              </w:tc>
            </w:tr>
            <w:tr w:rsidR="005A5FCC" w14:paraId="207CA8CB"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3FD6FEAF" w14:textId="77777777" w:rsidR="005A5FCC" w:rsidRDefault="00A21C81">
                  <w:pPr>
                    <w:spacing w:before="20" w:after="20" w:line="240" w:lineRule="auto"/>
                    <w:jc w:val="left"/>
                  </w:pPr>
                  <w:r>
                    <w:rPr>
                      <w:rFonts w:cs="EB Garamond"/>
                      <w:b/>
                      <w:kern w:val="16"/>
                      <w:sz w:val="16"/>
                      <w14:ligatures w14:val="standardContextual"/>
                    </w:rPr>
                    <w:t>Qualidade de segurado</w:t>
                  </w:r>
                </w:p>
              </w:tc>
              <w:tc>
                <w:tcPr>
                  <w:tcW w:w="3175" w:type="dxa"/>
                  <w:tcBorders>
                    <w:top w:val="single" w:sz="4" w:space="0" w:color="D2C9B8"/>
                    <w:left w:val="single" w:sz="4" w:space="0" w:color="D2C9B8"/>
                    <w:bottom w:val="single" w:sz="4" w:space="0" w:color="D2C9B8"/>
                    <w:right w:val="single" w:sz="4" w:space="0" w:color="D2C9B8"/>
                  </w:tcBorders>
                </w:tcPr>
                <w:p w14:paraId="35F559A4" w14:textId="77777777" w:rsidR="005A5FCC" w:rsidRDefault="00A21C81">
                  <w:pPr>
                    <w:spacing w:before="20" w:after="20" w:line="240" w:lineRule="auto"/>
                    <w:jc w:val="left"/>
                  </w:pPr>
                  <w:r>
                    <w:rPr>
                      <w:rFonts w:cs="EB Garamond"/>
                      <w:kern w:val="16"/>
                      <w:sz w:val="16"/>
                      <w14:ligatures w14:val="standardContextual"/>
                    </w:rPr>
                    <w:t>Exigida na data do acidente</w:t>
                  </w:r>
                </w:p>
              </w:tc>
            </w:tr>
            <w:tr w:rsidR="005A5FCC" w14:paraId="4ABE7A58"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696440C5" w14:textId="77777777" w:rsidR="005A5FCC" w:rsidRDefault="00A21C81">
                  <w:pPr>
                    <w:spacing w:before="20" w:after="20" w:line="240" w:lineRule="auto"/>
                    <w:jc w:val="left"/>
                  </w:pPr>
                  <w:r>
                    <w:rPr>
                      <w:rFonts w:cs="EB Garamond"/>
                      <w:b/>
                      <w:kern w:val="16"/>
                      <w:sz w:val="16"/>
                      <w14:ligatures w14:val="standardContextual"/>
                    </w:rPr>
                    <w:t>Carência</w:t>
                  </w:r>
                </w:p>
              </w:tc>
              <w:tc>
                <w:tcPr>
                  <w:tcW w:w="3175" w:type="dxa"/>
                  <w:tcBorders>
                    <w:top w:val="single" w:sz="4" w:space="0" w:color="D2C9B8"/>
                    <w:left w:val="single" w:sz="4" w:space="0" w:color="D2C9B8"/>
                    <w:bottom w:val="single" w:sz="4" w:space="0" w:color="D2C9B8"/>
                    <w:right w:val="single" w:sz="4" w:space="0" w:color="D2C9B8"/>
                  </w:tcBorders>
                </w:tcPr>
                <w:p w14:paraId="4615BB47" w14:textId="77777777" w:rsidR="005A5FCC" w:rsidRDefault="00A21C81">
                  <w:pPr>
                    <w:spacing w:before="20" w:after="20" w:line="240" w:lineRule="auto"/>
                    <w:jc w:val="left"/>
                  </w:pPr>
                  <w:r>
                    <w:rPr>
                      <w:rFonts w:cs="EB Garamond"/>
                      <w:kern w:val="16"/>
                      <w:sz w:val="16"/>
                      <w14:ligatures w14:val="standardContextual"/>
                    </w:rPr>
                    <w:t>Dispensada (art. 26, I)</w:t>
                  </w:r>
                </w:p>
              </w:tc>
            </w:tr>
            <w:tr w:rsidR="005A5FCC" w14:paraId="0DD73FE0"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08685CDC" w14:textId="77777777" w:rsidR="005A5FCC" w:rsidRDefault="00A21C81">
                  <w:pPr>
                    <w:spacing w:before="20" w:after="20" w:line="240" w:lineRule="auto"/>
                    <w:jc w:val="left"/>
                  </w:pPr>
                  <w:r>
                    <w:rPr>
                      <w:rFonts w:cs="EB Garamond"/>
                      <w:b/>
                      <w:kern w:val="16"/>
                      <w:sz w:val="16"/>
                      <w14:ligatures w14:val="standardContextual"/>
                    </w:rPr>
                    <w:t>Segurados</w:t>
                  </w:r>
                </w:p>
              </w:tc>
              <w:tc>
                <w:tcPr>
                  <w:tcW w:w="3175" w:type="dxa"/>
                  <w:tcBorders>
                    <w:top w:val="single" w:sz="4" w:space="0" w:color="D2C9B8"/>
                    <w:left w:val="single" w:sz="4" w:space="0" w:color="D2C9B8"/>
                    <w:bottom w:val="single" w:sz="4" w:space="0" w:color="D2C9B8"/>
                    <w:right w:val="single" w:sz="4" w:space="0" w:color="D2C9B8"/>
                  </w:tcBorders>
                </w:tcPr>
                <w:p w14:paraId="26BF2410" w14:textId="77777777" w:rsidR="005A5FCC" w:rsidRDefault="00A21C81">
                  <w:pPr>
                    <w:spacing w:before="20" w:after="20" w:line="240" w:lineRule="auto"/>
                    <w:jc w:val="left"/>
                  </w:pPr>
                  <w:r>
                    <w:rPr>
                      <w:rFonts w:cs="EB Garamond"/>
                      <w:kern w:val="16"/>
                      <w:sz w:val="16"/>
                      <w14:ligatures w14:val="standardContextual"/>
                    </w:rPr>
                    <w:t>Empregado, doméstico, avulso, especial</w:t>
                  </w:r>
                </w:p>
              </w:tc>
            </w:tr>
            <w:tr w:rsidR="005A5FCC" w14:paraId="34AEA055"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15BA217C" w14:textId="77777777" w:rsidR="005A5FCC" w:rsidRDefault="00A21C81">
                  <w:pPr>
                    <w:spacing w:before="20" w:after="20" w:line="240" w:lineRule="auto"/>
                    <w:jc w:val="left"/>
                  </w:pPr>
                  <w:r>
                    <w:rPr>
                      <w:rFonts w:cs="EB Garamond"/>
                      <w:b/>
                      <w:kern w:val="16"/>
                      <w:sz w:val="16"/>
                      <w14:ligatures w14:val="standardContextual"/>
                    </w:rPr>
                    <w:t>Excluídos</w:t>
                  </w:r>
                </w:p>
              </w:tc>
              <w:tc>
                <w:tcPr>
                  <w:tcW w:w="3175" w:type="dxa"/>
                  <w:tcBorders>
                    <w:top w:val="single" w:sz="4" w:space="0" w:color="D2C9B8"/>
                    <w:left w:val="single" w:sz="4" w:space="0" w:color="D2C9B8"/>
                    <w:bottom w:val="single" w:sz="4" w:space="0" w:color="D2C9B8"/>
                    <w:right w:val="single" w:sz="4" w:space="0" w:color="D2C9B8"/>
                  </w:tcBorders>
                </w:tcPr>
                <w:p w14:paraId="20A352DD" w14:textId="77777777" w:rsidR="005A5FCC" w:rsidRDefault="00A21C81">
                  <w:pPr>
                    <w:spacing w:before="20" w:after="20" w:line="240" w:lineRule="auto"/>
                    <w:jc w:val="left"/>
                  </w:pPr>
                  <w:r>
                    <w:rPr>
                      <w:rFonts w:cs="EB Garamond"/>
                      <w:kern w:val="16"/>
                      <w:sz w:val="16"/>
                      <w14:ligatures w14:val="standardContextual"/>
                    </w:rPr>
                    <w:t>Contribuinte individual, facultativo</w:t>
                  </w:r>
                </w:p>
              </w:tc>
            </w:tr>
          </w:tbl>
          <w:p w14:paraId="2A49B1A0" w14:textId="77777777" w:rsidR="005A5FCC" w:rsidRDefault="005A5FCC"/>
          <w:p w14:paraId="68300B4F" w14:textId="77777777" w:rsidR="005A5FCC" w:rsidRDefault="005A5FCC">
            <w:pPr>
              <w:spacing w:after="0" w:line="240" w:lineRule="auto"/>
            </w:pPr>
          </w:p>
        </w:tc>
      </w:tr>
    </w:tbl>
    <w:p w14:paraId="19C03F69" w14:textId="77777777" w:rsidR="005A5FCC" w:rsidRDefault="005A5FCC">
      <w:pPr>
        <w:spacing w:after="80" w:line="240" w:lineRule="auto"/>
      </w:pPr>
    </w:p>
    <w:tbl>
      <w:tblPr>
        <w:tblW w:w="5000" w:type="pct"/>
        <w:jc w:val="center"/>
        <w:tblLayout w:type="fixed"/>
        <w:tblLook w:val="04A0" w:firstRow="1" w:lastRow="0" w:firstColumn="1" w:lastColumn="0" w:noHBand="0" w:noVBand="1"/>
      </w:tblPr>
      <w:tblGrid>
        <w:gridCol w:w="6311"/>
      </w:tblGrid>
      <w:tr w:rsidR="005A5FCC" w14:paraId="226B35EE" w14:textId="77777777">
        <w:trPr>
          <w:cantSplit/>
          <w:jc w:val="center"/>
        </w:trPr>
        <w:tc>
          <w:tcPr>
            <w:tcW w:w="6350" w:type="dxa"/>
            <w:tcBorders>
              <w:top w:val="single" w:sz="7" w:space="0" w:color="A09882"/>
              <w:left w:val="single" w:sz="24" w:space="0" w:color="6B6256"/>
              <w:bottom w:val="single" w:sz="7" w:space="0" w:color="A09882"/>
              <w:right w:val="single" w:sz="7" w:space="0" w:color="A09882"/>
            </w:tcBorders>
            <w:shd w:val="clear" w:color="auto" w:fill="F5F3EF"/>
            <w:tcMar>
              <w:top w:w="150" w:type="dxa"/>
              <w:left w:w="220" w:type="dxa"/>
              <w:bottom w:w="150" w:type="dxa"/>
              <w:right w:w="180" w:type="dxa"/>
            </w:tcMar>
          </w:tcPr>
          <w:p w14:paraId="7F4D4DD2" w14:textId="77777777" w:rsidR="005A5FCC" w:rsidRDefault="00A21C81">
            <w:pPr>
              <w:spacing w:after="60" w:line="240" w:lineRule="auto"/>
              <w:jc w:val="left"/>
            </w:pPr>
            <w:r>
              <w:rPr>
                <w:rFonts w:ascii="Noto Sans" w:hAnsi="Noto Sans" w:cs="Noto Sans"/>
                <w:b/>
                <w:caps/>
                <w:color w:val="6B6256"/>
                <w:kern w:val="16"/>
                <w:sz w:val="16"/>
                <w14:ligatures w14:val="standardContextual"/>
              </w:rPr>
              <w:t>QUADRO</w:t>
            </w:r>
          </w:p>
          <w:p w14:paraId="53AF77B6" w14:textId="77777777" w:rsidR="005A5FCC" w:rsidRDefault="00A21C81">
            <w:pPr>
              <w:spacing w:after="60" w:line="247" w:lineRule="auto"/>
            </w:pPr>
            <w:r>
              <w:rPr>
                <w:rFonts w:cs="EB Garamond"/>
                <w:b/>
                <w:kern w:val="16"/>
                <w:sz w:val="19"/>
                <w14:ligatures w14:val="standardContextual"/>
              </w:rPr>
              <w:t>Quadro 15.2 — Valor e Duração</w:t>
            </w:r>
          </w:p>
          <w:tbl>
            <w:tblPr>
              <w:tblW w:w="5000" w:type="pct"/>
              <w:jc w:val="center"/>
              <w:tblLook w:val="04A0" w:firstRow="1" w:lastRow="0" w:firstColumn="1" w:lastColumn="0" w:noHBand="0" w:noVBand="1"/>
            </w:tblPr>
            <w:tblGrid>
              <w:gridCol w:w="2951"/>
              <w:gridCol w:w="2950"/>
            </w:tblGrid>
            <w:tr w:rsidR="005A5FCC" w14:paraId="6A69B7AB" w14:textId="77777777">
              <w:trPr>
                <w:tblHeader/>
                <w:jc w:val="center"/>
              </w:trPr>
              <w:tc>
                <w:tcPr>
                  <w:tcW w:w="3175" w:type="dxa"/>
                  <w:tcBorders>
                    <w:top w:val="single" w:sz="4" w:space="0" w:color="D2C9B8"/>
                    <w:left w:val="single" w:sz="4" w:space="0" w:color="D2C9B8"/>
                    <w:bottom w:val="single" w:sz="4" w:space="0" w:color="D2C9B8"/>
                    <w:right w:val="single" w:sz="4" w:space="0" w:color="D2C9B8"/>
                  </w:tcBorders>
                  <w:shd w:val="clear" w:color="auto" w:fill="F0EDE6"/>
                </w:tcPr>
                <w:p w14:paraId="0D9055DD" w14:textId="77777777" w:rsidR="005A5FCC" w:rsidRDefault="00A21C81">
                  <w:pPr>
                    <w:spacing w:before="30" w:after="30" w:line="240" w:lineRule="auto"/>
                    <w:jc w:val="center"/>
                  </w:pPr>
                  <w:r>
                    <w:rPr>
                      <w:rFonts w:cs="EB Garamond"/>
                      <w:b/>
                      <w:color w:val="2F2923"/>
                      <w:kern w:val="16"/>
                      <w:sz w:val="16"/>
                      <w14:ligatures w14:val="standardContextual"/>
                    </w:rPr>
                    <w:t>Item</w:t>
                  </w:r>
                </w:p>
              </w:tc>
              <w:tc>
                <w:tcPr>
                  <w:tcW w:w="3175" w:type="dxa"/>
                  <w:tcBorders>
                    <w:top w:val="single" w:sz="4" w:space="0" w:color="D2C9B8"/>
                    <w:left w:val="single" w:sz="4" w:space="0" w:color="D2C9B8"/>
                    <w:bottom w:val="single" w:sz="4" w:space="0" w:color="D2C9B8"/>
                    <w:right w:val="single" w:sz="4" w:space="0" w:color="D2C9B8"/>
                  </w:tcBorders>
                  <w:shd w:val="clear" w:color="auto" w:fill="F0EDE6"/>
                </w:tcPr>
                <w:p w14:paraId="753AC378" w14:textId="77777777" w:rsidR="005A5FCC" w:rsidRDefault="00A21C81">
                  <w:pPr>
                    <w:spacing w:before="30" w:after="30" w:line="240" w:lineRule="auto"/>
                    <w:jc w:val="center"/>
                  </w:pPr>
                  <w:r>
                    <w:rPr>
                      <w:rFonts w:cs="EB Garamond"/>
                      <w:b/>
                      <w:color w:val="2F2923"/>
                      <w:kern w:val="16"/>
                      <w:sz w:val="16"/>
                      <w14:ligatures w14:val="standardContextual"/>
                    </w:rPr>
                    <w:t>Regra</w:t>
                  </w:r>
                </w:p>
              </w:tc>
            </w:tr>
            <w:tr w:rsidR="005A5FCC" w14:paraId="296EBA13"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74B81CAB" w14:textId="77777777" w:rsidR="005A5FCC" w:rsidRDefault="00A21C81">
                  <w:pPr>
                    <w:spacing w:before="20" w:after="20" w:line="240" w:lineRule="auto"/>
                    <w:jc w:val="left"/>
                  </w:pPr>
                  <w:r>
                    <w:rPr>
                      <w:rFonts w:cs="EB Garamond"/>
                      <w:b/>
                      <w:kern w:val="16"/>
                      <w:sz w:val="16"/>
                      <w14:ligatures w14:val="standardContextual"/>
                    </w:rPr>
                    <w:t>Percentual</w:t>
                  </w:r>
                </w:p>
              </w:tc>
              <w:tc>
                <w:tcPr>
                  <w:tcW w:w="3175" w:type="dxa"/>
                  <w:tcBorders>
                    <w:top w:val="single" w:sz="4" w:space="0" w:color="D2C9B8"/>
                    <w:left w:val="single" w:sz="4" w:space="0" w:color="D2C9B8"/>
                    <w:bottom w:val="single" w:sz="4" w:space="0" w:color="D2C9B8"/>
                    <w:right w:val="single" w:sz="4" w:space="0" w:color="D2C9B8"/>
                  </w:tcBorders>
                </w:tcPr>
                <w:p w14:paraId="5630CE7F" w14:textId="77777777" w:rsidR="005A5FCC" w:rsidRDefault="00A21C81">
                  <w:pPr>
                    <w:spacing w:before="20" w:after="20" w:line="240" w:lineRule="auto"/>
                    <w:jc w:val="left"/>
                  </w:pPr>
                  <w:r>
                    <w:rPr>
                      <w:rFonts w:cs="EB Garamond"/>
                      <w:kern w:val="16"/>
                      <w:sz w:val="16"/>
                      <w14:ligatures w14:val="standardContextual"/>
                    </w:rPr>
                    <w:t>50% do salário-de-benefício</w:t>
                  </w:r>
                </w:p>
              </w:tc>
            </w:tr>
            <w:tr w:rsidR="005A5FCC" w14:paraId="5C78E929"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17E53FE0" w14:textId="77777777" w:rsidR="005A5FCC" w:rsidRDefault="00A21C81">
                  <w:pPr>
                    <w:spacing w:before="20" w:after="20" w:line="240" w:lineRule="auto"/>
                    <w:jc w:val="left"/>
                  </w:pPr>
                  <w:r>
                    <w:rPr>
                      <w:rFonts w:cs="EB Garamond"/>
                      <w:b/>
                      <w:kern w:val="16"/>
                      <w:sz w:val="16"/>
                      <w14:ligatures w14:val="standardContextual"/>
                    </w:rPr>
                    <w:t>Cálculo (até 12/11/2019)</w:t>
                  </w:r>
                </w:p>
              </w:tc>
              <w:tc>
                <w:tcPr>
                  <w:tcW w:w="3175" w:type="dxa"/>
                  <w:tcBorders>
                    <w:top w:val="single" w:sz="4" w:space="0" w:color="D2C9B8"/>
                    <w:left w:val="single" w:sz="4" w:space="0" w:color="D2C9B8"/>
                    <w:bottom w:val="single" w:sz="4" w:space="0" w:color="D2C9B8"/>
                    <w:right w:val="single" w:sz="4" w:space="0" w:color="D2C9B8"/>
                  </w:tcBorders>
                </w:tcPr>
                <w:p w14:paraId="50D0271A" w14:textId="77777777" w:rsidR="005A5FCC" w:rsidRDefault="00A21C81">
                  <w:pPr>
                    <w:spacing w:before="20" w:after="20" w:line="240" w:lineRule="auto"/>
                    <w:jc w:val="left"/>
                  </w:pPr>
                  <w:r>
                    <w:rPr>
                      <w:rFonts w:cs="EB Garamond"/>
                      <w:kern w:val="16"/>
                      <w:sz w:val="16"/>
                      <w14:ligatures w14:val="standardContextual"/>
                    </w:rPr>
                    <w:t>Média dos 80% maiores salários desde 07/1994</w:t>
                  </w:r>
                </w:p>
              </w:tc>
            </w:tr>
            <w:tr w:rsidR="005A5FCC" w14:paraId="704523FB"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2595A622" w14:textId="77777777" w:rsidR="005A5FCC" w:rsidRDefault="00A21C81">
                  <w:pPr>
                    <w:spacing w:before="20" w:after="20" w:line="240" w:lineRule="auto"/>
                    <w:jc w:val="left"/>
                  </w:pPr>
                  <w:r>
                    <w:rPr>
                      <w:rFonts w:cs="EB Garamond"/>
                      <w:b/>
                      <w:kern w:val="16"/>
                      <w:sz w:val="16"/>
                      <w14:ligatures w14:val="standardContextual"/>
                    </w:rPr>
                    <w:t>Cálculo (a partir de 13/11/2019)</w:t>
                  </w:r>
                </w:p>
              </w:tc>
              <w:tc>
                <w:tcPr>
                  <w:tcW w:w="3175" w:type="dxa"/>
                  <w:tcBorders>
                    <w:top w:val="single" w:sz="4" w:space="0" w:color="D2C9B8"/>
                    <w:left w:val="single" w:sz="4" w:space="0" w:color="D2C9B8"/>
                    <w:bottom w:val="single" w:sz="4" w:space="0" w:color="D2C9B8"/>
                    <w:right w:val="single" w:sz="4" w:space="0" w:color="D2C9B8"/>
                  </w:tcBorders>
                </w:tcPr>
                <w:p w14:paraId="791330D4" w14:textId="77777777" w:rsidR="005A5FCC" w:rsidRDefault="00A21C81">
                  <w:pPr>
                    <w:spacing w:before="20" w:after="20" w:line="240" w:lineRule="auto"/>
                    <w:jc w:val="left"/>
                  </w:pPr>
                  <w:r>
                    <w:rPr>
                      <w:rFonts w:cs="EB Garamond"/>
                      <w:kern w:val="16"/>
                      <w:sz w:val="16"/>
                      <w14:ligatures w14:val="standardContextual"/>
                    </w:rPr>
                    <w:t>Média de todos os salários desde 07/1994</w:t>
                  </w:r>
                </w:p>
              </w:tc>
            </w:tr>
            <w:tr w:rsidR="005A5FCC" w14:paraId="0DFC40D3"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278254D6" w14:textId="77777777" w:rsidR="005A5FCC" w:rsidRDefault="00A21C81">
                  <w:pPr>
                    <w:spacing w:before="20" w:after="20" w:line="240" w:lineRule="auto"/>
                    <w:jc w:val="left"/>
                  </w:pPr>
                  <w:r>
                    <w:rPr>
                      <w:rFonts w:cs="EB Garamond"/>
                      <w:b/>
                      <w:kern w:val="16"/>
                      <w:sz w:val="16"/>
                      <w14:ligatures w14:val="standardContextual"/>
                    </w:rPr>
                    <w:t>Piso</w:t>
                  </w:r>
                </w:p>
              </w:tc>
              <w:tc>
                <w:tcPr>
                  <w:tcW w:w="3175" w:type="dxa"/>
                  <w:tcBorders>
                    <w:top w:val="single" w:sz="4" w:space="0" w:color="D2C9B8"/>
                    <w:left w:val="single" w:sz="4" w:space="0" w:color="D2C9B8"/>
                    <w:bottom w:val="single" w:sz="4" w:space="0" w:color="D2C9B8"/>
                    <w:right w:val="single" w:sz="4" w:space="0" w:color="D2C9B8"/>
                  </w:tcBorders>
                </w:tcPr>
                <w:p w14:paraId="4DFD6AEF" w14:textId="77777777" w:rsidR="005A5FCC" w:rsidRDefault="00A21C81">
                  <w:pPr>
                    <w:spacing w:before="20" w:after="20" w:line="240" w:lineRule="auto"/>
                    <w:jc w:val="left"/>
                  </w:pPr>
                  <w:r>
                    <w:rPr>
                      <w:rFonts w:cs="EB Garamond"/>
                      <w:kern w:val="16"/>
                      <w:sz w:val="16"/>
                      <w14:ligatures w14:val="standardContextual"/>
                    </w:rPr>
                    <w:t>Não há piso de salário mínimo</w:t>
                  </w:r>
                </w:p>
              </w:tc>
            </w:tr>
            <w:tr w:rsidR="005A5FCC" w14:paraId="5E4D3177"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214F84A5" w14:textId="77777777" w:rsidR="005A5FCC" w:rsidRDefault="00A21C81">
                  <w:pPr>
                    <w:spacing w:before="20" w:after="20" w:line="240" w:lineRule="auto"/>
                    <w:jc w:val="left"/>
                  </w:pPr>
                  <w:r>
                    <w:rPr>
                      <w:rFonts w:cs="EB Garamond"/>
                      <w:b/>
                      <w:kern w:val="16"/>
                      <w:sz w:val="16"/>
                      <w14:ligatures w14:val="standardContextual"/>
                    </w:rPr>
                    <w:t>Duração</w:t>
                  </w:r>
                </w:p>
              </w:tc>
              <w:tc>
                <w:tcPr>
                  <w:tcW w:w="3175" w:type="dxa"/>
                  <w:tcBorders>
                    <w:top w:val="single" w:sz="4" w:space="0" w:color="D2C9B8"/>
                    <w:left w:val="single" w:sz="4" w:space="0" w:color="D2C9B8"/>
                    <w:bottom w:val="single" w:sz="4" w:space="0" w:color="D2C9B8"/>
                    <w:right w:val="single" w:sz="4" w:space="0" w:color="D2C9B8"/>
                  </w:tcBorders>
                </w:tcPr>
                <w:p w14:paraId="02A064F1" w14:textId="77777777" w:rsidR="005A5FCC" w:rsidRDefault="00A21C81">
                  <w:pPr>
                    <w:spacing w:before="20" w:after="20" w:line="240" w:lineRule="auto"/>
                    <w:jc w:val="left"/>
                  </w:pPr>
                  <w:r>
                    <w:rPr>
                      <w:rFonts w:cs="EB Garamond"/>
                      <w:kern w:val="16"/>
                      <w:sz w:val="16"/>
                      <w14:ligatures w14:val="standardContextual"/>
                    </w:rPr>
                    <w:t>Até véspera da aposentadoria ou óbito</w:t>
                  </w:r>
                </w:p>
              </w:tc>
            </w:tr>
            <w:tr w:rsidR="005A5FCC" w14:paraId="724FE6B1"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526F79C0" w14:textId="77777777" w:rsidR="005A5FCC" w:rsidRDefault="00A21C81">
                  <w:pPr>
                    <w:spacing w:before="20" w:after="20" w:line="240" w:lineRule="auto"/>
                    <w:jc w:val="left"/>
                  </w:pPr>
                  <w:r>
                    <w:rPr>
                      <w:rFonts w:cs="EB Garamond"/>
                      <w:b/>
                      <w:kern w:val="16"/>
                      <w:sz w:val="16"/>
                      <w14:ligatures w14:val="standardContextual"/>
                    </w:rPr>
                    <w:t>Acumulação com trabalho</w:t>
                  </w:r>
                </w:p>
              </w:tc>
              <w:tc>
                <w:tcPr>
                  <w:tcW w:w="3175" w:type="dxa"/>
                  <w:tcBorders>
                    <w:top w:val="single" w:sz="4" w:space="0" w:color="D2C9B8"/>
                    <w:left w:val="single" w:sz="4" w:space="0" w:color="D2C9B8"/>
                    <w:bottom w:val="single" w:sz="4" w:space="0" w:color="D2C9B8"/>
                    <w:right w:val="single" w:sz="4" w:space="0" w:color="D2C9B8"/>
                  </w:tcBorders>
                </w:tcPr>
                <w:p w14:paraId="199E8B3A" w14:textId="77777777" w:rsidR="005A5FCC" w:rsidRDefault="00A21C81">
                  <w:pPr>
                    <w:spacing w:before="20" w:after="20" w:line="240" w:lineRule="auto"/>
                    <w:jc w:val="left"/>
                  </w:pPr>
                  <w:r>
                    <w:rPr>
                      <w:rFonts w:cs="EB Garamond"/>
                      <w:kern w:val="16"/>
                      <w:sz w:val="16"/>
                      <w14:ligatures w14:val="standardContextual"/>
                    </w:rPr>
                    <w:t>Permitida</w:t>
                  </w:r>
                </w:p>
              </w:tc>
            </w:tr>
          </w:tbl>
          <w:p w14:paraId="7E51FE19" w14:textId="77777777" w:rsidR="005A5FCC" w:rsidRDefault="005A5FCC"/>
          <w:p w14:paraId="2A8DF135" w14:textId="77777777" w:rsidR="005A5FCC" w:rsidRDefault="005A5FCC">
            <w:pPr>
              <w:spacing w:after="0" w:line="240" w:lineRule="auto"/>
            </w:pPr>
          </w:p>
        </w:tc>
      </w:tr>
    </w:tbl>
    <w:p w14:paraId="06009D5E" w14:textId="77777777" w:rsidR="005A5FCC" w:rsidRDefault="005A5FCC">
      <w:pPr>
        <w:spacing w:after="80" w:line="240" w:lineRule="auto"/>
      </w:pPr>
    </w:p>
    <w:tbl>
      <w:tblPr>
        <w:tblW w:w="5000" w:type="pct"/>
        <w:jc w:val="center"/>
        <w:tblLayout w:type="fixed"/>
        <w:tblLook w:val="04A0" w:firstRow="1" w:lastRow="0" w:firstColumn="1" w:lastColumn="0" w:noHBand="0" w:noVBand="1"/>
      </w:tblPr>
      <w:tblGrid>
        <w:gridCol w:w="6311"/>
      </w:tblGrid>
      <w:tr w:rsidR="005A5FCC" w14:paraId="6E841E6F" w14:textId="77777777">
        <w:trPr>
          <w:cantSplit/>
          <w:jc w:val="center"/>
        </w:trPr>
        <w:tc>
          <w:tcPr>
            <w:tcW w:w="6350" w:type="dxa"/>
            <w:tcBorders>
              <w:top w:val="single" w:sz="7" w:space="0" w:color="A09882"/>
              <w:left w:val="single" w:sz="24" w:space="0" w:color="6B6256"/>
              <w:bottom w:val="single" w:sz="7" w:space="0" w:color="A09882"/>
              <w:right w:val="single" w:sz="7" w:space="0" w:color="A09882"/>
            </w:tcBorders>
            <w:shd w:val="clear" w:color="auto" w:fill="F5F3EF"/>
            <w:tcMar>
              <w:top w:w="150" w:type="dxa"/>
              <w:left w:w="220" w:type="dxa"/>
              <w:bottom w:w="150" w:type="dxa"/>
              <w:right w:w="180" w:type="dxa"/>
            </w:tcMar>
          </w:tcPr>
          <w:p w14:paraId="60A1D193" w14:textId="77777777" w:rsidR="005A5FCC" w:rsidRDefault="00A21C81">
            <w:pPr>
              <w:spacing w:after="60" w:line="240" w:lineRule="auto"/>
              <w:jc w:val="left"/>
            </w:pPr>
            <w:r>
              <w:rPr>
                <w:rFonts w:ascii="Noto Sans" w:hAnsi="Noto Sans" w:cs="Noto Sans"/>
                <w:b/>
                <w:caps/>
                <w:color w:val="6B6256"/>
                <w:kern w:val="16"/>
                <w:sz w:val="16"/>
                <w14:ligatures w14:val="standardContextual"/>
              </w:rPr>
              <w:lastRenderedPageBreak/>
              <w:t>QUADRO</w:t>
            </w:r>
          </w:p>
          <w:p w14:paraId="3AF1D79C" w14:textId="77777777" w:rsidR="005A5FCC" w:rsidRDefault="00A21C81">
            <w:pPr>
              <w:spacing w:after="60" w:line="247" w:lineRule="auto"/>
            </w:pPr>
            <w:r>
              <w:rPr>
                <w:rFonts w:cs="EB Garamond"/>
                <w:b/>
                <w:kern w:val="16"/>
                <w:sz w:val="19"/>
                <w14:ligatures w14:val="standardContextual"/>
              </w:rPr>
              <w:t>Quadro 15.3 — Regras de Acumulação</w:t>
            </w:r>
          </w:p>
          <w:tbl>
            <w:tblPr>
              <w:tblW w:w="5000" w:type="pct"/>
              <w:jc w:val="center"/>
              <w:tblLook w:val="04A0" w:firstRow="1" w:lastRow="0" w:firstColumn="1" w:lastColumn="0" w:noHBand="0" w:noVBand="1"/>
            </w:tblPr>
            <w:tblGrid>
              <w:gridCol w:w="1967"/>
              <w:gridCol w:w="1967"/>
              <w:gridCol w:w="1967"/>
            </w:tblGrid>
            <w:tr w:rsidR="005A5FCC" w14:paraId="7D078A2D" w14:textId="77777777">
              <w:trPr>
                <w:tblHeader/>
                <w:jc w:val="center"/>
              </w:trPr>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6AE94207" w14:textId="77777777" w:rsidR="005A5FCC" w:rsidRDefault="00A21C81">
                  <w:pPr>
                    <w:spacing w:before="30" w:after="30" w:line="240" w:lineRule="auto"/>
                    <w:jc w:val="center"/>
                  </w:pPr>
                  <w:r>
                    <w:rPr>
                      <w:rFonts w:cs="EB Garamond"/>
                      <w:b/>
                      <w:color w:val="2F2923"/>
                      <w:kern w:val="16"/>
                      <w:sz w:val="16"/>
                      <w14:ligatures w14:val="standardContextual"/>
                    </w:rPr>
                    <w:t>Combinação</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1196F5E4" w14:textId="77777777" w:rsidR="005A5FCC" w:rsidRDefault="00A21C81">
                  <w:pPr>
                    <w:spacing w:before="30" w:after="30" w:line="240" w:lineRule="auto"/>
                    <w:jc w:val="center"/>
                  </w:pPr>
                  <w:r>
                    <w:rPr>
                      <w:rFonts w:cs="EB Garamond"/>
                      <w:b/>
                      <w:color w:val="2F2923"/>
                      <w:kern w:val="16"/>
                      <w:sz w:val="16"/>
                      <w14:ligatures w14:val="standardContextual"/>
                    </w:rPr>
                    <w:t>Permitida?</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6763DC4E" w14:textId="77777777" w:rsidR="005A5FCC" w:rsidRDefault="00A21C81">
                  <w:pPr>
                    <w:spacing w:before="30" w:after="30" w:line="240" w:lineRule="auto"/>
                    <w:jc w:val="center"/>
                  </w:pPr>
                  <w:r>
                    <w:rPr>
                      <w:rFonts w:cs="EB Garamond"/>
                      <w:b/>
                      <w:color w:val="2F2923"/>
                      <w:kern w:val="16"/>
                      <w:sz w:val="16"/>
                      <w14:ligatures w14:val="standardContextual"/>
                    </w:rPr>
                    <w:t>Fundamento</w:t>
                  </w:r>
                </w:p>
              </w:tc>
            </w:tr>
            <w:tr w:rsidR="005A5FCC" w14:paraId="201EEDDA"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254CEB7E" w14:textId="77777777" w:rsidR="005A5FCC" w:rsidRDefault="00A21C81">
                  <w:pPr>
                    <w:spacing w:before="20" w:after="20" w:line="240" w:lineRule="auto"/>
                    <w:jc w:val="left"/>
                  </w:pPr>
                  <w:r>
                    <w:rPr>
                      <w:rFonts w:cs="EB Garamond"/>
                      <w:kern w:val="16"/>
                      <w:sz w:val="16"/>
                      <w14:ligatures w14:val="standardContextual"/>
                    </w:rPr>
                    <w:t>AA + remuneração do trabalho</w:t>
                  </w:r>
                </w:p>
              </w:tc>
              <w:tc>
                <w:tcPr>
                  <w:tcW w:w="2117" w:type="dxa"/>
                  <w:tcBorders>
                    <w:top w:val="single" w:sz="4" w:space="0" w:color="D2C9B8"/>
                    <w:left w:val="single" w:sz="4" w:space="0" w:color="D2C9B8"/>
                    <w:bottom w:val="single" w:sz="4" w:space="0" w:color="D2C9B8"/>
                    <w:right w:val="single" w:sz="4" w:space="0" w:color="D2C9B8"/>
                  </w:tcBorders>
                </w:tcPr>
                <w:p w14:paraId="12F30017" w14:textId="77777777" w:rsidR="005A5FCC" w:rsidRDefault="00A21C81">
                  <w:pPr>
                    <w:spacing w:before="20" w:after="20" w:line="240" w:lineRule="auto"/>
                    <w:jc w:val="left"/>
                  </w:pPr>
                  <w:r>
                    <w:rPr>
                      <w:rFonts w:cs="EB Garamond"/>
                      <w:kern w:val="16"/>
                      <w:sz w:val="16"/>
                      <w14:ligatures w14:val="standardContextual"/>
                    </w:rPr>
                    <w:t>Sim</w:t>
                  </w:r>
                </w:p>
              </w:tc>
              <w:tc>
                <w:tcPr>
                  <w:tcW w:w="2117" w:type="dxa"/>
                  <w:tcBorders>
                    <w:top w:val="single" w:sz="4" w:space="0" w:color="D2C9B8"/>
                    <w:left w:val="single" w:sz="4" w:space="0" w:color="D2C9B8"/>
                    <w:bottom w:val="single" w:sz="4" w:space="0" w:color="D2C9B8"/>
                    <w:right w:val="single" w:sz="4" w:space="0" w:color="D2C9B8"/>
                  </w:tcBorders>
                </w:tcPr>
                <w:p w14:paraId="0F57387E" w14:textId="77777777" w:rsidR="005A5FCC" w:rsidRDefault="00A21C81">
                  <w:pPr>
                    <w:spacing w:before="20" w:after="20" w:line="240" w:lineRule="auto"/>
                    <w:jc w:val="left"/>
                  </w:pPr>
                  <w:r>
                    <w:rPr>
                      <w:rFonts w:cs="EB Garamond"/>
                      <w:kern w:val="16"/>
                      <w:sz w:val="16"/>
                      <w14:ligatures w14:val="standardContextual"/>
                    </w:rPr>
                    <w:t>Art. 86, §2º</w:t>
                  </w:r>
                </w:p>
              </w:tc>
            </w:tr>
            <w:tr w:rsidR="005A5FCC" w14:paraId="480F7AE6"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5D9780E3" w14:textId="77777777" w:rsidR="005A5FCC" w:rsidRDefault="00A21C81">
                  <w:pPr>
                    <w:spacing w:before="20" w:after="20" w:line="240" w:lineRule="auto"/>
                    <w:jc w:val="left"/>
                  </w:pPr>
                  <w:r>
                    <w:rPr>
                      <w:rFonts w:cs="EB Garamond"/>
                      <w:kern w:val="16"/>
                      <w:sz w:val="16"/>
                      <w14:ligatures w14:val="standardContextual"/>
                    </w:rPr>
                    <w:t>AA + aposentadoria (lesão a partir de 11.11.1997)</w:t>
                  </w:r>
                </w:p>
              </w:tc>
              <w:tc>
                <w:tcPr>
                  <w:tcW w:w="2117" w:type="dxa"/>
                  <w:tcBorders>
                    <w:top w:val="single" w:sz="4" w:space="0" w:color="D2C9B8"/>
                    <w:left w:val="single" w:sz="4" w:space="0" w:color="D2C9B8"/>
                    <w:bottom w:val="single" w:sz="4" w:space="0" w:color="D2C9B8"/>
                    <w:right w:val="single" w:sz="4" w:space="0" w:color="D2C9B8"/>
                  </w:tcBorders>
                </w:tcPr>
                <w:p w14:paraId="18386340" w14:textId="77777777" w:rsidR="005A5FCC" w:rsidRDefault="00A21C81">
                  <w:pPr>
                    <w:spacing w:before="20" w:after="20" w:line="240" w:lineRule="auto"/>
                    <w:jc w:val="left"/>
                  </w:pPr>
                  <w:r>
                    <w:rPr>
                      <w:rFonts w:cs="EB Garamond"/>
                      <w:kern w:val="16"/>
                      <w:sz w:val="16"/>
                      <w14:ligatures w14:val="standardContextual"/>
                    </w:rPr>
                    <w:t>Não</w:t>
                  </w:r>
                </w:p>
              </w:tc>
              <w:tc>
                <w:tcPr>
                  <w:tcW w:w="2117" w:type="dxa"/>
                  <w:tcBorders>
                    <w:top w:val="single" w:sz="4" w:space="0" w:color="D2C9B8"/>
                    <w:left w:val="single" w:sz="4" w:space="0" w:color="D2C9B8"/>
                    <w:bottom w:val="single" w:sz="4" w:space="0" w:color="D2C9B8"/>
                    <w:right w:val="single" w:sz="4" w:space="0" w:color="D2C9B8"/>
                  </w:tcBorders>
                </w:tcPr>
                <w:p w14:paraId="46445F79" w14:textId="77777777" w:rsidR="005A5FCC" w:rsidRDefault="00A21C81">
                  <w:pPr>
                    <w:spacing w:before="20" w:after="20" w:line="240" w:lineRule="auto"/>
                    <w:jc w:val="left"/>
                  </w:pPr>
                  <w:r>
                    <w:rPr>
                      <w:rFonts w:cs="EB Garamond"/>
                      <w:kern w:val="16"/>
                      <w:sz w:val="16"/>
                      <w14:ligatures w14:val="standardContextual"/>
                    </w:rPr>
                    <w:t>Art. 86, §2º; Lei 9.528/97</w:t>
                  </w:r>
                </w:p>
              </w:tc>
            </w:tr>
            <w:tr w:rsidR="005A5FCC" w14:paraId="37D3280F"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14EAB082" w14:textId="77777777" w:rsidR="005A5FCC" w:rsidRDefault="00A21C81">
                  <w:pPr>
                    <w:spacing w:before="20" w:after="20" w:line="240" w:lineRule="auto"/>
                    <w:jc w:val="left"/>
                  </w:pPr>
                  <w:r>
                    <w:rPr>
                      <w:rFonts w:cs="EB Garamond"/>
                      <w:kern w:val="16"/>
                      <w:sz w:val="16"/>
                      <w14:ligatures w14:val="standardContextual"/>
                    </w:rPr>
                    <w:t>AA + aposentadoria (lesão até 10.11.1997)</w:t>
                  </w:r>
                </w:p>
              </w:tc>
              <w:tc>
                <w:tcPr>
                  <w:tcW w:w="2117" w:type="dxa"/>
                  <w:tcBorders>
                    <w:top w:val="single" w:sz="4" w:space="0" w:color="D2C9B8"/>
                    <w:left w:val="single" w:sz="4" w:space="0" w:color="D2C9B8"/>
                    <w:bottom w:val="single" w:sz="4" w:space="0" w:color="D2C9B8"/>
                    <w:right w:val="single" w:sz="4" w:space="0" w:color="D2C9B8"/>
                  </w:tcBorders>
                </w:tcPr>
                <w:p w14:paraId="0A8234BC" w14:textId="77777777" w:rsidR="005A5FCC" w:rsidRDefault="00A21C81">
                  <w:pPr>
                    <w:spacing w:before="20" w:after="20" w:line="240" w:lineRule="auto"/>
                    <w:jc w:val="left"/>
                  </w:pPr>
                  <w:r>
                    <w:rPr>
                      <w:rFonts w:cs="EB Garamond"/>
                      <w:kern w:val="16"/>
                      <w:sz w:val="16"/>
                      <w14:ligatures w14:val="standardContextual"/>
                    </w:rPr>
                    <w:t>Sim</w:t>
                  </w:r>
                </w:p>
              </w:tc>
              <w:tc>
                <w:tcPr>
                  <w:tcW w:w="2117" w:type="dxa"/>
                  <w:tcBorders>
                    <w:top w:val="single" w:sz="4" w:space="0" w:color="D2C9B8"/>
                    <w:left w:val="single" w:sz="4" w:space="0" w:color="D2C9B8"/>
                    <w:bottom w:val="single" w:sz="4" w:space="0" w:color="D2C9B8"/>
                    <w:right w:val="single" w:sz="4" w:space="0" w:color="D2C9B8"/>
                  </w:tcBorders>
                </w:tcPr>
                <w:p w14:paraId="402DCB0A" w14:textId="77777777" w:rsidR="005A5FCC" w:rsidRDefault="00A21C81">
                  <w:pPr>
                    <w:spacing w:before="20" w:after="20" w:line="240" w:lineRule="auto"/>
                    <w:jc w:val="left"/>
                  </w:pPr>
                  <w:r>
                    <w:rPr>
                      <w:rFonts w:cs="EB Garamond"/>
                      <w:kern w:val="16"/>
                      <w:sz w:val="16"/>
                      <w14:ligatures w14:val="standardContextual"/>
                    </w:rPr>
                    <w:t>Súmula 507/STJ</w:t>
                  </w:r>
                </w:p>
              </w:tc>
            </w:tr>
            <w:tr w:rsidR="005A5FCC" w14:paraId="28D2F53C"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3AB490BB" w14:textId="77777777" w:rsidR="005A5FCC" w:rsidRDefault="00A21C81">
                  <w:pPr>
                    <w:spacing w:before="20" w:after="20" w:line="240" w:lineRule="auto"/>
                    <w:jc w:val="left"/>
                  </w:pPr>
                  <w:r>
                    <w:rPr>
                      <w:rFonts w:cs="EB Garamond"/>
                      <w:kern w:val="16"/>
                      <w:sz w:val="16"/>
                      <w14:ligatures w14:val="standardContextual"/>
                    </w:rPr>
                    <w:t>AA + pensão por morte</w:t>
                  </w:r>
                </w:p>
              </w:tc>
              <w:tc>
                <w:tcPr>
                  <w:tcW w:w="2117" w:type="dxa"/>
                  <w:tcBorders>
                    <w:top w:val="single" w:sz="4" w:space="0" w:color="D2C9B8"/>
                    <w:left w:val="single" w:sz="4" w:space="0" w:color="D2C9B8"/>
                    <w:bottom w:val="single" w:sz="4" w:space="0" w:color="D2C9B8"/>
                    <w:right w:val="single" w:sz="4" w:space="0" w:color="D2C9B8"/>
                  </w:tcBorders>
                </w:tcPr>
                <w:p w14:paraId="3C212223" w14:textId="77777777" w:rsidR="005A5FCC" w:rsidRDefault="00A21C81">
                  <w:pPr>
                    <w:spacing w:before="20" w:after="20" w:line="240" w:lineRule="auto"/>
                    <w:jc w:val="left"/>
                  </w:pPr>
                  <w:r>
                    <w:rPr>
                      <w:rFonts w:cs="EB Garamond"/>
                      <w:kern w:val="16"/>
                      <w:sz w:val="16"/>
                      <w14:ligatures w14:val="standardContextual"/>
                    </w:rPr>
                    <w:t>Sim</w:t>
                  </w:r>
                </w:p>
              </w:tc>
              <w:tc>
                <w:tcPr>
                  <w:tcW w:w="2117" w:type="dxa"/>
                  <w:tcBorders>
                    <w:top w:val="single" w:sz="4" w:space="0" w:color="D2C9B8"/>
                    <w:left w:val="single" w:sz="4" w:space="0" w:color="D2C9B8"/>
                    <w:bottom w:val="single" w:sz="4" w:space="0" w:color="D2C9B8"/>
                    <w:right w:val="single" w:sz="4" w:space="0" w:color="D2C9B8"/>
                  </w:tcBorders>
                </w:tcPr>
                <w:p w14:paraId="5E276823" w14:textId="77777777" w:rsidR="005A5FCC" w:rsidRDefault="00A21C81">
                  <w:pPr>
                    <w:spacing w:before="20" w:after="20" w:line="240" w:lineRule="auto"/>
                    <w:jc w:val="left"/>
                  </w:pPr>
                  <w:r>
                    <w:rPr>
                      <w:rFonts w:cs="EB Garamond"/>
                      <w:kern w:val="16"/>
                      <w:sz w:val="16"/>
                      <w14:ligatures w14:val="standardContextual"/>
                    </w:rPr>
                    <w:t>Art. 24, §2º, EC 103/2019 (faixas progressivas)</w:t>
                  </w:r>
                </w:p>
              </w:tc>
            </w:tr>
            <w:tr w:rsidR="005A5FCC" w14:paraId="1AFEF679"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4016D590" w14:textId="77777777" w:rsidR="005A5FCC" w:rsidRDefault="00A21C81">
                  <w:pPr>
                    <w:spacing w:before="20" w:after="20" w:line="240" w:lineRule="auto"/>
                    <w:jc w:val="left"/>
                  </w:pPr>
                  <w:r>
                    <w:rPr>
                      <w:rFonts w:cs="EB Garamond"/>
                      <w:kern w:val="16"/>
                      <w:sz w:val="16"/>
                      <w14:ligatures w14:val="standardContextual"/>
                    </w:rPr>
                    <w:t>AA + aux. Incapacidade temporária (mesma lesão)</w:t>
                  </w:r>
                </w:p>
              </w:tc>
              <w:tc>
                <w:tcPr>
                  <w:tcW w:w="2117" w:type="dxa"/>
                  <w:tcBorders>
                    <w:top w:val="single" w:sz="4" w:space="0" w:color="D2C9B8"/>
                    <w:left w:val="single" w:sz="4" w:space="0" w:color="D2C9B8"/>
                    <w:bottom w:val="single" w:sz="4" w:space="0" w:color="D2C9B8"/>
                    <w:right w:val="single" w:sz="4" w:space="0" w:color="D2C9B8"/>
                  </w:tcBorders>
                </w:tcPr>
                <w:p w14:paraId="470BDC30" w14:textId="77777777" w:rsidR="005A5FCC" w:rsidRDefault="00A21C81">
                  <w:pPr>
                    <w:spacing w:before="20" w:after="20" w:line="240" w:lineRule="auto"/>
                    <w:jc w:val="left"/>
                  </w:pPr>
                  <w:r>
                    <w:rPr>
                      <w:rFonts w:cs="EB Garamond"/>
                      <w:kern w:val="16"/>
                      <w:sz w:val="16"/>
                      <w14:ligatures w14:val="standardContextual"/>
                    </w:rPr>
                    <w:t>Não</w:t>
                  </w:r>
                </w:p>
              </w:tc>
              <w:tc>
                <w:tcPr>
                  <w:tcW w:w="2117" w:type="dxa"/>
                  <w:tcBorders>
                    <w:top w:val="single" w:sz="4" w:space="0" w:color="D2C9B8"/>
                    <w:left w:val="single" w:sz="4" w:space="0" w:color="D2C9B8"/>
                    <w:bottom w:val="single" w:sz="4" w:space="0" w:color="D2C9B8"/>
                    <w:right w:val="single" w:sz="4" w:space="0" w:color="D2C9B8"/>
                  </w:tcBorders>
                </w:tcPr>
                <w:p w14:paraId="2D0B0657" w14:textId="77777777" w:rsidR="005A5FCC" w:rsidRDefault="00A21C81">
                  <w:pPr>
                    <w:spacing w:before="20" w:after="20" w:line="240" w:lineRule="auto"/>
                    <w:jc w:val="left"/>
                  </w:pPr>
                  <w:r>
                    <w:rPr>
                      <w:rFonts w:cs="EB Garamond"/>
                      <w:kern w:val="16"/>
                      <w:sz w:val="16"/>
                      <w14:ligatures w14:val="standardContextual"/>
                    </w:rPr>
                    <w:t>Excludência temporal (AA pressupõe cessação do aux. Incap. Temporária)</w:t>
                  </w:r>
                </w:p>
              </w:tc>
            </w:tr>
            <w:tr w:rsidR="005A5FCC" w14:paraId="0FA78DEF"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424242A5" w14:textId="77777777" w:rsidR="005A5FCC" w:rsidRDefault="00A21C81">
                  <w:pPr>
                    <w:spacing w:before="20" w:after="20" w:line="240" w:lineRule="auto"/>
                    <w:jc w:val="left"/>
                  </w:pPr>
                  <w:r>
                    <w:rPr>
                      <w:rFonts w:cs="EB Garamond"/>
                      <w:kern w:val="16"/>
                      <w:sz w:val="16"/>
                      <w14:ligatures w14:val="standardContextual"/>
                    </w:rPr>
                    <w:t>AA + aux. Incapacidade temporária (lesão diversa)</w:t>
                  </w:r>
                </w:p>
              </w:tc>
              <w:tc>
                <w:tcPr>
                  <w:tcW w:w="2117" w:type="dxa"/>
                  <w:tcBorders>
                    <w:top w:val="single" w:sz="4" w:space="0" w:color="D2C9B8"/>
                    <w:left w:val="single" w:sz="4" w:space="0" w:color="D2C9B8"/>
                    <w:bottom w:val="single" w:sz="4" w:space="0" w:color="D2C9B8"/>
                    <w:right w:val="single" w:sz="4" w:space="0" w:color="D2C9B8"/>
                  </w:tcBorders>
                </w:tcPr>
                <w:p w14:paraId="030380BF" w14:textId="77777777" w:rsidR="005A5FCC" w:rsidRDefault="00A21C81">
                  <w:pPr>
                    <w:spacing w:before="20" w:after="20" w:line="240" w:lineRule="auto"/>
                    <w:jc w:val="left"/>
                  </w:pPr>
                  <w:r>
                    <w:rPr>
                      <w:rFonts w:cs="EB Garamond"/>
                      <w:kern w:val="16"/>
                      <w:sz w:val="16"/>
                      <w14:ligatures w14:val="standardContextual"/>
                    </w:rPr>
                    <w:t>Sim</w:t>
                  </w:r>
                </w:p>
              </w:tc>
              <w:tc>
                <w:tcPr>
                  <w:tcW w:w="2117" w:type="dxa"/>
                  <w:tcBorders>
                    <w:top w:val="single" w:sz="4" w:space="0" w:color="D2C9B8"/>
                    <w:left w:val="single" w:sz="4" w:space="0" w:color="D2C9B8"/>
                    <w:bottom w:val="single" w:sz="4" w:space="0" w:color="D2C9B8"/>
                    <w:right w:val="single" w:sz="4" w:space="0" w:color="D2C9B8"/>
                  </w:tcBorders>
                </w:tcPr>
                <w:p w14:paraId="386ED9D5" w14:textId="77777777" w:rsidR="005A5FCC" w:rsidRDefault="00A21C81">
                  <w:pPr>
                    <w:spacing w:before="20" w:after="20" w:line="240" w:lineRule="auto"/>
                    <w:jc w:val="left"/>
                  </w:pPr>
                  <w:r>
                    <w:rPr>
                      <w:rFonts w:cs="EB Garamond"/>
                      <w:kern w:val="16"/>
                      <w:sz w:val="16"/>
                      <w14:ligatures w14:val="standardContextual"/>
                    </w:rPr>
                    <w:t>Vedação específica à mesma lesão</w:t>
                  </w:r>
                </w:p>
              </w:tc>
            </w:tr>
            <w:tr w:rsidR="005A5FCC" w14:paraId="2FAFF427"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29FCD43B" w14:textId="77777777" w:rsidR="005A5FCC" w:rsidRDefault="00A21C81">
                  <w:pPr>
                    <w:spacing w:before="20" w:after="20" w:line="240" w:lineRule="auto"/>
                    <w:jc w:val="left"/>
                  </w:pPr>
                  <w:r>
                    <w:rPr>
                      <w:rFonts w:cs="EB Garamond"/>
                      <w:kern w:val="16"/>
                      <w:sz w:val="16"/>
                      <w14:ligatures w14:val="standardContextual"/>
                    </w:rPr>
                    <w:t>Mais de um AA</w:t>
                  </w:r>
                </w:p>
              </w:tc>
              <w:tc>
                <w:tcPr>
                  <w:tcW w:w="2117" w:type="dxa"/>
                  <w:tcBorders>
                    <w:top w:val="single" w:sz="4" w:space="0" w:color="D2C9B8"/>
                    <w:left w:val="single" w:sz="4" w:space="0" w:color="D2C9B8"/>
                    <w:bottom w:val="single" w:sz="4" w:space="0" w:color="D2C9B8"/>
                    <w:right w:val="single" w:sz="4" w:space="0" w:color="D2C9B8"/>
                  </w:tcBorders>
                </w:tcPr>
                <w:p w14:paraId="63669D12" w14:textId="77777777" w:rsidR="005A5FCC" w:rsidRDefault="00A21C81">
                  <w:pPr>
                    <w:spacing w:before="20" w:after="20" w:line="240" w:lineRule="auto"/>
                    <w:jc w:val="left"/>
                  </w:pPr>
                  <w:r>
                    <w:rPr>
                      <w:rFonts w:cs="EB Garamond"/>
                      <w:kern w:val="16"/>
                      <w:sz w:val="16"/>
                      <w14:ligatures w14:val="standardContextual"/>
                    </w:rPr>
                    <w:t>Não</w:t>
                  </w:r>
                </w:p>
              </w:tc>
              <w:tc>
                <w:tcPr>
                  <w:tcW w:w="2117" w:type="dxa"/>
                  <w:tcBorders>
                    <w:top w:val="single" w:sz="4" w:space="0" w:color="D2C9B8"/>
                    <w:left w:val="single" w:sz="4" w:space="0" w:color="D2C9B8"/>
                    <w:bottom w:val="single" w:sz="4" w:space="0" w:color="D2C9B8"/>
                    <w:right w:val="single" w:sz="4" w:space="0" w:color="D2C9B8"/>
                  </w:tcBorders>
                </w:tcPr>
                <w:p w14:paraId="72A499DF" w14:textId="77777777" w:rsidR="005A5FCC" w:rsidRDefault="00A21C81">
                  <w:pPr>
                    <w:spacing w:before="20" w:after="20" w:line="240" w:lineRule="auto"/>
                    <w:jc w:val="left"/>
                  </w:pPr>
                  <w:r>
                    <w:rPr>
                      <w:rFonts w:cs="EB Garamond"/>
                      <w:kern w:val="16"/>
                      <w:sz w:val="16"/>
                      <w14:ligatures w14:val="standardContextual"/>
                    </w:rPr>
                    <w:t>Art. 124, V; admite-se recálculo</w:t>
                  </w:r>
                </w:p>
              </w:tc>
            </w:tr>
            <w:tr w:rsidR="005A5FCC" w14:paraId="04EBCA9A"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0C3644A1" w14:textId="77777777" w:rsidR="005A5FCC" w:rsidRDefault="00A21C81">
                  <w:pPr>
                    <w:spacing w:before="20" w:after="20" w:line="240" w:lineRule="auto"/>
                    <w:jc w:val="left"/>
                  </w:pPr>
                  <w:r>
                    <w:rPr>
                      <w:rFonts w:cs="EB Garamond"/>
                      <w:kern w:val="16"/>
                      <w:sz w:val="16"/>
                      <w14:ligatures w14:val="standardContextual"/>
                    </w:rPr>
                    <w:t>AA + salário-família</w:t>
                  </w:r>
                </w:p>
              </w:tc>
              <w:tc>
                <w:tcPr>
                  <w:tcW w:w="2117" w:type="dxa"/>
                  <w:tcBorders>
                    <w:top w:val="single" w:sz="4" w:space="0" w:color="D2C9B8"/>
                    <w:left w:val="single" w:sz="4" w:space="0" w:color="D2C9B8"/>
                    <w:bottom w:val="single" w:sz="4" w:space="0" w:color="D2C9B8"/>
                    <w:right w:val="single" w:sz="4" w:space="0" w:color="D2C9B8"/>
                  </w:tcBorders>
                </w:tcPr>
                <w:p w14:paraId="18F37A68" w14:textId="77777777" w:rsidR="005A5FCC" w:rsidRDefault="00A21C81">
                  <w:pPr>
                    <w:spacing w:before="20" w:after="20" w:line="240" w:lineRule="auto"/>
                    <w:jc w:val="left"/>
                  </w:pPr>
                  <w:r>
                    <w:rPr>
                      <w:rFonts w:cs="EB Garamond"/>
                      <w:kern w:val="16"/>
                      <w:sz w:val="16"/>
                      <w14:ligatures w14:val="standardContextual"/>
                    </w:rPr>
                    <w:t>Sim</w:t>
                  </w:r>
                </w:p>
              </w:tc>
              <w:tc>
                <w:tcPr>
                  <w:tcW w:w="2117" w:type="dxa"/>
                  <w:tcBorders>
                    <w:top w:val="single" w:sz="4" w:space="0" w:color="D2C9B8"/>
                    <w:left w:val="single" w:sz="4" w:space="0" w:color="D2C9B8"/>
                    <w:bottom w:val="single" w:sz="4" w:space="0" w:color="D2C9B8"/>
                    <w:right w:val="single" w:sz="4" w:space="0" w:color="D2C9B8"/>
                  </w:tcBorders>
                </w:tcPr>
                <w:p w14:paraId="4FAB97CF" w14:textId="77777777" w:rsidR="005A5FCC" w:rsidRDefault="00A21C81">
                  <w:pPr>
                    <w:spacing w:before="20" w:after="20" w:line="240" w:lineRule="auto"/>
                    <w:jc w:val="left"/>
                  </w:pPr>
                  <w:r>
                    <w:rPr>
                      <w:rFonts w:cs="EB Garamond"/>
                      <w:kern w:val="16"/>
                      <w:sz w:val="16"/>
                      <w14:ligatures w14:val="standardContextual"/>
                    </w:rPr>
                    <w:t>Sem vedação legal</w:t>
                  </w:r>
                </w:p>
              </w:tc>
            </w:tr>
            <w:tr w:rsidR="005A5FCC" w14:paraId="6BBB237C"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64C826B9" w14:textId="77777777" w:rsidR="005A5FCC" w:rsidRDefault="00A21C81">
                  <w:pPr>
                    <w:spacing w:before="20" w:after="20" w:line="240" w:lineRule="auto"/>
                    <w:jc w:val="left"/>
                  </w:pPr>
                  <w:r>
                    <w:rPr>
                      <w:rFonts w:cs="EB Garamond"/>
                      <w:kern w:val="16"/>
                      <w:sz w:val="16"/>
                      <w14:ligatures w14:val="standardContextual"/>
                    </w:rPr>
                    <w:t>AA + salário-maternidade</w:t>
                  </w:r>
                </w:p>
              </w:tc>
              <w:tc>
                <w:tcPr>
                  <w:tcW w:w="2117" w:type="dxa"/>
                  <w:tcBorders>
                    <w:top w:val="single" w:sz="4" w:space="0" w:color="D2C9B8"/>
                    <w:left w:val="single" w:sz="4" w:space="0" w:color="D2C9B8"/>
                    <w:bottom w:val="single" w:sz="4" w:space="0" w:color="D2C9B8"/>
                    <w:right w:val="single" w:sz="4" w:space="0" w:color="D2C9B8"/>
                  </w:tcBorders>
                </w:tcPr>
                <w:p w14:paraId="6D826A8F" w14:textId="77777777" w:rsidR="005A5FCC" w:rsidRDefault="00A21C81">
                  <w:pPr>
                    <w:spacing w:before="20" w:after="20" w:line="240" w:lineRule="auto"/>
                    <w:jc w:val="left"/>
                  </w:pPr>
                  <w:r>
                    <w:rPr>
                      <w:rFonts w:cs="EB Garamond"/>
                      <w:kern w:val="16"/>
                      <w:sz w:val="16"/>
                      <w14:ligatures w14:val="standardContextual"/>
                    </w:rPr>
                    <w:t>Sim</w:t>
                  </w:r>
                </w:p>
              </w:tc>
              <w:tc>
                <w:tcPr>
                  <w:tcW w:w="2117" w:type="dxa"/>
                  <w:tcBorders>
                    <w:top w:val="single" w:sz="4" w:space="0" w:color="D2C9B8"/>
                    <w:left w:val="single" w:sz="4" w:space="0" w:color="D2C9B8"/>
                    <w:bottom w:val="single" w:sz="4" w:space="0" w:color="D2C9B8"/>
                    <w:right w:val="single" w:sz="4" w:space="0" w:color="D2C9B8"/>
                  </w:tcBorders>
                </w:tcPr>
                <w:p w14:paraId="3F3EEA9B" w14:textId="77777777" w:rsidR="005A5FCC" w:rsidRDefault="00A21C81">
                  <w:pPr>
                    <w:spacing w:before="20" w:after="20" w:line="240" w:lineRule="auto"/>
                    <w:jc w:val="left"/>
                  </w:pPr>
                  <w:r>
                    <w:rPr>
                      <w:rFonts w:cs="EB Garamond"/>
                      <w:kern w:val="16"/>
                      <w:sz w:val="16"/>
                      <w14:ligatures w14:val="standardContextual"/>
                    </w:rPr>
                    <w:t>Sem vedação legal</w:t>
                  </w:r>
                </w:p>
              </w:tc>
            </w:tr>
          </w:tbl>
          <w:p w14:paraId="054D2A76" w14:textId="77777777" w:rsidR="005A5FCC" w:rsidRDefault="005A5FCC"/>
          <w:p w14:paraId="7C629F3F" w14:textId="77777777" w:rsidR="005A5FCC" w:rsidRDefault="005A5FCC">
            <w:pPr>
              <w:spacing w:after="0" w:line="240" w:lineRule="auto"/>
            </w:pPr>
          </w:p>
        </w:tc>
      </w:tr>
    </w:tbl>
    <w:p w14:paraId="5D906D8D" w14:textId="77777777" w:rsidR="005A5FCC" w:rsidRDefault="005A5FCC">
      <w:pPr>
        <w:spacing w:after="80" w:line="240" w:lineRule="auto"/>
      </w:pPr>
    </w:p>
    <w:tbl>
      <w:tblPr>
        <w:tblW w:w="5000" w:type="pct"/>
        <w:jc w:val="center"/>
        <w:tblLayout w:type="fixed"/>
        <w:tblLook w:val="04A0" w:firstRow="1" w:lastRow="0" w:firstColumn="1" w:lastColumn="0" w:noHBand="0" w:noVBand="1"/>
      </w:tblPr>
      <w:tblGrid>
        <w:gridCol w:w="6311"/>
      </w:tblGrid>
      <w:tr w:rsidR="005A5FCC" w14:paraId="5F65D6B3" w14:textId="77777777">
        <w:trPr>
          <w:cantSplit/>
          <w:jc w:val="center"/>
        </w:trPr>
        <w:tc>
          <w:tcPr>
            <w:tcW w:w="6350" w:type="dxa"/>
            <w:tcBorders>
              <w:top w:val="single" w:sz="7" w:space="0" w:color="A09882"/>
              <w:left w:val="single" w:sz="24" w:space="0" w:color="6B6256"/>
              <w:bottom w:val="single" w:sz="7" w:space="0" w:color="A09882"/>
              <w:right w:val="single" w:sz="7" w:space="0" w:color="A09882"/>
            </w:tcBorders>
            <w:shd w:val="clear" w:color="auto" w:fill="F5F3EF"/>
            <w:tcMar>
              <w:top w:w="150" w:type="dxa"/>
              <w:left w:w="220" w:type="dxa"/>
              <w:bottom w:w="150" w:type="dxa"/>
              <w:right w:w="180" w:type="dxa"/>
            </w:tcMar>
          </w:tcPr>
          <w:p w14:paraId="08C7A35A" w14:textId="77777777" w:rsidR="005A5FCC" w:rsidRDefault="00A21C81">
            <w:pPr>
              <w:spacing w:after="60" w:line="240" w:lineRule="auto"/>
              <w:jc w:val="left"/>
            </w:pPr>
            <w:r>
              <w:rPr>
                <w:rFonts w:ascii="Noto Sans" w:hAnsi="Noto Sans" w:cs="Noto Sans"/>
                <w:b/>
                <w:caps/>
                <w:color w:val="6B6256"/>
                <w:kern w:val="16"/>
                <w:sz w:val="16"/>
                <w14:ligatures w14:val="standardContextual"/>
              </w:rPr>
              <w:t>QUADRO</w:t>
            </w:r>
          </w:p>
          <w:p w14:paraId="6DD26119" w14:textId="77777777" w:rsidR="005A5FCC" w:rsidRDefault="00A21C81">
            <w:pPr>
              <w:spacing w:after="60" w:line="247" w:lineRule="auto"/>
            </w:pPr>
            <w:r>
              <w:rPr>
                <w:rFonts w:cs="EB Garamond"/>
                <w:b/>
                <w:kern w:val="16"/>
                <w:sz w:val="19"/>
                <w14:ligatures w14:val="standardContextual"/>
              </w:rPr>
              <w:t>Quadro 15.4 — Competência Jurisdicional</w:t>
            </w:r>
          </w:p>
          <w:tbl>
            <w:tblPr>
              <w:tblW w:w="5000" w:type="pct"/>
              <w:jc w:val="center"/>
              <w:tblLook w:val="04A0" w:firstRow="1" w:lastRow="0" w:firstColumn="1" w:lastColumn="0" w:noHBand="0" w:noVBand="1"/>
            </w:tblPr>
            <w:tblGrid>
              <w:gridCol w:w="1967"/>
              <w:gridCol w:w="1967"/>
              <w:gridCol w:w="1967"/>
            </w:tblGrid>
            <w:tr w:rsidR="005A5FCC" w14:paraId="617F829F" w14:textId="77777777">
              <w:trPr>
                <w:tblHeader/>
                <w:jc w:val="center"/>
              </w:trPr>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3AE3FF22" w14:textId="77777777" w:rsidR="005A5FCC" w:rsidRDefault="00A21C81">
                  <w:pPr>
                    <w:spacing w:before="30" w:after="30" w:line="240" w:lineRule="auto"/>
                    <w:jc w:val="center"/>
                  </w:pPr>
                  <w:r>
                    <w:rPr>
                      <w:rFonts w:cs="EB Garamond"/>
                      <w:b/>
                      <w:color w:val="2F2923"/>
                      <w:kern w:val="16"/>
                      <w:sz w:val="16"/>
                      <w14:ligatures w14:val="standardContextual"/>
                    </w:rPr>
                    <w:t>Origem do acidente</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57BF895A" w14:textId="77777777" w:rsidR="005A5FCC" w:rsidRDefault="00A21C81">
                  <w:pPr>
                    <w:spacing w:before="30" w:after="30" w:line="240" w:lineRule="auto"/>
                    <w:jc w:val="center"/>
                  </w:pPr>
                  <w:r>
                    <w:rPr>
                      <w:rFonts w:cs="EB Garamond"/>
                      <w:b/>
                      <w:color w:val="2F2923"/>
                      <w:kern w:val="16"/>
                      <w:sz w:val="16"/>
                      <w14:ligatures w14:val="standardContextual"/>
                    </w:rPr>
                    <w:t>Espécie INSS</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6A051EE7" w14:textId="77777777" w:rsidR="005A5FCC" w:rsidRDefault="00A21C81">
                  <w:pPr>
                    <w:spacing w:before="30" w:after="30" w:line="240" w:lineRule="auto"/>
                    <w:jc w:val="center"/>
                  </w:pPr>
                  <w:r>
                    <w:rPr>
                      <w:rFonts w:cs="EB Garamond"/>
                      <w:b/>
                      <w:color w:val="2F2923"/>
                      <w:kern w:val="16"/>
                      <w:sz w:val="16"/>
                      <w14:ligatures w14:val="standardContextual"/>
                    </w:rPr>
                    <w:t>Competência</w:t>
                  </w:r>
                </w:p>
              </w:tc>
            </w:tr>
            <w:tr w:rsidR="005A5FCC" w14:paraId="7E69B17E"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73C2ED84" w14:textId="77777777" w:rsidR="005A5FCC" w:rsidRDefault="00A21C81">
                  <w:pPr>
                    <w:spacing w:before="20" w:after="20" w:line="240" w:lineRule="auto"/>
                    <w:jc w:val="left"/>
                  </w:pPr>
                  <w:r>
                    <w:rPr>
                      <w:rFonts w:cs="EB Garamond"/>
                      <w:kern w:val="16"/>
                      <w:sz w:val="16"/>
                      <w14:ligatures w14:val="standardContextual"/>
                    </w:rPr>
                    <w:t>Acidente do trabalho típico (art. 19)</w:t>
                  </w:r>
                </w:p>
              </w:tc>
              <w:tc>
                <w:tcPr>
                  <w:tcW w:w="2117" w:type="dxa"/>
                  <w:tcBorders>
                    <w:top w:val="single" w:sz="4" w:space="0" w:color="D2C9B8"/>
                    <w:left w:val="single" w:sz="4" w:space="0" w:color="D2C9B8"/>
                    <w:bottom w:val="single" w:sz="4" w:space="0" w:color="D2C9B8"/>
                    <w:right w:val="single" w:sz="4" w:space="0" w:color="D2C9B8"/>
                  </w:tcBorders>
                </w:tcPr>
                <w:p w14:paraId="181EE667" w14:textId="77777777" w:rsidR="005A5FCC" w:rsidRDefault="00A21C81">
                  <w:pPr>
                    <w:spacing w:before="20" w:after="20" w:line="240" w:lineRule="auto"/>
                    <w:jc w:val="left"/>
                  </w:pPr>
                  <w:r>
                    <w:rPr>
                      <w:rFonts w:cs="EB Garamond"/>
                      <w:kern w:val="16"/>
                      <w:sz w:val="16"/>
                      <w14:ligatures w14:val="standardContextual"/>
                    </w:rPr>
                    <w:t>B94</w:t>
                  </w:r>
                </w:p>
              </w:tc>
              <w:tc>
                <w:tcPr>
                  <w:tcW w:w="2117" w:type="dxa"/>
                  <w:tcBorders>
                    <w:top w:val="single" w:sz="4" w:space="0" w:color="D2C9B8"/>
                    <w:left w:val="single" w:sz="4" w:space="0" w:color="D2C9B8"/>
                    <w:bottom w:val="single" w:sz="4" w:space="0" w:color="D2C9B8"/>
                    <w:right w:val="single" w:sz="4" w:space="0" w:color="D2C9B8"/>
                  </w:tcBorders>
                </w:tcPr>
                <w:p w14:paraId="7479C439" w14:textId="77777777" w:rsidR="005A5FCC" w:rsidRDefault="00A21C81">
                  <w:pPr>
                    <w:spacing w:before="20" w:after="20" w:line="240" w:lineRule="auto"/>
                    <w:jc w:val="left"/>
                  </w:pPr>
                  <w:r>
                    <w:rPr>
                      <w:rFonts w:cs="EB Garamond"/>
                      <w:kern w:val="16"/>
                      <w:sz w:val="16"/>
                      <w14:ligatures w14:val="standardContextual"/>
                    </w:rPr>
                    <w:t>Justiça Estadual</w:t>
                  </w:r>
                </w:p>
              </w:tc>
            </w:tr>
            <w:tr w:rsidR="005A5FCC" w14:paraId="55E8BCC3"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37CB3977" w14:textId="77777777" w:rsidR="005A5FCC" w:rsidRDefault="00A21C81">
                  <w:pPr>
                    <w:spacing w:before="20" w:after="20" w:line="240" w:lineRule="auto"/>
                    <w:jc w:val="left"/>
                  </w:pPr>
                  <w:r>
                    <w:rPr>
                      <w:rFonts w:cs="EB Garamond"/>
                      <w:kern w:val="16"/>
                      <w:sz w:val="16"/>
                      <w14:ligatures w14:val="standardContextual"/>
                    </w:rPr>
                    <w:t>Doença profissional/do trabalho (art. 20)</w:t>
                  </w:r>
                </w:p>
              </w:tc>
              <w:tc>
                <w:tcPr>
                  <w:tcW w:w="2117" w:type="dxa"/>
                  <w:tcBorders>
                    <w:top w:val="single" w:sz="4" w:space="0" w:color="D2C9B8"/>
                    <w:left w:val="single" w:sz="4" w:space="0" w:color="D2C9B8"/>
                    <w:bottom w:val="single" w:sz="4" w:space="0" w:color="D2C9B8"/>
                    <w:right w:val="single" w:sz="4" w:space="0" w:color="D2C9B8"/>
                  </w:tcBorders>
                </w:tcPr>
                <w:p w14:paraId="0A686C77" w14:textId="77777777" w:rsidR="005A5FCC" w:rsidRDefault="00A21C81">
                  <w:pPr>
                    <w:spacing w:before="20" w:after="20" w:line="240" w:lineRule="auto"/>
                    <w:jc w:val="left"/>
                  </w:pPr>
                  <w:r>
                    <w:rPr>
                      <w:rFonts w:cs="EB Garamond"/>
                      <w:kern w:val="16"/>
                      <w:sz w:val="16"/>
                      <w14:ligatures w14:val="standardContextual"/>
                    </w:rPr>
                    <w:t>B94</w:t>
                  </w:r>
                </w:p>
              </w:tc>
              <w:tc>
                <w:tcPr>
                  <w:tcW w:w="2117" w:type="dxa"/>
                  <w:tcBorders>
                    <w:top w:val="single" w:sz="4" w:space="0" w:color="D2C9B8"/>
                    <w:left w:val="single" w:sz="4" w:space="0" w:color="D2C9B8"/>
                    <w:bottom w:val="single" w:sz="4" w:space="0" w:color="D2C9B8"/>
                    <w:right w:val="single" w:sz="4" w:space="0" w:color="D2C9B8"/>
                  </w:tcBorders>
                </w:tcPr>
                <w:p w14:paraId="6315C9B9" w14:textId="77777777" w:rsidR="005A5FCC" w:rsidRDefault="00A21C81">
                  <w:pPr>
                    <w:spacing w:before="20" w:after="20" w:line="240" w:lineRule="auto"/>
                    <w:jc w:val="left"/>
                  </w:pPr>
                  <w:r>
                    <w:rPr>
                      <w:rFonts w:cs="EB Garamond"/>
                      <w:kern w:val="16"/>
                      <w:sz w:val="16"/>
                      <w14:ligatures w14:val="standardContextual"/>
                    </w:rPr>
                    <w:t>Justiça Estadual</w:t>
                  </w:r>
                </w:p>
              </w:tc>
            </w:tr>
            <w:tr w:rsidR="005A5FCC" w14:paraId="2FC17F4E"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5C9E56A9" w14:textId="77777777" w:rsidR="005A5FCC" w:rsidRDefault="00A21C81">
                  <w:pPr>
                    <w:spacing w:before="20" w:after="20" w:line="240" w:lineRule="auto"/>
                    <w:jc w:val="left"/>
                  </w:pPr>
                  <w:r>
                    <w:rPr>
                      <w:rFonts w:cs="EB Garamond"/>
                      <w:kern w:val="16"/>
                      <w:sz w:val="16"/>
                      <w14:ligatures w14:val="standardContextual"/>
                    </w:rPr>
                    <w:t>Acidente de trajeto (art. 21)</w:t>
                  </w:r>
                </w:p>
              </w:tc>
              <w:tc>
                <w:tcPr>
                  <w:tcW w:w="2117" w:type="dxa"/>
                  <w:tcBorders>
                    <w:top w:val="single" w:sz="4" w:space="0" w:color="D2C9B8"/>
                    <w:left w:val="single" w:sz="4" w:space="0" w:color="D2C9B8"/>
                    <w:bottom w:val="single" w:sz="4" w:space="0" w:color="D2C9B8"/>
                    <w:right w:val="single" w:sz="4" w:space="0" w:color="D2C9B8"/>
                  </w:tcBorders>
                </w:tcPr>
                <w:p w14:paraId="416F78B9" w14:textId="77777777" w:rsidR="005A5FCC" w:rsidRDefault="00A21C81">
                  <w:pPr>
                    <w:spacing w:before="20" w:after="20" w:line="240" w:lineRule="auto"/>
                    <w:jc w:val="left"/>
                  </w:pPr>
                  <w:r>
                    <w:rPr>
                      <w:rFonts w:cs="EB Garamond"/>
                      <w:kern w:val="16"/>
                      <w:sz w:val="16"/>
                      <w14:ligatures w14:val="standardContextual"/>
                    </w:rPr>
                    <w:t>B94</w:t>
                  </w:r>
                </w:p>
              </w:tc>
              <w:tc>
                <w:tcPr>
                  <w:tcW w:w="2117" w:type="dxa"/>
                  <w:tcBorders>
                    <w:top w:val="single" w:sz="4" w:space="0" w:color="D2C9B8"/>
                    <w:left w:val="single" w:sz="4" w:space="0" w:color="D2C9B8"/>
                    <w:bottom w:val="single" w:sz="4" w:space="0" w:color="D2C9B8"/>
                    <w:right w:val="single" w:sz="4" w:space="0" w:color="D2C9B8"/>
                  </w:tcBorders>
                </w:tcPr>
                <w:p w14:paraId="6C771730" w14:textId="77777777" w:rsidR="005A5FCC" w:rsidRDefault="00A21C81">
                  <w:pPr>
                    <w:spacing w:before="20" w:after="20" w:line="240" w:lineRule="auto"/>
                    <w:jc w:val="left"/>
                  </w:pPr>
                  <w:r>
                    <w:rPr>
                      <w:rFonts w:cs="EB Garamond"/>
                      <w:kern w:val="16"/>
                      <w:sz w:val="16"/>
                      <w14:ligatures w14:val="standardContextual"/>
                    </w:rPr>
                    <w:t>Justiça Estadual</w:t>
                  </w:r>
                </w:p>
              </w:tc>
            </w:tr>
            <w:tr w:rsidR="005A5FCC" w14:paraId="2AE4AD1D"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2D3D9859" w14:textId="77777777" w:rsidR="005A5FCC" w:rsidRDefault="00A21C81">
                  <w:pPr>
                    <w:spacing w:before="20" w:after="20" w:line="240" w:lineRule="auto"/>
                    <w:jc w:val="left"/>
                  </w:pPr>
                  <w:r>
                    <w:rPr>
                      <w:rFonts w:cs="EB Garamond"/>
                      <w:kern w:val="16"/>
                      <w:sz w:val="16"/>
                      <w14:ligatures w14:val="standardContextual"/>
                    </w:rPr>
                    <w:t>Acidente doméstico, de trânsito, esportivo etc.</w:t>
                  </w:r>
                </w:p>
              </w:tc>
              <w:tc>
                <w:tcPr>
                  <w:tcW w:w="2117" w:type="dxa"/>
                  <w:tcBorders>
                    <w:top w:val="single" w:sz="4" w:space="0" w:color="D2C9B8"/>
                    <w:left w:val="single" w:sz="4" w:space="0" w:color="D2C9B8"/>
                    <w:bottom w:val="single" w:sz="4" w:space="0" w:color="D2C9B8"/>
                    <w:right w:val="single" w:sz="4" w:space="0" w:color="D2C9B8"/>
                  </w:tcBorders>
                </w:tcPr>
                <w:p w14:paraId="2F0A4CF9" w14:textId="77777777" w:rsidR="005A5FCC" w:rsidRDefault="00A21C81">
                  <w:pPr>
                    <w:spacing w:before="20" w:after="20" w:line="240" w:lineRule="auto"/>
                    <w:jc w:val="left"/>
                  </w:pPr>
                  <w:r>
                    <w:rPr>
                      <w:rFonts w:cs="EB Garamond"/>
                      <w:kern w:val="16"/>
                      <w:sz w:val="16"/>
                      <w14:ligatures w14:val="standardContextual"/>
                    </w:rPr>
                    <w:t>B36</w:t>
                  </w:r>
                </w:p>
              </w:tc>
              <w:tc>
                <w:tcPr>
                  <w:tcW w:w="2117" w:type="dxa"/>
                  <w:tcBorders>
                    <w:top w:val="single" w:sz="4" w:space="0" w:color="D2C9B8"/>
                    <w:left w:val="single" w:sz="4" w:space="0" w:color="D2C9B8"/>
                    <w:bottom w:val="single" w:sz="4" w:space="0" w:color="D2C9B8"/>
                    <w:right w:val="single" w:sz="4" w:space="0" w:color="D2C9B8"/>
                  </w:tcBorders>
                </w:tcPr>
                <w:p w14:paraId="3937C09A" w14:textId="77777777" w:rsidR="005A5FCC" w:rsidRDefault="00A21C81">
                  <w:pPr>
                    <w:spacing w:before="20" w:after="20" w:line="240" w:lineRule="auto"/>
                    <w:jc w:val="left"/>
                  </w:pPr>
                  <w:r>
                    <w:rPr>
                      <w:rFonts w:cs="EB Garamond"/>
                      <w:kern w:val="16"/>
                      <w:sz w:val="16"/>
                      <w14:ligatures w14:val="standardContextual"/>
                    </w:rPr>
                    <w:t>Justiça Federal/JEF</w:t>
                  </w:r>
                </w:p>
              </w:tc>
            </w:tr>
          </w:tbl>
          <w:p w14:paraId="21D1EADC" w14:textId="77777777" w:rsidR="005A5FCC" w:rsidRDefault="005A5FCC"/>
          <w:p w14:paraId="0D2BABAD" w14:textId="77777777" w:rsidR="005A5FCC" w:rsidRDefault="005A5FCC">
            <w:pPr>
              <w:spacing w:after="0" w:line="240" w:lineRule="auto"/>
            </w:pPr>
          </w:p>
        </w:tc>
      </w:tr>
    </w:tbl>
    <w:p w14:paraId="60EA7C79" w14:textId="77777777" w:rsidR="005A5FCC" w:rsidRDefault="005A5FCC">
      <w:pPr>
        <w:spacing w:after="80" w:line="240" w:lineRule="auto"/>
      </w:pPr>
    </w:p>
    <w:tbl>
      <w:tblPr>
        <w:tblW w:w="5000" w:type="pct"/>
        <w:jc w:val="center"/>
        <w:tblLayout w:type="fixed"/>
        <w:tblLook w:val="04A0" w:firstRow="1" w:lastRow="0" w:firstColumn="1" w:lastColumn="0" w:noHBand="0" w:noVBand="1"/>
      </w:tblPr>
      <w:tblGrid>
        <w:gridCol w:w="6311"/>
      </w:tblGrid>
      <w:tr w:rsidR="005A5FCC" w14:paraId="4685591A" w14:textId="77777777">
        <w:trPr>
          <w:cantSplit/>
          <w:jc w:val="center"/>
        </w:trPr>
        <w:tc>
          <w:tcPr>
            <w:tcW w:w="6350" w:type="dxa"/>
            <w:tcBorders>
              <w:top w:val="single" w:sz="7" w:space="0" w:color="A09882"/>
              <w:left w:val="single" w:sz="24" w:space="0" w:color="6B6256"/>
              <w:bottom w:val="single" w:sz="7" w:space="0" w:color="A09882"/>
              <w:right w:val="single" w:sz="7" w:space="0" w:color="A09882"/>
            </w:tcBorders>
            <w:shd w:val="clear" w:color="auto" w:fill="F5F3EF"/>
            <w:tcMar>
              <w:top w:w="150" w:type="dxa"/>
              <w:left w:w="220" w:type="dxa"/>
              <w:bottom w:w="150" w:type="dxa"/>
              <w:right w:w="180" w:type="dxa"/>
            </w:tcMar>
          </w:tcPr>
          <w:p w14:paraId="1EB619EE" w14:textId="77777777" w:rsidR="005A5FCC" w:rsidRDefault="00A21C81">
            <w:pPr>
              <w:spacing w:after="60" w:line="240" w:lineRule="auto"/>
              <w:jc w:val="left"/>
            </w:pPr>
            <w:r>
              <w:rPr>
                <w:rFonts w:ascii="Noto Sans" w:hAnsi="Noto Sans" w:cs="Noto Sans"/>
                <w:b/>
                <w:caps/>
                <w:color w:val="6B6256"/>
                <w:kern w:val="16"/>
                <w:sz w:val="16"/>
                <w14:ligatures w14:val="standardContextual"/>
              </w:rPr>
              <w:lastRenderedPageBreak/>
              <w:t>QUADRO</w:t>
            </w:r>
          </w:p>
          <w:p w14:paraId="4B0D8F7C" w14:textId="77777777" w:rsidR="005A5FCC" w:rsidRDefault="00A21C81">
            <w:pPr>
              <w:spacing w:after="60" w:line="247" w:lineRule="auto"/>
            </w:pPr>
            <w:r>
              <w:rPr>
                <w:rFonts w:cs="EB Garamond"/>
                <w:b/>
                <w:kern w:val="16"/>
                <w:sz w:val="19"/>
                <w14:ligatures w14:val="standardContextual"/>
              </w:rPr>
              <w:t>Quadro 15.5 — Data de Início do Benefício (DIB)</w:t>
            </w:r>
          </w:p>
          <w:tbl>
            <w:tblPr>
              <w:tblW w:w="5000" w:type="pct"/>
              <w:jc w:val="center"/>
              <w:tblLook w:val="04A0" w:firstRow="1" w:lastRow="0" w:firstColumn="1" w:lastColumn="0" w:noHBand="0" w:noVBand="1"/>
            </w:tblPr>
            <w:tblGrid>
              <w:gridCol w:w="1967"/>
              <w:gridCol w:w="1967"/>
              <w:gridCol w:w="1967"/>
            </w:tblGrid>
            <w:tr w:rsidR="005A5FCC" w14:paraId="02EE3C3A" w14:textId="77777777">
              <w:trPr>
                <w:tblHeader/>
                <w:jc w:val="center"/>
              </w:trPr>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62466196" w14:textId="77777777" w:rsidR="005A5FCC" w:rsidRDefault="00A21C81">
                  <w:pPr>
                    <w:spacing w:before="30" w:after="30" w:line="240" w:lineRule="auto"/>
                    <w:jc w:val="center"/>
                  </w:pPr>
                  <w:r>
                    <w:rPr>
                      <w:rFonts w:cs="EB Garamond"/>
                      <w:b/>
                      <w:color w:val="2F2923"/>
                      <w:kern w:val="16"/>
                      <w:sz w:val="16"/>
                      <w14:ligatures w14:val="standardContextual"/>
                    </w:rPr>
                    <w:t>Situação</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411A93A7" w14:textId="77777777" w:rsidR="005A5FCC" w:rsidRDefault="00A21C81">
                  <w:pPr>
                    <w:spacing w:before="30" w:after="30" w:line="240" w:lineRule="auto"/>
                    <w:jc w:val="center"/>
                  </w:pPr>
                  <w:r>
                    <w:rPr>
                      <w:rFonts w:cs="EB Garamond"/>
                      <w:b/>
                      <w:color w:val="2F2923"/>
                      <w:kern w:val="16"/>
                      <w:sz w:val="16"/>
                      <w14:ligatures w14:val="standardContextual"/>
                    </w:rPr>
                    <w:t>DIB</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339F578B" w14:textId="77777777" w:rsidR="005A5FCC" w:rsidRDefault="00A21C81">
                  <w:pPr>
                    <w:spacing w:before="30" w:after="30" w:line="240" w:lineRule="auto"/>
                    <w:jc w:val="center"/>
                  </w:pPr>
                  <w:r>
                    <w:rPr>
                      <w:rFonts w:cs="EB Garamond"/>
                      <w:b/>
                      <w:color w:val="2F2923"/>
                      <w:kern w:val="16"/>
                      <w:sz w:val="16"/>
                      <w14:ligatures w14:val="standardContextual"/>
                    </w:rPr>
                    <w:t>Fundamento</w:t>
                  </w:r>
                </w:p>
              </w:tc>
            </w:tr>
            <w:tr w:rsidR="005A5FCC" w14:paraId="459EAAA8"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0889308D" w14:textId="77777777" w:rsidR="005A5FCC" w:rsidRDefault="00A21C81">
                  <w:pPr>
                    <w:spacing w:before="20" w:after="20" w:line="240" w:lineRule="auto"/>
                    <w:jc w:val="left"/>
                  </w:pPr>
                  <w:r>
                    <w:rPr>
                      <w:rFonts w:cs="EB Garamond"/>
                      <w:kern w:val="16"/>
                      <w:sz w:val="16"/>
                      <w14:ligatures w14:val="standardContextual"/>
                    </w:rPr>
                    <w:t>Com aux. Incapacidade temporária prévio</w:t>
                  </w:r>
                </w:p>
              </w:tc>
              <w:tc>
                <w:tcPr>
                  <w:tcW w:w="2117" w:type="dxa"/>
                  <w:tcBorders>
                    <w:top w:val="single" w:sz="4" w:space="0" w:color="D2C9B8"/>
                    <w:left w:val="single" w:sz="4" w:space="0" w:color="D2C9B8"/>
                    <w:bottom w:val="single" w:sz="4" w:space="0" w:color="D2C9B8"/>
                    <w:right w:val="single" w:sz="4" w:space="0" w:color="D2C9B8"/>
                  </w:tcBorders>
                </w:tcPr>
                <w:p w14:paraId="12183C89" w14:textId="77777777" w:rsidR="005A5FCC" w:rsidRDefault="00A21C81">
                  <w:pPr>
                    <w:spacing w:before="20" w:after="20" w:line="240" w:lineRule="auto"/>
                    <w:jc w:val="left"/>
                  </w:pPr>
                  <w:r>
                    <w:rPr>
                      <w:rFonts w:cs="EB Garamond"/>
                      <w:kern w:val="16"/>
                      <w:sz w:val="16"/>
                      <w14:ligatures w14:val="standardContextual"/>
                    </w:rPr>
                    <w:t>Dia seguinte à cessação</w:t>
                  </w:r>
                </w:p>
              </w:tc>
              <w:tc>
                <w:tcPr>
                  <w:tcW w:w="2117" w:type="dxa"/>
                  <w:tcBorders>
                    <w:top w:val="single" w:sz="4" w:space="0" w:color="D2C9B8"/>
                    <w:left w:val="single" w:sz="4" w:space="0" w:color="D2C9B8"/>
                    <w:bottom w:val="single" w:sz="4" w:space="0" w:color="D2C9B8"/>
                    <w:right w:val="single" w:sz="4" w:space="0" w:color="D2C9B8"/>
                  </w:tcBorders>
                </w:tcPr>
                <w:p w14:paraId="46D71DCA" w14:textId="77777777" w:rsidR="005A5FCC" w:rsidRDefault="00A21C81">
                  <w:pPr>
                    <w:spacing w:before="20" w:after="20" w:line="240" w:lineRule="auto"/>
                    <w:jc w:val="left"/>
                  </w:pPr>
                  <w:r>
                    <w:rPr>
                      <w:rFonts w:cs="EB Garamond"/>
                      <w:kern w:val="16"/>
                      <w:sz w:val="16"/>
                      <w14:ligatures w14:val="standardContextual"/>
                    </w:rPr>
                    <w:t>Tema 862/STJ; Tema 315/TNU</w:t>
                  </w:r>
                </w:p>
              </w:tc>
            </w:tr>
            <w:tr w:rsidR="005A5FCC" w14:paraId="5DF2A37E"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7305D023" w14:textId="77777777" w:rsidR="005A5FCC" w:rsidRDefault="00A21C81">
                  <w:pPr>
                    <w:spacing w:before="20" w:after="20" w:line="240" w:lineRule="auto"/>
                    <w:jc w:val="left"/>
                  </w:pPr>
                  <w:r>
                    <w:rPr>
                      <w:rFonts w:cs="EB Garamond"/>
                      <w:kern w:val="16"/>
                      <w:sz w:val="16"/>
                      <w14:ligatures w14:val="standardContextual"/>
                    </w:rPr>
                    <w:t>Sem aux. Incapacidade temporária, com requerimento administrativo</w:t>
                  </w:r>
                </w:p>
              </w:tc>
              <w:tc>
                <w:tcPr>
                  <w:tcW w:w="2117" w:type="dxa"/>
                  <w:tcBorders>
                    <w:top w:val="single" w:sz="4" w:space="0" w:color="D2C9B8"/>
                    <w:left w:val="single" w:sz="4" w:space="0" w:color="D2C9B8"/>
                    <w:bottom w:val="single" w:sz="4" w:space="0" w:color="D2C9B8"/>
                    <w:right w:val="single" w:sz="4" w:space="0" w:color="D2C9B8"/>
                  </w:tcBorders>
                </w:tcPr>
                <w:p w14:paraId="410EB824" w14:textId="77777777" w:rsidR="005A5FCC" w:rsidRDefault="00A21C81">
                  <w:pPr>
                    <w:spacing w:before="20" w:after="20" w:line="240" w:lineRule="auto"/>
                    <w:jc w:val="left"/>
                  </w:pPr>
                  <w:r>
                    <w:rPr>
                      <w:rFonts w:cs="EB Garamond"/>
                      <w:kern w:val="16"/>
                      <w:sz w:val="16"/>
                      <w14:ligatures w14:val="standardContextual"/>
                    </w:rPr>
                    <w:t>Data do requerimento</w:t>
                  </w:r>
                </w:p>
              </w:tc>
              <w:tc>
                <w:tcPr>
                  <w:tcW w:w="2117" w:type="dxa"/>
                  <w:tcBorders>
                    <w:top w:val="single" w:sz="4" w:space="0" w:color="D2C9B8"/>
                    <w:left w:val="single" w:sz="4" w:space="0" w:color="D2C9B8"/>
                    <w:bottom w:val="single" w:sz="4" w:space="0" w:color="D2C9B8"/>
                    <w:right w:val="single" w:sz="4" w:space="0" w:color="D2C9B8"/>
                  </w:tcBorders>
                </w:tcPr>
                <w:p w14:paraId="6CBB066E" w14:textId="77777777" w:rsidR="005A5FCC" w:rsidRDefault="00A21C81">
                  <w:pPr>
                    <w:spacing w:before="20" w:after="20" w:line="240" w:lineRule="auto"/>
                    <w:jc w:val="left"/>
                  </w:pPr>
                  <w:r>
                    <w:rPr>
                      <w:rFonts w:cs="EB Garamond"/>
                      <w:kern w:val="16"/>
                      <w:sz w:val="16"/>
                      <w14:ligatures w14:val="standardContextual"/>
                    </w:rPr>
                    <w:t>Jur. Em Teses 199/STJ</w:t>
                  </w:r>
                </w:p>
              </w:tc>
            </w:tr>
            <w:tr w:rsidR="005A5FCC" w14:paraId="78D5E18C"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40770A97" w14:textId="77777777" w:rsidR="005A5FCC" w:rsidRDefault="00A21C81">
                  <w:pPr>
                    <w:spacing w:before="20" w:after="20" w:line="240" w:lineRule="auto"/>
                    <w:jc w:val="left"/>
                  </w:pPr>
                  <w:r>
                    <w:rPr>
                      <w:rFonts w:cs="EB Garamond"/>
                      <w:kern w:val="16"/>
                      <w:sz w:val="16"/>
                      <w14:ligatures w14:val="standardContextual"/>
                    </w:rPr>
                    <w:t>Sem aux. Incapacidade temporária, sem requerimento</w:t>
                  </w:r>
                </w:p>
              </w:tc>
              <w:tc>
                <w:tcPr>
                  <w:tcW w:w="2117" w:type="dxa"/>
                  <w:tcBorders>
                    <w:top w:val="single" w:sz="4" w:space="0" w:color="D2C9B8"/>
                    <w:left w:val="single" w:sz="4" w:space="0" w:color="D2C9B8"/>
                    <w:bottom w:val="single" w:sz="4" w:space="0" w:color="D2C9B8"/>
                    <w:right w:val="single" w:sz="4" w:space="0" w:color="D2C9B8"/>
                  </w:tcBorders>
                </w:tcPr>
                <w:p w14:paraId="31DE1953" w14:textId="77777777" w:rsidR="005A5FCC" w:rsidRDefault="00A21C81">
                  <w:pPr>
                    <w:spacing w:before="20" w:after="20" w:line="240" w:lineRule="auto"/>
                    <w:jc w:val="left"/>
                  </w:pPr>
                  <w:r>
                    <w:rPr>
                      <w:rFonts w:cs="EB Garamond"/>
                      <w:kern w:val="16"/>
                      <w:sz w:val="16"/>
                      <w14:ligatures w14:val="standardContextual"/>
                    </w:rPr>
                    <w:t>Data da citação</w:t>
                  </w:r>
                </w:p>
              </w:tc>
              <w:tc>
                <w:tcPr>
                  <w:tcW w:w="2117" w:type="dxa"/>
                  <w:tcBorders>
                    <w:top w:val="single" w:sz="4" w:space="0" w:color="D2C9B8"/>
                    <w:left w:val="single" w:sz="4" w:space="0" w:color="D2C9B8"/>
                    <w:bottom w:val="single" w:sz="4" w:space="0" w:color="D2C9B8"/>
                    <w:right w:val="single" w:sz="4" w:space="0" w:color="D2C9B8"/>
                  </w:tcBorders>
                </w:tcPr>
                <w:p w14:paraId="307E5028" w14:textId="77777777" w:rsidR="005A5FCC" w:rsidRDefault="00A21C81">
                  <w:pPr>
                    <w:spacing w:before="20" w:after="20" w:line="240" w:lineRule="auto"/>
                    <w:jc w:val="left"/>
                  </w:pPr>
                  <w:r>
                    <w:rPr>
                      <w:rFonts w:cs="EB Garamond"/>
                      <w:kern w:val="16"/>
                      <w:sz w:val="16"/>
                      <w14:ligatures w14:val="standardContextual"/>
                    </w:rPr>
                    <w:t>Jurisprudência consolidada</w:t>
                  </w:r>
                </w:p>
              </w:tc>
            </w:tr>
            <w:tr w:rsidR="005A5FCC" w14:paraId="0DEF1892"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403AC1F4" w14:textId="77777777" w:rsidR="005A5FCC" w:rsidRDefault="00A21C81">
                  <w:pPr>
                    <w:spacing w:before="20" w:after="20" w:line="240" w:lineRule="auto"/>
                    <w:jc w:val="left"/>
                  </w:pPr>
                  <w:r>
                    <w:rPr>
                      <w:rFonts w:cs="EB Garamond"/>
                      <w:kern w:val="16"/>
                      <w:sz w:val="16"/>
                      <w14:ligatures w14:val="standardContextual"/>
                    </w:rPr>
                    <w:t>Laudo pericial</w:t>
                  </w:r>
                </w:p>
              </w:tc>
              <w:tc>
                <w:tcPr>
                  <w:tcW w:w="2117" w:type="dxa"/>
                  <w:tcBorders>
                    <w:top w:val="single" w:sz="4" w:space="0" w:color="D2C9B8"/>
                    <w:left w:val="single" w:sz="4" w:space="0" w:color="D2C9B8"/>
                    <w:bottom w:val="single" w:sz="4" w:space="0" w:color="D2C9B8"/>
                    <w:right w:val="single" w:sz="4" w:space="0" w:color="D2C9B8"/>
                  </w:tcBorders>
                </w:tcPr>
                <w:p w14:paraId="292F7E7D" w14:textId="77777777" w:rsidR="005A5FCC" w:rsidRDefault="00A21C81">
                  <w:pPr>
                    <w:spacing w:before="20" w:after="20" w:line="240" w:lineRule="auto"/>
                    <w:jc w:val="left"/>
                  </w:pPr>
                  <w:r>
                    <w:rPr>
                      <w:rFonts w:cs="EB Garamond"/>
                      <w:kern w:val="16"/>
                      <w:sz w:val="16"/>
                      <w14:ligatures w14:val="standardContextual"/>
                    </w:rPr>
                    <w:t>Não serve como DIB</w:t>
                  </w:r>
                </w:p>
              </w:tc>
              <w:tc>
                <w:tcPr>
                  <w:tcW w:w="2117" w:type="dxa"/>
                  <w:tcBorders>
                    <w:top w:val="single" w:sz="4" w:space="0" w:color="D2C9B8"/>
                    <w:left w:val="single" w:sz="4" w:space="0" w:color="D2C9B8"/>
                    <w:bottom w:val="single" w:sz="4" w:space="0" w:color="D2C9B8"/>
                    <w:right w:val="single" w:sz="4" w:space="0" w:color="D2C9B8"/>
                  </w:tcBorders>
                </w:tcPr>
                <w:p w14:paraId="1E145AE0" w14:textId="77777777" w:rsidR="005A5FCC" w:rsidRDefault="00A21C81">
                  <w:pPr>
                    <w:spacing w:before="20" w:after="20" w:line="240" w:lineRule="auto"/>
                    <w:jc w:val="left"/>
                  </w:pPr>
                  <w:r>
                    <w:rPr>
                      <w:rFonts w:cs="EB Garamond"/>
                      <w:kern w:val="16"/>
                      <w:sz w:val="16"/>
                      <w14:ligatures w14:val="standardContextual"/>
                    </w:rPr>
                    <w:t>Jur. Em Teses 199/STJ</w:t>
                  </w:r>
                </w:p>
              </w:tc>
            </w:tr>
          </w:tbl>
          <w:p w14:paraId="288E60AC" w14:textId="77777777" w:rsidR="005A5FCC" w:rsidRDefault="005A5FCC"/>
          <w:p w14:paraId="791F72D5" w14:textId="77777777" w:rsidR="005A5FCC" w:rsidRDefault="005A5FCC">
            <w:pPr>
              <w:spacing w:after="0" w:line="240" w:lineRule="auto"/>
            </w:pPr>
          </w:p>
        </w:tc>
      </w:tr>
    </w:tbl>
    <w:p w14:paraId="04B820E0" w14:textId="77777777" w:rsidR="005A5FCC" w:rsidRDefault="005A5FCC">
      <w:pPr>
        <w:spacing w:after="80" w:line="240" w:lineRule="auto"/>
      </w:pPr>
    </w:p>
    <w:tbl>
      <w:tblPr>
        <w:tblW w:w="5000" w:type="pct"/>
        <w:jc w:val="center"/>
        <w:tblLayout w:type="fixed"/>
        <w:tblLook w:val="04A0" w:firstRow="1" w:lastRow="0" w:firstColumn="1" w:lastColumn="0" w:noHBand="0" w:noVBand="1"/>
      </w:tblPr>
      <w:tblGrid>
        <w:gridCol w:w="6311"/>
      </w:tblGrid>
      <w:tr w:rsidR="005A5FCC" w14:paraId="57D4EB09" w14:textId="77777777">
        <w:trPr>
          <w:cantSplit/>
          <w:jc w:val="center"/>
        </w:trPr>
        <w:tc>
          <w:tcPr>
            <w:tcW w:w="6350" w:type="dxa"/>
            <w:tcBorders>
              <w:top w:val="single" w:sz="7" w:space="0" w:color="A09882"/>
              <w:left w:val="single" w:sz="24" w:space="0" w:color="6B6256"/>
              <w:bottom w:val="single" w:sz="7" w:space="0" w:color="A09882"/>
              <w:right w:val="single" w:sz="7" w:space="0" w:color="A09882"/>
            </w:tcBorders>
            <w:shd w:val="clear" w:color="auto" w:fill="F5F3EF"/>
            <w:tcMar>
              <w:top w:w="150" w:type="dxa"/>
              <w:left w:w="220" w:type="dxa"/>
              <w:bottom w:w="150" w:type="dxa"/>
              <w:right w:w="180" w:type="dxa"/>
            </w:tcMar>
          </w:tcPr>
          <w:p w14:paraId="26D1F077" w14:textId="77777777" w:rsidR="005A5FCC" w:rsidRDefault="00A21C81">
            <w:pPr>
              <w:spacing w:after="60" w:line="240" w:lineRule="auto"/>
              <w:jc w:val="left"/>
            </w:pPr>
            <w:r>
              <w:rPr>
                <w:rFonts w:ascii="Noto Sans" w:hAnsi="Noto Sans" w:cs="Noto Sans"/>
                <w:b/>
                <w:caps/>
                <w:color w:val="6B6256"/>
                <w:kern w:val="16"/>
                <w:sz w:val="16"/>
                <w14:ligatures w14:val="standardContextual"/>
              </w:rPr>
              <w:lastRenderedPageBreak/>
              <w:t>QUADRO</w:t>
            </w:r>
          </w:p>
          <w:p w14:paraId="5F02DCD2" w14:textId="77777777" w:rsidR="005A5FCC" w:rsidRDefault="00A21C81">
            <w:pPr>
              <w:spacing w:after="60" w:line="247" w:lineRule="auto"/>
            </w:pPr>
            <w:r>
              <w:rPr>
                <w:rFonts w:cs="EB Garamond"/>
                <w:b/>
                <w:kern w:val="16"/>
                <w:sz w:val="19"/>
                <w14:ligatures w14:val="standardContextual"/>
              </w:rPr>
              <w:t>Quadro 15.6 — Jurisprudência Consolidada</w:t>
            </w:r>
          </w:p>
          <w:tbl>
            <w:tblPr>
              <w:tblW w:w="5000" w:type="pct"/>
              <w:jc w:val="center"/>
              <w:tblLook w:val="04A0" w:firstRow="1" w:lastRow="0" w:firstColumn="1" w:lastColumn="0" w:noHBand="0" w:noVBand="1"/>
            </w:tblPr>
            <w:tblGrid>
              <w:gridCol w:w="1967"/>
              <w:gridCol w:w="1967"/>
              <w:gridCol w:w="1967"/>
            </w:tblGrid>
            <w:tr w:rsidR="005A5FCC" w14:paraId="2DD36D53" w14:textId="77777777">
              <w:trPr>
                <w:tblHeader/>
                <w:jc w:val="center"/>
              </w:trPr>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0BDE4B18" w14:textId="77777777" w:rsidR="005A5FCC" w:rsidRDefault="00A21C81">
                  <w:pPr>
                    <w:spacing w:before="30" w:after="30" w:line="240" w:lineRule="auto"/>
                    <w:jc w:val="center"/>
                  </w:pPr>
                  <w:r>
                    <w:rPr>
                      <w:rFonts w:cs="EB Garamond"/>
                      <w:b/>
                      <w:color w:val="2F2923"/>
                      <w:kern w:val="16"/>
                      <w:sz w:val="16"/>
                      <w14:ligatures w14:val="standardContextual"/>
                    </w:rPr>
                    <w:t>Referência</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69F39349" w14:textId="77777777" w:rsidR="005A5FCC" w:rsidRDefault="00A21C81">
                  <w:pPr>
                    <w:spacing w:before="30" w:after="30" w:line="240" w:lineRule="auto"/>
                    <w:jc w:val="center"/>
                  </w:pPr>
                  <w:r>
                    <w:rPr>
                      <w:rFonts w:cs="EB Garamond"/>
                      <w:b/>
                      <w:color w:val="2F2923"/>
                      <w:kern w:val="16"/>
                      <w:sz w:val="16"/>
                      <w14:ligatures w14:val="standardContextual"/>
                    </w:rPr>
                    <w:t>Tese</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406640DE" w14:textId="77777777" w:rsidR="005A5FCC" w:rsidRDefault="00A21C81">
                  <w:pPr>
                    <w:spacing w:before="30" w:after="30" w:line="240" w:lineRule="auto"/>
                    <w:jc w:val="center"/>
                  </w:pPr>
                  <w:r>
                    <w:rPr>
                      <w:rFonts w:cs="EB Garamond"/>
                      <w:b/>
                      <w:color w:val="2F2923"/>
                      <w:kern w:val="16"/>
                      <w:sz w:val="16"/>
                      <w14:ligatures w14:val="standardContextual"/>
                    </w:rPr>
                    <w:t>Órgão</w:t>
                  </w:r>
                </w:p>
              </w:tc>
            </w:tr>
            <w:tr w:rsidR="005A5FCC" w14:paraId="7B6F50CE"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2315D97A" w14:textId="77777777" w:rsidR="005A5FCC" w:rsidRDefault="00A21C81">
                  <w:pPr>
                    <w:spacing w:before="20" w:after="20" w:line="240" w:lineRule="auto"/>
                    <w:jc w:val="left"/>
                  </w:pPr>
                  <w:r>
                    <w:rPr>
                      <w:rFonts w:cs="EB Garamond"/>
                      <w:kern w:val="16"/>
                      <w:sz w:val="16"/>
                      <w14:ligatures w14:val="standardContextual"/>
                    </w:rPr>
                    <w:t>Tema 862</w:t>
                  </w:r>
                </w:p>
              </w:tc>
              <w:tc>
                <w:tcPr>
                  <w:tcW w:w="2117" w:type="dxa"/>
                  <w:tcBorders>
                    <w:top w:val="single" w:sz="4" w:space="0" w:color="D2C9B8"/>
                    <w:left w:val="single" w:sz="4" w:space="0" w:color="D2C9B8"/>
                    <w:bottom w:val="single" w:sz="4" w:space="0" w:color="D2C9B8"/>
                    <w:right w:val="single" w:sz="4" w:space="0" w:color="D2C9B8"/>
                  </w:tcBorders>
                </w:tcPr>
                <w:p w14:paraId="1844EC5F" w14:textId="77777777" w:rsidR="005A5FCC" w:rsidRDefault="00A21C81">
                  <w:pPr>
                    <w:spacing w:before="20" w:after="20" w:line="240" w:lineRule="auto"/>
                    <w:jc w:val="left"/>
                  </w:pPr>
                  <w:r>
                    <w:rPr>
                      <w:rFonts w:cs="EB Garamond"/>
                      <w:kern w:val="16"/>
                      <w:sz w:val="16"/>
                      <w14:ligatures w14:val="standardContextual"/>
                    </w:rPr>
                    <w:t>DIB = dia seguinte à cessação do aux. Incapacidade temporária</w:t>
                  </w:r>
                </w:p>
              </w:tc>
              <w:tc>
                <w:tcPr>
                  <w:tcW w:w="2117" w:type="dxa"/>
                  <w:tcBorders>
                    <w:top w:val="single" w:sz="4" w:space="0" w:color="D2C9B8"/>
                    <w:left w:val="single" w:sz="4" w:space="0" w:color="D2C9B8"/>
                    <w:bottom w:val="single" w:sz="4" w:space="0" w:color="D2C9B8"/>
                    <w:right w:val="single" w:sz="4" w:space="0" w:color="D2C9B8"/>
                  </w:tcBorders>
                </w:tcPr>
                <w:p w14:paraId="272CC431" w14:textId="77777777" w:rsidR="005A5FCC" w:rsidRDefault="00A21C81">
                  <w:pPr>
                    <w:spacing w:before="20" w:after="20" w:line="240" w:lineRule="auto"/>
                    <w:jc w:val="left"/>
                  </w:pPr>
                  <w:r>
                    <w:rPr>
                      <w:rFonts w:cs="EB Garamond"/>
                      <w:kern w:val="16"/>
                      <w:sz w:val="16"/>
                      <w14:ligatures w14:val="standardContextual"/>
                    </w:rPr>
                    <w:t>STJ, 1ª Seção</w:t>
                  </w:r>
                </w:p>
              </w:tc>
            </w:tr>
            <w:tr w:rsidR="005A5FCC" w14:paraId="6C0444E0"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787BFA33" w14:textId="77777777" w:rsidR="005A5FCC" w:rsidRDefault="00A21C81">
                  <w:pPr>
                    <w:spacing w:before="20" w:after="20" w:line="240" w:lineRule="auto"/>
                    <w:jc w:val="left"/>
                  </w:pPr>
                  <w:r>
                    <w:rPr>
                      <w:rFonts w:cs="EB Garamond"/>
                      <w:kern w:val="16"/>
                      <w:sz w:val="16"/>
                      <w14:ligatures w14:val="standardContextual"/>
                    </w:rPr>
                    <w:t>Súmula 507</w:t>
                  </w:r>
                </w:p>
              </w:tc>
              <w:tc>
                <w:tcPr>
                  <w:tcW w:w="2117" w:type="dxa"/>
                  <w:tcBorders>
                    <w:top w:val="single" w:sz="4" w:space="0" w:color="D2C9B8"/>
                    <w:left w:val="single" w:sz="4" w:space="0" w:color="D2C9B8"/>
                    <w:bottom w:val="single" w:sz="4" w:space="0" w:color="D2C9B8"/>
                    <w:right w:val="single" w:sz="4" w:space="0" w:color="D2C9B8"/>
                  </w:tcBorders>
                </w:tcPr>
                <w:p w14:paraId="473A7109" w14:textId="77777777" w:rsidR="005A5FCC" w:rsidRDefault="00A21C81">
                  <w:pPr>
                    <w:spacing w:before="20" w:after="20" w:line="240" w:lineRule="auto"/>
                    <w:jc w:val="left"/>
                  </w:pPr>
                  <w:r>
                    <w:rPr>
                      <w:rFonts w:cs="EB Garamond"/>
                      <w:kern w:val="16"/>
                      <w:sz w:val="16"/>
                      <w14:ligatures w14:val="standardContextual"/>
                    </w:rPr>
                    <w:t>Acumulação com aposentadoria: lesão ocorrida até 10.11.1997 (véspera da MP 1.596-14/97)</w:t>
                  </w:r>
                </w:p>
              </w:tc>
              <w:tc>
                <w:tcPr>
                  <w:tcW w:w="2117" w:type="dxa"/>
                  <w:tcBorders>
                    <w:top w:val="single" w:sz="4" w:space="0" w:color="D2C9B8"/>
                    <w:left w:val="single" w:sz="4" w:space="0" w:color="D2C9B8"/>
                    <w:bottom w:val="single" w:sz="4" w:space="0" w:color="D2C9B8"/>
                    <w:right w:val="single" w:sz="4" w:space="0" w:color="D2C9B8"/>
                  </w:tcBorders>
                </w:tcPr>
                <w:p w14:paraId="280F3F83" w14:textId="77777777" w:rsidR="005A5FCC" w:rsidRDefault="00A21C81">
                  <w:pPr>
                    <w:spacing w:before="20" w:after="20" w:line="240" w:lineRule="auto"/>
                    <w:jc w:val="left"/>
                  </w:pPr>
                  <w:r>
                    <w:rPr>
                      <w:rFonts w:cs="EB Garamond"/>
                      <w:kern w:val="16"/>
                      <w:sz w:val="16"/>
                      <w14:ligatures w14:val="standardContextual"/>
                    </w:rPr>
                    <w:t>STJ</w:t>
                  </w:r>
                </w:p>
              </w:tc>
            </w:tr>
            <w:tr w:rsidR="005A5FCC" w14:paraId="00AE1171"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7AD33FBB" w14:textId="77777777" w:rsidR="005A5FCC" w:rsidRDefault="00A21C81">
                  <w:pPr>
                    <w:spacing w:before="20" w:after="20" w:line="240" w:lineRule="auto"/>
                    <w:jc w:val="left"/>
                  </w:pPr>
                  <w:r>
                    <w:rPr>
                      <w:rFonts w:cs="EB Garamond"/>
                      <w:kern w:val="16"/>
                      <w:sz w:val="16"/>
                      <w14:ligatures w14:val="standardContextual"/>
                    </w:rPr>
                    <w:t>Súmula 44</w:t>
                  </w:r>
                </w:p>
              </w:tc>
              <w:tc>
                <w:tcPr>
                  <w:tcW w:w="2117" w:type="dxa"/>
                  <w:tcBorders>
                    <w:top w:val="single" w:sz="4" w:space="0" w:color="D2C9B8"/>
                    <w:left w:val="single" w:sz="4" w:space="0" w:color="D2C9B8"/>
                    <w:bottom w:val="single" w:sz="4" w:space="0" w:color="D2C9B8"/>
                    <w:right w:val="single" w:sz="4" w:space="0" w:color="D2C9B8"/>
                  </w:tcBorders>
                </w:tcPr>
                <w:p w14:paraId="1540DA9A" w14:textId="77777777" w:rsidR="005A5FCC" w:rsidRDefault="00A21C81">
                  <w:pPr>
                    <w:spacing w:before="20" w:after="20" w:line="240" w:lineRule="auto"/>
                    <w:jc w:val="left"/>
                  </w:pPr>
                  <w:r>
                    <w:rPr>
                      <w:rFonts w:cs="EB Garamond"/>
                      <w:kern w:val="16"/>
                      <w:sz w:val="16"/>
                      <w14:ligatures w14:val="standardContextual"/>
                    </w:rPr>
                    <w:t>Grau mínimo de disacusia não exclui concessão</w:t>
                  </w:r>
                </w:p>
              </w:tc>
              <w:tc>
                <w:tcPr>
                  <w:tcW w:w="2117" w:type="dxa"/>
                  <w:tcBorders>
                    <w:top w:val="single" w:sz="4" w:space="0" w:color="D2C9B8"/>
                    <w:left w:val="single" w:sz="4" w:space="0" w:color="D2C9B8"/>
                    <w:bottom w:val="single" w:sz="4" w:space="0" w:color="D2C9B8"/>
                    <w:right w:val="single" w:sz="4" w:space="0" w:color="D2C9B8"/>
                  </w:tcBorders>
                </w:tcPr>
                <w:p w14:paraId="740F0E8C" w14:textId="77777777" w:rsidR="005A5FCC" w:rsidRDefault="00A21C81">
                  <w:pPr>
                    <w:spacing w:before="20" w:after="20" w:line="240" w:lineRule="auto"/>
                    <w:jc w:val="left"/>
                  </w:pPr>
                  <w:r>
                    <w:rPr>
                      <w:rFonts w:cs="EB Garamond"/>
                      <w:kern w:val="16"/>
                      <w:sz w:val="16"/>
                      <w14:ligatures w14:val="standardContextual"/>
                    </w:rPr>
                    <w:t>STJ</w:t>
                  </w:r>
                </w:p>
              </w:tc>
            </w:tr>
            <w:tr w:rsidR="005A5FCC" w14:paraId="042B1DC2"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30DFC3D7" w14:textId="77777777" w:rsidR="005A5FCC" w:rsidRDefault="00A21C81">
                  <w:pPr>
                    <w:spacing w:before="20" w:after="20" w:line="240" w:lineRule="auto"/>
                    <w:jc w:val="left"/>
                  </w:pPr>
                  <w:r>
                    <w:rPr>
                      <w:rFonts w:cs="EB Garamond"/>
                      <w:kern w:val="16"/>
                      <w:sz w:val="16"/>
                      <w14:ligatures w14:val="standardContextual"/>
                    </w:rPr>
                    <w:t>Tema 269</w:t>
                  </w:r>
                </w:p>
              </w:tc>
              <w:tc>
                <w:tcPr>
                  <w:tcW w:w="2117" w:type="dxa"/>
                  <w:tcBorders>
                    <w:top w:val="single" w:sz="4" w:space="0" w:color="D2C9B8"/>
                    <w:left w:val="single" w:sz="4" w:space="0" w:color="D2C9B8"/>
                    <w:bottom w:val="single" w:sz="4" w:space="0" w:color="D2C9B8"/>
                    <w:right w:val="single" w:sz="4" w:space="0" w:color="D2C9B8"/>
                  </w:tcBorders>
                </w:tcPr>
                <w:p w14:paraId="1368D3E5" w14:textId="77777777" w:rsidR="005A5FCC" w:rsidRDefault="00A21C81">
                  <w:pPr>
                    <w:spacing w:before="20" w:after="20" w:line="240" w:lineRule="auto"/>
                    <w:jc w:val="left"/>
                  </w:pPr>
                  <w:r>
                    <w:rPr>
                      <w:rFonts w:cs="EB Garamond"/>
                      <w:kern w:val="16"/>
                      <w:sz w:val="16"/>
                      <w14:ligatures w14:val="standardContextual"/>
                    </w:rPr>
                    <w:t>"Acidente de qualquer natureza" = evento súbito, traumático, exógeno</w:t>
                  </w:r>
                </w:p>
              </w:tc>
              <w:tc>
                <w:tcPr>
                  <w:tcW w:w="2117" w:type="dxa"/>
                  <w:tcBorders>
                    <w:top w:val="single" w:sz="4" w:space="0" w:color="D2C9B8"/>
                    <w:left w:val="single" w:sz="4" w:space="0" w:color="D2C9B8"/>
                    <w:bottom w:val="single" w:sz="4" w:space="0" w:color="D2C9B8"/>
                    <w:right w:val="single" w:sz="4" w:space="0" w:color="D2C9B8"/>
                  </w:tcBorders>
                </w:tcPr>
                <w:p w14:paraId="3795AD6E" w14:textId="77777777" w:rsidR="005A5FCC" w:rsidRDefault="00A21C81">
                  <w:pPr>
                    <w:spacing w:before="20" w:after="20" w:line="240" w:lineRule="auto"/>
                    <w:jc w:val="left"/>
                  </w:pPr>
                  <w:r>
                    <w:rPr>
                      <w:rFonts w:cs="EB Garamond"/>
                      <w:kern w:val="16"/>
                      <w:sz w:val="16"/>
                      <w14:ligatures w14:val="standardContextual"/>
                    </w:rPr>
                    <w:t>TNU</w:t>
                  </w:r>
                </w:p>
              </w:tc>
            </w:tr>
            <w:tr w:rsidR="005A5FCC" w14:paraId="39F47284"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05214D88" w14:textId="77777777" w:rsidR="005A5FCC" w:rsidRDefault="00A21C81">
                  <w:pPr>
                    <w:spacing w:before="20" w:after="20" w:line="240" w:lineRule="auto"/>
                    <w:jc w:val="left"/>
                  </w:pPr>
                  <w:r>
                    <w:rPr>
                      <w:rFonts w:cs="EB Garamond"/>
                      <w:kern w:val="16"/>
                      <w:sz w:val="16"/>
                      <w14:ligatures w14:val="standardContextual"/>
                    </w:rPr>
                    <w:t>Tema 315</w:t>
                  </w:r>
                </w:p>
              </w:tc>
              <w:tc>
                <w:tcPr>
                  <w:tcW w:w="2117" w:type="dxa"/>
                  <w:tcBorders>
                    <w:top w:val="single" w:sz="4" w:space="0" w:color="D2C9B8"/>
                    <w:left w:val="single" w:sz="4" w:space="0" w:color="D2C9B8"/>
                    <w:bottom w:val="single" w:sz="4" w:space="0" w:color="D2C9B8"/>
                    <w:right w:val="single" w:sz="4" w:space="0" w:color="D2C9B8"/>
                  </w:tcBorders>
                </w:tcPr>
                <w:p w14:paraId="69A81AC4" w14:textId="77777777" w:rsidR="005A5FCC" w:rsidRDefault="00A21C81">
                  <w:pPr>
                    <w:spacing w:before="20" w:after="20" w:line="240" w:lineRule="auto"/>
                    <w:jc w:val="left"/>
                  </w:pPr>
                  <w:r>
                    <w:rPr>
                      <w:rFonts w:cs="EB Garamond"/>
                      <w:kern w:val="16"/>
                      <w:sz w:val="16"/>
                      <w14:ligatures w14:val="standardContextual"/>
                    </w:rPr>
                    <w:t>DIB independe de pedido de prorrogação</w:t>
                  </w:r>
                </w:p>
              </w:tc>
              <w:tc>
                <w:tcPr>
                  <w:tcW w:w="2117" w:type="dxa"/>
                  <w:tcBorders>
                    <w:top w:val="single" w:sz="4" w:space="0" w:color="D2C9B8"/>
                    <w:left w:val="single" w:sz="4" w:space="0" w:color="D2C9B8"/>
                    <w:bottom w:val="single" w:sz="4" w:space="0" w:color="D2C9B8"/>
                    <w:right w:val="single" w:sz="4" w:space="0" w:color="D2C9B8"/>
                  </w:tcBorders>
                </w:tcPr>
                <w:p w14:paraId="7117D287" w14:textId="77777777" w:rsidR="005A5FCC" w:rsidRDefault="00A21C81">
                  <w:pPr>
                    <w:spacing w:before="20" w:after="20" w:line="240" w:lineRule="auto"/>
                    <w:jc w:val="left"/>
                  </w:pPr>
                  <w:r>
                    <w:rPr>
                      <w:rFonts w:cs="EB Garamond"/>
                      <w:kern w:val="16"/>
                      <w:sz w:val="16"/>
                      <w14:ligatures w14:val="standardContextual"/>
                    </w:rPr>
                    <w:t>TNU</w:t>
                  </w:r>
                </w:p>
              </w:tc>
            </w:tr>
            <w:tr w:rsidR="005A5FCC" w14:paraId="0C2B6E17"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71D9F3F6" w14:textId="77777777" w:rsidR="005A5FCC" w:rsidRDefault="00A21C81">
                  <w:pPr>
                    <w:spacing w:before="20" w:after="20" w:line="240" w:lineRule="auto"/>
                    <w:jc w:val="left"/>
                  </w:pPr>
                  <w:r>
                    <w:rPr>
                      <w:rFonts w:cs="EB Garamond"/>
                      <w:kern w:val="16"/>
                      <w:sz w:val="16"/>
                      <w14:ligatures w14:val="standardContextual"/>
                    </w:rPr>
                    <w:t>Tema 322</w:t>
                  </w:r>
                </w:p>
              </w:tc>
              <w:tc>
                <w:tcPr>
                  <w:tcW w:w="2117" w:type="dxa"/>
                  <w:tcBorders>
                    <w:top w:val="single" w:sz="4" w:space="0" w:color="D2C9B8"/>
                    <w:left w:val="single" w:sz="4" w:space="0" w:color="D2C9B8"/>
                    <w:bottom w:val="single" w:sz="4" w:space="0" w:color="D2C9B8"/>
                    <w:right w:val="single" w:sz="4" w:space="0" w:color="D2C9B8"/>
                  </w:tcBorders>
                </w:tcPr>
                <w:p w14:paraId="5171258B" w14:textId="77777777" w:rsidR="005A5FCC" w:rsidRDefault="00A21C81">
                  <w:pPr>
                    <w:spacing w:before="20" w:after="20" w:line="240" w:lineRule="auto"/>
                    <w:jc w:val="left"/>
                  </w:pPr>
                  <w:r>
                    <w:rPr>
                      <w:rFonts w:cs="EB Garamond"/>
                      <w:kern w:val="16"/>
                      <w:sz w:val="16"/>
                      <w14:ligatures w14:val="standardContextual"/>
                    </w:rPr>
                    <w:t>AA no PBC da aposentadoria rural do segurado especial</w:t>
                  </w:r>
                </w:p>
              </w:tc>
              <w:tc>
                <w:tcPr>
                  <w:tcW w:w="2117" w:type="dxa"/>
                  <w:tcBorders>
                    <w:top w:val="single" w:sz="4" w:space="0" w:color="D2C9B8"/>
                    <w:left w:val="single" w:sz="4" w:space="0" w:color="D2C9B8"/>
                    <w:bottom w:val="single" w:sz="4" w:space="0" w:color="D2C9B8"/>
                    <w:right w:val="single" w:sz="4" w:space="0" w:color="D2C9B8"/>
                  </w:tcBorders>
                </w:tcPr>
                <w:p w14:paraId="7CBA2507" w14:textId="77777777" w:rsidR="005A5FCC" w:rsidRDefault="00A21C81">
                  <w:pPr>
                    <w:spacing w:before="20" w:after="20" w:line="240" w:lineRule="auto"/>
                    <w:jc w:val="left"/>
                  </w:pPr>
                  <w:r>
                    <w:rPr>
                      <w:rFonts w:cs="EB Garamond"/>
                      <w:kern w:val="16"/>
                      <w:sz w:val="16"/>
                      <w14:ligatures w14:val="standardContextual"/>
                    </w:rPr>
                    <w:t>TNU</w:t>
                  </w:r>
                </w:p>
              </w:tc>
            </w:tr>
            <w:tr w:rsidR="005A5FCC" w14:paraId="2C1C5CA9"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792B153C" w14:textId="77777777" w:rsidR="005A5FCC" w:rsidRDefault="00A21C81">
                  <w:pPr>
                    <w:spacing w:before="20" w:after="20" w:line="240" w:lineRule="auto"/>
                    <w:jc w:val="left"/>
                  </w:pPr>
                  <w:r>
                    <w:rPr>
                      <w:rFonts w:cs="EB Garamond"/>
                      <w:kern w:val="16"/>
                      <w:sz w:val="16"/>
                      <w14:ligatures w14:val="standardContextual"/>
                    </w:rPr>
                    <w:t>Jur. Teses 198</w:t>
                  </w:r>
                </w:p>
              </w:tc>
              <w:tc>
                <w:tcPr>
                  <w:tcW w:w="2117" w:type="dxa"/>
                  <w:tcBorders>
                    <w:top w:val="single" w:sz="4" w:space="0" w:color="D2C9B8"/>
                    <w:left w:val="single" w:sz="4" w:space="0" w:color="D2C9B8"/>
                    <w:bottom w:val="single" w:sz="4" w:space="0" w:color="D2C9B8"/>
                    <w:right w:val="single" w:sz="4" w:space="0" w:color="D2C9B8"/>
                  </w:tcBorders>
                </w:tcPr>
                <w:p w14:paraId="04DA976F" w14:textId="77777777" w:rsidR="005A5FCC" w:rsidRDefault="00A21C81">
                  <w:pPr>
                    <w:spacing w:before="20" w:after="20" w:line="240" w:lineRule="auto"/>
                    <w:jc w:val="left"/>
                  </w:pPr>
                  <w:r>
                    <w:rPr>
                      <w:rFonts w:cs="EB Garamond"/>
                      <w:kern w:val="16"/>
                      <w:sz w:val="16"/>
                      <w14:ligatures w14:val="standardContextual"/>
                    </w:rPr>
                    <w:t>Vedação de acúmulo; admite-se recálculo por novo infortúnio</w:t>
                  </w:r>
                </w:p>
              </w:tc>
              <w:tc>
                <w:tcPr>
                  <w:tcW w:w="2117" w:type="dxa"/>
                  <w:tcBorders>
                    <w:top w:val="single" w:sz="4" w:space="0" w:color="D2C9B8"/>
                    <w:left w:val="single" w:sz="4" w:space="0" w:color="D2C9B8"/>
                    <w:bottom w:val="single" w:sz="4" w:space="0" w:color="D2C9B8"/>
                    <w:right w:val="single" w:sz="4" w:space="0" w:color="D2C9B8"/>
                  </w:tcBorders>
                </w:tcPr>
                <w:p w14:paraId="50F041E2" w14:textId="77777777" w:rsidR="005A5FCC" w:rsidRDefault="00A21C81">
                  <w:pPr>
                    <w:spacing w:before="20" w:after="20" w:line="240" w:lineRule="auto"/>
                    <w:jc w:val="left"/>
                  </w:pPr>
                  <w:r>
                    <w:rPr>
                      <w:rFonts w:cs="EB Garamond"/>
                      <w:kern w:val="16"/>
                      <w:sz w:val="16"/>
                      <w14:ligatures w14:val="standardContextual"/>
                    </w:rPr>
                    <w:t>STJ</w:t>
                  </w:r>
                </w:p>
              </w:tc>
            </w:tr>
            <w:tr w:rsidR="005A5FCC" w14:paraId="62F94575"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571B85E7" w14:textId="77777777" w:rsidR="005A5FCC" w:rsidRDefault="00A21C81">
                  <w:pPr>
                    <w:spacing w:before="20" w:after="20" w:line="240" w:lineRule="auto"/>
                    <w:jc w:val="left"/>
                  </w:pPr>
                  <w:r>
                    <w:rPr>
                      <w:rFonts w:cs="EB Garamond"/>
                      <w:kern w:val="16"/>
                      <w:sz w:val="16"/>
                      <w14:ligatures w14:val="standardContextual"/>
                    </w:rPr>
                    <w:t>Jur. Teses 199</w:t>
                  </w:r>
                </w:p>
              </w:tc>
              <w:tc>
                <w:tcPr>
                  <w:tcW w:w="2117" w:type="dxa"/>
                  <w:tcBorders>
                    <w:top w:val="single" w:sz="4" w:space="0" w:color="D2C9B8"/>
                    <w:left w:val="single" w:sz="4" w:space="0" w:color="D2C9B8"/>
                    <w:bottom w:val="single" w:sz="4" w:space="0" w:color="D2C9B8"/>
                    <w:right w:val="single" w:sz="4" w:space="0" w:color="D2C9B8"/>
                  </w:tcBorders>
                </w:tcPr>
                <w:p w14:paraId="55ECC5D5" w14:textId="77777777" w:rsidR="005A5FCC" w:rsidRDefault="00A21C81">
                  <w:pPr>
                    <w:spacing w:before="20" w:after="20" w:line="240" w:lineRule="auto"/>
                    <w:jc w:val="left"/>
                  </w:pPr>
                  <w:r>
                    <w:rPr>
                      <w:rFonts w:cs="EB Garamond"/>
                      <w:kern w:val="16"/>
                      <w:sz w:val="16"/>
                      <w14:ligatures w14:val="standardContextual"/>
                    </w:rPr>
                    <w:t>Laudo pericial não fixa DIB</w:t>
                  </w:r>
                </w:p>
              </w:tc>
              <w:tc>
                <w:tcPr>
                  <w:tcW w:w="2117" w:type="dxa"/>
                  <w:tcBorders>
                    <w:top w:val="single" w:sz="4" w:space="0" w:color="D2C9B8"/>
                    <w:left w:val="single" w:sz="4" w:space="0" w:color="D2C9B8"/>
                    <w:bottom w:val="single" w:sz="4" w:space="0" w:color="D2C9B8"/>
                    <w:right w:val="single" w:sz="4" w:space="0" w:color="D2C9B8"/>
                  </w:tcBorders>
                </w:tcPr>
                <w:p w14:paraId="776E7130" w14:textId="77777777" w:rsidR="005A5FCC" w:rsidRDefault="00A21C81">
                  <w:pPr>
                    <w:spacing w:before="20" w:after="20" w:line="240" w:lineRule="auto"/>
                    <w:jc w:val="left"/>
                  </w:pPr>
                  <w:r>
                    <w:rPr>
                      <w:rFonts w:cs="EB Garamond"/>
                      <w:kern w:val="16"/>
                      <w:sz w:val="16"/>
                      <w14:ligatures w14:val="standardContextual"/>
                    </w:rPr>
                    <w:t>STJ</w:t>
                  </w:r>
                </w:p>
              </w:tc>
            </w:tr>
          </w:tbl>
          <w:p w14:paraId="0FEA7FA2" w14:textId="77777777" w:rsidR="005A5FCC" w:rsidRDefault="005A5FCC"/>
          <w:p w14:paraId="322F336F" w14:textId="77777777" w:rsidR="005A5FCC" w:rsidRDefault="005A5FCC">
            <w:pPr>
              <w:spacing w:after="0" w:line="240" w:lineRule="auto"/>
            </w:pPr>
          </w:p>
        </w:tc>
      </w:tr>
    </w:tbl>
    <w:p w14:paraId="1E499D93" w14:textId="77777777" w:rsidR="005A5FCC" w:rsidRDefault="005A5FCC">
      <w:pPr>
        <w:spacing w:after="80" w:line="240" w:lineRule="auto"/>
      </w:pPr>
    </w:p>
    <w:p w14:paraId="092EDA0F"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Salário-Família</w:t>
      </w:r>
    </w:p>
    <w:p w14:paraId="65703A21"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15.23 Conceito e natureza jurídica</w:t>
      </w:r>
    </w:p>
    <w:p w14:paraId="1D72E52C"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5BCE9303" w14:textId="77777777" w:rsidR="005A5FCC" w:rsidRDefault="00A21C81">
      <w:r>
        <w:rPr>
          <w:rFonts w:cs="EB Garamond"/>
          <w:kern w:val="16"/>
          <w14:ligatures w14:val="standardContextual"/>
        </w:rPr>
        <w:t xml:space="preserve"> salário-família é benefício previdenciário de valor fixo, pago em cotas por filho ou equiparado de até 14 anos de idade, ou inválido de qualquer idade, ao segurado de baixa renda (art. 65 da Lei n. 8.213/91). Diferentemente da maioria dos benefícios previdenciários, o salário-família não visa substituir a </w:t>
      </w:r>
      <w:r>
        <w:rPr>
          <w:rFonts w:cs="EB Garamond"/>
          <w:kern w:val="16"/>
          <w14:ligatures w14:val="standardContextual"/>
        </w:rPr>
        <w:lastRenderedPageBreak/>
        <w:t>renda do segurado nem indenizar perda funcional: sua finalidade é complementar a renda familiar para custear a manutenção dos dependentes, configurando prestação de natureza alimentar e assistencial dentro do sistema contributivo.</w:t>
      </w:r>
    </w:p>
    <w:p w14:paraId="1EEAC59D" w14:textId="77777777" w:rsidR="005A5FCC" w:rsidRDefault="00A21C81">
      <w:pPr>
        <w:ind w:firstLine="238"/>
      </w:pPr>
      <w:r>
        <w:rPr>
          <w:rFonts w:cs="EB Garamond"/>
          <w:kern w:val="16"/>
          <w14:ligatures w14:val="standardContextual"/>
        </w:rPr>
        <w:t>O fundamento constitucional do salário-família encontra-se no art. 201, inciso IV, da Constituição Federal de 1988, que assegura, entre os eventos cobertos pela previdência social, o "salário-família e auxílio-reclusão para os dependentes dos segurados de baixa renda." A Emenda Constitucional n. 20, de 15 de dezembro de 1998, restringiu o benefício aos segurados de baixa renda, alteração que a EC 103/2019 manteve e reforçou.</w:t>
      </w:r>
    </w:p>
    <w:p w14:paraId="2FABE49D" w14:textId="77777777" w:rsidR="005A5FCC" w:rsidRDefault="00A21C81">
      <w:pPr>
        <w:ind w:firstLine="238"/>
      </w:pPr>
      <w:r>
        <w:rPr>
          <w:rFonts w:cs="EB Garamond"/>
          <w:kern w:val="16"/>
          <w14:ligatures w14:val="standardContextual"/>
        </w:rPr>
        <w:t>Sustentamos que a natureza jurídica do salário-família é de benefício previdenciário em sentido estrito, e não de prestação assistencial. Embora tenha feição assistencial (destina-se a famílias de baixa renda e não guarda proporção com as contribuições), o benefício exige filiação ao RGPS e qualidade de segurado, requisitos incompatíveis com a natureza puramente assistencial. O salário-família situa-se na fronteira entre a previdência e a assistência social, pois combina a exigência de filiação contributiva com a finalidade redistributiva própria dos benefícios assistenciais. Castro e Lazzari (2025) qualificam o salário-família como benefício previdenciário de caráter alimentar, observando que sua função não é substituir renda perdida, mas suplementar renda insuficiente para a manutenção dos filhos menores.</w:t>
      </w:r>
    </w:p>
    <w:p w14:paraId="706E26EF" w14:textId="77777777" w:rsidR="005A5FCC" w:rsidRDefault="00A21C81">
      <w:pPr>
        <w:ind w:firstLine="238"/>
      </w:pPr>
      <w:r>
        <w:rPr>
          <w:rFonts w:cs="EB Garamond"/>
          <w:kern w:val="16"/>
          <w14:ligatures w14:val="standardContextual"/>
        </w:rPr>
        <w:t>Três características distinguem o salário-família dos demais benefícios do RGPS: (a) o valor é fixo por cota, independentemente do salário de contribuição do segurado; (b) não há limite de cotas — o segurado recebe uma cota por cada filho ou equiparado que preencha os requisitos; e (c) o pagamento é feito, em regra, pelo empregador, que o compensa na contribuição previdenciária.</w:t>
      </w:r>
    </w:p>
    <w:p w14:paraId="4CD89F1A"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15.24 Evolução histórica</w:t>
      </w:r>
    </w:p>
    <w:p w14:paraId="2D5C811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50D0FE43" w14:textId="77777777" w:rsidR="005A5FCC" w:rsidRDefault="00A21C81">
      <w:r>
        <w:rPr>
          <w:rFonts w:cs="EB Garamond"/>
          <w:kern w:val="16"/>
          <w14:ligatures w14:val="standardContextual"/>
        </w:rPr>
        <w:t xml:space="preserve"> salário-família foi instituído pela Lei n. 4.266, de 3 de outubro de 1963, como benefício devido a todo empregado, sem critério de renda. Até a EC 20/1998, qualquer segurado empregado fazia jus ao benefício, independentemente de sua faixa salarial. A universalidade do benefício era coerente com </w:t>
      </w:r>
      <w:r>
        <w:rPr>
          <w:rFonts w:cs="EB Garamond"/>
          <w:kern w:val="16"/>
          <w14:ligatures w14:val="standardContextual"/>
        </w:rPr>
        <w:lastRenderedPageBreak/>
        <w:t>a concepção original de política de incentivo à natalidade e proteção à infância, mas gerava crítica doutrinária pela distribuição de recursos previdenciários a segurados de alta renda.</w:t>
      </w:r>
    </w:p>
    <w:p w14:paraId="7CB71EF0" w14:textId="77777777" w:rsidR="005A5FCC" w:rsidRDefault="00A21C81">
      <w:pPr>
        <w:ind w:firstLine="238"/>
      </w:pPr>
      <w:r>
        <w:rPr>
          <w:rFonts w:cs="EB Garamond"/>
          <w:kern w:val="16"/>
          <w14:ligatures w14:val="standardContextual"/>
        </w:rPr>
        <w:t>A EC 20/1998 alterou o art. 201, IV, da CF para restringir o salário-família aos "dependentes dos segurados de baixa renda", delegando à legislação infraconstitucional a definição do critério de enquadramento. A partir dessa alteração, o salário-família passou a exigir, além da filiação ao RGPS e da existência de filho menor de 14 anos ou inválido, que o segurado perceba remuneração igual ou inferior ao teto fixado em portaria.</w:t>
      </w:r>
    </w:p>
    <w:p w14:paraId="182ACBC9" w14:textId="77777777" w:rsidR="005A5FCC" w:rsidRDefault="00A21C81">
      <w:pPr>
        <w:ind w:firstLine="238"/>
      </w:pPr>
      <w:r>
        <w:rPr>
          <w:rFonts w:cs="EB Garamond"/>
          <w:kern w:val="16"/>
          <w14:ligatures w14:val="standardContextual"/>
        </w:rPr>
        <w:t>A Lei n. 8.213/91, em seus arts. 65 a 70, disciplina o benefício em sua configuração atual. O Decreto n. 3.048/99 (arts. 81 a 92) regulamenta os procedimentos de habilitação, documentação e pagamento. A EC 103/2019 (art. 27, §2º) manteve a restrição aos segurados de baixa renda e delegou ao Poder Executivo a fixação dos valores da cota e do limite de remuneração por meio de portaria interministerial.</w:t>
      </w:r>
    </w:p>
    <w:p w14:paraId="3CD89564"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15.25 Segurados beneficiários</w:t>
      </w:r>
    </w:p>
    <w:p w14:paraId="5BE80015"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6E580EE7" w14:textId="77777777" w:rsidR="005A5FCC" w:rsidRDefault="00A21C81">
      <w:r>
        <w:rPr>
          <w:rFonts w:cs="EB Garamond"/>
          <w:kern w:val="16"/>
          <w14:ligatures w14:val="standardContextual"/>
        </w:rPr>
        <w:t xml:space="preserve"> art. 65 da Lei n. 8.213/91 restringe o salário-família a três categorias de segurados:</w:t>
      </w:r>
    </w:p>
    <w:p w14:paraId="434095A0" w14:textId="77777777" w:rsidR="005A5FCC" w:rsidRDefault="00A21C81">
      <w:pPr>
        <w:ind w:firstLine="238"/>
      </w:pPr>
      <w:r>
        <w:rPr>
          <w:rFonts w:cs="EB Garamond"/>
          <w:b/>
          <w:kern w:val="16"/>
          <w14:ligatures w14:val="standardContextual"/>
        </w:rPr>
        <w:t>a) Segurado empregado</w:t>
      </w:r>
      <w:r>
        <w:rPr>
          <w:rFonts w:cs="EB Garamond"/>
          <w:kern w:val="16"/>
          <w14:ligatures w14:val="standardContextual"/>
        </w:rPr>
        <w:t xml:space="preserve"> (art. 11, I). A principal categoria beneficiária. O pagamento é feito diretamente pelo empregador, que compensa o valor na guia de recolhimento previdenciário.</w:t>
      </w:r>
    </w:p>
    <w:p w14:paraId="1FB8EF92" w14:textId="77777777" w:rsidR="005A5FCC" w:rsidRDefault="00A21C81">
      <w:pPr>
        <w:ind w:firstLine="238"/>
      </w:pPr>
      <w:r>
        <w:rPr>
          <w:rFonts w:cs="EB Garamond"/>
          <w:b/>
          <w:kern w:val="16"/>
          <w14:ligatures w14:val="standardContextual"/>
        </w:rPr>
        <w:t>b) Trabalhador avulso</w:t>
      </w:r>
      <w:r>
        <w:rPr>
          <w:rFonts w:cs="EB Garamond"/>
          <w:kern w:val="16"/>
          <w14:ligatures w14:val="standardContextual"/>
        </w:rPr>
        <w:t xml:space="preserve"> (art. 11, VI). O pagamento é feito pelo Órgão Gestor de Mão de Obra (OGMO) ou, na ausência deste, pelo sindicato que intermediar a mão de obra, com compensação na contribuição previdenciária.</w:t>
      </w:r>
    </w:p>
    <w:p w14:paraId="14CB82B7" w14:textId="77777777" w:rsidR="005A5FCC" w:rsidRDefault="00A21C81">
      <w:pPr>
        <w:ind w:firstLine="238"/>
      </w:pPr>
      <w:r>
        <w:rPr>
          <w:rFonts w:cs="EB Garamond"/>
          <w:b/>
          <w:kern w:val="16"/>
          <w14:ligatures w14:val="standardContextual"/>
        </w:rPr>
        <w:t>c) Aposentado por invalidez, por idade ou em gozo de auxílio por incapacidade temporária</w:t>
      </w:r>
      <w:r>
        <w:rPr>
          <w:rFonts w:cs="EB Garamond"/>
          <w:kern w:val="16"/>
          <w14:ligatures w14:val="standardContextual"/>
        </w:rPr>
        <w:t xml:space="preserve"> (art. 65, parágrafo único). Nessas hipóteses, o INSS paga diretamente o salário-família junto com o benefício previdenciário.</w:t>
      </w:r>
    </w:p>
    <w:p w14:paraId="5E6275AE" w14:textId="77777777" w:rsidR="005A5FCC" w:rsidRDefault="00A21C81">
      <w:pPr>
        <w:ind w:firstLine="238"/>
      </w:pPr>
      <w:r>
        <w:rPr>
          <w:rFonts w:cs="EB Garamond"/>
          <w:b/>
          <w:kern w:val="16"/>
          <w14:ligatures w14:val="standardContextual"/>
        </w:rPr>
        <w:t>Segurados excluídos.</w:t>
      </w:r>
      <w:r>
        <w:rPr>
          <w:rFonts w:cs="EB Garamond"/>
          <w:kern w:val="16"/>
          <w14:ligatures w14:val="standardContextual"/>
        </w:rPr>
        <w:t xml:space="preserve"> O contribuinte individual (art. 11, V) e o segurado facultativo (art. 13) não fazem jus ao salário-família. A exclusão segue a mesma ló</w:t>
      </w:r>
      <w:r>
        <w:rPr>
          <w:rFonts w:cs="EB Garamond"/>
          <w:kern w:val="16"/>
          <w14:ligatures w14:val="standardContextual"/>
        </w:rPr>
        <w:lastRenderedPageBreak/>
        <w:t>gica do auxílio-acidente: essas categorias não mantêm relação de emprego que viabilize o mecanismo de pagamento pelo empregador com compensação previdenciária.</w:t>
      </w:r>
    </w:p>
    <w:p w14:paraId="02496DD4" w14:textId="77777777" w:rsidR="005A5FCC" w:rsidRDefault="00A21C81">
      <w:pPr>
        <w:ind w:firstLine="238"/>
      </w:pPr>
      <w:r>
        <w:rPr>
          <w:rFonts w:cs="EB Garamond"/>
          <w:b/>
          <w:kern w:val="16"/>
          <w14:ligatures w14:val="standardContextual"/>
        </w:rPr>
        <w:t>Empregado doméstico.</w:t>
      </w:r>
      <w:r>
        <w:rPr>
          <w:rFonts w:cs="EB Garamond"/>
          <w:kern w:val="16"/>
          <w14:ligatures w14:val="standardContextual"/>
        </w:rPr>
        <w:t xml:space="preserve"> Antes da Lei Complementar n. 150/2015, o empregado doméstico era excluído do salário-família. A LC 150/2015 (art. 34, que alterou o art. 65 da Lei n. 8.213/91) incluiu expressamente o empregado doméstico entre os beneficiários, corrigindo omissão historicamente criticada. O empregador doméstico paga o salário-família e compensa o valor no eSocial/DAE (Documento de Arrecadação do eSocial).</w:t>
      </w:r>
    </w:p>
    <w:tbl>
      <w:tblPr>
        <w:tblW w:w="5000" w:type="pct"/>
        <w:jc w:val="center"/>
        <w:tblLayout w:type="fixed"/>
        <w:tblLook w:val="04A0" w:firstRow="1" w:lastRow="0" w:firstColumn="1" w:lastColumn="0" w:noHBand="0" w:noVBand="1"/>
      </w:tblPr>
      <w:tblGrid>
        <w:gridCol w:w="6311"/>
      </w:tblGrid>
      <w:tr w:rsidR="005A5FCC" w14:paraId="0668B041"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56071AC8"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699B5069" w14:textId="77777777" w:rsidR="005A5FCC" w:rsidRDefault="00A21C81">
            <w:pPr>
              <w:spacing w:after="60" w:line="247" w:lineRule="auto"/>
            </w:pPr>
            <w:r>
              <w:rPr>
                <w:rFonts w:cs="EB Garamond"/>
                <w:kern w:val="16"/>
                <w:sz w:val="19"/>
                <w14:ligatures w14:val="standardContextual"/>
              </w:rPr>
              <w:t>O segurado especial (art. 11, VII) não é mencionado no art. 65 como beneficiário do salário-família. Entendemos que a exclusão decorre da incompatibilidade operacional: o segurado especial não tem empregador que possa pagar e compensar o benefício, e sua contribuição é sobre o resultado da comercialização (art. 25, Lei 8.212/91). Para o segurado especial que contribui facultativamente como contribuinte individual, a exclusão persiste, pois o art. 65 não o contempla nessa qualidade.</w:t>
            </w:r>
          </w:p>
        </w:tc>
      </w:tr>
    </w:tbl>
    <w:p w14:paraId="793E547F" w14:textId="77777777" w:rsidR="005A5FCC" w:rsidRDefault="005A5FCC">
      <w:pPr>
        <w:spacing w:after="80" w:line="240" w:lineRule="auto"/>
      </w:pPr>
    </w:p>
    <w:p w14:paraId="673C96C1"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15.26 Critério de baixa renda</w:t>
      </w:r>
    </w:p>
    <w:p w14:paraId="1A704574"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D</w:t>
      </w:r>
    </w:p>
    <w:p w14:paraId="602536B9" w14:textId="77777777" w:rsidR="005A5FCC" w:rsidRDefault="00A21C81">
      <w:r>
        <w:rPr>
          <w:rFonts w:cs="EB Garamond"/>
          <w:kern w:val="16"/>
          <w14:ligatures w14:val="standardContextual"/>
        </w:rPr>
        <w:t>esde a EC 20/1998, o salário-família é devido apenas ao segurado de baixa renda. O critério é objetivo: a remuneração mensal do segurado deve ser igual ou inferior ao teto fixado em portaria interministerial, atualizada anualmente.</w:t>
      </w:r>
    </w:p>
    <w:p w14:paraId="0EB15145" w14:textId="77777777" w:rsidR="005A5FCC" w:rsidRDefault="00A21C81">
      <w:pPr>
        <w:ind w:firstLine="238"/>
      </w:pPr>
      <w:r>
        <w:rPr>
          <w:rFonts w:cs="EB Garamond"/>
          <w:kern w:val="16"/>
          <w14:ligatures w14:val="standardContextual"/>
        </w:rPr>
        <w:t>A EC 103/2019 (art. 27, §2º) manteve a restrição constitucional e delegou ao regulamento a fixação do valor-limite. A Portaria Interministerial MPS/MF n. 13, de 9 de janeiro de 2026, fixou, para o exercício de 2026, o teto de remuneração para fins de salário-família em R$ 1.980,38. O segurado cuja remuneração mensal não ultrapasse esse valor faz jus ao benefício; o segurado cuja remuneração exceda o teto, ainda que por um centavo, perde o direito à cota integral.</w:t>
      </w:r>
    </w:p>
    <w:tbl>
      <w:tblPr>
        <w:tblW w:w="4600" w:type="pct"/>
        <w:jc w:val="center"/>
        <w:tblLook w:val="04A0" w:firstRow="1" w:lastRow="0" w:firstColumn="1" w:lastColumn="0" w:noHBand="0" w:noVBand="1"/>
      </w:tblPr>
      <w:tblGrid>
        <w:gridCol w:w="5824"/>
      </w:tblGrid>
      <w:tr w:rsidR="005A5FCC" w14:paraId="3E63C848" w14:textId="77777777">
        <w:trPr>
          <w:jc w:val="center"/>
        </w:trPr>
        <w:tc>
          <w:tcPr>
            <w:tcW w:w="6350" w:type="dxa"/>
            <w:tcBorders>
              <w:left w:val="single" w:sz="16" w:space="0" w:color="B78B37"/>
            </w:tcBorders>
            <w:tcMar>
              <w:top w:w="100" w:type="dxa"/>
              <w:left w:w="240" w:type="dxa"/>
              <w:bottom w:w="100" w:type="dxa"/>
              <w:right w:w="180" w:type="dxa"/>
            </w:tcMar>
          </w:tcPr>
          <w:p w14:paraId="4387736C" w14:textId="77777777" w:rsidR="005A5FCC" w:rsidRDefault="00A21C81">
            <w:pPr>
              <w:spacing w:after="60" w:line="252" w:lineRule="auto"/>
            </w:pPr>
            <w:commentRangeStart w:id="18"/>
            <w:r>
              <w:rPr>
                <w:rFonts w:cs="EB Garamond"/>
                <w:i/>
                <w:color w:val="3A3128"/>
                <w:kern w:val="16"/>
                <w:sz w:val="20"/>
                <w14:ligatures w14:val="standardContextual"/>
              </w:rPr>
              <w:lastRenderedPageBreak/>
              <w:t>[!warning]</w:t>
            </w:r>
            <w:commentRangeEnd w:id="18"/>
            <w:r w:rsidR="00556CF8">
              <w:rPr>
                <w:rStyle w:val="Refdecomentrio"/>
                <w:rFonts w:cs="EB Garamond"/>
                <w:i/>
                <w:color w:val="3A3128"/>
                <w:kern w:val="16"/>
                <w:sz w:val="20"/>
                <w:szCs w:val="22"/>
                <w14:ligatures w14:val="standardContextual"/>
              </w:rPr>
              <w:commentReference w:id="18"/>
            </w:r>
            <w:r>
              <w:rPr>
                <w:rFonts w:cs="EB Garamond"/>
                <w:i/>
                <w:color w:val="3A3128"/>
                <w:kern w:val="16"/>
                <w:sz w:val="20"/>
                <w14:ligatures w14:val="standardContextual"/>
              </w:rPr>
              <w:br/>
              <w:t>O valor-limite é atualizado anualmente por portaria interministerial. O profissional deve sempre consultar a portaria vigente para o exercício em curso. Para 2026, o teto é de R$ 1.980,38 (Portaria Interministerial MPS/MF n. 13/2026).</w:t>
            </w:r>
          </w:p>
        </w:tc>
      </w:tr>
    </w:tbl>
    <w:p w14:paraId="15074807" w14:textId="77777777" w:rsidR="005A5FCC" w:rsidRDefault="005A5FCC">
      <w:pPr>
        <w:spacing w:after="80" w:line="240" w:lineRule="auto"/>
      </w:pPr>
    </w:p>
    <w:p w14:paraId="5362EE29"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M</w:t>
      </w:r>
    </w:p>
    <w:p w14:paraId="15578EE3" w14:textId="77777777" w:rsidR="005A5FCC" w:rsidRDefault="00A21C81">
      <w:r>
        <w:rPr>
          <w:rFonts w:cs="EB Garamond"/>
          <w:b/>
          <w:kern w:val="16"/>
          <w14:ligatures w14:val="standardContextual"/>
        </w:rPr>
        <w:t>omento de aferição.</w:t>
      </w:r>
      <w:r>
        <w:rPr>
          <w:rFonts w:cs="EB Garamond"/>
          <w:kern w:val="16"/>
          <w14:ligatures w14:val="standardContextual"/>
        </w:rPr>
        <w:t xml:space="preserve"> A aferição do critério de baixa renda deve ser feita mês a mês. Se o segurado recebe remuneração inferior ao teto em determinado mês e superior no mês seguinte (por horas extras, comissões ou gratificações), perde o direito ao salário-família no mês em que a remuneração ultrapassou o limite, recuperando-o nos meses em que a remuneração retornar ao patamar inferior. O Decreto n. 3.048/99, art. 82, §2º, é expresso nesse sentido.</w:t>
      </w:r>
    </w:p>
    <w:p w14:paraId="5B1154D5" w14:textId="77777777" w:rsidR="005A5FCC" w:rsidRDefault="00A21C81">
      <w:pPr>
        <w:ind w:firstLine="238"/>
      </w:pPr>
      <w:r>
        <w:rPr>
          <w:rFonts w:cs="EB Garamond"/>
          <w:b/>
          <w:kern w:val="16"/>
          <w14:ligatures w14:val="standardContextual"/>
        </w:rPr>
        <w:t>Segurado com mais de um vínculo.</w:t>
      </w:r>
      <w:r>
        <w:rPr>
          <w:rFonts w:cs="EB Garamond"/>
          <w:kern w:val="16"/>
          <w14:ligatures w14:val="standardContextual"/>
        </w:rPr>
        <w:t xml:space="preserve"> Quando o mesmo segurado mantém dois ou mais vínculos empregatícios simultâneos, a baixa renda é aferida pela </w:t>
      </w:r>
      <w:r>
        <w:rPr>
          <w:rFonts w:cs="EB Garamond"/>
          <w:i/>
          <w:kern w:val="16"/>
          <w14:ligatures w14:val="standardContextual"/>
        </w:rPr>
        <w:t>soma</w:t>
      </w:r>
      <w:r>
        <w:rPr>
          <w:rFonts w:cs="EB Garamond"/>
          <w:kern w:val="16"/>
          <w14:ligatures w14:val="standardContextual"/>
        </w:rPr>
        <w:t xml:space="preserve"> dos salários de contribuição, e não vínculo a vínculo. O art. 83 do Decreto n. 3.048/99 é expresso: "considera-se remuneração mensal do segurado o valor total do respectivo salário de contribuição, ainda que resultante da soma dos salários de contribuição correspondentes a atividades simultâneas". No mesmo sentido dispõe a Portaria Interministerial MPS/MF n. 13/2026. Assim, o segurado com dois empregos cujos salários de contribuição, somados, ultrapassem o teto de R$ 1.980,38 não faz jus ao salário-família, ainda que a remuneração de cada vínculo, isoladamente, fique abaixo do limite. Cumpre não confundir essa hipótese — multiplicidade de vínculos do </w:t>
      </w:r>
      <w:r>
        <w:rPr>
          <w:rFonts w:cs="EB Garamond"/>
          <w:i/>
          <w:kern w:val="16"/>
          <w14:ligatures w14:val="standardContextual"/>
        </w:rPr>
        <w:t>mesmo</w:t>
      </w:r>
      <w:r>
        <w:rPr>
          <w:rFonts w:cs="EB Garamond"/>
          <w:kern w:val="16"/>
          <w14:ligatures w14:val="standardContextual"/>
        </w:rPr>
        <w:t xml:space="preserve"> segurado, em que há soma — com a cumulação do benefício entre pessoas distintas (ambos os cônjuges ou companheiros segurados), na qual a baixa renda é aferida pela remuneração individual de cada titular, conforme exposto na seção 15.32.</w:t>
      </w:r>
    </w:p>
    <w:p w14:paraId="42F05C53"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15.27 Valor da cota</w:t>
      </w:r>
    </w:p>
    <w:p w14:paraId="1A12BA0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5B77DBF6" w14:textId="77777777" w:rsidR="005A5FCC" w:rsidRDefault="00A21C81">
      <w:r>
        <w:rPr>
          <w:rFonts w:cs="EB Garamond"/>
          <w:kern w:val="16"/>
          <w14:ligatures w14:val="standardContextual"/>
        </w:rPr>
        <w:t xml:space="preserve"> valor do salário-família é fixo por cota e atualizado anualmente por portaria interministerial. Para o exercício de 2026, a Portaria Interministerial </w:t>
      </w:r>
      <w:r>
        <w:rPr>
          <w:rFonts w:cs="EB Garamond"/>
          <w:kern w:val="16"/>
          <w14:ligatures w14:val="standardContextual"/>
        </w:rPr>
        <w:lastRenderedPageBreak/>
        <w:t>MPS/MF n. 13/2026 fixou o valor da cota em R$ 67,54 por filho ou equiparado.</w:t>
      </w:r>
    </w:p>
    <w:p w14:paraId="203E4D67" w14:textId="77777777" w:rsidR="005A5FCC" w:rsidRDefault="00A21C81">
      <w:pPr>
        <w:ind w:firstLine="238"/>
      </w:pPr>
      <w:r>
        <w:rPr>
          <w:rFonts w:cs="EB Garamond"/>
          <w:kern w:val="16"/>
          <w14:ligatures w14:val="standardContextual"/>
        </w:rPr>
        <w:t>Cada segurado recebe uma cota por filho (ou equiparado) menor de 14 anos ou inválido de qualquer idade. Não há limite de cotas: segurado com seis filhos menores de 14 anos recebe seis cotas (R$ 405,24 em valores de 2026).</w:t>
      </w:r>
    </w:p>
    <w:p w14:paraId="112C2483" w14:textId="77777777" w:rsidR="005A5FCC" w:rsidRDefault="00A21C81">
      <w:pPr>
        <w:ind w:firstLine="238"/>
      </w:pPr>
      <w:r>
        <w:rPr>
          <w:rFonts w:cs="EB Garamond"/>
          <w:b/>
          <w:kern w:val="16"/>
          <w14:ligatures w14:val="standardContextual"/>
        </w:rPr>
        <w:t>Filho ou equiparado.</w:t>
      </w:r>
      <w:r>
        <w:rPr>
          <w:rFonts w:cs="EB Garamond"/>
          <w:kern w:val="16"/>
          <w14:ligatures w14:val="standardContextual"/>
        </w:rPr>
        <w:t xml:space="preserve"> Consideram-se filhos, para fins de salário-família: (a) filhos biológicos; (b) filhos adotivos; (c) enteados; e (d) menores sob tutela judicial. Os enteados e os menores sob tutela são equiparados a filhos para esse efeito, desde que comprovada a dependência econômica, na forma do art. 16, §2º, da Lei n. 8.213/91.</w:t>
      </w:r>
    </w:p>
    <w:p w14:paraId="658182FD" w14:textId="77777777" w:rsidR="005A5FCC" w:rsidRDefault="00A21C81">
      <w:pPr>
        <w:ind w:firstLine="238"/>
      </w:pPr>
      <w:r>
        <w:rPr>
          <w:rFonts w:cs="EB Garamond"/>
          <w:b/>
          <w:kern w:val="16"/>
          <w14:ligatures w14:val="standardContextual"/>
        </w:rPr>
        <w:t>Limite de idade.</w:t>
      </w:r>
      <w:r>
        <w:rPr>
          <w:rFonts w:cs="EB Garamond"/>
          <w:kern w:val="16"/>
          <w14:ligatures w14:val="standardContextual"/>
        </w:rPr>
        <w:t xml:space="preserve"> O filho menor de 14 anos gera direito à cota até o mês em que completar 14 anos. A partir do mês seguinte ao aniversário de 14 anos, a cota cessa. Para o filho inválido, não há limite de idade: a cota é devida enquanto persistir a invalidez.</w:t>
      </w:r>
    </w:p>
    <w:tbl>
      <w:tblPr>
        <w:tblW w:w="4600" w:type="pct"/>
        <w:jc w:val="center"/>
        <w:tblLook w:val="04A0" w:firstRow="1" w:lastRow="0" w:firstColumn="1" w:lastColumn="0" w:noHBand="0" w:noVBand="1"/>
      </w:tblPr>
      <w:tblGrid>
        <w:gridCol w:w="5824"/>
      </w:tblGrid>
      <w:tr w:rsidR="005A5FCC" w14:paraId="56DBB664" w14:textId="77777777">
        <w:trPr>
          <w:jc w:val="center"/>
        </w:trPr>
        <w:tc>
          <w:tcPr>
            <w:tcW w:w="6350" w:type="dxa"/>
            <w:tcBorders>
              <w:left w:val="single" w:sz="16" w:space="0" w:color="B78B37"/>
            </w:tcBorders>
            <w:tcMar>
              <w:top w:w="100" w:type="dxa"/>
              <w:left w:w="240" w:type="dxa"/>
              <w:bottom w:w="100" w:type="dxa"/>
              <w:right w:w="180" w:type="dxa"/>
            </w:tcMar>
          </w:tcPr>
          <w:p w14:paraId="348B161A" w14:textId="77777777" w:rsidR="005A5FCC" w:rsidRDefault="00A21C81">
            <w:pPr>
              <w:spacing w:after="60" w:line="252" w:lineRule="auto"/>
            </w:pPr>
            <w:commentRangeStart w:id="19"/>
            <w:r>
              <w:rPr>
                <w:rFonts w:cs="EB Garamond"/>
                <w:i/>
                <w:color w:val="3A3128"/>
                <w:kern w:val="16"/>
                <w:sz w:val="20"/>
                <w14:ligatures w14:val="standardContextual"/>
              </w:rPr>
              <w:t>[!tip]</w:t>
            </w:r>
            <w:commentRangeEnd w:id="19"/>
            <w:r w:rsidR="00351AEE">
              <w:rPr>
                <w:rStyle w:val="Refdecomentrio"/>
                <w:rFonts w:cs="EB Garamond"/>
                <w:i/>
                <w:color w:val="3A3128"/>
                <w:kern w:val="16"/>
                <w:sz w:val="20"/>
                <w:szCs w:val="22"/>
                <w14:ligatures w14:val="standardContextual"/>
              </w:rPr>
              <w:commentReference w:id="19"/>
            </w:r>
            <w:r>
              <w:rPr>
                <w:rFonts w:cs="EB Garamond"/>
                <w:i/>
                <w:color w:val="3A3128"/>
                <w:kern w:val="16"/>
                <w:sz w:val="20"/>
                <w14:ligatures w14:val="standardContextual"/>
              </w:rPr>
              <w:br/>
              <w:t>Na prática dos JEFs, a questão do valor da cota raramente gera litígio. As ações envolvendo salário-família concentram-se no critério de baixa renda (segurado que alega ter direito porque o empregador não pagou) e na documentação (empregador que suspendeu o pagamento por falta de comprovante de frequência escolar).</w:t>
            </w:r>
          </w:p>
        </w:tc>
      </w:tr>
    </w:tbl>
    <w:p w14:paraId="45F0F717" w14:textId="77777777" w:rsidR="005A5FCC" w:rsidRDefault="005A5FCC">
      <w:pPr>
        <w:spacing w:after="80" w:line="240" w:lineRule="auto"/>
      </w:pPr>
    </w:p>
    <w:p w14:paraId="48440240"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15.28 Documentação exigida</w:t>
      </w:r>
    </w:p>
    <w:p w14:paraId="7417235E"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36B4D059" w14:textId="77777777" w:rsidR="005A5FCC" w:rsidRDefault="00A21C81">
      <w:r>
        <w:rPr>
          <w:rFonts w:cs="EB Garamond"/>
          <w:kern w:val="16"/>
          <w14:ligatures w14:val="standardContextual"/>
        </w:rPr>
        <w:t xml:space="preserve"> art. 67 da Lei n. 8.213/91 e o art. 84 do Decreto n. 3.048/99 estabelecem a documentação necessária para a habilitação ao salário-família:</w:t>
      </w:r>
    </w:p>
    <w:p w14:paraId="51A9C245" w14:textId="77777777" w:rsidR="005A5FCC" w:rsidRDefault="00A21C81">
      <w:pPr>
        <w:ind w:firstLine="238"/>
      </w:pPr>
      <w:r>
        <w:rPr>
          <w:rFonts w:cs="EB Garamond"/>
          <w:b/>
          <w:kern w:val="16"/>
          <w14:ligatures w14:val="standardContextual"/>
        </w:rPr>
        <w:t>a) Certidão de nascimento do filho ou documentação relativa ao equiparado.</w:t>
      </w:r>
      <w:r>
        <w:rPr>
          <w:rFonts w:cs="EB Garamond"/>
          <w:kern w:val="16"/>
          <w14:ligatures w14:val="standardContextual"/>
        </w:rPr>
        <w:t xml:space="preserve"> É o documento básico que comprova a existência do dependente e sua idade. Para enteados e menores sob tutela, exige-se, além da certidão de nascimento, a comprovação da dependência econômica (declaração firmada pelo segurado, na forma do regulamento) e, para menores sob tutela, o termo de tutela judicial.</w:t>
      </w:r>
    </w:p>
    <w:p w14:paraId="788EA608" w14:textId="77777777" w:rsidR="005A5FCC" w:rsidRDefault="00A21C81">
      <w:pPr>
        <w:ind w:firstLine="238"/>
      </w:pPr>
      <w:r>
        <w:rPr>
          <w:rFonts w:cs="EB Garamond"/>
          <w:b/>
          <w:kern w:val="16"/>
          <w14:ligatures w14:val="standardContextual"/>
        </w:rPr>
        <w:lastRenderedPageBreak/>
        <w:t>b) Caderneta de vacinação ou equivalente</w:t>
      </w:r>
      <w:r>
        <w:rPr>
          <w:rFonts w:cs="EB Garamond"/>
          <w:kern w:val="16"/>
          <w14:ligatures w14:val="standardContextual"/>
        </w:rPr>
        <w:t xml:space="preserve"> (para filhos de até 6 anos de idade). O segurado deve apresentar, anualmente, no mês de novembro, comprovante de vacinação obrigatória do filho de até 6 anos. A não apresentação acarreta a suspensão do pagamento da cota relativa àquele filho até a regularização (art. 67, Lei n. 8.213/91).</w:t>
      </w:r>
    </w:p>
    <w:p w14:paraId="1384805D" w14:textId="77777777" w:rsidR="005A5FCC" w:rsidRDefault="00A21C81">
      <w:pPr>
        <w:ind w:firstLine="238"/>
      </w:pPr>
      <w:r>
        <w:rPr>
          <w:rFonts w:cs="EB Garamond"/>
          <w:b/>
          <w:kern w:val="16"/>
          <w14:ligatures w14:val="standardContextual"/>
        </w:rPr>
        <w:t>c) Comprovante de frequência escolar</w:t>
      </w:r>
      <w:r>
        <w:rPr>
          <w:rFonts w:cs="EB Garamond"/>
          <w:kern w:val="16"/>
          <w14:ligatures w14:val="standardContextual"/>
        </w:rPr>
        <w:t xml:space="preserve"> (para filhos de 7 a 14 anos). O segurado deve apresentar semestralmente, nos meses de maio e novembro, comprovante de frequência à escola do filho de 7 a 14 anos de idade. A não apresentação suspende o pagamento da cota até a regularização.</w:t>
      </w:r>
    </w:p>
    <w:tbl>
      <w:tblPr>
        <w:tblW w:w="5000" w:type="pct"/>
        <w:jc w:val="center"/>
        <w:tblLayout w:type="fixed"/>
        <w:tblLook w:val="04A0" w:firstRow="1" w:lastRow="0" w:firstColumn="1" w:lastColumn="0" w:noHBand="0" w:noVBand="1"/>
      </w:tblPr>
      <w:tblGrid>
        <w:gridCol w:w="6311"/>
      </w:tblGrid>
      <w:tr w:rsidR="005A5FCC" w14:paraId="4400E903"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5D3D2236"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0D5654D3" w14:textId="77777777" w:rsidR="005A5FCC" w:rsidRDefault="00A21C81">
            <w:pPr>
              <w:spacing w:after="60" w:line="247" w:lineRule="auto"/>
            </w:pPr>
            <w:r>
              <w:rPr>
                <w:rFonts w:cs="EB Garamond"/>
                <w:b/>
                <w:kern w:val="16"/>
                <w:sz w:val="19"/>
                <w14:ligatures w14:val="standardContextual"/>
              </w:rPr>
              <w:t>Atenção — Suspensão, não cessação</w:t>
            </w:r>
            <w:r>
              <w:rPr>
                <w:rFonts w:cs="EB Garamond"/>
                <w:kern w:val="16"/>
                <w:sz w:val="19"/>
                <w14:ligatures w14:val="standardContextual"/>
              </w:rPr>
              <w:t xml:space="preserve"> A falta de apresentação da caderneta de vacinação ou do comprovante de frequência escolar acarreta a </w:t>
            </w:r>
            <w:r>
              <w:rPr>
                <w:rFonts w:cs="EB Garamond"/>
                <w:i/>
                <w:kern w:val="16"/>
                <w:sz w:val="19"/>
                <w14:ligatures w14:val="standardContextual"/>
              </w:rPr>
              <w:t>suspensão</w:t>
            </w:r>
            <w:r>
              <w:rPr>
                <w:rFonts w:cs="EB Garamond"/>
                <w:kern w:val="16"/>
                <w:sz w:val="19"/>
                <w14:ligatures w14:val="standardContextual"/>
              </w:rPr>
              <w:t xml:space="preserve"> do pagamento, e não a </w:t>
            </w:r>
            <w:r>
              <w:rPr>
                <w:rFonts w:cs="EB Garamond"/>
                <w:i/>
                <w:kern w:val="16"/>
                <w:sz w:val="19"/>
                <w14:ligatures w14:val="standardContextual"/>
              </w:rPr>
              <w:t>cessação</w:t>
            </w:r>
            <w:r>
              <w:rPr>
                <w:rFonts w:cs="EB Garamond"/>
                <w:kern w:val="16"/>
                <w:sz w:val="19"/>
                <w14:ligatures w14:val="standardContextual"/>
              </w:rPr>
              <w:t xml:space="preserve"> do benefício. Regularizada a documentação, o pagamento é restabelecido. O Decreto n. 3.048/99, art. 84, §2º, é claro: não há perda do direito, apenas suspensão da exigibilidade da prestação enquanto pendente a documentação. Essa distinção é relevante na prática dos JEFs, porque o INSS, em alguns casos, cessa o benefício ao invés de suspendê-lo, gerando demanda judicial para restabelecimento com pagamento das cotas retroativas ao período de suspensão indevida.</w:t>
            </w:r>
          </w:p>
        </w:tc>
      </w:tr>
    </w:tbl>
    <w:p w14:paraId="71F7E111" w14:textId="77777777" w:rsidR="005A5FCC" w:rsidRDefault="005A5FCC">
      <w:pPr>
        <w:spacing w:after="80" w:line="240" w:lineRule="auto"/>
      </w:pPr>
    </w:p>
    <w:p w14:paraId="4D82463B"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15.29 Frequência escolar: obrigação semestral</w:t>
      </w:r>
    </w:p>
    <w:p w14:paraId="19CD256B"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6E21477F" w14:textId="77777777" w:rsidR="005A5FCC" w:rsidRDefault="00A21C81">
      <w:r>
        <w:rPr>
          <w:rFonts w:cs="EB Garamond"/>
          <w:kern w:val="16"/>
          <w14:ligatures w14:val="standardContextual"/>
        </w:rPr>
        <w:t xml:space="preserve"> exigência de comprovação de frequência escolar (art. 67, §2º, da Lei n. 8.213/91) merece análise destacada por ser a causa mais frequente de suspensão do salário-família na prática administrativa.</w:t>
      </w:r>
    </w:p>
    <w:p w14:paraId="0DC0B3DF" w14:textId="77777777" w:rsidR="005A5FCC" w:rsidRDefault="00A21C81">
      <w:pPr>
        <w:ind w:firstLine="238"/>
      </w:pPr>
      <w:r>
        <w:rPr>
          <w:rFonts w:cs="EB Garamond"/>
          <w:kern w:val="16"/>
          <w14:ligatures w14:val="standardContextual"/>
        </w:rPr>
        <w:t>O segurado deve comprovar a frequência escolar do filho de 7 a 14 anos semestralmente, nos meses de maio e novembro de cada ano. O comprovante é emitido pela escola e deve atestar que o menor está matriculado e frequentando regularmente as aulas. O Decreto n. 3.048/99 não exige percentual mínimo de frequência — basta a matrícula e a frequência regular atestada pela instituição de ensino.</w:t>
      </w:r>
    </w:p>
    <w:p w14:paraId="34C138AC" w14:textId="77777777" w:rsidR="005A5FCC" w:rsidRDefault="00A21C81">
      <w:pPr>
        <w:ind w:firstLine="238"/>
      </w:pPr>
      <w:r>
        <w:rPr>
          <w:rFonts w:cs="EB Garamond"/>
          <w:b/>
          <w:kern w:val="16"/>
          <w14:ligatures w14:val="standardContextual"/>
        </w:rPr>
        <w:t>Consequência da não apresentação.</w:t>
      </w:r>
      <w:r>
        <w:rPr>
          <w:rFonts w:cs="EB Garamond"/>
          <w:kern w:val="16"/>
          <w14:ligatures w14:val="standardContextual"/>
        </w:rPr>
        <w:t xml:space="preserve"> A falta do comprovante no prazo suspende o pagamento da cota a partir do mês seguinte ao da exigência (junho, se </w:t>
      </w:r>
      <w:r>
        <w:rPr>
          <w:rFonts w:cs="EB Garamond"/>
          <w:kern w:val="16"/>
          <w14:ligatures w14:val="standardContextual"/>
        </w:rPr>
        <w:lastRenderedPageBreak/>
        <w:t>não apresentado em maio; dezembro, se não apresentado em novembro). A suspensão persiste até a apresentação do documento. Regularizada a situação, as cotas retroativas ao período de suspensão devem ser pagas, porque o direito ao benefício não se extinguiu — apenas o pagamento foi suspenso por descumprimento de obrigação formal.</w:t>
      </w:r>
    </w:p>
    <w:p w14:paraId="73A7DCF9" w14:textId="77777777" w:rsidR="005A5FCC" w:rsidRDefault="00A21C81">
      <w:pPr>
        <w:ind w:firstLine="238"/>
      </w:pPr>
      <w:r>
        <w:rPr>
          <w:rFonts w:cs="EB Garamond"/>
          <w:b/>
          <w:kern w:val="16"/>
          <w14:ligatures w14:val="standardContextual"/>
        </w:rPr>
        <w:t>Filho que abandona a escola.</w:t>
      </w:r>
      <w:r>
        <w:rPr>
          <w:rFonts w:cs="EB Garamond"/>
          <w:kern w:val="16"/>
          <w14:ligatures w14:val="standardContextual"/>
        </w:rPr>
        <w:t xml:space="preserve"> Se o filho deixar de frequentar a escola, o segurado perde o direito à cota relativa àquele dependente. A perda persiste enquanto o menor não retornar à escola. Essa hipótese é distinta da mera falta de apresentação do comprovante (que gera suspensão, não cessação): aqui, o requisito material (frequência escolar) deixou de ser preenchido.</w:t>
      </w:r>
    </w:p>
    <w:tbl>
      <w:tblPr>
        <w:tblW w:w="4600" w:type="pct"/>
        <w:jc w:val="center"/>
        <w:tblLook w:val="04A0" w:firstRow="1" w:lastRow="0" w:firstColumn="1" w:lastColumn="0" w:noHBand="0" w:noVBand="1"/>
      </w:tblPr>
      <w:tblGrid>
        <w:gridCol w:w="5824"/>
      </w:tblGrid>
      <w:tr w:rsidR="005A5FCC" w14:paraId="5193D306" w14:textId="77777777">
        <w:trPr>
          <w:jc w:val="center"/>
        </w:trPr>
        <w:tc>
          <w:tcPr>
            <w:tcW w:w="6350" w:type="dxa"/>
            <w:tcBorders>
              <w:left w:val="single" w:sz="16" w:space="0" w:color="B78B37"/>
            </w:tcBorders>
            <w:tcMar>
              <w:top w:w="100" w:type="dxa"/>
              <w:left w:w="240" w:type="dxa"/>
              <w:bottom w:w="100" w:type="dxa"/>
              <w:right w:w="180" w:type="dxa"/>
            </w:tcMar>
          </w:tcPr>
          <w:p w14:paraId="09D52908" w14:textId="77777777" w:rsidR="005A5FCC" w:rsidRDefault="00A21C81">
            <w:pPr>
              <w:spacing w:after="60" w:line="252" w:lineRule="auto"/>
            </w:pPr>
            <w:r>
              <w:rPr>
                <w:rFonts w:cs="EB Garamond"/>
                <w:i/>
                <w:color w:val="3A3128"/>
                <w:kern w:val="16"/>
                <w:sz w:val="20"/>
                <w14:ligatures w14:val="standardContextual"/>
              </w:rPr>
              <w:t>[!tip]</w:t>
            </w:r>
            <w:r>
              <w:rPr>
                <w:rFonts w:cs="EB Garamond"/>
                <w:i/>
                <w:color w:val="3A3128"/>
                <w:kern w:val="16"/>
                <w:sz w:val="20"/>
                <w14:ligatures w14:val="standardContextual"/>
              </w:rPr>
              <w:br/>
              <w:t>Nos JEFs, a questão da frequência escolar surge em ações de restabelecimento: o empregador ou o INSS suspendeu o salário-família por falta de comprovante e o segurado alega que não foi notificado ou que apresentou o documento e este não foi processado. O juiz deve verificar se houve efetiva notificação do segurado sobre a necessidade de apresentação e se a suspensão foi precedida de oportunidade de regularização.</w:t>
            </w:r>
          </w:p>
        </w:tc>
      </w:tr>
    </w:tbl>
    <w:p w14:paraId="2F137315" w14:textId="77777777" w:rsidR="005A5FCC" w:rsidRDefault="005A5FCC">
      <w:pPr>
        <w:spacing w:after="80" w:line="240" w:lineRule="auto"/>
      </w:pPr>
    </w:p>
    <w:p w14:paraId="1832C7AB"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15.30 Pagamento e responsabilidade</w:t>
      </w:r>
    </w:p>
    <w:p w14:paraId="6F22B932"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22279758" w14:textId="77777777" w:rsidR="005A5FCC" w:rsidRDefault="00A21C81">
      <w:r>
        <w:rPr>
          <w:rFonts w:cs="EB Garamond"/>
          <w:kern w:val="16"/>
          <w14:ligatures w14:val="standardContextual"/>
        </w:rPr>
        <w:t xml:space="preserve"> mecanismo de pagamento do salário-família é peculiar no sistema previdenciário, porque envolve o empregador como intermediário:</w:t>
      </w:r>
    </w:p>
    <w:p w14:paraId="63E5DF43" w14:textId="77777777" w:rsidR="005A5FCC" w:rsidRDefault="00A21C81">
      <w:pPr>
        <w:ind w:firstLine="238"/>
      </w:pPr>
      <w:r>
        <w:rPr>
          <w:rFonts w:cs="EB Garamond"/>
          <w:b/>
          <w:kern w:val="16"/>
          <w14:ligatures w14:val="standardContextual"/>
        </w:rPr>
        <w:t>a) Segurado empregado e empregado doméstico.</w:t>
      </w:r>
      <w:r>
        <w:rPr>
          <w:rFonts w:cs="EB Garamond"/>
          <w:kern w:val="16"/>
          <w14:ligatures w14:val="standardContextual"/>
        </w:rPr>
        <w:t xml:space="preserve"> O empregador paga diretamente o salário-família ao segurado, junto com a remuneração mensal, e compensa o valor na guia de recolhimento previdenciário. No eSocial, a compensação é feita automaticamente mediante o registro do evento de salário-família. O empregador que não paga o salário-família ao segurado que tem direito assume responsabilidade direta, podendo ser demandado na Justiça do Trabalho.</w:t>
      </w:r>
    </w:p>
    <w:p w14:paraId="04B2F472" w14:textId="77777777" w:rsidR="005A5FCC" w:rsidRDefault="00A21C81">
      <w:pPr>
        <w:ind w:firstLine="238"/>
      </w:pPr>
      <w:r>
        <w:rPr>
          <w:rFonts w:cs="EB Garamond"/>
          <w:b/>
          <w:kern w:val="16"/>
          <w14:ligatures w14:val="standardContextual"/>
        </w:rPr>
        <w:t>b) Trabalhador avulso.</w:t>
      </w:r>
      <w:r>
        <w:rPr>
          <w:rFonts w:cs="EB Garamond"/>
          <w:kern w:val="16"/>
          <w14:ligatures w14:val="standardContextual"/>
        </w:rPr>
        <w:t xml:space="preserve"> O OGMO (Órgão Gestor de Mão de Obra) ou o sindicato intermediador paga o salário-família e compensa na contribuição previdenciária. Na ausência de OGMO, o sindicato assume a responsabilidade.</w:t>
      </w:r>
    </w:p>
    <w:p w14:paraId="60586A7E" w14:textId="77777777" w:rsidR="005A5FCC" w:rsidRDefault="00A21C81">
      <w:pPr>
        <w:ind w:firstLine="238"/>
      </w:pPr>
      <w:r>
        <w:rPr>
          <w:rFonts w:cs="EB Garamond"/>
          <w:b/>
          <w:kern w:val="16"/>
          <w14:ligatures w14:val="standardContextual"/>
        </w:rPr>
        <w:lastRenderedPageBreak/>
        <w:t>c) Aposentado e segurado em gozo de auxílio por incapacidade temporária.</w:t>
      </w:r>
      <w:r>
        <w:rPr>
          <w:rFonts w:cs="EB Garamond"/>
          <w:kern w:val="16"/>
          <w14:ligatures w14:val="standardContextual"/>
        </w:rPr>
        <w:t xml:space="preserve"> O INSS paga o salário-família diretamente, junto com a renda mensal do benefício. A habilitação é feita perante a autarquia, mediante apresentação da documentação exigida.</w:t>
      </w:r>
    </w:p>
    <w:p w14:paraId="3AFA3CA4" w14:textId="77777777" w:rsidR="005A5FCC" w:rsidRDefault="00A21C81">
      <w:pPr>
        <w:ind w:firstLine="238"/>
      </w:pPr>
      <w:r>
        <w:rPr>
          <w:rFonts w:cs="EB Garamond"/>
          <w:b/>
          <w:kern w:val="16"/>
          <w14:ligatures w14:val="standardContextual"/>
        </w:rPr>
        <w:t>Início do pagamento.</w:t>
      </w:r>
      <w:r>
        <w:rPr>
          <w:rFonts w:cs="EB Garamond"/>
          <w:kern w:val="16"/>
          <w14:ligatures w14:val="standardContextual"/>
        </w:rPr>
        <w:t xml:space="preserve"> O salário-família é devido a partir da data da apresentação da certidão de nascimento do filho ou da documentação relativa ao equiparado (art. 68, Lei n. 8.213/91). Não há retroatividade à data do nascimento, salvo se o segurado comprovar que apresentou a documentação ao empregador na data do nascimento ou logo após.</w:t>
      </w:r>
    </w:p>
    <w:p w14:paraId="2CF52364"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15.31 Cessação do salário-família</w:t>
      </w:r>
    </w:p>
    <w:p w14:paraId="535B759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76BA0507" w14:textId="77777777" w:rsidR="005A5FCC" w:rsidRDefault="00A21C81">
      <w:r>
        <w:rPr>
          <w:rFonts w:cs="EB Garamond"/>
          <w:kern w:val="16"/>
          <w14:ligatures w14:val="standardContextual"/>
        </w:rPr>
        <w:t xml:space="preserve"> direito à cota de salário-família cessa nas seguintes hipóteses (art. 88, Decreto n. 3.048/99):</w:t>
      </w:r>
    </w:p>
    <w:p w14:paraId="595FD713" w14:textId="77777777" w:rsidR="005A5FCC" w:rsidRDefault="00A21C81">
      <w:pPr>
        <w:ind w:firstLine="238"/>
      </w:pPr>
      <w:r>
        <w:rPr>
          <w:rFonts w:cs="EB Garamond"/>
          <w:b/>
          <w:kern w:val="16"/>
          <w14:ligatures w14:val="standardContextual"/>
        </w:rPr>
        <w:t>a) Morte do filho ou equiparado.</w:t>
      </w:r>
      <w:r>
        <w:rPr>
          <w:rFonts w:cs="EB Garamond"/>
          <w:kern w:val="16"/>
          <w14:ligatures w14:val="standardContextual"/>
        </w:rPr>
        <w:t xml:space="preserve"> A cota cessa a partir do mês seguinte ao do óbito.</w:t>
      </w:r>
    </w:p>
    <w:p w14:paraId="4CCAE5B8" w14:textId="77777777" w:rsidR="005A5FCC" w:rsidRDefault="00A21C81">
      <w:pPr>
        <w:ind w:firstLine="238"/>
      </w:pPr>
      <w:r>
        <w:rPr>
          <w:rFonts w:cs="EB Garamond"/>
          <w:b/>
          <w:kern w:val="16"/>
          <w14:ligatures w14:val="standardContextual"/>
        </w:rPr>
        <w:t>b) Filho que completa 14 anos de idade.</w:t>
      </w:r>
      <w:r>
        <w:rPr>
          <w:rFonts w:cs="EB Garamond"/>
          <w:kern w:val="16"/>
          <w14:ligatures w14:val="standardContextual"/>
        </w:rPr>
        <w:t xml:space="preserve"> A cota cessa a partir do mês seguinte ao do aniversário de 14 anos, salvo se o filho for inválido, caso em que a cota persiste sem limite de idade.</w:t>
      </w:r>
    </w:p>
    <w:p w14:paraId="1EDB9A50" w14:textId="77777777" w:rsidR="005A5FCC" w:rsidRDefault="00A21C81">
      <w:pPr>
        <w:ind w:firstLine="238"/>
      </w:pPr>
      <w:r>
        <w:rPr>
          <w:rFonts w:cs="EB Garamond"/>
          <w:b/>
          <w:kern w:val="16"/>
          <w14:ligatures w14:val="standardContextual"/>
        </w:rPr>
        <w:t>c) Cessação da invalidez do filho.</w:t>
      </w:r>
      <w:r>
        <w:rPr>
          <w:rFonts w:cs="EB Garamond"/>
          <w:kern w:val="16"/>
          <w14:ligatures w14:val="standardContextual"/>
        </w:rPr>
        <w:t xml:space="preserve"> Para o filho inválido que recupera a capacidade, a cota cessa a partir do mês seguinte à cessação da invalidez.</w:t>
      </w:r>
    </w:p>
    <w:p w14:paraId="69BBBA10" w14:textId="77777777" w:rsidR="005A5FCC" w:rsidRDefault="00A21C81">
      <w:pPr>
        <w:ind w:firstLine="238"/>
      </w:pPr>
      <w:r>
        <w:rPr>
          <w:rFonts w:cs="EB Garamond"/>
          <w:b/>
          <w:kern w:val="16"/>
          <w14:ligatures w14:val="standardContextual"/>
        </w:rPr>
        <w:t>d) Morte do segurado.</w:t>
      </w:r>
      <w:r>
        <w:rPr>
          <w:rFonts w:cs="EB Garamond"/>
          <w:kern w:val="16"/>
          <w14:ligatures w14:val="standardContextual"/>
        </w:rPr>
        <w:t xml:space="preserve"> O salário-família cessa com o óbito do segurado. Os dependentes sobreviventes poderão fazer jus à pensão por morte, mas o salário-família, em si, não se transmite.</w:t>
      </w:r>
    </w:p>
    <w:p w14:paraId="61DDF132" w14:textId="77777777" w:rsidR="005A5FCC" w:rsidRDefault="00A21C81">
      <w:pPr>
        <w:ind w:firstLine="238"/>
      </w:pPr>
      <w:r>
        <w:rPr>
          <w:rFonts w:cs="EB Garamond"/>
          <w:b/>
          <w:kern w:val="16"/>
          <w14:ligatures w14:val="standardContextual"/>
        </w:rPr>
        <w:t>e) Perda da qualidade de segurado.</w:t>
      </w:r>
      <w:r>
        <w:rPr>
          <w:rFonts w:cs="EB Garamond"/>
          <w:kern w:val="16"/>
          <w14:ligatures w14:val="standardContextual"/>
        </w:rPr>
        <w:t xml:space="preserve"> A demissão ou o término do vínculo empregatício extingue o direito ao salário-família do segurado empregado, ressalvado o período de graça (art. 15, Lei n. 8.213/91) para o segurado aposentado ou em gozo de benefício por incapacidade.</w:t>
      </w:r>
    </w:p>
    <w:p w14:paraId="1A7AEEE5" w14:textId="77777777" w:rsidR="005A5FCC" w:rsidRDefault="00A21C81">
      <w:pPr>
        <w:ind w:firstLine="238"/>
      </w:pPr>
      <w:r>
        <w:rPr>
          <w:rFonts w:cs="EB Garamond"/>
          <w:b/>
          <w:kern w:val="16"/>
          <w14:ligatures w14:val="standardContextual"/>
        </w:rPr>
        <w:t>f) Remuneração superior ao teto.</w:t>
      </w:r>
      <w:r>
        <w:rPr>
          <w:rFonts w:cs="EB Garamond"/>
          <w:kern w:val="16"/>
          <w14:ligatures w14:val="standardContextual"/>
        </w:rPr>
        <w:t xml:space="preserve"> O segurado que passa a receber remuneração superior ao limite perde o direito enquanto persistir a remuneração acima do teto. Trata-se de hipótese de suspensão funcional, não de cessação definitiva.</w:t>
      </w:r>
    </w:p>
    <w:p w14:paraId="792B97F6"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15.32 Cumulação entre cônjuges e companheiros</w:t>
      </w:r>
    </w:p>
    <w:p w14:paraId="1871B13B"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Q</w:t>
      </w:r>
    </w:p>
    <w:p w14:paraId="5CA8D775" w14:textId="77777777" w:rsidR="005A5FCC" w:rsidRDefault="00A21C81">
      <w:r>
        <w:rPr>
          <w:rFonts w:cs="EB Garamond"/>
          <w:kern w:val="16"/>
          <w14:ligatures w14:val="standardContextual"/>
        </w:rPr>
        <w:t>uestão prática relevante: quando ambos os cônjuges ou companheiros são segurados de baixa renda, cada um pode receber o salário-família em relação aos mesmos filhos? A resposta é afirmativa.</w:t>
      </w:r>
    </w:p>
    <w:p w14:paraId="545E9817" w14:textId="77777777" w:rsidR="005A5FCC" w:rsidRDefault="00A21C81">
      <w:pPr>
        <w:ind w:firstLine="238"/>
      </w:pPr>
      <w:r>
        <w:rPr>
          <w:rFonts w:cs="EB Garamond"/>
          <w:kern w:val="16"/>
          <w14:ligatures w14:val="standardContextual"/>
        </w:rPr>
        <w:t xml:space="preserve">A resposta afirmativa funda-se na titularidade individual do direito, e não em qualquer dispositivo que trate diretamente da cumulação familiar — sobre a qual a lei é silente. O art. 65, </w:t>
      </w:r>
      <w:r>
        <w:rPr>
          <w:rFonts w:cs="EB Garamond"/>
          <w:i/>
          <w:kern w:val="16"/>
          <w14:ligatures w14:val="standardContextual"/>
        </w:rPr>
        <w:t>caput</w:t>
      </w:r>
      <w:r>
        <w:rPr>
          <w:rFonts w:cs="EB Garamond"/>
          <w:kern w:val="16"/>
          <w14:ligatures w14:val="standardContextual"/>
        </w:rPr>
        <w:t>, da Lei n. 8.213/91 atribui o salário-família ao "segurado empregado e o trabalhador avulso", isto é, define o beneficiário como cada segurado, individualmente considerado, e não o núcleo familiar como unidade de fruição. Logo, cada cônjuge ou companheiro que, por si só, preencha os requisitos (qualidade de segurado em categoria contemplada, baixa renda aferida por sua própria remuneração e existência de filho menor de 14 anos ou inválido) é titular autônomo do direito à cota, independentemente de o outro também o ser. Não há, no art. 65 nem em qualquer outro dispositivo, regra que condicione o benefício a um único titular por grupo familiar ou que vede a percepção simultânea por ambos os genitores.</w:t>
      </w:r>
    </w:p>
    <w:p w14:paraId="4BFD9C79" w14:textId="77777777" w:rsidR="005A5FCC" w:rsidRDefault="00A21C81">
      <w:pPr>
        <w:ind w:firstLine="238"/>
      </w:pPr>
      <w:r>
        <w:rPr>
          <w:rFonts w:cs="EB Garamond"/>
          <w:kern w:val="16"/>
          <w14:ligatures w14:val="standardContextual"/>
        </w:rPr>
        <w:t xml:space="preserve">O art. 66 da Lei n. 8.213/91 não rege essa questão: limita-se a </w:t>
      </w:r>
      <w:r>
        <w:rPr>
          <w:rFonts w:cs="EB Garamond"/>
          <w:i/>
          <w:kern w:val="16"/>
          <w14:ligatures w14:val="standardContextual"/>
        </w:rPr>
        <w:t>quantificar</w:t>
      </w:r>
      <w:r>
        <w:rPr>
          <w:rFonts w:cs="EB Garamond"/>
          <w:kern w:val="16"/>
          <w14:ligatures w14:val="standardContextual"/>
        </w:rPr>
        <w:t xml:space="preserve"> a prestação, ao dispor que "o valor da cota do salário-família, por filho ou equiparado de qualquer condição, até 14 (quatorze) anos de idade ou inválido de qualquer idade, será de [valor fixado em ato do Poder Executivo]". Trata-se da norma que define o valor da cota — invocável apenas para esse fim —, e não de fundamento da individualidade ou da cumulação, que decorre, como visto, do art. 65.</w:t>
      </w:r>
    </w:p>
    <w:p w14:paraId="5B6899EF" w14:textId="77777777" w:rsidR="005A5FCC" w:rsidRDefault="00A21C81">
      <w:pPr>
        <w:ind w:firstLine="238"/>
      </w:pPr>
      <w:r>
        <w:rPr>
          <w:rFonts w:cs="EB Garamond"/>
          <w:kern w:val="16"/>
          <w14:ligatures w14:val="standardContextual"/>
        </w:rPr>
        <w:t>Na prática, isso significa que uma família com pai e mãe empregados, ambos com remuneração inferior ao teto, e dois filhos menores de 14 anos, receberá quatro cotas de salário-família: duas pagas pelo empregador do pai e duas pagas pelo empregador da mãe. O valor total (4 x R$ 67,54 = R$ 270,16 em 2026) complementa a renda familiar. Entendemos que essa cumulação é constitucional e legal: como o direito é deferido a cada "segurado" (art. 65), e não à família, a percepção por ambos os genitores não configura duplicidade vedada, mas exercício simultâneo de direitos individuais distintos.</w:t>
      </w:r>
    </w:p>
    <w:p w14:paraId="56E646B5"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15.33 Impacto da EC 103/2019 e regime jurídico atual</w:t>
      </w:r>
    </w:p>
    <w:p w14:paraId="5B33624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5D4DED12" w14:textId="77777777" w:rsidR="005A5FCC" w:rsidRDefault="00A21C81">
      <w:r>
        <w:rPr>
          <w:rFonts w:cs="EB Garamond"/>
          <w:kern w:val="16"/>
          <w14:ligatures w14:val="standardContextual"/>
        </w:rPr>
        <w:t xml:space="preserve"> EC 103/2019 (art. 27, §2º) manteve a restrição do salário-família ao segurado de baixa renda e delegou ao regulamento a fixação dos valores. O impacto principal da reforma sobre o salário-família não está na alteração de suas regras (que permaneceram substancialmente inalteradas), mas no contexto mais amplo de contenção de gastos previdenciários.</w:t>
      </w:r>
    </w:p>
    <w:p w14:paraId="118CBCFC" w14:textId="77777777" w:rsidR="005A5FCC" w:rsidRDefault="00A21C81">
      <w:pPr>
        <w:ind w:firstLine="238"/>
      </w:pPr>
      <w:r>
        <w:rPr>
          <w:rFonts w:cs="EB Garamond"/>
          <w:kern w:val="16"/>
          <w14:ligatures w14:val="standardContextual"/>
        </w:rPr>
        <w:t>O art. 13 da EC 103/2019 determinou que, até que lei discipline o acesso ao salário-família do segurado de baixa renda, aplica-se o disposto nos arts. 65 a 70 da Lei n. 8.213/91. Na prática, a legislação vigente não sofreu alteração relevante, e o regime do salário-família permanece o mesmo desde a EC 20/1998, com atualização anual dos valores de cota e do teto de remuneração.</w:t>
      </w:r>
    </w:p>
    <w:p w14:paraId="5F3AC32C" w14:textId="77777777" w:rsidR="005A5FCC" w:rsidRDefault="00A21C81">
      <w:pPr>
        <w:ind w:firstLine="238"/>
      </w:pPr>
      <w:r>
        <w:rPr>
          <w:rFonts w:cs="EB Garamond"/>
          <w:kern w:val="16"/>
          <w14:ligatures w14:val="standardContextual"/>
        </w:rPr>
        <w:t>Entendemos que a delegação ao regulamento para fixação do teto de remuneração é constitucional, na medida em que o conceito de "baixa renda" é indeterminado e exige concretização normativa periódica para acompanhar a evolução salarial. A fixação por portaria interministerial, embora criticável pela ausência de debate legislativo, é mecanismo ágil que permite atualização anual sem necessidade de processo legislativo.</w:t>
      </w:r>
    </w:p>
    <w:p w14:paraId="6C5E4E97"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15.34 Jurisprudência e controvérsias</w:t>
      </w:r>
    </w:p>
    <w:p w14:paraId="78F9EE5D"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273A5B33" w14:textId="77777777" w:rsidR="005A5FCC" w:rsidRDefault="00A21C81">
      <w:r>
        <w:rPr>
          <w:rFonts w:cs="EB Garamond"/>
          <w:kern w:val="16"/>
          <w14:ligatures w14:val="standardContextual"/>
        </w:rPr>
        <w:t xml:space="preserve"> salário-família é benefício de baixa litigiosidade se comparado ao auxílio-acidente ou aos benefícios por incapacidade. As controvérsias que chegam ao Judiciário concentram-se em quatro eixos:</w:t>
      </w:r>
    </w:p>
    <w:p w14:paraId="04C97F49" w14:textId="24A6B873" w:rsidR="005A5FCC" w:rsidRDefault="00A21C81">
      <w:pPr>
        <w:ind w:firstLine="238"/>
      </w:pPr>
      <w:r>
        <w:rPr>
          <w:rFonts w:cs="EB Garamond"/>
          <w:b/>
          <w:kern w:val="16"/>
          <w14:ligatures w14:val="standardContextual"/>
        </w:rPr>
        <w:t xml:space="preserve">a) Critério de baixa renda — renda individual vs. </w:t>
      </w:r>
      <w:r w:rsidR="00B458CC">
        <w:rPr>
          <w:rFonts w:cs="EB Garamond"/>
          <w:b/>
          <w:kern w:val="16"/>
          <w14:ligatures w14:val="standardContextual"/>
        </w:rPr>
        <w:t>r</w:t>
      </w:r>
      <w:r>
        <w:rPr>
          <w:rFonts w:cs="EB Garamond"/>
          <w:b/>
          <w:kern w:val="16"/>
          <w14:ligatures w14:val="standardContextual"/>
        </w:rPr>
        <w:t>enda familiar.</w:t>
      </w:r>
      <w:r>
        <w:rPr>
          <w:rFonts w:cs="EB Garamond"/>
          <w:kern w:val="16"/>
          <w14:ligatures w14:val="standardContextual"/>
        </w:rPr>
        <w:t xml:space="preserve"> A jurisprudência pacífica adota o critério da renda individual </w:t>
      </w:r>
      <w:r>
        <w:rPr>
          <w:rFonts w:cs="EB Garamond"/>
          <w:i/>
          <w:kern w:val="16"/>
          <w14:ligatures w14:val="standardContextual"/>
        </w:rPr>
        <w:t>do segurado</w:t>
      </w:r>
      <w:r>
        <w:rPr>
          <w:rFonts w:cs="EB Garamond"/>
          <w:kern w:val="16"/>
          <w14:ligatures w14:val="standardContextual"/>
        </w:rPr>
        <w:t xml:space="preserve">, não da renda familiar: o teto é aferido pela remuneração do próprio segurado, e não pela renda per capita da família ou pela soma das remunerações de cônjuges ou companheiros (cada qual titular autônomo, conforme a seção 15.32). Essa interpretação decorre da literalidade do art. 65, que se refere ao "segurado empregado" com </w:t>
      </w:r>
      <w:r>
        <w:rPr>
          <w:rFonts w:cs="EB Garamond"/>
          <w:kern w:val="16"/>
          <w14:ligatures w14:val="standardContextual"/>
        </w:rPr>
        <w:lastRenderedPageBreak/>
        <w:t xml:space="preserve">"remuneração mensal" não superior ao limite. Ponto distinto, e que não se confunde com aquele, é o do segurado que mantém </w:t>
      </w:r>
      <w:r>
        <w:rPr>
          <w:rFonts w:cs="EB Garamond"/>
          <w:i/>
          <w:kern w:val="16"/>
          <w14:ligatures w14:val="standardContextual"/>
        </w:rPr>
        <w:t>mais de um vínculo simultâneo</w:t>
      </w:r>
      <w:r>
        <w:rPr>
          <w:rFonts w:cs="EB Garamond"/>
          <w:kern w:val="16"/>
          <w14:ligatures w14:val="standardContextual"/>
        </w:rPr>
        <w:t>: nesse caso, a "remuneração mensal" corresponde à soma dos salários de contribuição das atividades concomitantes (art. 83 do Decreto n. 3.048/99), de modo que a baixa renda é aferida sobre o total, e não por vínculo isolado (v. Seção 15.26).</w:t>
      </w:r>
    </w:p>
    <w:p w14:paraId="4124B922" w14:textId="77777777" w:rsidR="005A5FCC" w:rsidRDefault="00A21C81">
      <w:pPr>
        <w:ind w:firstLine="238"/>
      </w:pPr>
      <w:r>
        <w:rPr>
          <w:rFonts w:cs="EB Garamond"/>
          <w:b/>
          <w:kern w:val="16"/>
          <w14:ligatures w14:val="standardContextual"/>
        </w:rPr>
        <w:t>b) Empregador que não paga o salário-família.</w:t>
      </w:r>
      <w:r>
        <w:rPr>
          <w:rFonts w:cs="EB Garamond"/>
          <w:kern w:val="16"/>
          <w14:ligatures w14:val="standardContextual"/>
        </w:rPr>
        <w:t xml:space="preserve"> A competência para a ação contra o empregador que não paga o salário-família é da Justiça do Trabalho, não da Justiça Federal, porque a relação jurídica é trabalhista (obrigação do empregador decorrente do vínculo de emprego). Já a ação contra o INSS para pagamento de salário-família ao aposentado ou ao segurado em gozo de benefício por incapacidade é de competência da Justiça Federal/JEFs.</w:t>
      </w:r>
    </w:p>
    <w:p w14:paraId="38DF2E3C" w14:textId="77777777" w:rsidR="005A5FCC" w:rsidRDefault="00A21C81">
      <w:pPr>
        <w:ind w:firstLine="238"/>
      </w:pPr>
      <w:r>
        <w:rPr>
          <w:rFonts w:cs="EB Garamond"/>
          <w:b/>
          <w:kern w:val="16"/>
          <w14:ligatures w14:val="standardContextual"/>
        </w:rPr>
        <w:t>c) Retroatividade das cotas não pagas.</w:t>
      </w:r>
      <w:r>
        <w:rPr>
          <w:rFonts w:cs="EB Garamond"/>
          <w:kern w:val="16"/>
          <w14:ligatures w14:val="standardContextual"/>
        </w:rPr>
        <w:t xml:space="preserve"> O segurado que comprova ter apresentado a documentação ao empregador e não recebeu o salário-família tem direito à retroatividade das cotas desde a data da apresentação. O prazo prescricional é quinquenal (Súmula 85/STJ, aplicável por analogia). Na prática dos JEFs, a questão surge quando o INSS deixa de incluir o salário-família no benefício de aposentadoria ou auxílio por incapacidade temporária, apesar de o segurado ter requerido e apresentado documentação.</w:t>
      </w:r>
    </w:p>
    <w:p w14:paraId="64FD8850" w14:textId="77777777" w:rsidR="005A5FCC" w:rsidRDefault="00A21C81">
      <w:pPr>
        <w:ind w:firstLine="238"/>
      </w:pPr>
      <w:r>
        <w:rPr>
          <w:rFonts w:cs="EB Garamond"/>
          <w:b/>
          <w:kern w:val="16"/>
          <w14:ligatures w14:val="standardContextual"/>
        </w:rPr>
        <w:t>d) Extensão a categorias não previstas.</w:t>
      </w:r>
      <w:r>
        <w:rPr>
          <w:rFonts w:cs="EB Garamond"/>
          <w:kern w:val="16"/>
          <w14:ligatures w14:val="standardContextual"/>
        </w:rPr>
        <w:t xml:space="preserve"> A doutrina minoritária sustenta a inconstitucionalidade da exclusão do contribuinte individual e do segurado facultativo, invocando o princípio da universalidade da cobertura (art. 194, parágrafo único, I, CF). Santos (2025) argumenta que a restrição do art. 65 fere o princípio da isonomia ao negar proteção aos filhos de segurados de baixa renda pelo simples fato de seus pais não manterem vínculo empregatício. A questão, todavia, não está pacificada no STJ ou no STF, e o entendimento predominante é pela constitucionalidade da restrição, fundada na estrutura contributiva do RGPS e no mecanismo operacional do benefício (pagamento pelo empregador com compensação).</w:t>
      </w:r>
    </w:p>
    <w:tbl>
      <w:tblPr>
        <w:tblW w:w="4600" w:type="pct"/>
        <w:jc w:val="center"/>
        <w:tblLook w:val="04A0" w:firstRow="1" w:lastRow="0" w:firstColumn="1" w:lastColumn="0" w:noHBand="0" w:noVBand="1"/>
      </w:tblPr>
      <w:tblGrid>
        <w:gridCol w:w="5824"/>
      </w:tblGrid>
      <w:tr w:rsidR="005A5FCC" w14:paraId="188FBA9F" w14:textId="77777777">
        <w:trPr>
          <w:jc w:val="center"/>
        </w:trPr>
        <w:tc>
          <w:tcPr>
            <w:tcW w:w="6350" w:type="dxa"/>
            <w:tcBorders>
              <w:left w:val="single" w:sz="16" w:space="0" w:color="B78B37"/>
            </w:tcBorders>
            <w:tcMar>
              <w:top w:w="100" w:type="dxa"/>
              <w:left w:w="240" w:type="dxa"/>
              <w:bottom w:w="100" w:type="dxa"/>
              <w:right w:w="180" w:type="dxa"/>
            </w:tcMar>
          </w:tcPr>
          <w:p w14:paraId="6D636111" w14:textId="77777777" w:rsidR="005A5FCC" w:rsidRDefault="00A21C81">
            <w:pPr>
              <w:spacing w:after="60" w:line="252" w:lineRule="auto"/>
            </w:pPr>
            <w:commentRangeStart w:id="20"/>
            <w:r>
              <w:rPr>
                <w:rFonts w:cs="EB Garamond"/>
                <w:i/>
                <w:color w:val="3A3128"/>
                <w:kern w:val="16"/>
                <w:sz w:val="20"/>
                <w14:ligatures w14:val="standardContextual"/>
              </w:rPr>
              <w:t>[!warning]</w:t>
            </w:r>
            <w:commentRangeEnd w:id="20"/>
            <w:r w:rsidR="00C87BBC">
              <w:rPr>
                <w:rStyle w:val="Refdecomentrio"/>
                <w:rFonts w:cs="EB Garamond"/>
                <w:i/>
                <w:color w:val="3A3128"/>
                <w:kern w:val="16"/>
                <w:sz w:val="20"/>
                <w:szCs w:val="22"/>
                <w14:ligatures w14:val="standardContextual"/>
              </w:rPr>
              <w:commentReference w:id="20"/>
            </w:r>
            <w:r>
              <w:rPr>
                <w:rFonts w:cs="EB Garamond"/>
                <w:i/>
                <w:color w:val="3A3128"/>
                <w:kern w:val="16"/>
                <w:sz w:val="20"/>
                <w14:ligatures w14:val="standardContextual"/>
              </w:rPr>
              <w:br/>
              <w:t xml:space="preserve">Nos JEFs, a competência para ações de salário-família depende do réu: contra o INSS (aposentado, segurado em gozo de benefício), a competência é da Justiça Federal/JEF; contra o empregador, a competência é da Justiça do </w:t>
            </w:r>
            <w:r>
              <w:rPr>
                <w:rFonts w:cs="EB Garamond"/>
                <w:i/>
                <w:color w:val="3A3128"/>
                <w:kern w:val="16"/>
                <w:sz w:val="20"/>
                <w14:ligatures w14:val="standardContextual"/>
              </w:rPr>
              <w:lastRenderedPageBreak/>
              <w:t>Trabalho. O juiz do JEF deve estar atento à legitimidade passiva e à competência material ao receber ações de salário-família.</w:t>
            </w:r>
          </w:p>
        </w:tc>
      </w:tr>
    </w:tbl>
    <w:p w14:paraId="5CF71989" w14:textId="77777777" w:rsidR="005A5FCC" w:rsidRDefault="005A5FCC">
      <w:pPr>
        <w:spacing w:after="80" w:line="240" w:lineRule="auto"/>
      </w:pPr>
    </w:p>
    <w:p w14:paraId="0E9B8A51"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15.35 Prática nos JEFs</w:t>
      </w:r>
    </w:p>
    <w:p w14:paraId="00160E5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6930A29A" w14:textId="77777777" w:rsidR="005A5FCC" w:rsidRDefault="00A21C81">
      <w:r>
        <w:rPr>
          <w:rFonts w:cs="EB Garamond"/>
          <w:kern w:val="16"/>
          <w14:ligatures w14:val="standardContextual"/>
        </w:rPr>
        <w:t>s ações de salário-família nos Juizados Especiais Federais representam volume reduzido em relação ao total do contencioso previdenciário. As demandas mais comuns são:</w:t>
      </w:r>
    </w:p>
    <w:p w14:paraId="09DAD1FB" w14:textId="77777777" w:rsidR="005A5FCC" w:rsidRDefault="00A21C81">
      <w:pPr>
        <w:ind w:firstLine="238"/>
      </w:pPr>
      <w:r>
        <w:rPr>
          <w:rFonts w:cs="EB Garamond"/>
          <w:b/>
          <w:kern w:val="16"/>
          <w14:ligatures w14:val="standardContextual"/>
        </w:rPr>
        <w:t>a) Concessão de salário-família ao aposentado ou ao segurado em gozo de benefício por incapacidade.</w:t>
      </w:r>
      <w:r>
        <w:rPr>
          <w:rFonts w:cs="EB Garamond"/>
          <w:kern w:val="16"/>
          <w14:ligatures w14:val="standardContextual"/>
        </w:rPr>
        <w:t xml:space="preserve"> O segurado apresenta requerimento ao INSS com a documentação exigida e tem o pedido indeferido, geralmente por suposta renda superior ao teto ou por inconsistência documental. A ação é simples: comprovação da renda do benefício (inferior ao teto) e da existência de filhos menores de 14 anos ou inválidos.</w:t>
      </w:r>
    </w:p>
    <w:p w14:paraId="2AB637BE" w14:textId="77777777" w:rsidR="005A5FCC" w:rsidRDefault="00A21C81">
      <w:pPr>
        <w:ind w:firstLine="238"/>
      </w:pPr>
      <w:r>
        <w:rPr>
          <w:rFonts w:cs="EB Garamond"/>
          <w:b/>
          <w:kern w:val="16"/>
          <w14:ligatures w14:val="standardContextual"/>
        </w:rPr>
        <w:t>b) Restabelecimento de salário-família suspenso.</w:t>
      </w:r>
      <w:r>
        <w:rPr>
          <w:rFonts w:cs="EB Garamond"/>
          <w:kern w:val="16"/>
          <w14:ligatures w14:val="standardContextual"/>
        </w:rPr>
        <w:t xml:space="preserve"> O INSS suspende o pagamento por falta de comprovante de frequência escolar ou caderneta de vacinação, e o segurado alega ter apresentado a documentação ou não ter sido notificado da exigência. O juiz deve verificar se houve regular notificação e oportunidade de regularização.</w:t>
      </w:r>
    </w:p>
    <w:p w14:paraId="2B853849" w14:textId="77777777" w:rsidR="005A5FCC" w:rsidRDefault="00A21C81">
      <w:pPr>
        <w:ind w:firstLine="238"/>
      </w:pPr>
      <w:r>
        <w:rPr>
          <w:rFonts w:cs="EB Garamond"/>
          <w:b/>
          <w:kern w:val="16"/>
          <w14:ligatures w14:val="standardContextual"/>
        </w:rPr>
        <w:t>c) Pagamento retroativo de cotas.</w:t>
      </w:r>
      <w:r>
        <w:rPr>
          <w:rFonts w:cs="EB Garamond"/>
          <w:kern w:val="16"/>
          <w14:ligatures w14:val="standardContextual"/>
        </w:rPr>
        <w:t xml:space="preserve"> O segurado que comprova ter direito ao salário-família durante determinado período e não o recebeu pleiteia o pagamento retroativo das cotas. A prescrição quinquenal (Súmula 85/STJ) limita a retroatividade.</w:t>
      </w:r>
    </w:p>
    <w:p w14:paraId="30CD0E34" w14:textId="2ADF47F0" w:rsidR="005A5FCC" w:rsidRDefault="00A21C81">
      <w:pPr>
        <w:ind w:firstLine="238"/>
      </w:pPr>
      <w:r>
        <w:rPr>
          <w:rFonts w:cs="EB Garamond"/>
          <w:b/>
          <w:kern w:val="16"/>
          <w14:ligatures w14:val="standardContextual"/>
        </w:rPr>
        <w:t>Valor da causa.</w:t>
      </w:r>
      <w:r>
        <w:rPr>
          <w:rFonts w:cs="EB Garamond"/>
          <w:kern w:val="16"/>
          <w14:ligatures w14:val="standardContextual"/>
        </w:rPr>
        <w:t xml:space="preserve"> Nas ações de salário-família, o valor da causa é geralmente baixo (cotas de R$ 67,54/mês por filho), o que situa a grande maioria das demandas dentro da competência dos JEFs (até 60 </w:t>
      </w:r>
      <w:r w:rsidR="00C87BBC">
        <w:rPr>
          <w:rFonts w:cs="EB Garamond"/>
          <w:kern w:val="16"/>
          <w14:ligatures w14:val="standardContextual"/>
        </w:rPr>
        <w:t>salários-mínimos</w:t>
      </w:r>
      <w:r>
        <w:rPr>
          <w:rFonts w:cs="EB Garamond"/>
          <w:kern w:val="16"/>
          <w14:ligatures w14:val="standardContextual"/>
        </w:rPr>
        <w:t>). A simplicidade do benefício e o baixo valor envolvido tornam essas ações de tramitação célere e instrução simples.</w:t>
      </w:r>
    </w:p>
    <w:p w14:paraId="45A6B7E2" w14:textId="77777777" w:rsidR="005A5FCC" w:rsidRDefault="00A21C81">
      <w:pPr>
        <w:ind w:firstLine="238"/>
      </w:pPr>
      <w:r>
        <w:rPr>
          <w:rFonts w:cs="EB Garamond"/>
          <w:b/>
          <w:kern w:val="16"/>
          <w14:ligatures w14:val="standardContextual"/>
        </w:rPr>
        <w:t>Legitimidade e interesse de agir.</w:t>
      </w:r>
      <w:r>
        <w:rPr>
          <w:rFonts w:cs="EB Garamond"/>
          <w:kern w:val="16"/>
          <w14:ligatures w14:val="standardContextual"/>
        </w:rPr>
        <w:t xml:space="preserve"> O segurado aposentado ou em gozo de benefício por incapacidade que tem o salário-família negado ou suspenso pelo </w:t>
      </w:r>
      <w:r>
        <w:rPr>
          <w:rFonts w:cs="EB Garamond"/>
          <w:kern w:val="16"/>
          <w14:ligatures w14:val="standardContextual"/>
        </w:rPr>
        <w:lastRenderedPageBreak/>
        <w:t>INSS possui legitimidade ativa e interesse de agir perante o JEF, dispensado o prévio requerimento administrativo quando o INSS já demonstrou resistência à pretensão (Tema 350/STF — RE 631.240). Na prática, a maioria das ações de salário-família é precedida de requerimento administrativo, porque o segurado necessita da negativa para ingressar em juízo.</w:t>
      </w:r>
    </w:p>
    <w:tbl>
      <w:tblPr>
        <w:tblW w:w="5000" w:type="pct"/>
        <w:jc w:val="center"/>
        <w:tblLayout w:type="fixed"/>
        <w:tblLook w:val="04A0" w:firstRow="1" w:lastRow="0" w:firstColumn="1" w:lastColumn="0" w:noHBand="0" w:noVBand="1"/>
      </w:tblPr>
      <w:tblGrid>
        <w:gridCol w:w="6311"/>
      </w:tblGrid>
      <w:tr w:rsidR="005A5FCC" w14:paraId="231E118D"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27E92E86"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37AA80DB" w14:textId="77777777" w:rsidR="005A5FCC" w:rsidRDefault="00A21C81">
            <w:pPr>
              <w:spacing w:after="60" w:line="247" w:lineRule="auto"/>
            </w:pPr>
            <w:r>
              <w:rPr>
                <w:rFonts w:cs="EB Garamond"/>
                <w:kern w:val="16"/>
                <w:sz w:val="19"/>
                <w14:ligatures w14:val="standardContextual"/>
              </w:rPr>
              <w:t>Segurado aposentado por idade, 66 anos, renda mensal de R$ 1.512,00, com neta de 8 anos sob tutela judicial. Requer salário-família ao INSS, que indefere sob o argumento de que "neta não é filha." O segurado ajuíza ação no JEF, apresentando: certidão de nascimento da neta, termo de tutela judicial e comprovante de frequência escolar. O juiz concede o salário-família, fundamentando: (i) a menor sob tutela é equiparada a filha para fins previdenciários (art. 16, §2º, Lei 8.213/91); (ii) a renda do segurado (R$ 1.512,00) é inferior ao teto de R$ 1.980,38; (iii) a documentação exigida pelo art. 67 está completa. A DIB retroage à data do requerimento administrativo.</w:t>
            </w:r>
          </w:p>
        </w:tc>
      </w:tr>
    </w:tbl>
    <w:p w14:paraId="53940658" w14:textId="77777777" w:rsidR="005A5FCC" w:rsidRDefault="005A5FCC">
      <w:pPr>
        <w:spacing w:after="80" w:line="240" w:lineRule="auto"/>
      </w:pPr>
    </w:p>
    <w:p w14:paraId="70C439AE"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15.36 Quadro prático — salário-família</w:t>
      </w:r>
    </w:p>
    <w:tbl>
      <w:tblPr>
        <w:tblW w:w="5000" w:type="pct"/>
        <w:jc w:val="center"/>
        <w:tblLayout w:type="fixed"/>
        <w:tblLook w:val="04A0" w:firstRow="1" w:lastRow="0" w:firstColumn="1" w:lastColumn="0" w:noHBand="0" w:noVBand="1"/>
      </w:tblPr>
      <w:tblGrid>
        <w:gridCol w:w="6311"/>
      </w:tblGrid>
      <w:tr w:rsidR="005A5FCC" w14:paraId="709E835E" w14:textId="77777777">
        <w:trPr>
          <w:cantSplit/>
          <w:jc w:val="center"/>
        </w:trPr>
        <w:tc>
          <w:tcPr>
            <w:tcW w:w="6350" w:type="dxa"/>
            <w:tcBorders>
              <w:top w:val="single" w:sz="7" w:space="0" w:color="A09882"/>
              <w:left w:val="single" w:sz="24" w:space="0" w:color="6B6256"/>
              <w:bottom w:val="single" w:sz="7" w:space="0" w:color="A09882"/>
              <w:right w:val="single" w:sz="7" w:space="0" w:color="A09882"/>
            </w:tcBorders>
            <w:shd w:val="clear" w:color="auto" w:fill="F5F3EF"/>
            <w:tcMar>
              <w:top w:w="150" w:type="dxa"/>
              <w:left w:w="220" w:type="dxa"/>
              <w:bottom w:w="150" w:type="dxa"/>
              <w:right w:w="180" w:type="dxa"/>
            </w:tcMar>
          </w:tcPr>
          <w:p w14:paraId="32E5AEA4" w14:textId="77777777" w:rsidR="005A5FCC" w:rsidRDefault="00A21C81">
            <w:pPr>
              <w:spacing w:after="60" w:line="240" w:lineRule="auto"/>
              <w:jc w:val="left"/>
            </w:pPr>
            <w:r>
              <w:rPr>
                <w:rFonts w:ascii="Noto Sans" w:hAnsi="Noto Sans" w:cs="Noto Sans"/>
                <w:b/>
                <w:caps/>
                <w:color w:val="6B6256"/>
                <w:kern w:val="16"/>
                <w:sz w:val="16"/>
                <w14:ligatures w14:val="standardContextual"/>
              </w:rPr>
              <w:t>QUADRO</w:t>
            </w:r>
          </w:p>
          <w:p w14:paraId="306988BE" w14:textId="77777777" w:rsidR="005A5FCC" w:rsidRDefault="00A21C81">
            <w:pPr>
              <w:spacing w:after="60" w:line="247" w:lineRule="auto"/>
            </w:pPr>
            <w:r>
              <w:rPr>
                <w:rFonts w:cs="EB Garamond"/>
                <w:b/>
                <w:kern w:val="16"/>
                <w:sz w:val="19"/>
                <w14:ligatures w14:val="standardContextual"/>
              </w:rPr>
              <w:t>Quadro 15.7 — Requisitos do Salário-Família</w:t>
            </w:r>
          </w:p>
          <w:tbl>
            <w:tblPr>
              <w:tblW w:w="5000" w:type="pct"/>
              <w:jc w:val="center"/>
              <w:tblLook w:val="04A0" w:firstRow="1" w:lastRow="0" w:firstColumn="1" w:lastColumn="0" w:noHBand="0" w:noVBand="1"/>
            </w:tblPr>
            <w:tblGrid>
              <w:gridCol w:w="2951"/>
              <w:gridCol w:w="2950"/>
            </w:tblGrid>
            <w:tr w:rsidR="005A5FCC" w14:paraId="6EFA7C81" w14:textId="77777777">
              <w:trPr>
                <w:tblHeader/>
                <w:jc w:val="center"/>
              </w:trPr>
              <w:tc>
                <w:tcPr>
                  <w:tcW w:w="3175" w:type="dxa"/>
                  <w:tcBorders>
                    <w:top w:val="single" w:sz="4" w:space="0" w:color="D2C9B8"/>
                    <w:left w:val="single" w:sz="4" w:space="0" w:color="D2C9B8"/>
                    <w:bottom w:val="single" w:sz="4" w:space="0" w:color="D2C9B8"/>
                    <w:right w:val="single" w:sz="4" w:space="0" w:color="D2C9B8"/>
                  </w:tcBorders>
                  <w:shd w:val="clear" w:color="auto" w:fill="F0EDE6"/>
                </w:tcPr>
                <w:p w14:paraId="5BAFBF95" w14:textId="77777777" w:rsidR="005A5FCC" w:rsidRDefault="00A21C81">
                  <w:pPr>
                    <w:spacing w:before="30" w:after="30" w:line="240" w:lineRule="auto"/>
                    <w:jc w:val="center"/>
                  </w:pPr>
                  <w:r>
                    <w:rPr>
                      <w:rFonts w:cs="EB Garamond"/>
                      <w:b/>
                      <w:color w:val="2F2923"/>
                      <w:kern w:val="16"/>
                      <w:sz w:val="16"/>
                      <w14:ligatures w14:val="standardContextual"/>
                    </w:rPr>
                    <w:t>Requisito</w:t>
                  </w:r>
                </w:p>
              </w:tc>
              <w:tc>
                <w:tcPr>
                  <w:tcW w:w="3175" w:type="dxa"/>
                  <w:tcBorders>
                    <w:top w:val="single" w:sz="4" w:space="0" w:color="D2C9B8"/>
                    <w:left w:val="single" w:sz="4" w:space="0" w:color="D2C9B8"/>
                    <w:bottom w:val="single" w:sz="4" w:space="0" w:color="D2C9B8"/>
                    <w:right w:val="single" w:sz="4" w:space="0" w:color="D2C9B8"/>
                  </w:tcBorders>
                  <w:shd w:val="clear" w:color="auto" w:fill="F0EDE6"/>
                </w:tcPr>
                <w:p w14:paraId="005599D0" w14:textId="77777777" w:rsidR="005A5FCC" w:rsidRDefault="00A21C81">
                  <w:pPr>
                    <w:spacing w:before="30" w:after="30" w:line="240" w:lineRule="auto"/>
                    <w:jc w:val="center"/>
                  </w:pPr>
                  <w:r>
                    <w:rPr>
                      <w:rFonts w:cs="EB Garamond"/>
                      <w:b/>
                      <w:color w:val="2F2923"/>
                      <w:kern w:val="16"/>
                      <w:sz w:val="16"/>
                      <w14:ligatures w14:val="standardContextual"/>
                    </w:rPr>
                    <w:t>Descrição</w:t>
                  </w:r>
                </w:p>
              </w:tc>
            </w:tr>
            <w:tr w:rsidR="005A5FCC" w14:paraId="3ED17DC0"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1A8746B2" w14:textId="77777777" w:rsidR="005A5FCC" w:rsidRDefault="00A21C81">
                  <w:pPr>
                    <w:spacing w:before="20" w:after="20" w:line="240" w:lineRule="auto"/>
                    <w:jc w:val="left"/>
                  </w:pPr>
                  <w:r>
                    <w:rPr>
                      <w:rFonts w:cs="EB Garamond"/>
                      <w:b/>
                      <w:kern w:val="16"/>
                      <w:sz w:val="16"/>
                      <w14:ligatures w14:val="standardContextual"/>
                    </w:rPr>
                    <w:t>Segurados</w:t>
                  </w:r>
                </w:p>
              </w:tc>
              <w:tc>
                <w:tcPr>
                  <w:tcW w:w="3175" w:type="dxa"/>
                  <w:tcBorders>
                    <w:top w:val="single" w:sz="4" w:space="0" w:color="D2C9B8"/>
                    <w:left w:val="single" w:sz="4" w:space="0" w:color="D2C9B8"/>
                    <w:bottom w:val="single" w:sz="4" w:space="0" w:color="D2C9B8"/>
                    <w:right w:val="single" w:sz="4" w:space="0" w:color="D2C9B8"/>
                  </w:tcBorders>
                </w:tcPr>
                <w:p w14:paraId="52AFD6D5" w14:textId="77777777" w:rsidR="005A5FCC" w:rsidRDefault="00A21C81">
                  <w:pPr>
                    <w:spacing w:before="20" w:after="20" w:line="240" w:lineRule="auto"/>
                    <w:jc w:val="left"/>
                  </w:pPr>
                  <w:r>
                    <w:rPr>
                      <w:rFonts w:cs="EB Garamond"/>
                      <w:kern w:val="16"/>
                      <w:sz w:val="16"/>
                      <w14:ligatures w14:val="standardContextual"/>
                    </w:rPr>
                    <w:t>Empregado, doméstico, avulso, aposentado, segurado em gozo de auxílio por incapacidade temporária</w:t>
                  </w:r>
                </w:p>
              </w:tc>
            </w:tr>
            <w:tr w:rsidR="005A5FCC" w14:paraId="152DACE5"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05D1F676" w14:textId="77777777" w:rsidR="005A5FCC" w:rsidRDefault="00A21C81">
                  <w:pPr>
                    <w:spacing w:before="20" w:after="20" w:line="240" w:lineRule="auto"/>
                    <w:jc w:val="left"/>
                  </w:pPr>
                  <w:r>
                    <w:rPr>
                      <w:rFonts w:cs="EB Garamond"/>
                      <w:b/>
                      <w:kern w:val="16"/>
                      <w:sz w:val="16"/>
                      <w14:ligatures w14:val="standardContextual"/>
                    </w:rPr>
                    <w:t>Excluídos</w:t>
                  </w:r>
                </w:p>
              </w:tc>
              <w:tc>
                <w:tcPr>
                  <w:tcW w:w="3175" w:type="dxa"/>
                  <w:tcBorders>
                    <w:top w:val="single" w:sz="4" w:space="0" w:color="D2C9B8"/>
                    <w:left w:val="single" w:sz="4" w:space="0" w:color="D2C9B8"/>
                    <w:bottom w:val="single" w:sz="4" w:space="0" w:color="D2C9B8"/>
                    <w:right w:val="single" w:sz="4" w:space="0" w:color="D2C9B8"/>
                  </w:tcBorders>
                </w:tcPr>
                <w:p w14:paraId="62E8B9D3" w14:textId="77777777" w:rsidR="005A5FCC" w:rsidRDefault="00A21C81">
                  <w:pPr>
                    <w:spacing w:before="20" w:after="20" w:line="240" w:lineRule="auto"/>
                    <w:jc w:val="left"/>
                  </w:pPr>
                  <w:r>
                    <w:rPr>
                      <w:rFonts w:cs="EB Garamond"/>
                      <w:kern w:val="16"/>
                      <w:sz w:val="16"/>
                      <w14:ligatures w14:val="standardContextual"/>
                    </w:rPr>
                    <w:t>Contribuinte individual, facultativo, segurado especial</w:t>
                  </w:r>
                </w:p>
              </w:tc>
            </w:tr>
            <w:tr w:rsidR="005A5FCC" w14:paraId="3C138D71"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144E8D7C" w14:textId="77777777" w:rsidR="005A5FCC" w:rsidRDefault="00A21C81">
                  <w:pPr>
                    <w:spacing w:before="20" w:after="20" w:line="240" w:lineRule="auto"/>
                    <w:jc w:val="left"/>
                  </w:pPr>
                  <w:r>
                    <w:rPr>
                      <w:rFonts w:cs="EB Garamond"/>
                      <w:b/>
                      <w:kern w:val="16"/>
                      <w:sz w:val="16"/>
                      <w14:ligatures w14:val="standardContextual"/>
                    </w:rPr>
                    <w:t>Critério de renda</w:t>
                  </w:r>
                </w:p>
              </w:tc>
              <w:tc>
                <w:tcPr>
                  <w:tcW w:w="3175" w:type="dxa"/>
                  <w:tcBorders>
                    <w:top w:val="single" w:sz="4" w:space="0" w:color="D2C9B8"/>
                    <w:left w:val="single" w:sz="4" w:space="0" w:color="D2C9B8"/>
                    <w:bottom w:val="single" w:sz="4" w:space="0" w:color="D2C9B8"/>
                    <w:right w:val="single" w:sz="4" w:space="0" w:color="D2C9B8"/>
                  </w:tcBorders>
                </w:tcPr>
                <w:p w14:paraId="24967BAE" w14:textId="77777777" w:rsidR="005A5FCC" w:rsidRDefault="00A21C81">
                  <w:pPr>
                    <w:spacing w:before="20" w:after="20" w:line="240" w:lineRule="auto"/>
                    <w:jc w:val="left"/>
                  </w:pPr>
                  <w:r>
                    <w:rPr>
                      <w:rFonts w:cs="EB Garamond"/>
                      <w:kern w:val="16"/>
                      <w:sz w:val="16"/>
                      <w14:ligatures w14:val="standardContextual"/>
                    </w:rPr>
                    <w:t>Remuneração mensal ≤ R$ 1.980,38 (Portaria MPS/MF n. 13/2026)</w:t>
                  </w:r>
                </w:p>
              </w:tc>
            </w:tr>
            <w:tr w:rsidR="005A5FCC" w14:paraId="0C0F5851"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5525E99D" w14:textId="77777777" w:rsidR="005A5FCC" w:rsidRDefault="00A21C81">
                  <w:pPr>
                    <w:spacing w:before="20" w:after="20" w:line="240" w:lineRule="auto"/>
                    <w:jc w:val="left"/>
                  </w:pPr>
                  <w:r>
                    <w:rPr>
                      <w:rFonts w:cs="EB Garamond"/>
                      <w:b/>
                      <w:kern w:val="16"/>
                      <w:sz w:val="16"/>
                      <w14:ligatures w14:val="standardContextual"/>
                    </w:rPr>
                    <w:t>Dependente</w:t>
                  </w:r>
                </w:p>
              </w:tc>
              <w:tc>
                <w:tcPr>
                  <w:tcW w:w="3175" w:type="dxa"/>
                  <w:tcBorders>
                    <w:top w:val="single" w:sz="4" w:space="0" w:color="D2C9B8"/>
                    <w:left w:val="single" w:sz="4" w:space="0" w:color="D2C9B8"/>
                    <w:bottom w:val="single" w:sz="4" w:space="0" w:color="D2C9B8"/>
                    <w:right w:val="single" w:sz="4" w:space="0" w:color="D2C9B8"/>
                  </w:tcBorders>
                </w:tcPr>
                <w:p w14:paraId="2A800367" w14:textId="77777777" w:rsidR="005A5FCC" w:rsidRDefault="00A21C81">
                  <w:pPr>
                    <w:spacing w:before="20" w:after="20" w:line="240" w:lineRule="auto"/>
                    <w:jc w:val="left"/>
                  </w:pPr>
                  <w:r>
                    <w:rPr>
                      <w:rFonts w:cs="EB Garamond"/>
                      <w:kern w:val="16"/>
                      <w:sz w:val="16"/>
                      <w14:ligatures w14:val="standardContextual"/>
                    </w:rPr>
                    <w:t>Filho ou equiparado menor de 14 anos ou inválido de qualquer idade</w:t>
                  </w:r>
                </w:p>
              </w:tc>
            </w:tr>
            <w:tr w:rsidR="005A5FCC" w14:paraId="267A7766"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43BBE35B" w14:textId="77777777" w:rsidR="005A5FCC" w:rsidRDefault="00A21C81">
                  <w:pPr>
                    <w:spacing w:before="20" w:after="20" w:line="240" w:lineRule="auto"/>
                    <w:jc w:val="left"/>
                  </w:pPr>
                  <w:r>
                    <w:rPr>
                      <w:rFonts w:cs="EB Garamond"/>
                      <w:b/>
                      <w:kern w:val="16"/>
                      <w:sz w:val="16"/>
                      <w14:ligatures w14:val="standardContextual"/>
                    </w:rPr>
                    <w:t>Valor da cota</w:t>
                  </w:r>
                </w:p>
              </w:tc>
              <w:tc>
                <w:tcPr>
                  <w:tcW w:w="3175" w:type="dxa"/>
                  <w:tcBorders>
                    <w:top w:val="single" w:sz="4" w:space="0" w:color="D2C9B8"/>
                    <w:left w:val="single" w:sz="4" w:space="0" w:color="D2C9B8"/>
                    <w:bottom w:val="single" w:sz="4" w:space="0" w:color="D2C9B8"/>
                    <w:right w:val="single" w:sz="4" w:space="0" w:color="D2C9B8"/>
                  </w:tcBorders>
                </w:tcPr>
                <w:p w14:paraId="1A0E0249" w14:textId="77777777" w:rsidR="005A5FCC" w:rsidRDefault="00A21C81">
                  <w:pPr>
                    <w:spacing w:before="20" w:after="20" w:line="240" w:lineRule="auto"/>
                    <w:jc w:val="left"/>
                  </w:pPr>
                  <w:r>
                    <w:rPr>
                      <w:rFonts w:cs="EB Garamond"/>
                      <w:kern w:val="16"/>
                      <w:sz w:val="16"/>
                      <w14:ligatures w14:val="standardContextual"/>
                    </w:rPr>
                    <w:t>R$ 67,54 por filho/equiparado (2026)</w:t>
                  </w:r>
                </w:p>
              </w:tc>
            </w:tr>
            <w:tr w:rsidR="005A5FCC" w14:paraId="7B3B7E51"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43434578" w14:textId="77777777" w:rsidR="005A5FCC" w:rsidRDefault="00A21C81">
                  <w:pPr>
                    <w:spacing w:before="20" w:after="20" w:line="240" w:lineRule="auto"/>
                    <w:jc w:val="left"/>
                  </w:pPr>
                  <w:r>
                    <w:rPr>
                      <w:rFonts w:cs="EB Garamond"/>
                      <w:b/>
                      <w:kern w:val="16"/>
                      <w:sz w:val="16"/>
                      <w14:ligatures w14:val="standardContextual"/>
                    </w:rPr>
                    <w:t>Limite de cotas</w:t>
                  </w:r>
                </w:p>
              </w:tc>
              <w:tc>
                <w:tcPr>
                  <w:tcW w:w="3175" w:type="dxa"/>
                  <w:tcBorders>
                    <w:top w:val="single" w:sz="4" w:space="0" w:color="D2C9B8"/>
                    <w:left w:val="single" w:sz="4" w:space="0" w:color="D2C9B8"/>
                    <w:bottom w:val="single" w:sz="4" w:space="0" w:color="D2C9B8"/>
                    <w:right w:val="single" w:sz="4" w:space="0" w:color="D2C9B8"/>
                  </w:tcBorders>
                </w:tcPr>
                <w:p w14:paraId="06CCD607" w14:textId="77777777" w:rsidR="005A5FCC" w:rsidRDefault="00A21C81">
                  <w:pPr>
                    <w:spacing w:before="20" w:after="20" w:line="240" w:lineRule="auto"/>
                    <w:jc w:val="left"/>
                  </w:pPr>
                  <w:r>
                    <w:rPr>
                      <w:rFonts w:cs="EB Garamond"/>
                      <w:kern w:val="16"/>
                      <w:sz w:val="16"/>
                      <w14:ligatures w14:val="standardContextual"/>
                    </w:rPr>
                    <w:t>Não há</w:t>
                  </w:r>
                </w:p>
              </w:tc>
            </w:tr>
            <w:tr w:rsidR="005A5FCC" w14:paraId="60209A40"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3469D6F9" w14:textId="77777777" w:rsidR="005A5FCC" w:rsidRDefault="00A21C81">
                  <w:pPr>
                    <w:spacing w:before="20" w:after="20" w:line="240" w:lineRule="auto"/>
                    <w:jc w:val="left"/>
                  </w:pPr>
                  <w:r>
                    <w:rPr>
                      <w:rFonts w:cs="EB Garamond"/>
                      <w:b/>
                      <w:kern w:val="16"/>
                      <w:sz w:val="16"/>
                      <w14:ligatures w14:val="standardContextual"/>
                    </w:rPr>
                    <w:t>Carência</w:t>
                  </w:r>
                </w:p>
              </w:tc>
              <w:tc>
                <w:tcPr>
                  <w:tcW w:w="3175" w:type="dxa"/>
                  <w:tcBorders>
                    <w:top w:val="single" w:sz="4" w:space="0" w:color="D2C9B8"/>
                    <w:left w:val="single" w:sz="4" w:space="0" w:color="D2C9B8"/>
                    <w:bottom w:val="single" w:sz="4" w:space="0" w:color="D2C9B8"/>
                    <w:right w:val="single" w:sz="4" w:space="0" w:color="D2C9B8"/>
                  </w:tcBorders>
                </w:tcPr>
                <w:p w14:paraId="5B68D783" w14:textId="77777777" w:rsidR="005A5FCC" w:rsidRDefault="00A21C81">
                  <w:pPr>
                    <w:spacing w:before="20" w:after="20" w:line="240" w:lineRule="auto"/>
                    <w:jc w:val="left"/>
                  </w:pPr>
                  <w:r>
                    <w:rPr>
                      <w:rFonts w:cs="EB Garamond"/>
                      <w:kern w:val="16"/>
                      <w:sz w:val="16"/>
                      <w14:ligatures w14:val="standardContextual"/>
                    </w:rPr>
                    <w:t>Dispensada (art. 26, I, Lei 8.213/91)</w:t>
                  </w:r>
                </w:p>
              </w:tc>
            </w:tr>
            <w:tr w:rsidR="005A5FCC" w14:paraId="79341616"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5DCA6509" w14:textId="77777777" w:rsidR="005A5FCC" w:rsidRDefault="00A21C81">
                  <w:pPr>
                    <w:spacing w:before="20" w:after="20" w:line="240" w:lineRule="auto"/>
                    <w:jc w:val="left"/>
                  </w:pPr>
                  <w:r>
                    <w:rPr>
                      <w:rFonts w:cs="EB Garamond"/>
                      <w:b/>
                      <w:kern w:val="16"/>
                      <w:sz w:val="16"/>
                      <w14:ligatures w14:val="standardContextual"/>
                    </w:rPr>
                    <w:t>Documentação</w:t>
                  </w:r>
                </w:p>
              </w:tc>
              <w:tc>
                <w:tcPr>
                  <w:tcW w:w="3175" w:type="dxa"/>
                  <w:tcBorders>
                    <w:top w:val="single" w:sz="4" w:space="0" w:color="D2C9B8"/>
                    <w:left w:val="single" w:sz="4" w:space="0" w:color="D2C9B8"/>
                    <w:bottom w:val="single" w:sz="4" w:space="0" w:color="D2C9B8"/>
                    <w:right w:val="single" w:sz="4" w:space="0" w:color="D2C9B8"/>
                  </w:tcBorders>
                </w:tcPr>
                <w:p w14:paraId="3892F7AA" w14:textId="77777777" w:rsidR="005A5FCC" w:rsidRDefault="00A21C81">
                  <w:pPr>
                    <w:spacing w:before="20" w:after="20" w:line="240" w:lineRule="auto"/>
                    <w:jc w:val="left"/>
                  </w:pPr>
                  <w:r>
                    <w:rPr>
                      <w:rFonts w:cs="EB Garamond"/>
                      <w:kern w:val="16"/>
                      <w:sz w:val="16"/>
                      <w14:ligatures w14:val="standardContextual"/>
                    </w:rPr>
                    <w:t>Certidão de nascimento + vacinação (até 6 anos) + frequência escolar (7-14 anos)</w:t>
                  </w:r>
                </w:p>
              </w:tc>
            </w:tr>
            <w:tr w:rsidR="005A5FCC" w14:paraId="5D89209B"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5E404852" w14:textId="77777777" w:rsidR="005A5FCC" w:rsidRDefault="00A21C81">
                  <w:pPr>
                    <w:spacing w:before="20" w:after="20" w:line="240" w:lineRule="auto"/>
                    <w:jc w:val="left"/>
                  </w:pPr>
                  <w:r>
                    <w:rPr>
                      <w:rFonts w:cs="EB Garamond"/>
                      <w:b/>
                      <w:kern w:val="16"/>
                      <w:sz w:val="16"/>
                      <w14:ligatures w14:val="standardContextual"/>
                    </w:rPr>
                    <w:t>Pagamento</w:t>
                  </w:r>
                </w:p>
              </w:tc>
              <w:tc>
                <w:tcPr>
                  <w:tcW w:w="3175" w:type="dxa"/>
                  <w:tcBorders>
                    <w:top w:val="single" w:sz="4" w:space="0" w:color="D2C9B8"/>
                    <w:left w:val="single" w:sz="4" w:space="0" w:color="D2C9B8"/>
                    <w:bottom w:val="single" w:sz="4" w:space="0" w:color="D2C9B8"/>
                    <w:right w:val="single" w:sz="4" w:space="0" w:color="D2C9B8"/>
                  </w:tcBorders>
                </w:tcPr>
                <w:p w14:paraId="63235538" w14:textId="77777777" w:rsidR="005A5FCC" w:rsidRDefault="00A21C81">
                  <w:pPr>
                    <w:spacing w:before="20" w:after="20" w:line="240" w:lineRule="auto"/>
                    <w:jc w:val="left"/>
                  </w:pPr>
                  <w:r>
                    <w:rPr>
                      <w:rFonts w:cs="EB Garamond"/>
                      <w:kern w:val="16"/>
                      <w:sz w:val="16"/>
                      <w14:ligatures w14:val="standardContextual"/>
                    </w:rPr>
                    <w:t>Empregador (empregado/doméstico), OGMO (avulso), INSS (aposentado/benefício por incapacidade)</w:t>
                  </w:r>
                </w:p>
              </w:tc>
            </w:tr>
          </w:tbl>
          <w:p w14:paraId="70B4BD49" w14:textId="77777777" w:rsidR="005A5FCC" w:rsidRDefault="005A5FCC"/>
          <w:p w14:paraId="60CE97B2" w14:textId="77777777" w:rsidR="005A5FCC" w:rsidRDefault="005A5FCC">
            <w:pPr>
              <w:spacing w:after="0" w:line="240" w:lineRule="auto"/>
            </w:pPr>
          </w:p>
        </w:tc>
      </w:tr>
    </w:tbl>
    <w:p w14:paraId="0C22A915" w14:textId="77777777" w:rsidR="005A5FCC" w:rsidRDefault="005A5FCC">
      <w:pPr>
        <w:spacing w:after="80" w:line="240" w:lineRule="auto"/>
      </w:pPr>
    </w:p>
    <w:tbl>
      <w:tblPr>
        <w:tblW w:w="5000" w:type="pct"/>
        <w:jc w:val="center"/>
        <w:tblLayout w:type="fixed"/>
        <w:tblLook w:val="04A0" w:firstRow="1" w:lastRow="0" w:firstColumn="1" w:lastColumn="0" w:noHBand="0" w:noVBand="1"/>
      </w:tblPr>
      <w:tblGrid>
        <w:gridCol w:w="6311"/>
      </w:tblGrid>
      <w:tr w:rsidR="005A5FCC" w14:paraId="6DD2FCB5" w14:textId="77777777">
        <w:trPr>
          <w:cantSplit/>
          <w:jc w:val="center"/>
        </w:trPr>
        <w:tc>
          <w:tcPr>
            <w:tcW w:w="6350" w:type="dxa"/>
            <w:tcBorders>
              <w:top w:val="single" w:sz="7" w:space="0" w:color="A09882"/>
              <w:left w:val="single" w:sz="24" w:space="0" w:color="6B6256"/>
              <w:bottom w:val="single" w:sz="7" w:space="0" w:color="A09882"/>
              <w:right w:val="single" w:sz="7" w:space="0" w:color="A09882"/>
            </w:tcBorders>
            <w:shd w:val="clear" w:color="auto" w:fill="F5F3EF"/>
            <w:tcMar>
              <w:top w:w="150" w:type="dxa"/>
              <w:left w:w="220" w:type="dxa"/>
              <w:bottom w:w="150" w:type="dxa"/>
              <w:right w:w="180" w:type="dxa"/>
            </w:tcMar>
          </w:tcPr>
          <w:p w14:paraId="28BD4EE4" w14:textId="77777777" w:rsidR="005A5FCC" w:rsidRDefault="00A21C81">
            <w:pPr>
              <w:spacing w:after="60" w:line="240" w:lineRule="auto"/>
              <w:jc w:val="left"/>
            </w:pPr>
            <w:r>
              <w:rPr>
                <w:rFonts w:ascii="Noto Sans" w:hAnsi="Noto Sans" w:cs="Noto Sans"/>
                <w:b/>
                <w:caps/>
                <w:color w:val="6B6256"/>
                <w:kern w:val="16"/>
                <w:sz w:val="16"/>
                <w14:ligatures w14:val="standardContextual"/>
              </w:rPr>
              <w:lastRenderedPageBreak/>
              <w:t>QUADRO</w:t>
            </w:r>
          </w:p>
          <w:p w14:paraId="01884684" w14:textId="77777777" w:rsidR="005A5FCC" w:rsidRDefault="00A21C81">
            <w:pPr>
              <w:spacing w:after="60" w:line="247" w:lineRule="auto"/>
            </w:pPr>
            <w:r>
              <w:rPr>
                <w:rFonts w:cs="EB Garamond"/>
                <w:b/>
                <w:kern w:val="16"/>
                <w:sz w:val="19"/>
                <w14:ligatures w14:val="standardContextual"/>
              </w:rPr>
              <w:t>Quadro 15.8 — Cessação do Salário-Família</w:t>
            </w:r>
          </w:p>
          <w:tbl>
            <w:tblPr>
              <w:tblW w:w="5000" w:type="pct"/>
              <w:jc w:val="center"/>
              <w:tblLook w:val="04A0" w:firstRow="1" w:lastRow="0" w:firstColumn="1" w:lastColumn="0" w:noHBand="0" w:noVBand="1"/>
            </w:tblPr>
            <w:tblGrid>
              <w:gridCol w:w="2951"/>
              <w:gridCol w:w="2950"/>
            </w:tblGrid>
            <w:tr w:rsidR="005A5FCC" w14:paraId="2C6D5DDD" w14:textId="77777777">
              <w:trPr>
                <w:tblHeader/>
                <w:jc w:val="center"/>
              </w:trPr>
              <w:tc>
                <w:tcPr>
                  <w:tcW w:w="3175" w:type="dxa"/>
                  <w:tcBorders>
                    <w:top w:val="single" w:sz="4" w:space="0" w:color="D2C9B8"/>
                    <w:left w:val="single" w:sz="4" w:space="0" w:color="D2C9B8"/>
                    <w:bottom w:val="single" w:sz="4" w:space="0" w:color="D2C9B8"/>
                    <w:right w:val="single" w:sz="4" w:space="0" w:color="D2C9B8"/>
                  </w:tcBorders>
                  <w:shd w:val="clear" w:color="auto" w:fill="F0EDE6"/>
                </w:tcPr>
                <w:p w14:paraId="6405E694" w14:textId="77777777" w:rsidR="005A5FCC" w:rsidRDefault="00A21C81">
                  <w:pPr>
                    <w:spacing w:before="30" w:after="30" w:line="240" w:lineRule="auto"/>
                    <w:jc w:val="center"/>
                  </w:pPr>
                  <w:r>
                    <w:rPr>
                      <w:rFonts w:cs="EB Garamond"/>
                      <w:b/>
                      <w:color w:val="2F2923"/>
                      <w:kern w:val="16"/>
                      <w:sz w:val="16"/>
                      <w14:ligatures w14:val="standardContextual"/>
                    </w:rPr>
                    <w:t>Hipótese</w:t>
                  </w:r>
                </w:p>
              </w:tc>
              <w:tc>
                <w:tcPr>
                  <w:tcW w:w="3175" w:type="dxa"/>
                  <w:tcBorders>
                    <w:top w:val="single" w:sz="4" w:space="0" w:color="D2C9B8"/>
                    <w:left w:val="single" w:sz="4" w:space="0" w:color="D2C9B8"/>
                    <w:bottom w:val="single" w:sz="4" w:space="0" w:color="D2C9B8"/>
                    <w:right w:val="single" w:sz="4" w:space="0" w:color="D2C9B8"/>
                  </w:tcBorders>
                  <w:shd w:val="clear" w:color="auto" w:fill="F0EDE6"/>
                </w:tcPr>
                <w:p w14:paraId="516BB78C" w14:textId="77777777" w:rsidR="005A5FCC" w:rsidRDefault="00A21C81">
                  <w:pPr>
                    <w:spacing w:before="30" w:after="30" w:line="240" w:lineRule="auto"/>
                    <w:jc w:val="center"/>
                  </w:pPr>
                  <w:r>
                    <w:rPr>
                      <w:rFonts w:cs="EB Garamond"/>
                      <w:b/>
                      <w:color w:val="2F2923"/>
                      <w:kern w:val="16"/>
                      <w:sz w:val="16"/>
                      <w14:ligatures w14:val="standardContextual"/>
                    </w:rPr>
                    <w:t>Efeito</w:t>
                  </w:r>
                </w:p>
              </w:tc>
            </w:tr>
            <w:tr w:rsidR="005A5FCC" w14:paraId="1E73D892"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7AB69F41" w14:textId="77777777" w:rsidR="005A5FCC" w:rsidRDefault="00A21C81">
                  <w:pPr>
                    <w:spacing w:before="20" w:after="20" w:line="240" w:lineRule="auto"/>
                    <w:jc w:val="left"/>
                  </w:pPr>
                  <w:r>
                    <w:rPr>
                      <w:rFonts w:cs="EB Garamond"/>
                      <w:kern w:val="16"/>
                      <w:sz w:val="16"/>
                      <w14:ligatures w14:val="standardContextual"/>
                    </w:rPr>
                    <w:t>Morte do filho</w:t>
                  </w:r>
                </w:p>
              </w:tc>
              <w:tc>
                <w:tcPr>
                  <w:tcW w:w="3175" w:type="dxa"/>
                  <w:tcBorders>
                    <w:top w:val="single" w:sz="4" w:space="0" w:color="D2C9B8"/>
                    <w:left w:val="single" w:sz="4" w:space="0" w:color="D2C9B8"/>
                    <w:bottom w:val="single" w:sz="4" w:space="0" w:color="D2C9B8"/>
                    <w:right w:val="single" w:sz="4" w:space="0" w:color="D2C9B8"/>
                  </w:tcBorders>
                </w:tcPr>
                <w:p w14:paraId="4B0874C0" w14:textId="77777777" w:rsidR="005A5FCC" w:rsidRDefault="00A21C81">
                  <w:pPr>
                    <w:spacing w:before="20" w:after="20" w:line="240" w:lineRule="auto"/>
                    <w:jc w:val="left"/>
                  </w:pPr>
                  <w:r>
                    <w:rPr>
                      <w:rFonts w:cs="EB Garamond"/>
                      <w:kern w:val="16"/>
                      <w:sz w:val="16"/>
                      <w14:ligatures w14:val="standardContextual"/>
                    </w:rPr>
                    <w:t>Cessa no mês seguinte</w:t>
                  </w:r>
                </w:p>
              </w:tc>
            </w:tr>
            <w:tr w:rsidR="005A5FCC" w14:paraId="442ABE53"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5D482551" w14:textId="77777777" w:rsidR="005A5FCC" w:rsidRDefault="00A21C81">
                  <w:pPr>
                    <w:spacing w:before="20" w:after="20" w:line="240" w:lineRule="auto"/>
                    <w:jc w:val="left"/>
                  </w:pPr>
                  <w:r>
                    <w:rPr>
                      <w:rFonts w:cs="EB Garamond"/>
                      <w:kern w:val="16"/>
                      <w:sz w:val="16"/>
                      <w14:ligatures w14:val="standardContextual"/>
                    </w:rPr>
                    <w:t>Filho completa 14 anos</w:t>
                  </w:r>
                </w:p>
              </w:tc>
              <w:tc>
                <w:tcPr>
                  <w:tcW w:w="3175" w:type="dxa"/>
                  <w:tcBorders>
                    <w:top w:val="single" w:sz="4" w:space="0" w:color="D2C9B8"/>
                    <w:left w:val="single" w:sz="4" w:space="0" w:color="D2C9B8"/>
                    <w:bottom w:val="single" w:sz="4" w:space="0" w:color="D2C9B8"/>
                    <w:right w:val="single" w:sz="4" w:space="0" w:color="D2C9B8"/>
                  </w:tcBorders>
                </w:tcPr>
                <w:p w14:paraId="33CC6AD2" w14:textId="77777777" w:rsidR="005A5FCC" w:rsidRDefault="00A21C81">
                  <w:pPr>
                    <w:spacing w:before="20" w:after="20" w:line="240" w:lineRule="auto"/>
                    <w:jc w:val="left"/>
                  </w:pPr>
                  <w:r>
                    <w:rPr>
                      <w:rFonts w:cs="EB Garamond"/>
                      <w:kern w:val="16"/>
                      <w:sz w:val="16"/>
                      <w14:ligatures w14:val="standardContextual"/>
                    </w:rPr>
                    <w:t>Cessa no mês seguinte (salvo invalidez)</w:t>
                  </w:r>
                </w:p>
              </w:tc>
            </w:tr>
            <w:tr w:rsidR="005A5FCC" w14:paraId="4430FD3D"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36D44D4B" w14:textId="77777777" w:rsidR="005A5FCC" w:rsidRDefault="00A21C81">
                  <w:pPr>
                    <w:spacing w:before="20" w:after="20" w:line="240" w:lineRule="auto"/>
                    <w:jc w:val="left"/>
                  </w:pPr>
                  <w:r>
                    <w:rPr>
                      <w:rFonts w:cs="EB Garamond"/>
                      <w:kern w:val="16"/>
                      <w:sz w:val="16"/>
                      <w14:ligatures w14:val="standardContextual"/>
                    </w:rPr>
                    <w:t>Cessação da invalidez</w:t>
                  </w:r>
                </w:p>
              </w:tc>
              <w:tc>
                <w:tcPr>
                  <w:tcW w:w="3175" w:type="dxa"/>
                  <w:tcBorders>
                    <w:top w:val="single" w:sz="4" w:space="0" w:color="D2C9B8"/>
                    <w:left w:val="single" w:sz="4" w:space="0" w:color="D2C9B8"/>
                    <w:bottom w:val="single" w:sz="4" w:space="0" w:color="D2C9B8"/>
                    <w:right w:val="single" w:sz="4" w:space="0" w:color="D2C9B8"/>
                  </w:tcBorders>
                </w:tcPr>
                <w:p w14:paraId="09A6199B" w14:textId="77777777" w:rsidR="005A5FCC" w:rsidRDefault="00A21C81">
                  <w:pPr>
                    <w:spacing w:before="20" w:after="20" w:line="240" w:lineRule="auto"/>
                    <w:jc w:val="left"/>
                  </w:pPr>
                  <w:r>
                    <w:rPr>
                      <w:rFonts w:cs="EB Garamond"/>
                      <w:kern w:val="16"/>
                      <w:sz w:val="16"/>
                      <w14:ligatures w14:val="standardContextual"/>
                    </w:rPr>
                    <w:t>Cessa no mês seguinte</w:t>
                  </w:r>
                </w:p>
              </w:tc>
            </w:tr>
            <w:tr w:rsidR="005A5FCC" w14:paraId="38EB2286"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266FF443" w14:textId="77777777" w:rsidR="005A5FCC" w:rsidRDefault="00A21C81">
                  <w:pPr>
                    <w:spacing w:before="20" w:after="20" w:line="240" w:lineRule="auto"/>
                    <w:jc w:val="left"/>
                  </w:pPr>
                  <w:r>
                    <w:rPr>
                      <w:rFonts w:cs="EB Garamond"/>
                      <w:kern w:val="16"/>
                      <w:sz w:val="16"/>
                      <w14:ligatures w14:val="standardContextual"/>
                    </w:rPr>
                    <w:t>Morte do segurado</w:t>
                  </w:r>
                </w:p>
              </w:tc>
              <w:tc>
                <w:tcPr>
                  <w:tcW w:w="3175" w:type="dxa"/>
                  <w:tcBorders>
                    <w:top w:val="single" w:sz="4" w:space="0" w:color="D2C9B8"/>
                    <w:left w:val="single" w:sz="4" w:space="0" w:color="D2C9B8"/>
                    <w:bottom w:val="single" w:sz="4" w:space="0" w:color="D2C9B8"/>
                    <w:right w:val="single" w:sz="4" w:space="0" w:color="D2C9B8"/>
                  </w:tcBorders>
                </w:tcPr>
                <w:p w14:paraId="2FFA85C8" w14:textId="77777777" w:rsidR="005A5FCC" w:rsidRDefault="00A21C81">
                  <w:pPr>
                    <w:spacing w:before="20" w:after="20" w:line="240" w:lineRule="auto"/>
                    <w:jc w:val="left"/>
                  </w:pPr>
                  <w:r>
                    <w:rPr>
                      <w:rFonts w:cs="EB Garamond"/>
                      <w:kern w:val="16"/>
                      <w:sz w:val="16"/>
                      <w14:ligatures w14:val="standardContextual"/>
                    </w:rPr>
                    <w:t>Cessa imediatamente</w:t>
                  </w:r>
                </w:p>
              </w:tc>
            </w:tr>
            <w:tr w:rsidR="005A5FCC" w14:paraId="314D1272"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2F98327E" w14:textId="77777777" w:rsidR="005A5FCC" w:rsidRDefault="00A21C81">
                  <w:pPr>
                    <w:spacing w:before="20" w:after="20" w:line="240" w:lineRule="auto"/>
                    <w:jc w:val="left"/>
                  </w:pPr>
                  <w:r>
                    <w:rPr>
                      <w:rFonts w:cs="EB Garamond"/>
                      <w:kern w:val="16"/>
                      <w:sz w:val="16"/>
                      <w14:ligatures w14:val="standardContextual"/>
                    </w:rPr>
                    <w:t>Remuneração acima do teto</w:t>
                  </w:r>
                </w:p>
              </w:tc>
              <w:tc>
                <w:tcPr>
                  <w:tcW w:w="3175" w:type="dxa"/>
                  <w:tcBorders>
                    <w:top w:val="single" w:sz="4" w:space="0" w:color="D2C9B8"/>
                    <w:left w:val="single" w:sz="4" w:space="0" w:color="D2C9B8"/>
                    <w:bottom w:val="single" w:sz="4" w:space="0" w:color="D2C9B8"/>
                    <w:right w:val="single" w:sz="4" w:space="0" w:color="D2C9B8"/>
                  </w:tcBorders>
                </w:tcPr>
                <w:p w14:paraId="7CD5CE02" w14:textId="77777777" w:rsidR="005A5FCC" w:rsidRDefault="00A21C81">
                  <w:pPr>
                    <w:spacing w:before="20" w:after="20" w:line="240" w:lineRule="auto"/>
                    <w:jc w:val="left"/>
                  </w:pPr>
                  <w:r>
                    <w:rPr>
                      <w:rFonts w:cs="EB Garamond"/>
                      <w:kern w:val="16"/>
                      <w:sz w:val="16"/>
                      <w14:ligatures w14:val="standardContextual"/>
                    </w:rPr>
                    <w:t>Suspensão enquanto perdurar</w:t>
                  </w:r>
                </w:p>
              </w:tc>
            </w:tr>
            <w:tr w:rsidR="005A5FCC" w14:paraId="1AD457AF"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74C972A8" w14:textId="77777777" w:rsidR="005A5FCC" w:rsidRDefault="00A21C81">
                  <w:pPr>
                    <w:spacing w:before="20" w:after="20" w:line="240" w:lineRule="auto"/>
                    <w:jc w:val="left"/>
                  </w:pPr>
                  <w:r>
                    <w:rPr>
                      <w:rFonts w:cs="EB Garamond"/>
                      <w:kern w:val="16"/>
                      <w:sz w:val="16"/>
                      <w14:ligatures w14:val="standardContextual"/>
                    </w:rPr>
                    <w:t>Falta de vacinação/frequência escolar</w:t>
                  </w:r>
                </w:p>
              </w:tc>
              <w:tc>
                <w:tcPr>
                  <w:tcW w:w="3175" w:type="dxa"/>
                  <w:tcBorders>
                    <w:top w:val="single" w:sz="4" w:space="0" w:color="D2C9B8"/>
                    <w:left w:val="single" w:sz="4" w:space="0" w:color="D2C9B8"/>
                    <w:bottom w:val="single" w:sz="4" w:space="0" w:color="D2C9B8"/>
                    <w:right w:val="single" w:sz="4" w:space="0" w:color="D2C9B8"/>
                  </w:tcBorders>
                </w:tcPr>
                <w:p w14:paraId="6F408FAA" w14:textId="77777777" w:rsidR="005A5FCC" w:rsidRDefault="00A21C81">
                  <w:pPr>
                    <w:spacing w:before="20" w:after="20" w:line="240" w:lineRule="auto"/>
                    <w:jc w:val="left"/>
                  </w:pPr>
                  <w:r>
                    <w:rPr>
                      <w:rFonts w:cs="EB Garamond"/>
                      <w:kern w:val="16"/>
                      <w:sz w:val="16"/>
                      <w14:ligatures w14:val="standardContextual"/>
                    </w:rPr>
                    <w:t>Suspensão até regularização</w:t>
                  </w:r>
                </w:p>
              </w:tc>
            </w:tr>
          </w:tbl>
          <w:p w14:paraId="5F348FD7" w14:textId="77777777" w:rsidR="005A5FCC" w:rsidRDefault="005A5FCC"/>
          <w:p w14:paraId="7E7F1EF1" w14:textId="77777777" w:rsidR="005A5FCC" w:rsidRDefault="005A5FCC">
            <w:pPr>
              <w:spacing w:after="0" w:line="240" w:lineRule="auto"/>
            </w:pPr>
          </w:p>
        </w:tc>
      </w:tr>
    </w:tbl>
    <w:p w14:paraId="5235A104" w14:textId="77777777" w:rsidR="005A5FCC" w:rsidRDefault="005A5FCC">
      <w:pPr>
        <w:spacing w:after="80" w:line="240" w:lineRule="auto"/>
      </w:pPr>
    </w:p>
    <w:p w14:paraId="2D88C643" w14:textId="77777777" w:rsidR="005A5FCC" w:rsidRDefault="005A5FCC">
      <w:pPr>
        <w:sectPr w:rsidR="005A5FCC">
          <w:headerReference w:type="even" r:id="rId162"/>
          <w:headerReference w:type="default" r:id="rId163"/>
          <w:footerReference w:type="even" r:id="rId164"/>
          <w:footerReference w:type="default" r:id="rId165"/>
          <w:headerReference w:type="first" r:id="rId166"/>
          <w:footerReference w:type="first" r:id="rId167"/>
          <w:pgSz w:w="8391" w:h="11906"/>
          <w:pgMar w:top="935" w:right="879" w:bottom="964" w:left="1162" w:header="454" w:footer="425" w:gutter="0"/>
          <w:cols w:space="720"/>
          <w:titlePg/>
          <w:docGrid w:linePitch="360"/>
        </w:sectPr>
      </w:pPr>
    </w:p>
    <w:p w14:paraId="732ABBEC" w14:textId="77777777" w:rsidR="005A5FCC" w:rsidRDefault="00A21C81">
      <w:pPr>
        <w:keepNext/>
        <w:spacing w:before="240" w:after="80" w:line="240" w:lineRule="auto"/>
        <w:jc w:val="center"/>
      </w:pPr>
      <w:r>
        <w:rPr>
          <w:rFonts w:ascii="Noto Sans" w:hAnsi="Noto Sans" w:cs="Noto Sans"/>
          <w:b/>
          <w:caps/>
          <w:color w:val="8A6A2A"/>
          <w:kern w:val="16"/>
          <w:sz w:val="19"/>
          <w14:ligatures w14:val="standardContextual"/>
        </w:rPr>
        <w:lastRenderedPageBreak/>
        <w:t>CAPÍTULO 16</w:t>
      </w:r>
    </w:p>
    <w:p w14:paraId="497846CB" w14:textId="77777777" w:rsidR="005A5FCC" w:rsidRDefault="00A21C81">
      <w:pPr>
        <w:pStyle w:val="Ttulo2"/>
        <w:spacing w:line="240" w:lineRule="auto"/>
      </w:pPr>
      <w:r>
        <w:rPr>
          <w:rFonts w:ascii="EB Garamond" w:hAnsi="EB Garamond" w:cs="EB Garamond"/>
          <w:caps/>
          <w:kern w:val="16"/>
          <w14:ligatures w14:val="standardContextual"/>
        </w:rPr>
        <w:t>Cálculo do Benefício: Salário de Benefício e RMI</w:t>
      </w:r>
    </w:p>
    <w:p w14:paraId="2640AF8A" w14:textId="77777777" w:rsidR="005A5FCC" w:rsidRDefault="00A21C81">
      <w:pPr>
        <w:spacing w:after="240" w:line="240" w:lineRule="auto"/>
        <w:jc w:val="center"/>
      </w:pPr>
      <w:r>
        <w:rPr>
          <w:rFonts w:cs="EB Garamond"/>
          <w:color w:val="B78B37"/>
          <w:kern w:val="16"/>
          <w:sz w:val="18"/>
          <w14:ligatures w14:val="standardContextual"/>
        </w:rPr>
        <w:t>━━━━  ◆  ━━━━</w:t>
      </w:r>
    </w:p>
    <w:p w14:paraId="1A9B1A26" w14:textId="77D4232E" w:rsidR="005A5FCC" w:rsidRDefault="00D2275F">
      <w:pPr>
        <w:keepNext/>
        <w:pBdr>
          <w:bottom w:val="single" w:sz="8" w:space="4" w:color="B89B5E"/>
        </w:pBdr>
        <w:spacing w:before="360" w:after="140" w:line="240" w:lineRule="auto"/>
        <w:jc w:val="left"/>
      </w:pPr>
      <w:r>
        <w:rPr>
          <w:rFonts w:cs="EB Garamond"/>
          <w:b/>
          <w:color w:val="3A3128"/>
          <w:kern w:val="16"/>
          <w:sz w:val="31"/>
          <w14:ligatures w14:val="standardContextual"/>
        </w:rPr>
        <w:t xml:space="preserve">16.1 </w:t>
      </w:r>
      <w:r w:rsidR="00A21C81">
        <w:rPr>
          <w:rFonts w:cs="EB Garamond"/>
          <w:b/>
          <w:color w:val="3A3128"/>
          <w:kern w:val="16"/>
          <w:sz w:val="31"/>
          <w14:ligatures w14:val="standardContextual"/>
        </w:rPr>
        <w:t>Introdução</w:t>
      </w:r>
    </w:p>
    <w:p w14:paraId="4B46F58D"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7C470294" w14:textId="77777777" w:rsidR="005A5FCC" w:rsidRDefault="00A21C81">
      <w:r>
        <w:rPr>
          <w:rFonts w:cs="EB Garamond"/>
          <w:kern w:val="16"/>
          <w14:ligatures w14:val="standardContextual"/>
        </w:rPr>
        <w:t xml:space="preserve"> cálculo do benefício previdenciário é, na prática forense, o ponto de convergência entre a norma abstrata e a realidade patrimonial do segurado. Quando o magistrado fixa uma renda mensal inicial, define um valor que acompanhará o beneficiário por décadas — frequentemente pelo restante de sua vida. Quando o advogado impugna o cálculo administrativo, questiona a forma como o INSS traduziu em números o histórico contributivo de seu cliente. Quando a autarquia aplica a fórmula legal, faz escolhas interpretativas que nem sempre coincidem com a leitura mais favorável ao segurado. Por essa razão, as controvérsias sobre cálculo do benefício representam parcela expressiva das demandas que tramitam nos Juizados Especiais Federais.</w:t>
      </w:r>
    </w:p>
    <w:p w14:paraId="4B3AD83C" w14:textId="77777777" w:rsidR="005A5FCC" w:rsidRDefault="00A21C81">
      <w:pPr>
        <w:ind w:firstLine="238"/>
      </w:pPr>
      <w:r>
        <w:rPr>
          <w:rFonts w:cs="EB Garamond"/>
          <w:kern w:val="16"/>
          <w14:ligatures w14:val="standardContextual"/>
        </w:rPr>
        <w:t>A experiência jurisdicional demonstra que os erros de cálculo administrativo não são excepcionais. Pelo contrário, constituem causa recorrente de judicialização. Salários de contribuição não atualizados pelo índice correto, períodos contributivos omitidos do CNIS, aplicação equivocada do fator previdenciário, utilização de coeficiente inferior ao devido, incidência prematura do teto sobre o salário de benefício em vez de sobre a renda mensal inicial — são falhas que se repetem com frequência nos processos administrativos e que, uma vez identificadas, justificam a concessão judicial de diferenças expressivas em favor do segurado.</w:t>
      </w:r>
    </w:p>
    <w:p w14:paraId="2B864200" w14:textId="77777777" w:rsidR="005A5FCC" w:rsidRDefault="00A21C81">
      <w:pPr>
        <w:ind w:firstLine="238"/>
      </w:pPr>
      <w:r>
        <w:rPr>
          <w:rFonts w:cs="EB Garamond"/>
          <w:kern w:val="16"/>
          <w14:ligatures w14:val="standardContextual"/>
        </w:rPr>
        <w:t xml:space="preserve">Para o magistrado, o domínio das regras de cálculo é condição indispensável ao exercício da jurisdição previdenciária. Não basta reconhecer o direito ao benefício: é preciso verificar se o valor fixado pelo INSS corresponde ao que a lei determina, confrontar a memória de cálculo apresentada pela autarquia com os dados do CNIS, identificar eventuais vícios na apuração do salário de benefício e </w:t>
      </w:r>
      <w:r>
        <w:rPr>
          <w:rFonts w:cs="EB Garamond"/>
          <w:kern w:val="16"/>
          <w14:ligatures w14:val="standardContextual"/>
        </w:rPr>
        <w:lastRenderedPageBreak/>
        <w:t>assegurar que a renda mensal inicial respeite tanto o piso constitucional quanto o teto do RGPS. Essa tarefa exige familiaridade com conceitos técnicos, salário de contribuição, período básico de cálculo, fator previdenciário, coeficiente de cálculo, que serão sistematizados nas seções seguintes.</w:t>
      </w:r>
    </w:p>
    <w:p w14:paraId="589EC96C" w14:textId="77777777" w:rsidR="005A5FCC" w:rsidRDefault="00A21C81">
      <w:pPr>
        <w:ind w:firstLine="238"/>
      </w:pPr>
      <w:r>
        <w:rPr>
          <w:rFonts w:cs="EB Garamond"/>
          <w:kern w:val="16"/>
          <w14:ligatures w14:val="standardContextual"/>
        </w:rPr>
        <w:t>Este capítulo reúne a teoria geral do cálculo do benefício, desde a evolução legislativa do salário de benefício e do período básico de cálculo até o fator previdenciário, o coeficiente de 60% + 2%, o quadro unificado da RMI, as regras de teto e piso, o reajustamento, a correção monetária dos salários de contribuição, as atividades concomitantes, a Revisão da Vida Toda e a memória de cálculo nos JEFs.</w:t>
      </w:r>
    </w:p>
    <w:p w14:paraId="5EA222C1"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16.2 Conceito e evolução do salário de benefício</w:t>
      </w:r>
    </w:p>
    <w:p w14:paraId="0D1C1CE2"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0A8CCA9E" w14:textId="77777777" w:rsidR="005A5FCC" w:rsidRDefault="00A21C81">
      <w:r>
        <w:rPr>
          <w:rFonts w:cs="EB Garamond"/>
          <w:kern w:val="16"/>
          <w14:ligatures w14:val="standardContextual"/>
        </w:rPr>
        <w:t xml:space="preserve"> salário de benefício, conforme ensinam Castro e Lazzari (2025), é a grandeza intermediária entre os salários de contribuição efetivamente recolhidos pelo segurado e a renda mensal que ele perceberá a título de benefício previdenciário. Compreender essa posição intermediária é essencial para evitar confusões terminológicas que, na prática, geram erros de cálculo.</w:t>
      </w:r>
    </w:p>
    <w:p w14:paraId="5645D1EF" w14:textId="3E626120" w:rsidR="005A5FCC" w:rsidRDefault="00A21C81">
      <w:pPr>
        <w:ind w:firstLine="238"/>
      </w:pPr>
      <w:r>
        <w:rPr>
          <w:rFonts w:cs="EB Garamond"/>
          <w:kern w:val="16"/>
          <w14:ligatures w14:val="standardContextual"/>
        </w:rPr>
        <w:t>O salário de contribuição, disciplinado no art. 28 da Lei n. 8.212, de 24 de julho de 1991, é a base sobre a qual incide a contribuição previdenciária do segurado. Corresponde, em regra, à remuneração mensal do empregado, ao pró-labore do contribuinte individual ou ao valor declarado pelo segurado facultativo, sempre dentro dos limites mínimo (</w:t>
      </w:r>
      <w:r w:rsidR="00915EE8">
        <w:rPr>
          <w:rFonts w:cs="EB Garamond"/>
          <w:kern w:val="16"/>
          <w14:ligatures w14:val="standardContextual"/>
        </w:rPr>
        <w:t>salário-mínimo</w:t>
      </w:r>
      <w:r>
        <w:rPr>
          <w:rFonts w:cs="EB Garamond"/>
          <w:kern w:val="16"/>
          <w14:ligatures w14:val="standardContextual"/>
        </w:rPr>
        <w:t>) e máximo (teto do RGPS). Trata-se do insumo do cálculo: cada mês de contribuição gera um registro de salário de contribuição no CNIS, compondo o histórico contributivo do segurado.</w:t>
      </w:r>
    </w:p>
    <w:p w14:paraId="4F93A30D" w14:textId="77777777" w:rsidR="005A5FCC" w:rsidRDefault="00A21C81">
      <w:pPr>
        <w:ind w:firstLine="238"/>
      </w:pPr>
      <w:r>
        <w:rPr>
          <w:rFonts w:cs="EB Garamond"/>
          <w:kern w:val="16"/>
          <w14:ligatures w14:val="standardContextual"/>
        </w:rPr>
        <w:t>O salário de benefício, por sua vez, é a média dos salários de contribuição apurada segundo a regra vigente na data do fato gerador. É o resultado da aplicação de uma fórmula de cálculo sobre o conjunto dos salários de contribuição que integram o período básico de cálculo. O salário de benefício não é diretamente pago ao segurado: funciona como base de cálculo sobre a qual se aplica o coeficiente específico de cada espécie de benefício.</w:t>
      </w:r>
    </w:p>
    <w:p w14:paraId="6DE312C5" w14:textId="3C99AA5A" w:rsidR="005A5FCC" w:rsidRDefault="00A21C81">
      <w:pPr>
        <w:ind w:firstLine="238"/>
      </w:pPr>
      <w:r>
        <w:rPr>
          <w:rFonts w:cs="EB Garamond"/>
          <w:kern w:val="16"/>
          <w14:ligatures w14:val="standardContextual"/>
        </w:rPr>
        <w:lastRenderedPageBreak/>
        <w:t>A renda mensal inicial é o valor efetivamente devido ao segurado no mês de início do benefício. Corresponde ao salário de benefício multiplicado pelo coeficiente de cálculo da espécie — 60% + 2% na aposentadoria programada, 91% no auxílio por incapacidade temporária, 50% no auxílio-acidente, e assim por diante. A RMI é o número que aparece na carta de concessão e que será reajustado anualmente. É sobre a RMI que incidem o piso (</w:t>
      </w:r>
      <w:r w:rsidR="00A46BE4">
        <w:rPr>
          <w:rFonts w:cs="EB Garamond"/>
          <w:kern w:val="16"/>
          <w14:ligatures w14:val="standardContextual"/>
        </w:rPr>
        <w:t>salário-mínimo</w:t>
      </w:r>
      <w:r>
        <w:rPr>
          <w:rFonts w:cs="EB Garamond"/>
          <w:kern w:val="16"/>
          <w14:ligatures w14:val="standardContextual"/>
        </w:rPr>
        <w:t>) e o teto (teto do RGPS), embora o teto também incida sobre o próprio salário de benefício (conforme analisaremos na seção 16.7).</w:t>
      </w:r>
    </w:p>
    <w:p w14:paraId="3B5402BB" w14:textId="77777777" w:rsidR="005A5FCC" w:rsidRDefault="00A21C81">
      <w:pPr>
        <w:ind w:firstLine="238"/>
      </w:pPr>
      <w:r>
        <w:rPr>
          <w:rFonts w:cs="EB Garamond"/>
          <w:kern w:val="16"/>
          <w14:ligatures w14:val="standardContextual"/>
        </w:rPr>
        <w:t>A evolução legislativa do salário de benefício percorreu três marcos fundamentais, cada qual redefinindo a fórmula de apuração da média contributiva.</w:t>
      </w:r>
    </w:p>
    <w:p w14:paraId="20F9A0D1" w14:textId="77777777" w:rsidR="005A5FCC" w:rsidRDefault="00A21C81">
      <w:pPr>
        <w:ind w:firstLine="238"/>
      </w:pPr>
      <w:r>
        <w:rPr>
          <w:rFonts w:cs="EB Garamond"/>
          <w:kern w:val="16"/>
          <w14:ligatures w14:val="standardContextual"/>
        </w:rPr>
        <w:t>Na redação original da Lei n. 8.213/91, o salário de benefício correspondia à média aritmética simples dos últimos 36 salários de contribuição, corrigidos monetariamente, apurados em período não superior a 48 meses (art. 29, caput, redação original). Essa fórmula era de cálculo relativamente simples e favorecia o segurado com trajetória contributiva crescente, pois considerava apenas os salários mais recentes, presumivelmente os mais elevados.</w:t>
      </w:r>
    </w:p>
    <w:p w14:paraId="239B4672" w14:textId="77777777" w:rsidR="005A5FCC" w:rsidRDefault="00A21C81">
      <w:pPr>
        <w:ind w:firstLine="238"/>
      </w:pPr>
      <w:r>
        <w:rPr>
          <w:rFonts w:cs="EB Garamond"/>
          <w:kern w:val="16"/>
          <w14:ligatures w14:val="standardContextual"/>
        </w:rPr>
        <w:t>A Lei n. 9.876, de 26 de novembro de 1999, alterou profundamente a sistemática. O novo art. 29 da Lei n. 8.213/91 passou a definir o salário de benefício como a média aritmética simples dos maiores salários de contribuição correspondentes a oitenta por cento de todo o período contributivo, desde a competência julho de 1994 (início do Plano Real). Essa mudança ampliou drasticamente o período de apuração, de 36 meses para potencialmente centenas de meses, e introduziu o mecanismo de descarte dos 20% menores salários de contribuição, que funcionava como fator de proteção ao segurado: os meses de contribuição mais baixa (início de carreira, períodos de subemprego, contribuições sobre o mínimo) eram eliminados do cálculo.</w:t>
      </w:r>
    </w:p>
    <w:p w14:paraId="16EA590F" w14:textId="77777777" w:rsidR="005A5FCC" w:rsidRDefault="00A21C81">
      <w:pPr>
        <w:ind w:firstLine="238"/>
      </w:pPr>
      <w:r>
        <w:rPr>
          <w:rFonts w:cs="EB Garamond"/>
          <w:kern w:val="16"/>
          <w14:ligatures w14:val="standardContextual"/>
        </w:rPr>
        <w:t xml:space="preserve">A Emenda Constitucional n. 103, de 12 de novembro de 2019, introduziu o terceiro e atual marco. O art. 26, caput, da EC 103 determina que o salário de benefício corresponde à média aritmética simples de todos os salários de contribuição desde julho de 1994, sem qualquer descarte. A eliminação da regra dos 80% maiores significou a inclusão, no cálculo, de todos os meses de contribuição, inclusive os de valor mais baixo. O impacto prático foi a redução do salário de </w:t>
      </w:r>
      <w:r>
        <w:rPr>
          <w:rFonts w:cs="EB Garamond"/>
          <w:kern w:val="16"/>
          <w14:ligatures w14:val="standardContextual"/>
        </w:rPr>
        <w:lastRenderedPageBreak/>
        <w:t>benefício para a maioria dos segurados com trajetória contributiva irregular, conforme analisaremos na seção 16.3.</w:t>
      </w:r>
    </w:p>
    <w:tbl>
      <w:tblPr>
        <w:tblW w:w="5000" w:type="pct"/>
        <w:jc w:val="center"/>
        <w:tblLayout w:type="fixed"/>
        <w:tblLook w:val="04A0" w:firstRow="1" w:lastRow="0" w:firstColumn="1" w:lastColumn="0" w:noHBand="0" w:noVBand="1"/>
      </w:tblPr>
      <w:tblGrid>
        <w:gridCol w:w="6311"/>
      </w:tblGrid>
      <w:tr w:rsidR="005A5FCC" w14:paraId="1DA3ACB5" w14:textId="77777777">
        <w:trPr>
          <w:cantSplit/>
          <w:jc w:val="center"/>
        </w:trPr>
        <w:tc>
          <w:tcPr>
            <w:tcW w:w="6350" w:type="dxa"/>
            <w:tcBorders>
              <w:top w:val="single" w:sz="7" w:space="0" w:color="A09882"/>
              <w:left w:val="single" w:sz="24" w:space="0" w:color="6B6256"/>
              <w:bottom w:val="single" w:sz="7" w:space="0" w:color="A09882"/>
              <w:right w:val="single" w:sz="7" w:space="0" w:color="A09882"/>
            </w:tcBorders>
            <w:shd w:val="clear" w:color="auto" w:fill="F5F3EF"/>
            <w:tcMar>
              <w:top w:w="150" w:type="dxa"/>
              <w:left w:w="220" w:type="dxa"/>
              <w:bottom w:w="150" w:type="dxa"/>
              <w:right w:w="180" w:type="dxa"/>
            </w:tcMar>
          </w:tcPr>
          <w:p w14:paraId="37675F87" w14:textId="77777777" w:rsidR="005A5FCC" w:rsidRDefault="00A21C81">
            <w:pPr>
              <w:spacing w:after="60" w:line="240" w:lineRule="auto"/>
              <w:jc w:val="left"/>
            </w:pPr>
            <w:r>
              <w:rPr>
                <w:rFonts w:ascii="Noto Sans" w:hAnsi="Noto Sans" w:cs="Noto Sans"/>
                <w:b/>
                <w:caps/>
                <w:color w:val="6B6256"/>
                <w:kern w:val="16"/>
                <w:sz w:val="16"/>
                <w14:ligatures w14:val="standardContextual"/>
              </w:rPr>
              <w:t>QUADRO</w:t>
            </w:r>
          </w:p>
          <w:p w14:paraId="13C89809" w14:textId="77777777" w:rsidR="005A5FCC" w:rsidRDefault="00A21C81">
            <w:pPr>
              <w:spacing w:after="60" w:line="247" w:lineRule="auto"/>
            </w:pPr>
            <w:r>
              <w:rPr>
                <w:rFonts w:cs="EB Garamond"/>
                <w:b/>
                <w:kern w:val="16"/>
                <w:sz w:val="19"/>
                <w14:ligatures w14:val="standardContextual"/>
              </w:rPr>
              <w:t>Quadro 16.1 — Evolução legislativa do salário de benefício</w:t>
            </w:r>
          </w:p>
          <w:tbl>
            <w:tblPr>
              <w:tblW w:w="5000" w:type="pct"/>
              <w:jc w:val="center"/>
              <w:tblLook w:val="04A0" w:firstRow="1" w:lastRow="0" w:firstColumn="1" w:lastColumn="0" w:noHBand="0" w:noVBand="1"/>
            </w:tblPr>
            <w:tblGrid>
              <w:gridCol w:w="1967"/>
              <w:gridCol w:w="1967"/>
              <w:gridCol w:w="1967"/>
            </w:tblGrid>
            <w:tr w:rsidR="005A5FCC" w14:paraId="26B5EAF2" w14:textId="77777777">
              <w:trPr>
                <w:tblHeader/>
                <w:jc w:val="center"/>
              </w:trPr>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117D4A85" w14:textId="77777777" w:rsidR="005A5FCC" w:rsidRDefault="00A21C81">
                  <w:pPr>
                    <w:spacing w:before="30" w:after="30" w:line="240" w:lineRule="auto"/>
                    <w:jc w:val="center"/>
                  </w:pPr>
                  <w:r>
                    <w:rPr>
                      <w:rFonts w:cs="EB Garamond"/>
                      <w:b/>
                      <w:color w:val="2F2923"/>
                      <w:kern w:val="16"/>
                      <w:sz w:val="16"/>
                      <w14:ligatures w14:val="standardContextual"/>
                    </w:rPr>
                    <w:t>Período</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0EA07B1B" w14:textId="77777777" w:rsidR="005A5FCC" w:rsidRDefault="00A21C81">
                  <w:pPr>
                    <w:spacing w:before="30" w:after="30" w:line="240" w:lineRule="auto"/>
                    <w:jc w:val="center"/>
                  </w:pPr>
                  <w:r>
                    <w:rPr>
                      <w:rFonts w:cs="EB Garamond"/>
                      <w:b/>
                      <w:color w:val="2F2923"/>
                      <w:kern w:val="16"/>
                      <w:sz w:val="16"/>
                      <w14:ligatures w14:val="standardContextual"/>
                    </w:rPr>
                    <w:t>Norma</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3D9F636C" w14:textId="77777777" w:rsidR="005A5FCC" w:rsidRDefault="00A21C81">
                  <w:pPr>
                    <w:spacing w:before="30" w:after="30" w:line="240" w:lineRule="auto"/>
                    <w:jc w:val="center"/>
                  </w:pPr>
                  <w:r>
                    <w:rPr>
                      <w:rFonts w:cs="EB Garamond"/>
                      <w:b/>
                      <w:color w:val="2F2923"/>
                      <w:kern w:val="16"/>
                      <w:sz w:val="16"/>
                      <w14:ligatures w14:val="standardContextual"/>
                    </w:rPr>
                    <w:t>Fórmula do SB</w:t>
                  </w:r>
                </w:p>
              </w:tc>
            </w:tr>
            <w:tr w:rsidR="005A5FCC" w14:paraId="7BA4C526"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2C030F0C" w14:textId="77777777" w:rsidR="005A5FCC" w:rsidRDefault="00A21C81">
                  <w:pPr>
                    <w:spacing w:before="20" w:after="20" w:line="240" w:lineRule="auto"/>
                    <w:jc w:val="left"/>
                  </w:pPr>
                  <w:r>
                    <w:rPr>
                      <w:rFonts w:cs="EB Garamond"/>
                      <w:kern w:val="16"/>
                      <w:sz w:val="16"/>
                      <w14:ligatures w14:val="standardContextual"/>
                    </w:rPr>
                    <w:t>1991–1999</w:t>
                  </w:r>
                </w:p>
              </w:tc>
              <w:tc>
                <w:tcPr>
                  <w:tcW w:w="2117" w:type="dxa"/>
                  <w:tcBorders>
                    <w:top w:val="single" w:sz="4" w:space="0" w:color="D2C9B8"/>
                    <w:left w:val="single" w:sz="4" w:space="0" w:color="D2C9B8"/>
                    <w:bottom w:val="single" w:sz="4" w:space="0" w:color="D2C9B8"/>
                    <w:right w:val="single" w:sz="4" w:space="0" w:color="D2C9B8"/>
                  </w:tcBorders>
                </w:tcPr>
                <w:p w14:paraId="0C64FDA1" w14:textId="77777777" w:rsidR="005A5FCC" w:rsidRDefault="00A21C81">
                  <w:pPr>
                    <w:spacing w:before="20" w:after="20" w:line="240" w:lineRule="auto"/>
                    <w:jc w:val="left"/>
                  </w:pPr>
                  <w:r>
                    <w:rPr>
                      <w:rFonts w:cs="EB Garamond"/>
                      <w:kern w:val="16"/>
                      <w:sz w:val="16"/>
                      <w14:ligatures w14:val="standardContextual"/>
                    </w:rPr>
                    <w:t>Lei 8.213/91 (redação original)</w:t>
                  </w:r>
                </w:p>
              </w:tc>
              <w:tc>
                <w:tcPr>
                  <w:tcW w:w="2117" w:type="dxa"/>
                  <w:tcBorders>
                    <w:top w:val="single" w:sz="4" w:space="0" w:color="D2C9B8"/>
                    <w:left w:val="single" w:sz="4" w:space="0" w:color="D2C9B8"/>
                    <w:bottom w:val="single" w:sz="4" w:space="0" w:color="D2C9B8"/>
                    <w:right w:val="single" w:sz="4" w:space="0" w:color="D2C9B8"/>
                  </w:tcBorders>
                </w:tcPr>
                <w:p w14:paraId="1962BACB" w14:textId="77777777" w:rsidR="005A5FCC" w:rsidRDefault="00A21C81">
                  <w:pPr>
                    <w:spacing w:before="20" w:after="20" w:line="240" w:lineRule="auto"/>
                    <w:jc w:val="left"/>
                  </w:pPr>
                  <w:r>
                    <w:rPr>
                      <w:rFonts w:cs="EB Garamond"/>
                      <w:kern w:val="16"/>
                      <w:sz w:val="16"/>
                      <w14:ligatures w14:val="standardContextual"/>
                    </w:rPr>
                    <w:t>Média dos últimos 36 SC, corrigidos, apurados em até 48 meses</w:t>
                  </w:r>
                </w:p>
              </w:tc>
            </w:tr>
            <w:tr w:rsidR="005A5FCC" w14:paraId="53D99555"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7B2C46FA" w14:textId="77777777" w:rsidR="005A5FCC" w:rsidRDefault="00A21C81">
                  <w:pPr>
                    <w:spacing w:before="20" w:after="20" w:line="240" w:lineRule="auto"/>
                    <w:jc w:val="left"/>
                  </w:pPr>
                  <w:r>
                    <w:rPr>
                      <w:rFonts w:cs="EB Garamond"/>
                      <w:kern w:val="16"/>
                      <w:sz w:val="16"/>
                      <w14:ligatures w14:val="standardContextual"/>
                    </w:rPr>
                    <w:t>1999–2019</w:t>
                  </w:r>
                </w:p>
              </w:tc>
              <w:tc>
                <w:tcPr>
                  <w:tcW w:w="2117" w:type="dxa"/>
                  <w:tcBorders>
                    <w:top w:val="single" w:sz="4" w:space="0" w:color="D2C9B8"/>
                    <w:left w:val="single" w:sz="4" w:space="0" w:color="D2C9B8"/>
                    <w:bottom w:val="single" w:sz="4" w:space="0" w:color="D2C9B8"/>
                    <w:right w:val="single" w:sz="4" w:space="0" w:color="D2C9B8"/>
                  </w:tcBorders>
                </w:tcPr>
                <w:p w14:paraId="6CABCE8B" w14:textId="77777777" w:rsidR="005A5FCC" w:rsidRDefault="00A21C81">
                  <w:pPr>
                    <w:spacing w:before="20" w:after="20" w:line="240" w:lineRule="auto"/>
                    <w:jc w:val="left"/>
                  </w:pPr>
                  <w:r>
                    <w:rPr>
                      <w:rFonts w:cs="EB Garamond"/>
                      <w:kern w:val="16"/>
                      <w:sz w:val="16"/>
                      <w14:ligatures w14:val="standardContextual"/>
                    </w:rPr>
                    <w:t>Lei 9.876/99 (novo art. 29)</w:t>
                  </w:r>
                </w:p>
              </w:tc>
              <w:tc>
                <w:tcPr>
                  <w:tcW w:w="2117" w:type="dxa"/>
                  <w:tcBorders>
                    <w:top w:val="single" w:sz="4" w:space="0" w:color="D2C9B8"/>
                    <w:left w:val="single" w:sz="4" w:space="0" w:color="D2C9B8"/>
                    <w:bottom w:val="single" w:sz="4" w:space="0" w:color="D2C9B8"/>
                    <w:right w:val="single" w:sz="4" w:space="0" w:color="D2C9B8"/>
                  </w:tcBorders>
                </w:tcPr>
                <w:p w14:paraId="161F8FBA" w14:textId="77777777" w:rsidR="005A5FCC" w:rsidRDefault="00A21C81">
                  <w:pPr>
                    <w:spacing w:before="20" w:after="20" w:line="240" w:lineRule="auto"/>
                    <w:jc w:val="left"/>
                  </w:pPr>
                  <w:r>
                    <w:rPr>
                      <w:rFonts w:cs="EB Garamond"/>
                      <w:kern w:val="16"/>
                      <w:sz w:val="16"/>
                      <w14:ligatures w14:val="standardContextual"/>
                    </w:rPr>
                    <w:t>Média dos 80% maiores SC desde jul/1994</w:t>
                  </w:r>
                </w:p>
              </w:tc>
            </w:tr>
            <w:tr w:rsidR="005A5FCC" w14:paraId="498531C5"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5D42B1A6" w14:textId="77777777" w:rsidR="005A5FCC" w:rsidRDefault="00A21C81">
                  <w:pPr>
                    <w:spacing w:before="20" w:after="20" w:line="240" w:lineRule="auto"/>
                    <w:jc w:val="left"/>
                  </w:pPr>
                  <w:r>
                    <w:rPr>
                      <w:rFonts w:cs="EB Garamond"/>
                      <w:kern w:val="16"/>
                      <w:sz w:val="16"/>
                      <w14:ligatures w14:val="standardContextual"/>
                    </w:rPr>
                    <w:t>2019–</w:t>
                  </w:r>
                </w:p>
              </w:tc>
              <w:tc>
                <w:tcPr>
                  <w:tcW w:w="2117" w:type="dxa"/>
                  <w:tcBorders>
                    <w:top w:val="single" w:sz="4" w:space="0" w:color="D2C9B8"/>
                    <w:left w:val="single" w:sz="4" w:space="0" w:color="D2C9B8"/>
                    <w:bottom w:val="single" w:sz="4" w:space="0" w:color="D2C9B8"/>
                    <w:right w:val="single" w:sz="4" w:space="0" w:color="D2C9B8"/>
                  </w:tcBorders>
                </w:tcPr>
                <w:p w14:paraId="62A609FD" w14:textId="77777777" w:rsidR="005A5FCC" w:rsidRDefault="00A21C81">
                  <w:pPr>
                    <w:spacing w:before="20" w:after="20" w:line="240" w:lineRule="auto"/>
                    <w:jc w:val="left"/>
                  </w:pPr>
                  <w:r>
                    <w:rPr>
                      <w:rFonts w:cs="EB Garamond"/>
                      <w:kern w:val="16"/>
                      <w:sz w:val="16"/>
                      <w14:ligatures w14:val="standardContextual"/>
                    </w:rPr>
                    <w:t>EC 103/2019 (art. 26)</w:t>
                  </w:r>
                </w:p>
              </w:tc>
              <w:tc>
                <w:tcPr>
                  <w:tcW w:w="2117" w:type="dxa"/>
                  <w:tcBorders>
                    <w:top w:val="single" w:sz="4" w:space="0" w:color="D2C9B8"/>
                    <w:left w:val="single" w:sz="4" w:space="0" w:color="D2C9B8"/>
                    <w:bottom w:val="single" w:sz="4" w:space="0" w:color="D2C9B8"/>
                    <w:right w:val="single" w:sz="4" w:space="0" w:color="D2C9B8"/>
                  </w:tcBorders>
                </w:tcPr>
                <w:p w14:paraId="16DA2334" w14:textId="77777777" w:rsidR="005A5FCC" w:rsidRDefault="00A21C81">
                  <w:pPr>
                    <w:spacing w:before="20" w:after="20" w:line="240" w:lineRule="auto"/>
                    <w:jc w:val="left"/>
                  </w:pPr>
                  <w:r>
                    <w:rPr>
                      <w:rFonts w:cs="EB Garamond"/>
                      <w:kern w:val="16"/>
                      <w:sz w:val="16"/>
                      <w14:ligatures w14:val="standardContextual"/>
                    </w:rPr>
                    <w:t>Média de 100% dos SC desde jul/1994</w:t>
                  </w:r>
                </w:p>
              </w:tc>
            </w:tr>
          </w:tbl>
          <w:p w14:paraId="15D32F08" w14:textId="77777777" w:rsidR="005A5FCC" w:rsidRDefault="005A5FCC"/>
          <w:p w14:paraId="61BFFEED" w14:textId="77777777" w:rsidR="005A5FCC" w:rsidRDefault="005A5FCC">
            <w:pPr>
              <w:spacing w:after="0" w:line="240" w:lineRule="auto"/>
            </w:pPr>
          </w:p>
        </w:tc>
      </w:tr>
    </w:tbl>
    <w:p w14:paraId="2B2550BB" w14:textId="77777777" w:rsidR="005A5FCC" w:rsidRDefault="005A5FCC">
      <w:pPr>
        <w:spacing w:after="80" w:line="240" w:lineRule="auto"/>
      </w:pPr>
    </w:p>
    <w:p w14:paraId="5196D985"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E</w:t>
      </w:r>
    </w:p>
    <w:p w14:paraId="23239703" w14:textId="77777777" w:rsidR="005A5FCC" w:rsidRDefault="00A21C81">
      <w:r>
        <w:rPr>
          <w:rFonts w:cs="EB Garamond"/>
          <w:kern w:val="16"/>
          <w14:ligatures w14:val="standardContextual"/>
        </w:rPr>
        <w:t>ssa progressão revela uma tendência clara de ampliação do período de cálculo e de redução dos mecanismos de proteção ao segurado. A fórmula original dos 36 últimos meses era generosa; a fórmula dos 80% maiores ainda preservava um filtro de proteção; a fórmula atual, sem descarte, é a menos favorável ao segurado com histórico contributivo heterogêneo.</w:t>
      </w:r>
    </w:p>
    <w:p w14:paraId="276523CF"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16.3 Período básico de cálculo (PBC)</w:t>
      </w:r>
    </w:p>
    <w:p w14:paraId="6E1B8E3E"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322CDCC1" w14:textId="77777777" w:rsidR="005A5FCC" w:rsidRDefault="00A21C81">
      <w:r>
        <w:rPr>
          <w:rFonts w:cs="EB Garamond"/>
          <w:kern w:val="16"/>
          <w14:ligatures w14:val="standardContextual"/>
        </w:rPr>
        <w:t xml:space="preserve"> período básico de cálculo é o intervalo temporal do qual se extraem os salários de contribuição utilizados na apuração do salário de benefício. A definição do PBC determina quais meses de contribuição são considerados, e, por consequência, quais são descartados, para fins de cálculo da média. As regras que disciplinam o PBC determinam a correta apuração do benefício, especialmente nos casos em que o segurado transita entre o regime anterior e o regime posterior à EC 103/2019.</w:t>
      </w:r>
    </w:p>
    <w:p w14:paraId="7E1DB83E" w14:textId="77777777" w:rsidR="005A5FCC" w:rsidRDefault="00A21C81">
      <w:pPr>
        <w:spacing w:before="260" w:after="80" w:line="240" w:lineRule="auto"/>
        <w:jc w:val="left"/>
      </w:pPr>
      <w:r>
        <w:rPr>
          <w:rFonts w:cs="EB Garamond"/>
          <w:b/>
          <w:color w:val="3A3128"/>
          <w:kern w:val="16"/>
          <w:sz w:val="25"/>
          <w14:ligatures w14:val="standardContextual"/>
        </w:rPr>
        <w:t>16.3.1 Regra pré-EC 103: os 80% maiores desde julho de 1994</w:t>
      </w:r>
    </w:p>
    <w:p w14:paraId="55322473"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P</w:t>
      </w:r>
    </w:p>
    <w:p w14:paraId="7FAD286A" w14:textId="77777777" w:rsidR="005A5FCC" w:rsidRDefault="00A21C81">
      <w:r>
        <w:rPr>
          <w:rFonts w:cs="EB Garamond"/>
          <w:kern w:val="16"/>
          <w14:ligatures w14:val="standardContextual"/>
        </w:rPr>
        <w:t>ara os benefícios com fato gerador anterior a 13 de novembro de 2019, e para os segurados que exercem direito adquirido à regra anterior, o PBC é composto pela totalidade dos salários de contribuição desde a competência julho de 1994 até o mês anterior ao do requerimento. Sobre esse universo, aplica-se o filtro de descarte: eliminam-se os 20% menores salários de contribuição, e a média aritmética é calculada sobre os 80% restantes.</w:t>
      </w:r>
    </w:p>
    <w:p w14:paraId="30F46624" w14:textId="77777777" w:rsidR="005A5FCC" w:rsidRDefault="00A21C81">
      <w:pPr>
        <w:ind w:firstLine="238"/>
      </w:pPr>
      <w:r>
        <w:rPr>
          <w:rFonts w:cs="EB Garamond"/>
          <w:kern w:val="16"/>
          <w14:ligatures w14:val="standardContextual"/>
        </w:rPr>
        <w:t>O marco inicial de julho de 1994 corresponde à implantação do Plano Real e foi fixado pela Lei n. 9.876/99 como ponto de partida do período contributivo relevante. A escolha não foi casual: antes do Plano Real, a hiperinflação brasileira comprometia a fidedignidade dos registros de salários de contribuição, tornando pouco confiável qualquer cálculo baseado em valores nominais anteriores à estabilização monetária. A fixação de julho de 1994 como termo a quo funcionou como um filtro de confiabilidade, assegurando que o cálculo se baseasse em salários de contribuição expressos em moeda estável. Esse marco temporal gerou, contudo, a situação peculiar dos segurados com longo período contributivo anterior a julho de 1994: suas contribuições pré-Plano Real, embora computadas para fins de tempo de contribuição, não ingressam no período básico de cálculo como salários de contribuição — o que pode favorecer ou prejudicar o segurado, conforme o perfil de sua trajetória remuneratória.</w:t>
      </w:r>
    </w:p>
    <w:p w14:paraId="2AFF41D4" w14:textId="77777777" w:rsidR="005A5FCC" w:rsidRDefault="00A21C81">
      <w:pPr>
        <w:ind w:firstLine="238"/>
      </w:pPr>
      <w:r>
        <w:rPr>
          <w:rFonts w:cs="EB Garamond"/>
          <w:kern w:val="16"/>
          <w14:ligatures w14:val="standardContextual"/>
        </w:rPr>
        <w:t>O descarte dos 20% menores salários de contribuição representava mecanismo de proteção ao segurado, eliminando do cálculo os meses de contribuição mais baixa. Esse filtro beneficiava especialmente os segurados com trajetória contributiva desigual — aqueles que alternaram períodos de emprego formal com salário elevado e períodos de contribuição sobre o mínimo ou de subemprego. Ao excluir os meses de menor valor, a fórmula aproximava o salário de benefício dos rendimentos habituais do segurado em seus melhores anos de contribuição.</w:t>
      </w:r>
    </w:p>
    <w:p w14:paraId="1D8D3830" w14:textId="77777777" w:rsidR="005A5FCC" w:rsidRDefault="00A21C81">
      <w:pPr>
        <w:ind w:firstLine="238"/>
      </w:pPr>
      <w:r>
        <w:rPr>
          <w:rFonts w:cs="EB Garamond"/>
          <w:kern w:val="16"/>
          <w14:ligatures w14:val="standardContextual"/>
        </w:rPr>
        <w:t>A lógica protetiva do descarte dos 20% menores tinha fundamento no princípio da preservação do valor real dos benefícios (art. 201, § 4º, CF): se o objetivo da previdência é assegurar renda compatível com o padrão de vida do segurado durante a atividade, faz sentido eliminar do cálculo os meses atípicos de contribuição reduzida.</w:t>
      </w:r>
    </w:p>
    <w:p w14:paraId="4DB13891" w14:textId="77777777" w:rsidR="005A5FCC" w:rsidRDefault="00A21C81">
      <w:pPr>
        <w:spacing w:before="260" w:after="80" w:line="240" w:lineRule="auto"/>
        <w:jc w:val="left"/>
      </w:pPr>
      <w:r>
        <w:rPr>
          <w:rFonts w:cs="EB Garamond"/>
          <w:b/>
          <w:color w:val="3A3128"/>
          <w:kern w:val="16"/>
          <w:sz w:val="25"/>
          <w14:ligatures w14:val="standardContextual"/>
        </w:rPr>
        <w:lastRenderedPageBreak/>
        <w:t>16.3.2 Regra pós-EC 103: a média de 100% desde julho de 1994</w:t>
      </w:r>
    </w:p>
    <w:p w14:paraId="22D3F62F"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389824F1" w14:textId="77777777" w:rsidR="005A5FCC" w:rsidRDefault="00A21C81">
      <w:r>
        <w:rPr>
          <w:rFonts w:cs="EB Garamond"/>
          <w:kern w:val="16"/>
          <w14:ligatures w14:val="standardContextual"/>
        </w:rPr>
        <w:t xml:space="preserve"> EC 103/2019 eliminou o descarte dos 20% menores, determinando que o salário de benefício corresponda à média aritmética simples de todos os salários de contribuição desde julho de 1994 (art. 26, caput). A mudança é significativa: os meses de contribuição mais baixa, antes excluídos, passam a integrar o cálculo, reduzindo a média para a maioria dos segurados com histórico contributivo irregular.</w:t>
      </w:r>
    </w:p>
    <w:p w14:paraId="3FCE1069" w14:textId="459C8754" w:rsidR="005A5FCC" w:rsidRDefault="00A21C81">
      <w:pPr>
        <w:ind w:firstLine="238"/>
      </w:pPr>
      <w:r>
        <w:rPr>
          <w:rFonts w:cs="EB Garamond"/>
          <w:kern w:val="16"/>
          <w14:ligatures w14:val="standardContextual"/>
        </w:rPr>
        <w:t xml:space="preserve">O impacto prático é direto. Considere-se um segurado com 300 meses de contribuição desde julho de 1994. Na regra anterior, os 60 meses de menor valor seriam descartados, e a média seria calculada sobre os 240 meses restantes. Na regra atual, todos os 300 meses integram o cálculo. Se os 60 meses descartados correspondiam a contribuições sobre o </w:t>
      </w:r>
      <w:r w:rsidR="00EC18D4">
        <w:rPr>
          <w:rFonts w:cs="EB Garamond"/>
          <w:kern w:val="16"/>
          <w14:ligatures w14:val="standardContextual"/>
        </w:rPr>
        <w:t>salário-mínimo</w:t>
      </w:r>
      <w:r>
        <w:rPr>
          <w:rFonts w:cs="EB Garamond"/>
          <w:kern w:val="16"/>
          <w14:ligatures w14:val="standardContextual"/>
        </w:rPr>
        <w:t xml:space="preserve"> e os 240 meses restantes a contribuições sobre valores mais elevados, a diferença entre as duas médias pode ser expressiva.</w:t>
      </w:r>
    </w:p>
    <w:p w14:paraId="5F586455" w14:textId="77777777" w:rsidR="005A5FCC" w:rsidRDefault="00A21C81">
      <w:pPr>
        <w:ind w:firstLine="238"/>
      </w:pPr>
      <w:r>
        <w:rPr>
          <w:rFonts w:cs="EB Garamond"/>
          <w:kern w:val="16"/>
          <w14:ligatures w14:val="standardContextual"/>
        </w:rPr>
        <w:t>Para atenuar parcialmente esse impacto, o art. 26, § 6º, da EC 103/2019 faculta ao segurado excluir do cálculo as contribuições que resultem em redução do salário de benefício, desde que mantido o tempo mínimo de contribuição exigido para a espécie. Essa exclusão facultativa funciona como um mecanismo de ajuste: o segurado (ou seu advogado) pode simular o cálculo com e sem determinadas contribuições, optando pela configuração que produza o melhor resultado. A aplicação prática desse dispositivo foi analisada na seção 10.11.4, com o exemplo de Pedro, a que remetemos o leitor.</w:t>
      </w:r>
    </w:p>
    <w:tbl>
      <w:tblPr>
        <w:tblW w:w="5000" w:type="pct"/>
        <w:jc w:val="center"/>
        <w:tblLayout w:type="fixed"/>
        <w:tblLook w:val="04A0" w:firstRow="1" w:lastRow="0" w:firstColumn="1" w:lastColumn="0" w:noHBand="0" w:noVBand="1"/>
      </w:tblPr>
      <w:tblGrid>
        <w:gridCol w:w="6311"/>
      </w:tblGrid>
      <w:tr w:rsidR="005A5FCC" w14:paraId="54357377"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5D0E0910" w14:textId="77777777" w:rsidR="005A5FCC" w:rsidRDefault="00A21C81">
            <w:pPr>
              <w:spacing w:after="60" w:line="240" w:lineRule="auto"/>
              <w:jc w:val="left"/>
            </w:pPr>
            <w:r>
              <w:rPr>
                <w:rFonts w:ascii="Noto Sans" w:hAnsi="Noto Sans" w:cs="Noto Sans"/>
                <w:b/>
                <w:caps/>
                <w:color w:val="B78B37"/>
                <w:kern w:val="16"/>
                <w:sz w:val="16"/>
                <w14:ligatures w14:val="standardContextual"/>
              </w:rPr>
              <w:lastRenderedPageBreak/>
              <w:t>ATENÇÃO</w:t>
            </w:r>
          </w:p>
          <w:p w14:paraId="7E7E9223" w14:textId="77777777" w:rsidR="005A5FCC" w:rsidRDefault="00A21C81">
            <w:pPr>
              <w:spacing w:after="60" w:line="247" w:lineRule="auto"/>
            </w:pPr>
            <w:r>
              <w:rPr>
                <w:rFonts w:cs="EB Garamond"/>
                <w:b/>
                <w:kern w:val="16"/>
                <w:sz w:val="19"/>
                <w14:ligatures w14:val="standardContextual"/>
              </w:rPr>
              <w:t>O impacto da regra de 100% sobre segurados com trajetória contributiva irregular</w:t>
            </w:r>
          </w:p>
          <w:p w14:paraId="58B9350F" w14:textId="1FC1B45C" w:rsidR="005A5FCC" w:rsidRDefault="00A21C81">
            <w:pPr>
              <w:spacing w:after="60" w:line="247" w:lineRule="auto"/>
            </w:pPr>
            <w:r>
              <w:rPr>
                <w:rFonts w:cs="EB Garamond"/>
                <w:kern w:val="16"/>
                <w:sz w:val="19"/>
                <w14:ligatures w14:val="standardContextual"/>
              </w:rPr>
              <w:t xml:space="preserve">A eliminação do descarte dos 20% menores salários de contribuição pela EC 103/2019 prejudica sobretudo os segurados que, ao longo de sua vida laboral, alternaram períodos de contribuição sobre valores elevados com períodos de contribuição sobre o </w:t>
            </w:r>
            <w:r w:rsidR="00C026DD">
              <w:rPr>
                <w:rFonts w:cs="EB Garamond"/>
                <w:kern w:val="16"/>
                <w:sz w:val="19"/>
                <w14:ligatures w14:val="standardContextual"/>
              </w:rPr>
              <w:t>salário-mínimo</w:t>
            </w:r>
            <w:r>
              <w:rPr>
                <w:rFonts w:cs="EB Garamond"/>
                <w:kern w:val="16"/>
                <w:sz w:val="19"/>
                <w14:ligatures w14:val="standardContextual"/>
              </w:rPr>
              <w:t>. Para esses segurados, a inclusão de todos os meses no cálculo reduz significativamente a média. O art. 26, § 6º, da EC 103 oferece um mecanismo de mitigação (exclusão facultativa de contribuições prejudiciais), mas essa exclusão está condicionada à manutenção do tempo mínimo de contribuição. Na prática, o segurado que possui tempo de contribuição apenas ligeiramente superior ao mínimo exigido terá margem muito reduzida para utilizar esse mecanismo — precisamente o perfil que mais se beneficiaria dele.</w:t>
            </w:r>
          </w:p>
        </w:tc>
      </w:tr>
    </w:tbl>
    <w:p w14:paraId="219B6F1A" w14:textId="77777777" w:rsidR="005A5FCC" w:rsidRDefault="005A5FCC">
      <w:pPr>
        <w:spacing w:after="80" w:line="240" w:lineRule="auto"/>
      </w:pPr>
    </w:p>
    <w:p w14:paraId="63020E3D" w14:textId="20643B64" w:rsidR="005A5FCC" w:rsidRDefault="00A21C81">
      <w:pPr>
        <w:spacing w:before="260" w:after="80" w:line="240" w:lineRule="auto"/>
        <w:jc w:val="left"/>
      </w:pPr>
      <w:r>
        <w:rPr>
          <w:rFonts w:cs="EB Garamond"/>
          <w:b/>
          <w:color w:val="3A3128"/>
          <w:kern w:val="16"/>
          <w:sz w:val="25"/>
          <w14:ligatures w14:val="standardContextual"/>
        </w:rPr>
        <w:t xml:space="preserve">16.3.3 O divisor mínimo e a </w:t>
      </w:r>
      <w:r w:rsidR="00C026DD">
        <w:rPr>
          <w:rFonts w:cs="EB Garamond"/>
          <w:b/>
          <w:color w:val="3A3128"/>
          <w:kern w:val="16"/>
          <w:sz w:val="25"/>
          <w14:ligatures w14:val="standardContextual"/>
        </w:rPr>
        <w:t>L</w:t>
      </w:r>
      <w:r>
        <w:rPr>
          <w:rFonts w:cs="EB Garamond"/>
          <w:b/>
          <w:color w:val="3A3128"/>
          <w:kern w:val="16"/>
          <w:sz w:val="25"/>
          <w14:ligatures w14:val="standardContextual"/>
        </w:rPr>
        <w:t>ei n. 14.331/2022</w:t>
      </w:r>
    </w:p>
    <w:p w14:paraId="60E9132C"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68917718" w14:textId="77777777" w:rsidR="005A5FCC" w:rsidRDefault="00A21C81">
      <w:r>
        <w:rPr>
          <w:rFonts w:cs="EB Garamond"/>
          <w:kern w:val="16"/>
          <w14:ligatures w14:val="standardContextual"/>
        </w:rPr>
        <w:t xml:space="preserve"> regra de cálculo da média de salários de contribuição gerou, nos primeiros anos de vigência da EC 103/2019, uma distorção que ficou conhecida como "milagre da contribuição única". A distorção decorria da interpretação de que o segurado com longo período sem contribuição e apenas uma ou poucas contribuições de valor elevado poderia obter um salário de benefício desproporcional, uma vez que a média de um único salário de contribuição é o próprio salário de contribuição.</w:t>
      </w:r>
    </w:p>
    <w:p w14:paraId="2F92B414" w14:textId="77777777" w:rsidR="005A5FCC" w:rsidRDefault="00A21C81">
      <w:pPr>
        <w:ind w:firstLine="238"/>
      </w:pPr>
      <w:r>
        <w:rPr>
          <w:rFonts w:cs="EB Garamond"/>
          <w:kern w:val="16"/>
          <w14:ligatures w14:val="standardContextual"/>
        </w:rPr>
        <w:t>A situação era particularmente relevante para segurados que preenchiam o requisito de tempo de contribuição com períodos anteriores a julho de 1994 — computados para fins de tempo de contribuição, mas que não geravam salários de contribuição no PBC (cujo marco inicial é julho de 1994). Se o segurado contribuíra por 25 anos antes de julho de 1994 e realizasse uma única contribuição de alto valor em 2020, o salário de benefício seria a média de um único salário de contribuição — potencialmente o teto do RGPS.</w:t>
      </w:r>
    </w:p>
    <w:p w14:paraId="2A132D5F" w14:textId="77777777" w:rsidR="005A5FCC" w:rsidRDefault="00A21C81">
      <w:pPr>
        <w:ind w:firstLine="238"/>
      </w:pPr>
      <w:r>
        <w:rPr>
          <w:rFonts w:cs="EB Garamond"/>
          <w:kern w:val="16"/>
          <w14:ligatures w14:val="standardContextual"/>
        </w:rPr>
        <w:t xml:space="preserve">A Lei n. 14.331, de 4 de maio de 2022, encerrou essa distorção ao restabelecer o divisor mínimo de 108 meses. A nova redação do art. 29, § 10, da Lei n. </w:t>
      </w:r>
      <w:r>
        <w:rPr>
          <w:rFonts w:cs="EB Garamond"/>
          <w:kern w:val="16"/>
          <w14:ligatures w14:val="standardContextual"/>
        </w:rPr>
        <w:lastRenderedPageBreak/>
        <w:t>8.213/91 estabelece que, se o número de salários de contribuição no PBC for inferior a 108, a soma dos salários de contribuição será dividida por 108, independentemente do número efetivo de meses de contribuição dentro do PBC. Na prática, o segurado com apenas uma contribuição no PBC terá seu salário de benefício calculado dividindo-se esse único salário por 108, resultado muito inferior ao que obteria pela simples média aritmética.</w:t>
      </w:r>
    </w:p>
    <w:p w14:paraId="3CC061A4" w14:textId="77777777" w:rsidR="005A5FCC" w:rsidRDefault="00A21C81">
      <w:pPr>
        <w:ind w:firstLine="238"/>
      </w:pPr>
      <w:r>
        <w:rPr>
          <w:rFonts w:cs="EB Garamond"/>
          <w:kern w:val="16"/>
          <w14:ligatures w14:val="standardContextual"/>
        </w:rPr>
        <w:t>A Lei n. 14.331/2022 aplica-se aos benefícios requeridos a partir de 5 de maio de 2022 (data de publicação), não retroagindo para benefícios concedidos anteriormente. Os segurados que obtiveram o "milagre da contribuição única" antes dessa data mantêm o benefício calculado pela regra vigente ao tempo da concessão, ressalvada eventual revisão administrativa ou judicial por outros fundamentos.</w:t>
      </w:r>
    </w:p>
    <w:p w14:paraId="3B6E9909" w14:textId="77777777" w:rsidR="005A5FCC" w:rsidRDefault="00A21C81">
      <w:pPr>
        <w:spacing w:before="260" w:after="80" w:line="240" w:lineRule="auto"/>
        <w:jc w:val="left"/>
      </w:pPr>
      <w:r>
        <w:rPr>
          <w:rFonts w:cs="EB Garamond"/>
          <w:b/>
          <w:color w:val="3A3128"/>
          <w:kern w:val="16"/>
          <w:sz w:val="25"/>
          <w14:ligatures w14:val="standardContextual"/>
        </w:rPr>
        <w:t>16.3.4 Direito intertemporal: a regra aplicável conforme o fato gerador</w:t>
      </w:r>
    </w:p>
    <w:p w14:paraId="1CF1BA8D"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008E6342" w14:textId="77777777" w:rsidR="005A5FCC" w:rsidRDefault="00A21C81">
      <w:r>
        <w:rPr>
          <w:rFonts w:cs="EB Garamond"/>
          <w:kern w:val="16"/>
          <w14:ligatures w14:val="standardContextual"/>
        </w:rPr>
        <w:t xml:space="preserve"> coexistência de regras distintas de PBC, 80% maiores (Lei 9.876/99), 100% (EC 103/2019), divisor mínimo 108 (Lei 14.331/2022), exige do operador do direito previdenciário atenção redobrada ao direito intertemporal. O princípio geral é que a fórmula de cálculo aplicável é aquela vigente na data do fato gerador do benefício.</w:t>
      </w:r>
    </w:p>
    <w:p w14:paraId="718278A5" w14:textId="77777777" w:rsidR="005A5FCC" w:rsidRDefault="00A21C81">
      <w:pPr>
        <w:ind w:firstLine="238"/>
      </w:pPr>
      <w:r>
        <w:rPr>
          <w:rFonts w:cs="EB Garamond"/>
          <w:kern w:val="16"/>
          <w14:ligatures w14:val="standardContextual"/>
        </w:rPr>
        <w:t>Para a aposentadoria voluntária, o fato gerador coincide com a data de implementação de todos os requisitos legais — ou, caso o segurado opte por continuar contribuindo após essa data, com a data do requerimento administrativo (DER). Para os benefícios por incapacidade, o fato gerador é a data do início da incapacidade (DII). Para a pensão por morte, o fato gerador é a data do óbito.</w:t>
      </w:r>
    </w:p>
    <w:p w14:paraId="355B4F73" w14:textId="77777777" w:rsidR="005A5FCC" w:rsidRDefault="00A21C81">
      <w:pPr>
        <w:ind w:firstLine="238"/>
      </w:pPr>
      <w:r>
        <w:rPr>
          <w:rFonts w:cs="EB Garamond"/>
          <w:kern w:val="16"/>
          <w14:ligatures w14:val="standardContextual"/>
        </w:rPr>
        <w:t>Essa regra geral comporta nuances relevantes. O segurado que implementou todos os requisitos para a aposentadoria antes de 13 de novembro de 2019 (data de vigência da EC 103) tem direito adquirido ao cálculo pela regra dos 80% maiores, mesmo que requeira o benefício em data posterior. O direito adquirido protege não apenas os requisitos de concessão, mas também a fórmula de cálculo vigente ao tempo da implementação.</w:t>
      </w:r>
    </w:p>
    <w:p w14:paraId="0B03B763" w14:textId="77777777" w:rsidR="005A5FCC" w:rsidRDefault="00A21C81">
      <w:pPr>
        <w:ind w:firstLine="238"/>
      </w:pPr>
      <w:r>
        <w:rPr>
          <w:rFonts w:cs="EB Garamond"/>
          <w:kern w:val="16"/>
          <w14:ligatures w14:val="standardContextual"/>
        </w:rPr>
        <w:lastRenderedPageBreak/>
        <w:t>A reafirmação da DER, consolidada no Tema 995 do STJ, adiciona complexidade ao quadro. O STJ firmou a tese de que é possível reafirmar a data de entrada do requerimento para o momento em que o segurado implementou todos os requisitos, inclusive durante o processo judicial, até a data da sentença. A data de início do benefício (DIB) é fixada na data em que os requisitos foram preenchidos. A implicação para o cálculo é direta: se os requisitos foram implementados antes de 13/11/2019, a fórmula aplicável é a dos 80% maiores; se foram implementados após essa data, aplica-se a média de 100%. A reafirmação da DER pode, portanto, alterar não apenas a DIB, mas a própria regra de cálculo aplicável (conforme analisado na seção 10.8).</w:t>
      </w:r>
    </w:p>
    <w:p w14:paraId="289F04D1"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16.4 Fator previdenciário</w:t>
      </w:r>
    </w:p>
    <w:p w14:paraId="77889413"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4DA5880D" w14:textId="77777777" w:rsidR="005A5FCC" w:rsidRDefault="00A21C81">
      <w:r>
        <w:rPr>
          <w:rFonts w:cs="EB Garamond"/>
          <w:kern w:val="16"/>
          <w14:ligatures w14:val="standardContextual"/>
        </w:rPr>
        <w:t xml:space="preserve"> fator previdenciário é uma fórmula atuarial que incide sobre o salário de benefício, podendo majorá-lo ou reduzi-lo conforme a combinação de idade, tempo de contribuição e expectativa de sobrevida do segurado na data do requerimento. Desde sua criação em 1999, o fator previdenciário tem sido o mecanismo mais controverso do sistema de cálculo previdenciário brasileiro — elogiado por seus defensores como instrumento de equilíbrio atuarial e criticado por seus opositores como fórmula punitiva que penaliza o segurado que se aposenta mais jovem.</w:t>
      </w:r>
    </w:p>
    <w:p w14:paraId="62612AF8" w14:textId="77777777" w:rsidR="005A5FCC" w:rsidRDefault="00A21C81">
      <w:pPr>
        <w:spacing w:before="260" w:after="80" w:line="240" w:lineRule="auto"/>
        <w:jc w:val="left"/>
      </w:pPr>
      <w:r>
        <w:rPr>
          <w:rFonts w:cs="EB Garamond"/>
          <w:b/>
          <w:color w:val="3A3128"/>
          <w:kern w:val="16"/>
          <w:sz w:val="25"/>
          <w14:ligatures w14:val="standardContextual"/>
        </w:rPr>
        <w:t>16.4.1 Origem e finalidade</w:t>
      </w:r>
    </w:p>
    <w:p w14:paraId="44BA5A8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3C302FEF" w14:textId="77777777" w:rsidR="005A5FCC" w:rsidRDefault="00A21C81">
      <w:r>
        <w:rPr>
          <w:rFonts w:cs="EB Garamond"/>
          <w:kern w:val="16"/>
          <w14:ligatures w14:val="standardContextual"/>
        </w:rPr>
        <w:t xml:space="preserve"> Lei n. 9.876, de 26 de novembro de 1999, como detalham Ibrahim (2025) e Kertzman (2025), instituiu o fator previdenciário como resposta à frustração da Emenda Constitucional 20/1998, que pretendia, mas não conseguiu, impor idade mínima para a aposentadoria por tempo de contribuição. Sem a idade mínima, o governo necessitava de um mecanismo alternativo que desestimulasse a aposentadoria precoce sem vedar formalmente o acesso ao benefício. O fator previdenciário cumpriu essa função: ao incorporar a expectativa de sobrevida na fórmula de cálculo, vinculou o valor do benefício ao período estimado de fruição, penalizando financeiramente o segurado que se aposentasse cedo e premiando aquele que postergasse a aposentadoria.</w:t>
      </w:r>
    </w:p>
    <w:p w14:paraId="1FABA876" w14:textId="77777777" w:rsidR="005A5FCC" w:rsidRDefault="00A21C81">
      <w:pPr>
        <w:ind w:firstLine="238"/>
      </w:pPr>
      <w:r>
        <w:rPr>
          <w:rFonts w:cs="EB Garamond"/>
          <w:kern w:val="16"/>
          <w14:ligatures w14:val="standardContextual"/>
        </w:rPr>
        <w:lastRenderedPageBreak/>
        <w:t>A fundamentação atuarial é relativamente direta. Um segurado que se aposenta aos 55 anos receberá o benefício, em tese, por mais tempo do que um segurado que se aposenta aos 65 anos. Se ambos contribuíram por períodos semelhantes, o primeiro representará um custo maior para o sistema. O fator previdenciário traduz essa lógica em uma fórmula que ajusta o valor do benefício à relação entre contribuições realizadas e benefício esperado.</w:t>
      </w:r>
    </w:p>
    <w:p w14:paraId="176A7908" w14:textId="77777777" w:rsidR="005A5FCC" w:rsidRDefault="00A21C81">
      <w:pPr>
        <w:spacing w:before="260" w:after="80" w:line="240" w:lineRule="auto"/>
        <w:jc w:val="left"/>
      </w:pPr>
      <w:r>
        <w:rPr>
          <w:rFonts w:cs="EB Garamond"/>
          <w:b/>
          <w:color w:val="3A3128"/>
          <w:kern w:val="16"/>
          <w:sz w:val="25"/>
          <w14:ligatures w14:val="standardContextual"/>
        </w:rPr>
        <w:t>16.4.2 Fórmula e variáveis</w:t>
      </w:r>
    </w:p>
    <w:p w14:paraId="6AB1EA4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4676168A" w14:textId="77777777" w:rsidR="005A5FCC" w:rsidRDefault="00A21C81">
      <w:r>
        <w:rPr>
          <w:rFonts w:cs="EB Garamond"/>
          <w:kern w:val="16"/>
          <w14:ligatures w14:val="standardContextual"/>
        </w:rPr>
        <w:t xml:space="preserve"> fator previdenciário é calculado pela seguinte fórmula:</w:t>
      </w:r>
    </w:p>
    <w:p w14:paraId="3B4B7710" w14:textId="77777777" w:rsidR="005A5FCC" w:rsidRDefault="00A21C81">
      <w:pPr>
        <w:ind w:firstLine="238"/>
      </w:pPr>
      <w:r>
        <w:rPr>
          <w:rFonts w:cs="EB Garamond"/>
          <w:b/>
          <w:kern w:val="16"/>
          <w14:ligatures w14:val="standardContextual"/>
        </w:rPr>
        <w:t>f = (Tc × a / Es) × [1 + (Id + Tc × a) / 100]</w:t>
      </w:r>
    </w:p>
    <w:p w14:paraId="59236CDD" w14:textId="77777777" w:rsidR="005A5FCC" w:rsidRDefault="00A21C81">
      <w:pPr>
        <w:ind w:firstLine="238"/>
      </w:pPr>
      <w:r>
        <w:rPr>
          <w:rFonts w:cs="EB Garamond"/>
          <w:kern w:val="16"/>
          <w14:ligatures w14:val="standardContextual"/>
        </w:rPr>
        <w:t>Onde:</w:t>
      </w:r>
    </w:p>
    <w:p w14:paraId="3F144223" w14:textId="77777777" w:rsidR="005A5FCC" w:rsidRDefault="00A21C81">
      <w:pPr>
        <w:ind w:firstLine="238"/>
      </w:pPr>
      <w:r>
        <w:rPr>
          <w:rFonts w:cs="EB Garamond"/>
          <w:b/>
          <w:kern w:val="16"/>
          <w14:ligatures w14:val="standardContextual"/>
        </w:rPr>
        <w:t>Tc</w:t>
      </w:r>
      <w:r>
        <w:rPr>
          <w:rFonts w:cs="EB Garamond"/>
          <w:kern w:val="16"/>
          <w14:ligatures w14:val="standardContextual"/>
        </w:rPr>
        <w:t xml:space="preserve"> = tempo de contribuição do segurado, em anos. Para a mulher, adiciona-se um bônus de 5 anos ao tempo de contribuição efetivo. Para o professor que comprove exclusivamente exercício de magistério na educação infantil, ensino fundamental ou ensino médio, adiciona-se bônus de 5 anos ao tempo de contribuição e 5 anos à idade. Para a professora que comprove as mesmas condições, adiciona-se 10 anos ao tempo de contribuição e 5 anos à idade.</w:t>
      </w:r>
    </w:p>
    <w:p w14:paraId="073A091E" w14:textId="77777777" w:rsidR="005A5FCC" w:rsidRDefault="00A21C81">
      <w:pPr>
        <w:ind w:firstLine="238"/>
      </w:pPr>
      <w:r>
        <w:rPr>
          <w:rFonts w:cs="EB Garamond"/>
          <w:b/>
          <w:kern w:val="16"/>
          <w14:ligatures w14:val="standardContextual"/>
        </w:rPr>
        <w:t>a</w:t>
      </w:r>
      <w:r>
        <w:rPr>
          <w:rFonts w:cs="EB Garamond"/>
          <w:kern w:val="16"/>
          <w14:ligatures w14:val="standardContextual"/>
        </w:rPr>
        <w:t xml:space="preserve"> = alíquota de contribuição, fixada em 0,31 (equivalente a 31%, que corresponde à soma da contribuição patronal de 20% e da contribuição máxima do segurado de 11%).</w:t>
      </w:r>
    </w:p>
    <w:p w14:paraId="587C738D" w14:textId="77777777" w:rsidR="005A5FCC" w:rsidRDefault="00A21C81">
      <w:pPr>
        <w:ind w:firstLine="238"/>
      </w:pPr>
      <w:r>
        <w:rPr>
          <w:rFonts w:cs="EB Garamond"/>
          <w:b/>
          <w:kern w:val="16"/>
          <w14:ligatures w14:val="standardContextual"/>
        </w:rPr>
        <w:t>Es</w:t>
      </w:r>
      <w:r>
        <w:rPr>
          <w:rFonts w:cs="EB Garamond"/>
          <w:kern w:val="16"/>
          <w14:ligatures w14:val="standardContextual"/>
        </w:rPr>
        <w:t xml:space="preserve"> = expectativa de sobrevida do segurado na data do requerimento, obtida da tabela de mortalidade publicada anualmente pelo IBGE. A tabela de referência é a vigente na data do requerimento do benefício. A tabela IBGE 2024 (publicada em novembro de 2025) indica expectativa de vida geral ao nascer de 76,6 anos.</w:t>
      </w:r>
    </w:p>
    <w:p w14:paraId="3969D625" w14:textId="77777777" w:rsidR="005A5FCC" w:rsidRDefault="00A21C81">
      <w:pPr>
        <w:ind w:firstLine="238"/>
      </w:pPr>
      <w:r>
        <w:rPr>
          <w:rFonts w:cs="EB Garamond"/>
          <w:b/>
          <w:kern w:val="16"/>
          <w14:ligatures w14:val="standardContextual"/>
        </w:rPr>
        <w:t>Id</w:t>
      </w:r>
      <w:r>
        <w:rPr>
          <w:rFonts w:cs="EB Garamond"/>
          <w:kern w:val="16"/>
          <w14:ligatures w14:val="standardContextual"/>
        </w:rPr>
        <w:t xml:space="preserve"> = idade do segurado na data do requerimento do benefício.</w:t>
      </w:r>
    </w:p>
    <w:p w14:paraId="2C490ED4" w14:textId="77777777" w:rsidR="005A5FCC" w:rsidRDefault="00A21C81">
      <w:pPr>
        <w:ind w:firstLine="238"/>
      </w:pPr>
      <w:r>
        <w:rPr>
          <w:rFonts w:cs="EB Garamond"/>
          <w:kern w:val="16"/>
          <w14:ligatures w14:val="standardContextual"/>
        </w:rPr>
        <w:t>O resultado da fórmula pode ser superior ou inferior a 1,0. Quando inferior a 1,0, o fator atua como redutor do salário de benefício; quando superior a 1,0, atua como majorador. Na prática, o fator é inferior a 1,0 para a maioria dos segurados que se aposentam com idade abaixo de 60 anos e tempo de contribuição próximo ao mínimo. O fator tende a superar 1,0 quando o segurado reúne idade avançada (acima de 63-65 anos) e longo tempo de contribuição (acima de 37-40 anos).</w:t>
      </w:r>
    </w:p>
    <w:p w14:paraId="09CA9623" w14:textId="77777777" w:rsidR="005A5FCC" w:rsidRDefault="00A21C81">
      <w:pPr>
        <w:ind w:firstLine="238"/>
      </w:pPr>
      <w:r>
        <w:rPr>
          <w:rFonts w:cs="EB Garamond"/>
          <w:kern w:val="16"/>
          <w14:ligatures w14:val="standardContextual"/>
        </w:rPr>
        <w:lastRenderedPageBreak/>
        <w:t>Para a demonstração passo a passo do cálculo do fator previdenciário com a tabela completa de simulações para diferentes combinações de idade e tempo de contribuição, remetemos o leitor à seção 11.8, que apresenta o cálculo detalhado com tabela 4×4 de cenários.</w:t>
      </w:r>
    </w:p>
    <w:tbl>
      <w:tblPr>
        <w:tblW w:w="5000" w:type="pct"/>
        <w:jc w:val="center"/>
        <w:tblLayout w:type="fixed"/>
        <w:tblLook w:val="04A0" w:firstRow="1" w:lastRow="0" w:firstColumn="1" w:lastColumn="0" w:noHBand="0" w:noVBand="1"/>
      </w:tblPr>
      <w:tblGrid>
        <w:gridCol w:w="6311"/>
      </w:tblGrid>
      <w:tr w:rsidR="005A5FCC" w14:paraId="16BF0836"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3BEE7C41"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4721A4A7" w14:textId="77777777" w:rsidR="005A5FCC" w:rsidRDefault="00A21C81">
            <w:pPr>
              <w:spacing w:after="60" w:line="247" w:lineRule="auto"/>
            </w:pPr>
            <w:r>
              <w:rPr>
                <w:rFonts w:cs="EB Garamond"/>
                <w:b/>
                <w:kern w:val="16"/>
                <w:sz w:val="19"/>
                <w14:ligatures w14:val="standardContextual"/>
              </w:rPr>
              <w:t>Simulação — Fator previdenciário para mulher de 57 anos com 32 anos de TC</w:t>
            </w:r>
          </w:p>
          <w:p w14:paraId="70B668BE" w14:textId="77777777" w:rsidR="005A5FCC" w:rsidRDefault="00A21C81">
            <w:pPr>
              <w:spacing w:after="60" w:line="247" w:lineRule="auto"/>
            </w:pPr>
            <w:r>
              <w:rPr>
                <w:rFonts w:cs="EB Garamond"/>
                <w:b/>
                <w:kern w:val="16"/>
                <w:sz w:val="19"/>
                <w14:ligatures w14:val="standardContextual"/>
              </w:rPr>
              <w:t>Beatriz</w:t>
            </w:r>
            <w:r>
              <w:rPr>
                <w:rFonts w:cs="EB Garamond"/>
                <w:kern w:val="16"/>
                <w:sz w:val="19"/>
                <w14:ligatures w14:val="standardContextual"/>
              </w:rPr>
              <w:t>, segurada do RGPS, com 57 anos de idade e 27 anos de contribuição efetiva. Com o bônus de 5 anos aplicado à mulher, o tempo de contribuição para fins do fator é de 32 anos (Tc = 32). Consulta à tabela IBGE 2024: para pessoa de 57 anos, a expectativa de sobrevida é de aproximadamente 26,4 anos (Es = 26,4).</w:t>
            </w:r>
          </w:p>
          <w:p w14:paraId="20DD2534" w14:textId="77777777" w:rsidR="005A5FCC" w:rsidRDefault="00A21C81">
            <w:pPr>
              <w:spacing w:after="60" w:line="247" w:lineRule="auto"/>
            </w:pPr>
            <w:r>
              <w:rPr>
                <w:rFonts w:cs="EB Garamond"/>
                <w:b/>
                <w:kern w:val="16"/>
                <w:sz w:val="19"/>
                <w14:ligatures w14:val="standardContextual"/>
              </w:rPr>
              <w:t>Passo 1 — Primeiro fator da fórmula:</w:t>
            </w:r>
            <w:r>
              <w:rPr>
                <w:rFonts w:cs="EB Garamond"/>
                <w:kern w:val="16"/>
                <w:sz w:val="19"/>
                <w14:ligatures w14:val="standardContextual"/>
              </w:rPr>
              <w:t xml:space="preserve"> Tc × a / Es = 32 × 0,31 / 26,4 = 9,92 / 26,4 = 0,3758</w:t>
            </w:r>
          </w:p>
          <w:p w14:paraId="5EE9102F" w14:textId="77777777" w:rsidR="005A5FCC" w:rsidRDefault="00A21C81">
            <w:pPr>
              <w:spacing w:after="60" w:line="247" w:lineRule="auto"/>
            </w:pPr>
            <w:r>
              <w:rPr>
                <w:rFonts w:cs="EB Garamond"/>
                <w:b/>
                <w:kern w:val="16"/>
                <w:sz w:val="19"/>
                <w14:ligatures w14:val="standardContextual"/>
              </w:rPr>
              <w:t>Passo 2, segundo fator da fórmula:</w:t>
            </w:r>
            <w:r>
              <w:rPr>
                <w:rFonts w:cs="EB Garamond"/>
                <w:kern w:val="16"/>
                <w:sz w:val="19"/>
                <w14:ligatures w14:val="standardContextual"/>
              </w:rPr>
              <w:t xml:space="preserve"> 1 + (Id + Tc × a) / 100 = 1 + (57 + 32 × 0,31) / 100 = 1 + (57 + 9,92) / 100 = 1 + 66,92 / 100 = 1,6692</w:t>
            </w:r>
          </w:p>
          <w:p w14:paraId="2E1EC22D" w14:textId="77777777" w:rsidR="005A5FCC" w:rsidRDefault="00A21C81">
            <w:pPr>
              <w:spacing w:after="60" w:line="247" w:lineRule="auto"/>
            </w:pPr>
            <w:r>
              <w:rPr>
                <w:rFonts w:cs="EB Garamond"/>
                <w:b/>
                <w:kern w:val="16"/>
                <w:sz w:val="19"/>
                <w14:ligatures w14:val="standardContextual"/>
              </w:rPr>
              <w:t>Passo 3 — Fator previdenciário:</w:t>
            </w:r>
            <w:r>
              <w:rPr>
                <w:rFonts w:cs="EB Garamond"/>
                <w:kern w:val="16"/>
                <w:sz w:val="19"/>
                <w14:ligatures w14:val="standardContextual"/>
              </w:rPr>
              <w:t xml:space="preserve"> f = 0,3758 × 1,6692 = 0,6272</w:t>
            </w:r>
          </w:p>
          <w:p w14:paraId="6D0C0FC9" w14:textId="77777777" w:rsidR="005A5FCC" w:rsidRDefault="00A21C81">
            <w:pPr>
              <w:spacing w:after="60" w:line="247" w:lineRule="auto"/>
            </w:pPr>
            <w:r>
              <w:rPr>
                <w:rFonts w:cs="EB Garamond"/>
                <w:b/>
                <w:kern w:val="16"/>
                <w:sz w:val="19"/>
                <w14:ligatures w14:val="standardContextual"/>
              </w:rPr>
              <w:t>Resultado:</w:t>
            </w:r>
            <w:r>
              <w:rPr>
                <w:rFonts w:cs="EB Garamond"/>
                <w:kern w:val="16"/>
                <w:sz w:val="19"/>
                <w14:ligatures w14:val="standardContextual"/>
              </w:rPr>
              <w:t xml:space="preserve"> O fator previdenciário de Beatriz é 0,6272, ou seja, o salário de benefício será reduzido em aproximadamente 37,3%. Se o salário de benefício (média dos 80% maiores SC) fosse R$ 4.000,00, a RMI com a aplicação do fator seria R$ 4.000,00 × 0,6272 = R$ 2.508,80.</w:t>
            </w:r>
          </w:p>
          <w:p w14:paraId="02C69140" w14:textId="77777777" w:rsidR="005A5FCC" w:rsidRDefault="00A21C81">
            <w:pPr>
              <w:spacing w:after="60" w:line="247" w:lineRule="auto"/>
            </w:pPr>
            <w:r>
              <w:rPr>
                <w:rFonts w:cs="EB Garamond"/>
                <w:kern w:val="16"/>
                <w:sz w:val="19"/>
                <w14:ligatures w14:val="standardContextual"/>
              </w:rPr>
              <w:t>A simulação evidencia o efeito redutor severo do fator para seguradas que se aposentam antes dos 60 anos, mesmo com tempo de contribuição razoável. Comparativamente, se Beatriz postergasse a aposentadoria por 3 anos (60 anos de idade, 30 anos de TC efetivo, Tc = 35 com bônus), o fator subiria para aproximadamente 0,78, redução da penalização em mais de 10 pontos percentuais.</w:t>
            </w:r>
          </w:p>
        </w:tc>
      </w:tr>
    </w:tbl>
    <w:p w14:paraId="39AACFCB" w14:textId="77777777" w:rsidR="005A5FCC" w:rsidRDefault="005A5FCC">
      <w:pPr>
        <w:spacing w:after="80" w:line="240" w:lineRule="auto"/>
      </w:pPr>
    </w:p>
    <w:p w14:paraId="68F276DC" w14:textId="24B2C414" w:rsidR="005A5FCC" w:rsidRDefault="00A21C81">
      <w:pPr>
        <w:spacing w:before="260" w:after="80" w:line="240" w:lineRule="auto"/>
        <w:jc w:val="left"/>
      </w:pPr>
      <w:r>
        <w:rPr>
          <w:rFonts w:cs="EB Garamond"/>
          <w:b/>
          <w:color w:val="3A3128"/>
          <w:kern w:val="16"/>
          <w:sz w:val="25"/>
          <w14:ligatures w14:val="standardContextual"/>
        </w:rPr>
        <w:t xml:space="preserve">16.4.3 Constitucionalidade: ADI 2.111 e </w:t>
      </w:r>
      <w:r w:rsidR="00C918CA">
        <w:rPr>
          <w:rFonts w:cs="EB Garamond"/>
          <w:b/>
          <w:color w:val="3A3128"/>
          <w:kern w:val="16"/>
          <w:sz w:val="25"/>
          <w14:ligatures w14:val="standardContextual"/>
        </w:rPr>
        <w:t>T</w:t>
      </w:r>
      <w:r>
        <w:rPr>
          <w:rFonts w:cs="EB Garamond"/>
          <w:b/>
          <w:color w:val="3A3128"/>
          <w:kern w:val="16"/>
          <w:sz w:val="25"/>
          <w14:ligatures w14:val="standardContextual"/>
        </w:rPr>
        <w:t>ema 616/STF</w:t>
      </w:r>
    </w:p>
    <w:p w14:paraId="38C6C724"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3CD2752A" w14:textId="77777777" w:rsidR="005A5FCC" w:rsidRDefault="00A21C81">
      <w:r>
        <w:rPr>
          <w:rFonts w:cs="EB Garamond"/>
          <w:kern w:val="16"/>
          <w14:ligatures w14:val="standardContextual"/>
        </w:rPr>
        <w:t xml:space="preserve"> fator previdenciário foi objeto de controle concentrado de constitucionalidade na ADI 2.111, que impugnava a Lei n. 9.876/99 por alegada violação aos princípios da irredutibilidade do valor dos benefícios e da preservação do seu valor real. O Supremo Tribunal Federal, em julgamento final </w:t>
      </w:r>
      <w:r>
        <w:rPr>
          <w:rFonts w:cs="EB Garamond"/>
          <w:kern w:val="16"/>
          <w14:ligatures w14:val="standardContextual"/>
        </w:rPr>
        <w:lastRenderedPageBreak/>
        <w:t>concluído em 21 de março de 2024, declarou a constitucionalidade do fator previdenciário, por maioria, entendendo que a fórmula atuarial constitui mecanismo legítimo de equilíbrio financeiro e atuarial do sistema previdenciário, nos termos do art. 201, caput, da Constituição Federal.</w:t>
      </w:r>
    </w:p>
    <w:p w14:paraId="70E591DD" w14:textId="77777777" w:rsidR="005A5FCC" w:rsidRDefault="00A21C81">
      <w:pPr>
        <w:ind w:firstLine="238"/>
      </w:pPr>
      <w:r>
        <w:rPr>
          <w:rFonts w:cs="EB Garamond"/>
          <w:kern w:val="16"/>
          <w14:ligatures w14:val="standardContextual"/>
        </w:rPr>
        <w:t>A orientação sinalizada na ADI 2.111 foi reafirmada, agora sob a sistemática da repercussão geral, no Tema 616 do STF (RE 639.856, Rel. Min. Gilmar Mendes, j. 19/08/2025). A tese firmada tem recorte específico: cuida da incidência do fator sobre os segurados abrangidos pela regra de transição da EC 20/1998, isto é, aqueles filiados ao RGPS antes da data de promulgação dessa Emenda. Nesses termos, o Tribunal assentou que "é constitucional a aplicação do fator previdenciário, instituído pela Lei 9.876/1999, aos benefícios concedidos a segurados filiados ao Regime Geral de Previdência Social antes de 16.12.1998, abrangidos pela regra de transição do art. 9º da EC 20/98". A conclusão reforça o entendimento de que a incorporação do fator atuarial ao cálculo, ainda que para segurados já filiados ao tempo da reforma de 1998, não ofende direito adquirido nem a irredutibilidade do valor real do benefício.</w:t>
      </w:r>
    </w:p>
    <w:p w14:paraId="3219C1AC" w14:textId="77777777" w:rsidR="005A5FCC" w:rsidRDefault="00A21C81">
      <w:pPr>
        <w:ind w:firstLine="238"/>
      </w:pPr>
      <w:r>
        <w:rPr>
          <w:rFonts w:cs="EB Garamond"/>
          <w:kern w:val="16"/>
          <w14:ligatures w14:val="standardContextual"/>
        </w:rPr>
        <w:t>A constitucionalidade do fator previdenciário, em sua dimensão mais ampla, já havia sido reafirmada pelo STF, em repercussão geral, no Tema 1.091 (RE 1.221.630, j. 05/06/2020). Ali, por reafirmação de jurisprudência (plenário virtual), o Tribunal fixou tese de alcance geral sobre a própria fórmula instituída pela Lei n. 9.876/99, e não apenas sobre um grupo específico de segurados: "É constitucional o fator previdenciário previsto no art. 29, caput, incisos e parágrafos, da Lei nº 8.213/91, com a redação dada pelo art. 2º da Lei nº 9.876/99." Os dois precedentes de repercussão geral, portanto, se complementam: o Tema 1.091 assenta, em termos gerais, a compatibilidade do fator com a Constituição; o Tema 616 confirma sua incidência mesmo sobre os segurados filiados antes da EC 20/1998. Somados à ADI 2.111, esses julgados consolidam, sob diferentes ângulos e com eficácia vinculante, a higidez constitucional do fator previdenciário.</w:t>
      </w:r>
    </w:p>
    <w:tbl>
      <w:tblPr>
        <w:tblW w:w="5000" w:type="pct"/>
        <w:jc w:val="center"/>
        <w:tblLayout w:type="fixed"/>
        <w:tblLook w:val="04A0" w:firstRow="1" w:lastRow="0" w:firstColumn="1" w:lastColumn="0" w:noHBand="0" w:noVBand="1"/>
      </w:tblPr>
      <w:tblGrid>
        <w:gridCol w:w="6311"/>
      </w:tblGrid>
      <w:tr w:rsidR="005A5FCC" w14:paraId="5E002338"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2127BD07" w14:textId="77777777" w:rsidR="005A5FCC" w:rsidRDefault="00A21C81">
            <w:pPr>
              <w:spacing w:after="60" w:line="240" w:lineRule="auto"/>
              <w:jc w:val="left"/>
            </w:pPr>
            <w:r>
              <w:rPr>
                <w:rFonts w:ascii="Noto Sans" w:hAnsi="Noto Sans" w:cs="Noto Sans"/>
                <w:b/>
                <w:caps/>
                <w:color w:val="4D6F8A"/>
                <w:kern w:val="16"/>
                <w:sz w:val="16"/>
                <w14:ligatures w14:val="standardContextual"/>
              </w:rPr>
              <w:lastRenderedPageBreak/>
              <w:t>JURISPRUDÊNCIA EM DESTAQUE</w:t>
            </w:r>
          </w:p>
          <w:p w14:paraId="0C8B6B58" w14:textId="77777777" w:rsidR="005A5FCC" w:rsidRDefault="00A21C81">
            <w:pPr>
              <w:spacing w:after="60" w:line="247" w:lineRule="auto"/>
            </w:pPr>
            <w:r>
              <w:rPr>
                <w:rFonts w:cs="EB Garamond"/>
                <w:b/>
                <w:kern w:val="16"/>
                <w:sz w:val="19"/>
                <w14:ligatures w14:val="standardContextual"/>
              </w:rPr>
              <w:t>Tema 616/STF — Constitucionalidade do fator previdenciário (segurados da transição da EC 20/1998)</w:t>
            </w:r>
          </w:p>
          <w:p w14:paraId="5BA1D27A" w14:textId="77777777" w:rsidR="005A5FCC" w:rsidRDefault="00A21C81">
            <w:pPr>
              <w:spacing w:after="60" w:line="247" w:lineRule="auto"/>
            </w:pPr>
            <w:r>
              <w:rPr>
                <w:rFonts w:cs="EB Garamond"/>
                <w:kern w:val="16"/>
                <w:sz w:val="19"/>
                <w14:ligatures w14:val="standardContextual"/>
              </w:rPr>
              <w:t>No RE 639.856 (Tema 616, Rel. Min. Gilmar Mendes, j. 19/08/2025), o STF, sob repercussão geral, firmou a seguinte tese: "É constitucional a aplicação do fator previdenciário, instituído pela Lei 9.876/1999, aos benefícios concedidos a segurados filiados ao Regime Geral de Previdência Social antes de 16.12.1998, abrangidos pela regra de transição do art. 9º da EC 20/98."</w:t>
            </w:r>
          </w:p>
          <w:p w14:paraId="6A148568" w14:textId="77777777" w:rsidR="005A5FCC" w:rsidRDefault="00A21C81">
            <w:pPr>
              <w:spacing w:after="60" w:line="247" w:lineRule="auto"/>
            </w:pPr>
            <w:r>
              <w:rPr>
                <w:rFonts w:cs="EB Garamond"/>
                <w:b/>
                <w:kern w:val="16"/>
                <w:sz w:val="19"/>
                <w14:ligatures w14:val="standardContextual"/>
              </w:rPr>
              <w:t>Alcance:</w:t>
            </w:r>
            <w:r>
              <w:rPr>
                <w:rFonts w:cs="EB Garamond"/>
                <w:kern w:val="16"/>
                <w:sz w:val="19"/>
                <w14:ligatures w14:val="standardContextual"/>
              </w:rPr>
              <w:t xml:space="preserve"> o precedente confirma, com eficácia vinculante, a validade da incidência do fator previdenciário inclusive sobre os segurados já filiados ao sistema antes da EC 20/1998, afastando a alegação de violação a direito adquirido. Soma-se à declaração de constitucionalidade da Lei n. 9.876/99 obtida na ADI 2.111 (j. 21/03/2024), consolidando o entendimento de que a fórmula atuarial é compatível com a Constituição.</w:t>
            </w:r>
          </w:p>
          <w:p w14:paraId="304EE6FC" w14:textId="77777777" w:rsidR="005A5FCC" w:rsidRDefault="00A21C81">
            <w:pPr>
              <w:spacing w:after="60" w:line="247" w:lineRule="auto"/>
            </w:pPr>
            <w:r>
              <w:rPr>
                <w:rFonts w:cs="EB Garamond"/>
                <w:b/>
                <w:kern w:val="16"/>
                <w:sz w:val="19"/>
                <w14:ligatures w14:val="standardContextual"/>
              </w:rPr>
              <w:t>Reforço em repercussão geral (Tema 1.091/STF):</w:t>
            </w:r>
            <w:r>
              <w:rPr>
                <w:rFonts w:cs="EB Garamond"/>
                <w:kern w:val="16"/>
                <w:sz w:val="19"/>
                <w14:ligatures w14:val="standardContextual"/>
              </w:rPr>
              <w:t xml:space="preserve"> em sentido convergente, e de forma mais abrangente, o STF já havia firmado, por reafirmação de jurisprudência, a tese do Tema 1.091 (RE 1.221.630, j. 05/06/2020): "É constitucional o fator previdenciário previsto no art. 29, caput, incisos e parágrafos, da Lei nº 8.213/91, com a redação dada pelo art. 2º da Lei nº 9.876/99." Enquanto o Tema 616 trata do recorte dos segurados da transição da EC 20/1998, o Tema 1.091 atesta a constitucionalidade da própria fórmula em termos gerais.</w:t>
            </w:r>
          </w:p>
        </w:tc>
      </w:tr>
    </w:tbl>
    <w:p w14:paraId="4653F4BC" w14:textId="77777777" w:rsidR="005A5FCC" w:rsidRDefault="005A5FCC">
      <w:pPr>
        <w:spacing w:after="80" w:line="240" w:lineRule="auto"/>
      </w:pPr>
    </w:p>
    <w:p w14:paraId="1DE09E8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4D2E466F" w14:textId="77777777" w:rsidR="005A5FCC" w:rsidRDefault="00A21C81">
      <w:r>
        <w:rPr>
          <w:rFonts w:cs="EB Garamond"/>
          <w:kern w:val="16"/>
          <w14:ligatures w14:val="standardContextual"/>
        </w:rPr>
        <w:t xml:space="preserve"> declaração de constitucionalidade teve repercussão direta sobre outra controvérsia relevante. O art. 3º da Lei n. 9.876/99, que estabeleceu a regra de transição para os segurados filiados antes de sua vigência, permitindo o cálculo pela média dos 80% maiores salários de contribuição em vez da regra anterior dos 36 últimos meses, foi declarado norma cogente, de aplicação obrigatória, e não norma dispositiva que pudesse ser afastada por opção do segurado.</w:t>
      </w:r>
    </w:p>
    <w:p w14:paraId="0350DC4E" w14:textId="77777777" w:rsidR="005A5FCC" w:rsidRDefault="00A21C81">
      <w:pPr>
        <w:ind w:firstLine="238"/>
      </w:pPr>
      <w:r>
        <w:rPr>
          <w:rFonts w:cs="EB Garamond"/>
          <w:kern w:val="16"/>
          <w14:ligatures w14:val="standardContextual"/>
        </w:rPr>
        <w:t>Essa declaração de cogência do art. 3º da Lei n. 9.876/99 constituiu um dos fundamentos centrais para a reversão da tese da Revisão da Vida Toda pelo STF, conforme analisaremos na seção 16.11. A lógica foi a seguinte: se o art. 3º da Lei n. 9.876/99 é cogente (e não facultativo), o segurado não pode optar pela regra do art. 29 da Lei n. 8.213/91 em sua redação original — e, portanto, não pode incluir no cálculo os salários de contribuição anteriores a julho de 1994.</w:t>
      </w:r>
    </w:p>
    <w:p w14:paraId="502056DB" w14:textId="0CFB5EC3" w:rsidR="005A5FCC" w:rsidRDefault="00A21C81">
      <w:pPr>
        <w:spacing w:before="260" w:after="80" w:line="240" w:lineRule="auto"/>
        <w:jc w:val="left"/>
      </w:pPr>
      <w:r>
        <w:rPr>
          <w:rFonts w:cs="EB Garamond"/>
          <w:b/>
          <w:color w:val="3A3128"/>
          <w:kern w:val="16"/>
          <w:sz w:val="25"/>
          <w14:ligatures w14:val="standardContextual"/>
        </w:rPr>
        <w:lastRenderedPageBreak/>
        <w:t>16.4.4 A regra 85/95 (</w:t>
      </w:r>
      <w:r w:rsidR="0046359E">
        <w:rPr>
          <w:rFonts w:cs="EB Garamond"/>
          <w:b/>
          <w:color w:val="3A3128"/>
          <w:kern w:val="16"/>
          <w:sz w:val="25"/>
          <w14:ligatures w14:val="standardContextual"/>
        </w:rPr>
        <w:t>L</w:t>
      </w:r>
      <w:r>
        <w:rPr>
          <w:rFonts w:cs="EB Garamond"/>
          <w:b/>
          <w:color w:val="3A3128"/>
          <w:kern w:val="16"/>
          <w:sz w:val="25"/>
          <w14:ligatures w14:val="standardContextual"/>
        </w:rPr>
        <w:t>ei n. 13.183/2015)</w:t>
      </w:r>
    </w:p>
    <w:p w14:paraId="03B0E41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342ABFEA" w14:textId="77777777" w:rsidR="005A5FCC" w:rsidRDefault="00A21C81">
      <w:r>
        <w:rPr>
          <w:rFonts w:cs="EB Garamond"/>
          <w:kern w:val="16"/>
          <w14:ligatures w14:val="standardContextual"/>
        </w:rPr>
        <w:t xml:space="preserve"> insatisfação dos segurados com os efeitos redutores do fator previdenciário levou à criação, pela Lei n. 13.183/2015, da chamada regra 85/95 — alternativa que permitia ao segurado afastar a aplicação do fator quando atingisse pontuação mínima (soma de idade e tempo de contribuição). O segurado mulher precisava atingir 85 pontos, e o homem, 95 pontos, com progressão bianual até atingir 90/100 pontos. Ao atingir a pontuação, o segurado aposentava-se com 100% do salário de benefício, sem incidência do fator.</w:t>
      </w:r>
    </w:p>
    <w:p w14:paraId="67113605" w14:textId="77777777" w:rsidR="005A5FCC" w:rsidRDefault="00A21C81">
      <w:pPr>
        <w:ind w:firstLine="238"/>
      </w:pPr>
      <w:r>
        <w:rPr>
          <w:rFonts w:cs="EB Garamond"/>
          <w:kern w:val="16"/>
          <w14:ligatures w14:val="standardContextual"/>
        </w:rPr>
        <w:t>A regra 85/95 foi tratada em detalhe na seção 11.9, com o exemplo da segurada Sônia e a tabela de progressão de pontos, a que remetemos o leitor. A regra 85/95 perdeu aplicabilidade prática após a EC 103/2019, subsistindo apenas para os segurados com direito adquirido — aqueles que atingiram a pontuação mínima até 12 de novembro de 2019. Para os demais, a regra foi absorvida pela nova sistemática das regras de transição (arts. 15 a 20 da EC 103).</w:t>
      </w:r>
    </w:p>
    <w:p w14:paraId="1A5238A2" w14:textId="77777777" w:rsidR="005A5FCC" w:rsidRDefault="00A21C81">
      <w:pPr>
        <w:spacing w:before="260" w:after="80" w:line="240" w:lineRule="auto"/>
        <w:jc w:val="left"/>
      </w:pPr>
      <w:r>
        <w:rPr>
          <w:rFonts w:cs="EB Garamond"/>
          <w:b/>
          <w:color w:val="3A3128"/>
          <w:kern w:val="16"/>
          <w:sz w:val="25"/>
          <w14:ligatures w14:val="standardContextual"/>
        </w:rPr>
        <w:t>16.4.5 Aplicabilidade do fator previdenciário pós-EC 103/2019</w:t>
      </w:r>
    </w:p>
    <w:p w14:paraId="5F535805"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1B64A85C" w14:textId="77777777" w:rsidR="005A5FCC" w:rsidRDefault="00A21C81">
      <w:r>
        <w:rPr>
          <w:rFonts w:cs="EB Garamond"/>
          <w:kern w:val="16"/>
          <w14:ligatures w14:val="standardContextual"/>
        </w:rPr>
        <w:t xml:space="preserve"> EC 103/2019, ao substituir a fórmula de cálculo dos benefícios pelo coeficiente de 60% + 2%, não revogou expressamente o fator previdenciário. A questão que se coloca é: em quais hipóteses o fator previdenciário ainda se aplica após a reforma?</w:t>
      </w:r>
    </w:p>
    <w:p w14:paraId="7F9BA484" w14:textId="77777777" w:rsidR="005A5FCC" w:rsidRDefault="00A21C81">
      <w:pPr>
        <w:ind w:firstLine="238"/>
      </w:pPr>
      <w:r>
        <w:rPr>
          <w:rFonts w:cs="EB Garamond"/>
          <w:kern w:val="16"/>
          <w14:ligatures w14:val="standardContextual"/>
        </w:rPr>
        <w:t>A resposta varia conforme a situação do segurado:</w:t>
      </w:r>
    </w:p>
    <w:p w14:paraId="110346A7" w14:textId="77777777" w:rsidR="005A5FCC" w:rsidRDefault="00A21C81">
      <w:pPr>
        <w:ind w:firstLine="238"/>
      </w:pPr>
      <w:r>
        <w:rPr>
          <w:rFonts w:cs="EB Garamond"/>
          <w:b/>
          <w:kern w:val="16"/>
          <w14:ligatures w14:val="standardContextual"/>
        </w:rPr>
        <w:t>a) Aplicação obrigatória:</w:t>
      </w:r>
      <w:r>
        <w:rPr>
          <w:rFonts w:cs="EB Garamond"/>
          <w:kern w:val="16"/>
          <w14:ligatures w14:val="standardContextual"/>
        </w:rPr>
        <w:t xml:space="preserve"> O fator previdenciário continua de incidência obrigatória na regra de transição do art. 17 da EC 103/2019 (pedágio de 50%), conforme analisado na seção 11.6. Nessa regra, o segurado aposenta-se com 100% do salário de benefício (média dos 80% maiores SC, regra antiga), com aplicação obrigatória do fator. O resultado pode ser superior ou inferior ao salário de benefício, dependendo do perfil do segurado.</w:t>
      </w:r>
    </w:p>
    <w:p w14:paraId="45BA4152" w14:textId="77777777" w:rsidR="005A5FCC" w:rsidRDefault="00A21C81">
      <w:pPr>
        <w:ind w:firstLine="238"/>
      </w:pPr>
      <w:r>
        <w:rPr>
          <w:rFonts w:cs="EB Garamond"/>
          <w:b/>
          <w:kern w:val="16"/>
          <w14:ligatures w14:val="standardContextual"/>
        </w:rPr>
        <w:t>b) Aplicação facultativa ("quando mais vantajoso"):</w:t>
      </w:r>
      <w:r>
        <w:rPr>
          <w:rFonts w:cs="EB Garamond"/>
          <w:kern w:val="16"/>
          <w14:ligatures w14:val="standardContextual"/>
        </w:rPr>
        <w:t xml:space="preserve"> Para os segurados com direito adquirido à aposentadoria por idade na regra anterior à EC 103, o fator previdenciário era aplicado apenas quando mais favorável ao segurado (art. 7º da Lei n. 9.876/99). Essa regra permanece para os casos de direito adquirido. </w:t>
      </w:r>
      <w:r>
        <w:rPr>
          <w:rFonts w:cs="EB Garamond"/>
          <w:kern w:val="16"/>
          <w14:ligatures w14:val="standardContextual"/>
        </w:rPr>
        <w:lastRenderedPageBreak/>
        <w:t>Do mesmo modo, para os segurados com direito adquirido à aposentadoria por tempo de contribuição da pessoa com deficiência (LC 142/2013), o fator previdenciário é aplicado apenas quando benéfico.</w:t>
      </w:r>
    </w:p>
    <w:p w14:paraId="1568B9AA" w14:textId="77777777" w:rsidR="005A5FCC" w:rsidRDefault="00A21C81">
      <w:pPr>
        <w:ind w:firstLine="238"/>
      </w:pPr>
      <w:r>
        <w:rPr>
          <w:rFonts w:cs="EB Garamond"/>
          <w:b/>
          <w:kern w:val="16"/>
          <w14:ligatures w14:val="standardContextual"/>
        </w:rPr>
        <w:t>c) Não se aplica:</w:t>
      </w:r>
      <w:r>
        <w:rPr>
          <w:rFonts w:cs="EB Garamond"/>
          <w:kern w:val="16"/>
          <w14:ligatures w14:val="standardContextual"/>
        </w:rPr>
        <w:t xml:space="preserve"> Para os benefícios calculados exclusivamente pela regra pós-EC 103 — aposentadoria programada (denominação adotada pela EC 103 e pela regulamentação infralegal para o benefício do art. 201, § 7º, I, da CF), aposentadoria por incapacidade permanente (arts. 26, §§ 2º e 3º, EC 103), regras de transição dos arts. 15, 16 e 20 da EC 103 —, o fator previdenciário não se aplica. Nesses casos, o cálculo é feito exclusivamente pelo coeficiente de 60% + 2%, sem qualquer incidência da fórmula atuarial do fator.</w:t>
      </w:r>
    </w:p>
    <w:p w14:paraId="6DA75E2F" w14:textId="7B17A6FB"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 xml:space="preserve">16.5 Coeficiente de cálculo </w:t>
      </w:r>
      <w:r w:rsidR="00556D31">
        <w:rPr>
          <w:rFonts w:cs="EB Garamond"/>
          <w:b/>
          <w:color w:val="3A3128"/>
          <w:kern w:val="16"/>
          <w:sz w:val="31"/>
          <w14:ligatures w14:val="standardContextual"/>
        </w:rPr>
        <w:t>p</w:t>
      </w:r>
      <w:r>
        <w:rPr>
          <w:rFonts w:cs="EB Garamond"/>
          <w:b/>
          <w:color w:val="3A3128"/>
          <w:kern w:val="16"/>
          <w:sz w:val="31"/>
          <w14:ligatures w14:val="standardContextual"/>
        </w:rPr>
        <w:t>ós-EC 103/2019</w:t>
      </w:r>
    </w:p>
    <w:p w14:paraId="48D53074"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35B0A3E3" w14:textId="77777777" w:rsidR="005A5FCC" w:rsidRDefault="00A21C81">
      <w:r>
        <w:rPr>
          <w:rFonts w:cs="EB Garamond"/>
          <w:kern w:val="16"/>
          <w14:ligatures w14:val="standardContextual"/>
        </w:rPr>
        <w:t xml:space="preserve"> EC 103/2019 substituiu a multiplicidade de coeficientes de cálculo que vigoravam na legislação anterior por uma fórmula unificada, prevista no art. 26, §§ 2º a 5º. Essa fórmula, ao vincular o percentual do benefício ao tempo de contribuição do segurado, estabeleceu um sistema progressivo em que a renda mensal inicial cresce proporcionalmente ao período contributivo. A lógica é de incentivo à permanência no sistema: quanto mais tempo o segurado contribui, maior o percentual que receberá.</w:t>
      </w:r>
    </w:p>
    <w:p w14:paraId="548C1BD2" w14:textId="77777777" w:rsidR="005A5FCC" w:rsidRDefault="00A21C81">
      <w:pPr>
        <w:spacing w:before="260" w:after="80" w:line="240" w:lineRule="auto"/>
        <w:jc w:val="left"/>
      </w:pPr>
      <w:r>
        <w:rPr>
          <w:rFonts w:cs="EB Garamond"/>
          <w:b/>
          <w:color w:val="3A3128"/>
          <w:kern w:val="16"/>
          <w:sz w:val="25"/>
          <w14:ligatures w14:val="standardContextual"/>
        </w:rPr>
        <w:t>16.5.1 Regra geral: 60% + 2% por ano excedente</w:t>
      </w:r>
    </w:p>
    <w:p w14:paraId="1E1437C2"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08ABD99B" w14:textId="77777777" w:rsidR="005A5FCC" w:rsidRDefault="00A21C81">
      <w:r>
        <w:rPr>
          <w:rFonts w:cs="EB Garamond"/>
          <w:kern w:val="16"/>
          <w14:ligatures w14:val="standardContextual"/>
        </w:rPr>
        <w:t xml:space="preserve"> regra geral do coeficiente pós-EC 103, examinada pela doutrina, está no art. 26, § 2º. O benefício corresponde a 60% do salário de benefício, acrescidos de 2 pontos percentuais para cada ano de contribuição que exceder 20 anos (para o homem) ou 15 anos (para a mulher).</w:t>
      </w:r>
    </w:p>
    <w:p w14:paraId="43C7D7C4" w14:textId="77777777" w:rsidR="005A5FCC" w:rsidRDefault="00A21C81">
      <w:pPr>
        <w:ind w:firstLine="238"/>
      </w:pPr>
      <w:r>
        <w:rPr>
          <w:rFonts w:cs="EB Garamond"/>
          <w:kern w:val="16"/>
          <w14:ligatures w14:val="standardContextual"/>
        </w:rPr>
        <w:t xml:space="preserve">A fórmula é: </w:t>
      </w:r>
      <w:r>
        <w:rPr>
          <w:rFonts w:cs="EB Garamond"/>
          <w:b/>
          <w:kern w:val="16"/>
          <w14:ligatures w14:val="standardContextual"/>
        </w:rPr>
        <w:t>RMI = SB × [60% + 2% × (TC – 20)]</w:t>
      </w:r>
      <w:r>
        <w:rPr>
          <w:rFonts w:cs="EB Garamond"/>
          <w:kern w:val="16"/>
          <w14:ligatures w14:val="standardContextual"/>
        </w:rPr>
        <w:t xml:space="preserve"> para homens, e </w:t>
      </w:r>
      <w:r>
        <w:rPr>
          <w:rFonts w:cs="EB Garamond"/>
          <w:b/>
          <w:kern w:val="16"/>
          <w14:ligatures w14:val="standardContextual"/>
        </w:rPr>
        <w:t>RMI = SB × [60% + 2% × (TC – 15)]</w:t>
      </w:r>
      <w:r>
        <w:rPr>
          <w:rFonts w:cs="EB Garamond"/>
          <w:kern w:val="16"/>
          <w14:ligatures w14:val="standardContextual"/>
        </w:rPr>
        <w:t xml:space="preserve"> para mulheres.</w:t>
      </w:r>
    </w:p>
    <w:p w14:paraId="64AD467A" w14:textId="77777777" w:rsidR="005A5FCC" w:rsidRDefault="00A21C81">
      <w:pPr>
        <w:ind w:firstLine="238"/>
      </w:pPr>
      <w:r>
        <w:rPr>
          <w:rFonts w:cs="EB Garamond"/>
          <w:kern w:val="16"/>
          <w14:ligatures w14:val="standardContextual"/>
        </w:rPr>
        <w:t>Em termos práticos, um homem atinge 100% do salário de benefício com 40 anos de contribuição: 60% + 2% × (40 – 20) = 60% + 40% = 100%. Uma mulher atinge 100% com 35 anos de contribuição: 60% + 2% × (35 – 15) = 60% + 40% = 100%.</w:t>
      </w:r>
    </w:p>
    <w:p w14:paraId="6675B313" w14:textId="77777777" w:rsidR="005A5FCC" w:rsidRDefault="00A21C81">
      <w:pPr>
        <w:ind w:firstLine="238"/>
      </w:pPr>
      <w:r>
        <w:rPr>
          <w:rFonts w:cs="EB Garamond"/>
          <w:kern w:val="16"/>
          <w14:ligatures w14:val="standardContextual"/>
        </w:rPr>
        <w:lastRenderedPageBreak/>
        <w:t>A fórmula não prevê teto percentual expresso. O segurado que contribuir por período superior ao necessário para atingir 100% receberá coeficiente superior a 100% — situação que beneficia os segurados com longo tempo de contribuição. Um homem com 45 anos de contribuição receberá coeficiente de 110%; uma mulher com 40 anos de contribuição, igualmente 110%.</w:t>
      </w:r>
    </w:p>
    <w:p w14:paraId="4C63CA4D" w14:textId="77777777" w:rsidR="005A5FCC" w:rsidRDefault="00A21C81">
      <w:pPr>
        <w:ind w:firstLine="238"/>
      </w:pPr>
      <w:r>
        <w:rPr>
          <w:rFonts w:cs="EB Garamond"/>
          <w:kern w:val="16"/>
          <w14:ligatures w14:val="standardContextual"/>
        </w:rPr>
        <w:t>A tabela a seguir apresenta os coeficientes para diferentes tempos de contribuição, por sexo:</w:t>
      </w:r>
    </w:p>
    <w:tbl>
      <w:tblPr>
        <w:tblW w:w="5000" w:type="pct"/>
        <w:jc w:val="center"/>
        <w:tblLook w:val="04A0" w:firstRow="1" w:lastRow="0" w:firstColumn="1" w:lastColumn="0" w:noHBand="0" w:noVBand="1"/>
      </w:tblPr>
      <w:tblGrid>
        <w:gridCol w:w="2114"/>
        <w:gridCol w:w="2113"/>
        <w:gridCol w:w="2113"/>
      </w:tblGrid>
      <w:tr w:rsidR="005A5FCC" w14:paraId="3D145170" w14:textId="77777777">
        <w:trPr>
          <w:tblHeader/>
          <w:jc w:val="center"/>
        </w:trPr>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2B54C31E" w14:textId="77777777" w:rsidR="005A5FCC" w:rsidRDefault="00A21C81">
            <w:pPr>
              <w:spacing w:before="40" w:after="40" w:line="240" w:lineRule="auto"/>
              <w:jc w:val="center"/>
            </w:pPr>
            <w:r>
              <w:rPr>
                <w:rFonts w:cs="EB Garamond"/>
                <w:b/>
                <w:color w:val="2F2923"/>
                <w:kern w:val="16"/>
                <w:sz w:val="18"/>
                <w14:ligatures w14:val="standardContextual"/>
              </w:rPr>
              <w:t>TC (anos)</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6DCE12E3" w14:textId="77777777" w:rsidR="005A5FCC" w:rsidRDefault="00A21C81">
            <w:pPr>
              <w:spacing w:before="40" w:after="40" w:line="240" w:lineRule="auto"/>
              <w:jc w:val="center"/>
            </w:pPr>
            <w:r>
              <w:rPr>
                <w:rFonts w:cs="EB Garamond"/>
                <w:b/>
                <w:color w:val="2F2923"/>
                <w:kern w:val="16"/>
                <w:sz w:val="18"/>
                <w14:ligatures w14:val="standardContextual"/>
              </w:rPr>
              <w:t>Coeficiente Homem</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15B78920" w14:textId="77777777" w:rsidR="005A5FCC" w:rsidRDefault="00A21C81">
            <w:pPr>
              <w:spacing w:before="40" w:after="40" w:line="240" w:lineRule="auto"/>
              <w:jc w:val="center"/>
            </w:pPr>
            <w:r>
              <w:rPr>
                <w:rFonts w:cs="EB Garamond"/>
                <w:b/>
                <w:color w:val="2F2923"/>
                <w:kern w:val="16"/>
                <w:sz w:val="18"/>
                <w14:ligatures w14:val="standardContextual"/>
              </w:rPr>
              <w:t>Coeficiente Mulher</w:t>
            </w:r>
          </w:p>
        </w:tc>
      </w:tr>
      <w:tr w:rsidR="005A5FCC" w14:paraId="415C1D9B"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4F851419" w14:textId="77777777" w:rsidR="005A5FCC" w:rsidRDefault="00A21C81">
            <w:pPr>
              <w:spacing w:before="20" w:after="20" w:line="240" w:lineRule="auto"/>
              <w:jc w:val="left"/>
            </w:pPr>
            <w:r>
              <w:rPr>
                <w:rFonts w:cs="EB Garamond"/>
                <w:kern w:val="16"/>
                <w:sz w:val="18"/>
                <w14:ligatures w14:val="standardContextual"/>
              </w:rPr>
              <w:t>15</w:t>
            </w:r>
          </w:p>
        </w:tc>
        <w:tc>
          <w:tcPr>
            <w:tcW w:w="2117" w:type="dxa"/>
            <w:tcBorders>
              <w:top w:val="single" w:sz="4" w:space="0" w:color="D2C9B8"/>
              <w:left w:val="single" w:sz="4" w:space="0" w:color="D2C9B8"/>
              <w:bottom w:val="single" w:sz="4" w:space="0" w:color="D2C9B8"/>
              <w:right w:val="single" w:sz="4" w:space="0" w:color="D2C9B8"/>
            </w:tcBorders>
          </w:tcPr>
          <w:p w14:paraId="3F60D7D4" w14:textId="77777777" w:rsidR="005A5FCC" w:rsidRDefault="00A21C81">
            <w:pPr>
              <w:spacing w:before="20" w:after="20" w:line="240" w:lineRule="auto"/>
              <w:jc w:val="left"/>
            </w:pPr>
            <w:r>
              <w:rPr>
                <w:rFonts w:cs="EB Garamond"/>
                <w:kern w:val="16"/>
                <w:sz w:val="18"/>
                <w14:ligatures w14:val="standardContextual"/>
              </w:rPr>
              <w:t>60% (mínimo feminino)</w:t>
            </w:r>
          </w:p>
        </w:tc>
        <w:tc>
          <w:tcPr>
            <w:tcW w:w="2117" w:type="dxa"/>
            <w:tcBorders>
              <w:top w:val="single" w:sz="4" w:space="0" w:color="D2C9B8"/>
              <w:left w:val="single" w:sz="4" w:space="0" w:color="D2C9B8"/>
              <w:bottom w:val="single" w:sz="4" w:space="0" w:color="D2C9B8"/>
              <w:right w:val="single" w:sz="4" w:space="0" w:color="D2C9B8"/>
            </w:tcBorders>
          </w:tcPr>
          <w:p w14:paraId="0144A434" w14:textId="77777777" w:rsidR="005A5FCC" w:rsidRDefault="00A21C81">
            <w:pPr>
              <w:spacing w:before="20" w:after="20" w:line="240" w:lineRule="auto"/>
              <w:jc w:val="left"/>
            </w:pPr>
            <w:r>
              <w:rPr>
                <w:rFonts w:cs="EB Garamond"/>
                <w:kern w:val="16"/>
                <w:sz w:val="18"/>
                <w14:ligatures w14:val="standardContextual"/>
              </w:rPr>
              <w:t>60%</w:t>
            </w:r>
          </w:p>
        </w:tc>
      </w:tr>
      <w:tr w:rsidR="005A5FCC" w14:paraId="1CF69A10"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05E89E6D" w14:textId="77777777" w:rsidR="005A5FCC" w:rsidRDefault="00A21C81">
            <w:pPr>
              <w:spacing w:before="20" w:after="20" w:line="240" w:lineRule="auto"/>
              <w:jc w:val="left"/>
            </w:pPr>
            <w:r>
              <w:rPr>
                <w:rFonts w:cs="EB Garamond"/>
                <w:kern w:val="16"/>
                <w:sz w:val="18"/>
                <w14:ligatures w14:val="standardContextual"/>
              </w:rPr>
              <w:t>20</w:t>
            </w:r>
          </w:p>
        </w:tc>
        <w:tc>
          <w:tcPr>
            <w:tcW w:w="2117" w:type="dxa"/>
            <w:tcBorders>
              <w:top w:val="single" w:sz="4" w:space="0" w:color="D2C9B8"/>
              <w:left w:val="single" w:sz="4" w:space="0" w:color="D2C9B8"/>
              <w:bottom w:val="single" w:sz="4" w:space="0" w:color="D2C9B8"/>
              <w:right w:val="single" w:sz="4" w:space="0" w:color="D2C9B8"/>
            </w:tcBorders>
          </w:tcPr>
          <w:p w14:paraId="481275BE" w14:textId="77777777" w:rsidR="005A5FCC" w:rsidRDefault="00A21C81">
            <w:pPr>
              <w:spacing w:before="20" w:after="20" w:line="240" w:lineRule="auto"/>
              <w:jc w:val="left"/>
            </w:pPr>
            <w:r>
              <w:rPr>
                <w:rFonts w:cs="EB Garamond"/>
                <w:kern w:val="16"/>
                <w:sz w:val="18"/>
                <w14:ligatures w14:val="standardContextual"/>
              </w:rPr>
              <w:t>60%</w:t>
            </w:r>
          </w:p>
        </w:tc>
        <w:tc>
          <w:tcPr>
            <w:tcW w:w="2117" w:type="dxa"/>
            <w:tcBorders>
              <w:top w:val="single" w:sz="4" w:space="0" w:color="D2C9B8"/>
              <w:left w:val="single" w:sz="4" w:space="0" w:color="D2C9B8"/>
              <w:bottom w:val="single" w:sz="4" w:space="0" w:color="D2C9B8"/>
              <w:right w:val="single" w:sz="4" w:space="0" w:color="D2C9B8"/>
            </w:tcBorders>
          </w:tcPr>
          <w:p w14:paraId="073BD211" w14:textId="77777777" w:rsidR="005A5FCC" w:rsidRDefault="00A21C81">
            <w:pPr>
              <w:spacing w:before="20" w:after="20" w:line="240" w:lineRule="auto"/>
              <w:jc w:val="left"/>
            </w:pPr>
            <w:r>
              <w:rPr>
                <w:rFonts w:cs="EB Garamond"/>
                <w:kern w:val="16"/>
                <w:sz w:val="18"/>
                <w14:ligatures w14:val="standardContextual"/>
              </w:rPr>
              <w:t>70%</w:t>
            </w:r>
          </w:p>
        </w:tc>
      </w:tr>
      <w:tr w:rsidR="005A5FCC" w14:paraId="52F51ED9"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3B812105" w14:textId="77777777" w:rsidR="005A5FCC" w:rsidRDefault="00A21C81">
            <w:pPr>
              <w:spacing w:before="20" w:after="20" w:line="240" w:lineRule="auto"/>
              <w:jc w:val="left"/>
            </w:pPr>
            <w:r>
              <w:rPr>
                <w:rFonts w:cs="EB Garamond"/>
                <w:kern w:val="16"/>
                <w:sz w:val="18"/>
                <w14:ligatures w14:val="standardContextual"/>
              </w:rPr>
              <w:t>25</w:t>
            </w:r>
          </w:p>
        </w:tc>
        <w:tc>
          <w:tcPr>
            <w:tcW w:w="2117" w:type="dxa"/>
            <w:tcBorders>
              <w:top w:val="single" w:sz="4" w:space="0" w:color="D2C9B8"/>
              <w:left w:val="single" w:sz="4" w:space="0" w:color="D2C9B8"/>
              <w:bottom w:val="single" w:sz="4" w:space="0" w:color="D2C9B8"/>
              <w:right w:val="single" w:sz="4" w:space="0" w:color="D2C9B8"/>
            </w:tcBorders>
          </w:tcPr>
          <w:p w14:paraId="63DC820C" w14:textId="77777777" w:rsidR="005A5FCC" w:rsidRDefault="00A21C81">
            <w:pPr>
              <w:spacing w:before="20" w:after="20" w:line="240" w:lineRule="auto"/>
              <w:jc w:val="left"/>
            </w:pPr>
            <w:r>
              <w:rPr>
                <w:rFonts w:cs="EB Garamond"/>
                <w:kern w:val="16"/>
                <w:sz w:val="18"/>
                <w14:ligatures w14:val="standardContextual"/>
              </w:rPr>
              <w:t>70%</w:t>
            </w:r>
          </w:p>
        </w:tc>
        <w:tc>
          <w:tcPr>
            <w:tcW w:w="2117" w:type="dxa"/>
            <w:tcBorders>
              <w:top w:val="single" w:sz="4" w:space="0" w:color="D2C9B8"/>
              <w:left w:val="single" w:sz="4" w:space="0" w:color="D2C9B8"/>
              <w:bottom w:val="single" w:sz="4" w:space="0" w:color="D2C9B8"/>
              <w:right w:val="single" w:sz="4" w:space="0" w:color="D2C9B8"/>
            </w:tcBorders>
          </w:tcPr>
          <w:p w14:paraId="1D760045" w14:textId="77777777" w:rsidR="005A5FCC" w:rsidRDefault="00A21C81">
            <w:pPr>
              <w:spacing w:before="20" w:after="20" w:line="240" w:lineRule="auto"/>
              <w:jc w:val="left"/>
            </w:pPr>
            <w:r>
              <w:rPr>
                <w:rFonts w:cs="EB Garamond"/>
                <w:kern w:val="16"/>
                <w:sz w:val="18"/>
                <w14:ligatures w14:val="standardContextual"/>
              </w:rPr>
              <w:t>80%</w:t>
            </w:r>
          </w:p>
        </w:tc>
      </w:tr>
      <w:tr w:rsidR="005A5FCC" w14:paraId="14C3D42E"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20AD451F" w14:textId="77777777" w:rsidR="005A5FCC" w:rsidRDefault="00A21C81">
            <w:pPr>
              <w:spacing w:before="20" w:after="20" w:line="240" w:lineRule="auto"/>
              <w:jc w:val="left"/>
            </w:pPr>
            <w:r>
              <w:rPr>
                <w:rFonts w:cs="EB Garamond"/>
                <w:kern w:val="16"/>
                <w:sz w:val="18"/>
                <w14:ligatures w14:val="standardContextual"/>
              </w:rPr>
              <w:t>30</w:t>
            </w:r>
          </w:p>
        </w:tc>
        <w:tc>
          <w:tcPr>
            <w:tcW w:w="2117" w:type="dxa"/>
            <w:tcBorders>
              <w:top w:val="single" w:sz="4" w:space="0" w:color="D2C9B8"/>
              <w:left w:val="single" w:sz="4" w:space="0" w:color="D2C9B8"/>
              <w:bottom w:val="single" w:sz="4" w:space="0" w:color="D2C9B8"/>
              <w:right w:val="single" w:sz="4" w:space="0" w:color="D2C9B8"/>
            </w:tcBorders>
          </w:tcPr>
          <w:p w14:paraId="32418B62" w14:textId="77777777" w:rsidR="005A5FCC" w:rsidRDefault="00A21C81">
            <w:pPr>
              <w:spacing w:before="20" w:after="20" w:line="240" w:lineRule="auto"/>
              <w:jc w:val="left"/>
            </w:pPr>
            <w:r>
              <w:rPr>
                <w:rFonts w:cs="EB Garamond"/>
                <w:kern w:val="16"/>
                <w:sz w:val="18"/>
                <w14:ligatures w14:val="standardContextual"/>
              </w:rPr>
              <w:t>80%</w:t>
            </w:r>
          </w:p>
        </w:tc>
        <w:tc>
          <w:tcPr>
            <w:tcW w:w="2117" w:type="dxa"/>
            <w:tcBorders>
              <w:top w:val="single" w:sz="4" w:space="0" w:color="D2C9B8"/>
              <w:left w:val="single" w:sz="4" w:space="0" w:color="D2C9B8"/>
              <w:bottom w:val="single" w:sz="4" w:space="0" w:color="D2C9B8"/>
              <w:right w:val="single" w:sz="4" w:space="0" w:color="D2C9B8"/>
            </w:tcBorders>
          </w:tcPr>
          <w:p w14:paraId="178CEF44" w14:textId="77777777" w:rsidR="005A5FCC" w:rsidRDefault="00A21C81">
            <w:pPr>
              <w:spacing w:before="20" w:after="20" w:line="240" w:lineRule="auto"/>
              <w:jc w:val="left"/>
            </w:pPr>
            <w:r>
              <w:rPr>
                <w:rFonts w:cs="EB Garamond"/>
                <w:kern w:val="16"/>
                <w:sz w:val="18"/>
                <w14:ligatures w14:val="standardContextual"/>
              </w:rPr>
              <w:t>90%</w:t>
            </w:r>
          </w:p>
        </w:tc>
      </w:tr>
      <w:tr w:rsidR="005A5FCC" w14:paraId="24B5F10E"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37AF9F56" w14:textId="77777777" w:rsidR="005A5FCC" w:rsidRDefault="00A21C81">
            <w:pPr>
              <w:spacing w:before="20" w:after="20" w:line="240" w:lineRule="auto"/>
              <w:jc w:val="left"/>
            </w:pPr>
            <w:r>
              <w:rPr>
                <w:rFonts w:cs="EB Garamond"/>
                <w:kern w:val="16"/>
                <w:sz w:val="18"/>
                <w14:ligatures w14:val="standardContextual"/>
              </w:rPr>
              <w:t>35</w:t>
            </w:r>
          </w:p>
        </w:tc>
        <w:tc>
          <w:tcPr>
            <w:tcW w:w="2117" w:type="dxa"/>
            <w:tcBorders>
              <w:top w:val="single" w:sz="4" w:space="0" w:color="D2C9B8"/>
              <w:left w:val="single" w:sz="4" w:space="0" w:color="D2C9B8"/>
              <w:bottom w:val="single" w:sz="4" w:space="0" w:color="D2C9B8"/>
              <w:right w:val="single" w:sz="4" w:space="0" w:color="D2C9B8"/>
            </w:tcBorders>
          </w:tcPr>
          <w:p w14:paraId="678069AD" w14:textId="77777777" w:rsidR="005A5FCC" w:rsidRDefault="00A21C81">
            <w:pPr>
              <w:spacing w:before="20" w:after="20" w:line="240" w:lineRule="auto"/>
              <w:jc w:val="left"/>
            </w:pPr>
            <w:r>
              <w:rPr>
                <w:rFonts w:cs="EB Garamond"/>
                <w:kern w:val="16"/>
                <w:sz w:val="18"/>
                <w14:ligatures w14:val="standardContextual"/>
              </w:rPr>
              <w:t>90%</w:t>
            </w:r>
          </w:p>
        </w:tc>
        <w:tc>
          <w:tcPr>
            <w:tcW w:w="2117" w:type="dxa"/>
            <w:tcBorders>
              <w:top w:val="single" w:sz="4" w:space="0" w:color="D2C9B8"/>
              <w:left w:val="single" w:sz="4" w:space="0" w:color="D2C9B8"/>
              <w:bottom w:val="single" w:sz="4" w:space="0" w:color="D2C9B8"/>
              <w:right w:val="single" w:sz="4" w:space="0" w:color="D2C9B8"/>
            </w:tcBorders>
          </w:tcPr>
          <w:p w14:paraId="4462FDF8" w14:textId="77777777" w:rsidR="005A5FCC" w:rsidRDefault="00A21C81">
            <w:pPr>
              <w:spacing w:before="20" w:after="20" w:line="240" w:lineRule="auto"/>
              <w:jc w:val="left"/>
            </w:pPr>
            <w:r>
              <w:rPr>
                <w:rFonts w:cs="EB Garamond"/>
                <w:kern w:val="16"/>
                <w:sz w:val="18"/>
                <w14:ligatures w14:val="standardContextual"/>
              </w:rPr>
              <w:t>100%</w:t>
            </w:r>
          </w:p>
        </w:tc>
      </w:tr>
      <w:tr w:rsidR="005A5FCC" w14:paraId="351D2C1D"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72ED7761" w14:textId="77777777" w:rsidR="005A5FCC" w:rsidRDefault="00A21C81">
            <w:pPr>
              <w:spacing w:before="20" w:after="20" w:line="240" w:lineRule="auto"/>
              <w:jc w:val="left"/>
            </w:pPr>
            <w:r>
              <w:rPr>
                <w:rFonts w:cs="EB Garamond"/>
                <w:kern w:val="16"/>
                <w:sz w:val="18"/>
                <w14:ligatures w14:val="standardContextual"/>
              </w:rPr>
              <w:t>40</w:t>
            </w:r>
          </w:p>
        </w:tc>
        <w:tc>
          <w:tcPr>
            <w:tcW w:w="2117" w:type="dxa"/>
            <w:tcBorders>
              <w:top w:val="single" w:sz="4" w:space="0" w:color="D2C9B8"/>
              <w:left w:val="single" w:sz="4" w:space="0" w:color="D2C9B8"/>
              <w:bottom w:val="single" w:sz="4" w:space="0" w:color="D2C9B8"/>
              <w:right w:val="single" w:sz="4" w:space="0" w:color="D2C9B8"/>
            </w:tcBorders>
          </w:tcPr>
          <w:p w14:paraId="1B09C784" w14:textId="77777777" w:rsidR="005A5FCC" w:rsidRDefault="00A21C81">
            <w:pPr>
              <w:spacing w:before="20" w:after="20" w:line="240" w:lineRule="auto"/>
              <w:jc w:val="left"/>
            </w:pPr>
            <w:r>
              <w:rPr>
                <w:rFonts w:cs="EB Garamond"/>
                <w:kern w:val="16"/>
                <w:sz w:val="18"/>
                <w14:ligatures w14:val="standardContextual"/>
              </w:rPr>
              <w:t>100%</w:t>
            </w:r>
          </w:p>
        </w:tc>
        <w:tc>
          <w:tcPr>
            <w:tcW w:w="2117" w:type="dxa"/>
            <w:tcBorders>
              <w:top w:val="single" w:sz="4" w:space="0" w:color="D2C9B8"/>
              <w:left w:val="single" w:sz="4" w:space="0" w:color="D2C9B8"/>
              <w:bottom w:val="single" w:sz="4" w:space="0" w:color="D2C9B8"/>
              <w:right w:val="single" w:sz="4" w:space="0" w:color="D2C9B8"/>
            </w:tcBorders>
          </w:tcPr>
          <w:p w14:paraId="6137CF6B" w14:textId="77777777" w:rsidR="005A5FCC" w:rsidRDefault="00A21C81">
            <w:pPr>
              <w:spacing w:before="20" w:after="20" w:line="240" w:lineRule="auto"/>
              <w:jc w:val="left"/>
            </w:pPr>
            <w:r>
              <w:rPr>
                <w:rFonts w:cs="EB Garamond"/>
                <w:kern w:val="16"/>
                <w:sz w:val="18"/>
                <w14:ligatures w14:val="standardContextual"/>
              </w:rPr>
              <w:t>110%</w:t>
            </w:r>
          </w:p>
        </w:tc>
      </w:tr>
      <w:tr w:rsidR="005A5FCC" w14:paraId="106ACD9E"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3B32321F" w14:textId="77777777" w:rsidR="005A5FCC" w:rsidRDefault="00A21C81">
            <w:pPr>
              <w:spacing w:before="20" w:after="20" w:line="240" w:lineRule="auto"/>
              <w:jc w:val="left"/>
            </w:pPr>
            <w:r>
              <w:rPr>
                <w:rFonts w:cs="EB Garamond"/>
                <w:kern w:val="16"/>
                <w:sz w:val="18"/>
                <w14:ligatures w14:val="standardContextual"/>
              </w:rPr>
              <w:t>45</w:t>
            </w:r>
          </w:p>
        </w:tc>
        <w:tc>
          <w:tcPr>
            <w:tcW w:w="2117" w:type="dxa"/>
            <w:tcBorders>
              <w:top w:val="single" w:sz="4" w:space="0" w:color="D2C9B8"/>
              <w:left w:val="single" w:sz="4" w:space="0" w:color="D2C9B8"/>
              <w:bottom w:val="single" w:sz="4" w:space="0" w:color="D2C9B8"/>
              <w:right w:val="single" w:sz="4" w:space="0" w:color="D2C9B8"/>
            </w:tcBorders>
          </w:tcPr>
          <w:p w14:paraId="0FB9A415" w14:textId="77777777" w:rsidR="005A5FCC" w:rsidRDefault="00A21C81">
            <w:pPr>
              <w:spacing w:before="20" w:after="20" w:line="240" w:lineRule="auto"/>
              <w:jc w:val="left"/>
            </w:pPr>
            <w:r>
              <w:rPr>
                <w:rFonts w:cs="EB Garamond"/>
                <w:kern w:val="16"/>
                <w:sz w:val="18"/>
                <w14:ligatures w14:val="standardContextual"/>
              </w:rPr>
              <w:t>110%</w:t>
            </w:r>
          </w:p>
        </w:tc>
        <w:tc>
          <w:tcPr>
            <w:tcW w:w="2117" w:type="dxa"/>
            <w:tcBorders>
              <w:top w:val="single" w:sz="4" w:space="0" w:color="D2C9B8"/>
              <w:left w:val="single" w:sz="4" w:space="0" w:color="D2C9B8"/>
              <w:bottom w:val="single" w:sz="4" w:space="0" w:color="D2C9B8"/>
              <w:right w:val="single" w:sz="4" w:space="0" w:color="D2C9B8"/>
            </w:tcBorders>
          </w:tcPr>
          <w:p w14:paraId="5FD884C8" w14:textId="77777777" w:rsidR="005A5FCC" w:rsidRDefault="00A21C81">
            <w:pPr>
              <w:spacing w:before="20" w:after="20" w:line="240" w:lineRule="auto"/>
              <w:jc w:val="left"/>
            </w:pPr>
            <w:r>
              <w:rPr>
                <w:rFonts w:cs="EB Garamond"/>
                <w:kern w:val="16"/>
                <w:sz w:val="18"/>
                <w14:ligatures w14:val="standardContextual"/>
              </w:rPr>
              <w:t>120%</w:t>
            </w:r>
          </w:p>
        </w:tc>
      </w:tr>
    </w:tbl>
    <w:p w14:paraId="6C5EDB85" w14:textId="77777777" w:rsidR="005A5FCC" w:rsidRDefault="005A5FCC">
      <w:pPr>
        <w:spacing w:after="80" w:line="240" w:lineRule="auto"/>
      </w:pPr>
    </w:p>
    <w:tbl>
      <w:tblPr>
        <w:tblW w:w="5000" w:type="pct"/>
        <w:jc w:val="center"/>
        <w:tblLayout w:type="fixed"/>
        <w:tblLook w:val="04A0" w:firstRow="1" w:lastRow="0" w:firstColumn="1" w:lastColumn="0" w:noHBand="0" w:noVBand="1"/>
      </w:tblPr>
      <w:tblGrid>
        <w:gridCol w:w="6311"/>
      </w:tblGrid>
      <w:tr w:rsidR="005A5FCC" w14:paraId="013FD0B2"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0E187534"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5B551758" w14:textId="77777777" w:rsidR="005A5FCC" w:rsidRDefault="00A21C81">
            <w:pPr>
              <w:spacing w:after="60" w:line="247" w:lineRule="auto"/>
            </w:pPr>
            <w:r>
              <w:rPr>
                <w:rFonts w:cs="EB Garamond"/>
                <w:b/>
                <w:kern w:val="16"/>
                <w:sz w:val="19"/>
                <w14:ligatures w14:val="standardContextual"/>
              </w:rPr>
              <w:t>O coeficiente pode ultrapassar 100%</w:t>
            </w:r>
          </w:p>
          <w:p w14:paraId="6A6D616F" w14:textId="77777777" w:rsidR="005A5FCC" w:rsidRDefault="00A21C81">
            <w:pPr>
              <w:spacing w:after="60" w:line="247" w:lineRule="auto"/>
            </w:pPr>
            <w:r>
              <w:rPr>
                <w:rFonts w:cs="EB Garamond"/>
                <w:kern w:val="16"/>
                <w:sz w:val="19"/>
                <w14:ligatures w14:val="standardContextual"/>
              </w:rPr>
              <w:t>Ao contrário do que muitos segurados e mesmo alguns operadores do direito supõem, o coeficiente do art. 26, § 2º, da EC 103/2019 pode ultrapassar 100%. Não há teto percentual expresso na norma constitucional. Um homem com 45 anos de contribuição recebe coeficiente de 110%; uma mulher com 42 anos, de 114%. O resultado está sujeito ao teto do RGPS (R$ 8.475,55 em 2026), mas o coeficiente em si é ilimitado. Essa possibilidade é especialmente relevante para segurados com salários de contribuição próximos ao teto: o coeficiente acima de 100% pode significar uma RMI superior ao próprio salário de benefício, até o limite do teto do RGPS.</w:t>
            </w:r>
          </w:p>
        </w:tc>
      </w:tr>
    </w:tbl>
    <w:p w14:paraId="0835E953" w14:textId="77777777" w:rsidR="005A5FCC" w:rsidRDefault="005A5FCC">
      <w:pPr>
        <w:spacing w:after="80" w:line="240" w:lineRule="auto"/>
      </w:pPr>
    </w:p>
    <w:p w14:paraId="1744D286" w14:textId="77777777" w:rsidR="005A5FCC" w:rsidRDefault="00A21C81">
      <w:pPr>
        <w:spacing w:before="260" w:after="80" w:line="240" w:lineRule="auto"/>
        <w:jc w:val="left"/>
      </w:pPr>
      <w:r>
        <w:rPr>
          <w:rFonts w:cs="EB Garamond"/>
          <w:b/>
          <w:color w:val="3A3128"/>
          <w:kern w:val="16"/>
          <w:sz w:val="25"/>
          <w14:ligatures w14:val="standardContextual"/>
        </w:rPr>
        <w:t>16.5.2 Exceções por espécie de benefício</w:t>
      </w:r>
    </w:p>
    <w:p w14:paraId="464D149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161BC601" w14:textId="77777777" w:rsidR="005A5FCC" w:rsidRDefault="00A21C81">
      <w:r>
        <w:rPr>
          <w:rFonts w:cs="EB Garamond"/>
          <w:kern w:val="16"/>
          <w14:ligatures w14:val="standardContextual"/>
        </w:rPr>
        <w:t xml:space="preserve"> regra geral do coeficiente 60% + 2% admite exceções expressas no texto da EC 103/2019, conforme a espécie de benefício:</w:t>
      </w:r>
    </w:p>
    <w:p w14:paraId="4287C7C4" w14:textId="77777777" w:rsidR="005A5FCC" w:rsidRDefault="00A21C81">
      <w:pPr>
        <w:ind w:firstLine="238"/>
      </w:pPr>
      <w:r>
        <w:rPr>
          <w:rFonts w:cs="EB Garamond"/>
          <w:b/>
          <w:kern w:val="16"/>
          <w14:ligatures w14:val="standardContextual"/>
        </w:rPr>
        <w:lastRenderedPageBreak/>
        <w:t>a) Aposentadoria por incapacidade permanente não acidentária (art. 26, § 2º, III):</w:t>
      </w:r>
      <w:r>
        <w:rPr>
          <w:rFonts w:cs="EB Garamond"/>
          <w:kern w:val="16"/>
          <w14:ligatures w14:val="standardContextual"/>
        </w:rPr>
        <w:t xml:space="preserve"> O coeficiente é o mesmo da regra geral — 60% + 2% por ano acima de 20 anos (homem) ou 15 anos (mulher). Contudo, a incidência desse coeficiente sobre o benefício por incapacidade tem sido alvo de severa crítica doutrinária, pois o segurado que se torna permanentemente incapaz para o trabalho frequentemente não tem como ampliar seu tempo de contribuição para melhorar o coeficiente. A jurisprudência enfrentou essa questão no Tema 1300/STF, analisado adiante.</w:t>
      </w:r>
    </w:p>
    <w:p w14:paraId="6E0774E7" w14:textId="77777777" w:rsidR="005A5FCC" w:rsidRDefault="00A21C81">
      <w:pPr>
        <w:ind w:firstLine="238"/>
      </w:pPr>
      <w:r>
        <w:rPr>
          <w:rFonts w:cs="EB Garamond"/>
          <w:b/>
          <w:kern w:val="16"/>
          <w14:ligatures w14:val="standardContextual"/>
        </w:rPr>
        <w:t>b) Aposentadoria por incapacidade permanente acidentária (art. 26, § 3º, II):</w:t>
      </w:r>
      <w:r>
        <w:rPr>
          <w:rFonts w:cs="EB Garamond"/>
          <w:kern w:val="16"/>
          <w14:ligatures w14:val="standardContextual"/>
        </w:rPr>
        <w:t xml:space="preserve"> O coeficiente é de 100% do salário de benefício, sem aplicação da regra progressiva. A distinção entre incapacidade acidentária e não acidentária foi mantida pela EC 103 e permanece como uma das mais criticadas desigualdades do sistema.</w:t>
      </w:r>
    </w:p>
    <w:p w14:paraId="2F1CC5CB" w14:textId="77777777" w:rsidR="005A5FCC" w:rsidRDefault="00A21C81">
      <w:pPr>
        <w:ind w:firstLine="238"/>
      </w:pPr>
      <w:r>
        <w:rPr>
          <w:rFonts w:cs="EB Garamond"/>
          <w:b/>
          <w:kern w:val="16"/>
          <w14:ligatures w14:val="standardContextual"/>
        </w:rPr>
        <w:t>c) Aposentadoria do professor (art. 26, § 5º):</w:t>
      </w:r>
      <w:r>
        <w:rPr>
          <w:rFonts w:cs="EB Garamond"/>
          <w:kern w:val="16"/>
          <w14:ligatures w14:val="standardContextual"/>
        </w:rPr>
        <w:t xml:space="preserve"> O coeficiente segue a regra geral de 60% + 2%, porém o ponto de partida para o acréscimo percentual é 25 anos de contribuição para o homem e 20 anos para a mulher, e não 20/15 como na regra geral. Essa redução do limiar de partida reconhece as condições especiais do magistério e resulta em coeficiente mais elevado para o mesmo tempo de contribuição.</w:t>
      </w:r>
    </w:p>
    <w:p w14:paraId="7DDCCA98" w14:textId="77777777" w:rsidR="005A5FCC" w:rsidRDefault="00A21C81">
      <w:pPr>
        <w:ind w:firstLine="238"/>
      </w:pPr>
      <w:r>
        <w:rPr>
          <w:rFonts w:cs="EB Garamond"/>
          <w:b/>
          <w:kern w:val="16"/>
          <w14:ligatures w14:val="standardContextual"/>
        </w:rPr>
        <w:t>d) Aposentadoria da pessoa com deficiência (art. 22 da EC 103):</w:t>
      </w:r>
      <w:r>
        <w:rPr>
          <w:rFonts w:cs="EB Garamond"/>
          <w:kern w:val="16"/>
          <w14:ligatures w14:val="standardContextual"/>
        </w:rPr>
        <w:t xml:space="preserve"> O coeficiente é de 100% do salário de benefício, sem aplicação do redutor de 60% + 2%. A norma da LC 142/2013 foi preservada expressamente pela EC 103, que manteve a integralidade do benefício para os segurados com deficiência.</w:t>
      </w:r>
    </w:p>
    <w:p w14:paraId="1A551EDC" w14:textId="07D45048" w:rsidR="005A5FCC" w:rsidRDefault="00A21C81">
      <w:pPr>
        <w:spacing w:before="260" w:after="80" w:line="240" w:lineRule="auto"/>
        <w:jc w:val="left"/>
      </w:pPr>
      <w:r>
        <w:rPr>
          <w:rFonts w:cs="EB Garamond"/>
          <w:b/>
          <w:color w:val="3A3128"/>
          <w:kern w:val="16"/>
          <w:sz w:val="25"/>
          <w14:ligatures w14:val="standardContextual"/>
        </w:rPr>
        <w:t xml:space="preserve">16.5.3 Constitucionalidade do coeficiente de 60% + 2% para incapacidade permanente: </w:t>
      </w:r>
      <w:r w:rsidR="00E05F42">
        <w:rPr>
          <w:rFonts w:cs="EB Garamond"/>
          <w:b/>
          <w:color w:val="3A3128"/>
          <w:kern w:val="16"/>
          <w:sz w:val="25"/>
          <w14:ligatures w14:val="standardContextual"/>
        </w:rPr>
        <w:t>T</w:t>
      </w:r>
      <w:r>
        <w:rPr>
          <w:rFonts w:cs="EB Garamond"/>
          <w:b/>
          <w:color w:val="3A3128"/>
          <w:kern w:val="16"/>
          <w:sz w:val="25"/>
          <w14:ligatures w14:val="standardContextual"/>
        </w:rPr>
        <w:t>ema 1300/STF</w:t>
      </w:r>
    </w:p>
    <w:p w14:paraId="4E8D984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29183BD5" w14:textId="77777777" w:rsidR="005A5FCC" w:rsidRDefault="00A21C81">
      <w:r>
        <w:rPr>
          <w:rFonts w:cs="EB Garamond"/>
          <w:kern w:val="16"/>
          <w14:ligatures w14:val="standardContextual"/>
        </w:rPr>
        <w:t xml:space="preserve"> aplicação do coeficiente de 60% + 2% à aposentadoria por incapacidade permanente não acidentária gerou intensa controvérsia. A questão central era saber se a redução do benefício por incapacidade em razão do pouco tempo de contribuição violaria os princípios da dignidade da pessoa humana e da vedação ao retrocesso social, considerando que o segurado incapaz não tem como ampliar sua contribuição ao sistema.</w:t>
      </w:r>
    </w:p>
    <w:p w14:paraId="21BC11E7" w14:textId="51CAB7CF" w:rsidR="005A5FCC" w:rsidRDefault="00A21C81">
      <w:pPr>
        <w:ind w:firstLine="238"/>
      </w:pPr>
      <w:r>
        <w:rPr>
          <w:rFonts w:cs="EB Garamond"/>
          <w:kern w:val="16"/>
          <w14:ligatures w14:val="standardContextual"/>
        </w:rPr>
        <w:lastRenderedPageBreak/>
        <w:t>O Supremo Tribunal Federal enfrentou a matéria no Tema 1300 (RE 1.469.150), em julgamento concluído em 18 de dezembro de 2025. Por maioria de 6 votos a 4, o Tribunal declarou constitucional o coeficiente de 60% + 2% para a aposentadoria por incapacidade permanente não acidentária, afastando a alegação de inconstitucionalidade. O voto condutor do Ministro Luís Roberto Barroso fundou-se na autonomia do legislador reformador para definir os parâmetros de cálculo dos benefícios, no equilíbrio financeiro e atuarial do sistema e na existência de piso constitucional (</w:t>
      </w:r>
      <w:r w:rsidR="008D2C8D">
        <w:rPr>
          <w:rFonts w:cs="EB Garamond"/>
          <w:kern w:val="16"/>
          <w14:ligatures w14:val="standardContextual"/>
        </w:rPr>
        <w:t>salário-mínimo</w:t>
      </w:r>
      <w:r>
        <w:rPr>
          <w:rFonts w:cs="EB Garamond"/>
          <w:kern w:val="16"/>
          <w14:ligatures w14:val="standardContextual"/>
        </w:rPr>
        <w:t>) como garantia mínima de subsistência.</w:t>
      </w:r>
    </w:p>
    <w:tbl>
      <w:tblPr>
        <w:tblW w:w="5000" w:type="pct"/>
        <w:jc w:val="center"/>
        <w:tblLayout w:type="fixed"/>
        <w:tblLook w:val="04A0" w:firstRow="1" w:lastRow="0" w:firstColumn="1" w:lastColumn="0" w:noHBand="0" w:noVBand="1"/>
      </w:tblPr>
      <w:tblGrid>
        <w:gridCol w:w="6311"/>
      </w:tblGrid>
      <w:tr w:rsidR="005A5FCC" w14:paraId="7E0DB9B2"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4707953F" w14:textId="77777777" w:rsidR="005A5FCC" w:rsidRDefault="00A21C81">
            <w:pPr>
              <w:spacing w:after="60" w:line="240" w:lineRule="auto"/>
              <w:jc w:val="left"/>
            </w:pPr>
            <w:r>
              <w:rPr>
                <w:rFonts w:ascii="Noto Sans" w:hAnsi="Noto Sans" w:cs="Noto Sans"/>
                <w:b/>
                <w:caps/>
                <w:color w:val="4D6F8A"/>
                <w:kern w:val="16"/>
                <w:sz w:val="16"/>
                <w14:ligatures w14:val="standardContextual"/>
              </w:rPr>
              <w:t>JURISPRUDÊNCIA EM DESTAQUE</w:t>
            </w:r>
          </w:p>
          <w:p w14:paraId="08F572EC" w14:textId="77777777" w:rsidR="005A5FCC" w:rsidRDefault="00A21C81">
            <w:pPr>
              <w:spacing w:after="60" w:line="247" w:lineRule="auto"/>
            </w:pPr>
            <w:r>
              <w:rPr>
                <w:rFonts w:cs="EB Garamond"/>
                <w:b/>
                <w:kern w:val="16"/>
                <w:sz w:val="19"/>
                <w14:ligatures w14:val="standardContextual"/>
              </w:rPr>
              <w:t>Tema 1300/STF — Constitucionalidade do coeficiente de 60% + 2% para aposentadoria por incapacidade permanente</w:t>
            </w:r>
          </w:p>
          <w:p w14:paraId="4B4683D4" w14:textId="77777777" w:rsidR="005A5FCC" w:rsidRDefault="00A21C81">
            <w:pPr>
              <w:spacing w:after="60" w:line="247" w:lineRule="auto"/>
            </w:pPr>
            <w:r>
              <w:rPr>
                <w:rFonts w:cs="EB Garamond"/>
                <w:kern w:val="16"/>
                <w:sz w:val="19"/>
                <w14:ligatures w14:val="standardContextual"/>
              </w:rPr>
              <w:t>No RE 1.469.150 (Tema 1300), julgado em 18/12/2025, o STF declarou constitucional o coeficiente de cálculo previsto no art. 26, § 2º, III, da EC 103/2019, aplicável à aposentadoria por incapacidade permanente de origem não acidentária. A votação foi de 6 a 4, relatoria do Min. Luís Roberto Barroso. Os votos vencidos sustentavam que a aplicação do coeficiente redutor a um benefício por incapacidade violaria a dignidade humana, pois o segurado incapaz não teria como ampliar o tempo de contribuição para melhorar o percentual.</w:t>
            </w:r>
          </w:p>
          <w:p w14:paraId="6B3C296A" w14:textId="69540CAC" w:rsidR="005A5FCC" w:rsidRDefault="00A21C81">
            <w:pPr>
              <w:spacing w:after="60" w:line="247" w:lineRule="auto"/>
            </w:pPr>
            <w:r>
              <w:rPr>
                <w:rFonts w:cs="EB Garamond"/>
                <w:b/>
                <w:kern w:val="16"/>
                <w:sz w:val="19"/>
                <w14:ligatures w14:val="standardContextual"/>
              </w:rPr>
              <w:t>Implicação prática:</w:t>
            </w:r>
            <w:r>
              <w:rPr>
                <w:rFonts w:cs="EB Garamond"/>
                <w:kern w:val="16"/>
                <w:sz w:val="19"/>
                <w14:ligatures w14:val="standardContextual"/>
              </w:rPr>
              <w:t xml:space="preserve"> Um segurado que se torne permanentemente incapaz para o trabalho com apenas 15 anos de contribuição receberá RMI de 60% do salário de benefício — valor que, após a aplicação do piso constitucional, será elevado ao </w:t>
            </w:r>
            <w:r w:rsidR="008D2C8D">
              <w:rPr>
                <w:rFonts w:cs="EB Garamond"/>
                <w:kern w:val="16"/>
                <w:sz w:val="19"/>
                <w14:ligatures w14:val="standardContextual"/>
              </w:rPr>
              <w:t>salário-mínimo</w:t>
            </w:r>
            <w:r>
              <w:rPr>
                <w:rFonts w:cs="EB Garamond"/>
                <w:kern w:val="16"/>
                <w:sz w:val="19"/>
                <w14:ligatures w14:val="standardContextual"/>
              </w:rPr>
              <w:t xml:space="preserve"> (R$ 1.621,00 em 2026) se o resultado for inferior a esse patamar. A tese está firmada com repercussão geral, sendo de observância obrigatória para todas as instâncias.</w:t>
            </w:r>
          </w:p>
        </w:tc>
      </w:tr>
    </w:tbl>
    <w:p w14:paraId="6F99DAF8" w14:textId="77777777" w:rsidR="005A5FCC" w:rsidRDefault="005A5FCC">
      <w:pPr>
        <w:spacing w:after="80" w:line="240" w:lineRule="auto"/>
      </w:pPr>
    </w:p>
    <w:p w14:paraId="7C725F4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4ABE9C2F" w14:textId="77777777" w:rsidR="005A5FCC" w:rsidRDefault="00A21C81">
      <w:r>
        <w:rPr>
          <w:rFonts w:cs="EB Garamond"/>
          <w:kern w:val="16"/>
          <w14:ligatures w14:val="standardContextual"/>
        </w:rPr>
        <w:t xml:space="preserve"> decisão do STF não encerrou todas as controvérsias. Permanecem em aberto questões como a possibilidade de aplicação do coeficiente de 100% quando a incapacidade permanente decorre de doença ocupacional (equiparada a acidente do trabalho para fins do art. 20 da Lei n. 8.213/91), e a viabilidade de aplicação analógica do art. 26, § 3º, II, da EC 103 (que garante 100% na incapacidade acidentária) às hipóteses de doença profissional. Essas questões ainda não foram objeto de pronunciamento vinculante dos tribunais superiores.</w:t>
      </w:r>
    </w:p>
    <w:p w14:paraId="0D7A8C1F"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16.6 Renda mensal inicial (RMI) — quadro unificado</w:t>
      </w:r>
    </w:p>
    <w:p w14:paraId="315E3AF5"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07089D9A" w14:textId="77777777" w:rsidR="005A5FCC" w:rsidRDefault="00A21C81">
      <w:r>
        <w:rPr>
          <w:rFonts w:cs="EB Garamond"/>
          <w:kern w:val="16"/>
          <w14:ligatures w14:val="standardContextual"/>
        </w:rPr>
        <w:t xml:space="preserve"> renda mensal inicial é o valor que o segurado efetivamente receberá no primeiro mês do benefício. Resulta da aplicação do coeficiente de cálculo sobre o salário de benefício, observados o piso constitucional e o teto do RGPS. A compreensão da RMI exige domínio tanto da base de cálculo (salário de benefício, seções 16.2 e 16.3) quanto do coeficiente aplicável (fator previdenciário ou coeficiente pós-EC 103, seções 16.4 e 16.5).</w:t>
      </w:r>
    </w:p>
    <w:p w14:paraId="7092D331" w14:textId="77777777" w:rsidR="005A5FCC" w:rsidRDefault="00A21C81">
      <w:pPr>
        <w:spacing w:before="260" w:after="80" w:line="240" w:lineRule="auto"/>
        <w:jc w:val="left"/>
      </w:pPr>
      <w:r>
        <w:rPr>
          <w:rFonts w:cs="EB Garamond"/>
          <w:b/>
          <w:color w:val="3A3128"/>
          <w:kern w:val="16"/>
          <w:sz w:val="25"/>
          <w14:ligatures w14:val="standardContextual"/>
        </w:rPr>
        <w:t>16.6.1 Conceito e fórmula</w:t>
      </w:r>
    </w:p>
    <w:p w14:paraId="4BBCEC1F"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N</w:t>
      </w:r>
    </w:p>
    <w:p w14:paraId="29BB3BB4" w14:textId="77777777" w:rsidR="005A5FCC" w:rsidRDefault="00A21C81">
      <w:r>
        <w:rPr>
          <w:rFonts w:cs="EB Garamond"/>
          <w:kern w:val="16"/>
          <w14:ligatures w14:val="standardContextual"/>
        </w:rPr>
        <w:t>a regra pós-EC 103/2019, a fórmula geral é:</w:t>
      </w:r>
    </w:p>
    <w:p w14:paraId="0EEE2516" w14:textId="77777777" w:rsidR="005A5FCC" w:rsidRDefault="00A21C81">
      <w:pPr>
        <w:ind w:firstLine="238"/>
      </w:pPr>
      <w:r>
        <w:rPr>
          <w:rFonts w:cs="EB Garamond"/>
          <w:b/>
          <w:kern w:val="16"/>
          <w14:ligatures w14:val="standardContextual"/>
        </w:rPr>
        <w:t>RMI = SB × coeficiente</w:t>
      </w:r>
    </w:p>
    <w:p w14:paraId="61117569" w14:textId="77777777" w:rsidR="005A5FCC" w:rsidRDefault="00A21C81">
      <w:pPr>
        <w:ind w:firstLine="238"/>
      </w:pPr>
      <w:r>
        <w:rPr>
          <w:rFonts w:cs="EB Garamond"/>
          <w:kern w:val="16"/>
          <w14:ligatures w14:val="standardContextual"/>
        </w:rPr>
        <w:t>Onde o salário de benefício é a média de 100% dos salários de contribuição desde julho de 1994 e o coeficiente varia conforme a espécie de benefício (seção 16.5).</w:t>
      </w:r>
    </w:p>
    <w:p w14:paraId="75D234BA" w14:textId="77777777" w:rsidR="005A5FCC" w:rsidRDefault="00A21C81">
      <w:pPr>
        <w:ind w:firstLine="238"/>
      </w:pPr>
      <w:r>
        <w:rPr>
          <w:rFonts w:cs="EB Garamond"/>
          <w:kern w:val="16"/>
          <w14:ligatures w14:val="standardContextual"/>
        </w:rPr>
        <w:t>Na regra pré-EC 103, a fórmula variava conforme a espécie:</w:t>
      </w:r>
    </w:p>
    <w:p w14:paraId="1C3DBFE1" w14:textId="77777777" w:rsidR="005A5FCC" w:rsidRDefault="00A21C81">
      <w:pPr>
        <w:ind w:firstLine="238"/>
      </w:pPr>
      <w:r>
        <w:rPr>
          <w:rFonts w:cs="EB Garamond"/>
          <w:kern w:val="16"/>
          <w14:ligatures w14:val="standardContextual"/>
        </w:rPr>
        <w:t xml:space="preserve">Para a aposentadoria por tempo de contribuição: </w:t>
      </w:r>
      <w:r>
        <w:rPr>
          <w:rFonts w:cs="EB Garamond"/>
          <w:b/>
          <w:kern w:val="16"/>
          <w14:ligatures w14:val="standardContextual"/>
        </w:rPr>
        <w:t>RMI = SB × fator previdenciário</w:t>
      </w:r>
      <w:r>
        <w:rPr>
          <w:rFonts w:cs="EB Garamond"/>
          <w:kern w:val="16"/>
          <w14:ligatures w14:val="standardContextual"/>
        </w:rPr>
        <w:t xml:space="preserve"> (ou 100% do SB, se aplicável a regra 85/95).</w:t>
      </w:r>
    </w:p>
    <w:p w14:paraId="07F6DB68" w14:textId="77777777" w:rsidR="005A5FCC" w:rsidRDefault="00A21C81">
      <w:pPr>
        <w:ind w:firstLine="238"/>
      </w:pPr>
      <w:r>
        <w:rPr>
          <w:rFonts w:cs="EB Garamond"/>
          <w:kern w:val="16"/>
          <w14:ligatures w14:val="standardContextual"/>
        </w:rPr>
        <w:t xml:space="preserve">Para a aposentadoria por idade: </w:t>
      </w:r>
      <w:r>
        <w:rPr>
          <w:rFonts w:cs="EB Garamond"/>
          <w:b/>
          <w:kern w:val="16"/>
          <w14:ligatures w14:val="standardContextual"/>
        </w:rPr>
        <w:t>RMI = SB × (70% + 1% por grupo de 12 contribuições)</w:t>
      </w:r>
      <w:r>
        <w:rPr>
          <w:rFonts w:cs="EB Garamond"/>
          <w:kern w:val="16"/>
          <w14:ligatures w14:val="standardContextual"/>
        </w:rPr>
        <w:t>, limitada a 100% do SB.</w:t>
      </w:r>
    </w:p>
    <w:p w14:paraId="244BCEE5" w14:textId="77777777" w:rsidR="005A5FCC" w:rsidRDefault="00A21C81">
      <w:pPr>
        <w:ind w:firstLine="238"/>
      </w:pPr>
      <w:r>
        <w:rPr>
          <w:rFonts w:cs="EB Garamond"/>
          <w:kern w:val="16"/>
          <w14:ligatures w14:val="standardContextual"/>
        </w:rPr>
        <w:t xml:space="preserve">Para o auxílio por incapacidade temporária: </w:t>
      </w:r>
      <w:r>
        <w:rPr>
          <w:rFonts w:cs="EB Garamond"/>
          <w:b/>
          <w:kern w:val="16"/>
          <w14:ligatures w14:val="standardContextual"/>
        </w:rPr>
        <w:t>RMI = 91% do SB</w:t>
      </w:r>
      <w:r>
        <w:rPr>
          <w:rFonts w:cs="EB Garamond"/>
          <w:kern w:val="16"/>
          <w14:ligatures w14:val="standardContextual"/>
        </w:rPr>
        <w:t xml:space="preserve"> (art. 61 da Lei n. 8.213/91).</w:t>
      </w:r>
    </w:p>
    <w:p w14:paraId="0B4CDDD1" w14:textId="77777777" w:rsidR="005A5FCC" w:rsidRDefault="00A21C81">
      <w:pPr>
        <w:ind w:firstLine="238"/>
      </w:pPr>
      <w:r>
        <w:rPr>
          <w:rFonts w:cs="EB Garamond"/>
          <w:kern w:val="16"/>
          <w14:ligatures w14:val="standardContextual"/>
        </w:rPr>
        <w:t xml:space="preserve">Para a aposentadoria por incapacidade permanente: </w:t>
      </w:r>
      <w:r>
        <w:rPr>
          <w:rFonts w:cs="EB Garamond"/>
          <w:b/>
          <w:kern w:val="16"/>
          <w14:ligatures w14:val="standardContextual"/>
        </w:rPr>
        <w:t>RMI = 100% do SB</w:t>
      </w:r>
      <w:r>
        <w:rPr>
          <w:rFonts w:cs="EB Garamond"/>
          <w:kern w:val="16"/>
          <w14:ligatures w14:val="standardContextual"/>
        </w:rPr>
        <w:t xml:space="preserve"> (regra pré-EC 103, art. 44 da Lei n. 8.213/91).</w:t>
      </w:r>
    </w:p>
    <w:p w14:paraId="1EE65E5D" w14:textId="77777777" w:rsidR="005A5FCC" w:rsidRDefault="00A21C81">
      <w:pPr>
        <w:ind w:firstLine="238"/>
      </w:pPr>
      <w:r>
        <w:rPr>
          <w:rFonts w:cs="EB Garamond"/>
          <w:kern w:val="16"/>
          <w14:ligatures w14:val="standardContextual"/>
        </w:rPr>
        <w:t xml:space="preserve">A dualidade de regras reforça a importância do direito intertemporal: a fórmula aplicável depende da data do fato gerador, e a escolha da regra mais vantajosa pode representar diferença expressiva no valor mensal do benefício. Na prática forense, a primeira tarefa do advogado ao instruir uma ação previdenciária de </w:t>
      </w:r>
      <w:r>
        <w:rPr>
          <w:rFonts w:cs="EB Garamond"/>
          <w:kern w:val="16"/>
          <w14:ligatures w14:val="standardContextual"/>
        </w:rPr>
        <w:lastRenderedPageBreak/>
        <w:t>concessão ou revisão é identificar a data do fato gerador e, a partir dela, determinar qual fórmula de cálculo se aplica — verificação que o magistrado deve igualmente realizar ao examinar o pedido.</w:t>
      </w:r>
    </w:p>
    <w:p w14:paraId="06BEDB8C" w14:textId="77777777" w:rsidR="005A5FCC" w:rsidRDefault="00A21C81">
      <w:pPr>
        <w:ind w:firstLine="238"/>
      </w:pPr>
      <w:r>
        <w:rPr>
          <w:rFonts w:cs="EB Garamond"/>
          <w:kern w:val="16"/>
          <w14:ligatures w14:val="standardContextual"/>
        </w:rPr>
        <w:t>É relevante observar que as regras de transição da EC 103/2019 (arts. 15 a 20) estabelecem fórmulas de cálculo distintas entre si, algumas mantendo a sistemática dos 80% maiores com fator previdenciário (art. 17 — pedágio 50%) e outras adotando a média de 100% com coeficiente de 60% + 2% (arts. 15, 16 e 20). A regra de cálculo aplicável depende da regra de transição pela qual o segurado se aposenta, e a escolha entre elas nem sempre é intuitiva, pois uma regra com requisitos mais exigentes pode resultar em benefício de valor superior. O confronto entre todas as regras disponíveis para um mesmo segurado foi realizado na seção 11.15, com o exemplo de Ricardo, a que remetemos o leitor.</w:t>
      </w:r>
    </w:p>
    <w:p w14:paraId="62F94174" w14:textId="77777777" w:rsidR="005A5FCC" w:rsidRDefault="00A21C81">
      <w:pPr>
        <w:spacing w:before="260" w:after="80" w:line="240" w:lineRule="auto"/>
        <w:jc w:val="left"/>
      </w:pPr>
      <w:r>
        <w:rPr>
          <w:rFonts w:cs="EB Garamond"/>
          <w:b/>
          <w:color w:val="3A3128"/>
          <w:kern w:val="16"/>
          <w:sz w:val="25"/>
          <w14:ligatures w14:val="standardContextual"/>
        </w:rPr>
        <w:t>16.6.2 Quadro unificado por espécie de benefício</w:t>
      </w:r>
    </w:p>
    <w:p w14:paraId="0F50F6CE"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3018F363" w14:textId="77777777" w:rsidR="005A5FCC" w:rsidRDefault="00A21C81">
      <w:r>
        <w:rPr>
          <w:rFonts w:cs="EB Garamond"/>
          <w:kern w:val="16"/>
          <w14:ligatures w14:val="standardContextual"/>
        </w:rPr>
        <w:t xml:space="preserve"> quadro a seguir consolida, para todas as espécies de benefício do RGPS, a base de cálculo, o coeficiente, a fórmula da RMI, o piso e o capítulo de referência. A regra indicada é a pós-EC 103/2019, salvo menção expressa.</w:t>
      </w:r>
    </w:p>
    <w:tbl>
      <w:tblPr>
        <w:tblW w:w="5000" w:type="pct"/>
        <w:jc w:val="center"/>
        <w:tblLayout w:type="fixed"/>
        <w:tblLook w:val="04A0" w:firstRow="1" w:lastRow="0" w:firstColumn="1" w:lastColumn="0" w:noHBand="0" w:noVBand="1"/>
      </w:tblPr>
      <w:tblGrid>
        <w:gridCol w:w="6311"/>
      </w:tblGrid>
      <w:tr w:rsidR="005A5FCC" w14:paraId="1CE24925" w14:textId="77777777">
        <w:trPr>
          <w:cantSplit/>
          <w:jc w:val="center"/>
        </w:trPr>
        <w:tc>
          <w:tcPr>
            <w:tcW w:w="6350" w:type="dxa"/>
            <w:tcBorders>
              <w:top w:val="single" w:sz="7" w:space="0" w:color="A09882"/>
              <w:left w:val="single" w:sz="24" w:space="0" w:color="6B6256"/>
              <w:bottom w:val="single" w:sz="7" w:space="0" w:color="A09882"/>
              <w:right w:val="single" w:sz="7" w:space="0" w:color="A09882"/>
            </w:tcBorders>
            <w:shd w:val="clear" w:color="auto" w:fill="F5F3EF"/>
            <w:tcMar>
              <w:top w:w="150" w:type="dxa"/>
              <w:left w:w="220" w:type="dxa"/>
              <w:bottom w:w="150" w:type="dxa"/>
              <w:right w:w="180" w:type="dxa"/>
            </w:tcMar>
          </w:tcPr>
          <w:p w14:paraId="483DD96F" w14:textId="77777777" w:rsidR="005A5FCC" w:rsidRDefault="00A21C81">
            <w:pPr>
              <w:spacing w:after="60" w:line="240" w:lineRule="auto"/>
              <w:jc w:val="left"/>
            </w:pPr>
            <w:r>
              <w:rPr>
                <w:rFonts w:ascii="Noto Sans" w:hAnsi="Noto Sans" w:cs="Noto Sans"/>
                <w:b/>
                <w:caps/>
                <w:color w:val="6B6256"/>
                <w:kern w:val="16"/>
                <w:sz w:val="16"/>
                <w14:ligatures w14:val="standardContextual"/>
              </w:rPr>
              <w:lastRenderedPageBreak/>
              <w:t>QUADRO</w:t>
            </w:r>
          </w:p>
          <w:p w14:paraId="07CB4135" w14:textId="77777777" w:rsidR="005A5FCC" w:rsidRDefault="00A21C81">
            <w:pPr>
              <w:spacing w:after="60" w:line="247" w:lineRule="auto"/>
            </w:pPr>
            <w:r>
              <w:rPr>
                <w:rFonts w:cs="EB Garamond"/>
                <w:b/>
                <w:kern w:val="16"/>
                <w:sz w:val="19"/>
                <w14:ligatures w14:val="standardContextual"/>
              </w:rPr>
              <w:t>Quadro 16.2 — RMI por espécie de benefício (regra pós-EC 103/2019)</w:t>
            </w:r>
          </w:p>
          <w:tbl>
            <w:tblPr>
              <w:tblW w:w="5000" w:type="pct"/>
              <w:jc w:val="center"/>
              <w:tblLook w:val="04A0" w:firstRow="1" w:lastRow="0" w:firstColumn="1" w:lastColumn="0" w:noHBand="0" w:noVBand="1"/>
            </w:tblPr>
            <w:tblGrid>
              <w:gridCol w:w="984"/>
              <w:gridCol w:w="984"/>
              <w:gridCol w:w="984"/>
              <w:gridCol w:w="983"/>
              <w:gridCol w:w="983"/>
              <w:gridCol w:w="983"/>
            </w:tblGrid>
            <w:tr w:rsidR="005A5FCC" w14:paraId="732E9EF4" w14:textId="77777777">
              <w:trPr>
                <w:tblHeader/>
                <w:jc w:val="center"/>
              </w:trPr>
              <w:tc>
                <w:tcPr>
                  <w:tcW w:w="1058" w:type="dxa"/>
                  <w:tcBorders>
                    <w:top w:val="single" w:sz="4" w:space="0" w:color="D2C9B8"/>
                    <w:left w:val="single" w:sz="4" w:space="0" w:color="D2C9B8"/>
                    <w:bottom w:val="single" w:sz="4" w:space="0" w:color="D2C9B8"/>
                    <w:right w:val="single" w:sz="4" w:space="0" w:color="D2C9B8"/>
                  </w:tcBorders>
                  <w:shd w:val="clear" w:color="auto" w:fill="F0EDE6"/>
                </w:tcPr>
                <w:p w14:paraId="1B91457B" w14:textId="77777777" w:rsidR="005A5FCC" w:rsidRDefault="00A21C81">
                  <w:pPr>
                    <w:spacing w:before="30" w:after="30" w:line="240" w:lineRule="auto"/>
                    <w:jc w:val="center"/>
                  </w:pPr>
                  <w:r>
                    <w:rPr>
                      <w:rFonts w:cs="EB Garamond"/>
                      <w:b/>
                      <w:color w:val="2F2923"/>
                      <w:kern w:val="16"/>
                      <w:sz w:val="16"/>
                      <w14:ligatures w14:val="standardContextual"/>
                    </w:rPr>
                    <w:t>Espécie</w:t>
                  </w:r>
                </w:p>
              </w:tc>
              <w:tc>
                <w:tcPr>
                  <w:tcW w:w="1058" w:type="dxa"/>
                  <w:tcBorders>
                    <w:top w:val="single" w:sz="4" w:space="0" w:color="D2C9B8"/>
                    <w:left w:val="single" w:sz="4" w:space="0" w:color="D2C9B8"/>
                    <w:bottom w:val="single" w:sz="4" w:space="0" w:color="D2C9B8"/>
                    <w:right w:val="single" w:sz="4" w:space="0" w:color="D2C9B8"/>
                  </w:tcBorders>
                  <w:shd w:val="clear" w:color="auto" w:fill="F0EDE6"/>
                </w:tcPr>
                <w:p w14:paraId="2F232E24" w14:textId="77777777" w:rsidR="005A5FCC" w:rsidRDefault="00A21C81">
                  <w:pPr>
                    <w:spacing w:before="30" w:after="30" w:line="240" w:lineRule="auto"/>
                    <w:jc w:val="center"/>
                  </w:pPr>
                  <w:r>
                    <w:rPr>
                      <w:rFonts w:cs="EB Garamond"/>
                      <w:b/>
                      <w:color w:val="2F2923"/>
                      <w:kern w:val="16"/>
                      <w:sz w:val="16"/>
                      <w14:ligatures w14:val="standardContextual"/>
                    </w:rPr>
                    <w:t>Base de cálculo (SB)</w:t>
                  </w:r>
                </w:p>
              </w:tc>
              <w:tc>
                <w:tcPr>
                  <w:tcW w:w="1058" w:type="dxa"/>
                  <w:tcBorders>
                    <w:top w:val="single" w:sz="4" w:space="0" w:color="D2C9B8"/>
                    <w:left w:val="single" w:sz="4" w:space="0" w:color="D2C9B8"/>
                    <w:bottom w:val="single" w:sz="4" w:space="0" w:color="D2C9B8"/>
                    <w:right w:val="single" w:sz="4" w:space="0" w:color="D2C9B8"/>
                  </w:tcBorders>
                  <w:shd w:val="clear" w:color="auto" w:fill="F0EDE6"/>
                </w:tcPr>
                <w:p w14:paraId="73ADE63A" w14:textId="77777777" w:rsidR="005A5FCC" w:rsidRDefault="00A21C81">
                  <w:pPr>
                    <w:spacing w:before="30" w:after="30" w:line="240" w:lineRule="auto"/>
                    <w:jc w:val="center"/>
                  </w:pPr>
                  <w:r>
                    <w:rPr>
                      <w:rFonts w:cs="EB Garamond"/>
                      <w:b/>
                      <w:color w:val="2F2923"/>
                      <w:kern w:val="16"/>
                      <w:sz w:val="16"/>
                      <w14:ligatures w14:val="standardContextual"/>
                    </w:rPr>
                    <w:t>Coeficiente</w:t>
                  </w:r>
                </w:p>
              </w:tc>
              <w:tc>
                <w:tcPr>
                  <w:tcW w:w="1058" w:type="dxa"/>
                  <w:tcBorders>
                    <w:top w:val="single" w:sz="4" w:space="0" w:color="D2C9B8"/>
                    <w:left w:val="single" w:sz="4" w:space="0" w:color="D2C9B8"/>
                    <w:bottom w:val="single" w:sz="4" w:space="0" w:color="D2C9B8"/>
                    <w:right w:val="single" w:sz="4" w:space="0" w:color="D2C9B8"/>
                  </w:tcBorders>
                  <w:shd w:val="clear" w:color="auto" w:fill="F0EDE6"/>
                </w:tcPr>
                <w:p w14:paraId="71664663" w14:textId="77777777" w:rsidR="005A5FCC" w:rsidRDefault="00A21C81">
                  <w:pPr>
                    <w:spacing w:before="30" w:after="30" w:line="240" w:lineRule="auto"/>
                    <w:jc w:val="center"/>
                  </w:pPr>
                  <w:r>
                    <w:rPr>
                      <w:rFonts w:cs="EB Garamond"/>
                      <w:b/>
                      <w:color w:val="2F2923"/>
                      <w:kern w:val="16"/>
                      <w:sz w:val="16"/>
                      <w14:ligatures w14:val="standardContextual"/>
                    </w:rPr>
                    <w:t>Fórmula da RMI</w:t>
                  </w:r>
                </w:p>
              </w:tc>
              <w:tc>
                <w:tcPr>
                  <w:tcW w:w="1058" w:type="dxa"/>
                  <w:tcBorders>
                    <w:top w:val="single" w:sz="4" w:space="0" w:color="D2C9B8"/>
                    <w:left w:val="single" w:sz="4" w:space="0" w:color="D2C9B8"/>
                    <w:bottom w:val="single" w:sz="4" w:space="0" w:color="D2C9B8"/>
                    <w:right w:val="single" w:sz="4" w:space="0" w:color="D2C9B8"/>
                  </w:tcBorders>
                  <w:shd w:val="clear" w:color="auto" w:fill="F0EDE6"/>
                </w:tcPr>
                <w:p w14:paraId="7BA745F6" w14:textId="77777777" w:rsidR="005A5FCC" w:rsidRDefault="00A21C81">
                  <w:pPr>
                    <w:spacing w:before="30" w:after="30" w:line="240" w:lineRule="auto"/>
                    <w:jc w:val="center"/>
                  </w:pPr>
                  <w:r>
                    <w:rPr>
                      <w:rFonts w:cs="EB Garamond"/>
                      <w:b/>
                      <w:color w:val="2F2923"/>
                      <w:kern w:val="16"/>
                      <w:sz w:val="16"/>
                      <w14:ligatures w14:val="standardContextual"/>
                    </w:rPr>
                    <w:t>Piso</w:t>
                  </w:r>
                </w:p>
              </w:tc>
              <w:tc>
                <w:tcPr>
                  <w:tcW w:w="1058" w:type="dxa"/>
                  <w:tcBorders>
                    <w:top w:val="single" w:sz="4" w:space="0" w:color="D2C9B8"/>
                    <w:left w:val="single" w:sz="4" w:space="0" w:color="D2C9B8"/>
                    <w:bottom w:val="single" w:sz="4" w:space="0" w:color="D2C9B8"/>
                    <w:right w:val="single" w:sz="4" w:space="0" w:color="D2C9B8"/>
                  </w:tcBorders>
                  <w:shd w:val="clear" w:color="auto" w:fill="F0EDE6"/>
                </w:tcPr>
                <w:p w14:paraId="5B33F443" w14:textId="77777777" w:rsidR="005A5FCC" w:rsidRDefault="00A21C81">
                  <w:pPr>
                    <w:spacing w:before="30" w:after="30" w:line="240" w:lineRule="auto"/>
                    <w:jc w:val="center"/>
                  </w:pPr>
                  <w:r>
                    <w:rPr>
                      <w:rFonts w:cs="EB Garamond"/>
                      <w:b/>
                      <w:color w:val="2F2923"/>
                      <w:kern w:val="16"/>
                      <w:sz w:val="16"/>
                      <w14:ligatures w14:val="standardContextual"/>
                    </w:rPr>
                    <w:t>Referência</w:t>
                  </w:r>
                </w:p>
              </w:tc>
            </w:tr>
            <w:tr w:rsidR="005A5FCC" w14:paraId="5131699D" w14:textId="77777777">
              <w:trPr>
                <w:jc w:val="center"/>
              </w:trPr>
              <w:tc>
                <w:tcPr>
                  <w:tcW w:w="1058" w:type="dxa"/>
                  <w:tcBorders>
                    <w:top w:val="single" w:sz="4" w:space="0" w:color="D2C9B8"/>
                    <w:left w:val="single" w:sz="4" w:space="0" w:color="D2C9B8"/>
                    <w:bottom w:val="single" w:sz="4" w:space="0" w:color="D2C9B8"/>
                    <w:right w:val="single" w:sz="4" w:space="0" w:color="D2C9B8"/>
                  </w:tcBorders>
                </w:tcPr>
                <w:p w14:paraId="5E94F711" w14:textId="77777777" w:rsidR="005A5FCC" w:rsidRDefault="00A21C81">
                  <w:pPr>
                    <w:spacing w:before="20" w:after="20" w:line="240" w:lineRule="auto"/>
                    <w:jc w:val="left"/>
                  </w:pPr>
                  <w:r>
                    <w:rPr>
                      <w:rFonts w:cs="EB Garamond"/>
                      <w:kern w:val="16"/>
                      <w:sz w:val="16"/>
                      <w14:ligatures w14:val="standardContextual"/>
                    </w:rPr>
                    <w:t>Aposentadoria programada</w:t>
                  </w:r>
                </w:p>
              </w:tc>
              <w:tc>
                <w:tcPr>
                  <w:tcW w:w="1058" w:type="dxa"/>
                  <w:tcBorders>
                    <w:top w:val="single" w:sz="4" w:space="0" w:color="D2C9B8"/>
                    <w:left w:val="single" w:sz="4" w:space="0" w:color="D2C9B8"/>
                    <w:bottom w:val="single" w:sz="4" w:space="0" w:color="D2C9B8"/>
                    <w:right w:val="single" w:sz="4" w:space="0" w:color="D2C9B8"/>
                  </w:tcBorders>
                </w:tcPr>
                <w:p w14:paraId="13D72DE8" w14:textId="77777777" w:rsidR="005A5FCC" w:rsidRDefault="00A21C81">
                  <w:pPr>
                    <w:spacing w:before="20" w:after="20" w:line="240" w:lineRule="auto"/>
                    <w:jc w:val="left"/>
                  </w:pPr>
                  <w:r>
                    <w:rPr>
                      <w:rFonts w:cs="EB Garamond"/>
                      <w:kern w:val="16"/>
                      <w:sz w:val="16"/>
                      <w14:ligatures w14:val="standardContextual"/>
                    </w:rPr>
                    <w:t>Média 100% SC desde jul/1994</w:t>
                  </w:r>
                </w:p>
              </w:tc>
              <w:tc>
                <w:tcPr>
                  <w:tcW w:w="1058" w:type="dxa"/>
                  <w:tcBorders>
                    <w:top w:val="single" w:sz="4" w:space="0" w:color="D2C9B8"/>
                    <w:left w:val="single" w:sz="4" w:space="0" w:color="D2C9B8"/>
                    <w:bottom w:val="single" w:sz="4" w:space="0" w:color="D2C9B8"/>
                    <w:right w:val="single" w:sz="4" w:space="0" w:color="D2C9B8"/>
                  </w:tcBorders>
                </w:tcPr>
                <w:p w14:paraId="4108D1E2" w14:textId="77777777" w:rsidR="005A5FCC" w:rsidRDefault="00A21C81">
                  <w:pPr>
                    <w:spacing w:before="20" w:after="20" w:line="240" w:lineRule="auto"/>
                    <w:jc w:val="left"/>
                  </w:pPr>
                  <w:r>
                    <w:rPr>
                      <w:rFonts w:cs="EB Garamond"/>
                      <w:kern w:val="16"/>
                      <w:sz w:val="16"/>
                      <w14:ligatures w14:val="standardContextual"/>
                    </w:rPr>
                    <w:t>60% + 2%/ano acima 20H/15M</w:t>
                  </w:r>
                </w:p>
              </w:tc>
              <w:tc>
                <w:tcPr>
                  <w:tcW w:w="1058" w:type="dxa"/>
                  <w:tcBorders>
                    <w:top w:val="single" w:sz="4" w:space="0" w:color="D2C9B8"/>
                    <w:left w:val="single" w:sz="4" w:space="0" w:color="D2C9B8"/>
                    <w:bottom w:val="single" w:sz="4" w:space="0" w:color="D2C9B8"/>
                    <w:right w:val="single" w:sz="4" w:space="0" w:color="D2C9B8"/>
                  </w:tcBorders>
                </w:tcPr>
                <w:p w14:paraId="0A689236" w14:textId="77777777" w:rsidR="005A5FCC" w:rsidRDefault="00A21C81">
                  <w:pPr>
                    <w:spacing w:before="20" w:after="20" w:line="240" w:lineRule="auto"/>
                    <w:jc w:val="left"/>
                  </w:pPr>
                  <w:r>
                    <w:rPr>
                      <w:rFonts w:cs="EB Garamond"/>
                      <w:kern w:val="16"/>
                      <w:sz w:val="16"/>
                      <w14:ligatures w14:val="standardContextual"/>
                    </w:rPr>
                    <w:t>SB × coeficiente</w:t>
                  </w:r>
                </w:p>
              </w:tc>
              <w:tc>
                <w:tcPr>
                  <w:tcW w:w="1058" w:type="dxa"/>
                  <w:tcBorders>
                    <w:top w:val="single" w:sz="4" w:space="0" w:color="D2C9B8"/>
                    <w:left w:val="single" w:sz="4" w:space="0" w:color="D2C9B8"/>
                    <w:bottom w:val="single" w:sz="4" w:space="0" w:color="D2C9B8"/>
                    <w:right w:val="single" w:sz="4" w:space="0" w:color="D2C9B8"/>
                  </w:tcBorders>
                </w:tcPr>
                <w:p w14:paraId="68BDE38D" w14:textId="77777777" w:rsidR="005A5FCC" w:rsidRDefault="00A21C81">
                  <w:pPr>
                    <w:spacing w:before="20" w:after="20" w:line="240" w:lineRule="auto"/>
                    <w:jc w:val="left"/>
                  </w:pPr>
                  <w:r>
                    <w:rPr>
                      <w:rFonts w:cs="EB Garamond"/>
                      <w:kern w:val="16"/>
                      <w:sz w:val="16"/>
                      <w14:ligatures w14:val="standardContextual"/>
                    </w:rPr>
                    <w:t>1 SM</w:t>
                  </w:r>
                </w:p>
              </w:tc>
              <w:tc>
                <w:tcPr>
                  <w:tcW w:w="1058" w:type="dxa"/>
                  <w:tcBorders>
                    <w:top w:val="single" w:sz="4" w:space="0" w:color="D2C9B8"/>
                    <w:left w:val="single" w:sz="4" w:space="0" w:color="D2C9B8"/>
                    <w:bottom w:val="single" w:sz="4" w:space="0" w:color="D2C9B8"/>
                    <w:right w:val="single" w:sz="4" w:space="0" w:color="D2C9B8"/>
                  </w:tcBorders>
                </w:tcPr>
                <w:p w14:paraId="57CF926E" w14:textId="77777777" w:rsidR="005A5FCC" w:rsidRDefault="00A21C81">
                  <w:pPr>
                    <w:spacing w:before="20" w:after="20" w:line="240" w:lineRule="auto"/>
                    <w:jc w:val="left"/>
                  </w:pPr>
                  <w:r>
                    <w:rPr>
                      <w:rFonts w:cs="EB Garamond"/>
                      <w:kern w:val="16"/>
                      <w:sz w:val="16"/>
                      <w14:ligatures w14:val="standardContextual"/>
                    </w:rPr>
                    <w:t>Cap. 10</w:t>
                  </w:r>
                </w:p>
              </w:tc>
            </w:tr>
            <w:tr w:rsidR="005A5FCC" w14:paraId="675F195A" w14:textId="77777777">
              <w:trPr>
                <w:jc w:val="center"/>
              </w:trPr>
              <w:tc>
                <w:tcPr>
                  <w:tcW w:w="1058" w:type="dxa"/>
                  <w:tcBorders>
                    <w:top w:val="single" w:sz="4" w:space="0" w:color="D2C9B8"/>
                    <w:left w:val="single" w:sz="4" w:space="0" w:color="D2C9B8"/>
                    <w:bottom w:val="single" w:sz="4" w:space="0" w:color="D2C9B8"/>
                    <w:right w:val="single" w:sz="4" w:space="0" w:color="D2C9B8"/>
                  </w:tcBorders>
                </w:tcPr>
                <w:p w14:paraId="6FAD9C33" w14:textId="77777777" w:rsidR="005A5FCC" w:rsidRDefault="00A21C81">
                  <w:pPr>
                    <w:spacing w:before="20" w:after="20" w:line="240" w:lineRule="auto"/>
                    <w:jc w:val="left"/>
                  </w:pPr>
                  <w:r>
                    <w:rPr>
                      <w:rFonts w:cs="EB Garamond"/>
                      <w:kern w:val="16"/>
                      <w:sz w:val="16"/>
                      <w14:ligatures w14:val="standardContextual"/>
                    </w:rPr>
                    <w:t>Aposent. Incapacidade permanente (não acident.)</w:t>
                  </w:r>
                </w:p>
              </w:tc>
              <w:tc>
                <w:tcPr>
                  <w:tcW w:w="1058" w:type="dxa"/>
                  <w:tcBorders>
                    <w:top w:val="single" w:sz="4" w:space="0" w:color="D2C9B8"/>
                    <w:left w:val="single" w:sz="4" w:space="0" w:color="D2C9B8"/>
                    <w:bottom w:val="single" w:sz="4" w:space="0" w:color="D2C9B8"/>
                    <w:right w:val="single" w:sz="4" w:space="0" w:color="D2C9B8"/>
                  </w:tcBorders>
                </w:tcPr>
                <w:p w14:paraId="724E4D81" w14:textId="77777777" w:rsidR="005A5FCC" w:rsidRDefault="00A21C81">
                  <w:pPr>
                    <w:spacing w:before="20" w:after="20" w:line="240" w:lineRule="auto"/>
                    <w:jc w:val="left"/>
                  </w:pPr>
                  <w:r>
                    <w:rPr>
                      <w:rFonts w:cs="EB Garamond"/>
                      <w:kern w:val="16"/>
                      <w:sz w:val="16"/>
                      <w14:ligatures w14:val="standardContextual"/>
                    </w:rPr>
                    <w:t>Média 100% SC desde jul/1994</w:t>
                  </w:r>
                </w:p>
              </w:tc>
              <w:tc>
                <w:tcPr>
                  <w:tcW w:w="1058" w:type="dxa"/>
                  <w:tcBorders>
                    <w:top w:val="single" w:sz="4" w:space="0" w:color="D2C9B8"/>
                    <w:left w:val="single" w:sz="4" w:space="0" w:color="D2C9B8"/>
                    <w:bottom w:val="single" w:sz="4" w:space="0" w:color="D2C9B8"/>
                    <w:right w:val="single" w:sz="4" w:space="0" w:color="D2C9B8"/>
                  </w:tcBorders>
                </w:tcPr>
                <w:p w14:paraId="41004D2B" w14:textId="77777777" w:rsidR="005A5FCC" w:rsidRDefault="00A21C81">
                  <w:pPr>
                    <w:spacing w:before="20" w:after="20" w:line="240" w:lineRule="auto"/>
                    <w:jc w:val="left"/>
                  </w:pPr>
                  <w:r>
                    <w:rPr>
                      <w:rFonts w:cs="EB Garamond"/>
                      <w:kern w:val="16"/>
                      <w:sz w:val="16"/>
                      <w14:ligatures w14:val="standardContextual"/>
                    </w:rPr>
                    <w:t>60% + 2%/ano acima 20H/15M</w:t>
                  </w:r>
                </w:p>
              </w:tc>
              <w:tc>
                <w:tcPr>
                  <w:tcW w:w="1058" w:type="dxa"/>
                  <w:tcBorders>
                    <w:top w:val="single" w:sz="4" w:space="0" w:color="D2C9B8"/>
                    <w:left w:val="single" w:sz="4" w:space="0" w:color="D2C9B8"/>
                    <w:bottom w:val="single" w:sz="4" w:space="0" w:color="D2C9B8"/>
                    <w:right w:val="single" w:sz="4" w:space="0" w:color="D2C9B8"/>
                  </w:tcBorders>
                </w:tcPr>
                <w:p w14:paraId="439D3579" w14:textId="77777777" w:rsidR="005A5FCC" w:rsidRDefault="00A21C81">
                  <w:pPr>
                    <w:spacing w:before="20" w:after="20" w:line="240" w:lineRule="auto"/>
                    <w:jc w:val="left"/>
                  </w:pPr>
                  <w:r>
                    <w:rPr>
                      <w:rFonts w:cs="EB Garamond"/>
                      <w:kern w:val="16"/>
                      <w:sz w:val="16"/>
                      <w14:ligatures w14:val="standardContextual"/>
                    </w:rPr>
                    <w:t>SB × coeficiente</w:t>
                  </w:r>
                </w:p>
              </w:tc>
              <w:tc>
                <w:tcPr>
                  <w:tcW w:w="1058" w:type="dxa"/>
                  <w:tcBorders>
                    <w:top w:val="single" w:sz="4" w:space="0" w:color="D2C9B8"/>
                    <w:left w:val="single" w:sz="4" w:space="0" w:color="D2C9B8"/>
                    <w:bottom w:val="single" w:sz="4" w:space="0" w:color="D2C9B8"/>
                    <w:right w:val="single" w:sz="4" w:space="0" w:color="D2C9B8"/>
                  </w:tcBorders>
                </w:tcPr>
                <w:p w14:paraId="01194E69" w14:textId="77777777" w:rsidR="005A5FCC" w:rsidRDefault="00A21C81">
                  <w:pPr>
                    <w:spacing w:before="20" w:after="20" w:line="240" w:lineRule="auto"/>
                    <w:jc w:val="left"/>
                  </w:pPr>
                  <w:r>
                    <w:rPr>
                      <w:rFonts w:cs="EB Garamond"/>
                      <w:kern w:val="16"/>
                      <w:sz w:val="16"/>
                      <w14:ligatures w14:val="standardContextual"/>
                    </w:rPr>
                    <w:t>1 SM</w:t>
                  </w:r>
                </w:p>
              </w:tc>
              <w:tc>
                <w:tcPr>
                  <w:tcW w:w="1058" w:type="dxa"/>
                  <w:tcBorders>
                    <w:top w:val="single" w:sz="4" w:space="0" w:color="D2C9B8"/>
                    <w:left w:val="single" w:sz="4" w:space="0" w:color="D2C9B8"/>
                    <w:bottom w:val="single" w:sz="4" w:space="0" w:color="D2C9B8"/>
                    <w:right w:val="single" w:sz="4" w:space="0" w:color="D2C9B8"/>
                  </w:tcBorders>
                </w:tcPr>
                <w:p w14:paraId="42E1B164" w14:textId="77777777" w:rsidR="005A5FCC" w:rsidRDefault="00A21C81">
                  <w:pPr>
                    <w:spacing w:before="20" w:after="20" w:line="240" w:lineRule="auto"/>
                    <w:jc w:val="left"/>
                  </w:pPr>
                  <w:r>
                    <w:rPr>
                      <w:rFonts w:cs="EB Garamond"/>
                      <w:kern w:val="16"/>
                      <w:sz w:val="16"/>
                      <w14:ligatures w14:val="standardContextual"/>
                    </w:rPr>
                    <w:t>Cap. 6</w:t>
                  </w:r>
                </w:p>
              </w:tc>
            </w:tr>
            <w:tr w:rsidR="005A5FCC" w14:paraId="4F79AFA3" w14:textId="77777777">
              <w:trPr>
                <w:jc w:val="center"/>
              </w:trPr>
              <w:tc>
                <w:tcPr>
                  <w:tcW w:w="1058" w:type="dxa"/>
                  <w:tcBorders>
                    <w:top w:val="single" w:sz="4" w:space="0" w:color="D2C9B8"/>
                    <w:left w:val="single" w:sz="4" w:space="0" w:color="D2C9B8"/>
                    <w:bottom w:val="single" w:sz="4" w:space="0" w:color="D2C9B8"/>
                    <w:right w:val="single" w:sz="4" w:space="0" w:color="D2C9B8"/>
                  </w:tcBorders>
                </w:tcPr>
                <w:p w14:paraId="465C76B3" w14:textId="77777777" w:rsidR="005A5FCC" w:rsidRDefault="00A21C81">
                  <w:pPr>
                    <w:spacing w:before="20" w:after="20" w:line="240" w:lineRule="auto"/>
                    <w:jc w:val="left"/>
                  </w:pPr>
                  <w:r>
                    <w:rPr>
                      <w:rFonts w:cs="EB Garamond"/>
                      <w:kern w:val="16"/>
                      <w:sz w:val="16"/>
                      <w14:ligatures w14:val="standardContextual"/>
                    </w:rPr>
                    <w:t>Aposent. Incapacidade permanente (acidentária)</w:t>
                  </w:r>
                </w:p>
              </w:tc>
              <w:tc>
                <w:tcPr>
                  <w:tcW w:w="1058" w:type="dxa"/>
                  <w:tcBorders>
                    <w:top w:val="single" w:sz="4" w:space="0" w:color="D2C9B8"/>
                    <w:left w:val="single" w:sz="4" w:space="0" w:color="D2C9B8"/>
                    <w:bottom w:val="single" w:sz="4" w:space="0" w:color="D2C9B8"/>
                    <w:right w:val="single" w:sz="4" w:space="0" w:color="D2C9B8"/>
                  </w:tcBorders>
                </w:tcPr>
                <w:p w14:paraId="6442852C" w14:textId="77777777" w:rsidR="005A5FCC" w:rsidRDefault="00A21C81">
                  <w:pPr>
                    <w:spacing w:before="20" w:after="20" w:line="240" w:lineRule="auto"/>
                    <w:jc w:val="left"/>
                  </w:pPr>
                  <w:r>
                    <w:rPr>
                      <w:rFonts w:cs="EB Garamond"/>
                      <w:kern w:val="16"/>
                      <w:sz w:val="16"/>
                      <w14:ligatures w14:val="standardContextual"/>
                    </w:rPr>
                    <w:t>Média 100% SC desde jul/1994</w:t>
                  </w:r>
                </w:p>
              </w:tc>
              <w:tc>
                <w:tcPr>
                  <w:tcW w:w="1058" w:type="dxa"/>
                  <w:tcBorders>
                    <w:top w:val="single" w:sz="4" w:space="0" w:color="D2C9B8"/>
                    <w:left w:val="single" w:sz="4" w:space="0" w:color="D2C9B8"/>
                    <w:bottom w:val="single" w:sz="4" w:space="0" w:color="D2C9B8"/>
                    <w:right w:val="single" w:sz="4" w:space="0" w:color="D2C9B8"/>
                  </w:tcBorders>
                </w:tcPr>
                <w:p w14:paraId="66FBC226" w14:textId="77777777" w:rsidR="005A5FCC" w:rsidRDefault="00A21C81">
                  <w:pPr>
                    <w:spacing w:before="20" w:after="20" w:line="240" w:lineRule="auto"/>
                    <w:jc w:val="left"/>
                  </w:pPr>
                  <w:r>
                    <w:rPr>
                      <w:rFonts w:cs="EB Garamond"/>
                      <w:kern w:val="16"/>
                      <w:sz w:val="16"/>
                      <w14:ligatures w14:val="standardContextual"/>
                    </w:rPr>
                    <w:t>100%</w:t>
                  </w:r>
                </w:p>
              </w:tc>
              <w:tc>
                <w:tcPr>
                  <w:tcW w:w="1058" w:type="dxa"/>
                  <w:tcBorders>
                    <w:top w:val="single" w:sz="4" w:space="0" w:color="D2C9B8"/>
                    <w:left w:val="single" w:sz="4" w:space="0" w:color="D2C9B8"/>
                    <w:bottom w:val="single" w:sz="4" w:space="0" w:color="D2C9B8"/>
                    <w:right w:val="single" w:sz="4" w:space="0" w:color="D2C9B8"/>
                  </w:tcBorders>
                </w:tcPr>
                <w:p w14:paraId="63540B7C" w14:textId="77777777" w:rsidR="005A5FCC" w:rsidRDefault="00A21C81">
                  <w:pPr>
                    <w:spacing w:before="20" w:after="20" w:line="240" w:lineRule="auto"/>
                    <w:jc w:val="left"/>
                  </w:pPr>
                  <w:r>
                    <w:rPr>
                      <w:rFonts w:cs="EB Garamond"/>
                      <w:kern w:val="16"/>
                      <w:sz w:val="16"/>
                      <w14:ligatures w14:val="standardContextual"/>
                    </w:rPr>
                    <w:t>SB × 100%</w:t>
                  </w:r>
                </w:p>
              </w:tc>
              <w:tc>
                <w:tcPr>
                  <w:tcW w:w="1058" w:type="dxa"/>
                  <w:tcBorders>
                    <w:top w:val="single" w:sz="4" w:space="0" w:color="D2C9B8"/>
                    <w:left w:val="single" w:sz="4" w:space="0" w:color="D2C9B8"/>
                    <w:bottom w:val="single" w:sz="4" w:space="0" w:color="D2C9B8"/>
                    <w:right w:val="single" w:sz="4" w:space="0" w:color="D2C9B8"/>
                  </w:tcBorders>
                </w:tcPr>
                <w:p w14:paraId="2A499287" w14:textId="77777777" w:rsidR="005A5FCC" w:rsidRDefault="00A21C81">
                  <w:pPr>
                    <w:spacing w:before="20" w:after="20" w:line="240" w:lineRule="auto"/>
                    <w:jc w:val="left"/>
                  </w:pPr>
                  <w:r>
                    <w:rPr>
                      <w:rFonts w:cs="EB Garamond"/>
                      <w:kern w:val="16"/>
                      <w:sz w:val="16"/>
                      <w14:ligatures w14:val="standardContextual"/>
                    </w:rPr>
                    <w:t>1 SM</w:t>
                  </w:r>
                </w:p>
              </w:tc>
              <w:tc>
                <w:tcPr>
                  <w:tcW w:w="1058" w:type="dxa"/>
                  <w:tcBorders>
                    <w:top w:val="single" w:sz="4" w:space="0" w:color="D2C9B8"/>
                    <w:left w:val="single" w:sz="4" w:space="0" w:color="D2C9B8"/>
                    <w:bottom w:val="single" w:sz="4" w:space="0" w:color="D2C9B8"/>
                    <w:right w:val="single" w:sz="4" w:space="0" w:color="D2C9B8"/>
                  </w:tcBorders>
                </w:tcPr>
                <w:p w14:paraId="63870FE5" w14:textId="77777777" w:rsidR="005A5FCC" w:rsidRDefault="00A21C81">
                  <w:pPr>
                    <w:spacing w:before="20" w:after="20" w:line="240" w:lineRule="auto"/>
                    <w:jc w:val="left"/>
                  </w:pPr>
                  <w:r>
                    <w:rPr>
                      <w:rFonts w:cs="EB Garamond"/>
                      <w:kern w:val="16"/>
                      <w:sz w:val="16"/>
                      <w14:ligatures w14:val="standardContextual"/>
                    </w:rPr>
                    <w:t>Cap. 6</w:t>
                  </w:r>
                </w:p>
              </w:tc>
            </w:tr>
            <w:tr w:rsidR="005A5FCC" w14:paraId="1A1258FE" w14:textId="77777777">
              <w:trPr>
                <w:jc w:val="center"/>
              </w:trPr>
              <w:tc>
                <w:tcPr>
                  <w:tcW w:w="1058" w:type="dxa"/>
                  <w:tcBorders>
                    <w:top w:val="single" w:sz="4" w:space="0" w:color="D2C9B8"/>
                    <w:left w:val="single" w:sz="4" w:space="0" w:color="D2C9B8"/>
                    <w:bottom w:val="single" w:sz="4" w:space="0" w:color="D2C9B8"/>
                    <w:right w:val="single" w:sz="4" w:space="0" w:color="D2C9B8"/>
                  </w:tcBorders>
                </w:tcPr>
                <w:p w14:paraId="0A53EC31" w14:textId="77777777" w:rsidR="005A5FCC" w:rsidRDefault="00A21C81">
                  <w:pPr>
                    <w:spacing w:before="20" w:after="20" w:line="240" w:lineRule="auto"/>
                    <w:jc w:val="left"/>
                  </w:pPr>
                  <w:r>
                    <w:rPr>
                      <w:rFonts w:cs="EB Garamond"/>
                      <w:kern w:val="16"/>
                      <w:sz w:val="16"/>
                      <w14:ligatures w14:val="standardContextual"/>
                    </w:rPr>
                    <w:t>Aposentadoria especial</w:t>
                  </w:r>
                </w:p>
              </w:tc>
              <w:tc>
                <w:tcPr>
                  <w:tcW w:w="1058" w:type="dxa"/>
                  <w:tcBorders>
                    <w:top w:val="single" w:sz="4" w:space="0" w:color="D2C9B8"/>
                    <w:left w:val="single" w:sz="4" w:space="0" w:color="D2C9B8"/>
                    <w:bottom w:val="single" w:sz="4" w:space="0" w:color="D2C9B8"/>
                    <w:right w:val="single" w:sz="4" w:space="0" w:color="D2C9B8"/>
                  </w:tcBorders>
                </w:tcPr>
                <w:p w14:paraId="5098BD76" w14:textId="77777777" w:rsidR="005A5FCC" w:rsidRDefault="00A21C81">
                  <w:pPr>
                    <w:spacing w:before="20" w:after="20" w:line="240" w:lineRule="auto"/>
                    <w:jc w:val="left"/>
                  </w:pPr>
                  <w:r>
                    <w:rPr>
                      <w:rFonts w:cs="EB Garamond"/>
                      <w:kern w:val="16"/>
                      <w:sz w:val="16"/>
                      <w14:ligatures w14:val="standardContextual"/>
                    </w:rPr>
                    <w:t>Média 100% SC desde jul/1994</w:t>
                  </w:r>
                </w:p>
              </w:tc>
              <w:tc>
                <w:tcPr>
                  <w:tcW w:w="1058" w:type="dxa"/>
                  <w:tcBorders>
                    <w:top w:val="single" w:sz="4" w:space="0" w:color="D2C9B8"/>
                    <w:left w:val="single" w:sz="4" w:space="0" w:color="D2C9B8"/>
                    <w:bottom w:val="single" w:sz="4" w:space="0" w:color="D2C9B8"/>
                    <w:right w:val="single" w:sz="4" w:space="0" w:color="D2C9B8"/>
                  </w:tcBorders>
                </w:tcPr>
                <w:p w14:paraId="0EA93169" w14:textId="77777777" w:rsidR="005A5FCC" w:rsidRDefault="00A21C81">
                  <w:pPr>
                    <w:spacing w:before="20" w:after="20" w:line="240" w:lineRule="auto"/>
                    <w:jc w:val="left"/>
                  </w:pPr>
                  <w:r>
                    <w:rPr>
                      <w:rFonts w:cs="EB Garamond"/>
                      <w:kern w:val="16"/>
                      <w:sz w:val="16"/>
                      <w14:ligatures w14:val="standardContextual"/>
                    </w:rPr>
                    <w:t>60% + 2%/ano acima 20H/15M</w:t>
                  </w:r>
                </w:p>
              </w:tc>
              <w:tc>
                <w:tcPr>
                  <w:tcW w:w="1058" w:type="dxa"/>
                  <w:tcBorders>
                    <w:top w:val="single" w:sz="4" w:space="0" w:color="D2C9B8"/>
                    <w:left w:val="single" w:sz="4" w:space="0" w:color="D2C9B8"/>
                    <w:bottom w:val="single" w:sz="4" w:space="0" w:color="D2C9B8"/>
                    <w:right w:val="single" w:sz="4" w:space="0" w:color="D2C9B8"/>
                  </w:tcBorders>
                </w:tcPr>
                <w:p w14:paraId="0BD93EF2" w14:textId="77777777" w:rsidR="005A5FCC" w:rsidRDefault="00A21C81">
                  <w:pPr>
                    <w:spacing w:before="20" w:after="20" w:line="240" w:lineRule="auto"/>
                    <w:jc w:val="left"/>
                  </w:pPr>
                  <w:r>
                    <w:rPr>
                      <w:rFonts w:cs="EB Garamond"/>
                      <w:kern w:val="16"/>
                      <w:sz w:val="16"/>
                      <w14:ligatures w14:val="standardContextual"/>
                    </w:rPr>
                    <w:t>SB × coeficiente</w:t>
                  </w:r>
                </w:p>
              </w:tc>
              <w:tc>
                <w:tcPr>
                  <w:tcW w:w="1058" w:type="dxa"/>
                  <w:tcBorders>
                    <w:top w:val="single" w:sz="4" w:space="0" w:color="D2C9B8"/>
                    <w:left w:val="single" w:sz="4" w:space="0" w:color="D2C9B8"/>
                    <w:bottom w:val="single" w:sz="4" w:space="0" w:color="D2C9B8"/>
                    <w:right w:val="single" w:sz="4" w:space="0" w:color="D2C9B8"/>
                  </w:tcBorders>
                </w:tcPr>
                <w:p w14:paraId="28508D6D" w14:textId="77777777" w:rsidR="005A5FCC" w:rsidRDefault="00A21C81">
                  <w:pPr>
                    <w:spacing w:before="20" w:after="20" w:line="240" w:lineRule="auto"/>
                    <w:jc w:val="left"/>
                  </w:pPr>
                  <w:r>
                    <w:rPr>
                      <w:rFonts w:cs="EB Garamond"/>
                      <w:kern w:val="16"/>
                      <w:sz w:val="16"/>
                      <w14:ligatures w14:val="standardContextual"/>
                    </w:rPr>
                    <w:t>1 SM</w:t>
                  </w:r>
                </w:p>
              </w:tc>
              <w:tc>
                <w:tcPr>
                  <w:tcW w:w="1058" w:type="dxa"/>
                  <w:tcBorders>
                    <w:top w:val="single" w:sz="4" w:space="0" w:color="D2C9B8"/>
                    <w:left w:val="single" w:sz="4" w:space="0" w:color="D2C9B8"/>
                    <w:bottom w:val="single" w:sz="4" w:space="0" w:color="D2C9B8"/>
                    <w:right w:val="single" w:sz="4" w:space="0" w:color="D2C9B8"/>
                  </w:tcBorders>
                </w:tcPr>
                <w:p w14:paraId="354E5B53" w14:textId="77777777" w:rsidR="005A5FCC" w:rsidRDefault="00A21C81">
                  <w:pPr>
                    <w:spacing w:before="20" w:after="20" w:line="240" w:lineRule="auto"/>
                    <w:jc w:val="left"/>
                  </w:pPr>
                  <w:r>
                    <w:rPr>
                      <w:rFonts w:cs="EB Garamond"/>
                      <w:kern w:val="16"/>
                      <w:sz w:val="16"/>
                      <w14:ligatures w14:val="standardContextual"/>
                    </w:rPr>
                    <w:t>Cap. 8</w:t>
                  </w:r>
                </w:p>
              </w:tc>
            </w:tr>
            <w:tr w:rsidR="005A5FCC" w14:paraId="422E4648" w14:textId="77777777">
              <w:trPr>
                <w:jc w:val="center"/>
              </w:trPr>
              <w:tc>
                <w:tcPr>
                  <w:tcW w:w="1058" w:type="dxa"/>
                  <w:tcBorders>
                    <w:top w:val="single" w:sz="4" w:space="0" w:color="D2C9B8"/>
                    <w:left w:val="single" w:sz="4" w:space="0" w:color="D2C9B8"/>
                    <w:bottom w:val="single" w:sz="4" w:space="0" w:color="D2C9B8"/>
                    <w:right w:val="single" w:sz="4" w:space="0" w:color="D2C9B8"/>
                  </w:tcBorders>
                </w:tcPr>
                <w:p w14:paraId="4CECD9F2" w14:textId="77777777" w:rsidR="005A5FCC" w:rsidRDefault="00A21C81">
                  <w:pPr>
                    <w:spacing w:before="20" w:after="20" w:line="240" w:lineRule="auto"/>
                    <w:jc w:val="left"/>
                  </w:pPr>
                  <w:r>
                    <w:rPr>
                      <w:rFonts w:cs="EB Garamond"/>
                      <w:kern w:val="16"/>
                      <w:sz w:val="16"/>
                      <w14:ligatures w14:val="standardContextual"/>
                    </w:rPr>
                    <w:t>Aposentadoria PcD (TC)</w:t>
                  </w:r>
                </w:p>
              </w:tc>
              <w:tc>
                <w:tcPr>
                  <w:tcW w:w="1058" w:type="dxa"/>
                  <w:tcBorders>
                    <w:top w:val="single" w:sz="4" w:space="0" w:color="D2C9B8"/>
                    <w:left w:val="single" w:sz="4" w:space="0" w:color="D2C9B8"/>
                    <w:bottom w:val="single" w:sz="4" w:space="0" w:color="D2C9B8"/>
                    <w:right w:val="single" w:sz="4" w:space="0" w:color="D2C9B8"/>
                  </w:tcBorders>
                </w:tcPr>
                <w:p w14:paraId="3571F24E" w14:textId="77777777" w:rsidR="005A5FCC" w:rsidRDefault="00A21C81">
                  <w:pPr>
                    <w:spacing w:before="20" w:after="20" w:line="240" w:lineRule="auto"/>
                    <w:jc w:val="left"/>
                  </w:pPr>
                  <w:r>
                    <w:rPr>
                      <w:rFonts w:cs="EB Garamond"/>
                      <w:kern w:val="16"/>
                      <w:sz w:val="16"/>
                      <w14:ligatures w14:val="standardContextual"/>
                    </w:rPr>
                    <w:t>Média 100% SC (com exclusão facultativa, art. 26, §6º, EC 103)</w:t>
                  </w:r>
                </w:p>
              </w:tc>
              <w:tc>
                <w:tcPr>
                  <w:tcW w:w="1058" w:type="dxa"/>
                  <w:tcBorders>
                    <w:top w:val="single" w:sz="4" w:space="0" w:color="D2C9B8"/>
                    <w:left w:val="single" w:sz="4" w:space="0" w:color="D2C9B8"/>
                    <w:bottom w:val="single" w:sz="4" w:space="0" w:color="D2C9B8"/>
                    <w:right w:val="single" w:sz="4" w:space="0" w:color="D2C9B8"/>
                  </w:tcBorders>
                </w:tcPr>
                <w:p w14:paraId="6F69688F" w14:textId="77777777" w:rsidR="005A5FCC" w:rsidRDefault="00A21C81">
                  <w:pPr>
                    <w:spacing w:before="20" w:after="20" w:line="240" w:lineRule="auto"/>
                    <w:jc w:val="left"/>
                  </w:pPr>
                  <w:r>
                    <w:rPr>
                      <w:rFonts w:cs="EB Garamond"/>
                      <w:kern w:val="16"/>
                      <w:sz w:val="16"/>
                      <w14:ligatures w14:val="standardContextual"/>
                    </w:rPr>
                    <w:t>100% (art. 22, EC 103 + art. 8º, I, LC 142)</w:t>
                  </w:r>
                </w:p>
              </w:tc>
              <w:tc>
                <w:tcPr>
                  <w:tcW w:w="1058" w:type="dxa"/>
                  <w:tcBorders>
                    <w:top w:val="single" w:sz="4" w:space="0" w:color="D2C9B8"/>
                    <w:left w:val="single" w:sz="4" w:space="0" w:color="D2C9B8"/>
                    <w:bottom w:val="single" w:sz="4" w:space="0" w:color="D2C9B8"/>
                    <w:right w:val="single" w:sz="4" w:space="0" w:color="D2C9B8"/>
                  </w:tcBorders>
                </w:tcPr>
                <w:p w14:paraId="39DD2811" w14:textId="77777777" w:rsidR="005A5FCC" w:rsidRDefault="00A21C81">
                  <w:pPr>
                    <w:spacing w:before="20" w:after="20" w:line="240" w:lineRule="auto"/>
                    <w:jc w:val="left"/>
                  </w:pPr>
                  <w:r>
                    <w:rPr>
                      <w:rFonts w:cs="EB Garamond"/>
                      <w:kern w:val="16"/>
                      <w:sz w:val="16"/>
                      <w14:ligatures w14:val="standardContextual"/>
                    </w:rPr>
                    <w:t>SB × 100%</w:t>
                  </w:r>
                </w:p>
              </w:tc>
              <w:tc>
                <w:tcPr>
                  <w:tcW w:w="1058" w:type="dxa"/>
                  <w:tcBorders>
                    <w:top w:val="single" w:sz="4" w:space="0" w:color="D2C9B8"/>
                    <w:left w:val="single" w:sz="4" w:space="0" w:color="D2C9B8"/>
                    <w:bottom w:val="single" w:sz="4" w:space="0" w:color="D2C9B8"/>
                    <w:right w:val="single" w:sz="4" w:space="0" w:color="D2C9B8"/>
                  </w:tcBorders>
                </w:tcPr>
                <w:p w14:paraId="7456E03A" w14:textId="77777777" w:rsidR="005A5FCC" w:rsidRDefault="00A21C81">
                  <w:pPr>
                    <w:spacing w:before="20" w:after="20" w:line="240" w:lineRule="auto"/>
                    <w:jc w:val="left"/>
                  </w:pPr>
                  <w:r>
                    <w:rPr>
                      <w:rFonts w:cs="EB Garamond"/>
                      <w:kern w:val="16"/>
                      <w:sz w:val="16"/>
                      <w14:ligatures w14:val="standardContextual"/>
                    </w:rPr>
                    <w:t>1 SM</w:t>
                  </w:r>
                </w:p>
              </w:tc>
              <w:tc>
                <w:tcPr>
                  <w:tcW w:w="1058" w:type="dxa"/>
                  <w:tcBorders>
                    <w:top w:val="single" w:sz="4" w:space="0" w:color="D2C9B8"/>
                    <w:left w:val="single" w:sz="4" w:space="0" w:color="D2C9B8"/>
                    <w:bottom w:val="single" w:sz="4" w:space="0" w:color="D2C9B8"/>
                    <w:right w:val="single" w:sz="4" w:space="0" w:color="D2C9B8"/>
                  </w:tcBorders>
                </w:tcPr>
                <w:p w14:paraId="43E4F8EC" w14:textId="77777777" w:rsidR="005A5FCC" w:rsidRDefault="00A21C81">
                  <w:pPr>
                    <w:spacing w:before="20" w:after="20" w:line="240" w:lineRule="auto"/>
                    <w:jc w:val="left"/>
                  </w:pPr>
                  <w:r>
                    <w:rPr>
                      <w:rFonts w:cs="EB Garamond"/>
                      <w:kern w:val="16"/>
                      <w:sz w:val="16"/>
                      <w14:ligatures w14:val="standardContextual"/>
                    </w:rPr>
                    <w:t>Cap. 12</w:t>
                  </w:r>
                </w:p>
              </w:tc>
            </w:tr>
            <w:tr w:rsidR="005A5FCC" w14:paraId="0B334F14" w14:textId="77777777">
              <w:trPr>
                <w:jc w:val="center"/>
              </w:trPr>
              <w:tc>
                <w:tcPr>
                  <w:tcW w:w="1058" w:type="dxa"/>
                  <w:tcBorders>
                    <w:top w:val="single" w:sz="4" w:space="0" w:color="D2C9B8"/>
                    <w:left w:val="single" w:sz="4" w:space="0" w:color="D2C9B8"/>
                    <w:bottom w:val="single" w:sz="4" w:space="0" w:color="D2C9B8"/>
                    <w:right w:val="single" w:sz="4" w:space="0" w:color="D2C9B8"/>
                  </w:tcBorders>
                </w:tcPr>
                <w:p w14:paraId="044B1C1D" w14:textId="77777777" w:rsidR="005A5FCC" w:rsidRDefault="00A21C81">
                  <w:pPr>
                    <w:spacing w:before="20" w:after="20" w:line="240" w:lineRule="auto"/>
                    <w:jc w:val="left"/>
                  </w:pPr>
                  <w:r>
                    <w:rPr>
                      <w:rFonts w:cs="EB Garamond"/>
                      <w:kern w:val="16"/>
                      <w:sz w:val="16"/>
                      <w14:ligatures w14:val="standardContextual"/>
                    </w:rPr>
                    <w:t>Aposentadoria PcD (idade)</w:t>
                  </w:r>
                </w:p>
              </w:tc>
              <w:tc>
                <w:tcPr>
                  <w:tcW w:w="1058" w:type="dxa"/>
                  <w:tcBorders>
                    <w:top w:val="single" w:sz="4" w:space="0" w:color="D2C9B8"/>
                    <w:left w:val="single" w:sz="4" w:space="0" w:color="D2C9B8"/>
                    <w:bottom w:val="single" w:sz="4" w:space="0" w:color="D2C9B8"/>
                    <w:right w:val="single" w:sz="4" w:space="0" w:color="D2C9B8"/>
                  </w:tcBorders>
                </w:tcPr>
                <w:p w14:paraId="508243D9" w14:textId="77777777" w:rsidR="005A5FCC" w:rsidRDefault="00A21C81">
                  <w:pPr>
                    <w:spacing w:before="20" w:after="20" w:line="240" w:lineRule="auto"/>
                    <w:jc w:val="left"/>
                  </w:pPr>
                  <w:r>
                    <w:rPr>
                      <w:rFonts w:cs="EB Garamond"/>
                      <w:kern w:val="16"/>
                      <w:sz w:val="16"/>
                      <w14:ligatures w14:val="standardContextual"/>
                    </w:rPr>
                    <w:t>Média 100% SC (com exclusão facultativa, art. 26, §6º, EC 103)</w:t>
                  </w:r>
                </w:p>
              </w:tc>
              <w:tc>
                <w:tcPr>
                  <w:tcW w:w="1058" w:type="dxa"/>
                  <w:tcBorders>
                    <w:top w:val="single" w:sz="4" w:space="0" w:color="D2C9B8"/>
                    <w:left w:val="single" w:sz="4" w:space="0" w:color="D2C9B8"/>
                    <w:bottom w:val="single" w:sz="4" w:space="0" w:color="D2C9B8"/>
                    <w:right w:val="single" w:sz="4" w:space="0" w:color="D2C9B8"/>
                  </w:tcBorders>
                </w:tcPr>
                <w:p w14:paraId="3071C854" w14:textId="77777777" w:rsidR="005A5FCC" w:rsidRDefault="00A21C81">
                  <w:pPr>
                    <w:spacing w:before="20" w:after="20" w:line="240" w:lineRule="auto"/>
                    <w:jc w:val="left"/>
                  </w:pPr>
                  <w:r>
                    <w:rPr>
                      <w:rFonts w:cs="EB Garamond"/>
                      <w:kern w:val="16"/>
                      <w:sz w:val="16"/>
                      <w14:ligatures w14:val="standardContextual"/>
                    </w:rPr>
                    <w:t>70% + 1%/grupo 12 contrib. (art. 50, Lei 8.213/91, por remissão do art. 8º, LC 142)</w:t>
                  </w:r>
                </w:p>
              </w:tc>
              <w:tc>
                <w:tcPr>
                  <w:tcW w:w="1058" w:type="dxa"/>
                  <w:tcBorders>
                    <w:top w:val="single" w:sz="4" w:space="0" w:color="D2C9B8"/>
                    <w:left w:val="single" w:sz="4" w:space="0" w:color="D2C9B8"/>
                    <w:bottom w:val="single" w:sz="4" w:space="0" w:color="D2C9B8"/>
                    <w:right w:val="single" w:sz="4" w:space="0" w:color="D2C9B8"/>
                  </w:tcBorders>
                </w:tcPr>
                <w:p w14:paraId="181F18F5" w14:textId="77777777" w:rsidR="005A5FCC" w:rsidRDefault="00A21C81">
                  <w:pPr>
                    <w:spacing w:before="20" w:after="20" w:line="240" w:lineRule="auto"/>
                    <w:jc w:val="left"/>
                  </w:pPr>
                  <w:r>
                    <w:rPr>
                      <w:rFonts w:cs="EB Garamond"/>
                      <w:kern w:val="16"/>
                      <w:sz w:val="16"/>
                      <w14:ligatures w14:val="standardContextual"/>
                    </w:rPr>
                    <w:t>SB × coeficiente</w:t>
                  </w:r>
                </w:p>
              </w:tc>
              <w:tc>
                <w:tcPr>
                  <w:tcW w:w="1058" w:type="dxa"/>
                  <w:tcBorders>
                    <w:top w:val="single" w:sz="4" w:space="0" w:color="D2C9B8"/>
                    <w:left w:val="single" w:sz="4" w:space="0" w:color="D2C9B8"/>
                    <w:bottom w:val="single" w:sz="4" w:space="0" w:color="D2C9B8"/>
                    <w:right w:val="single" w:sz="4" w:space="0" w:color="D2C9B8"/>
                  </w:tcBorders>
                </w:tcPr>
                <w:p w14:paraId="7C0D2BB1" w14:textId="77777777" w:rsidR="005A5FCC" w:rsidRDefault="00A21C81">
                  <w:pPr>
                    <w:spacing w:before="20" w:after="20" w:line="240" w:lineRule="auto"/>
                    <w:jc w:val="left"/>
                  </w:pPr>
                  <w:r>
                    <w:rPr>
                      <w:rFonts w:cs="EB Garamond"/>
                      <w:kern w:val="16"/>
                      <w:sz w:val="16"/>
                      <w14:ligatures w14:val="standardContextual"/>
                    </w:rPr>
                    <w:t>1 SM</w:t>
                  </w:r>
                </w:p>
              </w:tc>
              <w:tc>
                <w:tcPr>
                  <w:tcW w:w="1058" w:type="dxa"/>
                  <w:tcBorders>
                    <w:top w:val="single" w:sz="4" w:space="0" w:color="D2C9B8"/>
                    <w:left w:val="single" w:sz="4" w:space="0" w:color="D2C9B8"/>
                    <w:bottom w:val="single" w:sz="4" w:space="0" w:color="D2C9B8"/>
                    <w:right w:val="single" w:sz="4" w:space="0" w:color="D2C9B8"/>
                  </w:tcBorders>
                </w:tcPr>
                <w:p w14:paraId="20522A73" w14:textId="77777777" w:rsidR="005A5FCC" w:rsidRDefault="00A21C81">
                  <w:pPr>
                    <w:spacing w:before="20" w:after="20" w:line="240" w:lineRule="auto"/>
                    <w:jc w:val="left"/>
                  </w:pPr>
                  <w:r>
                    <w:rPr>
                      <w:rFonts w:cs="EB Garamond"/>
                      <w:kern w:val="16"/>
                      <w:sz w:val="16"/>
                      <w14:ligatures w14:val="standardContextual"/>
                    </w:rPr>
                    <w:t>Cap. 12</w:t>
                  </w:r>
                </w:p>
              </w:tc>
            </w:tr>
            <w:tr w:rsidR="005A5FCC" w14:paraId="4D351E22" w14:textId="77777777">
              <w:trPr>
                <w:jc w:val="center"/>
              </w:trPr>
              <w:tc>
                <w:tcPr>
                  <w:tcW w:w="1058" w:type="dxa"/>
                  <w:tcBorders>
                    <w:top w:val="single" w:sz="4" w:space="0" w:color="D2C9B8"/>
                    <w:left w:val="single" w:sz="4" w:space="0" w:color="D2C9B8"/>
                    <w:bottom w:val="single" w:sz="4" w:space="0" w:color="D2C9B8"/>
                    <w:right w:val="single" w:sz="4" w:space="0" w:color="D2C9B8"/>
                  </w:tcBorders>
                </w:tcPr>
                <w:p w14:paraId="4A6D68D0" w14:textId="77777777" w:rsidR="005A5FCC" w:rsidRDefault="00A21C81">
                  <w:pPr>
                    <w:spacing w:before="20" w:after="20" w:line="240" w:lineRule="auto"/>
                    <w:jc w:val="left"/>
                  </w:pPr>
                  <w:r>
                    <w:rPr>
                      <w:rFonts w:cs="EB Garamond"/>
                      <w:kern w:val="16"/>
                      <w:sz w:val="16"/>
                      <w14:ligatures w14:val="standardContextual"/>
                    </w:rPr>
                    <w:t>Auxílio por incapacidade temporária</w:t>
                  </w:r>
                </w:p>
              </w:tc>
              <w:tc>
                <w:tcPr>
                  <w:tcW w:w="1058" w:type="dxa"/>
                  <w:tcBorders>
                    <w:top w:val="single" w:sz="4" w:space="0" w:color="D2C9B8"/>
                    <w:left w:val="single" w:sz="4" w:space="0" w:color="D2C9B8"/>
                    <w:bottom w:val="single" w:sz="4" w:space="0" w:color="D2C9B8"/>
                    <w:right w:val="single" w:sz="4" w:space="0" w:color="D2C9B8"/>
                  </w:tcBorders>
                </w:tcPr>
                <w:p w14:paraId="625AD664" w14:textId="77777777" w:rsidR="005A5FCC" w:rsidRDefault="00A21C81">
                  <w:pPr>
                    <w:spacing w:before="20" w:after="20" w:line="240" w:lineRule="auto"/>
                    <w:jc w:val="left"/>
                  </w:pPr>
                  <w:r>
                    <w:rPr>
                      <w:rFonts w:cs="EB Garamond"/>
                      <w:kern w:val="16"/>
                      <w:sz w:val="16"/>
                      <w14:ligatures w14:val="standardContextual"/>
                    </w:rPr>
                    <w:t>Média 100% SC desde jul/1994</w:t>
                  </w:r>
                </w:p>
              </w:tc>
              <w:tc>
                <w:tcPr>
                  <w:tcW w:w="1058" w:type="dxa"/>
                  <w:tcBorders>
                    <w:top w:val="single" w:sz="4" w:space="0" w:color="D2C9B8"/>
                    <w:left w:val="single" w:sz="4" w:space="0" w:color="D2C9B8"/>
                    <w:bottom w:val="single" w:sz="4" w:space="0" w:color="D2C9B8"/>
                    <w:right w:val="single" w:sz="4" w:space="0" w:color="D2C9B8"/>
                  </w:tcBorders>
                </w:tcPr>
                <w:p w14:paraId="51DFAA92" w14:textId="77777777" w:rsidR="005A5FCC" w:rsidRDefault="00A21C81">
                  <w:pPr>
                    <w:spacing w:before="20" w:after="20" w:line="240" w:lineRule="auto"/>
                    <w:jc w:val="left"/>
                  </w:pPr>
                  <w:r>
                    <w:rPr>
                      <w:rFonts w:cs="EB Garamond"/>
                      <w:kern w:val="16"/>
                      <w:sz w:val="16"/>
                      <w14:ligatures w14:val="standardContextual"/>
                    </w:rPr>
                    <w:t>91%</w:t>
                  </w:r>
                </w:p>
              </w:tc>
              <w:tc>
                <w:tcPr>
                  <w:tcW w:w="1058" w:type="dxa"/>
                  <w:tcBorders>
                    <w:top w:val="single" w:sz="4" w:space="0" w:color="D2C9B8"/>
                    <w:left w:val="single" w:sz="4" w:space="0" w:color="D2C9B8"/>
                    <w:bottom w:val="single" w:sz="4" w:space="0" w:color="D2C9B8"/>
                    <w:right w:val="single" w:sz="4" w:space="0" w:color="D2C9B8"/>
                  </w:tcBorders>
                </w:tcPr>
                <w:p w14:paraId="0C9F80A1" w14:textId="77777777" w:rsidR="005A5FCC" w:rsidRDefault="00A21C81">
                  <w:pPr>
                    <w:spacing w:before="20" w:after="20" w:line="240" w:lineRule="auto"/>
                    <w:jc w:val="left"/>
                  </w:pPr>
                  <w:r>
                    <w:rPr>
                      <w:rFonts w:cs="EB Garamond"/>
                      <w:kern w:val="16"/>
                      <w:sz w:val="16"/>
                      <w14:ligatures w14:val="standardContextual"/>
                    </w:rPr>
                    <w:t>SB × 91%</w:t>
                  </w:r>
                </w:p>
              </w:tc>
              <w:tc>
                <w:tcPr>
                  <w:tcW w:w="1058" w:type="dxa"/>
                  <w:tcBorders>
                    <w:top w:val="single" w:sz="4" w:space="0" w:color="D2C9B8"/>
                    <w:left w:val="single" w:sz="4" w:space="0" w:color="D2C9B8"/>
                    <w:bottom w:val="single" w:sz="4" w:space="0" w:color="D2C9B8"/>
                    <w:right w:val="single" w:sz="4" w:space="0" w:color="D2C9B8"/>
                  </w:tcBorders>
                </w:tcPr>
                <w:p w14:paraId="5E164EF1" w14:textId="77777777" w:rsidR="005A5FCC" w:rsidRDefault="00A21C81">
                  <w:pPr>
                    <w:spacing w:before="20" w:after="20" w:line="240" w:lineRule="auto"/>
                    <w:jc w:val="left"/>
                  </w:pPr>
                  <w:r>
                    <w:rPr>
                      <w:rFonts w:cs="EB Garamond"/>
                      <w:kern w:val="16"/>
                      <w:sz w:val="16"/>
                      <w14:ligatures w14:val="standardContextual"/>
                    </w:rPr>
                    <w:t>1 SM</w:t>
                  </w:r>
                </w:p>
              </w:tc>
              <w:tc>
                <w:tcPr>
                  <w:tcW w:w="1058" w:type="dxa"/>
                  <w:tcBorders>
                    <w:top w:val="single" w:sz="4" w:space="0" w:color="D2C9B8"/>
                    <w:left w:val="single" w:sz="4" w:space="0" w:color="D2C9B8"/>
                    <w:bottom w:val="single" w:sz="4" w:space="0" w:color="D2C9B8"/>
                    <w:right w:val="single" w:sz="4" w:space="0" w:color="D2C9B8"/>
                  </w:tcBorders>
                </w:tcPr>
                <w:p w14:paraId="18DF6512" w14:textId="77777777" w:rsidR="005A5FCC" w:rsidRDefault="00A21C81">
                  <w:pPr>
                    <w:spacing w:before="20" w:after="20" w:line="240" w:lineRule="auto"/>
                    <w:jc w:val="left"/>
                  </w:pPr>
                  <w:r>
                    <w:rPr>
                      <w:rFonts w:cs="EB Garamond"/>
                      <w:kern w:val="16"/>
                      <w:sz w:val="16"/>
                      <w14:ligatures w14:val="standardContextual"/>
                    </w:rPr>
                    <w:t>Cap. 6</w:t>
                  </w:r>
                </w:p>
              </w:tc>
            </w:tr>
            <w:tr w:rsidR="005A5FCC" w14:paraId="1236786F" w14:textId="77777777">
              <w:trPr>
                <w:jc w:val="center"/>
              </w:trPr>
              <w:tc>
                <w:tcPr>
                  <w:tcW w:w="1058" w:type="dxa"/>
                  <w:tcBorders>
                    <w:top w:val="single" w:sz="4" w:space="0" w:color="D2C9B8"/>
                    <w:left w:val="single" w:sz="4" w:space="0" w:color="D2C9B8"/>
                    <w:bottom w:val="single" w:sz="4" w:space="0" w:color="D2C9B8"/>
                    <w:right w:val="single" w:sz="4" w:space="0" w:color="D2C9B8"/>
                  </w:tcBorders>
                </w:tcPr>
                <w:p w14:paraId="09D1D9D8" w14:textId="77777777" w:rsidR="005A5FCC" w:rsidRDefault="00A21C81">
                  <w:pPr>
                    <w:spacing w:before="20" w:after="20" w:line="240" w:lineRule="auto"/>
                    <w:jc w:val="left"/>
                  </w:pPr>
                  <w:r>
                    <w:rPr>
                      <w:rFonts w:cs="EB Garamond"/>
                      <w:kern w:val="16"/>
                      <w:sz w:val="16"/>
                      <w14:ligatures w14:val="standardContextual"/>
                    </w:rPr>
                    <w:t>Auxílio-acidente</w:t>
                  </w:r>
                </w:p>
              </w:tc>
              <w:tc>
                <w:tcPr>
                  <w:tcW w:w="1058" w:type="dxa"/>
                  <w:tcBorders>
                    <w:top w:val="single" w:sz="4" w:space="0" w:color="D2C9B8"/>
                    <w:left w:val="single" w:sz="4" w:space="0" w:color="D2C9B8"/>
                    <w:bottom w:val="single" w:sz="4" w:space="0" w:color="D2C9B8"/>
                    <w:right w:val="single" w:sz="4" w:space="0" w:color="D2C9B8"/>
                  </w:tcBorders>
                </w:tcPr>
                <w:p w14:paraId="529EDEA0" w14:textId="77777777" w:rsidR="005A5FCC" w:rsidRDefault="00A21C81">
                  <w:pPr>
                    <w:spacing w:before="20" w:after="20" w:line="240" w:lineRule="auto"/>
                    <w:jc w:val="left"/>
                  </w:pPr>
                  <w:r>
                    <w:rPr>
                      <w:rFonts w:cs="EB Garamond"/>
                      <w:kern w:val="16"/>
                      <w:sz w:val="16"/>
                      <w14:ligatures w14:val="standardContextual"/>
                    </w:rPr>
                    <w:t>SB que originou o au</w:t>
                  </w:r>
                  <w:r>
                    <w:rPr>
                      <w:rFonts w:cs="EB Garamond"/>
                      <w:kern w:val="16"/>
                      <w:sz w:val="16"/>
                      <w14:ligatures w14:val="standardContextual"/>
                    </w:rPr>
                    <w:lastRenderedPageBreak/>
                    <w:t>xílio por incapacidade temporária (art. 86, §1º)</w:t>
                  </w:r>
                </w:p>
              </w:tc>
              <w:tc>
                <w:tcPr>
                  <w:tcW w:w="1058" w:type="dxa"/>
                  <w:tcBorders>
                    <w:top w:val="single" w:sz="4" w:space="0" w:color="D2C9B8"/>
                    <w:left w:val="single" w:sz="4" w:space="0" w:color="D2C9B8"/>
                    <w:bottom w:val="single" w:sz="4" w:space="0" w:color="D2C9B8"/>
                    <w:right w:val="single" w:sz="4" w:space="0" w:color="D2C9B8"/>
                  </w:tcBorders>
                </w:tcPr>
                <w:p w14:paraId="33CF91F1" w14:textId="77777777" w:rsidR="005A5FCC" w:rsidRDefault="00A21C81">
                  <w:pPr>
                    <w:spacing w:before="20" w:after="20" w:line="240" w:lineRule="auto"/>
                    <w:jc w:val="left"/>
                  </w:pPr>
                  <w:r>
                    <w:rPr>
                      <w:rFonts w:cs="EB Garamond"/>
                      <w:kern w:val="16"/>
                      <w:sz w:val="16"/>
                      <w14:ligatures w14:val="standardContextual"/>
                    </w:rPr>
                    <w:lastRenderedPageBreak/>
                    <w:t>50%</w:t>
                  </w:r>
                </w:p>
              </w:tc>
              <w:tc>
                <w:tcPr>
                  <w:tcW w:w="1058" w:type="dxa"/>
                  <w:tcBorders>
                    <w:top w:val="single" w:sz="4" w:space="0" w:color="D2C9B8"/>
                    <w:left w:val="single" w:sz="4" w:space="0" w:color="D2C9B8"/>
                    <w:bottom w:val="single" w:sz="4" w:space="0" w:color="D2C9B8"/>
                    <w:right w:val="single" w:sz="4" w:space="0" w:color="D2C9B8"/>
                  </w:tcBorders>
                </w:tcPr>
                <w:p w14:paraId="3D1EA105" w14:textId="77777777" w:rsidR="005A5FCC" w:rsidRDefault="00A21C81">
                  <w:pPr>
                    <w:spacing w:before="20" w:after="20" w:line="240" w:lineRule="auto"/>
                    <w:jc w:val="left"/>
                  </w:pPr>
                  <w:r>
                    <w:rPr>
                      <w:rFonts w:cs="EB Garamond"/>
                      <w:kern w:val="16"/>
                      <w:sz w:val="16"/>
                      <w14:ligatures w14:val="standardContextual"/>
                    </w:rPr>
                    <w:t>SB × 50%</w:t>
                  </w:r>
                </w:p>
              </w:tc>
              <w:tc>
                <w:tcPr>
                  <w:tcW w:w="1058" w:type="dxa"/>
                  <w:tcBorders>
                    <w:top w:val="single" w:sz="4" w:space="0" w:color="D2C9B8"/>
                    <w:left w:val="single" w:sz="4" w:space="0" w:color="D2C9B8"/>
                    <w:bottom w:val="single" w:sz="4" w:space="0" w:color="D2C9B8"/>
                    <w:right w:val="single" w:sz="4" w:space="0" w:color="D2C9B8"/>
                  </w:tcBorders>
                </w:tcPr>
                <w:p w14:paraId="5B1407D1" w14:textId="77777777" w:rsidR="005A5FCC" w:rsidRDefault="00A21C81">
                  <w:pPr>
                    <w:spacing w:before="20" w:after="20" w:line="240" w:lineRule="auto"/>
                    <w:jc w:val="left"/>
                  </w:pPr>
                  <w:r>
                    <w:rPr>
                      <w:rFonts w:cs="EB Garamond"/>
                      <w:kern w:val="16"/>
                      <w:sz w:val="16"/>
                      <w14:ligatures w14:val="standardContextual"/>
                    </w:rPr>
                    <w:t>Sem piso de 1 SM</w:t>
                  </w:r>
                </w:p>
              </w:tc>
              <w:tc>
                <w:tcPr>
                  <w:tcW w:w="1058" w:type="dxa"/>
                  <w:tcBorders>
                    <w:top w:val="single" w:sz="4" w:space="0" w:color="D2C9B8"/>
                    <w:left w:val="single" w:sz="4" w:space="0" w:color="D2C9B8"/>
                    <w:bottom w:val="single" w:sz="4" w:space="0" w:color="D2C9B8"/>
                    <w:right w:val="single" w:sz="4" w:space="0" w:color="D2C9B8"/>
                  </w:tcBorders>
                </w:tcPr>
                <w:p w14:paraId="2A7CD650" w14:textId="77777777" w:rsidR="005A5FCC" w:rsidRDefault="00A21C81">
                  <w:pPr>
                    <w:spacing w:before="20" w:after="20" w:line="240" w:lineRule="auto"/>
                    <w:jc w:val="left"/>
                  </w:pPr>
                  <w:r>
                    <w:rPr>
                      <w:rFonts w:cs="EB Garamond"/>
                      <w:kern w:val="16"/>
                      <w:sz w:val="16"/>
                      <w14:ligatures w14:val="standardContextual"/>
                    </w:rPr>
                    <w:t>Cap. 15</w:t>
                  </w:r>
                </w:p>
              </w:tc>
            </w:tr>
            <w:tr w:rsidR="005A5FCC" w14:paraId="25DF6878" w14:textId="77777777">
              <w:trPr>
                <w:jc w:val="center"/>
              </w:trPr>
              <w:tc>
                <w:tcPr>
                  <w:tcW w:w="1058" w:type="dxa"/>
                  <w:tcBorders>
                    <w:top w:val="single" w:sz="4" w:space="0" w:color="D2C9B8"/>
                    <w:left w:val="single" w:sz="4" w:space="0" w:color="D2C9B8"/>
                    <w:bottom w:val="single" w:sz="4" w:space="0" w:color="D2C9B8"/>
                    <w:right w:val="single" w:sz="4" w:space="0" w:color="D2C9B8"/>
                  </w:tcBorders>
                </w:tcPr>
                <w:p w14:paraId="4EB6E4BC" w14:textId="77777777" w:rsidR="005A5FCC" w:rsidRDefault="00A21C81">
                  <w:pPr>
                    <w:spacing w:before="20" w:after="20" w:line="240" w:lineRule="auto"/>
                    <w:jc w:val="left"/>
                  </w:pPr>
                  <w:r>
                    <w:rPr>
                      <w:rFonts w:cs="EB Garamond"/>
                      <w:kern w:val="16"/>
                      <w:sz w:val="16"/>
                      <w14:ligatures w14:val="standardContextual"/>
                    </w:rPr>
                    <w:t>Pensão por morte</w:t>
                  </w:r>
                </w:p>
              </w:tc>
              <w:tc>
                <w:tcPr>
                  <w:tcW w:w="1058" w:type="dxa"/>
                  <w:tcBorders>
                    <w:top w:val="single" w:sz="4" w:space="0" w:color="D2C9B8"/>
                    <w:left w:val="single" w:sz="4" w:space="0" w:color="D2C9B8"/>
                    <w:bottom w:val="single" w:sz="4" w:space="0" w:color="D2C9B8"/>
                    <w:right w:val="single" w:sz="4" w:space="0" w:color="D2C9B8"/>
                  </w:tcBorders>
                </w:tcPr>
                <w:p w14:paraId="5971D2CB" w14:textId="77777777" w:rsidR="005A5FCC" w:rsidRDefault="00A21C81">
                  <w:pPr>
                    <w:spacing w:before="20" w:after="20" w:line="240" w:lineRule="auto"/>
                    <w:jc w:val="left"/>
                  </w:pPr>
                  <w:r>
                    <w:rPr>
                      <w:rFonts w:cs="EB Garamond"/>
                      <w:kern w:val="16"/>
                      <w:sz w:val="16"/>
                      <w14:ligatures w14:val="standardContextual"/>
                    </w:rPr>
                    <w:t>Média 100% SC desde jul/1994</w:t>
                  </w:r>
                </w:p>
              </w:tc>
              <w:tc>
                <w:tcPr>
                  <w:tcW w:w="1058" w:type="dxa"/>
                  <w:tcBorders>
                    <w:top w:val="single" w:sz="4" w:space="0" w:color="D2C9B8"/>
                    <w:left w:val="single" w:sz="4" w:space="0" w:color="D2C9B8"/>
                    <w:bottom w:val="single" w:sz="4" w:space="0" w:color="D2C9B8"/>
                    <w:right w:val="single" w:sz="4" w:space="0" w:color="D2C9B8"/>
                  </w:tcBorders>
                </w:tcPr>
                <w:p w14:paraId="7EB08F0F" w14:textId="77777777" w:rsidR="005A5FCC" w:rsidRDefault="00A21C81">
                  <w:pPr>
                    <w:spacing w:before="20" w:after="20" w:line="240" w:lineRule="auto"/>
                    <w:jc w:val="left"/>
                  </w:pPr>
                  <w:r>
                    <w:rPr>
                      <w:rFonts w:cs="EB Garamond"/>
                      <w:kern w:val="16"/>
                      <w:sz w:val="16"/>
                      <w14:ligatures w14:val="standardContextual"/>
                    </w:rPr>
                    <w:t>50% + 10%/dependente (até 100%)</w:t>
                  </w:r>
                </w:p>
              </w:tc>
              <w:tc>
                <w:tcPr>
                  <w:tcW w:w="1058" w:type="dxa"/>
                  <w:tcBorders>
                    <w:top w:val="single" w:sz="4" w:space="0" w:color="D2C9B8"/>
                    <w:left w:val="single" w:sz="4" w:space="0" w:color="D2C9B8"/>
                    <w:bottom w:val="single" w:sz="4" w:space="0" w:color="D2C9B8"/>
                    <w:right w:val="single" w:sz="4" w:space="0" w:color="D2C9B8"/>
                  </w:tcBorders>
                </w:tcPr>
                <w:p w14:paraId="566D2011" w14:textId="77777777" w:rsidR="005A5FCC" w:rsidRDefault="00A21C81">
                  <w:pPr>
                    <w:spacing w:before="20" w:after="20" w:line="240" w:lineRule="auto"/>
                    <w:jc w:val="left"/>
                  </w:pPr>
                  <w:r>
                    <w:rPr>
                      <w:rFonts w:cs="EB Garamond"/>
                      <w:kern w:val="16"/>
                      <w:sz w:val="16"/>
                      <w14:ligatures w14:val="standardContextual"/>
                    </w:rPr>
                    <w:t>SB × coef. × cota familiar</w:t>
                  </w:r>
                </w:p>
              </w:tc>
              <w:tc>
                <w:tcPr>
                  <w:tcW w:w="1058" w:type="dxa"/>
                  <w:tcBorders>
                    <w:top w:val="single" w:sz="4" w:space="0" w:color="D2C9B8"/>
                    <w:left w:val="single" w:sz="4" w:space="0" w:color="D2C9B8"/>
                    <w:bottom w:val="single" w:sz="4" w:space="0" w:color="D2C9B8"/>
                    <w:right w:val="single" w:sz="4" w:space="0" w:color="D2C9B8"/>
                  </w:tcBorders>
                </w:tcPr>
                <w:p w14:paraId="3374227D" w14:textId="77777777" w:rsidR="005A5FCC" w:rsidRDefault="00A21C81">
                  <w:pPr>
                    <w:spacing w:before="20" w:after="20" w:line="240" w:lineRule="auto"/>
                    <w:jc w:val="left"/>
                  </w:pPr>
                  <w:r>
                    <w:rPr>
                      <w:rFonts w:cs="EB Garamond"/>
                      <w:kern w:val="16"/>
                      <w:sz w:val="16"/>
                      <w14:ligatures w14:val="standardContextual"/>
                    </w:rPr>
                    <w:t>1 SM</w:t>
                  </w:r>
                </w:p>
              </w:tc>
              <w:tc>
                <w:tcPr>
                  <w:tcW w:w="1058" w:type="dxa"/>
                  <w:tcBorders>
                    <w:top w:val="single" w:sz="4" w:space="0" w:color="D2C9B8"/>
                    <w:left w:val="single" w:sz="4" w:space="0" w:color="D2C9B8"/>
                    <w:bottom w:val="single" w:sz="4" w:space="0" w:color="D2C9B8"/>
                    <w:right w:val="single" w:sz="4" w:space="0" w:color="D2C9B8"/>
                  </w:tcBorders>
                </w:tcPr>
                <w:p w14:paraId="095BE7FC" w14:textId="77777777" w:rsidR="005A5FCC" w:rsidRDefault="00A21C81">
                  <w:pPr>
                    <w:spacing w:before="20" w:after="20" w:line="240" w:lineRule="auto"/>
                    <w:jc w:val="left"/>
                  </w:pPr>
                  <w:r>
                    <w:rPr>
                      <w:rFonts w:cs="EB Garamond"/>
                      <w:kern w:val="16"/>
                      <w:sz w:val="16"/>
                      <w14:ligatures w14:val="standardContextual"/>
                    </w:rPr>
                    <w:t>Cap. 19</w:t>
                  </w:r>
                </w:p>
              </w:tc>
            </w:tr>
            <w:tr w:rsidR="005A5FCC" w14:paraId="14C7295D" w14:textId="77777777">
              <w:trPr>
                <w:jc w:val="center"/>
              </w:trPr>
              <w:tc>
                <w:tcPr>
                  <w:tcW w:w="1058" w:type="dxa"/>
                  <w:tcBorders>
                    <w:top w:val="single" w:sz="4" w:space="0" w:color="D2C9B8"/>
                    <w:left w:val="single" w:sz="4" w:space="0" w:color="D2C9B8"/>
                    <w:bottom w:val="single" w:sz="4" w:space="0" w:color="D2C9B8"/>
                    <w:right w:val="single" w:sz="4" w:space="0" w:color="D2C9B8"/>
                  </w:tcBorders>
                </w:tcPr>
                <w:p w14:paraId="06B786BC" w14:textId="77777777" w:rsidR="005A5FCC" w:rsidRDefault="00A21C81">
                  <w:pPr>
                    <w:spacing w:before="20" w:after="20" w:line="240" w:lineRule="auto"/>
                    <w:jc w:val="left"/>
                  </w:pPr>
                  <w:r>
                    <w:rPr>
                      <w:rFonts w:cs="EB Garamond"/>
                      <w:kern w:val="16"/>
                      <w:sz w:val="16"/>
                      <w14:ligatures w14:val="standardContextual"/>
                    </w:rPr>
                    <w:t>Salário-maternidade (empregada)</w:t>
                  </w:r>
                </w:p>
              </w:tc>
              <w:tc>
                <w:tcPr>
                  <w:tcW w:w="1058" w:type="dxa"/>
                  <w:tcBorders>
                    <w:top w:val="single" w:sz="4" w:space="0" w:color="D2C9B8"/>
                    <w:left w:val="single" w:sz="4" w:space="0" w:color="D2C9B8"/>
                    <w:bottom w:val="single" w:sz="4" w:space="0" w:color="D2C9B8"/>
                    <w:right w:val="single" w:sz="4" w:space="0" w:color="D2C9B8"/>
                  </w:tcBorders>
                </w:tcPr>
                <w:p w14:paraId="49B8842E" w14:textId="77777777" w:rsidR="005A5FCC" w:rsidRDefault="00A21C81">
                  <w:pPr>
                    <w:spacing w:before="20" w:after="20" w:line="240" w:lineRule="auto"/>
                    <w:jc w:val="left"/>
                  </w:pPr>
                  <w:r>
                    <w:rPr>
                      <w:rFonts w:cs="EB Garamond"/>
                      <w:kern w:val="16"/>
                      <w:sz w:val="16"/>
                      <w14:ligatures w14:val="standardContextual"/>
                    </w:rPr>
                    <w:t>Remuneração integral</w:t>
                  </w:r>
                </w:p>
              </w:tc>
              <w:tc>
                <w:tcPr>
                  <w:tcW w:w="1058" w:type="dxa"/>
                  <w:tcBorders>
                    <w:top w:val="single" w:sz="4" w:space="0" w:color="D2C9B8"/>
                    <w:left w:val="single" w:sz="4" w:space="0" w:color="D2C9B8"/>
                    <w:bottom w:val="single" w:sz="4" w:space="0" w:color="D2C9B8"/>
                    <w:right w:val="single" w:sz="4" w:space="0" w:color="D2C9B8"/>
                  </w:tcBorders>
                </w:tcPr>
                <w:p w14:paraId="46B3C728" w14:textId="77777777" w:rsidR="005A5FCC" w:rsidRDefault="00A21C81">
                  <w:pPr>
                    <w:spacing w:before="20" w:after="20" w:line="240" w:lineRule="auto"/>
                    <w:jc w:val="left"/>
                  </w:pPr>
                  <w:r>
                    <w:rPr>
                      <w:rFonts w:cs="EB Garamond"/>
                      <w:kern w:val="16"/>
                      <w:sz w:val="16"/>
                      <w14:ligatures w14:val="standardContextual"/>
                    </w:rPr>
                    <w:t>Não usa SB</w:t>
                  </w:r>
                </w:p>
              </w:tc>
              <w:tc>
                <w:tcPr>
                  <w:tcW w:w="1058" w:type="dxa"/>
                  <w:tcBorders>
                    <w:top w:val="single" w:sz="4" w:space="0" w:color="D2C9B8"/>
                    <w:left w:val="single" w:sz="4" w:space="0" w:color="D2C9B8"/>
                    <w:bottom w:val="single" w:sz="4" w:space="0" w:color="D2C9B8"/>
                    <w:right w:val="single" w:sz="4" w:space="0" w:color="D2C9B8"/>
                  </w:tcBorders>
                </w:tcPr>
                <w:p w14:paraId="79EC1954" w14:textId="77777777" w:rsidR="005A5FCC" w:rsidRDefault="00A21C81">
                  <w:pPr>
                    <w:spacing w:before="20" w:after="20" w:line="240" w:lineRule="auto"/>
                    <w:jc w:val="left"/>
                  </w:pPr>
                  <w:r>
                    <w:rPr>
                      <w:rFonts w:cs="EB Garamond"/>
                      <w:kern w:val="16"/>
                      <w:sz w:val="16"/>
                      <w14:ligatures w14:val="standardContextual"/>
                    </w:rPr>
                    <w:t>Remuneração mensal</w:t>
                  </w:r>
                </w:p>
              </w:tc>
              <w:tc>
                <w:tcPr>
                  <w:tcW w:w="1058" w:type="dxa"/>
                  <w:tcBorders>
                    <w:top w:val="single" w:sz="4" w:space="0" w:color="D2C9B8"/>
                    <w:left w:val="single" w:sz="4" w:space="0" w:color="D2C9B8"/>
                    <w:bottom w:val="single" w:sz="4" w:space="0" w:color="D2C9B8"/>
                    <w:right w:val="single" w:sz="4" w:space="0" w:color="D2C9B8"/>
                  </w:tcBorders>
                </w:tcPr>
                <w:p w14:paraId="71949683" w14:textId="77777777" w:rsidR="005A5FCC" w:rsidRDefault="00A21C81">
                  <w:pPr>
                    <w:spacing w:before="20" w:after="20" w:line="240" w:lineRule="auto"/>
                    <w:jc w:val="left"/>
                  </w:pPr>
                  <w:r>
                    <w:rPr>
                      <w:rFonts w:cs="EB Garamond"/>
                      <w:kern w:val="16"/>
                      <w:sz w:val="16"/>
                      <w14:ligatures w14:val="standardContextual"/>
                    </w:rPr>
                    <w:t>1 SM</w:t>
                  </w:r>
                </w:p>
              </w:tc>
              <w:tc>
                <w:tcPr>
                  <w:tcW w:w="1058" w:type="dxa"/>
                  <w:tcBorders>
                    <w:top w:val="single" w:sz="4" w:space="0" w:color="D2C9B8"/>
                    <w:left w:val="single" w:sz="4" w:space="0" w:color="D2C9B8"/>
                    <w:bottom w:val="single" w:sz="4" w:space="0" w:color="D2C9B8"/>
                    <w:right w:val="single" w:sz="4" w:space="0" w:color="D2C9B8"/>
                  </w:tcBorders>
                </w:tcPr>
                <w:p w14:paraId="6C5F081D" w14:textId="77777777" w:rsidR="005A5FCC" w:rsidRDefault="00A21C81">
                  <w:pPr>
                    <w:spacing w:before="20" w:after="20" w:line="240" w:lineRule="auto"/>
                    <w:jc w:val="left"/>
                  </w:pPr>
                  <w:r>
                    <w:rPr>
                      <w:rFonts w:cs="EB Garamond"/>
                      <w:kern w:val="16"/>
                      <w:sz w:val="16"/>
                      <w14:ligatures w14:val="standardContextual"/>
                    </w:rPr>
                    <w:t>Cap. 13</w:t>
                  </w:r>
                </w:p>
              </w:tc>
            </w:tr>
            <w:tr w:rsidR="005A5FCC" w14:paraId="2EBCD00F" w14:textId="77777777">
              <w:trPr>
                <w:jc w:val="center"/>
              </w:trPr>
              <w:tc>
                <w:tcPr>
                  <w:tcW w:w="1058" w:type="dxa"/>
                  <w:tcBorders>
                    <w:top w:val="single" w:sz="4" w:space="0" w:color="D2C9B8"/>
                    <w:left w:val="single" w:sz="4" w:space="0" w:color="D2C9B8"/>
                    <w:bottom w:val="single" w:sz="4" w:space="0" w:color="D2C9B8"/>
                    <w:right w:val="single" w:sz="4" w:space="0" w:color="D2C9B8"/>
                  </w:tcBorders>
                </w:tcPr>
                <w:p w14:paraId="378A8CC2" w14:textId="77777777" w:rsidR="005A5FCC" w:rsidRDefault="00A21C81">
                  <w:pPr>
                    <w:spacing w:before="20" w:after="20" w:line="240" w:lineRule="auto"/>
                    <w:jc w:val="left"/>
                  </w:pPr>
                  <w:r>
                    <w:rPr>
                      <w:rFonts w:cs="EB Garamond"/>
                      <w:kern w:val="16"/>
                      <w:sz w:val="16"/>
                      <w14:ligatures w14:val="standardContextual"/>
                    </w:rPr>
                    <w:t>Salário-maternidade (avulsa)</w:t>
                  </w:r>
                </w:p>
              </w:tc>
              <w:tc>
                <w:tcPr>
                  <w:tcW w:w="1058" w:type="dxa"/>
                  <w:tcBorders>
                    <w:top w:val="single" w:sz="4" w:space="0" w:color="D2C9B8"/>
                    <w:left w:val="single" w:sz="4" w:space="0" w:color="D2C9B8"/>
                    <w:bottom w:val="single" w:sz="4" w:space="0" w:color="D2C9B8"/>
                    <w:right w:val="single" w:sz="4" w:space="0" w:color="D2C9B8"/>
                  </w:tcBorders>
                </w:tcPr>
                <w:p w14:paraId="5946BC40" w14:textId="77777777" w:rsidR="005A5FCC" w:rsidRDefault="00A21C81">
                  <w:pPr>
                    <w:spacing w:before="20" w:after="20" w:line="240" w:lineRule="auto"/>
                    <w:jc w:val="left"/>
                  </w:pPr>
                  <w:r>
                    <w:rPr>
                      <w:rFonts w:cs="EB Garamond"/>
                      <w:kern w:val="16"/>
                      <w:sz w:val="16"/>
                      <w14:ligatures w14:val="standardContextual"/>
                    </w:rPr>
                    <w:t>Remuneração integral</w:t>
                  </w:r>
                </w:p>
              </w:tc>
              <w:tc>
                <w:tcPr>
                  <w:tcW w:w="1058" w:type="dxa"/>
                  <w:tcBorders>
                    <w:top w:val="single" w:sz="4" w:space="0" w:color="D2C9B8"/>
                    <w:left w:val="single" w:sz="4" w:space="0" w:color="D2C9B8"/>
                    <w:bottom w:val="single" w:sz="4" w:space="0" w:color="D2C9B8"/>
                    <w:right w:val="single" w:sz="4" w:space="0" w:color="D2C9B8"/>
                  </w:tcBorders>
                </w:tcPr>
                <w:p w14:paraId="09B0D1EC" w14:textId="77777777" w:rsidR="005A5FCC" w:rsidRDefault="00A21C81">
                  <w:pPr>
                    <w:spacing w:before="20" w:after="20" w:line="240" w:lineRule="auto"/>
                    <w:jc w:val="left"/>
                  </w:pPr>
                  <w:r>
                    <w:rPr>
                      <w:rFonts w:cs="EB Garamond"/>
                      <w:kern w:val="16"/>
                      <w:sz w:val="16"/>
                      <w14:ligatures w14:val="standardContextual"/>
                    </w:rPr>
                    <w:t>Não usa SB</w:t>
                  </w:r>
                </w:p>
              </w:tc>
              <w:tc>
                <w:tcPr>
                  <w:tcW w:w="1058" w:type="dxa"/>
                  <w:tcBorders>
                    <w:top w:val="single" w:sz="4" w:space="0" w:color="D2C9B8"/>
                    <w:left w:val="single" w:sz="4" w:space="0" w:color="D2C9B8"/>
                    <w:bottom w:val="single" w:sz="4" w:space="0" w:color="D2C9B8"/>
                    <w:right w:val="single" w:sz="4" w:space="0" w:color="D2C9B8"/>
                  </w:tcBorders>
                </w:tcPr>
                <w:p w14:paraId="5F720913" w14:textId="77777777" w:rsidR="005A5FCC" w:rsidRDefault="00A21C81">
                  <w:pPr>
                    <w:spacing w:before="20" w:after="20" w:line="240" w:lineRule="auto"/>
                    <w:jc w:val="left"/>
                  </w:pPr>
                  <w:r>
                    <w:rPr>
                      <w:rFonts w:cs="EB Garamond"/>
                      <w:kern w:val="16"/>
                      <w:sz w:val="16"/>
                      <w14:ligatures w14:val="standardContextual"/>
                    </w:rPr>
                    <w:t>Última remuneração</w:t>
                  </w:r>
                </w:p>
              </w:tc>
              <w:tc>
                <w:tcPr>
                  <w:tcW w:w="1058" w:type="dxa"/>
                  <w:tcBorders>
                    <w:top w:val="single" w:sz="4" w:space="0" w:color="D2C9B8"/>
                    <w:left w:val="single" w:sz="4" w:space="0" w:color="D2C9B8"/>
                    <w:bottom w:val="single" w:sz="4" w:space="0" w:color="D2C9B8"/>
                    <w:right w:val="single" w:sz="4" w:space="0" w:color="D2C9B8"/>
                  </w:tcBorders>
                </w:tcPr>
                <w:p w14:paraId="34D2FC8A" w14:textId="77777777" w:rsidR="005A5FCC" w:rsidRDefault="00A21C81">
                  <w:pPr>
                    <w:spacing w:before="20" w:after="20" w:line="240" w:lineRule="auto"/>
                    <w:jc w:val="left"/>
                  </w:pPr>
                  <w:r>
                    <w:rPr>
                      <w:rFonts w:cs="EB Garamond"/>
                      <w:kern w:val="16"/>
                      <w:sz w:val="16"/>
                      <w14:ligatures w14:val="standardContextual"/>
                    </w:rPr>
                    <w:t>1 SM</w:t>
                  </w:r>
                </w:p>
              </w:tc>
              <w:tc>
                <w:tcPr>
                  <w:tcW w:w="1058" w:type="dxa"/>
                  <w:tcBorders>
                    <w:top w:val="single" w:sz="4" w:space="0" w:color="D2C9B8"/>
                    <w:left w:val="single" w:sz="4" w:space="0" w:color="D2C9B8"/>
                    <w:bottom w:val="single" w:sz="4" w:space="0" w:color="D2C9B8"/>
                    <w:right w:val="single" w:sz="4" w:space="0" w:color="D2C9B8"/>
                  </w:tcBorders>
                </w:tcPr>
                <w:p w14:paraId="1D2EFD6C" w14:textId="77777777" w:rsidR="005A5FCC" w:rsidRDefault="00A21C81">
                  <w:pPr>
                    <w:spacing w:before="20" w:after="20" w:line="240" w:lineRule="auto"/>
                    <w:jc w:val="left"/>
                  </w:pPr>
                  <w:r>
                    <w:rPr>
                      <w:rFonts w:cs="EB Garamond"/>
                      <w:kern w:val="16"/>
                      <w:sz w:val="16"/>
                      <w14:ligatures w14:val="standardContextual"/>
                    </w:rPr>
                    <w:t>Cap. 13</w:t>
                  </w:r>
                </w:p>
              </w:tc>
            </w:tr>
            <w:tr w:rsidR="005A5FCC" w14:paraId="69B6452B" w14:textId="77777777">
              <w:trPr>
                <w:jc w:val="center"/>
              </w:trPr>
              <w:tc>
                <w:tcPr>
                  <w:tcW w:w="1058" w:type="dxa"/>
                  <w:tcBorders>
                    <w:top w:val="single" w:sz="4" w:space="0" w:color="D2C9B8"/>
                    <w:left w:val="single" w:sz="4" w:space="0" w:color="D2C9B8"/>
                    <w:bottom w:val="single" w:sz="4" w:space="0" w:color="D2C9B8"/>
                    <w:right w:val="single" w:sz="4" w:space="0" w:color="D2C9B8"/>
                  </w:tcBorders>
                </w:tcPr>
                <w:p w14:paraId="1C868F4A" w14:textId="77777777" w:rsidR="005A5FCC" w:rsidRDefault="00A21C81">
                  <w:pPr>
                    <w:spacing w:before="20" w:after="20" w:line="240" w:lineRule="auto"/>
                    <w:jc w:val="left"/>
                  </w:pPr>
                  <w:r>
                    <w:rPr>
                      <w:rFonts w:cs="EB Garamond"/>
                      <w:kern w:val="16"/>
                      <w:sz w:val="16"/>
                      <w14:ligatures w14:val="standardContextual"/>
                    </w:rPr>
                    <w:t>Salário-maternidade (CI/facultativa)</w:t>
                  </w:r>
                </w:p>
              </w:tc>
              <w:tc>
                <w:tcPr>
                  <w:tcW w:w="1058" w:type="dxa"/>
                  <w:tcBorders>
                    <w:top w:val="single" w:sz="4" w:space="0" w:color="D2C9B8"/>
                    <w:left w:val="single" w:sz="4" w:space="0" w:color="D2C9B8"/>
                    <w:bottom w:val="single" w:sz="4" w:space="0" w:color="D2C9B8"/>
                    <w:right w:val="single" w:sz="4" w:space="0" w:color="D2C9B8"/>
                  </w:tcBorders>
                </w:tcPr>
                <w:p w14:paraId="7133DA6E" w14:textId="77777777" w:rsidR="005A5FCC" w:rsidRDefault="00A21C81">
                  <w:pPr>
                    <w:spacing w:before="20" w:after="20" w:line="240" w:lineRule="auto"/>
                    <w:jc w:val="left"/>
                  </w:pPr>
                  <w:r>
                    <w:rPr>
                      <w:rFonts w:cs="EB Garamond"/>
                      <w:kern w:val="16"/>
                      <w:sz w:val="16"/>
                      <w14:ligatures w14:val="standardContextual"/>
                    </w:rPr>
                    <w:t>Média 12 últimas contrib.</w:t>
                  </w:r>
                </w:p>
              </w:tc>
              <w:tc>
                <w:tcPr>
                  <w:tcW w:w="1058" w:type="dxa"/>
                  <w:tcBorders>
                    <w:top w:val="single" w:sz="4" w:space="0" w:color="D2C9B8"/>
                    <w:left w:val="single" w:sz="4" w:space="0" w:color="D2C9B8"/>
                    <w:bottom w:val="single" w:sz="4" w:space="0" w:color="D2C9B8"/>
                    <w:right w:val="single" w:sz="4" w:space="0" w:color="D2C9B8"/>
                  </w:tcBorders>
                </w:tcPr>
                <w:p w14:paraId="6D4F91EA" w14:textId="77777777" w:rsidR="005A5FCC" w:rsidRDefault="00A21C81">
                  <w:pPr>
                    <w:spacing w:before="20" w:after="20" w:line="240" w:lineRule="auto"/>
                    <w:jc w:val="left"/>
                  </w:pPr>
                  <w:r>
                    <w:rPr>
                      <w:rFonts w:cs="EB Garamond"/>
                      <w:kern w:val="16"/>
                      <w:sz w:val="16"/>
                      <w14:ligatures w14:val="standardContextual"/>
                    </w:rPr>
                    <w:t>Não usa SB</w:t>
                  </w:r>
                </w:p>
              </w:tc>
              <w:tc>
                <w:tcPr>
                  <w:tcW w:w="1058" w:type="dxa"/>
                  <w:tcBorders>
                    <w:top w:val="single" w:sz="4" w:space="0" w:color="D2C9B8"/>
                    <w:left w:val="single" w:sz="4" w:space="0" w:color="D2C9B8"/>
                    <w:bottom w:val="single" w:sz="4" w:space="0" w:color="D2C9B8"/>
                    <w:right w:val="single" w:sz="4" w:space="0" w:color="D2C9B8"/>
                  </w:tcBorders>
                </w:tcPr>
                <w:p w14:paraId="209DA3D6" w14:textId="77777777" w:rsidR="005A5FCC" w:rsidRDefault="00A21C81">
                  <w:pPr>
                    <w:spacing w:before="20" w:after="20" w:line="240" w:lineRule="auto"/>
                    <w:jc w:val="left"/>
                  </w:pPr>
                  <w:r>
                    <w:rPr>
                      <w:rFonts w:cs="EB Garamond"/>
                      <w:kern w:val="16"/>
                      <w:sz w:val="16"/>
                      <w14:ligatures w14:val="standardContextual"/>
                    </w:rPr>
                    <w:t>Média ou 1 SM</w:t>
                  </w:r>
                </w:p>
              </w:tc>
              <w:tc>
                <w:tcPr>
                  <w:tcW w:w="1058" w:type="dxa"/>
                  <w:tcBorders>
                    <w:top w:val="single" w:sz="4" w:space="0" w:color="D2C9B8"/>
                    <w:left w:val="single" w:sz="4" w:space="0" w:color="D2C9B8"/>
                    <w:bottom w:val="single" w:sz="4" w:space="0" w:color="D2C9B8"/>
                    <w:right w:val="single" w:sz="4" w:space="0" w:color="D2C9B8"/>
                  </w:tcBorders>
                </w:tcPr>
                <w:p w14:paraId="5AA31CE3" w14:textId="77777777" w:rsidR="005A5FCC" w:rsidRDefault="00A21C81">
                  <w:pPr>
                    <w:spacing w:before="20" w:after="20" w:line="240" w:lineRule="auto"/>
                    <w:jc w:val="left"/>
                  </w:pPr>
                  <w:r>
                    <w:rPr>
                      <w:rFonts w:cs="EB Garamond"/>
                      <w:kern w:val="16"/>
                      <w:sz w:val="16"/>
                      <w14:ligatures w14:val="standardContextual"/>
                    </w:rPr>
                    <w:t>1 SM</w:t>
                  </w:r>
                </w:p>
              </w:tc>
              <w:tc>
                <w:tcPr>
                  <w:tcW w:w="1058" w:type="dxa"/>
                  <w:tcBorders>
                    <w:top w:val="single" w:sz="4" w:space="0" w:color="D2C9B8"/>
                    <w:left w:val="single" w:sz="4" w:space="0" w:color="D2C9B8"/>
                    <w:bottom w:val="single" w:sz="4" w:space="0" w:color="D2C9B8"/>
                    <w:right w:val="single" w:sz="4" w:space="0" w:color="D2C9B8"/>
                  </w:tcBorders>
                </w:tcPr>
                <w:p w14:paraId="3E9809A1" w14:textId="77777777" w:rsidR="005A5FCC" w:rsidRDefault="00A21C81">
                  <w:pPr>
                    <w:spacing w:before="20" w:after="20" w:line="240" w:lineRule="auto"/>
                    <w:jc w:val="left"/>
                  </w:pPr>
                  <w:r>
                    <w:rPr>
                      <w:rFonts w:cs="EB Garamond"/>
                      <w:kern w:val="16"/>
                      <w:sz w:val="16"/>
                      <w14:ligatures w14:val="standardContextual"/>
                    </w:rPr>
                    <w:t>Cap. 13</w:t>
                  </w:r>
                </w:p>
              </w:tc>
            </w:tr>
            <w:tr w:rsidR="005A5FCC" w14:paraId="2E7B6531" w14:textId="77777777">
              <w:trPr>
                <w:jc w:val="center"/>
              </w:trPr>
              <w:tc>
                <w:tcPr>
                  <w:tcW w:w="1058" w:type="dxa"/>
                  <w:tcBorders>
                    <w:top w:val="single" w:sz="4" w:space="0" w:color="D2C9B8"/>
                    <w:left w:val="single" w:sz="4" w:space="0" w:color="D2C9B8"/>
                    <w:bottom w:val="single" w:sz="4" w:space="0" w:color="D2C9B8"/>
                    <w:right w:val="single" w:sz="4" w:space="0" w:color="D2C9B8"/>
                  </w:tcBorders>
                </w:tcPr>
                <w:p w14:paraId="1088811A" w14:textId="77777777" w:rsidR="005A5FCC" w:rsidRDefault="00A21C81">
                  <w:pPr>
                    <w:spacing w:before="20" w:after="20" w:line="240" w:lineRule="auto"/>
                    <w:jc w:val="left"/>
                  </w:pPr>
                  <w:r>
                    <w:rPr>
                      <w:rFonts w:cs="EB Garamond"/>
                      <w:kern w:val="16"/>
                      <w:sz w:val="16"/>
                      <w14:ligatures w14:val="standardContextual"/>
                    </w:rPr>
                    <w:t>Salário-maternidade (segurada especial)</w:t>
                  </w:r>
                </w:p>
              </w:tc>
              <w:tc>
                <w:tcPr>
                  <w:tcW w:w="1058" w:type="dxa"/>
                  <w:tcBorders>
                    <w:top w:val="single" w:sz="4" w:space="0" w:color="D2C9B8"/>
                    <w:left w:val="single" w:sz="4" w:space="0" w:color="D2C9B8"/>
                    <w:bottom w:val="single" w:sz="4" w:space="0" w:color="D2C9B8"/>
                    <w:right w:val="single" w:sz="4" w:space="0" w:color="D2C9B8"/>
                  </w:tcBorders>
                </w:tcPr>
                <w:p w14:paraId="5FCD8D4C" w14:textId="77777777" w:rsidR="005A5FCC" w:rsidRDefault="00A21C81">
                  <w:pPr>
                    <w:spacing w:before="20" w:after="20" w:line="240" w:lineRule="auto"/>
                    <w:jc w:val="left"/>
                  </w:pPr>
                  <w:r>
                    <w:rPr>
                      <w:rFonts w:cs="EB Garamond"/>
                      <w:kern w:val="16"/>
                      <w:sz w:val="16"/>
                      <w14:ligatures w14:val="standardContextual"/>
                    </w:rPr>
                    <w:t>Não usa SB</w:t>
                  </w:r>
                </w:p>
              </w:tc>
              <w:tc>
                <w:tcPr>
                  <w:tcW w:w="1058" w:type="dxa"/>
                  <w:tcBorders>
                    <w:top w:val="single" w:sz="4" w:space="0" w:color="D2C9B8"/>
                    <w:left w:val="single" w:sz="4" w:space="0" w:color="D2C9B8"/>
                    <w:bottom w:val="single" w:sz="4" w:space="0" w:color="D2C9B8"/>
                    <w:right w:val="single" w:sz="4" w:space="0" w:color="D2C9B8"/>
                  </w:tcBorders>
                </w:tcPr>
                <w:p w14:paraId="6BB2880E" w14:textId="77777777" w:rsidR="005A5FCC" w:rsidRDefault="00A21C81">
                  <w:pPr>
                    <w:spacing w:before="20" w:after="20" w:line="240" w:lineRule="auto"/>
                    <w:jc w:val="left"/>
                  </w:pPr>
                  <w:r>
                    <w:rPr>
                      <w:rFonts w:cs="EB Garamond"/>
                      <w:kern w:val="16"/>
                      <w:sz w:val="16"/>
                      <w14:ligatures w14:val="standardContextual"/>
                    </w:rPr>
                    <w:t>—</w:t>
                  </w:r>
                </w:p>
              </w:tc>
              <w:tc>
                <w:tcPr>
                  <w:tcW w:w="1058" w:type="dxa"/>
                  <w:tcBorders>
                    <w:top w:val="single" w:sz="4" w:space="0" w:color="D2C9B8"/>
                    <w:left w:val="single" w:sz="4" w:space="0" w:color="D2C9B8"/>
                    <w:bottom w:val="single" w:sz="4" w:space="0" w:color="D2C9B8"/>
                    <w:right w:val="single" w:sz="4" w:space="0" w:color="D2C9B8"/>
                  </w:tcBorders>
                </w:tcPr>
                <w:p w14:paraId="3B1A6D0F" w14:textId="77777777" w:rsidR="005A5FCC" w:rsidRDefault="00A21C81">
                  <w:pPr>
                    <w:spacing w:before="20" w:after="20" w:line="240" w:lineRule="auto"/>
                    <w:jc w:val="left"/>
                  </w:pPr>
                  <w:r>
                    <w:rPr>
                      <w:rFonts w:cs="EB Garamond"/>
                      <w:kern w:val="16"/>
                      <w:sz w:val="16"/>
                      <w14:ligatures w14:val="standardContextual"/>
                    </w:rPr>
                    <w:t>1 SM</w:t>
                  </w:r>
                </w:p>
              </w:tc>
              <w:tc>
                <w:tcPr>
                  <w:tcW w:w="1058" w:type="dxa"/>
                  <w:tcBorders>
                    <w:top w:val="single" w:sz="4" w:space="0" w:color="D2C9B8"/>
                    <w:left w:val="single" w:sz="4" w:space="0" w:color="D2C9B8"/>
                    <w:bottom w:val="single" w:sz="4" w:space="0" w:color="D2C9B8"/>
                    <w:right w:val="single" w:sz="4" w:space="0" w:color="D2C9B8"/>
                  </w:tcBorders>
                </w:tcPr>
                <w:p w14:paraId="7FD6A88B" w14:textId="77777777" w:rsidR="005A5FCC" w:rsidRDefault="00A21C81">
                  <w:pPr>
                    <w:spacing w:before="20" w:after="20" w:line="240" w:lineRule="auto"/>
                    <w:jc w:val="left"/>
                  </w:pPr>
                  <w:r>
                    <w:rPr>
                      <w:rFonts w:cs="EB Garamond"/>
                      <w:kern w:val="16"/>
                      <w:sz w:val="16"/>
                      <w14:ligatures w14:val="standardContextual"/>
                    </w:rPr>
                    <w:t>1 SM</w:t>
                  </w:r>
                </w:p>
              </w:tc>
              <w:tc>
                <w:tcPr>
                  <w:tcW w:w="1058" w:type="dxa"/>
                  <w:tcBorders>
                    <w:top w:val="single" w:sz="4" w:space="0" w:color="D2C9B8"/>
                    <w:left w:val="single" w:sz="4" w:space="0" w:color="D2C9B8"/>
                    <w:bottom w:val="single" w:sz="4" w:space="0" w:color="D2C9B8"/>
                    <w:right w:val="single" w:sz="4" w:space="0" w:color="D2C9B8"/>
                  </w:tcBorders>
                </w:tcPr>
                <w:p w14:paraId="690CE35D" w14:textId="77777777" w:rsidR="005A5FCC" w:rsidRDefault="00A21C81">
                  <w:pPr>
                    <w:spacing w:before="20" w:after="20" w:line="240" w:lineRule="auto"/>
                    <w:jc w:val="left"/>
                  </w:pPr>
                  <w:r>
                    <w:rPr>
                      <w:rFonts w:cs="EB Garamond"/>
                      <w:kern w:val="16"/>
                      <w:sz w:val="16"/>
                      <w14:ligatures w14:val="standardContextual"/>
                    </w:rPr>
                    <w:t>Cap. 13</w:t>
                  </w:r>
                </w:p>
              </w:tc>
            </w:tr>
            <w:tr w:rsidR="005A5FCC" w14:paraId="38DF7D15" w14:textId="77777777">
              <w:trPr>
                <w:jc w:val="center"/>
              </w:trPr>
              <w:tc>
                <w:tcPr>
                  <w:tcW w:w="1058" w:type="dxa"/>
                  <w:tcBorders>
                    <w:top w:val="single" w:sz="4" w:space="0" w:color="D2C9B8"/>
                    <w:left w:val="single" w:sz="4" w:space="0" w:color="D2C9B8"/>
                    <w:bottom w:val="single" w:sz="4" w:space="0" w:color="D2C9B8"/>
                    <w:right w:val="single" w:sz="4" w:space="0" w:color="D2C9B8"/>
                  </w:tcBorders>
                </w:tcPr>
                <w:p w14:paraId="4EE5CCAF" w14:textId="77777777" w:rsidR="005A5FCC" w:rsidRDefault="00A21C81">
                  <w:pPr>
                    <w:spacing w:before="20" w:after="20" w:line="240" w:lineRule="auto"/>
                    <w:jc w:val="left"/>
                  </w:pPr>
                  <w:r>
                    <w:rPr>
                      <w:rFonts w:cs="EB Garamond"/>
                      <w:kern w:val="16"/>
                      <w:sz w:val="16"/>
                      <w14:ligatures w14:val="standardContextual"/>
                    </w:rPr>
                    <w:t>Auxílio-reclusão</w:t>
                  </w:r>
                </w:p>
              </w:tc>
              <w:tc>
                <w:tcPr>
                  <w:tcW w:w="1058" w:type="dxa"/>
                  <w:tcBorders>
                    <w:top w:val="single" w:sz="4" w:space="0" w:color="D2C9B8"/>
                    <w:left w:val="single" w:sz="4" w:space="0" w:color="D2C9B8"/>
                    <w:bottom w:val="single" w:sz="4" w:space="0" w:color="D2C9B8"/>
                    <w:right w:val="single" w:sz="4" w:space="0" w:color="D2C9B8"/>
                  </w:tcBorders>
                </w:tcPr>
                <w:p w14:paraId="60EA4524" w14:textId="77777777" w:rsidR="005A5FCC" w:rsidRDefault="00A21C81">
                  <w:pPr>
                    <w:spacing w:before="20" w:after="20" w:line="240" w:lineRule="auto"/>
                    <w:jc w:val="left"/>
                  </w:pPr>
                  <w:r>
                    <w:rPr>
                      <w:rFonts w:cs="EB Garamond"/>
                      <w:kern w:val="16"/>
                      <w:sz w:val="16"/>
                      <w14:ligatures w14:val="standardContextual"/>
                    </w:rPr>
                    <w:t>—</w:t>
                  </w:r>
                </w:p>
              </w:tc>
              <w:tc>
                <w:tcPr>
                  <w:tcW w:w="1058" w:type="dxa"/>
                  <w:tcBorders>
                    <w:top w:val="single" w:sz="4" w:space="0" w:color="D2C9B8"/>
                    <w:left w:val="single" w:sz="4" w:space="0" w:color="D2C9B8"/>
                    <w:bottom w:val="single" w:sz="4" w:space="0" w:color="D2C9B8"/>
                    <w:right w:val="single" w:sz="4" w:space="0" w:color="D2C9B8"/>
                  </w:tcBorders>
                </w:tcPr>
                <w:p w14:paraId="166B61AE" w14:textId="77777777" w:rsidR="005A5FCC" w:rsidRDefault="00A21C81">
                  <w:pPr>
                    <w:spacing w:before="20" w:after="20" w:line="240" w:lineRule="auto"/>
                    <w:jc w:val="left"/>
                  </w:pPr>
                  <w:r>
                    <w:rPr>
                      <w:rFonts w:cs="EB Garamond"/>
                      <w:kern w:val="16"/>
                      <w:sz w:val="16"/>
                      <w14:ligatures w14:val="standardContextual"/>
                    </w:rPr>
                    <w:t>—</w:t>
                  </w:r>
                </w:p>
              </w:tc>
              <w:tc>
                <w:tcPr>
                  <w:tcW w:w="1058" w:type="dxa"/>
                  <w:tcBorders>
                    <w:top w:val="single" w:sz="4" w:space="0" w:color="D2C9B8"/>
                    <w:left w:val="single" w:sz="4" w:space="0" w:color="D2C9B8"/>
                    <w:bottom w:val="single" w:sz="4" w:space="0" w:color="D2C9B8"/>
                    <w:right w:val="single" w:sz="4" w:space="0" w:color="D2C9B8"/>
                  </w:tcBorders>
                </w:tcPr>
                <w:p w14:paraId="308EFD65" w14:textId="77777777" w:rsidR="005A5FCC" w:rsidRDefault="00A21C81">
                  <w:pPr>
                    <w:spacing w:before="20" w:after="20" w:line="240" w:lineRule="auto"/>
                    <w:jc w:val="left"/>
                  </w:pPr>
                  <w:r>
                    <w:rPr>
                      <w:rFonts w:cs="EB Garamond"/>
                      <w:kern w:val="16"/>
                      <w:sz w:val="16"/>
                      <w14:ligatures w14:val="standardContextual"/>
                    </w:rPr>
                    <w:t>1 SM (valor único pós-EC 103)</w:t>
                  </w:r>
                </w:p>
              </w:tc>
              <w:tc>
                <w:tcPr>
                  <w:tcW w:w="1058" w:type="dxa"/>
                  <w:tcBorders>
                    <w:top w:val="single" w:sz="4" w:space="0" w:color="D2C9B8"/>
                    <w:left w:val="single" w:sz="4" w:space="0" w:color="D2C9B8"/>
                    <w:bottom w:val="single" w:sz="4" w:space="0" w:color="D2C9B8"/>
                    <w:right w:val="single" w:sz="4" w:space="0" w:color="D2C9B8"/>
                  </w:tcBorders>
                </w:tcPr>
                <w:p w14:paraId="789BD378" w14:textId="77777777" w:rsidR="005A5FCC" w:rsidRDefault="00A21C81">
                  <w:pPr>
                    <w:spacing w:before="20" w:after="20" w:line="240" w:lineRule="auto"/>
                    <w:jc w:val="left"/>
                  </w:pPr>
                  <w:r>
                    <w:rPr>
                      <w:rFonts w:cs="EB Garamond"/>
                      <w:kern w:val="16"/>
                      <w:sz w:val="16"/>
                      <w14:ligatures w14:val="standardContextual"/>
                    </w:rPr>
                    <w:t>1 SM</w:t>
                  </w:r>
                </w:p>
              </w:tc>
              <w:tc>
                <w:tcPr>
                  <w:tcW w:w="1058" w:type="dxa"/>
                  <w:tcBorders>
                    <w:top w:val="single" w:sz="4" w:space="0" w:color="D2C9B8"/>
                    <w:left w:val="single" w:sz="4" w:space="0" w:color="D2C9B8"/>
                    <w:bottom w:val="single" w:sz="4" w:space="0" w:color="D2C9B8"/>
                    <w:right w:val="single" w:sz="4" w:space="0" w:color="D2C9B8"/>
                  </w:tcBorders>
                </w:tcPr>
                <w:p w14:paraId="0D0CA340" w14:textId="77777777" w:rsidR="005A5FCC" w:rsidRDefault="00A21C81">
                  <w:pPr>
                    <w:spacing w:before="20" w:after="20" w:line="240" w:lineRule="auto"/>
                    <w:jc w:val="left"/>
                  </w:pPr>
                  <w:r>
                    <w:rPr>
                      <w:rFonts w:cs="EB Garamond"/>
                      <w:kern w:val="16"/>
                      <w:sz w:val="16"/>
                      <w14:ligatures w14:val="standardContextual"/>
                    </w:rPr>
                    <w:t>Cap. 14</w:t>
                  </w:r>
                </w:p>
              </w:tc>
            </w:tr>
            <w:tr w:rsidR="005A5FCC" w14:paraId="7D232DCC" w14:textId="77777777">
              <w:trPr>
                <w:jc w:val="center"/>
              </w:trPr>
              <w:tc>
                <w:tcPr>
                  <w:tcW w:w="1058" w:type="dxa"/>
                  <w:tcBorders>
                    <w:top w:val="single" w:sz="4" w:space="0" w:color="D2C9B8"/>
                    <w:left w:val="single" w:sz="4" w:space="0" w:color="D2C9B8"/>
                    <w:bottom w:val="single" w:sz="4" w:space="0" w:color="D2C9B8"/>
                    <w:right w:val="single" w:sz="4" w:space="0" w:color="D2C9B8"/>
                  </w:tcBorders>
                </w:tcPr>
                <w:p w14:paraId="70CE5642" w14:textId="77777777" w:rsidR="005A5FCC" w:rsidRDefault="00A21C81">
                  <w:pPr>
                    <w:spacing w:before="20" w:after="20" w:line="240" w:lineRule="auto"/>
                    <w:jc w:val="left"/>
                  </w:pPr>
                  <w:r>
                    <w:rPr>
                      <w:rFonts w:cs="EB Garamond"/>
                      <w:kern w:val="16"/>
                      <w:sz w:val="16"/>
                      <w14:ligatures w14:val="standardContextual"/>
                    </w:rPr>
                    <w:t>Salário-família</w:t>
                  </w:r>
                </w:p>
              </w:tc>
              <w:tc>
                <w:tcPr>
                  <w:tcW w:w="1058" w:type="dxa"/>
                  <w:tcBorders>
                    <w:top w:val="single" w:sz="4" w:space="0" w:color="D2C9B8"/>
                    <w:left w:val="single" w:sz="4" w:space="0" w:color="D2C9B8"/>
                    <w:bottom w:val="single" w:sz="4" w:space="0" w:color="D2C9B8"/>
                    <w:right w:val="single" w:sz="4" w:space="0" w:color="D2C9B8"/>
                  </w:tcBorders>
                </w:tcPr>
                <w:p w14:paraId="36D014B1" w14:textId="77777777" w:rsidR="005A5FCC" w:rsidRDefault="00A21C81">
                  <w:pPr>
                    <w:spacing w:before="20" w:after="20" w:line="240" w:lineRule="auto"/>
                    <w:jc w:val="left"/>
                  </w:pPr>
                  <w:r>
                    <w:rPr>
                      <w:rFonts w:cs="EB Garamond"/>
                      <w:kern w:val="16"/>
                      <w:sz w:val="16"/>
                      <w14:ligatures w14:val="standardContextual"/>
                    </w:rPr>
                    <w:t>—</w:t>
                  </w:r>
                </w:p>
              </w:tc>
              <w:tc>
                <w:tcPr>
                  <w:tcW w:w="1058" w:type="dxa"/>
                  <w:tcBorders>
                    <w:top w:val="single" w:sz="4" w:space="0" w:color="D2C9B8"/>
                    <w:left w:val="single" w:sz="4" w:space="0" w:color="D2C9B8"/>
                    <w:bottom w:val="single" w:sz="4" w:space="0" w:color="D2C9B8"/>
                    <w:right w:val="single" w:sz="4" w:space="0" w:color="D2C9B8"/>
                  </w:tcBorders>
                </w:tcPr>
                <w:p w14:paraId="67B6A7BC" w14:textId="77777777" w:rsidR="005A5FCC" w:rsidRDefault="00A21C81">
                  <w:pPr>
                    <w:spacing w:before="20" w:after="20" w:line="240" w:lineRule="auto"/>
                    <w:jc w:val="left"/>
                  </w:pPr>
                  <w:r>
                    <w:rPr>
                      <w:rFonts w:cs="EB Garamond"/>
                      <w:kern w:val="16"/>
                      <w:sz w:val="16"/>
                      <w14:ligatures w14:val="standardContextual"/>
                    </w:rPr>
                    <w:t>—</w:t>
                  </w:r>
                </w:p>
              </w:tc>
              <w:tc>
                <w:tcPr>
                  <w:tcW w:w="1058" w:type="dxa"/>
                  <w:tcBorders>
                    <w:top w:val="single" w:sz="4" w:space="0" w:color="D2C9B8"/>
                    <w:left w:val="single" w:sz="4" w:space="0" w:color="D2C9B8"/>
                    <w:bottom w:val="single" w:sz="4" w:space="0" w:color="D2C9B8"/>
                    <w:right w:val="single" w:sz="4" w:space="0" w:color="D2C9B8"/>
                  </w:tcBorders>
                </w:tcPr>
                <w:p w14:paraId="654DC48A" w14:textId="77777777" w:rsidR="005A5FCC" w:rsidRDefault="00A21C81">
                  <w:pPr>
                    <w:spacing w:before="20" w:after="20" w:line="240" w:lineRule="auto"/>
                    <w:jc w:val="left"/>
                  </w:pPr>
                  <w:r>
                    <w:rPr>
                      <w:rFonts w:cs="EB Garamond"/>
                      <w:kern w:val="16"/>
                      <w:sz w:val="16"/>
                      <w14:ligatures w14:val="standardContextual"/>
                    </w:rPr>
                    <w:t>Cota fixa por filho/equiparado</w:t>
                  </w:r>
                </w:p>
              </w:tc>
              <w:tc>
                <w:tcPr>
                  <w:tcW w:w="1058" w:type="dxa"/>
                  <w:tcBorders>
                    <w:top w:val="single" w:sz="4" w:space="0" w:color="D2C9B8"/>
                    <w:left w:val="single" w:sz="4" w:space="0" w:color="D2C9B8"/>
                    <w:bottom w:val="single" w:sz="4" w:space="0" w:color="D2C9B8"/>
                    <w:right w:val="single" w:sz="4" w:space="0" w:color="D2C9B8"/>
                  </w:tcBorders>
                </w:tcPr>
                <w:p w14:paraId="7379DBE3" w14:textId="77777777" w:rsidR="005A5FCC" w:rsidRDefault="00A21C81">
                  <w:pPr>
                    <w:spacing w:before="20" w:after="20" w:line="240" w:lineRule="auto"/>
                    <w:jc w:val="left"/>
                  </w:pPr>
                  <w:r>
                    <w:rPr>
                      <w:rFonts w:cs="EB Garamond"/>
                      <w:kern w:val="16"/>
                      <w:sz w:val="16"/>
                      <w14:ligatures w14:val="standardContextual"/>
                    </w:rPr>
                    <w:t>Cota fixa</w:t>
                  </w:r>
                </w:p>
              </w:tc>
              <w:tc>
                <w:tcPr>
                  <w:tcW w:w="1058" w:type="dxa"/>
                  <w:tcBorders>
                    <w:top w:val="single" w:sz="4" w:space="0" w:color="D2C9B8"/>
                    <w:left w:val="single" w:sz="4" w:space="0" w:color="D2C9B8"/>
                    <w:bottom w:val="single" w:sz="4" w:space="0" w:color="D2C9B8"/>
                    <w:right w:val="single" w:sz="4" w:space="0" w:color="D2C9B8"/>
                  </w:tcBorders>
                </w:tcPr>
                <w:p w14:paraId="24F59A0A" w14:textId="77777777" w:rsidR="005A5FCC" w:rsidRDefault="00A21C81">
                  <w:pPr>
                    <w:spacing w:before="20" w:after="20" w:line="240" w:lineRule="auto"/>
                    <w:jc w:val="left"/>
                  </w:pPr>
                  <w:r>
                    <w:rPr>
                      <w:rFonts w:cs="EB Garamond"/>
                      <w:kern w:val="16"/>
                      <w:sz w:val="16"/>
                      <w14:ligatures w14:val="standardContextual"/>
                    </w:rPr>
                    <w:t>Cap. 13</w:t>
                  </w:r>
                </w:p>
              </w:tc>
            </w:tr>
          </w:tbl>
          <w:p w14:paraId="49A0E5D7" w14:textId="77777777" w:rsidR="005A5FCC" w:rsidRDefault="005A5FCC"/>
          <w:p w14:paraId="3C9E5753" w14:textId="77777777" w:rsidR="005A5FCC" w:rsidRDefault="005A5FCC">
            <w:pPr>
              <w:spacing w:after="0" w:line="240" w:lineRule="auto"/>
            </w:pPr>
          </w:p>
          <w:p w14:paraId="2188EC69" w14:textId="2ABA0FE9" w:rsidR="005A5FCC" w:rsidRDefault="00A21C81">
            <w:pPr>
              <w:spacing w:after="60" w:line="247" w:lineRule="auto"/>
            </w:pPr>
            <w:r>
              <w:rPr>
                <w:rFonts w:cs="EB Garamond"/>
                <w:b/>
                <w:kern w:val="16"/>
                <w:sz w:val="19"/>
                <w14:ligatures w14:val="standardContextual"/>
              </w:rPr>
              <w:t>Notas:</w:t>
            </w:r>
            <w:r>
              <w:rPr>
                <w:rFonts w:cs="EB Garamond"/>
                <w:kern w:val="16"/>
                <w:sz w:val="19"/>
                <w14:ligatures w14:val="standardContextual"/>
              </w:rPr>
              <w:t xml:space="preserve"> (1) A aposentadoria PcD mantém regra de cálculo própria da LC 142/2013, preservada pelo art. 22 da EC 103 (v. Seção 12.5). (2) A pensão por morte pós-EC 103 tem cota de 50% do SB + 10% por dependente até o limite de 100%, nos termos do art. 23 da EC 103 (v. Seção 19.20). (3) O salário-maternidade da empregada tem teto especial: subsídio de Ministro do STF (v. Seção 13.6). (4) O auxílio-acidente é o único benefício previdenciário que pode ter valor inferior ao </w:t>
            </w:r>
            <w:r w:rsidR="003115FC">
              <w:rPr>
                <w:rFonts w:cs="EB Garamond"/>
                <w:kern w:val="16"/>
                <w:sz w:val="19"/>
                <w14:ligatures w14:val="standardContextual"/>
              </w:rPr>
              <w:t>salário-mínimo</w:t>
            </w:r>
            <w:r>
              <w:rPr>
                <w:rFonts w:cs="EB Garamond"/>
                <w:kern w:val="16"/>
                <w:sz w:val="19"/>
                <w14:ligatures w14:val="standardContextual"/>
              </w:rPr>
              <w:t xml:space="preserve"> (v. Seção 15.9).</w:t>
            </w:r>
          </w:p>
        </w:tc>
      </w:tr>
    </w:tbl>
    <w:p w14:paraId="301CD17B" w14:textId="77777777" w:rsidR="005A5FCC" w:rsidRDefault="005A5FCC">
      <w:pPr>
        <w:spacing w:after="80" w:line="240" w:lineRule="auto"/>
      </w:pPr>
    </w:p>
    <w:p w14:paraId="5C9D28A2" w14:textId="77777777" w:rsidR="005A5FCC" w:rsidRDefault="00A21C81">
      <w:pPr>
        <w:spacing w:before="260" w:after="80" w:line="240" w:lineRule="auto"/>
        <w:jc w:val="left"/>
      </w:pPr>
      <w:r>
        <w:rPr>
          <w:rFonts w:cs="EB Garamond"/>
          <w:b/>
          <w:color w:val="3A3128"/>
          <w:kern w:val="16"/>
          <w:sz w:val="25"/>
          <w14:ligatures w14:val="standardContextual"/>
        </w:rPr>
        <w:lastRenderedPageBreak/>
        <w:t>16.6.3 Direito ao benefício mais vantajoso</w:t>
      </w:r>
    </w:p>
    <w:p w14:paraId="142CBD99"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13725BE5" w14:textId="77777777" w:rsidR="005A5FCC" w:rsidRDefault="00A21C81">
      <w:r>
        <w:rPr>
          <w:rFonts w:cs="EB Garamond"/>
          <w:kern w:val="16"/>
          <w14:ligatures w14:val="standardContextual"/>
        </w:rPr>
        <w:t xml:space="preserve"> segurado que preenche requisitos para mais de uma regra de cálculo, situação comum para os filiados antes da EC 103/2019, tem direito ao benefício calculado pela regra mais vantajosa. Esse direito decorre do princípio da proteção social e foi reconhecido pela própria EC 103, que preservou as regras de transição como alternativas à regra permanente, cabendo ao segurado a escolha.</w:t>
      </w:r>
    </w:p>
    <w:p w14:paraId="253C1458" w14:textId="77777777" w:rsidR="005A5FCC" w:rsidRDefault="00A21C81">
      <w:pPr>
        <w:ind w:firstLine="238"/>
      </w:pPr>
      <w:r>
        <w:rPr>
          <w:rFonts w:cs="EB Garamond"/>
          <w:kern w:val="16"/>
          <w14:ligatures w14:val="standardContextual"/>
        </w:rPr>
        <w:t>A análise comparativa entre as regras de cálculo foi realizada na seção 10.12, com o exemplo da segurada Helena, que teve seu benefício simulado por seis regras distintas. Remetemos o leitor a essa análise para a demonstração prática de como a escolha da regra pode afetar significativamente o valor mensal do benefício.</w:t>
      </w:r>
    </w:p>
    <w:p w14:paraId="0CE537A2" w14:textId="77777777" w:rsidR="005A5FCC" w:rsidRDefault="00A21C81">
      <w:pPr>
        <w:ind w:firstLine="238"/>
      </w:pPr>
      <w:r>
        <w:rPr>
          <w:rFonts w:cs="EB Garamond"/>
          <w:kern w:val="16"/>
          <w14:ligatures w14:val="standardContextual"/>
        </w:rPr>
        <w:t>Na prática forense, a identificação da regra mais vantajosa exige a elaboração de cálculo comparativo — tarefa que, nos processos judiciais, pode ser desempenhada pelo advogado (na inicial), pelo contador judicial (por determinação do juiz) ou pelo próprio INSS (quando instado a apresentar os cálculos nas diferentes regras). O magistrado deve estar atento para determinar, quando necessário, a apresentação de cálculos comparativos que permitam a concessão do benefício mais favorável ao segurado.</w:t>
      </w:r>
    </w:p>
    <w:p w14:paraId="5093F627"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16.7 Teto e piso dos benefícios</w:t>
      </w:r>
    </w:p>
    <w:p w14:paraId="575707C4"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40D1BCA0" w14:textId="2B787034" w:rsidR="005A5FCC" w:rsidRDefault="00A21C81">
      <w:r>
        <w:rPr>
          <w:rFonts w:cs="EB Garamond"/>
          <w:kern w:val="16"/>
          <w14:ligatures w14:val="standardContextual"/>
        </w:rPr>
        <w:t xml:space="preserve"> sistema previdenciário brasileiro opera dentro de limites inferior e superior que balizam o valor dos benefícios. O piso constitucional (</w:t>
      </w:r>
      <w:r w:rsidR="003115FC">
        <w:rPr>
          <w:rFonts w:cs="EB Garamond"/>
          <w:kern w:val="16"/>
          <w14:ligatures w14:val="standardContextual"/>
        </w:rPr>
        <w:t>salário-mínimo</w:t>
      </w:r>
      <w:r>
        <w:rPr>
          <w:rFonts w:cs="EB Garamond"/>
          <w:kern w:val="16"/>
          <w14:ligatures w14:val="standardContextual"/>
        </w:rPr>
        <w:t>) e o teto do RGPS funcionam como moldura dentro da qual se insere o cálculo do benefício. A compreensão dessas balizas é essencial para a correta fixação da RMI e para a análise das ações revisionais fundadas na readequação dos tetos.</w:t>
      </w:r>
    </w:p>
    <w:p w14:paraId="493E1879" w14:textId="1E5D1A51" w:rsidR="005A5FCC" w:rsidRDefault="00A21C81">
      <w:pPr>
        <w:spacing w:before="260" w:after="80" w:line="240" w:lineRule="auto"/>
        <w:jc w:val="left"/>
      </w:pPr>
      <w:r>
        <w:rPr>
          <w:rFonts w:cs="EB Garamond"/>
          <w:b/>
          <w:color w:val="3A3128"/>
          <w:kern w:val="16"/>
          <w:sz w:val="25"/>
          <w14:ligatures w14:val="standardContextual"/>
        </w:rPr>
        <w:t xml:space="preserve">16.7.1 Piso: o </w:t>
      </w:r>
      <w:r w:rsidR="003115FC">
        <w:rPr>
          <w:rFonts w:cs="EB Garamond"/>
          <w:b/>
          <w:color w:val="3A3128"/>
          <w:kern w:val="16"/>
          <w:sz w:val="25"/>
          <w14:ligatures w14:val="standardContextual"/>
        </w:rPr>
        <w:t>salário-mínimo</w:t>
      </w:r>
    </w:p>
    <w:p w14:paraId="6E3DA555"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O</w:t>
      </w:r>
    </w:p>
    <w:p w14:paraId="4DFCA3BE" w14:textId="6C915DC6" w:rsidR="005A5FCC" w:rsidRDefault="00A21C81">
      <w:r>
        <w:rPr>
          <w:rFonts w:cs="EB Garamond"/>
          <w:kern w:val="16"/>
          <w14:ligatures w14:val="standardContextual"/>
        </w:rPr>
        <w:t xml:space="preserve"> art. 201, § 2º, da Constituição Federal garante que nenhum benefício que substitua o salário de contribuição ou o rendimento do trabalho do segurado terá valor mensal inferior ao </w:t>
      </w:r>
      <w:r w:rsidR="00004D8B">
        <w:rPr>
          <w:rFonts w:cs="EB Garamond"/>
          <w:kern w:val="16"/>
          <w14:ligatures w14:val="standardContextual"/>
        </w:rPr>
        <w:t>salário-mínimo</w:t>
      </w:r>
      <w:r>
        <w:rPr>
          <w:rFonts w:cs="EB Garamond"/>
          <w:kern w:val="16"/>
          <w14:ligatures w14:val="standardContextual"/>
        </w:rPr>
        <w:t xml:space="preserve">. Essa garantia constitucional abrange a aposentadoria, o auxílio por incapacidade temporária, a pensão por morte, o salário-maternidade e o auxílio-reclusão. Em 2026, o </w:t>
      </w:r>
      <w:r w:rsidR="00004D8B">
        <w:rPr>
          <w:rFonts w:cs="EB Garamond"/>
          <w:kern w:val="16"/>
          <w14:ligatures w14:val="standardContextual"/>
        </w:rPr>
        <w:t>salário-mínimo</w:t>
      </w:r>
      <w:r>
        <w:rPr>
          <w:rFonts w:cs="EB Garamond"/>
          <w:kern w:val="16"/>
          <w14:ligatures w14:val="standardContextual"/>
        </w:rPr>
        <w:t xml:space="preserve"> é de R$ 1.621,00 (Decreto 12.797/2025).</w:t>
      </w:r>
    </w:p>
    <w:p w14:paraId="70227F38" w14:textId="1565F0C0" w:rsidR="005A5FCC" w:rsidRDefault="00A21C81">
      <w:pPr>
        <w:ind w:firstLine="238"/>
      </w:pPr>
      <w:r>
        <w:rPr>
          <w:rFonts w:cs="EB Garamond"/>
          <w:kern w:val="16"/>
          <w14:ligatures w14:val="standardContextual"/>
        </w:rPr>
        <w:t xml:space="preserve">A garantia do piso funciona como cláusula de proteção: se o cálculo do benefício pela fórmula legal resultar em valor inferior ao </w:t>
      </w:r>
      <w:r w:rsidR="00004D8B">
        <w:rPr>
          <w:rFonts w:cs="EB Garamond"/>
          <w:kern w:val="16"/>
          <w14:ligatures w14:val="standardContextual"/>
        </w:rPr>
        <w:t>salário-mínimo</w:t>
      </w:r>
      <w:r>
        <w:rPr>
          <w:rFonts w:cs="EB Garamond"/>
          <w:kern w:val="16"/>
          <w14:ligatures w14:val="standardContextual"/>
        </w:rPr>
        <w:t xml:space="preserve">, o benefício será elevado ao mínimo. É o caso, por exemplo, do segurado com coeficiente de 60% cujo salário de benefício seja de R$ 2.500,00: a RMI calculada seria R$ 1.500,00, valor inferior ao </w:t>
      </w:r>
      <w:r w:rsidR="00004D8B">
        <w:rPr>
          <w:rFonts w:cs="EB Garamond"/>
          <w:kern w:val="16"/>
          <w14:ligatures w14:val="standardContextual"/>
        </w:rPr>
        <w:t>salário-mínimo</w:t>
      </w:r>
      <w:r>
        <w:rPr>
          <w:rFonts w:cs="EB Garamond"/>
          <w:kern w:val="16"/>
          <w14:ligatures w14:val="standardContextual"/>
        </w:rPr>
        <w:t>, e seria automaticamente elevada para R$ 1.621,00.</w:t>
      </w:r>
    </w:p>
    <w:p w14:paraId="76778751" w14:textId="42AEACB7" w:rsidR="005A5FCC" w:rsidRDefault="00A21C81">
      <w:pPr>
        <w:ind w:firstLine="238"/>
      </w:pPr>
      <w:r>
        <w:rPr>
          <w:rFonts w:cs="EB Garamond"/>
          <w:kern w:val="16"/>
          <w14:ligatures w14:val="standardContextual"/>
        </w:rPr>
        <w:t xml:space="preserve">A exceção relevante é o auxílio-acidente, que pode ter valor inferior ao </w:t>
      </w:r>
      <w:r w:rsidR="00004D8B">
        <w:rPr>
          <w:rFonts w:cs="EB Garamond"/>
          <w:kern w:val="16"/>
          <w14:ligatures w14:val="standardContextual"/>
        </w:rPr>
        <w:t>salário-mínimo</w:t>
      </w:r>
      <w:r>
        <w:rPr>
          <w:rFonts w:cs="EB Garamond"/>
          <w:kern w:val="16"/>
          <w14:ligatures w14:val="standardContextual"/>
        </w:rPr>
        <w:t>. A razão é que o auxílio-acidente tem natureza indenizatória, e não substitutiva da renda do trabalho, o que o exclui do alcance do art. 201, § 2º, da CF. Como o auxílio-acidente corresponde a 50% do salário de benefício e é compatível com o exercício de atividade remunerada, seu valor pode ser inferior ao mínimo sem que isso configure violação constitucional (conforme analisado na seção 15.9).</w:t>
      </w:r>
    </w:p>
    <w:p w14:paraId="628F37EB" w14:textId="77777777" w:rsidR="005A5FCC" w:rsidRDefault="00A21C81">
      <w:pPr>
        <w:spacing w:before="260" w:after="80" w:line="240" w:lineRule="auto"/>
        <w:jc w:val="left"/>
      </w:pPr>
      <w:r>
        <w:rPr>
          <w:rFonts w:cs="EB Garamond"/>
          <w:b/>
          <w:color w:val="3A3128"/>
          <w:kern w:val="16"/>
          <w:sz w:val="25"/>
          <w14:ligatures w14:val="standardContextual"/>
        </w:rPr>
        <w:t>16.7.2 Teto: R$ 8.475,55 (2026)</w:t>
      </w:r>
    </w:p>
    <w:p w14:paraId="2B611833"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46EA3099" w14:textId="77777777" w:rsidR="005A5FCC" w:rsidRDefault="00A21C81">
      <w:r>
        <w:rPr>
          <w:rFonts w:cs="EB Garamond"/>
          <w:kern w:val="16"/>
          <w14:ligatures w14:val="standardContextual"/>
        </w:rPr>
        <w:t xml:space="preserve"> teto do RGPS é o valor máximo que o segurado pode receber a título de benefício previdenciário no regime geral. Em 2026, o teto é de R$ 8.475,55 (Portaria Interministerial MPS/MF n. 13, de 9 de janeiro de 2026, com reajuste de 3,90% pelo INPC sobre o teto anterior de R$ 8.157,41).</w:t>
      </w:r>
    </w:p>
    <w:p w14:paraId="21572FC8" w14:textId="77777777" w:rsidR="005A5FCC" w:rsidRDefault="00A21C81">
      <w:pPr>
        <w:ind w:firstLine="238"/>
      </w:pPr>
      <w:r>
        <w:rPr>
          <w:rFonts w:cs="EB Garamond"/>
          <w:kern w:val="16"/>
          <w14:ligatures w14:val="standardContextual"/>
        </w:rPr>
        <w:t xml:space="preserve">O teto incide em dois momentos distintos do cálculo. Primeiro, sobre o salário de contribuição: o segurado não pode contribuir sobre base superior ao teto do RGPS, o que limita os salários de contribuição que integram o PBC. Segundo, sobre a renda mensal inicial: o benefício concedido não pode exceder o teto vigente na data da concessão. A dupla incidência é relevante porque o salário de benefício (média dos salários de contribuição) pode, em tese, resultar em valor superior ao teto vigente, especialmente quando o segurado contribuiu sobre o </w:t>
      </w:r>
      <w:r>
        <w:rPr>
          <w:rFonts w:cs="EB Garamond"/>
          <w:kern w:val="16"/>
          <w14:ligatures w14:val="standardContextual"/>
        </w:rPr>
        <w:lastRenderedPageBreak/>
        <w:t>teto em período anterior e o teto foi reajustado por percentual inferior à inflação acumulada.</w:t>
      </w:r>
    </w:p>
    <w:p w14:paraId="28D0C919" w14:textId="1493AC85" w:rsidR="005A5FCC" w:rsidRDefault="00A21C81">
      <w:pPr>
        <w:ind w:firstLine="238"/>
      </w:pPr>
      <w:r>
        <w:rPr>
          <w:rFonts w:cs="EB Garamond"/>
          <w:kern w:val="16"/>
          <w14:ligatures w14:val="standardContextual"/>
        </w:rPr>
        <w:t xml:space="preserve">O teto é reajustado anualmente pelo mesmo índice aplicado ao reajuste dos benefícios (INPC), na mesma data de reajuste do </w:t>
      </w:r>
      <w:r w:rsidR="00DD22BB">
        <w:rPr>
          <w:rFonts w:cs="EB Garamond"/>
          <w:kern w:val="16"/>
          <w14:ligatures w14:val="standardContextual"/>
        </w:rPr>
        <w:t>salário-mínimo</w:t>
      </w:r>
      <w:r>
        <w:rPr>
          <w:rFonts w:cs="EB Garamond"/>
          <w:kern w:val="16"/>
          <w14:ligatures w14:val="standardContextual"/>
        </w:rPr>
        <w:t>. A evolução dos tetos desde a vigência do Plano Real até 2026 é apresentada no quadro a seguir.</w:t>
      </w:r>
    </w:p>
    <w:tbl>
      <w:tblPr>
        <w:tblW w:w="5000" w:type="pct"/>
        <w:jc w:val="center"/>
        <w:tblLayout w:type="fixed"/>
        <w:tblLook w:val="04A0" w:firstRow="1" w:lastRow="0" w:firstColumn="1" w:lastColumn="0" w:noHBand="0" w:noVBand="1"/>
      </w:tblPr>
      <w:tblGrid>
        <w:gridCol w:w="6311"/>
      </w:tblGrid>
      <w:tr w:rsidR="005A5FCC" w14:paraId="41BC69DB" w14:textId="77777777">
        <w:trPr>
          <w:cantSplit/>
          <w:jc w:val="center"/>
        </w:trPr>
        <w:tc>
          <w:tcPr>
            <w:tcW w:w="6350" w:type="dxa"/>
            <w:tcBorders>
              <w:top w:val="single" w:sz="7" w:space="0" w:color="A09882"/>
              <w:left w:val="single" w:sz="24" w:space="0" w:color="6B6256"/>
              <w:bottom w:val="single" w:sz="7" w:space="0" w:color="A09882"/>
              <w:right w:val="single" w:sz="7" w:space="0" w:color="A09882"/>
            </w:tcBorders>
            <w:shd w:val="clear" w:color="auto" w:fill="F5F3EF"/>
            <w:tcMar>
              <w:top w:w="150" w:type="dxa"/>
              <w:left w:w="220" w:type="dxa"/>
              <w:bottom w:w="150" w:type="dxa"/>
              <w:right w:w="180" w:type="dxa"/>
            </w:tcMar>
          </w:tcPr>
          <w:p w14:paraId="6CBF9BD2" w14:textId="77777777" w:rsidR="005A5FCC" w:rsidRDefault="00A21C81">
            <w:pPr>
              <w:spacing w:after="60" w:line="240" w:lineRule="auto"/>
              <w:jc w:val="left"/>
            </w:pPr>
            <w:r>
              <w:rPr>
                <w:rFonts w:ascii="Noto Sans" w:hAnsi="Noto Sans" w:cs="Noto Sans"/>
                <w:b/>
                <w:caps/>
                <w:color w:val="6B6256"/>
                <w:kern w:val="16"/>
                <w:sz w:val="16"/>
                <w14:ligatures w14:val="standardContextual"/>
              </w:rPr>
              <w:t>QUADRO</w:t>
            </w:r>
          </w:p>
          <w:p w14:paraId="0DC9BC08" w14:textId="77777777" w:rsidR="005A5FCC" w:rsidRDefault="00A21C81">
            <w:pPr>
              <w:spacing w:after="60" w:line="247" w:lineRule="auto"/>
            </w:pPr>
            <w:r>
              <w:rPr>
                <w:rFonts w:cs="EB Garamond"/>
                <w:b/>
                <w:kern w:val="16"/>
                <w:sz w:val="19"/>
                <w14:ligatures w14:val="standardContextual"/>
              </w:rPr>
              <w:t>Quadro 16.3 — Evolução do teto do RGPS (1994-2026)</w:t>
            </w:r>
          </w:p>
          <w:tbl>
            <w:tblPr>
              <w:tblW w:w="5000" w:type="pct"/>
              <w:jc w:val="center"/>
              <w:tblLook w:val="04A0" w:firstRow="1" w:lastRow="0" w:firstColumn="1" w:lastColumn="0" w:noHBand="0" w:noVBand="1"/>
            </w:tblPr>
            <w:tblGrid>
              <w:gridCol w:w="1967"/>
              <w:gridCol w:w="1967"/>
              <w:gridCol w:w="1967"/>
            </w:tblGrid>
            <w:tr w:rsidR="005A5FCC" w14:paraId="208BC784" w14:textId="77777777">
              <w:trPr>
                <w:tblHeader/>
                <w:jc w:val="center"/>
              </w:trPr>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0F3F3263" w14:textId="77777777" w:rsidR="005A5FCC" w:rsidRDefault="00A21C81">
                  <w:pPr>
                    <w:spacing w:before="30" w:after="30" w:line="240" w:lineRule="auto"/>
                    <w:jc w:val="center"/>
                  </w:pPr>
                  <w:r>
                    <w:rPr>
                      <w:rFonts w:cs="EB Garamond"/>
                      <w:b/>
                      <w:color w:val="2F2923"/>
                      <w:kern w:val="16"/>
                      <w:sz w:val="16"/>
                      <w14:ligatures w14:val="standardContextual"/>
                    </w:rPr>
                    <w:t>Ano</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067CAB47" w14:textId="77777777" w:rsidR="005A5FCC" w:rsidRDefault="00A21C81">
                  <w:pPr>
                    <w:spacing w:before="30" w:after="30" w:line="240" w:lineRule="auto"/>
                    <w:jc w:val="center"/>
                  </w:pPr>
                  <w:r>
                    <w:rPr>
                      <w:rFonts w:cs="EB Garamond"/>
                      <w:b/>
                      <w:color w:val="2F2923"/>
                      <w:kern w:val="16"/>
                      <w:sz w:val="16"/>
                      <w14:ligatures w14:val="standardContextual"/>
                    </w:rPr>
                    <w:t>Teto (R$)</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77C375D1" w14:textId="77777777" w:rsidR="005A5FCC" w:rsidRDefault="00A21C81">
                  <w:pPr>
                    <w:spacing w:before="30" w:after="30" w:line="240" w:lineRule="auto"/>
                    <w:jc w:val="center"/>
                  </w:pPr>
                  <w:r>
                    <w:rPr>
                      <w:rFonts w:cs="EB Garamond"/>
                      <w:b/>
                      <w:color w:val="2F2923"/>
                      <w:kern w:val="16"/>
                      <w:sz w:val="16"/>
                      <w14:ligatures w14:val="standardContextual"/>
                    </w:rPr>
                    <w:t>Norma de referência</w:t>
                  </w:r>
                </w:p>
              </w:tc>
            </w:tr>
            <w:tr w:rsidR="005A5FCC" w14:paraId="7DAB8D71"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2D71DEB5" w14:textId="77777777" w:rsidR="005A5FCC" w:rsidRDefault="00A21C81">
                  <w:pPr>
                    <w:spacing w:before="20" w:after="20" w:line="240" w:lineRule="auto"/>
                    <w:jc w:val="left"/>
                  </w:pPr>
                  <w:r>
                    <w:rPr>
                      <w:rFonts w:cs="EB Garamond"/>
                      <w:kern w:val="16"/>
                      <w:sz w:val="16"/>
                      <w14:ligatures w14:val="standardContextual"/>
                    </w:rPr>
                    <w:t>1994</w:t>
                  </w:r>
                </w:p>
              </w:tc>
              <w:tc>
                <w:tcPr>
                  <w:tcW w:w="2117" w:type="dxa"/>
                  <w:tcBorders>
                    <w:top w:val="single" w:sz="4" w:space="0" w:color="D2C9B8"/>
                    <w:left w:val="single" w:sz="4" w:space="0" w:color="D2C9B8"/>
                    <w:bottom w:val="single" w:sz="4" w:space="0" w:color="D2C9B8"/>
                    <w:right w:val="single" w:sz="4" w:space="0" w:color="D2C9B8"/>
                  </w:tcBorders>
                </w:tcPr>
                <w:p w14:paraId="047991BC" w14:textId="77777777" w:rsidR="005A5FCC" w:rsidRDefault="00A21C81">
                  <w:pPr>
                    <w:spacing w:before="20" w:after="20" w:line="240" w:lineRule="auto"/>
                    <w:jc w:val="left"/>
                  </w:pPr>
                  <w:r>
                    <w:rPr>
                      <w:rFonts w:cs="EB Garamond"/>
                      <w:kern w:val="16"/>
                      <w:sz w:val="16"/>
                      <w14:ligatures w14:val="standardContextual"/>
                    </w:rPr>
                    <w:t>582,86</w:t>
                  </w:r>
                </w:p>
              </w:tc>
              <w:tc>
                <w:tcPr>
                  <w:tcW w:w="2117" w:type="dxa"/>
                  <w:tcBorders>
                    <w:top w:val="single" w:sz="4" w:space="0" w:color="D2C9B8"/>
                    <w:left w:val="single" w:sz="4" w:space="0" w:color="D2C9B8"/>
                    <w:bottom w:val="single" w:sz="4" w:space="0" w:color="D2C9B8"/>
                    <w:right w:val="single" w:sz="4" w:space="0" w:color="D2C9B8"/>
                  </w:tcBorders>
                </w:tcPr>
                <w:p w14:paraId="46D893D1" w14:textId="77777777" w:rsidR="005A5FCC" w:rsidRDefault="00A21C81">
                  <w:pPr>
                    <w:spacing w:before="20" w:after="20" w:line="240" w:lineRule="auto"/>
                    <w:jc w:val="left"/>
                  </w:pPr>
                  <w:r>
                    <w:rPr>
                      <w:rFonts w:cs="EB Garamond"/>
                      <w:kern w:val="16"/>
                      <w:sz w:val="16"/>
                      <w14:ligatures w14:val="standardContextual"/>
                    </w:rPr>
                    <w:t>Lei 8.880/94 (URV)</w:t>
                  </w:r>
                </w:p>
              </w:tc>
            </w:tr>
            <w:tr w:rsidR="005A5FCC" w14:paraId="739EAB8D"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395E240F" w14:textId="77777777" w:rsidR="005A5FCC" w:rsidRDefault="00A21C81">
                  <w:pPr>
                    <w:spacing w:before="20" w:after="20" w:line="240" w:lineRule="auto"/>
                    <w:jc w:val="left"/>
                  </w:pPr>
                  <w:r>
                    <w:rPr>
                      <w:rFonts w:cs="EB Garamond"/>
                      <w:kern w:val="16"/>
                      <w:sz w:val="16"/>
                      <w14:ligatures w14:val="standardContextual"/>
                    </w:rPr>
                    <w:t>1995</w:t>
                  </w:r>
                </w:p>
              </w:tc>
              <w:tc>
                <w:tcPr>
                  <w:tcW w:w="2117" w:type="dxa"/>
                  <w:tcBorders>
                    <w:top w:val="single" w:sz="4" w:space="0" w:color="D2C9B8"/>
                    <w:left w:val="single" w:sz="4" w:space="0" w:color="D2C9B8"/>
                    <w:bottom w:val="single" w:sz="4" w:space="0" w:color="D2C9B8"/>
                    <w:right w:val="single" w:sz="4" w:space="0" w:color="D2C9B8"/>
                  </w:tcBorders>
                </w:tcPr>
                <w:p w14:paraId="6B9A1E9A" w14:textId="77777777" w:rsidR="005A5FCC" w:rsidRDefault="00A21C81">
                  <w:pPr>
                    <w:spacing w:before="20" w:after="20" w:line="240" w:lineRule="auto"/>
                    <w:jc w:val="left"/>
                  </w:pPr>
                  <w:r>
                    <w:rPr>
                      <w:rFonts w:cs="EB Garamond"/>
                      <w:kern w:val="16"/>
                      <w:sz w:val="16"/>
                      <w14:ligatures w14:val="standardContextual"/>
                    </w:rPr>
                    <w:t>832,66</w:t>
                  </w:r>
                </w:p>
              </w:tc>
              <w:tc>
                <w:tcPr>
                  <w:tcW w:w="2117" w:type="dxa"/>
                  <w:tcBorders>
                    <w:top w:val="single" w:sz="4" w:space="0" w:color="D2C9B8"/>
                    <w:left w:val="single" w:sz="4" w:space="0" w:color="D2C9B8"/>
                    <w:bottom w:val="single" w:sz="4" w:space="0" w:color="D2C9B8"/>
                    <w:right w:val="single" w:sz="4" w:space="0" w:color="D2C9B8"/>
                  </w:tcBorders>
                </w:tcPr>
                <w:p w14:paraId="1294DAE8" w14:textId="77777777" w:rsidR="005A5FCC" w:rsidRDefault="00A21C81">
                  <w:pPr>
                    <w:spacing w:before="20" w:after="20" w:line="240" w:lineRule="auto"/>
                    <w:jc w:val="left"/>
                  </w:pPr>
                  <w:r>
                    <w:rPr>
                      <w:rFonts w:cs="EB Garamond"/>
                      <w:kern w:val="16"/>
                      <w:sz w:val="16"/>
                      <w14:ligatures w14:val="standardContextual"/>
                    </w:rPr>
                    <w:t>Port. MPAS 4.479/95</w:t>
                  </w:r>
                </w:p>
              </w:tc>
            </w:tr>
            <w:tr w:rsidR="005A5FCC" w14:paraId="200AF8B8"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2928460C" w14:textId="77777777" w:rsidR="005A5FCC" w:rsidRDefault="00A21C81">
                  <w:pPr>
                    <w:spacing w:before="20" w:after="20" w:line="240" w:lineRule="auto"/>
                    <w:jc w:val="left"/>
                  </w:pPr>
                  <w:r>
                    <w:rPr>
                      <w:rFonts w:cs="EB Garamond"/>
                      <w:kern w:val="16"/>
                      <w:sz w:val="16"/>
                      <w14:ligatures w14:val="standardContextual"/>
                    </w:rPr>
                    <w:t>1998</w:t>
                  </w:r>
                </w:p>
              </w:tc>
              <w:tc>
                <w:tcPr>
                  <w:tcW w:w="2117" w:type="dxa"/>
                  <w:tcBorders>
                    <w:top w:val="single" w:sz="4" w:space="0" w:color="D2C9B8"/>
                    <w:left w:val="single" w:sz="4" w:space="0" w:color="D2C9B8"/>
                    <w:bottom w:val="single" w:sz="4" w:space="0" w:color="D2C9B8"/>
                    <w:right w:val="single" w:sz="4" w:space="0" w:color="D2C9B8"/>
                  </w:tcBorders>
                </w:tcPr>
                <w:p w14:paraId="0913FDB9" w14:textId="77777777" w:rsidR="005A5FCC" w:rsidRDefault="00A21C81">
                  <w:pPr>
                    <w:spacing w:before="20" w:after="20" w:line="240" w:lineRule="auto"/>
                    <w:jc w:val="left"/>
                  </w:pPr>
                  <w:r>
                    <w:rPr>
                      <w:rFonts w:cs="EB Garamond"/>
                      <w:kern w:val="16"/>
                      <w:sz w:val="16"/>
                      <w14:ligatures w14:val="standardContextual"/>
                    </w:rPr>
                    <w:t>1.081,50</w:t>
                  </w:r>
                </w:p>
              </w:tc>
              <w:tc>
                <w:tcPr>
                  <w:tcW w:w="2117" w:type="dxa"/>
                  <w:tcBorders>
                    <w:top w:val="single" w:sz="4" w:space="0" w:color="D2C9B8"/>
                    <w:left w:val="single" w:sz="4" w:space="0" w:color="D2C9B8"/>
                    <w:bottom w:val="single" w:sz="4" w:space="0" w:color="D2C9B8"/>
                    <w:right w:val="single" w:sz="4" w:space="0" w:color="D2C9B8"/>
                  </w:tcBorders>
                </w:tcPr>
                <w:p w14:paraId="5EF960FF" w14:textId="77777777" w:rsidR="005A5FCC" w:rsidRDefault="00A21C81">
                  <w:pPr>
                    <w:spacing w:before="20" w:after="20" w:line="240" w:lineRule="auto"/>
                    <w:jc w:val="left"/>
                  </w:pPr>
                  <w:r>
                    <w:rPr>
                      <w:rFonts w:cs="EB Garamond"/>
                      <w:kern w:val="16"/>
                      <w:sz w:val="16"/>
                      <w14:ligatures w14:val="standardContextual"/>
                    </w:rPr>
                    <w:t>Port. MPAS 4.883/98</w:t>
                  </w:r>
                </w:p>
              </w:tc>
            </w:tr>
            <w:tr w:rsidR="005A5FCC" w14:paraId="456042E4"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5FF47BC4" w14:textId="77777777" w:rsidR="005A5FCC" w:rsidRDefault="00A21C81">
                  <w:pPr>
                    <w:spacing w:before="20" w:after="20" w:line="240" w:lineRule="auto"/>
                    <w:jc w:val="left"/>
                  </w:pPr>
                  <w:r>
                    <w:rPr>
                      <w:rFonts w:cs="EB Garamond"/>
                      <w:kern w:val="16"/>
                      <w:sz w:val="16"/>
                      <w14:ligatures w14:val="standardContextual"/>
                    </w:rPr>
                    <w:t>1999</w:t>
                  </w:r>
                </w:p>
              </w:tc>
              <w:tc>
                <w:tcPr>
                  <w:tcW w:w="2117" w:type="dxa"/>
                  <w:tcBorders>
                    <w:top w:val="single" w:sz="4" w:space="0" w:color="D2C9B8"/>
                    <w:left w:val="single" w:sz="4" w:space="0" w:color="D2C9B8"/>
                    <w:bottom w:val="single" w:sz="4" w:space="0" w:color="D2C9B8"/>
                    <w:right w:val="single" w:sz="4" w:space="0" w:color="D2C9B8"/>
                  </w:tcBorders>
                </w:tcPr>
                <w:p w14:paraId="413CEEA3" w14:textId="77777777" w:rsidR="005A5FCC" w:rsidRDefault="00A21C81">
                  <w:pPr>
                    <w:spacing w:before="20" w:after="20" w:line="240" w:lineRule="auto"/>
                    <w:jc w:val="left"/>
                  </w:pPr>
                  <w:r>
                    <w:rPr>
                      <w:rFonts w:cs="EB Garamond"/>
                      <w:kern w:val="16"/>
                      <w:sz w:val="16"/>
                      <w14:ligatures w14:val="standardContextual"/>
                    </w:rPr>
                    <w:t>1.200,00</w:t>
                  </w:r>
                </w:p>
              </w:tc>
              <w:tc>
                <w:tcPr>
                  <w:tcW w:w="2117" w:type="dxa"/>
                  <w:tcBorders>
                    <w:top w:val="single" w:sz="4" w:space="0" w:color="D2C9B8"/>
                    <w:left w:val="single" w:sz="4" w:space="0" w:color="D2C9B8"/>
                    <w:bottom w:val="single" w:sz="4" w:space="0" w:color="D2C9B8"/>
                    <w:right w:val="single" w:sz="4" w:space="0" w:color="D2C9B8"/>
                  </w:tcBorders>
                </w:tcPr>
                <w:p w14:paraId="599BB449" w14:textId="77777777" w:rsidR="005A5FCC" w:rsidRDefault="00A21C81">
                  <w:pPr>
                    <w:spacing w:before="20" w:after="20" w:line="240" w:lineRule="auto"/>
                    <w:jc w:val="left"/>
                  </w:pPr>
                  <w:r>
                    <w:rPr>
                      <w:rFonts w:cs="EB Garamond"/>
                      <w:kern w:val="16"/>
                      <w:sz w:val="16"/>
                      <w14:ligatures w14:val="standardContextual"/>
                    </w:rPr>
                    <w:t>EC 20/98 (art. 14)</w:t>
                  </w:r>
                </w:p>
              </w:tc>
            </w:tr>
            <w:tr w:rsidR="005A5FCC" w14:paraId="2827AEEA"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18F2EDA9" w14:textId="77777777" w:rsidR="005A5FCC" w:rsidRDefault="00A21C81">
                  <w:pPr>
                    <w:spacing w:before="20" w:after="20" w:line="240" w:lineRule="auto"/>
                    <w:jc w:val="left"/>
                  </w:pPr>
                  <w:r>
                    <w:rPr>
                      <w:rFonts w:cs="EB Garamond"/>
                      <w:kern w:val="16"/>
                      <w:sz w:val="16"/>
                      <w14:ligatures w14:val="standardContextual"/>
                    </w:rPr>
                    <w:t>1999</w:t>
                  </w:r>
                </w:p>
              </w:tc>
              <w:tc>
                <w:tcPr>
                  <w:tcW w:w="2117" w:type="dxa"/>
                  <w:tcBorders>
                    <w:top w:val="single" w:sz="4" w:space="0" w:color="D2C9B8"/>
                    <w:left w:val="single" w:sz="4" w:space="0" w:color="D2C9B8"/>
                    <w:bottom w:val="single" w:sz="4" w:space="0" w:color="D2C9B8"/>
                    <w:right w:val="single" w:sz="4" w:space="0" w:color="D2C9B8"/>
                  </w:tcBorders>
                </w:tcPr>
                <w:p w14:paraId="3A943527" w14:textId="77777777" w:rsidR="005A5FCC" w:rsidRDefault="00A21C81">
                  <w:pPr>
                    <w:spacing w:before="20" w:after="20" w:line="240" w:lineRule="auto"/>
                    <w:jc w:val="left"/>
                  </w:pPr>
                  <w:r>
                    <w:rPr>
                      <w:rFonts w:cs="EB Garamond"/>
                      <w:kern w:val="16"/>
                      <w:sz w:val="16"/>
                      <w14:ligatures w14:val="standardContextual"/>
                    </w:rPr>
                    <w:t>1.252,71</w:t>
                  </w:r>
                </w:p>
              </w:tc>
              <w:tc>
                <w:tcPr>
                  <w:tcW w:w="2117" w:type="dxa"/>
                  <w:tcBorders>
                    <w:top w:val="single" w:sz="4" w:space="0" w:color="D2C9B8"/>
                    <w:left w:val="single" w:sz="4" w:space="0" w:color="D2C9B8"/>
                    <w:bottom w:val="single" w:sz="4" w:space="0" w:color="D2C9B8"/>
                    <w:right w:val="single" w:sz="4" w:space="0" w:color="D2C9B8"/>
                  </w:tcBorders>
                </w:tcPr>
                <w:p w14:paraId="62C7DAF4" w14:textId="77777777" w:rsidR="005A5FCC" w:rsidRDefault="00A21C81">
                  <w:pPr>
                    <w:spacing w:before="20" w:after="20" w:line="240" w:lineRule="auto"/>
                    <w:jc w:val="left"/>
                  </w:pPr>
                  <w:r>
                    <w:rPr>
                      <w:rFonts w:cs="EB Garamond"/>
                      <w:kern w:val="16"/>
                      <w:sz w:val="16"/>
                      <w14:ligatures w14:val="standardContextual"/>
                    </w:rPr>
                    <w:t>Port. MPAS 5.188/99</w:t>
                  </w:r>
                </w:p>
              </w:tc>
            </w:tr>
            <w:tr w:rsidR="005A5FCC" w14:paraId="0C0F80E4"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156E0C8B" w14:textId="77777777" w:rsidR="005A5FCC" w:rsidRDefault="00A21C81">
                  <w:pPr>
                    <w:spacing w:before="20" w:after="20" w:line="240" w:lineRule="auto"/>
                    <w:jc w:val="left"/>
                  </w:pPr>
                  <w:r>
                    <w:rPr>
                      <w:rFonts w:cs="EB Garamond"/>
                      <w:kern w:val="16"/>
                      <w:sz w:val="16"/>
                      <w14:ligatures w14:val="standardContextual"/>
                    </w:rPr>
                    <w:t>2004</w:t>
                  </w:r>
                </w:p>
              </w:tc>
              <w:tc>
                <w:tcPr>
                  <w:tcW w:w="2117" w:type="dxa"/>
                  <w:tcBorders>
                    <w:top w:val="single" w:sz="4" w:space="0" w:color="D2C9B8"/>
                    <w:left w:val="single" w:sz="4" w:space="0" w:color="D2C9B8"/>
                    <w:bottom w:val="single" w:sz="4" w:space="0" w:color="D2C9B8"/>
                    <w:right w:val="single" w:sz="4" w:space="0" w:color="D2C9B8"/>
                  </w:tcBorders>
                </w:tcPr>
                <w:p w14:paraId="39E3F98D" w14:textId="77777777" w:rsidR="005A5FCC" w:rsidRDefault="00A21C81">
                  <w:pPr>
                    <w:spacing w:before="20" w:after="20" w:line="240" w:lineRule="auto"/>
                    <w:jc w:val="left"/>
                  </w:pPr>
                  <w:r>
                    <w:rPr>
                      <w:rFonts w:cs="EB Garamond"/>
                      <w:kern w:val="16"/>
                      <w:sz w:val="16"/>
                      <w14:ligatures w14:val="standardContextual"/>
                    </w:rPr>
                    <w:t>2.400,00</w:t>
                  </w:r>
                </w:p>
              </w:tc>
              <w:tc>
                <w:tcPr>
                  <w:tcW w:w="2117" w:type="dxa"/>
                  <w:tcBorders>
                    <w:top w:val="single" w:sz="4" w:space="0" w:color="D2C9B8"/>
                    <w:left w:val="single" w:sz="4" w:space="0" w:color="D2C9B8"/>
                    <w:bottom w:val="single" w:sz="4" w:space="0" w:color="D2C9B8"/>
                    <w:right w:val="single" w:sz="4" w:space="0" w:color="D2C9B8"/>
                  </w:tcBorders>
                </w:tcPr>
                <w:p w14:paraId="79E973E1" w14:textId="77777777" w:rsidR="005A5FCC" w:rsidRDefault="00A21C81">
                  <w:pPr>
                    <w:spacing w:before="20" w:after="20" w:line="240" w:lineRule="auto"/>
                    <w:jc w:val="left"/>
                  </w:pPr>
                  <w:r>
                    <w:rPr>
                      <w:rFonts w:cs="EB Garamond"/>
                      <w:kern w:val="16"/>
                      <w:sz w:val="16"/>
                      <w14:ligatures w14:val="standardContextual"/>
                    </w:rPr>
                    <w:t>EC 41/03 (art. 5º)</w:t>
                  </w:r>
                </w:p>
              </w:tc>
            </w:tr>
            <w:tr w:rsidR="005A5FCC" w14:paraId="5350183F"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49D071EF" w14:textId="77777777" w:rsidR="005A5FCC" w:rsidRDefault="00A21C81">
                  <w:pPr>
                    <w:spacing w:before="20" w:after="20" w:line="240" w:lineRule="auto"/>
                    <w:jc w:val="left"/>
                  </w:pPr>
                  <w:r>
                    <w:rPr>
                      <w:rFonts w:cs="EB Garamond"/>
                      <w:kern w:val="16"/>
                      <w:sz w:val="16"/>
                      <w14:ligatures w14:val="standardContextual"/>
                    </w:rPr>
                    <w:t>2005</w:t>
                  </w:r>
                </w:p>
              </w:tc>
              <w:tc>
                <w:tcPr>
                  <w:tcW w:w="2117" w:type="dxa"/>
                  <w:tcBorders>
                    <w:top w:val="single" w:sz="4" w:space="0" w:color="D2C9B8"/>
                    <w:left w:val="single" w:sz="4" w:space="0" w:color="D2C9B8"/>
                    <w:bottom w:val="single" w:sz="4" w:space="0" w:color="D2C9B8"/>
                    <w:right w:val="single" w:sz="4" w:space="0" w:color="D2C9B8"/>
                  </w:tcBorders>
                </w:tcPr>
                <w:p w14:paraId="5CAFC61F" w14:textId="77777777" w:rsidR="005A5FCC" w:rsidRDefault="00A21C81">
                  <w:pPr>
                    <w:spacing w:before="20" w:after="20" w:line="240" w:lineRule="auto"/>
                    <w:jc w:val="left"/>
                  </w:pPr>
                  <w:r>
                    <w:rPr>
                      <w:rFonts w:cs="EB Garamond"/>
                      <w:kern w:val="16"/>
                      <w:sz w:val="16"/>
                      <w14:ligatures w14:val="standardContextual"/>
                    </w:rPr>
                    <w:t>2.508,72</w:t>
                  </w:r>
                </w:p>
              </w:tc>
              <w:tc>
                <w:tcPr>
                  <w:tcW w:w="2117" w:type="dxa"/>
                  <w:tcBorders>
                    <w:top w:val="single" w:sz="4" w:space="0" w:color="D2C9B8"/>
                    <w:left w:val="single" w:sz="4" w:space="0" w:color="D2C9B8"/>
                    <w:bottom w:val="single" w:sz="4" w:space="0" w:color="D2C9B8"/>
                    <w:right w:val="single" w:sz="4" w:space="0" w:color="D2C9B8"/>
                  </w:tcBorders>
                </w:tcPr>
                <w:p w14:paraId="5E508D78" w14:textId="77777777" w:rsidR="005A5FCC" w:rsidRDefault="00A21C81">
                  <w:pPr>
                    <w:spacing w:before="20" w:after="20" w:line="240" w:lineRule="auto"/>
                    <w:jc w:val="left"/>
                  </w:pPr>
                  <w:r>
                    <w:rPr>
                      <w:rFonts w:cs="EB Garamond"/>
                      <w:kern w:val="16"/>
                      <w:sz w:val="16"/>
                      <w14:ligatures w14:val="standardContextual"/>
                    </w:rPr>
                    <w:t>Port. MPS 822/05</w:t>
                  </w:r>
                </w:p>
              </w:tc>
            </w:tr>
            <w:tr w:rsidR="005A5FCC" w14:paraId="2C2CF5A9"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42BF190E" w14:textId="77777777" w:rsidR="005A5FCC" w:rsidRDefault="00A21C81">
                  <w:pPr>
                    <w:spacing w:before="20" w:after="20" w:line="240" w:lineRule="auto"/>
                    <w:jc w:val="left"/>
                  </w:pPr>
                  <w:r>
                    <w:rPr>
                      <w:rFonts w:cs="EB Garamond"/>
                      <w:kern w:val="16"/>
                      <w:sz w:val="16"/>
                      <w14:ligatures w14:val="standardContextual"/>
                    </w:rPr>
                    <w:t>2008</w:t>
                  </w:r>
                </w:p>
              </w:tc>
              <w:tc>
                <w:tcPr>
                  <w:tcW w:w="2117" w:type="dxa"/>
                  <w:tcBorders>
                    <w:top w:val="single" w:sz="4" w:space="0" w:color="D2C9B8"/>
                    <w:left w:val="single" w:sz="4" w:space="0" w:color="D2C9B8"/>
                    <w:bottom w:val="single" w:sz="4" w:space="0" w:color="D2C9B8"/>
                    <w:right w:val="single" w:sz="4" w:space="0" w:color="D2C9B8"/>
                  </w:tcBorders>
                </w:tcPr>
                <w:p w14:paraId="383104B4" w14:textId="77777777" w:rsidR="005A5FCC" w:rsidRDefault="00A21C81">
                  <w:pPr>
                    <w:spacing w:before="20" w:after="20" w:line="240" w:lineRule="auto"/>
                    <w:jc w:val="left"/>
                  </w:pPr>
                  <w:r>
                    <w:rPr>
                      <w:rFonts w:cs="EB Garamond"/>
                      <w:kern w:val="16"/>
                      <w:sz w:val="16"/>
                      <w14:ligatures w14:val="standardContextual"/>
                    </w:rPr>
                    <w:t>3.038,99</w:t>
                  </w:r>
                </w:p>
              </w:tc>
              <w:tc>
                <w:tcPr>
                  <w:tcW w:w="2117" w:type="dxa"/>
                  <w:tcBorders>
                    <w:top w:val="single" w:sz="4" w:space="0" w:color="D2C9B8"/>
                    <w:left w:val="single" w:sz="4" w:space="0" w:color="D2C9B8"/>
                    <w:bottom w:val="single" w:sz="4" w:space="0" w:color="D2C9B8"/>
                    <w:right w:val="single" w:sz="4" w:space="0" w:color="D2C9B8"/>
                  </w:tcBorders>
                </w:tcPr>
                <w:p w14:paraId="4B8E4655" w14:textId="77777777" w:rsidR="005A5FCC" w:rsidRDefault="00A21C81">
                  <w:pPr>
                    <w:spacing w:before="20" w:after="20" w:line="240" w:lineRule="auto"/>
                    <w:jc w:val="left"/>
                  </w:pPr>
                  <w:r>
                    <w:rPr>
                      <w:rFonts w:cs="EB Garamond"/>
                      <w:kern w:val="16"/>
                      <w:sz w:val="16"/>
                      <w14:ligatures w14:val="standardContextual"/>
                    </w:rPr>
                    <w:t>Port. MPS 77/08</w:t>
                  </w:r>
                </w:p>
              </w:tc>
            </w:tr>
            <w:tr w:rsidR="005A5FCC" w14:paraId="4CB217BF"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53D91282" w14:textId="77777777" w:rsidR="005A5FCC" w:rsidRDefault="00A21C81">
                  <w:pPr>
                    <w:spacing w:before="20" w:after="20" w:line="240" w:lineRule="auto"/>
                    <w:jc w:val="left"/>
                  </w:pPr>
                  <w:r>
                    <w:rPr>
                      <w:rFonts w:cs="EB Garamond"/>
                      <w:kern w:val="16"/>
                      <w:sz w:val="16"/>
                      <w14:ligatures w14:val="standardContextual"/>
                    </w:rPr>
                    <w:t>2010</w:t>
                  </w:r>
                </w:p>
              </w:tc>
              <w:tc>
                <w:tcPr>
                  <w:tcW w:w="2117" w:type="dxa"/>
                  <w:tcBorders>
                    <w:top w:val="single" w:sz="4" w:space="0" w:color="D2C9B8"/>
                    <w:left w:val="single" w:sz="4" w:space="0" w:color="D2C9B8"/>
                    <w:bottom w:val="single" w:sz="4" w:space="0" w:color="D2C9B8"/>
                    <w:right w:val="single" w:sz="4" w:space="0" w:color="D2C9B8"/>
                  </w:tcBorders>
                </w:tcPr>
                <w:p w14:paraId="49A7F552" w14:textId="77777777" w:rsidR="005A5FCC" w:rsidRDefault="00A21C81">
                  <w:pPr>
                    <w:spacing w:before="20" w:after="20" w:line="240" w:lineRule="auto"/>
                    <w:jc w:val="left"/>
                  </w:pPr>
                  <w:r>
                    <w:rPr>
                      <w:rFonts w:cs="EB Garamond"/>
                      <w:kern w:val="16"/>
                      <w:sz w:val="16"/>
                      <w14:ligatures w14:val="standardContextual"/>
                    </w:rPr>
                    <w:t>3.416,54</w:t>
                  </w:r>
                </w:p>
              </w:tc>
              <w:tc>
                <w:tcPr>
                  <w:tcW w:w="2117" w:type="dxa"/>
                  <w:tcBorders>
                    <w:top w:val="single" w:sz="4" w:space="0" w:color="D2C9B8"/>
                    <w:left w:val="single" w:sz="4" w:space="0" w:color="D2C9B8"/>
                    <w:bottom w:val="single" w:sz="4" w:space="0" w:color="D2C9B8"/>
                    <w:right w:val="single" w:sz="4" w:space="0" w:color="D2C9B8"/>
                  </w:tcBorders>
                </w:tcPr>
                <w:p w14:paraId="4B7B1A70" w14:textId="77777777" w:rsidR="005A5FCC" w:rsidRDefault="00A21C81">
                  <w:pPr>
                    <w:spacing w:before="20" w:after="20" w:line="240" w:lineRule="auto"/>
                    <w:jc w:val="left"/>
                  </w:pPr>
                  <w:r>
                    <w:rPr>
                      <w:rFonts w:cs="EB Garamond"/>
                      <w:kern w:val="16"/>
                      <w:sz w:val="16"/>
                      <w14:ligatures w14:val="standardContextual"/>
                    </w:rPr>
                    <w:t>Port. MPS 350/09</w:t>
                  </w:r>
                </w:p>
              </w:tc>
            </w:tr>
            <w:tr w:rsidR="005A5FCC" w14:paraId="7D5D8EC7"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6745EB27" w14:textId="77777777" w:rsidR="005A5FCC" w:rsidRDefault="00A21C81">
                  <w:pPr>
                    <w:spacing w:before="20" w:after="20" w:line="240" w:lineRule="auto"/>
                    <w:jc w:val="left"/>
                  </w:pPr>
                  <w:r>
                    <w:rPr>
                      <w:rFonts w:cs="EB Garamond"/>
                      <w:kern w:val="16"/>
                      <w:sz w:val="16"/>
                      <w14:ligatures w14:val="standardContextual"/>
                    </w:rPr>
                    <w:t>2012</w:t>
                  </w:r>
                </w:p>
              </w:tc>
              <w:tc>
                <w:tcPr>
                  <w:tcW w:w="2117" w:type="dxa"/>
                  <w:tcBorders>
                    <w:top w:val="single" w:sz="4" w:space="0" w:color="D2C9B8"/>
                    <w:left w:val="single" w:sz="4" w:space="0" w:color="D2C9B8"/>
                    <w:bottom w:val="single" w:sz="4" w:space="0" w:color="D2C9B8"/>
                    <w:right w:val="single" w:sz="4" w:space="0" w:color="D2C9B8"/>
                  </w:tcBorders>
                </w:tcPr>
                <w:p w14:paraId="005B1F2C" w14:textId="77777777" w:rsidR="005A5FCC" w:rsidRDefault="00A21C81">
                  <w:pPr>
                    <w:spacing w:before="20" w:after="20" w:line="240" w:lineRule="auto"/>
                    <w:jc w:val="left"/>
                  </w:pPr>
                  <w:r>
                    <w:rPr>
                      <w:rFonts w:cs="EB Garamond"/>
                      <w:kern w:val="16"/>
                      <w:sz w:val="16"/>
                      <w14:ligatures w14:val="standardContextual"/>
                    </w:rPr>
                    <w:t>3.916,20</w:t>
                  </w:r>
                </w:p>
              </w:tc>
              <w:tc>
                <w:tcPr>
                  <w:tcW w:w="2117" w:type="dxa"/>
                  <w:tcBorders>
                    <w:top w:val="single" w:sz="4" w:space="0" w:color="D2C9B8"/>
                    <w:left w:val="single" w:sz="4" w:space="0" w:color="D2C9B8"/>
                    <w:bottom w:val="single" w:sz="4" w:space="0" w:color="D2C9B8"/>
                    <w:right w:val="single" w:sz="4" w:space="0" w:color="D2C9B8"/>
                  </w:tcBorders>
                </w:tcPr>
                <w:p w14:paraId="42C792F5" w14:textId="77777777" w:rsidR="005A5FCC" w:rsidRDefault="00A21C81">
                  <w:pPr>
                    <w:spacing w:before="20" w:after="20" w:line="240" w:lineRule="auto"/>
                    <w:jc w:val="left"/>
                  </w:pPr>
                  <w:r>
                    <w:rPr>
                      <w:rFonts w:cs="EB Garamond"/>
                      <w:kern w:val="16"/>
                      <w:sz w:val="16"/>
                      <w14:ligatures w14:val="standardContextual"/>
                    </w:rPr>
                    <w:t>Port. MPS/MF 02/12</w:t>
                  </w:r>
                </w:p>
              </w:tc>
            </w:tr>
            <w:tr w:rsidR="005A5FCC" w14:paraId="6667BF74"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093B655A" w14:textId="77777777" w:rsidR="005A5FCC" w:rsidRDefault="00A21C81">
                  <w:pPr>
                    <w:spacing w:before="20" w:after="20" w:line="240" w:lineRule="auto"/>
                    <w:jc w:val="left"/>
                  </w:pPr>
                  <w:r>
                    <w:rPr>
                      <w:rFonts w:cs="EB Garamond"/>
                      <w:kern w:val="16"/>
                      <w:sz w:val="16"/>
                      <w14:ligatures w14:val="standardContextual"/>
                    </w:rPr>
                    <w:t>2015</w:t>
                  </w:r>
                </w:p>
              </w:tc>
              <w:tc>
                <w:tcPr>
                  <w:tcW w:w="2117" w:type="dxa"/>
                  <w:tcBorders>
                    <w:top w:val="single" w:sz="4" w:space="0" w:color="D2C9B8"/>
                    <w:left w:val="single" w:sz="4" w:space="0" w:color="D2C9B8"/>
                    <w:bottom w:val="single" w:sz="4" w:space="0" w:color="D2C9B8"/>
                    <w:right w:val="single" w:sz="4" w:space="0" w:color="D2C9B8"/>
                  </w:tcBorders>
                </w:tcPr>
                <w:p w14:paraId="46ABE751" w14:textId="77777777" w:rsidR="005A5FCC" w:rsidRDefault="00A21C81">
                  <w:pPr>
                    <w:spacing w:before="20" w:after="20" w:line="240" w:lineRule="auto"/>
                    <w:jc w:val="left"/>
                  </w:pPr>
                  <w:r>
                    <w:rPr>
                      <w:rFonts w:cs="EB Garamond"/>
                      <w:kern w:val="16"/>
                      <w:sz w:val="16"/>
                      <w14:ligatures w14:val="standardContextual"/>
                    </w:rPr>
                    <w:t>4.663,75</w:t>
                  </w:r>
                </w:p>
              </w:tc>
              <w:tc>
                <w:tcPr>
                  <w:tcW w:w="2117" w:type="dxa"/>
                  <w:tcBorders>
                    <w:top w:val="single" w:sz="4" w:space="0" w:color="D2C9B8"/>
                    <w:left w:val="single" w:sz="4" w:space="0" w:color="D2C9B8"/>
                    <w:bottom w:val="single" w:sz="4" w:space="0" w:color="D2C9B8"/>
                    <w:right w:val="single" w:sz="4" w:space="0" w:color="D2C9B8"/>
                  </w:tcBorders>
                </w:tcPr>
                <w:p w14:paraId="4BD5DC0D" w14:textId="77777777" w:rsidR="005A5FCC" w:rsidRDefault="00A21C81">
                  <w:pPr>
                    <w:spacing w:before="20" w:after="20" w:line="240" w:lineRule="auto"/>
                    <w:jc w:val="left"/>
                  </w:pPr>
                  <w:r>
                    <w:rPr>
                      <w:rFonts w:cs="EB Garamond"/>
                      <w:kern w:val="16"/>
                      <w:sz w:val="16"/>
                      <w14:ligatures w14:val="standardContextual"/>
                    </w:rPr>
                    <w:t>Port. MPS/MF 13/15</w:t>
                  </w:r>
                </w:p>
              </w:tc>
            </w:tr>
            <w:tr w:rsidR="005A5FCC" w14:paraId="32115236"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3528B216" w14:textId="77777777" w:rsidR="005A5FCC" w:rsidRDefault="00A21C81">
                  <w:pPr>
                    <w:spacing w:before="20" w:after="20" w:line="240" w:lineRule="auto"/>
                    <w:jc w:val="left"/>
                  </w:pPr>
                  <w:r>
                    <w:rPr>
                      <w:rFonts w:cs="EB Garamond"/>
                      <w:kern w:val="16"/>
                      <w:sz w:val="16"/>
                      <w14:ligatures w14:val="standardContextual"/>
                    </w:rPr>
                    <w:t>2018</w:t>
                  </w:r>
                </w:p>
              </w:tc>
              <w:tc>
                <w:tcPr>
                  <w:tcW w:w="2117" w:type="dxa"/>
                  <w:tcBorders>
                    <w:top w:val="single" w:sz="4" w:space="0" w:color="D2C9B8"/>
                    <w:left w:val="single" w:sz="4" w:space="0" w:color="D2C9B8"/>
                    <w:bottom w:val="single" w:sz="4" w:space="0" w:color="D2C9B8"/>
                    <w:right w:val="single" w:sz="4" w:space="0" w:color="D2C9B8"/>
                  </w:tcBorders>
                </w:tcPr>
                <w:p w14:paraId="7544D3E0" w14:textId="77777777" w:rsidR="005A5FCC" w:rsidRDefault="00A21C81">
                  <w:pPr>
                    <w:spacing w:before="20" w:after="20" w:line="240" w:lineRule="auto"/>
                    <w:jc w:val="left"/>
                  </w:pPr>
                  <w:r>
                    <w:rPr>
                      <w:rFonts w:cs="EB Garamond"/>
                      <w:kern w:val="16"/>
                      <w:sz w:val="16"/>
                      <w14:ligatures w14:val="standardContextual"/>
                    </w:rPr>
                    <w:t>5.645,80</w:t>
                  </w:r>
                </w:p>
              </w:tc>
              <w:tc>
                <w:tcPr>
                  <w:tcW w:w="2117" w:type="dxa"/>
                  <w:tcBorders>
                    <w:top w:val="single" w:sz="4" w:space="0" w:color="D2C9B8"/>
                    <w:left w:val="single" w:sz="4" w:space="0" w:color="D2C9B8"/>
                    <w:bottom w:val="single" w:sz="4" w:space="0" w:color="D2C9B8"/>
                    <w:right w:val="single" w:sz="4" w:space="0" w:color="D2C9B8"/>
                  </w:tcBorders>
                </w:tcPr>
                <w:p w14:paraId="6C812911" w14:textId="77777777" w:rsidR="005A5FCC" w:rsidRDefault="00A21C81">
                  <w:pPr>
                    <w:spacing w:before="20" w:after="20" w:line="240" w:lineRule="auto"/>
                    <w:jc w:val="left"/>
                  </w:pPr>
                  <w:r>
                    <w:rPr>
                      <w:rFonts w:cs="EB Garamond"/>
                      <w:kern w:val="16"/>
                      <w:sz w:val="16"/>
                      <w14:ligatures w14:val="standardContextual"/>
                    </w:rPr>
                    <w:t>Port. MF 15/18</w:t>
                  </w:r>
                </w:p>
              </w:tc>
            </w:tr>
            <w:tr w:rsidR="005A5FCC" w14:paraId="37BE3C97"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5D8B9DC8" w14:textId="77777777" w:rsidR="005A5FCC" w:rsidRDefault="00A21C81">
                  <w:pPr>
                    <w:spacing w:before="20" w:after="20" w:line="240" w:lineRule="auto"/>
                    <w:jc w:val="left"/>
                  </w:pPr>
                  <w:r>
                    <w:rPr>
                      <w:rFonts w:cs="EB Garamond"/>
                      <w:kern w:val="16"/>
                      <w:sz w:val="16"/>
                      <w14:ligatures w14:val="standardContextual"/>
                    </w:rPr>
                    <w:t>2020</w:t>
                  </w:r>
                </w:p>
              </w:tc>
              <w:tc>
                <w:tcPr>
                  <w:tcW w:w="2117" w:type="dxa"/>
                  <w:tcBorders>
                    <w:top w:val="single" w:sz="4" w:space="0" w:color="D2C9B8"/>
                    <w:left w:val="single" w:sz="4" w:space="0" w:color="D2C9B8"/>
                    <w:bottom w:val="single" w:sz="4" w:space="0" w:color="D2C9B8"/>
                    <w:right w:val="single" w:sz="4" w:space="0" w:color="D2C9B8"/>
                  </w:tcBorders>
                </w:tcPr>
                <w:p w14:paraId="5030FC63" w14:textId="77777777" w:rsidR="005A5FCC" w:rsidRDefault="00A21C81">
                  <w:pPr>
                    <w:spacing w:before="20" w:after="20" w:line="240" w:lineRule="auto"/>
                    <w:jc w:val="left"/>
                  </w:pPr>
                  <w:r>
                    <w:rPr>
                      <w:rFonts w:cs="EB Garamond"/>
                      <w:kern w:val="16"/>
                      <w:sz w:val="16"/>
                      <w14:ligatures w14:val="standardContextual"/>
                    </w:rPr>
                    <w:t>6.101,06</w:t>
                  </w:r>
                </w:p>
              </w:tc>
              <w:tc>
                <w:tcPr>
                  <w:tcW w:w="2117" w:type="dxa"/>
                  <w:tcBorders>
                    <w:top w:val="single" w:sz="4" w:space="0" w:color="D2C9B8"/>
                    <w:left w:val="single" w:sz="4" w:space="0" w:color="D2C9B8"/>
                    <w:bottom w:val="single" w:sz="4" w:space="0" w:color="D2C9B8"/>
                    <w:right w:val="single" w:sz="4" w:space="0" w:color="D2C9B8"/>
                  </w:tcBorders>
                </w:tcPr>
                <w:p w14:paraId="024F500A" w14:textId="77777777" w:rsidR="005A5FCC" w:rsidRDefault="00A21C81">
                  <w:pPr>
                    <w:spacing w:before="20" w:after="20" w:line="240" w:lineRule="auto"/>
                    <w:jc w:val="left"/>
                  </w:pPr>
                  <w:r>
                    <w:rPr>
                      <w:rFonts w:cs="EB Garamond"/>
                      <w:kern w:val="16"/>
                      <w:sz w:val="16"/>
                      <w14:ligatures w14:val="standardContextual"/>
                    </w:rPr>
                    <w:t>Port. SEPRT 3.659/20</w:t>
                  </w:r>
                </w:p>
              </w:tc>
            </w:tr>
            <w:tr w:rsidR="005A5FCC" w14:paraId="3EF127E3"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1827461A" w14:textId="77777777" w:rsidR="005A5FCC" w:rsidRDefault="00A21C81">
                  <w:pPr>
                    <w:spacing w:before="20" w:after="20" w:line="240" w:lineRule="auto"/>
                    <w:jc w:val="left"/>
                  </w:pPr>
                  <w:r>
                    <w:rPr>
                      <w:rFonts w:cs="EB Garamond"/>
                      <w:kern w:val="16"/>
                      <w:sz w:val="16"/>
                      <w14:ligatures w14:val="standardContextual"/>
                    </w:rPr>
                    <w:t>2022</w:t>
                  </w:r>
                </w:p>
              </w:tc>
              <w:tc>
                <w:tcPr>
                  <w:tcW w:w="2117" w:type="dxa"/>
                  <w:tcBorders>
                    <w:top w:val="single" w:sz="4" w:space="0" w:color="D2C9B8"/>
                    <w:left w:val="single" w:sz="4" w:space="0" w:color="D2C9B8"/>
                    <w:bottom w:val="single" w:sz="4" w:space="0" w:color="D2C9B8"/>
                    <w:right w:val="single" w:sz="4" w:space="0" w:color="D2C9B8"/>
                  </w:tcBorders>
                </w:tcPr>
                <w:p w14:paraId="35B90460" w14:textId="77777777" w:rsidR="005A5FCC" w:rsidRDefault="00A21C81">
                  <w:pPr>
                    <w:spacing w:before="20" w:after="20" w:line="240" w:lineRule="auto"/>
                    <w:jc w:val="left"/>
                  </w:pPr>
                  <w:r>
                    <w:rPr>
                      <w:rFonts w:cs="EB Garamond"/>
                      <w:kern w:val="16"/>
                      <w:sz w:val="16"/>
                      <w14:ligatures w14:val="standardContextual"/>
                    </w:rPr>
                    <w:t>7.087,22</w:t>
                  </w:r>
                </w:p>
              </w:tc>
              <w:tc>
                <w:tcPr>
                  <w:tcW w:w="2117" w:type="dxa"/>
                  <w:tcBorders>
                    <w:top w:val="single" w:sz="4" w:space="0" w:color="D2C9B8"/>
                    <w:left w:val="single" w:sz="4" w:space="0" w:color="D2C9B8"/>
                    <w:bottom w:val="single" w:sz="4" w:space="0" w:color="D2C9B8"/>
                    <w:right w:val="single" w:sz="4" w:space="0" w:color="D2C9B8"/>
                  </w:tcBorders>
                </w:tcPr>
                <w:p w14:paraId="15E9A1CE" w14:textId="77777777" w:rsidR="005A5FCC" w:rsidRDefault="00A21C81">
                  <w:pPr>
                    <w:spacing w:before="20" w:after="20" w:line="240" w:lineRule="auto"/>
                    <w:jc w:val="left"/>
                  </w:pPr>
                  <w:r>
                    <w:rPr>
                      <w:rFonts w:cs="EB Garamond"/>
                      <w:kern w:val="16"/>
                      <w:sz w:val="16"/>
                      <w14:ligatures w14:val="standardContextual"/>
                    </w:rPr>
                    <w:t>Port. MTP 12/22</w:t>
                  </w:r>
                </w:p>
              </w:tc>
            </w:tr>
            <w:tr w:rsidR="005A5FCC" w14:paraId="105EF00C"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44941751" w14:textId="77777777" w:rsidR="005A5FCC" w:rsidRDefault="00A21C81">
                  <w:pPr>
                    <w:spacing w:before="20" w:after="20" w:line="240" w:lineRule="auto"/>
                    <w:jc w:val="left"/>
                  </w:pPr>
                  <w:r>
                    <w:rPr>
                      <w:rFonts w:cs="EB Garamond"/>
                      <w:kern w:val="16"/>
                      <w:sz w:val="16"/>
                      <w14:ligatures w14:val="standardContextual"/>
                    </w:rPr>
                    <w:t>2024</w:t>
                  </w:r>
                </w:p>
              </w:tc>
              <w:tc>
                <w:tcPr>
                  <w:tcW w:w="2117" w:type="dxa"/>
                  <w:tcBorders>
                    <w:top w:val="single" w:sz="4" w:space="0" w:color="D2C9B8"/>
                    <w:left w:val="single" w:sz="4" w:space="0" w:color="D2C9B8"/>
                    <w:bottom w:val="single" w:sz="4" w:space="0" w:color="D2C9B8"/>
                    <w:right w:val="single" w:sz="4" w:space="0" w:color="D2C9B8"/>
                  </w:tcBorders>
                </w:tcPr>
                <w:p w14:paraId="004F4ED4" w14:textId="77777777" w:rsidR="005A5FCC" w:rsidRDefault="00A21C81">
                  <w:pPr>
                    <w:spacing w:before="20" w:after="20" w:line="240" w:lineRule="auto"/>
                    <w:jc w:val="left"/>
                  </w:pPr>
                  <w:r>
                    <w:rPr>
                      <w:rFonts w:cs="EB Garamond"/>
                      <w:kern w:val="16"/>
                      <w:sz w:val="16"/>
                      <w14:ligatures w14:val="standardContextual"/>
                    </w:rPr>
                    <w:t>7.786,02</w:t>
                  </w:r>
                </w:p>
              </w:tc>
              <w:tc>
                <w:tcPr>
                  <w:tcW w:w="2117" w:type="dxa"/>
                  <w:tcBorders>
                    <w:top w:val="single" w:sz="4" w:space="0" w:color="D2C9B8"/>
                    <w:left w:val="single" w:sz="4" w:space="0" w:color="D2C9B8"/>
                    <w:bottom w:val="single" w:sz="4" w:space="0" w:color="D2C9B8"/>
                    <w:right w:val="single" w:sz="4" w:space="0" w:color="D2C9B8"/>
                  </w:tcBorders>
                </w:tcPr>
                <w:p w14:paraId="7D8FCAAB" w14:textId="77777777" w:rsidR="005A5FCC" w:rsidRDefault="00A21C81">
                  <w:pPr>
                    <w:spacing w:before="20" w:after="20" w:line="240" w:lineRule="auto"/>
                    <w:jc w:val="left"/>
                  </w:pPr>
                  <w:r>
                    <w:rPr>
                      <w:rFonts w:cs="EB Garamond"/>
                      <w:kern w:val="16"/>
                      <w:sz w:val="16"/>
                      <w14:ligatures w14:val="standardContextual"/>
                    </w:rPr>
                    <w:t>Port. MPS/MF 02/24</w:t>
                  </w:r>
                </w:p>
              </w:tc>
            </w:tr>
            <w:tr w:rsidR="005A5FCC" w14:paraId="1EEFCA90"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252BA9D8" w14:textId="77777777" w:rsidR="005A5FCC" w:rsidRDefault="00A21C81">
                  <w:pPr>
                    <w:spacing w:before="20" w:after="20" w:line="240" w:lineRule="auto"/>
                    <w:jc w:val="left"/>
                  </w:pPr>
                  <w:r>
                    <w:rPr>
                      <w:rFonts w:cs="EB Garamond"/>
                      <w:kern w:val="16"/>
                      <w:sz w:val="16"/>
                      <w14:ligatures w14:val="standardContextual"/>
                    </w:rPr>
                    <w:t>2025</w:t>
                  </w:r>
                </w:p>
              </w:tc>
              <w:tc>
                <w:tcPr>
                  <w:tcW w:w="2117" w:type="dxa"/>
                  <w:tcBorders>
                    <w:top w:val="single" w:sz="4" w:space="0" w:color="D2C9B8"/>
                    <w:left w:val="single" w:sz="4" w:space="0" w:color="D2C9B8"/>
                    <w:bottom w:val="single" w:sz="4" w:space="0" w:color="D2C9B8"/>
                    <w:right w:val="single" w:sz="4" w:space="0" w:color="D2C9B8"/>
                  </w:tcBorders>
                </w:tcPr>
                <w:p w14:paraId="171F80C3" w14:textId="77777777" w:rsidR="005A5FCC" w:rsidRDefault="00A21C81">
                  <w:pPr>
                    <w:spacing w:before="20" w:after="20" w:line="240" w:lineRule="auto"/>
                    <w:jc w:val="left"/>
                  </w:pPr>
                  <w:r>
                    <w:rPr>
                      <w:rFonts w:cs="EB Garamond"/>
                      <w:kern w:val="16"/>
                      <w:sz w:val="16"/>
                      <w14:ligatures w14:val="standardContextual"/>
                    </w:rPr>
                    <w:t>8.157,41</w:t>
                  </w:r>
                </w:p>
              </w:tc>
              <w:tc>
                <w:tcPr>
                  <w:tcW w:w="2117" w:type="dxa"/>
                  <w:tcBorders>
                    <w:top w:val="single" w:sz="4" w:space="0" w:color="D2C9B8"/>
                    <w:left w:val="single" w:sz="4" w:space="0" w:color="D2C9B8"/>
                    <w:bottom w:val="single" w:sz="4" w:space="0" w:color="D2C9B8"/>
                    <w:right w:val="single" w:sz="4" w:space="0" w:color="D2C9B8"/>
                  </w:tcBorders>
                </w:tcPr>
                <w:p w14:paraId="2E9B82A5" w14:textId="77777777" w:rsidR="005A5FCC" w:rsidRDefault="00A21C81">
                  <w:pPr>
                    <w:spacing w:before="20" w:after="20" w:line="240" w:lineRule="auto"/>
                    <w:jc w:val="left"/>
                  </w:pPr>
                  <w:r>
                    <w:rPr>
                      <w:rFonts w:cs="EB Garamond"/>
                      <w:kern w:val="16"/>
                      <w:sz w:val="16"/>
                      <w14:ligatures w14:val="standardContextual"/>
                    </w:rPr>
                    <w:t>Port. MPS/MF 06/25</w:t>
                  </w:r>
                </w:p>
              </w:tc>
            </w:tr>
            <w:tr w:rsidR="005A5FCC" w14:paraId="1DE859DB"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703AA8E3" w14:textId="77777777" w:rsidR="005A5FCC" w:rsidRDefault="00A21C81">
                  <w:pPr>
                    <w:spacing w:before="20" w:after="20" w:line="240" w:lineRule="auto"/>
                    <w:jc w:val="left"/>
                  </w:pPr>
                  <w:r>
                    <w:rPr>
                      <w:rFonts w:cs="EB Garamond"/>
                      <w:kern w:val="16"/>
                      <w:sz w:val="16"/>
                      <w14:ligatures w14:val="standardContextual"/>
                    </w:rPr>
                    <w:t>2026</w:t>
                  </w:r>
                </w:p>
              </w:tc>
              <w:tc>
                <w:tcPr>
                  <w:tcW w:w="2117" w:type="dxa"/>
                  <w:tcBorders>
                    <w:top w:val="single" w:sz="4" w:space="0" w:color="D2C9B8"/>
                    <w:left w:val="single" w:sz="4" w:space="0" w:color="D2C9B8"/>
                    <w:bottom w:val="single" w:sz="4" w:space="0" w:color="D2C9B8"/>
                    <w:right w:val="single" w:sz="4" w:space="0" w:color="D2C9B8"/>
                  </w:tcBorders>
                </w:tcPr>
                <w:p w14:paraId="156DFD9C" w14:textId="77777777" w:rsidR="005A5FCC" w:rsidRDefault="00A21C81">
                  <w:pPr>
                    <w:spacing w:before="20" w:after="20" w:line="240" w:lineRule="auto"/>
                    <w:jc w:val="left"/>
                  </w:pPr>
                  <w:r>
                    <w:rPr>
                      <w:rFonts w:cs="EB Garamond"/>
                      <w:kern w:val="16"/>
                      <w:sz w:val="16"/>
                      <w14:ligatures w14:val="standardContextual"/>
                    </w:rPr>
                    <w:t>8.475,55</w:t>
                  </w:r>
                </w:p>
              </w:tc>
              <w:tc>
                <w:tcPr>
                  <w:tcW w:w="2117" w:type="dxa"/>
                  <w:tcBorders>
                    <w:top w:val="single" w:sz="4" w:space="0" w:color="D2C9B8"/>
                    <w:left w:val="single" w:sz="4" w:space="0" w:color="D2C9B8"/>
                    <w:bottom w:val="single" w:sz="4" w:space="0" w:color="D2C9B8"/>
                    <w:right w:val="single" w:sz="4" w:space="0" w:color="D2C9B8"/>
                  </w:tcBorders>
                </w:tcPr>
                <w:p w14:paraId="37A707F0" w14:textId="77777777" w:rsidR="005A5FCC" w:rsidRDefault="00A21C81">
                  <w:pPr>
                    <w:spacing w:before="20" w:after="20" w:line="240" w:lineRule="auto"/>
                    <w:jc w:val="left"/>
                  </w:pPr>
                  <w:r>
                    <w:rPr>
                      <w:rFonts w:cs="EB Garamond"/>
                      <w:kern w:val="16"/>
                      <w:sz w:val="16"/>
                      <w14:ligatures w14:val="standardContextual"/>
                    </w:rPr>
                    <w:t>Port. MPS/MF 13/26</w:t>
                  </w:r>
                </w:p>
              </w:tc>
            </w:tr>
          </w:tbl>
          <w:p w14:paraId="75CBEDF6" w14:textId="77777777" w:rsidR="005A5FCC" w:rsidRDefault="005A5FCC"/>
          <w:p w14:paraId="2B74FA8B" w14:textId="77777777" w:rsidR="005A5FCC" w:rsidRDefault="005A5FCC">
            <w:pPr>
              <w:spacing w:after="0" w:line="240" w:lineRule="auto"/>
            </w:pPr>
          </w:p>
        </w:tc>
      </w:tr>
    </w:tbl>
    <w:p w14:paraId="7435DBB5" w14:textId="77777777" w:rsidR="005A5FCC" w:rsidRDefault="005A5FCC">
      <w:pPr>
        <w:spacing w:after="80" w:line="240" w:lineRule="auto"/>
      </w:pPr>
    </w:p>
    <w:p w14:paraId="513AB733" w14:textId="530741D1" w:rsidR="005A5FCC" w:rsidRDefault="00A21C81">
      <w:pPr>
        <w:spacing w:before="260" w:after="80" w:line="240" w:lineRule="auto"/>
        <w:jc w:val="left"/>
      </w:pPr>
      <w:r>
        <w:rPr>
          <w:rFonts w:cs="EB Garamond"/>
          <w:b/>
          <w:color w:val="3A3128"/>
          <w:kern w:val="16"/>
          <w:sz w:val="25"/>
          <w14:ligatures w14:val="standardContextual"/>
        </w:rPr>
        <w:t xml:space="preserve">16.7.3 Revisão do teto: </w:t>
      </w:r>
      <w:r w:rsidR="00DD22BB">
        <w:rPr>
          <w:rFonts w:cs="EB Garamond"/>
          <w:b/>
          <w:color w:val="3A3128"/>
          <w:kern w:val="16"/>
          <w:sz w:val="25"/>
          <w14:ligatures w14:val="standardContextual"/>
        </w:rPr>
        <w:t>T</w:t>
      </w:r>
      <w:r>
        <w:rPr>
          <w:rFonts w:cs="EB Garamond"/>
          <w:b/>
          <w:color w:val="3A3128"/>
          <w:kern w:val="16"/>
          <w:sz w:val="25"/>
          <w14:ligatures w14:val="standardContextual"/>
        </w:rPr>
        <w:t>ema 76/STF (RE 564.354)</w:t>
      </w:r>
    </w:p>
    <w:p w14:paraId="5492F08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24222C15" w14:textId="77777777" w:rsidR="005A5FCC" w:rsidRDefault="00A21C81">
      <w:r>
        <w:rPr>
          <w:rFonts w:cs="EB Garamond"/>
          <w:kern w:val="16"/>
          <w14:ligatures w14:val="standardContextual"/>
        </w:rPr>
        <w:t xml:space="preserve">s Emendas Constitucionais n. 20/1998 e n. 41/2003 elevaram o teto dos benefícios do RGPS em patamares superiores ao reajuste ordinário. A EC 20/98 fixou o teto em R$ 1.200,00 (art. 14 do ADCT), e a EC 41/03 elevou-o para R$ 2.400,00 (art. 5º). Os segurados cujo salário de benefício havia sido </w:t>
      </w:r>
      <w:r>
        <w:rPr>
          <w:rFonts w:cs="EB Garamond"/>
          <w:kern w:val="16"/>
          <w14:ligatures w14:val="standardContextual"/>
        </w:rPr>
        <w:lastRenderedPageBreak/>
        <w:t>limitado pelo teto anterior, inferior aos novos patamares, sustentaram que teriam direito à readequação do benefício aos novos tetos, com pagamento de diferenças retroativas.</w:t>
      </w:r>
    </w:p>
    <w:p w14:paraId="4E01EE94" w14:textId="77777777" w:rsidR="005A5FCC" w:rsidRDefault="00A21C81">
      <w:pPr>
        <w:ind w:firstLine="238"/>
      </w:pPr>
      <w:r>
        <w:rPr>
          <w:rFonts w:cs="EB Garamond"/>
          <w:kern w:val="16"/>
          <w14:ligatures w14:val="standardContextual"/>
        </w:rPr>
        <w:t>O STF, no RE 564.354 (Tema 76), julgado em 8 de setembro de 2010, acolheu essa pretensão. A tese firmada reconheceu o direito dos segurados à readequação do valor do benefício ao teto fixado pelas ECs 20/98 e 41/03, quando o salário de benefício tivesse sido limitado pelo teto inferior vigente à época da concessão. O fundamento é que o teto incide sobre a RMI como limite externo; se o limite é ampliado, o benefício deve ser recomposto até o novo limite, recuperando a parcela que havia sido comprimida.</w:t>
      </w:r>
    </w:p>
    <w:tbl>
      <w:tblPr>
        <w:tblW w:w="5000" w:type="pct"/>
        <w:jc w:val="center"/>
        <w:tblLayout w:type="fixed"/>
        <w:tblLook w:val="04A0" w:firstRow="1" w:lastRow="0" w:firstColumn="1" w:lastColumn="0" w:noHBand="0" w:noVBand="1"/>
      </w:tblPr>
      <w:tblGrid>
        <w:gridCol w:w="6311"/>
      </w:tblGrid>
      <w:tr w:rsidR="005A5FCC" w14:paraId="79BCFC65"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3B2A9283" w14:textId="77777777" w:rsidR="005A5FCC" w:rsidRDefault="00A21C81">
            <w:pPr>
              <w:spacing w:after="60" w:line="240" w:lineRule="auto"/>
              <w:jc w:val="left"/>
            </w:pPr>
            <w:r>
              <w:rPr>
                <w:rFonts w:ascii="Noto Sans" w:hAnsi="Noto Sans" w:cs="Noto Sans"/>
                <w:b/>
                <w:caps/>
                <w:color w:val="4D6F8A"/>
                <w:kern w:val="16"/>
                <w:sz w:val="16"/>
                <w14:ligatures w14:val="standardContextual"/>
              </w:rPr>
              <w:t>JURISPRUDÊNCIA EM DESTAQUE</w:t>
            </w:r>
          </w:p>
          <w:p w14:paraId="6B4370E5" w14:textId="77777777" w:rsidR="005A5FCC" w:rsidRDefault="00A21C81">
            <w:pPr>
              <w:spacing w:after="60" w:line="247" w:lineRule="auto"/>
            </w:pPr>
            <w:r>
              <w:rPr>
                <w:rFonts w:cs="EB Garamond"/>
                <w:b/>
                <w:kern w:val="16"/>
                <w:sz w:val="19"/>
                <w14:ligatures w14:val="standardContextual"/>
              </w:rPr>
              <w:t>Tema 76/STF — Revisão do teto (ECs 20/1998 e 41/2003)</w:t>
            </w:r>
          </w:p>
          <w:p w14:paraId="154F0212" w14:textId="77777777" w:rsidR="005A5FCC" w:rsidRDefault="00A21C81">
            <w:pPr>
              <w:spacing w:after="60" w:line="247" w:lineRule="auto"/>
            </w:pPr>
            <w:r>
              <w:rPr>
                <w:rFonts w:cs="EB Garamond"/>
                <w:kern w:val="16"/>
                <w:sz w:val="19"/>
                <w14:ligatures w14:val="standardContextual"/>
              </w:rPr>
              <w:t>No RE 564.354 (Tema 76, rel. Min. Cármen Lúcia, j. 08/09/2010), o STF reconheceu o direito dos segurados do RGPS à readequação do valor dos benefícios ao teto constitucional fixado pelas ECs 20/1998 e 41/2003. A tese beneficia os segurados com data de início do benefício entre 5 de abril de 1991 (data de vigência da Lei n. 8.213/91) e 31 de dezembro de 2003 (data de vigência da EC 41/03), cujo salário de benefício, apurado sem limitação ao teto, era superior ao teto vigente na época da concessão.</w:t>
            </w:r>
          </w:p>
          <w:p w14:paraId="130F3034" w14:textId="77777777" w:rsidR="005A5FCC" w:rsidRDefault="00A21C81">
            <w:pPr>
              <w:spacing w:after="60" w:line="247" w:lineRule="auto"/>
            </w:pPr>
            <w:r>
              <w:rPr>
                <w:rFonts w:cs="EB Garamond"/>
                <w:b/>
                <w:kern w:val="16"/>
                <w:sz w:val="19"/>
                <w14:ligatures w14:val="standardContextual"/>
              </w:rPr>
              <w:t>Exemplo prático:</w:t>
            </w:r>
            <w:r>
              <w:rPr>
                <w:rFonts w:cs="EB Garamond"/>
                <w:kern w:val="16"/>
                <w:sz w:val="19"/>
                <w14:ligatures w14:val="standardContextual"/>
              </w:rPr>
              <w:t xml:space="preserve"> Se o segurado obteve aposentadoria em 2000 com SB de R$ 1.500,00, mas a RMI foi limitada ao teto então vigente de R$ 1.255,32, ele tem direito, a partir de dezembro de 2003 (EC 41/03), a ter a RMI recalculada considerando o SB original de R$ 1.500,00, corrigido até a data da readequação, limitado ao novo teto de R$ 2.400,00.</w:t>
            </w:r>
          </w:p>
          <w:p w14:paraId="48B8EF31" w14:textId="77777777" w:rsidR="005A5FCC" w:rsidRDefault="00A21C81">
            <w:pPr>
              <w:spacing w:after="60" w:line="247" w:lineRule="auto"/>
            </w:pPr>
            <w:r>
              <w:rPr>
                <w:rFonts w:cs="EB Garamond"/>
                <w:b/>
                <w:kern w:val="16"/>
                <w:sz w:val="19"/>
                <w14:ligatures w14:val="standardContextual"/>
              </w:rPr>
              <w:t>Prescrição e procedimento:</w:t>
            </w:r>
            <w:r>
              <w:rPr>
                <w:rFonts w:cs="EB Garamond"/>
                <w:kern w:val="16"/>
                <w:sz w:val="19"/>
                <w14:ligatures w14:val="standardContextual"/>
              </w:rPr>
              <w:t xml:space="preserve"> V. Capítulo 17, seção 17.4, para prescrição, instrução e cálculo de diferenças na ação revisional do teto.</w:t>
            </w:r>
          </w:p>
        </w:tc>
      </w:tr>
    </w:tbl>
    <w:p w14:paraId="622BA779" w14:textId="77777777" w:rsidR="005A5FCC" w:rsidRDefault="005A5FCC">
      <w:pPr>
        <w:spacing w:after="80" w:line="240" w:lineRule="auto"/>
      </w:pPr>
    </w:p>
    <w:p w14:paraId="3FC4C5AB"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7ADFFC7F" w14:textId="77777777" w:rsidR="005A5FCC" w:rsidRDefault="00A21C81">
      <w:r>
        <w:rPr>
          <w:rFonts w:cs="EB Garamond"/>
          <w:kern w:val="16"/>
          <w14:ligatures w14:val="standardContextual"/>
        </w:rPr>
        <w:t xml:space="preserve"> aplicação prática da revisão do teto exige a reconstituição do salário de benefício original, sem limitação ao teto, para verificar se o segurado faz jus à readequação. Essa informação nem sempre está disponível nos sistemas do INSS, o que pode demandar diligência complementar (requisição do processo administrativo de concessão ou consulta ao CONBAS).</w:t>
      </w:r>
    </w:p>
    <w:p w14:paraId="7DE689FF" w14:textId="77777777" w:rsidR="005A5FCC" w:rsidRDefault="00A21C81">
      <w:pPr>
        <w:ind w:firstLine="238"/>
      </w:pPr>
      <w:r>
        <w:rPr>
          <w:rFonts w:cs="EB Garamond"/>
          <w:kern w:val="16"/>
          <w14:ligatures w14:val="standardContextual"/>
        </w:rPr>
        <w:lastRenderedPageBreak/>
        <w:t>A tese do Tema 76 foi, posteriormente, estendida pelo próprio STF aos benefícios concedidos no chamado "buraco negro" — período compreendido entre a promulgação da Constituição (05/10/1988) e a entrada em vigor da Lei n. 8.213/91 (05/04/1991), em que os benefícios foram concedidos sem que o sistema constitucional de proteção houvesse sido ainda regulamentado. No Tema 930 (RE 937.595, Rel. Min. Luís Roberto Barroso, j. 03/02/2017), o Tribunal afastou a tese de que esses benefícios estariam excluídos da revisão do teto e assentou, com eficácia vinculante, que eles "não estão, em tese, excluídos da possibilidade de readequação segundo os tetos instituídos pelas EC´s nº 20/1998 e 41/2003, a ser aferida caso a caso, conforme os parâmetros definidos no julgamento do RE 564.354, em regime de repercussão geral." O precedente complementa o Tema 76: a readequação aos novos tetos não se limita aos benefícios concedidos sob a vigência da Lei n. 8.213/91, alcançando também os do "buraco negro", desde que a verificação seja feita individualmente, segundo os mesmos parâmetros do RE 564.354.</w:t>
      </w:r>
    </w:p>
    <w:tbl>
      <w:tblPr>
        <w:tblW w:w="5000" w:type="pct"/>
        <w:jc w:val="center"/>
        <w:tblLayout w:type="fixed"/>
        <w:tblLook w:val="04A0" w:firstRow="1" w:lastRow="0" w:firstColumn="1" w:lastColumn="0" w:noHBand="0" w:noVBand="1"/>
      </w:tblPr>
      <w:tblGrid>
        <w:gridCol w:w="6311"/>
      </w:tblGrid>
      <w:tr w:rsidR="005A5FCC" w14:paraId="2DB2441B"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1048F134" w14:textId="77777777" w:rsidR="005A5FCC" w:rsidRDefault="00A21C81">
            <w:pPr>
              <w:spacing w:after="60" w:line="240" w:lineRule="auto"/>
              <w:jc w:val="left"/>
            </w:pPr>
            <w:r>
              <w:rPr>
                <w:rFonts w:ascii="Noto Sans" w:hAnsi="Noto Sans" w:cs="Noto Sans"/>
                <w:b/>
                <w:caps/>
                <w:color w:val="4D6F8A"/>
                <w:kern w:val="16"/>
                <w:sz w:val="16"/>
                <w14:ligatures w14:val="standardContextual"/>
              </w:rPr>
              <w:t>JURISPRUDÊNCIA EM DESTAQUE</w:t>
            </w:r>
          </w:p>
          <w:p w14:paraId="595A0B37" w14:textId="77777777" w:rsidR="005A5FCC" w:rsidRDefault="00A21C81">
            <w:pPr>
              <w:spacing w:after="60" w:line="247" w:lineRule="auto"/>
            </w:pPr>
            <w:r>
              <w:rPr>
                <w:rFonts w:cs="EB Garamond"/>
                <w:b/>
                <w:kern w:val="16"/>
                <w:sz w:val="19"/>
                <w14:ligatures w14:val="standardContextual"/>
              </w:rPr>
              <w:t>Tema 930/STF — Readequação aos tetos (ECs 20/1998 e 41/2003) dos benefícios do "buraco negro"</w:t>
            </w:r>
          </w:p>
          <w:p w14:paraId="6E6D2714" w14:textId="77777777" w:rsidR="005A5FCC" w:rsidRDefault="00A21C81">
            <w:pPr>
              <w:spacing w:after="60" w:line="247" w:lineRule="auto"/>
            </w:pPr>
            <w:r>
              <w:rPr>
                <w:rFonts w:cs="EB Garamond"/>
                <w:kern w:val="16"/>
                <w:sz w:val="19"/>
                <w14:ligatures w14:val="standardContextual"/>
              </w:rPr>
              <w:t>No RE 937.595 (Tema 930, Rel. Min. Luís Roberto Barroso, j. 03/02/2017), o STF, sob repercussão geral, firmou a tese: "Os benefícios concedidos entre 05.10.1988 e 05.04.1991 (período do buraco negro) não estão, em tese, excluídos da possibilidade de readequação segundo os tetos instituídos pelas EC´s nº 20/1998 e 41/2003, a ser aferida caso a caso, conforme os parâmetros definidos no julgamento do RE 564.354, em regime de repercussão geral."</w:t>
            </w:r>
          </w:p>
          <w:p w14:paraId="6C810BE5" w14:textId="77777777" w:rsidR="005A5FCC" w:rsidRDefault="00A21C81">
            <w:pPr>
              <w:spacing w:after="60" w:line="247" w:lineRule="auto"/>
            </w:pPr>
            <w:r>
              <w:rPr>
                <w:rFonts w:cs="EB Garamond"/>
                <w:b/>
                <w:kern w:val="16"/>
                <w:sz w:val="19"/>
                <w14:ligatures w14:val="standardContextual"/>
              </w:rPr>
              <w:t>Alcance:</w:t>
            </w:r>
            <w:r>
              <w:rPr>
                <w:rFonts w:cs="EB Garamond"/>
                <w:kern w:val="16"/>
                <w:sz w:val="19"/>
                <w14:ligatures w14:val="standardContextual"/>
              </w:rPr>
              <w:t xml:space="preserve"> o precedente estende a possibilidade de readequação ao teto, reconhecida no Tema 76 (RE 564.354), aos benefícios concedidos no "buraco negro" — aqueles deferidos entre a promulgação da CF/1988 e a vigência da Lei n. 8.213/91. A readequação não é automática: deve ser aferida caso a caso, observados os mesmos parâmetros do RE 564.354, ou seja, verifica-se se o salário de benefício original, sem a limitação do teto então vigente, era superior aos tetos das ECs 20/1998 e 41/2003.</w:t>
            </w:r>
          </w:p>
        </w:tc>
      </w:tr>
    </w:tbl>
    <w:p w14:paraId="2AEB99A6" w14:textId="77777777" w:rsidR="005A5FCC" w:rsidRDefault="005A5FCC">
      <w:pPr>
        <w:spacing w:after="80" w:line="240" w:lineRule="auto"/>
      </w:pPr>
    </w:p>
    <w:p w14:paraId="2B7246FA" w14:textId="05B36405" w:rsidR="005A5FCC" w:rsidRDefault="00A21C81">
      <w:pPr>
        <w:spacing w:before="260" w:after="80" w:line="240" w:lineRule="auto"/>
        <w:jc w:val="left"/>
      </w:pPr>
      <w:r>
        <w:rPr>
          <w:rFonts w:cs="EB Garamond"/>
          <w:b/>
          <w:color w:val="3A3128"/>
          <w:kern w:val="16"/>
          <w:sz w:val="25"/>
          <w14:ligatures w14:val="standardContextual"/>
        </w:rPr>
        <w:lastRenderedPageBreak/>
        <w:t xml:space="preserve">16.7.4 Benefícios anteriores à CF/1988 e os tetos das ECs 20/1998 e 41/2003: </w:t>
      </w:r>
      <w:r w:rsidR="007B0A06">
        <w:rPr>
          <w:rFonts w:cs="EB Garamond"/>
          <w:b/>
          <w:color w:val="3A3128"/>
          <w:kern w:val="16"/>
          <w:sz w:val="25"/>
          <w14:ligatures w14:val="standardContextual"/>
        </w:rPr>
        <w:t>T</w:t>
      </w:r>
      <w:r>
        <w:rPr>
          <w:rFonts w:cs="EB Garamond"/>
          <w:b/>
          <w:color w:val="3A3128"/>
          <w:kern w:val="16"/>
          <w:sz w:val="25"/>
          <w14:ligatures w14:val="standardContextual"/>
        </w:rPr>
        <w:t>ema 1.140/STJ</w:t>
      </w:r>
    </w:p>
    <w:p w14:paraId="5A19BE35"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28A2EBD8" w14:textId="77777777" w:rsidR="005A5FCC" w:rsidRDefault="00A21C81">
      <w:r>
        <w:rPr>
          <w:rFonts w:cs="EB Garamond"/>
          <w:kern w:val="16"/>
          <w14:ligatures w14:val="standardContextual"/>
        </w:rPr>
        <w:t xml:space="preserve"> readequação aos tetos das ECs 20/1998 e 41/2003 suscitou questão própria em relação aos benefícios concedidos antes da Constituição Federal de 1988. Para esses benefícios, discutia-se qual limitador deveria ser utilizado no cálculo da adequação aos novos tetos constitucionais, considerando que, no regime anterior, o sistema operava com a técnica do "menor valor-teto" e do "maior valor-teto", e não com um teto único como o do RGPS atual.</w:t>
      </w:r>
    </w:p>
    <w:p w14:paraId="0D3E893A" w14:textId="77777777" w:rsidR="005A5FCC" w:rsidRDefault="00A21C81">
      <w:pPr>
        <w:ind w:firstLine="238"/>
      </w:pPr>
      <w:r>
        <w:rPr>
          <w:rFonts w:cs="EB Garamond"/>
          <w:kern w:val="16"/>
          <w14:ligatures w14:val="standardContextual"/>
        </w:rPr>
        <w:t>O Superior Tribunal de Justiça enfrentou a controvérsia no Tema 1.140 (REsp 1.957.733, Rel. Min. Gurgel de Faria, j. 14/08/2024), firmando a seguinte tese: "Para efeito de adequação dos benefícios previdenciários concedidos antes da Constituição Federal aos tetos das Emendas Constitucionais n. 20/1998 e 41/2003, no cálculo devem-se aplicar os limitadores vigentes à época de sua concessão (menor e maior valor teto), utilizando-se o teto do salário de contribuição estabelecido em cada uma das emendas constitucionais como maior valor teto, e o equivalente à metade daquele salário de contribuição como menor valor teto."</w:t>
      </w:r>
    </w:p>
    <w:p w14:paraId="33231BAF" w14:textId="77777777" w:rsidR="005A5FCC" w:rsidRDefault="00A21C81">
      <w:pPr>
        <w:ind w:firstLine="238"/>
      </w:pPr>
      <w:r>
        <w:rPr>
          <w:rFonts w:cs="EB Garamond"/>
          <w:kern w:val="16"/>
          <w14:ligatures w14:val="standardContextual"/>
        </w:rPr>
        <w:t>Na prática, a tese determina que a readequação respeite os limitadores efetivamente vigentes em cada competência: o cálculo não se faz pela simples aplicação do novo teto único, mas pela reconstrução da sistemática do menor e do maior valor-teto. Como maior valor-teto, adota-se o teto do salário de contribuição estabelecido por cada Emenda Constitucional (R$ 1.200,00 na EC 20/1998 e R$ 2.400,00 na EC 41/2003); como menor valor-teto, a metade desse mesmo salário de contribuição. Essa orientação preserva a coerência interna do regime de cálculo dos benefícios mais antigos e evita distorções decorrentes da aplicação retroativa, e descontextualizada, de um teto único concebido para sistemática diversa.</w:t>
      </w:r>
    </w:p>
    <w:tbl>
      <w:tblPr>
        <w:tblW w:w="5000" w:type="pct"/>
        <w:jc w:val="center"/>
        <w:tblLayout w:type="fixed"/>
        <w:tblLook w:val="04A0" w:firstRow="1" w:lastRow="0" w:firstColumn="1" w:lastColumn="0" w:noHBand="0" w:noVBand="1"/>
      </w:tblPr>
      <w:tblGrid>
        <w:gridCol w:w="6311"/>
      </w:tblGrid>
      <w:tr w:rsidR="005A5FCC" w14:paraId="7EB0C1CA"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64E9E974" w14:textId="77777777" w:rsidR="005A5FCC" w:rsidRDefault="00A21C81">
            <w:pPr>
              <w:spacing w:after="60" w:line="240" w:lineRule="auto"/>
              <w:jc w:val="left"/>
            </w:pPr>
            <w:r>
              <w:rPr>
                <w:rFonts w:ascii="Noto Sans" w:hAnsi="Noto Sans" w:cs="Noto Sans"/>
                <w:b/>
                <w:caps/>
                <w:color w:val="4D6F8A"/>
                <w:kern w:val="16"/>
                <w:sz w:val="16"/>
                <w14:ligatures w14:val="standardContextual"/>
              </w:rPr>
              <w:lastRenderedPageBreak/>
              <w:t>JURISPRUDÊNCIA EM DESTAQUE</w:t>
            </w:r>
          </w:p>
          <w:p w14:paraId="7CAE0205" w14:textId="77777777" w:rsidR="005A5FCC" w:rsidRDefault="00A21C81">
            <w:pPr>
              <w:spacing w:after="60" w:line="247" w:lineRule="auto"/>
            </w:pPr>
            <w:r>
              <w:rPr>
                <w:rFonts w:cs="EB Garamond"/>
                <w:b/>
                <w:kern w:val="16"/>
                <w:sz w:val="19"/>
                <w14:ligatures w14:val="standardContextual"/>
              </w:rPr>
              <w:t>Tema 1.140/STJ — Adequação aos tetos das ECs 20/1998 e 41/2003 dos benefícios anteriores à CF/1988</w:t>
            </w:r>
          </w:p>
          <w:p w14:paraId="3A9075D3" w14:textId="77777777" w:rsidR="005A5FCC" w:rsidRDefault="00A21C81">
            <w:pPr>
              <w:spacing w:after="60" w:line="247" w:lineRule="auto"/>
            </w:pPr>
            <w:r>
              <w:rPr>
                <w:rFonts w:cs="EB Garamond"/>
                <w:kern w:val="16"/>
                <w:sz w:val="19"/>
                <w14:ligatures w14:val="standardContextual"/>
              </w:rPr>
              <w:t>No REsp 1.957.733 (Tema 1.140, Rel. Min. Gurgel de Faria, j. 14/08/2024; leading case acompanhado do REsp 1.958.465), a 1ª Seção do STJ firmou a tese: "Para efeito de adequação dos benefícios previdenciários concedidos antes da Constituição Federal aos tetos das Emendas Constitucionais n. 20/1998 e 41/2003, no cálculo devem-se aplicar os limitadores vigentes à época de sua concessão (menor e maior valor teto), utilizando-se o teto do salário de contribuição estabelecido em cada uma das emendas constitucionais como maior valor teto, e o equivalente à metade daquele salário de contribuição como menor valor teto."</w:t>
            </w:r>
          </w:p>
          <w:p w14:paraId="5304EACE" w14:textId="77777777" w:rsidR="005A5FCC" w:rsidRDefault="00A21C81">
            <w:pPr>
              <w:spacing w:after="60" w:line="247" w:lineRule="auto"/>
            </w:pPr>
            <w:r>
              <w:rPr>
                <w:rFonts w:cs="EB Garamond"/>
                <w:b/>
                <w:kern w:val="16"/>
                <w:sz w:val="19"/>
                <w14:ligatures w14:val="standardContextual"/>
              </w:rPr>
              <w:t>Implicação prática:</w:t>
            </w:r>
            <w:r>
              <w:rPr>
                <w:rFonts w:cs="EB Garamond"/>
                <w:kern w:val="16"/>
                <w:sz w:val="19"/>
                <w14:ligatures w14:val="standardContextual"/>
              </w:rPr>
              <w:t xml:space="preserve"> complementa o Tema 76/STF na disciplina da revisão do teto, esclarecendo que, para os benefícios mais antigos (anteriores à CF/1988), a adequação deve observar a técnica do menor e do maior valor-teto de cada competência, e não a aplicação de um teto único. A situação do julgamento, à data de fechamento desta edição, é de acórdão publicado com recurso extraordinário pendente — sem trânsito em julgado —, de modo que eventual revisão pelo STF deve ser acompanhada.</w:t>
            </w:r>
          </w:p>
        </w:tc>
      </w:tr>
    </w:tbl>
    <w:p w14:paraId="5E07643B" w14:textId="77777777" w:rsidR="005A5FCC" w:rsidRDefault="005A5FCC">
      <w:pPr>
        <w:spacing w:after="80" w:line="240" w:lineRule="auto"/>
      </w:pPr>
    </w:p>
    <w:p w14:paraId="5C9D2364" w14:textId="77777777" w:rsidR="005A5FCC" w:rsidRDefault="00A21C81">
      <w:pPr>
        <w:spacing w:before="260" w:after="80" w:line="240" w:lineRule="auto"/>
        <w:jc w:val="left"/>
      </w:pPr>
      <w:r>
        <w:rPr>
          <w:rFonts w:cs="EB Garamond"/>
          <w:b/>
          <w:color w:val="3A3128"/>
          <w:kern w:val="16"/>
          <w:sz w:val="25"/>
          <w14:ligatures w14:val="standardContextual"/>
        </w:rPr>
        <w:t>16.7.5 Teto especial: salário-maternidade</w:t>
      </w:r>
    </w:p>
    <w:p w14:paraId="1363AC1E"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71CEA6E1" w14:textId="77777777" w:rsidR="005A5FCC" w:rsidRDefault="00A21C81">
      <w:r>
        <w:rPr>
          <w:rFonts w:cs="EB Garamond"/>
          <w:kern w:val="16"/>
          <w14:ligatures w14:val="standardContextual"/>
        </w:rPr>
        <w:t xml:space="preserve"> salário-maternidade constitui exceção à regra geral do teto do RGPS. Para a segurada empregada, o benefício corresponde à remuneração integral (art. 72 da Lei n. 8.213/91), podendo ultrapassar o teto do RGPS. Nessa hipótese, o teto aplicável é o subsídio mensal de Ministro do Supremo Tribunal Federal, por força da regra constitucional que veda remuneração de servidores e agentes públicos acima desse patamar (art. 37, XI, CF), aplicada por analogia ao salário-maternidade pago pelo RGPS.</w:t>
      </w:r>
    </w:p>
    <w:p w14:paraId="1FE4F77B" w14:textId="77777777" w:rsidR="005A5FCC" w:rsidRDefault="00A21C81">
      <w:pPr>
        <w:ind w:firstLine="238"/>
      </w:pPr>
      <w:r>
        <w:rPr>
          <w:rFonts w:cs="EB Garamond"/>
          <w:kern w:val="16"/>
          <w14:ligatures w14:val="standardContextual"/>
        </w:rPr>
        <w:t xml:space="preserve">A diferença entre a remuneração da segurada e o teto do RGPS é suportada pelo empregador em regime de compensação com as contribuições previdenciárias devidas, conforme a sistemática do art. 72, § 1º, da Lei n. 8.213/91. Na prática, o empregador paga o salário-maternidade integral à segurada e deduz o valor correspondente ao teto do RGPS das contribuições previdenciárias devidas ao </w:t>
      </w:r>
      <w:r>
        <w:rPr>
          <w:rFonts w:cs="EB Garamond"/>
          <w:kern w:val="16"/>
          <w14:ligatures w14:val="standardContextual"/>
        </w:rPr>
        <w:lastRenderedPageBreak/>
        <w:t>INSS. A análise detalhada dessa sistemática encontra-se na seção 13.6, a que remetemos o leitor.</w:t>
      </w:r>
    </w:p>
    <w:p w14:paraId="2DF6F955" w14:textId="77777777" w:rsidR="005A5FCC" w:rsidRDefault="00A21C81">
      <w:pPr>
        <w:ind w:firstLine="238"/>
      </w:pPr>
      <w:r>
        <w:rPr>
          <w:rFonts w:cs="EB Garamond"/>
          <w:kern w:val="16"/>
          <w14:ligatures w14:val="standardContextual"/>
        </w:rPr>
        <w:t>Essa exceção ao teto geral do RGPS decorre do reconhecimento de que o salário-maternidade tem natureza salarial e visa assegurar à gestante a manutenção integral de seus rendimentos durante o período de licença, sem que a proteção previdenciária implique redução de renda. A limitação pelo subsídio de Ministro do STF funciona como teto absoluto, aplicável a todas as categorias de seguradas, e tem sido observada pelo INSS nas orientações internas de processamento do benefício.</w:t>
      </w:r>
    </w:p>
    <w:p w14:paraId="76C80EF0"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16.8 Reajustamento dos benefícios</w:t>
      </w:r>
    </w:p>
    <w:p w14:paraId="73F1FDF4"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25A861B8" w14:textId="77777777" w:rsidR="005A5FCC" w:rsidRDefault="00A21C81">
      <w:r>
        <w:rPr>
          <w:rFonts w:cs="EB Garamond"/>
          <w:kern w:val="16"/>
          <w14:ligatures w14:val="standardContextual"/>
        </w:rPr>
        <w:t xml:space="preserve"> valor do benefício previdenciário não permanece estático após a concessão. O reajustamento periódico é garantia constitucional (art. 201, § 4º, CF) e mecanismo indispensável para preservar o poder aquisitivo da prestação frente à corrosão inflacionária. Compreender as regras de reajustamento é essencial para o magistrado que se depara com ações revisionais e com a conferência de valores em demandas previdenciárias nos JEFs.</w:t>
      </w:r>
    </w:p>
    <w:p w14:paraId="47B98EDC" w14:textId="052C1B8C" w:rsidR="005A5FCC" w:rsidRDefault="00A21C81">
      <w:pPr>
        <w:ind w:firstLine="238"/>
      </w:pPr>
      <w:r>
        <w:rPr>
          <w:rFonts w:cs="EB Garamond"/>
          <w:b/>
          <w:kern w:val="16"/>
          <w14:ligatures w14:val="standardContextual"/>
        </w:rPr>
        <w:t>Regra vigente: art. 41-A da Lei 8.213/91.</w:t>
      </w:r>
      <w:r>
        <w:rPr>
          <w:rFonts w:cs="EB Garamond"/>
          <w:kern w:val="16"/>
          <w14:ligatures w14:val="standardContextual"/>
        </w:rPr>
        <w:t xml:space="preserve"> Desde a inserção do art. 41-A pela MP 316/2006, convertida na Lei 11.430/2006, o reajustamento dos benefícios do RGPS ocorre anualmente, na mesma data de reajuste do </w:t>
      </w:r>
      <w:r w:rsidR="009C6549">
        <w:rPr>
          <w:rFonts w:cs="EB Garamond"/>
          <w:kern w:val="16"/>
          <w14:ligatures w14:val="standardContextual"/>
        </w:rPr>
        <w:t>salário-mínimo</w:t>
      </w:r>
      <w:r>
        <w:rPr>
          <w:rFonts w:cs="EB Garamond"/>
          <w:kern w:val="16"/>
          <w14:ligatures w14:val="standardContextual"/>
        </w:rPr>
        <w:t>, com base na variação do Índice Nacional de Preços ao Consumidor (INPC), apurado pela Fundação Instituto Brasileiro de Geografia e Estatística (IBGE). O dispositivo consolidou regra que já vinha sendo aplicada por sucessivas Medidas Provisórias desde 2003 e eliminou a necessidade de edição anual de ato normativo específico para o reajuste dos benefícios acima do piso. A Portaria MPS/MF 13/2026 fixou o reajuste para janeiro de 2026 em 3,90%, correspondente ao INPC acumulado no ano de 2025, elevando o teto do RGPS para R$ 8.475,55.</w:t>
      </w:r>
    </w:p>
    <w:p w14:paraId="34AA5E8C" w14:textId="49E8593E" w:rsidR="005A5FCC" w:rsidRDefault="00A21C81">
      <w:pPr>
        <w:ind w:firstLine="238"/>
      </w:pPr>
      <w:r>
        <w:rPr>
          <w:rFonts w:cs="EB Garamond"/>
          <w:kern w:val="16"/>
          <w14:ligatures w14:val="standardContextual"/>
        </w:rPr>
        <w:t xml:space="preserve">A sistemática atual opera em dois patamares distintos. Os benefícios no valor de um </w:t>
      </w:r>
      <w:r w:rsidR="009C6549">
        <w:rPr>
          <w:rFonts w:cs="EB Garamond"/>
          <w:kern w:val="16"/>
          <w14:ligatures w14:val="standardContextual"/>
        </w:rPr>
        <w:t>salário-mínimo</w:t>
      </w:r>
      <w:r>
        <w:rPr>
          <w:rFonts w:cs="EB Garamond"/>
          <w:kern w:val="16"/>
          <w14:ligatures w14:val="standardContextual"/>
        </w:rPr>
        <w:t xml:space="preserve"> acompanham a política de valorização do SM (atualmente regida pelo Decreto 12.797/2025, que fixou o SM 2026 em R$ 1.621,00). Os benefícios com valor superior a um </w:t>
      </w:r>
      <w:r w:rsidR="009C6549">
        <w:rPr>
          <w:rFonts w:cs="EB Garamond"/>
          <w:kern w:val="16"/>
          <w14:ligatures w14:val="standardContextual"/>
        </w:rPr>
        <w:t>salário-mínimo</w:t>
      </w:r>
      <w:r>
        <w:rPr>
          <w:rFonts w:cs="EB Garamond"/>
          <w:kern w:val="16"/>
          <w14:ligatures w14:val="standardContextual"/>
        </w:rPr>
        <w:t xml:space="preserve"> são reajustados exclusivamente </w:t>
      </w:r>
      <w:r>
        <w:rPr>
          <w:rFonts w:cs="EB Garamond"/>
          <w:kern w:val="16"/>
          <w14:ligatures w14:val="standardContextual"/>
        </w:rPr>
        <w:lastRenderedPageBreak/>
        <w:t xml:space="preserve">pelo INPC, o que gera, ao longo dos anos, defasagem em relação ao SM, cujos reajustes reais frequentemente superam a inflação. Essa discrepância entre os dois patamares não configura, segundo o STF, violação ao princípio da irredutibilidade, pois a Constituição exige apenas a preservação do valor real, e não a manutenção de paridade com o </w:t>
      </w:r>
      <w:r w:rsidR="00232414">
        <w:rPr>
          <w:rFonts w:cs="EB Garamond"/>
          <w:kern w:val="16"/>
          <w14:ligatures w14:val="standardContextual"/>
        </w:rPr>
        <w:t>salário-mínimo</w:t>
      </w:r>
      <w:r>
        <w:rPr>
          <w:rFonts w:cs="EB Garamond"/>
          <w:kern w:val="16"/>
          <w14:ligatures w14:val="standardContextual"/>
        </w:rPr>
        <w:t xml:space="preserve"> (RE 199.994, Rel. Min. Marco Aurélio).</w:t>
      </w:r>
    </w:p>
    <w:p w14:paraId="06F9E56C" w14:textId="77777777" w:rsidR="005A5FCC" w:rsidRDefault="00A21C81">
      <w:pPr>
        <w:ind w:firstLine="238"/>
      </w:pPr>
      <w:r>
        <w:rPr>
          <w:rFonts w:cs="EB Garamond"/>
          <w:b/>
          <w:kern w:val="16"/>
          <w14:ligatures w14:val="standardContextual"/>
        </w:rPr>
        <w:t>Evolução histórica dos indexadores.</w:t>
      </w:r>
      <w:r>
        <w:rPr>
          <w:rFonts w:cs="EB Garamond"/>
          <w:kern w:val="16"/>
          <w14:ligatures w14:val="standardContextual"/>
        </w:rPr>
        <w:t xml:space="preserve"> A trajetória dos índices utilizados para o reajuste dos benefícios reflete a turbulência econômica brasileira das décadas de 1980 e 1990. O art. 41 da Lei 8.213/91, em sua redação original, remetia à legislação específica os critérios de reajuste. A Lei 8.542/1992 estabeleceu o IRSM como indexador. A MP 542/1994, convertida na Lei 9.069/1995 (Plano Real), substituiu-o pelo IPC-r. A Lei 9.711/1998 adotou o IGP-DI, da Fundação Getúlio Vargas. A MP 2.187-13/2001 retomou o INPC, e a Lei 11.430/2006 consolidou definitivamente esse índice no art. 41-A. Essa sequência de alterações produziu diferenças acumuladas que alimentaram extenso contencioso, com ações revisionais buscando a aplicação de índices mais favoráveis em determinados períodos.</w:t>
      </w:r>
    </w:p>
    <w:p w14:paraId="3BE31B6E" w14:textId="77777777" w:rsidR="005A5FCC" w:rsidRDefault="00A21C81">
      <w:pPr>
        <w:ind w:firstLine="238"/>
      </w:pPr>
      <w:r>
        <w:rPr>
          <w:rFonts w:cs="EB Garamond"/>
          <w:b/>
          <w:kern w:val="16"/>
          <w14:ligatures w14:val="standardContextual"/>
        </w:rPr>
        <w:t>Reajuste proporcional (pro rata).</w:t>
      </w:r>
      <w:r>
        <w:rPr>
          <w:rFonts w:cs="EB Garamond"/>
          <w:kern w:val="16"/>
          <w14:ligatures w14:val="standardContextual"/>
        </w:rPr>
        <w:t xml:space="preserve"> Os benefícios concedidos no decorrer do ano base recebem reajuste proporcional ao número de meses entre a data de início do benefício (DIB) e o mês de referência do reajuste. A fração mensal é calculada sobre o INPC acumulado no período, de modo que um benefício concedido em julho, por exemplo, não recebe o reajuste integral de janeiro a dezembro, mas apenas a parcela correspondente ao INPC de julho a dezembro do ano anterior. As portarias anuais de reajustamento (MPS/MF) publicam tabelas detalhadas com os percentuais proporcionais por mês de DIB.</w:t>
      </w:r>
    </w:p>
    <w:p w14:paraId="12A01179" w14:textId="77777777" w:rsidR="005A5FCC" w:rsidRDefault="00A21C81">
      <w:pPr>
        <w:ind w:firstLine="238"/>
      </w:pPr>
      <w:r>
        <w:rPr>
          <w:rFonts w:cs="EB Garamond"/>
          <w:b/>
          <w:kern w:val="16"/>
          <w14:ligatures w14:val="standardContextual"/>
        </w:rPr>
        <w:t>Teto do RGPS e reajuste correlato.</w:t>
      </w:r>
      <w:r>
        <w:rPr>
          <w:rFonts w:cs="EB Garamond"/>
          <w:kern w:val="16"/>
          <w14:ligatures w14:val="standardContextual"/>
        </w:rPr>
        <w:t xml:space="preserve"> O limite máximo do salário de contribuição e, por consequência, do salário de benefício é reajustado pelo mesmo INPC aplicado aos benefícios. Em 2026, o teto é de R$ 8.475,55. A correlação entre o reajuste dos benefícios e o reajuste do teto é relevante para segurados que tiveram o benefício limitado pelo teto na concessão: quando o teto é reajustado, o benefício se expande até o novo limite, respeitado o valor calculado originalmente. Essa mecânica é distinta da revisão do teto tratada na seção 16.7.3 (Tema </w:t>
      </w:r>
      <w:r>
        <w:rPr>
          <w:rFonts w:cs="EB Garamond"/>
          <w:kern w:val="16"/>
          <w14:ligatures w14:val="standardContextual"/>
        </w:rPr>
        <w:lastRenderedPageBreak/>
        <w:t>76/STF), que envolve readequação a tetos modificados por Emendas Constitucionais.</w:t>
      </w:r>
    </w:p>
    <w:p w14:paraId="21CAFF83" w14:textId="77777777" w:rsidR="005A5FCC" w:rsidRDefault="00A21C81">
      <w:pPr>
        <w:ind w:firstLine="238"/>
      </w:pPr>
      <w:r>
        <w:rPr>
          <w:rFonts w:cs="EB Garamond"/>
          <w:b/>
          <w:kern w:val="16"/>
          <w14:ligatures w14:val="standardContextual"/>
        </w:rPr>
        <w:t>Defasagem acumulada e controvérsias.</w:t>
      </w:r>
      <w:r>
        <w:rPr>
          <w:rFonts w:cs="EB Garamond"/>
          <w:kern w:val="16"/>
          <w14:ligatures w14:val="standardContextual"/>
        </w:rPr>
        <w:t xml:space="preserve"> Parcela significativa da doutrina e das entidades representativas de aposentados sustenta que o INPC subestima a inflação efetivamente experimentada pelos idosos, cuja cesta de consumo é mais pesada em saúde e medicamentos. Pesquisas do DIEESE apontam que o Índice de Preços ao Consumidor da Terceira Idade (IPC-3i), calculado pela FGV, superou consistentemente o INPC entre 2006 e 2023. A proposta de adoção de um índice específico para aposentados, embora recorrente no debate legislativo, não encontrou acolhida. Os tribunais, de sua parte, têm rejeitado pedidos de substituição do INPC por índice mais favorável, por entender que a escolha do indexador compete ao legislador (TNU, PEDILEF 0513964-82.2017.4.05.8300).</w:t>
      </w:r>
    </w:p>
    <w:p w14:paraId="03B9130B" w14:textId="77777777" w:rsidR="005A5FCC" w:rsidRDefault="00A21C81">
      <w:pPr>
        <w:ind w:firstLine="238"/>
      </w:pPr>
      <w:r>
        <w:rPr>
          <w:rFonts w:cs="EB Garamond"/>
          <w:b/>
          <w:kern w:val="16"/>
          <w14:ligatures w14:val="standardContextual"/>
        </w:rPr>
        <w:t>Distinção entre reajustamento e revisão.</w:t>
      </w:r>
      <w:r>
        <w:rPr>
          <w:rFonts w:cs="EB Garamond"/>
          <w:kern w:val="16"/>
          <w14:ligatures w14:val="standardContextual"/>
        </w:rPr>
        <w:t xml:space="preserve"> O reajustamento (art. 41-A) é a atualização periódica do valor do benefício para preservar o poder aquisitivo, incidindo sobre todos os benefícios em manutenção. A revisão (art. 103) é o recálculo do valor originário do benefício em razão de erro na apuração do salário de benefício, da RMI ou dos elementos que os compõem. O reajustamento preserva; a revisão corrige. Ações que postulam índices de reajuste diversos dos legais são, a rigor, ações de reajustamento, não de revisão, e submetem-se à prescrição quinquenal das parcelas, sem prazo decadencial (Súmula 85/STJ). O prazo decadencial de dez anos (art. 103, Lei 8.213/91) aplica-se apenas às revisões do ato de concessão. O Capítulo 17 aprofundará essas distinções no âmbito processual.</w:t>
      </w:r>
    </w:p>
    <w:p w14:paraId="6E1C474A"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16.9 Correção monetária dos salários de contribuição</w:t>
      </w:r>
    </w:p>
    <w:p w14:paraId="4DE7C7DC"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S</w:t>
      </w:r>
    </w:p>
    <w:p w14:paraId="4FEB2501" w14:textId="74F4E990" w:rsidR="005A5FCC" w:rsidRDefault="00A21C81">
      <w:r>
        <w:rPr>
          <w:rFonts w:cs="EB Garamond"/>
          <w:kern w:val="16"/>
          <w14:ligatures w14:val="standardContextual"/>
        </w:rPr>
        <w:t>e o reajustamento preserva o valor do benefício após a concessão, a correção monetária dos salários de contribuição</w:t>
      </w:r>
      <w:r w:rsidR="002062A9">
        <w:rPr>
          <w:rFonts w:cs="EB Garamond"/>
          <w:kern w:val="16"/>
          <w14:ligatures w14:val="standardContextual"/>
        </w:rPr>
        <w:t xml:space="preserve"> </w:t>
      </w:r>
      <w:r>
        <w:rPr>
          <w:rFonts w:cs="EB Garamond"/>
          <w:kern w:val="16"/>
          <w14:ligatures w14:val="standardContextual"/>
        </w:rPr>
        <w:t>assegura que os valores utilizados para o cálculo do benefício reflitam seu real poder aquisitivo na data da apuração. Sem essa atualização, contribuições vertidas décadas antes da aposentadoria perderiam quase integralmente seu valor, distorcendo a média que compõe o salário de benefício.</w:t>
      </w:r>
    </w:p>
    <w:p w14:paraId="0AF7684A" w14:textId="77777777" w:rsidR="005A5FCC" w:rsidRDefault="00A21C81">
      <w:pPr>
        <w:ind w:firstLine="238"/>
      </w:pPr>
      <w:r>
        <w:rPr>
          <w:rFonts w:cs="EB Garamond"/>
          <w:b/>
          <w:kern w:val="16"/>
          <w14:ligatures w14:val="standardContextual"/>
        </w:rPr>
        <w:lastRenderedPageBreak/>
        <w:t>Base normativa: art. 29, § 3º, da Lei 8.213/91.</w:t>
      </w:r>
      <w:r>
        <w:rPr>
          <w:rFonts w:cs="EB Garamond"/>
          <w:kern w:val="16"/>
          <w14:ligatures w14:val="standardContextual"/>
        </w:rPr>
        <w:t xml:space="preserve"> A redação dada pela Lei 9.876/1999 (art. 29-B na numeração original, renumerado como § 3º do art. 29) determina que todos os salários de contribuição utilizados no cálculo do salário de benefício sejam corrigidos, mês a mês, pelo INPC. Essa correção é anterior à concessão: opera sobre cada competência do período básico de cálculo, trazendo-a a valores do mês de referência do cálculo (em regra, o mês da DIB ou o mês imediatamente anterior). A finalidade é exclusivamente homogeneizar valores de épocas diferentes para que a média aritmética dos salários de contribuição produza resultado economicamente significativo.</w:t>
      </w:r>
    </w:p>
    <w:p w14:paraId="506898F4" w14:textId="77777777" w:rsidR="005A5FCC" w:rsidRDefault="00A21C81">
      <w:pPr>
        <w:ind w:firstLine="238"/>
      </w:pPr>
      <w:r>
        <w:rPr>
          <w:rFonts w:cs="EB Garamond"/>
          <w:b/>
          <w:kern w:val="16"/>
          <w14:ligatures w14:val="standardContextual"/>
        </w:rPr>
        <w:t>Tabela de fatores de atualização.</w:t>
      </w:r>
      <w:r>
        <w:rPr>
          <w:rFonts w:cs="EB Garamond"/>
          <w:kern w:val="16"/>
          <w14:ligatures w14:val="standardContextual"/>
        </w:rPr>
        <w:t xml:space="preserve"> O INSS publica mensalmente, por intermédio de portarias da Secretaria de Previdência, a tabela de fatores de atualização monetária dos salários de contribuição. Cada fator corresponde ao INPC acumulado entre o mês de competência do salário de contribuição e o mês de referência do cálculo. Na prática, a tabela funciona como um multiplicador: o salário de contribuição de janeiro de 2000, por exemplo, é multiplicado pelo fator acumulado de janeiro/2000 até o mês anterior à DIB, produzindo o valor atualizado que integrará a média do PBC. Essas tabelas estão disponíveis no portal do Ministério da Previdência Social e são utilizadas tanto pelo INSS na concessão administrativa quanto pelos peritos judiciais e contadores na elaboração de memórias de cálculo.</w:t>
      </w:r>
    </w:p>
    <w:p w14:paraId="57C099B6" w14:textId="77777777" w:rsidR="005A5FCC" w:rsidRDefault="00A21C81">
      <w:pPr>
        <w:ind w:firstLine="238"/>
      </w:pPr>
      <w:r>
        <w:rPr>
          <w:rFonts w:cs="EB Garamond"/>
          <w:b/>
          <w:kern w:val="16"/>
          <w14:ligatures w14:val="standardContextual"/>
        </w:rPr>
        <w:t>Impacto prático sobre o cálculo.</w:t>
      </w:r>
      <w:r>
        <w:rPr>
          <w:rFonts w:cs="EB Garamond"/>
          <w:kern w:val="16"/>
          <w14:ligatures w14:val="standardContextual"/>
        </w:rPr>
        <w:t xml:space="preserve"> A atualização monetária produz efeito substancial sobre o salário de benefício, especialmente para segurados com longo período contributivo. Um salário de contribuição de R$ 500,00 em janeiro de 2000, atualizado pelo INPC até dezembro de 2025, equivale a aproximadamente R$ 2.080,00 em valores correntes. Sem a atualização, esse valor seria computado nominalmente na média, o que reduziria drasticamente o salário de benefício. A correção monetária dos salários de contribuição é, por essa razão, premissa inafastável de qualquer cálculo previdenciário, e o magistrado deve verificar, nas memórias de cálculo apresentadas nos autos, se os fatores de atualização utilizados correspondem à tabela oficial do INSS para o mês de referência adequado.</w:t>
      </w:r>
    </w:p>
    <w:p w14:paraId="12D5C97D" w14:textId="76E9B950" w:rsidR="005A5FCC" w:rsidRDefault="00A21C81">
      <w:pPr>
        <w:ind w:firstLine="238"/>
      </w:pPr>
      <w:r>
        <w:rPr>
          <w:rFonts w:cs="EB Garamond"/>
          <w:b/>
          <w:kern w:val="16"/>
          <w14:ligatures w14:val="standardContextual"/>
        </w:rPr>
        <w:t>Controvérsia histórica: expurgos inflacionários.</w:t>
      </w:r>
      <w:r>
        <w:rPr>
          <w:rFonts w:cs="EB Garamond"/>
          <w:kern w:val="16"/>
          <w14:ligatures w14:val="standardContextual"/>
        </w:rPr>
        <w:t xml:space="preserve"> Os planos econômicos das décadas de 1980 e 1990 suprimiram ou reduziram artificialmente índices de correção monetária, gerando os chamados "expurgos inflacionários"</w:t>
      </w:r>
      <w:r w:rsidR="00EB350F">
        <w:rPr>
          <w:rFonts w:cs="EB Garamond"/>
          <w:kern w:val="16"/>
          <w14:ligatures w14:val="standardContextual"/>
        </w:rPr>
        <w:t>.</w:t>
      </w:r>
      <w:r>
        <w:rPr>
          <w:rFonts w:cs="EB Garamond"/>
          <w:kern w:val="16"/>
          <w14:ligatures w14:val="standardContextual"/>
        </w:rPr>
        <w:t xml:space="preserve"> O Plano </w:t>
      </w:r>
      <w:r>
        <w:rPr>
          <w:rFonts w:cs="EB Garamond"/>
          <w:kern w:val="16"/>
          <w14:ligatures w14:val="standardContextual"/>
        </w:rPr>
        <w:lastRenderedPageBreak/>
        <w:t>Bresser (junho/1987) substituiu o IPC pela OTN fiscal, com defasagem de 26,06%. O Plano Verão (janeiro/1989) congelou preços com diferença acumulada de 42,72%. O Plano Collor I (março/1990) provocou perda estimada em 84,32% (IPC de março/1990). O Plano Collor II (janeiro/1991) gerou defasagem de 21,87%. A questão dos expurgos no cálculo dos benefícios previdenciários, contudo, seguiu caminho distinto do contencioso bancário. O art. 144 da Lei 8.213/91 (redação original) determinou a revisão dos benefícios concedidos entre abril de 1989 e abril de 1991 com base nos salários de contribuição corrigidos. A Lei 9.032/1995 (art. 26) e a Lei 9.528/1997 complementaram o processo de correção, e a jurisprudência consolidou que os benefícios concedidos após julho de 1994 não sofrem impacto dos expurgos, pois o PBC foi integralmente recalculado com base nos salários de contribuição a partir dessa data.</w:t>
      </w:r>
    </w:p>
    <w:tbl>
      <w:tblPr>
        <w:tblW w:w="5000" w:type="pct"/>
        <w:jc w:val="center"/>
        <w:tblLayout w:type="fixed"/>
        <w:tblLook w:val="04A0" w:firstRow="1" w:lastRow="0" w:firstColumn="1" w:lastColumn="0" w:noHBand="0" w:noVBand="1"/>
      </w:tblPr>
      <w:tblGrid>
        <w:gridCol w:w="6311"/>
      </w:tblGrid>
      <w:tr w:rsidR="005A5FCC" w14:paraId="6696B582"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2E9F893E"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3960D848" w14:textId="77777777" w:rsidR="005A5FCC" w:rsidRDefault="00A21C81">
            <w:pPr>
              <w:spacing w:after="60" w:line="247" w:lineRule="auto"/>
            </w:pPr>
            <w:r>
              <w:rPr>
                <w:rFonts w:cs="EB Garamond"/>
                <w:b/>
                <w:kern w:val="16"/>
                <w:sz w:val="19"/>
                <w14:ligatures w14:val="standardContextual"/>
              </w:rPr>
              <w:t>Correção dos SC (pré-concessão) × Correção das parcelas judiciais (pós-concessão)</w:t>
            </w:r>
          </w:p>
          <w:p w14:paraId="535603F1" w14:textId="77777777" w:rsidR="005A5FCC" w:rsidRDefault="00A21C81">
            <w:pPr>
              <w:spacing w:after="60" w:line="247" w:lineRule="auto"/>
            </w:pPr>
            <w:r>
              <w:rPr>
                <w:rFonts w:cs="EB Garamond"/>
                <w:kern w:val="16"/>
                <w:sz w:val="19"/>
                <w14:ligatures w14:val="standardContextual"/>
              </w:rPr>
              <w:t>Dois institutos distintos frequentemente confundidos na atuação forense:</w:t>
            </w:r>
          </w:p>
          <w:p w14:paraId="25E220D3" w14:textId="77777777" w:rsidR="005A5FCC" w:rsidRDefault="00A21C81">
            <w:pPr>
              <w:spacing w:after="60" w:line="247" w:lineRule="auto"/>
            </w:pPr>
            <w:r>
              <w:rPr>
                <w:rFonts w:cs="EB Garamond"/>
                <w:kern w:val="16"/>
                <w:sz w:val="19"/>
                <w14:ligatures w14:val="standardContextual"/>
              </w:rPr>
              <w:t xml:space="preserve">A </w:t>
            </w:r>
            <w:r>
              <w:rPr>
                <w:rFonts w:cs="EB Garamond"/>
                <w:b/>
                <w:kern w:val="16"/>
                <w:sz w:val="19"/>
                <w14:ligatures w14:val="standardContextual"/>
              </w:rPr>
              <w:t>correção monetária dos salários de contribuição</w:t>
            </w:r>
            <w:r>
              <w:rPr>
                <w:rFonts w:cs="EB Garamond"/>
                <w:kern w:val="16"/>
                <w:sz w:val="19"/>
                <w14:ligatures w14:val="standardContextual"/>
              </w:rPr>
              <w:t xml:space="preserve"> (art. 29, § 3º, Lei 8.213/91) opera antes da concessão do benefício, atualizando cada SC pelo INPC até o mês de cálculo. Seu objetivo é homogeneizar valores de diferentes épocas para compor a média do PBC.</w:t>
            </w:r>
          </w:p>
          <w:p w14:paraId="6F12042F" w14:textId="77777777" w:rsidR="005A5FCC" w:rsidRDefault="00A21C81">
            <w:pPr>
              <w:spacing w:after="60" w:line="247" w:lineRule="auto"/>
            </w:pPr>
            <w:r>
              <w:rPr>
                <w:rFonts w:cs="EB Garamond"/>
                <w:kern w:val="16"/>
                <w:sz w:val="19"/>
                <w14:ligatures w14:val="standardContextual"/>
              </w:rPr>
              <w:t xml:space="preserve">A </w:t>
            </w:r>
            <w:r>
              <w:rPr>
                <w:rFonts w:cs="EB Garamond"/>
                <w:b/>
                <w:kern w:val="16"/>
                <w:sz w:val="19"/>
                <w14:ligatures w14:val="standardContextual"/>
              </w:rPr>
              <w:t>correção monetária das parcelas judiciais</w:t>
            </w:r>
            <w:r>
              <w:rPr>
                <w:rFonts w:cs="EB Garamond"/>
                <w:kern w:val="16"/>
                <w:sz w:val="19"/>
                <w14:ligatures w14:val="standardContextual"/>
              </w:rPr>
              <w:t xml:space="preserve"> opera após a concessão, incidindo sobre as diferenças devidas em razão de condenação judicial. Desde a EC 113/2021 (art. 3º), aplica-se exclusivamente a taxa SELIC, que engloba correção monetária e juros moratórios. O Tema 905/STJ disciplinou a matéria para o período anterior. As regras de correção judicial serão aprofundadas no Capítulo 23.</w:t>
            </w:r>
          </w:p>
          <w:p w14:paraId="21376E7F" w14:textId="77777777" w:rsidR="005A5FCC" w:rsidRDefault="00A21C81">
            <w:pPr>
              <w:spacing w:after="60" w:line="247" w:lineRule="auto"/>
            </w:pPr>
            <w:r>
              <w:rPr>
                <w:rFonts w:cs="EB Garamond"/>
                <w:kern w:val="16"/>
                <w:sz w:val="19"/>
                <w14:ligatures w14:val="standardContextual"/>
              </w:rPr>
              <w:t>Confundir esses dois planos pode levar a erros graves na memória de cálculo: utilizar SELIC para corrigir os SC no PBC (incorreto) ou utilizar INPC para corrigir parcelas judiciais pós-EC 113 (igualmente incorreto).</w:t>
            </w:r>
          </w:p>
        </w:tc>
      </w:tr>
    </w:tbl>
    <w:p w14:paraId="3EBE1EFC" w14:textId="77777777" w:rsidR="005A5FCC" w:rsidRDefault="005A5FCC">
      <w:pPr>
        <w:spacing w:after="80" w:line="240" w:lineRule="auto"/>
      </w:pPr>
    </w:p>
    <w:p w14:paraId="1EB76C7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M</w:t>
      </w:r>
    </w:p>
    <w:p w14:paraId="7DC8A635" w14:textId="77777777" w:rsidR="005A5FCC" w:rsidRDefault="00A21C81">
      <w:r>
        <w:rPr>
          <w:rFonts w:cs="EB Garamond"/>
          <w:b/>
          <w:kern w:val="16"/>
          <w14:ligatures w14:val="standardContextual"/>
        </w:rPr>
        <w:t>eses sem contribuição e o impacto na correção.</w:t>
      </w:r>
      <w:r>
        <w:rPr>
          <w:rFonts w:cs="EB Garamond"/>
          <w:kern w:val="16"/>
          <w14:ligatures w14:val="standardContextual"/>
        </w:rPr>
        <w:t xml:space="preserve"> Uma questão prática recorrente diz respeito aos meses em que não houve recolhimento. No regime pré-EC 103 (média dos 80% maiores), os meses sem contribuição eram simplesmente descartados do PBC. No regime pós-EC 103 (média de </w:t>
      </w:r>
      <w:r>
        <w:rPr>
          <w:rFonts w:cs="EB Garamond"/>
          <w:kern w:val="16"/>
          <w14:ligatures w14:val="standardContextual"/>
        </w:rPr>
        <w:lastRenderedPageBreak/>
        <w:t>100%), a exclusão de contribuições que reduzam o salário de benefício (art. 26, § 6º, EC 103) permite ao segurado afastar os meses de menor valor, mas a iniciativa deve ser expressa e o tempo mínimo de contribuição para a espécie deve ser mantido. O magistrado que se depara com pedido de recálculo deve atentar para essa distinção: não se trata de corrigir valores, mas de verificar se a composição do PBC observou a regra vigente na DIB.</w:t>
      </w:r>
    </w:p>
    <w:p w14:paraId="159D3A10"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16.10 Atividades concomitantes</w:t>
      </w:r>
    </w:p>
    <w:p w14:paraId="4BC9469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03A4D87C" w14:textId="77777777" w:rsidR="005A5FCC" w:rsidRDefault="00A21C81">
      <w:r>
        <w:rPr>
          <w:rFonts w:cs="EB Garamond"/>
          <w:kern w:val="16"/>
          <w14:ligatures w14:val="standardContextual"/>
        </w:rPr>
        <w:t xml:space="preserve"> segurado que exerce simultaneamente mais de uma atividade remunerada vinculada ao RGPS contribui por cada uma delas. A forma como essas contribuições múltiplas integram o cálculo do salário de benefício sofreu transformação relevante, passando de um regime de segregação a um modelo de soma. A questão tem impacto direto na RMI de segurados com vínculos simultâneos, como o professor que leciona em duas escolas, o empregado que também é contribuinte individual ou o profissional de saúde com múltiplos contratos.</w:t>
      </w:r>
    </w:p>
    <w:p w14:paraId="6611BC2D" w14:textId="05B8FDC1" w:rsidR="005A5FCC" w:rsidRDefault="00A21C81">
      <w:pPr>
        <w:ind w:firstLine="238"/>
      </w:pPr>
      <w:r>
        <w:rPr>
          <w:rFonts w:cs="EB Garamond"/>
          <w:b/>
          <w:kern w:val="16"/>
          <w14:ligatures w14:val="standardContextual"/>
        </w:rPr>
        <w:t>Regime original: art. 32 da Lei 8.213/91.</w:t>
      </w:r>
      <w:r>
        <w:rPr>
          <w:rFonts w:cs="EB Garamond"/>
          <w:kern w:val="16"/>
          <w14:ligatures w14:val="standardContextual"/>
        </w:rPr>
        <w:t xml:space="preserve"> Na redação anterior à Lei 13.846/2019, o art. 32 estabelecia regime complexo de cálculo para atividades concomitantes. O segurado deveria eleger uma atividade como "principal" (a de maior salário de contribuição ou a mais antiga), cujo salário de benefício era calculado integralmente. As demais atividades eram tratadas como "secundárias"</w:t>
      </w:r>
      <w:r w:rsidR="00FE5AA2">
        <w:rPr>
          <w:rFonts w:cs="EB Garamond"/>
          <w:kern w:val="16"/>
          <w14:ligatures w14:val="standardContextual"/>
        </w:rPr>
        <w:t>,</w:t>
      </w:r>
      <w:r>
        <w:rPr>
          <w:rFonts w:cs="EB Garamond"/>
          <w:kern w:val="16"/>
          <w14:ligatures w14:val="standardContextual"/>
        </w:rPr>
        <w:t xml:space="preserve"> e o salário de benefício de cada uma era calculado proporcionalmente ao número de meses de contribuição na atividade em relação ao total de meses do PBC. Esse modelo gerava resultado frequentemente inferior à soma aritmética das contribuições, penalizando o segurado que diversificava suas fontes de renda. A proporcionalidade do antigo art. 32 era de difícil compreensão e produzia distorções, pois atribuía peso menor a atividades com poucos meses de contribuição, independentemente do valor contribuído.</w:t>
      </w:r>
    </w:p>
    <w:p w14:paraId="516CEDDA" w14:textId="77777777" w:rsidR="005A5FCC" w:rsidRDefault="00A21C81">
      <w:pPr>
        <w:ind w:firstLine="238"/>
      </w:pPr>
      <w:r>
        <w:rPr>
          <w:rFonts w:cs="EB Garamond"/>
          <w:b/>
          <w:kern w:val="16"/>
          <w14:ligatures w14:val="standardContextual"/>
        </w:rPr>
        <w:t>Alteração pela Lei 13.846/2019.</w:t>
      </w:r>
      <w:r>
        <w:rPr>
          <w:rFonts w:cs="EB Garamond"/>
          <w:kern w:val="16"/>
          <w14:ligatures w14:val="standardContextual"/>
        </w:rPr>
        <w:t xml:space="preserve"> A Lei 13.846/2019 (conversão da MP 871/2019) deu nova redação ao art. 32, determinando que, no caso de atividades concomitantes, o salário de benefício será calculado com base na soma dos salários de contribuição das atividades exercidas na data do requerimento ou do óbito, observado o teto do RGPS (R$ 8.475,55 em 2026). A regra é simples e </w:t>
      </w:r>
      <w:r>
        <w:rPr>
          <w:rFonts w:cs="EB Garamond"/>
          <w:kern w:val="16"/>
          <w14:ligatures w14:val="standardContextual"/>
        </w:rPr>
        <w:lastRenderedPageBreak/>
        <w:t>direta: somam-se todas as contribuições de cada competência, respeitado o limite máximo do salário de contribuição, e a média aritmética incide sobre esses valores somados.</w:t>
      </w:r>
    </w:p>
    <w:p w14:paraId="5AEDA66D" w14:textId="77777777" w:rsidR="005A5FCC" w:rsidRDefault="00A21C81">
      <w:pPr>
        <w:ind w:firstLine="238"/>
      </w:pPr>
      <w:r>
        <w:rPr>
          <w:rFonts w:cs="EB Garamond"/>
          <w:b/>
          <w:kern w:val="16"/>
          <w14:ligatures w14:val="standardContextual"/>
        </w:rPr>
        <w:t>Tema 1070/STJ: aplicação retroativa da soma.</w:t>
      </w:r>
      <w:r>
        <w:rPr>
          <w:rFonts w:cs="EB Garamond"/>
          <w:kern w:val="16"/>
          <w14:ligatures w14:val="standardContextual"/>
        </w:rPr>
        <w:t xml:space="preserve"> O Superior Tribunal de Justiça, no julgamento do Tema 1070 (REsp 1.870.793/RS e REsp 1.870.815/RS, Rel. Min. Sérgio Kukina, 1ª Seção, julgado em 11/05/2022, trânsito em julgado em 13/02/2023), firmou a seguinte tese vinculante: "Após o advento da Lei 9.876/99, e para fins de cálculo do benefício de aposentadoria, no caso do exercício de atividades concomitantes pelo segurado, o salário-de-contribuição deverá ser composto da soma de todas as contribuições previdenciárias por ele vertidas ao sistema, respeitado o teto previdenciário." A tese do Tema 1070 retroage aos benefícios concedidos após a Lei 9.876/1999, não se limitando à vigência da Lei 13.846/2019. Isso significa que segurados aposentados entre novembro de 1999 e junho de 2019 que tiveram o cálculo segregado pelo art. 32 original podem postular a revisão de seu benefício para que a soma das contribuições seja considerada.</w:t>
      </w:r>
    </w:p>
    <w:p w14:paraId="6A168274" w14:textId="77777777" w:rsidR="005A5FCC" w:rsidRDefault="00A21C81">
      <w:pPr>
        <w:ind w:firstLine="238"/>
      </w:pPr>
      <w:r>
        <w:rPr>
          <w:rFonts w:cs="EB Garamond"/>
          <w:b/>
          <w:kern w:val="16"/>
          <w14:ligatures w14:val="standardContextual"/>
        </w:rPr>
        <w:t>Prazo para revisão.</w:t>
      </w:r>
      <w:r>
        <w:rPr>
          <w:rFonts w:cs="EB Garamond"/>
          <w:kern w:val="16"/>
          <w14:ligatures w14:val="standardContextual"/>
        </w:rPr>
        <w:t xml:space="preserve"> O direito à revisão do benefício com base no Tema 1070 submete-se ao prazo decadencial de dez anos previsto no art. 103 da Lei 8.213/91, contado a partir do primeiro dia do mês seguinte ao da concessão. Para benefícios concedidos há mais de dez anos, o direito à revisão está decaído, salvo se houver causa de suspensão ou interrupção do prazo. Para os benefícios ainda dentro do decênio, a revisão pode ser requerida administrativamente ao INSS ou judicialmente. O tema foi tratado com maior profundidade na seção 10.9, à qual remetemos para os detalhes operacionais do cômputo de atividades concomitantes.</w:t>
      </w:r>
    </w:p>
    <w:tbl>
      <w:tblPr>
        <w:tblW w:w="5000" w:type="pct"/>
        <w:jc w:val="center"/>
        <w:tblLayout w:type="fixed"/>
        <w:tblLook w:val="04A0" w:firstRow="1" w:lastRow="0" w:firstColumn="1" w:lastColumn="0" w:noHBand="0" w:noVBand="1"/>
      </w:tblPr>
      <w:tblGrid>
        <w:gridCol w:w="6311"/>
      </w:tblGrid>
      <w:tr w:rsidR="005A5FCC" w14:paraId="6F945258"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7C979AB1" w14:textId="77777777" w:rsidR="005A5FCC" w:rsidRDefault="00A21C81">
            <w:pPr>
              <w:spacing w:after="60" w:line="240" w:lineRule="auto"/>
              <w:jc w:val="left"/>
            </w:pPr>
            <w:r>
              <w:rPr>
                <w:rFonts w:ascii="Noto Sans" w:hAnsi="Noto Sans" w:cs="Noto Sans"/>
                <w:b/>
                <w:caps/>
                <w:color w:val="4D6F8A"/>
                <w:kern w:val="16"/>
                <w:sz w:val="16"/>
                <w14:ligatures w14:val="standardContextual"/>
              </w:rPr>
              <w:lastRenderedPageBreak/>
              <w:t>JURISPRUDÊNCIA EM DESTAQUE</w:t>
            </w:r>
          </w:p>
          <w:p w14:paraId="5F16707C" w14:textId="77777777" w:rsidR="005A5FCC" w:rsidRDefault="00A21C81">
            <w:pPr>
              <w:spacing w:after="60" w:line="247" w:lineRule="auto"/>
            </w:pPr>
            <w:r>
              <w:rPr>
                <w:rFonts w:cs="EB Garamond"/>
                <w:b/>
                <w:kern w:val="16"/>
                <w:sz w:val="19"/>
                <w14:ligatures w14:val="standardContextual"/>
              </w:rPr>
              <w:t>Tema 1070/STJ — Soma dos salários de contribuição de atividades concomitantes</w:t>
            </w:r>
          </w:p>
          <w:p w14:paraId="7AE62C5F" w14:textId="77777777" w:rsidR="005A5FCC" w:rsidRDefault="00A21C81">
            <w:pPr>
              <w:spacing w:after="60" w:line="247" w:lineRule="auto"/>
            </w:pPr>
            <w:r>
              <w:rPr>
                <w:rFonts w:cs="EB Garamond"/>
                <w:kern w:val="16"/>
                <w:sz w:val="19"/>
                <w14:ligatures w14:val="standardContextual"/>
              </w:rPr>
              <w:t>Processos paradigma: REsp 1.870.793/RS e REsp 1.870.815/RS | 1ª Seção | Rel. Min. Sérgio Kukina | Julgado em 11/05/2022 | Trânsito em julgado: 13/02/2023</w:t>
            </w:r>
          </w:p>
          <w:p w14:paraId="6B4124DB" w14:textId="77777777" w:rsidR="005A5FCC" w:rsidRDefault="00A21C81">
            <w:pPr>
              <w:spacing w:after="60" w:line="247" w:lineRule="auto"/>
            </w:pPr>
            <w:r>
              <w:rPr>
                <w:rFonts w:cs="EB Garamond"/>
                <w:kern w:val="16"/>
                <w:sz w:val="19"/>
                <w14:ligatures w14:val="standardContextual"/>
              </w:rPr>
              <w:t>Tese vinculante: "Após o advento da Lei 9.876/99, e para fins de cálculo do benefício de aposentadoria, no caso do exercício de atividades concomitantes pelo segurado, o salário-de-contribuição deverá ser composto da soma de todas as contribuições previdenciárias por ele vertidas ao sistema, respeitado o teto previdenciário."</w:t>
            </w:r>
          </w:p>
          <w:p w14:paraId="3D2FD893" w14:textId="77777777" w:rsidR="005A5FCC" w:rsidRDefault="00A21C81">
            <w:pPr>
              <w:spacing w:after="60" w:line="247" w:lineRule="auto"/>
            </w:pPr>
            <w:r>
              <w:rPr>
                <w:rFonts w:cs="EB Garamond"/>
                <w:kern w:val="16"/>
                <w:sz w:val="19"/>
                <w14:ligatures w14:val="standardContextual"/>
              </w:rPr>
              <w:t>Impacto prático: segurados com múltiplos vínculos simultâneos aposentados após novembro/1999 podem requerer revisão da RMI para que as contribuições sejam somadas, em vez de calculadas proporcionalmente pelo antigo art. 32. A revisão submete-se ao prazo decadencial de 10 anos. Para o procedimento revisional (instrução, CNIS e cálculo de diferenças), v. Capítulo 17, seção 17.8.1.</w:t>
            </w:r>
          </w:p>
        </w:tc>
      </w:tr>
    </w:tbl>
    <w:p w14:paraId="2827FD18" w14:textId="77777777" w:rsidR="005A5FCC" w:rsidRDefault="005A5FCC">
      <w:pPr>
        <w:spacing w:after="80" w:line="240" w:lineRule="auto"/>
      </w:pPr>
    </w:p>
    <w:p w14:paraId="212556C4" w14:textId="702E3614"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 xml:space="preserve">16.11 Revisão da vida toda — </w:t>
      </w:r>
      <w:r w:rsidR="00657786">
        <w:rPr>
          <w:rFonts w:cs="EB Garamond"/>
          <w:b/>
          <w:color w:val="3A3128"/>
          <w:kern w:val="16"/>
          <w:sz w:val="31"/>
          <w14:ligatures w14:val="standardContextual"/>
        </w:rPr>
        <w:t>T</w:t>
      </w:r>
      <w:r>
        <w:rPr>
          <w:rFonts w:cs="EB Garamond"/>
          <w:b/>
          <w:color w:val="3A3128"/>
          <w:kern w:val="16"/>
          <w:sz w:val="31"/>
          <w14:ligatures w14:val="standardContextual"/>
        </w:rPr>
        <w:t>ema 1.102/STF</w:t>
      </w:r>
    </w:p>
    <w:p w14:paraId="307E56E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79D88A25" w14:textId="77777777" w:rsidR="005A5FCC" w:rsidRDefault="00A21C81">
      <w:r>
        <w:rPr>
          <w:rFonts w:cs="EB Garamond"/>
          <w:kern w:val="16"/>
          <w14:ligatures w14:val="standardContextual"/>
        </w:rPr>
        <w:t xml:space="preserve"> chamada "revisão da vida toda" envolve a possibilidade de o segurado optar, para fins de cálculo do salário de benefício, pela regra permanente do art. 29, I e II, da Lei 8.213/91 (que considera os salários de contribuição de todo o período contributivo, inclusive anteriores a julho de 1994), em vez da regra de transição do art. 3º da Lei 9.876/1999 (que limita o PBC aos salários de contribuição a partir de julho de 1994 e descarta os 20% menores). Para a análise detalhada da cronologia processual do Tema 1.102/STF — julgamento original de dezembro de 2022, reversão em embargos infringentes de novembro de 2025, modulação de efeitos e rejeição, em maio de 2026, da proposta de ampliação da modulação —, v. Capítulo 17, seção 17.3.</w:t>
      </w:r>
    </w:p>
    <w:p w14:paraId="0338B06C" w14:textId="77777777" w:rsidR="005A5FCC" w:rsidRDefault="00A21C81">
      <w:pPr>
        <w:ind w:firstLine="238"/>
      </w:pPr>
      <w:r>
        <w:rPr>
          <w:rFonts w:cs="EB Garamond"/>
          <w:b/>
          <w:kern w:val="16"/>
          <w14:ligatures w14:val="standardContextual"/>
        </w:rPr>
        <w:t>Situação vigente e impacto no cálculo.</w:t>
      </w:r>
      <w:r>
        <w:rPr>
          <w:rFonts w:cs="EB Garamond"/>
          <w:kern w:val="16"/>
          <w14:ligatures w14:val="standardContextual"/>
        </w:rPr>
        <w:t xml:space="preserve"> A tese firmada em 26/11/2025 é de que a revisão da vida toda é indevida, após a declaração de constitucionalidade e cogência do art. 3º da Lei 9.876/1999 nas ADIs 2.110 e 2.111 (j. 21/03/2024). A modulação protege beneficiários com decisão judicial proferida até 5 de abril de 2024 (irrepetibilidade dos valores pagos e inexigibilidade de sucumbência). A </w:t>
      </w:r>
      <w:r>
        <w:rPr>
          <w:rFonts w:cs="EB Garamond"/>
          <w:kern w:val="16"/>
          <w14:ligatures w14:val="standardContextual"/>
        </w:rPr>
        <w:lastRenderedPageBreak/>
        <w:t>proposta de ampliar essa modulação para além de 05/04/2024 foi rejeitada pelo Plenário em 15/05/2026, de modo que a modulação permanece limitada às decisões proferidas até 05/04/2024.</w:t>
      </w:r>
    </w:p>
    <w:tbl>
      <w:tblPr>
        <w:tblW w:w="5000" w:type="pct"/>
        <w:jc w:val="center"/>
        <w:tblLayout w:type="fixed"/>
        <w:tblLook w:val="04A0" w:firstRow="1" w:lastRow="0" w:firstColumn="1" w:lastColumn="0" w:noHBand="0" w:noVBand="1"/>
      </w:tblPr>
      <w:tblGrid>
        <w:gridCol w:w="6311"/>
      </w:tblGrid>
      <w:tr w:rsidR="005A5FCC" w14:paraId="2A44B7B4"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30D4BFD4" w14:textId="77777777" w:rsidR="005A5FCC" w:rsidRDefault="00A21C81">
            <w:pPr>
              <w:spacing w:after="60" w:line="240" w:lineRule="auto"/>
              <w:jc w:val="left"/>
            </w:pPr>
            <w:r>
              <w:rPr>
                <w:rFonts w:ascii="Noto Sans" w:hAnsi="Noto Sans" w:cs="Noto Sans"/>
                <w:b/>
                <w:caps/>
                <w:color w:val="4D6F8A"/>
                <w:kern w:val="16"/>
                <w:sz w:val="16"/>
                <w14:ligatures w14:val="standardContextual"/>
              </w:rPr>
              <w:t>JURISPRUDÊNCIA EM DESTAQUE</w:t>
            </w:r>
          </w:p>
          <w:p w14:paraId="6CD00261" w14:textId="77777777" w:rsidR="005A5FCC" w:rsidRDefault="00A21C81">
            <w:pPr>
              <w:spacing w:after="60" w:line="247" w:lineRule="auto"/>
            </w:pPr>
            <w:r>
              <w:rPr>
                <w:rFonts w:cs="EB Garamond"/>
                <w:b/>
                <w:kern w:val="16"/>
                <w:sz w:val="19"/>
                <w14:ligatures w14:val="standardContextual"/>
              </w:rPr>
              <w:t>Tema 1.102/STF — Revisão da Vida Toda: tese revertida</w:t>
            </w:r>
          </w:p>
          <w:p w14:paraId="02F83655" w14:textId="77777777" w:rsidR="005A5FCC" w:rsidRDefault="00A21C81">
            <w:pPr>
              <w:spacing w:after="60" w:line="247" w:lineRule="auto"/>
            </w:pPr>
            <w:r>
              <w:rPr>
                <w:rFonts w:cs="EB Garamond"/>
                <w:kern w:val="16"/>
                <w:sz w:val="19"/>
                <w14:ligatures w14:val="standardContextual"/>
              </w:rPr>
              <w:t>Processo: RE 1.276.977/RS | Plenário | Rel. P/ acórdão Min. Alexandre de Moraes (julgamento original) e Min. Nunes Marques (embargos)</w:t>
            </w:r>
          </w:p>
          <w:p w14:paraId="07490E5C" w14:textId="77777777" w:rsidR="005A5FCC" w:rsidRDefault="00A21C81">
            <w:pPr>
              <w:spacing w:after="60" w:line="247" w:lineRule="auto"/>
            </w:pPr>
            <w:r>
              <w:rPr>
                <w:rFonts w:cs="EB Garamond"/>
                <w:kern w:val="16"/>
                <w:sz w:val="19"/>
                <w14:ligatures w14:val="standardContextual"/>
              </w:rPr>
              <w:t>Cronologia: (a) 01/12/2022, procedência por 6×5, após retificação de placar; (b) 26/11/2025, reversão em embargos com efeitos infringentes; (c) 15/05/2026 — novos embargos de declaração rejeitados em plenário virtual (retirado o destaque do Min. Fachin), com derrota da proposta de ampliação da modulação e manutenção da revogação.</w:t>
            </w:r>
          </w:p>
          <w:p w14:paraId="18B88ABC" w14:textId="77777777" w:rsidR="005A5FCC" w:rsidRDefault="00A21C81">
            <w:pPr>
              <w:spacing w:after="60" w:line="247" w:lineRule="auto"/>
            </w:pPr>
            <w:r>
              <w:rPr>
                <w:rFonts w:cs="EB Garamond"/>
                <w:kern w:val="16"/>
                <w:sz w:val="19"/>
                <w14:ligatures w14:val="standardContextual"/>
              </w:rPr>
              <w:t>Tese vigente (nov/2025): "É indevida a aplicação da revisão da vida toda após a declaração de constitucionalidade do art. 3º da Lei 9.876/1999 pelo STF nas ADIs 2.110/DF e 2.111/DF, com eficácia vinculante e erga omnes."</w:t>
            </w:r>
          </w:p>
          <w:p w14:paraId="7AAF1850" w14:textId="77777777" w:rsidR="005A5FCC" w:rsidRDefault="00A21C81">
            <w:pPr>
              <w:spacing w:after="60" w:line="247" w:lineRule="auto"/>
            </w:pPr>
            <w:r>
              <w:rPr>
                <w:rFonts w:cs="EB Garamond"/>
                <w:kern w:val="16"/>
                <w:sz w:val="19"/>
                <w14:ligatures w14:val="standardContextual"/>
              </w:rPr>
              <w:t>Modulação: (a) irrepetibilidade de valores pagos sob decisão judicial até 05/04/2024; (b) inexigibilidade de sucumbência para ações anteriores a 05/04/2024. A proposta de ampliar a modulação para além de 05/04/2024 foi rejeitada pelo Plenário em 15/05/2026.</w:t>
            </w:r>
          </w:p>
        </w:tc>
      </w:tr>
    </w:tbl>
    <w:p w14:paraId="29482F36" w14:textId="77777777" w:rsidR="005A5FCC" w:rsidRDefault="005A5FCC">
      <w:pPr>
        <w:spacing w:after="80" w:line="240" w:lineRule="auto"/>
      </w:pPr>
    </w:p>
    <w:p w14:paraId="5147F4A5"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M</w:t>
      </w:r>
    </w:p>
    <w:p w14:paraId="50814976" w14:textId="77777777" w:rsidR="005A5FCC" w:rsidRDefault="00A21C81">
      <w:r>
        <w:rPr>
          <w:rFonts w:cs="EB Garamond"/>
          <w:b/>
          <w:kern w:val="16"/>
          <w14:ligatures w14:val="standardContextual"/>
        </w:rPr>
        <w:t>ecânica de cálculo.</w:t>
      </w:r>
      <w:r>
        <w:rPr>
          <w:rFonts w:cs="EB Garamond"/>
          <w:kern w:val="16"/>
          <w14:ligatures w14:val="standardContextual"/>
        </w:rPr>
        <w:t xml:space="preserve"> Embora a revisão da vida toda tenha sido declarada indevida, a compreensão de sua mecânica permanece relevante: a modulação protege beneficiários que já obtiveram o recálculo, e a distinção entre as duas regras é pressuposto para a conferência desses benefícios. Na regra de transição (art. 3º, Lei 9.876/1999), o PBC compreende os salários de contribuição a partir de julho de 1994, e o SB corresponde à média dos 80% maiores. Na regra permanente (art. 29, I e II), o PBC abrange todo o período contributivo, inclusive antes de julho de 1994. Para segurados com salários elevados anteriores a 1994 — funcionários de estatais, bancários, executivos —, a regra permanente elevava a média. Para a maioria dos segurados, contudo, a inclusão de salários anteriores a 1994 reduzia a média, pois os valores nominais eram baixos e a reconstrução dos índices de correção para períodos hiperinflacionários é imprecisa.</w:t>
      </w:r>
    </w:p>
    <w:tbl>
      <w:tblPr>
        <w:tblW w:w="5000" w:type="pct"/>
        <w:jc w:val="center"/>
        <w:tblLayout w:type="fixed"/>
        <w:tblLook w:val="04A0" w:firstRow="1" w:lastRow="0" w:firstColumn="1" w:lastColumn="0" w:noHBand="0" w:noVBand="1"/>
      </w:tblPr>
      <w:tblGrid>
        <w:gridCol w:w="6311"/>
      </w:tblGrid>
      <w:tr w:rsidR="005A5FCC" w14:paraId="088DD19C"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0AEC26D0" w14:textId="77777777" w:rsidR="005A5FCC" w:rsidRDefault="00A21C81">
            <w:pPr>
              <w:spacing w:after="60" w:line="240" w:lineRule="auto"/>
              <w:jc w:val="left"/>
            </w:pPr>
            <w:r>
              <w:rPr>
                <w:rFonts w:ascii="Noto Sans" w:hAnsi="Noto Sans" w:cs="Noto Sans"/>
                <w:b/>
                <w:caps/>
                <w:color w:val="B78B37"/>
                <w:kern w:val="16"/>
                <w:sz w:val="16"/>
                <w14:ligatures w14:val="standardContextual"/>
              </w:rPr>
              <w:lastRenderedPageBreak/>
              <w:t>ATENÇÃO</w:t>
            </w:r>
          </w:p>
          <w:p w14:paraId="20999F1B" w14:textId="77777777" w:rsidR="005A5FCC" w:rsidRDefault="00A21C81">
            <w:pPr>
              <w:spacing w:after="60" w:line="247" w:lineRule="auto"/>
            </w:pPr>
            <w:r>
              <w:rPr>
                <w:rFonts w:cs="EB Garamond"/>
                <w:b/>
                <w:kern w:val="16"/>
                <w:sz w:val="19"/>
                <w14:ligatures w14:val="standardContextual"/>
              </w:rPr>
              <w:t>Status atual da revisão da vida toda (atualizado até maio/2026)</w:t>
            </w:r>
          </w:p>
          <w:p w14:paraId="4079825C" w14:textId="77777777" w:rsidR="005A5FCC" w:rsidRDefault="00A21C81">
            <w:pPr>
              <w:spacing w:after="60" w:line="247" w:lineRule="auto"/>
            </w:pPr>
            <w:r>
              <w:rPr>
                <w:rFonts w:cs="EB Garamond"/>
                <w:kern w:val="16"/>
                <w:sz w:val="19"/>
                <w14:ligatures w14:val="standardContextual"/>
              </w:rPr>
              <w:t xml:space="preserve">A revisão da vida toda foi declarada </w:t>
            </w:r>
            <w:r>
              <w:rPr>
                <w:rFonts w:cs="EB Garamond"/>
                <w:b/>
                <w:kern w:val="16"/>
                <w:sz w:val="19"/>
                <w14:ligatures w14:val="standardContextual"/>
              </w:rPr>
              <w:t>indevida</w:t>
            </w:r>
            <w:r>
              <w:rPr>
                <w:rFonts w:cs="EB Garamond"/>
                <w:kern w:val="16"/>
                <w:sz w:val="19"/>
                <w14:ligatures w14:val="standardContextual"/>
              </w:rPr>
              <w:t xml:space="preserve"> pelo STF em 26/11/2025. Novos requerimentos administrativos ou judiciais com esse objeto não devem prosperar. As consequências práticas são:</w:t>
            </w:r>
          </w:p>
          <w:p w14:paraId="108ADC11" w14:textId="77777777" w:rsidR="005A5FCC" w:rsidRDefault="00A21C81">
            <w:pPr>
              <w:spacing w:after="60" w:line="247" w:lineRule="auto"/>
            </w:pPr>
            <w:r>
              <w:rPr>
                <w:rFonts w:cs="EB Garamond"/>
                <w:kern w:val="16"/>
                <w:sz w:val="19"/>
                <w14:ligatures w14:val="standardContextual"/>
              </w:rPr>
              <w:t>(a) Ações pendentes de julgamento: devem ser julgadas improcedentes, com base na tese vinculante do Tema 1.102.</w:t>
            </w:r>
          </w:p>
          <w:p w14:paraId="3A292715" w14:textId="77777777" w:rsidR="005A5FCC" w:rsidRDefault="00A21C81">
            <w:pPr>
              <w:spacing w:after="60" w:line="247" w:lineRule="auto"/>
            </w:pPr>
            <w:r>
              <w:rPr>
                <w:rFonts w:cs="EB Garamond"/>
                <w:kern w:val="16"/>
                <w:sz w:val="19"/>
                <w14:ligatures w14:val="standardContextual"/>
              </w:rPr>
              <w:t>(b) Ações com decisão favorável transitada em julgado antes de 05/04/2024: protegidas pela modulação. Os valores já recebidos são irrepetíveis.</w:t>
            </w:r>
          </w:p>
          <w:p w14:paraId="57CD1F3A" w14:textId="77777777" w:rsidR="005A5FCC" w:rsidRDefault="00A21C81">
            <w:pPr>
              <w:spacing w:after="60" w:line="247" w:lineRule="auto"/>
            </w:pPr>
            <w:r>
              <w:rPr>
                <w:rFonts w:cs="EB Garamond"/>
                <w:kern w:val="16"/>
                <w:sz w:val="19"/>
                <w14:ligatures w14:val="standardContextual"/>
              </w:rPr>
              <w:t>(c) Ações com decisão favorável transitada em julgado após 05/04/2024: não alcançadas pela modulação — o STF rejeitou, em 15/05/2026, a proposta de ampliá-la para além de 05/04/2024.</w:t>
            </w:r>
          </w:p>
          <w:p w14:paraId="7333E2A9" w14:textId="77777777" w:rsidR="005A5FCC" w:rsidRDefault="00A21C81">
            <w:pPr>
              <w:spacing w:after="60" w:line="247" w:lineRule="auto"/>
            </w:pPr>
            <w:r>
              <w:rPr>
                <w:rFonts w:cs="EB Garamond"/>
                <w:kern w:val="16"/>
                <w:sz w:val="19"/>
                <w14:ligatures w14:val="standardContextual"/>
              </w:rPr>
              <w:t>(d) Ações ajuizadas entre 16/12/2019 e 05/04/2024 ainda sem decisão transitada em julgado: não são alcançadas pela modulação — que se limita às decisões transitadas até 05/04/2024 —, uma vez que o STF rejeitou, em 15/05/2026, a proposta de ampliá-la. Devem ser julgadas improcedentes quanto ao mérito da revisão.</w:t>
            </w:r>
          </w:p>
          <w:p w14:paraId="288B717F" w14:textId="77777777" w:rsidR="005A5FCC" w:rsidRDefault="00A21C81">
            <w:pPr>
              <w:spacing w:after="60" w:line="247" w:lineRule="auto"/>
            </w:pPr>
            <w:r>
              <w:rPr>
                <w:rFonts w:cs="EB Garamond"/>
                <w:kern w:val="16"/>
                <w:sz w:val="19"/>
                <w14:ligatures w14:val="standardContextual"/>
              </w:rPr>
              <w:t>O tema será revisitado no Capítulo 17 sob o prisma processual (ação rescisória, modulação e coisa julgada).</w:t>
            </w:r>
          </w:p>
        </w:tc>
      </w:tr>
    </w:tbl>
    <w:p w14:paraId="43AEF130" w14:textId="77777777" w:rsidR="005A5FCC" w:rsidRDefault="005A5FCC">
      <w:pPr>
        <w:spacing w:after="80" w:line="240" w:lineRule="auto"/>
      </w:pPr>
    </w:p>
    <w:p w14:paraId="29679C06"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16.12 Prática: simulação de cálculo e memória de cálculo nos JEFs</w:t>
      </w:r>
    </w:p>
    <w:p w14:paraId="06D96701"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5D513627" w14:textId="42767C46" w:rsidR="005A5FCC" w:rsidRDefault="00A21C81">
      <w:r>
        <w:rPr>
          <w:rFonts w:cs="EB Garamond"/>
          <w:kern w:val="16"/>
          <w14:ligatures w14:val="standardContextual"/>
        </w:rPr>
        <w:t xml:space="preserve"> magistrado dos Juizados Especiais Federais lida diariamente com valores de benefícios previdenciários, seja para conferir a RMI apurada pelo INSS, para liquidar sentenças ou para verificar se o valor da causa se enquadra na competência dos JEFs (atualmente 60 </w:t>
      </w:r>
      <w:r w:rsidR="00FE4FC1">
        <w:rPr>
          <w:rFonts w:cs="EB Garamond"/>
          <w:kern w:val="16"/>
          <w14:ligatures w14:val="standardContextual"/>
        </w:rPr>
        <w:t>salários-mínimos</w:t>
      </w:r>
      <w:r>
        <w:rPr>
          <w:rFonts w:cs="EB Garamond"/>
          <w:kern w:val="16"/>
          <w14:ligatures w14:val="standardContextual"/>
        </w:rPr>
        <w:t>, ou R$ 97.260,00). A familiaridade com a mecânica do cálculo previdenciário não é mero conhecimento teórico: é ferramenta de trabalho indispensável para a prestação jurisdicional efetiva. Esta seção apresenta a estrutura da memória de cálculo, duas simulações completas e orientações práticas para a conferência dos cálculos nos autos.</w:t>
      </w:r>
    </w:p>
    <w:p w14:paraId="0F975721" w14:textId="77777777" w:rsidR="005A5FCC" w:rsidRDefault="00A21C81">
      <w:pPr>
        <w:spacing w:before="260" w:after="80" w:line="240" w:lineRule="auto"/>
        <w:jc w:val="left"/>
      </w:pPr>
      <w:r>
        <w:rPr>
          <w:rFonts w:cs="EB Garamond"/>
          <w:b/>
          <w:color w:val="3A3128"/>
          <w:kern w:val="16"/>
          <w:sz w:val="25"/>
          <w14:ligatures w14:val="standardContextual"/>
        </w:rPr>
        <w:lastRenderedPageBreak/>
        <w:t>16.12.1 Memória de cálculo em RPV: estrutura e elementos obrigatórios</w:t>
      </w:r>
    </w:p>
    <w:p w14:paraId="3BF6421D"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7153240E" w14:textId="77777777" w:rsidR="005A5FCC" w:rsidRDefault="00A21C81">
      <w:r>
        <w:rPr>
          <w:rFonts w:cs="EB Garamond"/>
          <w:kern w:val="16"/>
          <w14:ligatures w14:val="standardContextual"/>
        </w:rPr>
        <w:t xml:space="preserve"> memória de cálculo apresentada nas requisições de pequeno valor (RPV) e nos precatórios deve permitir ao magistrado e às partes a verificação integral dos valores apurados. Uma memória de cálculo bem estruturada segue a sequência lógica do cálculo previdenciário, organizada em etapas encadeadas.</w:t>
      </w:r>
    </w:p>
    <w:p w14:paraId="1D9B1EE8" w14:textId="77777777" w:rsidR="005A5FCC" w:rsidRDefault="00A21C81">
      <w:pPr>
        <w:ind w:firstLine="238"/>
      </w:pPr>
      <w:r>
        <w:rPr>
          <w:rFonts w:cs="EB Garamond"/>
          <w:kern w:val="16"/>
          <w14:ligatures w14:val="standardContextual"/>
        </w:rPr>
        <w:t>A primeira etapa consiste na identificação dos salários de contribuição (SC) do período básico de cálculo, extraídos do Cadastro Nacional de Informações Sociais (CNIS) ou de documentos comprobatórios juntados aos autos (CTPS, carnês de contribuição, fichas financeiras). Cada SC é identificado pela competência (mês/ano) e pelo valor nominal.</w:t>
      </w:r>
    </w:p>
    <w:p w14:paraId="62FD5A75" w14:textId="77777777" w:rsidR="005A5FCC" w:rsidRDefault="00A21C81">
      <w:pPr>
        <w:ind w:firstLine="238"/>
      </w:pPr>
      <w:r>
        <w:rPr>
          <w:rFonts w:cs="EB Garamond"/>
          <w:kern w:val="16"/>
          <w14:ligatures w14:val="standardContextual"/>
        </w:rPr>
        <w:t>A segunda etapa compreende a atualização monetária de cada SC pelo INPC, do mês de competência até o mês anterior à DIB (ou até a data determinada pelo juízo para o cálculo). Os fatores de atualização devem corresponder à tabela oficial do INSS vigente no mês de referência. O resultado dessa etapa é a relação de SC atualizados.</w:t>
      </w:r>
    </w:p>
    <w:p w14:paraId="2C8432D7" w14:textId="77777777" w:rsidR="005A5FCC" w:rsidRDefault="00A21C81">
      <w:pPr>
        <w:ind w:firstLine="238"/>
      </w:pPr>
      <w:r>
        <w:rPr>
          <w:rFonts w:cs="EB Garamond"/>
          <w:kern w:val="16"/>
          <w14:ligatures w14:val="standardContextual"/>
        </w:rPr>
        <w:t>A terceira etapa é a apuração do salário de benefício (SB), que consiste na média aritmética dos SC atualizados. No regime pré-EC 103, toma-se a média dos 80% maiores; no regime pós-EC 103, a média de todos os SC, com a possibilidade de exclusão prevista no art. 26, § 6º, EC 103.</w:t>
      </w:r>
    </w:p>
    <w:p w14:paraId="669F3101" w14:textId="77777777" w:rsidR="005A5FCC" w:rsidRDefault="00A21C81">
      <w:pPr>
        <w:ind w:firstLine="238"/>
      </w:pPr>
      <w:r>
        <w:rPr>
          <w:rFonts w:cs="EB Garamond"/>
          <w:kern w:val="16"/>
          <w14:ligatures w14:val="standardContextual"/>
        </w:rPr>
        <w:t>A quarta etapa envolve a aplicação do fator previdenciário (quando cabível) e do coeficiente de cálculo correspondente à espécie de benefício, produzindo a RMI. Para benefícios pós-EC 103, o coeficiente de 60% + 2% por ano excedente (ou percentual diverso, conforme a espécie) incide diretamente sobre o SB. Para benefícios pré-EC 103, a RMI resulta da multiplicação do SB pelo fator previdenciário (quando aplicável) e pelo coeficiente da espécie.</w:t>
      </w:r>
    </w:p>
    <w:p w14:paraId="0427D779" w14:textId="77777777" w:rsidR="005A5FCC" w:rsidRDefault="00A21C81">
      <w:pPr>
        <w:ind w:firstLine="238"/>
      </w:pPr>
      <w:r>
        <w:rPr>
          <w:rFonts w:cs="EB Garamond"/>
          <w:kern w:val="16"/>
          <w14:ligatures w14:val="standardContextual"/>
        </w:rPr>
        <w:t xml:space="preserve">A quinta etapa é o cálculo das parcelas vencidas (diferenças mensais entre o valor devido e o valor efetivamente pago pelo INSS, mês a mês, desde a DIB fixada na sentença até a data do cálculo ou da implantação do benefício correto). A sexta etapa aplica a correção monetária e os juros sobre cada parcela vencida, observada a regra vigente para o respectivo período (SELIC a partir da EC 113/2021; regras do Tema 905/STJ para períodos anteriores, conforme Capítulo 23). A sétima </w:t>
      </w:r>
      <w:r>
        <w:rPr>
          <w:rFonts w:cs="EB Garamond"/>
          <w:kern w:val="16"/>
          <w14:ligatures w14:val="standardContextual"/>
        </w:rPr>
        <w:lastRenderedPageBreak/>
        <w:t>etapa deduz eventuais descontos (valores já pagos, tutela antecipada cumprida, contribuições previdenciárias e imposto de renda retido na fonte, honorários), produzindo o valor líquido da RPV.</w:t>
      </w:r>
    </w:p>
    <w:p w14:paraId="0781E3D9" w14:textId="77777777" w:rsidR="005A5FCC" w:rsidRDefault="00A21C81">
      <w:pPr>
        <w:spacing w:before="260" w:after="80" w:line="240" w:lineRule="auto"/>
        <w:jc w:val="left"/>
      </w:pPr>
      <w:r>
        <w:rPr>
          <w:rFonts w:cs="EB Garamond"/>
          <w:b/>
          <w:color w:val="3A3128"/>
          <w:kern w:val="16"/>
          <w:sz w:val="25"/>
          <w14:ligatures w14:val="standardContextual"/>
        </w:rPr>
        <w:t>16.12.2 Simulação 1: aposentadoria programada pós-EC 103</w:t>
      </w:r>
    </w:p>
    <w:p w14:paraId="1D0EB9B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58F7C965" w14:textId="77777777" w:rsidR="005A5FCC" w:rsidRDefault="00A21C81">
      <w:r>
        <w:rPr>
          <w:rFonts w:cs="EB Garamond"/>
          <w:kern w:val="16"/>
          <w14:ligatures w14:val="standardContextual"/>
        </w:rPr>
        <w:t>presentamos o cálculo completo para um caso hipotético que sintetiza as regras vigentes.</w:t>
      </w:r>
    </w:p>
    <w:p w14:paraId="34F603B4" w14:textId="77777777" w:rsidR="005A5FCC" w:rsidRDefault="00A21C81">
      <w:pPr>
        <w:ind w:firstLine="238"/>
      </w:pPr>
      <w:r>
        <w:rPr>
          <w:rFonts w:cs="EB Garamond"/>
          <w:b/>
          <w:kern w:val="16"/>
          <w14:ligatures w14:val="standardContextual"/>
        </w:rPr>
        <w:t>Dados do segurado.</w:t>
      </w:r>
      <w:r>
        <w:rPr>
          <w:rFonts w:cs="EB Garamond"/>
          <w:kern w:val="16"/>
          <w14:ligatures w14:val="standardContextual"/>
        </w:rPr>
        <w:t xml:space="preserve"> João, sexo masculino, 65 anos de idade, 25 anos de tempo de contribuição, filiado ao RGPS como empregado. DIB em janeiro de 2026. Média aritmética simples de todos os salários de contribuição atualizados (regime pós-EC 103, 100% dos SC): R$ 3.200,00.</w:t>
      </w:r>
    </w:p>
    <w:p w14:paraId="5CF8EC54" w14:textId="77777777" w:rsidR="005A5FCC" w:rsidRDefault="00A21C81">
      <w:pPr>
        <w:ind w:firstLine="238"/>
      </w:pPr>
      <w:r>
        <w:rPr>
          <w:rFonts w:cs="EB Garamond"/>
          <w:b/>
          <w:kern w:val="16"/>
          <w14:ligatures w14:val="standardContextual"/>
        </w:rPr>
        <w:t>Etapa 1 — Salário de benefício.</w:t>
      </w:r>
      <w:r>
        <w:rPr>
          <w:rFonts w:cs="EB Garamond"/>
          <w:kern w:val="16"/>
          <w14:ligatures w14:val="standardContextual"/>
        </w:rPr>
        <w:t xml:space="preserve"> No regime pós-EC 103, o SB corresponde à média aritmética simples de todos os SC desde julho de 1994, atualizados pelo INPC. Considerando que a média já está apurada em R$ 3.200,00, esse é o SB.</w:t>
      </w:r>
    </w:p>
    <w:p w14:paraId="548F277C" w14:textId="77777777" w:rsidR="005A5FCC" w:rsidRDefault="00A21C81">
      <w:pPr>
        <w:ind w:firstLine="238"/>
      </w:pPr>
      <w:r>
        <w:rPr>
          <w:rFonts w:cs="EB Garamond"/>
          <w:b/>
          <w:kern w:val="16"/>
          <w14:ligatures w14:val="standardContextual"/>
        </w:rPr>
        <w:t>Etapa 2 — Coeficiente de cálculo.</w:t>
      </w:r>
      <w:r>
        <w:rPr>
          <w:rFonts w:cs="EB Garamond"/>
          <w:kern w:val="16"/>
          <w14:ligatures w14:val="standardContextual"/>
        </w:rPr>
        <w:t xml:space="preserve"> A aposentadoria programada pós-EC 103 segue o art. 26, § 2º, da EC 103: 60% do SB, acrescidos de 2% para cada ano de contribuição que exceda 20 anos (homem). João tem 25 anos de contribuição; o excedente sobre 20 anos é 5 anos. O coeficiente é: 60% + (2% × 5) = 70%.</w:t>
      </w:r>
    </w:p>
    <w:p w14:paraId="12EA9924" w14:textId="77777777" w:rsidR="005A5FCC" w:rsidRDefault="00A21C81">
      <w:pPr>
        <w:ind w:firstLine="238"/>
      </w:pPr>
      <w:r>
        <w:rPr>
          <w:rFonts w:cs="EB Garamond"/>
          <w:b/>
          <w:kern w:val="16"/>
          <w14:ligatures w14:val="standardContextual"/>
        </w:rPr>
        <w:t>Etapa 3 — RMI.</w:t>
      </w:r>
      <w:r>
        <w:rPr>
          <w:rFonts w:cs="EB Garamond"/>
          <w:kern w:val="16"/>
          <w14:ligatures w14:val="standardContextual"/>
        </w:rPr>
        <w:t xml:space="preserve"> RMI = SB × coeficiente = R$ 3.200,00 × 70% = R$ 2.240,00.</w:t>
      </w:r>
    </w:p>
    <w:p w14:paraId="4D01AC6E" w14:textId="308A317A" w:rsidR="005A5FCC" w:rsidRDefault="00A21C81">
      <w:pPr>
        <w:ind w:firstLine="238"/>
      </w:pPr>
      <w:r>
        <w:rPr>
          <w:rFonts w:cs="EB Garamond"/>
          <w:b/>
          <w:kern w:val="16"/>
          <w14:ligatures w14:val="standardContextual"/>
        </w:rPr>
        <w:t>Etapa 4 — Verificação do piso e do teto.</w:t>
      </w:r>
      <w:r>
        <w:rPr>
          <w:rFonts w:cs="EB Garamond"/>
          <w:kern w:val="16"/>
          <w14:ligatures w14:val="standardContextual"/>
        </w:rPr>
        <w:t xml:space="preserve"> O piso constitucional é o </w:t>
      </w:r>
      <w:r w:rsidR="008F007B">
        <w:rPr>
          <w:rFonts w:cs="EB Garamond"/>
          <w:kern w:val="16"/>
          <w14:ligatures w14:val="standardContextual"/>
        </w:rPr>
        <w:t>salário-mínimo</w:t>
      </w:r>
      <w:r>
        <w:rPr>
          <w:rFonts w:cs="EB Garamond"/>
          <w:kern w:val="16"/>
          <w14:ligatures w14:val="standardContextual"/>
        </w:rPr>
        <w:t xml:space="preserve"> vigente na DIB (R$ 1.621,00 em 2026). A RMI de R$ 2.240,00 supera o piso. O teto é R$ 8.475,55; a RMI está abaixo. Não há ajuste.</w:t>
      </w:r>
    </w:p>
    <w:p w14:paraId="5440D432" w14:textId="77777777" w:rsidR="005A5FCC" w:rsidRDefault="00A21C81">
      <w:pPr>
        <w:ind w:firstLine="238"/>
      </w:pPr>
      <w:r>
        <w:rPr>
          <w:rFonts w:cs="EB Garamond"/>
          <w:b/>
          <w:kern w:val="16"/>
          <w14:ligatures w14:val="standardContextual"/>
        </w:rPr>
        <w:t>Etapa 5 — Parcelas vencidas (hipótese de concessão judicial).</w:t>
      </w:r>
      <w:r>
        <w:rPr>
          <w:rFonts w:cs="EB Garamond"/>
          <w:kern w:val="16"/>
          <w14:ligatures w14:val="standardContextual"/>
        </w:rPr>
        <w:t xml:space="preserve"> Suponhamos que João requereu administrativamente em janeiro de 2026 e o INSS indeferiu; a sentença, proferida em agosto de 2026, concedeu o benefício com DIB em janeiro de 2026. As parcelas vencidas compreendem as diferenças mensais de janeiro a agosto de 2026, totalizando 8 prestações de R$ 2.240,00, ou R$ 17.920,00 em valores nominais. Sobre cada parcela incide correção pela SELIC desde o respectivo vencimento. O valor final, após aplicação da SELIC, será apurado conforme a tabela do CJF vigente na data da conta.</w:t>
      </w:r>
    </w:p>
    <w:p w14:paraId="56197301" w14:textId="77777777" w:rsidR="005A5FCC" w:rsidRDefault="00A21C81">
      <w:pPr>
        <w:ind w:firstLine="238"/>
      </w:pPr>
      <w:r>
        <w:rPr>
          <w:rFonts w:cs="EB Garamond"/>
          <w:b/>
          <w:kern w:val="16"/>
          <w14:ligatures w14:val="standardContextual"/>
        </w:rPr>
        <w:lastRenderedPageBreak/>
        <w:t>Etapa 6 — Enquadramento na competência dos JEFs.</w:t>
      </w:r>
      <w:r>
        <w:rPr>
          <w:rFonts w:cs="EB Garamond"/>
          <w:kern w:val="16"/>
          <w14:ligatures w14:val="standardContextual"/>
        </w:rPr>
        <w:t xml:space="preserve"> O valor bruto das parcelas vencidas (R$ 17.920,00 nominais, antes da SELIC) está dentro do limite de 60 SM (R$ 97.260,00), confirmando a competência dos JEFs.</w:t>
      </w:r>
    </w:p>
    <w:p w14:paraId="295DDC55" w14:textId="77777777" w:rsidR="005A5FCC" w:rsidRDefault="00A21C81">
      <w:pPr>
        <w:spacing w:before="260" w:after="80" w:line="240" w:lineRule="auto"/>
        <w:jc w:val="left"/>
      </w:pPr>
      <w:r>
        <w:rPr>
          <w:rFonts w:cs="EB Garamond"/>
          <w:b/>
          <w:color w:val="3A3128"/>
          <w:kern w:val="16"/>
          <w:sz w:val="25"/>
          <w14:ligatures w14:val="standardContextual"/>
        </w:rPr>
        <w:t>16.12.3 Simulação 2: aposentadoria por incapacidade permanente — acidentária versus não acidentária</w:t>
      </w:r>
    </w:p>
    <w:p w14:paraId="10DA8319"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29E3FDDF" w14:textId="77777777" w:rsidR="005A5FCC" w:rsidRDefault="00A21C81">
      <w:r>
        <w:rPr>
          <w:rFonts w:cs="EB Garamond"/>
          <w:kern w:val="16"/>
          <w14:ligatures w14:val="standardContextual"/>
        </w:rPr>
        <w:t xml:space="preserve"> distinção entre a aposentadoria por incapacidade permanente de origem comum e a de origem acidentária produz impacto dramático no valor do benefício após a EC 103/2019, acentuado pela constitucionalidade do coeficiente de 60%+2% declarada no Tema 1.300/STF.</w:t>
      </w:r>
    </w:p>
    <w:p w14:paraId="2A8F18CC" w14:textId="77777777" w:rsidR="005A5FCC" w:rsidRDefault="00A21C81">
      <w:pPr>
        <w:ind w:firstLine="238"/>
      </w:pPr>
      <w:r>
        <w:rPr>
          <w:rFonts w:cs="EB Garamond"/>
          <w:b/>
          <w:kern w:val="16"/>
          <w14:ligatures w14:val="standardContextual"/>
        </w:rPr>
        <w:t>Dados da segurada.</w:t>
      </w:r>
      <w:r>
        <w:rPr>
          <w:rFonts w:cs="EB Garamond"/>
          <w:kern w:val="16"/>
          <w14:ligatures w14:val="standardContextual"/>
        </w:rPr>
        <w:t xml:space="preserve"> Maria, sexo feminino, 50 anos de idade, 18 anos de tempo de contribuição. Salário de benefício apurado: R$ 4.000,00. Duas hipóteses de causa da incapacidade.</w:t>
      </w:r>
    </w:p>
    <w:p w14:paraId="4EB71A35" w14:textId="77777777" w:rsidR="005A5FCC" w:rsidRDefault="00A21C81">
      <w:pPr>
        <w:ind w:firstLine="238"/>
      </w:pPr>
      <w:r>
        <w:rPr>
          <w:rFonts w:cs="EB Garamond"/>
          <w:b/>
          <w:kern w:val="16"/>
          <w14:ligatures w14:val="standardContextual"/>
        </w:rPr>
        <w:t>Hipótese A — Incapacidade de origem comum (doença degenerativa).</w:t>
      </w:r>
      <w:r>
        <w:rPr>
          <w:rFonts w:cs="EB Garamond"/>
          <w:kern w:val="16"/>
          <w14:ligatures w14:val="standardContextual"/>
        </w:rPr>
        <w:t xml:space="preserve"> O coeficiente segue o art. 26, §§ 2º e 3º, I, da EC 103: 60% + 2% por ano que exceda 15 anos (mulher). Maria tem 18 anos; o excedente sobre 15 é 3 anos. Coeficiente: 60% + (2% × 3) = 66%. RMI = R$ 4.000,00 × 66% = R$ 2.640,00.</w:t>
      </w:r>
    </w:p>
    <w:p w14:paraId="617543C3" w14:textId="77777777" w:rsidR="005A5FCC" w:rsidRDefault="00A21C81">
      <w:pPr>
        <w:ind w:firstLine="238"/>
      </w:pPr>
      <w:r>
        <w:rPr>
          <w:rFonts w:cs="EB Garamond"/>
          <w:kern w:val="16"/>
          <w14:ligatures w14:val="standardContextual"/>
        </w:rPr>
        <w:t>Em 18 de dezembro de 2025, o STF concluiu o julgamento do Tema 1.300 (RE 1.469.150, Rel. Min. Luís Roberto Barroso), declarando, por 6 votos a 4, a constitucionalidade do coeficiente de 60%+2% para a aposentadoria por incapacidade permanente não acidentária. A Corte entendeu que a diferenciação entre incapacidade acidentária e não acidentária não viola o princípio da isonomia, pois o risco social coberto é distinto: o acidente de trabalho ou doença ocupacional decorre de condições laborais, justificando proteção mais ampla.</w:t>
      </w:r>
    </w:p>
    <w:p w14:paraId="6AB567E1" w14:textId="77777777" w:rsidR="005A5FCC" w:rsidRDefault="00A21C81">
      <w:pPr>
        <w:ind w:firstLine="238"/>
      </w:pPr>
      <w:r>
        <w:rPr>
          <w:rFonts w:cs="EB Garamond"/>
          <w:b/>
          <w:kern w:val="16"/>
          <w14:ligatures w14:val="standardContextual"/>
        </w:rPr>
        <w:t>Hipótese B — Incapacidade de origem acidentária (acidente de trabalho).</w:t>
      </w:r>
      <w:r>
        <w:rPr>
          <w:rFonts w:cs="EB Garamond"/>
          <w:kern w:val="16"/>
          <w14:ligatures w14:val="standardContextual"/>
        </w:rPr>
        <w:t xml:space="preserve"> O art. 26, § 3º, II, EC 103, estabelece coeficiente de 100% do SB para a aposentadoria por incapacidade permanente decorrente de acidente de trabalho, doença profissional ou doença do trabalho. RMI = R$ 4.000,00 × 100% = R$ 4.000,00.</w:t>
      </w:r>
    </w:p>
    <w:p w14:paraId="4C5F0CFC" w14:textId="77777777" w:rsidR="005A5FCC" w:rsidRDefault="00A21C81">
      <w:pPr>
        <w:ind w:firstLine="238"/>
      </w:pPr>
      <w:r>
        <w:rPr>
          <w:rFonts w:cs="EB Garamond"/>
          <w:b/>
          <w:kern w:val="16"/>
          <w14:ligatures w14:val="standardContextual"/>
        </w:rPr>
        <w:t>Comparação.</w:t>
      </w:r>
      <w:r>
        <w:rPr>
          <w:rFonts w:cs="EB Garamond"/>
          <w:kern w:val="16"/>
          <w14:ligatures w14:val="standardContextual"/>
        </w:rPr>
        <w:t xml:space="preserve"> A diferença entre as duas hipóteses é de R$ 1.360,00 por mês (R$ 4.000,00 – R$ 2.640,00), o que representa R$ 16.320,00 por ano. Ao longo de uma expectativa de vida de mais 26,6 anos (projeção para mulher de 50 anos </w:t>
      </w:r>
      <w:r>
        <w:rPr>
          <w:rFonts w:cs="EB Garamond"/>
          <w:kern w:val="16"/>
          <w14:ligatures w14:val="standardContextual"/>
        </w:rPr>
        <w:lastRenderedPageBreak/>
        <w:t>com base na tábua IBGE 2024, cuja expectativa geral é de 76,6 anos), a diferença acumulada, em valores nominais, ultrapassa R$ 430.000,00. Essa magnitude evidencia a importância da correta caracterização do nexo causal com o trabalho, questão que muitas vezes chega ao magistrado dos JEFs por meio de perícia médica.</w:t>
      </w:r>
    </w:p>
    <w:p w14:paraId="75820F1D" w14:textId="77777777" w:rsidR="005A5FCC" w:rsidRDefault="00A21C81">
      <w:pPr>
        <w:spacing w:before="260" w:after="80" w:line="240" w:lineRule="auto"/>
        <w:jc w:val="left"/>
      </w:pPr>
      <w:r>
        <w:rPr>
          <w:rFonts w:cs="EB Garamond"/>
          <w:b/>
          <w:color w:val="3A3128"/>
          <w:kern w:val="16"/>
          <w:sz w:val="25"/>
          <w14:ligatures w14:val="standardContextual"/>
        </w:rPr>
        <w:t>16.12.4 Dicas para o magistrado: conferência de cálculo</w:t>
      </w:r>
    </w:p>
    <w:p w14:paraId="198AB723"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79A066E5" w14:textId="77777777" w:rsidR="005A5FCC" w:rsidRDefault="00A21C81">
      <w:r>
        <w:rPr>
          <w:rFonts w:cs="EB Garamond"/>
          <w:kern w:val="16"/>
          <w14:ligatures w14:val="standardContextual"/>
        </w:rPr>
        <w:t xml:space="preserve"> conferência dos cálculos apresentados pelo INSS ou pelos peritos judiciais exige do magistrado atenção a pontos específicos, cujo conhecimento evita homologação de valores incorretos e reduz a necessidade de impugnações e embargos à execução.</w:t>
      </w:r>
    </w:p>
    <w:p w14:paraId="19984D57" w14:textId="77777777" w:rsidR="005A5FCC" w:rsidRDefault="00A21C81">
      <w:pPr>
        <w:ind w:firstLine="238"/>
      </w:pPr>
      <w:r>
        <w:rPr>
          <w:rFonts w:cs="EB Garamond"/>
          <w:b/>
          <w:kern w:val="16"/>
          <w14:ligatures w14:val="standardContextual"/>
        </w:rPr>
        <w:t>Sistemas do INSS.</w:t>
      </w:r>
      <w:r>
        <w:rPr>
          <w:rFonts w:cs="EB Garamond"/>
          <w:kern w:val="16"/>
          <w14:ligatures w14:val="standardContextual"/>
        </w:rPr>
        <w:t xml:space="preserve"> Dois sistemas são particularmente úteis para a conferência da RMI: o CONBAS (Consulta de Benefícios e Análise de Situação), que apresenta os dados do benefício, incluindo o valor da RMI, o coeficiente aplicado e a memória de cálculo administrativa; e o HISCREWEB (Histórico de Créditos), que exibe o histórico de pagamentos, permitindo verificar a evolução do valor do benefício, os reajustes aplicados e eventuais descontos. O acesso a esses sistemas pelos magistrados dos JEFs é viabilizado por convênio entre o Conselho da Justiça Federal e o INSS.</w:t>
      </w:r>
    </w:p>
    <w:p w14:paraId="02DBB6AF" w14:textId="77777777" w:rsidR="005A5FCC" w:rsidRDefault="00A21C81">
      <w:pPr>
        <w:ind w:firstLine="238"/>
      </w:pPr>
      <w:r>
        <w:rPr>
          <w:rFonts w:cs="EB Garamond"/>
          <w:b/>
          <w:kern w:val="16"/>
          <w14:ligatures w14:val="standardContextual"/>
        </w:rPr>
        <w:t>Erros administrativos mais frequentes.</w:t>
      </w:r>
      <w:r>
        <w:rPr>
          <w:rFonts w:cs="EB Garamond"/>
          <w:kern w:val="16"/>
          <w14:ligatures w14:val="standardContextual"/>
        </w:rPr>
        <w:t xml:space="preserve"> A experiência contenciosa revela padrões recorrentes de erro no cálculo administrativo do INSS. O primeiro deles é a utilização de salários de contribuição incorretos, seja pela ausência de vínculos no CNIS (empresa que não prestou informação), pela duplicidade de registros ou pelo não cômputo de remunerações variáveis (horas extras, adicionais). O segundo é a aplicação do coeficiente incorreto, especialmente em benefícios por incapacidade nos quais o INSS não reconhece a origem acidentária e aplica 60%+2% quando deveria aplicar 100%. O terceiro é o erro na data do PBC, quando o INSS utiliza data diversa da DER reafirmada (Tema 995/STJ) ou ignora períodos de contribuição comprovados por documentos não inseridos no CNIS. O quarto é a não aplicação da exclusão de contribuições prejudiciais (art. 26, § 6º, EC 103), que pode beneficiar o segurado mas não é aplicada de ofício pela administração.</w:t>
      </w:r>
    </w:p>
    <w:p w14:paraId="41FC1444" w14:textId="77777777" w:rsidR="005A5FCC" w:rsidRDefault="00A21C81">
      <w:pPr>
        <w:ind w:firstLine="238"/>
      </w:pPr>
      <w:r>
        <w:rPr>
          <w:rFonts w:cs="EB Garamond"/>
          <w:b/>
          <w:kern w:val="16"/>
          <w14:ligatures w14:val="standardContextual"/>
        </w:rPr>
        <w:lastRenderedPageBreak/>
        <w:t>Determinação de recálculo na sentença.</w:t>
      </w:r>
      <w:r>
        <w:rPr>
          <w:rFonts w:cs="EB Garamond"/>
          <w:kern w:val="16"/>
          <w14:ligatures w14:val="standardContextual"/>
        </w:rPr>
        <w:t xml:space="preserve"> Ao constatar erro no cálculo, o magistrado deve especificar, no dispositivo da sentença, os parâmetros do recálculo: (a) o PBC correto (com indicação da regra aplicável e dos períodos a serem considerados); (b) o coeficiente de cálculo (com o fundamento legal); (c) a aplicação ou não do fator previdenciário (com indicação da tabela IBGE a ser utilizada, quando cabível); (d) a DIB (original ou reafirmada); (e) os critérios de correção monetária das parcelas vencidas (SELIC pós-EC 113/2021). A especificação desses parâmetros reduz controvérsias na fase de cumprimento de sentença e dispensa intimação do INSS para apresentação de cálculos frequentemente contestados.</w:t>
      </w:r>
    </w:p>
    <w:tbl>
      <w:tblPr>
        <w:tblW w:w="5000" w:type="pct"/>
        <w:jc w:val="center"/>
        <w:tblLayout w:type="fixed"/>
        <w:tblLook w:val="04A0" w:firstRow="1" w:lastRow="0" w:firstColumn="1" w:lastColumn="0" w:noHBand="0" w:noVBand="1"/>
      </w:tblPr>
      <w:tblGrid>
        <w:gridCol w:w="6311"/>
      </w:tblGrid>
      <w:tr w:rsidR="005A5FCC" w14:paraId="3B2E3556"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7EA2537C"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3469CAA3" w14:textId="77777777" w:rsidR="005A5FCC" w:rsidRDefault="00A21C81">
            <w:pPr>
              <w:spacing w:after="60" w:line="247" w:lineRule="auto"/>
            </w:pPr>
            <w:r>
              <w:rPr>
                <w:rFonts w:cs="EB Garamond"/>
                <w:b/>
                <w:kern w:val="16"/>
                <w:sz w:val="19"/>
                <w14:ligatures w14:val="standardContextual"/>
              </w:rPr>
              <w:t>Checklist de conferência de cálculo para o magistrado dos JEFs</w:t>
            </w:r>
          </w:p>
          <w:p w14:paraId="598F9C2A" w14:textId="77777777" w:rsidR="005A5FCC" w:rsidRDefault="00A21C81">
            <w:pPr>
              <w:spacing w:after="60" w:line="247" w:lineRule="auto"/>
            </w:pPr>
            <w:r>
              <w:rPr>
                <w:rFonts w:cs="EB Garamond"/>
                <w:kern w:val="16"/>
                <w:sz w:val="19"/>
                <w14:ligatures w14:val="standardContextual"/>
              </w:rPr>
              <w:t>Ao examinar a RMI apurada pelo INSS ou a memória de cálculo apresentada nos autos, verificar:</w:t>
            </w:r>
          </w:p>
          <w:p w14:paraId="7566E600" w14:textId="77777777" w:rsidR="005A5FCC" w:rsidRDefault="00A21C81">
            <w:pPr>
              <w:spacing w:after="60" w:line="247" w:lineRule="auto"/>
            </w:pPr>
            <w:r>
              <w:rPr>
                <w:rFonts w:cs="EB Garamond"/>
                <w:kern w:val="16"/>
                <w:sz w:val="19"/>
                <w14:ligatures w14:val="standardContextual"/>
              </w:rPr>
              <w:t>(a) Os salários de contribuição utilizados conferem com o CNIS e com os documentos dos autos? Há vínculos ou remunerações não computados?</w:t>
            </w:r>
          </w:p>
          <w:p w14:paraId="079279AD" w14:textId="77777777" w:rsidR="005A5FCC" w:rsidRDefault="00A21C81">
            <w:pPr>
              <w:spacing w:after="60" w:line="247" w:lineRule="auto"/>
            </w:pPr>
            <w:r>
              <w:rPr>
                <w:rFonts w:cs="EB Garamond"/>
                <w:kern w:val="16"/>
                <w:sz w:val="19"/>
                <w14:ligatures w14:val="standardContextual"/>
              </w:rPr>
              <w:t>(b) O PBC está correto para a regra aplicável (80% maiores pré-EC 103 ou 100% pós-EC 103)? A DIB utilizada é a correta (DER original ou reafirmada)?</w:t>
            </w:r>
          </w:p>
          <w:p w14:paraId="19529613" w14:textId="77777777" w:rsidR="005A5FCC" w:rsidRDefault="00A21C81">
            <w:pPr>
              <w:spacing w:after="60" w:line="247" w:lineRule="auto"/>
            </w:pPr>
            <w:r>
              <w:rPr>
                <w:rFonts w:cs="EB Garamond"/>
                <w:kern w:val="16"/>
                <w:sz w:val="19"/>
                <w14:ligatures w14:val="standardContextual"/>
              </w:rPr>
              <w:t>(c) Os fatores de atualização monetária dos SC correspondem à tabela oficial do INSS para o mês de referência do cálculo?</w:t>
            </w:r>
          </w:p>
          <w:p w14:paraId="10542189" w14:textId="77777777" w:rsidR="005A5FCC" w:rsidRDefault="00A21C81">
            <w:pPr>
              <w:spacing w:after="60" w:line="247" w:lineRule="auto"/>
            </w:pPr>
            <w:r>
              <w:rPr>
                <w:rFonts w:cs="EB Garamond"/>
                <w:kern w:val="16"/>
                <w:sz w:val="19"/>
                <w14:ligatures w14:val="standardContextual"/>
              </w:rPr>
              <w:t>(d) O coeficiente de cálculo está correto para a espécie de benefício e o tempo de contribuição do segurado? Em benefícios por incapacidade, o nexo acidentário foi considerado?</w:t>
            </w:r>
          </w:p>
          <w:p w14:paraId="069734F4" w14:textId="77777777" w:rsidR="005A5FCC" w:rsidRDefault="00A21C81">
            <w:pPr>
              <w:spacing w:after="60" w:line="247" w:lineRule="auto"/>
            </w:pPr>
            <w:r>
              <w:rPr>
                <w:rFonts w:cs="EB Garamond"/>
                <w:kern w:val="16"/>
                <w:sz w:val="19"/>
                <w14:ligatures w14:val="standardContextual"/>
              </w:rPr>
              <w:t>(e) O fator previdenciário foi aplicado apenas quando obrigatório (direito adquirido pré-EC 103, pedágio 50%)? A tabela IBGE utilizada é a vigente na DER?</w:t>
            </w:r>
          </w:p>
          <w:p w14:paraId="71D7203F" w14:textId="77777777" w:rsidR="005A5FCC" w:rsidRDefault="00A21C81">
            <w:pPr>
              <w:spacing w:after="60" w:line="247" w:lineRule="auto"/>
            </w:pPr>
            <w:r>
              <w:rPr>
                <w:rFonts w:cs="EB Garamond"/>
                <w:kern w:val="16"/>
                <w:sz w:val="19"/>
                <w14:ligatures w14:val="standardContextual"/>
              </w:rPr>
              <w:t>(f) O teto do RGPS foi observado (R$ 8.475,55 em 2026)? O piso de 1 SM (R$ 1.621,00) foi respeitado?</w:t>
            </w:r>
          </w:p>
          <w:p w14:paraId="64FD0626" w14:textId="77777777" w:rsidR="005A5FCC" w:rsidRDefault="00A21C81">
            <w:pPr>
              <w:spacing w:after="60" w:line="247" w:lineRule="auto"/>
            </w:pPr>
            <w:r>
              <w:rPr>
                <w:rFonts w:cs="EB Garamond"/>
                <w:kern w:val="16"/>
                <w:sz w:val="19"/>
                <w14:ligatures w14:val="standardContextual"/>
              </w:rPr>
              <w:t>(g) Para segurados com atividades concomitantes, os salários de contribuição foram somados (Tema 1070/STJ)?</w:t>
            </w:r>
          </w:p>
          <w:p w14:paraId="59E1C3FC" w14:textId="77777777" w:rsidR="005A5FCC" w:rsidRDefault="00A21C81">
            <w:pPr>
              <w:spacing w:after="60" w:line="247" w:lineRule="auto"/>
            </w:pPr>
            <w:r>
              <w:rPr>
                <w:rFonts w:cs="EB Garamond"/>
                <w:kern w:val="16"/>
                <w:sz w:val="19"/>
                <w14:ligatures w14:val="standardContextual"/>
              </w:rPr>
              <w:t>(h) A exclusão de contribuições prejudiciais (art. 26, § 6º, EC 103) foi considerada, quando aplicável?</w:t>
            </w:r>
          </w:p>
          <w:p w14:paraId="45286EC4" w14:textId="77777777" w:rsidR="005A5FCC" w:rsidRDefault="00A21C81">
            <w:pPr>
              <w:spacing w:after="60" w:line="247" w:lineRule="auto"/>
            </w:pPr>
            <w:r>
              <w:rPr>
                <w:rFonts w:cs="EB Garamond"/>
                <w:kern w:val="16"/>
                <w:sz w:val="19"/>
                <w14:ligatures w14:val="standardContextual"/>
              </w:rPr>
              <w:t>(i) Na liquidação, a SELIC está sendo aplicada corretamente sobre as parcelas vencidas pós-EC 113/2021? Para parcelas anteriores, os critérios do Tema 905/STJ foram observados?</w:t>
            </w:r>
          </w:p>
        </w:tc>
      </w:tr>
    </w:tbl>
    <w:p w14:paraId="76C0FFCD" w14:textId="77777777" w:rsidR="005A5FCC" w:rsidRDefault="005A5FCC">
      <w:pPr>
        <w:spacing w:after="80" w:line="240" w:lineRule="auto"/>
      </w:pPr>
    </w:p>
    <w:p w14:paraId="65225A53"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16.13 Síntese e quadros práticos</w:t>
      </w:r>
    </w:p>
    <w:p w14:paraId="71F00FEB"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219FAE8C" w14:textId="77777777" w:rsidR="005A5FCC" w:rsidRDefault="00A21C81">
      <w:r>
        <w:rPr>
          <w:rFonts w:cs="EB Garamond"/>
          <w:kern w:val="16"/>
          <w14:ligatures w14:val="standardContextual"/>
        </w:rPr>
        <w:t xml:space="preserve"> sistema de cálculo dos benefícios do RGPS, embora fundado em operações aritméticas simples, adquire complexidade pela sobreposição de regimes temporais e pela diversidade de coeficientes por espécie. Os quadros a seguir consolidam as informações essenciais para consulta rápida na prática forense.</w:t>
      </w:r>
    </w:p>
    <w:tbl>
      <w:tblPr>
        <w:tblW w:w="5000" w:type="pct"/>
        <w:jc w:val="center"/>
        <w:tblLayout w:type="fixed"/>
        <w:tblLook w:val="04A0" w:firstRow="1" w:lastRow="0" w:firstColumn="1" w:lastColumn="0" w:noHBand="0" w:noVBand="1"/>
      </w:tblPr>
      <w:tblGrid>
        <w:gridCol w:w="6311"/>
      </w:tblGrid>
      <w:tr w:rsidR="005A5FCC" w14:paraId="71BF3E80" w14:textId="77777777">
        <w:trPr>
          <w:cantSplit/>
          <w:jc w:val="center"/>
        </w:trPr>
        <w:tc>
          <w:tcPr>
            <w:tcW w:w="6350" w:type="dxa"/>
            <w:tcBorders>
              <w:top w:val="single" w:sz="7" w:space="0" w:color="A09882"/>
              <w:left w:val="single" w:sz="24" w:space="0" w:color="6B6256"/>
              <w:bottom w:val="single" w:sz="7" w:space="0" w:color="A09882"/>
              <w:right w:val="single" w:sz="7" w:space="0" w:color="A09882"/>
            </w:tcBorders>
            <w:shd w:val="clear" w:color="auto" w:fill="F5F3EF"/>
            <w:tcMar>
              <w:top w:w="150" w:type="dxa"/>
              <w:left w:w="220" w:type="dxa"/>
              <w:bottom w:w="150" w:type="dxa"/>
              <w:right w:w="180" w:type="dxa"/>
            </w:tcMar>
          </w:tcPr>
          <w:p w14:paraId="05F7F439" w14:textId="77777777" w:rsidR="005A5FCC" w:rsidRDefault="00A21C81">
            <w:pPr>
              <w:spacing w:after="60" w:line="240" w:lineRule="auto"/>
              <w:jc w:val="left"/>
            </w:pPr>
            <w:r>
              <w:rPr>
                <w:rFonts w:ascii="Noto Sans" w:hAnsi="Noto Sans" w:cs="Noto Sans"/>
                <w:b/>
                <w:caps/>
                <w:color w:val="6B6256"/>
                <w:kern w:val="16"/>
                <w:sz w:val="16"/>
                <w14:ligatures w14:val="standardContextual"/>
              </w:rPr>
              <w:lastRenderedPageBreak/>
              <w:t>QUADRO</w:t>
            </w:r>
          </w:p>
          <w:p w14:paraId="1460ED80" w14:textId="77777777" w:rsidR="005A5FCC" w:rsidRDefault="00A21C81">
            <w:pPr>
              <w:spacing w:after="60" w:line="247" w:lineRule="auto"/>
            </w:pPr>
            <w:r>
              <w:rPr>
                <w:rFonts w:cs="EB Garamond"/>
                <w:b/>
                <w:kern w:val="16"/>
                <w:sz w:val="19"/>
                <w14:ligatures w14:val="standardContextual"/>
              </w:rPr>
              <w:t>Quadro 16.4 — PBC por Regime</w:t>
            </w:r>
          </w:p>
          <w:tbl>
            <w:tblPr>
              <w:tblW w:w="5000" w:type="pct"/>
              <w:jc w:val="center"/>
              <w:tblLook w:val="04A0" w:firstRow="1" w:lastRow="0" w:firstColumn="1" w:lastColumn="0" w:noHBand="0" w:noVBand="1"/>
            </w:tblPr>
            <w:tblGrid>
              <w:gridCol w:w="1476"/>
              <w:gridCol w:w="1475"/>
              <w:gridCol w:w="1475"/>
              <w:gridCol w:w="1475"/>
            </w:tblGrid>
            <w:tr w:rsidR="005A5FCC" w14:paraId="406B558A" w14:textId="77777777">
              <w:trPr>
                <w:tblHeader/>
                <w:jc w:val="center"/>
              </w:trPr>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65840337" w14:textId="77777777" w:rsidR="005A5FCC" w:rsidRDefault="00A21C81">
                  <w:pPr>
                    <w:spacing w:before="30" w:after="30" w:line="240" w:lineRule="auto"/>
                    <w:jc w:val="center"/>
                  </w:pPr>
                  <w:r>
                    <w:rPr>
                      <w:rFonts w:cs="EB Garamond"/>
                      <w:b/>
                      <w:color w:val="2F2923"/>
                      <w:kern w:val="16"/>
                      <w:sz w:val="16"/>
                      <w14:ligatures w14:val="standardContextual"/>
                    </w:rPr>
                    <w:t>Regime</w:t>
                  </w:r>
                </w:p>
              </w:tc>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147C4C45" w14:textId="77777777" w:rsidR="005A5FCC" w:rsidRDefault="00A21C81">
                  <w:pPr>
                    <w:spacing w:before="30" w:after="30" w:line="240" w:lineRule="auto"/>
                    <w:jc w:val="center"/>
                  </w:pPr>
                  <w:r>
                    <w:rPr>
                      <w:rFonts w:cs="EB Garamond"/>
                      <w:b/>
                      <w:color w:val="2F2923"/>
                      <w:kern w:val="16"/>
                      <w:sz w:val="16"/>
                      <w14:ligatures w14:val="standardContextual"/>
                    </w:rPr>
                    <w:t>Base do cálculo</w:t>
                  </w:r>
                </w:p>
              </w:tc>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7F86AD22" w14:textId="77777777" w:rsidR="005A5FCC" w:rsidRDefault="00A21C81">
                  <w:pPr>
                    <w:spacing w:before="30" w:after="30" w:line="240" w:lineRule="auto"/>
                    <w:jc w:val="center"/>
                  </w:pPr>
                  <w:r>
                    <w:rPr>
                      <w:rFonts w:cs="EB Garamond"/>
                      <w:b/>
                      <w:color w:val="2F2923"/>
                      <w:kern w:val="16"/>
                      <w:sz w:val="16"/>
                      <w14:ligatures w14:val="standardContextual"/>
                    </w:rPr>
                    <w:t>Regra</w:t>
                  </w:r>
                </w:p>
              </w:tc>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6CACE8C9" w14:textId="77777777" w:rsidR="005A5FCC" w:rsidRDefault="00A21C81">
                  <w:pPr>
                    <w:spacing w:before="30" w:after="30" w:line="240" w:lineRule="auto"/>
                    <w:jc w:val="center"/>
                  </w:pPr>
                  <w:r>
                    <w:rPr>
                      <w:rFonts w:cs="EB Garamond"/>
                      <w:b/>
                      <w:color w:val="2F2923"/>
                      <w:kern w:val="16"/>
                      <w:sz w:val="16"/>
                      <w14:ligatures w14:val="standardContextual"/>
                    </w:rPr>
                    <w:t>Fundamento</w:t>
                  </w:r>
                </w:p>
              </w:tc>
            </w:tr>
            <w:tr w:rsidR="005A5FCC" w14:paraId="273E5E02"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70BD65F9" w14:textId="77777777" w:rsidR="005A5FCC" w:rsidRDefault="00A21C81">
                  <w:pPr>
                    <w:spacing w:before="20" w:after="20" w:line="240" w:lineRule="auto"/>
                    <w:jc w:val="left"/>
                  </w:pPr>
                  <w:r>
                    <w:rPr>
                      <w:rFonts w:cs="EB Garamond"/>
                      <w:kern w:val="16"/>
                      <w:sz w:val="16"/>
                      <w14:ligatures w14:val="standardContextual"/>
                    </w:rPr>
                    <w:t>Pré-Lei 9.876/1999</w:t>
                  </w:r>
                </w:p>
              </w:tc>
              <w:tc>
                <w:tcPr>
                  <w:tcW w:w="1587" w:type="dxa"/>
                  <w:tcBorders>
                    <w:top w:val="single" w:sz="4" w:space="0" w:color="D2C9B8"/>
                    <w:left w:val="single" w:sz="4" w:space="0" w:color="D2C9B8"/>
                    <w:bottom w:val="single" w:sz="4" w:space="0" w:color="D2C9B8"/>
                    <w:right w:val="single" w:sz="4" w:space="0" w:color="D2C9B8"/>
                  </w:tcBorders>
                </w:tcPr>
                <w:p w14:paraId="2CFDEF4E" w14:textId="77777777" w:rsidR="005A5FCC" w:rsidRDefault="00A21C81">
                  <w:pPr>
                    <w:spacing w:before="20" w:after="20" w:line="240" w:lineRule="auto"/>
                    <w:jc w:val="left"/>
                  </w:pPr>
                  <w:r>
                    <w:rPr>
                      <w:rFonts w:cs="EB Garamond"/>
                      <w:kern w:val="16"/>
                      <w:sz w:val="16"/>
                      <w14:ligatures w14:val="standardContextual"/>
                    </w:rPr>
                    <w:t>36 últimos SC</w:t>
                  </w:r>
                </w:p>
              </w:tc>
              <w:tc>
                <w:tcPr>
                  <w:tcW w:w="1587" w:type="dxa"/>
                  <w:tcBorders>
                    <w:top w:val="single" w:sz="4" w:space="0" w:color="D2C9B8"/>
                    <w:left w:val="single" w:sz="4" w:space="0" w:color="D2C9B8"/>
                    <w:bottom w:val="single" w:sz="4" w:space="0" w:color="D2C9B8"/>
                    <w:right w:val="single" w:sz="4" w:space="0" w:color="D2C9B8"/>
                  </w:tcBorders>
                </w:tcPr>
                <w:p w14:paraId="24D241E7" w14:textId="77777777" w:rsidR="005A5FCC" w:rsidRDefault="00A21C81">
                  <w:pPr>
                    <w:spacing w:before="20" w:after="20" w:line="240" w:lineRule="auto"/>
                    <w:jc w:val="left"/>
                  </w:pPr>
                  <w:r>
                    <w:rPr>
                      <w:rFonts w:cs="EB Garamond"/>
                      <w:kern w:val="16"/>
                      <w:sz w:val="16"/>
                      <w14:ligatures w14:val="standardContextual"/>
                    </w:rPr>
                    <w:t>Média dos 36 últimos SC, corrigidos monetariamente</w:t>
                  </w:r>
                </w:p>
              </w:tc>
              <w:tc>
                <w:tcPr>
                  <w:tcW w:w="1587" w:type="dxa"/>
                  <w:tcBorders>
                    <w:top w:val="single" w:sz="4" w:space="0" w:color="D2C9B8"/>
                    <w:left w:val="single" w:sz="4" w:space="0" w:color="D2C9B8"/>
                    <w:bottom w:val="single" w:sz="4" w:space="0" w:color="D2C9B8"/>
                    <w:right w:val="single" w:sz="4" w:space="0" w:color="D2C9B8"/>
                  </w:tcBorders>
                </w:tcPr>
                <w:p w14:paraId="31370818" w14:textId="77777777" w:rsidR="005A5FCC" w:rsidRDefault="00A21C81">
                  <w:pPr>
                    <w:spacing w:before="20" w:after="20" w:line="240" w:lineRule="auto"/>
                    <w:jc w:val="left"/>
                  </w:pPr>
                  <w:r>
                    <w:rPr>
                      <w:rFonts w:cs="EB Garamond"/>
                      <w:kern w:val="16"/>
                      <w:sz w:val="16"/>
                      <w14:ligatures w14:val="standardContextual"/>
                    </w:rPr>
                    <w:t>Art. 29, Lei 8.213/91 (redação original)</w:t>
                  </w:r>
                </w:p>
              </w:tc>
            </w:tr>
            <w:tr w:rsidR="005A5FCC" w14:paraId="5B28D516"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1EA92BAD" w14:textId="77777777" w:rsidR="005A5FCC" w:rsidRDefault="00A21C81">
                  <w:pPr>
                    <w:spacing w:before="20" w:after="20" w:line="240" w:lineRule="auto"/>
                    <w:jc w:val="left"/>
                  </w:pPr>
                  <w:r>
                    <w:rPr>
                      <w:rFonts w:cs="EB Garamond"/>
                      <w:kern w:val="16"/>
                      <w:sz w:val="16"/>
                      <w14:ligatures w14:val="standardContextual"/>
                    </w:rPr>
                    <w:t>Lei 9.876/1999 até EC 103 (nov/1999 a nov/2019)</w:t>
                  </w:r>
                </w:p>
              </w:tc>
              <w:tc>
                <w:tcPr>
                  <w:tcW w:w="1587" w:type="dxa"/>
                  <w:tcBorders>
                    <w:top w:val="single" w:sz="4" w:space="0" w:color="D2C9B8"/>
                    <w:left w:val="single" w:sz="4" w:space="0" w:color="D2C9B8"/>
                    <w:bottom w:val="single" w:sz="4" w:space="0" w:color="D2C9B8"/>
                    <w:right w:val="single" w:sz="4" w:space="0" w:color="D2C9B8"/>
                  </w:tcBorders>
                </w:tcPr>
                <w:p w14:paraId="5AFD411F" w14:textId="77777777" w:rsidR="005A5FCC" w:rsidRDefault="00A21C81">
                  <w:pPr>
                    <w:spacing w:before="20" w:after="20" w:line="240" w:lineRule="auto"/>
                    <w:jc w:val="left"/>
                  </w:pPr>
                  <w:r>
                    <w:rPr>
                      <w:rFonts w:cs="EB Garamond"/>
                      <w:kern w:val="16"/>
                      <w:sz w:val="16"/>
                      <w14:ligatures w14:val="standardContextual"/>
                    </w:rPr>
                    <w:t>SC desde jul/1994</w:t>
                  </w:r>
                </w:p>
              </w:tc>
              <w:tc>
                <w:tcPr>
                  <w:tcW w:w="1587" w:type="dxa"/>
                  <w:tcBorders>
                    <w:top w:val="single" w:sz="4" w:space="0" w:color="D2C9B8"/>
                    <w:left w:val="single" w:sz="4" w:space="0" w:color="D2C9B8"/>
                    <w:bottom w:val="single" w:sz="4" w:space="0" w:color="D2C9B8"/>
                    <w:right w:val="single" w:sz="4" w:space="0" w:color="D2C9B8"/>
                  </w:tcBorders>
                </w:tcPr>
                <w:p w14:paraId="40B821B8" w14:textId="77777777" w:rsidR="005A5FCC" w:rsidRDefault="00A21C81">
                  <w:pPr>
                    <w:spacing w:before="20" w:after="20" w:line="240" w:lineRule="auto"/>
                    <w:jc w:val="left"/>
                  </w:pPr>
                  <w:r>
                    <w:rPr>
                      <w:rFonts w:cs="EB Garamond"/>
                      <w:kern w:val="16"/>
                      <w:sz w:val="16"/>
                      <w14:ligatures w14:val="standardContextual"/>
                    </w:rPr>
                    <w:t>Média dos 80% maiores SC</w:t>
                  </w:r>
                </w:p>
              </w:tc>
              <w:tc>
                <w:tcPr>
                  <w:tcW w:w="1587" w:type="dxa"/>
                  <w:tcBorders>
                    <w:top w:val="single" w:sz="4" w:space="0" w:color="D2C9B8"/>
                    <w:left w:val="single" w:sz="4" w:space="0" w:color="D2C9B8"/>
                    <w:bottom w:val="single" w:sz="4" w:space="0" w:color="D2C9B8"/>
                    <w:right w:val="single" w:sz="4" w:space="0" w:color="D2C9B8"/>
                  </w:tcBorders>
                </w:tcPr>
                <w:p w14:paraId="72F2796A" w14:textId="77777777" w:rsidR="005A5FCC" w:rsidRDefault="00A21C81">
                  <w:pPr>
                    <w:spacing w:before="20" w:after="20" w:line="240" w:lineRule="auto"/>
                    <w:jc w:val="left"/>
                  </w:pPr>
                  <w:r>
                    <w:rPr>
                      <w:rFonts w:cs="EB Garamond"/>
                      <w:kern w:val="16"/>
                      <w:sz w:val="16"/>
                      <w14:ligatures w14:val="standardContextual"/>
                    </w:rPr>
                    <w:t>Art. 29, I e II, Lei 8.213/91 (redação Lei 9.876/99)</w:t>
                  </w:r>
                </w:p>
              </w:tc>
            </w:tr>
            <w:tr w:rsidR="005A5FCC" w14:paraId="2E510AA5"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48839751" w14:textId="77777777" w:rsidR="005A5FCC" w:rsidRDefault="00A21C81">
                  <w:pPr>
                    <w:spacing w:before="20" w:after="20" w:line="240" w:lineRule="auto"/>
                    <w:jc w:val="left"/>
                  </w:pPr>
                  <w:r>
                    <w:rPr>
                      <w:rFonts w:cs="EB Garamond"/>
                      <w:kern w:val="16"/>
                      <w:sz w:val="16"/>
                      <w14:ligatures w14:val="standardContextual"/>
                    </w:rPr>
                    <w:t>Pós-EC 103 (a partir de 13/11/2019)</w:t>
                  </w:r>
                </w:p>
              </w:tc>
              <w:tc>
                <w:tcPr>
                  <w:tcW w:w="1587" w:type="dxa"/>
                  <w:tcBorders>
                    <w:top w:val="single" w:sz="4" w:space="0" w:color="D2C9B8"/>
                    <w:left w:val="single" w:sz="4" w:space="0" w:color="D2C9B8"/>
                    <w:bottom w:val="single" w:sz="4" w:space="0" w:color="D2C9B8"/>
                    <w:right w:val="single" w:sz="4" w:space="0" w:color="D2C9B8"/>
                  </w:tcBorders>
                </w:tcPr>
                <w:p w14:paraId="7B50CE99" w14:textId="77777777" w:rsidR="005A5FCC" w:rsidRDefault="00A21C81">
                  <w:pPr>
                    <w:spacing w:before="20" w:after="20" w:line="240" w:lineRule="auto"/>
                    <w:jc w:val="left"/>
                  </w:pPr>
                  <w:r>
                    <w:rPr>
                      <w:rFonts w:cs="EB Garamond"/>
                      <w:kern w:val="16"/>
                      <w:sz w:val="16"/>
                      <w14:ligatures w14:val="standardContextual"/>
                    </w:rPr>
                    <w:t>SC desde jul/1994</w:t>
                  </w:r>
                </w:p>
              </w:tc>
              <w:tc>
                <w:tcPr>
                  <w:tcW w:w="1587" w:type="dxa"/>
                  <w:tcBorders>
                    <w:top w:val="single" w:sz="4" w:space="0" w:color="D2C9B8"/>
                    <w:left w:val="single" w:sz="4" w:space="0" w:color="D2C9B8"/>
                    <w:bottom w:val="single" w:sz="4" w:space="0" w:color="D2C9B8"/>
                    <w:right w:val="single" w:sz="4" w:space="0" w:color="D2C9B8"/>
                  </w:tcBorders>
                </w:tcPr>
                <w:p w14:paraId="6612AB0E" w14:textId="77777777" w:rsidR="005A5FCC" w:rsidRDefault="00A21C81">
                  <w:pPr>
                    <w:spacing w:before="20" w:after="20" w:line="240" w:lineRule="auto"/>
                    <w:jc w:val="left"/>
                  </w:pPr>
                  <w:r>
                    <w:rPr>
                      <w:rFonts w:cs="EB Garamond"/>
                      <w:kern w:val="16"/>
                      <w:sz w:val="16"/>
                      <w14:ligatures w14:val="standardContextual"/>
                    </w:rPr>
                    <w:t>Média de 100% dos SC</w:t>
                  </w:r>
                </w:p>
              </w:tc>
              <w:tc>
                <w:tcPr>
                  <w:tcW w:w="1587" w:type="dxa"/>
                  <w:tcBorders>
                    <w:top w:val="single" w:sz="4" w:space="0" w:color="D2C9B8"/>
                    <w:left w:val="single" w:sz="4" w:space="0" w:color="D2C9B8"/>
                    <w:bottom w:val="single" w:sz="4" w:space="0" w:color="D2C9B8"/>
                    <w:right w:val="single" w:sz="4" w:space="0" w:color="D2C9B8"/>
                  </w:tcBorders>
                </w:tcPr>
                <w:p w14:paraId="75393271" w14:textId="77777777" w:rsidR="005A5FCC" w:rsidRDefault="00A21C81">
                  <w:pPr>
                    <w:spacing w:before="20" w:after="20" w:line="240" w:lineRule="auto"/>
                    <w:jc w:val="left"/>
                  </w:pPr>
                  <w:r>
                    <w:rPr>
                      <w:rFonts w:cs="EB Garamond"/>
                      <w:kern w:val="16"/>
                      <w:sz w:val="16"/>
                      <w14:ligatures w14:val="standardContextual"/>
                    </w:rPr>
                    <w:t>Art. 26, EC 103/2019</w:t>
                  </w:r>
                </w:p>
              </w:tc>
            </w:tr>
            <w:tr w:rsidR="005A5FCC" w14:paraId="2ED1EF5B"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76121D80" w14:textId="77777777" w:rsidR="005A5FCC" w:rsidRDefault="00A21C81">
                  <w:pPr>
                    <w:spacing w:before="20" w:after="20" w:line="240" w:lineRule="auto"/>
                    <w:jc w:val="left"/>
                  </w:pPr>
                  <w:r>
                    <w:rPr>
                      <w:rFonts w:cs="EB Garamond"/>
                      <w:kern w:val="16"/>
                      <w:sz w:val="16"/>
                      <w14:ligatures w14:val="standardContextual"/>
                    </w:rPr>
                    <w:t>Pós-EC 103 com exclusão (art. 26, §6º)</w:t>
                  </w:r>
                </w:p>
              </w:tc>
              <w:tc>
                <w:tcPr>
                  <w:tcW w:w="1587" w:type="dxa"/>
                  <w:tcBorders>
                    <w:top w:val="single" w:sz="4" w:space="0" w:color="D2C9B8"/>
                    <w:left w:val="single" w:sz="4" w:space="0" w:color="D2C9B8"/>
                    <w:bottom w:val="single" w:sz="4" w:space="0" w:color="D2C9B8"/>
                    <w:right w:val="single" w:sz="4" w:space="0" w:color="D2C9B8"/>
                  </w:tcBorders>
                </w:tcPr>
                <w:p w14:paraId="3002B53B" w14:textId="77777777" w:rsidR="005A5FCC" w:rsidRDefault="00A21C81">
                  <w:pPr>
                    <w:spacing w:before="20" w:after="20" w:line="240" w:lineRule="auto"/>
                    <w:jc w:val="left"/>
                  </w:pPr>
                  <w:r>
                    <w:rPr>
                      <w:rFonts w:cs="EB Garamond"/>
                      <w:kern w:val="16"/>
                      <w:sz w:val="16"/>
                      <w14:ligatures w14:val="standardContextual"/>
                    </w:rPr>
                    <w:t>SC desde jul/1994</w:t>
                  </w:r>
                </w:p>
              </w:tc>
              <w:tc>
                <w:tcPr>
                  <w:tcW w:w="1587" w:type="dxa"/>
                  <w:tcBorders>
                    <w:top w:val="single" w:sz="4" w:space="0" w:color="D2C9B8"/>
                    <w:left w:val="single" w:sz="4" w:space="0" w:color="D2C9B8"/>
                    <w:bottom w:val="single" w:sz="4" w:space="0" w:color="D2C9B8"/>
                    <w:right w:val="single" w:sz="4" w:space="0" w:color="D2C9B8"/>
                  </w:tcBorders>
                </w:tcPr>
                <w:p w14:paraId="72EF6A7A" w14:textId="77777777" w:rsidR="005A5FCC" w:rsidRDefault="00A21C81">
                  <w:pPr>
                    <w:spacing w:before="20" w:after="20" w:line="240" w:lineRule="auto"/>
                    <w:jc w:val="left"/>
                  </w:pPr>
                  <w:r>
                    <w:rPr>
                      <w:rFonts w:cs="EB Garamond"/>
                      <w:kern w:val="16"/>
                      <w:sz w:val="16"/>
                      <w14:ligatures w14:val="standardContextual"/>
                    </w:rPr>
                    <w:t>Média de 100%, excluídas contribuições que reduzam o SB, mantido o TC mínimo</w:t>
                  </w:r>
                </w:p>
              </w:tc>
              <w:tc>
                <w:tcPr>
                  <w:tcW w:w="1587" w:type="dxa"/>
                  <w:tcBorders>
                    <w:top w:val="single" w:sz="4" w:space="0" w:color="D2C9B8"/>
                    <w:left w:val="single" w:sz="4" w:space="0" w:color="D2C9B8"/>
                    <w:bottom w:val="single" w:sz="4" w:space="0" w:color="D2C9B8"/>
                    <w:right w:val="single" w:sz="4" w:space="0" w:color="D2C9B8"/>
                  </w:tcBorders>
                </w:tcPr>
                <w:p w14:paraId="65D4C68D" w14:textId="77777777" w:rsidR="005A5FCC" w:rsidRDefault="00A21C81">
                  <w:pPr>
                    <w:spacing w:before="20" w:after="20" w:line="240" w:lineRule="auto"/>
                    <w:jc w:val="left"/>
                  </w:pPr>
                  <w:r>
                    <w:rPr>
                      <w:rFonts w:cs="EB Garamond"/>
                      <w:kern w:val="16"/>
                      <w:sz w:val="16"/>
                      <w14:ligatures w14:val="standardContextual"/>
                    </w:rPr>
                    <w:t>Art. 26, §6º, EC 103/2019</w:t>
                  </w:r>
                </w:p>
              </w:tc>
            </w:tr>
            <w:tr w:rsidR="005A5FCC" w14:paraId="17466CF6"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46D8519F" w14:textId="77777777" w:rsidR="005A5FCC" w:rsidRDefault="00A21C81">
                  <w:pPr>
                    <w:spacing w:before="20" w:after="20" w:line="240" w:lineRule="auto"/>
                    <w:jc w:val="left"/>
                  </w:pPr>
                  <w:r>
                    <w:rPr>
                      <w:rFonts w:cs="EB Garamond"/>
                      <w:kern w:val="16"/>
                      <w:sz w:val="16"/>
                      <w14:ligatures w14:val="standardContextual"/>
                    </w:rPr>
                    <w:t>Divisor mínimo (Lei 14.331/2022)</w:t>
                  </w:r>
                </w:p>
              </w:tc>
              <w:tc>
                <w:tcPr>
                  <w:tcW w:w="1587" w:type="dxa"/>
                  <w:tcBorders>
                    <w:top w:val="single" w:sz="4" w:space="0" w:color="D2C9B8"/>
                    <w:left w:val="single" w:sz="4" w:space="0" w:color="D2C9B8"/>
                    <w:bottom w:val="single" w:sz="4" w:space="0" w:color="D2C9B8"/>
                    <w:right w:val="single" w:sz="4" w:space="0" w:color="D2C9B8"/>
                  </w:tcBorders>
                </w:tcPr>
                <w:p w14:paraId="73C01940" w14:textId="77777777" w:rsidR="005A5FCC" w:rsidRDefault="00A21C81">
                  <w:pPr>
                    <w:spacing w:before="20" w:after="20" w:line="240" w:lineRule="auto"/>
                    <w:jc w:val="left"/>
                  </w:pPr>
                  <w:r>
                    <w:rPr>
                      <w:rFonts w:cs="EB Garamond"/>
                      <w:kern w:val="16"/>
                      <w:sz w:val="16"/>
                      <w14:ligatures w14:val="standardContextual"/>
                    </w:rPr>
                    <w:t>SC desde jul/1994</w:t>
                  </w:r>
                </w:p>
              </w:tc>
              <w:tc>
                <w:tcPr>
                  <w:tcW w:w="1587" w:type="dxa"/>
                  <w:tcBorders>
                    <w:top w:val="single" w:sz="4" w:space="0" w:color="D2C9B8"/>
                    <w:left w:val="single" w:sz="4" w:space="0" w:color="D2C9B8"/>
                    <w:bottom w:val="single" w:sz="4" w:space="0" w:color="D2C9B8"/>
                    <w:right w:val="single" w:sz="4" w:space="0" w:color="D2C9B8"/>
                  </w:tcBorders>
                </w:tcPr>
                <w:p w14:paraId="2B9599F2" w14:textId="77777777" w:rsidR="005A5FCC" w:rsidRDefault="00A21C81">
                  <w:pPr>
                    <w:spacing w:before="20" w:after="20" w:line="240" w:lineRule="auto"/>
                    <w:jc w:val="left"/>
                  </w:pPr>
                  <w:r>
                    <w:rPr>
                      <w:rFonts w:cs="EB Garamond"/>
                      <w:kern w:val="16"/>
                      <w:sz w:val="16"/>
                      <w14:ligatures w14:val="standardContextual"/>
                    </w:rPr>
                    <w:t>Divisor não inferior a 108 meses</w:t>
                  </w:r>
                </w:p>
              </w:tc>
              <w:tc>
                <w:tcPr>
                  <w:tcW w:w="1587" w:type="dxa"/>
                  <w:tcBorders>
                    <w:top w:val="single" w:sz="4" w:space="0" w:color="D2C9B8"/>
                    <w:left w:val="single" w:sz="4" w:space="0" w:color="D2C9B8"/>
                    <w:bottom w:val="single" w:sz="4" w:space="0" w:color="D2C9B8"/>
                    <w:right w:val="single" w:sz="4" w:space="0" w:color="D2C9B8"/>
                  </w:tcBorders>
                </w:tcPr>
                <w:p w14:paraId="253FAFC2" w14:textId="77777777" w:rsidR="005A5FCC" w:rsidRDefault="00A21C81">
                  <w:pPr>
                    <w:spacing w:before="20" w:after="20" w:line="240" w:lineRule="auto"/>
                    <w:jc w:val="left"/>
                  </w:pPr>
                  <w:r>
                    <w:rPr>
                      <w:rFonts w:cs="EB Garamond"/>
                      <w:kern w:val="16"/>
                      <w:sz w:val="16"/>
                      <w14:ligatures w14:val="standardContextual"/>
                    </w:rPr>
                    <w:t>Art. 29, §10, Lei 8.213/91 (Lei 14.331/2022)</w:t>
                  </w:r>
                </w:p>
              </w:tc>
            </w:tr>
          </w:tbl>
          <w:p w14:paraId="03CED7C9" w14:textId="77777777" w:rsidR="005A5FCC" w:rsidRDefault="005A5FCC"/>
          <w:p w14:paraId="3138F943" w14:textId="77777777" w:rsidR="005A5FCC" w:rsidRDefault="005A5FCC">
            <w:pPr>
              <w:spacing w:after="0" w:line="240" w:lineRule="auto"/>
            </w:pPr>
          </w:p>
        </w:tc>
      </w:tr>
    </w:tbl>
    <w:p w14:paraId="50CDB96C" w14:textId="77777777" w:rsidR="005A5FCC" w:rsidRDefault="005A5FCC">
      <w:pPr>
        <w:spacing w:after="80" w:line="240" w:lineRule="auto"/>
      </w:pPr>
    </w:p>
    <w:tbl>
      <w:tblPr>
        <w:tblW w:w="5000" w:type="pct"/>
        <w:jc w:val="center"/>
        <w:tblLayout w:type="fixed"/>
        <w:tblLook w:val="04A0" w:firstRow="1" w:lastRow="0" w:firstColumn="1" w:lastColumn="0" w:noHBand="0" w:noVBand="1"/>
      </w:tblPr>
      <w:tblGrid>
        <w:gridCol w:w="6311"/>
      </w:tblGrid>
      <w:tr w:rsidR="005A5FCC" w14:paraId="0D861064" w14:textId="77777777">
        <w:trPr>
          <w:cantSplit/>
          <w:jc w:val="center"/>
        </w:trPr>
        <w:tc>
          <w:tcPr>
            <w:tcW w:w="6350" w:type="dxa"/>
            <w:tcBorders>
              <w:top w:val="single" w:sz="7" w:space="0" w:color="A09882"/>
              <w:left w:val="single" w:sz="24" w:space="0" w:color="6B6256"/>
              <w:bottom w:val="single" w:sz="7" w:space="0" w:color="A09882"/>
              <w:right w:val="single" w:sz="7" w:space="0" w:color="A09882"/>
            </w:tcBorders>
            <w:shd w:val="clear" w:color="auto" w:fill="F5F3EF"/>
            <w:tcMar>
              <w:top w:w="150" w:type="dxa"/>
              <w:left w:w="220" w:type="dxa"/>
              <w:bottom w:w="150" w:type="dxa"/>
              <w:right w:w="180" w:type="dxa"/>
            </w:tcMar>
          </w:tcPr>
          <w:p w14:paraId="7F4F4710" w14:textId="77777777" w:rsidR="005A5FCC" w:rsidRDefault="00A21C81">
            <w:pPr>
              <w:spacing w:after="60" w:line="240" w:lineRule="auto"/>
              <w:jc w:val="left"/>
            </w:pPr>
            <w:r>
              <w:rPr>
                <w:rFonts w:ascii="Noto Sans" w:hAnsi="Noto Sans" w:cs="Noto Sans"/>
                <w:b/>
                <w:caps/>
                <w:color w:val="6B6256"/>
                <w:kern w:val="16"/>
                <w:sz w:val="16"/>
                <w14:ligatures w14:val="standardContextual"/>
              </w:rPr>
              <w:lastRenderedPageBreak/>
              <w:t>QUADRO</w:t>
            </w:r>
          </w:p>
          <w:p w14:paraId="1F66210F" w14:textId="77777777" w:rsidR="005A5FCC" w:rsidRDefault="00A21C81">
            <w:pPr>
              <w:spacing w:after="60" w:line="247" w:lineRule="auto"/>
            </w:pPr>
            <w:r>
              <w:rPr>
                <w:rFonts w:cs="EB Garamond"/>
                <w:b/>
                <w:kern w:val="16"/>
                <w:sz w:val="19"/>
                <w14:ligatures w14:val="standardContextual"/>
              </w:rPr>
              <w:t>Quadro 16.5 — Fator Previdenciário: Quando Se Aplica</w:t>
            </w:r>
          </w:p>
          <w:tbl>
            <w:tblPr>
              <w:tblW w:w="5000" w:type="pct"/>
              <w:jc w:val="center"/>
              <w:tblLook w:val="04A0" w:firstRow="1" w:lastRow="0" w:firstColumn="1" w:lastColumn="0" w:noHBand="0" w:noVBand="1"/>
            </w:tblPr>
            <w:tblGrid>
              <w:gridCol w:w="1967"/>
              <w:gridCol w:w="1967"/>
              <w:gridCol w:w="1967"/>
            </w:tblGrid>
            <w:tr w:rsidR="005A5FCC" w14:paraId="65C05DC5" w14:textId="77777777">
              <w:trPr>
                <w:tblHeader/>
                <w:jc w:val="center"/>
              </w:trPr>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2C0EF3D3" w14:textId="77777777" w:rsidR="005A5FCC" w:rsidRDefault="00A21C81">
                  <w:pPr>
                    <w:spacing w:before="30" w:after="30" w:line="240" w:lineRule="auto"/>
                    <w:jc w:val="center"/>
                  </w:pPr>
                  <w:r>
                    <w:rPr>
                      <w:rFonts w:cs="EB Garamond"/>
                      <w:b/>
                      <w:color w:val="2F2923"/>
                      <w:kern w:val="16"/>
                      <w:sz w:val="16"/>
                      <w14:ligatures w14:val="standardContextual"/>
                    </w:rPr>
                    <w:t>Situação</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54ACA20B" w14:textId="77777777" w:rsidR="005A5FCC" w:rsidRDefault="00A21C81">
                  <w:pPr>
                    <w:spacing w:before="30" w:after="30" w:line="240" w:lineRule="auto"/>
                    <w:jc w:val="center"/>
                  </w:pPr>
                  <w:r>
                    <w:rPr>
                      <w:rFonts w:cs="EB Garamond"/>
                      <w:b/>
                      <w:color w:val="2F2923"/>
                      <w:kern w:val="16"/>
                      <w:sz w:val="16"/>
                      <w14:ligatures w14:val="standardContextual"/>
                    </w:rPr>
                    <w:t>Aplica fator?</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7DD16944" w14:textId="77777777" w:rsidR="005A5FCC" w:rsidRDefault="00A21C81">
                  <w:pPr>
                    <w:spacing w:before="30" w:after="30" w:line="240" w:lineRule="auto"/>
                    <w:jc w:val="center"/>
                  </w:pPr>
                  <w:r>
                    <w:rPr>
                      <w:rFonts w:cs="EB Garamond"/>
                      <w:b/>
                      <w:color w:val="2F2923"/>
                      <w:kern w:val="16"/>
                      <w:sz w:val="16"/>
                      <w14:ligatures w14:val="standardContextual"/>
                    </w:rPr>
                    <w:t>Fundamento</w:t>
                  </w:r>
                </w:p>
              </w:tc>
            </w:tr>
            <w:tr w:rsidR="005A5FCC" w14:paraId="3DE31ED9"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1FDA4960" w14:textId="77777777" w:rsidR="005A5FCC" w:rsidRDefault="00A21C81">
                  <w:pPr>
                    <w:spacing w:before="20" w:after="20" w:line="240" w:lineRule="auto"/>
                    <w:jc w:val="left"/>
                  </w:pPr>
                  <w:r>
                    <w:rPr>
                      <w:rFonts w:cs="EB Garamond"/>
                      <w:kern w:val="16"/>
                      <w:sz w:val="16"/>
                      <w14:ligatures w14:val="standardContextual"/>
                    </w:rPr>
                    <w:t>Aposentadoria por tempo de contribuição (direito adquirido pré-EC 103)</w:t>
                  </w:r>
                </w:p>
              </w:tc>
              <w:tc>
                <w:tcPr>
                  <w:tcW w:w="2117" w:type="dxa"/>
                  <w:tcBorders>
                    <w:top w:val="single" w:sz="4" w:space="0" w:color="D2C9B8"/>
                    <w:left w:val="single" w:sz="4" w:space="0" w:color="D2C9B8"/>
                    <w:bottom w:val="single" w:sz="4" w:space="0" w:color="D2C9B8"/>
                    <w:right w:val="single" w:sz="4" w:space="0" w:color="D2C9B8"/>
                  </w:tcBorders>
                </w:tcPr>
                <w:p w14:paraId="143DB68D" w14:textId="77777777" w:rsidR="005A5FCC" w:rsidRDefault="00A21C81">
                  <w:pPr>
                    <w:spacing w:before="20" w:after="20" w:line="240" w:lineRule="auto"/>
                    <w:jc w:val="left"/>
                  </w:pPr>
                  <w:r>
                    <w:rPr>
                      <w:rFonts w:cs="EB Garamond"/>
                      <w:kern w:val="16"/>
                      <w:sz w:val="16"/>
                      <w14:ligatures w14:val="standardContextual"/>
                    </w:rPr>
                    <w:t>Obrigatório (salvo regra 85/95)</w:t>
                  </w:r>
                </w:p>
              </w:tc>
              <w:tc>
                <w:tcPr>
                  <w:tcW w:w="2117" w:type="dxa"/>
                  <w:tcBorders>
                    <w:top w:val="single" w:sz="4" w:space="0" w:color="D2C9B8"/>
                    <w:left w:val="single" w:sz="4" w:space="0" w:color="D2C9B8"/>
                    <w:bottom w:val="single" w:sz="4" w:space="0" w:color="D2C9B8"/>
                    <w:right w:val="single" w:sz="4" w:space="0" w:color="D2C9B8"/>
                  </w:tcBorders>
                </w:tcPr>
                <w:p w14:paraId="1E910E6D" w14:textId="77777777" w:rsidR="005A5FCC" w:rsidRDefault="00A21C81">
                  <w:pPr>
                    <w:spacing w:before="20" w:after="20" w:line="240" w:lineRule="auto"/>
                    <w:jc w:val="left"/>
                  </w:pPr>
                  <w:r>
                    <w:rPr>
                      <w:rFonts w:cs="EB Garamond"/>
                      <w:kern w:val="16"/>
                      <w:sz w:val="16"/>
                      <w14:ligatures w14:val="standardContextual"/>
                    </w:rPr>
                    <w:t>Art. 29, I, Lei 8.213/91</w:t>
                  </w:r>
                </w:p>
              </w:tc>
            </w:tr>
            <w:tr w:rsidR="005A5FCC" w14:paraId="283ECC1B"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4D234DF6" w14:textId="77777777" w:rsidR="005A5FCC" w:rsidRDefault="00A21C81">
                  <w:pPr>
                    <w:spacing w:before="20" w:after="20" w:line="240" w:lineRule="auto"/>
                    <w:jc w:val="left"/>
                  </w:pPr>
                  <w:r>
                    <w:rPr>
                      <w:rFonts w:cs="EB Garamond"/>
                      <w:kern w:val="16"/>
                      <w:sz w:val="16"/>
                      <w14:ligatures w14:val="standardContextual"/>
                    </w:rPr>
                    <w:t>Regra de transição, pedágio 50% (art. 17, EC 103)</w:t>
                  </w:r>
                </w:p>
              </w:tc>
              <w:tc>
                <w:tcPr>
                  <w:tcW w:w="2117" w:type="dxa"/>
                  <w:tcBorders>
                    <w:top w:val="single" w:sz="4" w:space="0" w:color="D2C9B8"/>
                    <w:left w:val="single" w:sz="4" w:space="0" w:color="D2C9B8"/>
                    <w:bottom w:val="single" w:sz="4" w:space="0" w:color="D2C9B8"/>
                    <w:right w:val="single" w:sz="4" w:space="0" w:color="D2C9B8"/>
                  </w:tcBorders>
                </w:tcPr>
                <w:p w14:paraId="5E72BC1E" w14:textId="77777777" w:rsidR="005A5FCC" w:rsidRDefault="00A21C81">
                  <w:pPr>
                    <w:spacing w:before="20" w:after="20" w:line="240" w:lineRule="auto"/>
                    <w:jc w:val="left"/>
                  </w:pPr>
                  <w:r>
                    <w:rPr>
                      <w:rFonts w:cs="EB Garamond"/>
                      <w:kern w:val="16"/>
                      <w:sz w:val="16"/>
                      <w14:ligatures w14:val="standardContextual"/>
                    </w:rPr>
                    <w:t>Obrigatório</w:t>
                  </w:r>
                </w:p>
              </w:tc>
              <w:tc>
                <w:tcPr>
                  <w:tcW w:w="2117" w:type="dxa"/>
                  <w:tcBorders>
                    <w:top w:val="single" w:sz="4" w:space="0" w:color="D2C9B8"/>
                    <w:left w:val="single" w:sz="4" w:space="0" w:color="D2C9B8"/>
                    <w:bottom w:val="single" w:sz="4" w:space="0" w:color="D2C9B8"/>
                    <w:right w:val="single" w:sz="4" w:space="0" w:color="D2C9B8"/>
                  </w:tcBorders>
                </w:tcPr>
                <w:p w14:paraId="72A7BE5C" w14:textId="77777777" w:rsidR="005A5FCC" w:rsidRDefault="00A21C81">
                  <w:pPr>
                    <w:spacing w:before="20" w:after="20" w:line="240" w:lineRule="auto"/>
                    <w:jc w:val="left"/>
                  </w:pPr>
                  <w:r>
                    <w:rPr>
                      <w:rFonts w:cs="EB Garamond"/>
                      <w:kern w:val="16"/>
                      <w:sz w:val="16"/>
                      <w14:ligatures w14:val="standardContextual"/>
                    </w:rPr>
                    <w:t>Art. 17, caput, EC 103</w:t>
                  </w:r>
                </w:p>
              </w:tc>
            </w:tr>
            <w:tr w:rsidR="005A5FCC" w14:paraId="4D9DA5FB"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0C28E4E1" w14:textId="77777777" w:rsidR="005A5FCC" w:rsidRDefault="00A21C81">
                  <w:pPr>
                    <w:spacing w:before="20" w:after="20" w:line="240" w:lineRule="auto"/>
                    <w:jc w:val="left"/>
                  </w:pPr>
                  <w:r>
                    <w:rPr>
                      <w:rFonts w:cs="EB Garamond"/>
                      <w:kern w:val="16"/>
                      <w:sz w:val="16"/>
                      <w14:ligatures w14:val="standardContextual"/>
                    </w:rPr>
                    <w:t>Aposentadoria por idade (direito adquirido pré-EC 103)</w:t>
                  </w:r>
                </w:p>
              </w:tc>
              <w:tc>
                <w:tcPr>
                  <w:tcW w:w="2117" w:type="dxa"/>
                  <w:tcBorders>
                    <w:top w:val="single" w:sz="4" w:space="0" w:color="D2C9B8"/>
                    <w:left w:val="single" w:sz="4" w:space="0" w:color="D2C9B8"/>
                    <w:bottom w:val="single" w:sz="4" w:space="0" w:color="D2C9B8"/>
                    <w:right w:val="single" w:sz="4" w:space="0" w:color="D2C9B8"/>
                  </w:tcBorders>
                </w:tcPr>
                <w:p w14:paraId="17E140A4" w14:textId="77777777" w:rsidR="005A5FCC" w:rsidRDefault="00A21C81">
                  <w:pPr>
                    <w:spacing w:before="20" w:after="20" w:line="240" w:lineRule="auto"/>
                    <w:jc w:val="left"/>
                  </w:pPr>
                  <w:r>
                    <w:rPr>
                      <w:rFonts w:cs="EB Garamond"/>
                      <w:kern w:val="16"/>
                      <w:sz w:val="16"/>
                      <w14:ligatures w14:val="standardContextual"/>
                    </w:rPr>
                    <w:t>Opcional (aplica-se se mais vantajoso)</w:t>
                  </w:r>
                </w:p>
              </w:tc>
              <w:tc>
                <w:tcPr>
                  <w:tcW w:w="2117" w:type="dxa"/>
                  <w:tcBorders>
                    <w:top w:val="single" w:sz="4" w:space="0" w:color="D2C9B8"/>
                    <w:left w:val="single" w:sz="4" w:space="0" w:color="D2C9B8"/>
                    <w:bottom w:val="single" w:sz="4" w:space="0" w:color="D2C9B8"/>
                    <w:right w:val="single" w:sz="4" w:space="0" w:color="D2C9B8"/>
                  </w:tcBorders>
                </w:tcPr>
                <w:p w14:paraId="37799032" w14:textId="77777777" w:rsidR="005A5FCC" w:rsidRDefault="00A21C81">
                  <w:pPr>
                    <w:spacing w:before="20" w:after="20" w:line="240" w:lineRule="auto"/>
                    <w:jc w:val="left"/>
                  </w:pPr>
                  <w:r>
                    <w:rPr>
                      <w:rFonts w:cs="EB Garamond"/>
                      <w:kern w:val="16"/>
                      <w:sz w:val="16"/>
                      <w14:ligatures w14:val="standardContextual"/>
                    </w:rPr>
                    <w:t>Art. 7º, Lei 9.876/1999</w:t>
                  </w:r>
                </w:p>
              </w:tc>
            </w:tr>
            <w:tr w:rsidR="005A5FCC" w14:paraId="524C278D"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33F56387" w14:textId="77777777" w:rsidR="005A5FCC" w:rsidRDefault="00A21C81">
                  <w:pPr>
                    <w:spacing w:before="20" w:after="20" w:line="240" w:lineRule="auto"/>
                    <w:jc w:val="left"/>
                  </w:pPr>
                  <w:r>
                    <w:rPr>
                      <w:rFonts w:cs="EB Garamond"/>
                      <w:kern w:val="16"/>
                      <w:sz w:val="16"/>
                      <w14:ligatures w14:val="standardContextual"/>
                    </w:rPr>
                    <w:t>Aposentadoria programada (regra definitiva EC 103)</w:t>
                  </w:r>
                </w:p>
              </w:tc>
              <w:tc>
                <w:tcPr>
                  <w:tcW w:w="2117" w:type="dxa"/>
                  <w:tcBorders>
                    <w:top w:val="single" w:sz="4" w:space="0" w:color="D2C9B8"/>
                    <w:left w:val="single" w:sz="4" w:space="0" w:color="D2C9B8"/>
                    <w:bottom w:val="single" w:sz="4" w:space="0" w:color="D2C9B8"/>
                    <w:right w:val="single" w:sz="4" w:space="0" w:color="D2C9B8"/>
                  </w:tcBorders>
                </w:tcPr>
                <w:p w14:paraId="67F8079C" w14:textId="77777777" w:rsidR="005A5FCC" w:rsidRDefault="00A21C81">
                  <w:pPr>
                    <w:spacing w:before="20" w:after="20" w:line="240" w:lineRule="auto"/>
                    <w:jc w:val="left"/>
                  </w:pPr>
                  <w:r>
                    <w:rPr>
                      <w:rFonts w:cs="EB Garamond"/>
                      <w:kern w:val="16"/>
                      <w:sz w:val="16"/>
                      <w14:ligatures w14:val="standardContextual"/>
                    </w:rPr>
                    <w:t>Não se aplica</w:t>
                  </w:r>
                </w:p>
              </w:tc>
              <w:tc>
                <w:tcPr>
                  <w:tcW w:w="2117" w:type="dxa"/>
                  <w:tcBorders>
                    <w:top w:val="single" w:sz="4" w:space="0" w:color="D2C9B8"/>
                    <w:left w:val="single" w:sz="4" w:space="0" w:color="D2C9B8"/>
                    <w:bottom w:val="single" w:sz="4" w:space="0" w:color="D2C9B8"/>
                    <w:right w:val="single" w:sz="4" w:space="0" w:color="D2C9B8"/>
                  </w:tcBorders>
                </w:tcPr>
                <w:p w14:paraId="3148D625" w14:textId="77777777" w:rsidR="005A5FCC" w:rsidRDefault="00A21C81">
                  <w:pPr>
                    <w:spacing w:before="20" w:after="20" w:line="240" w:lineRule="auto"/>
                    <w:jc w:val="left"/>
                  </w:pPr>
                  <w:r>
                    <w:rPr>
                      <w:rFonts w:cs="EB Garamond"/>
                      <w:kern w:val="16"/>
                      <w:sz w:val="16"/>
                      <w14:ligatures w14:val="standardContextual"/>
                    </w:rPr>
                    <w:t>Art. 26, EC 103 (coeficiente próprio substitui o fator)</w:t>
                  </w:r>
                </w:p>
              </w:tc>
            </w:tr>
            <w:tr w:rsidR="005A5FCC" w14:paraId="397F0896"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4E962B75" w14:textId="77777777" w:rsidR="005A5FCC" w:rsidRDefault="00A21C81">
                  <w:pPr>
                    <w:spacing w:before="20" w:after="20" w:line="240" w:lineRule="auto"/>
                    <w:jc w:val="left"/>
                  </w:pPr>
                  <w:r>
                    <w:rPr>
                      <w:rFonts w:cs="EB Garamond"/>
                      <w:kern w:val="16"/>
                      <w:sz w:val="16"/>
                      <w14:ligatures w14:val="standardContextual"/>
                    </w:rPr>
                    <w:t>Regras de transição, pedágio 100%, pontos, idade mínima progressiva</w:t>
                  </w:r>
                </w:p>
              </w:tc>
              <w:tc>
                <w:tcPr>
                  <w:tcW w:w="2117" w:type="dxa"/>
                  <w:tcBorders>
                    <w:top w:val="single" w:sz="4" w:space="0" w:color="D2C9B8"/>
                    <w:left w:val="single" w:sz="4" w:space="0" w:color="D2C9B8"/>
                    <w:bottom w:val="single" w:sz="4" w:space="0" w:color="D2C9B8"/>
                    <w:right w:val="single" w:sz="4" w:space="0" w:color="D2C9B8"/>
                  </w:tcBorders>
                </w:tcPr>
                <w:p w14:paraId="720DFC2C" w14:textId="77777777" w:rsidR="005A5FCC" w:rsidRDefault="00A21C81">
                  <w:pPr>
                    <w:spacing w:before="20" w:after="20" w:line="240" w:lineRule="auto"/>
                    <w:jc w:val="left"/>
                  </w:pPr>
                  <w:r>
                    <w:rPr>
                      <w:rFonts w:cs="EB Garamond"/>
                      <w:kern w:val="16"/>
                      <w:sz w:val="16"/>
                      <w14:ligatures w14:val="standardContextual"/>
                    </w:rPr>
                    <w:t>Não se aplica</w:t>
                  </w:r>
                </w:p>
              </w:tc>
              <w:tc>
                <w:tcPr>
                  <w:tcW w:w="2117" w:type="dxa"/>
                  <w:tcBorders>
                    <w:top w:val="single" w:sz="4" w:space="0" w:color="D2C9B8"/>
                    <w:left w:val="single" w:sz="4" w:space="0" w:color="D2C9B8"/>
                    <w:bottom w:val="single" w:sz="4" w:space="0" w:color="D2C9B8"/>
                    <w:right w:val="single" w:sz="4" w:space="0" w:color="D2C9B8"/>
                  </w:tcBorders>
                </w:tcPr>
                <w:p w14:paraId="1D900791" w14:textId="77777777" w:rsidR="005A5FCC" w:rsidRDefault="00A21C81">
                  <w:pPr>
                    <w:spacing w:before="20" w:after="20" w:line="240" w:lineRule="auto"/>
                    <w:jc w:val="left"/>
                  </w:pPr>
                  <w:r>
                    <w:rPr>
                      <w:rFonts w:cs="EB Garamond"/>
                      <w:kern w:val="16"/>
                      <w:sz w:val="16"/>
                      <w14:ligatures w14:val="standardContextual"/>
                    </w:rPr>
                    <w:t>Arts. 15, 16, 18, 19, 20, EC 103</w:t>
                  </w:r>
                </w:p>
              </w:tc>
            </w:tr>
            <w:tr w:rsidR="005A5FCC" w14:paraId="5D09B68D"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59794433" w14:textId="77777777" w:rsidR="005A5FCC" w:rsidRDefault="00A21C81">
                  <w:pPr>
                    <w:spacing w:before="20" w:after="20" w:line="240" w:lineRule="auto"/>
                    <w:jc w:val="left"/>
                  </w:pPr>
                  <w:r>
                    <w:rPr>
                      <w:rFonts w:cs="EB Garamond"/>
                      <w:kern w:val="16"/>
                      <w:sz w:val="16"/>
                      <w14:ligatures w14:val="standardContextual"/>
                    </w:rPr>
                    <w:t>Aposentadoria por incapacidade permanente</w:t>
                  </w:r>
                </w:p>
              </w:tc>
              <w:tc>
                <w:tcPr>
                  <w:tcW w:w="2117" w:type="dxa"/>
                  <w:tcBorders>
                    <w:top w:val="single" w:sz="4" w:space="0" w:color="D2C9B8"/>
                    <w:left w:val="single" w:sz="4" w:space="0" w:color="D2C9B8"/>
                    <w:bottom w:val="single" w:sz="4" w:space="0" w:color="D2C9B8"/>
                    <w:right w:val="single" w:sz="4" w:space="0" w:color="D2C9B8"/>
                  </w:tcBorders>
                </w:tcPr>
                <w:p w14:paraId="1C3A2CF9" w14:textId="77777777" w:rsidR="005A5FCC" w:rsidRDefault="00A21C81">
                  <w:pPr>
                    <w:spacing w:before="20" w:after="20" w:line="240" w:lineRule="auto"/>
                    <w:jc w:val="left"/>
                  </w:pPr>
                  <w:r>
                    <w:rPr>
                      <w:rFonts w:cs="EB Garamond"/>
                      <w:kern w:val="16"/>
                      <w:sz w:val="16"/>
                      <w14:ligatures w14:val="standardContextual"/>
                    </w:rPr>
                    <w:t>Não se aplica</w:t>
                  </w:r>
                </w:p>
              </w:tc>
              <w:tc>
                <w:tcPr>
                  <w:tcW w:w="2117" w:type="dxa"/>
                  <w:tcBorders>
                    <w:top w:val="single" w:sz="4" w:space="0" w:color="D2C9B8"/>
                    <w:left w:val="single" w:sz="4" w:space="0" w:color="D2C9B8"/>
                    <w:bottom w:val="single" w:sz="4" w:space="0" w:color="D2C9B8"/>
                    <w:right w:val="single" w:sz="4" w:space="0" w:color="D2C9B8"/>
                  </w:tcBorders>
                </w:tcPr>
                <w:p w14:paraId="7EDC1B21" w14:textId="77777777" w:rsidR="005A5FCC" w:rsidRDefault="00A21C81">
                  <w:pPr>
                    <w:spacing w:before="20" w:after="20" w:line="240" w:lineRule="auto"/>
                    <w:jc w:val="left"/>
                  </w:pPr>
                  <w:r>
                    <w:rPr>
                      <w:rFonts w:cs="EB Garamond"/>
                      <w:kern w:val="16"/>
                      <w:sz w:val="16"/>
                      <w14:ligatures w14:val="standardContextual"/>
                    </w:rPr>
                    <w:t>Art. 26, §3º, EC 103</w:t>
                  </w:r>
                </w:p>
              </w:tc>
            </w:tr>
            <w:tr w:rsidR="005A5FCC" w14:paraId="2EBA9882"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58AD18E9" w14:textId="77777777" w:rsidR="005A5FCC" w:rsidRDefault="00A21C81">
                  <w:pPr>
                    <w:spacing w:before="20" w:after="20" w:line="240" w:lineRule="auto"/>
                    <w:jc w:val="left"/>
                  </w:pPr>
                  <w:r>
                    <w:rPr>
                      <w:rFonts w:cs="EB Garamond"/>
                      <w:kern w:val="16"/>
                      <w:sz w:val="16"/>
                      <w14:ligatures w14:val="standardContextual"/>
                    </w:rPr>
                    <w:t>Aposentadoria especial</w:t>
                  </w:r>
                </w:p>
              </w:tc>
              <w:tc>
                <w:tcPr>
                  <w:tcW w:w="2117" w:type="dxa"/>
                  <w:tcBorders>
                    <w:top w:val="single" w:sz="4" w:space="0" w:color="D2C9B8"/>
                    <w:left w:val="single" w:sz="4" w:space="0" w:color="D2C9B8"/>
                    <w:bottom w:val="single" w:sz="4" w:space="0" w:color="D2C9B8"/>
                    <w:right w:val="single" w:sz="4" w:space="0" w:color="D2C9B8"/>
                  </w:tcBorders>
                </w:tcPr>
                <w:p w14:paraId="03A18CBF" w14:textId="77777777" w:rsidR="005A5FCC" w:rsidRDefault="00A21C81">
                  <w:pPr>
                    <w:spacing w:before="20" w:after="20" w:line="240" w:lineRule="auto"/>
                    <w:jc w:val="left"/>
                  </w:pPr>
                  <w:r>
                    <w:rPr>
                      <w:rFonts w:cs="EB Garamond"/>
                      <w:kern w:val="16"/>
                      <w:sz w:val="16"/>
                      <w14:ligatures w14:val="standardContextual"/>
                    </w:rPr>
                    <w:t>Não se aplica (pós-EC 103)</w:t>
                  </w:r>
                </w:p>
              </w:tc>
              <w:tc>
                <w:tcPr>
                  <w:tcW w:w="2117" w:type="dxa"/>
                  <w:tcBorders>
                    <w:top w:val="single" w:sz="4" w:space="0" w:color="D2C9B8"/>
                    <w:left w:val="single" w:sz="4" w:space="0" w:color="D2C9B8"/>
                    <w:bottom w:val="single" w:sz="4" w:space="0" w:color="D2C9B8"/>
                    <w:right w:val="single" w:sz="4" w:space="0" w:color="D2C9B8"/>
                  </w:tcBorders>
                </w:tcPr>
                <w:p w14:paraId="67A136A7" w14:textId="77777777" w:rsidR="005A5FCC" w:rsidRDefault="00A21C81">
                  <w:pPr>
                    <w:spacing w:before="20" w:after="20" w:line="240" w:lineRule="auto"/>
                    <w:jc w:val="left"/>
                  </w:pPr>
                  <w:r>
                    <w:rPr>
                      <w:rFonts w:cs="EB Garamond"/>
                      <w:kern w:val="16"/>
                      <w:sz w:val="16"/>
                      <w14:ligatures w14:val="standardContextual"/>
                    </w:rPr>
                    <w:t>Art. 26, §2º, EC 103</w:t>
                  </w:r>
                </w:p>
              </w:tc>
            </w:tr>
            <w:tr w:rsidR="005A5FCC" w14:paraId="0CBFD1E0"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47798606" w14:textId="77777777" w:rsidR="005A5FCC" w:rsidRDefault="00A21C81">
                  <w:pPr>
                    <w:spacing w:before="20" w:after="20" w:line="240" w:lineRule="auto"/>
                    <w:jc w:val="left"/>
                  </w:pPr>
                  <w:r>
                    <w:rPr>
                      <w:rFonts w:cs="EB Garamond"/>
                      <w:kern w:val="16"/>
                      <w:sz w:val="16"/>
                      <w14:ligatures w14:val="standardContextual"/>
                    </w:rPr>
                    <w:t>Aposentadoria da PcD (LC 142/2013)</w:t>
                  </w:r>
                </w:p>
              </w:tc>
              <w:tc>
                <w:tcPr>
                  <w:tcW w:w="2117" w:type="dxa"/>
                  <w:tcBorders>
                    <w:top w:val="single" w:sz="4" w:space="0" w:color="D2C9B8"/>
                    <w:left w:val="single" w:sz="4" w:space="0" w:color="D2C9B8"/>
                    <w:bottom w:val="single" w:sz="4" w:space="0" w:color="D2C9B8"/>
                    <w:right w:val="single" w:sz="4" w:space="0" w:color="D2C9B8"/>
                  </w:tcBorders>
                </w:tcPr>
                <w:p w14:paraId="1C176302" w14:textId="77777777" w:rsidR="005A5FCC" w:rsidRDefault="00A21C81">
                  <w:pPr>
                    <w:spacing w:before="20" w:after="20" w:line="240" w:lineRule="auto"/>
                    <w:jc w:val="left"/>
                  </w:pPr>
                  <w:r>
                    <w:rPr>
                      <w:rFonts w:cs="EB Garamond"/>
                      <w:kern w:val="16"/>
                      <w:sz w:val="16"/>
                      <w14:ligatures w14:val="standardContextual"/>
                    </w:rPr>
                    <w:t>Não se aplica</w:t>
                  </w:r>
                </w:p>
              </w:tc>
              <w:tc>
                <w:tcPr>
                  <w:tcW w:w="2117" w:type="dxa"/>
                  <w:tcBorders>
                    <w:top w:val="single" w:sz="4" w:space="0" w:color="D2C9B8"/>
                    <w:left w:val="single" w:sz="4" w:space="0" w:color="D2C9B8"/>
                    <w:bottom w:val="single" w:sz="4" w:space="0" w:color="D2C9B8"/>
                    <w:right w:val="single" w:sz="4" w:space="0" w:color="D2C9B8"/>
                  </w:tcBorders>
                </w:tcPr>
                <w:p w14:paraId="483DFA80" w14:textId="77777777" w:rsidR="005A5FCC" w:rsidRDefault="00A21C81">
                  <w:pPr>
                    <w:spacing w:before="20" w:after="20" w:line="240" w:lineRule="auto"/>
                    <w:jc w:val="left"/>
                  </w:pPr>
                  <w:r>
                    <w:rPr>
                      <w:rFonts w:cs="EB Garamond"/>
                      <w:kern w:val="16"/>
                      <w:sz w:val="16"/>
                      <w14:ligatures w14:val="standardContextual"/>
                    </w:rPr>
                    <w:t>Art. 22, EC 103 c/c art. 8º, LC 142/2013</w:t>
                  </w:r>
                </w:p>
              </w:tc>
            </w:tr>
          </w:tbl>
          <w:p w14:paraId="35E33BE4" w14:textId="77777777" w:rsidR="005A5FCC" w:rsidRDefault="005A5FCC"/>
          <w:p w14:paraId="697D7889" w14:textId="77777777" w:rsidR="005A5FCC" w:rsidRDefault="005A5FCC">
            <w:pPr>
              <w:spacing w:after="0" w:line="240" w:lineRule="auto"/>
            </w:pPr>
          </w:p>
        </w:tc>
      </w:tr>
    </w:tbl>
    <w:p w14:paraId="6B2F8007" w14:textId="77777777" w:rsidR="005A5FCC" w:rsidRDefault="005A5FCC">
      <w:pPr>
        <w:spacing w:after="80" w:line="240" w:lineRule="auto"/>
      </w:pPr>
    </w:p>
    <w:tbl>
      <w:tblPr>
        <w:tblW w:w="5000" w:type="pct"/>
        <w:jc w:val="center"/>
        <w:tblLayout w:type="fixed"/>
        <w:tblLook w:val="04A0" w:firstRow="1" w:lastRow="0" w:firstColumn="1" w:lastColumn="0" w:noHBand="0" w:noVBand="1"/>
      </w:tblPr>
      <w:tblGrid>
        <w:gridCol w:w="6311"/>
      </w:tblGrid>
      <w:tr w:rsidR="005A5FCC" w14:paraId="629164E9" w14:textId="77777777">
        <w:trPr>
          <w:cantSplit/>
          <w:jc w:val="center"/>
        </w:trPr>
        <w:tc>
          <w:tcPr>
            <w:tcW w:w="6350" w:type="dxa"/>
            <w:tcBorders>
              <w:top w:val="single" w:sz="7" w:space="0" w:color="A09882"/>
              <w:left w:val="single" w:sz="24" w:space="0" w:color="6B6256"/>
              <w:bottom w:val="single" w:sz="7" w:space="0" w:color="A09882"/>
              <w:right w:val="single" w:sz="7" w:space="0" w:color="A09882"/>
            </w:tcBorders>
            <w:shd w:val="clear" w:color="auto" w:fill="F5F3EF"/>
            <w:tcMar>
              <w:top w:w="150" w:type="dxa"/>
              <w:left w:w="220" w:type="dxa"/>
              <w:bottom w:w="150" w:type="dxa"/>
              <w:right w:w="180" w:type="dxa"/>
            </w:tcMar>
          </w:tcPr>
          <w:p w14:paraId="184F731F" w14:textId="77777777" w:rsidR="005A5FCC" w:rsidRDefault="00A21C81">
            <w:pPr>
              <w:spacing w:after="60" w:line="240" w:lineRule="auto"/>
              <w:jc w:val="left"/>
            </w:pPr>
            <w:r>
              <w:rPr>
                <w:rFonts w:ascii="Noto Sans" w:hAnsi="Noto Sans" w:cs="Noto Sans"/>
                <w:b/>
                <w:caps/>
                <w:color w:val="6B6256"/>
                <w:kern w:val="16"/>
                <w:sz w:val="16"/>
                <w14:ligatures w14:val="standardContextual"/>
              </w:rPr>
              <w:lastRenderedPageBreak/>
              <w:t>QUADRO</w:t>
            </w:r>
          </w:p>
          <w:p w14:paraId="3B00395D" w14:textId="77777777" w:rsidR="005A5FCC" w:rsidRDefault="00A21C81">
            <w:pPr>
              <w:spacing w:after="60" w:line="247" w:lineRule="auto"/>
            </w:pPr>
            <w:r>
              <w:rPr>
                <w:rFonts w:cs="EB Garamond"/>
                <w:b/>
                <w:kern w:val="16"/>
                <w:sz w:val="19"/>
                <w14:ligatures w14:val="standardContextual"/>
              </w:rPr>
              <w:t>Quadro 16.6 — Coeficiente de Cálculo por Espécie de Benefício (Pós-EC 103)</w:t>
            </w:r>
          </w:p>
          <w:tbl>
            <w:tblPr>
              <w:tblW w:w="5000" w:type="pct"/>
              <w:jc w:val="center"/>
              <w:tblLook w:val="04A0" w:firstRow="1" w:lastRow="0" w:firstColumn="1" w:lastColumn="0" w:noHBand="0" w:noVBand="1"/>
            </w:tblPr>
            <w:tblGrid>
              <w:gridCol w:w="1476"/>
              <w:gridCol w:w="1475"/>
              <w:gridCol w:w="1475"/>
              <w:gridCol w:w="1475"/>
            </w:tblGrid>
            <w:tr w:rsidR="005A5FCC" w14:paraId="5BE144B9" w14:textId="77777777">
              <w:trPr>
                <w:tblHeader/>
                <w:jc w:val="center"/>
              </w:trPr>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12A57B1B" w14:textId="77777777" w:rsidR="005A5FCC" w:rsidRDefault="00A21C81">
                  <w:pPr>
                    <w:spacing w:before="30" w:after="30" w:line="240" w:lineRule="auto"/>
                    <w:jc w:val="center"/>
                  </w:pPr>
                  <w:r>
                    <w:rPr>
                      <w:rFonts w:cs="EB Garamond"/>
                      <w:b/>
                      <w:color w:val="2F2923"/>
                      <w:kern w:val="16"/>
                      <w:sz w:val="16"/>
                      <w14:ligatures w14:val="standardContextual"/>
                    </w:rPr>
                    <w:t>Benefício</w:t>
                  </w:r>
                </w:p>
              </w:tc>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717077DF" w14:textId="77777777" w:rsidR="005A5FCC" w:rsidRDefault="00A21C81">
                  <w:pPr>
                    <w:spacing w:before="30" w:after="30" w:line="240" w:lineRule="auto"/>
                    <w:jc w:val="center"/>
                  </w:pPr>
                  <w:r>
                    <w:rPr>
                      <w:rFonts w:cs="EB Garamond"/>
                      <w:b/>
                      <w:color w:val="2F2923"/>
                      <w:kern w:val="16"/>
                      <w:sz w:val="16"/>
                      <w14:ligatures w14:val="standardContextual"/>
                    </w:rPr>
                    <w:t>Coeficiente</w:t>
                  </w:r>
                </w:p>
              </w:tc>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02B3A7A4" w14:textId="77777777" w:rsidR="005A5FCC" w:rsidRDefault="00A21C81">
                  <w:pPr>
                    <w:spacing w:before="30" w:after="30" w:line="240" w:lineRule="auto"/>
                    <w:jc w:val="center"/>
                  </w:pPr>
                  <w:r>
                    <w:rPr>
                      <w:rFonts w:cs="EB Garamond"/>
                      <w:b/>
                      <w:color w:val="2F2923"/>
                      <w:kern w:val="16"/>
                      <w:sz w:val="16"/>
                      <w14:ligatures w14:val="standardContextual"/>
                    </w:rPr>
                    <w:t>Base de cálculo (SB)</w:t>
                  </w:r>
                </w:p>
              </w:tc>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4132FB58" w14:textId="77777777" w:rsidR="005A5FCC" w:rsidRDefault="00A21C81">
                  <w:pPr>
                    <w:spacing w:before="30" w:after="30" w:line="240" w:lineRule="auto"/>
                    <w:jc w:val="center"/>
                  </w:pPr>
                  <w:r>
                    <w:rPr>
                      <w:rFonts w:cs="EB Garamond"/>
                      <w:b/>
                      <w:color w:val="2F2923"/>
                      <w:kern w:val="16"/>
                      <w:sz w:val="16"/>
                      <w14:ligatures w14:val="standardContextual"/>
                    </w:rPr>
                    <w:t>Fundamento</w:t>
                  </w:r>
                </w:p>
              </w:tc>
            </w:tr>
            <w:tr w:rsidR="005A5FCC" w14:paraId="56F3CEF0"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6C16514F" w14:textId="77777777" w:rsidR="005A5FCC" w:rsidRDefault="00A21C81">
                  <w:pPr>
                    <w:spacing w:before="20" w:after="20" w:line="240" w:lineRule="auto"/>
                    <w:jc w:val="left"/>
                  </w:pPr>
                  <w:r>
                    <w:rPr>
                      <w:rFonts w:cs="EB Garamond"/>
                      <w:kern w:val="16"/>
                      <w:sz w:val="16"/>
                      <w14:ligatures w14:val="standardContextual"/>
                    </w:rPr>
                    <w:t>Aposentadoria programada</w:t>
                  </w:r>
                </w:p>
              </w:tc>
              <w:tc>
                <w:tcPr>
                  <w:tcW w:w="1587" w:type="dxa"/>
                  <w:tcBorders>
                    <w:top w:val="single" w:sz="4" w:space="0" w:color="D2C9B8"/>
                    <w:left w:val="single" w:sz="4" w:space="0" w:color="D2C9B8"/>
                    <w:bottom w:val="single" w:sz="4" w:space="0" w:color="D2C9B8"/>
                    <w:right w:val="single" w:sz="4" w:space="0" w:color="D2C9B8"/>
                  </w:tcBorders>
                </w:tcPr>
                <w:p w14:paraId="2F3A3751" w14:textId="77777777" w:rsidR="005A5FCC" w:rsidRDefault="00A21C81">
                  <w:pPr>
                    <w:spacing w:before="20" w:after="20" w:line="240" w:lineRule="auto"/>
                    <w:jc w:val="left"/>
                  </w:pPr>
                  <w:r>
                    <w:rPr>
                      <w:rFonts w:cs="EB Garamond"/>
                      <w:kern w:val="16"/>
                      <w:sz w:val="16"/>
                      <w14:ligatures w14:val="standardContextual"/>
                    </w:rPr>
                    <w:t>60% + 2% por ano acima de 20H/15M</w:t>
                  </w:r>
                </w:p>
              </w:tc>
              <w:tc>
                <w:tcPr>
                  <w:tcW w:w="1587" w:type="dxa"/>
                  <w:tcBorders>
                    <w:top w:val="single" w:sz="4" w:space="0" w:color="D2C9B8"/>
                    <w:left w:val="single" w:sz="4" w:space="0" w:color="D2C9B8"/>
                    <w:bottom w:val="single" w:sz="4" w:space="0" w:color="D2C9B8"/>
                    <w:right w:val="single" w:sz="4" w:space="0" w:color="D2C9B8"/>
                  </w:tcBorders>
                </w:tcPr>
                <w:p w14:paraId="6768DC64" w14:textId="77777777" w:rsidR="005A5FCC" w:rsidRDefault="00A21C81">
                  <w:pPr>
                    <w:spacing w:before="20" w:after="20" w:line="240" w:lineRule="auto"/>
                    <w:jc w:val="left"/>
                  </w:pPr>
                  <w:r>
                    <w:rPr>
                      <w:rFonts w:cs="EB Garamond"/>
                      <w:kern w:val="16"/>
                      <w:sz w:val="16"/>
                      <w14:ligatures w14:val="standardContextual"/>
                    </w:rPr>
                    <w:t>Média 100% dos SC</w:t>
                  </w:r>
                </w:p>
              </w:tc>
              <w:tc>
                <w:tcPr>
                  <w:tcW w:w="1587" w:type="dxa"/>
                  <w:tcBorders>
                    <w:top w:val="single" w:sz="4" w:space="0" w:color="D2C9B8"/>
                    <w:left w:val="single" w:sz="4" w:space="0" w:color="D2C9B8"/>
                    <w:bottom w:val="single" w:sz="4" w:space="0" w:color="D2C9B8"/>
                    <w:right w:val="single" w:sz="4" w:space="0" w:color="D2C9B8"/>
                  </w:tcBorders>
                </w:tcPr>
                <w:p w14:paraId="3CDBCA7C" w14:textId="77777777" w:rsidR="005A5FCC" w:rsidRDefault="00A21C81">
                  <w:pPr>
                    <w:spacing w:before="20" w:after="20" w:line="240" w:lineRule="auto"/>
                    <w:jc w:val="left"/>
                  </w:pPr>
                  <w:r>
                    <w:rPr>
                      <w:rFonts w:cs="EB Garamond"/>
                      <w:kern w:val="16"/>
                      <w:sz w:val="16"/>
                      <w14:ligatures w14:val="standardContextual"/>
                    </w:rPr>
                    <w:t>Art. 26, §2º, EC 103</w:t>
                  </w:r>
                </w:p>
              </w:tc>
            </w:tr>
            <w:tr w:rsidR="005A5FCC" w14:paraId="2D623FAA"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6256A97F" w14:textId="77777777" w:rsidR="005A5FCC" w:rsidRDefault="00A21C81">
                  <w:pPr>
                    <w:spacing w:before="20" w:after="20" w:line="240" w:lineRule="auto"/>
                    <w:jc w:val="left"/>
                  </w:pPr>
                  <w:r>
                    <w:rPr>
                      <w:rFonts w:cs="EB Garamond"/>
                      <w:kern w:val="16"/>
                      <w:sz w:val="16"/>
                      <w14:ligatures w14:val="standardContextual"/>
                    </w:rPr>
                    <w:t>Aposentadoria por incapacidade permanente (comum)</w:t>
                  </w:r>
                </w:p>
              </w:tc>
              <w:tc>
                <w:tcPr>
                  <w:tcW w:w="1587" w:type="dxa"/>
                  <w:tcBorders>
                    <w:top w:val="single" w:sz="4" w:space="0" w:color="D2C9B8"/>
                    <w:left w:val="single" w:sz="4" w:space="0" w:color="D2C9B8"/>
                    <w:bottom w:val="single" w:sz="4" w:space="0" w:color="D2C9B8"/>
                    <w:right w:val="single" w:sz="4" w:space="0" w:color="D2C9B8"/>
                  </w:tcBorders>
                </w:tcPr>
                <w:p w14:paraId="31B164F3" w14:textId="77777777" w:rsidR="005A5FCC" w:rsidRDefault="00A21C81">
                  <w:pPr>
                    <w:spacing w:before="20" w:after="20" w:line="240" w:lineRule="auto"/>
                    <w:jc w:val="left"/>
                  </w:pPr>
                  <w:r>
                    <w:rPr>
                      <w:rFonts w:cs="EB Garamond"/>
                      <w:kern w:val="16"/>
                      <w:sz w:val="16"/>
                      <w14:ligatures w14:val="standardContextual"/>
                    </w:rPr>
                    <w:t>60% + 2% por ano acima de 20H/15M</w:t>
                  </w:r>
                </w:p>
              </w:tc>
              <w:tc>
                <w:tcPr>
                  <w:tcW w:w="1587" w:type="dxa"/>
                  <w:tcBorders>
                    <w:top w:val="single" w:sz="4" w:space="0" w:color="D2C9B8"/>
                    <w:left w:val="single" w:sz="4" w:space="0" w:color="D2C9B8"/>
                    <w:bottom w:val="single" w:sz="4" w:space="0" w:color="D2C9B8"/>
                    <w:right w:val="single" w:sz="4" w:space="0" w:color="D2C9B8"/>
                  </w:tcBorders>
                </w:tcPr>
                <w:p w14:paraId="7D7A82C2" w14:textId="77777777" w:rsidR="005A5FCC" w:rsidRDefault="00A21C81">
                  <w:pPr>
                    <w:spacing w:before="20" w:after="20" w:line="240" w:lineRule="auto"/>
                    <w:jc w:val="left"/>
                  </w:pPr>
                  <w:r>
                    <w:rPr>
                      <w:rFonts w:cs="EB Garamond"/>
                      <w:kern w:val="16"/>
                      <w:sz w:val="16"/>
                      <w14:ligatures w14:val="standardContextual"/>
                    </w:rPr>
                    <w:t>Média 100% dos SC</w:t>
                  </w:r>
                </w:p>
              </w:tc>
              <w:tc>
                <w:tcPr>
                  <w:tcW w:w="1587" w:type="dxa"/>
                  <w:tcBorders>
                    <w:top w:val="single" w:sz="4" w:space="0" w:color="D2C9B8"/>
                    <w:left w:val="single" w:sz="4" w:space="0" w:color="D2C9B8"/>
                    <w:bottom w:val="single" w:sz="4" w:space="0" w:color="D2C9B8"/>
                    <w:right w:val="single" w:sz="4" w:space="0" w:color="D2C9B8"/>
                  </w:tcBorders>
                </w:tcPr>
                <w:p w14:paraId="5FF74D6D" w14:textId="77777777" w:rsidR="005A5FCC" w:rsidRDefault="00A21C81">
                  <w:pPr>
                    <w:spacing w:before="20" w:after="20" w:line="240" w:lineRule="auto"/>
                    <w:jc w:val="left"/>
                  </w:pPr>
                  <w:r>
                    <w:rPr>
                      <w:rFonts w:cs="EB Garamond"/>
                      <w:kern w:val="16"/>
                      <w:sz w:val="16"/>
                      <w14:ligatures w14:val="standardContextual"/>
                    </w:rPr>
                    <w:t>Art. 26, § 2º, III, EC 103</w:t>
                  </w:r>
                </w:p>
              </w:tc>
            </w:tr>
            <w:tr w:rsidR="005A5FCC" w14:paraId="0EE2A9C4"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2D313A45" w14:textId="77777777" w:rsidR="005A5FCC" w:rsidRDefault="00A21C81">
                  <w:pPr>
                    <w:spacing w:before="20" w:after="20" w:line="240" w:lineRule="auto"/>
                    <w:jc w:val="left"/>
                  </w:pPr>
                  <w:r>
                    <w:rPr>
                      <w:rFonts w:cs="EB Garamond"/>
                      <w:kern w:val="16"/>
                      <w:sz w:val="16"/>
                      <w14:ligatures w14:val="standardContextual"/>
                    </w:rPr>
                    <w:t>Aposentadoria por incapacidade permanente (acidentária)</w:t>
                  </w:r>
                </w:p>
              </w:tc>
              <w:tc>
                <w:tcPr>
                  <w:tcW w:w="1587" w:type="dxa"/>
                  <w:tcBorders>
                    <w:top w:val="single" w:sz="4" w:space="0" w:color="D2C9B8"/>
                    <w:left w:val="single" w:sz="4" w:space="0" w:color="D2C9B8"/>
                    <w:bottom w:val="single" w:sz="4" w:space="0" w:color="D2C9B8"/>
                    <w:right w:val="single" w:sz="4" w:space="0" w:color="D2C9B8"/>
                  </w:tcBorders>
                </w:tcPr>
                <w:p w14:paraId="549536EA" w14:textId="77777777" w:rsidR="005A5FCC" w:rsidRDefault="00A21C81">
                  <w:pPr>
                    <w:spacing w:before="20" w:after="20" w:line="240" w:lineRule="auto"/>
                    <w:jc w:val="left"/>
                  </w:pPr>
                  <w:r>
                    <w:rPr>
                      <w:rFonts w:cs="EB Garamond"/>
                      <w:kern w:val="16"/>
                      <w:sz w:val="16"/>
                      <w14:ligatures w14:val="standardContextual"/>
                    </w:rPr>
                    <w:t>100%</w:t>
                  </w:r>
                </w:p>
              </w:tc>
              <w:tc>
                <w:tcPr>
                  <w:tcW w:w="1587" w:type="dxa"/>
                  <w:tcBorders>
                    <w:top w:val="single" w:sz="4" w:space="0" w:color="D2C9B8"/>
                    <w:left w:val="single" w:sz="4" w:space="0" w:color="D2C9B8"/>
                    <w:bottom w:val="single" w:sz="4" w:space="0" w:color="D2C9B8"/>
                    <w:right w:val="single" w:sz="4" w:space="0" w:color="D2C9B8"/>
                  </w:tcBorders>
                </w:tcPr>
                <w:p w14:paraId="7B68A4A4" w14:textId="77777777" w:rsidR="005A5FCC" w:rsidRDefault="00A21C81">
                  <w:pPr>
                    <w:spacing w:before="20" w:after="20" w:line="240" w:lineRule="auto"/>
                    <w:jc w:val="left"/>
                  </w:pPr>
                  <w:r>
                    <w:rPr>
                      <w:rFonts w:cs="EB Garamond"/>
                      <w:kern w:val="16"/>
                      <w:sz w:val="16"/>
                      <w14:ligatures w14:val="standardContextual"/>
                    </w:rPr>
                    <w:t>Média 100% dos SC</w:t>
                  </w:r>
                </w:p>
              </w:tc>
              <w:tc>
                <w:tcPr>
                  <w:tcW w:w="1587" w:type="dxa"/>
                  <w:tcBorders>
                    <w:top w:val="single" w:sz="4" w:space="0" w:color="D2C9B8"/>
                    <w:left w:val="single" w:sz="4" w:space="0" w:color="D2C9B8"/>
                    <w:bottom w:val="single" w:sz="4" w:space="0" w:color="D2C9B8"/>
                    <w:right w:val="single" w:sz="4" w:space="0" w:color="D2C9B8"/>
                  </w:tcBorders>
                </w:tcPr>
                <w:p w14:paraId="78812E85" w14:textId="77777777" w:rsidR="005A5FCC" w:rsidRDefault="00A21C81">
                  <w:pPr>
                    <w:spacing w:before="20" w:after="20" w:line="240" w:lineRule="auto"/>
                    <w:jc w:val="left"/>
                  </w:pPr>
                  <w:r>
                    <w:rPr>
                      <w:rFonts w:cs="EB Garamond"/>
                      <w:kern w:val="16"/>
                      <w:sz w:val="16"/>
                      <w14:ligatures w14:val="standardContextual"/>
                    </w:rPr>
                    <w:t>Art. 26, §3º, II, EC 103</w:t>
                  </w:r>
                </w:p>
              </w:tc>
            </w:tr>
            <w:tr w:rsidR="005A5FCC" w14:paraId="7FFD12F3"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28978B03" w14:textId="77777777" w:rsidR="005A5FCC" w:rsidRDefault="00A21C81">
                  <w:pPr>
                    <w:spacing w:before="20" w:after="20" w:line="240" w:lineRule="auto"/>
                    <w:jc w:val="left"/>
                  </w:pPr>
                  <w:r>
                    <w:rPr>
                      <w:rFonts w:cs="EB Garamond"/>
                      <w:kern w:val="16"/>
                      <w:sz w:val="16"/>
                      <w14:ligatures w14:val="standardContextual"/>
                    </w:rPr>
                    <w:t>Aposentadoria especial</w:t>
                  </w:r>
                </w:p>
              </w:tc>
              <w:tc>
                <w:tcPr>
                  <w:tcW w:w="1587" w:type="dxa"/>
                  <w:tcBorders>
                    <w:top w:val="single" w:sz="4" w:space="0" w:color="D2C9B8"/>
                    <w:left w:val="single" w:sz="4" w:space="0" w:color="D2C9B8"/>
                    <w:bottom w:val="single" w:sz="4" w:space="0" w:color="D2C9B8"/>
                    <w:right w:val="single" w:sz="4" w:space="0" w:color="D2C9B8"/>
                  </w:tcBorders>
                </w:tcPr>
                <w:p w14:paraId="58BCBE84" w14:textId="77777777" w:rsidR="005A5FCC" w:rsidRDefault="00A21C81">
                  <w:pPr>
                    <w:spacing w:before="20" w:after="20" w:line="240" w:lineRule="auto"/>
                    <w:jc w:val="left"/>
                  </w:pPr>
                  <w:r>
                    <w:rPr>
                      <w:rFonts w:cs="EB Garamond"/>
                      <w:kern w:val="16"/>
                      <w:sz w:val="16"/>
                      <w14:ligatures w14:val="standardContextual"/>
                    </w:rPr>
                    <w:t>60% + 2% por ano acima de 20H/15M</w:t>
                  </w:r>
                </w:p>
              </w:tc>
              <w:tc>
                <w:tcPr>
                  <w:tcW w:w="1587" w:type="dxa"/>
                  <w:tcBorders>
                    <w:top w:val="single" w:sz="4" w:space="0" w:color="D2C9B8"/>
                    <w:left w:val="single" w:sz="4" w:space="0" w:color="D2C9B8"/>
                    <w:bottom w:val="single" w:sz="4" w:space="0" w:color="D2C9B8"/>
                    <w:right w:val="single" w:sz="4" w:space="0" w:color="D2C9B8"/>
                  </w:tcBorders>
                </w:tcPr>
                <w:p w14:paraId="5BE5B248" w14:textId="77777777" w:rsidR="005A5FCC" w:rsidRDefault="00A21C81">
                  <w:pPr>
                    <w:spacing w:before="20" w:after="20" w:line="240" w:lineRule="auto"/>
                    <w:jc w:val="left"/>
                  </w:pPr>
                  <w:r>
                    <w:rPr>
                      <w:rFonts w:cs="EB Garamond"/>
                      <w:kern w:val="16"/>
                      <w:sz w:val="16"/>
                      <w14:ligatures w14:val="standardContextual"/>
                    </w:rPr>
                    <w:t>Média 100% dos SC</w:t>
                  </w:r>
                </w:p>
              </w:tc>
              <w:tc>
                <w:tcPr>
                  <w:tcW w:w="1587" w:type="dxa"/>
                  <w:tcBorders>
                    <w:top w:val="single" w:sz="4" w:space="0" w:color="D2C9B8"/>
                    <w:left w:val="single" w:sz="4" w:space="0" w:color="D2C9B8"/>
                    <w:bottom w:val="single" w:sz="4" w:space="0" w:color="D2C9B8"/>
                    <w:right w:val="single" w:sz="4" w:space="0" w:color="D2C9B8"/>
                  </w:tcBorders>
                </w:tcPr>
                <w:p w14:paraId="15F55651" w14:textId="77777777" w:rsidR="005A5FCC" w:rsidRDefault="00A21C81">
                  <w:pPr>
                    <w:spacing w:before="20" w:after="20" w:line="240" w:lineRule="auto"/>
                    <w:jc w:val="left"/>
                  </w:pPr>
                  <w:r>
                    <w:rPr>
                      <w:rFonts w:cs="EB Garamond"/>
                      <w:kern w:val="16"/>
                      <w:sz w:val="16"/>
                      <w14:ligatures w14:val="standardContextual"/>
                    </w:rPr>
                    <w:t>Art. 26, §2º, EC 103</w:t>
                  </w:r>
                </w:p>
              </w:tc>
            </w:tr>
            <w:tr w:rsidR="005A5FCC" w14:paraId="37A1274B"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2ACCF6F4" w14:textId="77777777" w:rsidR="005A5FCC" w:rsidRDefault="00A21C81">
                  <w:pPr>
                    <w:spacing w:before="20" w:after="20" w:line="240" w:lineRule="auto"/>
                    <w:jc w:val="left"/>
                  </w:pPr>
                  <w:r>
                    <w:rPr>
                      <w:rFonts w:cs="EB Garamond"/>
                      <w:kern w:val="16"/>
                      <w:sz w:val="16"/>
                      <w14:ligatures w14:val="standardContextual"/>
                    </w:rPr>
                    <w:t>Aposentadoria PcD (LC 142/2013)</w:t>
                  </w:r>
                </w:p>
              </w:tc>
              <w:tc>
                <w:tcPr>
                  <w:tcW w:w="1587" w:type="dxa"/>
                  <w:tcBorders>
                    <w:top w:val="single" w:sz="4" w:space="0" w:color="D2C9B8"/>
                    <w:left w:val="single" w:sz="4" w:space="0" w:color="D2C9B8"/>
                    <w:bottom w:val="single" w:sz="4" w:space="0" w:color="D2C9B8"/>
                    <w:right w:val="single" w:sz="4" w:space="0" w:color="D2C9B8"/>
                  </w:tcBorders>
                </w:tcPr>
                <w:p w14:paraId="142AC017" w14:textId="77777777" w:rsidR="005A5FCC" w:rsidRDefault="00A21C81">
                  <w:pPr>
                    <w:spacing w:before="20" w:after="20" w:line="240" w:lineRule="auto"/>
                    <w:jc w:val="left"/>
                  </w:pPr>
                  <w:r>
                    <w:rPr>
                      <w:rFonts w:cs="EB Garamond"/>
                      <w:kern w:val="16"/>
                      <w:sz w:val="16"/>
                      <w14:ligatures w14:val="standardContextual"/>
                    </w:rPr>
                    <w:t>100%</w:t>
                  </w:r>
                </w:p>
              </w:tc>
              <w:tc>
                <w:tcPr>
                  <w:tcW w:w="1587" w:type="dxa"/>
                  <w:tcBorders>
                    <w:top w:val="single" w:sz="4" w:space="0" w:color="D2C9B8"/>
                    <w:left w:val="single" w:sz="4" w:space="0" w:color="D2C9B8"/>
                    <w:bottom w:val="single" w:sz="4" w:space="0" w:color="D2C9B8"/>
                    <w:right w:val="single" w:sz="4" w:space="0" w:color="D2C9B8"/>
                  </w:tcBorders>
                </w:tcPr>
                <w:p w14:paraId="4717F6D7" w14:textId="77777777" w:rsidR="005A5FCC" w:rsidRDefault="00A21C81">
                  <w:pPr>
                    <w:spacing w:before="20" w:after="20" w:line="240" w:lineRule="auto"/>
                    <w:jc w:val="left"/>
                  </w:pPr>
                  <w:r>
                    <w:rPr>
                      <w:rFonts w:cs="EB Garamond"/>
                      <w:kern w:val="16"/>
                      <w:sz w:val="16"/>
                      <w14:ligatures w14:val="standardContextual"/>
                    </w:rPr>
                    <w:t>Média 100% dos SC (sem fator)</w:t>
                  </w:r>
                </w:p>
              </w:tc>
              <w:tc>
                <w:tcPr>
                  <w:tcW w:w="1587" w:type="dxa"/>
                  <w:tcBorders>
                    <w:top w:val="single" w:sz="4" w:space="0" w:color="D2C9B8"/>
                    <w:left w:val="single" w:sz="4" w:space="0" w:color="D2C9B8"/>
                    <w:bottom w:val="single" w:sz="4" w:space="0" w:color="D2C9B8"/>
                    <w:right w:val="single" w:sz="4" w:space="0" w:color="D2C9B8"/>
                  </w:tcBorders>
                </w:tcPr>
                <w:p w14:paraId="7D6570B1" w14:textId="77777777" w:rsidR="005A5FCC" w:rsidRDefault="00A21C81">
                  <w:pPr>
                    <w:spacing w:before="20" w:after="20" w:line="240" w:lineRule="auto"/>
                    <w:jc w:val="left"/>
                  </w:pPr>
                  <w:r>
                    <w:rPr>
                      <w:rFonts w:cs="EB Garamond"/>
                      <w:kern w:val="16"/>
                      <w:sz w:val="16"/>
                      <w14:ligatures w14:val="standardContextual"/>
                    </w:rPr>
                    <w:t>Art. 22, EC 103</w:t>
                  </w:r>
                </w:p>
              </w:tc>
            </w:tr>
            <w:tr w:rsidR="005A5FCC" w14:paraId="2539186D"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3C6D3ECA" w14:textId="77777777" w:rsidR="005A5FCC" w:rsidRDefault="00A21C81">
                  <w:pPr>
                    <w:spacing w:before="20" w:after="20" w:line="240" w:lineRule="auto"/>
                    <w:jc w:val="left"/>
                  </w:pPr>
                  <w:r>
                    <w:rPr>
                      <w:rFonts w:cs="EB Garamond"/>
                      <w:kern w:val="16"/>
                      <w:sz w:val="16"/>
                      <w14:ligatures w14:val="standardContextual"/>
                    </w:rPr>
                    <w:t>Aposentadoria do professor</w:t>
                  </w:r>
                </w:p>
              </w:tc>
              <w:tc>
                <w:tcPr>
                  <w:tcW w:w="1587" w:type="dxa"/>
                  <w:tcBorders>
                    <w:top w:val="single" w:sz="4" w:space="0" w:color="D2C9B8"/>
                    <w:left w:val="single" w:sz="4" w:space="0" w:color="D2C9B8"/>
                    <w:bottom w:val="single" w:sz="4" w:space="0" w:color="D2C9B8"/>
                    <w:right w:val="single" w:sz="4" w:space="0" w:color="D2C9B8"/>
                  </w:tcBorders>
                </w:tcPr>
                <w:p w14:paraId="460E9D5B" w14:textId="77777777" w:rsidR="005A5FCC" w:rsidRDefault="00A21C81">
                  <w:pPr>
                    <w:spacing w:before="20" w:after="20" w:line="240" w:lineRule="auto"/>
                    <w:jc w:val="left"/>
                  </w:pPr>
                  <w:r>
                    <w:rPr>
                      <w:rFonts w:cs="EB Garamond"/>
                      <w:kern w:val="16"/>
                      <w:sz w:val="16"/>
                      <w14:ligatures w14:val="standardContextual"/>
                    </w:rPr>
                    <w:t>60% + 2% por ano acima de 25H/20M</w:t>
                  </w:r>
                </w:p>
              </w:tc>
              <w:tc>
                <w:tcPr>
                  <w:tcW w:w="1587" w:type="dxa"/>
                  <w:tcBorders>
                    <w:top w:val="single" w:sz="4" w:space="0" w:color="D2C9B8"/>
                    <w:left w:val="single" w:sz="4" w:space="0" w:color="D2C9B8"/>
                    <w:bottom w:val="single" w:sz="4" w:space="0" w:color="D2C9B8"/>
                    <w:right w:val="single" w:sz="4" w:space="0" w:color="D2C9B8"/>
                  </w:tcBorders>
                </w:tcPr>
                <w:p w14:paraId="39B77AF5" w14:textId="77777777" w:rsidR="005A5FCC" w:rsidRDefault="00A21C81">
                  <w:pPr>
                    <w:spacing w:before="20" w:after="20" w:line="240" w:lineRule="auto"/>
                    <w:jc w:val="left"/>
                  </w:pPr>
                  <w:r>
                    <w:rPr>
                      <w:rFonts w:cs="EB Garamond"/>
                      <w:kern w:val="16"/>
                      <w:sz w:val="16"/>
                      <w14:ligatures w14:val="standardContextual"/>
                    </w:rPr>
                    <w:t>Média 100% dos SC</w:t>
                  </w:r>
                </w:p>
              </w:tc>
              <w:tc>
                <w:tcPr>
                  <w:tcW w:w="1587" w:type="dxa"/>
                  <w:tcBorders>
                    <w:top w:val="single" w:sz="4" w:space="0" w:color="D2C9B8"/>
                    <w:left w:val="single" w:sz="4" w:space="0" w:color="D2C9B8"/>
                    <w:bottom w:val="single" w:sz="4" w:space="0" w:color="D2C9B8"/>
                    <w:right w:val="single" w:sz="4" w:space="0" w:color="D2C9B8"/>
                  </w:tcBorders>
                </w:tcPr>
                <w:p w14:paraId="4EF4ED1C" w14:textId="77777777" w:rsidR="005A5FCC" w:rsidRDefault="00A21C81">
                  <w:pPr>
                    <w:spacing w:before="20" w:after="20" w:line="240" w:lineRule="auto"/>
                    <w:jc w:val="left"/>
                  </w:pPr>
                  <w:r>
                    <w:rPr>
                      <w:rFonts w:cs="EB Garamond"/>
                      <w:kern w:val="16"/>
                      <w:sz w:val="16"/>
                      <w14:ligatures w14:val="standardContextual"/>
                    </w:rPr>
                    <w:t>Art. 26, §5º, EC 103</w:t>
                  </w:r>
                </w:p>
              </w:tc>
            </w:tr>
            <w:tr w:rsidR="005A5FCC" w14:paraId="325F8480"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1A6ACB7E" w14:textId="77777777" w:rsidR="005A5FCC" w:rsidRDefault="00A21C81">
                  <w:pPr>
                    <w:spacing w:before="20" w:after="20" w:line="240" w:lineRule="auto"/>
                    <w:jc w:val="left"/>
                  </w:pPr>
                  <w:r>
                    <w:rPr>
                      <w:rFonts w:cs="EB Garamond"/>
                      <w:kern w:val="16"/>
                      <w:sz w:val="16"/>
                      <w14:ligatures w14:val="standardContextual"/>
                    </w:rPr>
                    <w:t>Auxílio por incapacidade temporária</w:t>
                  </w:r>
                </w:p>
              </w:tc>
              <w:tc>
                <w:tcPr>
                  <w:tcW w:w="1587" w:type="dxa"/>
                  <w:tcBorders>
                    <w:top w:val="single" w:sz="4" w:space="0" w:color="D2C9B8"/>
                    <w:left w:val="single" w:sz="4" w:space="0" w:color="D2C9B8"/>
                    <w:bottom w:val="single" w:sz="4" w:space="0" w:color="D2C9B8"/>
                    <w:right w:val="single" w:sz="4" w:space="0" w:color="D2C9B8"/>
                  </w:tcBorders>
                </w:tcPr>
                <w:p w14:paraId="0E0D559A" w14:textId="77777777" w:rsidR="005A5FCC" w:rsidRDefault="00A21C81">
                  <w:pPr>
                    <w:spacing w:before="20" w:after="20" w:line="240" w:lineRule="auto"/>
                    <w:jc w:val="left"/>
                  </w:pPr>
                  <w:r>
                    <w:rPr>
                      <w:rFonts w:cs="EB Garamond"/>
                      <w:kern w:val="16"/>
                      <w:sz w:val="16"/>
                      <w14:ligatures w14:val="standardContextual"/>
                    </w:rPr>
                    <w:t>91% do SB</w:t>
                  </w:r>
                </w:p>
              </w:tc>
              <w:tc>
                <w:tcPr>
                  <w:tcW w:w="1587" w:type="dxa"/>
                  <w:tcBorders>
                    <w:top w:val="single" w:sz="4" w:space="0" w:color="D2C9B8"/>
                    <w:left w:val="single" w:sz="4" w:space="0" w:color="D2C9B8"/>
                    <w:bottom w:val="single" w:sz="4" w:space="0" w:color="D2C9B8"/>
                    <w:right w:val="single" w:sz="4" w:space="0" w:color="D2C9B8"/>
                  </w:tcBorders>
                </w:tcPr>
                <w:p w14:paraId="3099AA98" w14:textId="77777777" w:rsidR="005A5FCC" w:rsidRDefault="00A21C81">
                  <w:pPr>
                    <w:spacing w:before="20" w:after="20" w:line="240" w:lineRule="auto"/>
                    <w:jc w:val="left"/>
                  </w:pPr>
                  <w:r>
                    <w:rPr>
                      <w:rFonts w:cs="EB Garamond"/>
                      <w:kern w:val="16"/>
                      <w:sz w:val="16"/>
                      <w14:ligatures w14:val="standardContextual"/>
                    </w:rPr>
                    <w:t>Média 100% dos SC</w:t>
                  </w:r>
                </w:p>
              </w:tc>
              <w:tc>
                <w:tcPr>
                  <w:tcW w:w="1587" w:type="dxa"/>
                  <w:tcBorders>
                    <w:top w:val="single" w:sz="4" w:space="0" w:color="D2C9B8"/>
                    <w:left w:val="single" w:sz="4" w:space="0" w:color="D2C9B8"/>
                    <w:bottom w:val="single" w:sz="4" w:space="0" w:color="D2C9B8"/>
                    <w:right w:val="single" w:sz="4" w:space="0" w:color="D2C9B8"/>
                  </w:tcBorders>
                </w:tcPr>
                <w:p w14:paraId="12326529" w14:textId="77777777" w:rsidR="005A5FCC" w:rsidRDefault="00A21C81">
                  <w:pPr>
                    <w:spacing w:before="20" w:after="20" w:line="240" w:lineRule="auto"/>
                    <w:jc w:val="left"/>
                  </w:pPr>
                  <w:r>
                    <w:rPr>
                      <w:rFonts w:cs="EB Garamond"/>
                      <w:kern w:val="16"/>
                      <w:sz w:val="16"/>
                      <w14:ligatures w14:val="standardContextual"/>
                    </w:rPr>
                    <w:t>Art. 61, Lei 8.213/91</w:t>
                  </w:r>
                </w:p>
              </w:tc>
            </w:tr>
            <w:tr w:rsidR="005A5FCC" w14:paraId="444AE909"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156AFB98" w14:textId="77777777" w:rsidR="005A5FCC" w:rsidRDefault="00A21C81">
                  <w:pPr>
                    <w:spacing w:before="20" w:after="20" w:line="240" w:lineRule="auto"/>
                    <w:jc w:val="left"/>
                  </w:pPr>
                  <w:r>
                    <w:rPr>
                      <w:rFonts w:cs="EB Garamond"/>
                      <w:kern w:val="16"/>
                      <w:sz w:val="16"/>
                      <w14:ligatures w14:val="standardContextual"/>
                    </w:rPr>
                    <w:t>Auxílio-acidente</w:t>
                  </w:r>
                </w:p>
              </w:tc>
              <w:tc>
                <w:tcPr>
                  <w:tcW w:w="1587" w:type="dxa"/>
                  <w:tcBorders>
                    <w:top w:val="single" w:sz="4" w:space="0" w:color="D2C9B8"/>
                    <w:left w:val="single" w:sz="4" w:space="0" w:color="D2C9B8"/>
                    <w:bottom w:val="single" w:sz="4" w:space="0" w:color="D2C9B8"/>
                    <w:right w:val="single" w:sz="4" w:space="0" w:color="D2C9B8"/>
                  </w:tcBorders>
                </w:tcPr>
                <w:p w14:paraId="4442A892" w14:textId="77777777" w:rsidR="005A5FCC" w:rsidRDefault="00A21C81">
                  <w:pPr>
                    <w:spacing w:before="20" w:after="20" w:line="240" w:lineRule="auto"/>
                    <w:jc w:val="left"/>
                  </w:pPr>
                  <w:r>
                    <w:rPr>
                      <w:rFonts w:cs="EB Garamond"/>
                      <w:kern w:val="16"/>
                      <w:sz w:val="16"/>
                      <w14:ligatures w14:val="standardContextual"/>
                    </w:rPr>
                    <w:t>50% do SB</w:t>
                  </w:r>
                </w:p>
              </w:tc>
              <w:tc>
                <w:tcPr>
                  <w:tcW w:w="1587" w:type="dxa"/>
                  <w:tcBorders>
                    <w:top w:val="single" w:sz="4" w:space="0" w:color="D2C9B8"/>
                    <w:left w:val="single" w:sz="4" w:space="0" w:color="D2C9B8"/>
                    <w:bottom w:val="single" w:sz="4" w:space="0" w:color="D2C9B8"/>
                    <w:right w:val="single" w:sz="4" w:space="0" w:color="D2C9B8"/>
                  </w:tcBorders>
                </w:tcPr>
                <w:p w14:paraId="4C49C546" w14:textId="77777777" w:rsidR="005A5FCC" w:rsidRDefault="00A21C81">
                  <w:pPr>
                    <w:spacing w:before="20" w:after="20" w:line="240" w:lineRule="auto"/>
                    <w:jc w:val="left"/>
                  </w:pPr>
                  <w:r>
                    <w:rPr>
                      <w:rFonts w:cs="EB Garamond"/>
                      <w:kern w:val="16"/>
                      <w:sz w:val="16"/>
                      <w14:ligatures w14:val="standardContextual"/>
                    </w:rPr>
                    <w:t>SB que originou o aux. Incap. Temporária</w:t>
                  </w:r>
                </w:p>
              </w:tc>
              <w:tc>
                <w:tcPr>
                  <w:tcW w:w="1587" w:type="dxa"/>
                  <w:tcBorders>
                    <w:top w:val="single" w:sz="4" w:space="0" w:color="D2C9B8"/>
                    <w:left w:val="single" w:sz="4" w:space="0" w:color="D2C9B8"/>
                    <w:bottom w:val="single" w:sz="4" w:space="0" w:color="D2C9B8"/>
                    <w:right w:val="single" w:sz="4" w:space="0" w:color="D2C9B8"/>
                  </w:tcBorders>
                </w:tcPr>
                <w:p w14:paraId="4521FF46" w14:textId="77777777" w:rsidR="005A5FCC" w:rsidRDefault="00A21C81">
                  <w:pPr>
                    <w:spacing w:before="20" w:after="20" w:line="240" w:lineRule="auto"/>
                    <w:jc w:val="left"/>
                  </w:pPr>
                  <w:r>
                    <w:rPr>
                      <w:rFonts w:cs="EB Garamond"/>
                      <w:kern w:val="16"/>
                      <w:sz w:val="16"/>
                      <w14:ligatures w14:val="standardContextual"/>
                    </w:rPr>
                    <w:t>Art. 86, §1º, Lei 8.213/91</w:t>
                  </w:r>
                </w:p>
              </w:tc>
            </w:tr>
            <w:tr w:rsidR="005A5FCC" w14:paraId="3A963667"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08DAD87D" w14:textId="77777777" w:rsidR="005A5FCC" w:rsidRDefault="00A21C81">
                  <w:pPr>
                    <w:spacing w:before="20" w:after="20" w:line="240" w:lineRule="auto"/>
                    <w:jc w:val="left"/>
                  </w:pPr>
                  <w:r>
                    <w:rPr>
                      <w:rFonts w:cs="EB Garamond"/>
                      <w:kern w:val="16"/>
                      <w:sz w:val="16"/>
                      <w14:ligatures w14:val="standardContextual"/>
                    </w:rPr>
                    <w:t>Pensão por morte</w:t>
                  </w:r>
                </w:p>
              </w:tc>
              <w:tc>
                <w:tcPr>
                  <w:tcW w:w="1587" w:type="dxa"/>
                  <w:tcBorders>
                    <w:top w:val="single" w:sz="4" w:space="0" w:color="D2C9B8"/>
                    <w:left w:val="single" w:sz="4" w:space="0" w:color="D2C9B8"/>
                    <w:bottom w:val="single" w:sz="4" w:space="0" w:color="D2C9B8"/>
                    <w:right w:val="single" w:sz="4" w:space="0" w:color="D2C9B8"/>
                  </w:tcBorders>
                </w:tcPr>
                <w:p w14:paraId="4EAFDB32" w14:textId="77777777" w:rsidR="005A5FCC" w:rsidRDefault="00A21C81">
                  <w:pPr>
                    <w:spacing w:before="20" w:after="20" w:line="240" w:lineRule="auto"/>
                    <w:jc w:val="left"/>
                  </w:pPr>
                  <w:r>
                    <w:rPr>
                      <w:rFonts w:cs="EB Garamond"/>
                      <w:kern w:val="16"/>
                      <w:sz w:val="16"/>
                      <w14:ligatures w14:val="standardContextual"/>
                    </w:rPr>
                    <w:t>50% + 10%/dep. (até 100%) sobre o valor da aposentadoria (SB × coeficiente)</w:t>
                  </w:r>
                </w:p>
              </w:tc>
              <w:tc>
                <w:tcPr>
                  <w:tcW w:w="1587" w:type="dxa"/>
                  <w:tcBorders>
                    <w:top w:val="single" w:sz="4" w:space="0" w:color="D2C9B8"/>
                    <w:left w:val="single" w:sz="4" w:space="0" w:color="D2C9B8"/>
                    <w:bottom w:val="single" w:sz="4" w:space="0" w:color="D2C9B8"/>
                    <w:right w:val="single" w:sz="4" w:space="0" w:color="D2C9B8"/>
                  </w:tcBorders>
                </w:tcPr>
                <w:p w14:paraId="4B78F850" w14:textId="77777777" w:rsidR="005A5FCC" w:rsidRDefault="00A21C81">
                  <w:pPr>
                    <w:spacing w:before="20" w:after="20" w:line="240" w:lineRule="auto"/>
                    <w:jc w:val="left"/>
                  </w:pPr>
                  <w:r>
                    <w:rPr>
                      <w:rFonts w:cs="EB Garamond"/>
                      <w:kern w:val="16"/>
                      <w:sz w:val="16"/>
                      <w14:ligatures w14:val="standardContextual"/>
                    </w:rPr>
                    <w:t>Aposent. Que recebia ou a que teria direito</w:t>
                  </w:r>
                </w:p>
              </w:tc>
              <w:tc>
                <w:tcPr>
                  <w:tcW w:w="1587" w:type="dxa"/>
                  <w:tcBorders>
                    <w:top w:val="single" w:sz="4" w:space="0" w:color="D2C9B8"/>
                    <w:left w:val="single" w:sz="4" w:space="0" w:color="D2C9B8"/>
                    <w:bottom w:val="single" w:sz="4" w:space="0" w:color="D2C9B8"/>
                    <w:right w:val="single" w:sz="4" w:space="0" w:color="D2C9B8"/>
                  </w:tcBorders>
                </w:tcPr>
                <w:p w14:paraId="7ADAE528" w14:textId="77777777" w:rsidR="005A5FCC" w:rsidRDefault="00A21C81">
                  <w:pPr>
                    <w:spacing w:before="20" w:after="20" w:line="240" w:lineRule="auto"/>
                    <w:jc w:val="left"/>
                  </w:pPr>
                  <w:r>
                    <w:rPr>
                      <w:rFonts w:cs="EB Garamond"/>
                      <w:kern w:val="16"/>
                      <w:sz w:val="16"/>
                      <w14:ligatures w14:val="standardContextual"/>
                    </w:rPr>
                    <w:t>Art. 23, EC 103</w:t>
                  </w:r>
                </w:p>
              </w:tc>
            </w:tr>
            <w:tr w:rsidR="005A5FCC" w14:paraId="3EC978BA"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2FB1E576" w14:textId="77777777" w:rsidR="005A5FCC" w:rsidRDefault="00A21C81">
                  <w:pPr>
                    <w:spacing w:before="20" w:after="20" w:line="240" w:lineRule="auto"/>
                    <w:jc w:val="left"/>
                  </w:pPr>
                  <w:r>
                    <w:rPr>
                      <w:rFonts w:cs="EB Garamond"/>
                      <w:kern w:val="16"/>
                      <w:sz w:val="16"/>
                      <w14:ligatures w14:val="standardContextual"/>
                    </w:rPr>
                    <w:t>Auxílio-reclusão</w:t>
                  </w:r>
                </w:p>
              </w:tc>
              <w:tc>
                <w:tcPr>
                  <w:tcW w:w="1587" w:type="dxa"/>
                  <w:tcBorders>
                    <w:top w:val="single" w:sz="4" w:space="0" w:color="D2C9B8"/>
                    <w:left w:val="single" w:sz="4" w:space="0" w:color="D2C9B8"/>
                    <w:bottom w:val="single" w:sz="4" w:space="0" w:color="D2C9B8"/>
                    <w:right w:val="single" w:sz="4" w:space="0" w:color="D2C9B8"/>
                  </w:tcBorders>
                </w:tcPr>
                <w:p w14:paraId="56BCA3C0" w14:textId="77777777" w:rsidR="005A5FCC" w:rsidRDefault="00A21C81">
                  <w:pPr>
                    <w:spacing w:before="20" w:after="20" w:line="240" w:lineRule="auto"/>
                    <w:jc w:val="left"/>
                  </w:pPr>
                  <w:r>
                    <w:rPr>
                      <w:rFonts w:cs="EB Garamond"/>
                      <w:kern w:val="16"/>
                      <w:sz w:val="16"/>
                      <w14:ligatures w14:val="standardContextual"/>
                    </w:rPr>
                    <w:t>Valor fixo de 1 SM (R$ 1.621,00 em 2026)</w:t>
                  </w:r>
                </w:p>
              </w:tc>
              <w:tc>
                <w:tcPr>
                  <w:tcW w:w="1587" w:type="dxa"/>
                  <w:tcBorders>
                    <w:top w:val="single" w:sz="4" w:space="0" w:color="D2C9B8"/>
                    <w:left w:val="single" w:sz="4" w:space="0" w:color="D2C9B8"/>
                    <w:bottom w:val="single" w:sz="4" w:space="0" w:color="D2C9B8"/>
                    <w:right w:val="single" w:sz="4" w:space="0" w:color="D2C9B8"/>
                  </w:tcBorders>
                </w:tcPr>
                <w:p w14:paraId="1DE2EC52" w14:textId="77777777" w:rsidR="005A5FCC" w:rsidRDefault="00A21C81">
                  <w:pPr>
                    <w:spacing w:before="20" w:after="20" w:line="240" w:lineRule="auto"/>
                    <w:jc w:val="left"/>
                  </w:pPr>
                  <w:r>
                    <w:rPr>
                      <w:rFonts w:cs="EB Garamond"/>
                      <w:kern w:val="16"/>
                      <w:sz w:val="16"/>
                      <w14:ligatures w14:val="standardContextual"/>
                    </w:rPr>
                    <w:t>—</w:t>
                  </w:r>
                </w:p>
              </w:tc>
              <w:tc>
                <w:tcPr>
                  <w:tcW w:w="1587" w:type="dxa"/>
                  <w:tcBorders>
                    <w:top w:val="single" w:sz="4" w:space="0" w:color="D2C9B8"/>
                    <w:left w:val="single" w:sz="4" w:space="0" w:color="D2C9B8"/>
                    <w:bottom w:val="single" w:sz="4" w:space="0" w:color="D2C9B8"/>
                    <w:right w:val="single" w:sz="4" w:space="0" w:color="D2C9B8"/>
                  </w:tcBorders>
                </w:tcPr>
                <w:p w14:paraId="2590CB06" w14:textId="77777777" w:rsidR="005A5FCC" w:rsidRDefault="00A21C81">
                  <w:pPr>
                    <w:spacing w:before="20" w:after="20" w:line="240" w:lineRule="auto"/>
                    <w:jc w:val="left"/>
                  </w:pPr>
                  <w:r>
                    <w:rPr>
                      <w:rFonts w:cs="EB Garamond"/>
                      <w:kern w:val="16"/>
                      <w:sz w:val="16"/>
                      <w14:ligatures w14:val="standardContextual"/>
                    </w:rPr>
                    <w:t>Art. 27, §2º, EC 103</w:t>
                  </w:r>
                </w:p>
              </w:tc>
            </w:tr>
            <w:tr w:rsidR="005A5FCC" w14:paraId="5006447E"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52293F5A" w14:textId="77777777" w:rsidR="005A5FCC" w:rsidRDefault="00A21C81">
                  <w:pPr>
                    <w:spacing w:before="20" w:after="20" w:line="240" w:lineRule="auto"/>
                    <w:jc w:val="left"/>
                  </w:pPr>
                  <w:r>
                    <w:rPr>
                      <w:rFonts w:cs="EB Garamond"/>
                      <w:kern w:val="16"/>
                      <w:sz w:val="16"/>
                      <w14:ligatures w14:val="standardContextual"/>
                    </w:rPr>
                    <w:t>Salário-maternidade (empregada)</w:t>
                  </w:r>
                </w:p>
              </w:tc>
              <w:tc>
                <w:tcPr>
                  <w:tcW w:w="1587" w:type="dxa"/>
                  <w:tcBorders>
                    <w:top w:val="single" w:sz="4" w:space="0" w:color="D2C9B8"/>
                    <w:left w:val="single" w:sz="4" w:space="0" w:color="D2C9B8"/>
                    <w:bottom w:val="single" w:sz="4" w:space="0" w:color="D2C9B8"/>
                    <w:right w:val="single" w:sz="4" w:space="0" w:color="D2C9B8"/>
                  </w:tcBorders>
                </w:tcPr>
                <w:p w14:paraId="137039FD" w14:textId="77777777" w:rsidR="005A5FCC" w:rsidRDefault="00A21C81">
                  <w:pPr>
                    <w:spacing w:before="20" w:after="20" w:line="240" w:lineRule="auto"/>
                    <w:jc w:val="left"/>
                  </w:pPr>
                  <w:r>
                    <w:rPr>
                      <w:rFonts w:cs="EB Garamond"/>
                      <w:kern w:val="16"/>
                      <w:sz w:val="16"/>
                      <w14:ligatures w14:val="standardContextual"/>
                    </w:rPr>
                    <w:t>Remuneração integral</w:t>
                  </w:r>
                </w:p>
              </w:tc>
              <w:tc>
                <w:tcPr>
                  <w:tcW w:w="1587" w:type="dxa"/>
                  <w:tcBorders>
                    <w:top w:val="single" w:sz="4" w:space="0" w:color="D2C9B8"/>
                    <w:left w:val="single" w:sz="4" w:space="0" w:color="D2C9B8"/>
                    <w:bottom w:val="single" w:sz="4" w:space="0" w:color="D2C9B8"/>
                    <w:right w:val="single" w:sz="4" w:space="0" w:color="D2C9B8"/>
                  </w:tcBorders>
                </w:tcPr>
                <w:p w14:paraId="536D4DAA" w14:textId="77777777" w:rsidR="005A5FCC" w:rsidRDefault="00A21C81">
                  <w:pPr>
                    <w:spacing w:before="20" w:after="20" w:line="240" w:lineRule="auto"/>
                    <w:jc w:val="left"/>
                  </w:pPr>
                  <w:r>
                    <w:rPr>
                      <w:rFonts w:cs="EB Garamond"/>
                      <w:kern w:val="16"/>
                      <w:sz w:val="16"/>
                      <w14:ligatures w14:val="standardContextual"/>
                    </w:rPr>
                    <w:t>Última remuneração</w:t>
                  </w:r>
                </w:p>
              </w:tc>
              <w:tc>
                <w:tcPr>
                  <w:tcW w:w="1587" w:type="dxa"/>
                  <w:tcBorders>
                    <w:top w:val="single" w:sz="4" w:space="0" w:color="D2C9B8"/>
                    <w:left w:val="single" w:sz="4" w:space="0" w:color="D2C9B8"/>
                    <w:bottom w:val="single" w:sz="4" w:space="0" w:color="D2C9B8"/>
                    <w:right w:val="single" w:sz="4" w:space="0" w:color="D2C9B8"/>
                  </w:tcBorders>
                </w:tcPr>
                <w:p w14:paraId="234959C9" w14:textId="77777777" w:rsidR="005A5FCC" w:rsidRDefault="00A21C81">
                  <w:pPr>
                    <w:spacing w:before="20" w:after="20" w:line="240" w:lineRule="auto"/>
                    <w:jc w:val="left"/>
                  </w:pPr>
                  <w:r>
                    <w:rPr>
                      <w:rFonts w:cs="EB Garamond"/>
                      <w:kern w:val="16"/>
                      <w:sz w:val="16"/>
                      <w14:ligatures w14:val="standardContextual"/>
                    </w:rPr>
                    <w:t>Art. 72, Lei 8.213/91</w:t>
                  </w:r>
                </w:p>
              </w:tc>
            </w:tr>
            <w:tr w:rsidR="005A5FCC" w14:paraId="01F8EE60"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1B7E72C3" w14:textId="77777777" w:rsidR="005A5FCC" w:rsidRDefault="00A21C81">
                  <w:pPr>
                    <w:spacing w:before="20" w:after="20" w:line="240" w:lineRule="auto"/>
                    <w:jc w:val="left"/>
                  </w:pPr>
                  <w:r>
                    <w:rPr>
                      <w:rFonts w:cs="EB Garamond"/>
                      <w:kern w:val="16"/>
                      <w:sz w:val="16"/>
                      <w14:ligatures w14:val="standardContextual"/>
                    </w:rPr>
                    <w:t>Salário-maternidade (CI/facultativa)</w:t>
                  </w:r>
                </w:p>
              </w:tc>
              <w:tc>
                <w:tcPr>
                  <w:tcW w:w="1587" w:type="dxa"/>
                  <w:tcBorders>
                    <w:top w:val="single" w:sz="4" w:space="0" w:color="D2C9B8"/>
                    <w:left w:val="single" w:sz="4" w:space="0" w:color="D2C9B8"/>
                    <w:bottom w:val="single" w:sz="4" w:space="0" w:color="D2C9B8"/>
                    <w:right w:val="single" w:sz="4" w:space="0" w:color="D2C9B8"/>
                  </w:tcBorders>
                </w:tcPr>
                <w:p w14:paraId="5D056646" w14:textId="77777777" w:rsidR="005A5FCC" w:rsidRDefault="00A21C81">
                  <w:pPr>
                    <w:spacing w:before="20" w:after="20" w:line="240" w:lineRule="auto"/>
                    <w:jc w:val="left"/>
                  </w:pPr>
                  <w:r>
                    <w:rPr>
                      <w:rFonts w:cs="EB Garamond"/>
                      <w:kern w:val="16"/>
                      <w:sz w:val="16"/>
                      <w14:ligatures w14:val="standardContextual"/>
                    </w:rPr>
                    <w:t>1/12 da soma dos 12 últimos SC</w:t>
                  </w:r>
                </w:p>
              </w:tc>
              <w:tc>
                <w:tcPr>
                  <w:tcW w:w="1587" w:type="dxa"/>
                  <w:tcBorders>
                    <w:top w:val="single" w:sz="4" w:space="0" w:color="D2C9B8"/>
                    <w:left w:val="single" w:sz="4" w:space="0" w:color="D2C9B8"/>
                    <w:bottom w:val="single" w:sz="4" w:space="0" w:color="D2C9B8"/>
                    <w:right w:val="single" w:sz="4" w:space="0" w:color="D2C9B8"/>
                  </w:tcBorders>
                </w:tcPr>
                <w:p w14:paraId="3331778D" w14:textId="77777777" w:rsidR="005A5FCC" w:rsidRDefault="00A21C81">
                  <w:pPr>
                    <w:spacing w:before="20" w:after="20" w:line="240" w:lineRule="auto"/>
                    <w:jc w:val="left"/>
                  </w:pPr>
                  <w:r>
                    <w:rPr>
                      <w:rFonts w:cs="EB Garamond"/>
                      <w:kern w:val="16"/>
                      <w:sz w:val="16"/>
                      <w14:ligatures w14:val="standardContextual"/>
                    </w:rPr>
                    <w:t>SC dos últimos 12 meses</w:t>
                  </w:r>
                </w:p>
              </w:tc>
              <w:tc>
                <w:tcPr>
                  <w:tcW w:w="1587" w:type="dxa"/>
                  <w:tcBorders>
                    <w:top w:val="single" w:sz="4" w:space="0" w:color="D2C9B8"/>
                    <w:left w:val="single" w:sz="4" w:space="0" w:color="D2C9B8"/>
                    <w:bottom w:val="single" w:sz="4" w:space="0" w:color="D2C9B8"/>
                    <w:right w:val="single" w:sz="4" w:space="0" w:color="D2C9B8"/>
                  </w:tcBorders>
                </w:tcPr>
                <w:p w14:paraId="0BC43A30" w14:textId="77777777" w:rsidR="005A5FCC" w:rsidRDefault="00A21C81">
                  <w:pPr>
                    <w:spacing w:before="20" w:after="20" w:line="240" w:lineRule="auto"/>
                    <w:jc w:val="left"/>
                  </w:pPr>
                  <w:r>
                    <w:rPr>
                      <w:rFonts w:cs="EB Garamond"/>
                      <w:kern w:val="16"/>
                      <w:sz w:val="16"/>
                      <w14:ligatures w14:val="standardContextual"/>
                    </w:rPr>
                    <w:t>Art. 73, III, Lei 8.213/91</w:t>
                  </w:r>
                </w:p>
              </w:tc>
            </w:tr>
            <w:tr w:rsidR="005A5FCC" w14:paraId="441F94BD"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45DD8F6C" w14:textId="77777777" w:rsidR="005A5FCC" w:rsidRDefault="00A21C81">
                  <w:pPr>
                    <w:spacing w:before="20" w:after="20" w:line="240" w:lineRule="auto"/>
                    <w:jc w:val="left"/>
                  </w:pPr>
                  <w:r>
                    <w:rPr>
                      <w:rFonts w:cs="EB Garamond"/>
                      <w:kern w:val="16"/>
                      <w:sz w:val="16"/>
                      <w14:ligatures w14:val="standardContextual"/>
                    </w:rPr>
                    <w:t>Salário-família</w:t>
                  </w:r>
                </w:p>
              </w:tc>
              <w:tc>
                <w:tcPr>
                  <w:tcW w:w="1587" w:type="dxa"/>
                  <w:tcBorders>
                    <w:top w:val="single" w:sz="4" w:space="0" w:color="D2C9B8"/>
                    <w:left w:val="single" w:sz="4" w:space="0" w:color="D2C9B8"/>
                    <w:bottom w:val="single" w:sz="4" w:space="0" w:color="D2C9B8"/>
                    <w:right w:val="single" w:sz="4" w:space="0" w:color="D2C9B8"/>
                  </w:tcBorders>
                </w:tcPr>
                <w:p w14:paraId="5FD40511" w14:textId="77777777" w:rsidR="005A5FCC" w:rsidRDefault="00A21C81">
                  <w:pPr>
                    <w:spacing w:before="20" w:after="20" w:line="240" w:lineRule="auto"/>
                    <w:jc w:val="left"/>
                  </w:pPr>
                  <w:r>
                    <w:rPr>
                      <w:rFonts w:cs="EB Garamond"/>
                      <w:kern w:val="16"/>
                      <w:sz w:val="16"/>
                      <w14:ligatures w14:val="standardContextual"/>
                    </w:rPr>
                    <w:t>Cota fixa por filho (até 14 anos ou inválido)</w:t>
                  </w:r>
                </w:p>
              </w:tc>
              <w:tc>
                <w:tcPr>
                  <w:tcW w:w="1587" w:type="dxa"/>
                  <w:tcBorders>
                    <w:top w:val="single" w:sz="4" w:space="0" w:color="D2C9B8"/>
                    <w:left w:val="single" w:sz="4" w:space="0" w:color="D2C9B8"/>
                    <w:bottom w:val="single" w:sz="4" w:space="0" w:color="D2C9B8"/>
                    <w:right w:val="single" w:sz="4" w:space="0" w:color="D2C9B8"/>
                  </w:tcBorders>
                </w:tcPr>
                <w:p w14:paraId="63D33E0E" w14:textId="77777777" w:rsidR="005A5FCC" w:rsidRDefault="00A21C81">
                  <w:pPr>
                    <w:spacing w:before="20" w:after="20" w:line="240" w:lineRule="auto"/>
                    <w:jc w:val="left"/>
                  </w:pPr>
                  <w:r>
                    <w:rPr>
                      <w:rFonts w:cs="EB Garamond"/>
                      <w:kern w:val="16"/>
                      <w:sz w:val="16"/>
                      <w14:ligatures w14:val="standardContextual"/>
                    </w:rPr>
                    <w:t>—</w:t>
                  </w:r>
                </w:p>
              </w:tc>
              <w:tc>
                <w:tcPr>
                  <w:tcW w:w="1587" w:type="dxa"/>
                  <w:tcBorders>
                    <w:top w:val="single" w:sz="4" w:space="0" w:color="D2C9B8"/>
                    <w:left w:val="single" w:sz="4" w:space="0" w:color="D2C9B8"/>
                    <w:bottom w:val="single" w:sz="4" w:space="0" w:color="D2C9B8"/>
                    <w:right w:val="single" w:sz="4" w:space="0" w:color="D2C9B8"/>
                  </w:tcBorders>
                </w:tcPr>
                <w:p w14:paraId="3A0099F8" w14:textId="77777777" w:rsidR="005A5FCC" w:rsidRDefault="00A21C81">
                  <w:pPr>
                    <w:spacing w:before="20" w:after="20" w:line="240" w:lineRule="auto"/>
                    <w:jc w:val="left"/>
                  </w:pPr>
                  <w:r>
                    <w:rPr>
                      <w:rFonts w:cs="EB Garamond"/>
                      <w:kern w:val="16"/>
                      <w:sz w:val="16"/>
                      <w14:ligatures w14:val="standardContextual"/>
                    </w:rPr>
                    <w:t>Art. 66, Lei 8.213/91</w:t>
                  </w:r>
                </w:p>
              </w:tc>
            </w:tr>
          </w:tbl>
          <w:p w14:paraId="0A99E1BE" w14:textId="77777777" w:rsidR="005A5FCC" w:rsidRDefault="005A5FCC"/>
          <w:p w14:paraId="4C75E9A6" w14:textId="77777777" w:rsidR="005A5FCC" w:rsidRDefault="005A5FCC">
            <w:pPr>
              <w:spacing w:after="0" w:line="240" w:lineRule="auto"/>
            </w:pPr>
          </w:p>
        </w:tc>
      </w:tr>
    </w:tbl>
    <w:p w14:paraId="7ED93627" w14:textId="77777777" w:rsidR="005A5FCC" w:rsidRDefault="005A5FCC">
      <w:pPr>
        <w:spacing w:after="80" w:line="240" w:lineRule="auto"/>
      </w:pPr>
    </w:p>
    <w:tbl>
      <w:tblPr>
        <w:tblW w:w="5000" w:type="pct"/>
        <w:jc w:val="center"/>
        <w:tblLayout w:type="fixed"/>
        <w:tblLook w:val="04A0" w:firstRow="1" w:lastRow="0" w:firstColumn="1" w:lastColumn="0" w:noHBand="0" w:noVBand="1"/>
      </w:tblPr>
      <w:tblGrid>
        <w:gridCol w:w="6311"/>
      </w:tblGrid>
      <w:tr w:rsidR="005A5FCC" w14:paraId="3E1ACD6F" w14:textId="77777777">
        <w:trPr>
          <w:cantSplit/>
          <w:jc w:val="center"/>
        </w:trPr>
        <w:tc>
          <w:tcPr>
            <w:tcW w:w="6350" w:type="dxa"/>
            <w:tcBorders>
              <w:top w:val="single" w:sz="7" w:space="0" w:color="A09882"/>
              <w:left w:val="single" w:sz="24" w:space="0" w:color="6B6256"/>
              <w:bottom w:val="single" w:sz="7" w:space="0" w:color="A09882"/>
              <w:right w:val="single" w:sz="7" w:space="0" w:color="A09882"/>
            </w:tcBorders>
            <w:shd w:val="clear" w:color="auto" w:fill="F5F3EF"/>
            <w:tcMar>
              <w:top w:w="150" w:type="dxa"/>
              <w:left w:w="220" w:type="dxa"/>
              <w:bottom w:w="150" w:type="dxa"/>
              <w:right w:w="180" w:type="dxa"/>
            </w:tcMar>
          </w:tcPr>
          <w:p w14:paraId="6DFF6B81" w14:textId="77777777" w:rsidR="005A5FCC" w:rsidRDefault="00A21C81">
            <w:pPr>
              <w:spacing w:after="60" w:line="240" w:lineRule="auto"/>
              <w:jc w:val="left"/>
            </w:pPr>
            <w:r>
              <w:rPr>
                <w:rFonts w:ascii="Noto Sans" w:hAnsi="Noto Sans" w:cs="Noto Sans"/>
                <w:b/>
                <w:caps/>
                <w:color w:val="6B6256"/>
                <w:kern w:val="16"/>
                <w:sz w:val="16"/>
                <w14:ligatures w14:val="standardContextual"/>
              </w:rPr>
              <w:t>QUADRO</w:t>
            </w:r>
          </w:p>
          <w:p w14:paraId="7ACC1F15" w14:textId="77777777" w:rsidR="005A5FCC" w:rsidRDefault="00A21C81">
            <w:pPr>
              <w:spacing w:after="60" w:line="247" w:lineRule="auto"/>
            </w:pPr>
            <w:r>
              <w:rPr>
                <w:rFonts w:cs="EB Garamond"/>
                <w:b/>
                <w:kern w:val="16"/>
                <w:sz w:val="19"/>
                <w14:ligatures w14:val="standardContextual"/>
              </w:rPr>
              <w:t>Quadro 16.7 — Cronologia dos Tetos do RGPS (1991–2026)</w:t>
            </w:r>
          </w:p>
          <w:tbl>
            <w:tblPr>
              <w:tblW w:w="5000" w:type="pct"/>
              <w:jc w:val="center"/>
              <w:tblLook w:val="04A0" w:firstRow="1" w:lastRow="0" w:firstColumn="1" w:lastColumn="0" w:noHBand="0" w:noVBand="1"/>
            </w:tblPr>
            <w:tblGrid>
              <w:gridCol w:w="1967"/>
              <w:gridCol w:w="1967"/>
              <w:gridCol w:w="1967"/>
            </w:tblGrid>
            <w:tr w:rsidR="005A5FCC" w14:paraId="5E44D25A" w14:textId="77777777">
              <w:trPr>
                <w:tblHeader/>
                <w:jc w:val="center"/>
              </w:trPr>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03D16623" w14:textId="77777777" w:rsidR="005A5FCC" w:rsidRDefault="00A21C81">
                  <w:pPr>
                    <w:spacing w:before="30" w:after="30" w:line="240" w:lineRule="auto"/>
                    <w:jc w:val="center"/>
                  </w:pPr>
                  <w:r>
                    <w:rPr>
                      <w:rFonts w:cs="EB Garamond"/>
                      <w:b/>
                      <w:color w:val="2F2923"/>
                      <w:kern w:val="16"/>
                      <w:sz w:val="16"/>
                      <w14:ligatures w14:val="standardContextual"/>
                    </w:rPr>
                    <w:t>Período</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134809C9" w14:textId="77777777" w:rsidR="005A5FCC" w:rsidRDefault="00A21C81">
                  <w:pPr>
                    <w:spacing w:before="30" w:after="30" w:line="240" w:lineRule="auto"/>
                    <w:jc w:val="center"/>
                  </w:pPr>
                  <w:r>
                    <w:rPr>
                      <w:rFonts w:cs="EB Garamond"/>
                      <w:b/>
                      <w:color w:val="2F2923"/>
                      <w:kern w:val="16"/>
                      <w:sz w:val="16"/>
                      <w14:ligatures w14:val="standardContextual"/>
                    </w:rPr>
                    <w:t>Teto (R$)</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4DAC18EB" w14:textId="77777777" w:rsidR="005A5FCC" w:rsidRDefault="00A21C81">
                  <w:pPr>
                    <w:spacing w:before="30" w:after="30" w:line="240" w:lineRule="auto"/>
                    <w:jc w:val="center"/>
                  </w:pPr>
                  <w:r>
                    <w:rPr>
                      <w:rFonts w:cs="EB Garamond"/>
                      <w:b/>
                      <w:color w:val="2F2923"/>
                      <w:kern w:val="16"/>
                      <w:sz w:val="16"/>
                      <w14:ligatures w14:val="standardContextual"/>
                    </w:rPr>
                    <w:t>Fundamento</w:t>
                  </w:r>
                </w:p>
              </w:tc>
            </w:tr>
            <w:tr w:rsidR="005A5FCC" w14:paraId="3DD7F0CD"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11469E84" w14:textId="77777777" w:rsidR="005A5FCC" w:rsidRDefault="00A21C81">
                  <w:pPr>
                    <w:spacing w:before="20" w:after="20" w:line="240" w:lineRule="auto"/>
                    <w:jc w:val="left"/>
                  </w:pPr>
                  <w:r>
                    <w:rPr>
                      <w:rFonts w:cs="EB Garamond"/>
                      <w:kern w:val="16"/>
                      <w:sz w:val="16"/>
                      <w14:ligatures w14:val="standardContextual"/>
                    </w:rPr>
                    <w:t>05/04/1991</w:t>
                  </w:r>
                </w:p>
              </w:tc>
              <w:tc>
                <w:tcPr>
                  <w:tcW w:w="2117" w:type="dxa"/>
                  <w:tcBorders>
                    <w:top w:val="single" w:sz="4" w:space="0" w:color="D2C9B8"/>
                    <w:left w:val="single" w:sz="4" w:space="0" w:color="D2C9B8"/>
                    <w:bottom w:val="single" w:sz="4" w:space="0" w:color="D2C9B8"/>
                    <w:right w:val="single" w:sz="4" w:space="0" w:color="D2C9B8"/>
                  </w:tcBorders>
                </w:tcPr>
                <w:p w14:paraId="5D3BDCEF" w14:textId="77777777" w:rsidR="005A5FCC" w:rsidRDefault="00A21C81">
                  <w:pPr>
                    <w:spacing w:before="20" w:after="20" w:line="240" w:lineRule="auto"/>
                    <w:jc w:val="left"/>
                  </w:pPr>
                  <w:r>
                    <w:rPr>
                      <w:rFonts w:cs="EB Garamond"/>
                      <w:kern w:val="16"/>
                      <w:sz w:val="16"/>
                      <w14:ligatures w14:val="standardContextual"/>
                    </w:rPr>
                    <w:t>Cr$ 170.000,00</w:t>
                  </w:r>
                </w:p>
              </w:tc>
              <w:tc>
                <w:tcPr>
                  <w:tcW w:w="2117" w:type="dxa"/>
                  <w:tcBorders>
                    <w:top w:val="single" w:sz="4" w:space="0" w:color="D2C9B8"/>
                    <w:left w:val="single" w:sz="4" w:space="0" w:color="D2C9B8"/>
                    <w:bottom w:val="single" w:sz="4" w:space="0" w:color="D2C9B8"/>
                    <w:right w:val="single" w:sz="4" w:space="0" w:color="D2C9B8"/>
                  </w:tcBorders>
                </w:tcPr>
                <w:p w14:paraId="5C979264" w14:textId="77777777" w:rsidR="005A5FCC" w:rsidRDefault="00A21C81">
                  <w:pPr>
                    <w:spacing w:before="20" w:after="20" w:line="240" w:lineRule="auto"/>
                    <w:jc w:val="left"/>
                  </w:pPr>
                  <w:r>
                    <w:rPr>
                      <w:rFonts w:cs="EB Garamond"/>
                      <w:kern w:val="16"/>
                      <w:sz w:val="16"/>
                      <w14:ligatures w14:val="standardContextual"/>
                    </w:rPr>
                    <w:t>Lei 8.213/91 (art. 29, §2º)</w:t>
                  </w:r>
                </w:p>
              </w:tc>
            </w:tr>
            <w:tr w:rsidR="005A5FCC" w14:paraId="5B1E62DE"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203DC696" w14:textId="77777777" w:rsidR="005A5FCC" w:rsidRDefault="00A21C81">
                  <w:pPr>
                    <w:spacing w:before="20" w:after="20" w:line="240" w:lineRule="auto"/>
                    <w:jc w:val="left"/>
                  </w:pPr>
                  <w:r>
                    <w:rPr>
                      <w:rFonts w:cs="EB Garamond"/>
                      <w:kern w:val="16"/>
                      <w:sz w:val="16"/>
                      <w14:ligatures w14:val="standardContextual"/>
                    </w:rPr>
                    <w:t>01/01/1999</w:t>
                  </w:r>
                </w:p>
              </w:tc>
              <w:tc>
                <w:tcPr>
                  <w:tcW w:w="2117" w:type="dxa"/>
                  <w:tcBorders>
                    <w:top w:val="single" w:sz="4" w:space="0" w:color="D2C9B8"/>
                    <w:left w:val="single" w:sz="4" w:space="0" w:color="D2C9B8"/>
                    <w:bottom w:val="single" w:sz="4" w:space="0" w:color="D2C9B8"/>
                    <w:right w:val="single" w:sz="4" w:space="0" w:color="D2C9B8"/>
                  </w:tcBorders>
                </w:tcPr>
                <w:p w14:paraId="7CF8215C" w14:textId="77777777" w:rsidR="005A5FCC" w:rsidRDefault="00A21C81">
                  <w:pPr>
                    <w:spacing w:before="20" w:after="20" w:line="240" w:lineRule="auto"/>
                    <w:jc w:val="left"/>
                  </w:pPr>
                  <w:r>
                    <w:rPr>
                      <w:rFonts w:cs="EB Garamond"/>
                      <w:kern w:val="16"/>
                      <w:sz w:val="16"/>
                      <w14:ligatures w14:val="standardContextual"/>
                    </w:rPr>
                    <w:t>R$ 1.200,00</w:t>
                  </w:r>
                </w:p>
              </w:tc>
              <w:tc>
                <w:tcPr>
                  <w:tcW w:w="2117" w:type="dxa"/>
                  <w:tcBorders>
                    <w:top w:val="single" w:sz="4" w:space="0" w:color="D2C9B8"/>
                    <w:left w:val="single" w:sz="4" w:space="0" w:color="D2C9B8"/>
                    <w:bottom w:val="single" w:sz="4" w:space="0" w:color="D2C9B8"/>
                    <w:right w:val="single" w:sz="4" w:space="0" w:color="D2C9B8"/>
                  </w:tcBorders>
                </w:tcPr>
                <w:p w14:paraId="5624C174" w14:textId="77777777" w:rsidR="005A5FCC" w:rsidRDefault="00A21C81">
                  <w:pPr>
                    <w:spacing w:before="20" w:after="20" w:line="240" w:lineRule="auto"/>
                    <w:jc w:val="left"/>
                  </w:pPr>
                  <w:r>
                    <w:rPr>
                      <w:rFonts w:cs="EB Garamond"/>
                      <w:kern w:val="16"/>
                      <w:sz w:val="16"/>
                      <w14:ligatures w14:val="standardContextual"/>
                    </w:rPr>
                    <w:t>Art. 14 do ADCT (EC 20/1998)</w:t>
                  </w:r>
                </w:p>
              </w:tc>
            </w:tr>
            <w:tr w:rsidR="005A5FCC" w14:paraId="49B6FD53"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37C3D5C9" w14:textId="77777777" w:rsidR="005A5FCC" w:rsidRDefault="00A21C81">
                  <w:pPr>
                    <w:spacing w:before="20" w:after="20" w:line="240" w:lineRule="auto"/>
                    <w:jc w:val="left"/>
                  </w:pPr>
                  <w:r>
                    <w:rPr>
                      <w:rFonts w:cs="EB Garamond"/>
                      <w:kern w:val="16"/>
                      <w:sz w:val="16"/>
                      <w14:ligatures w14:val="standardContextual"/>
                    </w:rPr>
                    <w:t>01/06/2002</w:t>
                  </w:r>
                </w:p>
              </w:tc>
              <w:tc>
                <w:tcPr>
                  <w:tcW w:w="2117" w:type="dxa"/>
                  <w:tcBorders>
                    <w:top w:val="single" w:sz="4" w:space="0" w:color="D2C9B8"/>
                    <w:left w:val="single" w:sz="4" w:space="0" w:color="D2C9B8"/>
                    <w:bottom w:val="single" w:sz="4" w:space="0" w:color="D2C9B8"/>
                    <w:right w:val="single" w:sz="4" w:space="0" w:color="D2C9B8"/>
                  </w:tcBorders>
                </w:tcPr>
                <w:p w14:paraId="6EED5283" w14:textId="77777777" w:rsidR="005A5FCC" w:rsidRDefault="00A21C81">
                  <w:pPr>
                    <w:spacing w:before="20" w:after="20" w:line="240" w:lineRule="auto"/>
                    <w:jc w:val="left"/>
                  </w:pPr>
                  <w:r>
                    <w:rPr>
                      <w:rFonts w:cs="EB Garamond"/>
                      <w:kern w:val="16"/>
                      <w:sz w:val="16"/>
                      <w14:ligatures w14:val="standardContextual"/>
                    </w:rPr>
                    <w:t>R$ 1.430,00</w:t>
                  </w:r>
                </w:p>
              </w:tc>
              <w:tc>
                <w:tcPr>
                  <w:tcW w:w="2117" w:type="dxa"/>
                  <w:tcBorders>
                    <w:top w:val="single" w:sz="4" w:space="0" w:color="D2C9B8"/>
                    <w:left w:val="single" w:sz="4" w:space="0" w:color="D2C9B8"/>
                    <w:bottom w:val="single" w:sz="4" w:space="0" w:color="D2C9B8"/>
                    <w:right w:val="single" w:sz="4" w:space="0" w:color="D2C9B8"/>
                  </w:tcBorders>
                </w:tcPr>
                <w:p w14:paraId="21836B45" w14:textId="77777777" w:rsidR="005A5FCC" w:rsidRDefault="00A21C81">
                  <w:pPr>
                    <w:spacing w:before="20" w:after="20" w:line="240" w:lineRule="auto"/>
                    <w:jc w:val="left"/>
                  </w:pPr>
                  <w:r>
                    <w:rPr>
                      <w:rFonts w:cs="EB Garamond"/>
                      <w:kern w:val="16"/>
                      <w:sz w:val="16"/>
                      <w14:ligatures w14:val="standardContextual"/>
                    </w:rPr>
                    <w:t>Portaria MPAS 525/2002</w:t>
                  </w:r>
                </w:p>
              </w:tc>
            </w:tr>
            <w:tr w:rsidR="005A5FCC" w14:paraId="3B5DFF98"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0C212908" w14:textId="77777777" w:rsidR="005A5FCC" w:rsidRDefault="00A21C81">
                  <w:pPr>
                    <w:spacing w:before="20" w:after="20" w:line="240" w:lineRule="auto"/>
                    <w:jc w:val="left"/>
                  </w:pPr>
                  <w:r>
                    <w:rPr>
                      <w:rFonts w:cs="EB Garamond"/>
                      <w:kern w:val="16"/>
                      <w:sz w:val="16"/>
                      <w14:ligatures w14:val="standardContextual"/>
                    </w:rPr>
                    <w:t>01/01/2004</w:t>
                  </w:r>
                </w:p>
              </w:tc>
              <w:tc>
                <w:tcPr>
                  <w:tcW w:w="2117" w:type="dxa"/>
                  <w:tcBorders>
                    <w:top w:val="single" w:sz="4" w:space="0" w:color="D2C9B8"/>
                    <w:left w:val="single" w:sz="4" w:space="0" w:color="D2C9B8"/>
                    <w:bottom w:val="single" w:sz="4" w:space="0" w:color="D2C9B8"/>
                    <w:right w:val="single" w:sz="4" w:space="0" w:color="D2C9B8"/>
                  </w:tcBorders>
                </w:tcPr>
                <w:p w14:paraId="6F2FBD25" w14:textId="77777777" w:rsidR="005A5FCC" w:rsidRDefault="00A21C81">
                  <w:pPr>
                    <w:spacing w:before="20" w:after="20" w:line="240" w:lineRule="auto"/>
                    <w:jc w:val="left"/>
                  </w:pPr>
                  <w:r>
                    <w:rPr>
                      <w:rFonts w:cs="EB Garamond"/>
                      <w:kern w:val="16"/>
                      <w:sz w:val="16"/>
                      <w14:ligatures w14:val="standardContextual"/>
                    </w:rPr>
                    <w:t>R$ 2.400,00</w:t>
                  </w:r>
                </w:p>
              </w:tc>
              <w:tc>
                <w:tcPr>
                  <w:tcW w:w="2117" w:type="dxa"/>
                  <w:tcBorders>
                    <w:top w:val="single" w:sz="4" w:space="0" w:color="D2C9B8"/>
                    <w:left w:val="single" w:sz="4" w:space="0" w:color="D2C9B8"/>
                    <w:bottom w:val="single" w:sz="4" w:space="0" w:color="D2C9B8"/>
                    <w:right w:val="single" w:sz="4" w:space="0" w:color="D2C9B8"/>
                  </w:tcBorders>
                </w:tcPr>
                <w:p w14:paraId="157818D9" w14:textId="77777777" w:rsidR="005A5FCC" w:rsidRDefault="00A21C81">
                  <w:pPr>
                    <w:spacing w:before="20" w:after="20" w:line="240" w:lineRule="auto"/>
                    <w:jc w:val="left"/>
                  </w:pPr>
                  <w:r>
                    <w:rPr>
                      <w:rFonts w:cs="EB Garamond"/>
                      <w:kern w:val="16"/>
                      <w:sz w:val="16"/>
                      <w14:ligatures w14:val="standardContextual"/>
                    </w:rPr>
                    <w:t>EC 41/2003</w:t>
                  </w:r>
                </w:p>
              </w:tc>
            </w:tr>
            <w:tr w:rsidR="005A5FCC" w14:paraId="4540E779"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20233DFE" w14:textId="77777777" w:rsidR="005A5FCC" w:rsidRDefault="00A21C81">
                  <w:pPr>
                    <w:spacing w:before="20" w:after="20" w:line="240" w:lineRule="auto"/>
                    <w:jc w:val="left"/>
                  </w:pPr>
                  <w:r>
                    <w:rPr>
                      <w:rFonts w:cs="EB Garamond"/>
                      <w:kern w:val="16"/>
                      <w:sz w:val="16"/>
                      <w14:ligatures w14:val="standardContextual"/>
                    </w:rPr>
                    <w:t>01/01/2006</w:t>
                  </w:r>
                </w:p>
              </w:tc>
              <w:tc>
                <w:tcPr>
                  <w:tcW w:w="2117" w:type="dxa"/>
                  <w:tcBorders>
                    <w:top w:val="single" w:sz="4" w:space="0" w:color="D2C9B8"/>
                    <w:left w:val="single" w:sz="4" w:space="0" w:color="D2C9B8"/>
                    <w:bottom w:val="single" w:sz="4" w:space="0" w:color="D2C9B8"/>
                    <w:right w:val="single" w:sz="4" w:space="0" w:color="D2C9B8"/>
                  </w:tcBorders>
                </w:tcPr>
                <w:p w14:paraId="030DEF9A" w14:textId="77777777" w:rsidR="005A5FCC" w:rsidRDefault="00A21C81">
                  <w:pPr>
                    <w:spacing w:before="20" w:after="20" w:line="240" w:lineRule="auto"/>
                    <w:jc w:val="left"/>
                  </w:pPr>
                  <w:r>
                    <w:rPr>
                      <w:rFonts w:cs="EB Garamond"/>
                      <w:kern w:val="16"/>
                      <w:sz w:val="16"/>
                      <w14:ligatures w14:val="standardContextual"/>
                    </w:rPr>
                    <w:t>R$ 2.801,56</w:t>
                  </w:r>
                </w:p>
              </w:tc>
              <w:tc>
                <w:tcPr>
                  <w:tcW w:w="2117" w:type="dxa"/>
                  <w:tcBorders>
                    <w:top w:val="single" w:sz="4" w:space="0" w:color="D2C9B8"/>
                    <w:left w:val="single" w:sz="4" w:space="0" w:color="D2C9B8"/>
                    <w:bottom w:val="single" w:sz="4" w:space="0" w:color="D2C9B8"/>
                    <w:right w:val="single" w:sz="4" w:space="0" w:color="D2C9B8"/>
                  </w:tcBorders>
                </w:tcPr>
                <w:p w14:paraId="48AD8E82" w14:textId="77777777" w:rsidR="005A5FCC" w:rsidRDefault="00A21C81">
                  <w:pPr>
                    <w:spacing w:before="20" w:after="20" w:line="240" w:lineRule="auto"/>
                    <w:jc w:val="left"/>
                  </w:pPr>
                  <w:r>
                    <w:rPr>
                      <w:rFonts w:cs="EB Garamond"/>
                      <w:kern w:val="16"/>
                      <w:sz w:val="16"/>
                      <w14:ligatures w14:val="standardContextual"/>
                    </w:rPr>
                    <w:t>Portaria MPS 119/2006</w:t>
                  </w:r>
                </w:p>
              </w:tc>
            </w:tr>
            <w:tr w:rsidR="005A5FCC" w14:paraId="01E3DB1E"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65FCDA0E" w14:textId="77777777" w:rsidR="005A5FCC" w:rsidRDefault="00A21C81">
                  <w:pPr>
                    <w:spacing w:before="20" w:after="20" w:line="240" w:lineRule="auto"/>
                    <w:jc w:val="left"/>
                  </w:pPr>
                  <w:r>
                    <w:rPr>
                      <w:rFonts w:cs="EB Garamond"/>
                      <w:kern w:val="16"/>
                      <w:sz w:val="16"/>
                      <w14:ligatures w14:val="standardContextual"/>
                    </w:rPr>
                    <w:t>01/01/2008</w:t>
                  </w:r>
                </w:p>
              </w:tc>
              <w:tc>
                <w:tcPr>
                  <w:tcW w:w="2117" w:type="dxa"/>
                  <w:tcBorders>
                    <w:top w:val="single" w:sz="4" w:space="0" w:color="D2C9B8"/>
                    <w:left w:val="single" w:sz="4" w:space="0" w:color="D2C9B8"/>
                    <w:bottom w:val="single" w:sz="4" w:space="0" w:color="D2C9B8"/>
                    <w:right w:val="single" w:sz="4" w:space="0" w:color="D2C9B8"/>
                  </w:tcBorders>
                </w:tcPr>
                <w:p w14:paraId="304647C5" w14:textId="77777777" w:rsidR="005A5FCC" w:rsidRDefault="00A21C81">
                  <w:pPr>
                    <w:spacing w:before="20" w:after="20" w:line="240" w:lineRule="auto"/>
                    <w:jc w:val="left"/>
                  </w:pPr>
                  <w:r>
                    <w:rPr>
                      <w:rFonts w:cs="EB Garamond"/>
                      <w:kern w:val="16"/>
                      <w:sz w:val="16"/>
                      <w14:ligatures w14:val="standardContextual"/>
                    </w:rPr>
                    <w:t>R$ 3.038,99</w:t>
                  </w:r>
                </w:p>
              </w:tc>
              <w:tc>
                <w:tcPr>
                  <w:tcW w:w="2117" w:type="dxa"/>
                  <w:tcBorders>
                    <w:top w:val="single" w:sz="4" w:space="0" w:color="D2C9B8"/>
                    <w:left w:val="single" w:sz="4" w:space="0" w:color="D2C9B8"/>
                    <w:bottom w:val="single" w:sz="4" w:space="0" w:color="D2C9B8"/>
                    <w:right w:val="single" w:sz="4" w:space="0" w:color="D2C9B8"/>
                  </w:tcBorders>
                </w:tcPr>
                <w:p w14:paraId="133C0DA3" w14:textId="77777777" w:rsidR="005A5FCC" w:rsidRDefault="00A21C81">
                  <w:pPr>
                    <w:spacing w:before="20" w:after="20" w:line="240" w:lineRule="auto"/>
                    <w:jc w:val="left"/>
                  </w:pPr>
                  <w:r>
                    <w:rPr>
                      <w:rFonts w:cs="EB Garamond"/>
                      <w:kern w:val="16"/>
                      <w:sz w:val="16"/>
                      <w14:ligatures w14:val="standardContextual"/>
                    </w:rPr>
                    <w:t>Portaria MPS 77/2008</w:t>
                  </w:r>
                </w:p>
              </w:tc>
            </w:tr>
            <w:tr w:rsidR="005A5FCC" w14:paraId="7FF1B382"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1D59CA85" w14:textId="77777777" w:rsidR="005A5FCC" w:rsidRDefault="00A21C81">
                  <w:pPr>
                    <w:spacing w:before="20" w:after="20" w:line="240" w:lineRule="auto"/>
                    <w:jc w:val="left"/>
                  </w:pPr>
                  <w:r>
                    <w:rPr>
                      <w:rFonts w:cs="EB Garamond"/>
                      <w:kern w:val="16"/>
                      <w:sz w:val="16"/>
                      <w14:ligatures w14:val="standardContextual"/>
                    </w:rPr>
                    <w:t>01/01/2010</w:t>
                  </w:r>
                </w:p>
              </w:tc>
              <w:tc>
                <w:tcPr>
                  <w:tcW w:w="2117" w:type="dxa"/>
                  <w:tcBorders>
                    <w:top w:val="single" w:sz="4" w:space="0" w:color="D2C9B8"/>
                    <w:left w:val="single" w:sz="4" w:space="0" w:color="D2C9B8"/>
                    <w:bottom w:val="single" w:sz="4" w:space="0" w:color="D2C9B8"/>
                    <w:right w:val="single" w:sz="4" w:space="0" w:color="D2C9B8"/>
                  </w:tcBorders>
                </w:tcPr>
                <w:p w14:paraId="18BB01C6" w14:textId="77777777" w:rsidR="005A5FCC" w:rsidRDefault="00A21C81">
                  <w:pPr>
                    <w:spacing w:before="20" w:after="20" w:line="240" w:lineRule="auto"/>
                    <w:jc w:val="left"/>
                  </w:pPr>
                  <w:r>
                    <w:rPr>
                      <w:rFonts w:cs="EB Garamond"/>
                      <w:kern w:val="16"/>
                      <w:sz w:val="16"/>
                      <w14:ligatures w14:val="standardContextual"/>
                    </w:rPr>
                    <w:t>R$ 3.416,54</w:t>
                  </w:r>
                </w:p>
              </w:tc>
              <w:tc>
                <w:tcPr>
                  <w:tcW w:w="2117" w:type="dxa"/>
                  <w:tcBorders>
                    <w:top w:val="single" w:sz="4" w:space="0" w:color="D2C9B8"/>
                    <w:left w:val="single" w:sz="4" w:space="0" w:color="D2C9B8"/>
                    <w:bottom w:val="single" w:sz="4" w:space="0" w:color="D2C9B8"/>
                    <w:right w:val="single" w:sz="4" w:space="0" w:color="D2C9B8"/>
                  </w:tcBorders>
                </w:tcPr>
                <w:p w14:paraId="593FCEE9" w14:textId="77777777" w:rsidR="005A5FCC" w:rsidRDefault="00A21C81">
                  <w:pPr>
                    <w:spacing w:before="20" w:after="20" w:line="240" w:lineRule="auto"/>
                    <w:jc w:val="left"/>
                  </w:pPr>
                  <w:r>
                    <w:rPr>
                      <w:rFonts w:cs="EB Garamond"/>
                      <w:kern w:val="16"/>
                      <w:sz w:val="16"/>
                      <w14:ligatures w14:val="standardContextual"/>
                    </w:rPr>
                    <w:t>Portaria MPS 350/2009</w:t>
                  </w:r>
                </w:p>
              </w:tc>
            </w:tr>
            <w:tr w:rsidR="005A5FCC" w14:paraId="1D172F0D"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76806D85" w14:textId="77777777" w:rsidR="005A5FCC" w:rsidRDefault="00A21C81">
                  <w:pPr>
                    <w:spacing w:before="20" w:after="20" w:line="240" w:lineRule="auto"/>
                    <w:jc w:val="left"/>
                  </w:pPr>
                  <w:r>
                    <w:rPr>
                      <w:rFonts w:cs="EB Garamond"/>
                      <w:kern w:val="16"/>
                      <w:sz w:val="16"/>
                      <w14:ligatures w14:val="standardContextual"/>
                    </w:rPr>
                    <w:t>01/01/2012</w:t>
                  </w:r>
                </w:p>
              </w:tc>
              <w:tc>
                <w:tcPr>
                  <w:tcW w:w="2117" w:type="dxa"/>
                  <w:tcBorders>
                    <w:top w:val="single" w:sz="4" w:space="0" w:color="D2C9B8"/>
                    <w:left w:val="single" w:sz="4" w:space="0" w:color="D2C9B8"/>
                    <w:bottom w:val="single" w:sz="4" w:space="0" w:color="D2C9B8"/>
                    <w:right w:val="single" w:sz="4" w:space="0" w:color="D2C9B8"/>
                  </w:tcBorders>
                </w:tcPr>
                <w:p w14:paraId="37F68BB7" w14:textId="77777777" w:rsidR="005A5FCC" w:rsidRDefault="00A21C81">
                  <w:pPr>
                    <w:spacing w:before="20" w:after="20" w:line="240" w:lineRule="auto"/>
                    <w:jc w:val="left"/>
                  </w:pPr>
                  <w:r>
                    <w:rPr>
                      <w:rFonts w:cs="EB Garamond"/>
                      <w:kern w:val="16"/>
                      <w:sz w:val="16"/>
                      <w14:ligatures w14:val="standardContextual"/>
                    </w:rPr>
                    <w:t>R$ 3.916,20</w:t>
                  </w:r>
                </w:p>
              </w:tc>
              <w:tc>
                <w:tcPr>
                  <w:tcW w:w="2117" w:type="dxa"/>
                  <w:tcBorders>
                    <w:top w:val="single" w:sz="4" w:space="0" w:color="D2C9B8"/>
                    <w:left w:val="single" w:sz="4" w:space="0" w:color="D2C9B8"/>
                    <w:bottom w:val="single" w:sz="4" w:space="0" w:color="D2C9B8"/>
                    <w:right w:val="single" w:sz="4" w:space="0" w:color="D2C9B8"/>
                  </w:tcBorders>
                </w:tcPr>
                <w:p w14:paraId="085AC3D3" w14:textId="77777777" w:rsidR="005A5FCC" w:rsidRDefault="00A21C81">
                  <w:pPr>
                    <w:spacing w:before="20" w:after="20" w:line="240" w:lineRule="auto"/>
                    <w:jc w:val="left"/>
                  </w:pPr>
                  <w:r>
                    <w:rPr>
                      <w:rFonts w:cs="EB Garamond"/>
                      <w:kern w:val="16"/>
                      <w:sz w:val="16"/>
                      <w14:ligatures w14:val="standardContextual"/>
                    </w:rPr>
                    <w:t>Portaria MPS/MF 02/2012</w:t>
                  </w:r>
                </w:p>
              </w:tc>
            </w:tr>
            <w:tr w:rsidR="005A5FCC" w14:paraId="0A0B9FCB"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1D74BE72" w14:textId="77777777" w:rsidR="005A5FCC" w:rsidRDefault="00A21C81">
                  <w:pPr>
                    <w:spacing w:before="20" w:after="20" w:line="240" w:lineRule="auto"/>
                    <w:jc w:val="left"/>
                  </w:pPr>
                  <w:r>
                    <w:rPr>
                      <w:rFonts w:cs="EB Garamond"/>
                      <w:kern w:val="16"/>
                      <w:sz w:val="16"/>
                      <w14:ligatures w14:val="standardContextual"/>
                    </w:rPr>
                    <w:t>01/01/2014</w:t>
                  </w:r>
                </w:p>
              </w:tc>
              <w:tc>
                <w:tcPr>
                  <w:tcW w:w="2117" w:type="dxa"/>
                  <w:tcBorders>
                    <w:top w:val="single" w:sz="4" w:space="0" w:color="D2C9B8"/>
                    <w:left w:val="single" w:sz="4" w:space="0" w:color="D2C9B8"/>
                    <w:bottom w:val="single" w:sz="4" w:space="0" w:color="D2C9B8"/>
                    <w:right w:val="single" w:sz="4" w:space="0" w:color="D2C9B8"/>
                  </w:tcBorders>
                </w:tcPr>
                <w:p w14:paraId="22BAE226" w14:textId="77777777" w:rsidR="005A5FCC" w:rsidRDefault="00A21C81">
                  <w:pPr>
                    <w:spacing w:before="20" w:after="20" w:line="240" w:lineRule="auto"/>
                    <w:jc w:val="left"/>
                  </w:pPr>
                  <w:r>
                    <w:rPr>
                      <w:rFonts w:cs="EB Garamond"/>
                      <w:kern w:val="16"/>
                      <w:sz w:val="16"/>
                      <w14:ligatures w14:val="standardContextual"/>
                    </w:rPr>
                    <w:t>R$ 4.390,24</w:t>
                  </w:r>
                </w:p>
              </w:tc>
              <w:tc>
                <w:tcPr>
                  <w:tcW w:w="2117" w:type="dxa"/>
                  <w:tcBorders>
                    <w:top w:val="single" w:sz="4" w:space="0" w:color="D2C9B8"/>
                    <w:left w:val="single" w:sz="4" w:space="0" w:color="D2C9B8"/>
                    <w:bottom w:val="single" w:sz="4" w:space="0" w:color="D2C9B8"/>
                    <w:right w:val="single" w:sz="4" w:space="0" w:color="D2C9B8"/>
                  </w:tcBorders>
                </w:tcPr>
                <w:p w14:paraId="76829143" w14:textId="77777777" w:rsidR="005A5FCC" w:rsidRDefault="00A21C81">
                  <w:pPr>
                    <w:spacing w:before="20" w:after="20" w:line="240" w:lineRule="auto"/>
                    <w:jc w:val="left"/>
                  </w:pPr>
                  <w:r>
                    <w:rPr>
                      <w:rFonts w:cs="EB Garamond"/>
                      <w:kern w:val="16"/>
                      <w:sz w:val="16"/>
                      <w14:ligatures w14:val="standardContextual"/>
                    </w:rPr>
                    <w:t>Portaria MPS/MF 19/2014</w:t>
                  </w:r>
                </w:p>
              </w:tc>
            </w:tr>
            <w:tr w:rsidR="005A5FCC" w14:paraId="1B11C46E"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7AFDEA50" w14:textId="77777777" w:rsidR="005A5FCC" w:rsidRDefault="00A21C81">
                  <w:pPr>
                    <w:spacing w:before="20" w:after="20" w:line="240" w:lineRule="auto"/>
                    <w:jc w:val="left"/>
                  </w:pPr>
                  <w:r>
                    <w:rPr>
                      <w:rFonts w:cs="EB Garamond"/>
                      <w:kern w:val="16"/>
                      <w:sz w:val="16"/>
                      <w14:ligatures w14:val="standardContextual"/>
                    </w:rPr>
                    <w:t>01/01/2016</w:t>
                  </w:r>
                </w:p>
              </w:tc>
              <w:tc>
                <w:tcPr>
                  <w:tcW w:w="2117" w:type="dxa"/>
                  <w:tcBorders>
                    <w:top w:val="single" w:sz="4" w:space="0" w:color="D2C9B8"/>
                    <w:left w:val="single" w:sz="4" w:space="0" w:color="D2C9B8"/>
                    <w:bottom w:val="single" w:sz="4" w:space="0" w:color="D2C9B8"/>
                    <w:right w:val="single" w:sz="4" w:space="0" w:color="D2C9B8"/>
                  </w:tcBorders>
                </w:tcPr>
                <w:p w14:paraId="7A12E869" w14:textId="77777777" w:rsidR="005A5FCC" w:rsidRDefault="00A21C81">
                  <w:pPr>
                    <w:spacing w:before="20" w:after="20" w:line="240" w:lineRule="auto"/>
                    <w:jc w:val="left"/>
                  </w:pPr>
                  <w:r>
                    <w:rPr>
                      <w:rFonts w:cs="EB Garamond"/>
                      <w:kern w:val="16"/>
                      <w:sz w:val="16"/>
                      <w14:ligatures w14:val="standardContextual"/>
                    </w:rPr>
                    <w:t>R$ 5.189,82</w:t>
                  </w:r>
                </w:p>
              </w:tc>
              <w:tc>
                <w:tcPr>
                  <w:tcW w:w="2117" w:type="dxa"/>
                  <w:tcBorders>
                    <w:top w:val="single" w:sz="4" w:space="0" w:color="D2C9B8"/>
                    <w:left w:val="single" w:sz="4" w:space="0" w:color="D2C9B8"/>
                    <w:bottom w:val="single" w:sz="4" w:space="0" w:color="D2C9B8"/>
                    <w:right w:val="single" w:sz="4" w:space="0" w:color="D2C9B8"/>
                  </w:tcBorders>
                </w:tcPr>
                <w:p w14:paraId="426AECF8" w14:textId="77777777" w:rsidR="005A5FCC" w:rsidRDefault="00A21C81">
                  <w:pPr>
                    <w:spacing w:before="20" w:after="20" w:line="240" w:lineRule="auto"/>
                    <w:jc w:val="left"/>
                  </w:pPr>
                  <w:r>
                    <w:rPr>
                      <w:rFonts w:cs="EB Garamond"/>
                      <w:kern w:val="16"/>
                      <w:sz w:val="16"/>
                      <w14:ligatures w14:val="standardContextual"/>
                    </w:rPr>
                    <w:t>Portaria MPS/MF 01/2016</w:t>
                  </w:r>
                </w:p>
              </w:tc>
            </w:tr>
            <w:tr w:rsidR="005A5FCC" w14:paraId="491DA3F5"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13A97DBD" w14:textId="77777777" w:rsidR="005A5FCC" w:rsidRDefault="00A21C81">
                  <w:pPr>
                    <w:spacing w:before="20" w:after="20" w:line="240" w:lineRule="auto"/>
                    <w:jc w:val="left"/>
                  </w:pPr>
                  <w:r>
                    <w:rPr>
                      <w:rFonts w:cs="EB Garamond"/>
                      <w:kern w:val="16"/>
                      <w:sz w:val="16"/>
                      <w14:ligatures w14:val="standardContextual"/>
                    </w:rPr>
                    <w:t>01/01/2018</w:t>
                  </w:r>
                </w:p>
              </w:tc>
              <w:tc>
                <w:tcPr>
                  <w:tcW w:w="2117" w:type="dxa"/>
                  <w:tcBorders>
                    <w:top w:val="single" w:sz="4" w:space="0" w:color="D2C9B8"/>
                    <w:left w:val="single" w:sz="4" w:space="0" w:color="D2C9B8"/>
                    <w:bottom w:val="single" w:sz="4" w:space="0" w:color="D2C9B8"/>
                    <w:right w:val="single" w:sz="4" w:space="0" w:color="D2C9B8"/>
                  </w:tcBorders>
                </w:tcPr>
                <w:p w14:paraId="684983F7" w14:textId="77777777" w:rsidR="005A5FCC" w:rsidRDefault="00A21C81">
                  <w:pPr>
                    <w:spacing w:before="20" w:after="20" w:line="240" w:lineRule="auto"/>
                    <w:jc w:val="left"/>
                  </w:pPr>
                  <w:r>
                    <w:rPr>
                      <w:rFonts w:cs="EB Garamond"/>
                      <w:kern w:val="16"/>
                      <w:sz w:val="16"/>
                      <w14:ligatures w14:val="standardContextual"/>
                    </w:rPr>
                    <w:t>R$ 5.645,80</w:t>
                  </w:r>
                </w:p>
              </w:tc>
              <w:tc>
                <w:tcPr>
                  <w:tcW w:w="2117" w:type="dxa"/>
                  <w:tcBorders>
                    <w:top w:val="single" w:sz="4" w:space="0" w:color="D2C9B8"/>
                    <w:left w:val="single" w:sz="4" w:space="0" w:color="D2C9B8"/>
                    <w:bottom w:val="single" w:sz="4" w:space="0" w:color="D2C9B8"/>
                    <w:right w:val="single" w:sz="4" w:space="0" w:color="D2C9B8"/>
                  </w:tcBorders>
                </w:tcPr>
                <w:p w14:paraId="67587F6F" w14:textId="77777777" w:rsidR="005A5FCC" w:rsidRDefault="00A21C81">
                  <w:pPr>
                    <w:spacing w:before="20" w:after="20" w:line="240" w:lineRule="auto"/>
                    <w:jc w:val="left"/>
                  </w:pPr>
                  <w:r>
                    <w:rPr>
                      <w:rFonts w:cs="EB Garamond"/>
                      <w:kern w:val="16"/>
                      <w:sz w:val="16"/>
                      <w14:ligatures w14:val="standardContextual"/>
                    </w:rPr>
                    <w:t>Portaria MF 15/2018</w:t>
                  </w:r>
                </w:p>
              </w:tc>
            </w:tr>
            <w:tr w:rsidR="005A5FCC" w14:paraId="4F02FD9A"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1127D7A8" w14:textId="77777777" w:rsidR="005A5FCC" w:rsidRDefault="00A21C81">
                  <w:pPr>
                    <w:spacing w:before="20" w:after="20" w:line="240" w:lineRule="auto"/>
                    <w:jc w:val="left"/>
                  </w:pPr>
                  <w:r>
                    <w:rPr>
                      <w:rFonts w:cs="EB Garamond"/>
                      <w:kern w:val="16"/>
                      <w:sz w:val="16"/>
                      <w14:ligatures w14:val="standardContextual"/>
                    </w:rPr>
                    <w:t>01/01/2020</w:t>
                  </w:r>
                </w:p>
              </w:tc>
              <w:tc>
                <w:tcPr>
                  <w:tcW w:w="2117" w:type="dxa"/>
                  <w:tcBorders>
                    <w:top w:val="single" w:sz="4" w:space="0" w:color="D2C9B8"/>
                    <w:left w:val="single" w:sz="4" w:space="0" w:color="D2C9B8"/>
                    <w:bottom w:val="single" w:sz="4" w:space="0" w:color="D2C9B8"/>
                    <w:right w:val="single" w:sz="4" w:space="0" w:color="D2C9B8"/>
                  </w:tcBorders>
                </w:tcPr>
                <w:p w14:paraId="4088FFDA" w14:textId="77777777" w:rsidR="005A5FCC" w:rsidRDefault="00A21C81">
                  <w:pPr>
                    <w:spacing w:before="20" w:after="20" w:line="240" w:lineRule="auto"/>
                    <w:jc w:val="left"/>
                  </w:pPr>
                  <w:r>
                    <w:rPr>
                      <w:rFonts w:cs="EB Garamond"/>
                      <w:kern w:val="16"/>
                      <w:sz w:val="16"/>
                      <w14:ligatures w14:val="standardContextual"/>
                    </w:rPr>
                    <w:t>R$ 6.101,06</w:t>
                  </w:r>
                </w:p>
              </w:tc>
              <w:tc>
                <w:tcPr>
                  <w:tcW w:w="2117" w:type="dxa"/>
                  <w:tcBorders>
                    <w:top w:val="single" w:sz="4" w:space="0" w:color="D2C9B8"/>
                    <w:left w:val="single" w:sz="4" w:space="0" w:color="D2C9B8"/>
                    <w:bottom w:val="single" w:sz="4" w:space="0" w:color="D2C9B8"/>
                    <w:right w:val="single" w:sz="4" w:space="0" w:color="D2C9B8"/>
                  </w:tcBorders>
                </w:tcPr>
                <w:p w14:paraId="62CC3465" w14:textId="77777777" w:rsidR="005A5FCC" w:rsidRDefault="00A21C81">
                  <w:pPr>
                    <w:spacing w:before="20" w:after="20" w:line="240" w:lineRule="auto"/>
                    <w:jc w:val="left"/>
                  </w:pPr>
                  <w:r>
                    <w:rPr>
                      <w:rFonts w:cs="EB Garamond"/>
                      <w:kern w:val="16"/>
                      <w:sz w:val="16"/>
                      <w14:ligatures w14:val="standardContextual"/>
                    </w:rPr>
                    <w:t>Portaria SEPRT 3.659/2020</w:t>
                  </w:r>
                </w:p>
              </w:tc>
            </w:tr>
            <w:tr w:rsidR="005A5FCC" w14:paraId="6ACAC0E6"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40C7E0E6" w14:textId="77777777" w:rsidR="005A5FCC" w:rsidRDefault="00A21C81">
                  <w:pPr>
                    <w:spacing w:before="20" w:after="20" w:line="240" w:lineRule="auto"/>
                    <w:jc w:val="left"/>
                  </w:pPr>
                  <w:r>
                    <w:rPr>
                      <w:rFonts w:cs="EB Garamond"/>
                      <w:kern w:val="16"/>
                      <w:sz w:val="16"/>
                      <w14:ligatures w14:val="standardContextual"/>
                    </w:rPr>
                    <w:t>01/01/2021</w:t>
                  </w:r>
                </w:p>
              </w:tc>
              <w:tc>
                <w:tcPr>
                  <w:tcW w:w="2117" w:type="dxa"/>
                  <w:tcBorders>
                    <w:top w:val="single" w:sz="4" w:space="0" w:color="D2C9B8"/>
                    <w:left w:val="single" w:sz="4" w:space="0" w:color="D2C9B8"/>
                    <w:bottom w:val="single" w:sz="4" w:space="0" w:color="D2C9B8"/>
                    <w:right w:val="single" w:sz="4" w:space="0" w:color="D2C9B8"/>
                  </w:tcBorders>
                </w:tcPr>
                <w:p w14:paraId="4F0BBD3B" w14:textId="77777777" w:rsidR="005A5FCC" w:rsidRDefault="00A21C81">
                  <w:pPr>
                    <w:spacing w:before="20" w:after="20" w:line="240" w:lineRule="auto"/>
                    <w:jc w:val="left"/>
                  </w:pPr>
                  <w:r>
                    <w:rPr>
                      <w:rFonts w:cs="EB Garamond"/>
                      <w:kern w:val="16"/>
                      <w:sz w:val="16"/>
                      <w14:ligatures w14:val="standardContextual"/>
                    </w:rPr>
                    <w:t>R$ 6.433,57</w:t>
                  </w:r>
                </w:p>
              </w:tc>
              <w:tc>
                <w:tcPr>
                  <w:tcW w:w="2117" w:type="dxa"/>
                  <w:tcBorders>
                    <w:top w:val="single" w:sz="4" w:space="0" w:color="D2C9B8"/>
                    <w:left w:val="single" w:sz="4" w:space="0" w:color="D2C9B8"/>
                    <w:bottom w:val="single" w:sz="4" w:space="0" w:color="D2C9B8"/>
                    <w:right w:val="single" w:sz="4" w:space="0" w:color="D2C9B8"/>
                  </w:tcBorders>
                </w:tcPr>
                <w:p w14:paraId="10676CEF" w14:textId="77777777" w:rsidR="005A5FCC" w:rsidRDefault="00A21C81">
                  <w:pPr>
                    <w:spacing w:before="20" w:after="20" w:line="240" w:lineRule="auto"/>
                    <w:jc w:val="left"/>
                  </w:pPr>
                  <w:r>
                    <w:rPr>
                      <w:rFonts w:cs="EB Garamond"/>
                      <w:kern w:val="16"/>
                      <w:sz w:val="16"/>
                      <w14:ligatures w14:val="standardContextual"/>
                    </w:rPr>
                    <w:t>Portaria SEPRT 477/2021</w:t>
                  </w:r>
                </w:p>
              </w:tc>
            </w:tr>
            <w:tr w:rsidR="005A5FCC" w14:paraId="5CF0B72A"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7F571A9B" w14:textId="77777777" w:rsidR="005A5FCC" w:rsidRDefault="00A21C81">
                  <w:pPr>
                    <w:spacing w:before="20" w:after="20" w:line="240" w:lineRule="auto"/>
                    <w:jc w:val="left"/>
                  </w:pPr>
                  <w:r>
                    <w:rPr>
                      <w:rFonts w:cs="EB Garamond"/>
                      <w:kern w:val="16"/>
                      <w:sz w:val="16"/>
                      <w14:ligatures w14:val="standardContextual"/>
                    </w:rPr>
                    <w:t>01/01/2022</w:t>
                  </w:r>
                </w:p>
              </w:tc>
              <w:tc>
                <w:tcPr>
                  <w:tcW w:w="2117" w:type="dxa"/>
                  <w:tcBorders>
                    <w:top w:val="single" w:sz="4" w:space="0" w:color="D2C9B8"/>
                    <w:left w:val="single" w:sz="4" w:space="0" w:color="D2C9B8"/>
                    <w:bottom w:val="single" w:sz="4" w:space="0" w:color="D2C9B8"/>
                    <w:right w:val="single" w:sz="4" w:space="0" w:color="D2C9B8"/>
                  </w:tcBorders>
                </w:tcPr>
                <w:p w14:paraId="4BA4B19B" w14:textId="77777777" w:rsidR="005A5FCC" w:rsidRDefault="00A21C81">
                  <w:pPr>
                    <w:spacing w:before="20" w:after="20" w:line="240" w:lineRule="auto"/>
                    <w:jc w:val="left"/>
                  </w:pPr>
                  <w:r>
                    <w:rPr>
                      <w:rFonts w:cs="EB Garamond"/>
                      <w:kern w:val="16"/>
                      <w:sz w:val="16"/>
                      <w14:ligatures w14:val="standardContextual"/>
                    </w:rPr>
                    <w:t>R$ 7.087,22</w:t>
                  </w:r>
                </w:p>
              </w:tc>
              <w:tc>
                <w:tcPr>
                  <w:tcW w:w="2117" w:type="dxa"/>
                  <w:tcBorders>
                    <w:top w:val="single" w:sz="4" w:space="0" w:color="D2C9B8"/>
                    <w:left w:val="single" w:sz="4" w:space="0" w:color="D2C9B8"/>
                    <w:bottom w:val="single" w:sz="4" w:space="0" w:color="D2C9B8"/>
                    <w:right w:val="single" w:sz="4" w:space="0" w:color="D2C9B8"/>
                  </w:tcBorders>
                </w:tcPr>
                <w:p w14:paraId="083E668C" w14:textId="77777777" w:rsidR="005A5FCC" w:rsidRDefault="00A21C81">
                  <w:pPr>
                    <w:spacing w:before="20" w:after="20" w:line="240" w:lineRule="auto"/>
                    <w:jc w:val="left"/>
                  </w:pPr>
                  <w:r>
                    <w:rPr>
                      <w:rFonts w:cs="EB Garamond"/>
                      <w:kern w:val="16"/>
                      <w:sz w:val="16"/>
                      <w14:ligatures w14:val="standardContextual"/>
                    </w:rPr>
                    <w:t>Portaria MTP 12/2022</w:t>
                  </w:r>
                </w:p>
              </w:tc>
            </w:tr>
            <w:tr w:rsidR="005A5FCC" w14:paraId="590A9E73"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19AFA9D7" w14:textId="77777777" w:rsidR="005A5FCC" w:rsidRDefault="00A21C81">
                  <w:pPr>
                    <w:spacing w:before="20" w:after="20" w:line="240" w:lineRule="auto"/>
                    <w:jc w:val="left"/>
                  </w:pPr>
                  <w:r>
                    <w:rPr>
                      <w:rFonts w:cs="EB Garamond"/>
                      <w:kern w:val="16"/>
                      <w:sz w:val="16"/>
                      <w14:ligatures w14:val="standardContextual"/>
                    </w:rPr>
                    <w:t>01/01/2023</w:t>
                  </w:r>
                </w:p>
              </w:tc>
              <w:tc>
                <w:tcPr>
                  <w:tcW w:w="2117" w:type="dxa"/>
                  <w:tcBorders>
                    <w:top w:val="single" w:sz="4" w:space="0" w:color="D2C9B8"/>
                    <w:left w:val="single" w:sz="4" w:space="0" w:color="D2C9B8"/>
                    <w:bottom w:val="single" w:sz="4" w:space="0" w:color="D2C9B8"/>
                    <w:right w:val="single" w:sz="4" w:space="0" w:color="D2C9B8"/>
                  </w:tcBorders>
                </w:tcPr>
                <w:p w14:paraId="03135FF2" w14:textId="77777777" w:rsidR="005A5FCC" w:rsidRDefault="00A21C81">
                  <w:pPr>
                    <w:spacing w:before="20" w:after="20" w:line="240" w:lineRule="auto"/>
                    <w:jc w:val="left"/>
                  </w:pPr>
                  <w:r>
                    <w:rPr>
                      <w:rFonts w:cs="EB Garamond"/>
                      <w:kern w:val="16"/>
                      <w:sz w:val="16"/>
                      <w14:ligatures w14:val="standardContextual"/>
                    </w:rPr>
                    <w:t>R$ 7.507,49</w:t>
                  </w:r>
                </w:p>
              </w:tc>
              <w:tc>
                <w:tcPr>
                  <w:tcW w:w="2117" w:type="dxa"/>
                  <w:tcBorders>
                    <w:top w:val="single" w:sz="4" w:space="0" w:color="D2C9B8"/>
                    <w:left w:val="single" w:sz="4" w:space="0" w:color="D2C9B8"/>
                    <w:bottom w:val="single" w:sz="4" w:space="0" w:color="D2C9B8"/>
                    <w:right w:val="single" w:sz="4" w:space="0" w:color="D2C9B8"/>
                  </w:tcBorders>
                </w:tcPr>
                <w:p w14:paraId="19547B4B" w14:textId="77777777" w:rsidR="005A5FCC" w:rsidRDefault="00A21C81">
                  <w:pPr>
                    <w:spacing w:before="20" w:after="20" w:line="240" w:lineRule="auto"/>
                    <w:jc w:val="left"/>
                  </w:pPr>
                  <w:r>
                    <w:rPr>
                      <w:rFonts w:cs="EB Garamond"/>
                      <w:kern w:val="16"/>
                      <w:sz w:val="16"/>
                      <w14:ligatures w14:val="standardContextual"/>
                    </w:rPr>
                    <w:t>Portaria MPS/MF 26/2023</w:t>
                  </w:r>
                </w:p>
              </w:tc>
            </w:tr>
            <w:tr w:rsidR="005A5FCC" w14:paraId="47BA04B6"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076D8716" w14:textId="77777777" w:rsidR="005A5FCC" w:rsidRDefault="00A21C81">
                  <w:pPr>
                    <w:spacing w:before="20" w:after="20" w:line="240" w:lineRule="auto"/>
                    <w:jc w:val="left"/>
                  </w:pPr>
                  <w:r>
                    <w:rPr>
                      <w:rFonts w:cs="EB Garamond"/>
                      <w:kern w:val="16"/>
                      <w:sz w:val="16"/>
                      <w14:ligatures w14:val="standardContextual"/>
                    </w:rPr>
                    <w:t>01/01/2024</w:t>
                  </w:r>
                </w:p>
              </w:tc>
              <w:tc>
                <w:tcPr>
                  <w:tcW w:w="2117" w:type="dxa"/>
                  <w:tcBorders>
                    <w:top w:val="single" w:sz="4" w:space="0" w:color="D2C9B8"/>
                    <w:left w:val="single" w:sz="4" w:space="0" w:color="D2C9B8"/>
                    <w:bottom w:val="single" w:sz="4" w:space="0" w:color="D2C9B8"/>
                    <w:right w:val="single" w:sz="4" w:space="0" w:color="D2C9B8"/>
                  </w:tcBorders>
                </w:tcPr>
                <w:p w14:paraId="0FE3FA49" w14:textId="77777777" w:rsidR="005A5FCC" w:rsidRDefault="00A21C81">
                  <w:pPr>
                    <w:spacing w:before="20" w:after="20" w:line="240" w:lineRule="auto"/>
                    <w:jc w:val="left"/>
                  </w:pPr>
                  <w:r>
                    <w:rPr>
                      <w:rFonts w:cs="EB Garamond"/>
                      <w:kern w:val="16"/>
                      <w:sz w:val="16"/>
                      <w14:ligatures w14:val="standardContextual"/>
                    </w:rPr>
                    <w:t>R$ 7.786,02</w:t>
                  </w:r>
                </w:p>
              </w:tc>
              <w:tc>
                <w:tcPr>
                  <w:tcW w:w="2117" w:type="dxa"/>
                  <w:tcBorders>
                    <w:top w:val="single" w:sz="4" w:space="0" w:color="D2C9B8"/>
                    <w:left w:val="single" w:sz="4" w:space="0" w:color="D2C9B8"/>
                    <w:bottom w:val="single" w:sz="4" w:space="0" w:color="D2C9B8"/>
                    <w:right w:val="single" w:sz="4" w:space="0" w:color="D2C9B8"/>
                  </w:tcBorders>
                </w:tcPr>
                <w:p w14:paraId="38058B33" w14:textId="77777777" w:rsidR="005A5FCC" w:rsidRDefault="00A21C81">
                  <w:pPr>
                    <w:spacing w:before="20" w:after="20" w:line="240" w:lineRule="auto"/>
                    <w:jc w:val="left"/>
                  </w:pPr>
                  <w:r>
                    <w:rPr>
                      <w:rFonts w:cs="EB Garamond"/>
                      <w:kern w:val="16"/>
                      <w:sz w:val="16"/>
                      <w14:ligatures w14:val="standardContextual"/>
                    </w:rPr>
                    <w:t>Portaria MPS/MF 2/2024</w:t>
                  </w:r>
                </w:p>
              </w:tc>
            </w:tr>
            <w:tr w:rsidR="005A5FCC" w14:paraId="386F6C9A"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46538425" w14:textId="77777777" w:rsidR="005A5FCC" w:rsidRDefault="00A21C81">
                  <w:pPr>
                    <w:spacing w:before="20" w:after="20" w:line="240" w:lineRule="auto"/>
                    <w:jc w:val="left"/>
                  </w:pPr>
                  <w:r>
                    <w:rPr>
                      <w:rFonts w:cs="EB Garamond"/>
                      <w:kern w:val="16"/>
                      <w:sz w:val="16"/>
                      <w14:ligatures w14:val="standardContextual"/>
                    </w:rPr>
                    <w:t>01/01/2025</w:t>
                  </w:r>
                </w:p>
              </w:tc>
              <w:tc>
                <w:tcPr>
                  <w:tcW w:w="2117" w:type="dxa"/>
                  <w:tcBorders>
                    <w:top w:val="single" w:sz="4" w:space="0" w:color="D2C9B8"/>
                    <w:left w:val="single" w:sz="4" w:space="0" w:color="D2C9B8"/>
                    <w:bottom w:val="single" w:sz="4" w:space="0" w:color="D2C9B8"/>
                    <w:right w:val="single" w:sz="4" w:space="0" w:color="D2C9B8"/>
                  </w:tcBorders>
                </w:tcPr>
                <w:p w14:paraId="0D016AF8" w14:textId="77777777" w:rsidR="005A5FCC" w:rsidRDefault="00A21C81">
                  <w:pPr>
                    <w:spacing w:before="20" w:after="20" w:line="240" w:lineRule="auto"/>
                    <w:jc w:val="left"/>
                  </w:pPr>
                  <w:r>
                    <w:rPr>
                      <w:rFonts w:cs="EB Garamond"/>
                      <w:kern w:val="16"/>
                      <w:sz w:val="16"/>
                      <w14:ligatures w14:val="standardContextual"/>
                    </w:rPr>
                    <w:t>R$ 8.157,41</w:t>
                  </w:r>
                </w:p>
              </w:tc>
              <w:tc>
                <w:tcPr>
                  <w:tcW w:w="2117" w:type="dxa"/>
                  <w:tcBorders>
                    <w:top w:val="single" w:sz="4" w:space="0" w:color="D2C9B8"/>
                    <w:left w:val="single" w:sz="4" w:space="0" w:color="D2C9B8"/>
                    <w:bottom w:val="single" w:sz="4" w:space="0" w:color="D2C9B8"/>
                    <w:right w:val="single" w:sz="4" w:space="0" w:color="D2C9B8"/>
                  </w:tcBorders>
                </w:tcPr>
                <w:p w14:paraId="0A715250" w14:textId="77777777" w:rsidR="005A5FCC" w:rsidRDefault="00A21C81">
                  <w:pPr>
                    <w:spacing w:before="20" w:after="20" w:line="240" w:lineRule="auto"/>
                    <w:jc w:val="left"/>
                  </w:pPr>
                  <w:r>
                    <w:rPr>
                      <w:rFonts w:cs="EB Garamond"/>
                      <w:kern w:val="16"/>
                      <w:sz w:val="16"/>
                      <w14:ligatures w14:val="standardContextual"/>
                    </w:rPr>
                    <w:t>Portaria MPS/MF 6/2025</w:t>
                  </w:r>
                </w:p>
              </w:tc>
            </w:tr>
            <w:tr w:rsidR="005A5FCC" w14:paraId="430864E1"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25A629DC" w14:textId="77777777" w:rsidR="005A5FCC" w:rsidRDefault="00A21C81">
                  <w:pPr>
                    <w:spacing w:before="20" w:after="20" w:line="240" w:lineRule="auto"/>
                    <w:jc w:val="left"/>
                  </w:pPr>
                  <w:r>
                    <w:rPr>
                      <w:rFonts w:cs="EB Garamond"/>
                      <w:kern w:val="16"/>
                      <w:sz w:val="16"/>
                      <w14:ligatures w14:val="standardContextual"/>
                    </w:rPr>
                    <w:t>01/01/2026</w:t>
                  </w:r>
                </w:p>
              </w:tc>
              <w:tc>
                <w:tcPr>
                  <w:tcW w:w="2117" w:type="dxa"/>
                  <w:tcBorders>
                    <w:top w:val="single" w:sz="4" w:space="0" w:color="D2C9B8"/>
                    <w:left w:val="single" w:sz="4" w:space="0" w:color="D2C9B8"/>
                    <w:bottom w:val="single" w:sz="4" w:space="0" w:color="D2C9B8"/>
                    <w:right w:val="single" w:sz="4" w:space="0" w:color="D2C9B8"/>
                  </w:tcBorders>
                </w:tcPr>
                <w:p w14:paraId="72A0B58F" w14:textId="77777777" w:rsidR="005A5FCC" w:rsidRDefault="00A21C81">
                  <w:pPr>
                    <w:spacing w:before="20" w:after="20" w:line="240" w:lineRule="auto"/>
                    <w:jc w:val="left"/>
                  </w:pPr>
                  <w:r>
                    <w:rPr>
                      <w:rFonts w:cs="EB Garamond"/>
                      <w:kern w:val="16"/>
                      <w:sz w:val="16"/>
                      <w14:ligatures w14:val="standardContextual"/>
                    </w:rPr>
                    <w:t>R$ 8.475,55</w:t>
                  </w:r>
                </w:p>
              </w:tc>
              <w:tc>
                <w:tcPr>
                  <w:tcW w:w="2117" w:type="dxa"/>
                  <w:tcBorders>
                    <w:top w:val="single" w:sz="4" w:space="0" w:color="D2C9B8"/>
                    <w:left w:val="single" w:sz="4" w:space="0" w:color="D2C9B8"/>
                    <w:bottom w:val="single" w:sz="4" w:space="0" w:color="D2C9B8"/>
                    <w:right w:val="single" w:sz="4" w:space="0" w:color="D2C9B8"/>
                  </w:tcBorders>
                </w:tcPr>
                <w:p w14:paraId="1A622A95" w14:textId="77777777" w:rsidR="005A5FCC" w:rsidRDefault="00A21C81">
                  <w:pPr>
                    <w:spacing w:before="20" w:after="20" w:line="240" w:lineRule="auto"/>
                    <w:jc w:val="left"/>
                  </w:pPr>
                  <w:r>
                    <w:rPr>
                      <w:rFonts w:cs="EB Garamond"/>
                      <w:kern w:val="16"/>
                      <w:sz w:val="16"/>
                      <w14:ligatures w14:val="standardContextual"/>
                    </w:rPr>
                    <w:t>Portaria MPS/MF 13/2026 (INPC 3,90%)</w:t>
                  </w:r>
                </w:p>
              </w:tc>
            </w:tr>
          </w:tbl>
          <w:p w14:paraId="3412E1E8" w14:textId="77777777" w:rsidR="005A5FCC" w:rsidRDefault="005A5FCC"/>
          <w:p w14:paraId="537156C6" w14:textId="77777777" w:rsidR="005A5FCC" w:rsidRDefault="005A5FCC">
            <w:pPr>
              <w:spacing w:after="0" w:line="240" w:lineRule="auto"/>
            </w:pPr>
          </w:p>
        </w:tc>
      </w:tr>
    </w:tbl>
    <w:p w14:paraId="2547FD8F" w14:textId="77777777" w:rsidR="005A5FCC" w:rsidRDefault="005A5FCC">
      <w:pPr>
        <w:spacing w:after="80" w:line="240" w:lineRule="auto"/>
      </w:pPr>
    </w:p>
    <w:tbl>
      <w:tblPr>
        <w:tblW w:w="5000" w:type="pct"/>
        <w:jc w:val="center"/>
        <w:tblLayout w:type="fixed"/>
        <w:tblLook w:val="04A0" w:firstRow="1" w:lastRow="0" w:firstColumn="1" w:lastColumn="0" w:noHBand="0" w:noVBand="1"/>
      </w:tblPr>
      <w:tblGrid>
        <w:gridCol w:w="6311"/>
      </w:tblGrid>
      <w:tr w:rsidR="005A5FCC" w14:paraId="0C333E08" w14:textId="77777777">
        <w:trPr>
          <w:cantSplit/>
          <w:jc w:val="center"/>
        </w:trPr>
        <w:tc>
          <w:tcPr>
            <w:tcW w:w="6350" w:type="dxa"/>
            <w:tcBorders>
              <w:top w:val="single" w:sz="7" w:space="0" w:color="A09882"/>
              <w:left w:val="single" w:sz="24" w:space="0" w:color="6B6256"/>
              <w:bottom w:val="single" w:sz="7" w:space="0" w:color="A09882"/>
              <w:right w:val="single" w:sz="7" w:space="0" w:color="A09882"/>
            </w:tcBorders>
            <w:shd w:val="clear" w:color="auto" w:fill="F5F3EF"/>
            <w:tcMar>
              <w:top w:w="150" w:type="dxa"/>
              <w:left w:w="220" w:type="dxa"/>
              <w:bottom w:w="150" w:type="dxa"/>
              <w:right w:w="180" w:type="dxa"/>
            </w:tcMar>
          </w:tcPr>
          <w:p w14:paraId="55D70F72" w14:textId="77777777" w:rsidR="005A5FCC" w:rsidRDefault="00A21C81">
            <w:pPr>
              <w:spacing w:after="60" w:line="240" w:lineRule="auto"/>
              <w:jc w:val="left"/>
            </w:pPr>
            <w:r>
              <w:rPr>
                <w:rFonts w:ascii="Noto Sans" w:hAnsi="Noto Sans" w:cs="Noto Sans"/>
                <w:b/>
                <w:caps/>
                <w:color w:val="6B6256"/>
                <w:kern w:val="16"/>
                <w:sz w:val="16"/>
                <w14:ligatures w14:val="standardContextual"/>
              </w:rPr>
              <w:lastRenderedPageBreak/>
              <w:t>QUADRO</w:t>
            </w:r>
          </w:p>
          <w:p w14:paraId="3678609B" w14:textId="77777777" w:rsidR="005A5FCC" w:rsidRDefault="00A21C81">
            <w:pPr>
              <w:spacing w:after="60" w:line="247" w:lineRule="auto"/>
            </w:pPr>
            <w:r>
              <w:rPr>
                <w:rFonts w:cs="EB Garamond"/>
                <w:b/>
                <w:kern w:val="16"/>
                <w:sz w:val="19"/>
                <w14:ligatures w14:val="standardContextual"/>
              </w:rPr>
              <w:t>Quadro 16.8 — Checklist de Conferência de Cálculo para o Magistrado</w:t>
            </w:r>
          </w:p>
          <w:tbl>
            <w:tblPr>
              <w:tblW w:w="5000" w:type="pct"/>
              <w:jc w:val="center"/>
              <w:tblLook w:val="04A0" w:firstRow="1" w:lastRow="0" w:firstColumn="1" w:lastColumn="0" w:noHBand="0" w:noVBand="1"/>
            </w:tblPr>
            <w:tblGrid>
              <w:gridCol w:w="1967"/>
              <w:gridCol w:w="1967"/>
              <w:gridCol w:w="1967"/>
            </w:tblGrid>
            <w:tr w:rsidR="005A5FCC" w14:paraId="76F22AA5" w14:textId="77777777">
              <w:trPr>
                <w:tblHeader/>
                <w:jc w:val="center"/>
              </w:trPr>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431EEC21" w14:textId="77777777" w:rsidR="005A5FCC" w:rsidRDefault="00A21C81">
                  <w:pPr>
                    <w:spacing w:before="30" w:after="30" w:line="240" w:lineRule="auto"/>
                    <w:jc w:val="center"/>
                  </w:pPr>
                  <w:r>
                    <w:rPr>
                      <w:rFonts w:cs="EB Garamond"/>
                      <w:b/>
                      <w:color w:val="2F2923"/>
                      <w:kern w:val="16"/>
                      <w:sz w:val="16"/>
                      <w14:ligatures w14:val="standardContextual"/>
                    </w:rPr>
                    <w:t>Item</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14559551" w14:textId="77777777" w:rsidR="005A5FCC" w:rsidRDefault="00A21C81">
                  <w:pPr>
                    <w:spacing w:before="30" w:after="30" w:line="240" w:lineRule="auto"/>
                    <w:jc w:val="center"/>
                  </w:pPr>
                  <w:r>
                    <w:rPr>
                      <w:rFonts w:cs="EB Garamond"/>
                      <w:b/>
                      <w:color w:val="2F2923"/>
                      <w:kern w:val="16"/>
                      <w:sz w:val="16"/>
                      <w14:ligatures w14:val="standardContextual"/>
                    </w:rPr>
                    <w:t>Verificação</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324E0A69" w14:textId="77777777" w:rsidR="005A5FCC" w:rsidRDefault="00A21C81">
                  <w:pPr>
                    <w:spacing w:before="30" w:after="30" w:line="240" w:lineRule="auto"/>
                    <w:jc w:val="center"/>
                  </w:pPr>
                  <w:r>
                    <w:rPr>
                      <w:rFonts w:cs="EB Garamond"/>
                      <w:b/>
                      <w:color w:val="2F2923"/>
                      <w:kern w:val="16"/>
                      <w:sz w:val="16"/>
                      <w14:ligatures w14:val="standardContextual"/>
                    </w:rPr>
                    <w:t>Fonte/Sistema</w:t>
                  </w:r>
                </w:p>
              </w:tc>
            </w:tr>
            <w:tr w:rsidR="005A5FCC" w14:paraId="3244A7C1"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435AE73D" w14:textId="77777777" w:rsidR="005A5FCC" w:rsidRDefault="00A21C81">
                  <w:pPr>
                    <w:spacing w:before="20" w:after="20" w:line="240" w:lineRule="auto"/>
                    <w:jc w:val="left"/>
                  </w:pPr>
                  <w:r>
                    <w:rPr>
                      <w:rFonts w:cs="EB Garamond"/>
                      <w:kern w:val="16"/>
                      <w:sz w:val="16"/>
                      <w14:ligatures w14:val="standardContextual"/>
                    </w:rPr>
                    <w:t>1. SC no CNIS</w:t>
                  </w:r>
                </w:p>
              </w:tc>
              <w:tc>
                <w:tcPr>
                  <w:tcW w:w="2117" w:type="dxa"/>
                  <w:tcBorders>
                    <w:top w:val="single" w:sz="4" w:space="0" w:color="D2C9B8"/>
                    <w:left w:val="single" w:sz="4" w:space="0" w:color="D2C9B8"/>
                    <w:bottom w:val="single" w:sz="4" w:space="0" w:color="D2C9B8"/>
                    <w:right w:val="single" w:sz="4" w:space="0" w:color="D2C9B8"/>
                  </w:tcBorders>
                </w:tcPr>
                <w:p w14:paraId="1165ED33" w14:textId="77777777" w:rsidR="005A5FCC" w:rsidRDefault="00A21C81">
                  <w:pPr>
                    <w:spacing w:before="20" w:after="20" w:line="240" w:lineRule="auto"/>
                    <w:jc w:val="left"/>
                  </w:pPr>
                  <w:r>
                    <w:rPr>
                      <w:rFonts w:cs="EB Garamond"/>
                      <w:kern w:val="16"/>
                      <w:sz w:val="16"/>
                      <w14:ligatures w14:val="standardContextual"/>
                    </w:rPr>
                    <w:t>Todos os vínculos e remunerações estão registrados? Há períodos sem informação?</w:t>
                  </w:r>
                </w:p>
              </w:tc>
              <w:tc>
                <w:tcPr>
                  <w:tcW w:w="2117" w:type="dxa"/>
                  <w:tcBorders>
                    <w:top w:val="single" w:sz="4" w:space="0" w:color="D2C9B8"/>
                    <w:left w:val="single" w:sz="4" w:space="0" w:color="D2C9B8"/>
                    <w:bottom w:val="single" w:sz="4" w:space="0" w:color="D2C9B8"/>
                    <w:right w:val="single" w:sz="4" w:space="0" w:color="D2C9B8"/>
                  </w:tcBorders>
                </w:tcPr>
                <w:p w14:paraId="0E496F6F" w14:textId="77777777" w:rsidR="005A5FCC" w:rsidRDefault="00A21C81">
                  <w:pPr>
                    <w:spacing w:before="20" w:after="20" w:line="240" w:lineRule="auto"/>
                    <w:jc w:val="left"/>
                  </w:pPr>
                  <w:r>
                    <w:rPr>
                      <w:rFonts w:cs="EB Garamond"/>
                      <w:kern w:val="16"/>
                      <w:sz w:val="16"/>
                      <w14:ligatures w14:val="standardContextual"/>
                    </w:rPr>
                    <w:t>CNIS / PLENUS</w:t>
                  </w:r>
                </w:p>
              </w:tc>
            </w:tr>
            <w:tr w:rsidR="005A5FCC" w14:paraId="25A0D1E6"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0EE453F5" w14:textId="77777777" w:rsidR="005A5FCC" w:rsidRDefault="00A21C81">
                  <w:pPr>
                    <w:spacing w:before="20" w:after="20" w:line="240" w:lineRule="auto"/>
                    <w:jc w:val="left"/>
                  </w:pPr>
                  <w:r>
                    <w:rPr>
                      <w:rFonts w:cs="EB Garamond"/>
                      <w:kern w:val="16"/>
                      <w:sz w:val="16"/>
                      <w14:ligatures w14:val="standardContextual"/>
                    </w:rPr>
                    <w:t>2. PBC adequado</w:t>
                  </w:r>
                </w:p>
              </w:tc>
              <w:tc>
                <w:tcPr>
                  <w:tcW w:w="2117" w:type="dxa"/>
                  <w:tcBorders>
                    <w:top w:val="single" w:sz="4" w:space="0" w:color="D2C9B8"/>
                    <w:left w:val="single" w:sz="4" w:space="0" w:color="D2C9B8"/>
                    <w:bottom w:val="single" w:sz="4" w:space="0" w:color="D2C9B8"/>
                    <w:right w:val="single" w:sz="4" w:space="0" w:color="D2C9B8"/>
                  </w:tcBorders>
                </w:tcPr>
                <w:p w14:paraId="6875A45C" w14:textId="77777777" w:rsidR="005A5FCC" w:rsidRDefault="00A21C81">
                  <w:pPr>
                    <w:spacing w:before="20" w:after="20" w:line="240" w:lineRule="auto"/>
                    <w:jc w:val="left"/>
                  </w:pPr>
                  <w:r>
                    <w:rPr>
                      <w:rFonts w:cs="EB Garamond"/>
                      <w:kern w:val="16"/>
                      <w:sz w:val="16"/>
                      <w14:ligatures w14:val="standardContextual"/>
                    </w:rPr>
                    <w:t>Regra correta aplicada conforme a DIB (80% maiores ou 100%)? Divisor mínimo de 108 observado?</w:t>
                  </w:r>
                </w:p>
              </w:tc>
              <w:tc>
                <w:tcPr>
                  <w:tcW w:w="2117" w:type="dxa"/>
                  <w:tcBorders>
                    <w:top w:val="single" w:sz="4" w:space="0" w:color="D2C9B8"/>
                    <w:left w:val="single" w:sz="4" w:space="0" w:color="D2C9B8"/>
                    <w:bottom w:val="single" w:sz="4" w:space="0" w:color="D2C9B8"/>
                    <w:right w:val="single" w:sz="4" w:space="0" w:color="D2C9B8"/>
                  </w:tcBorders>
                </w:tcPr>
                <w:p w14:paraId="042F4CC5" w14:textId="77777777" w:rsidR="005A5FCC" w:rsidRDefault="00A21C81">
                  <w:pPr>
                    <w:spacing w:before="20" w:after="20" w:line="240" w:lineRule="auto"/>
                    <w:jc w:val="left"/>
                  </w:pPr>
                  <w:r>
                    <w:rPr>
                      <w:rFonts w:cs="EB Garamond"/>
                      <w:kern w:val="16"/>
                      <w:sz w:val="16"/>
                      <w14:ligatures w14:val="standardContextual"/>
                    </w:rPr>
                    <w:t>Art. 29, Lei 8.213/91; Lei 14.331/2022</w:t>
                  </w:r>
                </w:p>
              </w:tc>
            </w:tr>
            <w:tr w:rsidR="005A5FCC" w14:paraId="26D6542F"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25A11E1A" w14:textId="77777777" w:rsidR="005A5FCC" w:rsidRDefault="00A21C81">
                  <w:pPr>
                    <w:spacing w:before="20" w:after="20" w:line="240" w:lineRule="auto"/>
                    <w:jc w:val="left"/>
                  </w:pPr>
                  <w:r>
                    <w:rPr>
                      <w:rFonts w:cs="EB Garamond"/>
                      <w:kern w:val="16"/>
                      <w:sz w:val="16"/>
                      <w14:ligatures w14:val="standardContextual"/>
                    </w:rPr>
                    <w:t>3. Atualização dos SC</w:t>
                  </w:r>
                </w:p>
              </w:tc>
              <w:tc>
                <w:tcPr>
                  <w:tcW w:w="2117" w:type="dxa"/>
                  <w:tcBorders>
                    <w:top w:val="single" w:sz="4" w:space="0" w:color="D2C9B8"/>
                    <w:left w:val="single" w:sz="4" w:space="0" w:color="D2C9B8"/>
                    <w:bottom w:val="single" w:sz="4" w:space="0" w:color="D2C9B8"/>
                    <w:right w:val="single" w:sz="4" w:space="0" w:color="D2C9B8"/>
                  </w:tcBorders>
                </w:tcPr>
                <w:p w14:paraId="310C921B" w14:textId="77777777" w:rsidR="005A5FCC" w:rsidRDefault="00A21C81">
                  <w:pPr>
                    <w:spacing w:before="20" w:after="20" w:line="240" w:lineRule="auto"/>
                    <w:jc w:val="left"/>
                  </w:pPr>
                  <w:r>
                    <w:rPr>
                      <w:rFonts w:cs="EB Garamond"/>
                      <w:kern w:val="16"/>
                      <w:sz w:val="16"/>
                      <w14:ligatures w14:val="standardContextual"/>
                    </w:rPr>
                    <w:t>Fatores de correção pelo INPC correspondem à tabela oficial do mês de referência?</w:t>
                  </w:r>
                </w:p>
              </w:tc>
              <w:tc>
                <w:tcPr>
                  <w:tcW w:w="2117" w:type="dxa"/>
                  <w:tcBorders>
                    <w:top w:val="single" w:sz="4" w:space="0" w:color="D2C9B8"/>
                    <w:left w:val="single" w:sz="4" w:space="0" w:color="D2C9B8"/>
                    <w:bottom w:val="single" w:sz="4" w:space="0" w:color="D2C9B8"/>
                    <w:right w:val="single" w:sz="4" w:space="0" w:color="D2C9B8"/>
                  </w:tcBorders>
                </w:tcPr>
                <w:p w14:paraId="4A4DD44C" w14:textId="77777777" w:rsidR="005A5FCC" w:rsidRDefault="00A21C81">
                  <w:pPr>
                    <w:spacing w:before="20" w:after="20" w:line="240" w:lineRule="auto"/>
                    <w:jc w:val="left"/>
                  </w:pPr>
                  <w:r>
                    <w:rPr>
                      <w:rFonts w:cs="EB Garamond"/>
                      <w:kern w:val="16"/>
                      <w:sz w:val="16"/>
                      <w14:ligatures w14:val="standardContextual"/>
                    </w:rPr>
                    <w:t>Tabela INSS (Portaria mensal)</w:t>
                  </w:r>
                </w:p>
              </w:tc>
            </w:tr>
            <w:tr w:rsidR="005A5FCC" w14:paraId="328754D6"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07684A1F" w14:textId="77777777" w:rsidR="005A5FCC" w:rsidRDefault="00A21C81">
                  <w:pPr>
                    <w:spacing w:before="20" w:after="20" w:line="240" w:lineRule="auto"/>
                    <w:jc w:val="left"/>
                  </w:pPr>
                  <w:r>
                    <w:rPr>
                      <w:rFonts w:cs="EB Garamond"/>
                      <w:kern w:val="16"/>
                      <w:sz w:val="16"/>
                      <w14:ligatures w14:val="standardContextual"/>
                    </w:rPr>
                    <w:t>4. SB correto</w:t>
                  </w:r>
                </w:p>
              </w:tc>
              <w:tc>
                <w:tcPr>
                  <w:tcW w:w="2117" w:type="dxa"/>
                  <w:tcBorders>
                    <w:top w:val="single" w:sz="4" w:space="0" w:color="D2C9B8"/>
                    <w:left w:val="single" w:sz="4" w:space="0" w:color="D2C9B8"/>
                    <w:bottom w:val="single" w:sz="4" w:space="0" w:color="D2C9B8"/>
                    <w:right w:val="single" w:sz="4" w:space="0" w:color="D2C9B8"/>
                  </w:tcBorders>
                </w:tcPr>
                <w:p w14:paraId="46F03FD5" w14:textId="77777777" w:rsidR="005A5FCC" w:rsidRDefault="00A21C81">
                  <w:pPr>
                    <w:spacing w:before="20" w:after="20" w:line="240" w:lineRule="auto"/>
                    <w:jc w:val="left"/>
                  </w:pPr>
                  <w:r>
                    <w:rPr>
                      <w:rFonts w:cs="EB Garamond"/>
                      <w:kern w:val="16"/>
                      <w:sz w:val="16"/>
                      <w14:ligatures w14:val="standardContextual"/>
                    </w:rPr>
                    <w:t>Média aritmética calculada sobre a base correta? Exclusão do art. 26, §6º, EC 103, foi considerada?</w:t>
                  </w:r>
                </w:p>
              </w:tc>
              <w:tc>
                <w:tcPr>
                  <w:tcW w:w="2117" w:type="dxa"/>
                  <w:tcBorders>
                    <w:top w:val="single" w:sz="4" w:space="0" w:color="D2C9B8"/>
                    <w:left w:val="single" w:sz="4" w:space="0" w:color="D2C9B8"/>
                    <w:bottom w:val="single" w:sz="4" w:space="0" w:color="D2C9B8"/>
                    <w:right w:val="single" w:sz="4" w:space="0" w:color="D2C9B8"/>
                  </w:tcBorders>
                </w:tcPr>
                <w:p w14:paraId="09CDAD8B" w14:textId="77777777" w:rsidR="005A5FCC" w:rsidRDefault="00A21C81">
                  <w:pPr>
                    <w:spacing w:before="20" w:after="20" w:line="240" w:lineRule="auto"/>
                    <w:jc w:val="left"/>
                  </w:pPr>
                  <w:r>
                    <w:rPr>
                      <w:rFonts w:cs="EB Garamond"/>
                      <w:kern w:val="16"/>
                      <w:sz w:val="16"/>
                      <w14:ligatures w14:val="standardContextual"/>
                    </w:rPr>
                    <w:t>Memória de cálculo</w:t>
                  </w:r>
                </w:p>
              </w:tc>
            </w:tr>
            <w:tr w:rsidR="005A5FCC" w14:paraId="1AB65F35"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0CCE5715" w14:textId="77777777" w:rsidR="005A5FCC" w:rsidRDefault="00A21C81">
                  <w:pPr>
                    <w:spacing w:before="20" w:after="20" w:line="240" w:lineRule="auto"/>
                    <w:jc w:val="left"/>
                  </w:pPr>
                  <w:r>
                    <w:rPr>
                      <w:rFonts w:cs="EB Garamond"/>
                      <w:kern w:val="16"/>
                      <w:sz w:val="16"/>
                      <w14:ligatures w14:val="standardContextual"/>
                    </w:rPr>
                    <w:t>5. Coeficiente correto</w:t>
                  </w:r>
                </w:p>
              </w:tc>
              <w:tc>
                <w:tcPr>
                  <w:tcW w:w="2117" w:type="dxa"/>
                  <w:tcBorders>
                    <w:top w:val="single" w:sz="4" w:space="0" w:color="D2C9B8"/>
                    <w:left w:val="single" w:sz="4" w:space="0" w:color="D2C9B8"/>
                    <w:bottom w:val="single" w:sz="4" w:space="0" w:color="D2C9B8"/>
                    <w:right w:val="single" w:sz="4" w:space="0" w:color="D2C9B8"/>
                  </w:tcBorders>
                </w:tcPr>
                <w:p w14:paraId="62EF8317" w14:textId="77777777" w:rsidR="005A5FCC" w:rsidRDefault="00A21C81">
                  <w:pPr>
                    <w:spacing w:before="20" w:after="20" w:line="240" w:lineRule="auto"/>
                    <w:jc w:val="left"/>
                  </w:pPr>
                  <w:r>
                    <w:rPr>
                      <w:rFonts w:cs="EB Garamond"/>
                      <w:kern w:val="16"/>
                      <w:sz w:val="16"/>
                      <w14:ligatures w14:val="standardContextual"/>
                    </w:rPr>
                    <w:t>Percentual corresponde à espécie de benefício e ao TC apurado? Nexo acidentário reconhecido (quando cabível)?</w:t>
                  </w:r>
                </w:p>
              </w:tc>
              <w:tc>
                <w:tcPr>
                  <w:tcW w:w="2117" w:type="dxa"/>
                  <w:tcBorders>
                    <w:top w:val="single" w:sz="4" w:space="0" w:color="D2C9B8"/>
                    <w:left w:val="single" w:sz="4" w:space="0" w:color="D2C9B8"/>
                    <w:bottom w:val="single" w:sz="4" w:space="0" w:color="D2C9B8"/>
                    <w:right w:val="single" w:sz="4" w:space="0" w:color="D2C9B8"/>
                  </w:tcBorders>
                </w:tcPr>
                <w:p w14:paraId="1984E79E" w14:textId="77777777" w:rsidR="005A5FCC" w:rsidRDefault="00A21C81">
                  <w:pPr>
                    <w:spacing w:before="20" w:after="20" w:line="240" w:lineRule="auto"/>
                    <w:jc w:val="left"/>
                  </w:pPr>
                  <w:r>
                    <w:rPr>
                      <w:rFonts w:cs="EB Garamond"/>
                      <w:kern w:val="16"/>
                      <w:sz w:val="16"/>
                      <w14:ligatures w14:val="standardContextual"/>
                    </w:rPr>
                    <w:t>Art. 26, EC 103</w:t>
                  </w:r>
                </w:p>
              </w:tc>
            </w:tr>
            <w:tr w:rsidR="005A5FCC" w14:paraId="61C86DC6"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616F40AE" w14:textId="77777777" w:rsidR="005A5FCC" w:rsidRDefault="00A21C81">
                  <w:pPr>
                    <w:spacing w:before="20" w:after="20" w:line="240" w:lineRule="auto"/>
                    <w:jc w:val="left"/>
                  </w:pPr>
                  <w:r>
                    <w:rPr>
                      <w:rFonts w:cs="EB Garamond"/>
                      <w:kern w:val="16"/>
                      <w:sz w:val="16"/>
                      <w14:ligatures w14:val="standardContextual"/>
                    </w:rPr>
                    <w:t>6. Fator previdenciário</w:t>
                  </w:r>
                </w:p>
              </w:tc>
              <w:tc>
                <w:tcPr>
                  <w:tcW w:w="2117" w:type="dxa"/>
                  <w:tcBorders>
                    <w:top w:val="single" w:sz="4" w:space="0" w:color="D2C9B8"/>
                    <w:left w:val="single" w:sz="4" w:space="0" w:color="D2C9B8"/>
                    <w:bottom w:val="single" w:sz="4" w:space="0" w:color="D2C9B8"/>
                    <w:right w:val="single" w:sz="4" w:space="0" w:color="D2C9B8"/>
                  </w:tcBorders>
                </w:tcPr>
                <w:p w14:paraId="0411378B" w14:textId="77777777" w:rsidR="005A5FCC" w:rsidRDefault="00A21C81">
                  <w:pPr>
                    <w:spacing w:before="20" w:after="20" w:line="240" w:lineRule="auto"/>
                    <w:jc w:val="left"/>
                  </w:pPr>
                  <w:r>
                    <w:rPr>
                      <w:rFonts w:cs="EB Garamond"/>
                      <w:kern w:val="16"/>
                      <w:sz w:val="16"/>
                      <w14:ligatures w14:val="standardContextual"/>
                    </w:rPr>
                    <w:t>Aplicado apenas quando obrigatório? Tabela IBGE vigente na DER utilizada?</w:t>
                  </w:r>
                </w:p>
              </w:tc>
              <w:tc>
                <w:tcPr>
                  <w:tcW w:w="2117" w:type="dxa"/>
                  <w:tcBorders>
                    <w:top w:val="single" w:sz="4" w:space="0" w:color="D2C9B8"/>
                    <w:left w:val="single" w:sz="4" w:space="0" w:color="D2C9B8"/>
                    <w:bottom w:val="single" w:sz="4" w:space="0" w:color="D2C9B8"/>
                    <w:right w:val="single" w:sz="4" w:space="0" w:color="D2C9B8"/>
                  </w:tcBorders>
                </w:tcPr>
                <w:p w14:paraId="238C8B4A" w14:textId="77777777" w:rsidR="005A5FCC" w:rsidRDefault="00A21C81">
                  <w:pPr>
                    <w:spacing w:before="20" w:after="20" w:line="240" w:lineRule="auto"/>
                    <w:jc w:val="left"/>
                  </w:pPr>
                  <w:r>
                    <w:rPr>
                      <w:rFonts w:cs="EB Garamond"/>
                      <w:kern w:val="16"/>
                      <w:sz w:val="16"/>
                      <w14:ligatures w14:val="standardContextual"/>
                    </w:rPr>
                    <w:t>Lei 9.876/1999; IBGE</w:t>
                  </w:r>
                </w:p>
              </w:tc>
            </w:tr>
            <w:tr w:rsidR="005A5FCC" w14:paraId="19351424"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6128213D" w14:textId="77777777" w:rsidR="005A5FCC" w:rsidRDefault="00A21C81">
                  <w:pPr>
                    <w:spacing w:before="20" w:after="20" w:line="240" w:lineRule="auto"/>
                    <w:jc w:val="left"/>
                  </w:pPr>
                  <w:r>
                    <w:rPr>
                      <w:rFonts w:cs="EB Garamond"/>
                      <w:kern w:val="16"/>
                      <w:sz w:val="16"/>
                      <w14:ligatures w14:val="standardContextual"/>
                    </w:rPr>
                    <w:t>7. Teto respeitado</w:t>
                  </w:r>
                </w:p>
              </w:tc>
              <w:tc>
                <w:tcPr>
                  <w:tcW w:w="2117" w:type="dxa"/>
                  <w:tcBorders>
                    <w:top w:val="single" w:sz="4" w:space="0" w:color="D2C9B8"/>
                    <w:left w:val="single" w:sz="4" w:space="0" w:color="D2C9B8"/>
                    <w:bottom w:val="single" w:sz="4" w:space="0" w:color="D2C9B8"/>
                    <w:right w:val="single" w:sz="4" w:space="0" w:color="D2C9B8"/>
                  </w:tcBorders>
                </w:tcPr>
                <w:p w14:paraId="5B9018F8" w14:textId="77777777" w:rsidR="005A5FCC" w:rsidRDefault="00A21C81">
                  <w:pPr>
                    <w:spacing w:before="20" w:after="20" w:line="240" w:lineRule="auto"/>
                    <w:jc w:val="left"/>
                  </w:pPr>
                  <w:r>
                    <w:rPr>
                      <w:rFonts w:cs="EB Garamond"/>
                      <w:kern w:val="16"/>
                      <w:sz w:val="16"/>
                      <w14:ligatures w14:val="standardContextual"/>
                    </w:rPr>
                    <w:t>RMI não excede R$ 8.475,55 (2026)? SB limitado ao teto antes da aplicação do coeficiente?</w:t>
                  </w:r>
                </w:p>
              </w:tc>
              <w:tc>
                <w:tcPr>
                  <w:tcW w:w="2117" w:type="dxa"/>
                  <w:tcBorders>
                    <w:top w:val="single" w:sz="4" w:space="0" w:color="D2C9B8"/>
                    <w:left w:val="single" w:sz="4" w:space="0" w:color="D2C9B8"/>
                    <w:bottom w:val="single" w:sz="4" w:space="0" w:color="D2C9B8"/>
                    <w:right w:val="single" w:sz="4" w:space="0" w:color="D2C9B8"/>
                  </w:tcBorders>
                </w:tcPr>
                <w:p w14:paraId="421ACCF1" w14:textId="77777777" w:rsidR="005A5FCC" w:rsidRDefault="00A21C81">
                  <w:pPr>
                    <w:spacing w:before="20" w:after="20" w:line="240" w:lineRule="auto"/>
                    <w:jc w:val="left"/>
                  </w:pPr>
                  <w:r>
                    <w:rPr>
                      <w:rFonts w:cs="EB Garamond"/>
                      <w:kern w:val="16"/>
                      <w:sz w:val="16"/>
                      <w14:ligatures w14:val="standardContextual"/>
                    </w:rPr>
                    <w:t>Portaria MPS/MF 13/2026</w:t>
                  </w:r>
                </w:p>
              </w:tc>
            </w:tr>
            <w:tr w:rsidR="005A5FCC" w14:paraId="503EC907"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245273B5" w14:textId="77777777" w:rsidR="005A5FCC" w:rsidRDefault="00A21C81">
                  <w:pPr>
                    <w:spacing w:before="20" w:after="20" w:line="240" w:lineRule="auto"/>
                    <w:jc w:val="left"/>
                  </w:pPr>
                  <w:r>
                    <w:rPr>
                      <w:rFonts w:cs="EB Garamond"/>
                      <w:kern w:val="16"/>
                      <w:sz w:val="16"/>
                      <w14:ligatures w14:val="standardContextual"/>
                    </w:rPr>
                    <w:t>8. Piso respeitado</w:t>
                  </w:r>
                </w:p>
              </w:tc>
              <w:tc>
                <w:tcPr>
                  <w:tcW w:w="2117" w:type="dxa"/>
                  <w:tcBorders>
                    <w:top w:val="single" w:sz="4" w:space="0" w:color="D2C9B8"/>
                    <w:left w:val="single" w:sz="4" w:space="0" w:color="D2C9B8"/>
                    <w:bottom w:val="single" w:sz="4" w:space="0" w:color="D2C9B8"/>
                    <w:right w:val="single" w:sz="4" w:space="0" w:color="D2C9B8"/>
                  </w:tcBorders>
                </w:tcPr>
                <w:p w14:paraId="0A2DBD4D" w14:textId="77777777" w:rsidR="005A5FCC" w:rsidRDefault="00A21C81">
                  <w:pPr>
                    <w:spacing w:before="20" w:after="20" w:line="240" w:lineRule="auto"/>
                    <w:jc w:val="left"/>
                  </w:pPr>
                  <w:r>
                    <w:rPr>
                      <w:rFonts w:cs="EB Garamond"/>
                      <w:kern w:val="16"/>
                      <w:sz w:val="16"/>
                      <w14:ligatures w14:val="standardContextual"/>
                    </w:rPr>
                    <w:t>RMI não inferior a R$ 1.621,00 (1 SM 2026)? Exceções verificadas (auxílio-acidente)?</w:t>
                  </w:r>
                </w:p>
              </w:tc>
              <w:tc>
                <w:tcPr>
                  <w:tcW w:w="2117" w:type="dxa"/>
                  <w:tcBorders>
                    <w:top w:val="single" w:sz="4" w:space="0" w:color="D2C9B8"/>
                    <w:left w:val="single" w:sz="4" w:space="0" w:color="D2C9B8"/>
                    <w:bottom w:val="single" w:sz="4" w:space="0" w:color="D2C9B8"/>
                    <w:right w:val="single" w:sz="4" w:space="0" w:color="D2C9B8"/>
                  </w:tcBorders>
                </w:tcPr>
                <w:p w14:paraId="17C3DE95" w14:textId="77777777" w:rsidR="005A5FCC" w:rsidRDefault="00A21C81">
                  <w:pPr>
                    <w:spacing w:before="20" w:after="20" w:line="240" w:lineRule="auto"/>
                    <w:jc w:val="left"/>
                  </w:pPr>
                  <w:r>
                    <w:rPr>
                      <w:rFonts w:cs="EB Garamond"/>
                      <w:kern w:val="16"/>
                      <w:sz w:val="16"/>
                      <w14:ligatures w14:val="standardContextual"/>
                    </w:rPr>
                    <w:t>Art. 201, §2º, CF</w:t>
                  </w:r>
                </w:p>
              </w:tc>
            </w:tr>
            <w:tr w:rsidR="005A5FCC" w14:paraId="5E2D504B"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13B2F5A6" w14:textId="77777777" w:rsidR="005A5FCC" w:rsidRDefault="00A21C81">
                  <w:pPr>
                    <w:spacing w:before="20" w:after="20" w:line="240" w:lineRule="auto"/>
                    <w:jc w:val="left"/>
                  </w:pPr>
                  <w:r>
                    <w:rPr>
                      <w:rFonts w:cs="EB Garamond"/>
                      <w:kern w:val="16"/>
                      <w:sz w:val="16"/>
                      <w14:ligatures w14:val="standardContextual"/>
                    </w:rPr>
                    <w:t>9. Concomitantes</w:t>
                  </w:r>
                </w:p>
              </w:tc>
              <w:tc>
                <w:tcPr>
                  <w:tcW w:w="2117" w:type="dxa"/>
                  <w:tcBorders>
                    <w:top w:val="single" w:sz="4" w:space="0" w:color="D2C9B8"/>
                    <w:left w:val="single" w:sz="4" w:space="0" w:color="D2C9B8"/>
                    <w:bottom w:val="single" w:sz="4" w:space="0" w:color="D2C9B8"/>
                    <w:right w:val="single" w:sz="4" w:space="0" w:color="D2C9B8"/>
                  </w:tcBorders>
                </w:tcPr>
                <w:p w14:paraId="5386AE8E" w14:textId="77777777" w:rsidR="005A5FCC" w:rsidRDefault="00A21C81">
                  <w:pPr>
                    <w:spacing w:before="20" w:after="20" w:line="240" w:lineRule="auto"/>
                    <w:jc w:val="left"/>
                  </w:pPr>
                  <w:r>
                    <w:rPr>
                      <w:rFonts w:cs="EB Garamond"/>
                      <w:kern w:val="16"/>
                      <w:sz w:val="16"/>
                      <w14:ligatures w14:val="standardContextual"/>
                    </w:rPr>
                    <w:t>SC de atividades simultâneas somados (Tema 1070/STJ)? Teto observado na soma?</w:t>
                  </w:r>
                </w:p>
              </w:tc>
              <w:tc>
                <w:tcPr>
                  <w:tcW w:w="2117" w:type="dxa"/>
                  <w:tcBorders>
                    <w:top w:val="single" w:sz="4" w:space="0" w:color="D2C9B8"/>
                    <w:left w:val="single" w:sz="4" w:space="0" w:color="D2C9B8"/>
                    <w:bottom w:val="single" w:sz="4" w:space="0" w:color="D2C9B8"/>
                    <w:right w:val="single" w:sz="4" w:space="0" w:color="D2C9B8"/>
                  </w:tcBorders>
                </w:tcPr>
                <w:p w14:paraId="70E361D6" w14:textId="77777777" w:rsidR="005A5FCC" w:rsidRDefault="00A21C81">
                  <w:pPr>
                    <w:spacing w:before="20" w:after="20" w:line="240" w:lineRule="auto"/>
                    <w:jc w:val="left"/>
                  </w:pPr>
                  <w:r>
                    <w:rPr>
                      <w:rFonts w:cs="EB Garamond"/>
                      <w:kern w:val="16"/>
                      <w:sz w:val="16"/>
                      <w14:ligatures w14:val="standardContextual"/>
                    </w:rPr>
                    <w:t>Art. 32, Lei 8.213/91</w:t>
                  </w:r>
                </w:p>
              </w:tc>
            </w:tr>
            <w:tr w:rsidR="005A5FCC" w14:paraId="3FF0951D"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0B6E2956" w14:textId="77777777" w:rsidR="005A5FCC" w:rsidRDefault="00A21C81">
                  <w:pPr>
                    <w:spacing w:before="20" w:after="20" w:line="240" w:lineRule="auto"/>
                    <w:jc w:val="left"/>
                  </w:pPr>
                  <w:r>
                    <w:rPr>
                      <w:rFonts w:cs="EB Garamond"/>
                      <w:kern w:val="16"/>
                      <w:sz w:val="16"/>
                      <w14:ligatures w14:val="standardContextual"/>
                    </w:rPr>
                    <w:t>10. Parcelas vencidas</w:t>
                  </w:r>
                </w:p>
              </w:tc>
              <w:tc>
                <w:tcPr>
                  <w:tcW w:w="2117" w:type="dxa"/>
                  <w:tcBorders>
                    <w:top w:val="single" w:sz="4" w:space="0" w:color="D2C9B8"/>
                    <w:left w:val="single" w:sz="4" w:space="0" w:color="D2C9B8"/>
                    <w:bottom w:val="single" w:sz="4" w:space="0" w:color="D2C9B8"/>
                    <w:right w:val="single" w:sz="4" w:space="0" w:color="D2C9B8"/>
                  </w:tcBorders>
                </w:tcPr>
                <w:p w14:paraId="1C3484C9" w14:textId="77777777" w:rsidR="005A5FCC" w:rsidRDefault="00A21C81">
                  <w:pPr>
                    <w:spacing w:before="20" w:after="20" w:line="240" w:lineRule="auto"/>
                    <w:jc w:val="left"/>
                  </w:pPr>
                  <w:r>
                    <w:rPr>
                      <w:rFonts w:cs="EB Garamond"/>
                      <w:kern w:val="16"/>
                      <w:sz w:val="16"/>
                      <w14:ligatures w14:val="standardContextual"/>
                    </w:rPr>
                    <w:t>Período correto (DIB até implantação)? SELIC aplicada (pós-EC 113/2021)? Descontos lançados?</w:t>
                  </w:r>
                </w:p>
              </w:tc>
              <w:tc>
                <w:tcPr>
                  <w:tcW w:w="2117" w:type="dxa"/>
                  <w:tcBorders>
                    <w:top w:val="single" w:sz="4" w:space="0" w:color="D2C9B8"/>
                    <w:left w:val="single" w:sz="4" w:space="0" w:color="D2C9B8"/>
                    <w:bottom w:val="single" w:sz="4" w:space="0" w:color="D2C9B8"/>
                    <w:right w:val="single" w:sz="4" w:space="0" w:color="D2C9B8"/>
                  </w:tcBorders>
                </w:tcPr>
                <w:p w14:paraId="25D6E3DE" w14:textId="77777777" w:rsidR="005A5FCC" w:rsidRDefault="00A21C81">
                  <w:pPr>
                    <w:spacing w:before="20" w:after="20" w:line="240" w:lineRule="auto"/>
                    <w:jc w:val="left"/>
                  </w:pPr>
                  <w:r>
                    <w:rPr>
                      <w:rFonts w:cs="EB Garamond"/>
                      <w:kern w:val="16"/>
                      <w:sz w:val="16"/>
                      <w14:ligatures w14:val="standardContextual"/>
                    </w:rPr>
                    <w:t>EC 113/2021; Tema 905/STJ</w:t>
                  </w:r>
                </w:p>
              </w:tc>
            </w:tr>
          </w:tbl>
          <w:p w14:paraId="0B954EBB" w14:textId="77777777" w:rsidR="005A5FCC" w:rsidRDefault="005A5FCC"/>
          <w:p w14:paraId="79FA2390" w14:textId="77777777" w:rsidR="005A5FCC" w:rsidRDefault="005A5FCC">
            <w:pPr>
              <w:spacing w:after="0" w:line="240" w:lineRule="auto"/>
            </w:pPr>
          </w:p>
        </w:tc>
      </w:tr>
    </w:tbl>
    <w:p w14:paraId="24DF6FFB" w14:textId="77777777" w:rsidR="005A5FCC" w:rsidRDefault="005A5FCC">
      <w:pPr>
        <w:spacing w:after="80" w:line="240" w:lineRule="auto"/>
      </w:pPr>
    </w:p>
    <w:p w14:paraId="244593A5" w14:textId="77777777" w:rsidR="005A5FCC" w:rsidRDefault="005A5FCC">
      <w:pPr>
        <w:sectPr w:rsidR="005A5FCC">
          <w:headerReference w:type="even" r:id="rId168"/>
          <w:headerReference w:type="default" r:id="rId169"/>
          <w:footerReference w:type="even" r:id="rId170"/>
          <w:footerReference w:type="default" r:id="rId171"/>
          <w:headerReference w:type="first" r:id="rId172"/>
          <w:footerReference w:type="first" r:id="rId173"/>
          <w:pgSz w:w="8391" w:h="11906"/>
          <w:pgMar w:top="935" w:right="879" w:bottom="964" w:left="1162" w:header="454" w:footer="425" w:gutter="0"/>
          <w:cols w:space="720"/>
          <w:titlePg/>
          <w:docGrid w:linePitch="360"/>
        </w:sectPr>
      </w:pPr>
    </w:p>
    <w:p w14:paraId="1C3DF2D7" w14:textId="77777777" w:rsidR="005A5FCC" w:rsidRDefault="00A21C81">
      <w:pPr>
        <w:keepNext/>
        <w:spacing w:before="240" w:after="80" w:line="240" w:lineRule="auto"/>
        <w:jc w:val="center"/>
      </w:pPr>
      <w:r>
        <w:rPr>
          <w:rFonts w:ascii="Noto Sans" w:hAnsi="Noto Sans" w:cs="Noto Sans"/>
          <w:b/>
          <w:caps/>
          <w:color w:val="8A6A2A"/>
          <w:kern w:val="16"/>
          <w:sz w:val="19"/>
          <w14:ligatures w14:val="standardContextual"/>
        </w:rPr>
        <w:lastRenderedPageBreak/>
        <w:t>CAPÍTULO 17</w:t>
      </w:r>
    </w:p>
    <w:p w14:paraId="0F99EA0A" w14:textId="77777777" w:rsidR="005A5FCC" w:rsidRDefault="00A21C81">
      <w:pPr>
        <w:pStyle w:val="Ttulo2"/>
        <w:spacing w:line="240" w:lineRule="auto"/>
      </w:pPr>
      <w:r>
        <w:rPr>
          <w:rFonts w:ascii="EB Garamond" w:hAnsi="EB Garamond" w:cs="EB Garamond"/>
          <w:caps/>
          <w:kern w:val="16"/>
          <w14:ligatures w14:val="standardContextual"/>
        </w:rPr>
        <w:t>Revisão de Benefícios Previdenciários</w:t>
      </w:r>
    </w:p>
    <w:p w14:paraId="1EB4437F" w14:textId="77777777" w:rsidR="005A5FCC" w:rsidRDefault="00A21C81">
      <w:pPr>
        <w:spacing w:after="240" w:line="240" w:lineRule="auto"/>
        <w:jc w:val="center"/>
      </w:pPr>
      <w:r>
        <w:rPr>
          <w:rFonts w:cs="EB Garamond"/>
          <w:color w:val="B78B37"/>
          <w:kern w:val="16"/>
          <w:sz w:val="18"/>
          <w14:ligatures w14:val="standardContextual"/>
        </w:rPr>
        <w:t>━━━━  ◆  ━━━━</w:t>
      </w:r>
    </w:p>
    <w:p w14:paraId="048E2C04" w14:textId="0D4771CA" w:rsidR="005A5FCC" w:rsidRDefault="00864974">
      <w:pPr>
        <w:keepNext/>
        <w:pBdr>
          <w:bottom w:val="single" w:sz="8" w:space="4" w:color="B89B5E"/>
        </w:pBdr>
        <w:spacing w:before="360" w:after="140" w:line="240" w:lineRule="auto"/>
        <w:jc w:val="left"/>
      </w:pPr>
      <w:r>
        <w:rPr>
          <w:rFonts w:cs="EB Garamond"/>
          <w:b/>
          <w:color w:val="3A3128"/>
          <w:kern w:val="16"/>
          <w:sz w:val="31"/>
          <w14:ligatures w14:val="standardContextual"/>
        </w:rPr>
        <w:t xml:space="preserve">17.1 </w:t>
      </w:r>
      <w:r w:rsidR="00A21C81">
        <w:rPr>
          <w:rFonts w:cs="EB Garamond"/>
          <w:b/>
          <w:color w:val="3A3128"/>
          <w:kern w:val="16"/>
          <w:sz w:val="31"/>
          <w14:ligatures w14:val="standardContextual"/>
        </w:rPr>
        <w:t>Introdução</w:t>
      </w:r>
    </w:p>
    <w:p w14:paraId="5D3B56DD"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48804C14" w14:textId="77777777" w:rsidR="005A5FCC" w:rsidRDefault="00A21C81">
      <w:r>
        <w:rPr>
          <w:rFonts w:cs="EB Garamond"/>
          <w:kern w:val="16"/>
          <w14:ligatures w14:val="standardContextual"/>
        </w:rPr>
        <w:t>s ações revisionais nos JEFs submetem-se a regime jurídico próprio: prazo decadencial distinto (art. 103, Lei 8.213/91), prova predominantemente documental e complexidade calculatória que exige domínio da mecânica do salário de benefício e da renda mensal inicial. Diferem, em natureza, das ações de concessão, de restabelecimento e de manutenção de benefícios. A revisão parte de benefício já concedido para questionar os parâmetros que compuseram o cálculo da RMI ou a aplicação das regras de reajustamento. Essa distinção produz consequências processuais relevantes: a revisão submete-se ao prazo decadencial de dez anos, ao passo que o restabelecimento, por envolver cessação ilícita, não se subordina a esse prazo.</w:t>
      </w:r>
    </w:p>
    <w:p w14:paraId="7CF37567" w14:textId="77777777" w:rsidR="005A5FCC" w:rsidRDefault="00A21C81">
      <w:pPr>
        <w:ind w:firstLine="238"/>
      </w:pPr>
      <w:r>
        <w:rPr>
          <w:rFonts w:cs="EB Garamond"/>
          <w:kern w:val="16"/>
          <w14:ligatures w14:val="standardContextual"/>
        </w:rPr>
        <w:t>Entendemos que o perfil das ações revisionais nos JEFs é marcado pela complexidade calculatória e pela necessidade de prova documental robusta. São demandas que exigem do magistrado familiaridade com a mecânica do salário de benefício, com os diferentes períodos básicos de cálculo e com a evolução normativa dos critérios de apuração da renda mensal inicial — matéria tratada no Capítulo 16. Exigem, também, do advogado previdenciarista, capacidade de produzir memórias de cálculo comparativas que demonstrem, com números, a diferença entre a RMI efetivamente implantada pelo INSS e a RMI que resultaria da aplicação correta das normas. Sem esse cotejo numérico, a ação revisional carece de densidade probatória.</w:t>
      </w:r>
    </w:p>
    <w:p w14:paraId="22EBDDF7" w14:textId="77777777" w:rsidR="005A5FCC" w:rsidRDefault="00A21C81">
      <w:pPr>
        <w:ind w:firstLine="238"/>
      </w:pPr>
      <w:r>
        <w:rPr>
          <w:rFonts w:cs="EB Garamond"/>
          <w:kern w:val="16"/>
          <w14:ligatures w14:val="standardContextual"/>
        </w:rPr>
        <w:t>As causas que ensejam revisão podem ser agrupadas em quatro categorias. A primeira é o erro administrativo: o INSS aplicou incorretamente as normas vi</w:t>
      </w:r>
      <w:r>
        <w:rPr>
          <w:rFonts w:cs="EB Garamond"/>
          <w:kern w:val="16"/>
          <w14:ligatures w14:val="standardContextual"/>
        </w:rPr>
        <w:lastRenderedPageBreak/>
        <w:t>gentes na data de concessão, seja por equívoco no cômputo dos salários de contribuição, na identificação do período básico de cálculo, no coeficiente de cálculo ou na incidência do fator previdenciário. A segunda é a mudança jurisprudencial: tribunais superiores firmam entendimento mais favorável ao segurado sobre a interpretação de dispositivos que regem o cálculo, como ocorreu com a revisão das atividades concomitantes (Tema 1070/STJ) e, em sentido reverso, com a revisão da vida toda (Tema 1102/STF). A terceira é a alteração legislativa superveniente que repercute sobre benefícios já concedidos, como as ECs 20/1998 e 41/2003 que elevaram o teto do RGPS. A quarta é a inclusão de tempo de contribuição ou de serviço não computado na concessão original: períodos rurais, atividades especiais não reconhecidas, contribuições vertidas em atividades concomitantes que não foram consideradas.</w:t>
      </w:r>
    </w:p>
    <w:p w14:paraId="4DAF15C9" w14:textId="77777777" w:rsidR="005A5FCC" w:rsidRDefault="00A21C81">
      <w:pPr>
        <w:ind w:firstLine="238"/>
      </w:pPr>
      <w:r>
        <w:rPr>
          <w:rFonts w:cs="EB Garamond"/>
          <w:kern w:val="16"/>
          <w14:ligatures w14:val="standardContextual"/>
        </w:rPr>
        <w:t>Sustentamos que o capítulo deve servir como guia funcional. As regras de cálculo foram analisadas nos Capítulos 10 e 16; a dogmática da decadência e da prescrição pertence ao Capítulo 21. Aqui, para cada tese revisional, identificamos o regime de decadência aplicável, o procedimento adequado, os documentos necessários, as particularidades probatórias e as questões processuais que o magistrado dos JEFs enfrenta na rotina forense. As teses tratadas são: decadência decenal aplicada (17.2); vida toda após a reversão (17.3); teto — ECs 20/1998 e 41/2003 (17.4); Buraco Negro (17.5); art. 29, II — divisor mínimo (17.6); melhor DIB e reafirmação da DER (17.7); e demais teses relevantes (17.8).</w:t>
      </w:r>
    </w:p>
    <w:tbl>
      <w:tblPr>
        <w:tblW w:w="5000" w:type="pct"/>
        <w:jc w:val="center"/>
        <w:tblLayout w:type="fixed"/>
        <w:tblLook w:val="04A0" w:firstRow="1" w:lastRow="0" w:firstColumn="1" w:lastColumn="0" w:noHBand="0" w:noVBand="1"/>
      </w:tblPr>
      <w:tblGrid>
        <w:gridCol w:w="6311"/>
      </w:tblGrid>
      <w:tr w:rsidR="005A5FCC" w14:paraId="035B173E"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50E39DAE"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4724F7FF" w14:textId="77777777" w:rsidR="005A5FCC" w:rsidRDefault="00A21C81">
            <w:pPr>
              <w:spacing w:after="60" w:line="247" w:lineRule="auto"/>
            </w:pPr>
            <w:r>
              <w:rPr>
                <w:rFonts w:cs="EB Garamond"/>
                <w:b/>
                <w:kern w:val="16"/>
                <w:sz w:val="19"/>
                <w14:ligatures w14:val="standardContextual"/>
              </w:rPr>
              <w:t>Nota sobre os valores monetários de 2026</w:t>
            </w:r>
          </w:p>
          <w:p w14:paraId="704ADF08" w14:textId="3C47FBD1" w:rsidR="005A5FCC" w:rsidRDefault="00A21C81">
            <w:pPr>
              <w:spacing w:after="60" w:line="247" w:lineRule="auto"/>
            </w:pPr>
            <w:r>
              <w:rPr>
                <w:rFonts w:cs="EB Garamond"/>
                <w:kern w:val="16"/>
                <w:sz w:val="19"/>
                <w14:ligatures w14:val="standardContextual"/>
              </w:rPr>
              <w:t xml:space="preserve">Os valores em reais empregados ao longo deste capítulo tomam por base o </w:t>
            </w:r>
            <w:r w:rsidR="00411087">
              <w:rPr>
                <w:rFonts w:cs="EB Garamond"/>
                <w:kern w:val="16"/>
                <w:sz w:val="19"/>
                <w14:ligatures w14:val="standardContextual"/>
              </w:rPr>
              <w:t>salário-mínimo</w:t>
            </w:r>
            <w:r>
              <w:rPr>
                <w:rFonts w:cs="EB Garamond"/>
                <w:kern w:val="16"/>
                <w:sz w:val="19"/>
                <w14:ligatures w14:val="standardContextual"/>
              </w:rPr>
              <w:t xml:space="preserve"> de R$ 1.621,00 e, por consequência, o limite de alçada do JEF de R$ 97.260,00 (60 salários</w:t>
            </w:r>
            <w:r w:rsidR="00411087">
              <w:rPr>
                <w:rFonts w:cs="EB Garamond"/>
                <w:kern w:val="16"/>
                <w:sz w:val="19"/>
                <w14:ligatures w14:val="standardContextual"/>
              </w:rPr>
              <w:t>-</w:t>
            </w:r>
            <w:r>
              <w:rPr>
                <w:rFonts w:cs="EB Garamond"/>
                <w:kern w:val="16"/>
                <w:sz w:val="19"/>
                <w14:ligatures w14:val="standardContextual"/>
              </w:rPr>
              <w:t xml:space="preserve">mínimos), parâmetros projetados para 2026. Como o </w:t>
            </w:r>
            <w:r w:rsidR="00411087">
              <w:rPr>
                <w:rFonts w:cs="EB Garamond"/>
                <w:kern w:val="16"/>
                <w:sz w:val="19"/>
                <w14:ligatures w14:val="standardContextual"/>
              </w:rPr>
              <w:t>salário-mínimo</w:t>
            </w:r>
            <w:r>
              <w:rPr>
                <w:rFonts w:cs="EB Garamond"/>
                <w:kern w:val="16"/>
                <w:sz w:val="19"/>
                <w14:ligatures w14:val="standardContextual"/>
              </w:rPr>
              <w:t xml:space="preserve"> é reajustado anualmente, esses montantes — e quaisquer cálculos deles derivados — devem ser conferidos com o valor do salário</w:t>
            </w:r>
            <w:r w:rsidR="00411087">
              <w:rPr>
                <w:rFonts w:cs="EB Garamond"/>
                <w:kern w:val="16"/>
                <w:sz w:val="19"/>
                <w14:ligatures w14:val="standardContextual"/>
              </w:rPr>
              <w:t>-</w:t>
            </w:r>
            <w:r>
              <w:rPr>
                <w:rFonts w:cs="EB Garamond"/>
                <w:kern w:val="16"/>
                <w:sz w:val="19"/>
                <w14:ligatures w14:val="standardContextual"/>
              </w:rPr>
              <w:t>mínimo vigente na data de leitura. Para evitar repetição, essa ressalva fica aqui registrada de uma vez e vale para todas as cifras de 2026 mencionadas adiante.</w:t>
            </w:r>
          </w:p>
        </w:tc>
      </w:tr>
    </w:tbl>
    <w:p w14:paraId="58975733" w14:textId="77777777" w:rsidR="005A5FCC" w:rsidRDefault="005A5FCC">
      <w:pPr>
        <w:spacing w:after="80" w:line="240" w:lineRule="auto"/>
      </w:pPr>
    </w:p>
    <w:p w14:paraId="40F929C7"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17.2 Decadência decenal aplicada às teses revisionais</w:t>
      </w:r>
    </w:p>
    <w:p w14:paraId="31C48080" w14:textId="438B03FC" w:rsidR="005A5FCC" w:rsidRDefault="00A21C81">
      <w:pPr>
        <w:spacing w:before="260" w:after="80" w:line="240" w:lineRule="auto"/>
        <w:jc w:val="left"/>
      </w:pPr>
      <w:r>
        <w:rPr>
          <w:rFonts w:cs="EB Garamond"/>
          <w:b/>
          <w:color w:val="3A3128"/>
          <w:kern w:val="16"/>
          <w:sz w:val="25"/>
          <w14:ligatures w14:val="standardContextual"/>
        </w:rPr>
        <w:t xml:space="preserve">17.2.1 Art. 103, caput, </w:t>
      </w:r>
      <w:r w:rsidR="00411087">
        <w:rPr>
          <w:rFonts w:cs="EB Garamond"/>
          <w:b/>
          <w:color w:val="3A3128"/>
          <w:kern w:val="16"/>
          <w:sz w:val="25"/>
          <w14:ligatures w14:val="standardContextual"/>
        </w:rPr>
        <w:t>L</w:t>
      </w:r>
      <w:r>
        <w:rPr>
          <w:rFonts w:cs="EB Garamond"/>
          <w:b/>
          <w:color w:val="3A3128"/>
          <w:kern w:val="16"/>
          <w:sz w:val="25"/>
          <w14:ligatures w14:val="standardContextual"/>
        </w:rPr>
        <w:t>ei 8.213/91 — regra geral</w:t>
      </w:r>
    </w:p>
    <w:p w14:paraId="5A8273BC"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599EC6D7" w14:textId="77777777" w:rsidR="005A5FCC" w:rsidRDefault="00A21C81">
      <w:r>
        <w:rPr>
          <w:rFonts w:cs="EB Garamond"/>
          <w:kern w:val="16"/>
          <w14:ligatures w14:val="standardContextual"/>
        </w:rPr>
        <w:t xml:space="preserve"> art. 103 da Lei 8.213/91 fixa o prazo decadencial de dez anos para a revisão do ato de concessão do benefício previdenciário. A redação vigente, conferida pela Lei 10.839/2004 (conversão da MP 138/2003), conta o prazo do dia primeiro do mês seguinte ao do recebimento da primeira prestação ou, quando for o caso, do dia em que o segurado tomar conhecimento da decisão indeferitória definitiva no âmbito administrativo. A incidência desse prazo sobre as ações revisionais é o primeiro ponto que o magistrado deve examinar ao receber a petição inicial, pois a decadência legal deve ser conhecida de ofício pelo juiz (art. 210 do Código Civil), com resolução do mérito por decadência nos termos do art. 487, II, do CPC.</w:t>
      </w:r>
    </w:p>
    <w:p w14:paraId="3B3F1440" w14:textId="77777777" w:rsidR="005A5FCC" w:rsidRDefault="00A21C81">
      <w:pPr>
        <w:ind w:firstLine="238"/>
      </w:pPr>
      <w:r>
        <w:rPr>
          <w:rFonts w:cs="EB Garamond"/>
          <w:kern w:val="16"/>
          <w14:ligatures w14:val="standardContextual"/>
        </w:rPr>
        <w:t>O prazo decadencial sofreu quatro marcos legislativos: a redação original da Lei 8.213/91 não previa decadência; a Lei 9.528/1997 (conversão da MP 1.523/1996, que foi reeditada diversas vezes antes da conversão) introduziu prazo de dez anos; a Lei 9.711/1998 reduziu-o para cinco anos; e a Lei 10.839/2004 retornou ao prazo decenal, com reabertura a partir da vigência da MP 138/2003 (19/11/2003). Para a evolução legislativa completa do art. 103 e o debate sobre a constitucionalidade do prazo, v. Capítulo 21. Savaris (2023, p. 215) sublinha que a reabertura do prazo constituiu reconhecimento legislativo de que o prazo quinquenal era insuficiente para assegurar a proteção do segurado.</w:t>
      </w:r>
    </w:p>
    <w:p w14:paraId="7DF8B589" w14:textId="77777777" w:rsidR="005A5FCC" w:rsidRDefault="00A21C81">
      <w:pPr>
        <w:ind w:firstLine="238"/>
      </w:pPr>
      <w:r>
        <w:rPr>
          <w:rFonts w:cs="EB Garamond"/>
          <w:kern w:val="16"/>
          <w14:ligatures w14:val="standardContextual"/>
        </w:rPr>
        <w:t>O termo inicial do prazo merece atenção prática. A lei o fixa no primeiro dia do mês seguinte ao recebimento da primeira prestação. Esse marco pressupõe que o segurado, ao receber o primeiro pagamento, já dispõe das condições para verificar a regularidade do cálculo. Na realidade dos JEFs, porém, muitos segurados somente tomam conhecimento do erro de cálculo anos depois, seja por terem contratado advogado especializado, seja por comparação com colegas em situação semelhante. A discrepância entre o termo inicial legal e a efetiva possibilidade de conhecimento do erro alimenta o debate sobre a constitucionalidade da decadência previdenciária — questão aprofundada no Capítulo 21.</w:t>
      </w:r>
    </w:p>
    <w:p w14:paraId="49594440" w14:textId="77777777" w:rsidR="005A5FCC" w:rsidRDefault="00A21C81">
      <w:pPr>
        <w:ind w:firstLine="238"/>
      </w:pPr>
      <w:r>
        <w:rPr>
          <w:rFonts w:cs="EB Garamond"/>
          <w:kern w:val="16"/>
          <w14:ligatures w14:val="standardContextual"/>
        </w:rPr>
        <w:lastRenderedPageBreak/>
        <w:t>Dois pontos operacionais devem ser fixados. Primeiro: o prazo de dez anos atinge o direito de revisão do ato de concessão, e não o direito ao benefício em si. O segurado que deixa transcorrer o decênio sem questionar o cálculo perde o direito de postular a revisão da RMI, mas não perde o benefício. Segundo: a decadência atinge apenas a pretensão de modificar os elementos do ato de concessão (salário de benefício, coeficiente, fator previdenciário, tempo de contribuição computado). Pretensões que não se confundem com a revisão do ato de concessão, como o pedido de readequação ao teto constitucional, seguem regime diverso, como veremos adiante.</w:t>
      </w:r>
    </w:p>
    <w:tbl>
      <w:tblPr>
        <w:tblW w:w="5000" w:type="pct"/>
        <w:jc w:val="center"/>
        <w:tblLayout w:type="fixed"/>
        <w:tblLook w:val="04A0" w:firstRow="1" w:lastRow="0" w:firstColumn="1" w:lastColumn="0" w:noHBand="0" w:noVBand="1"/>
      </w:tblPr>
      <w:tblGrid>
        <w:gridCol w:w="6311"/>
      </w:tblGrid>
      <w:tr w:rsidR="005A5FCC" w14:paraId="07DD90BB"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009C3248"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03419E45" w14:textId="77777777" w:rsidR="005A5FCC" w:rsidRDefault="00A21C81">
            <w:pPr>
              <w:spacing w:after="60" w:line="247" w:lineRule="auto"/>
            </w:pPr>
            <w:r>
              <w:rPr>
                <w:rFonts w:cs="EB Garamond"/>
                <w:b/>
                <w:kern w:val="16"/>
                <w:sz w:val="19"/>
                <w14:ligatures w14:val="standardContextual"/>
              </w:rPr>
              <w:t>Decadência do ato de concessão × prescrição das parcelas</w:t>
            </w:r>
          </w:p>
          <w:p w14:paraId="076173B2" w14:textId="77777777" w:rsidR="005A5FCC" w:rsidRDefault="00A21C81">
            <w:pPr>
              <w:spacing w:after="60" w:line="247" w:lineRule="auto"/>
            </w:pPr>
            <w:r>
              <w:rPr>
                <w:rFonts w:cs="EB Garamond"/>
                <w:kern w:val="16"/>
                <w:sz w:val="19"/>
                <w14:ligatures w14:val="standardContextual"/>
              </w:rPr>
              <w:t xml:space="preserve">São institutos distintos com consequências práticas diversas. A </w:t>
            </w:r>
            <w:r>
              <w:rPr>
                <w:rFonts w:cs="EB Garamond"/>
                <w:b/>
                <w:kern w:val="16"/>
                <w:sz w:val="19"/>
                <w14:ligatures w14:val="standardContextual"/>
              </w:rPr>
              <w:t>decadência</w:t>
            </w:r>
            <w:r>
              <w:rPr>
                <w:rFonts w:cs="EB Garamond"/>
                <w:kern w:val="16"/>
                <w:sz w:val="19"/>
                <w14:ligatures w14:val="standardContextual"/>
              </w:rPr>
              <w:t xml:space="preserve"> (art. 103, caput, Lei 8.213/91) atinge o direito potestativo de revisar o ato de concessão do benefício. Prazo: 10 anos, contados do primeiro dia do mês seguinte ao recebimento da primeira prestação. Esgotado o prazo, o segurado não pode mais questionar os elementos que compuseram a RMI (salário de benefício, coeficiente, fator previdenciário).</w:t>
            </w:r>
          </w:p>
          <w:p w14:paraId="40A01C3C" w14:textId="77777777" w:rsidR="005A5FCC" w:rsidRDefault="00A21C81">
            <w:pPr>
              <w:spacing w:after="60" w:line="247" w:lineRule="auto"/>
            </w:pPr>
            <w:r>
              <w:rPr>
                <w:rFonts w:cs="EB Garamond"/>
                <w:kern w:val="16"/>
                <w:sz w:val="19"/>
                <w14:ligatures w14:val="standardContextual"/>
              </w:rPr>
              <w:t xml:space="preserve">A </w:t>
            </w:r>
            <w:r>
              <w:rPr>
                <w:rFonts w:cs="EB Garamond"/>
                <w:b/>
                <w:kern w:val="16"/>
                <w:sz w:val="19"/>
                <w14:ligatures w14:val="standardContextual"/>
              </w:rPr>
              <w:t>prescrição</w:t>
            </w:r>
            <w:r>
              <w:rPr>
                <w:rFonts w:cs="EB Garamond"/>
                <w:kern w:val="16"/>
                <w:sz w:val="19"/>
                <w14:ligatures w14:val="standardContextual"/>
              </w:rPr>
              <w:t xml:space="preserve"> (art. 103, parágrafo único, Lei 8.213/91) atinge as parcelas vencidas e não pagas. Prazo: 5 anos, contados retroativamente da data do ajuizamento da ação. Opera sobre as diferenças devidas, não sobre o direito à revisão em si.</w:t>
            </w:r>
          </w:p>
          <w:p w14:paraId="59680D92" w14:textId="77777777" w:rsidR="005A5FCC" w:rsidRDefault="00A21C81">
            <w:pPr>
              <w:spacing w:after="60" w:line="247" w:lineRule="auto"/>
            </w:pPr>
            <w:r>
              <w:rPr>
                <w:rFonts w:cs="EB Garamond"/>
                <w:kern w:val="16"/>
                <w:sz w:val="19"/>
                <w14:ligatures w14:val="standardContextual"/>
              </w:rPr>
              <w:t>Na prática, o segurado que ajuíza ação revisional dentro do prazo decadencial receberá as diferenças dos últimos cinco anos (contados da citação do INSS, que retroage à data do ajuizamento). Já o segurado que perde o prazo decadencial não receberá diferença alguma, ainda que as parcelas mais recentes estejam dentro do quinquênio prescricional: se o direito de revisar decaiu, não há diferenças a cobrar.</w:t>
            </w:r>
          </w:p>
        </w:tc>
      </w:tr>
    </w:tbl>
    <w:p w14:paraId="5A05FE9E" w14:textId="77777777" w:rsidR="005A5FCC" w:rsidRDefault="005A5FCC">
      <w:pPr>
        <w:spacing w:after="80" w:line="240" w:lineRule="auto"/>
      </w:pPr>
    </w:p>
    <w:p w14:paraId="3305E571" w14:textId="77777777" w:rsidR="005A5FCC" w:rsidRDefault="00A21C81">
      <w:pPr>
        <w:spacing w:before="260" w:after="80" w:line="240" w:lineRule="auto"/>
        <w:jc w:val="left"/>
      </w:pPr>
      <w:r>
        <w:rPr>
          <w:rFonts w:cs="EB Garamond"/>
          <w:b/>
          <w:color w:val="3A3128"/>
          <w:kern w:val="16"/>
          <w:sz w:val="25"/>
          <w14:ligatures w14:val="standardContextual"/>
        </w:rPr>
        <w:t>17.2.2 Situações que escapam à decadência</w:t>
      </w:r>
    </w:p>
    <w:p w14:paraId="043FE51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22435574" w14:textId="77777777" w:rsidR="005A5FCC" w:rsidRDefault="00A21C81">
      <w:r>
        <w:rPr>
          <w:rFonts w:cs="EB Garamond"/>
          <w:kern w:val="16"/>
          <w14:ligatures w14:val="standardContextual"/>
        </w:rPr>
        <w:t xml:space="preserve"> incidência do prazo decenal não é universal. O ordenamento e a jurisprudência consolidaram hipóteses em que a decadência do art. 103 não se aplica, e o magistrado dos JEFs precisa identificá-las para evitar a extinção prematura de ações revisionais viáveis.</w:t>
      </w:r>
    </w:p>
    <w:p w14:paraId="0C32174A" w14:textId="77777777" w:rsidR="005A5FCC" w:rsidRDefault="00A21C81">
      <w:pPr>
        <w:ind w:firstLine="238"/>
      </w:pPr>
      <w:r>
        <w:rPr>
          <w:rFonts w:cs="EB Garamond"/>
          <w:kern w:val="16"/>
          <w14:ligatures w14:val="standardContextual"/>
        </w:rPr>
        <w:lastRenderedPageBreak/>
        <w:t>A primeira hipótese é a do benefício não concedido. Quando o INSS indefere o requerimento administrativo, não há ato de concessão a revisar. A pretensão é de concessão, não de revisão, e se sujeita apenas à prescrição quinquenal das parcelas.</w:t>
      </w:r>
    </w:p>
    <w:p w14:paraId="78B424AE" w14:textId="77777777" w:rsidR="005A5FCC" w:rsidRDefault="00A21C81">
      <w:pPr>
        <w:ind w:firstLine="238"/>
      </w:pPr>
      <w:r>
        <w:rPr>
          <w:rFonts w:cs="EB Garamond"/>
          <w:kern w:val="16"/>
          <w14:ligatures w14:val="standardContextual"/>
        </w:rPr>
        <w:t>A segunda hipótese envolve o fundo de direito. Pretensões que dizem respeito ao próprio direito à prestação, e não à forma como o benefício foi calculado, não se submetem à decadência. A revisão do Buraco Negro (art. 144, Lei 8.213/91) é o exemplo mais significativo: trata-se do direito ao recálculo de benefícios concedidos entre outubro de 1988 e abril de 1991 conforme as regras da Lei 8.213/91, direito que constitui o próprio fundo da relação jurídica previdenciária. A posição do STJ é pacífica: a prescrição, nessas relações de trato sucessivo, atinge apenas as prestações vencidas antes do quinquênio anterior à propositura da ação (Súmula 85/STJ).</w:t>
      </w:r>
    </w:p>
    <w:p w14:paraId="31F02D42" w14:textId="77777777" w:rsidR="005A5FCC" w:rsidRDefault="00A21C81">
      <w:pPr>
        <w:ind w:firstLine="238"/>
      </w:pPr>
      <w:r>
        <w:rPr>
          <w:rFonts w:cs="EB Garamond"/>
          <w:kern w:val="16"/>
          <w14:ligatures w14:val="standardContextual"/>
        </w:rPr>
        <w:t xml:space="preserve">A terceira hipótese — que aqui registramos justamente para afastar equívoco recorrente — diz respeito às questões que o INSS não apreciou no ato administrativo de concessão. Poder-se-ia supor que, não tendo havido apreciação, a decadência não correria. Não é o que decidiu o STJ. O </w:t>
      </w:r>
      <w:r>
        <w:rPr>
          <w:rFonts w:cs="EB Garamond"/>
          <w:b/>
          <w:kern w:val="16"/>
          <w14:ligatures w14:val="standardContextual"/>
        </w:rPr>
        <w:t>Tema 975</w:t>
      </w:r>
      <w:r>
        <w:rPr>
          <w:rFonts w:cs="EB Garamond"/>
          <w:kern w:val="16"/>
          <w14:ligatures w14:val="standardContextual"/>
        </w:rPr>
        <w:t xml:space="preserve">, fixado em dezembro de 2019, assentou exatamente o oposto: </w:t>
      </w:r>
      <w:r>
        <w:rPr>
          <w:rFonts w:cs="EB Garamond"/>
          <w:i/>
          <w:kern w:val="16"/>
          <w14:ligatures w14:val="standardContextual"/>
        </w:rPr>
        <w:t>aplica-se</w:t>
      </w:r>
      <w:r>
        <w:rPr>
          <w:rFonts w:cs="EB Garamond"/>
          <w:kern w:val="16"/>
          <w14:ligatures w14:val="standardContextual"/>
        </w:rPr>
        <w:t xml:space="preserve"> o prazo decadencial de dez anos do art. 103 mesmo às hipóteses em que a questão controvertida não foi apreciada no ato administrativo de concessão. O Tema 975 deve ser lido em conjunto com o </w:t>
      </w:r>
      <w:r>
        <w:rPr>
          <w:rFonts w:cs="EB Garamond"/>
          <w:b/>
          <w:kern w:val="16"/>
          <w14:ligatures w14:val="standardContextual"/>
        </w:rPr>
        <w:t>Tema 966</w:t>
      </w:r>
      <w:r>
        <w:rPr>
          <w:rFonts w:cs="EB Garamond"/>
          <w:kern w:val="16"/>
          <w14:ligatures w14:val="standardContextual"/>
        </w:rPr>
        <w:t>, que confirmou a incidência da decadência para o reconhecimento do direito adquirido ao benefício mais vantajoso. As duas teses, conjugadas, não criam exceção à decadência — ao contrário, delimitam o seu alcance de forma ampla. A distinção entre elas é operacionalmente decisiva e merece análise separada.</w:t>
      </w:r>
    </w:p>
    <w:p w14:paraId="6605152A" w14:textId="77777777" w:rsidR="005A5FCC" w:rsidRDefault="00A21C81">
      <w:pPr>
        <w:ind w:firstLine="238"/>
      </w:pPr>
      <w:r>
        <w:rPr>
          <w:rFonts w:cs="EB Garamond"/>
          <w:kern w:val="16"/>
          <w14:ligatures w14:val="standardContextual"/>
        </w:rPr>
        <w:t>A quarta hipótese abrange os fatos supervenientes ao ato de concessão. Quando uma alteração legislativa posterior à concessão repercute sobre o valor do benefício — como a elevação do teto por emenda constitucional —, o segurado não está exercendo pretensão revisional do ato originário, mas sim pretensão decorrente de fato novo. A decadência não pode atingir um direito que sequer existia na data da concessão.</w:t>
      </w:r>
    </w:p>
    <w:tbl>
      <w:tblPr>
        <w:tblW w:w="5000" w:type="pct"/>
        <w:jc w:val="center"/>
        <w:tblLayout w:type="fixed"/>
        <w:tblLook w:val="04A0" w:firstRow="1" w:lastRow="0" w:firstColumn="1" w:lastColumn="0" w:noHBand="0" w:noVBand="1"/>
      </w:tblPr>
      <w:tblGrid>
        <w:gridCol w:w="6311"/>
      </w:tblGrid>
      <w:tr w:rsidR="005A5FCC" w14:paraId="3F2D869D"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6C09E471" w14:textId="77777777" w:rsidR="005A5FCC" w:rsidRDefault="00A21C81">
            <w:pPr>
              <w:spacing w:after="60" w:line="240" w:lineRule="auto"/>
              <w:jc w:val="left"/>
            </w:pPr>
            <w:r>
              <w:rPr>
                <w:rFonts w:ascii="Noto Sans" w:hAnsi="Noto Sans" w:cs="Noto Sans"/>
                <w:b/>
                <w:caps/>
                <w:color w:val="4D6F8A"/>
                <w:kern w:val="16"/>
                <w:sz w:val="16"/>
                <w14:ligatures w14:val="standardContextual"/>
              </w:rPr>
              <w:lastRenderedPageBreak/>
              <w:t>JURISPRUDÊNCIA EM DESTAQUE</w:t>
            </w:r>
          </w:p>
          <w:p w14:paraId="528DAA60" w14:textId="77777777" w:rsidR="005A5FCC" w:rsidRDefault="00A21C81">
            <w:pPr>
              <w:spacing w:after="60" w:line="247" w:lineRule="auto"/>
            </w:pPr>
            <w:r>
              <w:rPr>
                <w:rFonts w:cs="EB Garamond"/>
                <w:b/>
                <w:kern w:val="16"/>
                <w:sz w:val="19"/>
                <w14:ligatures w14:val="standardContextual"/>
              </w:rPr>
              <w:t>Temas 966 e 975/STJ — Duas faces da decadência nas ações revisionais</w:t>
            </w:r>
          </w:p>
          <w:p w14:paraId="1FCE114C" w14:textId="77777777" w:rsidR="005A5FCC" w:rsidRDefault="00A21C81">
            <w:pPr>
              <w:spacing w:after="60" w:line="247" w:lineRule="auto"/>
            </w:pPr>
            <w:r>
              <w:rPr>
                <w:rFonts w:cs="EB Garamond"/>
                <w:kern w:val="16"/>
                <w:sz w:val="19"/>
                <w14:ligatures w14:val="standardContextual"/>
              </w:rPr>
              <w:t>No Tema 966 (REsp 1.631.021/RS, leading case, e REsp 1.612.818/RS, 1ª Seção, Rel. Min. Mauro Campbell Marques, julgados em 13/02/2019, acórdão publicado em 13/03/2019) e no Tema 975 (REsp 1.648.336/RS, leading case, e REsp 1.644.191/RS, 1ª Seção, Rel. Min. Herman Benjamin, julgados em 11/12/2019, acórdão publicado em 04/08/2020), o STJ fixou duas teses que, conjugadas, delimitam de forma ampla o alcance da decadência. Convém registrar que as duas teses foram firmadas em momentos distintos — o Tema 966 quase um ano antes do Tema 975 —, e que ambas são anteriores à EC 103/2019: tratam, portanto, da decadência sob a sistemática de cálculo pré-reforma, sem interpretar a Reforma da Previdência.</w:t>
            </w:r>
          </w:p>
          <w:p w14:paraId="3F7A6414" w14:textId="77777777" w:rsidR="005A5FCC" w:rsidRDefault="00A21C81">
            <w:pPr>
              <w:spacing w:after="60" w:line="247" w:lineRule="auto"/>
            </w:pPr>
            <w:r>
              <w:rPr>
                <w:rFonts w:cs="EB Garamond"/>
                <w:b/>
                <w:kern w:val="16"/>
                <w:sz w:val="19"/>
                <w14:ligatures w14:val="standardContextual"/>
              </w:rPr>
              <w:t>Tema 966 — incide a decadência sobre a escolha do benefício mais vantajoso:</w:t>
            </w:r>
            <w:r>
              <w:rPr>
                <w:rFonts w:cs="EB Garamond"/>
                <w:kern w:val="16"/>
                <w:sz w:val="19"/>
                <w14:ligatures w14:val="standardContextual"/>
              </w:rPr>
              <w:t xml:space="preserve"> "Incide o prazo decadencial previsto no caput do artigo 103 da Lei 8.213/1991 para reconhecimento do direito adquirido ao benefício previdenciário mais vantajoso." Se o segurado pretende que o INSS deveria ter concedido o benefício por regra de cálculo diversa (mais vantajosa), o prazo decadencial incide.</w:t>
            </w:r>
          </w:p>
          <w:p w14:paraId="555E3A71" w14:textId="77777777" w:rsidR="005A5FCC" w:rsidRDefault="00A21C81">
            <w:pPr>
              <w:spacing w:after="60" w:line="247" w:lineRule="auto"/>
            </w:pPr>
            <w:r>
              <w:rPr>
                <w:rFonts w:cs="EB Garamond"/>
                <w:b/>
                <w:kern w:val="16"/>
                <w:sz w:val="19"/>
                <w14:ligatures w14:val="standardContextual"/>
              </w:rPr>
              <w:t>Tema 975 — aplica-se a decadência mesmo às questões não apreciadas no ato de concessão:</w:t>
            </w:r>
            <w:r>
              <w:rPr>
                <w:rFonts w:cs="EB Garamond"/>
                <w:kern w:val="16"/>
                <w:sz w:val="19"/>
                <w14:ligatures w14:val="standardContextual"/>
              </w:rPr>
              <w:t xml:space="preserve"> "Aplica-se o prazo decadencial de dez anos estabelecido no art. 103, caput, da Lei 8.213/1991 às hipóteses em que a questão controvertida não foi apreciada no ato administrativo de análise de concessão de benefício previdenciário." Ou seja, ainda que o INSS, ao conceder o benefício, não tenha apreciado determinada questão, a decadência decenal corre normalmente sobre o direito de revisão relativo a esse ponto.</w:t>
            </w:r>
          </w:p>
          <w:p w14:paraId="1AF4DF77" w14:textId="77777777" w:rsidR="005A5FCC" w:rsidRDefault="00A21C81">
            <w:pPr>
              <w:spacing w:after="60" w:line="247" w:lineRule="auto"/>
            </w:pPr>
            <w:r>
              <w:rPr>
                <w:rFonts w:cs="EB Garamond"/>
                <w:kern w:val="16"/>
                <w:sz w:val="19"/>
                <w14:ligatures w14:val="standardContextual"/>
              </w:rPr>
              <w:t>A distinção prática: o Tema 966 trata da pretensão de obter benefício por regra de cálculo mais vantajosa (direito adquirido); o Tema 975 esclarece que a falta de apreciação administrativa de uma questão não impede a fluência do prazo decadencial. Nenhuma das duas teses cria exceção à decadência. O equívoco a evitar é supor que o cálculo das atividades concomitantes (art. 32, Lei 8.213/91) escapa ao prazo só porque o INSS dispunha dos dados no CNIS e não aplicou de ofício a soma dos salários de contribuição: pelo Tema 975, a decadência decenal alcança também essa pretensão revisional, contada da concessão.</w:t>
            </w:r>
          </w:p>
        </w:tc>
      </w:tr>
    </w:tbl>
    <w:p w14:paraId="5091F938" w14:textId="77777777" w:rsidR="005A5FCC" w:rsidRDefault="005A5FCC">
      <w:pPr>
        <w:spacing w:after="80" w:line="240" w:lineRule="auto"/>
      </w:pPr>
    </w:p>
    <w:p w14:paraId="0B12BE6D" w14:textId="77777777" w:rsidR="005A5FCC" w:rsidRDefault="00A21C81">
      <w:pPr>
        <w:spacing w:before="260" w:after="80" w:line="240" w:lineRule="auto"/>
        <w:jc w:val="left"/>
      </w:pPr>
      <w:r>
        <w:rPr>
          <w:rFonts w:cs="EB Garamond"/>
          <w:b/>
          <w:color w:val="3A3128"/>
          <w:kern w:val="16"/>
          <w:sz w:val="25"/>
          <w14:ligatures w14:val="standardContextual"/>
        </w:rPr>
        <w:t>17.2.3 Quadro funcional: decadência por tese revisional</w:t>
      </w:r>
    </w:p>
    <w:p w14:paraId="69201058"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A</w:t>
      </w:r>
    </w:p>
    <w:p w14:paraId="0E1FFB61" w14:textId="77777777" w:rsidR="005A5FCC" w:rsidRDefault="00A21C81">
      <w:r>
        <w:rPr>
          <w:rFonts w:cs="EB Garamond"/>
          <w:kern w:val="16"/>
          <w14:ligatures w14:val="standardContextual"/>
        </w:rPr>
        <w:t xml:space="preserve"> aplicação do regime de decadência varia conforme a natureza da tese revisional invocada. O quadro abaixo sintetiza, para cada tese tratada neste capítulo, a incidência ou não da decadência decenal e o fundamento correspondente.</w:t>
      </w:r>
    </w:p>
    <w:tbl>
      <w:tblPr>
        <w:tblW w:w="5000" w:type="pct"/>
        <w:jc w:val="center"/>
        <w:tblLook w:val="04A0" w:firstRow="1" w:lastRow="0" w:firstColumn="1" w:lastColumn="0" w:noHBand="0" w:noVBand="1"/>
      </w:tblPr>
      <w:tblGrid>
        <w:gridCol w:w="1585"/>
        <w:gridCol w:w="1585"/>
        <w:gridCol w:w="1585"/>
        <w:gridCol w:w="1585"/>
      </w:tblGrid>
      <w:tr w:rsidR="005A5FCC" w14:paraId="0FBCFD91" w14:textId="77777777">
        <w:trPr>
          <w:tblHeader/>
          <w:jc w:val="center"/>
        </w:trPr>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7BFB71EE" w14:textId="77777777" w:rsidR="005A5FCC" w:rsidRDefault="00A21C81">
            <w:pPr>
              <w:spacing w:before="40" w:after="40" w:line="240" w:lineRule="auto"/>
              <w:jc w:val="center"/>
            </w:pPr>
            <w:r>
              <w:rPr>
                <w:rFonts w:cs="EB Garamond"/>
                <w:b/>
                <w:color w:val="2F2923"/>
                <w:kern w:val="16"/>
                <w:sz w:val="18"/>
                <w14:ligatures w14:val="standardContextual"/>
              </w:rPr>
              <w:t>Tese revisional</w:t>
            </w:r>
          </w:p>
        </w:tc>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784EB26A" w14:textId="77777777" w:rsidR="005A5FCC" w:rsidRDefault="00A21C81">
            <w:pPr>
              <w:spacing w:before="40" w:after="40" w:line="240" w:lineRule="auto"/>
              <w:jc w:val="center"/>
            </w:pPr>
            <w:r>
              <w:rPr>
                <w:rFonts w:cs="EB Garamond"/>
                <w:b/>
                <w:color w:val="2F2923"/>
                <w:kern w:val="16"/>
                <w:sz w:val="18"/>
                <w14:ligatures w14:val="standardContextual"/>
              </w:rPr>
              <w:t>Decadência aplicável?</w:t>
            </w:r>
          </w:p>
        </w:tc>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7E1F8F8E" w14:textId="77777777" w:rsidR="005A5FCC" w:rsidRDefault="00A21C81">
            <w:pPr>
              <w:spacing w:before="40" w:after="40" w:line="240" w:lineRule="auto"/>
              <w:jc w:val="center"/>
            </w:pPr>
            <w:r>
              <w:rPr>
                <w:rFonts w:cs="EB Garamond"/>
                <w:b/>
                <w:color w:val="2F2923"/>
                <w:kern w:val="16"/>
                <w:sz w:val="18"/>
                <w14:ligatures w14:val="standardContextual"/>
              </w:rPr>
              <w:t>Fundamento</w:t>
            </w:r>
          </w:p>
        </w:tc>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1BD32EF4" w14:textId="77777777" w:rsidR="005A5FCC" w:rsidRDefault="00A21C81">
            <w:pPr>
              <w:spacing w:before="40" w:after="40" w:line="240" w:lineRule="auto"/>
              <w:jc w:val="center"/>
            </w:pPr>
            <w:r>
              <w:rPr>
                <w:rFonts w:cs="EB Garamond"/>
                <w:b/>
                <w:color w:val="2F2923"/>
                <w:kern w:val="16"/>
                <w:sz w:val="18"/>
                <w14:ligatures w14:val="standardContextual"/>
              </w:rPr>
              <w:t>Termo inicial</w:t>
            </w:r>
          </w:p>
        </w:tc>
      </w:tr>
      <w:tr w:rsidR="005A5FCC" w14:paraId="57C1908C"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60585C9F" w14:textId="77777777" w:rsidR="005A5FCC" w:rsidRDefault="00A21C81">
            <w:pPr>
              <w:spacing w:before="20" w:after="20" w:line="240" w:lineRule="auto"/>
              <w:jc w:val="left"/>
            </w:pPr>
            <w:r>
              <w:rPr>
                <w:rFonts w:cs="EB Garamond"/>
                <w:kern w:val="16"/>
                <w:sz w:val="18"/>
                <w14:ligatures w14:val="standardContextual"/>
              </w:rPr>
              <w:t>Revisão da vida toda (Tema 1102/STF)</w:t>
            </w:r>
          </w:p>
        </w:tc>
        <w:tc>
          <w:tcPr>
            <w:tcW w:w="1587" w:type="dxa"/>
            <w:tcBorders>
              <w:top w:val="single" w:sz="4" w:space="0" w:color="D2C9B8"/>
              <w:left w:val="single" w:sz="4" w:space="0" w:color="D2C9B8"/>
              <w:bottom w:val="single" w:sz="4" w:space="0" w:color="D2C9B8"/>
              <w:right w:val="single" w:sz="4" w:space="0" w:color="D2C9B8"/>
            </w:tcBorders>
          </w:tcPr>
          <w:p w14:paraId="38E61B66" w14:textId="77777777" w:rsidR="005A5FCC" w:rsidRDefault="00A21C81">
            <w:pPr>
              <w:spacing w:before="20" w:after="20" w:line="240" w:lineRule="auto"/>
              <w:jc w:val="left"/>
            </w:pPr>
            <w:r>
              <w:rPr>
                <w:rFonts w:cs="EB Garamond"/>
                <w:kern w:val="16"/>
                <w:sz w:val="18"/>
                <w14:ligatures w14:val="standardContextual"/>
              </w:rPr>
              <w:t>Sim (10 anos da DIB)</w:t>
            </w:r>
          </w:p>
        </w:tc>
        <w:tc>
          <w:tcPr>
            <w:tcW w:w="1587" w:type="dxa"/>
            <w:tcBorders>
              <w:top w:val="single" w:sz="4" w:space="0" w:color="D2C9B8"/>
              <w:left w:val="single" w:sz="4" w:space="0" w:color="D2C9B8"/>
              <w:bottom w:val="single" w:sz="4" w:space="0" w:color="D2C9B8"/>
              <w:right w:val="single" w:sz="4" w:space="0" w:color="D2C9B8"/>
            </w:tcBorders>
          </w:tcPr>
          <w:p w14:paraId="6EB5F783" w14:textId="77777777" w:rsidR="005A5FCC" w:rsidRDefault="00A21C81">
            <w:pPr>
              <w:spacing w:before="20" w:after="20" w:line="240" w:lineRule="auto"/>
              <w:jc w:val="left"/>
            </w:pPr>
            <w:r>
              <w:rPr>
                <w:rFonts w:cs="EB Garamond"/>
                <w:kern w:val="16"/>
                <w:sz w:val="18"/>
                <w14:ligatures w14:val="standardContextual"/>
              </w:rPr>
              <w:t>Opção por regra de cálculo: integra o ato de concessão</w:t>
            </w:r>
          </w:p>
        </w:tc>
        <w:tc>
          <w:tcPr>
            <w:tcW w:w="1587" w:type="dxa"/>
            <w:tcBorders>
              <w:top w:val="single" w:sz="4" w:space="0" w:color="D2C9B8"/>
              <w:left w:val="single" w:sz="4" w:space="0" w:color="D2C9B8"/>
              <w:bottom w:val="single" w:sz="4" w:space="0" w:color="D2C9B8"/>
              <w:right w:val="single" w:sz="4" w:space="0" w:color="D2C9B8"/>
            </w:tcBorders>
          </w:tcPr>
          <w:p w14:paraId="55E5462A" w14:textId="77777777" w:rsidR="005A5FCC" w:rsidRDefault="00A21C81">
            <w:pPr>
              <w:spacing w:before="20" w:after="20" w:line="240" w:lineRule="auto"/>
              <w:jc w:val="left"/>
            </w:pPr>
            <w:r>
              <w:rPr>
                <w:rFonts w:cs="EB Garamond"/>
                <w:kern w:val="16"/>
                <w:sz w:val="18"/>
                <w14:ligatures w14:val="standardContextual"/>
              </w:rPr>
              <w:t>1º dia do mês seguinte à primeira prestação</w:t>
            </w:r>
          </w:p>
        </w:tc>
      </w:tr>
      <w:tr w:rsidR="005A5FCC" w14:paraId="7A009C54"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37D33C27" w14:textId="77777777" w:rsidR="005A5FCC" w:rsidRDefault="00A21C81">
            <w:pPr>
              <w:spacing w:before="20" w:after="20" w:line="240" w:lineRule="auto"/>
              <w:jc w:val="left"/>
            </w:pPr>
            <w:r>
              <w:rPr>
                <w:rFonts w:cs="EB Garamond"/>
                <w:kern w:val="16"/>
                <w:sz w:val="18"/>
                <w14:ligatures w14:val="standardContextual"/>
              </w:rPr>
              <w:t>Revisão do teto (ECs 20/1998 e 41/2003)</w:t>
            </w:r>
          </w:p>
        </w:tc>
        <w:tc>
          <w:tcPr>
            <w:tcW w:w="1587" w:type="dxa"/>
            <w:tcBorders>
              <w:top w:val="single" w:sz="4" w:space="0" w:color="D2C9B8"/>
              <w:left w:val="single" w:sz="4" w:space="0" w:color="D2C9B8"/>
              <w:bottom w:val="single" w:sz="4" w:space="0" w:color="D2C9B8"/>
              <w:right w:val="single" w:sz="4" w:space="0" w:color="D2C9B8"/>
            </w:tcBorders>
          </w:tcPr>
          <w:p w14:paraId="3DB77038" w14:textId="77777777" w:rsidR="005A5FCC" w:rsidRDefault="00A21C81">
            <w:pPr>
              <w:spacing w:before="20" w:after="20" w:line="240" w:lineRule="auto"/>
              <w:jc w:val="left"/>
            </w:pPr>
            <w:r>
              <w:rPr>
                <w:rFonts w:cs="EB Garamond"/>
                <w:kern w:val="16"/>
                <w:sz w:val="18"/>
                <w14:ligatures w14:val="standardContextual"/>
              </w:rPr>
              <w:t>Não, em regra</w:t>
            </w:r>
          </w:p>
        </w:tc>
        <w:tc>
          <w:tcPr>
            <w:tcW w:w="1587" w:type="dxa"/>
            <w:tcBorders>
              <w:top w:val="single" w:sz="4" w:space="0" w:color="D2C9B8"/>
              <w:left w:val="single" w:sz="4" w:space="0" w:color="D2C9B8"/>
              <w:bottom w:val="single" w:sz="4" w:space="0" w:color="D2C9B8"/>
              <w:right w:val="single" w:sz="4" w:space="0" w:color="D2C9B8"/>
            </w:tcBorders>
          </w:tcPr>
          <w:p w14:paraId="4158FC32" w14:textId="77777777" w:rsidR="005A5FCC" w:rsidRDefault="00A21C81">
            <w:pPr>
              <w:spacing w:before="20" w:after="20" w:line="240" w:lineRule="auto"/>
              <w:jc w:val="left"/>
            </w:pPr>
            <w:r>
              <w:rPr>
                <w:rFonts w:cs="EB Garamond"/>
                <w:kern w:val="16"/>
                <w:sz w:val="18"/>
                <w14:ligatures w14:val="standardContextual"/>
              </w:rPr>
              <w:t>Readequação decorre de fato superveniente (EC), não do ato de concessão</w:t>
            </w:r>
          </w:p>
        </w:tc>
        <w:tc>
          <w:tcPr>
            <w:tcW w:w="1587" w:type="dxa"/>
            <w:tcBorders>
              <w:top w:val="single" w:sz="4" w:space="0" w:color="D2C9B8"/>
              <w:left w:val="single" w:sz="4" w:space="0" w:color="D2C9B8"/>
              <w:bottom w:val="single" w:sz="4" w:space="0" w:color="D2C9B8"/>
              <w:right w:val="single" w:sz="4" w:space="0" w:color="D2C9B8"/>
            </w:tcBorders>
          </w:tcPr>
          <w:p w14:paraId="0DCFDA91" w14:textId="77777777" w:rsidR="005A5FCC" w:rsidRDefault="00A21C81">
            <w:pPr>
              <w:spacing w:before="20" w:after="20" w:line="240" w:lineRule="auto"/>
              <w:jc w:val="left"/>
            </w:pPr>
            <w:r>
              <w:rPr>
                <w:rFonts w:cs="EB Garamond"/>
                <w:kern w:val="16"/>
                <w:sz w:val="18"/>
                <w14:ligatures w14:val="standardContextual"/>
              </w:rPr>
              <w:t>Prescrição quinquenal das parcelas, apenas</w:t>
            </w:r>
          </w:p>
        </w:tc>
      </w:tr>
      <w:tr w:rsidR="005A5FCC" w14:paraId="1DFBD916"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047A3070" w14:textId="77777777" w:rsidR="005A5FCC" w:rsidRDefault="00A21C81">
            <w:pPr>
              <w:spacing w:before="20" w:after="20" w:line="240" w:lineRule="auto"/>
              <w:jc w:val="left"/>
            </w:pPr>
            <w:r>
              <w:rPr>
                <w:rFonts w:cs="EB Garamond"/>
                <w:kern w:val="16"/>
                <w:sz w:val="18"/>
                <w14:ligatures w14:val="standardContextual"/>
              </w:rPr>
              <w:t>Revisão do Buraco Negro (art. 144)</w:t>
            </w:r>
          </w:p>
        </w:tc>
        <w:tc>
          <w:tcPr>
            <w:tcW w:w="1587" w:type="dxa"/>
            <w:tcBorders>
              <w:top w:val="single" w:sz="4" w:space="0" w:color="D2C9B8"/>
              <w:left w:val="single" w:sz="4" w:space="0" w:color="D2C9B8"/>
              <w:bottom w:val="single" w:sz="4" w:space="0" w:color="D2C9B8"/>
              <w:right w:val="single" w:sz="4" w:space="0" w:color="D2C9B8"/>
            </w:tcBorders>
          </w:tcPr>
          <w:p w14:paraId="5EA0FE25" w14:textId="77777777" w:rsidR="005A5FCC" w:rsidRDefault="00A21C81">
            <w:pPr>
              <w:spacing w:before="20" w:after="20" w:line="240" w:lineRule="auto"/>
              <w:jc w:val="left"/>
            </w:pPr>
            <w:r>
              <w:rPr>
                <w:rFonts w:cs="EB Garamond"/>
                <w:kern w:val="16"/>
                <w:sz w:val="18"/>
                <w14:ligatures w14:val="standardContextual"/>
              </w:rPr>
              <w:t>Não</w:t>
            </w:r>
          </w:p>
        </w:tc>
        <w:tc>
          <w:tcPr>
            <w:tcW w:w="1587" w:type="dxa"/>
            <w:tcBorders>
              <w:top w:val="single" w:sz="4" w:space="0" w:color="D2C9B8"/>
              <w:left w:val="single" w:sz="4" w:space="0" w:color="D2C9B8"/>
              <w:bottom w:val="single" w:sz="4" w:space="0" w:color="D2C9B8"/>
              <w:right w:val="single" w:sz="4" w:space="0" w:color="D2C9B8"/>
            </w:tcBorders>
          </w:tcPr>
          <w:p w14:paraId="6142B9E4" w14:textId="77777777" w:rsidR="005A5FCC" w:rsidRDefault="00A21C81">
            <w:pPr>
              <w:spacing w:before="20" w:after="20" w:line="240" w:lineRule="auto"/>
              <w:jc w:val="left"/>
            </w:pPr>
            <w:r>
              <w:rPr>
                <w:rFonts w:cs="EB Garamond"/>
                <w:kern w:val="16"/>
                <w:sz w:val="18"/>
                <w14:ligatures w14:val="standardContextual"/>
              </w:rPr>
              <w:t>Fundo de direito — trato sucessivo</w:t>
            </w:r>
          </w:p>
        </w:tc>
        <w:tc>
          <w:tcPr>
            <w:tcW w:w="1587" w:type="dxa"/>
            <w:tcBorders>
              <w:top w:val="single" w:sz="4" w:space="0" w:color="D2C9B8"/>
              <w:left w:val="single" w:sz="4" w:space="0" w:color="D2C9B8"/>
              <w:bottom w:val="single" w:sz="4" w:space="0" w:color="D2C9B8"/>
              <w:right w:val="single" w:sz="4" w:space="0" w:color="D2C9B8"/>
            </w:tcBorders>
          </w:tcPr>
          <w:p w14:paraId="57E2419C" w14:textId="77777777" w:rsidR="005A5FCC" w:rsidRDefault="00A21C81">
            <w:pPr>
              <w:spacing w:before="20" w:after="20" w:line="240" w:lineRule="auto"/>
              <w:jc w:val="left"/>
            </w:pPr>
            <w:r>
              <w:rPr>
                <w:rFonts w:cs="EB Garamond"/>
                <w:kern w:val="16"/>
                <w:sz w:val="18"/>
                <w14:ligatures w14:val="standardContextual"/>
              </w:rPr>
              <w:t>Prescrição quinquenal das parcelas</w:t>
            </w:r>
          </w:p>
        </w:tc>
      </w:tr>
      <w:tr w:rsidR="005A5FCC" w14:paraId="40342A51"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61C3EB8B" w14:textId="77777777" w:rsidR="005A5FCC" w:rsidRDefault="00A21C81">
            <w:pPr>
              <w:spacing w:before="20" w:after="20" w:line="240" w:lineRule="auto"/>
              <w:jc w:val="left"/>
            </w:pPr>
            <w:r>
              <w:rPr>
                <w:rFonts w:cs="EB Garamond"/>
                <w:kern w:val="16"/>
                <w:sz w:val="18"/>
                <w14:ligatures w14:val="standardContextual"/>
              </w:rPr>
              <w:t>Revisão do art. 29, II (divisor mínimo)</w:t>
            </w:r>
          </w:p>
        </w:tc>
        <w:tc>
          <w:tcPr>
            <w:tcW w:w="1587" w:type="dxa"/>
            <w:tcBorders>
              <w:top w:val="single" w:sz="4" w:space="0" w:color="D2C9B8"/>
              <w:left w:val="single" w:sz="4" w:space="0" w:color="D2C9B8"/>
              <w:bottom w:val="single" w:sz="4" w:space="0" w:color="D2C9B8"/>
              <w:right w:val="single" w:sz="4" w:space="0" w:color="D2C9B8"/>
            </w:tcBorders>
          </w:tcPr>
          <w:p w14:paraId="3430296F" w14:textId="77777777" w:rsidR="005A5FCC" w:rsidRDefault="00A21C81">
            <w:pPr>
              <w:spacing w:before="20" w:after="20" w:line="240" w:lineRule="auto"/>
              <w:jc w:val="left"/>
            </w:pPr>
            <w:r>
              <w:rPr>
                <w:rFonts w:cs="EB Garamond"/>
                <w:kern w:val="16"/>
                <w:sz w:val="18"/>
                <w14:ligatures w14:val="standardContextual"/>
              </w:rPr>
              <w:t>Sim (10 anos da DIB), conforme Tema 975</w:t>
            </w:r>
          </w:p>
        </w:tc>
        <w:tc>
          <w:tcPr>
            <w:tcW w:w="1587" w:type="dxa"/>
            <w:tcBorders>
              <w:top w:val="single" w:sz="4" w:space="0" w:color="D2C9B8"/>
              <w:left w:val="single" w:sz="4" w:space="0" w:color="D2C9B8"/>
              <w:bottom w:val="single" w:sz="4" w:space="0" w:color="D2C9B8"/>
              <w:right w:val="single" w:sz="4" w:space="0" w:color="D2C9B8"/>
            </w:tcBorders>
          </w:tcPr>
          <w:p w14:paraId="36B25D6B" w14:textId="77777777" w:rsidR="005A5FCC" w:rsidRDefault="00A21C81">
            <w:pPr>
              <w:spacing w:before="20" w:after="20" w:line="240" w:lineRule="auto"/>
              <w:jc w:val="left"/>
            </w:pPr>
            <w:r>
              <w:rPr>
                <w:rFonts w:cs="EB Garamond"/>
                <w:kern w:val="16"/>
                <w:sz w:val="18"/>
                <w14:ligatures w14:val="standardContextual"/>
              </w:rPr>
              <w:t>Decadência incide mesmo que o INSS não tenha apreciado a questão de ofício</w:t>
            </w:r>
          </w:p>
        </w:tc>
        <w:tc>
          <w:tcPr>
            <w:tcW w:w="1587" w:type="dxa"/>
            <w:tcBorders>
              <w:top w:val="single" w:sz="4" w:space="0" w:color="D2C9B8"/>
              <w:left w:val="single" w:sz="4" w:space="0" w:color="D2C9B8"/>
              <w:bottom w:val="single" w:sz="4" w:space="0" w:color="D2C9B8"/>
              <w:right w:val="single" w:sz="4" w:space="0" w:color="D2C9B8"/>
            </w:tcBorders>
          </w:tcPr>
          <w:p w14:paraId="73B6A065" w14:textId="77777777" w:rsidR="005A5FCC" w:rsidRDefault="00A21C81">
            <w:pPr>
              <w:spacing w:before="20" w:after="20" w:line="240" w:lineRule="auto"/>
              <w:jc w:val="left"/>
            </w:pPr>
            <w:r>
              <w:rPr>
                <w:rFonts w:cs="EB Garamond"/>
                <w:kern w:val="16"/>
                <w:sz w:val="18"/>
                <w14:ligatures w14:val="standardContextual"/>
              </w:rPr>
              <w:t>1º dia do mês seguinte à primeira prestação</w:t>
            </w:r>
          </w:p>
        </w:tc>
      </w:tr>
      <w:tr w:rsidR="005A5FCC" w14:paraId="0F220D04"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2C48475C" w14:textId="77777777" w:rsidR="005A5FCC" w:rsidRDefault="00A21C81">
            <w:pPr>
              <w:spacing w:before="20" w:after="20" w:line="240" w:lineRule="auto"/>
              <w:jc w:val="left"/>
            </w:pPr>
            <w:r>
              <w:rPr>
                <w:rFonts w:cs="EB Garamond"/>
                <w:kern w:val="16"/>
                <w:sz w:val="18"/>
                <w14:ligatures w14:val="standardContextual"/>
              </w:rPr>
              <w:t>Atividades concomitantes (Tema 1070/STJ)</w:t>
            </w:r>
          </w:p>
        </w:tc>
        <w:tc>
          <w:tcPr>
            <w:tcW w:w="1587" w:type="dxa"/>
            <w:tcBorders>
              <w:top w:val="single" w:sz="4" w:space="0" w:color="D2C9B8"/>
              <w:left w:val="single" w:sz="4" w:space="0" w:color="D2C9B8"/>
              <w:bottom w:val="single" w:sz="4" w:space="0" w:color="D2C9B8"/>
              <w:right w:val="single" w:sz="4" w:space="0" w:color="D2C9B8"/>
            </w:tcBorders>
          </w:tcPr>
          <w:p w14:paraId="6BE65768" w14:textId="77777777" w:rsidR="005A5FCC" w:rsidRDefault="00A21C81">
            <w:pPr>
              <w:spacing w:before="20" w:after="20" w:line="240" w:lineRule="auto"/>
              <w:jc w:val="left"/>
            </w:pPr>
            <w:r>
              <w:rPr>
                <w:rFonts w:cs="EB Garamond"/>
                <w:kern w:val="16"/>
                <w:sz w:val="18"/>
                <w14:ligatures w14:val="standardContextual"/>
              </w:rPr>
              <w:t>Sim (10 anos da DIB), conforme Tema 975</w:t>
            </w:r>
          </w:p>
        </w:tc>
        <w:tc>
          <w:tcPr>
            <w:tcW w:w="1587" w:type="dxa"/>
            <w:tcBorders>
              <w:top w:val="single" w:sz="4" w:space="0" w:color="D2C9B8"/>
              <w:left w:val="single" w:sz="4" w:space="0" w:color="D2C9B8"/>
              <w:bottom w:val="single" w:sz="4" w:space="0" w:color="D2C9B8"/>
              <w:right w:val="single" w:sz="4" w:space="0" w:color="D2C9B8"/>
            </w:tcBorders>
          </w:tcPr>
          <w:p w14:paraId="7EB41974" w14:textId="77777777" w:rsidR="005A5FCC" w:rsidRDefault="00A21C81">
            <w:pPr>
              <w:spacing w:before="20" w:after="20" w:line="240" w:lineRule="auto"/>
              <w:jc w:val="left"/>
            </w:pPr>
            <w:r>
              <w:rPr>
                <w:rFonts w:cs="EB Garamond"/>
                <w:kern w:val="16"/>
                <w:sz w:val="18"/>
                <w14:ligatures w14:val="standardContextual"/>
              </w:rPr>
              <w:t>Decadência incide ainda que o INSS dispusesse dos dados no CNIS e não aplicasse a regra</w:t>
            </w:r>
          </w:p>
        </w:tc>
        <w:tc>
          <w:tcPr>
            <w:tcW w:w="1587" w:type="dxa"/>
            <w:tcBorders>
              <w:top w:val="single" w:sz="4" w:space="0" w:color="D2C9B8"/>
              <w:left w:val="single" w:sz="4" w:space="0" w:color="D2C9B8"/>
              <w:bottom w:val="single" w:sz="4" w:space="0" w:color="D2C9B8"/>
              <w:right w:val="single" w:sz="4" w:space="0" w:color="D2C9B8"/>
            </w:tcBorders>
          </w:tcPr>
          <w:p w14:paraId="5E416DE7" w14:textId="77777777" w:rsidR="005A5FCC" w:rsidRDefault="00A21C81">
            <w:pPr>
              <w:spacing w:before="20" w:after="20" w:line="240" w:lineRule="auto"/>
              <w:jc w:val="left"/>
            </w:pPr>
            <w:r>
              <w:rPr>
                <w:rFonts w:cs="EB Garamond"/>
                <w:kern w:val="16"/>
                <w:sz w:val="18"/>
                <w14:ligatures w14:val="standardContextual"/>
              </w:rPr>
              <w:t>1º dia do mês seguinte à primeira prestação</w:t>
            </w:r>
          </w:p>
        </w:tc>
      </w:tr>
      <w:tr w:rsidR="005A5FCC" w14:paraId="6616DF49"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2859FA9E" w14:textId="77777777" w:rsidR="005A5FCC" w:rsidRDefault="00A21C81">
            <w:pPr>
              <w:spacing w:before="20" w:after="20" w:line="240" w:lineRule="auto"/>
              <w:jc w:val="left"/>
            </w:pPr>
            <w:r>
              <w:rPr>
                <w:rFonts w:cs="EB Garamond"/>
                <w:kern w:val="16"/>
                <w:sz w:val="18"/>
                <w14:ligatures w14:val="standardContextual"/>
              </w:rPr>
              <w:t>Reafirmação da DER (Tema 995/STJ)</w:t>
            </w:r>
          </w:p>
        </w:tc>
        <w:tc>
          <w:tcPr>
            <w:tcW w:w="1587" w:type="dxa"/>
            <w:tcBorders>
              <w:top w:val="single" w:sz="4" w:space="0" w:color="D2C9B8"/>
              <w:left w:val="single" w:sz="4" w:space="0" w:color="D2C9B8"/>
              <w:bottom w:val="single" w:sz="4" w:space="0" w:color="D2C9B8"/>
              <w:right w:val="single" w:sz="4" w:space="0" w:color="D2C9B8"/>
            </w:tcBorders>
          </w:tcPr>
          <w:p w14:paraId="1EF040AA" w14:textId="77777777" w:rsidR="005A5FCC" w:rsidRDefault="00A21C81">
            <w:pPr>
              <w:spacing w:before="20" w:after="20" w:line="240" w:lineRule="auto"/>
              <w:jc w:val="left"/>
            </w:pPr>
            <w:r>
              <w:rPr>
                <w:rFonts w:cs="EB Garamond"/>
                <w:kern w:val="16"/>
                <w:sz w:val="18"/>
                <w14:ligatures w14:val="standardContextual"/>
              </w:rPr>
              <w:t>Não se aplica</w:t>
            </w:r>
          </w:p>
        </w:tc>
        <w:tc>
          <w:tcPr>
            <w:tcW w:w="1587" w:type="dxa"/>
            <w:tcBorders>
              <w:top w:val="single" w:sz="4" w:space="0" w:color="D2C9B8"/>
              <w:left w:val="single" w:sz="4" w:space="0" w:color="D2C9B8"/>
              <w:bottom w:val="single" w:sz="4" w:space="0" w:color="D2C9B8"/>
              <w:right w:val="single" w:sz="4" w:space="0" w:color="D2C9B8"/>
            </w:tcBorders>
          </w:tcPr>
          <w:p w14:paraId="01ED7541" w14:textId="77777777" w:rsidR="005A5FCC" w:rsidRDefault="00A21C81">
            <w:pPr>
              <w:spacing w:before="20" w:after="20" w:line="240" w:lineRule="auto"/>
              <w:jc w:val="left"/>
            </w:pPr>
            <w:r>
              <w:rPr>
                <w:rFonts w:cs="EB Garamond"/>
                <w:kern w:val="16"/>
                <w:sz w:val="18"/>
                <w14:ligatures w14:val="standardContextual"/>
              </w:rPr>
              <w:t>Trata-se de concessão com DER reafirmada, não de revisão</w:t>
            </w:r>
          </w:p>
        </w:tc>
        <w:tc>
          <w:tcPr>
            <w:tcW w:w="1587" w:type="dxa"/>
            <w:tcBorders>
              <w:top w:val="single" w:sz="4" w:space="0" w:color="D2C9B8"/>
              <w:left w:val="single" w:sz="4" w:space="0" w:color="D2C9B8"/>
              <w:bottom w:val="single" w:sz="4" w:space="0" w:color="D2C9B8"/>
              <w:right w:val="single" w:sz="4" w:space="0" w:color="D2C9B8"/>
            </w:tcBorders>
          </w:tcPr>
          <w:p w14:paraId="0DB7FAA2" w14:textId="77777777" w:rsidR="005A5FCC" w:rsidRDefault="00A21C81">
            <w:pPr>
              <w:spacing w:before="20" w:after="20" w:line="240" w:lineRule="auto"/>
              <w:jc w:val="left"/>
            </w:pPr>
            <w:r>
              <w:rPr>
                <w:rFonts w:cs="EB Garamond"/>
                <w:kern w:val="16"/>
                <w:sz w:val="18"/>
                <w14:ligatures w14:val="standardContextual"/>
              </w:rPr>
              <w:t>—</w:t>
            </w:r>
          </w:p>
        </w:tc>
      </w:tr>
      <w:tr w:rsidR="005A5FCC" w14:paraId="538F3475"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1680DA79" w14:textId="77777777" w:rsidR="005A5FCC" w:rsidRDefault="00A21C81">
            <w:pPr>
              <w:spacing w:before="20" w:after="20" w:line="240" w:lineRule="auto"/>
              <w:jc w:val="left"/>
            </w:pPr>
            <w:r>
              <w:rPr>
                <w:rFonts w:cs="EB Garamond"/>
                <w:kern w:val="16"/>
                <w:sz w:val="18"/>
                <w14:ligatures w14:val="standardContextual"/>
              </w:rPr>
              <w:t>Benefício mais vantajoso (Tema 966)</w:t>
            </w:r>
          </w:p>
        </w:tc>
        <w:tc>
          <w:tcPr>
            <w:tcW w:w="1587" w:type="dxa"/>
            <w:tcBorders>
              <w:top w:val="single" w:sz="4" w:space="0" w:color="D2C9B8"/>
              <w:left w:val="single" w:sz="4" w:space="0" w:color="D2C9B8"/>
              <w:bottom w:val="single" w:sz="4" w:space="0" w:color="D2C9B8"/>
              <w:right w:val="single" w:sz="4" w:space="0" w:color="D2C9B8"/>
            </w:tcBorders>
          </w:tcPr>
          <w:p w14:paraId="684A1D76" w14:textId="77777777" w:rsidR="005A5FCC" w:rsidRDefault="00A21C81">
            <w:pPr>
              <w:spacing w:before="20" w:after="20" w:line="240" w:lineRule="auto"/>
              <w:jc w:val="left"/>
            </w:pPr>
            <w:r>
              <w:rPr>
                <w:rFonts w:cs="EB Garamond"/>
                <w:kern w:val="16"/>
                <w:sz w:val="18"/>
                <w14:ligatures w14:val="standardContextual"/>
              </w:rPr>
              <w:t>Sim (10 anos da DIB), conforme Tema 966</w:t>
            </w:r>
          </w:p>
        </w:tc>
        <w:tc>
          <w:tcPr>
            <w:tcW w:w="1587" w:type="dxa"/>
            <w:tcBorders>
              <w:top w:val="single" w:sz="4" w:space="0" w:color="D2C9B8"/>
              <w:left w:val="single" w:sz="4" w:space="0" w:color="D2C9B8"/>
              <w:bottom w:val="single" w:sz="4" w:space="0" w:color="D2C9B8"/>
              <w:right w:val="single" w:sz="4" w:space="0" w:color="D2C9B8"/>
            </w:tcBorders>
          </w:tcPr>
          <w:p w14:paraId="7E5918F9" w14:textId="77777777" w:rsidR="005A5FCC" w:rsidRDefault="00A21C81">
            <w:pPr>
              <w:spacing w:before="20" w:after="20" w:line="240" w:lineRule="auto"/>
              <w:jc w:val="left"/>
            </w:pPr>
            <w:r>
              <w:rPr>
                <w:rFonts w:cs="EB Garamond"/>
                <w:kern w:val="16"/>
                <w:sz w:val="18"/>
                <w14:ligatures w14:val="standardContextual"/>
              </w:rPr>
              <w:t>O STJ reconheceu que a escolha da regra integra o ato de concessão</w:t>
            </w:r>
          </w:p>
        </w:tc>
        <w:tc>
          <w:tcPr>
            <w:tcW w:w="1587" w:type="dxa"/>
            <w:tcBorders>
              <w:top w:val="single" w:sz="4" w:space="0" w:color="D2C9B8"/>
              <w:left w:val="single" w:sz="4" w:space="0" w:color="D2C9B8"/>
              <w:bottom w:val="single" w:sz="4" w:space="0" w:color="D2C9B8"/>
              <w:right w:val="single" w:sz="4" w:space="0" w:color="D2C9B8"/>
            </w:tcBorders>
          </w:tcPr>
          <w:p w14:paraId="3B1FF1E2" w14:textId="77777777" w:rsidR="005A5FCC" w:rsidRDefault="00A21C81">
            <w:pPr>
              <w:spacing w:before="20" w:after="20" w:line="240" w:lineRule="auto"/>
              <w:jc w:val="left"/>
            </w:pPr>
            <w:r>
              <w:rPr>
                <w:rFonts w:cs="EB Garamond"/>
                <w:kern w:val="16"/>
                <w:sz w:val="18"/>
                <w14:ligatures w14:val="standardContextual"/>
              </w:rPr>
              <w:t>1º dia do mês seguinte à primeira prestação</w:t>
            </w:r>
          </w:p>
        </w:tc>
      </w:tr>
    </w:tbl>
    <w:p w14:paraId="37DC3FAD" w14:textId="77777777" w:rsidR="005A5FCC" w:rsidRDefault="005A5FCC">
      <w:pPr>
        <w:spacing w:after="80" w:line="240" w:lineRule="auto"/>
      </w:pPr>
    </w:p>
    <w:p w14:paraId="17839B27" w14:textId="77777777" w:rsidR="005A5FCC" w:rsidRDefault="00A21C81">
      <w:pPr>
        <w:spacing w:before="260" w:after="80" w:line="240" w:lineRule="auto"/>
        <w:jc w:val="left"/>
      </w:pPr>
      <w:r>
        <w:rPr>
          <w:rFonts w:cs="EB Garamond"/>
          <w:b/>
          <w:color w:val="3A3128"/>
          <w:kern w:val="16"/>
          <w:sz w:val="25"/>
          <w14:ligatures w14:val="standardContextual"/>
        </w:rPr>
        <w:t>17.2.4 Impacto prático nos JEFs</w:t>
      </w:r>
    </w:p>
    <w:p w14:paraId="2EE3EFB3"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N</w:t>
      </w:r>
    </w:p>
    <w:p w14:paraId="796F7945" w14:textId="77777777" w:rsidR="005A5FCC" w:rsidRDefault="00A21C81">
      <w:r>
        <w:rPr>
          <w:rFonts w:cs="EB Garamond"/>
          <w:kern w:val="16"/>
          <w14:ligatures w14:val="standardContextual"/>
        </w:rPr>
        <w:t>a rotina dos JEFs, a análise da decadência é questão preliminar em toda ação revisional. O magistrado deve observar, desde o despacho inicial, se a contestação do INSS alega decadência e se essa alegação é procedente à luz da tese específica invocada. Na nossa experiência, a contestação padronizada do INSS alega decadência de forma genérica, sem distinguir entre as hipóteses de incidência e as exceções. Cabe ao juiz aplicar o quadro funcional acima para verificar se a tese concreta se submete ou não ao prazo decenal.</w:t>
      </w:r>
    </w:p>
    <w:p w14:paraId="448C44B3" w14:textId="77777777" w:rsidR="005A5FCC" w:rsidRDefault="00A21C81">
      <w:pPr>
        <w:ind w:firstLine="238"/>
      </w:pPr>
      <w:r>
        <w:rPr>
          <w:rFonts w:cs="EB Garamond"/>
          <w:kern w:val="16"/>
          <w14:ligatures w14:val="standardContextual"/>
        </w:rPr>
        <w:t>Quando a decadência é reconhecida, a consequência processual é a resolução do mérito com rejeição do pedido (art. 487, II, CPC). A sentença que reconhece a decadência produz coisa julgada material, impedindo a renovação do pedido revisional.</w:t>
      </w:r>
    </w:p>
    <w:p w14:paraId="543471F3" w14:textId="77777777" w:rsidR="005A5FCC" w:rsidRDefault="00A21C81">
      <w:pPr>
        <w:ind w:firstLine="238"/>
      </w:pPr>
      <w:r>
        <w:rPr>
          <w:rFonts w:cs="EB Garamond"/>
          <w:kern w:val="16"/>
          <w14:ligatures w14:val="standardContextual"/>
        </w:rPr>
        <w:t>Quando a decadência é afastada, o magistrado prossegue para a análise do mérito. Deve ainda atentar para a prescrição quinquenal das parcelas (art. 103, parágrafo único), que limita o alcance financeiro da condenação: o segurado receberá apenas as diferenças dos últimos cinco anos, contados retroativamente da citação válida do INSS.</w:t>
      </w:r>
    </w:p>
    <w:p w14:paraId="7B0458D5" w14:textId="77777777" w:rsidR="005A5FCC" w:rsidRDefault="00A21C81">
      <w:pPr>
        <w:ind w:firstLine="238"/>
      </w:pPr>
      <w:r>
        <w:rPr>
          <w:rFonts w:cs="EB Garamond"/>
          <w:kern w:val="16"/>
          <w14:ligatures w14:val="standardContextual"/>
        </w:rPr>
        <w:t>A tendência é de redução progressiva das ações revisionais, em função do próprio prazo decadencial. As teses de maior impacto — vida toda, teto, art. 29, II — já ultrapassaram ou estão prestes a ultrapassar o decênio para os benefícios mais antigos. A exceção são as teses que escapam à decadência (Buraco Negro, teto como fato superveniente), que permanecem viáveis independentemente do tempo, embora com volume cada vez menor.</w:t>
      </w:r>
    </w:p>
    <w:p w14:paraId="70D0D03F"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17.3 Revisão da vida toda — dimensão processual pós-reversão</w:t>
      </w:r>
    </w:p>
    <w:p w14:paraId="15D1FE3F" w14:textId="6CA148C1" w:rsidR="005A5FCC" w:rsidRDefault="00A21C81">
      <w:pPr>
        <w:spacing w:before="260" w:after="80" w:line="240" w:lineRule="auto"/>
        <w:jc w:val="left"/>
      </w:pPr>
      <w:r>
        <w:rPr>
          <w:rFonts w:cs="EB Garamond"/>
          <w:b/>
          <w:color w:val="3A3128"/>
          <w:kern w:val="16"/>
          <w:sz w:val="25"/>
          <w14:ligatures w14:val="standardContextual"/>
        </w:rPr>
        <w:t xml:space="preserve">17.3.1 Cronologia do </w:t>
      </w:r>
      <w:r w:rsidR="0021558C">
        <w:rPr>
          <w:rFonts w:cs="EB Garamond"/>
          <w:b/>
          <w:color w:val="3A3128"/>
          <w:kern w:val="16"/>
          <w:sz w:val="25"/>
          <w14:ligatures w14:val="standardContextual"/>
        </w:rPr>
        <w:t>T</w:t>
      </w:r>
      <w:r>
        <w:rPr>
          <w:rFonts w:cs="EB Garamond"/>
          <w:b/>
          <w:color w:val="3A3128"/>
          <w:kern w:val="16"/>
          <w:sz w:val="25"/>
          <w14:ligatures w14:val="standardContextual"/>
        </w:rPr>
        <w:t>ema 1102/STF</w:t>
      </w:r>
    </w:p>
    <w:p w14:paraId="34136605"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673D8AF5" w14:textId="77777777" w:rsidR="005A5FCC" w:rsidRDefault="00A21C81">
      <w:r>
        <w:rPr>
          <w:rFonts w:cs="EB Garamond"/>
          <w:kern w:val="16"/>
          <w14:ligatures w14:val="standardContextual"/>
        </w:rPr>
        <w:t xml:space="preserve"> trajetória do Tema 1102 no STF é um dos episódios mais turbulentos da jurisprudência previdenciária. A cronologia completa e a mecânica de cálculo foram analisadas nas seções 10.11.3 e 16.11, respectivamente. Aqui nos concentramos na dimensão processual.</w:t>
      </w:r>
    </w:p>
    <w:p w14:paraId="3F08BB3C" w14:textId="77777777" w:rsidR="005A5FCC" w:rsidRDefault="00A21C81">
      <w:pPr>
        <w:ind w:firstLine="238"/>
      </w:pPr>
      <w:r>
        <w:rPr>
          <w:rFonts w:cs="EB Garamond"/>
          <w:kern w:val="16"/>
          <w14:ligatures w14:val="standardContextual"/>
        </w:rPr>
        <w:lastRenderedPageBreak/>
        <w:t>O RE 1.276.977/RS foi julgado pelo Plenário em 1º de dezembro de 2022. A maioria — seis votos a cinco, após retificação de voto do Min. Nunes Marques — reconheceu o direito do segurado de optar pela regra de cálculo permanente do art. 29, I e II, da Lei 8.213/91, afastando a aplicação obrigatória da regra de transição do art. 3º da Lei 9.876/1999 quando a regra definitiva fosse mais favorável. O julgamento gerou enorme demanda nos JEFs: milhares de ações foram ajuizadas entre dezembro de 2022 e meados de 2024, e muitos beneficiários obtiveram decisões favoráveis, inclusive com trânsito em julgado e implementação da revisão.</w:t>
      </w:r>
    </w:p>
    <w:p w14:paraId="4D03CBA8" w14:textId="77777777" w:rsidR="005A5FCC" w:rsidRDefault="00A21C81">
      <w:pPr>
        <w:ind w:firstLine="238"/>
      </w:pPr>
      <w:r>
        <w:rPr>
          <w:rFonts w:cs="EB Garamond"/>
          <w:kern w:val="16"/>
          <w14:ligatures w14:val="standardContextual"/>
        </w:rPr>
        <w:t>O quadro começou a mudar em março de 2024, quando o STF concluiu o julgamento das ADIs 2.110 e 2.111, declarando a constitucionalidade e a cogência do art. 3º da Lei 9.876/1999. Em 26 de novembro de 2025, o Plenário apreciou os embargos de declaração opostos pelo INSS e, por maioria, acolheu-os com efeito infringente, revertendo integralmente o entendimento anterior. A nova tese vinculante: "O segurado que se enquadra na regra de transição do art. 3º da Lei 9.876/1999 não pode optar pela regra definitiva do art. 29, I e II, da Lei 8.213/1991." O acórdão foi publicado no DJe em 29 de abril de 2026.</w:t>
      </w:r>
    </w:p>
    <w:p w14:paraId="25A8C439" w14:textId="77777777" w:rsidR="005A5FCC" w:rsidRDefault="00A21C81">
      <w:pPr>
        <w:ind w:firstLine="238"/>
      </w:pPr>
      <w:r>
        <w:rPr>
          <w:rFonts w:cs="EB Garamond"/>
          <w:kern w:val="16"/>
          <w14:ligatures w14:val="standardContextual"/>
        </w:rPr>
        <w:t>A modulação dos efeitos acompanhou a reversão: (a) os valores recebidos em decorrência de decisões judiciais, definitivas ou provisórias, proferidas até 5 de abril de 2024 são irrepetíveis; (b) os autores cujas ações estavam pendentes até essa data ficam isentos de condenação em honorários advocatícios e custas processuais.</w:t>
      </w:r>
    </w:p>
    <w:p w14:paraId="567C9087" w14:textId="77777777" w:rsidR="005A5FCC" w:rsidRDefault="00A21C81">
      <w:pPr>
        <w:ind w:firstLine="238"/>
      </w:pPr>
      <w:r>
        <w:rPr>
          <w:rFonts w:cs="EB Garamond"/>
          <w:kern w:val="16"/>
          <w14:ligatures w14:val="standardContextual"/>
        </w:rPr>
        <w:t>Ainda no primeiro semestre de 2026, o Ministro Luiz Edson Fachin chegou a requerer destaque para apreciação em plenário físico dos novos embargos de declaração, nos quais se discutia a proposta do Ministro Toffoli de ampliar a modulação. O destaque foi posteriormente retirado e, em 15/05/2026, o Plenário Virtual rejeitou os embargos, derrotada a proposta de ampliação e mantida a modulação fixada em 26/11/2025. A cronologia completa consta do Quadro 17.2, na seção 17.13.</w:t>
      </w:r>
    </w:p>
    <w:tbl>
      <w:tblPr>
        <w:tblW w:w="5000" w:type="pct"/>
        <w:jc w:val="center"/>
        <w:tblLayout w:type="fixed"/>
        <w:tblLook w:val="04A0" w:firstRow="1" w:lastRow="0" w:firstColumn="1" w:lastColumn="0" w:noHBand="0" w:noVBand="1"/>
      </w:tblPr>
      <w:tblGrid>
        <w:gridCol w:w="6311"/>
      </w:tblGrid>
      <w:tr w:rsidR="005A5FCC" w14:paraId="6726079F"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03C17260" w14:textId="77777777" w:rsidR="005A5FCC" w:rsidRDefault="00A21C81">
            <w:pPr>
              <w:spacing w:after="60" w:line="240" w:lineRule="auto"/>
              <w:jc w:val="left"/>
            </w:pPr>
            <w:r>
              <w:rPr>
                <w:rFonts w:ascii="Noto Sans" w:hAnsi="Noto Sans" w:cs="Noto Sans"/>
                <w:b/>
                <w:caps/>
                <w:color w:val="B78B37"/>
                <w:kern w:val="16"/>
                <w:sz w:val="16"/>
                <w14:ligatures w14:val="standardContextual"/>
              </w:rPr>
              <w:lastRenderedPageBreak/>
              <w:t>ATENÇÃO</w:t>
            </w:r>
          </w:p>
          <w:p w14:paraId="2F4D6C7F" w14:textId="77777777" w:rsidR="005A5FCC" w:rsidRDefault="00A21C81">
            <w:pPr>
              <w:spacing w:after="60" w:line="247" w:lineRule="auto"/>
            </w:pPr>
            <w:r>
              <w:rPr>
                <w:rFonts w:cs="EB Garamond"/>
                <w:b/>
                <w:kern w:val="16"/>
                <w:sz w:val="19"/>
                <w14:ligatures w14:val="standardContextual"/>
              </w:rPr>
              <w:t>Nota editorial sobre os marcos posteriores ao fechamento desta edição</w:t>
            </w:r>
          </w:p>
          <w:p w14:paraId="484810A3" w14:textId="77777777" w:rsidR="005A5FCC" w:rsidRDefault="00A21C81">
            <w:pPr>
              <w:spacing w:after="60" w:line="247" w:lineRule="auto"/>
            </w:pPr>
            <w:r>
              <w:rPr>
                <w:rFonts w:cs="EB Garamond"/>
                <w:kern w:val="16"/>
                <w:sz w:val="19"/>
                <w14:ligatures w14:val="standardContextual"/>
              </w:rPr>
              <w:t>A tese-base aqui sustentada — a superação da revisão da vida toda — está consolidada desde o julgamento das ADIs 2.110 e 2.111 (2024), que reconheceram a constitucionalidade e a cogência do art. 3º da Lei 9.876/1999. É esse o fundamento estável da exposição.</w:t>
            </w:r>
          </w:p>
          <w:p w14:paraId="0FB32884" w14:textId="77777777" w:rsidR="005A5FCC" w:rsidRDefault="00A21C81">
            <w:pPr>
              <w:spacing w:after="60" w:line="247" w:lineRule="auto"/>
            </w:pPr>
            <w:r>
              <w:rPr>
                <w:rFonts w:cs="EB Garamond"/>
                <w:kern w:val="16"/>
                <w:sz w:val="19"/>
                <w14:ligatures w14:val="standardContextual"/>
              </w:rPr>
              <w:t>Os marcos processuais subsequentes (acolhimento dos embargos com efeito infringente em 26/11/2025; publicação do acórdão em 29/04/2026; rejeição de novos embargos em 15/05/2026) refletem o estado do processo no encerramento desta edição (junho de 2026) e são descritos com a precisão de datas, votação e composição apenas para situar o leitor no encadeamento dos atos. Recomendamos que, na data de leitura, o estágio processual mais recente do RE 1.276.977/RS (Tema 1102) seja verificado diretamente no sítio do STF, sobretudo quanto a eventuais embargos pendentes e ao alcance final da modulação. A descrição desses atos não deve ser lida como atestado de trânsito em julgado definitivo da reversão.</w:t>
            </w:r>
          </w:p>
        </w:tc>
      </w:tr>
    </w:tbl>
    <w:p w14:paraId="38FF5D64" w14:textId="77777777" w:rsidR="005A5FCC" w:rsidRDefault="005A5FCC">
      <w:pPr>
        <w:spacing w:after="80" w:line="240" w:lineRule="auto"/>
      </w:pPr>
    </w:p>
    <w:p w14:paraId="37AE9E1E" w14:textId="77777777" w:rsidR="005A5FCC" w:rsidRDefault="00A21C81">
      <w:pPr>
        <w:spacing w:before="260" w:after="80" w:line="240" w:lineRule="auto"/>
        <w:jc w:val="left"/>
      </w:pPr>
      <w:r>
        <w:rPr>
          <w:rFonts w:cs="EB Garamond"/>
          <w:b/>
          <w:color w:val="3A3128"/>
          <w:kern w:val="16"/>
          <w:sz w:val="25"/>
          <w14:ligatures w14:val="standardContextual"/>
        </w:rPr>
        <w:t>17.3.2 Impacto nos processos em curso</w:t>
      </w:r>
    </w:p>
    <w:p w14:paraId="40F4C81B"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09AD7A2B" w14:textId="77777777" w:rsidR="005A5FCC" w:rsidRDefault="00A21C81">
      <w:r>
        <w:rPr>
          <w:rFonts w:cs="EB Garamond"/>
          <w:kern w:val="16"/>
          <w14:ligatures w14:val="standardContextual"/>
        </w:rPr>
        <w:t xml:space="preserve"> reversão do Tema 1102 atinge diretamente os processos em trâmite nos JEFs. Os impactos variam conforme o estágio processual.</w:t>
      </w:r>
    </w:p>
    <w:p w14:paraId="5F348C9A" w14:textId="77777777" w:rsidR="005A5FCC" w:rsidRDefault="00A21C81">
      <w:pPr>
        <w:ind w:firstLine="238"/>
      </w:pPr>
      <w:r>
        <w:rPr>
          <w:rFonts w:cs="EB Garamond"/>
          <w:kern w:val="16"/>
          <w14:ligatures w14:val="standardContextual"/>
        </w:rPr>
        <w:t>Para as ações ainda não julgadas em primeiro grau, a consequência é a improcedência obrigatória. A tese vinculante deve ser aplicada pelo magistrado independentemente de provocação, por força do art. 927, III, do CPC. Não há margem para distinguishing: a tese é categórica. Muitas dessas ações estavam sobrestadas, e agora podem ser sentenciadas em lote, com fundamentação padronizada.</w:t>
      </w:r>
    </w:p>
    <w:p w14:paraId="7E02C6A2" w14:textId="77777777" w:rsidR="005A5FCC" w:rsidRDefault="00A21C81">
      <w:pPr>
        <w:ind w:firstLine="238"/>
      </w:pPr>
      <w:r>
        <w:rPr>
          <w:rFonts w:cs="EB Garamond"/>
          <w:kern w:val="16"/>
          <w14:ligatures w14:val="standardContextual"/>
        </w:rPr>
        <w:t>Para as ações com sentença de procedência não transitada em julgado, a sentença deve ser reformada em sede recursal. A Turma Recursal, ao receber recurso do INSS, deve dar provimento para julgar improcedente o pedido. O art. 1.040, III, do CPC, aplicável por analogia, determina o julgamento em conformidade com o paradigma vinculante.</w:t>
      </w:r>
    </w:p>
    <w:p w14:paraId="4B8B3B1F" w14:textId="77777777" w:rsidR="005A5FCC" w:rsidRDefault="00A21C81">
      <w:pPr>
        <w:ind w:firstLine="238"/>
      </w:pPr>
      <w:r>
        <w:rPr>
          <w:rFonts w:cs="EB Garamond"/>
          <w:kern w:val="16"/>
          <w14:ligatures w14:val="standardContextual"/>
        </w:rPr>
        <w:t xml:space="preserve">Há um grupo especial que merece atenção: processos nos quais a sentença de procedência já havia transitado em julgado e o beneficiário já vinha recebendo a </w:t>
      </w:r>
      <w:r>
        <w:rPr>
          <w:rFonts w:cs="EB Garamond"/>
          <w:kern w:val="16"/>
          <w14:ligatures w14:val="standardContextual"/>
        </w:rPr>
        <w:lastRenderedPageBreak/>
        <w:t>RMI revisada. O impacto da reversão sobre esses processos é objeto da seção seguinte.</w:t>
      </w:r>
    </w:p>
    <w:p w14:paraId="37680149" w14:textId="77777777" w:rsidR="005A5FCC" w:rsidRDefault="00A21C81">
      <w:pPr>
        <w:spacing w:before="260" w:after="80" w:line="240" w:lineRule="auto"/>
        <w:jc w:val="left"/>
      </w:pPr>
      <w:r>
        <w:rPr>
          <w:rFonts w:cs="EB Garamond"/>
          <w:b/>
          <w:color w:val="3A3128"/>
          <w:kern w:val="16"/>
          <w:sz w:val="25"/>
          <w14:ligatures w14:val="standardContextual"/>
        </w:rPr>
        <w:t>17.3.3 Impacto nos processos transitados em julgado</w:t>
      </w:r>
    </w:p>
    <w:p w14:paraId="2C060C03"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7F07954B" w14:textId="77777777" w:rsidR="005A5FCC" w:rsidRDefault="00A21C81">
      <w:r>
        <w:rPr>
          <w:rFonts w:cs="EB Garamond"/>
          <w:kern w:val="16"/>
          <w14:ligatures w14:val="standardContextual"/>
        </w:rPr>
        <w:t xml:space="preserve"> questão mais delicada diz respeito aos processos transitados em julgado nos quais a revisão da vida toda já havia sido implementada. São situações em que o segurado obteve decisão favorável, transitada em julgado, e o INSS implantou a nova RMI. Em muitos casos, as diferenças retroativas já foram pagas por RPV.</w:t>
      </w:r>
    </w:p>
    <w:p w14:paraId="60F76604" w14:textId="77777777" w:rsidR="005A5FCC" w:rsidRDefault="00A21C81">
      <w:pPr>
        <w:ind w:firstLine="238"/>
      </w:pPr>
      <w:r>
        <w:rPr>
          <w:rFonts w:cs="EB Garamond"/>
          <w:kern w:val="16"/>
          <w14:ligatures w14:val="standardContextual"/>
        </w:rPr>
        <w:t>A modulação oferece proteção parcial. Os valores recebidos em decorrência de decisões proferidas até 5 de abril de 2024 são irrepetíveis. Essa irrepetibilidade abrange tanto as diferenças pagas por RPV quanto os valores mensais majorados recebidos até aquela data. A natureza alimentar dos benefícios previdenciários e o princípio da boa-fé sustentam a irrepetibilidade.</w:t>
      </w:r>
    </w:p>
    <w:p w14:paraId="0E118664" w14:textId="77777777" w:rsidR="005A5FCC" w:rsidRDefault="00A21C81">
      <w:pPr>
        <w:ind w:firstLine="238"/>
      </w:pPr>
      <w:r>
        <w:rPr>
          <w:rFonts w:cs="EB Garamond"/>
          <w:kern w:val="16"/>
          <w14:ligatures w14:val="standardContextual"/>
        </w:rPr>
        <w:t>Para decisões proferidas após 5 de abril de 2024, a situação é diversa. A modulação não as protege, e o INSS pode postular a cessação da RMI majorada. Surge a questão da ação rescisória e do art. 525, §§ 12 a 15, do CPC, que permitem a impugnação ao cumprimento de sentença quando o título se fundar em norma considerada inconstitucional pelo STF ou em interpretação incompatível com a Constituição. A nosso ver, a reversão do Tema 1102 não declarou inconstitucional a norma invocada pelo segurado; declarou constitucional a norma que o segurado pretendia afastar (art. 3º da Lei 9.876/1999). A aplicabilidade do art. 525, §12, a essa hipótese é discutível. Sustenta que a impugnação do art. 525 não se presta a desconstituir títulos fundados em interpretação posteriormente superada. A matéria permanece em aberto.</w:t>
      </w:r>
    </w:p>
    <w:p w14:paraId="515D631F" w14:textId="77777777" w:rsidR="005A5FCC" w:rsidRDefault="00A21C81">
      <w:pPr>
        <w:ind w:firstLine="238"/>
      </w:pPr>
      <w:r>
        <w:rPr>
          <w:rFonts w:cs="EB Garamond"/>
          <w:kern w:val="16"/>
          <w14:ligatures w14:val="standardContextual"/>
        </w:rPr>
        <w:t>Quanto à ação rescisória, o prazo é de dois anos contados do trânsito em julgado da decisão individual (art. 975, CPC). Para ações transitadas há mais de dois anos, a rescisória está preclusa.</w:t>
      </w:r>
    </w:p>
    <w:tbl>
      <w:tblPr>
        <w:tblW w:w="5000" w:type="pct"/>
        <w:jc w:val="center"/>
        <w:tblLayout w:type="fixed"/>
        <w:tblLook w:val="04A0" w:firstRow="1" w:lastRow="0" w:firstColumn="1" w:lastColumn="0" w:noHBand="0" w:noVBand="1"/>
      </w:tblPr>
      <w:tblGrid>
        <w:gridCol w:w="6311"/>
      </w:tblGrid>
      <w:tr w:rsidR="005A5FCC" w14:paraId="314A4EA1"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06B09054" w14:textId="77777777" w:rsidR="005A5FCC" w:rsidRDefault="00A21C81">
            <w:pPr>
              <w:spacing w:after="60" w:line="240" w:lineRule="auto"/>
              <w:jc w:val="left"/>
            </w:pPr>
            <w:r>
              <w:rPr>
                <w:rFonts w:ascii="Noto Sans" w:hAnsi="Noto Sans" w:cs="Noto Sans"/>
                <w:b/>
                <w:caps/>
                <w:color w:val="B78B37"/>
                <w:kern w:val="16"/>
                <w:sz w:val="16"/>
                <w14:ligatures w14:val="standardContextual"/>
              </w:rPr>
              <w:lastRenderedPageBreak/>
              <w:t>ATENÇÃO</w:t>
            </w:r>
          </w:p>
          <w:p w14:paraId="3E9DA7DA" w14:textId="77777777" w:rsidR="005A5FCC" w:rsidRDefault="00A21C81">
            <w:pPr>
              <w:spacing w:after="60" w:line="247" w:lineRule="auto"/>
            </w:pPr>
            <w:r>
              <w:rPr>
                <w:rFonts w:cs="EB Garamond"/>
                <w:b/>
                <w:kern w:val="16"/>
                <w:sz w:val="19"/>
                <w14:ligatures w14:val="standardContextual"/>
              </w:rPr>
              <w:t>Riscos para segurados que já implementaram a revisão da vida toda</w:t>
            </w:r>
          </w:p>
          <w:p w14:paraId="413D3F05" w14:textId="77777777" w:rsidR="005A5FCC" w:rsidRDefault="00A21C81">
            <w:pPr>
              <w:spacing w:after="60" w:line="247" w:lineRule="auto"/>
            </w:pPr>
            <w:r>
              <w:rPr>
                <w:rFonts w:cs="EB Garamond"/>
                <w:kern w:val="16"/>
                <w:sz w:val="19"/>
                <w14:ligatures w14:val="standardContextual"/>
              </w:rPr>
              <w:t xml:space="preserve">(a) </w:t>
            </w:r>
            <w:r>
              <w:rPr>
                <w:rFonts w:cs="EB Garamond"/>
                <w:b/>
                <w:kern w:val="16"/>
                <w:sz w:val="19"/>
                <w14:ligatures w14:val="standardContextual"/>
              </w:rPr>
              <w:t>Valores recebidos até 05/04/2024:</w:t>
            </w:r>
            <w:r>
              <w:rPr>
                <w:rFonts w:cs="EB Garamond"/>
                <w:kern w:val="16"/>
                <w:sz w:val="19"/>
                <w14:ligatures w14:val="standardContextual"/>
              </w:rPr>
              <w:t xml:space="preserve"> irrepetíveis por força da modulação. O INSS não pode exigir devolução.</w:t>
            </w:r>
          </w:p>
          <w:p w14:paraId="65A78113" w14:textId="77777777" w:rsidR="005A5FCC" w:rsidRDefault="00A21C81">
            <w:pPr>
              <w:spacing w:after="60" w:line="247" w:lineRule="auto"/>
            </w:pPr>
            <w:r>
              <w:rPr>
                <w:rFonts w:cs="EB Garamond"/>
                <w:kern w:val="16"/>
                <w:sz w:val="19"/>
                <w14:ligatures w14:val="standardContextual"/>
              </w:rPr>
              <w:t xml:space="preserve">(b) </w:t>
            </w:r>
            <w:r>
              <w:rPr>
                <w:rFonts w:cs="EB Garamond"/>
                <w:b/>
                <w:kern w:val="16"/>
                <w:sz w:val="19"/>
                <w14:ligatures w14:val="standardContextual"/>
              </w:rPr>
              <w:t>RMI majorada mantida após 05/04/2024:</w:t>
            </w:r>
            <w:r>
              <w:rPr>
                <w:rFonts w:cs="EB Garamond"/>
                <w:kern w:val="16"/>
                <w:sz w:val="19"/>
                <w14:ligatures w14:val="standardContextual"/>
              </w:rPr>
              <w:t xml:space="preserve"> o INSS pode requerer a cessação da RMI revisada e o retorno ao patamar anterior. A via processual (impugnação ao cumprimento de sentença, ação rescisória, simples requerimento administrativo) é controversa.</w:t>
            </w:r>
          </w:p>
          <w:p w14:paraId="660FA312" w14:textId="77777777" w:rsidR="005A5FCC" w:rsidRDefault="00A21C81">
            <w:pPr>
              <w:spacing w:after="60" w:line="247" w:lineRule="auto"/>
            </w:pPr>
            <w:r>
              <w:rPr>
                <w:rFonts w:cs="EB Garamond"/>
                <w:kern w:val="16"/>
                <w:sz w:val="19"/>
                <w14:ligatures w14:val="standardContextual"/>
              </w:rPr>
              <w:t xml:space="preserve">(c) </w:t>
            </w:r>
            <w:r>
              <w:rPr>
                <w:rFonts w:cs="EB Garamond"/>
                <w:b/>
                <w:kern w:val="16"/>
                <w:sz w:val="19"/>
                <w14:ligatures w14:val="standardContextual"/>
              </w:rPr>
              <w:t>Diferenças pagas por RPV após 05/04/2024:</w:t>
            </w:r>
            <w:r>
              <w:rPr>
                <w:rFonts w:cs="EB Garamond"/>
                <w:kern w:val="16"/>
                <w:sz w:val="19"/>
                <w14:ligatures w14:val="standardContextual"/>
              </w:rPr>
              <w:t xml:space="preserve"> podem ser objeto de cobrança pelo INSS, salvo se a ampliação da modulação (pendente de julgamento em plenário físico) estender a proteção.</w:t>
            </w:r>
          </w:p>
          <w:p w14:paraId="00EFDC55" w14:textId="77777777" w:rsidR="005A5FCC" w:rsidRDefault="00A21C81">
            <w:pPr>
              <w:spacing w:after="60" w:line="247" w:lineRule="auto"/>
            </w:pPr>
            <w:r>
              <w:rPr>
                <w:rFonts w:cs="EB Garamond"/>
                <w:kern w:val="16"/>
                <w:sz w:val="19"/>
                <w14:ligatures w14:val="standardContextual"/>
              </w:rPr>
              <w:t xml:space="preserve">(d) </w:t>
            </w:r>
            <w:r>
              <w:rPr>
                <w:rFonts w:cs="EB Garamond"/>
                <w:b/>
                <w:kern w:val="16"/>
                <w:sz w:val="19"/>
                <w14:ligatures w14:val="standardContextual"/>
              </w:rPr>
              <w:t>Ações transitadas em julgado antes de 05/04/2024 com RMI já revisada:</w:t>
            </w:r>
            <w:r>
              <w:rPr>
                <w:rFonts w:cs="EB Garamond"/>
                <w:kern w:val="16"/>
                <w:sz w:val="19"/>
                <w14:ligatures w14:val="standardContextual"/>
              </w:rPr>
              <w:t xml:space="preserve"> a coisa julgada protege o segurado. O INSS precisaria de ação rescisória (prazo de 2 anos do trânsito) ou de impugnação ao cumprimento de sentença (art. 525, §12, CPC), ambas com obstáculos processuais significativos.</w:t>
            </w:r>
          </w:p>
          <w:p w14:paraId="0CE466D9" w14:textId="77777777" w:rsidR="005A5FCC" w:rsidRDefault="00A21C81">
            <w:pPr>
              <w:spacing w:after="60" w:line="247" w:lineRule="auto"/>
            </w:pPr>
            <w:r>
              <w:rPr>
                <w:rFonts w:cs="EB Garamond"/>
                <w:kern w:val="16"/>
                <w:sz w:val="19"/>
                <w14:ligatures w14:val="standardContextual"/>
              </w:rPr>
              <w:t>O magistrado deve analisar a data do trânsito em julgado, a data da modulação (05/04/2024) e o alcance da tese fixada nos embargos.</w:t>
            </w:r>
          </w:p>
        </w:tc>
      </w:tr>
    </w:tbl>
    <w:p w14:paraId="0AB73385" w14:textId="77777777" w:rsidR="005A5FCC" w:rsidRDefault="005A5FCC">
      <w:pPr>
        <w:spacing w:after="80" w:line="240" w:lineRule="auto"/>
      </w:pPr>
    </w:p>
    <w:p w14:paraId="314039EA" w14:textId="77777777" w:rsidR="005A5FCC" w:rsidRDefault="00A21C81">
      <w:pPr>
        <w:spacing w:before="260" w:after="80" w:line="240" w:lineRule="auto"/>
        <w:jc w:val="left"/>
      </w:pPr>
      <w:r>
        <w:rPr>
          <w:rFonts w:cs="EB Garamond"/>
          <w:b/>
          <w:color w:val="3A3128"/>
          <w:kern w:val="16"/>
          <w:sz w:val="25"/>
          <w14:ligatures w14:val="standardContextual"/>
        </w:rPr>
        <w:t>17.3.4 Prática do magistrado no JEF</w:t>
      </w:r>
    </w:p>
    <w:p w14:paraId="07FA97DF"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33A0F747" w14:textId="77777777" w:rsidR="005A5FCC" w:rsidRDefault="00A21C81">
      <w:r>
        <w:rPr>
          <w:rFonts w:cs="EB Garamond"/>
          <w:kern w:val="16"/>
          <w14:ligatures w14:val="standardContextual"/>
        </w:rPr>
        <w:t xml:space="preserve"> magistrado que ainda possui ações de revisão da vida toda em acervo deve adotar postura objetiva. As ações sobrestadas e pendentes de julgamento devem ser sentenciadas pela improcedência, com fundamento no Tema 1102/STF (embargos de 26/11/2025).</w:t>
      </w:r>
    </w:p>
    <w:p w14:paraId="413B35E6" w14:textId="77777777" w:rsidR="005A5FCC" w:rsidRDefault="00A21C81">
      <w:pPr>
        <w:ind w:firstLine="238"/>
      </w:pPr>
      <w:r>
        <w:rPr>
          <w:rFonts w:cs="EB Garamond"/>
          <w:kern w:val="16"/>
          <w14:ligatures w14:val="standardContextual"/>
        </w:rPr>
        <w:t>Para sentenças em lote, a fundamentação pode ser padronizada. Quanto à sucumbência, a modulação isenta os autores de honorários, custas e perícias quando a ação foi ajuizada antes de 5 de abril de 2024. Para ações posteriores, aplica-se o regime ordinário, com a ressalva de que o beneficiário da gratuidade tem a exigibilidade suspensa (art. 98, §3º, CPC).</w:t>
      </w:r>
    </w:p>
    <w:tbl>
      <w:tblPr>
        <w:tblW w:w="5000" w:type="pct"/>
        <w:jc w:val="center"/>
        <w:tblLayout w:type="fixed"/>
        <w:tblLook w:val="04A0" w:firstRow="1" w:lastRow="0" w:firstColumn="1" w:lastColumn="0" w:noHBand="0" w:noVBand="1"/>
      </w:tblPr>
      <w:tblGrid>
        <w:gridCol w:w="6311"/>
      </w:tblGrid>
      <w:tr w:rsidR="005A5FCC" w14:paraId="16E941A5"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178F853F"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77F78505" w14:textId="77777777" w:rsidR="005A5FCC" w:rsidRDefault="00A21C81">
            <w:pPr>
              <w:spacing w:after="60" w:line="247" w:lineRule="auto"/>
            </w:pPr>
            <w:r>
              <w:rPr>
                <w:rFonts w:cs="EB Garamond"/>
                <w:b/>
                <w:kern w:val="16"/>
                <w:sz w:val="19"/>
                <w14:ligatures w14:val="standardContextual"/>
              </w:rPr>
              <w:t>Como sentenciar ações de revisão da vida toda (estado em junho/2026)</w:t>
            </w:r>
          </w:p>
          <w:p w14:paraId="6DB7076D" w14:textId="77777777" w:rsidR="005A5FCC" w:rsidRDefault="00A21C81">
            <w:pPr>
              <w:spacing w:after="60" w:line="247" w:lineRule="auto"/>
            </w:pPr>
            <w:r>
              <w:rPr>
                <w:rFonts w:cs="EB Garamond"/>
                <w:b/>
                <w:kern w:val="16"/>
                <w:sz w:val="19"/>
                <w14:ligatures w14:val="standardContextual"/>
              </w:rPr>
              <w:t>1. Ações ajuizadas antes de 05/04/2024 (ainda pendentes):</w:t>
            </w:r>
            <w:r>
              <w:rPr>
                <w:rFonts w:cs="EB Garamond"/>
                <w:kern w:val="16"/>
                <w:sz w:val="19"/>
                <w14:ligatures w14:val="standardContextual"/>
              </w:rPr>
              <w:t xml:space="preserve"> - Julgar improcedente com base no Tema 1102/STF (embargos de declaração de 26/11/2025). - Sem condenação em honorários, custas e perícias contábeis (modulação). - Se houver tutela antecipada vigente: revogar, mas declarar a irrepetibilidade dos valores recebidos até 05/04/2024. - Fundamentação sugerida: transcrever a tese vinculante e o fundamento da ADI 2.111 (cogência do art. 3º da Lei 9.876/1999).</w:t>
            </w:r>
          </w:p>
          <w:p w14:paraId="21A4CF1E" w14:textId="77777777" w:rsidR="005A5FCC" w:rsidRDefault="00A21C81">
            <w:pPr>
              <w:spacing w:after="60" w:line="247" w:lineRule="auto"/>
            </w:pPr>
            <w:r>
              <w:rPr>
                <w:rFonts w:cs="EB Garamond"/>
                <w:b/>
                <w:kern w:val="16"/>
                <w:sz w:val="19"/>
                <w14:ligatures w14:val="standardContextual"/>
              </w:rPr>
              <w:t>2. Ações ajuizadas após 05/04/2024:</w:t>
            </w:r>
            <w:r>
              <w:rPr>
                <w:rFonts w:cs="EB Garamond"/>
                <w:kern w:val="16"/>
                <w:sz w:val="19"/>
                <w14:ligatures w14:val="standardContextual"/>
              </w:rPr>
              <w:t xml:space="preserve"> - Julgar improcedente com base no Tema 1102/STF. - Condenação em honorários pelo regime ordinário (art. 85, CPC), observada a gratuidade (art. 98, §3º, CPC). - Não há proteção da modulação.</w:t>
            </w:r>
          </w:p>
          <w:p w14:paraId="4AAA88BD" w14:textId="77777777" w:rsidR="005A5FCC" w:rsidRDefault="00A21C81">
            <w:pPr>
              <w:spacing w:after="60" w:line="247" w:lineRule="auto"/>
            </w:pPr>
            <w:r>
              <w:rPr>
                <w:rFonts w:cs="EB Garamond"/>
                <w:b/>
                <w:kern w:val="16"/>
                <w:sz w:val="19"/>
                <w14:ligatures w14:val="standardContextual"/>
              </w:rPr>
              <w:t>3. Processos com tutela antecipada e cumprimento provisório:</w:t>
            </w:r>
            <w:r>
              <w:rPr>
                <w:rFonts w:cs="EB Garamond"/>
                <w:kern w:val="16"/>
                <w:sz w:val="19"/>
                <w14:ligatures w14:val="standardContextual"/>
              </w:rPr>
              <w:t xml:space="preserve"> - Revogar a tutela antecipada. - Valores recebidos pelo segurado até 05/04/2024: irrepetíveis. - Valores recebidos após 05/04/2024: o INSS pode cobrar a restituição (a proposta de ampliar a modulação para alcançá-los foi rejeitada em 15/05/2026). - Recomendação: definido o alcance da modulação com a rejeição dos novos embargos em 15/05/2026, a irrepetibilidade restringe-se aos valores recebidos até 05/04/2024; os posteriores podem ser objeto de cobrança, ressalvada a análise da coisa julgada individual em cada caso.</w:t>
            </w:r>
          </w:p>
          <w:p w14:paraId="0B4CA882" w14:textId="77777777" w:rsidR="005A5FCC" w:rsidRDefault="00A21C81">
            <w:pPr>
              <w:spacing w:after="60" w:line="247" w:lineRule="auto"/>
            </w:pPr>
            <w:r>
              <w:rPr>
                <w:rFonts w:cs="EB Garamond"/>
                <w:b/>
                <w:kern w:val="16"/>
                <w:sz w:val="19"/>
                <w14:ligatures w14:val="standardContextual"/>
              </w:rPr>
              <w:t>4. Modelo sintético de dispositivo:</w:t>
            </w:r>
            <w:r>
              <w:rPr>
                <w:rFonts w:cs="EB Garamond"/>
                <w:kern w:val="16"/>
                <w:sz w:val="19"/>
                <w14:ligatures w14:val="standardContextual"/>
              </w:rPr>
              <w:t xml:space="preserve"> v. §17.12.3, Modelo 4 (improcedência por reversão da vida toda), infra.</w:t>
            </w:r>
          </w:p>
        </w:tc>
      </w:tr>
    </w:tbl>
    <w:p w14:paraId="0D88162F" w14:textId="77777777" w:rsidR="005A5FCC" w:rsidRDefault="005A5FCC">
      <w:pPr>
        <w:spacing w:after="80" w:line="240" w:lineRule="auto"/>
      </w:pPr>
    </w:p>
    <w:p w14:paraId="38C7C83D" w14:textId="77777777" w:rsidR="005A5FCC" w:rsidRDefault="00A21C81">
      <w:pPr>
        <w:spacing w:before="260" w:after="80" w:line="240" w:lineRule="auto"/>
        <w:jc w:val="left"/>
      </w:pPr>
      <w:r>
        <w:rPr>
          <w:rFonts w:cs="EB Garamond"/>
          <w:b/>
          <w:color w:val="3A3128"/>
          <w:kern w:val="16"/>
          <w:sz w:val="25"/>
          <w14:ligatures w14:val="standardContextual"/>
        </w:rPr>
        <w:t>17.3.5 Lições para o futuro</w:t>
      </w:r>
    </w:p>
    <w:p w14:paraId="6359AAB8"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01F73787" w14:textId="77777777" w:rsidR="005A5FCC" w:rsidRDefault="00A21C81">
      <w:r>
        <w:rPr>
          <w:rFonts w:cs="EB Garamond"/>
          <w:kern w:val="16"/>
          <w14:ligatures w14:val="standardContextual"/>
        </w:rPr>
        <w:t xml:space="preserve"> episódio da vida toda expõe um risco sistêmico na prática dos JEFs: a volatilidade das teses de repercussão geral do STF. Entre dezembro de 2022 e novembro de 2025, milhares de ações foram ajuizadas, instruídas e julgadas com base em precedente que, ao final, foi revertido. Segurados investiram em custas e honorários; advogados estruturaram escritórios em torno da demanda; magistrados dedicaram horas à instrução de processos que foram declarados improcedentes.</w:t>
      </w:r>
    </w:p>
    <w:p w14:paraId="0419F1FD" w14:textId="77777777" w:rsidR="005A5FCC" w:rsidRDefault="00A21C81">
      <w:pPr>
        <w:ind w:firstLine="238"/>
      </w:pPr>
      <w:r>
        <w:rPr>
          <w:rFonts w:cs="EB Garamond"/>
          <w:kern w:val="16"/>
          <w14:ligatures w14:val="standardContextual"/>
        </w:rPr>
        <w:t xml:space="preserve">A lição prática, a nosso ver, é a cautela com o cumprimento provisório em teses ainda não definitivamente consolidadas. A concessão de tutela antecipada fundada em repercussão geral deve considerar o risco de reversão, especialmente </w:t>
      </w:r>
      <w:r>
        <w:rPr>
          <w:rFonts w:cs="EB Garamond"/>
          <w:kern w:val="16"/>
          <w14:ligatures w14:val="standardContextual"/>
        </w:rPr>
        <w:lastRenderedPageBreak/>
        <w:t>quando há embargos de declaração pendentes ou sinais de mudança de composição na Corte.</w:t>
      </w:r>
    </w:p>
    <w:p w14:paraId="72653660" w14:textId="77777777" w:rsidR="005A5FCC" w:rsidRDefault="00A21C81">
      <w:pPr>
        <w:ind w:firstLine="238"/>
      </w:pPr>
      <w:r>
        <w:rPr>
          <w:rFonts w:cs="EB Garamond"/>
          <w:kern w:val="16"/>
          <w14:ligatures w14:val="standardContextual"/>
        </w:rPr>
        <w:t>Outro aprendizado: a interface entre ADI e recurso extraordinário com repercussão geral. O STF manteve, durante mais de um ano (dezembro de 2022 a março de 2024), dois entendimentos potencialmente contraditórios sobre a mesma matéria. A contradição foi resolvida em favor das ADIs, o que sugere que, quando houver ADI pendente sobre matéria objeto de tema repetitivo, o magistrado deve ponderar o risco de que a decisão da ADI repercuta sobre o tema.</w:t>
      </w:r>
    </w:p>
    <w:p w14:paraId="2FE3EBF1"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17.4 Revisão do teto — ECs 20/1998 e 41/2003</w:t>
      </w:r>
    </w:p>
    <w:p w14:paraId="55DF3678" w14:textId="3BDB282C" w:rsidR="005A5FCC" w:rsidRDefault="00A21C81">
      <w:pPr>
        <w:spacing w:before="260" w:after="80" w:line="240" w:lineRule="auto"/>
        <w:jc w:val="left"/>
      </w:pPr>
      <w:r>
        <w:rPr>
          <w:rFonts w:cs="EB Garamond"/>
          <w:b/>
          <w:color w:val="3A3128"/>
          <w:kern w:val="16"/>
          <w:sz w:val="25"/>
          <w14:ligatures w14:val="standardContextual"/>
        </w:rPr>
        <w:t xml:space="preserve">17.4.1 RE 564.354 / </w:t>
      </w:r>
      <w:r w:rsidR="00CD614A">
        <w:rPr>
          <w:rFonts w:cs="EB Garamond"/>
          <w:b/>
          <w:color w:val="3A3128"/>
          <w:kern w:val="16"/>
          <w:sz w:val="25"/>
          <w14:ligatures w14:val="standardContextual"/>
        </w:rPr>
        <w:t>T</w:t>
      </w:r>
      <w:r>
        <w:rPr>
          <w:rFonts w:cs="EB Garamond"/>
          <w:b/>
          <w:color w:val="3A3128"/>
          <w:kern w:val="16"/>
          <w:sz w:val="25"/>
          <w14:ligatures w14:val="standardContextual"/>
        </w:rPr>
        <w:t>ema 76 — tese e alcance</w:t>
      </w:r>
    </w:p>
    <w:p w14:paraId="6F39831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0C66FFF8" w14:textId="77777777" w:rsidR="005A5FCC" w:rsidRDefault="00A21C81">
      <w:r>
        <w:rPr>
          <w:rFonts w:cs="EB Garamond"/>
          <w:kern w:val="16"/>
          <w14:ligatures w14:val="standardContextual"/>
        </w:rPr>
        <w:t xml:space="preserve"> revisão do teto é uma das teses revisionais de maior longevidade nos JEFs. Para a mecânica de cálculo e exemplos numéricos, v. Seção 16.7.3. Aqui nos concentramos no procedimento, na prova e nas questões processuais.</w:t>
      </w:r>
    </w:p>
    <w:p w14:paraId="6676953F" w14:textId="77777777" w:rsidR="005A5FCC" w:rsidRDefault="00A21C81">
      <w:pPr>
        <w:ind w:firstLine="238"/>
      </w:pPr>
      <w:r>
        <w:rPr>
          <w:rFonts w:cs="EB Garamond"/>
          <w:kern w:val="16"/>
          <w14:ligatures w14:val="standardContextual"/>
        </w:rPr>
        <w:t xml:space="preserve">O STF, no RE 564.354 (Tema 76, Rel. Min. Cármen Lúcia, Plenário, 08/09/2010), reconheceu que os segurados cujo salário de benefício havia sido limitado pelo teto vigente na data da concessão têm direito à readequação quando o teto é elevado por emenda constitucional. As ECs 20/1998 e 41/2003 elevaram o teto do RGPS. Quanto à EC 20/1998, convém distinguir dois valores que não se confundem: (i) o </w:t>
      </w:r>
      <w:r>
        <w:rPr>
          <w:rFonts w:cs="EB Garamond"/>
          <w:b/>
          <w:kern w:val="16"/>
          <w14:ligatures w14:val="standardContextual"/>
        </w:rPr>
        <w:t>teto nominal</w:t>
      </w:r>
      <w:r>
        <w:rPr>
          <w:rFonts w:cs="EB Garamond"/>
          <w:kern w:val="16"/>
          <w14:ligatures w14:val="standardContextual"/>
        </w:rPr>
        <w:t xml:space="preserve"> de R$ 1.200,00, fixado diretamente pelo art. 14 da própria EC — e não por portaria —, com vigência a partir de dezembro de 1998; e (ii) o </w:t>
      </w:r>
      <w:r>
        <w:rPr>
          <w:rFonts w:cs="EB Garamond"/>
          <w:b/>
          <w:kern w:val="16"/>
          <w14:ligatures w14:val="standardContextual"/>
        </w:rPr>
        <w:t>teto operante</w:t>
      </w:r>
      <w:r>
        <w:rPr>
          <w:rFonts w:cs="EB Garamond"/>
          <w:kern w:val="16"/>
          <w14:ligatures w14:val="standardContextual"/>
        </w:rPr>
        <w:t xml:space="preserve"> em junho de 1999, já reajustado pelos mesmos índices aplicados aos benefícios em manutenção, e que, por força desse reajuste, situava-se em patamar superior àquele R$ 1.200,00 nominais. É esse teto reajustado, e não o valor nominal originário, que delimita a readequação a partir de junho de 1999. Já o teto de R$ 2.400,00 foi veiculado pela Portaria Interministerial MPS/MF 19/2004, com efeitos a partir de maio de 2004. A elevação superou o reajuste ordinário dos benefícios, de modo que segurados cujo salário de benefício original (sem limitação) ultrapassava o teto antigo passaram a ter direito a benefício mais elevado. O fundamento: o teto opera como limite externo à RMI; </w:t>
      </w:r>
      <w:r>
        <w:rPr>
          <w:rFonts w:cs="EB Garamond"/>
          <w:kern w:val="16"/>
          <w14:ligatures w14:val="standardContextual"/>
        </w:rPr>
        <w:lastRenderedPageBreak/>
        <w:t>ampliado o limite, o benefício se expande até o novo patamar, respeitado o salário de benefício originalmente apurado.</w:t>
      </w:r>
    </w:p>
    <w:p w14:paraId="6E488F04" w14:textId="77777777" w:rsidR="005A5FCC" w:rsidRDefault="00A21C81">
      <w:pPr>
        <w:ind w:firstLine="238"/>
      </w:pPr>
      <w:r>
        <w:rPr>
          <w:rFonts w:cs="EB Garamond"/>
          <w:kern w:val="16"/>
          <w14:ligatures w14:val="standardContextual"/>
        </w:rPr>
        <w:t>O alcance da tese não se resolve por um corte único, porque houve duas readequações sucessivas do teto, cada qual com seu marco temporal próprio. A primeira decorreu da EC 20/1998, cujo limite nominal (R$ 1.200,00, art. 14 da própria EC) operou a partir de junho de 1999, já com o reajuste ordinário aplicado aos benefícios à época; a segunda, da EC 41/2003, regulamentada pela Portaria Interministerial MPS/MF 19/2004, com efeitos a partir de maio de 2004 (R$ 2.400,00). Em consequência, o universo de benefícios atingidos varia conforme o teto invocado: a readequação pela EC 20/1998 aproveita aos benefícios concedidos antes de junho de 1999 cujo salário de benefício (sem limitação) superava o teto então vigente; a readequação pela EC 41/2003 aproveita aos benefícios concedidos antes de maio de 2004 que, mesmo após o primeiro reposicionamento, permaneciam represados pelo teto. Há, portanto, dois cortes — junho de 1999 e maio de 2004 —, e não um único limite em 2004. Para qualquer desses benefícios, presente a limitação na concessão, o segurado tem direito à readequação ao(s) novo(s) teto(s) na medida do salário de benefício originalmente apurado.</w:t>
      </w:r>
    </w:p>
    <w:p w14:paraId="70A37354" w14:textId="77777777" w:rsidR="005A5FCC" w:rsidRDefault="00A21C81">
      <w:pPr>
        <w:ind w:firstLine="238"/>
      </w:pPr>
      <w:r>
        <w:rPr>
          <w:rFonts w:cs="EB Garamond"/>
          <w:kern w:val="16"/>
          <w14:ligatures w14:val="standardContextual"/>
        </w:rPr>
        <w:t>A readequação não altera os elementos que compuseram o salário de benefício (salários de contribuição, PBC, coeficiente, fator previdenciário). O que muda é apenas o limite que incide sobre a RMI. Essa distinção tem consequência direta sobre a decadência: como a readequação decorre de fato superveniente, a tese predominante é de que a decadência do art. 103 não se aplica. A prescrição, por sua vez, atinge apenas as parcelas vencidas antes do quinquênio anterior à propositura da ação (Súmula 85/STJ).</w:t>
      </w:r>
    </w:p>
    <w:p w14:paraId="498C467D" w14:textId="77777777" w:rsidR="005A5FCC" w:rsidRDefault="00A21C81">
      <w:pPr>
        <w:spacing w:before="260" w:after="80" w:line="240" w:lineRule="auto"/>
        <w:jc w:val="left"/>
      </w:pPr>
      <w:r>
        <w:rPr>
          <w:rFonts w:cs="EB Garamond"/>
          <w:b/>
          <w:color w:val="3A3128"/>
          <w:kern w:val="16"/>
          <w:sz w:val="25"/>
          <w14:ligatures w14:val="standardContextual"/>
        </w:rPr>
        <w:t>17.4.2 Procedimento da revisão do teto</w:t>
      </w:r>
    </w:p>
    <w:p w14:paraId="257915AF"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3141A01C" w14:textId="77777777" w:rsidR="005A5FCC" w:rsidRDefault="00A21C81">
      <w:r>
        <w:rPr>
          <w:rFonts w:cs="EB Garamond"/>
          <w:kern w:val="16"/>
          <w14:ligatures w14:val="standardContextual"/>
        </w:rPr>
        <w:t xml:space="preserve"> instrução depende da demonstração de que o salário de benefício, na data da concessão, era superior ao teto então vigente. O dado consta, em regra, no processo administrativo de concessão original, e pode ser extraído dos seguintes documentos:</w:t>
      </w:r>
    </w:p>
    <w:p w14:paraId="3DA81B3A" w14:textId="77777777" w:rsidR="005A5FCC" w:rsidRDefault="00A21C81">
      <w:pPr>
        <w:ind w:firstLine="238"/>
      </w:pPr>
      <w:r>
        <w:rPr>
          <w:rFonts w:cs="EB Garamond"/>
          <w:kern w:val="16"/>
          <w14:ligatures w14:val="standardContextual"/>
        </w:rPr>
        <w:lastRenderedPageBreak/>
        <w:t xml:space="preserve">A </w:t>
      </w:r>
      <w:r>
        <w:rPr>
          <w:rFonts w:cs="EB Garamond"/>
          <w:b/>
          <w:kern w:val="16"/>
          <w14:ligatures w14:val="standardContextual"/>
        </w:rPr>
        <w:t>carta de concessão</w:t>
      </w:r>
      <w:r>
        <w:rPr>
          <w:rFonts w:cs="EB Garamond"/>
          <w:kern w:val="16"/>
          <w14:ligatures w14:val="standardContextual"/>
        </w:rPr>
        <w:t xml:space="preserve"> informa a RMI e o teto aplicado, mas nem sempre registra o salário de benefício sem limitação. O </w:t>
      </w:r>
      <w:r>
        <w:rPr>
          <w:rFonts w:cs="EB Garamond"/>
          <w:b/>
          <w:kern w:val="16"/>
          <w14:ligatures w14:val="standardContextual"/>
        </w:rPr>
        <w:t>CONBAS</w:t>
      </w:r>
      <w:r>
        <w:rPr>
          <w:rFonts w:cs="EB Garamond"/>
          <w:kern w:val="16"/>
          <w14:ligatures w14:val="standardContextual"/>
        </w:rPr>
        <w:t xml:space="preserve"> é o documento mais relevante: apresenta os salários de contribuição, o salário de benefício apurado e a incidência do teto. O </w:t>
      </w:r>
      <w:r>
        <w:rPr>
          <w:rFonts w:cs="EB Garamond"/>
          <w:b/>
          <w:kern w:val="16"/>
          <w14:ligatures w14:val="standardContextual"/>
        </w:rPr>
        <w:t>HISCREWEB</w:t>
      </w:r>
      <w:r>
        <w:rPr>
          <w:rFonts w:cs="EB Garamond"/>
          <w:kern w:val="16"/>
          <w14:ligatures w14:val="standardContextual"/>
        </w:rPr>
        <w:t xml:space="preserve"> registra os valores pagos mensalmente desde a concessão.</w:t>
      </w:r>
    </w:p>
    <w:p w14:paraId="75295DBA" w14:textId="77777777" w:rsidR="005A5FCC" w:rsidRDefault="00A21C81">
      <w:pPr>
        <w:ind w:firstLine="238"/>
      </w:pPr>
      <w:r>
        <w:rPr>
          <w:rFonts w:cs="EB Garamond"/>
          <w:kern w:val="16"/>
          <w14:ligatures w14:val="standardContextual"/>
        </w:rPr>
        <w:t>O magistrado deve, como primeira providência, determinar ao INSS a juntada do CONBAS e do HISCREWEB (art. 11, Lei 10.259/2001). Com o CONBAS em mãos, o procedimento de verificação segue a sequência: (a) identificar o salário de benefício sem limitação; (b) verificar se era superior ao teto na concessão; (c) aplicar reajustes anuais ao SB sem limitação; (d) verificar em que momento o SB reajustado ultrapassa o novo teto das ECs; (e) calcular as diferenças mensais.</w:t>
      </w:r>
    </w:p>
    <w:p w14:paraId="4EFDAAB8" w14:textId="77777777" w:rsidR="005A5FCC" w:rsidRDefault="00A21C81">
      <w:pPr>
        <w:spacing w:before="260" w:after="80" w:line="240" w:lineRule="auto"/>
        <w:jc w:val="left"/>
      </w:pPr>
      <w:r>
        <w:rPr>
          <w:rFonts w:cs="EB Garamond"/>
          <w:b/>
          <w:color w:val="3A3128"/>
          <w:kern w:val="16"/>
          <w:sz w:val="25"/>
          <w14:ligatures w14:val="standardContextual"/>
        </w:rPr>
        <w:t>17.4.3 Prescrição e atualidade da tese</w:t>
      </w:r>
    </w:p>
    <w:p w14:paraId="748B425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1D7BDF5D" w14:textId="77777777" w:rsidR="005A5FCC" w:rsidRDefault="00A21C81">
      <w:r>
        <w:rPr>
          <w:rFonts w:cs="EB Garamond"/>
          <w:kern w:val="16"/>
          <w14:ligatures w14:val="standardContextual"/>
        </w:rPr>
        <w:t xml:space="preserve"> revisão do teto não se submete à decadência (v. Seção 17.2.3). A prescrição quinquenal das parcelas, contudo, se aplica: o segurado que ajuíza ação em 2026 receberá apenas as diferenças dos últimos cinco anos.</w:t>
      </w:r>
    </w:p>
    <w:p w14:paraId="3434C6A2" w14:textId="77777777" w:rsidR="005A5FCC" w:rsidRDefault="00A21C81">
      <w:pPr>
        <w:ind w:firstLine="238"/>
      </w:pPr>
      <w:r>
        <w:rPr>
          <w:rFonts w:cs="EB Garamond"/>
          <w:kern w:val="16"/>
          <w14:ligatures w14:val="standardContextual"/>
        </w:rPr>
        <w:t>A atualidade da tese merece reflexão. Os benefícios atingidos foram concedidos entre 1991 e 2003. Em 2026, completam entre 23 e 35 anos de manutenção. Os segurados, que tinham entre 50 e 65 anos na concessão, hoje têm entre 73 e 100 anos. O volume de novas ações é decrescente, e a tese caminha para a obsolescência prática. Pensionistas de segurados falecidos podem ainda postular a revisão do benefício originário que serviu de base para a pensão, ampliando o universo de potenciais beneficiários.</w:t>
      </w:r>
    </w:p>
    <w:p w14:paraId="67B4F224" w14:textId="77777777" w:rsidR="005A5FCC" w:rsidRDefault="00A21C81">
      <w:pPr>
        <w:spacing w:before="260" w:after="80" w:line="240" w:lineRule="auto"/>
        <w:jc w:val="left"/>
      </w:pPr>
      <w:r>
        <w:rPr>
          <w:rFonts w:cs="EB Garamond"/>
          <w:b/>
          <w:color w:val="3A3128"/>
          <w:kern w:val="16"/>
          <w:sz w:val="25"/>
          <w14:ligatures w14:val="standardContextual"/>
        </w:rPr>
        <w:t>17.4.4 Cálculo de diferenças</w:t>
      </w:r>
    </w:p>
    <w:p w14:paraId="23BA3F3F"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P</w:t>
      </w:r>
    </w:p>
    <w:p w14:paraId="3B192A81" w14:textId="77777777" w:rsidR="005A5FCC" w:rsidRDefault="00A21C81">
      <w:r>
        <w:rPr>
          <w:rFonts w:cs="EB Garamond"/>
          <w:kern w:val="16"/>
          <w14:ligatures w14:val="standardContextual"/>
        </w:rPr>
        <w:t>ara o cálculo detalhado do impacto financeiro da revisão do teto, v. Capítulo 16, seção 16.7.3. A liquidação segue, no essencial, as sete etapas descritas adiante para a sentença revisional (seção 17.11.2) — recálculo, projeção de reajustes, apuração da diferença mensal, prescrição quinquenal, correção e juros, dedução de pagamentos e verificação do limite de RPV —, com três particularidades próprias do teto que não convém repetir em forma de novo checklist, mas registrar em prosa.</w:t>
      </w:r>
    </w:p>
    <w:p w14:paraId="4F806FCD" w14:textId="77777777" w:rsidR="005A5FCC" w:rsidRDefault="00A21C81">
      <w:pPr>
        <w:ind w:firstLine="238"/>
      </w:pPr>
      <w:r>
        <w:rPr>
          <w:rFonts w:cs="EB Garamond"/>
          <w:kern w:val="16"/>
          <w14:ligatures w14:val="standardContextual"/>
        </w:rPr>
        <w:lastRenderedPageBreak/>
        <w:t xml:space="preserve">A primeira é o ponto de partida: parte-se do salário de benefício apurado na concessão </w:t>
      </w:r>
      <w:r>
        <w:rPr>
          <w:rFonts w:cs="EB Garamond"/>
          <w:i/>
          <w:kern w:val="16"/>
          <w14:ligatures w14:val="standardContextual"/>
        </w:rPr>
        <w:t>sem</w:t>
      </w:r>
      <w:r>
        <w:rPr>
          <w:rFonts w:cs="EB Garamond"/>
          <w:kern w:val="16"/>
          <w14:ligatures w14:val="standardContextual"/>
        </w:rPr>
        <w:t xml:space="preserve"> a limitação ao teto (fonte: CONBAS), e a revisão só é cabível se esse SB superava o teto então vigente. A segunda diz respeito à mecânica do reposicionamento: a RMI revisada percorre os reajustes anuais (INPC) mês a mês, mas permanece limitada, em cada competência, ao teto vigente — inclusive aos novos tetos das ECs 20/1998 e 41/2003 —, de modo que a diferença só aflora a partir do momento em que o SB reajustado deixa de ser represado pelo teto majorado. A terceira é o regime de correção e juros, idêntico ao das demais condenações: IPCA-E para as condenações judiciais, com juros de mora, até nov/2021 (Tema 810/STF, reservado o INPC ao reajuste do benefício em manutenção); SELIC de dez/2021 a ago/2025; e IPCA + 2% a.a. A partir da EC 136/2025, observada a pendência da ADI 7873 (v. Seção 17.11.3). Apurado o total corrigido, verifica-se o enquadramento no limite de RPV (60 SM = R$ 97.260,00 em 2026; v. A nota da seção 17.1).</w:t>
      </w:r>
    </w:p>
    <w:p w14:paraId="0D4DFC9E" w14:textId="77777777" w:rsidR="005A5FCC" w:rsidRDefault="00A21C81">
      <w:pPr>
        <w:ind w:firstLine="238"/>
      </w:pPr>
      <w:r>
        <w:rPr>
          <w:rFonts w:cs="EB Garamond"/>
          <w:kern w:val="16"/>
          <w14:ligatures w14:val="standardContextual"/>
        </w:rPr>
        <w:t>O efeito cascata dos reajustes merece atenção especial. A readequação ao teto na data da EC não se limita àquele mês: o benefício readequado passa a receber os reajustes subsequentes sobre a base majorada, produzindo diferenças cumulativas ao longo dos anos.</w:t>
      </w:r>
    </w:p>
    <w:p w14:paraId="03E0F785"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17.5 Revisão do buraco negro</w:t>
      </w:r>
    </w:p>
    <w:p w14:paraId="68844CAE" w14:textId="5F204CC5" w:rsidR="005A5FCC" w:rsidRDefault="00A21C81">
      <w:pPr>
        <w:spacing w:before="260" w:after="80" w:line="240" w:lineRule="auto"/>
        <w:jc w:val="left"/>
      </w:pPr>
      <w:r>
        <w:rPr>
          <w:rFonts w:cs="EB Garamond"/>
          <w:b/>
          <w:color w:val="3A3128"/>
          <w:kern w:val="16"/>
          <w:sz w:val="25"/>
          <w14:ligatures w14:val="standardContextual"/>
        </w:rPr>
        <w:t xml:space="preserve">17.5.1 Art. 144, </w:t>
      </w:r>
      <w:r w:rsidR="007C7CBD">
        <w:rPr>
          <w:rFonts w:cs="EB Garamond"/>
          <w:b/>
          <w:color w:val="3A3128"/>
          <w:kern w:val="16"/>
          <w:sz w:val="25"/>
          <w14:ligatures w14:val="standardContextual"/>
        </w:rPr>
        <w:t>L</w:t>
      </w:r>
      <w:r>
        <w:rPr>
          <w:rFonts w:cs="EB Garamond"/>
          <w:b/>
          <w:color w:val="3A3128"/>
          <w:kern w:val="16"/>
          <w:sz w:val="25"/>
          <w14:ligatures w14:val="standardContextual"/>
        </w:rPr>
        <w:t>ei 8.213/91 — conceito</w:t>
      </w:r>
    </w:p>
    <w:p w14:paraId="367EA539"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339558C5" w14:textId="77777777" w:rsidR="005A5FCC" w:rsidRDefault="00A21C81">
      <w:r>
        <w:rPr>
          <w:rFonts w:cs="EB Garamond"/>
          <w:kern w:val="16"/>
          <w14:ligatures w14:val="standardContextual"/>
        </w:rPr>
        <w:t>s benefícios do Buraco Negro (outubro/1988 a abril/1991) foram calculados pela Consolidação das Leis da Previdência Social (CLPS, Decreto 89.312/1984) porque a Lei 8.213/91 ainda não vigorava. O art. 144 determinou o recálculo conforme as novas regras, assegurando ao segurado o cálculo mais favorável. A revisão pode abranger o salário de benefício, o coeficiente de cálculo e a inclusão de períodos contributivos que a legislação anterior desconsiderava.</w:t>
      </w:r>
    </w:p>
    <w:p w14:paraId="037B47F9" w14:textId="77777777" w:rsidR="005A5FCC" w:rsidRDefault="00A21C81">
      <w:pPr>
        <w:spacing w:before="260" w:after="80" w:line="240" w:lineRule="auto"/>
        <w:jc w:val="left"/>
      </w:pPr>
      <w:r>
        <w:rPr>
          <w:rFonts w:cs="EB Garamond"/>
          <w:b/>
          <w:color w:val="3A3128"/>
          <w:kern w:val="16"/>
          <w:sz w:val="25"/>
          <w14:ligatures w14:val="standardContextual"/>
        </w:rPr>
        <w:t>17.5.2 Espécies de revisão</w:t>
      </w:r>
    </w:p>
    <w:p w14:paraId="2B84DD19"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A</w:t>
      </w:r>
    </w:p>
    <w:p w14:paraId="2322C00E" w14:textId="77777777" w:rsidR="005A5FCC" w:rsidRDefault="00A21C81">
      <w:r>
        <w:rPr>
          <w:rFonts w:cs="EB Garamond"/>
          <w:kern w:val="16"/>
          <w14:ligatures w14:val="standardContextual"/>
        </w:rPr>
        <w:t>s revisões do Buraco Negro comportam três modalidades. A primeira é a revisão do valor do salário de benefício: pela CLPS, o SB era calculado com base nos últimos 36 salários de contribuição; a Lei 8.213/91 ampliou o PBC e alterou a sistemática de correção. A segunda é a revisão do coeficiente: a CLPS estabelecia percentuais diferenciados para a RMI; a Lei 8.213/91 os alterou, e o impacto varia por espécie de benefício. A terceira é a inclusão de períodos contributivos não computados na concessão original (atividade rural, serviço militar), que passaram a ser computáveis pela Lei 8.213/91.</w:t>
      </w:r>
    </w:p>
    <w:p w14:paraId="072EA6DE" w14:textId="77777777" w:rsidR="005A5FCC" w:rsidRDefault="00A21C81">
      <w:pPr>
        <w:spacing w:before="260" w:after="80" w:line="240" w:lineRule="auto"/>
        <w:jc w:val="left"/>
      </w:pPr>
      <w:r>
        <w:rPr>
          <w:rFonts w:cs="EB Garamond"/>
          <w:b/>
          <w:color w:val="3A3128"/>
          <w:kern w:val="16"/>
          <w:sz w:val="25"/>
          <w14:ligatures w14:val="standardContextual"/>
        </w:rPr>
        <w:t>17.5.3 Inaplicabilidade da decadência</w:t>
      </w:r>
    </w:p>
    <w:p w14:paraId="23C43498"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3922698F" w14:textId="77777777" w:rsidR="005A5FCC" w:rsidRDefault="00A21C81">
      <w:r>
        <w:rPr>
          <w:rFonts w:cs="EB Garamond"/>
          <w:kern w:val="16"/>
          <w14:ligatures w14:val="standardContextual"/>
        </w:rPr>
        <w:t xml:space="preserve"> revisão do Buraco Negro não se submete ao prazo decadencial do art. 103. Dois fundamentos convergem para essa conclusão. O primeiro: o art. 144 veicula direito ao recálculo que constitui o próprio fundo da relação jurídica previdenciária, e não revisão do ato de concessão. O segundo: o caráter de trato sucessivo da relação. A diferença entre o valor pago e o valor devido renova-se a cada prestação mensal. A prescrição atinge apenas as prestações vencidas antes do quinquênio anterior à propositura da ação (Súmula 85/STJ).</w:t>
      </w:r>
    </w:p>
    <w:tbl>
      <w:tblPr>
        <w:tblW w:w="5000" w:type="pct"/>
        <w:jc w:val="center"/>
        <w:tblLayout w:type="fixed"/>
        <w:tblLook w:val="04A0" w:firstRow="1" w:lastRow="0" w:firstColumn="1" w:lastColumn="0" w:noHBand="0" w:noVBand="1"/>
      </w:tblPr>
      <w:tblGrid>
        <w:gridCol w:w="6311"/>
      </w:tblGrid>
      <w:tr w:rsidR="005A5FCC" w14:paraId="33DB30F2"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78387195"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286A4AC8" w14:textId="77777777" w:rsidR="005A5FCC" w:rsidRDefault="00A21C81">
            <w:pPr>
              <w:spacing w:after="60" w:line="247" w:lineRule="auto"/>
            </w:pPr>
            <w:r>
              <w:rPr>
                <w:rFonts w:cs="EB Garamond"/>
                <w:b/>
                <w:kern w:val="16"/>
                <w:sz w:val="19"/>
                <w14:ligatures w14:val="standardContextual"/>
              </w:rPr>
              <w:t>A revisão do Buraco Negro não está sujeita à decadência decenal</w:t>
            </w:r>
          </w:p>
          <w:p w14:paraId="10C392A2" w14:textId="77777777" w:rsidR="005A5FCC" w:rsidRDefault="00A21C81">
            <w:pPr>
              <w:spacing w:after="60" w:line="247" w:lineRule="auto"/>
            </w:pPr>
            <w:r>
              <w:rPr>
                <w:rFonts w:cs="EB Garamond"/>
                <w:kern w:val="16"/>
                <w:sz w:val="19"/>
                <w14:ligatures w14:val="standardContextual"/>
              </w:rPr>
              <w:t>O art. 144 da Lei 8.213/91 assegura o direito ao recálculo dos benefícios concedidos entre 05/10/1988 e 05/04/1991. Esse direito:</w:t>
            </w:r>
          </w:p>
          <w:p w14:paraId="39DCF844" w14:textId="77777777" w:rsidR="005A5FCC" w:rsidRDefault="00A21C81">
            <w:pPr>
              <w:spacing w:after="60" w:line="247" w:lineRule="auto"/>
            </w:pPr>
            <w:r>
              <w:rPr>
                <w:rFonts w:cs="EB Garamond"/>
                <w:kern w:val="16"/>
                <w:sz w:val="19"/>
                <w14:ligatures w14:val="standardContextual"/>
              </w:rPr>
              <w:t>(a) Constitui o fundo de direito da relação previdenciária, e não mera revisão do ato administrativo de concessão;</w:t>
            </w:r>
          </w:p>
          <w:p w14:paraId="6D2D1102" w14:textId="77777777" w:rsidR="005A5FCC" w:rsidRDefault="00A21C81">
            <w:pPr>
              <w:spacing w:after="60" w:line="247" w:lineRule="auto"/>
            </w:pPr>
            <w:r>
              <w:rPr>
                <w:rFonts w:cs="EB Garamond"/>
                <w:kern w:val="16"/>
                <w:sz w:val="19"/>
                <w14:ligatures w14:val="standardContextual"/>
              </w:rPr>
              <w:t>(b) Gera relação de trato sucessivo, em que a diferença se renova mensalmente (Súmula 85/STJ);</w:t>
            </w:r>
          </w:p>
          <w:p w14:paraId="74F25E6D" w14:textId="77777777" w:rsidR="005A5FCC" w:rsidRDefault="00A21C81">
            <w:pPr>
              <w:spacing w:after="60" w:line="247" w:lineRule="auto"/>
            </w:pPr>
            <w:r>
              <w:rPr>
                <w:rFonts w:cs="EB Garamond"/>
                <w:kern w:val="16"/>
                <w:sz w:val="19"/>
                <w14:ligatures w14:val="standardContextual"/>
              </w:rPr>
              <w:t>(c) Não se enquadra na hipótese do art. 103, caput.</w:t>
            </w:r>
          </w:p>
          <w:p w14:paraId="111D8099" w14:textId="77777777" w:rsidR="005A5FCC" w:rsidRDefault="00A21C81">
            <w:pPr>
              <w:spacing w:after="60" w:line="247" w:lineRule="auto"/>
            </w:pPr>
            <w:r>
              <w:rPr>
                <w:rFonts w:cs="EB Garamond"/>
                <w:kern w:val="16"/>
                <w:sz w:val="19"/>
                <w14:ligatures w14:val="standardContextual"/>
              </w:rPr>
              <w:t>A prescrição quinquenal atinge apenas as parcelas vencidas. O segurado (ou pensionista) pode, a qualquer tempo, postular a revisão do Buraco Negro. Receberá, contudo, apenas as diferenças dos últimos cinco anos.</w:t>
            </w:r>
          </w:p>
        </w:tc>
      </w:tr>
    </w:tbl>
    <w:p w14:paraId="7AF172B3" w14:textId="77777777" w:rsidR="005A5FCC" w:rsidRDefault="005A5FCC">
      <w:pPr>
        <w:spacing w:after="80" w:line="240" w:lineRule="auto"/>
      </w:pPr>
    </w:p>
    <w:p w14:paraId="1BCA4579" w14:textId="77777777" w:rsidR="005A5FCC" w:rsidRDefault="00A21C81">
      <w:pPr>
        <w:spacing w:before="260" w:after="80" w:line="240" w:lineRule="auto"/>
        <w:jc w:val="left"/>
      </w:pPr>
      <w:r>
        <w:rPr>
          <w:rFonts w:cs="EB Garamond"/>
          <w:b/>
          <w:color w:val="3A3128"/>
          <w:kern w:val="16"/>
          <w:sz w:val="25"/>
          <w14:ligatures w14:val="standardContextual"/>
        </w:rPr>
        <w:t>17.5.4 Viabilidade atual (junho/2026)</w:t>
      </w:r>
    </w:p>
    <w:p w14:paraId="39D803F5"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A</w:t>
      </w:r>
    </w:p>
    <w:p w14:paraId="2F1C8F0B" w14:textId="77777777" w:rsidR="005A5FCC" w:rsidRDefault="00A21C81">
      <w:r>
        <w:rPr>
          <w:rFonts w:cs="EB Garamond"/>
          <w:kern w:val="16"/>
          <w14:ligatures w14:val="standardContextual"/>
        </w:rPr>
        <w:t xml:space="preserve"> viabilidade prática é limitada por fator biológico incontornável. Os segurados que se aposentaram entre 1988 e 1991 tinham, em regra, entre 55 e 65 anos. Em 2026, teriam entre 90 e 103 anos. A mortalidade natural reduziu drasticamente o universo de beneficiários.</w:t>
      </w:r>
    </w:p>
    <w:p w14:paraId="75A865F2" w14:textId="77777777" w:rsidR="005A5FCC" w:rsidRDefault="00A21C81">
      <w:pPr>
        <w:ind w:firstLine="238"/>
      </w:pPr>
      <w:r>
        <w:rPr>
          <w:rFonts w:cs="EB Garamond"/>
          <w:kern w:val="16"/>
          <w14:ligatures w14:val="standardContextual"/>
        </w:rPr>
        <w:t>A tese não está inteiramente extinta, contudo. Dois grupos subsistem. O primeiro são os sobreviventes, cada vez mais raros. O segundo — quantitativamente mais relevante — são os pensionistas: cônjuges, companheiros e filhos que recebem pensão por morte derivada de benefício calculado no período do Buraco Negro. Se o benefício de origem foi calculado incorretamente, a pensão dele derivada também está subavaliada.</w:t>
      </w:r>
    </w:p>
    <w:p w14:paraId="585BE3A8" w14:textId="77777777" w:rsidR="005A5FCC" w:rsidRDefault="00A21C81">
      <w:pPr>
        <w:ind w:firstLine="238"/>
      </w:pPr>
      <w:r>
        <w:rPr>
          <w:rFonts w:cs="EB Garamond"/>
          <w:kern w:val="16"/>
          <w14:ligatures w14:val="standardContextual"/>
        </w:rPr>
        <w:t>Na prática dos JEFs, essas ações aparecem esporadicamente, quase sempre ajuizadas por pensionistas. O magistrado deve estar preparado para as peculiaridades probatórias: documentos antigos (décadas de 1980 e 1990), processos administrativos extraviados, reconstituição difícil dos salários de contribuição anteriores a 1994.</w:t>
      </w:r>
    </w:p>
    <w:p w14:paraId="58398FDA" w14:textId="77777777" w:rsidR="005A5FCC" w:rsidRDefault="00A21C81">
      <w:pPr>
        <w:spacing w:before="260" w:after="80" w:line="240" w:lineRule="auto"/>
        <w:jc w:val="left"/>
      </w:pPr>
      <w:r>
        <w:rPr>
          <w:rFonts w:cs="EB Garamond"/>
          <w:b/>
          <w:color w:val="3A3128"/>
          <w:kern w:val="16"/>
          <w:sz w:val="25"/>
          <w14:ligatures w14:val="standardContextual"/>
        </w:rPr>
        <w:t>17.5.5 Procedimento e prova</w:t>
      </w:r>
    </w:p>
    <w:p w14:paraId="335086A5"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334A49B9" w14:textId="77777777" w:rsidR="005A5FCC" w:rsidRDefault="00A21C81">
      <w:r>
        <w:rPr>
          <w:rFonts w:cs="EB Garamond"/>
          <w:kern w:val="16"/>
          <w14:ligatures w14:val="standardContextual"/>
        </w:rPr>
        <w:t xml:space="preserve"> </w:t>
      </w:r>
      <w:r>
        <w:rPr>
          <w:rFonts w:cs="EB Garamond"/>
          <w:b/>
          <w:kern w:val="16"/>
          <w14:ligatures w14:val="standardContextual"/>
        </w:rPr>
        <w:t>processo administrativo de concessão original</w:t>
      </w:r>
      <w:r>
        <w:rPr>
          <w:rFonts w:cs="EB Garamond"/>
          <w:kern w:val="16"/>
          <w14:ligatures w14:val="standardContextual"/>
        </w:rPr>
        <w:t xml:space="preserve"> é a peça central: contém a memória de cálculo pela CLPS, os salários de contribuição utilizados, o coeficiente aplicado e a RMI apurada. Sua obtenção pode ser difícil para benefícios com mais de 35 anos. O </w:t>
      </w:r>
      <w:r>
        <w:rPr>
          <w:rFonts w:cs="EB Garamond"/>
          <w:b/>
          <w:kern w:val="16"/>
          <w14:ligatures w14:val="standardContextual"/>
        </w:rPr>
        <w:t>CNIS</w:t>
      </w:r>
      <w:r>
        <w:rPr>
          <w:rFonts w:cs="EB Garamond"/>
          <w:kern w:val="16"/>
          <w14:ligatures w14:val="standardContextual"/>
        </w:rPr>
        <w:t xml:space="preserve"> é útil, mas apresenta limitações para períodos anteriores a 1982. A </w:t>
      </w:r>
      <w:r>
        <w:rPr>
          <w:rFonts w:cs="EB Garamond"/>
          <w:b/>
          <w:kern w:val="16"/>
          <w14:ligatures w14:val="standardContextual"/>
        </w:rPr>
        <w:t>carta de concessão</w:t>
      </w:r>
      <w:r>
        <w:rPr>
          <w:rFonts w:cs="EB Garamond"/>
          <w:kern w:val="16"/>
          <w14:ligatures w14:val="standardContextual"/>
        </w:rPr>
        <w:t xml:space="preserve"> informa a RMI e a DIB.</w:t>
      </w:r>
    </w:p>
    <w:tbl>
      <w:tblPr>
        <w:tblW w:w="5000" w:type="pct"/>
        <w:jc w:val="center"/>
        <w:tblLayout w:type="fixed"/>
        <w:tblLook w:val="04A0" w:firstRow="1" w:lastRow="0" w:firstColumn="1" w:lastColumn="0" w:noHBand="0" w:noVBand="1"/>
      </w:tblPr>
      <w:tblGrid>
        <w:gridCol w:w="6311"/>
      </w:tblGrid>
      <w:tr w:rsidR="005A5FCC" w14:paraId="3F073584" w14:textId="77777777">
        <w:trPr>
          <w:cantSplit/>
          <w:jc w:val="center"/>
        </w:trPr>
        <w:tc>
          <w:tcPr>
            <w:tcW w:w="6350" w:type="dxa"/>
            <w:tcBorders>
              <w:top w:val="single" w:sz="7" w:space="0" w:color="A09882"/>
              <w:left w:val="single" w:sz="24" w:space="0" w:color="6B6256"/>
              <w:bottom w:val="single" w:sz="7" w:space="0" w:color="A09882"/>
              <w:right w:val="single" w:sz="7" w:space="0" w:color="A09882"/>
            </w:tcBorders>
            <w:shd w:val="clear" w:color="auto" w:fill="F5F3EF"/>
            <w:tcMar>
              <w:top w:w="150" w:type="dxa"/>
              <w:left w:w="220" w:type="dxa"/>
              <w:bottom w:w="150" w:type="dxa"/>
              <w:right w:w="180" w:type="dxa"/>
            </w:tcMar>
          </w:tcPr>
          <w:p w14:paraId="43FB199F" w14:textId="77777777" w:rsidR="005A5FCC" w:rsidRDefault="00A21C81">
            <w:pPr>
              <w:spacing w:after="60" w:line="240" w:lineRule="auto"/>
              <w:jc w:val="left"/>
            </w:pPr>
            <w:r>
              <w:rPr>
                <w:rFonts w:ascii="Noto Sans" w:hAnsi="Noto Sans" w:cs="Noto Sans"/>
                <w:b/>
                <w:caps/>
                <w:color w:val="6B6256"/>
                <w:kern w:val="16"/>
                <w:sz w:val="16"/>
                <w14:ligatures w14:val="standardContextual"/>
              </w:rPr>
              <w:lastRenderedPageBreak/>
              <w:t>QUADRO</w:t>
            </w:r>
          </w:p>
          <w:p w14:paraId="1312B352" w14:textId="77777777" w:rsidR="005A5FCC" w:rsidRDefault="00A21C81">
            <w:pPr>
              <w:spacing w:after="60" w:line="247" w:lineRule="auto"/>
            </w:pPr>
            <w:r>
              <w:rPr>
                <w:rFonts w:cs="EB Garamond"/>
                <w:b/>
                <w:kern w:val="16"/>
                <w:sz w:val="19"/>
                <w14:ligatures w14:val="standardContextual"/>
              </w:rPr>
              <w:t>Comparativo: cálculo pela CLPS × cálculo pela Lei 8.213/91</w:t>
            </w:r>
          </w:p>
          <w:tbl>
            <w:tblPr>
              <w:tblW w:w="5000" w:type="pct"/>
              <w:jc w:val="center"/>
              <w:tblLook w:val="04A0" w:firstRow="1" w:lastRow="0" w:firstColumn="1" w:lastColumn="0" w:noHBand="0" w:noVBand="1"/>
            </w:tblPr>
            <w:tblGrid>
              <w:gridCol w:w="1967"/>
              <w:gridCol w:w="1967"/>
              <w:gridCol w:w="1967"/>
            </w:tblGrid>
            <w:tr w:rsidR="005A5FCC" w14:paraId="07058527" w14:textId="77777777">
              <w:trPr>
                <w:tblHeader/>
                <w:jc w:val="center"/>
              </w:trPr>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4F75FA00" w14:textId="77777777" w:rsidR="005A5FCC" w:rsidRDefault="00A21C81">
                  <w:pPr>
                    <w:spacing w:before="30" w:after="30" w:line="240" w:lineRule="auto"/>
                    <w:jc w:val="center"/>
                  </w:pPr>
                  <w:r>
                    <w:rPr>
                      <w:rFonts w:cs="EB Garamond"/>
                      <w:b/>
                      <w:color w:val="2F2923"/>
                      <w:kern w:val="16"/>
                      <w:sz w:val="16"/>
                      <w14:ligatures w14:val="standardContextual"/>
                    </w:rPr>
                    <w:t>Elemento</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7C04A817" w14:textId="77777777" w:rsidR="005A5FCC" w:rsidRDefault="00A21C81">
                  <w:pPr>
                    <w:spacing w:before="30" w:after="30" w:line="240" w:lineRule="auto"/>
                    <w:jc w:val="center"/>
                  </w:pPr>
                  <w:r>
                    <w:rPr>
                      <w:rFonts w:cs="EB Garamond"/>
                      <w:b/>
                      <w:color w:val="2F2923"/>
                      <w:kern w:val="16"/>
                      <w:sz w:val="16"/>
                      <w14:ligatures w14:val="standardContextual"/>
                    </w:rPr>
                    <w:t>CLPS (Decreto 89.312/1984)</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59B16F3E" w14:textId="77777777" w:rsidR="005A5FCC" w:rsidRDefault="00A21C81">
                  <w:pPr>
                    <w:spacing w:before="30" w:after="30" w:line="240" w:lineRule="auto"/>
                    <w:jc w:val="center"/>
                  </w:pPr>
                  <w:r>
                    <w:rPr>
                      <w:rFonts w:cs="EB Garamond"/>
                      <w:b/>
                      <w:color w:val="2F2923"/>
                      <w:kern w:val="16"/>
                      <w:sz w:val="16"/>
                      <w14:ligatures w14:val="standardContextual"/>
                    </w:rPr>
                    <w:t>Lei 8.213/91</w:t>
                  </w:r>
                </w:p>
              </w:tc>
            </w:tr>
            <w:tr w:rsidR="005A5FCC" w14:paraId="248ED864"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79D1E4A8" w14:textId="77777777" w:rsidR="005A5FCC" w:rsidRDefault="00A21C81">
                  <w:pPr>
                    <w:spacing w:before="20" w:after="20" w:line="240" w:lineRule="auto"/>
                    <w:jc w:val="left"/>
                  </w:pPr>
                  <w:r>
                    <w:rPr>
                      <w:rFonts w:cs="EB Garamond"/>
                      <w:kern w:val="16"/>
                      <w:sz w:val="16"/>
                      <w14:ligatures w14:val="standardContextual"/>
                    </w:rPr>
                    <w:t>Período básico de cálculo</w:t>
                  </w:r>
                </w:p>
              </w:tc>
              <w:tc>
                <w:tcPr>
                  <w:tcW w:w="2117" w:type="dxa"/>
                  <w:tcBorders>
                    <w:top w:val="single" w:sz="4" w:space="0" w:color="D2C9B8"/>
                    <w:left w:val="single" w:sz="4" w:space="0" w:color="D2C9B8"/>
                    <w:bottom w:val="single" w:sz="4" w:space="0" w:color="D2C9B8"/>
                    <w:right w:val="single" w:sz="4" w:space="0" w:color="D2C9B8"/>
                  </w:tcBorders>
                </w:tcPr>
                <w:p w14:paraId="043E09C8" w14:textId="77777777" w:rsidR="005A5FCC" w:rsidRDefault="00A21C81">
                  <w:pPr>
                    <w:spacing w:before="20" w:after="20" w:line="240" w:lineRule="auto"/>
                    <w:jc w:val="left"/>
                  </w:pPr>
                  <w:r>
                    <w:rPr>
                      <w:rFonts w:cs="EB Garamond"/>
                      <w:kern w:val="16"/>
                      <w:sz w:val="16"/>
                      <w14:ligatures w14:val="standardContextual"/>
                    </w:rPr>
                    <w:t>Últimos 36 salários de contribuição</w:t>
                  </w:r>
                </w:p>
              </w:tc>
              <w:tc>
                <w:tcPr>
                  <w:tcW w:w="2117" w:type="dxa"/>
                  <w:tcBorders>
                    <w:top w:val="single" w:sz="4" w:space="0" w:color="D2C9B8"/>
                    <w:left w:val="single" w:sz="4" w:space="0" w:color="D2C9B8"/>
                    <w:bottom w:val="single" w:sz="4" w:space="0" w:color="D2C9B8"/>
                    <w:right w:val="single" w:sz="4" w:space="0" w:color="D2C9B8"/>
                  </w:tcBorders>
                </w:tcPr>
                <w:p w14:paraId="5B09DDCD" w14:textId="77777777" w:rsidR="005A5FCC" w:rsidRDefault="00A21C81">
                  <w:pPr>
                    <w:spacing w:before="20" w:after="20" w:line="240" w:lineRule="auto"/>
                    <w:jc w:val="left"/>
                  </w:pPr>
                  <w:r>
                    <w:rPr>
                      <w:rFonts w:cs="EB Garamond"/>
                      <w:kern w:val="16"/>
                      <w:sz w:val="16"/>
                      <w14:ligatures w14:val="standardContextual"/>
                    </w:rPr>
                    <w:t>Maiores SC correspondentes a 80% do período contributivo (regra original, antes da EC 103)</w:t>
                  </w:r>
                </w:p>
              </w:tc>
            </w:tr>
            <w:tr w:rsidR="005A5FCC" w14:paraId="02B1BBA0"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171042C8" w14:textId="77777777" w:rsidR="005A5FCC" w:rsidRDefault="00A21C81">
                  <w:pPr>
                    <w:spacing w:before="20" w:after="20" w:line="240" w:lineRule="auto"/>
                    <w:jc w:val="left"/>
                  </w:pPr>
                  <w:r>
                    <w:rPr>
                      <w:rFonts w:cs="EB Garamond"/>
                      <w:kern w:val="16"/>
                      <w:sz w:val="16"/>
                      <w14:ligatures w14:val="standardContextual"/>
                    </w:rPr>
                    <w:t>Correção dos SC</w:t>
                  </w:r>
                </w:p>
              </w:tc>
              <w:tc>
                <w:tcPr>
                  <w:tcW w:w="2117" w:type="dxa"/>
                  <w:tcBorders>
                    <w:top w:val="single" w:sz="4" w:space="0" w:color="D2C9B8"/>
                    <w:left w:val="single" w:sz="4" w:space="0" w:color="D2C9B8"/>
                    <w:bottom w:val="single" w:sz="4" w:space="0" w:color="D2C9B8"/>
                    <w:right w:val="single" w:sz="4" w:space="0" w:color="D2C9B8"/>
                  </w:tcBorders>
                </w:tcPr>
                <w:p w14:paraId="65DEACF3" w14:textId="77777777" w:rsidR="005A5FCC" w:rsidRDefault="00A21C81">
                  <w:pPr>
                    <w:spacing w:before="20" w:after="20" w:line="240" w:lineRule="auto"/>
                    <w:jc w:val="left"/>
                  </w:pPr>
                  <w:r>
                    <w:rPr>
                      <w:rFonts w:cs="EB Garamond"/>
                      <w:kern w:val="16"/>
                      <w:sz w:val="16"/>
                      <w14:ligatures w14:val="standardContextual"/>
                    </w:rPr>
                    <w:t>ORTN/OTN/BTN (índices da época)</w:t>
                  </w:r>
                </w:p>
              </w:tc>
              <w:tc>
                <w:tcPr>
                  <w:tcW w:w="2117" w:type="dxa"/>
                  <w:tcBorders>
                    <w:top w:val="single" w:sz="4" w:space="0" w:color="D2C9B8"/>
                    <w:left w:val="single" w:sz="4" w:space="0" w:color="D2C9B8"/>
                    <w:bottom w:val="single" w:sz="4" w:space="0" w:color="D2C9B8"/>
                    <w:right w:val="single" w:sz="4" w:space="0" w:color="D2C9B8"/>
                  </w:tcBorders>
                </w:tcPr>
                <w:p w14:paraId="2A9DCC42" w14:textId="77777777" w:rsidR="005A5FCC" w:rsidRDefault="00A21C81">
                  <w:pPr>
                    <w:spacing w:before="20" w:after="20" w:line="240" w:lineRule="auto"/>
                    <w:jc w:val="left"/>
                  </w:pPr>
                  <w:r>
                    <w:rPr>
                      <w:rFonts w:cs="EB Garamond"/>
                      <w:kern w:val="16"/>
                      <w:sz w:val="16"/>
                      <w14:ligatures w14:val="standardContextual"/>
                    </w:rPr>
                    <w:t>INPC (art. 29, §3º)</w:t>
                  </w:r>
                </w:p>
              </w:tc>
            </w:tr>
            <w:tr w:rsidR="005A5FCC" w14:paraId="310C87CA"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77778CB6" w14:textId="77777777" w:rsidR="005A5FCC" w:rsidRDefault="00A21C81">
                  <w:pPr>
                    <w:spacing w:before="20" w:after="20" w:line="240" w:lineRule="auto"/>
                    <w:jc w:val="left"/>
                  </w:pPr>
                  <w:r>
                    <w:rPr>
                      <w:rFonts w:cs="EB Garamond"/>
                      <w:kern w:val="16"/>
                      <w:sz w:val="16"/>
                      <w14:ligatures w14:val="standardContextual"/>
                    </w:rPr>
                    <w:t>Coeficiente de cálculo</w:t>
                  </w:r>
                </w:p>
              </w:tc>
              <w:tc>
                <w:tcPr>
                  <w:tcW w:w="2117" w:type="dxa"/>
                  <w:tcBorders>
                    <w:top w:val="single" w:sz="4" w:space="0" w:color="D2C9B8"/>
                    <w:left w:val="single" w:sz="4" w:space="0" w:color="D2C9B8"/>
                    <w:bottom w:val="single" w:sz="4" w:space="0" w:color="D2C9B8"/>
                    <w:right w:val="single" w:sz="4" w:space="0" w:color="D2C9B8"/>
                  </w:tcBorders>
                </w:tcPr>
                <w:p w14:paraId="405E2D09" w14:textId="77777777" w:rsidR="005A5FCC" w:rsidRDefault="00A21C81">
                  <w:pPr>
                    <w:spacing w:before="20" w:after="20" w:line="240" w:lineRule="auto"/>
                    <w:jc w:val="left"/>
                  </w:pPr>
                  <w:r>
                    <w:rPr>
                      <w:rFonts w:cs="EB Garamond"/>
                      <w:kern w:val="16"/>
                      <w:sz w:val="16"/>
                      <w14:ligatures w14:val="standardContextual"/>
                    </w:rPr>
                    <w:t>Variável por espécie; aposentadoria por tempo de serviço integral (homem): 80% + 3% por ano excedente a 30 anos</w:t>
                  </w:r>
                </w:p>
              </w:tc>
              <w:tc>
                <w:tcPr>
                  <w:tcW w:w="2117" w:type="dxa"/>
                  <w:tcBorders>
                    <w:top w:val="single" w:sz="4" w:space="0" w:color="D2C9B8"/>
                    <w:left w:val="single" w:sz="4" w:space="0" w:color="D2C9B8"/>
                    <w:bottom w:val="single" w:sz="4" w:space="0" w:color="D2C9B8"/>
                    <w:right w:val="single" w:sz="4" w:space="0" w:color="D2C9B8"/>
                  </w:tcBorders>
                </w:tcPr>
                <w:p w14:paraId="77F29A0B" w14:textId="77777777" w:rsidR="005A5FCC" w:rsidRDefault="00A21C81">
                  <w:pPr>
                    <w:spacing w:before="20" w:after="20" w:line="240" w:lineRule="auto"/>
                    <w:jc w:val="left"/>
                  </w:pPr>
                  <w:r>
                    <w:rPr>
                      <w:rFonts w:cs="EB Garamond"/>
                      <w:kern w:val="16"/>
                      <w:sz w:val="16"/>
                      <w14:ligatures w14:val="standardContextual"/>
                    </w:rPr>
                    <w:t>Variável por espécie; aposentadoria por tempo de serviço integral (homem): 70% aos 30 anos + 6% por ano excedente, até 100% (art. 53, II, redação original)</w:t>
                  </w:r>
                </w:p>
              </w:tc>
            </w:tr>
            <w:tr w:rsidR="005A5FCC" w14:paraId="7920D785"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48C22A85" w14:textId="77777777" w:rsidR="005A5FCC" w:rsidRDefault="00A21C81">
                  <w:pPr>
                    <w:spacing w:before="20" w:after="20" w:line="240" w:lineRule="auto"/>
                    <w:jc w:val="left"/>
                  </w:pPr>
                  <w:r>
                    <w:rPr>
                      <w:rFonts w:cs="EB Garamond"/>
                      <w:kern w:val="16"/>
                      <w:sz w:val="16"/>
                      <w14:ligatures w14:val="standardContextual"/>
                    </w:rPr>
                    <w:t>Teto</w:t>
                  </w:r>
                </w:p>
              </w:tc>
              <w:tc>
                <w:tcPr>
                  <w:tcW w:w="2117" w:type="dxa"/>
                  <w:tcBorders>
                    <w:top w:val="single" w:sz="4" w:space="0" w:color="D2C9B8"/>
                    <w:left w:val="single" w:sz="4" w:space="0" w:color="D2C9B8"/>
                    <w:bottom w:val="single" w:sz="4" w:space="0" w:color="D2C9B8"/>
                    <w:right w:val="single" w:sz="4" w:space="0" w:color="D2C9B8"/>
                  </w:tcBorders>
                </w:tcPr>
                <w:p w14:paraId="5BE61DDC" w14:textId="77777777" w:rsidR="005A5FCC" w:rsidRDefault="00A21C81">
                  <w:pPr>
                    <w:spacing w:before="20" w:after="20" w:line="240" w:lineRule="auto"/>
                    <w:jc w:val="left"/>
                  </w:pPr>
                  <w:r>
                    <w:rPr>
                      <w:rFonts w:cs="EB Garamond"/>
                      <w:kern w:val="16"/>
                      <w:sz w:val="16"/>
                      <w14:ligatures w14:val="standardContextual"/>
                    </w:rPr>
                    <w:t>Menor dos tetos regulamentares</w:t>
                  </w:r>
                </w:p>
              </w:tc>
              <w:tc>
                <w:tcPr>
                  <w:tcW w:w="2117" w:type="dxa"/>
                  <w:tcBorders>
                    <w:top w:val="single" w:sz="4" w:space="0" w:color="D2C9B8"/>
                    <w:left w:val="single" w:sz="4" w:space="0" w:color="D2C9B8"/>
                    <w:bottom w:val="single" w:sz="4" w:space="0" w:color="D2C9B8"/>
                    <w:right w:val="single" w:sz="4" w:space="0" w:color="D2C9B8"/>
                  </w:tcBorders>
                </w:tcPr>
                <w:p w14:paraId="26147031" w14:textId="77777777" w:rsidR="005A5FCC" w:rsidRDefault="00A21C81">
                  <w:pPr>
                    <w:spacing w:before="20" w:after="20" w:line="240" w:lineRule="auto"/>
                    <w:jc w:val="left"/>
                  </w:pPr>
                  <w:r>
                    <w:rPr>
                      <w:rFonts w:cs="EB Garamond"/>
                      <w:kern w:val="16"/>
                      <w:sz w:val="16"/>
                      <w14:ligatures w14:val="standardContextual"/>
                    </w:rPr>
                    <w:t>Teto do RGPS (único)</w:t>
                  </w:r>
                </w:p>
              </w:tc>
            </w:tr>
            <w:tr w:rsidR="005A5FCC" w14:paraId="14ED388A"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7BF913B5" w14:textId="77777777" w:rsidR="005A5FCC" w:rsidRDefault="00A21C81">
                  <w:pPr>
                    <w:spacing w:before="20" w:after="20" w:line="240" w:lineRule="auto"/>
                    <w:jc w:val="left"/>
                  </w:pPr>
                  <w:r>
                    <w:rPr>
                      <w:rFonts w:cs="EB Garamond"/>
                      <w:kern w:val="16"/>
                      <w:sz w:val="16"/>
                      <w14:ligatures w14:val="standardContextual"/>
                    </w:rPr>
                    <w:t>Piso</w:t>
                  </w:r>
                </w:p>
              </w:tc>
              <w:tc>
                <w:tcPr>
                  <w:tcW w:w="2117" w:type="dxa"/>
                  <w:tcBorders>
                    <w:top w:val="single" w:sz="4" w:space="0" w:color="D2C9B8"/>
                    <w:left w:val="single" w:sz="4" w:space="0" w:color="D2C9B8"/>
                    <w:bottom w:val="single" w:sz="4" w:space="0" w:color="D2C9B8"/>
                    <w:right w:val="single" w:sz="4" w:space="0" w:color="D2C9B8"/>
                  </w:tcBorders>
                </w:tcPr>
                <w:p w14:paraId="1D75F37A" w14:textId="77777777" w:rsidR="005A5FCC" w:rsidRDefault="00A21C81">
                  <w:pPr>
                    <w:spacing w:before="20" w:after="20" w:line="240" w:lineRule="auto"/>
                    <w:jc w:val="left"/>
                  </w:pPr>
                  <w:r>
                    <w:rPr>
                      <w:rFonts w:cs="EB Garamond"/>
                      <w:kern w:val="16"/>
                      <w:sz w:val="16"/>
                      <w14:ligatures w14:val="standardContextual"/>
                    </w:rPr>
                    <w:t>90% do SM (aposentadorias)</w:t>
                  </w:r>
                </w:p>
              </w:tc>
              <w:tc>
                <w:tcPr>
                  <w:tcW w:w="2117" w:type="dxa"/>
                  <w:tcBorders>
                    <w:top w:val="single" w:sz="4" w:space="0" w:color="D2C9B8"/>
                    <w:left w:val="single" w:sz="4" w:space="0" w:color="D2C9B8"/>
                    <w:bottom w:val="single" w:sz="4" w:space="0" w:color="D2C9B8"/>
                    <w:right w:val="single" w:sz="4" w:space="0" w:color="D2C9B8"/>
                  </w:tcBorders>
                </w:tcPr>
                <w:p w14:paraId="510A5860" w14:textId="77777777" w:rsidR="005A5FCC" w:rsidRDefault="00A21C81">
                  <w:pPr>
                    <w:spacing w:before="20" w:after="20" w:line="240" w:lineRule="auto"/>
                    <w:jc w:val="left"/>
                  </w:pPr>
                  <w:r>
                    <w:rPr>
                      <w:rFonts w:cs="EB Garamond"/>
                      <w:kern w:val="16"/>
                      <w:sz w:val="16"/>
                      <w14:ligatures w14:val="standardContextual"/>
                    </w:rPr>
                    <w:t>SM integral (art. 201, §2º, CF)</w:t>
                  </w:r>
                </w:p>
              </w:tc>
            </w:tr>
          </w:tbl>
          <w:p w14:paraId="6B9EBB8E" w14:textId="77777777" w:rsidR="005A5FCC" w:rsidRDefault="005A5FCC"/>
          <w:p w14:paraId="438E23FB" w14:textId="77777777" w:rsidR="005A5FCC" w:rsidRDefault="005A5FCC">
            <w:pPr>
              <w:spacing w:after="0" w:line="240" w:lineRule="auto"/>
            </w:pPr>
          </w:p>
        </w:tc>
      </w:tr>
    </w:tbl>
    <w:p w14:paraId="129CE0EC" w14:textId="77777777" w:rsidR="005A5FCC" w:rsidRDefault="005A5FCC">
      <w:pPr>
        <w:spacing w:after="80" w:line="240" w:lineRule="auto"/>
      </w:pPr>
    </w:p>
    <w:p w14:paraId="276D7AA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2E0725FF" w14:textId="77777777" w:rsidR="005A5FCC" w:rsidRDefault="00A21C81">
      <w:r>
        <w:rPr>
          <w:rFonts w:cs="EB Garamond"/>
          <w:kern w:val="16"/>
          <w14:ligatures w14:val="standardContextual"/>
        </w:rPr>
        <w:t xml:space="preserve"> magistrado deve estar disposto a determinar diligências complementares ao INSS (requisição do processo de concessão, microfichas, consulta a bases históricas) e a aceitar reconstituição por meios indiretos quando a documentação original não puder ser recuperada. A perícia contábil, embora rara nos JEFs, pode ser necessária em casos de maior complexidade.</w:t>
      </w:r>
    </w:p>
    <w:p w14:paraId="63496C7E"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17.6 Revisão do art. 29, II — divisor mínimo</w:t>
      </w:r>
    </w:p>
    <w:p w14:paraId="12D41B35" w14:textId="77777777" w:rsidR="005A5FCC" w:rsidRDefault="00A21C81">
      <w:pPr>
        <w:spacing w:before="260" w:after="80" w:line="240" w:lineRule="auto"/>
        <w:jc w:val="left"/>
      </w:pPr>
      <w:r>
        <w:rPr>
          <w:rFonts w:cs="EB Garamond"/>
          <w:b/>
          <w:color w:val="3A3128"/>
          <w:kern w:val="16"/>
          <w:sz w:val="25"/>
          <w14:ligatures w14:val="standardContextual"/>
        </w:rPr>
        <w:t>17.6.1 A controvérsia do divisor mínimo</w:t>
      </w:r>
    </w:p>
    <w:p w14:paraId="6E24764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07DA5A36" w14:textId="77777777" w:rsidR="005A5FCC" w:rsidRDefault="00A21C81">
      <w:r>
        <w:rPr>
          <w:rFonts w:cs="EB Garamond"/>
          <w:kern w:val="16"/>
          <w14:ligatures w14:val="standardContextual"/>
        </w:rPr>
        <w:t xml:space="preserve"> revisão do art. 29, II, da Lei 8.213/91 versa sobre a correta aplicação do divisor na apuração da média aritmética dos salários de contribuição. Para </w:t>
      </w:r>
      <w:r>
        <w:rPr>
          <w:rFonts w:cs="EB Garamond"/>
          <w:kern w:val="16"/>
          <w14:ligatures w14:val="standardContextual"/>
        </w:rPr>
        <w:lastRenderedPageBreak/>
        <w:t>a análise da mecânica do PBC e do divisor mínimo, v. Seção 16.3. Aqui tratamos do procedimento revisional.</w:t>
      </w:r>
    </w:p>
    <w:p w14:paraId="5EC389FB" w14:textId="77777777" w:rsidR="005A5FCC" w:rsidRDefault="00A21C81">
      <w:pPr>
        <w:ind w:firstLine="238"/>
      </w:pPr>
      <w:r>
        <w:rPr>
          <w:rFonts w:cs="EB Garamond"/>
          <w:kern w:val="16"/>
          <w14:ligatures w14:val="standardContextual"/>
        </w:rPr>
        <w:t>A controvérsia surgiu com a redação dada pela Lei 9.876/1999 ao art. 29, II. O art. 3º, §2º, da Lei 9.876/1999 previu, para a regra de transição, um divisor mínimo correspondente a 60% do período decorrido entre julho de 1994 e a DIB. Na prática, o INSS aplicava o divisor mínimo tanto à regra de transição quanto à regra definitiva, o que poderia prejudicar segurados com períodos contributivos irregulares. A discussão girava em torno da extensão indevida de uma regra criada especificamente para a transição.</w:t>
      </w:r>
    </w:p>
    <w:p w14:paraId="0E913D26" w14:textId="6FB2634B" w:rsidR="005A5FCC" w:rsidRDefault="00A21C81" w:rsidP="009D5C56">
      <w:pPr>
        <w:spacing w:before="260" w:after="80" w:line="240" w:lineRule="auto"/>
        <w:jc w:val="left"/>
      </w:pPr>
      <w:r>
        <w:rPr>
          <w:rFonts w:cs="EB Garamond"/>
          <w:b/>
          <w:color w:val="3A3128"/>
          <w:kern w:val="16"/>
          <w:sz w:val="25"/>
          <w14:ligatures w14:val="standardContextual"/>
        </w:rPr>
        <w:t>17.6.2 Memorando-</w:t>
      </w:r>
      <w:r w:rsidR="009D5C56">
        <w:rPr>
          <w:rFonts w:cs="EB Garamond"/>
          <w:b/>
          <w:color w:val="3A3128"/>
          <w:kern w:val="16"/>
          <w:sz w:val="25"/>
          <w14:ligatures w14:val="standardContextual"/>
        </w:rPr>
        <w:t>C</w:t>
      </w:r>
      <w:r>
        <w:rPr>
          <w:rFonts w:cs="EB Garamond"/>
          <w:b/>
          <w:color w:val="3A3128"/>
          <w:kern w:val="16"/>
          <w:sz w:val="25"/>
          <w14:ligatures w14:val="standardContextual"/>
        </w:rPr>
        <w:t xml:space="preserve">ircular </w:t>
      </w:r>
      <w:r w:rsidR="009D5C56">
        <w:rPr>
          <w:rFonts w:cs="EB Garamond"/>
          <w:b/>
          <w:color w:val="3A3128"/>
          <w:kern w:val="16"/>
          <w:sz w:val="25"/>
          <w14:ligatures w14:val="standardContextual"/>
        </w:rPr>
        <w:t>C</w:t>
      </w:r>
      <w:r>
        <w:rPr>
          <w:rFonts w:cs="EB Garamond"/>
          <w:b/>
          <w:color w:val="3A3128"/>
          <w:kern w:val="16"/>
          <w:sz w:val="25"/>
          <w14:ligatures w14:val="standardContextual"/>
        </w:rPr>
        <w:t>onjunto n.</w:t>
      </w:r>
      <w:r w:rsidR="009D5C56">
        <w:rPr>
          <w:rFonts w:cs="EB Garamond"/>
          <w:b/>
          <w:color w:val="3A3128"/>
          <w:kern w:val="16"/>
          <w:sz w:val="25"/>
          <w14:ligatures w14:val="standardContextual"/>
        </w:rPr>
        <w:t xml:space="preserve"> </w:t>
      </w:r>
      <w:r>
        <w:rPr>
          <w:rFonts w:cs="EB Garamond"/>
          <w:b/>
          <w:color w:val="3A3128"/>
          <w:kern w:val="16"/>
          <w:sz w:val="25"/>
          <w14:ligatures w14:val="standardContextual"/>
        </w:rPr>
        <w:t>21/DIRBEN/PFE/INSS e ACP IEPREV</w:t>
      </w:r>
    </w:p>
    <w:p w14:paraId="74E3A1E9"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5BC74FF1" w14:textId="77777777" w:rsidR="005A5FCC" w:rsidRDefault="00A21C81">
      <w:r>
        <w:rPr>
          <w:rFonts w:cs="EB Garamond"/>
          <w:kern w:val="16"/>
          <w14:ligatures w14:val="standardContextual"/>
        </w:rPr>
        <w:t xml:space="preserve"> reconhecimento administrativo veio por meio do Memorando-Circular Conjunto n. 21/DIRBEN/PFE/INSS, de 15/04/2010. O INSS admitiu que havia aplicado o divisor mínimo de forma indevida a benefícios calculados pela regra definitiva do art. 29, II, comprometendo-se à revisão administrativa.</w:t>
      </w:r>
    </w:p>
    <w:p w14:paraId="0852CAC3" w14:textId="77777777" w:rsidR="005A5FCC" w:rsidRDefault="00A21C81">
      <w:pPr>
        <w:ind w:firstLine="238"/>
      </w:pPr>
      <w:r>
        <w:rPr>
          <w:rFonts w:cs="EB Garamond"/>
          <w:kern w:val="16"/>
          <w14:ligatures w14:val="standardContextual"/>
        </w:rPr>
        <w:t>O escopo abrangia, em princípio, os benefícios por incapacidade concedidos entre 29/11/1999 e aproximadamente 2009. A ACP movida pelo IEPREV (processo 0002320-59.2012.4.03.6183/SP, ajuizada perante a Justiça Federal em São Paulo) buscou ampliar o alcance da revisão para além desse universo, postulando eficácia nacional da tutela coletiva.</w:t>
      </w:r>
    </w:p>
    <w:p w14:paraId="6B395821" w14:textId="77777777" w:rsidR="005A5FCC" w:rsidRDefault="00A21C81">
      <w:pPr>
        <w:ind w:firstLine="238"/>
      </w:pPr>
      <w:r>
        <w:rPr>
          <w:rFonts w:cs="EB Garamond"/>
          <w:kern w:val="16"/>
          <w14:ligatures w14:val="standardContextual"/>
        </w:rPr>
        <w:t>O alcance subjetivo e territorial da coisa julgada nessa ACP, contudo, não é dado pacífico e o magistrado deve manejá-lo com cautela. A redação do art. 16 da Lei 7.347/85 limita a eficácia da coisa julgada coletiva aos limites da competência territorial do órgão prolator — restrição cuja constitucionalidade e cujo alcance foram longamente debatidos no STF e no STJ, com oscilações sobre a possibilidade de eficácia erga omnes nacional. Por isso, ao invocar-se a ACP do IEPREV como fundamento de mérito ou de afastamento do interesse de agir, convém aferir, no caso concreto, o teor do dispositivo e o estágio (eventual trânsito em julgado) da decisão coletiva, em vez de pressupor extensão nacional automática.</w:t>
      </w:r>
    </w:p>
    <w:p w14:paraId="11F6DA29" w14:textId="77777777" w:rsidR="005A5FCC" w:rsidRDefault="00A21C81">
      <w:pPr>
        <w:ind w:firstLine="238"/>
      </w:pPr>
      <w:r>
        <w:rPr>
          <w:rFonts w:cs="EB Garamond"/>
          <w:kern w:val="16"/>
          <w14:ligatures w14:val="standardContextual"/>
        </w:rPr>
        <w:lastRenderedPageBreak/>
        <w:t>Na prática dos JEFs, a existência da revisão administrativa — e, conforme o caso, da tutela coletiva — gera questão sobre o interesse de agir individual. A jurisprudência tem admitido o interesse quando o INSS não procedeu à revisão em prazo razoável, ou quando não demonstrada a abrangência do segurado pela coisa julgada coletiva.</w:t>
      </w:r>
    </w:p>
    <w:p w14:paraId="461C0739" w14:textId="77777777" w:rsidR="005A5FCC" w:rsidRDefault="00A21C81">
      <w:pPr>
        <w:spacing w:before="260" w:after="80" w:line="240" w:lineRule="auto"/>
        <w:jc w:val="left"/>
      </w:pPr>
      <w:r>
        <w:rPr>
          <w:rFonts w:cs="EB Garamond"/>
          <w:b/>
          <w:color w:val="3A3128"/>
          <w:kern w:val="16"/>
          <w:sz w:val="25"/>
          <w14:ligatures w14:val="standardContextual"/>
        </w:rPr>
        <w:t>17.6.3 Lei 14.331/2022 — art. 135-A, divisor mínimo de 108</w:t>
      </w:r>
    </w:p>
    <w:p w14:paraId="3C4DF59E"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15D4750F" w14:textId="77777777" w:rsidR="005A5FCC" w:rsidRDefault="00A21C81">
      <w:r>
        <w:rPr>
          <w:rFonts w:cs="EB Garamond"/>
          <w:kern w:val="16"/>
          <w14:ligatures w14:val="standardContextual"/>
        </w:rPr>
        <w:t xml:space="preserve"> Lei 14.331, de 4 de maio de 2022 (vigência em 05/05/2022), inseriu o art. 135-A na Lei 8.213/91, estabelecendo divisor mínimo de 108 contribuições. A norma encerrou a possibilidade do chamado "milagre da contribuição única." A lei ressalvou três hipóteses: aposentadoria por incapacidade permanente, aposentadoria da pessoa com deficiência e segurado especial.</w:t>
      </w:r>
    </w:p>
    <w:tbl>
      <w:tblPr>
        <w:tblW w:w="5000" w:type="pct"/>
        <w:jc w:val="center"/>
        <w:tblLayout w:type="fixed"/>
        <w:tblLook w:val="04A0" w:firstRow="1" w:lastRow="0" w:firstColumn="1" w:lastColumn="0" w:noHBand="0" w:noVBand="1"/>
      </w:tblPr>
      <w:tblGrid>
        <w:gridCol w:w="6311"/>
      </w:tblGrid>
      <w:tr w:rsidR="005A5FCC" w14:paraId="4B36BEA9"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129B7EF1"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7261A9C1" w14:textId="77777777" w:rsidR="005A5FCC" w:rsidRDefault="00A21C81">
            <w:pPr>
              <w:spacing w:after="60" w:line="247" w:lineRule="auto"/>
            </w:pPr>
            <w:r>
              <w:rPr>
                <w:rFonts w:cs="EB Garamond"/>
                <w:b/>
                <w:kern w:val="16"/>
                <w:sz w:val="19"/>
                <w14:ligatures w14:val="standardContextual"/>
              </w:rPr>
              <w:t>Lei 14.331/2022 — Divisor mínimo de 108 contribuições</w:t>
            </w:r>
          </w:p>
          <w:p w14:paraId="27BA58E3" w14:textId="77777777" w:rsidR="005A5FCC" w:rsidRDefault="00A21C81">
            <w:pPr>
              <w:spacing w:after="60" w:line="247" w:lineRule="auto"/>
            </w:pPr>
            <w:r>
              <w:rPr>
                <w:rFonts w:cs="EB Garamond"/>
                <w:kern w:val="16"/>
                <w:sz w:val="19"/>
                <w14:ligatures w14:val="standardContextual"/>
              </w:rPr>
              <w:t>A partir de 05/05/2022, o cálculo do salário de benefício observa divisor mínimo de 108 contribuições (art. 135-A, Lei 8.213/91).</w:t>
            </w:r>
          </w:p>
          <w:p w14:paraId="32F0B509" w14:textId="77777777" w:rsidR="005A5FCC" w:rsidRDefault="00A21C81">
            <w:pPr>
              <w:spacing w:after="60" w:line="247" w:lineRule="auto"/>
            </w:pPr>
            <w:r>
              <w:rPr>
                <w:rFonts w:cs="EB Garamond"/>
                <w:b/>
                <w:kern w:val="16"/>
                <w:sz w:val="19"/>
                <w14:ligatures w14:val="standardContextual"/>
              </w:rPr>
              <w:t>Exceções:</w:t>
            </w:r>
            <w:r>
              <w:rPr>
                <w:rFonts w:cs="EB Garamond"/>
                <w:kern w:val="16"/>
                <w:sz w:val="19"/>
                <w14:ligatures w14:val="standardContextual"/>
              </w:rPr>
              <w:t xml:space="preserve"> Aposentadoria por incapacidade permanente, aposentadoria da pessoa com deficiência e segurado especial.</w:t>
            </w:r>
          </w:p>
          <w:p w14:paraId="575DF96D" w14:textId="77777777" w:rsidR="005A5FCC" w:rsidRDefault="00A21C81">
            <w:pPr>
              <w:spacing w:after="60" w:line="247" w:lineRule="auto"/>
            </w:pPr>
            <w:r>
              <w:rPr>
                <w:rFonts w:cs="EB Garamond"/>
                <w:b/>
                <w:kern w:val="16"/>
                <w:sz w:val="19"/>
                <w14:ligatures w14:val="standardContextual"/>
              </w:rPr>
              <w:t>Impacto na revisão:</w:t>
            </w:r>
            <w:r>
              <w:rPr>
                <w:rFonts w:cs="EB Garamond"/>
                <w:kern w:val="16"/>
                <w:sz w:val="19"/>
                <w14:ligatures w14:val="standardContextual"/>
              </w:rPr>
              <w:t xml:space="preserve"> A Lei 14.331/2022 não se aplica a benefícios concedidos antes de 05/05/2022. A revisão do art. 29, II, permanece regida pelas regras anteriores para esses benefícios.</w:t>
            </w:r>
          </w:p>
        </w:tc>
      </w:tr>
    </w:tbl>
    <w:p w14:paraId="0E3D4119" w14:textId="77777777" w:rsidR="005A5FCC" w:rsidRDefault="005A5FCC">
      <w:pPr>
        <w:spacing w:after="80" w:line="240" w:lineRule="auto"/>
      </w:pPr>
    </w:p>
    <w:p w14:paraId="5EF71E8B" w14:textId="77777777" w:rsidR="005A5FCC" w:rsidRDefault="00A21C81">
      <w:pPr>
        <w:spacing w:before="260" w:after="80" w:line="240" w:lineRule="auto"/>
        <w:jc w:val="left"/>
      </w:pPr>
      <w:r>
        <w:rPr>
          <w:rFonts w:cs="EB Garamond"/>
          <w:b/>
          <w:color w:val="3A3128"/>
          <w:kern w:val="16"/>
          <w:sz w:val="25"/>
          <w14:ligatures w14:val="standardContextual"/>
        </w:rPr>
        <w:t>17.6.4 Escopo atual e prática no JEF</w:t>
      </w:r>
    </w:p>
    <w:p w14:paraId="495B98C1"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5A001148" w14:textId="77777777" w:rsidR="005A5FCC" w:rsidRDefault="00A21C81">
      <w:r>
        <w:rPr>
          <w:rFonts w:cs="EB Garamond"/>
          <w:kern w:val="16"/>
          <w14:ligatures w14:val="standardContextual"/>
        </w:rPr>
        <w:t xml:space="preserve"> universo de benefícios elegíveis abrange os concedidos entre 29/11/1999 e aproximadamente 2009. Em junho de 2026, a maioria já ultrapassou o prazo decadencial. E, na linha do Tema 975/STJ, o prazo decenal incide ainda que o INSS não tenha apreciado a questão do divisor no ato de concessão: a falta de apreciação administrativa não suspende a decadência, de modo que o transcurso do decênio, a partir da DIB, inviabiliza a revisão.</w:t>
      </w:r>
    </w:p>
    <w:tbl>
      <w:tblPr>
        <w:tblW w:w="5000" w:type="pct"/>
        <w:jc w:val="center"/>
        <w:tblLayout w:type="fixed"/>
        <w:tblLook w:val="04A0" w:firstRow="1" w:lastRow="0" w:firstColumn="1" w:lastColumn="0" w:noHBand="0" w:noVBand="1"/>
      </w:tblPr>
      <w:tblGrid>
        <w:gridCol w:w="6311"/>
      </w:tblGrid>
      <w:tr w:rsidR="005A5FCC" w14:paraId="76E6478B"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4FA3E9F2"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5E52CD3E" w14:textId="77777777" w:rsidR="005A5FCC" w:rsidRDefault="00A21C81">
            <w:pPr>
              <w:spacing w:after="60" w:line="247" w:lineRule="auto"/>
            </w:pPr>
            <w:r>
              <w:rPr>
                <w:rFonts w:cs="EB Garamond"/>
                <w:b/>
                <w:kern w:val="16"/>
                <w:sz w:val="19"/>
                <w14:ligatures w14:val="standardContextual"/>
              </w:rPr>
              <w:t>Como identificar se um benefício é elegível para a revisão do art. 29, II</w:t>
            </w:r>
          </w:p>
          <w:p w14:paraId="2998A5AE" w14:textId="77777777" w:rsidR="005A5FCC" w:rsidRDefault="00A21C81">
            <w:pPr>
              <w:spacing w:after="60" w:line="247" w:lineRule="auto"/>
            </w:pPr>
            <w:r>
              <w:rPr>
                <w:rFonts w:cs="EB Garamond"/>
                <w:b/>
                <w:kern w:val="16"/>
                <w:sz w:val="19"/>
                <w14:ligatures w14:val="standardContextual"/>
              </w:rPr>
              <w:t>Passo 1:</w:t>
            </w:r>
            <w:r>
              <w:rPr>
                <w:rFonts w:cs="EB Garamond"/>
                <w:kern w:val="16"/>
                <w:sz w:val="19"/>
                <w14:ligatures w14:val="standardContextual"/>
              </w:rPr>
              <w:t xml:space="preserve"> Verificar a DIB. Se posterior a 2009, o benefício provavelmente já foi calculado com o divisor correto. Se anterior a 29/11/1999, a Lei 9.876/1999 não se aplica.</w:t>
            </w:r>
          </w:p>
          <w:p w14:paraId="6018DC1A" w14:textId="77777777" w:rsidR="005A5FCC" w:rsidRDefault="00A21C81">
            <w:pPr>
              <w:spacing w:after="60" w:line="247" w:lineRule="auto"/>
            </w:pPr>
            <w:r>
              <w:rPr>
                <w:rFonts w:cs="EB Garamond"/>
                <w:b/>
                <w:kern w:val="16"/>
                <w:sz w:val="19"/>
                <w14:ligatures w14:val="standardContextual"/>
              </w:rPr>
              <w:t>Passo 2:</w:t>
            </w:r>
            <w:r>
              <w:rPr>
                <w:rFonts w:cs="EB Garamond"/>
                <w:kern w:val="16"/>
                <w:sz w:val="19"/>
                <w14:ligatures w14:val="standardContextual"/>
              </w:rPr>
              <w:t xml:space="preserve"> Verificar a espécie. A revisão é mais frequente em benefícios por incapacidade, concedidos a segurados com poucos meses de contribuição no PBC.</w:t>
            </w:r>
          </w:p>
          <w:p w14:paraId="34C0ADC2" w14:textId="77777777" w:rsidR="005A5FCC" w:rsidRDefault="00A21C81">
            <w:pPr>
              <w:spacing w:after="60" w:line="247" w:lineRule="auto"/>
            </w:pPr>
            <w:r>
              <w:rPr>
                <w:rFonts w:cs="EB Garamond"/>
                <w:b/>
                <w:kern w:val="16"/>
                <w:sz w:val="19"/>
                <w14:ligatures w14:val="standardContextual"/>
              </w:rPr>
              <w:t>Passo 3:</w:t>
            </w:r>
            <w:r>
              <w:rPr>
                <w:rFonts w:cs="EB Garamond"/>
                <w:kern w:val="16"/>
                <w:sz w:val="19"/>
                <w14:ligatures w14:val="standardContextual"/>
              </w:rPr>
              <w:t xml:space="preserve"> Obter o CONBAS e identificar o divisor utilizado. Comparar com o divisor correto.</w:t>
            </w:r>
          </w:p>
          <w:p w14:paraId="5ED6BCEC" w14:textId="77777777" w:rsidR="005A5FCC" w:rsidRDefault="00A21C81">
            <w:pPr>
              <w:spacing w:after="60" w:line="247" w:lineRule="auto"/>
            </w:pPr>
            <w:r>
              <w:rPr>
                <w:rFonts w:cs="EB Garamond"/>
                <w:b/>
                <w:kern w:val="16"/>
                <w:sz w:val="19"/>
                <w14:ligatures w14:val="standardContextual"/>
              </w:rPr>
              <w:t>Passo 4:</w:t>
            </w:r>
            <w:r>
              <w:rPr>
                <w:rFonts w:cs="EB Garamond"/>
                <w:kern w:val="16"/>
                <w:sz w:val="19"/>
                <w14:ligatures w14:val="standardContextual"/>
              </w:rPr>
              <w:t xml:space="preserve"> Verificar a decadência. Se a DIB é anterior a mais de 10 anos, a revisão está, em regra, decaída — e, à luz do Tema 975/STJ, a decadência incide mesmo que o INSS não tenha apreciado a questão do divisor no ato de concessão.</w:t>
            </w:r>
          </w:p>
          <w:p w14:paraId="6F1A9494" w14:textId="77777777" w:rsidR="005A5FCC" w:rsidRDefault="00A21C81">
            <w:pPr>
              <w:spacing w:after="60" w:line="247" w:lineRule="auto"/>
            </w:pPr>
            <w:r>
              <w:rPr>
                <w:rFonts w:cs="EB Garamond"/>
                <w:b/>
                <w:kern w:val="16"/>
                <w:sz w:val="19"/>
                <w14:ligatures w14:val="standardContextual"/>
              </w:rPr>
              <w:t>Passo 5:</w:t>
            </w:r>
            <w:r>
              <w:rPr>
                <w:rFonts w:cs="EB Garamond"/>
                <w:kern w:val="16"/>
                <w:sz w:val="19"/>
                <w14:ligatures w14:val="standardContextual"/>
              </w:rPr>
              <w:t xml:space="preserve"> Verificar se o benefício já foi revisado administrativamente (Memorando-Circular Conjunto n. 21/DIRBEN/PFE/INSS ou ACP IEPREV). Se já foi, não há interesse de agir (salvo revisão administrativa insuficiente).</w:t>
            </w:r>
          </w:p>
          <w:p w14:paraId="69C2F2B7" w14:textId="77777777" w:rsidR="005A5FCC" w:rsidRDefault="00A21C81">
            <w:pPr>
              <w:spacing w:after="60" w:line="247" w:lineRule="auto"/>
            </w:pPr>
            <w:r>
              <w:rPr>
                <w:rFonts w:cs="EB Garamond"/>
                <w:b/>
                <w:kern w:val="16"/>
                <w:sz w:val="19"/>
                <w14:ligatures w14:val="standardContextual"/>
              </w:rPr>
              <w:t>Passo 6:</w:t>
            </w:r>
            <w:r>
              <w:rPr>
                <w:rFonts w:cs="EB Garamond"/>
                <w:kern w:val="16"/>
                <w:sz w:val="19"/>
                <w14:ligatures w14:val="standardContextual"/>
              </w:rPr>
              <w:t xml:space="preserve"> Calcular a diferença. Apurar o SB com o divisor correto e comparar com o efetivamente utilizado.</w:t>
            </w:r>
          </w:p>
        </w:tc>
      </w:tr>
    </w:tbl>
    <w:p w14:paraId="7B53A35E" w14:textId="77777777" w:rsidR="005A5FCC" w:rsidRDefault="005A5FCC">
      <w:pPr>
        <w:spacing w:after="80" w:line="240" w:lineRule="auto"/>
      </w:pPr>
    </w:p>
    <w:p w14:paraId="52AF415D"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17.7 Revisão da melhor DIB e reafirmação da DER</w:t>
      </w:r>
    </w:p>
    <w:p w14:paraId="286B5C23" w14:textId="77777777" w:rsidR="005A5FCC" w:rsidRDefault="00A21C81">
      <w:pPr>
        <w:spacing w:before="260" w:after="80" w:line="240" w:lineRule="auto"/>
        <w:jc w:val="left"/>
      </w:pPr>
      <w:r>
        <w:rPr>
          <w:rFonts w:cs="EB Garamond"/>
          <w:b/>
          <w:color w:val="3A3128"/>
          <w:kern w:val="16"/>
          <w:sz w:val="25"/>
          <w14:ligatures w14:val="standardContextual"/>
        </w:rPr>
        <w:t>17.7.1 Direito ao benefício mais vantajoso</w:t>
      </w:r>
    </w:p>
    <w:p w14:paraId="39BA6BE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3FCA57CE" w14:textId="77777777" w:rsidR="005A5FCC" w:rsidRDefault="00A21C81">
      <w:r>
        <w:rPr>
          <w:rFonts w:cs="EB Garamond"/>
          <w:kern w:val="16"/>
          <w14:ligatures w14:val="standardContextual"/>
        </w:rPr>
        <w:t xml:space="preserve"> segurado que preenche requisitos para mais de uma regra de aposentadoria tem direito ao benefício mais vantajoso — princípio positivado pelo art. 26, §2º, da EC 103/2019. Para a análise substantiva, v. Seção 10.12.</w:t>
      </w:r>
    </w:p>
    <w:p w14:paraId="50976056" w14:textId="77777777" w:rsidR="005A5FCC" w:rsidRDefault="00A21C81">
      <w:pPr>
        <w:ind w:firstLine="238"/>
      </w:pPr>
      <w:r>
        <w:rPr>
          <w:rFonts w:cs="EB Garamond"/>
          <w:kern w:val="16"/>
          <w14:ligatures w14:val="standardContextual"/>
        </w:rPr>
        <w:t>A dimensão revisional surge quando o INSS concede o benefício por regra que não é a mais vantajosa. Na nossa experiência, o sistema informatizado do INSS calcula o benefício pela regra que primeiro identifica como satisfeita, sem necessariamente comparar todas as regras aplicáveis. Essa revisão submete-se ao prazo decadencial de dez anos (Tema 966/STJ).</w:t>
      </w:r>
    </w:p>
    <w:p w14:paraId="5A57AFAA" w14:textId="77777777" w:rsidR="005A5FCC" w:rsidRDefault="00A21C81">
      <w:pPr>
        <w:ind w:firstLine="238"/>
      </w:pPr>
      <w:r>
        <w:rPr>
          <w:rFonts w:cs="EB Garamond"/>
          <w:kern w:val="16"/>
          <w14:ligatures w14:val="standardContextual"/>
        </w:rPr>
        <w:lastRenderedPageBreak/>
        <w:t>Convém precisar a relação entre os dois fundamentos, porque eles operam em planos temporais distintos. O art. 26, §2º, da EC 103/2019 é norma positivada que assegura, na sistemática pós-reforma, a aplicação da regra mais vantajosa entre as cabíveis. O Tema 966/STJ, por sua vez, é precedente anterior à EC 103, firmado sob a sistemática de cálculo pré-reforma, e cuida especificamente da incidência da decadência sobre a pretensão de obter o benefício mais vantajoso (direito adquirido). O Tema 966 não interpreta a EC 103: o que dele se extrai, e se reaproveita aqui, é a tese de que o prazo decadencial de dez anos alcança a pretensão de revisar a escolha da regra de cálculo, conclusão que permanece útil sob qualquer das sistemáticas.</w:t>
      </w:r>
    </w:p>
    <w:p w14:paraId="70FAE03A" w14:textId="000C2C11" w:rsidR="005A5FCC" w:rsidRDefault="00A21C81">
      <w:pPr>
        <w:spacing w:before="260" w:after="80" w:line="240" w:lineRule="auto"/>
        <w:jc w:val="left"/>
      </w:pPr>
      <w:r>
        <w:rPr>
          <w:rFonts w:cs="EB Garamond"/>
          <w:b/>
          <w:color w:val="3A3128"/>
          <w:kern w:val="16"/>
          <w:sz w:val="25"/>
          <w14:ligatures w14:val="standardContextual"/>
        </w:rPr>
        <w:t xml:space="preserve">17.7.2 Reafirmação da DER — </w:t>
      </w:r>
      <w:r w:rsidR="006B54C8">
        <w:rPr>
          <w:rFonts w:cs="EB Garamond"/>
          <w:b/>
          <w:color w:val="3A3128"/>
          <w:kern w:val="16"/>
          <w:sz w:val="25"/>
          <w14:ligatures w14:val="standardContextual"/>
        </w:rPr>
        <w:t>T</w:t>
      </w:r>
      <w:r>
        <w:rPr>
          <w:rFonts w:cs="EB Garamond"/>
          <w:b/>
          <w:color w:val="3A3128"/>
          <w:kern w:val="16"/>
          <w:sz w:val="25"/>
          <w14:ligatures w14:val="standardContextual"/>
        </w:rPr>
        <w:t>ema 995/STJ: dimensão processual</w:t>
      </w:r>
    </w:p>
    <w:p w14:paraId="6378F83F"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32D8675F" w14:textId="77777777" w:rsidR="005A5FCC" w:rsidRDefault="00A21C81">
      <w:r>
        <w:rPr>
          <w:rFonts w:cs="EB Garamond"/>
          <w:kern w:val="16"/>
          <w14:ligatures w14:val="standardContextual"/>
        </w:rPr>
        <w:t xml:space="preserve"> reafirmação da DER permite ao magistrado considerar fatos supervenientes ao requerimento administrativo para fins de concessão (v. Cap. 10, seção 10.8.2 para a tese substantiva). A tese vinculante do Tema 995/STJ (REsp 1.727.063/SP e REsp 1.727.064/SP, 1ª Seção, Rel. Min. Mauro Campbell Marques, julgado em 23/10/2019, DJe 02/12/2019) admite a reafirmação para o momento em que implementados os requisitos, inclusive entre o ajuizamento e a decisão.</w:t>
      </w:r>
    </w:p>
    <w:p w14:paraId="3302833A" w14:textId="77777777" w:rsidR="005A5FCC" w:rsidRDefault="00A21C81">
      <w:pPr>
        <w:ind w:firstLine="238"/>
      </w:pPr>
      <w:r>
        <w:rPr>
          <w:rFonts w:cs="EB Garamond"/>
          <w:kern w:val="16"/>
          <w14:ligatures w14:val="standardContextual"/>
        </w:rPr>
        <w:t>Na prática do JEF, a reafirmação é invocada em duas situações. Na primeira, o segurado ajuíza ação antes de preencher todos os requisitos e, durante o processo, completa idade ou carência. Na segunda, durante a instrução, verifica-se que os requisitos somente foram preenchidos em data posterior ao requerimento. O juiz, aplicando o Tema 995 e o art. 493 do CPC (fatos supervenientes), reafirma a DER.</w:t>
      </w:r>
    </w:p>
    <w:p w14:paraId="02710823" w14:textId="77777777" w:rsidR="005A5FCC" w:rsidRDefault="00A21C81">
      <w:pPr>
        <w:ind w:firstLine="238"/>
      </w:pPr>
      <w:r>
        <w:rPr>
          <w:rFonts w:cs="EB Garamond"/>
          <w:kern w:val="16"/>
          <w14:ligatures w14:val="standardContextual"/>
        </w:rPr>
        <w:t>O procedimento exige que o advogado: (a) peticione nos autos, identificando a data de implementação; (b) junte CNIS atualizado; (c) requeira expressamente a reafirmação, com indicação da nova DIB.</w:t>
      </w:r>
    </w:p>
    <w:p w14:paraId="4551E5CE" w14:textId="77777777" w:rsidR="005A5FCC" w:rsidRDefault="00A21C81">
      <w:pPr>
        <w:ind w:firstLine="238"/>
      </w:pPr>
      <w:r>
        <w:rPr>
          <w:rFonts w:cs="EB Garamond"/>
          <w:kern w:val="16"/>
          <w14:ligatures w14:val="standardContextual"/>
        </w:rPr>
        <w:t xml:space="preserve">Os efeitos financeiros da reafirmação são objeto de controvérsia. A posição majoritária nos JEFs e na TNU: os efeitos retroagem à data da reafirmação (data de implementação), e não ao requerimento administrativo original. Savaris </w:t>
      </w:r>
      <w:r>
        <w:rPr>
          <w:rFonts w:cs="EB Garamond"/>
          <w:kern w:val="16"/>
          <w14:ligatures w14:val="standardContextual"/>
        </w:rPr>
        <w:lastRenderedPageBreak/>
        <w:t>(2023, p. 328) sustenta a retroação ao requerimento, pois o segurado demonstrou a intenção de obter o benefício desde aquele momento. Entendemos que a posição majoritária, embora pragmática, penaliza o segurado que teve a diligência de formular requerimento tempestivo.</w:t>
      </w:r>
    </w:p>
    <w:p w14:paraId="71E9E76D" w14:textId="77777777" w:rsidR="005A5FCC" w:rsidRDefault="00A21C81">
      <w:pPr>
        <w:spacing w:before="260" w:after="80" w:line="240" w:lineRule="auto"/>
        <w:jc w:val="left"/>
      </w:pPr>
      <w:r>
        <w:rPr>
          <w:rFonts w:cs="EB Garamond"/>
          <w:b/>
          <w:color w:val="3A3128"/>
          <w:kern w:val="16"/>
          <w:sz w:val="25"/>
          <w14:ligatures w14:val="standardContextual"/>
        </w:rPr>
        <w:t>17.7.3 Questões processuais nos JEFs</w:t>
      </w:r>
    </w:p>
    <w:p w14:paraId="35603E6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4846CE5C" w14:textId="77777777" w:rsidR="005A5FCC" w:rsidRDefault="00A21C81">
      <w:r>
        <w:rPr>
          <w:rFonts w:cs="EB Garamond"/>
          <w:kern w:val="16"/>
          <w14:ligatures w14:val="standardContextual"/>
        </w:rPr>
        <w:t xml:space="preserve"> primeira questão: pode o magistrado reafirmar a DER de ofício? A tendência é admitir a reafirmação quando o CNIS evidencie, de forma clara, que os requisitos foram implementados em data posterior ao requerimento (art. 493, CPC). Recomendamos, porém, que o magistrado intime o autor para manifestação e o INSS para contraditório (art. 10, CPC).</w:t>
      </w:r>
    </w:p>
    <w:p w14:paraId="5F676A33" w14:textId="77777777" w:rsidR="005A5FCC" w:rsidRDefault="00A21C81">
      <w:pPr>
        <w:ind w:firstLine="238"/>
      </w:pPr>
      <w:r>
        <w:rPr>
          <w:rFonts w:cs="EB Garamond"/>
          <w:kern w:val="16"/>
          <w14:ligatures w14:val="standardContextual"/>
        </w:rPr>
        <w:t>A segunda: a possibilidade de pedido subsidiário. O advogado pode formular pedido de concessão na DER original e, subsidiariamente, com DER reafirmada. Essa formulação é recomendável e evita nova ação caso a pretensão principal seja improcedente.</w:t>
      </w:r>
    </w:p>
    <w:p w14:paraId="1D620B02" w14:textId="77777777" w:rsidR="005A5FCC" w:rsidRDefault="00A21C81">
      <w:pPr>
        <w:ind w:firstLine="238"/>
      </w:pPr>
      <w:r>
        <w:rPr>
          <w:rFonts w:cs="EB Garamond"/>
          <w:kern w:val="16"/>
          <w14:ligatures w14:val="standardContextual"/>
        </w:rPr>
        <w:t>A terceira: tutela provisória. O caráter alimentar do benefício e a demora do processo nos JEFs justificam a antecipação, especialmente para segurados idosos ou em vulnerabilidade.</w:t>
      </w:r>
    </w:p>
    <w:p w14:paraId="554D1574" w14:textId="77777777" w:rsidR="005A5FCC" w:rsidRDefault="00A21C81">
      <w:pPr>
        <w:spacing w:before="260" w:after="80" w:line="240" w:lineRule="auto"/>
        <w:jc w:val="left"/>
      </w:pPr>
      <w:r>
        <w:rPr>
          <w:rFonts w:cs="EB Garamond"/>
          <w:b/>
          <w:color w:val="3A3128"/>
          <w:kern w:val="16"/>
          <w:sz w:val="25"/>
          <w14:ligatures w14:val="standardContextual"/>
        </w:rPr>
        <w:t>17.7.4 Melhor DIB — revisão para retroação</w:t>
      </w:r>
    </w:p>
    <w:p w14:paraId="093CF928"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S</w:t>
      </w:r>
    </w:p>
    <w:p w14:paraId="032F2A3C" w14:textId="77777777" w:rsidR="005A5FCC" w:rsidRDefault="00A21C81">
      <w:r>
        <w:rPr>
          <w:rFonts w:cs="EB Garamond"/>
          <w:kern w:val="16"/>
          <w14:ligatures w14:val="standardContextual"/>
        </w:rPr>
        <w:t>ituação diversa da reafirmação é a revisão da DIB para retroação: o segurado já obteve o benefício, mas sustenta que preenchia os requisitos em data anterior à DIB fixada pelo INSS. O prazo decadencial de dez anos se aplica, contado da concessão efetiva.</w:t>
      </w:r>
    </w:p>
    <w:tbl>
      <w:tblPr>
        <w:tblW w:w="5000" w:type="pct"/>
        <w:jc w:val="center"/>
        <w:tblLayout w:type="fixed"/>
        <w:tblLook w:val="04A0" w:firstRow="1" w:lastRow="0" w:firstColumn="1" w:lastColumn="0" w:noHBand="0" w:noVBand="1"/>
      </w:tblPr>
      <w:tblGrid>
        <w:gridCol w:w="6311"/>
      </w:tblGrid>
      <w:tr w:rsidR="005A5FCC" w14:paraId="4829EC55"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4373E3D6"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4FF870BF" w14:textId="77777777" w:rsidR="005A5FCC" w:rsidRDefault="00A21C81">
            <w:pPr>
              <w:spacing w:after="60" w:line="247" w:lineRule="auto"/>
            </w:pPr>
            <w:r>
              <w:rPr>
                <w:rFonts w:cs="EB Garamond"/>
                <w:b/>
                <w:kern w:val="16"/>
                <w:sz w:val="19"/>
                <w14:ligatures w14:val="standardContextual"/>
              </w:rPr>
              <w:t>Fluxo decisório do magistrado: reafirmação da DER e melhor DIB no JEF</w:t>
            </w:r>
          </w:p>
          <w:p w14:paraId="090A1E5D" w14:textId="77777777" w:rsidR="005A5FCC" w:rsidRDefault="00A21C81">
            <w:pPr>
              <w:spacing w:after="60" w:line="247" w:lineRule="auto"/>
            </w:pPr>
            <w:r>
              <w:rPr>
                <w:rFonts w:cs="EB Garamond"/>
                <w:b/>
                <w:kern w:val="16"/>
                <w:sz w:val="19"/>
                <w14:ligatures w14:val="standardContextual"/>
              </w:rPr>
              <w:t>Reafirmação da DER (deslocamento para frente):</w:t>
            </w:r>
            <w:r>
              <w:rPr>
                <w:rFonts w:cs="EB Garamond"/>
                <w:kern w:val="16"/>
                <w:sz w:val="19"/>
                <w14:ligatures w14:val="standardContextual"/>
              </w:rPr>
              <w:t xml:space="preserve"> 1. Verificar se os requisitos estavam preenchidos na DER original. Se sim, conceder com DIB na DER. 2. Se os requisitos não estavam preenchidos na DER, verificar no CNIS se foram implementados entre o ajuizamento e a sentença. 3. Havendo pedido expresso de reafirmação (ou possibilidade de aplicação do art. 493, CPC), intimar o autor e o INSS para contraditório. 4. Reafirmar a DER para a data em que o último requisito foi implementado. Fixar DIB nessa data. 5. Efeitos financeiros: a partir da DIB reafirmada. Sem retroação ao requerimento administrativo (posição majoritária).</w:t>
            </w:r>
          </w:p>
          <w:p w14:paraId="643B9A7E" w14:textId="77777777" w:rsidR="005A5FCC" w:rsidRDefault="00A21C81">
            <w:pPr>
              <w:spacing w:after="60" w:line="247" w:lineRule="auto"/>
            </w:pPr>
            <w:r>
              <w:rPr>
                <w:rFonts w:cs="EB Garamond"/>
                <w:b/>
                <w:kern w:val="16"/>
                <w:sz w:val="19"/>
                <w14:ligatures w14:val="standardContextual"/>
              </w:rPr>
              <w:t>Revisão da melhor DIB (deslocamento para trás):</w:t>
            </w:r>
            <w:r>
              <w:rPr>
                <w:rFonts w:cs="EB Garamond"/>
                <w:kern w:val="16"/>
                <w:sz w:val="19"/>
                <w14:ligatures w14:val="standardContextual"/>
              </w:rPr>
              <w:t xml:space="preserve"> 1. Verificar se o segurado demonstra que os requisitos estavam preenchidos em data anterior à DIB fixada pelo INSS. 2. Analisar a decadência: 10 anos contados da DIB efetiva. 3. Se cabível, fixar nova DIB na data mais remota em que os requisitos estavam preenchidos. 4. Condenar o INSS ao pagamento das diferenças, observada a prescrição quinquenal.</w:t>
            </w:r>
          </w:p>
          <w:p w14:paraId="5DA2C344" w14:textId="77777777" w:rsidR="005A5FCC" w:rsidRDefault="00A21C81">
            <w:pPr>
              <w:spacing w:after="60" w:line="247" w:lineRule="auto"/>
            </w:pPr>
            <w:r>
              <w:rPr>
                <w:rFonts w:cs="EB Garamond"/>
                <w:b/>
                <w:kern w:val="16"/>
                <w:sz w:val="19"/>
                <w14:ligatures w14:val="standardContextual"/>
              </w:rPr>
              <w:t>Pedido subsidiário (recomendável):</w:t>
            </w:r>
            <w:r>
              <w:rPr>
                <w:rFonts w:cs="EB Garamond"/>
                <w:kern w:val="16"/>
                <w:sz w:val="19"/>
                <w14:ligatures w14:val="standardContextual"/>
              </w:rPr>
              <w:t xml:space="preserve"> - Pedido principal: concessão com DIB na DER original. - Pedido subsidiário: concessão com DER reafirmada para a data de implementação dos requisitos.</w:t>
            </w:r>
          </w:p>
        </w:tc>
      </w:tr>
    </w:tbl>
    <w:p w14:paraId="0B5C508C" w14:textId="77777777" w:rsidR="005A5FCC" w:rsidRDefault="005A5FCC">
      <w:pPr>
        <w:spacing w:after="80" w:line="240" w:lineRule="auto"/>
      </w:pPr>
    </w:p>
    <w:p w14:paraId="6F8AD243"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17.8 Outras teses revisionais relevantes</w:t>
      </w:r>
    </w:p>
    <w:p w14:paraId="3BB15884" w14:textId="0FF730B7" w:rsidR="005A5FCC" w:rsidRDefault="00A21C81">
      <w:pPr>
        <w:spacing w:before="260" w:after="80" w:line="240" w:lineRule="auto"/>
        <w:jc w:val="left"/>
      </w:pPr>
      <w:r>
        <w:rPr>
          <w:rFonts w:cs="EB Garamond"/>
          <w:b/>
          <w:color w:val="3A3128"/>
          <w:kern w:val="16"/>
          <w:sz w:val="25"/>
          <w14:ligatures w14:val="standardContextual"/>
        </w:rPr>
        <w:t xml:space="preserve">17.8.1 Revisão de atividades concomitantes — </w:t>
      </w:r>
      <w:r w:rsidR="00427D54">
        <w:rPr>
          <w:rFonts w:cs="EB Garamond"/>
          <w:b/>
          <w:color w:val="3A3128"/>
          <w:kern w:val="16"/>
          <w:sz w:val="25"/>
          <w14:ligatures w14:val="standardContextual"/>
        </w:rPr>
        <w:t>T</w:t>
      </w:r>
      <w:r>
        <w:rPr>
          <w:rFonts w:cs="EB Garamond"/>
          <w:b/>
          <w:color w:val="3A3128"/>
          <w:kern w:val="16"/>
          <w:sz w:val="25"/>
          <w14:ligatures w14:val="standardContextual"/>
        </w:rPr>
        <w:t>ema 1070/STJ</w:t>
      </w:r>
    </w:p>
    <w:p w14:paraId="1D9D8351"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3EC37937" w14:textId="77777777" w:rsidR="005A5FCC" w:rsidRDefault="00A21C81">
      <w:r>
        <w:rPr>
          <w:rFonts w:cs="EB Garamond"/>
          <w:kern w:val="16"/>
          <w14:ligatures w14:val="standardContextual"/>
        </w:rPr>
        <w:t xml:space="preserve"> revisão das atividades concomitantes é, entre as teses examinadas neste capítulo, a que mantém maior vitalidade nos JEFs em junho de 2026. A tese vinculante do Tema 1070/STJ e a mecânica de cálculo são analisadas na seção 16.10. Aqui, o enfoque é exclusivamente revisional: decadência, procedimento de instrução e operacionalização nos JEFs.</w:t>
      </w:r>
    </w:p>
    <w:p w14:paraId="6C0E150F" w14:textId="77777777" w:rsidR="005A5FCC" w:rsidRDefault="00A21C81">
      <w:pPr>
        <w:ind w:firstLine="238"/>
      </w:pPr>
      <w:r>
        <w:rPr>
          <w:rFonts w:cs="EB Garamond"/>
          <w:kern w:val="16"/>
          <w14:ligatures w14:val="standardContextual"/>
        </w:rPr>
        <w:t xml:space="preserve">O fundamento é direto: até a fixação da tese pelo STJ (REsp 1.870.793/RS e REsp 1.870.815/RS, 1ª Seção, Rel. Min. Sérgio Kukina, julgado em 11/05/2022, </w:t>
      </w:r>
      <w:r>
        <w:rPr>
          <w:rFonts w:cs="EB Garamond"/>
          <w:kern w:val="16"/>
          <w14:ligatures w14:val="standardContextual"/>
        </w:rPr>
        <w:lastRenderedPageBreak/>
        <w:t>trânsito em 13/02/2023), o INSS aplicava o art. 32 da Lei 8.213/91 em sua literalidade, calculando o salário de benefício de forma proporcional. O STJ fixou que, para benefícios concedidos a partir de 29/11/1999 (vigência da Lei 9.876/1999), o salário de benefício deve ser calculado com base na soma de todos os salários de contribuição das atividades exercidas. O corte temporal é deliberado e tem consequência prática direta: para os benefícios anteriores a essa vigência, subsiste a sistemática proporcional do art. 32 da Lei 8.213/91 em sua redação original (regra de transição), de modo que a tese revisional do Tema 1070 não alcança, indistintamente, toda concomitância anterior a 29/11/1999 — sob pena de leitura equivocada de que qualquer benefício do regime pré-Lei 9.876/99 seria igualmente revisável pela soma integral.</w:t>
      </w:r>
    </w:p>
    <w:p w14:paraId="734AD7BB" w14:textId="77777777" w:rsidR="005A5FCC" w:rsidRDefault="00A21C81">
      <w:pPr>
        <w:ind w:firstLine="238"/>
      </w:pPr>
      <w:r>
        <w:rPr>
          <w:rFonts w:cs="EB Garamond"/>
          <w:kern w:val="16"/>
          <w14:ligatures w14:val="standardContextual"/>
        </w:rPr>
        <w:t>A decadência merece exame cuidadoso. A revisão submete-se ao prazo de dez anos do art. 103. Para benefícios concedidos em 1999 ou 2000, o prazo expirou entre 2009 e 2010. Convém afastar um equívoco frequente: o Tema 975/STJ assentou que a decadência incide ainda que o INSS dispusesse de todos os dados no CNIS para aplicar a regra correta e não o tenha feito — a falta de apreciação administrativa da questão não impede a fluência do prazo. Não há, portanto, exceção a explorar nesse ponto: o decurso do decênio, contado da DIB, inviabiliza a revisão das atividades concomitantes.</w:t>
      </w:r>
    </w:p>
    <w:p w14:paraId="194327BB" w14:textId="77777777" w:rsidR="005A5FCC" w:rsidRDefault="00A21C81">
      <w:pPr>
        <w:ind w:firstLine="238"/>
      </w:pPr>
      <w:r>
        <w:rPr>
          <w:rFonts w:cs="EB Garamond"/>
          <w:kern w:val="16"/>
          <w14:ligatures w14:val="standardContextual"/>
        </w:rPr>
        <w:t>O procedimento exige a demonstração de que o segurado exercia duas ou mais atividades na data do requerimento e de que o INSS aplicou a fórmula proporcional. O CNIS é a prova principal (registra vínculos simultâneos e salários). O CONBAS permite verificar se o INSS usou a fórmula proporcional. A memória de cálculo comparativa deve demonstrar a diferença entre RMI proporcional e RMI pela soma integral.</w:t>
      </w:r>
    </w:p>
    <w:p w14:paraId="40580215" w14:textId="77777777" w:rsidR="005A5FCC" w:rsidRDefault="00A21C81">
      <w:pPr>
        <w:ind w:firstLine="238"/>
      </w:pPr>
      <w:r>
        <w:rPr>
          <w:rFonts w:cs="EB Garamond"/>
          <w:kern w:val="16"/>
          <w14:ligatures w14:val="standardContextual"/>
        </w:rPr>
        <w:t>O impacto financeiro pode ser expressivo, especialmente para segurados que exerciam uma atividade com salário próximo ao teto e outra com salário modesto — cenário em que a fórmula proporcional do art. 32 reduzia substancialmente o salário de benefício.</w:t>
      </w:r>
    </w:p>
    <w:p w14:paraId="0B54AE9B" w14:textId="77777777" w:rsidR="005A5FCC" w:rsidRDefault="00A21C81">
      <w:pPr>
        <w:spacing w:before="260" w:after="80" w:line="240" w:lineRule="auto"/>
        <w:jc w:val="left"/>
      </w:pPr>
      <w:r>
        <w:rPr>
          <w:rFonts w:cs="EB Garamond"/>
          <w:b/>
          <w:color w:val="3A3128"/>
          <w:kern w:val="16"/>
          <w:sz w:val="25"/>
          <w14:ligatures w14:val="standardContextual"/>
        </w:rPr>
        <w:t>17.8.2 Revisão por inclusão de tempo especial não reconhecido</w:t>
      </w:r>
    </w:p>
    <w:p w14:paraId="4ABB3504"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S</w:t>
      </w:r>
    </w:p>
    <w:p w14:paraId="0AEDC9F3" w14:textId="77777777" w:rsidR="005A5FCC" w:rsidRDefault="00A21C81">
      <w:r>
        <w:rPr>
          <w:rFonts w:cs="EB Garamond"/>
          <w:kern w:val="16"/>
          <w14:ligatures w14:val="standardContextual"/>
        </w:rPr>
        <w:t>egurados que exerceram atividades insalubres, perigosas ou penosas podem ter direito a tempo especial não reconhecido na concessão (v. Cap. 8 para a matéria substantiva). O impacto pode ser quantitativo (aumento do tempo de contribuição, elevação do coeficiente) ou qualitativo (alteração da espécie do benefício, de aposentadoria por tempo de contribuição para aposentadoria especial).</w:t>
      </w:r>
    </w:p>
    <w:p w14:paraId="5F692D8B" w14:textId="77777777" w:rsidR="005A5FCC" w:rsidRDefault="00A21C81">
      <w:pPr>
        <w:ind w:firstLine="238"/>
      </w:pPr>
      <w:r>
        <w:rPr>
          <w:rFonts w:cs="EB Garamond"/>
          <w:kern w:val="16"/>
          <w14:ligatures w14:val="standardContextual"/>
        </w:rPr>
        <w:t>A decadência segue a regra geral de dez anos. Mesmo que o segurado tenha apresentado PPP, LTCAT ou formulários DSS-8030/SB-40 no requerimento administrativo e o INSS não os tenha apreciado, a decadência incide — o Tema 975/STJ esclarece que a ausência de apreciação administrativa da questão não impede a fluência do prazo decenal, contado da concessão.</w:t>
      </w:r>
    </w:p>
    <w:p w14:paraId="61050529" w14:textId="77777777" w:rsidR="005A5FCC" w:rsidRDefault="00A21C81">
      <w:pPr>
        <w:ind w:firstLine="238"/>
      </w:pPr>
      <w:r>
        <w:rPr>
          <w:rFonts w:cs="EB Garamond"/>
          <w:kern w:val="16"/>
          <w14:ligatures w14:val="standardContextual"/>
        </w:rPr>
        <w:t>A instrução probatória é o ponto mais complexo. Para períodos anteriores a 28/04/1995 (vigência da Lei 9.032/1995), o enquadramento pode ser por categoria profissional. Para períodos posteriores, exige-se comprovação da exposição efetiva.</w:t>
      </w:r>
    </w:p>
    <w:p w14:paraId="18A3E3AB" w14:textId="77777777" w:rsidR="005A5FCC" w:rsidRDefault="00A21C81">
      <w:pPr>
        <w:spacing w:before="260" w:after="80" w:line="240" w:lineRule="auto"/>
        <w:jc w:val="left"/>
      </w:pPr>
      <w:r>
        <w:rPr>
          <w:rFonts w:cs="EB Garamond"/>
          <w:b/>
          <w:color w:val="3A3128"/>
          <w:kern w:val="16"/>
          <w:sz w:val="25"/>
          <w14:ligatures w14:val="standardContextual"/>
        </w:rPr>
        <w:t>17.8.3 Revisão por inclusão de tempo rural</w:t>
      </w:r>
    </w:p>
    <w:p w14:paraId="6261CE91"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5D3E7A66" w14:textId="77777777" w:rsidR="005A5FCC" w:rsidRDefault="00A21C81">
      <w:r>
        <w:rPr>
          <w:rFonts w:cs="EB Garamond"/>
          <w:kern w:val="16"/>
          <w14:ligatures w14:val="standardContextual"/>
        </w:rPr>
        <w:t xml:space="preserve"> inclusão de tempo rural não computado na concessão segue regime probatório próprio (v. Cap. 9). O cenário típico: segurado urbano que, antes de migrar para a cidade, exerceu atividade rural não computada. A prova exige início de prova material corroborado por testemunhal (Súmula 149/STJ).</w:t>
      </w:r>
    </w:p>
    <w:p w14:paraId="40EA8035" w14:textId="77777777" w:rsidR="005A5FCC" w:rsidRDefault="00A21C81">
      <w:pPr>
        <w:ind w:firstLine="238"/>
      </w:pPr>
      <w:r>
        <w:rPr>
          <w:rFonts w:cs="EB Garamond"/>
          <w:kern w:val="16"/>
          <w14:ligatures w14:val="standardContextual"/>
        </w:rPr>
        <w:t>A decadência decenal também aqui incide na forma do Tema 975/STJ: ainda que o INSS dispusesse de dados no sistema (inscrição como segurado especial) e não tenha apreciado a questão, o prazo corre da concessão. Soma-se a isso a precariedade do registro de atividade rural no CNIS para períodos anteriores a 1991, que torna o tema, na prática, ainda menos relevante do que na revisão de atividades concomitantes.</w:t>
      </w:r>
    </w:p>
    <w:p w14:paraId="7F455355" w14:textId="0C39D08A" w:rsidR="005A5FCC" w:rsidRDefault="00A21C81">
      <w:pPr>
        <w:spacing w:before="260" w:after="80" w:line="240" w:lineRule="auto"/>
        <w:jc w:val="left"/>
      </w:pPr>
      <w:r>
        <w:rPr>
          <w:rFonts w:cs="EB Garamond"/>
          <w:b/>
          <w:color w:val="3A3128"/>
          <w:kern w:val="16"/>
          <w:sz w:val="25"/>
          <w14:ligatures w14:val="standardContextual"/>
        </w:rPr>
        <w:t>17.8.4 Desaposentação — tese encerrada (</w:t>
      </w:r>
      <w:r w:rsidR="00155360">
        <w:rPr>
          <w:rFonts w:cs="EB Garamond"/>
          <w:b/>
          <w:color w:val="3A3128"/>
          <w:kern w:val="16"/>
          <w:sz w:val="25"/>
          <w14:ligatures w14:val="standardContextual"/>
        </w:rPr>
        <w:t>T</w:t>
      </w:r>
      <w:r>
        <w:rPr>
          <w:rFonts w:cs="EB Garamond"/>
          <w:b/>
          <w:color w:val="3A3128"/>
          <w:kern w:val="16"/>
          <w:sz w:val="25"/>
          <w14:ligatures w14:val="standardContextual"/>
        </w:rPr>
        <w:t>ema 503/STF)</w:t>
      </w:r>
    </w:p>
    <w:p w14:paraId="219ADB2B"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4CD6BAB1" w14:textId="77777777" w:rsidR="005A5FCC" w:rsidRDefault="00A21C81">
      <w:r>
        <w:rPr>
          <w:rFonts w:cs="EB Garamond"/>
          <w:kern w:val="16"/>
          <w14:ligatures w14:val="standardContextual"/>
        </w:rPr>
        <w:t xml:space="preserve"> desaposentação foi encerrada pelo STF no RE 661.256 (Tema 503, Rel. Orig. Min. Roberto Barroso, Red. P/ acórdão Min. Dias Toffoli, Plenário, </w:t>
      </w:r>
      <w:r>
        <w:rPr>
          <w:rFonts w:cs="EB Garamond"/>
          <w:kern w:val="16"/>
          <w14:ligatures w14:val="standardContextual"/>
        </w:rPr>
        <w:lastRenderedPageBreak/>
        <w:t>26/10/2016). A tese: "No âmbito do RGPS, somente lei pode criar benefícios e vantagens previdenciárias, não havendo, por ora, previsão legal do direito à 'desaposentação', sendo constitucional a regra do art. 18, §2º, da Lei 8.213/91."</w:t>
      </w:r>
    </w:p>
    <w:p w14:paraId="64C4E95F" w14:textId="77777777" w:rsidR="005A5FCC" w:rsidRDefault="00A21C81">
      <w:pPr>
        <w:ind w:firstLine="238"/>
      </w:pPr>
      <w:r>
        <w:rPr>
          <w:rFonts w:cs="EB Garamond"/>
          <w:kern w:val="16"/>
          <w14:ligatures w14:val="standardContextual"/>
        </w:rPr>
        <w:t>Registramos a desaposentação pela relevância histórica. Entre 2008 e 2016, foi uma das teses mais litigadas nos JEFs. O STJ chegou a admiti-la em repetitivo (REsp 1.334.488/SC, Tema 563, Rel. Min. Herman Benjamin, 1ª Seção, j. 08/05/2013). A reversão pelo STF encerrou a controvérsia. O magistrado deve indeferir liminarmente eventuais petições iniciais que postulem desaposentação (art. 332, III, CPC).</w:t>
      </w:r>
    </w:p>
    <w:p w14:paraId="7139CFE1"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17.9 Procedimento da ação revisional no JEF</w:t>
      </w:r>
    </w:p>
    <w:p w14:paraId="51E8D9EE" w14:textId="77777777" w:rsidR="005A5FCC" w:rsidRDefault="00A21C81">
      <w:pPr>
        <w:spacing w:before="260" w:after="80" w:line="240" w:lineRule="auto"/>
        <w:jc w:val="left"/>
      </w:pPr>
      <w:r>
        <w:rPr>
          <w:rFonts w:cs="EB Garamond"/>
          <w:b/>
          <w:color w:val="3A3128"/>
          <w:kern w:val="16"/>
          <w:sz w:val="25"/>
          <w14:ligatures w14:val="standardContextual"/>
        </w:rPr>
        <w:t>17.9.1 Competência</w:t>
      </w:r>
    </w:p>
    <w:p w14:paraId="6CFD6E94"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51880BEA" w14:textId="5A5A795D" w:rsidR="005A5FCC" w:rsidRDefault="00A21C81">
      <w:r>
        <w:rPr>
          <w:rFonts w:cs="EB Garamond"/>
          <w:kern w:val="16"/>
          <w14:ligatures w14:val="standardContextual"/>
        </w:rPr>
        <w:t xml:space="preserve"> competência dos JEFs é fixada pelo art. 3º, caput, da Lei 10.259/2001: causas de competência da Justiça Federal até sessenta </w:t>
      </w:r>
      <w:r w:rsidR="00605DEF">
        <w:rPr>
          <w:rFonts w:cs="EB Garamond"/>
          <w:kern w:val="16"/>
          <w14:ligatures w14:val="standardContextual"/>
        </w:rPr>
        <w:t>salários-mínimos</w:t>
      </w:r>
      <w:r>
        <w:rPr>
          <w:rFonts w:cs="EB Garamond"/>
          <w:kern w:val="16"/>
          <w14:ligatures w14:val="standardContextual"/>
        </w:rPr>
        <w:t>. Em junho de 2026, esse limite corresponde a R$ 97.260,00 (60 × R$ 1.621,00; v. A nota sobre valores monetários de 2026, na seção 17.1).</w:t>
      </w:r>
    </w:p>
    <w:p w14:paraId="6B3DFC6D" w14:textId="77777777" w:rsidR="005A5FCC" w:rsidRDefault="00A21C81">
      <w:pPr>
        <w:ind w:firstLine="238"/>
      </w:pPr>
      <w:r>
        <w:rPr>
          <w:rFonts w:cs="EB Garamond"/>
          <w:kern w:val="16"/>
          <w14:ligatures w14:val="standardContextual"/>
        </w:rPr>
        <w:t>O valor da causa na ação revisional é composto pela soma das diferenças vencidas (prescrição quinquenal) e das doze parcelas vincendas (art. 292, §§1º e 2º, CPC). Quando o valor ultrapassa o limite, o autor pode renunciar ao excedente (art. 3º, §3º, Lei 10.259/2001). A renúncia é irrevogável: o segurado abre mão do valor que excede sessenta SM e não poderá cobrá-lo posteriormente. Onde instalada Vara do Juizado Especial, a competência é absoluta (art. 3º, caput, da Lei 10.259/2001; STJ, CC 127.506/SC).</w:t>
      </w:r>
    </w:p>
    <w:p w14:paraId="4409DB6E" w14:textId="77777777" w:rsidR="005A5FCC" w:rsidRDefault="00A21C81">
      <w:pPr>
        <w:spacing w:before="260" w:after="80" w:line="240" w:lineRule="auto"/>
        <w:jc w:val="left"/>
      </w:pPr>
      <w:r>
        <w:rPr>
          <w:rFonts w:cs="EB Garamond"/>
          <w:b/>
          <w:color w:val="3A3128"/>
          <w:kern w:val="16"/>
          <w:sz w:val="25"/>
          <w14:ligatures w14:val="standardContextual"/>
        </w:rPr>
        <w:t>17.9.2 Petição inicial</w:t>
      </w:r>
    </w:p>
    <w:p w14:paraId="4933F249"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68E2C6DD" w14:textId="77777777" w:rsidR="005A5FCC" w:rsidRDefault="00A21C81">
      <w:r>
        <w:rPr>
          <w:rFonts w:cs="EB Garamond"/>
          <w:kern w:val="16"/>
          <w14:ligatures w14:val="standardContextual"/>
        </w:rPr>
        <w:t xml:space="preserve"> petição inicial pode ser apresentada de forma simplificada (art. 14, Lei 9.099/95). A complexidade técnica das ações revisionais, porém, exige petição escrita com fundamentação adequada.</w:t>
      </w:r>
    </w:p>
    <w:tbl>
      <w:tblPr>
        <w:tblW w:w="5000" w:type="pct"/>
        <w:jc w:val="center"/>
        <w:tblLayout w:type="fixed"/>
        <w:tblLook w:val="04A0" w:firstRow="1" w:lastRow="0" w:firstColumn="1" w:lastColumn="0" w:noHBand="0" w:noVBand="1"/>
      </w:tblPr>
      <w:tblGrid>
        <w:gridCol w:w="6311"/>
      </w:tblGrid>
      <w:tr w:rsidR="005A5FCC" w14:paraId="2C40C346"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5EF3FF26"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5190401A" w14:textId="77777777" w:rsidR="005A5FCC" w:rsidRDefault="00A21C81">
            <w:pPr>
              <w:spacing w:after="60" w:line="247" w:lineRule="auto"/>
            </w:pPr>
            <w:r>
              <w:rPr>
                <w:rFonts w:cs="EB Garamond"/>
                <w:b/>
                <w:kern w:val="16"/>
                <w:sz w:val="19"/>
                <w14:ligatures w14:val="standardContextual"/>
              </w:rPr>
              <w:t>Checklist da petição inicial — Ação revisional no JEF</w:t>
            </w:r>
          </w:p>
          <w:p w14:paraId="25F8037B" w14:textId="77777777" w:rsidR="005A5FCC" w:rsidRDefault="00A21C81">
            <w:pPr>
              <w:spacing w:after="30" w:line="240" w:lineRule="auto"/>
              <w:ind w:left="227" w:hanging="142"/>
            </w:pPr>
            <w:r>
              <w:rPr>
                <w:rFonts w:cs="EB Garamond"/>
                <w:kern w:val="16"/>
                <w:sz w:val="19"/>
                <w14:ligatures w14:val="standardContextual"/>
              </w:rPr>
              <w:t>1. Qualificação completa do autor (nome, CPF, NIT/PIS, endereço, telefone, e-mail).</w:t>
            </w:r>
          </w:p>
          <w:p w14:paraId="36AA5DF3" w14:textId="77777777" w:rsidR="005A5FCC" w:rsidRDefault="00A21C81">
            <w:pPr>
              <w:spacing w:after="30" w:line="240" w:lineRule="auto"/>
              <w:ind w:left="227" w:hanging="142"/>
            </w:pPr>
            <w:r>
              <w:rPr>
                <w:rFonts w:cs="EB Garamond"/>
                <w:kern w:val="16"/>
                <w:sz w:val="19"/>
                <w14:ligatures w14:val="standardContextual"/>
              </w:rPr>
              <w:t>2. Número do benefício (NB), espécie e data de início do benefício (DIB).</w:t>
            </w:r>
          </w:p>
          <w:p w14:paraId="40E30C11" w14:textId="77777777" w:rsidR="005A5FCC" w:rsidRDefault="00A21C81">
            <w:pPr>
              <w:spacing w:after="30" w:line="240" w:lineRule="auto"/>
              <w:ind w:left="227" w:hanging="142"/>
            </w:pPr>
            <w:r>
              <w:rPr>
                <w:rFonts w:cs="EB Garamond"/>
                <w:kern w:val="16"/>
                <w:sz w:val="19"/>
                <w14:ligatures w14:val="standardContextual"/>
              </w:rPr>
              <w:t>3. Identificação da tese revisional (nome, tema repetitivo, dispositivo legal).</w:t>
            </w:r>
          </w:p>
          <w:p w14:paraId="6152CB61" w14:textId="77777777" w:rsidR="005A5FCC" w:rsidRDefault="00A21C81">
            <w:pPr>
              <w:spacing w:after="30" w:line="240" w:lineRule="auto"/>
              <w:ind w:left="227" w:hanging="142"/>
            </w:pPr>
            <w:r>
              <w:rPr>
                <w:rFonts w:cs="EB Garamond"/>
                <w:kern w:val="16"/>
                <w:sz w:val="19"/>
                <w14:ligatures w14:val="standardContextual"/>
              </w:rPr>
              <w:t>4. Narrativa do erro de cálculo, o que o INSS fez e o que deveria ter feito.</w:t>
            </w:r>
          </w:p>
          <w:p w14:paraId="405134F6" w14:textId="77777777" w:rsidR="005A5FCC" w:rsidRDefault="00A21C81">
            <w:pPr>
              <w:spacing w:after="30" w:line="240" w:lineRule="auto"/>
              <w:ind w:left="227" w:hanging="142"/>
            </w:pPr>
            <w:r>
              <w:rPr>
                <w:rFonts w:cs="EB Garamond"/>
                <w:kern w:val="16"/>
                <w:sz w:val="19"/>
                <w14:ligatures w14:val="standardContextual"/>
              </w:rPr>
              <w:t>5. Memória de cálculo comparativa (RMI paga × RMI pretendida).</w:t>
            </w:r>
          </w:p>
          <w:p w14:paraId="06698A5A" w14:textId="77777777" w:rsidR="005A5FCC" w:rsidRDefault="00A21C81">
            <w:pPr>
              <w:spacing w:after="30" w:line="240" w:lineRule="auto"/>
              <w:ind w:left="227" w:hanging="142"/>
            </w:pPr>
            <w:r>
              <w:rPr>
                <w:rFonts w:cs="EB Garamond"/>
                <w:kern w:val="16"/>
                <w:sz w:val="19"/>
                <w14:ligatures w14:val="standardContextual"/>
              </w:rPr>
              <w:t>6. Valor da causa (diferenças vencidas + 12 vincendas). Se exceder 60 SM: renúncia ao excedente.</w:t>
            </w:r>
          </w:p>
          <w:p w14:paraId="19ED4F07" w14:textId="77777777" w:rsidR="005A5FCC" w:rsidRDefault="00A21C81">
            <w:pPr>
              <w:spacing w:after="30" w:line="240" w:lineRule="auto"/>
              <w:ind w:left="227" w:hanging="142"/>
            </w:pPr>
            <w:r>
              <w:rPr>
                <w:rFonts w:cs="EB Garamond"/>
                <w:kern w:val="16"/>
                <w:sz w:val="19"/>
                <w14:ligatures w14:val="standardContextual"/>
              </w:rPr>
              <w:t>7. Análise da decadência, demonstrar que a ação está dentro do prazo ou indicar a exceção aplicável.</w:t>
            </w:r>
          </w:p>
          <w:p w14:paraId="3FFD7917" w14:textId="77777777" w:rsidR="005A5FCC" w:rsidRDefault="00A21C81">
            <w:pPr>
              <w:spacing w:after="30" w:line="240" w:lineRule="auto"/>
              <w:ind w:left="227" w:hanging="142"/>
            </w:pPr>
            <w:r>
              <w:rPr>
                <w:rFonts w:cs="EB Garamond"/>
                <w:kern w:val="16"/>
                <w:sz w:val="19"/>
                <w14:ligatures w14:val="standardContextual"/>
              </w:rPr>
              <w:t>8. Documentos obrigatórios: carta de concessão; CNIS atualizado; CONBAS (se disponível); processo administrativo (se disponível).</w:t>
            </w:r>
          </w:p>
          <w:p w14:paraId="7A1B2E02" w14:textId="77777777" w:rsidR="005A5FCC" w:rsidRDefault="00A21C81">
            <w:pPr>
              <w:spacing w:after="30" w:line="240" w:lineRule="auto"/>
              <w:ind w:left="227" w:hanging="142"/>
            </w:pPr>
            <w:r>
              <w:rPr>
                <w:rFonts w:cs="EB Garamond"/>
                <w:kern w:val="16"/>
                <w:sz w:val="19"/>
                <w14:ligatures w14:val="standardContextual"/>
              </w:rPr>
              <w:t>9. Pedido de tutela antecipada (se cabível): caráter alimentar, verossimilhança, tese repetitiva.</w:t>
            </w:r>
          </w:p>
          <w:p w14:paraId="7FC10DF1" w14:textId="77777777" w:rsidR="005A5FCC" w:rsidRDefault="00A21C81">
            <w:pPr>
              <w:spacing w:after="30" w:line="240" w:lineRule="auto"/>
              <w:ind w:left="227" w:hanging="142"/>
            </w:pPr>
            <w:r>
              <w:rPr>
                <w:rFonts w:cs="EB Garamond"/>
                <w:kern w:val="16"/>
                <w:sz w:val="19"/>
                <w14:ligatures w14:val="standardContextual"/>
              </w:rPr>
              <w:t>10. Pedido de produção de provas: requisição ao INSS de CONBAS, HISCREWEB e INFBEN (art. 11, Lei 10.259/2001).</w:t>
            </w:r>
          </w:p>
        </w:tc>
      </w:tr>
    </w:tbl>
    <w:p w14:paraId="4B901D7C" w14:textId="77777777" w:rsidR="005A5FCC" w:rsidRDefault="005A5FCC">
      <w:pPr>
        <w:spacing w:after="80" w:line="240" w:lineRule="auto"/>
      </w:pPr>
    </w:p>
    <w:p w14:paraId="72C7FBB4" w14:textId="77777777" w:rsidR="005A5FCC" w:rsidRDefault="00A21C81">
      <w:pPr>
        <w:spacing w:before="260" w:after="80" w:line="240" w:lineRule="auto"/>
        <w:jc w:val="left"/>
      </w:pPr>
      <w:r>
        <w:rPr>
          <w:rFonts w:cs="EB Garamond"/>
          <w:b/>
          <w:color w:val="3A3128"/>
          <w:kern w:val="16"/>
          <w:sz w:val="25"/>
          <w14:ligatures w14:val="standardContextual"/>
        </w:rPr>
        <w:t>17.9.3 Prova</w:t>
      </w:r>
    </w:p>
    <w:p w14:paraId="7D102A8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703CDD9A" w14:textId="77777777" w:rsidR="005A5FCC" w:rsidRDefault="00A21C81">
      <w:r>
        <w:rPr>
          <w:rFonts w:cs="EB Garamond"/>
          <w:kern w:val="16"/>
          <w14:ligatures w14:val="standardContextual"/>
        </w:rPr>
        <w:t xml:space="preserve"> instrução probatória na ação revisional é predominantemente documental. Os documentos estruturantes:</w:t>
      </w:r>
    </w:p>
    <w:p w14:paraId="6A0E4551" w14:textId="77777777" w:rsidR="005A5FCC" w:rsidRDefault="00A21C81">
      <w:pPr>
        <w:ind w:firstLine="238"/>
      </w:pPr>
      <w:r>
        <w:rPr>
          <w:rFonts w:cs="EB Garamond"/>
          <w:kern w:val="16"/>
          <w14:ligatures w14:val="standardContextual"/>
        </w:rPr>
        <w:t xml:space="preserve">O </w:t>
      </w:r>
      <w:r>
        <w:rPr>
          <w:rFonts w:cs="EB Garamond"/>
          <w:b/>
          <w:kern w:val="16"/>
          <w14:ligatures w14:val="standardContextual"/>
        </w:rPr>
        <w:t>CNIS</w:t>
      </w:r>
      <w:r>
        <w:rPr>
          <w:rFonts w:cs="EB Garamond"/>
          <w:kern w:val="16"/>
          <w14:ligatures w14:val="standardContextual"/>
        </w:rPr>
        <w:t xml:space="preserve"> registra vínculos, salários de contribuição e competências. Para a revisão, permite identificar períodos contributivos, salários que deveriam compor o cálculo e eventuais vínculos concomitantes. O </w:t>
      </w:r>
      <w:r>
        <w:rPr>
          <w:rFonts w:cs="EB Garamond"/>
          <w:b/>
          <w:kern w:val="16"/>
          <w14:ligatures w14:val="standardContextual"/>
        </w:rPr>
        <w:t>CONBAS</w:t>
      </w:r>
      <w:r>
        <w:rPr>
          <w:rFonts w:cs="EB Garamond"/>
          <w:kern w:val="16"/>
          <w14:ligatures w14:val="standardContextual"/>
        </w:rPr>
        <w:t xml:space="preserve"> revela a mecânica interna do cálculo: salários selecionados, PBC, divisor, SB apurado, incidência do teto. O </w:t>
      </w:r>
      <w:r>
        <w:rPr>
          <w:rFonts w:cs="EB Garamond"/>
          <w:b/>
          <w:kern w:val="16"/>
          <w14:ligatures w14:val="standardContextual"/>
        </w:rPr>
        <w:t>HISCREWEB</w:t>
      </w:r>
      <w:r>
        <w:rPr>
          <w:rFonts w:cs="EB Garamond"/>
          <w:kern w:val="16"/>
          <w14:ligatures w14:val="standardContextual"/>
        </w:rPr>
        <w:t xml:space="preserve"> registra valores efetivamente pagos em cada competência. O </w:t>
      </w:r>
      <w:r>
        <w:rPr>
          <w:rFonts w:cs="EB Garamond"/>
          <w:b/>
          <w:kern w:val="16"/>
          <w14:ligatures w14:val="standardContextual"/>
        </w:rPr>
        <w:t>INFBEN</w:t>
      </w:r>
      <w:r>
        <w:rPr>
          <w:rFonts w:cs="EB Garamond"/>
          <w:kern w:val="16"/>
          <w14:ligatures w14:val="standardContextual"/>
        </w:rPr>
        <w:t xml:space="preserve"> apresenta dados cadastrais e financeiros atualizados.</w:t>
      </w:r>
    </w:p>
    <w:p w14:paraId="408635AD" w14:textId="77777777" w:rsidR="005A5FCC" w:rsidRDefault="00A21C81">
      <w:pPr>
        <w:ind w:firstLine="238"/>
      </w:pPr>
      <w:r>
        <w:rPr>
          <w:rFonts w:cs="EB Garamond"/>
          <w:kern w:val="16"/>
          <w14:ligatures w14:val="standardContextual"/>
        </w:rPr>
        <w:t>O art. 11 da Lei 10.259/2001 autoriza a requisição desses documentos. O prazo ao INSS é, em regra, de trinta dias.</w:t>
      </w:r>
    </w:p>
    <w:tbl>
      <w:tblPr>
        <w:tblW w:w="5000" w:type="pct"/>
        <w:jc w:val="center"/>
        <w:tblLayout w:type="fixed"/>
        <w:tblLook w:val="04A0" w:firstRow="1" w:lastRow="0" w:firstColumn="1" w:lastColumn="0" w:noHBand="0" w:noVBand="1"/>
      </w:tblPr>
      <w:tblGrid>
        <w:gridCol w:w="6311"/>
      </w:tblGrid>
      <w:tr w:rsidR="005A5FCC" w14:paraId="274D89C2"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77C61459"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050786C2" w14:textId="77777777" w:rsidR="005A5FCC" w:rsidRDefault="00A21C81">
            <w:pPr>
              <w:spacing w:after="60" w:line="247" w:lineRule="auto"/>
            </w:pPr>
            <w:r>
              <w:rPr>
                <w:rFonts w:cs="EB Garamond"/>
                <w:b/>
                <w:kern w:val="16"/>
                <w:sz w:val="19"/>
                <w14:ligatures w14:val="standardContextual"/>
              </w:rPr>
              <w:t>Documentos para instrução revisional — Onde encontrar</w:t>
            </w:r>
          </w:p>
          <w:p w14:paraId="0CC96DA9" w14:textId="77777777" w:rsidR="005A5FCC" w:rsidRDefault="00A21C81">
            <w:pPr>
              <w:spacing w:after="30" w:line="240" w:lineRule="auto"/>
              <w:ind w:left="227" w:hanging="142"/>
            </w:pPr>
            <w:r>
              <w:rPr>
                <w:rFonts w:cs="EB Garamond"/>
                <w:kern w:val="16"/>
                <w:sz w:val="19"/>
                <w14:ligatures w14:val="standardContextual"/>
              </w:rPr>
              <w:t xml:space="preserve">• </w:t>
            </w:r>
            <w:r>
              <w:rPr>
                <w:rFonts w:cs="EB Garamond"/>
                <w:b/>
                <w:kern w:val="16"/>
                <w:sz w:val="19"/>
                <w14:ligatures w14:val="standardContextual"/>
              </w:rPr>
              <w:t>CONBAS:</w:t>
            </w:r>
            <w:r>
              <w:rPr>
                <w:rFonts w:cs="EB Garamond"/>
                <w:kern w:val="16"/>
                <w:sz w:val="19"/>
                <w14:ligatures w14:val="standardContextual"/>
              </w:rPr>
              <w:t xml:space="preserve"> Determinação judicial ao INSS (art. 11, Lei 10.259/2001). Sistema PRISMA/SABI. Não disponível no Meu INSS.</w:t>
            </w:r>
          </w:p>
          <w:p w14:paraId="2680B42D" w14:textId="77777777" w:rsidR="005A5FCC" w:rsidRDefault="00A21C81">
            <w:pPr>
              <w:spacing w:after="30" w:line="240" w:lineRule="auto"/>
              <w:ind w:left="227" w:hanging="142"/>
            </w:pPr>
            <w:r>
              <w:rPr>
                <w:rFonts w:cs="EB Garamond"/>
                <w:kern w:val="16"/>
                <w:sz w:val="19"/>
                <w14:ligatures w14:val="standardContextual"/>
              </w:rPr>
              <w:t xml:space="preserve">• </w:t>
            </w:r>
            <w:r>
              <w:rPr>
                <w:rFonts w:cs="EB Garamond"/>
                <w:b/>
                <w:kern w:val="16"/>
                <w:sz w:val="19"/>
                <w14:ligatures w14:val="standardContextual"/>
              </w:rPr>
              <w:t>HISCREWEB:</w:t>
            </w:r>
            <w:r>
              <w:rPr>
                <w:rFonts w:cs="EB Garamond"/>
                <w:kern w:val="16"/>
                <w:sz w:val="19"/>
                <w14:ligatures w14:val="standardContextual"/>
              </w:rPr>
              <w:t xml:space="preserve"> Mesmo procedimento. Registra pagamentos mensais desde a concessão.</w:t>
            </w:r>
          </w:p>
          <w:p w14:paraId="328CFCA3" w14:textId="77777777" w:rsidR="005A5FCC" w:rsidRDefault="00A21C81">
            <w:pPr>
              <w:spacing w:after="30" w:line="240" w:lineRule="auto"/>
              <w:ind w:left="227" w:hanging="142"/>
            </w:pPr>
            <w:r>
              <w:rPr>
                <w:rFonts w:cs="EB Garamond"/>
                <w:kern w:val="16"/>
                <w:sz w:val="19"/>
                <w14:ligatures w14:val="standardContextual"/>
              </w:rPr>
              <w:t xml:space="preserve">• </w:t>
            </w:r>
            <w:r>
              <w:rPr>
                <w:rFonts w:cs="EB Garamond"/>
                <w:b/>
                <w:kern w:val="16"/>
                <w:sz w:val="19"/>
                <w14:ligatures w14:val="standardContextual"/>
              </w:rPr>
              <w:t>INFBEN:</w:t>
            </w:r>
            <w:r>
              <w:rPr>
                <w:rFonts w:cs="EB Garamond"/>
                <w:kern w:val="16"/>
                <w:sz w:val="19"/>
                <w14:ligatures w14:val="standardContextual"/>
              </w:rPr>
              <w:t xml:space="preserve"> Disponível pelo Meu INSS ("Extrato de Pagamento" ou "Carta de Concessão").</w:t>
            </w:r>
          </w:p>
          <w:p w14:paraId="65C4CE55" w14:textId="77777777" w:rsidR="005A5FCC" w:rsidRDefault="00A21C81">
            <w:pPr>
              <w:spacing w:after="30" w:line="240" w:lineRule="auto"/>
              <w:ind w:left="227" w:hanging="142"/>
            </w:pPr>
            <w:r>
              <w:rPr>
                <w:rFonts w:cs="EB Garamond"/>
                <w:kern w:val="16"/>
                <w:sz w:val="19"/>
                <w14:ligatures w14:val="standardContextual"/>
              </w:rPr>
              <w:t xml:space="preserve">• </w:t>
            </w:r>
            <w:r>
              <w:rPr>
                <w:rFonts w:cs="EB Garamond"/>
                <w:b/>
                <w:kern w:val="16"/>
                <w:sz w:val="19"/>
                <w14:ligatures w14:val="standardContextual"/>
              </w:rPr>
              <w:t>CNIS:</w:t>
            </w:r>
            <w:r>
              <w:rPr>
                <w:rFonts w:cs="EB Garamond"/>
                <w:kern w:val="16"/>
                <w:sz w:val="19"/>
                <w14:ligatures w14:val="standardContextual"/>
              </w:rPr>
              <w:t xml:space="preserve"> Disponível pelo Meu INSS ("Extrato Previdenciário/CNIS") ou em agência.</w:t>
            </w:r>
          </w:p>
          <w:p w14:paraId="4A2C79E8" w14:textId="77777777" w:rsidR="005A5FCC" w:rsidRDefault="00A21C81">
            <w:pPr>
              <w:spacing w:after="30" w:line="240" w:lineRule="auto"/>
              <w:ind w:left="227" w:hanging="142"/>
            </w:pPr>
            <w:r>
              <w:rPr>
                <w:rFonts w:cs="EB Garamond"/>
                <w:kern w:val="16"/>
                <w:sz w:val="19"/>
                <w14:ligatures w14:val="standardContextual"/>
              </w:rPr>
              <w:t xml:space="preserve">• </w:t>
            </w:r>
            <w:r>
              <w:rPr>
                <w:rFonts w:cs="EB Garamond"/>
                <w:b/>
                <w:kern w:val="16"/>
                <w:sz w:val="19"/>
                <w14:ligatures w14:val="standardContextual"/>
              </w:rPr>
              <w:t>Processo administrativo (PA):</w:t>
            </w:r>
            <w:r>
              <w:rPr>
                <w:rFonts w:cs="EB Garamond"/>
                <w:kern w:val="16"/>
                <w:sz w:val="19"/>
                <w14:ligatures w14:val="standardContextual"/>
              </w:rPr>
              <w:t xml:space="preserve"> Meu INSS ("Meus Processos") ou determinação judicial. Prazos longos para benefícios antigos.</w:t>
            </w:r>
          </w:p>
        </w:tc>
      </w:tr>
    </w:tbl>
    <w:p w14:paraId="64AA8E19" w14:textId="77777777" w:rsidR="005A5FCC" w:rsidRDefault="005A5FCC">
      <w:pPr>
        <w:spacing w:after="80" w:line="240" w:lineRule="auto"/>
      </w:pPr>
    </w:p>
    <w:p w14:paraId="7E1A3EE1"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4FEB29DC" w14:textId="77777777" w:rsidR="005A5FCC" w:rsidRDefault="00A21C81">
      <w:r>
        <w:rPr>
          <w:rFonts w:cs="EB Garamond"/>
          <w:kern w:val="16"/>
          <w14:ligatures w14:val="standardContextual"/>
        </w:rPr>
        <w:t xml:space="preserve"> perícia contábil é excepcional nos JEFs, mas pode ser necessária quando a contadoria judicial não dispõe de recursos para a conferência. Nos JEFs de maior porte, a contadoria realiza a conferência. Nos de menor porte, o juiz pode designar perito ad hoc (art. 12, Lei 10.259/2001).</w:t>
      </w:r>
    </w:p>
    <w:p w14:paraId="0BB1BAF6" w14:textId="77777777" w:rsidR="005A5FCC" w:rsidRDefault="00A21C81">
      <w:pPr>
        <w:spacing w:before="260" w:after="80" w:line="240" w:lineRule="auto"/>
        <w:jc w:val="left"/>
      </w:pPr>
      <w:r>
        <w:rPr>
          <w:rFonts w:cs="EB Garamond"/>
          <w:b/>
          <w:color w:val="3A3128"/>
          <w:kern w:val="16"/>
          <w:sz w:val="25"/>
          <w14:ligatures w14:val="standardContextual"/>
        </w:rPr>
        <w:t>17.9.4 Interesse de agir — prévio requerimento administrativo</w:t>
      </w:r>
    </w:p>
    <w:p w14:paraId="3C5E2145"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022F2CDC" w14:textId="77777777" w:rsidR="005A5FCC" w:rsidRDefault="00A21C81">
      <w:r>
        <w:rPr>
          <w:rFonts w:cs="EB Garamond"/>
          <w:kern w:val="16"/>
          <w14:ligatures w14:val="standardContextual"/>
        </w:rPr>
        <w:t xml:space="preserve"> exigência de prévio requerimento foi firmada pelo Tema 350/STF (RE 631.240, 03/09/2014). Para ações revisionais, a posição predominante é de que o prévio requerimento não é exigível quando a tese é de natureza exclusivamente jurídica — revisão do teto, atividades concomitantes, vida toda. A justificativa: o INSS não acolheria a pretensão administrativamente antes da fixação da tese pelo tribunal superior.</w:t>
      </w:r>
    </w:p>
    <w:p w14:paraId="66D8B0C3" w14:textId="77777777" w:rsidR="005A5FCC" w:rsidRDefault="00A21C81">
      <w:pPr>
        <w:ind w:firstLine="238"/>
      </w:pPr>
      <w:r>
        <w:rPr>
          <w:rFonts w:cs="EB Garamond"/>
          <w:kern w:val="16"/>
          <w14:ligatures w14:val="standardContextual"/>
        </w:rPr>
        <w:t>A exceção: quando a revisão depende de análise de fatos (atividade especial não reconhecida, tempo rural não comprovado administrativamente), o prévio requerimento pode ser exigido. Mesmo nesses casos, a jurisprudência mitiga a exigência quando o INSS demonstra, na contestação, sua posição contrária.</w:t>
      </w:r>
    </w:p>
    <w:tbl>
      <w:tblPr>
        <w:tblW w:w="5000" w:type="pct"/>
        <w:jc w:val="center"/>
        <w:tblLayout w:type="fixed"/>
        <w:tblLook w:val="04A0" w:firstRow="1" w:lastRow="0" w:firstColumn="1" w:lastColumn="0" w:noHBand="0" w:noVBand="1"/>
      </w:tblPr>
      <w:tblGrid>
        <w:gridCol w:w="6311"/>
      </w:tblGrid>
      <w:tr w:rsidR="005A5FCC" w14:paraId="0B033ABF"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22021591" w14:textId="77777777" w:rsidR="005A5FCC" w:rsidRDefault="00A21C81">
            <w:pPr>
              <w:spacing w:after="60" w:line="240" w:lineRule="auto"/>
              <w:jc w:val="left"/>
            </w:pPr>
            <w:r>
              <w:rPr>
                <w:rFonts w:ascii="Noto Sans" w:hAnsi="Noto Sans" w:cs="Noto Sans"/>
                <w:b/>
                <w:caps/>
                <w:color w:val="B78B37"/>
                <w:kern w:val="16"/>
                <w:sz w:val="16"/>
                <w14:ligatures w14:val="standardContextual"/>
              </w:rPr>
              <w:lastRenderedPageBreak/>
              <w:t>ATENÇÃO</w:t>
            </w:r>
          </w:p>
          <w:p w14:paraId="4502154C" w14:textId="77777777" w:rsidR="005A5FCC" w:rsidRDefault="00A21C81">
            <w:pPr>
              <w:spacing w:after="60" w:line="247" w:lineRule="auto"/>
            </w:pPr>
            <w:r>
              <w:rPr>
                <w:rFonts w:cs="EB Garamond"/>
                <w:b/>
                <w:kern w:val="16"/>
                <w:sz w:val="19"/>
                <w14:ligatures w14:val="standardContextual"/>
              </w:rPr>
              <w:t>Prévio requerimento administrativo nas ações revisionais</w:t>
            </w:r>
          </w:p>
          <w:p w14:paraId="7BF7D23B" w14:textId="77777777" w:rsidR="005A5FCC" w:rsidRDefault="00A21C81">
            <w:pPr>
              <w:spacing w:after="60" w:line="247" w:lineRule="auto"/>
            </w:pPr>
            <w:r>
              <w:rPr>
                <w:rFonts w:cs="EB Garamond"/>
                <w:kern w:val="16"/>
                <w:sz w:val="19"/>
                <w14:ligatures w14:val="standardContextual"/>
              </w:rPr>
              <w:t>Posição predominante nos JEFs: NÃO é exigível para ações fundadas em tese exclusivamente jurídica (teto, concomitantes, vida toda).</w:t>
            </w:r>
          </w:p>
          <w:p w14:paraId="6D492887" w14:textId="77777777" w:rsidR="005A5FCC" w:rsidRDefault="00A21C81">
            <w:pPr>
              <w:spacing w:after="60" w:line="247" w:lineRule="auto"/>
            </w:pPr>
            <w:r>
              <w:rPr>
                <w:rFonts w:cs="EB Garamond"/>
                <w:kern w:val="16"/>
                <w:sz w:val="19"/>
                <w14:ligatures w14:val="standardContextual"/>
              </w:rPr>
              <w:t>EXCEÇÃO: Revisões que dependem de análise de fatos (tempo especial ou rural não apresentado ao INSS) podem exigir prévio requerimento, salvo se o INSS já demonstrou posição contrária.</w:t>
            </w:r>
          </w:p>
          <w:p w14:paraId="2AA4B011" w14:textId="77777777" w:rsidR="005A5FCC" w:rsidRDefault="00A21C81">
            <w:pPr>
              <w:spacing w:after="60" w:line="247" w:lineRule="auto"/>
            </w:pPr>
            <w:r>
              <w:rPr>
                <w:rFonts w:cs="EB Garamond"/>
                <w:kern w:val="16"/>
                <w:sz w:val="19"/>
                <w14:ligatures w14:val="standardContextual"/>
              </w:rPr>
              <w:t>Na dúvida, o advogado deve formular requerimento administrativo antes do ajuizamento. Isso evita a extinção por falta de interesse de agir e serve como marco interruptivo da decadência.</w:t>
            </w:r>
          </w:p>
        </w:tc>
      </w:tr>
    </w:tbl>
    <w:p w14:paraId="15F15834" w14:textId="77777777" w:rsidR="005A5FCC" w:rsidRDefault="005A5FCC">
      <w:pPr>
        <w:spacing w:after="80" w:line="240" w:lineRule="auto"/>
      </w:pPr>
    </w:p>
    <w:p w14:paraId="66D179D0" w14:textId="77777777" w:rsidR="005A5FCC" w:rsidRDefault="00A21C81">
      <w:pPr>
        <w:spacing w:before="260" w:after="80" w:line="240" w:lineRule="auto"/>
        <w:jc w:val="left"/>
      </w:pPr>
      <w:r>
        <w:rPr>
          <w:rFonts w:cs="EB Garamond"/>
          <w:b/>
          <w:color w:val="3A3128"/>
          <w:kern w:val="16"/>
          <w:sz w:val="25"/>
          <w14:ligatures w14:val="standardContextual"/>
        </w:rPr>
        <w:t>17.9.5 Prescrição quinquenal das parcelas</w:t>
      </w:r>
    </w:p>
    <w:p w14:paraId="0D3AFFE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2B76E9A7" w14:textId="77777777" w:rsidR="005A5FCC" w:rsidRDefault="00A21C81">
      <w:r>
        <w:rPr>
          <w:rFonts w:cs="EB Garamond"/>
          <w:kern w:val="16"/>
          <w14:ligatures w14:val="standardContextual"/>
        </w:rPr>
        <w:t xml:space="preserve"> prescrição atinge as parcelas vencidas (art. 103, parágrafo único, Lei 8.213/91). Prazo: cinco anos, retroativos ao ajuizamento. A citação válida retroage à propositura (art. 240, §1º, CPC). A prescrição não atinge o fundo de direito: superada a decadência, o segurado tem direito à revisão da RMI, com implantação do novo valor para o futuro. As diferenças pretéritas ficam limitadas ao quinquênio.</w:t>
      </w:r>
    </w:p>
    <w:p w14:paraId="0BEE64C4" w14:textId="77777777" w:rsidR="005A5FCC" w:rsidRDefault="00A21C81">
      <w:pPr>
        <w:spacing w:before="260" w:after="80" w:line="240" w:lineRule="auto"/>
        <w:jc w:val="left"/>
      </w:pPr>
      <w:r>
        <w:rPr>
          <w:rFonts w:cs="EB Garamond"/>
          <w:b/>
          <w:color w:val="3A3128"/>
          <w:kern w:val="16"/>
          <w:sz w:val="25"/>
          <w14:ligatures w14:val="standardContextual"/>
        </w:rPr>
        <w:t>17.9.6 Tutela antecipada</w:t>
      </w:r>
    </w:p>
    <w:p w14:paraId="539C766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347797BA" w14:textId="77777777" w:rsidR="005A5FCC" w:rsidRDefault="00A21C81">
      <w:r>
        <w:rPr>
          <w:rFonts w:cs="EB Garamond"/>
          <w:kern w:val="16"/>
          <w14:ligatures w14:val="standardContextual"/>
        </w:rPr>
        <w:t xml:space="preserve"> tutela antecipada é instrumento relevante nas ações revisionais fundadas em precedente vinculante. O art. 311, II, do CPC prevê a tutela de evidência quando houver tese firmada em julgamento de casos repetitivos e prova documental. Ações fundadas no Tema 1070/STJ (concomitantes) ou no Tema 76/STF (teto) são candidatas naturais.</w:t>
      </w:r>
    </w:p>
    <w:p w14:paraId="6B047E87" w14:textId="77777777" w:rsidR="005A5FCC" w:rsidRDefault="00A21C81">
      <w:pPr>
        <w:ind w:firstLine="238"/>
      </w:pPr>
      <w:r>
        <w:rPr>
          <w:rFonts w:cs="EB Garamond"/>
          <w:kern w:val="16"/>
          <w14:ligatures w14:val="standardContextual"/>
        </w:rPr>
        <w:t>Na prática, a concessão é menos frequente do que nas ações de concessão: o segurado já recebe benefício, e a diferença de valor, em regra, não afeta a subsistência imediata. Quando a diferença é expressiva e o segurado demonstra vulnerabilidade, a urgência se configura. Registra que o caráter alimentar justifica a antecipação em revisões de grande impacto.</w:t>
      </w:r>
    </w:p>
    <w:p w14:paraId="2676F795" w14:textId="77777777" w:rsidR="005A5FCC" w:rsidRDefault="00A21C81">
      <w:pPr>
        <w:ind w:firstLine="238"/>
      </w:pPr>
      <w:r>
        <w:rPr>
          <w:rFonts w:cs="EB Garamond"/>
          <w:kern w:val="16"/>
          <w14:ligatures w14:val="standardContextual"/>
        </w:rPr>
        <w:lastRenderedPageBreak/>
        <w:t>A tutela pode ter dois objetos: (a) implantação imediata da RMI revisada (obrigação de fazer); (b) pagamento de diferenças retroativas (excepcional e mais arriscado). O episódio da vida toda ofereceu lição eloquente sobre a reversibilidade: milhares de tutelas concedidas e, após a reversão do Tema 1102, retorno ao patamar anterior. Para teses ainda não definitivamente consolidadas, a cautela é recomendável (art. 300, §3º, CPC).</w:t>
      </w:r>
    </w:p>
    <w:p w14:paraId="3D04D064" w14:textId="77777777" w:rsidR="005A5FCC" w:rsidRDefault="00A21C81">
      <w:pPr>
        <w:spacing w:before="260" w:after="80" w:line="240" w:lineRule="auto"/>
        <w:jc w:val="left"/>
      </w:pPr>
      <w:r>
        <w:rPr>
          <w:rFonts w:cs="EB Garamond"/>
          <w:b/>
          <w:color w:val="3A3128"/>
          <w:kern w:val="16"/>
          <w:sz w:val="25"/>
          <w14:ligatures w14:val="standardContextual"/>
        </w:rPr>
        <w:t>17.9.7 Cumulação de pedidos</w:t>
      </w:r>
    </w:p>
    <w:p w14:paraId="7CBB6E2E"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3D7EE375" w14:textId="77777777" w:rsidR="005A5FCC" w:rsidRDefault="00A21C81">
      <w:r>
        <w:rPr>
          <w:rFonts w:cs="EB Garamond"/>
          <w:kern w:val="16"/>
          <w14:ligatures w14:val="standardContextual"/>
        </w:rPr>
        <w:t xml:space="preserve"> segurado pode cumular na mesma ação mais de uma tese revisional, desde que compatíveis e observado o limite de valor. Exemplos: (a) atividades concomitantes (Tema 1070) + inclusão de tempo especial; (b) teto (Tema 76) + art. 29, II; (c) melhor DIB e, subsidiariamente, atividades concomitantes.</w:t>
      </w:r>
    </w:p>
    <w:p w14:paraId="47E8C603" w14:textId="77777777" w:rsidR="005A5FCC" w:rsidRDefault="00A21C81">
      <w:pPr>
        <w:ind w:firstLine="238"/>
      </w:pPr>
      <w:r>
        <w:rPr>
          <w:rFonts w:cs="EB Garamond"/>
          <w:kern w:val="16"/>
          <w14:ligatures w14:val="standardContextual"/>
        </w:rPr>
        <w:t>O valor da causa deve considerar o impacto conjunto. O magistrado deve atentar para o risco de que a cumulação transforme a causa em litígio incompatível com o rito simplificado do JEF.</w:t>
      </w:r>
    </w:p>
    <w:p w14:paraId="48013802"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17.10 Querela nullitatis e ação rescisória nos JEFs</w:t>
      </w:r>
    </w:p>
    <w:p w14:paraId="71CE732C" w14:textId="77777777" w:rsidR="005A5FCC" w:rsidRDefault="00A21C81">
      <w:pPr>
        <w:spacing w:before="260" w:after="80" w:line="240" w:lineRule="auto"/>
        <w:jc w:val="left"/>
      </w:pPr>
      <w:r>
        <w:rPr>
          <w:rFonts w:cs="EB Garamond"/>
          <w:b/>
          <w:color w:val="3A3128"/>
          <w:kern w:val="16"/>
          <w:sz w:val="25"/>
          <w14:ligatures w14:val="standardContextual"/>
        </w:rPr>
        <w:t>17.10.1 Querela nullitatis</w:t>
      </w:r>
    </w:p>
    <w:p w14:paraId="18256602"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6DC71A7D" w14:textId="77777777" w:rsidR="005A5FCC" w:rsidRDefault="00A21C81">
      <w:r>
        <w:rPr>
          <w:rFonts w:cs="EB Garamond"/>
          <w:kern w:val="16"/>
          <w14:ligatures w14:val="standardContextual"/>
        </w:rPr>
        <w:t xml:space="preserve"> querela nullitatis declara a inexistência ou nulidade absoluta de sentença proferida com vício transrescisório — vício que não é sanado pelo trânsito em julgado nem se submete ao prazo da rescisória. As hipóteses clássicas: falta de citação (ou citação nula) e incompetência absoluta do juízo prolator.</w:t>
      </w:r>
    </w:p>
    <w:p w14:paraId="0A501D5B" w14:textId="77777777" w:rsidR="005A5FCC" w:rsidRDefault="00A21C81">
      <w:pPr>
        <w:ind w:firstLine="238"/>
      </w:pPr>
      <w:r>
        <w:rPr>
          <w:rFonts w:cs="EB Garamond"/>
          <w:kern w:val="16"/>
          <w14:ligatures w14:val="standardContextual"/>
        </w:rPr>
        <w:t xml:space="preserve">O STJ, no REsp 2.095.463/PR (Rel. Min. Nancy Andrighi, 3ª Turma, 18/03/2025) — precedente firmado em matéria cível, cuja </w:t>
      </w:r>
      <w:r>
        <w:rPr>
          <w:rFonts w:cs="EB Garamond"/>
          <w:i/>
          <w:kern w:val="16"/>
          <w14:ligatures w14:val="standardContextual"/>
        </w:rPr>
        <w:t>ratio</w:t>
      </w:r>
      <w:r>
        <w:rPr>
          <w:rFonts w:cs="EB Garamond"/>
          <w:kern w:val="16"/>
          <w14:ligatures w14:val="standardContextual"/>
        </w:rPr>
        <w:t xml:space="preserve"> processual se aplica por analogia ao processo previdenciário —, reafirmou que a querela nullitatis é pretensão, e não procedimento específico. A consequência: pode ser formulada como questão incidental ou prejudicial em qualquer processo, sem necessidade de ação autônoma. Para os JEFs, o segurado condenado por sentença sem citação válida pode, por petição nos autos, requerer a declaração de inexistência e a renovação do processo.</w:t>
      </w:r>
    </w:p>
    <w:tbl>
      <w:tblPr>
        <w:tblW w:w="5000" w:type="pct"/>
        <w:jc w:val="center"/>
        <w:tblLayout w:type="fixed"/>
        <w:tblLook w:val="04A0" w:firstRow="1" w:lastRow="0" w:firstColumn="1" w:lastColumn="0" w:noHBand="0" w:noVBand="1"/>
      </w:tblPr>
      <w:tblGrid>
        <w:gridCol w:w="6311"/>
      </w:tblGrid>
      <w:tr w:rsidR="005A5FCC" w14:paraId="39FA2A27"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3E82EDEC" w14:textId="77777777" w:rsidR="005A5FCC" w:rsidRDefault="00A21C81">
            <w:pPr>
              <w:spacing w:after="60" w:line="240" w:lineRule="auto"/>
              <w:jc w:val="left"/>
            </w:pPr>
            <w:r>
              <w:rPr>
                <w:rFonts w:ascii="Noto Sans" w:hAnsi="Noto Sans" w:cs="Noto Sans"/>
                <w:b/>
                <w:caps/>
                <w:color w:val="4D6F8A"/>
                <w:kern w:val="16"/>
                <w:sz w:val="16"/>
                <w14:ligatures w14:val="standardContextual"/>
              </w:rPr>
              <w:lastRenderedPageBreak/>
              <w:t>JURISPRUDÊNCIA EM DESTAQUE</w:t>
            </w:r>
          </w:p>
          <w:p w14:paraId="3FEE439C" w14:textId="77777777" w:rsidR="005A5FCC" w:rsidRDefault="00A21C81">
            <w:pPr>
              <w:spacing w:after="60" w:line="247" w:lineRule="auto"/>
            </w:pPr>
            <w:r>
              <w:rPr>
                <w:rFonts w:cs="EB Garamond"/>
                <w:b/>
                <w:kern w:val="16"/>
                <w:sz w:val="19"/>
                <w14:ligatures w14:val="standardContextual"/>
              </w:rPr>
              <w:t>STJ — REsp 2.095.463/PR: Querela nullitatis como pretensão</w:t>
            </w:r>
          </w:p>
          <w:p w14:paraId="32A49F73" w14:textId="77777777" w:rsidR="005A5FCC" w:rsidRDefault="00A21C81">
            <w:pPr>
              <w:spacing w:after="60" w:line="247" w:lineRule="auto"/>
            </w:pPr>
            <w:r>
              <w:rPr>
                <w:rFonts w:cs="EB Garamond"/>
                <w:kern w:val="16"/>
                <w:sz w:val="19"/>
                <w14:ligatures w14:val="standardContextual"/>
              </w:rPr>
              <w:t>Processo: REsp 2.095.463/PR | 3ª Turma | Rel. Min. Nancy Andrighi | 18/03/2025 | DJe 21/03/2025</w:t>
            </w:r>
          </w:p>
          <w:p w14:paraId="7085C834" w14:textId="77777777" w:rsidR="005A5FCC" w:rsidRDefault="00A21C81">
            <w:pPr>
              <w:spacing w:after="60" w:line="247" w:lineRule="auto"/>
            </w:pPr>
            <w:r>
              <w:rPr>
                <w:rFonts w:cs="EB Garamond"/>
                <w:kern w:val="16"/>
                <w:sz w:val="19"/>
                <w14:ligatures w14:val="standardContextual"/>
              </w:rPr>
              <w:t>Tese: A querela nullitatis é pretensão, e não procedimento. Pode ser formulada como questão incidental ou prejudicial.</w:t>
            </w:r>
          </w:p>
          <w:p w14:paraId="575E7364" w14:textId="77777777" w:rsidR="005A5FCC" w:rsidRDefault="00A21C81">
            <w:pPr>
              <w:spacing w:after="60" w:line="247" w:lineRule="auto"/>
            </w:pPr>
            <w:r>
              <w:rPr>
                <w:rFonts w:cs="EB Garamond"/>
                <w:b/>
                <w:kern w:val="16"/>
                <w:sz w:val="19"/>
                <w14:ligatures w14:val="standardContextual"/>
              </w:rPr>
              <w:t>Meios admitidos:</w:t>
            </w:r>
            <w:r>
              <w:rPr>
                <w:rFonts w:cs="EB Garamond"/>
                <w:kern w:val="16"/>
                <w:sz w:val="19"/>
                <w14:ligatures w14:val="standardContextual"/>
              </w:rPr>
              <w:t xml:space="preserve"> Cumprimento de sentença, ação civil pública, mandado de segurança, petição simples nos autos.</w:t>
            </w:r>
          </w:p>
          <w:p w14:paraId="5D7DB0F2" w14:textId="77777777" w:rsidR="005A5FCC" w:rsidRDefault="00A21C81">
            <w:pPr>
              <w:spacing w:after="60" w:line="247" w:lineRule="auto"/>
            </w:pPr>
            <w:r>
              <w:rPr>
                <w:rFonts w:cs="EB Garamond"/>
                <w:b/>
                <w:kern w:val="16"/>
                <w:sz w:val="19"/>
                <w14:ligatures w14:val="standardContextual"/>
              </w:rPr>
              <w:t>Prazo:</w:t>
            </w:r>
            <w:r>
              <w:rPr>
                <w:rFonts w:cs="EB Garamond"/>
                <w:kern w:val="16"/>
                <w:sz w:val="19"/>
                <w14:ligatures w14:val="standardContextual"/>
              </w:rPr>
              <w:t xml:space="preserve"> Imprescritível — a sentença inexistente não transita em julgado.</w:t>
            </w:r>
          </w:p>
        </w:tc>
      </w:tr>
    </w:tbl>
    <w:p w14:paraId="4D2FE5C5" w14:textId="77777777" w:rsidR="005A5FCC" w:rsidRDefault="005A5FCC">
      <w:pPr>
        <w:spacing w:after="80" w:line="240" w:lineRule="auto"/>
      </w:pPr>
    </w:p>
    <w:p w14:paraId="418E9AF8" w14:textId="77777777" w:rsidR="005A5FCC" w:rsidRDefault="00A21C81">
      <w:pPr>
        <w:spacing w:before="260" w:after="80" w:line="240" w:lineRule="auto"/>
        <w:jc w:val="left"/>
      </w:pPr>
      <w:r>
        <w:rPr>
          <w:rFonts w:cs="EB Garamond"/>
          <w:b/>
          <w:color w:val="3A3128"/>
          <w:kern w:val="16"/>
          <w:sz w:val="25"/>
          <w14:ligatures w14:val="standardContextual"/>
        </w:rPr>
        <w:t>17.10.2 Ação rescisória nos JEFs</w:t>
      </w:r>
    </w:p>
    <w:p w14:paraId="16DC0539"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11C1091E" w14:textId="77777777" w:rsidR="005A5FCC" w:rsidRDefault="00A21C81">
      <w:r>
        <w:rPr>
          <w:rFonts w:cs="EB Garamond"/>
          <w:kern w:val="16"/>
          <w14:ligatures w14:val="standardContextual"/>
        </w:rPr>
        <w:t xml:space="preserve"> possibilidade de rescisória nos JEFs vem se consolidando pela admissibilidade. O art. 59 da Lei 9.099/95 veda a rescisória nos juizados estaduais. A Lei 10.259/2001, que instituiu os JEFs, não reproduziu essa vedação.</w:t>
      </w:r>
    </w:p>
    <w:p w14:paraId="35877A39" w14:textId="77777777" w:rsidR="005A5FCC" w:rsidRDefault="00A21C81">
      <w:pPr>
        <w:ind w:firstLine="238"/>
      </w:pPr>
      <w:r>
        <w:rPr>
          <w:rFonts w:cs="EB Garamond"/>
          <w:kern w:val="16"/>
          <w14:ligatures w14:val="standardContextual"/>
        </w:rPr>
        <w:t>A posição majoritária: a rescisória é admissível nos JEFs, por dois fundamentos. O silêncio da Lei 10.259/2001 é eloquente — se o legislador desejasse a vedação, teria reproduzido o art. 59. A natureza do direito previdenciário exige mecanismo de desconstituição da coisa julgada para evitar situações incompatíveis com a legalidade.</w:t>
      </w:r>
    </w:p>
    <w:p w14:paraId="2968AAA2" w14:textId="77777777" w:rsidR="005A5FCC" w:rsidRDefault="00A21C81">
      <w:pPr>
        <w:ind w:firstLine="238"/>
      </w:pPr>
      <w:r>
        <w:rPr>
          <w:rFonts w:cs="EB Garamond"/>
          <w:kern w:val="16"/>
          <w14:ligatures w14:val="standardContextual"/>
        </w:rPr>
        <w:t>A competência é da Turma Recursal, por simetria. As hipóteses seguem o art. 966 do CPC. O prazo é de dois anos (art. 975, CPC).</w:t>
      </w:r>
    </w:p>
    <w:tbl>
      <w:tblPr>
        <w:tblW w:w="5000" w:type="pct"/>
        <w:jc w:val="center"/>
        <w:tblLayout w:type="fixed"/>
        <w:tblLook w:val="04A0" w:firstRow="1" w:lastRow="0" w:firstColumn="1" w:lastColumn="0" w:noHBand="0" w:noVBand="1"/>
      </w:tblPr>
      <w:tblGrid>
        <w:gridCol w:w="6311"/>
      </w:tblGrid>
      <w:tr w:rsidR="005A5FCC" w14:paraId="3A229772"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2F66DF18"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1889782F" w14:textId="77777777" w:rsidR="005A5FCC" w:rsidRDefault="00A21C81">
            <w:pPr>
              <w:spacing w:after="60" w:line="247" w:lineRule="auto"/>
            </w:pPr>
            <w:r>
              <w:rPr>
                <w:rFonts w:cs="EB Garamond"/>
                <w:b/>
                <w:kern w:val="16"/>
                <w:sz w:val="19"/>
                <w14:ligatures w14:val="standardContextual"/>
              </w:rPr>
              <w:t>Ação rescisória nos JEFs — pontos de atenção</w:t>
            </w:r>
          </w:p>
          <w:p w14:paraId="6CD45C18" w14:textId="77777777" w:rsidR="005A5FCC" w:rsidRDefault="00A21C81">
            <w:pPr>
              <w:spacing w:after="30" w:line="240" w:lineRule="auto"/>
              <w:ind w:left="227" w:hanging="142"/>
            </w:pPr>
            <w:r>
              <w:rPr>
                <w:rFonts w:cs="EB Garamond"/>
                <w:kern w:val="16"/>
                <w:sz w:val="19"/>
                <w14:ligatures w14:val="standardContextual"/>
              </w:rPr>
              <w:t>1. A Lei 10.259/2001 NÃO veda a rescisória nos JEFs.</w:t>
            </w:r>
          </w:p>
          <w:p w14:paraId="29DDE753" w14:textId="77777777" w:rsidR="005A5FCC" w:rsidRDefault="00A21C81">
            <w:pPr>
              <w:spacing w:after="30" w:line="240" w:lineRule="auto"/>
              <w:ind w:left="227" w:hanging="142"/>
            </w:pPr>
            <w:r>
              <w:rPr>
                <w:rFonts w:cs="EB Garamond"/>
                <w:kern w:val="16"/>
                <w:sz w:val="19"/>
                <w14:ligatures w14:val="standardContextual"/>
              </w:rPr>
              <w:t>2. Posição majoritária: rescisória é admissível.</w:t>
            </w:r>
          </w:p>
          <w:p w14:paraId="4100367D" w14:textId="77777777" w:rsidR="005A5FCC" w:rsidRDefault="00A21C81">
            <w:pPr>
              <w:spacing w:after="30" w:line="240" w:lineRule="auto"/>
              <w:ind w:left="227" w:hanging="142"/>
            </w:pPr>
            <w:r>
              <w:rPr>
                <w:rFonts w:cs="EB Garamond"/>
                <w:kern w:val="16"/>
                <w:sz w:val="19"/>
                <w14:ligatures w14:val="standardContextual"/>
              </w:rPr>
              <w:t>3. Competência: Turma Recursal (não TRF).</w:t>
            </w:r>
          </w:p>
          <w:p w14:paraId="4037435C" w14:textId="77777777" w:rsidR="005A5FCC" w:rsidRDefault="00A21C81">
            <w:pPr>
              <w:spacing w:after="30" w:line="240" w:lineRule="auto"/>
              <w:ind w:left="227" w:hanging="142"/>
            </w:pPr>
            <w:r>
              <w:rPr>
                <w:rFonts w:cs="EB Garamond"/>
                <w:kern w:val="16"/>
                <w:sz w:val="19"/>
                <w14:ligatures w14:val="standardContextual"/>
              </w:rPr>
              <w:t>4. Hipóteses: art. 966 do CPC.</w:t>
            </w:r>
          </w:p>
          <w:p w14:paraId="231FF41E" w14:textId="77777777" w:rsidR="005A5FCC" w:rsidRDefault="00A21C81">
            <w:pPr>
              <w:spacing w:after="30" w:line="240" w:lineRule="auto"/>
              <w:ind w:left="227" w:hanging="142"/>
            </w:pPr>
            <w:r>
              <w:rPr>
                <w:rFonts w:cs="EB Garamond"/>
                <w:kern w:val="16"/>
                <w:sz w:val="19"/>
                <w14:ligatures w14:val="standardContextual"/>
              </w:rPr>
              <w:t>5. Prazo: 2 anos do trânsito em julgado (art. 975, CPC).</w:t>
            </w:r>
          </w:p>
          <w:p w14:paraId="1BE4F89E" w14:textId="77777777" w:rsidR="005A5FCC" w:rsidRDefault="00A21C81">
            <w:pPr>
              <w:spacing w:after="30" w:line="240" w:lineRule="auto"/>
              <w:ind w:left="227" w:hanging="142"/>
            </w:pPr>
            <w:r>
              <w:rPr>
                <w:rFonts w:cs="EB Garamond"/>
                <w:kern w:val="16"/>
                <w:sz w:val="19"/>
                <w14:ligatures w14:val="standardContextual"/>
              </w:rPr>
              <w:t>6. Nem todas as Turmas Recursais possuem regimento interno para o processamento da rescisória.</w:t>
            </w:r>
          </w:p>
        </w:tc>
      </w:tr>
    </w:tbl>
    <w:p w14:paraId="5C18C648" w14:textId="77777777" w:rsidR="005A5FCC" w:rsidRDefault="005A5FCC">
      <w:pPr>
        <w:spacing w:after="80" w:line="240" w:lineRule="auto"/>
      </w:pPr>
    </w:p>
    <w:p w14:paraId="3D7B9824" w14:textId="77777777" w:rsidR="005A5FCC" w:rsidRDefault="00A21C81">
      <w:pPr>
        <w:spacing w:before="260" w:after="80" w:line="240" w:lineRule="auto"/>
        <w:jc w:val="left"/>
      </w:pPr>
      <w:r>
        <w:rPr>
          <w:rFonts w:cs="EB Garamond"/>
          <w:b/>
          <w:color w:val="3A3128"/>
          <w:kern w:val="16"/>
          <w:sz w:val="25"/>
          <w14:ligatures w14:val="standardContextual"/>
        </w:rPr>
        <w:t>17.10.3 Aplicação prática: rescisória por tese superveniente</w:t>
      </w:r>
    </w:p>
    <w:p w14:paraId="49886AB4"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11725C20" w14:textId="77777777" w:rsidR="005A5FCC" w:rsidRDefault="00A21C81">
      <w:r>
        <w:rPr>
          <w:rFonts w:cs="EB Garamond"/>
          <w:kern w:val="16"/>
          <w14:ligatures w14:val="standardContextual"/>
        </w:rPr>
        <w:t xml:space="preserve"> cruzamento entre rescisória e tese superveniente do STF é a questão mais sensível. O art. 525, §§12 a 15, do CPC permite a impugnação ao cumprimento de sentença quando o título se fundar em norma considerada inconstitucional ou em interpretação incompatível com a Constituição. Esse mecanismo pode ser mais eficiente do que a rescisória.</w:t>
      </w:r>
    </w:p>
    <w:p w14:paraId="6B44FE35" w14:textId="77777777" w:rsidR="005A5FCC" w:rsidRDefault="00A21C81">
      <w:pPr>
        <w:ind w:firstLine="238"/>
      </w:pPr>
      <w:r>
        <w:rPr>
          <w:rFonts w:cs="EB Garamond"/>
          <w:kern w:val="16"/>
          <w14:ligatures w14:val="standardContextual"/>
        </w:rPr>
        <w:t>A aplicação à vida toda ilustra o problema. Sustenta que a impugnação do art. 525, §12, se limita à declaração de inconstitucionalidade da norma, e não de constitucionalidade da norma que o segurado pretendia afastar. Lazzari e Castro (2025) admitem a impugnação quando há incompatibilidade entre o título e a tese vinculante posterior. A nosso ver, a questão depende da qualificação que o STF conferiu à reversão do Tema 1102. A modulação dos efeitos reduz o interesse prático do INSS em rescindir as sentenças mais antigas: valores recebidos até 05/04/2024 são irrepetíveis.</w:t>
      </w:r>
    </w:p>
    <w:p w14:paraId="50D91523"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17.11 Execução de sentença revisional</w:t>
      </w:r>
    </w:p>
    <w:p w14:paraId="330CD07C" w14:textId="77777777" w:rsidR="005A5FCC" w:rsidRDefault="00A21C81">
      <w:pPr>
        <w:spacing w:before="260" w:after="80" w:line="240" w:lineRule="auto"/>
        <w:jc w:val="left"/>
      </w:pPr>
      <w:r>
        <w:rPr>
          <w:rFonts w:cs="EB Garamond"/>
          <w:b/>
          <w:color w:val="3A3128"/>
          <w:kern w:val="16"/>
          <w:sz w:val="25"/>
          <w14:ligatures w14:val="standardContextual"/>
        </w:rPr>
        <w:t>17.11.1 Liquidação por cálculos</w:t>
      </w:r>
    </w:p>
    <w:p w14:paraId="0DA6E6B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56ECA5E8" w14:textId="77777777" w:rsidR="005A5FCC" w:rsidRDefault="00A21C81">
      <w:r>
        <w:rPr>
          <w:rFonts w:cs="EB Garamond"/>
          <w:kern w:val="16"/>
          <w14:ligatures w14:val="standardContextual"/>
        </w:rPr>
        <w:t xml:space="preserve"> sentença revisional nos JEFs é, em regra, ilíquida: reconhece o direito, fixa a regra de cálculo e condena o INSS ao pagamento das diferenças, sem quantificá-las. A liquidação pode ser realizada de três formas: (a) memória de cálculo apresentada pelo autor; (b) remessa à contadoria judicial do JEF; (c) excepcionalmente, nomeação de perito contábil (art. 509, §3º, CPC).</w:t>
      </w:r>
    </w:p>
    <w:p w14:paraId="4FA5A96B" w14:textId="77777777" w:rsidR="005A5FCC" w:rsidRDefault="00A21C81">
      <w:pPr>
        <w:spacing w:before="260" w:after="80" w:line="240" w:lineRule="auto"/>
        <w:jc w:val="left"/>
      </w:pPr>
      <w:r>
        <w:rPr>
          <w:rFonts w:cs="EB Garamond"/>
          <w:b/>
          <w:color w:val="3A3128"/>
          <w:kern w:val="16"/>
          <w:sz w:val="25"/>
          <w14:ligatures w14:val="standardContextual"/>
        </w:rPr>
        <w:t>17.11.2 Cálculo de diferenças passo a passo</w:t>
      </w:r>
    </w:p>
    <w:tbl>
      <w:tblPr>
        <w:tblW w:w="5000" w:type="pct"/>
        <w:jc w:val="center"/>
        <w:tblLayout w:type="fixed"/>
        <w:tblLook w:val="04A0" w:firstRow="1" w:lastRow="0" w:firstColumn="1" w:lastColumn="0" w:noHBand="0" w:noVBand="1"/>
      </w:tblPr>
      <w:tblGrid>
        <w:gridCol w:w="6311"/>
      </w:tblGrid>
      <w:tr w:rsidR="005A5FCC" w14:paraId="113474B6"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21615C8B"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2F27FED6" w14:textId="77777777" w:rsidR="005A5FCC" w:rsidRDefault="00A21C81">
            <w:pPr>
              <w:spacing w:after="60" w:line="247" w:lineRule="auto"/>
            </w:pPr>
            <w:r>
              <w:rPr>
                <w:rFonts w:cs="EB Garamond"/>
                <w:b/>
                <w:kern w:val="16"/>
                <w:sz w:val="19"/>
                <w14:ligatures w14:val="standardContextual"/>
              </w:rPr>
              <w:t>Sete etapas da liquidação de sentença revisional</w:t>
            </w:r>
          </w:p>
          <w:p w14:paraId="2C683661" w14:textId="77777777" w:rsidR="005A5FCC" w:rsidRDefault="00A21C81">
            <w:pPr>
              <w:spacing w:after="60" w:line="247" w:lineRule="auto"/>
            </w:pPr>
            <w:r>
              <w:rPr>
                <w:rFonts w:cs="EB Garamond"/>
                <w:b/>
                <w:kern w:val="16"/>
                <w:sz w:val="19"/>
                <w14:ligatures w14:val="standardContextual"/>
              </w:rPr>
              <w:t>Etapa 1 — Recalcular o SB e a RMI:</w:t>
            </w:r>
            <w:r>
              <w:rPr>
                <w:rFonts w:cs="EB Garamond"/>
                <w:kern w:val="16"/>
                <w:sz w:val="19"/>
                <w14:ligatures w14:val="standardContextual"/>
              </w:rPr>
              <w:t xml:space="preserve"> Aplicar a regra fixada na sentença aos dados do CONBAS e do CNIS. Apurar o novo SB, aplicar o coeficiente e obter a nova RMI na data da concessão.</w:t>
            </w:r>
          </w:p>
          <w:p w14:paraId="34FAEA86" w14:textId="77777777" w:rsidR="005A5FCC" w:rsidRDefault="00A21C81">
            <w:pPr>
              <w:spacing w:after="60" w:line="247" w:lineRule="auto"/>
            </w:pPr>
            <w:r>
              <w:rPr>
                <w:rFonts w:cs="EB Garamond"/>
                <w:b/>
                <w:kern w:val="16"/>
                <w:sz w:val="19"/>
                <w14:ligatures w14:val="standardContextual"/>
              </w:rPr>
              <w:t>Etapa 2 — Projetar os reajustes anuais:</w:t>
            </w:r>
            <w:r>
              <w:rPr>
                <w:rFonts w:cs="EB Garamond"/>
                <w:kern w:val="16"/>
                <w:sz w:val="19"/>
                <w14:ligatures w14:val="standardContextual"/>
              </w:rPr>
              <w:t xml:space="preserve"> Aplicar, desde a concessão até a data-base, os mesmos índices de reajuste utilizados pelo INSS (INPC, conforme portarias anuais). A RMI revisada percorre a mesma cadeia de reajustes que incidiu sobre a RMI original.</w:t>
            </w:r>
          </w:p>
          <w:p w14:paraId="1903F4DE" w14:textId="77777777" w:rsidR="005A5FCC" w:rsidRDefault="00A21C81">
            <w:pPr>
              <w:spacing w:after="60" w:line="247" w:lineRule="auto"/>
            </w:pPr>
            <w:r>
              <w:rPr>
                <w:rFonts w:cs="EB Garamond"/>
                <w:b/>
                <w:kern w:val="16"/>
                <w:sz w:val="19"/>
                <w14:ligatures w14:val="standardContextual"/>
              </w:rPr>
              <w:t>Etapa 3 — Apurar a diferença mensal:</w:t>
            </w:r>
            <w:r>
              <w:rPr>
                <w:rFonts w:cs="EB Garamond"/>
                <w:kern w:val="16"/>
                <w:sz w:val="19"/>
                <w14:ligatures w14:val="standardContextual"/>
              </w:rPr>
              <w:t xml:space="preserve"> Para cada competência, subtrair a RMI efetivamente paga (HISCREWEB) da RMI revisada.</w:t>
            </w:r>
          </w:p>
          <w:p w14:paraId="47D5A87D" w14:textId="77777777" w:rsidR="005A5FCC" w:rsidRDefault="00A21C81">
            <w:pPr>
              <w:spacing w:after="60" w:line="247" w:lineRule="auto"/>
            </w:pPr>
            <w:r>
              <w:rPr>
                <w:rFonts w:cs="EB Garamond"/>
                <w:b/>
                <w:kern w:val="16"/>
                <w:sz w:val="19"/>
                <w14:ligatures w14:val="standardContextual"/>
              </w:rPr>
              <w:t>Etapa 4 — Aplicar a prescrição quinquenal:</w:t>
            </w:r>
            <w:r>
              <w:rPr>
                <w:rFonts w:cs="EB Garamond"/>
                <w:kern w:val="16"/>
                <w:sz w:val="19"/>
                <w14:ligatures w14:val="standardContextual"/>
              </w:rPr>
              <w:t xml:space="preserve"> Excluir as diferenças anteriores ao quinquênio que precede o ajuizamento.</w:t>
            </w:r>
          </w:p>
          <w:p w14:paraId="6AAD93F5" w14:textId="77777777" w:rsidR="005A5FCC" w:rsidRDefault="00A21C81">
            <w:pPr>
              <w:spacing w:after="60" w:line="247" w:lineRule="auto"/>
            </w:pPr>
            <w:r>
              <w:rPr>
                <w:rFonts w:cs="EB Garamond"/>
                <w:b/>
                <w:kern w:val="16"/>
                <w:sz w:val="19"/>
                <w14:ligatures w14:val="standardContextual"/>
              </w:rPr>
              <w:t>Etapa 5 — Aplicar correção monetária e juros:</w:t>
            </w:r>
            <w:r>
              <w:rPr>
                <w:rFonts w:cs="EB Garamond"/>
                <w:kern w:val="16"/>
                <w:sz w:val="19"/>
                <w14:ligatures w14:val="standardContextual"/>
              </w:rPr>
              <w:t xml:space="preserve"> Conforme o regime vigente em cada período (v. Seção 17.11.3).</w:t>
            </w:r>
          </w:p>
          <w:p w14:paraId="201201F6" w14:textId="77777777" w:rsidR="005A5FCC" w:rsidRDefault="00A21C81">
            <w:pPr>
              <w:spacing w:after="60" w:line="247" w:lineRule="auto"/>
            </w:pPr>
            <w:r>
              <w:rPr>
                <w:rFonts w:cs="EB Garamond"/>
                <w:b/>
                <w:kern w:val="16"/>
                <w:sz w:val="19"/>
                <w14:ligatures w14:val="standardContextual"/>
              </w:rPr>
              <w:t>Etapa 6 — Deduzir valores já pagos:</w:t>
            </w:r>
            <w:r>
              <w:rPr>
                <w:rFonts w:cs="EB Garamond"/>
                <w:kern w:val="16"/>
                <w:sz w:val="19"/>
                <w14:ligatures w14:val="standardContextual"/>
              </w:rPr>
              <w:t xml:space="preserve"> Se o INSS efetuou pagamentos parciais (revisão administrativa, RPV anterior), descontar para evitar enriquecimento sem causa.</w:t>
            </w:r>
          </w:p>
          <w:p w14:paraId="6DE1F9AE" w14:textId="77777777" w:rsidR="005A5FCC" w:rsidRDefault="00A21C81">
            <w:pPr>
              <w:spacing w:after="60" w:line="247" w:lineRule="auto"/>
            </w:pPr>
            <w:r>
              <w:rPr>
                <w:rFonts w:cs="EB Garamond"/>
                <w:b/>
                <w:kern w:val="16"/>
                <w:sz w:val="19"/>
                <w14:ligatures w14:val="standardContextual"/>
              </w:rPr>
              <w:t>Etapa 7 — Apurar o valor total e verificar RPV:</w:t>
            </w:r>
            <w:r>
              <w:rPr>
                <w:rFonts w:cs="EB Garamond"/>
                <w:kern w:val="16"/>
                <w:sz w:val="19"/>
                <w14:ligatures w14:val="standardContextual"/>
              </w:rPr>
              <w:t xml:space="preserve"> Se o valor líquido não exceder 60 SM (R$ 97.260,00 em 2026; v. Nota na seção 17.1), pagamento por RPV. Se exceder, precatório, salvo renúncia ao excedente.</w:t>
            </w:r>
          </w:p>
        </w:tc>
      </w:tr>
    </w:tbl>
    <w:p w14:paraId="246E1E32" w14:textId="77777777" w:rsidR="005A5FCC" w:rsidRDefault="005A5FCC">
      <w:pPr>
        <w:spacing w:after="80" w:line="240" w:lineRule="auto"/>
      </w:pPr>
    </w:p>
    <w:p w14:paraId="2F8920DB" w14:textId="77777777" w:rsidR="005A5FCC" w:rsidRDefault="00A21C81">
      <w:pPr>
        <w:spacing w:before="260" w:after="80" w:line="240" w:lineRule="auto"/>
        <w:jc w:val="left"/>
      </w:pPr>
      <w:r>
        <w:rPr>
          <w:rFonts w:cs="EB Garamond"/>
          <w:b/>
          <w:color w:val="3A3128"/>
          <w:kern w:val="16"/>
          <w:sz w:val="25"/>
          <w14:ligatures w14:val="standardContextual"/>
        </w:rPr>
        <w:t>17.11.3 Correção monetária e juros — três regimes</w:t>
      </w:r>
    </w:p>
    <w:p w14:paraId="3ABE5058"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321D1131" w14:textId="77777777" w:rsidR="005A5FCC" w:rsidRDefault="00A21C81">
      <w:r>
        <w:rPr>
          <w:rFonts w:cs="EB Garamond"/>
          <w:kern w:val="16"/>
          <w14:ligatures w14:val="standardContextual"/>
        </w:rPr>
        <w:t xml:space="preserve"> atualização dos valores devidos seguiu três regimes distintos, e o magistrado deve aplicar cada um ao período correspondente.</w:t>
      </w:r>
    </w:p>
    <w:p w14:paraId="20295ABF" w14:textId="77777777" w:rsidR="005A5FCC" w:rsidRDefault="00A21C81">
      <w:pPr>
        <w:ind w:firstLine="238"/>
      </w:pPr>
      <w:r>
        <w:rPr>
          <w:rFonts w:cs="EB Garamond"/>
          <w:b/>
          <w:kern w:val="16"/>
          <w14:ligatures w14:val="standardContextual"/>
        </w:rPr>
        <w:t>Regime 1 — Pré-EC 113/2021 (até novembro de 2021).</w:t>
      </w:r>
      <w:r>
        <w:rPr>
          <w:rFonts w:cs="EB Garamond"/>
          <w:kern w:val="16"/>
          <w14:ligatures w14:val="standardContextual"/>
        </w:rPr>
        <w:t xml:space="preserve"> Correção monetária pelo IPCA-E (Tema 810/STF, RE 870.947). Para a fase de liquidação/execução das condenações judiciais, o IPCA-E substituiu a TR. O reajuste do benefício em manutenção segue o INPC (art. 41-A, Lei 8.213/91) — distinção relevante para o cálculo de diferenças. Juros de mora: 0,5% a.m. (pré-Lei 11.960/2009) ou percentual da caderneta de poupança (pós-Lei 11.960/2009).</w:t>
      </w:r>
    </w:p>
    <w:p w14:paraId="6D8B11F9" w14:textId="77777777" w:rsidR="005A5FCC" w:rsidRDefault="00A21C81">
      <w:pPr>
        <w:ind w:firstLine="238"/>
      </w:pPr>
      <w:r>
        <w:rPr>
          <w:rFonts w:cs="EB Garamond"/>
          <w:b/>
          <w:kern w:val="16"/>
          <w14:ligatures w14:val="standardContextual"/>
        </w:rPr>
        <w:lastRenderedPageBreak/>
        <w:t>Regime 2 — EC 113/2021 (dezembro de 2021 a agosto de 2025).</w:t>
      </w:r>
      <w:r>
        <w:rPr>
          <w:rFonts w:cs="EB Garamond"/>
          <w:kern w:val="16"/>
          <w14:ligatures w14:val="standardContextual"/>
        </w:rPr>
        <w:t xml:space="preserve"> A SELIC como índice único de atualização, englobando correção e juros. A mudança simplificou o cálculo.</w:t>
      </w:r>
    </w:p>
    <w:p w14:paraId="0B3D6D54" w14:textId="77777777" w:rsidR="005A5FCC" w:rsidRDefault="00A21C81">
      <w:pPr>
        <w:ind w:firstLine="238"/>
      </w:pPr>
      <w:r>
        <w:rPr>
          <w:rFonts w:cs="EB Garamond"/>
          <w:b/>
          <w:kern w:val="16"/>
          <w14:ligatures w14:val="standardContextual"/>
        </w:rPr>
        <w:t>Regime 3 — EC 136/2025 (a partir de setembro de 2025).</w:t>
      </w:r>
      <w:r>
        <w:rPr>
          <w:rFonts w:cs="EB Garamond"/>
          <w:kern w:val="16"/>
          <w14:ligatures w14:val="standardContextual"/>
        </w:rPr>
        <w:t xml:space="preserve"> IPCA acrescido de juros simples de 2% ao ano, com teto: a soma não pode exceder a SELIC acumulada no mesmo período. Uma ressalva metodológica é indispensável aqui: o IPCA é índice de </w:t>
      </w:r>
      <w:r>
        <w:rPr>
          <w:rFonts w:cs="EB Garamond"/>
          <w:b/>
          <w:kern w:val="16"/>
          <w14:ligatures w14:val="standardContextual"/>
        </w:rPr>
        <w:t>correção monetária</w:t>
      </w:r>
      <w:r>
        <w:rPr>
          <w:rFonts w:cs="EB Garamond"/>
          <w:kern w:val="16"/>
          <w14:ligatures w14:val="standardContextual"/>
        </w:rPr>
        <w:t xml:space="preserve"> (recompõe a inflação do período, capitalizando-se sobre a base atualizada), ao passo que os 2% a.a. São </w:t>
      </w:r>
      <w:r>
        <w:rPr>
          <w:rFonts w:cs="EB Garamond"/>
          <w:b/>
          <w:kern w:val="16"/>
          <w14:ligatures w14:val="standardContextual"/>
        </w:rPr>
        <w:t>juros simples</w:t>
      </w:r>
      <w:r>
        <w:rPr>
          <w:rFonts w:cs="EB Garamond"/>
          <w:kern w:val="16"/>
          <w14:ligatures w14:val="standardContextual"/>
        </w:rPr>
        <w:t xml:space="preserve"> (incidem linearmente sobre o valor, sem capitalização). As duas grandezas, por operarem mecânicas distintas, não se somam de forma aritmeticamente direta; a expressão "IPCA + 2%" é uma síntese da composição, e não uma taxa única a ser aplicada em bloco. O resultado efetivo dependerá, em cada execução, do IPCA acumulado e da taxa SELIC vigentes no período de apuração. A título ilustrativo, em cenário de SELIC elevada (a SELIC esteve em patamar próximo a 14,5% a.a. Em meados de 2026 [verificar a taxa vigente na data de leitura]), a remuneração resultante do regime da EC 136 tende a situar-se bem abaixo da que vigorava sob a SELIC plena, ficando, em regra, aquém do teto e dispensando o seu acionamento. Na prática, o credor previdenciário passa a receber atualização sensivelmente inferior à do regime anterior.</w:t>
      </w:r>
    </w:p>
    <w:tbl>
      <w:tblPr>
        <w:tblW w:w="5000" w:type="pct"/>
        <w:jc w:val="center"/>
        <w:tblLayout w:type="fixed"/>
        <w:tblLook w:val="04A0" w:firstRow="1" w:lastRow="0" w:firstColumn="1" w:lastColumn="0" w:noHBand="0" w:noVBand="1"/>
      </w:tblPr>
      <w:tblGrid>
        <w:gridCol w:w="6311"/>
      </w:tblGrid>
      <w:tr w:rsidR="005A5FCC" w14:paraId="044C6AD8" w14:textId="77777777">
        <w:trPr>
          <w:cantSplit/>
          <w:jc w:val="center"/>
        </w:trPr>
        <w:tc>
          <w:tcPr>
            <w:tcW w:w="6350" w:type="dxa"/>
            <w:tcBorders>
              <w:top w:val="single" w:sz="7" w:space="0" w:color="A09882"/>
              <w:left w:val="single" w:sz="24" w:space="0" w:color="6B6256"/>
              <w:bottom w:val="single" w:sz="7" w:space="0" w:color="A09882"/>
              <w:right w:val="single" w:sz="7" w:space="0" w:color="A09882"/>
            </w:tcBorders>
            <w:shd w:val="clear" w:color="auto" w:fill="F5F3EF"/>
            <w:tcMar>
              <w:top w:w="150" w:type="dxa"/>
              <w:left w:w="220" w:type="dxa"/>
              <w:bottom w:w="150" w:type="dxa"/>
              <w:right w:w="180" w:type="dxa"/>
            </w:tcMar>
          </w:tcPr>
          <w:p w14:paraId="4E97EA55" w14:textId="77777777" w:rsidR="005A5FCC" w:rsidRDefault="00A21C81">
            <w:pPr>
              <w:spacing w:after="60" w:line="240" w:lineRule="auto"/>
              <w:jc w:val="left"/>
            </w:pPr>
            <w:r>
              <w:rPr>
                <w:rFonts w:ascii="Noto Sans" w:hAnsi="Noto Sans" w:cs="Noto Sans"/>
                <w:b/>
                <w:caps/>
                <w:color w:val="6B6256"/>
                <w:kern w:val="16"/>
                <w:sz w:val="16"/>
                <w14:ligatures w14:val="standardContextual"/>
              </w:rPr>
              <w:lastRenderedPageBreak/>
              <w:t>QUADRO</w:t>
            </w:r>
          </w:p>
          <w:p w14:paraId="3505AF46" w14:textId="77777777" w:rsidR="005A5FCC" w:rsidRDefault="00A21C81">
            <w:pPr>
              <w:spacing w:after="60" w:line="247" w:lineRule="auto"/>
            </w:pPr>
            <w:r>
              <w:rPr>
                <w:rFonts w:cs="EB Garamond"/>
                <w:b/>
                <w:kern w:val="16"/>
                <w:sz w:val="19"/>
                <w14:ligatures w14:val="standardContextual"/>
              </w:rPr>
              <w:t>Três regimes de correção monetária e juros nas condenações previdenciárias</w:t>
            </w:r>
          </w:p>
          <w:tbl>
            <w:tblPr>
              <w:tblW w:w="5000" w:type="pct"/>
              <w:jc w:val="center"/>
              <w:tblLook w:val="04A0" w:firstRow="1" w:lastRow="0" w:firstColumn="1" w:lastColumn="0" w:noHBand="0" w:noVBand="1"/>
            </w:tblPr>
            <w:tblGrid>
              <w:gridCol w:w="1181"/>
              <w:gridCol w:w="1180"/>
              <w:gridCol w:w="1180"/>
              <w:gridCol w:w="1180"/>
              <w:gridCol w:w="1180"/>
            </w:tblGrid>
            <w:tr w:rsidR="005A5FCC" w14:paraId="147260B5" w14:textId="77777777">
              <w:trPr>
                <w:tblHeader/>
                <w:jc w:val="center"/>
              </w:trPr>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3621D597" w14:textId="77777777" w:rsidR="005A5FCC" w:rsidRDefault="00A21C81">
                  <w:pPr>
                    <w:spacing w:before="30" w:after="30" w:line="240" w:lineRule="auto"/>
                    <w:jc w:val="center"/>
                  </w:pPr>
                  <w:r>
                    <w:rPr>
                      <w:rFonts w:cs="EB Garamond"/>
                      <w:b/>
                      <w:color w:val="2F2923"/>
                      <w:kern w:val="16"/>
                      <w:sz w:val="16"/>
                      <w14:ligatures w14:val="standardContextual"/>
                    </w:rPr>
                    <w:t>Período</w:t>
                  </w:r>
                </w:p>
              </w:tc>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4B0BCE6F" w14:textId="77777777" w:rsidR="005A5FCC" w:rsidRDefault="00A21C81">
                  <w:pPr>
                    <w:spacing w:before="30" w:after="30" w:line="240" w:lineRule="auto"/>
                    <w:jc w:val="center"/>
                  </w:pPr>
                  <w:r>
                    <w:rPr>
                      <w:rFonts w:cs="EB Garamond"/>
                      <w:b/>
                      <w:color w:val="2F2923"/>
                      <w:kern w:val="16"/>
                      <w:sz w:val="16"/>
                      <w14:ligatures w14:val="standardContextual"/>
                    </w:rPr>
                    <w:t>Regime</w:t>
                  </w:r>
                </w:p>
              </w:tc>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1EFB443B" w14:textId="77777777" w:rsidR="005A5FCC" w:rsidRDefault="00A21C81">
                  <w:pPr>
                    <w:spacing w:before="30" w:after="30" w:line="240" w:lineRule="auto"/>
                    <w:jc w:val="center"/>
                  </w:pPr>
                  <w:r>
                    <w:rPr>
                      <w:rFonts w:cs="EB Garamond"/>
                      <w:b/>
                      <w:color w:val="2F2923"/>
                      <w:kern w:val="16"/>
                      <w:sz w:val="16"/>
                      <w14:ligatures w14:val="standardContextual"/>
                    </w:rPr>
                    <w:t>Correção monetária</w:t>
                  </w:r>
                </w:p>
              </w:tc>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28753EFC" w14:textId="77777777" w:rsidR="005A5FCC" w:rsidRDefault="00A21C81">
                  <w:pPr>
                    <w:spacing w:before="30" w:after="30" w:line="240" w:lineRule="auto"/>
                    <w:jc w:val="center"/>
                  </w:pPr>
                  <w:r>
                    <w:rPr>
                      <w:rFonts w:cs="EB Garamond"/>
                      <w:b/>
                      <w:color w:val="2F2923"/>
                      <w:kern w:val="16"/>
                      <w:sz w:val="16"/>
                      <w14:ligatures w14:val="standardContextual"/>
                    </w:rPr>
                    <w:t>Juros de mora</w:t>
                  </w:r>
                </w:p>
              </w:tc>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34FE2230" w14:textId="77777777" w:rsidR="005A5FCC" w:rsidRDefault="00A21C81">
                  <w:pPr>
                    <w:spacing w:before="30" w:after="30" w:line="240" w:lineRule="auto"/>
                    <w:jc w:val="center"/>
                  </w:pPr>
                  <w:r>
                    <w:rPr>
                      <w:rFonts w:cs="EB Garamond"/>
                      <w:b/>
                      <w:color w:val="2F2923"/>
                      <w:kern w:val="16"/>
                      <w:sz w:val="16"/>
                      <w14:ligatures w14:val="standardContextual"/>
                    </w:rPr>
                    <w:t>Resultado prático (estimado, junho/2026)</w:t>
                  </w:r>
                </w:p>
              </w:tc>
            </w:tr>
            <w:tr w:rsidR="005A5FCC" w14:paraId="2BE25DFA"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02F4CE5C" w14:textId="77777777" w:rsidR="005A5FCC" w:rsidRDefault="00A21C81">
                  <w:pPr>
                    <w:spacing w:before="20" w:after="20" w:line="240" w:lineRule="auto"/>
                    <w:jc w:val="left"/>
                  </w:pPr>
                  <w:r>
                    <w:rPr>
                      <w:rFonts w:cs="EB Garamond"/>
                      <w:kern w:val="16"/>
                      <w:sz w:val="16"/>
                      <w14:ligatures w14:val="standardContextual"/>
                    </w:rPr>
                    <w:t>Até nov/2021</w:t>
                  </w:r>
                </w:p>
              </w:tc>
              <w:tc>
                <w:tcPr>
                  <w:tcW w:w="1270" w:type="dxa"/>
                  <w:tcBorders>
                    <w:top w:val="single" w:sz="4" w:space="0" w:color="D2C9B8"/>
                    <w:left w:val="single" w:sz="4" w:space="0" w:color="D2C9B8"/>
                    <w:bottom w:val="single" w:sz="4" w:space="0" w:color="D2C9B8"/>
                    <w:right w:val="single" w:sz="4" w:space="0" w:color="D2C9B8"/>
                  </w:tcBorders>
                </w:tcPr>
                <w:p w14:paraId="049D414B" w14:textId="77777777" w:rsidR="005A5FCC" w:rsidRDefault="00A21C81">
                  <w:pPr>
                    <w:spacing w:before="20" w:after="20" w:line="240" w:lineRule="auto"/>
                    <w:jc w:val="left"/>
                  </w:pPr>
                  <w:r>
                    <w:rPr>
                      <w:rFonts w:cs="EB Garamond"/>
                      <w:kern w:val="16"/>
                      <w:sz w:val="16"/>
                      <w14:ligatures w14:val="standardContextual"/>
                    </w:rPr>
                    <w:t>Pré-EC 113</w:t>
                  </w:r>
                </w:p>
              </w:tc>
              <w:tc>
                <w:tcPr>
                  <w:tcW w:w="1270" w:type="dxa"/>
                  <w:tcBorders>
                    <w:top w:val="single" w:sz="4" w:space="0" w:color="D2C9B8"/>
                    <w:left w:val="single" w:sz="4" w:space="0" w:color="D2C9B8"/>
                    <w:bottom w:val="single" w:sz="4" w:space="0" w:color="D2C9B8"/>
                    <w:right w:val="single" w:sz="4" w:space="0" w:color="D2C9B8"/>
                  </w:tcBorders>
                </w:tcPr>
                <w:p w14:paraId="1FDE919F" w14:textId="77777777" w:rsidR="005A5FCC" w:rsidRDefault="00A21C81">
                  <w:pPr>
                    <w:spacing w:before="20" w:after="20" w:line="240" w:lineRule="auto"/>
                    <w:jc w:val="left"/>
                  </w:pPr>
                  <w:r>
                    <w:rPr>
                      <w:rFonts w:cs="EB Garamond"/>
                      <w:kern w:val="16"/>
                      <w:sz w:val="16"/>
                      <w14:ligatures w14:val="standardContextual"/>
                    </w:rPr>
                    <w:t>IPCA-E (condenações judiciais) / INPC (manutenção do benefício)</w:t>
                  </w:r>
                </w:p>
              </w:tc>
              <w:tc>
                <w:tcPr>
                  <w:tcW w:w="1270" w:type="dxa"/>
                  <w:tcBorders>
                    <w:top w:val="single" w:sz="4" w:space="0" w:color="D2C9B8"/>
                    <w:left w:val="single" w:sz="4" w:space="0" w:color="D2C9B8"/>
                    <w:bottom w:val="single" w:sz="4" w:space="0" w:color="D2C9B8"/>
                    <w:right w:val="single" w:sz="4" w:space="0" w:color="D2C9B8"/>
                  </w:tcBorders>
                </w:tcPr>
                <w:p w14:paraId="38855426" w14:textId="77777777" w:rsidR="005A5FCC" w:rsidRDefault="00A21C81">
                  <w:pPr>
                    <w:spacing w:before="20" w:after="20" w:line="240" w:lineRule="auto"/>
                    <w:jc w:val="left"/>
                  </w:pPr>
                  <w:r>
                    <w:rPr>
                      <w:rFonts w:cs="EB Garamond"/>
                      <w:kern w:val="16"/>
                      <w:sz w:val="16"/>
                      <w14:ligatures w14:val="standardContextual"/>
                    </w:rPr>
                    <w:t>0,5% a.m. Ou poupança</w:t>
                  </w:r>
                </w:p>
              </w:tc>
              <w:tc>
                <w:tcPr>
                  <w:tcW w:w="1270" w:type="dxa"/>
                  <w:tcBorders>
                    <w:top w:val="single" w:sz="4" w:space="0" w:color="D2C9B8"/>
                    <w:left w:val="single" w:sz="4" w:space="0" w:color="D2C9B8"/>
                    <w:bottom w:val="single" w:sz="4" w:space="0" w:color="D2C9B8"/>
                    <w:right w:val="single" w:sz="4" w:space="0" w:color="D2C9B8"/>
                  </w:tcBorders>
                </w:tcPr>
                <w:p w14:paraId="6DFA06C3" w14:textId="77777777" w:rsidR="005A5FCC" w:rsidRDefault="00A21C81">
                  <w:pPr>
                    <w:spacing w:before="20" w:after="20" w:line="240" w:lineRule="auto"/>
                    <w:jc w:val="left"/>
                  </w:pPr>
                  <w:r>
                    <w:rPr>
                      <w:rFonts w:cs="EB Garamond"/>
                      <w:kern w:val="16"/>
                      <w:sz w:val="16"/>
                      <w14:ligatures w14:val="standardContextual"/>
                    </w:rPr>
                    <w:t>Variável conforme período</w:t>
                  </w:r>
                </w:p>
              </w:tc>
            </w:tr>
            <w:tr w:rsidR="005A5FCC" w14:paraId="195CBB72"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263C1278" w14:textId="77777777" w:rsidR="005A5FCC" w:rsidRDefault="00A21C81">
                  <w:pPr>
                    <w:spacing w:before="20" w:after="20" w:line="240" w:lineRule="auto"/>
                    <w:jc w:val="left"/>
                  </w:pPr>
                  <w:r>
                    <w:rPr>
                      <w:rFonts w:cs="EB Garamond"/>
                      <w:kern w:val="16"/>
                      <w:sz w:val="16"/>
                      <w14:ligatures w14:val="standardContextual"/>
                    </w:rPr>
                    <w:t>Dez/2021 a ago/2025</w:t>
                  </w:r>
                </w:p>
              </w:tc>
              <w:tc>
                <w:tcPr>
                  <w:tcW w:w="1270" w:type="dxa"/>
                  <w:tcBorders>
                    <w:top w:val="single" w:sz="4" w:space="0" w:color="D2C9B8"/>
                    <w:left w:val="single" w:sz="4" w:space="0" w:color="D2C9B8"/>
                    <w:bottom w:val="single" w:sz="4" w:space="0" w:color="D2C9B8"/>
                    <w:right w:val="single" w:sz="4" w:space="0" w:color="D2C9B8"/>
                  </w:tcBorders>
                </w:tcPr>
                <w:p w14:paraId="699D467B" w14:textId="77777777" w:rsidR="005A5FCC" w:rsidRDefault="00A21C81">
                  <w:pPr>
                    <w:spacing w:before="20" w:after="20" w:line="240" w:lineRule="auto"/>
                    <w:jc w:val="left"/>
                  </w:pPr>
                  <w:r>
                    <w:rPr>
                      <w:rFonts w:cs="EB Garamond"/>
                      <w:kern w:val="16"/>
                      <w:sz w:val="16"/>
                      <w14:ligatures w14:val="standardContextual"/>
                    </w:rPr>
                    <w:t>EC 113/2021</w:t>
                  </w:r>
                </w:p>
              </w:tc>
              <w:tc>
                <w:tcPr>
                  <w:tcW w:w="1270" w:type="dxa"/>
                  <w:tcBorders>
                    <w:top w:val="single" w:sz="4" w:space="0" w:color="D2C9B8"/>
                    <w:left w:val="single" w:sz="4" w:space="0" w:color="D2C9B8"/>
                    <w:bottom w:val="single" w:sz="4" w:space="0" w:color="D2C9B8"/>
                    <w:right w:val="single" w:sz="4" w:space="0" w:color="D2C9B8"/>
                  </w:tcBorders>
                </w:tcPr>
                <w:p w14:paraId="51A5C210" w14:textId="77777777" w:rsidR="005A5FCC" w:rsidRDefault="00A21C81">
                  <w:pPr>
                    <w:spacing w:before="20" w:after="20" w:line="240" w:lineRule="auto"/>
                    <w:jc w:val="left"/>
                  </w:pPr>
                  <w:r>
                    <w:rPr>
                      <w:rFonts w:cs="EB Garamond"/>
                      <w:kern w:val="16"/>
                      <w:sz w:val="16"/>
                      <w14:ligatures w14:val="standardContextual"/>
                    </w:rPr>
                    <w:t>SELIC (índice único, engloba correção + juros)</w:t>
                  </w:r>
                </w:p>
              </w:tc>
              <w:tc>
                <w:tcPr>
                  <w:tcW w:w="1270" w:type="dxa"/>
                  <w:tcBorders>
                    <w:top w:val="single" w:sz="4" w:space="0" w:color="D2C9B8"/>
                    <w:left w:val="single" w:sz="4" w:space="0" w:color="D2C9B8"/>
                    <w:bottom w:val="single" w:sz="4" w:space="0" w:color="D2C9B8"/>
                    <w:right w:val="single" w:sz="4" w:space="0" w:color="D2C9B8"/>
                  </w:tcBorders>
                </w:tcPr>
                <w:p w14:paraId="5F12B06F" w14:textId="77777777" w:rsidR="005A5FCC" w:rsidRDefault="00A21C81">
                  <w:pPr>
                    <w:spacing w:before="20" w:after="20" w:line="240" w:lineRule="auto"/>
                    <w:jc w:val="left"/>
                  </w:pPr>
                  <w:r>
                    <w:rPr>
                      <w:rFonts w:cs="EB Garamond"/>
                      <w:kern w:val="16"/>
                      <w:sz w:val="16"/>
                      <w14:ligatures w14:val="standardContextual"/>
                    </w:rPr>
                    <w:t>Englobados na SELIC</w:t>
                  </w:r>
                </w:p>
              </w:tc>
              <w:tc>
                <w:tcPr>
                  <w:tcW w:w="1270" w:type="dxa"/>
                  <w:tcBorders>
                    <w:top w:val="single" w:sz="4" w:space="0" w:color="D2C9B8"/>
                    <w:left w:val="single" w:sz="4" w:space="0" w:color="D2C9B8"/>
                    <w:bottom w:val="single" w:sz="4" w:space="0" w:color="D2C9B8"/>
                    <w:right w:val="single" w:sz="4" w:space="0" w:color="D2C9B8"/>
                  </w:tcBorders>
                </w:tcPr>
                <w:p w14:paraId="6B077D3F" w14:textId="77777777" w:rsidR="005A5FCC" w:rsidRDefault="00A21C81">
                  <w:pPr>
                    <w:spacing w:before="20" w:after="20" w:line="240" w:lineRule="auto"/>
                    <w:jc w:val="left"/>
                  </w:pPr>
                  <w:r>
                    <w:rPr>
                      <w:rFonts w:cs="EB Garamond"/>
                      <w:kern w:val="16"/>
                      <w:sz w:val="16"/>
                      <w14:ligatures w14:val="standardContextual"/>
                    </w:rPr>
                    <w:t>Acompanha a SELIC vigente em cada mês do período (taxa de dois dígitos na maior parte do intervalo)</w:t>
                  </w:r>
                </w:p>
              </w:tc>
            </w:tr>
            <w:tr w:rsidR="005A5FCC" w14:paraId="25AF8B22"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158FCB13" w14:textId="77777777" w:rsidR="005A5FCC" w:rsidRDefault="00A21C81">
                  <w:pPr>
                    <w:spacing w:before="20" w:after="20" w:line="240" w:lineRule="auto"/>
                    <w:jc w:val="left"/>
                  </w:pPr>
                  <w:r>
                    <w:rPr>
                      <w:rFonts w:cs="EB Garamond"/>
                      <w:kern w:val="16"/>
                      <w:sz w:val="16"/>
                      <w14:ligatures w14:val="standardContextual"/>
                    </w:rPr>
                    <w:t>A partir de set/2025</w:t>
                  </w:r>
                </w:p>
              </w:tc>
              <w:tc>
                <w:tcPr>
                  <w:tcW w:w="1270" w:type="dxa"/>
                  <w:tcBorders>
                    <w:top w:val="single" w:sz="4" w:space="0" w:color="D2C9B8"/>
                    <w:left w:val="single" w:sz="4" w:space="0" w:color="D2C9B8"/>
                    <w:bottom w:val="single" w:sz="4" w:space="0" w:color="D2C9B8"/>
                    <w:right w:val="single" w:sz="4" w:space="0" w:color="D2C9B8"/>
                  </w:tcBorders>
                </w:tcPr>
                <w:p w14:paraId="486E5664" w14:textId="77777777" w:rsidR="005A5FCC" w:rsidRDefault="00A21C81">
                  <w:pPr>
                    <w:spacing w:before="20" w:after="20" w:line="240" w:lineRule="auto"/>
                    <w:jc w:val="left"/>
                  </w:pPr>
                  <w:r>
                    <w:rPr>
                      <w:rFonts w:cs="EB Garamond"/>
                      <w:kern w:val="16"/>
                      <w:sz w:val="16"/>
                      <w14:ligatures w14:val="standardContextual"/>
                    </w:rPr>
                    <w:t>EC 136/2025</w:t>
                  </w:r>
                </w:p>
              </w:tc>
              <w:tc>
                <w:tcPr>
                  <w:tcW w:w="1270" w:type="dxa"/>
                  <w:tcBorders>
                    <w:top w:val="single" w:sz="4" w:space="0" w:color="D2C9B8"/>
                    <w:left w:val="single" w:sz="4" w:space="0" w:color="D2C9B8"/>
                    <w:bottom w:val="single" w:sz="4" w:space="0" w:color="D2C9B8"/>
                    <w:right w:val="single" w:sz="4" w:space="0" w:color="D2C9B8"/>
                  </w:tcBorders>
                </w:tcPr>
                <w:p w14:paraId="4BF526E6" w14:textId="77777777" w:rsidR="005A5FCC" w:rsidRDefault="00A21C81">
                  <w:pPr>
                    <w:spacing w:before="20" w:after="20" w:line="240" w:lineRule="auto"/>
                    <w:jc w:val="left"/>
                  </w:pPr>
                  <w:r>
                    <w:rPr>
                      <w:rFonts w:cs="EB Garamond"/>
                      <w:kern w:val="16"/>
                      <w:sz w:val="16"/>
                      <w14:ligatures w14:val="standardContextual"/>
                    </w:rPr>
                    <w:t>IPCA + 2% a.a. (juros simples), teto SELIC</w:t>
                  </w:r>
                </w:p>
              </w:tc>
              <w:tc>
                <w:tcPr>
                  <w:tcW w:w="1270" w:type="dxa"/>
                  <w:tcBorders>
                    <w:top w:val="single" w:sz="4" w:space="0" w:color="D2C9B8"/>
                    <w:left w:val="single" w:sz="4" w:space="0" w:color="D2C9B8"/>
                    <w:bottom w:val="single" w:sz="4" w:space="0" w:color="D2C9B8"/>
                    <w:right w:val="single" w:sz="4" w:space="0" w:color="D2C9B8"/>
                  </w:tcBorders>
                </w:tcPr>
                <w:p w14:paraId="16E226F7" w14:textId="77777777" w:rsidR="005A5FCC" w:rsidRDefault="00A21C81">
                  <w:pPr>
                    <w:spacing w:before="20" w:after="20" w:line="240" w:lineRule="auto"/>
                    <w:jc w:val="left"/>
                  </w:pPr>
                  <w:r>
                    <w:rPr>
                      <w:rFonts w:cs="EB Garamond"/>
                      <w:kern w:val="16"/>
                      <w:sz w:val="16"/>
                      <w14:ligatures w14:val="standardContextual"/>
                    </w:rPr>
                    <w:t>Englobados (IPCA + 2%)</w:t>
                  </w:r>
                </w:p>
              </w:tc>
              <w:tc>
                <w:tcPr>
                  <w:tcW w:w="1270" w:type="dxa"/>
                  <w:tcBorders>
                    <w:top w:val="single" w:sz="4" w:space="0" w:color="D2C9B8"/>
                    <w:left w:val="single" w:sz="4" w:space="0" w:color="D2C9B8"/>
                    <w:bottom w:val="single" w:sz="4" w:space="0" w:color="D2C9B8"/>
                    <w:right w:val="single" w:sz="4" w:space="0" w:color="D2C9B8"/>
                  </w:tcBorders>
                </w:tcPr>
                <w:p w14:paraId="7CFD8A4C" w14:textId="77777777" w:rsidR="005A5FCC" w:rsidRDefault="00A21C81">
                  <w:pPr>
                    <w:spacing w:before="20" w:after="20" w:line="240" w:lineRule="auto"/>
                    <w:jc w:val="left"/>
                  </w:pPr>
                  <w:r>
                    <w:rPr>
                      <w:rFonts w:cs="EB Garamond"/>
                      <w:kern w:val="16"/>
                      <w:sz w:val="16"/>
                      <w14:ligatures w14:val="standardContextual"/>
                    </w:rPr>
                    <w:t>A depender do IPCA e da SELIC vigentes; em regra, bem abaixo do regime SELIC</w:t>
                  </w:r>
                </w:p>
              </w:tc>
            </w:tr>
          </w:tbl>
          <w:p w14:paraId="5A796533" w14:textId="77777777" w:rsidR="005A5FCC" w:rsidRDefault="005A5FCC"/>
          <w:p w14:paraId="7E2C4B29" w14:textId="77777777" w:rsidR="005A5FCC" w:rsidRDefault="005A5FCC">
            <w:pPr>
              <w:spacing w:after="0" w:line="240" w:lineRule="auto"/>
            </w:pPr>
          </w:p>
        </w:tc>
      </w:tr>
    </w:tbl>
    <w:p w14:paraId="02AB9932" w14:textId="77777777" w:rsidR="005A5FCC" w:rsidRDefault="005A5FCC">
      <w:pPr>
        <w:spacing w:after="80" w:line="240" w:lineRule="auto"/>
      </w:pPr>
    </w:p>
    <w:p w14:paraId="0C20B389"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5D94543B" w14:textId="77777777" w:rsidR="005A5FCC" w:rsidRDefault="00A21C81">
      <w:r>
        <w:rPr>
          <w:rFonts w:cs="EB Garamond"/>
          <w:i/>
          <w:kern w:val="16"/>
          <w14:ligatures w14:val="standardContextual"/>
        </w:rPr>
        <w:t>s percentuais indicados são meramente referenciais e dependem dos índices efetivamente apurados em cada período; IPCA (correção monetária) e os 2% a.a. (juros simples) não compõem taxa única somável de forma direta.</w:t>
      </w:r>
    </w:p>
    <w:p w14:paraId="1E703484" w14:textId="77777777" w:rsidR="005A5FCC" w:rsidRDefault="00A21C81">
      <w:pPr>
        <w:spacing w:before="260" w:after="80" w:line="240" w:lineRule="auto"/>
        <w:jc w:val="left"/>
      </w:pPr>
      <w:r>
        <w:rPr>
          <w:rFonts w:cs="EB Garamond"/>
          <w:b/>
          <w:color w:val="3A3128"/>
          <w:kern w:val="16"/>
          <w:sz w:val="25"/>
          <w14:ligatures w14:val="standardContextual"/>
        </w:rPr>
        <w:t>17.11.4 ADI 7873 — constitucionalidade da EC 136/2025</w:t>
      </w:r>
    </w:p>
    <w:p w14:paraId="519B7562"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53F30ABD" w14:textId="77777777" w:rsidR="005A5FCC" w:rsidRDefault="00A21C81">
      <w:r>
        <w:rPr>
          <w:rFonts w:cs="EB Garamond"/>
          <w:kern w:val="16"/>
          <w14:ligatures w14:val="standardContextual"/>
        </w:rPr>
        <w:t xml:space="preserve"> EC 136/2025 é objeto da ADI 7873, ajuizada pela OAB, com relatoria do Min. Luiz Fux. Até junho de 2026, o STF não concedeu cautelar, e a EC 136 está em vigor. O magistrado deve aplicar o regime da EC 136 aos precatórios e RPVs expedidos a partir de setembro de 2025, ressalvando a possibilidade de alteração em caso de acolhimento da ADI.</w:t>
      </w:r>
    </w:p>
    <w:tbl>
      <w:tblPr>
        <w:tblW w:w="5000" w:type="pct"/>
        <w:jc w:val="center"/>
        <w:tblLayout w:type="fixed"/>
        <w:tblLook w:val="04A0" w:firstRow="1" w:lastRow="0" w:firstColumn="1" w:lastColumn="0" w:noHBand="0" w:noVBand="1"/>
      </w:tblPr>
      <w:tblGrid>
        <w:gridCol w:w="6311"/>
      </w:tblGrid>
      <w:tr w:rsidR="005A5FCC" w14:paraId="3AD79B71"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2DEFE235" w14:textId="77777777" w:rsidR="005A5FCC" w:rsidRDefault="00A21C81">
            <w:pPr>
              <w:spacing w:after="60" w:line="240" w:lineRule="auto"/>
              <w:jc w:val="left"/>
            </w:pPr>
            <w:r>
              <w:rPr>
                <w:rFonts w:ascii="Noto Sans" w:hAnsi="Noto Sans" w:cs="Noto Sans"/>
                <w:b/>
                <w:caps/>
                <w:color w:val="B78B37"/>
                <w:kern w:val="16"/>
                <w:sz w:val="16"/>
                <w14:ligatures w14:val="standardContextual"/>
              </w:rPr>
              <w:lastRenderedPageBreak/>
              <w:t>ATENÇÃO</w:t>
            </w:r>
          </w:p>
          <w:p w14:paraId="66C5D428" w14:textId="77777777" w:rsidR="005A5FCC" w:rsidRDefault="00A21C81">
            <w:pPr>
              <w:spacing w:after="60" w:line="247" w:lineRule="auto"/>
            </w:pPr>
            <w:r>
              <w:rPr>
                <w:rFonts w:cs="EB Garamond"/>
                <w:b/>
                <w:kern w:val="16"/>
                <w:sz w:val="19"/>
                <w14:ligatures w14:val="standardContextual"/>
              </w:rPr>
              <w:t>EC 136/2025 — Impacto nos valores das ações revisionais</w:t>
            </w:r>
          </w:p>
          <w:p w14:paraId="4E68F89E" w14:textId="77777777" w:rsidR="005A5FCC" w:rsidRDefault="00A21C81">
            <w:pPr>
              <w:spacing w:after="60" w:line="247" w:lineRule="auto"/>
            </w:pPr>
            <w:r>
              <w:rPr>
                <w:rFonts w:cs="EB Garamond"/>
                <w:kern w:val="16"/>
                <w:sz w:val="19"/>
                <w14:ligatures w14:val="standardContextual"/>
              </w:rPr>
              <w:t>A EC 136/2025 reduziu a remuneração dos créditos judiciais previdenciários. Antes (EC 113), a atualização seguia a SELIC integral; agora, segue o IPCA acrescido de juros simples de 2% a.a., limitada à SELIC do período. Em cenário de SELIC elevada, a diferença a favor do regime anterior é expressiva — a depender, em cada caso, da SELIC e do IPCA vigentes no período de apuração (lembrando que IPCA e os 2% obedecem a metodologias distintas e não compõem taxa única aplicável em bloco).</w:t>
            </w:r>
          </w:p>
          <w:p w14:paraId="2C16A96E" w14:textId="77777777" w:rsidR="005A5FCC" w:rsidRDefault="00A21C81">
            <w:pPr>
              <w:spacing w:after="60" w:line="247" w:lineRule="auto"/>
            </w:pPr>
            <w:r>
              <w:rPr>
                <w:rFonts w:cs="EB Garamond"/>
                <w:b/>
                <w:kern w:val="16"/>
                <w:sz w:val="19"/>
                <w14:ligatures w14:val="standardContextual"/>
              </w:rPr>
              <w:t>Para o segurado:</w:t>
            </w:r>
            <w:r>
              <w:rPr>
                <w:rFonts w:cs="EB Garamond"/>
                <w:kern w:val="16"/>
                <w:sz w:val="19"/>
                <w14:ligatures w14:val="standardContextual"/>
              </w:rPr>
              <w:t xml:space="preserve"> perda de valor real enquanto aguarda pagamento.</w:t>
            </w:r>
          </w:p>
          <w:p w14:paraId="7C6EA73E" w14:textId="77777777" w:rsidR="005A5FCC" w:rsidRDefault="00A21C81">
            <w:pPr>
              <w:spacing w:after="60" w:line="247" w:lineRule="auto"/>
            </w:pPr>
            <w:r>
              <w:rPr>
                <w:rFonts w:cs="EB Garamond"/>
                <w:b/>
                <w:kern w:val="16"/>
                <w:sz w:val="19"/>
                <w14:ligatures w14:val="standardContextual"/>
              </w:rPr>
              <w:t>Para o advogado:</w:t>
            </w:r>
            <w:r>
              <w:rPr>
                <w:rFonts w:cs="EB Garamond"/>
                <w:kern w:val="16"/>
                <w:sz w:val="19"/>
                <w14:ligatures w14:val="standardContextual"/>
              </w:rPr>
              <w:t xml:space="preserve"> memória de cálculo deve aplicar três regimes distintos. Erros na transição entre regimes são causa frequente de impugnação.</w:t>
            </w:r>
          </w:p>
          <w:p w14:paraId="3C12DDE6" w14:textId="77777777" w:rsidR="005A5FCC" w:rsidRDefault="00A21C81">
            <w:pPr>
              <w:spacing w:after="60" w:line="247" w:lineRule="auto"/>
            </w:pPr>
            <w:r>
              <w:rPr>
                <w:rFonts w:cs="EB Garamond"/>
                <w:b/>
                <w:kern w:val="16"/>
                <w:sz w:val="19"/>
                <w14:ligatures w14:val="standardContextual"/>
              </w:rPr>
              <w:t>Para o magistrado:</w:t>
            </w:r>
            <w:r>
              <w:rPr>
                <w:rFonts w:cs="EB Garamond"/>
                <w:kern w:val="16"/>
                <w:sz w:val="19"/>
                <w14:ligatures w14:val="standardContextual"/>
              </w:rPr>
              <w:t xml:space="preserve"> a pendência da ADI 7873 não suspende a aplicação da EC 136.</w:t>
            </w:r>
          </w:p>
        </w:tc>
      </w:tr>
    </w:tbl>
    <w:p w14:paraId="7C73248D" w14:textId="77777777" w:rsidR="005A5FCC" w:rsidRDefault="005A5FCC">
      <w:pPr>
        <w:spacing w:after="80" w:line="240" w:lineRule="auto"/>
      </w:pPr>
    </w:p>
    <w:p w14:paraId="684E21A4" w14:textId="77777777" w:rsidR="005A5FCC" w:rsidRDefault="00A21C81">
      <w:pPr>
        <w:spacing w:before="260" w:after="80" w:line="240" w:lineRule="auto"/>
        <w:jc w:val="left"/>
      </w:pPr>
      <w:r>
        <w:rPr>
          <w:rFonts w:cs="EB Garamond"/>
          <w:b/>
          <w:color w:val="3A3128"/>
          <w:kern w:val="16"/>
          <w:sz w:val="25"/>
          <w14:ligatures w14:val="standardContextual"/>
        </w:rPr>
        <w:t>17.11.5 RPV e precatório</w:t>
      </w:r>
    </w:p>
    <w:p w14:paraId="186D8A7D"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S</w:t>
      </w:r>
    </w:p>
    <w:p w14:paraId="3D66A531" w14:textId="77777777" w:rsidR="005A5FCC" w:rsidRDefault="00A21C81">
      <w:r>
        <w:rPr>
          <w:rFonts w:cs="EB Garamond"/>
          <w:kern w:val="16"/>
          <w14:ligatures w14:val="standardContextual"/>
        </w:rPr>
        <w:t>e o valor total, por beneficiário, não excede 60 SM (R$ 97.260,00 em 2026; v. Nota na seção 17.1), pagamento por RPV (prazo de sessenta dias, na literalidade do art. 17 da Lei 10.259/2001). Se excede, precatório. O autor pode renunciar ao excedente para enquadrar em RPV — renúncia irrevogável.</w:t>
      </w:r>
    </w:p>
    <w:p w14:paraId="25DC2317" w14:textId="77777777" w:rsidR="005A5FCC" w:rsidRDefault="00A21C81">
      <w:pPr>
        <w:ind w:firstLine="238"/>
      </w:pPr>
      <w:r>
        <w:rPr>
          <w:rFonts w:cs="EB Garamond"/>
          <w:kern w:val="16"/>
          <w14:ligatures w14:val="standardContextual"/>
        </w:rPr>
        <w:t>Os honorários advocatícios, quando devidos, são requisitados em separado, em nome do advogado (art. 85, §14, CPC). A contribuição previdenciária incidente sobre as diferenças deve ser descontada antes da expedição da RPV.</w:t>
      </w:r>
    </w:p>
    <w:p w14:paraId="093AFE7A" w14:textId="77777777" w:rsidR="005A5FCC" w:rsidRDefault="00A21C81">
      <w:pPr>
        <w:spacing w:before="260" w:after="80" w:line="240" w:lineRule="auto"/>
        <w:jc w:val="left"/>
      </w:pPr>
      <w:r>
        <w:rPr>
          <w:rFonts w:cs="EB Garamond"/>
          <w:b/>
          <w:color w:val="3A3128"/>
          <w:kern w:val="16"/>
          <w:sz w:val="25"/>
          <w14:ligatures w14:val="standardContextual"/>
        </w:rPr>
        <w:t>17.11.6 Obrigação de fazer</w:t>
      </w:r>
    </w:p>
    <w:p w14:paraId="37414EFC"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5F7FEA05" w14:textId="77777777" w:rsidR="005A5FCC" w:rsidRDefault="00A21C81">
      <w:r>
        <w:rPr>
          <w:rFonts w:cs="EB Garamond"/>
          <w:kern w:val="16"/>
          <w14:ligatures w14:val="standardContextual"/>
        </w:rPr>
        <w:t xml:space="preserve"> sentença revisional contém, em regra, obrigação de fazer: implantação da nova RMI. Essa obrigação é autônoma em relação ao crédito pecuniário. A sentença deve conter: (a) determinação de implantação, com indicação do valor ou da regra de cálculo; (b) prazo para cumprimento (usualmente trinta dias, sob pena de multa diária); (c) ressalva de observância do teto e dos reajustes posteriores. O INSS pode alegar dificuldades sistêmicas para alterar benefícios antigos; o magistrado deve fixar prazo razoável e multa cominatória proporcional.</w:t>
      </w:r>
    </w:p>
    <w:p w14:paraId="49419ECD"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17.12 Prática: fluxo completo da ação revisional no JEF</w:t>
      </w:r>
    </w:p>
    <w:p w14:paraId="75760845" w14:textId="77777777" w:rsidR="005A5FCC" w:rsidRDefault="00A21C81">
      <w:pPr>
        <w:spacing w:before="260" w:after="80" w:line="240" w:lineRule="auto"/>
        <w:jc w:val="left"/>
      </w:pPr>
      <w:r>
        <w:rPr>
          <w:rFonts w:cs="EB Garamond"/>
          <w:b/>
          <w:color w:val="3A3128"/>
          <w:kern w:val="16"/>
          <w:sz w:val="25"/>
          <w14:ligatures w14:val="standardContextual"/>
        </w:rPr>
        <w:t>17.12.1 Checklist do advogado</w:t>
      </w:r>
    </w:p>
    <w:p w14:paraId="4C282B3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E</w:t>
      </w:r>
    </w:p>
    <w:p w14:paraId="3C0DAE79" w14:textId="77777777" w:rsidR="005A5FCC" w:rsidRDefault="00A21C81">
      <w:r>
        <w:rPr>
          <w:rFonts w:cs="EB Garamond"/>
          <w:b/>
          <w:kern w:val="16"/>
          <w14:ligatures w14:val="standardContextual"/>
        </w:rPr>
        <w:t>tapa 1 — Identificar a tese.</w:t>
      </w:r>
      <w:r>
        <w:rPr>
          <w:rFonts w:cs="EB Garamond"/>
          <w:kern w:val="16"/>
          <w14:ligatures w14:val="standardContextual"/>
        </w:rPr>
        <w:t xml:space="preserve"> Analisar carta de concessão, CNIS e, se possível, CONBAS. Verificar se a tese é fundada em precedente vinculante.</w:t>
      </w:r>
    </w:p>
    <w:p w14:paraId="73EB3038" w14:textId="77777777" w:rsidR="005A5FCC" w:rsidRDefault="00A21C81">
      <w:pPr>
        <w:ind w:firstLine="238"/>
      </w:pPr>
      <w:r>
        <w:rPr>
          <w:rFonts w:cs="EB Garamond"/>
          <w:b/>
          <w:kern w:val="16"/>
          <w14:ligatures w14:val="standardContextual"/>
        </w:rPr>
        <w:t>Etapa 2 — Verificar a decadência.</w:t>
      </w:r>
      <w:r>
        <w:rPr>
          <w:rFonts w:cs="EB Garamond"/>
          <w:kern w:val="16"/>
          <w14:ligatures w14:val="standardContextual"/>
        </w:rPr>
        <w:t xml:space="preserve"> DIB + 10 anos. Se expirou, verificar se a tese escapa à decadência (fato superveniente, fundo de direito). Atenção: a falta de apreciação administrativa da questão não afasta o prazo (Tema 975/STJ). Passo eliminatório.</w:t>
      </w:r>
    </w:p>
    <w:p w14:paraId="20A5D380" w14:textId="77777777" w:rsidR="005A5FCC" w:rsidRDefault="00A21C81">
      <w:pPr>
        <w:ind w:firstLine="238"/>
      </w:pPr>
      <w:r>
        <w:rPr>
          <w:rFonts w:cs="EB Garamond"/>
          <w:b/>
          <w:kern w:val="16"/>
          <w14:ligatures w14:val="standardContextual"/>
        </w:rPr>
        <w:t>Etapa 3 — Obter documentação.</w:t>
      </w:r>
      <w:r>
        <w:rPr>
          <w:rFonts w:cs="EB Garamond"/>
          <w:kern w:val="16"/>
          <w14:ligatures w14:val="standardContextual"/>
        </w:rPr>
        <w:t xml:space="preserve"> CNIS atualizado, carta de concessão, CONBAS, HISCREWEB. Prova de atividade especial ou rural, se for o caso.</w:t>
      </w:r>
    </w:p>
    <w:p w14:paraId="14AF926B" w14:textId="77777777" w:rsidR="005A5FCC" w:rsidRDefault="00A21C81">
      <w:pPr>
        <w:ind w:firstLine="238"/>
      </w:pPr>
      <w:r>
        <w:rPr>
          <w:rFonts w:cs="EB Garamond"/>
          <w:b/>
          <w:kern w:val="16"/>
          <w14:ligatures w14:val="standardContextual"/>
        </w:rPr>
        <w:t>Etapa 4 — Elaborar memória de cálculo comparativa.</w:t>
      </w:r>
      <w:r>
        <w:rPr>
          <w:rFonts w:cs="EB Garamond"/>
          <w:kern w:val="16"/>
          <w14:ligatures w14:val="standardContextual"/>
        </w:rPr>
        <w:t xml:space="preserve"> RMI revisada × RMI paga. Diferença mensal × 12 vincendas + diferenças vencidas (5 anos).</w:t>
      </w:r>
    </w:p>
    <w:p w14:paraId="2E90E033" w14:textId="77777777" w:rsidR="005A5FCC" w:rsidRDefault="00A21C81">
      <w:pPr>
        <w:ind w:firstLine="238"/>
      </w:pPr>
      <w:r>
        <w:rPr>
          <w:rFonts w:cs="EB Garamond"/>
          <w:b/>
          <w:kern w:val="16"/>
          <w14:ligatures w14:val="standardContextual"/>
        </w:rPr>
        <w:t>Etapa 5 — Calcular valor da causa e competência.</w:t>
      </w:r>
      <w:r>
        <w:rPr>
          <w:rFonts w:cs="EB Garamond"/>
          <w:kern w:val="16"/>
          <w14:ligatures w14:val="standardContextual"/>
        </w:rPr>
        <w:t xml:space="preserve"> Até 60 SM = JEF. Acima = avaliar renúncia ao excedente.</w:t>
      </w:r>
    </w:p>
    <w:p w14:paraId="06F5C964" w14:textId="77777777" w:rsidR="005A5FCC" w:rsidRDefault="00A21C81">
      <w:pPr>
        <w:ind w:firstLine="238"/>
      </w:pPr>
      <w:r>
        <w:rPr>
          <w:rFonts w:cs="EB Garamond"/>
          <w:b/>
          <w:kern w:val="16"/>
          <w14:ligatures w14:val="standardContextual"/>
        </w:rPr>
        <w:t>Etapa 6 — Verificar prescrição quinquenal.</w:t>
      </w:r>
      <w:r>
        <w:rPr>
          <w:rFonts w:cs="EB Garamond"/>
          <w:kern w:val="16"/>
          <w14:ligatures w14:val="standardContextual"/>
        </w:rPr>
        <w:t xml:space="preserve"> Apenas diferenças dos últimos 5 anos.</w:t>
      </w:r>
    </w:p>
    <w:p w14:paraId="1E3BB209" w14:textId="77777777" w:rsidR="005A5FCC" w:rsidRDefault="00A21C81">
      <w:pPr>
        <w:ind w:firstLine="238"/>
      </w:pPr>
      <w:r>
        <w:rPr>
          <w:rFonts w:cs="EB Garamond"/>
          <w:b/>
          <w:kern w:val="16"/>
          <w14:ligatures w14:val="standardContextual"/>
        </w:rPr>
        <w:t>Etapa 7 — Redigir a petição inicial.</w:t>
      </w:r>
      <w:r>
        <w:rPr>
          <w:rFonts w:cs="EB Garamond"/>
          <w:kern w:val="16"/>
          <w14:ligatures w14:val="standardContextual"/>
        </w:rPr>
        <w:t xml:space="preserve"> Incluir todos os elementos do checklist da seção 17.9.2.</w:t>
      </w:r>
    </w:p>
    <w:p w14:paraId="7329B94A" w14:textId="77777777" w:rsidR="005A5FCC" w:rsidRDefault="00A21C81">
      <w:pPr>
        <w:ind w:firstLine="238"/>
      </w:pPr>
      <w:r>
        <w:rPr>
          <w:rFonts w:cs="EB Garamond"/>
          <w:b/>
          <w:kern w:val="16"/>
          <w14:ligatures w14:val="standardContextual"/>
        </w:rPr>
        <w:t>Etapa 8 — Avaliar tutela antecipada.</w:t>
      </w:r>
      <w:r>
        <w:rPr>
          <w:rFonts w:cs="EB Garamond"/>
          <w:kern w:val="16"/>
          <w14:ligatures w14:val="standardContextual"/>
        </w:rPr>
        <w:t xml:space="preserve"> Tema repetitivo + prova documental = tutela de evidência (art. 311, II, CPC). Urgência = tutela de urgência (art. 300).</w:t>
      </w:r>
    </w:p>
    <w:p w14:paraId="22B64AAA" w14:textId="77777777" w:rsidR="005A5FCC" w:rsidRDefault="00A21C81">
      <w:pPr>
        <w:spacing w:before="260" w:after="80" w:line="240" w:lineRule="auto"/>
        <w:jc w:val="left"/>
      </w:pPr>
      <w:r>
        <w:rPr>
          <w:rFonts w:cs="EB Garamond"/>
          <w:b/>
          <w:color w:val="3A3128"/>
          <w:kern w:val="16"/>
          <w:sz w:val="25"/>
          <w14:ligatures w14:val="standardContextual"/>
        </w:rPr>
        <w:t>17.12.2 Checklist do magistrado</w:t>
      </w:r>
    </w:p>
    <w:p w14:paraId="465B1C1F"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F</w:t>
      </w:r>
    </w:p>
    <w:p w14:paraId="3052AC3A" w14:textId="77777777" w:rsidR="005A5FCC" w:rsidRDefault="00A21C81">
      <w:r>
        <w:rPr>
          <w:rFonts w:cs="EB Garamond"/>
          <w:b/>
          <w:kern w:val="16"/>
          <w14:ligatures w14:val="standardContextual"/>
        </w:rPr>
        <w:t>ase postulatória.</w:t>
      </w:r>
      <w:r>
        <w:rPr>
          <w:rFonts w:cs="EB Garamond"/>
          <w:kern w:val="16"/>
          <w14:ligatures w14:val="standardContextual"/>
        </w:rPr>
        <w:t xml:space="preserve"> (a) Competência: valor ≤ 60 SM? Renúncia, se necessário? (b) PI: tese identificada? Demonstração indiciária do erro? Memória de cálculo? (c) Decadência de ofício: se manifestamente atingida, extinguir com resolução do mérito (art. 487, II, CPC). (d) Citar INSS e determinar juntada de CONBAS/HISCREWEB (art. 11, Lei 10.259/2001).</w:t>
      </w:r>
    </w:p>
    <w:p w14:paraId="6EA5F42D" w14:textId="77777777" w:rsidR="005A5FCC" w:rsidRDefault="00A21C81">
      <w:pPr>
        <w:ind w:firstLine="238"/>
      </w:pPr>
      <w:r>
        <w:rPr>
          <w:rFonts w:cs="EB Garamond"/>
          <w:b/>
          <w:kern w:val="16"/>
          <w14:ligatures w14:val="standardContextual"/>
        </w:rPr>
        <w:lastRenderedPageBreak/>
        <w:t>Fase instrutória.</w:t>
      </w:r>
      <w:r>
        <w:rPr>
          <w:rFonts w:cs="EB Garamond"/>
          <w:kern w:val="16"/>
          <w14:ligatures w14:val="standardContextual"/>
        </w:rPr>
        <w:t xml:space="preserve"> (a) Contestação: decadência genérica ou fundamentada? Impugnação específica do cálculo? (b) Remessa à contadoria, se necessário. (c) Provas adicionais (CNIS complementar, PA, testemunhal).</w:t>
      </w:r>
    </w:p>
    <w:p w14:paraId="6F954AA5" w14:textId="77777777" w:rsidR="005A5FCC" w:rsidRDefault="00A21C81">
      <w:pPr>
        <w:ind w:firstLine="238"/>
      </w:pPr>
      <w:r>
        <w:rPr>
          <w:rFonts w:cs="EB Garamond"/>
          <w:b/>
          <w:kern w:val="16"/>
          <w14:ligatures w14:val="standardContextual"/>
        </w:rPr>
        <w:t>Julgamento.</w:t>
      </w:r>
      <w:r>
        <w:rPr>
          <w:rFonts w:cs="EB Garamond"/>
          <w:kern w:val="16"/>
          <w14:ligatures w14:val="standardContextual"/>
        </w:rPr>
        <w:t xml:space="preserve"> (a) Enfrentar decadência antes do mérito. (b) Fixar regra de cálculo (sentença ilíquida). (c) Determinar implantação da RMI revisada. (d) Condenar o INSS às diferenças (prescrição quinquenal). (e) Correção e juros conforme o regime vigente em cada período.</w:t>
      </w:r>
    </w:p>
    <w:p w14:paraId="4D5D9626" w14:textId="77777777" w:rsidR="005A5FCC" w:rsidRDefault="00A21C81">
      <w:pPr>
        <w:ind w:firstLine="238"/>
      </w:pPr>
      <w:r>
        <w:rPr>
          <w:rFonts w:cs="EB Garamond"/>
          <w:b/>
          <w:kern w:val="16"/>
          <w14:ligatures w14:val="standardContextual"/>
        </w:rPr>
        <w:t>Liquidação e execução.</w:t>
      </w:r>
      <w:r>
        <w:rPr>
          <w:rFonts w:cs="EB Garamond"/>
          <w:kern w:val="16"/>
          <w14:ligatures w14:val="standardContextual"/>
        </w:rPr>
        <w:t xml:space="preserve"> (a) Receber memória de cálculo ou remeter à contadoria. (b) Intimar INSS para impugnação. (c) Homologar cálculos. (d) Expedir RPV ou precatório. (e) Verificar implantação da RMI.</w:t>
      </w:r>
    </w:p>
    <w:p w14:paraId="1A561389" w14:textId="77777777" w:rsidR="005A5FCC" w:rsidRDefault="00A21C81">
      <w:pPr>
        <w:spacing w:before="260" w:after="80" w:line="240" w:lineRule="auto"/>
        <w:jc w:val="left"/>
      </w:pPr>
      <w:r>
        <w:rPr>
          <w:rFonts w:cs="EB Garamond"/>
          <w:b/>
          <w:color w:val="3A3128"/>
          <w:kern w:val="16"/>
          <w:sz w:val="25"/>
          <w14:ligatures w14:val="standardContextual"/>
        </w:rPr>
        <w:t>17.12.3 Modelos de dispositivo sentencial</w:t>
      </w:r>
    </w:p>
    <w:tbl>
      <w:tblPr>
        <w:tblW w:w="5000" w:type="pct"/>
        <w:jc w:val="center"/>
        <w:tblLayout w:type="fixed"/>
        <w:tblLook w:val="04A0" w:firstRow="1" w:lastRow="0" w:firstColumn="1" w:lastColumn="0" w:noHBand="0" w:noVBand="1"/>
      </w:tblPr>
      <w:tblGrid>
        <w:gridCol w:w="6311"/>
      </w:tblGrid>
      <w:tr w:rsidR="005A5FCC" w14:paraId="03967040"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73383F8A"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4FEA89FE" w14:textId="77777777" w:rsidR="005A5FCC" w:rsidRDefault="00A21C81">
            <w:pPr>
              <w:spacing w:after="60" w:line="247" w:lineRule="auto"/>
            </w:pPr>
            <w:r>
              <w:rPr>
                <w:rFonts w:cs="EB Garamond"/>
                <w:b/>
                <w:kern w:val="16"/>
                <w:sz w:val="19"/>
                <w14:ligatures w14:val="standardContextual"/>
              </w:rPr>
              <w:t>Modelo 1 — Procedência total (revisão com implantação e diferenças)</w:t>
            </w:r>
          </w:p>
          <w:p w14:paraId="73BCAEA9" w14:textId="77777777" w:rsidR="005A5FCC" w:rsidRDefault="00A21C81">
            <w:pPr>
              <w:spacing w:after="60" w:line="247" w:lineRule="auto"/>
            </w:pPr>
            <w:r>
              <w:rPr>
                <w:rFonts w:cs="EB Garamond"/>
                <w:kern w:val="16"/>
                <w:sz w:val="19"/>
                <w14:ligatures w14:val="standardContextual"/>
              </w:rPr>
              <w:t>"Ante o exposto, julgo PROCEDENTE o pedido para: (a) condenar o INSS a revisar o benefício nº [NB], espécie [XX], recalculando o salário de benefício mediante [descrever a regra: soma integral dos salários de contribuição das atividades concomitantes / readequação ao teto das ECs 20/1998 e 41/2003 / inclusão do tempo especial/rural de [período]], com fixação de nova RMI a partir da DIB; (b) condenar o INSS ao pagamento das diferenças entre a RMI revisada e a RMI efetivamente paga, observada a prescrição quinquenal das parcelas anteriores a [data — 5 anos antes do ajuizamento]; (c) determinar ao INSS a implantação da nova RMI no prazo de 30 (trinta) dias, sob pena de multa diária de R$ 100,00, limitada a R$ 10.000,00; (d) correção monetária e juros conforme os regimes do IPCA-E + juros (até nov/2021), SELIC (dez/2021 a ago/2025) e IPCA + 2% a.a. (a partir de set/2025, EC 136/2025). Sem custas. Sem honorários advocatícios (art. 55, Lei 9.099/95). Sentença sujeita a recurso inominado. Publique-se."</w:t>
            </w:r>
          </w:p>
          <w:p w14:paraId="28857DFC" w14:textId="77777777" w:rsidR="005A5FCC" w:rsidRDefault="00A21C81">
            <w:pPr>
              <w:spacing w:after="60" w:line="247" w:lineRule="auto"/>
            </w:pPr>
            <w:r>
              <w:rPr>
                <w:rFonts w:cs="EB Garamond"/>
                <w:b/>
                <w:kern w:val="16"/>
                <w:sz w:val="19"/>
                <w14:ligatures w14:val="standardContextual"/>
              </w:rPr>
              <w:t>Modelo 2 — Procedência parcial (revisão com decadência parcial)</w:t>
            </w:r>
          </w:p>
          <w:p w14:paraId="243EF84D" w14:textId="77777777" w:rsidR="005A5FCC" w:rsidRDefault="00A21C81">
            <w:pPr>
              <w:spacing w:after="60" w:line="247" w:lineRule="auto"/>
            </w:pPr>
            <w:r>
              <w:rPr>
                <w:rFonts w:cs="EB Garamond"/>
                <w:kern w:val="16"/>
                <w:sz w:val="19"/>
                <w14:ligatures w14:val="standardContextual"/>
              </w:rPr>
              <w:t>"Ante o exposto, julgo PARCIALMENTE PROCEDENTE o pedido para: (a) reconhecer a decadência do direito de revisão quanto ao(s) parâmetro(s) [especificar], cujo prazo decenal expirou em [data]; (b) acolher o pedido quanto ao(s) parâmetro(s) [especificar], não atingido(s) pela decadência por se tratar de [fato superveniente à concessão / fundo de direito de trato sucessivo]; (c) condenar o INSS ao recálculo e ao pagamento das diferenças, observada a prescrição quinquenal; (d) determinar a implantação no prazo de 30 dias, sob pena de multa. Correção monetária e juros nos termos acima. Publique-se."</w:t>
            </w:r>
          </w:p>
          <w:p w14:paraId="1EC86DF4" w14:textId="77777777" w:rsidR="005A5FCC" w:rsidRDefault="00A21C81">
            <w:pPr>
              <w:spacing w:after="60" w:line="247" w:lineRule="auto"/>
            </w:pPr>
            <w:r>
              <w:rPr>
                <w:rFonts w:cs="EB Garamond"/>
                <w:b/>
                <w:kern w:val="16"/>
                <w:sz w:val="19"/>
                <w14:ligatures w14:val="standardContextual"/>
              </w:rPr>
              <w:t>Modelo 3 — Improcedência por decadência</w:t>
            </w:r>
          </w:p>
          <w:p w14:paraId="0A2EE42A" w14:textId="77777777" w:rsidR="005A5FCC" w:rsidRDefault="00A21C81">
            <w:pPr>
              <w:spacing w:after="60" w:line="247" w:lineRule="auto"/>
            </w:pPr>
            <w:r>
              <w:rPr>
                <w:rFonts w:cs="EB Garamond"/>
                <w:kern w:val="16"/>
                <w:sz w:val="19"/>
                <w14:ligatures w14:val="standardContextual"/>
              </w:rPr>
              <w:t>"Ante o exposto, reconheço a decadência do direito de revisão do benefício nº [NB] (art. 103, caput, Lei 8.213/91) e julgo IMPROCEDENTE o pedido. O benefício foi concedido em [data da DIB], e o prazo decenal expirou em [data]. O caso não se enquadra nas hipóteses de não incidência da decadência (fato superveniente ou fundo de direito), pois [fundamentar], registrando-se que a falta de apreciação administrativa da questão não obsta o prazo (Tema 975/STJ). Sem custas. Sem honorários (art. 55, Lei 9.099/95). Publique-se."</w:t>
            </w:r>
          </w:p>
          <w:p w14:paraId="43F3CD6A" w14:textId="77777777" w:rsidR="005A5FCC" w:rsidRDefault="00A21C81">
            <w:pPr>
              <w:spacing w:after="60" w:line="247" w:lineRule="auto"/>
            </w:pPr>
            <w:r>
              <w:rPr>
                <w:rFonts w:cs="EB Garamond"/>
                <w:b/>
                <w:kern w:val="16"/>
                <w:sz w:val="19"/>
                <w14:ligatures w14:val="standardContextual"/>
              </w:rPr>
              <w:t>Modelo 4 — Improcedência por reversão da vida toda (Tema 1102)</w:t>
            </w:r>
          </w:p>
          <w:p w14:paraId="7B1C3126" w14:textId="77777777" w:rsidR="005A5FCC" w:rsidRDefault="00A21C81">
            <w:pPr>
              <w:spacing w:after="60" w:line="247" w:lineRule="auto"/>
            </w:pPr>
            <w:r>
              <w:rPr>
                <w:rFonts w:cs="EB Garamond"/>
                <w:kern w:val="16"/>
                <w:sz w:val="19"/>
                <w14:ligatures w14:val="standardContextual"/>
              </w:rPr>
              <w:t xml:space="preserve">"Ante o exposto, julgo IMPROCEDENTE o pedido de revisão da vida toda, com fundamento na tese firmada pelo STF nos embargos de declaração do RE 1.276.977/RS (Tema 1.102): 'O segurado que se enquadra na regra de transição do </w:t>
            </w:r>
            <w:r>
              <w:rPr>
                <w:rFonts w:cs="EB Garamond"/>
                <w:kern w:val="16"/>
                <w:sz w:val="19"/>
                <w14:ligatures w14:val="standardContextual"/>
              </w:rPr>
              <w:lastRenderedPageBreak/>
              <w:t>art. 3º da Lei 9.876/1999 não pode optar pela regra definitiva do art. 29, I e II, da Lei 8.213/1991.' [Se ação ajuizada antes de 05/04/2024:] Sem condenação em honorários, custas e perícias, nos termos da modulação fixada pelo STF. [Se ação ajuizada após 05/04/2024:] Condeno a parte autora em honorários advocatícios de 10% sobre o valor atualizado da causa, com exigibilidade suspensa nos termos do art. 98, §3º, do CPC. Publique-se."</w:t>
            </w:r>
          </w:p>
        </w:tc>
      </w:tr>
    </w:tbl>
    <w:p w14:paraId="3D5CFB07" w14:textId="77777777" w:rsidR="005A5FCC" w:rsidRDefault="005A5FCC">
      <w:pPr>
        <w:spacing w:after="80" w:line="240" w:lineRule="auto"/>
      </w:pPr>
    </w:p>
    <w:p w14:paraId="331702BA" w14:textId="77777777" w:rsidR="005A5FCC" w:rsidRDefault="00A21C81">
      <w:pPr>
        <w:spacing w:before="260" w:after="80" w:line="240" w:lineRule="auto"/>
        <w:jc w:val="left"/>
      </w:pPr>
      <w:r>
        <w:rPr>
          <w:rFonts w:cs="EB Garamond"/>
          <w:b/>
          <w:color w:val="3A3128"/>
          <w:kern w:val="16"/>
          <w:sz w:val="25"/>
          <w14:ligatures w14:val="standardContextual"/>
        </w:rPr>
        <w:t>17.12.4 Erros comuns a evitar</w:t>
      </w:r>
    </w:p>
    <w:p w14:paraId="14D0627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195EB20C" w14:textId="77777777" w:rsidR="005A5FCC" w:rsidRDefault="00A21C81">
      <w:r>
        <w:rPr>
          <w:rFonts w:cs="EB Garamond"/>
          <w:kern w:val="16"/>
          <w14:ligatures w14:val="standardContextual"/>
        </w:rPr>
        <w:t xml:space="preserve"> prática revisional está sujeita a erros recorrentes. Identificamos os mais frequentes:</w:t>
      </w:r>
    </w:p>
    <w:p w14:paraId="60E13406" w14:textId="77777777" w:rsidR="005A5FCC" w:rsidRDefault="00A21C81">
      <w:pPr>
        <w:ind w:firstLine="238"/>
      </w:pPr>
      <w:r>
        <w:rPr>
          <w:rFonts w:cs="EB Garamond"/>
          <w:b/>
          <w:kern w:val="16"/>
          <w14:ligatures w14:val="standardContextual"/>
        </w:rPr>
        <w:t>Erro 1 — Não verificar a decadência antes do ajuizamento.</w:t>
      </w:r>
      <w:r>
        <w:rPr>
          <w:rFonts w:cs="EB Garamond"/>
          <w:kern w:val="16"/>
          <w14:ligatures w14:val="standardContextual"/>
        </w:rPr>
        <w:t xml:space="preserve"> A verificação é o primeiro passo do checklist e deve ser eliminatória.</w:t>
      </w:r>
    </w:p>
    <w:p w14:paraId="3A95B6D4" w14:textId="77777777" w:rsidR="005A5FCC" w:rsidRDefault="00A21C81">
      <w:pPr>
        <w:ind w:firstLine="238"/>
      </w:pPr>
      <w:r>
        <w:rPr>
          <w:rFonts w:cs="EB Garamond"/>
          <w:b/>
          <w:kern w:val="16"/>
          <w14:ligatures w14:val="standardContextual"/>
        </w:rPr>
        <w:t>Erro 2 — Confundir decadência com prescrição.</w:t>
      </w:r>
      <w:r>
        <w:rPr>
          <w:rFonts w:cs="EB Garamond"/>
          <w:kern w:val="16"/>
          <w14:ligatures w14:val="standardContextual"/>
        </w:rPr>
        <w:t xml:space="preserve"> A decadência atinge o direito de revisar; a prescrição atinge as parcelas. O advogado que argumenta apenas contra a prescrição quando o INSS alega decadência perde o objeto da controvérsia. O magistrado que reconhece a prescrição quando deveria reconhecer a decadência comete erro técnico.</w:t>
      </w:r>
    </w:p>
    <w:p w14:paraId="1C93A508" w14:textId="77777777" w:rsidR="005A5FCC" w:rsidRDefault="00A21C81">
      <w:pPr>
        <w:ind w:firstLine="238"/>
      </w:pPr>
      <w:r>
        <w:rPr>
          <w:rFonts w:cs="EB Garamond"/>
          <w:b/>
          <w:kern w:val="16"/>
          <w14:ligatures w14:val="standardContextual"/>
        </w:rPr>
        <w:t>Erro 3 — Não apresentar memória de cálculo.</w:t>
      </w:r>
      <w:r>
        <w:rPr>
          <w:rFonts w:cs="EB Garamond"/>
          <w:kern w:val="16"/>
          <w14:ligatures w14:val="standardContextual"/>
        </w:rPr>
        <w:t xml:space="preserve"> A ação revisional sem demonstração numérica é ação sem substância. O magistrado não pode avaliar o impacto financeiro, e o INSS contesta genericamente.</w:t>
      </w:r>
    </w:p>
    <w:p w14:paraId="672ED85B" w14:textId="77777777" w:rsidR="005A5FCC" w:rsidRDefault="00A21C81">
      <w:pPr>
        <w:ind w:firstLine="238"/>
      </w:pPr>
      <w:r>
        <w:rPr>
          <w:rFonts w:cs="EB Garamond"/>
          <w:b/>
          <w:kern w:val="16"/>
          <w14:ligatures w14:val="standardContextual"/>
        </w:rPr>
        <w:t>Erro 4 — Ignorar a modulação do Tema 1102.</w:t>
      </w:r>
      <w:r>
        <w:rPr>
          <w:rFonts w:cs="EB Garamond"/>
          <w:kern w:val="16"/>
          <w14:ligatures w14:val="standardContextual"/>
        </w:rPr>
        <w:t xml:space="preserve"> Nas ações de vida toda, o magistrado que aplica a improcedência sem observar a modulação (isenção de honorários para ações anteriores a 05/04/2024) prejudica o segurado.</w:t>
      </w:r>
    </w:p>
    <w:p w14:paraId="0B2EFA99" w14:textId="77777777" w:rsidR="005A5FCC" w:rsidRDefault="00A21C81">
      <w:pPr>
        <w:ind w:firstLine="238"/>
      </w:pPr>
      <w:r>
        <w:rPr>
          <w:rFonts w:cs="EB Garamond"/>
          <w:b/>
          <w:kern w:val="16"/>
          <w14:ligatures w14:val="standardContextual"/>
        </w:rPr>
        <w:t>Erro 5 — Aplicar regime de correção incorreto.</w:t>
      </w:r>
      <w:r>
        <w:rPr>
          <w:rFonts w:cs="EB Garamond"/>
          <w:kern w:val="16"/>
          <w14:ligatures w14:val="standardContextual"/>
        </w:rPr>
        <w:t xml:space="preserve"> SELIC para o período posterior a setembro de 2025 (quando deveria ser IPCA + 2%) ou IPCA-E para dezembro de 2021 a agosto de 2025 (quando deveria ser SELIC) gera impugnação e atrasa a liquidação.</w:t>
      </w:r>
    </w:p>
    <w:p w14:paraId="24506366" w14:textId="77777777" w:rsidR="005A5FCC" w:rsidRDefault="00A21C81">
      <w:pPr>
        <w:ind w:firstLine="238"/>
      </w:pPr>
      <w:r>
        <w:rPr>
          <w:rFonts w:cs="EB Garamond"/>
          <w:b/>
          <w:kern w:val="16"/>
          <w14:ligatures w14:val="standardContextual"/>
        </w:rPr>
        <w:t>Erro 6 — Não determinar a implantação da RMI revisada.</w:t>
      </w:r>
      <w:r>
        <w:rPr>
          <w:rFonts w:cs="EB Garamond"/>
          <w:kern w:val="16"/>
          <w14:ligatures w14:val="standardContextual"/>
        </w:rPr>
        <w:t xml:space="preserve"> A sentença que condena o INSS às diferenças sem determinar a implantação da nova RMI deixa o segurado desprotegido para o futuro.</w:t>
      </w:r>
    </w:p>
    <w:p w14:paraId="3B021327" w14:textId="77777777" w:rsidR="005A5FCC" w:rsidRDefault="00A21C81">
      <w:pPr>
        <w:ind w:firstLine="238"/>
      </w:pPr>
      <w:r>
        <w:rPr>
          <w:rFonts w:cs="EB Garamond"/>
          <w:b/>
          <w:kern w:val="16"/>
          <w14:ligatures w14:val="standardContextual"/>
        </w:rPr>
        <w:lastRenderedPageBreak/>
        <w:t>Erro 7 — Não observar o limite de RPV.</w:t>
      </w:r>
      <w:r>
        <w:rPr>
          <w:rFonts w:cs="EB Garamond"/>
          <w:kern w:val="16"/>
          <w14:ligatures w14:val="standardContextual"/>
        </w:rPr>
        <w:t xml:space="preserve"> O cálculo que ultrapassa 60 SM sem renúncia ao excedente gera precatório, com prazo muito mais longo.</w:t>
      </w:r>
    </w:p>
    <w:p w14:paraId="59A58380"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17.13 Síntese e quadros práticos</w:t>
      </w:r>
    </w:p>
    <w:p w14:paraId="3DB2B884"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0C5D72D4" w14:textId="77777777" w:rsidR="005A5FCC" w:rsidRDefault="00A21C81">
      <w:r>
        <w:rPr>
          <w:rFonts w:cs="EB Garamond"/>
          <w:kern w:val="16"/>
          <w14:ligatures w14:val="standardContextual"/>
        </w:rPr>
        <w:t>s quadros abaixo consolidam, em formato de consulta rápida, as informações distribuídas ao longo do capítulo.</w:t>
      </w:r>
    </w:p>
    <w:tbl>
      <w:tblPr>
        <w:tblW w:w="5000" w:type="pct"/>
        <w:jc w:val="center"/>
        <w:tblLayout w:type="fixed"/>
        <w:tblLook w:val="04A0" w:firstRow="1" w:lastRow="0" w:firstColumn="1" w:lastColumn="0" w:noHBand="0" w:noVBand="1"/>
      </w:tblPr>
      <w:tblGrid>
        <w:gridCol w:w="6311"/>
      </w:tblGrid>
      <w:tr w:rsidR="005A5FCC" w14:paraId="60B11362" w14:textId="77777777">
        <w:trPr>
          <w:cantSplit/>
          <w:jc w:val="center"/>
        </w:trPr>
        <w:tc>
          <w:tcPr>
            <w:tcW w:w="6350" w:type="dxa"/>
            <w:tcBorders>
              <w:top w:val="single" w:sz="7" w:space="0" w:color="A09882"/>
              <w:left w:val="single" w:sz="24" w:space="0" w:color="6B6256"/>
              <w:bottom w:val="single" w:sz="7" w:space="0" w:color="A09882"/>
              <w:right w:val="single" w:sz="7" w:space="0" w:color="A09882"/>
            </w:tcBorders>
            <w:shd w:val="clear" w:color="auto" w:fill="F5F3EF"/>
            <w:tcMar>
              <w:top w:w="150" w:type="dxa"/>
              <w:left w:w="220" w:type="dxa"/>
              <w:bottom w:w="150" w:type="dxa"/>
              <w:right w:w="180" w:type="dxa"/>
            </w:tcMar>
          </w:tcPr>
          <w:p w14:paraId="780ADE71" w14:textId="77777777" w:rsidR="005A5FCC" w:rsidRDefault="00A21C81">
            <w:pPr>
              <w:spacing w:after="60" w:line="240" w:lineRule="auto"/>
              <w:jc w:val="left"/>
            </w:pPr>
            <w:r>
              <w:rPr>
                <w:rFonts w:ascii="Noto Sans" w:hAnsi="Noto Sans" w:cs="Noto Sans"/>
                <w:b/>
                <w:caps/>
                <w:color w:val="6B6256"/>
                <w:kern w:val="16"/>
                <w:sz w:val="16"/>
                <w14:ligatures w14:val="standardContextual"/>
              </w:rPr>
              <w:lastRenderedPageBreak/>
              <w:t>QUADRO</w:t>
            </w:r>
          </w:p>
          <w:p w14:paraId="5404946E" w14:textId="77777777" w:rsidR="005A5FCC" w:rsidRDefault="00A21C81">
            <w:pPr>
              <w:spacing w:after="60" w:line="247" w:lineRule="auto"/>
            </w:pPr>
            <w:r>
              <w:rPr>
                <w:rFonts w:cs="EB Garamond"/>
                <w:b/>
                <w:kern w:val="16"/>
                <w:sz w:val="19"/>
                <w14:ligatures w14:val="standardContextual"/>
              </w:rPr>
              <w:t>Quadro 17.1 — Mapa das teses revisionais</w:t>
            </w:r>
          </w:p>
          <w:tbl>
            <w:tblPr>
              <w:tblW w:w="5000" w:type="pct"/>
              <w:jc w:val="center"/>
              <w:tblLook w:val="04A0" w:firstRow="1" w:lastRow="0" w:firstColumn="1" w:lastColumn="0" w:noHBand="0" w:noVBand="1"/>
            </w:tblPr>
            <w:tblGrid>
              <w:gridCol w:w="1181"/>
              <w:gridCol w:w="1180"/>
              <w:gridCol w:w="1180"/>
              <w:gridCol w:w="1180"/>
              <w:gridCol w:w="1180"/>
            </w:tblGrid>
            <w:tr w:rsidR="005A5FCC" w14:paraId="266B29E5" w14:textId="77777777">
              <w:trPr>
                <w:tblHeader/>
                <w:jc w:val="center"/>
              </w:trPr>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4EBF11B5" w14:textId="77777777" w:rsidR="005A5FCC" w:rsidRDefault="00A21C81">
                  <w:pPr>
                    <w:spacing w:before="30" w:after="30" w:line="240" w:lineRule="auto"/>
                    <w:jc w:val="center"/>
                  </w:pPr>
                  <w:r>
                    <w:rPr>
                      <w:rFonts w:cs="EB Garamond"/>
                      <w:b/>
                      <w:color w:val="2F2923"/>
                      <w:kern w:val="16"/>
                      <w:sz w:val="16"/>
                      <w14:ligatures w14:val="standardContextual"/>
                    </w:rPr>
                    <w:t>Tese</w:t>
                  </w:r>
                </w:p>
              </w:tc>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13172D1D" w14:textId="77777777" w:rsidR="005A5FCC" w:rsidRDefault="00A21C81">
                  <w:pPr>
                    <w:spacing w:before="30" w:after="30" w:line="240" w:lineRule="auto"/>
                    <w:jc w:val="center"/>
                  </w:pPr>
                  <w:r>
                    <w:rPr>
                      <w:rFonts w:cs="EB Garamond"/>
                      <w:b/>
                      <w:color w:val="2F2923"/>
                      <w:kern w:val="16"/>
                      <w:sz w:val="16"/>
                      <w14:ligatures w14:val="standardContextual"/>
                    </w:rPr>
                    <w:t>Fundamento legal</w:t>
                  </w:r>
                </w:p>
              </w:tc>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7B2A7BA3" w14:textId="77777777" w:rsidR="005A5FCC" w:rsidRDefault="00A21C81">
                  <w:pPr>
                    <w:spacing w:before="30" w:after="30" w:line="240" w:lineRule="auto"/>
                    <w:jc w:val="center"/>
                  </w:pPr>
                  <w:r>
                    <w:rPr>
                      <w:rFonts w:cs="EB Garamond"/>
                      <w:b/>
                      <w:color w:val="2F2923"/>
                      <w:kern w:val="16"/>
                      <w:sz w:val="16"/>
                      <w14:ligatures w14:val="standardContextual"/>
                    </w:rPr>
                    <w:t>Tema repetitivo</w:t>
                  </w:r>
                </w:p>
              </w:tc>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27D60EB5" w14:textId="77777777" w:rsidR="005A5FCC" w:rsidRDefault="00A21C81">
                  <w:pPr>
                    <w:spacing w:before="30" w:after="30" w:line="240" w:lineRule="auto"/>
                    <w:jc w:val="center"/>
                  </w:pPr>
                  <w:r>
                    <w:rPr>
                      <w:rFonts w:cs="EB Garamond"/>
                      <w:b/>
                      <w:color w:val="2F2923"/>
                      <w:kern w:val="16"/>
                      <w:sz w:val="16"/>
                      <w14:ligatures w14:val="standardContextual"/>
                    </w:rPr>
                    <w:t>Decadência</w:t>
                  </w:r>
                </w:p>
              </w:tc>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59FEFE35" w14:textId="77777777" w:rsidR="005A5FCC" w:rsidRDefault="00A21C81">
                  <w:pPr>
                    <w:spacing w:before="30" w:after="30" w:line="240" w:lineRule="auto"/>
                    <w:jc w:val="center"/>
                  </w:pPr>
                  <w:r>
                    <w:rPr>
                      <w:rFonts w:cs="EB Garamond"/>
                      <w:b/>
                      <w:color w:val="2F2923"/>
                      <w:kern w:val="16"/>
                      <w:sz w:val="16"/>
                      <w14:ligatures w14:val="standardContextual"/>
                    </w:rPr>
                    <w:t>Viabilidade 2026</w:t>
                  </w:r>
                </w:p>
              </w:tc>
            </w:tr>
            <w:tr w:rsidR="005A5FCC" w14:paraId="0F77A6B8"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78330C95" w14:textId="77777777" w:rsidR="005A5FCC" w:rsidRDefault="00A21C81">
                  <w:pPr>
                    <w:spacing w:before="20" w:after="20" w:line="240" w:lineRule="auto"/>
                    <w:jc w:val="left"/>
                  </w:pPr>
                  <w:r>
                    <w:rPr>
                      <w:rFonts w:cs="EB Garamond"/>
                      <w:kern w:val="16"/>
                      <w:sz w:val="16"/>
                      <w14:ligatures w14:val="standardContextual"/>
                    </w:rPr>
                    <w:t>Vida toda</w:t>
                  </w:r>
                </w:p>
              </w:tc>
              <w:tc>
                <w:tcPr>
                  <w:tcW w:w="1270" w:type="dxa"/>
                  <w:tcBorders>
                    <w:top w:val="single" w:sz="4" w:space="0" w:color="D2C9B8"/>
                    <w:left w:val="single" w:sz="4" w:space="0" w:color="D2C9B8"/>
                    <w:bottom w:val="single" w:sz="4" w:space="0" w:color="D2C9B8"/>
                    <w:right w:val="single" w:sz="4" w:space="0" w:color="D2C9B8"/>
                  </w:tcBorders>
                </w:tcPr>
                <w:p w14:paraId="59769A87" w14:textId="77777777" w:rsidR="005A5FCC" w:rsidRDefault="00A21C81">
                  <w:pPr>
                    <w:spacing w:before="20" w:after="20" w:line="240" w:lineRule="auto"/>
                    <w:jc w:val="left"/>
                  </w:pPr>
                  <w:r>
                    <w:rPr>
                      <w:rFonts w:cs="EB Garamond"/>
                      <w:kern w:val="16"/>
                      <w:sz w:val="16"/>
                      <w14:ligatures w14:val="standardContextual"/>
                    </w:rPr>
                    <w:t>Art. 29 × art. 3º, Lei 9.876/99</w:t>
                  </w:r>
                </w:p>
              </w:tc>
              <w:tc>
                <w:tcPr>
                  <w:tcW w:w="1270" w:type="dxa"/>
                  <w:tcBorders>
                    <w:top w:val="single" w:sz="4" w:space="0" w:color="D2C9B8"/>
                    <w:left w:val="single" w:sz="4" w:space="0" w:color="D2C9B8"/>
                    <w:bottom w:val="single" w:sz="4" w:space="0" w:color="D2C9B8"/>
                    <w:right w:val="single" w:sz="4" w:space="0" w:color="D2C9B8"/>
                  </w:tcBorders>
                </w:tcPr>
                <w:p w14:paraId="3613042F" w14:textId="77777777" w:rsidR="005A5FCC" w:rsidRDefault="00A21C81">
                  <w:pPr>
                    <w:spacing w:before="20" w:after="20" w:line="240" w:lineRule="auto"/>
                    <w:jc w:val="left"/>
                  </w:pPr>
                  <w:r>
                    <w:rPr>
                      <w:rFonts w:cs="EB Garamond"/>
                      <w:kern w:val="16"/>
                      <w:sz w:val="16"/>
                      <w14:ligatures w14:val="standardContextual"/>
                    </w:rPr>
                    <w:t>Tema 1102/STF</w:t>
                  </w:r>
                </w:p>
              </w:tc>
              <w:tc>
                <w:tcPr>
                  <w:tcW w:w="1270" w:type="dxa"/>
                  <w:tcBorders>
                    <w:top w:val="single" w:sz="4" w:space="0" w:color="D2C9B8"/>
                    <w:left w:val="single" w:sz="4" w:space="0" w:color="D2C9B8"/>
                    <w:bottom w:val="single" w:sz="4" w:space="0" w:color="D2C9B8"/>
                    <w:right w:val="single" w:sz="4" w:space="0" w:color="D2C9B8"/>
                  </w:tcBorders>
                </w:tcPr>
                <w:p w14:paraId="1294626F" w14:textId="77777777" w:rsidR="005A5FCC" w:rsidRDefault="00A21C81">
                  <w:pPr>
                    <w:spacing w:before="20" w:after="20" w:line="240" w:lineRule="auto"/>
                    <w:jc w:val="left"/>
                  </w:pPr>
                  <w:r>
                    <w:rPr>
                      <w:rFonts w:cs="EB Garamond"/>
                      <w:kern w:val="16"/>
                      <w:sz w:val="16"/>
                      <w14:ligatures w14:val="standardContextual"/>
                    </w:rPr>
                    <w:t>10 anos (DIB)</w:t>
                  </w:r>
                </w:p>
              </w:tc>
              <w:tc>
                <w:tcPr>
                  <w:tcW w:w="1270" w:type="dxa"/>
                  <w:tcBorders>
                    <w:top w:val="single" w:sz="4" w:space="0" w:color="D2C9B8"/>
                    <w:left w:val="single" w:sz="4" w:space="0" w:color="D2C9B8"/>
                    <w:bottom w:val="single" w:sz="4" w:space="0" w:color="D2C9B8"/>
                    <w:right w:val="single" w:sz="4" w:space="0" w:color="D2C9B8"/>
                  </w:tcBorders>
                </w:tcPr>
                <w:p w14:paraId="6190EA41" w14:textId="77777777" w:rsidR="005A5FCC" w:rsidRDefault="00A21C81">
                  <w:pPr>
                    <w:spacing w:before="20" w:after="20" w:line="240" w:lineRule="auto"/>
                    <w:jc w:val="left"/>
                  </w:pPr>
                  <w:r>
                    <w:rPr>
                      <w:rFonts w:cs="EB Garamond"/>
                      <w:kern w:val="16"/>
                      <w:sz w:val="16"/>
                      <w14:ligatures w14:val="standardContextual"/>
                    </w:rPr>
                    <w:t>Encerrada (reversão nov/2025)</w:t>
                  </w:r>
                </w:p>
              </w:tc>
            </w:tr>
            <w:tr w:rsidR="005A5FCC" w14:paraId="2464C052"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7C4391EB" w14:textId="77777777" w:rsidR="005A5FCC" w:rsidRDefault="00A21C81">
                  <w:pPr>
                    <w:spacing w:before="20" w:after="20" w:line="240" w:lineRule="auto"/>
                    <w:jc w:val="left"/>
                  </w:pPr>
                  <w:r>
                    <w:rPr>
                      <w:rFonts w:cs="EB Garamond"/>
                      <w:kern w:val="16"/>
                      <w:sz w:val="16"/>
                      <w14:ligatures w14:val="standardContextual"/>
                    </w:rPr>
                    <w:t>Teto (ECs 20/98 e 41/03)</w:t>
                  </w:r>
                </w:p>
              </w:tc>
              <w:tc>
                <w:tcPr>
                  <w:tcW w:w="1270" w:type="dxa"/>
                  <w:tcBorders>
                    <w:top w:val="single" w:sz="4" w:space="0" w:color="D2C9B8"/>
                    <w:left w:val="single" w:sz="4" w:space="0" w:color="D2C9B8"/>
                    <w:bottom w:val="single" w:sz="4" w:space="0" w:color="D2C9B8"/>
                    <w:right w:val="single" w:sz="4" w:space="0" w:color="D2C9B8"/>
                  </w:tcBorders>
                </w:tcPr>
                <w:p w14:paraId="4741E399" w14:textId="77777777" w:rsidR="005A5FCC" w:rsidRDefault="00A21C81">
                  <w:pPr>
                    <w:spacing w:before="20" w:after="20" w:line="240" w:lineRule="auto"/>
                    <w:jc w:val="left"/>
                  </w:pPr>
                  <w:r>
                    <w:rPr>
                      <w:rFonts w:cs="EB Garamond"/>
                      <w:kern w:val="16"/>
                      <w:sz w:val="16"/>
                      <w14:ligatures w14:val="standardContextual"/>
                    </w:rPr>
                    <w:t>Art. 14, EC 20; art. 5º, EC 41</w:t>
                  </w:r>
                </w:p>
              </w:tc>
              <w:tc>
                <w:tcPr>
                  <w:tcW w:w="1270" w:type="dxa"/>
                  <w:tcBorders>
                    <w:top w:val="single" w:sz="4" w:space="0" w:color="D2C9B8"/>
                    <w:left w:val="single" w:sz="4" w:space="0" w:color="D2C9B8"/>
                    <w:bottom w:val="single" w:sz="4" w:space="0" w:color="D2C9B8"/>
                    <w:right w:val="single" w:sz="4" w:space="0" w:color="D2C9B8"/>
                  </w:tcBorders>
                </w:tcPr>
                <w:p w14:paraId="45C54EE8" w14:textId="77777777" w:rsidR="005A5FCC" w:rsidRDefault="00A21C81">
                  <w:pPr>
                    <w:spacing w:before="20" w:after="20" w:line="240" w:lineRule="auto"/>
                    <w:jc w:val="left"/>
                  </w:pPr>
                  <w:r>
                    <w:rPr>
                      <w:rFonts w:cs="EB Garamond"/>
                      <w:kern w:val="16"/>
                      <w:sz w:val="16"/>
                      <w14:ligatures w14:val="standardContextual"/>
                    </w:rPr>
                    <w:t>Tema 76/STF</w:t>
                  </w:r>
                </w:p>
              </w:tc>
              <w:tc>
                <w:tcPr>
                  <w:tcW w:w="1270" w:type="dxa"/>
                  <w:tcBorders>
                    <w:top w:val="single" w:sz="4" w:space="0" w:color="D2C9B8"/>
                    <w:left w:val="single" w:sz="4" w:space="0" w:color="D2C9B8"/>
                    <w:bottom w:val="single" w:sz="4" w:space="0" w:color="D2C9B8"/>
                    <w:right w:val="single" w:sz="4" w:space="0" w:color="D2C9B8"/>
                  </w:tcBorders>
                </w:tcPr>
                <w:p w14:paraId="3D70EA74" w14:textId="77777777" w:rsidR="005A5FCC" w:rsidRDefault="00A21C81">
                  <w:pPr>
                    <w:spacing w:before="20" w:after="20" w:line="240" w:lineRule="auto"/>
                    <w:jc w:val="left"/>
                  </w:pPr>
                  <w:r>
                    <w:rPr>
                      <w:rFonts w:cs="EB Garamond"/>
                      <w:kern w:val="16"/>
                      <w:sz w:val="16"/>
                      <w14:ligatures w14:val="standardContextual"/>
                    </w:rPr>
                    <w:t>Não se aplica</w:t>
                  </w:r>
                </w:p>
              </w:tc>
              <w:tc>
                <w:tcPr>
                  <w:tcW w:w="1270" w:type="dxa"/>
                  <w:tcBorders>
                    <w:top w:val="single" w:sz="4" w:space="0" w:color="D2C9B8"/>
                    <w:left w:val="single" w:sz="4" w:space="0" w:color="D2C9B8"/>
                    <w:bottom w:val="single" w:sz="4" w:space="0" w:color="D2C9B8"/>
                    <w:right w:val="single" w:sz="4" w:space="0" w:color="D2C9B8"/>
                  </w:tcBorders>
                </w:tcPr>
                <w:p w14:paraId="2FDF4B9E" w14:textId="77777777" w:rsidR="005A5FCC" w:rsidRDefault="00A21C81">
                  <w:pPr>
                    <w:spacing w:before="20" w:after="20" w:line="240" w:lineRule="auto"/>
                    <w:jc w:val="left"/>
                  </w:pPr>
                  <w:r>
                    <w:rPr>
                      <w:rFonts w:cs="EB Garamond"/>
                      <w:kern w:val="16"/>
                      <w:sz w:val="16"/>
                      <w14:ligatures w14:val="standardContextual"/>
                    </w:rPr>
                    <w:t>Viável, volume decrescente</w:t>
                  </w:r>
                </w:p>
              </w:tc>
            </w:tr>
            <w:tr w:rsidR="005A5FCC" w14:paraId="3905BF01"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4832CE0C" w14:textId="77777777" w:rsidR="005A5FCC" w:rsidRDefault="00A21C81">
                  <w:pPr>
                    <w:spacing w:before="20" w:after="20" w:line="240" w:lineRule="auto"/>
                    <w:jc w:val="left"/>
                  </w:pPr>
                  <w:r>
                    <w:rPr>
                      <w:rFonts w:cs="EB Garamond"/>
                      <w:kern w:val="16"/>
                      <w:sz w:val="16"/>
                      <w14:ligatures w14:val="standardContextual"/>
                    </w:rPr>
                    <w:t>Buraco Negro</w:t>
                  </w:r>
                </w:p>
              </w:tc>
              <w:tc>
                <w:tcPr>
                  <w:tcW w:w="1270" w:type="dxa"/>
                  <w:tcBorders>
                    <w:top w:val="single" w:sz="4" w:space="0" w:color="D2C9B8"/>
                    <w:left w:val="single" w:sz="4" w:space="0" w:color="D2C9B8"/>
                    <w:bottom w:val="single" w:sz="4" w:space="0" w:color="D2C9B8"/>
                    <w:right w:val="single" w:sz="4" w:space="0" w:color="D2C9B8"/>
                  </w:tcBorders>
                </w:tcPr>
                <w:p w14:paraId="60178E68" w14:textId="77777777" w:rsidR="005A5FCC" w:rsidRDefault="00A21C81">
                  <w:pPr>
                    <w:spacing w:before="20" w:after="20" w:line="240" w:lineRule="auto"/>
                    <w:jc w:val="left"/>
                  </w:pPr>
                  <w:r>
                    <w:rPr>
                      <w:rFonts w:cs="EB Garamond"/>
                      <w:kern w:val="16"/>
                      <w:sz w:val="16"/>
                      <w14:ligatures w14:val="standardContextual"/>
                    </w:rPr>
                    <w:t>Art. 144, Lei 8.213/91</w:t>
                  </w:r>
                </w:p>
              </w:tc>
              <w:tc>
                <w:tcPr>
                  <w:tcW w:w="1270" w:type="dxa"/>
                  <w:tcBorders>
                    <w:top w:val="single" w:sz="4" w:space="0" w:color="D2C9B8"/>
                    <w:left w:val="single" w:sz="4" w:space="0" w:color="D2C9B8"/>
                    <w:bottom w:val="single" w:sz="4" w:space="0" w:color="D2C9B8"/>
                    <w:right w:val="single" w:sz="4" w:space="0" w:color="D2C9B8"/>
                  </w:tcBorders>
                </w:tcPr>
                <w:p w14:paraId="02BF02C7" w14:textId="77777777" w:rsidR="005A5FCC" w:rsidRDefault="00A21C81">
                  <w:pPr>
                    <w:spacing w:before="20" w:after="20" w:line="240" w:lineRule="auto"/>
                    <w:jc w:val="left"/>
                  </w:pPr>
                  <w:r>
                    <w:rPr>
                      <w:rFonts w:cs="EB Garamond"/>
                      <w:kern w:val="16"/>
                      <w:sz w:val="16"/>
                      <w14:ligatures w14:val="standardContextual"/>
                    </w:rPr>
                    <w:t>—</w:t>
                  </w:r>
                </w:p>
              </w:tc>
              <w:tc>
                <w:tcPr>
                  <w:tcW w:w="1270" w:type="dxa"/>
                  <w:tcBorders>
                    <w:top w:val="single" w:sz="4" w:space="0" w:color="D2C9B8"/>
                    <w:left w:val="single" w:sz="4" w:space="0" w:color="D2C9B8"/>
                    <w:bottom w:val="single" w:sz="4" w:space="0" w:color="D2C9B8"/>
                    <w:right w:val="single" w:sz="4" w:space="0" w:color="D2C9B8"/>
                  </w:tcBorders>
                </w:tcPr>
                <w:p w14:paraId="74DA3B58" w14:textId="77777777" w:rsidR="005A5FCC" w:rsidRDefault="00A21C81">
                  <w:pPr>
                    <w:spacing w:before="20" w:after="20" w:line="240" w:lineRule="auto"/>
                    <w:jc w:val="left"/>
                  </w:pPr>
                  <w:r>
                    <w:rPr>
                      <w:rFonts w:cs="EB Garamond"/>
                      <w:kern w:val="16"/>
                      <w:sz w:val="16"/>
                      <w14:ligatures w14:val="standardContextual"/>
                    </w:rPr>
                    <w:t>Não se aplica</w:t>
                  </w:r>
                </w:p>
              </w:tc>
              <w:tc>
                <w:tcPr>
                  <w:tcW w:w="1270" w:type="dxa"/>
                  <w:tcBorders>
                    <w:top w:val="single" w:sz="4" w:space="0" w:color="D2C9B8"/>
                    <w:left w:val="single" w:sz="4" w:space="0" w:color="D2C9B8"/>
                    <w:bottom w:val="single" w:sz="4" w:space="0" w:color="D2C9B8"/>
                    <w:right w:val="single" w:sz="4" w:space="0" w:color="D2C9B8"/>
                  </w:tcBorders>
                </w:tcPr>
                <w:p w14:paraId="7323A1DE" w14:textId="77777777" w:rsidR="005A5FCC" w:rsidRDefault="00A21C81">
                  <w:pPr>
                    <w:spacing w:before="20" w:after="20" w:line="240" w:lineRule="auto"/>
                    <w:jc w:val="left"/>
                  </w:pPr>
                  <w:r>
                    <w:rPr>
                      <w:rFonts w:cs="EB Garamond"/>
                      <w:kern w:val="16"/>
                      <w:sz w:val="16"/>
                      <w14:ligatures w14:val="standardContextual"/>
                    </w:rPr>
                    <w:t>Residual (biológico)</w:t>
                  </w:r>
                </w:p>
              </w:tc>
            </w:tr>
            <w:tr w:rsidR="005A5FCC" w14:paraId="5C77D392"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2C7D5EDC" w14:textId="77777777" w:rsidR="005A5FCC" w:rsidRDefault="00A21C81">
                  <w:pPr>
                    <w:spacing w:before="20" w:after="20" w:line="240" w:lineRule="auto"/>
                    <w:jc w:val="left"/>
                  </w:pPr>
                  <w:r>
                    <w:rPr>
                      <w:rFonts w:cs="EB Garamond"/>
                      <w:kern w:val="16"/>
                      <w:sz w:val="16"/>
                      <w14:ligatures w14:val="standardContextual"/>
                    </w:rPr>
                    <w:t>Art. 29, II (divisor)</w:t>
                  </w:r>
                </w:p>
              </w:tc>
              <w:tc>
                <w:tcPr>
                  <w:tcW w:w="1270" w:type="dxa"/>
                  <w:tcBorders>
                    <w:top w:val="single" w:sz="4" w:space="0" w:color="D2C9B8"/>
                    <w:left w:val="single" w:sz="4" w:space="0" w:color="D2C9B8"/>
                    <w:bottom w:val="single" w:sz="4" w:space="0" w:color="D2C9B8"/>
                    <w:right w:val="single" w:sz="4" w:space="0" w:color="D2C9B8"/>
                  </w:tcBorders>
                </w:tcPr>
                <w:p w14:paraId="60ACDB10" w14:textId="77777777" w:rsidR="005A5FCC" w:rsidRDefault="00A21C81">
                  <w:pPr>
                    <w:spacing w:before="20" w:after="20" w:line="240" w:lineRule="auto"/>
                    <w:jc w:val="left"/>
                  </w:pPr>
                  <w:r>
                    <w:rPr>
                      <w:rFonts w:cs="EB Garamond"/>
                      <w:kern w:val="16"/>
                      <w:sz w:val="16"/>
                      <w14:ligatures w14:val="standardContextual"/>
                    </w:rPr>
                    <w:t>Art. 29, II, Lei 8.213/91</w:t>
                  </w:r>
                </w:p>
              </w:tc>
              <w:tc>
                <w:tcPr>
                  <w:tcW w:w="1270" w:type="dxa"/>
                  <w:tcBorders>
                    <w:top w:val="single" w:sz="4" w:space="0" w:color="D2C9B8"/>
                    <w:left w:val="single" w:sz="4" w:space="0" w:color="D2C9B8"/>
                    <w:bottom w:val="single" w:sz="4" w:space="0" w:color="D2C9B8"/>
                    <w:right w:val="single" w:sz="4" w:space="0" w:color="D2C9B8"/>
                  </w:tcBorders>
                </w:tcPr>
                <w:p w14:paraId="625CD70B" w14:textId="77777777" w:rsidR="005A5FCC" w:rsidRDefault="00A21C81">
                  <w:pPr>
                    <w:spacing w:before="20" w:after="20" w:line="240" w:lineRule="auto"/>
                    <w:jc w:val="left"/>
                  </w:pPr>
                  <w:r>
                    <w:rPr>
                      <w:rFonts w:cs="EB Garamond"/>
                      <w:kern w:val="16"/>
                      <w:sz w:val="16"/>
                      <w14:ligatures w14:val="standardContextual"/>
                    </w:rPr>
                    <w:t>—</w:t>
                  </w:r>
                </w:p>
              </w:tc>
              <w:tc>
                <w:tcPr>
                  <w:tcW w:w="1270" w:type="dxa"/>
                  <w:tcBorders>
                    <w:top w:val="single" w:sz="4" w:space="0" w:color="D2C9B8"/>
                    <w:left w:val="single" w:sz="4" w:space="0" w:color="D2C9B8"/>
                    <w:bottom w:val="single" w:sz="4" w:space="0" w:color="D2C9B8"/>
                    <w:right w:val="single" w:sz="4" w:space="0" w:color="D2C9B8"/>
                  </w:tcBorders>
                </w:tcPr>
                <w:p w14:paraId="1EB29FDC" w14:textId="77777777" w:rsidR="005A5FCC" w:rsidRDefault="00A21C81">
                  <w:pPr>
                    <w:spacing w:before="20" w:after="20" w:line="240" w:lineRule="auto"/>
                    <w:jc w:val="left"/>
                  </w:pPr>
                  <w:r>
                    <w:rPr>
                      <w:rFonts w:cs="EB Garamond"/>
                      <w:kern w:val="16"/>
                      <w:sz w:val="16"/>
                      <w14:ligatures w14:val="standardContextual"/>
                    </w:rPr>
                    <w:t>10 anos (DIB), inclusive Tema 975</w:t>
                  </w:r>
                </w:p>
              </w:tc>
              <w:tc>
                <w:tcPr>
                  <w:tcW w:w="1270" w:type="dxa"/>
                  <w:tcBorders>
                    <w:top w:val="single" w:sz="4" w:space="0" w:color="D2C9B8"/>
                    <w:left w:val="single" w:sz="4" w:space="0" w:color="D2C9B8"/>
                    <w:bottom w:val="single" w:sz="4" w:space="0" w:color="D2C9B8"/>
                    <w:right w:val="single" w:sz="4" w:space="0" w:color="D2C9B8"/>
                  </w:tcBorders>
                </w:tcPr>
                <w:p w14:paraId="45AB6CC0" w14:textId="77777777" w:rsidR="005A5FCC" w:rsidRDefault="00A21C81">
                  <w:pPr>
                    <w:spacing w:before="20" w:after="20" w:line="240" w:lineRule="auto"/>
                    <w:jc w:val="left"/>
                  </w:pPr>
                  <w:r>
                    <w:rPr>
                      <w:rFonts w:cs="EB Garamond"/>
                      <w:kern w:val="16"/>
                      <w:sz w:val="16"/>
                      <w14:ligatures w14:val="standardContextual"/>
                    </w:rPr>
                    <w:t>Limitada</w:t>
                  </w:r>
                </w:p>
              </w:tc>
            </w:tr>
            <w:tr w:rsidR="005A5FCC" w14:paraId="145739B1"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7BFC6F5D" w14:textId="77777777" w:rsidR="005A5FCC" w:rsidRDefault="00A21C81">
                  <w:pPr>
                    <w:spacing w:before="20" w:after="20" w:line="240" w:lineRule="auto"/>
                    <w:jc w:val="left"/>
                  </w:pPr>
                  <w:r>
                    <w:rPr>
                      <w:rFonts w:cs="EB Garamond"/>
                      <w:kern w:val="16"/>
                      <w:sz w:val="16"/>
                      <w14:ligatures w14:val="standardContextual"/>
                    </w:rPr>
                    <w:t>Atividades concomitantes</w:t>
                  </w:r>
                </w:p>
              </w:tc>
              <w:tc>
                <w:tcPr>
                  <w:tcW w:w="1270" w:type="dxa"/>
                  <w:tcBorders>
                    <w:top w:val="single" w:sz="4" w:space="0" w:color="D2C9B8"/>
                    <w:left w:val="single" w:sz="4" w:space="0" w:color="D2C9B8"/>
                    <w:bottom w:val="single" w:sz="4" w:space="0" w:color="D2C9B8"/>
                    <w:right w:val="single" w:sz="4" w:space="0" w:color="D2C9B8"/>
                  </w:tcBorders>
                </w:tcPr>
                <w:p w14:paraId="1E492F22" w14:textId="77777777" w:rsidR="005A5FCC" w:rsidRDefault="00A21C81">
                  <w:pPr>
                    <w:spacing w:before="20" w:after="20" w:line="240" w:lineRule="auto"/>
                    <w:jc w:val="left"/>
                  </w:pPr>
                  <w:r>
                    <w:rPr>
                      <w:rFonts w:cs="EB Garamond"/>
                      <w:kern w:val="16"/>
                      <w:sz w:val="16"/>
                      <w14:ligatures w14:val="standardContextual"/>
                    </w:rPr>
                    <w:t>Art. 29 × art. 32, Lei 8.213/91</w:t>
                  </w:r>
                </w:p>
              </w:tc>
              <w:tc>
                <w:tcPr>
                  <w:tcW w:w="1270" w:type="dxa"/>
                  <w:tcBorders>
                    <w:top w:val="single" w:sz="4" w:space="0" w:color="D2C9B8"/>
                    <w:left w:val="single" w:sz="4" w:space="0" w:color="D2C9B8"/>
                    <w:bottom w:val="single" w:sz="4" w:space="0" w:color="D2C9B8"/>
                    <w:right w:val="single" w:sz="4" w:space="0" w:color="D2C9B8"/>
                  </w:tcBorders>
                </w:tcPr>
                <w:p w14:paraId="78A1F800" w14:textId="77777777" w:rsidR="005A5FCC" w:rsidRDefault="00A21C81">
                  <w:pPr>
                    <w:spacing w:before="20" w:after="20" w:line="240" w:lineRule="auto"/>
                    <w:jc w:val="left"/>
                  </w:pPr>
                  <w:r>
                    <w:rPr>
                      <w:rFonts w:cs="EB Garamond"/>
                      <w:kern w:val="16"/>
                      <w:sz w:val="16"/>
                      <w14:ligatures w14:val="standardContextual"/>
                    </w:rPr>
                    <w:t>Tema 1070/STJ</w:t>
                  </w:r>
                </w:p>
              </w:tc>
              <w:tc>
                <w:tcPr>
                  <w:tcW w:w="1270" w:type="dxa"/>
                  <w:tcBorders>
                    <w:top w:val="single" w:sz="4" w:space="0" w:color="D2C9B8"/>
                    <w:left w:val="single" w:sz="4" w:space="0" w:color="D2C9B8"/>
                    <w:bottom w:val="single" w:sz="4" w:space="0" w:color="D2C9B8"/>
                    <w:right w:val="single" w:sz="4" w:space="0" w:color="D2C9B8"/>
                  </w:tcBorders>
                </w:tcPr>
                <w:p w14:paraId="78B4113B" w14:textId="77777777" w:rsidR="005A5FCC" w:rsidRDefault="00A21C81">
                  <w:pPr>
                    <w:spacing w:before="20" w:after="20" w:line="240" w:lineRule="auto"/>
                    <w:jc w:val="left"/>
                  </w:pPr>
                  <w:r>
                    <w:rPr>
                      <w:rFonts w:cs="EB Garamond"/>
                      <w:kern w:val="16"/>
                      <w:sz w:val="16"/>
                      <w14:ligatures w14:val="standardContextual"/>
                    </w:rPr>
                    <w:t>10 anos (DIB), inclusive Tema 975</w:t>
                  </w:r>
                </w:p>
              </w:tc>
              <w:tc>
                <w:tcPr>
                  <w:tcW w:w="1270" w:type="dxa"/>
                  <w:tcBorders>
                    <w:top w:val="single" w:sz="4" w:space="0" w:color="D2C9B8"/>
                    <w:left w:val="single" w:sz="4" w:space="0" w:color="D2C9B8"/>
                    <w:bottom w:val="single" w:sz="4" w:space="0" w:color="D2C9B8"/>
                    <w:right w:val="single" w:sz="4" w:space="0" w:color="D2C9B8"/>
                  </w:tcBorders>
                </w:tcPr>
                <w:p w14:paraId="2F0600BE" w14:textId="77777777" w:rsidR="005A5FCC" w:rsidRDefault="00A21C81">
                  <w:pPr>
                    <w:spacing w:before="20" w:after="20" w:line="240" w:lineRule="auto"/>
                    <w:jc w:val="left"/>
                  </w:pPr>
                  <w:r>
                    <w:rPr>
                      <w:rFonts w:cs="EB Garamond"/>
                      <w:kern w:val="16"/>
                      <w:sz w:val="16"/>
                      <w14:ligatures w14:val="standardContextual"/>
                    </w:rPr>
                    <w:t>Principal tese ativa</w:t>
                  </w:r>
                </w:p>
              </w:tc>
            </w:tr>
            <w:tr w:rsidR="005A5FCC" w14:paraId="3C8ECC22"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714CE568" w14:textId="77777777" w:rsidR="005A5FCC" w:rsidRDefault="00A21C81">
                  <w:pPr>
                    <w:spacing w:before="20" w:after="20" w:line="240" w:lineRule="auto"/>
                    <w:jc w:val="left"/>
                  </w:pPr>
                  <w:r>
                    <w:rPr>
                      <w:rFonts w:cs="EB Garamond"/>
                      <w:kern w:val="16"/>
                      <w:sz w:val="16"/>
                      <w14:ligatures w14:val="standardContextual"/>
                    </w:rPr>
                    <w:t>Tempo especial</w:t>
                  </w:r>
                </w:p>
              </w:tc>
              <w:tc>
                <w:tcPr>
                  <w:tcW w:w="1270" w:type="dxa"/>
                  <w:tcBorders>
                    <w:top w:val="single" w:sz="4" w:space="0" w:color="D2C9B8"/>
                    <w:left w:val="single" w:sz="4" w:space="0" w:color="D2C9B8"/>
                    <w:bottom w:val="single" w:sz="4" w:space="0" w:color="D2C9B8"/>
                    <w:right w:val="single" w:sz="4" w:space="0" w:color="D2C9B8"/>
                  </w:tcBorders>
                </w:tcPr>
                <w:p w14:paraId="2E09CA22" w14:textId="77777777" w:rsidR="005A5FCC" w:rsidRDefault="00A21C81">
                  <w:pPr>
                    <w:spacing w:before="20" w:after="20" w:line="240" w:lineRule="auto"/>
                    <w:jc w:val="left"/>
                  </w:pPr>
                  <w:r>
                    <w:rPr>
                      <w:rFonts w:cs="EB Garamond"/>
                      <w:kern w:val="16"/>
                      <w:sz w:val="16"/>
                      <w14:ligatures w14:val="standardContextual"/>
                    </w:rPr>
                    <w:t>Arts. 57-58, Lei 8.213/91</w:t>
                  </w:r>
                </w:p>
              </w:tc>
              <w:tc>
                <w:tcPr>
                  <w:tcW w:w="1270" w:type="dxa"/>
                  <w:tcBorders>
                    <w:top w:val="single" w:sz="4" w:space="0" w:color="D2C9B8"/>
                    <w:left w:val="single" w:sz="4" w:space="0" w:color="D2C9B8"/>
                    <w:bottom w:val="single" w:sz="4" w:space="0" w:color="D2C9B8"/>
                    <w:right w:val="single" w:sz="4" w:space="0" w:color="D2C9B8"/>
                  </w:tcBorders>
                </w:tcPr>
                <w:p w14:paraId="489C3DDD" w14:textId="77777777" w:rsidR="005A5FCC" w:rsidRDefault="00A21C81">
                  <w:pPr>
                    <w:spacing w:before="20" w:after="20" w:line="240" w:lineRule="auto"/>
                    <w:jc w:val="left"/>
                  </w:pPr>
                  <w:r>
                    <w:rPr>
                      <w:rFonts w:cs="EB Garamond"/>
                      <w:kern w:val="16"/>
                      <w:sz w:val="16"/>
                      <w14:ligatures w14:val="standardContextual"/>
                    </w:rPr>
                    <w:t>Diversos</w:t>
                  </w:r>
                </w:p>
              </w:tc>
              <w:tc>
                <w:tcPr>
                  <w:tcW w:w="1270" w:type="dxa"/>
                  <w:tcBorders>
                    <w:top w:val="single" w:sz="4" w:space="0" w:color="D2C9B8"/>
                    <w:left w:val="single" w:sz="4" w:space="0" w:color="D2C9B8"/>
                    <w:bottom w:val="single" w:sz="4" w:space="0" w:color="D2C9B8"/>
                    <w:right w:val="single" w:sz="4" w:space="0" w:color="D2C9B8"/>
                  </w:tcBorders>
                </w:tcPr>
                <w:p w14:paraId="2CFE1403" w14:textId="77777777" w:rsidR="005A5FCC" w:rsidRDefault="00A21C81">
                  <w:pPr>
                    <w:spacing w:before="20" w:after="20" w:line="240" w:lineRule="auto"/>
                    <w:jc w:val="left"/>
                  </w:pPr>
                  <w:r>
                    <w:rPr>
                      <w:rFonts w:cs="EB Garamond"/>
                      <w:kern w:val="16"/>
                      <w:sz w:val="16"/>
                      <w14:ligatures w14:val="standardContextual"/>
                    </w:rPr>
                    <w:t>10 anos (DIB), inclusive Tema 975</w:t>
                  </w:r>
                </w:p>
              </w:tc>
              <w:tc>
                <w:tcPr>
                  <w:tcW w:w="1270" w:type="dxa"/>
                  <w:tcBorders>
                    <w:top w:val="single" w:sz="4" w:space="0" w:color="D2C9B8"/>
                    <w:left w:val="single" w:sz="4" w:space="0" w:color="D2C9B8"/>
                    <w:bottom w:val="single" w:sz="4" w:space="0" w:color="D2C9B8"/>
                    <w:right w:val="single" w:sz="4" w:space="0" w:color="D2C9B8"/>
                  </w:tcBorders>
                </w:tcPr>
                <w:p w14:paraId="2A5290EE" w14:textId="77777777" w:rsidR="005A5FCC" w:rsidRDefault="00A21C81">
                  <w:pPr>
                    <w:spacing w:before="20" w:after="20" w:line="240" w:lineRule="auto"/>
                    <w:jc w:val="left"/>
                  </w:pPr>
                  <w:r>
                    <w:rPr>
                      <w:rFonts w:cs="EB Garamond"/>
                      <w:kern w:val="16"/>
                      <w:sz w:val="16"/>
                      <w14:ligatures w14:val="standardContextual"/>
                    </w:rPr>
                    <w:t>Viável</w:t>
                  </w:r>
                </w:p>
              </w:tc>
            </w:tr>
            <w:tr w:rsidR="005A5FCC" w14:paraId="626F82ED"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4D3A0DBE" w14:textId="77777777" w:rsidR="005A5FCC" w:rsidRDefault="00A21C81">
                  <w:pPr>
                    <w:spacing w:before="20" w:after="20" w:line="240" w:lineRule="auto"/>
                    <w:jc w:val="left"/>
                  </w:pPr>
                  <w:r>
                    <w:rPr>
                      <w:rFonts w:cs="EB Garamond"/>
                      <w:kern w:val="16"/>
                      <w:sz w:val="16"/>
                      <w14:ligatures w14:val="standardContextual"/>
                    </w:rPr>
                    <w:t>Tempo rural</w:t>
                  </w:r>
                </w:p>
              </w:tc>
              <w:tc>
                <w:tcPr>
                  <w:tcW w:w="1270" w:type="dxa"/>
                  <w:tcBorders>
                    <w:top w:val="single" w:sz="4" w:space="0" w:color="D2C9B8"/>
                    <w:left w:val="single" w:sz="4" w:space="0" w:color="D2C9B8"/>
                    <w:bottom w:val="single" w:sz="4" w:space="0" w:color="D2C9B8"/>
                    <w:right w:val="single" w:sz="4" w:space="0" w:color="D2C9B8"/>
                  </w:tcBorders>
                </w:tcPr>
                <w:p w14:paraId="472E0040" w14:textId="77777777" w:rsidR="005A5FCC" w:rsidRDefault="00A21C81">
                  <w:pPr>
                    <w:spacing w:before="20" w:after="20" w:line="240" w:lineRule="auto"/>
                    <w:jc w:val="left"/>
                  </w:pPr>
                  <w:r>
                    <w:rPr>
                      <w:rFonts w:cs="EB Garamond"/>
                      <w:kern w:val="16"/>
                      <w:sz w:val="16"/>
                      <w14:ligatures w14:val="standardContextual"/>
                    </w:rPr>
                    <w:t>Art. 55, §3º, Lei 8.213/91</w:t>
                  </w:r>
                </w:p>
              </w:tc>
              <w:tc>
                <w:tcPr>
                  <w:tcW w:w="1270" w:type="dxa"/>
                  <w:tcBorders>
                    <w:top w:val="single" w:sz="4" w:space="0" w:color="D2C9B8"/>
                    <w:left w:val="single" w:sz="4" w:space="0" w:color="D2C9B8"/>
                    <w:bottom w:val="single" w:sz="4" w:space="0" w:color="D2C9B8"/>
                    <w:right w:val="single" w:sz="4" w:space="0" w:color="D2C9B8"/>
                  </w:tcBorders>
                </w:tcPr>
                <w:p w14:paraId="4ACC6301" w14:textId="77777777" w:rsidR="005A5FCC" w:rsidRDefault="00A21C81">
                  <w:pPr>
                    <w:spacing w:before="20" w:after="20" w:line="240" w:lineRule="auto"/>
                    <w:jc w:val="left"/>
                  </w:pPr>
                  <w:r>
                    <w:rPr>
                      <w:rFonts w:cs="EB Garamond"/>
                      <w:kern w:val="16"/>
                      <w:sz w:val="16"/>
                      <w14:ligatures w14:val="standardContextual"/>
                    </w:rPr>
                    <w:t>—</w:t>
                  </w:r>
                </w:p>
              </w:tc>
              <w:tc>
                <w:tcPr>
                  <w:tcW w:w="1270" w:type="dxa"/>
                  <w:tcBorders>
                    <w:top w:val="single" w:sz="4" w:space="0" w:color="D2C9B8"/>
                    <w:left w:val="single" w:sz="4" w:space="0" w:color="D2C9B8"/>
                    <w:bottom w:val="single" w:sz="4" w:space="0" w:color="D2C9B8"/>
                    <w:right w:val="single" w:sz="4" w:space="0" w:color="D2C9B8"/>
                  </w:tcBorders>
                </w:tcPr>
                <w:p w14:paraId="1DFEE958" w14:textId="77777777" w:rsidR="005A5FCC" w:rsidRDefault="00A21C81">
                  <w:pPr>
                    <w:spacing w:before="20" w:after="20" w:line="240" w:lineRule="auto"/>
                    <w:jc w:val="left"/>
                  </w:pPr>
                  <w:r>
                    <w:rPr>
                      <w:rFonts w:cs="EB Garamond"/>
                      <w:kern w:val="16"/>
                      <w:sz w:val="16"/>
                      <w14:ligatures w14:val="standardContextual"/>
                    </w:rPr>
                    <w:t>10 anos (DIB), inclusive Tema 975</w:t>
                  </w:r>
                </w:p>
              </w:tc>
              <w:tc>
                <w:tcPr>
                  <w:tcW w:w="1270" w:type="dxa"/>
                  <w:tcBorders>
                    <w:top w:val="single" w:sz="4" w:space="0" w:color="D2C9B8"/>
                    <w:left w:val="single" w:sz="4" w:space="0" w:color="D2C9B8"/>
                    <w:bottom w:val="single" w:sz="4" w:space="0" w:color="D2C9B8"/>
                    <w:right w:val="single" w:sz="4" w:space="0" w:color="D2C9B8"/>
                  </w:tcBorders>
                </w:tcPr>
                <w:p w14:paraId="574A8F7D" w14:textId="77777777" w:rsidR="005A5FCC" w:rsidRDefault="00A21C81">
                  <w:pPr>
                    <w:spacing w:before="20" w:after="20" w:line="240" w:lineRule="auto"/>
                    <w:jc w:val="left"/>
                  </w:pPr>
                  <w:r>
                    <w:rPr>
                      <w:rFonts w:cs="EB Garamond"/>
                      <w:kern w:val="16"/>
                      <w:sz w:val="16"/>
                      <w14:ligatures w14:val="standardContextual"/>
                    </w:rPr>
                    <w:t>Viável</w:t>
                  </w:r>
                </w:p>
              </w:tc>
            </w:tr>
            <w:tr w:rsidR="005A5FCC" w14:paraId="1482ABF0"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6AFEBA1A" w14:textId="77777777" w:rsidR="005A5FCC" w:rsidRDefault="00A21C81">
                  <w:pPr>
                    <w:spacing w:before="20" w:after="20" w:line="240" w:lineRule="auto"/>
                    <w:jc w:val="left"/>
                  </w:pPr>
                  <w:r>
                    <w:rPr>
                      <w:rFonts w:cs="EB Garamond"/>
                      <w:kern w:val="16"/>
                      <w:sz w:val="16"/>
                      <w14:ligatures w14:val="standardContextual"/>
                    </w:rPr>
                    <w:t>Desaposentação</w:t>
                  </w:r>
                </w:p>
              </w:tc>
              <w:tc>
                <w:tcPr>
                  <w:tcW w:w="1270" w:type="dxa"/>
                  <w:tcBorders>
                    <w:top w:val="single" w:sz="4" w:space="0" w:color="D2C9B8"/>
                    <w:left w:val="single" w:sz="4" w:space="0" w:color="D2C9B8"/>
                    <w:bottom w:val="single" w:sz="4" w:space="0" w:color="D2C9B8"/>
                    <w:right w:val="single" w:sz="4" w:space="0" w:color="D2C9B8"/>
                  </w:tcBorders>
                </w:tcPr>
                <w:p w14:paraId="493668E3" w14:textId="77777777" w:rsidR="005A5FCC" w:rsidRDefault="00A21C81">
                  <w:pPr>
                    <w:spacing w:before="20" w:after="20" w:line="240" w:lineRule="auto"/>
                    <w:jc w:val="left"/>
                  </w:pPr>
                  <w:r>
                    <w:rPr>
                      <w:rFonts w:cs="EB Garamond"/>
                      <w:kern w:val="16"/>
                      <w:sz w:val="16"/>
                      <w14:ligatures w14:val="standardContextual"/>
                    </w:rPr>
                    <w:t>—</w:t>
                  </w:r>
                </w:p>
              </w:tc>
              <w:tc>
                <w:tcPr>
                  <w:tcW w:w="1270" w:type="dxa"/>
                  <w:tcBorders>
                    <w:top w:val="single" w:sz="4" w:space="0" w:color="D2C9B8"/>
                    <w:left w:val="single" w:sz="4" w:space="0" w:color="D2C9B8"/>
                    <w:bottom w:val="single" w:sz="4" w:space="0" w:color="D2C9B8"/>
                    <w:right w:val="single" w:sz="4" w:space="0" w:color="D2C9B8"/>
                  </w:tcBorders>
                </w:tcPr>
                <w:p w14:paraId="4762A69A" w14:textId="77777777" w:rsidR="005A5FCC" w:rsidRDefault="00A21C81">
                  <w:pPr>
                    <w:spacing w:before="20" w:after="20" w:line="240" w:lineRule="auto"/>
                    <w:jc w:val="left"/>
                  </w:pPr>
                  <w:r>
                    <w:rPr>
                      <w:rFonts w:cs="EB Garamond"/>
                      <w:kern w:val="16"/>
                      <w:sz w:val="16"/>
                      <w14:ligatures w14:val="standardContextual"/>
                    </w:rPr>
                    <w:t>Tema 503/STF</w:t>
                  </w:r>
                </w:p>
              </w:tc>
              <w:tc>
                <w:tcPr>
                  <w:tcW w:w="1270" w:type="dxa"/>
                  <w:tcBorders>
                    <w:top w:val="single" w:sz="4" w:space="0" w:color="D2C9B8"/>
                    <w:left w:val="single" w:sz="4" w:space="0" w:color="D2C9B8"/>
                    <w:bottom w:val="single" w:sz="4" w:space="0" w:color="D2C9B8"/>
                    <w:right w:val="single" w:sz="4" w:space="0" w:color="D2C9B8"/>
                  </w:tcBorders>
                </w:tcPr>
                <w:p w14:paraId="2E9E4F7E" w14:textId="77777777" w:rsidR="005A5FCC" w:rsidRDefault="00A21C81">
                  <w:pPr>
                    <w:spacing w:before="20" w:after="20" w:line="240" w:lineRule="auto"/>
                    <w:jc w:val="left"/>
                  </w:pPr>
                  <w:r>
                    <w:rPr>
                      <w:rFonts w:cs="EB Garamond"/>
                      <w:kern w:val="16"/>
                      <w:sz w:val="16"/>
                      <w14:ligatures w14:val="standardContextual"/>
                    </w:rPr>
                    <w:t>—</w:t>
                  </w:r>
                </w:p>
              </w:tc>
              <w:tc>
                <w:tcPr>
                  <w:tcW w:w="1270" w:type="dxa"/>
                  <w:tcBorders>
                    <w:top w:val="single" w:sz="4" w:space="0" w:color="D2C9B8"/>
                    <w:left w:val="single" w:sz="4" w:space="0" w:color="D2C9B8"/>
                    <w:bottom w:val="single" w:sz="4" w:space="0" w:color="D2C9B8"/>
                    <w:right w:val="single" w:sz="4" w:space="0" w:color="D2C9B8"/>
                  </w:tcBorders>
                </w:tcPr>
                <w:p w14:paraId="0A5C5DAF" w14:textId="77777777" w:rsidR="005A5FCC" w:rsidRDefault="00A21C81">
                  <w:pPr>
                    <w:spacing w:before="20" w:after="20" w:line="240" w:lineRule="auto"/>
                    <w:jc w:val="left"/>
                  </w:pPr>
                  <w:r>
                    <w:rPr>
                      <w:rFonts w:cs="EB Garamond"/>
                      <w:kern w:val="16"/>
                      <w:sz w:val="16"/>
                      <w14:ligatures w14:val="standardContextual"/>
                    </w:rPr>
                    <w:t>Encerrada (2016)</w:t>
                  </w:r>
                </w:p>
              </w:tc>
            </w:tr>
            <w:tr w:rsidR="005A5FCC" w14:paraId="6FE9AB24"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740AD3DA" w14:textId="77777777" w:rsidR="005A5FCC" w:rsidRDefault="00A21C81">
                  <w:pPr>
                    <w:spacing w:before="20" w:after="20" w:line="240" w:lineRule="auto"/>
                    <w:jc w:val="left"/>
                  </w:pPr>
                  <w:r>
                    <w:rPr>
                      <w:rFonts w:cs="EB Garamond"/>
                      <w:kern w:val="16"/>
                      <w:sz w:val="16"/>
                      <w14:ligatures w14:val="standardContextual"/>
                    </w:rPr>
                    <w:t>Melhor DIB</w:t>
                  </w:r>
                </w:p>
              </w:tc>
              <w:tc>
                <w:tcPr>
                  <w:tcW w:w="1270" w:type="dxa"/>
                  <w:tcBorders>
                    <w:top w:val="single" w:sz="4" w:space="0" w:color="D2C9B8"/>
                    <w:left w:val="single" w:sz="4" w:space="0" w:color="D2C9B8"/>
                    <w:bottom w:val="single" w:sz="4" w:space="0" w:color="D2C9B8"/>
                    <w:right w:val="single" w:sz="4" w:space="0" w:color="D2C9B8"/>
                  </w:tcBorders>
                </w:tcPr>
                <w:p w14:paraId="5E6E3ED7" w14:textId="77777777" w:rsidR="005A5FCC" w:rsidRDefault="00A21C81">
                  <w:pPr>
                    <w:spacing w:before="20" w:after="20" w:line="240" w:lineRule="auto"/>
                    <w:jc w:val="left"/>
                  </w:pPr>
                  <w:r>
                    <w:rPr>
                      <w:rFonts w:cs="EB Garamond"/>
                      <w:kern w:val="16"/>
                      <w:sz w:val="16"/>
                      <w14:ligatures w14:val="standardContextual"/>
                    </w:rPr>
                    <w:t>Art. 26, §2º, EC 103/2019</w:t>
                  </w:r>
                </w:p>
              </w:tc>
              <w:tc>
                <w:tcPr>
                  <w:tcW w:w="1270" w:type="dxa"/>
                  <w:tcBorders>
                    <w:top w:val="single" w:sz="4" w:space="0" w:color="D2C9B8"/>
                    <w:left w:val="single" w:sz="4" w:space="0" w:color="D2C9B8"/>
                    <w:bottom w:val="single" w:sz="4" w:space="0" w:color="D2C9B8"/>
                    <w:right w:val="single" w:sz="4" w:space="0" w:color="D2C9B8"/>
                  </w:tcBorders>
                </w:tcPr>
                <w:p w14:paraId="466DA6A1" w14:textId="77777777" w:rsidR="005A5FCC" w:rsidRDefault="00A21C81">
                  <w:pPr>
                    <w:spacing w:before="20" w:after="20" w:line="240" w:lineRule="auto"/>
                    <w:jc w:val="left"/>
                  </w:pPr>
                  <w:r>
                    <w:rPr>
                      <w:rFonts w:cs="EB Garamond"/>
                      <w:kern w:val="16"/>
                      <w:sz w:val="16"/>
                      <w14:ligatures w14:val="standardContextual"/>
                    </w:rPr>
                    <w:t>Tema 966/STJ</w:t>
                  </w:r>
                </w:p>
              </w:tc>
              <w:tc>
                <w:tcPr>
                  <w:tcW w:w="1270" w:type="dxa"/>
                  <w:tcBorders>
                    <w:top w:val="single" w:sz="4" w:space="0" w:color="D2C9B8"/>
                    <w:left w:val="single" w:sz="4" w:space="0" w:color="D2C9B8"/>
                    <w:bottom w:val="single" w:sz="4" w:space="0" w:color="D2C9B8"/>
                    <w:right w:val="single" w:sz="4" w:space="0" w:color="D2C9B8"/>
                  </w:tcBorders>
                </w:tcPr>
                <w:p w14:paraId="779E573C" w14:textId="77777777" w:rsidR="005A5FCC" w:rsidRDefault="00A21C81">
                  <w:pPr>
                    <w:spacing w:before="20" w:after="20" w:line="240" w:lineRule="auto"/>
                    <w:jc w:val="left"/>
                  </w:pPr>
                  <w:r>
                    <w:rPr>
                      <w:rFonts w:cs="EB Garamond"/>
                      <w:kern w:val="16"/>
                      <w:sz w:val="16"/>
                      <w14:ligatures w14:val="standardContextual"/>
                    </w:rPr>
                    <w:t>10 anos (DIB)</w:t>
                  </w:r>
                </w:p>
              </w:tc>
              <w:tc>
                <w:tcPr>
                  <w:tcW w:w="1270" w:type="dxa"/>
                  <w:tcBorders>
                    <w:top w:val="single" w:sz="4" w:space="0" w:color="D2C9B8"/>
                    <w:left w:val="single" w:sz="4" w:space="0" w:color="D2C9B8"/>
                    <w:bottom w:val="single" w:sz="4" w:space="0" w:color="D2C9B8"/>
                    <w:right w:val="single" w:sz="4" w:space="0" w:color="D2C9B8"/>
                  </w:tcBorders>
                </w:tcPr>
                <w:p w14:paraId="10859674" w14:textId="77777777" w:rsidR="005A5FCC" w:rsidRDefault="00A21C81">
                  <w:pPr>
                    <w:spacing w:before="20" w:after="20" w:line="240" w:lineRule="auto"/>
                    <w:jc w:val="left"/>
                  </w:pPr>
                  <w:r>
                    <w:rPr>
                      <w:rFonts w:cs="EB Garamond"/>
                      <w:kern w:val="16"/>
                      <w:sz w:val="16"/>
                      <w14:ligatures w14:val="standardContextual"/>
                    </w:rPr>
                    <w:t>Viável</w:t>
                  </w:r>
                </w:p>
              </w:tc>
            </w:tr>
            <w:tr w:rsidR="005A5FCC" w14:paraId="7568D360"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72577D76" w14:textId="77777777" w:rsidR="005A5FCC" w:rsidRDefault="00A21C81">
                  <w:pPr>
                    <w:spacing w:before="20" w:after="20" w:line="240" w:lineRule="auto"/>
                    <w:jc w:val="left"/>
                  </w:pPr>
                  <w:r>
                    <w:rPr>
                      <w:rFonts w:cs="EB Garamond"/>
                      <w:kern w:val="16"/>
                      <w:sz w:val="16"/>
                      <w14:ligatures w14:val="standardContextual"/>
                    </w:rPr>
                    <w:t>Reafirmação da DER</w:t>
                  </w:r>
                </w:p>
              </w:tc>
              <w:tc>
                <w:tcPr>
                  <w:tcW w:w="1270" w:type="dxa"/>
                  <w:tcBorders>
                    <w:top w:val="single" w:sz="4" w:space="0" w:color="D2C9B8"/>
                    <w:left w:val="single" w:sz="4" w:space="0" w:color="D2C9B8"/>
                    <w:bottom w:val="single" w:sz="4" w:space="0" w:color="D2C9B8"/>
                    <w:right w:val="single" w:sz="4" w:space="0" w:color="D2C9B8"/>
                  </w:tcBorders>
                </w:tcPr>
                <w:p w14:paraId="2174FB99" w14:textId="77777777" w:rsidR="005A5FCC" w:rsidRDefault="00A21C81">
                  <w:pPr>
                    <w:spacing w:before="20" w:after="20" w:line="240" w:lineRule="auto"/>
                    <w:jc w:val="left"/>
                  </w:pPr>
                  <w:r>
                    <w:rPr>
                      <w:rFonts w:cs="EB Garamond"/>
                      <w:kern w:val="16"/>
                      <w:sz w:val="16"/>
                      <w14:ligatures w14:val="standardContextual"/>
                    </w:rPr>
                    <w:t>Art. 29 + art. 493 CPC</w:t>
                  </w:r>
                </w:p>
              </w:tc>
              <w:tc>
                <w:tcPr>
                  <w:tcW w:w="1270" w:type="dxa"/>
                  <w:tcBorders>
                    <w:top w:val="single" w:sz="4" w:space="0" w:color="D2C9B8"/>
                    <w:left w:val="single" w:sz="4" w:space="0" w:color="D2C9B8"/>
                    <w:bottom w:val="single" w:sz="4" w:space="0" w:color="D2C9B8"/>
                    <w:right w:val="single" w:sz="4" w:space="0" w:color="D2C9B8"/>
                  </w:tcBorders>
                </w:tcPr>
                <w:p w14:paraId="1FE4ED6F" w14:textId="77777777" w:rsidR="005A5FCC" w:rsidRDefault="00A21C81">
                  <w:pPr>
                    <w:spacing w:before="20" w:after="20" w:line="240" w:lineRule="auto"/>
                    <w:jc w:val="left"/>
                  </w:pPr>
                  <w:r>
                    <w:rPr>
                      <w:rFonts w:cs="EB Garamond"/>
                      <w:kern w:val="16"/>
                      <w:sz w:val="16"/>
                      <w14:ligatures w14:val="standardContextual"/>
                    </w:rPr>
                    <w:t>Tema 995/STJ</w:t>
                  </w:r>
                </w:p>
              </w:tc>
              <w:tc>
                <w:tcPr>
                  <w:tcW w:w="1270" w:type="dxa"/>
                  <w:tcBorders>
                    <w:top w:val="single" w:sz="4" w:space="0" w:color="D2C9B8"/>
                    <w:left w:val="single" w:sz="4" w:space="0" w:color="D2C9B8"/>
                    <w:bottom w:val="single" w:sz="4" w:space="0" w:color="D2C9B8"/>
                    <w:right w:val="single" w:sz="4" w:space="0" w:color="D2C9B8"/>
                  </w:tcBorders>
                </w:tcPr>
                <w:p w14:paraId="2C756E6D" w14:textId="77777777" w:rsidR="005A5FCC" w:rsidRDefault="00A21C81">
                  <w:pPr>
                    <w:spacing w:before="20" w:after="20" w:line="240" w:lineRule="auto"/>
                    <w:jc w:val="left"/>
                  </w:pPr>
                  <w:r>
                    <w:rPr>
                      <w:rFonts w:cs="EB Garamond"/>
                      <w:kern w:val="16"/>
                      <w:sz w:val="16"/>
                      <w14:ligatures w14:val="standardContextual"/>
                    </w:rPr>
                    <w:t>Não se aplica</w:t>
                  </w:r>
                </w:p>
              </w:tc>
              <w:tc>
                <w:tcPr>
                  <w:tcW w:w="1270" w:type="dxa"/>
                  <w:tcBorders>
                    <w:top w:val="single" w:sz="4" w:space="0" w:color="D2C9B8"/>
                    <w:left w:val="single" w:sz="4" w:space="0" w:color="D2C9B8"/>
                    <w:bottom w:val="single" w:sz="4" w:space="0" w:color="D2C9B8"/>
                    <w:right w:val="single" w:sz="4" w:space="0" w:color="D2C9B8"/>
                  </w:tcBorders>
                </w:tcPr>
                <w:p w14:paraId="301A20CB" w14:textId="77777777" w:rsidR="005A5FCC" w:rsidRDefault="00A21C81">
                  <w:pPr>
                    <w:spacing w:before="20" w:after="20" w:line="240" w:lineRule="auto"/>
                    <w:jc w:val="left"/>
                  </w:pPr>
                  <w:r>
                    <w:rPr>
                      <w:rFonts w:cs="EB Garamond"/>
                      <w:kern w:val="16"/>
                      <w:sz w:val="16"/>
                      <w14:ligatures w14:val="standardContextual"/>
                    </w:rPr>
                    <w:t>Viável</w:t>
                  </w:r>
                </w:p>
              </w:tc>
            </w:tr>
          </w:tbl>
          <w:p w14:paraId="5181FC97" w14:textId="77777777" w:rsidR="005A5FCC" w:rsidRDefault="005A5FCC"/>
          <w:p w14:paraId="02C40A4C" w14:textId="77777777" w:rsidR="005A5FCC" w:rsidRDefault="005A5FCC">
            <w:pPr>
              <w:spacing w:after="0" w:line="240" w:lineRule="auto"/>
            </w:pPr>
          </w:p>
          <w:p w14:paraId="35CBA621" w14:textId="77777777" w:rsidR="005A5FCC" w:rsidRDefault="00A21C81">
            <w:pPr>
              <w:spacing w:after="60" w:line="247" w:lineRule="auto"/>
            </w:pPr>
            <w:r>
              <w:rPr>
                <w:rFonts w:cs="EB Garamond"/>
                <w:i/>
                <w:kern w:val="16"/>
                <w:sz w:val="19"/>
                <w14:ligatures w14:val="standardContextual"/>
              </w:rPr>
              <w:t>Quanto à Melhor DIB, o fundamento positivado (art. 26, §2º, EC 103/2019) e o precedente do Tema 966/STJ operam em planos temporais distintos: o Tema 966 é anterior à EC 103 e trata da decadência sobre o direito adquirido ao benefício mais vantajoso sob a sistemática pré-reforma, não interpretando a EC 103 (v. Seção 17.7.1).</w:t>
            </w:r>
          </w:p>
        </w:tc>
      </w:tr>
    </w:tbl>
    <w:p w14:paraId="04418DD1" w14:textId="77777777" w:rsidR="005A5FCC" w:rsidRDefault="005A5FCC">
      <w:pPr>
        <w:spacing w:after="80" w:line="240" w:lineRule="auto"/>
      </w:pPr>
    </w:p>
    <w:tbl>
      <w:tblPr>
        <w:tblW w:w="5000" w:type="pct"/>
        <w:jc w:val="center"/>
        <w:tblLayout w:type="fixed"/>
        <w:tblLook w:val="04A0" w:firstRow="1" w:lastRow="0" w:firstColumn="1" w:lastColumn="0" w:noHBand="0" w:noVBand="1"/>
      </w:tblPr>
      <w:tblGrid>
        <w:gridCol w:w="6311"/>
      </w:tblGrid>
      <w:tr w:rsidR="005A5FCC" w14:paraId="5C2BE963" w14:textId="77777777">
        <w:trPr>
          <w:cantSplit/>
          <w:jc w:val="center"/>
        </w:trPr>
        <w:tc>
          <w:tcPr>
            <w:tcW w:w="6350" w:type="dxa"/>
            <w:tcBorders>
              <w:top w:val="single" w:sz="7" w:space="0" w:color="A09882"/>
              <w:left w:val="single" w:sz="24" w:space="0" w:color="6B6256"/>
              <w:bottom w:val="single" w:sz="7" w:space="0" w:color="A09882"/>
              <w:right w:val="single" w:sz="7" w:space="0" w:color="A09882"/>
            </w:tcBorders>
            <w:shd w:val="clear" w:color="auto" w:fill="F5F3EF"/>
            <w:tcMar>
              <w:top w:w="150" w:type="dxa"/>
              <w:left w:w="220" w:type="dxa"/>
              <w:bottom w:w="150" w:type="dxa"/>
              <w:right w:w="180" w:type="dxa"/>
            </w:tcMar>
          </w:tcPr>
          <w:p w14:paraId="61EA3E06" w14:textId="77777777" w:rsidR="005A5FCC" w:rsidRDefault="00A21C81">
            <w:pPr>
              <w:spacing w:after="60" w:line="240" w:lineRule="auto"/>
              <w:jc w:val="left"/>
            </w:pPr>
            <w:r>
              <w:rPr>
                <w:rFonts w:ascii="Noto Sans" w:hAnsi="Noto Sans" w:cs="Noto Sans"/>
                <w:b/>
                <w:caps/>
                <w:color w:val="6B6256"/>
                <w:kern w:val="16"/>
                <w:sz w:val="16"/>
                <w14:ligatures w14:val="standardContextual"/>
              </w:rPr>
              <w:lastRenderedPageBreak/>
              <w:t>QUADRO</w:t>
            </w:r>
          </w:p>
          <w:p w14:paraId="725A67BC" w14:textId="77777777" w:rsidR="005A5FCC" w:rsidRDefault="00A21C81">
            <w:pPr>
              <w:spacing w:after="60" w:line="247" w:lineRule="auto"/>
            </w:pPr>
            <w:r>
              <w:rPr>
                <w:rFonts w:cs="EB Garamond"/>
                <w:b/>
                <w:kern w:val="16"/>
                <w:sz w:val="19"/>
                <w14:ligatures w14:val="standardContextual"/>
              </w:rPr>
              <w:t>Quadro 17.2 — Cronologia do Tema 1102/STF (Revisão da Vida Toda)</w:t>
            </w:r>
          </w:p>
          <w:tbl>
            <w:tblPr>
              <w:tblW w:w="5000" w:type="pct"/>
              <w:jc w:val="center"/>
              <w:tblLook w:val="04A0" w:firstRow="1" w:lastRow="0" w:firstColumn="1" w:lastColumn="0" w:noHBand="0" w:noVBand="1"/>
            </w:tblPr>
            <w:tblGrid>
              <w:gridCol w:w="2951"/>
              <w:gridCol w:w="2950"/>
            </w:tblGrid>
            <w:tr w:rsidR="005A5FCC" w14:paraId="56E87CF1" w14:textId="77777777">
              <w:trPr>
                <w:tblHeader/>
                <w:jc w:val="center"/>
              </w:trPr>
              <w:tc>
                <w:tcPr>
                  <w:tcW w:w="3175" w:type="dxa"/>
                  <w:tcBorders>
                    <w:top w:val="single" w:sz="4" w:space="0" w:color="D2C9B8"/>
                    <w:left w:val="single" w:sz="4" w:space="0" w:color="D2C9B8"/>
                    <w:bottom w:val="single" w:sz="4" w:space="0" w:color="D2C9B8"/>
                    <w:right w:val="single" w:sz="4" w:space="0" w:color="D2C9B8"/>
                  </w:tcBorders>
                  <w:shd w:val="clear" w:color="auto" w:fill="F0EDE6"/>
                </w:tcPr>
                <w:p w14:paraId="114A854B" w14:textId="77777777" w:rsidR="005A5FCC" w:rsidRDefault="00A21C81">
                  <w:pPr>
                    <w:spacing w:before="30" w:after="30" w:line="240" w:lineRule="auto"/>
                    <w:jc w:val="center"/>
                  </w:pPr>
                  <w:r>
                    <w:rPr>
                      <w:rFonts w:cs="EB Garamond"/>
                      <w:b/>
                      <w:color w:val="2F2923"/>
                      <w:kern w:val="16"/>
                      <w:sz w:val="16"/>
                      <w14:ligatures w14:val="standardContextual"/>
                    </w:rPr>
                    <w:t>Data</w:t>
                  </w:r>
                </w:p>
              </w:tc>
              <w:tc>
                <w:tcPr>
                  <w:tcW w:w="3175" w:type="dxa"/>
                  <w:tcBorders>
                    <w:top w:val="single" w:sz="4" w:space="0" w:color="D2C9B8"/>
                    <w:left w:val="single" w:sz="4" w:space="0" w:color="D2C9B8"/>
                    <w:bottom w:val="single" w:sz="4" w:space="0" w:color="D2C9B8"/>
                    <w:right w:val="single" w:sz="4" w:space="0" w:color="D2C9B8"/>
                  </w:tcBorders>
                  <w:shd w:val="clear" w:color="auto" w:fill="F0EDE6"/>
                </w:tcPr>
                <w:p w14:paraId="72E85A98" w14:textId="77777777" w:rsidR="005A5FCC" w:rsidRDefault="00A21C81">
                  <w:pPr>
                    <w:spacing w:before="30" w:after="30" w:line="240" w:lineRule="auto"/>
                    <w:jc w:val="center"/>
                  </w:pPr>
                  <w:r>
                    <w:rPr>
                      <w:rFonts w:cs="EB Garamond"/>
                      <w:b/>
                      <w:color w:val="2F2923"/>
                      <w:kern w:val="16"/>
                      <w:sz w:val="16"/>
                      <w14:ligatures w14:val="standardContextual"/>
                    </w:rPr>
                    <w:t>Evento</w:t>
                  </w:r>
                </w:p>
              </w:tc>
            </w:tr>
            <w:tr w:rsidR="005A5FCC" w14:paraId="43278805"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300E0FFB" w14:textId="77777777" w:rsidR="005A5FCC" w:rsidRDefault="00A21C81">
                  <w:pPr>
                    <w:spacing w:before="20" w:after="20" w:line="240" w:lineRule="auto"/>
                    <w:jc w:val="left"/>
                  </w:pPr>
                  <w:r>
                    <w:rPr>
                      <w:rFonts w:cs="EB Garamond"/>
                      <w:kern w:val="16"/>
                      <w:sz w:val="16"/>
                      <w14:ligatures w14:val="standardContextual"/>
                    </w:rPr>
                    <w:t>01/12/2022</w:t>
                  </w:r>
                </w:p>
              </w:tc>
              <w:tc>
                <w:tcPr>
                  <w:tcW w:w="3175" w:type="dxa"/>
                  <w:tcBorders>
                    <w:top w:val="single" w:sz="4" w:space="0" w:color="D2C9B8"/>
                    <w:left w:val="single" w:sz="4" w:space="0" w:color="D2C9B8"/>
                    <w:bottom w:val="single" w:sz="4" w:space="0" w:color="D2C9B8"/>
                    <w:right w:val="single" w:sz="4" w:space="0" w:color="D2C9B8"/>
                  </w:tcBorders>
                </w:tcPr>
                <w:p w14:paraId="2687CF46" w14:textId="77777777" w:rsidR="005A5FCC" w:rsidRDefault="00A21C81">
                  <w:pPr>
                    <w:spacing w:before="20" w:after="20" w:line="240" w:lineRule="auto"/>
                    <w:jc w:val="left"/>
                  </w:pPr>
                  <w:r>
                    <w:rPr>
                      <w:rFonts w:cs="EB Garamond"/>
                      <w:kern w:val="16"/>
                      <w:sz w:val="16"/>
                      <w14:ligatures w14:val="standardContextual"/>
                    </w:rPr>
                    <w:t>Plenário julga procedente o RE 1.276.977 (6×5, após retificação de voto do Min. Nunes Marques). Tese: segurado pode optar pela regra definitiva.</w:t>
                  </w:r>
                </w:p>
              </w:tc>
            </w:tr>
            <w:tr w:rsidR="005A5FCC" w14:paraId="59E670DD"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5E9A0E9E" w14:textId="77777777" w:rsidR="005A5FCC" w:rsidRDefault="00A21C81">
                  <w:pPr>
                    <w:spacing w:before="20" w:after="20" w:line="240" w:lineRule="auto"/>
                    <w:jc w:val="left"/>
                  </w:pPr>
                  <w:r>
                    <w:rPr>
                      <w:rFonts w:cs="EB Garamond"/>
                      <w:kern w:val="16"/>
                      <w:sz w:val="16"/>
                      <w14:ligatures w14:val="standardContextual"/>
                    </w:rPr>
                    <w:t>21/03/2024</w:t>
                  </w:r>
                </w:p>
              </w:tc>
              <w:tc>
                <w:tcPr>
                  <w:tcW w:w="3175" w:type="dxa"/>
                  <w:tcBorders>
                    <w:top w:val="single" w:sz="4" w:space="0" w:color="D2C9B8"/>
                    <w:left w:val="single" w:sz="4" w:space="0" w:color="D2C9B8"/>
                    <w:bottom w:val="single" w:sz="4" w:space="0" w:color="D2C9B8"/>
                    <w:right w:val="single" w:sz="4" w:space="0" w:color="D2C9B8"/>
                  </w:tcBorders>
                </w:tcPr>
                <w:p w14:paraId="572FA554" w14:textId="77777777" w:rsidR="005A5FCC" w:rsidRDefault="00A21C81">
                  <w:pPr>
                    <w:spacing w:before="20" w:after="20" w:line="240" w:lineRule="auto"/>
                    <w:jc w:val="left"/>
                  </w:pPr>
                  <w:r>
                    <w:rPr>
                      <w:rFonts w:cs="EB Garamond"/>
                      <w:kern w:val="16"/>
                      <w:sz w:val="16"/>
                      <w14:ligatures w14:val="standardContextual"/>
                    </w:rPr>
                    <w:t>ADIs 2.110 e 2.111 julgadas — art. 3º da Lei 9.876/99 é constitucional e cogente.</w:t>
                  </w:r>
                </w:p>
              </w:tc>
            </w:tr>
            <w:tr w:rsidR="005A5FCC" w14:paraId="4072145A"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7884B6F5" w14:textId="77777777" w:rsidR="005A5FCC" w:rsidRDefault="00A21C81">
                  <w:pPr>
                    <w:spacing w:before="20" w:after="20" w:line="240" w:lineRule="auto"/>
                    <w:jc w:val="left"/>
                  </w:pPr>
                  <w:r>
                    <w:rPr>
                      <w:rFonts w:cs="EB Garamond"/>
                      <w:kern w:val="16"/>
                      <w:sz w:val="16"/>
                      <w14:ligatures w14:val="standardContextual"/>
                    </w:rPr>
                    <w:t>05/04/2024</w:t>
                  </w:r>
                </w:p>
              </w:tc>
              <w:tc>
                <w:tcPr>
                  <w:tcW w:w="3175" w:type="dxa"/>
                  <w:tcBorders>
                    <w:top w:val="single" w:sz="4" w:space="0" w:color="D2C9B8"/>
                    <w:left w:val="single" w:sz="4" w:space="0" w:color="D2C9B8"/>
                    <w:bottom w:val="single" w:sz="4" w:space="0" w:color="D2C9B8"/>
                    <w:right w:val="single" w:sz="4" w:space="0" w:color="D2C9B8"/>
                  </w:tcBorders>
                </w:tcPr>
                <w:p w14:paraId="166BCBB1" w14:textId="77777777" w:rsidR="005A5FCC" w:rsidRDefault="00A21C81">
                  <w:pPr>
                    <w:spacing w:before="20" w:after="20" w:line="240" w:lineRule="auto"/>
                    <w:jc w:val="left"/>
                  </w:pPr>
                  <w:r>
                    <w:rPr>
                      <w:rFonts w:cs="EB Garamond"/>
                      <w:kern w:val="16"/>
                      <w:sz w:val="16"/>
                      <w14:ligatures w14:val="standardContextual"/>
                    </w:rPr>
                    <w:t>Publicação do acórdão das ADIs 2.110 e 2.111. Marco temporal da modulação.</w:t>
                  </w:r>
                </w:p>
              </w:tc>
            </w:tr>
            <w:tr w:rsidR="005A5FCC" w14:paraId="407ADA2E"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73838C5F" w14:textId="77777777" w:rsidR="005A5FCC" w:rsidRDefault="00A21C81">
                  <w:pPr>
                    <w:spacing w:before="20" w:after="20" w:line="240" w:lineRule="auto"/>
                    <w:jc w:val="left"/>
                  </w:pPr>
                  <w:r>
                    <w:rPr>
                      <w:rFonts w:cs="EB Garamond"/>
                      <w:kern w:val="16"/>
                      <w:sz w:val="16"/>
                      <w14:ligatures w14:val="standardContextual"/>
                    </w:rPr>
                    <w:t>26/11/2025</w:t>
                  </w:r>
                </w:p>
              </w:tc>
              <w:tc>
                <w:tcPr>
                  <w:tcW w:w="3175" w:type="dxa"/>
                  <w:tcBorders>
                    <w:top w:val="single" w:sz="4" w:space="0" w:color="D2C9B8"/>
                    <w:left w:val="single" w:sz="4" w:space="0" w:color="D2C9B8"/>
                    <w:bottom w:val="single" w:sz="4" w:space="0" w:color="D2C9B8"/>
                    <w:right w:val="single" w:sz="4" w:space="0" w:color="D2C9B8"/>
                  </w:tcBorders>
                </w:tcPr>
                <w:p w14:paraId="18AD03E3" w14:textId="77777777" w:rsidR="005A5FCC" w:rsidRDefault="00A21C81">
                  <w:pPr>
                    <w:spacing w:before="20" w:after="20" w:line="240" w:lineRule="auto"/>
                    <w:jc w:val="left"/>
                  </w:pPr>
                  <w:r>
                    <w:rPr>
                      <w:rFonts w:cs="EB Garamond"/>
                      <w:kern w:val="16"/>
                      <w:sz w:val="16"/>
                      <w14:ligatures w14:val="standardContextual"/>
                    </w:rPr>
                    <w:t>Embargos de declaração acolhidos com efeito infringente. Reversão integral.</w:t>
                  </w:r>
                </w:p>
              </w:tc>
            </w:tr>
            <w:tr w:rsidR="005A5FCC" w14:paraId="55998CB9"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4410F1D3" w14:textId="77777777" w:rsidR="005A5FCC" w:rsidRDefault="00A21C81">
                  <w:pPr>
                    <w:spacing w:before="20" w:after="20" w:line="240" w:lineRule="auto"/>
                    <w:jc w:val="left"/>
                  </w:pPr>
                  <w:r>
                    <w:rPr>
                      <w:rFonts w:cs="EB Garamond"/>
                      <w:kern w:val="16"/>
                      <w:sz w:val="16"/>
                      <w14:ligatures w14:val="standardContextual"/>
                    </w:rPr>
                    <w:t>29/04/2026</w:t>
                  </w:r>
                </w:p>
              </w:tc>
              <w:tc>
                <w:tcPr>
                  <w:tcW w:w="3175" w:type="dxa"/>
                  <w:tcBorders>
                    <w:top w:val="single" w:sz="4" w:space="0" w:color="D2C9B8"/>
                    <w:left w:val="single" w:sz="4" w:space="0" w:color="D2C9B8"/>
                    <w:bottom w:val="single" w:sz="4" w:space="0" w:color="D2C9B8"/>
                    <w:right w:val="single" w:sz="4" w:space="0" w:color="D2C9B8"/>
                  </w:tcBorders>
                </w:tcPr>
                <w:p w14:paraId="591A00B2" w14:textId="77777777" w:rsidR="005A5FCC" w:rsidRDefault="00A21C81">
                  <w:pPr>
                    <w:spacing w:before="20" w:after="20" w:line="240" w:lineRule="auto"/>
                    <w:jc w:val="left"/>
                  </w:pPr>
                  <w:r>
                    <w:rPr>
                      <w:rFonts w:cs="EB Garamond"/>
                      <w:kern w:val="16"/>
                      <w:sz w:val="16"/>
                      <w14:ligatures w14:val="standardContextual"/>
                    </w:rPr>
                    <w:t>Publicação no DJe do acórdão dos embargos (reversão).</w:t>
                  </w:r>
                </w:p>
              </w:tc>
            </w:tr>
            <w:tr w:rsidR="005A5FCC" w14:paraId="6D52A4F2" w14:textId="77777777">
              <w:trPr>
                <w:jc w:val="center"/>
              </w:trPr>
              <w:tc>
                <w:tcPr>
                  <w:tcW w:w="3175" w:type="dxa"/>
                  <w:tcBorders>
                    <w:top w:val="single" w:sz="4" w:space="0" w:color="D2C9B8"/>
                    <w:left w:val="single" w:sz="4" w:space="0" w:color="D2C9B8"/>
                    <w:bottom w:val="single" w:sz="4" w:space="0" w:color="D2C9B8"/>
                    <w:right w:val="single" w:sz="4" w:space="0" w:color="D2C9B8"/>
                  </w:tcBorders>
                </w:tcPr>
                <w:p w14:paraId="7EB869CC" w14:textId="77777777" w:rsidR="005A5FCC" w:rsidRDefault="00A21C81">
                  <w:pPr>
                    <w:spacing w:before="20" w:after="20" w:line="240" w:lineRule="auto"/>
                    <w:jc w:val="left"/>
                  </w:pPr>
                  <w:r>
                    <w:rPr>
                      <w:rFonts w:cs="EB Garamond"/>
                      <w:kern w:val="16"/>
                      <w:sz w:val="16"/>
                      <w14:ligatures w14:val="standardContextual"/>
                    </w:rPr>
                    <w:t>15/05/2026</w:t>
                  </w:r>
                </w:p>
              </w:tc>
              <w:tc>
                <w:tcPr>
                  <w:tcW w:w="3175" w:type="dxa"/>
                  <w:tcBorders>
                    <w:top w:val="single" w:sz="4" w:space="0" w:color="D2C9B8"/>
                    <w:left w:val="single" w:sz="4" w:space="0" w:color="D2C9B8"/>
                    <w:bottom w:val="single" w:sz="4" w:space="0" w:color="D2C9B8"/>
                    <w:right w:val="single" w:sz="4" w:space="0" w:color="D2C9B8"/>
                  </w:tcBorders>
                </w:tcPr>
                <w:p w14:paraId="03BFBA17" w14:textId="77777777" w:rsidR="005A5FCC" w:rsidRDefault="00A21C81">
                  <w:pPr>
                    <w:spacing w:before="20" w:after="20" w:line="240" w:lineRule="auto"/>
                    <w:jc w:val="left"/>
                  </w:pPr>
                  <w:r>
                    <w:rPr>
                      <w:rFonts w:cs="EB Garamond"/>
                      <w:kern w:val="16"/>
                      <w:sz w:val="16"/>
                      <w14:ligatures w14:val="standardContextual"/>
                    </w:rPr>
                    <w:t>Novos embargos sobre ampliação da modulação rejeitados (Plenário Virtual); retirado o destaque do Min. Fachin. Modulação mantida sem ampliação.</w:t>
                  </w:r>
                </w:p>
              </w:tc>
            </w:tr>
          </w:tbl>
          <w:p w14:paraId="168ED8A5" w14:textId="77777777" w:rsidR="005A5FCC" w:rsidRDefault="005A5FCC"/>
          <w:p w14:paraId="0119E7D2" w14:textId="77777777" w:rsidR="005A5FCC" w:rsidRDefault="005A5FCC">
            <w:pPr>
              <w:spacing w:after="0" w:line="240" w:lineRule="auto"/>
            </w:pPr>
          </w:p>
          <w:p w14:paraId="59DF0767" w14:textId="77777777" w:rsidR="005A5FCC" w:rsidRDefault="00A21C81">
            <w:pPr>
              <w:spacing w:after="60" w:line="247" w:lineRule="auto"/>
            </w:pPr>
            <w:r>
              <w:rPr>
                <w:rFonts w:cs="EB Garamond"/>
                <w:i/>
                <w:kern w:val="16"/>
                <w:sz w:val="19"/>
                <w14:ligatures w14:val="standardContextual"/>
              </w:rPr>
              <w:t>O fundamento estável deste quadro são as ADIs 2.110 e 2.111 (constitucionalidade e cogência do art. 3º da Lei 9.876/1999, 2024). Os marcos de 2025-2026 (acolhimento dos embargos, publicação do acórdão e rejeição dos novos embargos) retratam o estado processual no fechamento da edição e estão sujeitos a alteração; confira-se o andamento atual do RE 1.276.977/RS no sítio do STF na data de leitura. V. Nota editorial na seção 17.3.1.</w:t>
            </w:r>
          </w:p>
        </w:tc>
      </w:tr>
    </w:tbl>
    <w:p w14:paraId="1BA560A5" w14:textId="77777777" w:rsidR="005A5FCC" w:rsidRDefault="005A5FCC">
      <w:pPr>
        <w:spacing w:after="80" w:line="240" w:lineRule="auto"/>
      </w:pPr>
    </w:p>
    <w:tbl>
      <w:tblPr>
        <w:tblW w:w="5000" w:type="pct"/>
        <w:jc w:val="center"/>
        <w:tblLayout w:type="fixed"/>
        <w:tblLook w:val="04A0" w:firstRow="1" w:lastRow="0" w:firstColumn="1" w:lastColumn="0" w:noHBand="0" w:noVBand="1"/>
      </w:tblPr>
      <w:tblGrid>
        <w:gridCol w:w="6311"/>
      </w:tblGrid>
      <w:tr w:rsidR="005A5FCC" w14:paraId="192B77E0" w14:textId="77777777">
        <w:trPr>
          <w:cantSplit/>
          <w:jc w:val="center"/>
        </w:trPr>
        <w:tc>
          <w:tcPr>
            <w:tcW w:w="6350" w:type="dxa"/>
            <w:tcBorders>
              <w:top w:val="single" w:sz="7" w:space="0" w:color="A09882"/>
              <w:left w:val="single" w:sz="24" w:space="0" w:color="6B6256"/>
              <w:bottom w:val="single" w:sz="7" w:space="0" w:color="A09882"/>
              <w:right w:val="single" w:sz="7" w:space="0" w:color="A09882"/>
            </w:tcBorders>
            <w:shd w:val="clear" w:color="auto" w:fill="F5F3EF"/>
            <w:tcMar>
              <w:top w:w="150" w:type="dxa"/>
              <w:left w:w="220" w:type="dxa"/>
              <w:bottom w:w="150" w:type="dxa"/>
              <w:right w:w="180" w:type="dxa"/>
            </w:tcMar>
          </w:tcPr>
          <w:p w14:paraId="32796013" w14:textId="77777777" w:rsidR="005A5FCC" w:rsidRDefault="00A21C81">
            <w:pPr>
              <w:spacing w:after="60" w:line="240" w:lineRule="auto"/>
              <w:jc w:val="left"/>
            </w:pPr>
            <w:r>
              <w:rPr>
                <w:rFonts w:ascii="Noto Sans" w:hAnsi="Noto Sans" w:cs="Noto Sans"/>
                <w:b/>
                <w:caps/>
                <w:color w:val="6B6256"/>
                <w:kern w:val="16"/>
                <w:sz w:val="16"/>
                <w14:ligatures w14:val="standardContextual"/>
              </w:rPr>
              <w:lastRenderedPageBreak/>
              <w:t>QUADRO</w:t>
            </w:r>
          </w:p>
          <w:p w14:paraId="75679356" w14:textId="77777777" w:rsidR="005A5FCC" w:rsidRDefault="00A21C81">
            <w:pPr>
              <w:spacing w:after="60" w:line="247" w:lineRule="auto"/>
            </w:pPr>
            <w:r>
              <w:rPr>
                <w:rFonts w:cs="EB Garamond"/>
                <w:b/>
                <w:kern w:val="16"/>
                <w:sz w:val="19"/>
                <w14:ligatures w14:val="standardContextual"/>
              </w:rPr>
              <w:t>Quadro 17.3 — Regimes de correção monetária e juros</w:t>
            </w:r>
          </w:p>
          <w:tbl>
            <w:tblPr>
              <w:tblW w:w="5000" w:type="pct"/>
              <w:jc w:val="center"/>
              <w:tblLook w:val="04A0" w:firstRow="1" w:lastRow="0" w:firstColumn="1" w:lastColumn="0" w:noHBand="0" w:noVBand="1"/>
            </w:tblPr>
            <w:tblGrid>
              <w:gridCol w:w="1181"/>
              <w:gridCol w:w="1180"/>
              <w:gridCol w:w="1180"/>
              <w:gridCol w:w="1180"/>
              <w:gridCol w:w="1180"/>
            </w:tblGrid>
            <w:tr w:rsidR="005A5FCC" w14:paraId="54C8783D" w14:textId="77777777">
              <w:trPr>
                <w:tblHeader/>
                <w:jc w:val="center"/>
              </w:trPr>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218C53AA" w14:textId="77777777" w:rsidR="005A5FCC" w:rsidRDefault="00A21C81">
                  <w:pPr>
                    <w:spacing w:before="30" w:after="30" w:line="240" w:lineRule="auto"/>
                    <w:jc w:val="center"/>
                  </w:pPr>
                  <w:r>
                    <w:rPr>
                      <w:rFonts w:cs="EB Garamond"/>
                      <w:b/>
                      <w:color w:val="2F2923"/>
                      <w:kern w:val="16"/>
                      <w:sz w:val="16"/>
                      <w14:ligatures w14:val="standardContextual"/>
                    </w:rPr>
                    <w:t>Período</w:t>
                  </w:r>
                </w:p>
              </w:tc>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1F725955" w14:textId="77777777" w:rsidR="005A5FCC" w:rsidRDefault="00A21C81">
                  <w:pPr>
                    <w:spacing w:before="30" w:after="30" w:line="240" w:lineRule="auto"/>
                    <w:jc w:val="center"/>
                  </w:pPr>
                  <w:r>
                    <w:rPr>
                      <w:rFonts w:cs="EB Garamond"/>
                      <w:b/>
                      <w:color w:val="2F2923"/>
                      <w:kern w:val="16"/>
                      <w:sz w:val="16"/>
                      <w14:ligatures w14:val="standardContextual"/>
                    </w:rPr>
                    <w:t>Base normativa</w:t>
                  </w:r>
                </w:p>
              </w:tc>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00D9CAAE" w14:textId="77777777" w:rsidR="005A5FCC" w:rsidRDefault="00A21C81">
                  <w:pPr>
                    <w:spacing w:before="30" w:after="30" w:line="240" w:lineRule="auto"/>
                    <w:jc w:val="center"/>
                  </w:pPr>
                  <w:r>
                    <w:rPr>
                      <w:rFonts w:cs="EB Garamond"/>
                      <w:b/>
                      <w:color w:val="2F2923"/>
                      <w:kern w:val="16"/>
                      <w:sz w:val="16"/>
                      <w14:ligatures w14:val="standardContextual"/>
                    </w:rPr>
                    <w:t>Índice de correção</w:t>
                  </w:r>
                </w:p>
              </w:tc>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3E411C8C" w14:textId="77777777" w:rsidR="005A5FCC" w:rsidRDefault="00A21C81">
                  <w:pPr>
                    <w:spacing w:before="30" w:after="30" w:line="240" w:lineRule="auto"/>
                    <w:jc w:val="center"/>
                  </w:pPr>
                  <w:r>
                    <w:rPr>
                      <w:rFonts w:cs="EB Garamond"/>
                      <w:b/>
                      <w:color w:val="2F2923"/>
                      <w:kern w:val="16"/>
                      <w:sz w:val="16"/>
                      <w14:ligatures w14:val="standardContextual"/>
                    </w:rPr>
                    <w:t>Juros de mora</w:t>
                  </w:r>
                </w:p>
              </w:tc>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62F10E8F" w14:textId="77777777" w:rsidR="005A5FCC" w:rsidRDefault="00A21C81">
                  <w:pPr>
                    <w:spacing w:before="30" w:after="30" w:line="240" w:lineRule="auto"/>
                    <w:jc w:val="center"/>
                  </w:pPr>
                  <w:r>
                    <w:rPr>
                      <w:rFonts w:cs="EB Garamond"/>
                      <w:b/>
                      <w:color w:val="2F2923"/>
                      <w:kern w:val="16"/>
                      <w:sz w:val="16"/>
                      <w14:ligatures w14:val="standardContextual"/>
                    </w:rPr>
                    <w:t>Observações</w:t>
                  </w:r>
                </w:p>
              </w:tc>
            </w:tr>
            <w:tr w:rsidR="005A5FCC" w14:paraId="2927477F"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29B99268" w14:textId="77777777" w:rsidR="005A5FCC" w:rsidRDefault="00A21C81">
                  <w:pPr>
                    <w:spacing w:before="20" w:after="20" w:line="240" w:lineRule="auto"/>
                    <w:jc w:val="left"/>
                  </w:pPr>
                  <w:r>
                    <w:rPr>
                      <w:rFonts w:cs="EB Garamond"/>
                      <w:kern w:val="16"/>
                      <w:sz w:val="16"/>
                      <w14:ligatures w14:val="standardContextual"/>
                    </w:rPr>
                    <w:t>Até nov/2021</w:t>
                  </w:r>
                </w:p>
              </w:tc>
              <w:tc>
                <w:tcPr>
                  <w:tcW w:w="1270" w:type="dxa"/>
                  <w:tcBorders>
                    <w:top w:val="single" w:sz="4" w:space="0" w:color="D2C9B8"/>
                    <w:left w:val="single" w:sz="4" w:space="0" w:color="D2C9B8"/>
                    <w:bottom w:val="single" w:sz="4" w:space="0" w:color="D2C9B8"/>
                    <w:right w:val="single" w:sz="4" w:space="0" w:color="D2C9B8"/>
                  </w:tcBorders>
                </w:tcPr>
                <w:p w14:paraId="4F3255E1" w14:textId="77777777" w:rsidR="005A5FCC" w:rsidRDefault="00A21C81">
                  <w:pPr>
                    <w:spacing w:before="20" w:after="20" w:line="240" w:lineRule="auto"/>
                    <w:jc w:val="left"/>
                  </w:pPr>
                  <w:r>
                    <w:rPr>
                      <w:rFonts w:cs="EB Garamond"/>
                      <w:kern w:val="16"/>
                      <w:sz w:val="16"/>
                      <w14:ligatures w14:val="standardContextual"/>
                    </w:rPr>
                    <w:t>Tema 810/STF (RE 870.947)</w:t>
                  </w:r>
                </w:p>
              </w:tc>
              <w:tc>
                <w:tcPr>
                  <w:tcW w:w="1270" w:type="dxa"/>
                  <w:tcBorders>
                    <w:top w:val="single" w:sz="4" w:space="0" w:color="D2C9B8"/>
                    <w:left w:val="single" w:sz="4" w:space="0" w:color="D2C9B8"/>
                    <w:bottom w:val="single" w:sz="4" w:space="0" w:color="D2C9B8"/>
                    <w:right w:val="single" w:sz="4" w:space="0" w:color="D2C9B8"/>
                  </w:tcBorders>
                </w:tcPr>
                <w:p w14:paraId="5915781F" w14:textId="77777777" w:rsidR="005A5FCC" w:rsidRDefault="00A21C81">
                  <w:pPr>
                    <w:spacing w:before="20" w:after="20" w:line="240" w:lineRule="auto"/>
                    <w:jc w:val="left"/>
                  </w:pPr>
                  <w:r>
                    <w:rPr>
                      <w:rFonts w:cs="EB Garamond"/>
                      <w:kern w:val="16"/>
                      <w:sz w:val="16"/>
                      <w14:ligatures w14:val="standardContextual"/>
                    </w:rPr>
                    <w:t>IPCA-E (condenações judiciais) / INPC (manutenção)</w:t>
                  </w:r>
                </w:p>
              </w:tc>
              <w:tc>
                <w:tcPr>
                  <w:tcW w:w="1270" w:type="dxa"/>
                  <w:tcBorders>
                    <w:top w:val="single" w:sz="4" w:space="0" w:color="D2C9B8"/>
                    <w:left w:val="single" w:sz="4" w:space="0" w:color="D2C9B8"/>
                    <w:bottom w:val="single" w:sz="4" w:space="0" w:color="D2C9B8"/>
                    <w:right w:val="single" w:sz="4" w:space="0" w:color="D2C9B8"/>
                  </w:tcBorders>
                </w:tcPr>
                <w:p w14:paraId="27AE1FDF" w14:textId="77777777" w:rsidR="005A5FCC" w:rsidRDefault="00A21C81">
                  <w:pPr>
                    <w:spacing w:before="20" w:after="20" w:line="240" w:lineRule="auto"/>
                    <w:jc w:val="left"/>
                  </w:pPr>
                  <w:r>
                    <w:rPr>
                      <w:rFonts w:cs="EB Garamond"/>
                      <w:kern w:val="16"/>
                      <w:sz w:val="16"/>
                      <w14:ligatures w14:val="standardContextual"/>
                    </w:rPr>
                    <w:t>0,5% a.m. (pré-Lei 11.960) ou poupança (pós-Lei 11.960)</w:t>
                  </w:r>
                </w:p>
              </w:tc>
              <w:tc>
                <w:tcPr>
                  <w:tcW w:w="1270" w:type="dxa"/>
                  <w:tcBorders>
                    <w:top w:val="single" w:sz="4" w:space="0" w:color="D2C9B8"/>
                    <w:left w:val="single" w:sz="4" w:space="0" w:color="D2C9B8"/>
                    <w:bottom w:val="single" w:sz="4" w:space="0" w:color="D2C9B8"/>
                    <w:right w:val="single" w:sz="4" w:space="0" w:color="D2C9B8"/>
                  </w:tcBorders>
                </w:tcPr>
                <w:p w14:paraId="5E0962FC" w14:textId="77777777" w:rsidR="005A5FCC" w:rsidRDefault="00A21C81">
                  <w:pPr>
                    <w:spacing w:before="20" w:after="20" w:line="240" w:lineRule="auto"/>
                    <w:jc w:val="left"/>
                  </w:pPr>
                  <w:r>
                    <w:rPr>
                      <w:rFonts w:cs="EB Garamond"/>
                      <w:kern w:val="16"/>
                      <w:sz w:val="16"/>
                      <w14:ligatures w14:val="standardContextual"/>
                    </w:rPr>
                    <w:t>Aplicação dual (correção + juros separados)</w:t>
                  </w:r>
                </w:p>
              </w:tc>
            </w:tr>
            <w:tr w:rsidR="005A5FCC" w14:paraId="04CAAC2B"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62EEA6D4" w14:textId="77777777" w:rsidR="005A5FCC" w:rsidRDefault="00A21C81">
                  <w:pPr>
                    <w:spacing w:before="20" w:after="20" w:line="240" w:lineRule="auto"/>
                    <w:jc w:val="left"/>
                  </w:pPr>
                  <w:r>
                    <w:rPr>
                      <w:rFonts w:cs="EB Garamond"/>
                      <w:kern w:val="16"/>
                      <w:sz w:val="16"/>
                      <w14:ligatures w14:val="standardContextual"/>
                    </w:rPr>
                    <w:t>Dez/2021 a ago/2025</w:t>
                  </w:r>
                </w:p>
              </w:tc>
              <w:tc>
                <w:tcPr>
                  <w:tcW w:w="1270" w:type="dxa"/>
                  <w:tcBorders>
                    <w:top w:val="single" w:sz="4" w:space="0" w:color="D2C9B8"/>
                    <w:left w:val="single" w:sz="4" w:space="0" w:color="D2C9B8"/>
                    <w:bottom w:val="single" w:sz="4" w:space="0" w:color="D2C9B8"/>
                    <w:right w:val="single" w:sz="4" w:space="0" w:color="D2C9B8"/>
                  </w:tcBorders>
                </w:tcPr>
                <w:p w14:paraId="78830F18" w14:textId="77777777" w:rsidR="005A5FCC" w:rsidRDefault="00A21C81">
                  <w:pPr>
                    <w:spacing w:before="20" w:after="20" w:line="240" w:lineRule="auto"/>
                    <w:jc w:val="left"/>
                  </w:pPr>
                  <w:r>
                    <w:rPr>
                      <w:rFonts w:cs="EB Garamond"/>
                      <w:kern w:val="16"/>
                      <w:sz w:val="16"/>
                      <w14:ligatures w14:val="standardContextual"/>
                    </w:rPr>
                    <w:t>EC 113/2021, art. 3º</w:t>
                  </w:r>
                </w:p>
              </w:tc>
              <w:tc>
                <w:tcPr>
                  <w:tcW w:w="1270" w:type="dxa"/>
                  <w:tcBorders>
                    <w:top w:val="single" w:sz="4" w:space="0" w:color="D2C9B8"/>
                    <w:left w:val="single" w:sz="4" w:space="0" w:color="D2C9B8"/>
                    <w:bottom w:val="single" w:sz="4" w:space="0" w:color="D2C9B8"/>
                    <w:right w:val="single" w:sz="4" w:space="0" w:color="D2C9B8"/>
                  </w:tcBorders>
                </w:tcPr>
                <w:p w14:paraId="56E70421" w14:textId="77777777" w:rsidR="005A5FCC" w:rsidRDefault="00A21C81">
                  <w:pPr>
                    <w:spacing w:before="20" w:after="20" w:line="240" w:lineRule="auto"/>
                    <w:jc w:val="left"/>
                  </w:pPr>
                  <w:r>
                    <w:rPr>
                      <w:rFonts w:cs="EB Garamond"/>
                      <w:kern w:val="16"/>
                      <w:sz w:val="16"/>
                      <w14:ligatures w14:val="standardContextual"/>
                    </w:rPr>
                    <w:t>SELIC (índice único)</w:t>
                  </w:r>
                </w:p>
              </w:tc>
              <w:tc>
                <w:tcPr>
                  <w:tcW w:w="1270" w:type="dxa"/>
                  <w:tcBorders>
                    <w:top w:val="single" w:sz="4" w:space="0" w:color="D2C9B8"/>
                    <w:left w:val="single" w:sz="4" w:space="0" w:color="D2C9B8"/>
                    <w:bottom w:val="single" w:sz="4" w:space="0" w:color="D2C9B8"/>
                    <w:right w:val="single" w:sz="4" w:space="0" w:color="D2C9B8"/>
                  </w:tcBorders>
                </w:tcPr>
                <w:p w14:paraId="77963BEE" w14:textId="77777777" w:rsidR="005A5FCC" w:rsidRDefault="00A21C81">
                  <w:pPr>
                    <w:spacing w:before="20" w:after="20" w:line="240" w:lineRule="auto"/>
                    <w:jc w:val="left"/>
                  </w:pPr>
                  <w:r>
                    <w:rPr>
                      <w:rFonts w:cs="EB Garamond"/>
                      <w:kern w:val="16"/>
                      <w:sz w:val="16"/>
                      <w14:ligatures w14:val="standardContextual"/>
                    </w:rPr>
                    <w:t>Englobados na SELIC</w:t>
                  </w:r>
                </w:p>
              </w:tc>
              <w:tc>
                <w:tcPr>
                  <w:tcW w:w="1270" w:type="dxa"/>
                  <w:tcBorders>
                    <w:top w:val="single" w:sz="4" w:space="0" w:color="D2C9B8"/>
                    <w:left w:val="single" w:sz="4" w:space="0" w:color="D2C9B8"/>
                    <w:bottom w:val="single" w:sz="4" w:space="0" w:color="D2C9B8"/>
                    <w:right w:val="single" w:sz="4" w:space="0" w:color="D2C9B8"/>
                  </w:tcBorders>
                </w:tcPr>
                <w:p w14:paraId="59860069" w14:textId="77777777" w:rsidR="005A5FCC" w:rsidRDefault="00A21C81">
                  <w:pPr>
                    <w:spacing w:before="20" w:after="20" w:line="240" w:lineRule="auto"/>
                    <w:jc w:val="left"/>
                  </w:pPr>
                  <w:r>
                    <w:rPr>
                      <w:rFonts w:cs="EB Garamond"/>
                      <w:kern w:val="16"/>
                      <w:sz w:val="16"/>
                      <w14:ligatures w14:val="standardContextual"/>
                    </w:rPr>
                    <w:t>Correção e juros em índice único</w:t>
                  </w:r>
                </w:p>
              </w:tc>
            </w:tr>
            <w:tr w:rsidR="005A5FCC" w14:paraId="3AF8358A"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6E3B8FF0" w14:textId="77777777" w:rsidR="005A5FCC" w:rsidRDefault="00A21C81">
                  <w:pPr>
                    <w:spacing w:before="20" w:after="20" w:line="240" w:lineRule="auto"/>
                    <w:jc w:val="left"/>
                  </w:pPr>
                  <w:r>
                    <w:rPr>
                      <w:rFonts w:cs="EB Garamond"/>
                      <w:kern w:val="16"/>
                      <w:sz w:val="16"/>
                      <w14:ligatures w14:val="standardContextual"/>
                    </w:rPr>
                    <w:t>A partir de set/2025</w:t>
                  </w:r>
                </w:p>
              </w:tc>
              <w:tc>
                <w:tcPr>
                  <w:tcW w:w="1270" w:type="dxa"/>
                  <w:tcBorders>
                    <w:top w:val="single" w:sz="4" w:space="0" w:color="D2C9B8"/>
                    <w:left w:val="single" w:sz="4" w:space="0" w:color="D2C9B8"/>
                    <w:bottom w:val="single" w:sz="4" w:space="0" w:color="D2C9B8"/>
                    <w:right w:val="single" w:sz="4" w:space="0" w:color="D2C9B8"/>
                  </w:tcBorders>
                </w:tcPr>
                <w:p w14:paraId="7E0DCB5E" w14:textId="77777777" w:rsidR="005A5FCC" w:rsidRDefault="00A21C81">
                  <w:pPr>
                    <w:spacing w:before="20" w:after="20" w:line="240" w:lineRule="auto"/>
                    <w:jc w:val="left"/>
                  </w:pPr>
                  <w:r>
                    <w:rPr>
                      <w:rFonts w:cs="EB Garamond"/>
                      <w:kern w:val="16"/>
                      <w:sz w:val="16"/>
                      <w14:ligatures w14:val="standardContextual"/>
                    </w:rPr>
                    <w:t>EC 136/2025, art. 100, §12, CF</w:t>
                  </w:r>
                </w:p>
              </w:tc>
              <w:tc>
                <w:tcPr>
                  <w:tcW w:w="1270" w:type="dxa"/>
                  <w:tcBorders>
                    <w:top w:val="single" w:sz="4" w:space="0" w:color="D2C9B8"/>
                    <w:left w:val="single" w:sz="4" w:space="0" w:color="D2C9B8"/>
                    <w:bottom w:val="single" w:sz="4" w:space="0" w:color="D2C9B8"/>
                    <w:right w:val="single" w:sz="4" w:space="0" w:color="D2C9B8"/>
                  </w:tcBorders>
                </w:tcPr>
                <w:p w14:paraId="723FC59D" w14:textId="77777777" w:rsidR="005A5FCC" w:rsidRDefault="00A21C81">
                  <w:pPr>
                    <w:spacing w:before="20" w:after="20" w:line="240" w:lineRule="auto"/>
                    <w:jc w:val="left"/>
                  </w:pPr>
                  <w:r>
                    <w:rPr>
                      <w:rFonts w:cs="EB Garamond"/>
                      <w:kern w:val="16"/>
                      <w:sz w:val="16"/>
                      <w14:ligatures w14:val="standardContextual"/>
                    </w:rPr>
                    <w:t>IPCA + 2% a.a. (juros simples)</w:t>
                  </w:r>
                </w:p>
              </w:tc>
              <w:tc>
                <w:tcPr>
                  <w:tcW w:w="1270" w:type="dxa"/>
                  <w:tcBorders>
                    <w:top w:val="single" w:sz="4" w:space="0" w:color="D2C9B8"/>
                    <w:left w:val="single" w:sz="4" w:space="0" w:color="D2C9B8"/>
                    <w:bottom w:val="single" w:sz="4" w:space="0" w:color="D2C9B8"/>
                    <w:right w:val="single" w:sz="4" w:space="0" w:color="D2C9B8"/>
                  </w:tcBorders>
                </w:tcPr>
                <w:p w14:paraId="138D0A9B" w14:textId="77777777" w:rsidR="005A5FCC" w:rsidRDefault="00A21C81">
                  <w:pPr>
                    <w:spacing w:before="20" w:after="20" w:line="240" w:lineRule="auto"/>
                    <w:jc w:val="left"/>
                  </w:pPr>
                  <w:r>
                    <w:rPr>
                      <w:rFonts w:cs="EB Garamond"/>
                      <w:kern w:val="16"/>
                      <w:sz w:val="16"/>
                      <w14:ligatures w14:val="standardContextual"/>
                    </w:rPr>
                    <w:t>Englobados</w:t>
                  </w:r>
                </w:p>
              </w:tc>
              <w:tc>
                <w:tcPr>
                  <w:tcW w:w="1270" w:type="dxa"/>
                  <w:tcBorders>
                    <w:top w:val="single" w:sz="4" w:space="0" w:color="D2C9B8"/>
                    <w:left w:val="single" w:sz="4" w:space="0" w:color="D2C9B8"/>
                    <w:bottom w:val="single" w:sz="4" w:space="0" w:color="D2C9B8"/>
                    <w:right w:val="single" w:sz="4" w:space="0" w:color="D2C9B8"/>
                  </w:tcBorders>
                </w:tcPr>
                <w:p w14:paraId="24DC8572" w14:textId="77777777" w:rsidR="005A5FCC" w:rsidRDefault="00A21C81">
                  <w:pPr>
                    <w:spacing w:before="20" w:after="20" w:line="240" w:lineRule="auto"/>
                    <w:jc w:val="left"/>
                  </w:pPr>
                  <w:r>
                    <w:rPr>
                      <w:rFonts w:cs="EB Garamond"/>
                      <w:kern w:val="16"/>
                      <w:sz w:val="16"/>
                      <w14:ligatures w14:val="standardContextual"/>
                    </w:rPr>
                    <w:t>Teto: soma não pode exceder a SELIC. ADI 7873 pendente.</w:t>
                  </w:r>
                </w:p>
              </w:tc>
            </w:tr>
          </w:tbl>
          <w:p w14:paraId="5F2AC1C7" w14:textId="77777777" w:rsidR="005A5FCC" w:rsidRDefault="005A5FCC"/>
          <w:p w14:paraId="0658D68C" w14:textId="77777777" w:rsidR="005A5FCC" w:rsidRDefault="005A5FCC">
            <w:pPr>
              <w:spacing w:after="0" w:line="240" w:lineRule="auto"/>
            </w:pPr>
          </w:p>
        </w:tc>
      </w:tr>
    </w:tbl>
    <w:p w14:paraId="33A29D00" w14:textId="77777777" w:rsidR="005A5FCC" w:rsidRDefault="005A5FCC">
      <w:pPr>
        <w:spacing w:after="80" w:line="240" w:lineRule="auto"/>
      </w:pPr>
    </w:p>
    <w:p w14:paraId="302E2E4D" w14:textId="77777777" w:rsidR="005A5FCC" w:rsidRDefault="005A5FCC">
      <w:pPr>
        <w:sectPr w:rsidR="005A5FCC">
          <w:headerReference w:type="even" r:id="rId174"/>
          <w:headerReference w:type="default" r:id="rId175"/>
          <w:footerReference w:type="even" r:id="rId176"/>
          <w:footerReference w:type="default" r:id="rId177"/>
          <w:headerReference w:type="first" r:id="rId178"/>
          <w:footerReference w:type="first" r:id="rId179"/>
          <w:pgSz w:w="8391" w:h="11906"/>
          <w:pgMar w:top="935" w:right="879" w:bottom="964" w:left="1162" w:header="454" w:footer="425" w:gutter="0"/>
          <w:cols w:space="720"/>
          <w:titlePg/>
          <w:docGrid w:linePitch="360"/>
        </w:sectPr>
      </w:pPr>
    </w:p>
    <w:p w14:paraId="76B31E4E" w14:textId="77777777" w:rsidR="005A5FCC" w:rsidRDefault="00A21C81">
      <w:pPr>
        <w:keepNext/>
        <w:spacing w:before="240" w:after="80" w:line="240" w:lineRule="auto"/>
        <w:jc w:val="center"/>
      </w:pPr>
      <w:r>
        <w:rPr>
          <w:rFonts w:ascii="Noto Sans" w:hAnsi="Noto Sans" w:cs="Noto Sans"/>
          <w:b/>
          <w:caps/>
          <w:color w:val="8A6A2A"/>
          <w:kern w:val="16"/>
          <w:sz w:val="19"/>
          <w14:ligatures w14:val="standardContextual"/>
        </w:rPr>
        <w:lastRenderedPageBreak/>
        <w:t>CAPÍTULO 18</w:t>
      </w:r>
    </w:p>
    <w:p w14:paraId="509E8A79" w14:textId="77777777" w:rsidR="005A5FCC" w:rsidRDefault="00A21C81">
      <w:pPr>
        <w:pStyle w:val="Ttulo2"/>
        <w:spacing w:line="240" w:lineRule="auto"/>
      </w:pPr>
      <w:r>
        <w:rPr>
          <w:rFonts w:ascii="EB Garamond" w:hAnsi="EB Garamond" w:cs="EB Garamond"/>
          <w:caps/>
          <w:kern w:val="16"/>
          <w14:ligatures w14:val="standardContextual"/>
        </w:rPr>
        <w:t>Benefício de Prestação Continuada (LOAS/BPC)</w:t>
      </w:r>
    </w:p>
    <w:p w14:paraId="6D3332C6" w14:textId="77777777" w:rsidR="005A5FCC" w:rsidRDefault="00A21C81">
      <w:pPr>
        <w:spacing w:after="240" w:line="240" w:lineRule="auto"/>
        <w:jc w:val="center"/>
      </w:pPr>
      <w:r>
        <w:rPr>
          <w:rFonts w:cs="EB Garamond"/>
          <w:color w:val="B78B37"/>
          <w:kern w:val="16"/>
          <w:sz w:val="18"/>
          <w14:ligatures w14:val="standardContextual"/>
        </w:rPr>
        <w:t>━━━━  ◆  ━━━━</w:t>
      </w:r>
    </w:p>
    <w:p w14:paraId="602FC891"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242E5F95" w14:textId="7FC892EF" w:rsidR="005A5FCC" w:rsidRDefault="00A21C81">
      <w:r>
        <w:rPr>
          <w:rFonts w:cs="EB Garamond"/>
          <w:kern w:val="16"/>
          <w14:ligatures w14:val="standardContextual"/>
        </w:rPr>
        <w:t xml:space="preserve"> Benefício de Prestação Continuada (BPC), previsto no art. 203, inciso V, da Constituição Federal e regulamentado pela Lei n. 8.742, de 7 de dezembro de 1993 (Lei Orgânica da Assistência Social — LOAS), ocupa posição singular no sistema de proteção social brasileiro. Embora vinculado operacionalmente ao INSS, que o concede e mantém, o BPC não integra o regime previdenciário contributivo. Sua natureza é assistencial: destina-se a garantir um </w:t>
      </w:r>
      <w:r w:rsidR="004600FF">
        <w:rPr>
          <w:rFonts w:cs="EB Garamond"/>
          <w:kern w:val="16"/>
          <w14:ligatures w14:val="standardContextual"/>
        </w:rPr>
        <w:t>salário-mínimo</w:t>
      </w:r>
      <w:r>
        <w:rPr>
          <w:rFonts w:cs="EB Garamond"/>
          <w:kern w:val="16"/>
          <w14:ligatures w14:val="standardContextual"/>
        </w:rPr>
        <w:t xml:space="preserve"> mensal à pessoa com deficiência e ao idoso que comprovem não possuir meios de prover a própria manutenção nem de tê-la provida por sua família. A distinção entre assistência social e previdência social, que estrutura a seguridade social brasileira desde a Constituição de 1988, reflete-se em cada aspecto do BPC, desde a dispensabilidade de contribuições prévias até o regime probatório nos Juizados Especiais Federais.</w:t>
      </w:r>
    </w:p>
    <w:p w14:paraId="2215A91A" w14:textId="77777777" w:rsidR="005A5FCC" w:rsidRDefault="00A21C81">
      <w:pPr>
        <w:ind w:firstLine="238"/>
      </w:pPr>
      <w:r>
        <w:rPr>
          <w:rFonts w:cs="EB Garamond"/>
          <w:kern w:val="16"/>
          <w14:ligatures w14:val="standardContextual"/>
        </w:rPr>
        <w:t>O BPC constitui, na prática forense dos JEFs, um dos benefícios mais demandados. A combinação de requisitos subjetivos (deficiência ou idade avançada) e objetivos (miserabilidade) gera volume expressivo de controvérsias que envolvem avaliação pericial, análise socioeconômica e interpretação de critérios legais cuja constitucionalidade foi questionada e redefinida pelo Supremo Tribunal Federal. O exame desse benefício exige do magistrado e do advogado domínio simultâneo de direito constitucional, legislação assistencial, jurisprudência consolidada e técnicas de instrução processual adaptadas à realidade dos requerentes, em geral pessoas em situação de extrema vulnerabilidade social.</w:t>
      </w:r>
    </w:p>
    <w:p w14:paraId="34051959"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18.1 Fundamento constitucional e natureza jurídica</w:t>
      </w:r>
    </w:p>
    <w:p w14:paraId="42AA2913"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14F68B28" w14:textId="035497F5" w:rsidR="005A5FCC" w:rsidRDefault="00A21C81">
      <w:r>
        <w:rPr>
          <w:rFonts w:cs="EB Garamond"/>
          <w:kern w:val="16"/>
          <w14:ligatures w14:val="standardContextual"/>
        </w:rPr>
        <w:t xml:space="preserve"> Constituição de 1988 organizou a seguridade social em três pilares: saúde (art. 196), previdência social (art. 201) e assistência social (art. 203). Enquanto a previdência social opera sob regime contributivo e de filiação obrigatória, a assistência social é prestada a quem dela necessitar, independentemente de contribuição (art. 203, caput). O BPC encontra fundamento direto no art. 203, inciso V, que assegura "a garantia de um </w:t>
      </w:r>
      <w:r w:rsidR="00EA38E3">
        <w:rPr>
          <w:rFonts w:cs="EB Garamond"/>
          <w:kern w:val="16"/>
          <w14:ligatures w14:val="standardContextual"/>
        </w:rPr>
        <w:t>salário-mínimo</w:t>
      </w:r>
      <w:r>
        <w:rPr>
          <w:rFonts w:cs="EB Garamond"/>
          <w:kern w:val="16"/>
          <w14:ligatures w14:val="standardContextual"/>
        </w:rPr>
        <w:t xml:space="preserve"> de benefício mensal à pessoa portadora de deficiência e ao idoso que comprovem não possuir meios de prover à própria manutenção ou de tê-la provida por sua família, conforme dispuser a lei".</w:t>
      </w:r>
    </w:p>
    <w:p w14:paraId="51453B6C" w14:textId="77777777" w:rsidR="005A5FCC" w:rsidRDefault="00A21C81">
      <w:pPr>
        <w:ind w:firstLine="238"/>
      </w:pPr>
      <w:r>
        <w:rPr>
          <w:rFonts w:cs="EB Garamond"/>
          <w:kern w:val="16"/>
          <w14:ligatures w14:val="standardContextual"/>
        </w:rPr>
        <w:t>A expressão "pessoa portadora de deficiência", utilizada no texto constitucional, foi superada pela Convenção sobre os Direitos das Pessoas com Deficiência (Decreto n. 6.949/2009, com status de emenda constitucional) e pelo Estatuto da Pessoa com Deficiência (Lei n. 13.146/2015), que adotam "pessoa com deficiência". A manutenção da expressão original é obrigatória na citação do dispositivo constitucional, mas a terminologia atualizada é empregada ao longo de toda esta obra.</w:t>
      </w:r>
    </w:p>
    <w:p w14:paraId="6805796C" w14:textId="253A1799" w:rsidR="005A5FCC" w:rsidRDefault="00A21C81">
      <w:pPr>
        <w:ind w:firstLine="238"/>
      </w:pPr>
      <w:r>
        <w:rPr>
          <w:rFonts w:cs="EB Garamond"/>
          <w:kern w:val="16"/>
          <w14:ligatures w14:val="standardContextual"/>
        </w:rPr>
        <w:t xml:space="preserve">Essa localização constitucional produz consequências jurídicas relevantes. A primeira é a dispensabilidade de contribuições: o BPC não exige filiação prévia ao RGPS, período de carência ou qualidade de segurado. Trata-se de prestação devida pelo Estado a qualquer pessoa que preencha os requisitos constitucionais, independentemente de ter exercido atividade remunerada ou recolhido contribuições previdenciárias ao longo da vida. A segunda consequência é o valor fixo: o BPC corresponde sempre a um </w:t>
      </w:r>
      <w:r w:rsidR="003B4046">
        <w:rPr>
          <w:rFonts w:cs="EB Garamond"/>
          <w:kern w:val="16"/>
          <w14:ligatures w14:val="standardContextual"/>
        </w:rPr>
        <w:t>salário-mínimo</w:t>
      </w:r>
      <w:r>
        <w:rPr>
          <w:rFonts w:cs="EB Garamond"/>
          <w:kern w:val="16"/>
          <w14:ligatures w14:val="standardContextual"/>
        </w:rPr>
        <w:t>, sem possibilidade de majoração por tempo de contribuição, fator previdenciário ou qualquer outro critério atuarial. A terceira é a intransmissibilidade por morte: o BPC é personalíssimo e se extingue com o falecimento do beneficiário, não gerando direito à pensão por morte para dependentes.</w:t>
      </w:r>
    </w:p>
    <w:p w14:paraId="3510003F" w14:textId="77777777" w:rsidR="005A5FCC" w:rsidRDefault="00A21C81">
      <w:pPr>
        <w:ind w:firstLine="238"/>
      </w:pPr>
      <w:r>
        <w:rPr>
          <w:rFonts w:cs="EB Garamond"/>
          <w:kern w:val="16"/>
          <w14:ligatures w14:val="standardContextual"/>
        </w:rPr>
        <w:t xml:space="preserve">A natureza assistencial do BPC não o torna benefício de menor dignidade jurídica. O art. 203, inciso V, veicula direito fundamental social de aplicação direta, </w:t>
      </w:r>
      <w:r>
        <w:rPr>
          <w:rFonts w:cs="EB Garamond"/>
          <w:kern w:val="16"/>
          <w14:ligatures w14:val="standardContextual"/>
        </w:rPr>
        <w:lastRenderedPageBreak/>
        <w:t>e não mera norma programática. O Supremo Tribunal Federal reconheceu, em diversas oportunidades, a eficácia plena do dispositivo constitucional, vedando interpretações restritivas que esvaziem seu conteúdo. A assistência social, nos termos do art. 194 da Constituição, integra a seguridade social ao lado da previdência e da saúde, compartilhando os mesmos princípios de universalidade da cobertura, seletividade e distributividade na prestação dos benefícios.</w:t>
      </w:r>
    </w:p>
    <w:p w14:paraId="41E64CD3" w14:textId="77777777" w:rsidR="005A5FCC" w:rsidRDefault="00A21C81">
      <w:pPr>
        <w:ind w:firstLine="238"/>
      </w:pPr>
      <w:r>
        <w:rPr>
          <w:rFonts w:cs="EB Garamond"/>
          <w:kern w:val="16"/>
          <w14:ligatures w14:val="standardContextual"/>
        </w:rPr>
        <w:t>O BPC tampouco se confunde com programas de transferência de renda de natureza infraconstitucional, como o Bolsa Família (reinstituído pela Lei n. 14.601/2023). Enquanto os programas de transferência de renda são criados e extintos por decisão legislativa ordinária, o BPC tem sede constitucional e somente poderia ser suprimido por emenda constitucional, com os limites impostos pelo art. 60, § 4º, da Constituição (cláusulas pétreas). Há debate doutrinário sobre se o BPC constitui cláusula pétrea em si, na medida em que concretiza o princípio da dignidade da pessoa humana (art. 1º, III) e os objetivos fundamentais da República de erradicar a pobreza e reduzir as desigualdades sociais (art. 3º, III). Entendemos que, embora a supressão integral do BPC seja vedada pelo núcleo intangível da Constituição, a alteração de seus critérios e parâmetros permanece no âmbito da conformação legislativa, desde que preservado o conteúdo essencial do direito à assistência social.</w:t>
      </w:r>
    </w:p>
    <w:tbl>
      <w:tblPr>
        <w:tblW w:w="5000" w:type="pct"/>
        <w:jc w:val="center"/>
        <w:tblLayout w:type="fixed"/>
        <w:tblLook w:val="04A0" w:firstRow="1" w:lastRow="0" w:firstColumn="1" w:lastColumn="0" w:noHBand="0" w:noVBand="1"/>
      </w:tblPr>
      <w:tblGrid>
        <w:gridCol w:w="6311"/>
      </w:tblGrid>
      <w:tr w:rsidR="005A5FCC" w14:paraId="35B4C6E9"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3B1E0F9F"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0B4A1FDB" w14:textId="77777777" w:rsidR="005A5FCC" w:rsidRDefault="00A21C81">
            <w:pPr>
              <w:spacing w:after="60" w:line="247" w:lineRule="auto"/>
            </w:pPr>
            <w:r>
              <w:rPr>
                <w:rFonts w:cs="EB Garamond"/>
                <w:kern w:val="16"/>
                <w:sz w:val="19"/>
                <w14:ligatures w14:val="standardContextual"/>
              </w:rPr>
              <w:t>O BPC não gera direito a abono anual (13º salário). A Lei n. 8.742/93 não prevê o pagamento de parcela adicional ao beneficiário, diferentemente do que ocorre com os benefícios previdenciários (art. 40 da Lei n. 8.213/91). A ausência de 13º salário é consequência direta da natureza assistencial: o abono anual é prestação previdenciária prevista no art. 40 da Lei n. 8.213/91, inaplicável a benefícios assistenciais. Advogados devem atentar para essa diferença ao calcular os valores devidos em ações de concessão ou restabelecimento do BPC.</w:t>
            </w:r>
          </w:p>
        </w:tc>
      </w:tr>
    </w:tbl>
    <w:p w14:paraId="733FB4E1" w14:textId="77777777" w:rsidR="005A5FCC" w:rsidRDefault="005A5FCC">
      <w:pPr>
        <w:spacing w:after="80" w:line="240" w:lineRule="auto"/>
      </w:pPr>
    </w:p>
    <w:p w14:paraId="6E0B0C94"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18.2 Evolução legislativa</w:t>
      </w:r>
    </w:p>
    <w:p w14:paraId="38EE78E3"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2FA05E54" w14:textId="046277A7" w:rsidR="005A5FCC" w:rsidRDefault="00A21C81">
      <w:r>
        <w:rPr>
          <w:rFonts w:cs="EB Garamond"/>
          <w:kern w:val="16"/>
          <w14:ligatures w14:val="standardContextual"/>
        </w:rPr>
        <w:t xml:space="preserve"> proteção assistencial a idosos e pessoas com deficiência em situação de vulnerabilidade não é inovação da Constituição de 1988, embora esta tenha inaugurado o modelo atual. A renda mensal vitalícia (RMV), instituída pela Lei n. 6.179/1974, já assegurava meio </w:t>
      </w:r>
      <w:r w:rsidR="003B4046">
        <w:rPr>
          <w:rFonts w:cs="EB Garamond"/>
          <w:kern w:val="16"/>
          <w14:ligatures w14:val="standardContextual"/>
        </w:rPr>
        <w:t>salário-mínimo</w:t>
      </w:r>
      <w:r>
        <w:rPr>
          <w:rFonts w:cs="EB Garamond"/>
          <w:kern w:val="16"/>
          <w14:ligatures w14:val="standardContextual"/>
        </w:rPr>
        <w:t xml:space="preserve"> a maiores de 70 anos ou inválidos, sem exigência de contribuição. A RMV, porém, era restrita a quem tivesse exercido atividade abrangida pelo RGPS, configurando benefício de natureza híbrida entre assistência e previdência.</w:t>
      </w:r>
    </w:p>
    <w:p w14:paraId="364F8965" w14:textId="4F94667E" w:rsidR="005A5FCC" w:rsidRDefault="00A21C81">
      <w:pPr>
        <w:ind w:firstLine="238"/>
      </w:pPr>
      <w:r>
        <w:rPr>
          <w:rFonts w:cs="EB Garamond"/>
          <w:kern w:val="16"/>
          <w14:ligatures w14:val="standardContextual"/>
        </w:rPr>
        <w:t xml:space="preserve">A Constituição de 1988 rompeu com esse modelo ao criar o BPC como direito de natureza puramente assistencial, desvinculado de qualquer vínculo previdenciário anterior. A regulamentação, entretanto, demorou cinco anos. A Lei n. 8.742/93 (LOAS) disciplinou o BPC em seus arts. 20 e 21, estabelecendo os requisitos para concessão e fixando o critério de miserabilidade em renda per capita familiar inferior a um quarto do </w:t>
      </w:r>
      <w:r w:rsidR="003B4046">
        <w:rPr>
          <w:rFonts w:cs="EB Garamond"/>
          <w:kern w:val="16"/>
          <w14:ligatures w14:val="standardContextual"/>
        </w:rPr>
        <w:t>salário-mínimo</w:t>
      </w:r>
      <w:r>
        <w:rPr>
          <w:rFonts w:cs="EB Garamond"/>
          <w:kern w:val="16"/>
          <w14:ligatures w14:val="standardContextual"/>
        </w:rPr>
        <w:t>. O benefício somente começou a ser efetivamente concedido em 1º de janeiro de 1996, após regulamentação por decreto.</w:t>
      </w:r>
    </w:p>
    <w:p w14:paraId="2456A91B" w14:textId="77777777" w:rsidR="005A5FCC" w:rsidRDefault="00A21C81">
      <w:pPr>
        <w:ind w:firstLine="238"/>
      </w:pPr>
      <w:r>
        <w:rPr>
          <w:rFonts w:cs="EB Garamond"/>
          <w:kern w:val="16"/>
          <w14:ligatures w14:val="standardContextual"/>
        </w:rPr>
        <w:t>O art. 20 da LOAS, em sua redação original, definia pessoa com deficiência como "aquela incapacitada para a vida independente e para o trabalho". Essa definição, de caráter estritamente biomédico, foi objeto de intensa crítica doutrinária e jurisprudencial. A Súmula 29 da TNU (anterior à alteração legislativa) já havia expandido a interpretação, consignando que a "condição de incapacidade para a vida independente" não deveria ser interpretada como impossibilidade de exercer atos básicos da vida diária, mas como limitação que impede a inserção social e laborativa em condições de igualdade.</w:t>
      </w:r>
    </w:p>
    <w:p w14:paraId="2BA23A3D" w14:textId="77777777" w:rsidR="005A5FCC" w:rsidRDefault="00A21C81">
      <w:pPr>
        <w:ind w:firstLine="238"/>
      </w:pPr>
      <w:r>
        <w:rPr>
          <w:rFonts w:cs="EB Garamond"/>
          <w:kern w:val="16"/>
          <w14:ligatures w14:val="standardContextual"/>
        </w:rPr>
        <w:t xml:space="preserve">A Lei n. 12.435/2011 promoveu alterações significativas na LOAS, redefinindo o conceito de pessoa com deficiência para fins do BPC. O novo art. 20, § 2º, passou a considerar pessoa com deficiência "aquela que tem impedimento de longo prazo de natureza física, mental, intelectual ou sensorial, o qual, em interação com uma ou mais barreiras, pode obstruir sua participação plena e efetiva na sociedade em igualdade de condições com as demais pessoas". Essa definição, alinhada à Convenção Internacional sobre os Direitos das Pessoas com Deficiência (Decreto n. 6.949/2009, com status de emenda constitucional), superou o </w:t>
      </w:r>
      <w:r>
        <w:rPr>
          <w:rFonts w:cs="EB Garamond"/>
          <w:kern w:val="16"/>
          <w14:ligatures w14:val="standardContextual"/>
        </w:rPr>
        <w:lastRenderedPageBreak/>
        <w:t>modelo biomédico e adotou o modelo social de deficiência, que analisa a limitação funcional do indivíduo em interação com as barreiras ambientais e sociais.</w:t>
      </w:r>
    </w:p>
    <w:p w14:paraId="09A1104D" w14:textId="77777777" w:rsidR="005A5FCC" w:rsidRDefault="00A21C81">
      <w:pPr>
        <w:ind w:firstLine="238"/>
      </w:pPr>
      <w:r>
        <w:rPr>
          <w:rFonts w:cs="EB Garamond"/>
          <w:kern w:val="16"/>
          <w14:ligatures w14:val="standardContextual"/>
        </w:rPr>
        <w:t>A Lei n. 13.146/2015 (Estatuto da Pessoa com Deficiência) reforçou essa transição conceitual, reproduzindo a definição convencional em seu art. 2º. A convergência conceitual entre a LOAS, a CDPD e o Estatuto consolidou o modelo biopsicossocial como paradigma obrigatório para a avaliação da deficiência no âmbito do BPC. A evolução do conceito de deficiência no direito brasileiro, desde a CDPD até a Lei n. 13.146/2015, é analisada no Capítulo 6 deste livro; aqui, examinamos apenas as alterações legislativas específicas do BPC (LOAS, Lei n. 14.176/2021).</w:t>
      </w:r>
    </w:p>
    <w:p w14:paraId="02FB2129" w14:textId="77777777" w:rsidR="005A5FCC" w:rsidRDefault="00A21C81">
      <w:pPr>
        <w:ind w:firstLine="238"/>
      </w:pPr>
      <w:r>
        <w:rPr>
          <w:rFonts w:cs="EB Garamond"/>
          <w:kern w:val="16"/>
          <w14:ligatures w14:val="standardContextual"/>
        </w:rPr>
        <w:t>Marco intermediário relevante foi a Lei n. 13.982, de 2 de abril de 2020. Editada no enfrentamento da pandemia de COVID-19, ela acresceu ao art. 20 da LOAS os §§ 11, 14 e 15: o § 11 abriu caminho para a ampliação do critério de renda mediante outros elementos probatórios da miserabilidade; o § 14 fixou o rol de parcelas excluídas do cálculo da renda mensal bruta familiar (examinado em detalhe na seção 18.11); e o § 15 vedou o cômputo, na renda familiar, do BPC já concedido a outro membro idoso ou com deficiência. Embora concebidas em contexto emergencial, essas inovações consolidaram-se em caráter permanente no regime do benefício, servindo de base normativa às alterações subsequentes.</w:t>
      </w:r>
    </w:p>
    <w:p w14:paraId="7733C46F" w14:textId="77777777" w:rsidR="005A5FCC" w:rsidRDefault="00A21C81">
      <w:pPr>
        <w:ind w:firstLine="238"/>
      </w:pPr>
      <w:r>
        <w:rPr>
          <w:rFonts w:cs="EB Garamond"/>
          <w:kern w:val="16"/>
          <w14:ligatures w14:val="standardContextual"/>
        </w:rPr>
        <w:t>A Lei n. 14.176, de 22 de junho de 2021, representou alteração legislativa de grande impacto. Dentre suas inovações, destacam-se: (a) a criação do art. 20-B na LOAS, que autorizou o Poder Executivo a ampliar o critério de renda per capita para até meio salário mínimo, condicionado a regulamentação que considere fatores de vulnerabilidade (grau de deficiência, dependência de terceiros, gastos com medicamentos e tratamentos); (b) a previsão de avaliação biopsicossocial unificada para fins do BPC; (c) a revisão dos critérios de composição do grupo familiar para fins de aferição da renda; e (d) a consolidação e o aperfeiçoamento do regime de exclusões de renda introduzido pela Lei n. 13.982/2020.</w:t>
      </w:r>
    </w:p>
    <w:p w14:paraId="1803CC6B" w14:textId="77777777" w:rsidR="005A5FCC" w:rsidRDefault="00A21C81">
      <w:pPr>
        <w:ind w:firstLine="238"/>
      </w:pPr>
      <w:r>
        <w:rPr>
          <w:rFonts w:cs="EB Garamond"/>
          <w:kern w:val="16"/>
          <w14:ligatures w14:val="standardContextual"/>
        </w:rPr>
        <w:t xml:space="preserve">Legislação ainda mais recente trouxe novas modificações. A Lei n. 15.077/2024 e a Lei n. 15.226/2025 alteraram dispositivos da LOAS relativos ao procedimento de concessão e revisão do BPC. O Decreto n. 12.686/2025 regulamentou aspectos procedimentais da avaliação biopsicossocial. A Portaria </w:t>
      </w:r>
      <w:r>
        <w:rPr>
          <w:rFonts w:cs="EB Garamond"/>
          <w:kern w:val="16"/>
          <w14:ligatures w14:val="standardContextual"/>
        </w:rPr>
        <w:lastRenderedPageBreak/>
        <w:t>MDS/MPS/INSS n. 33/2025 disciplinou o procedimento de reavaliação biopsicossocial do BPC. Essa intensa produção normativa reflete a centralidade do BPC na política de proteção social brasileira e a permanente tensão entre a universalização do direito assistencial e as restrições fiscais que condicionam sua expansão.</w:t>
      </w:r>
    </w:p>
    <w:p w14:paraId="64C5D340"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18.3 Distinção entre benefício assistencial e previdenciário</w:t>
      </w:r>
    </w:p>
    <w:p w14:paraId="144628CD"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6297FF30" w14:textId="77777777" w:rsidR="005A5FCC" w:rsidRDefault="00A21C81">
      <w:r>
        <w:rPr>
          <w:rFonts w:cs="EB Garamond"/>
          <w:kern w:val="16"/>
          <w14:ligatures w14:val="standardContextual"/>
        </w:rPr>
        <w:t xml:space="preserve"> distinção entre o BPC e os benefícios previdenciários, enfatizada por Ibrahim (2025) e Kertzman (2025), repercute em múltiplos aspectos da prática forense e merece exame detalhado. Embora operacionalmente administrados pela mesma autarquia (INSS), assistência social e previdência social obedecem a lógicas distintas.</w:t>
      </w:r>
    </w:p>
    <w:p w14:paraId="7C25AF8C" w14:textId="77777777" w:rsidR="005A5FCC" w:rsidRDefault="00A21C81">
      <w:pPr>
        <w:ind w:firstLine="238"/>
      </w:pPr>
      <w:r>
        <w:rPr>
          <w:rFonts w:cs="EB Garamond"/>
          <w:kern w:val="16"/>
          <w14:ligatures w14:val="standardContextual"/>
        </w:rPr>
        <w:t>O benefício previdenciário pressupõe filiação ao RGPS, recolhimento de contribuições (salvo exceções expressas, como a aposentadoria do segurado especial) e cumprimento de período de carência. O BPC prescinde de todos esses elementos. O requerente do BPC pode jamais ter exercido atividade remunerada, jamais ter recolhido qualquer contribuição previdenciária e, ainda assim, fazer jus ao benefício, desde que preencha os requisitos constitucionais de deficiência ou idade avançada cumulados com miserabilidade.</w:t>
      </w:r>
    </w:p>
    <w:p w14:paraId="4CCC8944" w14:textId="2D280FE2" w:rsidR="005A5FCC" w:rsidRDefault="00A21C81">
      <w:pPr>
        <w:ind w:firstLine="238"/>
      </w:pPr>
      <w:r>
        <w:rPr>
          <w:rFonts w:cs="EB Garamond"/>
          <w:kern w:val="16"/>
          <w14:ligatures w14:val="standardContextual"/>
        </w:rPr>
        <w:t>O valor do benefício previdenciário é calculado com base no salário de contribuição do segurado, podendo variar entre o piso (</w:t>
      </w:r>
      <w:r w:rsidR="00377A3E">
        <w:rPr>
          <w:rFonts w:cs="EB Garamond"/>
          <w:kern w:val="16"/>
          <w14:ligatures w14:val="standardContextual"/>
        </w:rPr>
        <w:t>salário-mínimo</w:t>
      </w:r>
      <w:r>
        <w:rPr>
          <w:rFonts w:cs="EB Garamond"/>
          <w:kern w:val="16"/>
          <w14:ligatures w14:val="standardContextual"/>
        </w:rPr>
        <w:t xml:space="preserve">) e o teto do RGPS. O BPC corresponde invariavelmente a um </w:t>
      </w:r>
      <w:r w:rsidR="00377A3E">
        <w:rPr>
          <w:rFonts w:cs="EB Garamond"/>
          <w:kern w:val="16"/>
          <w14:ligatures w14:val="standardContextual"/>
        </w:rPr>
        <w:t>salário-mínimo</w:t>
      </w:r>
      <w:r>
        <w:rPr>
          <w:rFonts w:cs="EB Garamond"/>
          <w:kern w:val="16"/>
          <w14:ligatures w14:val="standardContextual"/>
        </w:rPr>
        <w:t>, sem qualquer indexação ao histórico contributivo do beneficiário. Esse aspecto produz consequência prática significativa: segurados que possuem direito simultaneamente a benefício previdenciário e ao BPC devem avaliar qual prestação é mais vantajosa, sendo vedada a acumulação.</w:t>
      </w:r>
    </w:p>
    <w:p w14:paraId="5DBAD5D6" w14:textId="77777777" w:rsidR="005A5FCC" w:rsidRDefault="00A21C81">
      <w:pPr>
        <w:ind w:firstLine="238"/>
      </w:pPr>
      <w:r>
        <w:rPr>
          <w:rFonts w:cs="EB Garamond"/>
          <w:kern w:val="16"/>
          <w14:ligatures w14:val="standardContextual"/>
        </w:rPr>
        <w:t>O benefício previdenciário gera direito a abono anual (13º salário) e, em caso de falecimento do segurado, pode converter-se em pensão por morte para os dependentes. O BPC, por sua natureza assistencial e personalíssima, não gera nenhum desses efeitos. A morte do beneficiário extingue o BPC, sem que se transmita aos familiares qualquer parcela.</w:t>
      </w:r>
    </w:p>
    <w:tbl>
      <w:tblPr>
        <w:tblW w:w="5000" w:type="pct"/>
        <w:jc w:val="center"/>
        <w:tblLayout w:type="fixed"/>
        <w:tblLook w:val="04A0" w:firstRow="1" w:lastRow="0" w:firstColumn="1" w:lastColumn="0" w:noHBand="0" w:noVBand="1"/>
      </w:tblPr>
      <w:tblGrid>
        <w:gridCol w:w="6311"/>
      </w:tblGrid>
      <w:tr w:rsidR="005A5FCC" w14:paraId="45933259"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63AA4E4D"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178ADED4" w14:textId="77777777" w:rsidR="005A5FCC" w:rsidRDefault="00A21C81">
            <w:pPr>
              <w:spacing w:after="60" w:line="247" w:lineRule="auto"/>
            </w:pPr>
            <w:r>
              <w:rPr>
                <w:rFonts w:cs="EB Garamond"/>
                <w:kern w:val="16"/>
                <w:sz w:val="19"/>
                <w14:ligatures w14:val="standardContextual"/>
              </w:rPr>
              <w:t>Na prática dos JEFs, a distinção entre BPC e benefícios previdenciários por incapacidade manifesta-se com frequência no pedido alternativo. É comum que a petição inicial formule pedido principal de aposentadoria por incapacidade permanente (ou auxílio por incapacidade temporária) e, subsidiariamente, pedido de concessão do BPC, quando o requerente demonstra deficiência associada a miserabilidade. A fungibilidade entre essas pretensões é admitida pela jurisprudência (TNU Tema 217), conforme examinaremos na seção 18.21. A estratégia é especialmente relevante quando o segurado não preenche os requisitos previdenciários (carência, qualidade de segurado), mas atende aos pressupostos assistenciais.</w:t>
            </w:r>
          </w:p>
        </w:tc>
      </w:tr>
    </w:tbl>
    <w:p w14:paraId="3AFF572D" w14:textId="77777777" w:rsidR="005A5FCC" w:rsidRDefault="005A5FCC">
      <w:pPr>
        <w:spacing w:after="80" w:line="240" w:lineRule="auto"/>
      </w:pPr>
    </w:p>
    <w:p w14:paraId="70C020D4"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15B849CC" w14:textId="7A4EF6C2" w:rsidR="005A5FCC" w:rsidRDefault="00A21C81">
      <w:r>
        <w:rPr>
          <w:rFonts w:cs="EB Garamond"/>
          <w:kern w:val="16"/>
          <w14:ligatures w14:val="standardContextual"/>
        </w:rPr>
        <w:t xml:space="preserve"> competência para o processamento e julgamento das ações envolvendo o BPC é da Justiça Federal, com delegação de competência ao juízo estadual nos termos do art. 109, § 3º, da Constituição Federal, quando a comarca não for sede de vara federal. Nos JEFs, a competência é plena, desde que o valor da causa não exceda 60 </w:t>
      </w:r>
      <w:r w:rsidR="00AB6515">
        <w:rPr>
          <w:rFonts w:cs="EB Garamond"/>
          <w:kern w:val="16"/>
          <w14:ligatures w14:val="standardContextual"/>
        </w:rPr>
        <w:t>salários-mínimos</w:t>
      </w:r>
      <w:r>
        <w:rPr>
          <w:rFonts w:cs="EB Garamond"/>
          <w:kern w:val="16"/>
          <w14:ligatures w14:val="standardContextual"/>
        </w:rPr>
        <w:t>. Diferentemente dos benefícios previdenciários por acidente do trabalho (competência da Justiça Estadual), o BPC é processado perante a Justiça Federal porque o INSS figura como réu na condição de autarquia federal gestora do benefício, ainda que a assistência social seja matéria de competência comum (art. 23, II, CF/88).</w:t>
      </w:r>
    </w:p>
    <w:p w14:paraId="59F3D66C"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18.4 Requisitos para concessão: visão geral</w:t>
      </w:r>
    </w:p>
    <w:p w14:paraId="7A75D9B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162EB560" w14:textId="77777777" w:rsidR="005A5FCC" w:rsidRDefault="00A21C81">
      <w:r>
        <w:rPr>
          <w:rFonts w:cs="EB Garamond"/>
          <w:kern w:val="16"/>
          <w14:ligatures w14:val="standardContextual"/>
        </w:rPr>
        <w:t xml:space="preserve"> concessão do BPC exige o preenchimento cumulativo de dois requisitos: (a) requisito subjetivo, consistente na condição de pessoa idosa (65 anos ou mais) ou pessoa com deficiência (impedimento de longo prazo); e (b) requisito objetivo, consistente na hipossuficiência econômica do requerente e de seu grupo familiar (renda per capita inferior ao limite legal). A ausência de qualquer desses requisitos impede a concessão do benefício.</w:t>
      </w:r>
    </w:p>
    <w:p w14:paraId="18F0E0A5" w14:textId="77777777" w:rsidR="005A5FCC" w:rsidRDefault="00A21C81">
      <w:pPr>
        <w:ind w:firstLine="238"/>
      </w:pPr>
      <w:r>
        <w:rPr>
          <w:rFonts w:cs="EB Garamond"/>
          <w:kern w:val="16"/>
          <w14:ligatures w14:val="standardContextual"/>
        </w:rPr>
        <w:t xml:space="preserve">O art. 20 da LOAS, com as alterações promovidas pelas Leis n. 12.435/2011, n. 12.470/2011, n. 13.146/2015 e n. 14.176/2021, disciplina os requisitos de forma detalhada. A interpretação desses requisitos, contudo, não se esgota na literalidade da lei: a jurisprudência do STF, do STJ e da TNU construiu camada </w:t>
      </w:r>
      <w:r>
        <w:rPr>
          <w:rFonts w:cs="EB Garamond"/>
          <w:kern w:val="16"/>
          <w14:ligatures w14:val="standardContextual"/>
        </w:rPr>
        <w:lastRenderedPageBreak/>
        <w:t>densa de entendimentos que, em muitos pontos, supera a rigidez dos critérios legais para garantir a efetividade do direito constitucional à assistência social.</w:t>
      </w:r>
    </w:p>
    <w:p w14:paraId="6BE6D954" w14:textId="77777777" w:rsidR="005A5FCC" w:rsidRDefault="00A21C81">
      <w:pPr>
        <w:ind w:firstLine="238"/>
      </w:pPr>
      <w:r>
        <w:rPr>
          <w:rFonts w:cs="EB Garamond"/>
          <w:kern w:val="16"/>
          <w14:ligatures w14:val="standardContextual"/>
        </w:rPr>
        <w:t>A nacionalidade brasileira não constitui requisito do BPC. O STF, no julgamento do RE 587.970/SP (Tema 173 da repercussão geral, DJe 22/09/2017), fixou que os estrangeiros residentes no País são beneficiários da assistência social prevista no art. 203, V, da Constituição Federal, uma vez preenchidos os requisitos constitucionais e legais. O fundamento da decisão repousa na universalidade da seguridade social e na dignidade da pessoa humana, que não admitem distinção de nacionalidade para fins de proteção contra a vulnerabilidade extrema. Esse entendimento vinculante afasta qualquer recusa do INSS baseada exclusivamente na condição de estrangeiro do requerente.</w:t>
      </w:r>
    </w:p>
    <w:p w14:paraId="122C5EFC" w14:textId="77777777" w:rsidR="005A5FCC" w:rsidRDefault="00A21C81">
      <w:pPr>
        <w:ind w:firstLine="238"/>
      </w:pPr>
      <w:r>
        <w:rPr>
          <w:rFonts w:cs="EB Garamond"/>
          <w:kern w:val="16"/>
          <w14:ligatures w14:val="standardContextual"/>
        </w:rPr>
        <w:t>A residência no território nacional é requisito implícito, derivado da própria natureza do sistema de assistência social brasileiro. O BPC destina-se a pessoas que vivem em solo brasileiro e se encontram submetidas às condições socioeconômicas do país. Brasileiros residentes no exterior não fazem jus ao benefício, pois não se encontram sob a jurisdição do sistema de assistência social nacional.</w:t>
      </w:r>
    </w:p>
    <w:p w14:paraId="4B449993" w14:textId="77777777" w:rsidR="005A5FCC" w:rsidRDefault="00A21C81">
      <w:pPr>
        <w:ind w:firstLine="238"/>
      </w:pPr>
      <w:r>
        <w:rPr>
          <w:rFonts w:cs="EB Garamond"/>
          <w:kern w:val="16"/>
          <w14:ligatures w14:val="standardContextual"/>
        </w:rPr>
        <w:t>Examinaremos cada requisito separadamente nas seções seguintes, dedicando atenção especial aos pontos de tensão entre a norma legal e a interpretação judicial, e às consequências práticas dessa tensão nos JEFs.</w:t>
      </w:r>
    </w:p>
    <w:p w14:paraId="21C486CD"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18.5 Requisito subjetivo: pessoa idosa (65 anos ou mais)</w:t>
      </w:r>
    </w:p>
    <w:p w14:paraId="0B743D9E"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056C9365" w14:textId="77777777" w:rsidR="005A5FCC" w:rsidRDefault="00A21C81">
      <w:r>
        <w:rPr>
          <w:rFonts w:cs="EB Garamond"/>
          <w:kern w:val="16"/>
          <w14:ligatures w14:val="standardContextual"/>
        </w:rPr>
        <w:t xml:space="preserve"> idade mínima para o BPC ao idoso é de 65 anos, tanto para homens quanto para mulheres. Esse patamar, consolidado pelo art. 34 do Estatuto do Idoso (Lei n. 10.741/2003), superou o critério anterior de 67 anos e, antes dele, o de 70 anos. A redução decorreu do cronograma escalonado previsto no próprio art. 38 da LOAS (Lei n. 8.742/1993), que fixou o patamar inicial de 70 anos e, em sua redação dada pela Lei n. 9.720/1998, antecipou a redução para 67 anos. Não se tratou, portanto, de patamar criado isoladamente pela Lei n. 9.720/1998, mas da implementação de etapa do cronograma legal de redução etária, posteriormente concluído pelo Estatuto do Idoso ao estabelecer os 65 anos. </w:t>
      </w:r>
      <w:r>
        <w:rPr>
          <w:rFonts w:cs="EB Garamond"/>
          <w:kern w:val="16"/>
          <w14:ligatures w14:val="standardContextual"/>
        </w:rPr>
        <w:lastRenderedPageBreak/>
        <w:t>A evolução reflete a progressiva ampliação do acesso ao benefício assistencial, em consonância com o envelhecimento populacional brasileiro e o reconhecimento de que a vulnerabilidade da pessoa idosa não deve ser condicionada a idades excessivamente elevadas.</w:t>
      </w:r>
    </w:p>
    <w:p w14:paraId="315F37A0" w14:textId="77777777" w:rsidR="005A5FCC" w:rsidRDefault="00A21C81">
      <w:pPr>
        <w:ind w:firstLine="238"/>
      </w:pPr>
      <w:r>
        <w:rPr>
          <w:rFonts w:cs="EB Garamond"/>
          <w:kern w:val="16"/>
          <w14:ligatures w14:val="standardContextual"/>
        </w:rPr>
        <w:t>A fixação de critério etário único para homens e mulheres, no âmbito do BPC, contrasta com a diferenciação etária da aposentadoria voluntária (65 anos para homens, 62 para mulheres, nos termos do art. 201, § 7º, I, da CF/88, com redação da EC 103/2019). Essa diferença decorre da natureza distinta dos benefícios: a aposentadoria pressupõe contribuição e vincula-se ao histórico laboral, que justifica a diferenciação em razão da dupla jornada feminina; o BPC é prestação assistencial fundada exclusivamente na vulnerabilidade, cujo critério etário foi fixado pelo legislador infraconstitucional sem distinção de gênero.</w:t>
      </w:r>
    </w:p>
    <w:p w14:paraId="2CE5B5DD" w14:textId="77777777" w:rsidR="005A5FCC" w:rsidRDefault="00A21C81">
      <w:pPr>
        <w:ind w:firstLine="238"/>
      </w:pPr>
      <w:r>
        <w:rPr>
          <w:rFonts w:cs="EB Garamond"/>
          <w:kern w:val="16"/>
          <w14:ligatures w14:val="standardContextual"/>
        </w:rPr>
        <w:t>A comprovação da idade é feita por documento de identidade, certidão de nascimento ou qualquer documento idôneo. Na prática dos JEFs, a questão raramente gera controvérsia, salvo em hipóteses de registro civil tardio ou inexistente, comuns em regiões rurais. Nesses casos, admite-se a comprovação por prova testemunhal e documental indireta, aplicando-se por analogia a jurisprudência sobre retificação de idade em benefícios previdenciários.</w:t>
      </w:r>
    </w:p>
    <w:p w14:paraId="037EB6BB" w14:textId="77777777" w:rsidR="005A5FCC" w:rsidRDefault="00A21C81">
      <w:pPr>
        <w:ind w:firstLine="238"/>
      </w:pPr>
      <w:r>
        <w:rPr>
          <w:rFonts w:cs="EB Garamond"/>
          <w:kern w:val="16"/>
          <w14:ligatures w14:val="standardContextual"/>
        </w:rPr>
        <w:t>O BPC ao idoso dispensa qualquer avaliação de deficiência. A mera comprovação da idade (65 anos ou mais) e da miserabilidade é suficiente para a concessão. A pessoa idosa que também seja pessoa com deficiência pode requerer o BPC por qualquer dos fundamentos (idade ou deficiência), devendo-se verificar qual é mais vantajoso para fins de manutenção do benefício e de eventual acumulação com auxílio-inclusão, que se restringe ao BPC por deficiência.</w:t>
      </w:r>
    </w:p>
    <w:tbl>
      <w:tblPr>
        <w:tblW w:w="5000" w:type="pct"/>
        <w:jc w:val="center"/>
        <w:tblLayout w:type="fixed"/>
        <w:tblLook w:val="04A0" w:firstRow="1" w:lastRow="0" w:firstColumn="1" w:lastColumn="0" w:noHBand="0" w:noVBand="1"/>
      </w:tblPr>
      <w:tblGrid>
        <w:gridCol w:w="6311"/>
      </w:tblGrid>
      <w:tr w:rsidR="005A5FCC" w14:paraId="141DD2BD"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2F34D670" w14:textId="77777777" w:rsidR="005A5FCC" w:rsidRDefault="00A21C81">
            <w:pPr>
              <w:spacing w:after="60" w:line="240" w:lineRule="auto"/>
              <w:jc w:val="left"/>
            </w:pPr>
            <w:r>
              <w:rPr>
                <w:rFonts w:ascii="Noto Sans" w:hAnsi="Noto Sans" w:cs="Noto Sans"/>
                <w:b/>
                <w:caps/>
                <w:color w:val="B78B37"/>
                <w:kern w:val="16"/>
                <w:sz w:val="16"/>
                <w14:ligatures w14:val="standardContextual"/>
              </w:rPr>
              <w:lastRenderedPageBreak/>
              <w:t>ATENÇÃO</w:t>
            </w:r>
          </w:p>
          <w:p w14:paraId="19134A80" w14:textId="0A2A6035" w:rsidR="005A5FCC" w:rsidRDefault="00A21C81">
            <w:pPr>
              <w:spacing w:after="60" w:line="247" w:lineRule="auto"/>
            </w:pPr>
            <w:r>
              <w:rPr>
                <w:rFonts w:cs="EB Garamond"/>
                <w:kern w:val="16"/>
                <w:sz w:val="19"/>
                <w14:ligatures w14:val="standardContextual"/>
              </w:rPr>
              <w:t xml:space="preserve">O art. 34, parágrafo único, do Estatuto do Idoso (Lei n. 10.741/2003) dispunha que o benefício de BPC já concedido a qualquer membro idoso da família não seria computado para fins de cálculo da renda per capita familiar na concessão de novo BPC a outro idoso do mesmo grupo familiar. Essa regra criava tratamento diferenciado: enquanto o BPC de idoso era excluído do cálculo, o BPC de pessoa com deficiência do mesmo grupo familiar continuava sendo computado. O STF, no julgamento do RE 580.963 (Tema 312 da repercussão geral), declarou a inconstitucionalidade do parágrafo único do art. 34 do Estatuto do Idoso por entender que a distinção entre idosos e pessoas com deficiência violava o princípio da isonomia. A questão foi superada no plano legislativo pelas alterações do art. 20 da LOAS — introduzidas pela Lei n. 13.982/2020 (§§ 14 e 15) e consolidadas pela Lei n. 14.176/2021 —, que determinaram a exclusão, do cálculo da renda per capita, de qualquer benefício assistencial ou previdenciário de até um </w:t>
            </w:r>
            <w:r w:rsidR="00CF686E">
              <w:rPr>
                <w:rFonts w:cs="EB Garamond"/>
                <w:kern w:val="16"/>
                <w:sz w:val="19"/>
                <w14:ligatures w14:val="standardContextual"/>
              </w:rPr>
              <w:t>salário-mínimo</w:t>
            </w:r>
            <w:r>
              <w:rPr>
                <w:rFonts w:cs="EB Garamond"/>
                <w:kern w:val="16"/>
                <w:sz w:val="19"/>
                <w14:ligatures w14:val="standardContextual"/>
              </w:rPr>
              <w:t xml:space="preserve"> recebido por membro idoso ou com deficiência do grupo familiar.</w:t>
            </w:r>
          </w:p>
        </w:tc>
      </w:tr>
    </w:tbl>
    <w:p w14:paraId="572A6604" w14:textId="77777777" w:rsidR="005A5FCC" w:rsidRDefault="005A5FCC">
      <w:pPr>
        <w:spacing w:after="80" w:line="240" w:lineRule="auto"/>
      </w:pPr>
    </w:p>
    <w:p w14:paraId="10987AA0"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18.6 Requisito subjetivo: pessoa com deficiência</w:t>
      </w:r>
    </w:p>
    <w:p w14:paraId="44A5176E"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0C809F7F" w14:textId="77777777" w:rsidR="005A5FCC" w:rsidRDefault="00A21C81">
      <w:r>
        <w:rPr>
          <w:rFonts w:cs="EB Garamond"/>
          <w:kern w:val="16"/>
          <w14:ligatures w14:val="standardContextual"/>
        </w:rPr>
        <w:t xml:space="preserve"> conceito de deficiência para fins do BPC sofreu profunda transformação nas últimas décadas, migrando de um modelo estritamente biomédico para o modelo biopsicossocial. A redação original do art. 20, § 2º, da LOAS definia como pessoa com deficiência "aquela incapacitada para a vida independente e para o trabalho". Essa definição, que exigia incapacidade total e absoluta, foi progressivamente superada pela jurisprudência e, depois, pela própria legislação.</w:t>
      </w:r>
    </w:p>
    <w:p w14:paraId="3D737805" w14:textId="77777777" w:rsidR="005A5FCC" w:rsidRDefault="00A21C81">
      <w:pPr>
        <w:ind w:firstLine="238"/>
      </w:pPr>
      <w:r>
        <w:rPr>
          <w:rFonts w:cs="EB Garamond"/>
          <w:kern w:val="16"/>
          <w14:ligatures w14:val="standardContextual"/>
        </w:rPr>
        <w:t xml:space="preserve">A Convenção Internacional sobre os Direitos das Pessoas com Deficiência (CDPD), aprovada pelo Decreto Legislativo n. 186/2008 e promulgada pelo Decreto n. 6.949/2009, possui status de emenda constitucional nos termos do art. 5º, § 3º, da Constituição Federal. Seu art. 1º define que "pessoas com deficiência são aquelas que têm impedimentos de longo prazo de natureza física, mental, intelectual ou sensorial, os quais, em interação com diversas barreiras, podem obstruir sua participação plena e efetiva na sociedade em igualdades de condições </w:t>
      </w:r>
      <w:r>
        <w:rPr>
          <w:rFonts w:cs="EB Garamond"/>
          <w:kern w:val="16"/>
          <w14:ligatures w14:val="standardContextual"/>
        </w:rPr>
        <w:lastRenderedPageBreak/>
        <w:t>com as demais pessoas". Essa definição, de hierarquia constitucional, vincula a interpretação de toda a legislação infraconstitucional sobre a matéria.</w:t>
      </w:r>
    </w:p>
    <w:p w14:paraId="11D02A17" w14:textId="77777777" w:rsidR="005A5FCC" w:rsidRDefault="00A21C81">
      <w:pPr>
        <w:ind w:firstLine="238"/>
      </w:pPr>
      <w:r>
        <w:rPr>
          <w:rFonts w:cs="EB Garamond"/>
          <w:kern w:val="16"/>
          <w14:ligatures w14:val="standardContextual"/>
        </w:rPr>
        <w:t>A Lei n. 12.435/2011 adequou o art. 20, § 2º, da LOAS à CDPD, definindo pessoa com deficiência como "aquela que tem impedimento de longo prazo de natureza física, mental, intelectual ou sensorial, o qual, em interação com uma ou mais barreiras, pode obstruir sua participação plena e efetiva na sociedade em igualdade de condições com as demais pessoas". A convergência entre a LOAS, a CDPD e o Estatuto da Pessoa com Deficiência (Lei n. 13.146/2015) consolidou o paradigma biopsicossocial como marco conceitual obrigatório.</w:t>
      </w:r>
    </w:p>
    <w:p w14:paraId="79EB78C3" w14:textId="77777777" w:rsidR="005A5FCC" w:rsidRDefault="00A21C81">
      <w:pPr>
        <w:ind w:firstLine="238"/>
      </w:pPr>
      <w:r>
        <w:rPr>
          <w:rFonts w:cs="EB Garamond"/>
          <w:kern w:val="16"/>
          <w14:ligatures w14:val="standardContextual"/>
        </w:rPr>
        <w:t>A nova definição legal exige três elementos cumulativos: (i) impedimento de longo prazo; (ii) de natureza física, mental, intelectual ou sensorial; (iii) que, em interação com barreiras, obstrua a participação plena e efetiva na sociedade em igualdade de condições. A análise da deficiência para fins do BPC deixou de ser exclusivamente médica (existe ou não limitação funcional?) e passou a incorporar dimensões sociais, ambientais e contextuais (as barreiras do ambiente impedem a participação social da pessoa?).</w:t>
      </w:r>
    </w:p>
    <w:tbl>
      <w:tblPr>
        <w:tblW w:w="5000" w:type="pct"/>
        <w:jc w:val="center"/>
        <w:tblLayout w:type="fixed"/>
        <w:tblLook w:val="04A0" w:firstRow="1" w:lastRow="0" w:firstColumn="1" w:lastColumn="0" w:noHBand="0" w:noVBand="1"/>
      </w:tblPr>
      <w:tblGrid>
        <w:gridCol w:w="6311"/>
      </w:tblGrid>
      <w:tr w:rsidR="005A5FCC" w14:paraId="1AD27897"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5984CAD2" w14:textId="77777777" w:rsidR="005A5FCC" w:rsidRDefault="00A21C81">
            <w:pPr>
              <w:spacing w:after="60" w:line="240" w:lineRule="auto"/>
              <w:jc w:val="left"/>
            </w:pPr>
            <w:r>
              <w:rPr>
                <w:rFonts w:ascii="Noto Sans" w:hAnsi="Noto Sans" w:cs="Noto Sans"/>
                <w:b/>
                <w:caps/>
                <w:color w:val="4D6F8A"/>
                <w:kern w:val="16"/>
                <w:sz w:val="16"/>
                <w14:ligatures w14:val="standardContextual"/>
              </w:rPr>
              <w:t>JURISPRUDÊNCIA EM DESTAQUE</w:t>
            </w:r>
          </w:p>
          <w:p w14:paraId="5665CF67" w14:textId="77777777" w:rsidR="005A5FCC" w:rsidRDefault="00A21C81">
            <w:pPr>
              <w:spacing w:after="60" w:line="247" w:lineRule="auto"/>
            </w:pPr>
            <w:r>
              <w:rPr>
                <w:rFonts w:cs="EB Garamond"/>
                <w:b/>
                <w:kern w:val="16"/>
                <w:sz w:val="19"/>
                <w14:ligatures w14:val="standardContextual"/>
              </w:rPr>
              <w:t>TNU, Súmula 29</w:t>
            </w:r>
            <w:r>
              <w:rPr>
                <w:rFonts w:cs="EB Garamond"/>
                <w:kern w:val="16"/>
                <w:sz w:val="19"/>
                <w14:ligatures w14:val="standardContextual"/>
              </w:rPr>
              <w:t>: "Para os efeitos do art. 20, § 2º, da Lei n. 8.742, de 1993, incapacidade para a vida independente não é só aquela que impede as atividades mais elementares da pessoa, mas também a que impossibilita de prover ao próprio sustento." Embora anterior à mudança legislativa, a Súmula 29 representou o primeiro passo da jurisprudência na superação do modelo biomédico puro. O entendimento de que a incapacidade para a vida independente abrange a impossibilidade de inserção social e laborativa antecipou, no plano jurisprudencial, a transição conceitual que a Lei n. 12.435/2011 viria a positivar.</w:t>
            </w:r>
          </w:p>
        </w:tc>
      </w:tr>
    </w:tbl>
    <w:p w14:paraId="1768E7FD" w14:textId="77777777" w:rsidR="005A5FCC" w:rsidRDefault="005A5FCC">
      <w:pPr>
        <w:spacing w:after="80" w:line="240" w:lineRule="auto"/>
      </w:pPr>
    </w:p>
    <w:p w14:paraId="2E98920E"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2E27DEF4" w14:textId="77777777" w:rsidR="005A5FCC" w:rsidRDefault="00A21C81">
      <w:r>
        <w:rPr>
          <w:rFonts w:cs="EB Garamond"/>
          <w:kern w:val="16"/>
          <w14:ligatures w14:val="standardContextual"/>
        </w:rPr>
        <w:t xml:space="preserve"> adoção do modelo biopsicossocial não significa que qualquer limitação funcional configure deficiência para fins do BPC. O impedimento deve ser de longo prazo (examinado na seção 18.8) e deve, em interação com as barreiras concretas que cercam o requerente, obstruir efetivamente sua participação social. Uma pessoa com limitação física leve que disponha de ambiente acessível, </w:t>
      </w:r>
      <w:r>
        <w:rPr>
          <w:rFonts w:cs="EB Garamond"/>
          <w:kern w:val="16"/>
          <w14:ligatures w14:val="standardContextual"/>
        </w:rPr>
        <w:lastRenderedPageBreak/>
        <w:t>apoio familiar adequado e oportunidades de inclusão pode não preencher o requisito, ao passo que uma pessoa com a mesma limitação, inserida em contexto de barreiras arquitetônicas, estigma social e ausência de serviços, poderá preenchê-lo. A avaliação é contextual e individualizada, o que torna a perícia biopsicossocial ferramenta central na instrução das ações de BPC nos JEFs.</w:t>
      </w:r>
    </w:p>
    <w:p w14:paraId="4AA11580"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18.7 Avaliação da deficiência: modelo biopsicossocial</w:t>
      </w:r>
    </w:p>
    <w:p w14:paraId="20C2A7B1"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66A8031F" w14:textId="77777777" w:rsidR="005A5FCC" w:rsidRDefault="00A21C81">
      <w:r>
        <w:rPr>
          <w:rFonts w:cs="EB Garamond"/>
          <w:kern w:val="16"/>
          <w14:ligatures w14:val="standardContextual"/>
        </w:rPr>
        <w:t xml:space="preserve"> avaliação da deficiência para fins do BPC deve observar o modelo biopsicossocial, conforme determinam o art. 20, § 6º, da LOAS e o art. 2º, § 1º, da Lei n. 13.146/2015 (Estatuto da Pessoa com Deficiência). Esse modelo, fundamentado na Classificação Internacional de Funcionalidade, Incapacidade e Saúde (CIF), da Organização Mundial da Saúde (OMS), analisa a deficiência a partir da interação entre as limitações funcionais do indivíduo e as barreiras impostas pelo ambiente.</w:t>
      </w:r>
    </w:p>
    <w:p w14:paraId="568CA396" w14:textId="77777777" w:rsidR="005A5FCC" w:rsidRDefault="00A21C81">
      <w:pPr>
        <w:ind w:firstLine="238"/>
      </w:pPr>
      <w:r>
        <w:rPr>
          <w:rFonts w:cs="EB Garamond"/>
          <w:kern w:val="16"/>
          <w14:ligatures w14:val="standardContextual"/>
        </w:rPr>
        <w:t>A CIF organiza a análise em cinco dimensões: funções do corpo, estruturas do corpo, atividades e participação, fatores ambientais e fatores pessoais. Para o procedimento pericial geral em benefícios por incapacidade com base no modelo biopsicossocial, remetemos ao Capítulo 6 deste livro. Aqui, destacamos as especificidades da perícia para o BPC.</w:t>
      </w:r>
    </w:p>
    <w:p w14:paraId="6C6C9DD6" w14:textId="77777777" w:rsidR="005A5FCC" w:rsidRDefault="00A21C81">
      <w:pPr>
        <w:ind w:firstLine="238"/>
      </w:pPr>
      <w:r>
        <w:rPr>
          <w:rFonts w:cs="EB Garamond"/>
          <w:kern w:val="16"/>
          <w14:ligatures w14:val="standardContextual"/>
        </w:rPr>
        <w:t>Na esfera administrativa, o INSS utiliza, desde 2009, instrumento próprio que combina perícia médica com avaliação do serviço social. No âmbito judicial, a perícia para o BPC deve ser mais abrangente do que a perícia destinada a benefícios por incapacidade: não basta verificar se existe doença ou limitação funcional, mas se essa limitação, no contexto de vida do requerente, obstrui sua participação social plena. É imprescindível que os quesitos formulados pelo juízo contemplem não apenas aspectos clínicos, mas também a avaliação funcional e contextual.</w:t>
      </w:r>
    </w:p>
    <w:tbl>
      <w:tblPr>
        <w:tblW w:w="5000" w:type="pct"/>
        <w:jc w:val="center"/>
        <w:tblLayout w:type="fixed"/>
        <w:tblLook w:val="04A0" w:firstRow="1" w:lastRow="0" w:firstColumn="1" w:lastColumn="0" w:noHBand="0" w:noVBand="1"/>
      </w:tblPr>
      <w:tblGrid>
        <w:gridCol w:w="6311"/>
      </w:tblGrid>
      <w:tr w:rsidR="005A5FCC" w14:paraId="42D99E37"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1DF00D9C"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1D46DEAF" w14:textId="77777777" w:rsidR="005A5FCC" w:rsidRDefault="00A21C81">
            <w:pPr>
              <w:spacing w:after="60" w:line="247" w:lineRule="auto"/>
            </w:pPr>
            <w:r>
              <w:rPr>
                <w:rFonts w:cs="EB Garamond"/>
                <w:kern w:val="16"/>
                <w:sz w:val="19"/>
                <w14:ligatures w14:val="standardContextual"/>
              </w:rPr>
              <w:t>Na formulação de quesitos para perícia judicial em ações de BPC, recomendamos incluir, além dos quesitos médicos tradicionais (diagnóstico, CID-10, tratamento): (a) qual o grau de limitação funcional do periciando para atividades da vida diária (alimentação, higiene, locomoção, comunicação)?; (b) a limitação impede ou restringe a inserção no mercado de trabalho, considerando escolaridade, qualificação profissional e faixa etária?; (c) a limitação tende a perdurar por prazo igual ou superior a dois anos?; (d) existem barreiras (ambientais, sociais, atitudinais) que agravam o impacto da limitação?; (e) o periciando necessita de assistência permanente ou intermitente de outra pessoa para atividades essenciais? Esses quesitos orientam o perito a produzir laudo compatível com o modelo biopsicossocial e fornecem ao juiz elementos para decisão fundamentada.</w:t>
            </w:r>
          </w:p>
        </w:tc>
      </w:tr>
    </w:tbl>
    <w:p w14:paraId="31977820" w14:textId="77777777" w:rsidR="005A5FCC" w:rsidRDefault="005A5FCC">
      <w:pPr>
        <w:spacing w:after="80" w:line="240" w:lineRule="auto"/>
      </w:pPr>
    </w:p>
    <w:p w14:paraId="1AE83CCB"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5A70F111" w14:textId="77777777" w:rsidR="005A5FCC" w:rsidRDefault="00A21C81">
      <w:r>
        <w:rPr>
          <w:rFonts w:cs="EB Garamond"/>
          <w:kern w:val="16"/>
          <w14:ligatures w14:val="standardContextual"/>
        </w:rPr>
        <w:t xml:space="preserve"> Conselho Nacional de Justiça (CNJ) avançou na padronização da avaliação biopsicossocial em processos judiciais. A Resolução CNJ n. 630, de 29 de julho de 2025, instituiu o Instrumento Unificado de Avaliação Biopsicossocial no sistema SisPerJud, com obrigatoriedade prevista a partir de 2 de março de 2026 para todos os pedidos judiciais de BPC de pessoa com deficiência. O instrumento fundamenta-se na CIF/OMS e estrutura a avaliação em três domínios: (a) funções e estruturas do corpo; (b) atividades e participação; (c) fatores ambientais. A padronização reduz a subjetividade inerente ao modelo anterior, em que cada perito aplicava critérios próprios de avaliação funcional, e promove isonomia entre requerentes de diferentes regiões. Como se trata de marco prospectivo, condicionado à efetiva implantação do sistema e a eventual regulamentação complementar, recomendamos ao leitor verificar, na data de leitura, se a obrigatoriedade do Instrumento Unificado/SisPerJud entrou efetivamente em vigor na data indicada ou foi objeto de prorrogação.</w:t>
      </w:r>
    </w:p>
    <w:p w14:paraId="39DCF14B" w14:textId="77777777" w:rsidR="005A5FCC" w:rsidRDefault="00A21C81">
      <w:pPr>
        <w:ind w:firstLine="238"/>
      </w:pPr>
      <w:r>
        <w:rPr>
          <w:rFonts w:cs="EB Garamond"/>
          <w:kern w:val="16"/>
          <w14:ligatures w14:val="standardContextual"/>
        </w:rPr>
        <w:t xml:space="preserve">A Lei n. 14.176/2021 previu, em seu art. 2º-A, a instituição de instrumento de avaliação biopsicossocial unificado para a aferição da deficiência em todo o sistema de proteção social, não apenas para o BPC. A regulamentação desse instrumento, a cargo do Poder Executivo, envolve a definição de domínios de avaliação, escalas de funcionalidade e protocolos de aplicação. A Portaria MDS/MPS/INSS n. 33/2025 disciplinou aspectos procedimentais da reavaliação biopsicossocial do </w:t>
      </w:r>
      <w:r>
        <w:rPr>
          <w:rFonts w:cs="EB Garamond"/>
          <w:kern w:val="16"/>
          <w14:ligatures w14:val="standardContextual"/>
        </w:rPr>
        <w:lastRenderedPageBreak/>
        <w:t>BPC, estabelecendo cronograma e critérios para a revisão periódica dos benefícios ativos.</w:t>
      </w:r>
    </w:p>
    <w:p w14:paraId="6C219519"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18.8 Impedimento de longo prazo: critérios e controvérsias</w:t>
      </w:r>
    </w:p>
    <w:p w14:paraId="5F61CB8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45C9E62A" w14:textId="77777777" w:rsidR="005A5FCC" w:rsidRDefault="00A21C81">
      <w:r>
        <w:rPr>
          <w:rFonts w:cs="EB Garamond"/>
          <w:kern w:val="16"/>
          <w14:ligatures w14:val="standardContextual"/>
        </w:rPr>
        <w:t xml:space="preserve"> art. 20, § 2º, da LOAS exige que o impedimento seja "de longo prazo". O § 10 do mesmo artigo, incluído pela Lei n. 12.470/2011, define impedimento de longo prazo como "aquele que produza efeitos pelo prazo mínimo de 2 (dois) anos". Esse critério temporal distingue a deficiência para fins do BPC das limitações transitórias, que podem dar ensejo a benefícios previdenciários por incapacidade (auxílio por incapacidade temporária), mas não ao benefício assistencial.</w:t>
      </w:r>
    </w:p>
    <w:p w14:paraId="6D8FB737" w14:textId="77777777" w:rsidR="005A5FCC" w:rsidRDefault="00A21C81">
      <w:pPr>
        <w:ind w:firstLine="238"/>
      </w:pPr>
      <w:r>
        <w:rPr>
          <w:rFonts w:cs="EB Garamond"/>
          <w:kern w:val="16"/>
          <w14:ligatures w14:val="standardContextual"/>
        </w:rPr>
        <w:t>O prazo de dois anos é aferido pela prognose médica. Não se exige que o impedimento já perdure por dois anos no momento do requerimento: basta que, segundo avaliação médica qualificada, a limitação funcional tenda a perdurar por esse período. Uma pessoa que sofreu acidente grave há três meses, com prognóstico de sequelas permanentes ou de recuperação superior a dois anos, preenche o requisito temporal desde o momento da consolidação do diagnóstico. Por outro lado, uma fratura simples com previsão de recuperação em seis meses não configura impedimento de longo prazo, ainda que, no momento da avaliação, o requerente esteja completamente incapacitado.</w:t>
      </w:r>
    </w:p>
    <w:p w14:paraId="3D74B0A4" w14:textId="77777777" w:rsidR="005A5FCC" w:rsidRDefault="00A21C81">
      <w:pPr>
        <w:ind w:firstLine="238"/>
      </w:pPr>
      <w:r>
        <w:rPr>
          <w:rFonts w:cs="EB Garamond"/>
          <w:kern w:val="16"/>
          <w14:ligatures w14:val="standardContextual"/>
        </w:rPr>
        <w:t>A jurisprudência da TNU fixou o prazo de dois anos como parâmetro objetivo, afastando avaliações imprecisas sobre a duração do impedimento. Em casos limítrofes, quando a prognose é incerta ou a evolução da condição depende de fatores imprevisíveis, prevalece a orientação de que a dúvida deve ser resolvida em favor do requerente, aplicando-se o princípio in dubio pro misero. Essa orientação é especialmente relevante para condições crônicas com evolução variável, como transtornos mentais, doenças autoimunes e síndromes neurológicas degenerativas.</w:t>
      </w:r>
    </w:p>
    <w:tbl>
      <w:tblPr>
        <w:tblW w:w="5000" w:type="pct"/>
        <w:jc w:val="center"/>
        <w:tblLayout w:type="fixed"/>
        <w:tblLook w:val="04A0" w:firstRow="1" w:lastRow="0" w:firstColumn="1" w:lastColumn="0" w:noHBand="0" w:noVBand="1"/>
      </w:tblPr>
      <w:tblGrid>
        <w:gridCol w:w="6311"/>
      </w:tblGrid>
      <w:tr w:rsidR="005A5FCC" w14:paraId="0629444C"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40A96090" w14:textId="77777777" w:rsidR="005A5FCC" w:rsidRDefault="00A21C81">
            <w:pPr>
              <w:spacing w:after="60" w:line="240" w:lineRule="auto"/>
              <w:jc w:val="left"/>
            </w:pPr>
            <w:r>
              <w:rPr>
                <w:rFonts w:ascii="Noto Sans" w:hAnsi="Noto Sans" w:cs="Noto Sans"/>
                <w:b/>
                <w:caps/>
                <w:color w:val="B78B37"/>
                <w:kern w:val="16"/>
                <w:sz w:val="16"/>
                <w14:ligatures w14:val="standardContextual"/>
              </w:rPr>
              <w:lastRenderedPageBreak/>
              <w:t>ATENÇÃO</w:t>
            </w:r>
          </w:p>
          <w:p w14:paraId="3CEA5E1D" w14:textId="77777777" w:rsidR="005A5FCC" w:rsidRDefault="00A21C81">
            <w:pPr>
              <w:spacing w:after="60" w:line="247" w:lineRule="auto"/>
            </w:pPr>
            <w:r>
              <w:rPr>
                <w:rFonts w:cs="EB Garamond"/>
                <w:kern w:val="16"/>
                <w:sz w:val="19"/>
                <w14:ligatures w14:val="standardContextual"/>
              </w:rPr>
              <w:t>A distinção entre impedimento de longo prazo e incapacidade temporária é fonte de controvérsias nos JEFs, especialmente em casos de doenças crônicas com episódios agudos (esquizofrenia, epilepsia, lúpus, HIV). O fato de a pessoa apresentar períodos de melhora clínica não afasta o impedimento de longo prazo, desde que a condição subjacente persista e continue gerando barreiras à participação social. O perito deve ser instado a distinguir entre a evolução clínica da doença (que pode apresentar remissões e exacerbações) e a permanência do impedimento funcional (que, nas doenças crônicas, tende a manter-se mesmo nos períodos de estabilidade clínica).</w:t>
            </w:r>
          </w:p>
        </w:tc>
      </w:tr>
    </w:tbl>
    <w:p w14:paraId="782DCF34" w14:textId="77777777" w:rsidR="005A5FCC" w:rsidRDefault="005A5FCC">
      <w:pPr>
        <w:spacing w:after="80" w:line="240" w:lineRule="auto"/>
      </w:pPr>
    </w:p>
    <w:p w14:paraId="1072F58E"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2542FF36" w14:textId="77777777" w:rsidR="005A5FCC" w:rsidRDefault="00A21C81">
      <w:r>
        <w:rPr>
          <w:rFonts w:cs="EB Garamond"/>
          <w:kern w:val="16"/>
          <w14:ligatures w14:val="standardContextual"/>
        </w:rPr>
        <w:t xml:space="preserve"> critério temporal de dois anos não é absoluto. Há condições que, pela sua natureza, dispensam a demonstração de prognose temporal: deficiências congênitas, amputações, cegueira irreversível e outras situações em que a irreversibilidade é evidente dispensam a aferição do prazo mínimo, pois configuram impedimento permanente. A exigência do prazo de dois anos dirige-se sobretudo a condições adquiridas cuja evolução comporta incerteza.</w:t>
      </w:r>
    </w:p>
    <w:p w14:paraId="16457E0E" w14:textId="77777777" w:rsidR="005A5FCC" w:rsidRDefault="00A21C81">
      <w:pPr>
        <w:ind w:firstLine="238"/>
      </w:pPr>
      <w:r>
        <w:rPr>
          <w:rFonts w:cs="EB Garamond"/>
          <w:kern w:val="16"/>
          <w14:ligatures w14:val="standardContextual"/>
        </w:rPr>
        <w:t>A interação entre o impedimento de longo prazo e a faixa etária do requerente merece consideração. Em crianças e adolescentes, condições que poderiam ser transitórias em adultos podem configurar impedimento de longo prazo em razão do impacto no desenvolvimento. Um atraso no desenvolvimento neuropsicomotor que comprometa a aquisição de habilidades básicas nos primeiros anos de vida pode gerar impedimento funcional que persista ao longo de toda a infância, ainda que exista possibilidade teórica de melhora com estimulação adequada. A indisponibilidade de serviços de estimulação precoce na rede pública, frequente em municípios de pequeno porte, constitui barreira ambiental que agrava o impedimento e deve ser considerada na avaliação biopsicossocial.</w:t>
      </w:r>
    </w:p>
    <w:p w14:paraId="0301A4D9" w14:textId="77777777" w:rsidR="005A5FCC" w:rsidRDefault="00A21C81">
      <w:pPr>
        <w:ind w:firstLine="238"/>
      </w:pPr>
      <w:r>
        <w:rPr>
          <w:rFonts w:cs="EB Garamond"/>
          <w:kern w:val="16"/>
          <w14:ligatures w14:val="standardContextual"/>
        </w:rPr>
        <w:t xml:space="preserve">Em idosos, o impedimento de longo prazo apresenta características próprias. A sobreposição de múltiplas condições crônicas (multimorbidade), cada qual com impacto funcional limitado, pode gerar impedimento combinado de gravidade significativa. Um idoso de 68 anos com artrose bilateral de joelhos (limitação motora moderada), diabetes insulinodependente (necessidade de controle rigoroso) e déficit auditivo (barreira comunicacional) pode não preencher os critérios </w:t>
      </w:r>
      <w:r>
        <w:rPr>
          <w:rFonts w:cs="EB Garamond"/>
          <w:kern w:val="16"/>
          <w14:ligatures w14:val="standardContextual"/>
        </w:rPr>
        <w:lastRenderedPageBreak/>
        <w:t>de deficiência quando cada condição é avaliada isoladamente, mas a soma dos impedimentos gera restrição funcional global compatível com o conceito de deficiência para fins do BPC. O perito deve ser orientado a avaliar o efeito cumulativo das condições, e não cada condição de forma isolada.</w:t>
      </w:r>
    </w:p>
    <w:p w14:paraId="711DD06D" w14:textId="77777777" w:rsidR="005A5FCC" w:rsidRDefault="00A21C81">
      <w:pPr>
        <w:ind w:firstLine="238"/>
      </w:pPr>
      <w:r>
        <w:rPr>
          <w:rFonts w:cs="EB Garamond"/>
          <w:kern w:val="16"/>
          <w14:ligatures w14:val="standardContextual"/>
        </w:rPr>
        <w:t>A Súmula 78 da TNU aborda situação específica no âmbito do HIV/AIDS: "Comprovado que o requerente de benefício é portador do vírus HIV, cabe ao julgador verificar as condições pessoais, sociais, econômicas e culturais, de forma a analisar a incapacidade em sentido amplo, em face da elevada estigmatização social da doença." Esse entendimento reconhece que o impedimento de longo prazo, em casos de HIV, não se mede apenas pela condição clínica (controlável, em muitos casos, por terapia antirretroviral), mas pela interação entre o diagnóstico e as barreiras sociais (estigma, discriminação no trabalho, exclusão social) que obstruem a participação plena do portador.</w:t>
      </w:r>
    </w:p>
    <w:p w14:paraId="1FD1DD43"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18.9 Requisito objetivo: miserabilidade</w:t>
      </w:r>
    </w:p>
    <w:p w14:paraId="512220E4"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2554A498" w14:textId="6ADF4909" w:rsidR="005A5FCC" w:rsidRDefault="00A21C81">
      <w:r>
        <w:rPr>
          <w:rFonts w:cs="EB Garamond"/>
          <w:kern w:val="16"/>
          <w14:ligatures w14:val="standardContextual"/>
        </w:rPr>
        <w:t xml:space="preserve"> requisito objetivo do BPC é a hipossuficiência econômica, designada pela doutrina e pela jurisprudência como "miserabilidade". O art. 20, § 3º, da LOAS, em sua redação vigente (dada pela Lei n. 14.176/2021), considera incapaz de prover a manutenção da pessoa com deficiência ou idosa "a família cuja renda mensal per capita seja inferior a 1/4 (um quarto) do salário-mínimo". A Lei n. 14.176/2021, ao introduzir o art. 20-B, autorizou a ampliação desse critério para até 1/2 </w:t>
      </w:r>
      <w:r w:rsidR="001D7762">
        <w:rPr>
          <w:rFonts w:cs="EB Garamond"/>
          <w:kern w:val="16"/>
          <w14:ligatures w14:val="standardContextual"/>
        </w:rPr>
        <w:t>salário-mínimo</w:t>
      </w:r>
      <w:r>
        <w:rPr>
          <w:rFonts w:cs="EB Garamond"/>
          <w:kern w:val="16"/>
          <w14:ligatures w14:val="standardContextual"/>
        </w:rPr>
        <w:t>, mediante regulamentação que considere fatores de vulnerabilidade.</w:t>
      </w:r>
    </w:p>
    <w:p w14:paraId="3B3B25EC" w14:textId="77777777" w:rsidR="005A5FCC" w:rsidRDefault="00A21C81">
      <w:pPr>
        <w:ind w:firstLine="238"/>
      </w:pPr>
      <w:r>
        <w:rPr>
          <w:rFonts w:cs="EB Garamond"/>
          <w:kern w:val="16"/>
          <w14:ligatures w14:val="standardContextual"/>
        </w:rPr>
        <w:t>A miserabilidade deve ser aferida no momento do requerimento administrativo e, em caso de ação judicial, pode ser verificada também na data da citação ou da perícia social. A condição socioeconômica do requerente é dinâmica: alterações na composição familiar, no rendimento dos membros da família ou nas condições de saúde podem modificar o enquadramento. Essa dinamicidade impõe ao juiz atenção ao momento em que a prova foi produzida e à eventual superveniência de fatos relevantes.</w:t>
      </w:r>
    </w:p>
    <w:p w14:paraId="672AAC3E" w14:textId="221549F1" w:rsidR="005A5FCC" w:rsidRDefault="00A21C81">
      <w:pPr>
        <w:ind w:firstLine="238"/>
      </w:pPr>
      <w:r>
        <w:rPr>
          <w:rFonts w:cs="EB Garamond"/>
          <w:kern w:val="16"/>
          <w14:ligatures w14:val="standardContextual"/>
        </w:rPr>
        <w:lastRenderedPageBreak/>
        <w:t xml:space="preserve">O conceito de miserabilidade não se reduz, contudo, à fórmula aritmética da renda per capita. Entendemos que o critério legal de 1/4 do </w:t>
      </w:r>
      <w:r w:rsidR="00CD6B36">
        <w:rPr>
          <w:rFonts w:cs="EB Garamond"/>
          <w:kern w:val="16"/>
          <w14:ligatures w14:val="standardContextual"/>
        </w:rPr>
        <w:t>salário-mínimo</w:t>
      </w:r>
      <w:r>
        <w:rPr>
          <w:rFonts w:cs="EB Garamond"/>
          <w:kern w:val="16"/>
          <w14:ligatures w14:val="standardContextual"/>
        </w:rPr>
        <w:t xml:space="preserve"> é parâmetro objetivo de presunção absoluta de miserabilidade: toda família com renda per capita inferior a esse patamar é presumida miserável, sem necessidade de prova adicional. A questão mais complexa, e que gerou a intervenção do STF, diz respeito à situação de famílias com renda per capita superior a 1/4 do </w:t>
      </w:r>
      <w:r w:rsidR="00CD6B36">
        <w:rPr>
          <w:rFonts w:cs="EB Garamond"/>
          <w:kern w:val="16"/>
          <w14:ligatures w14:val="standardContextual"/>
        </w:rPr>
        <w:t>salário-mínimo</w:t>
      </w:r>
      <w:r>
        <w:rPr>
          <w:rFonts w:cs="EB Garamond"/>
          <w:kern w:val="16"/>
          <w14:ligatures w14:val="standardContextual"/>
        </w:rPr>
        <w:t>, mas que, por outras circunstâncias (gastos com medicamentos, tratamentos de saúde, condições de moradia), vivem em situação de vulnerabilidade equiparável à miserabilidade.</w:t>
      </w:r>
    </w:p>
    <w:p w14:paraId="6B1EBABC"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18.10 Critério de renda per capita familiar</w:t>
      </w:r>
    </w:p>
    <w:p w14:paraId="14EEB3F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2479B88F" w14:textId="55078D98" w:rsidR="005A5FCC" w:rsidRDefault="00A21C81">
      <w:r>
        <w:rPr>
          <w:rFonts w:cs="EB Garamond"/>
          <w:kern w:val="16"/>
          <w14:ligatures w14:val="standardContextual"/>
        </w:rPr>
        <w:t xml:space="preserve"> cálculo da renda per capita familiar para fins do BPC, como sistematizam Kertzman (2025) e Santos (2025), exige a identificação de dois elementos: (a) o grupo familiar relevante; e (b) a renda total desse grupo. A divisão da renda total pelo número de membros do grupo familiar produz a renda per capita, que será confrontada com o limite legal (1/4 do </w:t>
      </w:r>
      <w:r w:rsidR="00CD6B36">
        <w:rPr>
          <w:rFonts w:cs="EB Garamond"/>
          <w:kern w:val="16"/>
          <w14:ligatures w14:val="standardContextual"/>
        </w:rPr>
        <w:t>salário-mínimo</w:t>
      </w:r>
      <w:r>
        <w:rPr>
          <w:rFonts w:cs="EB Garamond"/>
          <w:kern w:val="16"/>
          <w14:ligatures w14:val="standardContextual"/>
        </w:rPr>
        <w:t>, atualmente R$ 405,25, considerando o salário</w:t>
      </w:r>
      <w:r w:rsidR="00CD6B36">
        <w:rPr>
          <w:rFonts w:cs="EB Garamond"/>
          <w:kern w:val="16"/>
          <w14:ligatures w14:val="standardContextual"/>
        </w:rPr>
        <w:t>-</w:t>
      </w:r>
      <w:r>
        <w:rPr>
          <w:rFonts w:cs="EB Garamond"/>
          <w:kern w:val="16"/>
          <w14:ligatures w14:val="standardContextual"/>
        </w:rPr>
        <w:t xml:space="preserve">mínimo de R$ 1.621,00 vigente em 2026). [Nota: valor projetado para 2026 com base na política de valorização do </w:t>
      </w:r>
      <w:r w:rsidR="00CD6B36">
        <w:rPr>
          <w:rFonts w:cs="EB Garamond"/>
          <w:kern w:val="16"/>
          <w14:ligatures w14:val="standardContextual"/>
        </w:rPr>
        <w:t>salário-mínimo</w:t>
      </w:r>
      <w:r>
        <w:rPr>
          <w:rFonts w:cs="EB Garamond"/>
          <w:kern w:val="16"/>
          <w14:ligatures w14:val="standardContextual"/>
        </w:rPr>
        <w:t xml:space="preserve"> (Lei n. 14.663/2023). Verificar o </w:t>
      </w:r>
      <w:r w:rsidR="00CD6B36">
        <w:rPr>
          <w:rFonts w:cs="EB Garamond"/>
          <w:kern w:val="16"/>
          <w14:ligatures w14:val="standardContextual"/>
        </w:rPr>
        <w:t>salário-mínimo</w:t>
      </w:r>
      <w:r>
        <w:rPr>
          <w:rFonts w:cs="EB Garamond"/>
          <w:kern w:val="16"/>
          <w14:ligatures w14:val="standardContextual"/>
        </w:rPr>
        <w:t xml:space="preserve"> vigente na data de leitura.]</w:t>
      </w:r>
    </w:p>
    <w:p w14:paraId="6CAA0C87" w14:textId="77777777" w:rsidR="005A5FCC" w:rsidRDefault="00A21C81">
      <w:pPr>
        <w:ind w:firstLine="238"/>
      </w:pPr>
      <w:r>
        <w:rPr>
          <w:rFonts w:cs="EB Garamond"/>
          <w:kern w:val="16"/>
          <w14:ligatures w14:val="standardContextual"/>
        </w:rPr>
        <w:t>O art. 20, § 1º, da LOAS (com redação da Lei n. 12.435/2011) define família, para fins do BPC, como "o conjunto de pessoas que vivem sob o mesmo teto", composto pelo requerente, cônjuge ou companheiro, pais (e, na ausência de um deles, a madrasta ou o padrasto), irmãos solteiros, filhos e enteados solteiros e menores tutelados, desde que vivam sob o mesmo teto. A definição legal é restritiva se comparada ao conceito amplo de família adotado pelo Código Civil e pela jurisprudência de direito de família. Apenas coabitantes nas relações elencadas pela lei integram o grupo familiar para fins de cálculo da renda per capita.</w:t>
      </w:r>
    </w:p>
    <w:p w14:paraId="52AF9B4A" w14:textId="77777777" w:rsidR="005A5FCC" w:rsidRDefault="00A21C81">
      <w:pPr>
        <w:ind w:firstLine="238"/>
      </w:pPr>
      <w:r>
        <w:rPr>
          <w:rFonts w:cs="EB Garamond"/>
          <w:kern w:val="16"/>
          <w14:ligatures w14:val="standardContextual"/>
        </w:rPr>
        <w:t xml:space="preserve">A coabitação é requisito essencial. Membros da família que residem em domicílio diferente do requerente não são computados no grupo familiar, nem sua renda é considerada no cálculo. Um filho casado que reside em outro município, por exemplo, não integra o grupo familiar do genitor idoso para fins do BPC, </w:t>
      </w:r>
      <w:r>
        <w:rPr>
          <w:rFonts w:cs="EB Garamond"/>
          <w:kern w:val="16"/>
          <w14:ligatures w14:val="standardContextual"/>
        </w:rPr>
        <w:lastRenderedPageBreak/>
        <w:t>mesmo que contribua informalmente para o sustento. A obrigação alimentar prevista no Código Civil não se confunde com a composição do grupo familiar para o BPC: a lei assistencial adota critério objetivo de coabitação, e não o critério subjetivo da obrigação civil de alimentos.</w:t>
      </w:r>
    </w:p>
    <w:tbl>
      <w:tblPr>
        <w:tblW w:w="5000" w:type="pct"/>
        <w:jc w:val="center"/>
        <w:tblLayout w:type="fixed"/>
        <w:tblLook w:val="04A0" w:firstRow="1" w:lastRow="0" w:firstColumn="1" w:lastColumn="0" w:noHBand="0" w:noVBand="1"/>
      </w:tblPr>
      <w:tblGrid>
        <w:gridCol w:w="6311"/>
      </w:tblGrid>
      <w:tr w:rsidR="005A5FCC" w14:paraId="5F10BCAB"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35E556A7"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3A3A064E" w14:textId="77777777" w:rsidR="005A5FCC" w:rsidRDefault="00A21C81">
            <w:pPr>
              <w:spacing w:after="60" w:line="247" w:lineRule="auto"/>
            </w:pPr>
            <w:r>
              <w:rPr>
                <w:rFonts w:cs="EB Garamond"/>
                <w:kern w:val="16"/>
                <w:sz w:val="19"/>
                <w14:ligatures w14:val="standardContextual"/>
              </w:rPr>
              <w:t>A composição do grupo familiar deve ser verificada por meio de estudo social, realizado preferencialmente por assistente social. No âmbito do INSS, o estudo social é realizado pelo servidor do serviço social da agência. No âmbito judicial, o juiz pode nomear assistente social como perito ou requisitar relatório socioeconômico ao serviço social da Justiça Federal. É recomendável que o estudo social contemple: (a) relação de todos os moradores do domicílio, com idades e grau de parentesco; (b) renda de cada morador, discriminando fontes (trabalho, benefícios, transferências); (c) condições de moradia (propriedade, aluguel, cessão, material da construção); (d) despesas fixas relevantes (medicamentos, tratamentos, aluguel, energia, água); (e) condições gerais de vida. Esses elementos permitem ao juiz avaliar não apenas o critério aritmético da renda per capita, mas a real condição de vulnerabilidade da família.</w:t>
            </w:r>
          </w:p>
        </w:tc>
      </w:tr>
    </w:tbl>
    <w:p w14:paraId="2022E043" w14:textId="77777777" w:rsidR="005A5FCC" w:rsidRDefault="005A5FCC">
      <w:pPr>
        <w:spacing w:after="80" w:line="240" w:lineRule="auto"/>
      </w:pPr>
    </w:p>
    <w:p w14:paraId="750232A5"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705DC8A4" w14:textId="77777777" w:rsidR="005A5FCC" w:rsidRDefault="00A21C81">
      <w:r>
        <w:rPr>
          <w:rFonts w:cs="EB Garamond"/>
          <w:kern w:val="16"/>
          <w14:ligatures w14:val="standardContextual"/>
        </w:rPr>
        <w:t xml:space="preserve"> exclusão de filhos casados ou que constituíram família própria, mesmo que residam no mesmo terreno (em casas separadas), é ponto sensível. A jurisprudência consolidou que a expressão "sob o mesmo teto" refere-se ao domicílio, e não ao terreno ou à propriedade. Famílias que residem em casas distintas, ainda que contíguas, no mesmo lote, constituem grupos familiares autônomos para fins do BPC, desde que cada unidade habitacional possua autonomia funcional (cozinha, banheiro, entrada independente).</w:t>
      </w:r>
    </w:p>
    <w:p w14:paraId="58E74093" w14:textId="77777777" w:rsidR="005A5FCC" w:rsidRDefault="00A21C81">
      <w:pPr>
        <w:ind w:firstLine="238"/>
      </w:pPr>
      <w:r>
        <w:rPr>
          <w:rFonts w:cs="EB Garamond"/>
          <w:kern w:val="16"/>
          <w14:ligatures w14:val="standardContextual"/>
        </w:rPr>
        <w:t xml:space="preserve">A questão do genro e da nora que residem no mesmo domicílio do requerente é frequente. Embora o art. 20, § 1º, da LOAS não mencione expressamente genros e noras, a jurisprudência tem admitido sua exclusão do grupo familiar quando possuem renda própria e constituem núcleo familiar distinto dentro do mesmo domicílio. A análise, porém, depende das circunstâncias concretas: se genro ou nora contribuem efetivamente para o sustento do requerente e compartilham despesas domésticas de forma indissociável, sua inclusão no grupo familiar pode </w:t>
      </w:r>
      <w:r>
        <w:rPr>
          <w:rFonts w:cs="EB Garamond"/>
          <w:kern w:val="16"/>
          <w14:ligatures w14:val="standardContextual"/>
        </w:rPr>
        <w:lastRenderedPageBreak/>
        <w:t>ser justificada. O estudo social é o instrumento adequado para esclarecer a dinâmica familiar.</w:t>
      </w:r>
    </w:p>
    <w:tbl>
      <w:tblPr>
        <w:tblW w:w="5000" w:type="pct"/>
        <w:jc w:val="center"/>
        <w:tblLayout w:type="fixed"/>
        <w:tblLook w:val="04A0" w:firstRow="1" w:lastRow="0" w:firstColumn="1" w:lastColumn="0" w:noHBand="0" w:noVBand="1"/>
      </w:tblPr>
      <w:tblGrid>
        <w:gridCol w:w="6311"/>
      </w:tblGrid>
      <w:tr w:rsidR="005A5FCC" w14:paraId="20981D60"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3AA53120"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6E5A7DC7" w14:textId="77777777" w:rsidR="005A5FCC" w:rsidRDefault="00A21C81">
            <w:pPr>
              <w:spacing w:after="60" w:line="247" w:lineRule="auto"/>
            </w:pPr>
            <w:r>
              <w:rPr>
                <w:rFonts w:cs="EB Garamond"/>
                <w:kern w:val="16"/>
                <w:sz w:val="19"/>
                <w14:ligatures w14:val="standardContextual"/>
              </w:rPr>
              <w:t>A renda de membro do grupo familiar que não declara imposto de renda e exerce atividade informal gera dificuldade probatória na aferição da renda per capita. O INSS frequentemente utiliza dados do CNIS (Cadastro Nacional de Informações Sociais), da RAIS (Relação Anual de Informações Sociais) e do CadÚnico para verificar a renda da família. Contudo, essas bases de dados nem sempre refletem a situação real, especialmente em contextos de informalidade laboral. O juiz deve estar atento à possibilidade de sub-registro (que subestima a renda) e de sobre-registro (que imputa renda inexistente, como vínculos encerrados que permanecem no CNIS). A declaração do próprio requerente sobre a renda familiar, corroborada pelo estudo social e pelas circunstâncias visíveis de vida, é meio probatório legítimo que não pode ser descartado pela mera alegação de incompatibilidade com dados cadastrais desatualizados.</w:t>
            </w:r>
          </w:p>
        </w:tc>
      </w:tr>
    </w:tbl>
    <w:p w14:paraId="06ABBCE0" w14:textId="77777777" w:rsidR="005A5FCC" w:rsidRDefault="005A5FCC">
      <w:pPr>
        <w:spacing w:after="80" w:line="240" w:lineRule="auto"/>
      </w:pPr>
    </w:p>
    <w:p w14:paraId="05799E6B"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18.11 Exclusões da renda per capita familiar</w:t>
      </w:r>
    </w:p>
    <w:p w14:paraId="25BF157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2EA71840" w14:textId="77777777" w:rsidR="005A5FCC" w:rsidRDefault="00A21C81">
      <w:r>
        <w:rPr>
          <w:rFonts w:cs="EB Garamond"/>
          <w:kern w:val="16"/>
          <w14:ligatures w14:val="standardContextual"/>
        </w:rPr>
        <w:t xml:space="preserve"> determinação da renda per capita familiar para fins do BPC sofreu significativa evolução legislativa e jurisprudencial. Diversas parcelas que, em princípio, integrariam a renda familiar passaram a ser excluídas do cálculo, por força de lei ou de interpretação judicial.</w:t>
      </w:r>
    </w:p>
    <w:p w14:paraId="5B5A148F" w14:textId="4F039FE8" w:rsidR="005A5FCC" w:rsidRDefault="00A21C81">
      <w:pPr>
        <w:ind w:firstLine="238"/>
      </w:pPr>
      <w:r>
        <w:rPr>
          <w:rFonts w:cs="EB Garamond"/>
          <w:kern w:val="16"/>
          <w14:ligatures w14:val="standardContextual"/>
        </w:rPr>
        <w:t xml:space="preserve">O regime de exclusões do art. 20 da LOAS prevê que o benefício de prestação continuada já concedido a membro do grupo familiar que seja pessoa com deficiência (ou idoso) não será computado, até o limite de um </w:t>
      </w:r>
      <w:r w:rsidR="000D07E1">
        <w:rPr>
          <w:rFonts w:cs="EB Garamond"/>
          <w:kern w:val="16"/>
          <w14:ligatures w14:val="standardContextual"/>
        </w:rPr>
        <w:t>salário-mínimo</w:t>
      </w:r>
      <w:r>
        <w:rPr>
          <w:rFonts w:cs="EB Garamond"/>
          <w:kern w:val="16"/>
          <w14:ligatures w14:val="standardContextual"/>
        </w:rPr>
        <w:t>, para fins de cálculo da renda per capita familiar. Essa exclusão — hoje positivada no art. 20, § 14, V, da LOAS, não se confundindo com a vedação de acumulação do § 4º, examinada na seção 18.20 — decorre da natureza do BPC: o benefício se destina a cobrir as necessidades específicas da pessoa com deficiência, e sua inclusão na renda familiar criaria círculo vicioso em que a concessão do BPC a um membro impediria a concessão a outro membro do mesmo grupo familiar que preenchesse os requisitos.</w:t>
      </w:r>
    </w:p>
    <w:p w14:paraId="29D38C77" w14:textId="77777777" w:rsidR="005A5FCC" w:rsidRDefault="00A21C81">
      <w:pPr>
        <w:ind w:firstLine="238"/>
      </w:pPr>
      <w:r>
        <w:rPr>
          <w:rFonts w:cs="EB Garamond"/>
          <w:kern w:val="16"/>
          <w14:ligatures w14:val="standardContextual"/>
        </w:rPr>
        <w:lastRenderedPageBreak/>
        <w:t>O rol de exclusões da renda foi significativamente ampliado pela Lei n. 13.982, de 2 de abril de 2020. Editada no contexto do enfrentamento da pandemia de COVID-19, essa lei acrescentou ao art. 20 da LOAS os §§ 11, 14 e 15, inicialmente sob a roupagem de medida emergencial, mas com efeitos que se tornaram permanentes no regime do benefício. O art. 20, § 14, ali introduzido, determina que não são computados como renda mensal bruta familiar, para fins de aferição do critério de renda per capita: (I) benefícios e auxílios assistenciais de natureza eventual ou temporária; (II) valores oriundos de programas sociais de transferência de renda (Bolsa Família e similares); (III) rendas de natureza eventual ou sazonal; (IV) remuneração da pessoa com deficiência na condição de aprendiz, limitada ao período de dois anos; (V) benefício previdenciário ou assistencial no valor de até um salário mínimo concedido a membro do grupo familiar que seja idoso ou pessoa com deficiência; (VI) rendimentos decorrentes de estágio supervisionado e de aprendizagem. A Lei n. 14.176/2021, posterior, não criou o § 14, mas consolidou e aperfeiçoou o regime de exclusões e a sistemática correlata (especialmente os critérios de composição do grupo familiar e a previsão do art. 20-B), conferindo-lhe contornos definitivos.</w:t>
      </w:r>
    </w:p>
    <w:p w14:paraId="33C074E4" w14:textId="77777777" w:rsidR="005A5FCC" w:rsidRDefault="00A21C81">
      <w:pPr>
        <w:ind w:firstLine="238"/>
      </w:pPr>
      <w:r>
        <w:rPr>
          <w:rFonts w:cs="EB Garamond"/>
          <w:kern w:val="16"/>
          <w14:ligatures w14:val="standardContextual"/>
        </w:rPr>
        <w:t>O Decreto n. 12.534/2025, editado pelo Poder Executivo, introduziu controvérsia relevante ao alterar o Decreto n. 6.214/2007 para incluir o valor do Bolsa Família no cálculo da renda per capita para fins de BPC. A medida é contestada judicialmente em larga escala: juízes federais e o TRF da 3ª Região vêm afastando sua aplicação por entender que o decreto extrapola o poder regulamentar e inova contra a própria LOAS, cujo art. 20, § 14, inciso II, exclui expressamente os valores oriundos de programas sociais de transferência de renda do cálculo da renda familiar. A inclusão do Bolsa Família na conta da renda per capita, se mantida, poderá gerar cessação de milhares de BPCs ativos. Entendemos que a posição dos tribunais que afastam o decreto é correta: não pode o regulamento contrariar a lei que pretende regulamentar.</w:t>
      </w:r>
    </w:p>
    <w:p w14:paraId="7951297D" w14:textId="1744AC9F" w:rsidR="005A5FCC" w:rsidRDefault="00A21C81">
      <w:pPr>
        <w:ind w:firstLine="238"/>
      </w:pPr>
      <w:r>
        <w:rPr>
          <w:rFonts w:cs="EB Garamond"/>
          <w:kern w:val="16"/>
          <w14:ligatures w14:val="standardContextual"/>
        </w:rPr>
        <w:t xml:space="preserve">A exclusão prevista no inciso V do § 14 merece atenção especial. Ao excluir do cálculo qualquer benefício previdenciário ou assistencial de até um </w:t>
      </w:r>
      <w:r w:rsidR="004B08F0">
        <w:rPr>
          <w:rFonts w:cs="EB Garamond"/>
          <w:kern w:val="16"/>
          <w14:ligatures w14:val="standardContextual"/>
        </w:rPr>
        <w:t>salário-mínimo</w:t>
      </w:r>
      <w:r>
        <w:rPr>
          <w:rFonts w:cs="EB Garamond"/>
          <w:kern w:val="16"/>
          <w14:ligatures w14:val="standardContextual"/>
        </w:rPr>
        <w:t xml:space="preserve"> concedido a membro do grupo familiar idoso ou com deficiência, a lei superou a controvérsia que motivara a declaração de inconstitucionalidade do parágrafo único do art. 34 do Estatuto do Idoso pelo STF (RE 580.963). Antes da </w:t>
      </w:r>
      <w:r>
        <w:rPr>
          <w:rFonts w:cs="EB Garamond"/>
          <w:kern w:val="16"/>
          <w14:ligatures w14:val="standardContextual"/>
        </w:rPr>
        <w:lastRenderedPageBreak/>
        <w:t>alteração legislativa, apenas o BPC de idoso era excluído (por força do art. 34 do Estatuto), gerando tratamento desigual em relação a pessoas com deficiência e a beneficiários de aposentadoria no valor mínimo. A regra do inciso V — introduzida pela Lei n. 13.982/2020 e mantida pela Lei n. 14.176/2021 — unificou o tratamento, excluindo do cálculo tanto o BPC quanto a aposentadoria de valor mínimo, desde que o titular seja idoso ou pessoa com deficiência.</w:t>
      </w:r>
    </w:p>
    <w:tbl>
      <w:tblPr>
        <w:tblW w:w="5000" w:type="pct"/>
        <w:jc w:val="center"/>
        <w:tblLayout w:type="fixed"/>
        <w:tblLook w:val="04A0" w:firstRow="1" w:lastRow="0" w:firstColumn="1" w:lastColumn="0" w:noHBand="0" w:noVBand="1"/>
      </w:tblPr>
      <w:tblGrid>
        <w:gridCol w:w="6311"/>
      </w:tblGrid>
      <w:tr w:rsidR="005A5FCC" w14:paraId="49C3F10A"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39B1985F" w14:textId="77777777" w:rsidR="005A5FCC" w:rsidRDefault="00A21C81">
            <w:pPr>
              <w:spacing w:after="60" w:line="240" w:lineRule="auto"/>
              <w:jc w:val="left"/>
            </w:pPr>
            <w:r>
              <w:rPr>
                <w:rFonts w:ascii="Noto Sans" w:hAnsi="Noto Sans" w:cs="Noto Sans"/>
                <w:b/>
                <w:caps/>
                <w:color w:val="4D6F8A"/>
                <w:kern w:val="16"/>
                <w:sz w:val="16"/>
                <w14:ligatures w14:val="standardContextual"/>
              </w:rPr>
              <w:t>JURISPRUDÊNCIA EM DESTAQUE</w:t>
            </w:r>
          </w:p>
          <w:p w14:paraId="6D2F4701" w14:textId="77777777" w:rsidR="005A5FCC" w:rsidRDefault="00A21C81">
            <w:pPr>
              <w:spacing w:after="60" w:line="247" w:lineRule="auto"/>
            </w:pPr>
            <w:r>
              <w:rPr>
                <w:rFonts w:cs="EB Garamond"/>
                <w:b/>
                <w:kern w:val="16"/>
                <w:sz w:val="19"/>
                <w14:ligatures w14:val="standardContextual"/>
              </w:rPr>
              <w:t>STF, RE 580.963/PR, Tema 312 (repercussão geral, j. 18/04/2013, DJe 14/11/2013)</w:t>
            </w:r>
            <w:r>
              <w:rPr>
                <w:rFonts w:cs="EB Garamond"/>
                <w:kern w:val="16"/>
                <w:sz w:val="19"/>
                <w14:ligatures w14:val="standardContextual"/>
              </w:rPr>
              <w:t>: O Supremo Tribunal Federal declarou a inconstitucionalidade, sem pronúncia de nulidade, do parágrafo único do art. 34 do Estatuto do Idoso, por violar o princípio da isonomia ao excluir do cálculo da renda per capita apenas o BPC de idoso, discriminando pessoas com deficiência na mesma situação. O julgamento determinou a extensão analógica da exclusão a todos os benefícios assistenciais e previdenciários de valor mínimo, independentemente da condição (idade ou deficiência) do titular. A Lei n. 14.176/2021, ao positivar essa extensão, conferiu segurança jurídica ao entendimento que já vigorava na prática dos JEFs.</w:t>
            </w:r>
          </w:p>
        </w:tc>
      </w:tr>
    </w:tbl>
    <w:p w14:paraId="7D02FA40" w14:textId="77777777" w:rsidR="005A5FCC" w:rsidRDefault="005A5FCC">
      <w:pPr>
        <w:spacing w:after="80" w:line="240" w:lineRule="auto"/>
      </w:pPr>
    </w:p>
    <w:p w14:paraId="76475F7C"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2B270A2A" w14:textId="77777777" w:rsidR="005A5FCC" w:rsidRDefault="00A21C81">
      <w:r>
        <w:rPr>
          <w:rFonts w:cs="EB Garamond"/>
          <w:kern w:val="16"/>
          <w14:ligatures w14:val="standardContextual"/>
        </w:rPr>
        <w:t>lém das exclusões legais, a jurisprudência reconhece a possibilidade de desconsiderar do cálculo da renda per capita parcelas que, embora formalmente integrem a renda familiar, não revelam capacidade econômica real. Gastos comprovados com medicamentos de uso contínuo, tratamentos médicos indispensáveis e fraldas geriátricas, por exemplo, podem ser abatidos da renda bruta para a aferição da miserabilidade, quando demonstrado que essas despesas são imprescindíveis e consomem parcela significativa da renda. Essa orientação, embora não positivada em lei, encontra respaldo na jurisprudência dos TRFs e da TNU como desdobramento do princípio da dignidade da pessoa humana e da efetividade do direito à assistência social.</w:t>
      </w:r>
    </w:p>
    <w:p w14:paraId="13BDB950" w14:textId="3203AD89"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 xml:space="preserve">18.12 Relativização judicial do critério de 1/4 do </w:t>
      </w:r>
      <w:r w:rsidR="004B08F0">
        <w:rPr>
          <w:rFonts w:cs="EB Garamond"/>
          <w:b/>
          <w:color w:val="3A3128"/>
          <w:kern w:val="16"/>
          <w:sz w:val="31"/>
          <w14:ligatures w14:val="standardContextual"/>
        </w:rPr>
        <w:t>salário-mínimo</w:t>
      </w:r>
    </w:p>
    <w:p w14:paraId="707AF38C"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37DE389F" w14:textId="793AC4DC" w:rsidR="005A5FCC" w:rsidRDefault="00A21C81">
      <w:r>
        <w:rPr>
          <w:rFonts w:cs="EB Garamond"/>
          <w:kern w:val="16"/>
          <w14:ligatures w14:val="standardContextual"/>
        </w:rPr>
        <w:t xml:space="preserve"> questão da constitucionalidade do critério de renda de 1/4 do </w:t>
      </w:r>
      <w:r w:rsidR="004B08F0">
        <w:rPr>
          <w:rFonts w:cs="EB Garamond"/>
          <w:kern w:val="16"/>
          <w14:ligatures w14:val="standardContextual"/>
        </w:rPr>
        <w:t>salário-mínimo</w:t>
      </w:r>
      <w:r>
        <w:rPr>
          <w:rFonts w:cs="EB Garamond"/>
          <w:kern w:val="16"/>
          <w14:ligatures w14:val="standardContextual"/>
        </w:rPr>
        <w:t xml:space="preserve"> para a aferição da miserabilidade percorreu longo caminho no STF, sendo um dos temas mais relevantes do direito assistencial brasileiro. A trajetória jurisprudencial revela a tensão entre a segurança jurídica proporcionada por critérios objetivos e a necessidade de justiça material na avaliação da vulnerabilidade social.</w:t>
      </w:r>
    </w:p>
    <w:p w14:paraId="632F01DA" w14:textId="1813FFEA" w:rsidR="005A5FCC" w:rsidRDefault="00A21C81">
      <w:pPr>
        <w:ind w:firstLine="238"/>
      </w:pPr>
      <w:r>
        <w:rPr>
          <w:rFonts w:cs="EB Garamond"/>
          <w:kern w:val="16"/>
          <w14:ligatures w14:val="standardContextual"/>
        </w:rPr>
        <w:t xml:space="preserve">Em 1998, o STF julgou a ADI 1.232/DF, proposta pelo Procurador-Geral da República, e declarou constitucional o critério de 1/4 do </w:t>
      </w:r>
      <w:r w:rsidR="004B08F0">
        <w:rPr>
          <w:rFonts w:cs="EB Garamond"/>
          <w:kern w:val="16"/>
          <w14:ligatures w14:val="standardContextual"/>
        </w:rPr>
        <w:t>salário-mínimo</w:t>
      </w:r>
      <w:r>
        <w:rPr>
          <w:rFonts w:cs="EB Garamond"/>
          <w:kern w:val="16"/>
          <w14:ligatures w14:val="standardContextual"/>
        </w:rPr>
        <w:t xml:space="preserve"> previsto no art. 20, § 3º, da LOAS. O entendimento, à época, foi de que o critério legal constituía parâmetro objetivo legítimo para a aferição da miserabilidade, sem que houvesse violação à Constituição. A decisão provocou reação de parte significativa da doutrina e da jurisprudência de primeiro grau, que considerou o critério excessivamente restritivo e incompatível com a realidade socioeconômica brasileira.</w:t>
      </w:r>
    </w:p>
    <w:p w14:paraId="1D66FD16" w14:textId="05D2D1F2" w:rsidR="005A5FCC" w:rsidRDefault="00A21C81">
      <w:pPr>
        <w:ind w:firstLine="238"/>
      </w:pPr>
      <w:r>
        <w:rPr>
          <w:rFonts w:cs="EB Garamond"/>
          <w:kern w:val="16"/>
          <w14:ligatures w14:val="standardContextual"/>
        </w:rPr>
        <w:t xml:space="preserve">A mudança de paradigma veio com o julgamento do RE 567.985/MT (Tema 27 da repercussão geral), em 18/04/2013, em que o STF declarou a inconstitucionalidade, sem pronúncia de nulidade, do art. 20, § 3º, da LOAS. Embora a relatoria originária coubesse ao Min. Marco Aurélio, prevaleceu o entendimento conduzido pelo Min. Gilmar Mendes, redator do acórdão, assentado na tese de que o critério de 1/4 do </w:t>
      </w:r>
      <w:r w:rsidR="004B08F0">
        <w:rPr>
          <w:rFonts w:cs="EB Garamond"/>
          <w:kern w:val="16"/>
          <w14:ligatures w14:val="standardContextual"/>
        </w:rPr>
        <w:t>salário-mínimo</w:t>
      </w:r>
      <w:r>
        <w:rPr>
          <w:rFonts w:cs="EB Garamond"/>
          <w:kern w:val="16"/>
          <w14:ligatures w14:val="standardContextual"/>
        </w:rPr>
        <w:t xml:space="preserve"> sofreu "processo de inconstitucionalização": embora constitucional quando instituído, tornou-se defasado em face das mudanças socioeconômicas do país e da evolução dos programas de proteção social, que adotaram critérios de renda mais generosos (como o meio </w:t>
      </w:r>
      <w:r w:rsidR="00C0541B">
        <w:rPr>
          <w:rFonts w:cs="EB Garamond"/>
          <w:kern w:val="16"/>
          <w14:ligatures w14:val="standardContextual"/>
        </w:rPr>
        <w:t>salário-mínimo</w:t>
      </w:r>
      <w:r>
        <w:rPr>
          <w:rFonts w:cs="EB Garamond"/>
          <w:kern w:val="16"/>
          <w14:ligatures w14:val="standardContextual"/>
        </w:rPr>
        <w:t xml:space="preserve"> do Bolsa Família).</w:t>
      </w:r>
    </w:p>
    <w:tbl>
      <w:tblPr>
        <w:tblW w:w="5000" w:type="pct"/>
        <w:jc w:val="center"/>
        <w:tblLayout w:type="fixed"/>
        <w:tblLook w:val="04A0" w:firstRow="1" w:lastRow="0" w:firstColumn="1" w:lastColumn="0" w:noHBand="0" w:noVBand="1"/>
      </w:tblPr>
      <w:tblGrid>
        <w:gridCol w:w="6311"/>
      </w:tblGrid>
      <w:tr w:rsidR="005A5FCC" w14:paraId="29CEC6FA"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1307F642" w14:textId="77777777" w:rsidR="005A5FCC" w:rsidRDefault="00A21C81">
            <w:pPr>
              <w:spacing w:after="60" w:line="240" w:lineRule="auto"/>
              <w:jc w:val="left"/>
            </w:pPr>
            <w:r>
              <w:rPr>
                <w:rFonts w:ascii="Noto Sans" w:hAnsi="Noto Sans" w:cs="Noto Sans"/>
                <w:b/>
                <w:caps/>
                <w:color w:val="4D6F8A"/>
                <w:kern w:val="16"/>
                <w:sz w:val="16"/>
                <w14:ligatures w14:val="standardContextual"/>
              </w:rPr>
              <w:lastRenderedPageBreak/>
              <w:t>JURISPRUDÊNCIA EM DESTAQUE</w:t>
            </w:r>
          </w:p>
          <w:p w14:paraId="337EFD79" w14:textId="720C1A6F" w:rsidR="005A5FCC" w:rsidRDefault="00A21C81">
            <w:pPr>
              <w:spacing w:after="60" w:line="247" w:lineRule="auto"/>
            </w:pPr>
            <w:r>
              <w:rPr>
                <w:rFonts w:cs="EB Garamond"/>
                <w:b/>
                <w:kern w:val="16"/>
                <w:sz w:val="19"/>
                <w14:ligatures w14:val="standardContextual"/>
              </w:rPr>
              <w:t>STF, RE 567.985/MT (Tema 27, DJe 03/10/2013)</w:t>
            </w:r>
            <w:r>
              <w:rPr>
                <w:rFonts w:cs="EB Garamond"/>
                <w:kern w:val="16"/>
                <w:sz w:val="19"/>
                <w14:ligatures w14:val="standardContextual"/>
              </w:rPr>
              <w:t xml:space="preserve">: "Declaração de inconstitucionalidade parcial, sem pronúncia de nulidade, do art. 20, § 3º, da Lei 8.742/1993." O STF reconheceu que o critério de 1/4 do </w:t>
            </w:r>
            <w:r w:rsidR="00C0541B">
              <w:rPr>
                <w:rFonts w:cs="EB Garamond"/>
                <w:kern w:val="16"/>
                <w:sz w:val="19"/>
                <w14:ligatures w14:val="standardContextual"/>
              </w:rPr>
              <w:t>salário-mínimo</w:t>
            </w:r>
            <w:r>
              <w:rPr>
                <w:rFonts w:cs="EB Garamond"/>
                <w:kern w:val="16"/>
                <w:sz w:val="19"/>
                <w14:ligatures w14:val="standardContextual"/>
              </w:rPr>
              <w:t xml:space="preserve"> não é mais compatível com a Constituição como critério absoluto e exclusivo de miserabilidade, embora possa servir como parâmetro orientador. A decisão autorizou juízes e tribunais a considerar outros elementos probatórios para a aferição da vulnerabilidade econômica, superando a rigidez do critério legal. Na prática dos JEFs, o julgamento abriu caminho para a concessão do BPC a requerentes cuja renda per capita supera 1/4 do </w:t>
            </w:r>
            <w:r w:rsidR="00C0541B">
              <w:rPr>
                <w:rFonts w:cs="EB Garamond"/>
                <w:kern w:val="16"/>
                <w:sz w:val="19"/>
                <w14:ligatures w14:val="standardContextual"/>
              </w:rPr>
              <w:t>salário-mínimo</w:t>
            </w:r>
            <w:r>
              <w:rPr>
                <w:rFonts w:cs="EB Garamond"/>
                <w:kern w:val="16"/>
                <w:sz w:val="19"/>
                <w14:ligatures w14:val="standardContextual"/>
              </w:rPr>
              <w:t>, quando demonstrada, por outros meios, a condição de miserabilidade.</w:t>
            </w:r>
          </w:p>
        </w:tc>
      </w:tr>
    </w:tbl>
    <w:p w14:paraId="7CB42B40" w14:textId="77777777" w:rsidR="005A5FCC" w:rsidRDefault="005A5FCC">
      <w:pPr>
        <w:spacing w:after="80" w:line="240" w:lineRule="auto"/>
      </w:pPr>
    </w:p>
    <w:p w14:paraId="26EC2C9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4D7662F5" w14:textId="3C330A53" w:rsidR="005A5FCC" w:rsidRDefault="00A21C81">
      <w:r>
        <w:rPr>
          <w:rFonts w:cs="EB Garamond"/>
          <w:kern w:val="16"/>
          <w14:ligatures w14:val="standardContextual"/>
        </w:rPr>
        <w:t xml:space="preserve"> técnica de decisão adotada pelo STF, a "declaração de inconstitucionalidade sem pronúncia de nulidade", merece nota. Ao invés de simplesmente anular o dispositivo legal (o que deixaria o sistema sem qualquer parâmetro objetivo), o STF manteve a norma em vigor, mas autorizou sua superação no caso concreto, quando outros elementos probatórios demonstrassem a miserabilidade. O resultado prático é que o critério de 1/4 do </w:t>
      </w:r>
      <w:r w:rsidR="00C0541B">
        <w:rPr>
          <w:rFonts w:cs="EB Garamond"/>
          <w:kern w:val="16"/>
          <w14:ligatures w14:val="standardContextual"/>
        </w:rPr>
        <w:t>salário-mínimo</w:t>
      </w:r>
      <w:r>
        <w:rPr>
          <w:rFonts w:cs="EB Garamond"/>
          <w:kern w:val="16"/>
          <w14:ligatures w14:val="standardContextual"/>
        </w:rPr>
        <w:t xml:space="preserve"> continua operando como presunção absoluta de miserabilidade (toda renda per capita inferior a esse patamar gera direito ao BPC), mas deixou de funcionar como critério excludente (renda per capita superior a 1/4 não impede, por si só, a concessão).</w:t>
      </w:r>
    </w:p>
    <w:p w14:paraId="51BF3841" w14:textId="1B852E45"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 xml:space="preserve">18.13 STJ, </w:t>
      </w:r>
      <w:r w:rsidR="00C0541B">
        <w:rPr>
          <w:rFonts w:cs="EB Garamond"/>
          <w:b/>
          <w:color w:val="3A3128"/>
          <w:kern w:val="16"/>
          <w:sz w:val="31"/>
          <w14:ligatures w14:val="standardContextual"/>
        </w:rPr>
        <w:t>T</w:t>
      </w:r>
      <w:r>
        <w:rPr>
          <w:rFonts w:cs="EB Garamond"/>
          <w:b/>
          <w:color w:val="3A3128"/>
          <w:kern w:val="16"/>
          <w:sz w:val="31"/>
          <w14:ligatures w14:val="standardContextual"/>
        </w:rPr>
        <w:t>ema 185: presunção relativa de miserabilidade</w:t>
      </w:r>
    </w:p>
    <w:p w14:paraId="2FDDFAFE"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71F2B2E5" w14:textId="77777777" w:rsidR="005A5FCC" w:rsidRDefault="00A21C81">
      <w:r>
        <w:rPr>
          <w:rFonts w:cs="EB Garamond"/>
          <w:kern w:val="16"/>
          <w14:ligatures w14:val="standardContextual"/>
        </w:rPr>
        <w:t xml:space="preserve"> Superior Tribunal de Justiça, no julgamento do Tema 185 dos recursos repetitivos (REsp 1.112.557/MG, rel. Min. Napoleão Nunes Maia Filho, DJe 20/11/2009), firmou tese complementar ao entendimento do STF. O STJ fixou que "a limitação do valor da renda per capita familiar não deve ser considerada a única forma de se comprovar que a pessoa não possui outros meios para prover a própria manutenção ou de tê-la provida por sua família, pois é apenas um elemento objetivo para se aferir a necessidade, ou seja, presunção objetiva e relativa de miserabilidade".</w:t>
      </w:r>
    </w:p>
    <w:p w14:paraId="06C5E61E" w14:textId="77777777" w:rsidR="005A5FCC" w:rsidRDefault="00A21C81">
      <w:pPr>
        <w:ind w:firstLine="238"/>
      </w:pPr>
      <w:r>
        <w:rPr>
          <w:rFonts w:cs="EB Garamond"/>
          <w:kern w:val="16"/>
          <w14:ligatures w14:val="standardContextual"/>
        </w:rPr>
        <w:lastRenderedPageBreak/>
        <w:t>O entendimento do STJ antecedeu, cronologicamente, o julgamento do Tema 27 pelo STF (2013), mas é plenamente compatível com ele. Enquanto o STF declarou a inconstitucionalidade do critério como parâmetro exclusivo, o STJ fixou a natureza do critério como presunção relativa, que admite prova em contrário. A combinação dos dois entendimentos produz o seguinte quadro normativo:</w:t>
      </w:r>
    </w:p>
    <w:p w14:paraId="7119C82A" w14:textId="1ECC7691" w:rsidR="005A5FCC" w:rsidRDefault="00A21C81">
      <w:pPr>
        <w:ind w:firstLine="238"/>
      </w:pPr>
      <w:r>
        <w:rPr>
          <w:rFonts w:cs="EB Garamond"/>
          <w:kern w:val="16"/>
          <w14:ligatures w14:val="standardContextual"/>
        </w:rPr>
        <w:t xml:space="preserve">A renda per capita inferior a 1/4 do </w:t>
      </w:r>
      <w:r w:rsidR="00A1417A">
        <w:rPr>
          <w:rFonts w:cs="EB Garamond"/>
          <w:kern w:val="16"/>
          <w14:ligatures w14:val="standardContextual"/>
        </w:rPr>
        <w:t>salário-mínimo</w:t>
      </w:r>
      <w:r>
        <w:rPr>
          <w:rFonts w:cs="EB Garamond"/>
          <w:kern w:val="16"/>
          <w14:ligatures w14:val="standardContextual"/>
        </w:rPr>
        <w:t xml:space="preserve"> gera presunção absoluta de miserabilidade: o benefício deve ser concedido, dispensando prova adicional de vulnerabilidade. A renda per capita entre 1/4 e 1/2 do </w:t>
      </w:r>
      <w:r w:rsidR="00A1417A">
        <w:rPr>
          <w:rFonts w:cs="EB Garamond"/>
          <w:kern w:val="16"/>
          <w14:ligatures w14:val="standardContextual"/>
        </w:rPr>
        <w:t>salário-mínimo</w:t>
      </w:r>
      <w:r>
        <w:rPr>
          <w:rFonts w:cs="EB Garamond"/>
          <w:kern w:val="16"/>
          <w14:ligatures w14:val="standardContextual"/>
        </w:rPr>
        <w:t xml:space="preserve"> gera zona de análise individualizada: o juiz deve examinar as condições concretas de vida do requerente e de sua família, podendo conceder o BPC se demonstrada a miserabilidade por outros meios. A renda per capita superior a 1/2 do </w:t>
      </w:r>
      <w:r w:rsidR="00A1417A">
        <w:rPr>
          <w:rFonts w:cs="EB Garamond"/>
          <w:kern w:val="16"/>
          <w14:ligatures w14:val="standardContextual"/>
        </w:rPr>
        <w:t>salário-mínimo</w:t>
      </w:r>
      <w:r>
        <w:rPr>
          <w:rFonts w:cs="EB Garamond"/>
          <w:kern w:val="16"/>
          <w14:ligatures w14:val="standardContextual"/>
        </w:rPr>
        <w:t>, embora não impeça em tese a concessão, torna a demonstração da miserabilidade substancialmente mais difícil, exigindo prova robusta de circunstâncias excepcionais (gastos elevados com saúde, despesas com cuidador, condições de moradia precárias).</w:t>
      </w:r>
    </w:p>
    <w:p w14:paraId="0520E71A" w14:textId="5261DCEA" w:rsidR="005A5FCC" w:rsidRDefault="00A21C81">
      <w:pPr>
        <w:ind w:firstLine="238"/>
      </w:pPr>
      <w:r>
        <w:rPr>
          <w:rFonts w:cs="EB Garamond"/>
          <w:kern w:val="16"/>
          <w14:ligatures w14:val="standardContextual"/>
        </w:rPr>
        <w:t xml:space="preserve">Convém advertir que os patamares de 1/4 e de 1/2 do </w:t>
      </w:r>
      <w:r w:rsidR="00A1417A">
        <w:rPr>
          <w:rFonts w:cs="EB Garamond"/>
          <w:kern w:val="16"/>
          <w14:ligatures w14:val="standardContextual"/>
        </w:rPr>
        <w:t>salário-mínimo</w:t>
      </w:r>
      <w:r>
        <w:rPr>
          <w:rFonts w:cs="EB Garamond"/>
          <w:kern w:val="16"/>
          <w14:ligatures w14:val="standardContextual"/>
        </w:rPr>
        <w:t xml:space="preserve">, na via judicial, funcionam como referências probatórias — graus de exigência da prova da vulnerabilidade —, e não como limites legais excludentes. Após o Tema 27 do STF (que afastou o critério de 1/4 SM como parâmetro exclusivo) e o Tema 185 do STJ (que fixou a natureza meramente relativa da presunção de miserabilidade), inexiste teto rígido de 1/2 SM para a aferição judicial. A renda per capita superior a 1/2 do </w:t>
      </w:r>
      <w:r w:rsidR="00A1417A">
        <w:rPr>
          <w:rFonts w:cs="EB Garamond"/>
          <w:kern w:val="16"/>
          <w14:ligatures w14:val="standardContextual"/>
        </w:rPr>
        <w:t>salário-mínimo</w:t>
      </w:r>
      <w:r>
        <w:rPr>
          <w:rFonts w:cs="EB Garamond"/>
          <w:kern w:val="16"/>
          <w14:ligatures w14:val="standardContextual"/>
        </w:rPr>
        <w:t xml:space="preserve"> não impede, por si só, a concessão: torna apenas mais exigente o ônus de demonstrar, por meios concretos, a real condição de vulnerabilidade. A gradação proposta tem, portanto, valor didático e orientador da instrução, sem operar como barreira normativa intransponível.</w:t>
      </w:r>
    </w:p>
    <w:tbl>
      <w:tblPr>
        <w:tblW w:w="5000" w:type="pct"/>
        <w:jc w:val="center"/>
        <w:tblLayout w:type="fixed"/>
        <w:tblLook w:val="04A0" w:firstRow="1" w:lastRow="0" w:firstColumn="1" w:lastColumn="0" w:noHBand="0" w:noVBand="1"/>
      </w:tblPr>
      <w:tblGrid>
        <w:gridCol w:w="6311"/>
      </w:tblGrid>
      <w:tr w:rsidR="005A5FCC" w14:paraId="1CA54F3B"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5A4E7D07"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101F524F" w14:textId="2BAFA7B4" w:rsidR="005A5FCC" w:rsidRDefault="00A21C81">
            <w:pPr>
              <w:spacing w:after="60" w:line="247" w:lineRule="auto"/>
            </w:pPr>
            <w:r>
              <w:rPr>
                <w:rFonts w:cs="EB Garamond"/>
                <w:kern w:val="16"/>
                <w:sz w:val="19"/>
                <w14:ligatures w14:val="standardContextual"/>
              </w:rPr>
              <w:t xml:space="preserve">Na prática dos JEFs, a aferição da miserabilidade quando a renda per capita supera 1/4 do </w:t>
            </w:r>
            <w:r w:rsidR="00A1417A">
              <w:rPr>
                <w:rFonts w:cs="EB Garamond"/>
                <w:kern w:val="16"/>
                <w:sz w:val="19"/>
                <w14:ligatures w14:val="standardContextual"/>
              </w:rPr>
              <w:t>salário-mínimo</w:t>
            </w:r>
            <w:r>
              <w:rPr>
                <w:rFonts w:cs="EB Garamond"/>
                <w:kern w:val="16"/>
                <w:sz w:val="19"/>
                <w14:ligatures w14:val="standardContextual"/>
              </w:rPr>
              <w:t xml:space="preserve"> exige instrução probatória mais detalhada. O estudo socioeconômico, realizado por assistente social, constitui meio de prova preferencial para essa análise. O relatório deve contemplar não apenas a renda bruta da família, mas também: (a) despesas mensais fixas (aluguel, energia, água, gás, medicamentos); (b) gastos específicos com a pessoa idosa ou com deficiência (fraldas geriátricas, medicamentos de uso contínuo, transporte para tratamento, alimentação especial); (c) condições de moradia (precariedade, insalubridade, ausência de saneamento básico); (d) patrimônio (existência ou não de imóveis, veículos, poupança). A conjugação desses elementos permite ao juiz avaliar se a renda formalmente apurada reflete a real condição socioeconômica da família.</w:t>
            </w:r>
          </w:p>
        </w:tc>
      </w:tr>
    </w:tbl>
    <w:p w14:paraId="0CDD5C8F" w14:textId="77777777" w:rsidR="005A5FCC" w:rsidRDefault="005A5FCC">
      <w:pPr>
        <w:spacing w:after="80" w:line="240" w:lineRule="auto"/>
      </w:pPr>
    </w:p>
    <w:p w14:paraId="2334906D"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32955B19" w14:textId="725CF9E9" w:rsidR="005A5FCC" w:rsidRDefault="00A21C81">
      <w:r>
        <w:rPr>
          <w:rFonts w:cs="EB Garamond"/>
          <w:kern w:val="16"/>
          <w14:ligatures w14:val="standardContextual"/>
        </w:rPr>
        <w:t xml:space="preserve"> Lei n. 14.176/2021, ao criar o art. 20-B da LOAS, buscou dar contornos normativos a essa zona intermediária. O dispositivo autoriza o Poder Executivo, por regulamento, a ampliar o critério de renda per capita para até 1/2 do </w:t>
      </w:r>
      <w:r w:rsidR="00A1417A">
        <w:rPr>
          <w:rFonts w:cs="EB Garamond"/>
          <w:kern w:val="16"/>
          <w14:ligatures w14:val="standardContextual"/>
        </w:rPr>
        <w:t>salário-mínimo</w:t>
      </w:r>
      <w:r>
        <w:rPr>
          <w:rFonts w:cs="EB Garamond"/>
          <w:kern w:val="16"/>
          <w14:ligatures w14:val="standardContextual"/>
        </w:rPr>
        <w:t>, desde que considerados cumulativamente fatores indicativos do grau de vulnerabilidade: grau da deficiência; dependência de terceiros para o desempenho de atividades básicas; comprometimento do orçamento com despesas médicas e correlatas; capacidade de o membro da família de gerar renda; e acesso a serviços de assistência social e saúde. A regulamentação ainda não foi integralmente implementada, gerando incerteza sobre o alcance prático do dispositivo.</w:t>
      </w:r>
    </w:p>
    <w:p w14:paraId="26D49C16"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18.14 Composição do grupo familiar: questões específicas</w:t>
      </w:r>
    </w:p>
    <w:p w14:paraId="4574AED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28644673" w14:textId="77777777" w:rsidR="005A5FCC" w:rsidRDefault="00A21C81">
      <w:r>
        <w:rPr>
          <w:rFonts w:cs="EB Garamond"/>
          <w:kern w:val="16"/>
          <w14:ligatures w14:val="standardContextual"/>
        </w:rPr>
        <w:t xml:space="preserve"> composição do grupo familiar para fins do BPC suscita questões práticas que merecem exame individualizado. O art. 20, § 1º, da LOAS define família para fins do BPC de forma específica e restritiva, abrangendo apenas as pessoas que vivem sob o mesmo teto e mantêm determinado grau de parentesco com o requerente.</w:t>
      </w:r>
    </w:p>
    <w:p w14:paraId="29EF632D" w14:textId="4CFC30E3" w:rsidR="005A5FCC" w:rsidRDefault="00A21C81">
      <w:pPr>
        <w:ind w:firstLine="238"/>
      </w:pPr>
      <w:r>
        <w:rPr>
          <w:rFonts w:cs="EB Garamond"/>
          <w:kern w:val="16"/>
          <w14:ligatures w14:val="standardContextual"/>
        </w:rPr>
        <w:lastRenderedPageBreak/>
        <w:t xml:space="preserve">A pessoa com deficiência ou idosa que vive sozinha constitui grupo familiar de uma única pessoa. Nesse caso, apenas a renda própria é considerada no cálculo. A situação é comum entre idosos que vivem em moradias independentes após o falecimento do cônjuge e que não possuem renda além de eventual benefício previdenciário de valor mínimo. Se o benefício previdenciário for de até um </w:t>
      </w:r>
      <w:r w:rsidR="002150F4">
        <w:rPr>
          <w:rFonts w:cs="EB Garamond"/>
          <w:kern w:val="16"/>
          <w14:ligatures w14:val="standardContextual"/>
        </w:rPr>
        <w:t>salário-mínimo</w:t>
      </w:r>
      <w:r>
        <w:rPr>
          <w:rFonts w:cs="EB Garamond"/>
          <w:kern w:val="16"/>
          <w14:ligatures w14:val="standardContextual"/>
        </w:rPr>
        <w:t xml:space="preserve"> e o idoso for titular do benefício, a exclusão prevista no art. 20, § 14, V, da LOAS pode resultar em renda per capita zero, viabilizando a concessão do BPC.</w:t>
      </w:r>
    </w:p>
    <w:p w14:paraId="5FBC6E11" w14:textId="77777777" w:rsidR="005A5FCC" w:rsidRDefault="00A21C81">
      <w:pPr>
        <w:ind w:firstLine="238"/>
      </w:pPr>
      <w:r>
        <w:rPr>
          <w:rFonts w:cs="EB Garamond"/>
          <w:kern w:val="16"/>
          <w14:ligatures w14:val="standardContextual"/>
        </w:rPr>
        <w:t>A inclusão de netos, sobrinhos e outros parentes não mencionados expressamente no art. 20, § 1º, gera controvérsia. A norma é taxativa quanto aos vínculos familiares relevantes, o que, em princípio, excluiria do grupo familiar pessoas que, embora residam no mesmo domicílio, não se enquadram nas categorias legais. A jurisprudência, porém, tem admitido a inclusão de netos e sobrinhos menores sob guarda do requerente, por analogia com a figura do menor tutelado expressamente previsto na lei.</w:t>
      </w:r>
    </w:p>
    <w:p w14:paraId="5AD76F45" w14:textId="77777777" w:rsidR="005A5FCC" w:rsidRDefault="00A21C81">
      <w:pPr>
        <w:ind w:firstLine="238"/>
      </w:pPr>
      <w:r>
        <w:rPr>
          <w:rFonts w:cs="EB Garamond"/>
          <w:kern w:val="16"/>
          <w14:ligatures w14:val="standardContextual"/>
        </w:rPr>
        <w:t>A pessoa com deficiência ou idosa que reside em instituição de longa permanência (ILPI) ou em abrigo público não perde o direito ao BPC. O art. 20, § 5º, da LOAS (incluído pela Lei n. 12.435/2011) estabelece que a condição de acolhimento institucional não prejudica o direito ao benefício. Nesse caso, o grupo familiar é o próprio requerente, e a renda per capita é calculada exclusivamente com base em sua renda pessoal.</w:t>
      </w:r>
    </w:p>
    <w:tbl>
      <w:tblPr>
        <w:tblW w:w="5000" w:type="pct"/>
        <w:jc w:val="center"/>
        <w:tblLayout w:type="fixed"/>
        <w:tblLook w:val="04A0" w:firstRow="1" w:lastRow="0" w:firstColumn="1" w:lastColumn="0" w:noHBand="0" w:noVBand="1"/>
      </w:tblPr>
      <w:tblGrid>
        <w:gridCol w:w="6311"/>
      </w:tblGrid>
      <w:tr w:rsidR="005A5FCC" w14:paraId="332DABCA"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15D495E4"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17870DEB" w14:textId="77777777" w:rsidR="005A5FCC" w:rsidRDefault="00A21C81">
            <w:pPr>
              <w:spacing w:after="60" w:line="247" w:lineRule="auto"/>
            </w:pPr>
            <w:r>
              <w:rPr>
                <w:rFonts w:cs="EB Garamond"/>
                <w:kern w:val="16"/>
                <w:sz w:val="19"/>
                <w14:ligatures w14:val="standardContextual"/>
              </w:rPr>
              <w:t>A pessoa presa em regime fechado não faz jus ao BPC durante o período de reclusão, por analogia com a suspensão de benefícios previdenciários prevista no art. 80 da Lei n. 8.213/91 e pela impossibilidade de aferição da miserabilidade no contexto prisional, onde o Estado provê alimentação, moradia e assistência básica. A jurisprudência, contudo, admite a concessão do BPC ao preso em regime semiaberto ou aberto que demonstre o preenchimento dos requisitos, especialmente quando a família do recluso vive em situação de vulnerabilidade e o BPC seria destinado ao sustento do grupo familiar no qual o preso retorna periodicamente. A questão é controversa e exige análise caso a caso.</w:t>
            </w:r>
          </w:p>
        </w:tc>
      </w:tr>
    </w:tbl>
    <w:p w14:paraId="7A243FCB" w14:textId="77777777" w:rsidR="005A5FCC" w:rsidRDefault="005A5FCC">
      <w:pPr>
        <w:spacing w:after="80" w:line="240" w:lineRule="auto"/>
      </w:pPr>
    </w:p>
    <w:p w14:paraId="5BB03FA9"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18.15 Prova da miserabilidade nos JEFs</w:t>
      </w:r>
    </w:p>
    <w:p w14:paraId="13872C69"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43BF6ED8" w14:textId="77777777" w:rsidR="005A5FCC" w:rsidRDefault="00A21C81">
      <w:r>
        <w:rPr>
          <w:rFonts w:cs="EB Garamond"/>
          <w:kern w:val="16"/>
          <w14:ligatures w14:val="standardContextual"/>
        </w:rPr>
        <w:t xml:space="preserve"> produção de prova da miserabilidade nos JEFs envolve um conjunto de instrumentos probatórios que se complementam. A prova documental, a prova testemunhal e o estudo socioeconômico compõem o quadro usual de instrução.</w:t>
      </w:r>
    </w:p>
    <w:p w14:paraId="220C1EE0" w14:textId="77777777" w:rsidR="005A5FCC" w:rsidRDefault="00A21C81">
      <w:pPr>
        <w:ind w:firstLine="238"/>
      </w:pPr>
      <w:r>
        <w:rPr>
          <w:rFonts w:cs="EB Garamond"/>
          <w:kern w:val="16"/>
          <w14:ligatures w14:val="standardContextual"/>
        </w:rPr>
        <w:t>A prova documental relevante inclui: comprovantes de renda dos membros do grupo familiar (contracheques, extratos bancários, declarações de imposto de renda); inscrição em programas sociais (CadÚnico, Bolsa Família); comprovantes de despesas com saúde (receitas médicas, notas fiscais de medicamentos, declarações de tratamento); comprovante de residência; certidão negativa de imóveis e veículos; e outros documentos que evidenciem a condição socioeconômica.</w:t>
      </w:r>
    </w:p>
    <w:p w14:paraId="46093903" w14:textId="77777777" w:rsidR="005A5FCC" w:rsidRDefault="00A21C81">
      <w:pPr>
        <w:ind w:firstLine="238"/>
      </w:pPr>
      <w:r>
        <w:rPr>
          <w:rFonts w:cs="EB Garamond"/>
          <w:kern w:val="16"/>
          <w14:ligatures w14:val="standardContextual"/>
        </w:rPr>
        <w:t>A inscrição no Cadastro Único para Programas Sociais do Governo Federal (CadÚnico) constitui elemento probatório relevante, embora não seja requisito para a concessão judicial do BPC. No âmbito administrativo, o INSS exige a inscrição no CadÚnico como condição para o processamento do requerimento (art. 20, § 13, da LOAS, incluído pela Lei n. 14.176/2021). No âmbito judicial, a ausência de inscrição no CadÚnico não impede a concessão, desde que a miserabilidade seja demonstrada por outros meios.</w:t>
      </w:r>
    </w:p>
    <w:p w14:paraId="6ADD066C" w14:textId="77777777" w:rsidR="005A5FCC" w:rsidRDefault="00A21C81">
      <w:pPr>
        <w:ind w:firstLine="238"/>
      </w:pPr>
      <w:r>
        <w:rPr>
          <w:rFonts w:cs="EB Garamond"/>
          <w:kern w:val="16"/>
          <w14:ligatures w14:val="standardContextual"/>
        </w:rPr>
        <w:t>O estudo socioeconômico, realizado por assistente social, é o instrumento probatório mais completo para a aferição da miserabilidade. Diferentemente da prova documental (que retrata aspectos pontuais e formais da renda familiar) e da prova testemunhal (que depende da percepção de terceiros), o estudo social envolve visita domiciliar, entrevista com o requerente e seus familiares, e avaliação in loco das condições de vida. O assistente social é profissional habilitado para identificar situações de vulnerabilidade que escapam aos documentos e depoimentos.</w:t>
      </w:r>
    </w:p>
    <w:p w14:paraId="3C4C5160" w14:textId="77777777" w:rsidR="005A5FCC" w:rsidRDefault="00A21C81">
      <w:pPr>
        <w:ind w:firstLine="238"/>
      </w:pPr>
      <w:r>
        <w:rPr>
          <w:rFonts w:cs="EB Garamond"/>
          <w:kern w:val="16"/>
          <w14:ligatures w14:val="standardContextual"/>
        </w:rPr>
        <w:t>Nos JEFs, o estudo social pode ser realizado pela equipe do serviço social da Justiça Federal, por perito assistente social nomeado pelo juízo ou, excepcionalmente, por equipe do Centro de Referência de Assistência Social (CRAS) do município. A escolha do meio depende da estrutura disponível em cada Seção Judiciária.</w:t>
      </w:r>
    </w:p>
    <w:p w14:paraId="56DA9854" w14:textId="77777777" w:rsidR="005A5FCC" w:rsidRDefault="00A21C81">
      <w:pPr>
        <w:ind w:firstLine="238"/>
      </w:pPr>
      <w:r>
        <w:rPr>
          <w:rFonts w:cs="EB Garamond"/>
          <w:kern w:val="16"/>
          <w14:ligatures w14:val="standardContextual"/>
        </w:rPr>
        <w:lastRenderedPageBreak/>
        <w:t>A prova testemunhal, embora subsidiária, pode corroborar a condição de miserabilidade quando os documentos são insuficientes. Vizinhos, agentes comunitários de saúde e líderes comunitários podem prestar depoimentos sobre as condições de vida do requerente. Nos JEFs, a informalidade do procedimento (art. 2º da Lei n. 10.259/2001) favorece a coleta dessa prova em audiência concentrada.</w:t>
      </w:r>
    </w:p>
    <w:p w14:paraId="1B12C129"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18.16 BPC ao idoso: especificidades</w:t>
      </w:r>
    </w:p>
    <w:p w14:paraId="3988F1ED"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55B5D522" w14:textId="77777777" w:rsidR="005A5FCC" w:rsidRDefault="00A21C81">
      <w:r>
        <w:rPr>
          <w:rFonts w:cs="EB Garamond"/>
          <w:kern w:val="16"/>
          <w14:ligatures w14:val="standardContextual"/>
        </w:rPr>
        <w:t xml:space="preserve"> BPC ao idoso apresenta especificidades que o distinguem do BPC à pessoa com deficiência. A principal é a simplicidade dos requisitos subjetivos: basta a comprovação da idade (65 anos ou mais) e da miserabilidade. Não há avaliação pericial de condição funcional, não se exige impedimento de longo prazo e não se aplica o modelo biopsicossocial. A questão central, em regra, resume-se à aferição da renda per capita familiar.</w:t>
      </w:r>
    </w:p>
    <w:p w14:paraId="3BBE507E" w14:textId="02B39CF6" w:rsidR="005A5FCC" w:rsidRDefault="00A21C81">
      <w:pPr>
        <w:ind w:firstLine="238"/>
      </w:pPr>
      <w:r>
        <w:rPr>
          <w:rFonts w:cs="EB Garamond"/>
          <w:kern w:val="16"/>
          <w14:ligatures w14:val="standardContextual"/>
        </w:rPr>
        <w:t xml:space="preserve">O Estatuto do Idoso (Lei n. 10.741/2003) trouxe disposições relevantes para o BPC do idoso. Além de fixar a idade mínima em 65 anos (art. 34, caput), o Estatuto previa, em seu parágrafo único, a exclusão do BPC de outro idoso do mesmo grupo familiar para fins de cálculo da renda per capita. Conforme examinado na seção 18.11, essa exclusão foi ampliada pela Lei n. 14.176/2021, que estendeu o benefício a todos os benefícios de até um </w:t>
      </w:r>
      <w:r w:rsidR="00D57763">
        <w:rPr>
          <w:rFonts w:cs="EB Garamond"/>
          <w:kern w:val="16"/>
          <w14:ligatures w14:val="standardContextual"/>
        </w:rPr>
        <w:t>salário-mínimo</w:t>
      </w:r>
      <w:r>
        <w:rPr>
          <w:rFonts w:cs="EB Garamond"/>
          <w:kern w:val="16"/>
          <w14:ligatures w14:val="standardContextual"/>
        </w:rPr>
        <w:t xml:space="preserve"> de membros idosos ou com deficiência.</w:t>
      </w:r>
    </w:p>
    <w:p w14:paraId="0F22D522" w14:textId="76B70582" w:rsidR="005A5FCC" w:rsidRDefault="00A21C81">
      <w:pPr>
        <w:ind w:firstLine="238"/>
      </w:pPr>
      <w:r>
        <w:rPr>
          <w:rFonts w:cs="EB Garamond"/>
          <w:kern w:val="16"/>
          <w14:ligatures w14:val="standardContextual"/>
        </w:rPr>
        <w:t xml:space="preserve">A concessão de mais de um BPC no mesmo grupo familiar é possível, desde que cada beneficiário preencha individualmente os requisitos. Um casal de idosos em situação de miserabilidade pode receber dois BPCs, cada um no valor de um </w:t>
      </w:r>
      <w:r w:rsidR="00D57763">
        <w:rPr>
          <w:rFonts w:cs="EB Garamond"/>
          <w:kern w:val="16"/>
          <w14:ligatures w14:val="standardContextual"/>
        </w:rPr>
        <w:t>salário-mínimo</w:t>
      </w:r>
      <w:r>
        <w:rPr>
          <w:rFonts w:cs="EB Garamond"/>
          <w:kern w:val="16"/>
          <w14:ligatures w14:val="standardContextual"/>
        </w:rPr>
        <w:t>, desde que, aplicadas as exclusões legais, a renda per capita permaneça abaixo do limite. Na prática, se ambos são idosos e nenhum dos dois possui outra renda, a renda per capita é zero (pois o BPC de cada um é excluído do cálculo do outro), o que viabiliza a dupla concessão.</w:t>
      </w:r>
    </w:p>
    <w:tbl>
      <w:tblPr>
        <w:tblW w:w="5000" w:type="pct"/>
        <w:jc w:val="center"/>
        <w:tblLayout w:type="fixed"/>
        <w:tblLook w:val="04A0" w:firstRow="1" w:lastRow="0" w:firstColumn="1" w:lastColumn="0" w:noHBand="0" w:noVBand="1"/>
      </w:tblPr>
      <w:tblGrid>
        <w:gridCol w:w="6311"/>
      </w:tblGrid>
      <w:tr w:rsidR="005A5FCC" w14:paraId="2230A76C"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46572748"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188ADC43" w14:textId="77777777" w:rsidR="005A5FCC" w:rsidRDefault="00A21C81">
            <w:pPr>
              <w:spacing w:after="60" w:line="247" w:lineRule="auto"/>
            </w:pPr>
            <w:r>
              <w:rPr>
                <w:rFonts w:cs="EB Garamond"/>
                <w:kern w:val="16"/>
                <w:sz w:val="19"/>
                <w14:ligatures w14:val="standardContextual"/>
              </w:rPr>
              <w:t>Na atuação forense, a concessão simultânea de BPC a dois membros do mesmo grupo familiar exige atenção ao momento da aferição. Se o primeiro BPC já está em manutenção e o segundo é requerido posteriormente, a verificação da renda per capita deve considerar a exclusão do BPC já concedido. O advogado deve requerer expressamente a aplicação do art. 20, § 14, V, da LOAS e, quando necessário, do entendimento do STF no RE 580.963 (Tema 312). Nos JEFs, é recomendável juntar comprovante de pagamento do BPC ao primeiro beneficiário e demonstrar que, aplicada a exclusão, a renda per capita do segundo requerente está abaixo do limite.</w:t>
            </w:r>
          </w:p>
        </w:tc>
      </w:tr>
    </w:tbl>
    <w:p w14:paraId="3F938CBD" w14:textId="77777777" w:rsidR="005A5FCC" w:rsidRDefault="005A5FCC">
      <w:pPr>
        <w:spacing w:after="80" w:line="240" w:lineRule="auto"/>
      </w:pPr>
    </w:p>
    <w:p w14:paraId="1A8AF279"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5F84CE31" w14:textId="044728B3" w:rsidR="005A5FCC" w:rsidRDefault="00A21C81">
      <w:r>
        <w:rPr>
          <w:rFonts w:cs="EB Garamond"/>
          <w:kern w:val="16"/>
          <w14:ligatures w14:val="standardContextual"/>
        </w:rPr>
        <w:t xml:space="preserve"> BPC ao idoso não é cumulável com aposentadoria ou qualquer outro benefício previdenciário pago pelo RGPS, exceto assistência médica e pensão especial de natureza indenizatória, conforme a vedação de acumulação prevista no art. 20, § 4º, da LOAS (na redação da Lei n. 12.435/2011). A vedação de acumulação obriga o requerente a optar pelo benefício mais vantajoso. No cotidiano dos JEFs, a questão surge quando o idoso recebe aposentadoria no valor do </w:t>
      </w:r>
      <w:r w:rsidR="000F5A31">
        <w:rPr>
          <w:rFonts w:cs="EB Garamond"/>
          <w:kern w:val="16"/>
          <w14:ligatures w14:val="standardContextual"/>
        </w:rPr>
        <w:t>salário-mínimo</w:t>
      </w:r>
      <w:r>
        <w:rPr>
          <w:rFonts w:cs="EB Garamond"/>
          <w:kern w:val="16"/>
          <w14:ligatures w14:val="standardContextual"/>
        </w:rPr>
        <w:t xml:space="preserve"> e pretende cumular com o BPC, o que é vedado pela lei. O BPC somente é cabível quando o idoso não recebe qualquer outro benefício previdenciário ou quando opta pela cessação do benefício previdenciário para receber o BPC.</w:t>
      </w:r>
    </w:p>
    <w:p w14:paraId="04E71D86"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18.17 BPC à pessoa com deficiência: especificidades</w:t>
      </w:r>
    </w:p>
    <w:p w14:paraId="31644A7D"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6F8A68B6" w14:textId="77777777" w:rsidR="005A5FCC" w:rsidRDefault="00A21C81">
      <w:r>
        <w:rPr>
          <w:rFonts w:cs="EB Garamond"/>
          <w:kern w:val="16"/>
          <w14:ligatures w14:val="standardContextual"/>
        </w:rPr>
        <w:t xml:space="preserve"> BPC à pessoa com deficiência apresenta complexidade substancialmente maior do que o BPC ao idoso, em razão da necessidade de avaliação da deficiência segundo o modelo biopsicossocial. A conjugação dos requisitos de impedimento de longo prazo, interação com barreiras e miserabilidade exige instrução probatória multidisciplinar.</w:t>
      </w:r>
    </w:p>
    <w:p w14:paraId="2BDFFD03" w14:textId="77777777" w:rsidR="005A5FCC" w:rsidRDefault="00A21C81">
      <w:pPr>
        <w:ind w:firstLine="238"/>
      </w:pPr>
      <w:r>
        <w:rPr>
          <w:rFonts w:cs="EB Garamond"/>
          <w:kern w:val="16"/>
          <w14:ligatures w14:val="standardContextual"/>
        </w:rPr>
        <w:t xml:space="preserve">A perícia judicial em ações de BPC para pessoa com deficiência deve ir além da constatação de doença ou limitação funcional. O perito deve ser instado a avaliar: </w:t>
      </w:r>
      <w:r>
        <w:rPr>
          <w:rFonts w:cs="EB Garamond"/>
          <w:kern w:val="16"/>
          <w14:ligatures w14:val="standardContextual"/>
        </w:rPr>
        <w:lastRenderedPageBreak/>
        <w:t>(a) a existência de impedimento de natureza física, mental, intelectual ou sensorial; (b) a duração do impedimento (se igual ou superior a dois anos ou se permanente); (c) o impacto do impedimento nas atividades da vida diária e na participação social; (d) as barreiras ambientais e sociais que agravam o impedimento; (e) a necessidade de assistência de terceiros.</w:t>
      </w:r>
    </w:p>
    <w:p w14:paraId="4AFA2F56" w14:textId="77777777" w:rsidR="005A5FCC" w:rsidRDefault="00A21C81">
      <w:pPr>
        <w:ind w:firstLine="238"/>
      </w:pPr>
      <w:r>
        <w:rPr>
          <w:rFonts w:cs="EB Garamond"/>
          <w:kern w:val="16"/>
          <w14:ligatures w14:val="standardContextual"/>
        </w:rPr>
        <w:t>A deficiência para fins do BPC não se confunde com incapacidade para o trabalho, embora as duas condições possam coexistir. Uma pessoa com deficiência pode ser plenamente capaz para determinadas atividades laborativas e, ainda assim, preencher os requisitos do BPC, se o impedimento de longo prazo, em interação com as barreiras, obstrui sua participação plena na sociedade. Inversamente, uma pessoa temporariamente incapacitada para o trabalho, mas sem impedimento de longo prazo, não preenche o requisito de deficiência para o BPC, embora possa ter direito a benefício previdenciário por incapacidade.</w:t>
      </w:r>
    </w:p>
    <w:p w14:paraId="7AF6C883" w14:textId="77777777" w:rsidR="005A5FCC" w:rsidRDefault="00A21C81">
      <w:pPr>
        <w:ind w:firstLine="238"/>
      </w:pPr>
      <w:r>
        <w:rPr>
          <w:rFonts w:cs="EB Garamond"/>
          <w:kern w:val="16"/>
          <w14:ligatures w14:val="standardContextual"/>
        </w:rPr>
        <w:t>As crianças e adolescentes com deficiência fazem jus ao BPC independentemente de idade mínima. O impedimento de longo prazo em menores de 18 anos é avaliado com os mesmos critérios (natureza, duração, interação com barreiras), considerando-se, porém, que a avaliação funcional deve levar em conta os marcos de desenvolvimento próprios da faixa etária. Uma criança de cinco anos com atraso severo no desenvolvimento neuropsicomotor pode preencher o requisito de deficiência, se a limitação impede ou restringe significativamente sua participação nas atividades próprias da idade (brincar, frequentar escola, interagir com outras crianças).</w:t>
      </w:r>
    </w:p>
    <w:p w14:paraId="6877345C" w14:textId="77777777" w:rsidR="005A5FCC" w:rsidRDefault="00A21C81">
      <w:pPr>
        <w:ind w:firstLine="238"/>
      </w:pPr>
      <w:r>
        <w:rPr>
          <w:rFonts w:cs="EB Garamond"/>
          <w:kern w:val="16"/>
          <w14:ligatures w14:val="standardContextual"/>
        </w:rPr>
        <w:t>A cumulação entre BPC à pessoa com deficiência e benefícios previdenciários segue a regra geral de vedação. A pessoa com deficiência que recebe auxílio por incapacidade temporária, aposentadoria por incapacidade permanente ou qualquer outro benefício do RGPS não pode cumular com o BPC. A exceção é o auxílio-inclusão (examinado na seção 18.22), que foi criado justamente para permitir a transição do BPC para o trabalho formal.</w:t>
      </w:r>
    </w:p>
    <w:tbl>
      <w:tblPr>
        <w:tblW w:w="5000" w:type="pct"/>
        <w:jc w:val="center"/>
        <w:tblLayout w:type="fixed"/>
        <w:tblLook w:val="04A0" w:firstRow="1" w:lastRow="0" w:firstColumn="1" w:lastColumn="0" w:noHBand="0" w:noVBand="1"/>
      </w:tblPr>
      <w:tblGrid>
        <w:gridCol w:w="6311"/>
      </w:tblGrid>
      <w:tr w:rsidR="005A5FCC" w14:paraId="277E1477"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4020A77B" w14:textId="77777777" w:rsidR="005A5FCC" w:rsidRDefault="00A21C81">
            <w:pPr>
              <w:spacing w:after="60" w:line="240" w:lineRule="auto"/>
              <w:jc w:val="left"/>
            </w:pPr>
            <w:r>
              <w:rPr>
                <w:rFonts w:ascii="Noto Sans" w:hAnsi="Noto Sans" w:cs="Noto Sans"/>
                <w:b/>
                <w:caps/>
                <w:color w:val="B78B37"/>
                <w:kern w:val="16"/>
                <w:sz w:val="16"/>
                <w14:ligatures w14:val="standardContextual"/>
              </w:rPr>
              <w:lastRenderedPageBreak/>
              <w:t>ATENÇÃO</w:t>
            </w:r>
          </w:p>
          <w:p w14:paraId="3FC5EF67" w14:textId="77777777" w:rsidR="005A5FCC" w:rsidRDefault="00A21C81">
            <w:pPr>
              <w:spacing w:after="60" w:line="247" w:lineRule="auto"/>
            </w:pPr>
            <w:r>
              <w:rPr>
                <w:rFonts w:cs="EB Garamond"/>
                <w:kern w:val="16"/>
                <w:sz w:val="19"/>
                <w14:ligatures w14:val="standardContextual"/>
              </w:rPr>
              <w:t>A deficiência mental e intelectual exige atenção especial na instrução das ações de BPC nos JEFs. Requerentes com transtornos mentais graves (esquizofrenia, transtorno bipolar, depressão severa), deficiência intelectual ou transtorno do espectro autista frequentemente enfrentam barreiras sociais mais intensas do que aquelas decorrentes de deficiências físicas visíveis. O estigma, a discriminação no mercado de trabalho, a dificuldade de acesso a tratamento adequado e a precariedade dos serviços de saúde mental no SUS são fatores que agravam a condição de vulnerabilidade. O perito deve ser expressamente instado a avaliar esses fatores contextuais, e o juiz deve considerá-los na fundamentação da decisão.</w:t>
            </w:r>
          </w:p>
        </w:tc>
      </w:tr>
    </w:tbl>
    <w:p w14:paraId="2AE3EF1A" w14:textId="77777777" w:rsidR="005A5FCC" w:rsidRDefault="005A5FCC">
      <w:pPr>
        <w:spacing w:after="80" w:line="240" w:lineRule="auto"/>
      </w:pPr>
    </w:p>
    <w:p w14:paraId="05587212"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18.18 BPC e obrigação alimentar</w:t>
      </w:r>
    </w:p>
    <w:p w14:paraId="2D1CC3CE"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43907035" w14:textId="77777777" w:rsidR="005A5FCC" w:rsidRDefault="00A21C81">
      <w:r>
        <w:rPr>
          <w:rFonts w:cs="EB Garamond"/>
          <w:kern w:val="16"/>
          <w14:ligatures w14:val="standardContextual"/>
        </w:rPr>
        <w:t xml:space="preserve"> relação entre o BPC e a obrigação alimentar prevista nos arts. 1.694 a 1.710 do Código Civil é questão que merece exame por sua recorrência nos JEFs. O INSS, ao indeferir requerimentos de BPC, frequentemente argumenta que os familiares do requerente têm obrigação civil de prover seu sustento, e que a existência de parentes com capacidade econômica afasta a miserabilidade.</w:t>
      </w:r>
    </w:p>
    <w:p w14:paraId="172D67D7" w14:textId="77777777" w:rsidR="005A5FCC" w:rsidRDefault="00A21C81">
      <w:pPr>
        <w:ind w:firstLine="238"/>
      </w:pPr>
      <w:r>
        <w:rPr>
          <w:rFonts w:cs="EB Garamond"/>
          <w:kern w:val="16"/>
          <w14:ligatures w14:val="standardContextual"/>
        </w:rPr>
        <w:t>Esse argumento deve ser rejeitado com firmeza. A obrigação alimentar civil e o direito ao BPC operam em planos normativos distintos e independentes. O BPC é direito constitucional autônomo, fundado no art. 203, V, da Constituição, e não está condicionado à impossibilidade de obter alimentos dos familiares. O requerente não é obrigado a ajuizar ação de alimentos contra seus parentes como condição prévia ao BPC. A lei assistencial define o grupo familiar de forma objetiva (coabitantes com vínculos específicos) e não incorpora o conceito civilista de obrigação alimentar.</w:t>
      </w:r>
    </w:p>
    <w:p w14:paraId="43F55AA1" w14:textId="77777777" w:rsidR="005A5FCC" w:rsidRDefault="00A21C81">
      <w:pPr>
        <w:ind w:firstLine="238"/>
      </w:pPr>
      <w:r>
        <w:rPr>
          <w:rFonts w:cs="EB Garamond"/>
          <w:kern w:val="16"/>
          <w14:ligatures w14:val="standardContextual"/>
        </w:rPr>
        <w:t xml:space="preserve">A jurisprudência dos TRFs consolidou o entendimento de que a mera existência de parentes com capacidade econômica não afasta o direito ao BPC, quando o requerente preenche os requisitos legais. O fundamento é pragmático: condicionar o BPC à inexistência de parentes com recursos significaria, na prática, transferir ao particular a obrigação constitucional do Estado, criando requisito não previsto em lei. A pessoa idosa ou com deficiência que vive sozinha, sem </w:t>
      </w:r>
      <w:r>
        <w:rPr>
          <w:rFonts w:cs="EB Garamond"/>
          <w:kern w:val="16"/>
          <w14:ligatures w14:val="standardContextual"/>
        </w:rPr>
        <w:lastRenderedPageBreak/>
        <w:t>receber auxílio efetivo de familiares, preenche o requisito de miserabilidade independentemente da situação econômica de filhos ou irmãos que residem em outro domicílio.</w:t>
      </w:r>
    </w:p>
    <w:tbl>
      <w:tblPr>
        <w:tblW w:w="5000" w:type="pct"/>
        <w:jc w:val="center"/>
        <w:tblLayout w:type="fixed"/>
        <w:tblLook w:val="04A0" w:firstRow="1" w:lastRow="0" w:firstColumn="1" w:lastColumn="0" w:noHBand="0" w:noVBand="1"/>
      </w:tblPr>
      <w:tblGrid>
        <w:gridCol w:w="6311"/>
      </w:tblGrid>
      <w:tr w:rsidR="005A5FCC" w14:paraId="60843F75"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36A29CD1" w14:textId="77777777" w:rsidR="005A5FCC" w:rsidRDefault="00A21C81">
            <w:pPr>
              <w:spacing w:after="60" w:line="240" w:lineRule="auto"/>
              <w:jc w:val="left"/>
            </w:pPr>
            <w:r>
              <w:rPr>
                <w:rFonts w:ascii="Noto Sans" w:hAnsi="Noto Sans" w:cs="Noto Sans"/>
                <w:b/>
                <w:caps/>
                <w:color w:val="4D6F8A"/>
                <w:kern w:val="16"/>
                <w:sz w:val="16"/>
                <w14:ligatures w14:val="standardContextual"/>
              </w:rPr>
              <w:t>JURISPRUDÊNCIA EM DESTAQUE</w:t>
            </w:r>
          </w:p>
          <w:p w14:paraId="1766DEF6" w14:textId="77777777" w:rsidR="005A5FCC" w:rsidRDefault="00A21C81">
            <w:pPr>
              <w:spacing w:after="60" w:line="247" w:lineRule="auto"/>
            </w:pPr>
            <w:r>
              <w:rPr>
                <w:rFonts w:cs="EB Garamond"/>
                <w:b/>
                <w:kern w:val="16"/>
                <w:sz w:val="19"/>
                <w14:ligatures w14:val="standardContextual"/>
              </w:rPr>
              <w:t>TRF da 4ª Região, jurisprudência consolidada</w:t>
            </w:r>
            <w:r>
              <w:rPr>
                <w:rFonts w:cs="EB Garamond"/>
                <w:kern w:val="16"/>
                <w:sz w:val="19"/>
                <w14:ligatures w14:val="standardContextual"/>
              </w:rPr>
              <w:t>: "A obrigação alimentar dos parentes do idoso ou da pessoa com deficiência não constitui óbice à concessão do BPC. O direito assistencial é autônomo e não se condiciona à prévia exaustão dos meios de obtenção de alimentos na esfera civil." Esse entendimento, seguido pelos demais TRFs, afasta a tese do INSS de que os familiares devem ser acionados judicialmente antes da concessão do benefício assistencial. Em termos operacionais dos JEFs, a questão é relevante porque o INSS invoca a obrigação alimentar como fundamento de indeferimento administrativo, forçando o requerente a judicializar pretensão que poderia ser resolvida na esfera administrativa.</w:t>
            </w:r>
          </w:p>
        </w:tc>
      </w:tr>
    </w:tbl>
    <w:p w14:paraId="4C835F45" w14:textId="77777777" w:rsidR="005A5FCC" w:rsidRDefault="005A5FCC">
      <w:pPr>
        <w:spacing w:after="80" w:line="240" w:lineRule="auto"/>
      </w:pPr>
    </w:p>
    <w:p w14:paraId="66EAA5E4"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52EB1523" w14:textId="77777777" w:rsidR="005A5FCC" w:rsidRDefault="00A21C81">
      <w:r>
        <w:rPr>
          <w:rFonts w:cs="EB Garamond"/>
          <w:kern w:val="16"/>
          <w14:ligatures w14:val="standardContextual"/>
        </w:rPr>
        <w:t xml:space="preserve"> questão também se coloca na perspectiva inversa: pode o INSS considerar a renda de parentes não coabitantes para negar o BPC? A resposta é negativa. O art. 20, § 1º, da LOAS é taxativo ao definir o grupo familiar como as pessoas que vivem sob o mesmo teto, nas relações de parentesco ali especificadas. A renda de parentes que residem em outro domicílio, ainda que contribuam informalmente para o sustento do requerente, não integra o cálculo da renda per capita. Entendemos que a solidariedade familiar privada, embora desejável, é insuficiente para fundamentar a exclusão do direito à proteção estatal: a ajuda de parentes pode cessar a qualquer momento, sem que o requerente tenha garantia jurídica de sua continuidade. O BPC existe justamente para assegurar proteção onde a rede de solidariedade privada é inexistente ou insuficiente.</w:t>
      </w:r>
    </w:p>
    <w:p w14:paraId="1F96BC7A"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18.19 BPC ao estrangeiro residente no Brasil</w:t>
      </w:r>
    </w:p>
    <w:p w14:paraId="74C9693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6DD63519" w14:textId="77777777" w:rsidR="005A5FCC" w:rsidRDefault="00A21C81">
      <w:r>
        <w:rPr>
          <w:rFonts w:cs="EB Garamond"/>
          <w:kern w:val="16"/>
          <w14:ligatures w14:val="standardContextual"/>
        </w:rPr>
        <w:t xml:space="preserve"> extensão do BPC ao estrangeiro residente no Brasil foi objeto de controvérsia que chegou ao Supremo Tribunal Federal. O art. 203, inciso V, da Constituição Federal não restringe expressamente o direito à assistência social a brasileiros, utilizando a expressão genérica "pessoa portadora de deficiência" </w:t>
      </w:r>
      <w:r>
        <w:rPr>
          <w:rFonts w:cs="EB Garamond"/>
          <w:kern w:val="16"/>
          <w14:ligatures w14:val="standardContextual"/>
        </w:rPr>
        <w:lastRenderedPageBreak/>
        <w:t>e "idoso". A LOAS, em sua redação original, também não continha restrição explícita a estrangeiros.</w:t>
      </w:r>
    </w:p>
    <w:p w14:paraId="4DC00348" w14:textId="77777777" w:rsidR="005A5FCC" w:rsidRDefault="00A21C81">
      <w:pPr>
        <w:ind w:firstLine="238"/>
      </w:pPr>
      <w:r>
        <w:rPr>
          <w:rFonts w:cs="EB Garamond"/>
          <w:kern w:val="16"/>
          <w14:ligatures w14:val="standardContextual"/>
        </w:rPr>
        <w:t>O STF enfrentou a questão no julgamento do RE 587.970/SP (Tema 173 da repercussão geral, Plenário, DJe 22/09/2017), fixando a seguinte tese: "Os estrangeiros residentes no País são beneficiários da assistência social prevista no artigo 203, inciso V, da Constituição Federal, uma vez atendidos os requisitos constitucionais e legais." O entendimento fundamentou-se no princípio da universalidade da cobertura da seguridade social (art. 194, parágrafo único, I, CF/88), na dignidade da pessoa humana (art. 1º, III) e no tratamento isonômico entre brasileiros e estrangeiros residentes (art. 5º, caput).</w:t>
      </w:r>
    </w:p>
    <w:p w14:paraId="5A4ABD18" w14:textId="77777777" w:rsidR="005A5FCC" w:rsidRDefault="00A21C81">
      <w:pPr>
        <w:ind w:firstLine="238"/>
      </w:pPr>
      <w:r>
        <w:rPr>
          <w:rFonts w:cs="EB Garamond"/>
          <w:kern w:val="16"/>
          <w14:ligatures w14:val="standardContextual"/>
        </w:rPr>
        <w:t>A decisão do STF vincula a administração pública e os demais órgãos do Poder Judiciário, de modo que o INSS não pode indeferir o BPC com base exclusiva na condição de estrangeiro do requerente. A Portaria n. 1.695, de 17 de maio de 2024 (MDS/INSS), regulamentou expressamente a concessão administrativa do BPC a estrangeiros em situação regular no país, pacificando a aplicação do tema na esfera administrativa. Os requisitos para a concessão são os mesmos aplicáveis aos brasileiros: idade (65 anos) ou deficiência (impedimento de longo prazo), cumulados com miserabilidade. A documentação exigida inclui comprovante de residência legal no Brasil, podendo ser o Registro Nacional de Estrangeiros (RNE), o Registro Nacional Migratório (RNM, instituído pela Lei n. 13.445/2017, Lei de Migração) ou, para refugiados, o protocolo de solicitação de refúgio expedido pelo CONARE. A condição migratória irregular, por si só, não afasta o direito ao BPC quando demonstrado o vínculo efetivo com o território nacional e o preenchimento dos requisitos constitucionais.</w:t>
      </w:r>
    </w:p>
    <w:p w14:paraId="004516B1"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18.20 Cumulação do BPC com outros benefícios</w:t>
      </w:r>
    </w:p>
    <w:p w14:paraId="7584370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6C3FE042" w14:textId="77777777" w:rsidR="005A5FCC" w:rsidRDefault="00A21C81">
      <w:r>
        <w:rPr>
          <w:rFonts w:cs="EB Garamond"/>
          <w:kern w:val="16"/>
          <w14:ligatures w14:val="standardContextual"/>
        </w:rPr>
        <w:t xml:space="preserve"> regra geral do BPC é a vedação de cumulação com outros benefícios da seguridade social. O art. 20, § 4º, da LOAS (na redação da Lei n. 12.435/2011) estabelece que o benefício de prestação continuada "não pode ser acumulado pelo beneficiário com qualquer outro no âmbito da seguridade social ou de outro regime, salvo os da assistência médica e da pensão especial de natureza indenizatória". Note-se que esse mesmo dispositivo sofreu alterações </w:t>
      </w:r>
      <w:r>
        <w:rPr>
          <w:rFonts w:cs="EB Garamond"/>
          <w:kern w:val="16"/>
          <w14:ligatures w14:val="standardContextual"/>
        </w:rPr>
        <w:lastRenderedPageBreak/>
        <w:t>pela Lei n. 14.176/2021, que lhe acrescentou regras sobre exclusão de rendas do cálculo per capita (tratadas na seção 18.11); a vedação de acumulação aqui examinada refere-se à parte final da redação dada pela Lei n. 12.435/2011.</w:t>
      </w:r>
    </w:p>
    <w:p w14:paraId="698B2E99" w14:textId="77777777" w:rsidR="005A5FCC" w:rsidRDefault="00A21C81">
      <w:pPr>
        <w:ind w:firstLine="238"/>
      </w:pPr>
      <w:r>
        <w:rPr>
          <w:rFonts w:cs="EB Garamond"/>
          <w:kern w:val="16"/>
          <w14:ligatures w14:val="standardContextual"/>
        </w:rPr>
        <w:t>A vedação de acumulação abrange todos os benefícios previdenciários do RGPS: aposentadorias (por idade, por tempo de contribuição, por incapacidade permanente, especial), auxílio por incapacidade temporária, pensão por morte, auxílio-acidente e salário-maternidade. O beneficiário do BPC que passar a receber qualquer benefício previdenciário deve comunicar ao INSS para a cessação do BPC, ou optar pelo benefício mais vantajoso.</w:t>
      </w:r>
    </w:p>
    <w:p w14:paraId="1B878FB5" w14:textId="77777777" w:rsidR="005A5FCC" w:rsidRDefault="00A21C81">
      <w:pPr>
        <w:ind w:firstLine="238"/>
      </w:pPr>
      <w:r>
        <w:rPr>
          <w:rFonts w:cs="EB Garamond"/>
          <w:kern w:val="16"/>
          <w14:ligatures w14:val="standardContextual"/>
        </w:rPr>
        <w:t>A proibição de acumulação não se estende a benefícios de natureza indenizatória. Pensões especiais concedidas por leis específicas (como a pensão a vítimas da talidomida, pensão a anistiados políticos e pensão a portadores de hanseníase segregados) não impedem a concessão do BPC, pois possuem natureza indenizatória, distinta da natureza assistencial ou previdenciária. O mesmo raciocínio aplica-se a indenizações por acidente de trabalho pagas pelo empregador.</w:t>
      </w:r>
    </w:p>
    <w:p w14:paraId="3AA0CA5A" w14:textId="77777777" w:rsidR="005A5FCC" w:rsidRDefault="00A21C81">
      <w:pPr>
        <w:ind w:firstLine="238"/>
      </w:pPr>
      <w:r>
        <w:rPr>
          <w:rFonts w:cs="EB Garamond"/>
          <w:kern w:val="16"/>
          <w14:ligatures w14:val="standardContextual"/>
        </w:rPr>
        <w:t>Para o tratamento sistemático da acumulação de benefícios em geral, ver Capítulo 20 deste livro. No âmbito específico do BPC, a TNU, no Tema 253, fixou a inacumulabilidade do BPC com o auxílio-acidente, facultando ao beneficiário a opção pelo mais vantajoso quando preenchidos os requisitos de ambos. No Tema 284, a TNU reconheceu que dependentes que recebem ou têm direito a cota de pensão por morte podem renunciar a esse direito para receber o BPC, desde que preenchidos os demais requisitos da LOAS. A renúncia é válida e deve ser reconhecida pelo INSS. Essas teses reforçam o princípio de que, diante da vedação de cumulação, o beneficiário deve ter assegurado o direito de opção pelo benefício que melhor atenda suas necessidades.</w:t>
      </w:r>
    </w:p>
    <w:p w14:paraId="457FAFFE" w14:textId="77777777" w:rsidR="005A5FCC" w:rsidRDefault="00A21C81">
      <w:pPr>
        <w:ind w:firstLine="238"/>
      </w:pPr>
      <w:r>
        <w:rPr>
          <w:rFonts w:cs="EB Garamond"/>
          <w:kern w:val="16"/>
          <w14:ligatures w14:val="standardContextual"/>
        </w:rPr>
        <w:t>O recebimento de benefícios de programas de transferência de renda (Bolsa Família e similares) não impede a concessão do BPC. Esses programas não integram o rol de benefícios vedados pelo art. 20, § 4º, e a renda deles proveniente é expressamente excluída do cálculo da renda per capita familiar (art. 20, § 14, II, LOAS). Na prática, o beneficiário do BPC pode acumular com o Bolsa Família, desde que o grupo familiar permaneça inscrito no Cadastro Único para Progra</w:t>
      </w:r>
      <w:r>
        <w:rPr>
          <w:rFonts w:cs="EB Garamond"/>
          <w:kern w:val="16"/>
          <w14:ligatures w14:val="standardContextual"/>
        </w:rPr>
        <w:lastRenderedPageBreak/>
        <w:t>mas Sociais (CadÚnico), regulamentado pelo Decreto n. 11.016/2022 e instituído pelo art. 6º-F da LOAS, que constitui a base de dados socioeconômicos utilizada tanto para a seleção de beneficiários dos programas de transferência de renda quanto para a aferição administrativa da renda familiar no requerimento do BPC.</w:t>
      </w:r>
    </w:p>
    <w:tbl>
      <w:tblPr>
        <w:tblW w:w="5000" w:type="pct"/>
        <w:jc w:val="center"/>
        <w:tblLayout w:type="fixed"/>
        <w:tblLook w:val="04A0" w:firstRow="1" w:lastRow="0" w:firstColumn="1" w:lastColumn="0" w:noHBand="0" w:noVBand="1"/>
      </w:tblPr>
      <w:tblGrid>
        <w:gridCol w:w="6311"/>
      </w:tblGrid>
      <w:tr w:rsidR="005A5FCC" w14:paraId="06C6272A"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4E8F802F" w14:textId="77777777" w:rsidR="005A5FCC" w:rsidRDefault="00A21C81">
            <w:pPr>
              <w:spacing w:after="60" w:line="240" w:lineRule="auto"/>
              <w:jc w:val="left"/>
            </w:pPr>
            <w:r>
              <w:rPr>
                <w:rFonts w:ascii="Noto Sans" w:hAnsi="Noto Sans" w:cs="Noto Sans"/>
                <w:b/>
                <w:caps/>
                <w:color w:val="4D6F8A"/>
                <w:kern w:val="16"/>
                <w:sz w:val="16"/>
                <w14:ligatures w14:val="standardContextual"/>
              </w:rPr>
              <w:t>JURISPRUDÊNCIA EM DESTAQUE</w:t>
            </w:r>
          </w:p>
          <w:p w14:paraId="72356DE7" w14:textId="711B9F47" w:rsidR="005A5FCC" w:rsidRDefault="00A21C81">
            <w:pPr>
              <w:spacing w:after="60" w:line="247" w:lineRule="auto"/>
            </w:pPr>
            <w:r>
              <w:rPr>
                <w:rFonts w:cs="EB Garamond"/>
                <w:b/>
                <w:kern w:val="16"/>
                <w:sz w:val="19"/>
                <w14:ligatures w14:val="standardContextual"/>
              </w:rPr>
              <w:t>STF, RE 580.963/PR, Tema 312 (repercussão geral)</w:t>
            </w:r>
            <w:r>
              <w:rPr>
                <w:rFonts w:cs="EB Garamond"/>
                <w:kern w:val="16"/>
                <w:sz w:val="19"/>
                <w14:ligatures w14:val="standardContextual"/>
              </w:rPr>
              <w:t xml:space="preserve">: Ao declarar a inconstitucionalidade do parágrafo único do art. 34 do Estatuto do Idoso, o STF reconheceu que a exclusão de apenas uma modalidade de benefício (BPC de idoso) do cálculo da renda per capita, discriminando outras modalidades (BPC de pessoa com deficiência, aposentadoria mínima), violava o princípio da isonomia. O julgado, conjugado com as alterações da Lei n. 14.176/2021, consolidou o entendimento de que todos os benefícios assistenciais e previdenciários de até um </w:t>
            </w:r>
            <w:r w:rsidR="000A6476">
              <w:rPr>
                <w:rFonts w:cs="EB Garamond"/>
                <w:kern w:val="16"/>
                <w:sz w:val="19"/>
                <w14:ligatures w14:val="standardContextual"/>
              </w:rPr>
              <w:t>salário-mínimo</w:t>
            </w:r>
            <w:r>
              <w:rPr>
                <w:rFonts w:cs="EB Garamond"/>
                <w:kern w:val="16"/>
                <w:sz w:val="19"/>
                <w14:ligatures w14:val="standardContextual"/>
              </w:rPr>
              <w:t>, recebidos por membros idosos ou com deficiência do grupo familiar, devem ser excluídos do cálculo da renda per capita.</w:t>
            </w:r>
          </w:p>
        </w:tc>
      </w:tr>
    </w:tbl>
    <w:p w14:paraId="7AD92DA0" w14:textId="77777777" w:rsidR="005A5FCC" w:rsidRDefault="005A5FCC">
      <w:pPr>
        <w:spacing w:after="80" w:line="240" w:lineRule="auto"/>
      </w:pPr>
    </w:p>
    <w:p w14:paraId="78B85C3E"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18.21 Fungibilidade entre BPC e benefícios por incapacidade</w:t>
      </w:r>
    </w:p>
    <w:p w14:paraId="53B79FF2"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467FF6A2" w14:textId="77777777" w:rsidR="005A5FCC" w:rsidRDefault="00A21C81">
      <w:r>
        <w:rPr>
          <w:rFonts w:cs="EB Garamond"/>
          <w:kern w:val="16"/>
          <w14:ligatures w14:val="standardContextual"/>
        </w:rPr>
        <w:t xml:space="preserve"> fungibilidade entre o BPC e os benefícios previdenciários por incapacidade é princípio construído pela jurisprudência dos JEFs e consolidado pela TNU. Seu fundamento é a natureza protetiva dos benefícios e a vedação de formalismo processual que prejudique pessoas em situação de vulnerabilidade.</w:t>
      </w:r>
    </w:p>
    <w:p w14:paraId="36257806" w14:textId="77777777" w:rsidR="005A5FCC" w:rsidRDefault="00A21C81">
      <w:pPr>
        <w:ind w:firstLine="238"/>
      </w:pPr>
      <w:r>
        <w:rPr>
          <w:rFonts w:cs="EB Garamond"/>
          <w:kern w:val="16"/>
          <w14:ligatures w14:val="standardContextual"/>
        </w:rPr>
        <w:t>A TNU, no Tema 217, fixou a tese de que, "na hipótese de não ser demonstrado o preenchimento dos requisitos de benefício previdenciário por incapacidade, deve o julgador analisar se estão presentes os pressupostos para concessão de BPC-LOAS, e vice-versa". O entendimento supera a rigidez da causa de pedir e permite ao juiz, à luz dos fatos provados, conceder o benefício que melhor se ajuste à situação do requerente.</w:t>
      </w:r>
    </w:p>
    <w:p w14:paraId="567A497B" w14:textId="77777777" w:rsidR="005A5FCC" w:rsidRDefault="00A21C81">
      <w:pPr>
        <w:ind w:firstLine="238"/>
      </w:pPr>
      <w:r>
        <w:rPr>
          <w:rFonts w:cs="EB Garamond"/>
          <w:kern w:val="16"/>
          <w14:ligatures w14:val="standardContextual"/>
        </w:rPr>
        <w:lastRenderedPageBreak/>
        <w:t>Na prática, a fungibilidade opera em duas direções. Na primeira, o requerente que ajuíza ação pleiteando aposentadoria por incapacidade permanente ou auxílio por incapacidade temporária pode receber o BPC se: (a) o impedimento preenche os requisitos de deficiência para fins assistenciais (impedimento de longo prazo, interação com barreiras); (b) o requerente não preenche os requisitos previdenciários (carência, qualidade de segurado); e (c) a miserabilidade está demonstrada. Na segunda direção, o requerente que pleiteia BPC pode receber benefício previdenciário se: (a) possui qualidade de segurado e carência; (b) está incapacitado; e (c) o benefício previdenciário é mais vantajoso.</w:t>
      </w:r>
    </w:p>
    <w:tbl>
      <w:tblPr>
        <w:tblW w:w="5000" w:type="pct"/>
        <w:jc w:val="center"/>
        <w:tblLayout w:type="fixed"/>
        <w:tblLook w:val="04A0" w:firstRow="1" w:lastRow="0" w:firstColumn="1" w:lastColumn="0" w:noHBand="0" w:noVBand="1"/>
      </w:tblPr>
      <w:tblGrid>
        <w:gridCol w:w="6311"/>
      </w:tblGrid>
      <w:tr w:rsidR="005A5FCC" w14:paraId="639F145C"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2C61E294"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423E1B03" w14:textId="77777777" w:rsidR="005A5FCC" w:rsidRDefault="00A21C81">
            <w:pPr>
              <w:spacing w:after="60" w:line="247" w:lineRule="auto"/>
            </w:pPr>
            <w:r>
              <w:rPr>
                <w:rFonts w:cs="EB Garamond"/>
                <w:kern w:val="16"/>
                <w:sz w:val="19"/>
                <w14:ligatures w14:val="standardContextual"/>
              </w:rPr>
              <w:t>Para viabilizar a fungibilidade nos JEFs, é recomendável que a petição inicial contenha pedido alternativo (principal de benefício previdenciário e subsidiário de BPC, ou vice-versa) e que a instrução processual contemple tanto a avaliação da incapacidade/deficiência quanto a análise socioeconômica. Na formulação dos quesitos, é conveniente incluir perguntas que permitam ao juiz avaliar ambas as hipóteses: quesitos sobre incapacidade laboral (para o benefício previdenciário) e sobre impedimento de longo prazo com barreiras (para o BPC). O estudo socioeconômico deve ser sempre realizado, mesmo nas ações de benefício previdenciário, para viabilizar a análise subsidiária do BPC.</w:t>
            </w:r>
          </w:p>
        </w:tc>
      </w:tr>
    </w:tbl>
    <w:p w14:paraId="68DCF831" w14:textId="77777777" w:rsidR="005A5FCC" w:rsidRDefault="005A5FCC">
      <w:pPr>
        <w:spacing w:after="80" w:line="240" w:lineRule="auto"/>
      </w:pPr>
    </w:p>
    <w:p w14:paraId="002A69C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762912C4" w14:textId="77777777" w:rsidR="005A5FCC" w:rsidRDefault="00A21C81">
      <w:r>
        <w:rPr>
          <w:rFonts w:cs="EB Garamond"/>
          <w:kern w:val="16"/>
          <w14:ligatures w14:val="standardContextual"/>
        </w:rPr>
        <w:t xml:space="preserve"> fungibilidade entre BPC e benefícios por incapacidade é examinada também no Capítulo 6 deste livro, sob a perspectiva dos benefícios previdenciários por incapacidade. Aqui, tratamos da questão sob a ótica do requerente do BPC nos JEFs.</w:t>
      </w:r>
    </w:p>
    <w:p w14:paraId="20C1E5BD" w14:textId="77777777" w:rsidR="005A5FCC" w:rsidRDefault="00A21C81">
      <w:pPr>
        <w:ind w:firstLine="238"/>
      </w:pPr>
      <w:r>
        <w:rPr>
          <w:rFonts w:cs="EB Garamond"/>
          <w:kern w:val="16"/>
          <w14:ligatures w14:val="standardContextual"/>
        </w:rPr>
        <w:t>A fungibilidade encontra limites. O juiz não pode conceder benefício que não guarde qualquer relação com os fatos provados nos autos. A fungibilidade exige identidade fática (a mesma condição de saúde que fundamenta o pedido previdenciário pode fundamentar o BPC) e prova dos requisitos do benefício alternativo. A concessão de ofício, sem oitiva das partes sobre o benefício alternativo, pode configurar violação ao contraditório, razão pela qual é recomendável que o juiz, ao identificar a possibilidade de fungibilidade, intime as partes para manifestação antes de proferir sentença.</w:t>
      </w:r>
    </w:p>
    <w:p w14:paraId="4997412D"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18.22 Auxílio-inclusão</w:t>
      </w:r>
    </w:p>
    <w:p w14:paraId="4AAC3A0F"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4C3C1BB4" w14:textId="77777777" w:rsidR="005A5FCC" w:rsidRDefault="00A21C81">
      <w:r>
        <w:rPr>
          <w:rFonts w:cs="EB Garamond"/>
          <w:kern w:val="16"/>
          <w14:ligatures w14:val="standardContextual"/>
        </w:rPr>
        <w:t xml:space="preserve"> auxílio-inclusão, instituído pela Lei n. 14.176/2021 (art. 26 da LOAS, com redação dada por essa lei), é benefício assistencial destinado a incentivar a inserção da pessoa com deficiência no mercado de trabalho formal. Sua lógica é superar o efeito desincentivo do BPC: como a remuneração do trabalho integra a renda per capita familiar e pode superar o limite de miserabilidade, o beneficiário do BPC que aceita emprego formal arrisca perder o benefício assistencial, o que desestimula a busca por trabalho.</w:t>
      </w:r>
    </w:p>
    <w:p w14:paraId="38FFA275" w14:textId="3069FADF" w:rsidR="005A5FCC" w:rsidRDefault="00A21C81">
      <w:pPr>
        <w:ind w:firstLine="238"/>
      </w:pPr>
      <w:r>
        <w:rPr>
          <w:rFonts w:cs="EB Garamond"/>
          <w:kern w:val="16"/>
          <w14:ligatures w14:val="standardContextual"/>
        </w:rPr>
        <w:t xml:space="preserve">O auxílio-inclusão é pago no valor de meio </w:t>
      </w:r>
      <w:r w:rsidR="00B32C43">
        <w:rPr>
          <w:rFonts w:cs="EB Garamond"/>
          <w:kern w:val="16"/>
          <w14:ligatures w14:val="standardContextual"/>
        </w:rPr>
        <w:t>salário-mínimo</w:t>
      </w:r>
      <w:r>
        <w:rPr>
          <w:rFonts w:cs="EB Garamond"/>
          <w:kern w:val="16"/>
          <w14:ligatures w14:val="standardContextual"/>
        </w:rPr>
        <w:t xml:space="preserve"> (atualmente R$ 810,50 em 2026) à pessoa com deficiência que, tendo sido beneficiária do BPC, passe a exercer atividade remunerada que a enquadre como segurada obrigatória do RGPS. O beneficiário recebe o auxílio-inclusão durante o período em que exercer a atividade remunerada, mantendo o direito à reativação do BPC caso cesse o vínculo de trabalho.</w:t>
      </w:r>
    </w:p>
    <w:p w14:paraId="420822B8" w14:textId="77777777" w:rsidR="005A5FCC" w:rsidRDefault="00A21C81">
      <w:pPr>
        <w:ind w:firstLine="238"/>
      </w:pPr>
      <w:r>
        <w:rPr>
          <w:rFonts w:cs="EB Garamond"/>
          <w:kern w:val="16"/>
          <w14:ligatures w14:val="standardContextual"/>
        </w:rPr>
        <w:t>Os requisitos para o auxílio-inclusão, fixados no art. 26 da LOAS (incluído pela Lei n. 14.176/2021) e detalhados pelo Decreto n. 11.898/2024, são: (a) ser pessoa com deficiência; (b) ter sido beneficiária do BPC (não se exige que esteja em gozo do benefício no momento do requerimento); (c) estar exercendo atividade remunerada que a enquadre como segurada obrigatória do RGPS; (d) ter renda per capita familiar de até dois salários mínimos, nos termos do art. 26, II, da LOAS; e (e) manter inscrição atualizada no CadÚnico.</w:t>
      </w:r>
    </w:p>
    <w:p w14:paraId="4D28B9DF" w14:textId="77777777" w:rsidR="005A5FCC" w:rsidRDefault="00A21C81">
      <w:pPr>
        <w:ind w:firstLine="238"/>
      </w:pPr>
      <w:r>
        <w:rPr>
          <w:rFonts w:cs="EB Garamond"/>
          <w:kern w:val="16"/>
          <w14:ligatures w14:val="standardContextual"/>
        </w:rPr>
        <w:t>O auxílio-inclusão não é cumulável com o BPC. O beneficiário que passa a exercer atividade remunerada tem o BPC suspenso e passa a receber o auxílio-inclusão. Se o vínculo de trabalho cessa, o auxílio-inclusão é interrompido e o BPC pode ser reativado, sem necessidade de novo processo de concessão, desde que mantidos os requisitos. Essa sistemática de suspensão e reativação foi desenhada para reduzir o risco de perda definitiva do benefício assistencial em razão de experiência laboral malsucedida.</w:t>
      </w:r>
    </w:p>
    <w:tbl>
      <w:tblPr>
        <w:tblW w:w="5000" w:type="pct"/>
        <w:jc w:val="center"/>
        <w:tblLayout w:type="fixed"/>
        <w:tblLook w:val="04A0" w:firstRow="1" w:lastRow="0" w:firstColumn="1" w:lastColumn="0" w:noHBand="0" w:noVBand="1"/>
      </w:tblPr>
      <w:tblGrid>
        <w:gridCol w:w="6311"/>
      </w:tblGrid>
      <w:tr w:rsidR="005A5FCC" w14:paraId="75754258"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2E6F6F5D" w14:textId="77777777" w:rsidR="005A5FCC" w:rsidRDefault="00A21C81">
            <w:pPr>
              <w:spacing w:after="60" w:line="240" w:lineRule="auto"/>
              <w:jc w:val="left"/>
            </w:pPr>
            <w:r>
              <w:rPr>
                <w:rFonts w:ascii="Noto Sans" w:hAnsi="Noto Sans" w:cs="Noto Sans"/>
                <w:b/>
                <w:caps/>
                <w:color w:val="B78B37"/>
                <w:kern w:val="16"/>
                <w:sz w:val="16"/>
                <w14:ligatures w14:val="standardContextual"/>
              </w:rPr>
              <w:lastRenderedPageBreak/>
              <w:t>ATENÇÃO</w:t>
            </w:r>
          </w:p>
          <w:p w14:paraId="041003FA" w14:textId="77777777" w:rsidR="005A5FCC" w:rsidRDefault="00A21C81">
            <w:pPr>
              <w:spacing w:after="60" w:line="247" w:lineRule="auto"/>
            </w:pPr>
            <w:r>
              <w:rPr>
                <w:rFonts w:cs="EB Garamond"/>
                <w:kern w:val="16"/>
                <w:sz w:val="19"/>
                <w14:ligatures w14:val="standardContextual"/>
              </w:rPr>
              <w:t>O auxílio-inclusão é aplicável exclusivamente ao BPC por deficiência, não se estendendo ao BPC por idade. A lógica do benefício, voltada à inserção no mercado de trabalho, é incompatível com a situação do idoso de 65 anos ou mais. Na prática, o auxílio-inclusão beneficia sobretudo pessoas com deficiência em idade laborativa (18 a 64 anos) que encontram oportunidade de trabalho formal. A regulamentação do auxílio-inclusão exige que a atividade remunerada seja exercida na condição de segurada obrigatória do RGPS, excluindo atividades informais, trabalho voluntário e trabalho autônomo sem contribuição previdenciária.</w:t>
            </w:r>
          </w:p>
        </w:tc>
      </w:tr>
    </w:tbl>
    <w:p w14:paraId="2E7F1079" w14:textId="77777777" w:rsidR="005A5FCC" w:rsidRDefault="005A5FCC">
      <w:pPr>
        <w:spacing w:after="80" w:line="240" w:lineRule="auto"/>
      </w:pPr>
    </w:p>
    <w:p w14:paraId="5BA7B803"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4C4B44EC" w14:textId="77777777" w:rsidR="005A5FCC" w:rsidRDefault="00A21C81">
      <w:r>
        <w:rPr>
          <w:rFonts w:cs="EB Garamond"/>
          <w:kern w:val="16"/>
          <w14:ligatures w14:val="standardContextual"/>
        </w:rPr>
        <w:t xml:space="preserve"> auxílio-inclusão foi regulamentado pelo Decreto n. 11.898/2024, que detalhou o procedimento de concessão, os critérios de elegibilidade e a forma de pagamento. O decreto prevê que o INSS deve comunicar ao beneficiário do BPC, no momento da suspensão do benefício em razão de trabalho, a possibilidade de requerimento do auxílio-inclusão. A integração entre os sistemas do BPC e do auxílio-inclusão é essencial para que a transição ocorra sem descontinuidade de proteção.</w:t>
      </w:r>
    </w:p>
    <w:p w14:paraId="7E9FF8E8" w14:textId="77777777" w:rsidR="005A5FCC" w:rsidRDefault="00A21C81">
      <w:pPr>
        <w:ind w:firstLine="238"/>
      </w:pPr>
      <w:r>
        <w:rPr>
          <w:rFonts w:cs="EB Garamond"/>
          <w:kern w:val="16"/>
          <w14:ligatures w14:val="standardContextual"/>
        </w:rPr>
        <w:t>Para exame da relação entre o auxílio-inclusão e a aposentadoria da pessoa com deficiência (LC 142/2013), ver Capítulo 12.</w:t>
      </w:r>
    </w:p>
    <w:p w14:paraId="5A1CE10E" w14:textId="77777777" w:rsidR="005A5FCC" w:rsidRDefault="00A21C81">
      <w:pPr>
        <w:ind w:firstLine="238"/>
      </w:pPr>
      <w:r>
        <w:rPr>
          <w:rFonts w:cs="EB Garamond"/>
          <w:kern w:val="16"/>
          <w14:ligatures w14:val="standardContextual"/>
        </w:rPr>
        <w:t>Na experiência dos JEFs, o auxílio-inclusão ainda é pouco demandado judicialmente, dado seu caráter recente e a baixa divulgação entre os potenciais beneficiários. O advogado que atua em ações de BPC deve orientar o cliente sobre a existência do auxílio-inclusão, especialmente quando a pessoa com deficiência manifesta interesse em ingressar no mercado de trabalho formal. A informação sobre a garantia de reativação do BPC pode ser o elemento que viabiliza a decisão de aceitar uma oportunidade de emprego.</w:t>
      </w:r>
    </w:p>
    <w:p w14:paraId="20F2AAD5"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18.23 Revisão e cessação do BPC</w:t>
      </w:r>
    </w:p>
    <w:p w14:paraId="18907191"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78618663" w14:textId="77777777" w:rsidR="005A5FCC" w:rsidRDefault="00A21C81">
      <w:r>
        <w:rPr>
          <w:rFonts w:cs="EB Garamond"/>
          <w:kern w:val="16"/>
          <w14:ligatures w14:val="standardContextual"/>
        </w:rPr>
        <w:t xml:space="preserve"> BPC é benefício de trato continuado, sujeito a revisão periódica para verificação da permanência dos requisitos de concessão. O art. 21 da LOAS (com redação da Lei n. 12.435/2011) prevê que o BPC deve ser revisto a </w:t>
      </w:r>
      <w:r>
        <w:rPr>
          <w:rFonts w:cs="EB Garamond"/>
          <w:kern w:val="16"/>
          <w14:ligatures w14:val="standardContextual"/>
        </w:rPr>
        <w:lastRenderedPageBreak/>
        <w:t>cada dois anos, para avaliação da continuidade das condições que lhe deram origem. A periodicidade da revisão pode ser diferenciada conforme a natureza do impedimento e o grau de vulnerabilidade.</w:t>
      </w:r>
    </w:p>
    <w:p w14:paraId="506D8571" w14:textId="77777777" w:rsidR="005A5FCC" w:rsidRDefault="00A21C81">
      <w:pPr>
        <w:ind w:firstLine="238"/>
      </w:pPr>
      <w:r>
        <w:rPr>
          <w:rFonts w:cs="EB Garamond"/>
          <w:kern w:val="16"/>
          <w14:ligatures w14:val="standardContextual"/>
        </w:rPr>
        <w:t>A revisão periódica envolve a reavaliação dos dois requisitos: a condição de deficiência ou idade e a miserabilidade. Para o BPC ao idoso, a revisão limita-se à aferição da miserabilidade, pois a condição etária é permanente e irreversível. Para o BPC à pessoa com deficiência, a revisão abrange tanto a reavaliação da deficiência (persistência do impedimento de longo prazo) quanto a aferição da renda per capita familiar.</w:t>
      </w:r>
    </w:p>
    <w:p w14:paraId="14A51519" w14:textId="77777777" w:rsidR="005A5FCC" w:rsidRDefault="00A21C81">
      <w:pPr>
        <w:ind w:firstLine="238"/>
      </w:pPr>
      <w:r>
        <w:rPr>
          <w:rFonts w:cs="EB Garamond"/>
          <w:kern w:val="16"/>
          <w14:ligatures w14:val="standardContextual"/>
        </w:rPr>
        <w:t>A Portaria MDS/MPS/INSS n. 33/2025 disciplinou o procedimento de reavaliação biopsicossocial do BPC, estabelecendo cronograma para a revisão dos benefícios ativos. A reavaliação é realizada pelo INSS, preferencialmente de forma presencial, podendo, em hipóteses específicas, ser feita por análise documental. O beneficiário convocado para reavaliação que não comparece tem o benefício suspenso após prazo de 30 dias, ressalvadas as hipóteses de impossibilidade comprovada de comparecimento (internação hospitalar, residência em área de difícil acesso). A Portaria Conjunta INSS/MDS n. 34, de 9 de outubro de 2025, atualizou os procedimentos operacionais para o BPC em situação de internação hospitalar e acolhimento institucional, confirmando que a internação de curta duração não autoriza a suspensão automática e que o acolhimento institucional de longa permanência mantém integralmente o direito ao benefício.</w:t>
      </w:r>
    </w:p>
    <w:p w14:paraId="1C2719C8" w14:textId="77777777" w:rsidR="005A5FCC" w:rsidRDefault="00A21C81">
      <w:pPr>
        <w:ind w:firstLine="238"/>
      </w:pPr>
      <w:r>
        <w:rPr>
          <w:rFonts w:cs="EB Garamond"/>
          <w:kern w:val="16"/>
          <w14:ligatures w14:val="standardContextual"/>
        </w:rPr>
        <w:t>São dispensados da reavaliação periódica: (a) beneficiários que completem 65 anos (passam automaticamente à modalidade idoso); (b) pessoas com deficiência permanente, irreversível ou irrecuperável; e (c) PcD que retornem ao BPC após suspensão pelo auxílio-inclusão, por dois anos contados do retorno.</w:t>
      </w:r>
    </w:p>
    <w:p w14:paraId="2314BBE4" w14:textId="77777777" w:rsidR="005A5FCC" w:rsidRDefault="00A21C81">
      <w:pPr>
        <w:ind w:firstLine="238"/>
      </w:pPr>
      <w:r>
        <w:rPr>
          <w:rFonts w:cs="EB Garamond"/>
          <w:kern w:val="16"/>
          <w14:ligatures w14:val="standardContextual"/>
        </w:rPr>
        <w:t>A cessação do BPC pode ocorrer nas seguintes hipóteses: (a) morte do beneficiário; (b) superação da condição de deficiência (melhora funcional que afaste o impedimento de longo prazo); (c) superação da miserabilidade (alteração da renda per capita familiar acima do limite); (d) concessão de benefício previdenciário que impeça a cumulação; (e) reclusão em estabelecimento prisional de regime fechado; (f) não comparecimento à revisão periódica após convocação regular.</w:t>
      </w:r>
    </w:p>
    <w:p w14:paraId="6D78D013" w14:textId="77777777" w:rsidR="005A5FCC" w:rsidRDefault="00A21C81">
      <w:pPr>
        <w:ind w:firstLine="238"/>
      </w:pPr>
      <w:r>
        <w:rPr>
          <w:rFonts w:cs="EB Garamond"/>
          <w:kern w:val="16"/>
          <w14:ligatures w14:val="standardContextual"/>
        </w:rPr>
        <w:lastRenderedPageBreak/>
        <w:t>A cessação do BPC por superação da miserabilidade não é automática. O INSS deve notificar o beneficiário e conceder prazo para defesa antes da cessação, garantindo o contraditório e a ampla defesa. Nos JEFs, decisões de cessação ou suspensão do BPC podem ser impugnadas por via de ação ordinária ou mandado de segurança, quando evidenciada ilegalidade ou arbitrariedade na atuação administrativa.</w:t>
      </w:r>
    </w:p>
    <w:tbl>
      <w:tblPr>
        <w:tblW w:w="5000" w:type="pct"/>
        <w:jc w:val="center"/>
        <w:tblLayout w:type="fixed"/>
        <w:tblLook w:val="04A0" w:firstRow="1" w:lastRow="0" w:firstColumn="1" w:lastColumn="0" w:noHBand="0" w:noVBand="1"/>
      </w:tblPr>
      <w:tblGrid>
        <w:gridCol w:w="6311"/>
      </w:tblGrid>
      <w:tr w:rsidR="005A5FCC" w14:paraId="3342A57F"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4ED35639"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1C9FA326" w14:textId="77777777" w:rsidR="005A5FCC" w:rsidRDefault="00A21C81">
            <w:pPr>
              <w:spacing w:after="60" w:line="247" w:lineRule="auto"/>
            </w:pPr>
            <w:r>
              <w:rPr>
                <w:rFonts w:cs="EB Garamond"/>
                <w:kern w:val="16"/>
                <w:sz w:val="19"/>
                <w14:ligatures w14:val="standardContextual"/>
              </w:rPr>
              <w:t>Na defesa judicial contra a cessação do BPC, a estratégia mais efetiva é a demonstração de que os requisitos permanecem preenchidos, apesar da conclusão administrativa em contrário. O advogado deve requerer: (a) tutela de urgência para restabelecimento do benefício, com base no risco de dano grave e irreversível à subsistência do beneficiário; (b) perícia judicial biopsicossocial (no caso de cessação por suposta superação da deficiência); (c) estudo socioeconômico atualizado (no caso de cessação por suposta superação da miserabilidade). Os JEFs, pelo procedimento sumaríssimo, permitem instrução célere dessas ações, com audiência concentrada e decisão em prazo reduzido.</w:t>
            </w:r>
          </w:p>
        </w:tc>
      </w:tr>
    </w:tbl>
    <w:p w14:paraId="1ED3D7EC" w14:textId="77777777" w:rsidR="005A5FCC" w:rsidRDefault="005A5FCC">
      <w:pPr>
        <w:spacing w:after="80" w:line="240" w:lineRule="auto"/>
      </w:pPr>
    </w:p>
    <w:p w14:paraId="400F49F5"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18.24 BPC e trabalho: suspensão e retomada</w:t>
      </w:r>
    </w:p>
    <w:p w14:paraId="259511F3"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62DE57DD" w14:textId="77777777" w:rsidR="005A5FCC" w:rsidRDefault="00A21C81">
      <w:r>
        <w:rPr>
          <w:rFonts w:cs="EB Garamond"/>
          <w:kern w:val="16"/>
          <w14:ligatures w14:val="standardContextual"/>
        </w:rPr>
        <w:t xml:space="preserve"> relação entre o BPC e o exercício de atividade remunerada é tema de grande relevância prática. O art. 21-A da LOAS (incluído pela Lei n. 12.435/2011 e alterado pela Lei n. 14.176/2021) disciplina a suspensão do BPC em razão de trabalho.</w:t>
      </w:r>
    </w:p>
    <w:p w14:paraId="06DDA928" w14:textId="77777777" w:rsidR="005A5FCC" w:rsidRDefault="00A21C81">
      <w:pPr>
        <w:ind w:firstLine="238"/>
      </w:pPr>
      <w:r>
        <w:rPr>
          <w:rFonts w:cs="EB Garamond"/>
          <w:kern w:val="16"/>
          <w14:ligatures w14:val="standardContextual"/>
        </w:rPr>
        <w:t>A regra geral é que o exercício de atividade remunerada que eleve a renda per capita familiar acima do limite legal conduz à suspensão do BPC, e não à sua cessação definitiva. A distinção é relevante: a suspensão permite a reativação do benefício quando cessada a atividade remunerada, sem necessidade de novo processo de concessão; a cessação exige novo requerimento administrativo e nova avaliação completa dos requisitos.</w:t>
      </w:r>
    </w:p>
    <w:p w14:paraId="00AF1E47" w14:textId="77777777" w:rsidR="005A5FCC" w:rsidRDefault="00A21C81">
      <w:pPr>
        <w:ind w:firstLine="238"/>
      </w:pPr>
      <w:r>
        <w:rPr>
          <w:rFonts w:cs="EB Garamond"/>
          <w:kern w:val="16"/>
          <w14:ligatures w14:val="standardContextual"/>
        </w:rPr>
        <w:lastRenderedPageBreak/>
        <w:t>O art. 21-A, § 1º, da LOAS prevê que a pessoa com deficiência contratada como aprendiz pode acumular o BPC com a remuneração do contrato de aprendizagem, pelo prazo máximo de dois anos. Essa disposição excepcional visa incentivar a formação profissional da pessoa com deficiência sem penalizá-la com a perda do benefício assistencial durante o período de aprendizado.</w:t>
      </w:r>
    </w:p>
    <w:p w14:paraId="59294CDA" w14:textId="77777777" w:rsidR="005A5FCC" w:rsidRDefault="00A21C81">
      <w:pPr>
        <w:ind w:firstLine="238"/>
      </w:pPr>
      <w:r>
        <w:rPr>
          <w:rFonts w:cs="EB Garamond"/>
          <w:kern w:val="16"/>
          <w14:ligatures w14:val="standardContextual"/>
        </w:rPr>
        <w:t>Para as demais modalidades de trabalho formal, a suspensão do BPC é imediata. O beneficiário que inicia atividade remunerada como empregado, contribuinte individual ou segurado em qualquer outra categoria deve comunicar ao INSS para a suspensão do BPC. Se for pessoa com deficiência, poderá requerer o auxílio-inclusão (seção 18.22) como benefício transitório. Se o vínculo de trabalho cessar, o BPC pode ser reativado mediante requerimento simplificado, desde que a deficiência e a miserabilidade persistam.</w:t>
      </w:r>
    </w:p>
    <w:p w14:paraId="207636D8" w14:textId="77777777" w:rsidR="005A5FCC" w:rsidRDefault="00A21C81">
      <w:pPr>
        <w:ind w:firstLine="238"/>
      </w:pPr>
      <w:r>
        <w:rPr>
          <w:rFonts w:cs="EB Garamond"/>
          <w:kern w:val="16"/>
          <w14:ligatures w14:val="standardContextual"/>
        </w:rPr>
        <w:t>O direito à reativação constitui incentivo fundamental à inserção da pessoa com deficiência no mercado de trabalho. A garantia de retorno ao BPC caso a experiência laboral não prospere reduz o risco percebido pelo beneficiário e estimula a tentativa de inclusão produtiva. A regulamentação prevê prazo de 90 dias para a reativação do BPC após a cessação do vínculo de trabalho, contados da data do requerimento.</w:t>
      </w:r>
    </w:p>
    <w:p w14:paraId="7222ADC5"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18.25 Aspectos procedimentais nos JEFs</w:t>
      </w:r>
    </w:p>
    <w:p w14:paraId="37714C5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108A5D21" w14:textId="57D5963C" w:rsidR="005A5FCC" w:rsidRDefault="00A21C81">
      <w:r>
        <w:rPr>
          <w:rFonts w:cs="EB Garamond"/>
          <w:kern w:val="16"/>
          <w14:ligatures w14:val="standardContextual"/>
        </w:rPr>
        <w:t xml:space="preserve"> processamento das ações de BPC nos JEFs obedece ao rito sumaríssimo da Lei n. 10.259/2001, com as adaptações exigidas pela natureza do benefício. A competência é do JEF da subseção judiciária em cuja jurisdição reside o requerente, desde que o valor da causa não exceda 60 </w:t>
      </w:r>
      <w:r w:rsidR="00BC33A8">
        <w:rPr>
          <w:rFonts w:cs="EB Garamond"/>
          <w:kern w:val="16"/>
          <w14:ligatures w14:val="standardContextual"/>
        </w:rPr>
        <w:t>salários-mínimos</w:t>
      </w:r>
      <w:r>
        <w:rPr>
          <w:rFonts w:cs="EB Garamond"/>
          <w:kern w:val="16"/>
          <w14:ligatures w14:val="standardContextual"/>
        </w:rPr>
        <w:t>.</w:t>
      </w:r>
    </w:p>
    <w:p w14:paraId="27238552" w14:textId="77777777" w:rsidR="005A5FCC" w:rsidRDefault="00A21C81">
      <w:pPr>
        <w:ind w:firstLine="238"/>
      </w:pPr>
      <w:r>
        <w:rPr>
          <w:rFonts w:cs="EB Garamond"/>
          <w:kern w:val="16"/>
          <w14:ligatures w14:val="standardContextual"/>
        </w:rPr>
        <w:t>O prévio requerimento administrativo é requisito de interesse de agir para a propositura da ação judicial, conforme assentou o STF no RE 631.240 (Tema 350). O requerente deve comprovar que o INSS indeferiu o pedido de BPC ou que transcorreu prazo razoável sem resposta (45 dias, conforme a legislação de processo administrativo). A dispensa do requerimento administrativo é admitida em situações excepcionais, como recusa de protocolo pela agência ou notório entendimento contrário da administração.</w:t>
      </w:r>
    </w:p>
    <w:p w14:paraId="18BE5576" w14:textId="77777777" w:rsidR="005A5FCC" w:rsidRDefault="00A21C81">
      <w:pPr>
        <w:ind w:firstLine="238"/>
      </w:pPr>
      <w:r>
        <w:rPr>
          <w:rFonts w:cs="EB Garamond"/>
          <w:kern w:val="16"/>
          <w14:ligatures w14:val="standardContextual"/>
        </w:rPr>
        <w:lastRenderedPageBreak/>
        <w:t>A instrução processual nas ações de BPC envolve, tipicamente, três elementos: (a) perícia médica (para o BPC por deficiência); (b) estudo socioeconômico (para aferição da miserabilidade); e (c) prova testemunhal (complementar). A audiência de instrução e julgamento, nos JEFs, concentra a coleta dessas provas, otimizando o procedimento.</w:t>
      </w:r>
    </w:p>
    <w:p w14:paraId="58E14BF5" w14:textId="77777777" w:rsidR="005A5FCC" w:rsidRDefault="00A21C81">
      <w:pPr>
        <w:ind w:firstLine="238"/>
      </w:pPr>
      <w:r>
        <w:rPr>
          <w:rFonts w:cs="EB Garamond"/>
          <w:kern w:val="16"/>
          <w14:ligatures w14:val="standardContextual"/>
        </w:rPr>
        <w:t>A perícia médica para o BPC deve ser realizada por médico com experiência em avaliação funcional, preferencialmente capacitado no uso da CIF/OMS. Os quesitos devem contemplar não apenas o diagnóstico clínico, mas também a avaliação funcional (limitações para atividades da vida diária, capacidade laborativa, necessidade de assistência de terceiros) e a análise contextual (barreiras ambientais e sociais). A perícia interdisciplinar, com participação de assistente social, é ideal, mas nem sempre disponível na estrutura dos JEFs.</w:t>
      </w:r>
    </w:p>
    <w:tbl>
      <w:tblPr>
        <w:tblW w:w="5000" w:type="pct"/>
        <w:jc w:val="center"/>
        <w:tblLayout w:type="fixed"/>
        <w:tblLook w:val="04A0" w:firstRow="1" w:lastRow="0" w:firstColumn="1" w:lastColumn="0" w:noHBand="0" w:noVBand="1"/>
      </w:tblPr>
      <w:tblGrid>
        <w:gridCol w:w="6311"/>
      </w:tblGrid>
      <w:tr w:rsidR="005A5FCC" w14:paraId="2C0053A3"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562BE9C4"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6DB3F664" w14:textId="11D06BC9" w:rsidR="005A5FCC" w:rsidRDefault="00A21C81">
            <w:pPr>
              <w:spacing w:after="60" w:line="247" w:lineRule="auto"/>
            </w:pPr>
            <w:r>
              <w:rPr>
                <w:rFonts w:cs="EB Garamond"/>
                <w:kern w:val="16"/>
                <w:sz w:val="19"/>
                <w14:ligatures w14:val="standardContextual"/>
              </w:rPr>
              <w:t xml:space="preserve">Nos JEFs, a sentença que concede o BPC deve fixar: (a) a data de início do benefício (DIB); (b) o valor do benefício (um </w:t>
            </w:r>
            <w:r w:rsidR="00075CE0">
              <w:rPr>
                <w:rFonts w:cs="EB Garamond"/>
                <w:kern w:val="16"/>
                <w:sz w:val="19"/>
                <w14:ligatures w14:val="standardContextual"/>
              </w:rPr>
              <w:t>salário-mínimo</w:t>
            </w:r>
            <w:r>
              <w:rPr>
                <w:rFonts w:cs="EB Garamond"/>
                <w:kern w:val="16"/>
                <w:sz w:val="19"/>
                <w14:ligatures w14:val="standardContextual"/>
              </w:rPr>
              <w:t xml:space="preserve"> mensal); (c) os honorários advocatícios sucumbenciais (isentos em primeiro grau, nos termos do art. 55 da Lei n. 9.099/95, aplicável por analogia); e (d) a implantação do benefício, que pode ser determinada como obrigação de fazer ao INSS. A antecipação dos efeitos da tutela é frequente nas ações de BPC, dada a vulnerabilidade dos requerentes. O juiz pode determinar a implantação imediata do benefício, com base no art. 4º da Lei n. 10.259/2001, intimando o INSS para cumprimento em prazo determinado (usualmente 30 dias).</w:t>
            </w:r>
          </w:p>
        </w:tc>
      </w:tr>
    </w:tbl>
    <w:p w14:paraId="2395710E" w14:textId="77777777" w:rsidR="005A5FCC" w:rsidRDefault="005A5FCC">
      <w:pPr>
        <w:spacing w:after="80" w:line="240" w:lineRule="auto"/>
      </w:pPr>
    </w:p>
    <w:p w14:paraId="371EDB9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35DAD77E" w14:textId="77777777" w:rsidR="005A5FCC" w:rsidRDefault="00A21C81">
      <w:r>
        <w:rPr>
          <w:rFonts w:cs="EB Garamond"/>
          <w:kern w:val="16"/>
          <w14:ligatures w14:val="standardContextual"/>
        </w:rPr>
        <w:t xml:space="preserve"> legitimidade ativa nas ações de BPC pertence ao requerente (pessoa idosa ou com deficiência). Nos casos de incapacidade civil, o representante legal (curador, tutor) ou, na ausência de representação formal, familiar próximo pode propor a ação em nome do beneficiário. Os JEFs admitem a atuação do representante informal em casos de urgência, regularizando a representação processual no curso do processo.</w:t>
      </w:r>
    </w:p>
    <w:p w14:paraId="2789D9FC" w14:textId="77777777" w:rsidR="005A5FCC" w:rsidRDefault="00A21C81">
      <w:pPr>
        <w:ind w:firstLine="238"/>
      </w:pPr>
      <w:r>
        <w:rPr>
          <w:rFonts w:cs="EB Garamond"/>
          <w:kern w:val="16"/>
          <w14:ligatures w14:val="standardContextual"/>
        </w:rPr>
        <w:t xml:space="preserve">O Ministério Público Federal pode atuar como fiscal da lei nas ações individuais de BPC, embora a intervenção não seja obrigatória. Em ações coletivas (ações </w:t>
      </w:r>
      <w:r>
        <w:rPr>
          <w:rFonts w:cs="EB Garamond"/>
          <w:kern w:val="16"/>
          <w14:ligatures w14:val="standardContextual"/>
        </w:rPr>
        <w:lastRenderedPageBreak/>
        <w:t>civis públicas) que questionem a política pública de concessão do BPC, o MPF tem legitimidade ativa concorrente.</w:t>
      </w:r>
    </w:p>
    <w:p w14:paraId="6E7C70E3" w14:textId="77777777" w:rsidR="005A5FCC" w:rsidRDefault="00A21C81">
      <w:pPr>
        <w:ind w:firstLine="238"/>
      </w:pPr>
      <w:r>
        <w:rPr>
          <w:rFonts w:cs="EB Garamond"/>
          <w:kern w:val="16"/>
          <w14:ligatures w14:val="standardContextual"/>
        </w:rPr>
        <w:t>A tutela de urgência nas ações de BPC merece tratamento destacado. A natureza alimentar do benefício, somada à vulnerabilidade extrema dos requerentes, justifica a concessão de tutela provisória de urgência em caráter antecedente ou incidental, nos termos dos arts. 300 e seguintes do CPC/2015 (aplicáveis subsidiariamente nos JEFs). Os requisitos da tutela de urgência, a probabilidade do direito e o perigo de dano, são facilmente demonstráveis nas ações de BPC: a probabilidade do direito decorre da existência de deficiência ou idade avançada associada a indicativos de miserabilidade; o perigo de dano é inerente à condição de quem não possui meios de subsistência.</w:t>
      </w:r>
    </w:p>
    <w:p w14:paraId="37039439" w14:textId="77777777" w:rsidR="005A5FCC" w:rsidRDefault="00A21C81">
      <w:pPr>
        <w:ind w:firstLine="238"/>
      </w:pPr>
      <w:r>
        <w:rPr>
          <w:rFonts w:cs="EB Garamond"/>
          <w:kern w:val="16"/>
          <w14:ligatures w14:val="standardContextual"/>
        </w:rPr>
        <w:t>A jurisprudência dos TRFs e das Turmas Recursais consolidou orientação favorável à concessão de tutela de urgência nas ações de BPC, especialmente quando: (a) o requerente é idoso em idade avançada (acima de 75 ou 80 anos); (b) há risco de morte ou agravamento severo da condição de saúde; (c) o indeferimento administrativo fundou-se em critério superado pela jurisprudência (como a aplicação rígida do critério de 1/4 do salário mínimo); (d) a deficiência é evidente pela documentação médica juntada com a inicial. A intimação do INSS para implantação provisória do benefício, em prazo de 30 a 45 dias, é a forma usual de cumprimento da tutela antecipada nos JEFs.</w:t>
      </w:r>
    </w:p>
    <w:p w14:paraId="1F5A2DF1" w14:textId="0460939E" w:rsidR="005A5FCC" w:rsidRDefault="00A21C81">
      <w:pPr>
        <w:ind w:firstLine="238"/>
      </w:pPr>
      <w:r>
        <w:rPr>
          <w:rFonts w:cs="EB Garamond"/>
          <w:kern w:val="16"/>
          <w14:ligatures w14:val="standardContextual"/>
        </w:rPr>
        <w:t xml:space="preserve">Nas ações de restabelecimento do BPC (quando o benefício foi indevidamente cessado pelo INSS), a tutela de urgência assume importância ainda maior. O beneficiário que vinha recebendo o BPC e teve o benefício cortado sofre privação imediata de sua única fonte de renda. A demonstração do perigo de dano é, nesses casos, praticamente automática: a pessoa que dependia do </w:t>
      </w:r>
      <w:r w:rsidR="00075CE0">
        <w:rPr>
          <w:rFonts w:cs="EB Garamond"/>
          <w:kern w:val="16"/>
          <w14:ligatures w14:val="standardContextual"/>
        </w:rPr>
        <w:t>salário-mínimo</w:t>
      </w:r>
      <w:r>
        <w:rPr>
          <w:rFonts w:cs="EB Garamond"/>
          <w:kern w:val="16"/>
          <w14:ligatures w14:val="standardContextual"/>
        </w:rPr>
        <w:t xml:space="preserve"> mensal do BPC para sobreviver e se vê repentinamente sem renda enfrenta risco alimentar concreto. O juiz deve agir com celeridade, determinando o restabelecimento provisório do benefício enquanto instrui a ação.</w:t>
      </w:r>
    </w:p>
    <w:p w14:paraId="61A14B38"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18.26 Data de início do benefício (DIB) e efeitos financeiros</w:t>
      </w:r>
    </w:p>
    <w:p w14:paraId="03CF86ED"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4B77F4EF" w14:textId="77777777" w:rsidR="005A5FCC" w:rsidRDefault="00A21C81">
      <w:r>
        <w:rPr>
          <w:rFonts w:cs="EB Garamond"/>
          <w:kern w:val="16"/>
          <w14:ligatures w14:val="standardContextual"/>
        </w:rPr>
        <w:t xml:space="preserve"> fixação da data de início do benefício (DIB) nas ações judiciais de BPC é questão de relevância prática direta, pois determina o montante das parcelas atrasadas devidas ao beneficiário. A regra geral é que a DIB deve ser fixada na data do requerimento administrativo (DER), quando os requisitos já estavam preenchidos naquela data.</w:t>
      </w:r>
    </w:p>
    <w:p w14:paraId="53FC4F90" w14:textId="77777777" w:rsidR="005A5FCC" w:rsidRDefault="00A21C81">
      <w:pPr>
        <w:ind w:firstLine="238"/>
      </w:pPr>
      <w:r>
        <w:rPr>
          <w:rFonts w:cs="EB Garamond"/>
          <w:kern w:val="16"/>
          <w14:ligatures w14:val="standardContextual"/>
        </w:rPr>
        <w:t>Se os requisitos foram preenchidos após o requerimento administrativo (por exemplo, a idade de 65 anos foi completada após a DER), a DIB deve ser fixada na data em que o último requisito foi implementado. Aplica-se, por analogia, a tese da reafirmação da DER fixada pelo STJ no Tema 995 para benefícios previdenciários: se os requisitos são preenchidos no curso do processo judicial, o benefício pode ser concedido com DIB na data em que o último requisito foi implementado, mesmo que posterior à DER.</w:t>
      </w:r>
    </w:p>
    <w:p w14:paraId="11851FE2" w14:textId="77777777" w:rsidR="005A5FCC" w:rsidRDefault="00A21C81">
      <w:pPr>
        <w:ind w:firstLine="238"/>
      </w:pPr>
      <w:r>
        <w:rPr>
          <w:rFonts w:cs="EB Garamond"/>
          <w:kern w:val="16"/>
          <w14:ligatures w14:val="standardContextual"/>
        </w:rPr>
        <w:t>Na ausência de requerimento administrativo (em hipóteses excepcionais de dispensa), a DIB é fixada na data da citação válida do INSS, quando os requisitos estejam comprovados desde essa data. A fixação da DIB na data da sentença é reservada para casos em que a comprovação dos requisitos somente se completou no curso do processo.</w:t>
      </w:r>
    </w:p>
    <w:p w14:paraId="3B24C90A" w14:textId="73A6ABD7" w:rsidR="005A5FCC" w:rsidRDefault="00A21C81">
      <w:pPr>
        <w:ind w:firstLine="238"/>
      </w:pPr>
      <w:r>
        <w:rPr>
          <w:rFonts w:cs="EB Garamond"/>
          <w:kern w:val="16"/>
          <w14:ligatures w14:val="standardContextual"/>
        </w:rPr>
        <w:t xml:space="preserve">As parcelas atrasadas (diferenças entre a DIB e a data da implantação) são pagas mediante Requisição de Pequeno Valor (RPV), se o montante total for igual ou inferior a 60 </w:t>
      </w:r>
      <w:r w:rsidR="00075CE0">
        <w:rPr>
          <w:rFonts w:cs="EB Garamond"/>
          <w:kern w:val="16"/>
          <w14:ligatures w14:val="standardContextual"/>
        </w:rPr>
        <w:t>salários-mínimos</w:t>
      </w:r>
      <w:r>
        <w:rPr>
          <w:rFonts w:cs="EB Garamond"/>
          <w:kern w:val="16"/>
          <w14:ligatures w14:val="standardContextual"/>
        </w:rPr>
        <w:t xml:space="preserve">, ou por precatório, se superior. Nos JEFs, a competência está limitada a causas de até 60 </w:t>
      </w:r>
      <w:r w:rsidR="00075CE0">
        <w:rPr>
          <w:rFonts w:cs="EB Garamond"/>
          <w:kern w:val="16"/>
          <w14:ligatures w14:val="standardContextual"/>
        </w:rPr>
        <w:t>salários-mínimos</w:t>
      </w:r>
      <w:r>
        <w:rPr>
          <w:rFonts w:cs="EB Garamond"/>
          <w:kern w:val="16"/>
          <w14:ligatures w14:val="standardContextual"/>
        </w:rPr>
        <w:t>, o que abrange a quase totalidade das ações de BPC, cujas parcelas atrasadas raramente excedem esse teto.</w:t>
      </w:r>
    </w:p>
    <w:p w14:paraId="0D41575B" w14:textId="77777777" w:rsidR="005A5FCC" w:rsidRDefault="00A21C81">
      <w:pPr>
        <w:ind w:firstLine="238"/>
      </w:pPr>
      <w:r>
        <w:rPr>
          <w:rFonts w:cs="EB Garamond"/>
          <w:kern w:val="16"/>
          <w14:ligatures w14:val="standardContextual"/>
        </w:rPr>
        <w:t xml:space="preserve">A atualização das parcelas atrasadas observa dois regimes distintos, conforme o recorte temporal. Até a vigência da EC 113/2021, aplica-se o regime fixado pelo STJ no Tema 905 (REsps 1.495.146/MG e 1.492.221/PR) e pelo STF no RE 870.947 (Tema 810): correção monetária pelo INPC — índice próprio das condenações previdenciárias, estendido por analogia aos benefícios assistenciais por sua natureza alimentar — e juros de mora pelos índices da caderneta de poupança, na linha do Tema 810, que afastou a TR como critério de atualização das </w:t>
      </w:r>
      <w:r>
        <w:rPr>
          <w:rFonts w:cs="EB Garamond"/>
          <w:kern w:val="16"/>
          <w14:ligatures w14:val="standardContextual"/>
        </w:rPr>
        <w:lastRenderedPageBreak/>
        <w:t>condenações da Fazenda Pública. A partir da vigência da EC 113/2021, esse regime bipartido é substituído pela taxa SELIC, que passa a operar como índice único de correção monetária e juros de mora, aplicável às parcelas vencidas a partir de então.</w:t>
      </w:r>
    </w:p>
    <w:tbl>
      <w:tblPr>
        <w:tblW w:w="5000" w:type="pct"/>
        <w:jc w:val="center"/>
        <w:tblLayout w:type="fixed"/>
        <w:tblLook w:val="04A0" w:firstRow="1" w:lastRow="0" w:firstColumn="1" w:lastColumn="0" w:noHBand="0" w:noVBand="1"/>
      </w:tblPr>
      <w:tblGrid>
        <w:gridCol w:w="6311"/>
      </w:tblGrid>
      <w:tr w:rsidR="005A5FCC" w14:paraId="7AABD8B3"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1EC105EB"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6E0CC343" w14:textId="36F4A34B" w:rsidR="005A5FCC" w:rsidRDefault="00A21C81">
            <w:pPr>
              <w:spacing w:after="60" w:line="247" w:lineRule="auto"/>
            </w:pPr>
            <w:r>
              <w:rPr>
                <w:rFonts w:cs="EB Garamond"/>
                <w:kern w:val="16"/>
                <w:sz w:val="19"/>
                <w14:ligatures w14:val="standardContextual"/>
              </w:rPr>
              <w:t xml:space="preserve">A renúncia ao excedente de 60 </w:t>
            </w:r>
            <w:r w:rsidR="00EE5D33">
              <w:rPr>
                <w:rFonts w:cs="EB Garamond"/>
                <w:kern w:val="16"/>
                <w:sz w:val="19"/>
                <w14:ligatures w14:val="standardContextual"/>
              </w:rPr>
              <w:t>salários-mínimos</w:t>
            </w:r>
            <w:r>
              <w:rPr>
                <w:rFonts w:cs="EB Garamond"/>
                <w:kern w:val="16"/>
                <w:sz w:val="19"/>
                <w14:ligatures w14:val="standardContextual"/>
              </w:rPr>
              <w:t xml:space="preserve">, exigida para a fixação da competência do JEF (art. 3º, § 3º, da Lei n. 10.259/2001), deve ser considerada pelo advogado na propositura da ação. Quando as parcelas atrasadas ultrapassam 60 </w:t>
            </w:r>
            <w:r w:rsidR="00EE5D33">
              <w:rPr>
                <w:rFonts w:cs="EB Garamond"/>
                <w:kern w:val="16"/>
                <w:sz w:val="19"/>
                <w14:ligatures w14:val="standardContextual"/>
              </w:rPr>
              <w:t>salários-mínimos</w:t>
            </w:r>
            <w:r>
              <w:rPr>
                <w:rFonts w:cs="EB Garamond"/>
                <w:kern w:val="16"/>
                <w:sz w:val="19"/>
                <w14:ligatures w14:val="standardContextual"/>
              </w:rPr>
              <w:t xml:space="preserve"> (o que pode ocorrer em ações com longo tempo de tramitação ou com DIB fixada em data remota), o autor deve optar entre renunciar ao excedente para permanecer no JEF (com a vantagem do rito célere) ou ajuizar a ação na vara federal comum (com a vantagem de receber o valor integral, porém mediante precatório). A decisão depende do caso concreto e deve ser objeto de aconselhamento individualizado ao cliente.</w:t>
            </w:r>
          </w:p>
        </w:tc>
      </w:tr>
    </w:tbl>
    <w:p w14:paraId="2DA53281" w14:textId="77777777" w:rsidR="005A5FCC" w:rsidRDefault="005A5FCC">
      <w:pPr>
        <w:spacing w:after="80" w:line="240" w:lineRule="auto"/>
      </w:pPr>
    </w:p>
    <w:p w14:paraId="358F52DC" w14:textId="6363ADA8"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 xml:space="preserve">18.27 Legislação recente: impactos das </w:t>
      </w:r>
      <w:r w:rsidR="00EE5D33">
        <w:rPr>
          <w:rFonts w:cs="EB Garamond"/>
          <w:b/>
          <w:color w:val="3A3128"/>
          <w:kern w:val="16"/>
          <w:sz w:val="31"/>
          <w14:ligatures w14:val="standardContextual"/>
        </w:rPr>
        <w:t>L</w:t>
      </w:r>
      <w:r>
        <w:rPr>
          <w:rFonts w:cs="EB Garamond"/>
          <w:b/>
          <w:color w:val="3A3128"/>
          <w:kern w:val="16"/>
          <w:sz w:val="31"/>
          <w14:ligatures w14:val="standardContextual"/>
        </w:rPr>
        <w:t>eis n. 14.176/2021, n. 15.077/2024 e n. 15.226/2025</w:t>
      </w:r>
    </w:p>
    <w:p w14:paraId="566A8D2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50B5D2BB" w14:textId="77777777" w:rsidR="005A5FCC" w:rsidRDefault="00A21C81">
      <w:r>
        <w:rPr>
          <w:rFonts w:cs="EB Garamond"/>
          <w:kern w:val="16"/>
          <w14:ligatures w14:val="standardContextual"/>
        </w:rPr>
        <w:t xml:space="preserve"> evolução legislativa recente do BPC reflete a tensão entre a ampliação do acesso ao benefício e as preocupações fiscais que permeiam a política de assistência social. A Lei n. 14.176/2021 constitui o marco legislativo mais significativo desde a edição da LOAS em 1993.</w:t>
      </w:r>
    </w:p>
    <w:p w14:paraId="6A62274C" w14:textId="77777777" w:rsidR="005A5FCC" w:rsidRDefault="00A21C81">
      <w:pPr>
        <w:ind w:firstLine="238"/>
      </w:pPr>
      <w:r>
        <w:rPr>
          <w:rFonts w:cs="EB Garamond"/>
          <w:kern w:val="16"/>
          <w14:ligatures w14:val="standardContextual"/>
        </w:rPr>
        <w:t>A Lei n. 14.176/2021 promoveu as seguintes alterações principais: (a) criação do art. 20-B, que autoriza a ampliação do critério de renda per capita para até 1/2 salário mínimo, mediante regulamentação; (b) consolidação e aperfeiçoamento do rol de exclusões da renda per capita familiar (art. 20, § 14, originariamente acrescentado pela Lei n. 13.982/2020), abrangendo benefícios de até um salário mínimo de membros idosos ou com deficiência; (c) previsão de avaliação biopsicossocial unificada (art. 2º-A); (d) regulamentação do auxílio-inclusão (art. 26); (e) aperfeiçoamento dos critérios de composição do grupo familiar; (f) exigência de inscrição no CadÚnico como condição para concessão administrativa.</w:t>
      </w:r>
    </w:p>
    <w:p w14:paraId="528A86DE" w14:textId="77777777" w:rsidR="005A5FCC" w:rsidRDefault="00A21C81">
      <w:pPr>
        <w:ind w:firstLine="238"/>
      </w:pPr>
      <w:r>
        <w:rPr>
          <w:rFonts w:cs="EB Garamond"/>
          <w:kern w:val="16"/>
          <w14:ligatures w14:val="standardContextual"/>
        </w:rPr>
        <w:lastRenderedPageBreak/>
        <w:t>A Lei n. 15.077/2024 alterou dispositivos da LOAS relativos ao procedimento administrativo de concessão e revisão do BPC. Dentre as alterações, destacam-se o aperfeiçoamento dos prazos para análise do requerimento administrativo e a previsão de canais digitais para o requerimento, visando reduzir a exclusão digital de idosos e pessoas com deficiência que enfrentam dificuldades de acesso presencial às agências do INSS.</w:t>
      </w:r>
    </w:p>
    <w:p w14:paraId="2764E0F2" w14:textId="77777777" w:rsidR="005A5FCC" w:rsidRDefault="00A21C81">
      <w:pPr>
        <w:ind w:firstLine="238"/>
      </w:pPr>
      <w:r>
        <w:rPr>
          <w:rFonts w:cs="EB Garamond"/>
          <w:kern w:val="16"/>
          <w14:ligatures w14:val="standardContextual"/>
        </w:rPr>
        <w:t>A Lei n. 15.226/2025 promoveu ajustes nos critérios de revisão periódica do BPC, diferenciando a periodicidade conforme a natureza do impedimento e a faixa etária do beneficiário. Beneficiários com impedimentos permanentes e irreversíveis passam a ter periodicidade de revisão ampliada, reduzindo a frequência de convocações e o risco de cessação indevida. A alteração responde a críticas de que a revisão bienal impunha ônus desproporcional a pessoas cuja condição de deficiência, por natureza, não era suscetível de melhora.</w:t>
      </w:r>
    </w:p>
    <w:tbl>
      <w:tblPr>
        <w:tblW w:w="5000" w:type="pct"/>
        <w:jc w:val="center"/>
        <w:tblLayout w:type="fixed"/>
        <w:tblLook w:val="04A0" w:firstRow="1" w:lastRow="0" w:firstColumn="1" w:lastColumn="0" w:noHBand="0" w:noVBand="1"/>
      </w:tblPr>
      <w:tblGrid>
        <w:gridCol w:w="6311"/>
      </w:tblGrid>
      <w:tr w:rsidR="005A5FCC" w14:paraId="464F6966"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641665C6"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4A4B502B" w14:textId="77777777" w:rsidR="005A5FCC" w:rsidRDefault="00A21C81">
            <w:pPr>
              <w:spacing w:after="60" w:line="247" w:lineRule="auto"/>
            </w:pPr>
            <w:r>
              <w:rPr>
                <w:rFonts w:cs="EB Garamond"/>
                <w:kern w:val="16"/>
                <w:sz w:val="19"/>
                <w14:ligatures w14:val="standardContextual"/>
              </w:rPr>
              <w:t>As Leis n. 15.077/2024 e n. 15.226/2025 são diplomas de edição muito recente, cujos dispositivos vêm sendo objeto de regulamentação infralegal sucessiva. Os efeitos aqui descritos (aperfeiçoamento de prazos administrativos, canais digitais de requerimento e diferenciação da periodicidade de revisão) refletem o conteúdo dessas leis conforme o texto vigente na data de fechamento desta edição. Recomendamos ao leitor conferir, na data de leitura, a redação atualizada da LOAS e os exatos dispositivos por elas alterados ou acrescentados, no portal da legislação federal (planalto.gov.br), pois pequenas modificações posteriores podem repercutir nos prazos e nas regras procedimentais apontados.</w:t>
            </w:r>
          </w:p>
        </w:tc>
      </w:tr>
    </w:tbl>
    <w:p w14:paraId="6F8B377B" w14:textId="77777777" w:rsidR="005A5FCC" w:rsidRDefault="005A5FCC">
      <w:pPr>
        <w:spacing w:after="80" w:line="240" w:lineRule="auto"/>
      </w:pPr>
    </w:p>
    <w:p w14:paraId="4ADC6A2F"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04E27AB3" w14:textId="77777777" w:rsidR="005A5FCC" w:rsidRDefault="00A21C81">
      <w:r>
        <w:rPr>
          <w:rFonts w:cs="EB Garamond"/>
          <w:kern w:val="16"/>
          <w14:ligatures w14:val="standardContextual"/>
        </w:rPr>
        <w:t xml:space="preserve"> Decreto n. 12.686/2025 regulamentou aspectos procedimentais da avaliação biopsicossocial, definindo competências, prazos e protocolos para a aplicação do instrumento de avaliação. A regulamentação prevê a participação de equipe multidisciplinar (médico, assistente social e, quando pertinente, psicólogo ou terapeuta ocupacional) na avaliação da deficiência para fins do BPC, superando o modelo vigente de avaliação exclusivamente médica complementada por parecer social.</w:t>
      </w:r>
    </w:p>
    <w:tbl>
      <w:tblPr>
        <w:tblW w:w="5000" w:type="pct"/>
        <w:jc w:val="center"/>
        <w:tblLayout w:type="fixed"/>
        <w:tblLook w:val="04A0" w:firstRow="1" w:lastRow="0" w:firstColumn="1" w:lastColumn="0" w:noHBand="0" w:noVBand="1"/>
      </w:tblPr>
      <w:tblGrid>
        <w:gridCol w:w="6311"/>
      </w:tblGrid>
      <w:tr w:rsidR="005A5FCC" w14:paraId="0090C3C8"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7F89CE89"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64C54FBC" w14:textId="77777777" w:rsidR="005A5FCC" w:rsidRDefault="00A21C81">
            <w:pPr>
              <w:spacing w:after="60" w:line="247" w:lineRule="auto"/>
            </w:pPr>
            <w:r>
              <w:rPr>
                <w:rFonts w:cs="EB Garamond"/>
                <w:kern w:val="16"/>
                <w:sz w:val="19"/>
                <w14:ligatures w14:val="standardContextual"/>
              </w:rPr>
              <w:t>O advogado que atua em ações de BPC deve manter-se permanentemente atualizado sobre as alterações legislativas e regulamentares, que têm sido frequentes nos últimos anos. A consulta periódica ao portal da legislação federal (planalto.gov.br) e ao Diário Oficial da União é medida indispensável. Recomendamos especial atenção às portarias conjuntas MDS/MPS/INSS, que regulamentam os procedimentos administrativos de concessão e revisão do BPC. A regulamentação do art. 20-B (ampliação do critério para 1/2 SM) deve ser monitorada, pois sua implementação pode alterar significativamente o cenário de concessão administrativa e judicial do benefício.</w:t>
            </w:r>
          </w:p>
        </w:tc>
      </w:tr>
    </w:tbl>
    <w:p w14:paraId="4CB37306" w14:textId="77777777" w:rsidR="005A5FCC" w:rsidRDefault="005A5FCC">
      <w:pPr>
        <w:spacing w:after="80" w:line="240" w:lineRule="auto"/>
      </w:pPr>
    </w:p>
    <w:p w14:paraId="1B507CD5"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79D1B98A" w14:textId="77777777" w:rsidR="005A5FCC" w:rsidRDefault="00A21C81">
      <w:r>
        <w:rPr>
          <w:rFonts w:cs="EB Garamond"/>
          <w:kern w:val="16"/>
          <w14:ligatures w14:val="standardContextual"/>
        </w:rPr>
        <w:t xml:space="preserve"> Lei n. 14.176/2021 também modificou a sistemática de inscrição no CadÚnico como requisito para concessão administrativa do BPC. O art. 20, § 13, da LOAS (incluído por essa lei) exige que o requerente e os membros de seu grupo familiar estejam inscritos no CadÚnico como condição para processamento do requerimento administrativo. A exigência visa integrar as bases de dados de proteção social e facilitar a verificação da renda familiar. No âmbito judicial, contudo, a ausência de inscrição no CadÚnico não pode servir de fundamento para indeferimento da pretensão: o direito constitucional ao BPC não se condiciona a requisito cadastral infraconstitucional. O juiz que verificar a ausência de inscrição pode determinar, como obrigação acessória, que o INSS providencie a inscrição do beneficiário no CadÚnico.</w:t>
      </w:r>
    </w:p>
    <w:p w14:paraId="7DC7CBE1"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18.28 Avaliação biopsicossocial unificada: perspectivas</w:t>
      </w:r>
    </w:p>
    <w:p w14:paraId="74E5748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21B4D170" w14:textId="77777777" w:rsidR="005A5FCC" w:rsidRDefault="00A21C81">
      <w:r>
        <w:rPr>
          <w:rFonts w:cs="EB Garamond"/>
          <w:kern w:val="16"/>
          <w14:ligatures w14:val="standardContextual"/>
        </w:rPr>
        <w:t xml:space="preserve"> avaliação biopsicossocial unificada, prevista no art. 2º, § 1º, da Lei n. 13.146/2015 e regulamentada pela Lei n. 14.176/2021, representa transformação paradigmática na forma de avaliar a deficiência para fins de acesso a políticas públicas. Para a análise detalhada do modelo biopsicossocial, da </w:t>
      </w:r>
      <w:r>
        <w:rPr>
          <w:rFonts w:cs="EB Garamond"/>
          <w:kern w:val="16"/>
          <w14:ligatures w14:val="standardContextual"/>
        </w:rPr>
        <w:lastRenderedPageBreak/>
        <w:t>CIF/OMS e do Sisperjud/CNJ como instrumentos gerais de avaliação da deficiência, remetemos ao Capítulo 6 deste livro. Aqui, examinamos as perspectivas específicas da avaliação unificada para o BPC.</w:t>
      </w:r>
    </w:p>
    <w:p w14:paraId="30D3808B" w14:textId="77777777" w:rsidR="005A5FCC" w:rsidRDefault="00A21C81">
      <w:pPr>
        <w:ind w:firstLine="238"/>
      </w:pPr>
      <w:r>
        <w:rPr>
          <w:rFonts w:cs="EB Garamond"/>
          <w:kern w:val="16"/>
          <w14:ligatures w14:val="standardContextual"/>
        </w:rPr>
        <w:t>O Decreto n. 12.686/2025 regulamentou os aspectos procedimentais da avaliação biopsicossocial especificamente para o BPC, prevendo a participação de equipe multidisciplinar (médico, assistente social e, quando pertinente, psicólogo ou terapeuta ocupacional), cronograma de implementação e protocolos de aplicação. O prazo para implementação obrigatória, originalmente fixado para janeiro de 2025, foi prorrogado para março de 2026, refletindo as dificuldades operacionais do processo de transição. Por se tratar de marco futuro e condicionado à conclusão da regulamentação e da estruturação operacional, o leitor deve confirmar, na data de leitura, se a avaliação unificada entrou efetivamente em vigor no termo indicado ou sofreu nova prorrogação. A perspectiva é de que, uma vez implementada, a avaliação unificada melhore a qualidade da prova pericial, reduza a judicialização e promova maior isonomia entre os beneficiários.</w:t>
      </w:r>
    </w:p>
    <w:tbl>
      <w:tblPr>
        <w:tblW w:w="5000" w:type="pct"/>
        <w:jc w:val="center"/>
        <w:tblLayout w:type="fixed"/>
        <w:tblLook w:val="04A0" w:firstRow="1" w:lastRow="0" w:firstColumn="1" w:lastColumn="0" w:noHBand="0" w:noVBand="1"/>
      </w:tblPr>
      <w:tblGrid>
        <w:gridCol w:w="6311"/>
      </w:tblGrid>
      <w:tr w:rsidR="005A5FCC" w14:paraId="1F16D8B0"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3CF71995" w14:textId="77777777" w:rsidR="005A5FCC" w:rsidRDefault="00A21C81">
            <w:pPr>
              <w:spacing w:after="60" w:line="240" w:lineRule="auto"/>
              <w:jc w:val="left"/>
            </w:pPr>
            <w:r>
              <w:rPr>
                <w:rFonts w:ascii="Noto Sans" w:hAnsi="Noto Sans" w:cs="Noto Sans"/>
                <w:b/>
                <w:caps/>
                <w:color w:val="4D6F8A"/>
                <w:kern w:val="16"/>
                <w:sz w:val="16"/>
                <w14:ligatures w14:val="standardContextual"/>
              </w:rPr>
              <w:t>JURISPRUDÊNCIA EM DESTAQUE</w:t>
            </w:r>
          </w:p>
          <w:p w14:paraId="6E9D2EBC" w14:textId="77777777" w:rsidR="005A5FCC" w:rsidRDefault="00A21C81">
            <w:pPr>
              <w:spacing w:after="60" w:line="247" w:lineRule="auto"/>
            </w:pPr>
            <w:r>
              <w:rPr>
                <w:rFonts w:cs="EB Garamond"/>
                <w:b/>
                <w:kern w:val="16"/>
                <w:sz w:val="19"/>
                <w14:ligatures w14:val="standardContextual"/>
              </w:rPr>
              <w:t>TNU, Súmula 78</w:t>
            </w:r>
            <w:r>
              <w:rPr>
                <w:rFonts w:cs="EB Garamond"/>
                <w:kern w:val="16"/>
                <w:sz w:val="19"/>
                <w14:ligatures w14:val="standardContextual"/>
              </w:rPr>
              <w:t>: "Comprovado que o requerente de benefício é portador do vírus HIV, cabe ao julgador verificar as condições pessoais, sociais, econômicas e culturais, de forma a analisar a incapacidade em sentido amplo, em face da elevada estigmatização social da doença." A Súmula 78 antecipou, para os casos de HIV, a lógica biopsicossocial que a avaliação unificada pretende generalizar. O entendimento de que a avaliação da deficiência ou incapacidade não se esgota no exame clínico, devendo considerar o contexto social e as barreiras à participação, constitui o núcleo do modelo biopsicossocial hoje consagrado em lei.</w:t>
            </w:r>
          </w:p>
        </w:tc>
      </w:tr>
    </w:tbl>
    <w:p w14:paraId="4A838B1D" w14:textId="77777777" w:rsidR="005A5FCC" w:rsidRDefault="005A5FCC">
      <w:pPr>
        <w:spacing w:after="80" w:line="240" w:lineRule="auto"/>
      </w:pPr>
    </w:p>
    <w:p w14:paraId="337CB3B3"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18.29 BPC e situações especiais</w:t>
      </w:r>
    </w:p>
    <w:p w14:paraId="52069D89"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62D683DC" w14:textId="77777777" w:rsidR="005A5FCC" w:rsidRDefault="00A21C81">
      <w:r>
        <w:rPr>
          <w:rFonts w:cs="EB Garamond"/>
          <w:kern w:val="16"/>
          <w14:ligatures w14:val="standardContextual"/>
        </w:rPr>
        <w:t xml:space="preserve"> aplicação do BPC em situações especiais suscita questões que merecem exame individualizado, pela frequência com que surgem nos JEFs e pela complexidade jurídica que envolvem.</w:t>
      </w:r>
    </w:p>
    <w:p w14:paraId="5A8D68C2" w14:textId="77777777" w:rsidR="005A5FCC" w:rsidRDefault="00A21C81">
      <w:pPr>
        <w:ind w:firstLine="238"/>
      </w:pPr>
      <w:r>
        <w:rPr>
          <w:rFonts w:cs="EB Garamond"/>
          <w:b/>
          <w:kern w:val="16"/>
          <w14:ligatures w14:val="standardContextual"/>
        </w:rPr>
        <w:lastRenderedPageBreak/>
        <w:t>Atividade remunerada informal.</w:t>
      </w:r>
      <w:r>
        <w:rPr>
          <w:rFonts w:cs="EB Garamond"/>
          <w:kern w:val="16"/>
          <w14:ligatures w14:val="standardContextual"/>
        </w:rPr>
        <w:t xml:space="preserve"> A atividade informal (bico, trabalho eventual, venda ambulante) não configura, por si só, impedimento ao BPC, desde que a renda auferida não eleve a renda per capita familiar acima do limite. A jurisprudência reconhece que muitas pessoas com deficiência exercem atividades informais de baixa remuneração como estratégia de sobrevivência, sem que isso afaste a miserabilidade ou a condição de deficiência. A análise é contextual: o que importa é se o trabalho informal revela capacidade efetiva de sustento ou se representa mera complementação precária de renda em contexto de vulnerabilidade. Nos JEFs, é frequente a contestação do INSS que alega a existência de atividade informal como óbice ao BPC. O juiz deve ponderar que a atividade informal de baixa produtividade, exercida por pessoa com impedimento funcional em contexto de miserabilidade, não revela capacidade de autossustento, mas constitui expediente de sobrevivência que confirma a vulnerabilidade.</w:t>
      </w:r>
    </w:p>
    <w:p w14:paraId="7DF8D282" w14:textId="77777777" w:rsidR="005A5FCC" w:rsidRDefault="00A21C81">
      <w:pPr>
        <w:ind w:firstLine="238"/>
      </w:pPr>
      <w:r>
        <w:rPr>
          <w:rFonts w:cs="EB Garamond"/>
          <w:b/>
          <w:kern w:val="16"/>
          <w14:ligatures w14:val="standardContextual"/>
        </w:rPr>
        <w:t>Apoio financeiro de familiares externos ao grupo.</w:t>
      </w:r>
      <w:r>
        <w:rPr>
          <w:rFonts w:cs="EB Garamond"/>
          <w:kern w:val="16"/>
          <w14:ligatures w14:val="standardContextual"/>
        </w:rPr>
        <w:t xml:space="preserve"> A pessoa com deficiência que recebe apoio financeiro de familiares não integrantes do grupo familiar (filhos casados que não residem no mesmo domicílio, irmãos em outras cidades) enfrenta objeção recorrente do INSS. A ajuda financeira de terceiros não integra a renda per capita familiar para fins do BPC, pois apenas a renda dos membros do grupo familiar (coabitantes nos termos do art. 20, § 1º) é computada. A ajuda informal de parentes, por sua natureza precária e voluntária, não afasta a miserabilidade. Entendemos que a proteção assistencial não pode ser condicionada à existência de solidariedade familiar privada, que é moralmente desejável, mas juridicamente insuficiente para substituir a obrigação do Estado. A doutrina converge: o dever constitucional de amparo ao idoso e à pessoa com deficiência em situação de vulnerabilidade recai sobre o Estado (art. 203, CF/88), e não pode ser transferido à família como condição de exclusão do benefício assistencial.</w:t>
      </w:r>
    </w:p>
    <w:p w14:paraId="4DB0C4FB" w14:textId="77777777" w:rsidR="005A5FCC" w:rsidRDefault="00A21C81">
      <w:pPr>
        <w:ind w:firstLine="238"/>
      </w:pPr>
      <w:r>
        <w:rPr>
          <w:rFonts w:cs="EB Garamond"/>
          <w:b/>
          <w:kern w:val="16"/>
          <w14:ligatures w14:val="standardContextual"/>
        </w:rPr>
        <w:t>Propriedade de imóvel de baixo valor.</w:t>
      </w:r>
      <w:r>
        <w:rPr>
          <w:rFonts w:cs="EB Garamond"/>
          <w:kern w:val="16"/>
          <w14:ligatures w14:val="standardContextual"/>
        </w:rPr>
        <w:t xml:space="preserve"> A análise do patrimônio do idoso ou da pessoa com deficiência proprietário de imóvel merece exame cuidadoso. A propriedade de imóvel utilizado como moradia não impede a concessão do BPC, pois a moradia é direito social (art. 6º, CF/88) e sua titularidade não demonstra capacidade econômica de prover o sustento. A propriedade de imóvel de valor expressivo que não serve de moradia (terreno rural, lote urbano desocupado) </w:t>
      </w:r>
      <w:r>
        <w:rPr>
          <w:rFonts w:cs="EB Garamond"/>
          <w:kern w:val="16"/>
          <w14:ligatures w14:val="standardContextual"/>
        </w:rPr>
        <w:lastRenderedPageBreak/>
        <w:t>pode, em tese, afastar a miserabilidade, se demonstrada a possibilidade de alienação ou exploração econômica. A análise, porém, deve considerar as condições reais do mercado imobiliário local e a liquidez do ativo. Um terreno em zona rural de difícil acesso, sem mercado comprador efetivo, não demonstra capacidade econômica, mesmo que seu valor venal registrado seja significativo.</w:t>
      </w:r>
    </w:p>
    <w:p w14:paraId="11819F7D" w14:textId="3CCB9E2A" w:rsidR="005A5FCC" w:rsidRDefault="00A21C81">
      <w:pPr>
        <w:ind w:firstLine="238"/>
      </w:pPr>
      <w:r>
        <w:rPr>
          <w:rFonts w:cs="EB Garamond"/>
          <w:b/>
          <w:kern w:val="16"/>
          <w14:ligatures w14:val="standardContextual"/>
        </w:rPr>
        <w:t>Idoso com família de renda modesta acima do critério legal.</w:t>
      </w:r>
      <w:r>
        <w:rPr>
          <w:rFonts w:cs="EB Garamond"/>
          <w:kern w:val="16"/>
          <w14:ligatures w14:val="standardContextual"/>
        </w:rPr>
        <w:t xml:space="preserve"> A configuração é recorrente nos JEFs: idoso de 65 anos que reside com filho empregado cuja remuneração, dividida pelos membros do grupo familiar, supera 1/4 do </w:t>
      </w:r>
      <w:r w:rsidR="00B53DD2">
        <w:rPr>
          <w:rFonts w:cs="EB Garamond"/>
          <w:kern w:val="16"/>
          <w14:ligatures w14:val="standardContextual"/>
        </w:rPr>
        <w:t>salário-mínimo</w:t>
      </w:r>
      <w:r>
        <w:rPr>
          <w:rFonts w:cs="EB Garamond"/>
          <w:kern w:val="16"/>
          <w14:ligatures w14:val="standardContextual"/>
        </w:rPr>
        <w:t>, mas é insuficiente para custear as necessidades específicas do idoso (medicamentos, consultas médicas, fraldas geriátricas, alimentação especial). A aplicação pura do critério aritmético negaria o benefício, mas a análise material, à luz do Tema 27 do STF, pode demonstrar que a família vive em condição de vulnerabilidade real. O custo de manutenção de um idoso dependente frequentemente absorve parcela desproporcional da renda familiar, empobrecendo todo o grupo. Nesses casos, o estudo social que demonstre o comprometimento da renda com despesas específicas do idoso pode fundamentar a concessão do BPC.</w:t>
      </w:r>
    </w:p>
    <w:p w14:paraId="34D02AC5" w14:textId="77777777" w:rsidR="005A5FCC" w:rsidRDefault="00A21C81">
      <w:pPr>
        <w:ind w:firstLine="238"/>
      </w:pPr>
      <w:r>
        <w:rPr>
          <w:rFonts w:cs="EB Garamond"/>
          <w:b/>
          <w:kern w:val="16"/>
          <w14:ligatures w14:val="standardContextual"/>
        </w:rPr>
        <w:t>Posse de veículo automotor.</w:t>
      </w:r>
      <w:r>
        <w:rPr>
          <w:rFonts w:cs="EB Garamond"/>
          <w:kern w:val="16"/>
          <w14:ligatures w14:val="standardContextual"/>
        </w:rPr>
        <w:t xml:space="preserve"> A pessoa com deficiência que possui veículo automotor enfrenta objeção frequente do INSS. A mera propriedade de veículo não afasta a miserabilidade, especialmente quando o automóvel é de baixo valor, antigo e indispensável para o transporte do requerente a tratamentos médicos e terapêuticos. Em muitas cidades brasileiras, o transporte público é inacessível a pessoas com deficiência motora, o que torna o veículo particular instrumento de acessibilidade, e não indicador de capacidade econômica. A jurisprudência dos TRFs vem consolidando esse entendimento, exigindo que o INSS demonstre que o veículo constitui patrimônio compatível com capacidade econômica efetiva, e não mero instrumento de locomoção.</w:t>
      </w:r>
    </w:p>
    <w:tbl>
      <w:tblPr>
        <w:tblW w:w="5000" w:type="pct"/>
        <w:jc w:val="center"/>
        <w:tblLayout w:type="fixed"/>
        <w:tblLook w:val="04A0" w:firstRow="1" w:lastRow="0" w:firstColumn="1" w:lastColumn="0" w:noHBand="0" w:noVBand="1"/>
      </w:tblPr>
      <w:tblGrid>
        <w:gridCol w:w="6311"/>
      </w:tblGrid>
      <w:tr w:rsidR="005A5FCC" w14:paraId="0DFEC9C6"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31058F6D" w14:textId="77777777" w:rsidR="005A5FCC" w:rsidRDefault="00A21C81">
            <w:pPr>
              <w:spacing w:after="60" w:line="240" w:lineRule="auto"/>
              <w:jc w:val="left"/>
            </w:pPr>
            <w:r>
              <w:rPr>
                <w:rFonts w:ascii="Noto Sans" w:hAnsi="Noto Sans" w:cs="Noto Sans"/>
                <w:b/>
                <w:caps/>
                <w:color w:val="B78B37"/>
                <w:kern w:val="16"/>
                <w:sz w:val="16"/>
                <w14:ligatures w14:val="standardContextual"/>
              </w:rPr>
              <w:lastRenderedPageBreak/>
              <w:t>ATENÇÃO</w:t>
            </w:r>
          </w:p>
          <w:p w14:paraId="3D5C037E" w14:textId="77777777" w:rsidR="005A5FCC" w:rsidRDefault="00A21C81">
            <w:pPr>
              <w:spacing w:after="60" w:line="247" w:lineRule="auto"/>
            </w:pPr>
            <w:r>
              <w:rPr>
                <w:rFonts w:cs="EB Garamond"/>
                <w:kern w:val="16"/>
                <w:sz w:val="19"/>
                <w14:ligatures w14:val="standardContextual"/>
              </w:rPr>
              <w:t>A existência de empréstimo consignado vinculado a benefício previdenciário do grupo familiar não é circunstância que afasta a miserabilidade. Ao contrário, o comprometimento de parte da renda com prestações de empréstimo consignado evidencia dificuldade financeira e pode agravar a condição de vulnerabilidade. O valor líquido efetivamente recebido pelo membro da família (após o desconto das parcelas consignadas) é que deve ser considerado no cálculo da renda per capita, e não o valor bruto do benefício. Esse entendimento, embora não unânime, encontra respaldo na jurisprudência que privilegia a análise da situação real de vida da família, em detrimento de critérios puramente formais.</w:t>
            </w:r>
          </w:p>
        </w:tc>
      </w:tr>
    </w:tbl>
    <w:p w14:paraId="028F71F9" w14:textId="77777777" w:rsidR="005A5FCC" w:rsidRDefault="005A5FCC">
      <w:pPr>
        <w:spacing w:after="80" w:line="240" w:lineRule="auto"/>
      </w:pPr>
    </w:p>
    <w:p w14:paraId="5414040B"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M</w:t>
      </w:r>
    </w:p>
    <w:p w14:paraId="1EEC08BF" w14:textId="77777777" w:rsidR="005A5FCC" w:rsidRDefault="00A21C81">
      <w:r>
        <w:rPr>
          <w:rFonts w:cs="EB Garamond"/>
          <w:b/>
          <w:kern w:val="16"/>
          <w14:ligatures w14:val="standardContextual"/>
        </w:rPr>
        <w:t>últiplos membros com deficiência no grupo familiar.</w:t>
      </w:r>
      <w:r>
        <w:rPr>
          <w:rFonts w:cs="EB Garamond"/>
          <w:kern w:val="16"/>
          <w14:ligatures w14:val="standardContextual"/>
        </w:rPr>
        <w:t xml:space="preserve"> Esta configuração exige atenção ao mecanismo de exclusões legais. Quando dois ou mais membros do grupo familiar possuem deficiência, cada um pode requerer o BPC individualmente, aplicando-se as exclusões legais para o cálculo da renda per capita. O BPC já concedido a um membro com deficiência é excluído do cálculo para fins de análise do requerimento do segundo membro (art. 20, § 14, V, LOAS). Essa mecânica permite a concessão de múltiplos BPCs no mesmo grupo familiar, desde que cada beneficiário preencha individualmente os requisitos de deficiência e miserabilidade.</w:t>
      </w:r>
    </w:p>
    <w:tbl>
      <w:tblPr>
        <w:tblW w:w="5000" w:type="pct"/>
        <w:jc w:val="center"/>
        <w:tblLayout w:type="fixed"/>
        <w:tblLook w:val="04A0" w:firstRow="1" w:lastRow="0" w:firstColumn="1" w:lastColumn="0" w:noHBand="0" w:noVBand="1"/>
      </w:tblPr>
      <w:tblGrid>
        <w:gridCol w:w="6311"/>
      </w:tblGrid>
      <w:tr w:rsidR="005A5FCC" w14:paraId="1F4693CA"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60183D55"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1CF5DDB1" w14:textId="37E5E854" w:rsidR="005A5FCC" w:rsidRDefault="00A21C81">
            <w:pPr>
              <w:spacing w:after="60" w:line="247" w:lineRule="auto"/>
            </w:pPr>
            <w:r>
              <w:rPr>
                <w:rFonts w:cs="EB Garamond"/>
                <w:kern w:val="16"/>
                <w:sz w:val="19"/>
                <w14:ligatures w14:val="standardContextual"/>
              </w:rPr>
              <w:t xml:space="preserve">Nos JEFs, é frequente a alegação do INSS de que o requerente do BPC possui patrimônio incompatível com a miserabilidade (imóvel, veículo, conta bancária com saldo). O juiz deve avaliar essas alegações com cautela, distinguindo patrimônio produtivo (que gera renda ou pode ser convertido em renda) de patrimônio improdutivo (moradia, veículo de baixo valor usado para transporte do deficiente, poupança de pequeno valor). A posse de veículo adaptado por pessoa com deficiência, por exemplo, é instrumento de acessibilidade e não indicador de capacidade econômica. Contas bancárias com saldo inexpressivo (inferior a um </w:t>
            </w:r>
            <w:r w:rsidR="00B53DD2">
              <w:rPr>
                <w:rFonts w:cs="EB Garamond"/>
                <w:kern w:val="16"/>
                <w:sz w:val="19"/>
                <w14:ligatures w14:val="standardContextual"/>
              </w:rPr>
              <w:t>salário-mínimo</w:t>
            </w:r>
            <w:r>
              <w:rPr>
                <w:rFonts w:cs="EB Garamond"/>
                <w:kern w:val="16"/>
                <w:sz w:val="19"/>
                <w14:ligatures w14:val="standardContextual"/>
              </w:rPr>
              <w:t>) refletem movimentação financeira precária, não disponibilidade de recursos.</w:t>
            </w:r>
          </w:p>
        </w:tc>
      </w:tr>
    </w:tbl>
    <w:p w14:paraId="71A0609B" w14:textId="77777777" w:rsidR="005A5FCC" w:rsidRDefault="005A5FCC">
      <w:pPr>
        <w:spacing w:after="80" w:line="240" w:lineRule="auto"/>
      </w:pPr>
    </w:p>
    <w:p w14:paraId="30A70B4D"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Q</w:t>
      </w:r>
    </w:p>
    <w:p w14:paraId="13695F85" w14:textId="77777777" w:rsidR="005A5FCC" w:rsidRDefault="00A21C81">
      <w:r>
        <w:rPr>
          <w:rFonts w:cs="EB Garamond"/>
          <w:kern w:val="16"/>
          <w14:ligatures w14:val="standardContextual"/>
        </w:rPr>
        <w:t>uanto à pessoa internada em instituição de saúde ou de longa permanência, remetemos à análise da seção 18.14, que examina em detalhe a manutenção do direito ao BPC durante o acolhimento institucional (art. 20, § 5º, da LOAS).</w:t>
      </w:r>
    </w:p>
    <w:p w14:paraId="4C821CED"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18.30 Questões processuais específicas do BPC nos JEFs</w:t>
      </w:r>
    </w:p>
    <w:p w14:paraId="369C7F0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2CC0E0BE" w14:textId="77777777" w:rsidR="005A5FCC" w:rsidRDefault="00A21C81">
      <w:r>
        <w:rPr>
          <w:rFonts w:cs="EB Garamond"/>
          <w:kern w:val="16"/>
          <w14:ligatures w14:val="standardContextual"/>
        </w:rPr>
        <w:t>s ações de BPC nos JEFs apresentam particularidades processuais que merecem atenção do advogado e do magistrado. A primeira é a gratuidade da justiça. O requerente do BPC, por definição, encontra-se em situação de miserabilidade, o que gera presunção de hipossuficiência para fins de justiça gratuita. A declaração de pobreza, firmada pelo próprio requerente ou por seu representante, é suficiente para a concessão do benefício da justiça gratuita nos JEFs, dispensando-se a comprovação documental da insuficiência de recursos.</w:t>
      </w:r>
    </w:p>
    <w:p w14:paraId="7E7AA645" w14:textId="77777777" w:rsidR="005A5FCC" w:rsidRDefault="00A21C81">
      <w:pPr>
        <w:ind w:firstLine="238"/>
      </w:pPr>
      <w:r>
        <w:rPr>
          <w:rFonts w:cs="EB Garamond"/>
          <w:kern w:val="16"/>
          <w14:ligatures w14:val="standardContextual"/>
        </w:rPr>
        <w:t>A representação por advogado é facultativa nos JEFs, nos termos do art. 9º da Lei n. 9.099/95, aplicável subsidiariamente por força do art. 1º da Lei n. 10.259/2001, que prevê a capacidade postulatória pessoal da parte nas causas de valor reduzido. O requerente pode comparecer pessoalmente ao JEF e formular o pedido de BPC, cabendo ao servidor da Secretaria reduzir a termo o pedido e encaminhá-lo para distribuição. Na prática, porém, a complexidade das ações de BPC (especialmente as que envolvem avaliação de deficiência e relativização do critério de renda) torna a representação por advogado altamente recomendável.</w:t>
      </w:r>
    </w:p>
    <w:p w14:paraId="4249AFAF" w14:textId="77777777" w:rsidR="005A5FCC" w:rsidRDefault="00A21C81">
      <w:pPr>
        <w:ind w:firstLine="238"/>
      </w:pPr>
      <w:r>
        <w:rPr>
          <w:rFonts w:cs="EB Garamond"/>
          <w:kern w:val="16"/>
          <w14:ligatures w14:val="standardContextual"/>
        </w:rPr>
        <w:t>A segunda particularidade é a possibilidade de audiência de conciliação. O INSS é autorizado a celebrar acordos nos JEFs, mediante tabelas de alçada e parâmetros fixados pela Procuradoria-Geral Federal. Nas ações de BPC, a conciliação pode envolver a implantação do benefício com fixação consensual da DIB, evitando a necessidade de instrução completa. A conciliação é especialmente vantajosa para os requerentes em situação de urgência alimentar, pois permite a implantação imediata do benefício.</w:t>
      </w:r>
    </w:p>
    <w:p w14:paraId="1FE5A7EA" w14:textId="45A3BD52" w:rsidR="005A5FCC" w:rsidRDefault="00A21C81">
      <w:pPr>
        <w:ind w:firstLine="238"/>
      </w:pPr>
      <w:r>
        <w:rPr>
          <w:rFonts w:cs="EB Garamond"/>
          <w:kern w:val="16"/>
          <w14:ligatures w14:val="standardContextual"/>
        </w:rPr>
        <w:lastRenderedPageBreak/>
        <w:t xml:space="preserve">A terceira particularidade é a cumulação de pedidos. É comum que o requerente cumule o pedido de BPC com pedido de benefício previdenciário por incapacidade (fungibilidade), com pedido de tutela de urgência para implantação imediata e, eventualmente, com pedido de danos morais por indeferimento indevido. A cumulação é admitida nos JEFs, desde que a soma dos valores dos pedidos não exceda 60 </w:t>
      </w:r>
      <w:r w:rsidR="00C17880">
        <w:rPr>
          <w:rFonts w:cs="EB Garamond"/>
          <w:kern w:val="16"/>
          <w14:ligatures w14:val="standardContextual"/>
        </w:rPr>
        <w:t>salários-mínimos</w:t>
      </w:r>
      <w:r>
        <w:rPr>
          <w:rFonts w:cs="EB Garamond"/>
          <w:kern w:val="16"/>
          <w14:ligatures w14:val="standardContextual"/>
        </w:rPr>
        <w:t xml:space="preserve"> e os pedidos sejam conexos.</w:t>
      </w:r>
    </w:p>
    <w:p w14:paraId="48677F98" w14:textId="77777777" w:rsidR="005A5FCC" w:rsidRDefault="00A21C81">
      <w:pPr>
        <w:ind w:firstLine="238"/>
      </w:pPr>
      <w:r>
        <w:rPr>
          <w:rFonts w:cs="EB Garamond"/>
          <w:kern w:val="16"/>
          <w14:ligatures w14:val="standardContextual"/>
        </w:rPr>
        <w:t>A quarta particularidade diz respeito ao recurso. A sentença de primeiro grau nos JEFs é recorrível por meio de recurso inominado à Turma Recursal, no prazo de 10 dias corridos (art. 42 da Lei n. 9.099/95, c/c art. 12, II, da Lei n. 10.259/2001), prevalecendo a contagem em dias corridos, conforme a orientação predominante nos JEFs, afastada a contagem em dias úteis do art. 219 do CPC/2015. O recurso tem efeito meramente devolutivo, de modo que a sentença que concede o BPC pode ser executada provisoriamente (com implantação do benefício) mesmo pendente recurso do INSS. A Turma Recursal analisa tanto questões de fato quanto de direito, podendo reformar integralmente a sentença.</w:t>
      </w:r>
    </w:p>
    <w:p w14:paraId="4596BDEA"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18.31 Intertemporalidade e direito adquirido no BPC</w:t>
      </w:r>
    </w:p>
    <w:p w14:paraId="43008FB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0796A49F" w14:textId="77777777" w:rsidR="005A5FCC" w:rsidRDefault="00A21C81">
      <w:r>
        <w:rPr>
          <w:rFonts w:cs="EB Garamond"/>
          <w:kern w:val="16"/>
          <w14:ligatures w14:val="standardContextual"/>
        </w:rPr>
        <w:t xml:space="preserve"> BPC, diferentemente dos benefícios previdenciários, em regra não gera direito adquirido ao regime jurídico de concessão vigente na data do requerimento, ressalvados o benefício já deferido e os requisitos integralmente implementados sob a lei anterior. A natureza assistencial do benefício vincula-o às condições de fato (deficiência/idade + miserabilidade) verificadas a cada momento, e não a regras pretéritas de concessão, de modo que a alteração dos critérios legais tende a aplicar-se de imediato aos requerimentos ainda não decididos, sem a densidade das regras de transição típicas do direito previdenciário. Permanece íntegra, contudo, a proteção do tempus regit actum quanto aos pressupostos já preenchidos: implementados todos os requisitos exigidos pela legislação então em vigor, o requerente faz jus à concessão segundo aquele regime, ainda que lei posterior os modifique.</w:t>
      </w:r>
    </w:p>
    <w:p w14:paraId="39361744" w14:textId="254BB145" w:rsidR="005A5FCC" w:rsidRDefault="00A21C81">
      <w:pPr>
        <w:ind w:firstLine="238"/>
      </w:pPr>
      <w:r>
        <w:rPr>
          <w:rFonts w:cs="EB Garamond"/>
          <w:kern w:val="16"/>
          <w14:ligatures w14:val="standardContextual"/>
        </w:rPr>
        <w:lastRenderedPageBreak/>
        <w:t xml:space="preserve">Essa característica tem consequência prática relevante: a ampliação do critério de renda per capita para 1/2 </w:t>
      </w:r>
      <w:r w:rsidR="00BC509E">
        <w:rPr>
          <w:rFonts w:cs="EB Garamond"/>
          <w:kern w:val="16"/>
          <w14:ligatures w14:val="standardContextual"/>
        </w:rPr>
        <w:t>salário-mínimo</w:t>
      </w:r>
      <w:r>
        <w:rPr>
          <w:rFonts w:cs="EB Garamond"/>
          <w:kern w:val="16"/>
          <w14:ligatures w14:val="standardContextual"/>
        </w:rPr>
        <w:t xml:space="preserve"> (Lei n. 14.176/2021, art. 20-B) aplica-se a todos os requerimentos pendentes e futuros, independentemente de quando o requerente completou os requisitos. Inversamente, eventual restrição futura dos critérios também se aplicaria imediatamente, sem proteção de direito adquirido ao critério anterior.</w:t>
      </w:r>
    </w:p>
    <w:p w14:paraId="6B276BAF" w14:textId="77777777" w:rsidR="005A5FCC" w:rsidRDefault="00A21C81">
      <w:pPr>
        <w:ind w:firstLine="238"/>
      </w:pPr>
      <w:r>
        <w:rPr>
          <w:rFonts w:cs="EB Garamond"/>
          <w:kern w:val="16"/>
          <w14:ligatures w14:val="standardContextual"/>
        </w:rPr>
        <w:t>A exceção é o beneficiário em gozo do BPC. O benefício em manutenção somente pode ser cessado mediante procedimento administrativo com contraditório, e a cessação por alteração legislativa desfavorável exige período de transição razoável, por força do princípio da segurança jurídica e da vedação de retrocesso social. A doutrina debate a extensão da vedação de retrocesso no campo assistencial: entendemos que, embora o legislador tenha margem para modificar critérios do BPC, a supressão integral do benefício ou a redução drástica de seu alcance encontra limites no núcleo essencial do art. 203, V, da Constituição.</w:t>
      </w:r>
    </w:p>
    <w:p w14:paraId="625B0C90"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18.32 Peculiaridades da prova pericial em transtornos mentais e deficiência intelectual</w:t>
      </w:r>
    </w:p>
    <w:p w14:paraId="59FDD10B"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79497FF0" w14:textId="77777777" w:rsidR="005A5FCC" w:rsidRDefault="00A21C81">
      <w:r>
        <w:rPr>
          <w:rFonts w:cs="EB Garamond"/>
          <w:kern w:val="16"/>
          <w14:ligatures w14:val="standardContextual"/>
        </w:rPr>
        <w:t xml:space="preserve"> avaliação pericial de transtornos mentais e deficiência intelectual para fins do BPC apresenta desafios específicos que merecem tratamento destacado. A natureza dessas condições, frequentemente invisível e flutuante, exige do perito e do juiz sensibilidade para aspectos que transcendem o exame clínico tradicional.</w:t>
      </w:r>
    </w:p>
    <w:p w14:paraId="13BE1E70" w14:textId="77777777" w:rsidR="005A5FCC" w:rsidRDefault="00A21C81">
      <w:pPr>
        <w:ind w:firstLine="238"/>
      </w:pPr>
      <w:r>
        <w:rPr>
          <w:rFonts w:cs="EB Garamond"/>
          <w:kern w:val="16"/>
          <w14:ligatures w14:val="standardContextual"/>
        </w:rPr>
        <w:t>Os transtornos mentais graves (esquizofrenia, transtorno esquizoafetivo, transtorno bipolar em fase maníaca ou depressiva grave, depressão resistente ao tratamento) configuram impedimento de longo prazo quando cronificados, mesmo que o paciente apresente períodos de remissão parcial sob tratamento medicamentoso. A análise deve considerar que a remissão, em muitos casos, depende de adesão contínua ao tratamento, que o acesso a medicamentos pelo SUS pode ser irregular, e que a cronificação tende a agravar-se com a idade e com a precariedade do suporte terapêutico.</w:t>
      </w:r>
    </w:p>
    <w:p w14:paraId="7FA27916" w14:textId="77777777" w:rsidR="005A5FCC" w:rsidRDefault="00A21C81">
      <w:pPr>
        <w:ind w:firstLine="238"/>
      </w:pPr>
      <w:r>
        <w:rPr>
          <w:rFonts w:cs="EB Garamond"/>
          <w:kern w:val="16"/>
          <w14:ligatures w14:val="standardContextual"/>
        </w:rPr>
        <w:lastRenderedPageBreak/>
        <w:t>A deficiência intelectual, por sua natureza constitucional (presente desde o desenvolvimento), configura impedimento permanente que dispensa a aferição do prazo mínimo de dois anos. O perito deve avaliar o grau de comprometimento funcional (leve, moderado, grave, profundo), o impacto nas atividades da vida diária, a capacidade de autocuidado e a possibilidade de inserção laboral, considerando o contexto socioeconômico do periciando. Uma pessoa com deficiência intelectual leve, residente em grande centro urbano com acesso a serviços de reabilitação e oportunidades de trabalho protegido, encontra-se em situação diferente de pessoa com o mesmo grau de comprometimento residente em área rural sem qualquer suporte.</w:t>
      </w:r>
    </w:p>
    <w:p w14:paraId="170C4F5C" w14:textId="1FB2D114" w:rsidR="005A5FCC" w:rsidRDefault="00A21C81">
      <w:pPr>
        <w:ind w:firstLine="238"/>
      </w:pPr>
      <w:r>
        <w:rPr>
          <w:rFonts w:cs="EB Garamond"/>
          <w:kern w:val="16"/>
          <w14:ligatures w14:val="standardContextual"/>
        </w:rPr>
        <w:t xml:space="preserve">O transtorno do espectro autista (TEA) suscita questões adicionais. O diagnóstico de TEA, por si só, não configura deficiência para fins do BPC: é necessário demonstrar que o espectro de sintomas (dificuldades de comunicação social, padrões restritos de comportamento) gera impedimento de longo prazo que, em interação com barreiras, obstrui a participação social. Crianças com TEA de nível 2 ou 3 de suporte (classificação DSM-5) tipicamente preenchem os requisitos, enquanto crianças com TEA de nível 1, dependendo do contexto, podem ou não </w:t>
      </w:r>
      <w:r w:rsidR="00766D54">
        <w:rPr>
          <w:rFonts w:cs="EB Garamond"/>
          <w:kern w:val="16"/>
          <w14:ligatures w14:val="standardContextual"/>
        </w:rPr>
        <w:t>os preencher</w:t>
      </w:r>
      <w:r>
        <w:rPr>
          <w:rFonts w:cs="EB Garamond"/>
          <w:kern w:val="16"/>
          <w14:ligatures w14:val="standardContextual"/>
        </w:rPr>
        <w:t>.</w:t>
      </w:r>
    </w:p>
    <w:tbl>
      <w:tblPr>
        <w:tblW w:w="5000" w:type="pct"/>
        <w:jc w:val="center"/>
        <w:tblLayout w:type="fixed"/>
        <w:tblLook w:val="04A0" w:firstRow="1" w:lastRow="0" w:firstColumn="1" w:lastColumn="0" w:noHBand="0" w:noVBand="1"/>
      </w:tblPr>
      <w:tblGrid>
        <w:gridCol w:w="6311"/>
      </w:tblGrid>
      <w:tr w:rsidR="005A5FCC" w14:paraId="5FE6C7E6"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4E4D3465" w14:textId="77777777" w:rsidR="005A5FCC" w:rsidRDefault="00A21C81">
            <w:pPr>
              <w:spacing w:after="60" w:line="240" w:lineRule="auto"/>
              <w:jc w:val="left"/>
            </w:pPr>
            <w:r>
              <w:rPr>
                <w:rFonts w:ascii="Noto Sans" w:hAnsi="Noto Sans" w:cs="Noto Sans"/>
                <w:b/>
                <w:caps/>
                <w:color w:val="4D6F8A"/>
                <w:kern w:val="16"/>
                <w:sz w:val="16"/>
                <w14:ligatures w14:val="standardContextual"/>
              </w:rPr>
              <w:t>JURISPRUDÊNCIA EM DESTAQUE</w:t>
            </w:r>
          </w:p>
          <w:p w14:paraId="02DFD479" w14:textId="77777777" w:rsidR="005A5FCC" w:rsidRDefault="00A21C81">
            <w:pPr>
              <w:spacing w:after="60" w:line="247" w:lineRule="auto"/>
            </w:pPr>
            <w:r>
              <w:rPr>
                <w:rFonts w:cs="EB Garamond"/>
                <w:b/>
                <w:kern w:val="16"/>
                <w:sz w:val="19"/>
                <w14:ligatures w14:val="standardContextual"/>
              </w:rPr>
              <w:t>TNU, Tema 274 (PEDILEF 0512288-77.2017.4.05.8300/PE)</w:t>
            </w:r>
            <w:r>
              <w:rPr>
                <w:rFonts w:cs="EB Garamond"/>
                <w:kern w:val="16"/>
                <w:sz w:val="19"/>
                <w14:ligatures w14:val="standardContextual"/>
              </w:rPr>
              <w:t>: A TNU firmou a tese de que "é possível a concessão de aposentadoria por invalidez, após análise das condições sociais, pessoais, econômicas e culturais, existindo incapacidade parcial e permanente, no caso de outras doenças, que não se relacionem com o vírus HIV, mas que sejam estigmatizantes e impactem significativa e negativamente na funcionalidade social do segurado, entendida esta como o potencial de acesso e permanência no mercado de trabalho". O Tema 274 versa, portanto, sobre benefício previdenciário por incapacidade (aposentadoria por invalidez) em doenças estigmatizantes não relacionadas ao HIV — a situação específica do HIV é tratada pela Súmula 78 da TNU. O julgado reconhece que o estigma social associado a certas condições de saúde constitui barreira à participação social tão relevante quanto a limitação funcional em si, lógica que se alinha ao modelo biopsicossocial consagrado pela CIF/OMS e pela Lei n. 13.146/2015 e que pode ser transposta, por analogia, à avaliação da deficiência para fins do BPC.</w:t>
            </w:r>
          </w:p>
        </w:tc>
      </w:tr>
    </w:tbl>
    <w:p w14:paraId="338FA743" w14:textId="77777777" w:rsidR="005A5FCC" w:rsidRDefault="005A5FCC">
      <w:pPr>
        <w:spacing w:after="80" w:line="240" w:lineRule="auto"/>
      </w:pPr>
    </w:p>
    <w:p w14:paraId="2910849E"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A</w:t>
      </w:r>
    </w:p>
    <w:p w14:paraId="79BC5B9D" w14:textId="77777777" w:rsidR="005A5FCC" w:rsidRDefault="00A21C81">
      <w:r>
        <w:rPr>
          <w:rFonts w:cs="EB Garamond"/>
          <w:kern w:val="16"/>
          <w14:ligatures w14:val="standardContextual"/>
        </w:rPr>
        <w:t xml:space="preserve"> produção de prova pericial em transtornos mentais exige cuidados procedimentais. O perito deve estar habilitado em psiquiatria ou neurologia, conforme a natureza do transtorno. A avaliação em consultório pode ser insuficiente para captar a real extensão das limitações: o requerente, em ambiente controlado e por breve período, pode apresentar funcionalidade aparentemente superior à que manifesta no cotidiano. A complementação da perícia com relatório de acompanhamento terapêutico (quando disponível) e com estudo social que retrate as condições de vida diária do periciando é prática recomendável.</w:t>
      </w:r>
    </w:p>
    <w:p w14:paraId="4A139B68"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18.33 BPC e pessoa em situação de rua</w:t>
      </w:r>
    </w:p>
    <w:p w14:paraId="6D3DCAE8"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769E1639" w14:textId="77777777" w:rsidR="005A5FCC" w:rsidRDefault="00A21C81">
      <w:r>
        <w:rPr>
          <w:rFonts w:cs="EB Garamond"/>
          <w:kern w:val="16"/>
          <w14:ligatures w14:val="standardContextual"/>
        </w:rPr>
        <w:t xml:space="preserve"> pessoa em situação de rua que preencha os requisitos do BPC (deficiência ou idade avançada, cumulada com miserabilidade) tem direito ao benefício, embora enfrente obstáculos práticos significativos para obtê-lo. A ausência de domicílio fixo, a dificuldade de apresentação de documentos e a falta de conta bancária para recebimento são barreiras recorrentes.</w:t>
      </w:r>
    </w:p>
    <w:p w14:paraId="29C770EF" w14:textId="77777777" w:rsidR="005A5FCC" w:rsidRDefault="00A21C81">
      <w:pPr>
        <w:ind w:firstLine="238"/>
      </w:pPr>
      <w:r>
        <w:rPr>
          <w:rFonts w:cs="EB Garamond"/>
          <w:kern w:val="16"/>
          <w14:ligatures w14:val="standardContextual"/>
        </w:rPr>
        <w:t>No âmbito administrativo, o INSS desenvolveu procedimentos específicos para o atendimento de pessoas em situação de rua, permitindo a utilização de endereço de referência (Centro de Referência de Assistência Social — CRAS, Centro Pop, entidade assistencial) para fins de cadastro e correspondência. O requerimento pode ser formulado sem comprovante de residência convencional, bastando a indicação do local de pernoite habitual ou do equipamento de assistência social de referência.</w:t>
      </w:r>
    </w:p>
    <w:p w14:paraId="63444DC6" w14:textId="77777777" w:rsidR="005A5FCC" w:rsidRDefault="00A21C81">
      <w:pPr>
        <w:ind w:firstLine="238"/>
      </w:pPr>
      <w:r>
        <w:rPr>
          <w:rFonts w:cs="EB Garamond"/>
          <w:kern w:val="16"/>
          <w14:ligatures w14:val="standardContextual"/>
        </w:rPr>
        <w:t>No âmbito judicial, o acesso aos JEFs por pessoas em situação de rua é facilitado pela gratuidade de justiça e pela desnecessidade de advogado. Projetos de acesso à justiça, mantidos por Defensorias Públicas da União e por núcleos de prática jurídica de universidades, têm desempenhado papel relevante na viabilização dessas demandas. O juiz, ao deferir o BPC a pessoa em situação de rua, deve atentar para a necessidade de indicar forma adequada de pagamento, considerando que o beneficiário pode não possuir conta bancária.</w:t>
      </w:r>
    </w:p>
    <w:p w14:paraId="4E6893AC" w14:textId="77777777" w:rsidR="005A5FCC" w:rsidRDefault="00A21C81">
      <w:pPr>
        <w:ind w:firstLine="238"/>
      </w:pPr>
      <w:r>
        <w:rPr>
          <w:rFonts w:cs="EB Garamond"/>
          <w:kern w:val="16"/>
          <w14:ligatures w14:val="standardContextual"/>
        </w:rPr>
        <w:t xml:space="preserve">A miserabilidade da pessoa em situação de rua é presumida, dado que a própria condição de rua evidencia a impossibilidade de prover o sustento. A aferição </w:t>
      </w:r>
      <w:r>
        <w:rPr>
          <w:rFonts w:cs="EB Garamond"/>
          <w:kern w:val="16"/>
          <w14:ligatures w14:val="standardContextual"/>
        </w:rPr>
        <w:lastRenderedPageBreak/>
        <w:t>do grupo familiar e da renda per capita, nesses casos, é simplificada: o requerente constitui grupo familiar de uma pessoa, com renda per capita zero (ou próxima de zero).</w:t>
      </w:r>
    </w:p>
    <w:tbl>
      <w:tblPr>
        <w:tblW w:w="5000" w:type="pct"/>
        <w:jc w:val="center"/>
        <w:tblLayout w:type="fixed"/>
        <w:tblLook w:val="04A0" w:firstRow="1" w:lastRow="0" w:firstColumn="1" w:lastColumn="0" w:noHBand="0" w:noVBand="1"/>
      </w:tblPr>
      <w:tblGrid>
        <w:gridCol w:w="6311"/>
      </w:tblGrid>
      <w:tr w:rsidR="005A5FCC" w14:paraId="51CC0605"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1CF61929"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282FEE0C" w14:textId="77777777" w:rsidR="005A5FCC" w:rsidRDefault="00A21C81">
            <w:pPr>
              <w:spacing w:after="60" w:line="247" w:lineRule="auto"/>
            </w:pPr>
            <w:r>
              <w:rPr>
                <w:rFonts w:cs="EB Garamond"/>
                <w:kern w:val="16"/>
                <w:sz w:val="19"/>
                <w14:ligatures w14:val="standardContextual"/>
              </w:rPr>
              <w:t>A atuação judicial em favor de pessoas em situação de rua exige sensibilidade procedimental. O juiz deve considerar: (a) a dificuldade de notificação e intimação do requerente, que pode não ter endereço fixo; (b) a possibilidade de designar equipamento de assistência social como endereço para intimações; (c) a desnecessidade de apresentação de comprovante de residência formal; (d) a admissão de declaração de equipamento social (CRAS, Centro Pop, albergue) como comprovante de condição social; e (e) a fixação de forma de pagamento acessível, como cartão magnético ou saque em agência bancária sem exigência de conta corrente. Alguns JEFs têm adotado a prática de determinar que o INSS providencie a abertura de conta simplificada para o beneficiário, nos termos da Resolução CMN n. 3.211/2004 e da Lei n. 10.735/2003, que disciplinam a abertura de contas especiais para pessoas de baixa renda.</w:t>
            </w:r>
          </w:p>
        </w:tc>
      </w:tr>
    </w:tbl>
    <w:p w14:paraId="1B0FC87B" w14:textId="77777777" w:rsidR="005A5FCC" w:rsidRDefault="005A5FCC">
      <w:pPr>
        <w:spacing w:after="80" w:line="240" w:lineRule="auto"/>
      </w:pPr>
    </w:p>
    <w:p w14:paraId="478AE848"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18.34 BPC e pessoas com doenças raras</w:t>
      </w:r>
    </w:p>
    <w:p w14:paraId="36FDE494"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P</w:t>
      </w:r>
    </w:p>
    <w:p w14:paraId="4536D41D" w14:textId="77777777" w:rsidR="005A5FCC" w:rsidRDefault="00A21C81">
      <w:r>
        <w:rPr>
          <w:rFonts w:cs="EB Garamond"/>
          <w:kern w:val="16"/>
          <w14:ligatures w14:val="standardContextual"/>
        </w:rPr>
        <w:t>essoas com doenças raras (definidas como aquelas que afetam até 65 em cada 100.000 pessoas) enfrentam desafios particulares no acesso ao BPC. A dificuldade de diagnóstico, a escassez de especialistas e a necessidade de tratamentos de alto custo são fatores que agravam a vulnerabilidade desses pacientes.</w:t>
      </w:r>
    </w:p>
    <w:p w14:paraId="637427E9" w14:textId="77777777" w:rsidR="005A5FCC" w:rsidRDefault="00A21C81">
      <w:pPr>
        <w:ind w:firstLine="238"/>
      </w:pPr>
      <w:r>
        <w:rPr>
          <w:rFonts w:cs="EB Garamond"/>
          <w:kern w:val="16"/>
          <w14:ligatures w14:val="standardContextual"/>
        </w:rPr>
        <w:t>O impedimento de longo prazo, em doenças raras, frequentemente é inequívoco, dado o caráter crônico e progressivo de muitas dessas condições. A dificuldade reside na avaliação funcional: peritos não familiarizados com a doença podem subestimar o impacto nas atividades da vida diária e na participação social. É recomendável que o advogado junte aos autos relatórios médicos detalhados de especialistas e, quando disponível, parecer de centro de referência em doenças raras.</w:t>
      </w:r>
    </w:p>
    <w:p w14:paraId="7A2C0B81" w14:textId="4E01F6F2" w:rsidR="005A5FCC" w:rsidRDefault="00A21C81">
      <w:pPr>
        <w:ind w:firstLine="238"/>
      </w:pPr>
      <w:r>
        <w:rPr>
          <w:rFonts w:cs="EB Garamond"/>
          <w:kern w:val="16"/>
          <w14:ligatures w14:val="standardContextual"/>
        </w:rPr>
        <w:lastRenderedPageBreak/>
        <w:t xml:space="preserve">Os gastos com medicamentos e tratamentos de doenças raras podem consumir parcela significativa da renda familiar, mesmo quando os medicamentos são fornecidos pelo SUS (pois nem todos os tratamentos estão incorporados ao sistema). Esses gastos devem ser considerados na aferição da miserabilidade, podendo justificar a concessão do BPC mesmo quando a renda per capita formal supera 1/4 do </w:t>
      </w:r>
      <w:r w:rsidR="009557FF">
        <w:rPr>
          <w:rFonts w:cs="EB Garamond"/>
          <w:kern w:val="16"/>
          <w14:ligatures w14:val="standardContextual"/>
        </w:rPr>
        <w:t>salário-mínimo</w:t>
      </w:r>
      <w:r>
        <w:rPr>
          <w:rFonts w:cs="EB Garamond"/>
          <w:kern w:val="16"/>
          <w14:ligatures w14:val="standardContextual"/>
        </w:rPr>
        <w:t>. A instrução processual, nesses casos, deve contar com relatórios médicos especializados que demonstrem a cronicidade da condição, a necessidade permanente de acompanhamento e o custo estimado do tratamento, confrontados com a renda familiar apurada no estudo social.</w:t>
      </w:r>
    </w:p>
    <w:p w14:paraId="06C2495B"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18.35 BPC e indeferimento administrativo: causas recorrentes e estratégias de impugnação</w:t>
      </w:r>
    </w:p>
    <w:p w14:paraId="6684D45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10D2F4DC" w14:textId="77777777" w:rsidR="005A5FCC" w:rsidRDefault="00A21C81">
      <w:r>
        <w:rPr>
          <w:rFonts w:cs="EB Garamond"/>
          <w:kern w:val="16"/>
          <w14:ligatures w14:val="standardContextual"/>
        </w:rPr>
        <w:t xml:space="preserve"> conhecimento das causas mais frequentes de indeferimento administrativo do BPC permite ao advogado antecipar objeções e preparar instrução processual adequada. A análise da jurisprudência dos JEFs revela padrões recorrentes que merecem exame.</w:t>
      </w:r>
    </w:p>
    <w:p w14:paraId="08085AF1" w14:textId="00696475" w:rsidR="005A5FCC" w:rsidRDefault="00A21C81">
      <w:pPr>
        <w:ind w:firstLine="238"/>
      </w:pPr>
      <w:r>
        <w:rPr>
          <w:rFonts w:cs="EB Garamond"/>
          <w:kern w:val="16"/>
          <w14:ligatures w14:val="standardContextual"/>
        </w:rPr>
        <w:t xml:space="preserve">A primeira causa frequente é o indeferimento por renda per capita superior a 1/4 do </w:t>
      </w:r>
      <w:r w:rsidR="009557FF">
        <w:rPr>
          <w:rFonts w:cs="EB Garamond"/>
          <w:kern w:val="16"/>
          <w14:ligatures w14:val="standardContextual"/>
        </w:rPr>
        <w:t>salário-mínimo</w:t>
      </w:r>
      <w:r>
        <w:rPr>
          <w:rFonts w:cs="EB Garamond"/>
          <w:kern w:val="16"/>
          <w14:ligatures w14:val="standardContextual"/>
        </w:rPr>
        <w:t>, aplicando-se o critério legal de forma rígida. A estratégia de impugnação fundamenta-se no Tema 27 do STF e no Tema 185 do STJ, demonstrando por meio de estudo social que a família vive em condição de miserabilidade apesar da renda formal acima do limite. O advogado deve juntar à inicial comprovantes de despesas com saúde, medicamentos, fraldas, transporte para tratamento e outras necessidades específicas do requerente, demonstrando que a renda disponível para sustento é substancialmente inferior à renda formal.</w:t>
      </w:r>
    </w:p>
    <w:p w14:paraId="439579CF" w14:textId="77777777" w:rsidR="005A5FCC" w:rsidRDefault="00A21C81">
      <w:pPr>
        <w:ind w:firstLine="238"/>
      </w:pPr>
      <w:r>
        <w:rPr>
          <w:rFonts w:cs="EB Garamond"/>
          <w:kern w:val="16"/>
          <w14:ligatures w14:val="standardContextual"/>
        </w:rPr>
        <w:t>A segunda causa é o indeferimento por não configuração de impedimento de longo prazo, especialmente em condições que apresentam evolução variável. A estratégia envolve a juntada de relatórios médicos que demonstrem a cronicidade da condição e a prognose de duração superior a dois anos. Em casos de dúvida, a perícia judicial, realizada por especialista e com quesitos adequados ao modelo biopsicossocial, frequentemente chega a conclusão diversa da perícia administrativa.</w:t>
      </w:r>
    </w:p>
    <w:p w14:paraId="586EE51F" w14:textId="77777777" w:rsidR="005A5FCC" w:rsidRDefault="00A21C81">
      <w:pPr>
        <w:ind w:firstLine="238"/>
      </w:pPr>
      <w:r>
        <w:rPr>
          <w:rFonts w:cs="EB Garamond"/>
          <w:kern w:val="16"/>
          <w14:ligatures w14:val="standardContextual"/>
        </w:rPr>
        <w:lastRenderedPageBreak/>
        <w:t>A terceira causa é o indeferimento por incompatibilidade cadastral: dados do CNIS que indicam vínculos empregatícios (ativos ou inativos), propriedade de veículos ou imóveis no nome do requerente ou de membros do grupo familiar, ou inconsistências entre a declaração de renda e os registros administrativos. A estratégia de impugnação exige a verificação detalhada dos dados cadastrais, a correção de informações desatualizadas (vínculos encerrados que permanecem como ativos no CNIS, veículos já alienados que continuam registrados) e a demonstração de que os bens eventualmente existentes não revelam capacidade econômica de sustento.</w:t>
      </w:r>
    </w:p>
    <w:p w14:paraId="3158B7D2" w14:textId="77777777" w:rsidR="005A5FCC" w:rsidRDefault="00A21C81">
      <w:pPr>
        <w:ind w:firstLine="238"/>
      </w:pPr>
      <w:r>
        <w:rPr>
          <w:rFonts w:cs="EB Garamond"/>
          <w:kern w:val="16"/>
          <w14:ligatures w14:val="standardContextual"/>
        </w:rPr>
        <w:t>A quarta causa é o indeferimento por ausência de inscrição no CadÚnico ou por dados desatualizados no cadastro. Embora a inscrição no CadÚnico seja requisito administrativo (art. 20, § 13, LOAS), sua ausência não pode servir de fundamento para indeferimento judicial. O advogado deve argumentar que o direito constitucional ao BPC não se subordina a requisito cadastral e que a situação socioeconômica pode ser comprovada por outros meios idôneos.</w:t>
      </w:r>
    </w:p>
    <w:tbl>
      <w:tblPr>
        <w:tblW w:w="5000" w:type="pct"/>
        <w:jc w:val="center"/>
        <w:tblLayout w:type="fixed"/>
        <w:tblLook w:val="04A0" w:firstRow="1" w:lastRow="0" w:firstColumn="1" w:lastColumn="0" w:noHBand="0" w:noVBand="1"/>
      </w:tblPr>
      <w:tblGrid>
        <w:gridCol w:w="6311"/>
      </w:tblGrid>
      <w:tr w:rsidR="005A5FCC" w14:paraId="479F40FE"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3390B9CC"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52349E07" w14:textId="77777777" w:rsidR="005A5FCC" w:rsidRDefault="00A21C81">
            <w:pPr>
              <w:spacing w:after="60" w:line="247" w:lineRule="auto"/>
            </w:pPr>
            <w:r>
              <w:rPr>
                <w:rFonts w:cs="EB Garamond"/>
                <w:kern w:val="16"/>
                <w:sz w:val="19"/>
                <w14:ligatures w14:val="standardContextual"/>
              </w:rPr>
              <w:t>Nas ações de concessão do BPC nos JEFs, o advogado deve organizar a petição inicial de forma estratégica, endereçando diretamente as objeções previsíveis do INSS. Recomendamos a seguinte estrutura probatória mínima: (a) documentos pessoais do requerente e de todos os membros do grupo familiar; (b) laudos e relatórios médicos recentes, com CID-10, descrição funcional e prognóstico; (c) comprovantes de renda de todos os membros do grupo familiar (contracheques, extratos bancários, declarações de IR ou de isenção); (d) comprovante de residência; (e) comprovante de inscrição no CadÚnico (se disponível); (f) comprovantes de despesas com saúde (receitas, notas fiscais de medicamentos, comprovantes de deslocamento); (g) declaração de hipossuficiência para fins de justiça gratuita; e (h) quando possível, relatório social elaborado por CRAS ou equipamento de assistência social do município. A robustez da prova inicial pode viabilizar a concessão de tutela de urgência antes mesmo da realização da perícia judicial.</w:t>
            </w:r>
          </w:p>
        </w:tc>
      </w:tr>
    </w:tbl>
    <w:p w14:paraId="438D30EE" w14:textId="77777777" w:rsidR="005A5FCC" w:rsidRDefault="005A5FCC">
      <w:pPr>
        <w:spacing w:after="80" w:line="240" w:lineRule="auto"/>
      </w:pPr>
    </w:p>
    <w:p w14:paraId="1A9B0071"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18.36 Consolidação das posições adotadas</w:t>
      </w:r>
    </w:p>
    <w:p w14:paraId="476CAAB2"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2EDD389F" w14:textId="77777777" w:rsidR="005A5FCC" w:rsidRDefault="00A21C81">
      <w:r>
        <w:rPr>
          <w:rFonts w:cs="EB Garamond"/>
          <w:kern w:val="16"/>
          <w14:ligatures w14:val="standardContextual"/>
        </w:rPr>
        <w:t xml:space="preserve"> exame do BPC revela benefício assistencial de complexidade singular, em que a intersecção entre direito constitucional, legislação assistencial e jurisprudência produz sistema normativo em permanente evolução. Consolidamos as posições adotadas ao longo deste capítulo.</w:t>
      </w:r>
    </w:p>
    <w:p w14:paraId="77D1E9F3" w14:textId="77777777" w:rsidR="005A5FCC" w:rsidRDefault="00A21C81">
      <w:pPr>
        <w:ind w:firstLine="238"/>
      </w:pPr>
      <w:r>
        <w:rPr>
          <w:rFonts w:cs="EB Garamond"/>
          <w:kern w:val="16"/>
          <w14:ligatures w14:val="standardContextual"/>
        </w:rPr>
        <w:t>Entendemos que o BPC constitui direito fundamental social de aplicação direta, vinculado ao núcleo essencial do art. 203, V, da Constituição Federal. A natureza assistencial do benefício não o torna prestação de segunda categoria: ao contrário, sua função de proteção das pessoas em situação de máxima vulnerabilidade exige interpretação que maximize a efetividade do direito.</w:t>
      </w:r>
    </w:p>
    <w:p w14:paraId="4B090657" w14:textId="77777777" w:rsidR="005A5FCC" w:rsidRDefault="00A21C81">
      <w:pPr>
        <w:ind w:firstLine="238"/>
      </w:pPr>
      <w:r>
        <w:rPr>
          <w:rFonts w:cs="EB Garamond"/>
          <w:kern w:val="16"/>
          <w14:ligatures w14:val="standardContextual"/>
        </w:rPr>
        <w:t>O conceito de deficiência para fins do BPC é o modelo biopsicossocial consagrado pela CDPD (com status de emenda constitucional), pela Lei n. 13.146/2015 e pela LOAS reformada. A deficiência não se resume à limitação funcional diagnosticada pelo médico, mas abrange a interação dessa limitação com as barreiras ambientais e sociais que obstruem a participação plena da pessoa. O impedimento de longo prazo exige prognose mínima de dois anos, avaliada no caso concreto, com resolução pro misero em casos de dúvida.</w:t>
      </w:r>
    </w:p>
    <w:p w14:paraId="34450336" w14:textId="0CFDE413" w:rsidR="005A5FCC" w:rsidRDefault="00A21C81">
      <w:pPr>
        <w:ind w:firstLine="238"/>
      </w:pPr>
      <w:r>
        <w:rPr>
          <w:rFonts w:cs="EB Garamond"/>
          <w:kern w:val="16"/>
          <w14:ligatures w14:val="standardContextual"/>
        </w:rPr>
        <w:t xml:space="preserve">O critério de renda per capita de 1/4 do </w:t>
      </w:r>
      <w:r w:rsidR="00FB3B4F">
        <w:rPr>
          <w:rFonts w:cs="EB Garamond"/>
          <w:kern w:val="16"/>
          <w14:ligatures w14:val="standardContextual"/>
        </w:rPr>
        <w:t>salário-mínimo</w:t>
      </w:r>
      <w:r>
        <w:rPr>
          <w:rFonts w:cs="EB Garamond"/>
          <w:kern w:val="16"/>
          <w14:ligatures w14:val="standardContextual"/>
        </w:rPr>
        <w:t xml:space="preserve">, declarado inconstitucional pelo STF (Tema 27) como critério exclusivo, opera como presunção absoluta de miserabilidade. Renda per capita superior a esse patamar não impede a concessão do BPC, desde que demonstrada a vulnerabilidade por outros meios (STJ, Tema 185). A Lei n. 14.176/2021, ao autorizar a ampliação para 1/2 </w:t>
      </w:r>
      <w:r w:rsidR="00FB3B4F">
        <w:rPr>
          <w:rFonts w:cs="EB Garamond"/>
          <w:kern w:val="16"/>
          <w14:ligatures w14:val="standardContextual"/>
        </w:rPr>
        <w:t>salário-mínimo</w:t>
      </w:r>
      <w:r>
        <w:rPr>
          <w:rFonts w:cs="EB Garamond"/>
          <w:kern w:val="16"/>
          <w14:ligatures w14:val="standardContextual"/>
        </w:rPr>
        <w:t>, conferiu respaldo legislativo à orientação jurisprudencial, embora a regulamentação integral ainda penda de implementação.</w:t>
      </w:r>
    </w:p>
    <w:p w14:paraId="5698ECA8" w14:textId="77777777" w:rsidR="005A5FCC" w:rsidRDefault="00A21C81">
      <w:pPr>
        <w:ind w:firstLine="238"/>
      </w:pPr>
      <w:r>
        <w:rPr>
          <w:rFonts w:cs="EB Garamond"/>
          <w:kern w:val="16"/>
          <w14:ligatures w14:val="standardContextual"/>
        </w:rPr>
        <w:t>A fungibilidade entre BPC e benefícios previdenciários por incapacidade (TNU, Tema 217) constitui instrumento essencial de efetividade nos JEFs, impedindo que formalismos processuais prejudiquem pessoas em situação de vulnerabilidade. O juiz deve analisar de ofício a possibilidade de concessão do benefício alternativo quando os fatos provados o autorizem, intimando as partes para manifestação sobre o contraditório.</w:t>
      </w:r>
    </w:p>
    <w:p w14:paraId="43BBD228" w14:textId="77777777" w:rsidR="005A5FCC" w:rsidRDefault="00A21C81">
      <w:pPr>
        <w:ind w:firstLine="238"/>
      </w:pPr>
      <w:r>
        <w:rPr>
          <w:rFonts w:cs="EB Garamond"/>
          <w:kern w:val="16"/>
          <w14:ligatures w14:val="standardContextual"/>
        </w:rPr>
        <w:lastRenderedPageBreak/>
        <w:t>O auxílio-inclusão, criado pela Lei n. 14.176/2021, representa avanço na política de inserção da pessoa com deficiência no mercado de trabalho, ao superar o efeito desincentivo do BPC. A garantia de reativação do BPC após a cessação do vínculo laboral é salvaguarda que estimula a experiência profissional sem o risco de perda definitiva da proteção assistencial.</w:t>
      </w:r>
    </w:p>
    <w:p w14:paraId="177A1C4E" w14:textId="77777777" w:rsidR="005A5FCC" w:rsidRDefault="00A21C81">
      <w:pPr>
        <w:ind w:firstLine="238"/>
      </w:pPr>
      <w:r>
        <w:rPr>
          <w:rFonts w:cs="EB Garamond"/>
          <w:kern w:val="16"/>
          <w14:ligatures w14:val="standardContextual"/>
        </w:rPr>
        <w:t>A avaliação biopsicossocial unificada, quando plenamente implementada, promoverá maior isonomia e segurança jurídica na aferição da deficiência, reduzindo a subjetividade inerente ao modelo atual e promovendo padronização entre as diversas esferas de proteção social.</w:t>
      </w:r>
    </w:p>
    <w:p w14:paraId="429C92A9" w14:textId="260EC6E1" w:rsidR="005A5FCC" w:rsidRDefault="00A21C81">
      <w:pPr>
        <w:ind w:firstLine="238"/>
      </w:pPr>
      <w:r>
        <w:rPr>
          <w:rFonts w:cs="EB Garamond"/>
          <w:kern w:val="16"/>
          <w14:ligatures w14:val="standardContextual"/>
        </w:rPr>
        <w:t xml:space="preserve">A vedação de acumulação do BPC com benefícios previdenciários é regra cogente, derivada da natureza subsidiária da assistência social. O requerente que preenche simultaneamente os requisitos do BPC e de benefício previdenciário deve optar pelo mais vantajoso. Na grande maioria dos casos, o benefício previdenciário é preferível, por gerar direito a abono anual (13º) e a pensão por morte para dependentes. O BPC será preferível apenas em hipóteses excepcionais, como quando o benefício previdenciário tem valor inferior ao </w:t>
      </w:r>
      <w:r w:rsidR="00C6058C">
        <w:rPr>
          <w:rFonts w:cs="EB Garamond"/>
          <w:kern w:val="16"/>
          <w14:ligatures w14:val="standardContextual"/>
        </w:rPr>
        <w:t>salário-mínimo</w:t>
      </w:r>
      <w:r>
        <w:rPr>
          <w:rFonts w:cs="EB Garamond"/>
          <w:kern w:val="16"/>
          <w14:ligatures w14:val="standardContextual"/>
        </w:rPr>
        <w:t xml:space="preserve"> (situação rara após a garantia constitucional do piso) ou quando a pessoa não preenche os requisitos previdenciários e somente tem direito ao benefício assistencial.</w:t>
      </w:r>
    </w:p>
    <w:p w14:paraId="0BB32B53" w14:textId="77777777" w:rsidR="005A5FCC" w:rsidRDefault="00A21C81">
      <w:pPr>
        <w:ind w:firstLine="238"/>
      </w:pPr>
      <w:r>
        <w:rPr>
          <w:rFonts w:cs="EB Garamond"/>
          <w:kern w:val="16"/>
          <w14:ligatures w14:val="standardContextual"/>
        </w:rPr>
        <w:t>A obrigação alimentar civil dos familiares não constitui condição negativa para o BPC. O direito assistencial é autônomo e não se subordina à prévia exaustão dos meios de obtenção de alimentos na esfera privada. A solidariedade familiar, embora desejável, não pode substituir a obrigação constitucional do Estado de garantir proteção às pessoas em situação de vulnerabilidade extrema.</w:t>
      </w:r>
    </w:p>
    <w:p w14:paraId="7391BF07" w14:textId="77777777" w:rsidR="005A5FCC" w:rsidRDefault="00A21C81">
      <w:pPr>
        <w:ind w:firstLine="238"/>
      </w:pPr>
      <w:r>
        <w:rPr>
          <w:rFonts w:cs="EB Garamond"/>
          <w:kern w:val="16"/>
          <w14:ligatures w14:val="standardContextual"/>
        </w:rPr>
        <w:t>A ilegalidade do Decreto 12.534/2025, que pretende incluir o Bolsa Família na renda per capita em contrariedade ao art. 20, § 14, II, da LOAS, é analisada na seção 18.11, supra.</w:t>
      </w:r>
    </w:p>
    <w:p w14:paraId="395A725E" w14:textId="63D7966D" w:rsidR="005A5FCC" w:rsidRDefault="00A21C81">
      <w:pPr>
        <w:ind w:firstLine="238"/>
      </w:pPr>
      <w:r>
        <w:rPr>
          <w:rFonts w:cs="EB Garamond"/>
          <w:kern w:val="16"/>
          <w14:ligatures w14:val="standardContextual"/>
        </w:rPr>
        <w:t xml:space="preserve">A legislação recente, especialmente a Lei n. 14.176/2021 e suas regulamentações, demonstra a disposição do legislador de aprimorar o sistema do BPC, ampliando o acesso e modernizando os critérios de avaliação. A regulamentação integral do art. 20-B (ampliação do critério de renda para até 1/2 </w:t>
      </w:r>
      <w:r w:rsidR="00C6058C">
        <w:rPr>
          <w:rFonts w:cs="EB Garamond"/>
          <w:kern w:val="16"/>
          <w14:ligatures w14:val="standardContextual"/>
        </w:rPr>
        <w:t>salário-mínimo</w:t>
      </w:r>
      <w:r>
        <w:rPr>
          <w:rFonts w:cs="EB Garamond"/>
          <w:kern w:val="16"/>
          <w14:ligatures w14:val="standardContextual"/>
        </w:rPr>
        <w:t xml:space="preserve">), quando efetivamente implementada, poderá reduzir significativamente a judicialização, ao absorver na esfera administrativa parcela substancial das demandas </w:t>
      </w:r>
      <w:r>
        <w:rPr>
          <w:rFonts w:cs="EB Garamond"/>
          <w:kern w:val="16"/>
          <w14:ligatures w14:val="standardContextual"/>
        </w:rPr>
        <w:lastRenderedPageBreak/>
        <w:t>hoje decididas pelos JEFs. O acompanhamento atento dessas mudanças legislativas e regulamentares é obrigatório para todo profissional que atue na área.</w:t>
      </w:r>
    </w:p>
    <w:p w14:paraId="5DE25FAE" w14:textId="77777777" w:rsidR="005A5FCC" w:rsidRDefault="00A21C81">
      <w:pPr>
        <w:ind w:firstLine="238"/>
      </w:pPr>
      <w:r>
        <w:rPr>
          <w:rFonts w:cs="EB Garamond"/>
          <w:kern w:val="16"/>
          <w14:ligatures w14:val="standardContextual"/>
        </w:rPr>
        <w:t>O BPC, em síntese, é benefício que exige do juiz dos JEFs e do advogado previdenciarista domínio de matéria que transita entre o direito constitucional, a legislação assistencial, a jurisprudência consolidada das cortes superiores e a sensibilidade para a realidade socioeconômica dos requerentes. A complexidade normativa não pode obscurecer a finalidade última do benefício: garantir condições mínimas de dignidade a pessoas que, por deficiência ou idade avançada, associadas à insuficiência de recursos, encontram-se em situação de máxima vulnerabilidade social. A efetividade desse direito fundamental depende da interpretação que lhe é dada nos processos individuais que diariamente chegam aos JEFs de todo o país.</w:t>
      </w:r>
    </w:p>
    <w:p w14:paraId="61CD5B0F" w14:textId="77777777" w:rsidR="005A5FCC" w:rsidRDefault="005A5FCC">
      <w:pPr>
        <w:sectPr w:rsidR="005A5FCC">
          <w:headerReference w:type="even" r:id="rId180"/>
          <w:headerReference w:type="default" r:id="rId181"/>
          <w:footerReference w:type="even" r:id="rId182"/>
          <w:footerReference w:type="default" r:id="rId183"/>
          <w:headerReference w:type="first" r:id="rId184"/>
          <w:footerReference w:type="first" r:id="rId185"/>
          <w:pgSz w:w="8391" w:h="11906"/>
          <w:pgMar w:top="935" w:right="879" w:bottom="964" w:left="1162" w:header="454" w:footer="425" w:gutter="0"/>
          <w:cols w:space="720"/>
          <w:titlePg/>
          <w:docGrid w:linePitch="360"/>
        </w:sectPr>
      </w:pPr>
    </w:p>
    <w:p w14:paraId="1E2B4B35" w14:textId="77777777" w:rsidR="005A5FCC" w:rsidRDefault="00A21C81">
      <w:pPr>
        <w:keepNext/>
        <w:spacing w:before="240" w:after="80" w:line="240" w:lineRule="auto"/>
        <w:jc w:val="center"/>
      </w:pPr>
      <w:r>
        <w:rPr>
          <w:rFonts w:ascii="Noto Sans" w:hAnsi="Noto Sans" w:cs="Noto Sans"/>
          <w:b/>
          <w:caps/>
          <w:color w:val="8A6A2A"/>
          <w:kern w:val="16"/>
          <w:sz w:val="19"/>
          <w14:ligatures w14:val="standardContextual"/>
        </w:rPr>
        <w:lastRenderedPageBreak/>
        <w:t>CAPÍTULO 19</w:t>
      </w:r>
    </w:p>
    <w:p w14:paraId="7DF0F449" w14:textId="77777777" w:rsidR="005A5FCC" w:rsidRDefault="00A21C81">
      <w:pPr>
        <w:pStyle w:val="Ttulo2"/>
        <w:spacing w:line="240" w:lineRule="auto"/>
      </w:pPr>
      <w:r>
        <w:rPr>
          <w:rFonts w:ascii="EB Garamond" w:hAnsi="EB Garamond" w:cs="EB Garamond"/>
          <w:caps/>
          <w:kern w:val="16"/>
          <w14:ligatures w14:val="standardContextual"/>
        </w:rPr>
        <w:t>Pensão por Morte</w:t>
      </w:r>
    </w:p>
    <w:p w14:paraId="1FD89207" w14:textId="77777777" w:rsidR="005A5FCC" w:rsidRDefault="00A21C81">
      <w:pPr>
        <w:spacing w:after="240" w:line="240" w:lineRule="auto"/>
        <w:jc w:val="center"/>
      </w:pPr>
      <w:r>
        <w:rPr>
          <w:rFonts w:cs="EB Garamond"/>
          <w:color w:val="B78B37"/>
          <w:kern w:val="16"/>
          <w:sz w:val="18"/>
          <w14:ligatures w14:val="standardContextual"/>
        </w:rPr>
        <w:t>━━━━  ◆  ━━━━</w:t>
      </w:r>
    </w:p>
    <w:p w14:paraId="5266D39C"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4DD0E2EF" w14:textId="77777777" w:rsidR="005A5FCC" w:rsidRDefault="00A21C81">
      <w:r>
        <w:rPr>
          <w:rFonts w:cs="EB Garamond"/>
          <w:kern w:val="16"/>
          <w14:ligatures w14:val="standardContextual"/>
        </w:rPr>
        <w:t xml:space="preserve"> pensão por morte constitui o benefício previdenciário que mais diretamente materializa a função protetiva da previdência social em favor da família do segurado. Prevista no art. 201, inciso V, da Constituição Federal e disciplinada nos arts. 74 a 79 da Lei n. 8.213, de 24 de julho de 1991, a pensão por morte assegura aos dependentes do segurado falecido prestação pecuniária que visa substituir, ao menos parcialmente, a renda perdida com o óbito. Diferentemente da maioria dos benefícios previdenciários, que amparam o próprio segurado, a pensão por morte dirige-se a terceiros, os dependentes, cuja subsistência dependia, em maior ou menor grau, da pessoa falecida.</w:t>
      </w:r>
    </w:p>
    <w:p w14:paraId="619ECDCE" w14:textId="42B167FB" w:rsidR="005A5FCC" w:rsidRDefault="00A21C81">
      <w:pPr>
        <w:ind w:firstLine="238"/>
      </w:pPr>
      <w:r>
        <w:rPr>
          <w:rFonts w:cs="EB Garamond"/>
          <w:kern w:val="16"/>
          <w14:ligatures w14:val="standardContextual"/>
        </w:rPr>
        <w:t xml:space="preserve">A EC n. 103/2019 (Reforma da Previdência) alterou profundamente o regime jurídico da pensão por morte, modificando o cálculo do benefício, introduzindo o sistema de cotas e estabelecendo novas regras de acumulação. As mudanças suscitaram intenso debate doutrinário e jurisprudencial sobre seus limites constitucionais, especialmente quanto à possibilidade de redução do valor do benefício abaixo do </w:t>
      </w:r>
      <w:r w:rsidR="00C6058C">
        <w:rPr>
          <w:rFonts w:cs="EB Garamond"/>
          <w:kern w:val="16"/>
          <w14:ligatures w14:val="standardContextual"/>
        </w:rPr>
        <w:t>salário-mínimo</w:t>
      </w:r>
      <w:r>
        <w:rPr>
          <w:rFonts w:cs="EB Garamond"/>
          <w:kern w:val="16"/>
          <w14:ligatures w14:val="standardContextual"/>
        </w:rPr>
        <w:t xml:space="preserve"> e à vedação de reversão das cotas. A Lei n. 13.135/2015, por sua vez, já havia inaugurado a temporariedade da pensão para o cônjuge ou companheiro, vinculando sua duração à idade do beneficiário e à expectativa de sobrevida. A Lei n. 13.846/2019 trouxe nova camada de requisitos probatórios, exigindo início de prova material para a comprovação de união estável e de dependência econômica.</w:t>
      </w:r>
    </w:p>
    <w:p w14:paraId="244A2FA7" w14:textId="77777777" w:rsidR="005A5FCC" w:rsidRDefault="00A21C81">
      <w:pPr>
        <w:ind w:firstLine="238"/>
      </w:pPr>
      <w:r>
        <w:rPr>
          <w:rFonts w:cs="EB Garamond"/>
          <w:kern w:val="16"/>
          <w14:ligatures w14:val="standardContextual"/>
        </w:rPr>
        <w:t>O exame da pensão por morte nos Juizados Especiais Federais exige domínio simultâneo de direito previdenciário, direito de família, direito constitucional e técnicas de instrução processual, em benefício cujas controvérsias abrangem desde a configuração da relação de dependência até o cálculo do valor devido, passando pela concorrência entre beneficiários e pela acumulação com outros benefícios.</w:t>
      </w:r>
    </w:p>
    <w:p w14:paraId="4D12EF03"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19.1 Fundamento constitucional e natureza jurídica</w:t>
      </w:r>
    </w:p>
    <w:p w14:paraId="6A681BA8"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36F9E681" w14:textId="77777777" w:rsidR="005A5FCC" w:rsidRDefault="00A21C81">
      <w:r>
        <w:rPr>
          <w:rFonts w:cs="EB Garamond"/>
          <w:kern w:val="16"/>
          <w14:ligatures w14:val="standardContextual"/>
        </w:rPr>
        <w:t xml:space="preserve"> pensão por morte encontra fundamento direto no art. 201, inciso V, da Constituição Federal, que inclui entre os eventos cobertos pelo Regime Geral de Previdência Social a "pensão por morte do segurado, homem ou mulher, ao cônjuge ou companheiro e dependentes". O dispositivo constitucional consagra a proteção previdenciária ao núcleo familiar como desdobramento do princípio da solidariedade social e do dever do Estado de amparar a família (art. 226, caput, CF/88).</w:t>
      </w:r>
    </w:p>
    <w:p w14:paraId="2C0CC0FA" w14:textId="77777777" w:rsidR="005A5FCC" w:rsidRDefault="00A21C81">
      <w:pPr>
        <w:ind w:firstLine="238"/>
      </w:pPr>
      <w:r>
        <w:rPr>
          <w:rFonts w:cs="EB Garamond"/>
          <w:kern w:val="16"/>
          <w14:ligatures w14:val="standardContextual"/>
        </w:rPr>
        <w:t>A natureza jurídica da pensão por morte é de benefício previdenciário derivado: seu fato gerador é a morte do segurado, mas seus beneficiários são os dependentes, que exercem direito próprio, e não direito transmitido por herança. Essa distinção é relevante: a pensão por morte não integra o espólio do falecido, não se submete às regras de partilha hereditária e não depende de habilitação no inventário. O dependente exerce direito autônomo, nascido com o óbito do segurado, independentemente de qualquer manifestação de vontade do falecido.</w:t>
      </w:r>
    </w:p>
    <w:p w14:paraId="0053EFB2" w14:textId="77777777" w:rsidR="005A5FCC" w:rsidRDefault="00A21C81">
      <w:pPr>
        <w:ind w:firstLine="238"/>
      </w:pPr>
      <w:r>
        <w:rPr>
          <w:rFonts w:cs="EB Garamond"/>
          <w:kern w:val="16"/>
          <w14:ligatures w14:val="standardContextual"/>
        </w:rPr>
        <w:t>A pensão por morte é benefício de pagamento continuado, devido mensalmente enquanto persistir a condição de dependente. Seu valor não se confunde com verbas trabalhistas, indenizações civis ou alimentos devidos pelo falecido. A prestação previdenciária substitui a função protetiva que o segurado exercia em vida, na proporção fixada em lei, e se extingue com a cessação da condição de dependência ou com a morte do próprio dependente.</w:t>
      </w:r>
    </w:p>
    <w:tbl>
      <w:tblPr>
        <w:tblW w:w="5000" w:type="pct"/>
        <w:jc w:val="center"/>
        <w:tblLayout w:type="fixed"/>
        <w:tblLook w:val="04A0" w:firstRow="1" w:lastRow="0" w:firstColumn="1" w:lastColumn="0" w:noHBand="0" w:noVBand="1"/>
      </w:tblPr>
      <w:tblGrid>
        <w:gridCol w:w="6311"/>
      </w:tblGrid>
      <w:tr w:rsidR="005A5FCC" w14:paraId="00F6CC13"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2F1F2DF9"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5A3366AC" w14:textId="77777777" w:rsidR="005A5FCC" w:rsidRDefault="00A21C81">
            <w:pPr>
              <w:spacing w:after="60" w:line="247" w:lineRule="auto"/>
            </w:pPr>
            <w:r>
              <w:rPr>
                <w:rFonts w:cs="EB Garamond"/>
                <w:kern w:val="16"/>
                <w:sz w:val="19"/>
                <w14:ligatures w14:val="standardContextual"/>
              </w:rPr>
              <w:t>A pensão por morte é direito do dependente, não do segurado. O segurado não pode, em vida, designar ou excluir beneficiários da pensão, pois o rol de dependentes é fixado em lei (art. 16, Lei 8.213/91). Testamentos, contratos particulares ou declarações unilaterais que pretendam alterar a ordem de dependentes são juridicamente irrelevantes para fins previdenciários. O sistema previdenciário adota regime de dependência legal, e não contratual.</w:t>
            </w:r>
          </w:p>
        </w:tc>
      </w:tr>
    </w:tbl>
    <w:p w14:paraId="16FFA47C" w14:textId="77777777" w:rsidR="005A5FCC" w:rsidRDefault="005A5FCC">
      <w:pPr>
        <w:spacing w:after="80" w:line="240" w:lineRule="auto"/>
      </w:pPr>
    </w:p>
    <w:p w14:paraId="6855E9A2"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19.2 Evolução legislativa</w:t>
      </w:r>
    </w:p>
    <w:p w14:paraId="42F0E739"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2EE33F23" w14:textId="77777777" w:rsidR="005A5FCC" w:rsidRDefault="00A21C81">
      <w:r>
        <w:rPr>
          <w:rFonts w:cs="EB Garamond"/>
          <w:kern w:val="16"/>
          <w14:ligatures w14:val="standardContextual"/>
        </w:rPr>
        <w:t xml:space="preserve"> proteção previdenciária dos dependentes em caso de morte do segurado possui longa tradição no direito brasileiro. A Lei Eloy Chaves (Decreto Legislativo n. 4.682/1923) já previa pensão aos herdeiros do empregado falecido. Ao longo do século XX, a legislação previdenciária ampliou progressivamente o alcance e o valor do benefício, que atingiu seu ápice com a Lei n. 8.213/91, em sua redação original, ao fixar o valor da pensão por morte em 100% do salário de benefício do segurado falecido.</w:t>
      </w:r>
    </w:p>
    <w:p w14:paraId="5EF9FBDA" w14:textId="77777777" w:rsidR="005A5FCC" w:rsidRDefault="00A21C81">
      <w:pPr>
        <w:ind w:firstLine="238"/>
      </w:pPr>
      <w:r>
        <w:rPr>
          <w:rFonts w:cs="EB Garamond"/>
          <w:kern w:val="16"/>
          <w14:ligatures w14:val="standardContextual"/>
        </w:rPr>
        <w:t>A Lei n. 9.032/1995 uniformizou o valor da pensão por morte em 100% do valor da aposentadoria, patamar que vigorou por mais de duas décadas, até a EC n. 103/2019 (sobre o cálculo detalhado nos dois regimes, v. §§ 19.19-19.20, infra).</w:t>
      </w:r>
    </w:p>
    <w:p w14:paraId="373FC7BE" w14:textId="77777777" w:rsidR="005A5FCC" w:rsidRDefault="00A21C81">
      <w:pPr>
        <w:ind w:firstLine="238"/>
      </w:pPr>
      <w:r>
        <w:rPr>
          <w:rFonts w:cs="EB Garamond"/>
          <w:kern w:val="16"/>
          <w14:ligatures w14:val="standardContextual"/>
        </w:rPr>
        <w:t>A Lei n. 13.135/2015 (conversão da MP n. 664/2014) representou a primeira ruptura significativa. Suas principais inovações foram: (a) a introdução de prazo mínimo de casamento ou união estável (dois anos) e de número mínimo de contribuições do segurado (18 meses) como condições para a pensão de duração variável ao cônjuge; (b) a vinculação da duração da pensão à idade do cônjuge sobrevivente, conforme tabela de expectativa de sobrevida; (c) a exclusão do menor sob guarda do rol de dependentes equiparados a filho; e (d) a previsão de perda do direito à pensão em caso de condenação criminal por homicídio doloso contra o segurado.</w:t>
      </w:r>
    </w:p>
    <w:p w14:paraId="24DE8CEE" w14:textId="77777777" w:rsidR="005A5FCC" w:rsidRDefault="00A21C81">
      <w:pPr>
        <w:ind w:firstLine="238"/>
      </w:pPr>
      <w:r>
        <w:rPr>
          <w:rFonts w:cs="EB Garamond"/>
          <w:kern w:val="16"/>
          <w14:ligatures w14:val="standardContextual"/>
        </w:rPr>
        <w:t>A MP n. 871/2019, convertida na Lei n. 13.846/2019, acrescentou a exigência de início de prova material para comprovação de união estável e de dependência econômica (art. 16, § 5º, Lei n. 8.213/91), elevando o standard probatório para a concessão da pensão por morte a companheiros (§ 19.8, infra).</w:t>
      </w:r>
    </w:p>
    <w:p w14:paraId="08D15630" w14:textId="77777777" w:rsidR="005A5FCC" w:rsidRDefault="00A21C81">
      <w:pPr>
        <w:ind w:firstLine="238"/>
      </w:pPr>
      <w:r>
        <w:rPr>
          <w:rFonts w:cs="EB Garamond"/>
          <w:kern w:val="16"/>
          <w14:ligatures w14:val="standardContextual"/>
        </w:rPr>
        <w:t xml:space="preserve">A EC n. 103/2019 promoveu a alteração mais profunda no regime da pensão por morte desde a criação do RGPS. O art. 23 da Emenda substituiu o critério de 100% por sistema de cotas: cota familiar de 50% acrescida de 10 pontos percentuais por dependente, até o máximo de 100%. As cotas individuais cessam com a perda da qualidade de dependente e não são reversíveis aos demais dependentes. </w:t>
      </w:r>
      <w:r>
        <w:rPr>
          <w:rFonts w:cs="EB Garamond"/>
          <w:kern w:val="16"/>
          <w14:ligatures w14:val="standardContextual"/>
        </w:rPr>
        <w:lastRenderedPageBreak/>
        <w:t>O art. 24 estabeleceu novas regras de acumulação, vedando o recebimento simultâneo de duas pensões por morte pelo mesmo cônjuge ou companheiro no mesmo regime e instituindo escalonamento para a acumulação de pensão com aposentadoria.</w:t>
      </w:r>
    </w:p>
    <w:p w14:paraId="61E42D1A"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19.3 Fato gerador: morte real e morte presumida</w:t>
      </w:r>
    </w:p>
    <w:p w14:paraId="09A32B18"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53B8F9BB" w14:textId="77777777" w:rsidR="005A5FCC" w:rsidRDefault="00A21C81">
      <w:r>
        <w:rPr>
          <w:rFonts w:cs="EB Garamond"/>
          <w:kern w:val="16"/>
          <w14:ligatures w14:val="standardContextual"/>
        </w:rPr>
        <w:t xml:space="preserve"> fato gerador da pensão por morte é o óbito do segurado. A morte pode ser real (comprovada por certidão de óbito emitida pelo registro civil) ou presumida (declarada judicialmente nas hipóteses legais).</w:t>
      </w:r>
    </w:p>
    <w:p w14:paraId="7A5155BE" w14:textId="77777777" w:rsidR="005A5FCC" w:rsidRDefault="00A21C81">
      <w:pPr>
        <w:ind w:firstLine="238"/>
      </w:pPr>
      <w:r>
        <w:rPr>
          <w:rFonts w:cs="EB Garamond"/>
          <w:kern w:val="16"/>
          <w14:ligatures w14:val="standardContextual"/>
        </w:rPr>
        <w:t>A morte real é comprovada pela certidão de óbito, documento de fé pública que constitui prova plena do falecimento. O INSS exige a apresentação da certidão de óbito original ou cópia autenticada como condição para processamento do requerimento administrativo. No âmbito judicial, a certidão de óbito é documento indispensável à propositura da ação, salvo nas hipóteses de morte presumida.</w:t>
      </w:r>
    </w:p>
    <w:p w14:paraId="1D535FEC" w14:textId="77777777" w:rsidR="005A5FCC" w:rsidRDefault="00A21C81">
      <w:pPr>
        <w:ind w:firstLine="238"/>
      </w:pPr>
      <w:r>
        <w:rPr>
          <w:rFonts w:cs="EB Garamond"/>
          <w:kern w:val="16"/>
          <w14:ligatures w14:val="standardContextual"/>
        </w:rPr>
        <w:t>A morte presumida, para fins previdenciários, é disciplinada pelo art. 78 da Lei n. 8.213/91, que prevê duas hipóteses: (a) ausência declarada por autoridade judiciária, nos termos do Código Civil; e (b) desaparecimento do segurado em consequência de acidente, desastre ou catástrofe, mediante prova hábil. Na primeira hipótese, a pensão é concedida provisoriamente; na segunda, a concessão pode ser imediata, mediante apresentação de boletim de ocorrência policial, relatório de autoridade competente ou documentos que comprovem o desaparecimento em circunstâncias que tornam provável a morte.</w:t>
      </w:r>
    </w:p>
    <w:tbl>
      <w:tblPr>
        <w:tblW w:w="5000" w:type="pct"/>
        <w:jc w:val="center"/>
        <w:tblLayout w:type="fixed"/>
        <w:tblLook w:val="04A0" w:firstRow="1" w:lastRow="0" w:firstColumn="1" w:lastColumn="0" w:noHBand="0" w:noVBand="1"/>
      </w:tblPr>
      <w:tblGrid>
        <w:gridCol w:w="6311"/>
      </w:tblGrid>
      <w:tr w:rsidR="005A5FCC" w14:paraId="0607880A"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2293AAFE"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161385FA" w14:textId="77777777" w:rsidR="005A5FCC" w:rsidRDefault="00A21C81">
            <w:pPr>
              <w:spacing w:after="60" w:line="247" w:lineRule="auto"/>
            </w:pPr>
            <w:r>
              <w:rPr>
                <w:rFonts w:cs="EB Garamond"/>
                <w:kern w:val="16"/>
                <w:sz w:val="19"/>
                <w14:ligatures w14:val="standardContextual"/>
              </w:rPr>
              <w:t>Nas ações de pensão por morte presumida nos JEFs, a dificuldade probatória é significativa. O advogado deve reunir: (a) boletim de ocorrência policial relatando o desaparecimento; (b) prova de que o desaparecimento ocorreu em circunstâncias de risco (acidente, desastre natural, naufrágio); (c) declaração de testemunhas sobre as circunstâncias; (d) comprovante de que buscas foram realizadas sem êxito. Em casos de ausência prolongada (art. 22 do Código Civil), a declaração judicial de ausência é pressuposto necessário, e o juiz do JEF pode determiná-la incidentalmente no processo previdenciário, evitando a necessidade de ação autônoma na Justiça Estadual.</w:t>
            </w:r>
          </w:p>
        </w:tc>
      </w:tr>
    </w:tbl>
    <w:p w14:paraId="69FA8E4B" w14:textId="77777777" w:rsidR="005A5FCC" w:rsidRDefault="005A5FCC">
      <w:pPr>
        <w:spacing w:after="80" w:line="240" w:lineRule="auto"/>
      </w:pPr>
    </w:p>
    <w:p w14:paraId="4C31C8F5"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2CF7468E" w14:textId="77777777" w:rsidR="005A5FCC" w:rsidRDefault="00A21C81">
      <w:r>
        <w:rPr>
          <w:rFonts w:cs="EB Garamond"/>
          <w:kern w:val="16"/>
          <w14:ligatures w14:val="standardContextual"/>
        </w:rPr>
        <w:t xml:space="preserve"> pensão concedida por morte presumida é provisória. Se o segurado reaparecer, o benefício cessa imediatamente, e os valores recebidos são irrepetíveis (não devem ser devolvidos), salvo comprovação de má-fé do beneficiário. A conversão em pensão definitiva opera de modo distinto conforme a hipótese do art. 78: na ausência declarada judicialmente (inciso I), dá-se com o trânsito em julgado da sentença que declara a morte presumida nos termos do Código Civil; já no desaparecimento por acidente, desastre ou catástrofe (§ 1º), em que não há, em regra, declaração judicial prévia, a definitividade decorre do decurso de prazo razoável sem o reaparecimento do segurado, sem necessidade de aguardar qualquer trânsito em julgado.</w:t>
      </w:r>
    </w:p>
    <w:p w14:paraId="255A907A"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19.4 Requisitos para concessão: visão geral</w:t>
      </w:r>
    </w:p>
    <w:p w14:paraId="1E65587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30FF6CED" w14:textId="77777777" w:rsidR="005A5FCC" w:rsidRDefault="00A21C81">
      <w:r>
        <w:rPr>
          <w:rFonts w:cs="EB Garamond"/>
          <w:kern w:val="16"/>
          <w14:ligatures w14:val="standardContextual"/>
        </w:rPr>
        <w:t xml:space="preserve"> concessão da pensão por morte exige o preenchimento de três requisitos: (a) óbito do segurado (real ou presumido); (b) qualidade de segurado do falecido na data do óbito; e (c) condição de dependente do requerente. A ausência de qualquer desses requisitos impede a concessão.</w:t>
      </w:r>
    </w:p>
    <w:p w14:paraId="52029391" w14:textId="77777777" w:rsidR="005A5FCC" w:rsidRDefault="00A21C81">
      <w:pPr>
        <w:ind w:firstLine="238"/>
      </w:pPr>
      <w:r>
        <w:rPr>
          <w:rFonts w:cs="EB Garamond"/>
          <w:kern w:val="16"/>
          <w14:ligatures w14:val="standardContextual"/>
        </w:rPr>
        <w:t xml:space="preserve">A pensão por morte dispensa carência (art. 26, inciso I, da Lei n. 8.213/91). O segurado que contribuiu uma única vez e faleceu no dia seguinte gera direito à pensão para seus dependentes, desde que mantida a qualidade de segurado na data do óbito. A dispensa de carência reflete a natureza protetiva do benefício: a </w:t>
      </w:r>
      <w:r>
        <w:rPr>
          <w:rFonts w:cs="EB Garamond"/>
          <w:kern w:val="16"/>
          <w14:ligatures w14:val="standardContextual"/>
        </w:rPr>
        <w:lastRenderedPageBreak/>
        <w:t>morte é evento imprevisível que pode ocorrer a qualquer momento da vida contributiva do segurado, e condicionar a proteção dos dependentes a período mínimo de contribuições significaria negar amparo justamente às famílias mais vulneráveis — aquelas cujo provedor faleceu no início de sua trajetória laboral.</w:t>
      </w:r>
    </w:p>
    <w:p w14:paraId="47E408DA" w14:textId="77777777" w:rsidR="005A5FCC" w:rsidRDefault="00A21C81">
      <w:pPr>
        <w:ind w:firstLine="238"/>
      </w:pPr>
      <w:r>
        <w:rPr>
          <w:rFonts w:cs="EB Garamond"/>
          <w:kern w:val="16"/>
          <w14:ligatures w14:val="standardContextual"/>
        </w:rPr>
        <w:t>A qualidade de segurado é aferida na data do óbito. O falecido deve estar filiado ao RGPS ou dentro do período de graça (art. 15, Lei n. 8.213/91) no momento do falecimento. Se o segurado perdeu a qualidade antes do óbito, a pensão não é devida, salvo se o falecido já havia implementado todos os requisitos para aposentadoria antes da perda da qualidade (art. 102, § 2º, Lei n. 8.213/91).</w:t>
      </w:r>
    </w:p>
    <w:p w14:paraId="1234719C" w14:textId="77777777" w:rsidR="005A5FCC" w:rsidRDefault="00A21C81">
      <w:pPr>
        <w:ind w:firstLine="238"/>
      </w:pPr>
      <w:r>
        <w:rPr>
          <w:rFonts w:cs="EB Garamond"/>
          <w:kern w:val="16"/>
          <w14:ligatures w14:val="standardContextual"/>
        </w:rPr>
        <w:t>A condição de dependente é verificada conforme o art. 16 da Lei n. 8.213/91, que organiza os dependentes em três classes hierarquizadas, com presunções de dependência econômica diferenciadas. A existência de dependentes em classe superior exclui o direito dos dependentes de classe inferior.</w:t>
      </w:r>
    </w:p>
    <w:p w14:paraId="00F71C0F"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19.5 Qualidade de segurado do instituidor</w:t>
      </w:r>
    </w:p>
    <w:p w14:paraId="22FC094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39FC8126" w14:textId="77777777" w:rsidR="005A5FCC" w:rsidRDefault="00A21C81">
      <w:r>
        <w:rPr>
          <w:rFonts w:cs="EB Garamond"/>
          <w:kern w:val="16"/>
          <w14:ligatures w14:val="standardContextual"/>
        </w:rPr>
        <w:t xml:space="preserve"> verificação da qualidade de segurado na data do óbito constitui o primeiro filtro de elegibilidade para a pensão por morte. O segurado que falece durante o exercício de atividade vinculada ao RGPS ou dentro do período de graça mantém a qualidade de segurado e gera direito à pensão para seus dependentes. Sobre os prazos de manutenção da qualidade e mecanismos de prorrogação do período de graça (12/24/36 meses), ver Cap. 3, § 3.6.</w:t>
      </w:r>
    </w:p>
    <w:p w14:paraId="26F34F0F" w14:textId="77777777" w:rsidR="005A5FCC" w:rsidRDefault="00A21C81">
      <w:pPr>
        <w:ind w:firstLine="238"/>
      </w:pPr>
      <w:r>
        <w:rPr>
          <w:rFonts w:cs="EB Garamond"/>
          <w:kern w:val="16"/>
          <w14:ligatures w14:val="standardContextual"/>
        </w:rPr>
        <w:t>A questão do segurado que perdeu a qualidade mas havia implementado os requisitos para aposentadoria antes da perda merece atenção. O art. 102, § 2º, da Lei n. 8.213/91 (incluído pela Lei n. 10.666/2003) assegura que a perda da qualidade de segurado não prejudica o direito à aposentadoria para cuja concessão tenham sido preenchidos todos os requisitos. A jurisprudência estendeu esse entendimento à pensão por morte: se o falecido, na data da perda da qualidade, já reunia os requisitos para aposentadoria por idade ou por tempo de contribuição, a pensão é devida aos dependentes, pois o direito à aposentadoria, e, por extensão, à pensão derivada, já estava incorporado ao patrimônio jurídico do segurado.</w:t>
      </w:r>
    </w:p>
    <w:tbl>
      <w:tblPr>
        <w:tblW w:w="5000" w:type="pct"/>
        <w:jc w:val="center"/>
        <w:tblLayout w:type="fixed"/>
        <w:tblLook w:val="04A0" w:firstRow="1" w:lastRow="0" w:firstColumn="1" w:lastColumn="0" w:noHBand="0" w:noVBand="1"/>
      </w:tblPr>
      <w:tblGrid>
        <w:gridCol w:w="6311"/>
      </w:tblGrid>
      <w:tr w:rsidR="005A5FCC" w14:paraId="613DFCA2"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5F2CAFBD" w14:textId="77777777" w:rsidR="005A5FCC" w:rsidRDefault="00A21C81">
            <w:pPr>
              <w:spacing w:after="60" w:line="240" w:lineRule="auto"/>
              <w:jc w:val="left"/>
            </w:pPr>
            <w:r>
              <w:rPr>
                <w:rFonts w:ascii="Noto Sans" w:hAnsi="Noto Sans" w:cs="Noto Sans"/>
                <w:b/>
                <w:caps/>
                <w:color w:val="4D6F8A"/>
                <w:kern w:val="16"/>
                <w:sz w:val="16"/>
                <w14:ligatures w14:val="standardContextual"/>
              </w:rPr>
              <w:lastRenderedPageBreak/>
              <w:t>JURISPRUDÊNCIA EM DESTAQUE</w:t>
            </w:r>
          </w:p>
          <w:p w14:paraId="505ED5D4" w14:textId="77777777" w:rsidR="005A5FCC" w:rsidRDefault="00A21C81">
            <w:pPr>
              <w:spacing w:after="60" w:line="247" w:lineRule="auto"/>
            </w:pPr>
            <w:r>
              <w:rPr>
                <w:rFonts w:cs="EB Garamond"/>
                <w:b/>
                <w:kern w:val="16"/>
                <w:sz w:val="19"/>
                <w14:ligatures w14:val="standardContextual"/>
              </w:rPr>
              <w:t>STJ, Tema 1057 (REsp 1.856.967, rel. Min. Regina Helena Costa, 1ª Seção, j. 29/06/2020, trânsito em julgado 28/06/2021)</w:t>
            </w:r>
            <w:r>
              <w:rPr>
                <w:rFonts w:cs="EB Garamond"/>
                <w:kern w:val="16"/>
                <w:sz w:val="19"/>
                <w14:ligatures w14:val="standardContextual"/>
              </w:rPr>
              <w:t xml:space="preserve">: O STJ fixou tese sobre a legitimidade de pensionistas e sucessores para, à falta de requerimento do segurado em vida, propor ação revisional da aposentadoria do </w:t>
            </w:r>
            <w:r>
              <w:rPr>
                <w:rFonts w:cs="EB Garamond"/>
                <w:i/>
                <w:kern w:val="16"/>
                <w:sz w:val="19"/>
                <w14:ligatures w14:val="standardContextual"/>
              </w:rPr>
              <w:t>de cujus</w:t>
            </w:r>
            <w:r>
              <w:rPr>
                <w:rFonts w:cs="EB Garamond"/>
                <w:kern w:val="16"/>
                <w:sz w:val="19"/>
                <w14:ligatures w14:val="standardContextual"/>
              </w:rPr>
              <w:t xml:space="preserve">. A tese repetitiva, em sua literalidade, assenta: "I. O disposto no art. 112 da Lei n. 8.213/1991 é aplicável aos âmbitos judicial e administrativo; II. Os pensionistas detêm legitimidade ativa para pleitear, por direito próprio, a revisão do benefício derivado (pensão por morte) — caso não alcançada pela decadência —, fazendo jus a diferenças pecuniárias pretéritas não prescritas, decorrentes da pensão recalculada; III. Caso não decaído o direito de revisar a renda mensal inicial do benefício originário do segurado instituidor, os pensionistas poderão postular a revisão da aposentadoria, a fim de auferirem eventuais parcelas não prescritas resultantes da readequação do benefício original, bem como os reflexos na graduação econômica da pensão por morte; e IV. À falta de dependentes legais habilitados à pensão por morte, os sucessores (herdeiros) do segurado instituidor, definidos na lei civil, são partes legítimas para pleitear, por ação e em nome próprios, a revisão do benefício original — salvo se decaído o direito ao instituidor — e, por conseguinte, de haverem eventuais diferenças pecuniárias não prescritas, oriundas do recálculo da aposentadoria do </w:t>
            </w:r>
            <w:r>
              <w:rPr>
                <w:rFonts w:cs="EB Garamond"/>
                <w:i/>
                <w:kern w:val="16"/>
                <w:sz w:val="19"/>
                <w14:ligatures w14:val="standardContextual"/>
              </w:rPr>
              <w:t>de cujus</w:t>
            </w:r>
            <w:r>
              <w:rPr>
                <w:rFonts w:cs="EB Garamond"/>
                <w:kern w:val="16"/>
                <w:sz w:val="19"/>
                <w14:ligatures w14:val="standardContextual"/>
              </w:rPr>
              <w:t>." O entendimento reconhece que a revisão do benefício originário impacta diretamente o valor da pensão, legitimando os dependentes a questionar o cálculo da aposentadoria do instituidor como premissa para a revisão da pensão.</w:t>
            </w:r>
          </w:p>
        </w:tc>
      </w:tr>
    </w:tbl>
    <w:p w14:paraId="2211ABCB" w14:textId="77777777" w:rsidR="005A5FCC" w:rsidRDefault="005A5FCC">
      <w:pPr>
        <w:spacing w:after="80" w:line="240" w:lineRule="auto"/>
      </w:pPr>
    </w:p>
    <w:p w14:paraId="1AF8558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S</w:t>
      </w:r>
    </w:p>
    <w:p w14:paraId="43F5DA29" w14:textId="77777777" w:rsidR="005A5FCC" w:rsidRDefault="00A21C81">
      <w:r>
        <w:rPr>
          <w:rFonts w:cs="EB Garamond"/>
          <w:kern w:val="16"/>
          <w14:ligatures w14:val="standardContextual"/>
        </w:rPr>
        <w:t>obre a qualidade de segurado do encarcerado e o período de graça após livramento, ver Cap. 14, § 14.5. A pensão por morte do preso que falece durante o cumprimento da pena é examinada na situação especial do § 19.35, infra.</w:t>
      </w:r>
    </w:p>
    <w:p w14:paraId="49BF20A0"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19.6 Carência: dispensa e exceções</w:t>
      </w:r>
    </w:p>
    <w:p w14:paraId="445369C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4F0DADFD" w14:textId="77777777" w:rsidR="005A5FCC" w:rsidRDefault="00A21C81">
      <w:r>
        <w:rPr>
          <w:rFonts w:cs="EB Garamond"/>
          <w:kern w:val="16"/>
          <w14:ligatures w14:val="standardContextual"/>
        </w:rPr>
        <w:t xml:space="preserve"> pensão por morte dispensa carência (art. 26, I, Lei n. 8.213/91; v. Cap. 3, § 3.3.1). A inexigibilidade é absoluta: aplica-se a todos os segurados e a todas as hipóteses de óbito.</w:t>
      </w:r>
    </w:p>
    <w:p w14:paraId="5AD8B3AD" w14:textId="77777777" w:rsidR="005A5FCC" w:rsidRDefault="00A21C81">
      <w:pPr>
        <w:ind w:firstLine="238"/>
      </w:pPr>
      <w:r>
        <w:rPr>
          <w:rFonts w:cs="EB Garamond"/>
          <w:kern w:val="16"/>
          <w14:ligatures w14:val="standardContextual"/>
        </w:rPr>
        <w:t xml:space="preserve">A dispensa de carência para a pensão por morte não se confunde com a exigência de 18 contribuições mensais e dois anos de casamento ou união estável </w:t>
      </w:r>
      <w:r>
        <w:rPr>
          <w:rFonts w:cs="EB Garamond"/>
          <w:kern w:val="16"/>
          <w14:ligatures w14:val="standardContextual"/>
        </w:rPr>
        <w:lastRenderedPageBreak/>
        <w:t>prevista no art. 77, § 2º, inciso V, da Lei n. 8.213/91 (incluído pela Lei n. 13.135/2015). Esses requisitos não dizem respeito à concessão do benefício, mas à sua duração. A pensão por morte é devida em qualquer caso; o que varia é o tempo de sua manutenção. Se o segurado faleceu com menos de 18 contribuições ou antes de completar dois anos de casamento ou união estável, a pensão ao cônjuge ou companheiro terá duração de apenas quatro meses. Se as duas condições estavam cumpridas, a duração será variável conforme a idade do beneficiário na data do óbito.</w:t>
      </w:r>
    </w:p>
    <w:tbl>
      <w:tblPr>
        <w:tblW w:w="5000" w:type="pct"/>
        <w:jc w:val="center"/>
        <w:tblLayout w:type="fixed"/>
        <w:tblLook w:val="04A0" w:firstRow="1" w:lastRow="0" w:firstColumn="1" w:lastColumn="0" w:noHBand="0" w:noVBand="1"/>
      </w:tblPr>
      <w:tblGrid>
        <w:gridCol w:w="6311"/>
      </w:tblGrid>
      <w:tr w:rsidR="005A5FCC" w14:paraId="7A562965"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4671DBD9"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190BF22B" w14:textId="77777777" w:rsidR="005A5FCC" w:rsidRDefault="00A21C81">
            <w:pPr>
              <w:spacing w:after="60" w:line="247" w:lineRule="auto"/>
            </w:pPr>
            <w:r>
              <w:rPr>
                <w:rFonts w:cs="EB Garamond"/>
                <w:kern w:val="16"/>
                <w:sz w:val="19"/>
                <w14:ligatures w14:val="standardContextual"/>
              </w:rPr>
              <w:t>A distinção entre carência (inexigível) e os requisitos temporais para duração variável (18 contribuições + 2 anos de casamento/união) é fonte de erros frequentes na prática forense. O INSS por vezes indefere a pensão por morte alegando que o segurado não completou 18 contribuições, quando, na verdade, deveria conceder o benefício com duração de quatro meses. O advogado deve atentar para essa diferença e requerer, quando for o caso, a concessão com duração de quatro meses, evitando o indeferimento total por fundamento incorreto.</w:t>
            </w:r>
          </w:p>
        </w:tc>
      </w:tr>
    </w:tbl>
    <w:p w14:paraId="567EF65C" w14:textId="77777777" w:rsidR="005A5FCC" w:rsidRDefault="005A5FCC">
      <w:pPr>
        <w:spacing w:after="80" w:line="240" w:lineRule="auto"/>
      </w:pPr>
    </w:p>
    <w:p w14:paraId="5FBE0C33"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18E6E622" w14:textId="77777777" w:rsidR="005A5FCC" w:rsidRDefault="00A21C81">
      <w:r>
        <w:rPr>
          <w:rFonts w:cs="EB Garamond"/>
          <w:kern w:val="16"/>
          <w14:ligatures w14:val="standardContextual"/>
        </w:rPr>
        <w:t xml:space="preserve"> exceção à dispensa de carência existe para o segurado que ingressou ou reingressou no RGPS já portador de doença preexistente que gerou o óbito. O art. 26, inciso I, deve ser lido em conjunto com o art. 77, § 2º, inciso V, "a": se o óbito decorreu de acidente posterior ao casamento ou ao início da união estável, a pensão terá duração variável conforme a tabela, independentemente do número de contribuições. A ratio é que o acidente, por sua natureza imprevisível, afasta qualquer suspeita de fraude, diferentemente da morte por doença preexistente.</w:t>
      </w:r>
    </w:p>
    <w:p w14:paraId="6D176584"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19.7 Dependentes: rol e classes</w:t>
      </w:r>
    </w:p>
    <w:p w14:paraId="359E5783"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16901F6C" w14:textId="77777777" w:rsidR="005A5FCC" w:rsidRDefault="00A21C81">
      <w:r>
        <w:rPr>
          <w:rFonts w:cs="EB Garamond"/>
          <w:kern w:val="16"/>
          <w14:ligatures w14:val="standardContextual"/>
        </w:rPr>
        <w:t xml:space="preserve"> rol de dependentes e suas classes são examinados no Cap. 2, § 2.4. Neste capítulo, aprofundamos os aspectos específicos da comprovação de dependência para fins de pensão por morte.</w:t>
      </w:r>
    </w:p>
    <w:p w14:paraId="32123C1D" w14:textId="77777777" w:rsidR="005A5FCC" w:rsidRDefault="00A21C81">
      <w:pPr>
        <w:ind w:firstLine="238"/>
      </w:pPr>
      <w:r>
        <w:rPr>
          <w:rFonts w:cs="EB Garamond"/>
          <w:kern w:val="16"/>
          <w14:ligatures w14:val="standardContextual"/>
        </w:rPr>
        <w:lastRenderedPageBreak/>
        <w:t>O art. 16 da Lei n. 8.213/91 organiza os dependentes do segurado em três classes, com ordem de precedência rígida:</w:t>
      </w:r>
    </w:p>
    <w:p w14:paraId="00990220" w14:textId="77777777" w:rsidR="005A5FCC" w:rsidRDefault="00A21C81">
      <w:pPr>
        <w:ind w:firstLine="238"/>
      </w:pPr>
      <w:r>
        <w:rPr>
          <w:rFonts w:cs="EB Garamond"/>
          <w:kern w:val="16"/>
          <w14:ligatures w14:val="standardContextual"/>
        </w:rPr>
        <w:t>Classe I: o cônjuge, a companheira, o companheiro e o filho não emancipado, de qualquer condição, menor de 21 anos ou inválido ou que tenha deficiência intelectual ou mental ou deficiência grave. Classe II: os pais. Classe III: o irmão não emancipado, de qualquer condição, menor de 21 anos ou inválido ou que tenha deficiência intelectual ou mental ou deficiência grave.</w:t>
      </w:r>
    </w:p>
    <w:p w14:paraId="08F33416" w14:textId="77777777" w:rsidR="005A5FCC" w:rsidRDefault="00A21C81">
      <w:pPr>
        <w:ind w:firstLine="238"/>
      </w:pPr>
      <w:r>
        <w:rPr>
          <w:rFonts w:cs="EB Garamond"/>
          <w:kern w:val="16"/>
          <w14:ligatures w14:val="standardContextual"/>
        </w:rPr>
        <w:t>A existência de dependentes habilitados em classe superior exclui integralmente o direito dos dependentes de classe inferior (art. 16, § 1º). Um segurado que falece deixando cônjuge e pais como potenciais dependentes terá apenas o cônjuge como beneficiário da pensão: a existência de dependente da Classe I (cônjuge) exclui os dependentes da Classe II (pais). Dentro da mesma classe, os dependentes concorrem em igualdade de condições, rateando a pensão em partes iguais.</w:t>
      </w:r>
    </w:p>
    <w:p w14:paraId="7521D4C8" w14:textId="77777777" w:rsidR="005A5FCC" w:rsidRDefault="00A21C81">
      <w:pPr>
        <w:ind w:firstLine="238"/>
      </w:pPr>
      <w:r>
        <w:rPr>
          <w:rFonts w:cs="EB Garamond"/>
          <w:kern w:val="16"/>
          <w14:ligatures w14:val="standardContextual"/>
        </w:rPr>
        <w:t>A dependência econômica dos dependentes da Classe I é presumida (art. 16, § 4º). O cônjuge, o companheiro e o filho menor de 21 anos ou inválido não precisam comprovar que dependiam economicamente do segurado — a lei presume a dependência. A presunção, segundo entendimento consolidado, é relativa (juris tantum), admitindo prova em contrário pelo INSS. Na prática, porém, o INSS raramente consegue ilidir a presunção para cônjuges e filhos menores.</w:t>
      </w:r>
    </w:p>
    <w:p w14:paraId="2DECE91E" w14:textId="77777777" w:rsidR="005A5FCC" w:rsidRDefault="00A21C81">
      <w:pPr>
        <w:ind w:firstLine="238"/>
      </w:pPr>
      <w:r>
        <w:rPr>
          <w:rFonts w:cs="EB Garamond"/>
          <w:kern w:val="16"/>
          <w14:ligatures w14:val="standardContextual"/>
        </w:rPr>
        <w:t>Para os dependentes das Classes II e III (pais e irmãos), a dependência econômica deve ser comprovada (art. 16, § 4º). A prova exigida é de dependência econômica efetiva, não de dependência exclusiva: basta que o dependente demonstre que a renda do segurado contribuía relevantemente para seu sustento, sem necessidade de provar que o segurado era a única fonte de renda.</w:t>
      </w:r>
    </w:p>
    <w:p w14:paraId="74B7E7B5"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19.8 Dependentes de primeira classe: cônjuge e companheiro(a)</w:t>
      </w:r>
    </w:p>
    <w:p w14:paraId="4E40F35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2CC4B36A" w14:textId="77777777" w:rsidR="005A5FCC" w:rsidRDefault="00A21C81">
      <w:r>
        <w:rPr>
          <w:rFonts w:cs="EB Garamond"/>
          <w:kern w:val="16"/>
          <w14:ligatures w14:val="standardContextual"/>
        </w:rPr>
        <w:t xml:space="preserve"> cônjuge sobrevivente é dependente presumido da Classe I. A condição de cônjuge é comprovada pela certidão de casamento, documento de fé pú</w:t>
      </w:r>
      <w:r>
        <w:rPr>
          <w:rFonts w:cs="EB Garamond"/>
          <w:kern w:val="16"/>
          <w14:ligatures w14:val="standardContextual"/>
        </w:rPr>
        <w:lastRenderedPageBreak/>
        <w:t>blica que dispensa prova adicional da relação conjugal. O casamento válido, celebrado nos termos do Código Civil, gera presunção de dependência econômica que somente é afastada por prova robusta em sentido contrário.</w:t>
      </w:r>
    </w:p>
    <w:p w14:paraId="1123BCAE" w14:textId="77777777" w:rsidR="005A5FCC" w:rsidRDefault="00A21C81">
      <w:pPr>
        <w:ind w:firstLine="238"/>
      </w:pPr>
      <w:r>
        <w:rPr>
          <w:rFonts w:cs="EB Garamond"/>
          <w:kern w:val="16"/>
          <w14:ligatures w14:val="standardContextual"/>
        </w:rPr>
        <w:t>O companheiro ou companheira em união estável é equiparado ao cônjuge para fins previdenciários (art. 16, I, Lei n. 8.213/91). A união estável, configurada pela convivência pública, contínua e duradoura com objetivo de constituir família (art. 1.723, Código Civil), gera os mesmos direitos previdenciários do casamento formal. A equiparação é constitucional, nos termos do art. 226, § 3º, da Constituição Federal, que reconhece a união estável como entidade familiar.</w:t>
      </w:r>
    </w:p>
    <w:p w14:paraId="230A2A84" w14:textId="77777777" w:rsidR="005A5FCC" w:rsidRDefault="00A21C81">
      <w:pPr>
        <w:ind w:firstLine="238"/>
      </w:pPr>
      <w:r>
        <w:rPr>
          <w:rFonts w:cs="EB Garamond"/>
          <w:kern w:val="16"/>
          <w14:ligatures w14:val="standardContextual"/>
        </w:rPr>
        <w:t>A comprovação da união estável para fins previdenciários é matéria de prova, e a legislação impôs requisitos específicos a partir da Lei n. 13.846/2019. O art. 16, § 5º, da Lei n. 8.213/91, com redação dada por essa lei, exige que a comprovação da condição de companheiro(a) e da dependência econômica ocorra por meio de início de prova material contemporâneo dos fatos, não admitindo prova exclusivamente testemunhal, exceto por motivo de força maior ou caso fortuito.</w:t>
      </w:r>
    </w:p>
    <w:tbl>
      <w:tblPr>
        <w:tblW w:w="5000" w:type="pct"/>
        <w:jc w:val="center"/>
        <w:tblLayout w:type="fixed"/>
        <w:tblLook w:val="04A0" w:firstRow="1" w:lastRow="0" w:firstColumn="1" w:lastColumn="0" w:noHBand="0" w:noVBand="1"/>
      </w:tblPr>
      <w:tblGrid>
        <w:gridCol w:w="6311"/>
      </w:tblGrid>
      <w:tr w:rsidR="005A5FCC" w14:paraId="23D4B985"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580DD27C"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2550B24B" w14:textId="77777777" w:rsidR="005A5FCC" w:rsidRDefault="00A21C81">
            <w:pPr>
              <w:spacing w:after="60" w:line="247" w:lineRule="auto"/>
            </w:pPr>
            <w:r>
              <w:rPr>
                <w:rFonts w:cs="EB Garamond"/>
                <w:kern w:val="16"/>
                <w:sz w:val="19"/>
                <w14:ligatures w14:val="standardContextual"/>
              </w:rPr>
              <w:t>A exigência de início de prova material para a comprovação da união estável (art. 16, § 5º, Lei n. 8.213/91, com redação da Lei n. 13.846/2019) aplica-se aos óbitos ocorridos a partir da vigência da MP n. 871/2019, em 18/01/2019, convertida na Lei n. 13.846/2019. Para óbitos anteriores a 18/01/2019, aplica-se a legislação vigente na data do falecimento, que não exigia início de prova material (TNU, Súmula 63). O advogado deve atentar para a data do óbito ao definir o regime probatório aplicável. Em qualquer caso, a reunião de documentos como: conta bancária conjunta, contrato de aluguel em nome de ambos, declaração conjunta de imposto de renda, certidão de nascimento de filhos em comum, fotografias e correspondências constitui providência recomendável para robustecimento da prova.</w:t>
            </w:r>
          </w:p>
        </w:tc>
      </w:tr>
    </w:tbl>
    <w:p w14:paraId="32DDE7BA" w14:textId="77777777" w:rsidR="005A5FCC" w:rsidRDefault="005A5FCC">
      <w:pPr>
        <w:spacing w:after="80" w:line="240" w:lineRule="auto"/>
      </w:pPr>
    </w:p>
    <w:p w14:paraId="060F9E32"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20348C8D" w14:textId="77777777" w:rsidR="005A5FCC" w:rsidRDefault="00A21C81">
      <w:r>
        <w:rPr>
          <w:rFonts w:cs="EB Garamond"/>
          <w:kern w:val="16"/>
          <w14:ligatures w14:val="standardContextual"/>
        </w:rPr>
        <w:t xml:space="preserve"> cônjuge separado judicialmente ou divorciado mantém a condição de dependente para fins de pensão por morte se recebia pensão alimentícia do segurado falecido (art. 76, § 2º, Lei n. 8.213/91). A hipótese do ex-cônjuge que não recebia alimentos será examinada em seção específica (19.15).</w:t>
      </w:r>
    </w:p>
    <w:p w14:paraId="1B00D365"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19.9 Dependentes de primeira classe: filhos</w:t>
      </w:r>
    </w:p>
    <w:p w14:paraId="09BA78D3"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51B9F3CB" w14:textId="77777777" w:rsidR="005A5FCC" w:rsidRDefault="00A21C81">
      <w:r>
        <w:rPr>
          <w:rFonts w:cs="EB Garamond"/>
          <w:kern w:val="16"/>
          <w14:ligatures w14:val="standardContextual"/>
        </w:rPr>
        <w:t>s filhos do segurado, não emancipados, menores de 21 anos, são dependentes presumidos da Classe I, independentemente de condição (legítimos, ilegítimos, adotivos). A pensão é devida desde o óbito até que o filho complete 21 anos ou, se anterior, até a emancipação.</w:t>
      </w:r>
    </w:p>
    <w:p w14:paraId="65CA94FA" w14:textId="77777777" w:rsidR="005A5FCC" w:rsidRDefault="00A21C81">
      <w:pPr>
        <w:ind w:firstLine="238"/>
      </w:pPr>
      <w:r>
        <w:rPr>
          <w:rFonts w:cs="EB Garamond"/>
          <w:kern w:val="16"/>
          <w14:ligatures w14:val="standardContextual"/>
        </w:rPr>
        <w:t>A emancipação cessa a condição de dependente para fins de pensão por morte. A emancipação pode ocorrer por concessão dos pais (art. 5º, parágrafo único, I, Código Civil), por casamento, por exercício de emprego público efetivo, por colação de grau em curso de ensino superior ou por estabelecimento civil ou comercial com economia própria. Em qualquer dessas hipóteses, o filho perde o direito à pensão por morte, independentemente da idade.</w:t>
      </w:r>
    </w:p>
    <w:p w14:paraId="27C219AE" w14:textId="77777777" w:rsidR="005A5FCC" w:rsidRDefault="00A21C81">
      <w:pPr>
        <w:ind w:firstLine="238"/>
      </w:pPr>
      <w:r>
        <w:rPr>
          <w:rFonts w:cs="EB Garamond"/>
          <w:kern w:val="16"/>
          <w14:ligatures w14:val="standardContextual"/>
        </w:rPr>
        <w:t>A exceção à regra da cessação aos 21 anos alcança os filhos inválidos ou com deficiência intelectual, mental ou grave. Esses dependentes mantêm a condição enquanto perdurar a invalidez ou a deficiência, sem limite de idade. A invalidez ou deficiência deve ser anterior ao óbito do segurado — requisito que a jurisprudência consolidou com rigor: se a invalidez sobreveio após o falecimento do segurado, o filho não faz jus à pensão vitalícia, pois a condição de dependente já havia cessado com a maioridade ou emancipação.</w:t>
      </w:r>
    </w:p>
    <w:p w14:paraId="5C600066" w14:textId="77777777" w:rsidR="005A5FCC" w:rsidRDefault="00A21C81">
      <w:pPr>
        <w:ind w:firstLine="238"/>
      </w:pPr>
      <w:r>
        <w:rPr>
          <w:rFonts w:cs="EB Garamond"/>
          <w:kern w:val="16"/>
          <w14:ligatures w14:val="standardContextual"/>
        </w:rPr>
        <w:t>A verificação da invalidez ou deficiência do filho dependente é feita por perícia médica, que deve atestar: (a) a existência de incapacidade total e permanente para o trabalho ou deficiência intelectual, mental ou grave; (b) que a condição era preexistente ao óbito do segurado; e (c) que a condição persiste na data do requerimento. A invalidez ou deficiência superveniente ao óbito não gera direito à pensão, mas a invalidez preexistente que se agrava após o óbito não implica cessação do benefício.</w:t>
      </w:r>
    </w:p>
    <w:tbl>
      <w:tblPr>
        <w:tblW w:w="5000" w:type="pct"/>
        <w:jc w:val="center"/>
        <w:tblLayout w:type="fixed"/>
        <w:tblLook w:val="04A0" w:firstRow="1" w:lastRow="0" w:firstColumn="1" w:lastColumn="0" w:noHBand="0" w:noVBand="1"/>
      </w:tblPr>
      <w:tblGrid>
        <w:gridCol w:w="6311"/>
      </w:tblGrid>
      <w:tr w:rsidR="005A5FCC" w14:paraId="29CF8965"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69FC413D" w14:textId="77777777" w:rsidR="005A5FCC" w:rsidRDefault="00A21C81">
            <w:pPr>
              <w:spacing w:after="60" w:line="240" w:lineRule="auto"/>
              <w:jc w:val="left"/>
            </w:pPr>
            <w:r>
              <w:rPr>
                <w:rFonts w:ascii="Noto Sans" w:hAnsi="Noto Sans" w:cs="Noto Sans"/>
                <w:b/>
                <w:caps/>
                <w:color w:val="4D6F8A"/>
                <w:kern w:val="16"/>
                <w:sz w:val="16"/>
                <w14:ligatures w14:val="standardContextual"/>
              </w:rPr>
              <w:lastRenderedPageBreak/>
              <w:t>JURISPRUDÊNCIA EM DESTAQUE</w:t>
            </w:r>
          </w:p>
          <w:p w14:paraId="0D5FA87D" w14:textId="77777777" w:rsidR="005A5FCC" w:rsidRDefault="00A21C81">
            <w:pPr>
              <w:spacing w:after="60" w:line="247" w:lineRule="auto"/>
            </w:pPr>
            <w:r>
              <w:rPr>
                <w:rFonts w:cs="EB Garamond"/>
                <w:b/>
                <w:kern w:val="16"/>
                <w:sz w:val="19"/>
                <w14:ligatures w14:val="standardContextual"/>
              </w:rPr>
              <w:t>TNU, jurisprudência consolidada</w:t>
            </w:r>
            <w:r>
              <w:rPr>
                <w:rFonts w:cs="EB Garamond"/>
                <w:kern w:val="16"/>
                <w:sz w:val="19"/>
                <w14:ligatures w14:val="standardContextual"/>
              </w:rPr>
              <w:t>: "A pensão por morte é devida ao filho maior inválido, desde que a invalidez seja anterior ao óbito do instituidor do benefício, sendo irrelevante que a incapacidade tenha se manifestado antes ou depois da maioridade." O entendimento pacificou controvérsia relevante: basta que a invalidez preexista ao óbito, independentemente de ter surgido na infância, na adolescência ou na vida adulta, desde que antes do falecimento do segurado.</w:t>
            </w:r>
          </w:p>
        </w:tc>
      </w:tr>
    </w:tbl>
    <w:p w14:paraId="19D6B432" w14:textId="77777777" w:rsidR="005A5FCC" w:rsidRDefault="005A5FCC">
      <w:pPr>
        <w:spacing w:after="80" w:line="240" w:lineRule="auto"/>
      </w:pPr>
    </w:p>
    <w:p w14:paraId="5CCBA719"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0BD6481F" w14:textId="77777777" w:rsidR="005A5FCC" w:rsidRDefault="00A21C81">
      <w:r>
        <w:rPr>
          <w:rFonts w:cs="EB Garamond"/>
          <w:kern w:val="16"/>
          <w14:ligatures w14:val="standardContextual"/>
        </w:rPr>
        <w:t xml:space="preserve"> cessação da pensão ao filho que completa 21 anos é automática, dispensando procedimento administrativo de revisão. O INSS cessa o pagamento na competência em que o dependente atinge a idade-limite. Se o filho é universitário, a pensão cessa igualmente aos 21 anos: diferentemente de outros sistemas (pensão por morte de servidor público, por exemplo, onde existe debate), o RGPS não prevê extensão da pensão até os 24 anos para estudantes universitários. O STJ consolidou esse entendimento, afastando a aplicação analógica do direito de família (que permite alimentos ao filho universitário até 24 anos) ao regime previdenciário.</w:t>
      </w:r>
    </w:p>
    <w:p w14:paraId="36997F2A"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19.10 Dependentes de segunda e terceira classes</w:t>
      </w:r>
    </w:p>
    <w:p w14:paraId="39B0470C"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3AA27A91" w14:textId="77777777" w:rsidR="005A5FCC" w:rsidRDefault="00A21C81">
      <w:r>
        <w:rPr>
          <w:rFonts w:cs="EB Garamond"/>
          <w:kern w:val="16"/>
          <w14:ligatures w14:val="standardContextual"/>
        </w:rPr>
        <w:t>s pais do segurado constituem dependentes da Classe II (art. 16, II, Lei n. 8.213/91). Sua condição de dependentes depende da comprovação de dependência econômica em relação ao segurado falecido. A prova deve demonstrar que a renda do segurado contribuía de forma relevante para o sustento dos pais, sem que seja necessário provar dependência exclusiva. A contribuição parcial, desde que significativa, é suficiente.</w:t>
      </w:r>
    </w:p>
    <w:p w14:paraId="0644D30A" w14:textId="77777777" w:rsidR="005A5FCC" w:rsidRDefault="00A21C81">
      <w:pPr>
        <w:ind w:firstLine="238"/>
      </w:pPr>
      <w:r>
        <w:rPr>
          <w:rFonts w:cs="EB Garamond"/>
          <w:kern w:val="16"/>
          <w14:ligatures w14:val="standardContextual"/>
        </w:rPr>
        <w:t>Os irmãos do segurado constituem dependentes da Classe III (art. 16, III), sujeitos aos mesmos requisitos de idade (menos de 21 anos), emancipação e invalidez/deficiência aplicáveis aos filhos. A dependência econômica deve ser comprovada, pois a presunção legal não alcança essa classe.</w:t>
      </w:r>
    </w:p>
    <w:p w14:paraId="1960C941" w14:textId="77777777" w:rsidR="005A5FCC" w:rsidRDefault="00A21C81">
      <w:pPr>
        <w:ind w:firstLine="238"/>
      </w:pPr>
      <w:r>
        <w:rPr>
          <w:rFonts w:cs="EB Garamond"/>
          <w:kern w:val="16"/>
          <w14:ligatures w14:val="standardContextual"/>
        </w:rPr>
        <w:lastRenderedPageBreak/>
        <w:t>A comprovação da dependência econômica dos pais e irmãos é feita por início de prova material corroborado por prova testemunhal. Documentos como comprovantes de transferências bancárias do segurado aos pais, declaração de imposto de renda em que os pais constem como dependentes, recibos de pagamento de despesas dos pais pelo segurado e declarações de vizinhos ou de entidades assistenciais podem constituir início de prova material.</w:t>
      </w:r>
    </w:p>
    <w:p w14:paraId="311572F1" w14:textId="77777777" w:rsidR="005A5FCC" w:rsidRDefault="00A21C81">
      <w:pPr>
        <w:ind w:firstLine="238"/>
      </w:pPr>
      <w:r>
        <w:rPr>
          <w:rFonts w:cs="EB Garamond"/>
          <w:kern w:val="16"/>
          <w14:ligatures w14:val="standardContextual"/>
        </w:rPr>
        <w:t>O direito dos dependentes de Classe II e III é subsidiário: somente se habilita na ausência de dependentes de Classe I. Nenhum dependente da Classe I precisa ter sido beneficiário efetivo da pensão — basta que existam dependentes habilitáveis na classe superior para que os dependentes de classes inferiores fiquem excluídos. Se todos os dependentes de Classe I renunciam ao benefício ou perdem a condição de dependentes (por maioridade, emancipação), os dependentes de Classe II podem requerer habilitação tardia.</w:t>
      </w:r>
    </w:p>
    <w:p w14:paraId="1EE76776" w14:textId="77777777" w:rsidR="005A5FCC" w:rsidRDefault="00A21C81">
      <w:pPr>
        <w:ind w:firstLine="238"/>
      </w:pPr>
      <w:r>
        <w:rPr>
          <w:rFonts w:cs="EB Garamond"/>
          <w:kern w:val="16"/>
          <w14:ligatures w14:val="standardContextual"/>
        </w:rPr>
        <w:t>A questão dos pais como dependentes é frequente nos JEFs, especialmente em regiões onde filhos jovens constituem a principal fonte de renda da família. A comprovação da dependência econômica dos pais exige demonstração de que o segurado contribuía efetivamente para o sustento familiar. A jurisprudência consolidou o entendimento de que a dependência econômica dos pais não precisa ser exclusiva — a concorrência com outras fontes de renda (aposentadoria rural dos próprios pais, benefícios assistenciais, renda de outros filhos) não exclui a dependência se a contribuição do segurado falecido era relevante para a manutenção do padrão de vida.</w:t>
      </w:r>
    </w:p>
    <w:p w14:paraId="2E78E087" w14:textId="77777777" w:rsidR="005A5FCC" w:rsidRDefault="00A21C81">
      <w:pPr>
        <w:ind w:firstLine="238"/>
      </w:pPr>
      <w:r>
        <w:rPr>
          <w:rFonts w:cs="EB Garamond"/>
          <w:kern w:val="16"/>
          <w14:ligatures w14:val="standardContextual"/>
        </w:rPr>
        <w:t>A prova da dependência econômica dos pais apresenta dificuldade quando o segurado não residia com os genitores. A coabitação não é requisito da dependência econômica: filhos que residem em outras cidades e remetem valores mensais aos pais geram dependência mesmo sem viver sob o mesmo teto. Comprovantes de transferências bancárias (PIX, depósitos, transferências eletrônicas), recibos de pagamento de contas (energia, água, plano de saúde) em nome dos pais realizados pelo segurado, e declaração de imposto de renda em que os pais constem como dependentes são provas especialmente relevantes.</w:t>
      </w:r>
    </w:p>
    <w:tbl>
      <w:tblPr>
        <w:tblW w:w="5000" w:type="pct"/>
        <w:jc w:val="center"/>
        <w:tblLayout w:type="fixed"/>
        <w:tblLook w:val="04A0" w:firstRow="1" w:lastRow="0" w:firstColumn="1" w:lastColumn="0" w:noHBand="0" w:noVBand="1"/>
      </w:tblPr>
      <w:tblGrid>
        <w:gridCol w:w="6311"/>
      </w:tblGrid>
      <w:tr w:rsidR="005A5FCC" w14:paraId="4ACE324D"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6E4A5988" w14:textId="77777777" w:rsidR="005A5FCC" w:rsidRDefault="00A21C81">
            <w:pPr>
              <w:spacing w:after="60" w:line="240" w:lineRule="auto"/>
              <w:jc w:val="left"/>
            </w:pPr>
            <w:r>
              <w:rPr>
                <w:rFonts w:ascii="Noto Sans" w:hAnsi="Noto Sans" w:cs="Noto Sans"/>
                <w:b/>
                <w:caps/>
                <w:color w:val="4D6F8A"/>
                <w:kern w:val="16"/>
                <w:sz w:val="16"/>
                <w14:ligatures w14:val="standardContextual"/>
              </w:rPr>
              <w:lastRenderedPageBreak/>
              <w:t>JURISPRUDÊNCIA EM DESTAQUE</w:t>
            </w:r>
          </w:p>
          <w:p w14:paraId="3559A2FA" w14:textId="77777777" w:rsidR="005A5FCC" w:rsidRDefault="00A21C81">
            <w:pPr>
              <w:spacing w:after="60" w:line="247" w:lineRule="auto"/>
            </w:pPr>
            <w:r>
              <w:rPr>
                <w:rFonts w:cs="EB Garamond"/>
                <w:b/>
                <w:kern w:val="16"/>
                <w:sz w:val="19"/>
                <w14:ligatures w14:val="standardContextual"/>
              </w:rPr>
              <w:t>TNU, jurisprudência consolidada sobre dependência econômica dos pais</w:t>
            </w:r>
            <w:r>
              <w:rPr>
                <w:rFonts w:cs="EB Garamond"/>
                <w:kern w:val="16"/>
                <w:sz w:val="19"/>
                <w14:ligatures w14:val="standardContextual"/>
              </w:rPr>
              <w:t>: A Turma Nacional de Uniformização firmou que a dependência econômica para fins de pensão por morte não exige que o segurado fosse o único provedor do dependente. Basta que se demonstre contribuição financeira substancial do segurado para o sustento do postulante, de modo que o óbito tenha acarretado uma real e significativa redução do padrão de vida do dependente. A análise é casuística, considerando a renda total do grupo familiar e o impacto concreto da perda da contribuição do segurado.</w:t>
            </w:r>
          </w:p>
        </w:tc>
      </w:tr>
    </w:tbl>
    <w:p w14:paraId="636C99E0" w14:textId="77777777" w:rsidR="005A5FCC" w:rsidRDefault="005A5FCC">
      <w:pPr>
        <w:spacing w:after="80" w:line="240" w:lineRule="auto"/>
      </w:pPr>
    </w:p>
    <w:p w14:paraId="58580169"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19.11 Equiparados a filho: enteado e menor tutelado</w:t>
      </w:r>
    </w:p>
    <w:p w14:paraId="433B0D95"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4B84F14F" w14:textId="77777777" w:rsidR="005A5FCC" w:rsidRDefault="00A21C81">
      <w:r>
        <w:rPr>
          <w:rFonts w:cs="EB Garamond"/>
          <w:kern w:val="16"/>
          <w14:ligatures w14:val="standardContextual"/>
        </w:rPr>
        <w:t xml:space="preserve"> art. 16, § 2º, da Lei n. 8.213/91 (com redação da Lei n. 9.528/1997) equipara a filho, para fins previdenciários, o enteado e o menor tutelado, desde que comprovada a dependência econômica. A EC n. 103/2019 reiterou essa equiparação no art. 23, § 6º, restringindo-a expressamente ao enteado e ao menor tutelado.</w:t>
      </w:r>
    </w:p>
    <w:p w14:paraId="462A37EB" w14:textId="77777777" w:rsidR="005A5FCC" w:rsidRDefault="00A21C81">
      <w:pPr>
        <w:ind w:firstLine="238"/>
      </w:pPr>
      <w:r>
        <w:rPr>
          <w:rFonts w:cs="EB Garamond"/>
          <w:kern w:val="16"/>
          <w14:ligatures w14:val="standardContextual"/>
        </w:rPr>
        <w:t>O enteado é o filho do cônjuge ou companheiro(a) do segurado, proveniente de relação anterior. Para sua habilitação como dependente, exige-se: (a) a comprovação do vínculo de enteado (certidão de nascimento do menor + certidão de casamento ou comprovação de união estável entre o segurado e o genitor); e (b) a comprovação de dependência econômica efetiva em relação ao segurado falecido. A dependência econômica do enteado não é presumida como a dos filhos biológicos ou adotivos — deve ser demonstrada por provas que revelem contribuição efetiva do segurado para o sustento do menor.</w:t>
      </w:r>
    </w:p>
    <w:p w14:paraId="5CB01281" w14:textId="77777777" w:rsidR="005A5FCC" w:rsidRDefault="00A21C81">
      <w:pPr>
        <w:ind w:firstLine="238"/>
      </w:pPr>
      <w:r>
        <w:rPr>
          <w:rFonts w:cs="EB Garamond"/>
          <w:kern w:val="16"/>
          <w14:ligatures w14:val="standardContextual"/>
        </w:rPr>
        <w:t>O menor tutelado é aquele cuja tutela foi deferida judicialmente ao segurado. A tutela distingue-se da guarda: a tutela é medida mais ampla, que transfere o exercício do poder familiar ao tutor, ao passo que a guarda confere apenas a custódia. A equiparação legal restringe-se ao menor tutelado, não alcançando o menor sob guarda — distinção que gera controvérsia constitucional relevante.</w:t>
      </w:r>
    </w:p>
    <w:tbl>
      <w:tblPr>
        <w:tblW w:w="5000" w:type="pct"/>
        <w:jc w:val="center"/>
        <w:tblLayout w:type="fixed"/>
        <w:tblLook w:val="04A0" w:firstRow="1" w:lastRow="0" w:firstColumn="1" w:lastColumn="0" w:noHBand="0" w:noVBand="1"/>
      </w:tblPr>
      <w:tblGrid>
        <w:gridCol w:w="6311"/>
      </w:tblGrid>
      <w:tr w:rsidR="005A5FCC" w14:paraId="5CB3F9B0"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69C2BA6C" w14:textId="77777777" w:rsidR="005A5FCC" w:rsidRDefault="00A21C81">
            <w:pPr>
              <w:spacing w:after="60" w:line="240" w:lineRule="auto"/>
              <w:jc w:val="left"/>
            </w:pPr>
            <w:r>
              <w:rPr>
                <w:rFonts w:ascii="Noto Sans" w:hAnsi="Noto Sans" w:cs="Noto Sans"/>
                <w:b/>
                <w:caps/>
                <w:color w:val="B78B37"/>
                <w:kern w:val="16"/>
                <w:sz w:val="16"/>
                <w14:ligatures w14:val="standardContextual"/>
              </w:rPr>
              <w:lastRenderedPageBreak/>
              <w:t>ATENÇÃO</w:t>
            </w:r>
          </w:p>
          <w:p w14:paraId="6E76C016" w14:textId="77777777" w:rsidR="005A5FCC" w:rsidRDefault="00A21C81">
            <w:pPr>
              <w:spacing w:after="60" w:line="247" w:lineRule="auto"/>
            </w:pPr>
            <w:r>
              <w:rPr>
                <w:rFonts w:cs="EB Garamond"/>
                <w:kern w:val="16"/>
                <w:sz w:val="19"/>
                <w14:ligatures w14:val="standardContextual"/>
              </w:rPr>
              <w:t>A Lei n. 9.528/1997 excluiu expressamente o menor sob guarda do rol de dependentes equiparados a filho, mantendo apenas o enteado e o menor tutelado. A EC n. 103/2019, em seu art. 23, § 6º, reiterou a equiparação restrita ao enteado e ao menor tutelado. A exclusão do menor sob guarda é objeto de questionamento constitucional, examinado na seção seguinte (19.12). Na prática administrativa, o INSS indefere sistematicamente os pedidos de pensão por morte formulados por menores sob guarda, obrigando a discussão judicial.</w:t>
            </w:r>
          </w:p>
        </w:tc>
      </w:tr>
    </w:tbl>
    <w:p w14:paraId="7F7EABC7" w14:textId="77777777" w:rsidR="005A5FCC" w:rsidRDefault="005A5FCC">
      <w:pPr>
        <w:spacing w:after="80" w:line="240" w:lineRule="auto"/>
      </w:pPr>
    </w:p>
    <w:p w14:paraId="3990DF23"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19.12 Menor sob guarda: controvérsia constitucional</w:t>
      </w:r>
    </w:p>
    <w:p w14:paraId="05CD26A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2A50551F" w14:textId="77777777" w:rsidR="005A5FCC" w:rsidRDefault="00A21C81">
      <w:r>
        <w:rPr>
          <w:rFonts w:cs="EB Garamond"/>
          <w:kern w:val="16"/>
          <w14:ligatures w14:val="standardContextual"/>
        </w:rPr>
        <w:t xml:space="preserve"> exclusão do menor sob guarda do rol de dependentes equiparados a filho constitui uma das controvérsias mais relevantes do direito previdenciário contemporâneo. O tema envolve tensão entre a literalidade da lei previdenciária (que exclui o menor sob guarda) e o princípio constitucional da proteção integral à criança e ao adolescente (art. 227, CF/88).</w:t>
      </w:r>
    </w:p>
    <w:p w14:paraId="66DE3D2F" w14:textId="77777777" w:rsidR="005A5FCC" w:rsidRDefault="00A21C81">
      <w:pPr>
        <w:ind w:firstLine="238"/>
      </w:pPr>
      <w:r>
        <w:rPr>
          <w:rFonts w:cs="EB Garamond"/>
          <w:kern w:val="16"/>
          <w14:ligatures w14:val="standardContextual"/>
        </w:rPr>
        <w:t>O art. 33, § 3º, do Estatuto da Criança e do Adolescente (Lei n. 8.069/1990) dispõe que a guarda confere à criança ou adolescente a condição de dependente, para todos os fins e efeitos de direito, inclusive previdenciários. A norma do ECA, de caráter protetivo, colidia com a exclusão operada pela Lei n. 9.528/1997, gerando debate sobre qual norma deveria prevalecer.</w:t>
      </w:r>
    </w:p>
    <w:p w14:paraId="76DE1361" w14:textId="77777777" w:rsidR="005A5FCC" w:rsidRDefault="00A21C81">
      <w:pPr>
        <w:ind w:firstLine="238"/>
      </w:pPr>
      <w:r>
        <w:rPr>
          <w:rFonts w:cs="EB Garamond"/>
          <w:kern w:val="16"/>
          <w14:ligatures w14:val="standardContextual"/>
        </w:rPr>
        <w:t xml:space="preserve">A controvérsia chegou ao STF nas ADIs 4.878 e 5.083, em que se discute a constitucionalidade da exclusão do menor sob guarda operada pela Lei n. 9.528/1997, ao fundamento de que a norma violaria o art. 227 da Constituição Federal (proteção integral à criança) e o art. 6º (direito social à previdência social). No plano infraconstitucional, e ainda antes de definida a questão constitucional, o STJ pacificou a matéria em sentido protetivo: no Tema Repetitivo 732, firmou que "o menor sob guarda tem direito à concessão do benefício de pensão por morte do seu mantenedor, comprovada sua dependência econômica, nos termos do art. 33, § 3º do Estatuto da Criança e do Adolescente, ainda que o óbito do </w:t>
      </w:r>
      <w:r>
        <w:rPr>
          <w:rFonts w:cs="EB Garamond"/>
          <w:kern w:val="16"/>
          <w14:ligatures w14:val="standardContextual"/>
        </w:rPr>
        <w:lastRenderedPageBreak/>
        <w:t>instituidor da pensão seja posterior à vigência da Medida Provisória 1.523/96, reeditada e convertida na Lei 9.528/97", em razão da qualidade de lei especial do ECA frente à legislação previdenciária. Esse entendimento serviu de base para decisões judiciais que reconheciam o direito do menor sob guarda à inclusão entre os dependentes do RGPS durante a vigência da legislação pré-reforma.</w:t>
      </w:r>
    </w:p>
    <w:p w14:paraId="409A723D" w14:textId="77777777" w:rsidR="005A5FCC" w:rsidRDefault="00A21C81">
      <w:pPr>
        <w:ind w:firstLine="238"/>
      </w:pPr>
      <w:r>
        <w:rPr>
          <w:rFonts w:cs="EB Garamond"/>
          <w:kern w:val="16"/>
          <w14:ligatures w14:val="standardContextual"/>
        </w:rPr>
        <w:t>Contudo, a EC n. 103/2019, de hierarquia constitucional, ao dispor no art. 23, § 6º, que se equiparam a filho "exclusivamente o enteado e o menor tutelado", reabriu a controvérsia. A emenda constitucional, por sua natureza, não pode ser declarada inconstitucional por violação de norma infraconstitucional. A questão passou a ser se a exclusão do menor sob guarda pela emenda constitucional viola cláusula pétrea (art. 60, § 4º, IV, CF/88 — direitos e garantias individuais).</w:t>
      </w:r>
    </w:p>
    <w:p w14:paraId="001D6DB3" w14:textId="77777777" w:rsidR="005A5FCC" w:rsidRDefault="00A21C81">
      <w:pPr>
        <w:ind w:firstLine="238"/>
      </w:pPr>
      <w:r>
        <w:rPr>
          <w:rFonts w:cs="EB Garamond"/>
          <w:kern w:val="16"/>
          <w14:ligatures w14:val="standardContextual"/>
        </w:rPr>
        <w:t>O STF reconheceu repercussão geral sobre o tema no RE 1.442.021 (Tema 1.271, rel. Min. André Mendonça), cujo mérito permanece pendente de julgamento. A tese a ser fixada definirá se a EC n. 103/2019, ao excluir o menor sob guarda do rol de dependentes, viola o art. 227 da Constituição (proteção integral) enquanto cláusula pétrea. Como o Tema 1.271 enfrenta diretamente a constitucionalidade da exclusão à luz da emenda — núcleo comum também das ADIs 4.878/5.083 —, é por ele, sede de repercussão geral com efeito vinculante e suspensão nacional, que se espera a palavra final do Tribunal sobre a matéria, podendo a solução do leading case projetar-se sobre o desfecho das ações diretas.</w:t>
      </w:r>
    </w:p>
    <w:tbl>
      <w:tblPr>
        <w:tblW w:w="5000" w:type="pct"/>
        <w:jc w:val="center"/>
        <w:tblLayout w:type="fixed"/>
        <w:tblLook w:val="04A0" w:firstRow="1" w:lastRow="0" w:firstColumn="1" w:lastColumn="0" w:noHBand="0" w:noVBand="1"/>
      </w:tblPr>
      <w:tblGrid>
        <w:gridCol w:w="6311"/>
      </w:tblGrid>
      <w:tr w:rsidR="005A5FCC" w14:paraId="02A82163"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04060FD9" w14:textId="77777777" w:rsidR="005A5FCC" w:rsidRDefault="00A21C81">
            <w:pPr>
              <w:spacing w:after="60" w:line="240" w:lineRule="auto"/>
              <w:jc w:val="left"/>
            </w:pPr>
            <w:r>
              <w:rPr>
                <w:rFonts w:ascii="Noto Sans" w:hAnsi="Noto Sans" w:cs="Noto Sans"/>
                <w:b/>
                <w:caps/>
                <w:color w:val="4D6F8A"/>
                <w:kern w:val="16"/>
                <w:sz w:val="16"/>
                <w14:ligatures w14:val="standardContextual"/>
              </w:rPr>
              <w:lastRenderedPageBreak/>
              <w:t>JURISPRUDÊNCIA EM DESTAQUE</w:t>
            </w:r>
          </w:p>
          <w:p w14:paraId="779AA490" w14:textId="77777777" w:rsidR="005A5FCC" w:rsidRDefault="00A21C81">
            <w:pPr>
              <w:spacing w:after="60" w:line="247" w:lineRule="auto"/>
            </w:pPr>
            <w:r>
              <w:rPr>
                <w:rFonts w:cs="EB Garamond"/>
                <w:b/>
                <w:kern w:val="16"/>
                <w:sz w:val="19"/>
                <w14:ligatures w14:val="standardContextual"/>
              </w:rPr>
              <w:t>Menor sob guarda — quadro jurisprudencial</w:t>
            </w:r>
            <w:r>
              <w:rPr>
                <w:rFonts w:cs="EB Garamond"/>
                <w:kern w:val="16"/>
                <w:sz w:val="19"/>
                <w14:ligatures w14:val="standardContextual"/>
              </w:rPr>
              <w:t xml:space="preserve">: (i) </w:t>
            </w:r>
            <w:r>
              <w:rPr>
                <w:rFonts w:cs="EB Garamond"/>
                <w:i/>
                <w:kern w:val="16"/>
                <w:sz w:val="19"/>
                <w14:ligatures w14:val="standardContextual"/>
              </w:rPr>
              <w:t>STJ, Tema Repetitivo 732</w:t>
            </w:r>
            <w:r>
              <w:rPr>
                <w:rFonts w:cs="EB Garamond"/>
                <w:kern w:val="16"/>
                <w:sz w:val="19"/>
                <w14:ligatures w14:val="standardContextual"/>
              </w:rPr>
              <w:t xml:space="preserve"> (já transitado em julgado): o menor sob guarda tem direito à pensão por morte do mantenedor, comprovada a dependência econômica, com prevalência do art. 33, § 3º, do ECA (lei especial) sobre a redação restritiva da Lei n. 9.528/1997 — tese aplicável aos óbitos regidos pela legislação anterior à EC n. 103/2019. (ii) </w:t>
            </w:r>
            <w:r>
              <w:rPr>
                <w:rFonts w:cs="EB Garamond"/>
                <w:i/>
                <w:kern w:val="16"/>
                <w:sz w:val="19"/>
                <w14:ligatures w14:val="standardContextual"/>
              </w:rPr>
              <w:t>STF, Tema 1.271 (RE 1.442.021, rel. Min. André Mendonça) — MÉRITO PENDENTE, com suspensão nacional</w:t>
            </w:r>
            <w:r>
              <w:rPr>
                <w:rFonts w:cs="EB Garamond"/>
                <w:kern w:val="16"/>
                <w:sz w:val="19"/>
                <w14:ligatures w14:val="standardContextual"/>
              </w:rPr>
              <w:t xml:space="preserve">: definirá se o menor sob guarda judicial tem direito à pensão por morte do guardião segurado do RGPS, considerando a EC n. 103/2019, que restringiu a equiparação a filho ao enteado e ao menor tutelado. (iii) </w:t>
            </w:r>
            <w:r>
              <w:rPr>
                <w:rFonts w:cs="EB Garamond"/>
                <w:i/>
                <w:kern w:val="16"/>
                <w:sz w:val="19"/>
                <w14:ligatures w14:val="standardContextual"/>
              </w:rPr>
              <w:t>ADIs 4.878 e 5.083</w:t>
            </w:r>
            <w:r>
              <w:rPr>
                <w:rFonts w:cs="EB Garamond"/>
                <w:kern w:val="16"/>
                <w:sz w:val="19"/>
                <w14:ligatures w14:val="standardContextual"/>
              </w:rPr>
              <w:t>: discutem, em controle abstrato, a constitucionalidade da exclusão operada pela Lei n. 9.528/1997, com forte invocação do art. 227 da CF/88. Enquanto não definido o Tema 1.271, os JEFs têm adotado posições divergentes quanto aos óbitos posteriores à EC n. 103/2019: alguns concedem a pensão com base no art. 227 da CF/88 e na ratio do Tema 732/STJ; outros indeferem com base na literalidade do art. 23, § 6º, da EC n. 103/2019. Recomenda-se, na prática, a suspensão dos feitos cujo óbito seja posterior a 13/11/2019, em deferência à suspensão nacional do Tema 1.271.</w:t>
            </w:r>
          </w:p>
        </w:tc>
      </w:tr>
    </w:tbl>
    <w:p w14:paraId="0715840C" w14:textId="77777777" w:rsidR="005A5FCC" w:rsidRDefault="005A5FCC">
      <w:pPr>
        <w:spacing w:after="80" w:line="240" w:lineRule="auto"/>
      </w:pPr>
    </w:p>
    <w:p w14:paraId="5F7772DD"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E</w:t>
      </w:r>
    </w:p>
    <w:p w14:paraId="047E6318" w14:textId="77777777" w:rsidR="005A5FCC" w:rsidRDefault="00A21C81">
      <w:r>
        <w:rPr>
          <w:rFonts w:cs="EB Garamond"/>
          <w:kern w:val="16"/>
          <w14:ligatures w14:val="standardContextual"/>
        </w:rPr>
        <w:t>ntendemos que a proteção integral à criança e ao adolescente (art. 227, CF/88) constitui direito fundamental de hierarquia constitucional originária, integrando o núcleo intangível da Constituição. A exclusão do menor sob guarda pela EC n. 103/2019 retira proteção previdenciária de crianças em situação de vulnerabilidade, contrariando o princípio da vedação de retrocesso social em matéria de direitos fundamentais de menores. A distinção entre guarda e tutela, para fins previdenciários, é formalismo incompatível com a finalidade protetiva do benefício: a criança sob guarda depende do guardião tanto quanto a criança sob tutela depende do tutor.</w:t>
      </w:r>
    </w:p>
    <w:p w14:paraId="7FAC399A"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19.13 Comprovação da união estável para fins previdenciários</w:t>
      </w:r>
    </w:p>
    <w:p w14:paraId="0D2AB765"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3ACA4747" w14:textId="77777777" w:rsidR="005A5FCC" w:rsidRDefault="00A21C81">
      <w:r>
        <w:rPr>
          <w:rFonts w:cs="EB Garamond"/>
          <w:kern w:val="16"/>
          <w14:ligatures w14:val="standardContextual"/>
        </w:rPr>
        <w:t xml:space="preserve"> comprovação da união estável para fins de pensão por morte é questão central nos JEFs, dada a frequência com que companheiros(as) do segurado falecido buscam a habilitação como dependentes. A prova deve demonstrar a existência de relação pública, contínua e duradoura, com objetivo de constituir família, contemporânea ao óbito do segurado.</w:t>
      </w:r>
    </w:p>
    <w:p w14:paraId="7D1D415C" w14:textId="77777777" w:rsidR="005A5FCC" w:rsidRDefault="00A21C81">
      <w:pPr>
        <w:ind w:firstLine="238"/>
      </w:pPr>
      <w:r>
        <w:rPr>
          <w:rFonts w:cs="EB Garamond"/>
          <w:kern w:val="16"/>
          <w14:ligatures w14:val="standardContextual"/>
        </w:rPr>
        <w:t>Para óbitos anteriores à vigência da MP n. 871/2019 (18/01/2019, convertida na Lei n. 13.846/2019), a comprovação da união estável podia ser feita por qualquer meio de prova, inclusive prova exclusivamente testemunhal. A TNU, na Súmula 63, consagrou esse entendimento: "A comprovação de união estável para efeito de concessão de pensão por morte prescinde de início de prova material." A Súmula 63 aplicava-se integralmente aos óbitos anteriores à mudança legislativa, e seu conteúdo permanece válido para esses casos em razão do princípio tempus regit actum.</w:t>
      </w:r>
    </w:p>
    <w:p w14:paraId="66616D11" w14:textId="77777777" w:rsidR="005A5FCC" w:rsidRDefault="00A21C81">
      <w:pPr>
        <w:ind w:firstLine="238"/>
      </w:pPr>
      <w:r>
        <w:rPr>
          <w:rFonts w:cs="EB Garamond"/>
          <w:kern w:val="16"/>
          <w14:ligatures w14:val="standardContextual"/>
        </w:rPr>
        <w:t>Para óbitos a partir de 18/01/2019, o art. 16, § 5º, da Lei n. 8.213/91 (com redação da MP n. 871/2019, convertida na Lei n. 13.846/2019) exige início de prova material contemporâneo dos fatos, complementado por prova testemunhal. A prova exclusivamente testemunhal não é admitida, salvo por motivo de força maior ou caso fortuito (hipótese em que a impossibilidade de produzir prova documental justifica a exceção).</w:t>
      </w:r>
    </w:p>
    <w:p w14:paraId="42A20EC0" w14:textId="77777777" w:rsidR="005A5FCC" w:rsidRDefault="00A21C81">
      <w:pPr>
        <w:ind w:firstLine="238"/>
      </w:pPr>
      <w:r>
        <w:rPr>
          <w:rFonts w:cs="EB Garamond"/>
          <w:kern w:val="16"/>
          <w14:ligatures w14:val="standardContextual"/>
        </w:rPr>
        <w:t>O início de prova material pode ser constituído por: (a) certidão de casamento religioso; (b) declaração do imposto de renda do segurado em que o companheiro conste como dependente; (c) disposições testamentárias; (d) certidão de nascimento de filho havido em comum; (e) conta bancária conjunta; (f) apólice de seguro de vida com indicação do companheiro como beneficiário; (g) ficha de tratamento em instituição de assistência médica com indicação do companheiro como responsável; (h) escritura pública de união estável; (i) correspondência ou documento público em que conste a condição de companheiro.</w:t>
      </w:r>
    </w:p>
    <w:tbl>
      <w:tblPr>
        <w:tblW w:w="5000" w:type="pct"/>
        <w:jc w:val="center"/>
        <w:tblLayout w:type="fixed"/>
        <w:tblLook w:val="04A0" w:firstRow="1" w:lastRow="0" w:firstColumn="1" w:lastColumn="0" w:noHBand="0" w:noVBand="1"/>
      </w:tblPr>
      <w:tblGrid>
        <w:gridCol w:w="6311"/>
      </w:tblGrid>
      <w:tr w:rsidR="005A5FCC" w14:paraId="47782142"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5E1CB2F7"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0E0A980F" w14:textId="77777777" w:rsidR="005A5FCC" w:rsidRDefault="00A21C81">
            <w:pPr>
              <w:spacing w:after="60" w:line="247" w:lineRule="auto"/>
            </w:pPr>
            <w:r>
              <w:rPr>
                <w:rFonts w:cs="EB Garamond"/>
                <w:kern w:val="16"/>
                <w:sz w:val="19"/>
                <w14:ligatures w14:val="standardContextual"/>
              </w:rPr>
              <w:t>A prova da união estável nos JEFs exige atenção ao regime probatório aplicável conforme a data do óbito. Para óbitos anteriores a 18/01/2019 (vigência da MP n. 871/2019), a prova testemunhal isolada é suficiente (Súmula 63/TNU). Para óbitos a partir dessa data, exige-se início de prova material. Na instrução processual, o advogado deve organizar a prova em duas camadas: (a) documentos que constituam início de prova material (os mais robustos são a certidão de nascimento de filho em comum, a declaração de IR conjunta e a escritura de união estável); (b) prova testemunhal de vizinhos, familiares e amigos que confirmem a convivência pública, contínua e duradoura. A ausência de qualquer documento formal não é fatal se o companheiro demonstrar motivo legítimo para a lacuna (informalidade, baixa escolaridade, residência em área rural).</w:t>
            </w:r>
          </w:p>
        </w:tc>
      </w:tr>
    </w:tbl>
    <w:p w14:paraId="66A0C873" w14:textId="77777777" w:rsidR="005A5FCC" w:rsidRDefault="005A5FCC">
      <w:pPr>
        <w:spacing w:after="80" w:line="240" w:lineRule="auto"/>
      </w:pPr>
    </w:p>
    <w:p w14:paraId="4136DE1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70F1D012" w14:textId="77777777" w:rsidR="005A5FCC" w:rsidRDefault="00A21C81">
      <w:r>
        <w:rPr>
          <w:rFonts w:cs="EB Garamond"/>
          <w:kern w:val="16"/>
          <w14:ligatures w14:val="standardContextual"/>
        </w:rPr>
        <w:t xml:space="preserve"> questão da união estável post mortem, quando não havia declaração formal em vida, é frequente nos JEFs. A pessoa que conviveu com o segurado sem formalizar a relação enfrenta dificuldade probatória após o falecimento. A jurisprudência tem admitido a comprovação da união por conjunto probatório que revele, retrospectivamente, os elementos caracterizadores da entidade familiar. Fotografias, mensagens eletrônicas, depoimentos de familiares e vizinhos, e documentos que indiquem coabitação são meios probatórios admissíveis.</w:t>
      </w:r>
    </w:p>
    <w:p w14:paraId="07C82E97"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19.14 Prova da dependência econômica</w:t>
      </w:r>
    </w:p>
    <w:p w14:paraId="25B007A3"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6D21B534" w14:textId="77777777" w:rsidR="005A5FCC" w:rsidRDefault="00A21C81">
      <w:r>
        <w:rPr>
          <w:rFonts w:cs="EB Garamond"/>
          <w:kern w:val="16"/>
          <w14:ligatures w14:val="standardContextual"/>
        </w:rPr>
        <w:t xml:space="preserve"> prova da dependência econômica é requisito para a habilitação de dependentes das Classes II e III, para equiparados a filho (enteado e menor tutelado) e, em tese, para ilidir a presunção que favorece os dependentes da Classe I. O conceito de dependência econômica para fins previdenciários é mais amplo do que o conceito civil de necessidade alimentar: basta que o dependente demonstre que a renda do segurado contribuía de forma relevante para seu sustento, sem necessidade de provar dependência exclusiva ou total.</w:t>
      </w:r>
    </w:p>
    <w:p w14:paraId="4131868C" w14:textId="77777777" w:rsidR="005A5FCC" w:rsidRDefault="00A21C81">
      <w:pPr>
        <w:ind w:firstLine="238"/>
      </w:pPr>
      <w:r>
        <w:rPr>
          <w:rFonts w:cs="EB Garamond"/>
          <w:kern w:val="16"/>
          <w14:ligatures w14:val="standardContextual"/>
        </w:rPr>
        <w:lastRenderedPageBreak/>
        <w:t>A dependência econômica parcial é suficiente. Um pai que recebia complementação de renda do filho segurado, sem depender exclusivamente dele para sobreviver, mantém a condição de dependente se a contribuição do filho era relevante para a manutenção do padrão mínimo de vida. A análise é qualitativa, não meramente quantitativa: interessa saber se a cessação da contribuição do segurado acarretou redução significativa no padrão de vida do dependente.</w:t>
      </w:r>
    </w:p>
    <w:p w14:paraId="2403900A" w14:textId="77777777" w:rsidR="005A5FCC" w:rsidRDefault="00A21C81">
      <w:pPr>
        <w:ind w:firstLine="238"/>
      </w:pPr>
      <w:r>
        <w:rPr>
          <w:rFonts w:cs="EB Garamond"/>
          <w:kern w:val="16"/>
          <w14:ligatures w14:val="standardContextual"/>
        </w:rPr>
        <w:t>A prova da dependência econômica deve ser contemporânea aos fatos. Declarações produzidas após o óbito, embora admissíveis, têm valor probatório reduzido se não corroboradas por elementos materiais. O início de prova material pode consistir em: comprovantes de transferências bancárias, recibos de pagamento de despesas, declaração de imposto de renda em que o dependente conste como tal, registros em plano de saúde ou seguro de vida.</w:t>
      </w:r>
    </w:p>
    <w:tbl>
      <w:tblPr>
        <w:tblW w:w="5000" w:type="pct"/>
        <w:jc w:val="center"/>
        <w:tblLayout w:type="fixed"/>
        <w:tblLook w:val="04A0" w:firstRow="1" w:lastRow="0" w:firstColumn="1" w:lastColumn="0" w:noHBand="0" w:noVBand="1"/>
      </w:tblPr>
      <w:tblGrid>
        <w:gridCol w:w="6311"/>
      </w:tblGrid>
      <w:tr w:rsidR="005A5FCC" w14:paraId="30F36531"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37B987AE"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6396F2F4" w14:textId="77777777" w:rsidR="005A5FCC" w:rsidRDefault="00A21C81">
            <w:pPr>
              <w:spacing w:after="60" w:line="247" w:lineRule="auto"/>
            </w:pPr>
            <w:r>
              <w:rPr>
                <w:rFonts w:cs="EB Garamond"/>
                <w:kern w:val="16"/>
                <w:sz w:val="19"/>
                <w14:ligatures w14:val="standardContextual"/>
              </w:rPr>
              <w:t>A dependência econômica dos dependentes de Classe I (cônjuge, companheiro, filhos menores) é presumida por lei (art. 16, § 4º, Lei 8.213/91). A presunção é relativa, mas na prática o INSS dificilmente consegue ilidi-la para cônjuges que coabitavam com o segurado e filhos menores de 21 anos. Para companheiros(as), porém, a presunção somente opera após a comprovação da união estável — a dependência é presumida, mas a relação de convivência deve ser provada. O advogado deve distinguir com rigor essas duas etapas: primeiro comprovar a união estável, depois invocar a presunção de dependência econômica.</w:t>
            </w:r>
          </w:p>
        </w:tc>
      </w:tr>
    </w:tbl>
    <w:p w14:paraId="047DC785" w14:textId="77777777" w:rsidR="005A5FCC" w:rsidRDefault="005A5FCC">
      <w:pPr>
        <w:spacing w:after="80" w:line="240" w:lineRule="auto"/>
      </w:pPr>
    </w:p>
    <w:p w14:paraId="685BEE1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29C8D739" w14:textId="77777777" w:rsidR="005A5FCC" w:rsidRDefault="00A21C81">
      <w:r>
        <w:rPr>
          <w:rFonts w:cs="EB Garamond"/>
          <w:kern w:val="16"/>
          <w14:ligatures w14:val="standardContextual"/>
        </w:rPr>
        <w:t xml:space="preserve"> TNU firmou posição relevante sobre a dependência econômica do filho maior inválido. Segundo o entendimento consolidado, a dependência econômica do filho inválido é presumida enquanto perdurar a invalidez, cabendo ao INSS o ônus de provar que o filho possuía renda própria suficiente para seu sustento. A presunção, contudo, é relativa: o filho inválido que percebe renda própria em valor significativo (aposentadoria por incapacidade, por exemplo) pode ter a presunção ilidida.</w:t>
      </w:r>
    </w:p>
    <w:p w14:paraId="18F55F68"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19.15 Pensão por morte ao ex-cônjuge</w:t>
      </w:r>
    </w:p>
    <w:p w14:paraId="1859C704"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47349AB3" w14:textId="77777777" w:rsidR="005A5FCC" w:rsidRDefault="00A21C81">
      <w:r>
        <w:rPr>
          <w:rFonts w:cs="EB Garamond"/>
          <w:kern w:val="16"/>
          <w14:ligatures w14:val="standardContextual"/>
        </w:rPr>
        <w:t xml:space="preserve"> situação do ex-cônjuge (separado judicialmente, separado de fato ou divorciado) em relação à pensão por morte merece exame detalhado, pela frequência e complexidade das questões que suscita nos JEFs.</w:t>
      </w:r>
    </w:p>
    <w:p w14:paraId="481FB259" w14:textId="77777777" w:rsidR="005A5FCC" w:rsidRDefault="00A21C81">
      <w:pPr>
        <w:ind w:firstLine="238"/>
      </w:pPr>
      <w:r>
        <w:rPr>
          <w:rFonts w:cs="EB Garamond"/>
          <w:kern w:val="16"/>
          <w14:ligatures w14:val="standardContextual"/>
        </w:rPr>
        <w:t>O art. 76, § 2º, da Lei n. 8.213/91 assegura ao cônjuge divorciado ou separado judicialmente que recebia pensão de alimentos o direito à pensão por morte, concorrendo em igualdade de condições com os demais dependentes da Classe I. A norma reconhece que o ex-cônjuge alimentando mantém vínculo de dependência econômica em relação ao segurado, ainda que o casamento tenha sido dissolvido. Nessa hipótese, a dependência econômica não é presumida, mas decorre diretamente da percepção efetiva de alimentos.</w:t>
      </w:r>
    </w:p>
    <w:p w14:paraId="0309DAB3" w14:textId="77777777" w:rsidR="005A5FCC" w:rsidRDefault="00A21C81">
      <w:pPr>
        <w:ind w:firstLine="238"/>
      </w:pPr>
      <w:r>
        <w:rPr>
          <w:rFonts w:cs="EB Garamond"/>
          <w:kern w:val="16"/>
          <w14:ligatures w14:val="standardContextual"/>
        </w:rPr>
        <w:t>A questão mais controversa diz respeito ao ex-cônjuge que não recebia pensão alimentícia na data do óbito. A Súmula 336 do STJ dispõe: "A mulher que renunciou aos alimentos na separação judicial tem direito à pensão previdenciária por morte do ex-marido, comprovada a necessidade econômica superveniente." O entendimento reconhece que a renúncia aos alimentos na esfera civil não implica perda automática da condição de dependente previdenciária: se o ex-cônjuge, após a separação, vier a necessitar de auxílio econômico e demonstrar essa necessidade, fará jus à pensão por morte.</w:t>
      </w:r>
    </w:p>
    <w:p w14:paraId="2C17BAC1" w14:textId="77777777" w:rsidR="005A5FCC" w:rsidRDefault="00A21C81">
      <w:pPr>
        <w:ind w:firstLine="238"/>
      </w:pPr>
      <w:r>
        <w:rPr>
          <w:rFonts w:cs="EB Garamond"/>
          <w:kern w:val="16"/>
          <w14:ligatures w14:val="standardContextual"/>
        </w:rPr>
        <w:t>A extensão da Súmula 336 foi consolidada pela jurisprudência. A tese não se limita à mulher: aplica-se igualmente ao homem que renunciou aos alimentos na separação. A necessidade econômica pode ser superveniente à separação e anterior ao óbito — basta que exista no momento do falecimento. A prova da necessidade econômica pode ser feita por qualquer meio, incluindo documentos que demonstrem queda no padrão de vida, perda de emprego, doença que incapacitou o ex-cônjuge ou outras circunstâncias que evidenciem a vulnerabilidade.</w:t>
      </w:r>
    </w:p>
    <w:tbl>
      <w:tblPr>
        <w:tblW w:w="5000" w:type="pct"/>
        <w:jc w:val="center"/>
        <w:tblLayout w:type="fixed"/>
        <w:tblLook w:val="04A0" w:firstRow="1" w:lastRow="0" w:firstColumn="1" w:lastColumn="0" w:noHBand="0" w:noVBand="1"/>
      </w:tblPr>
      <w:tblGrid>
        <w:gridCol w:w="6311"/>
      </w:tblGrid>
      <w:tr w:rsidR="005A5FCC" w14:paraId="3F7F7C80"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25643AA9" w14:textId="77777777" w:rsidR="005A5FCC" w:rsidRDefault="00A21C81">
            <w:pPr>
              <w:spacing w:after="60" w:line="240" w:lineRule="auto"/>
              <w:jc w:val="left"/>
            </w:pPr>
            <w:r>
              <w:rPr>
                <w:rFonts w:ascii="Noto Sans" w:hAnsi="Noto Sans" w:cs="Noto Sans"/>
                <w:b/>
                <w:caps/>
                <w:color w:val="4D6F8A"/>
                <w:kern w:val="16"/>
                <w:sz w:val="16"/>
                <w14:ligatures w14:val="standardContextual"/>
              </w:rPr>
              <w:lastRenderedPageBreak/>
              <w:t>JURISPRUDÊNCIA EM DESTAQUE</w:t>
            </w:r>
          </w:p>
          <w:p w14:paraId="112B26E3" w14:textId="77777777" w:rsidR="005A5FCC" w:rsidRDefault="00A21C81">
            <w:pPr>
              <w:spacing w:after="60" w:line="247" w:lineRule="auto"/>
            </w:pPr>
            <w:r>
              <w:rPr>
                <w:rFonts w:cs="EB Garamond"/>
                <w:b/>
                <w:kern w:val="16"/>
                <w:sz w:val="19"/>
                <w14:ligatures w14:val="standardContextual"/>
              </w:rPr>
              <w:t>STJ, Súmula 336</w:t>
            </w:r>
            <w:r>
              <w:rPr>
                <w:rFonts w:cs="EB Garamond"/>
                <w:kern w:val="16"/>
                <w:sz w:val="19"/>
                <w14:ligatures w14:val="standardContextual"/>
              </w:rPr>
              <w:t>: "A mulher que renunciou aos alimentos na separação judicial tem direito à pensão previdenciária por morte do ex-marido, comprovada a necessidade econômica superveniente." O entendimento consolidou a autonomia entre o direito a alimentos (esfera civil) e o direito à pensão por morte (esfera previdenciária). A renúncia civil não atinge o vínculo previdenciário, que se funda na existência de dependência econômica real, e não na formalização de obrigação alimentar.</w:t>
            </w:r>
          </w:p>
        </w:tc>
      </w:tr>
    </w:tbl>
    <w:p w14:paraId="18D81085" w14:textId="77777777" w:rsidR="005A5FCC" w:rsidRDefault="005A5FCC">
      <w:pPr>
        <w:spacing w:after="80" w:line="240" w:lineRule="auto"/>
      </w:pPr>
    </w:p>
    <w:p w14:paraId="33FE85E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4662A7C2" w14:textId="77777777" w:rsidR="005A5FCC" w:rsidRDefault="00A21C81">
      <w:r>
        <w:rPr>
          <w:rFonts w:cs="EB Garamond"/>
          <w:kern w:val="16"/>
          <w14:ligatures w14:val="standardContextual"/>
        </w:rPr>
        <w:t xml:space="preserve"> ex-cônjuge que se habilita à pensão por morte concorre, em igualdade de condições, com o cônjuge ou companheiro(a) sobrevivente e com os filhos do segurado (todos da Classe I). O rateio é feito em partes iguais entre os dependentes habilitados da mesma classe. A coexistência de ex-cônjuge alimentando e companheiro(a) do segurado gera situação de concorrência que exige habilitação simultânea.</w:t>
      </w:r>
    </w:p>
    <w:p w14:paraId="51CA9EF5"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19.16 Concorrência entre cônjuge e companheiro(a)</w:t>
      </w:r>
    </w:p>
    <w:p w14:paraId="654102E8"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0A195953" w14:textId="77777777" w:rsidR="005A5FCC" w:rsidRDefault="00A21C81">
      <w:r>
        <w:rPr>
          <w:rFonts w:cs="EB Garamond"/>
          <w:kern w:val="16"/>
          <w14:ligatures w14:val="standardContextual"/>
        </w:rPr>
        <w:t xml:space="preserve"> situação em que o segurado falecido era casado formalmente com uma pessoa e mantinha união estável com outra é frequente nos JEFs e gera controvérsias sobre o rateio da pensão por morte. A resolução depende da configuração fática: separação de fato do cônjuge, duração da separação e legitimidade da união estável.</w:t>
      </w:r>
    </w:p>
    <w:p w14:paraId="09846CDE" w14:textId="77777777" w:rsidR="005A5FCC" w:rsidRDefault="00A21C81">
      <w:pPr>
        <w:ind w:firstLine="238"/>
      </w:pPr>
      <w:r>
        <w:rPr>
          <w:rFonts w:cs="EB Garamond"/>
          <w:kern w:val="16"/>
          <w14:ligatures w14:val="standardContextual"/>
        </w:rPr>
        <w:t>O cônjuge separado de fato mantém, em princípio, a condição de dependente previdenciário, salvo se comprovada a inexistência de dependência econômica. A separação de fato rompe o vínculo afetivo, mas não dissolve o casamento civil. O cônjuge separado de fato que não recebia qualquer contribuição econômica do segurado pode ter a presunção de dependência ilidida, perdendo o direito à pensão. Por outro lado, se ainda dependia economicamente do segurado (recebia alimentos informais, morava em imóvel do segurado, tinha despesas custeadas por ele), mantém a condição.</w:t>
      </w:r>
    </w:p>
    <w:p w14:paraId="38513E77" w14:textId="77777777" w:rsidR="005A5FCC" w:rsidRDefault="00A21C81">
      <w:pPr>
        <w:ind w:firstLine="238"/>
      </w:pPr>
      <w:r>
        <w:rPr>
          <w:rFonts w:cs="EB Garamond"/>
          <w:kern w:val="16"/>
          <w14:ligatures w14:val="standardContextual"/>
        </w:rPr>
        <w:lastRenderedPageBreak/>
        <w:t>A companheira ou companheiro do segurado que convivia com ele na data do óbito, em união estável pública, contínua e duradoura, é dependente da Classe I com presunção de dependência econômica. Quando a união estável se iniciou após a separação de fato do casamento anterior, a situação é legítima: o art. 1.723, § 1º, do Código Civil dispõe que a união estável não se constituirá se existirem impedimentos para o casamento, ressalvada a hipótese de a pessoa casada estar separada de fato ou judicialmente.</w:t>
      </w:r>
    </w:p>
    <w:p w14:paraId="1FD62F74" w14:textId="77777777" w:rsidR="005A5FCC" w:rsidRDefault="00A21C81">
      <w:pPr>
        <w:ind w:firstLine="238"/>
      </w:pPr>
      <w:r>
        <w:rPr>
          <w:rFonts w:cs="EB Garamond"/>
          <w:kern w:val="16"/>
          <w14:ligatures w14:val="standardContextual"/>
        </w:rPr>
        <w:t>Na concorrência entre cônjuge separado de fato e companheiro(a), a jurisprudência tem adotado a seguinte orientação: (a) se o cônjuge estava efetivamente separado de fato e não dependia economicamente do segurado, a pensão é devida integralmente ao companheiro(a); (b) se ambos demonstram dependência econômica, a pensão é rateada em partes iguais; (c) se apenas o cônjuge demonstra dependência (hipótese rara quando há separação de fato prolongada), a pensão lhe é devida integralmente.</w:t>
      </w:r>
    </w:p>
    <w:tbl>
      <w:tblPr>
        <w:tblW w:w="5000" w:type="pct"/>
        <w:jc w:val="center"/>
        <w:tblLayout w:type="fixed"/>
        <w:tblLook w:val="04A0" w:firstRow="1" w:lastRow="0" w:firstColumn="1" w:lastColumn="0" w:noHBand="0" w:noVBand="1"/>
      </w:tblPr>
      <w:tblGrid>
        <w:gridCol w:w="6311"/>
      </w:tblGrid>
      <w:tr w:rsidR="005A5FCC" w14:paraId="6D4CD5E4"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76E72EE8"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1DFF7C36" w14:textId="77777777" w:rsidR="005A5FCC" w:rsidRDefault="00A21C81">
            <w:pPr>
              <w:spacing w:after="60" w:line="247" w:lineRule="auto"/>
            </w:pPr>
            <w:r>
              <w:rPr>
                <w:rFonts w:cs="EB Garamond"/>
                <w:kern w:val="16"/>
                <w:sz w:val="19"/>
                <w14:ligatures w14:val="standardContextual"/>
              </w:rPr>
              <w:t>Nas ações de pensão por morte em que há concorrência entre cônjuge e companheiro(a), a formação de litisconsórcio necessário é obrigatória. O STJ fixou que a ação para incluir novo beneficiário na pensão por morte exige a citação dos demais beneficiários já habilitados, sob pena de nulidade. Nos JEFs, o juiz deve determinar a citação do(a) cônjuge ou do(a) companheiro(a) concorrente como litisconsorte passivo necessário, assegurando o contraditório. A instrução processual deve contemplar prova sobre a situação fática de cada pretendente: tempo de separação de fato, existência de contribuição econômica do segurado a cada um deles, e configuração da união estável.</w:t>
            </w:r>
          </w:p>
        </w:tc>
      </w:tr>
    </w:tbl>
    <w:p w14:paraId="37B68776" w14:textId="77777777" w:rsidR="005A5FCC" w:rsidRDefault="005A5FCC">
      <w:pPr>
        <w:spacing w:after="80" w:line="240" w:lineRule="auto"/>
      </w:pPr>
    </w:p>
    <w:p w14:paraId="7077889D"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19.17 Uniões estáveis simultâneas: vedação constitucional</w:t>
      </w:r>
    </w:p>
    <w:p w14:paraId="34C0EB91"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6819EF51" w14:textId="77777777" w:rsidR="005A5FCC" w:rsidRDefault="00A21C81">
      <w:r>
        <w:rPr>
          <w:rFonts w:cs="EB Garamond"/>
          <w:kern w:val="16"/>
          <w14:ligatures w14:val="standardContextual"/>
        </w:rPr>
        <w:t xml:space="preserve"> possibilidade de reconhecimento de uniões estáveis simultâneas (ou de casamento e união estável concomitantes) para fins de rateio de pensão por morte foi definida pelo STF no julgamento do RE 1.045.273 (Tema 529).</w:t>
      </w:r>
    </w:p>
    <w:p w14:paraId="45FEE7DE" w14:textId="77777777" w:rsidR="005A5FCC" w:rsidRDefault="00A21C81">
      <w:pPr>
        <w:ind w:firstLine="238"/>
      </w:pPr>
      <w:r>
        <w:rPr>
          <w:rFonts w:cs="EB Garamond"/>
          <w:kern w:val="16"/>
          <w14:ligatures w14:val="standardContextual"/>
        </w:rPr>
        <w:lastRenderedPageBreak/>
        <w:t>O Plenário do STF, por maioria de votos, negou provimento ao recurso e fixou a seguinte tese: "A preexistência de casamento ou de união estável de um dos conviventes, ressalvada a exceção do artigo 1.723, § 1º, do Código Civil, impede o reconhecimento de novo vínculo referente ao mesmo período, inclusive para fins previdenciários, em virtude da consagração do dever de fidelidade e da monogamia pelo ordenamento jurídico-constitucional brasileiro."</w:t>
      </w:r>
    </w:p>
    <w:p w14:paraId="5F1209A3" w14:textId="77777777" w:rsidR="005A5FCC" w:rsidRDefault="00A21C81">
      <w:pPr>
        <w:ind w:firstLine="238"/>
      </w:pPr>
      <w:r>
        <w:rPr>
          <w:rFonts w:cs="EB Garamond"/>
          <w:kern w:val="16"/>
          <w14:ligatures w14:val="standardContextual"/>
        </w:rPr>
        <w:t>A decisão tem repercussão geral e vincula todos os órgãos do Poder Judiciário. Seu efeito prático é vedar o rateio de pensão por morte entre cônjuge e concubina (ou entre duas companheiras simultâneas). A pessoa que mantém relação concomitante com segurado casado ou em união estável não se qualifica como dependente previdenciário, por não se configurar união estável legítima.</w:t>
      </w:r>
    </w:p>
    <w:p w14:paraId="520891D3" w14:textId="77777777" w:rsidR="005A5FCC" w:rsidRDefault="00A21C81">
      <w:pPr>
        <w:ind w:firstLine="238"/>
      </w:pPr>
      <w:r>
        <w:rPr>
          <w:rFonts w:cs="EB Garamond"/>
          <w:kern w:val="16"/>
          <w14:ligatures w14:val="standardContextual"/>
        </w:rPr>
        <w:t>A exceção prevista no art. 1.723, § 1º, do Código Civil diz respeito à pessoa casada que se encontra separada de fato ou judicialmente. Nesse caso, a separação de fato rompe o vínculo conjugal efetivo e permite a configuração de nova união estável, que será legítima para fins previdenciários. A chave da análise é a separação de fato: se existia, a nova relação é união estável; se não existia (o segurado mantinha vida conjugal com o cônjuge), a nova relação é concubinato, que não gera direitos previdenciários.</w:t>
      </w:r>
    </w:p>
    <w:tbl>
      <w:tblPr>
        <w:tblW w:w="5000" w:type="pct"/>
        <w:jc w:val="center"/>
        <w:tblLayout w:type="fixed"/>
        <w:tblLook w:val="04A0" w:firstRow="1" w:lastRow="0" w:firstColumn="1" w:lastColumn="0" w:noHBand="0" w:noVBand="1"/>
      </w:tblPr>
      <w:tblGrid>
        <w:gridCol w:w="6311"/>
      </w:tblGrid>
      <w:tr w:rsidR="005A5FCC" w14:paraId="3341077D"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2DCF1CCD" w14:textId="77777777" w:rsidR="005A5FCC" w:rsidRDefault="00A21C81">
            <w:pPr>
              <w:spacing w:after="60" w:line="240" w:lineRule="auto"/>
              <w:jc w:val="left"/>
            </w:pPr>
            <w:r>
              <w:rPr>
                <w:rFonts w:ascii="Noto Sans" w:hAnsi="Noto Sans" w:cs="Noto Sans"/>
                <w:b/>
                <w:caps/>
                <w:color w:val="4D6F8A"/>
                <w:kern w:val="16"/>
                <w:sz w:val="16"/>
                <w14:ligatures w14:val="standardContextual"/>
              </w:rPr>
              <w:t>JURISPRUDÊNCIA EM DESTAQUE</w:t>
            </w:r>
          </w:p>
          <w:p w14:paraId="7D90B372" w14:textId="4BC95828" w:rsidR="005A5FCC" w:rsidRDefault="00A21C81">
            <w:pPr>
              <w:spacing w:after="60" w:line="247" w:lineRule="auto"/>
            </w:pPr>
            <w:r>
              <w:rPr>
                <w:rFonts w:cs="EB Garamond"/>
                <w:b/>
                <w:kern w:val="16"/>
                <w:sz w:val="19"/>
                <w14:ligatures w14:val="standardContextual"/>
              </w:rPr>
              <w:t>STF, RE 1.045.273 (Tema 529)</w:t>
            </w:r>
            <w:r>
              <w:rPr>
                <w:rFonts w:cs="EB Garamond"/>
                <w:kern w:val="16"/>
                <w:sz w:val="19"/>
                <w14:ligatures w14:val="standardContextual"/>
              </w:rPr>
              <w:t>: O STF vedou o reconhecimento de uniões estáveis simultâneas para fins de rateio de pensão por morte, afirmando o princípio da monogamia como fundamento do ordenamento jurídico-constitucional brasileiro. A decisão afastou a tese de que o Direito Previdenciário poderia reconhecer relações que o Direito de Família repudia. Na prática dos JEFs, a decisão impõe ao</w:t>
            </w:r>
            <w:r w:rsidR="00A7412F">
              <w:rPr>
                <w:rFonts w:cs="EB Garamond"/>
                <w:kern w:val="16"/>
                <w:sz w:val="19"/>
                <w14:ligatures w14:val="standardContextual"/>
              </w:rPr>
              <w:t>(à)</w:t>
            </w:r>
            <w:r>
              <w:rPr>
                <w:rFonts w:cs="EB Garamond"/>
                <w:kern w:val="16"/>
                <w:sz w:val="19"/>
                <w14:ligatures w14:val="standardContextual"/>
              </w:rPr>
              <w:t xml:space="preserve"> companheiro(a) que pleiteia pensão o ônus de demonstrar que a relação com o segurado era legítima, e não mero concubinato paralelo a casamento ou união estável preexistente.</w:t>
            </w:r>
          </w:p>
        </w:tc>
      </w:tr>
    </w:tbl>
    <w:p w14:paraId="60C90F9D" w14:textId="77777777" w:rsidR="005A5FCC" w:rsidRDefault="005A5FCC">
      <w:pPr>
        <w:spacing w:after="80" w:line="240" w:lineRule="auto"/>
      </w:pPr>
    </w:p>
    <w:p w14:paraId="1C68E5A2"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19.18 Pensão por morte e união homoafetiva</w:t>
      </w:r>
    </w:p>
    <w:p w14:paraId="7F3E4B65"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13DF4FD7" w14:textId="77777777" w:rsidR="005A5FCC" w:rsidRDefault="00A21C81">
      <w:r>
        <w:rPr>
          <w:rFonts w:cs="EB Garamond"/>
          <w:kern w:val="16"/>
          <w14:ligatures w14:val="standardContextual"/>
        </w:rPr>
        <w:t xml:space="preserve"> reconhecimento da união homoafetiva como entidade familiar pelo STF (ADI 4.277 e ADPF 132, julgamento em 05/05/2011) estendeu aos companheiros do mesmo sexo todos os direitos decorrentes da união estável, inclusive os previdenciários. O companheiro homoafetivo é dependente da Classe I, com presunção de dependência econômica, nos mesmos termos do companheiro heterossexual.</w:t>
      </w:r>
    </w:p>
    <w:p w14:paraId="79069F2D" w14:textId="77777777" w:rsidR="005A5FCC" w:rsidRDefault="00A21C81">
      <w:pPr>
        <w:ind w:firstLine="238"/>
      </w:pPr>
      <w:r>
        <w:rPr>
          <w:rFonts w:cs="EB Garamond"/>
          <w:kern w:val="16"/>
          <w14:ligatures w14:val="standardContextual"/>
        </w:rPr>
        <w:t>A extensão é plena e incondicional. O companheiro do mesmo sexo faz jus à pensão por morte mediante comprovação da união estável (convivência pública, contínua e duradoura com objetivo de constituir família), submetendo-se aos mesmos requisitos probatórios e às mesmas regras de duração, cálculo e acumulação aplicáveis às uniões heterossexuais.</w:t>
      </w:r>
    </w:p>
    <w:p w14:paraId="0E158AC5" w14:textId="77777777" w:rsidR="005A5FCC" w:rsidRDefault="00A21C81">
      <w:pPr>
        <w:ind w:firstLine="238"/>
      </w:pPr>
      <w:r>
        <w:rPr>
          <w:rFonts w:cs="EB Garamond"/>
          <w:kern w:val="16"/>
          <w14:ligatures w14:val="standardContextual"/>
        </w:rPr>
        <w:t>O INSS reconheceu administrativamente o direito do companheiro homoafetivo à pensão por morte, inicialmente por força da Ação Civil Pública n. 2000.71.00.009347-0 (Justiça Federal do Rio Grande do Sul) e, posteriormente, em caráter geral, após o julgamento do STF. O Decreto n. 10.410/2020, ao regulamentar o art. 16 da Lei n. 8.213/91, incluiu expressamente a referência a cônjuge ou companheiro(a) sem distinção de sexo.</w:t>
      </w:r>
    </w:p>
    <w:p w14:paraId="6B796023" w14:textId="77777777" w:rsidR="005A5FCC" w:rsidRDefault="00A21C81">
      <w:pPr>
        <w:ind w:firstLine="238"/>
      </w:pPr>
      <w:r>
        <w:rPr>
          <w:rFonts w:cs="EB Garamond"/>
          <w:kern w:val="16"/>
          <w14:ligatures w14:val="standardContextual"/>
        </w:rPr>
        <w:t>A comprovação da união homoafetiva segue os mesmos critérios da união estável heterossexual: escritura pública, declaração de imposto de renda, conta bancária conjunta, depoimentos testemunhais e demais meios de prova admitidos em direito. Na prática dos JEFs, as ações de pensão por morte envolvendo uniões homoafetivas são processadas sem qualquer particularidade procedimental em relação às demais.</w:t>
      </w:r>
    </w:p>
    <w:p w14:paraId="2A69FDE0" w14:textId="77777777" w:rsidR="005A5FCC" w:rsidRDefault="00A21C81">
      <w:pPr>
        <w:ind w:firstLine="238"/>
      </w:pPr>
      <w:r>
        <w:rPr>
          <w:rFonts w:cs="EB Garamond"/>
          <w:kern w:val="16"/>
          <w14:ligatures w14:val="standardContextual"/>
        </w:rPr>
        <w:t xml:space="preserve">A questão temporal merece atenção. Para óbitos anteriores ao julgamento da ADI 4.277 (05/05/2011), a concessão da pensão por morte ao companheiro homoafetivo já era possível por força de decisões judiciais e da própria Ação Civil Pública mencionada, que vinculava o INSS desde 2000. A jurisprudência reconhece que o direito ao reconhecimento da união homoafetiva para fins previdenciários não surgiu com o julgamento do STF — o julgamento apenas declarou o que já era inerente à Constituição. Dessa forma, uniões homoafetivas anteriores </w:t>
      </w:r>
      <w:r>
        <w:rPr>
          <w:rFonts w:cs="EB Garamond"/>
          <w:kern w:val="16"/>
          <w14:ligatures w14:val="standardContextual"/>
        </w:rPr>
        <w:lastRenderedPageBreak/>
        <w:t>a 2011, com óbitos anteriores a essa data, geram direito à pensão por morte, desde que comprovada a convivência nos moldes do art. 1.723 do Código Civil.</w:t>
      </w:r>
    </w:p>
    <w:tbl>
      <w:tblPr>
        <w:tblW w:w="5000" w:type="pct"/>
        <w:jc w:val="center"/>
        <w:tblLayout w:type="fixed"/>
        <w:tblLook w:val="04A0" w:firstRow="1" w:lastRow="0" w:firstColumn="1" w:lastColumn="0" w:noHBand="0" w:noVBand="1"/>
      </w:tblPr>
      <w:tblGrid>
        <w:gridCol w:w="6311"/>
      </w:tblGrid>
      <w:tr w:rsidR="005A5FCC" w14:paraId="402F188D"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3F3D483A" w14:textId="77777777" w:rsidR="005A5FCC" w:rsidRDefault="00A21C81">
            <w:pPr>
              <w:spacing w:after="60" w:line="240" w:lineRule="auto"/>
              <w:jc w:val="left"/>
            </w:pPr>
            <w:r>
              <w:rPr>
                <w:rFonts w:ascii="Noto Sans" w:hAnsi="Noto Sans" w:cs="Noto Sans"/>
                <w:b/>
                <w:caps/>
                <w:color w:val="4D6F8A"/>
                <w:kern w:val="16"/>
                <w:sz w:val="16"/>
                <w14:ligatures w14:val="standardContextual"/>
              </w:rPr>
              <w:t>JURISPRUDÊNCIA EM DESTAQUE</w:t>
            </w:r>
          </w:p>
          <w:p w14:paraId="2D08A859" w14:textId="77777777" w:rsidR="005A5FCC" w:rsidRDefault="00A21C81">
            <w:pPr>
              <w:spacing w:after="60" w:line="247" w:lineRule="auto"/>
            </w:pPr>
            <w:r>
              <w:rPr>
                <w:rFonts w:cs="EB Garamond"/>
                <w:b/>
                <w:kern w:val="16"/>
                <w:sz w:val="19"/>
                <w14:ligatures w14:val="standardContextual"/>
              </w:rPr>
              <w:t>STF, ADI 4.277 e ADPF 132 (julgamento em 05/05/2011)</w:t>
            </w:r>
            <w:r>
              <w:rPr>
                <w:rFonts w:cs="EB Garamond"/>
                <w:kern w:val="16"/>
                <w:sz w:val="19"/>
                <w14:ligatures w14:val="standardContextual"/>
              </w:rPr>
              <w:t>: O Plenário do STF reconheceu a união homoafetiva como entidade familiar, conferindo interpretação conforme a Constituição ao art. 1.723 do Código Civil para excluir qualquer significado que impeça o reconhecimento da união de pessoas do mesmo sexo como entidade familiar, com os mesmos direitos e deveres da união estável heterossexual. A decisão tem eficácia erga omnes e efeito vinculante, alcançando todos os órgãos do Poder Judiciário e da Administração Pública, inclusive o INSS. O reconhecimento é retroativo, pois fundado na própria Constituição, e não em norma infraconstitucional posterior.</w:t>
            </w:r>
          </w:p>
        </w:tc>
      </w:tr>
    </w:tbl>
    <w:p w14:paraId="69CDB83B" w14:textId="77777777" w:rsidR="005A5FCC" w:rsidRDefault="005A5FCC">
      <w:pPr>
        <w:spacing w:after="80" w:line="240" w:lineRule="auto"/>
      </w:pPr>
    </w:p>
    <w:p w14:paraId="1421959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67737EE4" w14:textId="77777777" w:rsidR="005A5FCC" w:rsidRDefault="00A21C81">
      <w:r>
        <w:rPr>
          <w:rFonts w:cs="EB Garamond"/>
          <w:kern w:val="16"/>
          <w14:ligatures w14:val="standardContextual"/>
        </w:rPr>
        <w:t xml:space="preserve"> adoção por casais homoafetivos e seus reflexos na pensão por morte também merecem menção. O filho adotivo de casal homoafetivo é dependente da Classe I de ambos os adotantes, com presunção de dependência econômica. O óbito de qualquer dos adotantes gera direito à pensão por morte para o filho, nos mesmos termos da filiação biológica ou da adoção por casais heterossexuais. A igualdade de tratamento é absoluta e decorre tanto da decisão do STF quanto do art. 227, § 6º, da Constituição (igualdade entre filhos, independentemente da origem).</w:t>
      </w:r>
    </w:p>
    <w:p w14:paraId="54D7D8E7"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19.19 Cálculo da pensão por morte: regime anterior à EC 103/2019</w:t>
      </w:r>
    </w:p>
    <w:p w14:paraId="77A8FB38"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28BA835D" w14:textId="77777777" w:rsidR="005A5FCC" w:rsidRDefault="00A21C81">
      <w:r>
        <w:rPr>
          <w:rFonts w:cs="EB Garamond"/>
          <w:kern w:val="16"/>
          <w14:ligatures w14:val="standardContextual"/>
        </w:rPr>
        <w:t xml:space="preserve"> regime de cálculo da pensão por morte anterior à EC n. 103/2019 era substancialmente mais favorável aos dependentes. O art. 75 da Lei n. 8.213/91 (em sua redação anterior) fixava o valor da pensão por morte em 100% do valor da aposentadoria que o segurado recebia ou daquela a que teria direito se estivesse aposentado por incapacidade permanente na data do falecimento. O salário de benefício seguia as regras gerais de cálculo (média dos 80% </w:t>
      </w:r>
      <w:r>
        <w:rPr>
          <w:rFonts w:cs="EB Garamond"/>
          <w:kern w:val="16"/>
          <w14:ligatures w14:val="standardContextual"/>
        </w:rPr>
        <w:lastRenderedPageBreak/>
        <w:t>maiores salários de contribuição; v. Cap. 16 para detalhamento). A garantia de 100% era absoluta e não comportava exceções.</w:t>
      </w:r>
    </w:p>
    <w:p w14:paraId="164E4F8B" w14:textId="77777777" w:rsidR="005A5FCC" w:rsidRDefault="00A21C81">
      <w:pPr>
        <w:ind w:firstLine="238"/>
      </w:pPr>
      <w:r>
        <w:rPr>
          <w:rFonts w:cs="EB Garamond"/>
          <w:kern w:val="16"/>
          <w14:ligatures w14:val="standardContextual"/>
        </w:rPr>
        <w:t>O regime anterior aplica-se, por força do princípio tempus regit actum, a todos os óbitos ocorridos antes de 13/11/2019 (data de entrada em vigor da EC n. 103/2019). Para esses fatos geradores, o cálculo da pensão segue as regras da Lei n. 8.213/91 em sua redação anterior à reforma, independentemente da data do requerimento administrativo ou judicial.</w:t>
      </w:r>
    </w:p>
    <w:p w14:paraId="554E4948"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19.20 Cálculo da pensão por morte: regime da EC 103/2019</w:t>
      </w:r>
    </w:p>
    <w:p w14:paraId="375E3B6E"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351AB07F" w14:textId="77777777" w:rsidR="005A5FCC" w:rsidRDefault="00A21C81">
      <w:r>
        <w:rPr>
          <w:rFonts w:cs="EB Garamond"/>
          <w:kern w:val="16"/>
          <w14:ligatures w14:val="standardContextual"/>
        </w:rPr>
        <w:t xml:space="preserve"> EC n. 103/2019 introduziu o sistema de cotas para o cálculo da pensão por morte, previsto no art. 23 da Emenda. O novo regime aplica-se aos óbitos ocorridos a partir de 13/11/2019.</w:t>
      </w:r>
    </w:p>
    <w:p w14:paraId="5BF1C131" w14:textId="77777777" w:rsidR="005A5FCC" w:rsidRDefault="00A21C81">
      <w:pPr>
        <w:ind w:firstLine="238"/>
      </w:pPr>
      <w:r>
        <w:rPr>
          <w:rFonts w:cs="EB Garamond"/>
          <w:kern w:val="16"/>
          <w14:ligatures w14:val="standardContextual"/>
        </w:rPr>
        <w:t>O cálculo segue duas etapas. Na primeira, apura-se a base de cálculo: (a) se o segurado era aposentado, a base é o valor da aposentadoria efetivamente recebida; (b) se o segurado não era aposentado, a base é o valor da aposentadoria por incapacidade permanente a que teria direito na data do óbito, calculada nos termos do art. 26, § 2º, da EC n. 103/2019 — média de 100% dos salários de contribuição com coeficiente de 60% + 2% por ano excedente a 20 anos (v. Cap. 16 para o regime geral de cálculo).</w:t>
      </w:r>
    </w:p>
    <w:p w14:paraId="648D5276" w14:textId="77777777" w:rsidR="005A5FCC" w:rsidRDefault="00A21C81">
      <w:pPr>
        <w:ind w:firstLine="238"/>
      </w:pPr>
      <w:r>
        <w:rPr>
          <w:rFonts w:cs="EB Garamond"/>
          <w:kern w:val="16"/>
          <w14:ligatures w14:val="standardContextual"/>
        </w:rPr>
        <w:t>Registramos que o acréscimo de 2% por ano excedente a 20 anos de contribuição aplica-se ao segurado homem. Para a segurada mulher, o acréscimo incide a partir de 15 anos de contribuição (art. 26, §§ 2º e 5º, da EC n. 103/2019). A distinção é relevante para o cálculo da pensão por morte de segurada não aposentada: uma mulher com 18 anos de contribuição teria coeficiente de 66% (60% + 2% × 3 anos excedentes), enquanto um homem com o mesmo tempo teria apenas 60%.</w:t>
      </w:r>
    </w:p>
    <w:p w14:paraId="1CA154A8" w14:textId="77777777" w:rsidR="005A5FCC" w:rsidRDefault="00A21C81">
      <w:pPr>
        <w:ind w:firstLine="238"/>
      </w:pPr>
      <w:r>
        <w:rPr>
          <w:rFonts w:cs="EB Garamond"/>
          <w:kern w:val="16"/>
          <w14:ligatures w14:val="standardContextual"/>
        </w:rPr>
        <w:t xml:space="preserve">Na segunda etapa, aplica-se o sistema de cotas sobre a base apurada: cota familiar de 50% acrescida de 10 pontos percentuais por dependente habilitado, até o máximo de 100%. Um dependente único recebe 60% da base; dois dependentes </w:t>
      </w:r>
      <w:r>
        <w:rPr>
          <w:rFonts w:cs="EB Garamond"/>
          <w:kern w:val="16"/>
          <w14:ligatures w14:val="standardContextual"/>
        </w:rPr>
        <w:lastRenderedPageBreak/>
        <w:t>recebem 70%; três dependentes recebem 80%; quatro dependentes recebem 90%; cinco ou mais dependentes recebem 100%.</w:t>
      </w:r>
    </w:p>
    <w:p w14:paraId="7439780F" w14:textId="77777777" w:rsidR="005A5FCC" w:rsidRDefault="00A21C81">
      <w:pPr>
        <w:ind w:firstLine="238"/>
      </w:pPr>
      <w:r>
        <w:rPr>
          <w:rFonts w:cs="EB Garamond"/>
          <w:kern w:val="16"/>
          <w14:ligatures w14:val="standardContextual"/>
        </w:rPr>
        <w:t>A combinação das duas etapas pode resultar em pensão substancialmente inferior ao valor da aposentadoria do segurado. No caso extremo de segurado não aposentado, com 20 anos de contribuição e um único dependente, a pensão por morte corresponderia a 60% de 60% da média salarial, ou seja, 36% da média dos salários de contribuição. A redução é severa e foi objeto de questionamento constitucional.</w:t>
      </w:r>
    </w:p>
    <w:tbl>
      <w:tblPr>
        <w:tblW w:w="5000" w:type="pct"/>
        <w:jc w:val="center"/>
        <w:tblLayout w:type="fixed"/>
        <w:tblLook w:val="04A0" w:firstRow="1" w:lastRow="0" w:firstColumn="1" w:lastColumn="0" w:noHBand="0" w:noVBand="1"/>
      </w:tblPr>
      <w:tblGrid>
        <w:gridCol w:w="6311"/>
      </w:tblGrid>
      <w:tr w:rsidR="005A5FCC" w14:paraId="3DC866EF"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5BBFDF25"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6AE0667B" w14:textId="3B1D0873" w:rsidR="005A5FCC" w:rsidRDefault="00A21C81">
            <w:pPr>
              <w:spacing w:after="60" w:line="247" w:lineRule="auto"/>
            </w:pPr>
            <w:r>
              <w:rPr>
                <w:rFonts w:cs="EB Garamond"/>
                <w:kern w:val="16"/>
                <w:sz w:val="19"/>
                <w14:ligatures w14:val="standardContextual"/>
              </w:rPr>
              <w:t xml:space="preserve">O cálculo da pensão por morte para segurado não aposentado sob o regime da EC 103/2019 envolve dupla redução: primeiro, aplica-se o coeficiente de 60% + 2% por ano excedente a 20 anos de contribuição para apurar o valor hipotético da aposentadoria por incapacidade permanente; depois, aplica-se o sistema de cotas (50% + 10% por dependente). O resultado pode ser significativamente inferior ao </w:t>
            </w:r>
            <w:r w:rsidR="00A7412F">
              <w:rPr>
                <w:rFonts w:cs="EB Garamond"/>
                <w:kern w:val="16"/>
                <w:sz w:val="19"/>
                <w14:ligatures w14:val="standardContextual"/>
              </w:rPr>
              <w:t>salário-mínimo</w:t>
            </w:r>
            <w:r>
              <w:rPr>
                <w:rFonts w:cs="EB Garamond"/>
                <w:kern w:val="16"/>
                <w:sz w:val="19"/>
                <w14:ligatures w14:val="standardContextual"/>
              </w:rPr>
              <w:t xml:space="preserve">. Nesses casos, aplica-se a garantia do § 2º do art. 23 da EC 103/2019: se a pensão por morte for a única fonte de renda formal do dependente, o benefício não poderá ser inferior ao </w:t>
            </w:r>
            <w:r w:rsidR="00A7412F">
              <w:rPr>
                <w:rFonts w:cs="EB Garamond"/>
                <w:kern w:val="16"/>
                <w:sz w:val="19"/>
                <w14:ligatures w14:val="standardContextual"/>
              </w:rPr>
              <w:t>salário-mínimo</w:t>
            </w:r>
            <w:r>
              <w:rPr>
                <w:rFonts w:cs="EB Garamond"/>
                <w:kern w:val="16"/>
                <w:sz w:val="19"/>
                <w14:ligatures w14:val="standardContextual"/>
              </w:rPr>
              <w:t>.</w:t>
            </w:r>
          </w:p>
        </w:tc>
      </w:tr>
    </w:tbl>
    <w:p w14:paraId="4C21A82E" w14:textId="77777777" w:rsidR="005A5FCC" w:rsidRDefault="005A5FCC">
      <w:pPr>
        <w:spacing w:after="80" w:line="240" w:lineRule="auto"/>
      </w:pPr>
    </w:p>
    <w:p w14:paraId="423DBFE2"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55F70C67" w14:textId="3BB2B5C8" w:rsidR="005A5FCC" w:rsidRDefault="00A21C81">
      <w:r>
        <w:rPr>
          <w:rFonts w:cs="EB Garamond"/>
          <w:kern w:val="16"/>
          <w14:ligatures w14:val="standardContextual"/>
        </w:rPr>
        <w:t xml:space="preserve"> STF, no julgamento da ADI 7.051, declarou constitucional o art. 23 da EC n. 103/2019. O relator, Min. Luís Roberto Barroso, reconheceu que a redução do valor da pensão exigirá maior planejamento financeiro dos segurados com dependentes, mas entendeu que a reforma não violou cláusula pétrea, pois vedou expressamente que o benefício ficasse abaixo do </w:t>
      </w:r>
      <w:r w:rsidR="00A7412F">
        <w:rPr>
          <w:rFonts w:cs="EB Garamond"/>
          <w:kern w:val="16"/>
          <w14:ligatures w14:val="standardContextual"/>
        </w:rPr>
        <w:t>salário-mínimo</w:t>
      </w:r>
      <w:r>
        <w:rPr>
          <w:rFonts w:cs="EB Garamond"/>
          <w:kern w:val="16"/>
          <w14:ligatures w14:val="standardContextual"/>
        </w:rPr>
        <w:t xml:space="preserve"> quando constituísse a única fonte de renda formal do dependente. A decisão encerrou o debate sobre a constitucionalidade do sistema de cotas, vinculando os demais órgãos do Poder Judiciário.</w:t>
      </w:r>
    </w:p>
    <w:p w14:paraId="01A3BA51"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19.21 Cota-parte e não reversibilidade</w:t>
      </w:r>
    </w:p>
    <w:p w14:paraId="012F625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11DB42FA" w14:textId="77777777" w:rsidR="005A5FCC" w:rsidRDefault="00A21C81">
      <w:r>
        <w:rPr>
          <w:rFonts w:cs="EB Garamond"/>
          <w:kern w:val="16"/>
          <w14:ligatures w14:val="standardContextual"/>
        </w:rPr>
        <w:t xml:space="preserve"> sistema de cotas da EC n. 103/2019 introduziu característica inédita no regime da pensão por morte: a não reversibilidade das cotas individuais. O art. 23, § 1º, dispõe que "as cotas por dependente cessarão com a perda </w:t>
      </w:r>
      <w:r>
        <w:rPr>
          <w:rFonts w:cs="EB Garamond"/>
          <w:kern w:val="16"/>
          <w14:ligatures w14:val="standardContextual"/>
        </w:rPr>
        <w:lastRenderedPageBreak/>
        <w:t>dessa qualidade e não serão reversíveis aos demais dependentes, preservado o valor de 100% da pensão por morte quando o número de dependentes remanescente for igual ou superior a 5 (cinco)".</w:t>
      </w:r>
    </w:p>
    <w:p w14:paraId="23A51A5E" w14:textId="77777777" w:rsidR="005A5FCC" w:rsidRDefault="00A21C81">
      <w:pPr>
        <w:ind w:firstLine="238"/>
      </w:pPr>
      <w:r>
        <w:rPr>
          <w:rFonts w:cs="EB Garamond"/>
          <w:kern w:val="16"/>
          <w14:ligatures w14:val="standardContextual"/>
        </w:rPr>
        <w:t>Na prática, a não reversibilidade significa que, quando um dependente perde essa qualidade (por maioridade do filho, cessação da invalidez, falecimento do cônjuge), a cota de 10% correspondente àquele dependente é extinta, e o valor total da pensão é reduzido proporcionalmente. Os demais dependentes não absorvem a cota liberada: ela simplesmente se extingue.</w:t>
      </w:r>
    </w:p>
    <w:p w14:paraId="0FF1536B" w14:textId="77777777" w:rsidR="005A5FCC" w:rsidRDefault="00A21C81">
      <w:pPr>
        <w:ind w:firstLine="238"/>
      </w:pPr>
      <w:r>
        <w:rPr>
          <w:rFonts w:cs="EB Garamond"/>
          <w:kern w:val="16"/>
          <w14:ligatures w14:val="standardContextual"/>
        </w:rPr>
        <w:t>Essa regra contrasta com o regime anterior, em que a totalidade da pensão (100%) era rateada entre os dependentes, de modo que a saída de um dependente acarretava aumento proporcional da cota dos remanescentes. No regime da EC n. 103/2019, a saída de um dependente reduz o valor global da pensão.</w:t>
      </w:r>
    </w:p>
    <w:p w14:paraId="3819E1BD" w14:textId="77777777" w:rsidR="005A5FCC" w:rsidRDefault="00A21C81">
      <w:pPr>
        <w:ind w:firstLine="238"/>
      </w:pPr>
      <w:r>
        <w:rPr>
          <w:rFonts w:cs="EB Garamond"/>
          <w:kern w:val="16"/>
          <w14:ligatures w14:val="standardContextual"/>
        </w:rPr>
        <w:t>A exceção é a hipótese de cinco ou mais dependentes: quando o número de dependentes remanescentes for igual ou superior a cinco, o valor da pensão é mantido em 100%, independentemente da saída de dependentes. A regra visa proteger famílias numerosas, nas quais a redução proporcional geraria valores individuais irrisórios.</w:t>
      </w:r>
    </w:p>
    <w:p w14:paraId="53F5D1C9" w14:textId="77777777" w:rsidR="005A5FCC" w:rsidRDefault="00A21C81">
      <w:pPr>
        <w:ind w:firstLine="238"/>
      </w:pPr>
      <w:r>
        <w:rPr>
          <w:rFonts w:cs="EB Garamond"/>
          <w:kern w:val="16"/>
          <w14:ligatures w14:val="standardContextual"/>
        </w:rPr>
        <w:t>A não reversibilidade é objeto de crítica doutrinária relevante. Sustenta que a EC n. 103/2019 não proibiu expressamente a reversão, mas apenas estabeleceu que as cotas cessam com a perda da qualidade de dependente. A cessação da cota, nessa leitura, refere-se à cota do dependente que perdeu a qualidade, não impedindo que o legislador ordinário estabeleça regra de reversão. Entendemos, porém, que a literalidade do dispositivo ("não serão reversíveis") é inequívoca e afasta interpretação extensiva em favor da reversibilidade.</w:t>
      </w:r>
    </w:p>
    <w:p w14:paraId="187DDE25" w14:textId="3EAB9C4E"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 xml:space="preserve">19.22 Piso da pensão por morte: garantia do </w:t>
      </w:r>
      <w:r w:rsidR="00A7412F">
        <w:rPr>
          <w:rFonts w:cs="EB Garamond"/>
          <w:b/>
          <w:color w:val="3A3128"/>
          <w:kern w:val="16"/>
          <w:sz w:val="31"/>
          <w14:ligatures w14:val="standardContextual"/>
        </w:rPr>
        <w:t>salário-mínimo</w:t>
      </w:r>
    </w:p>
    <w:p w14:paraId="2FBFE7E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7030D7DE" w14:textId="5F976E38" w:rsidR="005A5FCC" w:rsidRDefault="00A21C81">
      <w:r>
        <w:rPr>
          <w:rFonts w:cs="EB Garamond"/>
          <w:kern w:val="16"/>
          <w14:ligatures w14:val="standardContextual"/>
        </w:rPr>
        <w:t xml:space="preserve"> art. 23, § 2º, da EC n. 103/2019 estabelece que, quando a pensão por morte for a única fonte de renda formal do dependente, seu valor não poderá ser inferior ao </w:t>
      </w:r>
      <w:r w:rsidR="00A7412F">
        <w:rPr>
          <w:rFonts w:cs="EB Garamond"/>
          <w:kern w:val="16"/>
          <w14:ligatures w14:val="standardContextual"/>
        </w:rPr>
        <w:t>salário-mínimo</w:t>
      </w:r>
      <w:r>
        <w:rPr>
          <w:rFonts w:cs="EB Garamond"/>
          <w:kern w:val="16"/>
          <w14:ligatures w14:val="standardContextual"/>
        </w:rPr>
        <w:t>. Essa garantia constitui salvaguarda essencial contra a redução excessiva que o sistema de cotas pode gerar.</w:t>
      </w:r>
    </w:p>
    <w:p w14:paraId="1CD65404" w14:textId="6A809E45" w:rsidR="005A5FCC" w:rsidRDefault="00A21C81">
      <w:pPr>
        <w:ind w:firstLine="238"/>
      </w:pPr>
      <w:r>
        <w:rPr>
          <w:rFonts w:cs="EB Garamond"/>
          <w:kern w:val="16"/>
          <w14:ligatures w14:val="standardContextual"/>
        </w:rPr>
        <w:lastRenderedPageBreak/>
        <w:t xml:space="preserve">A garantia do piso de </w:t>
      </w:r>
      <w:r w:rsidR="00A7412F">
        <w:rPr>
          <w:rFonts w:cs="EB Garamond"/>
          <w:kern w:val="16"/>
          <w14:ligatures w14:val="standardContextual"/>
        </w:rPr>
        <w:t>salário-mínimo</w:t>
      </w:r>
      <w:r>
        <w:rPr>
          <w:rFonts w:cs="EB Garamond"/>
          <w:kern w:val="16"/>
          <w14:ligatures w14:val="standardContextual"/>
        </w:rPr>
        <w:t xml:space="preserve"> é condicionada: aplica-se apenas quando a pensão por morte for a "única fonte de renda formal" do dependente. Se o dependente possui outra fonte de renda formal (aposentadoria própria, emprego com carteira assinada, outro benefício previdenciário), a pensão por morte pode ser inferior ao </w:t>
      </w:r>
      <w:r w:rsidR="00A7412F">
        <w:rPr>
          <w:rFonts w:cs="EB Garamond"/>
          <w:kern w:val="16"/>
          <w14:ligatures w14:val="standardContextual"/>
        </w:rPr>
        <w:t>salário-mínimo</w:t>
      </w:r>
      <w:r>
        <w:rPr>
          <w:rFonts w:cs="EB Garamond"/>
          <w:kern w:val="16"/>
          <w14:ligatures w14:val="standardContextual"/>
        </w:rPr>
        <w:t>. A expressão "renda formal" exclui rendas informais (trabalho sem carteira, bicos, ajuda de familiares) do cálculo, de modo que um dependente sem renda formal que exerça atividade informal terá direito ao piso.</w:t>
      </w:r>
    </w:p>
    <w:p w14:paraId="6561D460" w14:textId="5BE4D6DA" w:rsidR="005A5FCC" w:rsidRDefault="00A21C81">
      <w:pPr>
        <w:ind w:firstLine="238"/>
      </w:pPr>
      <w:r>
        <w:rPr>
          <w:rFonts w:cs="EB Garamond"/>
          <w:kern w:val="16"/>
          <w14:ligatures w14:val="standardContextual"/>
        </w:rPr>
        <w:t xml:space="preserve">A aplicação prática da garantia exige a verificação individualizada de cada dependente. Em pensão rateada entre múltiplos dependentes, a garantia do piso aplica-se a cada cota individual: se a cota individual de um dependente sem outra renda formal for inferior ao </w:t>
      </w:r>
      <w:r w:rsidR="00A7412F">
        <w:rPr>
          <w:rFonts w:cs="EB Garamond"/>
          <w:kern w:val="16"/>
          <w14:ligatures w14:val="standardContextual"/>
        </w:rPr>
        <w:t>salário-mínimo</w:t>
      </w:r>
      <w:r>
        <w:rPr>
          <w:rFonts w:cs="EB Garamond"/>
          <w:kern w:val="16"/>
          <w14:ligatures w14:val="standardContextual"/>
        </w:rPr>
        <w:t>, ela é elevada ao piso. Essa elevação pode resultar em valor global da pensão superior ao calculado pelo sistema de cotas, pois a garantia do piso prevalece sobre a fórmula de cálculo.</w:t>
      </w:r>
    </w:p>
    <w:tbl>
      <w:tblPr>
        <w:tblW w:w="5000" w:type="pct"/>
        <w:jc w:val="center"/>
        <w:tblLayout w:type="fixed"/>
        <w:tblLook w:val="04A0" w:firstRow="1" w:lastRow="0" w:firstColumn="1" w:lastColumn="0" w:noHBand="0" w:noVBand="1"/>
      </w:tblPr>
      <w:tblGrid>
        <w:gridCol w:w="6311"/>
      </w:tblGrid>
      <w:tr w:rsidR="005A5FCC" w14:paraId="3030A9A7"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751D462E"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7F1A54B5" w14:textId="3E41B79B" w:rsidR="005A5FCC" w:rsidRDefault="00A21C81">
            <w:pPr>
              <w:spacing w:after="60" w:line="247" w:lineRule="auto"/>
            </w:pPr>
            <w:r>
              <w:rPr>
                <w:rFonts w:cs="EB Garamond"/>
                <w:kern w:val="16"/>
                <w:sz w:val="19"/>
                <w14:ligatures w14:val="standardContextual"/>
              </w:rPr>
              <w:t xml:space="preserve">Ao calcular a pensão por morte sob o regime da EC 103/2019, o advogado deve verificar se cada dependente possui outra fonte de renda formal. Se o dependente é cônjuge sem emprego formal e sem aposentadoria própria, a pensão não poderá ser inferior ao </w:t>
            </w:r>
            <w:r w:rsidR="00A7412F">
              <w:rPr>
                <w:rFonts w:cs="EB Garamond"/>
                <w:kern w:val="16"/>
                <w:sz w:val="19"/>
                <w14:ligatures w14:val="standardContextual"/>
              </w:rPr>
              <w:t>salário-mínimo</w:t>
            </w:r>
            <w:r>
              <w:rPr>
                <w:rFonts w:cs="EB Garamond"/>
                <w:kern w:val="16"/>
                <w:sz w:val="19"/>
                <w14:ligatures w14:val="standardContextual"/>
              </w:rPr>
              <w:t xml:space="preserve">, mesmo que a aplicação do sistema de cotas resulte em valor menor. Se o cônjuge recebe aposentadoria própria de valor mínimo, a pensão por morte pode ser inferior ao </w:t>
            </w:r>
            <w:r w:rsidR="00A7412F">
              <w:rPr>
                <w:rFonts w:cs="EB Garamond"/>
                <w:kern w:val="16"/>
                <w:sz w:val="19"/>
                <w14:ligatures w14:val="standardContextual"/>
              </w:rPr>
              <w:t>salário-mínimo</w:t>
            </w:r>
            <w:r>
              <w:rPr>
                <w:rFonts w:cs="EB Garamond"/>
                <w:kern w:val="16"/>
                <w:sz w:val="19"/>
                <w14:ligatures w14:val="standardContextual"/>
              </w:rPr>
              <w:t>, pois não é a única fonte de renda formal. A verificação é individual e dinâmica — a superveniência de renda formal pode afetar a garantia do piso.</w:t>
            </w:r>
          </w:p>
        </w:tc>
      </w:tr>
    </w:tbl>
    <w:p w14:paraId="55E935EC" w14:textId="77777777" w:rsidR="005A5FCC" w:rsidRDefault="005A5FCC">
      <w:pPr>
        <w:spacing w:after="80" w:line="240" w:lineRule="auto"/>
      </w:pPr>
    </w:p>
    <w:p w14:paraId="6EC678CC"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19.23 Duração da pensão por morte para cônjuge ou companheiro(a)</w:t>
      </w:r>
    </w:p>
    <w:p w14:paraId="4F1510B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762DFD09" w14:textId="77777777" w:rsidR="005A5FCC" w:rsidRDefault="00A21C81">
      <w:r>
        <w:rPr>
          <w:rFonts w:cs="EB Garamond"/>
          <w:kern w:val="16"/>
          <w14:ligatures w14:val="standardContextual"/>
        </w:rPr>
        <w:t xml:space="preserve"> duração da pensão por morte devida ao cônjuge ou companheiro(a) varia conforme a idade do beneficiário na data do óbito e o cumprimento de requisitos temporais. A Lei n. 13.135/2015 introduziu a temporariedade da pensão para o cônjuge, superando o regime anterior de pensão vitalícia.</w:t>
      </w:r>
    </w:p>
    <w:p w14:paraId="5D513EF3" w14:textId="77777777" w:rsidR="005A5FCC" w:rsidRDefault="00A21C81">
      <w:pPr>
        <w:ind w:firstLine="238"/>
      </w:pPr>
      <w:r>
        <w:rPr>
          <w:rFonts w:cs="EB Garamond"/>
          <w:kern w:val="16"/>
          <w14:ligatures w14:val="standardContextual"/>
        </w:rPr>
        <w:lastRenderedPageBreak/>
        <w:t>A duração é determinada em duas etapas. Na primeira, verifica-se se o segurado falecido verteu ao menos 18 contribuições mensais ao RGPS e se o casamento ou a união estável tinha pelo menos dois anos na data do óbito. Se qualquer dessas condições não estiver cumprida, a pensão terá duração de apenas quatro meses, salvo se o óbito decorreu de acidente (caso em que a duração segue a tabela por idade, independentemente das contribuições e do tempo de casamento/união).</w:t>
      </w:r>
    </w:p>
    <w:p w14:paraId="10E8D3B6" w14:textId="77777777" w:rsidR="005A5FCC" w:rsidRDefault="00A21C81">
      <w:pPr>
        <w:ind w:firstLine="238"/>
      </w:pPr>
      <w:r>
        <w:rPr>
          <w:rFonts w:cs="EB Garamond"/>
          <w:kern w:val="16"/>
          <w14:ligatures w14:val="standardContextual"/>
        </w:rPr>
        <w:t>Na segunda etapa, cumpridas as duas condições (18 contribuições e dois anos de casamento/união), a duração é fixada conforme a idade do cônjuge ou companheiro na data do óbito, seguindo a tabela do art. 77, § 2º, V, "c", da Lei n. 8.213/91 (com prazos atualizados periodicamente por portaria ministerial conforme a expectativa de sobrevida calculada pelo IBGE). A tabela vigente a partir de 01/01/2021 prevê: menos de 22 anos, 3 anos; entre 22 e 27 anos, 6 anos; entre 28 e 30 anos, 10 anos; entre 31 e 41 anos, 15 anos; entre 42 e 44 anos, 20 anos; 45 anos ou mais, vitalícia.</w:t>
      </w:r>
    </w:p>
    <w:p w14:paraId="4F0EA204" w14:textId="77777777" w:rsidR="005A5FCC" w:rsidRDefault="00A21C81">
      <w:pPr>
        <w:ind w:firstLine="238"/>
      </w:pPr>
      <w:r>
        <w:rPr>
          <w:rFonts w:cs="EB Garamond"/>
          <w:kern w:val="16"/>
          <w14:ligatures w14:val="standardContextual"/>
        </w:rPr>
        <w:t>A pensão vitalícia ao cônjuge ou companheiro, portanto, somente é assegurada quando o beneficiário tiver 45 anos ou mais na data do óbito do segurado, cumulativamente com o cumprimento das 18 contribuições e dos dois anos de casamento/união. Para beneficiários mais jovens, a pensão tem duração determinada, que pode variar de três a 20 anos.</w:t>
      </w:r>
    </w:p>
    <w:tbl>
      <w:tblPr>
        <w:tblW w:w="5000" w:type="pct"/>
        <w:jc w:val="center"/>
        <w:tblLayout w:type="fixed"/>
        <w:tblLook w:val="04A0" w:firstRow="1" w:lastRow="0" w:firstColumn="1" w:lastColumn="0" w:noHBand="0" w:noVBand="1"/>
      </w:tblPr>
      <w:tblGrid>
        <w:gridCol w:w="6311"/>
      </w:tblGrid>
      <w:tr w:rsidR="005A5FCC" w14:paraId="0ADF126D"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7F6A566E"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2D82B824" w14:textId="77777777" w:rsidR="005A5FCC" w:rsidRDefault="00A21C81">
            <w:pPr>
              <w:spacing w:after="60" w:line="247" w:lineRule="auto"/>
            </w:pPr>
            <w:r>
              <w:rPr>
                <w:rFonts w:cs="EB Garamond"/>
                <w:kern w:val="16"/>
                <w:sz w:val="19"/>
                <w14:ligatures w14:val="standardContextual"/>
              </w:rPr>
              <w:t>A tabela de duração da pensão por morte para cônjuge/companheiro(a) é atualizada periodicamente por portaria ministerial, conforme a tábua de mortalidade do IBGE. O prazo vigente na data do óbito do segurado é o que se aplica — eventuais alterações posteriores não retroagem para benefícios já concedidos. O advogado deve verificar a tabela vigente na data do óbito para determinar a duração aplicável ao caso concreto. A confusão entre as tabelas vigentes em diferentes períodos é fonte de erros no cálculo da duração.</w:t>
            </w:r>
          </w:p>
        </w:tc>
      </w:tr>
    </w:tbl>
    <w:p w14:paraId="2AD28ECE" w14:textId="77777777" w:rsidR="005A5FCC" w:rsidRDefault="005A5FCC">
      <w:pPr>
        <w:spacing w:after="80" w:line="240" w:lineRule="auto"/>
      </w:pPr>
    </w:p>
    <w:p w14:paraId="6ABD38F2"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783E7A05" w14:textId="77777777" w:rsidR="005A5FCC" w:rsidRDefault="00A21C81">
      <w:r>
        <w:rPr>
          <w:rFonts w:cs="EB Garamond"/>
          <w:kern w:val="16"/>
          <w14:ligatures w14:val="standardContextual"/>
        </w:rPr>
        <w:t xml:space="preserve"> exceção à temporariedade alcança o cônjuge ou companheiro inválido ou com deficiência. O dependente que, na data do óbito do segurado, era in</w:t>
      </w:r>
      <w:r>
        <w:rPr>
          <w:rFonts w:cs="EB Garamond"/>
          <w:kern w:val="16"/>
          <w14:ligatures w14:val="standardContextual"/>
        </w:rPr>
        <w:lastRenderedPageBreak/>
        <w:t>válido ou possuía deficiência intelectual, mental ou grave tem direito à pensão enquanto perdurar a condição, independentemente da idade. A invalidez ou deficiência deve ser comprovada por perícia médica, e a cessação da condição acarreta a cessação do benefício.</w:t>
      </w:r>
    </w:p>
    <w:p w14:paraId="0FDC176B"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19.24 Duração para filhos e demais dependentes</w:t>
      </w:r>
    </w:p>
    <w:p w14:paraId="097B1241"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51780BCC" w14:textId="77777777" w:rsidR="005A5FCC" w:rsidRDefault="00A21C81">
      <w:r>
        <w:rPr>
          <w:rFonts w:cs="EB Garamond"/>
          <w:kern w:val="16"/>
          <w14:ligatures w14:val="standardContextual"/>
        </w:rPr>
        <w:t xml:space="preserve"> duração da pensão por morte para filhos segue regra própria, vinculada à idade e à condição de emancipação. A pensão é devida até que o filho complete 21 anos ou até a emancipação, o que ocorrer primeiro. Não há extensão para filhos universitários no RGPS.</w:t>
      </w:r>
    </w:p>
    <w:p w14:paraId="05697631" w14:textId="77777777" w:rsidR="005A5FCC" w:rsidRDefault="00A21C81">
      <w:pPr>
        <w:ind w:firstLine="238"/>
      </w:pPr>
      <w:r>
        <w:rPr>
          <w:rFonts w:cs="EB Garamond"/>
          <w:kern w:val="16"/>
          <w14:ligatures w14:val="standardContextual"/>
        </w:rPr>
        <w:t>Para filhos inválidos ou com deficiência intelectual, mental ou grave, a pensão é vitalícia, desde que a condição seja anterior ao óbito do segurado e persista ao longo do tempo. A cessação da invalidez ou da deficiência, comprovada por perícia médica, acarreta a cessação do benefício. A revisão periódica da condição de invalidez é prerrogativa do INSS, que pode convocar o dependente para reavaliação pericial.</w:t>
      </w:r>
    </w:p>
    <w:p w14:paraId="39E7EA8D" w14:textId="77777777" w:rsidR="005A5FCC" w:rsidRDefault="00A21C81">
      <w:pPr>
        <w:ind w:firstLine="238"/>
      </w:pPr>
      <w:r>
        <w:rPr>
          <w:rFonts w:cs="EB Garamond"/>
          <w:kern w:val="16"/>
          <w14:ligatures w14:val="standardContextual"/>
        </w:rPr>
        <w:t>Para os dependentes das Classes II e III (pais e irmãos), a duração segue as mesmas regras: pais recebem a pensão enquanto viverem (não há limite de idade para pais); irmãos recebem até completar 21 anos ou até a emancipação, exceto se inválidos ou com deficiência, caso em que a pensão é mantida enquanto perdurar a condição.</w:t>
      </w:r>
    </w:p>
    <w:p w14:paraId="111DF845" w14:textId="77777777" w:rsidR="005A5FCC" w:rsidRDefault="00A21C81">
      <w:pPr>
        <w:ind w:firstLine="238"/>
      </w:pPr>
      <w:r>
        <w:rPr>
          <w:rFonts w:cs="EB Garamond"/>
          <w:kern w:val="16"/>
          <w14:ligatures w14:val="standardContextual"/>
        </w:rPr>
        <w:t>A cessação da cota individual de um dependente, no regime da EC n. 103/2019, não é revertida aos demais. A consequência prática é que a pensão concedida a cônjuge e filho menor reduz-se quando o filho completa 21 anos: a cota do filho (10%) é extinta, e a pensão do cônjuge permanece no valor da cota familiar (50%) acrescida apenas de sua própria cota individual (10%), totalizando 60% da base de cálculo.</w:t>
      </w:r>
    </w:p>
    <w:p w14:paraId="45CA28C3" w14:textId="77777777" w:rsidR="005A5FCC" w:rsidRDefault="00A21C81">
      <w:pPr>
        <w:ind w:firstLine="238"/>
      </w:pPr>
      <w:r>
        <w:rPr>
          <w:rFonts w:cs="EB Garamond"/>
          <w:kern w:val="16"/>
          <w14:ligatures w14:val="standardContextual"/>
        </w:rPr>
        <w:t xml:space="preserve">A diferença entre os dois regimes é substancial. No regime anterior à EC n. 103/2019, quando o filho completava 21 anos, sua cota era revertida ao cônjuge sobrevivente, que passava a receber 100% da pensão. No regime atual, o cônjuge que rateava a pensão com o filho menor verá sua renda previdenciária reduzida </w:t>
      </w:r>
      <w:r>
        <w:rPr>
          <w:rFonts w:cs="EB Garamond"/>
          <w:kern w:val="16"/>
          <w14:ligatures w14:val="standardContextual"/>
        </w:rPr>
        <w:lastRenderedPageBreak/>
        <w:t>quando o filho atingir a maioridade — paradoxo que gera perplexidade, pois o envelhecimento do cônjuge coincide com a diminuição da renda.</w:t>
      </w:r>
    </w:p>
    <w:p w14:paraId="778A956E" w14:textId="77777777" w:rsidR="005A5FCC" w:rsidRDefault="00A21C81">
      <w:pPr>
        <w:ind w:firstLine="238"/>
      </w:pPr>
      <w:r>
        <w:rPr>
          <w:rFonts w:cs="EB Garamond"/>
          <w:kern w:val="16"/>
          <w14:ligatures w14:val="standardContextual"/>
        </w:rPr>
        <w:t>A duração da pensão para dependentes de Classe II (pais) é vitalícia. Os pais que se habilitam como dependentes do segurado falecido recebem a pensão enquanto viverem, sem qualquer limitação temporal. Diferentemente do cônjuge ou companheiro, cujo benefício pode ter duração determinada conforme a idade, os pais não se submetem à tabela de temporariedade. O falecimento de um dos pais beneficiários, porém, extingue sua cota individual, sem reversão ao genitor sobrevivente no regime da EC n. 103/2019.</w:t>
      </w:r>
    </w:p>
    <w:p w14:paraId="1A939FF0" w14:textId="77777777" w:rsidR="005A5FCC" w:rsidRDefault="00A21C81">
      <w:pPr>
        <w:ind w:firstLine="238"/>
      </w:pPr>
      <w:r>
        <w:rPr>
          <w:rFonts w:cs="EB Garamond"/>
          <w:kern w:val="16"/>
          <w14:ligatures w14:val="standardContextual"/>
        </w:rPr>
        <w:t>Para dependentes da Classe III (irmãos), a duração segue estritamente as regras da filiação: cessação aos 21 anos ou com emancipação, salvo invalidez ou deficiência preexistente ao óbito. O irmão menor que perde a condição de dependente aos 21 anos tem sua cota extinta, sem reversão aos demais irmãos ou a quaisquer outros dependentes habilitados na mesma classe.</w:t>
      </w:r>
    </w:p>
    <w:p w14:paraId="2C6B8125"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19.25 Cessação e perda do direito à pensão</w:t>
      </w:r>
    </w:p>
    <w:p w14:paraId="334642CE"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297DB4ED" w14:textId="77777777" w:rsidR="005A5FCC" w:rsidRDefault="00A21C81">
      <w:r>
        <w:rPr>
          <w:rFonts w:cs="EB Garamond"/>
          <w:kern w:val="16"/>
          <w14:ligatures w14:val="standardContextual"/>
        </w:rPr>
        <w:t xml:space="preserve"> pensão por morte cessa em diversas hipóteses previstas no art. 77 da Lei n. 8.213/91 e no art. 74, § 1º. As hipóteses de cessação podem ser classificadas em cessação da cota individual (que mantém a pensão para os demais dependentes) e cessação total do benefício (quando não há mais dependentes habilitados).</w:t>
      </w:r>
    </w:p>
    <w:p w14:paraId="5692A4A3" w14:textId="77777777" w:rsidR="005A5FCC" w:rsidRDefault="00A21C81">
      <w:pPr>
        <w:ind w:firstLine="238"/>
      </w:pPr>
      <w:r>
        <w:rPr>
          <w:rFonts w:cs="EB Garamond"/>
          <w:kern w:val="16"/>
          <w14:ligatures w14:val="standardContextual"/>
        </w:rPr>
        <w:t>A cessação da cota individual ocorre quando: (a) o cônjuge ou companheiro atinge o termo final da duração prevista na tabela (3, 6, 10, 15 ou 20 anos); (b) o filho completa 21 anos ou é emancipado; (c) o dependente inválido recupera a capacidade laborativa; (d) o dependente com deficiência tem a condição cessada por avaliação pericial; (e) o dependente falece; (f) o cônjuge ou companheiro contrai novo casamento ou constitui nova união estável (exceto se inválido ou com deficiência, hipótese em que a pensão é mantida).</w:t>
      </w:r>
    </w:p>
    <w:p w14:paraId="52C2F86D" w14:textId="77777777" w:rsidR="005A5FCC" w:rsidRDefault="00A21C81">
      <w:pPr>
        <w:ind w:firstLine="238"/>
      </w:pPr>
      <w:r>
        <w:rPr>
          <w:rFonts w:cs="EB Garamond"/>
          <w:kern w:val="16"/>
          <w14:ligatures w14:val="standardContextual"/>
        </w:rPr>
        <w:t xml:space="preserve">A perda do direito à pensão por morte está prevista no art. 74, § 1º, da Lei n. 8.213/91 (incluído pela Lei n. 13.135/2015): perde o direito à pensão "o condenado criminalmente por sentença com trânsito em julgado, como autor, coautor </w:t>
      </w:r>
      <w:r>
        <w:rPr>
          <w:rFonts w:cs="EB Garamond"/>
          <w:kern w:val="16"/>
          <w14:ligatures w14:val="standardContextual"/>
        </w:rPr>
        <w:lastRenderedPageBreak/>
        <w:t>ou partícipe de homicídio doloso, ou de tentativa desse crime, cometido contra a pessoa do segurado, ressalvados os absolutamente incapazes e os inimputáveis." A exclusão é penal, não civil: exige condenação criminal transitada em julgado, e não mera imputação ou indiciamento.</w:t>
      </w:r>
    </w:p>
    <w:tbl>
      <w:tblPr>
        <w:tblW w:w="5000" w:type="pct"/>
        <w:jc w:val="center"/>
        <w:tblLayout w:type="fixed"/>
        <w:tblLook w:val="04A0" w:firstRow="1" w:lastRow="0" w:firstColumn="1" w:lastColumn="0" w:noHBand="0" w:noVBand="1"/>
      </w:tblPr>
      <w:tblGrid>
        <w:gridCol w:w="6311"/>
      </w:tblGrid>
      <w:tr w:rsidR="005A5FCC" w14:paraId="7083425B"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1CC14711" w14:textId="77777777" w:rsidR="005A5FCC" w:rsidRDefault="00A21C81">
            <w:pPr>
              <w:spacing w:after="60" w:line="240" w:lineRule="auto"/>
              <w:jc w:val="left"/>
            </w:pPr>
            <w:r>
              <w:rPr>
                <w:rFonts w:ascii="Noto Sans" w:hAnsi="Noto Sans" w:cs="Noto Sans"/>
                <w:b/>
                <w:caps/>
                <w:color w:val="4D6F8A"/>
                <w:kern w:val="16"/>
                <w:sz w:val="16"/>
                <w14:ligatures w14:val="standardContextual"/>
              </w:rPr>
              <w:t>JURISPRUDÊNCIA EM DESTAQUE</w:t>
            </w:r>
          </w:p>
          <w:p w14:paraId="3DD00602" w14:textId="77777777" w:rsidR="005A5FCC" w:rsidRDefault="00A21C81">
            <w:pPr>
              <w:spacing w:after="60" w:line="247" w:lineRule="auto"/>
            </w:pPr>
            <w:r>
              <w:rPr>
                <w:rFonts w:cs="EB Garamond"/>
                <w:b/>
                <w:kern w:val="16"/>
                <w:sz w:val="19"/>
                <w14:ligatures w14:val="standardContextual"/>
              </w:rPr>
              <w:t>Lei n. 13.135/2015, art. 74, § 1º</w:t>
            </w:r>
            <w:r>
              <w:rPr>
                <w:rFonts w:cs="EB Garamond"/>
                <w:kern w:val="16"/>
                <w:sz w:val="19"/>
                <w14:ligatures w14:val="standardContextual"/>
              </w:rPr>
              <w:t>: A perda do direito à pensão por condenação criminal por homicídio doloso contra o segurado aplica-se apenas após o trânsito em julgado da sentença penal condenatória. Enquanto pendente a ação penal, o dependente mantém o direito ao benefício. O INSS não pode suspender ou cessar a pensão com base em mera acusação, indiciamento ou até mesmo condenação em primeira instância. A exceção para absolutamente incapazes e inimputáveis preserva o direito à pensão mesmo em caso de condenação, quando o dependente não possui discernimento para responder penalmente.</w:t>
            </w:r>
          </w:p>
        </w:tc>
      </w:tr>
    </w:tbl>
    <w:p w14:paraId="76958FC5" w14:textId="77777777" w:rsidR="005A5FCC" w:rsidRDefault="005A5FCC">
      <w:pPr>
        <w:spacing w:after="80" w:line="240" w:lineRule="auto"/>
      </w:pPr>
    </w:p>
    <w:p w14:paraId="62B97C5D"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00E4E91C" w14:textId="77777777" w:rsidR="005A5FCC" w:rsidRDefault="00A21C81">
      <w:r>
        <w:rPr>
          <w:rFonts w:cs="EB Garamond"/>
          <w:kern w:val="16"/>
          <w14:ligatures w14:val="standardContextual"/>
        </w:rPr>
        <w:t xml:space="preserve"> simulação ou fraude na obtenção da pensão por morte (casamento ou união estável de conveniência, falsificação de documentos, ocultação de óbito) constitui crime (art. 171, § 3º, CP, ou art. 299, CP) e acarreta o cancelamento do benefício com devolução dos valores recebidos, além de responsabilização criminal.</w:t>
      </w:r>
    </w:p>
    <w:p w14:paraId="68CF8B2C"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19.26 Pensão por morte e filho inválido ou com deficiência</w:t>
      </w:r>
    </w:p>
    <w:p w14:paraId="7D1AF312"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0DEBE7E9" w14:textId="77777777" w:rsidR="005A5FCC" w:rsidRDefault="00A21C81">
      <w:r>
        <w:rPr>
          <w:rFonts w:cs="EB Garamond"/>
          <w:kern w:val="16"/>
          <w14:ligatures w14:val="standardContextual"/>
        </w:rPr>
        <w:t xml:space="preserve"> situação do filho inválido ou com deficiência como dependente da pensão por morte merece tratamento específico pela frequência com que surge nos JEFs e pelas particularidades probatórias envolvidas.</w:t>
      </w:r>
    </w:p>
    <w:p w14:paraId="2E2C9E8D" w14:textId="77777777" w:rsidR="005A5FCC" w:rsidRDefault="00A21C81">
      <w:pPr>
        <w:ind w:firstLine="238"/>
      </w:pPr>
      <w:r>
        <w:rPr>
          <w:rFonts w:cs="EB Garamond"/>
          <w:kern w:val="16"/>
          <w14:ligatures w14:val="standardContextual"/>
        </w:rPr>
        <w:t>O filho inválido ou com deficiência intelectual, mental ou grave mantém a condição de dependente sem limite de idade, desde que a invalidez ou deficiência seja anterior ao óbito do segurado. A condição deve existir na data do falecimento, embora possa ter surgido em qualquer momento da vida do dependente (na infância, na adolescência ou na vida adulta), desde que antes do óbito.</w:t>
      </w:r>
    </w:p>
    <w:p w14:paraId="00CB56F3" w14:textId="77777777" w:rsidR="005A5FCC" w:rsidRDefault="00A21C81">
      <w:pPr>
        <w:ind w:firstLine="238"/>
      </w:pPr>
      <w:r>
        <w:rPr>
          <w:rFonts w:cs="EB Garamond"/>
          <w:kern w:val="16"/>
          <w14:ligatures w14:val="standardContextual"/>
        </w:rPr>
        <w:lastRenderedPageBreak/>
        <w:t>A invalidez, para fins de pensão por morte, é a incapacidade total e permanente para o exercício de atividade remunerada. Diferencia-se da incapacidade parcial (que pode dar ensejo a auxílio-acidente, mas não à manutenção da pensão por morte além dos 21 anos) e da incapacidade temporária (que, por definição, não é permanente). A avaliação da invalidez deve considerar as condições pessoais do dependente (idade, escolaridade, qualificação profissional, condições sociais), aplicando-se por analogia os critérios da Súmula 47 da TNU sobre a análise das condições pessoais na aferição da incapacidade.</w:t>
      </w:r>
    </w:p>
    <w:p w14:paraId="13D365F2" w14:textId="77777777" w:rsidR="005A5FCC" w:rsidRDefault="00A21C81">
      <w:pPr>
        <w:ind w:firstLine="238"/>
      </w:pPr>
      <w:r>
        <w:rPr>
          <w:rFonts w:cs="EB Garamond"/>
          <w:kern w:val="16"/>
          <w14:ligatures w14:val="standardContextual"/>
        </w:rPr>
        <w:t>A deficiência intelectual, mental ou grave segue os critérios da Lei n. 13.146/2015 (Estatuto da Pessoa com Deficiência) e deve ser avaliada pelo modelo biopsicossocial. A deficiência grave é aquela que impede ou restringe significativamente a participação social e laborativa do dependente, em interação com as barreiras ambientais e sociais.</w:t>
      </w:r>
    </w:p>
    <w:p w14:paraId="2FFABB33" w14:textId="77777777" w:rsidR="005A5FCC" w:rsidRDefault="00A21C81">
      <w:pPr>
        <w:ind w:firstLine="238"/>
      </w:pPr>
      <w:r>
        <w:rPr>
          <w:rFonts w:cs="EB Garamond"/>
          <w:kern w:val="16"/>
          <w14:ligatures w14:val="standardContextual"/>
        </w:rPr>
        <w:t>A prova pericial é indispensável para a comprovação da invalidez ou deficiência do filho dependente. A perícia deve atestar: (a) a existência da condição; (b) a data de início (se anterior ao óbito); (c) o caráter permanente da limitação; e (d) o impacto na capacidade laborativa e na participação social. A retroação da data de início à época anterior ao óbito é elemento central, e o perito deve ser expressamente instado a pronunciar-se sobre esse ponto.</w:t>
      </w:r>
    </w:p>
    <w:tbl>
      <w:tblPr>
        <w:tblW w:w="5000" w:type="pct"/>
        <w:jc w:val="center"/>
        <w:tblLayout w:type="fixed"/>
        <w:tblLook w:val="04A0" w:firstRow="1" w:lastRow="0" w:firstColumn="1" w:lastColumn="0" w:noHBand="0" w:noVBand="1"/>
      </w:tblPr>
      <w:tblGrid>
        <w:gridCol w:w="6311"/>
      </w:tblGrid>
      <w:tr w:rsidR="005A5FCC" w14:paraId="6F17C6A0"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40EC610A"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4753A618" w14:textId="77777777" w:rsidR="005A5FCC" w:rsidRDefault="00A21C81">
            <w:pPr>
              <w:spacing w:after="60" w:line="247" w:lineRule="auto"/>
            </w:pPr>
            <w:r>
              <w:rPr>
                <w:rFonts w:cs="EB Garamond"/>
                <w:kern w:val="16"/>
                <w:sz w:val="19"/>
                <w14:ligatures w14:val="standardContextual"/>
              </w:rPr>
              <w:t>Na defesa judicial do direito à pensão por morte do filho inválido, o advogado deve reunir: (a) laudos médicos que demonstrem a existência da condição invalidante antes do óbito do segurado (relatórios de internação, atestados médicos, receitas de medicação de uso contínuo); (b) documentos que comprovem a dependência econômica em relação ao segurado (especialmente relevante quando o INSS alegar renda própria do filho); (c) quesitos periciais que indaguem expressamente sobre a data de início da invalidez e sua relação temporal com o óbito do segurado. A comprovação retrospectiva da invalidez é o ponto crítico da instrução: o perito examina o dependente anos após o óbito e deve pronunciar-se sobre condição que existia (ou não) naquela época.</w:t>
            </w:r>
          </w:p>
        </w:tc>
      </w:tr>
    </w:tbl>
    <w:p w14:paraId="7E2BD524" w14:textId="77777777" w:rsidR="005A5FCC" w:rsidRDefault="005A5FCC">
      <w:pPr>
        <w:spacing w:after="80" w:line="240" w:lineRule="auto"/>
      </w:pPr>
    </w:p>
    <w:p w14:paraId="729CD15E"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19.27 Data de início do benefício (DIB) e efeitos financeiros</w:t>
      </w:r>
    </w:p>
    <w:p w14:paraId="0518F6C4"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29BF7B2C" w14:textId="77777777" w:rsidR="005A5FCC" w:rsidRDefault="00A21C81">
      <w:r>
        <w:rPr>
          <w:rFonts w:cs="EB Garamond"/>
          <w:kern w:val="16"/>
          <w14:ligatures w14:val="standardContextual"/>
        </w:rPr>
        <w:t xml:space="preserve"> fixação da data de início do benefício (DIB) na pensão por morte segue regras específicas previstas no art. 74 da Lei n. 8.213/91, que variam conforme o momento do requerimento e a condição do dependente.</w:t>
      </w:r>
    </w:p>
    <w:p w14:paraId="31E502C7" w14:textId="77777777" w:rsidR="005A5FCC" w:rsidRDefault="00A21C81">
      <w:pPr>
        <w:ind w:firstLine="238"/>
      </w:pPr>
      <w:r>
        <w:rPr>
          <w:rFonts w:cs="EB Garamond"/>
          <w:kern w:val="16"/>
          <w14:ligatures w14:val="standardContextual"/>
        </w:rPr>
        <w:t>A regra geral é a seguinte: a pensão por morte é devida a contar da data do óbito, quando requerida em até 90 dias após o falecimento (prazo fixado pela Lei n. 13.183/2015, que ampliou o prazo original de 30 dias). Se o requerimento for apresentado após 90 dias, a pensão é devida a partir da data do requerimento, perdendo-se as parcelas entre o óbito e o requerimento.</w:t>
      </w:r>
    </w:p>
    <w:p w14:paraId="39A8642F" w14:textId="77777777" w:rsidR="005A5FCC" w:rsidRDefault="00A21C81">
      <w:pPr>
        <w:ind w:firstLine="238"/>
      </w:pPr>
      <w:r>
        <w:rPr>
          <w:rFonts w:cs="EB Garamond"/>
          <w:kern w:val="16"/>
          <w14:ligatures w14:val="standardContextual"/>
        </w:rPr>
        <w:t>Para dependentes menores de 16 anos, absolutamente incapazes ou ausentes (art. 74, I e II), a pensão é devida desde o óbito independentemente da data do requerimento, pois a incapacidade ou impossibilidade de agir do dependente justifica a retroação. O STJ consolidou o entendimento de que o prazo de 90 dias não se aplica a absolutamente incapazes, pois estes não podem ser prejudicados pela inércia de seus representantes legais.</w:t>
      </w:r>
    </w:p>
    <w:tbl>
      <w:tblPr>
        <w:tblW w:w="5000" w:type="pct"/>
        <w:jc w:val="center"/>
        <w:tblLayout w:type="fixed"/>
        <w:tblLook w:val="04A0" w:firstRow="1" w:lastRow="0" w:firstColumn="1" w:lastColumn="0" w:noHBand="0" w:noVBand="1"/>
      </w:tblPr>
      <w:tblGrid>
        <w:gridCol w:w="6311"/>
      </w:tblGrid>
      <w:tr w:rsidR="005A5FCC" w14:paraId="7687A4FD"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0C183B64"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18AB166A" w14:textId="77777777" w:rsidR="005A5FCC" w:rsidRDefault="00A21C81">
            <w:pPr>
              <w:spacing w:after="60" w:line="247" w:lineRule="auto"/>
            </w:pPr>
            <w:r>
              <w:rPr>
                <w:rFonts w:cs="EB Garamond"/>
                <w:kern w:val="16"/>
                <w:sz w:val="19"/>
                <w14:ligatures w14:val="standardContextual"/>
              </w:rPr>
              <w:t>O prazo de 90 dias para requerimento da pensão por morte com retroação à data do óbito (art. 74, I, Lei 8.213/91, com redação da Lei 13.183/2015) aplica-se a óbitos ocorridos a partir de 04/11/2015. Para óbitos anteriores, o prazo era de 30 dias (redação original). Para óbitos anteriores a 11/11/1997 (data da Lei 9.528/97, que introduziu o prazo de 30 dias), não havia prazo — a pensão era devida desde o óbito independentemente do momento do requerimento. O advogado deve atentar para a legislação vigente na data do óbito ao analisar a DIB aplicável.</w:t>
            </w:r>
          </w:p>
        </w:tc>
      </w:tr>
    </w:tbl>
    <w:p w14:paraId="4CD17EDC" w14:textId="77777777" w:rsidR="005A5FCC" w:rsidRDefault="005A5FCC">
      <w:pPr>
        <w:spacing w:after="80" w:line="240" w:lineRule="auto"/>
      </w:pPr>
    </w:p>
    <w:p w14:paraId="1BFCAEFE"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N</w:t>
      </w:r>
    </w:p>
    <w:p w14:paraId="47D1FD6C" w14:textId="77777777" w:rsidR="005A5FCC" w:rsidRDefault="00A21C81">
      <w:r>
        <w:rPr>
          <w:rFonts w:cs="EB Garamond"/>
          <w:kern w:val="16"/>
          <w14:ligatures w14:val="standardContextual"/>
        </w:rPr>
        <w:t>a esfera judicial, a DIB é fixada na data do requerimento administrativo, quando os requisitos já estavam preenchidos naquela data. Se o requerimento administrativo não foi formulado (hipótese excepcional de dispensa), a DIB é fixada na data da citação do INSS. A fixação da DIB na data da sentença é reservada para hipóteses em que os requisitos somente foram comprovados no curso do processo.</w:t>
      </w:r>
    </w:p>
    <w:p w14:paraId="5DF3E615" w14:textId="77777777" w:rsidR="005A5FCC" w:rsidRDefault="00A21C81">
      <w:pPr>
        <w:ind w:firstLine="238"/>
      </w:pPr>
      <w:r>
        <w:rPr>
          <w:rFonts w:cs="EB Garamond"/>
          <w:kern w:val="16"/>
          <w14:ligatures w14:val="standardContextual"/>
        </w:rPr>
        <w:lastRenderedPageBreak/>
        <w:t>As parcelas atrasadas (diferenças entre a DIB e a implantação efetiva) são pagas mediante RPV ou precatório, nos termos da legislação aplicável aos JEFs. A correção monetária segue o INPC até a vigência da EC n. 113/2021, e a taxa SELIC a partir de então.</w:t>
      </w:r>
    </w:p>
    <w:p w14:paraId="70CEA943"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19.28 Habilitação tardia de dependentes</w:t>
      </w:r>
    </w:p>
    <w:p w14:paraId="43407649"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1B06AD9B" w14:textId="77777777" w:rsidR="005A5FCC" w:rsidRDefault="00A21C81">
      <w:r>
        <w:rPr>
          <w:rFonts w:cs="EB Garamond"/>
          <w:kern w:val="16"/>
          <w14:ligatures w14:val="standardContextual"/>
        </w:rPr>
        <w:t xml:space="preserve"> habilitação tardia ocorre quando um dependente requer a inclusão na pensão por morte após o benefício já estar sendo pago a outros dependentes. A hipótese é frequente em situações de concorrência entre cônjuge e companheiro(a), ou quando um dependente desconhecido (filho não registrado, por exemplo) se apresenta após a concessão.</w:t>
      </w:r>
    </w:p>
    <w:p w14:paraId="6A3EDA0A" w14:textId="77777777" w:rsidR="005A5FCC" w:rsidRDefault="00A21C81">
      <w:pPr>
        <w:ind w:firstLine="238"/>
      </w:pPr>
      <w:r>
        <w:rPr>
          <w:rFonts w:cs="EB Garamond"/>
          <w:kern w:val="16"/>
          <w14:ligatures w14:val="standardContextual"/>
        </w:rPr>
        <w:t>O art. 76, caput, da Lei n. 8.213/91 assegura que a concessão da pensão por morte não será protelada pela falta de habilitação de outro possível dependente. Se um dependente se habilita enquanto outros já recebem a pensão, a inclusão opera com rateio a partir da data do requerimento do novo dependente, sem retroação. As parcelas já pagas aos dependentes anteriores não são afetadas.</w:t>
      </w:r>
    </w:p>
    <w:p w14:paraId="083F9D75" w14:textId="77777777" w:rsidR="005A5FCC" w:rsidRDefault="00A21C81">
      <w:pPr>
        <w:ind w:firstLine="238"/>
      </w:pPr>
      <w:r>
        <w:rPr>
          <w:rFonts w:cs="EB Garamond"/>
          <w:kern w:val="16"/>
          <w14:ligatures w14:val="standardContextual"/>
        </w:rPr>
        <w:t>O dependente habilitado tardiamente não perde o direito às parcelas entre o óbito e seu requerimento se a demora decorreu de impossibilidade comprovada (menoridade, incapacidade, desconhecimento do óbito). Para dependentes absolutamente incapazes, a retroação à data do óbito é assegurada independentemente do momento da habilitação.</w:t>
      </w:r>
    </w:p>
    <w:p w14:paraId="0B885398" w14:textId="77777777" w:rsidR="005A5FCC" w:rsidRDefault="00A21C81">
      <w:pPr>
        <w:ind w:firstLine="238"/>
      </w:pPr>
      <w:r>
        <w:rPr>
          <w:rFonts w:cs="EB Garamond"/>
          <w:kern w:val="16"/>
          <w14:ligatures w14:val="standardContextual"/>
        </w:rPr>
        <w:t>A habilitação tardia exige que o novo dependente comprove sua condição perante o INSS ou judicialmente. Se a habilitação gerar litisconsórcio necessário (por concorrência com dependentes já habilitados), o juiz do JEF deve determinar a citação dos demais beneficiários, assegurando o contraditório sobre o rateio.</w:t>
      </w:r>
    </w:p>
    <w:p w14:paraId="07FBA9A4"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19.29 Acumulação de pensões por morte</w:t>
      </w:r>
    </w:p>
    <w:p w14:paraId="5CA7ADA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27BCC40B" w14:textId="77777777" w:rsidR="005A5FCC" w:rsidRDefault="00A21C81">
      <w:r>
        <w:rPr>
          <w:rFonts w:cs="EB Garamond"/>
          <w:kern w:val="16"/>
          <w14:ligatures w14:val="standardContextual"/>
        </w:rPr>
        <w:t xml:space="preserve"> EC n. 103/2019, em seu art. 24, estabeleceu novas regras sobre acumulação de pensões por morte. A regra geral é a vedação: é vedada a acumulação de mais de uma pensão por morte deixada por cônjuge ou companheiro, </w:t>
      </w:r>
      <w:r>
        <w:rPr>
          <w:rFonts w:cs="EB Garamond"/>
          <w:kern w:val="16"/>
          <w14:ligatures w14:val="standardContextual"/>
        </w:rPr>
        <w:lastRenderedPageBreak/>
        <w:t>no âmbito do mesmo regime de previdência social, ressalvadas as pensões do mesmo instituidor decorrentes do exercício de cargos acumuláveis na forma do art. 37, XVI e XVII, da Constituição.</w:t>
      </w:r>
    </w:p>
    <w:p w14:paraId="0FB9A993" w14:textId="77777777" w:rsidR="005A5FCC" w:rsidRDefault="00A21C81">
      <w:pPr>
        <w:ind w:firstLine="238"/>
      </w:pPr>
      <w:r>
        <w:rPr>
          <w:rFonts w:cs="EB Garamond"/>
          <w:kern w:val="16"/>
          <w14:ligatures w14:val="standardContextual"/>
        </w:rPr>
        <w:t>A vedação aplica-se especificamente à acumulação de duas pensões por morte no mesmo regime (RGPS). A pessoa que recebe pensão por morte de cônjuge falecido no RGPS não pode acumular com pensão por morte de segundo cônjuge também no RGPS. Deve optar pelo benefício mais vantajoso.</w:t>
      </w:r>
    </w:p>
    <w:p w14:paraId="60AB1C21" w14:textId="77777777" w:rsidR="005A5FCC" w:rsidRDefault="00A21C81">
      <w:pPr>
        <w:ind w:firstLine="238"/>
      </w:pPr>
      <w:r>
        <w:rPr>
          <w:rFonts w:cs="EB Garamond"/>
          <w:kern w:val="16"/>
          <w14:ligatures w14:val="standardContextual"/>
        </w:rPr>
        <w:t>A acumulação entre regimes diferentes é permitida, com restrições. O art. 24, § 1º, da EC n. 103/2019 admite a acumulação de: (I) pensão por morte deixada por cônjuge ou companheiro de um regime com pensão por morte concedida por outro regime ou com pensões decorrentes de atividades militares; (II) pensão por morte com aposentadoria concedida no âmbito do RGPS ou de regime próprio ou com proventos de inatividade das atividades militares. Em todos os casos, a acumulação é permitida, mas sujeita ao escalonamento previsto no § 2º do mesmo artigo.</w:t>
      </w:r>
    </w:p>
    <w:p w14:paraId="1F6312E1" w14:textId="77777777" w:rsidR="005A5FCC" w:rsidRDefault="00A21C81">
      <w:pPr>
        <w:ind w:firstLine="238"/>
      </w:pPr>
      <w:r>
        <w:rPr>
          <w:rFonts w:cs="EB Garamond"/>
          <w:kern w:val="16"/>
          <w14:ligatures w14:val="standardContextual"/>
        </w:rPr>
        <w:t>A distinção entre a vedação de acumulação no mesmo regime e a permissão (com escalonamento) entre regimes diferentes possui fundamento na estrutura federativa da previdência social. Cada regime, RGPS (trabalhadores da iniciativa privada), RPPS (servidores públicos) e regime militar, constitui sistema autônomo, com fontes de custeio e bases de cálculo próprias. A vedação de acumulação no mesmo regime evita a sobreposição de prestações financiadas pela mesma fonte; a permissão entre regimes reconhece que as contribuições vertidas a sistemas distintos geraram direitos independentes.</w:t>
      </w:r>
    </w:p>
    <w:p w14:paraId="36D80300" w14:textId="77777777" w:rsidR="005A5FCC" w:rsidRDefault="00A21C81">
      <w:pPr>
        <w:ind w:firstLine="238"/>
      </w:pPr>
      <w:r>
        <w:rPr>
          <w:rFonts w:cs="EB Garamond"/>
          <w:kern w:val="16"/>
          <w14:ligatures w14:val="standardContextual"/>
        </w:rPr>
        <w:t>A hipótese de acumulação de duas pensões por morte de regimes diferentes é frequente quando a beneficiária é viúva de servidor público estadual (RPPS) e simultaneamente viúva de trabalhador da iniciativa privada (RGPS). Nesse caso, recebe integralmente a pensão mais vantajosa e a parcela escalonada da menos vantajosa. A mesma regra aplica-se quando a beneficiária é pensionista de militar falecido e de segurado do RGPS.</w:t>
      </w:r>
    </w:p>
    <w:tbl>
      <w:tblPr>
        <w:tblW w:w="5000" w:type="pct"/>
        <w:jc w:val="center"/>
        <w:tblLayout w:type="fixed"/>
        <w:tblLook w:val="04A0" w:firstRow="1" w:lastRow="0" w:firstColumn="1" w:lastColumn="0" w:noHBand="0" w:noVBand="1"/>
      </w:tblPr>
      <w:tblGrid>
        <w:gridCol w:w="6311"/>
      </w:tblGrid>
      <w:tr w:rsidR="005A5FCC" w14:paraId="2F26A2FC"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17F7F8DC" w14:textId="77777777" w:rsidR="005A5FCC" w:rsidRDefault="00A21C81">
            <w:pPr>
              <w:spacing w:after="60" w:line="240" w:lineRule="auto"/>
              <w:jc w:val="left"/>
            </w:pPr>
            <w:r>
              <w:rPr>
                <w:rFonts w:ascii="Noto Sans" w:hAnsi="Noto Sans" w:cs="Noto Sans"/>
                <w:b/>
                <w:caps/>
                <w:color w:val="B78B37"/>
                <w:kern w:val="16"/>
                <w:sz w:val="16"/>
                <w14:ligatures w14:val="standardContextual"/>
              </w:rPr>
              <w:lastRenderedPageBreak/>
              <w:t>ATENÇÃO</w:t>
            </w:r>
          </w:p>
          <w:p w14:paraId="1F12CBF1" w14:textId="77777777" w:rsidR="005A5FCC" w:rsidRDefault="00A21C81">
            <w:pPr>
              <w:spacing w:after="60" w:line="247" w:lineRule="auto"/>
            </w:pPr>
            <w:r>
              <w:rPr>
                <w:rFonts w:cs="EB Garamond"/>
                <w:kern w:val="16"/>
                <w:sz w:val="19"/>
                <w14:ligatures w14:val="standardContextual"/>
              </w:rPr>
              <w:t>O direito de opção pelo benefício mais vantajoso, assegurado pelo art. 24, § 3º, da EC n. 103/2019, impõe ao advogado o dever de calcular qual dos dois benefícios é mais favorável antes de requerer a acumulação. Em alguns casos, o benefício aparentemente menor pode se tornar mais vantajoso quando considerado o efeito do escalonamento sobre o outro. A análise deve ser feita considerando o valor líquido (após desconto de imposto de renda e contribuição previdenciária, quando aplicável) e a projeção futura (reajustes diferenciados entre os regimes). A orientação preventiva ao beneficiário evita a necessidade de revisão administrativa posterior.</w:t>
            </w:r>
          </w:p>
        </w:tc>
      </w:tr>
    </w:tbl>
    <w:p w14:paraId="78476D7E" w14:textId="77777777" w:rsidR="005A5FCC" w:rsidRDefault="005A5FCC">
      <w:pPr>
        <w:spacing w:after="80" w:line="240" w:lineRule="auto"/>
      </w:pPr>
    </w:p>
    <w:p w14:paraId="674073B5"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19.30 Acumulação de pensão por morte com aposentadoria</w:t>
      </w:r>
    </w:p>
    <w:p w14:paraId="2EA3C73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5C1D4D82" w14:textId="77777777" w:rsidR="005A5FCC" w:rsidRDefault="00A21C81">
      <w:r>
        <w:rPr>
          <w:rFonts w:cs="EB Garamond"/>
          <w:kern w:val="16"/>
          <w14:ligatures w14:val="standardContextual"/>
        </w:rPr>
        <w:t xml:space="preserve"> acumulação de pensão por morte com aposentadoria própria é a hipótese prática mais frequente e relevante. A pessoa que é aposentada pelo RGPS e também dependente de segurado falecido pode acumular os dois benefícios, mas com aplicação das regras de escalonamento introduzidas pela EC n. 103/2019.</w:t>
      </w:r>
    </w:p>
    <w:p w14:paraId="6B336298" w14:textId="77777777" w:rsidR="005A5FCC" w:rsidRDefault="00A21C81">
      <w:pPr>
        <w:ind w:firstLine="238"/>
      </w:pPr>
      <w:r>
        <w:rPr>
          <w:rFonts w:cs="EB Garamond"/>
          <w:kern w:val="16"/>
          <w14:ligatures w14:val="standardContextual"/>
        </w:rPr>
        <w:t>O art. 24, § 2º, da EC n. 103/2019 estabelece que, nas hipóteses de acumulação permitida, o beneficiário receberá integralmente o benefício mais vantajoso e, do outro benefício, apenas uma parcela escalonada conforme faixas de valor. O escalonamento opera sobre o benefício de menor valor, aplicando percentuais decrescentes a cada faixa salarial. Para o regime completo de escalonamento, com faixas atualizadas, cálculos detalhados, exceções e direito adquirido, ver Cap. 20, §§ 20.3-20.7.</w:t>
      </w:r>
    </w:p>
    <w:p w14:paraId="2D5A506A" w14:textId="77777777" w:rsidR="005A5FCC" w:rsidRDefault="00A21C81">
      <w:pPr>
        <w:ind w:firstLine="238"/>
      </w:pPr>
      <w:r>
        <w:rPr>
          <w:rFonts w:cs="EB Garamond"/>
          <w:kern w:val="16"/>
          <w14:ligatures w14:val="standardContextual"/>
        </w:rPr>
        <w:t>O escalonamento aplica-se apenas à acumulação de benefícios cujos fatos geradores ocorreram a partir da vigência da EC n. 103/2019. Se ambos os benefícios (aposentadoria e pensão por morte) tiveram fatos geradores anteriores à emenda, o beneficiário mantém o direito adquirido à acumulação integral, nos termos da legislação anterior.</w:t>
      </w:r>
    </w:p>
    <w:p w14:paraId="7CCBBB43"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19.31 Regras de escalonamento na acumulação (art. 24, § 2º, EC 103)</w:t>
      </w:r>
    </w:p>
    <w:p w14:paraId="2EDBE17E"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446664D5" w14:textId="4132D9B3" w:rsidR="005A5FCC" w:rsidRDefault="00A21C81">
      <w:r>
        <w:rPr>
          <w:rFonts w:cs="EB Garamond"/>
          <w:kern w:val="16"/>
          <w14:ligatures w14:val="standardContextual"/>
        </w:rPr>
        <w:t xml:space="preserve"> escalonamento previsto no art. 24, § 2º, da EC n. 103/2019 tem impacto financeiro significativo para os beneficiários que acumulam pensão com aposentadoria. A lógica é progressiva: quanto maior o valor do segundo benefício, menor o percentual mantido em cada faixa. O resultado prático é que a parcela do segundo benefício que excede quatro </w:t>
      </w:r>
      <w:r w:rsidR="00717707">
        <w:rPr>
          <w:rFonts w:cs="EB Garamond"/>
          <w:kern w:val="16"/>
          <w14:ligatures w14:val="standardContextual"/>
        </w:rPr>
        <w:t>salários-mínimos</w:t>
      </w:r>
      <w:r>
        <w:rPr>
          <w:rFonts w:cs="EB Garamond"/>
          <w:kern w:val="16"/>
          <w14:ligatures w14:val="standardContextual"/>
        </w:rPr>
        <w:t xml:space="preserve"> sofre redução substancial. O detalhamento das faixas, percentuais e cálculos faixa por faixa está no Cap. 20, §§ 20.3-20.6, capítulo-sede do regime de acumulação.</w:t>
      </w:r>
    </w:p>
    <w:p w14:paraId="273712DA" w14:textId="77777777" w:rsidR="005A5FCC" w:rsidRDefault="00A21C81">
      <w:pPr>
        <w:ind w:firstLine="238"/>
      </w:pPr>
      <w:r>
        <w:rPr>
          <w:rFonts w:cs="EB Garamond"/>
          <w:kern w:val="16"/>
          <w14:ligatures w14:val="standardContextual"/>
        </w:rPr>
        <w:t>A constitucionalidade do escalonamento está vinculada à ADI 7.051, na qual o STF declarou constitucional o regime de cotas e, implicitamente, as regras de acumulação da EC n. 103/2019. O fundamento é que a reforma buscou reduzir distorções no sistema previdenciário, evitando que a acumulação de benefícios gerasse renda previdenciária superior à renda do trabalho do segurado em vida.</w:t>
      </w:r>
    </w:p>
    <w:p w14:paraId="06DAF603" w14:textId="77777777" w:rsidR="005A5FCC" w:rsidRDefault="00A21C81">
      <w:pPr>
        <w:ind w:firstLine="238"/>
      </w:pPr>
      <w:r>
        <w:rPr>
          <w:rFonts w:cs="EB Garamond"/>
          <w:kern w:val="16"/>
          <w14:ligatures w14:val="standardContextual"/>
        </w:rPr>
        <w:t>A intertemporalidade do escalonamento é ponto sensível. O direito adquirido do beneficiário que já acumulava pensão e aposentadoria antes da EC n. 103/2019 é preservado: a orientação predominante é de que o beneficiário que já recebia dois benefícios antes da emenda mantém o direito à acumulação integral, sem aplicação do escalonamento (v. Cap. 20, § 20.7).</w:t>
      </w:r>
    </w:p>
    <w:p w14:paraId="191C8924"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19.32 Pensão por morte acidentária (B93)</w:t>
      </w:r>
    </w:p>
    <w:p w14:paraId="76C5D875"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1F0DEB0E" w14:textId="77777777" w:rsidR="005A5FCC" w:rsidRDefault="00A21C81">
      <w:r>
        <w:rPr>
          <w:rFonts w:cs="EB Garamond"/>
          <w:kern w:val="16"/>
          <w14:ligatures w14:val="standardContextual"/>
        </w:rPr>
        <w:t xml:space="preserve"> pensão por morte pode ter natureza previdenciária comum (espécie B21) ou acidentária (espécie B93), conforme a causa do óbito do segurado. A distinção tem consequências relevantes para a competência jurisdicional e para os efeitos do benefício.</w:t>
      </w:r>
    </w:p>
    <w:p w14:paraId="73FF36F3" w14:textId="77777777" w:rsidR="005A5FCC" w:rsidRDefault="00A21C81">
      <w:pPr>
        <w:ind w:firstLine="238"/>
      </w:pPr>
      <w:r>
        <w:rPr>
          <w:rFonts w:cs="EB Garamond"/>
          <w:kern w:val="16"/>
          <w14:ligatures w14:val="standardContextual"/>
        </w:rPr>
        <w:t>A pensão por morte acidentária (B93) é devida quando o óbito decorre de acidente do trabalho, doença ocupacional ou acidente de qualquer natureza equiparado ao acidente do trabalho nos termos do art. 21 da Lei n. 8.213/91. A caracterização do nexo causal entre o óbito e o trabalho ou entre o óbito e o acidente é feita pelo INSS na esfera administrativa e pode ser questionada judicialmente.</w:t>
      </w:r>
    </w:p>
    <w:p w14:paraId="20EBF154" w14:textId="77777777" w:rsidR="005A5FCC" w:rsidRDefault="00A21C81">
      <w:pPr>
        <w:ind w:firstLine="238"/>
      </w:pPr>
      <w:r>
        <w:rPr>
          <w:rFonts w:cs="EB Garamond"/>
          <w:kern w:val="16"/>
          <w14:ligatures w14:val="standardContextual"/>
        </w:rPr>
        <w:lastRenderedPageBreak/>
        <w:t>A competência para a pensão por morte acidentária (B93) é da Justiça Estadual, por força da ressalva do art. 109, I, da Constituição Federal, que exclui as causas de acidente do trabalho da competência da Justiça Federal, no que é reforçada pela Súmula 15 do STJ (v. Cap. 23, § 23.2). A pensão por morte previdenciária (B21) é de competência da Justiça Federal (ou dos JEFs).</w:t>
      </w:r>
    </w:p>
    <w:p w14:paraId="1695F078" w14:textId="77777777" w:rsidR="005A5FCC" w:rsidRDefault="00A21C81">
      <w:pPr>
        <w:ind w:firstLine="238"/>
      </w:pPr>
      <w:r>
        <w:rPr>
          <w:rFonts w:cs="EB Garamond"/>
          <w:kern w:val="16"/>
          <w14:ligatures w14:val="standardContextual"/>
        </w:rPr>
        <w:t>O valor e a duração da pensão por morte acidentária são os mesmos da pensão previdenciária comum. A diferença reside na inexigibilidade de carência (que, de todo modo, já é dispensada para a pensão por morte em geral) e na possibilidade de cumulação com indenização civil do empregador, quando comprovada culpa ou dolo patronal.</w:t>
      </w:r>
    </w:p>
    <w:p w14:paraId="1136F3FA" w14:textId="77777777" w:rsidR="005A5FCC" w:rsidRDefault="00A21C81">
      <w:pPr>
        <w:ind w:firstLine="238"/>
      </w:pPr>
      <w:r>
        <w:rPr>
          <w:rFonts w:cs="EB Garamond"/>
          <w:kern w:val="16"/>
          <w14:ligatures w14:val="standardContextual"/>
        </w:rPr>
        <w:t>A cumulação entre pensão por morte acidentária e indenização civil é expressamente admitida pelo art. 121 da Lei n. 8.213/91, que dispõe que o pagamento pela Previdência Social das prestações por acidente do trabalho não exclui a responsabilidade civil da empresa ou de outrem. A pensão previdenciária é devida independentemente de culpa (responsabilidade objetiva do seguro social), enquanto a indenização civil exige a demonstração de culpa ou dolo do empregador (ou responsabilidade objetiva nos casos previstos no Código Civil). As duas prestações possuem naturezas jurídicas distintas e fontes de custeio diferentes, justificando a cumulação.</w:t>
      </w:r>
    </w:p>
    <w:p w14:paraId="043A8322" w14:textId="77777777" w:rsidR="005A5FCC" w:rsidRDefault="00A21C81">
      <w:pPr>
        <w:ind w:firstLine="238"/>
      </w:pPr>
      <w:r>
        <w:rPr>
          <w:rFonts w:cs="EB Garamond"/>
          <w:kern w:val="16"/>
          <w14:ligatures w14:val="standardContextual"/>
        </w:rPr>
        <w:t>A caracterização do nexo causal entre o óbito e o trabalho pode ser controvertida, especialmente em casos de doença ocupacional ou acidente de trajeto. A concausa, situação em que a atividade laboral não é a causa exclusiva do óbito, mas contribuiu para o evento, é reconhecida pela legislação previdenciária (art. 21, I, Lei n. 8.213/91) e gera direito à pensão acidentária. O INSS frequentemente nega o nexo causal em casos de concausa, obrigando o dependente a buscar a caracterização acidentária judicialmente.</w:t>
      </w:r>
    </w:p>
    <w:tbl>
      <w:tblPr>
        <w:tblW w:w="5000" w:type="pct"/>
        <w:jc w:val="center"/>
        <w:tblLayout w:type="fixed"/>
        <w:tblLook w:val="04A0" w:firstRow="1" w:lastRow="0" w:firstColumn="1" w:lastColumn="0" w:noHBand="0" w:noVBand="1"/>
      </w:tblPr>
      <w:tblGrid>
        <w:gridCol w:w="6311"/>
      </w:tblGrid>
      <w:tr w:rsidR="005A5FCC" w14:paraId="166B6259"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53C56380"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56870F86" w14:textId="77777777" w:rsidR="005A5FCC" w:rsidRDefault="00A21C81">
            <w:pPr>
              <w:spacing w:after="60" w:line="247" w:lineRule="auto"/>
            </w:pPr>
            <w:r>
              <w:rPr>
                <w:rFonts w:cs="EB Garamond"/>
                <w:kern w:val="16"/>
                <w:sz w:val="19"/>
                <w14:ligatures w14:val="standardContextual"/>
              </w:rPr>
              <w:t>A distinção entre pensão por morte previdenciária (B21) e acidentária (B93) repercute diretamente na competência jurisdicional: a primeira é processada nos JEFs (Justiça Federal); a segunda, na Justiça Estadual. O advogado deve atentar para essa distinção na distribuição da ação. Se há dúvida sobre o nexo causal com o trabalho, a estratégia processual pode envolver: (a) ação de pensão por morte previdenciária no JEF, que será concedida independentemente do nexo com o trabalho; e (b) ação acidentária na Justiça Estadual, buscando a conversão em pensão acidentária para fins de eventual indenização civil. As duas ações não se excluem, pois os pedidos são compatíveis e as competências são distintas.</w:t>
            </w:r>
          </w:p>
        </w:tc>
      </w:tr>
    </w:tbl>
    <w:p w14:paraId="30A89B91" w14:textId="77777777" w:rsidR="005A5FCC" w:rsidRDefault="005A5FCC">
      <w:pPr>
        <w:spacing w:after="80" w:line="240" w:lineRule="auto"/>
      </w:pPr>
    </w:p>
    <w:p w14:paraId="4F64DC19"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19.33 Aspectos procedimentais nos JEFs</w:t>
      </w:r>
    </w:p>
    <w:p w14:paraId="6B5C7D6D"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5644B056" w14:textId="74CA290F" w:rsidR="005A5FCC" w:rsidRDefault="00A21C81">
      <w:r>
        <w:rPr>
          <w:rFonts w:cs="EB Garamond"/>
          <w:kern w:val="16"/>
          <w14:ligatures w14:val="standardContextual"/>
        </w:rPr>
        <w:t xml:space="preserve"> processamento das ações de pensão por morte nos JEFs segue o rito sumaríssimo da Lei n. 10.259/2001, com adaptações específicas ao tipo de benefício. A competência é do JEF da subseção judiciária em que reside o dependente (e não o segurado falecido), desde que o valor da causa não exceda 60 </w:t>
      </w:r>
      <w:r w:rsidR="00717707">
        <w:rPr>
          <w:rFonts w:cs="EB Garamond"/>
          <w:kern w:val="16"/>
          <w14:ligatures w14:val="standardContextual"/>
        </w:rPr>
        <w:t>salários-mínimos</w:t>
      </w:r>
      <w:r>
        <w:rPr>
          <w:rFonts w:cs="EB Garamond"/>
          <w:kern w:val="16"/>
          <w14:ligatures w14:val="standardContextual"/>
        </w:rPr>
        <w:t>.</w:t>
      </w:r>
    </w:p>
    <w:p w14:paraId="242DC942" w14:textId="77777777" w:rsidR="005A5FCC" w:rsidRDefault="00A21C81">
      <w:pPr>
        <w:ind w:firstLine="238"/>
      </w:pPr>
      <w:r>
        <w:rPr>
          <w:rFonts w:cs="EB Garamond"/>
          <w:kern w:val="16"/>
          <w14:ligatures w14:val="standardContextual"/>
        </w:rPr>
        <w:t>O prévio requerimento administrativo é requisito de interesse de agir (STF, Tema 350, RE 631.240). O dependente deve comprovar o indeferimento do requerimento pelo INSS ou o transcurso de prazo razoável sem decisão. A dispensa do requerimento administrativo é admitida em situações excepcionais, como notório entendimento contrário do INSS sobre a matéria discutida.</w:t>
      </w:r>
    </w:p>
    <w:p w14:paraId="0B8E9FAE" w14:textId="77777777" w:rsidR="005A5FCC" w:rsidRDefault="00A21C81">
      <w:pPr>
        <w:ind w:firstLine="238"/>
      </w:pPr>
      <w:r>
        <w:rPr>
          <w:rFonts w:cs="EB Garamond"/>
          <w:kern w:val="16"/>
          <w14:ligatures w14:val="standardContextual"/>
        </w:rPr>
        <w:t>A instrução processual nas ações de pensão por morte varia conforme a controvérsia. Se o debate é sobre a condição de dependente (comprovação de união estável, dependência econômica de pais), a prova documental e testemunhal é central. Se o debate é sobre a qualidade de segurado do falecido, a prova pode envolver análise de CNIS, CTPS e períodos contributivos. Se a controvérsia envolve filho inválido, a perícia médica é indispensável.</w:t>
      </w:r>
    </w:p>
    <w:p w14:paraId="79907A40" w14:textId="77777777" w:rsidR="005A5FCC" w:rsidRDefault="00A21C81">
      <w:pPr>
        <w:ind w:firstLine="238"/>
      </w:pPr>
      <w:r>
        <w:rPr>
          <w:rFonts w:cs="EB Garamond"/>
          <w:kern w:val="16"/>
          <w14:ligatures w14:val="standardContextual"/>
        </w:rPr>
        <w:lastRenderedPageBreak/>
        <w:t>A tutela de urgência nas ações de pensão por morte é frequente e encontra fundamento na natureza alimentar do benefício e na vulnerabilidade dos dependentes. O cônjuge ou companheiro(a) que dependia integralmente da renda do segurado e se vê sem renda com o falecimento enfrenta situação de urgência que justifica a implantação provisória do benefício. Os JEFs têm adotado posição favorável à concessão de tutela antecipada, especialmente quando a controvérsia é exclusivamente sobre o valor do benefício (e não sobre o direito à pensão em si).</w:t>
      </w:r>
    </w:p>
    <w:tbl>
      <w:tblPr>
        <w:tblW w:w="5000" w:type="pct"/>
        <w:jc w:val="center"/>
        <w:tblLayout w:type="fixed"/>
        <w:tblLook w:val="04A0" w:firstRow="1" w:lastRow="0" w:firstColumn="1" w:lastColumn="0" w:noHBand="0" w:noVBand="1"/>
      </w:tblPr>
      <w:tblGrid>
        <w:gridCol w:w="6311"/>
      </w:tblGrid>
      <w:tr w:rsidR="005A5FCC" w14:paraId="3638E245"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36AED140"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6B9E6295" w14:textId="77777777" w:rsidR="005A5FCC" w:rsidRDefault="00A21C81">
            <w:pPr>
              <w:spacing w:after="60" w:line="247" w:lineRule="auto"/>
            </w:pPr>
            <w:r>
              <w:rPr>
                <w:rFonts w:cs="EB Garamond"/>
                <w:kern w:val="16"/>
                <w:sz w:val="19"/>
                <w14:ligatures w14:val="standardContextual"/>
              </w:rPr>
              <w:t>Para a estrutura da petição inicial nos JEFs, ver Cap. 23, § 23.11. Além dos documentos ali elencados, as ações de pensão por morte devem instruir a inicial com: (a) certidão de óbito; (b) documentos da relação de dependência (certidão de casamento, documentos de união estável, certidão de nascimento de filhos); (c) prova de dependência econômica, se Classe II ou III; (d) laudos médicos, se dependente inválido. A antecipação de tutela deve ser requerida desde a inicial, com demonstração da probabilidade do direito e do perigo de dano (privação de renda alimentar).</w:t>
            </w:r>
          </w:p>
        </w:tc>
      </w:tr>
    </w:tbl>
    <w:p w14:paraId="3F4D3986" w14:textId="77777777" w:rsidR="005A5FCC" w:rsidRDefault="005A5FCC">
      <w:pPr>
        <w:spacing w:after="80" w:line="240" w:lineRule="auto"/>
      </w:pPr>
    </w:p>
    <w:p w14:paraId="10A495F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1519AE66" w14:textId="77777777" w:rsidR="005A5FCC" w:rsidRDefault="00A21C81">
      <w:r>
        <w:rPr>
          <w:rFonts w:cs="EB Garamond"/>
          <w:kern w:val="16"/>
          <w14:ligatures w14:val="standardContextual"/>
        </w:rPr>
        <w:t xml:space="preserve"> legitimidade passiva nas ações de pensão por morte é exclusivamente do INSS. Os demais dependentes habilitados devem ser citados como litisconsortes necessários quando a inclusão de novo dependente afetar o rateio da pensão. A ausência de citação de litisconsorte necessário gera nulidade processual.</w:t>
      </w:r>
    </w:p>
    <w:p w14:paraId="15444318"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19.34 Intertemporalidade: tempus regit actum</w:t>
      </w:r>
    </w:p>
    <w:p w14:paraId="76CEA07E"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6FF00B7D" w14:textId="77777777" w:rsidR="005A5FCC" w:rsidRDefault="00A21C81">
      <w:r>
        <w:rPr>
          <w:rFonts w:cs="EB Garamond"/>
          <w:kern w:val="16"/>
          <w14:ligatures w14:val="standardContextual"/>
        </w:rPr>
        <w:t xml:space="preserve"> pensão por morte é regida pela lei vigente na data do óbito do segurado, aplicando-se integralmente o princípio tempus regit actum. Essa regra é pacífica na jurisprudência do STJ e da TNU e produz consequências práticas relevantes para cada elemento do benefício.</w:t>
      </w:r>
    </w:p>
    <w:p w14:paraId="66F5B537" w14:textId="77777777" w:rsidR="005A5FCC" w:rsidRDefault="00A21C81">
      <w:pPr>
        <w:ind w:firstLine="238"/>
      </w:pPr>
      <w:r>
        <w:rPr>
          <w:rFonts w:cs="EB Garamond"/>
          <w:kern w:val="16"/>
          <w14:ligatures w14:val="standardContextual"/>
        </w:rPr>
        <w:t>O valor da pensão é calculado segundo a legislação vigente no momento do óbito. Óbitos anteriores a 13/11/2019 seguem o critério de 100% da aposentadoria (art. 75, Lei 8.213/91, redação anterior). Óbitos a partir dessa data seguem o sistema de cotas do art. 23 da EC n. 103/2019.</w:t>
      </w:r>
    </w:p>
    <w:p w14:paraId="7B35F417" w14:textId="77777777" w:rsidR="005A5FCC" w:rsidRDefault="00A21C81">
      <w:pPr>
        <w:ind w:firstLine="238"/>
      </w:pPr>
      <w:r>
        <w:rPr>
          <w:rFonts w:cs="EB Garamond"/>
          <w:kern w:val="16"/>
          <w14:ligatures w14:val="standardContextual"/>
        </w:rPr>
        <w:lastRenderedPageBreak/>
        <w:t>A duração da pensão para o cônjuge ou companheiro segue a tabela vigente na data do óbito. A Lei n. 13.135/2015 introduziu a temporariedade; antes dela, a pensão era vitalícia para todos os cônjuges. Os requisitos de 18 contribuições e dois anos de casamento/união também se aplicam conforme a legislação vigente na data do óbito.</w:t>
      </w:r>
    </w:p>
    <w:p w14:paraId="5FE212E2" w14:textId="77777777" w:rsidR="005A5FCC" w:rsidRDefault="00A21C81">
      <w:pPr>
        <w:ind w:firstLine="238"/>
      </w:pPr>
      <w:r>
        <w:rPr>
          <w:rFonts w:cs="EB Garamond"/>
          <w:kern w:val="16"/>
          <w14:ligatures w14:val="standardContextual"/>
        </w:rPr>
        <w:t>O rol de dependentes é o previsto na legislação vigente na data do óbito. A exclusão do menor sob guarda (Lei n. 9.528/1997) não se aplica a óbitos anteriores a essa lei. A exigência de início de prova material para a união estável (Lei n. 13.846/2019) não se aplica a óbitos anteriores à sua vigência.</w:t>
      </w:r>
    </w:p>
    <w:tbl>
      <w:tblPr>
        <w:tblW w:w="5000" w:type="pct"/>
        <w:jc w:val="center"/>
        <w:tblLayout w:type="fixed"/>
        <w:tblLook w:val="04A0" w:firstRow="1" w:lastRow="0" w:firstColumn="1" w:lastColumn="0" w:noHBand="0" w:noVBand="1"/>
      </w:tblPr>
      <w:tblGrid>
        <w:gridCol w:w="6311"/>
      </w:tblGrid>
      <w:tr w:rsidR="005A5FCC" w14:paraId="5E05DE63"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7EFB641B" w14:textId="77777777" w:rsidR="005A5FCC" w:rsidRDefault="00A21C81">
            <w:pPr>
              <w:spacing w:after="60" w:line="240" w:lineRule="auto"/>
              <w:jc w:val="left"/>
            </w:pPr>
            <w:r>
              <w:rPr>
                <w:rFonts w:ascii="Noto Sans" w:hAnsi="Noto Sans" w:cs="Noto Sans"/>
                <w:b/>
                <w:caps/>
                <w:color w:val="4D6F8A"/>
                <w:kern w:val="16"/>
                <w:sz w:val="16"/>
                <w14:ligatures w14:val="standardContextual"/>
              </w:rPr>
              <w:t>JURISPRUDÊNCIA EM DESTAQUE</w:t>
            </w:r>
          </w:p>
          <w:p w14:paraId="0D3C5141" w14:textId="77777777" w:rsidR="005A5FCC" w:rsidRDefault="00A21C81">
            <w:pPr>
              <w:spacing w:after="60" w:line="247" w:lineRule="auto"/>
            </w:pPr>
            <w:r>
              <w:rPr>
                <w:rFonts w:cs="EB Garamond"/>
                <w:b/>
                <w:kern w:val="16"/>
                <w:sz w:val="19"/>
                <w14:ligatures w14:val="standardContextual"/>
              </w:rPr>
              <w:t>STJ, jurisprudência consolidada</w:t>
            </w:r>
            <w:r>
              <w:rPr>
                <w:rFonts w:cs="EB Garamond"/>
                <w:kern w:val="16"/>
                <w:sz w:val="19"/>
                <w14:ligatures w14:val="standardContextual"/>
              </w:rPr>
              <w:t>: "A concessão de pensão por morte deve observar a lei vigente à época do óbito do segurado, pois é o fato gerador que define o regime jurídico aplicável." O entendimento é pacífico e reiterado em inúmeros julgados. Na prática, o advogado deve identificar com precisão a data do óbito e aplicar a legislação correspondente, resistindo a eventuais tentativas do INSS de aplicar retroativamente normas mais restritivas.</w:t>
            </w:r>
          </w:p>
        </w:tc>
      </w:tr>
    </w:tbl>
    <w:p w14:paraId="22316983" w14:textId="77777777" w:rsidR="005A5FCC" w:rsidRDefault="005A5FCC">
      <w:pPr>
        <w:spacing w:after="80" w:line="240" w:lineRule="auto"/>
      </w:pPr>
    </w:p>
    <w:p w14:paraId="5CA98F7E"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6FF2CADC" w14:textId="77777777" w:rsidR="005A5FCC" w:rsidRDefault="00A21C81">
      <w:r>
        <w:rPr>
          <w:rFonts w:cs="EB Garamond"/>
          <w:kern w:val="16"/>
          <w14:ligatures w14:val="standardContextual"/>
        </w:rPr>
        <w:t xml:space="preserve"> aplicação do tempus regit actum gera complexidade nos casos em que o segurado faleceu antes de 13/11/2019, mas o requerimento administrativo ou a ação judicial foram apresentados após essa data. A regra é clara: o regime aplicável é o da data do óbito, não o da data do requerimento. A EC n. 103/2019 não alcança fatos geradores anteriores à sua vigência.</w:t>
      </w:r>
    </w:p>
    <w:p w14:paraId="505D3DF3" w14:textId="77777777" w:rsidR="005A5FCC" w:rsidRDefault="00A21C81">
      <w:pPr>
        <w:ind w:firstLine="238"/>
      </w:pPr>
      <w:r>
        <w:rPr>
          <w:rFonts w:cs="EB Garamond"/>
          <w:kern w:val="16"/>
          <w14:ligatures w14:val="standardContextual"/>
        </w:rPr>
        <w:t xml:space="preserve">Na atuação forense dos JEFs, a identificação precisa da data do óbito é o primeiro passo de qualquer análise de pensão por morte, pois ela determina integralmente o regime jurídico aplicável. O quadro normativo pode ser assim sintetizado: para óbitos anteriores a 29/04/1995 (Lei n. 9.032/95), aplica-se a legislação vigente à época, com cálculo próprio; para óbitos entre 29/04/1995 e 17/06/2015 (Lei n. 13.135/2015), a pensão é vitalícia para o cônjuge e o valor é de 100% da aposentadoria; para óbitos entre 18/06/2015 e 17/01/2019 (véspera da MP n. 871/2019), a pensão segue a tabela de duração, o valor é de 100%, e a prova da união estável pode ser exclusivamente testemunhal; para óbitos entre 18/01/2019 e 12/11/2019, aplica-se a exigência de início de prova material para </w:t>
      </w:r>
      <w:r>
        <w:rPr>
          <w:rFonts w:cs="EB Garamond"/>
          <w:kern w:val="16"/>
          <w14:ligatures w14:val="standardContextual"/>
        </w:rPr>
        <w:lastRenderedPageBreak/>
        <w:t>união estável (MP n. 871/2019, convertida na Lei n. 13.846/2019), com valor de 100%; e para óbitos a partir de 13/11/2019, aplica-se integralmente o regime da EC n. 103/2019 (cotas, não reversibilidade, escalonamento na acumulação). O advogado deve identificar com precisão em qual marco normativo se insere o óbito do segurado para aplicar o regime correto.</w:t>
      </w:r>
    </w:p>
    <w:p w14:paraId="241E8000" w14:textId="77777777" w:rsidR="005A5FCC" w:rsidRDefault="00A21C81">
      <w:pPr>
        <w:ind w:firstLine="238"/>
      </w:pPr>
      <w:r>
        <w:rPr>
          <w:rFonts w:cs="EB Garamond"/>
          <w:kern w:val="16"/>
          <w14:ligatures w14:val="standardContextual"/>
        </w:rPr>
        <w:t>A questão da ultratividade das normas revogadas é igualmente relevante. Uma norma revogada pela EC n. 103/2019 continua produzindo efeitos para os fatos geradores ocorridos durante sua vigência. O princípio do tempus regit actum opera, assim, como garantia de ultratividade: a lei revogada rege os fatos gerados sob seu império, e a lei nova rege apenas os fatos futuros. Esse mecanismo impede que reformas legislativas retroajam para prejudicar dependentes cujos direitos já nasceram sob o regime anterior.</w:t>
      </w:r>
    </w:p>
    <w:p w14:paraId="412148FB"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19.35 Situações especiais</w:t>
      </w:r>
    </w:p>
    <w:p w14:paraId="34F99BE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66DDC048" w14:textId="77777777" w:rsidR="005A5FCC" w:rsidRDefault="00A21C81">
      <w:r>
        <w:rPr>
          <w:rFonts w:cs="EB Garamond"/>
          <w:kern w:val="16"/>
          <w14:ligatures w14:val="standardContextual"/>
        </w:rPr>
        <w:t xml:space="preserve"> aplicação da pensão por morte em situações especiais suscita questões de elevada complexidade, pela singularidade das circunstâncias fáticas e pelas lacunas normativas que frequentemente envolvem.</w:t>
      </w:r>
    </w:p>
    <w:p w14:paraId="6426772D" w14:textId="77777777" w:rsidR="005A5FCC" w:rsidRDefault="00A21C81">
      <w:pPr>
        <w:ind w:firstLine="238"/>
      </w:pPr>
      <w:r>
        <w:rPr>
          <w:rFonts w:cs="EB Garamond"/>
          <w:kern w:val="16"/>
          <w14:ligatures w14:val="standardContextual"/>
        </w:rPr>
        <w:t>A primeira situação especial é a do segurado que falece no exterior. Se o segurado mantinha qualidade de segurado do RGPS na data do óbito, a pensão é devida aos dependentes, independentemente do local do falecimento. A certidão de óbito emitida por autoridade estrangeira deve ser transcrita no registro civil brasileiro (art. 32 da Lei n. 6.015/73) para produzir efeitos no País. O dependente residente no Brasil pode requerer a pensão diretamente ao INSS, apresentando a certidão de óbito transcrita.</w:t>
      </w:r>
    </w:p>
    <w:p w14:paraId="32B6DE34" w14:textId="77777777" w:rsidR="005A5FCC" w:rsidRDefault="00A21C81">
      <w:pPr>
        <w:ind w:firstLine="238"/>
      </w:pPr>
      <w:r>
        <w:rPr>
          <w:rFonts w:cs="EB Garamond"/>
          <w:kern w:val="16"/>
          <w14:ligatures w14:val="standardContextual"/>
        </w:rPr>
        <w:t xml:space="preserve">A segunda situação é a do cônjuge ou companheiro(a) de segurado que era simultaneamente empregador doméstico do dependente. A condição de empregado doméstico não afasta a condição de cônjuge ou companheiro para fins previdenciários: a mesma pessoa pode ser dependente previdenciária do segurado (na qualidade de cônjuge) e, simultaneamente, empregada doméstica (na qualidade de trabalhadora). A pensão por morte é devida pela condição de cônjuge, e </w:t>
      </w:r>
      <w:r>
        <w:rPr>
          <w:rFonts w:cs="EB Garamond"/>
          <w:kern w:val="16"/>
          <w14:ligatures w14:val="standardContextual"/>
        </w:rPr>
        <w:lastRenderedPageBreak/>
        <w:t>o vínculo empregatício pode gerar direitos trabalhistas autônomos (FGTS, verbas rescisórias).</w:t>
      </w:r>
    </w:p>
    <w:p w14:paraId="2C77371A" w14:textId="77777777" w:rsidR="005A5FCC" w:rsidRDefault="00A21C81">
      <w:pPr>
        <w:ind w:firstLine="238"/>
      </w:pPr>
      <w:r>
        <w:rPr>
          <w:rFonts w:cs="EB Garamond"/>
          <w:kern w:val="16"/>
          <w14:ligatures w14:val="standardContextual"/>
        </w:rPr>
        <w:t>A terceira situação envolve o dependente que praticou violência doméstica contra o segurado sem que o óbito tenha sido doloso. O art. 74, § 1º, exclui apenas o condenado por homicídio doloso. A violência doméstica sem resultado morte, ou que resultou em morte culposa, não acarreta perda do direito à pensão. A questão é eticamente sensível, mas juridicamente clara: a exclusão é taxativa e restrita ao homicídio doloso.</w:t>
      </w:r>
    </w:p>
    <w:p w14:paraId="74899B7C" w14:textId="77777777" w:rsidR="005A5FCC" w:rsidRDefault="00A21C81">
      <w:pPr>
        <w:ind w:firstLine="238"/>
      </w:pPr>
      <w:r>
        <w:rPr>
          <w:rFonts w:cs="EB Garamond"/>
          <w:kern w:val="16"/>
          <w14:ligatures w14:val="standardContextual"/>
        </w:rPr>
        <w:t>A quarta situação é a da pensão por morte do segurado desaparecido em catástrofe natural. Enchentes, deslizamentos, terremotos e outros desastres naturais podem impossibilitar a localização do corpo e a emissão de certidão de óbito convencional. Nesses casos, a certidão de óbito pode ser emitida por ordem judicial, com base em prova de que o segurado se encontrava na área atingida e não foi localizado após as buscas. A pensão é concedida provisoriamente, nos termos do art. 78 da Lei n. 8.213/91.</w:t>
      </w:r>
    </w:p>
    <w:p w14:paraId="5E1EE958" w14:textId="77777777" w:rsidR="005A5FCC" w:rsidRDefault="00A21C81">
      <w:pPr>
        <w:ind w:firstLine="238"/>
      </w:pPr>
      <w:r>
        <w:rPr>
          <w:rFonts w:cs="EB Garamond"/>
          <w:kern w:val="16"/>
          <w14:ligatures w14:val="standardContextual"/>
        </w:rPr>
        <w:t>A quinta situação diz respeito ao nascituro. O filho concebido antes do óbito do segurado, mas nascido após o falecimento, tem direito à pensão por morte desde o nascimento com vida. A condição de nascituro assegura a expectativa de direito (art. 2º do Código Civil), que se concretiza com o nascimento. A pensão retroage à data do óbito quando requerida dentro do prazo legal.</w:t>
      </w:r>
    </w:p>
    <w:p w14:paraId="62EAB433" w14:textId="77777777" w:rsidR="005A5FCC" w:rsidRDefault="00A21C81">
      <w:pPr>
        <w:ind w:firstLine="238"/>
      </w:pPr>
      <w:r>
        <w:rPr>
          <w:rFonts w:cs="EB Garamond"/>
          <w:kern w:val="16"/>
          <w14:ligatures w14:val="standardContextual"/>
        </w:rPr>
        <w:t>A sexta situação refere-se à pensão por morte quando o segurado falecido era preso. O segurado recolhido à prisão mantém a qualidade de segurado durante todo o período de recolhimento (art. 15, IV, Lei n. 8.213/91), acrescido do período de graça de 12 meses após o livramento. Se o segurado falece enquanto preso, seus dependentes, cônjuge, companheiros(as) e filhos, fazem jus à pensão por morte. A condição de dependente é verificada independentemente da situação carcerária do segurado: a esposa ou companheira do preso mantém vínculo de dependência econômica presumida, mesmo que o preso não estivesse contribuindo financeiramente para o sustento da família durante o recolhimento. Essa compreensão decorre da solidariedade previdenciária: a proteção não pode ser recusada à família que já enfrenta as consequências sociais e econômicas do encar</w:t>
      </w:r>
      <w:r>
        <w:rPr>
          <w:rFonts w:cs="EB Garamond"/>
          <w:kern w:val="16"/>
          <w14:ligatures w14:val="standardContextual"/>
        </w:rPr>
        <w:lastRenderedPageBreak/>
        <w:t>ceramento. A questão prática relevante é a comprovação da qualidade de segurado do preso que ingressou no sistema prisional sem vínculo empregatício ativo — nesse caso, o advogado deve reconstituir o histórico contributivo do falecido e verificar se as contribuições foram realizadas antes do recolhimento, dentro do período de graça.</w:t>
      </w:r>
    </w:p>
    <w:p w14:paraId="6110038F" w14:textId="77777777" w:rsidR="005A5FCC" w:rsidRDefault="00A21C81">
      <w:pPr>
        <w:ind w:firstLine="238"/>
      </w:pPr>
      <w:r>
        <w:rPr>
          <w:rFonts w:cs="EB Garamond"/>
          <w:kern w:val="16"/>
          <w14:ligatures w14:val="standardContextual"/>
        </w:rPr>
        <w:t>A sétima situação envolve o suicídio do segurado. A morte por suicídio gera direito à pensão por morte sem qualquer restrição. A legislação previdenciária abandonou a carência qualificada que vigorou brevemente para casos de suicídio (a MP n. 664/2014 havia introduzido período de carência de 24 contribuições para a pensão decorrente de suicídio, mas a Lei n. 13.135/2015, ao converter a MP, suprimiu essa exigência). O suicídio é tratado, para fins previdenciários, como morte por causa natural — o benefício é concedido aos dependentes sem investigação sobre a intencionalidade do ato. O fundamento é que a previdência social não opera como seguro privado, onde cláusulas de exclusão por suicídio são admitidas; o sistema público de proteção social não distingue as circunstâncias da morte para fins de proteção dos dependentes sobreviventes.</w:t>
      </w:r>
    </w:p>
    <w:p w14:paraId="3E656888" w14:textId="77777777" w:rsidR="005A5FCC" w:rsidRDefault="00A21C81">
      <w:pPr>
        <w:ind w:firstLine="238"/>
      </w:pPr>
      <w:r>
        <w:rPr>
          <w:rFonts w:cs="EB Garamond"/>
          <w:kern w:val="16"/>
          <w14:ligatures w14:val="standardContextual"/>
        </w:rPr>
        <w:t>A oitava situação diz respeito à morte do segurado que exercia atividade concomitante. O segurado que contribuía simultaneamente em duas ou mais atividades vinculadas ao RGPS (por exemplo, empregado e contribuinte individual) gera uma única pensão por morte, calculada sobre a totalidade de seus salários de contribuição. As contribuições vertidas em todas as atividades são somadas para a apuração do salário de benefício, nos termos do art. 32 da Lei n. 8.213/91 (com as alterações promovidas pela Lei n. 13.846/2019, que eliminou a antiga regra de cálculo proporcional para atividades concomitantes). A pensão é única, mas seu valor reflete a integralidade da base contributiva do segurado.</w:t>
      </w:r>
    </w:p>
    <w:tbl>
      <w:tblPr>
        <w:tblW w:w="5000" w:type="pct"/>
        <w:jc w:val="center"/>
        <w:tblLayout w:type="fixed"/>
        <w:tblLook w:val="04A0" w:firstRow="1" w:lastRow="0" w:firstColumn="1" w:lastColumn="0" w:noHBand="0" w:noVBand="1"/>
      </w:tblPr>
      <w:tblGrid>
        <w:gridCol w:w="6311"/>
      </w:tblGrid>
      <w:tr w:rsidR="005A5FCC" w14:paraId="05749FE9"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5367EC3E" w14:textId="77777777" w:rsidR="005A5FCC" w:rsidRDefault="00A21C81">
            <w:pPr>
              <w:spacing w:after="60" w:line="240" w:lineRule="auto"/>
              <w:jc w:val="left"/>
            </w:pPr>
            <w:r>
              <w:rPr>
                <w:rFonts w:ascii="Noto Sans" w:hAnsi="Noto Sans" w:cs="Noto Sans"/>
                <w:b/>
                <w:caps/>
                <w:color w:val="B78B37"/>
                <w:kern w:val="16"/>
                <w:sz w:val="16"/>
                <w14:ligatures w14:val="standardContextual"/>
              </w:rPr>
              <w:lastRenderedPageBreak/>
              <w:t>ATENÇÃO</w:t>
            </w:r>
          </w:p>
          <w:p w14:paraId="54DEE143" w14:textId="77777777" w:rsidR="005A5FCC" w:rsidRDefault="00A21C81">
            <w:pPr>
              <w:spacing w:after="60" w:line="247" w:lineRule="auto"/>
            </w:pPr>
            <w:r>
              <w:rPr>
                <w:rFonts w:cs="EB Garamond"/>
                <w:kern w:val="16"/>
                <w:sz w:val="19"/>
                <w14:ligatures w14:val="standardContextual"/>
              </w:rPr>
              <w:t>A nona situação envolve o segurado que recebia auxílio por incapacidade temporária (antigo auxílio-doença) na data do óbito. Se o segurado faleceu durante o gozo de benefício por incapacidade temporária, a pensão por morte é devida a seus dependentes, pois o segurado em gozo de benefício por incapacidade mantém a qualidade de segurado (art. 15, I, Lei n. 8.213/91). A base de cálculo da pensão será o valor da aposentadoria por incapacidade permanente a que o segurado teria direito (e não o valor do auxílio por incapacidade temporária, que tem base de cálculo distinta). O advogado deve atentar para essa distinção, pois o valor da aposentadoria por incapacidade permanente pode ser diferente do auxílio por incapacidade temporária que o segurado recebia.</w:t>
            </w:r>
          </w:p>
        </w:tc>
      </w:tr>
    </w:tbl>
    <w:p w14:paraId="66275594" w14:textId="77777777" w:rsidR="005A5FCC" w:rsidRDefault="005A5FCC">
      <w:pPr>
        <w:spacing w:after="80" w:line="240" w:lineRule="auto"/>
      </w:pPr>
    </w:p>
    <w:tbl>
      <w:tblPr>
        <w:tblW w:w="5000" w:type="pct"/>
        <w:jc w:val="center"/>
        <w:tblLayout w:type="fixed"/>
        <w:tblLook w:val="04A0" w:firstRow="1" w:lastRow="0" w:firstColumn="1" w:lastColumn="0" w:noHBand="0" w:noVBand="1"/>
      </w:tblPr>
      <w:tblGrid>
        <w:gridCol w:w="6311"/>
      </w:tblGrid>
      <w:tr w:rsidR="005A5FCC" w14:paraId="1D7719FB"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0E0B07DA"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5838FE0D" w14:textId="77777777" w:rsidR="005A5FCC" w:rsidRDefault="00A21C81">
            <w:pPr>
              <w:spacing w:after="60" w:line="247" w:lineRule="auto"/>
            </w:pPr>
            <w:r>
              <w:rPr>
                <w:rFonts w:cs="EB Garamond"/>
                <w:kern w:val="16"/>
                <w:sz w:val="19"/>
                <w14:ligatures w14:val="standardContextual"/>
              </w:rPr>
              <w:t>A situação do nascituro como dependente da pensão por morte exige providência imediata após o nascimento. A mãe (ou representante legal) deve apresentar ao INSS: (a) certidão de óbito do segurado; (b) certidão de nascimento da criança (que comprova a filiação); (c) prova de que o segurado mantinha qualidade de segurado na data do óbito. Se o nascimento ocorrer dentro de 90 dias após o óbito, a pensão retroage à data do óbito. Se após 90 dias, retroage à data do nascimento (aplicando-se a isenção de prazo para absolutamente incapazes). O advogado deve orientar a família a providenciar o registro de nascimento com indicação do pai falecido, garantindo o reconhecimento da filiação.</w:t>
            </w:r>
          </w:p>
        </w:tc>
      </w:tr>
    </w:tbl>
    <w:p w14:paraId="7D2C832D" w14:textId="77777777" w:rsidR="005A5FCC" w:rsidRDefault="005A5FCC">
      <w:pPr>
        <w:spacing w:after="80" w:line="240" w:lineRule="auto"/>
      </w:pPr>
    </w:p>
    <w:p w14:paraId="2FB1631D"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19.36 Questões processuais específicas</w:t>
      </w:r>
    </w:p>
    <w:p w14:paraId="43341C7D"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4135AFCB" w14:textId="77777777" w:rsidR="005A5FCC" w:rsidRDefault="00A21C81">
      <w:r>
        <w:rPr>
          <w:rFonts w:cs="EB Garamond"/>
          <w:kern w:val="16"/>
          <w14:ligatures w14:val="standardContextual"/>
        </w:rPr>
        <w:t>s ações de pensão por morte nos JEFs apresentam particularidades processuais que as distinguem das demais ações previdenciárias.</w:t>
      </w:r>
    </w:p>
    <w:p w14:paraId="43A5C40E" w14:textId="77777777" w:rsidR="005A5FCC" w:rsidRDefault="00A21C81">
      <w:pPr>
        <w:ind w:firstLine="238"/>
      </w:pPr>
      <w:r>
        <w:rPr>
          <w:rFonts w:cs="EB Garamond"/>
          <w:kern w:val="16"/>
          <w14:ligatures w14:val="standardContextual"/>
        </w:rPr>
        <w:t xml:space="preserve">A primeira particularidade é a prova de negativa. Muitas ações de pensão por morte exigem a demonstração de fatos negativos (ausência de outra relação conjugal, inexistência de renda própria, não emancipação do filho), que são </w:t>
      </w:r>
      <w:r>
        <w:rPr>
          <w:rFonts w:cs="EB Garamond"/>
          <w:kern w:val="16"/>
          <w14:ligatures w14:val="standardContextual"/>
        </w:rPr>
        <w:lastRenderedPageBreak/>
        <w:t>de difícil comprovação direta. A jurisprudência tem flexibilizado o ônus probatório nesses casos, atribuindo ao INSS o encargo de provar fatos impeditivos, modificativos ou extintivos do direito (art. 373, II, CPC/2015).</w:t>
      </w:r>
    </w:p>
    <w:p w14:paraId="495F2799" w14:textId="77777777" w:rsidR="005A5FCC" w:rsidRDefault="00A21C81">
      <w:pPr>
        <w:ind w:firstLine="238"/>
      </w:pPr>
      <w:r>
        <w:rPr>
          <w:rFonts w:cs="EB Garamond"/>
          <w:kern w:val="16"/>
          <w14:ligatures w14:val="standardContextual"/>
        </w:rPr>
        <w:t>A segunda particularidade envolve a inversão da presunção de dependência. Quando o INSS alega que o cônjuge ou companheiro não dependia economicamente do segurado (por possuir renda própria elevada, por exemplo), o ônus de ilidir a presunção legal recai sobre a autarquia. O juiz deve analisar com cautela as alegações de independência econômica, pois a mera existência de renda própria não afasta a presunção: a contribuição do segurado para o sustento da família pode ser relevante mesmo quando o dependente possui renda própria.</w:t>
      </w:r>
    </w:p>
    <w:p w14:paraId="627F029B" w14:textId="77777777" w:rsidR="005A5FCC" w:rsidRDefault="00A21C81">
      <w:pPr>
        <w:ind w:firstLine="238"/>
      </w:pPr>
      <w:r>
        <w:rPr>
          <w:rFonts w:cs="EB Garamond"/>
          <w:kern w:val="16"/>
          <w14:ligatures w14:val="standardContextual"/>
        </w:rPr>
        <w:t>A terceira particularidade é a legitimidade de pensionistas para propor ação revisional da aposentadoria do instituidor (STJ, Tema 1057 — v. Seção 19.5, supra).</w:t>
      </w:r>
    </w:p>
    <w:p w14:paraId="3D93CEF9" w14:textId="77777777" w:rsidR="005A5FCC" w:rsidRDefault="00A21C81">
      <w:pPr>
        <w:ind w:firstLine="238"/>
      </w:pPr>
      <w:r>
        <w:rPr>
          <w:rFonts w:cs="EB Garamond"/>
          <w:kern w:val="16"/>
          <w14:ligatures w14:val="standardContextual"/>
        </w:rPr>
        <w:t>A quarta particularidade diz respeito à desaposentação e seus reflexos na pensão. Embora a desaposentação tenha sido vedada pelo STF (Tema 503), as ações pendentes sobre o tema podem impactar o cálculo da pensão por morte quando o segurado faleceu durante a tramitação de ação revisional ou de desaposentação.</w:t>
      </w:r>
    </w:p>
    <w:p w14:paraId="6A77F80D" w14:textId="77777777" w:rsidR="005A5FCC" w:rsidRDefault="00A21C81">
      <w:pPr>
        <w:ind w:firstLine="238"/>
      </w:pPr>
      <w:r>
        <w:rPr>
          <w:rFonts w:cs="EB Garamond"/>
          <w:kern w:val="16"/>
          <w14:ligatures w14:val="standardContextual"/>
        </w:rPr>
        <w:t>A quinta particularidade envolve a prescrição quinquenal das parcelas. A pensão por morte, como benefício previdenciário, submete-se à prescrição quinquenal das parcelas (art. 103, parágrafo único, Lei n. 8.213/91), mas não à decadência do direito ao benefício em si. O dependente pode requerer a pensão a qualquer tempo após o óbito — não há decadência do direito fundamental à pensão por morte. As parcelas anteriores ao quinquênio que antecede o requerimento ou a citação do INSS, contudo, estão prescritas. A distinção entre decadência (do direito ao benefício, que não existe para pensão por morte) e prescrição (das parcelas vencidas há mais de cinco anos), frequentemente confundida na prática forense, tem consequências processuais determinantes.</w:t>
      </w:r>
    </w:p>
    <w:p w14:paraId="17740383" w14:textId="77777777" w:rsidR="005A5FCC" w:rsidRDefault="00A21C81">
      <w:pPr>
        <w:ind w:firstLine="238"/>
      </w:pPr>
      <w:r>
        <w:rPr>
          <w:rFonts w:cs="EB Garamond"/>
          <w:kern w:val="16"/>
          <w14:ligatures w14:val="standardContextual"/>
        </w:rPr>
        <w:t>A sexta particularidade é a questão do valor da causa nos JEFs. Para a fixação do valor da causa e a renúncia ao excedente nos JEFs, ver Cap. 23, §§ 23.3 e 23.5. Na pensão por morte, os atrasados acumulados de óbitos antigos podem exigir a opção pela renúncia para manutenção da competência do JEF.</w:t>
      </w:r>
    </w:p>
    <w:p w14:paraId="58B76492" w14:textId="77777777" w:rsidR="005A5FCC" w:rsidRDefault="00A21C81">
      <w:pPr>
        <w:ind w:firstLine="238"/>
      </w:pPr>
      <w:r>
        <w:rPr>
          <w:rFonts w:cs="EB Garamond"/>
          <w:kern w:val="16"/>
          <w14:ligatures w14:val="standardContextual"/>
        </w:rPr>
        <w:lastRenderedPageBreak/>
        <w:t>A sétima particularidade diz respeito ao ônus probatório em ações de pensão por morte. A distribuição do ônus segue a regra geral do art. 373 do CPC/2015: ao autor incumbe provar os fatos constitutivos de seu direito (óbito, relação de dependência, qualidade de segurado); ao réu (INSS) incumbe provar os fatos impeditivos, modificativos ou extintivos. Contudo, o juiz do JEF pode aplicar a distribuição dinâmica do ônus probatório (art. 373, § 1º, CPC/2015) quando a produção da prova for excessivamente difícil para o dependente e mais fácil para o INSS — situação que ocorre, por exemplo, quando o INSS alega a existência de renda própria do dependente (informação que a autarquia pode acessar por cruzamento de dados no CNIS e na Receita Federal).</w:t>
      </w:r>
    </w:p>
    <w:p w14:paraId="0E9A26C9"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19.37 Pensão por morte do segurado especial e do trabalhador rural</w:t>
      </w:r>
    </w:p>
    <w:p w14:paraId="4ACE9628"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72634BA7" w14:textId="77777777" w:rsidR="005A5FCC" w:rsidRDefault="00A21C81">
      <w:r>
        <w:rPr>
          <w:rFonts w:cs="EB Garamond"/>
          <w:kern w:val="16"/>
          <w14:ligatures w14:val="standardContextual"/>
        </w:rPr>
        <w:t xml:space="preserve"> pensão por morte do segurado especial (trabalhador rural em regime de economia familiar, pescador artesanal, seringueiro, extrativista vegetal) apresenta particularidades que a distinguem das demais modalidades e merece exame detido, dada a frequência dessas ações nos JEFs das regiões Norte, Nordeste e Centro-Oeste.</w:t>
      </w:r>
    </w:p>
    <w:p w14:paraId="665A3EAD" w14:textId="77777777" w:rsidR="005A5FCC" w:rsidRDefault="00A21C81">
      <w:pPr>
        <w:ind w:firstLine="238"/>
      </w:pPr>
      <w:r>
        <w:rPr>
          <w:rFonts w:cs="EB Garamond"/>
          <w:kern w:val="16"/>
          <w14:ligatures w14:val="standardContextual"/>
        </w:rPr>
        <w:t>O segurado especial é definido no art. 11, VII, da Lei n. 8.213/91 (para definição detalhada e atividades que não descaracterizam a condição, ver Cap. 9, §§ 9.3-9.5).</w:t>
      </w:r>
    </w:p>
    <w:p w14:paraId="2F235A2D" w14:textId="77777777" w:rsidR="005A5FCC" w:rsidRDefault="00A21C81">
      <w:pPr>
        <w:ind w:firstLine="238"/>
      </w:pPr>
      <w:r>
        <w:rPr>
          <w:rFonts w:cs="EB Garamond"/>
          <w:kern w:val="16"/>
          <w14:ligatures w14:val="standardContextual"/>
        </w:rPr>
        <w:t>A comprovação da qualidade de segurado especial do falecido é o ponto central das ações de pensão por morte rural nos JEFs. O art. 106 da Lei n. 8.213/91 elenca os documentos aptos a comprovar o exercício de atividade rural, entre os quais: contrato de arrendamento, parceria ou comodato rural; declaração fundamentada de sindicato de trabalhadores rurais; comprovante de cadastro no INCRA; bloco de notas do produtor rural; declaração de aptidão ao PRONAF (DAP); e documentos fiscais relativos à entrega de produção rural à cooperativa agrícola ou a entidades oficiais de comercialização.</w:t>
      </w:r>
    </w:p>
    <w:p w14:paraId="7A473654" w14:textId="77777777" w:rsidR="005A5FCC" w:rsidRDefault="00A21C81">
      <w:pPr>
        <w:ind w:firstLine="238"/>
      </w:pPr>
      <w:r>
        <w:rPr>
          <w:rFonts w:cs="EB Garamond"/>
          <w:kern w:val="16"/>
          <w14:ligatures w14:val="standardContextual"/>
        </w:rPr>
        <w:t xml:space="preserve">A Súmula 149 do STJ dispõe que "a prova exclusivamente testemunhal não basta à comprovação da atividade rurícola, para efeito da obtenção de benefício </w:t>
      </w:r>
      <w:r>
        <w:rPr>
          <w:rFonts w:cs="EB Garamond"/>
          <w:kern w:val="16"/>
          <w14:ligatures w14:val="standardContextual"/>
        </w:rPr>
        <w:lastRenderedPageBreak/>
        <w:t>previdenciário." A exigência de início de prova material aplica-se tanto ao segurado especial quanto aos dependentes que buscam a pensão por morte. A jurisprudência, contudo, flexibilizou o rigor da exigência: aceita-se início de prova material em nome de qualquer membro do grupo familiar, documentos emitidos em período razoavelmente próximo ao fato a provar e até mesmo prova material com imperfeições formais, desde que corroborada por prova testemunhal convincente.</w:t>
      </w:r>
    </w:p>
    <w:p w14:paraId="18FC2762" w14:textId="77777777" w:rsidR="005A5FCC" w:rsidRDefault="00A21C81">
      <w:pPr>
        <w:ind w:firstLine="238"/>
      </w:pPr>
      <w:r>
        <w:rPr>
          <w:rFonts w:cs="EB Garamond"/>
          <w:kern w:val="16"/>
          <w14:ligatures w14:val="standardContextual"/>
        </w:rPr>
        <w:t>A prova material em nome do cônjuge falecido, quando insuficiente, pode ser complementada por documentos em nome do dependente sobrevivente (ou vice-versa), pois o regime de economia familiar pressupõe o trabalho conjunto. A TNU assentou que "documentos emitidos em nome de um dos membros da família podem servir como início de prova material para os demais, desde que corroborados por prova testemunhal idônea." Fotografias do cultivo, notas de compra de insumos agrícolas, certidões do registro de imóveis rurais e histórico escolar de filhos em escolas rurais são elementos complementares frequentemente utilizados nos JEFs.</w:t>
      </w:r>
    </w:p>
    <w:tbl>
      <w:tblPr>
        <w:tblW w:w="5000" w:type="pct"/>
        <w:jc w:val="center"/>
        <w:tblLayout w:type="fixed"/>
        <w:tblLook w:val="04A0" w:firstRow="1" w:lastRow="0" w:firstColumn="1" w:lastColumn="0" w:noHBand="0" w:noVBand="1"/>
      </w:tblPr>
      <w:tblGrid>
        <w:gridCol w:w="6311"/>
      </w:tblGrid>
      <w:tr w:rsidR="005A5FCC" w14:paraId="1328A8FF"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1C7F9F9D"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671B08AC" w14:textId="77777777" w:rsidR="005A5FCC" w:rsidRDefault="00A21C81">
            <w:pPr>
              <w:spacing w:after="60" w:line="247" w:lineRule="auto"/>
            </w:pPr>
            <w:r>
              <w:rPr>
                <w:rFonts w:cs="EB Garamond"/>
                <w:kern w:val="16"/>
                <w:sz w:val="19"/>
                <w14:ligatures w14:val="standardContextual"/>
              </w:rPr>
              <w:t>Nas ações de pensão por morte de segurado especial nos JEFs, a instrução probatória deve contemplar: (a) documentos do falecido que demonstrem atividade rural (DAP, notas de produtor, cadastro no INCRA, ficha de sindicato rural); (b) se insuficientes, documentos do cônjuge sobrevivente ou de filhos que integrem o grupo familiar; (c) prova testemunhal de vizinhos, compradores de produção, proprietários de terras arrendadas e membros do sindicato rural; (d) inspeção judicial, quando o juiz considerar necessária a verificação in loco das condições de trabalho e moradia. A audiência de instrução é praticamente obrigatória nessas ações, dada a centralidade da prova testemunhal para complementar o início de prova material. O advogado deve arrolar testemunhas que conheçam a atividade do falecido por períodos longos e que possam descrever com detalhes o tipo de cultivo, a extensão da propriedade, as condições de trabalho e a participação do grupo familiar.</w:t>
            </w:r>
          </w:p>
        </w:tc>
      </w:tr>
    </w:tbl>
    <w:p w14:paraId="19E7F171" w14:textId="77777777" w:rsidR="005A5FCC" w:rsidRDefault="005A5FCC">
      <w:pPr>
        <w:spacing w:after="80" w:line="240" w:lineRule="auto"/>
      </w:pPr>
    </w:p>
    <w:p w14:paraId="7226355E"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3EDA55A1" w14:textId="1FA5B301" w:rsidR="005A5FCC" w:rsidRDefault="00A21C81">
      <w:r>
        <w:rPr>
          <w:rFonts w:cs="EB Garamond"/>
          <w:kern w:val="16"/>
          <w14:ligatures w14:val="standardContextual"/>
        </w:rPr>
        <w:t xml:space="preserve"> valor da pensão por morte do segurado especial é fixado em um </w:t>
      </w:r>
      <w:r w:rsidR="00717707">
        <w:rPr>
          <w:rFonts w:cs="EB Garamond"/>
          <w:kern w:val="16"/>
          <w14:ligatures w14:val="standardContextual"/>
        </w:rPr>
        <w:t>salário-mínimo</w:t>
      </w:r>
      <w:r>
        <w:rPr>
          <w:rFonts w:cs="EB Garamond"/>
          <w:kern w:val="16"/>
          <w14:ligatures w14:val="standardContextual"/>
        </w:rPr>
        <w:t xml:space="preserve"> quando o segurado não verteu contribuições facultativas comple</w:t>
      </w:r>
      <w:r>
        <w:rPr>
          <w:rFonts w:cs="EB Garamond"/>
          <w:kern w:val="16"/>
          <w14:ligatures w14:val="standardContextual"/>
        </w:rPr>
        <w:lastRenderedPageBreak/>
        <w:t xml:space="preserve">mentares (art. 39, I, Lei n. 8.213/91). Se o segurado especial contribuía facultativamente sobre valor superior ao </w:t>
      </w:r>
      <w:r w:rsidR="00717707">
        <w:rPr>
          <w:rFonts w:cs="EB Garamond"/>
          <w:kern w:val="16"/>
          <w14:ligatures w14:val="standardContextual"/>
        </w:rPr>
        <w:t>salário-mínimo</w:t>
      </w:r>
      <w:r>
        <w:rPr>
          <w:rFonts w:cs="EB Garamond"/>
          <w:kern w:val="16"/>
          <w14:ligatures w14:val="standardContextual"/>
        </w:rPr>
        <w:t xml:space="preserve"> (art. 39, II), a pensão por morte terá por base o salário de benefício calculado sobre essas contribuições. Na prática dos JEFs, a grande maioria das pensões por morte rurais é fixada no piso de um </w:t>
      </w:r>
      <w:r w:rsidR="00717707">
        <w:rPr>
          <w:rFonts w:cs="EB Garamond"/>
          <w:kern w:val="16"/>
          <w14:ligatures w14:val="standardContextual"/>
        </w:rPr>
        <w:t>salário-mínimo</w:t>
      </w:r>
      <w:r>
        <w:rPr>
          <w:rFonts w:cs="EB Garamond"/>
          <w:kern w:val="16"/>
          <w14:ligatures w14:val="standardContextual"/>
        </w:rPr>
        <w:t>, pois o segurado especial típico não realiza contribuições facultativas.</w:t>
      </w:r>
    </w:p>
    <w:p w14:paraId="5913CC57" w14:textId="78CC06BC" w:rsidR="005A5FCC" w:rsidRDefault="00A21C81">
      <w:pPr>
        <w:ind w:firstLine="238"/>
      </w:pPr>
      <w:r>
        <w:rPr>
          <w:rFonts w:cs="EB Garamond"/>
          <w:kern w:val="16"/>
          <w14:ligatures w14:val="standardContextual"/>
        </w:rPr>
        <w:t xml:space="preserve">A aplicação do sistema de cotas da EC n. 103/2019 à pensão por morte do segurado especial é matéria relevante. O art. 23, § 2º, garante que a pensão por morte não será inferior ao </w:t>
      </w:r>
      <w:r w:rsidR="00717707">
        <w:rPr>
          <w:rFonts w:cs="EB Garamond"/>
          <w:kern w:val="16"/>
          <w14:ligatures w14:val="standardContextual"/>
        </w:rPr>
        <w:t>salário-mínimo</w:t>
      </w:r>
      <w:r>
        <w:rPr>
          <w:rFonts w:cs="EB Garamond"/>
          <w:kern w:val="16"/>
          <w14:ligatures w14:val="standardContextual"/>
        </w:rPr>
        <w:t xml:space="preserve"> quando constituir a única fonte de renda formal do dependente. Em termos operacionais, como a base de cálculo da pensão do segurado especial já é o </w:t>
      </w:r>
      <w:r w:rsidR="00717707">
        <w:rPr>
          <w:rFonts w:cs="EB Garamond"/>
          <w:kern w:val="16"/>
          <w14:ligatures w14:val="standardContextual"/>
        </w:rPr>
        <w:t>salário-mínimo</w:t>
      </w:r>
      <w:r>
        <w:rPr>
          <w:rFonts w:cs="EB Garamond"/>
          <w:kern w:val="16"/>
          <w14:ligatures w14:val="standardContextual"/>
        </w:rPr>
        <w:t>, a aplicação do sistema de cotas resultaria em valor inferior ao piso — situação em que a garantia do § 2º é acionada para elevar o benefício ao salário</w:t>
      </w:r>
      <w:r w:rsidR="00717707">
        <w:rPr>
          <w:rFonts w:cs="EB Garamond"/>
          <w:kern w:val="16"/>
          <w14:ligatures w14:val="standardContextual"/>
        </w:rPr>
        <w:t>-</w:t>
      </w:r>
      <w:r>
        <w:rPr>
          <w:rFonts w:cs="EB Garamond"/>
          <w:kern w:val="16"/>
          <w14:ligatures w14:val="standardContextual"/>
        </w:rPr>
        <w:t xml:space="preserve">mínimo. O efeito prático é que a pensão por morte do segurado especial, na maioria dos casos, permanece no valor de um </w:t>
      </w:r>
      <w:r w:rsidR="00717707">
        <w:rPr>
          <w:rFonts w:cs="EB Garamond"/>
          <w:kern w:val="16"/>
          <w14:ligatures w14:val="standardContextual"/>
        </w:rPr>
        <w:t>salário-mínimo</w:t>
      </w:r>
      <w:r>
        <w:rPr>
          <w:rFonts w:cs="EB Garamond"/>
          <w:kern w:val="16"/>
          <w14:ligatures w14:val="standardContextual"/>
        </w:rPr>
        <w:t xml:space="preserve"> independentemente do número de dependentes, por força da garantia constitucional do piso.</w:t>
      </w:r>
    </w:p>
    <w:p w14:paraId="6793110D" w14:textId="77777777" w:rsidR="005A5FCC" w:rsidRDefault="00A21C81">
      <w:pPr>
        <w:ind w:firstLine="238"/>
      </w:pPr>
      <w:r>
        <w:rPr>
          <w:rFonts w:cs="EB Garamond"/>
          <w:kern w:val="16"/>
          <w14:ligatures w14:val="standardContextual"/>
        </w:rPr>
        <w:t>A descaracterização da atividade rural do falecido é a principal tese defensiva do INSS nas ações de pensão por morte rural. Vínculos urbanos curtos no CNIS não descaracterizam, por si sós, a condição de segurado especial (Cap. 9, § 9.5). O advogado deve demonstrar que a atividade rural era predominante e que eventuais intervalos urbanos não romperam o regime de economia familiar.</w:t>
      </w:r>
    </w:p>
    <w:p w14:paraId="10020BB3"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19.38 Pensão por morte e o microempreendedor individual (MEI)</w:t>
      </w:r>
    </w:p>
    <w:p w14:paraId="39877BB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1DA0E87B" w14:textId="053F14A7" w:rsidR="005A5FCC" w:rsidRDefault="00A21C81">
      <w:r>
        <w:rPr>
          <w:rFonts w:cs="EB Garamond"/>
          <w:kern w:val="16"/>
          <w14:ligatures w14:val="standardContextual"/>
        </w:rPr>
        <w:t xml:space="preserve"> microempreendedor individual (MEI) que contribui para o RGPS na alíquota reduzida de 5% sobre o </w:t>
      </w:r>
      <w:r w:rsidR="00717707">
        <w:rPr>
          <w:rFonts w:cs="EB Garamond"/>
          <w:kern w:val="16"/>
          <w14:ligatures w14:val="standardContextual"/>
        </w:rPr>
        <w:t>salário-mínimo</w:t>
      </w:r>
      <w:r>
        <w:rPr>
          <w:rFonts w:cs="EB Garamond"/>
          <w:kern w:val="16"/>
          <w14:ligatures w14:val="standardContextual"/>
        </w:rPr>
        <w:t xml:space="preserve"> (art. 18-A, § 3º, II, LC n. 123/2006) gera direito à pensão por morte para seus dependentes, nas mesmas condições dos demais segurados. A contribuição reduzida assegura cobertura previdenciária integral para os benefícios de risco (aposentadoria por incapacidade permanente, auxílio por incapacidade temporária, salário-maternidade e </w:t>
      </w:r>
      <w:r>
        <w:rPr>
          <w:rFonts w:cs="EB Garamond"/>
          <w:kern w:val="16"/>
          <w14:ligatures w14:val="standardContextual"/>
        </w:rPr>
        <w:lastRenderedPageBreak/>
        <w:t>pensão por morte), embora restrinja o acesso à aposentadoria por tempo de contribuição (art. 21, § 2º, Lei n. 8.212/91).</w:t>
      </w:r>
    </w:p>
    <w:p w14:paraId="41036C7B" w14:textId="1FD91B49" w:rsidR="005A5FCC" w:rsidRDefault="00A21C81">
      <w:pPr>
        <w:ind w:firstLine="238"/>
      </w:pPr>
      <w:r>
        <w:rPr>
          <w:rFonts w:cs="EB Garamond"/>
          <w:kern w:val="16"/>
          <w14:ligatures w14:val="standardContextual"/>
        </w:rPr>
        <w:t xml:space="preserve">A questão relevante para a pensão por morte do MEI diz respeito ao cálculo do benefício sob o regime da EC n. 103/2019. Como o MEI contribui sobre o </w:t>
      </w:r>
      <w:r w:rsidR="00717707">
        <w:rPr>
          <w:rFonts w:cs="EB Garamond"/>
          <w:kern w:val="16"/>
          <w14:ligatures w14:val="standardContextual"/>
        </w:rPr>
        <w:t>salário-mínimo</w:t>
      </w:r>
      <w:r>
        <w:rPr>
          <w:rFonts w:cs="EB Garamond"/>
          <w:kern w:val="16"/>
          <w14:ligatures w14:val="standardContextual"/>
        </w:rPr>
        <w:t xml:space="preserve">, a média dos salários de contribuição (base para o cálculo da aposentadoria hipotética por incapacidade permanente) tende a corresponder ao próprio </w:t>
      </w:r>
      <w:r w:rsidR="00717707">
        <w:rPr>
          <w:rFonts w:cs="EB Garamond"/>
          <w:kern w:val="16"/>
          <w14:ligatures w14:val="standardContextual"/>
        </w:rPr>
        <w:t>salário-mínimo</w:t>
      </w:r>
      <w:r>
        <w:rPr>
          <w:rFonts w:cs="EB Garamond"/>
          <w:kern w:val="16"/>
          <w14:ligatures w14:val="standardContextual"/>
        </w:rPr>
        <w:t xml:space="preserve">. A aplicação do coeficiente de 60% + 2% por ano excedente a 20 anos geraria valor inferior ao </w:t>
      </w:r>
      <w:r w:rsidR="00717707">
        <w:rPr>
          <w:rFonts w:cs="EB Garamond"/>
          <w:kern w:val="16"/>
          <w14:ligatures w14:val="standardContextual"/>
        </w:rPr>
        <w:t>salário-mínimo</w:t>
      </w:r>
      <w:r>
        <w:rPr>
          <w:rFonts w:cs="EB Garamond"/>
          <w:kern w:val="16"/>
          <w14:ligatures w14:val="standardContextual"/>
        </w:rPr>
        <w:t xml:space="preserve">, de modo que a garantia do art. 23, § 2º, da EC n. 103/2019 é acionada. Na prática, a pensão por morte do MEI é fixada no </w:t>
      </w:r>
      <w:r w:rsidR="00717707">
        <w:rPr>
          <w:rFonts w:cs="EB Garamond"/>
          <w:kern w:val="16"/>
          <w14:ligatures w14:val="standardContextual"/>
        </w:rPr>
        <w:t>salário-mínimo</w:t>
      </w:r>
      <w:r>
        <w:rPr>
          <w:rFonts w:cs="EB Garamond"/>
          <w:kern w:val="16"/>
          <w14:ligatures w14:val="standardContextual"/>
        </w:rPr>
        <w:t xml:space="preserve"> quando o dependente não possui outra fonte de renda formal — resultado idêntico ao do segurado especial.</w:t>
      </w:r>
    </w:p>
    <w:p w14:paraId="3B65948F" w14:textId="77777777" w:rsidR="005A5FCC" w:rsidRDefault="00A21C81">
      <w:pPr>
        <w:ind w:firstLine="238"/>
      </w:pPr>
      <w:r>
        <w:rPr>
          <w:rFonts w:cs="EB Garamond"/>
          <w:kern w:val="16"/>
          <w14:ligatures w14:val="standardContextual"/>
        </w:rPr>
        <w:t>A manutenção da qualidade de segurado do MEI exige o pagamento regular das contribuições mensais por meio do DAS (Documento de Arrecadação do Simples Nacional). O MEI que deixa de recolher as contribuições mantém a qualidade de segurado pelo período de graça (12 meses, prorrogáveis conforme as regras do art. 15 da Lei n. 8.213/91). Na experiência dos juizados, a inadimplência do MEI é frequente, e o advogado deve verificar no CNIS se as contribuições estavam em dia na data do óbito ou se o falecido estava dentro do período de graça.</w:t>
      </w:r>
    </w:p>
    <w:tbl>
      <w:tblPr>
        <w:tblW w:w="5000" w:type="pct"/>
        <w:jc w:val="center"/>
        <w:tblLayout w:type="fixed"/>
        <w:tblLook w:val="04A0" w:firstRow="1" w:lastRow="0" w:firstColumn="1" w:lastColumn="0" w:noHBand="0" w:noVBand="1"/>
      </w:tblPr>
      <w:tblGrid>
        <w:gridCol w:w="6311"/>
      </w:tblGrid>
      <w:tr w:rsidR="005A5FCC" w14:paraId="12EE8D9D"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4300FEAD"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18370CB0" w14:textId="6679FA1F" w:rsidR="005A5FCC" w:rsidRDefault="00A21C81">
            <w:pPr>
              <w:spacing w:after="60" w:line="247" w:lineRule="auto"/>
            </w:pPr>
            <w:r>
              <w:rPr>
                <w:rFonts w:cs="EB Garamond"/>
                <w:kern w:val="16"/>
                <w:sz w:val="19"/>
                <w14:ligatures w14:val="standardContextual"/>
              </w:rPr>
              <w:t xml:space="preserve">O MEI que complementa sua contribuição para 20% sobre o </w:t>
            </w:r>
            <w:r w:rsidR="00717707">
              <w:rPr>
                <w:rFonts w:cs="EB Garamond"/>
                <w:kern w:val="16"/>
                <w:sz w:val="19"/>
                <w14:ligatures w14:val="standardContextual"/>
              </w:rPr>
              <w:t>salário-mínimo</w:t>
            </w:r>
            <w:r>
              <w:rPr>
                <w:rFonts w:cs="EB Garamond"/>
                <w:kern w:val="16"/>
                <w:sz w:val="19"/>
                <w14:ligatures w14:val="standardContextual"/>
              </w:rPr>
              <w:t xml:space="preserve"> (pagando a diferença de 15%) adquire tempo de contribuição para fins de aposentadoria por tempo de contribuição e pode ter base de cálculo superior para a pensão por morte. A complementação é facultativa e retroativa: o MEI pode, a qualquer tempo, complementar contribuições já recolhidas na alíquota de 5%, assegurando aos dependentes base de cálculo mais vantajosa em eventual pensão por morte. A orientação sobre essa possibilidade é relevante no planejamento previdenciário de segurados MEI com dependentes.</w:t>
            </w:r>
          </w:p>
        </w:tc>
      </w:tr>
    </w:tbl>
    <w:p w14:paraId="64BB730F" w14:textId="77777777" w:rsidR="005A5FCC" w:rsidRDefault="005A5FCC">
      <w:pPr>
        <w:spacing w:after="80" w:line="240" w:lineRule="auto"/>
      </w:pPr>
    </w:p>
    <w:p w14:paraId="0639FB0B"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19.39 Tutela de urgência e implantação provisória nos JEFs</w:t>
      </w:r>
    </w:p>
    <w:p w14:paraId="79607A62"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0543F3F2" w14:textId="77777777" w:rsidR="005A5FCC" w:rsidRDefault="00A21C81">
      <w:r>
        <w:rPr>
          <w:rFonts w:cs="EB Garamond"/>
          <w:kern w:val="16"/>
          <w14:ligatures w14:val="standardContextual"/>
        </w:rPr>
        <w:t xml:space="preserve"> concessão de tutela de urgência nas ações de pensão por morte tem especificidades decorrentes da natureza alimentar agravada do benefício. Para os requisitos gerais da tutela de urgência nos JEFs previdenciários (art. 300, CPC/2015), a teoria da dupla irreversibilidade e a irrepetibilidade de valores alimentares, ver Cap. 23, § 23.16.</w:t>
      </w:r>
    </w:p>
    <w:p w14:paraId="1AF24596" w14:textId="77777777" w:rsidR="005A5FCC" w:rsidRDefault="00A21C81">
      <w:pPr>
        <w:ind w:firstLine="238"/>
      </w:pPr>
      <w:r>
        <w:rPr>
          <w:rFonts w:cs="EB Garamond"/>
          <w:kern w:val="16"/>
          <w14:ligatures w14:val="standardContextual"/>
        </w:rPr>
        <w:t>A particularidade da pensão por morte reside na intensidade da urgência: a dependência integral do cônjuge ou companheiro(a) em relação à renda do segurado falecido configura, na maioria dos casos, perigo de dano grave e imediato. Os JEFs têm adotado postura favorável à concessão de tutela antecipada, especialmente quando a probabilidade do direito é elevada (cônjuge com certidão de casamento e segurado com vínculo ativo na data do óbito). Em casos de maior complexidade probatória (comprovação de união estável, dependência econômica de pais), a tutela costuma ser deferida após a contestação do INSS ou na audiência de instrução.</w:t>
      </w:r>
    </w:p>
    <w:tbl>
      <w:tblPr>
        <w:tblW w:w="5000" w:type="pct"/>
        <w:jc w:val="center"/>
        <w:tblLayout w:type="fixed"/>
        <w:tblLook w:val="04A0" w:firstRow="1" w:lastRow="0" w:firstColumn="1" w:lastColumn="0" w:noHBand="0" w:noVBand="1"/>
      </w:tblPr>
      <w:tblGrid>
        <w:gridCol w:w="6311"/>
      </w:tblGrid>
      <w:tr w:rsidR="005A5FCC" w14:paraId="76B0A704"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5B644795"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311B12E5" w14:textId="77777777" w:rsidR="005A5FCC" w:rsidRDefault="00A21C81">
            <w:pPr>
              <w:spacing w:after="60" w:line="247" w:lineRule="auto"/>
            </w:pPr>
            <w:r>
              <w:rPr>
                <w:rFonts w:cs="EB Garamond"/>
                <w:kern w:val="16"/>
                <w:sz w:val="19"/>
                <w14:ligatures w14:val="standardContextual"/>
              </w:rPr>
              <w:t>Na tutela de urgência em ações de pensão por morte, além dos elementos gerais (Cap. 23, § 23.16), o advogado deve demonstrar especificamente: (a) a privação da renda alimentar que o segurado provia à família; (b) que a pensão por morte é a única ou principal fonte de renda esperada pelo dependente; (c) a presença de menores de idade, idosos ou pessoas com deficiência no núcleo familiar. O pedido de implantação provisória do benefício deve ser formulado desde a inicial, com indicação do NB (número de benefício) se existente.</w:t>
            </w:r>
          </w:p>
        </w:tc>
      </w:tr>
    </w:tbl>
    <w:p w14:paraId="72043DC2" w14:textId="77777777" w:rsidR="005A5FCC" w:rsidRDefault="005A5FCC">
      <w:pPr>
        <w:spacing w:after="80" w:line="240" w:lineRule="auto"/>
      </w:pPr>
    </w:p>
    <w:p w14:paraId="27C23EAE"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61EB4EC8" w14:textId="77777777" w:rsidR="005A5FCC" w:rsidRDefault="00A21C81">
      <w:r>
        <w:rPr>
          <w:rFonts w:cs="EB Garamond"/>
          <w:kern w:val="16"/>
          <w14:ligatures w14:val="standardContextual"/>
        </w:rPr>
        <w:t xml:space="preserve"> cessação da tutela de urgência deferida em favor do dependente, em caso de improcedência da ação, gera o problema da devolução dos valores recebidos. A jurisprudência dos Tribunais Regionais Federais e do STJ tem assinalado que os valores recebidos de boa-fé por força de tutela antecipada em matéria previdenciária são irrepetíveis (não devem ser devolvidos), salvo </w:t>
      </w:r>
      <w:r>
        <w:rPr>
          <w:rFonts w:cs="EB Garamond"/>
          <w:kern w:val="16"/>
          <w14:ligatures w14:val="standardContextual"/>
        </w:rPr>
        <w:lastRenderedPageBreak/>
        <w:t>comprovação de dolo ou fraude por parte do beneficiário. O fundamento é a natureza alimentar dos valores e a boa-fé do dependente que recebeu o benefício por determinação judicial. O INSS pode, contudo, requerer a devolução em caso de comprovação de má-fé (falsificação de documentos, simulação de relação conjugal, omissão de informações relevantes).</w:t>
      </w:r>
    </w:p>
    <w:p w14:paraId="1B3A49FE"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19.40 Prova da qualidade de segurado: estratégias processuais</w:t>
      </w:r>
    </w:p>
    <w:p w14:paraId="2635480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651800B7" w14:textId="77777777" w:rsidR="005A5FCC" w:rsidRDefault="00A21C81">
      <w:r>
        <w:rPr>
          <w:rFonts w:cs="EB Garamond"/>
          <w:kern w:val="16"/>
          <w14:ligatures w14:val="standardContextual"/>
        </w:rPr>
        <w:t xml:space="preserve"> comprovação da qualidade de segurado do falecido na data do óbito constitui pressuposto da pensão por morte e frequentemente representa o principal ponto de controvérsia nas ações judiciais. O INSS indefere o pedido quando o CNIS (Cadastro Nacional de Informações Sociais) não registra contribuições recentes ou quando a data do óbito é posterior ao término do período de graça.</w:t>
      </w:r>
    </w:p>
    <w:p w14:paraId="64E048B7" w14:textId="77777777" w:rsidR="005A5FCC" w:rsidRDefault="00A21C81">
      <w:pPr>
        <w:ind w:firstLine="238"/>
      </w:pPr>
      <w:r>
        <w:rPr>
          <w:rFonts w:cs="EB Garamond"/>
          <w:kern w:val="16"/>
          <w14:ligatures w14:val="standardContextual"/>
        </w:rPr>
        <w:t>A estratégia processual para comprovar a qualidade de segurado do falecido deve considerar as diversas possibilidades normativas. A primeira é a demonstração de vínculo empregatício não registrado no CNIS. O CNIS pode conter falhas — vínculos empregatícios que existiram de fato, mas não foram registrados pelo empregador. A CTPS do falecido, com anotações de vínculo, constitui início de prova material do contrato de trabalho e pode ser complementada por prova testemunhal. O juiz do JEF pode determinar a retificação do CNIS com base na prova produzida, reconhecendo o vínculo empregatício e, consequentemente, a qualidade de segurado na data do óbito.</w:t>
      </w:r>
    </w:p>
    <w:p w14:paraId="0B528553" w14:textId="77777777" w:rsidR="005A5FCC" w:rsidRDefault="00A21C81">
      <w:pPr>
        <w:ind w:firstLine="238"/>
      </w:pPr>
      <w:r>
        <w:rPr>
          <w:rFonts w:cs="EB Garamond"/>
          <w:kern w:val="16"/>
          <w14:ligatures w14:val="standardContextual"/>
        </w:rPr>
        <w:t>A segunda estratégia envolve a comprovação de atividade rural não registrada. O trabalhador rural que exercia atividade em regime de economia familiar (segurado especial) ou como empregado rural frequentemente não possui registros no CNIS. A prova material e testemunhal da atividade rural, nos termos já examinados (seção 19.37), permite o reconhecimento da qualidade de segurado na data do óbito.</w:t>
      </w:r>
    </w:p>
    <w:p w14:paraId="77D189C1" w14:textId="77777777" w:rsidR="005A5FCC" w:rsidRDefault="00A21C81">
      <w:pPr>
        <w:ind w:firstLine="238"/>
      </w:pPr>
      <w:r>
        <w:rPr>
          <w:rFonts w:cs="EB Garamond"/>
          <w:kern w:val="16"/>
          <w14:ligatures w14:val="standardContextual"/>
        </w:rPr>
        <w:t xml:space="preserve">A terceira estratégia é a comprovação do período de graça estendido (Cap. 3, §§ 3.6.2 e 3.7.1). Na pensão por morte, a prova do desemprego involuntário do </w:t>
      </w:r>
      <w:r>
        <w:rPr>
          <w:rFonts w:cs="EB Garamond"/>
          <w:kern w:val="16"/>
          <w14:ligatures w14:val="standardContextual"/>
        </w:rPr>
        <w:lastRenderedPageBreak/>
        <w:t>falecido pode ser feita por qualquer meio idôneo, inclusive declaração do segurado corroborada por testemunhas (TNU). A jurisprudência flexibilizou a exigência, admitindo registros no SINE, comprovante de seguro-desemprego, declarações de órgãos públicos e outros meios de prova.</w:t>
      </w:r>
    </w:p>
    <w:tbl>
      <w:tblPr>
        <w:tblW w:w="5000" w:type="pct"/>
        <w:jc w:val="center"/>
        <w:tblLayout w:type="fixed"/>
        <w:tblLook w:val="04A0" w:firstRow="1" w:lastRow="0" w:firstColumn="1" w:lastColumn="0" w:noHBand="0" w:noVBand="1"/>
      </w:tblPr>
      <w:tblGrid>
        <w:gridCol w:w="6311"/>
      </w:tblGrid>
      <w:tr w:rsidR="005A5FCC" w14:paraId="1F25A3ED"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3C9EB1B1"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2F13A174" w14:textId="77777777" w:rsidR="005A5FCC" w:rsidRDefault="00A21C81">
            <w:pPr>
              <w:spacing w:after="60" w:line="247" w:lineRule="auto"/>
            </w:pPr>
            <w:r>
              <w:rPr>
                <w:rFonts w:cs="EB Garamond"/>
                <w:kern w:val="16"/>
                <w:sz w:val="19"/>
                <w14:ligatures w14:val="standardContextual"/>
              </w:rPr>
              <w:t>A quarta estratégia é a aplicação do art. 102, § 2º, da Lei n. 8.213/91: quando o segurado, antes da perda da qualidade, já havia preenchido todos os requisitos para uma aposentadoria (por idade ou por tempo de contribuição), o direito ao benefício está incorporado ao patrimônio jurídico do segurado e gera direito à pensão por morte para os dependentes, independentemente da perda superveniente da qualidade de segurado. O advogado deve analisar todo o histórico contributivo do falecido para verificar se, em algum momento anterior à perda da qualidade, os requisitos de aposentadoria estavam cumpridos. Essa análise é especialmente relevante quando o segurado perdeu a qualidade há muitos anos: se já tinha 65 anos de idade e 180 contribuições (ou outro requisito de aposentadoria por idade), a pensão é devida mesmo que o período de graça tenha se esgotado décadas antes do óbito.</w:t>
            </w:r>
          </w:p>
        </w:tc>
      </w:tr>
    </w:tbl>
    <w:p w14:paraId="020E8B33" w14:textId="77777777" w:rsidR="005A5FCC" w:rsidRDefault="005A5FCC">
      <w:pPr>
        <w:spacing w:after="80" w:line="240" w:lineRule="auto"/>
      </w:pPr>
    </w:p>
    <w:p w14:paraId="02FEDDAD"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068AE788" w14:textId="77777777" w:rsidR="005A5FCC" w:rsidRDefault="00A21C81">
      <w:r>
        <w:rPr>
          <w:rFonts w:cs="EB Garamond"/>
          <w:kern w:val="16"/>
          <w14:ligatures w14:val="standardContextual"/>
        </w:rPr>
        <w:t xml:space="preserve"> quinta estratégia é a comprovação de contribuições em atraso. O contribuinte individual e o segurado facultativo podem recolher contribuições em atraso, retroagindo a filiação ao RGPS. Se as contribuições em atraso forem regularizadas após o óbito pelos dependentes, a validade dessas contribuições para fins de qualidade de segurado é controvertida. A orientação majoritária é de que contribuições recolhidas após o óbito não restauram a qualidade de segurado perdida antes do falecimento, salvo para o contribuinte individual que comprovadamente exercia atividade remunerada na época das contribuições em atraso e simplesmente não as havia formalizado.</w:t>
      </w:r>
    </w:p>
    <w:p w14:paraId="19E100EE"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19.41 Exemplos práticos de cálculo</w:t>
      </w:r>
    </w:p>
    <w:p w14:paraId="67ED62F8"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18FAB32D" w14:textId="77777777" w:rsidR="005A5FCC" w:rsidRDefault="00A21C81">
      <w:r>
        <w:rPr>
          <w:rFonts w:cs="EB Garamond"/>
          <w:kern w:val="16"/>
          <w14:ligatures w14:val="standardContextual"/>
        </w:rPr>
        <w:t xml:space="preserve"> aplicação prática das regras de cálculo da pensão por morte exige domínio simultâneo do regime aplicável (anterior ou posterior à EC n. 103/2019), da base de cálculo (aposentadoria efetiva ou hipotética), do sistema de cotas </w:t>
      </w:r>
      <w:r>
        <w:rPr>
          <w:rFonts w:cs="EB Garamond"/>
          <w:kern w:val="16"/>
          <w14:ligatures w14:val="standardContextual"/>
        </w:rPr>
        <w:lastRenderedPageBreak/>
        <w:t>e das garantias de piso. Apresentamos exemplos que ilustram as situações mais comuns nos JEFs.</w:t>
      </w:r>
    </w:p>
    <w:p w14:paraId="64B896DE" w14:textId="77777777" w:rsidR="005A5FCC" w:rsidRDefault="00A21C81">
      <w:pPr>
        <w:ind w:firstLine="238"/>
      </w:pPr>
      <w:r>
        <w:rPr>
          <w:rFonts w:cs="EB Garamond"/>
          <w:kern w:val="16"/>
          <w14:ligatures w14:val="standardContextual"/>
        </w:rPr>
        <w:t>Exemplo 1 — Óbito anterior à EC 103/2019 (segurado aposentado). João, aposentado pelo RGPS com renda mensal de R$ 3.500,00, faleceu em 10/03/2019, deixando cônjuge Maria (55 anos) e filho Pedro (19 anos). Regime aplicável: Lei 8.213/91, redação anterior à EC 103/2019. Valor da pensão: 100% da aposentadoria = R$ 3.500,00. Rateio entre cônjuge e filho: R$ 1.750,00 para cada. Duração: Maria recebe pensão vitalícia (45+ anos na data do óbito); Pedro recebe até completar 21 anos. Quando Pedro completa 21 anos, sua cota é revertida a Maria, que passa a receber R$ 3.500,00 integralmente (sob o regime anterior, havia reversão de cotas).</w:t>
      </w:r>
    </w:p>
    <w:p w14:paraId="1880B478" w14:textId="00B4BF77" w:rsidR="005A5FCC" w:rsidRDefault="00A21C81">
      <w:pPr>
        <w:ind w:firstLine="238"/>
      </w:pPr>
      <w:r>
        <w:rPr>
          <w:rFonts w:cs="EB Garamond"/>
          <w:kern w:val="16"/>
          <w14:ligatures w14:val="standardContextual"/>
        </w:rPr>
        <w:t xml:space="preserve">Exemplo 2 — Óbito posterior à EC 103/2019 (segurado aposentado, dependente único). Ana, aposentada pelo RGPS com renda de R$ 4.000,00, faleceu em 15/01/2024, deixando cônjuge Carlos (50 anos) como único dependente. Regime: EC 103/2019. Base de cálculo: R$ 4.000,00 (aposentadoria efetiva). Cotas: 50% (cota familiar) + 10% (um dependente) = 60%. Valor: R$ 4.000,00 × 60% = R$ 2.400,00. Carlos receberá R$ 2.400,00 mensais. Duração: vitalícia (Carlos tinha 50 anos, acima do limite de 45 anos). Se Carlos não possui outra fonte de renda formal, a garantia do piso não se aplica pois R$ 2.400,00 já é superior ao </w:t>
      </w:r>
      <w:r w:rsidR="00717707">
        <w:rPr>
          <w:rFonts w:cs="EB Garamond"/>
          <w:kern w:val="16"/>
          <w14:ligatures w14:val="standardContextual"/>
        </w:rPr>
        <w:t>salário-mínimo</w:t>
      </w:r>
      <w:r>
        <w:rPr>
          <w:rFonts w:cs="EB Garamond"/>
          <w:kern w:val="16"/>
          <w14:ligatures w14:val="standardContextual"/>
        </w:rPr>
        <w:t>.</w:t>
      </w:r>
    </w:p>
    <w:p w14:paraId="1C980FB3" w14:textId="3752F883" w:rsidR="005A5FCC" w:rsidRDefault="00A21C81">
      <w:pPr>
        <w:ind w:firstLine="238"/>
      </w:pPr>
      <w:r>
        <w:rPr>
          <w:rFonts w:cs="EB Garamond"/>
          <w:kern w:val="16"/>
          <w14:ligatures w14:val="standardContextual"/>
        </w:rPr>
        <w:t xml:space="preserve">Exemplo 3 — Óbito posterior à EC 103/2019 (segurado não aposentado). Roberto, contribuinte individual com 15 anos de contribuição e média salarial de R$ 2.500,00, faleceu em 20/05/2024, deixando companheira Lúcia (35 anos) e dois filhos menores (8 e 12 anos). Regime: EC 103/2019. Primeira etapa: cálculo da aposentadoria hipotética por incapacidade permanente. Como Roberto tinha 15 anos de contribuição (inferior a 20 anos exigidos para o segurado homem), o coeficiente é de 60% da </w:t>
      </w:r>
      <w:r w:rsidR="00717707">
        <w:rPr>
          <w:rFonts w:cs="EB Garamond"/>
          <w:kern w:val="16"/>
          <w14:ligatures w14:val="standardContextual"/>
        </w:rPr>
        <w:t>média. [</w:t>
      </w:r>
      <w:r>
        <w:rPr>
          <w:rFonts w:cs="EB Garamond"/>
          <w:kern w:val="16"/>
          <w14:ligatures w14:val="standardContextual"/>
        </w:rPr>
        <w:t xml:space="preserve">^cota-mulher] Aposentadoria hipotética: R$ 2.500,00 × 60% = R$ 1.500,00. Segunda etapa: cotas. 50% (cota familiar) + 10% × 3 (três dependentes) = 80%. Valor da pensão: R$ 1.500,00 × 80% = R$ 1.200,00. Rateio em partes iguais entre os três dependentes: R$ 400,00 para cada cota individual. Aplica-se aqui a garantia do art. 23, § 2º, da EC n. 103/2019 na leitura adotada no § 19.22, supra: a salvaguarda do piso opera por dependente, </w:t>
      </w:r>
      <w:r>
        <w:rPr>
          <w:rFonts w:cs="EB Garamond"/>
          <w:kern w:val="16"/>
          <w14:ligatures w14:val="standardContextual"/>
        </w:rPr>
        <w:lastRenderedPageBreak/>
        <w:t xml:space="preserve">em função da cláusula "única fonte de renda formal do dependente", aferida individualmente. Se Lúcia não possui outra fonte de renda formal, sua cota de R$ 400,00 é elevada ao </w:t>
      </w:r>
      <w:r w:rsidR="00717707">
        <w:rPr>
          <w:rFonts w:cs="EB Garamond"/>
          <w:kern w:val="16"/>
          <w14:ligatures w14:val="standardContextual"/>
        </w:rPr>
        <w:t>salário-mínimo</w:t>
      </w:r>
      <w:r>
        <w:rPr>
          <w:rFonts w:cs="EB Garamond"/>
          <w:kern w:val="16"/>
          <w14:ligatures w14:val="standardContextual"/>
        </w:rPr>
        <w:t xml:space="preserve"> (R$ 1.621,00 em 2026); a verificação repete-se para cada filho, segundo a respectiva situação de renda formal. A elevação de cada cota ao piso pode tornar o valor global do benefício superior ao resultado bruto do sistema de cotas, pois a garantia constitucional prevalece sobre a fórmula de cálculo. Duração para Lúcia: 15 anos (idade entre 31 e 41 anos na data do óbito). Quando cada filho completar 21 anos, sua cota individual de 10% é extinta (não revertida).</w:t>
      </w:r>
    </w:p>
    <w:p w14:paraId="109F1109" w14:textId="77777777" w:rsidR="005A5FCC" w:rsidRDefault="00A21C81">
      <w:pPr>
        <w:ind w:firstLine="238"/>
      </w:pPr>
      <w:r>
        <w:rPr>
          <w:rFonts w:cs="EB Garamond"/>
          <w:kern w:val="16"/>
          <w14:ligatures w14:val="standardContextual"/>
        </w:rPr>
        <w:t>[^cota-mulher]: A distinção entre os sexos quanto ao termo inicial do acréscimo de 2% não altera o cálculo de Roberto (homem), mas é relevante para a base de cálculo da pensão de segurada mulher não aposentada: para ela, o acréscimo incide sobre os anos que excederem 15 anos de contribuição (art. 26, §§ 2º e 5º, da EC n. 103/2019), conforme detalhado no § 19.20, supra. Uma instituidora com 18 anos de contribuição teria coeficiente de 66% (60% + 2% × 3 anos excedentes), enquanto um homem com o mesmo tempo permaneceria em 60%.</w:t>
      </w:r>
    </w:p>
    <w:tbl>
      <w:tblPr>
        <w:tblW w:w="5000" w:type="pct"/>
        <w:jc w:val="center"/>
        <w:tblLayout w:type="fixed"/>
        <w:tblLook w:val="04A0" w:firstRow="1" w:lastRow="0" w:firstColumn="1" w:lastColumn="0" w:noHBand="0" w:noVBand="1"/>
      </w:tblPr>
      <w:tblGrid>
        <w:gridCol w:w="6311"/>
      </w:tblGrid>
      <w:tr w:rsidR="005A5FCC" w14:paraId="192242CB"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415D32ED"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2F7791D4" w14:textId="028827B4" w:rsidR="005A5FCC" w:rsidRDefault="00A21C81">
            <w:pPr>
              <w:spacing w:after="60" w:line="247" w:lineRule="auto"/>
            </w:pPr>
            <w:r>
              <w:rPr>
                <w:rFonts w:cs="EB Garamond"/>
                <w:kern w:val="16"/>
                <w:sz w:val="19"/>
                <w14:ligatures w14:val="standardContextual"/>
              </w:rPr>
              <w:t xml:space="preserve">Exemplo 4 — Acumulação de pensão com aposentadoria. Helena, aposentada pelo RGPS com renda de R$ 3.000,00, é também beneficiária de pensão por morte de seu falecido marido, no valor de R$ 2.000,00 (fato gerador posterior à EC 103/2019). Benefício mais vantajoso: aposentadoria de R$ 3.000,00 (recebido integralmente). Benefício menos vantajoso: pensão de R$ 2.000,00, sobre a qual incide o escalonamento do art. 24, § 2º, da EC n. 103/2019. O cálculo do escalonamento faixa por faixa é demonstrado no Cap. 20, §§ 20.3-20.6, que apresenta cenários numéricos detalhados com valores atualizados. O resultado do escalonamento implica redução da parcela do benefício menos vantajoso, cuja intensidade varia conforme o valor do benefício e o </w:t>
            </w:r>
            <w:r w:rsidR="00717707">
              <w:rPr>
                <w:rFonts w:cs="EB Garamond"/>
                <w:kern w:val="16"/>
                <w:sz w:val="19"/>
                <w14:ligatures w14:val="standardContextual"/>
              </w:rPr>
              <w:t>salário-mínimo</w:t>
            </w:r>
            <w:r>
              <w:rPr>
                <w:rFonts w:cs="EB Garamond"/>
                <w:kern w:val="16"/>
                <w:sz w:val="19"/>
                <w14:ligatures w14:val="standardContextual"/>
              </w:rPr>
              <w:t xml:space="preserve"> vigente. O advogado deve consultar o Cap. 20 para a aplicação prática do cálculo.</w:t>
            </w:r>
          </w:p>
        </w:tc>
      </w:tr>
    </w:tbl>
    <w:p w14:paraId="526911E1" w14:textId="77777777" w:rsidR="005A5FCC" w:rsidRDefault="005A5FCC">
      <w:pPr>
        <w:spacing w:after="80" w:line="240" w:lineRule="auto"/>
      </w:pPr>
    </w:p>
    <w:p w14:paraId="23DFBE0E"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19.42 Consolidação das posições adotadas</w:t>
      </w:r>
    </w:p>
    <w:p w14:paraId="598AE65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40B38DD8" w14:textId="77777777" w:rsidR="005A5FCC" w:rsidRDefault="00A21C81">
      <w:r>
        <w:rPr>
          <w:rFonts w:cs="EB Garamond"/>
          <w:kern w:val="16"/>
          <w14:ligatures w14:val="standardContextual"/>
        </w:rPr>
        <w:t xml:space="preserve"> exame da pensão por morte revela benefício previdenciário em profunda transformação, cujo regime jurídico foi substancialmente alterado pela EC n. 103/2019 e pelas leis que a precederam. Consolidamos as posições adotadas ao longo deste capítulo.</w:t>
      </w:r>
    </w:p>
    <w:p w14:paraId="43556312" w14:textId="77777777" w:rsidR="005A5FCC" w:rsidRDefault="00A21C81">
      <w:pPr>
        <w:ind w:firstLine="238"/>
      </w:pPr>
      <w:r>
        <w:rPr>
          <w:rFonts w:cs="EB Garamond"/>
          <w:kern w:val="16"/>
          <w14:ligatures w14:val="standardContextual"/>
        </w:rPr>
        <w:t>Entendemos que a pensão por morte constitui direito fundamental de natureza previdenciária, vinculado à proteção da família (art. 226, CF/88) e à solidariedade social (art. 3º, I, CF/88). Sua finalidade é assegurar a subsistência dos dependentes que perderam o provedor, substituindo, ao menos parcialmente, a renda cessada pelo falecimento. Interpretações restritivas que esvaziem essa finalidade protetiva devem ser rejeitadas.</w:t>
      </w:r>
    </w:p>
    <w:p w14:paraId="3DC68DF2" w14:textId="783B6106" w:rsidR="005A5FCC" w:rsidRDefault="00A21C81">
      <w:pPr>
        <w:ind w:firstLine="238"/>
      </w:pPr>
      <w:r>
        <w:rPr>
          <w:rFonts w:cs="EB Garamond"/>
          <w:kern w:val="16"/>
          <w14:ligatures w14:val="standardContextual"/>
        </w:rPr>
        <w:t xml:space="preserve">O sistema de cotas introduzido pelo art. 23 da EC n. 103/2019, declarado constitucional pelo STF na ADI 7.051, representa mudança paradigmática no cálculo da pensão. Embora reduzindo o valor do benefício em relação ao regime anterior, o sistema preserva a garantia do </w:t>
      </w:r>
      <w:r w:rsidR="00717707">
        <w:rPr>
          <w:rFonts w:cs="EB Garamond"/>
          <w:kern w:val="16"/>
          <w14:ligatures w14:val="standardContextual"/>
        </w:rPr>
        <w:t>salário-mínimo</w:t>
      </w:r>
      <w:r>
        <w:rPr>
          <w:rFonts w:cs="EB Garamond"/>
          <w:kern w:val="16"/>
          <w14:ligatures w14:val="standardContextual"/>
        </w:rPr>
        <w:t xml:space="preserve"> como piso quando a pensão for a única fonte de renda formal do dependente. A não reversibilidade das cotas (art. 23, § 1º) é consequência expressa do texto constitucional e não comporta interpretação extensiva em favor da reversão.</w:t>
      </w:r>
    </w:p>
    <w:p w14:paraId="05403FAE" w14:textId="77777777" w:rsidR="005A5FCC" w:rsidRDefault="00A21C81">
      <w:pPr>
        <w:ind w:firstLine="238"/>
      </w:pPr>
      <w:r>
        <w:rPr>
          <w:rFonts w:cs="EB Garamond"/>
          <w:kern w:val="16"/>
          <w14:ligatures w14:val="standardContextual"/>
        </w:rPr>
        <w:t>A temporariedade da pensão para o cônjuge ou companheiro, introduzida pela Lei n. 13.135/2015, é regra que se harmoniza com a evolução demográfica e com a autonomia individual, mas deve ser aplicada com sensibilidade às circunstâncias concretas. A fixação de prazo determinado (3 a 20 anos) para cônjuges jovens é mecanismo que incentiva a recolocação no mercado de trabalho, mas pode gerar situações de desamparo quando o cônjuge não consegue reinserir-se profissionalmente no prazo fixado.</w:t>
      </w:r>
    </w:p>
    <w:p w14:paraId="0CD7A39F" w14:textId="77777777" w:rsidR="005A5FCC" w:rsidRDefault="00A21C81">
      <w:pPr>
        <w:ind w:firstLine="238"/>
      </w:pPr>
      <w:r>
        <w:rPr>
          <w:rFonts w:cs="EB Garamond"/>
          <w:kern w:val="16"/>
          <w14:ligatures w14:val="standardContextual"/>
        </w:rPr>
        <w:t xml:space="preserve">A exclusão do menor sob guarda do rol de dependentes, reiterada pela EC n. 103/2019 (art. 23, § 6º), é questão pendente de definição pelo STF (Tema 1.271). Entendemos que a proteção integral à criança e ao adolescente (art. 227, CF/88) constitui cláusula pétrea que impede a exclusão de menores vulneráveis da proteção previdenciária, independentemente da natureza formal do vínculo com o </w:t>
      </w:r>
      <w:r>
        <w:rPr>
          <w:rFonts w:cs="EB Garamond"/>
          <w:kern w:val="16"/>
          <w14:ligatures w14:val="standardContextual"/>
        </w:rPr>
        <w:lastRenderedPageBreak/>
        <w:t>guardião (guarda, tutela ou adoção). A distinção entre guarda e tutela é formalismo incompatível com a dignidade da criança em situação de vulnerabilidade.</w:t>
      </w:r>
    </w:p>
    <w:p w14:paraId="47ACC116" w14:textId="77777777" w:rsidR="005A5FCC" w:rsidRDefault="00A21C81">
      <w:pPr>
        <w:ind w:firstLine="238"/>
      </w:pPr>
      <w:r>
        <w:rPr>
          <w:rFonts w:cs="EB Garamond"/>
          <w:kern w:val="16"/>
          <w14:ligatures w14:val="standardContextual"/>
        </w:rPr>
        <w:t>A comprovação da união estável para fins previdenciários, após a MP n. 871/2019 (convertida na Lei n. 13.846/2019), exige início de prova material contemporâneo dos fatos, aplicando-se a Súmula 63 da TNU aos óbitos anteriores a 18/01/2019. Entendemos que a exigência de início de prova material é compatível com a Constituição, desde que interpretada com razoabilidade e flexibilidade para situações de vulnerabilidade social em que a formalização documental da relação é improvável.</w:t>
      </w:r>
    </w:p>
    <w:p w14:paraId="497836EB" w14:textId="77777777" w:rsidR="005A5FCC" w:rsidRDefault="00A21C81">
      <w:pPr>
        <w:ind w:firstLine="238"/>
      </w:pPr>
      <w:r>
        <w:rPr>
          <w:rFonts w:cs="EB Garamond"/>
          <w:kern w:val="16"/>
          <w14:ligatures w14:val="standardContextual"/>
        </w:rPr>
        <w:t>A Súmula 336 do STJ, que assegura ao ex-cônjuge que renunciou aos alimentos o direito à pensão por morte mediante comprovação de necessidade econômica superveniente, constitui garantia essencial de proteção a pessoas que, após a dissolução do casamento, se encontram em situação de vulnerabilidade. A autonomia entre o direito civil de alimentos e o direito previdenciário à pensão impede que a renúncia privada produza efeitos no campo da proteção social.</w:t>
      </w:r>
    </w:p>
    <w:p w14:paraId="23DFAB9E" w14:textId="77777777" w:rsidR="005A5FCC" w:rsidRDefault="00A21C81">
      <w:pPr>
        <w:ind w:firstLine="238"/>
      </w:pPr>
      <w:r>
        <w:rPr>
          <w:rFonts w:cs="EB Garamond"/>
          <w:kern w:val="16"/>
          <w14:ligatures w14:val="standardContextual"/>
        </w:rPr>
        <w:t>As regras de acumulação da EC n. 103/2019 (art. 24), com o sistema de escalonamento, reduzem significativamente a renda previdenciária de beneficiários que acumulam pensão e aposentadoria. Entendemos que o escalonamento, embora constitucional, deve ser aplicado com atenção ao direito adquirido dos beneficiários que já acumulavam benefícios antes da emenda, preservando-se integralmente a renda previdenciária anterior.</w:t>
      </w:r>
    </w:p>
    <w:p w14:paraId="56C7827F" w14:textId="77777777" w:rsidR="005A5FCC" w:rsidRDefault="00A21C81">
      <w:pPr>
        <w:ind w:firstLine="238"/>
      </w:pPr>
      <w:r>
        <w:rPr>
          <w:rFonts w:cs="EB Garamond"/>
          <w:kern w:val="16"/>
          <w14:ligatures w14:val="standardContextual"/>
        </w:rPr>
        <w:t>O princípio tempus regit actum, que vincula o regime jurídico da pensão à legislação vigente na data do óbito, constitui garantia fundamental de segurança jurídica. O regime aplicável é determinado pelo fato gerador (morte), e não pelo momento do requerimento ou da decisão judicial. Essa regra impede a aplicação retroativa de normas restritivas a fatos geradores anteriores, preservando a proteção dos dependentes conforme a legislação que vigorava quando o segurado faleceu.</w:t>
      </w:r>
    </w:p>
    <w:p w14:paraId="3EE62185" w14:textId="77777777" w:rsidR="005A5FCC" w:rsidRDefault="00A21C81">
      <w:pPr>
        <w:ind w:firstLine="238"/>
      </w:pPr>
      <w:r>
        <w:rPr>
          <w:rFonts w:cs="EB Garamond"/>
          <w:kern w:val="16"/>
          <w14:ligatures w14:val="standardContextual"/>
        </w:rPr>
        <w:t xml:space="preserve">A pensão por morte, em síntese, é benefício que traduz a dimensão mais humana da previdência social: a proteção da família que perdeu seu provedor. As reformas legislativas das últimas décadas buscaram equilibrar a sustentabilidade fiscal do sistema com a função protetiva do benefício. O magistrado dos JEFs e o </w:t>
      </w:r>
      <w:r>
        <w:rPr>
          <w:rFonts w:cs="EB Garamond"/>
          <w:kern w:val="16"/>
          <w14:ligatures w14:val="standardContextual"/>
        </w:rPr>
        <w:lastRenderedPageBreak/>
        <w:t>advogado previdenciarista devem interpretar as normas vigentes à luz dessa dupla exigência, garantindo proteção efetiva aos dependentes sem comprometer a viabilidade do regime previdenciário.</w:t>
      </w:r>
    </w:p>
    <w:p w14:paraId="71F4F5C3" w14:textId="77777777" w:rsidR="005A5FCC" w:rsidRDefault="005A5FCC">
      <w:pPr>
        <w:sectPr w:rsidR="005A5FCC">
          <w:headerReference w:type="even" r:id="rId186"/>
          <w:headerReference w:type="default" r:id="rId187"/>
          <w:footerReference w:type="even" r:id="rId188"/>
          <w:footerReference w:type="default" r:id="rId189"/>
          <w:headerReference w:type="first" r:id="rId190"/>
          <w:footerReference w:type="first" r:id="rId191"/>
          <w:pgSz w:w="8391" w:h="11906"/>
          <w:pgMar w:top="935" w:right="879" w:bottom="964" w:left="1162" w:header="454" w:footer="425" w:gutter="0"/>
          <w:cols w:space="720"/>
          <w:titlePg/>
          <w:docGrid w:linePitch="360"/>
        </w:sectPr>
      </w:pPr>
    </w:p>
    <w:p w14:paraId="5D8536BE" w14:textId="77777777" w:rsidR="005A5FCC" w:rsidRDefault="005A5FCC">
      <w:pPr>
        <w:spacing w:after="0" w:line="240" w:lineRule="auto"/>
      </w:pPr>
    </w:p>
    <w:p w14:paraId="5A920F6F" w14:textId="77777777" w:rsidR="005A5FCC" w:rsidRDefault="005A5FCC">
      <w:pPr>
        <w:spacing w:after="0" w:line="240" w:lineRule="auto"/>
      </w:pPr>
    </w:p>
    <w:p w14:paraId="3066EB31" w14:textId="77777777" w:rsidR="005A5FCC" w:rsidRDefault="005A5FCC">
      <w:pPr>
        <w:spacing w:after="0" w:line="240" w:lineRule="auto"/>
      </w:pPr>
    </w:p>
    <w:p w14:paraId="775996C8" w14:textId="77777777" w:rsidR="005A5FCC" w:rsidRDefault="005A5FCC">
      <w:pPr>
        <w:spacing w:after="0" w:line="240" w:lineRule="auto"/>
      </w:pPr>
    </w:p>
    <w:p w14:paraId="42FA6AA5" w14:textId="77777777" w:rsidR="005A5FCC" w:rsidRDefault="005A5FCC">
      <w:pPr>
        <w:spacing w:after="0" w:line="240" w:lineRule="auto"/>
      </w:pPr>
    </w:p>
    <w:p w14:paraId="1BDA1CAD" w14:textId="77777777" w:rsidR="005A5FCC" w:rsidRDefault="005A5FCC">
      <w:pPr>
        <w:spacing w:after="0" w:line="240" w:lineRule="auto"/>
      </w:pPr>
    </w:p>
    <w:p w14:paraId="198ADF6F" w14:textId="77777777" w:rsidR="005A5FCC" w:rsidRDefault="00A21C81">
      <w:pPr>
        <w:spacing w:after="120" w:line="240" w:lineRule="auto"/>
        <w:jc w:val="center"/>
      </w:pPr>
      <w:r>
        <w:rPr>
          <w:rFonts w:ascii="Noto Sans" w:hAnsi="Noto Sans" w:cs="Noto Sans"/>
          <w:b/>
          <w:caps/>
          <w:color w:val="8A6A2A"/>
          <w:kern w:val="16"/>
          <w:sz w:val="20"/>
          <w14:ligatures w14:val="standardContextual"/>
        </w:rPr>
        <w:t>PARTE V</w:t>
      </w:r>
    </w:p>
    <w:p w14:paraId="7FAA5CD8" w14:textId="77777777" w:rsidR="005A5FCC" w:rsidRDefault="00A21C81">
      <w:pPr>
        <w:pStyle w:val="Ttulo1"/>
        <w:spacing w:line="252" w:lineRule="auto"/>
      </w:pPr>
      <w:r>
        <w:rPr>
          <w:rFonts w:ascii="EB Garamond" w:hAnsi="EB Garamond" w:cs="EB Garamond"/>
          <w:caps/>
          <w:kern w:val="16"/>
          <w14:ligatures w14:val="standardContextual"/>
        </w:rPr>
        <w:t>Temas Transversais</w:t>
      </w:r>
    </w:p>
    <w:p w14:paraId="45B8BB29" w14:textId="77777777" w:rsidR="005A5FCC" w:rsidRDefault="00A21C81">
      <w:pPr>
        <w:spacing w:before="160" w:after="0" w:line="240" w:lineRule="auto"/>
        <w:jc w:val="center"/>
      </w:pPr>
      <w:r>
        <w:rPr>
          <w:rFonts w:cs="EB Garamond"/>
          <w:color w:val="B78B37"/>
          <w:kern w:val="16"/>
          <w:sz w:val="18"/>
          <w14:ligatures w14:val="standardContextual"/>
        </w:rPr>
        <w:t>━━━━━  ◆  ◆  ◆  ━━━━━</w:t>
      </w:r>
    </w:p>
    <w:p w14:paraId="2D553B67" w14:textId="77777777" w:rsidR="005A5FCC" w:rsidRDefault="005A5FCC">
      <w:pPr>
        <w:sectPr w:rsidR="005A5FCC">
          <w:headerReference w:type="even" r:id="rId192"/>
          <w:headerReference w:type="default" r:id="rId193"/>
          <w:footerReference w:type="even" r:id="rId194"/>
          <w:footerReference w:type="default" r:id="rId195"/>
          <w:headerReference w:type="first" r:id="rId196"/>
          <w:footerReference w:type="first" r:id="rId197"/>
          <w:type w:val="oddPage"/>
          <w:pgSz w:w="8391" w:h="11906"/>
          <w:pgMar w:top="935" w:right="879" w:bottom="964" w:left="1162" w:header="454" w:footer="425" w:gutter="0"/>
          <w:cols w:space="720"/>
          <w:titlePg/>
          <w:docGrid w:linePitch="360"/>
        </w:sectPr>
      </w:pPr>
    </w:p>
    <w:p w14:paraId="39D49A5C" w14:textId="77777777" w:rsidR="005A5FCC" w:rsidRDefault="00A21C81">
      <w:pPr>
        <w:keepNext/>
        <w:spacing w:before="240" w:after="80" w:line="240" w:lineRule="auto"/>
        <w:jc w:val="center"/>
      </w:pPr>
      <w:r>
        <w:rPr>
          <w:rFonts w:ascii="Noto Sans" w:hAnsi="Noto Sans" w:cs="Noto Sans"/>
          <w:b/>
          <w:caps/>
          <w:color w:val="8A6A2A"/>
          <w:kern w:val="16"/>
          <w:sz w:val="19"/>
          <w14:ligatures w14:val="standardContextual"/>
        </w:rPr>
        <w:lastRenderedPageBreak/>
        <w:t>CAPÍTULO 20</w:t>
      </w:r>
    </w:p>
    <w:p w14:paraId="2C32A140" w14:textId="77777777" w:rsidR="005A5FCC" w:rsidRDefault="00A21C81">
      <w:pPr>
        <w:pStyle w:val="Ttulo2"/>
        <w:spacing w:line="240" w:lineRule="auto"/>
      </w:pPr>
      <w:r>
        <w:rPr>
          <w:rFonts w:ascii="EB Garamond" w:hAnsi="EB Garamond" w:cs="EB Garamond"/>
          <w:caps/>
          <w:kern w:val="16"/>
          <w14:ligatures w14:val="standardContextual"/>
        </w:rPr>
        <w:t>Acumulação de Benefícios</w:t>
      </w:r>
    </w:p>
    <w:p w14:paraId="2D60E852" w14:textId="77777777" w:rsidR="005A5FCC" w:rsidRDefault="00A21C81">
      <w:pPr>
        <w:spacing w:after="240" w:line="240" w:lineRule="auto"/>
        <w:jc w:val="center"/>
      </w:pPr>
      <w:r>
        <w:rPr>
          <w:rFonts w:cs="EB Garamond"/>
          <w:color w:val="B78B37"/>
          <w:kern w:val="16"/>
          <w:sz w:val="18"/>
          <w14:ligatures w14:val="standardContextual"/>
        </w:rPr>
        <w:t>━━━━  ◆  ━━━━</w:t>
      </w:r>
    </w:p>
    <w:p w14:paraId="79BD63FB" w14:textId="1AF56306" w:rsidR="005A5FCC" w:rsidRDefault="00717707">
      <w:pPr>
        <w:keepNext/>
        <w:pBdr>
          <w:bottom w:val="single" w:sz="8" w:space="4" w:color="B89B5E"/>
        </w:pBdr>
        <w:spacing w:before="360" w:after="140" w:line="240" w:lineRule="auto"/>
        <w:jc w:val="left"/>
      </w:pPr>
      <w:r>
        <w:rPr>
          <w:rFonts w:cs="EB Garamond"/>
          <w:b/>
          <w:color w:val="3A3128"/>
          <w:kern w:val="16"/>
          <w:sz w:val="31"/>
          <w14:ligatures w14:val="standardContextual"/>
        </w:rPr>
        <w:t xml:space="preserve">20.1 </w:t>
      </w:r>
      <w:r w:rsidR="00A21C81">
        <w:rPr>
          <w:rFonts w:cs="EB Garamond"/>
          <w:b/>
          <w:color w:val="3A3128"/>
          <w:kern w:val="16"/>
          <w:sz w:val="31"/>
          <w14:ligatures w14:val="standardContextual"/>
        </w:rPr>
        <w:t>Introdução: lógica do sistema de acumulação</w:t>
      </w:r>
    </w:p>
    <w:p w14:paraId="71B19E59"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4614BA70" w14:textId="77777777" w:rsidR="005A5FCC" w:rsidRDefault="00A21C81">
      <w:r>
        <w:rPr>
          <w:rFonts w:cs="EB Garamond"/>
          <w:kern w:val="16"/>
          <w14:ligatures w14:val="standardContextual"/>
        </w:rPr>
        <w:t xml:space="preserve"> sistema previdenciário brasileiro admite, como regra geral, a acumulação de benefícios quando cada prestação corresponde a fato gerador e fundamento jurídico distintos. Essa premissa decorre da própria estrutura da proteção social: se um mesmo segurado sofre dois eventos cobertos pelo sistema, uma incapacidade laboral e a morte de seu cônjuge, por exemplo, a negativa de proteção para um dos eventos frustraria a finalidade constitucional da seguridade social. A vedação de acumulação é exceção, não regra, e precisa de previsão normativa expressa para que possa ser imposta ao beneficiário.</w:t>
      </w:r>
    </w:p>
    <w:p w14:paraId="24412924" w14:textId="77777777" w:rsidR="005A5FCC" w:rsidRDefault="00A21C81">
      <w:pPr>
        <w:ind w:firstLine="238"/>
      </w:pPr>
      <w:r>
        <w:rPr>
          <w:rFonts w:cs="EB Garamond"/>
          <w:kern w:val="16"/>
          <w14:ligatures w14:val="standardContextual"/>
        </w:rPr>
        <w:t>Essa lógica nem sempre foi clara na legislação brasileira. A evolução normativa do tema pode ser dividida em três fases distintas, cada qual com características próprias.</w:t>
      </w:r>
    </w:p>
    <w:p w14:paraId="72D4045F" w14:textId="77777777" w:rsidR="005A5FCC" w:rsidRDefault="00A21C81">
      <w:pPr>
        <w:ind w:firstLine="238"/>
      </w:pPr>
      <w:r>
        <w:rPr>
          <w:rFonts w:cs="EB Garamond"/>
          <w:kern w:val="16"/>
          <w14:ligatures w14:val="standardContextual"/>
        </w:rPr>
        <w:t>A primeira fase corresponde ao regime originário da Lei n. 8.213, de 24 de julho de 1991. O art. 124 dessa lei estabeleceu um rol taxativo de vedações internas ao RGPS, proibindo determinadas combinações de benefícios que o legislador considerou incompatíveis entre si: duas aposentadorias pelo mesmo regime, aposentadoria com auxílio por incapacidade temporária, duas pensões por morte de cônjuge ou companheiro. Fora dessas vedações pontuais, a acumulação era livre e integral: o beneficiário recebia a soma dos valores de ambos os benefícios sem qualquer redutor. A simplicidade do regime, proibido ou permitido, sem meio-termo, facilitava a aplicação, mas gerava distorções em casos de benefícios de valores elevados.</w:t>
      </w:r>
    </w:p>
    <w:p w14:paraId="4AB8967D" w14:textId="77777777" w:rsidR="005A5FCC" w:rsidRDefault="00A21C81">
      <w:pPr>
        <w:ind w:firstLine="238"/>
      </w:pPr>
      <w:r>
        <w:rPr>
          <w:rFonts w:cs="EB Garamond"/>
          <w:kern w:val="16"/>
          <w14:ligatures w14:val="standardContextual"/>
        </w:rPr>
        <w:t xml:space="preserve">A segunda fase teve início com a Medida Provisória n. 1.596-14, de 10 de novembro de 1997, convertida na Lei n. 9.528, de 10 de dezembro de 1997. Essa norma introduziu a vedação de acumulação do auxílio-acidente com qualquer </w:t>
      </w:r>
      <w:r>
        <w:rPr>
          <w:rFonts w:cs="EB Garamond"/>
          <w:kern w:val="16"/>
          <w14:ligatures w14:val="standardContextual"/>
        </w:rPr>
        <w:lastRenderedPageBreak/>
        <w:t>aposentadoria, a partir de 11 de novembro de 1997, ao dar nova redação ao § 2º do art. 86 da Lei 8.213/91, que passou a prever a cessação do auxílio-acidente na data de início de qualquer aposentadoria. O § 3º do mesmo artigo, também alterado, complementou o regime ao disciplinar a incorporação do valor do auxílio-acidente ao salário de contribuição para fins de cálculo da aposentadoria. A restrição marcou a primeira expansão das vedações além do rol originário do art. 124, e sua aplicação temporal, que preserva o direito adquirido de quem já acumulava ambos os benefícios antes daquela data, tornou-se uma das questões mais litigadas nos Juizados Especiais Federais (Súmula 507/STJ, Tema 555/STJ).</w:t>
      </w:r>
    </w:p>
    <w:p w14:paraId="26721B7E" w14:textId="77777777" w:rsidR="005A5FCC" w:rsidRDefault="00A21C81">
      <w:pPr>
        <w:ind w:firstLine="238"/>
      </w:pPr>
      <w:r>
        <w:rPr>
          <w:rFonts w:cs="EB Garamond"/>
          <w:kern w:val="16"/>
          <w14:ligatures w14:val="standardContextual"/>
        </w:rPr>
        <w:t>A terceira fase foi inaugurada pela Emenda Constitucional n. 103, de 13 de novembro de 2019, que criou mecanismo inteiramente novo para disciplinar as acumulações permitidas. O art. 24 da EC 103/2019, aplicável tanto ao RGPS quanto ao RPPS, não proibiu acumulações que antes eram lícitas. O que a emenda fez foi introduzir um sistema de escalonamento por faixas, um redutor progressivo aplicado ao benefício de menor valor, para as hipóteses em que a acumulação permanece permitida. A lógica subjacente é que o beneficiário continua recebendo ambos os benefícios, mas o segundo é submetido a um desconto proporcional ao seu valor, em faixas análogas às do imposto de renda.</w:t>
      </w:r>
    </w:p>
    <w:p w14:paraId="029581B3" w14:textId="77777777" w:rsidR="005A5FCC" w:rsidRDefault="00A21C81">
      <w:pPr>
        <w:ind w:firstLine="238"/>
      </w:pPr>
      <w:r>
        <w:rPr>
          <w:rFonts w:cs="EB Garamond"/>
          <w:kern w:val="16"/>
          <w14:ligatures w14:val="standardContextual"/>
        </w:rPr>
        <w:t>Três categorias de acumulação passaram a coexistir no ordenamento após a EC 103/2019. A primeira é a acumulação vedada: combinações expressamente proibidas por lei ou pela Constituição, nas quais o beneficiário não pode receber ambos os benefícios sob nenhuma circunstância, devendo optar pelo mais vantajoso. O art. 124 da Lei 8.213/91 disciplina as vedações internas ao RGPS, e o caput do art. 24 da EC 103/2019 estabelece vedações adicionais. A segunda categoria é a acumulação livre, sem redutor: abrange hipóteses de direito adquirido (benefícios cujos requisitos foram integralmente preenchidos antes de 13/11/2019), exceções legais expressas (morte por acidente de trabalho, violência funcional, cargos acumuláveis) e benefícios cuja acumulação não se sujeita ao escalonamento (salário-família, por exemplo). A terceira categoria é a acumulação com redutor: as combinações permitidas pelo § 1º do art. 24 da EC 103/2019, nas quais o beneficiário recebe integralmente o benefício de maior valor e recebe o benefício de menor valor com a aplicação do escalonamento por faixas previsto no § 2º do mesmo dispositivo.</w:t>
      </w:r>
    </w:p>
    <w:p w14:paraId="3C9D6A19" w14:textId="77777777" w:rsidR="005A5FCC" w:rsidRDefault="00A21C81">
      <w:pPr>
        <w:ind w:firstLine="238"/>
      </w:pPr>
      <w:r>
        <w:rPr>
          <w:rFonts w:cs="EB Garamond"/>
          <w:kern w:val="16"/>
          <w14:ligatures w14:val="standardContextual"/>
        </w:rPr>
        <w:lastRenderedPageBreak/>
        <w:t>O presente capítulo funciona como capítulo-matriz da obra sobre o tema da acumulação de benefícios. Os capítulos dedicados a cada benefício em espécie — aposentadoria por incapacidade permanente (Cap. 6), auxílio por incapacidade temporária (Cap. 7), aposentadorias programadas (Caps. 10 a 12), salário-maternidade (Cap. 13), auxílio-reclusão (Cap. 14), auxílio-acidente (Cap. 15), BPC (Cap. 18) e pensão por morte (Cap. 19) — tratam das regras de acumulação sob a perspectiva de cada prestação individualmente considerada. O Cap. 20 consolida todas as combinações possíveis em um único quadro sistemático, desenvolve a mecânica do escalonamento com exemplos numéricos detalhados e oferece ao advogado e ao magistrado dos JEFs uma ferramenta de consulta rápida para a resolução de casos concretos envolvendo pluralidade de benefícios.</w:t>
      </w:r>
    </w:p>
    <w:p w14:paraId="7DFC1227" w14:textId="1E3C8E6B"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 xml:space="preserve">20.2 Art. 124 da </w:t>
      </w:r>
      <w:r w:rsidR="002E3C93">
        <w:rPr>
          <w:rFonts w:cs="EB Garamond"/>
          <w:b/>
          <w:color w:val="3A3128"/>
          <w:kern w:val="16"/>
          <w:sz w:val="31"/>
          <w14:ligatures w14:val="standardContextual"/>
        </w:rPr>
        <w:t>L</w:t>
      </w:r>
      <w:r>
        <w:rPr>
          <w:rFonts w:cs="EB Garamond"/>
          <w:b/>
          <w:color w:val="3A3128"/>
          <w:kern w:val="16"/>
          <w:sz w:val="31"/>
          <w14:ligatures w14:val="standardContextual"/>
        </w:rPr>
        <w:t>ei 8.213/91: vedações internas ao RGPS</w:t>
      </w:r>
    </w:p>
    <w:p w14:paraId="4A51678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2FFDFF43" w14:textId="77777777" w:rsidR="005A5FCC" w:rsidRDefault="00A21C81">
      <w:r>
        <w:rPr>
          <w:rFonts w:cs="EB Garamond"/>
          <w:kern w:val="16"/>
          <w14:ligatures w14:val="standardContextual"/>
        </w:rPr>
        <w:t xml:space="preserve"> art. 124 da Lei n. 8.213/91 estabelece o rol de vedações de acumulação internas ao Regime Geral de Previdência Social. Trata-se de dispositivo que permanece em plena vigência após a EC 103/2019 e que disciplina as hipóteses em que a acumulação é absolutamente proibida, independentemente de qualquer redutor. Examinaremos cada inciso com atenção às implicações práticas nos JEFs.</w:t>
      </w:r>
    </w:p>
    <w:p w14:paraId="3E3676EB" w14:textId="77777777" w:rsidR="005A5FCC" w:rsidRDefault="00A21C81">
      <w:pPr>
        <w:ind w:firstLine="238"/>
      </w:pPr>
      <w:r>
        <w:rPr>
          <w:rFonts w:cs="EB Garamond"/>
          <w:b/>
          <w:kern w:val="16"/>
          <w14:ligatures w14:val="standardContextual"/>
        </w:rPr>
        <w:t>Inciso I — Duas aposentadorias no RGPS.</w:t>
      </w:r>
      <w:r>
        <w:rPr>
          <w:rFonts w:cs="EB Garamond"/>
          <w:kern w:val="16"/>
          <w14:ligatures w14:val="standardContextual"/>
        </w:rPr>
        <w:t xml:space="preserve"> O dispositivo veda que o segurado receba, pelo mesmo regime, mais de uma aposentadoria. A vedação é coerente com a estrutura do RGPS: o segurado que exerce duas ou mais atividades simultâneas, empregado em uma empresa e contribuinte individual em outra, por exemplo, recolhe contribuições sobre ambas as remunerações, mas essas contribuições convergem para um único regime e são consideradas na apuração de uma única aposentadoria. O art. 32 da Lei 8.213/91, que disciplina o cálculo do salário de benefício do segurado com atividades concomitantes, reflete essa lógica de unificação. Não há, pois, dois vínculos previdenciários distintos capazes de gerar duas aposentadorias autônomas. A exceção se aplica quando se trata de regimes diferentes: a acumulação de aposentadoria pelo RGPS com aposentadoria </w:t>
      </w:r>
      <w:r>
        <w:rPr>
          <w:rFonts w:cs="EB Garamond"/>
          <w:kern w:val="16"/>
          <w14:ligatures w14:val="standardContextual"/>
        </w:rPr>
        <w:lastRenderedPageBreak/>
        <w:t>pelo RPPS (servidor público que também contribuiu como empregado no setor privado, por exemplo) é permitida, desde que cada aposentadoria decorra de contribuições vertidas em períodos distintos e ao regime respectivo. Após a EC 103/2019, essa acumulação inter-regimes está sujeita ao escalonamento do art. 24 (seção 20.3, infra).</w:t>
      </w:r>
    </w:p>
    <w:p w14:paraId="4A7CFD72" w14:textId="77777777" w:rsidR="005A5FCC" w:rsidRDefault="00A21C81">
      <w:pPr>
        <w:ind w:firstLine="238"/>
      </w:pPr>
      <w:r>
        <w:rPr>
          <w:rFonts w:cs="EB Garamond"/>
          <w:b/>
          <w:kern w:val="16"/>
          <w14:ligatures w14:val="standardContextual"/>
        </w:rPr>
        <w:t>Inciso II — Aposentadoria com auxílio por incapacidade temporária.</w:t>
      </w:r>
      <w:r>
        <w:rPr>
          <w:rFonts w:cs="EB Garamond"/>
          <w:kern w:val="16"/>
          <w14:ligatures w14:val="standardContextual"/>
        </w:rPr>
        <w:t xml:space="preserve"> Trata-se de vedação que decorre de incompatibilidade lógica. O auxílio por incapacidade temporária pressupõe que o segurado esteja temporariamente incapaz para o trabalho e, simultaneamente, em atividade laborativa (condição de segurado em exercício). O aposentado, por definição, já saiu do mercado de trabalho por ter preenchido os requisitos da inativação ou por incapacidade permanente. A situação que suscita controvérsia é a do aposentado que retorna ao trabalho, hipótese permitida pelo art. 18, § 2º, da Lei 8.213/91, embora sem direito a novo benefício além do salário-família e da reabilitação profissional, e sofre nova incapacidade temporária na atividade que exerce. A jurisprudência diverge sobre o direito desse segurado ao auxílio por incapacidade temporária relativo à nova atividade, questão examinada em detalhe no Cap. 7 (seção 7.15). Adotamos a posição de que a vedação do inciso II se aplica integralmente: o aposentado que retorna ao trabalho e se torna incapaz para a nova atividade não faz jus ao auxílio por incapacidade temporária, pois já percebe benefício de aposentadoria do mesmo regime.</w:t>
      </w:r>
    </w:p>
    <w:p w14:paraId="3813E3B8" w14:textId="6C6CDDB7" w:rsidR="005A5FCC" w:rsidRDefault="00A21C81">
      <w:pPr>
        <w:ind w:firstLine="238"/>
      </w:pPr>
      <w:r>
        <w:rPr>
          <w:rFonts w:cs="EB Garamond"/>
          <w:b/>
          <w:kern w:val="16"/>
          <w14:ligatures w14:val="standardContextual"/>
        </w:rPr>
        <w:t>Inciso III — Duas pensões por morte de cônjuge ou companheiro no RGPS.</w:t>
      </w:r>
      <w:r>
        <w:rPr>
          <w:rFonts w:cs="EB Garamond"/>
          <w:kern w:val="16"/>
          <w14:ligatures w14:val="standardContextual"/>
        </w:rPr>
        <w:t xml:space="preserve"> A vedação atinge a pessoa que </w:t>
      </w:r>
      <w:r w:rsidR="002E3C93">
        <w:rPr>
          <w:rFonts w:cs="EB Garamond"/>
          <w:kern w:val="16"/>
          <w14:ligatures w14:val="standardContextual"/>
        </w:rPr>
        <w:t>enviúva</w:t>
      </w:r>
      <w:r>
        <w:rPr>
          <w:rFonts w:cs="EB Garamond"/>
          <w:kern w:val="16"/>
          <w14:ligatures w14:val="standardContextual"/>
        </w:rPr>
        <w:t xml:space="preserve"> duas vezes, tendo ambos os cônjuges ou companheiros falecidos sido segurados do RGPS. Nessa hipótese, o dependente pode receber apenas uma das pensões, cabendo-lhe o direito de opção pela mais vantajosa. A opção é exercida administrativamente perante o INSS e pode ser revista a qualquer tempo, caso as circunstâncias que determinaram a escolha se alterem (reajustes diferenciados, por exemplo). Essa vedação se refere exclusivamente a duas pensões decorrentes da relação conjugal ou de união estável no âmbito do mesmo regime. A pessoa que recebe pensão por morte de cônjuge no RGPS e pensão por morte de genitor (pai ou mãe) no mesmo regime não está abrangida pelo inciso III, pois as pensões decorrem de vínculos familiares de natureza distinta, matéria sobre a qual nos debruçaremos na seção 20.5.</w:t>
      </w:r>
    </w:p>
    <w:p w14:paraId="6E13D37F" w14:textId="77777777" w:rsidR="005A5FCC" w:rsidRDefault="00A21C81">
      <w:pPr>
        <w:ind w:firstLine="238"/>
      </w:pPr>
      <w:r>
        <w:rPr>
          <w:rFonts w:cs="EB Garamond"/>
          <w:b/>
          <w:kern w:val="16"/>
          <w14:ligatures w14:val="standardContextual"/>
        </w:rPr>
        <w:lastRenderedPageBreak/>
        <w:t>Inciso IV — Aposentadoria com abono de permanência em serviço.</w:t>
      </w:r>
      <w:r>
        <w:rPr>
          <w:rFonts w:cs="EB Garamond"/>
          <w:kern w:val="16"/>
          <w14:ligatures w14:val="standardContextual"/>
        </w:rPr>
        <w:t xml:space="preserve"> Esse dispositivo é, atualmente, de interesse residual. O abono de permanência em serviço, que consistia em acréscimo de 25% ao valor da aposentadoria para o segurado que, reunindo os requisitos para aposentar-se, optasse por continuar trabalhando, foi extinto pela Lei n. 8.870, de 15 de abril de 1994. O inciso IV permanece formalmente no texto legal, mas não gera efeitos práticos para benefícios concedidos a partir da extinção do abono. Para benefícios concedidos antes de abril de 1994, o dispositivo pode ter relevância residual em ações de revisão, embora tais hipóteses sejam excepcionais na prática forense atual.</w:t>
      </w:r>
    </w:p>
    <w:p w14:paraId="09A59E2F" w14:textId="77777777" w:rsidR="005A5FCC" w:rsidRDefault="00A21C81">
      <w:pPr>
        <w:ind w:firstLine="238"/>
      </w:pPr>
      <w:r>
        <w:rPr>
          <w:rFonts w:cs="EB Garamond"/>
          <w:b/>
          <w:kern w:val="16"/>
          <w14:ligatures w14:val="standardContextual"/>
        </w:rPr>
        <w:t>Inciso V — Salário-maternidade com auxílio por incapacidade temporária.</w:t>
      </w:r>
      <w:r>
        <w:rPr>
          <w:rFonts w:cs="EB Garamond"/>
          <w:kern w:val="16"/>
          <w14:ligatures w14:val="standardContextual"/>
        </w:rPr>
        <w:t xml:space="preserve"> A vedação é expressa e resolve conflito de competências protetivas: a segurada não pode receber, ao mesmo tempo, salário-maternidade e auxílio por incapacidade temporária. A solução legal privilegia a proteção à maternidade: o auxílio é suspenso durante o período de percepção do salário-maternidade, sendo retomado ao término da licença, caso persista a incapacidade. Para o regime de suspensão e retomada do auxílio, ver Cap. 13, seção 13.11.</w:t>
      </w:r>
    </w:p>
    <w:p w14:paraId="31B22C0B" w14:textId="77777777" w:rsidR="005A5FCC" w:rsidRDefault="00A21C81">
      <w:pPr>
        <w:ind w:firstLine="238"/>
      </w:pPr>
      <w:r>
        <w:rPr>
          <w:rFonts w:cs="EB Garamond"/>
          <w:b/>
          <w:kern w:val="16"/>
          <w14:ligatures w14:val="standardContextual"/>
        </w:rPr>
        <w:t>Inciso VI — Dois auxílios-acidente.</w:t>
      </w:r>
      <w:r>
        <w:rPr>
          <w:rFonts w:cs="EB Garamond"/>
          <w:kern w:val="16"/>
          <w14:ligatures w14:val="standardContextual"/>
        </w:rPr>
        <w:t xml:space="preserve"> A vedação impede o recebimento simultâneo de mais de um auxílio-acidente. A exceção reconhecida pela jurisprudência, e que entendemos correta, aplica-se quando os auxílios-acidente decorrem de acidentes distintos, ocorridos em momentos diferentes e geradores de sequelas autônomas. Nessa hipótese, cada auxílio-acidente tem fato gerador próprio, o que afasta a incidência da vedação. A matéria é aprofundada no Cap. 15 (seção 15.13).</w:t>
      </w:r>
    </w:p>
    <w:p w14:paraId="1B5079F7" w14:textId="77777777" w:rsidR="005A5FCC" w:rsidRDefault="00A21C81">
      <w:pPr>
        <w:ind w:firstLine="238"/>
      </w:pPr>
      <w:r>
        <w:rPr>
          <w:rFonts w:cs="EB Garamond"/>
          <w:b/>
          <w:kern w:val="16"/>
          <w14:ligatures w14:val="standardContextual"/>
        </w:rPr>
        <w:t>Parágrafo único — Seguro-desemprego e benefício de prestação continuada.</w:t>
      </w:r>
      <w:r>
        <w:rPr>
          <w:rFonts w:cs="EB Garamond"/>
          <w:kern w:val="16"/>
          <w14:ligatures w14:val="standardContextual"/>
        </w:rPr>
        <w:t xml:space="preserve"> O parágrafo único do art. 124 veda a percepção do seguro-desemprego conjuntamente com qualquer benefício de prestação continuada da previdência social, ressalvados a pensão por morte e o auxílio-acidente. A vedação é coerente com a natureza do seguro-desemprego, que pressupõe desemprego involuntário e busca ativa de recolocação, condição incompatível com o recebimento de aposentadoria, auxílio por incapacidade temporária ou salário-maternidade. A ressalva em favor da pensão por morte e do auxílio-acidente se justifica pela natureza dessas prestações: a pensão por morte decorre de evento que atinge o dependente (e não o próprio segurado em sua condição de trabalhador), e o auxílio-acidente </w:t>
      </w:r>
      <w:r>
        <w:rPr>
          <w:rFonts w:cs="EB Garamond"/>
          <w:kern w:val="16"/>
          <w14:ligatures w14:val="standardContextual"/>
        </w:rPr>
        <w:lastRenderedPageBreak/>
        <w:t>não impede o exercício de atividade laborativa, sendo compatível com a situação de desemprego involuntário seguido de nova busca por emprego.</w:t>
      </w:r>
    </w:p>
    <w:p w14:paraId="7963B5A5" w14:textId="77777777" w:rsidR="005A5FCC" w:rsidRDefault="00A21C81">
      <w:pPr>
        <w:ind w:firstLine="238"/>
      </w:pPr>
      <w:r>
        <w:rPr>
          <w:rFonts w:cs="EB Garamond"/>
          <w:b/>
          <w:kern w:val="16"/>
          <w14:ligatures w14:val="standardContextual"/>
        </w:rPr>
        <w:t>Relação entre o art. 124 e o art. 24 da EC 103/2019.</w:t>
      </w:r>
      <w:r>
        <w:rPr>
          <w:rFonts w:cs="EB Garamond"/>
          <w:kern w:val="16"/>
          <w14:ligatures w14:val="standardContextual"/>
        </w:rPr>
        <w:t xml:space="preserve"> A entrada em vigor da EC 103/2019 não revogou o art. 124 da Lei 8.213/91. Os dois dispositivos operam em planos distintos e complementares. O art. 124 disciplina as vedações absolutas, hipóteses em que a acumulação é proibida, ponto final, sem qualquer possibilidade de recebimento simultâneo dos dois benefícios. O art. 24 da EC 103/2019, por sua vez, disciplina as acumulações permitidas, estabelecendo o redutor de escalonamento para aquelas combinações que a Constituição autoriza. Em termos práticos, o raciocínio aplicável a qualquer caso concreto segue ordem lógica: primeiro, verificar se a combinação é vedada pelo art. 124 ou pelo caput do art. 24; se não for vedada, verificar se a combinação está sujeita ao escalonamento do § 2º do art. 24 ou se se enquadra em alguma exceção que preserve a integralidade. A coexistência dos dois dispositivos é pacífica na jurisprudência e não há qualquer incompatibilidade normativa entre eles.</w:t>
      </w:r>
    </w:p>
    <w:tbl>
      <w:tblPr>
        <w:tblW w:w="5000" w:type="pct"/>
        <w:jc w:val="center"/>
        <w:tblLayout w:type="fixed"/>
        <w:tblLook w:val="04A0" w:firstRow="1" w:lastRow="0" w:firstColumn="1" w:lastColumn="0" w:noHBand="0" w:noVBand="1"/>
      </w:tblPr>
      <w:tblGrid>
        <w:gridCol w:w="6311"/>
      </w:tblGrid>
      <w:tr w:rsidR="005A5FCC" w14:paraId="13BBBAB4" w14:textId="77777777">
        <w:trPr>
          <w:cantSplit/>
          <w:jc w:val="center"/>
        </w:trPr>
        <w:tc>
          <w:tcPr>
            <w:tcW w:w="6350" w:type="dxa"/>
            <w:tcBorders>
              <w:top w:val="single" w:sz="7" w:space="0" w:color="A09882"/>
              <w:left w:val="single" w:sz="24" w:space="0" w:color="6B6256"/>
              <w:bottom w:val="single" w:sz="7" w:space="0" w:color="A09882"/>
              <w:right w:val="single" w:sz="7" w:space="0" w:color="A09882"/>
            </w:tcBorders>
            <w:shd w:val="clear" w:color="auto" w:fill="F5F3EF"/>
            <w:tcMar>
              <w:top w:w="150" w:type="dxa"/>
              <w:left w:w="220" w:type="dxa"/>
              <w:bottom w:w="150" w:type="dxa"/>
              <w:right w:w="180" w:type="dxa"/>
            </w:tcMar>
          </w:tcPr>
          <w:p w14:paraId="013C6EA3" w14:textId="77777777" w:rsidR="005A5FCC" w:rsidRDefault="00A21C81">
            <w:pPr>
              <w:spacing w:after="60" w:line="240" w:lineRule="auto"/>
              <w:jc w:val="left"/>
            </w:pPr>
            <w:r>
              <w:rPr>
                <w:rFonts w:ascii="Noto Sans" w:hAnsi="Noto Sans" w:cs="Noto Sans"/>
                <w:b/>
                <w:caps/>
                <w:color w:val="6B6256"/>
                <w:kern w:val="16"/>
                <w:sz w:val="16"/>
                <w14:ligatures w14:val="standardContextual"/>
              </w:rPr>
              <w:lastRenderedPageBreak/>
              <w:t>QUADRO</w:t>
            </w:r>
          </w:p>
          <w:p w14:paraId="066D01B7" w14:textId="77777777" w:rsidR="005A5FCC" w:rsidRDefault="00A21C81">
            <w:pPr>
              <w:spacing w:after="60" w:line="247" w:lineRule="auto"/>
            </w:pPr>
            <w:r>
              <w:rPr>
                <w:rFonts w:cs="EB Garamond"/>
                <w:b/>
                <w:kern w:val="16"/>
                <w:sz w:val="19"/>
                <w14:ligatures w14:val="standardContextual"/>
              </w:rPr>
              <w:t>Quadro 20.1 — Vedações do art. 124 da Lei 8.213/91</w:t>
            </w:r>
          </w:p>
          <w:tbl>
            <w:tblPr>
              <w:tblW w:w="5000" w:type="pct"/>
              <w:jc w:val="center"/>
              <w:tblLook w:val="04A0" w:firstRow="1" w:lastRow="0" w:firstColumn="1" w:lastColumn="0" w:noHBand="0" w:noVBand="1"/>
            </w:tblPr>
            <w:tblGrid>
              <w:gridCol w:w="1967"/>
              <w:gridCol w:w="1967"/>
              <w:gridCol w:w="1967"/>
            </w:tblGrid>
            <w:tr w:rsidR="005A5FCC" w14:paraId="628D0A81" w14:textId="77777777">
              <w:trPr>
                <w:tblHeader/>
                <w:jc w:val="center"/>
              </w:trPr>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1EE77A30" w14:textId="77777777" w:rsidR="005A5FCC" w:rsidRDefault="00A21C81">
                  <w:pPr>
                    <w:spacing w:before="30" w:after="30" w:line="240" w:lineRule="auto"/>
                    <w:jc w:val="center"/>
                  </w:pPr>
                  <w:r>
                    <w:rPr>
                      <w:rFonts w:cs="EB Garamond"/>
                      <w:b/>
                      <w:color w:val="2F2923"/>
                      <w:kern w:val="16"/>
                      <w:sz w:val="16"/>
                      <w14:ligatures w14:val="standardContextual"/>
                    </w:rPr>
                    <w:t>Inciso</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314744F5" w14:textId="77777777" w:rsidR="005A5FCC" w:rsidRDefault="00A21C81">
                  <w:pPr>
                    <w:spacing w:before="30" w:after="30" w:line="240" w:lineRule="auto"/>
                    <w:jc w:val="center"/>
                  </w:pPr>
                  <w:r>
                    <w:rPr>
                      <w:rFonts w:cs="EB Garamond"/>
                      <w:b/>
                      <w:color w:val="2F2923"/>
                      <w:kern w:val="16"/>
                      <w:sz w:val="16"/>
                      <w14:ligatures w14:val="standardContextual"/>
                    </w:rPr>
                    <w:t>Vedação</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162D4A6E" w14:textId="77777777" w:rsidR="005A5FCC" w:rsidRDefault="00A21C81">
                  <w:pPr>
                    <w:spacing w:before="30" w:after="30" w:line="240" w:lineRule="auto"/>
                    <w:jc w:val="center"/>
                  </w:pPr>
                  <w:r>
                    <w:rPr>
                      <w:rFonts w:cs="EB Garamond"/>
                      <w:b/>
                      <w:color w:val="2F2923"/>
                      <w:kern w:val="16"/>
                      <w:sz w:val="16"/>
                      <w14:ligatures w14:val="standardContextual"/>
                    </w:rPr>
                    <w:t>Observação</w:t>
                  </w:r>
                </w:p>
              </w:tc>
            </w:tr>
            <w:tr w:rsidR="005A5FCC" w14:paraId="2142948F"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57D8E352" w14:textId="77777777" w:rsidR="005A5FCC" w:rsidRDefault="00A21C81">
                  <w:pPr>
                    <w:spacing w:before="20" w:after="20" w:line="240" w:lineRule="auto"/>
                    <w:jc w:val="left"/>
                  </w:pPr>
                  <w:r>
                    <w:rPr>
                      <w:rFonts w:cs="EB Garamond"/>
                      <w:kern w:val="16"/>
                      <w:sz w:val="16"/>
                      <w14:ligatures w14:val="standardContextual"/>
                    </w:rPr>
                    <w:t>I</w:t>
                  </w:r>
                </w:p>
              </w:tc>
              <w:tc>
                <w:tcPr>
                  <w:tcW w:w="2117" w:type="dxa"/>
                  <w:tcBorders>
                    <w:top w:val="single" w:sz="4" w:space="0" w:color="D2C9B8"/>
                    <w:left w:val="single" w:sz="4" w:space="0" w:color="D2C9B8"/>
                    <w:bottom w:val="single" w:sz="4" w:space="0" w:color="D2C9B8"/>
                    <w:right w:val="single" w:sz="4" w:space="0" w:color="D2C9B8"/>
                  </w:tcBorders>
                </w:tcPr>
                <w:p w14:paraId="3695AAE3" w14:textId="77777777" w:rsidR="005A5FCC" w:rsidRDefault="00A21C81">
                  <w:pPr>
                    <w:spacing w:before="20" w:after="20" w:line="240" w:lineRule="auto"/>
                    <w:jc w:val="left"/>
                  </w:pPr>
                  <w:r>
                    <w:rPr>
                      <w:rFonts w:cs="EB Garamond"/>
                      <w:kern w:val="16"/>
                      <w:sz w:val="16"/>
                      <w14:ligatures w14:val="standardContextual"/>
                    </w:rPr>
                    <w:t>Duas aposentadorias no RGPS</w:t>
                  </w:r>
                </w:p>
              </w:tc>
              <w:tc>
                <w:tcPr>
                  <w:tcW w:w="2117" w:type="dxa"/>
                  <w:tcBorders>
                    <w:top w:val="single" w:sz="4" w:space="0" w:color="D2C9B8"/>
                    <w:left w:val="single" w:sz="4" w:space="0" w:color="D2C9B8"/>
                    <w:bottom w:val="single" w:sz="4" w:space="0" w:color="D2C9B8"/>
                    <w:right w:val="single" w:sz="4" w:space="0" w:color="D2C9B8"/>
                  </w:tcBorders>
                </w:tcPr>
                <w:p w14:paraId="26C9A819" w14:textId="77777777" w:rsidR="005A5FCC" w:rsidRDefault="00A21C81">
                  <w:pPr>
                    <w:spacing w:before="20" w:after="20" w:line="240" w:lineRule="auto"/>
                    <w:jc w:val="left"/>
                  </w:pPr>
                  <w:r>
                    <w:rPr>
                      <w:rFonts w:cs="EB Garamond"/>
                      <w:kern w:val="16"/>
                      <w:sz w:val="16"/>
                      <w14:ligatures w14:val="standardContextual"/>
                    </w:rPr>
                    <w:t>Vedação intra-regime; RGPS + RPPS é permitido (com escalonamento)</w:t>
                  </w:r>
                </w:p>
              </w:tc>
            </w:tr>
            <w:tr w:rsidR="005A5FCC" w14:paraId="044DD37D"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124A04C0" w14:textId="77777777" w:rsidR="005A5FCC" w:rsidRDefault="00A21C81">
                  <w:pPr>
                    <w:spacing w:before="20" w:after="20" w:line="240" w:lineRule="auto"/>
                    <w:jc w:val="left"/>
                  </w:pPr>
                  <w:r>
                    <w:rPr>
                      <w:rFonts w:cs="EB Garamond"/>
                      <w:kern w:val="16"/>
                      <w:sz w:val="16"/>
                      <w14:ligatures w14:val="standardContextual"/>
                    </w:rPr>
                    <w:t>II</w:t>
                  </w:r>
                </w:p>
              </w:tc>
              <w:tc>
                <w:tcPr>
                  <w:tcW w:w="2117" w:type="dxa"/>
                  <w:tcBorders>
                    <w:top w:val="single" w:sz="4" w:space="0" w:color="D2C9B8"/>
                    <w:left w:val="single" w:sz="4" w:space="0" w:color="D2C9B8"/>
                    <w:bottom w:val="single" w:sz="4" w:space="0" w:color="D2C9B8"/>
                    <w:right w:val="single" w:sz="4" w:space="0" w:color="D2C9B8"/>
                  </w:tcBorders>
                </w:tcPr>
                <w:p w14:paraId="3CA4E236" w14:textId="77777777" w:rsidR="005A5FCC" w:rsidRDefault="00A21C81">
                  <w:pPr>
                    <w:spacing w:before="20" w:after="20" w:line="240" w:lineRule="auto"/>
                    <w:jc w:val="left"/>
                  </w:pPr>
                  <w:r>
                    <w:rPr>
                      <w:rFonts w:cs="EB Garamond"/>
                      <w:kern w:val="16"/>
                      <w:sz w:val="16"/>
                      <w14:ligatures w14:val="standardContextual"/>
                    </w:rPr>
                    <w:t>Aposentadoria + auxílio por incapacidade temporária</w:t>
                  </w:r>
                </w:p>
              </w:tc>
              <w:tc>
                <w:tcPr>
                  <w:tcW w:w="2117" w:type="dxa"/>
                  <w:tcBorders>
                    <w:top w:val="single" w:sz="4" w:space="0" w:color="D2C9B8"/>
                    <w:left w:val="single" w:sz="4" w:space="0" w:color="D2C9B8"/>
                    <w:bottom w:val="single" w:sz="4" w:space="0" w:color="D2C9B8"/>
                    <w:right w:val="single" w:sz="4" w:space="0" w:color="D2C9B8"/>
                  </w:tcBorders>
                </w:tcPr>
                <w:p w14:paraId="1C870EC1" w14:textId="77777777" w:rsidR="005A5FCC" w:rsidRDefault="00A21C81">
                  <w:pPr>
                    <w:spacing w:before="20" w:after="20" w:line="240" w:lineRule="auto"/>
                    <w:jc w:val="left"/>
                  </w:pPr>
                  <w:r>
                    <w:rPr>
                      <w:rFonts w:cs="EB Garamond"/>
                      <w:kern w:val="16"/>
                      <w:sz w:val="16"/>
                      <w14:ligatures w14:val="standardContextual"/>
                    </w:rPr>
                    <w:t>Incompatibilidade lógica; inclui aposentado que retorna ao trabalho</w:t>
                  </w:r>
                </w:p>
              </w:tc>
            </w:tr>
            <w:tr w:rsidR="005A5FCC" w14:paraId="62E4FC34"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38B71FED" w14:textId="77777777" w:rsidR="005A5FCC" w:rsidRDefault="00A21C81">
                  <w:pPr>
                    <w:spacing w:before="20" w:after="20" w:line="240" w:lineRule="auto"/>
                    <w:jc w:val="left"/>
                  </w:pPr>
                  <w:r>
                    <w:rPr>
                      <w:rFonts w:cs="EB Garamond"/>
                      <w:kern w:val="16"/>
                      <w:sz w:val="16"/>
                      <w14:ligatures w14:val="standardContextual"/>
                    </w:rPr>
                    <w:t>III</w:t>
                  </w:r>
                </w:p>
              </w:tc>
              <w:tc>
                <w:tcPr>
                  <w:tcW w:w="2117" w:type="dxa"/>
                  <w:tcBorders>
                    <w:top w:val="single" w:sz="4" w:space="0" w:color="D2C9B8"/>
                    <w:left w:val="single" w:sz="4" w:space="0" w:color="D2C9B8"/>
                    <w:bottom w:val="single" w:sz="4" w:space="0" w:color="D2C9B8"/>
                    <w:right w:val="single" w:sz="4" w:space="0" w:color="D2C9B8"/>
                  </w:tcBorders>
                </w:tcPr>
                <w:p w14:paraId="6450A5CE" w14:textId="77777777" w:rsidR="005A5FCC" w:rsidRDefault="00A21C81">
                  <w:pPr>
                    <w:spacing w:before="20" w:after="20" w:line="240" w:lineRule="auto"/>
                    <w:jc w:val="left"/>
                  </w:pPr>
                  <w:r>
                    <w:rPr>
                      <w:rFonts w:cs="EB Garamond"/>
                      <w:kern w:val="16"/>
                      <w:sz w:val="16"/>
                      <w14:ligatures w14:val="standardContextual"/>
                    </w:rPr>
                    <w:t>Duas pensões de cônjuge/companheiro no RGPS</w:t>
                  </w:r>
                </w:p>
              </w:tc>
              <w:tc>
                <w:tcPr>
                  <w:tcW w:w="2117" w:type="dxa"/>
                  <w:tcBorders>
                    <w:top w:val="single" w:sz="4" w:space="0" w:color="D2C9B8"/>
                    <w:left w:val="single" w:sz="4" w:space="0" w:color="D2C9B8"/>
                    <w:bottom w:val="single" w:sz="4" w:space="0" w:color="D2C9B8"/>
                    <w:right w:val="single" w:sz="4" w:space="0" w:color="D2C9B8"/>
                  </w:tcBorders>
                </w:tcPr>
                <w:p w14:paraId="04F5C075" w14:textId="77777777" w:rsidR="005A5FCC" w:rsidRDefault="00A21C81">
                  <w:pPr>
                    <w:spacing w:before="20" w:after="20" w:line="240" w:lineRule="auto"/>
                    <w:jc w:val="left"/>
                  </w:pPr>
                  <w:r>
                    <w:rPr>
                      <w:rFonts w:cs="EB Garamond"/>
                      <w:kern w:val="16"/>
                      <w:sz w:val="16"/>
                      <w14:ligatures w14:val="standardContextual"/>
                    </w:rPr>
                    <w:t>Opção pela mais vantajosa; não abrange pensão de genitor</w:t>
                  </w:r>
                </w:p>
              </w:tc>
            </w:tr>
            <w:tr w:rsidR="005A5FCC" w14:paraId="176A89BA"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05AC3D79" w14:textId="77777777" w:rsidR="005A5FCC" w:rsidRDefault="00A21C81">
                  <w:pPr>
                    <w:spacing w:before="20" w:after="20" w:line="240" w:lineRule="auto"/>
                    <w:jc w:val="left"/>
                  </w:pPr>
                  <w:r>
                    <w:rPr>
                      <w:rFonts w:cs="EB Garamond"/>
                      <w:kern w:val="16"/>
                      <w:sz w:val="16"/>
                      <w14:ligatures w14:val="standardContextual"/>
                    </w:rPr>
                    <w:t>IV</w:t>
                  </w:r>
                </w:p>
              </w:tc>
              <w:tc>
                <w:tcPr>
                  <w:tcW w:w="2117" w:type="dxa"/>
                  <w:tcBorders>
                    <w:top w:val="single" w:sz="4" w:space="0" w:color="D2C9B8"/>
                    <w:left w:val="single" w:sz="4" w:space="0" w:color="D2C9B8"/>
                    <w:bottom w:val="single" w:sz="4" w:space="0" w:color="D2C9B8"/>
                    <w:right w:val="single" w:sz="4" w:space="0" w:color="D2C9B8"/>
                  </w:tcBorders>
                </w:tcPr>
                <w:p w14:paraId="3BBEF19F" w14:textId="77777777" w:rsidR="005A5FCC" w:rsidRDefault="00A21C81">
                  <w:pPr>
                    <w:spacing w:before="20" w:after="20" w:line="240" w:lineRule="auto"/>
                    <w:jc w:val="left"/>
                  </w:pPr>
                  <w:r>
                    <w:rPr>
                      <w:rFonts w:cs="EB Garamond"/>
                      <w:kern w:val="16"/>
                      <w:sz w:val="16"/>
                      <w14:ligatures w14:val="standardContextual"/>
                    </w:rPr>
                    <w:t>Aposentadoria + abono de permanência em serviço</w:t>
                  </w:r>
                </w:p>
              </w:tc>
              <w:tc>
                <w:tcPr>
                  <w:tcW w:w="2117" w:type="dxa"/>
                  <w:tcBorders>
                    <w:top w:val="single" w:sz="4" w:space="0" w:color="D2C9B8"/>
                    <w:left w:val="single" w:sz="4" w:space="0" w:color="D2C9B8"/>
                    <w:bottom w:val="single" w:sz="4" w:space="0" w:color="D2C9B8"/>
                    <w:right w:val="single" w:sz="4" w:space="0" w:color="D2C9B8"/>
                  </w:tcBorders>
                </w:tcPr>
                <w:p w14:paraId="2748301D" w14:textId="77777777" w:rsidR="005A5FCC" w:rsidRDefault="00A21C81">
                  <w:pPr>
                    <w:spacing w:before="20" w:after="20" w:line="240" w:lineRule="auto"/>
                    <w:jc w:val="left"/>
                  </w:pPr>
                  <w:r>
                    <w:rPr>
                      <w:rFonts w:cs="EB Garamond"/>
                      <w:kern w:val="16"/>
                      <w:sz w:val="16"/>
                      <w14:ligatures w14:val="standardContextual"/>
                    </w:rPr>
                    <w:t>Dispositivo residual (abono extinto em 1994)</w:t>
                  </w:r>
                </w:p>
              </w:tc>
            </w:tr>
            <w:tr w:rsidR="005A5FCC" w14:paraId="1D02B6AD"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6D325918" w14:textId="77777777" w:rsidR="005A5FCC" w:rsidRDefault="00A21C81">
                  <w:pPr>
                    <w:spacing w:before="20" w:after="20" w:line="240" w:lineRule="auto"/>
                    <w:jc w:val="left"/>
                  </w:pPr>
                  <w:r>
                    <w:rPr>
                      <w:rFonts w:cs="EB Garamond"/>
                      <w:kern w:val="16"/>
                      <w:sz w:val="16"/>
                      <w14:ligatures w14:val="standardContextual"/>
                    </w:rPr>
                    <w:t>V</w:t>
                  </w:r>
                </w:p>
              </w:tc>
              <w:tc>
                <w:tcPr>
                  <w:tcW w:w="2117" w:type="dxa"/>
                  <w:tcBorders>
                    <w:top w:val="single" w:sz="4" w:space="0" w:color="D2C9B8"/>
                    <w:left w:val="single" w:sz="4" w:space="0" w:color="D2C9B8"/>
                    <w:bottom w:val="single" w:sz="4" w:space="0" w:color="D2C9B8"/>
                    <w:right w:val="single" w:sz="4" w:space="0" w:color="D2C9B8"/>
                  </w:tcBorders>
                </w:tcPr>
                <w:p w14:paraId="3F90D439" w14:textId="77777777" w:rsidR="005A5FCC" w:rsidRDefault="00A21C81">
                  <w:pPr>
                    <w:spacing w:before="20" w:after="20" w:line="240" w:lineRule="auto"/>
                    <w:jc w:val="left"/>
                  </w:pPr>
                  <w:r>
                    <w:rPr>
                      <w:rFonts w:cs="EB Garamond"/>
                      <w:kern w:val="16"/>
                      <w:sz w:val="16"/>
                      <w14:ligatures w14:val="standardContextual"/>
                    </w:rPr>
                    <w:t>Salário-maternidade + auxílio por incapacidade temporária</w:t>
                  </w:r>
                </w:p>
              </w:tc>
              <w:tc>
                <w:tcPr>
                  <w:tcW w:w="2117" w:type="dxa"/>
                  <w:tcBorders>
                    <w:top w:val="single" w:sz="4" w:space="0" w:color="D2C9B8"/>
                    <w:left w:val="single" w:sz="4" w:space="0" w:color="D2C9B8"/>
                    <w:bottom w:val="single" w:sz="4" w:space="0" w:color="D2C9B8"/>
                    <w:right w:val="single" w:sz="4" w:space="0" w:color="D2C9B8"/>
                  </w:tcBorders>
                </w:tcPr>
                <w:p w14:paraId="322A54C4" w14:textId="77777777" w:rsidR="005A5FCC" w:rsidRDefault="00A21C81">
                  <w:pPr>
                    <w:spacing w:before="20" w:after="20" w:line="240" w:lineRule="auto"/>
                    <w:jc w:val="left"/>
                  </w:pPr>
                  <w:r>
                    <w:rPr>
                      <w:rFonts w:cs="EB Garamond"/>
                      <w:kern w:val="16"/>
                      <w:sz w:val="16"/>
                      <w14:ligatures w14:val="standardContextual"/>
                    </w:rPr>
                    <w:t>O auxílio é suspenso durante o salário-maternidade</w:t>
                  </w:r>
                </w:p>
              </w:tc>
            </w:tr>
            <w:tr w:rsidR="005A5FCC" w14:paraId="65188F50"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0C26CBAA" w14:textId="77777777" w:rsidR="005A5FCC" w:rsidRDefault="00A21C81">
                  <w:pPr>
                    <w:spacing w:before="20" w:after="20" w:line="240" w:lineRule="auto"/>
                    <w:jc w:val="left"/>
                  </w:pPr>
                  <w:r>
                    <w:rPr>
                      <w:rFonts w:cs="EB Garamond"/>
                      <w:kern w:val="16"/>
                      <w:sz w:val="16"/>
                      <w14:ligatures w14:val="standardContextual"/>
                    </w:rPr>
                    <w:t>VI</w:t>
                  </w:r>
                </w:p>
              </w:tc>
              <w:tc>
                <w:tcPr>
                  <w:tcW w:w="2117" w:type="dxa"/>
                  <w:tcBorders>
                    <w:top w:val="single" w:sz="4" w:space="0" w:color="D2C9B8"/>
                    <w:left w:val="single" w:sz="4" w:space="0" w:color="D2C9B8"/>
                    <w:bottom w:val="single" w:sz="4" w:space="0" w:color="D2C9B8"/>
                    <w:right w:val="single" w:sz="4" w:space="0" w:color="D2C9B8"/>
                  </w:tcBorders>
                </w:tcPr>
                <w:p w14:paraId="475FF0CE" w14:textId="77777777" w:rsidR="005A5FCC" w:rsidRDefault="00A21C81">
                  <w:pPr>
                    <w:spacing w:before="20" w:after="20" w:line="240" w:lineRule="auto"/>
                    <w:jc w:val="left"/>
                  </w:pPr>
                  <w:r>
                    <w:rPr>
                      <w:rFonts w:cs="EB Garamond"/>
                      <w:kern w:val="16"/>
                      <w:sz w:val="16"/>
                      <w14:ligatures w14:val="standardContextual"/>
                    </w:rPr>
                    <w:t>Dois auxílios-acidente</w:t>
                  </w:r>
                </w:p>
              </w:tc>
              <w:tc>
                <w:tcPr>
                  <w:tcW w:w="2117" w:type="dxa"/>
                  <w:tcBorders>
                    <w:top w:val="single" w:sz="4" w:space="0" w:color="D2C9B8"/>
                    <w:left w:val="single" w:sz="4" w:space="0" w:color="D2C9B8"/>
                    <w:bottom w:val="single" w:sz="4" w:space="0" w:color="D2C9B8"/>
                    <w:right w:val="single" w:sz="4" w:space="0" w:color="D2C9B8"/>
                  </w:tcBorders>
                </w:tcPr>
                <w:p w14:paraId="46A5E394" w14:textId="77777777" w:rsidR="005A5FCC" w:rsidRDefault="00A21C81">
                  <w:pPr>
                    <w:spacing w:before="20" w:after="20" w:line="240" w:lineRule="auto"/>
                    <w:jc w:val="left"/>
                  </w:pPr>
                  <w:r>
                    <w:rPr>
                      <w:rFonts w:cs="EB Garamond"/>
                      <w:kern w:val="16"/>
                      <w:sz w:val="16"/>
                      <w14:ligatures w14:val="standardContextual"/>
                    </w:rPr>
                    <w:t>Exceção: acidentes distintos com sequelas autônomas</w:t>
                  </w:r>
                </w:p>
              </w:tc>
            </w:tr>
            <w:tr w:rsidR="005A5FCC" w14:paraId="733FA386"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7A3ED523" w14:textId="77777777" w:rsidR="005A5FCC" w:rsidRDefault="00A21C81">
                  <w:pPr>
                    <w:spacing w:before="20" w:after="20" w:line="240" w:lineRule="auto"/>
                    <w:jc w:val="left"/>
                  </w:pPr>
                  <w:r>
                    <w:rPr>
                      <w:rFonts w:cs="EB Garamond"/>
                      <w:kern w:val="16"/>
                      <w:sz w:val="16"/>
                      <w14:ligatures w14:val="standardContextual"/>
                    </w:rPr>
                    <w:t>Par. único</w:t>
                  </w:r>
                </w:p>
              </w:tc>
              <w:tc>
                <w:tcPr>
                  <w:tcW w:w="2117" w:type="dxa"/>
                  <w:tcBorders>
                    <w:top w:val="single" w:sz="4" w:space="0" w:color="D2C9B8"/>
                    <w:left w:val="single" w:sz="4" w:space="0" w:color="D2C9B8"/>
                    <w:bottom w:val="single" w:sz="4" w:space="0" w:color="D2C9B8"/>
                    <w:right w:val="single" w:sz="4" w:space="0" w:color="D2C9B8"/>
                  </w:tcBorders>
                </w:tcPr>
                <w:p w14:paraId="5783A131" w14:textId="77777777" w:rsidR="005A5FCC" w:rsidRDefault="00A21C81">
                  <w:pPr>
                    <w:spacing w:before="20" w:after="20" w:line="240" w:lineRule="auto"/>
                    <w:jc w:val="left"/>
                  </w:pPr>
                  <w:r>
                    <w:rPr>
                      <w:rFonts w:cs="EB Garamond"/>
                      <w:kern w:val="16"/>
                      <w:sz w:val="16"/>
                      <w14:ligatures w14:val="standardContextual"/>
                    </w:rPr>
                    <w:t>Seguro-desemprego + benefício continuado</w:t>
                  </w:r>
                </w:p>
              </w:tc>
              <w:tc>
                <w:tcPr>
                  <w:tcW w:w="2117" w:type="dxa"/>
                  <w:tcBorders>
                    <w:top w:val="single" w:sz="4" w:space="0" w:color="D2C9B8"/>
                    <w:left w:val="single" w:sz="4" w:space="0" w:color="D2C9B8"/>
                    <w:bottom w:val="single" w:sz="4" w:space="0" w:color="D2C9B8"/>
                    <w:right w:val="single" w:sz="4" w:space="0" w:color="D2C9B8"/>
                  </w:tcBorders>
                </w:tcPr>
                <w:p w14:paraId="6FCBA9D8" w14:textId="77777777" w:rsidR="005A5FCC" w:rsidRDefault="00A21C81">
                  <w:pPr>
                    <w:spacing w:before="20" w:after="20" w:line="240" w:lineRule="auto"/>
                    <w:jc w:val="left"/>
                  </w:pPr>
                  <w:r>
                    <w:rPr>
                      <w:rFonts w:cs="EB Garamond"/>
                      <w:kern w:val="16"/>
                      <w:sz w:val="16"/>
                      <w14:ligatures w14:val="standardContextual"/>
                    </w:rPr>
                    <w:t>Ressalvados: pensão por morte e auxílio-acidente</w:t>
                  </w:r>
                </w:p>
              </w:tc>
            </w:tr>
          </w:tbl>
          <w:p w14:paraId="6B7146C9" w14:textId="77777777" w:rsidR="005A5FCC" w:rsidRDefault="005A5FCC"/>
          <w:p w14:paraId="73B577A4" w14:textId="77777777" w:rsidR="005A5FCC" w:rsidRDefault="005A5FCC">
            <w:pPr>
              <w:spacing w:after="0" w:line="240" w:lineRule="auto"/>
            </w:pPr>
          </w:p>
        </w:tc>
      </w:tr>
    </w:tbl>
    <w:p w14:paraId="23F64310" w14:textId="77777777" w:rsidR="005A5FCC" w:rsidRDefault="005A5FCC">
      <w:pPr>
        <w:spacing w:after="80" w:line="240" w:lineRule="auto"/>
      </w:pPr>
    </w:p>
    <w:p w14:paraId="39779514"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20.3 Art. 24 da EC 103/2019: regime de escalonamento</w:t>
      </w:r>
    </w:p>
    <w:p w14:paraId="3B9EF90E"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5CC5714A" w14:textId="77777777" w:rsidR="005A5FCC" w:rsidRDefault="00A21C81">
      <w:r>
        <w:rPr>
          <w:rFonts w:cs="EB Garamond"/>
          <w:kern w:val="16"/>
          <w14:ligatures w14:val="standardContextual"/>
        </w:rPr>
        <w:t xml:space="preserve"> Emenda Constitucional n. 103/2019 introduziu, em seu art. 24, um regime de escalonamento aplicável às acumulações de benefícios que permanecem lícitas após a reforma. O dispositivo representa a mais significativa inovação legislativa sobre o tema da acumulação de benefícios desde a edição da Lei 8.213/91 e aplica-se tanto ao RGPS quanto ao RPPS, unificando o tratamento da matéria nos dois regimes.</w:t>
      </w:r>
    </w:p>
    <w:p w14:paraId="1D98109B" w14:textId="77777777" w:rsidR="005A5FCC" w:rsidRDefault="00A21C81">
      <w:pPr>
        <w:ind w:firstLine="238"/>
      </w:pPr>
      <w:r>
        <w:rPr>
          <w:rFonts w:cs="EB Garamond"/>
          <w:kern w:val="16"/>
          <w14:ligatures w14:val="standardContextual"/>
        </w:rPr>
        <w:lastRenderedPageBreak/>
        <w:t>O caput do art. 24 estabelece uma única vedação: a acumulação de mais de uma pensão por morte deixada por cônjuge ou companheiro no âmbito do mesmo regime de previdência social, ressalvadas as pensões do mesmo instituidor decorrentes do exercício de cargos acumuláveis na forma do art. 37 da Constituição. Essa vedação opera de forma análoga à do art. 124 da Lei 8.213/91: trata-se de proibição absoluta, que impõe ao beneficiário a opção pelo benefício mais vantajoso. A acumulação de pensão por morte com aposentadoria não é vedada pelo caput; ao contrário, está expressamente admitida pelo § 1º, II, sujeita apenas ao redutor de escalonamento do § 2º.</w:t>
      </w:r>
    </w:p>
    <w:p w14:paraId="6DC1D349" w14:textId="60DE85E8" w:rsidR="005A5FCC" w:rsidRDefault="00A21C81">
      <w:pPr>
        <w:ind w:firstLine="238"/>
      </w:pPr>
      <w:r>
        <w:rPr>
          <w:rFonts w:cs="EB Garamond"/>
          <w:kern w:val="16"/>
          <w14:ligatures w14:val="standardContextual"/>
        </w:rPr>
        <w:t xml:space="preserve">O § 1º do art. 24 enumera as exceções à vedação do caput, ou seja, as hipóteses em que a acumulação é permitida, embora sujeita ao redutor de escalonamento. São três as exceções. O inciso I permite a acumulação de pensão por morte deixada por cônjuge ou companheiro de um regime com outra pensão por morte de cônjuge ou companheiro de regime diferente. O inciso II autoriza a acumulação de pensão por morte deixada por cônjuge ou companheiro com aposentadoria concedida no mesmo regime ou em regime diferente </w:t>
      </w:r>
      <w:r w:rsidR="002E3C93">
        <w:rPr>
          <w:rFonts w:cs="EB Garamond"/>
          <w:kern w:val="16"/>
          <w14:ligatures w14:val="standardContextual"/>
        </w:rPr>
        <w:t>(</w:t>
      </w:r>
      <w:r>
        <w:rPr>
          <w:rFonts w:cs="EB Garamond"/>
          <w:kern w:val="16"/>
          <w14:ligatures w14:val="standardContextual"/>
        </w:rPr>
        <w:t>esta é a hipótese mais comum na prática dos JEFs</w:t>
      </w:r>
      <w:r w:rsidR="002E3C93">
        <w:rPr>
          <w:rFonts w:cs="EB Garamond"/>
          <w:kern w:val="16"/>
          <w14:ligatures w14:val="standardContextual"/>
        </w:rPr>
        <w:t>)</w:t>
      </w:r>
      <w:r>
        <w:rPr>
          <w:rFonts w:cs="EB Garamond"/>
          <w:kern w:val="16"/>
          <w14:ligatures w14:val="standardContextual"/>
        </w:rPr>
        <w:t>. O inciso III abrange as pensões decorrentes das atividades militares de que tratam os arts. 42 e 142 da Constituição Federal. A proteção dos benefícios oriundos de cargos constitucionalmente acumuláveis (art. 37, XVI, CF) decorre da interpretação sistemática da Constituição e da jurisprudência, que reconhecem a acumulação integral nesses casos, conforme examinado na seção 20.6.3.</w:t>
      </w:r>
    </w:p>
    <w:p w14:paraId="3FD39493" w14:textId="500AA101" w:rsidR="005A5FCC" w:rsidRDefault="00A21C81">
      <w:pPr>
        <w:ind w:firstLine="238"/>
      </w:pPr>
      <w:r>
        <w:rPr>
          <w:rFonts w:cs="EB Garamond"/>
          <w:kern w:val="16"/>
          <w14:ligatures w14:val="standardContextual"/>
        </w:rPr>
        <w:t xml:space="preserve">O § 2º do art. 24 estabelece o mecanismo de escalonamento propriamente dito. A sistemática adota premissa essencial: o beneficiário recebe integralmente o benefício de maior valor, sem qualquer desconto ou redução. O redutor progressivo por faixas, calculado sobre múltiplos do </w:t>
      </w:r>
      <w:r w:rsidR="00FF66A2">
        <w:rPr>
          <w:rFonts w:cs="EB Garamond"/>
          <w:kern w:val="16"/>
          <w14:ligatures w14:val="standardContextual"/>
        </w:rPr>
        <w:t>salário-mínimo</w:t>
      </w:r>
      <w:r>
        <w:rPr>
          <w:rFonts w:cs="EB Garamond"/>
          <w:kern w:val="16"/>
          <w14:ligatures w14:val="standardContextual"/>
        </w:rPr>
        <w:t xml:space="preserve">, incide exclusivamente sobre o benefício de menor valor. Essa escolha legislativa, preservar o maior e reduzir o menor, protege o núcleo da renda do beneficiário e concentra o impacto do escalonamento na parcela complementar. O texto literal do art. 24, § 2º, da EC 103/2019 enumera quatro faixas de redução, aplicáveis às parcelas que excedam um </w:t>
      </w:r>
      <w:r w:rsidR="00FF66A2">
        <w:rPr>
          <w:rFonts w:cs="EB Garamond"/>
          <w:kern w:val="16"/>
          <w14:ligatures w14:val="standardContextual"/>
        </w:rPr>
        <w:t>salário-mínimo</w:t>
      </w:r>
      <w:r>
        <w:rPr>
          <w:rFonts w:cs="EB Garamond"/>
          <w:kern w:val="16"/>
          <w14:ligatures w14:val="standardContextual"/>
        </w:rPr>
        <w:t xml:space="preserve">. A parcela do benefício de menor valor correspondente a até um </w:t>
      </w:r>
      <w:r w:rsidR="00FF66A2">
        <w:rPr>
          <w:rFonts w:cs="EB Garamond"/>
          <w:kern w:val="16"/>
          <w14:ligatures w14:val="standardContextual"/>
        </w:rPr>
        <w:t>salário-mínimo</w:t>
      </w:r>
      <w:r>
        <w:rPr>
          <w:rFonts w:cs="EB Garamond"/>
          <w:kern w:val="16"/>
          <w14:ligatures w14:val="standardContextual"/>
        </w:rPr>
        <w:t xml:space="preserve"> é integralmente preservada (100%), sem qualquer redutor, pois não está abrangida por nenhum dos incisos do § 2º. As faixas de </w:t>
      </w:r>
      <w:r>
        <w:rPr>
          <w:rFonts w:cs="EB Garamond"/>
          <w:kern w:val="16"/>
          <w14:ligatures w14:val="standardContextual"/>
        </w:rPr>
        <w:lastRenderedPageBreak/>
        <w:t>redução, atualizadas para os valores de 2026 (</w:t>
      </w:r>
      <w:r w:rsidR="00FF66A2">
        <w:rPr>
          <w:rFonts w:cs="EB Garamond"/>
          <w:kern w:val="16"/>
          <w14:ligatures w14:val="standardContextual"/>
        </w:rPr>
        <w:t>salário-mínimo</w:t>
      </w:r>
      <w:r>
        <w:rPr>
          <w:rFonts w:cs="EB Garamond"/>
          <w:kern w:val="16"/>
          <w14:ligatures w14:val="standardContextual"/>
        </w:rPr>
        <w:t xml:space="preserve"> de R$ 1.621,00), são as seguintes:</w:t>
      </w:r>
    </w:p>
    <w:p w14:paraId="32F7AB63" w14:textId="30198200"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 xml:space="preserve">Parcela até R$ 1.621,00 (1 </w:t>
      </w:r>
      <w:r w:rsidR="00FF66A2">
        <w:rPr>
          <w:rFonts w:cs="EB Garamond"/>
          <w:kern w:val="16"/>
          <w:sz w:val="20"/>
          <w14:ligatures w14:val="standardContextual"/>
        </w:rPr>
        <w:t>salário-mínimo</w:t>
      </w:r>
      <w:r>
        <w:rPr>
          <w:rFonts w:cs="EB Garamond"/>
          <w:kern w:val="16"/>
          <w:sz w:val="20"/>
          <w14:ligatures w14:val="standardContextual"/>
        </w:rPr>
        <w:t>): integralmente preservada (100%)</w:t>
      </w:r>
    </w:p>
    <w:p w14:paraId="6276C297" w14:textId="6AE17560"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 xml:space="preserve">Faixa I: parcela de R$ 1.621,01 a R$ 3.242,00 (de 1 a 2 </w:t>
      </w:r>
      <w:r w:rsidR="00FF66A2">
        <w:rPr>
          <w:rFonts w:cs="EB Garamond"/>
          <w:kern w:val="16"/>
          <w:sz w:val="20"/>
          <w14:ligatures w14:val="standardContextual"/>
        </w:rPr>
        <w:t>salários-mínimos</w:t>
      </w:r>
      <w:r>
        <w:rPr>
          <w:rFonts w:cs="EB Garamond"/>
          <w:kern w:val="16"/>
          <w:sz w:val="20"/>
          <w14:ligatures w14:val="standardContextual"/>
        </w:rPr>
        <w:t>), o beneficiário recebe 60%</w:t>
      </w:r>
    </w:p>
    <w:p w14:paraId="0113FB98" w14:textId="2A96ED91"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 xml:space="preserve">Faixa II: parcela de R$ 3.242,01 a R$ 4.863,00 (de 2 a 3 </w:t>
      </w:r>
      <w:r w:rsidR="00FF66A2">
        <w:rPr>
          <w:rFonts w:cs="EB Garamond"/>
          <w:kern w:val="16"/>
          <w:sz w:val="20"/>
          <w14:ligatures w14:val="standardContextual"/>
        </w:rPr>
        <w:t>salários-mínimos</w:t>
      </w:r>
      <w:r>
        <w:rPr>
          <w:rFonts w:cs="EB Garamond"/>
          <w:kern w:val="16"/>
          <w:sz w:val="20"/>
          <w14:ligatures w14:val="standardContextual"/>
        </w:rPr>
        <w:t>), o beneficiário recebe 40%</w:t>
      </w:r>
    </w:p>
    <w:p w14:paraId="76A7966F" w14:textId="48FC144E"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 xml:space="preserve">Faixa III: parcela de R$ 4.863,01 a R$ 6.484,00 (de 3 a 4 </w:t>
      </w:r>
      <w:r w:rsidR="00FF66A2">
        <w:rPr>
          <w:rFonts w:cs="EB Garamond"/>
          <w:kern w:val="16"/>
          <w:sz w:val="20"/>
          <w14:ligatures w14:val="standardContextual"/>
        </w:rPr>
        <w:t>salários-mínimos</w:t>
      </w:r>
      <w:r>
        <w:rPr>
          <w:rFonts w:cs="EB Garamond"/>
          <w:kern w:val="16"/>
          <w:sz w:val="20"/>
          <w14:ligatures w14:val="standardContextual"/>
        </w:rPr>
        <w:t>), o beneficiário recebe 20%</w:t>
      </w:r>
    </w:p>
    <w:p w14:paraId="16432494" w14:textId="6E628C69"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 xml:space="preserve">Faixa IV: parcela acima de R$ 6.484,00 (acima de 4 </w:t>
      </w:r>
      <w:r w:rsidR="00FF66A2">
        <w:rPr>
          <w:rFonts w:cs="EB Garamond"/>
          <w:kern w:val="16"/>
          <w:sz w:val="20"/>
          <w14:ligatures w14:val="standardContextual"/>
        </w:rPr>
        <w:t>salários-mínimos</w:t>
      </w:r>
      <w:r>
        <w:rPr>
          <w:rFonts w:cs="EB Garamond"/>
          <w:kern w:val="16"/>
          <w:sz w:val="20"/>
          <w14:ligatures w14:val="standardContextual"/>
        </w:rPr>
        <w:t>), o beneficiário recebe 10%</w:t>
      </w:r>
    </w:p>
    <w:p w14:paraId="28DEF159" w14:textId="77777777" w:rsidR="005A5FCC" w:rsidRDefault="005A5FCC">
      <w:pPr>
        <w:spacing w:after="60" w:line="240" w:lineRule="auto"/>
      </w:pPr>
    </w:p>
    <w:p w14:paraId="0BDDA3EC"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50E65E3D" w14:textId="77777777" w:rsidR="005A5FCC" w:rsidRDefault="00A21C81">
      <w:r>
        <w:rPr>
          <w:rFonts w:cs="EB Garamond"/>
          <w:kern w:val="16"/>
          <w14:ligatures w14:val="standardContextual"/>
        </w:rPr>
        <w:t>specto fundamental, e que gera equívocos frequentes na atuação forense, é que as faixas são progressivas, à semelhança das alíquotas do imposto de renda. Cada faixa incide exclusivamente sobre a parcela do benefício que se enquadra naquele intervalo, e não sobre o valor total. Assim, se o benefício de menor valor é de R$ 3.000,00, os primeiros R$ 1.621,00 são integralmente preservados (R$ 1.621,00), e a parcela excedente de R$ 1.379,00 é submetida ao percentual de 60% (R$ 827,40). O valor total do benefício reduzido seria de R$ 2.448,40, e não R$ 1.800,00 como seria caso a alíquota de 60% incidisse sobre o valor integral. A compreensão da progressividade é indispensável para o cálculo correto do escalonamento.</w:t>
      </w:r>
    </w:p>
    <w:p w14:paraId="30BA2B45" w14:textId="77777777" w:rsidR="005A5FCC" w:rsidRDefault="00A21C81">
      <w:pPr>
        <w:ind w:firstLine="238"/>
      </w:pPr>
      <w:r>
        <w:rPr>
          <w:rFonts w:cs="EB Garamond"/>
          <w:kern w:val="16"/>
          <w14:ligatures w14:val="standardContextual"/>
        </w:rPr>
        <w:t>O § 3º do art. 24 excepciona do redutor as pensões decorrentes de morte por acidente de trabalho, doença profissional ou doença do trabalho. Nessas hipóteses, a pensão acumula integralmente com a aposentadoria do dependente sobrevivente, sem aplicação do escalonamento. O § 6º estende a mesma proteção aos servidores a que se refere o art. 144 da Constituição Federal (policiais federais, rodoviários federais, ferroviários federais, policiais civis, policiais militares e bombeiros militares), bem como aos agentes penitenciários e socioeducativos referidos em legislação específica, quando a morte decorrer de violência sofrida no exercício da função. Essas exceções serão examinadas na seção 20.6.</w:t>
      </w:r>
    </w:p>
    <w:p w14:paraId="711AB920" w14:textId="179072B4" w:rsidR="005A5FCC" w:rsidRDefault="00A21C81">
      <w:pPr>
        <w:ind w:firstLine="238"/>
      </w:pPr>
      <w:r>
        <w:rPr>
          <w:rFonts w:cs="EB Garamond"/>
          <w:kern w:val="16"/>
          <w14:ligatures w14:val="standardContextual"/>
        </w:rPr>
        <w:lastRenderedPageBreak/>
        <w:t>O art. 24 é norma de eficácia plena e aplicação imediata. Entendemos, e a jurisprudência confirma, que o dispositivo é autoaplicável, dispensando regulamentação infraconstitucional para sua incidência. O Tribunal Regional Federal da 4ª Região, nos autos do processo n. 5004698-26.2021.4.04.7001, confirmou expressamente a aplicação imediata do escalonamento, afastando a tese de que seria necessária lei ordinária para operacionalizar o cálculo do redutor. A posição é coerente com a técnica legislativa adotada pela emenda: o próprio § 2º do art. 24 define as faixas, os percentuais e o parâmetro de referência (</w:t>
      </w:r>
      <w:r w:rsidR="00FF66A2">
        <w:rPr>
          <w:rFonts w:cs="EB Garamond"/>
          <w:kern w:val="16"/>
          <w14:ligatures w14:val="standardContextual"/>
        </w:rPr>
        <w:t>salário-mínimo</w:t>
      </w:r>
      <w:r>
        <w:rPr>
          <w:rFonts w:cs="EB Garamond"/>
          <w:kern w:val="16"/>
          <w14:ligatures w14:val="standardContextual"/>
        </w:rPr>
        <w:t>), fornecendo todos os elementos necessários para o cálculo sem remissão a norma regulamentadora.</w:t>
      </w:r>
    </w:p>
    <w:p w14:paraId="293CF045" w14:textId="48AEDC64" w:rsidR="005A5FCC" w:rsidRDefault="00A21C81">
      <w:pPr>
        <w:ind w:firstLine="238"/>
      </w:pPr>
      <w:r>
        <w:rPr>
          <w:rFonts w:cs="EB Garamond"/>
          <w:kern w:val="16"/>
          <w14:ligatures w14:val="standardContextual"/>
        </w:rPr>
        <w:t xml:space="preserve">Questão prática que surge com frequência nos JEFs diz respeito à atualização dos valores das faixas. As faixas do § 2º do art. 24 são definidas em múltiplos do </w:t>
      </w:r>
      <w:r w:rsidR="00FF66A2">
        <w:rPr>
          <w:rFonts w:cs="EB Garamond"/>
          <w:kern w:val="16"/>
          <w14:ligatures w14:val="standardContextual"/>
        </w:rPr>
        <w:t>salário-mínimo</w:t>
      </w:r>
      <w:r>
        <w:rPr>
          <w:rFonts w:cs="EB Garamond"/>
          <w:kern w:val="16"/>
          <w14:ligatures w14:val="standardContextual"/>
        </w:rPr>
        <w:t>, o que significa que se atualizam automaticamente sempre que o salário</w:t>
      </w:r>
      <w:r w:rsidR="00FF66A2">
        <w:rPr>
          <w:rFonts w:cs="EB Garamond"/>
          <w:kern w:val="16"/>
          <w14:ligatures w14:val="standardContextual"/>
        </w:rPr>
        <w:t>-</w:t>
      </w:r>
      <w:r>
        <w:rPr>
          <w:rFonts w:cs="EB Garamond"/>
          <w:kern w:val="16"/>
          <w14:ligatures w14:val="standardContextual"/>
        </w:rPr>
        <w:t xml:space="preserve">mínimo é reajustado. Não há defasagem nem necessidade de ato normativo específico para promover a atualização: basta aplicar os percentuais ao </w:t>
      </w:r>
      <w:r w:rsidR="00FF66A2">
        <w:rPr>
          <w:rFonts w:cs="EB Garamond"/>
          <w:kern w:val="16"/>
          <w14:ligatures w14:val="standardContextual"/>
        </w:rPr>
        <w:t>salário-mínimo</w:t>
      </w:r>
      <w:r>
        <w:rPr>
          <w:rFonts w:cs="EB Garamond"/>
          <w:kern w:val="16"/>
          <w14:ligatures w14:val="standardContextual"/>
        </w:rPr>
        <w:t xml:space="preserve"> vigente na data de competência do pagamento. Em 2026, com o </w:t>
      </w:r>
      <w:r w:rsidR="00FF66A2">
        <w:rPr>
          <w:rFonts w:cs="EB Garamond"/>
          <w:kern w:val="16"/>
          <w14:ligatures w14:val="standardContextual"/>
        </w:rPr>
        <w:t>salário-mínimo</w:t>
      </w:r>
      <w:r>
        <w:rPr>
          <w:rFonts w:cs="EB Garamond"/>
          <w:kern w:val="16"/>
          <w14:ligatures w14:val="standardContextual"/>
        </w:rPr>
        <w:t xml:space="preserve"> fixado em R$ 1.621,00, os limites das faixas são R$ 1.621,00, R$ 3.242,00, R$ 4.863,00 e R$ 6.484,00. Quando o </w:t>
      </w:r>
      <w:r w:rsidR="00FF66A2">
        <w:rPr>
          <w:rFonts w:cs="EB Garamond"/>
          <w:kern w:val="16"/>
          <w14:ligatures w14:val="standardContextual"/>
        </w:rPr>
        <w:t>salário-mínimo</w:t>
      </w:r>
      <w:r>
        <w:rPr>
          <w:rFonts w:cs="EB Garamond"/>
          <w:kern w:val="16"/>
          <w14:ligatures w14:val="standardContextual"/>
        </w:rPr>
        <w:t xml:space="preserve"> for reajustado para 2027, todos esses limites se alterarão proporcionalmente, e o valor do benefício reduzido deverá ser recalculado para refletir as novas faixas.</w:t>
      </w:r>
    </w:p>
    <w:p w14:paraId="21DA536C" w14:textId="7E8BD02B" w:rsidR="005A5FCC" w:rsidRDefault="00A21C81">
      <w:pPr>
        <w:ind w:firstLine="238"/>
      </w:pPr>
      <w:r>
        <w:rPr>
          <w:rFonts w:cs="EB Garamond"/>
          <w:kern w:val="16"/>
          <w14:ligatures w14:val="standardContextual"/>
        </w:rPr>
        <w:t xml:space="preserve">A interação entre o escalonamento e o piso constitucional exige exame cuidadoso. O art. 201, § 2º, da Constituição Federal garante que nenhum benefício substitutivo do salário de contribuição terá valor mensal inferior ao </w:t>
      </w:r>
      <w:r w:rsidR="00FF66A2">
        <w:rPr>
          <w:rFonts w:cs="EB Garamond"/>
          <w:kern w:val="16"/>
          <w14:ligatures w14:val="standardContextual"/>
        </w:rPr>
        <w:t>salário-mínimo</w:t>
      </w:r>
      <w:r>
        <w:rPr>
          <w:rFonts w:cs="EB Garamond"/>
          <w:kern w:val="16"/>
          <w14:ligatures w14:val="standardContextual"/>
        </w:rPr>
        <w:t xml:space="preserve">. O escalonamento do art. 24, entretanto, não incide sobre o valor do benefício em si, mas sobre a parcela acumulada, o que significa que cada benefício individualmente considerado preserva o piso constitucional, mas o valor recebido pelo segundo benefício (após o redutor) pode resultar em montante inferior a um </w:t>
      </w:r>
      <w:r w:rsidR="00FF66A2">
        <w:rPr>
          <w:rFonts w:cs="EB Garamond"/>
          <w:kern w:val="16"/>
          <w14:ligatures w14:val="standardContextual"/>
        </w:rPr>
        <w:t>salário-mínimo</w:t>
      </w:r>
      <w:r>
        <w:rPr>
          <w:rFonts w:cs="EB Garamond"/>
          <w:kern w:val="16"/>
          <w14:ligatures w14:val="standardContextual"/>
        </w:rPr>
        <w:t>, sem que isso configure ofensa ao piso. A garantia do mínimo aplica-se ao benefício isolado, e não ao valor resultante do escalonamento.</w:t>
      </w:r>
    </w:p>
    <w:p w14:paraId="4FBF0D3B" w14:textId="77777777" w:rsidR="005A5FCC" w:rsidRDefault="00A21C81">
      <w:pPr>
        <w:ind w:firstLine="238"/>
      </w:pPr>
      <w:r>
        <w:rPr>
          <w:rFonts w:cs="EB Garamond"/>
          <w:kern w:val="16"/>
          <w14:ligatures w14:val="standardContextual"/>
        </w:rPr>
        <w:t xml:space="preserve">O escalonamento do art. 24 no contexto específico da pensão por morte, incluindo as questões intertemporais e o impacto sobre o cálculo do benefício, é examinado no Cap. 19 (seções 19.29 a 19.31). Registramos que os percentuais e faixas definitivos do escalonamento estão consolidados neste capítulo (seções </w:t>
      </w:r>
      <w:r>
        <w:rPr>
          <w:rFonts w:cs="EB Garamond"/>
          <w:kern w:val="16"/>
          <w14:ligatures w14:val="standardContextual"/>
        </w:rPr>
        <w:lastRenderedPageBreak/>
        <w:t>20.3 e 20.4), que funciona como capítulo-sede para o cálculo de acumulação de quaisquer benefícios. O leitor que encontrar referência ao escalonamento em outros capítulos da obra deve conferir os valores aqui apresentados como parâmetro final.</w:t>
      </w:r>
    </w:p>
    <w:tbl>
      <w:tblPr>
        <w:tblW w:w="5000" w:type="pct"/>
        <w:jc w:val="center"/>
        <w:tblLayout w:type="fixed"/>
        <w:tblLook w:val="04A0" w:firstRow="1" w:lastRow="0" w:firstColumn="1" w:lastColumn="0" w:noHBand="0" w:noVBand="1"/>
      </w:tblPr>
      <w:tblGrid>
        <w:gridCol w:w="6311"/>
      </w:tblGrid>
      <w:tr w:rsidR="005A5FCC" w14:paraId="717B00A0"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6F6B76B5"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08B5FBA3" w14:textId="77777777" w:rsidR="005A5FCC" w:rsidRDefault="00A21C81">
            <w:pPr>
              <w:spacing w:after="60" w:line="247" w:lineRule="auto"/>
            </w:pPr>
            <w:r>
              <w:rPr>
                <w:rFonts w:cs="EB Garamond"/>
                <w:b/>
                <w:kern w:val="16"/>
                <w:sz w:val="19"/>
                <w14:ligatures w14:val="standardContextual"/>
              </w:rPr>
              <w:t>Passo a passo para calcular o escalonamento do art. 24, § 2º</w:t>
            </w:r>
          </w:p>
          <w:p w14:paraId="488355AF" w14:textId="77777777" w:rsidR="005A5FCC" w:rsidRDefault="00A21C81">
            <w:pPr>
              <w:spacing w:after="60" w:line="247" w:lineRule="auto"/>
            </w:pPr>
            <w:r>
              <w:rPr>
                <w:rFonts w:cs="EB Garamond"/>
                <w:kern w:val="16"/>
                <w:sz w:val="19"/>
                <w14:ligatures w14:val="standardContextual"/>
              </w:rPr>
              <w:t xml:space="preserve">1. </w:t>
            </w:r>
            <w:r>
              <w:rPr>
                <w:rFonts w:cs="EB Garamond"/>
                <w:b/>
                <w:kern w:val="16"/>
                <w:sz w:val="19"/>
                <w14:ligatures w14:val="standardContextual"/>
              </w:rPr>
              <w:t>Identificar os dois benefícios acumulados</w:t>
            </w:r>
            <w:r>
              <w:rPr>
                <w:rFonts w:cs="EB Garamond"/>
                <w:kern w:val="16"/>
                <w:sz w:val="19"/>
                <w14:ligatures w14:val="standardContextual"/>
              </w:rPr>
              <w:t xml:space="preserve"> e verificar se a combinação é permitida pelo § 1º do art. 24 (se for vedada, não há escalonamento, o beneficiário deve optar pelo mais vantajoso). 2. </w:t>
            </w:r>
            <w:r>
              <w:rPr>
                <w:rFonts w:cs="EB Garamond"/>
                <w:b/>
                <w:kern w:val="16"/>
                <w:sz w:val="19"/>
                <w14:ligatures w14:val="standardContextual"/>
              </w:rPr>
              <w:t>Comparar os valores brutos</w:t>
            </w:r>
            <w:r>
              <w:rPr>
                <w:rFonts w:cs="EB Garamond"/>
                <w:kern w:val="16"/>
                <w:sz w:val="19"/>
                <w14:ligatures w14:val="standardContextual"/>
              </w:rPr>
              <w:t xml:space="preserve"> de ambos os benefícios e determinar qual é o de maior valor e qual é o de menor valor. 3. </w:t>
            </w:r>
            <w:r>
              <w:rPr>
                <w:rFonts w:cs="EB Garamond"/>
                <w:b/>
                <w:kern w:val="16"/>
                <w:sz w:val="19"/>
                <w14:ligatures w14:val="standardContextual"/>
              </w:rPr>
              <w:t>Manter integral o benefício de maior valor</w:t>
            </w:r>
            <w:r>
              <w:rPr>
                <w:rFonts w:cs="EB Garamond"/>
                <w:kern w:val="16"/>
                <w:sz w:val="19"/>
                <w14:ligatures w14:val="standardContextual"/>
              </w:rPr>
              <w:t xml:space="preserve">, esse benefício não sofre qualquer redução. 4. </w:t>
            </w:r>
            <w:r>
              <w:rPr>
                <w:rFonts w:cs="EB Garamond"/>
                <w:b/>
                <w:kern w:val="16"/>
                <w:sz w:val="19"/>
                <w14:ligatures w14:val="standardContextual"/>
              </w:rPr>
              <w:t>Aplicar o escalonamento ao benefício de menor valor</w:t>
            </w:r>
            <w:r>
              <w:rPr>
                <w:rFonts w:cs="EB Garamond"/>
                <w:kern w:val="16"/>
                <w:sz w:val="19"/>
                <w14:ligatures w14:val="standardContextual"/>
              </w:rPr>
              <w:t xml:space="preserve">, faixa a faixa:  — Parcela até R$ 1.621,00 → preservada integralmente (100%)  — Parcela de R$ 1.621,01 a R$ 3.242,00 → multiplicar por 0,60  — Parcela de R$ 3.242,01 a R$ 4.863,00 → multiplicar por 0,40  — Parcela de R$ 4.863,01 a R$ 6.484,00 → multiplicar por 0,20  — Parcela acima de R$ 6.484,00 → multiplicar por 0,10 5. </w:t>
            </w:r>
            <w:r>
              <w:rPr>
                <w:rFonts w:cs="EB Garamond"/>
                <w:b/>
                <w:kern w:val="16"/>
                <w:sz w:val="19"/>
                <w14:ligatures w14:val="standardContextual"/>
              </w:rPr>
              <w:t>Somar o benefício integral com o benefício reduzido</w:t>
            </w:r>
            <w:r>
              <w:rPr>
                <w:rFonts w:cs="EB Garamond"/>
                <w:kern w:val="16"/>
                <w:sz w:val="19"/>
                <w14:ligatures w14:val="standardContextual"/>
              </w:rPr>
              <w:t xml:space="preserve"> para obter o valor total a ser recebido.</w:t>
            </w:r>
          </w:p>
        </w:tc>
      </w:tr>
    </w:tbl>
    <w:p w14:paraId="16D3E31A" w14:textId="77777777" w:rsidR="005A5FCC" w:rsidRDefault="005A5FCC">
      <w:pPr>
        <w:spacing w:after="80" w:line="240" w:lineRule="auto"/>
      </w:pPr>
    </w:p>
    <w:tbl>
      <w:tblPr>
        <w:tblW w:w="5000" w:type="pct"/>
        <w:jc w:val="center"/>
        <w:tblLayout w:type="fixed"/>
        <w:tblLook w:val="04A0" w:firstRow="1" w:lastRow="0" w:firstColumn="1" w:lastColumn="0" w:noHBand="0" w:noVBand="1"/>
      </w:tblPr>
      <w:tblGrid>
        <w:gridCol w:w="6311"/>
      </w:tblGrid>
      <w:tr w:rsidR="005A5FCC" w14:paraId="633B9BF6" w14:textId="77777777">
        <w:trPr>
          <w:cantSplit/>
          <w:jc w:val="center"/>
        </w:trPr>
        <w:tc>
          <w:tcPr>
            <w:tcW w:w="6350" w:type="dxa"/>
            <w:tcBorders>
              <w:top w:val="single" w:sz="7" w:space="0" w:color="A09882"/>
              <w:left w:val="single" w:sz="24" w:space="0" w:color="6B6256"/>
              <w:bottom w:val="single" w:sz="7" w:space="0" w:color="A09882"/>
              <w:right w:val="single" w:sz="7" w:space="0" w:color="A09882"/>
            </w:tcBorders>
            <w:shd w:val="clear" w:color="auto" w:fill="F5F3EF"/>
            <w:tcMar>
              <w:top w:w="150" w:type="dxa"/>
              <w:left w:w="220" w:type="dxa"/>
              <w:bottom w:w="150" w:type="dxa"/>
              <w:right w:w="180" w:type="dxa"/>
            </w:tcMar>
          </w:tcPr>
          <w:p w14:paraId="59BC225A" w14:textId="77777777" w:rsidR="005A5FCC" w:rsidRDefault="00A21C81">
            <w:pPr>
              <w:spacing w:after="60" w:line="240" w:lineRule="auto"/>
              <w:jc w:val="left"/>
            </w:pPr>
            <w:r>
              <w:rPr>
                <w:rFonts w:ascii="Noto Sans" w:hAnsi="Noto Sans" w:cs="Noto Sans"/>
                <w:b/>
                <w:caps/>
                <w:color w:val="6B6256"/>
                <w:kern w:val="16"/>
                <w:sz w:val="16"/>
                <w14:ligatures w14:val="standardContextual"/>
              </w:rPr>
              <w:lastRenderedPageBreak/>
              <w:t>QUADRO</w:t>
            </w:r>
          </w:p>
          <w:p w14:paraId="217EC298" w14:textId="77777777" w:rsidR="005A5FCC" w:rsidRDefault="00A21C81">
            <w:pPr>
              <w:spacing w:after="60" w:line="247" w:lineRule="auto"/>
            </w:pPr>
            <w:r>
              <w:rPr>
                <w:rFonts w:cs="EB Garamond"/>
                <w:b/>
                <w:kern w:val="16"/>
                <w:sz w:val="19"/>
                <w14:ligatures w14:val="standardContextual"/>
              </w:rPr>
              <w:t>Quadro 20.2 — Faixas de Escalonamento do Art. 24, § 2º, EC 103/2019 (valores 2026)</w:t>
            </w:r>
          </w:p>
          <w:tbl>
            <w:tblPr>
              <w:tblW w:w="5000" w:type="pct"/>
              <w:jc w:val="center"/>
              <w:tblLook w:val="04A0" w:firstRow="1" w:lastRow="0" w:firstColumn="1" w:lastColumn="0" w:noHBand="0" w:noVBand="1"/>
            </w:tblPr>
            <w:tblGrid>
              <w:gridCol w:w="1181"/>
              <w:gridCol w:w="1180"/>
              <w:gridCol w:w="1180"/>
              <w:gridCol w:w="1180"/>
              <w:gridCol w:w="1180"/>
            </w:tblGrid>
            <w:tr w:rsidR="005A5FCC" w14:paraId="22577ADA" w14:textId="77777777">
              <w:trPr>
                <w:tblHeader/>
                <w:jc w:val="center"/>
              </w:trPr>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16FC0A47" w14:textId="77777777" w:rsidR="005A5FCC" w:rsidRDefault="00A21C81">
                  <w:pPr>
                    <w:spacing w:before="30" w:after="30" w:line="240" w:lineRule="auto"/>
                    <w:jc w:val="center"/>
                  </w:pPr>
                  <w:r>
                    <w:rPr>
                      <w:rFonts w:cs="EB Garamond"/>
                      <w:b/>
                      <w:color w:val="2F2923"/>
                      <w:kern w:val="16"/>
                      <w:sz w:val="16"/>
                      <w14:ligatures w14:val="standardContextual"/>
                    </w:rPr>
                    <w:t>Faixa</w:t>
                  </w:r>
                </w:p>
              </w:tc>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5E22FD17" w14:textId="77777777" w:rsidR="005A5FCC" w:rsidRDefault="00A21C81">
                  <w:pPr>
                    <w:spacing w:before="30" w:after="30" w:line="240" w:lineRule="auto"/>
                    <w:jc w:val="center"/>
                  </w:pPr>
                  <w:r>
                    <w:rPr>
                      <w:rFonts w:cs="EB Garamond"/>
                      <w:b/>
                      <w:color w:val="2F2923"/>
                      <w:kern w:val="16"/>
                      <w:sz w:val="16"/>
                      <w14:ligatures w14:val="standardContextual"/>
                    </w:rPr>
                    <w:t>Intervalo</w:t>
                  </w:r>
                </w:p>
              </w:tc>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7F543724" w14:textId="77777777" w:rsidR="005A5FCC" w:rsidRDefault="00A21C81">
                  <w:pPr>
                    <w:spacing w:before="30" w:after="30" w:line="240" w:lineRule="auto"/>
                    <w:jc w:val="center"/>
                  </w:pPr>
                  <w:r>
                    <w:rPr>
                      <w:rFonts w:cs="EB Garamond"/>
                      <w:b/>
                      <w:color w:val="2F2923"/>
                      <w:kern w:val="16"/>
                      <w:sz w:val="16"/>
                      <w14:ligatures w14:val="standardContextual"/>
                    </w:rPr>
                    <w:t>Percentual recebido</w:t>
                  </w:r>
                </w:p>
              </w:tc>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5CD44D79" w14:textId="77777777" w:rsidR="005A5FCC" w:rsidRDefault="00A21C81">
                  <w:pPr>
                    <w:spacing w:before="30" w:after="30" w:line="240" w:lineRule="auto"/>
                    <w:jc w:val="center"/>
                  </w:pPr>
                  <w:r>
                    <w:rPr>
                      <w:rFonts w:cs="EB Garamond"/>
                      <w:b/>
                      <w:color w:val="2F2923"/>
                      <w:kern w:val="16"/>
                      <w:sz w:val="16"/>
                      <w14:ligatures w14:val="standardContextual"/>
                    </w:rPr>
                    <w:t>Referência</w:t>
                  </w:r>
                </w:p>
              </w:tc>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57ACFC4A" w14:textId="77777777" w:rsidR="005A5FCC" w:rsidRDefault="00A21C81">
                  <w:pPr>
                    <w:spacing w:before="30" w:after="30" w:line="240" w:lineRule="auto"/>
                    <w:jc w:val="center"/>
                  </w:pPr>
                  <w:r>
                    <w:rPr>
                      <w:rFonts w:cs="EB Garamond"/>
                      <w:b/>
                      <w:color w:val="2F2923"/>
                      <w:kern w:val="16"/>
                      <w:sz w:val="16"/>
                      <w14:ligatures w14:val="standardContextual"/>
                    </w:rPr>
                    <w:t>Fundamento</w:t>
                  </w:r>
                </w:p>
              </w:tc>
            </w:tr>
            <w:tr w:rsidR="005A5FCC" w14:paraId="4ECACDF3"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1110BA1D" w14:textId="77777777" w:rsidR="005A5FCC" w:rsidRDefault="00A21C81">
                  <w:pPr>
                    <w:spacing w:before="20" w:after="20" w:line="240" w:lineRule="auto"/>
                    <w:jc w:val="left"/>
                  </w:pPr>
                  <w:r>
                    <w:rPr>
                      <w:rFonts w:cs="EB Garamond"/>
                      <w:kern w:val="16"/>
                      <w:sz w:val="16"/>
                      <w14:ligatures w14:val="standardContextual"/>
                    </w:rPr>
                    <w:t>Base</w:t>
                  </w:r>
                </w:p>
              </w:tc>
              <w:tc>
                <w:tcPr>
                  <w:tcW w:w="1270" w:type="dxa"/>
                  <w:tcBorders>
                    <w:top w:val="single" w:sz="4" w:space="0" w:color="D2C9B8"/>
                    <w:left w:val="single" w:sz="4" w:space="0" w:color="D2C9B8"/>
                    <w:bottom w:val="single" w:sz="4" w:space="0" w:color="D2C9B8"/>
                    <w:right w:val="single" w:sz="4" w:space="0" w:color="D2C9B8"/>
                  </w:tcBorders>
                </w:tcPr>
                <w:p w14:paraId="49C0B7DC" w14:textId="77777777" w:rsidR="005A5FCC" w:rsidRDefault="00A21C81">
                  <w:pPr>
                    <w:spacing w:before="20" w:after="20" w:line="240" w:lineRule="auto"/>
                    <w:jc w:val="left"/>
                  </w:pPr>
                  <w:r>
                    <w:rPr>
                      <w:rFonts w:cs="EB Garamond"/>
                      <w:kern w:val="16"/>
                      <w:sz w:val="16"/>
                      <w14:ligatures w14:val="standardContextual"/>
                    </w:rPr>
                    <w:t>Até R$ 1.621,00</w:t>
                  </w:r>
                </w:p>
              </w:tc>
              <w:tc>
                <w:tcPr>
                  <w:tcW w:w="1270" w:type="dxa"/>
                  <w:tcBorders>
                    <w:top w:val="single" w:sz="4" w:space="0" w:color="D2C9B8"/>
                    <w:left w:val="single" w:sz="4" w:space="0" w:color="D2C9B8"/>
                    <w:bottom w:val="single" w:sz="4" w:space="0" w:color="D2C9B8"/>
                    <w:right w:val="single" w:sz="4" w:space="0" w:color="D2C9B8"/>
                  </w:tcBorders>
                </w:tcPr>
                <w:p w14:paraId="015A5E26" w14:textId="77777777" w:rsidR="005A5FCC" w:rsidRDefault="00A21C81">
                  <w:pPr>
                    <w:spacing w:before="20" w:after="20" w:line="240" w:lineRule="auto"/>
                    <w:jc w:val="left"/>
                  </w:pPr>
                  <w:r>
                    <w:rPr>
                      <w:rFonts w:cs="EB Garamond"/>
                      <w:kern w:val="16"/>
                      <w:sz w:val="16"/>
                      <w14:ligatures w14:val="standardContextual"/>
                    </w:rPr>
                    <w:t>100% (integral)</w:t>
                  </w:r>
                </w:p>
              </w:tc>
              <w:tc>
                <w:tcPr>
                  <w:tcW w:w="1270" w:type="dxa"/>
                  <w:tcBorders>
                    <w:top w:val="single" w:sz="4" w:space="0" w:color="D2C9B8"/>
                    <w:left w:val="single" w:sz="4" w:space="0" w:color="D2C9B8"/>
                    <w:bottom w:val="single" w:sz="4" w:space="0" w:color="D2C9B8"/>
                    <w:right w:val="single" w:sz="4" w:space="0" w:color="D2C9B8"/>
                  </w:tcBorders>
                </w:tcPr>
                <w:p w14:paraId="02DA8883" w14:textId="77777777" w:rsidR="005A5FCC" w:rsidRDefault="00A21C81">
                  <w:pPr>
                    <w:spacing w:before="20" w:after="20" w:line="240" w:lineRule="auto"/>
                    <w:jc w:val="left"/>
                  </w:pPr>
                  <w:r>
                    <w:rPr>
                      <w:rFonts w:cs="EB Garamond"/>
                      <w:kern w:val="16"/>
                      <w:sz w:val="16"/>
                      <w14:ligatures w14:val="standardContextual"/>
                    </w:rPr>
                    <w:t>Até 1 SM</w:t>
                  </w:r>
                </w:p>
              </w:tc>
              <w:tc>
                <w:tcPr>
                  <w:tcW w:w="1270" w:type="dxa"/>
                  <w:tcBorders>
                    <w:top w:val="single" w:sz="4" w:space="0" w:color="D2C9B8"/>
                    <w:left w:val="single" w:sz="4" w:space="0" w:color="D2C9B8"/>
                    <w:bottom w:val="single" w:sz="4" w:space="0" w:color="D2C9B8"/>
                    <w:right w:val="single" w:sz="4" w:space="0" w:color="D2C9B8"/>
                  </w:tcBorders>
                </w:tcPr>
                <w:p w14:paraId="14B3BF9E" w14:textId="77777777" w:rsidR="005A5FCC" w:rsidRDefault="00A21C81">
                  <w:pPr>
                    <w:spacing w:before="20" w:after="20" w:line="240" w:lineRule="auto"/>
                    <w:jc w:val="left"/>
                  </w:pPr>
                  <w:r>
                    <w:rPr>
                      <w:rFonts w:cs="EB Garamond"/>
                      <w:kern w:val="16"/>
                      <w:sz w:val="16"/>
                      <w14:ligatures w14:val="standardContextual"/>
                    </w:rPr>
                    <w:t>Implícito no § 2º (parcela não abrangida pelos incisos)</w:t>
                  </w:r>
                </w:p>
              </w:tc>
            </w:tr>
            <w:tr w:rsidR="005A5FCC" w14:paraId="34A035AD"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554BC1A6" w14:textId="77777777" w:rsidR="005A5FCC" w:rsidRDefault="00A21C81">
                  <w:pPr>
                    <w:spacing w:before="20" w:after="20" w:line="240" w:lineRule="auto"/>
                    <w:jc w:val="left"/>
                  </w:pPr>
                  <w:r>
                    <w:rPr>
                      <w:rFonts w:cs="EB Garamond"/>
                      <w:kern w:val="16"/>
                      <w:sz w:val="16"/>
                      <w14:ligatures w14:val="standardContextual"/>
                    </w:rPr>
                    <w:t>I</w:t>
                  </w:r>
                </w:p>
              </w:tc>
              <w:tc>
                <w:tcPr>
                  <w:tcW w:w="1270" w:type="dxa"/>
                  <w:tcBorders>
                    <w:top w:val="single" w:sz="4" w:space="0" w:color="D2C9B8"/>
                    <w:left w:val="single" w:sz="4" w:space="0" w:color="D2C9B8"/>
                    <w:bottom w:val="single" w:sz="4" w:space="0" w:color="D2C9B8"/>
                    <w:right w:val="single" w:sz="4" w:space="0" w:color="D2C9B8"/>
                  </w:tcBorders>
                </w:tcPr>
                <w:p w14:paraId="5650E1B5" w14:textId="77777777" w:rsidR="005A5FCC" w:rsidRDefault="00A21C81">
                  <w:pPr>
                    <w:spacing w:before="20" w:after="20" w:line="240" w:lineRule="auto"/>
                    <w:jc w:val="left"/>
                  </w:pPr>
                  <w:r>
                    <w:rPr>
                      <w:rFonts w:cs="EB Garamond"/>
                      <w:kern w:val="16"/>
                      <w:sz w:val="16"/>
                      <w14:ligatures w14:val="standardContextual"/>
                    </w:rPr>
                    <w:t>R$ 1.621,01 a R$ 3.242,00</w:t>
                  </w:r>
                </w:p>
              </w:tc>
              <w:tc>
                <w:tcPr>
                  <w:tcW w:w="1270" w:type="dxa"/>
                  <w:tcBorders>
                    <w:top w:val="single" w:sz="4" w:space="0" w:color="D2C9B8"/>
                    <w:left w:val="single" w:sz="4" w:space="0" w:color="D2C9B8"/>
                    <w:bottom w:val="single" w:sz="4" w:space="0" w:color="D2C9B8"/>
                    <w:right w:val="single" w:sz="4" w:space="0" w:color="D2C9B8"/>
                  </w:tcBorders>
                </w:tcPr>
                <w:p w14:paraId="77EFC5E0" w14:textId="77777777" w:rsidR="005A5FCC" w:rsidRDefault="00A21C81">
                  <w:pPr>
                    <w:spacing w:before="20" w:after="20" w:line="240" w:lineRule="auto"/>
                    <w:jc w:val="left"/>
                  </w:pPr>
                  <w:r>
                    <w:rPr>
                      <w:rFonts w:cs="EB Garamond"/>
                      <w:kern w:val="16"/>
                      <w:sz w:val="16"/>
                      <w14:ligatures w14:val="standardContextual"/>
                    </w:rPr>
                    <w:t>60%</w:t>
                  </w:r>
                </w:p>
              </w:tc>
              <w:tc>
                <w:tcPr>
                  <w:tcW w:w="1270" w:type="dxa"/>
                  <w:tcBorders>
                    <w:top w:val="single" w:sz="4" w:space="0" w:color="D2C9B8"/>
                    <w:left w:val="single" w:sz="4" w:space="0" w:color="D2C9B8"/>
                    <w:bottom w:val="single" w:sz="4" w:space="0" w:color="D2C9B8"/>
                    <w:right w:val="single" w:sz="4" w:space="0" w:color="D2C9B8"/>
                  </w:tcBorders>
                </w:tcPr>
                <w:p w14:paraId="44871C82" w14:textId="77777777" w:rsidR="005A5FCC" w:rsidRDefault="00A21C81">
                  <w:pPr>
                    <w:spacing w:before="20" w:after="20" w:line="240" w:lineRule="auto"/>
                    <w:jc w:val="left"/>
                  </w:pPr>
                  <w:r>
                    <w:rPr>
                      <w:rFonts w:cs="EB Garamond"/>
                      <w:kern w:val="16"/>
                      <w:sz w:val="16"/>
                      <w14:ligatures w14:val="standardContextual"/>
                    </w:rPr>
                    <w:t>De 1 a 2 SM</w:t>
                  </w:r>
                </w:p>
              </w:tc>
              <w:tc>
                <w:tcPr>
                  <w:tcW w:w="1270" w:type="dxa"/>
                  <w:tcBorders>
                    <w:top w:val="single" w:sz="4" w:space="0" w:color="D2C9B8"/>
                    <w:left w:val="single" w:sz="4" w:space="0" w:color="D2C9B8"/>
                    <w:bottom w:val="single" w:sz="4" w:space="0" w:color="D2C9B8"/>
                    <w:right w:val="single" w:sz="4" w:space="0" w:color="D2C9B8"/>
                  </w:tcBorders>
                </w:tcPr>
                <w:p w14:paraId="0E5D8411" w14:textId="77777777" w:rsidR="005A5FCC" w:rsidRDefault="00A21C81">
                  <w:pPr>
                    <w:spacing w:before="20" w:after="20" w:line="240" w:lineRule="auto"/>
                    <w:jc w:val="left"/>
                  </w:pPr>
                  <w:r>
                    <w:rPr>
                      <w:rFonts w:cs="EB Garamond"/>
                      <w:kern w:val="16"/>
                      <w:sz w:val="16"/>
                      <w14:ligatures w14:val="standardContextual"/>
                    </w:rPr>
                    <w:t>Art. 24, § 2º, I</w:t>
                  </w:r>
                </w:p>
              </w:tc>
            </w:tr>
            <w:tr w:rsidR="005A5FCC" w14:paraId="467850FF"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0137FBDA" w14:textId="77777777" w:rsidR="005A5FCC" w:rsidRDefault="00A21C81">
                  <w:pPr>
                    <w:spacing w:before="20" w:after="20" w:line="240" w:lineRule="auto"/>
                    <w:jc w:val="left"/>
                  </w:pPr>
                  <w:r>
                    <w:rPr>
                      <w:rFonts w:cs="EB Garamond"/>
                      <w:kern w:val="16"/>
                      <w:sz w:val="16"/>
                      <w14:ligatures w14:val="standardContextual"/>
                    </w:rPr>
                    <w:t>II</w:t>
                  </w:r>
                </w:p>
              </w:tc>
              <w:tc>
                <w:tcPr>
                  <w:tcW w:w="1270" w:type="dxa"/>
                  <w:tcBorders>
                    <w:top w:val="single" w:sz="4" w:space="0" w:color="D2C9B8"/>
                    <w:left w:val="single" w:sz="4" w:space="0" w:color="D2C9B8"/>
                    <w:bottom w:val="single" w:sz="4" w:space="0" w:color="D2C9B8"/>
                    <w:right w:val="single" w:sz="4" w:space="0" w:color="D2C9B8"/>
                  </w:tcBorders>
                </w:tcPr>
                <w:p w14:paraId="5BC5910B" w14:textId="77777777" w:rsidR="005A5FCC" w:rsidRDefault="00A21C81">
                  <w:pPr>
                    <w:spacing w:before="20" w:after="20" w:line="240" w:lineRule="auto"/>
                    <w:jc w:val="left"/>
                  </w:pPr>
                  <w:r>
                    <w:rPr>
                      <w:rFonts w:cs="EB Garamond"/>
                      <w:kern w:val="16"/>
                      <w:sz w:val="16"/>
                      <w14:ligatures w14:val="standardContextual"/>
                    </w:rPr>
                    <w:t>R$ 3.242,01 a R$ 4.863,00</w:t>
                  </w:r>
                </w:p>
              </w:tc>
              <w:tc>
                <w:tcPr>
                  <w:tcW w:w="1270" w:type="dxa"/>
                  <w:tcBorders>
                    <w:top w:val="single" w:sz="4" w:space="0" w:color="D2C9B8"/>
                    <w:left w:val="single" w:sz="4" w:space="0" w:color="D2C9B8"/>
                    <w:bottom w:val="single" w:sz="4" w:space="0" w:color="D2C9B8"/>
                    <w:right w:val="single" w:sz="4" w:space="0" w:color="D2C9B8"/>
                  </w:tcBorders>
                </w:tcPr>
                <w:p w14:paraId="455A2B56" w14:textId="77777777" w:rsidR="005A5FCC" w:rsidRDefault="00A21C81">
                  <w:pPr>
                    <w:spacing w:before="20" w:after="20" w:line="240" w:lineRule="auto"/>
                    <w:jc w:val="left"/>
                  </w:pPr>
                  <w:r>
                    <w:rPr>
                      <w:rFonts w:cs="EB Garamond"/>
                      <w:kern w:val="16"/>
                      <w:sz w:val="16"/>
                      <w14:ligatures w14:val="standardContextual"/>
                    </w:rPr>
                    <w:t>40%</w:t>
                  </w:r>
                </w:p>
              </w:tc>
              <w:tc>
                <w:tcPr>
                  <w:tcW w:w="1270" w:type="dxa"/>
                  <w:tcBorders>
                    <w:top w:val="single" w:sz="4" w:space="0" w:color="D2C9B8"/>
                    <w:left w:val="single" w:sz="4" w:space="0" w:color="D2C9B8"/>
                    <w:bottom w:val="single" w:sz="4" w:space="0" w:color="D2C9B8"/>
                    <w:right w:val="single" w:sz="4" w:space="0" w:color="D2C9B8"/>
                  </w:tcBorders>
                </w:tcPr>
                <w:p w14:paraId="2F3D6D77" w14:textId="77777777" w:rsidR="005A5FCC" w:rsidRDefault="00A21C81">
                  <w:pPr>
                    <w:spacing w:before="20" w:after="20" w:line="240" w:lineRule="auto"/>
                    <w:jc w:val="left"/>
                  </w:pPr>
                  <w:r>
                    <w:rPr>
                      <w:rFonts w:cs="EB Garamond"/>
                      <w:kern w:val="16"/>
                      <w:sz w:val="16"/>
                      <w14:ligatures w14:val="standardContextual"/>
                    </w:rPr>
                    <w:t>De 2 a 3 SM</w:t>
                  </w:r>
                </w:p>
              </w:tc>
              <w:tc>
                <w:tcPr>
                  <w:tcW w:w="1270" w:type="dxa"/>
                  <w:tcBorders>
                    <w:top w:val="single" w:sz="4" w:space="0" w:color="D2C9B8"/>
                    <w:left w:val="single" w:sz="4" w:space="0" w:color="D2C9B8"/>
                    <w:bottom w:val="single" w:sz="4" w:space="0" w:color="D2C9B8"/>
                    <w:right w:val="single" w:sz="4" w:space="0" w:color="D2C9B8"/>
                  </w:tcBorders>
                </w:tcPr>
                <w:p w14:paraId="629D454C" w14:textId="77777777" w:rsidR="005A5FCC" w:rsidRDefault="00A21C81">
                  <w:pPr>
                    <w:spacing w:before="20" w:after="20" w:line="240" w:lineRule="auto"/>
                    <w:jc w:val="left"/>
                  </w:pPr>
                  <w:r>
                    <w:rPr>
                      <w:rFonts w:cs="EB Garamond"/>
                      <w:kern w:val="16"/>
                      <w:sz w:val="16"/>
                      <w14:ligatures w14:val="standardContextual"/>
                    </w:rPr>
                    <w:t>Art. 24, § 2º, II</w:t>
                  </w:r>
                </w:p>
              </w:tc>
            </w:tr>
            <w:tr w:rsidR="005A5FCC" w14:paraId="0BD0A6BB"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10C81F0E" w14:textId="77777777" w:rsidR="005A5FCC" w:rsidRDefault="00A21C81">
                  <w:pPr>
                    <w:spacing w:before="20" w:after="20" w:line="240" w:lineRule="auto"/>
                    <w:jc w:val="left"/>
                  </w:pPr>
                  <w:r>
                    <w:rPr>
                      <w:rFonts w:cs="EB Garamond"/>
                      <w:kern w:val="16"/>
                      <w:sz w:val="16"/>
                      <w14:ligatures w14:val="standardContextual"/>
                    </w:rPr>
                    <w:t>III</w:t>
                  </w:r>
                </w:p>
              </w:tc>
              <w:tc>
                <w:tcPr>
                  <w:tcW w:w="1270" w:type="dxa"/>
                  <w:tcBorders>
                    <w:top w:val="single" w:sz="4" w:space="0" w:color="D2C9B8"/>
                    <w:left w:val="single" w:sz="4" w:space="0" w:color="D2C9B8"/>
                    <w:bottom w:val="single" w:sz="4" w:space="0" w:color="D2C9B8"/>
                    <w:right w:val="single" w:sz="4" w:space="0" w:color="D2C9B8"/>
                  </w:tcBorders>
                </w:tcPr>
                <w:p w14:paraId="685C1C72" w14:textId="77777777" w:rsidR="005A5FCC" w:rsidRDefault="00A21C81">
                  <w:pPr>
                    <w:spacing w:before="20" w:after="20" w:line="240" w:lineRule="auto"/>
                    <w:jc w:val="left"/>
                  </w:pPr>
                  <w:r>
                    <w:rPr>
                      <w:rFonts w:cs="EB Garamond"/>
                      <w:kern w:val="16"/>
                      <w:sz w:val="16"/>
                      <w14:ligatures w14:val="standardContextual"/>
                    </w:rPr>
                    <w:t>R$ 4.863,01 a R$ 6.484,00</w:t>
                  </w:r>
                </w:p>
              </w:tc>
              <w:tc>
                <w:tcPr>
                  <w:tcW w:w="1270" w:type="dxa"/>
                  <w:tcBorders>
                    <w:top w:val="single" w:sz="4" w:space="0" w:color="D2C9B8"/>
                    <w:left w:val="single" w:sz="4" w:space="0" w:color="D2C9B8"/>
                    <w:bottom w:val="single" w:sz="4" w:space="0" w:color="D2C9B8"/>
                    <w:right w:val="single" w:sz="4" w:space="0" w:color="D2C9B8"/>
                  </w:tcBorders>
                </w:tcPr>
                <w:p w14:paraId="30BC42BE" w14:textId="77777777" w:rsidR="005A5FCC" w:rsidRDefault="00A21C81">
                  <w:pPr>
                    <w:spacing w:before="20" w:after="20" w:line="240" w:lineRule="auto"/>
                    <w:jc w:val="left"/>
                  </w:pPr>
                  <w:r>
                    <w:rPr>
                      <w:rFonts w:cs="EB Garamond"/>
                      <w:kern w:val="16"/>
                      <w:sz w:val="16"/>
                      <w14:ligatures w14:val="standardContextual"/>
                    </w:rPr>
                    <w:t>20%</w:t>
                  </w:r>
                </w:p>
              </w:tc>
              <w:tc>
                <w:tcPr>
                  <w:tcW w:w="1270" w:type="dxa"/>
                  <w:tcBorders>
                    <w:top w:val="single" w:sz="4" w:space="0" w:color="D2C9B8"/>
                    <w:left w:val="single" w:sz="4" w:space="0" w:color="D2C9B8"/>
                    <w:bottom w:val="single" w:sz="4" w:space="0" w:color="D2C9B8"/>
                    <w:right w:val="single" w:sz="4" w:space="0" w:color="D2C9B8"/>
                  </w:tcBorders>
                </w:tcPr>
                <w:p w14:paraId="41593A21" w14:textId="77777777" w:rsidR="005A5FCC" w:rsidRDefault="00A21C81">
                  <w:pPr>
                    <w:spacing w:before="20" w:after="20" w:line="240" w:lineRule="auto"/>
                    <w:jc w:val="left"/>
                  </w:pPr>
                  <w:r>
                    <w:rPr>
                      <w:rFonts w:cs="EB Garamond"/>
                      <w:kern w:val="16"/>
                      <w:sz w:val="16"/>
                      <w14:ligatures w14:val="standardContextual"/>
                    </w:rPr>
                    <w:t>De 3 a 4 SM</w:t>
                  </w:r>
                </w:p>
              </w:tc>
              <w:tc>
                <w:tcPr>
                  <w:tcW w:w="1270" w:type="dxa"/>
                  <w:tcBorders>
                    <w:top w:val="single" w:sz="4" w:space="0" w:color="D2C9B8"/>
                    <w:left w:val="single" w:sz="4" w:space="0" w:color="D2C9B8"/>
                    <w:bottom w:val="single" w:sz="4" w:space="0" w:color="D2C9B8"/>
                    <w:right w:val="single" w:sz="4" w:space="0" w:color="D2C9B8"/>
                  </w:tcBorders>
                </w:tcPr>
                <w:p w14:paraId="1717EC4B" w14:textId="77777777" w:rsidR="005A5FCC" w:rsidRDefault="00A21C81">
                  <w:pPr>
                    <w:spacing w:before="20" w:after="20" w:line="240" w:lineRule="auto"/>
                    <w:jc w:val="left"/>
                  </w:pPr>
                  <w:r>
                    <w:rPr>
                      <w:rFonts w:cs="EB Garamond"/>
                      <w:kern w:val="16"/>
                      <w:sz w:val="16"/>
                      <w14:ligatures w14:val="standardContextual"/>
                    </w:rPr>
                    <w:t>Art. 24, § 2º, III</w:t>
                  </w:r>
                </w:p>
              </w:tc>
            </w:tr>
            <w:tr w:rsidR="005A5FCC" w14:paraId="112B2A1C"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5E991139" w14:textId="77777777" w:rsidR="005A5FCC" w:rsidRDefault="00A21C81">
                  <w:pPr>
                    <w:spacing w:before="20" w:after="20" w:line="240" w:lineRule="auto"/>
                    <w:jc w:val="left"/>
                  </w:pPr>
                  <w:r>
                    <w:rPr>
                      <w:rFonts w:cs="EB Garamond"/>
                      <w:kern w:val="16"/>
                      <w:sz w:val="16"/>
                      <w14:ligatures w14:val="standardContextual"/>
                    </w:rPr>
                    <w:t>IV</w:t>
                  </w:r>
                </w:p>
              </w:tc>
              <w:tc>
                <w:tcPr>
                  <w:tcW w:w="1270" w:type="dxa"/>
                  <w:tcBorders>
                    <w:top w:val="single" w:sz="4" w:space="0" w:color="D2C9B8"/>
                    <w:left w:val="single" w:sz="4" w:space="0" w:color="D2C9B8"/>
                    <w:bottom w:val="single" w:sz="4" w:space="0" w:color="D2C9B8"/>
                    <w:right w:val="single" w:sz="4" w:space="0" w:color="D2C9B8"/>
                  </w:tcBorders>
                </w:tcPr>
                <w:p w14:paraId="3136A7E0" w14:textId="77777777" w:rsidR="005A5FCC" w:rsidRDefault="00A21C81">
                  <w:pPr>
                    <w:spacing w:before="20" w:after="20" w:line="240" w:lineRule="auto"/>
                    <w:jc w:val="left"/>
                  </w:pPr>
                  <w:r>
                    <w:rPr>
                      <w:rFonts w:cs="EB Garamond"/>
                      <w:kern w:val="16"/>
                      <w:sz w:val="16"/>
                      <w14:ligatures w14:val="standardContextual"/>
                    </w:rPr>
                    <w:t>Acima de R$ 6.484,00</w:t>
                  </w:r>
                </w:p>
              </w:tc>
              <w:tc>
                <w:tcPr>
                  <w:tcW w:w="1270" w:type="dxa"/>
                  <w:tcBorders>
                    <w:top w:val="single" w:sz="4" w:space="0" w:color="D2C9B8"/>
                    <w:left w:val="single" w:sz="4" w:space="0" w:color="D2C9B8"/>
                    <w:bottom w:val="single" w:sz="4" w:space="0" w:color="D2C9B8"/>
                    <w:right w:val="single" w:sz="4" w:space="0" w:color="D2C9B8"/>
                  </w:tcBorders>
                </w:tcPr>
                <w:p w14:paraId="18D312FF" w14:textId="77777777" w:rsidR="005A5FCC" w:rsidRDefault="00A21C81">
                  <w:pPr>
                    <w:spacing w:before="20" w:after="20" w:line="240" w:lineRule="auto"/>
                    <w:jc w:val="left"/>
                  </w:pPr>
                  <w:r>
                    <w:rPr>
                      <w:rFonts w:cs="EB Garamond"/>
                      <w:kern w:val="16"/>
                      <w:sz w:val="16"/>
                      <w14:ligatures w14:val="standardContextual"/>
                    </w:rPr>
                    <w:t>10%</w:t>
                  </w:r>
                </w:p>
              </w:tc>
              <w:tc>
                <w:tcPr>
                  <w:tcW w:w="1270" w:type="dxa"/>
                  <w:tcBorders>
                    <w:top w:val="single" w:sz="4" w:space="0" w:color="D2C9B8"/>
                    <w:left w:val="single" w:sz="4" w:space="0" w:color="D2C9B8"/>
                    <w:bottom w:val="single" w:sz="4" w:space="0" w:color="D2C9B8"/>
                    <w:right w:val="single" w:sz="4" w:space="0" w:color="D2C9B8"/>
                  </w:tcBorders>
                </w:tcPr>
                <w:p w14:paraId="748C7336" w14:textId="77777777" w:rsidR="005A5FCC" w:rsidRDefault="00A21C81">
                  <w:pPr>
                    <w:spacing w:before="20" w:after="20" w:line="240" w:lineRule="auto"/>
                    <w:jc w:val="left"/>
                  </w:pPr>
                  <w:r>
                    <w:rPr>
                      <w:rFonts w:cs="EB Garamond"/>
                      <w:kern w:val="16"/>
                      <w:sz w:val="16"/>
                      <w14:ligatures w14:val="standardContextual"/>
                    </w:rPr>
                    <w:t>Acima de 4 SM</w:t>
                  </w:r>
                </w:p>
              </w:tc>
              <w:tc>
                <w:tcPr>
                  <w:tcW w:w="1270" w:type="dxa"/>
                  <w:tcBorders>
                    <w:top w:val="single" w:sz="4" w:space="0" w:color="D2C9B8"/>
                    <w:left w:val="single" w:sz="4" w:space="0" w:color="D2C9B8"/>
                    <w:bottom w:val="single" w:sz="4" w:space="0" w:color="D2C9B8"/>
                    <w:right w:val="single" w:sz="4" w:space="0" w:color="D2C9B8"/>
                  </w:tcBorders>
                </w:tcPr>
                <w:p w14:paraId="4B2CCFC2" w14:textId="77777777" w:rsidR="005A5FCC" w:rsidRDefault="00A21C81">
                  <w:pPr>
                    <w:spacing w:before="20" w:after="20" w:line="240" w:lineRule="auto"/>
                    <w:jc w:val="left"/>
                  </w:pPr>
                  <w:r>
                    <w:rPr>
                      <w:rFonts w:cs="EB Garamond"/>
                      <w:kern w:val="16"/>
                      <w:sz w:val="16"/>
                      <w14:ligatures w14:val="standardContextual"/>
                    </w:rPr>
                    <w:t>Art. 24, § 2º, IV</w:t>
                  </w:r>
                </w:p>
              </w:tc>
            </w:tr>
          </w:tbl>
          <w:p w14:paraId="3FFB257A" w14:textId="77777777" w:rsidR="005A5FCC" w:rsidRDefault="005A5FCC"/>
          <w:p w14:paraId="20D980BB" w14:textId="77777777" w:rsidR="005A5FCC" w:rsidRDefault="005A5FCC">
            <w:pPr>
              <w:spacing w:after="0" w:line="240" w:lineRule="auto"/>
            </w:pPr>
          </w:p>
          <w:p w14:paraId="532C3D61" w14:textId="77777777" w:rsidR="005A5FCC" w:rsidRDefault="00A21C81">
            <w:pPr>
              <w:spacing w:after="60" w:line="247" w:lineRule="auto"/>
            </w:pPr>
            <w:r>
              <w:rPr>
                <w:rFonts w:cs="EB Garamond"/>
                <w:kern w:val="16"/>
                <w:sz w:val="19"/>
                <w14:ligatures w14:val="standardContextual"/>
              </w:rPr>
              <w:t>SM 2026 = R$ 1.621,00 | Teto RGPS 2026 = R$ 8.475,55</w:t>
            </w:r>
          </w:p>
        </w:tc>
      </w:tr>
    </w:tbl>
    <w:p w14:paraId="00DB1186" w14:textId="77777777" w:rsidR="005A5FCC" w:rsidRDefault="005A5FCC">
      <w:pPr>
        <w:spacing w:after="80" w:line="240" w:lineRule="auto"/>
      </w:pPr>
    </w:p>
    <w:p w14:paraId="6F3BFD65"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20.4 Cálculos práticos de escalonamento</w:t>
      </w:r>
    </w:p>
    <w:p w14:paraId="6B7502F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03001CCC" w14:textId="77777777" w:rsidR="005A5FCC" w:rsidRDefault="00A21C81">
      <w:r>
        <w:rPr>
          <w:rFonts w:cs="EB Garamond"/>
          <w:kern w:val="16"/>
          <w14:ligatures w14:val="standardContextual"/>
        </w:rPr>
        <w:t xml:space="preserve"> aplicação concreta do escalonamento exige cálculos faixa a faixa que, embora não sejam complexos do ponto de vista aritmético, demandam atenção para evitar erros que comprometam o valor final percebido pelo beneficiário. Apresentamos a seguir quatro cenários representativos das situações mais frequentes nos JEFs, com demonstração numérica completa.</w:t>
      </w:r>
    </w:p>
    <w:p w14:paraId="365D67D8" w14:textId="77777777" w:rsidR="005A5FCC" w:rsidRDefault="00A21C81">
      <w:pPr>
        <w:ind w:firstLine="238"/>
      </w:pPr>
      <w:r>
        <w:rPr>
          <w:rFonts w:cs="EB Garamond"/>
          <w:b/>
          <w:kern w:val="16"/>
          <w14:ligatures w14:val="standardContextual"/>
        </w:rPr>
        <w:t>Cenário 1 — Aposentadoria de R$ 3.500,00 + Pensão por morte de R$ 2.500,00</w:t>
      </w:r>
    </w:p>
    <w:p w14:paraId="3865A9FB" w14:textId="77777777" w:rsidR="005A5FCC" w:rsidRDefault="00A21C81">
      <w:pPr>
        <w:ind w:firstLine="238"/>
      </w:pPr>
      <w:r>
        <w:rPr>
          <w:rFonts w:cs="EB Garamond"/>
          <w:kern w:val="16"/>
          <w14:ligatures w14:val="standardContextual"/>
        </w:rPr>
        <w:t xml:space="preserve">A segurada recebe aposentadoria por idade no valor de R$ 3.500,00 e passa a ter direito à pensão por morte de seu cônjuge, no valor de R$ 2.500,00. Ambos </w:t>
      </w:r>
      <w:r>
        <w:rPr>
          <w:rFonts w:cs="EB Garamond"/>
          <w:kern w:val="16"/>
          <w14:ligatures w14:val="standardContextual"/>
        </w:rPr>
        <w:lastRenderedPageBreak/>
        <w:t>os benefícios são do RGPS. A acumulação é permitida pelo art. 24, § 1º, II, da EC 103/2019, com aplicação do escalonamento.</w:t>
      </w:r>
    </w:p>
    <w:p w14:paraId="2F36CADE" w14:textId="77777777" w:rsidR="005A5FCC" w:rsidRDefault="00A21C81">
      <w:pPr>
        <w:ind w:firstLine="238"/>
      </w:pPr>
      <w:r>
        <w:rPr>
          <w:rFonts w:cs="EB Garamond"/>
          <w:kern w:val="16"/>
          <w14:ligatures w14:val="standardContextual"/>
        </w:rPr>
        <w:t>Benefício de maior valor (aposentadoria): R$ 3.500,00, recebido integralmente.</w:t>
      </w:r>
    </w:p>
    <w:p w14:paraId="64116177" w14:textId="77777777" w:rsidR="005A5FCC" w:rsidRDefault="00A21C81">
      <w:pPr>
        <w:ind w:firstLine="238"/>
      </w:pPr>
      <w:r>
        <w:rPr>
          <w:rFonts w:cs="EB Garamond"/>
          <w:kern w:val="16"/>
          <w14:ligatures w14:val="standardContextual"/>
        </w:rPr>
        <w:t>Benefício de menor valor (pensão por morte): R$ 2.500,00, submetido ao escalonamento:</w:t>
      </w:r>
    </w:p>
    <w:p w14:paraId="09D502A0"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Base (até R$ 1.621,00): R$ 1.621,00 × 100% = R$ 1.621,00 (integralmente preservada)</w:t>
      </w:r>
    </w:p>
    <w:p w14:paraId="4BD27949"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Faixa I (de R$ 1.621,01 a R$ 3.242,00): parcela nessa faixa = R$ 2.500,00 − R$ 1.621,00 = R$ 879,00 × 60% = R$ 527,40</w:t>
      </w:r>
    </w:p>
    <w:p w14:paraId="6483B218"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Faixas II a IV: não atingidas (o benefício não ultrapassa R$ 3.242,00)</w:t>
      </w:r>
    </w:p>
    <w:p w14:paraId="2B5434FC" w14:textId="77777777" w:rsidR="005A5FCC" w:rsidRDefault="005A5FCC">
      <w:pPr>
        <w:spacing w:after="60" w:line="240" w:lineRule="auto"/>
      </w:pPr>
    </w:p>
    <w:p w14:paraId="5881817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V</w:t>
      </w:r>
    </w:p>
    <w:p w14:paraId="7B506481" w14:textId="77777777" w:rsidR="005A5FCC" w:rsidRDefault="00A21C81">
      <w:r>
        <w:rPr>
          <w:rFonts w:cs="EB Garamond"/>
          <w:kern w:val="16"/>
          <w14:ligatures w14:val="standardContextual"/>
        </w:rPr>
        <w:t xml:space="preserve">alor da pensão após o escalonamento: R$ 1.621,00 + R$ 527,40 = </w:t>
      </w:r>
      <w:r>
        <w:rPr>
          <w:rFonts w:cs="EB Garamond"/>
          <w:b/>
          <w:kern w:val="16"/>
          <w14:ligatures w14:val="standardContextual"/>
        </w:rPr>
        <w:t>R$ 2.148,40</w:t>
      </w:r>
    </w:p>
    <w:p w14:paraId="562CA47E" w14:textId="77777777" w:rsidR="005A5FCC" w:rsidRDefault="00A21C81">
      <w:pPr>
        <w:ind w:firstLine="238"/>
      </w:pPr>
      <w:r>
        <w:rPr>
          <w:rFonts w:cs="EB Garamond"/>
          <w:b/>
          <w:kern w:val="16"/>
          <w14:ligatures w14:val="standardContextual"/>
        </w:rPr>
        <w:t>Total recebido pela segurada: R$ 3.500,00 + R$ 2.148,40 = R$ 5.648,40</w:t>
      </w:r>
    </w:p>
    <w:p w14:paraId="09AF6AE4" w14:textId="3540118E" w:rsidR="005A5FCC" w:rsidRDefault="00A21C81">
      <w:pPr>
        <w:ind w:firstLine="238"/>
      </w:pPr>
      <w:r>
        <w:rPr>
          <w:rFonts w:cs="EB Garamond"/>
          <w:kern w:val="16"/>
          <w14:ligatures w14:val="standardContextual"/>
        </w:rPr>
        <w:t xml:space="preserve">Comparação: sem o escalonamento (regime anterior à EC 103/2019), a segurada receberia R$ 3.500,00 + R$ 2.500,00 = R$ 6.000,00. A redução provocada pelo escalonamento é de R$ 351,60, o que equivale a 5,86% do total que seria recebido integralmente. O cenário é representativo da realidade da maior parte dos segurados que litigam nos JEFs, cujos benefícios situam-se nas primeiras faixas do escalonamento. A perda mensal de R$ 351,60 pode parecer modesta em termos percentuais, mas representa cerca de 21,7% de um </w:t>
      </w:r>
      <w:r w:rsidR="00FF66A2">
        <w:rPr>
          <w:rFonts w:cs="EB Garamond"/>
          <w:kern w:val="16"/>
          <w14:ligatures w14:val="standardContextual"/>
        </w:rPr>
        <w:t>salário-mínimo</w:t>
      </w:r>
      <w:r>
        <w:rPr>
          <w:rFonts w:cs="EB Garamond"/>
          <w:kern w:val="16"/>
          <w14:ligatures w14:val="standardContextual"/>
        </w:rPr>
        <w:t>, montante que, para famílias de renda média-baixa, tem impacto concreto na capacidade de subsistência.</w:t>
      </w:r>
    </w:p>
    <w:p w14:paraId="29A45CA2" w14:textId="77777777" w:rsidR="005A5FCC" w:rsidRDefault="00A21C81">
      <w:pPr>
        <w:ind w:firstLine="238"/>
      </w:pPr>
      <w:r>
        <w:rPr>
          <w:rFonts w:cs="EB Garamond"/>
          <w:b/>
          <w:kern w:val="16"/>
          <w14:ligatures w14:val="standardContextual"/>
        </w:rPr>
        <w:t>Cenário 2 — Aposentadoria de R$ 1.621,00 (SM) + Pensão por morte de R$ 1.621,00 (SM)</w:t>
      </w:r>
    </w:p>
    <w:p w14:paraId="21828859" w14:textId="182CA3EA" w:rsidR="005A5FCC" w:rsidRDefault="00A21C81">
      <w:pPr>
        <w:ind w:firstLine="238"/>
      </w:pPr>
      <w:r>
        <w:rPr>
          <w:rFonts w:cs="EB Garamond"/>
          <w:kern w:val="16"/>
          <w14:ligatures w14:val="standardContextual"/>
        </w:rPr>
        <w:t xml:space="preserve">O segurado recebe aposentadoria no valor de um </w:t>
      </w:r>
      <w:r w:rsidR="00FF66A2">
        <w:rPr>
          <w:rFonts w:cs="EB Garamond"/>
          <w:kern w:val="16"/>
          <w14:ligatures w14:val="standardContextual"/>
        </w:rPr>
        <w:t>salário-mínimo</w:t>
      </w:r>
      <w:r>
        <w:rPr>
          <w:rFonts w:cs="EB Garamond"/>
          <w:kern w:val="16"/>
          <w14:ligatures w14:val="standardContextual"/>
        </w:rPr>
        <w:t xml:space="preserve"> e pensão por morte de cônjuge também no valor de um salário</w:t>
      </w:r>
      <w:r w:rsidR="00FF66A2">
        <w:rPr>
          <w:rFonts w:cs="EB Garamond"/>
          <w:kern w:val="16"/>
          <w14:ligatures w14:val="standardContextual"/>
        </w:rPr>
        <w:t>-</w:t>
      </w:r>
      <w:r>
        <w:rPr>
          <w:rFonts w:cs="EB Garamond"/>
          <w:kern w:val="16"/>
          <w14:ligatures w14:val="standardContextual"/>
        </w:rPr>
        <w:t>mínimo. Ambos os benefícios são do RGPS.</w:t>
      </w:r>
    </w:p>
    <w:p w14:paraId="27B57B7A" w14:textId="77777777" w:rsidR="005A5FCC" w:rsidRDefault="00A21C81">
      <w:pPr>
        <w:ind w:firstLine="238"/>
      </w:pPr>
      <w:r>
        <w:rPr>
          <w:rFonts w:cs="EB Garamond"/>
          <w:kern w:val="16"/>
          <w14:ligatures w14:val="standardContextual"/>
        </w:rPr>
        <w:lastRenderedPageBreak/>
        <w:t>Benefício de maior valor (qualquer um deles, por serem iguais): R$ 1.621,00, recebido integralmente.</w:t>
      </w:r>
    </w:p>
    <w:p w14:paraId="784EB32F" w14:textId="77777777" w:rsidR="005A5FCC" w:rsidRDefault="00A21C81">
      <w:pPr>
        <w:ind w:firstLine="238"/>
      </w:pPr>
      <w:r>
        <w:rPr>
          <w:rFonts w:cs="EB Garamond"/>
          <w:kern w:val="16"/>
          <w14:ligatures w14:val="standardContextual"/>
        </w:rPr>
        <w:t>Benefício de menor valor: R$ 1.621,00, submetido ao escalonamento:</w:t>
      </w:r>
    </w:p>
    <w:p w14:paraId="7E3D174B"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Base (até R$ 1.621,00): R$ 1.621,00 × 100% = R$ 1.621,00 (integralmente preservada)</w:t>
      </w:r>
    </w:p>
    <w:p w14:paraId="08B396F4"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Faixas I a IV: não atingidas</w:t>
      </w:r>
    </w:p>
    <w:p w14:paraId="6CB2C81C" w14:textId="77777777" w:rsidR="005A5FCC" w:rsidRDefault="005A5FCC">
      <w:pPr>
        <w:spacing w:after="60" w:line="240" w:lineRule="auto"/>
      </w:pPr>
    </w:p>
    <w:p w14:paraId="21B3C03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V</w:t>
      </w:r>
    </w:p>
    <w:p w14:paraId="07E233D6" w14:textId="77777777" w:rsidR="005A5FCC" w:rsidRDefault="00A21C81">
      <w:r>
        <w:rPr>
          <w:rFonts w:cs="EB Garamond"/>
          <w:kern w:val="16"/>
          <w14:ligatures w14:val="standardContextual"/>
        </w:rPr>
        <w:t xml:space="preserve">alor da pensão após o escalonamento: </w:t>
      </w:r>
      <w:r>
        <w:rPr>
          <w:rFonts w:cs="EB Garamond"/>
          <w:b/>
          <w:kern w:val="16"/>
          <w14:ligatures w14:val="standardContextual"/>
        </w:rPr>
        <w:t>R$ 1.621,00</w:t>
      </w:r>
    </w:p>
    <w:p w14:paraId="0BEB4627" w14:textId="77777777" w:rsidR="005A5FCC" w:rsidRDefault="00A21C81">
      <w:pPr>
        <w:ind w:firstLine="238"/>
      </w:pPr>
      <w:r>
        <w:rPr>
          <w:rFonts w:cs="EB Garamond"/>
          <w:b/>
          <w:kern w:val="16"/>
          <w14:ligatures w14:val="standardContextual"/>
        </w:rPr>
        <w:t>Total recebido pelo segurado: R$ 1.621,00 + R$ 1.621,00 = R$ 3.242,00</w:t>
      </w:r>
    </w:p>
    <w:p w14:paraId="5BEEFC7D" w14:textId="40BDC450" w:rsidR="005A5FCC" w:rsidRDefault="00A21C81">
      <w:pPr>
        <w:ind w:firstLine="238"/>
      </w:pPr>
      <w:r>
        <w:rPr>
          <w:rFonts w:cs="EB Garamond"/>
          <w:kern w:val="16"/>
          <w14:ligatures w14:val="standardContextual"/>
        </w:rPr>
        <w:t xml:space="preserve">Comparação: sem o escalonamento, o resultado seria idêntico — R$ 3.242,00 — pois a parcela de até um </w:t>
      </w:r>
      <w:r w:rsidR="00FF66A2">
        <w:rPr>
          <w:rFonts w:cs="EB Garamond"/>
          <w:kern w:val="16"/>
          <w14:ligatures w14:val="standardContextual"/>
        </w:rPr>
        <w:t>salário-mínimo</w:t>
      </w:r>
      <w:r>
        <w:rPr>
          <w:rFonts w:cs="EB Garamond"/>
          <w:kern w:val="16"/>
          <w14:ligatures w14:val="standardContextual"/>
        </w:rPr>
        <w:t xml:space="preserve"> é integralmente preservada pelo art. 24, § 2º, da EC 103/2019. O cenário demonstra que, para segurados que recebem dois benefícios no piso (um </w:t>
      </w:r>
      <w:r w:rsidR="00FF66A2">
        <w:rPr>
          <w:rFonts w:cs="EB Garamond"/>
          <w:kern w:val="16"/>
          <w14:ligatures w14:val="standardContextual"/>
        </w:rPr>
        <w:t>salário-mínimo</w:t>
      </w:r>
      <w:r>
        <w:rPr>
          <w:rFonts w:cs="EB Garamond"/>
          <w:kern w:val="16"/>
          <w14:ligatures w14:val="standardContextual"/>
        </w:rPr>
        <w:t xml:space="preserve"> cada), o escalonamento não produz qualquer redução. A proteção integral da primeira faixa assegura que os beneficiários de menor renda não sejam afetados pelo redutor. O impacto do escalonamento manifesta-se apenas quando o benefício de menor valor ultrapassa um </w:t>
      </w:r>
      <w:r w:rsidR="00FF66A2">
        <w:rPr>
          <w:rFonts w:cs="EB Garamond"/>
          <w:kern w:val="16"/>
          <w14:ligatures w14:val="standardContextual"/>
        </w:rPr>
        <w:t>salário-mínimo</w:t>
      </w:r>
      <w:r>
        <w:rPr>
          <w:rFonts w:cs="EB Garamond"/>
          <w:kern w:val="16"/>
          <w14:ligatures w14:val="standardContextual"/>
        </w:rPr>
        <w:t>, hipótese em que as faixas I a IV (60%, 40%, 20% e 10%) passam a incidir sobre as parcelas excedentes.</w:t>
      </w:r>
    </w:p>
    <w:p w14:paraId="7A593BB2" w14:textId="77777777" w:rsidR="005A5FCC" w:rsidRDefault="00A21C81">
      <w:pPr>
        <w:ind w:firstLine="238"/>
      </w:pPr>
      <w:r>
        <w:rPr>
          <w:rFonts w:cs="EB Garamond"/>
          <w:b/>
          <w:kern w:val="16"/>
          <w14:ligatures w14:val="standardContextual"/>
        </w:rPr>
        <w:t>Cenário 3 — Aposentadoria RPPS de R$ 7.000,00 + Aposentadoria RGPS de R$ 4.500,00</w:t>
      </w:r>
    </w:p>
    <w:p w14:paraId="4C541845" w14:textId="77777777" w:rsidR="005A5FCC" w:rsidRDefault="00A21C81">
      <w:pPr>
        <w:ind w:firstLine="238"/>
      </w:pPr>
      <w:r>
        <w:rPr>
          <w:rFonts w:cs="EB Garamond"/>
          <w:kern w:val="16"/>
          <w14:ligatures w14:val="standardContextual"/>
        </w:rPr>
        <w:t>O servidor público aposentado pelo RPPS, com proventos de R$ 7.000,00, também faz jus à aposentadoria pelo RGPS, no valor de R$ 4.500,00, em razão de contribuições vertidas ao regime geral por atividade concomitante no setor privado. A acumulação inter-regimes é permitida, mas sujeita ao escalonamento do art. 24.</w:t>
      </w:r>
    </w:p>
    <w:p w14:paraId="5133EB9A" w14:textId="77777777" w:rsidR="005A5FCC" w:rsidRDefault="00A21C81">
      <w:pPr>
        <w:ind w:firstLine="238"/>
      </w:pPr>
      <w:r>
        <w:rPr>
          <w:rFonts w:cs="EB Garamond"/>
          <w:kern w:val="16"/>
          <w14:ligatures w14:val="standardContextual"/>
        </w:rPr>
        <w:t>Benefício de maior valor (aposentadoria RPPS): R$ 7.000,00, recebido integralmente.</w:t>
      </w:r>
    </w:p>
    <w:p w14:paraId="4FE2594C" w14:textId="77777777" w:rsidR="005A5FCC" w:rsidRDefault="00A21C81">
      <w:pPr>
        <w:ind w:firstLine="238"/>
      </w:pPr>
      <w:r>
        <w:rPr>
          <w:rFonts w:cs="EB Garamond"/>
          <w:kern w:val="16"/>
          <w14:ligatures w14:val="standardContextual"/>
        </w:rPr>
        <w:t>Benefício de menor valor (aposentadoria RGPS): R$ 4.500,00, submetido ao escalonamento:</w:t>
      </w:r>
    </w:p>
    <w:p w14:paraId="39889718" w14:textId="77777777" w:rsidR="005A5FCC" w:rsidRDefault="00A21C81">
      <w:pPr>
        <w:spacing w:after="40" w:line="252" w:lineRule="auto"/>
        <w:ind w:left="340" w:hanging="198"/>
      </w:pPr>
      <w:r>
        <w:rPr>
          <w:rFonts w:cs="EB Garamond"/>
          <w:color w:val="3A3128"/>
          <w:kern w:val="16"/>
          <w:sz w:val="20"/>
          <w14:ligatures w14:val="standardContextual"/>
        </w:rPr>
        <w:lastRenderedPageBreak/>
        <w:t xml:space="preserve">• </w:t>
      </w:r>
      <w:r>
        <w:rPr>
          <w:rFonts w:cs="EB Garamond"/>
          <w:kern w:val="16"/>
          <w:sz w:val="20"/>
          <w14:ligatures w14:val="standardContextual"/>
        </w:rPr>
        <w:t>Base (até R$ 1.621,00): R$ 1.621,00 × 100% = R$ 1.621,00 (integralmente preservada)</w:t>
      </w:r>
    </w:p>
    <w:p w14:paraId="48194F6E"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Faixa I (de R$ 1.621,01 a R$ 3.242,00): R$ 1.621,00 × 60% = R$ 972,60</w:t>
      </w:r>
    </w:p>
    <w:p w14:paraId="0E091564"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Faixa II (de R$ 3.242,01 a R$ 4.863,00): parcela nessa faixa = R$ 4.500,00 − R$ 3.242,00 = R$ 1.258,00 × 40% = R$ 503,20</w:t>
      </w:r>
    </w:p>
    <w:p w14:paraId="0D865C6C"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Faixas III e IV: não atingidas</w:t>
      </w:r>
    </w:p>
    <w:p w14:paraId="76944C76" w14:textId="77777777" w:rsidR="005A5FCC" w:rsidRDefault="005A5FCC">
      <w:pPr>
        <w:spacing w:after="60" w:line="240" w:lineRule="auto"/>
      </w:pPr>
    </w:p>
    <w:p w14:paraId="324631AC"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V</w:t>
      </w:r>
    </w:p>
    <w:p w14:paraId="49EC4F0D" w14:textId="77777777" w:rsidR="005A5FCC" w:rsidRDefault="00A21C81">
      <w:r>
        <w:rPr>
          <w:rFonts w:cs="EB Garamond"/>
          <w:kern w:val="16"/>
          <w14:ligatures w14:val="standardContextual"/>
        </w:rPr>
        <w:t xml:space="preserve">alor da aposentadoria RGPS após o escalonamento: R$ 1.621,00 + R$ 972,60 + R$ 503,20 = </w:t>
      </w:r>
      <w:r>
        <w:rPr>
          <w:rFonts w:cs="EB Garamond"/>
          <w:b/>
          <w:kern w:val="16"/>
          <w14:ligatures w14:val="standardContextual"/>
        </w:rPr>
        <w:t>R$ 3.096,80</w:t>
      </w:r>
    </w:p>
    <w:p w14:paraId="09A18F13" w14:textId="77777777" w:rsidR="005A5FCC" w:rsidRDefault="00A21C81">
      <w:pPr>
        <w:ind w:firstLine="238"/>
      </w:pPr>
      <w:r>
        <w:rPr>
          <w:rFonts w:cs="EB Garamond"/>
          <w:b/>
          <w:kern w:val="16"/>
          <w14:ligatures w14:val="standardContextual"/>
        </w:rPr>
        <w:t>Total recebido pelo segurado: R$ 7.000,00 + R$ 3.096,80 = R$ 10.096,80</w:t>
      </w:r>
    </w:p>
    <w:p w14:paraId="15FA8E37" w14:textId="77777777" w:rsidR="005A5FCC" w:rsidRDefault="00A21C81">
      <w:pPr>
        <w:ind w:firstLine="238"/>
      </w:pPr>
      <w:r>
        <w:rPr>
          <w:rFonts w:cs="EB Garamond"/>
          <w:kern w:val="16"/>
          <w14:ligatures w14:val="standardContextual"/>
        </w:rPr>
        <w:t>Comparação: sem o escalonamento, o segurado receberia R$ 7.000,00 + R$ 4.500,00 = R$ 11.500,00. A redução é de R$ 1.403,20, equivalente a 12,20% do total que seria percebido integralmente. O impacto percentual é expressivo neste cenário porque o benefício de menor valor atravessa três faixas de escalonamento, e cada faixa subsequente impõe redutor mais severo.</w:t>
      </w:r>
    </w:p>
    <w:p w14:paraId="482EA44E" w14:textId="77777777" w:rsidR="005A5FCC" w:rsidRDefault="00A21C81">
      <w:pPr>
        <w:ind w:firstLine="238"/>
      </w:pPr>
      <w:r>
        <w:rPr>
          <w:rFonts w:cs="EB Garamond"/>
          <w:b/>
          <w:kern w:val="16"/>
          <w14:ligatures w14:val="standardContextual"/>
        </w:rPr>
        <w:t>Cenário 4 — Dupla pensão inter-regimes: Pensão RGPS de R$ 2.000,00 + Pensão RPPS de R$ 5.500,00</w:t>
      </w:r>
    </w:p>
    <w:p w14:paraId="40621363" w14:textId="77777777" w:rsidR="005A5FCC" w:rsidRDefault="00A21C81">
      <w:pPr>
        <w:ind w:firstLine="238"/>
      </w:pPr>
      <w:r>
        <w:rPr>
          <w:rFonts w:cs="EB Garamond"/>
          <w:kern w:val="16"/>
          <w14:ligatures w14:val="standardContextual"/>
        </w:rPr>
        <w:t>A beneficiária viúva recebe pensão por morte de cônjuge pelo RPPS (R$ 5.500,00) e pensão por morte de outro cônjuge (casamento anterior) pelo RGPS (R$ 2.000,00). A acumulação de pensões de cônjuge de regimes diferentes é permitida pelo art. 24, § 1º, I, da EC 103/2019, com escalonamento.</w:t>
      </w:r>
    </w:p>
    <w:p w14:paraId="0D8E88A5" w14:textId="77777777" w:rsidR="005A5FCC" w:rsidRDefault="00A21C81">
      <w:pPr>
        <w:ind w:firstLine="238"/>
      </w:pPr>
      <w:r>
        <w:rPr>
          <w:rFonts w:cs="EB Garamond"/>
          <w:kern w:val="16"/>
          <w14:ligatures w14:val="standardContextual"/>
        </w:rPr>
        <w:t>Benefício de maior valor (pensão RPPS): R$ 5.500,00, recebido integralmente.</w:t>
      </w:r>
    </w:p>
    <w:p w14:paraId="301CE6F4" w14:textId="77777777" w:rsidR="005A5FCC" w:rsidRDefault="00A21C81">
      <w:pPr>
        <w:ind w:firstLine="238"/>
      </w:pPr>
      <w:r>
        <w:rPr>
          <w:rFonts w:cs="EB Garamond"/>
          <w:kern w:val="16"/>
          <w14:ligatures w14:val="standardContextual"/>
        </w:rPr>
        <w:t>Benefício de menor valor (pensão RGPS): R$ 2.000,00, submetido ao escalonamento:</w:t>
      </w:r>
    </w:p>
    <w:p w14:paraId="5FD4DD47"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Base (até R$ 1.621,00): R$ 1.621,00 × 100% = R$ 1.621,00 (integralmente preservada)</w:t>
      </w:r>
    </w:p>
    <w:p w14:paraId="0439E74E"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Faixa I (de R$ 1.621,01 a R$ 3.242,00): parcela nessa faixa = R$ 2.000,00 − R$ 1.621,00 = R$ 379,00 × 60% = R$ 227,40</w:t>
      </w:r>
    </w:p>
    <w:p w14:paraId="3C6B4E23"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Faixas II a IV: não atingidas</w:t>
      </w:r>
    </w:p>
    <w:p w14:paraId="7BA17465" w14:textId="77777777" w:rsidR="005A5FCC" w:rsidRDefault="005A5FCC">
      <w:pPr>
        <w:spacing w:after="60" w:line="240" w:lineRule="auto"/>
      </w:pPr>
    </w:p>
    <w:p w14:paraId="7BFB452B"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V</w:t>
      </w:r>
    </w:p>
    <w:p w14:paraId="719973D6" w14:textId="77777777" w:rsidR="005A5FCC" w:rsidRDefault="00A21C81">
      <w:r>
        <w:rPr>
          <w:rFonts w:cs="EB Garamond"/>
          <w:kern w:val="16"/>
          <w14:ligatures w14:val="standardContextual"/>
        </w:rPr>
        <w:t xml:space="preserve">alor da pensão RGPS após o escalonamento: R$ 1.621,00 + R$ 227,40 = </w:t>
      </w:r>
      <w:r>
        <w:rPr>
          <w:rFonts w:cs="EB Garamond"/>
          <w:b/>
          <w:kern w:val="16"/>
          <w14:ligatures w14:val="standardContextual"/>
        </w:rPr>
        <w:t>R$ 1.848,40</w:t>
      </w:r>
    </w:p>
    <w:p w14:paraId="26FDC444" w14:textId="77777777" w:rsidR="005A5FCC" w:rsidRDefault="00A21C81">
      <w:pPr>
        <w:ind w:firstLine="238"/>
      </w:pPr>
      <w:r>
        <w:rPr>
          <w:rFonts w:cs="EB Garamond"/>
          <w:b/>
          <w:kern w:val="16"/>
          <w14:ligatures w14:val="standardContextual"/>
        </w:rPr>
        <w:t>Total recebido pela beneficiária: R$ 5.500,00 + R$ 1.848,40 = R$ 7.348,40</w:t>
      </w:r>
    </w:p>
    <w:p w14:paraId="705F315A" w14:textId="4EF98296" w:rsidR="005A5FCC" w:rsidRDefault="00A21C81">
      <w:pPr>
        <w:ind w:firstLine="238"/>
      </w:pPr>
      <w:r>
        <w:rPr>
          <w:rFonts w:cs="EB Garamond"/>
          <w:kern w:val="16"/>
          <w14:ligatures w14:val="standardContextual"/>
        </w:rPr>
        <w:t xml:space="preserve">Comparação: sem o escalonamento, a beneficiária receberia R$ 5.500,00 + R$ 2.000,00 = R$ 7.500,00. A redução é de R$ 151,60, correspondente a 2,02% do total integral. O impacto é menor neste cenário porque o benefício de menor valor é relativamente baixo e a parcela acima de um </w:t>
      </w:r>
      <w:r w:rsidR="00FF66A2">
        <w:rPr>
          <w:rFonts w:cs="EB Garamond"/>
          <w:kern w:val="16"/>
          <w14:ligatures w14:val="standardContextual"/>
        </w:rPr>
        <w:t>salário-mínimo</w:t>
      </w:r>
      <w:r>
        <w:rPr>
          <w:rFonts w:cs="EB Garamond"/>
          <w:kern w:val="16"/>
          <w14:ligatures w14:val="standardContextual"/>
        </w:rPr>
        <w:t xml:space="preserve"> é pequena.</w:t>
      </w:r>
    </w:p>
    <w:p w14:paraId="0EF542EF" w14:textId="6D5041A1" w:rsidR="005A5FCC" w:rsidRDefault="00A21C81">
      <w:pPr>
        <w:ind w:firstLine="238"/>
      </w:pPr>
      <w:r>
        <w:rPr>
          <w:rFonts w:cs="EB Garamond"/>
          <w:kern w:val="16"/>
          <w14:ligatures w14:val="standardContextual"/>
        </w:rPr>
        <w:t xml:space="preserve">A análise comparativa dos quatro cenários revela padrão consistente: o impacto percentual do escalonamento é proporcional ao valor do benefício reduzido e ao número de faixas atingidas. Para benefícios de valor mínimo (Cenário 2), não há redução alguma, pois a parcela de até um </w:t>
      </w:r>
      <w:r w:rsidR="00FF66A2">
        <w:rPr>
          <w:rFonts w:cs="EB Garamond"/>
          <w:kern w:val="16"/>
          <w14:ligatures w14:val="standardContextual"/>
        </w:rPr>
        <w:t>salário-mínimo</w:t>
      </w:r>
      <w:r>
        <w:rPr>
          <w:rFonts w:cs="EB Garamond"/>
          <w:kern w:val="16"/>
          <w14:ligatures w14:val="standardContextual"/>
        </w:rPr>
        <w:t xml:space="preserve"> é integralmente preservada. Para benefícios que atravessam duas ou mais faixas de redução (Cenários 1, 3 e 4), o impacto cresce progressivamente. Essa progressividade é intencional e reflete a opção do constituinte reformador por um sistema de redistribuição que preserva integralmente a renda dos beneficiários de menor poder aquisitivo e onera proporcionalmente mais os benefícios acumulados de maior valor.</w:t>
      </w:r>
    </w:p>
    <w:tbl>
      <w:tblPr>
        <w:tblW w:w="5000" w:type="pct"/>
        <w:jc w:val="center"/>
        <w:tblLayout w:type="fixed"/>
        <w:tblLook w:val="04A0" w:firstRow="1" w:lastRow="0" w:firstColumn="1" w:lastColumn="0" w:noHBand="0" w:noVBand="1"/>
      </w:tblPr>
      <w:tblGrid>
        <w:gridCol w:w="6311"/>
      </w:tblGrid>
      <w:tr w:rsidR="005A5FCC" w14:paraId="33B545A5"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72157A67"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3D05A85F" w14:textId="77777777" w:rsidR="005A5FCC" w:rsidRDefault="00A21C81">
            <w:pPr>
              <w:spacing w:after="60" w:line="247" w:lineRule="auto"/>
            </w:pPr>
            <w:r>
              <w:rPr>
                <w:rFonts w:cs="EB Garamond"/>
                <w:b/>
                <w:kern w:val="16"/>
                <w:sz w:val="19"/>
                <w14:ligatures w14:val="standardContextual"/>
              </w:rPr>
              <w:t>Modelo de demonstrativo de cálculo para uso em petições e sentenças</w:t>
            </w:r>
          </w:p>
          <w:p w14:paraId="1D190E2B" w14:textId="77777777" w:rsidR="005A5FCC" w:rsidRDefault="00A21C81">
            <w:pPr>
              <w:spacing w:after="60" w:line="247" w:lineRule="auto"/>
            </w:pPr>
            <w:r>
              <w:rPr>
                <w:rFonts w:cs="EB Garamond"/>
                <w:kern w:val="16"/>
                <w:sz w:val="19"/>
                <w14:ligatures w14:val="standardContextual"/>
              </w:rPr>
              <w:t>DEMONSTRATIVO DE ESCALONAMENTO — Art. 24, § 2º, EC 103/2019</w:t>
            </w:r>
          </w:p>
          <w:p w14:paraId="6541504D" w14:textId="77777777" w:rsidR="005A5FCC" w:rsidRDefault="00A21C81">
            <w:pPr>
              <w:spacing w:after="60" w:line="247" w:lineRule="auto"/>
            </w:pPr>
            <w:r>
              <w:rPr>
                <w:rFonts w:cs="EB Garamond"/>
                <w:kern w:val="16"/>
                <w:sz w:val="19"/>
                <w14:ligatures w14:val="standardContextual"/>
              </w:rPr>
              <w:t>Beneficiário: [nome] Data-base: [mês/ano] | SM vigente: R$ 1.621,00</w:t>
            </w:r>
          </w:p>
          <w:p w14:paraId="15B27B28" w14:textId="77777777" w:rsidR="005A5FCC" w:rsidRDefault="00A21C81">
            <w:pPr>
              <w:spacing w:after="60" w:line="247" w:lineRule="auto"/>
            </w:pPr>
            <w:r>
              <w:rPr>
                <w:rFonts w:cs="EB Garamond"/>
                <w:kern w:val="16"/>
                <w:sz w:val="19"/>
                <w14:ligatures w14:val="standardContextual"/>
              </w:rPr>
              <w:t>BENEFÍCIO INTEGRAL (maior valor): [Espécie]: R$ [valor], sem redutor</w:t>
            </w:r>
          </w:p>
          <w:p w14:paraId="7B2B778F" w14:textId="77777777" w:rsidR="005A5FCC" w:rsidRDefault="00A21C81">
            <w:pPr>
              <w:spacing w:after="60" w:line="247" w:lineRule="auto"/>
            </w:pPr>
            <w:r>
              <w:rPr>
                <w:rFonts w:cs="EB Garamond"/>
                <w:kern w:val="16"/>
                <w:sz w:val="19"/>
                <w14:ligatures w14:val="standardContextual"/>
              </w:rPr>
              <w:t>BENEFÍCIO COM REDUTOR (menor valor): [Espécie]: R$ [valor bruto]</w:t>
            </w:r>
          </w:p>
          <w:tbl>
            <w:tblPr>
              <w:tblW w:w="5000" w:type="pct"/>
              <w:jc w:val="center"/>
              <w:tblLook w:val="04A0" w:firstRow="1" w:lastRow="0" w:firstColumn="1" w:lastColumn="0" w:noHBand="0" w:noVBand="1"/>
            </w:tblPr>
            <w:tblGrid>
              <w:gridCol w:w="1476"/>
              <w:gridCol w:w="1475"/>
              <w:gridCol w:w="1475"/>
              <w:gridCol w:w="1475"/>
            </w:tblGrid>
            <w:tr w:rsidR="005A5FCC" w14:paraId="54A736E6" w14:textId="77777777">
              <w:trPr>
                <w:tblHeader/>
                <w:jc w:val="center"/>
              </w:trPr>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4D969479" w14:textId="77777777" w:rsidR="005A5FCC" w:rsidRDefault="00A21C81">
                  <w:pPr>
                    <w:spacing w:before="30" w:after="30" w:line="240" w:lineRule="auto"/>
                    <w:jc w:val="center"/>
                  </w:pPr>
                  <w:r>
                    <w:rPr>
                      <w:rFonts w:cs="EB Garamond"/>
                      <w:b/>
                      <w:color w:val="2F2923"/>
                      <w:kern w:val="16"/>
                      <w:sz w:val="16"/>
                      <w14:ligatures w14:val="standardContextual"/>
                    </w:rPr>
                    <w:t>Faixa</w:t>
                  </w:r>
                </w:p>
              </w:tc>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24CAB29C" w14:textId="77777777" w:rsidR="005A5FCC" w:rsidRDefault="00A21C81">
                  <w:pPr>
                    <w:spacing w:before="30" w:after="30" w:line="240" w:lineRule="auto"/>
                    <w:jc w:val="center"/>
                  </w:pPr>
                  <w:r>
                    <w:rPr>
                      <w:rFonts w:cs="EB Garamond"/>
                      <w:b/>
                      <w:color w:val="2F2923"/>
                      <w:kern w:val="16"/>
                      <w:sz w:val="16"/>
                      <w14:ligatures w14:val="standardContextual"/>
                    </w:rPr>
                    <w:t>Base de cálculo</w:t>
                  </w:r>
                </w:p>
              </w:tc>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0F32DD8C" w14:textId="77777777" w:rsidR="005A5FCC" w:rsidRDefault="00A21C81">
                  <w:pPr>
                    <w:spacing w:before="30" w:after="30" w:line="240" w:lineRule="auto"/>
                    <w:jc w:val="center"/>
                  </w:pPr>
                  <w:r>
                    <w:rPr>
                      <w:rFonts w:cs="EB Garamond"/>
                      <w:b/>
                      <w:color w:val="2F2923"/>
                      <w:kern w:val="16"/>
                      <w:sz w:val="16"/>
                      <w14:ligatures w14:val="standardContextual"/>
                    </w:rPr>
                    <w:t>%</w:t>
                  </w:r>
                </w:p>
              </w:tc>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2D69F34A" w14:textId="77777777" w:rsidR="005A5FCC" w:rsidRDefault="00A21C81">
                  <w:pPr>
                    <w:spacing w:before="30" w:after="30" w:line="240" w:lineRule="auto"/>
                    <w:jc w:val="center"/>
                  </w:pPr>
                  <w:r>
                    <w:rPr>
                      <w:rFonts w:cs="EB Garamond"/>
                      <w:b/>
                      <w:color w:val="2F2923"/>
                      <w:kern w:val="16"/>
                      <w:sz w:val="16"/>
                      <w14:ligatures w14:val="standardContextual"/>
                    </w:rPr>
                    <w:t>Valor</w:t>
                  </w:r>
                </w:p>
              </w:tc>
            </w:tr>
            <w:tr w:rsidR="005A5FCC" w14:paraId="456F874E"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2DF1E74E" w14:textId="77777777" w:rsidR="005A5FCC" w:rsidRDefault="00A21C81">
                  <w:pPr>
                    <w:spacing w:before="20" w:after="20" w:line="240" w:lineRule="auto"/>
                    <w:jc w:val="left"/>
                  </w:pPr>
                  <w:r>
                    <w:rPr>
                      <w:rFonts w:cs="EB Garamond"/>
                      <w:kern w:val="16"/>
                      <w:sz w:val="16"/>
                      <w14:ligatures w14:val="standardContextual"/>
                    </w:rPr>
                    <w:t>Base (até 1 SM)</w:t>
                  </w:r>
                </w:p>
              </w:tc>
              <w:tc>
                <w:tcPr>
                  <w:tcW w:w="1587" w:type="dxa"/>
                  <w:tcBorders>
                    <w:top w:val="single" w:sz="4" w:space="0" w:color="D2C9B8"/>
                    <w:left w:val="single" w:sz="4" w:space="0" w:color="D2C9B8"/>
                    <w:bottom w:val="single" w:sz="4" w:space="0" w:color="D2C9B8"/>
                    <w:right w:val="single" w:sz="4" w:space="0" w:color="D2C9B8"/>
                  </w:tcBorders>
                </w:tcPr>
                <w:p w14:paraId="34435555" w14:textId="77777777" w:rsidR="005A5FCC" w:rsidRDefault="00A21C81">
                  <w:pPr>
                    <w:spacing w:before="20" w:after="20" w:line="240" w:lineRule="auto"/>
                    <w:jc w:val="left"/>
                  </w:pPr>
                  <w:r>
                    <w:rPr>
                      <w:rFonts w:cs="EB Garamond"/>
                      <w:kern w:val="16"/>
                      <w:sz w:val="16"/>
                      <w14:ligatures w14:val="standardContextual"/>
                    </w:rPr>
                    <w:t>R$ [x]</w:t>
                  </w:r>
                </w:p>
              </w:tc>
              <w:tc>
                <w:tcPr>
                  <w:tcW w:w="1587" w:type="dxa"/>
                  <w:tcBorders>
                    <w:top w:val="single" w:sz="4" w:space="0" w:color="D2C9B8"/>
                    <w:left w:val="single" w:sz="4" w:space="0" w:color="D2C9B8"/>
                    <w:bottom w:val="single" w:sz="4" w:space="0" w:color="D2C9B8"/>
                    <w:right w:val="single" w:sz="4" w:space="0" w:color="D2C9B8"/>
                  </w:tcBorders>
                </w:tcPr>
                <w:p w14:paraId="162D67FC" w14:textId="77777777" w:rsidR="005A5FCC" w:rsidRDefault="00A21C81">
                  <w:pPr>
                    <w:spacing w:before="20" w:after="20" w:line="240" w:lineRule="auto"/>
                    <w:jc w:val="left"/>
                  </w:pPr>
                  <w:r>
                    <w:rPr>
                      <w:rFonts w:cs="EB Garamond"/>
                      <w:kern w:val="16"/>
                      <w:sz w:val="16"/>
                      <w14:ligatures w14:val="standardContextual"/>
                    </w:rPr>
                    <w:t>100%</w:t>
                  </w:r>
                </w:p>
              </w:tc>
              <w:tc>
                <w:tcPr>
                  <w:tcW w:w="1587" w:type="dxa"/>
                  <w:tcBorders>
                    <w:top w:val="single" w:sz="4" w:space="0" w:color="D2C9B8"/>
                    <w:left w:val="single" w:sz="4" w:space="0" w:color="D2C9B8"/>
                    <w:bottom w:val="single" w:sz="4" w:space="0" w:color="D2C9B8"/>
                    <w:right w:val="single" w:sz="4" w:space="0" w:color="D2C9B8"/>
                  </w:tcBorders>
                </w:tcPr>
                <w:p w14:paraId="66FAFAAC" w14:textId="77777777" w:rsidR="005A5FCC" w:rsidRDefault="00A21C81">
                  <w:pPr>
                    <w:spacing w:before="20" w:after="20" w:line="240" w:lineRule="auto"/>
                    <w:jc w:val="left"/>
                  </w:pPr>
                  <w:r>
                    <w:rPr>
                      <w:rFonts w:cs="EB Garamond"/>
                      <w:kern w:val="16"/>
                      <w:sz w:val="16"/>
                      <w14:ligatures w14:val="standardContextual"/>
                    </w:rPr>
                    <w:t>R$ [x]</w:t>
                  </w:r>
                </w:p>
              </w:tc>
            </w:tr>
            <w:tr w:rsidR="005A5FCC" w14:paraId="74C0EDB8"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62A6879C" w14:textId="77777777" w:rsidR="005A5FCC" w:rsidRDefault="00A21C81">
                  <w:pPr>
                    <w:spacing w:before="20" w:after="20" w:line="240" w:lineRule="auto"/>
                    <w:jc w:val="left"/>
                  </w:pPr>
                  <w:r>
                    <w:rPr>
                      <w:rFonts w:cs="EB Garamond"/>
                      <w:kern w:val="16"/>
                      <w:sz w:val="16"/>
                      <w14:ligatures w14:val="standardContextual"/>
                    </w:rPr>
                    <w:t>I (1-2 SM)</w:t>
                  </w:r>
                </w:p>
              </w:tc>
              <w:tc>
                <w:tcPr>
                  <w:tcW w:w="1587" w:type="dxa"/>
                  <w:tcBorders>
                    <w:top w:val="single" w:sz="4" w:space="0" w:color="D2C9B8"/>
                    <w:left w:val="single" w:sz="4" w:space="0" w:color="D2C9B8"/>
                    <w:bottom w:val="single" w:sz="4" w:space="0" w:color="D2C9B8"/>
                    <w:right w:val="single" w:sz="4" w:space="0" w:color="D2C9B8"/>
                  </w:tcBorders>
                </w:tcPr>
                <w:p w14:paraId="29AD686E" w14:textId="77777777" w:rsidR="005A5FCC" w:rsidRDefault="00A21C81">
                  <w:pPr>
                    <w:spacing w:before="20" w:after="20" w:line="240" w:lineRule="auto"/>
                    <w:jc w:val="left"/>
                  </w:pPr>
                  <w:r>
                    <w:rPr>
                      <w:rFonts w:cs="EB Garamond"/>
                      <w:kern w:val="16"/>
                      <w:sz w:val="16"/>
                      <w14:ligatures w14:val="standardContextual"/>
                    </w:rPr>
                    <w:t>R$ [x]</w:t>
                  </w:r>
                </w:p>
              </w:tc>
              <w:tc>
                <w:tcPr>
                  <w:tcW w:w="1587" w:type="dxa"/>
                  <w:tcBorders>
                    <w:top w:val="single" w:sz="4" w:space="0" w:color="D2C9B8"/>
                    <w:left w:val="single" w:sz="4" w:space="0" w:color="D2C9B8"/>
                    <w:bottom w:val="single" w:sz="4" w:space="0" w:color="D2C9B8"/>
                    <w:right w:val="single" w:sz="4" w:space="0" w:color="D2C9B8"/>
                  </w:tcBorders>
                </w:tcPr>
                <w:p w14:paraId="7C8C07FE" w14:textId="77777777" w:rsidR="005A5FCC" w:rsidRDefault="00A21C81">
                  <w:pPr>
                    <w:spacing w:before="20" w:after="20" w:line="240" w:lineRule="auto"/>
                    <w:jc w:val="left"/>
                  </w:pPr>
                  <w:r>
                    <w:rPr>
                      <w:rFonts w:cs="EB Garamond"/>
                      <w:kern w:val="16"/>
                      <w:sz w:val="16"/>
                      <w14:ligatures w14:val="standardContextual"/>
                    </w:rPr>
                    <w:t>60%</w:t>
                  </w:r>
                </w:p>
              </w:tc>
              <w:tc>
                <w:tcPr>
                  <w:tcW w:w="1587" w:type="dxa"/>
                  <w:tcBorders>
                    <w:top w:val="single" w:sz="4" w:space="0" w:color="D2C9B8"/>
                    <w:left w:val="single" w:sz="4" w:space="0" w:color="D2C9B8"/>
                    <w:bottom w:val="single" w:sz="4" w:space="0" w:color="D2C9B8"/>
                    <w:right w:val="single" w:sz="4" w:space="0" w:color="D2C9B8"/>
                  </w:tcBorders>
                </w:tcPr>
                <w:p w14:paraId="231B98C8" w14:textId="77777777" w:rsidR="005A5FCC" w:rsidRDefault="00A21C81">
                  <w:pPr>
                    <w:spacing w:before="20" w:after="20" w:line="240" w:lineRule="auto"/>
                    <w:jc w:val="left"/>
                  </w:pPr>
                  <w:r>
                    <w:rPr>
                      <w:rFonts w:cs="EB Garamond"/>
                      <w:kern w:val="16"/>
                      <w:sz w:val="16"/>
                      <w14:ligatures w14:val="standardContextual"/>
                    </w:rPr>
                    <w:t>R$ [x]</w:t>
                  </w:r>
                </w:p>
              </w:tc>
            </w:tr>
            <w:tr w:rsidR="005A5FCC" w14:paraId="0653F4A8"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286CAD79" w14:textId="77777777" w:rsidR="005A5FCC" w:rsidRDefault="00A21C81">
                  <w:pPr>
                    <w:spacing w:before="20" w:after="20" w:line="240" w:lineRule="auto"/>
                    <w:jc w:val="left"/>
                  </w:pPr>
                  <w:r>
                    <w:rPr>
                      <w:rFonts w:cs="EB Garamond"/>
                      <w:kern w:val="16"/>
                      <w:sz w:val="16"/>
                      <w14:ligatures w14:val="standardContextual"/>
                    </w:rPr>
                    <w:t>II (2-3 SM)</w:t>
                  </w:r>
                </w:p>
              </w:tc>
              <w:tc>
                <w:tcPr>
                  <w:tcW w:w="1587" w:type="dxa"/>
                  <w:tcBorders>
                    <w:top w:val="single" w:sz="4" w:space="0" w:color="D2C9B8"/>
                    <w:left w:val="single" w:sz="4" w:space="0" w:color="D2C9B8"/>
                    <w:bottom w:val="single" w:sz="4" w:space="0" w:color="D2C9B8"/>
                    <w:right w:val="single" w:sz="4" w:space="0" w:color="D2C9B8"/>
                  </w:tcBorders>
                </w:tcPr>
                <w:p w14:paraId="6C47B7B9" w14:textId="77777777" w:rsidR="005A5FCC" w:rsidRDefault="00A21C81">
                  <w:pPr>
                    <w:spacing w:before="20" w:after="20" w:line="240" w:lineRule="auto"/>
                    <w:jc w:val="left"/>
                  </w:pPr>
                  <w:r>
                    <w:rPr>
                      <w:rFonts w:cs="EB Garamond"/>
                      <w:kern w:val="16"/>
                      <w:sz w:val="16"/>
                      <w14:ligatures w14:val="standardContextual"/>
                    </w:rPr>
                    <w:t>R$ [x]</w:t>
                  </w:r>
                </w:p>
              </w:tc>
              <w:tc>
                <w:tcPr>
                  <w:tcW w:w="1587" w:type="dxa"/>
                  <w:tcBorders>
                    <w:top w:val="single" w:sz="4" w:space="0" w:color="D2C9B8"/>
                    <w:left w:val="single" w:sz="4" w:space="0" w:color="D2C9B8"/>
                    <w:bottom w:val="single" w:sz="4" w:space="0" w:color="D2C9B8"/>
                    <w:right w:val="single" w:sz="4" w:space="0" w:color="D2C9B8"/>
                  </w:tcBorders>
                </w:tcPr>
                <w:p w14:paraId="166019F6" w14:textId="77777777" w:rsidR="005A5FCC" w:rsidRDefault="00A21C81">
                  <w:pPr>
                    <w:spacing w:before="20" w:after="20" w:line="240" w:lineRule="auto"/>
                    <w:jc w:val="left"/>
                  </w:pPr>
                  <w:r>
                    <w:rPr>
                      <w:rFonts w:cs="EB Garamond"/>
                      <w:kern w:val="16"/>
                      <w:sz w:val="16"/>
                      <w14:ligatures w14:val="standardContextual"/>
                    </w:rPr>
                    <w:t>40%</w:t>
                  </w:r>
                </w:p>
              </w:tc>
              <w:tc>
                <w:tcPr>
                  <w:tcW w:w="1587" w:type="dxa"/>
                  <w:tcBorders>
                    <w:top w:val="single" w:sz="4" w:space="0" w:color="D2C9B8"/>
                    <w:left w:val="single" w:sz="4" w:space="0" w:color="D2C9B8"/>
                    <w:bottom w:val="single" w:sz="4" w:space="0" w:color="D2C9B8"/>
                    <w:right w:val="single" w:sz="4" w:space="0" w:color="D2C9B8"/>
                  </w:tcBorders>
                </w:tcPr>
                <w:p w14:paraId="7FD0BF9D" w14:textId="77777777" w:rsidR="005A5FCC" w:rsidRDefault="00A21C81">
                  <w:pPr>
                    <w:spacing w:before="20" w:after="20" w:line="240" w:lineRule="auto"/>
                    <w:jc w:val="left"/>
                  </w:pPr>
                  <w:r>
                    <w:rPr>
                      <w:rFonts w:cs="EB Garamond"/>
                      <w:kern w:val="16"/>
                      <w:sz w:val="16"/>
                      <w14:ligatures w14:val="standardContextual"/>
                    </w:rPr>
                    <w:t>R$ [x]</w:t>
                  </w:r>
                </w:p>
              </w:tc>
            </w:tr>
            <w:tr w:rsidR="005A5FCC" w14:paraId="684E9E35"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5DDD8601" w14:textId="77777777" w:rsidR="005A5FCC" w:rsidRDefault="00A21C81">
                  <w:pPr>
                    <w:spacing w:before="20" w:after="20" w:line="240" w:lineRule="auto"/>
                    <w:jc w:val="left"/>
                  </w:pPr>
                  <w:r>
                    <w:rPr>
                      <w:rFonts w:cs="EB Garamond"/>
                      <w:kern w:val="16"/>
                      <w:sz w:val="16"/>
                      <w14:ligatures w14:val="standardContextual"/>
                    </w:rPr>
                    <w:t>III (3-4 SM)</w:t>
                  </w:r>
                </w:p>
              </w:tc>
              <w:tc>
                <w:tcPr>
                  <w:tcW w:w="1587" w:type="dxa"/>
                  <w:tcBorders>
                    <w:top w:val="single" w:sz="4" w:space="0" w:color="D2C9B8"/>
                    <w:left w:val="single" w:sz="4" w:space="0" w:color="D2C9B8"/>
                    <w:bottom w:val="single" w:sz="4" w:space="0" w:color="D2C9B8"/>
                    <w:right w:val="single" w:sz="4" w:space="0" w:color="D2C9B8"/>
                  </w:tcBorders>
                </w:tcPr>
                <w:p w14:paraId="166ABE51" w14:textId="77777777" w:rsidR="005A5FCC" w:rsidRDefault="00A21C81">
                  <w:pPr>
                    <w:spacing w:before="20" w:after="20" w:line="240" w:lineRule="auto"/>
                    <w:jc w:val="left"/>
                  </w:pPr>
                  <w:r>
                    <w:rPr>
                      <w:rFonts w:cs="EB Garamond"/>
                      <w:kern w:val="16"/>
                      <w:sz w:val="16"/>
                      <w14:ligatures w14:val="standardContextual"/>
                    </w:rPr>
                    <w:t>R$ [x]</w:t>
                  </w:r>
                </w:p>
              </w:tc>
              <w:tc>
                <w:tcPr>
                  <w:tcW w:w="1587" w:type="dxa"/>
                  <w:tcBorders>
                    <w:top w:val="single" w:sz="4" w:space="0" w:color="D2C9B8"/>
                    <w:left w:val="single" w:sz="4" w:space="0" w:color="D2C9B8"/>
                    <w:bottom w:val="single" w:sz="4" w:space="0" w:color="D2C9B8"/>
                    <w:right w:val="single" w:sz="4" w:space="0" w:color="D2C9B8"/>
                  </w:tcBorders>
                </w:tcPr>
                <w:p w14:paraId="1813D6C3" w14:textId="77777777" w:rsidR="005A5FCC" w:rsidRDefault="00A21C81">
                  <w:pPr>
                    <w:spacing w:before="20" w:after="20" w:line="240" w:lineRule="auto"/>
                    <w:jc w:val="left"/>
                  </w:pPr>
                  <w:r>
                    <w:rPr>
                      <w:rFonts w:cs="EB Garamond"/>
                      <w:kern w:val="16"/>
                      <w:sz w:val="16"/>
                      <w14:ligatures w14:val="standardContextual"/>
                    </w:rPr>
                    <w:t>20%</w:t>
                  </w:r>
                </w:p>
              </w:tc>
              <w:tc>
                <w:tcPr>
                  <w:tcW w:w="1587" w:type="dxa"/>
                  <w:tcBorders>
                    <w:top w:val="single" w:sz="4" w:space="0" w:color="D2C9B8"/>
                    <w:left w:val="single" w:sz="4" w:space="0" w:color="D2C9B8"/>
                    <w:bottom w:val="single" w:sz="4" w:space="0" w:color="D2C9B8"/>
                    <w:right w:val="single" w:sz="4" w:space="0" w:color="D2C9B8"/>
                  </w:tcBorders>
                </w:tcPr>
                <w:p w14:paraId="4C22A632" w14:textId="77777777" w:rsidR="005A5FCC" w:rsidRDefault="00A21C81">
                  <w:pPr>
                    <w:spacing w:before="20" w:after="20" w:line="240" w:lineRule="auto"/>
                    <w:jc w:val="left"/>
                  </w:pPr>
                  <w:r>
                    <w:rPr>
                      <w:rFonts w:cs="EB Garamond"/>
                      <w:kern w:val="16"/>
                      <w:sz w:val="16"/>
                      <w14:ligatures w14:val="standardContextual"/>
                    </w:rPr>
                    <w:t>R$ [x]</w:t>
                  </w:r>
                </w:p>
              </w:tc>
            </w:tr>
            <w:tr w:rsidR="005A5FCC" w14:paraId="5C3731A9"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2B18537D" w14:textId="77777777" w:rsidR="005A5FCC" w:rsidRDefault="00A21C81">
                  <w:pPr>
                    <w:spacing w:before="20" w:after="20" w:line="240" w:lineRule="auto"/>
                    <w:jc w:val="left"/>
                  </w:pPr>
                  <w:r>
                    <w:rPr>
                      <w:rFonts w:cs="EB Garamond"/>
                      <w:kern w:val="16"/>
                      <w:sz w:val="16"/>
                      <w14:ligatures w14:val="standardContextual"/>
                    </w:rPr>
                    <w:t>IV (acima 4 SM)</w:t>
                  </w:r>
                </w:p>
              </w:tc>
              <w:tc>
                <w:tcPr>
                  <w:tcW w:w="1587" w:type="dxa"/>
                  <w:tcBorders>
                    <w:top w:val="single" w:sz="4" w:space="0" w:color="D2C9B8"/>
                    <w:left w:val="single" w:sz="4" w:space="0" w:color="D2C9B8"/>
                    <w:bottom w:val="single" w:sz="4" w:space="0" w:color="D2C9B8"/>
                    <w:right w:val="single" w:sz="4" w:space="0" w:color="D2C9B8"/>
                  </w:tcBorders>
                </w:tcPr>
                <w:p w14:paraId="5F479C07" w14:textId="77777777" w:rsidR="005A5FCC" w:rsidRDefault="00A21C81">
                  <w:pPr>
                    <w:spacing w:before="20" w:after="20" w:line="240" w:lineRule="auto"/>
                    <w:jc w:val="left"/>
                  </w:pPr>
                  <w:r>
                    <w:rPr>
                      <w:rFonts w:cs="EB Garamond"/>
                      <w:kern w:val="16"/>
                      <w:sz w:val="16"/>
                      <w14:ligatures w14:val="standardContextual"/>
                    </w:rPr>
                    <w:t>R$ [x]</w:t>
                  </w:r>
                </w:p>
              </w:tc>
              <w:tc>
                <w:tcPr>
                  <w:tcW w:w="1587" w:type="dxa"/>
                  <w:tcBorders>
                    <w:top w:val="single" w:sz="4" w:space="0" w:color="D2C9B8"/>
                    <w:left w:val="single" w:sz="4" w:space="0" w:color="D2C9B8"/>
                    <w:bottom w:val="single" w:sz="4" w:space="0" w:color="D2C9B8"/>
                    <w:right w:val="single" w:sz="4" w:space="0" w:color="D2C9B8"/>
                  </w:tcBorders>
                </w:tcPr>
                <w:p w14:paraId="5939AC88" w14:textId="77777777" w:rsidR="005A5FCC" w:rsidRDefault="00A21C81">
                  <w:pPr>
                    <w:spacing w:before="20" w:after="20" w:line="240" w:lineRule="auto"/>
                    <w:jc w:val="left"/>
                  </w:pPr>
                  <w:r>
                    <w:rPr>
                      <w:rFonts w:cs="EB Garamond"/>
                      <w:kern w:val="16"/>
                      <w:sz w:val="16"/>
                      <w14:ligatures w14:val="standardContextual"/>
                    </w:rPr>
                    <w:t>10%</w:t>
                  </w:r>
                </w:p>
              </w:tc>
              <w:tc>
                <w:tcPr>
                  <w:tcW w:w="1587" w:type="dxa"/>
                  <w:tcBorders>
                    <w:top w:val="single" w:sz="4" w:space="0" w:color="D2C9B8"/>
                    <w:left w:val="single" w:sz="4" w:space="0" w:color="D2C9B8"/>
                    <w:bottom w:val="single" w:sz="4" w:space="0" w:color="D2C9B8"/>
                    <w:right w:val="single" w:sz="4" w:space="0" w:color="D2C9B8"/>
                  </w:tcBorders>
                </w:tcPr>
                <w:p w14:paraId="149CBE24" w14:textId="77777777" w:rsidR="005A5FCC" w:rsidRDefault="00A21C81">
                  <w:pPr>
                    <w:spacing w:before="20" w:after="20" w:line="240" w:lineRule="auto"/>
                    <w:jc w:val="left"/>
                  </w:pPr>
                  <w:r>
                    <w:rPr>
                      <w:rFonts w:cs="EB Garamond"/>
                      <w:kern w:val="16"/>
                      <w:sz w:val="16"/>
                      <w14:ligatures w14:val="standardContextual"/>
                    </w:rPr>
                    <w:t>R$ [x]</w:t>
                  </w:r>
                </w:p>
              </w:tc>
            </w:tr>
            <w:tr w:rsidR="005A5FCC" w14:paraId="27342B9C"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4C78FE47" w14:textId="77777777" w:rsidR="005A5FCC" w:rsidRDefault="00A21C81">
                  <w:pPr>
                    <w:spacing w:before="20" w:after="20" w:line="240" w:lineRule="auto"/>
                    <w:jc w:val="left"/>
                  </w:pPr>
                  <w:r>
                    <w:rPr>
                      <w:rFonts w:cs="EB Garamond"/>
                      <w:b/>
                      <w:kern w:val="16"/>
                      <w:sz w:val="16"/>
                      <w14:ligatures w14:val="standardContextual"/>
                    </w:rPr>
                    <w:t>Total após redutor</w:t>
                  </w:r>
                </w:p>
              </w:tc>
              <w:tc>
                <w:tcPr>
                  <w:tcW w:w="1587" w:type="dxa"/>
                  <w:tcBorders>
                    <w:top w:val="single" w:sz="4" w:space="0" w:color="D2C9B8"/>
                    <w:left w:val="single" w:sz="4" w:space="0" w:color="D2C9B8"/>
                    <w:bottom w:val="single" w:sz="4" w:space="0" w:color="D2C9B8"/>
                    <w:right w:val="single" w:sz="4" w:space="0" w:color="D2C9B8"/>
                  </w:tcBorders>
                </w:tcPr>
                <w:p w14:paraId="58BFDA7C" w14:textId="77777777" w:rsidR="005A5FCC" w:rsidRDefault="005A5FCC">
                  <w:pPr>
                    <w:spacing w:before="20" w:after="20" w:line="240" w:lineRule="auto"/>
                    <w:jc w:val="left"/>
                  </w:pPr>
                </w:p>
              </w:tc>
              <w:tc>
                <w:tcPr>
                  <w:tcW w:w="1587" w:type="dxa"/>
                  <w:tcBorders>
                    <w:top w:val="single" w:sz="4" w:space="0" w:color="D2C9B8"/>
                    <w:left w:val="single" w:sz="4" w:space="0" w:color="D2C9B8"/>
                    <w:bottom w:val="single" w:sz="4" w:space="0" w:color="D2C9B8"/>
                    <w:right w:val="single" w:sz="4" w:space="0" w:color="D2C9B8"/>
                  </w:tcBorders>
                </w:tcPr>
                <w:p w14:paraId="532DA814" w14:textId="77777777" w:rsidR="005A5FCC" w:rsidRDefault="005A5FCC">
                  <w:pPr>
                    <w:spacing w:before="20" w:after="20" w:line="240" w:lineRule="auto"/>
                    <w:jc w:val="left"/>
                  </w:pPr>
                </w:p>
              </w:tc>
              <w:tc>
                <w:tcPr>
                  <w:tcW w:w="1587" w:type="dxa"/>
                  <w:tcBorders>
                    <w:top w:val="single" w:sz="4" w:space="0" w:color="D2C9B8"/>
                    <w:left w:val="single" w:sz="4" w:space="0" w:color="D2C9B8"/>
                    <w:bottom w:val="single" w:sz="4" w:space="0" w:color="D2C9B8"/>
                    <w:right w:val="single" w:sz="4" w:space="0" w:color="D2C9B8"/>
                  </w:tcBorders>
                </w:tcPr>
                <w:p w14:paraId="1995E9B9" w14:textId="77777777" w:rsidR="005A5FCC" w:rsidRDefault="00A21C81">
                  <w:pPr>
                    <w:spacing w:before="20" w:after="20" w:line="240" w:lineRule="auto"/>
                    <w:jc w:val="left"/>
                  </w:pPr>
                  <w:r>
                    <w:rPr>
                      <w:rFonts w:cs="EB Garamond"/>
                      <w:b/>
                      <w:kern w:val="16"/>
                      <w:sz w:val="16"/>
                      <w14:ligatures w14:val="standardContextual"/>
                    </w:rPr>
                    <w:t>R$ [x]</w:t>
                  </w:r>
                </w:p>
              </w:tc>
            </w:tr>
          </w:tbl>
          <w:p w14:paraId="1779CB81" w14:textId="77777777" w:rsidR="005A5FCC" w:rsidRDefault="005A5FCC"/>
          <w:p w14:paraId="3680C072" w14:textId="77777777" w:rsidR="005A5FCC" w:rsidRDefault="005A5FCC">
            <w:pPr>
              <w:spacing w:after="0" w:line="240" w:lineRule="auto"/>
            </w:pPr>
          </w:p>
          <w:p w14:paraId="0463B22E" w14:textId="77777777" w:rsidR="005A5FCC" w:rsidRDefault="00A21C81">
            <w:pPr>
              <w:spacing w:after="60" w:line="247" w:lineRule="auto"/>
            </w:pPr>
            <w:r>
              <w:rPr>
                <w:rFonts w:cs="EB Garamond"/>
                <w:kern w:val="16"/>
                <w:sz w:val="19"/>
                <w14:ligatures w14:val="standardContextual"/>
              </w:rPr>
              <w:t xml:space="preserve">VALOR TOTAL ACUMULADO: R$ [benefício integral] + R$ [benefício reduzido] = </w:t>
            </w:r>
            <w:r>
              <w:rPr>
                <w:rFonts w:cs="EB Garamond"/>
                <w:b/>
                <w:kern w:val="16"/>
                <w:sz w:val="19"/>
                <w14:ligatures w14:val="standardContextual"/>
              </w:rPr>
              <w:t>R$ [total]</w:t>
            </w:r>
          </w:p>
          <w:p w14:paraId="7FB73D3D" w14:textId="77777777" w:rsidR="005A5FCC" w:rsidRDefault="00A21C81">
            <w:pPr>
              <w:spacing w:after="60" w:line="247" w:lineRule="auto"/>
            </w:pPr>
            <w:r>
              <w:rPr>
                <w:rFonts w:cs="EB Garamond"/>
                <w:kern w:val="16"/>
                <w:sz w:val="19"/>
                <w14:ligatures w14:val="standardContextual"/>
              </w:rPr>
              <w:t>Valor sem redutor (integral): R$ [x] Diferença: R$ [x] ([x]%)</w:t>
            </w:r>
          </w:p>
        </w:tc>
      </w:tr>
    </w:tbl>
    <w:p w14:paraId="4C3DA7C7" w14:textId="77777777" w:rsidR="005A5FCC" w:rsidRDefault="005A5FCC">
      <w:pPr>
        <w:spacing w:after="80" w:line="240" w:lineRule="auto"/>
      </w:pPr>
    </w:p>
    <w:p w14:paraId="745A5927"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20.5 Acumulações permitidas: quadro completo</w:t>
      </w:r>
    </w:p>
    <w:p w14:paraId="491B2188"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E</w:t>
      </w:r>
    </w:p>
    <w:p w14:paraId="30E23BB1" w14:textId="77777777" w:rsidR="005A5FCC" w:rsidRDefault="00A21C81">
      <w:r>
        <w:rPr>
          <w:rFonts w:cs="EB Garamond"/>
          <w:kern w:val="16"/>
          <w14:ligatures w14:val="standardContextual"/>
        </w:rPr>
        <w:t>sta seção consolida todas as combinações possíveis de benefícios previdenciários e assistenciais, indicando para cada par se a acumulação é vedada, permitida com integralidade ou permitida com escalonamento. Trata-se da peça central do capítulo, concebida como ferramenta de consulta rápida para o operador do direito nos JEFs.</w:t>
      </w:r>
    </w:p>
    <w:p w14:paraId="7218D49B" w14:textId="77777777" w:rsidR="005A5FCC" w:rsidRDefault="00A21C81">
      <w:pPr>
        <w:spacing w:before="260" w:after="80" w:line="240" w:lineRule="auto"/>
        <w:jc w:val="left"/>
      </w:pPr>
      <w:r>
        <w:rPr>
          <w:rFonts w:cs="EB Garamond"/>
          <w:b/>
          <w:color w:val="3A3128"/>
          <w:kern w:val="16"/>
          <w:sz w:val="25"/>
          <w14:ligatures w14:val="standardContextual"/>
        </w:rPr>
        <w:t>20.5.1 Pensão por morte e aposentadoria</w:t>
      </w:r>
    </w:p>
    <w:p w14:paraId="3DA1404F"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6E2CF63B" w14:textId="77777777" w:rsidR="005A5FCC" w:rsidRDefault="00A21C81">
      <w:r>
        <w:rPr>
          <w:rFonts w:cs="EB Garamond"/>
          <w:kern w:val="16"/>
          <w14:ligatures w14:val="standardContextual"/>
        </w:rPr>
        <w:t xml:space="preserve"> acumulação de pensão por morte com aposentadoria é a hipótese mais frequente na prática previdenciária e a que recebeu tratamento mais detalhado pela EC 103/2019.</w:t>
      </w:r>
    </w:p>
    <w:p w14:paraId="4DEF25FA" w14:textId="77777777" w:rsidR="005A5FCC" w:rsidRDefault="00A21C81">
      <w:pPr>
        <w:ind w:firstLine="238"/>
      </w:pPr>
      <w:r>
        <w:rPr>
          <w:rFonts w:cs="EB Garamond"/>
          <w:kern w:val="16"/>
          <w14:ligatures w14:val="standardContextual"/>
        </w:rPr>
        <w:lastRenderedPageBreak/>
        <w:t>Quando ambos os benefícios são do mesmo regime (RGPS ou RPPS), a acumulação é vedada pelo caput do art. 24, com a ressalva do § 1º, II: a acumulação de pensão por morte de cônjuge ou companheiro com aposentadoria, no mesmo regime ou em regimes diferentes, é permitida, mas sujeita ao escalonamento do § 2º. No cotidiano dos JEFs, a exceção absorve a regra para esta combinação específica, pois o § 1º, II, autoriza a acumulação tanto intra-regime quanto inter-regimes. A redação do dispositivo pode gerar perplexidade inicial, o caput veda, e o parágrafo imediatamente seguinte autoriza, mas a estrutura normativa é deliberada: o caput estabelece o princípio geral de vedação da acumulação integral, e o § 1º enumera as exceções que permitem a acumulação com redutor. O efeito prático é que a acumulação de pensão por morte com aposentadoria permanece lícita em todas as configurações (mesmo regime ou regimes diferentes), porém deixa de ser integral para submeter-se ao escalonamento.</w:t>
      </w:r>
    </w:p>
    <w:p w14:paraId="6A90BB10" w14:textId="77777777" w:rsidR="005A5FCC" w:rsidRDefault="00A21C81">
      <w:pPr>
        <w:ind w:firstLine="238"/>
      </w:pPr>
      <w:r>
        <w:rPr>
          <w:rFonts w:cs="EB Garamond"/>
          <w:kern w:val="16"/>
          <w14:ligatures w14:val="standardContextual"/>
        </w:rPr>
        <w:t>O redutor incide sobre o benefício de menor valor, sempre. Se a aposentadoria é de R$ 4.000,00 e a pensão é de R$ 2.500,00, o escalonamento recai sobre a pensão. Se a pensão é de R$ 5.000,00 e a aposentadoria é de R$ 3.000,00, o escalonamento recai sobre a aposentadoria. A regra é objetiva e independe da natureza do benefício — o que importa é o valor.</w:t>
      </w:r>
    </w:p>
    <w:p w14:paraId="4D654D72" w14:textId="77777777" w:rsidR="005A5FCC" w:rsidRDefault="00A21C81">
      <w:pPr>
        <w:ind w:firstLine="238"/>
      </w:pPr>
      <w:r>
        <w:rPr>
          <w:rFonts w:cs="EB Garamond"/>
          <w:kern w:val="16"/>
          <w14:ligatures w14:val="standardContextual"/>
        </w:rPr>
        <w:t>As exceções ao redutor merecem destaque: quando a pensão por morte decorre de acidente de trabalho, doença profissional ou doença do trabalho (art. 24, § 3º), a acumulação com a aposentadoria do dependente sobrevivente é integral, sem aplicação do escalonamento. O fundamento reside na natureza indenizatória da proteção acidentária, que se agrega à proteção previdenciária comum sem com ela se confundir. A mesma proteção é estendida pelo § 6º aos casos de morte por violência funcional de determinadas categorias de servidores e agentes públicos.</w:t>
      </w:r>
    </w:p>
    <w:p w14:paraId="4258F930" w14:textId="77777777" w:rsidR="005A5FCC" w:rsidRDefault="00A21C81">
      <w:pPr>
        <w:ind w:firstLine="238"/>
      </w:pPr>
      <w:r>
        <w:rPr>
          <w:rFonts w:cs="EB Garamond"/>
          <w:kern w:val="16"/>
          <w14:ligatures w14:val="standardContextual"/>
        </w:rPr>
        <w:t>O tratamento aprofundado do escalonamento na pensão por morte encontra-se no Cap. 19 (seções 19.29 a 19.31).</w:t>
      </w:r>
    </w:p>
    <w:p w14:paraId="6A5C7A0E" w14:textId="77777777" w:rsidR="005A5FCC" w:rsidRDefault="00A21C81">
      <w:pPr>
        <w:spacing w:before="260" w:after="80" w:line="240" w:lineRule="auto"/>
        <w:jc w:val="left"/>
      </w:pPr>
      <w:r>
        <w:rPr>
          <w:rFonts w:cs="EB Garamond"/>
          <w:b/>
          <w:color w:val="3A3128"/>
          <w:kern w:val="16"/>
          <w:sz w:val="25"/>
          <w14:ligatures w14:val="standardContextual"/>
        </w:rPr>
        <w:t>20.5.2 Pensão por morte e pensão por morte</w:t>
      </w:r>
    </w:p>
    <w:p w14:paraId="78C36032"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7A4E5AB1" w14:textId="77777777" w:rsidR="005A5FCC" w:rsidRDefault="00A21C81">
      <w:r>
        <w:rPr>
          <w:rFonts w:cs="EB Garamond"/>
          <w:kern w:val="16"/>
          <w14:ligatures w14:val="standardContextual"/>
        </w:rPr>
        <w:t xml:space="preserve"> análise da acumulação de duas pensões por morte exige atenção à natureza do vínculo do dependente com o instituidor e ao regime de origem de cada pensão.</w:t>
      </w:r>
    </w:p>
    <w:p w14:paraId="2AFA344F" w14:textId="77777777" w:rsidR="005A5FCC" w:rsidRDefault="00A21C81">
      <w:pPr>
        <w:ind w:firstLine="238"/>
      </w:pPr>
      <w:r>
        <w:rPr>
          <w:rFonts w:cs="EB Garamond"/>
          <w:kern w:val="16"/>
          <w14:ligatures w14:val="standardContextual"/>
        </w:rPr>
        <w:lastRenderedPageBreak/>
        <w:t>Duas pensões por morte de cônjuge ou companheiro no mesmo regime: vedada pelo caput do art. 24 e pelo art. 124, III, da Lei 8.213/91 (no caso do RGPS). O beneficiário deve optar pela mais vantajosa.</w:t>
      </w:r>
    </w:p>
    <w:p w14:paraId="5BB585DA" w14:textId="77777777" w:rsidR="005A5FCC" w:rsidRDefault="00A21C81">
      <w:pPr>
        <w:ind w:firstLine="238"/>
      </w:pPr>
      <w:r>
        <w:rPr>
          <w:rFonts w:cs="EB Garamond"/>
          <w:kern w:val="16"/>
          <w14:ligatures w14:val="standardContextual"/>
        </w:rPr>
        <w:t>Duas pensões por morte de cônjuge ou companheiro de regimes diferentes (uma do RGPS e outra do RPPS): permitida com escalonamento, nos termos do art. 24, § 1º, I. O beneficiário recebe integralmente a pensão de maior valor e a pensão de menor valor com o redutor progressivo. É o caso, por exemplo, da viúva cujo primeiro marido era servidor público federal e cujo segundo marido era empregado do setor privado, tendo ambos falecido.</w:t>
      </w:r>
    </w:p>
    <w:p w14:paraId="5DDCDD27" w14:textId="77777777" w:rsidR="005A5FCC" w:rsidRDefault="00A21C81">
      <w:pPr>
        <w:ind w:firstLine="238"/>
      </w:pPr>
      <w:r>
        <w:rPr>
          <w:rFonts w:cs="EB Garamond"/>
          <w:kern w:val="16"/>
          <w14:ligatures w14:val="standardContextual"/>
        </w:rPr>
        <w:t>Pensão por morte de cônjuge e pensão por morte de genitor (pai ou mãe), no mesmo regime: permitida com escalonamento. A vedação do caput do art. 24 refere-se textualmente a pensões deixadas por "cônjuge ou companheiro" — a relação geradora da vedação é exclusivamente a conjugal ou de união estável. Quando o dependente recebe pensão pela condição de cônjuge e outra pensão pela condição de filho (sendo o instituidor seu genitor), não há incidência da vedação do caput, pois os vínculos familiares são de natureza distinta. Contudo, entendemos que o escalonamento se aplica por analogia, na medida em que o art. 24 disciplina a acumulação de pensões como gênero, e a exclusão do redutor exigiria previsão expressa.</w:t>
      </w:r>
    </w:p>
    <w:p w14:paraId="7D1CFCA7" w14:textId="77777777" w:rsidR="005A5FCC" w:rsidRDefault="00A21C81">
      <w:pPr>
        <w:ind w:firstLine="238"/>
      </w:pPr>
      <w:r>
        <w:rPr>
          <w:rFonts w:cs="EB Garamond"/>
          <w:kern w:val="16"/>
          <w14:ligatures w14:val="standardContextual"/>
        </w:rPr>
        <w:t>Pensões decorrentes de cargos constitucionalmente acumuláveis: permitidas com integralidade, nos termos do art. 37, XVI, da Constituição Federal e da interpretação sistemática que assegura a acumulação integral de benefícios oriundos de cargos acumuláveis (seção 20.6.3). Se o instituidor ocupava dois cargos acumuláveis, dois cargos de professor, por exemplo, ou um cargo de professor e um cargo técnico em saúde, os dependentes podem acumular as duas pensões sem qualquer redutor.</w:t>
      </w:r>
    </w:p>
    <w:p w14:paraId="5C158A8D" w14:textId="77777777" w:rsidR="005A5FCC" w:rsidRDefault="00A21C81">
      <w:pPr>
        <w:spacing w:before="260" w:after="80" w:line="240" w:lineRule="auto"/>
        <w:jc w:val="left"/>
      </w:pPr>
      <w:r>
        <w:rPr>
          <w:rFonts w:cs="EB Garamond"/>
          <w:b/>
          <w:color w:val="3A3128"/>
          <w:kern w:val="16"/>
          <w:sz w:val="25"/>
          <w14:ligatures w14:val="standardContextual"/>
        </w:rPr>
        <w:t>20.5.3 Aposentadoria e aposentadoria</w:t>
      </w:r>
    </w:p>
    <w:p w14:paraId="4171350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2F0C971A" w14:textId="77777777" w:rsidR="005A5FCC" w:rsidRDefault="00A21C81">
      <w:r>
        <w:rPr>
          <w:rFonts w:cs="EB Garamond"/>
          <w:kern w:val="16"/>
          <w14:ligatures w14:val="standardContextual"/>
        </w:rPr>
        <w:t xml:space="preserve"> vedação de duas aposentadorias no mesmo regime (RGPS) é absoluta, conforme o art. 124, I, da Lei 8.213/91. A mesma vedação aplica-se no âmbito do RPPS por força da EC 103/2019. O segurado que exerceu duas ou </w:t>
      </w:r>
      <w:r>
        <w:rPr>
          <w:rFonts w:cs="EB Garamond"/>
          <w:kern w:val="16"/>
          <w14:ligatures w14:val="standardContextual"/>
        </w:rPr>
        <w:lastRenderedPageBreak/>
        <w:t>mais atividades concomitantes dentro do mesmo regime tem suas contribuições unificadas para o cálculo de uma única aposentadoria.</w:t>
      </w:r>
    </w:p>
    <w:p w14:paraId="110D8B74" w14:textId="77777777" w:rsidR="005A5FCC" w:rsidRDefault="00A21C81">
      <w:pPr>
        <w:ind w:firstLine="238"/>
      </w:pPr>
      <w:r>
        <w:rPr>
          <w:rFonts w:cs="EB Garamond"/>
          <w:kern w:val="16"/>
          <w14:ligatures w14:val="standardContextual"/>
        </w:rPr>
        <w:t>A acumulação de aposentadoria do RGPS com aposentadoria do RPPS é permitida, desde que as contribuições tenham sido vertidas em períodos distintos para cada regime. Trata-se de situação frequente: o servidor público que, antes de ingressar no serviço público ou paralelamente a ele, exerceu atividade no setor privado e contribuiu para o RGPS. Após a EC 103/2019, essa acumulação inter-regimes está sujeita ao escalonamento do art. 24. Entendemos que a aplicação do escalonamento nessa hipótese é legítima, pois o art. 24 não distingue entre aposentadorias e pensões para fins de incidência do redutor — a norma abrange todas as acumulações permitidas por seu § 1º. A vedação de contagem recíproca em duplicidade (art. 96, III, da Lei 8.213/91) impede que o mesmo tempo de contribuição seja computado nos dois regimes: períodos de contribuição ao RGPS não podem ser simultaneamente aproveitados para a aposentadoria do RPPS, e vice-versa. A violação dessa regra configura irregularidade que pode acarretar a revisão administrativa de um dos benefícios.</w:t>
      </w:r>
    </w:p>
    <w:p w14:paraId="4FAB8DCC" w14:textId="77777777" w:rsidR="005A5FCC" w:rsidRDefault="00A21C81">
      <w:pPr>
        <w:ind w:firstLine="238"/>
      </w:pPr>
      <w:r>
        <w:rPr>
          <w:rFonts w:cs="EB Garamond"/>
          <w:kern w:val="16"/>
          <w14:ligatures w14:val="standardContextual"/>
        </w:rPr>
        <w:t>Para os ocupantes de cargos constitucionalmente acumuláveis (art. 37, XVI, CF), o Supremo Tribunal Federal firmou entendimento de que não se aplica vedação nem redutor à acumulação de aposentadorias. Os cargos acumuláveis geram vínculos previdenciários autônomos, e a proteção integral decorre da própria garantia constitucional de acumulação. A hipótese é examinada na seção 20.6.</w:t>
      </w:r>
    </w:p>
    <w:p w14:paraId="036BAED8" w14:textId="77777777" w:rsidR="005A5FCC" w:rsidRDefault="00A21C81">
      <w:pPr>
        <w:spacing w:before="260" w:after="80" w:line="240" w:lineRule="auto"/>
        <w:jc w:val="left"/>
      </w:pPr>
      <w:r>
        <w:rPr>
          <w:rFonts w:cs="EB Garamond"/>
          <w:b/>
          <w:color w:val="3A3128"/>
          <w:kern w:val="16"/>
          <w:sz w:val="25"/>
          <w14:ligatures w14:val="standardContextual"/>
        </w:rPr>
        <w:t>20.5.4 Auxílio-acidente e aposentadoria</w:t>
      </w:r>
    </w:p>
    <w:p w14:paraId="551F3EE1"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2ABC103C" w14:textId="77777777" w:rsidR="005A5FCC" w:rsidRDefault="00A21C81">
      <w:r>
        <w:rPr>
          <w:rFonts w:cs="EB Garamond"/>
          <w:kern w:val="16"/>
          <w14:ligatures w14:val="standardContextual"/>
        </w:rPr>
        <w:t xml:space="preserve"> acumulação do auxílio-acidente com a aposentadoria obedece a regime temporal bifásico, determinado pela data de início de ambos os benefícios.</w:t>
      </w:r>
    </w:p>
    <w:p w14:paraId="0BC7A71D" w14:textId="77777777" w:rsidR="005A5FCC" w:rsidRDefault="00A21C81">
      <w:pPr>
        <w:ind w:firstLine="238"/>
      </w:pPr>
      <w:r>
        <w:rPr>
          <w:rFonts w:cs="EB Garamond"/>
          <w:kern w:val="16"/>
          <w14:ligatures w14:val="standardContextual"/>
        </w:rPr>
        <w:t xml:space="preserve">Primeiro período: quando tanto o auxílio-acidente quanto a aposentadoria foram concedidos antes de 11 de novembro de 1997 (data de publicação da MP 1.596-14/1997, convertida na Lei 9.528/1997), a acumulação é integral, sem qualquer redutor. O STJ consolidou esse entendimento na Súmula 507, segundo a qual a acumulação do auxílio-acidente com a aposentadoria pressupõe que a lesão incapacitante e a concessão da aposentadoria sejam anteriores àquela data. </w:t>
      </w:r>
      <w:r>
        <w:rPr>
          <w:rFonts w:cs="EB Garamond"/>
          <w:kern w:val="16"/>
          <w14:ligatures w14:val="standardContextual"/>
        </w:rPr>
        <w:lastRenderedPageBreak/>
        <w:t>O Tema 555 do STJ (REsp 1.296.673/MG), julgado sob o rito dos recursos repetitivos, ratificou a mesma tese.</w:t>
      </w:r>
    </w:p>
    <w:p w14:paraId="0562CACC" w14:textId="77777777" w:rsidR="005A5FCC" w:rsidRDefault="00A21C81">
      <w:pPr>
        <w:ind w:firstLine="238"/>
      </w:pPr>
      <w:r>
        <w:rPr>
          <w:rFonts w:cs="EB Garamond"/>
          <w:kern w:val="16"/>
          <w14:ligatures w14:val="standardContextual"/>
        </w:rPr>
        <w:t>Segundo período: a partir de 11 de novembro de 1997, a acumulação é vedada pelos §§ 2º e 3º do art. 86 da Lei 8.213/91, com redação dada pela Lei 9.528/1997. O auxílio-acidente cessa na data de concessão da aposentadoria, e seu valor é incorporado ao salário de contribuição para fins de cálculo da renda mensal da aposentadoria. A EC 103/2019 manteve essa vedação.</w:t>
      </w:r>
    </w:p>
    <w:p w14:paraId="3A0A9D9F" w14:textId="77777777" w:rsidR="005A5FCC" w:rsidRDefault="00A21C81">
      <w:pPr>
        <w:ind w:firstLine="238"/>
      </w:pPr>
      <w:r>
        <w:rPr>
          <w:rFonts w:cs="EB Garamond"/>
          <w:kern w:val="16"/>
          <w14:ligatures w14:val="standardContextual"/>
        </w:rPr>
        <w:t>A questão é aprofundada no Cap. 15 (seções 15.13 e 15.19).</w:t>
      </w:r>
    </w:p>
    <w:p w14:paraId="444DA85D" w14:textId="77777777" w:rsidR="005A5FCC" w:rsidRDefault="00A21C81">
      <w:pPr>
        <w:spacing w:before="260" w:after="80" w:line="240" w:lineRule="auto"/>
        <w:jc w:val="left"/>
      </w:pPr>
      <w:r>
        <w:rPr>
          <w:rFonts w:cs="EB Garamond"/>
          <w:b/>
          <w:color w:val="3A3128"/>
          <w:kern w:val="16"/>
          <w:sz w:val="25"/>
          <w14:ligatures w14:val="standardContextual"/>
        </w:rPr>
        <w:t>20.5.5 Auxílio por incapacidade temporária</w:t>
      </w:r>
    </w:p>
    <w:p w14:paraId="7240DC3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3D4C0690" w14:textId="77777777" w:rsidR="005A5FCC" w:rsidRDefault="00A21C81">
      <w:r>
        <w:rPr>
          <w:rFonts w:cs="EB Garamond"/>
          <w:kern w:val="16"/>
          <w14:ligatures w14:val="standardContextual"/>
        </w:rPr>
        <w:t xml:space="preserve"> acumulação do auxílio por incapacidade temporária com outros benefícios é significativamente restrita.</w:t>
      </w:r>
    </w:p>
    <w:p w14:paraId="28A49629" w14:textId="77777777" w:rsidR="005A5FCC" w:rsidRDefault="00A21C81">
      <w:pPr>
        <w:ind w:firstLine="238"/>
      </w:pPr>
      <w:r>
        <w:rPr>
          <w:rFonts w:cs="EB Garamond"/>
          <w:kern w:val="16"/>
          <w14:ligatures w14:val="standardContextual"/>
        </w:rPr>
        <w:t>Auxílio por incapacidade temporária com aposentadoria: vedada pelo art. 124, II, da Lei 8.213/91, conforme examinado na seção 20.2.</w:t>
      </w:r>
    </w:p>
    <w:p w14:paraId="4D21602F" w14:textId="77777777" w:rsidR="005A5FCC" w:rsidRDefault="00A21C81">
      <w:pPr>
        <w:ind w:firstLine="238"/>
      </w:pPr>
      <w:r>
        <w:rPr>
          <w:rFonts w:cs="EB Garamond"/>
          <w:kern w:val="16"/>
          <w14:ligatures w14:val="standardContextual"/>
        </w:rPr>
        <w:t>Auxílio por incapacidade temporária com salário-maternidade: vedada pelo art. 124, V. O auxílio é suspenso durante o salário-maternidade e retomado após seu término, se persistir a incapacidade.</w:t>
      </w:r>
    </w:p>
    <w:p w14:paraId="1473DB3F" w14:textId="77777777" w:rsidR="005A5FCC" w:rsidRDefault="00A21C81">
      <w:pPr>
        <w:ind w:firstLine="238"/>
      </w:pPr>
      <w:r>
        <w:rPr>
          <w:rFonts w:cs="EB Garamond"/>
          <w:kern w:val="16"/>
          <w14:ligatures w14:val="standardContextual"/>
        </w:rPr>
        <w:t>Auxílio por incapacidade temporária com pensão por morte: permitida com escalonamento. A situação é a do dependente que recebe pensão por morte e que, sendo ele próprio segurado do RGPS, torna-se temporariamente incapaz para o trabalho. Não há vedação legal para essa combinação, que se sujeita ao regime geral do art. 24 da EC 103/2019.</w:t>
      </w:r>
    </w:p>
    <w:p w14:paraId="3BAEB024" w14:textId="77777777" w:rsidR="005A5FCC" w:rsidRDefault="00A21C81">
      <w:pPr>
        <w:ind w:firstLine="238"/>
      </w:pPr>
      <w:r>
        <w:rPr>
          <w:rFonts w:cs="EB Garamond"/>
          <w:kern w:val="16"/>
          <w14:ligatures w14:val="standardContextual"/>
        </w:rPr>
        <w:t>Situação peculiar ocorre quando o segurado exerce duas atividades simultâneas e torna-se incapaz apenas para uma delas. O art. 73, § 2º, do Decreto n. 3.048/99 disciplina essa hipótese, admitindo a concessão do auxílio por incapacidade temporária relativo à atividade para a qual o segurado está incapaz, enquanto ele continua exercendo e sendo remunerado pela outra atividade. Não se trata, tecnicamente, de acumulação de benefícios, mas de percepção de benefício concomitante a remuneração de trabalho — o que é admitido quando a incapacidade é parcial, limitada a uma das atividades.</w:t>
      </w:r>
    </w:p>
    <w:p w14:paraId="37A82E05" w14:textId="77777777" w:rsidR="005A5FCC" w:rsidRDefault="00A21C81">
      <w:pPr>
        <w:spacing w:before="260" w:after="80" w:line="240" w:lineRule="auto"/>
        <w:jc w:val="left"/>
      </w:pPr>
      <w:r>
        <w:rPr>
          <w:rFonts w:cs="EB Garamond"/>
          <w:b/>
          <w:color w:val="3A3128"/>
          <w:kern w:val="16"/>
          <w:sz w:val="25"/>
          <w14:ligatures w14:val="standardContextual"/>
        </w:rPr>
        <w:t>20.5.6 Salário-maternidade</w:t>
      </w:r>
    </w:p>
    <w:p w14:paraId="49FA4098"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O</w:t>
      </w:r>
    </w:p>
    <w:p w14:paraId="208CEBB3" w14:textId="77777777" w:rsidR="005A5FCC" w:rsidRDefault="00A21C81">
      <w:r>
        <w:rPr>
          <w:rFonts w:cs="EB Garamond"/>
          <w:kern w:val="16"/>
          <w14:ligatures w14:val="standardContextual"/>
        </w:rPr>
        <w:t xml:space="preserve"> salário-maternidade apresenta as seguintes regras de acumulação.</w:t>
      </w:r>
    </w:p>
    <w:p w14:paraId="593AFBC1" w14:textId="77777777" w:rsidR="005A5FCC" w:rsidRDefault="00A21C81">
      <w:pPr>
        <w:ind w:firstLine="238"/>
      </w:pPr>
      <w:r>
        <w:rPr>
          <w:rFonts w:cs="EB Garamond"/>
          <w:kern w:val="16"/>
          <w14:ligatures w14:val="standardContextual"/>
        </w:rPr>
        <w:t>Com auxílio por incapacidade temporária: vedada (art. 124, V), conforme já examinado.</w:t>
      </w:r>
    </w:p>
    <w:p w14:paraId="46D91120" w14:textId="77777777" w:rsidR="005A5FCC" w:rsidRDefault="00A21C81">
      <w:pPr>
        <w:ind w:firstLine="238"/>
      </w:pPr>
      <w:r>
        <w:rPr>
          <w:rFonts w:cs="EB Garamond"/>
          <w:kern w:val="16"/>
          <w14:ligatures w14:val="standardContextual"/>
        </w:rPr>
        <w:t>Com aposentadoria: vedada por força do art. 18, § 2º, da Lei 8.213/91, que exclui expressamente o salário-maternidade das prestações devidas ao aposentado que retorna ao trabalho. A aposentada que volta a exercer atividade laboral contribui obrigatoriamente, mas faz jus apenas ao salário-família e à reabilitação profissional. A questão sobre a constitucionalidade dessa restrição, à luz do RE 381.367/STF, é examinada no Cap. 13 (seção 13.11).</w:t>
      </w:r>
    </w:p>
    <w:p w14:paraId="1072D5B0" w14:textId="77777777" w:rsidR="005A5FCC" w:rsidRDefault="00A21C81">
      <w:pPr>
        <w:ind w:firstLine="238"/>
      </w:pPr>
      <w:r>
        <w:rPr>
          <w:rFonts w:cs="EB Garamond"/>
          <w:kern w:val="16"/>
          <w14:ligatures w14:val="standardContextual"/>
        </w:rPr>
        <w:t>Com pensão por morte: permitida. A segurada que recebe pensão por morte de cônjuge e dá à luz faz jus ao salário-maternidade, pois os dois benefícios decorrem de fatos geradores e fundamentos distintos — a proteção à maternidade e a proteção contra o risco morte, respectivamente. Após a EC 103/2019, o escalonamento aplica-se se ambos os benefícios forem de prestação continuada, nos termos do art. 24.</w:t>
      </w:r>
    </w:p>
    <w:p w14:paraId="207C8B58" w14:textId="77777777" w:rsidR="005A5FCC" w:rsidRDefault="00A21C81">
      <w:pPr>
        <w:ind w:firstLine="238"/>
      </w:pPr>
      <w:r>
        <w:rPr>
          <w:rFonts w:cs="EB Garamond"/>
          <w:kern w:val="16"/>
          <w14:ligatures w14:val="standardContextual"/>
        </w:rPr>
        <w:t>Com auxílio-acidente: permitida. O auxílio-acidente tem natureza indenizatória e não se confunde com os benefícios por incapacidade. Não há vedação legal expressa à acumulação.</w:t>
      </w:r>
    </w:p>
    <w:p w14:paraId="64FA709B" w14:textId="77777777" w:rsidR="005A5FCC" w:rsidRDefault="00A21C81">
      <w:pPr>
        <w:ind w:firstLine="238"/>
      </w:pPr>
      <w:r>
        <w:rPr>
          <w:rFonts w:cs="EB Garamond"/>
          <w:kern w:val="16"/>
          <w14:ligatures w14:val="standardContextual"/>
        </w:rPr>
        <w:t>A matéria é examinada em detalhe no Cap. 13 (seção 13.11).</w:t>
      </w:r>
    </w:p>
    <w:p w14:paraId="76BEC8A4" w14:textId="77777777" w:rsidR="005A5FCC" w:rsidRDefault="00A21C81">
      <w:pPr>
        <w:spacing w:before="260" w:after="80" w:line="240" w:lineRule="auto"/>
        <w:jc w:val="left"/>
      </w:pPr>
      <w:r>
        <w:rPr>
          <w:rFonts w:cs="EB Garamond"/>
          <w:b/>
          <w:color w:val="3A3128"/>
          <w:kern w:val="16"/>
          <w:sz w:val="25"/>
          <w14:ligatures w14:val="standardContextual"/>
        </w:rPr>
        <w:t>20.5.7 BPC e benefícios previdenciários</w:t>
      </w:r>
    </w:p>
    <w:p w14:paraId="10242FB8"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57476E4C" w14:textId="77777777" w:rsidR="005A5FCC" w:rsidRDefault="00A21C81">
      <w:r>
        <w:rPr>
          <w:rFonts w:cs="EB Garamond"/>
          <w:kern w:val="16"/>
          <w14:ligatures w14:val="standardContextual"/>
        </w:rPr>
        <w:t xml:space="preserve"> Benefício de Prestação Continuada (BPC/LOAS) é inacumulável com qualquer benefício previdenciário, por força do art. 20, § 4º, da Lei n. 8.742/93 (Lei Orgânica da Assistência Social). A vedação decorre da natureza assistencial do BPC, que se destina a quem não dispõe de meios de subsistência por si ou por sua família. A percepção de benefício previdenciário, aposentadoria, pensão por morte, auxílio-acidente, evidencia, em tese, a existência de fonte de renda que afasta a condição de necessidade pressuposta pelo BPC.</w:t>
      </w:r>
    </w:p>
    <w:p w14:paraId="6A5F4C3F" w14:textId="69992D4B" w:rsidR="005A5FCC" w:rsidRDefault="00A21C81">
      <w:pPr>
        <w:ind w:firstLine="238"/>
      </w:pPr>
      <w:r>
        <w:rPr>
          <w:rFonts w:cs="EB Garamond"/>
          <w:kern w:val="16"/>
          <w14:ligatures w14:val="standardContextual"/>
        </w:rPr>
        <w:t xml:space="preserve">Na prática dos JEFs, a vedação impõe ao beneficiário a opção pelo mais vantajoso. Em determinadas situações, o BPC (fixado em um </w:t>
      </w:r>
      <w:r w:rsidR="00FF66A2">
        <w:rPr>
          <w:rFonts w:cs="EB Garamond"/>
          <w:kern w:val="16"/>
          <w14:ligatures w14:val="standardContextual"/>
        </w:rPr>
        <w:t>salário-mínimo</w:t>
      </w:r>
      <w:r>
        <w:rPr>
          <w:rFonts w:cs="EB Garamond"/>
          <w:kern w:val="16"/>
          <w14:ligatures w14:val="standardContextual"/>
        </w:rPr>
        <w:t xml:space="preserve">) pode ser mais favorável que o benefício previdenciário a que o segurado faria jus — </w:t>
      </w:r>
      <w:r>
        <w:rPr>
          <w:rFonts w:cs="EB Garamond"/>
          <w:kern w:val="16"/>
          <w14:ligatures w14:val="standardContextual"/>
        </w:rPr>
        <w:lastRenderedPageBreak/>
        <w:t>quando o benefício previdenciário calculado resulta em valor inferior ao mínimo, hipótese rara mas não inexistente em casos de aposentadoria proporcional antiga ou pensão por morte calculada sob as regras da EC 103/2019.</w:t>
      </w:r>
    </w:p>
    <w:p w14:paraId="64FD09A4" w14:textId="77777777" w:rsidR="005A5FCC" w:rsidRDefault="00A21C81">
      <w:pPr>
        <w:ind w:firstLine="238"/>
      </w:pPr>
      <w:r>
        <w:rPr>
          <w:rFonts w:cs="EB Garamond"/>
          <w:kern w:val="16"/>
          <w14:ligatures w14:val="standardContextual"/>
        </w:rPr>
        <w:t>A vedação aplica-se independentemente da natureza do benefício previdenciário: aposentadoria por idade, aposentadoria por incapacidade permanente, pensão por morte, auxílio por incapacidade temporária ou salário-maternidade — qualquer dessas prestações impede a manutenção simultânea do BPC, cabendo ao beneficiário a escolha pela que lhe for mais favorável. O exercício da opção produz efeitos ex nunc, e a cessação do benefício preterido não gera obrigação de restituição dos valores anteriormente recebidos de boa-fé, nos termos da jurisprudência consolidada sobre a irrepetibilidade de verbas alimentares.</w:t>
      </w:r>
    </w:p>
    <w:p w14:paraId="5A67C2FA" w14:textId="77777777" w:rsidR="005A5FCC" w:rsidRDefault="00A21C81">
      <w:pPr>
        <w:ind w:firstLine="238"/>
      </w:pPr>
      <w:r>
        <w:rPr>
          <w:rFonts w:cs="EB Garamond"/>
          <w:kern w:val="16"/>
          <w14:ligatures w14:val="standardContextual"/>
        </w:rPr>
        <w:t>O tema é aprofundado no Cap. 18 (seção 18.20).</w:t>
      </w:r>
    </w:p>
    <w:p w14:paraId="59AFC7F6" w14:textId="77777777" w:rsidR="005A5FCC" w:rsidRDefault="00A21C81">
      <w:pPr>
        <w:spacing w:before="260" w:after="80" w:line="240" w:lineRule="auto"/>
        <w:jc w:val="left"/>
      </w:pPr>
      <w:r>
        <w:rPr>
          <w:rFonts w:cs="EB Garamond"/>
          <w:b/>
          <w:color w:val="3A3128"/>
          <w:kern w:val="16"/>
          <w:sz w:val="25"/>
          <w14:ligatures w14:val="standardContextual"/>
        </w:rPr>
        <w:t>20.5.8 Auxílio-reclusão</w:t>
      </w:r>
    </w:p>
    <w:p w14:paraId="47970BB9"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08A98C81" w14:textId="77777777" w:rsidR="005A5FCC" w:rsidRDefault="00A21C81">
      <w:r>
        <w:rPr>
          <w:rFonts w:cs="EB Garamond"/>
          <w:kern w:val="16"/>
          <w14:ligatures w14:val="standardContextual"/>
        </w:rPr>
        <w:t xml:space="preserve"> auxílio-reclusão apresenta questões de acumulação específicas. A situação mais relevante é a do dependente que recebe auxílio-reclusão e, durante o cumprimento da pena pelo segurado, este vem a falecer. O auxílio-reclusão é automaticamente convertido em pensão por morte, nos termos do art. 80 da Lei 8.213/91, cessando o auxílio-reclusão e iniciando-se a pensão. Não há propriamente acumulação, mas substituição de um benefício por outro.</w:t>
      </w:r>
    </w:p>
    <w:p w14:paraId="6B7FF199" w14:textId="77777777" w:rsidR="005A5FCC" w:rsidRDefault="00A21C81">
      <w:pPr>
        <w:ind w:firstLine="238"/>
      </w:pPr>
      <w:r>
        <w:rPr>
          <w:rFonts w:cs="EB Garamond"/>
          <w:kern w:val="16"/>
          <w14:ligatures w14:val="standardContextual"/>
        </w:rPr>
        <w:t>Quando o dependente já recebe outro benefício próprio (aposentadoria, por exemplo) e passa a ter direito ao auxílio-reclusão, a acumulação segue as regras gerais: o auxílio-reclusão, como benefício de prestação continuada, sujeita-se ao escalonamento do art. 24 quando acumulado com aposentadoria ou outra pensão. A matéria é examinada no Cap. 14 (seção 14.13).</w:t>
      </w:r>
    </w:p>
    <w:p w14:paraId="26647863" w14:textId="77777777" w:rsidR="005A5FCC" w:rsidRDefault="00A21C81">
      <w:pPr>
        <w:spacing w:before="260" w:after="80" w:line="240" w:lineRule="auto"/>
        <w:jc w:val="left"/>
      </w:pPr>
      <w:r>
        <w:rPr>
          <w:rFonts w:cs="EB Garamond"/>
          <w:b/>
          <w:color w:val="3A3128"/>
          <w:kern w:val="16"/>
          <w:sz w:val="25"/>
          <w14:ligatures w14:val="standardContextual"/>
        </w:rPr>
        <w:t>20.5.9 Salário-família</w:t>
      </w:r>
    </w:p>
    <w:p w14:paraId="776B46E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698BFD0F" w14:textId="77777777" w:rsidR="005A5FCC" w:rsidRDefault="00A21C81">
      <w:r>
        <w:rPr>
          <w:rFonts w:cs="EB Garamond"/>
          <w:kern w:val="16"/>
          <w14:ligatures w14:val="standardContextual"/>
        </w:rPr>
        <w:t xml:space="preserve"> salário-família acumula com todos os benefícios previdenciários. Não há vedação legal à sua percepção conjunta com qualquer outra prestação do RGPS, aposentadoria, pensão por morte, auxílio por incapacidade temporária, salário-maternidade ou auxílio-acidente. Essa acumulação irrestrita decorre da natureza do salário-família como benefício de proteção à família de baixa </w:t>
      </w:r>
      <w:r>
        <w:rPr>
          <w:rFonts w:cs="EB Garamond"/>
          <w:kern w:val="16"/>
          <w14:ligatures w14:val="standardContextual"/>
        </w:rPr>
        <w:lastRenderedPageBreak/>
        <w:t>renda, cujo objetivo é complementar a renda do segurado para o sustento dos filhos menores de 14 anos ou inválidos, independentemente de outras prestações que o segurado receba. O art. 18, § 2º, da Lei 8.213/91 confirma a regra ao incluir o salário-família entre os benefícios devidos ao aposentado que retorna ao trabalho.</w:t>
      </w:r>
    </w:p>
    <w:tbl>
      <w:tblPr>
        <w:tblW w:w="5000" w:type="pct"/>
        <w:jc w:val="center"/>
        <w:tblLayout w:type="fixed"/>
        <w:tblLook w:val="04A0" w:firstRow="1" w:lastRow="0" w:firstColumn="1" w:lastColumn="0" w:noHBand="0" w:noVBand="1"/>
      </w:tblPr>
      <w:tblGrid>
        <w:gridCol w:w="6311"/>
      </w:tblGrid>
      <w:tr w:rsidR="005A5FCC" w14:paraId="628C9889" w14:textId="77777777">
        <w:trPr>
          <w:cantSplit/>
          <w:jc w:val="center"/>
        </w:trPr>
        <w:tc>
          <w:tcPr>
            <w:tcW w:w="6350" w:type="dxa"/>
            <w:tcBorders>
              <w:top w:val="single" w:sz="7" w:space="0" w:color="A09882"/>
              <w:left w:val="single" w:sz="24" w:space="0" w:color="6B6256"/>
              <w:bottom w:val="single" w:sz="7" w:space="0" w:color="A09882"/>
              <w:right w:val="single" w:sz="7" w:space="0" w:color="A09882"/>
            </w:tcBorders>
            <w:shd w:val="clear" w:color="auto" w:fill="F5F3EF"/>
            <w:tcMar>
              <w:top w:w="150" w:type="dxa"/>
              <w:left w:w="220" w:type="dxa"/>
              <w:bottom w:w="150" w:type="dxa"/>
              <w:right w:w="180" w:type="dxa"/>
            </w:tcMar>
          </w:tcPr>
          <w:p w14:paraId="3A780D14" w14:textId="77777777" w:rsidR="005A5FCC" w:rsidRDefault="00A21C81">
            <w:pPr>
              <w:spacing w:after="60" w:line="240" w:lineRule="auto"/>
              <w:jc w:val="left"/>
            </w:pPr>
            <w:r>
              <w:rPr>
                <w:rFonts w:ascii="Noto Sans" w:hAnsi="Noto Sans" w:cs="Noto Sans"/>
                <w:b/>
                <w:caps/>
                <w:color w:val="6B6256"/>
                <w:kern w:val="16"/>
                <w:sz w:val="16"/>
                <w14:ligatures w14:val="standardContextual"/>
              </w:rPr>
              <w:lastRenderedPageBreak/>
              <w:t>QUADRO</w:t>
            </w:r>
          </w:p>
          <w:p w14:paraId="2A9A8FEF" w14:textId="77777777" w:rsidR="005A5FCC" w:rsidRDefault="00A21C81">
            <w:pPr>
              <w:spacing w:after="60" w:line="247" w:lineRule="auto"/>
            </w:pPr>
            <w:r>
              <w:rPr>
                <w:rFonts w:cs="EB Garamond"/>
                <w:b/>
                <w:kern w:val="16"/>
                <w:sz w:val="19"/>
                <w14:ligatures w14:val="standardContextual"/>
              </w:rPr>
              <w:t>Quadro 20.3 — Matriz Completa de Acumulação de Benefícios</w:t>
            </w:r>
          </w:p>
          <w:p w14:paraId="06908B3C" w14:textId="77777777" w:rsidR="005A5FCC" w:rsidRDefault="00A21C81">
            <w:pPr>
              <w:spacing w:after="60" w:line="247" w:lineRule="auto"/>
            </w:pPr>
            <w:r>
              <w:rPr>
                <w:rFonts w:cs="EB Garamond"/>
                <w:kern w:val="16"/>
                <w:sz w:val="19"/>
                <w14:ligatures w14:val="standardContextual"/>
              </w:rPr>
              <w:t xml:space="preserve">Legenda: </w:t>
            </w:r>
            <w:r>
              <w:rPr>
                <w:rFonts w:cs="EB Garamond"/>
                <w:b/>
                <w:kern w:val="16"/>
                <w:sz w:val="19"/>
                <w14:ligatures w14:val="standardContextual"/>
              </w:rPr>
              <w:t>V</w:t>
            </w:r>
            <w:r>
              <w:rPr>
                <w:rFonts w:cs="EB Garamond"/>
                <w:kern w:val="16"/>
                <w:sz w:val="19"/>
                <w14:ligatures w14:val="standardContextual"/>
              </w:rPr>
              <w:t xml:space="preserve"> = Vedada | </w:t>
            </w:r>
            <w:r>
              <w:rPr>
                <w:rFonts w:cs="EB Garamond"/>
                <w:b/>
                <w:kern w:val="16"/>
                <w:sz w:val="19"/>
                <w14:ligatures w14:val="standardContextual"/>
              </w:rPr>
              <w:t>P</w:t>
            </w:r>
            <w:r>
              <w:rPr>
                <w:rFonts w:cs="EB Garamond"/>
                <w:kern w:val="16"/>
                <w:sz w:val="19"/>
                <w14:ligatures w14:val="standardContextual"/>
              </w:rPr>
              <w:t xml:space="preserve"> = Permitida (integral) | </w:t>
            </w:r>
            <w:r>
              <w:rPr>
                <w:rFonts w:cs="EB Garamond"/>
                <w:b/>
                <w:kern w:val="16"/>
                <w:sz w:val="19"/>
                <w14:ligatures w14:val="standardContextual"/>
              </w:rPr>
              <w:t>E</w:t>
            </w:r>
            <w:r>
              <w:rPr>
                <w:rFonts w:cs="EB Garamond"/>
                <w:kern w:val="16"/>
                <w:sz w:val="19"/>
                <w14:ligatures w14:val="standardContextual"/>
              </w:rPr>
              <w:t xml:space="preserve"> = Permitida (com escalonamento) | </w:t>
            </w:r>
            <w:r>
              <w:rPr>
                <w:rFonts w:cs="EB Garamond"/>
                <w:b/>
                <w:kern w:val="16"/>
                <w:sz w:val="19"/>
                <w14:ligatures w14:val="standardContextual"/>
              </w:rPr>
              <w:t>DA</w:t>
            </w:r>
            <w:r>
              <w:rPr>
                <w:rFonts w:cs="EB Garamond"/>
                <w:kern w:val="16"/>
                <w:sz w:val="19"/>
                <w14:ligatures w14:val="standardContextual"/>
              </w:rPr>
              <w:t xml:space="preserve"> = Permitida (direito adquirido, se requisitos preenchidos antes de 13/11/2019)</w:t>
            </w:r>
          </w:p>
          <w:tbl>
            <w:tblPr>
              <w:tblW w:w="5000" w:type="pct"/>
              <w:jc w:val="center"/>
              <w:tblLook w:val="04A0" w:firstRow="1" w:lastRow="0" w:firstColumn="1" w:lastColumn="0" w:noHBand="0" w:noVBand="1"/>
            </w:tblPr>
            <w:tblGrid>
              <w:gridCol w:w="537"/>
              <w:gridCol w:w="537"/>
              <w:gridCol w:w="537"/>
              <w:gridCol w:w="537"/>
              <w:gridCol w:w="537"/>
              <w:gridCol w:w="536"/>
              <w:gridCol w:w="536"/>
              <w:gridCol w:w="536"/>
              <w:gridCol w:w="536"/>
              <w:gridCol w:w="536"/>
              <w:gridCol w:w="536"/>
            </w:tblGrid>
            <w:tr w:rsidR="005A5FCC" w14:paraId="0CC8A955" w14:textId="77777777">
              <w:trPr>
                <w:tblHeader/>
                <w:jc w:val="center"/>
              </w:trPr>
              <w:tc>
                <w:tcPr>
                  <w:tcW w:w="577" w:type="dxa"/>
                  <w:tcBorders>
                    <w:top w:val="single" w:sz="4" w:space="0" w:color="D2C9B8"/>
                    <w:left w:val="single" w:sz="4" w:space="0" w:color="D2C9B8"/>
                    <w:bottom w:val="single" w:sz="4" w:space="0" w:color="D2C9B8"/>
                    <w:right w:val="single" w:sz="4" w:space="0" w:color="D2C9B8"/>
                  </w:tcBorders>
                  <w:shd w:val="clear" w:color="auto" w:fill="F0EDE6"/>
                </w:tcPr>
                <w:p w14:paraId="723A343E" w14:textId="77777777" w:rsidR="005A5FCC" w:rsidRDefault="005A5FCC">
                  <w:pPr>
                    <w:spacing w:before="30" w:after="30" w:line="240" w:lineRule="auto"/>
                    <w:jc w:val="center"/>
                  </w:pPr>
                </w:p>
              </w:tc>
              <w:tc>
                <w:tcPr>
                  <w:tcW w:w="577" w:type="dxa"/>
                  <w:tcBorders>
                    <w:top w:val="single" w:sz="4" w:space="0" w:color="D2C9B8"/>
                    <w:left w:val="single" w:sz="4" w:space="0" w:color="D2C9B8"/>
                    <w:bottom w:val="single" w:sz="4" w:space="0" w:color="D2C9B8"/>
                    <w:right w:val="single" w:sz="4" w:space="0" w:color="D2C9B8"/>
                  </w:tcBorders>
                  <w:shd w:val="clear" w:color="auto" w:fill="F0EDE6"/>
                </w:tcPr>
                <w:p w14:paraId="3DF3183F" w14:textId="77777777" w:rsidR="005A5FCC" w:rsidRDefault="00A21C81">
                  <w:pPr>
                    <w:spacing w:before="30" w:after="30" w:line="240" w:lineRule="auto"/>
                    <w:jc w:val="center"/>
                  </w:pPr>
                  <w:r>
                    <w:rPr>
                      <w:rFonts w:cs="EB Garamond"/>
                      <w:b/>
                      <w:color w:val="2F2923"/>
                      <w:kern w:val="16"/>
                      <w:sz w:val="16"/>
                      <w14:ligatures w14:val="standardContextual"/>
                    </w:rPr>
                    <w:t>Apos (mesmo regime)</w:t>
                  </w:r>
                </w:p>
              </w:tc>
              <w:tc>
                <w:tcPr>
                  <w:tcW w:w="577" w:type="dxa"/>
                  <w:tcBorders>
                    <w:top w:val="single" w:sz="4" w:space="0" w:color="D2C9B8"/>
                    <w:left w:val="single" w:sz="4" w:space="0" w:color="D2C9B8"/>
                    <w:bottom w:val="single" w:sz="4" w:space="0" w:color="D2C9B8"/>
                    <w:right w:val="single" w:sz="4" w:space="0" w:color="D2C9B8"/>
                  </w:tcBorders>
                  <w:shd w:val="clear" w:color="auto" w:fill="F0EDE6"/>
                </w:tcPr>
                <w:p w14:paraId="31F60E1E" w14:textId="77777777" w:rsidR="005A5FCC" w:rsidRDefault="00A21C81">
                  <w:pPr>
                    <w:spacing w:before="30" w:after="30" w:line="240" w:lineRule="auto"/>
                    <w:jc w:val="center"/>
                  </w:pPr>
                  <w:r>
                    <w:rPr>
                      <w:rFonts w:cs="EB Garamond"/>
                      <w:b/>
                      <w:color w:val="2F2923"/>
                      <w:kern w:val="16"/>
                      <w:sz w:val="16"/>
                      <w14:ligatures w14:val="standardContextual"/>
                    </w:rPr>
                    <w:t>Apos (outro regime)</w:t>
                  </w:r>
                </w:p>
              </w:tc>
              <w:tc>
                <w:tcPr>
                  <w:tcW w:w="577" w:type="dxa"/>
                  <w:tcBorders>
                    <w:top w:val="single" w:sz="4" w:space="0" w:color="D2C9B8"/>
                    <w:left w:val="single" w:sz="4" w:space="0" w:color="D2C9B8"/>
                    <w:bottom w:val="single" w:sz="4" w:space="0" w:color="D2C9B8"/>
                    <w:right w:val="single" w:sz="4" w:space="0" w:color="D2C9B8"/>
                  </w:tcBorders>
                  <w:shd w:val="clear" w:color="auto" w:fill="F0EDE6"/>
                </w:tcPr>
                <w:p w14:paraId="47885796" w14:textId="77777777" w:rsidR="005A5FCC" w:rsidRDefault="00A21C81">
                  <w:pPr>
                    <w:spacing w:before="30" w:after="30" w:line="240" w:lineRule="auto"/>
                    <w:jc w:val="center"/>
                  </w:pPr>
                  <w:r>
                    <w:rPr>
                      <w:rFonts w:cs="EB Garamond"/>
                      <w:b/>
                      <w:color w:val="2F2923"/>
                      <w:kern w:val="16"/>
                      <w:sz w:val="16"/>
                      <w14:ligatures w14:val="standardContextual"/>
                    </w:rPr>
                    <w:t>PM (mesmo regime)</w:t>
                  </w:r>
                </w:p>
              </w:tc>
              <w:tc>
                <w:tcPr>
                  <w:tcW w:w="577" w:type="dxa"/>
                  <w:tcBorders>
                    <w:top w:val="single" w:sz="4" w:space="0" w:color="D2C9B8"/>
                    <w:left w:val="single" w:sz="4" w:space="0" w:color="D2C9B8"/>
                    <w:bottom w:val="single" w:sz="4" w:space="0" w:color="D2C9B8"/>
                    <w:right w:val="single" w:sz="4" w:space="0" w:color="D2C9B8"/>
                  </w:tcBorders>
                  <w:shd w:val="clear" w:color="auto" w:fill="F0EDE6"/>
                </w:tcPr>
                <w:p w14:paraId="5494E24B" w14:textId="77777777" w:rsidR="005A5FCC" w:rsidRDefault="00A21C81">
                  <w:pPr>
                    <w:spacing w:before="30" w:after="30" w:line="240" w:lineRule="auto"/>
                    <w:jc w:val="center"/>
                  </w:pPr>
                  <w:r>
                    <w:rPr>
                      <w:rFonts w:cs="EB Garamond"/>
                      <w:b/>
                      <w:color w:val="2F2923"/>
                      <w:kern w:val="16"/>
                      <w:sz w:val="16"/>
                      <w14:ligatures w14:val="standardContextual"/>
                    </w:rPr>
                    <w:t>PM (outro regime)</w:t>
                  </w:r>
                </w:p>
              </w:tc>
              <w:tc>
                <w:tcPr>
                  <w:tcW w:w="577" w:type="dxa"/>
                  <w:tcBorders>
                    <w:top w:val="single" w:sz="4" w:space="0" w:color="D2C9B8"/>
                    <w:left w:val="single" w:sz="4" w:space="0" w:color="D2C9B8"/>
                    <w:bottom w:val="single" w:sz="4" w:space="0" w:color="D2C9B8"/>
                    <w:right w:val="single" w:sz="4" w:space="0" w:color="D2C9B8"/>
                  </w:tcBorders>
                  <w:shd w:val="clear" w:color="auto" w:fill="F0EDE6"/>
                </w:tcPr>
                <w:p w14:paraId="6EBA380D" w14:textId="77777777" w:rsidR="005A5FCC" w:rsidRDefault="00A21C81">
                  <w:pPr>
                    <w:spacing w:before="30" w:after="30" w:line="240" w:lineRule="auto"/>
                    <w:jc w:val="center"/>
                  </w:pPr>
                  <w:r>
                    <w:rPr>
                      <w:rFonts w:cs="EB Garamond"/>
                      <w:b/>
                      <w:color w:val="2F2923"/>
                      <w:kern w:val="16"/>
                      <w:sz w:val="16"/>
                      <w14:ligatures w14:val="standardContextual"/>
                    </w:rPr>
                    <w:t>AIT</w:t>
                  </w:r>
                </w:p>
              </w:tc>
              <w:tc>
                <w:tcPr>
                  <w:tcW w:w="577" w:type="dxa"/>
                  <w:tcBorders>
                    <w:top w:val="single" w:sz="4" w:space="0" w:color="D2C9B8"/>
                    <w:left w:val="single" w:sz="4" w:space="0" w:color="D2C9B8"/>
                    <w:bottom w:val="single" w:sz="4" w:space="0" w:color="D2C9B8"/>
                    <w:right w:val="single" w:sz="4" w:space="0" w:color="D2C9B8"/>
                  </w:tcBorders>
                  <w:shd w:val="clear" w:color="auto" w:fill="F0EDE6"/>
                </w:tcPr>
                <w:p w14:paraId="79053EA2" w14:textId="77777777" w:rsidR="005A5FCC" w:rsidRDefault="00A21C81">
                  <w:pPr>
                    <w:spacing w:before="30" w:after="30" w:line="240" w:lineRule="auto"/>
                    <w:jc w:val="center"/>
                  </w:pPr>
                  <w:r>
                    <w:rPr>
                      <w:rFonts w:cs="EB Garamond"/>
                      <w:b/>
                      <w:color w:val="2F2923"/>
                      <w:kern w:val="16"/>
                      <w:sz w:val="16"/>
                      <w14:ligatures w14:val="standardContextual"/>
                    </w:rPr>
                    <w:t>AA</w:t>
                  </w:r>
                </w:p>
              </w:tc>
              <w:tc>
                <w:tcPr>
                  <w:tcW w:w="577" w:type="dxa"/>
                  <w:tcBorders>
                    <w:top w:val="single" w:sz="4" w:space="0" w:color="D2C9B8"/>
                    <w:left w:val="single" w:sz="4" w:space="0" w:color="D2C9B8"/>
                    <w:bottom w:val="single" w:sz="4" w:space="0" w:color="D2C9B8"/>
                    <w:right w:val="single" w:sz="4" w:space="0" w:color="D2C9B8"/>
                  </w:tcBorders>
                  <w:shd w:val="clear" w:color="auto" w:fill="F0EDE6"/>
                </w:tcPr>
                <w:p w14:paraId="5940CD0D" w14:textId="77777777" w:rsidR="005A5FCC" w:rsidRDefault="00A21C81">
                  <w:pPr>
                    <w:spacing w:before="30" w:after="30" w:line="240" w:lineRule="auto"/>
                    <w:jc w:val="center"/>
                  </w:pPr>
                  <w:r>
                    <w:rPr>
                      <w:rFonts w:cs="EB Garamond"/>
                      <w:b/>
                      <w:color w:val="2F2923"/>
                      <w:kern w:val="16"/>
                      <w:sz w:val="16"/>
                      <w14:ligatures w14:val="standardContextual"/>
                    </w:rPr>
                    <w:t>SM</w:t>
                  </w:r>
                </w:p>
              </w:tc>
              <w:tc>
                <w:tcPr>
                  <w:tcW w:w="577" w:type="dxa"/>
                  <w:tcBorders>
                    <w:top w:val="single" w:sz="4" w:space="0" w:color="D2C9B8"/>
                    <w:left w:val="single" w:sz="4" w:space="0" w:color="D2C9B8"/>
                    <w:bottom w:val="single" w:sz="4" w:space="0" w:color="D2C9B8"/>
                    <w:right w:val="single" w:sz="4" w:space="0" w:color="D2C9B8"/>
                  </w:tcBorders>
                  <w:shd w:val="clear" w:color="auto" w:fill="F0EDE6"/>
                </w:tcPr>
                <w:p w14:paraId="260763D6" w14:textId="77777777" w:rsidR="005A5FCC" w:rsidRDefault="00A21C81">
                  <w:pPr>
                    <w:spacing w:before="30" w:after="30" w:line="240" w:lineRule="auto"/>
                    <w:jc w:val="center"/>
                  </w:pPr>
                  <w:r>
                    <w:rPr>
                      <w:rFonts w:cs="EB Garamond"/>
                      <w:b/>
                      <w:color w:val="2F2923"/>
                      <w:kern w:val="16"/>
                      <w:sz w:val="16"/>
                      <w14:ligatures w14:val="standardContextual"/>
                    </w:rPr>
                    <w:t>SF</w:t>
                  </w:r>
                </w:p>
              </w:tc>
              <w:tc>
                <w:tcPr>
                  <w:tcW w:w="577" w:type="dxa"/>
                  <w:tcBorders>
                    <w:top w:val="single" w:sz="4" w:space="0" w:color="D2C9B8"/>
                    <w:left w:val="single" w:sz="4" w:space="0" w:color="D2C9B8"/>
                    <w:bottom w:val="single" w:sz="4" w:space="0" w:color="D2C9B8"/>
                    <w:right w:val="single" w:sz="4" w:space="0" w:color="D2C9B8"/>
                  </w:tcBorders>
                  <w:shd w:val="clear" w:color="auto" w:fill="F0EDE6"/>
                </w:tcPr>
                <w:p w14:paraId="048DC2BE" w14:textId="77777777" w:rsidR="005A5FCC" w:rsidRDefault="00A21C81">
                  <w:pPr>
                    <w:spacing w:before="30" w:after="30" w:line="240" w:lineRule="auto"/>
                    <w:jc w:val="center"/>
                  </w:pPr>
                  <w:r>
                    <w:rPr>
                      <w:rFonts w:cs="EB Garamond"/>
                      <w:b/>
                      <w:color w:val="2F2923"/>
                      <w:kern w:val="16"/>
                      <w:sz w:val="16"/>
                      <w14:ligatures w14:val="standardContextual"/>
                    </w:rPr>
                    <w:t>AR</w:t>
                  </w:r>
                </w:p>
              </w:tc>
              <w:tc>
                <w:tcPr>
                  <w:tcW w:w="577" w:type="dxa"/>
                  <w:tcBorders>
                    <w:top w:val="single" w:sz="4" w:space="0" w:color="D2C9B8"/>
                    <w:left w:val="single" w:sz="4" w:space="0" w:color="D2C9B8"/>
                    <w:bottom w:val="single" w:sz="4" w:space="0" w:color="D2C9B8"/>
                    <w:right w:val="single" w:sz="4" w:space="0" w:color="D2C9B8"/>
                  </w:tcBorders>
                  <w:shd w:val="clear" w:color="auto" w:fill="F0EDE6"/>
                </w:tcPr>
                <w:p w14:paraId="4D7496C4" w14:textId="77777777" w:rsidR="005A5FCC" w:rsidRDefault="00A21C81">
                  <w:pPr>
                    <w:spacing w:before="30" w:after="30" w:line="240" w:lineRule="auto"/>
                    <w:jc w:val="center"/>
                  </w:pPr>
                  <w:r>
                    <w:rPr>
                      <w:rFonts w:cs="EB Garamond"/>
                      <w:b/>
                      <w:color w:val="2F2923"/>
                      <w:kern w:val="16"/>
                      <w:sz w:val="16"/>
                      <w14:ligatures w14:val="standardContextual"/>
                    </w:rPr>
                    <w:t>BPC</w:t>
                  </w:r>
                </w:p>
              </w:tc>
            </w:tr>
            <w:tr w:rsidR="005A5FCC" w14:paraId="0A76B7A8" w14:textId="77777777">
              <w:trPr>
                <w:jc w:val="center"/>
              </w:trPr>
              <w:tc>
                <w:tcPr>
                  <w:tcW w:w="577" w:type="dxa"/>
                  <w:tcBorders>
                    <w:top w:val="single" w:sz="4" w:space="0" w:color="D2C9B8"/>
                    <w:left w:val="single" w:sz="4" w:space="0" w:color="D2C9B8"/>
                    <w:bottom w:val="single" w:sz="4" w:space="0" w:color="D2C9B8"/>
                    <w:right w:val="single" w:sz="4" w:space="0" w:color="D2C9B8"/>
                  </w:tcBorders>
                </w:tcPr>
                <w:p w14:paraId="0914EA57" w14:textId="77777777" w:rsidR="005A5FCC" w:rsidRDefault="00A21C81">
                  <w:pPr>
                    <w:spacing w:before="20" w:after="20" w:line="240" w:lineRule="auto"/>
                    <w:jc w:val="left"/>
                  </w:pPr>
                  <w:r>
                    <w:rPr>
                      <w:rFonts w:cs="EB Garamond"/>
                      <w:b/>
                      <w:kern w:val="16"/>
                      <w:sz w:val="16"/>
                      <w14:ligatures w14:val="standardContextual"/>
                    </w:rPr>
                    <w:t>Apos</w:t>
                  </w:r>
                </w:p>
              </w:tc>
              <w:tc>
                <w:tcPr>
                  <w:tcW w:w="577" w:type="dxa"/>
                  <w:tcBorders>
                    <w:top w:val="single" w:sz="4" w:space="0" w:color="D2C9B8"/>
                    <w:left w:val="single" w:sz="4" w:space="0" w:color="D2C9B8"/>
                    <w:bottom w:val="single" w:sz="4" w:space="0" w:color="D2C9B8"/>
                    <w:right w:val="single" w:sz="4" w:space="0" w:color="D2C9B8"/>
                  </w:tcBorders>
                </w:tcPr>
                <w:p w14:paraId="026EB186" w14:textId="77777777" w:rsidR="005A5FCC" w:rsidRDefault="00A21C81">
                  <w:pPr>
                    <w:spacing w:before="20" w:after="20" w:line="240" w:lineRule="auto"/>
                    <w:jc w:val="left"/>
                  </w:pPr>
                  <w:r>
                    <w:rPr>
                      <w:rFonts w:cs="EB Garamond"/>
                      <w:kern w:val="16"/>
                      <w:sz w:val="16"/>
                      <w14:ligatures w14:val="standardContextual"/>
                    </w:rPr>
                    <w:t>V</w:t>
                  </w:r>
                </w:p>
              </w:tc>
              <w:tc>
                <w:tcPr>
                  <w:tcW w:w="577" w:type="dxa"/>
                  <w:tcBorders>
                    <w:top w:val="single" w:sz="4" w:space="0" w:color="D2C9B8"/>
                    <w:left w:val="single" w:sz="4" w:space="0" w:color="D2C9B8"/>
                    <w:bottom w:val="single" w:sz="4" w:space="0" w:color="D2C9B8"/>
                    <w:right w:val="single" w:sz="4" w:space="0" w:color="D2C9B8"/>
                  </w:tcBorders>
                </w:tcPr>
                <w:p w14:paraId="6B9D11B5" w14:textId="77777777" w:rsidR="005A5FCC" w:rsidRDefault="00A21C81">
                  <w:pPr>
                    <w:spacing w:before="20" w:after="20" w:line="240" w:lineRule="auto"/>
                    <w:jc w:val="left"/>
                  </w:pPr>
                  <w:r>
                    <w:rPr>
                      <w:rFonts w:cs="EB Garamond"/>
                      <w:kern w:val="16"/>
                      <w:sz w:val="16"/>
                      <w14:ligatures w14:val="standardContextual"/>
                    </w:rPr>
                    <w:t>E</w:t>
                  </w:r>
                </w:p>
              </w:tc>
              <w:tc>
                <w:tcPr>
                  <w:tcW w:w="577" w:type="dxa"/>
                  <w:tcBorders>
                    <w:top w:val="single" w:sz="4" w:space="0" w:color="D2C9B8"/>
                    <w:left w:val="single" w:sz="4" w:space="0" w:color="D2C9B8"/>
                    <w:bottom w:val="single" w:sz="4" w:space="0" w:color="D2C9B8"/>
                    <w:right w:val="single" w:sz="4" w:space="0" w:color="D2C9B8"/>
                  </w:tcBorders>
                </w:tcPr>
                <w:p w14:paraId="03BD3729" w14:textId="77777777" w:rsidR="005A5FCC" w:rsidRDefault="00A21C81">
                  <w:pPr>
                    <w:spacing w:before="20" w:after="20" w:line="240" w:lineRule="auto"/>
                    <w:jc w:val="left"/>
                  </w:pPr>
                  <w:r>
                    <w:rPr>
                      <w:rFonts w:cs="EB Garamond"/>
                      <w:kern w:val="16"/>
                      <w:sz w:val="16"/>
                      <w14:ligatures w14:val="standardContextual"/>
                    </w:rPr>
                    <w:t>E</w:t>
                  </w:r>
                </w:p>
              </w:tc>
              <w:tc>
                <w:tcPr>
                  <w:tcW w:w="577" w:type="dxa"/>
                  <w:tcBorders>
                    <w:top w:val="single" w:sz="4" w:space="0" w:color="D2C9B8"/>
                    <w:left w:val="single" w:sz="4" w:space="0" w:color="D2C9B8"/>
                    <w:bottom w:val="single" w:sz="4" w:space="0" w:color="D2C9B8"/>
                    <w:right w:val="single" w:sz="4" w:space="0" w:color="D2C9B8"/>
                  </w:tcBorders>
                </w:tcPr>
                <w:p w14:paraId="0CF9C164" w14:textId="77777777" w:rsidR="005A5FCC" w:rsidRDefault="00A21C81">
                  <w:pPr>
                    <w:spacing w:before="20" w:after="20" w:line="240" w:lineRule="auto"/>
                    <w:jc w:val="left"/>
                  </w:pPr>
                  <w:r>
                    <w:rPr>
                      <w:rFonts w:cs="EB Garamond"/>
                      <w:kern w:val="16"/>
                      <w:sz w:val="16"/>
                      <w14:ligatures w14:val="standardContextual"/>
                    </w:rPr>
                    <w:t>E</w:t>
                  </w:r>
                </w:p>
              </w:tc>
              <w:tc>
                <w:tcPr>
                  <w:tcW w:w="577" w:type="dxa"/>
                  <w:tcBorders>
                    <w:top w:val="single" w:sz="4" w:space="0" w:color="D2C9B8"/>
                    <w:left w:val="single" w:sz="4" w:space="0" w:color="D2C9B8"/>
                    <w:bottom w:val="single" w:sz="4" w:space="0" w:color="D2C9B8"/>
                    <w:right w:val="single" w:sz="4" w:space="0" w:color="D2C9B8"/>
                  </w:tcBorders>
                </w:tcPr>
                <w:p w14:paraId="647CD438" w14:textId="77777777" w:rsidR="005A5FCC" w:rsidRDefault="00A21C81">
                  <w:pPr>
                    <w:spacing w:before="20" w:after="20" w:line="240" w:lineRule="auto"/>
                    <w:jc w:val="left"/>
                  </w:pPr>
                  <w:r>
                    <w:rPr>
                      <w:rFonts w:cs="EB Garamond"/>
                      <w:kern w:val="16"/>
                      <w:sz w:val="16"/>
                      <w14:ligatures w14:val="standardContextual"/>
                    </w:rPr>
                    <w:t>V</w:t>
                  </w:r>
                </w:p>
              </w:tc>
              <w:tc>
                <w:tcPr>
                  <w:tcW w:w="577" w:type="dxa"/>
                  <w:tcBorders>
                    <w:top w:val="single" w:sz="4" w:space="0" w:color="D2C9B8"/>
                    <w:left w:val="single" w:sz="4" w:space="0" w:color="D2C9B8"/>
                    <w:bottom w:val="single" w:sz="4" w:space="0" w:color="D2C9B8"/>
                    <w:right w:val="single" w:sz="4" w:space="0" w:color="D2C9B8"/>
                  </w:tcBorders>
                </w:tcPr>
                <w:p w14:paraId="23E65FB5" w14:textId="77777777" w:rsidR="005A5FCC" w:rsidRDefault="00A21C81">
                  <w:pPr>
                    <w:spacing w:before="20" w:after="20" w:line="240" w:lineRule="auto"/>
                    <w:jc w:val="left"/>
                  </w:pPr>
                  <w:r>
                    <w:rPr>
                      <w:rFonts w:cs="EB Garamond"/>
                      <w:kern w:val="16"/>
                      <w:sz w:val="16"/>
                      <w14:ligatures w14:val="standardContextual"/>
                    </w:rPr>
                    <w:t>V/DA¹</w:t>
                  </w:r>
                </w:p>
              </w:tc>
              <w:tc>
                <w:tcPr>
                  <w:tcW w:w="577" w:type="dxa"/>
                  <w:tcBorders>
                    <w:top w:val="single" w:sz="4" w:space="0" w:color="D2C9B8"/>
                    <w:left w:val="single" w:sz="4" w:space="0" w:color="D2C9B8"/>
                    <w:bottom w:val="single" w:sz="4" w:space="0" w:color="D2C9B8"/>
                    <w:right w:val="single" w:sz="4" w:space="0" w:color="D2C9B8"/>
                  </w:tcBorders>
                </w:tcPr>
                <w:p w14:paraId="57F263CA" w14:textId="77777777" w:rsidR="005A5FCC" w:rsidRDefault="00A21C81">
                  <w:pPr>
                    <w:spacing w:before="20" w:after="20" w:line="240" w:lineRule="auto"/>
                    <w:jc w:val="left"/>
                  </w:pPr>
                  <w:r>
                    <w:rPr>
                      <w:rFonts w:cs="EB Garamond"/>
                      <w:kern w:val="16"/>
                      <w:sz w:val="16"/>
                      <w14:ligatures w14:val="standardContextual"/>
                    </w:rPr>
                    <w:t>V</w:t>
                  </w:r>
                </w:p>
              </w:tc>
              <w:tc>
                <w:tcPr>
                  <w:tcW w:w="577" w:type="dxa"/>
                  <w:tcBorders>
                    <w:top w:val="single" w:sz="4" w:space="0" w:color="D2C9B8"/>
                    <w:left w:val="single" w:sz="4" w:space="0" w:color="D2C9B8"/>
                    <w:bottom w:val="single" w:sz="4" w:space="0" w:color="D2C9B8"/>
                    <w:right w:val="single" w:sz="4" w:space="0" w:color="D2C9B8"/>
                  </w:tcBorders>
                </w:tcPr>
                <w:p w14:paraId="08EB2FB3" w14:textId="77777777" w:rsidR="005A5FCC" w:rsidRDefault="00A21C81">
                  <w:pPr>
                    <w:spacing w:before="20" w:after="20" w:line="240" w:lineRule="auto"/>
                    <w:jc w:val="left"/>
                  </w:pPr>
                  <w:r>
                    <w:rPr>
                      <w:rFonts w:cs="EB Garamond"/>
                      <w:kern w:val="16"/>
                      <w:sz w:val="16"/>
                      <w14:ligatures w14:val="standardContextual"/>
                    </w:rPr>
                    <w:t>P</w:t>
                  </w:r>
                </w:p>
              </w:tc>
              <w:tc>
                <w:tcPr>
                  <w:tcW w:w="577" w:type="dxa"/>
                  <w:tcBorders>
                    <w:top w:val="single" w:sz="4" w:space="0" w:color="D2C9B8"/>
                    <w:left w:val="single" w:sz="4" w:space="0" w:color="D2C9B8"/>
                    <w:bottom w:val="single" w:sz="4" w:space="0" w:color="D2C9B8"/>
                    <w:right w:val="single" w:sz="4" w:space="0" w:color="D2C9B8"/>
                  </w:tcBorders>
                </w:tcPr>
                <w:p w14:paraId="4191AE69" w14:textId="77777777" w:rsidR="005A5FCC" w:rsidRDefault="00A21C81">
                  <w:pPr>
                    <w:spacing w:before="20" w:after="20" w:line="240" w:lineRule="auto"/>
                    <w:jc w:val="left"/>
                  </w:pPr>
                  <w:r>
                    <w:rPr>
                      <w:rFonts w:cs="EB Garamond"/>
                      <w:kern w:val="16"/>
                      <w:sz w:val="16"/>
                      <w14:ligatures w14:val="standardContextual"/>
                    </w:rPr>
                    <w:t>E</w:t>
                  </w:r>
                </w:p>
              </w:tc>
              <w:tc>
                <w:tcPr>
                  <w:tcW w:w="577" w:type="dxa"/>
                  <w:tcBorders>
                    <w:top w:val="single" w:sz="4" w:space="0" w:color="D2C9B8"/>
                    <w:left w:val="single" w:sz="4" w:space="0" w:color="D2C9B8"/>
                    <w:bottom w:val="single" w:sz="4" w:space="0" w:color="D2C9B8"/>
                    <w:right w:val="single" w:sz="4" w:space="0" w:color="D2C9B8"/>
                  </w:tcBorders>
                </w:tcPr>
                <w:p w14:paraId="0CDCB775" w14:textId="77777777" w:rsidR="005A5FCC" w:rsidRDefault="00A21C81">
                  <w:pPr>
                    <w:spacing w:before="20" w:after="20" w:line="240" w:lineRule="auto"/>
                    <w:jc w:val="left"/>
                  </w:pPr>
                  <w:r>
                    <w:rPr>
                      <w:rFonts w:cs="EB Garamond"/>
                      <w:kern w:val="16"/>
                      <w:sz w:val="16"/>
                      <w14:ligatures w14:val="standardContextual"/>
                    </w:rPr>
                    <w:t>V</w:t>
                  </w:r>
                </w:p>
              </w:tc>
            </w:tr>
            <w:tr w:rsidR="005A5FCC" w14:paraId="152E99C3" w14:textId="77777777">
              <w:trPr>
                <w:jc w:val="center"/>
              </w:trPr>
              <w:tc>
                <w:tcPr>
                  <w:tcW w:w="577" w:type="dxa"/>
                  <w:tcBorders>
                    <w:top w:val="single" w:sz="4" w:space="0" w:color="D2C9B8"/>
                    <w:left w:val="single" w:sz="4" w:space="0" w:color="D2C9B8"/>
                    <w:bottom w:val="single" w:sz="4" w:space="0" w:color="D2C9B8"/>
                    <w:right w:val="single" w:sz="4" w:space="0" w:color="D2C9B8"/>
                  </w:tcBorders>
                </w:tcPr>
                <w:p w14:paraId="07706BB2" w14:textId="77777777" w:rsidR="005A5FCC" w:rsidRDefault="00A21C81">
                  <w:pPr>
                    <w:spacing w:before="20" w:after="20" w:line="240" w:lineRule="auto"/>
                    <w:jc w:val="left"/>
                  </w:pPr>
                  <w:r>
                    <w:rPr>
                      <w:rFonts w:cs="EB Garamond"/>
                      <w:b/>
                      <w:kern w:val="16"/>
                      <w:sz w:val="16"/>
                      <w14:ligatures w14:val="standardContextual"/>
                    </w:rPr>
                    <w:t>PM</w:t>
                  </w:r>
                </w:p>
              </w:tc>
              <w:tc>
                <w:tcPr>
                  <w:tcW w:w="577" w:type="dxa"/>
                  <w:tcBorders>
                    <w:top w:val="single" w:sz="4" w:space="0" w:color="D2C9B8"/>
                    <w:left w:val="single" w:sz="4" w:space="0" w:color="D2C9B8"/>
                    <w:bottom w:val="single" w:sz="4" w:space="0" w:color="D2C9B8"/>
                    <w:right w:val="single" w:sz="4" w:space="0" w:color="D2C9B8"/>
                  </w:tcBorders>
                </w:tcPr>
                <w:p w14:paraId="7EE03FF6" w14:textId="77777777" w:rsidR="005A5FCC" w:rsidRDefault="00A21C81">
                  <w:pPr>
                    <w:spacing w:before="20" w:after="20" w:line="240" w:lineRule="auto"/>
                    <w:jc w:val="left"/>
                  </w:pPr>
                  <w:r>
                    <w:rPr>
                      <w:rFonts w:cs="EB Garamond"/>
                      <w:kern w:val="16"/>
                      <w:sz w:val="16"/>
                      <w14:ligatures w14:val="standardContextual"/>
                    </w:rPr>
                    <w:t>E</w:t>
                  </w:r>
                </w:p>
              </w:tc>
              <w:tc>
                <w:tcPr>
                  <w:tcW w:w="577" w:type="dxa"/>
                  <w:tcBorders>
                    <w:top w:val="single" w:sz="4" w:space="0" w:color="D2C9B8"/>
                    <w:left w:val="single" w:sz="4" w:space="0" w:color="D2C9B8"/>
                    <w:bottom w:val="single" w:sz="4" w:space="0" w:color="D2C9B8"/>
                    <w:right w:val="single" w:sz="4" w:space="0" w:color="D2C9B8"/>
                  </w:tcBorders>
                </w:tcPr>
                <w:p w14:paraId="7C02B853" w14:textId="77777777" w:rsidR="005A5FCC" w:rsidRDefault="00A21C81">
                  <w:pPr>
                    <w:spacing w:before="20" w:after="20" w:line="240" w:lineRule="auto"/>
                    <w:jc w:val="left"/>
                  </w:pPr>
                  <w:r>
                    <w:rPr>
                      <w:rFonts w:cs="EB Garamond"/>
                      <w:kern w:val="16"/>
                      <w:sz w:val="16"/>
                      <w14:ligatures w14:val="standardContextual"/>
                    </w:rPr>
                    <w:t>E</w:t>
                  </w:r>
                </w:p>
              </w:tc>
              <w:tc>
                <w:tcPr>
                  <w:tcW w:w="577" w:type="dxa"/>
                  <w:tcBorders>
                    <w:top w:val="single" w:sz="4" w:space="0" w:color="D2C9B8"/>
                    <w:left w:val="single" w:sz="4" w:space="0" w:color="D2C9B8"/>
                    <w:bottom w:val="single" w:sz="4" w:space="0" w:color="D2C9B8"/>
                    <w:right w:val="single" w:sz="4" w:space="0" w:color="D2C9B8"/>
                  </w:tcBorders>
                </w:tcPr>
                <w:p w14:paraId="0F664104" w14:textId="77777777" w:rsidR="005A5FCC" w:rsidRDefault="00A21C81">
                  <w:pPr>
                    <w:spacing w:before="20" w:after="20" w:line="240" w:lineRule="auto"/>
                    <w:jc w:val="left"/>
                  </w:pPr>
                  <w:r>
                    <w:rPr>
                      <w:rFonts w:cs="EB Garamond"/>
                      <w:kern w:val="16"/>
                      <w:sz w:val="16"/>
                      <w14:ligatures w14:val="standardContextual"/>
                    </w:rPr>
                    <w:t>V²</w:t>
                  </w:r>
                </w:p>
              </w:tc>
              <w:tc>
                <w:tcPr>
                  <w:tcW w:w="577" w:type="dxa"/>
                  <w:tcBorders>
                    <w:top w:val="single" w:sz="4" w:space="0" w:color="D2C9B8"/>
                    <w:left w:val="single" w:sz="4" w:space="0" w:color="D2C9B8"/>
                    <w:bottom w:val="single" w:sz="4" w:space="0" w:color="D2C9B8"/>
                    <w:right w:val="single" w:sz="4" w:space="0" w:color="D2C9B8"/>
                  </w:tcBorders>
                </w:tcPr>
                <w:p w14:paraId="60D8E97A" w14:textId="77777777" w:rsidR="005A5FCC" w:rsidRDefault="00A21C81">
                  <w:pPr>
                    <w:spacing w:before="20" w:after="20" w:line="240" w:lineRule="auto"/>
                    <w:jc w:val="left"/>
                  </w:pPr>
                  <w:r>
                    <w:rPr>
                      <w:rFonts w:cs="EB Garamond"/>
                      <w:kern w:val="16"/>
                      <w:sz w:val="16"/>
                      <w14:ligatures w14:val="standardContextual"/>
                    </w:rPr>
                    <w:t>E</w:t>
                  </w:r>
                </w:p>
              </w:tc>
              <w:tc>
                <w:tcPr>
                  <w:tcW w:w="577" w:type="dxa"/>
                  <w:tcBorders>
                    <w:top w:val="single" w:sz="4" w:space="0" w:color="D2C9B8"/>
                    <w:left w:val="single" w:sz="4" w:space="0" w:color="D2C9B8"/>
                    <w:bottom w:val="single" w:sz="4" w:space="0" w:color="D2C9B8"/>
                    <w:right w:val="single" w:sz="4" w:space="0" w:color="D2C9B8"/>
                  </w:tcBorders>
                </w:tcPr>
                <w:p w14:paraId="7C81E1E8" w14:textId="77777777" w:rsidR="005A5FCC" w:rsidRDefault="00A21C81">
                  <w:pPr>
                    <w:spacing w:before="20" w:after="20" w:line="240" w:lineRule="auto"/>
                    <w:jc w:val="left"/>
                  </w:pPr>
                  <w:r>
                    <w:rPr>
                      <w:rFonts w:cs="EB Garamond"/>
                      <w:kern w:val="16"/>
                      <w:sz w:val="16"/>
                      <w14:ligatures w14:val="standardContextual"/>
                    </w:rPr>
                    <w:t>E</w:t>
                  </w:r>
                </w:p>
              </w:tc>
              <w:tc>
                <w:tcPr>
                  <w:tcW w:w="577" w:type="dxa"/>
                  <w:tcBorders>
                    <w:top w:val="single" w:sz="4" w:space="0" w:color="D2C9B8"/>
                    <w:left w:val="single" w:sz="4" w:space="0" w:color="D2C9B8"/>
                    <w:bottom w:val="single" w:sz="4" w:space="0" w:color="D2C9B8"/>
                    <w:right w:val="single" w:sz="4" w:space="0" w:color="D2C9B8"/>
                  </w:tcBorders>
                </w:tcPr>
                <w:p w14:paraId="1DC47366" w14:textId="77777777" w:rsidR="005A5FCC" w:rsidRDefault="00A21C81">
                  <w:pPr>
                    <w:spacing w:before="20" w:after="20" w:line="240" w:lineRule="auto"/>
                    <w:jc w:val="left"/>
                  </w:pPr>
                  <w:r>
                    <w:rPr>
                      <w:rFonts w:cs="EB Garamond"/>
                      <w:kern w:val="16"/>
                      <w:sz w:val="16"/>
                      <w14:ligatures w14:val="standardContextual"/>
                    </w:rPr>
                    <w:t>E</w:t>
                  </w:r>
                </w:p>
              </w:tc>
              <w:tc>
                <w:tcPr>
                  <w:tcW w:w="577" w:type="dxa"/>
                  <w:tcBorders>
                    <w:top w:val="single" w:sz="4" w:space="0" w:color="D2C9B8"/>
                    <w:left w:val="single" w:sz="4" w:space="0" w:color="D2C9B8"/>
                    <w:bottom w:val="single" w:sz="4" w:space="0" w:color="D2C9B8"/>
                    <w:right w:val="single" w:sz="4" w:space="0" w:color="D2C9B8"/>
                  </w:tcBorders>
                </w:tcPr>
                <w:p w14:paraId="148BDC1C" w14:textId="77777777" w:rsidR="005A5FCC" w:rsidRDefault="00A21C81">
                  <w:pPr>
                    <w:spacing w:before="20" w:after="20" w:line="240" w:lineRule="auto"/>
                    <w:jc w:val="left"/>
                  </w:pPr>
                  <w:r>
                    <w:rPr>
                      <w:rFonts w:cs="EB Garamond"/>
                      <w:kern w:val="16"/>
                      <w:sz w:val="16"/>
                      <w14:ligatures w14:val="standardContextual"/>
                    </w:rPr>
                    <w:t>P</w:t>
                  </w:r>
                </w:p>
              </w:tc>
              <w:tc>
                <w:tcPr>
                  <w:tcW w:w="577" w:type="dxa"/>
                  <w:tcBorders>
                    <w:top w:val="single" w:sz="4" w:space="0" w:color="D2C9B8"/>
                    <w:left w:val="single" w:sz="4" w:space="0" w:color="D2C9B8"/>
                    <w:bottom w:val="single" w:sz="4" w:space="0" w:color="D2C9B8"/>
                    <w:right w:val="single" w:sz="4" w:space="0" w:color="D2C9B8"/>
                  </w:tcBorders>
                </w:tcPr>
                <w:p w14:paraId="5487DFA9" w14:textId="77777777" w:rsidR="005A5FCC" w:rsidRDefault="00A21C81">
                  <w:pPr>
                    <w:spacing w:before="20" w:after="20" w:line="240" w:lineRule="auto"/>
                    <w:jc w:val="left"/>
                  </w:pPr>
                  <w:r>
                    <w:rPr>
                      <w:rFonts w:cs="EB Garamond"/>
                      <w:kern w:val="16"/>
                      <w:sz w:val="16"/>
                      <w14:ligatures w14:val="standardContextual"/>
                    </w:rPr>
                    <w:t>P</w:t>
                  </w:r>
                </w:p>
              </w:tc>
              <w:tc>
                <w:tcPr>
                  <w:tcW w:w="577" w:type="dxa"/>
                  <w:tcBorders>
                    <w:top w:val="single" w:sz="4" w:space="0" w:color="D2C9B8"/>
                    <w:left w:val="single" w:sz="4" w:space="0" w:color="D2C9B8"/>
                    <w:bottom w:val="single" w:sz="4" w:space="0" w:color="D2C9B8"/>
                    <w:right w:val="single" w:sz="4" w:space="0" w:color="D2C9B8"/>
                  </w:tcBorders>
                </w:tcPr>
                <w:p w14:paraId="7B9C26CA" w14:textId="77777777" w:rsidR="005A5FCC" w:rsidRDefault="00A21C81">
                  <w:pPr>
                    <w:spacing w:before="20" w:after="20" w:line="240" w:lineRule="auto"/>
                    <w:jc w:val="left"/>
                  </w:pPr>
                  <w:r>
                    <w:rPr>
                      <w:rFonts w:cs="EB Garamond"/>
                      <w:kern w:val="16"/>
                      <w:sz w:val="16"/>
                      <w14:ligatures w14:val="standardContextual"/>
                    </w:rPr>
                    <w:t>³</w:t>
                  </w:r>
                </w:p>
              </w:tc>
              <w:tc>
                <w:tcPr>
                  <w:tcW w:w="577" w:type="dxa"/>
                  <w:tcBorders>
                    <w:top w:val="single" w:sz="4" w:space="0" w:color="D2C9B8"/>
                    <w:left w:val="single" w:sz="4" w:space="0" w:color="D2C9B8"/>
                    <w:bottom w:val="single" w:sz="4" w:space="0" w:color="D2C9B8"/>
                    <w:right w:val="single" w:sz="4" w:space="0" w:color="D2C9B8"/>
                  </w:tcBorders>
                </w:tcPr>
                <w:p w14:paraId="30890FC4" w14:textId="77777777" w:rsidR="005A5FCC" w:rsidRDefault="00A21C81">
                  <w:pPr>
                    <w:spacing w:before="20" w:after="20" w:line="240" w:lineRule="auto"/>
                    <w:jc w:val="left"/>
                  </w:pPr>
                  <w:r>
                    <w:rPr>
                      <w:rFonts w:cs="EB Garamond"/>
                      <w:kern w:val="16"/>
                      <w:sz w:val="16"/>
                      <w14:ligatures w14:val="standardContextual"/>
                    </w:rPr>
                    <w:t>V</w:t>
                  </w:r>
                </w:p>
              </w:tc>
            </w:tr>
            <w:tr w:rsidR="005A5FCC" w14:paraId="210FBC79" w14:textId="77777777">
              <w:trPr>
                <w:jc w:val="center"/>
              </w:trPr>
              <w:tc>
                <w:tcPr>
                  <w:tcW w:w="577" w:type="dxa"/>
                  <w:tcBorders>
                    <w:top w:val="single" w:sz="4" w:space="0" w:color="D2C9B8"/>
                    <w:left w:val="single" w:sz="4" w:space="0" w:color="D2C9B8"/>
                    <w:bottom w:val="single" w:sz="4" w:space="0" w:color="D2C9B8"/>
                    <w:right w:val="single" w:sz="4" w:space="0" w:color="D2C9B8"/>
                  </w:tcBorders>
                </w:tcPr>
                <w:p w14:paraId="37CD9339" w14:textId="77777777" w:rsidR="005A5FCC" w:rsidRDefault="00A21C81">
                  <w:pPr>
                    <w:spacing w:before="20" w:after="20" w:line="240" w:lineRule="auto"/>
                    <w:jc w:val="left"/>
                  </w:pPr>
                  <w:r>
                    <w:rPr>
                      <w:rFonts w:cs="EB Garamond"/>
                      <w:b/>
                      <w:kern w:val="16"/>
                      <w:sz w:val="16"/>
                      <w14:ligatures w14:val="standardContextual"/>
                    </w:rPr>
                    <w:t>AIT</w:t>
                  </w:r>
                </w:p>
              </w:tc>
              <w:tc>
                <w:tcPr>
                  <w:tcW w:w="577" w:type="dxa"/>
                  <w:tcBorders>
                    <w:top w:val="single" w:sz="4" w:space="0" w:color="D2C9B8"/>
                    <w:left w:val="single" w:sz="4" w:space="0" w:color="D2C9B8"/>
                    <w:bottom w:val="single" w:sz="4" w:space="0" w:color="D2C9B8"/>
                    <w:right w:val="single" w:sz="4" w:space="0" w:color="D2C9B8"/>
                  </w:tcBorders>
                </w:tcPr>
                <w:p w14:paraId="6495D330" w14:textId="77777777" w:rsidR="005A5FCC" w:rsidRDefault="00A21C81">
                  <w:pPr>
                    <w:spacing w:before="20" w:after="20" w:line="240" w:lineRule="auto"/>
                    <w:jc w:val="left"/>
                  </w:pPr>
                  <w:r>
                    <w:rPr>
                      <w:rFonts w:cs="EB Garamond"/>
                      <w:kern w:val="16"/>
                      <w:sz w:val="16"/>
                      <w14:ligatures w14:val="standardContextual"/>
                    </w:rPr>
                    <w:t>V</w:t>
                  </w:r>
                </w:p>
              </w:tc>
              <w:tc>
                <w:tcPr>
                  <w:tcW w:w="577" w:type="dxa"/>
                  <w:tcBorders>
                    <w:top w:val="single" w:sz="4" w:space="0" w:color="D2C9B8"/>
                    <w:left w:val="single" w:sz="4" w:space="0" w:color="D2C9B8"/>
                    <w:bottom w:val="single" w:sz="4" w:space="0" w:color="D2C9B8"/>
                    <w:right w:val="single" w:sz="4" w:space="0" w:color="D2C9B8"/>
                  </w:tcBorders>
                </w:tcPr>
                <w:p w14:paraId="62D3BE57" w14:textId="77777777" w:rsidR="005A5FCC" w:rsidRDefault="00A21C81">
                  <w:pPr>
                    <w:spacing w:before="20" w:after="20" w:line="240" w:lineRule="auto"/>
                    <w:jc w:val="left"/>
                  </w:pPr>
                  <w:r>
                    <w:rPr>
                      <w:rFonts w:cs="EB Garamond"/>
                      <w:kern w:val="16"/>
                      <w:sz w:val="16"/>
                      <w14:ligatures w14:val="standardContextual"/>
                    </w:rPr>
                    <w:t>V</w:t>
                  </w:r>
                </w:p>
              </w:tc>
              <w:tc>
                <w:tcPr>
                  <w:tcW w:w="577" w:type="dxa"/>
                  <w:tcBorders>
                    <w:top w:val="single" w:sz="4" w:space="0" w:color="D2C9B8"/>
                    <w:left w:val="single" w:sz="4" w:space="0" w:color="D2C9B8"/>
                    <w:bottom w:val="single" w:sz="4" w:space="0" w:color="D2C9B8"/>
                    <w:right w:val="single" w:sz="4" w:space="0" w:color="D2C9B8"/>
                  </w:tcBorders>
                </w:tcPr>
                <w:p w14:paraId="7039EAA4" w14:textId="77777777" w:rsidR="005A5FCC" w:rsidRDefault="00A21C81">
                  <w:pPr>
                    <w:spacing w:before="20" w:after="20" w:line="240" w:lineRule="auto"/>
                    <w:jc w:val="left"/>
                  </w:pPr>
                  <w:r>
                    <w:rPr>
                      <w:rFonts w:cs="EB Garamond"/>
                      <w:kern w:val="16"/>
                      <w:sz w:val="16"/>
                      <w14:ligatures w14:val="standardContextual"/>
                    </w:rPr>
                    <w:t>E</w:t>
                  </w:r>
                </w:p>
              </w:tc>
              <w:tc>
                <w:tcPr>
                  <w:tcW w:w="577" w:type="dxa"/>
                  <w:tcBorders>
                    <w:top w:val="single" w:sz="4" w:space="0" w:color="D2C9B8"/>
                    <w:left w:val="single" w:sz="4" w:space="0" w:color="D2C9B8"/>
                    <w:bottom w:val="single" w:sz="4" w:space="0" w:color="D2C9B8"/>
                    <w:right w:val="single" w:sz="4" w:space="0" w:color="D2C9B8"/>
                  </w:tcBorders>
                </w:tcPr>
                <w:p w14:paraId="78EB8A03" w14:textId="77777777" w:rsidR="005A5FCC" w:rsidRDefault="00A21C81">
                  <w:pPr>
                    <w:spacing w:before="20" w:after="20" w:line="240" w:lineRule="auto"/>
                    <w:jc w:val="left"/>
                  </w:pPr>
                  <w:r>
                    <w:rPr>
                      <w:rFonts w:cs="EB Garamond"/>
                      <w:kern w:val="16"/>
                      <w:sz w:val="16"/>
                      <w14:ligatures w14:val="standardContextual"/>
                    </w:rPr>
                    <w:t>E</w:t>
                  </w:r>
                </w:p>
              </w:tc>
              <w:tc>
                <w:tcPr>
                  <w:tcW w:w="577" w:type="dxa"/>
                  <w:tcBorders>
                    <w:top w:val="single" w:sz="4" w:space="0" w:color="D2C9B8"/>
                    <w:left w:val="single" w:sz="4" w:space="0" w:color="D2C9B8"/>
                    <w:bottom w:val="single" w:sz="4" w:space="0" w:color="D2C9B8"/>
                    <w:right w:val="single" w:sz="4" w:space="0" w:color="D2C9B8"/>
                  </w:tcBorders>
                </w:tcPr>
                <w:p w14:paraId="7F1A9FC7" w14:textId="77777777" w:rsidR="005A5FCC" w:rsidRDefault="00A21C81">
                  <w:pPr>
                    <w:spacing w:before="20" w:after="20" w:line="240" w:lineRule="auto"/>
                    <w:jc w:val="left"/>
                  </w:pPr>
                  <w:r>
                    <w:rPr>
                      <w:rFonts w:cs="EB Garamond"/>
                      <w:kern w:val="16"/>
                      <w:sz w:val="16"/>
                      <w14:ligatures w14:val="standardContextual"/>
                    </w:rPr>
                    <w:t>V⁴</w:t>
                  </w:r>
                </w:p>
              </w:tc>
              <w:tc>
                <w:tcPr>
                  <w:tcW w:w="577" w:type="dxa"/>
                  <w:tcBorders>
                    <w:top w:val="single" w:sz="4" w:space="0" w:color="D2C9B8"/>
                    <w:left w:val="single" w:sz="4" w:space="0" w:color="D2C9B8"/>
                    <w:bottom w:val="single" w:sz="4" w:space="0" w:color="D2C9B8"/>
                    <w:right w:val="single" w:sz="4" w:space="0" w:color="D2C9B8"/>
                  </w:tcBorders>
                </w:tcPr>
                <w:p w14:paraId="3B709DE3" w14:textId="77777777" w:rsidR="005A5FCC" w:rsidRDefault="00A21C81">
                  <w:pPr>
                    <w:spacing w:before="20" w:after="20" w:line="240" w:lineRule="auto"/>
                    <w:jc w:val="left"/>
                  </w:pPr>
                  <w:r>
                    <w:rPr>
                      <w:rFonts w:cs="EB Garamond"/>
                      <w:kern w:val="16"/>
                      <w:sz w:val="16"/>
                      <w14:ligatures w14:val="standardContextual"/>
                    </w:rPr>
                    <w:t>⁵</w:t>
                  </w:r>
                </w:p>
              </w:tc>
              <w:tc>
                <w:tcPr>
                  <w:tcW w:w="577" w:type="dxa"/>
                  <w:tcBorders>
                    <w:top w:val="single" w:sz="4" w:space="0" w:color="D2C9B8"/>
                    <w:left w:val="single" w:sz="4" w:space="0" w:color="D2C9B8"/>
                    <w:bottom w:val="single" w:sz="4" w:space="0" w:color="D2C9B8"/>
                    <w:right w:val="single" w:sz="4" w:space="0" w:color="D2C9B8"/>
                  </w:tcBorders>
                </w:tcPr>
                <w:p w14:paraId="6A65EC66" w14:textId="77777777" w:rsidR="005A5FCC" w:rsidRDefault="00A21C81">
                  <w:pPr>
                    <w:spacing w:before="20" w:after="20" w:line="240" w:lineRule="auto"/>
                    <w:jc w:val="left"/>
                  </w:pPr>
                  <w:r>
                    <w:rPr>
                      <w:rFonts w:cs="EB Garamond"/>
                      <w:kern w:val="16"/>
                      <w:sz w:val="16"/>
                      <w14:ligatures w14:val="standardContextual"/>
                    </w:rPr>
                    <w:t>V</w:t>
                  </w:r>
                </w:p>
              </w:tc>
              <w:tc>
                <w:tcPr>
                  <w:tcW w:w="577" w:type="dxa"/>
                  <w:tcBorders>
                    <w:top w:val="single" w:sz="4" w:space="0" w:color="D2C9B8"/>
                    <w:left w:val="single" w:sz="4" w:space="0" w:color="D2C9B8"/>
                    <w:bottom w:val="single" w:sz="4" w:space="0" w:color="D2C9B8"/>
                    <w:right w:val="single" w:sz="4" w:space="0" w:color="D2C9B8"/>
                  </w:tcBorders>
                </w:tcPr>
                <w:p w14:paraId="632AE436" w14:textId="77777777" w:rsidR="005A5FCC" w:rsidRDefault="00A21C81">
                  <w:pPr>
                    <w:spacing w:before="20" w:after="20" w:line="240" w:lineRule="auto"/>
                    <w:jc w:val="left"/>
                  </w:pPr>
                  <w:r>
                    <w:rPr>
                      <w:rFonts w:cs="EB Garamond"/>
                      <w:kern w:val="16"/>
                      <w:sz w:val="16"/>
                      <w14:ligatures w14:val="standardContextual"/>
                    </w:rPr>
                    <w:t>P</w:t>
                  </w:r>
                </w:p>
              </w:tc>
              <w:tc>
                <w:tcPr>
                  <w:tcW w:w="577" w:type="dxa"/>
                  <w:tcBorders>
                    <w:top w:val="single" w:sz="4" w:space="0" w:color="D2C9B8"/>
                    <w:left w:val="single" w:sz="4" w:space="0" w:color="D2C9B8"/>
                    <w:bottom w:val="single" w:sz="4" w:space="0" w:color="D2C9B8"/>
                    <w:right w:val="single" w:sz="4" w:space="0" w:color="D2C9B8"/>
                  </w:tcBorders>
                </w:tcPr>
                <w:p w14:paraId="7F81DFAD" w14:textId="77777777" w:rsidR="005A5FCC" w:rsidRDefault="00A21C81">
                  <w:pPr>
                    <w:spacing w:before="20" w:after="20" w:line="240" w:lineRule="auto"/>
                    <w:jc w:val="left"/>
                  </w:pPr>
                  <w:r>
                    <w:rPr>
                      <w:rFonts w:cs="EB Garamond"/>
                      <w:kern w:val="16"/>
                      <w:sz w:val="16"/>
                      <w14:ligatures w14:val="standardContextual"/>
                    </w:rPr>
                    <w:t>—</w:t>
                  </w:r>
                </w:p>
              </w:tc>
              <w:tc>
                <w:tcPr>
                  <w:tcW w:w="577" w:type="dxa"/>
                  <w:tcBorders>
                    <w:top w:val="single" w:sz="4" w:space="0" w:color="D2C9B8"/>
                    <w:left w:val="single" w:sz="4" w:space="0" w:color="D2C9B8"/>
                    <w:bottom w:val="single" w:sz="4" w:space="0" w:color="D2C9B8"/>
                    <w:right w:val="single" w:sz="4" w:space="0" w:color="D2C9B8"/>
                  </w:tcBorders>
                </w:tcPr>
                <w:p w14:paraId="346EFDEA" w14:textId="77777777" w:rsidR="005A5FCC" w:rsidRDefault="00A21C81">
                  <w:pPr>
                    <w:spacing w:before="20" w:after="20" w:line="240" w:lineRule="auto"/>
                    <w:jc w:val="left"/>
                  </w:pPr>
                  <w:r>
                    <w:rPr>
                      <w:rFonts w:cs="EB Garamond"/>
                      <w:kern w:val="16"/>
                      <w:sz w:val="16"/>
                      <w14:ligatures w14:val="standardContextual"/>
                    </w:rPr>
                    <w:t>V</w:t>
                  </w:r>
                </w:p>
              </w:tc>
            </w:tr>
            <w:tr w:rsidR="005A5FCC" w14:paraId="78743F96" w14:textId="77777777">
              <w:trPr>
                <w:jc w:val="center"/>
              </w:trPr>
              <w:tc>
                <w:tcPr>
                  <w:tcW w:w="577" w:type="dxa"/>
                  <w:tcBorders>
                    <w:top w:val="single" w:sz="4" w:space="0" w:color="D2C9B8"/>
                    <w:left w:val="single" w:sz="4" w:space="0" w:color="D2C9B8"/>
                    <w:bottom w:val="single" w:sz="4" w:space="0" w:color="D2C9B8"/>
                    <w:right w:val="single" w:sz="4" w:space="0" w:color="D2C9B8"/>
                  </w:tcBorders>
                </w:tcPr>
                <w:p w14:paraId="73BE25DA" w14:textId="77777777" w:rsidR="005A5FCC" w:rsidRDefault="00A21C81">
                  <w:pPr>
                    <w:spacing w:before="20" w:after="20" w:line="240" w:lineRule="auto"/>
                    <w:jc w:val="left"/>
                  </w:pPr>
                  <w:r>
                    <w:rPr>
                      <w:rFonts w:cs="EB Garamond"/>
                      <w:b/>
                      <w:kern w:val="16"/>
                      <w:sz w:val="16"/>
                      <w14:ligatures w14:val="standardContextual"/>
                    </w:rPr>
                    <w:t>AA</w:t>
                  </w:r>
                </w:p>
              </w:tc>
              <w:tc>
                <w:tcPr>
                  <w:tcW w:w="577" w:type="dxa"/>
                  <w:tcBorders>
                    <w:top w:val="single" w:sz="4" w:space="0" w:color="D2C9B8"/>
                    <w:left w:val="single" w:sz="4" w:space="0" w:color="D2C9B8"/>
                    <w:bottom w:val="single" w:sz="4" w:space="0" w:color="D2C9B8"/>
                    <w:right w:val="single" w:sz="4" w:space="0" w:color="D2C9B8"/>
                  </w:tcBorders>
                </w:tcPr>
                <w:p w14:paraId="60BF095D" w14:textId="77777777" w:rsidR="005A5FCC" w:rsidRDefault="00A21C81">
                  <w:pPr>
                    <w:spacing w:before="20" w:after="20" w:line="240" w:lineRule="auto"/>
                    <w:jc w:val="left"/>
                  </w:pPr>
                  <w:r>
                    <w:rPr>
                      <w:rFonts w:cs="EB Garamond"/>
                      <w:kern w:val="16"/>
                      <w:sz w:val="16"/>
                      <w14:ligatures w14:val="standardContextual"/>
                    </w:rPr>
                    <w:t>V/DA¹</w:t>
                  </w:r>
                </w:p>
              </w:tc>
              <w:tc>
                <w:tcPr>
                  <w:tcW w:w="577" w:type="dxa"/>
                  <w:tcBorders>
                    <w:top w:val="single" w:sz="4" w:space="0" w:color="D2C9B8"/>
                    <w:left w:val="single" w:sz="4" w:space="0" w:color="D2C9B8"/>
                    <w:bottom w:val="single" w:sz="4" w:space="0" w:color="D2C9B8"/>
                    <w:right w:val="single" w:sz="4" w:space="0" w:color="D2C9B8"/>
                  </w:tcBorders>
                </w:tcPr>
                <w:p w14:paraId="1BD727A7" w14:textId="77777777" w:rsidR="005A5FCC" w:rsidRDefault="00A21C81">
                  <w:pPr>
                    <w:spacing w:before="20" w:after="20" w:line="240" w:lineRule="auto"/>
                    <w:jc w:val="left"/>
                  </w:pPr>
                  <w:r>
                    <w:rPr>
                      <w:rFonts w:cs="EB Garamond"/>
                      <w:kern w:val="16"/>
                      <w:sz w:val="16"/>
                      <w14:ligatures w14:val="standardContextual"/>
                    </w:rPr>
                    <w:t>E</w:t>
                  </w:r>
                </w:p>
              </w:tc>
              <w:tc>
                <w:tcPr>
                  <w:tcW w:w="577" w:type="dxa"/>
                  <w:tcBorders>
                    <w:top w:val="single" w:sz="4" w:space="0" w:color="D2C9B8"/>
                    <w:left w:val="single" w:sz="4" w:space="0" w:color="D2C9B8"/>
                    <w:bottom w:val="single" w:sz="4" w:space="0" w:color="D2C9B8"/>
                    <w:right w:val="single" w:sz="4" w:space="0" w:color="D2C9B8"/>
                  </w:tcBorders>
                </w:tcPr>
                <w:p w14:paraId="2818F69B" w14:textId="77777777" w:rsidR="005A5FCC" w:rsidRDefault="00A21C81">
                  <w:pPr>
                    <w:spacing w:before="20" w:after="20" w:line="240" w:lineRule="auto"/>
                    <w:jc w:val="left"/>
                  </w:pPr>
                  <w:r>
                    <w:rPr>
                      <w:rFonts w:cs="EB Garamond"/>
                      <w:kern w:val="16"/>
                      <w:sz w:val="16"/>
                      <w14:ligatures w14:val="standardContextual"/>
                    </w:rPr>
                    <w:t>E</w:t>
                  </w:r>
                </w:p>
              </w:tc>
              <w:tc>
                <w:tcPr>
                  <w:tcW w:w="577" w:type="dxa"/>
                  <w:tcBorders>
                    <w:top w:val="single" w:sz="4" w:space="0" w:color="D2C9B8"/>
                    <w:left w:val="single" w:sz="4" w:space="0" w:color="D2C9B8"/>
                    <w:bottom w:val="single" w:sz="4" w:space="0" w:color="D2C9B8"/>
                    <w:right w:val="single" w:sz="4" w:space="0" w:color="D2C9B8"/>
                  </w:tcBorders>
                </w:tcPr>
                <w:p w14:paraId="60B94FFB" w14:textId="77777777" w:rsidR="005A5FCC" w:rsidRDefault="00A21C81">
                  <w:pPr>
                    <w:spacing w:before="20" w:after="20" w:line="240" w:lineRule="auto"/>
                    <w:jc w:val="left"/>
                  </w:pPr>
                  <w:r>
                    <w:rPr>
                      <w:rFonts w:cs="EB Garamond"/>
                      <w:kern w:val="16"/>
                      <w:sz w:val="16"/>
                      <w14:ligatures w14:val="standardContextual"/>
                    </w:rPr>
                    <w:t>E</w:t>
                  </w:r>
                </w:p>
              </w:tc>
              <w:tc>
                <w:tcPr>
                  <w:tcW w:w="577" w:type="dxa"/>
                  <w:tcBorders>
                    <w:top w:val="single" w:sz="4" w:space="0" w:color="D2C9B8"/>
                    <w:left w:val="single" w:sz="4" w:space="0" w:color="D2C9B8"/>
                    <w:bottom w:val="single" w:sz="4" w:space="0" w:color="D2C9B8"/>
                    <w:right w:val="single" w:sz="4" w:space="0" w:color="D2C9B8"/>
                  </w:tcBorders>
                </w:tcPr>
                <w:p w14:paraId="403E2873" w14:textId="77777777" w:rsidR="005A5FCC" w:rsidRDefault="00A21C81">
                  <w:pPr>
                    <w:spacing w:before="20" w:after="20" w:line="240" w:lineRule="auto"/>
                    <w:jc w:val="left"/>
                  </w:pPr>
                  <w:r>
                    <w:rPr>
                      <w:rFonts w:cs="EB Garamond"/>
                      <w:kern w:val="16"/>
                      <w:sz w:val="16"/>
                      <w14:ligatures w14:val="standardContextual"/>
                    </w:rPr>
                    <w:t>⁵</w:t>
                  </w:r>
                </w:p>
              </w:tc>
              <w:tc>
                <w:tcPr>
                  <w:tcW w:w="577" w:type="dxa"/>
                  <w:tcBorders>
                    <w:top w:val="single" w:sz="4" w:space="0" w:color="D2C9B8"/>
                    <w:left w:val="single" w:sz="4" w:space="0" w:color="D2C9B8"/>
                    <w:bottom w:val="single" w:sz="4" w:space="0" w:color="D2C9B8"/>
                    <w:right w:val="single" w:sz="4" w:space="0" w:color="D2C9B8"/>
                  </w:tcBorders>
                </w:tcPr>
                <w:p w14:paraId="2BA29C92" w14:textId="77777777" w:rsidR="005A5FCC" w:rsidRDefault="00A21C81">
                  <w:pPr>
                    <w:spacing w:before="20" w:after="20" w:line="240" w:lineRule="auto"/>
                    <w:jc w:val="left"/>
                  </w:pPr>
                  <w:r>
                    <w:rPr>
                      <w:rFonts w:cs="EB Garamond"/>
                      <w:kern w:val="16"/>
                      <w:sz w:val="16"/>
                      <w14:ligatures w14:val="standardContextual"/>
                    </w:rPr>
                    <w:t>V⁶</w:t>
                  </w:r>
                </w:p>
              </w:tc>
              <w:tc>
                <w:tcPr>
                  <w:tcW w:w="577" w:type="dxa"/>
                  <w:tcBorders>
                    <w:top w:val="single" w:sz="4" w:space="0" w:color="D2C9B8"/>
                    <w:left w:val="single" w:sz="4" w:space="0" w:color="D2C9B8"/>
                    <w:bottom w:val="single" w:sz="4" w:space="0" w:color="D2C9B8"/>
                    <w:right w:val="single" w:sz="4" w:space="0" w:color="D2C9B8"/>
                  </w:tcBorders>
                </w:tcPr>
                <w:p w14:paraId="185D49E2" w14:textId="77777777" w:rsidR="005A5FCC" w:rsidRDefault="00A21C81">
                  <w:pPr>
                    <w:spacing w:before="20" w:after="20" w:line="240" w:lineRule="auto"/>
                    <w:jc w:val="left"/>
                  </w:pPr>
                  <w:r>
                    <w:rPr>
                      <w:rFonts w:cs="EB Garamond"/>
                      <w:kern w:val="16"/>
                      <w:sz w:val="16"/>
                      <w14:ligatures w14:val="standardContextual"/>
                    </w:rPr>
                    <w:t>P</w:t>
                  </w:r>
                </w:p>
              </w:tc>
              <w:tc>
                <w:tcPr>
                  <w:tcW w:w="577" w:type="dxa"/>
                  <w:tcBorders>
                    <w:top w:val="single" w:sz="4" w:space="0" w:color="D2C9B8"/>
                    <w:left w:val="single" w:sz="4" w:space="0" w:color="D2C9B8"/>
                    <w:bottom w:val="single" w:sz="4" w:space="0" w:color="D2C9B8"/>
                    <w:right w:val="single" w:sz="4" w:space="0" w:color="D2C9B8"/>
                  </w:tcBorders>
                </w:tcPr>
                <w:p w14:paraId="4DE82975" w14:textId="77777777" w:rsidR="005A5FCC" w:rsidRDefault="00A21C81">
                  <w:pPr>
                    <w:spacing w:before="20" w:after="20" w:line="240" w:lineRule="auto"/>
                    <w:jc w:val="left"/>
                  </w:pPr>
                  <w:r>
                    <w:rPr>
                      <w:rFonts w:cs="EB Garamond"/>
                      <w:kern w:val="16"/>
                      <w:sz w:val="16"/>
                      <w14:ligatures w14:val="standardContextual"/>
                    </w:rPr>
                    <w:t>P</w:t>
                  </w:r>
                </w:p>
              </w:tc>
              <w:tc>
                <w:tcPr>
                  <w:tcW w:w="577" w:type="dxa"/>
                  <w:tcBorders>
                    <w:top w:val="single" w:sz="4" w:space="0" w:color="D2C9B8"/>
                    <w:left w:val="single" w:sz="4" w:space="0" w:color="D2C9B8"/>
                    <w:bottom w:val="single" w:sz="4" w:space="0" w:color="D2C9B8"/>
                    <w:right w:val="single" w:sz="4" w:space="0" w:color="D2C9B8"/>
                  </w:tcBorders>
                </w:tcPr>
                <w:p w14:paraId="5E8B5CD9" w14:textId="77777777" w:rsidR="005A5FCC" w:rsidRDefault="00A21C81">
                  <w:pPr>
                    <w:spacing w:before="20" w:after="20" w:line="240" w:lineRule="auto"/>
                    <w:jc w:val="left"/>
                  </w:pPr>
                  <w:r>
                    <w:rPr>
                      <w:rFonts w:cs="EB Garamond"/>
                      <w:kern w:val="16"/>
                      <w:sz w:val="16"/>
                      <w14:ligatures w14:val="standardContextual"/>
                    </w:rPr>
                    <w:t>—</w:t>
                  </w:r>
                </w:p>
              </w:tc>
              <w:tc>
                <w:tcPr>
                  <w:tcW w:w="577" w:type="dxa"/>
                  <w:tcBorders>
                    <w:top w:val="single" w:sz="4" w:space="0" w:color="D2C9B8"/>
                    <w:left w:val="single" w:sz="4" w:space="0" w:color="D2C9B8"/>
                    <w:bottom w:val="single" w:sz="4" w:space="0" w:color="D2C9B8"/>
                    <w:right w:val="single" w:sz="4" w:space="0" w:color="D2C9B8"/>
                  </w:tcBorders>
                </w:tcPr>
                <w:p w14:paraId="2375C787" w14:textId="77777777" w:rsidR="005A5FCC" w:rsidRDefault="00A21C81">
                  <w:pPr>
                    <w:spacing w:before="20" w:after="20" w:line="240" w:lineRule="auto"/>
                    <w:jc w:val="left"/>
                  </w:pPr>
                  <w:r>
                    <w:rPr>
                      <w:rFonts w:cs="EB Garamond"/>
                      <w:kern w:val="16"/>
                      <w:sz w:val="16"/>
                      <w14:ligatures w14:val="standardContextual"/>
                    </w:rPr>
                    <w:t>V</w:t>
                  </w:r>
                </w:p>
              </w:tc>
            </w:tr>
            <w:tr w:rsidR="005A5FCC" w14:paraId="749F7BDC" w14:textId="77777777">
              <w:trPr>
                <w:jc w:val="center"/>
              </w:trPr>
              <w:tc>
                <w:tcPr>
                  <w:tcW w:w="577" w:type="dxa"/>
                  <w:tcBorders>
                    <w:top w:val="single" w:sz="4" w:space="0" w:color="D2C9B8"/>
                    <w:left w:val="single" w:sz="4" w:space="0" w:color="D2C9B8"/>
                    <w:bottom w:val="single" w:sz="4" w:space="0" w:color="D2C9B8"/>
                    <w:right w:val="single" w:sz="4" w:space="0" w:color="D2C9B8"/>
                  </w:tcBorders>
                </w:tcPr>
                <w:p w14:paraId="1EB84A84" w14:textId="77777777" w:rsidR="005A5FCC" w:rsidRDefault="00A21C81">
                  <w:pPr>
                    <w:spacing w:before="20" w:after="20" w:line="240" w:lineRule="auto"/>
                    <w:jc w:val="left"/>
                  </w:pPr>
                  <w:r>
                    <w:rPr>
                      <w:rFonts w:cs="EB Garamond"/>
                      <w:b/>
                      <w:kern w:val="16"/>
                      <w:sz w:val="16"/>
                      <w14:ligatures w14:val="standardContextual"/>
                    </w:rPr>
                    <w:t>SM</w:t>
                  </w:r>
                </w:p>
              </w:tc>
              <w:tc>
                <w:tcPr>
                  <w:tcW w:w="577" w:type="dxa"/>
                  <w:tcBorders>
                    <w:top w:val="single" w:sz="4" w:space="0" w:color="D2C9B8"/>
                    <w:left w:val="single" w:sz="4" w:space="0" w:color="D2C9B8"/>
                    <w:bottom w:val="single" w:sz="4" w:space="0" w:color="D2C9B8"/>
                    <w:right w:val="single" w:sz="4" w:space="0" w:color="D2C9B8"/>
                  </w:tcBorders>
                </w:tcPr>
                <w:p w14:paraId="1F0F6885" w14:textId="77777777" w:rsidR="005A5FCC" w:rsidRDefault="00A21C81">
                  <w:pPr>
                    <w:spacing w:before="20" w:after="20" w:line="240" w:lineRule="auto"/>
                    <w:jc w:val="left"/>
                  </w:pPr>
                  <w:r>
                    <w:rPr>
                      <w:rFonts w:cs="EB Garamond"/>
                      <w:kern w:val="16"/>
                      <w:sz w:val="16"/>
                      <w14:ligatures w14:val="standardContextual"/>
                    </w:rPr>
                    <w:t>V</w:t>
                  </w:r>
                </w:p>
              </w:tc>
              <w:tc>
                <w:tcPr>
                  <w:tcW w:w="577" w:type="dxa"/>
                  <w:tcBorders>
                    <w:top w:val="single" w:sz="4" w:space="0" w:color="D2C9B8"/>
                    <w:left w:val="single" w:sz="4" w:space="0" w:color="D2C9B8"/>
                    <w:bottom w:val="single" w:sz="4" w:space="0" w:color="D2C9B8"/>
                    <w:right w:val="single" w:sz="4" w:space="0" w:color="D2C9B8"/>
                  </w:tcBorders>
                </w:tcPr>
                <w:p w14:paraId="2D29837E" w14:textId="77777777" w:rsidR="005A5FCC" w:rsidRDefault="00A21C81">
                  <w:pPr>
                    <w:spacing w:before="20" w:after="20" w:line="240" w:lineRule="auto"/>
                    <w:jc w:val="left"/>
                  </w:pPr>
                  <w:r>
                    <w:rPr>
                      <w:rFonts w:cs="EB Garamond"/>
                      <w:kern w:val="16"/>
                      <w:sz w:val="16"/>
                      <w14:ligatures w14:val="standardContextual"/>
                    </w:rPr>
                    <w:t>V</w:t>
                  </w:r>
                </w:p>
              </w:tc>
              <w:tc>
                <w:tcPr>
                  <w:tcW w:w="577" w:type="dxa"/>
                  <w:tcBorders>
                    <w:top w:val="single" w:sz="4" w:space="0" w:color="D2C9B8"/>
                    <w:left w:val="single" w:sz="4" w:space="0" w:color="D2C9B8"/>
                    <w:bottom w:val="single" w:sz="4" w:space="0" w:color="D2C9B8"/>
                    <w:right w:val="single" w:sz="4" w:space="0" w:color="D2C9B8"/>
                  </w:tcBorders>
                </w:tcPr>
                <w:p w14:paraId="2CA65610" w14:textId="77777777" w:rsidR="005A5FCC" w:rsidRDefault="00A21C81">
                  <w:pPr>
                    <w:spacing w:before="20" w:after="20" w:line="240" w:lineRule="auto"/>
                    <w:jc w:val="left"/>
                  </w:pPr>
                  <w:r>
                    <w:rPr>
                      <w:rFonts w:cs="EB Garamond"/>
                      <w:kern w:val="16"/>
                      <w:sz w:val="16"/>
                      <w14:ligatures w14:val="standardContextual"/>
                    </w:rPr>
                    <w:t>P</w:t>
                  </w:r>
                </w:p>
              </w:tc>
              <w:tc>
                <w:tcPr>
                  <w:tcW w:w="577" w:type="dxa"/>
                  <w:tcBorders>
                    <w:top w:val="single" w:sz="4" w:space="0" w:color="D2C9B8"/>
                    <w:left w:val="single" w:sz="4" w:space="0" w:color="D2C9B8"/>
                    <w:bottom w:val="single" w:sz="4" w:space="0" w:color="D2C9B8"/>
                    <w:right w:val="single" w:sz="4" w:space="0" w:color="D2C9B8"/>
                  </w:tcBorders>
                </w:tcPr>
                <w:p w14:paraId="04405CC3" w14:textId="77777777" w:rsidR="005A5FCC" w:rsidRDefault="00A21C81">
                  <w:pPr>
                    <w:spacing w:before="20" w:after="20" w:line="240" w:lineRule="auto"/>
                    <w:jc w:val="left"/>
                  </w:pPr>
                  <w:r>
                    <w:rPr>
                      <w:rFonts w:cs="EB Garamond"/>
                      <w:kern w:val="16"/>
                      <w:sz w:val="16"/>
                      <w14:ligatures w14:val="standardContextual"/>
                    </w:rPr>
                    <w:t>P</w:t>
                  </w:r>
                </w:p>
              </w:tc>
              <w:tc>
                <w:tcPr>
                  <w:tcW w:w="577" w:type="dxa"/>
                  <w:tcBorders>
                    <w:top w:val="single" w:sz="4" w:space="0" w:color="D2C9B8"/>
                    <w:left w:val="single" w:sz="4" w:space="0" w:color="D2C9B8"/>
                    <w:bottom w:val="single" w:sz="4" w:space="0" w:color="D2C9B8"/>
                    <w:right w:val="single" w:sz="4" w:space="0" w:color="D2C9B8"/>
                  </w:tcBorders>
                </w:tcPr>
                <w:p w14:paraId="34335A1D" w14:textId="77777777" w:rsidR="005A5FCC" w:rsidRDefault="00A21C81">
                  <w:pPr>
                    <w:spacing w:before="20" w:after="20" w:line="240" w:lineRule="auto"/>
                    <w:jc w:val="left"/>
                  </w:pPr>
                  <w:r>
                    <w:rPr>
                      <w:rFonts w:cs="EB Garamond"/>
                      <w:kern w:val="16"/>
                      <w:sz w:val="16"/>
                      <w14:ligatures w14:val="standardContextual"/>
                    </w:rPr>
                    <w:t>V</w:t>
                  </w:r>
                </w:p>
              </w:tc>
              <w:tc>
                <w:tcPr>
                  <w:tcW w:w="577" w:type="dxa"/>
                  <w:tcBorders>
                    <w:top w:val="single" w:sz="4" w:space="0" w:color="D2C9B8"/>
                    <w:left w:val="single" w:sz="4" w:space="0" w:color="D2C9B8"/>
                    <w:bottom w:val="single" w:sz="4" w:space="0" w:color="D2C9B8"/>
                    <w:right w:val="single" w:sz="4" w:space="0" w:color="D2C9B8"/>
                  </w:tcBorders>
                </w:tcPr>
                <w:p w14:paraId="3114E9FF" w14:textId="77777777" w:rsidR="005A5FCC" w:rsidRDefault="00A21C81">
                  <w:pPr>
                    <w:spacing w:before="20" w:after="20" w:line="240" w:lineRule="auto"/>
                    <w:jc w:val="left"/>
                  </w:pPr>
                  <w:r>
                    <w:rPr>
                      <w:rFonts w:cs="EB Garamond"/>
                      <w:kern w:val="16"/>
                      <w:sz w:val="16"/>
                      <w14:ligatures w14:val="standardContextual"/>
                    </w:rPr>
                    <w:t>P</w:t>
                  </w:r>
                </w:p>
              </w:tc>
              <w:tc>
                <w:tcPr>
                  <w:tcW w:w="577" w:type="dxa"/>
                  <w:tcBorders>
                    <w:top w:val="single" w:sz="4" w:space="0" w:color="D2C9B8"/>
                    <w:left w:val="single" w:sz="4" w:space="0" w:color="D2C9B8"/>
                    <w:bottom w:val="single" w:sz="4" w:space="0" w:color="D2C9B8"/>
                    <w:right w:val="single" w:sz="4" w:space="0" w:color="D2C9B8"/>
                  </w:tcBorders>
                </w:tcPr>
                <w:p w14:paraId="0A619EDA" w14:textId="77777777" w:rsidR="005A5FCC" w:rsidRDefault="00A21C81">
                  <w:pPr>
                    <w:spacing w:before="20" w:after="20" w:line="240" w:lineRule="auto"/>
                    <w:jc w:val="left"/>
                  </w:pPr>
                  <w:r>
                    <w:rPr>
                      <w:rFonts w:cs="EB Garamond"/>
                      <w:kern w:val="16"/>
                      <w:sz w:val="16"/>
                      <w14:ligatures w14:val="standardContextual"/>
                    </w:rPr>
                    <w:t>—</w:t>
                  </w:r>
                </w:p>
              </w:tc>
              <w:tc>
                <w:tcPr>
                  <w:tcW w:w="577" w:type="dxa"/>
                  <w:tcBorders>
                    <w:top w:val="single" w:sz="4" w:space="0" w:color="D2C9B8"/>
                    <w:left w:val="single" w:sz="4" w:space="0" w:color="D2C9B8"/>
                    <w:bottom w:val="single" w:sz="4" w:space="0" w:color="D2C9B8"/>
                    <w:right w:val="single" w:sz="4" w:space="0" w:color="D2C9B8"/>
                  </w:tcBorders>
                </w:tcPr>
                <w:p w14:paraId="5E17C20C" w14:textId="77777777" w:rsidR="005A5FCC" w:rsidRDefault="00A21C81">
                  <w:pPr>
                    <w:spacing w:before="20" w:after="20" w:line="240" w:lineRule="auto"/>
                    <w:jc w:val="left"/>
                  </w:pPr>
                  <w:r>
                    <w:rPr>
                      <w:rFonts w:cs="EB Garamond"/>
                      <w:kern w:val="16"/>
                      <w:sz w:val="16"/>
                      <w14:ligatures w14:val="standardContextual"/>
                    </w:rPr>
                    <w:t>P</w:t>
                  </w:r>
                </w:p>
              </w:tc>
              <w:tc>
                <w:tcPr>
                  <w:tcW w:w="577" w:type="dxa"/>
                  <w:tcBorders>
                    <w:top w:val="single" w:sz="4" w:space="0" w:color="D2C9B8"/>
                    <w:left w:val="single" w:sz="4" w:space="0" w:color="D2C9B8"/>
                    <w:bottom w:val="single" w:sz="4" w:space="0" w:color="D2C9B8"/>
                    <w:right w:val="single" w:sz="4" w:space="0" w:color="D2C9B8"/>
                  </w:tcBorders>
                </w:tcPr>
                <w:p w14:paraId="507C30AF" w14:textId="77777777" w:rsidR="005A5FCC" w:rsidRDefault="00A21C81">
                  <w:pPr>
                    <w:spacing w:before="20" w:after="20" w:line="240" w:lineRule="auto"/>
                    <w:jc w:val="left"/>
                  </w:pPr>
                  <w:r>
                    <w:rPr>
                      <w:rFonts w:cs="EB Garamond"/>
                      <w:kern w:val="16"/>
                      <w:sz w:val="16"/>
                      <w14:ligatures w14:val="standardContextual"/>
                    </w:rPr>
                    <w:t>P</w:t>
                  </w:r>
                </w:p>
              </w:tc>
              <w:tc>
                <w:tcPr>
                  <w:tcW w:w="577" w:type="dxa"/>
                  <w:tcBorders>
                    <w:top w:val="single" w:sz="4" w:space="0" w:color="D2C9B8"/>
                    <w:left w:val="single" w:sz="4" w:space="0" w:color="D2C9B8"/>
                    <w:bottom w:val="single" w:sz="4" w:space="0" w:color="D2C9B8"/>
                    <w:right w:val="single" w:sz="4" w:space="0" w:color="D2C9B8"/>
                  </w:tcBorders>
                </w:tcPr>
                <w:p w14:paraId="476479BF" w14:textId="77777777" w:rsidR="005A5FCC" w:rsidRDefault="00A21C81">
                  <w:pPr>
                    <w:spacing w:before="20" w:after="20" w:line="240" w:lineRule="auto"/>
                    <w:jc w:val="left"/>
                  </w:pPr>
                  <w:r>
                    <w:rPr>
                      <w:rFonts w:cs="EB Garamond"/>
                      <w:kern w:val="16"/>
                      <w:sz w:val="16"/>
                      <w14:ligatures w14:val="standardContextual"/>
                    </w:rPr>
                    <w:t>V</w:t>
                  </w:r>
                </w:p>
              </w:tc>
            </w:tr>
            <w:tr w:rsidR="005A5FCC" w14:paraId="512382E9" w14:textId="77777777">
              <w:trPr>
                <w:jc w:val="center"/>
              </w:trPr>
              <w:tc>
                <w:tcPr>
                  <w:tcW w:w="577" w:type="dxa"/>
                  <w:tcBorders>
                    <w:top w:val="single" w:sz="4" w:space="0" w:color="D2C9B8"/>
                    <w:left w:val="single" w:sz="4" w:space="0" w:color="D2C9B8"/>
                    <w:bottom w:val="single" w:sz="4" w:space="0" w:color="D2C9B8"/>
                    <w:right w:val="single" w:sz="4" w:space="0" w:color="D2C9B8"/>
                  </w:tcBorders>
                </w:tcPr>
                <w:p w14:paraId="255FA135" w14:textId="77777777" w:rsidR="005A5FCC" w:rsidRDefault="00A21C81">
                  <w:pPr>
                    <w:spacing w:before="20" w:after="20" w:line="240" w:lineRule="auto"/>
                    <w:jc w:val="left"/>
                  </w:pPr>
                  <w:r>
                    <w:rPr>
                      <w:rFonts w:cs="EB Garamond"/>
                      <w:b/>
                      <w:kern w:val="16"/>
                      <w:sz w:val="16"/>
                      <w14:ligatures w14:val="standardContextual"/>
                    </w:rPr>
                    <w:t>SF</w:t>
                  </w:r>
                </w:p>
              </w:tc>
              <w:tc>
                <w:tcPr>
                  <w:tcW w:w="577" w:type="dxa"/>
                  <w:tcBorders>
                    <w:top w:val="single" w:sz="4" w:space="0" w:color="D2C9B8"/>
                    <w:left w:val="single" w:sz="4" w:space="0" w:color="D2C9B8"/>
                    <w:bottom w:val="single" w:sz="4" w:space="0" w:color="D2C9B8"/>
                    <w:right w:val="single" w:sz="4" w:space="0" w:color="D2C9B8"/>
                  </w:tcBorders>
                </w:tcPr>
                <w:p w14:paraId="60B83283" w14:textId="77777777" w:rsidR="005A5FCC" w:rsidRDefault="00A21C81">
                  <w:pPr>
                    <w:spacing w:before="20" w:after="20" w:line="240" w:lineRule="auto"/>
                    <w:jc w:val="left"/>
                  </w:pPr>
                  <w:r>
                    <w:rPr>
                      <w:rFonts w:cs="EB Garamond"/>
                      <w:kern w:val="16"/>
                      <w:sz w:val="16"/>
                      <w14:ligatures w14:val="standardContextual"/>
                    </w:rPr>
                    <w:t>P</w:t>
                  </w:r>
                </w:p>
              </w:tc>
              <w:tc>
                <w:tcPr>
                  <w:tcW w:w="577" w:type="dxa"/>
                  <w:tcBorders>
                    <w:top w:val="single" w:sz="4" w:space="0" w:color="D2C9B8"/>
                    <w:left w:val="single" w:sz="4" w:space="0" w:color="D2C9B8"/>
                    <w:bottom w:val="single" w:sz="4" w:space="0" w:color="D2C9B8"/>
                    <w:right w:val="single" w:sz="4" w:space="0" w:color="D2C9B8"/>
                  </w:tcBorders>
                </w:tcPr>
                <w:p w14:paraId="1576B7A4" w14:textId="77777777" w:rsidR="005A5FCC" w:rsidRDefault="00A21C81">
                  <w:pPr>
                    <w:spacing w:before="20" w:after="20" w:line="240" w:lineRule="auto"/>
                    <w:jc w:val="left"/>
                  </w:pPr>
                  <w:r>
                    <w:rPr>
                      <w:rFonts w:cs="EB Garamond"/>
                      <w:kern w:val="16"/>
                      <w:sz w:val="16"/>
                      <w14:ligatures w14:val="standardContextual"/>
                    </w:rPr>
                    <w:t>P</w:t>
                  </w:r>
                </w:p>
              </w:tc>
              <w:tc>
                <w:tcPr>
                  <w:tcW w:w="577" w:type="dxa"/>
                  <w:tcBorders>
                    <w:top w:val="single" w:sz="4" w:space="0" w:color="D2C9B8"/>
                    <w:left w:val="single" w:sz="4" w:space="0" w:color="D2C9B8"/>
                    <w:bottom w:val="single" w:sz="4" w:space="0" w:color="D2C9B8"/>
                    <w:right w:val="single" w:sz="4" w:space="0" w:color="D2C9B8"/>
                  </w:tcBorders>
                </w:tcPr>
                <w:p w14:paraId="066FBF36" w14:textId="77777777" w:rsidR="005A5FCC" w:rsidRDefault="00A21C81">
                  <w:pPr>
                    <w:spacing w:before="20" w:after="20" w:line="240" w:lineRule="auto"/>
                    <w:jc w:val="left"/>
                  </w:pPr>
                  <w:r>
                    <w:rPr>
                      <w:rFonts w:cs="EB Garamond"/>
                      <w:kern w:val="16"/>
                      <w:sz w:val="16"/>
                      <w14:ligatures w14:val="standardContextual"/>
                    </w:rPr>
                    <w:t>P</w:t>
                  </w:r>
                </w:p>
              </w:tc>
              <w:tc>
                <w:tcPr>
                  <w:tcW w:w="577" w:type="dxa"/>
                  <w:tcBorders>
                    <w:top w:val="single" w:sz="4" w:space="0" w:color="D2C9B8"/>
                    <w:left w:val="single" w:sz="4" w:space="0" w:color="D2C9B8"/>
                    <w:bottom w:val="single" w:sz="4" w:space="0" w:color="D2C9B8"/>
                    <w:right w:val="single" w:sz="4" w:space="0" w:color="D2C9B8"/>
                  </w:tcBorders>
                </w:tcPr>
                <w:p w14:paraId="080729AD" w14:textId="77777777" w:rsidR="005A5FCC" w:rsidRDefault="00A21C81">
                  <w:pPr>
                    <w:spacing w:before="20" w:after="20" w:line="240" w:lineRule="auto"/>
                    <w:jc w:val="left"/>
                  </w:pPr>
                  <w:r>
                    <w:rPr>
                      <w:rFonts w:cs="EB Garamond"/>
                      <w:kern w:val="16"/>
                      <w:sz w:val="16"/>
                      <w14:ligatures w14:val="standardContextual"/>
                    </w:rPr>
                    <w:t>P</w:t>
                  </w:r>
                </w:p>
              </w:tc>
              <w:tc>
                <w:tcPr>
                  <w:tcW w:w="577" w:type="dxa"/>
                  <w:tcBorders>
                    <w:top w:val="single" w:sz="4" w:space="0" w:color="D2C9B8"/>
                    <w:left w:val="single" w:sz="4" w:space="0" w:color="D2C9B8"/>
                    <w:bottom w:val="single" w:sz="4" w:space="0" w:color="D2C9B8"/>
                    <w:right w:val="single" w:sz="4" w:space="0" w:color="D2C9B8"/>
                  </w:tcBorders>
                </w:tcPr>
                <w:p w14:paraId="15D68806" w14:textId="77777777" w:rsidR="005A5FCC" w:rsidRDefault="00A21C81">
                  <w:pPr>
                    <w:spacing w:before="20" w:after="20" w:line="240" w:lineRule="auto"/>
                    <w:jc w:val="left"/>
                  </w:pPr>
                  <w:r>
                    <w:rPr>
                      <w:rFonts w:cs="EB Garamond"/>
                      <w:kern w:val="16"/>
                      <w:sz w:val="16"/>
                      <w14:ligatures w14:val="standardContextual"/>
                    </w:rPr>
                    <w:t>P</w:t>
                  </w:r>
                </w:p>
              </w:tc>
              <w:tc>
                <w:tcPr>
                  <w:tcW w:w="577" w:type="dxa"/>
                  <w:tcBorders>
                    <w:top w:val="single" w:sz="4" w:space="0" w:color="D2C9B8"/>
                    <w:left w:val="single" w:sz="4" w:space="0" w:color="D2C9B8"/>
                    <w:bottom w:val="single" w:sz="4" w:space="0" w:color="D2C9B8"/>
                    <w:right w:val="single" w:sz="4" w:space="0" w:color="D2C9B8"/>
                  </w:tcBorders>
                </w:tcPr>
                <w:p w14:paraId="622D0E2B" w14:textId="77777777" w:rsidR="005A5FCC" w:rsidRDefault="00A21C81">
                  <w:pPr>
                    <w:spacing w:before="20" w:after="20" w:line="240" w:lineRule="auto"/>
                    <w:jc w:val="left"/>
                  </w:pPr>
                  <w:r>
                    <w:rPr>
                      <w:rFonts w:cs="EB Garamond"/>
                      <w:kern w:val="16"/>
                      <w:sz w:val="16"/>
                      <w14:ligatures w14:val="standardContextual"/>
                    </w:rPr>
                    <w:t>P</w:t>
                  </w:r>
                </w:p>
              </w:tc>
              <w:tc>
                <w:tcPr>
                  <w:tcW w:w="577" w:type="dxa"/>
                  <w:tcBorders>
                    <w:top w:val="single" w:sz="4" w:space="0" w:color="D2C9B8"/>
                    <w:left w:val="single" w:sz="4" w:space="0" w:color="D2C9B8"/>
                    <w:bottom w:val="single" w:sz="4" w:space="0" w:color="D2C9B8"/>
                    <w:right w:val="single" w:sz="4" w:space="0" w:color="D2C9B8"/>
                  </w:tcBorders>
                </w:tcPr>
                <w:p w14:paraId="7585661A" w14:textId="77777777" w:rsidR="005A5FCC" w:rsidRDefault="00A21C81">
                  <w:pPr>
                    <w:spacing w:before="20" w:after="20" w:line="240" w:lineRule="auto"/>
                    <w:jc w:val="left"/>
                  </w:pPr>
                  <w:r>
                    <w:rPr>
                      <w:rFonts w:cs="EB Garamond"/>
                      <w:kern w:val="16"/>
                      <w:sz w:val="16"/>
                      <w14:ligatures w14:val="standardContextual"/>
                    </w:rPr>
                    <w:t>P</w:t>
                  </w:r>
                </w:p>
              </w:tc>
              <w:tc>
                <w:tcPr>
                  <w:tcW w:w="577" w:type="dxa"/>
                  <w:tcBorders>
                    <w:top w:val="single" w:sz="4" w:space="0" w:color="D2C9B8"/>
                    <w:left w:val="single" w:sz="4" w:space="0" w:color="D2C9B8"/>
                    <w:bottom w:val="single" w:sz="4" w:space="0" w:color="D2C9B8"/>
                    <w:right w:val="single" w:sz="4" w:space="0" w:color="D2C9B8"/>
                  </w:tcBorders>
                </w:tcPr>
                <w:p w14:paraId="19AAF586" w14:textId="77777777" w:rsidR="005A5FCC" w:rsidRDefault="00A21C81">
                  <w:pPr>
                    <w:spacing w:before="20" w:after="20" w:line="240" w:lineRule="auto"/>
                    <w:jc w:val="left"/>
                  </w:pPr>
                  <w:r>
                    <w:rPr>
                      <w:rFonts w:cs="EB Garamond"/>
                      <w:kern w:val="16"/>
                      <w:sz w:val="16"/>
                      <w14:ligatures w14:val="standardContextual"/>
                    </w:rPr>
                    <w:t>—</w:t>
                  </w:r>
                </w:p>
              </w:tc>
              <w:tc>
                <w:tcPr>
                  <w:tcW w:w="577" w:type="dxa"/>
                  <w:tcBorders>
                    <w:top w:val="single" w:sz="4" w:space="0" w:color="D2C9B8"/>
                    <w:left w:val="single" w:sz="4" w:space="0" w:color="D2C9B8"/>
                    <w:bottom w:val="single" w:sz="4" w:space="0" w:color="D2C9B8"/>
                    <w:right w:val="single" w:sz="4" w:space="0" w:color="D2C9B8"/>
                  </w:tcBorders>
                </w:tcPr>
                <w:p w14:paraId="4E99D5BE" w14:textId="77777777" w:rsidR="005A5FCC" w:rsidRDefault="00A21C81">
                  <w:pPr>
                    <w:spacing w:before="20" w:after="20" w:line="240" w:lineRule="auto"/>
                    <w:jc w:val="left"/>
                  </w:pPr>
                  <w:r>
                    <w:rPr>
                      <w:rFonts w:cs="EB Garamond"/>
                      <w:kern w:val="16"/>
                      <w:sz w:val="16"/>
                      <w14:ligatures w14:val="standardContextual"/>
                    </w:rPr>
                    <w:t>P</w:t>
                  </w:r>
                </w:p>
              </w:tc>
              <w:tc>
                <w:tcPr>
                  <w:tcW w:w="577" w:type="dxa"/>
                  <w:tcBorders>
                    <w:top w:val="single" w:sz="4" w:space="0" w:color="D2C9B8"/>
                    <w:left w:val="single" w:sz="4" w:space="0" w:color="D2C9B8"/>
                    <w:bottom w:val="single" w:sz="4" w:space="0" w:color="D2C9B8"/>
                    <w:right w:val="single" w:sz="4" w:space="0" w:color="D2C9B8"/>
                  </w:tcBorders>
                </w:tcPr>
                <w:p w14:paraId="7EA9BF79" w14:textId="77777777" w:rsidR="005A5FCC" w:rsidRDefault="00A21C81">
                  <w:pPr>
                    <w:spacing w:before="20" w:after="20" w:line="240" w:lineRule="auto"/>
                    <w:jc w:val="left"/>
                  </w:pPr>
                  <w:r>
                    <w:rPr>
                      <w:rFonts w:cs="EB Garamond"/>
                      <w:kern w:val="16"/>
                      <w:sz w:val="16"/>
                      <w14:ligatures w14:val="standardContextual"/>
                    </w:rPr>
                    <w:t>V</w:t>
                  </w:r>
                </w:p>
              </w:tc>
            </w:tr>
            <w:tr w:rsidR="005A5FCC" w14:paraId="3CF73A96" w14:textId="77777777">
              <w:trPr>
                <w:jc w:val="center"/>
              </w:trPr>
              <w:tc>
                <w:tcPr>
                  <w:tcW w:w="577" w:type="dxa"/>
                  <w:tcBorders>
                    <w:top w:val="single" w:sz="4" w:space="0" w:color="D2C9B8"/>
                    <w:left w:val="single" w:sz="4" w:space="0" w:color="D2C9B8"/>
                    <w:bottom w:val="single" w:sz="4" w:space="0" w:color="D2C9B8"/>
                    <w:right w:val="single" w:sz="4" w:space="0" w:color="D2C9B8"/>
                  </w:tcBorders>
                </w:tcPr>
                <w:p w14:paraId="5A620B85" w14:textId="77777777" w:rsidR="005A5FCC" w:rsidRDefault="00A21C81">
                  <w:pPr>
                    <w:spacing w:before="20" w:after="20" w:line="240" w:lineRule="auto"/>
                    <w:jc w:val="left"/>
                  </w:pPr>
                  <w:r>
                    <w:rPr>
                      <w:rFonts w:cs="EB Garamond"/>
                      <w:b/>
                      <w:kern w:val="16"/>
                      <w:sz w:val="16"/>
                      <w14:ligatures w14:val="standardContextual"/>
                    </w:rPr>
                    <w:t>AR</w:t>
                  </w:r>
                </w:p>
              </w:tc>
              <w:tc>
                <w:tcPr>
                  <w:tcW w:w="577" w:type="dxa"/>
                  <w:tcBorders>
                    <w:top w:val="single" w:sz="4" w:space="0" w:color="D2C9B8"/>
                    <w:left w:val="single" w:sz="4" w:space="0" w:color="D2C9B8"/>
                    <w:bottom w:val="single" w:sz="4" w:space="0" w:color="D2C9B8"/>
                    <w:right w:val="single" w:sz="4" w:space="0" w:color="D2C9B8"/>
                  </w:tcBorders>
                </w:tcPr>
                <w:p w14:paraId="7E60D636" w14:textId="77777777" w:rsidR="005A5FCC" w:rsidRDefault="00A21C81">
                  <w:pPr>
                    <w:spacing w:before="20" w:after="20" w:line="240" w:lineRule="auto"/>
                    <w:jc w:val="left"/>
                  </w:pPr>
                  <w:r>
                    <w:rPr>
                      <w:rFonts w:cs="EB Garamond"/>
                      <w:kern w:val="16"/>
                      <w:sz w:val="16"/>
                      <w14:ligatures w14:val="standardContextual"/>
                    </w:rPr>
                    <w:t>E</w:t>
                  </w:r>
                </w:p>
              </w:tc>
              <w:tc>
                <w:tcPr>
                  <w:tcW w:w="577" w:type="dxa"/>
                  <w:tcBorders>
                    <w:top w:val="single" w:sz="4" w:space="0" w:color="D2C9B8"/>
                    <w:left w:val="single" w:sz="4" w:space="0" w:color="D2C9B8"/>
                    <w:bottom w:val="single" w:sz="4" w:space="0" w:color="D2C9B8"/>
                    <w:right w:val="single" w:sz="4" w:space="0" w:color="D2C9B8"/>
                  </w:tcBorders>
                </w:tcPr>
                <w:p w14:paraId="6406E135" w14:textId="77777777" w:rsidR="005A5FCC" w:rsidRDefault="00A21C81">
                  <w:pPr>
                    <w:spacing w:before="20" w:after="20" w:line="240" w:lineRule="auto"/>
                    <w:jc w:val="left"/>
                  </w:pPr>
                  <w:r>
                    <w:rPr>
                      <w:rFonts w:cs="EB Garamond"/>
                      <w:kern w:val="16"/>
                      <w:sz w:val="16"/>
                      <w14:ligatures w14:val="standardContextual"/>
                    </w:rPr>
                    <w:t>E</w:t>
                  </w:r>
                </w:p>
              </w:tc>
              <w:tc>
                <w:tcPr>
                  <w:tcW w:w="577" w:type="dxa"/>
                  <w:tcBorders>
                    <w:top w:val="single" w:sz="4" w:space="0" w:color="D2C9B8"/>
                    <w:left w:val="single" w:sz="4" w:space="0" w:color="D2C9B8"/>
                    <w:bottom w:val="single" w:sz="4" w:space="0" w:color="D2C9B8"/>
                    <w:right w:val="single" w:sz="4" w:space="0" w:color="D2C9B8"/>
                  </w:tcBorders>
                </w:tcPr>
                <w:p w14:paraId="76FA9760" w14:textId="77777777" w:rsidR="005A5FCC" w:rsidRDefault="00A21C81">
                  <w:pPr>
                    <w:spacing w:before="20" w:after="20" w:line="240" w:lineRule="auto"/>
                    <w:jc w:val="left"/>
                  </w:pPr>
                  <w:r>
                    <w:rPr>
                      <w:rFonts w:cs="EB Garamond"/>
                      <w:kern w:val="16"/>
                      <w:sz w:val="16"/>
                      <w14:ligatures w14:val="standardContextual"/>
                    </w:rPr>
                    <w:t>³</w:t>
                  </w:r>
                </w:p>
              </w:tc>
              <w:tc>
                <w:tcPr>
                  <w:tcW w:w="577" w:type="dxa"/>
                  <w:tcBorders>
                    <w:top w:val="single" w:sz="4" w:space="0" w:color="D2C9B8"/>
                    <w:left w:val="single" w:sz="4" w:space="0" w:color="D2C9B8"/>
                    <w:bottom w:val="single" w:sz="4" w:space="0" w:color="D2C9B8"/>
                    <w:right w:val="single" w:sz="4" w:space="0" w:color="D2C9B8"/>
                  </w:tcBorders>
                </w:tcPr>
                <w:p w14:paraId="068E3803" w14:textId="77777777" w:rsidR="005A5FCC" w:rsidRDefault="00A21C81">
                  <w:pPr>
                    <w:spacing w:before="20" w:after="20" w:line="240" w:lineRule="auto"/>
                    <w:jc w:val="left"/>
                  </w:pPr>
                  <w:r>
                    <w:rPr>
                      <w:rFonts w:cs="EB Garamond"/>
                      <w:kern w:val="16"/>
                      <w:sz w:val="16"/>
                      <w14:ligatures w14:val="standardContextual"/>
                    </w:rPr>
                    <w:t>³</w:t>
                  </w:r>
                </w:p>
              </w:tc>
              <w:tc>
                <w:tcPr>
                  <w:tcW w:w="577" w:type="dxa"/>
                  <w:tcBorders>
                    <w:top w:val="single" w:sz="4" w:space="0" w:color="D2C9B8"/>
                    <w:left w:val="single" w:sz="4" w:space="0" w:color="D2C9B8"/>
                    <w:bottom w:val="single" w:sz="4" w:space="0" w:color="D2C9B8"/>
                    <w:right w:val="single" w:sz="4" w:space="0" w:color="D2C9B8"/>
                  </w:tcBorders>
                </w:tcPr>
                <w:p w14:paraId="19078191" w14:textId="77777777" w:rsidR="005A5FCC" w:rsidRDefault="00A21C81">
                  <w:pPr>
                    <w:spacing w:before="20" w:after="20" w:line="240" w:lineRule="auto"/>
                    <w:jc w:val="left"/>
                  </w:pPr>
                  <w:r>
                    <w:rPr>
                      <w:rFonts w:cs="EB Garamond"/>
                      <w:kern w:val="16"/>
                      <w:sz w:val="16"/>
                      <w14:ligatures w14:val="standardContextual"/>
                    </w:rPr>
                    <w:t>—</w:t>
                  </w:r>
                </w:p>
              </w:tc>
              <w:tc>
                <w:tcPr>
                  <w:tcW w:w="577" w:type="dxa"/>
                  <w:tcBorders>
                    <w:top w:val="single" w:sz="4" w:space="0" w:color="D2C9B8"/>
                    <w:left w:val="single" w:sz="4" w:space="0" w:color="D2C9B8"/>
                    <w:bottom w:val="single" w:sz="4" w:space="0" w:color="D2C9B8"/>
                    <w:right w:val="single" w:sz="4" w:space="0" w:color="D2C9B8"/>
                  </w:tcBorders>
                </w:tcPr>
                <w:p w14:paraId="50024D2D" w14:textId="77777777" w:rsidR="005A5FCC" w:rsidRDefault="00A21C81">
                  <w:pPr>
                    <w:spacing w:before="20" w:after="20" w:line="240" w:lineRule="auto"/>
                    <w:jc w:val="left"/>
                  </w:pPr>
                  <w:r>
                    <w:rPr>
                      <w:rFonts w:cs="EB Garamond"/>
                      <w:kern w:val="16"/>
                      <w:sz w:val="16"/>
                      <w14:ligatures w14:val="standardContextual"/>
                    </w:rPr>
                    <w:t>—</w:t>
                  </w:r>
                </w:p>
              </w:tc>
              <w:tc>
                <w:tcPr>
                  <w:tcW w:w="577" w:type="dxa"/>
                  <w:tcBorders>
                    <w:top w:val="single" w:sz="4" w:space="0" w:color="D2C9B8"/>
                    <w:left w:val="single" w:sz="4" w:space="0" w:color="D2C9B8"/>
                    <w:bottom w:val="single" w:sz="4" w:space="0" w:color="D2C9B8"/>
                    <w:right w:val="single" w:sz="4" w:space="0" w:color="D2C9B8"/>
                  </w:tcBorders>
                </w:tcPr>
                <w:p w14:paraId="0357855A" w14:textId="77777777" w:rsidR="005A5FCC" w:rsidRDefault="00A21C81">
                  <w:pPr>
                    <w:spacing w:before="20" w:after="20" w:line="240" w:lineRule="auto"/>
                    <w:jc w:val="left"/>
                  </w:pPr>
                  <w:r>
                    <w:rPr>
                      <w:rFonts w:cs="EB Garamond"/>
                      <w:kern w:val="16"/>
                      <w:sz w:val="16"/>
                      <w14:ligatures w14:val="standardContextual"/>
                    </w:rPr>
                    <w:t>P</w:t>
                  </w:r>
                </w:p>
              </w:tc>
              <w:tc>
                <w:tcPr>
                  <w:tcW w:w="577" w:type="dxa"/>
                  <w:tcBorders>
                    <w:top w:val="single" w:sz="4" w:space="0" w:color="D2C9B8"/>
                    <w:left w:val="single" w:sz="4" w:space="0" w:color="D2C9B8"/>
                    <w:bottom w:val="single" w:sz="4" w:space="0" w:color="D2C9B8"/>
                    <w:right w:val="single" w:sz="4" w:space="0" w:color="D2C9B8"/>
                  </w:tcBorders>
                </w:tcPr>
                <w:p w14:paraId="4FA3848B" w14:textId="77777777" w:rsidR="005A5FCC" w:rsidRDefault="00A21C81">
                  <w:pPr>
                    <w:spacing w:before="20" w:after="20" w:line="240" w:lineRule="auto"/>
                    <w:jc w:val="left"/>
                  </w:pPr>
                  <w:r>
                    <w:rPr>
                      <w:rFonts w:cs="EB Garamond"/>
                      <w:kern w:val="16"/>
                      <w:sz w:val="16"/>
                      <w14:ligatures w14:val="standardContextual"/>
                    </w:rPr>
                    <w:t>P</w:t>
                  </w:r>
                </w:p>
              </w:tc>
              <w:tc>
                <w:tcPr>
                  <w:tcW w:w="577" w:type="dxa"/>
                  <w:tcBorders>
                    <w:top w:val="single" w:sz="4" w:space="0" w:color="D2C9B8"/>
                    <w:left w:val="single" w:sz="4" w:space="0" w:color="D2C9B8"/>
                    <w:bottom w:val="single" w:sz="4" w:space="0" w:color="D2C9B8"/>
                    <w:right w:val="single" w:sz="4" w:space="0" w:color="D2C9B8"/>
                  </w:tcBorders>
                </w:tcPr>
                <w:p w14:paraId="4F20A0D6" w14:textId="77777777" w:rsidR="005A5FCC" w:rsidRDefault="00A21C81">
                  <w:pPr>
                    <w:spacing w:before="20" w:after="20" w:line="240" w:lineRule="auto"/>
                    <w:jc w:val="left"/>
                  </w:pPr>
                  <w:r>
                    <w:rPr>
                      <w:rFonts w:cs="EB Garamond"/>
                      <w:kern w:val="16"/>
                      <w:sz w:val="16"/>
                      <w14:ligatures w14:val="standardContextual"/>
                    </w:rPr>
                    <w:t>—</w:t>
                  </w:r>
                </w:p>
              </w:tc>
              <w:tc>
                <w:tcPr>
                  <w:tcW w:w="577" w:type="dxa"/>
                  <w:tcBorders>
                    <w:top w:val="single" w:sz="4" w:space="0" w:color="D2C9B8"/>
                    <w:left w:val="single" w:sz="4" w:space="0" w:color="D2C9B8"/>
                    <w:bottom w:val="single" w:sz="4" w:space="0" w:color="D2C9B8"/>
                    <w:right w:val="single" w:sz="4" w:space="0" w:color="D2C9B8"/>
                  </w:tcBorders>
                </w:tcPr>
                <w:p w14:paraId="31C71180" w14:textId="77777777" w:rsidR="005A5FCC" w:rsidRDefault="00A21C81">
                  <w:pPr>
                    <w:spacing w:before="20" w:after="20" w:line="240" w:lineRule="auto"/>
                    <w:jc w:val="left"/>
                  </w:pPr>
                  <w:r>
                    <w:rPr>
                      <w:rFonts w:cs="EB Garamond"/>
                      <w:kern w:val="16"/>
                      <w:sz w:val="16"/>
                      <w14:ligatures w14:val="standardContextual"/>
                    </w:rPr>
                    <w:t>V</w:t>
                  </w:r>
                </w:p>
              </w:tc>
            </w:tr>
            <w:tr w:rsidR="005A5FCC" w14:paraId="09A9A936" w14:textId="77777777">
              <w:trPr>
                <w:jc w:val="center"/>
              </w:trPr>
              <w:tc>
                <w:tcPr>
                  <w:tcW w:w="577" w:type="dxa"/>
                  <w:tcBorders>
                    <w:top w:val="single" w:sz="4" w:space="0" w:color="D2C9B8"/>
                    <w:left w:val="single" w:sz="4" w:space="0" w:color="D2C9B8"/>
                    <w:bottom w:val="single" w:sz="4" w:space="0" w:color="D2C9B8"/>
                    <w:right w:val="single" w:sz="4" w:space="0" w:color="D2C9B8"/>
                  </w:tcBorders>
                </w:tcPr>
                <w:p w14:paraId="738F5339" w14:textId="77777777" w:rsidR="005A5FCC" w:rsidRDefault="00A21C81">
                  <w:pPr>
                    <w:spacing w:before="20" w:after="20" w:line="240" w:lineRule="auto"/>
                    <w:jc w:val="left"/>
                  </w:pPr>
                  <w:r>
                    <w:rPr>
                      <w:rFonts w:cs="EB Garamond"/>
                      <w:b/>
                      <w:kern w:val="16"/>
                      <w:sz w:val="16"/>
                      <w14:ligatures w14:val="standardContextual"/>
                    </w:rPr>
                    <w:t>BPC</w:t>
                  </w:r>
                </w:p>
              </w:tc>
              <w:tc>
                <w:tcPr>
                  <w:tcW w:w="577" w:type="dxa"/>
                  <w:tcBorders>
                    <w:top w:val="single" w:sz="4" w:space="0" w:color="D2C9B8"/>
                    <w:left w:val="single" w:sz="4" w:space="0" w:color="D2C9B8"/>
                    <w:bottom w:val="single" w:sz="4" w:space="0" w:color="D2C9B8"/>
                    <w:right w:val="single" w:sz="4" w:space="0" w:color="D2C9B8"/>
                  </w:tcBorders>
                </w:tcPr>
                <w:p w14:paraId="5C789D87" w14:textId="77777777" w:rsidR="005A5FCC" w:rsidRDefault="00A21C81">
                  <w:pPr>
                    <w:spacing w:before="20" w:after="20" w:line="240" w:lineRule="auto"/>
                    <w:jc w:val="left"/>
                  </w:pPr>
                  <w:r>
                    <w:rPr>
                      <w:rFonts w:cs="EB Garamond"/>
                      <w:kern w:val="16"/>
                      <w:sz w:val="16"/>
                      <w14:ligatures w14:val="standardContextual"/>
                    </w:rPr>
                    <w:t>V</w:t>
                  </w:r>
                </w:p>
              </w:tc>
              <w:tc>
                <w:tcPr>
                  <w:tcW w:w="577" w:type="dxa"/>
                  <w:tcBorders>
                    <w:top w:val="single" w:sz="4" w:space="0" w:color="D2C9B8"/>
                    <w:left w:val="single" w:sz="4" w:space="0" w:color="D2C9B8"/>
                    <w:bottom w:val="single" w:sz="4" w:space="0" w:color="D2C9B8"/>
                    <w:right w:val="single" w:sz="4" w:space="0" w:color="D2C9B8"/>
                  </w:tcBorders>
                </w:tcPr>
                <w:p w14:paraId="1A402C92" w14:textId="77777777" w:rsidR="005A5FCC" w:rsidRDefault="00A21C81">
                  <w:pPr>
                    <w:spacing w:before="20" w:after="20" w:line="240" w:lineRule="auto"/>
                    <w:jc w:val="left"/>
                  </w:pPr>
                  <w:r>
                    <w:rPr>
                      <w:rFonts w:cs="EB Garamond"/>
                      <w:kern w:val="16"/>
                      <w:sz w:val="16"/>
                      <w14:ligatures w14:val="standardContextual"/>
                    </w:rPr>
                    <w:t>V</w:t>
                  </w:r>
                </w:p>
              </w:tc>
              <w:tc>
                <w:tcPr>
                  <w:tcW w:w="577" w:type="dxa"/>
                  <w:tcBorders>
                    <w:top w:val="single" w:sz="4" w:space="0" w:color="D2C9B8"/>
                    <w:left w:val="single" w:sz="4" w:space="0" w:color="D2C9B8"/>
                    <w:bottom w:val="single" w:sz="4" w:space="0" w:color="D2C9B8"/>
                    <w:right w:val="single" w:sz="4" w:space="0" w:color="D2C9B8"/>
                  </w:tcBorders>
                </w:tcPr>
                <w:p w14:paraId="2AFA9F6D" w14:textId="77777777" w:rsidR="005A5FCC" w:rsidRDefault="00A21C81">
                  <w:pPr>
                    <w:spacing w:before="20" w:after="20" w:line="240" w:lineRule="auto"/>
                    <w:jc w:val="left"/>
                  </w:pPr>
                  <w:r>
                    <w:rPr>
                      <w:rFonts w:cs="EB Garamond"/>
                      <w:kern w:val="16"/>
                      <w:sz w:val="16"/>
                      <w14:ligatures w14:val="standardContextual"/>
                    </w:rPr>
                    <w:t>V</w:t>
                  </w:r>
                </w:p>
              </w:tc>
              <w:tc>
                <w:tcPr>
                  <w:tcW w:w="577" w:type="dxa"/>
                  <w:tcBorders>
                    <w:top w:val="single" w:sz="4" w:space="0" w:color="D2C9B8"/>
                    <w:left w:val="single" w:sz="4" w:space="0" w:color="D2C9B8"/>
                    <w:bottom w:val="single" w:sz="4" w:space="0" w:color="D2C9B8"/>
                    <w:right w:val="single" w:sz="4" w:space="0" w:color="D2C9B8"/>
                  </w:tcBorders>
                </w:tcPr>
                <w:p w14:paraId="6BC2EFE3" w14:textId="77777777" w:rsidR="005A5FCC" w:rsidRDefault="00A21C81">
                  <w:pPr>
                    <w:spacing w:before="20" w:after="20" w:line="240" w:lineRule="auto"/>
                    <w:jc w:val="left"/>
                  </w:pPr>
                  <w:r>
                    <w:rPr>
                      <w:rFonts w:cs="EB Garamond"/>
                      <w:kern w:val="16"/>
                      <w:sz w:val="16"/>
                      <w14:ligatures w14:val="standardContextual"/>
                    </w:rPr>
                    <w:t>V</w:t>
                  </w:r>
                </w:p>
              </w:tc>
              <w:tc>
                <w:tcPr>
                  <w:tcW w:w="577" w:type="dxa"/>
                  <w:tcBorders>
                    <w:top w:val="single" w:sz="4" w:space="0" w:color="D2C9B8"/>
                    <w:left w:val="single" w:sz="4" w:space="0" w:color="D2C9B8"/>
                    <w:bottom w:val="single" w:sz="4" w:space="0" w:color="D2C9B8"/>
                    <w:right w:val="single" w:sz="4" w:space="0" w:color="D2C9B8"/>
                  </w:tcBorders>
                </w:tcPr>
                <w:p w14:paraId="3079C8C2" w14:textId="77777777" w:rsidR="005A5FCC" w:rsidRDefault="00A21C81">
                  <w:pPr>
                    <w:spacing w:before="20" w:after="20" w:line="240" w:lineRule="auto"/>
                    <w:jc w:val="left"/>
                  </w:pPr>
                  <w:r>
                    <w:rPr>
                      <w:rFonts w:cs="EB Garamond"/>
                      <w:kern w:val="16"/>
                      <w:sz w:val="16"/>
                      <w14:ligatures w14:val="standardContextual"/>
                    </w:rPr>
                    <w:t>V</w:t>
                  </w:r>
                </w:p>
              </w:tc>
              <w:tc>
                <w:tcPr>
                  <w:tcW w:w="577" w:type="dxa"/>
                  <w:tcBorders>
                    <w:top w:val="single" w:sz="4" w:space="0" w:color="D2C9B8"/>
                    <w:left w:val="single" w:sz="4" w:space="0" w:color="D2C9B8"/>
                    <w:bottom w:val="single" w:sz="4" w:space="0" w:color="D2C9B8"/>
                    <w:right w:val="single" w:sz="4" w:space="0" w:color="D2C9B8"/>
                  </w:tcBorders>
                </w:tcPr>
                <w:p w14:paraId="4B178687" w14:textId="77777777" w:rsidR="005A5FCC" w:rsidRDefault="00A21C81">
                  <w:pPr>
                    <w:spacing w:before="20" w:after="20" w:line="240" w:lineRule="auto"/>
                    <w:jc w:val="left"/>
                  </w:pPr>
                  <w:r>
                    <w:rPr>
                      <w:rFonts w:cs="EB Garamond"/>
                      <w:kern w:val="16"/>
                      <w:sz w:val="16"/>
                      <w14:ligatures w14:val="standardContextual"/>
                    </w:rPr>
                    <w:t>V</w:t>
                  </w:r>
                </w:p>
              </w:tc>
              <w:tc>
                <w:tcPr>
                  <w:tcW w:w="577" w:type="dxa"/>
                  <w:tcBorders>
                    <w:top w:val="single" w:sz="4" w:space="0" w:color="D2C9B8"/>
                    <w:left w:val="single" w:sz="4" w:space="0" w:color="D2C9B8"/>
                    <w:bottom w:val="single" w:sz="4" w:space="0" w:color="D2C9B8"/>
                    <w:right w:val="single" w:sz="4" w:space="0" w:color="D2C9B8"/>
                  </w:tcBorders>
                </w:tcPr>
                <w:p w14:paraId="6090D0E4" w14:textId="77777777" w:rsidR="005A5FCC" w:rsidRDefault="00A21C81">
                  <w:pPr>
                    <w:spacing w:before="20" w:after="20" w:line="240" w:lineRule="auto"/>
                    <w:jc w:val="left"/>
                  </w:pPr>
                  <w:r>
                    <w:rPr>
                      <w:rFonts w:cs="EB Garamond"/>
                      <w:kern w:val="16"/>
                      <w:sz w:val="16"/>
                      <w14:ligatures w14:val="standardContextual"/>
                    </w:rPr>
                    <w:t>V</w:t>
                  </w:r>
                </w:p>
              </w:tc>
              <w:tc>
                <w:tcPr>
                  <w:tcW w:w="577" w:type="dxa"/>
                  <w:tcBorders>
                    <w:top w:val="single" w:sz="4" w:space="0" w:color="D2C9B8"/>
                    <w:left w:val="single" w:sz="4" w:space="0" w:color="D2C9B8"/>
                    <w:bottom w:val="single" w:sz="4" w:space="0" w:color="D2C9B8"/>
                    <w:right w:val="single" w:sz="4" w:space="0" w:color="D2C9B8"/>
                  </w:tcBorders>
                </w:tcPr>
                <w:p w14:paraId="2EAAB197" w14:textId="77777777" w:rsidR="005A5FCC" w:rsidRDefault="00A21C81">
                  <w:pPr>
                    <w:spacing w:before="20" w:after="20" w:line="240" w:lineRule="auto"/>
                    <w:jc w:val="left"/>
                  </w:pPr>
                  <w:r>
                    <w:rPr>
                      <w:rFonts w:cs="EB Garamond"/>
                      <w:kern w:val="16"/>
                      <w:sz w:val="16"/>
                      <w14:ligatures w14:val="standardContextual"/>
                    </w:rPr>
                    <w:t>V</w:t>
                  </w:r>
                </w:p>
              </w:tc>
              <w:tc>
                <w:tcPr>
                  <w:tcW w:w="577" w:type="dxa"/>
                  <w:tcBorders>
                    <w:top w:val="single" w:sz="4" w:space="0" w:color="D2C9B8"/>
                    <w:left w:val="single" w:sz="4" w:space="0" w:color="D2C9B8"/>
                    <w:bottom w:val="single" w:sz="4" w:space="0" w:color="D2C9B8"/>
                    <w:right w:val="single" w:sz="4" w:space="0" w:color="D2C9B8"/>
                  </w:tcBorders>
                </w:tcPr>
                <w:p w14:paraId="656BC3DF" w14:textId="77777777" w:rsidR="005A5FCC" w:rsidRDefault="00A21C81">
                  <w:pPr>
                    <w:spacing w:before="20" w:after="20" w:line="240" w:lineRule="auto"/>
                    <w:jc w:val="left"/>
                  </w:pPr>
                  <w:r>
                    <w:rPr>
                      <w:rFonts w:cs="EB Garamond"/>
                      <w:kern w:val="16"/>
                      <w:sz w:val="16"/>
                      <w14:ligatures w14:val="standardContextual"/>
                    </w:rPr>
                    <w:t>V</w:t>
                  </w:r>
                </w:p>
              </w:tc>
              <w:tc>
                <w:tcPr>
                  <w:tcW w:w="577" w:type="dxa"/>
                  <w:tcBorders>
                    <w:top w:val="single" w:sz="4" w:space="0" w:color="D2C9B8"/>
                    <w:left w:val="single" w:sz="4" w:space="0" w:color="D2C9B8"/>
                    <w:bottom w:val="single" w:sz="4" w:space="0" w:color="D2C9B8"/>
                    <w:right w:val="single" w:sz="4" w:space="0" w:color="D2C9B8"/>
                  </w:tcBorders>
                </w:tcPr>
                <w:p w14:paraId="72462FEE" w14:textId="77777777" w:rsidR="005A5FCC" w:rsidRDefault="00A21C81">
                  <w:pPr>
                    <w:spacing w:before="20" w:after="20" w:line="240" w:lineRule="auto"/>
                    <w:jc w:val="left"/>
                  </w:pPr>
                  <w:r>
                    <w:rPr>
                      <w:rFonts w:cs="EB Garamond"/>
                      <w:kern w:val="16"/>
                      <w:sz w:val="16"/>
                      <w14:ligatures w14:val="standardContextual"/>
                    </w:rPr>
                    <w:t>—</w:t>
                  </w:r>
                </w:p>
              </w:tc>
            </w:tr>
          </w:tbl>
          <w:p w14:paraId="4CCD37E3" w14:textId="77777777" w:rsidR="005A5FCC" w:rsidRDefault="005A5FCC"/>
          <w:p w14:paraId="77E5CCF0" w14:textId="77777777" w:rsidR="005A5FCC" w:rsidRDefault="005A5FCC">
            <w:pPr>
              <w:spacing w:after="0" w:line="240" w:lineRule="auto"/>
            </w:pPr>
          </w:p>
          <w:p w14:paraId="45F40C59" w14:textId="77777777" w:rsidR="005A5FCC" w:rsidRDefault="00A21C81">
            <w:pPr>
              <w:spacing w:after="60" w:line="247" w:lineRule="auto"/>
            </w:pPr>
            <w:r>
              <w:rPr>
                <w:rFonts w:cs="EB Garamond"/>
                <w:kern w:val="16"/>
                <w:sz w:val="19"/>
                <w14:ligatures w14:val="standardContextual"/>
              </w:rPr>
              <w:t>¹ Vedada a partir de 11/11/1997 (Lei 9.528/97); acumulação integral se ambos concedidos antes dessa data (Súmula 507/STJ). ² Vedação restrita a pensões de cônjuge/companheiro; pensão de cônjuge + pensão de genitor no mesmo regime: permitida com escalonamento. ³ Auxílio-reclusão é convertido em pensão por morte se o segurado falece (art. 80, Lei 8.213/91). ⁴ Dois auxílios por incapacidade temporária do mesmo segurado: vedada (incapacidade total pressupõe cessação de todas as atividades). ⁵ Acumulação de auxílio por incapacidade temporária com auxílio-acidente: permitida (naturezas distintas, incapacidade temporária vs. Sequela indenizável). ⁶ Exceção: dois auxílios-acidente decorrentes de acidentes distintos com sequelas autônomas (permitida).</w:t>
            </w:r>
          </w:p>
          <w:p w14:paraId="3E8A813B" w14:textId="77777777" w:rsidR="005A5FCC" w:rsidRDefault="00A21C81">
            <w:pPr>
              <w:spacing w:after="60" w:line="247" w:lineRule="auto"/>
            </w:pPr>
            <w:r>
              <w:rPr>
                <w:rFonts w:cs="EB Garamond"/>
                <w:kern w:val="16"/>
                <w:sz w:val="19"/>
                <w14:ligatures w14:val="standardContextual"/>
              </w:rPr>
              <w:t>Apos = Aposentadoria; PM = Pensão por Morte; AIT = Auxílio por Incapacidade Temporária; AA = Auxílio-Acidente; SM = Salário-Maternidade; SF = Salário-Família; AR = Auxílio-Reclusão; BPC = Benefício de Prestação Continuada.</w:t>
            </w:r>
          </w:p>
        </w:tc>
      </w:tr>
    </w:tbl>
    <w:p w14:paraId="46C4B362" w14:textId="77777777" w:rsidR="005A5FCC" w:rsidRDefault="005A5FCC">
      <w:pPr>
        <w:spacing w:after="80" w:line="240" w:lineRule="auto"/>
      </w:pPr>
    </w:p>
    <w:p w14:paraId="03229ADC"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20.6 Exceções ao redutor: integralidade na acumulação</w:t>
      </w:r>
    </w:p>
    <w:p w14:paraId="619B9EBF"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2A25E167" w14:textId="77777777" w:rsidR="005A5FCC" w:rsidRDefault="00A21C81">
      <w:r>
        <w:rPr>
          <w:rFonts w:cs="EB Garamond"/>
          <w:kern w:val="16"/>
          <w14:ligatures w14:val="standardContextual"/>
        </w:rPr>
        <w:t xml:space="preserve"> sistema de escalonamento instituído pelo art. 24 da EC 103/2019 comporta três categorias de exceção, nas quais a acumulação de benefícios ocorre com integralidade, sem aplicação do redutor progressivo. Essas exceções refletem escolhas do constituinte reformador fundadas na natureza da proteção conferida ou na garantia constitucional que ampara a acumulação.</w:t>
      </w:r>
    </w:p>
    <w:p w14:paraId="0A44F900" w14:textId="77777777" w:rsidR="005A5FCC" w:rsidRDefault="00A21C81">
      <w:pPr>
        <w:spacing w:before="260" w:after="80" w:line="240" w:lineRule="auto"/>
        <w:jc w:val="left"/>
      </w:pPr>
      <w:r>
        <w:rPr>
          <w:rFonts w:cs="EB Garamond"/>
          <w:b/>
          <w:color w:val="3A3128"/>
          <w:kern w:val="16"/>
          <w:sz w:val="25"/>
          <w14:ligatures w14:val="standardContextual"/>
        </w:rPr>
        <w:t>20.6.1 Morte por acidente de trabalho ou doença profissional</w:t>
      </w:r>
    </w:p>
    <w:p w14:paraId="13111A8B"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1233FA0D" w14:textId="77777777" w:rsidR="005A5FCC" w:rsidRDefault="00A21C81">
      <w:r>
        <w:rPr>
          <w:rFonts w:cs="EB Garamond"/>
          <w:kern w:val="16"/>
          <w14:ligatures w14:val="standardContextual"/>
        </w:rPr>
        <w:t xml:space="preserve"> § 3º do art. 24 da EC 103/2019 excepciona do escalonamento a pensão por morte decorrente de acidente de trabalho, doença profissional ou doença do trabalho. Quando o segurado falece em razão de evento acidentário vinculado ao exercício da atividade laboral ou de moléstia profissional, a pensão devida a seus dependentes acumula integralmente com a aposentadoria que o dependente sobrevivente receba, sem qualquer redutor.</w:t>
      </w:r>
    </w:p>
    <w:p w14:paraId="6F0C76FF" w14:textId="77777777" w:rsidR="005A5FCC" w:rsidRDefault="00A21C81">
      <w:pPr>
        <w:ind w:firstLine="238"/>
      </w:pPr>
      <w:r>
        <w:rPr>
          <w:rFonts w:cs="EB Garamond"/>
          <w:kern w:val="16"/>
          <w14:ligatures w14:val="standardContextual"/>
        </w:rPr>
        <w:t>O fundamento dessa exceção reside na natureza indenizatória da proteção acidentária. O acidente de trabalho e a doença profissional geram responsabilidade que transcende a lógica securitária ordinária: o empregador que submete o trabalhador a condições que resultam em acidente ou adoecimento profissional suporta, indiretamente, a proteção integral dos dependentes por meio do custeio diferenciado do seguro de acidente do trabalho (SAT/RAT). A aplicação do escalonamento nessas hipóteses significaria reduzir a proteção justamente nos casos em que o risco assumido pelo trabalhador, e imposto pelo empregador, foi a causa da morte. A opção constitucional pela integralidade nessa hipótese é, ao nosso entendimento, acertada e reflete a distinção entre risco social comum (incapacidade por doença não ocupacional, idade avançada) e risco ocupacional (acidente de trabalho, doença profissional).</w:t>
      </w:r>
    </w:p>
    <w:p w14:paraId="4C3E1045" w14:textId="77777777" w:rsidR="005A5FCC" w:rsidRDefault="00A21C81">
      <w:pPr>
        <w:ind w:firstLine="238"/>
      </w:pPr>
      <w:r>
        <w:rPr>
          <w:rFonts w:cs="EB Garamond"/>
          <w:kern w:val="16"/>
          <w14:ligatures w14:val="standardContextual"/>
        </w:rPr>
        <w:t xml:space="preserve">A exceção abrange três categorias de eventos letais: o acidente de trabalho típico (art. 19 da Lei 8.213/91), a doença profissional propriamente dita (art. 20, I </w:t>
      </w:r>
      <w:r>
        <w:rPr>
          <w:rFonts w:cs="EB Garamond"/>
          <w:kern w:val="16"/>
          <w14:ligatures w14:val="standardContextual"/>
        </w:rPr>
        <w:lastRenderedPageBreak/>
        <w:t>— aquela produzida ou desencadeada pelo exercício do trabalho peculiar a determinada atividade) e a doença do trabalho (art. 20, II — aquela adquirida ou desencadeada em função de condições especiais em que o trabalho é realizado). Em todas as hipóteses, a pensão resultante acumula integralmente com a aposentadoria do dependente sobrevivente, e o INSS não pode aplicar o escalonamento do § 2º.</w:t>
      </w:r>
    </w:p>
    <w:p w14:paraId="0402F5D2" w14:textId="77777777" w:rsidR="005A5FCC" w:rsidRDefault="00A21C81">
      <w:pPr>
        <w:ind w:firstLine="238"/>
      </w:pPr>
      <w:r>
        <w:rPr>
          <w:rFonts w:cs="EB Garamond"/>
          <w:kern w:val="16"/>
          <w14:ligatures w14:val="standardContextual"/>
        </w:rPr>
        <w:t>Para que a exceção se aplique, é necessário demonstrar o nexo causal entre o acidente de trabalho ou a doença profissional e o óbito do segurado. A comprovação segue as regras ordinárias: comunicação de acidente de trabalho (CAT), laudo pericial, nexo técnico epidemiológico previdenciário (NTEP) ou decisão judicial que reconheça a natureza acidentária do evento. Nos JEFs, a prova do nexo causal é, em regra, produzida por perícia médica judicial ou por documentos que demonstrem a relação entre a atividade exercida e a causa da morte.</w:t>
      </w:r>
    </w:p>
    <w:p w14:paraId="009D2919" w14:textId="77777777" w:rsidR="005A5FCC" w:rsidRDefault="00A21C81">
      <w:pPr>
        <w:spacing w:before="260" w:after="80" w:line="240" w:lineRule="auto"/>
        <w:jc w:val="left"/>
      </w:pPr>
      <w:r>
        <w:rPr>
          <w:rFonts w:cs="EB Garamond"/>
          <w:b/>
          <w:color w:val="3A3128"/>
          <w:kern w:val="16"/>
          <w:sz w:val="25"/>
          <w14:ligatures w14:val="standardContextual"/>
        </w:rPr>
        <w:t>20.6.2 Morte por violência no exercício da função</w:t>
      </w:r>
    </w:p>
    <w:p w14:paraId="283E533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7A0B221F" w14:textId="77777777" w:rsidR="005A5FCC" w:rsidRDefault="00A21C81">
      <w:r>
        <w:rPr>
          <w:rFonts w:cs="EB Garamond"/>
          <w:kern w:val="16"/>
          <w14:ligatures w14:val="standardContextual"/>
        </w:rPr>
        <w:t xml:space="preserve"> § 6º do art. 24 da EC 103/2019 estabelece proteção diferenciada para categorias profissionais expostas a risco funcional qualificado. Os servidores abrangidos pelo art. 144 da Constituição Federal — policiais federais, rodoviários federais, ferroviários federais, policiais civis, policiais militares e bombeiros militares —, bem como os agentes penitenciários e socioeducativos referidos em legislação específica, quando falecidos em razão de violência sofrida no exercício da função ou em decorrência dela, geram pensão vitalícia para o cônjuge ou companheiro, equivalente à remuneração do cargo.</w:t>
      </w:r>
    </w:p>
    <w:p w14:paraId="1828ECFF" w14:textId="77777777" w:rsidR="005A5FCC" w:rsidRDefault="00A21C81">
      <w:pPr>
        <w:ind w:firstLine="238"/>
      </w:pPr>
      <w:r>
        <w:rPr>
          <w:rFonts w:cs="EB Garamond"/>
          <w:kern w:val="16"/>
          <w14:ligatures w14:val="standardContextual"/>
        </w:rPr>
        <w:t>Essa pensão acumula com a aposentadoria do dependente sobrevivente sem aplicação do escalonamento. A exceção se justifica pela exposição qualificada ao risco de morte violenta que caracteriza essas funções: os profissionais de segurança pública, os agentes penitenciários e os agentes socioeducativos exercem atividades em que o confronto direto com a criminalidade é inerente ao cotidiano profissional. A proteção integral dos dependentes funciona como contraprestação à exposição ao risco e como mecanismo de incentivo à permanência nessas carreiras.</w:t>
      </w:r>
    </w:p>
    <w:p w14:paraId="7518B9E4" w14:textId="77777777" w:rsidR="005A5FCC" w:rsidRDefault="00A21C81">
      <w:pPr>
        <w:ind w:firstLine="238"/>
      </w:pPr>
      <w:r>
        <w:rPr>
          <w:rFonts w:cs="EB Garamond"/>
          <w:kern w:val="16"/>
          <w14:ligatures w14:val="standardContextual"/>
        </w:rPr>
        <w:lastRenderedPageBreak/>
        <w:t>A aplicação prática do § 6º exige a comprovação de dois requisitos cumulativos: que a morte tenha sido provocada por violência (agressão física, disparo de arma de fogo, explosão, entre outras modalidades) e que essa violência tenha ocorrido no exercício da função ou em decorrência dela (quando a motivação do ataque está vinculada à atividade funcional do servidor, mesmo fora do horário de serviço). A morte por acidente de trânsito durante o deslocamento para o trabalho, por exemplo, não se enquadra na hipótese do § 6º, salvo se demonstrado que o acidente foi provocado intencionalmente em razão da função exercida.</w:t>
      </w:r>
    </w:p>
    <w:p w14:paraId="50A05610" w14:textId="77777777" w:rsidR="005A5FCC" w:rsidRDefault="00A21C81">
      <w:pPr>
        <w:spacing w:before="260" w:after="80" w:line="240" w:lineRule="auto"/>
        <w:jc w:val="left"/>
      </w:pPr>
      <w:r>
        <w:rPr>
          <w:rFonts w:cs="EB Garamond"/>
          <w:b/>
          <w:color w:val="3A3128"/>
          <w:kern w:val="16"/>
          <w:sz w:val="25"/>
          <w14:ligatures w14:val="standardContextual"/>
        </w:rPr>
        <w:t>20.6.3 Cargos constitucionalmente acumuláveis</w:t>
      </w:r>
    </w:p>
    <w:p w14:paraId="321295EE"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0E0E9771" w14:textId="77777777" w:rsidR="005A5FCC" w:rsidRDefault="00A21C81">
      <w:r>
        <w:rPr>
          <w:rFonts w:cs="EB Garamond"/>
          <w:kern w:val="16"/>
          <w14:ligatures w14:val="standardContextual"/>
        </w:rPr>
        <w:t xml:space="preserve"> terceira categoria de exceção ao escalonamento abrange os benefícios decorrentes de cargos que a Constituição Federal autoriza acumular. O art. 37, XVI, da CF/88 permite, em caráter excepcional, a acumulação remunerada de: (a) dois cargos de professor; (b) um cargo de professor com outro técnico ou científico; e (c) dois cargos ou empregos privativos de profissionais de saúde, com profissões regulamentadas.</w:t>
      </w:r>
    </w:p>
    <w:p w14:paraId="60D48491" w14:textId="77777777" w:rsidR="005A5FCC" w:rsidRDefault="00A21C81">
      <w:pPr>
        <w:ind w:firstLine="238"/>
      </w:pPr>
      <w:r>
        <w:rPr>
          <w:rFonts w:cs="EB Garamond"/>
          <w:kern w:val="16"/>
          <w14:ligatures w14:val="standardContextual"/>
        </w:rPr>
        <w:t>A doutrina e a jurisprudência dominante firmaram o entendimento de que os benefícios previdenciários decorrentes de cargos constitucionalmente acumuláveis não se sujeitam à vedação de acumulação nem ao redutor de escalonamento do art. 24 da EC 103/2019. O fundamento é direto: se a própria Constituição autoriza a acumulação de cargos e a percepção simultânea de duas remunerações, a proteção previdenciária correspondente deve ser igualmente integral. Submeter as aposentadorias ou pensões decorrentes desses cargos ao escalonamento significaria esvaziar indiretamente a garantia constitucional de acumulação, pois o servidor que pode acumular dois cargos e duas remunerações na atividade teria proteção previdenciária reduzida na inatividade.</w:t>
      </w:r>
    </w:p>
    <w:p w14:paraId="53EEA98F" w14:textId="77777777" w:rsidR="005A5FCC" w:rsidRDefault="00A21C81">
      <w:pPr>
        <w:ind w:firstLine="238"/>
      </w:pPr>
      <w:r>
        <w:rPr>
          <w:rFonts w:cs="EB Garamond"/>
          <w:kern w:val="16"/>
          <w14:ligatures w14:val="standardContextual"/>
        </w:rPr>
        <w:t>A exceção se aplica tanto à acumulação de duas aposentadorias (servidor que se aposenta em ambos os cargos acumuláveis) quanto à acumulação de aposentadoria com pensão (dependente de servidor que falece ocupando dois cargos acumuláveis) e à acumulação de duas pensões (quando o instituidor deixa pensão relativa a cada um dos cargos que exercia). Em todas essas hipóteses, os benefícios são recebidos integralmente, sem redutor.</w:t>
      </w:r>
    </w:p>
    <w:p w14:paraId="05EBA899" w14:textId="77777777" w:rsidR="005A5FCC" w:rsidRDefault="00A21C81">
      <w:pPr>
        <w:ind w:firstLine="238"/>
      </w:pPr>
      <w:r>
        <w:rPr>
          <w:rFonts w:cs="EB Garamond"/>
          <w:kern w:val="16"/>
          <w14:ligatures w14:val="standardContextual"/>
        </w:rPr>
        <w:lastRenderedPageBreak/>
        <w:t>Exemplos práticos: o professor que se aposenta pela rede estadual (RPPS) e pela rede municipal (RPPS ou RGPS) recebe ambas as aposentadorias sem escalonamento; o médico que acumula cargo no hospital universitário federal (RPPS) com emprego em hospital privado (RGPS) recebe ambas as aposentadorias integralmente; o cônjuge sobrevivente de professor que exercia dois cargos de magistério recebe ambas as pensões por morte sem redutor. A regra aplica-se igualmente à acumulação de aposentadoria de um cargo acumulável com a pensão por morte do outro: o servidor que se aposentou como professor e cujo cônjuge faleceu enquanto exercia cargo de médico no serviço público — cargos acumuláveis pela alínea "c" do inciso XVI do art. 37 — acumula a aposentadoria de professor com a pensão por morte do cargo de médico, sem qualquer redutor.</w:t>
      </w:r>
    </w:p>
    <w:p w14:paraId="3CAF9A4C" w14:textId="77777777" w:rsidR="005A5FCC" w:rsidRDefault="00A21C81">
      <w:pPr>
        <w:ind w:firstLine="238"/>
      </w:pPr>
      <w:r>
        <w:rPr>
          <w:rFonts w:cs="EB Garamond"/>
          <w:kern w:val="16"/>
          <w14:ligatures w14:val="standardContextual"/>
        </w:rPr>
        <w:t>Na prática dos JEFs, a comprovação da acumulabilidade dos cargos é questão prejudicial que deve ser enfrentada antes do exame do mérito da acumulação. O advogado deve demonstrar que os cargos exercidos pelo segurado ou instituidor enquadram-se em uma das hipóteses do art. 37, XVI, da CF/88, mediante apresentação dos atos de nomeação, certidões funcionais e legislação que regulamenta cada cargo. A simples alegação de que se trata de cargos acumuláveis, sem prova documental, é insuficiente para afastar a aplicação do escalonamento.</w:t>
      </w:r>
    </w:p>
    <w:tbl>
      <w:tblPr>
        <w:tblW w:w="5000" w:type="pct"/>
        <w:jc w:val="center"/>
        <w:tblLayout w:type="fixed"/>
        <w:tblLook w:val="04A0" w:firstRow="1" w:lastRow="0" w:firstColumn="1" w:lastColumn="0" w:noHBand="0" w:noVBand="1"/>
      </w:tblPr>
      <w:tblGrid>
        <w:gridCol w:w="6311"/>
      </w:tblGrid>
      <w:tr w:rsidR="005A5FCC" w14:paraId="505CA140"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37BF2F99" w14:textId="77777777" w:rsidR="005A5FCC" w:rsidRDefault="00A21C81">
            <w:pPr>
              <w:spacing w:after="60" w:line="240" w:lineRule="auto"/>
              <w:jc w:val="left"/>
            </w:pPr>
            <w:r>
              <w:rPr>
                <w:rFonts w:ascii="Noto Sans" w:hAnsi="Noto Sans" w:cs="Noto Sans"/>
                <w:b/>
                <w:caps/>
                <w:color w:val="4D6F8A"/>
                <w:kern w:val="16"/>
                <w:sz w:val="16"/>
                <w14:ligatures w14:val="standardContextual"/>
              </w:rPr>
              <w:t>JURISPRUDÊNCIA EM DESTAQUE</w:t>
            </w:r>
          </w:p>
          <w:p w14:paraId="3C91E031" w14:textId="77777777" w:rsidR="005A5FCC" w:rsidRDefault="00A21C81">
            <w:pPr>
              <w:spacing w:after="60" w:line="247" w:lineRule="auto"/>
            </w:pPr>
            <w:r>
              <w:rPr>
                <w:rFonts w:cs="EB Garamond"/>
                <w:b/>
                <w:kern w:val="16"/>
                <w:sz w:val="19"/>
                <w14:ligatures w14:val="standardContextual"/>
              </w:rPr>
              <w:t>Orientação consolidada</w:t>
            </w:r>
          </w:p>
          <w:p w14:paraId="435288F3" w14:textId="77777777" w:rsidR="005A5FCC" w:rsidRDefault="00A21C81">
            <w:pPr>
              <w:spacing w:after="60" w:line="247" w:lineRule="auto"/>
            </w:pPr>
            <w:r>
              <w:rPr>
                <w:rFonts w:cs="EB Garamond"/>
                <w:kern w:val="16"/>
                <w:sz w:val="19"/>
                <w14:ligatures w14:val="standardContextual"/>
              </w:rPr>
              <w:t>A doutrina majoritária e a interpretação sistemática da Constituição convergem no entendimento de que o escalonamento do art. 24 da EC 103/2019 não se aplica a benefícios decorrentes de cargos constitucionalmente acumuláveis (art. 37, XVI, CF). O fundamento é direto: a garantia constitucional de acumulação de cargos públicos, inscrita no texto constitucional originário, não pode ser esvaziada por emenda que reduza a proteção previdenciária correspondente. Essa orientação aplica-se a todas as combinações de benefícios oriundos de cargos acumuláveis: duas aposentadorias, aposentadoria e pensão, ou duas pensões. Os tribunais regionais federais têm aplicado esse entendimento de forma consistente.</w:t>
            </w:r>
          </w:p>
        </w:tc>
      </w:tr>
    </w:tbl>
    <w:p w14:paraId="0CA2FF53" w14:textId="77777777" w:rsidR="005A5FCC" w:rsidRDefault="005A5FCC">
      <w:pPr>
        <w:spacing w:after="80" w:line="240" w:lineRule="auto"/>
      </w:pPr>
    </w:p>
    <w:p w14:paraId="6429DC48"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20.7 Direito adquirido e intertemporalidade</w:t>
      </w:r>
    </w:p>
    <w:p w14:paraId="34F49AC9"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26E2E8B0" w14:textId="77777777" w:rsidR="005A5FCC" w:rsidRDefault="00A21C81">
      <w:r>
        <w:rPr>
          <w:rFonts w:cs="EB Garamond"/>
          <w:kern w:val="16"/>
          <w14:ligatures w14:val="standardContextual"/>
        </w:rPr>
        <w:t xml:space="preserve"> EC n. 103/2019 trouxe consigo cláusula expressa de proteção ao direito adquirido em matéria de acumulação de benefícios. O art. 24, §4º, dispõe que "as vedações previstas neste artigo não se aplicam quando o direito aos benefícios houver sido adquirido antes da data de entrada em vigor desta Emenda Constitucional". A data de corte é 13 de novembro de 2019, data de promulgação da EC 103. Essa previsão, embora pudesse ser considerada desnecessária, uma vez que o art. 5º, XXXVI, da Constituição Federal já protege o direito adquirido como garantia fundamental, cumpre função didática e preventiva. O legislador constituinte derivado antecipou o potencial contencioso e optou por afastar qualquer dúvida interpretativa acerca da retroatividade das novas regras de escalonamento.</w:t>
      </w:r>
    </w:p>
    <w:p w14:paraId="6A056F58" w14:textId="77777777" w:rsidR="005A5FCC" w:rsidRDefault="00A21C81">
      <w:pPr>
        <w:ind w:firstLine="238"/>
      </w:pPr>
      <w:r>
        <w:rPr>
          <w:rFonts w:cs="EB Garamond"/>
          <w:kern w:val="16"/>
          <w14:ligatures w14:val="standardContextual"/>
        </w:rPr>
        <w:t>A compreensão adequada dessa cláusula exige a definição precisa do conceito de direito adquirido previdenciário. O direito ao benefício previdenciário consolida-se no momento em que o segurado ou dependente preenche todos os requisitos legais exigidos pela norma vigente. Não se exige requerimento administrativo, tampouco ato concessório do INSS. O requerimento é ato meramente declaratório: reconhece direito preexistente, mas não o constitui. Dessa distinção decorre a correta aplicação da regra de transição do art. 24, §4º: o que define a incidência ou não do escalonamento é a data de preenchimento dos requisitos de cada benefício, e não a data em que o segurado apresentou seu requerimento administrativo ou a data em que o INSS proferiu decisão concessória.</w:t>
      </w:r>
    </w:p>
    <w:p w14:paraId="6D8D60C7" w14:textId="77777777" w:rsidR="005A5FCC" w:rsidRDefault="00A21C81">
      <w:pPr>
        <w:ind w:firstLine="238"/>
      </w:pPr>
      <w:r>
        <w:rPr>
          <w:rFonts w:cs="EB Garamond"/>
          <w:kern w:val="16"/>
          <w14:ligatures w14:val="standardContextual"/>
        </w:rPr>
        <w:t>A partir dessa premissa, identificamos três situações práticas distintas que exigem tratamento diferenciado.</w:t>
      </w:r>
    </w:p>
    <w:p w14:paraId="63C69C04" w14:textId="77777777" w:rsidR="005A5FCC" w:rsidRDefault="00A21C81">
      <w:pPr>
        <w:ind w:firstLine="238"/>
      </w:pPr>
      <w:r>
        <w:rPr>
          <w:rFonts w:cs="EB Garamond"/>
          <w:b/>
          <w:kern w:val="16"/>
          <w14:ligatures w14:val="standardContextual"/>
        </w:rPr>
        <w:t>Ambos os benefícios anteriores à EC 103.</w:t>
      </w:r>
      <w:r>
        <w:rPr>
          <w:rFonts w:cs="EB Garamond"/>
          <w:kern w:val="16"/>
          <w14:ligatures w14:val="standardContextual"/>
        </w:rPr>
        <w:t xml:space="preserve"> A primeira hipótese envolve o segurado ou dependente que já recebia ambos os benefícios antes de 13 de novembro de 2019. Nesse caso, a acumulação integral está consolidada por força do direito adquirido. O INSS não pode impor escalonamento retroativo nem revisar a forma de acumulação para adequá-la ao art. 24. A proteção abrange tanto os benefícios que estavam sendo efetivamente pagos quanto os que, embora conce</w:t>
      </w:r>
      <w:r>
        <w:rPr>
          <w:rFonts w:cs="EB Garamond"/>
          <w:kern w:val="16"/>
          <w14:ligatures w14:val="standardContextual"/>
        </w:rPr>
        <w:lastRenderedPageBreak/>
        <w:t>didos, encontravam-se suspensos por razão diversa (pendência de recadastramento, por exemplo). A acumulação integral permanece inalterada enquanto ambos os benefícios estiverem vigentes.</w:t>
      </w:r>
    </w:p>
    <w:p w14:paraId="555C2AAE" w14:textId="77777777" w:rsidR="005A5FCC" w:rsidRDefault="00A21C81">
      <w:pPr>
        <w:ind w:firstLine="238"/>
      </w:pPr>
      <w:r>
        <w:rPr>
          <w:rFonts w:cs="EB Garamond"/>
          <w:b/>
          <w:kern w:val="16"/>
          <w14:ligatures w14:val="standardContextual"/>
        </w:rPr>
        <w:t>Requisitos preenchidos antes da EC 103, requerimento posterior.</w:t>
      </w:r>
      <w:r>
        <w:rPr>
          <w:rFonts w:cs="EB Garamond"/>
          <w:kern w:val="16"/>
          <w14:ligatures w14:val="standardContextual"/>
        </w:rPr>
        <w:t xml:space="preserve"> A segunda hipótese refere-se ao segurado ou dependente que preencheu os requisitos de ambos os benefícios antes de 13 de novembro de 2019, mas requereu um ou ambos somente após essa data. A circunstância de o requerimento administrativo ter sido apresentado já na vigência da EC 103 não retira o direito adquirido à acumulação integral. Se um trabalhador completou os requisitos da aposentadoria por tempo de contribuição em março de 2019 e sua esposa, também segurada, preencheu os requisitos de aposentadoria por idade em agosto de 2019, ambos tinham direito adquirido a seus respectivos benefícios antes da Emenda. O fato de terem requerido as aposentadorias em 2020 não autoriza o INSS a aplicar o escalonamento do art. 24 sobre a acumulação desses benefícios com eventual pensão por morte futura, pois os requisitos foram implementados no regime anterior.</w:t>
      </w:r>
    </w:p>
    <w:p w14:paraId="4BDE3E43" w14:textId="77777777" w:rsidR="005A5FCC" w:rsidRDefault="00A21C81">
      <w:pPr>
        <w:ind w:firstLine="238"/>
      </w:pPr>
      <w:r>
        <w:rPr>
          <w:rFonts w:cs="EB Garamond"/>
          <w:b/>
          <w:kern w:val="16"/>
          <w14:ligatures w14:val="standardContextual"/>
        </w:rPr>
        <w:t>Um benefício anterior, outro posterior à EC 103.</w:t>
      </w:r>
      <w:r>
        <w:rPr>
          <w:rFonts w:cs="EB Garamond"/>
          <w:kern w:val="16"/>
          <w14:ligatures w14:val="standardContextual"/>
        </w:rPr>
        <w:t xml:space="preserve"> A terceira hipótese, mais frequente na prática dos JEFs, ocorre quando o segurado preencheu os requisitos de um dos benefícios antes de 13 de novembro de 2019 e os requisitos do outro benefício somente após essa data. Nessa hipótese, o segundo benefício submete-se integralmente ao regime da EC 103, incluindo o escalonamento do art. 24. Tomemos o exemplo de segurada que se aposentou em 2015 e cujo cônjuge faleceu em 2021: a aposentadoria é anterior à Emenda, mas a pensão por morte, cujo fato gerador (o óbito) ocorreu após 13 de novembro de 2019, está sujeita ao regime do art. 24. A acumulação é permitida, porém com incidência do redutor sobre o benefício de menor valor.</w:t>
      </w:r>
    </w:p>
    <w:p w14:paraId="28075D25" w14:textId="77777777" w:rsidR="005A5FCC" w:rsidRDefault="00A21C81">
      <w:pPr>
        <w:ind w:firstLine="238"/>
      </w:pPr>
      <w:r>
        <w:rPr>
          <w:rFonts w:cs="EB Garamond"/>
          <w:kern w:val="16"/>
          <w14:ligatures w14:val="standardContextual"/>
        </w:rPr>
        <w:t>Essa terceira situação exige atenção redobrada porque o direito adquirido opera de forma independente para cada benefício. O segurado não adquire direito à "acumulação" em abstrato; adquire direito a cada benefício individualmente. A regra de acumulação aplicável é definida pelo momento em que se configura a simultaneidade, ou seja, quando o segundo benefício passa a ser devido. Se esse momento é posterior à EC 103, as regras do art. 24 incidem, ainda que o primeiro benefício tenha sido concedido décadas antes.</w:t>
      </w:r>
    </w:p>
    <w:p w14:paraId="3D8D0EE3" w14:textId="77777777" w:rsidR="005A5FCC" w:rsidRDefault="00A21C81">
      <w:pPr>
        <w:ind w:firstLine="238"/>
      </w:pPr>
      <w:r>
        <w:rPr>
          <w:rFonts w:cs="EB Garamond"/>
          <w:kern w:val="16"/>
          <w14:ligatures w14:val="standardContextual"/>
        </w:rPr>
        <w:lastRenderedPageBreak/>
        <w:t>Registramos uma variante dessa terceira situação que gera controvérsia em termos operacionais forense: o segurado que preencheu os requisitos de aposentadoria antes da EC 103, não se aposentou, cujo fato gerador do segundo benefício também ocorreu antes da Emenda, mas que somente requereu a aposentadoria após 13 de novembro de 2019. Nessa hipótese, sustentamos que o direito adquirido à acumulação integral está preservado, pois o que o §4º protege é o direito aos benefícios adquirido antes da Emenda, e não o exercício desse direito (requerimento). Ambos os fatos geradores são anteriores à EC 103, e ambos os requisitos foram preenchidos antes da data de corte. A circunstância de o requerimento ser posterior não altera a natureza do direito, que é anterior. O INSS, em situações como essa, tende a aplicar o escalonamento com base na data do requerimento. Essa conduta merece correção judicial, pois confunde a data de exercício do direito com a data de aquisição do direito.</w:t>
      </w:r>
    </w:p>
    <w:tbl>
      <w:tblPr>
        <w:tblW w:w="5000" w:type="pct"/>
        <w:jc w:val="center"/>
        <w:tblLayout w:type="fixed"/>
        <w:tblLook w:val="04A0" w:firstRow="1" w:lastRow="0" w:firstColumn="1" w:lastColumn="0" w:noHBand="0" w:noVBand="1"/>
      </w:tblPr>
      <w:tblGrid>
        <w:gridCol w:w="6311"/>
      </w:tblGrid>
      <w:tr w:rsidR="005A5FCC" w14:paraId="75881E0B"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6780E803"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5751BB37" w14:textId="77777777" w:rsidR="005A5FCC" w:rsidRDefault="00A21C81">
            <w:pPr>
              <w:spacing w:after="60" w:line="247" w:lineRule="auto"/>
            </w:pPr>
            <w:r>
              <w:rPr>
                <w:rFonts w:cs="EB Garamond"/>
                <w:kern w:val="16"/>
                <w:sz w:val="19"/>
                <w14:ligatures w14:val="standardContextual"/>
              </w:rPr>
              <w:t>A aferição do direito adquirido na acumulação exige exame cuidadoso. O advogado deve verificar a data de preenchimento dos requisitos de CADA benefício separadamente, e não apenas a data do requerimento administrativo. Um segurado que completou os requisitos de aposentadoria em 2018 e cuja esposa faleceu em 2020 não tem direito adquirido à acumulação integral — o segundo benefício (pensão por morte) foi gerado após a EC 103, sujeitando-se ao escalonamento. A confusão entre data de requerimento e data de implementação dos requisitos é causa recorrente de indeferimentos e de insucesso em ações judiciais.</w:t>
            </w:r>
          </w:p>
        </w:tc>
      </w:tr>
    </w:tbl>
    <w:p w14:paraId="01F58FE0" w14:textId="77777777" w:rsidR="005A5FCC" w:rsidRDefault="005A5FCC">
      <w:pPr>
        <w:spacing w:after="80" w:line="240" w:lineRule="auto"/>
      </w:pPr>
    </w:p>
    <w:p w14:paraId="449D2BDD"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5CA88C8F" w14:textId="5041A052" w:rsidR="005A5FCC" w:rsidRDefault="00A21C81">
      <w:r>
        <w:rPr>
          <w:rFonts w:cs="EB Garamond"/>
          <w:kern w:val="16"/>
          <w14:ligatures w14:val="standardContextual"/>
        </w:rPr>
        <w:t xml:space="preserve"> distinção entre intertemporalidade do cálculo e intertemporalidade da acumulação merece desenvolvimento. São questões que operam em planos distintos, embora frequentemente confundidas na experiência dos juizados forense</w:t>
      </w:r>
      <w:r w:rsidR="00FF66A2">
        <w:rPr>
          <w:rFonts w:cs="EB Garamond"/>
          <w:kern w:val="16"/>
          <w14:ligatures w14:val="standardContextual"/>
        </w:rPr>
        <w:t>s</w:t>
      </w:r>
      <w:r>
        <w:rPr>
          <w:rFonts w:cs="EB Garamond"/>
          <w:kern w:val="16"/>
          <w14:ligatures w14:val="standardContextual"/>
        </w:rPr>
        <w:t xml:space="preserve">. A regra de cálculo do benefício (fórmula, período básico de cálculo, fator previdenciário, regra de transição) é definida pela data do fato gerador do benefício, segundo o princípio tempus regit actum. Um segurado que preencheu os requisitos de aposentadoria antes da EC 103 tem direito ao cálculo conforme as regras vigentes naquela data, ainda que requeira o benefício posteriormente. Já a regra de acumulação, que disciplina a convivência entre dois benefícios simultâneos, é definida pela data em que o segundo benefício passa a ser devido. </w:t>
      </w:r>
      <w:r>
        <w:rPr>
          <w:rFonts w:cs="EB Garamond"/>
          <w:kern w:val="16"/>
          <w14:ligatures w14:val="standardContextual"/>
        </w:rPr>
        <w:lastRenderedPageBreak/>
        <w:t>Um segurado pode ter direito adquirido ao cálculo mais favorável de sua aposentadoria (regra pré-EC 103) e, simultaneamente, estar submetido ao escalonamento na acumulação dessa aposentadoria com pensão por morte cujo fato gerador ocorreu após a Emenda. As duas questões não se confundem e devem ser examinadas em separado.</w:t>
      </w:r>
    </w:p>
    <w:p w14:paraId="49254189" w14:textId="77777777" w:rsidR="005A5FCC" w:rsidRDefault="00A21C81">
      <w:pPr>
        <w:ind w:firstLine="238"/>
      </w:pPr>
      <w:r>
        <w:rPr>
          <w:rFonts w:cs="EB Garamond"/>
          <w:kern w:val="16"/>
          <w14:ligatures w14:val="standardContextual"/>
        </w:rPr>
        <w:t>No plano do controle de constitucionalidade, as ADIs 6.254, 6.255, 6.258 e 6.271 questionam diversas disposições da EC 103/2019. O julgamento no STF foi iniciado e encontra-se pendente de conclusão. Registramos, porém, que o foco principal dessas ações não é o art. 24 (regime de acumulação), e sim disposições relativas a alíquotas progressivas de contribuição e ao regime de transição de servidores estaduais e municipais. Até junho de 2026, o STF não proferiu decisão definitiva publicada sobre essas ADIs. A ausência de pronunciamento específico sobre o art. 24 permite que a regra de escalonamento continue sendo aplicada integralmente pelo INSS e pelo Poder Judiciário, sem qualquer modulação jurisprudencial.</w:t>
      </w:r>
    </w:p>
    <w:p w14:paraId="354FFAB7" w14:textId="77777777" w:rsidR="005A5FCC" w:rsidRDefault="00A21C81">
      <w:pPr>
        <w:ind w:firstLine="238"/>
      </w:pPr>
      <w:r>
        <w:rPr>
          <w:rFonts w:cs="EB Garamond"/>
          <w:kern w:val="16"/>
          <w14:ligatures w14:val="standardContextual"/>
        </w:rPr>
        <w:t>O advogado deve acompanhar o andamento dessas ADIs, pois eventual declaração de inconstitucionalidade de dispositivos da EC 103 pode repercutir, ainda que indiretamente, sobre o regime de acumulação. Se o STF declarar inconstitucional o sistema de alíquotas progressivas de contribuição, por exemplo, a fundamentação adotada poderá ser invocada por analogia para questionar a proporcionalidade das faixas de escalonamento do art. 24, §2º. Por outro lado, a confirmação da constitucionalidade dos dispositivos questionados reforçará a posição de que o legislador constituinte derivado dispunha de ampla liberdade para conformar o sistema previdenciário, inclusive no que se refere à limitação de acumulações.</w:t>
      </w:r>
    </w:p>
    <w:tbl>
      <w:tblPr>
        <w:tblW w:w="5000" w:type="pct"/>
        <w:jc w:val="center"/>
        <w:tblLayout w:type="fixed"/>
        <w:tblLook w:val="04A0" w:firstRow="1" w:lastRow="0" w:firstColumn="1" w:lastColumn="0" w:noHBand="0" w:noVBand="1"/>
      </w:tblPr>
      <w:tblGrid>
        <w:gridCol w:w="6311"/>
      </w:tblGrid>
      <w:tr w:rsidR="005A5FCC" w14:paraId="3EE830DF"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5851FF11"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5CB31F0B" w14:textId="77777777" w:rsidR="005A5FCC" w:rsidRDefault="00A21C81">
            <w:pPr>
              <w:spacing w:after="60" w:line="247" w:lineRule="auto"/>
            </w:pPr>
            <w:r>
              <w:rPr>
                <w:rFonts w:cs="EB Garamond"/>
                <w:b/>
                <w:kern w:val="16"/>
                <w:sz w:val="19"/>
                <w14:ligatures w14:val="standardContextual"/>
              </w:rPr>
              <w:t>Produção de prova do direito adquirido à acumulação integral</w:t>
            </w:r>
          </w:p>
          <w:p w14:paraId="5EBACA1A" w14:textId="77777777" w:rsidR="005A5FCC" w:rsidRDefault="00A21C81">
            <w:pPr>
              <w:spacing w:after="60" w:line="247" w:lineRule="auto"/>
            </w:pPr>
            <w:r>
              <w:rPr>
                <w:rFonts w:cs="EB Garamond"/>
                <w:kern w:val="16"/>
                <w:sz w:val="19"/>
                <w14:ligatures w14:val="standardContextual"/>
              </w:rPr>
              <w:t>O advogado que pretenda demonstrar o direito adquirido à acumulação sem escalonamento deve reunir documentação que comprove a data de preenchimento dos requisitos de cada benefício. Os principais elementos de prova são: (a) Cadastro Nacional de Informações Sociais (CNIS), que registra os vínculos empregatícios, as contribuições vertidas e os períodos de filiação; (b) carta de concessão do benefício já implantado, com indicação da Data de Início do Benefício (DIB) e da Data de Entrada do Requerimento (DER); (c) certidão de tempo de contribuição emitida pelo INSS ou pelo RPPS, quando se tratar de acumulação inter-regimes; (d) demonstrativo de cálculo do benefício, que permite identificar o período básico de cálculo e a regra aplicada; (e) certidão de óbito (no caso de pensão por morte) ou laudo pericial (no caso de benefícios por incapacidade), para fixar a data do fato gerador do segundo benefício. A petição inicial deve articular com clareza a cronologia: data de preenchimento do primeiro benefício, data de corte (13/11/2019), data de preenchimento do segundo benefício, demonstrando que ambos os requisitos foram implementados antes da EC 103.</w:t>
            </w:r>
          </w:p>
        </w:tc>
      </w:tr>
    </w:tbl>
    <w:p w14:paraId="6CA7A44A" w14:textId="77777777" w:rsidR="005A5FCC" w:rsidRDefault="005A5FCC">
      <w:pPr>
        <w:spacing w:after="80" w:line="240" w:lineRule="auto"/>
      </w:pPr>
    </w:p>
    <w:p w14:paraId="76569D72"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73E31446" w14:textId="77777777" w:rsidR="005A5FCC" w:rsidRDefault="00A21C81">
      <w:r>
        <w:rPr>
          <w:rFonts w:cs="EB Garamond"/>
          <w:kern w:val="16"/>
          <w14:ligatures w14:val="standardContextual"/>
        </w:rPr>
        <w:t xml:space="preserve"> aplicação prática da cláusula de direito adquirido no âmbito administrativo apresenta dificuldades operacionais que o advogado deve antecipar. O sistema informatizado do INSS, em regra, aplica automaticamente o escalonamento do art. 24 a toda acumulação de benefícios concedidos após 13 de novembro de 2019, sem distinguir a data de preenchimento dos requisitos. Quando o segurado apresenta requerimento de benefício após a EC 103, o sistema aplica o redutor independentemente de o direito ter sido adquirido em data anterior. Essa automatização gera indeferimentos e aplicações indevidas do escalonamento que somente são corrigidas mediante requerimento específico de revisão administrativa ou por via judicial. O segurado que se enquadra na proteção do §4º deve, ao requerer o benefício, instruir o requerimento com documentação que comprove a data de preenchimento dos requisitos e requerer expressamente a aplicação da regra de direito adquirido. Na hipótese de indeferimento ou de aplicação indevida do redutor, a via judicial nos JEFs é o caminho mais célere para a correção.</w:t>
      </w:r>
    </w:p>
    <w:p w14:paraId="698DB6FD" w14:textId="77777777" w:rsidR="005A5FCC" w:rsidRDefault="00A21C81">
      <w:pPr>
        <w:ind w:firstLine="238"/>
      </w:pPr>
      <w:r>
        <w:rPr>
          <w:rFonts w:cs="EB Garamond"/>
          <w:kern w:val="16"/>
          <w14:ligatures w14:val="standardContextual"/>
        </w:rPr>
        <w:lastRenderedPageBreak/>
        <w:t>A regra do art. 24, §4º, é autoaplicável e não depende de regulamentação. Qualquer ato administrativo do INSS que imponha escalonamento a segurado com direito adquirido anterior à EC 103 constitui lesão a direito líquido e certo, passível de correção por via mandamental ou por ação ordinária nos JEFs.</w:t>
      </w:r>
    </w:p>
    <w:p w14:paraId="7CB207F6"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20.8 Auxílio-acidente e aposentadoria: regime especial</w:t>
      </w:r>
    </w:p>
    <w:p w14:paraId="54E8527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6FB080DC" w14:textId="00B04F8C" w:rsidR="005A5FCC" w:rsidRDefault="00A21C81">
      <w:r>
        <w:rPr>
          <w:rFonts w:cs="EB Garamond"/>
          <w:kern w:val="16"/>
          <w14:ligatures w14:val="standardContextual"/>
        </w:rPr>
        <w:t xml:space="preserve"> acumulação de auxílio-acidente com aposentadoria constitui um dos temas de maior densidade jurisprudencial em matéria previdenciária, com evolução normativa que se desenvolve em três fases distintas e bem delimitadas no tempo. A compreensão dessas fases é indispensável para a correta aplicação do regime vigente e para a identificação de situações protegidas pelo direito adquirido.</w:t>
      </w:r>
    </w:p>
    <w:p w14:paraId="614C6BC2" w14:textId="77777777" w:rsidR="005A5FCC" w:rsidRDefault="00A21C81">
      <w:pPr>
        <w:ind w:firstLine="238"/>
      </w:pPr>
      <w:r>
        <w:rPr>
          <w:rFonts w:cs="EB Garamond"/>
          <w:kern w:val="16"/>
          <w14:ligatures w14:val="standardContextual"/>
        </w:rPr>
        <w:t>Na primeira fase, de acumulação livre, que perdurou até 11 de novembro de 1997, o auxílio-acidente ostentava natureza vitalícia e era expressamente acumulável com qualquer aposentadoria. O benefício destinava-se a compensar a redução permanente da capacidade laborativa decorrente de acidente de qualquer natureza, e sua manutenção após a aposentadoria atendia à lógica indenizatória, pois a sequela persistia independentemente da cessação da atividade laborativa. O segurado que sofreu acidente, obteve auxílio-acidente e se aposentou, tudo antes de 11 de novembro de 1997, mantém o direito à acumulação integral, protegido pelo direito adquirido. O INSS não pode cessar o auxílio-acidente desse segurado sob o argumento de superveniência normativa.</w:t>
      </w:r>
    </w:p>
    <w:p w14:paraId="4BCEEAC9" w14:textId="77777777" w:rsidR="005A5FCC" w:rsidRDefault="00A21C81">
      <w:pPr>
        <w:ind w:firstLine="238"/>
      </w:pPr>
      <w:r>
        <w:rPr>
          <w:rFonts w:cs="EB Garamond"/>
          <w:kern w:val="16"/>
          <w14:ligatures w14:val="standardContextual"/>
        </w:rPr>
        <w:t xml:space="preserve">A segunda fase inaugura-se com a Medida Provisória n. 1.596-14, de 10 de novembro de 1997, posteriormente convertida na Lei n. 9.528, de 10 de dezembro de 1997. Essa norma alterou o § 2º do art. 86 da Lei n. 8.213/91, estabelecendo que o auxílio-acidente cessa com a concessão de qualquer aposentadoria. O § 3º, também com nova redação, disciplinou a incorporação do valor do auxílio-acidente ao salário de contribuição para fins de cálculo do benefício definitivo. A vedação é categórica: a partir de 11 de novembro de 1997, não é mais possível receber simultaneamente auxílio-acidente e aposentadoria. A contrapartida </w:t>
      </w:r>
      <w:r>
        <w:rPr>
          <w:rFonts w:cs="EB Garamond"/>
          <w:kern w:val="16"/>
          <w14:ligatures w14:val="standardContextual"/>
        </w:rPr>
        <w:lastRenderedPageBreak/>
        <w:t>dessa vedação reside na incorporação: o valor do auxílio-acidente é computado no salário de contribuição do segurado para fins de cálculo da aposentadoria (art. 86, §2º). O segurado não "perde" a proteção — ela é absorvida pelo cálculo do benefício definitivo.</w:t>
      </w:r>
    </w:p>
    <w:p w14:paraId="5C11FDC8" w14:textId="77777777" w:rsidR="005A5FCC" w:rsidRDefault="00A21C81">
      <w:pPr>
        <w:ind w:firstLine="238"/>
      </w:pPr>
      <w:r>
        <w:rPr>
          <w:rFonts w:cs="EB Garamond"/>
          <w:kern w:val="16"/>
          <w14:ligatures w14:val="standardContextual"/>
        </w:rPr>
        <w:t>A terceira fase corresponde à EC n. 103/2019, que não inovou em relação ao auxílio-acidente. A vedação de acumulação já existia desde 1997, e a Emenda Constitucional não a modificou nem a ampliou. O art. 23 da EC 103 trata de aspectos do cálculo de benefícios e não interfere na regra específica do auxílio-acidente. A menção à EC 103 aqui serve apenas para registrar a continuidade do regime vedatório inaugurado pela Lei n. 9.528/1997. Registramos que o art. 24 da EC 103, ao disciplinar o escalonamento para acumulação de benefícios, não se aplica ao auxílio-acidente. O escalonamento pressupõe acumulação permitida com redutor; no caso do auxílio-acidente após 1997, a vedação é absoluta, e não há espaço para aplicação de redutor sobre benefício cuja percepção simultânea é proibida.</w:t>
      </w:r>
    </w:p>
    <w:p w14:paraId="3941B68D" w14:textId="77777777" w:rsidR="005A5FCC" w:rsidRDefault="00A21C81">
      <w:pPr>
        <w:ind w:firstLine="238"/>
      </w:pPr>
      <w:r>
        <w:rPr>
          <w:rFonts w:cs="EB Garamond"/>
          <w:kern w:val="16"/>
          <w14:ligatures w14:val="standardContextual"/>
        </w:rPr>
        <w:t>A jurisprudência consolidou de forma definitiva o marco temporal de 11 de novembro de 1997 como divisor entre o regime de acumulação livre e o regime de vedação.</w:t>
      </w:r>
    </w:p>
    <w:tbl>
      <w:tblPr>
        <w:tblW w:w="5000" w:type="pct"/>
        <w:jc w:val="center"/>
        <w:tblLayout w:type="fixed"/>
        <w:tblLook w:val="04A0" w:firstRow="1" w:lastRow="0" w:firstColumn="1" w:lastColumn="0" w:noHBand="0" w:noVBand="1"/>
      </w:tblPr>
      <w:tblGrid>
        <w:gridCol w:w="6311"/>
      </w:tblGrid>
      <w:tr w:rsidR="005A5FCC" w14:paraId="29DC8DD5"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29051159" w14:textId="77777777" w:rsidR="005A5FCC" w:rsidRDefault="00A21C81">
            <w:pPr>
              <w:spacing w:after="60" w:line="240" w:lineRule="auto"/>
              <w:jc w:val="left"/>
            </w:pPr>
            <w:r>
              <w:rPr>
                <w:rFonts w:ascii="Noto Sans" w:hAnsi="Noto Sans" w:cs="Noto Sans"/>
                <w:b/>
                <w:caps/>
                <w:color w:val="4D6F8A"/>
                <w:kern w:val="16"/>
                <w:sz w:val="16"/>
                <w14:ligatures w14:val="standardContextual"/>
              </w:rPr>
              <w:lastRenderedPageBreak/>
              <w:t>JURISPRUDÊNCIA EM DESTAQUE</w:t>
            </w:r>
          </w:p>
          <w:p w14:paraId="427739CE" w14:textId="77777777" w:rsidR="005A5FCC" w:rsidRDefault="00A21C81">
            <w:pPr>
              <w:spacing w:after="60" w:line="247" w:lineRule="auto"/>
            </w:pPr>
            <w:r>
              <w:rPr>
                <w:rFonts w:cs="EB Garamond"/>
                <w:b/>
                <w:kern w:val="16"/>
                <w:sz w:val="19"/>
                <w14:ligatures w14:val="standardContextual"/>
              </w:rPr>
              <w:t>Súmula 507/STJ</w:t>
            </w:r>
            <w:r>
              <w:rPr>
                <w:rFonts w:cs="EB Garamond"/>
                <w:kern w:val="16"/>
                <w:sz w:val="19"/>
                <w14:ligatures w14:val="standardContextual"/>
              </w:rPr>
              <w:t xml:space="preserve"> (DJe 17/03/2014): "A acumulação de auxílio-acidente com aposentadoria pressupõe que a lesão incapacitante e a concessão da aposentadoria sejam anteriores a 11/11/1997, observado o critério do art. 23 da Lei 8.213/1991 para definição do momento da lesão nos casos de doença profissional ou do trabalho."</w:t>
            </w:r>
          </w:p>
          <w:p w14:paraId="72F16FB2" w14:textId="77777777" w:rsidR="005A5FCC" w:rsidRDefault="00A21C81">
            <w:pPr>
              <w:spacing w:after="60" w:line="247" w:lineRule="auto"/>
            </w:pPr>
            <w:r>
              <w:rPr>
                <w:rFonts w:cs="EB Garamond"/>
                <w:kern w:val="16"/>
                <w:sz w:val="19"/>
                <w14:ligatures w14:val="standardContextual"/>
              </w:rPr>
              <w:t xml:space="preserve">O </w:t>
            </w:r>
            <w:r>
              <w:rPr>
                <w:rFonts w:cs="EB Garamond"/>
                <w:b/>
                <w:kern w:val="16"/>
                <w:sz w:val="19"/>
                <w14:ligatures w14:val="standardContextual"/>
              </w:rPr>
              <w:t>Tema 555/STJ</w:t>
            </w:r>
            <w:r>
              <w:rPr>
                <w:rFonts w:cs="EB Garamond"/>
                <w:kern w:val="16"/>
                <w:sz w:val="19"/>
                <w14:ligatures w14:val="standardContextual"/>
              </w:rPr>
              <w:t xml:space="preserve"> (REsp 1.296.673/MG), julgado sob o rito dos recursos repetitivos, firmou idêntica tese. A Primeira Seção do STJ assentou que a acumulação de auxílio-acidente com aposentadoria exige dupla anterioridade: tanto a consolidação da lesão incapacitante quanto a concessão da aposentadoria devem ter ocorrido antes de 11 de novembro de 1997. A exigência de dupla anterioridade decorre da natureza do auxílio-acidente como benefício continuado: enquanto o segurado permanece em atividade, o auxílio compensa a redução da capacidade; ao se aposentar, essa compensação é incorporada ao cálculo da aposentadoria, tornando desnecessária a manutenção de dois benefícios simultâneos.</w:t>
            </w:r>
          </w:p>
          <w:p w14:paraId="3356F407" w14:textId="77777777" w:rsidR="005A5FCC" w:rsidRDefault="00A21C81">
            <w:pPr>
              <w:spacing w:after="60" w:line="247" w:lineRule="auto"/>
            </w:pPr>
            <w:r>
              <w:rPr>
                <w:rFonts w:cs="EB Garamond"/>
                <w:kern w:val="16"/>
                <w:sz w:val="19"/>
                <w14:ligatures w14:val="standardContextual"/>
              </w:rPr>
              <w:t>O critério do art. 23 da Lei n. 8.213/91, mencionado na Súmula, refere-se à definição do momento da lesão nas doenças profissionais ou do trabalho: considera-se a data do início da incapacidade laborativa para a atividade habitualmente exercida, ou a data do afastamento, ou a data do diagnóstico, o que ocorrer primeiro.</w:t>
            </w:r>
          </w:p>
        </w:tc>
      </w:tr>
    </w:tbl>
    <w:p w14:paraId="0D39DD54" w14:textId="77777777" w:rsidR="005A5FCC" w:rsidRDefault="005A5FCC">
      <w:pPr>
        <w:spacing w:after="80" w:line="240" w:lineRule="auto"/>
      </w:pPr>
    </w:p>
    <w:p w14:paraId="7FEC94C9"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3214E8D8" w14:textId="77777777" w:rsidR="005A5FCC" w:rsidRDefault="00A21C81">
      <w:r>
        <w:rPr>
          <w:rFonts w:cs="EB Garamond"/>
          <w:kern w:val="16"/>
          <w14:ligatures w14:val="standardContextual"/>
        </w:rPr>
        <w:t xml:space="preserve"> incorporação do auxílio-acidente ao salário de contribuição merece esclarecimento adicional. No regime pós-1997, quando o segurado que recebia auxílio-acidente se aposenta, o valor do auxílio integra a base de cálculo da aposentadoria. Essa incorporação opera automaticamente: o INSS, ao calcular o salário de benefício para fins de aposentadoria, inclui os meses em que o segurado recebeu auxílio-acidente, somando esse valor ao salário de contribuição do período correspondente. O resultado prático é uma aposentadoria de valor superior àquela que seria calculada sem a incorporação, embora o segurado passe a receber um único benefício em lugar de dois.</w:t>
      </w:r>
    </w:p>
    <w:p w14:paraId="673569D4" w14:textId="77777777" w:rsidR="005A5FCC" w:rsidRDefault="00A21C81">
      <w:pPr>
        <w:ind w:firstLine="238"/>
      </w:pPr>
      <w:r>
        <w:rPr>
          <w:rFonts w:cs="EB Garamond"/>
          <w:kern w:val="16"/>
          <w14:ligatures w14:val="standardContextual"/>
        </w:rPr>
        <w:t xml:space="preserve">A mecânica da incorporação, contudo, gera controvérsia quando o segurado permaneceu longo período recebendo auxílio-acidente e seus salários de contribuição variaram ao longo do tempo. A inclusão do auxílio-acidente no salário de contribuição pode elevar substancialmente a média dos maiores salários utilizados no cálculo do benefício. Em contrapartida, o segurado que recebia auxílio-acidente de valor reduzido pode constatar que a incorporação produziu efeito </w:t>
      </w:r>
      <w:r>
        <w:rPr>
          <w:rFonts w:cs="EB Garamond"/>
          <w:kern w:val="16"/>
          <w14:ligatures w14:val="standardContextual"/>
        </w:rPr>
        <w:lastRenderedPageBreak/>
        <w:t>marginal sobre o valor da aposentadoria, sem compensar adequadamente a perda do benefício autônomo. Essa circunstância, embora não altere a regra legal, deve ser verificada pelo advogado ao orientar o segurado sobre os efeitos financeiros concretos da cessação do auxílio-acidente por ocasião da aposentadoria. A conferência do cálculo do salário de benefício apresentado pelo INSS, com especial atenção à inclusão dos valores do auxílio-acidente nos meses correspondentes, é medida prudente que pode revelar erros de apuração em favor do segurado.</w:t>
      </w:r>
    </w:p>
    <w:p w14:paraId="0729CF2C" w14:textId="77777777" w:rsidR="005A5FCC" w:rsidRDefault="00A21C81">
      <w:pPr>
        <w:ind w:firstLine="238"/>
      </w:pPr>
      <w:r>
        <w:rPr>
          <w:rFonts w:cs="EB Garamond"/>
          <w:kern w:val="16"/>
          <w14:ligatures w14:val="standardContextual"/>
        </w:rPr>
        <w:t>O segurado que preenche as condições da dupla anterioridade (lesão e aposentadoria antes de 11/11/1997) e teve seu auxílio-acidente indevidamente cessado pelo INSS pode requerer o restabelecimento do benefício, com pagamento das parcelas vencidas. A prescrição quinquenal atinge apenas as parcelas anteriores aos cinco anos que antecedem o requerimento administrativo ou a propositura da ação judicial; o fundo de direito, por se tratar de relação de trato sucessivo, é imprescritível (Súmula 85/STJ).</w:t>
      </w:r>
    </w:p>
    <w:p w14:paraId="69FD86B3" w14:textId="77777777" w:rsidR="005A5FCC" w:rsidRDefault="00A21C81">
      <w:pPr>
        <w:ind w:firstLine="238"/>
      </w:pPr>
      <w:r>
        <w:rPr>
          <w:rFonts w:cs="EB Garamond"/>
          <w:kern w:val="16"/>
          <w14:ligatures w14:val="standardContextual"/>
        </w:rPr>
        <w:t>Recomendamos ao advogado que, ao analisar caso envolvendo auxílio-acidente e aposentadoria, verifique três elementos com precisão: a data da consolidação da lesão (ou o início da incapacidade parcial), a data da aposentadoria e a data de 11 de novembro de 1997. Somente com a dupla anterioridade a acumulação é juridicamente viável. O desenvolvimento aprofundado do regime jurídico do auxílio-acidente encontra-se nas seções 15.13 e 15.19 deste livro.</w:t>
      </w:r>
    </w:p>
    <w:p w14:paraId="3E257850"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20.9 BPC e acumulação: vedação e opção</w:t>
      </w:r>
    </w:p>
    <w:p w14:paraId="3E85757F"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20F95A36" w14:textId="77777777" w:rsidR="005A5FCC" w:rsidRDefault="00A21C81">
      <w:r>
        <w:rPr>
          <w:rFonts w:cs="EB Garamond"/>
          <w:kern w:val="16"/>
          <w14:ligatures w14:val="standardContextual"/>
        </w:rPr>
        <w:t xml:space="preserve"> Benefício de Prestação Continuada (BPC), disciplinado pelo art. 20 da Lei n. 8.742/1993 (LOAS), submete-se a regime de acumulação próprio, mais restritivo que o aplicável aos benefícios previdenciários. O art. 20, §4º, da LOAS estabelece que o BPC não pode ser acumulado pelo beneficiário com qualquer outro benefício no âmbito da seguridade social ou de outro regime, salvo os da assistência médica e da pensão especial de natureza indenizatória. A vedação é ampla e abrange tanto benefícios previdenciários quanto assistenciais, de qualquer regime.</w:t>
      </w:r>
    </w:p>
    <w:p w14:paraId="190691A0" w14:textId="77777777" w:rsidR="005A5FCC" w:rsidRDefault="00A21C81">
      <w:pPr>
        <w:ind w:firstLine="238"/>
      </w:pPr>
      <w:r>
        <w:rPr>
          <w:rFonts w:cs="EB Garamond"/>
          <w:kern w:val="16"/>
          <w14:ligatures w14:val="standardContextual"/>
        </w:rPr>
        <w:lastRenderedPageBreak/>
        <w:t>A razão da vedação reside na natureza do BPC: trata-se de benefício assistencial, de caráter não contributivo, destinado a amparar idosos e pessoas com deficiência que comprovem não possuir meios de prover a própria manutenção nem de tê-la provida por sua família. Quem recebe benefício previdenciário, que pressupõe filiação ao regime e contribuições, já possui fonte de renda que, em tese, afasta a condição de miserabilidade que justifica o BPC. A acumulação representaria dupla proteção incompatível com a finalidade do benefício assistencial.</w:t>
      </w:r>
    </w:p>
    <w:p w14:paraId="2C0D6FF5" w14:textId="77777777" w:rsidR="005A5FCC" w:rsidRDefault="00A21C81">
      <w:pPr>
        <w:ind w:firstLine="238"/>
      </w:pPr>
      <w:r>
        <w:rPr>
          <w:rFonts w:cs="EB Garamond"/>
          <w:kern w:val="16"/>
          <w14:ligatures w14:val="standardContextual"/>
        </w:rPr>
        <w:t>Diante da vedação, o requerente que preenche os requisitos tanto para o BPC quanto para benefício previdenciário deve exercer a opção pelo mais vantajoso. A opção não é irrevogável: o beneficiário que optou pelo BPC pode, a qualquer tempo, renunciar a ele e requerer o benefício previdenciário, se os requisitos estiverem preenchidos. A recíproca também é verdadeira, observadas as condições de elegibilidade do BPC (renda per capita familiar e, quando aplicável, avaliação de deficiência).</w:t>
      </w:r>
    </w:p>
    <w:p w14:paraId="1A8CD2C3" w14:textId="0EC572B8" w:rsidR="005A5FCC" w:rsidRDefault="00A21C81">
      <w:pPr>
        <w:ind w:firstLine="238"/>
      </w:pPr>
      <w:r>
        <w:rPr>
          <w:rFonts w:cs="EB Garamond"/>
          <w:kern w:val="16"/>
          <w14:ligatures w14:val="standardContextual"/>
        </w:rPr>
        <w:t xml:space="preserve">A Turma Nacional de Uniformização fixou balizas relevantes para essa opção. O Tema 253/TNU assentou a inacumulabilidade do BPC com o auxílio-acidente, determinando que o beneficiário opte por aquele que lhe for mais favorável. A decisão reconheceu que ambos os benefícios possuem finalidade distinta (o auxílio-acidente compensa a redução da capacidade laborativa; o BPC ampara a pessoa que não possui meios de subsistência), mas a percepção simultânea viola a regra do art. 20, §4º, da LOAS. O Tema 284/TNU reconheceu que dependentes podem renunciar à cota de pensão por morte para viabilizar o recebimento do BPC, quando este se mostrar globalmente mais vantajoso. Essa hipótese ocorre, por exemplo, quando a cota individual da pensão por morte é inferior ao </w:t>
      </w:r>
      <w:r w:rsidR="00FF66A2">
        <w:rPr>
          <w:rFonts w:cs="EB Garamond"/>
          <w:kern w:val="16"/>
          <w14:ligatures w14:val="standardContextual"/>
        </w:rPr>
        <w:t>salário-mínimo</w:t>
      </w:r>
      <w:r>
        <w:rPr>
          <w:rFonts w:cs="EB Garamond"/>
          <w:kern w:val="16"/>
          <w14:ligatures w14:val="standardContextual"/>
        </w:rPr>
        <w:t xml:space="preserve"> e o dependente preenche os requisitos do BPC: ao renunciar à cota, o dependente afasta a vedação de acumulação e passa a receber o BPC no valor integral do salário</w:t>
      </w:r>
      <w:r w:rsidR="00FF66A2">
        <w:rPr>
          <w:rFonts w:cs="EB Garamond"/>
          <w:kern w:val="16"/>
          <w14:ligatures w14:val="standardContextual"/>
        </w:rPr>
        <w:t>-</w:t>
      </w:r>
      <w:r>
        <w:rPr>
          <w:rFonts w:cs="EB Garamond"/>
          <w:kern w:val="16"/>
          <w14:ligatures w14:val="standardContextual"/>
        </w:rPr>
        <w:t>mínimo.</w:t>
      </w:r>
    </w:p>
    <w:p w14:paraId="277E44A1" w14:textId="77777777" w:rsidR="005A5FCC" w:rsidRDefault="00A21C81">
      <w:pPr>
        <w:ind w:firstLine="238"/>
      </w:pPr>
      <w:r>
        <w:rPr>
          <w:rFonts w:cs="EB Garamond"/>
          <w:kern w:val="16"/>
          <w14:ligatures w14:val="standardContextual"/>
        </w:rPr>
        <w:t xml:space="preserve">A Lei n. 14.176/2021 introduziu o auxílio-inclusão como mecanismo de transição entre o BPC e o mercado de trabalho. O beneficiário do BPC que ingressa em atividade remunerada tem o BPC suspenso (não cessado) e passa a receber o auxílio-inclusão, com garantia de reativação do BPC caso a atividade laborativa se encerre. Esse mecanismo representa alternativa à vedação absoluta, ao permitir que a pessoa com deficiência experimente a inserção no mercado de trabalho sem </w:t>
      </w:r>
      <w:r>
        <w:rPr>
          <w:rFonts w:cs="EB Garamond"/>
          <w:kern w:val="16"/>
          <w14:ligatures w14:val="standardContextual"/>
        </w:rPr>
        <w:lastRenderedPageBreak/>
        <w:t>o risco de perder definitivamente a proteção assistencial. O desenvolvimento detalhado do auxílio-inclusão encontra-se na seção 18.22 deste livro.</w:t>
      </w:r>
    </w:p>
    <w:p w14:paraId="321B9A66" w14:textId="77777777" w:rsidR="005A5FCC" w:rsidRDefault="00A21C81">
      <w:pPr>
        <w:ind w:firstLine="238"/>
      </w:pPr>
      <w:r>
        <w:rPr>
          <w:rFonts w:cs="EB Garamond"/>
          <w:kern w:val="16"/>
          <w14:ligatures w14:val="standardContextual"/>
        </w:rPr>
        <w:t>O BPC apresenta duas características que o distinguem dos benefícios previdenciários e que devem ser consideradas na análise comparativa: não gera direito ao 13º salário e não gera pensão por morte para dependentes. O benefício tem natureza personalíssima e se extingue com a morte do beneficiário, sem qualquer repercussão em favor de terceiros. Essa circunstância torna o benefício previdenciário, na esmagadora maioria dos casos, globalmente mais vantajoso que o BPC, mesmo quando os valores mensais são idênticos.</w:t>
      </w:r>
    </w:p>
    <w:tbl>
      <w:tblPr>
        <w:tblW w:w="5000" w:type="pct"/>
        <w:jc w:val="center"/>
        <w:tblLayout w:type="fixed"/>
        <w:tblLook w:val="04A0" w:firstRow="1" w:lastRow="0" w:firstColumn="1" w:lastColumn="0" w:noHBand="0" w:noVBand="1"/>
      </w:tblPr>
      <w:tblGrid>
        <w:gridCol w:w="6311"/>
      </w:tblGrid>
      <w:tr w:rsidR="005A5FCC" w14:paraId="22D9ED4F"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67FF0096"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3CC669E9" w14:textId="614BD492" w:rsidR="005A5FCC" w:rsidRDefault="00A21C81">
            <w:pPr>
              <w:spacing w:after="60" w:line="247" w:lineRule="auto"/>
            </w:pPr>
            <w:r>
              <w:rPr>
                <w:rFonts w:cs="EB Garamond"/>
                <w:b/>
                <w:kern w:val="16"/>
                <w:sz w:val="19"/>
                <w14:ligatures w14:val="standardContextual"/>
              </w:rPr>
              <w:t>Quando o BPC é mais vantajoso que o benefício previdenciário</w:t>
            </w:r>
            <w:r>
              <w:rPr>
                <w:rFonts w:cs="EB Garamond"/>
                <w:kern w:val="16"/>
                <w:sz w:val="19"/>
                <w14:ligatures w14:val="standardContextual"/>
              </w:rPr>
              <w:t>: essa hipótese é rara, mas possível quando o segurado tem direito apenas a benefício previdenciário de valor muito reduzido. O advogado deve comparar: BPC (R$ 1.621,00 em 2026, sem 13º, sem pensão por morte) versus benefício previdenciário (valor variável, com 13º e com possibilidade de gerar pensão por morte). A garantia constitucional do piso (</w:t>
            </w:r>
            <w:r w:rsidR="00FF66A2">
              <w:rPr>
                <w:rFonts w:cs="EB Garamond"/>
                <w:kern w:val="16"/>
                <w:sz w:val="19"/>
                <w14:ligatures w14:val="standardContextual"/>
              </w:rPr>
              <w:t>salário-mínimo</w:t>
            </w:r>
            <w:r>
              <w:rPr>
                <w:rFonts w:cs="EB Garamond"/>
                <w:kern w:val="16"/>
                <w:sz w:val="19"/>
                <w14:ligatures w14:val="standardContextual"/>
              </w:rPr>
              <w:t>) para benefícios substitutivos da renda reduz drasticamente as hipóteses em que o BPC supera o benefício previdenciário. Na quase totalidade dos casos, o benefício contributivo é mais vantajoso quando considerado o pacote completo (valor mensal + 13º + pensão por morte para dependentes). O exame aprofundado do BPC e suas interfaces está nas seções 18.20 e 18.22 deste livro.</w:t>
            </w:r>
          </w:p>
        </w:tc>
      </w:tr>
    </w:tbl>
    <w:p w14:paraId="1D71A520" w14:textId="77777777" w:rsidR="005A5FCC" w:rsidRDefault="005A5FCC">
      <w:pPr>
        <w:spacing w:after="80" w:line="240" w:lineRule="auto"/>
      </w:pPr>
    </w:p>
    <w:p w14:paraId="2BD883A9"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20.10 Incapacidade e acumulação: atividades simultâneas</w:t>
      </w:r>
    </w:p>
    <w:p w14:paraId="2C3FA55D"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20B7B8C1" w14:textId="77777777" w:rsidR="005A5FCC" w:rsidRDefault="00A21C81">
      <w:r>
        <w:rPr>
          <w:rFonts w:cs="EB Garamond"/>
          <w:kern w:val="16"/>
          <w14:ligatures w14:val="standardContextual"/>
        </w:rPr>
        <w:t xml:space="preserve"> vedação de acumulação entre aposentadoria e auxílio por incapacidade temporária, inscrita no art. 124, inciso II, da Lei n. 8.213/91, gera consequências práticas que ultrapassam a simples regra de inacumulabilidade. A vedação ganha contornos específicos quando o segurado exerce atividades simultâneas ou quando retorna ao mercado de trabalho após aposentar-se.</w:t>
      </w:r>
    </w:p>
    <w:p w14:paraId="43378108" w14:textId="77777777" w:rsidR="005A5FCC" w:rsidRDefault="00A21C81">
      <w:pPr>
        <w:ind w:firstLine="238"/>
      </w:pPr>
      <w:r>
        <w:rPr>
          <w:rFonts w:cs="EB Garamond"/>
          <w:kern w:val="16"/>
          <w14:ligatures w14:val="standardContextual"/>
        </w:rPr>
        <w:lastRenderedPageBreak/>
        <w:t>A vedação do art. 124, II, e sua aplicação ao aposentado que retorna ao trabalho foram examinadas na seção 20.2, supra. A consequência prática é severa: o empregador paga a remuneração apenas durante os primeiros 15 dias de afastamento; após esse período, o aposentado incapacitado para a nova atividade perde a remuneração sem receber qualquer benefício substitutivo. Parcela da doutrina sustenta que essa situação configura contribuição sem causa (v. Seção 7.15 para o exame detalhado da controvérsia).</w:t>
      </w:r>
    </w:p>
    <w:p w14:paraId="435DDD3B" w14:textId="77777777" w:rsidR="005A5FCC" w:rsidRDefault="00A21C81">
      <w:pPr>
        <w:ind w:firstLine="238"/>
      </w:pPr>
      <w:r>
        <w:rPr>
          <w:rFonts w:cs="EB Garamond"/>
          <w:kern w:val="16"/>
          <w14:ligatures w14:val="standardContextual"/>
        </w:rPr>
        <w:t>A situação do segurado que exerce mais de uma atividade simultânea e sofre incapacidade parcial, que o afeta para uma atividade mas não para outra, é disciplinada pelo art. 73, §2º, do Decreto n. 3.048/99. A norma regulamentar distingue duas hipóteses. Se as atividades simultâneas pertencem à mesma profissão ou guardam identidade funcional, a incapacidade para uma delas presume incapacidade para todas, e o segurado deve afastar-se de todas as atividades para receber o auxílio por incapacidade temporária. Se, ao contrário, as atividades pertencem a profissões distintas e a incapacidade é específica para apenas uma delas, o segurado pode continuar exercendo a atividade não afetada e receber o auxílio por incapacidade temporária relativo à atividade para a qual está incapacitado.</w:t>
      </w:r>
    </w:p>
    <w:p w14:paraId="02FD0BA9" w14:textId="77777777" w:rsidR="005A5FCC" w:rsidRDefault="00A21C81">
      <w:pPr>
        <w:ind w:firstLine="238"/>
      </w:pPr>
      <w:r>
        <w:rPr>
          <w:rFonts w:cs="EB Garamond"/>
          <w:kern w:val="16"/>
          <w14:ligatures w14:val="standardContextual"/>
        </w:rPr>
        <w:t>A segunda hipótese merece atenção. Consideremos o exemplo do profissional que atua como médico cirurgião (atividade vinculada ao RGPS) e como professor universitário (atividade vinculada ao RPPS). Uma lesão na mão que o incapacite para a cirurgia pode não afetar sua capacidade de ministrar aulas. Nesse caso, o segurado faz jus ao auxílio por incapacidade temporária pela atividade médica enquanto continua recebendo a remuneração pela atividade docente. Não se trata de acumulação vedada pelo art. 124, porque o segurado não acumula dois benefícios previdenciários — acumula um benefício (auxílio por incapacidade temporária) com a remuneração de atividade laboral efetivamente exercida.</w:t>
      </w:r>
    </w:p>
    <w:p w14:paraId="40B50319" w14:textId="77777777" w:rsidR="005A5FCC" w:rsidRDefault="00A21C81">
      <w:pPr>
        <w:ind w:firstLine="238"/>
      </w:pPr>
      <w:r>
        <w:rPr>
          <w:rFonts w:cs="EB Garamond"/>
          <w:kern w:val="16"/>
          <w14:ligatures w14:val="standardContextual"/>
        </w:rPr>
        <w:t xml:space="preserve">A perícia médica judicial, nesses casos, desempenha papel central. O perito deve ser instado a examinar a capacidade laborativa de forma segmentada, avaliando cada atividade em separado e pronunciando-se sobre a existência ou não de incapacidade específica para cada uma delas. A pergunta não deve ser genérica ("o segurado está incapaz para o trabalho?"), mas direcionada ("o segurado está incapaz para a atividade A? E para a atividade B?"). Laudos que respondem apenas de </w:t>
      </w:r>
      <w:r>
        <w:rPr>
          <w:rFonts w:cs="EB Garamond"/>
          <w:kern w:val="16"/>
          <w14:ligatures w14:val="standardContextual"/>
        </w:rPr>
        <w:lastRenderedPageBreak/>
        <w:t>forma global à questão da incapacidade são insuficientes para a adequada solução do caso.</w:t>
      </w:r>
    </w:p>
    <w:p w14:paraId="7B44B278" w14:textId="77777777" w:rsidR="005A5FCC" w:rsidRDefault="00A21C81">
      <w:pPr>
        <w:ind w:firstLine="238"/>
      </w:pPr>
      <w:r>
        <w:rPr>
          <w:rFonts w:cs="EB Garamond"/>
          <w:kern w:val="16"/>
          <w14:ligatures w14:val="standardContextual"/>
        </w:rPr>
        <w:t>O juiz dos JEFs deve estar atento à formulação dos quesitos quando deferir a perícia. Os quesitos padrão utilizados nas ações de incapacidade não contemplam, em regra, a hipótese de atividades simultâneas. O magistrado pode, de ofício ou a requerimento das partes, incluir quesitos complementares que indaguem sobre a capacidade específica para cada atividade declarada pelo segurado. A informação sobre as atividades exercidas deve constar da petição inicial, acompanhada de descrição das exigências funcionais de cada uma, para que o perito disponha de elementos suficientes para a avaliação segmentada.</w:t>
      </w:r>
    </w:p>
    <w:tbl>
      <w:tblPr>
        <w:tblW w:w="5000" w:type="pct"/>
        <w:jc w:val="center"/>
        <w:tblLayout w:type="fixed"/>
        <w:tblLook w:val="04A0" w:firstRow="1" w:lastRow="0" w:firstColumn="1" w:lastColumn="0" w:noHBand="0" w:noVBand="1"/>
      </w:tblPr>
      <w:tblGrid>
        <w:gridCol w:w="6311"/>
      </w:tblGrid>
      <w:tr w:rsidR="005A5FCC" w14:paraId="3DD7150E"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157F9504"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5A8471D3" w14:textId="77777777" w:rsidR="005A5FCC" w:rsidRDefault="00A21C81">
            <w:pPr>
              <w:spacing w:after="60" w:line="247" w:lineRule="auto"/>
            </w:pPr>
            <w:r>
              <w:rPr>
                <w:rFonts w:cs="EB Garamond"/>
                <w:b/>
                <w:kern w:val="16"/>
                <w:sz w:val="19"/>
                <w14:ligatures w14:val="standardContextual"/>
              </w:rPr>
              <w:t>Petição em caso de atividades simultâneas com incapacidade parcial</w:t>
            </w:r>
          </w:p>
          <w:p w14:paraId="260F8E69" w14:textId="77777777" w:rsidR="005A5FCC" w:rsidRDefault="00A21C81">
            <w:pPr>
              <w:spacing w:after="60" w:line="247" w:lineRule="auto"/>
            </w:pPr>
            <w:r>
              <w:rPr>
                <w:rFonts w:cs="EB Garamond"/>
                <w:kern w:val="16"/>
                <w:sz w:val="19"/>
                <w14:ligatures w14:val="standardContextual"/>
              </w:rPr>
              <w:t>O advogado deve: (a) demonstrar a existência de duas ou mais atividades simultâneas e sua natureza profissional distinta, mediante contratos de trabalho, contracheques, declaração de imposto de renda e registros no CNIS; (b) requerer perícia médica com quesitos específicos sobre a capacidade para cada atividade individualmente; (c) juntar laudos médicos particulares que diferenciem as exigências funcionais de cada atividade (esforço físico, acuidade visual, destreza manual, carga cognitiva); (d) formular pedido de auxílio por incapacidade temporária calculado exclusivamente sobre o salário de contribuição da atividade para a qual o segurado está incapacitado; (e) esclarecer que a remuneração da atividade não afetada não constitui acumulação vedada, mas exercício regular de atividade laborativa compatível com a capacidade residual do segurado.</w:t>
            </w:r>
          </w:p>
        </w:tc>
      </w:tr>
    </w:tbl>
    <w:p w14:paraId="7F4F9BCA" w14:textId="77777777" w:rsidR="005A5FCC" w:rsidRDefault="005A5FCC">
      <w:pPr>
        <w:spacing w:after="80" w:line="240" w:lineRule="auto"/>
      </w:pPr>
    </w:p>
    <w:p w14:paraId="2C188F31"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453A198D" w14:textId="77777777" w:rsidR="005A5FCC" w:rsidRDefault="00A21C81">
      <w:r>
        <w:rPr>
          <w:rFonts w:cs="EB Garamond"/>
          <w:kern w:val="16"/>
          <w14:ligatures w14:val="standardContextual"/>
        </w:rPr>
        <w:t xml:space="preserve"> questão da reabilitação profissional conecta-se diretamente com o tema das atividades simultâneas. O segurado que exerce duas atividades e é considerado incapaz para apenas uma delas não será encaminhado à reabilitação profissional pelo INSS, pois mantém capacidade laborativa para a outra atividade. A reabilitação destina-se ao segurado que não consegue retornar à atividade habitual e precisa ser preparado para outra função. Quando o segurado já exerce outra função e mantém capacidade para ela, a reabilitação é desnecessária. O auxílio por incapacidade temporária será mantido enquanto persistir a in</w:t>
      </w:r>
      <w:r>
        <w:rPr>
          <w:rFonts w:cs="EB Garamond"/>
          <w:kern w:val="16"/>
          <w14:ligatures w14:val="standardContextual"/>
        </w:rPr>
        <w:lastRenderedPageBreak/>
        <w:t>capacidade para a atividade específica, cessando quando o perito constatar a recuperação da capacidade ou quando ficar configurada a incapacidade permanente, hipótese em que o benefício será convertido em aposentadoria por incapacidade permanente.</w:t>
      </w:r>
    </w:p>
    <w:p w14:paraId="60F30C63" w14:textId="77777777" w:rsidR="005A5FCC" w:rsidRDefault="00A21C81">
      <w:pPr>
        <w:ind w:firstLine="238"/>
      </w:pPr>
      <w:r>
        <w:rPr>
          <w:rFonts w:cs="EB Garamond"/>
          <w:kern w:val="16"/>
          <w14:ligatures w14:val="standardContextual"/>
        </w:rPr>
        <w:t>Conforme exposto na seção 20.2 (inciso V), a vedação de acumulação entre salário-maternidade e auxílio por incapacidade temporária é expressa no art. 124 da Lei 8.213/91. A mecânica de suspensão e retomada do auxílio é examinada no Cap. 13, seção 13.11.</w:t>
      </w:r>
    </w:p>
    <w:p w14:paraId="672F2DD2"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20.11 Compensação judicial de benefícios não acumuláveis</w:t>
      </w:r>
    </w:p>
    <w:p w14:paraId="17FDB4CC"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7B0DB1F9" w14:textId="77777777" w:rsidR="005A5FCC" w:rsidRDefault="00A21C81">
      <w:r>
        <w:rPr>
          <w:rFonts w:cs="EB Garamond"/>
          <w:kern w:val="16"/>
          <w14:ligatures w14:val="standardContextual"/>
        </w:rPr>
        <w:t xml:space="preserve"> concessão judicial de benefício previdenciário a segurado que já recebe outro benefício não acumulável impõe a solução de um problema prático de grande relevância para os JEFs: como tratar os valores pagos administrativamente durante o período em que tramitou a ação judicial. O segurado recebia um benefício pelo INSS; a sentença concede outro, mais vantajoso, retroativo à data do requerimento administrativo ou do óbito. Os dois benefícios não são acumuláveis. O segurado, por orientação do advogado ou por necessidade alimentar, manteve o benefício administrativo durante toda a tramitação do processo, pois não seria razoável exigir a renúncia a uma fonte de renda certa em favor de pretensão judicial incerta. A pergunta é direta: como calcular o que é efetivamente devido ao segurado na fase de liquidação?</w:t>
      </w:r>
    </w:p>
    <w:p w14:paraId="5771A2AE" w14:textId="77777777" w:rsidR="005A5FCC" w:rsidRDefault="00A21C81">
      <w:pPr>
        <w:ind w:firstLine="238"/>
      </w:pPr>
      <w:r>
        <w:rPr>
          <w:rFonts w:cs="EB Garamond"/>
          <w:kern w:val="16"/>
          <w14:ligatures w14:val="standardContextual"/>
        </w:rPr>
        <w:t>A questão tem relevância prática expressiva nos JEFs, pois abrange múltiplas situações: segurado que recebia aposentadoria por idade e obteve judicialmente aposentadoria por tempo de contribuição mais vantajosa; dependente que recebia pensão por morte e obteve outra pensão por morte de valor superior em regime diverso, com inacumulabilidade; segurado que recebia benefício assistencial e obteve benefício previdenciário retroativo. Em todos esses casos, o período de sobreposição gera a necessidade de compensação, e o método adotado para essa compensação pode significar diferença de milhares de reais no valor final devido ao beneficiário.</w:t>
      </w:r>
    </w:p>
    <w:p w14:paraId="3D7AC58D" w14:textId="77777777" w:rsidR="005A5FCC" w:rsidRDefault="00A21C81">
      <w:pPr>
        <w:ind w:firstLine="238"/>
      </w:pPr>
      <w:r>
        <w:rPr>
          <w:rFonts w:cs="EB Garamond"/>
          <w:kern w:val="16"/>
          <w14:ligatures w14:val="standardContextual"/>
        </w:rPr>
        <w:lastRenderedPageBreak/>
        <w:t>Até o julgamento do Tema 1.207 pelo STJ, a matéria gerava divergência entre as turmas recursais e entre os tribunais regionais federais. Duas correntes disputavam prevalência. A primeira sustentava que a compensação deveria ser feita globalmente: somavam-se todos os valores pagos administrativamente e todos os valores devidos judicialmente, apurando-se a diferença global. Essa metodologia, embora simplificada do ponto de vista contábil, produzia distorções graves: em meses nos quais o benefício administrativo era superior ao judicial (por reajustes diferenciados, por exemplo), o saldo negativo de um mês era transferido para compensar o saldo positivo de outros meses, reduzindo artificialmente o montante devido ao beneficiário. No limite, poderia ocorrer a chamada "execução invertida", em que o beneficiário, em vez de receber diferenças, passava a dever ao INSS.</w:t>
      </w:r>
    </w:p>
    <w:p w14:paraId="29F991FC" w14:textId="77777777" w:rsidR="005A5FCC" w:rsidRDefault="00A21C81">
      <w:pPr>
        <w:ind w:firstLine="238"/>
      </w:pPr>
      <w:r>
        <w:rPr>
          <w:rFonts w:cs="EB Garamond"/>
          <w:kern w:val="16"/>
          <w14:ligatures w14:val="standardContextual"/>
        </w:rPr>
        <w:t>A segunda corrente, que prevaleceu, sustentava que a compensação deveria ser realizada mês a mês, competência por competência, sem transferência de saldos negativos entre períodos.</w:t>
      </w:r>
    </w:p>
    <w:tbl>
      <w:tblPr>
        <w:tblW w:w="5000" w:type="pct"/>
        <w:jc w:val="center"/>
        <w:tblLayout w:type="fixed"/>
        <w:tblLook w:val="04A0" w:firstRow="1" w:lastRow="0" w:firstColumn="1" w:lastColumn="0" w:noHBand="0" w:noVBand="1"/>
      </w:tblPr>
      <w:tblGrid>
        <w:gridCol w:w="6311"/>
      </w:tblGrid>
      <w:tr w:rsidR="005A5FCC" w14:paraId="16AD056E"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66622944" w14:textId="77777777" w:rsidR="005A5FCC" w:rsidRDefault="00A21C81">
            <w:pPr>
              <w:spacing w:after="60" w:line="240" w:lineRule="auto"/>
              <w:jc w:val="left"/>
            </w:pPr>
            <w:r>
              <w:rPr>
                <w:rFonts w:ascii="Noto Sans" w:hAnsi="Noto Sans" w:cs="Noto Sans"/>
                <w:b/>
                <w:caps/>
                <w:color w:val="4D6F8A"/>
                <w:kern w:val="16"/>
                <w:sz w:val="16"/>
                <w14:ligatures w14:val="standardContextual"/>
              </w:rPr>
              <w:t>JURISPRUDÊNCIA EM DESTAQUE</w:t>
            </w:r>
          </w:p>
          <w:p w14:paraId="5ED602CC" w14:textId="77777777" w:rsidR="005A5FCC" w:rsidRDefault="00A21C81">
            <w:pPr>
              <w:spacing w:after="60" w:line="247" w:lineRule="auto"/>
            </w:pPr>
            <w:r>
              <w:rPr>
                <w:rFonts w:cs="EB Garamond"/>
                <w:b/>
                <w:kern w:val="16"/>
                <w:sz w:val="19"/>
                <w14:ligatures w14:val="standardContextual"/>
              </w:rPr>
              <w:t>Tema 1.207/STJ</w:t>
            </w:r>
            <w:r>
              <w:rPr>
                <w:rFonts w:cs="EB Garamond"/>
                <w:kern w:val="16"/>
                <w:sz w:val="19"/>
                <w14:ligatures w14:val="standardContextual"/>
              </w:rPr>
              <w:t xml:space="preserve"> (julgado em 20/06/2024, Primeira Seção)</w:t>
            </w:r>
          </w:p>
          <w:p w14:paraId="533637EE" w14:textId="77777777" w:rsidR="005A5FCC" w:rsidRDefault="00A21C81">
            <w:pPr>
              <w:spacing w:after="60" w:line="247" w:lineRule="auto"/>
            </w:pPr>
            <w:r>
              <w:rPr>
                <w:rFonts w:cs="EB Garamond"/>
                <w:kern w:val="16"/>
                <w:sz w:val="19"/>
                <w14:ligatures w14:val="standardContextual"/>
              </w:rPr>
              <w:t>Tese fixada: "A compensação de prestações previdenciárias recebidas na via administrativa, quando da elaboração de cálculos em cumprimento de sentença concessiva de outro benefício, com elas não acumulável, deve ser feita mês a mês, no limite, para cada competência, do valor correspondente ao título judicial, não devendo ser apurado valor mensal ou final negativo ao beneficiário, de modo a evitar a execução invertida ou a restituição indevida."</w:t>
            </w:r>
          </w:p>
          <w:p w14:paraId="620C8DE9" w14:textId="77777777" w:rsidR="005A5FCC" w:rsidRDefault="00A21C81">
            <w:pPr>
              <w:spacing w:after="60" w:line="247" w:lineRule="auto"/>
            </w:pPr>
            <w:r>
              <w:rPr>
                <w:rFonts w:cs="EB Garamond"/>
                <w:kern w:val="16"/>
                <w:sz w:val="19"/>
                <w14:ligatures w14:val="standardContextual"/>
              </w:rPr>
              <w:t>O fundamento da tese reside na vedação do enriquecimento sem causa conjugada com a proteção ao caráter alimentar do benefício previdenciário. O beneficiário que recebeu valores do INSS de boa-fé, a título de benefício legitimamente concedido, não pode ser penalizado por ter exercido direito ao benefício administrativo enquanto buscava judicialmente benefício mais vantajoso. A compensação mês a mês assegura que o INSS não pague duas vezes pelo mesmo período, sem impor ao segurado a devolução de valores que integram verba de natureza alimentar.</w:t>
            </w:r>
          </w:p>
        </w:tc>
      </w:tr>
    </w:tbl>
    <w:p w14:paraId="06B60204" w14:textId="77777777" w:rsidR="005A5FCC" w:rsidRDefault="005A5FCC">
      <w:pPr>
        <w:spacing w:after="80" w:line="240" w:lineRule="auto"/>
      </w:pPr>
    </w:p>
    <w:p w14:paraId="0F77F7A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A</w:t>
      </w:r>
    </w:p>
    <w:p w14:paraId="08644485" w14:textId="77777777" w:rsidR="005A5FCC" w:rsidRDefault="00A21C81">
      <w:r>
        <w:rPr>
          <w:rFonts w:cs="EB Garamond"/>
          <w:kern w:val="16"/>
          <w14:ligatures w14:val="standardContextual"/>
        </w:rPr>
        <w:t>s consequências práticas da tese são cinco. Primeiro, a compensação é realizada competência por competência: para cada mês, verifica-se o valor devido judicialmente e o valor pago administrativamente. Segundo, em cada competência, deduz-se do valor judicial o valor administrativo. Terceiro, se em determinado mês o valor administrativo superar o judicial, o resultado daquele mês é zero, e o excedente não é carregado para meses subsequentes nem para apuração final. Quarto, o beneficiário nunca fica devedor do INSS ao final da liquidação, pois a compensação não gera débito. Quinto, veda-se a chamada "execução invertida", em que o INSS, ao invés de pagar diferenças ao segurado, cobraria dele valores supostamente pagos a maior.</w:t>
      </w:r>
    </w:p>
    <w:p w14:paraId="09A5520D" w14:textId="77777777" w:rsidR="005A5FCC" w:rsidRDefault="00A21C81">
      <w:pPr>
        <w:ind w:firstLine="238"/>
      </w:pPr>
      <w:r>
        <w:rPr>
          <w:rFonts w:cs="EB Garamond"/>
          <w:kern w:val="16"/>
          <w14:ligatures w14:val="standardContextual"/>
        </w:rPr>
        <w:t>Ilustremos com exemplo numérico. Suponhamos que o segurado recebia aposentadoria administrativa de R$ 2.000,00 mensais. A sentença transitada em julgado concedeu pensão por morte retroativa de R$ 3.000,00 mensais, benefício não acumulável com a aposentadoria que o segurado optou por substituir. Para os meses em que a aposentadoria era R$ 2.000,00 e a pensão devida R$ 3.000,00, o saldo é R$ 1.000,00 em favor do segurado. Se em determinado mês, por força de reajuste diferenciado, a aposentadoria atingiu R$ 3.500,00 enquanto a pensão era R$ 3.000,00, o saldo daquele mês é R$ 0,00 (nunca R$ −500,00). O excedente de R$ 500,00 não é compensado em meses anteriores ou posteriores.</w:t>
      </w:r>
    </w:p>
    <w:p w14:paraId="264964E3" w14:textId="77777777" w:rsidR="005A5FCC" w:rsidRDefault="00A21C81">
      <w:pPr>
        <w:ind w:firstLine="238"/>
      </w:pPr>
      <w:r>
        <w:rPr>
          <w:rFonts w:cs="EB Garamond"/>
          <w:kern w:val="16"/>
          <w14:ligatures w14:val="standardContextual"/>
        </w:rPr>
        <w:t>O impacto nos JEFs é significativo. A tese do Tema 1.207 simplifica a liquidação de sentença em ações envolvendo benefícios não acumuláveis, ao estabelecer metodologia clara e uniforme para os contadores judiciais. Antes do julgamento, cada Vara Federal e cada turma recursal aplicavam critérios distintos, gerando insegurança jurídica e multiplicando impugnações à conta de liquidação. Com a fixação da tese em recurso repetitivo, a metodologia é vinculante para todos os órgãos do Poder Judiciário, padronizando a liquidação e reduzindo o contencioso na fase de cumprimento de sentença.</w:t>
      </w:r>
    </w:p>
    <w:p w14:paraId="68B019BA" w14:textId="77777777" w:rsidR="005A5FCC" w:rsidRDefault="00A21C81">
      <w:pPr>
        <w:ind w:firstLine="238"/>
      </w:pPr>
      <w:r>
        <w:rPr>
          <w:rFonts w:cs="EB Garamond"/>
          <w:kern w:val="16"/>
          <w14:ligatures w14:val="standardContextual"/>
        </w:rPr>
        <w:t xml:space="preserve">A aplicação do Tema 1.207 exige atenção a um detalhe operacional que frequentemente passa despercebido: a obtenção dos valores exatos pagos administrativamente em cada competência. O INSS dispõe dessa informação em seus sistemas, mas nem sempre a fornece de forma espontânea ou detalhada. O advogado deve requerer ao juízo a expedição de ofício ao INSS para apresentação do extrato </w:t>
      </w:r>
      <w:r>
        <w:rPr>
          <w:rFonts w:cs="EB Garamond"/>
          <w:kern w:val="16"/>
          <w14:ligatures w14:val="standardContextual"/>
        </w:rPr>
        <w:lastRenderedPageBreak/>
        <w:t>de pagamentos discriminado por competência, incluindo o valor principal, a parcela de 13º salário proporcional e eventuais abonos ou diferenças pagas em cada mês. Sem essa informação detalhada, a compensação mês a mês torna-se imprecisa e sujeita a impugnação. Quando o INSS não apresenta o extrato no prazo fixado pelo juízo, o contador judicial pode utilizar subsidiariamente os dados disponíveis no CNIS e no histórico de créditos do beneficiário, ressalvando eventuais divergências para futura complementação.</w:t>
      </w:r>
    </w:p>
    <w:p w14:paraId="46D7D66D" w14:textId="77777777" w:rsidR="005A5FCC" w:rsidRDefault="00A21C81">
      <w:pPr>
        <w:ind w:firstLine="238"/>
      </w:pPr>
      <w:r>
        <w:rPr>
          <w:rFonts w:cs="EB Garamond"/>
          <w:kern w:val="16"/>
          <w14:ligatures w14:val="standardContextual"/>
        </w:rPr>
        <w:t>O 13º salário merece tratamento específico na compensação. Como benefício previdenciário autônomo, o 13º deve ser compensado em separado: o 13º do benefício administrativo é deduzido do 13º do benefício judicial, aplicando-se a mesma regra de limitação ao saldo zero. A mistura do 13º com as parcelas mensais na compensação global é erro metodológico que a tese do Tema 1.207 não autoriza.</w:t>
      </w:r>
    </w:p>
    <w:tbl>
      <w:tblPr>
        <w:tblW w:w="5000" w:type="pct"/>
        <w:jc w:val="center"/>
        <w:tblLayout w:type="fixed"/>
        <w:tblLook w:val="04A0" w:firstRow="1" w:lastRow="0" w:firstColumn="1" w:lastColumn="0" w:noHBand="0" w:noVBand="1"/>
      </w:tblPr>
      <w:tblGrid>
        <w:gridCol w:w="6311"/>
      </w:tblGrid>
      <w:tr w:rsidR="005A5FCC" w14:paraId="696A15FA"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6149F5FA"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6D6E649D" w14:textId="77777777" w:rsidR="005A5FCC" w:rsidRDefault="00A21C81">
            <w:pPr>
              <w:spacing w:after="60" w:line="247" w:lineRule="auto"/>
            </w:pPr>
            <w:r>
              <w:rPr>
                <w:rFonts w:cs="EB Garamond"/>
                <w:b/>
                <w:kern w:val="16"/>
                <w:sz w:val="19"/>
                <w14:ligatures w14:val="standardContextual"/>
              </w:rPr>
              <w:t>Orientação para liquidação de sentença com compensação</w:t>
            </w:r>
          </w:p>
          <w:p w14:paraId="3F16D159" w14:textId="77777777" w:rsidR="005A5FCC" w:rsidRDefault="00A21C81">
            <w:pPr>
              <w:spacing w:after="60" w:line="247" w:lineRule="auto"/>
            </w:pPr>
            <w:r>
              <w:rPr>
                <w:rFonts w:cs="EB Garamond"/>
                <w:kern w:val="16"/>
                <w:sz w:val="19"/>
                <w14:ligatures w14:val="standardContextual"/>
              </w:rPr>
              <w:t>O advogado deve: (a) ao elaborar os cálculos de liquidação, aplicar a compensação mês a mês, nunca de forma global; (b) solicitar ao INSS, por meio de ofício judicial, o extrato detalhado dos valores pagos administrativamente para cada competência (mês/ano), com discriminação de principal, 13º salário e eventuais abonos; (c) na planilha de cálculos, estruturar colunas separadas para: valor judicial devido, valor administrativo pago e saldo (judicial − administrativo, com piso em R$ 0,00); (d) na hipótese de impugnação pelo INSS alegando compensação global, invocar expressamente o Tema 1.207/STJ; (e) aplicar a correção monetária pela taxa SELIC sobre os saldos positivos de cada competência, conforme o art. 3º da EC n. 113/2021, a partir de dezembro de 2021.</w:t>
            </w:r>
          </w:p>
        </w:tc>
      </w:tr>
    </w:tbl>
    <w:p w14:paraId="25D9FF13" w14:textId="77777777" w:rsidR="005A5FCC" w:rsidRDefault="005A5FCC">
      <w:pPr>
        <w:spacing w:after="80" w:line="240" w:lineRule="auto"/>
      </w:pPr>
    </w:p>
    <w:p w14:paraId="371B3AEB"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20.12 Prática nos JEFs: ações de acumulação</w:t>
      </w:r>
    </w:p>
    <w:p w14:paraId="2AB019FF"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40E21032" w14:textId="77777777" w:rsidR="005A5FCC" w:rsidRDefault="00A21C81">
      <w:r>
        <w:rPr>
          <w:rFonts w:cs="EB Garamond"/>
          <w:kern w:val="16"/>
          <w14:ligatures w14:val="standardContextual"/>
        </w:rPr>
        <w:t xml:space="preserve"> litigância envolvendo acumulação de benefícios previdenciários nos Juizados Especiais Federais apresenta particularidades que exigem domínio si</w:t>
      </w:r>
      <w:r>
        <w:rPr>
          <w:rFonts w:cs="EB Garamond"/>
          <w:kern w:val="16"/>
          <w14:ligatures w14:val="standardContextual"/>
        </w:rPr>
        <w:lastRenderedPageBreak/>
        <w:t>multâneo de direito material previdenciário, técnica processual e habilidade de cálculo. Organizamos a matéria segundo os principais aspectos procedimentais que o advogado deve observar.</w:t>
      </w:r>
    </w:p>
    <w:p w14:paraId="3B942FB9" w14:textId="68B33148" w:rsidR="005A5FCC" w:rsidRDefault="00A21C81">
      <w:pPr>
        <w:ind w:firstLine="238"/>
      </w:pPr>
      <w:r>
        <w:rPr>
          <w:rFonts w:cs="EB Garamond"/>
          <w:kern w:val="16"/>
          <w14:ligatures w14:val="standardContextual"/>
        </w:rPr>
        <w:t xml:space="preserve">A competência dos JEFs abrange as causas de valor até sessenta </w:t>
      </w:r>
      <w:r w:rsidR="00FF66A2">
        <w:rPr>
          <w:rFonts w:cs="EB Garamond"/>
          <w:kern w:val="16"/>
          <w14:ligatures w14:val="standardContextual"/>
        </w:rPr>
        <w:t>salários-mínimos</w:t>
      </w:r>
      <w:r>
        <w:rPr>
          <w:rFonts w:cs="EB Garamond"/>
          <w:kern w:val="16"/>
          <w14:ligatures w14:val="standardContextual"/>
        </w:rPr>
        <w:t>, o que corresponde a R$ 97.260,00 em 2026 (60 x R$ 1.621,00). O valor da causa em ações de acumulação é fixado pela soma das prestações vencidas (desde a data em que a acumulação deveria ter sido reconhecida ou desde a data de início do segundo benefício) acrescida de 12 parcelas vincendas do benefício pretendido. Quando o beneficiário postula a acumulação integral por direito adquirido, em substituição ao escalonamento aplicado administrativamente, o valor da causa corresponde à diferença entre o que receberia com acumulação integral e o que efetivamente recebe com o escalonamento, projetada para o período vencido e 12 meses vincendos.</w:t>
      </w:r>
    </w:p>
    <w:p w14:paraId="3EF792B7" w14:textId="77777777" w:rsidR="005A5FCC" w:rsidRDefault="00A21C81">
      <w:pPr>
        <w:ind w:firstLine="238"/>
      </w:pPr>
      <w:r>
        <w:rPr>
          <w:rFonts w:cs="EB Garamond"/>
          <w:kern w:val="16"/>
          <w14:ligatures w14:val="standardContextual"/>
        </w:rPr>
        <w:t>As ações de acumulação assumem três configurações típicas. A primeira é a ação de concessão do segundo benefício com pedido de acumulação: o segurado requer judicialmente a concessão de benefício que foi indeferido pelo INSS e, cumulativamente, pede o reconhecimento da acumulabilidade com benefício já em manutenção. A segunda é a ação de revisão da forma de acumulação: o segurado já recebe dois benefícios com escalonamento e pretende a acumulação integral, alegando direito adquirido com fundamento no art. 24, §4º, da EC 103. A terceira é a ação de impugnação de cessação administrativa: o INSS cessou um dos benefícios ao constatar a suposta vedação de acumulação, e o segurado pretende o restabelecimento com pagamento retroativo.</w:t>
      </w:r>
    </w:p>
    <w:p w14:paraId="3AC44D66" w14:textId="77777777" w:rsidR="005A5FCC" w:rsidRDefault="00A21C81">
      <w:pPr>
        <w:ind w:firstLine="238"/>
      </w:pPr>
      <w:r>
        <w:rPr>
          <w:rFonts w:cs="EB Garamond"/>
          <w:kern w:val="16"/>
          <w14:ligatures w14:val="standardContextual"/>
        </w:rPr>
        <w:t>O pedido deve ser formulado com precisão. Recomendamos que a petição inicial contenha: (a) pedido de concessão ou restabelecimento do segundo benefício, com indicação da espécie, da Data de Início do Benefício, DIB e dos requisitos preenchidos; (b) pedido de reconhecimento da acumulabilidade na forma legal, com escalonamento conforme art. 24, §2º, ou integral, conforme art. 24, §4º, a depender do caso; (c) pedido de pagamento das diferenças devidas desde a DIB, com correção monetária pela taxa SELIC (EC n. 113/2021, art. 3º); (d) pedido de tutela de urgência para implantação provisória do benefício, quando presentes os requisitos do art. 300 do CPC.</w:t>
      </w:r>
    </w:p>
    <w:p w14:paraId="17DA1082" w14:textId="77777777" w:rsidR="005A5FCC" w:rsidRDefault="00A21C81">
      <w:pPr>
        <w:ind w:firstLine="238"/>
      </w:pPr>
      <w:r>
        <w:rPr>
          <w:rFonts w:cs="EB Garamond"/>
          <w:kern w:val="16"/>
          <w14:ligatures w14:val="standardContextual"/>
        </w:rPr>
        <w:lastRenderedPageBreak/>
        <w:t>A prova do direito adquirido à acumulação integral exige demonstração documental robusta. O autor deve comprovar que os requisitos de ambos os benefícios foram preenchidos antes de 13 de novembro de 2019. O CNIS constitui a prova principal, complementado pela carta de concessão, pelo histórico de contribuições e, quando se tratar de acumulação com benefício de RPPS, pela certidão de tempo de contribuição emitida pelo regime próprio. O ônus probatório recai integralmente sobre o autor, e a deficiência documental é causa recorrente de improcedência.</w:t>
      </w:r>
    </w:p>
    <w:p w14:paraId="23B80586" w14:textId="77777777" w:rsidR="005A5FCC" w:rsidRDefault="00A21C81">
      <w:pPr>
        <w:ind w:firstLine="238"/>
      </w:pPr>
      <w:r>
        <w:rPr>
          <w:rFonts w:cs="EB Garamond"/>
          <w:kern w:val="16"/>
          <w14:ligatures w14:val="standardContextual"/>
        </w:rPr>
        <w:t>O erro mais frequente na instrução dessas ações consiste em apresentar apenas a carta de concessão do benefício, sem demonstrar a data de preenchimento dos requisitos. A carta de concessão indica a DER (Data de Entrada do Requerimento) e a DIB (Data de Início do Benefício), mas essas datas podem ser posteriores ao preenchimento dos requisitos. O segurado que completou 35 anos de contribuição em 2017 e somente requereu a aposentadoria em 2020 precisa demonstrar, por meio do CNIS e do histórico contributivo, que os requisitos foram integralmente preenchidos em 2017. A simples apresentação da carta de concessão com DER em 2020 não demonstra o direito adquirido à acumulação integral, pois a data relevante é a do preenchimento, não a do requerimento.</w:t>
      </w:r>
    </w:p>
    <w:p w14:paraId="65B8A54B" w14:textId="77777777" w:rsidR="005A5FCC" w:rsidRDefault="00A21C81">
      <w:pPr>
        <w:ind w:firstLine="238"/>
      </w:pPr>
      <w:r>
        <w:rPr>
          <w:rFonts w:cs="EB Garamond"/>
          <w:kern w:val="16"/>
          <w14:ligatures w14:val="standardContextual"/>
        </w:rPr>
        <w:t>A apresentação de cálculos na petição inicial, embora não obrigatória nos JEFs, é prática que facilita a apreciação do pedido e pode ser determinante para a concessão de tutela de urgência. O demonstrativo deve conter: o valor de cada benefício individualmente; o cálculo do escalonamento aplicável (com discriminação faixa a faixa); a comparação entre o valor com acumulação integral e o valor com escalonamento; e o montante aproximado das diferenças pretendidas. Nos JEFs, a apresentação de cálculos claros na inicial reduz o tempo de tramitação e permite ao juiz aferir rapidamente a plausibilidade do direito invocado.</w:t>
      </w:r>
    </w:p>
    <w:p w14:paraId="77AA1040" w14:textId="77777777" w:rsidR="005A5FCC" w:rsidRDefault="00A21C81">
      <w:pPr>
        <w:ind w:firstLine="238"/>
      </w:pPr>
      <w:r>
        <w:rPr>
          <w:rFonts w:cs="EB Garamond"/>
          <w:kern w:val="16"/>
          <w14:ligatures w14:val="standardContextual"/>
        </w:rPr>
        <w:t xml:space="preserve">A tutela de urgência para implantação provisória do benefício acumulado é cabível quando concorrem dois elementos: a probabilidade do direito à acumulação, demonstrada por prova documental consistente, e o risco ao resultado útil do processo, evidenciado pela dependência do beneficiário em relação à renda do segundo benefício para sua subsistência. O juiz pode determinar a implantação provisória com ou sem escalonamento, conforme sua convicção sobre o direito </w:t>
      </w:r>
      <w:r>
        <w:rPr>
          <w:rFonts w:cs="EB Garamond"/>
          <w:kern w:val="16"/>
          <w14:ligatures w14:val="standardContextual"/>
        </w:rPr>
        <w:lastRenderedPageBreak/>
        <w:t>adquirido alegado. Quando houver dúvida razoável sobre a aplicabilidade do escalonamento, a prudência recomenda a implantação com redutor, reservando a eventual diferença para a sentença definitiva.</w:t>
      </w:r>
    </w:p>
    <w:p w14:paraId="523E5791" w14:textId="77777777" w:rsidR="005A5FCC" w:rsidRDefault="00A21C81">
      <w:pPr>
        <w:ind w:firstLine="238"/>
      </w:pPr>
      <w:r>
        <w:rPr>
          <w:rFonts w:cs="EB Garamond"/>
          <w:kern w:val="16"/>
          <w14:ligatures w14:val="standardContextual"/>
        </w:rPr>
        <w:t>A audiência de conciliação, obrigatória nos JEFs (art. 2º da Lei n. 10.259/2001), apresenta oportunidade relevante nas ações de acumulação. A Procuradoria Federal dispõe de alçada para transigir em matéria previdenciária, e a apresentação de cálculos claros pelo advogado do segurado, demonstrando o impacto financeiro do escalonamento versus a acumulação integral, facilita a composição. Quando o direito adquirido está bem documentado, a concordância da autarquia em restabelecer a acumulação integral é economicamente mais vantajosa para o INSS do que a sucumbência judicial com pagamento de honorários e atualização monetária. O advogado deve preparar-se para a audiência com demonstrativo numérico atualizado e com cópia de toda a documentação probatória do direito adquirido.</w:t>
      </w:r>
    </w:p>
    <w:p w14:paraId="3CB23A4E" w14:textId="77777777" w:rsidR="005A5FCC" w:rsidRDefault="00A21C81">
      <w:pPr>
        <w:ind w:firstLine="238"/>
      </w:pPr>
      <w:r>
        <w:rPr>
          <w:rFonts w:cs="EB Garamond"/>
          <w:kern w:val="16"/>
          <w14:ligatures w14:val="standardContextual"/>
        </w:rPr>
        <w:t>A sentença nos JEFs deve conter determinação específica quanto à forma de implantação da acumulação. O dispositivo sentencial que se limita a "conceder o benefício" sem especificar se a acumulação será integral ou com escalonamento gera dificuldade na fase de cumprimento. Recomendamos que o advogado requeira, nos embargos de declaração caso necessário, que a sentença explicite: a espécie de cada benefício acumulado, a forma de acumulação (integral ou com escalonamento, indicando as faixas aplicáveis) e a data a partir da qual a acumulação deve ser reconhecida.</w:t>
      </w:r>
    </w:p>
    <w:p w14:paraId="1C739A01" w14:textId="77777777" w:rsidR="005A5FCC" w:rsidRDefault="00A21C81">
      <w:pPr>
        <w:ind w:firstLine="238"/>
      </w:pPr>
      <w:r>
        <w:rPr>
          <w:rFonts w:cs="EB Garamond"/>
          <w:kern w:val="16"/>
          <w14:ligatures w14:val="standardContextual"/>
        </w:rPr>
        <w:t>Na liquidação de sentença, aplica-se a metodologia fixada pelo Tema 1.207/STJ, examinada na seção 20.11. O contador judicial deve: apurar o valor de cada benefício em cada competência mensal; aplicar o escalonamento do art. 24, §2º, quando cabível; compensar os valores já pagos administrativamente pelo benefício substituído ou cessado; e apurar o saldo positivo devido ao beneficiário. A correção monetária observa a taxa SELIC a partir de dezembro de 2021, em cumprimento ao art. 3º da EC n. 113/2021.</w:t>
      </w:r>
    </w:p>
    <w:p w14:paraId="19E7DFC6" w14:textId="04C56DB5" w:rsidR="005A5FCC" w:rsidRDefault="00A21C81">
      <w:pPr>
        <w:ind w:firstLine="238"/>
      </w:pPr>
      <w:r>
        <w:rPr>
          <w:rFonts w:cs="EB Garamond"/>
          <w:kern w:val="16"/>
          <w14:ligatures w14:val="standardContextual"/>
        </w:rPr>
        <w:t xml:space="preserve">As diferenças apuradas são pagas por Requisição de Pequeno Valor (RPV) quando o montante não exceder 60 </w:t>
      </w:r>
      <w:r w:rsidR="00FF66A2">
        <w:rPr>
          <w:rFonts w:cs="EB Garamond"/>
          <w:kern w:val="16"/>
          <w14:ligatures w14:val="standardContextual"/>
        </w:rPr>
        <w:t>salários-mínimos</w:t>
      </w:r>
      <w:r>
        <w:rPr>
          <w:rFonts w:cs="EB Garamond"/>
          <w:kern w:val="16"/>
          <w14:ligatures w14:val="standardContextual"/>
        </w:rPr>
        <w:t xml:space="preserve"> (R$ 97.260,00 em 2026), </w:t>
      </w:r>
      <w:r>
        <w:rPr>
          <w:rFonts w:cs="EB Garamond"/>
          <w:kern w:val="16"/>
          <w14:ligatures w14:val="standardContextual"/>
        </w:rPr>
        <w:lastRenderedPageBreak/>
        <w:t>ou por precatório quando ultrapassar esse limite. A RPV deve ser paga pela Fazenda Pública no prazo de 60 dias úteis a contar do depósito, enquanto o precatório segue o regime constitucional de pagamento no exercício seguinte à inscrição, respeitada a ordem cronológica. Em ações de acumulação com longo período retroativo e benefícios de valor elevado, as diferenças podem superar o teto da RPV, especialmente quando se consideram os acréscimos de correção monetária pela SELIC. A renúncia ao excedente de 60 salários mínimos para fins de expedição de RPV é admitida, mas deve ser exercida com plena ciência de suas consequências.</w:t>
      </w:r>
    </w:p>
    <w:tbl>
      <w:tblPr>
        <w:tblW w:w="5000" w:type="pct"/>
        <w:jc w:val="center"/>
        <w:tblLayout w:type="fixed"/>
        <w:tblLook w:val="04A0" w:firstRow="1" w:lastRow="0" w:firstColumn="1" w:lastColumn="0" w:noHBand="0" w:noVBand="1"/>
      </w:tblPr>
      <w:tblGrid>
        <w:gridCol w:w="6311"/>
      </w:tblGrid>
      <w:tr w:rsidR="005A5FCC" w14:paraId="6C10ED95"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6F806660"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2BE45A9A" w14:textId="77777777" w:rsidR="005A5FCC" w:rsidRDefault="00A21C81">
            <w:pPr>
              <w:spacing w:after="60" w:line="247" w:lineRule="auto"/>
            </w:pPr>
            <w:r>
              <w:rPr>
                <w:rFonts w:cs="EB Garamond"/>
                <w:b/>
                <w:kern w:val="16"/>
                <w:sz w:val="19"/>
                <w14:ligatures w14:val="standardContextual"/>
              </w:rPr>
              <w:t>Checklist para o advogado em ação de acumulação nos JEFs</w:t>
            </w:r>
          </w:p>
          <w:p w14:paraId="727484CF" w14:textId="77777777" w:rsidR="005A5FCC" w:rsidRDefault="00A21C81">
            <w:pPr>
              <w:spacing w:after="30" w:line="240" w:lineRule="auto"/>
              <w:ind w:left="227" w:hanging="142"/>
            </w:pPr>
            <w:r>
              <w:rPr>
                <w:rFonts w:cs="EB Garamond"/>
                <w:kern w:val="16"/>
                <w:sz w:val="19"/>
                <w14:ligatures w14:val="standardContextual"/>
              </w:rPr>
              <w:t>1. Identificar a espécie de cada benefício envolvido e a norma de regência da acumulação (art. 124, Lei 8.213; art. 24, EC 103; art. 20, §4º, LOAS).</w:t>
            </w:r>
          </w:p>
          <w:p w14:paraId="7B17E23F" w14:textId="77777777" w:rsidR="005A5FCC" w:rsidRDefault="00A21C81">
            <w:pPr>
              <w:spacing w:after="30" w:line="240" w:lineRule="auto"/>
              <w:ind w:left="227" w:hanging="142"/>
            </w:pPr>
            <w:r>
              <w:rPr>
                <w:rFonts w:cs="EB Garamond"/>
                <w:kern w:val="16"/>
                <w:sz w:val="19"/>
                <w14:ligatures w14:val="standardContextual"/>
              </w:rPr>
              <w:t>2. Verificar se a acumulação é vedada, permitida com escalonamento ou permitida integralmente (direito adquirido).</w:t>
            </w:r>
          </w:p>
          <w:p w14:paraId="5E4F7E33" w14:textId="77777777" w:rsidR="005A5FCC" w:rsidRDefault="00A21C81">
            <w:pPr>
              <w:spacing w:after="30" w:line="240" w:lineRule="auto"/>
              <w:ind w:left="227" w:hanging="142"/>
            </w:pPr>
            <w:r>
              <w:rPr>
                <w:rFonts w:cs="EB Garamond"/>
                <w:kern w:val="16"/>
                <w:sz w:val="19"/>
                <w14:ligatures w14:val="standardContextual"/>
              </w:rPr>
              <w:t>3. Levantar a data de preenchimento dos requisitos de cada benefício e compará-la com 13/11/2019.</w:t>
            </w:r>
          </w:p>
          <w:p w14:paraId="2AA95959" w14:textId="77777777" w:rsidR="005A5FCC" w:rsidRDefault="00A21C81">
            <w:pPr>
              <w:spacing w:after="30" w:line="240" w:lineRule="auto"/>
              <w:ind w:left="227" w:hanging="142"/>
            </w:pPr>
            <w:r>
              <w:rPr>
                <w:rFonts w:cs="EB Garamond"/>
                <w:kern w:val="16"/>
                <w:sz w:val="19"/>
                <w14:ligatures w14:val="standardContextual"/>
              </w:rPr>
              <w:t>4. Reunir prova documental: CNIS, carta de concessão, certidão do RPPS, certidão de óbito, laudos médicos.</w:t>
            </w:r>
          </w:p>
          <w:p w14:paraId="3DD5779C" w14:textId="36635935" w:rsidR="005A5FCC" w:rsidRDefault="00A21C81">
            <w:pPr>
              <w:spacing w:after="30" w:line="240" w:lineRule="auto"/>
              <w:ind w:left="227" w:hanging="142"/>
            </w:pPr>
            <w:r>
              <w:rPr>
                <w:rFonts w:cs="EB Garamond"/>
                <w:kern w:val="16"/>
                <w:sz w:val="19"/>
                <w14:ligatures w14:val="standardContextual"/>
              </w:rPr>
              <w:t xml:space="preserve">5. Calcular o escalonamento faixa a faixa, com os valores atualizados do </w:t>
            </w:r>
            <w:r w:rsidR="00FF66A2">
              <w:rPr>
                <w:rFonts w:cs="EB Garamond"/>
                <w:kern w:val="16"/>
                <w:sz w:val="19"/>
                <w14:ligatures w14:val="standardContextual"/>
              </w:rPr>
              <w:t>salário-mínimo</w:t>
            </w:r>
            <w:r>
              <w:rPr>
                <w:rFonts w:cs="EB Garamond"/>
                <w:kern w:val="16"/>
                <w:sz w:val="19"/>
                <w14:ligatures w14:val="standardContextual"/>
              </w:rPr>
              <w:t xml:space="preserve"> (R$ 1.621,00 em 2026).</w:t>
            </w:r>
          </w:p>
          <w:p w14:paraId="415A7210" w14:textId="77777777" w:rsidR="005A5FCC" w:rsidRDefault="00A21C81">
            <w:pPr>
              <w:spacing w:after="30" w:line="240" w:lineRule="auto"/>
              <w:ind w:left="227" w:hanging="142"/>
            </w:pPr>
            <w:r>
              <w:rPr>
                <w:rFonts w:cs="EB Garamond"/>
                <w:kern w:val="16"/>
                <w:sz w:val="19"/>
                <w14:ligatures w14:val="standardContextual"/>
              </w:rPr>
              <w:t>6. Elaborar demonstrativo comparativo: valor com acumulação integral versus valor com escalonamento.</w:t>
            </w:r>
          </w:p>
          <w:p w14:paraId="45D6BA36" w14:textId="77777777" w:rsidR="005A5FCC" w:rsidRDefault="00A21C81">
            <w:pPr>
              <w:spacing w:after="30" w:line="240" w:lineRule="auto"/>
              <w:ind w:left="227" w:hanging="142"/>
            </w:pPr>
            <w:r>
              <w:rPr>
                <w:rFonts w:cs="EB Garamond"/>
                <w:kern w:val="16"/>
                <w:sz w:val="19"/>
                <w14:ligatures w14:val="standardContextual"/>
              </w:rPr>
              <w:t>7. Apurar o valor da causa (prestações vencidas + 12 vincendas) e verificar se está dentro do teto do JEF (R$ 97.260,00).</w:t>
            </w:r>
          </w:p>
          <w:p w14:paraId="59B280C2" w14:textId="77777777" w:rsidR="005A5FCC" w:rsidRDefault="00A21C81">
            <w:pPr>
              <w:spacing w:after="30" w:line="240" w:lineRule="auto"/>
              <w:ind w:left="227" w:hanging="142"/>
            </w:pPr>
            <w:r>
              <w:rPr>
                <w:rFonts w:cs="EB Garamond"/>
                <w:kern w:val="16"/>
                <w:sz w:val="19"/>
                <w14:ligatures w14:val="standardContextual"/>
              </w:rPr>
              <w:t>8. Formular pedido específico: concessão/restabelecimento + acumulação + diferenças + tutela de urgência.</w:t>
            </w:r>
          </w:p>
          <w:p w14:paraId="300275D5" w14:textId="77777777" w:rsidR="005A5FCC" w:rsidRDefault="00A21C81">
            <w:pPr>
              <w:spacing w:after="30" w:line="240" w:lineRule="auto"/>
              <w:ind w:left="227" w:hanging="142"/>
            </w:pPr>
            <w:r>
              <w:rPr>
                <w:rFonts w:cs="EB Garamond"/>
                <w:kern w:val="16"/>
                <w:sz w:val="19"/>
                <w14:ligatures w14:val="standardContextual"/>
              </w:rPr>
              <w:t>9. Fundamentar eventual pedido de acumulação integral com base no art. 24, §4º, demonstrando a cronologia do preenchimento dos requisitos.</w:t>
            </w:r>
          </w:p>
          <w:p w14:paraId="696F40AC" w14:textId="77777777" w:rsidR="005A5FCC" w:rsidRDefault="00A21C81">
            <w:pPr>
              <w:spacing w:after="30" w:line="240" w:lineRule="auto"/>
              <w:ind w:left="227" w:hanging="142"/>
            </w:pPr>
            <w:r>
              <w:rPr>
                <w:rFonts w:cs="EB Garamond"/>
                <w:kern w:val="16"/>
                <w:sz w:val="19"/>
                <w14:ligatures w14:val="standardContextual"/>
              </w:rPr>
              <w:t>10. Na liquidação, aplicar compensação mês a mês conforme Tema 1.207/STJ, com correção pela SELIC.</w:t>
            </w:r>
          </w:p>
        </w:tc>
      </w:tr>
    </w:tbl>
    <w:p w14:paraId="60776AEF" w14:textId="77777777" w:rsidR="005A5FCC" w:rsidRDefault="005A5FCC">
      <w:pPr>
        <w:spacing w:after="80" w:line="240" w:lineRule="auto"/>
      </w:pPr>
    </w:p>
    <w:tbl>
      <w:tblPr>
        <w:tblW w:w="5000" w:type="pct"/>
        <w:jc w:val="center"/>
        <w:tblLayout w:type="fixed"/>
        <w:tblLook w:val="04A0" w:firstRow="1" w:lastRow="0" w:firstColumn="1" w:lastColumn="0" w:noHBand="0" w:noVBand="1"/>
      </w:tblPr>
      <w:tblGrid>
        <w:gridCol w:w="6311"/>
      </w:tblGrid>
      <w:tr w:rsidR="005A5FCC" w14:paraId="23B829AA"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604E2BC3" w14:textId="77777777" w:rsidR="005A5FCC" w:rsidRDefault="00A21C81">
            <w:pPr>
              <w:spacing w:after="60" w:line="240" w:lineRule="auto"/>
              <w:jc w:val="left"/>
            </w:pPr>
            <w:r>
              <w:rPr>
                <w:rFonts w:ascii="Noto Sans" w:hAnsi="Noto Sans" w:cs="Noto Sans"/>
                <w:b/>
                <w:caps/>
                <w:color w:val="B78B37"/>
                <w:kern w:val="16"/>
                <w:sz w:val="16"/>
                <w14:ligatures w14:val="standardContextual"/>
              </w:rPr>
              <w:lastRenderedPageBreak/>
              <w:t>ATENÇÃO</w:t>
            </w:r>
          </w:p>
          <w:p w14:paraId="31F1C8FC" w14:textId="7C114367" w:rsidR="005A5FCC" w:rsidRDefault="00A21C81">
            <w:pPr>
              <w:spacing w:after="60" w:line="247" w:lineRule="auto"/>
            </w:pPr>
            <w:r>
              <w:rPr>
                <w:rFonts w:cs="EB Garamond"/>
                <w:b/>
                <w:kern w:val="16"/>
                <w:sz w:val="19"/>
                <w14:ligatures w14:val="standardContextual"/>
              </w:rPr>
              <w:t>Renúncia ao excedente de 60 SM para fixar competência do JEF</w:t>
            </w:r>
            <w:r>
              <w:rPr>
                <w:rFonts w:cs="EB Garamond"/>
                <w:kern w:val="16"/>
                <w:sz w:val="19"/>
                <w14:ligatures w14:val="standardContextual"/>
              </w:rPr>
              <w:t xml:space="preserve">: a renúncia ao crédito excedente ao limite de 60 </w:t>
            </w:r>
            <w:r w:rsidR="00FF66A2">
              <w:rPr>
                <w:rFonts w:cs="EB Garamond"/>
                <w:kern w:val="16"/>
                <w:sz w:val="19"/>
                <w14:ligatures w14:val="standardContextual"/>
              </w:rPr>
              <w:t>salários-mínimos</w:t>
            </w:r>
            <w:r>
              <w:rPr>
                <w:rFonts w:cs="EB Garamond"/>
                <w:kern w:val="16"/>
                <w:sz w:val="19"/>
                <w14:ligatures w14:val="standardContextual"/>
              </w:rPr>
              <w:t xml:space="preserve"> é admitida para viabilizar o processamento da causa no JEF, porém produz efeito irrevogável. O autor que renuncia ao excedente não poderá, em nenhuma hipótese futura, reclamar os valores objeto da renúncia. O advogado deve orientar o cliente de forma clara sobre essa consequência e obter declaração expressa de ciência. Nos casos em que as diferenças acumuladas são substanciais, o que pode ocorrer em ações com longo período retroativo e benefícios de valor elevado, a opção pela Justiça Federal comum (Vara Federal) pode ser economicamente mais vantajosa, ainda que implique tramitação mais longa e pagamento por precatório.</w:t>
            </w:r>
          </w:p>
        </w:tc>
      </w:tr>
    </w:tbl>
    <w:p w14:paraId="6B23287C" w14:textId="77777777" w:rsidR="005A5FCC" w:rsidRDefault="005A5FCC">
      <w:pPr>
        <w:spacing w:after="80" w:line="240" w:lineRule="auto"/>
      </w:pPr>
    </w:p>
    <w:p w14:paraId="3ED5130F"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20.13 Consolidação das posições adotadas</w:t>
      </w:r>
    </w:p>
    <w:p w14:paraId="0F49039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7F1B62DC" w14:textId="77777777" w:rsidR="005A5FCC" w:rsidRDefault="00A21C81">
      <w:r>
        <w:rPr>
          <w:rFonts w:cs="EB Garamond"/>
          <w:kern w:val="16"/>
          <w14:ligatures w14:val="standardContextual"/>
        </w:rPr>
        <w:t>o longo deste capítulo, adotamos posições sobre as principais questões relativas à acumulação de benefícios previdenciários e assistenciais. Consolidamos a seguir o conjunto dessas posições, com remissão às seções em que cada uma foi desenvolvida, como instrumento de consulta rápida para advogados e magistrados que atuam nos JEFs.</w:t>
      </w:r>
    </w:p>
    <w:p w14:paraId="58AC9C2A" w14:textId="77777777" w:rsidR="005A5FCC" w:rsidRDefault="00A21C81">
      <w:pPr>
        <w:ind w:firstLine="238"/>
      </w:pPr>
      <w:r>
        <w:rPr>
          <w:rFonts w:cs="EB Garamond"/>
          <w:b/>
          <w:kern w:val="16"/>
          <w14:ligatures w14:val="standardContextual"/>
        </w:rPr>
        <w:t>Posição 1 — Complementaridade entre o art. 124 e o art. 24.</w:t>
      </w:r>
      <w:r>
        <w:rPr>
          <w:rFonts w:cs="EB Garamond"/>
          <w:kern w:val="16"/>
          <w14:ligatures w14:val="standardContextual"/>
        </w:rPr>
        <w:t xml:space="preserve"> O art. 124 da Lei n. 8.213/91 e o art. 24 da EC n. 103/2019 são normas complementares, não excludentes. O art. 124 estabelece vedações absolutas de acumulação dentro do RGPS (duas aposentadorias, aposentadoria com auxílio por incapacidade temporária, duas pensões de cônjuge no mesmo regime). O art. 24 regula as acumulações permitidas, submetendo-as a escalonamento com faixas de redutor. As vedações do art. 124 não foram revogadas pela EC 103, permanecem vigentes como primeiro filtro de inacumulabilidade. (Seções 20.2 e 20.3)</w:t>
      </w:r>
    </w:p>
    <w:p w14:paraId="70EFD60A" w14:textId="530B8718" w:rsidR="005A5FCC" w:rsidRDefault="00A21C81">
      <w:pPr>
        <w:ind w:firstLine="238"/>
      </w:pPr>
      <w:r>
        <w:rPr>
          <w:rFonts w:cs="EB Garamond"/>
          <w:b/>
          <w:kern w:val="16"/>
          <w14:ligatures w14:val="standardContextual"/>
        </w:rPr>
        <w:t>Posição 2 — Preservação integral da primeira faixa e incidência progressiva sobre o menor benefício.</w:t>
      </w:r>
      <w:r>
        <w:rPr>
          <w:rFonts w:cs="EB Garamond"/>
          <w:kern w:val="16"/>
          <w14:ligatures w14:val="standardContextual"/>
        </w:rPr>
        <w:t xml:space="preserve"> O escalonamento do art. 24, § 2º, da EC 103 incide sobre o benefício de menor valor. A parcela de até um </w:t>
      </w:r>
      <w:r w:rsidR="00FF66A2">
        <w:rPr>
          <w:rFonts w:cs="EB Garamond"/>
          <w:kern w:val="16"/>
          <w14:ligatures w14:val="standardContextual"/>
        </w:rPr>
        <w:t>salário-mínimo</w:t>
      </w:r>
      <w:r>
        <w:rPr>
          <w:rFonts w:cs="EB Garamond"/>
          <w:kern w:val="16"/>
          <w14:ligatures w14:val="standardContextual"/>
        </w:rPr>
        <w:t xml:space="preserve"> é integralmente preservada (100%), e as quatro faixas de redução (60%, 40%, 20% e </w:t>
      </w:r>
      <w:r>
        <w:rPr>
          <w:rFonts w:cs="EB Garamond"/>
          <w:kern w:val="16"/>
          <w14:ligatures w14:val="standardContextual"/>
        </w:rPr>
        <w:lastRenderedPageBreak/>
        <w:t>10%) aplicam-se progressivamente sobre as parcelas excedentes. A lógica é idêntica à das alíquotas progressivas do imposto de renda: cada faixa incide apenas sobre a parcela correspondente, e não sobre o valor total. (Seções 20.3 e 20.4)</w:t>
      </w:r>
    </w:p>
    <w:p w14:paraId="3BF33538" w14:textId="77777777" w:rsidR="005A5FCC" w:rsidRDefault="00A21C81">
      <w:pPr>
        <w:ind w:firstLine="238"/>
      </w:pPr>
      <w:r>
        <w:rPr>
          <w:rFonts w:cs="EB Garamond"/>
          <w:b/>
          <w:kern w:val="16"/>
          <w14:ligatures w14:val="standardContextual"/>
        </w:rPr>
        <w:t>Posição 3 — Autoaplicabilidade do art. 24.</w:t>
      </w:r>
      <w:r>
        <w:rPr>
          <w:rFonts w:cs="EB Garamond"/>
          <w:kern w:val="16"/>
          <w14:ligatures w14:val="standardContextual"/>
        </w:rPr>
        <w:t xml:space="preserve"> O art. 24 da EC n. 103/2019 é norma de eficácia plena e aplicação imediata, dispensando regulamentação infraconstitucional para produzir todos os seus efeitos. O INSS deve aplicar o escalonamento diretamente a partir do texto constitucional, e o Poder Judiciário pode conceder a acumulação com base exclusivamente na Emenda, sem necessidade de lei ordinária intermediária. Esse entendimento é compartilhado pelo TRF da 4ª Região (processo 5004698-26.2021.4.04.7001). (Seção 20.3)</w:t>
      </w:r>
    </w:p>
    <w:p w14:paraId="7C4D7B48" w14:textId="77777777" w:rsidR="005A5FCC" w:rsidRDefault="00A21C81">
      <w:pPr>
        <w:ind w:firstLine="238"/>
      </w:pPr>
      <w:r>
        <w:rPr>
          <w:rFonts w:cs="EB Garamond"/>
          <w:b/>
          <w:kern w:val="16"/>
          <w14:ligatures w14:val="standardContextual"/>
        </w:rPr>
        <w:t>Posição 4 — Direito adquirido à acumulação integral.</w:t>
      </w:r>
      <w:r>
        <w:rPr>
          <w:rFonts w:cs="EB Garamond"/>
          <w:kern w:val="16"/>
          <w14:ligatures w14:val="standardContextual"/>
        </w:rPr>
        <w:t xml:space="preserve"> O art. 24, §4º, da EC 103 protege o direito adquirido à acumulação integral para segurados e dependentes que preencheram os requisitos de ambos os benefícios antes de 13 de novembro de 2019. A proteção independe da data do requerimento administrativo ou da data da concessão, o marco é o preenchimento dos requisitos legais. Segurados que completaram os requisitos de ambos os benefícios antes da EC 103 mantêm acumulação integral, mesmo que tenham requerido os benefícios após essa data. (Seção 20.7)</w:t>
      </w:r>
    </w:p>
    <w:p w14:paraId="437F8679" w14:textId="77777777" w:rsidR="005A5FCC" w:rsidRDefault="00A21C81">
      <w:pPr>
        <w:ind w:firstLine="238"/>
      </w:pPr>
      <w:r>
        <w:rPr>
          <w:rFonts w:cs="EB Garamond"/>
          <w:b/>
          <w:kern w:val="16"/>
          <w14:ligatures w14:val="standardContextual"/>
        </w:rPr>
        <w:t>Posição 5 — Marco temporal do auxílio-acidente.</w:t>
      </w:r>
      <w:r>
        <w:rPr>
          <w:rFonts w:cs="EB Garamond"/>
          <w:kern w:val="16"/>
          <w14:ligatures w14:val="standardContextual"/>
        </w:rPr>
        <w:t xml:space="preserve"> A vedação de acumulação do auxílio-acidente com aposentadoria data de 11 de novembro de 1997 (MP n. 1.596-14/1997, convertida na Lei n. 9.528/1997). A acumulação somente é possível quando tanto a consolidação da lesão quanto a aposentadoria são anteriores a essa data. A EC 103/2019 não alterou esse regime. A tese está consolidada pela Súmula 507 e pelo Tema 555 do STJ. (Seção 20.8)</w:t>
      </w:r>
    </w:p>
    <w:p w14:paraId="0E56999D" w14:textId="77777777" w:rsidR="005A5FCC" w:rsidRDefault="00A21C81">
      <w:pPr>
        <w:ind w:firstLine="238"/>
      </w:pPr>
      <w:r>
        <w:rPr>
          <w:rFonts w:cs="EB Garamond"/>
          <w:b/>
          <w:kern w:val="16"/>
          <w14:ligatures w14:val="standardContextual"/>
        </w:rPr>
        <w:t>Posição 6 — BPC e opção pelo mais vantajoso.</w:t>
      </w:r>
      <w:r>
        <w:rPr>
          <w:rFonts w:cs="EB Garamond"/>
          <w:kern w:val="16"/>
          <w14:ligatures w14:val="standardContextual"/>
        </w:rPr>
        <w:t xml:space="preserve"> A vedação do art. 20, §4º, da LOAS impõe ao requerente a opção entre o BPC e o benefício previdenciário. O auxílio-inclusão (Lei n. 14.176/2021) constitui alternativa que permite a inserção no mercado de trabalho sem perda definitiva da proteção assistencial. Na quase totalidade dos casos, o benefício previdenciário é globalmente mais vantajoso que o BPC, considerando a existência de 13º salário e a geração de pensão por morte. (Seção 20.9)</w:t>
      </w:r>
    </w:p>
    <w:p w14:paraId="2B4FE4B8" w14:textId="77777777" w:rsidR="005A5FCC" w:rsidRDefault="00A21C81">
      <w:pPr>
        <w:ind w:firstLine="238"/>
      </w:pPr>
      <w:r>
        <w:rPr>
          <w:rFonts w:cs="EB Garamond"/>
          <w:b/>
          <w:kern w:val="16"/>
          <w14:ligatures w14:val="standardContextual"/>
        </w:rPr>
        <w:lastRenderedPageBreak/>
        <w:t>Posição 7 — Compensação mês a mês.</w:t>
      </w:r>
      <w:r>
        <w:rPr>
          <w:rFonts w:cs="EB Garamond"/>
          <w:kern w:val="16"/>
          <w14:ligatures w14:val="standardContextual"/>
        </w:rPr>
        <w:t xml:space="preserve"> A compensação de benefícios não acumuláveis na liquidação de sentença deve ser feita competência por competência, sem apuração de saldo negativo em qualquer mês e sem transferência de excedentes entre períodos. O beneficiário nunca deve ao INSS como resultado da compensação. Adotamos integralmente a tese fixada no Tema 1.207 do STJ. (Seção 20.11)</w:t>
      </w:r>
    </w:p>
    <w:p w14:paraId="330621AA" w14:textId="7D725965" w:rsidR="005A5FCC" w:rsidRDefault="00A21C81">
      <w:pPr>
        <w:ind w:firstLine="238"/>
      </w:pPr>
      <w:r>
        <w:rPr>
          <w:rFonts w:cs="EB Garamond"/>
          <w:b/>
          <w:kern w:val="16"/>
          <w14:ligatures w14:val="standardContextual"/>
        </w:rPr>
        <w:t>Posição 8 — Constitucionalidade com ressalva.</w:t>
      </w:r>
      <w:r>
        <w:rPr>
          <w:rFonts w:cs="EB Garamond"/>
          <w:kern w:val="16"/>
          <w14:ligatures w14:val="standardContextual"/>
        </w:rPr>
        <w:t xml:space="preserve"> Entendemos que o escalonamento do art. 24 da EC 103 é constitucional como mecanismo de racionalização dos gastos previdenciários e de distribuição mais equitativa dos recursos do sistema. A progressividade das faixas atende ao princípio da seletividade (art. 194, parágrafo único, III, da Constituição). Registramos, porém, ressalva quanto às faixas superiores: os percentuais de 20% (Faixa III, de 3 a 4 SM) e de 10% (Faixa IV, acima de 4 SM) produzem redução que, aplicada sobre benefícios de renda média-alta, aproxima-se de confisco previdenciário. Um segurado que contribuiu durante décadas sobre o teto do RGPS e que acumula aposentadoria com pensão por morte recebe, sobre a parcela do benefício menor que excede quatro </w:t>
      </w:r>
      <w:r w:rsidR="00FF66A2">
        <w:rPr>
          <w:rFonts w:cs="EB Garamond"/>
          <w:kern w:val="16"/>
          <w14:ligatures w14:val="standardContextual"/>
        </w:rPr>
        <w:t>salários-mínimos</w:t>
      </w:r>
      <w:r>
        <w:rPr>
          <w:rFonts w:cs="EB Garamond"/>
          <w:kern w:val="16"/>
          <w14:ligatures w14:val="standardContextual"/>
        </w:rPr>
        <w:t>, apenas 10% do valor. Essa redução de 90% sobre a parcela excedente é desproporcional à finalidade do redutor e pode configurar violação ao princípio da proporcionalidade (art. 5º, LIV, da CF) e à vedação do retrocesso social (arts. 6º e 194 da CF). A jurisprudência ainda não enfrentou essa questão de forma direta, e registramos a expectativa de que o tema venha a ser submetido ao STF em caso concreto. (Posição original)</w:t>
      </w:r>
    </w:p>
    <w:p w14:paraId="0D4640CA" w14:textId="77777777" w:rsidR="005A5FCC" w:rsidRDefault="00A21C81">
      <w:pPr>
        <w:ind w:firstLine="238"/>
      </w:pPr>
      <w:r>
        <w:rPr>
          <w:rFonts w:cs="EB Garamond"/>
          <w:b/>
          <w:kern w:val="16"/>
          <w14:ligatures w14:val="standardContextual"/>
        </w:rPr>
        <w:t>Posição 9 — Dupla pensão de cônjuge e de genitor.</w:t>
      </w:r>
      <w:r>
        <w:rPr>
          <w:rFonts w:cs="EB Garamond"/>
          <w:kern w:val="16"/>
          <w14:ligatures w14:val="standardContextual"/>
        </w:rPr>
        <w:t xml:space="preserve"> A pensão por morte recebida na qualidade de cônjuge ou companheiro e a pensão por morte recebida na qualidade de genitor (filho do segurado falecido), ainda que no mesmo regime, não estão sujeitas à vedação do caput do art. 24 da EC 103, que se refere exclusivamente à acumulação de duas pensões por morte "deixadas por cônjuge ou companheiro". A vedação pressupõe identidade na relação do beneficiário com o instituidor, relação conjugal. Quando as pensões decorrem de relações de natureza diversa (uma conjugal, outra de filiação), a acumulação é permitida, com incidência do escalonamento do §2º. (Seção 20.5)</w:t>
      </w:r>
    </w:p>
    <w:p w14:paraId="5B304A8A" w14:textId="77777777" w:rsidR="005A5FCC" w:rsidRDefault="00A21C81">
      <w:pPr>
        <w:ind w:firstLine="238"/>
      </w:pPr>
      <w:r>
        <w:rPr>
          <w:rFonts w:cs="EB Garamond"/>
          <w:b/>
          <w:kern w:val="16"/>
          <w14:ligatures w14:val="standardContextual"/>
        </w:rPr>
        <w:lastRenderedPageBreak/>
        <w:t>Posição 10 — Quadro 20.3 como ferramenta de consulta.</w:t>
      </w:r>
      <w:r>
        <w:rPr>
          <w:rFonts w:cs="EB Garamond"/>
          <w:kern w:val="16"/>
          <w14:ligatures w14:val="standardContextual"/>
        </w:rPr>
        <w:t xml:space="preserve"> O Quadro 20.3 (Matriz Completa de Acumulações), desenvolvido na seção 20.5, sintetiza o estado normativo e jurisprudencial vigente em maio de 2026 e constitui ferramenta de consulta rápida para advogados e magistrados nos JEFs. A matriz organiza todas as combinações possíveis de benefícios, indicando para cada par a regra aplicável (vedação, acumulação integral ou acumulação com escalonamento), a norma de regência e eventuais exceções. Recomendamos sua utilização como ponto de partida para a análise de qualquer caso envolvendo acumulação. (Seção 20.5)</w:t>
      </w:r>
    </w:p>
    <w:p w14:paraId="66A88312" w14:textId="77777777" w:rsidR="005A5FCC" w:rsidRDefault="00A21C81">
      <w:pPr>
        <w:ind w:firstLine="238"/>
      </w:pPr>
      <w:r>
        <w:rPr>
          <w:rFonts w:cs="EB Garamond"/>
          <w:kern w:val="16"/>
          <w14:ligatures w14:val="standardContextual"/>
        </w:rPr>
        <w:t>As posições consolidadas nesta seção refletem o estado do direito em maio de 2026. A matéria permanece em evolução, com as ADIs pendentes no STF, o amadurecimento da jurisprudência sobre o escalonamento nos tribunais regionais e a possível regulamentação infralegal de aspectos operacionais do art. 24. Reconhecemos que algumas das posições adotadas, especialmente a relativa à desproporcionalidade das faixas superiores do escalonamento (posição 8), constituem antecipação de debate que a jurisprudência ainda não travou de forma aberta. Assumimos esse posicionamento como contribuição ao amadurecimento da matéria, conscientes de que a construção jurisprudencial poderá confirmar ou infirmar a tese nos próximos anos. A acumulação de benefícios previdenciários, como tema transversal que perpassa todo o sistema de proteção social, permanecerá no centro das controvérsias dos JEFs enquanto o modelo de escalonamento introduzido pela EC 103 estiver vigente.</w:t>
      </w:r>
    </w:p>
    <w:p w14:paraId="69B93BCD" w14:textId="77777777" w:rsidR="005A5FCC" w:rsidRDefault="00A21C81">
      <w:pPr>
        <w:ind w:firstLine="238"/>
      </w:pPr>
      <w:r>
        <w:rPr>
          <w:rFonts w:cs="EB Garamond"/>
          <w:kern w:val="16"/>
          <w14:ligatures w14:val="standardContextual"/>
        </w:rPr>
        <w:t>---</w:t>
      </w:r>
    </w:p>
    <w:p w14:paraId="6E90010C" w14:textId="77777777" w:rsidR="005A5FCC" w:rsidRDefault="005A5FCC">
      <w:pPr>
        <w:sectPr w:rsidR="005A5FCC">
          <w:headerReference w:type="even" r:id="rId198"/>
          <w:headerReference w:type="default" r:id="rId199"/>
          <w:footerReference w:type="even" r:id="rId200"/>
          <w:footerReference w:type="default" r:id="rId201"/>
          <w:headerReference w:type="first" r:id="rId202"/>
          <w:footerReference w:type="first" r:id="rId203"/>
          <w:pgSz w:w="8391" w:h="11906"/>
          <w:pgMar w:top="935" w:right="879" w:bottom="964" w:left="1162" w:header="454" w:footer="425" w:gutter="0"/>
          <w:cols w:space="720"/>
          <w:titlePg/>
          <w:docGrid w:linePitch="360"/>
        </w:sectPr>
      </w:pPr>
    </w:p>
    <w:p w14:paraId="25851E19" w14:textId="77777777" w:rsidR="005A5FCC" w:rsidRDefault="00A21C81">
      <w:pPr>
        <w:keepNext/>
        <w:spacing w:before="240" w:after="80" w:line="240" w:lineRule="auto"/>
        <w:jc w:val="center"/>
      </w:pPr>
      <w:r>
        <w:rPr>
          <w:rFonts w:ascii="Noto Sans" w:hAnsi="Noto Sans" w:cs="Noto Sans"/>
          <w:b/>
          <w:caps/>
          <w:color w:val="8A6A2A"/>
          <w:kern w:val="16"/>
          <w:sz w:val="19"/>
          <w14:ligatures w14:val="standardContextual"/>
        </w:rPr>
        <w:lastRenderedPageBreak/>
        <w:t>CAPÍTULO 21</w:t>
      </w:r>
    </w:p>
    <w:p w14:paraId="7EE07EEB" w14:textId="77777777" w:rsidR="005A5FCC" w:rsidRDefault="00A21C81">
      <w:pPr>
        <w:pStyle w:val="Ttulo2"/>
        <w:spacing w:line="240" w:lineRule="auto"/>
      </w:pPr>
      <w:r>
        <w:rPr>
          <w:rFonts w:ascii="EB Garamond" w:hAnsi="EB Garamond" w:cs="EB Garamond"/>
          <w:caps/>
          <w:kern w:val="16"/>
          <w14:ligatures w14:val="standardContextual"/>
        </w:rPr>
        <w:t>Decadência, Prescrição e Coisa Julgada Previdenciária</w:t>
      </w:r>
    </w:p>
    <w:p w14:paraId="0571F569" w14:textId="77777777" w:rsidR="005A5FCC" w:rsidRDefault="00A21C81">
      <w:pPr>
        <w:spacing w:after="240" w:line="240" w:lineRule="auto"/>
        <w:jc w:val="center"/>
      </w:pPr>
      <w:r>
        <w:rPr>
          <w:rFonts w:cs="EB Garamond"/>
          <w:color w:val="B78B37"/>
          <w:kern w:val="16"/>
          <w:sz w:val="18"/>
          <w14:ligatures w14:val="standardContextual"/>
        </w:rPr>
        <w:t>━━━━  ◆  ━━━━</w:t>
      </w:r>
    </w:p>
    <w:p w14:paraId="7FE07051" w14:textId="187049DE" w:rsidR="005A5FCC" w:rsidRDefault="00FF66A2">
      <w:pPr>
        <w:keepNext/>
        <w:pBdr>
          <w:bottom w:val="single" w:sz="8" w:space="4" w:color="B89B5E"/>
        </w:pBdr>
        <w:spacing w:before="360" w:after="140" w:line="240" w:lineRule="auto"/>
        <w:jc w:val="left"/>
      </w:pPr>
      <w:r>
        <w:rPr>
          <w:rFonts w:cs="EB Garamond"/>
          <w:b/>
          <w:color w:val="3A3128"/>
          <w:kern w:val="16"/>
          <w:sz w:val="31"/>
          <w14:ligatures w14:val="standardContextual"/>
        </w:rPr>
        <w:t xml:space="preserve">21.1 </w:t>
      </w:r>
      <w:r w:rsidR="00A21C81">
        <w:rPr>
          <w:rFonts w:cs="EB Garamond"/>
          <w:b/>
          <w:color w:val="3A3128"/>
          <w:kern w:val="16"/>
          <w:sz w:val="31"/>
          <w14:ligatures w14:val="standardContextual"/>
        </w:rPr>
        <w:t>Introdução: os limites temporais do direito previdenciário</w:t>
      </w:r>
    </w:p>
    <w:p w14:paraId="6041D5F3"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58B9B54D" w14:textId="77777777" w:rsidR="005A5FCC" w:rsidRDefault="00A21C81">
      <w:r>
        <w:rPr>
          <w:rFonts w:cs="EB Garamond"/>
          <w:kern w:val="16"/>
          <w14:ligatures w14:val="standardContextual"/>
        </w:rPr>
        <w:t xml:space="preserve"> direito previdenciário convive com uma tensão estrutural que permeia todo o seu regime jurídico: de um lado, a necessidade de proteger o segurado e seus dependentes contra os riscos sociais que ameaçam a subsistência, o que confere aos benefícios previdenciários natureza alimentar e status de direito fundamental; de outro, a exigência de segurança jurídica, que impõe a estabilização das relações jurídicas e a definitividade dos atos administrativos e judiciais. Essa tensão não é exclusiva do direito previdenciário, mas nele assume feições particularmente agudas. O benefício previdenciário é, muitas vezes, a única fonte de renda do segurado ou de sua família. Submetê-lo a prazos extintivos rígidos pode significar a consolidação de um prejuízo alimentar cristalizado que compromete a dignidade do beneficiário por toda a vida. Ignorar qualquer limite temporal, por outro lado, criaria um ambiente de permanente instabilidade para o INSS, para o sistema previdenciário e, em última análise, para a própria coletividade de segurados.</w:t>
      </w:r>
    </w:p>
    <w:p w14:paraId="676D25A2" w14:textId="77777777" w:rsidR="005A5FCC" w:rsidRDefault="00A21C81">
      <w:pPr>
        <w:ind w:firstLine="238"/>
      </w:pPr>
      <w:r>
        <w:rPr>
          <w:rFonts w:cs="EB Garamond"/>
          <w:kern w:val="16"/>
          <w14:ligatures w14:val="standardContextual"/>
        </w:rPr>
        <w:t>O ordenamento jurídico brasileiro responde a essa tensão com três institutos que, embora próximos, operam em planos distintos. A decadência extingue o direito potestativo de revisar o ato de concessão do benefício. A prescrição extingue a pretensão de cobrar parcelas vencidas e não pagas. A coisa julgada confere imutabilidade à decisão judicial de mérito transitada em julgado. Cada um desses ins</w:t>
      </w:r>
      <w:r>
        <w:rPr>
          <w:rFonts w:cs="EB Garamond"/>
          <w:kern w:val="16"/>
          <w14:ligatures w14:val="standardContextual"/>
        </w:rPr>
        <w:lastRenderedPageBreak/>
        <w:t>titutos possui regime próprio, prazo próprio, fundamento constitucional próprio e consequências processuais distintas. A confusão entre eles é fonte frequente de erros em petições iniciais, contestações e sentenças nos Juizados Especiais Federais.</w:t>
      </w:r>
    </w:p>
    <w:p w14:paraId="6149AFCF" w14:textId="77777777" w:rsidR="005A5FCC" w:rsidRDefault="00A21C81">
      <w:pPr>
        <w:ind w:firstLine="238"/>
      </w:pPr>
      <w:r>
        <w:rPr>
          <w:rFonts w:cs="EB Garamond"/>
          <w:kern w:val="16"/>
          <w14:ligatures w14:val="standardContextual"/>
        </w:rPr>
        <w:t>No direito previdenciário, a decadência, a prescrição e a coisa julgada sofrem inflexões que as afastam das regras gerais do direito civil e do direito processual civil. A decadência previdenciária incide sobre o ato de concessão, mas não atinge o direito ao benefício em si, conforme assentou o Supremo Tribunal Federal na ADI 6096. A prescrição quinquenal atinge apenas as parcelas vencidas, preservando o fundo de direito nas relações de trato sucessivo, conforme a Súmula 85 do Superior Tribunal de Justiça. A coisa julgada, nas ações por incapacidade, opera sob a cláusula rebus sic stantibus, admitindo nova ação quando se demonstra alteração superveniente no estado de saúde do segurado. Essas particularidades não são meras curiosidades dogmáticas: são regras operacionais que determinam o desfecho de milhares de ações nos JEFs todos os anos.</w:t>
      </w:r>
    </w:p>
    <w:p w14:paraId="62EA90FB" w14:textId="77777777" w:rsidR="005A5FCC" w:rsidRDefault="00A21C81">
      <w:pPr>
        <w:ind w:firstLine="238"/>
      </w:pPr>
      <w:r>
        <w:rPr>
          <w:rFonts w:cs="EB Garamond"/>
          <w:kern w:val="16"/>
          <w14:ligatures w14:val="standardContextual"/>
        </w:rPr>
        <w:t>O presente capítulo tem função dogmático-transversal. Diferencia-se do Capítulo 17, que aplica a decadência a cada tese revisional concreta (vida toda, teto, Buraco Negro, art. 29, II, atividades concomitantes), e do Capítulo 23, que examina o procedimento nos JEFs sob o prisma processual. Nosso propósito aqui é desenvolver a teoria geral de cada instituto: evolução legislativa, natureza jurídica, objeto, termo inicial, exceções, causas de interrupção e suspensão, constitucionalidade. Quando a aplicação concreta a uma tese revisional específica já estiver tratada no Capítulo 17, faremos remissão breve. Quando o aspecto procedimental for objeto do Capítulo 23, igualmente remeteremos o leitor.</w:t>
      </w:r>
    </w:p>
    <w:p w14:paraId="5BC8E5E4" w14:textId="77777777" w:rsidR="005A5FCC" w:rsidRDefault="00A21C81">
      <w:pPr>
        <w:ind w:firstLine="238"/>
      </w:pPr>
      <w:r>
        <w:rPr>
          <w:rFonts w:cs="EB Garamond"/>
          <w:kern w:val="16"/>
          <w14:ligatures w14:val="standardContextual"/>
        </w:rPr>
        <w:t xml:space="preserve">A estrutura do capítulo reflete a tripartição dos institutos. As seções 21.2 a 21.8 tratam da decadência previdenciária: evolução legislativa do art. 103, natureza jurídica, objeto, termo inicial, temas vinculantes e constitucionalidade. As seções 21.9 a 21.14 examinam a prescrição: o prazo quinquenal, a regra do trato sucessivo, o termo inicial, as causas de interrupção e suspensão, a situação dos menores e incapazes e a legitimidade dos herdeiros. As seções 21.15 a 21.21 abordam a coisa julgada previdenciária: suas particularidades nos JEFs, a coisa julgada </w:t>
      </w:r>
      <w:r>
        <w:rPr>
          <w:rFonts w:cs="EB Garamond"/>
          <w:kern w:val="16"/>
          <w14:ligatures w14:val="standardContextual"/>
        </w:rPr>
        <w:lastRenderedPageBreak/>
        <w:t>secundum eventum probationis, a cláusula rebus sic stantibus, a querela nullitatis e a vedação de ação rescisória. A seção final consolida as posições adotadas ao longo do capítulo.</w:t>
      </w:r>
    </w:p>
    <w:p w14:paraId="45284D92" w14:textId="77777777" w:rsidR="005A5FCC" w:rsidRDefault="00A21C81">
      <w:pPr>
        <w:ind w:firstLine="238"/>
      </w:pPr>
      <w:r>
        <w:rPr>
          <w:rFonts w:cs="EB Garamond"/>
          <w:kern w:val="16"/>
          <w14:ligatures w14:val="standardContextual"/>
        </w:rPr>
        <w:t>Adotamos a mesma premissa que orienta toda a obra: a exposição deve ser funcional, orientada para a prática dos JEFs, sem sacrificar a densidade teórica que a matéria exige. O magistrado e o advogado previdenciarista precisam de regras claras sobre prazos, termos iniciais e exceções; precisam também compreender os fundamentos que sustentam essas regras, para poderem distinguir os casos em que elas incidem daqueles em que cedem lugar a soluções diversas.</w:t>
      </w:r>
    </w:p>
    <w:p w14:paraId="3634A98A"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21.2 Art. 103 da lei 8.213/91: evolução legislativa</w:t>
      </w:r>
    </w:p>
    <w:p w14:paraId="1D58E242" w14:textId="77777777" w:rsidR="005A5FCC" w:rsidRDefault="00A21C81">
      <w:pPr>
        <w:spacing w:before="260" w:after="80" w:line="240" w:lineRule="auto"/>
        <w:jc w:val="left"/>
      </w:pPr>
      <w:r>
        <w:rPr>
          <w:rFonts w:cs="EB Garamond"/>
          <w:b/>
          <w:color w:val="3A3128"/>
          <w:kern w:val="16"/>
          <w:sz w:val="25"/>
          <w14:ligatures w14:val="standardContextual"/>
        </w:rPr>
        <w:t>21.2.1 Redação original (1991): ausência de prazo decadencial</w:t>
      </w:r>
    </w:p>
    <w:p w14:paraId="75ECD09F"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190C4B04" w14:textId="77777777" w:rsidR="005A5FCC" w:rsidRDefault="00A21C81">
      <w:r>
        <w:rPr>
          <w:rFonts w:cs="EB Garamond"/>
          <w:kern w:val="16"/>
          <w14:ligatures w14:val="standardContextual"/>
        </w:rPr>
        <w:t xml:space="preserve"> Lei 8.213, de 24 de julho de 1991, em sua redação originária, não estabelecia prazo decadencial para a revisão do ato de concessão de benefício previdenciário. O art. 103, em sua versão inicial, limitava-se a fixar o prazo prescricional de cinco anos para a cobrança de prestações vencidas, sem qualquer menção à decadência do direito de revisar o ato concessório. A omissão era coerente com a compreensão então vigente de que o ato de concessão de benefício previdenciário, por envolver direito fundamental de natureza alimentar, não poderia submeter-se a prazos extintivos que atingissem o próprio direito de questionar eventuais erros de cálculo.</w:t>
      </w:r>
    </w:p>
    <w:p w14:paraId="07A6979F" w14:textId="77777777" w:rsidR="005A5FCC" w:rsidRDefault="00A21C81">
      <w:pPr>
        <w:ind w:firstLine="238"/>
      </w:pPr>
      <w:r>
        <w:rPr>
          <w:rFonts w:cs="EB Garamond"/>
          <w:kern w:val="16"/>
          <w14:ligatures w14:val="standardContextual"/>
        </w:rPr>
        <w:t xml:space="preserve">Nesse período, o segurado poderia, a qualquer tempo, postular a revisão da renda mensal inicial de seu benefício. O único limite temporal aplicável era a prescrição das parcelas: mesmo que a revisão fosse deferida trinta anos após a concessão, o segurado somente receberia as diferenças dos últimos cinco anos. Na prática, essa ausência de prazo decadencial gerava um cenário de instabilidade permanente para a autarquia previdenciária, obrigada a manter em arquivo a documentação de benefícios concedidos décadas antes, e para o sistema como um </w:t>
      </w:r>
      <w:r>
        <w:rPr>
          <w:rFonts w:cs="EB Garamond"/>
          <w:kern w:val="16"/>
          <w14:ligatures w14:val="standardContextual"/>
        </w:rPr>
        <w:lastRenderedPageBreak/>
        <w:t>todo, sujeito a demandas revisionais que podiam multiplicar-se sem limite temporal.</w:t>
      </w:r>
    </w:p>
    <w:p w14:paraId="1D1366F6" w14:textId="77777777" w:rsidR="005A5FCC" w:rsidRDefault="00A21C81">
      <w:pPr>
        <w:spacing w:before="260" w:after="80" w:line="240" w:lineRule="auto"/>
        <w:jc w:val="left"/>
      </w:pPr>
      <w:r>
        <w:rPr>
          <w:rFonts w:cs="EB Garamond"/>
          <w:b/>
          <w:color w:val="3A3128"/>
          <w:kern w:val="16"/>
          <w:sz w:val="25"/>
          <w14:ligatures w14:val="standardContextual"/>
        </w:rPr>
        <w:t>21.2.2 MP 1.523-9/1997 e lei 9.528/1997: introdução do prazo de dez anos</w:t>
      </w:r>
    </w:p>
    <w:p w14:paraId="0C61A7B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196AC6E2" w14:textId="77777777" w:rsidR="005A5FCC" w:rsidRDefault="00A21C81">
      <w:r>
        <w:rPr>
          <w:rFonts w:cs="EB Garamond"/>
          <w:kern w:val="16"/>
          <w14:ligatures w14:val="standardContextual"/>
        </w:rPr>
        <w:t xml:space="preserve"> situação mudou com a edição da Medida Provisória 1.523-9, de 27 de junho de 1997, posteriormente convertida na Lei 9.528, de 10 de dezembro de 1997. Pela primeira vez, o legislador inseriu no caput do art. 103 da Lei 8.213/91 um prazo decadencial para a revisão do ato de concessão, fixando-o em dez anos contados do dia primeiro do mês seguinte ao do recebimento da primeira prestação ou, quando for o caso, do dia em que o segurado tomar conhecimento da decisão indeferitória definitiva no âmbito administrativo.</w:t>
      </w:r>
    </w:p>
    <w:p w14:paraId="305C8B91" w14:textId="77777777" w:rsidR="005A5FCC" w:rsidRDefault="00A21C81">
      <w:pPr>
        <w:ind w:firstLine="238"/>
      </w:pPr>
      <w:r>
        <w:rPr>
          <w:rFonts w:cs="EB Garamond"/>
          <w:kern w:val="16"/>
          <w14:ligatures w14:val="standardContextual"/>
        </w:rPr>
        <w:t>A introdução do prazo decadencial representou mudança de paradigma. Até então, o sistema previdenciário brasileiro operava sob a premissa de que o ato de concessão poderia ser questionado a qualquer tempo. Com a MP 1.523-9/1997, o legislador passou a exigir que o segurado exercesse o direito de revisão dentro de prazo razoável, sob pena de estabilização definitiva do ato. A justificativa oficial da medida provisória apontava a necessidade de compatibilizar a proteção do segurado com a segurança jurídica e a previsibilidade orçamentária do sistema.</w:t>
      </w:r>
    </w:p>
    <w:p w14:paraId="69630DBE" w14:textId="77777777" w:rsidR="005A5FCC" w:rsidRDefault="00A21C81">
      <w:pPr>
        <w:spacing w:before="260" w:after="80" w:line="240" w:lineRule="auto"/>
        <w:jc w:val="left"/>
      </w:pPr>
      <w:r>
        <w:rPr>
          <w:rFonts w:cs="EB Garamond"/>
          <w:b/>
          <w:color w:val="3A3128"/>
          <w:kern w:val="16"/>
          <w:sz w:val="25"/>
          <w14:ligatures w14:val="standardContextual"/>
        </w:rPr>
        <w:t>21.2.3 Lei 9.711/1998: redução para cinco anos</w:t>
      </w:r>
    </w:p>
    <w:p w14:paraId="18132A9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325579EF" w14:textId="77777777" w:rsidR="005A5FCC" w:rsidRDefault="00A21C81">
      <w:r>
        <w:rPr>
          <w:rFonts w:cs="EB Garamond"/>
          <w:kern w:val="16"/>
          <w14:ligatures w14:val="standardContextual"/>
        </w:rPr>
        <w:t xml:space="preserve"> estabilidade do prazo decenal durou pouco. A Medida Provisória 1.663-15, de 22 de outubro de 1998, convertida na Lei 9.711, de 20 de novembro de 1998, reduziu o prazo decadencial de dez para cinco anos. A redução acompanhou um momento de austeridade fiscal e de reformas paramétricas no sistema previdenciário, contemporâneo à Emenda Constitucional 20/1998. A opção pelo prazo de cinco anos alinhava-se ao prazo prescricional geral contra a Fazenda Pública (Decreto 20.910/1932) e ao prazo prescricional do próprio art. 103, parágrafo único, da Lei 8.213/91.</w:t>
      </w:r>
    </w:p>
    <w:p w14:paraId="14339D91" w14:textId="77777777" w:rsidR="005A5FCC" w:rsidRDefault="00A21C81">
      <w:pPr>
        <w:ind w:firstLine="238"/>
      </w:pPr>
      <w:r>
        <w:rPr>
          <w:rFonts w:cs="EB Garamond"/>
          <w:kern w:val="16"/>
          <w14:ligatures w14:val="standardContextual"/>
        </w:rPr>
        <w:t xml:space="preserve">A redução foi duramente criticada pela doutrina previdenciarista. O prazo de cinco anos mostrou-se insuficiente para que segurados de baixa escolaridade, residentes em áreas remotas e sem acesso a assessoria jurídica pudessem identificar </w:t>
      </w:r>
      <w:r>
        <w:rPr>
          <w:rFonts w:cs="EB Garamond"/>
          <w:kern w:val="16"/>
          <w14:ligatures w14:val="standardContextual"/>
        </w:rPr>
        <w:lastRenderedPageBreak/>
        <w:t>erros de cálculo em seus benefícios e buscar a tutela jurisdicional adequada. A crítica tinha fundamento empírico: na prática dos JEFs, a identificação do erro de cálculo pelo segurado depende, quase sempre, da intervenção de advogado especializado ou de sindicato, e o acesso a essas entidades não é imediato nem universal. Savaris (2023, p. 215) registra que a redução para cinco anos gerou um cenário de injustiça estrutural, no qual segurados cujos benefícios haviam sido calculados com erro grave não conseguiam exercer o direito de revisão antes do escoamento do prazo.</w:t>
      </w:r>
    </w:p>
    <w:p w14:paraId="1B30920E" w14:textId="77777777" w:rsidR="005A5FCC" w:rsidRDefault="00A21C81">
      <w:pPr>
        <w:spacing w:before="260" w:after="80" w:line="240" w:lineRule="auto"/>
        <w:jc w:val="left"/>
      </w:pPr>
      <w:r>
        <w:rPr>
          <w:rFonts w:cs="EB Garamond"/>
          <w:b/>
          <w:color w:val="3A3128"/>
          <w:kern w:val="16"/>
          <w:sz w:val="25"/>
          <w14:ligatures w14:val="standardContextual"/>
        </w:rPr>
        <w:t>21.2.4 Lei 10.839/2004: retorno aos dez anos (redação vigente)</w:t>
      </w:r>
    </w:p>
    <w:p w14:paraId="315FD66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44B1643E" w14:textId="77777777" w:rsidR="005A5FCC" w:rsidRDefault="00A21C81">
      <w:r>
        <w:rPr>
          <w:rFonts w:cs="EB Garamond"/>
          <w:kern w:val="16"/>
          <w14:ligatures w14:val="standardContextual"/>
        </w:rPr>
        <w:t xml:space="preserve"> Medida Provisória 138, de 19 de novembro de 2003 — cujo objeto principal tratava de contribuições previdenciárias e outras matérias —, convertida na Lei 10.839, de 5 de fevereiro de 2004, restabeleceu, dentre seus múltiplos dispositivos, o prazo decadencial em dez anos e, aspecto de grande relevância prática, reabriu o prazo para benefícios que já haviam sido atingidos pela decadência quinquenal. A reabertura operou a partir da vigência da MP 138/2003 (19/11/2003), de modo que segurados cujo direito revisional havia decaído sob a vigência do prazo de cinco anos tiveram novo prazo decenal contado daquela data.</w:t>
      </w:r>
    </w:p>
    <w:p w14:paraId="645F8027" w14:textId="77777777" w:rsidR="005A5FCC" w:rsidRDefault="00A21C81">
      <w:pPr>
        <w:ind w:firstLine="238"/>
      </w:pPr>
      <w:r>
        <w:rPr>
          <w:rFonts w:cs="EB Garamond"/>
          <w:kern w:val="16"/>
          <w14:ligatures w14:val="standardContextual"/>
        </w:rPr>
        <w:t>A reabertura configurou reconhecimento legislativo de que o prazo quinquenal fora excessivamente restritivo. Na prática dos JEFs, a reabertura gerou uma nova leva de ações revisionais, pois segurados que haviam sido informados da decadência de suas pretensões puderam, a partir de novembro de 2003, exercer novamente o direito de revisão. A redação conferida pela Lei 10.839/2004 é a que permanece em vigor até o momento de fechamento desta edição.</w:t>
      </w:r>
    </w:p>
    <w:p w14:paraId="3EC44C02" w14:textId="77777777" w:rsidR="005A5FCC" w:rsidRDefault="00A21C81">
      <w:pPr>
        <w:spacing w:before="260" w:after="80" w:line="240" w:lineRule="auto"/>
        <w:jc w:val="left"/>
      </w:pPr>
      <w:r>
        <w:rPr>
          <w:rFonts w:cs="EB Garamond"/>
          <w:b/>
          <w:color w:val="3A3128"/>
          <w:kern w:val="16"/>
          <w:sz w:val="25"/>
          <w14:ligatures w14:val="standardContextual"/>
        </w:rPr>
        <w:t>21.2.5 Lei 13.846/2019: tentativa de extensão ao indeferimento</w:t>
      </w:r>
    </w:p>
    <w:p w14:paraId="0BA4BB8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49BAD281" w14:textId="77777777" w:rsidR="005A5FCC" w:rsidRDefault="00A21C81">
      <w:r>
        <w:rPr>
          <w:rFonts w:cs="EB Garamond"/>
          <w:kern w:val="16"/>
          <w14:ligatures w14:val="standardContextual"/>
        </w:rPr>
        <w:t xml:space="preserve"> Lei 13.846, de 18 de junho de 2019, resultante da conversão da Medida Provisória 871/2019 (conhecida como "MP do pente-fino"), promoveu alteração ambiciosa no art. 103 da Lei 8.213/91. O art. 24 da Lei </w:t>
      </w:r>
      <w:r>
        <w:rPr>
          <w:rFonts w:cs="EB Garamond"/>
          <w:kern w:val="16"/>
          <w14:ligatures w14:val="standardContextual"/>
        </w:rPr>
        <w:lastRenderedPageBreak/>
        <w:t>13.846/2019 pretendeu estender o prazo decadencial de dez anos não apenas à revisão do ato de concessão, mas também ao indeferimento, cancelamento e cessação de benefícios. Em outros termos: o segurado que tivesse o benefício indeferido pelo INSS teria dez anos para questionar o indeferimento judicialmente. Transcorrido o prazo, a pretensão de concessão estaria extinta pela decadência.</w:t>
      </w:r>
    </w:p>
    <w:p w14:paraId="1F2A7C00" w14:textId="77777777" w:rsidR="005A5FCC" w:rsidRDefault="00A21C81">
      <w:pPr>
        <w:ind w:firstLine="238"/>
      </w:pPr>
      <w:r>
        <w:rPr>
          <w:rFonts w:cs="EB Garamond"/>
          <w:kern w:val="16"/>
          <w14:ligatures w14:val="standardContextual"/>
        </w:rPr>
        <w:t>A extensão foi recebida com forte resistência doutrinária e judicial. Aplicar a decadência ao indeferimento significava, na prática, impor prazo fatal para o exercício do direito fundamental à previdência social. O segurado que não conseguisse ajuizar ação no prazo de dez anos após o indeferimento perderia definitivamente o direito ao benefício, independentemente de preencher os requisitos legais. A medida afetaria de modo desproporcional segurados vulneráveis: idosos, analfabetos, moradores de áreas rurais sem acesso ao Judiciário.</w:t>
      </w:r>
    </w:p>
    <w:p w14:paraId="3BE3DD5F" w14:textId="77777777" w:rsidR="005A5FCC" w:rsidRDefault="00A21C81">
      <w:pPr>
        <w:spacing w:before="260" w:after="80" w:line="240" w:lineRule="auto"/>
        <w:jc w:val="left"/>
      </w:pPr>
      <w:r>
        <w:rPr>
          <w:rFonts w:cs="EB Garamond"/>
          <w:b/>
          <w:color w:val="3A3128"/>
          <w:kern w:val="16"/>
          <w:sz w:val="25"/>
          <w14:ligatures w14:val="standardContextual"/>
        </w:rPr>
        <w:t>21.2.6 ADI 6096/STF: declaração de inconstitucionalidade</w:t>
      </w:r>
    </w:p>
    <w:p w14:paraId="2FB06964"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1DC8000A" w14:textId="77777777" w:rsidR="005A5FCC" w:rsidRDefault="00A21C81">
      <w:r>
        <w:rPr>
          <w:rFonts w:cs="EB Garamond"/>
          <w:kern w:val="16"/>
          <w14:ligatures w14:val="standardContextual"/>
        </w:rPr>
        <w:t xml:space="preserve"> Plenário do Supremo Tribunal Federal, no julgamento da ADI 6096 (Plenário Virtual, sessão encerrada em 1º de julho de 2020 — janela de 19/06 a 01/07/2020 —, Relator Ministro Edson Fachin), declarou a inconstitucionalidade do art. 24 da Lei 13.846/2019 na parte em que estendia a decadência ao indeferimento, cancelamento e cessação de benefícios. O fundamento central do acórdão reside na distinção entre o direito de revisar e o direito de obter: a decadência pode legitimamente atingir o direito potestativo de questionar os parâmetros do ato de concessão, mas não pode extinguir o direito fundamental à obtenção do benefício previdenciário em si. A pretensão de concessão originária é imprescritível em seu fundo de direito, sujeitando-se apenas à prescrição quinquenal das parcelas.</w:t>
      </w:r>
    </w:p>
    <w:p w14:paraId="1CB649E4" w14:textId="77777777" w:rsidR="005A5FCC" w:rsidRDefault="00A21C81">
      <w:pPr>
        <w:ind w:firstLine="238"/>
      </w:pPr>
      <w:r>
        <w:rPr>
          <w:rFonts w:cs="EB Garamond"/>
          <w:kern w:val="16"/>
          <w14:ligatures w14:val="standardContextual"/>
        </w:rPr>
        <w:t>A decisão da ADI 6096 reafirmou que o art. 103 da Lei 8.213/91 tem objeto circunscrito: a decadência atinge o direito de revisar o ato de concessão e somente esse direito. Pretensões de concessão, de restabelecimento de benefício cessado e de reconhecimento de direito negado administrativamente não se submetem a prazo decadencial algum. Essa distinção é estruturante para todo o regime de limites temporais em matéria previdenciária e será retomada nas seções seguintes.</w:t>
      </w:r>
    </w:p>
    <w:p w14:paraId="183D6388" w14:textId="77777777" w:rsidR="005A5FCC" w:rsidRDefault="00A21C81">
      <w:pPr>
        <w:spacing w:before="260" w:after="80" w:line="240" w:lineRule="auto"/>
        <w:jc w:val="left"/>
      </w:pPr>
      <w:r>
        <w:rPr>
          <w:rFonts w:cs="EB Garamond"/>
          <w:b/>
          <w:color w:val="3A3128"/>
          <w:kern w:val="16"/>
          <w:sz w:val="25"/>
          <w14:ligatures w14:val="standardContextual"/>
        </w:rPr>
        <w:t>21.2.7 Quadro 21.1 — evolução do art. 103 da lei 8.213/91</w:t>
      </w:r>
    </w:p>
    <w:tbl>
      <w:tblPr>
        <w:tblW w:w="5000" w:type="pct"/>
        <w:jc w:val="center"/>
        <w:tblLayout w:type="fixed"/>
        <w:tblLook w:val="04A0" w:firstRow="1" w:lastRow="0" w:firstColumn="1" w:lastColumn="0" w:noHBand="0" w:noVBand="1"/>
      </w:tblPr>
      <w:tblGrid>
        <w:gridCol w:w="6311"/>
      </w:tblGrid>
      <w:tr w:rsidR="005A5FCC" w14:paraId="32FA43D7" w14:textId="77777777">
        <w:trPr>
          <w:cantSplit/>
          <w:jc w:val="center"/>
        </w:trPr>
        <w:tc>
          <w:tcPr>
            <w:tcW w:w="6350" w:type="dxa"/>
            <w:tcBorders>
              <w:top w:val="single" w:sz="7" w:space="0" w:color="A09882"/>
              <w:left w:val="single" w:sz="24" w:space="0" w:color="6B6256"/>
              <w:bottom w:val="single" w:sz="7" w:space="0" w:color="A09882"/>
              <w:right w:val="single" w:sz="7" w:space="0" w:color="A09882"/>
            </w:tcBorders>
            <w:shd w:val="clear" w:color="auto" w:fill="F5F3EF"/>
            <w:tcMar>
              <w:top w:w="150" w:type="dxa"/>
              <w:left w:w="220" w:type="dxa"/>
              <w:bottom w:w="150" w:type="dxa"/>
              <w:right w:w="180" w:type="dxa"/>
            </w:tcMar>
          </w:tcPr>
          <w:p w14:paraId="062018A0" w14:textId="77777777" w:rsidR="005A5FCC" w:rsidRDefault="00A21C81">
            <w:pPr>
              <w:spacing w:after="60" w:line="240" w:lineRule="auto"/>
              <w:jc w:val="left"/>
            </w:pPr>
            <w:r>
              <w:rPr>
                <w:rFonts w:ascii="Noto Sans" w:hAnsi="Noto Sans" w:cs="Noto Sans"/>
                <w:b/>
                <w:caps/>
                <w:color w:val="6B6256"/>
                <w:kern w:val="16"/>
                <w:sz w:val="16"/>
                <w14:ligatures w14:val="standardContextual"/>
              </w:rPr>
              <w:lastRenderedPageBreak/>
              <w:t>QUADRO</w:t>
            </w:r>
          </w:p>
          <w:p w14:paraId="185D58CA" w14:textId="77777777" w:rsidR="005A5FCC" w:rsidRDefault="00A21C81">
            <w:pPr>
              <w:spacing w:after="60" w:line="247" w:lineRule="auto"/>
            </w:pPr>
            <w:r>
              <w:rPr>
                <w:rFonts w:cs="EB Garamond"/>
                <w:b/>
                <w:kern w:val="16"/>
                <w:sz w:val="19"/>
                <w14:ligatures w14:val="standardContextual"/>
              </w:rPr>
              <w:t>Quadro 21.1 — Evolução do art. 103 da Lei 8.213/91 (redações do caput)</w:t>
            </w:r>
          </w:p>
          <w:tbl>
            <w:tblPr>
              <w:tblW w:w="5000" w:type="pct"/>
              <w:jc w:val="center"/>
              <w:tblLook w:val="04A0" w:firstRow="1" w:lastRow="0" w:firstColumn="1" w:lastColumn="0" w:noHBand="0" w:noVBand="1"/>
            </w:tblPr>
            <w:tblGrid>
              <w:gridCol w:w="1181"/>
              <w:gridCol w:w="1180"/>
              <w:gridCol w:w="1180"/>
              <w:gridCol w:w="1180"/>
              <w:gridCol w:w="1180"/>
            </w:tblGrid>
            <w:tr w:rsidR="005A5FCC" w14:paraId="39A4B9E0" w14:textId="77777777">
              <w:trPr>
                <w:tblHeader/>
                <w:jc w:val="center"/>
              </w:trPr>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50240CBB" w14:textId="77777777" w:rsidR="005A5FCC" w:rsidRDefault="00A21C81">
                  <w:pPr>
                    <w:spacing w:before="30" w:after="30" w:line="240" w:lineRule="auto"/>
                    <w:jc w:val="center"/>
                  </w:pPr>
                  <w:r>
                    <w:rPr>
                      <w:rFonts w:cs="EB Garamond"/>
                      <w:b/>
                      <w:color w:val="2F2923"/>
                      <w:kern w:val="16"/>
                      <w:sz w:val="16"/>
                      <w14:ligatures w14:val="standardContextual"/>
                    </w:rPr>
                    <w:t>Norma</w:t>
                  </w:r>
                </w:p>
              </w:tc>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1209497D" w14:textId="77777777" w:rsidR="005A5FCC" w:rsidRDefault="00A21C81">
                  <w:pPr>
                    <w:spacing w:before="30" w:after="30" w:line="240" w:lineRule="auto"/>
                    <w:jc w:val="center"/>
                  </w:pPr>
                  <w:r>
                    <w:rPr>
                      <w:rFonts w:cs="EB Garamond"/>
                      <w:b/>
                      <w:color w:val="2F2923"/>
                      <w:kern w:val="16"/>
                      <w:sz w:val="16"/>
                      <w14:ligatures w14:val="standardContextual"/>
                    </w:rPr>
                    <w:t>Vigência</w:t>
                  </w:r>
                </w:p>
              </w:tc>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0954F4F0" w14:textId="77777777" w:rsidR="005A5FCC" w:rsidRDefault="00A21C81">
                  <w:pPr>
                    <w:spacing w:before="30" w:after="30" w:line="240" w:lineRule="auto"/>
                    <w:jc w:val="center"/>
                  </w:pPr>
                  <w:r>
                    <w:rPr>
                      <w:rFonts w:cs="EB Garamond"/>
                      <w:b/>
                      <w:color w:val="2F2923"/>
                      <w:kern w:val="16"/>
                      <w:sz w:val="16"/>
                      <w14:ligatures w14:val="standardContextual"/>
                    </w:rPr>
                    <w:t>Prazo</w:t>
                  </w:r>
                </w:p>
              </w:tc>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1B455B54" w14:textId="77777777" w:rsidR="005A5FCC" w:rsidRDefault="00A21C81">
                  <w:pPr>
                    <w:spacing w:before="30" w:after="30" w:line="240" w:lineRule="auto"/>
                    <w:jc w:val="center"/>
                  </w:pPr>
                  <w:r>
                    <w:rPr>
                      <w:rFonts w:cs="EB Garamond"/>
                      <w:b/>
                      <w:color w:val="2F2923"/>
                      <w:kern w:val="16"/>
                      <w:sz w:val="16"/>
                      <w14:ligatures w14:val="standardContextual"/>
                    </w:rPr>
                    <w:t>Objeto</w:t>
                  </w:r>
                </w:p>
              </w:tc>
              <w:tc>
                <w:tcPr>
                  <w:tcW w:w="1270" w:type="dxa"/>
                  <w:tcBorders>
                    <w:top w:val="single" w:sz="4" w:space="0" w:color="D2C9B8"/>
                    <w:left w:val="single" w:sz="4" w:space="0" w:color="D2C9B8"/>
                    <w:bottom w:val="single" w:sz="4" w:space="0" w:color="D2C9B8"/>
                    <w:right w:val="single" w:sz="4" w:space="0" w:color="D2C9B8"/>
                  </w:tcBorders>
                  <w:shd w:val="clear" w:color="auto" w:fill="F0EDE6"/>
                </w:tcPr>
                <w:p w14:paraId="4ECD6B93" w14:textId="77777777" w:rsidR="005A5FCC" w:rsidRDefault="00A21C81">
                  <w:pPr>
                    <w:spacing w:before="30" w:after="30" w:line="240" w:lineRule="auto"/>
                    <w:jc w:val="center"/>
                  </w:pPr>
                  <w:r>
                    <w:rPr>
                      <w:rFonts w:cs="EB Garamond"/>
                      <w:b/>
                      <w:color w:val="2F2923"/>
                      <w:kern w:val="16"/>
                      <w:sz w:val="16"/>
                      <w14:ligatures w14:val="standardContextual"/>
                    </w:rPr>
                    <w:t>Observação</w:t>
                  </w:r>
                </w:p>
              </w:tc>
            </w:tr>
            <w:tr w:rsidR="005A5FCC" w14:paraId="137420EA"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7F7B872F" w14:textId="77777777" w:rsidR="005A5FCC" w:rsidRDefault="00A21C81">
                  <w:pPr>
                    <w:spacing w:before="20" w:after="20" w:line="240" w:lineRule="auto"/>
                    <w:jc w:val="left"/>
                  </w:pPr>
                  <w:r>
                    <w:rPr>
                      <w:rFonts w:cs="EB Garamond"/>
                      <w:kern w:val="16"/>
                      <w:sz w:val="16"/>
                      <w14:ligatures w14:val="standardContextual"/>
                    </w:rPr>
                    <w:t>Redação original (Lei 8.213/91)</w:t>
                  </w:r>
                </w:p>
              </w:tc>
              <w:tc>
                <w:tcPr>
                  <w:tcW w:w="1270" w:type="dxa"/>
                  <w:tcBorders>
                    <w:top w:val="single" w:sz="4" w:space="0" w:color="D2C9B8"/>
                    <w:left w:val="single" w:sz="4" w:space="0" w:color="D2C9B8"/>
                    <w:bottom w:val="single" w:sz="4" w:space="0" w:color="D2C9B8"/>
                    <w:right w:val="single" w:sz="4" w:space="0" w:color="D2C9B8"/>
                  </w:tcBorders>
                </w:tcPr>
                <w:p w14:paraId="40FE1AD9" w14:textId="77777777" w:rsidR="005A5FCC" w:rsidRDefault="00A21C81">
                  <w:pPr>
                    <w:spacing w:before="20" w:after="20" w:line="240" w:lineRule="auto"/>
                    <w:jc w:val="left"/>
                  </w:pPr>
                  <w:r>
                    <w:rPr>
                      <w:rFonts w:cs="EB Garamond"/>
                      <w:kern w:val="16"/>
                      <w:sz w:val="16"/>
                      <w14:ligatures w14:val="standardContextual"/>
                    </w:rPr>
                    <w:t>25/07/1991 a 27/06/1997</w:t>
                  </w:r>
                </w:p>
              </w:tc>
              <w:tc>
                <w:tcPr>
                  <w:tcW w:w="1270" w:type="dxa"/>
                  <w:tcBorders>
                    <w:top w:val="single" w:sz="4" w:space="0" w:color="D2C9B8"/>
                    <w:left w:val="single" w:sz="4" w:space="0" w:color="D2C9B8"/>
                    <w:bottom w:val="single" w:sz="4" w:space="0" w:color="D2C9B8"/>
                    <w:right w:val="single" w:sz="4" w:space="0" w:color="D2C9B8"/>
                  </w:tcBorders>
                </w:tcPr>
                <w:p w14:paraId="6F58CB93" w14:textId="77777777" w:rsidR="005A5FCC" w:rsidRDefault="00A21C81">
                  <w:pPr>
                    <w:spacing w:before="20" w:after="20" w:line="240" w:lineRule="auto"/>
                    <w:jc w:val="left"/>
                  </w:pPr>
                  <w:r>
                    <w:rPr>
                      <w:rFonts w:cs="EB Garamond"/>
                      <w:kern w:val="16"/>
                      <w:sz w:val="16"/>
                      <w14:ligatures w14:val="standardContextual"/>
                    </w:rPr>
                    <w:t>Sem prazo decadencial</w:t>
                  </w:r>
                </w:p>
              </w:tc>
              <w:tc>
                <w:tcPr>
                  <w:tcW w:w="1270" w:type="dxa"/>
                  <w:tcBorders>
                    <w:top w:val="single" w:sz="4" w:space="0" w:color="D2C9B8"/>
                    <w:left w:val="single" w:sz="4" w:space="0" w:color="D2C9B8"/>
                    <w:bottom w:val="single" w:sz="4" w:space="0" w:color="D2C9B8"/>
                    <w:right w:val="single" w:sz="4" w:space="0" w:color="D2C9B8"/>
                  </w:tcBorders>
                </w:tcPr>
                <w:p w14:paraId="3C86B0F3" w14:textId="77777777" w:rsidR="005A5FCC" w:rsidRDefault="00A21C81">
                  <w:pPr>
                    <w:spacing w:before="20" w:after="20" w:line="240" w:lineRule="auto"/>
                    <w:jc w:val="left"/>
                  </w:pPr>
                  <w:r>
                    <w:rPr>
                      <w:rFonts w:cs="EB Garamond"/>
                      <w:kern w:val="16"/>
                      <w:sz w:val="16"/>
                      <w14:ligatures w14:val="standardContextual"/>
                    </w:rPr>
                    <w:t>Revisão do ato de concessão</w:t>
                  </w:r>
                </w:p>
              </w:tc>
              <w:tc>
                <w:tcPr>
                  <w:tcW w:w="1270" w:type="dxa"/>
                  <w:tcBorders>
                    <w:top w:val="single" w:sz="4" w:space="0" w:color="D2C9B8"/>
                    <w:left w:val="single" w:sz="4" w:space="0" w:color="D2C9B8"/>
                    <w:bottom w:val="single" w:sz="4" w:space="0" w:color="D2C9B8"/>
                    <w:right w:val="single" w:sz="4" w:space="0" w:color="D2C9B8"/>
                  </w:tcBorders>
                </w:tcPr>
                <w:p w14:paraId="163F3F82" w14:textId="77777777" w:rsidR="005A5FCC" w:rsidRDefault="00A21C81">
                  <w:pPr>
                    <w:spacing w:before="20" w:after="20" w:line="240" w:lineRule="auto"/>
                    <w:jc w:val="left"/>
                  </w:pPr>
                  <w:r>
                    <w:rPr>
                      <w:rFonts w:cs="EB Garamond"/>
                      <w:kern w:val="16"/>
                      <w:sz w:val="16"/>
                      <w14:ligatures w14:val="standardContextual"/>
                    </w:rPr>
                    <w:t>Apenas prescrição quinquenal de parcelas</w:t>
                  </w:r>
                </w:p>
              </w:tc>
            </w:tr>
            <w:tr w:rsidR="005A5FCC" w14:paraId="0AC9CC13"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691F7DCF" w14:textId="77777777" w:rsidR="005A5FCC" w:rsidRDefault="00A21C81">
                  <w:pPr>
                    <w:spacing w:before="20" w:after="20" w:line="240" w:lineRule="auto"/>
                    <w:jc w:val="left"/>
                  </w:pPr>
                  <w:r>
                    <w:rPr>
                      <w:rFonts w:cs="EB Garamond"/>
                      <w:kern w:val="16"/>
                      <w:sz w:val="16"/>
                      <w14:ligatures w14:val="standardContextual"/>
                    </w:rPr>
                    <w:t>MP 1.523-9/1997 (Lei 9.528/97)</w:t>
                  </w:r>
                </w:p>
              </w:tc>
              <w:tc>
                <w:tcPr>
                  <w:tcW w:w="1270" w:type="dxa"/>
                  <w:tcBorders>
                    <w:top w:val="single" w:sz="4" w:space="0" w:color="D2C9B8"/>
                    <w:left w:val="single" w:sz="4" w:space="0" w:color="D2C9B8"/>
                    <w:bottom w:val="single" w:sz="4" w:space="0" w:color="D2C9B8"/>
                    <w:right w:val="single" w:sz="4" w:space="0" w:color="D2C9B8"/>
                  </w:tcBorders>
                </w:tcPr>
                <w:p w14:paraId="782A4F01" w14:textId="77777777" w:rsidR="005A5FCC" w:rsidRDefault="00A21C81">
                  <w:pPr>
                    <w:spacing w:before="20" w:after="20" w:line="240" w:lineRule="auto"/>
                    <w:jc w:val="left"/>
                  </w:pPr>
                  <w:r>
                    <w:rPr>
                      <w:rFonts w:cs="EB Garamond"/>
                      <w:kern w:val="16"/>
                      <w:sz w:val="16"/>
                      <w14:ligatures w14:val="standardContextual"/>
                    </w:rPr>
                    <w:t>28/06/1997 a 21/11/1998</w:t>
                  </w:r>
                </w:p>
              </w:tc>
              <w:tc>
                <w:tcPr>
                  <w:tcW w:w="1270" w:type="dxa"/>
                  <w:tcBorders>
                    <w:top w:val="single" w:sz="4" w:space="0" w:color="D2C9B8"/>
                    <w:left w:val="single" w:sz="4" w:space="0" w:color="D2C9B8"/>
                    <w:bottom w:val="single" w:sz="4" w:space="0" w:color="D2C9B8"/>
                    <w:right w:val="single" w:sz="4" w:space="0" w:color="D2C9B8"/>
                  </w:tcBorders>
                </w:tcPr>
                <w:p w14:paraId="0A25CD48" w14:textId="77777777" w:rsidR="005A5FCC" w:rsidRDefault="00A21C81">
                  <w:pPr>
                    <w:spacing w:before="20" w:after="20" w:line="240" w:lineRule="auto"/>
                    <w:jc w:val="left"/>
                  </w:pPr>
                  <w:r>
                    <w:rPr>
                      <w:rFonts w:cs="EB Garamond"/>
                      <w:kern w:val="16"/>
                      <w:sz w:val="16"/>
                      <w14:ligatures w14:val="standardContextual"/>
                    </w:rPr>
                    <w:t>10 anos</w:t>
                  </w:r>
                </w:p>
              </w:tc>
              <w:tc>
                <w:tcPr>
                  <w:tcW w:w="1270" w:type="dxa"/>
                  <w:tcBorders>
                    <w:top w:val="single" w:sz="4" w:space="0" w:color="D2C9B8"/>
                    <w:left w:val="single" w:sz="4" w:space="0" w:color="D2C9B8"/>
                    <w:bottom w:val="single" w:sz="4" w:space="0" w:color="D2C9B8"/>
                    <w:right w:val="single" w:sz="4" w:space="0" w:color="D2C9B8"/>
                  </w:tcBorders>
                </w:tcPr>
                <w:p w14:paraId="6740F6A1" w14:textId="77777777" w:rsidR="005A5FCC" w:rsidRDefault="00A21C81">
                  <w:pPr>
                    <w:spacing w:before="20" w:after="20" w:line="240" w:lineRule="auto"/>
                    <w:jc w:val="left"/>
                  </w:pPr>
                  <w:r>
                    <w:rPr>
                      <w:rFonts w:cs="EB Garamond"/>
                      <w:kern w:val="16"/>
                      <w:sz w:val="16"/>
                      <w14:ligatures w14:val="standardContextual"/>
                    </w:rPr>
                    <w:t>Revisão do ato de concessão</w:t>
                  </w:r>
                </w:p>
              </w:tc>
              <w:tc>
                <w:tcPr>
                  <w:tcW w:w="1270" w:type="dxa"/>
                  <w:tcBorders>
                    <w:top w:val="single" w:sz="4" w:space="0" w:color="D2C9B8"/>
                    <w:left w:val="single" w:sz="4" w:space="0" w:color="D2C9B8"/>
                    <w:bottom w:val="single" w:sz="4" w:space="0" w:color="D2C9B8"/>
                    <w:right w:val="single" w:sz="4" w:space="0" w:color="D2C9B8"/>
                  </w:tcBorders>
                </w:tcPr>
                <w:p w14:paraId="42427686" w14:textId="77777777" w:rsidR="005A5FCC" w:rsidRDefault="00A21C81">
                  <w:pPr>
                    <w:spacing w:before="20" w:after="20" w:line="240" w:lineRule="auto"/>
                    <w:jc w:val="left"/>
                  </w:pPr>
                  <w:r>
                    <w:rPr>
                      <w:rFonts w:cs="EB Garamond"/>
                      <w:kern w:val="16"/>
                      <w:sz w:val="16"/>
                      <w14:ligatures w14:val="standardContextual"/>
                    </w:rPr>
                    <w:t>Primeiro prazo decadencial instituído</w:t>
                  </w:r>
                </w:p>
              </w:tc>
            </w:tr>
            <w:tr w:rsidR="005A5FCC" w14:paraId="0DA2A041"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7AA69CC3" w14:textId="77777777" w:rsidR="005A5FCC" w:rsidRDefault="00A21C81">
                  <w:pPr>
                    <w:spacing w:before="20" w:after="20" w:line="240" w:lineRule="auto"/>
                    <w:jc w:val="left"/>
                  </w:pPr>
                  <w:r>
                    <w:rPr>
                      <w:rFonts w:cs="EB Garamond"/>
                      <w:kern w:val="16"/>
                      <w:sz w:val="16"/>
                      <w14:ligatures w14:val="standardContextual"/>
                    </w:rPr>
                    <w:t>MP 1.663-15/1998 (Lei 9.711/98)</w:t>
                  </w:r>
                </w:p>
              </w:tc>
              <w:tc>
                <w:tcPr>
                  <w:tcW w:w="1270" w:type="dxa"/>
                  <w:tcBorders>
                    <w:top w:val="single" w:sz="4" w:space="0" w:color="D2C9B8"/>
                    <w:left w:val="single" w:sz="4" w:space="0" w:color="D2C9B8"/>
                    <w:bottom w:val="single" w:sz="4" w:space="0" w:color="D2C9B8"/>
                    <w:right w:val="single" w:sz="4" w:space="0" w:color="D2C9B8"/>
                  </w:tcBorders>
                </w:tcPr>
                <w:p w14:paraId="64D8D6F4" w14:textId="77777777" w:rsidR="005A5FCC" w:rsidRDefault="00A21C81">
                  <w:pPr>
                    <w:spacing w:before="20" w:after="20" w:line="240" w:lineRule="auto"/>
                    <w:jc w:val="left"/>
                  </w:pPr>
                  <w:r>
                    <w:rPr>
                      <w:rFonts w:cs="EB Garamond"/>
                      <w:kern w:val="16"/>
                      <w:sz w:val="16"/>
                      <w14:ligatures w14:val="standardContextual"/>
                    </w:rPr>
                    <w:t>22/10/1998 a 18/11/2003</w:t>
                  </w:r>
                </w:p>
              </w:tc>
              <w:tc>
                <w:tcPr>
                  <w:tcW w:w="1270" w:type="dxa"/>
                  <w:tcBorders>
                    <w:top w:val="single" w:sz="4" w:space="0" w:color="D2C9B8"/>
                    <w:left w:val="single" w:sz="4" w:space="0" w:color="D2C9B8"/>
                    <w:bottom w:val="single" w:sz="4" w:space="0" w:color="D2C9B8"/>
                    <w:right w:val="single" w:sz="4" w:space="0" w:color="D2C9B8"/>
                  </w:tcBorders>
                </w:tcPr>
                <w:p w14:paraId="6DBB410E" w14:textId="77777777" w:rsidR="005A5FCC" w:rsidRDefault="00A21C81">
                  <w:pPr>
                    <w:spacing w:before="20" w:after="20" w:line="240" w:lineRule="auto"/>
                    <w:jc w:val="left"/>
                  </w:pPr>
                  <w:r>
                    <w:rPr>
                      <w:rFonts w:cs="EB Garamond"/>
                      <w:kern w:val="16"/>
                      <w:sz w:val="16"/>
                      <w14:ligatures w14:val="standardContextual"/>
                    </w:rPr>
                    <w:t>5 anos</w:t>
                  </w:r>
                </w:p>
              </w:tc>
              <w:tc>
                <w:tcPr>
                  <w:tcW w:w="1270" w:type="dxa"/>
                  <w:tcBorders>
                    <w:top w:val="single" w:sz="4" w:space="0" w:color="D2C9B8"/>
                    <w:left w:val="single" w:sz="4" w:space="0" w:color="D2C9B8"/>
                    <w:bottom w:val="single" w:sz="4" w:space="0" w:color="D2C9B8"/>
                    <w:right w:val="single" w:sz="4" w:space="0" w:color="D2C9B8"/>
                  </w:tcBorders>
                </w:tcPr>
                <w:p w14:paraId="43BB9DF0" w14:textId="77777777" w:rsidR="005A5FCC" w:rsidRDefault="00A21C81">
                  <w:pPr>
                    <w:spacing w:before="20" w:after="20" w:line="240" w:lineRule="auto"/>
                    <w:jc w:val="left"/>
                  </w:pPr>
                  <w:r>
                    <w:rPr>
                      <w:rFonts w:cs="EB Garamond"/>
                      <w:kern w:val="16"/>
                      <w:sz w:val="16"/>
                      <w14:ligatures w14:val="standardContextual"/>
                    </w:rPr>
                    <w:t>Revisão do ato de concessão</w:t>
                  </w:r>
                </w:p>
              </w:tc>
              <w:tc>
                <w:tcPr>
                  <w:tcW w:w="1270" w:type="dxa"/>
                  <w:tcBorders>
                    <w:top w:val="single" w:sz="4" w:space="0" w:color="D2C9B8"/>
                    <w:left w:val="single" w:sz="4" w:space="0" w:color="D2C9B8"/>
                    <w:bottom w:val="single" w:sz="4" w:space="0" w:color="D2C9B8"/>
                    <w:right w:val="single" w:sz="4" w:space="0" w:color="D2C9B8"/>
                  </w:tcBorders>
                </w:tcPr>
                <w:p w14:paraId="0FA6D0BD" w14:textId="77777777" w:rsidR="005A5FCC" w:rsidRDefault="00A21C81">
                  <w:pPr>
                    <w:spacing w:before="20" w:after="20" w:line="240" w:lineRule="auto"/>
                    <w:jc w:val="left"/>
                  </w:pPr>
                  <w:r>
                    <w:rPr>
                      <w:rFonts w:cs="EB Garamond"/>
                      <w:kern w:val="16"/>
                      <w:sz w:val="16"/>
                      <w14:ligatures w14:val="standardContextual"/>
                    </w:rPr>
                    <w:t>Redução criticada pela doutrina</w:t>
                  </w:r>
                </w:p>
              </w:tc>
            </w:tr>
            <w:tr w:rsidR="005A5FCC" w14:paraId="5516E068"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32EA9CEE" w14:textId="77777777" w:rsidR="005A5FCC" w:rsidRDefault="00A21C81">
                  <w:pPr>
                    <w:spacing w:before="20" w:after="20" w:line="240" w:lineRule="auto"/>
                    <w:jc w:val="left"/>
                  </w:pPr>
                  <w:r>
                    <w:rPr>
                      <w:rFonts w:cs="EB Garamond"/>
                      <w:kern w:val="16"/>
                      <w:sz w:val="16"/>
                      <w14:ligatures w14:val="standardContextual"/>
                    </w:rPr>
                    <w:t>MP 138/2003 (Lei 10.839/2004)</w:t>
                  </w:r>
                </w:p>
              </w:tc>
              <w:tc>
                <w:tcPr>
                  <w:tcW w:w="1270" w:type="dxa"/>
                  <w:tcBorders>
                    <w:top w:val="single" w:sz="4" w:space="0" w:color="D2C9B8"/>
                    <w:left w:val="single" w:sz="4" w:space="0" w:color="D2C9B8"/>
                    <w:bottom w:val="single" w:sz="4" w:space="0" w:color="D2C9B8"/>
                    <w:right w:val="single" w:sz="4" w:space="0" w:color="D2C9B8"/>
                  </w:tcBorders>
                </w:tcPr>
                <w:p w14:paraId="6D931C97" w14:textId="77777777" w:rsidR="005A5FCC" w:rsidRDefault="00A21C81">
                  <w:pPr>
                    <w:spacing w:before="20" w:after="20" w:line="240" w:lineRule="auto"/>
                    <w:jc w:val="left"/>
                  </w:pPr>
                  <w:r>
                    <w:rPr>
                      <w:rFonts w:cs="EB Garamond"/>
                      <w:kern w:val="16"/>
                      <w:sz w:val="16"/>
                      <w14:ligatures w14:val="standardContextual"/>
                    </w:rPr>
                    <w:t>19/11/2003 em diante</w:t>
                  </w:r>
                </w:p>
              </w:tc>
              <w:tc>
                <w:tcPr>
                  <w:tcW w:w="1270" w:type="dxa"/>
                  <w:tcBorders>
                    <w:top w:val="single" w:sz="4" w:space="0" w:color="D2C9B8"/>
                    <w:left w:val="single" w:sz="4" w:space="0" w:color="D2C9B8"/>
                    <w:bottom w:val="single" w:sz="4" w:space="0" w:color="D2C9B8"/>
                    <w:right w:val="single" w:sz="4" w:space="0" w:color="D2C9B8"/>
                  </w:tcBorders>
                </w:tcPr>
                <w:p w14:paraId="3FBCCDA8" w14:textId="77777777" w:rsidR="005A5FCC" w:rsidRDefault="00A21C81">
                  <w:pPr>
                    <w:spacing w:before="20" w:after="20" w:line="240" w:lineRule="auto"/>
                    <w:jc w:val="left"/>
                  </w:pPr>
                  <w:r>
                    <w:rPr>
                      <w:rFonts w:cs="EB Garamond"/>
                      <w:kern w:val="16"/>
                      <w:sz w:val="16"/>
                      <w14:ligatures w14:val="standardContextual"/>
                    </w:rPr>
                    <w:t>10 anos</w:t>
                  </w:r>
                </w:p>
              </w:tc>
              <w:tc>
                <w:tcPr>
                  <w:tcW w:w="1270" w:type="dxa"/>
                  <w:tcBorders>
                    <w:top w:val="single" w:sz="4" w:space="0" w:color="D2C9B8"/>
                    <w:left w:val="single" w:sz="4" w:space="0" w:color="D2C9B8"/>
                    <w:bottom w:val="single" w:sz="4" w:space="0" w:color="D2C9B8"/>
                    <w:right w:val="single" w:sz="4" w:space="0" w:color="D2C9B8"/>
                  </w:tcBorders>
                </w:tcPr>
                <w:p w14:paraId="492A8929" w14:textId="77777777" w:rsidR="005A5FCC" w:rsidRDefault="00A21C81">
                  <w:pPr>
                    <w:spacing w:before="20" w:after="20" w:line="240" w:lineRule="auto"/>
                    <w:jc w:val="left"/>
                  </w:pPr>
                  <w:r>
                    <w:rPr>
                      <w:rFonts w:cs="EB Garamond"/>
                      <w:kern w:val="16"/>
                      <w:sz w:val="16"/>
                      <w14:ligatures w14:val="standardContextual"/>
                    </w:rPr>
                    <w:t>Revisão do ato de concessão</w:t>
                  </w:r>
                </w:p>
              </w:tc>
              <w:tc>
                <w:tcPr>
                  <w:tcW w:w="1270" w:type="dxa"/>
                  <w:tcBorders>
                    <w:top w:val="single" w:sz="4" w:space="0" w:color="D2C9B8"/>
                    <w:left w:val="single" w:sz="4" w:space="0" w:color="D2C9B8"/>
                    <w:bottom w:val="single" w:sz="4" w:space="0" w:color="D2C9B8"/>
                    <w:right w:val="single" w:sz="4" w:space="0" w:color="D2C9B8"/>
                  </w:tcBorders>
                </w:tcPr>
                <w:p w14:paraId="7FDCCFA5" w14:textId="77777777" w:rsidR="005A5FCC" w:rsidRDefault="00A21C81">
                  <w:pPr>
                    <w:spacing w:before="20" w:after="20" w:line="240" w:lineRule="auto"/>
                    <w:jc w:val="left"/>
                  </w:pPr>
                  <w:r>
                    <w:rPr>
                      <w:rFonts w:cs="EB Garamond"/>
                      <w:kern w:val="16"/>
                      <w:sz w:val="16"/>
                      <w14:ligatures w14:val="standardContextual"/>
                    </w:rPr>
                    <w:t>Redação vigente. Reabriu prazo para benefícios atingidos pelo prazo de 5 anos</w:t>
                  </w:r>
                </w:p>
              </w:tc>
            </w:tr>
            <w:tr w:rsidR="005A5FCC" w14:paraId="46DC5366" w14:textId="77777777">
              <w:trPr>
                <w:jc w:val="center"/>
              </w:trPr>
              <w:tc>
                <w:tcPr>
                  <w:tcW w:w="1270" w:type="dxa"/>
                  <w:tcBorders>
                    <w:top w:val="single" w:sz="4" w:space="0" w:color="D2C9B8"/>
                    <w:left w:val="single" w:sz="4" w:space="0" w:color="D2C9B8"/>
                    <w:bottom w:val="single" w:sz="4" w:space="0" w:color="D2C9B8"/>
                    <w:right w:val="single" w:sz="4" w:space="0" w:color="D2C9B8"/>
                  </w:tcBorders>
                </w:tcPr>
                <w:p w14:paraId="69ABCC2C" w14:textId="77777777" w:rsidR="005A5FCC" w:rsidRDefault="00A21C81">
                  <w:pPr>
                    <w:spacing w:before="20" w:after="20" w:line="240" w:lineRule="auto"/>
                    <w:jc w:val="left"/>
                  </w:pPr>
                  <w:r>
                    <w:rPr>
                      <w:rFonts w:cs="EB Garamond"/>
                      <w:kern w:val="16"/>
                      <w:sz w:val="16"/>
                      <w14:ligatures w14:val="standardContextual"/>
                    </w:rPr>
                    <w:t>Lei 13.846/2019 (art. 24)</w:t>
                  </w:r>
                </w:p>
              </w:tc>
              <w:tc>
                <w:tcPr>
                  <w:tcW w:w="1270" w:type="dxa"/>
                  <w:tcBorders>
                    <w:top w:val="single" w:sz="4" w:space="0" w:color="D2C9B8"/>
                    <w:left w:val="single" w:sz="4" w:space="0" w:color="D2C9B8"/>
                    <w:bottom w:val="single" w:sz="4" w:space="0" w:color="D2C9B8"/>
                    <w:right w:val="single" w:sz="4" w:space="0" w:color="D2C9B8"/>
                  </w:tcBorders>
                </w:tcPr>
                <w:p w14:paraId="7EC49E61" w14:textId="77777777" w:rsidR="005A5FCC" w:rsidRDefault="00A21C81">
                  <w:pPr>
                    <w:spacing w:before="20" w:after="20" w:line="240" w:lineRule="auto"/>
                    <w:jc w:val="left"/>
                  </w:pPr>
                  <w:r>
                    <w:rPr>
                      <w:rFonts w:cs="EB Garamond"/>
                      <w:kern w:val="16"/>
                      <w:sz w:val="16"/>
                      <w14:ligatures w14:val="standardContextual"/>
                    </w:rPr>
                    <w:t>18/06/2019 a 01/07/2020</w:t>
                  </w:r>
                </w:p>
              </w:tc>
              <w:tc>
                <w:tcPr>
                  <w:tcW w:w="1270" w:type="dxa"/>
                  <w:tcBorders>
                    <w:top w:val="single" w:sz="4" w:space="0" w:color="D2C9B8"/>
                    <w:left w:val="single" w:sz="4" w:space="0" w:color="D2C9B8"/>
                    <w:bottom w:val="single" w:sz="4" w:space="0" w:color="D2C9B8"/>
                    <w:right w:val="single" w:sz="4" w:space="0" w:color="D2C9B8"/>
                  </w:tcBorders>
                </w:tcPr>
                <w:p w14:paraId="57FCECBE" w14:textId="77777777" w:rsidR="005A5FCC" w:rsidRDefault="00A21C81">
                  <w:pPr>
                    <w:spacing w:before="20" w:after="20" w:line="240" w:lineRule="auto"/>
                    <w:jc w:val="left"/>
                  </w:pPr>
                  <w:r>
                    <w:rPr>
                      <w:rFonts w:cs="EB Garamond"/>
                      <w:kern w:val="16"/>
                      <w:sz w:val="16"/>
                      <w14:ligatures w14:val="standardContextual"/>
                    </w:rPr>
                    <w:t>10 anos</w:t>
                  </w:r>
                </w:p>
              </w:tc>
              <w:tc>
                <w:tcPr>
                  <w:tcW w:w="1270" w:type="dxa"/>
                  <w:tcBorders>
                    <w:top w:val="single" w:sz="4" w:space="0" w:color="D2C9B8"/>
                    <w:left w:val="single" w:sz="4" w:space="0" w:color="D2C9B8"/>
                    <w:bottom w:val="single" w:sz="4" w:space="0" w:color="D2C9B8"/>
                    <w:right w:val="single" w:sz="4" w:space="0" w:color="D2C9B8"/>
                  </w:tcBorders>
                </w:tcPr>
                <w:p w14:paraId="1D131875" w14:textId="77777777" w:rsidR="005A5FCC" w:rsidRDefault="00A21C81">
                  <w:pPr>
                    <w:spacing w:before="20" w:after="20" w:line="240" w:lineRule="auto"/>
                    <w:jc w:val="left"/>
                  </w:pPr>
                  <w:r>
                    <w:rPr>
                      <w:rFonts w:cs="EB Garamond"/>
                      <w:kern w:val="16"/>
                      <w:sz w:val="16"/>
                      <w14:ligatures w14:val="standardContextual"/>
                    </w:rPr>
                    <w:t>Revisão, indeferimento, cancelamento, cessação</w:t>
                  </w:r>
                </w:p>
              </w:tc>
              <w:tc>
                <w:tcPr>
                  <w:tcW w:w="1270" w:type="dxa"/>
                  <w:tcBorders>
                    <w:top w:val="single" w:sz="4" w:space="0" w:color="D2C9B8"/>
                    <w:left w:val="single" w:sz="4" w:space="0" w:color="D2C9B8"/>
                    <w:bottom w:val="single" w:sz="4" w:space="0" w:color="D2C9B8"/>
                    <w:right w:val="single" w:sz="4" w:space="0" w:color="D2C9B8"/>
                  </w:tcBorders>
                </w:tcPr>
                <w:p w14:paraId="009DF568" w14:textId="77777777" w:rsidR="005A5FCC" w:rsidRDefault="00A21C81">
                  <w:pPr>
                    <w:spacing w:before="20" w:after="20" w:line="240" w:lineRule="auto"/>
                    <w:jc w:val="left"/>
                  </w:pPr>
                  <w:r>
                    <w:rPr>
                      <w:rFonts w:cs="EB Garamond"/>
                      <w:kern w:val="16"/>
                      <w:sz w:val="16"/>
                      <w14:ligatures w14:val="standardContextual"/>
                    </w:rPr>
                    <w:t>ADI 6096: inconstitucional na extensão ao indeferimento/cancelamento/cessação</w:t>
                  </w:r>
                </w:p>
              </w:tc>
            </w:tr>
          </w:tbl>
          <w:p w14:paraId="0D7847E0" w14:textId="77777777" w:rsidR="005A5FCC" w:rsidRDefault="005A5FCC"/>
          <w:p w14:paraId="5A6A16D1" w14:textId="77777777" w:rsidR="005A5FCC" w:rsidRDefault="005A5FCC">
            <w:pPr>
              <w:spacing w:after="0" w:line="240" w:lineRule="auto"/>
            </w:pPr>
          </w:p>
        </w:tc>
      </w:tr>
    </w:tbl>
    <w:p w14:paraId="460968DF" w14:textId="77777777" w:rsidR="005A5FCC" w:rsidRDefault="005A5FCC">
      <w:pPr>
        <w:spacing w:after="80" w:line="240" w:lineRule="auto"/>
      </w:pPr>
    </w:p>
    <w:p w14:paraId="7208FDB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5DFA32FD" w14:textId="77777777" w:rsidR="005A5FCC" w:rsidRDefault="00A21C81">
      <w:r>
        <w:rPr>
          <w:rFonts w:cs="EB Garamond"/>
          <w:kern w:val="16"/>
          <w14:ligatures w14:val="standardContextual"/>
        </w:rPr>
        <w:t xml:space="preserve"> leitura do quadro revela que o legislador oscilou significativamente ao longo de três décadas, transitando da completa ausência de prazo decadencial para um prazo decenal, reduzindo-o a cinco anos, retornando aos dez e tentando, sem sucesso, estendê-lo a hipóteses que extrapolavam a revisão do ato de concessão. Essa instabilidade normativa gerou dificuldades práticas consideráveis para o cálculo do prazo em benefícios concedidos durante os períodos de transição, matéria que examinamos na seção 21.5 ao tratar do termo inicial.</w:t>
      </w:r>
    </w:p>
    <w:p w14:paraId="6283081F"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21.3 Natureza jurídica da decadência previdenciária</w:t>
      </w:r>
    </w:p>
    <w:p w14:paraId="57DB82E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1B399224" w14:textId="77777777" w:rsidR="005A5FCC" w:rsidRDefault="00A21C81">
      <w:r>
        <w:rPr>
          <w:rFonts w:cs="EB Garamond"/>
          <w:kern w:val="16"/>
          <w14:ligatures w14:val="standardContextual"/>
        </w:rPr>
        <w:t xml:space="preserve"> decadência do art. 103 da Lei 8.213/91 extingue o direito potestativo do segurado de revisar o ato administrativo de concessão do benefício previdenciário. Trata-se de direito potestativo porque a revisão consiste na faculdade de provocar a modificação de uma situação jurídica preexistente (o ato de concessão) sem que o INSS possa opor-se ao exercício dessa faculdade, desde que o segurado demonstre o erro no cálculo. O transcurso do prazo decenal sem o exercício dessa faculdade acarreta a perda definitiva do direito de questionar os parâmetros do ato concessório.</w:t>
      </w:r>
    </w:p>
    <w:p w14:paraId="0AA827BA" w14:textId="77777777" w:rsidR="005A5FCC" w:rsidRDefault="00A21C81">
      <w:pPr>
        <w:ind w:firstLine="238"/>
      </w:pPr>
      <w:r>
        <w:rPr>
          <w:rFonts w:cs="EB Garamond"/>
          <w:kern w:val="16"/>
          <w14:ligatures w14:val="standardContextual"/>
        </w:rPr>
        <w:t>A distinção entre decadência e prescrição governa o regime de limites temporais no direito previdenciário, e a confusão entre os dois institutos é uma das causas mais frequentes de erro nas petições iniciais e nas contestações que tramitam nos JEFs.</w:t>
      </w:r>
    </w:p>
    <w:p w14:paraId="7008CA55" w14:textId="77777777" w:rsidR="005A5FCC" w:rsidRDefault="00A21C81">
      <w:pPr>
        <w:ind w:firstLine="238"/>
      </w:pPr>
      <w:r>
        <w:rPr>
          <w:rFonts w:cs="EB Garamond"/>
          <w:kern w:val="16"/>
          <w14:ligatures w14:val="standardContextual"/>
        </w:rPr>
        <w:t>A prescrição atinge a pretensão, isto é, o poder de exigir o cumprimento de uma obrigação já existente. Quando o INSS concede benefício com valor inferior ao devido, o segurado adquire o direito de cobrar as diferenças. Essa pretensão (cobrar as diferenças) se sujeita ao prazo prescricional de cinco anos. A decadência, diferentemente, atinge o próprio direito de provocar a modificação do ato. O segurado que deixa transcorrer o prazo de dez anos sem questionar o cálculo da RMI perde o direito de revisar o ato. Não se trata de perda da pretensão ao pagamento de diferenças, mas de perda do direito que geraria essas diferenças.</w:t>
      </w:r>
    </w:p>
    <w:p w14:paraId="1C470ED3" w14:textId="77777777" w:rsidR="005A5FCC" w:rsidRDefault="00A21C81">
      <w:pPr>
        <w:ind w:firstLine="238"/>
      </w:pPr>
      <w:r>
        <w:rPr>
          <w:rFonts w:cs="EB Garamond"/>
          <w:kern w:val="16"/>
          <w14:ligatures w14:val="standardContextual"/>
        </w:rPr>
        <w:t xml:space="preserve">As consequências práticas da distinção são relevantes. Primeiro: a decadência opera de pleno direito e deve ser reconhecida de ofício pelo juiz (art. 210 do Código Civil), independentemente de alegação do INSS na contestação. O art. 332, § 1º, do Código de Processo Civil autoriza o juiz a julgar liminarmente improcedente o pedido quando verificar a ocorrência de decadência. O magistrado dos JEFs que recebe ação revisional com DIB superior a dez anos deve examinar, desde o despacho inicial, se o prazo decadencial já transcorreu. Na prática, muitos juízos federais incluem a verificação da decadência na rotina de triagem das ações </w:t>
      </w:r>
      <w:r>
        <w:rPr>
          <w:rFonts w:cs="EB Garamond"/>
          <w:kern w:val="16"/>
          <w14:ligatures w14:val="standardContextual"/>
        </w:rPr>
        <w:lastRenderedPageBreak/>
        <w:t>revisionais, determinando a emenda da inicial quando a petição não esclarece a DIB e a data do primeiro pagamento.</w:t>
      </w:r>
    </w:p>
    <w:p w14:paraId="6D107683" w14:textId="77777777" w:rsidR="005A5FCC" w:rsidRDefault="00A21C81">
      <w:pPr>
        <w:ind w:firstLine="238"/>
      </w:pPr>
      <w:r>
        <w:rPr>
          <w:rFonts w:cs="EB Garamond"/>
          <w:kern w:val="16"/>
          <w14:ligatures w14:val="standardContextual"/>
        </w:rPr>
        <w:t>Segundo: a decadência é irrenunciável (art. 209 do Código Civil). O INSS não pode renunciar ao prazo decadencial em favor do segurado, e eventual declaração nesse sentido não produz efeitos. A irrenunciabilidade decorre do caráter de ordem pública do prazo, que visa à estabilização das relações jurídicas previdenciárias como um todo, e não apenas à proteção dos interesses da autarquia.</w:t>
      </w:r>
    </w:p>
    <w:p w14:paraId="2B9F72D5" w14:textId="77777777" w:rsidR="005A5FCC" w:rsidRDefault="00A21C81">
      <w:pPr>
        <w:ind w:firstLine="238"/>
      </w:pPr>
      <w:r>
        <w:rPr>
          <w:rFonts w:cs="EB Garamond"/>
          <w:kern w:val="16"/>
          <w14:ligatures w14:val="standardContextual"/>
        </w:rPr>
        <w:t>Terceiro: a decadência, em regra, não se sujeita a causas de suspensão ou interrupção. Ao contrário da prescrição, que se interrompe pelo ajuizamento da ação, pelo protesto judicial ou pelo requerimento administrativo (art. 202 do Código Civil), a decadência flui ininterruptamente desde o termo inicial. Essa regra geral comporta exceção apenas quando a própria lei que fixa o prazo decadencial prevê causa de impedimento ou suspensão (art. 207 do Código Civil). No caso do art. 103 da Lei 8.213/91, não há previsão de suspensão ou interrupção, o que torna o prazo, em princípio, fatal.</w:t>
      </w:r>
    </w:p>
    <w:tbl>
      <w:tblPr>
        <w:tblW w:w="5000" w:type="pct"/>
        <w:jc w:val="center"/>
        <w:tblLayout w:type="fixed"/>
        <w:tblLook w:val="04A0" w:firstRow="1" w:lastRow="0" w:firstColumn="1" w:lastColumn="0" w:noHBand="0" w:noVBand="1"/>
      </w:tblPr>
      <w:tblGrid>
        <w:gridCol w:w="6311"/>
      </w:tblGrid>
      <w:tr w:rsidR="005A5FCC" w14:paraId="5CBD65FF"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1F0516F2"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214DF2EB" w14:textId="77777777" w:rsidR="005A5FCC" w:rsidRDefault="00A21C81">
            <w:pPr>
              <w:spacing w:after="60" w:line="247" w:lineRule="auto"/>
            </w:pPr>
            <w:r>
              <w:rPr>
                <w:rFonts w:cs="EB Garamond"/>
                <w:b/>
                <w:kern w:val="16"/>
                <w:sz w:val="19"/>
                <w14:ligatures w14:val="standardContextual"/>
              </w:rPr>
              <w:t>Reconhecimento de ofício da decadência</w:t>
            </w:r>
          </w:p>
          <w:p w14:paraId="466CF345" w14:textId="77777777" w:rsidR="005A5FCC" w:rsidRDefault="00A21C81">
            <w:pPr>
              <w:spacing w:after="60" w:line="247" w:lineRule="auto"/>
            </w:pPr>
            <w:r>
              <w:rPr>
                <w:rFonts w:cs="EB Garamond"/>
                <w:kern w:val="16"/>
                <w:sz w:val="19"/>
                <w14:ligatures w14:val="standardContextual"/>
              </w:rPr>
              <w:t>A decadência do art. 103 da Lei 8.213/91 é matéria de ordem pública. O juiz deve reconhecê-la de ofício, ainda que o INSS não a tenha alegado na contestação (art. 210 do CC; art. 332, § 1º, do CPC). O advogado que não atenta para o prazo pode ver a ação extinta liminarmente (art. 332, § 1º, CPC) ou, caso o juiz não a identifique de plano, reconhecida na sentença sem que as partes tenham tido oportunidade de se manifestar especificamente sobre ela. A verificação do prazo decadencial é o primeiro passo da análise de qualquer ação revisional nos JEFs.</w:t>
            </w:r>
          </w:p>
        </w:tc>
      </w:tr>
    </w:tbl>
    <w:p w14:paraId="68FECFDC" w14:textId="77777777" w:rsidR="005A5FCC" w:rsidRDefault="005A5FCC">
      <w:pPr>
        <w:spacing w:after="80" w:line="240" w:lineRule="auto"/>
      </w:pPr>
    </w:p>
    <w:p w14:paraId="12791E2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4B86F2AB" w14:textId="77777777" w:rsidR="005A5FCC" w:rsidRDefault="00A21C81">
      <w:r>
        <w:rPr>
          <w:rFonts w:cs="EB Garamond"/>
          <w:kern w:val="16"/>
          <w14:ligatures w14:val="standardContextual"/>
        </w:rPr>
        <w:t xml:space="preserve"> doutrina debate se o prazo do art. 103 constitui verdadeira decadência ou se se aproxima de uma preclusão temporal administrativa. A questão não é meramente acadêmica. Se o prazo fosse de natureza preclusiva (e não decadencial no sentido técnico), poderia haver espaço para a aplicação analógica de causas de impedimento, como a menoridade civil ou a incapacidade absoluta. A posição majoritária, contudo, é de que se trata de autêntica decadência, no sentido técnico-civilístico do termo, o que exclui a incidência de causas de suspensão </w:t>
      </w:r>
      <w:r>
        <w:rPr>
          <w:rFonts w:cs="EB Garamond"/>
          <w:kern w:val="16"/>
          <w14:ligatures w14:val="standardContextual"/>
        </w:rPr>
        <w:lastRenderedPageBreak/>
        <w:t>e interrupção, salvo expressa disposição legal. Essa qualificação encontra apoio no julgamento do RE 626.489/SE (Tema 313): ao reconhecer a constitucionalidade do prazo, o STF partiu da premissa de que se cuida de verdadeira decadência. A partir dessa premissa, a doutrina e a jurisprudência majoritárias afastam a aplicação subsidiária das causas de impedimento e suspensão da prescrição, próprias de instituto diverso. Trata-se, porém, de consequência derivada da natureza decadencial do prazo, e não do enunciado formal vinculante do Tema 313, que se ocupou da constitucionalidade do prazo decenal e de sua aplicação aos benefícios anteriores à MP 1.523-9/1997 (seção 21.8).</w:t>
      </w:r>
    </w:p>
    <w:p w14:paraId="131879EB"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21.4 Objeto da decadência: o que decai e o que não decai</w:t>
      </w:r>
    </w:p>
    <w:p w14:paraId="2D09E02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6EE8D8FC" w14:textId="77777777" w:rsidR="005A5FCC" w:rsidRDefault="00A21C81">
      <w:r>
        <w:rPr>
          <w:rFonts w:cs="EB Garamond"/>
          <w:kern w:val="16"/>
          <w14:ligatures w14:val="standardContextual"/>
        </w:rPr>
        <w:t xml:space="preserve"> delimitação precisa do objeto da decadência previdenciária constitui uma das questões mais relevantes da prática nos JEFs. Entender o que está sujeito ao prazo decenal e o que dele escapa é pressuposto para a correta triagem das ações revisionais e para a fundamentação adequada das sentenças.</w:t>
      </w:r>
    </w:p>
    <w:p w14:paraId="75D92AD0" w14:textId="77777777" w:rsidR="005A5FCC" w:rsidRDefault="00A21C81">
      <w:pPr>
        <w:spacing w:before="260" w:after="80" w:line="240" w:lineRule="auto"/>
        <w:jc w:val="left"/>
      </w:pPr>
      <w:r>
        <w:rPr>
          <w:rFonts w:cs="EB Garamond"/>
          <w:b/>
          <w:color w:val="3A3128"/>
          <w:kern w:val="16"/>
          <w:sz w:val="25"/>
          <w14:ligatures w14:val="standardContextual"/>
        </w:rPr>
        <w:t>21.4.1 O que decai: revisão do ato de concessão</w:t>
      </w:r>
    </w:p>
    <w:p w14:paraId="274C63B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D</w:t>
      </w:r>
    </w:p>
    <w:p w14:paraId="389A9B48" w14:textId="77777777" w:rsidR="005A5FCC" w:rsidRDefault="00A21C81">
      <w:r>
        <w:rPr>
          <w:rFonts w:cs="EB Garamond"/>
          <w:kern w:val="16"/>
          <w14:ligatures w14:val="standardContextual"/>
        </w:rPr>
        <w:t>ecai o direito potestativo de revisar o ato administrativo de concessão do benefício previdenciário. O ato de concessão é o ato pelo qual o INSS reconhece o direito do segurado ao benefício e fixa os parâmetros de cálculo: salário de benefício, coeficiente de cálculo, fator previdenciário (quando aplicável), tempo de contribuição computado, período básico de cálculo utilizado e enquadramento de atividade especial. Questionar qualquer desses parâmetros após o transcurso de dez anos da primeira prestação configura pretensão atingida pela decadência.</w:t>
      </w:r>
    </w:p>
    <w:p w14:paraId="1E43E24A" w14:textId="77777777" w:rsidR="005A5FCC" w:rsidRDefault="00A21C81">
      <w:pPr>
        <w:ind w:firstLine="238"/>
      </w:pPr>
      <w:r>
        <w:rPr>
          <w:rFonts w:cs="EB Garamond"/>
          <w:kern w:val="16"/>
          <w14:ligatures w14:val="standardContextual"/>
        </w:rPr>
        <w:t xml:space="preserve">Na rotina dos JEFs, as ações revisionais mais comuns referem-se a erros no cômputo de salários de contribuição, na aplicação do fator previdenciário, no enquadramento de atividade especial e na definição do período básico de cálculo. Todas essas pretensões sujeitam-se ao prazo decenal, na medida em que dizem respeito a elementos constitutivos do ato de concessão. A aplicação concreta da </w:t>
      </w:r>
      <w:r>
        <w:rPr>
          <w:rFonts w:cs="EB Garamond"/>
          <w:kern w:val="16"/>
          <w14:ligatures w14:val="standardContextual"/>
        </w:rPr>
        <w:lastRenderedPageBreak/>
        <w:t>decadência a cada tese revisional específica (revisão da vida toda, revisão do teto, revisão do art. 29, II, revisão das atividades concomitantes) é examinada no Capítulo 17, seções 17.2 a 17.9, com quadro funcional que permite ao leitor identificar rapidamente o regime aplicável a cada tese.</w:t>
      </w:r>
    </w:p>
    <w:p w14:paraId="2D4CEF26" w14:textId="77777777" w:rsidR="005A5FCC" w:rsidRDefault="00A21C81">
      <w:pPr>
        <w:spacing w:before="260" w:after="80" w:line="240" w:lineRule="auto"/>
        <w:jc w:val="left"/>
      </w:pPr>
      <w:r>
        <w:rPr>
          <w:rFonts w:cs="EB Garamond"/>
          <w:b/>
          <w:color w:val="3A3128"/>
          <w:kern w:val="16"/>
          <w:sz w:val="25"/>
          <w14:ligatures w14:val="standardContextual"/>
        </w:rPr>
        <w:t>21.4.2 O que não decai: concessão originária</w:t>
      </w:r>
    </w:p>
    <w:p w14:paraId="7B7F5C78"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600B555D" w14:textId="77777777" w:rsidR="005A5FCC" w:rsidRDefault="00A21C81">
      <w:r>
        <w:rPr>
          <w:rFonts w:cs="EB Garamond"/>
          <w:kern w:val="16"/>
          <w14:ligatures w14:val="standardContextual"/>
        </w:rPr>
        <w:t xml:space="preserve"> direito à concessão originária do benefício previdenciário não se sujeita a decadência. O segurado que preenche os requisitos legais pode requerer e obter o benefício a qualquer tempo, sem limitação temporal. A única consequência do retardo é a prescrição das parcelas anteriores ao quinquênio que precede o ajuizamento da ação (ou, em caso de requerimento administrativo, o quinquênio anterior ao requerimento, com a ressalva da interrupção da prescrição).</w:t>
      </w:r>
    </w:p>
    <w:p w14:paraId="2DD6AEAC" w14:textId="77777777" w:rsidR="005A5FCC" w:rsidRDefault="00A21C81">
      <w:pPr>
        <w:ind w:firstLine="238"/>
      </w:pPr>
      <w:r>
        <w:rPr>
          <w:rFonts w:cs="EB Garamond"/>
          <w:kern w:val="16"/>
          <w14:ligatures w14:val="standardContextual"/>
        </w:rPr>
        <w:t>Essa regra foi expressamente confirmada pelo Plenário do STF na ADI 6096. Ao declarar inconstitucional a extensão da decadência ao indeferimento, cancelamento e cessação de benefícios tentada pela Lei 13.846/2019, o Tribunal assentou que o direito à previdência social é direito fundamental e que sujeitar a pretensão de concessão originária a prazo decadencial comprometeria o exercício do direito fundamental em si. A distinção entre revisão (que decai) e concessão (que não decai) é, após a ADI 6096, pedra angular do sistema de limites temporais previdenciários.</w:t>
      </w:r>
    </w:p>
    <w:p w14:paraId="1FF7C6D1" w14:textId="77777777" w:rsidR="005A5FCC" w:rsidRDefault="00A21C81">
      <w:pPr>
        <w:ind w:firstLine="238"/>
      </w:pPr>
      <w:r>
        <w:rPr>
          <w:rFonts w:cs="EB Garamond"/>
          <w:kern w:val="16"/>
          <w14:ligatures w14:val="standardContextual"/>
        </w:rPr>
        <w:t>No cotidiano das varas, a distinção exige atenção na triagem inicial da ação. Nem sempre a qualificação da pretensão como revisional ou concessória é clara na petição inicial. O segurado pode, por exemplo, postular a "revisão" de benefício que, na realidade, lhe foi indevidamente cessado. Nesse caso, a pretensão é de restabelecimento (equiparável à concessão), e não de revisão, de modo que a decadência não incide. Cabe ao juiz, ao examinar a petição inicial, identificar a verdadeira natureza da pretensão, para além da nomenclatura utilizada pelo advogado.</w:t>
      </w:r>
    </w:p>
    <w:p w14:paraId="7F92FA97" w14:textId="77777777" w:rsidR="005A5FCC" w:rsidRDefault="00A21C81">
      <w:pPr>
        <w:spacing w:before="260" w:after="80" w:line="240" w:lineRule="auto"/>
        <w:jc w:val="left"/>
      </w:pPr>
      <w:r>
        <w:rPr>
          <w:rFonts w:cs="EB Garamond"/>
          <w:b/>
          <w:color w:val="3A3128"/>
          <w:kern w:val="16"/>
          <w:sz w:val="25"/>
          <w14:ligatures w14:val="standardContextual"/>
        </w:rPr>
        <w:t>21.4.3 O que não decai: revisão de benefício indeferido ou cessado</w:t>
      </w:r>
    </w:p>
    <w:p w14:paraId="44A47BAD"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A</w:t>
      </w:r>
    </w:p>
    <w:p w14:paraId="75296965" w14:textId="77777777" w:rsidR="005A5FCC" w:rsidRDefault="00A21C81">
      <w:r>
        <w:rPr>
          <w:rFonts w:cs="EB Garamond"/>
          <w:kern w:val="16"/>
          <w14:ligatures w14:val="standardContextual"/>
        </w:rPr>
        <w:t xml:space="preserve"> revisão de benefício indeferido ou cessado não se submete ao prazo decadencial do art. 103. Quando o INSS indefere o requerimento de benefício, não há ato de concessão a ser revisado. O segurado busca, nesse caso, a concessão do benefício negado, e essa pretensão é de natureza concessória, não revisional. O mesmo raciocínio aplica-se ao benefício indevidamente cessado: o segurado busca o restabelecimento da prestação interrompida, e não a modificação dos parâmetros de um ato de concessão vigente.</w:t>
      </w:r>
    </w:p>
    <w:p w14:paraId="50BD47D1" w14:textId="77777777" w:rsidR="005A5FCC" w:rsidRDefault="00A21C81">
      <w:pPr>
        <w:ind w:firstLine="238"/>
      </w:pPr>
      <w:r>
        <w:rPr>
          <w:rFonts w:cs="EB Garamond"/>
          <w:kern w:val="16"/>
          <w14:ligatures w14:val="standardContextual"/>
        </w:rPr>
        <w:t>Sobre essa hipótese incide diretamente o julgado da ADI 6096, cujo fundamento — a decadência atinge a revisão, não a concessão originária — já examinamos nas seções 21.2.6 e 21.4.2. Aplicado ao caso, o segurado cujo benefício foi indeferido em 2012 pode, em 2026, ajuizar ação de concessão, desde que demonstre o preenchimento dos requisitos legais. As parcelas anteriores ao quinquênio prescricional estarão prescritas, mas o direito ao benefício permanece íntegro, justamente porque a pretensão não é revisional e escapa ao art. 103.</w:t>
      </w:r>
    </w:p>
    <w:p w14:paraId="08790E25" w14:textId="77777777" w:rsidR="005A5FCC" w:rsidRDefault="00A21C81">
      <w:pPr>
        <w:spacing w:before="260" w:after="80" w:line="240" w:lineRule="auto"/>
        <w:jc w:val="left"/>
      </w:pPr>
      <w:r>
        <w:rPr>
          <w:rFonts w:cs="EB Garamond"/>
          <w:b/>
          <w:color w:val="3A3128"/>
          <w:kern w:val="16"/>
          <w:sz w:val="25"/>
          <w14:ligatures w14:val="standardContextual"/>
        </w:rPr>
        <w:t>21.4.4 O que não decai: fato superveniente, erro material e fraude</w:t>
      </w:r>
    </w:p>
    <w:p w14:paraId="2720668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T</w:t>
      </w:r>
    </w:p>
    <w:p w14:paraId="210A0EA7" w14:textId="77777777" w:rsidR="005A5FCC" w:rsidRDefault="00A21C81">
      <w:r>
        <w:rPr>
          <w:rFonts w:cs="EB Garamond"/>
          <w:kern w:val="16"/>
          <w14:ligatures w14:val="standardContextual"/>
        </w:rPr>
        <w:t>rês outras hipóteses escapam à incidência da decadência. A primeira é o fato superveniente ao ato de concessão. Quando uma circunstância posterior à concessão altera os parâmetros que deveriam integrar o cálculo do benefício, o segurado não está exercendo pretensão de revisão do ato originário. Está, sim, postulando o reconhecimento de efeitos de fato novo. O exemplo clássico é a reclamatória trabalhista: o segurado que obtém decisão judicial reconhecendo vínculos ou verbas remuneratórias que deveriam ter integrado o período básico de cálculo não exerceu pretensão revisional do ato de concessão, pois o fato (decisão trabalhista) é posterior à concessão. Nesses casos, conforme o Tema 975 do STJ, o termo inicial da decadência é o trânsito em julgado da sentença trabalhista, e não a data da primeira prestação.</w:t>
      </w:r>
    </w:p>
    <w:p w14:paraId="19E0ECB2" w14:textId="77777777" w:rsidR="005A5FCC" w:rsidRDefault="00A21C81">
      <w:pPr>
        <w:ind w:firstLine="238"/>
      </w:pPr>
      <w:r>
        <w:rPr>
          <w:rFonts w:cs="EB Garamond"/>
          <w:kern w:val="16"/>
          <w14:ligatures w14:val="standardContextual"/>
        </w:rPr>
        <w:t xml:space="preserve">A segunda hipótese é o erro material. O ato de concessão que contém erro material (erro de digitação, erro aritmético, lapso na transcrição de dados do CNIS) pode ser corrigido a qualquer tempo, sem sujeição ao prazo decadencial. Essa exceção decorre do princípio da autotutela administrativa (Súmula </w:t>
      </w:r>
      <w:r>
        <w:rPr>
          <w:rFonts w:cs="EB Garamond"/>
          <w:kern w:val="16"/>
          <w14:ligatures w14:val="standardContextual"/>
        </w:rPr>
        <w:lastRenderedPageBreak/>
        <w:t>473/STF), do art. 53 da Lei 9.784/99 (que disciplina a anulação de atos administrativos federais) e, por analogia, da regra do art. 494, I, do CPC. A própria natureza do erro material como vício que não gera direito adquirido para nenhuma das partes fundamenta a correção a qualquer tempo. Na prática dos JEFs, é comum que a contestação do INSS reconheça o erro material e concorde com a correção, eliminando a controvérsia.</w:t>
      </w:r>
    </w:p>
    <w:p w14:paraId="64E51BD7" w14:textId="77777777" w:rsidR="005A5FCC" w:rsidRDefault="00A21C81">
      <w:pPr>
        <w:ind w:firstLine="238"/>
      </w:pPr>
      <w:r>
        <w:rPr>
          <w:rFonts w:cs="EB Garamond"/>
          <w:kern w:val="16"/>
          <w14:ligatures w14:val="standardContextual"/>
        </w:rPr>
        <w:t>A terceira hipótese é a fraude. O ato de concessão obtido mediante fraude não se beneficia do prazo decadencial. A fraude é vício insanável que contamina o ato desde a origem, impedindo a formação de qualquer expectativa legítima. Essa exceção opera em favor do INSS (que pode revisar o ato fraudulento a qualquer tempo, conforme o art. 103-A da Lei 8.213/91 e a ressalva expressa nele contida) e, em tese, também em favor do segurado, quando a fraude é imputável a agente do INSS que adulterou os dados de concessão em prejuízo do beneficiário.</w:t>
      </w:r>
    </w:p>
    <w:tbl>
      <w:tblPr>
        <w:tblW w:w="5000" w:type="pct"/>
        <w:jc w:val="center"/>
        <w:tblLayout w:type="fixed"/>
        <w:tblLook w:val="04A0" w:firstRow="1" w:lastRow="0" w:firstColumn="1" w:lastColumn="0" w:noHBand="0" w:noVBand="1"/>
      </w:tblPr>
      <w:tblGrid>
        <w:gridCol w:w="6311"/>
      </w:tblGrid>
      <w:tr w:rsidR="005A5FCC" w14:paraId="09AF669E"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4469E344" w14:textId="77777777" w:rsidR="005A5FCC" w:rsidRDefault="00A21C81">
            <w:pPr>
              <w:spacing w:after="60" w:line="240" w:lineRule="auto"/>
              <w:jc w:val="left"/>
            </w:pPr>
            <w:r>
              <w:rPr>
                <w:rFonts w:ascii="Noto Sans" w:hAnsi="Noto Sans" w:cs="Noto Sans"/>
                <w:b/>
                <w:caps/>
                <w:color w:val="4D6F8A"/>
                <w:kern w:val="16"/>
                <w:sz w:val="16"/>
                <w14:ligatures w14:val="standardContextual"/>
              </w:rPr>
              <w:t>JURISPRUDÊNCIA EM DESTAQUE</w:t>
            </w:r>
          </w:p>
          <w:p w14:paraId="2D409194" w14:textId="77777777" w:rsidR="005A5FCC" w:rsidRDefault="00A21C81">
            <w:pPr>
              <w:spacing w:after="60" w:line="247" w:lineRule="auto"/>
            </w:pPr>
            <w:r>
              <w:rPr>
                <w:rFonts w:cs="EB Garamond"/>
                <w:b/>
                <w:kern w:val="16"/>
                <w:sz w:val="19"/>
                <w14:ligatures w14:val="standardContextual"/>
              </w:rPr>
              <w:t>ADI 6096 (Plenário do STF, Plenário Virtual, j. 01/07/2020, Rel. Min. Edson Fachin)</w:t>
            </w:r>
          </w:p>
          <w:p w14:paraId="211DA77F" w14:textId="77777777" w:rsidR="005A5FCC" w:rsidRDefault="00A21C81">
            <w:pPr>
              <w:spacing w:after="60" w:line="247" w:lineRule="auto"/>
            </w:pPr>
            <w:r>
              <w:rPr>
                <w:rFonts w:cs="EB Garamond"/>
                <w:kern w:val="16"/>
                <w:sz w:val="19"/>
                <w14:ligatures w14:val="standardContextual"/>
              </w:rPr>
              <w:t>Declarou inconstitucional o art. 24 da Lei 13.846/2019 na parte em que estendia o prazo decadencial de dez anos ao indeferimento, cancelamento e cessação de benefícios previdenciários. O fundamento central reside na natureza de direito fundamental da previdência social (art. 6º e art. 201 da CF/88): admitir que a pretensão de concessão originária se extinga por decadência comprometeria o núcleo essencial do direito. A decadência do art. 103 permanece limitada ao direito de revisar o ato de concessão, preservando-se integralmente o direito de obter o benefício quando preenchidos os requisitos legais.</w:t>
            </w:r>
          </w:p>
        </w:tc>
      </w:tr>
    </w:tbl>
    <w:p w14:paraId="290066B5" w14:textId="77777777" w:rsidR="005A5FCC" w:rsidRDefault="005A5FCC">
      <w:pPr>
        <w:spacing w:after="80" w:line="240" w:lineRule="auto"/>
      </w:pPr>
    </w:p>
    <w:p w14:paraId="0F710726"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21.5 Termo inicial do prazo decadencial</w:t>
      </w:r>
    </w:p>
    <w:p w14:paraId="7E2BE4AA" w14:textId="77777777" w:rsidR="005A5FCC" w:rsidRDefault="00A21C81">
      <w:pPr>
        <w:spacing w:before="260" w:after="80" w:line="240" w:lineRule="auto"/>
        <w:jc w:val="left"/>
      </w:pPr>
      <w:r>
        <w:rPr>
          <w:rFonts w:cs="EB Garamond"/>
          <w:b/>
          <w:color w:val="3A3128"/>
          <w:kern w:val="16"/>
          <w:sz w:val="25"/>
          <w14:ligatures w14:val="standardContextual"/>
        </w:rPr>
        <w:t>21.5.1 Regra geral: primeiro dia do mês seguinte à primeira prestação</w:t>
      </w:r>
    </w:p>
    <w:p w14:paraId="74F03FDF"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O</w:t>
      </w:r>
    </w:p>
    <w:p w14:paraId="3FCF406D" w14:textId="77777777" w:rsidR="005A5FCC" w:rsidRDefault="00A21C81">
      <w:r>
        <w:rPr>
          <w:rFonts w:cs="EB Garamond"/>
          <w:kern w:val="16"/>
          <w14:ligatures w14:val="standardContextual"/>
        </w:rPr>
        <w:t xml:space="preserve"> art. 103, caput, da Lei 8.213/91 fixa o termo inicial do prazo decadencial no "primeiro dia do mês seguinte ao do recebimento da primeira prestação". O marco é objetivo e não se confunde com a data do requerimento administrativo (DER), com a data de início do benefício (DIB) ou com a data da carta de concessão. O legislador optou pelo momento do primeiro pagamento efetivo porque, em tese, é a partir do recebimento da primeira prestação que o segurado tem condições de verificar o valor do benefício concedido e confrontá-lo com o que entende ser devido.</w:t>
      </w:r>
    </w:p>
    <w:p w14:paraId="0CE77D87" w14:textId="77777777" w:rsidR="005A5FCC" w:rsidRDefault="00A21C81">
      <w:pPr>
        <w:ind w:firstLine="238"/>
      </w:pPr>
      <w:r>
        <w:rPr>
          <w:rFonts w:cs="EB Garamond"/>
          <w:kern w:val="16"/>
          <w14:ligatures w14:val="standardContextual"/>
        </w:rPr>
        <w:t>No foro, a determinação do primeiro pagamento exige consulta ao extrato de crédito bancário ou ao HISCRE (Histórico de Créditos) do benefício, disponível no sistema do INSS. O primeiro pagamento nem sempre coincide com a competência da DIB, pois pode haver atraso na operacionalização do crédito. Quando a DIB é fixada, por exemplo, em julho de 2015, mas o primeiro crédito ocorre apenas em setembro de 2015 (com retroativos de julho e agosto), o termo inicial da decadência é 1º de outubro de 2015, e o prazo se esgota em 1º de outubro de 2025.</w:t>
      </w:r>
    </w:p>
    <w:p w14:paraId="27C7550C" w14:textId="77777777" w:rsidR="005A5FCC" w:rsidRDefault="00A21C81">
      <w:pPr>
        <w:ind w:firstLine="238"/>
      </w:pPr>
      <w:r>
        <w:rPr>
          <w:rFonts w:cs="EB Garamond"/>
          <w:kern w:val="16"/>
          <w14:ligatures w14:val="standardContextual"/>
        </w:rPr>
        <w:t>Um exemplo concreto ilustra a mecânica. Segurado que completa os requisitos para aposentadoria por tempo de contribuição em março de 2014, protocoliza requerimento administrativo em maio de 2014 (DER), obtém concessão com DIB em maio de 2014, mas recebe o primeiro pagamento (crédito bancário) apenas em agosto de 2014. O prazo decadencial inicia-se em 1º de setembro de 2014 e se encerra em 1º de setembro de 2024. Se esse segurado ajuizar ação revisional em outubro de 2024, a pretensão estará fulminada pela decadência.</w:t>
      </w:r>
    </w:p>
    <w:p w14:paraId="25167F42" w14:textId="77777777" w:rsidR="005A5FCC" w:rsidRDefault="00A21C81">
      <w:pPr>
        <w:spacing w:before="260" w:after="80" w:line="240" w:lineRule="auto"/>
        <w:jc w:val="left"/>
      </w:pPr>
      <w:r>
        <w:rPr>
          <w:rFonts w:cs="EB Garamond"/>
          <w:b/>
          <w:color w:val="3A3128"/>
          <w:kern w:val="16"/>
          <w:sz w:val="25"/>
          <w14:ligatures w14:val="standardContextual"/>
        </w:rPr>
        <w:t>21.5.2 Tema 975/STJ: incidência mesmo sem exame de ofício pelo INSS</w:t>
      </w:r>
    </w:p>
    <w:p w14:paraId="6B1CCEE8"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4B3A8282" w14:textId="77777777" w:rsidR="005A5FCC" w:rsidRDefault="00A21C81">
      <w:r>
        <w:rPr>
          <w:rFonts w:cs="EB Garamond"/>
          <w:kern w:val="16"/>
          <w14:ligatures w14:val="standardContextual"/>
        </w:rPr>
        <w:t xml:space="preserve"> Tema 975 do STJ (REsp 1.644.191/RS, 1ª Seção, j. 11/12/2019) fixou tese com duas faces. De um lado, estabeleceu que o prazo decadencial de dez anos não se aplica às hipóteses em que a questão controversa não foi objeto de apreciação no ato administrativo de concessão. De outro, confirmou que, quando o INSS examinou a questão (ainda que de forma equivocada), o prazo decadencial incide normalmente a partir do primeiro pagamento.</w:t>
      </w:r>
    </w:p>
    <w:p w14:paraId="1EAD822E" w14:textId="77777777" w:rsidR="005A5FCC" w:rsidRDefault="00A21C81">
      <w:pPr>
        <w:ind w:firstLine="238"/>
      </w:pPr>
      <w:r>
        <w:rPr>
          <w:rFonts w:cs="EB Garamond"/>
          <w:kern w:val="16"/>
          <w14:ligatures w14:val="standardContextual"/>
        </w:rPr>
        <w:lastRenderedPageBreak/>
        <w:t>A primeira face do Tema 975 opera como exceção à regra geral: se o INSS, ao conceder o benefício, simplesmente não apreciou determinada questão que deveria ter examinado de ofício (por exemplo, a soma dos salários de contribuição de atividades concomitantes, quando os dados do CNIS evidenciavam a concomitância), o segurado pode pleitear a revisão a qualquer tempo nesse ponto específico, pois o prazo decadencial não se iniciou. A segunda face confirma a regra: se o INSS analisou a questão e decidiu em determinado sentido (ainda que incorretamente), o prazo flui do primeiro pagamento.</w:t>
      </w:r>
    </w:p>
    <w:p w14:paraId="0167E719" w14:textId="77777777" w:rsidR="005A5FCC" w:rsidRDefault="00A21C81">
      <w:pPr>
        <w:ind w:firstLine="238"/>
      </w:pPr>
      <w:r>
        <w:rPr>
          <w:rFonts w:cs="EB Garamond"/>
          <w:kern w:val="16"/>
          <w14:ligatures w14:val="standardContextual"/>
        </w:rPr>
        <w:t>Destaca-se a questão da reclamatória trabalhista com reflexos previdenciários. Quando o segurado obtém decisão judicial reconhecendo verbas remuneratórias que deveriam integrar o período básico de cálculo, o fato gerador da revisão é a decisão trabalhista, que é posterior ao ato de concessão. A jurisprudência do STJ, em construção autônoma que se valeu da ratio decidendi do Tema 975 e de precedentes da Primeira Seção — mas que não integra a tese formal vinculante daquele tema —, assentou que o termo inicial da decadência é o trânsito em julgado da sentença trabalhista, e não a data do primeiro pagamento do benefício previdenciário. Registramos a distinção: a tese formal do Tema 975 limita-se à questão não apreciada no ato de concessão; o deslocamento do termo inicial para o trânsito em julgado da reclamatória trabalhista é construção jurisprudencial derivada, prevalecente no STJ, mas que não possui o mesmo grau de vinculação do enunciado repetitivo. A solução é lógica: o segurado não poderia ter pleiteado a revisão antes de obter o título judicial trabalhista, de modo que seria contrário à boa-fé fixar o termo inicial em momento anterior à existência do próprio fato que fundamenta a revisão.</w:t>
      </w:r>
    </w:p>
    <w:p w14:paraId="0A194908" w14:textId="77777777" w:rsidR="005A5FCC" w:rsidRDefault="00A21C81">
      <w:pPr>
        <w:spacing w:before="260" w:after="80" w:line="240" w:lineRule="auto"/>
        <w:jc w:val="left"/>
      </w:pPr>
      <w:r>
        <w:rPr>
          <w:rFonts w:cs="EB Garamond"/>
          <w:b/>
          <w:color w:val="3A3128"/>
          <w:kern w:val="16"/>
          <w:sz w:val="25"/>
          <w14:ligatures w14:val="standardContextual"/>
        </w:rPr>
        <w:t>21.5.3 Questões práticas de apuração do termo inicial</w:t>
      </w:r>
    </w:p>
    <w:p w14:paraId="07136C1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N</w:t>
      </w:r>
    </w:p>
    <w:p w14:paraId="0F254A9D" w14:textId="77777777" w:rsidR="005A5FCC" w:rsidRDefault="00A21C81">
      <w:r>
        <w:rPr>
          <w:rFonts w:cs="EB Garamond"/>
          <w:kern w:val="16"/>
          <w14:ligatures w14:val="standardContextual"/>
        </w:rPr>
        <w:t>a rotina dos JEFs, a verificação do termo inicial da decadência é operação que deve preceder qualquer análise de mérito em ação revisional. O seguinte roteiro sintetiza os passos necessários:</w:t>
      </w:r>
    </w:p>
    <w:tbl>
      <w:tblPr>
        <w:tblW w:w="5000" w:type="pct"/>
        <w:jc w:val="center"/>
        <w:tblLayout w:type="fixed"/>
        <w:tblLook w:val="04A0" w:firstRow="1" w:lastRow="0" w:firstColumn="1" w:lastColumn="0" w:noHBand="0" w:noVBand="1"/>
      </w:tblPr>
      <w:tblGrid>
        <w:gridCol w:w="6311"/>
      </w:tblGrid>
      <w:tr w:rsidR="005A5FCC" w14:paraId="10D7D412"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24AC2BFC"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7C20348D" w14:textId="77777777" w:rsidR="005A5FCC" w:rsidRDefault="00A21C81">
            <w:pPr>
              <w:spacing w:after="60" w:line="247" w:lineRule="auto"/>
            </w:pPr>
            <w:r>
              <w:rPr>
                <w:rFonts w:cs="EB Garamond"/>
                <w:b/>
                <w:kern w:val="16"/>
                <w:sz w:val="19"/>
                <w14:ligatures w14:val="standardContextual"/>
              </w:rPr>
              <w:t>Passo a passo para verificar se a revisão está dentro do prazo decadencial:</w:t>
            </w:r>
          </w:p>
          <w:p w14:paraId="7A8D1126" w14:textId="77777777" w:rsidR="005A5FCC" w:rsidRDefault="00A21C81">
            <w:pPr>
              <w:spacing w:after="60" w:line="247" w:lineRule="auto"/>
            </w:pPr>
            <w:r>
              <w:rPr>
                <w:rFonts w:cs="EB Garamond"/>
                <w:kern w:val="16"/>
                <w:sz w:val="19"/>
                <w14:ligatures w14:val="standardContextual"/>
              </w:rPr>
              <w:t>1. Identificar a DIB (Data de Início do Benefício) na carta de concessão ou no sistema do INSS (PLENUS/PRISMA). 2. Verificar a data do primeiro crédito bancário (HISCRE ou extrato bancário). Atentar: o primeiro crédito pode incluir retroativos e ser posterior à competência da DIB. 3. O termo inicial do prazo decadencial é o primeiro dia do mês seguinte ao mês do primeiro crédito. 4. Contar dez anos a partir desse termo inicial. 5. Verificar exceções que afastam ou deslocam o termo inicial:  a) Fato superveniente (reclamatória trabalhista): termo inicial é o trânsito em julgado da decisão trabalhista (jurisprudência do STJ, a partir da ratio do Tema 975).  b) Questão não examinada de ofício pelo INSS: decadência não se aplica a essa questão específica (Tema 975/STJ).  c) Erro material: não se sujeita a decadência.  d) Fraude: não se sujeita a decadência. 6. Se o prazo estiver esgotado e nenhuma exceção for aplicável, a pretensão revisional está fulminada pela decadência. Consequência: extinção com resolução do mérito (art. 487, II, CPC).</w:t>
            </w:r>
          </w:p>
        </w:tc>
      </w:tr>
    </w:tbl>
    <w:p w14:paraId="42EF745B" w14:textId="77777777" w:rsidR="005A5FCC" w:rsidRDefault="005A5FCC">
      <w:pPr>
        <w:spacing w:after="80" w:line="240" w:lineRule="auto"/>
      </w:pPr>
    </w:p>
    <w:p w14:paraId="774F9B4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4404D2ED" w14:textId="77777777" w:rsidR="005A5FCC" w:rsidRDefault="00A21C81">
      <w:r>
        <w:rPr>
          <w:rFonts w:cs="EB Garamond"/>
          <w:kern w:val="16"/>
          <w14:ligatures w14:val="standardContextual"/>
        </w:rPr>
        <w:t xml:space="preserve"> interação entre a DIB e a DER também gera dúvidas. A DER (Data de Entrada do Requerimento) é a data em que o segurado protocolou o pedido de benefício. A DIB pode coincidir com a DER (regra geral para aposentadorias) ou ser anterior a ela (no caso de auxílio por incapacidade temporária, cuja DIB retroage à data de início da incapacidade). O prazo decadencial, contudo, não corre da DER nem da DIB, mas do primeiro pagamento efetivo. A distinção é relevante porque, em benefícios por incapacidade, o primeiro pagamento pode ocorrer meses após a DIB, ampliando na prática o prazo disponível para o segurado.</w:t>
      </w:r>
    </w:p>
    <w:p w14:paraId="081CA9BD" w14:textId="77777777" w:rsidR="005A5FCC" w:rsidRDefault="00A21C81">
      <w:pPr>
        <w:ind w:firstLine="238"/>
      </w:pPr>
      <w:r>
        <w:rPr>
          <w:rFonts w:cs="EB Garamond"/>
          <w:kern w:val="16"/>
          <w14:ligatures w14:val="standardContextual"/>
        </w:rPr>
        <w:t>Outra questão prática envolve os benefícios concedidos durante a vigência do prazo de cinco anos (Lei 9.711/1998, de novembro de 1998 a novembro de 2003). Para esses benefícios, o prazo decadencial era de cinco anos. Contudo, com a reabertura promovida pela Lei 10.839/2004 (vigente desde 19/11/2003), os segurados cujo prazo quinquenal já havia se esgotado receberam novo prazo de dez anos, contados de 19/11/2003. O segurado que teve benefício concedido em janeiro de 2000, com primeiro pagamento em fevereiro de 2000, teria deca</w:t>
      </w:r>
      <w:r>
        <w:rPr>
          <w:rFonts w:cs="EB Garamond"/>
          <w:kern w:val="16"/>
          <w14:ligatures w14:val="standardContextual"/>
        </w:rPr>
        <w:lastRenderedPageBreak/>
        <w:t>dência consumada em março de 2005 sob a regra de cinco anos. Com a reabertura, ganhou novo prazo de dez anos a partir de 19/11/2003, que expirou em 19/11/2013.</w:t>
      </w:r>
    </w:p>
    <w:p w14:paraId="4EA870C1"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21.6 Tema 966/STJ: decadência e direito ao benefício mais vantajoso</w:t>
      </w:r>
    </w:p>
    <w:p w14:paraId="2EFA85B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5BE78827" w14:textId="77777777" w:rsidR="005A5FCC" w:rsidRDefault="00A21C81">
      <w:r>
        <w:rPr>
          <w:rFonts w:cs="EB Garamond"/>
          <w:kern w:val="16"/>
          <w14:ligatures w14:val="standardContextual"/>
        </w:rPr>
        <w:t xml:space="preserve"> Tema 966 do STJ (REsp 1.631.021/SP, 1ª Seção, Rel. Min. Mauro Campbell Marques, j. 13/02/2019) fixou tese com a seguinte redação: "Incide o prazo decadencial de dez anos estabelecido no art. 103 da Lei 8.213/1991 para o reconhecimento do direito adquirido ao benefício previdenciário mais vantajoso."</w:t>
      </w:r>
    </w:p>
    <w:p w14:paraId="5C5F2A7D" w14:textId="77777777" w:rsidR="005A5FCC" w:rsidRDefault="00A21C81">
      <w:pPr>
        <w:ind w:firstLine="238"/>
      </w:pPr>
      <w:r>
        <w:rPr>
          <w:rFonts w:cs="EB Garamond"/>
          <w:kern w:val="16"/>
          <w14:ligatures w14:val="standardContextual"/>
        </w:rPr>
        <w:t>A tese responde a uma questão que se apresentava com frequência nos JEFs: o segurado que, na data do requerimento administrativo, já reunia os requisitos para aposentadoria por mais de uma regra (aposentadoria por idade e aposentadoria por tempo de contribuição, ou aposentadoria com e sem aplicação do fator previdenciário) e obteve concessão por uma delas pode, posteriormente, postular a revisão para que o INSS aplique a regra mais favorável?</w:t>
      </w:r>
    </w:p>
    <w:p w14:paraId="49EDF3F2" w14:textId="77777777" w:rsidR="005A5FCC" w:rsidRDefault="00A21C81">
      <w:pPr>
        <w:ind w:firstLine="238"/>
      </w:pPr>
      <w:r>
        <w:rPr>
          <w:rFonts w:cs="EB Garamond"/>
          <w:kern w:val="16"/>
          <w14:ligatures w14:val="standardContextual"/>
        </w:rPr>
        <w:t>A resposta do STJ foi afirmativa quanto à existência do direito, mas sujeita ao prazo decadencial. O direito de escolher a regra mais vantajosa integra o ato de concessão, pois a opção por determinada regra é um dos parâmetros que definem a RMI. Assim, o segurado que pretende substituir a regra aplicada por outra mais favorável está, em essência, postulando a revisão do ato de concessão, e essa pretensão sujeita-se ao prazo de dez anos.</w:t>
      </w:r>
    </w:p>
    <w:p w14:paraId="48B47264" w14:textId="77777777" w:rsidR="005A5FCC" w:rsidRDefault="00A21C81">
      <w:pPr>
        <w:ind w:firstLine="238"/>
      </w:pPr>
      <w:r>
        <w:rPr>
          <w:rFonts w:cs="EB Garamond"/>
          <w:kern w:val="16"/>
          <w14:ligatures w14:val="standardContextual"/>
        </w:rPr>
        <w:t>A posição do STJ é coerente com a sistemática do art. 103. Se o direito ao benefício mais vantajoso constitui faculdade inerente ao ato de concessão, seu exercício deve observar o mesmo prazo fixado para a revisão dos demais parâmetros desse ato. Admitir que a escolha da regra mais vantajosa fosse imprescritível, enquanto a revisão do salário de benefício ou do fator previdenciário decai em dez anos, criaria uma assimetria injustificável.</w:t>
      </w:r>
    </w:p>
    <w:p w14:paraId="4D953A3F" w14:textId="77777777" w:rsidR="005A5FCC" w:rsidRDefault="00A21C81">
      <w:pPr>
        <w:ind w:firstLine="238"/>
      </w:pPr>
      <w:r>
        <w:rPr>
          <w:rFonts w:cs="EB Garamond"/>
          <w:kern w:val="16"/>
          <w14:ligatures w14:val="standardContextual"/>
        </w:rPr>
        <w:t xml:space="preserve">A aplicação prática do Tema 966 nos JEFs envolve, na maioria dos casos, segurados que se aposentaram antes da Emenda Constitucional 103/2019, quando a </w:t>
      </w:r>
      <w:r>
        <w:rPr>
          <w:rFonts w:cs="EB Garamond"/>
          <w:kern w:val="16"/>
          <w14:ligatures w14:val="standardContextual"/>
        </w:rPr>
        <w:lastRenderedPageBreak/>
        <w:t>coexistência de regras diferentes (aposentadoria por tempo integral, proporcional, por idade, com ou sem fator previdenciário) era mais comum. Para benefícios concedidos após a EC 103/2019, o cenário de múltiplas regras de transição ampliou as possibilidades de escolha, mas o prazo decadencial igualmente se aplica.</w:t>
      </w:r>
    </w:p>
    <w:p w14:paraId="70E86D82" w14:textId="77777777" w:rsidR="005A5FCC" w:rsidRDefault="00A21C81">
      <w:pPr>
        <w:ind w:firstLine="238"/>
      </w:pPr>
      <w:r>
        <w:rPr>
          <w:rFonts w:cs="EB Garamond"/>
          <w:kern w:val="16"/>
          <w14:ligatures w14:val="standardContextual"/>
        </w:rPr>
        <w:t>A interface entre o Tema 966 e as teses revisionais específicas já foi examinada no Capítulo 17, seção 17.2, ao qual remetemos o leitor para a análise concreta. Adotamos aqui a seguinte orientação: a decadência do Tema 966 atinge a escolha da regra de cálculo, que é componente do ato de concessão. Não atinge, contudo, o direito ao benefício em si. O segurado que perdeu o prazo para escolher regra mais vantajosa continua titular do benefício concedido pela regra originalmente aplicada. A decadência elimina a faculdade de substituir a regra, não o direito à prestação previdenciária.</w:t>
      </w:r>
    </w:p>
    <w:p w14:paraId="1FBE0047" w14:textId="77777777" w:rsidR="005A5FCC" w:rsidRDefault="00A21C81">
      <w:pPr>
        <w:ind w:firstLine="238"/>
      </w:pPr>
      <w:r>
        <w:rPr>
          <w:rFonts w:cs="EB Garamond"/>
          <w:kern w:val="16"/>
          <w14:ligatures w14:val="standardContextual"/>
        </w:rPr>
        <w:t>Na prática, o cálculo da vantajosidade exige simulação comparativa entre as diferentes regras, levando em conta não apenas a RMI de cada cenário, mas também a expectativa de vida do segurado, a data de início do benefício e a evolução dos reajustamentos. Essa análise, de natureza atuarial, nem sempre é simples, e o segurado que não contava com assessoria jurídica especializada pode não ter tido, na prática, condições de avaliar a vantajosidade da regra aplicada pelo INSS. A objeção é procedente do ponto de vista social, mas o STJ não acolheu argumento dessa natureza para afastar a decadência. O prazo decenal foi considerado razoável para que o segurado, mesmo sem assessoria imediata, busque orientação sobre a adequação do cálculo de seu benefício.</w:t>
      </w:r>
    </w:p>
    <w:p w14:paraId="571D5492"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21.7 Decadência administrativa: o poder-dever de revisão pelo INSS (art. 103-A)</w:t>
      </w:r>
    </w:p>
    <w:p w14:paraId="1B42486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58E01EFC" w14:textId="77777777" w:rsidR="005A5FCC" w:rsidRDefault="00A21C81">
      <w:r>
        <w:rPr>
          <w:rFonts w:cs="EB Garamond"/>
          <w:kern w:val="16"/>
          <w14:ligatures w14:val="standardContextual"/>
        </w:rPr>
        <w:t xml:space="preserve"> decadência previdenciária não opera apenas em favor do INSS. O art. 103-A da Lei 8.213/91, incluído pela Lei 10.839/2004, estabelece que o INSS deve anular o ato administrativo do qual decorram efeitos favoráveis para os seus beneficiários dentro do prazo de dez anos, contados da data em que foram praticados, salvo comprovada má-fé. Trata-se da decadência do poder-dever de </w:t>
      </w:r>
      <w:r>
        <w:rPr>
          <w:rFonts w:cs="EB Garamond"/>
          <w:kern w:val="16"/>
          <w14:ligatures w14:val="standardContextual"/>
        </w:rPr>
        <w:lastRenderedPageBreak/>
        <w:t>revisão administrativa pelo INSS, simétrica à decadência do direito de revisão pelo segurado (art. 103).</w:t>
      </w:r>
    </w:p>
    <w:p w14:paraId="291190A6" w14:textId="77777777" w:rsidR="005A5FCC" w:rsidRDefault="00A21C81">
      <w:pPr>
        <w:ind w:firstLine="238"/>
      </w:pPr>
      <w:r>
        <w:rPr>
          <w:rFonts w:cs="EB Garamond"/>
          <w:kern w:val="16"/>
          <w14:ligatures w14:val="standardContextual"/>
        </w:rPr>
        <w:t>A função do art. 103-A é proteger o segurado contra a instabilidade de benefícios regularmente concedidos. Quando o INSS concede benefício com determinados parâmetros e o mantém em vigor por mais de dez anos sem questionar a regularidade do ato, a confiança legítima do beneficiário na manutenção daqueles parâmetros merece proteção. O decurso do prazo decenal consolida o ato de concessão, impedindo que o INSS o reveja para reduzir o valor do benefício ou cessá-lo por suposta irregularidade.</w:t>
      </w:r>
    </w:p>
    <w:p w14:paraId="21E707C0" w14:textId="77777777" w:rsidR="005A5FCC" w:rsidRDefault="00A21C81">
      <w:pPr>
        <w:ind w:firstLine="238"/>
      </w:pPr>
      <w:r>
        <w:rPr>
          <w:rFonts w:cs="EB Garamond"/>
          <w:kern w:val="16"/>
          <w14:ligatures w14:val="standardContextual"/>
        </w:rPr>
        <w:t>O Tema 445 do STF (RE 636.553/RS, Plenário, j. 19/02/2020, Rel. Min. Gilmar Mendes) fixou tese sobre a decadência do prazo para anulação de aposentadorias pela Administração, assentando que o poder revisional está sujeito ao prazo decadencial previsto em lei, observados o contraditório e a ampla defesa. No mesmo sentido, o Tema 214 do STJ (REsp 1.114.938/AL, 1ª Seção, j. 14/04/2010) já havia estabelecido que a Administração Previdenciária pode revisar o benefício concedido com base em erro, desde que observe o contraditório e a ampla defesa. A revisão administrativa, contudo, está sujeita ao prazo de dez anos do art. 103-A. Ultrapassado o decênio sem que o INSS tenha exercido o poder de revisão, o ato de concessão torna-se definitivo, e qualquer irregularidade que não constitua fraude resta sanada pelo decurso do tempo.</w:t>
      </w:r>
    </w:p>
    <w:p w14:paraId="37210341" w14:textId="77777777" w:rsidR="005A5FCC" w:rsidRDefault="00A21C81">
      <w:pPr>
        <w:ind w:firstLine="238"/>
      </w:pPr>
      <w:r>
        <w:rPr>
          <w:rFonts w:cs="EB Garamond"/>
          <w:kern w:val="16"/>
          <w14:ligatures w14:val="standardContextual"/>
        </w:rPr>
        <w:t>A exceção da fraude é expressa no texto legal ("salvo comprovada má-fé"). Quando o benefício foi concedido mediante fraude comprovada judicialmente, o INSS pode rever o ato a qualquer tempo, sem limitação de prazo. A fraude impede a formação de confiança legítima, pois o beneficiário que obteve a concessão por meios ilícitos não pode invocar a estabilidade do ato em seu favor. A comprovação da fraude, contudo, deve ser judicial: o INSS não pode, por ato administrativo unilateral, declarar a existência de fraude e cancelar o benefício após o prazo de dez anos. Essa exigência decorre do devido processo legal e foi reiteradamente afirmada pelo STJ (Tema 214) e pelo STF (Tema 445).</w:t>
      </w:r>
    </w:p>
    <w:p w14:paraId="0886986D" w14:textId="77777777" w:rsidR="005A5FCC" w:rsidRDefault="00A21C81">
      <w:pPr>
        <w:ind w:firstLine="238"/>
      </w:pPr>
      <w:r>
        <w:rPr>
          <w:rFonts w:cs="EB Garamond"/>
          <w:kern w:val="16"/>
          <w14:ligatures w14:val="standardContextual"/>
        </w:rPr>
        <w:t xml:space="preserve">No cotidiano das varas, a matéria surge quando o segurado impugna ato administrativo do INSS que revogou ou reduziu benefício concedido há mais de </w:t>
      </w:r>
      <w:r>
        <w:rPr>
          <w:rFonts w:cs="EB Garamond"/>
          <w:kern w:val="16"/>
          <w14:ligatures w14:val="standardContextual"/>
        </w:rPr>
        <w:lastRenderedPageBreak/>
        <w:t>dez anos. Nesses casos, o advogado e o juiz devem verificar duas questões. Primeiro: o INSS observou o contraditório prévio, oportunizando ao segurado manifestação antes da revisão? Segundo: o prazo de dez anos já havia se esgotado na data em que o INSS iniciou o procedimento revisional? Se ambas as respostas forem afirmativas (contraditório observado, mas prazo já esgotado), o ato revisional do INSS é ilegal e deve ser anulado pelo Judiciário, com o restabelecimento do benefício nos parâmetros anteriores.</w:t>
      </w:r>
    </w:p>
    <w:tbl>
      <w:tblPr>
        <w:tblW w:w="5000" w:type="pct"/>
        <w:jc w:val="center"/>
        <w:tblLayout w:type="fixed"/>
        <w:tblLook w:val="04A0" w:firstRow="1" w:lastRow="0" w:firstColumn="1" w:lastColumn="0" w:noHBand="0" w:noVBand="1"/>
      </w:tblPr>
      <w:tblGrid>
        <w:gridCol w:w="6311"/>
      </w:tblGrid>
      <w:tr w:rsidR="005A5FCC" w14:paraId="2F60BC9C"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2E924FD6"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3E0D8E19" w14:textId="77777777" w:rsidR="005A5FCC" w:rsidRDefault="00A21C81">
            <w:pPr>
              <w:spacing w:after="60" w:line="247" w:lineRule="auto"/>
            </w:pPr>
            <w:r>
              <w:rPr>
                <w:rFonts w:cs="EB Garamond"/>
                <w:b/>
                <w:kern w:val="16"/>
                <w:sz w:val="19"/>
                <w14:ligatures w14:val="standardContextual"/>
              </w:rPr>
              <w:t>Revisão administrativa de benefício pelo INSS: verificação de prazos</w:t>
            </w:r>
          </w:p>
          <w:p w14:paraId="29112841" w14:textId="77777777" w:rsidR="005A5FCC" w:rsidRDefault="00A21C81">
            <w:pPr>
              <w:spacing w:after="60" w:line="247" w:lineRule="auto"/>
            </w:pPr>
            <w:r>
              <w:rPr>
                <w:rFonts w:cs="EB Garamond"/>
                <w:kern w:val="16"/>
                <w:sz w:val="19"/>
                <w14:ligatures w14:val="standardContextual"/>
              </w:rPr>
              <w:t>Quando o segurado recebe notificação do INSS comunicando revisão administrativa do benefício (redução de valor, suspensão ou cessação), o advogado deve verificar imediatamente:</w:t>
            </w:r>
          </w:p>
          <w:p w14:paraId="124210EB" w14:textId="77777777" w:rsidR="005A5FCC" w:rsidRDefault="00A21C81">
            <w:pPr>
              <w:spacing w:after="30" w:line="240" w:lineRule="auto"/>
              <w:ind w:left="227" w:hanging="142"/>
            </w:pPr>
            <w:r>
              <w:rPr>
                <w:rFonts w:cs="EB Garamond"/>
                <w:kern w:val="16"/>
                <w:sz w:val="19"/>
                <w14:ligatures w14:val="standardContextual"/>
              </w:rPr>
              <w:t>1. Data da concessão do benefício (ato original).</w:t>
            </w:r>
          </w:p>
          <w:p w14:paraId="0B8FCFE8" w14:textId="77777777" w:rsidR="005A5FCC" w:rsidRDefault="00A21C81">
            <w:pPr>
              <w:spacing w:after="30" w:line="240" w:lineRule="auto"/>
              <w:ind w:left="227" w:hanging="142"/>
            </w:pPr>
            <w:r>
              <w:rPr>
                <w:rFonts w:cs="EB Garamond"/>
                <w:kern w:val="16"/>
                <w:sz w:val="19"/>
                <w14:ligatures w14:val="standardContextual"/>
              </w:rPr>
              <w:t>2. Data do início do procedimento administrativo revisional (notificação do INSS).</w:t>
            </w:r>
          </w:p>
          <w:p w14:paraId="2727A42A" w14:textId="77777777" w:rsidR="005A5FCC" w:rsidRDefault="00A21C81">
            <w:pPr>
              <w:spacing w:after="30" w:line="240" w:lineRule="auto"/>
              <w:ind w:left="227" w:hanging="142"/>
            </w:pPr>
            <w:r>
              <w:rPr>
                <w:rFonts w:cs="EB Garamond"/>
                <w:kern w:val="16"/>
                <w:sz w:val="19"/>
                <w14:ligatures w14:val="standardContextual"/>
              </w:rPr>
              <w:t>3. Se transcorreram mais de dez anos entre a concessão e o início da revisão: o ato revisional é ilegal, salvo comprovação de fraude judicialmente (art. 103-A da Lei 8.213/91; Tema 445/STF; Tema 214/STJ).</w:t>
            </w:r>
          </w:p>
          <w:p w14:paraId="36D1B188" w14:textId="77777777" w:rsidR="005A5FCC" w:rsidRDefault="00A21C81">
            <w:pPr>
              <w:spacing w:after="30" w:line="240" w:lineRule="auto"/>
              <w:ind w:left="227" w:hanging="142"/>
            </w:pPr>
            <w:r>
              <w:rPr>
                <w:rFonts w:cs="EB Garamond"/>
                <w:kern w:val="16"/>
                <w:sz w:val="19"/>
                <w14:ligatures w14:val="standardContextual"/>
              </w:rPr>
              <w:t>4. Se há imputação de fraude: exigir comprovação judicial, não mera presunção administrativa.</w:t>
            </w:r>
          </w:p>
          <w:p w14:paraId="259472D1" w14:textId="77777777" w:rsidR="005A5FCC" w:rsidRDefault="00A21C81">
            <w:pPr>
              <w:spacing w:after="30" w:line="240" w:lineRule="auto"/>
              <w:ind w:left="227" w:hanging="142"/>
            </w:pPr>
            <w:r>
              <w:rPr>
                <w:rFonts w:cs="EB Garamond"/>
                <w:kern w:val="16"/>
                <w:sz w:val="19"/>
                <w14:ligatures w14:val="standardContextual"/>
              </w:rPr>
              <w:t>5. Em qualquer caso: verificar se o INSS observou o contraditório e a ampla defesa antes da revisão.</w:t>
            </w:r>
          </w:p>
          <w:p w14:paraId="4B058F8C" w14:textId="6BA7BD4D" w:rsidR="005A5FCC" w:rsidRDefault="00A21C81">
            <w:pPr>
              <w:spacing w:after="60" w:line="247" w:lineRule="auto"/>
            </w:pPr>
            <w:r>
              <w:rPr>
                <w:rFonts w:cs="EB Garamond"/>
                <w:kern w:val="16"/>
                <w:sz w:val="19"/>
                <w14:ligatures w14:val="standardContextual"/>
              </w:rPr>
              <w:t xml:space="preserve">A impugnação do ato revisional ilegal pode ser veiculada nos JEFs, desde que o valor da causa não ultrapasse 60 </w:t>
            </w:r>
            <w:r w:rsidR="002973C3">
              <w:rPr>
                <w:rFonts w:cs="EB Garamond"/>
                <w:kern w:val="16"/>
                <w:sz w:val="19"/>
                <w14:ligatures w14:val="standardContextual"/>
              </w:rPr>
              <w:t>salários-mínimos</w:t>
            </w:r>
            <w:r>
              <w:rPr>
                <w:rFonts w:cs="EB Garamond"/>
                <w:kern w:val="16"/>
                <w:sz w:val="19"/>
                <w14:ligatures w14:val="standardContextual"/>
              </w:rPr>
              <w:t xml:space="preserve"> (R$ 97.260,00 em 2026).</w:t>
            </w:r>
          </w:p>
        </w:tc>
      </w:tr>
    </w:tbl>
    <w:p w14:paraId="2D3082D7" w14:textId="77777777" w:rsidR="005A5FCC" w:rsidRDefault="005A5FCC">
      <w:pPr>
        <w:spacing w:after="80" w:line="240" w:lineRule="auto"/>
      </w:pPr>
    </w:p>
    <w:p w14:paraId="39184799"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737F9C16" w14:textId="77777777" w:rsidR="005A5FCC" w:rsidRDefault="00A21C81">
      <w:r>
        <w:rPr>
          <w:rFonts w:cs="EB Garamond"/>
          <w:kern w:val="16"/>
          <w14:ligatures w14:val="standardContextual"/>
        </w:rPr>
        <w:t xml:space="preserve"> simetria entre o art. 103 e o art. 103-A confirma a coerência do sistema. O legislador estabeleceu prazos idênticos (dez anos) para ambas as partes da relação previdenciária: o segurado tem dez anos para revisar o ato de concessão em seu favor; o INSS tem dez anos para revisar o mesmo ato contra o segurado. Essa simetria confere coerência ao sistema e reforça a função estabilizadora da decadência. Transcorrido o decênio, o ato de concessão consolida-se com os parâmetros originais, não podendo ser questionado por nenhuma das partes, ressalvada a hipótese de fraude.</w:t>
      </w:r>
    </w:p>
    <w:p w14:paraId="0193DA3A"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21.8 Constitucionalidade do prazo decadencial de 10 anos</w:t>
      </w:r>
    </w:p>
    <w:p w14:paraId="20279BA5"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2A8AC1BD" w14:textId="77777777" w:rsidR="005A5FCC" w:rsidRDefault="00A21C81">
      <w:r>
        <w:rPr>
          <w:rFonts w:cs="EB Garamond"/>
          <w:kern w:val="16"/>
          <w14:ligatures w14:val="standardContextual"/>
        </w:rPr>
        <w:t xml:space="preserve"> constitucionalidade do prazo decadencial fixado pelo art. 103 da Lei 8.213/91 foi questionada desde a introdução do prazo pela MP 1.523-9/1997. O argumento central dos que sustentavam a inconstitucionalidade era o seguinte: se o direito à previdência social é direito fundamental (art. 6º da CF/88), e se o benefício previdenciário tem natureza alimentar, a imposição de prazo que extinga o direito de corrigir eventuais erros de cálculo representaria lesão ao núcleo essencial desse direito fundamental. O segurado que recebe benefício com valor inferior ao devido durante toda a vida, por não ter questionado o cálculo dentro do prazo, sofreria prejuízo de natureza alimentar cristalizado pelo decurso do tempo.</w:t>
      </w:r>
    </w:p>
    <w:p w14:paraId="283748DD" w14:textId="77777777" w:rsidR="005A5FCC" w:rsidRDefault="00A21C81">
      <w:pPr>
        <w:ind w:firstLine="238"/>
      </w:pPr>
      <w:r>
        <w:rPr>
          <w:rFonts w:cs="EB Garamond"/>
          <w:kern w:val="16"/>
          <w14:ligatures w14:val="standardContextual"/>
        </w:rPr>
        <w:t>O Supremo Tribunal Federal enfrentou a questão no julgamento do RE 626.489/SE, julgado em regime de repercussão geral (Tema 313), em 16 de outubro de 2013. O Plenário, por unanimidade, declarou a constitucionalidade do prazo decadencial de dez anos para a revisão do ato de concessão de benefício previdenciário. O relator, Ministro Roberto Barroso, fundamentou o voto em três pilares.</w:t>
      </w:r>
    </w:p>
    <w:p w14:paraId="6BF31645" w14:textId="77777777" w:rsidR="005A5FCC" w:rsidRDefault="00A21C81">
      <w:pPr>
        <w:ind w:firstLine="238"/>
      </w:pPr>
      <w:r>
        <w:rPr>
          <w:rFonts w:cs="EB Garamond"/>
          <w:kern w:val="16"/>
          <w14:ligatures w14:val="standardContextual"/>
        </w:rPr>
        <w:t>O primeiro pilar é o princípio da segurança jurídica. A estabilização das relações jurídicas previdenciárias atende não apenas ao interesse da autarquia (previsibilidade orçamentária), mas também ao interesse coletivo dos segurados (manutenção do equilíbrio atuarial do sistema). A permanente possibilidade de revisão de benefícios concedidos décadas antes criaria incerteza orçamentária incompatível com a gestão sustentável do RGPS.</w:t>
      </w:r>
    </w:p>
    <w:p w14:paraId="67AA3E4D" w14:textId="77777777" w:rsidR="005A5FCC" w:rsidRDefault="00A21C81">
      <w:pPr>
        <w:ind w:firstLine="238"/>
      </w:pPr>
      <w:r>
        <w:rPr>
          <w:rFonts w:cs="EB Garamond"/>
          <w:kern w:val="16"/>
          <w14:ligatures w14:val="standardContextual"/>
        </w:rPr>
        <w:t>O segundo pilar é a razoabilidade do prazo. O período de dez anos foi considerado suficiente para que o segurado, ainda que em condições sociais adversas, identifique eventuais irregularidades no cálculo de seu benefício e busque a tutela jurisdicional. O Tribunal ponderou que o prazo de dez anos equivale a 120 prestações mensais recebidas pelo segurado, período que, na visão do Plenário, confere oportunidade adequada para a percepção de discrepâncias.</w:t>
      </w:r>
    </w:p>
    <w:p w14:paraId="0925017E" w14:textId="77777777" w:rsidR="005A5FCC" w:rsidRDefault="00A21C81">
      <w:pPr>
        <w:ind w:firstLine="238"/>
      </w:pPr>
      <w:r>
        <w:rPr>
          <w:rFonts w:cs="EB Garamond"/>
          <w:kern w:val="16"/>
          <w14:ligatures w14:val="standardContextual"/>
        </w:rPr>
        <w:lastRenderedPageBreak/>
        <w:t>O terceiro pilar é a distinção entre direito ao benefício e direito de revisão. A decadência atinge o direito de questionar os parâmetros do cálculo, não o direito ao benefício em si. O segurado que perde o prazo de revisão continua recebendo o benefício nos parâmetros originais. A perda é qualitativa (a possibilidade de correção), não quantitativa (o benefício em si). Essa distinção foi posteriormente reforçada pela ADI 6096, que confirmou que a decadência não pode atingir a pretensão de concessão originária.</w:t>
      </w:r>
    </w:p>
    <w:p w14:paraId="6BB6F95D" w14:textId="77777777" w:rsidR="005A5FCC" w:rsidRDefault="00A21C81">
      <w:pPr>
        <w:ind w:firstLine="238"/>
      </w:pPr>
      <w:r>
        <w:rPr>
          <w:rFonts w:cs="EB Garamond"/>
          <w:kern w:val="16"/>
          <w14:ligatures w14:val="standardContextual"/>
        </w:rPr>
        <w:t>Acompanhamos, neste ponto, a doutrina majoritária e o entendimento do STF. O prazo decenal é razoável e proporcional para a revisão do ato de concessão. Períodos mais curtos, como o prazo de cinco anos vigente entre 1998 e 2003, mostraram-se insuficientes na prática. Períodos superiores a dez anos, por outro lado, comprometeriam a estabilidade do sistema e a previsibilidade orçamentária da autarquia. A chave está nos limites: a constitucionalidade do prazo pressupõe que ele incida exclusivamente sobre a revisão do ato de concessão, jamais sobre o direito fundamental à obtenção do benefício. A ADI 6096 confirmou que o legislador não pode transpor a lógica da decadência revisional para o campo da concessão originária.</w:t>
      </w:r>
    </w:p>
    <w:p w14:paraId="658966A2" w14:textId="77777777" w:rsidR="005A5FCC" w:rsidRDefault="00A21C81">
      <w:pPr>
        <w:ind w:firstLine="238"/>
      </w:pPr>
      <w:r>
        <w:rPr>
          <w:rFonts w:cs="EB Garamond"/>
          <w:kern w:val="16"/>
          <w14:ligatures w14:val="standardContextual"/>
        </w:rPr>
        <w:t>Registramos, contudo, uma preocupação que transcende o debate constitucional abstrato. Na atuação forense dos JEFs, a decadência decenal opera com maior rigor sobre segurados de menor escolaridade, residentes em áreas rurais ou periféricas, sem acesso a informação jurídica qualificada. Esses segurados frequentemente desconhecem que o cálculo de seu benefício contém erro e só descobrem o problema quando consultam advogado, o que pode ocorrer após o transcurso do prazo. A constitucionalidade formal do prazo não elimina essa dimensão social, que permanece como desafio para o sistema previdenciário e para as políticas de acesso à justiça. A atuação da Defensoria Pública da União nos JEFs constitui, assim, instrumento indispensável para assegurar que segurados vulneráveis possam exercer o direito de revisão dentro do prazo legal.</w:t>
      </w:r>
    </w:p>
    <w:p w14:paraId="63334CCF"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21.9 Prescrição quinquenal: art. 103, parágrafo único</w:t>
      </w:r>
    </w:p>
    <w:p w14:paraId="421699FC"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781E2AE4" w14:textId="77777777" w:rsidR="005A5FCC" w:rsidRDefault="00A21C81">
      <w:r>
        <w:rPr>
          <w:rFonts w:cs="EB Garamond"/>
          <w:kern w:val="16"/>
          <w14:ligatures w14:val="standardContextual"/>
        </w:rPr>
        <w:t xml:space="preserve"> art. 103, parágrafo único, da Lei 8.213/91 estabelece: "Prescreve em cinco anos, a contar da data em que deveriam ter sido pagas, toda e qualquer ação para haver prestações vencidas ou quaisquer restituições ou diferenças devidas pela Previdência Social, ressalvado o direito dos menores, incapazes e ausentes, na forma do Código Civil."</w:t>
      </w:r>
    </w:p>
    <w:p w14:paraId="38605E92" w14:textId="77777777" w:rsidR="005A5FCC" w:rsidRDefault="00A21C81">
      <w:pPr>
        <w:ind w:firstLine="238"/>
      </w:pPr>
      <w:r>
        <w:rPr>
          <w:rFonts w:cs="EB Garamond"/>
          <w:kern w:val="16"/>
          <w14:ligatures w14:val="standardContextual"/>
        </w:rPr>
        <w:t>A norma institui a prescrição quinquenal das parcelas previdenciárias. Seu objeto é distinto do objeto da decadência: enquanto a decadência extingue o direito potestativo de revisar o ato de concessão (seções 21.2 a 21.8), a prescrição extingue a pretensão de cobrar parcelas já vencidas. A decadência atinge o "direito de mudar"; a prescrição atinge o "direito de cobrar". O segurado que ajuíza ação revisional dentro do prazo decadencial e obtém sentença favorável receberá as diferenças, mas apenas aquelas vencidas nos cinco anos anteriores ao ajuizamento. As diferenças anteriores ao quinquênio estarão prescritas.</w:t>
      </w:r>
    </w:p>
    <w:p w14:paraId="6418D6B0" w14:textId="77777777" w:rsidR="005A5FCC" w:rsidRDefault="00A21C81">
      <w:pPr>
        <w:ind w:firstLine="238"/>
      </w:pPr>
      <w:r>
        <w:rPr>
          <w:rFonts w:cs="EB Garamond"/>
          <w:kern w:val="16"/>
          <w14:ligatures w14:val="standardContextual"/>
        </w:rPr>
        <w:t>A prescrição previdenciária quinquenal encontra fundamento adicional no art. 1º do Decreto 20.910, de 6 de janeiro de 1932, que fixa em cinco anos o prazo prescricional para ações contra a Fazenda Pública. A aplicação do Decreto 20.910/32 é subsidiária e reforça o prazo já estabelecido pelo art. 103, parágrafo único, da Lei 8.213/91. Na prática, a invocação do decreto acrescenta pouco, pois o prazo é idêntico ao da lei especial. A dupla fundamentação, contudo, revela a solidez do prazo quinquenal no sistema normativo brasileiro: não se trata de opção isolada do legislador previdenciário, mas de regra geral aplicável a todas as pretensões patrimoniais contra a Fazenda Pública.</w:t>
      </w:r>
    </w:p>
    <w:p w14:paraId="27F0FB00" w14:textId="77777777" w:rsidR="005A5FCC" w:rsidRDefault="00A21C81">
      <w:pPr>
        <w:ind w:firstLine="238"/>
      </w:pPr>
      <w:r>
        <w:rPr>
          <w:rFonts w:cs="EB Garamond"/>
          <w:kern w:val="16"/>
          <w14:ligatures w14:val="standardContextual"/>
        </w:rPr>
        <w:t xml:space="preserve">A distinção funcional entre prescrição e decadência no contexto previdenciário pode ser sintetizada nos seguintes termos. A decadência (dez anos) atinge o direito de revisar o ato de concessão; esgotado o prazo, o segurado não pode mais questionar os parâmetros do cálculo da RMI. A prescrição (cinco anos) atinge as parcelas vencidas; as diferenças anteriores ao quinquênio prescricional não são exigíveis, ainda que o direito de revisão esteja preservado. As duas regras operam em planos distintos e podem produzir consequências combinadas: o segurado </w:t>
      </w:r>
      <w:r>
        <w:rPr>
          <w:rFonts w:cs="EB Garamond"/>
          <w:kern w:val="16"/>
          <w14:ligatures w14:val="standardContextual"/>
        </w:rPr>
        <w:lastRenderedPageBreak/>
        <w:t>que ajuíza ação revisional no nono ano do prazo decadencial obterá a revisão (pois o direito não decaiu), mas receberá diferenças apenas dos últimos cinco anos (pois as anteriores estão prescritas).</w:t>
      </w:r>
    </w:p>
    <w:p w14:paraId="62D9F967" w14:textId="77777777" w:rsidR="005A5FCC" w:rsidRDefault="00A21C81">
      <w:pPr>
        <w:ind w:firstLine="238"/>
      </w:pPr>
      <w:r>
        <w:rPr>
          <w:rFonts w:cs="EB Garamond"/>
          <w:kern w:val="16"/>
          <w14:ligatures w14:val="standardContextual"/>
        </w:rPr>
        <w:t>A prescrição previdenciária tem como sujeito passivo o INSS, que é autarquia federal integrante da Fazenda Pública. As pretensões do INSS contra o segurado (cobrança de valores pagos indevidamente) também se sujeitam ao prazo quinquenal do Decreto 20.910/32. A reciprocidade dos prazos confere equidade ao sistema: nem o segurado pode cobrar parcelas antigas indefinidamente, nem o INSS pode perseguir a devolução de pagamentos indevidos após cinco anos.</w:t>
      </w:r>
    </w:p>
    <w:p w14:paraId="5F41CC6B" w14:textId="77777777" w:rsidR="005A5FCC" w:rsidRDefault="00A21C81">
      <w:pPr>
        <w:ind w:firstLine="238"/>
      </w:pPr>
      <w:r>
        <w:rPr>
          <w:rFonts w:cs="EB Garamond"/>
          <w:kern w:val="16"/>
          <w14:ligatures w14:val="standardContextual"/>
        </w:rPr>
        <w:t>Uma questão que surge com frequência nos JEFs envolve a prescrição em ações de concessão (e não de revisão). Quando o segurado ajuíza ação postulando a concessão de benefício que lhe foi indevidamente negado pelo INSS, a prescrição quinquenal atinge as parcelas anteriores ao quinquênio, mas não o direito ao benefício (fundo de direito). Essa regra, consagrada na Súmula 85 do STJ, é o objeto da próxima seção.</w:t>
      </w:r>
    </w:p>
    <w:p w14:paraId="7A4C0334" w14:textId="77777777" w:rsidR="005A5FCC" w:rsidRDefault="00A21C81">
      <w:pPr>
        <w:ind w:firstLine="238"/>
      </w:pPr>
      <w:r>
        <w:rPr>
          <w:rFonts w:cs="EB Garamond"/>
          <w:kern w:val="16"/>
          <w14:ligatures w14:val="standardContextual"/>
        </w:rPr>
        <w:t>A ressalva final do art. 103, parágrafo único, em favor dos menores, incapazes e ausentes remete ao regime do Código Civil. A análise dessa ressalva, que envolve a problemática da incapacidade civil após o Estatuto da Pessoa com Deficiência (Lei 13.146/2015), será desenvolvida na seção 21.13.</w:t>
      </w:r>
    </w:p>
    <w:p w14:paraId="5123D607"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21.10 Trato sucessivo e súmula 85/STJ</w:t>
      </w:r>
    </w:p>
    <w:p w14:paraId="66D6B95C"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5691F110" w14:textId="77777777" w:rsidR="005A5FCC" w:rsidRDefault="00A21C81">
      <w:r>
        <w:rPr>
          <w:rFonts w:cs="EB Garamond"/>
          <w:kern w:val="16"/>
          <w14:ligatures w14:val="standardContextual"/>
        </w:rPr>
        <w:t xml:space="preserve"> Súmula 85 do Superior Tribunal de Justiça enuncia: "Nas relações jurídicas de trato sucessivo em que a Fazenda Pública figure como devedora, quando não tiver sido negado o próprio direito reclamado, a prescrição atinge apenas as prestações vencidas antes do quinquênio anterior à propositura da ação."</w:t>
      </w:r>
    </w:p>
    <w:p w14:paraId="37D9C935" w14:textId="77777777" w:rsidR="005A5FCC" w:rsidRDefault="00A21C81">
      <w:pPr>
        <w:ind w:firstLine="238"/>
      </w:pPr>
      <w:r>
        <w:rPr>
          <w:rFonts w:cs="EB Garamond"/>
          <w:kern w:val="16"/>
          <w14:ligatures w14:val="standardContextual"/>
        </w:rPr>
        <w:t xml:space="preserve">O enunciado consagra regra que permeia todo o contencioso previdenciário nos JEFs e cuja compreensão precisa é indispensável para o correto equacionamento da prescrição em ações previdenciárias. A relação previdenciária é, por excelência, relação de trato sucessivo: o benefício é devido mês a mês, renovando-se a prestação a cada competência. Enquanto o benefício for devido, o direito se </w:t>
      </w:r>
      <w:r>
        <w:rPr>
          <w:rFonts w:cs="EB Garamond"/>
          <w:kern w:val="16"/>
          <w14:ligatures w14:val="standardContextual"/>
        </w:rPr>
        <w:lastRenderedPageBreak/>
        <w:t>renova continuamente, e a prescrição atinge apenas as parcelas já vencidas há mais de cinco anos.</w:t>
      </w:r>
    </w:p>
    <w:p w14:paraId="3908BA4A" w14:textId="77777777" w:rsidR="005A5FCC" w:rsidRDefault="00A21C81">
      <w:pPr>
        <w:spacing w:before="260" w:after="80" w:line="240" w:lineRule="auto"/>
        <w:jc w:val="left"/>
      </w:pPr>
      <w:r>
        <w:rPr>
          <w:rFonts w:cs="EB Garamond"/>
          <w:b/>
          <w:color w:val="3A3128"/>
          <w:kern w:val="16"/>
          <w:sz w:val="25"/>
          <w14:ligatures w14:val="standardContextual"/>
        </w:rPr>
        <w:t>21.10.1 Fundo de direito imprescritível</w:t>
      </w:r>
    </w:p>
    <w:p w14:paraId="1EDF800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7F3F4988" w14:textId="77777777" w:rsidR="005A5FCC" w:rsidRDefault="00A21C81">
      <w:r>
        <w:rPr>
          <w:rFonts w:cs="EB Garamond"/>
          <w:kern w:val="16"/>
          <w14:ligatures w14:val="standardContextual"/>
        </w:rPr>
        <w:t xml:space="preserve"> Súmula 85 estabelece uma distinção fundamental entre o fundo de direito e as parcelas periódicas. O fundo de direito é o próprio direito ao benefício previdenciário. Esse direito, nas relações de trato sucessivo, não prescreve. O que prescreve são as parcelas vencidas há mais de cinco anos do ajuizamento da ação. A consequência prática é que o segurado pode postular a concessão de benefício a qualquer tempo, desde que demonstre o preenchimento dos requisitos, e o único efeito do retardo será a prescrição das prestações anteriores ao quinquênio.</w:t>
      </w:r>
    </w:p>
    <w:p w14:paraId="39F4E111" w14:textId="77777777" w:rsidR="005A5FCC" w:rsidRDefault="00A21C81">
      <w:pPr>
        <w:ind w:firstLine="238"/>
      </w:pPr>
      <w:r>
        <w:rPr>
          <w:rFonts w:cs="EB Garamond"/>
          <w:kern w:val="16"/>
          <w14:ligatures w14:val="standardContextual"/>
        </w:rPr>
        <w:t>Considere-se um exemplo. Segurado que preencheu os requisitos para aposentadoria por idade em janeiro de 2016 e jamais protocolou requerimento administrativo. Em maio de 2026, dez anos depois, requer o benefício ao INSS, que o indefere por motivo diverso (não por intempestividade, pois o direito ao benefício é imprescritível). O segurado ajuíza ação de concessão em junho de 2026. O juiz reconhece o direito ao benefício com DIB em janeiro de 2016. As parcelas de janeiro de 2016 a maio de 2021 estão prescritas (anteriores ao quinquênio do ajuizamento). As parcelas de junho de 2021 em diante são devidas integralmente. O fundo de direito (o direito à aposentadoria) permanece intocado; apenas as parcelas mais antigas foram atingidas pela prescrição.</w:t>
      </w:r>
    </w:p>
    <w:p w14:paraId="026B09FE" w14:textId="77777777" w:rsidR="005A5FCC" w:rsidRDefault="00A21C81">
      <w:pPr>
        <w:ind w:firstLine="238"/>
      </w:pPr>
      <w:r>
        <w:rPr>
          <w:rFonts w:cs="EB Garamond"/>
          <w:kern w:val="16"/>
          <w14:ligatures w14:val="standardContextual"/>
        </w:rPr>
        <w:t>Outro exemplo frequente nos JEFs envolve a concessão de auxílio por incapacidade temporária. Segurado que se tornou incapaz para o trabalho em abril de 2018, requereu o benefício e o teve indeferido por divergência da perícia médica. Em março de 2026, requer novamente, com novos exames. O INSS concede o benefício, mas somente a partir do novo requerimento. O segurado ajuíza ação para que a DIB retroaja a abril de 2018. Se procedente, as parcelas de abril de 2018 a fevereiro de 2021 estarão prescritas; as de março de 2021 em diante serão devidas. O direito ao benefício desde a incapacidade não prescreveu; prescreveram apenas as parcelas antigas.</w:t>
      </w:r>
    </w:p>
    <w:p w14:paraId="5F6B0D51" w14:textId="77777777" w:rsidR="005A5FCC" w:rsidRDefault="00A21C81">
      <w:pPr>
        <w:spacing w:before="260" w:after="80" w:line="240" w:lineRule="auto"/>
        <w:jc w:val="left"/>
      </w:pPr>
      <w:r>
        <w:rPr>
          <w:rFonts w:cs="EB Garamond"/>
          <w:b/>
          <w:color w:val="3A3128"/>
          <w:kern w:val="16"/>
          <w:sz w:val="25"/>
          <w14:ligatures w14:val="standardContextual"/>
        </w:rPr>
        <w:t>21.10.2 Exceção: negativa expressa do direito</w:t>
      </w:r>
    </w:p>
    <w:p w14:paraId="28EAD789"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A</w:t>
      </w:r>
    </w:p>
    <w:p w14:paraId="545B7DF5" w14:textId="77777777" w:rsidR="005A5FCC" w:rsidRDefault="00A21C81">
      <w:r>
        <w:rPr>
          <w:rFonts w:cs="EB Garamond"/>
          <w:kern w:val="16"/>
          <w14:ligatures w14:val="standardContextual"/>
        </w:rPr>
        <w:t xml:space="preserve"> Súmula 85 condiciona sua aplicação a uma premissa: que não tenha sido negado o próprio direito reclamado. Quando há negativa expressa do direito pelo INSS (ato formal de indeferimento com ciência ao segurado), o prazo prescricional corre a partir da ciência do segurado, e pode, em tese, atingir o próprio fundo de direito.</w:t>
      </w:r>
    </w:p>
    <w:p w14:paraId="54FBFC04" w14:textId="77777777" w:rsidR="005A5FCC" w:rsidRDefault="00A21C81">
      <w:pPr>
        <w:ind w:firstLine="238"/>
      </w:pPr>
      <w:r>
        <w:rPr>
          <w:rFonts w:cs="EB Garamond"/>
          <w:kern w:val="16"/>
          <w14:ligatures w14:val="standardContextual"/>
        </w:rPr>
        <w:t>A interpretação dessa exceção no âmbito previdenciário é, contudo, restritiva. A posição majoritária no STJ é que o mero indeferimento administrativo não configura, por si só, a "negativa do próprio direito reclamado" a que alude a Súmula 85. O indeferimento administrativo nega o pedido concreto do segurado, mas não extingue o direito fundamental à previdência. O segurado pode, a qualquer tempo, formular novo requerimento com documentação complementar ou ajuizar ação judicial. Somente se configuraria a exceção da Súmula 85 quando houvesse ato inequívoco e definitivo de negativa do direito, do qual o segurado tivesse plena ciência, e ainda assim transcorresse o quinquênio sem qualquer providência.</w:t>
      </w:r>
    </w:p>
    <w:p w14:paraId="62000163" w14:textId="77777777" w:rsidR="005A5FCC" w:rsidRDefault="00A21C81">
      <w:pPr>
        <w:ind w:firstLine="238"/>
      </w:pPr>
      <w:r>
        <w:rPr>
          <w:rFonts w:cs="EB Garamond"/>
          <w:kern w:val="16"/>
          <w14:ligatures w14:val="standardContextual"/>
        </w:rPr>
        <w:t>No cotidiano das varas, a aplicação dessa exceção é rara. Os magistrados, em regra, aplicam a Súmula 85 em sua inteireza, reconhecendo a imprescritibilidade do fundo de direito e limitando a prescrição às parcelas anteriores ao quinquênio. A exceção da negativa expressa opera apenas em situações extremas, como a do segurado que, notificado pessoalmente do indeferimento definitivo com todas as vias de recurso esgotadas, permanece inerte por mais de cinco anos.</w:t>
      </w:r>
    </w:p>
    <w:p w14:paraId="35422E4C" w14:textId="77777777" w:rsidR="005A5FCC" w:rsidRDefault="00A21C81">
      <w:pPr>
        <w:spacing w:before="260" w:after="80" w:line="240" w:lineRule="auto"/>
        <w:jc w:val="left"/>
      </w:pPr>
      <w:r>
        <w:rPr>
          <w:rFonts w:cs="EB Garamond"/>
          <w:b/>
          <w:color w:val="3A3128"/>
          <w:kern w:val="16"/>
          <w:sz w:val="25"/>
          <w14:ligatures w14:val="standardContextual"/>
        </w:rPr>
        <w:t>21.10.3 Exemplos práticos da aplicação nos JEFs</w:t>
      </w:r>
    </w:p>
    <w:p w14:paraId="46F6F2B3"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0AC995BF" w14:textId="77777777" w:rsidR="005A5FCC" w:rsidRDefault="00A21C81">
      <w:r>
        <w:rPr>
          <w:rFonts w:cs="EB Garamond"/>
          <w:kern w:val="16"/>
          <w14:ligatures w14:val="standardContextual"/>
        </w:rPr>
        <w:t xml:space="preserve"> aplicação da Súmula 85 pode ser ilustrada com situações que se repetem na rotina forense.</w:t>
      </w:r>
    </w:p>
    <w:p w14:paraId="72827642" w14:textId="77777777" w:rsidR="005A5FCC" w:rsidRDefault="00A21C81">
      <w:pPr>
        <w:ind w:firstLine="238"/>
      </w:pPr>
      <w:r>
        <w:rPr>
          <w:rFonts w:cs="EB Garamond"/>
          <w:kern w:val="16"/>
          <w14:ligatures w14:val="standardContextual"/>
        </w:rPr>
        <w:t xml:space="preserve">Primeiro cenário: segurado que nunca requereu aposentadoria. Maria trabalhou como empregada doméstica de 1990 a 2012. Em 2026, aos 66 anos, procura advogado que identifica que ela preenchia os requisitos para aposentadoria por idade desde 2017 (60 anos de idade e 15 anos de contribuição). Maria nunca requereu o benefício. Ela pode requerer agora, sem qualquer óbice de prescrição ou decadência. Se o INSS indeferir e ela ajuizar ação, o juiz poderá fixar a </w:t>
      </w:r>
      <w:r>
        <w:rPr>
          <w:rFonts w:cs="EB Garamond"/>
          <w:kern w:val="16"/>
          <w14:ligatures w14:val="standardContextual"/>
        </w:rPr>
        <w:lastRenderedPageBreak/>
        <w:t>DIB em 2017. As parcelas de 2017 a 2021 estarão prescritas (cinco anos retroativos ao ajuizamento em 2026), mas as de 2021 em diante serão devidas.</w:t>
      </w:r>
    </w:p>
    <w:p w14:paraId="11FFB2D2" w14:textId="77777777" w:rsidR="005A5FCC" w:rsidRDefault="00A21C81">
      <w:pPr>
        <w:ind w:firstLine="238"/>
      </w:pPr>
      <w:r>
        <w:rPr>
          <w:rFonts w:cs="EB Garamond"/>
          <w:kern w:val="16"/>
          <w14:ligatures w14:val="standardContextual"/>
        </w:rPr>
        <w:t>Segundo cenário: segurado que teve benefício indeferido e não recorreu. João requereu auxílio por incapacidade temporária em agosto de 2020, que foi indeferido pela perícia administrativa. João não recorreu nem ajuizou ação. Em janeiro de 2026, com a piora de seu quadro clínico, procura advogado e ajuíza ação nos JEFs postulando a concessão do benefício desde agosto de 2020. A Súmula 85 aplica-se: o direito ao benefício não prescreveu (fundo de direito preservado). As parcelas anteriores a janeiro de 2021 estão prescritas. Se a perícia judicial concluir que João está incapaz desde 2020, a concessão será deferida desde a DIB, descontadas as parcelas prescritas. A exceção da negativa expressa não se aplica, pois o indeferimento administrativo não configura negativa definitiva do direito.</w:t>
      </w:r>
    </w:p>
    <w:p w14:paraId="197BEB0C" w14:textId="77777777" w:rsidR="005A5FCC" w:rsidRDefault="00A21C81">
      <w:pPr>
        <w:ind w:firstLine="238"/>
      </w:pPr>
      <w:r>
        <w:rPr>
          <w:rFonts w:cs="EB Garamond"/>
          <w:kern w:val="16"/>
          <w14:ligatures w14:val="standardContextual"/>
        </w:rPr>
        <w:t>Terceiro cenário: pensão por morte requerida com atraso. Filha de seis anos perde o pai, segurado do RGPS, em 2015. A mãe não requer pensão por morte para a filha. Em 2026, a filha, já com dezesseis anos, procura advogado. O fundo de direito (pensão por morte) não prescreveu. A prescrição das parcelas, contudo, sofre influência da menoridade: a filha era absolutamente incapaz até os dezesseis anos (art. 198, I, CC; art. 3º, CC), período em que a prescrição não corria. A prescrição só começou a correr quando ela completou dezesseis anos, em 2025. Em 2026, com cerca de um ano de prescrição corrida, todas as parcelas desde o óbito do instituidor em 2015 são devidas, pois não havia prescrição a correr contra a absolutamente incapaz. A análise detalhada das causas impeditivas da prescrição em favor de menores e incapazes é objeto da seção 21.13.</w:t>
      </w:r>
    </w:p>
    <w:tbl>
      <w:tblPr>
        <w:tblW w:w="5000" w:type="pct"/>
        <w:jc w:val="center"/>
        <w:tblLayout w:type="fixed"/>
        <w:tblLook w:val="04A0" w:firstRow="1" w:lastRow="0" w:firstColumn="1" w:lastColumn="0" w:noHBand="0" w:noVBand="1"/>
      </w:tblPr>
      <w:tblGrid>
        <w:gridCol w:w="6311"/>
      </w:tblGrid>
      <w:tr w:rsidR="005A5FCC" w14:paraId="165E9C83"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41F4ED26" w14:textId="77777777" w:rsidR="005A5FCC" w:rsidRDefault="00A21C81">
            <w:pPr>
              <w:spacing w:after="60" w:line="240" w:lineRule="auto"/>
              <w:jc w:val="left"/>
            </w:pPr>
            <w:r>
              <w:rPr>
                <w:rFonts w:ascii="Noto Sans" w:hAnsi="Noto Sans" w:cs="Noto Sans"/>
                <w:b/>
                <w:caps/>
                <w:color w:val="4D6F8A"/>
                <w:kern w:val="16"/>
                <w:sz w:val="16"/>
                <w14:ligatures w14:val="standardContextual"/>
              </w:rPr>
              <w:lastRenderedPageBreak/>
              <w:t>JURISPRUDÊNCIA EM DESTAQUE</w:t>
            </w:r>
          </w:p>
          <w:p w14:paraId="6C3A90B6" w14:textId="77777777" w:rsidR="005A5FCC" w:rsidRDefault="00A21C81">
            <w:pPr>
              <w:spacing w:after="60" w:line="247" w:lineRule="auto"/>
            </w:pPr>
            <w:r>
              <w:rPr>
                <w:rFonts w:cs="EB Garamond"/>
                <w:b/>
                <w:kern w:val="16"/>
                <w:sz w:val="19"/>
                <w14:ligatures w14:val="standardContextual"/>
              </w:rPr>
              <w:t>Súmula 85/STJ e sua aplicação no contencioso previdenciário</w:t>
            </w:r>
          </w:p>
          <w:p w14:paraId="1DCE8204" w14:textId="77777777" w:rsidR="005A5FCC" w:rsidRDefault="00A21C81">
            <w:pPr>
              <w:spacing w:after="60" w:line="247" w:lineRule="auto"/>
            </w:pPr>
            <w:r>
              <w:rPr>
                <w:rFonts w:cs="EB Garamond"/>
                <w:kern w:val="16"/>
                <w:sz w:val="19"/>
                <w14:ligatures w14:val="standardContextual"/>
              </w:rPr>
              <w:t>A Súmula 85 do STJ aplica-se integralmente às relações previdenciárias, reconhecidas como relações de trato sucessivo por excelência. O direito ao benefício previdenciário, quando não houver negativa expressa pelo INSS, constitui fundo de direito imprescritível. A prescrição quinquenal atinge apenas as prestações vencidas antes do quinquênio anterior ao ajuizamento da ação (ou ao requerimento administrativo, quando este interrompe a prescrição). O segurado pode requerer o benefício a qualquer tempo, perdendo apenas as parcelas mais antigas. A exceção da negativa expressa é de interpretação restritiva: o mero indeferimento administrativo não a configura, segundo a jurisprudência dominante do STJ.</w:t>
            </w:r>
          </w:p>
        </w:tc>
      </w:tr>
    </w:tbl>
    <w:p w14:paraId="46A704E3" w14:textId="77777777" w:rsidR="005A5FCC" w:rsidRDefault="005A5FCC">
      <w:pPr>
        <w:spacing w:after="80" w:line="240" w:lineRule="auto"/>
      </w:pPr>
    </w:p>
    <w:p w14:paraId="10735441"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337408A5" w14:textId="77777777" w:rsidR="005A5FCC" w:rsidRDefault="00A21C81">
      <w:r>
        <w:rPr>
          <w:rFonts w:cs="EB Garamond"/>
          <w:kern w:val="16"/>
          <w14:ligatures w14:val="standardContextual"/>
        </w:rPr>
        <w:t xml:space="preserve"> interação entre a Súmula 85 e a decadência do art. 103 merece nota final. As duas regras operam em planos distintos e não se confundem. A decadência atinge o direito de revisar o ato de concessão (ações revisionais). A Súmula 85 protege o fundo de direito ao benefício (ações de concessão). Nas ações de concessão, a decadência é inaplicável, e a prescrição atinge apenas as parcelas, conforme a Súmula 85. Nas ações de revisão, a decadência é o primeiro filtro temporal: se o direito de revisar decaiu, sequer se chega à análise da prescrição das parcelas, pois não há diferenças a cobrar. Se o direito de revisar está preservado (dentro do decênio ou em hipótese de exceção), a prescrição opera sobre as parcelas, limitando as diferenças ao quinquênio.</w:t>
      </w:r>
    </w:p>
    <w:p w14:paraId="057C8347"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21.11 Termo inicial da prescrição: casuística</w:t>
      </w:r>
    </w:p>
    <w:p w14:paraId="14C4EC6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61ADC1F8" w14:textId="77777777" w:rsidR="005A5FCC" w:rsidRDefault="00A21C81">
      <w:r>
        <w:rPr>
          <w:rFonts w:cs="EB Garamond"/>
          <w:kern w:val="16"/>
          <w14:ligatures w14:val="standardContextual"/>
        </w:rPr>
        <w:t xml:space="preserve"> fixação do termo inicial da prescrição quinquenal varia conforme a natureza da pretensão previdenciária deduzida em juízo. Diferentemente da decadência, que possui termo inicial único e objetivo (o primeiro dia do mês seguinte ao primeiro pagamento), a prescrição comporta múltiplos termos iniciais, determinados pela configuração fática de cada caso concreto. Essa diversidade de cenários exige do magistrado dos JEFs atenção particularizada na análise do marco prescricional, sob pena de reconhecer prescrição inexistente ou de deixar de aplicá-la quando devida.</w:t>
      </w:r>
    </w:p>
    <w:p w14:paraId="61F73AC8" w14:textId="77777777" w:rsidR="005A5FCC" w:rsidRDefault="00A21C81">
      <w:pPr>
        <w:spacing w:before="260" w:after="80" w:line="240" w:lineRule="auto"/>
        <w:jc w:val="left"/>
      </w:pPr>
      <w:r>
        <w:rPr>
          <w:rFonts w:cs="EB Garamond"/>
          <w:b/>
          <w:color w:val="3A3128"/>
          <w:kern w:val="16"/>
          <w:sz w:val="25"/>
          <w14:ligatures w14:val="standardContextual"/>
        </w:rPr>
        <w:lastRenderedPageBreak/>
        <w:t>21.11.1 Benefício concedido com valor inferior ao devido</w:t>
      </w:r>
    </w:p>
    <w:p w14:paraId="6496F5E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Q</w:t>
      </w:r>
    </w:p>
    <w:p w14:paraId="0E638FCF" w14:textId="77777777" w:rsidR="005A5FCC" w:rsidRDefault="00A21C81">
      <w:r>
        <w:rPr>
          <w:rFonts w:cs="EB Garamond"/>
          <w:kern w:val="16"/>
          <w14:ligatures w14:val="standardContextual"/>
        </w:rPr>
        <w:t>uando o benefício foi concedido, mas com renda mensal inicial inferior à devida, o segurado faz jus às diferenças entre o valor pago e o valor correto. A prescrição dessas diferenças opera parcela a parcela: cada competência mensal tem prescrição autônoma, contada da data em que a parcela deveria ter sido paga. O segurado que ajuíza ação revisional em março de 2026 pode cobrar as diferenças das parcelas de março de 2021 em diante. As diferenças relativas às competências anteriores a março de 2021 estão prescritas.</w:t>
      </w:r>
    </w:p>
    <w:p w14:paraId="1C90AE3A" w14:textId="77777777" w:rsidR="005A5FCC" w:rsidRDefault="00A21C81">
      <w:pPr>
        <w:ind w:firstLine="238"/>
      </w:pPr>
      <w:r>
        <w:rPr>
          <w:rFonts w:cs="EB Garamond"/>
          <w:kern w:val="16"/>
          <w14:ligatures w14:val="standardContextual"/>
        </w:rPr>
        <w:t>Essa mecânica decorre diretamente do art. 103, parágrafo único, da Lei 8.213/91, que fixa o termo inicial da prescrição na data em que as prestações "deveriam ter sido pagas". Como o benefício previdenciário é pago mensalmente, cada parcela gera pretensão autônoma, com prazo prescricional próprio. O resultado prático é que a prescrição funciona como uma janela deslizante de cinco anos: o segurado pode cobrar, a qualquer momento, as diferenças dos últimos cinco anos, perdendo apenas as parcelas mais antigas à medida que o tempo avança.</w:t>
      </w:r>
    </w:p>
    <w:p w14:paraId="7578991F" w14:textId="77777777" w:rsidR="005A5FCC" w:rsidRDefault="00A21C81">
      <w:pPr>
        <w:ind w:firstLine="238"/>
      </w:pPr>
      <w:r>
        <w:rPr>
          <w:rFonts w:cs="EB Garamond"/>
          <w:kern w:val="16"/>
          <w14:ligatures w14:val="standardContextual"/>
        </w:rPr>
        <w:t>Um aspecto relevante na prática dos JEFs diz respeito à interrupção da prescrição pelo requerimento administrativo. Se o segurado protocolou pedido de revisão no INSS antes de ajuizar a ação, a prescrição foi interrompida na data do protocolo (art. 202, VI, do CC, c/c art. 4º do Decreto 20.910/32), e o quinquênio deve ser contado retroativamente a partir dessa data, e não do ajuizamento. A diferença pode representar meses ou até anos de parcelas adicionais, conforme a demora entre o requerimento administrativo e o ajuizamento da ação.</w:t>
      </w:r>
    </w:p>
    <w:p w14:paraId="2E9720FD" w14:textId="77777777" w:rsidR="005A5FCC" w:rsidRDefault="00A21C81">
      <w:pPr>
        <w:spacing w:before="260" w:after="80" w:line="240" w:lineRule="auto"/>
        <w:jc w:val="left"/>
      </w:pPr>
      <w:r>
        <w:rPr>
          <w:rFonts w:cs="EB Garamond"/>
          <w:b/>
          <w:color w:val="3A3128"/>
          <w:kern w:val="16"/>
          <w:sz w:val="25"/>
          <w14:ligatures w14:val="standardContextual"/>
        </w:rPr>
        <w:t>21.11.2 Benefício indeferido</w:t>
      </w:r>
    </w:p>
    <w:p w14:paraId="76D964F2"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Q</w:t>
      </w:r>
    </w:p>
    <w:p w14:paraId="0D028C5B" w14:textId="77777777" w:rsidR="005A5FCC" w:rsidRDefault="00A21C81">
      <w:r>
        <w:rPr>
          <w:rFonts w:cs="EB Garamond"/>
          <w:kern w:val="16"/>
          <w14:ligatures w14:val="standardContextual"/>
        </w:rPr>
        <w:t>uando o INSS indefere o requerimento de benefício, o termo inicial da prescrição é a data em que o segurado toma ciência do ato de indeferimento. A contagem opera nos termos do art. 103, parágrafo único, combinado com a Súmula 85 do STJ: o direito ao benefício (fundo de direito) permanece preservado como relação de trato sucessivo, e a prescrição atinge apenas as parcelas vencidas antes do quinquênio anterior ao ajuizamento.</w:t>
      </w:r>
    </w:p>
    <w:p w14:paraId="35CF3D06" w14:textId="77777777" w:rsidR="005A5FCC" w:rsidRDefault="00A21C81">
      <w:pPr>
        <w:ind w:firstLine="238"/>
      </w:pPr>
      <w:r>
        <w:rPr>
          <w:rFonts w:cs="EB Garamond"/>
          <w:kern w:val="16"/>
          <w14:ligatures w14:val="standardContextual"/>
        </w:rPr>
        <w:lastRenderedPageBreak/>
        <w:t>Na prática, a ciência do indeferimento é documentada pela carta de comunicação do INSS ou pela consulta ao sistema Meu INSS. A data relevante é a data de ciência efetiva pelo segurado, e não a data da decisão administrativa. Em caso de ausência de comprovação da ciência pelo segurado, o INSS tem o ônus de demonstrar quando ocorreu a comunicação. Essa questão assume especial relevância em indeferimentos antigos, nos quais a documentação de comunicação pode ter sido extraviada.</w:t>
      </w:r>
    </w:p>
    <w:p w14:paraId="6A64F155" w14:textId="77777777" w:rsidR="005A5FCC" w:rsidRDefault="00A21C81">
      <w:pPr>
        <w:spacing w:before="260" w:after="80" w:line="240" w:lineRule="auto"/>
        <w:jc w:val="left"/>
      </w:pPr>
      <w:r>
        <w:rPr>
          <w:rFonts w:cs="EB Garamond"/>
          <w:b/>
          <w:color w:val="3A3128"/>
          <w:kern w:val="16"/>
          <w:sz w:val="25"/>
          <w14:ligatures w14:val="standardContextual"/>
        </w:rPr>
        <w:t>21.11.3 Benefício cessado indevidamente</w:t>
      </w:r>
    </w:p>
    <w:p w14:paraId="3D8B4822"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235B1CAA" w14:textId="77777777" w:rsidR="005A5FCC" w:rsidRDefault="00A21C81">
      <w:r>
        <w:rPr>
          <w:rFonts w:cs="EB Garamond"/>
          <w:kern w:val="16"/>
          <w14:ligatures w14:val="standardContextual"/>
        </w:rPr>
        <w:t xml:space="preserve"> segurado cujo benefício foi cessado sem fundamento legal pode postular o restabelecimento a qualquer tempo, pois o direito ao benefício (fundo de direito) não prescreve. A prescrição atinge as parcelas que deveriam ter sido pagas e não foram: todas as competências anteriores a cinco anos do ajuizamento da ação estarão prescritas.</w:t>
      </w:r>
    </w:p>
    <w:p w14:paraId="79677734" w14:textId="77777777" w:rsidR="005A5FCC" w:rsidRDefault="00A21C81">
      <w:pPr>
        <w:ind w:firstLine="238"/>
      </w:pPr>
      <w:r>
        <w:rPr>
          <w:rFonts w:cs="EB Garamond"/>
          <w:kern w:val="16"/>
          <w14:ligatures w14:val="standardContextual"/>
        </w:rPr>
        <w:t>O termo inicial, nesse caso, é a data de cada parcela que deixou de ser paga após a cessação. Se o benefício foi cessado em janeiro de 2019 e a ação foi ajuizada em março de 2026, as parcelas de janeiro de 2019 a fevereiro de 2021 estão prescritas, e as de março de 2021 em diante são exigíveis. Essa mecânica tem particular incidência em casos de cessação de auxílio por incapacidade temporária por alta programada ou por conclusão da perícia administrativa pela cessação da incapacidade, quando o segurado permanece, na realidade, incapaz para o trabalho.</w:t>
      </w:r>
    </w:p>
    <w:p w14:paraId="1154F0BE" w14:textId="77777777" w:rsidR="005A5FCC" w:rsidRDefault="00A21C81">
      <w:pPr>
        <w:spacing w:before="260" w:after="80" w:line="240" w:lineRule="auto"/>
        <w:jc w:val="left"/>
      </w:pPr>
      <w:r>
        <w:rPr>
          <w:rFonts w:cs="EB Garamond"/>
          <w:b/>
          <w:color w:val="3A3128"/>
          <w:kern w:val="16"/>
          <w:sz w:val="25"/>
          <w14:ligatures w14:val="standardContextual"/>
        </w:rPr>
        <w:t>21.11.4 Revisão judicial com trânsito em julgado</w:t>
      </w:r>
    </w:p>
    <w:p w14:paraId="02A45D6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769FEA9E" w14:textId="77777777" w:rsidR="005A5FCC" w:rsidRDefault="00A21C81">
      <w:r>
        <w:rPr>
          <w:rFonts w:cs="EB Garamond"/>
          <w:kern w:val="16"/>
          <w14:ligatures w14:val="standardContextual"/>
        </w:rPr>
        <w:t>pós o trânsito em julgado de sentença que reconhece diferenças em favor do segurado, a execução das parcelas atrasadas tem prescrição própria. A prescrição das parcelas devidas por força da decisão judicial conta de cada competência individualmente, e não do trânsito em julgado da sentença. Esse entendimento se justifica porque a sentença revisional tem natureza declaratória quanto ao direito e condenatória quanto às parcelas, e a prescrição da pretensão executória acompanha o vencimento de cada prestação.</w:t>
      </w:r>
    </w:p>
    <w:p w14:paraId="6FF8A410" w14:textId="77777777" w:rsidR="005A5FCC" w:rsidRDefault="00A21C81">
      <w:pPr>
        <w:ind w:firstLine="238"/>
      </w:pPr>
      <w:r>
        <w:rPr>
          <w:rFonts w:cs="EB Garamond"/>
          <w:kern w:val="16"/>
          <w14:ligatures w14:val="standardContextual"/>
        </w:rPr>
        <w:t xml:space="preserve">Na rotina dos JEFs, a execução das sentenças previdenciárias ocorre por RPV (Requisição de Pequeno Valor) ou precatório. O prazo para expedição da RPV </w:t>
      </w:r>
      <w:r>
        <w:rPr>
          <w:rFonts w:cs="EB Garamond"/>
          <w:kern w:val="16"/>
          <w14:ligatures w14:val="standardContextual"/>
        </w:rPr>
        <w:lastRenderedPageBreak/>
        <w:t>após o trânsito em julgado da sentença e a apresentação dos cálculos é processual, e eventual demora administrativa na implantação do benefício revisado não prejudica o segurado, pois as parcelas continuam vencendo e a prescrição se renova a cada competência.</w:t>
      </w:r>
    </w:p>
    <w:p w14:paraId="30BAE38A" w14:textId="77777777" w:rsidR="005A5FCC" w:rsidRDefault="00A21C81">
      <w:pPr>
        <w:spacing w:before="260" w:after="80" w:line="240" w:lineRule="auto"/>
        <w:jc w:val="left"/>
      </w:pPr>
      <w:r>
        <w:rPr>
          <w:rFonts w:cs="EB Garamond"/>
          <w:b/>
          <w:color w:val="3A3128"/>
          <w:kern w:val="16"/>
          <w:sz w:val="25"/>
          <w14:ligatures w14:val="standardContextual"/>
        </w:rPr>
        <w:t>21.11.5 Reclamatória trabalhista com reflexos previdenciários</w:t>
      </w:r>
    </w:p>
    <w:p w14:paraId="0CB7E40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Q</w:t>
      </w:r>
    </w:p>
    <w:p w14:paraId="05B296B1" w14:textId="77777777" w:rsidR="005A5FCC" w:rsidRDefault="00A21C81">
      <w:r>
        <w:rPr>
          <w:rFonts w:cs="EB Garamond"/>
          <w:kern w:val="16"/>
          <w14:ligatures w14:val="standardContextual"/>
        </w:rPr>
        <w:t>uando o segurado obtém decisão judicial trabalhista que reconhece vínculos empregatícios ou verbas remuneratórias que deveriam ter integrado o período básico de cálculo do benefício, a prescrição do direito de cobrar as diferenças previdenciárias conta do trânsito em julgado da sentença trabalhista. Essa solução segue a mesma lógica adotada pelo Tema 975 do STJ para o termo inicial da decadência: o segurado não poderia exercer a pretensão antes da existência do título judicial que a fundamenta.</w:t>
      </w:r>
    </w:p>
    <w:p w14:paraId="2F4BAABE" w14:textId="77777777" w:rsidR="005A5FCC" w:rsidRDefault="00A21C81">
      <w:pPr>
        <w:ind w:firstLine="238"/>
      </w:pPr>
      <w:r>
        <w:rPr>
          <w:rFonts w:cs="EB Garamond"/>
          <w:kern w:val="16"/>
          <w14:ligatures w14:val="standardContextual"/>
        </w:rPr>
        <w:t>Na prática dos JEFs, o segurado que obtém decisão trabalhista favorável deve requerer ao INSS a revisão do benefício com base nos novos salários de contribuição reconhecidos judicialmente. Se o INSS indeferir a revisão, o prazo prescricional das diferenças retroage à data de cada competência, mas a contagem somente se inicia após o trânsito em julgado da sentença trabalhista. A combinação entre o prazo decadencial (contado do trânsito em julgado trabalhista, conforme o Tema 975) e o prazo prescricional (igualmente contado do trânsito em julgado) cria uma janela de proteção para o segurado que se beneficiou de decisão judicial trabalhista.</w:t>
      </w:r>
    </w:p>
    <w:p w14:paraId="04E1F579"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21.12 Causas de interrupção e suspensão da prescrição</w:t>
      </w:r>
    </w:p>
    <w:p w14:paraId="6B92CA24"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7961C734" w14:textId="77777777" w:rsidR="005A5FCC" w:rsidRDefault="00A21C81">
      <w:r>
        <w:rPr>
          <w:rFonts w:cs="EB Garamond"/>
          <w:kern w:val="16"/>
          <w14:ligatures w14:val="standardContextual"/>
        </w:rPr>
        <w:t xml:space="preserve"> prescrição previdenciária, ao contrário da decadência, admite causas de interrupção e suspensão previstas no Código Civil e no Código de Processo Civil. A correta identificação dessas causas pode ser determinante para o </w:t>
      </w:r>
      <w:r>
        <w:rPr>
          <w:rFonts w:cs="EB Garamond"/>
          <w:kern w:val="16"/>
          <w14:ligatures w14:val="standardContextual"/>
        </w:rPr>
        <w:lastRenderedPageBreak/>
        <w:t>resultado da ação nos JEFs, pois a interrupção ou suspensão do prazo pode significar a diferença entre a procedência parcial (com prescrição de parcelas) e a procedência integral.</w:t>
      </w:r>
    </w:p>
    <w:p w14:paraId="3724071C" w14:textId="77777777" w:rsidR="005A5FCC" w:rsidRDefault="00A21C81">
      <w:pPr>
        <w:spacing w:before="260" w:after="80" w:line="240" w:lineRule="auto"/>
        <w:jc w:val="left"/>
      </w:pPr>
      <w:r>
        <w:rPr>
          <w:rFonts w:cs="EB Garamond"/>
          <w:b/>
          <w:color w:val="3A3128"/>
          <w:kern w:val="16"/>
          <w:sz w:val="25"/>
          <w14:ligatures w14:val="standardContextual"/>
        </w:rPr>
        <w:t>21.12.1 Interrupção pelo requerimento administrativo</w:t>
      </w:r>
    </w:p>
    <w:p w14:paraId="7C318254"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1261C375" w14:textId="77777777" w:rsidR="005A5FCC" w:rsidRDefault="00A21C81">
      <w:r>
        <w:rPr>
          <w:rFonts w:cs="EB Garamond"/>
          <w:kern w:val="16"/>
          <w14:ligatures w14:val="standardContextual"/>
        </w:rPr>
        <w:t xml:space="preserve"> interrupção da prescrição pelo requerimento administrativo encontra fundamento no art. 4º do Decreto 20.910/1932 (que prevê a suspensão da prescrição durante a tramitação de pedidos na via administrativa) e na construção jurisprudencial do STJ que, por extensão interpretativa do art. 202, VI, do Código Civil, reconheceu eficácia interruptiva ao ato do segurado que protocola pedido perante o INSS. Embora o inciso VI do art. 202 se refira, em sentido estrito, ao ato do devedor que reconhece o direito do credor, a jurisprudência consolidou o entendimento de que o requerimento administrativo — ato do credor que constitui o devedor em mora — também opera como causa interruptiva da prescrição. O protocolo de requerimento de benefício ou de revisão junto ao INSS interrompe a prescrição quinquenal na data do protocolo.</w:t>
      </w:r>
    </w:p>
    <w:p w14:paraId="4B942B8E" w14:textId="77777777" w:rsidR="005A5FCC" w:rsidRDefault="00A21C81">
      <w:pPr>
        <w:ind w:firstLine="238"/>
      </w:pPr>
      <w:r>
        <w:rPr>
          <w:rFonts w:cs="EB Garamond"/>
          <w:kern w:val="16"/>
          <w14:ligatures w14:val="standardContextual"/>
        </w:rPr>
        <w:t>A interrupção tem consequência prática de grande relevância: o prazo prescricional, uma vez interrompido, recomeça do zero (art. 202, parágrafo único, do CC). Se o segurado protocolou requerimento administrativo de revisão em junho de 2022 e ajuizou ação em março de 2026, a prescrição não retroage cinco anos a partir de março de 2026 (que seria março de 2021), mas cinco anos a partir de junho de 2022 (que seria junho de 2017). A diferença pode representar quatro anos e nove meses adicionais de parcelas devidas.</w:t>
      </w:r>
    </w:p>
    <w:p w14:paraId="0E57CE71" w14:textId="77777777" w:rsidR="005A5FCC" w:rsidRDefault="00A21C81">
      <w:pPr>
        <w:ind w:firstLine="238"/>
      </w:pPr>
      <w:r>
        <w:rPr>
          <w:rFonts w:cs="EB Garamond"/>
          <w:kern w:val="16"/>
          <w14:ligatures w14:val="standardContextual"/>
        </w:rPr>
        <w:t>No foro, a verificação de requerimentos administrativos anteriores ao ajuizamento é providência obrigatória na análise da prescrição. A data do protocolo no sistema do INSS é o marco interruptivo, e o advogado diligente deve instruir a inicial com a comprovação do protocolo para obter o benefício da interrupção.</w:t>
      </w:r>
    </w:p>
    <w:p w14:paraId="59976F16" w14:textId="77777777" w:rsidR="005A5FCC" w:rsidRDefault="00A21C81">
      <w:pPr>
        <w:spacing w:before="260" w:after="80" w:line="240" w:lineRule="auto"/>
        <w:jc w:val="left"/>
      </w:pPr>
      <w:r>
        <w:rPr>
          <w:rFonts w:cs="EB Garamond"/>
          <w:b/>
          <w:color w:val="3A3128"/>
          <w:kern w:val="16"/>
          <w:sz w:val="25"/>
          <w14:ligatures w14:val="standardContextual"/>
        </w:rPr>
        <w:t>21.12.2 Interrupção pela citação válida</w:t>
      </w:r>
    </w:p>
    <w:p w14:paraId="218D7503"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4ACEBBA5" w14:textId="77777777" w:rsidR="005A5FCC" w:rsidRDefault="00A21C81">
      <w:r>
        <w:rPr>
          <w:rFonts w:cs="EB Garamond"/>
          <w:kern w:val="16"/>
          <w14:ligatures w14:val="standardContextual"/>
        </w:rPr>
        <w:t xml:space="preserve"> art. 240, § 1º, do CPC dispõe que a interrupção da prescrição pela citação válida retroage à data do ajuizamento da ação. Nos JEFs, a regra tem aplicação relevante porque o prazo entre o ajuizamento e a citação do INSS </w:t>
      </w:r>
      <w:r>
        <w:rPr>
          <w:rFonts w:cs="EB Garamond"/>
          <w:kern w:val="16"/>
          <w14:ligatures w14:val="standardContextual"/>
        </w:rPr>
        <w:lastRenderedPageBreak/>
        <w:t>pode ser longo, especialmente em varas com acervo elevado. A retroação à data do ajuizamento protege o segurado contra a demora do Judiciário em promover a citação.</w:t>
      </w:r>
    </w:p>
    <w:p w14:paraId="780194AF" w14:textId="77777777" w:rsidR="005A5FCC" w:rsidRDefault="00A21C81">
      <w:pPr>
        <w:ind w:firstLine="238"/>
      </w:pPr>
      <w:r>
        <w:rPr>
          <w:rFonts w:cs="EB Garamond"/>
          <w:kern w:val="16"/>
          <w14:ligatures w14:val="standardContextual"/>
        </w:rPr>
        <w:t>Na prática, o efeito retroativo da citação é particularmente relevante para a contagem do quinquênio prescricional. Se o segurado ajuizou a ação em janeiro de 2026, mas o INSS somente foi citado em agosto de 2026, a prescrição retroage a janeiro de 2026, e as parcelas devidas são contadas a partir de janeiro de 2021. Sem a retroação, o quinquênio retrocederia até agosto de 2021, e o segurado perderia sete meses de parcelas.</w:t>
      </w:r>
    </w:p>
    <w:p w14:paraId="6FB2056B" w14:textId="77777777" w:rsidR="005A5FCC" w:rsidRDefault="00A21C81">
      <w:pPr>
        <w:spacing w:before="260" w:after="80" w:line="240" w:lineRule="auto"/>
        <w:jc w:val="left"/>
      </w:pPr>
      <w:r>
        <w:rPr>
          <w:rFonts w:cs="EB Garamond"/>
          <w:b/>
          <w:color w:val="3A3128"/>
          <w:kern w:val="16"/>
          <w:sz w:val="25"/>
          <w14:ligatures w14:val="standardContextual"/>
        </w:rPr>
        <w:t>21.12.3 Suspensão pela pendência de recurso administrativo</w:t>
      </w:r>
    </w:p>
    <w:p w14:paraId="1B86BFD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E</w:t>
      </w:r>
    </w:p>
    <w:p w14:paraId="1B7AC9EA" w14:textId="77777777" w:rsidR="005A5FCC" w:rsidRDefault="00A21C81">
      <w:r>
        <w:rPr>
          <w:rFonts w:cs="EB Garamond"/>
          <w:kern w:val="16"/>
          <w14:ligatures w14:val="standardContextual"/>
        </w:rPr>
        <w:t>nquanto pendente recurso administrativo perante o Conselho de Recursos da Previdência Social (CRPS), a prescrição fica suspensa. O fundamento é que o segurado está exercendo legitimamente o direito de impugnar a decisão administrativa, e não pode ser penalizado pela demora do próprio órgão recursal em julgar o recurso. A suspensão perdura desde o protocolo do recurso até a ciência da decisão final pelo CRPS.</w:t>
      </w:r>
    </w:p>
    <w:p w14:paraId="50A0E6EE" w14:textId="77777777" w:rsidR="005A5FCC" w:rsidRDefault="00A21C81">
      <w:pPr>
        <w:ind w:firstLine="238"/>
      </w:pPr>
      <w:r>
        <w:rPr>
          <w:rFonts w:cs="EB Garamond"/>
          <w:kern w:val="16"/>
          <w14:ligatures w14:val="standardContextual"/>
        </w:rPr>
        <w:t>Essa causa de suspensão tem relevância crescente nos JEFs, considerando que os prazos de julgamento no CRPS podem se estender por anos. O segurado que protocola recurso administrativo em 2020 e somente recebe a decisão em 2024 tem todo esse período excluído da contagem prescricional. Se, após a decisão desfavorável do CRPS, ajuíza ação no JEF em 2025, o quinquênio prescricional retroage a 2020, excluído o período de tramitação recursal. A aplicação correta da suspensão exige documentação da data de protocolo e da data de ciência da decisão do CRPS.</w:t>
      </w:r>
    </w:p>
    <w:p w14:paraId="47C818E5" w14:textId="77777777" w:rsidR="005A5FCC" w:rsidRDefault="00A21C81">
      <w:pPr>
        <w:spacing w:before="260" w:after="80" w:line="240" w:lineRule="auto"/>
        <w:jc w:val="left"/>
      </w:pPr>
      <w:r>
        <w:rPr>
          <w:rFonts w:cs="EB Garamond"/>
          <w:b/>
          <w:color w:val="3A3128"/>
          <w:kern w:val="16"/>
          <w:sz w:val="25"/>
          <w14:ligatures w14:val="standardContextual"/>
        </w:rPr>
        <w:t>21.12.4 Suspensão pela incapacidade civil</w:t>
      </w:r>
    </w:p>
    <w:p w14:paraId="626FDA43"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78152AB5" w14:textId="77777777" w:rsidR="005A5FCC" w:rsidRDefault="00A21C81">
      <w:r>
        <w:rPr>
          <w:rFonts w:cs="EB Garamond"/>
          <w:kern w:val="16"/>
          <w14:ligatures w14:val="standardContextual"/>
        </w:rPr>
        <w:t xml:space="preserve"> art. 198, I, do Código Civil estabelece que não corre prescrição contra os absolutamente incapazes. Após a Lei 13.146/2015 (Estatuto da Pessoa com Deficiência), os absolutamente incapazes para fins civis são apenas os menores de 16 anos (art. 3º do CC). A prescrição fica suspensa durante todo o </w:t>
      </w:r>
      <w:r>
        <w:rPr>
          <w:rFonts w:cs="EB Garamond"/>
          <w:kern w:val="16"/>
          <w14:ligatures w14:val="standardContextual"/>
        </w:rPr>
        <w:lastRenderedPageBreak/>
        <w:t>período de incapacidade absoluta, retomando seu curso quando o titular do direito completa 16 anos ou quando é representado por curador judicialmente nomeado.</w:t>
      </w:r>
    </w:p>
    <w:p w14:paraId="5F1450F2" w14:textId="77777777" w:rsidR="005A5FCC" w:rsidRDefault="00A21C81">
      <w:pPr>
        <w:ind w:firstLine="238"/>
      </w:pPr>
      <w:r>
        <w:rPr>
          <w:rFonts w:cs="EB Garamond"/>
          <w:kern w:val="16"/>
          <w14:ligatures w14:val="standardContextual"/>
        </w:rPr>
        <w:t>A questão da incapacidade civil e seus reflexos sobre a prescrição previdenciária recebem tratamento aprofundado na seção 21.13, dedicada à prescrição e menores, incapazes e ausentes.</w:t>
      </w:r>
    </w:p>
    <w:p w14:paraId="29724309" w14:textId="77777777" w:rsidR="005A5FCC" w:rsidRDefault="00A21C81">
      <w:pPr>
        <w:spacing w:before="260" w:after="80" w:line="240" w:lineRule="auto"/>
        <w:jc w:val="left"/>
      </w:pPr>
      <w:r>
        <w:rPr>
          <w:rFonts w:cs="EB Garamond"/>
          <w:b/>
          <w:color w:val="3A3128"/>
          <w:kern w:val="16"/>
          <w:sz w:val="25"/>
          <w14:ligatures w14:val="standardContextual"/>
        </w:rPr>
        <w:t>21.12.5 COVID-19 e prazos materiais de prescrição e decadência</w:t>
      </w:r>
    </w:p>
    <w:p w14:paraId="1F82720F"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6A5E6F5B" w14:textId="77777777" w:rsidR="005A5FCC" w:rsidRDefault="00A21C81">
      <w:r>
        <w:rPr>
          <w:rFonts w:cs="EB Garamond"/>
          <w:kern w:val="16"/>
          <w14:ligatures w14:val="standardContextual"/>
        </w:rPr>
        <w:t xml:space="preserve"> pandemia de COVID-19 gerou intenso debate sobre a suspensão de prazos prescricionais e decadenciais. As normas emergenciais editadas durante a pandemia (Resolução CNJ 313/2020 e sucessivas) suspenderam prazos processuais, mas não se pronunciaram expressamente sobre prazos materiais como prescrição e decadência. A questão que se coloca é: a suspensão dos prazos processuais durante a pandemia estendeu-se aos prazos de prescrição e decadência previdenciária?</w:t>
      </w:r>
    </w:p>
    <w:p w14:paraId="43E2E1F5" w14:textId="77777777" w:rsidR="005A5FCC" w:rsidRDefault="00A21C81">
      <w:pPr>
        <w:ind w:firstLine="238"/>
      </w:pPr>
      <w:r>
        <w:rPr>
          <w:rFonts w:cs="EB Garamond"/>
          <w:kern w:val="16"/>
          <w14:ligatures w14:val="standardContextual"/>
        </w:rPr>
        <w:t>A posição que adotamos é negativa. Os prazos de prescrição e decadência são prazos materiais, regulados pelo Código Civil e pela legislação previdenciária, e não se confundem com os prazos processuais suspensos pelas normas emergenciais. A suspensão dos prazos processuais teve por objetivo permitir o funcionamento do Judiciário e a prática de atos processuais durante o período de restrições sanitárias. Os prazos de prescrição e decadência, por sua natureza material, continuaram fluindo normalmente durante a pandemia.</w:t>
      </w:r>
    </w:p>
    <w:p w14:paraId="72033D0E" w14:textId="77777777" w:rsidR="005A5FCC" w:rsidRDefault="00A21C81">
      <w:pPr>
        <w:ind w:firstLine="238"/>
      </w:pPr>
      <w:r>
        <w:rPr>
          <w:rFonts w:cs="EB Garamond"/>
          <w:kern w:val="16"/>
          <w14:ligatures w14:val="standardContextual"/>
        </w:rPr>
        <w:t>Essa posição encontra respaldo na jurisprudência que se consolidou após o período pandêmico. Os tribunais, de modo geral, rejeitaram a tese de suspensão dos prazos materiais, por entenderem que a pandemia não impediu o segurado de requerer benefícios ou revisões pela via eletrônica (sistema Meu INSS), que permaneceu em funcionamento durante todo o período. A existência de canal digital para o exercício do direito afastou o argumento de impossibilidade de acesso ao INSS. Reconhecemos, todavia, que a questão comporta nuances em situações extremas, como a do segurado residente em área rural sem acesso à internet, mas a regra geral permanece: os prazos materiais não foram suspensos.</w:t>
      </w:r>
    </w:p>
    <w:tbl>
      <w:tblPr>
        <w:tblW w:w="5000" w:type="pct"/>
        <w:jc w:val="center"/>
        <w:tblLayout w:type="fixed"/>
        <w:tblLook w:val="04A0" w:firstRow="1" w:lastRow="0" w:firstColumn="1" w:lastColumn="0" w:noHBand="0" w:noVBand="1"/>
      </w:tblPr>
      <w:tblGrid>
        <w:gridCol w:w="6311"/>
      </w:tblGrid>
      <w:tr w:rsidR="005A5FCC" w14:paraId="4B756130"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014A461D"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19707C1D" w14:textId="77777777" w:rsidR="005A5FCC" w:rsidRDefault="00A21C81">
            <w:pPr>
              <w:spacing w:after="60" w:line="247" w:lineRule="auto"/>
            </w:pPr>
            <w:r>
              <w:rPr>
                <w:rFonts w:cs="EB Garamond"/>
                <w:b/>
                <w:kern w:val="16"/>
                <w:sz w:val="19"/>
                <w14:ligatures w14:val="standardContextual"/>
              </w:rPr>
              <w:t>Roteiro de verificação de prescrição em ação previdenciária nos JEFs</w:t>
            </w:r>
          </w:p>
          <w:p w14:paraId="0B561325" w14:textId="77777777" w:rsidR="005A5FCC" w:rsidRDefault="00A21C81">
            <w:pPr>
              <w:spacing w:after="30" w:line="240" w:lineRule="auto"/>
              <w:ind w:left="227" w:hanging="142"/>
            </w:pPr>
            <w:r>
              <w:rPr>
                <w:rFonts w:cs="EB Garamond"/>
                <w:kern w:val="16"/>
                <w:sz w:val="19"/>
                <w14:ligatures w14:val="standardContextual"/>
              </w:rPr>
              <w:t>1. Identificar a natureza da pretensão: concessão originária, revisão ou restabelecimento.</w:t>
            </w:r>
          </w:p>
          <w:p w14:paraId="002930AC" w14:textId="77777777" w:rsidR="005A5FCC" w:rsidRDefault="00A21C81">
            <w:pPr>
              <w:spacing w:after="30" w:line="240" w:lineRule="auto"/>
              <w:ind w:left="227" w:hanging="142"/>
            </w:pPr>
            <w:r>
              <w:rPr>
                <w:rFonts w:cs="EB Garamond"/>
                <w:kern w:val="16"/>
                <w:sz w:val="19"/>
                <w14:ligatures w14:val="standardContextual"/>
              </w:rPr>
              <w:t>2. Se concessão: verificar data do indeferimento e ciência do segurado. Aplicar Súmula 85/STJ (fundo de direito preservado; prescrição apenas das parcelas anteriores ao quinquênio).</w:t>
            </w:r>
          </w:p>
          <w:p w14:paraId="473CF77C" w14:textId="77777777" w:rsidR="005A5FCC" w:rsidRDefault="00A21C81">
            <w:pPr>
              <w:spacing w:after="30" w:line="240" w:lineRule="auto"/>
              <w:ind w:left="227" w:hanging="142"/>
            </w:pPr>
            <w:r>
              <w:rPr>
                <w:rFonts w:cs="EB Garamond"/>
                <w:kern w:val="16"/>
                <w:sz w:val="19"/>
                <w14:ligatures w14:val="standardContextual"/>
              </w:rPr>
              <w:t>3. Se revisão: verificar primeiro se a decadência atingiu o direito de revisar (art. 103, caput). Se decaiu, a análise da prescrição das parcelas é desnecessária. Se não decaiu, aplicar prescrição quinquenal sobre as diferenças.</w:t>
            </w:r>
          </w:p>
          <w:p w14:paraId="08EF2CB3" w14:textId="77777777" w:rsidR="005A5FCC" w:rsidRDefault="00A21C81">
            <w:pPr>
              <w:spacing w:after="30" w:line="240" w:lineRule="auto"/>
              <w:ind w:left="227" w:hanging="142"/>
            </w:pPr>
            <w:r>
              <w:rPr>
                <w:rFonts w:cs="EB Garamond"/>
                <w:kern w:val="16"/>
                <w:sz w:val="19"/>
                <w14:ligatures w14:val="standardContextual"/>
              </w:rPr>
              <w:t>4. Verificar existência de requerimento administrativo que tenha interrompido a prescrição (art. 202, VI, CC; art. 4º do Decreto 20.910/32). Identificar a data do protocolo: o quinquênio recomeça dessa data.</w:t>
            </w:r>
          </w:p>
          <w:p w14:paraId="5A9294A2" w14:textId="77777777" w:rsidR="005A5FCC" w:rsidRDefault="00A21C81">
            <w:pPr>
              <w:spacing w:after="30" w:line="240" w:lineRule="auto"/>
              <w:ind w:left="227" w:hanging="142"/>
            </w:pPr>
            <w:r>
              <w:rPr>
                <w:rFonts w:cs="EB Garamond"/>
                <w:kern w:val="16"/>
                <w:sz w:val="19"/>
                <w14:ligatures w14:val="standardContextual"/>
              </w:rPr>
              <w:t>5. Verificar pendência de recurso administrativo (CRPS): suspende a prescrição durante a tramitação.</w:t>
            </w:r>
          </w:p>
          <w:p w14:paraId="445D013D" w14:textId="77777777" w:rsidR="005A5FCC" w:rsidRDefault="00A21C81">
            <w:pPr>
              <w:spacing w:after="30" w:line="240" w:lineRule="auto"/>
              <w:ind w:left="227" w:hanging="142"/>
            </w:pPr>
            <w:r>
              <w:rPr>
                <w:rFonts w:cs="EB Garamond"/>
                <w:kern w:val="16"/>
                <w:sz w:val="19"/>
                <w14:ligatures w14:val="standardContextual"/>
              </w:rPr>
              <w:t>6. Verificar menoridade (menor de 16 anos) ou incapacidade absoluta do beneficiário: suspende a prescrição (art. 198, I, CC).</w:t>
            </w:r>
          </w:p>
          <w:p w14:paraId="3F055AB3" w14:textId="77777777" w:rsidR="005A5FCC" w:rsidRDefault="00A21C81">
            <w:pPr>
              <w:spacing w:after="30" w:line="240" w:lineRule="auto"/>
              <w:ind w:left="227" w:hanging="142"/>
            </w:pPr>
            <w:r>
              <w:rPr>
                <w:rFonts w:cs="EB Garamond"/>
                <w:kern w:val="16"/>
                <w:sz w:val="19"/>
                <w14:ligatures w14:val="standardContextual"/>
              </w:rPr>
              <w:t>7. Calcular o quinquênio: parcelas anteriores a cinco anos do ajuizamento (ou do requerimento administrativo, se houve interrupção) estão prescritas.</w:t>
            </w:r>
          </w:p>
        </w:tc>
      </w:tr>
    </w:tbl>
    <w:p w14:paraId="711E584F" w14:textId="77777777" w:rsidR="005A5FCC" w:rsidRDefault="005A5FCC">
      <w:pPr>
        <w:spacing w:after="80" w:line="240" w:lineRule="auto"/>
      </w:pPr>
    </w:p>
    <w:p w14:paraId="342EC1CA"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21.13 Prescrição e menores, incapazes e ausentes</w:t>
      </w:r>
    </w:p>
    <w:p w14:paraId="00CD3C3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5C8C2861" w14:textId="77777777" w:rsidR="005A5FCC" w:rsidRDefault="00A21C81">
      <w:r>
        <w:rPr>
          <w:rFonts w:cs="EB Garamond"/>
          <w:kern w:val="16"/>
          <w14:ligatures w14:val="standardContextual"/>
        </w:rPr>
        <w:t xml:space="preserve"> art. 103, parágrafo único, da Lei 8.213/91 ressalva expressamente "o direito dos menores, incapazes e ausentes, na forma do Código Civil". A ressalva remete ao regime das causas impeditivas da prescrição previstas nos arts. 197 e 198 do Código Civil, com especial atenção ao art. 198, I, que estabelece que a prescrição não corre contra os absolutamente incapazes.</w:t>
      </w:r>
    </w:p>
    <w:p w14:paraId="07F5EAA2" w14:textId="77777777" w:rsidR="005A5FCC" w:rsidRDefault="00A21C81">
      <w:pPr>
        <w:spacing w:before="260" w:after="80" w:line="240" w:lineRule="auto"/>
        <w:jc w:val="left"/>
      </w:pPr>
      <w:r>
        <w:rPr>
          <w:rFonts w:cs="EB Garamond"/>
          <w:b/>
          <w:color w:val="3A3128"/>
          <w:kern w:val="16"/>
          <w:sz w:val="25"/>
          <w14:ligatures w14:val="standardContextual"/>
        </w:rPr>
        <w:t>21.13.1 Absolutamente incapazes: art. 3º do CC após a lei 13.146/2015</w:t>
      </w:r>
    </w:p>
    <w:p w14:paraId="0036FC2F"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58753472" w14:textId="77777777" w:rsidR="005A5FCC" w:rsidRDefault="00A21C81">
      <w:r>
        <w:rPr>
          <w:rFonts w:cs="EB Garamond"/>
          <w:kern w:val="16"/>
          <w14:ligatures w14:val="standardContextual"/>
        </w:rPr>
        <w:t xml:space="preserve">té a entrada em vigor da Lei 13.146/2015 (Estatuto da Pessoa com Deficiência), em 2 de janeiro de 2016 (180 dias após a publicação, conforme art. 127 da lei), o art. 3º do Código Civil considerava absolutamente incapazes, </w:t>
      </w:r>
      <w:r>
        <w:rPr>
          <w:rFonts w:cs="EB Garamond"/>
          <w:kern w:val="16"/>
          <w14:ligatures w14:val="standardContextual"/>
        </w:rPr>
        <w:lastRenderedPageBreak/>
        <w:t>além dos menores de 16 anos, os que por enfermidade ou deficiência mental não tivessem o necessário discernimento para a prática dos atos da vida civil, e os que, mesmo por causa transitória, não pudessem exprimir sua vontade. A prescrição não corria contra nenhuma dessas pessoas.</w:t>
      </w:r>
    </w:p>
    <w:p w14:paraId="2369DB0D" w14:textId="77777777" w:rsidR="005A5FCC" w:rsidRDefault="00A21C81">
      <w:pPr>
        <w:ind w:firstLine="238"/>
      </w:pPr>
      <w:r>
        <w:rPr>
          <w:rFonts w:cs="EB Garamond"/>
          <w:kern w:val="16"/>
          <w14:ligatures w14:val="standardContextual"/>
        </w:rPr>
        <w:t>A Lei 13.146/2015 alterou substancialmente o art. 3º do Código Civil, reduzindo a categoria de absolutamente incapazes exclusivamente aos menores de 16 anos. A regra geral do Estatuto da Pessoa com Deficiência é que a pessoa com deficiência é plenamente capaz para todos os atos da vida civil (art. 6º da Lei 13.146/2015). A incapacidade relativa, nos termos do art. 4º, III, do Código Civil (na redação dada pela Lei 13.146/2015), restringe-se àqueles que, por causa transitória ou permanente, não puderem exprimir sua vontade — critério fático que independe da existência de deficiência e que exige verificação concreta, caso a caso. A alteração teve motivação humanitária: o Estatuto buscou promover a autonomia e a inclusão das pessoas com deficiência, reconhecendo-lhes plena capacidade civil como regra e afastando a automática associação entre deficiência e incapacidade.</w:t>
      </w:r>
    </w:p>
    <w:p w14:paraId="2F053739" w14:textId="77777777" w:rsidR="005A5FCC" w:rsidRDefault="00A21C81">
      <w:pPr>
        <w:spacing w:before="260" w:after="80" w:line="240" w:lineRule="auto"/>
        <w:jc w:val="left"/>
      </w:pPr>
      <w:r>
        <w:rPr>
          <w:rFonts w:cs="EB Garamond"/>
          <w:b/>
          <w:color w:val="3A3128"/>
          <w:kern w:val="16"/>
          <w:sz w:val="25"/>
          <w14:ligatures w14:val="standardContextual"/>
        </w:rPr>
        <w:t>21.13.2 Impacto na proteção prescricional de beneficiários vulneráveis</w:t>
      </w:r>
    </w:p>
    <w:p w14:paraId="762453B4"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6AAC23F6" w14:textId="77777777" w:rsidR="005A5FCC" w:rsidRDefault="00A21C81">
      <w:r>
        <w:rPr>
          <w:rFonts w:cs="EB Garamond"/>
          <w:kern w:val="16"/>
          <w14:ligatures w14:val="standardContextual"/>
        </w:rPr>
        <w:t xml:space="preserve"> consequência não antecipada pelo legislador foi a redução da proteção prescricional de beneficiários previdenciários com deficiência intelectual ou mental. Antes da Lei 13.146/2015, a prescrição não corria contra pessoa com deficiência mental grave que fosse beneficiária de pensão por morte ou titular de benefício previdenciário, pois era classificada como absolutamente incapaz. Após o Estatuto, essa pessoa é presumida plenamente capaz, e a prescrição corre contra si normalmente. Somente se enquadra como relativamente incapaz (art. 4º, III, do CC) a pessoa que, por causa transitória ou permanente, não possa exprimir sua vontade, hipótese que exige decisão judicial específica.</w:t>
      </w:r>
    </w:p>
    <w:p w14:paraId="68EC9312" w14:textId="77777777" w:rsidR="005A5FCC" w:rsidRDefault="00A21C81">
      <w:pPr>
        <w:ind w:firstLine="238"/>
      </w:pPr>
      <w:r>
        <w:rPr>
          <w:rFonts w:cs="EB Garamond"/>
          <w:kern w:val="16"/>
          <w14:ligatures w14:val="standardContextual"/>
        </w:rPr>
        <w:t xml:space="preserve">Na prática dos JEFs, o impacto recai especialmente sobre duas situações. A primeira envolve dependentes com deficiência intelectual que são beneficiários de pensão por morte. Antes do Estatuto, a prescrição do direito de cobrar parcelas atrasadas ficava suspensa indefinidamente. Após o Estatuto, a prescrição corre </w:t>
      </w:r>
      <w:r>
        <w:rPr>
          <w:rFonts w:cs="EB Garamond"/>
          <w:kern w:val="16"/>
          <w14:ligatures w14:val="standardContextual"/>
        </w:rPr>
        <w:lastRenderedPageBreak/>
        <w:t>normalmente, e o dependente pode perder parcelas por decurso de prazo sem sequer ter tido consciência de seu direito. A segunda situação envolve titulares de BPC (benefício de prestação continuada) que poderiam ter direito a benefício previdenciário mais vantajoso: a prescrição corre contra eles sem qualquer proteção especial, a menos que sejam menores de 16 anos.</w:t>
      </w:r>
    </w:p>
    <w:p w14:paraId="56D2F94C" w14:textId="77777777" w:rsidR="005A5FCC" w:rsidRDefault="00A21C81">
      <w:pPr>
        <w:ind w:firstLine="238"/>
      </w:pPr>
      <w:r>
        <w:rPr>
          <w:rFonts w:cs="EB Garamond"/>
          <w:kern w:val="16"/>
          <w14:ligatures w14:val="standardContextual"/>
        </w:rPr>
        <w:t>Reconhecemos que a alteração do Estatuto da Pessoa com Deficiência gerou efeito colateral danoso na proteção prescricional de beneficiários vulneráveis. A intenção do legislador era promover a autonomia, mas o resultado prático, no campo previdenciário, foi retirar proteção prescricional de pessoas que, por sua condição de saúde, podem não ter condições reais de exercer ou acompanhar seus direitos dentro dos prazos legais.</w:t>
      </w:r>
    </w:p>
    <w:p w14:paraId="76B2B7B1" w14:textId="77777777" w:rsidR="005A5FCC" w:rsidRDefault="00A21C81">
      <w:pPr>
        <w:spacing w:before="260" w:after="80" w:line="240" w:lineRule="auto"/>
        <w:jc w:val="left"/>
      </w:pPr>
      <w:r>
        <w:rPr>
          <w:rFonts w:cs="EB Garamond"/>
          <w:b/>
          <w:color w:val="3A3128"/>
          <w:kern w:val="16"/>
          <w:sz w:val="25"/>
          <w14:ligatures w14:val="standardContextual"/>
        </w:rPr>
        <w:t>21.13.3 Curatela como exceção</w:t>
      </w:r>
    </w:p>
    <w:p w14:paraId="413DEE6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7FEF8482" w14:textId="77777777" w:rsidR="005A5FCC" w:rsidRDefault="00A21C81">
      <w:r>
        <w:rPr>
          <w:rFonts w:cs="EB Garamond"/>
          <w:kern w:val="16"/>
          <w14:ligatures w14:val="standardContextual"/>
        </w:rPr>
        <w:t xml:space="preserve"> curatela judicial permanece como instrumento de proteção. Quando o juiz declara, em processo de interdição ou de curatela (arts. 747 a 758 do CPC), que determinada pessoa não tem condições de exercer pessoalmente os atos da vida civil relativos a direitos patrimoniais, o curatelado pode ser equiparado a absolutamente incapaz para fins de suspensão da prescrição. A proteção, contudo, depende de decisão judicial específica e não opera automaticamente em razão da deficiência.</w:t>
      </w:r>
    </w:p>
    <w:p w14:paraId="22BB7E0B" w14:textId="77777777" w:rsidR="005A5FCC" w:rsidRDefault="00A21C81">
      <w:pPr>
        <w:ind w:firstLine="238"/>
      </w:pPr>
      <w:r>
        <w:rPr>
          <w:rFonts w:cs="EB Garamond"/>
          <w:kern w:val="16"/>
          <w14:ligatures w14:val="standardContextual"/>
        </w:rPr>
        <w:t>Na prática dos JEFs, o magistrado deve estar atento à situação pessoal do autor. Quando a parte autora é pessoa com deficiência intelectual significativa, sem curatela instituída, e a ação envolve parcelas prescritas, cabe ao juiz verificar se a ausência de curatela decorreu de desconhecimento do representante legal ou de negligência, e ponderar a aplicação da prescrição à luz da boa-fé objetiva e da proteção social.</w:t>
      </w:r>
    </w:p>
    <w:p w14:paraId="0DDF2791" w14:textId="77777777" w:rsidR="005A5FCC" w:rsidRDefault="00A21C81">
      <w:pPr>
        <w:spacing w:before="260" w:after="80" w:line="240" w:lineRule="auto"/>
        <w:jc w:val="left"/>
      </w:pPr>
      <w:r>
        <w:rPr>
          <w:rFonts w:cs="EB Garamond"/>
          <w:b/>
          <w:color w:val="3A3128"/>
          <w:kern w:val="16"/>
          <w:sz w:val="25"/>
          <w14:ligatures w14:val="standardContextual"/>
        </w:rPr>
        <w:t>21.13.4 Menores de 16 anos: proteção integral</w:t>
      </w:r>
    </w:p>
    <w:p w14:paraId="44FDA8A9"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P</w:t>
      </w:r>
    </w:p>
    <w:p w14:paraId="523C4412" w14:textId="77777777" w:rsidR="005A5FCC" w:rsidRDefault="00A21C81">
      <w:r>
        <w:rPr>
          <w:rFonts w:cs="EB Garamond"/>
          <w:kern w:val="16"/>
          <w14:ligatures w14:val="standardContextual"/>
        </w:rPr>
        <w:t xml:space="preserve">ara os menores de 16 anos, a proteção prescricional permanece integral após o Estatuto da Pessoa com Deficiência. A prescrição simplesmente não corre contra o menor absolutamente incapaz. O prazo somente se inicia quando </w:t>
      </w:r>
      <w:r>
        <w:rPr>
          <w:rFonts w:cs="EB Garamond"/>
          <w:kern w:val="16"/>
          <w14:ligatures w14:val="standardContextual"/>
        </w:rPr>
        <w:lastRenderedPageBreak/>
        <w:t>o menor completa 16 anos, passando à condição de relativamente incapaz. A partir dos 16 anos, a prescrição corre normalmente, com prazo integral de cinco anos.</w:t>
      </w:r>
    </w:p>
    <w:p w14:paraId="6D0C36DC" w14:textId="77777777" w:rsidR="005A5FCC" w:rsidRDefault="00A21C81">
      <w:pPr>
        <w:ind w:firstLine="238"/>
      </w:pPr>
      <w:r>
        <w:rPr>
          <w:rFonts w:cs="EB Garamond"/>
          <w:kern w:val="16"/>
          <w14:ligatures w14:val="standardContextual"/>
        </w:rPr>
        <w:t>Essa regra tem incidência frequente em ações de pensão por morte nos JEFs. O filho menor de 16 anos que perde o genitor segurado não sofre prescrição de parcelas durante a menoridade. Se a pensão foi requerida tardiamente, todas as parcelas desde o óbito são devidas, sem qualquer limitação prescricional, até que o menor complete 16 anos. A partir dos 16 anos, inicia-se a contagem do quinquênio. Para análise detalhada da pensão por morte e seus aspectos relacionados a menores e incapazes, remetemos ao Capítulo 19. Para a interface com o BPC, remetemos ao Capítulo 18.</w:t>
      </w:r>
    </w:p>
    <w:p w14:paraId="08A18B57"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21.14 Tema 1057/STJ: legitimidade de herdeiros e prescrição</w:t>
      </w:r>
    </w:p>
    <w:p w14:paraId="386B2DFF"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02D05B9E" w14:textId="77777777" w:rsidR="005A5FCC" w:rsidRDefault="00A21C81">
      <w:r>
        <w:rPr>
          <w:rFonts w:cs="EB Garamond"/>
          <w:kern w:val="16"/>
          <w14:ligatures w14:val="standardContextual"/>
        </w:rPr>
        <w:t xml:space="preserve"> Tema 1057 do STJ (REsp 1.856.967/PR, REsp 1.856.968 e REsp 1.856.969, 1ª Seção, Rel. Min.ª Regina Helena Costa, j. 23/06/2021) fixou tese de grande repercussão prática nos JEFs, ao reconhecer a legitimidade de pensionistas e herdeiros para pleitear a revisão da aposentadoria do segurado falecido (instituidor da pensão por morte).</w:t>
      </w:r>
    </w:p>
    <w:p w14:paraId="0E5776EC" w14:textId="77777777" w:rsidR="005A5FCC" w:rsidRDefault="00A21C81">
      <w:pPr>
        <w:spacing w:before="260" w:after="80" w:line="240" w:lineRule="auto"/>
        <w:jc w:val="left"/>
      </w:pPr>
      <w:r>
        <w:rPr>
          <w:rFonts w:cs="EB Garamond"/>
          <w:b/>
          <w:color w:val="3A3128"/>
          <w:kern w:val="16"/>
          <w:sz w:val="25"/>
          <w14:ligatures w14:val="standardContextual"/>
        </w:rPr>
        <w:t>21.14.1 A tese fixada</w:t>
      </w:r>
    </w:p>
    <w:p w14:paraId="4C79E9E4"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7C0EBC79" w14:textId="77777777" w:rsidR="005A5FCC" w:rsidRDefault="00A21C81">
      <w:r>
        <w:rPr>
          <w:rFonts w:cs="EB Garamond"/>
          <w:kern w:val="16"/>
          <w14:ligatures w14:val="standardContextual"/>
        </w:rPr>
        <w:t xml:space="preserve"> Tema 1057 estabeleceu que os pensionistas do segurado falecido têm legitimidade ativa para postular a revisão da aposentadoria do instituidor, caso a revisão repercuta no valor da pensão por morte que recebem. Na ausência de pensionistas, os herdeiros do segurado falecido também detêm legitimidade para pleitear as diferenças decorrentes da revisão, como crédito integrante do espólio.</w:t>
      </w:r>
    </w:p>
    <w:p w14:paraId="5C615655" w14:textId="77777777" w:rsidR="005A5FCC" w:rsidRDefault="00A21C81">
      <w:pPr>
        <w:ind w:firstLine="238"/>
      </w:pPr>
      <w:r>
        <w:rPr>
          <w:rFonts w:cs="EB Garamond"/>
          <w:kern w:val="16"/>
          <w14:ligatures w14:val="standardContextual"/>
        </w:rPr>
        <w:t xml:space="preserve">A tese resolve questão que gerava controvérsia nos JEFs. Antes da fixação do Tema, muitos juízos federais extinguiam as ações revisionais ajuizadas por pensionistas ou herdeiros por ilegitimidade ativa, sob o argumento de que o direito de revisar o ato de concessão era personalíssimo do segurado. O STJ afastou essa </w:t>
      </w:r>
      <w:r>
        <w:rPr>
          <w:rFonts w:cs="EB Garamond"/>
          <w:kern w:val="16"/>
          <w14:ligatures w14:val="standardContextual"/>
        </w:rPr>
        <w:lastRenderedPageBreak/>
        <w:t>compreensão: o direito de revisão, enquanto não atingido pela decadência, é transmissível aos pensionistas e, na falta destes, aos herdeiros.</w:t>
      </w:r>
    </w:p>
    <w:p w14:paraId="1D39D5C5" w14:textId="77777777" w:rsidR="005A5FCC" w:rsidRDefault="00A21C81">
      <w:pPr>
        <w:spacing w:before="260" w:after="80" w:line="240" w:lineRule="auto"/>
        <w:jc w:val="left"/>
      </w:pPr>
      <w:r>
        <w:rPr>
          <w:rFonts w:cs="EB Garamond"/>
          <w:b/>
          <w:color w:val="3A3128"/>
          <w:kern w:val="16"/>
          <w:sz w:val="25"/>
          <w14:ligatures w14:val="standardContextual"/>
        </w:rPr>
        <w:t>21.14.2 Interface entre prescrição e decadência na transmissão do direito revisional</w:t>
      </w:r>
    </w:p>
    <w:p w14:paraId="4ECAA6B4"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4F6A33D0" w14:textId="77777777" w:rsidR="005A5FCC" w:rsidRDefault="00A21C81">
      <w:r>
        <w:rPr>
          <w:rFonts w:cs="EB Garamond"/>
          <w:kern w:val="16"/>
          <w14:ligatures w14:val="standardContextual"/>
        </w:rPr>
        <w:t xml:space="preserve"> transmissão do direito de revisão aos pensionistas e herdeiros não amplia os prazos que corriam contra o instituidor em vida. O prazo decadencial do art. 103 continua sendo contado do primeiro dia do mês seguinte ao primeiro pagamento da aposentadoria do instituidor. Se o segurado faleceu antes do escoamento do prazo decadencial, o saldo remanescente de prazo é transmitido aos pensionistas e herdeiros.</w:t>
      </w:r>
    </w:p>
    <w:p w14:paraId="38528609" w14:textId="77777777" w:rsidR="005A5FCC" w:rsidRDefault="00A21C81">
      <w:pPr>
        <w:ind w:firstLine="238"/>
      </w:pPr>
      <w:r>
        <w:rPr>
          <w:rFonts w:cs="EB Garamond"/>
          <w:kern w:val="16"/>
          <w14:ligatures w14:val="standardContextual"/>
        </w:rPr>
        <w:t>Um exemplo esclarece a mecânica. Segurado que se aposentou em janeiro de 2015 (primeiro pagamento em fevereiro de 2015) tem prazo decadencial que se inicia em 1º de março de 2015 e se encerra em 1º de março de 2025. Se o segurado falece em dezembro de 2020, tendo transcorrido cinco anos e nove meses do prazo, os pensionistas herdam o saldo de quatro anos e três meses para exercer o direito de revisão. Se a pensionista ajuíza ação revisional em julho de 2024, ainda está dentro do prazo decadencial. Se ajuíza em junho de 2025, o direito já terá decaído.</w:t>
      </w:r>
    </w:p>
    <w:p w14:paraId="50ECC815" w14:textId="77777777" w:rsidR="005A5FCC" w:rsidRDefault="00A21C81">
      <w:pPr>
        <w:ind w:firstLine="238"/>
      </w:pPr>
      <w:r>
        <w:rPr>
          <w:rFonts w:cs="EB Garamond"/>
          <w:kern w:val="16"/>
          <w14:ligatures w14:val="standardContextual"/>
        </w:rPr>
        <w:t>A prescrição das parcelas segue a regra geral: são devidas as diferenças dos últimos cinco anos anteriores ao ajuizamento da ação revisional pela pensionista ou pelo herdeiro. As diferenças anteriores ao quinquênio estão prescritas, mesmo que a aposentadoria do instituidor tenha sido concedida décadas antes.</w:t>
      </w:r>
    </w:p>
    <w:p w14:paraId="26C4AC0A" w14:textId="77777777" w:rsidR="005A5FCC" w:rsidRDefault="00A21C81">
      <w:pPr>
        <w:spacing w:before="260" w:after="80" w:line="240" w:lineRule="auto"/>
        <w:jc w:val="left"/>
      </w:pPr>
      <w:r>
        <w:rPr>
          <w:rFonts w:cs="EB Garamond"/>
          <w:b/>
          <w:color w:val="3A3128"/>
          <w:kern w:val="16"/>
          <w:sz w:val="25"/>
          <w14:ligatures w14:val="standardContextual"/>
        </w:rPr>
        <w:t>21.14.3 Distinção entre pensionistas e herdeiros</w:t>
      </w:r>
    </w:p>
    <w:p w14:paraId="6208D06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072EDD6D" w14:textId="77777777" w:rsidR="005A5FCC" w:rsidRDefault="00A21C81">
      <w:r>
        <w:rPr>
          <w:rFonts w:cs="EB Garamond"/>
          <w:kern w:val="16"/>
          <w14:ligatures w14:val="standardContextual"/>
        </w:rPr>
        <w:t xml:space="preserve"> legitimidade dos pensionistas e a dos herdeiros, embora reconhecidas pelo mesmo tema, operam em bases distintas. O pensionista tem interesse próprio na revisão, pois o valor da pensão por morte é calculado sobre o valor da aposentadoria do instituidor (ou sobre o valor a que ele teria direito se fosse aposentado por incapacidade permanente na data do óbito). A revisão da aposentadoria do instituidor repercute diretamente no valor da pensão, o que confere ao pensionista interesse processual direto.</w:t>
      </w:r>
    </w:p>
    <w:p w14:paraId="2BF15D50" w14:textId="77777777" w:rsidR="005A5FCC" w:rsidRDefault="00A21C81">
      <w:pPr>
        <w:ind w:firstLine="238"/>
      </w:pPr>
      <w:r>
        <w:rPr>
          <w:rFonts w:cs="EB Garamond"/>
          <w:kern w:val="16"/>
          <w14:ligatures w14:val="standardContextual"/>
        </w:rPr>
        <w:lastRenderedPageBreak/>
        <w:t>O herdeiro, diferentemente, não é beneficiário de pensão por morte. Seu interesse reside nas diferenças devidas ao segurado em vida e não recebidas, que integram o espólio. O herdeiro pode cobrar as diferenças entre o valor que deveria ter sido pago ao segurado e o valor efetivamente pago, limitadas ao quinquênio prescricional anterior ao ajuizamento da ação.</w:t>
      </w:r>
    </w:p>
    <w:p w14:paraId="6595A12C" w14:textId="77777777" w:rsidR="005A5FCC" w:rsidRDefault="00A21C81">
      <w:pPr>
        <w:ind w:firstLine="238"/>
      </w:pPr>
      <w:r>
        <w:rPr>
          <w:rFonts w:cs="EB Garamond"/>
          <w:kern w:val="16"/>
          <w14:ligatures w14:val="standardContextual"/>
        </w:rPr>
        <w:t>No cotidiano forense, a atuação do pensionista é mais frequente que a do herdeiro, pois o pensionista busca não apenas as diferenças pretéritas, mas o aumento prospectivo no valor da pensão. O herdeiro, em regra, busca apenas os valores retroativos não recebidos pelo segurado em vida.</w:t>
      </w:r>
    </w:p>
    <w:p w14:paraId="38551064" w14:textId="77777777" w:rsidR="005A5FCC" w:rsidRDefault="00A21C81">
      <w:pPr>
        <w:spacing w:before="260" w:after="80" w:line="240" w:lineRule="auto"/>
        <w:jc w:val="left"/>
      </w:pPr>
      <w:r>
        <w:rPr>
          <w:rFonts w:cs="EB Garamond"/>
          <w:b/>
          <w:color w:val="3A3128"/>
          <w:kern w:val="16"/>
          <w:sz w:val="25"/>
          <w14:ligatures w14:val="standardContextual"/>
        </w:rPr>
        <w:t>21.14.4 Exemplo prático detalhado</w:t>
      </w:r>
    </w:p>
    <w:p w14:paraId="3262AC63"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F</w:t>
      </w:r>
    </w:p>
    <w:p w14:paraId="0E7C2690" w14:textId="77777777" w:rsidR="005A5FCC" w:rsidRDefault="00A21C81">
      <w:r>
        <w:rPr>
          <w:rFonts w:cs="EB Garamond"/>
          <w:kern w:val="16"/>
          <w14:ligatures w14:val="standardContextual"/>
        </w:rPr>
        <w:t>rancisco aposentou-se por tempo de contribuição em abril de 2013, com primeiro pagamento em maio de 2013. O prazo decadencial iniciou-se em 1º de junho de 2013 e se encerraria em 1º de junho de 2023. Francisco faleceu em agosto de 2021, deixando a esposa Marta como pensionista. Marta recebe pensão por morte desde setembro de 2021.</w:t>
      </w:r>
    </w:p>
    <w:p w14:paraId="4BE0188F" w14:textId="77777777" w:rsidR="005A5FCC" w:rsidRDefault="00A21C81">
      <w:pPr>
        <w:ind w:firstLine="238"/>
      </w:pPr>
      <w:r>
        <w:rPr>
          <w:rFonts w:cs="EB Garamond"/>
          <w:kern w:val="16"/>
          <w14:ligatures w14:val="standardContextual"/>
        </w:rPr>
        <w:t>Em fevereiro de 2023, Marta, aconselhada por advogado, ajuíza ação revisional da aposentadoria de Francisco nos JEFs, alegando que o INSS não computou corretamente os salários de contribuição do período de 2005 a 2010. A análise procede da seguinte forma: (i) a decadência não se consumou, pois a ação foi ajuizada antes de 1º de junho de 2023; (ii) as diferenças devidas à revisão estão sujeitas à prescrição quinquenal: são exigíveis as parcelas a partir de fevereiro de 2018 (cinco anos antes do ajuizamento); (iii) a revisão, se procedente, terá efeito sobre o valor da pensão por morte de Marta, que passará a receber o benefício calculado sobre a RMI corrigida da aposentadoria de Francisco.</w:t>
      </w:r>
    </w:p>
    <w:p w14:paraId="6F1B1344" w14:textId="77777777" w:rsidR="005A5FCC" w:rsidRDefault="00A21C81">
      <w:pPr>
        <w:ind w:firstLine="238"/>
      </w:pPr>
      <w:r>
        <w:rPr>
          <w:rFonts w:cs="EB Garamond"/>
          <w:kern w:val="16"/>
          <w14:ligatures w14:val="standardContextual"/>
        </w:rPr>
        <w:t>Para análise complementar da legitimidade de herdeiros e pensionistas no contexto da pensão por morte, remetemos ao Capítulo 19 (seções 19.7 a 19.9, que tratam do rol de dependentes e sua classificação por classes).</w:t>
      </w:r>
    </w:p>
    <w:p w14:paraId="7CBF186D"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21.15 Coisa julgada material nos JEFs: particularidades</w:t>
      </w:r>
    </w:p>
    <w:p w14:paraId="4A191033"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3E8F3F15" w14:textId="77777777" w:rsidR="005A5FCC" w:rsidRDefault="00A21C81">
      <w:r>
        <w:rPr>
          <w:rFonts w:cs="EB Garamond"/>
          <w:kern w:val="16"/>
          <w14:ligatures w14:val="standardContextual"/>
        </w:rPr>
        <w:t xml:space="preserve"> terceira parte deste capítulo examina a coisa julgada previdenciária e suas particularidades no âmbito dos Juizados Especiais Federais. Se a decadência e a prescrição são limites temporais impostos pelo legislador, a coisa julgada é limite imposto pela decisão judicial transitada em julgado. Os três institutos compartilham a mesma função estabilizadora, mas operam em planos distintos: a decadência e a prescrição precedem o processo judicial; a coisa julgada sucede a ele.</w:t>
      </w:r>
    </w:p>
    <w:p w14:paraId="1873D835" w14:textId="77777777" w:rsidR="005A5FCC" w:rsidRDefault="00A21C81">
      <w:pPr>
        <w:spacing w:before="260" w:after="80" w:line="240" w:lineRule="auto"/>
        <w:jc w:val="left"/>
      </w:pPr>
      <w:r>
        <w:rPr>
          <w:rFonts w:cs="EB Garamond"/>
          <w:b/>
          <w:color w:val="3A3128"/>
          <w:kern w:val="16"/>
          <w:sz w:val="25"/>
          <w14:ligatures w14:val="standardContextual"/>
        </w:rPr>
        <w:t>21.15.1 Conceito geral</w:t>
      </w:r>
    </w:p>
    <w:p w14:paraId="2F3A18FC"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62DD4A12" w14:textId="77777777" w:rsidR="005A5FCC" w:rsidRDefault="00A21C81">
      <w:r>
        <w:rPr>
          <w:rFonts w:cs="EB Garamond"/>
          <w:kern w:val="16"/>
          <w14:ligatures w14:val="standardContextual"/>
        </w:rPr>
        <w:t xml:space="preserve"> coisa julgada material (art. 502, CPC) vincula as partes quanto ao dispositivo da sentença (art. 504), sem beneficiar ou prejudicar terceiros (art. 506). A decisão judicial que aprecia o mérito da causa previdenciária e transita em julgado impede o reexame da mesma questão em novo processo com as mesmas partes, o mesmo pedido e a mesma causa de pedir. No direito previdenciário, esse regime sofre inflexões relevantes, examinadas a seguir.</w:t>
      </w:r>
    </w:p>
    <w:p w14:paraId="5E6F7C2A" w14:textId="77777777" w:rsidR="005A5FCC" w:rsidRDefault="00A21C81">
      <w:pPr>
        <w:spacing w:before="260" w:after="80" w:line="240" w:lineRule="auto"/>
        <w:jc w:val="left"/>
      </w:pPr>
      <w:r>
        <w:rPr>
          <w:rFonts w:cs="EB Garamond"/>
          <w:b/>
          <w:color w:val="3A3128"/>
          <w:kern w:val="16"/>
          <w:sz w:val="25"/>
          <w14:ligatures w14:val="standardContextual"/>
        </w:rPr>
        <w:t>21.15.2 Particularidades previdenciárias</w:t>
      </w:r>
    </w:p>
    <w:p w14:paraId="75FB391C"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N</w:t>
      </w:r>
    </w:p>
    <w:p w14:paraId="41CAEFEB" w14:textId="77777777" w:rsidR="005A5FCC" w:rsidRDefault="00A21C81">
      <w:r>
        <w:rPr>
          <w:rFonts w:cs="EB Garamond"/>
          <w:kern w:val="16"/>
          <w14:ligatures w14:val="standardContextual"/>
        </w:rPr>
        <w:t>o direito previdenciário, o regime da coisa julgada sofre inflexões que o diferenciam do regime geral do processo civil. Essas inflexões decorrem do caráter alimentar do benefício previdenciário, da proteção constitucional à previdência social como direito fundamental e da natureza dinâmica de certas condições fáticas que fundamentam a concessão de benefícios, especialmente a capacidade laborativa.</w:t>
      </w:r>
    </w:p>
    <w:p w14:paraId="2162D0E1" w14:textId="77777777" w:rsidR="005A5FCC" w:rsidRDefault="00A21C81">
      <w:pPr>
        <w:ind w:firstLine="238"/>
      </w:pPr>
      <w:r>
        <w:rPr>
          <w:rFonts w:cs="EB Garamond"/>
          <w:kern w:val="16"/>
          <w14:ligatures w14:val="standardContextual"/>
        </w:rPr>
        <w:t xml:space="preserve">Destacamos três particularidades. A primeira é a aplicação da coisa julgada secundum eventum probationis em ações por incapacidade, pela qual a sentença de improcedência fundada em prova insuficiente não impede nova ação com prova nova (seção 21.16). A segunda é a cláusula rebus sic stantibus, que admite nova ação quando fatos supervenientes alteram a situação fática decidida (seção 21.17). A terceira é a inexistência de ação rescisória nos JEFs (art. 59 da Lei </w:t>
      </w:r>
      <w:r>
        <w:rPr>
          <w:rFonts w:cs="EB Garamond"/>
          <w:kern w:val="16"/>
          <w14:ligatures w14:val="standardContextual"/>
        </w:rPr>
        <w:lastRenderedPageBreak/>
        <w:t>9.099/95), compensada pela admissibilidade da querela nullitatis para vícios transrescisórios (seção 21.19).</w:t>
      </w:r>
    </w:p>
    <w:p w14:paraId="66F41EA7" w14:textId="77777777" w:rsidR="005A5FCC" w:rsidRDefault="00A21C81">
      <w:pPr>
        <w:ind w:firstLine="238"/>
      </w:pPr>
      <w:r>
        <w:rPr>
          <w:rFonts w:cs="EB Garamond"/>
          <w:kern w:val="16"/>
          <w14:ligatures w14:val="standardContextual"/>
        </w:rPr>
        <w:t>Essas particularidades não significam que a coisa julgada previdenciária seja "enfraquecida" ou "relativizada" em sentido genérico. A coisa julgada material permanece como regra nos JEFs: a sentença de mérito transitada em julgado vincula as partes e impede a rediscussão da causa. As exceções são tipificadas e condicionadas a requisitos específicos. O magistrado dos JEFs que recebe nova ação com a mesma causa de pedir de ação anterior julgada improcedente deve, em primeiro lugar, verificar se alguma das exceções se aplica. Se nenhuma se aplica, a coisa julgada impõe a extinção do processo sem resolução do mérito (art. 485, V, do CPC).</w:t>
      </w:r>
    </w:p>
    <w:p w14:paraId="3E48E17B"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21.16 Coisa julgada secundum eventum probationis</w:t>
      </w:r>
    </w:p>
    <w:p w14:paraId="0CFF0C58" w14:textId="77777777" w:rsidR="005A5FCC" w:rsidRDefault="00A21C81">
      <w:pPr>
        <w:spacing w:before="260" w:after="80" w:line="240" w:lineRule="auto"/>
        <w:jc w:val="left"/>
      </w:pPr>
      <w:r>
        <w:rPr>
          <w:rFonts w:cs="EB Garamond"/>
          <w:b/>
          <w:color w:val="3A3128"/>
          <w:kern w:val="16"/>
          <w:sz w:val="25"/>
          <w14:ligatures w14:val="standardContextual"/>
        </w:rPr>
        <w:t>21.16.1 Conceito e fundamento</w:t>
      </w:r>
    </w:p>
    <w:p w14:paraId="2F894B9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41257523" w14:textId="77777777" w:rsidR="005A5FCC" w:rsidRDefault="00A21C81">
      <w:r>
        <w:rPr>
          <w:rFonts w:cs="EB Garamond"/>
          <w:kern w:val="16"/>
          <w14:ligatures w14:val="standardContextual"/>
        </w:rPr>
        <w:t xml:space="preserve"> expressão "coisa julgada secundum eventum probationis" designa o regime pelo qual a coisa julgada material somente se forma quando a sentença aprecia o mérito com base em conjunto probatório suficiente. Se a sentença julga improcedente o pedido não por convicção de que o direito é inexistente, mas por insuficiência das provas apresentadas, a coisa julgada não se consolida de modo definitivo, e o autor pode ajuizar nova ação com prova nova capaz de demonstrar o direito alegado.</w:t>
      </w:r>
    </w:p>
    <w:p w14:paraId="550B89AB" w14:textId="77777777" w:rsidR="005A5FCC" w:rsidRDefault="00A21C81">
      <w:pPr>
        <w:ind w:firstLine="238"/>
      </w:pPr>
      <w:r>
        <w:rPr>
          <w:rFonts w:cs="EB Garamond"/>
          <w:kern w:val="16"/>
          <w14:ligatures w14:val="standardContextual"/>
        </w:rPr>
        <w:t>Esse regime não é criação do direito previdenciário. Tem raízes no direito ambiental e no direito do consumidor (ações coletivas reguladas pela Lei 7.347/85 e pelo CDC), nos quais a coisa julgada opera secundum eventum litis e secundum eventum probationis. No direito previdenciário, o STJ acolheu a aplicação do regime em ações por incapacidade, reconhecendo que a prova pericial produzida em determinado momento pode não captar adequadamente o quadro clínico do segurado, e que nova perícia, com novos elementos, pode conduzir a resultado diverso.</w:t>
      </w:r>
    </w:p>
    <w:p w14:paraId="36AD49AD" w14:textId="77777777" w:rsidR="005A5FCC" w:rsidRDefault="00A21C81">
      <w:pPr>
        <w:spacing w:before="260" w:after="80" w:line="240" w:lineRule="auto"/>
        <w:jc w:val="left"/>
      </w:pPr>
      <w:r>
        <w:rPr>
          <w:rFonts w:cs="EB Garamond"/>
          <w:b/>
          <w:color w:val="3A3128"/>
          <w:kern w:val="16"/>
          <w:sz w:val="25"/>
          <w14:ligatures w14:val="standardContextual"/>
        </w:rPr>
        <w:lastRenderedPageBreak/>
        <w:t>21.16.2 Tema 629/STJ</w:t>
      </w:r>
    </w:p>
    <w:p w14:paraId="30F0428C"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0C35C064" w14:textId="77777777" w:rsidR="005A5FCC" w:rsidRDefault="00A21C81">
      <w:r>
        <w:rPr>
          <w:rFonts w:cs="EB Garamond"/>
          <w:kern w:val="16"/>
          <w14:ligatures w14:val="standardContextual"/>
        </w:rPr>
        <w:t xml:space="preserve"> Tema 629 do STJ (REsp 1.352.721/SP, Corte Especial, j. 16/12/2015) fixou a tese de que a sentença que julga improcedente o pedido de concessão de benefício por incapacidade, por não reconhecer a incapacidade laboral, não impede o ajuizamento de nova ação, desde que amparada em prova nova ou fato novo. O STJ definiu "prova nova" como novo laudo ou documento capaz de demonstrar alteração no quadro clínico, e "fato novo" como piora da condição de saúde posterior à sentença.</w:t>
      </w:r>
    </w:p>
    <w:p w14:paraId="05227368" w14:textId="77777777" w:rsidR="005A5FCC" w:rsidRDefault="00A21C81">
      <w:pPr>
        <w:ind w:firstLine="238"/>
      </w:pPr>
      <w:r>
        <w:rPr>
          <w:rFonts w:cs="EB Garamond"/>
          <w:kern w:val="16"/>
          <w14:ligatures w14:val="standardContextual"/>
        </w:rPr>
        <w:t>A tese do Tema 629 repousa em premissa fática: a capacidade laborativa é condição dinâmica. O segurado que, na data da perícia judicial da primeira ação, apresentava capacidade laborativa preservada (ou incapacidade temporária que havia cessado) pode, posteriormente, sofrer agravamento de sua condição, desenvolver nova patologia ou ter a doença preexistente diagnosticada com maior precisão. Nessas circunstâncias, impedir nova ação significaria cristalizar uma situação de fato que já não corresponde à realidade.</w:t>
      </w:r>
    </w:p>
    <w:p w14:paraId="15B1FD4E" w14:textId="77777777" w:rsidR="005A5FCC" w:rsidRDefault="00A21C81">
      <w:pPr>
        <w:ind w:firstLine="238"/>
      </w:pPr>
      <w:r>
        <w:rPr>
          <w:rFonts w:cs="EB Garamond"/>
          <w:kern w:val="16"/>
          <w14:ligatures w14:val="standardContextual"/>
        </w:rPr>
        <w:t>A aplicação do Tema 629 nos JEFs exige do magistrado a verificação de dois requisitos cumulativos. O primeiro é a existência de prova nova ou fato novo: a simples repetição da ação anterior com os mesmos elementos probatórios esbarra na coisa julgada material. O segurado que obteve laudo pericial desfavorável na primeira ação e ajuíza segunda ação com os mesmos exames e os mesmos laudos não demonstra prova nova. O segundo requisito é a pertinência temporal: a prova nova ou o fato novo devem ser posteriores à sentença da primeira ação ou, ao menos, contemporâneos ao agravamento da condição clínica.</w:t>
      </w:r>
    </w:p>
    <w:p w14:paraId="684F465E" w14:textId="77777777" w:rsidR="005A5FCC" w:rsidRDefault="00A21C81">
      <w:pPr>
        <w:ind w:firstLine="238"/>
      </w:pPr>
      <w:r>
        <w:rPr>
          <w:rFonts w:cs="EB Garamond"/>
          <w:kern w:val="16"/>
          <w14:ligatures w14:val="standardContextual"/>
        </w:rPr>
        <w:t>Na triagem da segunda ação, o magistrado dos JEFs deve examinar a inicial e os documentos médicos anexados para verificar se existe, ao menos em tese, elemento novo que justifique a reabertura da discussão. Se os documentos são os mesmos da ação anterior, ou se os novos atestados reproduzem diagnóstico idêntico sem demonstrar piora, a extinção por coisa julgada é a medida cabível. Se há novos exames, novos laudos ou evidência de agravamento, a ação deve prosseguir para instrução probatória.</w:t>
      </w:r>
    </w:p>
    <w:tbl>
      <w:tblPr>
        <w:tblW w:w="5000" w:type="pct"/>
        <w:jc w:val="center"/>
        <w:tblLayout w:type="fixed"/>
        <w:tblLook w:val="04A0" w:firstRow="1" w:lastRow="0" w:firstColumn="1" w:lastColumn="0" w:noHBand="0" w:noVBand="1"/>
      </w:tblPr>
      <w:tblGrid>
        <w:gridCol w:w="6311"/>
      </w:tblGrid>
      <w:tr w:rsidR="005A5FCC" w14:paraId="1911FB47"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444B645B" w14:textId="77777777" w:rsidR="005A5FCC" w:rsidRDefault="00A21C81">
            <w:pPr>
              <w:spacing w:after="60" w:line="240" w:lineRule="auto"/>
              <w:jc w:val="left"/>
            </w:pPr>
            <w:r>
              <w:rPr>
                <w:rFonts w:ascii="Noto Sans" w:hAnsi="Noto Sans" w:cs="Noto Sans"/>
                <w:b/>
                <w:caps/>
                <w:color w:val="4D6F8A"/>
                <w:kern w:val="16"/>
                <w:sz w:val="16"/>
                <w14:ligatures w14:val="standardContextual"/>
              </w:rPr>
              <w:lastRenderedPageBreak/>
              <w:t>JURISPRUDÊNCIA EM DESTAQUE</w:t>
            </w:r>
          </w:p>
          <w:p w14:paraId="1B55D998" w14:textId="77777777" w:rsidR="005A5FCC" w:rsidRDefault="00A21C81">
            <w:pPr>
              <w:spacing w:after="60" w:line="247" w:lineRule="auto"/>
            </w:pPr>
            <w:r>
              <w:rPr>
                <w:rFonts w:cs="EB Garamond"/>
                <w:b/>
                <w:kern w:val="16"/>
                <w:sz w:val="19"/>
                <w14:ligatures w14:val="standardContextual"/>
              </w:rPr>
              <w:t>Tema 629/STJ (REsp 1.352.721/SP, Corte Especial, j. 16/12/2015)</w:t>
            </w:r>
          </w:p>
          <w:p w14:paraId="47894A39" w14:textId="77777777" w:rsidR="005A5FCC" w:rsidRDefault="00A21C81">
            <w:pPr>
              <w:spacing w:after="60" w:line="247" w:lineRule="auto"/>
            </w:pPr>
            <w:r>
              <w:rPr>
                <w:rFonts w:cs="EB Garamond"/>
                <w:kern w:val="16"/>
                <w:sz w:val="19"/>
                <w14:ligatures w14:val="standardContextual"/>
              </w:rPr>
              <w:t>Tese fixada (redação oficial): "A ausência de conteúdo probatório eficaz a instruir a inicial, conforme determina o art. 283 do CPC, implica a carência de pressuposto de constituição e desenvolvimento válido do processo, impondo sua extinção sem o julgamento do mérito (art. 267, IV do CPC) e a consequente possibilidade de o autor intentar novamente a ação (art. 268 do CPC), caso reúna os elementos necessários à tal iniciativa."</w:t>
            </w:r>
          </w:p>
          <w:p w14:paraId="78F15AC6" w14:textId="77777777" w:rsidR="005A5FCC" w:rsidRDefault="00A21C81">
            <w:pPr>
              <w:spacing w:after="60" w:line="247" w:lineRule="auto"/>
            </w:pPr>
            <w:r>
              <w:rPr>
                <w:rFonts w:cs="EB Garamond"/>
                <w:kern w:val="16"/>
                <w:sz w:val="19"/>
                <w14:ligatures w14:val="standardContextual"/>
              </w:rPr>
              <w:t>Aplicação previdenciária: a Corte Especial firmou a tese em contexto de prova material insuficiente, mas o STJ e os JEFs a estendem às ações de concessão de benefício por incapacidade. Assim, a sentença que julga improcedente o pedido por não reconhecer a incapacidade laboral, fundada em insuficiência probatória, não impede o ajuizamento de nova ação com o mesmo objeto, desde que lastreada em prova nova (novo laudo ou documento que demonstre alteração no quadro clínico) ou fato novo (piora efetiva da condição de saúde, posterior ao trânsito em julgado).</w:t>
            </w:r>
          </w:p>
          <w:p w14:paraId="5E34579D" w14:textId="77777777" w:rsidR="005A5FCC" w:rsidRDefault="00A21C81">
            <w:pPr>
              <w:spacing w:after="60" w:line="247" w:lineRule="auto"/>
            </w:pPr>
            <w:r>
              <w:rPr>
                <w:rFonts w:cs="EB Garamond"/>
                <w:kern w:val="16"/>
                <w:sz w:val="19"/>
                <w14:ligatures w14:val="standardContextual"/>
              </w:rPr>
              <w:t>Obs.: O Tema 629 não autoriza a mera repetição da ação com as mesmas provas. O ônus de demonstrar a existência de prova nova ou fato novo recai sobre o autor da segunda ação.</w:t>
            </w:r>
          </w:p>
        </w:tc>
      </w:tr>
    </w:tbl>
    <w:p w14:paraId="61E19314" w14:textId="77777777" w:rsidR="005A5FCC" w:rsidRDefault="005A5FCC">
      <w:pPr>
        <w:spacing w:after="80" w:line="240" w:lineRule="auto"/>
      </w:pPr>
    </w:p>
    <w:p w14:paraId="25D460A0" w14:textId="77777777" w:rsidR="005A5FCC" w:rsidRDefault="00A21C81">
      <w:pPr>
        <w:spacing w:before="260" w:after="80" w:line="240" w:lineRule="auto"/>
        <w:jc w:val="left"/>
      </w:pPr>
      <w:r>
        <w:rPr>
          <w:rFonts w:cs="EB Garamond"/>
          <w:b/>
          <w:color w:val="3A3128"/>
          <w:kern w:val="16"/>
          <w:sz w:val="25"/>
          <w14:ligatures w14:val="standardContextual"/>
        </w:rPr>
        <w:t>21.16.3 Distinção com a extinção sem resolução do mérito</w:t>
      </w:r>
    </w:p>
    <w:p w14:paraId="5F8BA55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0B5355A0" w14:textId="77777777" w:rsidR="005A5FCC" w:rsidRDefault="00A21C81">
      <w:r>
        <w:rPr>
          <w:rFonts w:cs="EB Garamond"/>
          <w:kern w:val="16"/>
          <w14:ligatures w14:val="standardContextual"/>
        </w:rPr>
        <w:t xml:space="preserve"> coisa julgada secundum eventum probationis não se confunde com a ausência de coisa julgada decorrente da extinção sem resolução do mérito. Quando a ação é extinta sem julgamento do mérito (art. 485 do CPC), por exemplo, por falta de interesse processual (ausência de prévio requerimento administrativo, nos termos do RE 631.240/Tema 350/STF), não há coisa julgada material alguma, e o autor pode ajuizar nova ação sem qualquer restrição ou ônus de demonstrar prova nova.</w:t>
      </w:r>
    </w:p>
    <w:p w14:paraId="17088C22" w14:textId="77777777" w:rsidR="005A5FCC" w:rsidRDefault="00A21C81">
      <w:pPr>
        <w:ind w:firstLine="238"/>
      </w:pPr>
      <w:r>
        <w:rPr>
          <w:rFonts w:cs="EB Garamond"/>
          <w:kern w:val="16"/>
          <w14:ligatures w14:val="standardContextual"/>
        </w:rPr>
        <w:t xml:space="preserve">A distinção tem consequência prática direta. Na segunda ação ajuizada após extinção sem mérito, o segurado não precisa demonstrar prova nova ou fato novo. Na segunda ação ajuizada após improcedência por insuficiência de provas, o segurado deve demonstrar prova nova ou fato novo (Tema 629). Na segunda ação ajuizada após improcedência com apreciação plena do mérito, o segurado só pode </w:t>
      </w:r>
      <w:r>
        <w:rPr>
          <w:rFonts w:cs="EB Garamond"/>
          <w:kern w:val="16"/>
          <w14:ligatures w14:val="standardContextual"/>
        </w:rPr>
        <w:lastRenderedPageBreak/>
        <w:t>prosseguir se demonstrar fato superveniente que altere a situação fática (cláusula rebus sic stantibus, seção 21.17). A gradação reflete o grau de estabilidade que cada tipo de decisão anterior confere à relação jurídica.</w:t>
      </w:r>
    </w:p>
    <w:p w14:paraId="3DF49FE3"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21.17 Cláusula rebus sic stantibus: fatos supervenientes</w:t>
      </w:r>
    </w:p>
    <w:p w14:paraId="6CA68F65" w14:textId="77777777" w:rsidR="005A5FCC" w:rsidRDefault="00A21C81">
      <w:pPr>
        <w:spacing w:before="260" w:after="80" w:line="240" w:lineRule="auto"/>
        <w:jc w:val="left"/>
      </w:pPr>
      <w:r>
        <w:rPr>
          <w:rFonts w:cs="EB Garamond"/>
          <w:b/>
          <w:color w:val="3A3128"/>
          <w:kern w:val="16"/>
          <w:sz w:val="25"/>
          <w14:ligatures w14:val="standardContextual"/>
        </w:rPr>
        <w:t>21.17.1 Conceito e aplicação previdenciária</w:t>
      </w:r>
    </w:p>
    <w:p w14:paraId="4CD7FDEB"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1534ED53" w14:textId="77777777" w:rsidR="005A5FCC" w:rsidRDefault="00A21C81">
      <w:r>
        <w:rPr>
          <w:rFonts w:cs="EB Garamond"/>
          <w:kern w:val="16"/>
          <w14:ligatures w14:val="standardContextual"/>
        </w:rPr>
        <w:t xml:space="preserve"> cláusula rebus sic stantibus, no contexto da coisa julgada previdenciária, expressa a ideia de que a decisão judicial vincula as partes enquanto permanecerem inalteradas as circunstâncias de fato que a fundamentaram. Se essas circunstâncias se modificam substancialmente após o trânsito em julgado, a coisa julgada não impede nova ação fundada nos fatos supervenientes, pois a nova demanda tem causa de pedir distinta da anterior.</w:t>
      </w:r>
    </w:p>
    <w:p w14:paraId="2A815189" w14:textId="77777777" w:rsidR="005A5FCC" w:rsidRDefault="00A21C81">
      <w:pPr>
        <w:ind w:firstLine="238"/>
      </w:pPr>
      <w:r>
        <w:rPr>
          <w:rFonts w:cs="EB Garamond"/>
          <w:kern w:val="16"/>
          <w14:ligatures w14:val="standardContextual"/>
        </w:rPr>
        <w:t>A aplicação da cláusula no direito previdenciário é particularmente relevante nas ações por incapacidade. A capacidade laborativa é condição inerentemente dinâmica: o segurado que se encontrava apto ao trabalho na data da perícia judicial pode, meses ou anos depois, sofrer agravamento de sua condição, desenvolver novas comorbidades ou ter a progressão natural de doença degenerativa comprometendo sua aptidão para o exercício profissional. A decisão judicial que reconheceu a capacidade laborativa em determinado momento reflete um retrato estático de realidade que é, por natureza, mutável.</w:t>
      </w:r>
    </w:p>
    <w:p w14:paraId="3E21BA14" w14:textId="77777777" w:rsidR="005A5FCC" w:rsidRDefault="00A21C81">
      <w:pPr>
        <w:ind w:firstLine="238"/>
      </w:pPr>
      <w:r>
        <w:rPr>
          <w:rFonts w:cs="EB Garamond"/>
          <w:kern w:val="16"/>
          <w14:ligatures w14:val="standardContextual"/>
        </w:rPr>
        <w:t>A cláusula rebus sic stantibus não constitui exceção à coisa julgada, mas sim delimitação de seus limites temporais internos. A coisa julgada vincula quanto aos fatos existentes na data da sentença. Fatos posteriores, que alteram substancialmente o quadro fático apreciado, configuram nova causa de pedir e, por conseguinte, nova ação. Não se trata de "relativizar" a coisa julgada, mas de reconhecer que a imutabilidade da decisão pressupõe a permanência das condições de fato sobre as quais ela se pronunciou.</w:t>
      </w:r>
    </w:p>
    <w:p w14:paraId="2EEC6BC8" w14:textId="77777777" w:rsidR="005A5FCC" w:rsidRDefault="00A21C81">
      <w:pPr>
        <w:spacing w:before="260" w:after="80" w:line="240" w:lineRule="auto"/>
        <w:jc w:val="left"/>
      </w:pPr>
      <w:r>
        <w:rPr>
          <w:rFonts w:cs="EB Garamond"/>
          <w:b/>
          <w:color w:val="3A3128"/>
          <w:kern w:val="16"/>
          <w:sz w:val="25"/>
          <w14:ligatures w14:val="standardContextual"/>
        </w:rPr>
        <w:lastRenderedPageBreak/>
        <w:t>21.17.2 Distinção com a coisa julgada secundum eventum probationis</w:t>
      </w:r>
    </w:p>
    <w:p w14:paraId="3EEF9B51"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09264D18" w14:textId="77777777" w:rsidR="005A5FCC" w:rsidRDefault="00A21C81">
      <w:r>
        <w:rPr>
          <w:rFonts w:cs="EB Garamond"/>
          <w:kern w:val="16"/>
          <w14:ligatures w14:val="standardContextual"/>
        </w:rPr>
        <w:t xml:space="preserve"> distinção entre a cláusula rebus sic stantibus e a coisa julgada secundum eventum probationis é sutil, mas operacionalmente relevante. Na coisa julgada secundum eventum probationis (Tema 629, seção 21.16), o problema reside na insuficiência da prova: a primeira sentença julgou improcedente por falta de demonstração adequada do direito, e a segunda ação traz provas que suprem a deficiência anterior. Na cláusula rebus sic stantibus, o problema reside na alteração dos fatos: a primeira sentença julgou improcedente com apreciação plena e adequada das provas, concluindo corretamente que o segurado não estava incapaz naquela data, e a segunda ação alega que a situação fática mudou desde então.</w:t>
      </w:r>
    </w:p>
    <w:p w14:paraId="1D683CF4" w14:textId="77777777" w:rsidR="005A5FCC" w:rsidRDefault="00A21C81">
      <w:pPr>
        <w:ind w:firstLine="238"/>
      </w:pPr>
      <w:r>
        <w:rPr>
          <w:rFonts w:cs="EB Garamond"/>
          <w:kern w:val="16"/>
          <w14:ligatures w14:val="standardContextual"/>
        </w:rPr>
        <w:t>A consequência prática da distinção reflete-se na natureza da prova exigida para a segunda ação. Na aplicação do Tema 629, o segurado deve apresentar prova nova que demonstre que a conclusão da primeira sentença estava equivocada ou incompleta. Na aplicação da cláusula rebus sic stantibus, o segurado deve demonstrar fato superveniente que tenha alterado o quadro fático decidido. A prova, no segundo caso, não é de que a primeira sentença errou, mas de que os fatos mudaram.</w:t>
      </w:r>
    </w:p>
    <w:p w14:paraId="42F72F10" w14:textId="77777777" w:rsidR="005A5FCC" w:rsidRDefault="00A21C81">
      <w:pPr>
        <w:spacing w:before="260" w:after="80" w:line="240" w:lineRule="auto"/>
        <w:jc w:val="left"/>
      </w:pPr>
      <w:r>
        <w:rPr>
          <w:rFonts w:cs="EB Garamond"/>
          <w:b/>
          <w:color w:val="3A3128"/>
          <w:kern w:val="16"/>
          <w:sz w:val="25"/>
          <w14:ligatures w14:val="standardContextual"/>
        </w:rPr>
        <w:t>21.17.3 Enunciado 35/FONAJEF</w:t>
      </w:r>
    </w:p>
    <w:p w14:paraId="1FD54B29"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54B12F45" w14:textId="77777777" w:rsidR="005A5FCC" w:rsidRDefault="00A21C81">
      <w:r>
        <w:rPr>
          <w:rFonts w:cs="EB Garamond"/>
          <w:kern w:val="16"/>
          <w14:ligatures w14:val="standardContextual"/>
        </w:rPr>
        <w:t xml:space="preserve"> Enunciado 35 do FONAJEF consagra a aplicação da cláusula rebus sic stantibus nos JEFs, admitindo o ajuizamento de nova ação quando fato superveniente altera a situação fática decidida na sentença anterior. O enunciado reflete a prática consolidada dos Juizados Especiais Federais, nos quais as ações por incapacidade representam parcela significativa do acervo, e a possibilidade de nova ação por fato superveniente é condição de justiça do sistema.</w:t>
      </w:r>
    </w:p>
    <w:p w14:paraId="2C6F5FEE" w14:textId="77777777" w:rsidR="005A5FCC" w:rsidRDefault="00A21C81">
      <w:pPr>
        <w:ind w:firstLine="238"/>
      </w:pPr>
      <w:r>
        <w:rPr>
          <w:rFonts w:cs="EB Garamond"/>
          <w:kern w:val="16"/>
          <w14:ligatures w14:val="standardContextual"/>
        </w:rPr>
        <w:t>A aplicação do enunciado exige rigor na verificação do que constitui fato superveniente. A mera reedição do mesmo pedido com fundamento em atestados médicos de data posterior à sentença anterior, mas que descrevem a mesma condição clínica já avaliada, não configura fato novo. O fato superveniente deve re</w:t>
      </w:r>
      <w:r>
        <w:rPr>
          <w:rFonts w:cs="EB Garamond"/>
          <w:kern w:val="16"/>
          <w14:ligatures w14:val="standardContextual"/>
        </w:rPr>
        <w:lastRenderedPageBreak/>
        <w:t>presentar alteração qualitativa na situação do segurado: novo diagnóstico, progressão documentada da doença, surgimento de comorbidade, agravamento funcional comprovado por exames objetivos.</w:t>
      </w:r>
    </w:p>
    <w:tbl>
      <w:tblPr>
        <w:tblW w:w="5000" w:type="pct"/>
        <w:jc w:val="center"/>
        <w:tblLayout w:type="fixed"/>
        <w:tblLook w:val="04A0" w:firstRow="1" w:lastRow="0" w:firstColumn="1" w:lastColumn="0" w:noHBand="0" w:noVBand="1"/>
      </w:tblPr>
      <w:tblGrid>
        <w:gridCol w:w="6311"/>
      </w:tblGrid>
      <w:tr w:rsidR="005A5FCC" w14:paraId="0B51F1CC"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47BFFC96"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2B49D924" w14:textId="77777777" w:rsidR="005A5FCC" w:rsidRDefault="00A21C81">
            <w:pPr>
              <w:spacing w:after="60" w:line="247" w:lineRule="auto"/>
            </w:pPr>
            <w:r>
              <w:rPr>
                <w:rFonts w:cs="EB Garamond"/>
                <w:b/>
                <w:kern w:val="16"/>
                <w:sz w:val="19"/>
                <w14:ligatures w14:val="standardContextual"/>
              </w:rPr>
              <w:t>O que configura (e o que não configura) fato novo para fins de rebus sic stantibus</w:t>
            </w:r>
          </w:p>
          <w:p w14:paraId="4B1BFAF7" w14:textId="77777777" w:rsidR="005A5FCC" w:rsidRDefault="00A21C81">
            <w:pPr>
              <w:spacing w:after="60" w:line="247" w:lineRule="auto"/>
            </w:pPr>
            <w:r>
              <w:rPr>
                <w:rFonts w:cs="EB Garamond"/>
                <w:b/>
                <w:kern w:val="16"/>
                <w:sz w:val="19"/>
                <w14:ligatures w14:val="standardContextual"/>
              </w:rPr>
              <w:t>Configura fato novo:</w:t>
            </w:r>
            <w:r>
              <w:rPr>
                <w:rFonts w:cs="EB Garamond"/>
                <w:kern w:val="16"/>
                <w:sz w:val="19"/>
                <w14:ligatures w14:val="standardContextual"/>
              </w:rPr>
              <w:t xml:space="preserve"> - Agravamento documentado da condição clínica, comprovado por exames de imagem, laudos médicos detalhados ou relatórios de internação posteriores à sentença anterior. - Surgimento de nova patologia que, isoladamente ou em combinação com a condição preexistente, compromete a capacidade laborativa. - Progressão natural de doença degenerativa (esclerose múltipla, Alzheimer, artrose avançada), documentada por exames comparativos. - Procedimento cirúrgico malsucedido que agravou a condição funcional.</w:t>
            </w:r>
          </w:p>
          <w:p w14:paraId="0B77BB1D" w14:textId="77777777" w:rsidR="005A5FCC" w:rsidRDefault="00A21C81">
            <w:pPr>
              <w:spacing w:after="60" w:line="247" w:lineRule="auto"/>
            </w:pPr>
            <w:r>
              <w:rPr>
                <w:rFonts w:cs="EB Garamond"/>
                <w:b/>
                <w:kern w:val="16"/>
                <w:sz w:val="19"/>
                <w14:ligatures w14:val="standardContextual"/>
              </w:rPr>
              <w:t>Não configura fato novo:</w:t>
            </w:r>
            <w:r>
              <w:rPr>
                <w:rFonts w:cs="EB Garamond"/>
                <w:kern w:val="16"/>
                <w:sz w:val="19"/>
                <w14:ligatures w14:val="standardContextual"/>
              </w:rPr>
              <w:t xml:space="preserve"> - Simples obtenção de novo atestado médico com o mesmo diagnóstico da ação anterior. - Contratação de advogado diferente ou elaboração de nova petição com argumentos jurídicos distintos. - Apresentação de laudo de assistente técnico que contraria a perícia judicial da ação anterior, sem demonstrar alteração clínica. - Realização de nova perícia particular que repete os achados da perícia judicial anterior.</w:t>
            </w:r>
          </w:p>
        </w:tc>
      </w:tr>
    </w:tbl>
    <w:p w14:paraId="61B5E3AB" w14:textId="77777777" w:rsidR="005A5FCC" w:rsidRDefault="005A5FCC">
      <w:pPr>
        <w:spacing w:after="80" w:line="240" w:lineRule="auto"/>
      </w:pPr>
    </w:p>
    <w:p w14:paraId="19EBF8AE" w14:textId="77777777" w:rsidR="005A5FCC" w:rsidRDefault="00A21C81">
      <w:pPr>
        <w:spacing w:before="260" w:after="80" w:line="240" w:lineRule="auto"/>
        <w:jc w:val="left"/>
      </w:pPr>
      <w:r>
        <w:rPr>
          <w:rFonts w:cs="EB Garamond"/>
          <w:b/>
          <w:color w:val="3A3128"/>
          <w:kern w:val="16"/>
          <w:sz w:val="25"/>
          <w14:ligatures w14:val="standardContextual"/>
        </w:rPr>
        <w:t>21.17.4 Posição adotada</w:t>
      </w:r>
    </w:p>
    <w:p w14:paraId="0CAFF1B9"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54D8F6C2" w14:textId="77777777" w:rsidR="005A5FCC" w:rsidRDefault="00A21C81">
      <w:r>
        <w:rPr>
          <w:rFonts w:cs="EB Garamond"/>
          <w:kern w:val="16"/>
          <w14:ligatures w14:val="standardContextual"/>
        </w:rPr>
        <w:t xml:space="preserve"> cláusula rebus sic stantibus aplica-se naturalmente às ações previdenciárias por incapacidade. A saúde humana é, por definição, condição mutável. Decisão judicial que fotografa o estado de saúde do segurado em determinado momento não pode ter a pretensão de cristalizar essa realidade para sempre. O sistema previdenciário, que protege o segurado contra riscos sociais, deve estar apto a responder às alterações da condição fática que motivou a proteção.</w:t>
      </w:r>
    </w:p>
    <w:p w14:paraId="227F654B" w14:textId="77777777" w:rsidR="005A5FCC" w:rsidRDefault="00A21C81">
      <w:pPr>
        <w:ind w:firstLine="238"/>
      </w:pPr>
      <w:r>
        <w:rPr>
          <w:rFonts w:cs="EB Garamond"/>
          <w:kern w:val="16"/>
          <w14:ligatures w14:val="standardContextual"/>
        </w:rPr>
        <w:t xml:space="preserve">Essa posição não implica banalização da coisa julgada. O filtro é rigoroso: somente fatos efetivamente supervenientes e qualitativamente distintos dos apreciados na ação anterior justificam nova demanda. O magistrado dos JEFs tem o poder-dever de examinar, liminarmente, se a segunda ação apresenta elementos </w:t>
      </w:r>
      <w:r>
        <w:rPr>
          <w:rFonts w:cs="EB Garamond"/>
          <w:kern w:val="16"/>
          <w14:ligatures w14:val="standardContextual"/>
        </w:rPr>
        <w:lastRenderedPageBreak/>
        <w:t>que, ao menos em tese, configuram fato novo. A ausência de tais elementos impõe a extinção por coisa julgada (art. 485, V, do CPC).</w:t>
      </w:r>
    </w:p>
    <w:p w14:paraId="0C5DA88B"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21.18 Coisa julgada e benefício por incapacidade: síntese operacional</w:t>
      </w:r>
    </w:p>
    <w:p w14:paraId="00179C1D"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24CCC02E" w14:textId="77777777" w:rsidR="005A5FCC" w:rsidRDefault="00A21C81">
      <w:r>
        <w:rPr>
          <w:rFonts w:cs="EB Garamond"/>
          <w:kern w:val="16"/>
          <w14:ligatures w14:val="standardContextual"/>
        </w:rPr>
        <w:t xml:space="preserve"> confluência entre a coisa julgada material, a coisa julgada secundum eventum probationis e a cláusula rebus sic stantibus gera cenários decisórios que o magistrado dos JEFs precisa equacionar com rapidez e segurança. A síntese que se segue organiza as quatro situações possíveis em quadro funcional.</w:t>
      </w:r>
    </w:p>
    <w:p w14:paraId="5DF56EAA" w14:textId="77777777" w:rsidR="005A5FCC" w:rsidRDefault="00A21C81">
      <w:pPr>
        <w:spacing w:before="260" w:after="80" w:line="240" w:lineRule="auto"/>
        <w:jc w:val="left"/>
      </w:pPr>
      <w:r>
        <w:rPr>
          <w:rFonts w:cs="EB Garamond"/>
          <w:b/>
          <w:color w:val="3A3128"/>
          <w:kern w:val="16"/>
          <w:sz w:val="25"/>
          <w14:ligatures w14:val="standardContextual"/>
        </w:rPr>
        <w:t>21.18.1 Quadro decisório: quatro situações</w:t>
      </w:r>
    </w:p>
    <w:p w14:paraId="2BA361F3"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S</w:t>
      </w:r>
    </w:p>
    <w:p w14:paraId="35F17A39" w14:textId="77777777" w:rsidR="005A5FCC" w:rsidRDefault="00A21C81">
      <w:r>
        <w:rPr>
          <w:rFonts w:cs="EB Garamond"/>
          <w:b/>
          <w:kern w:val="16"/>
          <w14:ligatures w14:val="standardContextual"/>
        </w:rPr>
        <w:t>ituação 1</w:t>
      </w:r>
      <w:r>
        <w:rPr>
          <w:rFonts w:cs="EB Garamond"/>
          <w:kern w:val="16"/>
          <w14:ligatures w14:val="standardContextual"/>
        </w:rPr>
        <w:t>: A primeira ação foi extinta sem resolução do mérito (art. 485 do CPC). Nesse caso, não há coisa julgada material. A segunda ação pode ser livremente ajuizada, sem qualquer ônus adicional de prova nova ou fato superveniente. A causa mais comum de extinção sem mérito em ações de incapacidade é a ausência de prévio requerimento administrativo (Tema 350/STF).</w:t>
      </w:r>
    </w:p>
    <w:p w14:paraId="0BEAB979" w14:textId="77777777" w:rsidR="005A5FCC" w:rsidRDefault="00A21C81">
      <w:pPr>
        <w:ind w:firstLine="238"/>
      </w:pPr>
      <w:r>
        <w:rPr>
          <w:rFonts w:cs="EB Garamond"/>
          <w:b/>
          <w:kern w:val="16"/>
          <w14:ligatures w14:val="standardContextual"/>
        </w:rPr>
        <w:t>Situação 2</w:t>
      </w:r>
      <w:r>
        <w:rPr>
          <w:rFonts w:cs="EB Garamond"/>
          <w:kern w:val="16"/>
          <w14:ligatures w14:val="standardContextual"/>
        </w:rPr>
        <w:t>: A primeira ação foi julgada improcedente por insuficiência de provas. Aplica-se a coisa julgada secundum eventum probationis (Tema 629/STJ). A segunda ação é admissível, desde que instruída com prova nova (novo laudo, novos exames) ou fato novo (piora clínica documentada). A prova nova deve demonstrar que a conclusão da primeira perícia era incompleta ou que o quadro clínico se alterou.</w:t>
      </w:r>
    </w:p>
    <w:p w14:paraId="46DA057D" w14:textId="77777777" w:rsidR="005A5FCC" w:rsidRDefault="00A21C81">
      <w:pPr>
        <w:ind w:firstLine="238"/>
      </w:pPr>
      <w:r>
        <w:rPr>
          <w:rFonts w:cs="EB Garamond"/>
          <w:b/>
          <w:kern w:val="16"/>
          <w14:ligatures w14:val="standardContextual"/>
        </w:rPr>
        <w:t>Situação 3</w:t>
      </w:r>
      <w:r>
        <w:rPr>
          <w:rFonts w:cs="EB Garamond"/>
          <w:kern w:val="16"/>
          <w14:ligatures w14:val="standardContextual"/>
        </w:rPr>
        <w:t>: A primeira ação foi julgada improcedente com apreciação plena do mérito, concluindo que o segurado não estava incapaz. A coisa julgada material se formou integralmente. A segunda ação somente é admissível se demonstrar fato superveniente que alterou a situação fática decidida (cláusula rebus sic stantibus). A mera repetição da ação com as mesmas provas ou com novos argumentos jurídicos é inadmissível.</w:t>
      </w:r>
    </w:p>
    <w:p w14:paraId="35115E88" w14:textId="77777777" w:rsidR="005A5FCC" w:rsidRDefault="00A21C81">
      <w:pPr>
        <w:ind w:firstLine="238"/>
      </w:pPr>
      <w:r>
        <w:rPr>
          <w:rFonts w:cs="EB Garamond"/>
          <w:b/>
          <w:kern w:val="16"/>
          <w14:ligatures w14:val="standardContextual"/>
        </w:rPr>
        <w:t>Situação 4</w:t>
      </w:r>
      <w:r>
        <w:rPr>
          <w:rFonts w:cs="EB Garamond"/>
          <w:kern w:val="16"/>
          <w14:ligatures w14:val="standardContextual"/>
        </w:rPr>
        <w:t xml:space="preserve">: A primeira ação foi julgada procedente e o benefício foi concedido. A coisa julgada positiva impede que o INSS rediscuta o direito ao benefício em novo processo. A cessação do benefício concedido judicialmente depende de </w:t>
      </w:r>
      <w:r>
        <w:rPr>
          <w:rFonts w:cs="EB Garamond"/>
          <w:kern w:val="16"/>
          <w14:ligatures w14:val="standardContextual"/>
        </w:rPr>
        <w:lastRenderedPageBreak/>
        <w:t>perícia administrativa de reavaliação (nos casos de benefício por incapacidade temporária) ou de decisão judicial em ação própria.</w:t>
      </w:r>
    </w:p>
    <w:tbl>
      <w:tblPr>
        <w:tblW w:w="5000" w:type="pct"/>
        <w:jc w:val="center"/>
        <w:tblLayout w:type="fixed"/>
        <w:tblLook w:val="04A0" w:firstRow="1" w:lastRow="0" w:firstColumn="1" w:lastColumn="0" w:noHBand="0" w:noVBand="1"/>
      </w:tblPr>
      <w:tblGrid>
        <w:gridCol w:w="6311"/>
      </w:tblGrid>
      <w:tr w:rsidR="005A5FCC" w14:paraId="4702C96D" w14:textId="77777777">
        <w:trPr>
          <w:cantSplit/>
          <w:jc w:val="center"/>
        </w:trPr>
        <w:tc>
          <w:tcPr>
            <w:tcW w:w="6350" w:type="dxa"/>
            <w:tcBorders>
              <w:top w:val="single" w:sz="7" w:space="0" w:color="A09882"/>
              <w:left w:val="single" w:sz="24" w:space="0" w:color="6B6256"/>
              <w:bottom w:val="single" w:sz="7" w:space="0" w:color="A09882"/>
              <w:right w:val="single" w:sz="7" w:space="0" w:color="A09882"/>
            </w:tcBorders>
            <w:shd w:val="clear" w:color="auto" w:fill="F5F3EF"/>
            <w:tcMar>
              <w:top w:w="150" w:type="dxa"/>
              <w:left w:w="220" w:type="dxa"/>
              <w:bottom w:w="150" w:type="dxa"/>
              <w:right w:w="180" w:type="dxa"/>
            </w:tcMar>
          </w:tcPr>
          <w:p w14:paraId="7664643D" w14:textId="77777777" w:rsidR="005A5FCC" w:rsidRDefault="00A21C81">
            <w:pPr>
              <w:spacing w:after="60" w:line="240" w:lineRule="auto"/>
              <w:jc w:val="left"/>
            </w:pPr>
            <w:r>
              <w:rPr>
                <w:rFonts w:ascii="Noto Sans" w:hAnsi="Noto Sans" w:cs="Noto Sans"/>
                <w:b/>
                <w:caps/>
                <w:color w:val="6B6256"/>
                <w:kern w:val="16"/>
                <w:sz w:val="16"/>
                <w14:ligatures w14:val="standardContextual"/>
              </w:rPr>
              <w:t>QUADRO</w:t>
            </w:r>
          </w:p>
          <w:p w14:paraId="04667A64" w14:textId="77777777" w:rsidR="005A5FCC" w:rsidRDefault="00A21C81">
            <w:pPr>
              <w:spacing w:after="60" w:line="247" w:lineRule="auto"/>
            </w:pPr>
            <w:r>
              <w:rPr>
                <w:rFonts w:cs="EB Garamond"/>
                <w:b/>
                <w:kern w:val="16"/>
                <w:sz w:val="19"/>
                <w14:ligatures w14:val="standardContextual"/>
              </w:rPr>
              <w:t>Quadro 21.2 — Coisa julgada em ações de incapacidade: fluxo decisório</w:t>
            </w:r>
          </w:p>
          <w:tbl>
            <w:tblPr>
              <w:tblW w:w="5000" w:type="pct"/>
              <w:jc w:val="center"/>
              <w:tblLook w:val="04A0" w:firstRow="1" w:lastRow="0" w:firstColumn="1" w:lastColumn="0" w:noHBand="0" w:noVBand="1"/>
            </w:tblPr>
            <w:tblGrid>
              <w:gridCol w:w="1476"/>
              <w:gridCol w:w="1475"/>
              <w:gridCol w:w="1475"/>
              <w:gridCol w:w="1475"/>
            </w:tblGrid>
            <w:tr w:rsidR="005A5FCC" w14:paraId="4CDE6C50" w14:textId="77777777">
              <w:trPr>
                <w:tblHeader/>
                <w:jc w:val="center"/>
              </w:trPr>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6A71F61D" w14:textId="77777777" w:rsidR="005A5FCC" w:rsidRDefault="00A21C81">
                  <w:pPr>
                    <w:spacing w:before="30" w:after="30" w:line="240" w:lineRule="auto"/>
                    <w:jc w:val="center"/>
                  </w:pPr>
                  <w:r>
                    <w:rPr>
                      <w:rFonts w:cs="EB Garamond"/>
                      <w:b/>
                      <w:color w:val="2F2923"/>
                      <w:kern w:val="16"/>
                      <w:sz w:val="16"/>
                      <w14:ligatures w14:val="standardContextual"/>
                    </w:rPr>
                    <w:t>Resultado da 1ª ação</w:t>
                  </w:r>
                </w:p>
              </w:tc>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30FBA1AF" w14:textId="77777777" w:rsidR="005A5FCC" w:rsidRDefault="00A21C81">
                  <w:pPr>
                    <w:spacing w:before="30" w:after="30" w:line="240" w:lineRule="auto"/>
                    <w:jc w:val="center"/>
                  </w:pPr>
                  <w:r>
                    <w:rPr>
                      <w:rFonts w:cs="EB Garamond"/>
                      <w:b/>
                      <w:color w:val="2F2923"/>
                      <w:kern w:val="16"/>
                      <w:sz w:val="16"/>
                      <w14:ligatures w14:val="standardContextual"/>
                    </w:rPr>
                    <w:t>Tipo de coisa julgada</w:t>
                  </w:r>
                </w:p>
              </w:tc>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407686AC" w14:textId="77777777" w:rsidR="005A5FCC" w:rsidRDefault="00A21C81">
                  <w:pPr>
                    <w:spacing w:before="30" w:after="30" w:line="240" w:lineRule="auto"/>
                    <w:jc w:val="center"/>
                  </w:pPr>
                  <w:r>
                    <w:rPr>
                      <w:rFonts w:cs="EB Garamond"/>
                      <w:b/>
                      <w:color w:val="2F2923"/>
                      <w:kern w:val="16"/>
                      <w:sz w:val="16"/>
                      <w14:ligatures w14:val="standardContextual"/>
                    </w:rPr>
                    <w:t>Possibilidade de nova ação</w:t>
                  </w:r>
                </w:p>
              </w:tc>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1E1954FF" w14:textId="77777777" w:rsidR="005A5FCC" w:rsidRDefault="00A21C81">
                  <w:pPr>
                    <w:spacing w:before="30" w:after="30" w:line="240" w:lineRule="auto"/>
                    <w:jc w:val="center"/>
                  </w:pPr>
                  <w:r>
                    <w:rPr>
                      <w:rFonts w:cs="EB Garamond"/>
                      <w:b/>
                      <w:color w:val="2F2923"/>
                      <w:kern w:val="16"/>
                      <w:sz w:val="16"/>
                      <w14:ligatures w14:val="standardContextual"/>
                    </w:rPr>
                    <w:t>Requisito</w:t>
                  </w:r>
                </w:p>
              </w:tc>
            </w:tr>
            <w:tr w:rsidR="005A5FCC" w14:paraId="4B44EC2C"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0BEE2350" w14:textId="77777777" w:rsidR="005A5FCC" w:rsidRDefault="00A21C81">
                  <w:pPr>
                    <w:spacing w:before="20" w:after="20" w:line="240" w:lineRule="auto"/>
                    <w:jc w:val="left"/>
                  </w:pPr>
                  <w:r>
                    <w:rPr>
                      <w:rFonts w:cs="EB Garamond"/>
                      <w:kern w:val="16"/>
                      <w:sz w:val="16"/>
                      <w14:ligatures w14:val="standardContextual"/>
                    </w:rPr>
                    <w:t>Extinção sem mérito (art. 485)</w:t>
                  </w:r>
                </w:p>
              </w:tc>
              <w:tc>
                <w:tcPr>
                  <w:tcW w:w="1587" w:type="dxa"/>
                  <w:tcBorders>
                    <w:top w:val="single" w:sz="4" w:space="0" w:color="D2C9B8"/>
                    <w:left w:val="single" w:sz="4" w:space="0" w:color="D2C9B8"/>
                    <w:bottom w:val="single" w:sz="4" w:space="0" w:color="D2C9B8"/>
                    <w:right w:val="single" w:sz="4" w:space="0" w:color="D2C9B8"/>
                  </w:tcBorders>
                </w:tcPr>
                <w:p w14:paraId="49CD7D44" w14:textId="77777777" w:rsidR="005A5FCC" w:rsidRDefault="00A21C81">
                  <w:pPr>
                    <w:spacing w:before="20" w:after="20" w:line="240" w:lineRule="auto"/>
                    <w:jc w:val="left"/>
                  </w:pPr>
                  <w:r>
                    <w:rPr>
                      <w:rFonts w:cs="EB Garamond"/>
                      <w:kern w:val="16"/>
                      <w:sz w:val="16"/>
                      <w14:ligatures w14:val="standardContextual"/>
                    </w:rPr>
                    <w:t>Nenhuma</w:t>
                  </w:r>
                </w:p>
              </w:tc>
              <w:tc>
                <w:tcPr>
                  <w:tcW w:w="1587" w:type="dxa"/>
                  <w:tcBorders>
                    <w:top w:val="single" w:sz="4" w:space="0" w:color="D2C9B8"/>
                    <w:left w:val="single" w:sz="4" w:space="0" w:color="D2C9B8"/>
                    <w:bottom w:val="single" w:sz="4" w:space="0" w:color="D2C9B8"/>
                    <w:right w:val="single" w:sz="4" w:space="0" w:color="D2C9B8"/>
                  </w:tcBorders>
                </w:tcPr>
                <w:p w14:paraId="6B4B854C" w14:textId="77777777" w:rsidR="005A5FCC" w:rsidRDefault="00A21C81">
                  <w:pPr>
                    <w:spacing w:before="20" w:after="20" w:line="240" w:lineRule="auto"/>
                    <w:jc w:val="left"/>
                  </w:pPr>
                  <w:r>
                    <w:rPr>
                      <w:rFonts w:cs="EB Garamond"/>
                      <w:kern w:val="16"/>
                      <w:sz w:val="16"/>
                      <w14:ligatures w14:val="standardContextual"/>
                    </w:rPr>
                    <w:t>Livre</w:t>
                  </w:r>
                </w:p>
              </w:tc>
              <w:tc>
                <w:tcPr>
                  <w:tcW w:w="1587" w:type="dxa"/>
                  <w:tcBorders>
                    <w:top w:val="single" w:sz="4" w:space="0" w:color="D2C9B8"/>
                    <w:left w:val="single" w:sz="4" w:space="0" w:color="D2C9B8"/>
                    <w:bottom w:val="single" w:sz="4" w:space="0" w:color="D2C9B8"/>
                    <w:right w:val="single" w:sz="4" w:space="0" w:color="D2C9B8"/>
                  </w:tcBorders>
                </w:tcPr>
                <w:p w14:paraId="4B45AE84" w14:textId="77777777" w:rsidR="005A5FCC" w:rsidRDefault="00A21C81">
                  <w:pPr>
                    <w:spacing w:before="20" w:after="20" w:line="240" w:lineRule="auto"/>
                    <w:jc w:val="left"/>
                  </w:pPr>
                  <w:r>
                    <w:rPr>
                      <w:rFonts w:cs="EB Garamond"/>
                      <w:kern w:val="16"/>
                      <w:sz w:val="16"/>
                      <w14:ligatures w14:val="standardContextual"/>
                    </w:rPr>
                    <w:t>Nenhum. Ajuizar com o pressuposto faltante suprido</w:t>
                  </w:r>
                </w:p>
              </w:tc>
            </w:tr>
            <w:tr w:rsidR="005A5FCC" w14:paraId="3E31E691"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2E25353E" w14:textId="77777777" w:rsidR="005A5FCC" w:rsidRDefault="00A21C81">
                  <w:pPr>
                    <w:spacing w:before="20" w:after="20" w:line="240" w:lineRule="auto"/>
                    <w:jc w:val="left"/>
                  </w:pPr>
                  <w:r>
                    <w:rPr>
                      <w:rFonts w:cs="EB Garamond"/>
                      <w:kern w:val="16"/>
                      <w:sz w:val="16"/>
                      <w14:ligatures w14:val="standardContextual"/>
                    </w:rPr>
                    <w:t>Improcedência por insuficiência de provas</w:t>
                  </w:r>
                </w:p>
              </w:tc>
              <w:tc>
                <w:tcPr>
                  <w:tcW w:w="1587" w:type="dxa"/>
                  <w:tcBorders>
                    <w:top w:val="single" w:sz="4" w:space="0" w:color="D2C9B8"/>
                    <w:left w:val="single" w:sz="4" w:space="0" w:color="D2C9B8"/>
                    <w:bottom w:val="single" w:sz="4" w:space="0" w:color="D2C9B8"/>
                    <w:right w:val="single" w:sz="4" w:space="0" w:color="D2C9B8"/>
                  </w:tcBorders>
                </w:tcPr>
                <w:p w14:paraId="64785C85" w14:textId="77777777" w:rsidR="005A5FCC" w:rsidRDefault="00A21C81">
                  <w:pPr>
                    <w:spacing w:before="20" w:after="20" w:line="240" w:lineRule="auto"/>
                    <w:jc w:val="left"/>
                  </w:pPr>
                  <w:r>
                    <w:rPr>
                      <w:rFonts w:cs="EB Garamond"/>
                      <w:kern w:val="16"/>
                      <w:sz w:val="16"/>
                      <w14:ligatures w14:val="standardContextual"/>
                    </w:rPr>
                    <w:t>Secundum eventum probationis (Tema 629)</w:t>
                  </w:r>
                </w:p>
              </w:tc>
              <w:tc>
                <w:tcPr>
                  <w:tcW w:w="1587" w:type="dxa"/>
                  <w:tcBorders>
                    <w:top w:val="single" w:sz="4" w:space="0" w:color="D2C9B8"/>
                    <w:left w:val="single" w:sz="4" w:space="0" w:color="D2C9B8"/>
                    <w:bottom w:val="single" w:sz="4" w:space="0" w:color="D2C9B8"/>
                    <w:right w:val="single" w:sz="4" w:space="0" w:color="D2C9B8"/>
                  </w:tcBorders>
                </w:tcPr>
                <w:p w14:paraId="788241B7" w14:textId="77777777" w:rsidR="005A5FCC" w:rsidRDefault="00A21C81">
                  <w:pPr>
                    <w:spacing w:before="20" w:after="20" w:line="240" w:lineRule="auto"/>
                    <w:jc w:val="left"/>
                  </w:pPr>
                  <w:r>
                    <w:rPr>
                      <w:rFonts w:cs="EB Garamond"/>
                      <w:kern w:val="16"/>
                      <w:sz w:val="16"/>
                      <w14:ligatures w14:val="standardContextual"/>
                    </w:rPr>
                    <w:t>Sim</w:t>
                  </w:r>
                </w:p>
              </w:tc>
              <w:tc>
                <w:tcPr>
                  <w:tcW w:w="1587" w:type="dxa"/>
                  <w:tcBorders>
                    <w:top w:val="single" w:sz="4" w:space="0" w:color="D2C9B8"/>
                    <w:left w:val="single" w:sz="4" w:space="0" w:color="D2C9B8"/>
                    <w:bottom w:val="single" w:sz="4" w:space="0" w:color="D2C9B8"/>
                    <w:right w:val="single" w:sz="4" w:space="0" w:color="D2C9B8"/>
                  </w:tcBorders>
                </w:tcPr>
                <w:p w14:paraId="381FFCCC" w14:textId="77777777" w:rsidR="005A5FCC" w:rsidRDefault="00A21C81">
                  <w:pPr>
                    <w:spacing w:before="20" w:after="20" w:line="240" w:lineRule="auto"/>
                    <w:jc w:val="left"/>
                  </w:pPr>
                  <w:r>
                    <w:rPr>
                      <w:rFonts w:cs="EB Garamond"/>
                      <w:kern w:val="16"/>
                      <w:sz w:val="16"/>
                      <w14:ligatures w14:val="standardContextual"/>
                    </w:rPr>
                    <w:t>Prova nova ou fato novo (novo laudo, piora clínica)</w:t>
                  </w:r>
                </w:p>
              </w:tc>
            </w:tr>
            <w:tr w:rsidR="005A5FCC" w14:paraId="413252AD"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1B6714F5" w14:textId="77777777" w:rsidR="005A5FCC" w:rsidRDefault="00A21C81">
                  <w:pPr>
                    <w:spacing w:before="20" w:after="20" w:line="240" w:lineRule="auto"/>
                    <w:jc w:val="left"/>
                  </w:pPr>
                  <w:r>
                    <w:rPr>
                      <w:rFonts w:cs="EB Garamond"/>
                      <w:kern w:val="16"/>
                      <w:sz w:val="16"/>
                      <w14:ligatures w14:val="standardContextual"/>
                    </w:rPr>
                    <w:t>Improcedência com apreciação plena do mérito</w:t>
                  </w:r>
                </w:p>
              </w:tc>
              <w:tc>
                <w:tcPr>
                  <w:tcW w:w="1587" w:type="dxa"/>
                  <w:tcBorders>
                    <w:top w:val="single" w:sz="4" w:space="0" w:color="D2C9B8"/>
                    <w:left w:val="single" w:sz="4" w:space="0" w:color="D2C9B8"/>
                    <w:bottom w:val="single" w:sz="4" w:space="0" w:color="D2C9B8"/>
                    <w:right w:val="single" w:sz="4" w:space="0" w:color="D2C9B8"/>
                  </w:tcBorders>
                </w:tcPr>
                <w:p w14:paraId="5C9BAB08" w14:textId="77777777" w:rsidR="005A5FCC" w:rsidRDefault="00A21C81">
                  <w:pPr>
                    <w:spacing w:before="20" w:after="20" w:line="240" w:lineRule="auto"/>
                    <w:jc w:val="left"/>
                  </w:pPr>
                  <w:r>
                    <w:rPr>
                      <w:rFonts w:cs="EB Garamond"/>
                      <w:kern w:val="16"/>
                      <w:sz w:val="16"/>
                      <w14:ligatures w14:val="standardContextual"/>
                    </w:rPr>
                    <w:t>Coisa julgada material plena</w:t>
                  </w:r>
                </w:p>
              </w:tc>
              <w:tc>
                <w:tcPr>
                  <w:tcW w:w="1587" w:type="dxa"/>
                  <w:tcBorders>
                    <w:top w:val="single" w:sz="4" w:space="0" w:color="D2C9B8"/>
                    <w:left w:val="single" w:sz="4" w:space="0" w:color="D2C9B8"/>
                    <w:bottom w:val="single" w:sz="4" w:space="0" w:color="D2C9B8"/>
                    <w:right w:val="single" w:sz="4" w:space="0" w:color="D2C9B8"/>
                  </w:tcBorders>
                </w:tcPr>
                <w:p w14:paraId="5AFD3C4E" w14:textId="77777777" w:rsidR="005A5FCC" w:rsidRDefault="00A21C81">
                  <w:pPr>
                    <w:spacing w:before="20" w:after="20" w:line="240" w:lineRule="auto"/>
                    <w:jc w:val="left"/>
                  </w:pPr>
                  <w:r>
                    <w:rPr>
                      <w:rFonts w:cs="EB Garamond"/>
                      <w:kern w:val="16"/>
                      <w:sz w:val="16"/>
                      <w14:ligatures w14:val="standardContextual"/>
                    </w:rPr>
                    <w:t>Apenas com fato superveniente</w:t>
                  </w:r>
                </w:p>
              </w:tc>
              <w:tc>
                <w:tcPr>
                  <w:tcW w:w="1587" w:type="dxa"/>
                  <w:tcBorders>
                    <w:top w:val="single" w:sz="4" w:space="0" w:color="D2C9B8"/>
                    <w:left w:val="single" w:sz="4" w:space="0" w:color="D2C9B8"/>
                    <w:bottom w:val="single" w:sz="4" w:space="0" w:color="D2C9B8"/>
                    <w:right w:val="single" w:sz="4" w:space="0" w:color="D2C9B8"/>
                  </w:tcBorders>
                </w:tcPr>
                <w:p w14:paraId="3FFF537A" w14:textId="77777777" w:rsidR="005A5FCC" w:rsidRDefault="00A21C81">
                  <w:pPr>
                    <w:spacing w:before="20" w:after="20" w:line="240" w:lineRule="auto"/>
                    <w:jc w:val="left"/>
                  </w:pPr>
                  <w:r>
                    <w:rPr>
                      <w:rFonts w:cs="EB Garamond"/>
                      <w:kern w:val="16"/>
                      <w:sz w:val="16"/>
                      <w14:ligatures w14:val="standardContextual"/>
                    </w:rPr>
                    <w:t>Alteração da situação fática (rebus sic stantibus, Enunciado 35/FONAJEF)</w:t>
                  </w:r>
                </w:p>
              </w:tc>
            </w:tr>
            <w:tr w:rsidR="005A5FCC" w14:paraId="343CFD15"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429A8B24" w14:textId="77777777" w:rsidR="005A5FCC" w:rsidRDefault="00A21C81">
                  <w:pPr>
                    <w:spacing w:before="20" w:after="20" w:line="240" w:lineRule="auto"/>
                    <w:jc w:val="left"/>
                  </w:pPr>
                  <w:r>
                    <w:rPr>
                      <w:rFonts w:cs="EB Garamond"/>
                      <w:kern w:val="16"/>
                      <w:sz w:val="16"/>
                      <w14:ligatures w14:val="standardContextual"/>
                    </w:rPr>
                    <w:t>Procedência (benefício concedido)</w:t>
                  </w:r>
                </w:p>
              </w:tc>
              <w:tc>
                <w:tcPr>
                  <w:tcW w:w="1587" w:type="dxa"/>
                  <w:tcBorders>
                    <w:top w:val="single" w:sz="4" w:space="0" w:color="D2C9B8"/>
                    <w:left w:val="single" w:sz="4" w:space="0" w:color="D2C9B8"/>
                    <w:bottom w:val="single" w:sz="4" w:space="0" w:color="D2C9B8"/>
                    <w:right w:val="single" w:sz="4" w:space="0" w:color="D2C9B8"/>
                  </w:tcBorders>
                </w:tcPr>
                <w:p w14:paraId="3DD8CB2E" w14:textId="77777777" w:rsidR="005A5FCC" w:rsidRDefault="00A21C81">
                  <w:pPr>
                    <w:spacing w:before="20" w:after="20" w:line="240" w:lineRule="auto"/>
                    <w:jc w:val="left"/>
                  </w:pPr>
                  <w:r>
                    <w:rPr>
                      <w:rFonts w:cs="EB Garamond"/>
                      <w:kern w:val="16"/>
                      <w:sz w:val="16"/>
                      <w14:ligatures w14:val="standardContextual"/>
                    </w:rPr>
                    <w:t>Coisa julgada positiva</w:t>
                  </w:r>
                </w:p>
              </w:tc>
              <w:tc>
                <w:tcPr>
                  <w:tcW w:w="1587" w:type="dxa"/>
                  <w:tcBorders>
                    <w:top w:val="single" w:sz="4" w:space="0" w:color="D2C9B8"/>
                    <w:left w:val="single" w:sz="4" w:space="0" w:color="D2C9B8"/>
                    <w:bottom w:val="single" w:sz="4" w:space="0" w:color="D2C9B8"/>
                    <w:right w:val="single" w:sz="4" w:space="0" w:color="D2C9B8"/>
                  </w:tcBorders>
                </w:tcPr>
                <w:p w14:paraId="40F77B27" w14:textId="77777777" w:rsidR="005A5FCC" w:rsidRDefault="00A21C81">
                  <w:pPr>
                    <w:spacing w:before="20" w:after="20" w:line="240" w:lineRule="auto"/>
                    <w:jc w:val="left"/>
                  </w:pPr>
                  <w:r>
                    <w:rPr>
                      <w:rFonts w:cs="EB Garamond"/>
                      <w:kern w:val="16"/>
                      <w:sz w:val="16"/>
                      <w14:ligatures w14:val="standardContextual"/>
                    </w:rPr>
                    <w:t>INSS não pode rediscutir</w:t>
                  </w:r>
                </w:p>
              </w:tc>
              <w:tc>
                <w:tcPr>
                  <w:tcW w:w="1587" w:type="dxa"/>
                  <w:tcBorders>
                    <w:top w:val="single" w:sz="4" w:space="0" w:color="D2C9B8"/>
                    <w:left w:val="single" w:sz="4" w:space="0" w:color="D2C9B8"/>
                    <w:bottom w:val="single" w:sz="4" w:space="0" w:color="D2C9B8"/>
                    <w:right w:val="single" w:sz="4" w:space="0" w:color="D2C9B8"/>
                  </w:tcBorders>
                </w:tcPr>
                <w:p w14:paraId="713C6008" w14:textId="77777777" w:rsidR="005A5FCC" w:rsidRDefault="00A21C81">
                  <w:pPr>
                    <w:spacing w:before="20" w:after="20" w:line="240" w:lineRule="auto"/>
                    <w:jc w:val="left"/>
                  </w:pPr>
                  <w:r>
                    <w:rPr>
                      <w:rFonts w:cs="EB Garamond"/>
                      <w:kern w:val="16"/>
                      <w:sz w:val="16"/>
                      <w14:ligatures w14:val="standardContextual"/>
                    </w:rPr>
                    <w:t>Cessação depende de perícia de reavaliação ou ação própria</w:t>
                  </w:r>
                </w:p>
              </w:tc>
            </w:tr>
          </w:tbl>
          <w:p w14:paraId="22C5D0F1" w14:textId="77777777" w:rsidR="005A5FCC" w:rsidRDefault="005A5FCC"/>
          <w:p w14:paraId="19ED7DE0" w14:textId="77777777" w:rsidR="005A5FCC" w:rsidRDefault="005A5FCC">
            <w:pPr>
              <w:spacing w:after="0" w:line="240" w:lineRule="auto"/>
            </w:pPr>
          </w:p>
        </w:tc>
      </w:tr>
    </w:tbl>
    <w:p w14:paraId="50F62646" w14:textId="77777777" w:rsidR="005A5FCC" w:rsidRDefault="005A5FCC">
      <w:pPr>
        <w:spacing w:after="80" w:line="240" w:lineRule="auto"/>
      </w:pPr>
    </w:p>
    <w:p w14:paraId="0E2736CE" w14:textId="77777777" w:rsidR="005A5FCC" w:rsidRDefault="00A21C81">
      <w:pPr>
        <w:spacing w:before="260" w:after="80" w:line="240" w:lineRule="auto"/>
        <w:jc w:val="left"/>
      </w:pPr>
      <w:r>
        <w:rPr>
          <w:rFonts w:cs="EB Garamond"/>
          <w:b/>
          <w:color w:val="3A3128"/>
          <w:kern w:val="16"/>
          <w:sz w:val="25"/>
          <w14:ligatures w14:val="standardContextual"/>
        </w:rPr>
        <w:t>21.18.2 Orientação prática para a triagem</w:t>
      </w:r>
    </w:p>
    <w:p w14:paraId="116E3B7B"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N</w:t>
      </w:r>
    </w:p>
    <w:p w14:paraId="4CEC8B77" w14:textId="77777777" w:rsidR="005A5FCC" w:rsidRDefault="00A21C81">
      <w:r>
        <w:rPr>
          <w:rFonts w:cs="EB Garamond"/>
          <w:kern w:val="16"/>
          <w14:ligatures w14:val="standardContextual"/>
        </w:rPr>
        <w:t>a triagem de segunda ação por incapacidade, o magistrado dos JEFs deve seguir sequência lógica de verificação. O primeiro passo é consultar o sistema processual para identificar se há ação anterior com o mesmo pedido e a mesma parte. O segundo passo, identificada a ação anterior, é verificar o resultado: extinção sem mérito, improcedência ou procedência. O terceiro passo, em caso de improcedência, é examinar a fundamentação da sentença anterior para classificá-la: improcedência por insuficiência de provas ou improcedência com apreciação plena do mérito. O quarto passo é examinar a documentação da segunda ação para verificar se há prova nova ou fato superveniente que justifique o prosseguimento.</w:t>
      </w:r>
    </w:p>
    <w:p w14:paraId="29AF2D66" w14:textId="77777777" w:rsidR="005A5FCC" w:rsidRDefault="00A21C81">
      <w:pPr>
        <w:ind w:firstLine="238"/>
      </w:pPr>
      <w:r>
        <w:rPr>
          <w:rFonts w:cs="EB Garamond"/>
          <w:kern w:val="16"/>
          <w14:ligatures w14:val="standardContextual"/>
        </w:rPr>
        <w:lastRenderedPageBreak/>
        <w:t>Essa triagem pode ser realizada no despacho inicial, antes mesmo da citação do INSS, o que contribui para a eficiência dos JEFs ao evitar a tramitação desnecessária de ações que esbarram na coisa julgada. A economia processual, nesse ponto, opera tanto em favor do Judiciário quanto do próprio segurado, que obtém decisão célere sobre a admissibilidade de sua pretensão.</w:t>
      </w:r>
    </w:p>
    <w:p w14:paraId="406D5B60"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21.19 Querela nullitatis nos JEFs</w:t>
      </w:r>
    </w:p>
    <w:p w14:paraId="3E5749FE" w14:textId="77777777" w:rsidR="005A5FCC" w:rsidRDefault="00A21C81">
      <w:pPr>
        <w:spacing w:before="260" w:after="80" w:line="240" w:lineRule="auto"/>
        <w:jc w:val="left"/>
      </w:pPr>
      <w:r>
        <w:rPr>
          <w:rFonts w:cs="EB Garamond"/>
          <w:b/>
          <w:color w:val="3A3128"/>
          <w:kern w:val="16"/>
          <w:sz w:val="25"/>
          <w14:ligatures w14:val="standardContextual"/>
        </w:rPr>
        <w:t>21.19.1 Conceito e fundamento</w:t>
      </w:r>
    </w:p>
    <w:p w14:paraId="35BE6021"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637A9712" w14:textId="77777777" w:rsidR="005A5FCC" w:rsidRDefault="00A21C81">
      <w:r>
        <w:rPr>
          <w:rFonts w:cs="EB Garamond"/>
          <w:kern w:val="16"/>
          <w14:ligatures w14:val="standardContextual"/>
        </w:rPr>
        <w:t xml:space="preserve"> querela nullitatis insanabilis é ação declaratória que visa ao reconhecimento da inexistência ou nulidade de sentença eivada de vício transrescisório, isto é, vício tão grave que transcende o prazo e o âmbito da ação rescisória. Diferentemente da ação rescisória, que pressupõe sentença válida e busca desconstituir a coisa julgada por fundamentos específicos (art. 966 do CPC), a querela nullitatis parte da premissa de que a sentença é juridicamente inexistente ou absolutamente nula, e busca a declaração judicial dessa inexistência.</w:t>
      </w:r>
    </w:p>
    <w:p w14:paraId="71027982" w14:textId="77777777" w:rsidR="005A5FCC" w:rsidRDefault="00A21C81">
      <w:pPr>
        <w:ind w:firstLine="238"/>
      </w:pPr>
      <w:r>
        <w:rPr>
          <w:rFonts w:cs="EB Garamond"/>
          <w:kern w:val="16"/>
          <w14:ligatures w14:val="standardContextual"/>
        </w:rPr>
        <w:t>A querela nullitatis tem especial relevância nos JEFs porque, conforme veremos na seção 21.20, o art. 59 da Lei 9.099/95 veda expressamente a ação rescisória nas causas que tramitam nos Juizados Especiais. Sem a querela nullitatis, o segurado que fosse vítima de vício transrescisório em sentença proferida por JEF ficaria sem qualquer instrumento para impugnar a decisão, situação que violaria o devido processo legal e o acesso à justiça.</w:t>
      </w:r>
    </w:p>
    <w:p w14:paraId="06FC669E" w14:textId="77777777" w:rsidR="005A5FCC" w:rsidRDefault="00A21C81">
      <w:pPr>
        <w:spacing w:before="260" w:after="80" w:line="240" w:lineRule="auto"/>
        <w:jc w:val="left"/>
      </w:pPr>
      <w:r>
        <w:rPr>
          <w:rFonts w:cs="EB Garamond"/>
          <w:b/>
          <w:color w:val="3A3128"/>
          <w:kern w:val="16"/>
          <w:sz w:val="25"/>
          <w14:ligatures w14:val="standardContextual"/>
        </w:rPr>
        <w:t>21.19.2 Hipóteses de cabimento</w:t>
      </w:r>
    </w:p>
    <w:p w14:paraId="1BF96E94"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4B13D990" w14:textId="685A65EB" w:rsidR="005A5FCC" w:rsidRDefault="00A21C81">
      <w:r>
        <w:rPr>
          <w:rFonts w:cs="EB Garamond"/>
          <w:kern w:val="16"/>
          <w14:ligatures w14:val="standardContextual"/>
        </w:rPr>
        <w:t xml:space="preserve">s hipóteses clássicas de cabimento da querela nullitatis são a ausência de citação válida e a incompetência absoluta do juízo. No contexto previdenciário dos JEFs, a ausência de citação válida pode ocorrer quando o segurado, réu em ação do INSS (por exemplo, ação de cobrança de valores pagos indevidamente), não é regularmente citado e a sentença transita em julgado à revelia. A incompetência absoluta pode configurar-se quando a ação tramita em JEF sem observância dos critérios de competência da Lei 10.259/2001 (valor da </w:t>
      </w:r>
      <w:r>
        <w:rPr>
          <w:rFonts w:cs="EB Garamond"/>
          <w:kern w:val="16"/>
          <w14:ligatures w14:val="standardContextual"/>
        </w:rPr>
        <w:lastRenderedPageBreak/>
        <w:t xml:space="preserve">causa superior a 60 </w:t>
      </w:r>
      <w:r w:rsidR="009842A4">
        <w:rPr>
          <w:rFonts w:cs="EB Garamond"/>
          <w:kern w:val="16"/>
          <w14:ligatures w14:val="standardContextual"/>
        </w:rPr>
        <w:t>salários-mínimos</w:t>
      </w:r>
      <w:r>
        <w:rPr>
          <w:rFonts w:cs="EB Garamond"/>
          <w:kern w:val="16"/>
          <w14:ligatures w14:val="standardContextual"/>
        </w:rPr>
        <w:t xml:space="preserve"> ou matéria excluída da competência dos JEFs).</w:t>
      </w:r>
    </w:p>
    <w:p w14:paraId="538E532F" w14:textId="77777777" w:rsidR="005A5FCC" w:rsidRDefault="00A21C81">
      <w:pPr>
        <w:ind w:firstLine="238"/>
      </w:pPr>
      <w:r>
        <w:rPr>
          <w:rFonts w:cs="EB Garamond"/>
          <w:kern w:val="16"/>
          <w14:ligatures w14:val="standardContextual"/>
        </w:rPr>
        <w:t>Outras hipóteses, embora menos frequentes, incluem a sentença proferida por juiz impedido (quando o impedimento é de conhecimento posterior e a parte não pôde arguir em tempo hábil) e a sentença proferida contra pessoa absolutamente incapaz sem a devida representação processual. Nesse último caso, a nulidade insanável decorre da falta de pressuposto processual subjetivo (capacidade processual), que vicia o processo desde a origem.</w:t>
      </w:r>
    </w:p>
    <w:p w14:paraId="161A252B" w14:textId="77777777" w:rsidR="005A5FCC" w:rsidRDefault="00A21C81">
      <w:pPr>
        <w:spacing w:before="260" w:after="80" w:line="240" w:lineRule="auto"/>
        <w:jc w:val="left"/>
      </w:pPr>
      <w:r>
        <w:rPr>
          <w:rFonts w:cs="EB Garamond"/>
          <w:b/>
          <w:color w:val="3A3128"/>
          <w:kern w:val="16"/>
          <w:sz w:val="25"/>
          <w14:ligatures w14:val="standardContextual"/>
        </w:rPr>
        <w:t>21.19.3 Competência</w:t>
      </w:r>
    </w:p>
    <w:p w14:paraId="0410961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0B5B0EC2" w14:textId="286417B5" w:rsidR="005A5FCC" w:rsidRDefault="00A21C81">
      <w:r>
        <w:rPr>
          <w:rFonts w:cs="EB Garamond"/>
          <w:kern w:val="16"/>
          <w14:ligatures w14:val="standardContextual"/>
        </w:rPr>
        <w:t xml:space="preserve"> querela nullitatis deve ser ajuizada no próprio juízo que proferiu a sentença atacada. Quando a sentença nula foi prolatada por juízo de JEF, a querela deve ser proposta no JEF, observado o limite de valor de causa de 60 </w:t>
      </w:r>
      <w:r w:rsidR="009842A4">
        <w:rPr>
          <w:rFonts w:cs="EB Garamond"/>
          <w:kern w:val="16"/>
          <w14:ligatures w14:val="standardContextual"/>
        </w:rPr>
        <w:t>salários-mínimos</w:t>
      </w:r>
      <w:r>
        <w:rPr>
          <w:rFonts w:cs="EB Garamond"/>
          <w:kern w:val="16"/>
          <w14:ligatures w14:val="standardContextual"/>
        </w:rPr>
        <w:t xml:space="preserve"> (R$ 97.260,00 em 2026). Se a sentença foi proferida pela Turma Recursal em grau de recurso, a querela deve ser dirigida à própria Turma Recursal. A regra de competência decorre do princípio de que o vício transrescisório é questão de ordem pública que pode ser conhecida pelo próprio juízo que o praticou.</w:t>
      </w:r>
    </w:p>
    <w:p w14:paraId="3F51DB81" w14:textId="77777777" w:rsidR="005A5FCC" w:rsidRDefault="00A21C81">
      <w:pPr>
        <w:spacing w:before="260" w:after="80" w:line="240" w:lineRule="auto"/>
        <w:jc w:val="left"/>
      </w:pPr>
      <w:r>
        <w:rPr>
          <w:rFonts w:cs="EB Garamond"/>
          <w:b/>
          <w:color w:val="3A3128"/>
          <w:kern w:val="16"/>
          <w:sz w:val="25"/>
          <w14:ligatures w14:val="standardContextual"/>
        </w:rPr>
        <w:t>21.19.4 Imprescritibilidade</w:t>
      </w:r>
    </w:p>
    <w:p w14:paraId="425EB21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45E2E81C" w14:textId="77777777" w:rsidR="005A5FCC" w:rsidRDefault="00A21C81">
      <w:r>
        <w:rPr>
          <w:rFonts w:cs="EB Garamond"/>
          <w:kern w:val="16"/>
          <w14:ligatures w14:val="standardContextual"/>
        </w:rPr>
        <w:t xml:space="preserve"> querela nullitatis não se sujeita a prazo prescricional ou decadencial. A inexistência jurídica do ato viciado por defeito transrescisório é perpétua: a sentença proferida sem citação válida é nula desde a origem e permanece nula independentemente do transcurso de tempo. Essa imprescritibilidade é consequência lógica da natureza do vício: se a sentença é juridicamente inexistente, ela não pode adquirir existência pelo decurso do tempo. A coisa julgada pressupõe sentença existente e válida; onde não há sentença válida, não há coisa julgada a proteger.</w:t>
      </w:r>
    </w:p>
    <w:p w14:paraId="2CEF4627" w14:textId="77777777" w:rsidR="005A5FCC" w:rsidRDefault="00A21C81">
      <w:pPr>
        <w:spacing w:before="260" w:after="80" w:line="240" w:lineRule="auto"/>
        <w:jc w:val="left"/>
      </w:pPr>
      <w:r>
        <w:rPr>
          <w:rFonts w:cs="EB Garamond"/>
          <w:b/>
          <w:color w:val="3A3128"/>
          <w:kern w:val="16"/>
          <w:sz w:val="25"/>
          <w14:ligatures w14:val="standardContextual"/>
        </w:rPr>
        <w:t>21.19.5 Forma de veiculação</w:t>
      </w:r>
    </w:p>
    <w:p w14:paraId="726300AF"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5B1E3475" w14:textId="77777777" w:rsidR="005A5FCC" w:rsidRDefault="00A21C81">
      <w:r>
        <w:rPr>
          <w:rFonts w:cs="EB Garamond"/>
          <w:kern w:val="16"/>
          <w14:ligatures w14:val="standardContextual"/>
        </w:rPr>
        <w:t xml:space="preserve"> querela nullitatis pode ser veiculada de duas formas: por ação autônoma declaratória ou como questão prejudicial em outro processo. O STJ, no </w:t>
      </w:r>
      <w:r>
        <w:rPr>
          <w:rFonts w:cs="EB Garamond"/>
          <w:kern w:val="16"/>
          <w14:ligatures w14:val="standardContextual"/>
        </w:rPr>
        <w:lastRenderedPageBreak/>
        <w:t>julgamento do REsp 2.145.294/SC (Terceira Turma, j. 18/06/2024) — precedente de matéria cível, cuja construção processual se transpõe por analogia aos JEFs —, reconheceu que a nulidade transrescisória pode ser suscitada como questão prejudicial em ação distinta, sem necessidade de ajuizamento de ação autônoma. Essa decisão ampliou as possibilidades de veiculação da querela no âmbito dos JEFs.</w:t>
      </w:r>
    </w:p>
    <w:p w14:paraId="30CF4226" w14:textId="77777777" w:rsidR="005A5FCC" w:rsidRDefault="00A21C81">
      <w:pPr>
        <w:ind w:firstLine="238"/>
      </w:pPr>
      <w:r>
        <w:rPr>
          <w:rFonts w:cs="EB Garamond"/>
          <w:kern w:val="16"/>
          <w14:ligatures w14:val="standardContextual"/>
        </w:rPr>
        <w:t>Na prática dos JEFs, a veiculação como questão prejudicial é particularmente útil quando o segurado ajuíza nova ação de concessão de benefício e, na nova ação, alega que a sentença anterior (que indeferiu o pedido) é nula por vício de citação. O juiz da segunda ação pode, então, examinar a nulidade como questão prejudicial e, reconhecendo-a, prosseguir com o julgamento da pretensão de concessão sem que o segurado precise ajuizar ação autônoma de querela nullitatis.</w:t>
      </w:r>
    </w:p>
    <w:p w14:paraId="1A2976E3" w14:textId="77777777" w:rsidR="005A5FCC" w:rsidRDefault="00A21C81">
      <w:pPr>
        <w:ind w:firstLine="238"/>
      </w:pPr>
      <w:r>
        <w:rPr>
          <w:rFonts w:cs="EB Garamond"/>
          <w:kern w:val="16"/>
          <w14:ligatures w14:val="standardContextual"/>
        </w:rPr>
        <w:t>Para os aspectos procedimentais da querela nullitatis nos JEFs — competência para processamento, rito, legitimidade passiva e forma de instrução —, remetemos ao Capítulo 23, seção 23.35. Para a interface da querela com a revisão de benefícios, remetemos ao Capítulo 17, seção 17.10.</w:t>
      </w:r>
    </w:p>
    <w:p w14:paraId="43C29617"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21.20 Ação rescisória e os JEFs: vedação e alternativas</w:t>
      </w:r>
    </w:p>
    <w:p w14:paraId="1B04CFF7" w14:textId="77777777" w:rsidR="005A5FCC" w:rsidRDefault="00A21C81">
      <w:pPr>
        <w:spacing w:before="260" w:after="80" w:line="240" w:lineRule="auto"/>
        <w:jc w:val="left"/>
      </w:pPr>
      <w:r>
        <w:rPr>
          <w:rFonts w:cs="EB Garamond"/>
          <w:b/>
          <w:color w:val="3A3128"/>
          <w:kern w:val="16"/>
          <w:sz w:val="25"/>
          <w14:ligatures w14:val="standardContextual"/>
        </w:rPr>
        <w:t>21.20.1 A vedação do art. 59 da lei 9.099/95</w:t>
      </w:r>
    </w:p>
    <w:p w14:paraId="22AB07E1"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165A11B7" w14:textId="77777777" w:rsidR="005A5FCC" w:rsidRDefault="00A21C81">
      <w:r>
        <w:rPr>
          <w:rFonts w:cs="EB Garamond"/>
          <w:kern w:val="16"/>
          <w14:ligatures w14:val="standardContextual"/>
        </w:rPr>
        <w:t xml:space="preserve"> art. 59 da Lei 9.099, de 26 de setembro de 1995, dispõe de forma categórica: "Não se admitirá ação rescisória nas causas sujeitas ao procedimento instituído por esta Lei." A vedação integra a arquitetura dos Juizados Especiais, concebidos como sistema processual simplificado, célere e orientado pela oralidade, no qual a estabilidade das decisões é reforçada pela inexistência do instrumento rescisório.</w:t>
      </w:r>
    </w:p>
    <w:p w14:paraId="18665E31" w14:textId="77777777" w:rsidR="005A5FCC" w:rsidRDefault="00A21C81">
      <w:pPr>
        <w:ind w:firstLine="238"/>
      </w:pPr>
      <w:r>
        <w:rPr>
          <w:rFonts w:cs="EB Garamond"/>
          <w:kern w:val="16"/>
          <w14:ligatures w14:val="standardContextual"/>
        </w:rPr>
        <w:t xml:space="preserve">A Lei 10.259, de 12 de julho de 2001, que instituiu os Juizados Especiais Federais, não excepciona a vedação. O art. 1º da Lei 10.259/2001 determina a aplicação subsidiária da Lei 9.099/95 aos JEFs. A vedação de ação rescisória, prevista </w:t>
      </w:r>
      <w:r>
        <w:rPr>
          <w:rFonts w:cs="EB Garamond"/>
          <w:kern w:val="16"/>
          <w14:ligatures w14:val="standardContextual"/>
        </w:rPr>
        <w:lastRenderedPageBreak/>
        <w:t>no art. 59 da Lei 9.099/95, aplica-se integralmente aos JEFs, sem qualquer ressalva.</w:t>
      </w:r>
    </w:p>
    <w:p w14:paraId="2A3846EF" w14:textId="77777777" w:rsidR="005A5FCC" w:rsidRDefault="00A21C81">
      <w:pPr>
        <w:ind w:firstLine="238"/>
      </w:pPr>
      <w:r>
        <w:rPr>
          <w:rFonts w:cs="EB Garamond"/>
          <w:kern w:val="16"/>
          <w14:ligatures w14:val="standardContextual"/>
        </w:rPr>
        <w:t>O Enunciado 26 do FONAJEF confirma o entendimento: "Não cabe ação rescisória de sentença proferida nos Juizados Especiais Federais." A posição é pacífica na jurisprudência das Turmas Recursais e do STJ.</w:t>
      </w:r>
    </w:p>
    <w:p w14:paraId="4C05FD17" w14:textId="77777777" w:rsidR="005A5FCC" w:rsidRDefault="00A21C81">
      <w:pPr>
        <w:spacing w:before="260" w:after="80" w:line="240" w:lineRule="auto"/>
        <w:jc w:val="left"/>
      </w:pPr>
      <w:r>
        <w:rPr>
          <w:rFonts w:cs="EB Garamond"/>
          <w:b/>
          <w:color w:val="3A3128"/>
          <w:kern w:val="16"/>
          <w:sz w:val="25"/>
          <w14:ligatures w14:val="standardContextual"/>
        </w:rPr>
        <w:t>21.20.2 Fundamento da vedação</w:t>
      </w:r>
    </w:p>
    <w:p w14:paraId="1CCB330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3A713496" w14:textId="77777777" w:rsidR="005A5FCC" w:rsidRDefault="00A21C81">
      <w:r>
        <w:rPr>
          <w:rFonts w:cs="EB Garamond"/>
          <w:kern w:val="16"/>
          <w14:ligatures w14:val="standardContextual"/>
        </w:rPr>
        <w:t xml:space="preserve"> vedação encontra fundamento no princípio da celeridade que orienta o sistema dos Juizados Especiais. A ação rescisória, com seu prazo de dois anos (art. 975 do CPC), sua complexidade procedimental e sua tramitação perante tribunal de segunda instância, é incompatível com a simplicidade que o legislador pretendeu imprimir aos Juizados. Admitir a rescisória nos JEFs significaria criar canal de acesso à segunda instância federal (TRF) para reexame de mérito de sentenças proferidas por sistema processual que foi concebido para operar com duas instâncias próprias (JEF e Turma Recursal).</w:t>
      </w:r>
    </w:p>
    <w:p w14:paraId="23FB3C4E" w14:textId="77777777" w:rsidR="005A5FCC" w:rsidRDefault="00A21C81">
      <w:pPr>
        <w:ind w:firstLine="238"/>
      </w:pPr>
      <w:r>
        <w:rPr>
          <w:rFonts w:cs="EB Garamond"/>
          <w:kern w:val="16"/>
          <w14:ligatures w14:val="standardContextual"/>
        </w:rPr>
        <w:t>A vedação, embora coerente com a lógica do sistema, cria lacuna de proteção. O segurado que é vítima de sentença proferida com violação manifesta de norma jurídica (hipótese clássica de rescisória pelo art. 966, V, do CPC) não dispõe, no âmbito dos JEFs, do instrumento que lhe permitiria desconstituir a decisão. Essa lacuna é parcialmente preenchida pelas alternativas examinadas a seguir.</w:t>
      </w:r>
    </w:p>
    <w:p w14:paraId="78453FB2" w14:textId="77777777" w:rsidR="005A5FCC" w:rsidRDefault="00A21C81">
      <w:pPr>
        <w:spacing w:before="260" w:after="80" w:line="240" w:lineRule="auto"/>
        <w:jc w:val="left"/>
      </w:pPr>
      <w:r>
        <w:rPr>
          <w:rFonts w:cs="EB Garamond"/>
          <w:b/>
          <w:color w:val="3A3128"/>
          <w:kern w:val="16"/>
          <w:sz w:val="25"/>
          <w14:ligatures w14:val="standardContextual"/>
        </w:rPr>
        <w:t>21.20.3 Alternativas à ação rescisória nos JEFs</w:t>
      </w:r>
    </w:p>
    <w:p w14:paraId="13A974D2"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D</w:t>
      </w:r>
    </w:p>
    <w:p w14:paraId="66F35828" w14:textId="77777777" w:rsidR="005A5FCC" w:rsidRDefault="00A21C81">
      <w:r>
        <w:rPr>
          <w:rFonts w:cs="EB Garamond"/>
          <w:kern w:val="16"/>
          <w14:ligatures w14:val="standardContextual"/>
        </w:rPr>
        <w:t>iante da vedação, o sistema processual dos JEFs oferece três instrumentos que, em situações específicas, podem suprir a função que a ação rescisória exerceria no procedimento comum.</w:t>
      </w:r>
    </w:p>
    <w:p w14:paraId="2089D565" w14:textId="77777777" w:rsidR="005A5FCC" w:rsidRDefault="00A21C81">
      <w:pPr>
        <w:ind w:firstLine="238"/>
      </w:pPr>
      <w:r>
        <w:rPr>
          <w:rFonts w:cs="EB Garamond"/>
          <w:kern w:val="16"/>
          <w14:ligatures w14:val="standardContextual"/>
        </w:rPr>
        <w:t>O primeiro instrumento é a querela nullitatis (seção 21.19), cabível para vícios transrescisórios (citação nula, incompetência absoluta). A querela não substitui a rescisória em sentido técnico, pois pressupõe vício de natureza distinta (inexistência da sentença, e não erro de julgamento), mas atende aos casos mais graves de nulidade processual.</w:t>
      </w:r>
    </w:p>
    <w:p w14:paraId="62CC3584" w14:textId="77777777" w:rsidR="005A5FCC" w:rsidRDefault="00A21C81">
      <w:pPr>
        <w:ind w:firstLine="238"/>
      </w:pPr>
      <w:r>
        <w:rPr>
          <w:rFonts w:cs="EB Garamond"/>
          <w:kern w:val="16"/>
          <w14:ligatures w14:val="standardContextual"/>
        </w:rPr>
        <w:lastRenderedPageBreak/>
        <w:t>O segundo instrumento é a nova ação com fato superveniente, disponível nas hipóteses de incapacidade laboral em que a situação fática se alterou após o trânsito em julgado (cláusula rebus sic stantibus e Tema 629/STJ). Esse instrumento não rescinde a sentença anterior, mas permite nova decisão sobre questão que, por sua natureza dinâmica, comporta rediscussão.</w:t>
      </w:r>
    </w:p>
    <w:p w14:paraId="4F2E0123" w14:textId="77777777" w:rsidR="005A5FCC" w:rsidRDefault="00A21C81">
      <w:pPr>
        <w:ind w:firstLine="238"/>
      </w:pPr>
      <w:r>
        <w:rPr>
          <w:rFonts w:cs="EB Garamond"/>
          <w:kern w:val="16"/>
          <w14:ligatures w14:val="standardContextual"/>
        </w:rPr>
        <w:t>O terceiro instrumento é a reclamação constitucional ao STF (art. 988, III, do CPC), cabível quando a sentença do JEF contraria precedente vinculante do Supremo. A reclamação não é sucedânea da rescisória em sentido amplo, mas permite a correção de sentenças que violem a autoridade de decisões do STF em sede de repercussão geral ou de controle concentrado de constitucionalidade. A via é estreita, mas funcional em casos específicos.</w:t>
      </w:r>
    </w:p>
    <w:tbl>
      <w:tblPr>
        <w:tblW w:w="5000" w:type="pct"/>
        <w:jc w:val="center"/>
        <w:tblLayout w:type="fixed"/>
        <w:tblLook w:val="04A0" w:firstRow="1" w:lastRow="0" w:firstColumn="1" w:lastColumn="0" w:noHBand="0" w:noVBand="1"/>
      </w:tblPr>
      <w:tblGrid>
        <w:gridCol w:w="6311"/>
      </w:tblGrid>
      <w:tr w:rsidR="005A5FCC" w14:paraId="02509513"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32EE830B"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032602FC" w14:textId="77777777" w:rsidR="005A5FCC" w:rsidRDefault="00A21C81">
            <w:pPr>
              <w:spacing w:after="60" w:line="247" w:lineRule="auto"/>
            </w:pPr>
            <w:r>
              <w:rPr>
                <w:rFonts w:cs="EB Garamond"/>
                <w:b/>
                <w:kern w:val="16"/>
                <w:sz w:val="19"/>
                <w14:ligatures w14:val="standardContextual"/>
              </w:rPr>
              <w:t>Vedação de ação rescisória nos JEFs: síntese</w:t>
            </w:r>
          </w:p>
          <w:p w14:paraId="644D23AF" w14:textId="77777777" w:rsidR="005A5FCC" w:rsidRDefault="00A21C81">
            <w:pPr>
              <w:spacing w:after="60" w:line="247" w:lineRule="auto"/>
            </w:pPr>
            <w:r>
              <w:rPr>
                <w:rFonts w:cs="EB Garamond"/>
                <w:kern w:val="16"/>
                <w:sz w:val="19"/>
                <w14:ligatures w14:val="standardContextual"/>
              </w:rPr>
              <w:t>A sentença de mérito transitada em julgado proferida por Juiz Federal em exercício no JEF não pode ser atacada por ação rescisória (art. 59 da Lei 9.099/95; Enunciado 26/FONAJEF). Essa vedação é absoluta e não comporta exceção interpretativa.</w:t>
            </w:r>
          </w:p>
          <w:p w14:paraId="7E5EDBDF" w14:textId="77777777" w:rsidR="005A5FCC" w:rsidRDefault="00A21C81">
            <w:pPr>
              <w:spacing w:after="60" w:line="247" w:lineRule="auto"/>
            </w:pPr>
            <w:r>
              <w:rPr>
                <w:rFonts w:cs="EB Garamond"/>
                <w:kern w:val="16"/>
                <w:sz w:val="19"/>
                <w14:ligatures w14:val="standardContextual"/>
              </w:rPr>
              <w:t xml:space="preserve">O advogado que identifica vício na sentença transitada em julgado deve avaliar as alternativas disponíveis: - </w:t>
            </w:r>
            <w:r>
              <w:rPr>
                <w:rFonts w:cs="EB Garamond"/>
                <w:b/>
                <w:kern w:val="16"/>
                <w:sz w:val="19"/>
                <w14:ligatures w14:val="standardContextual"/>
              </w:rPr>
              <w:t>Vício de citação ou incompetência absoluta</w:t>
            </w:r>
            <w:r>
              <w:rPr>
                <w:rFonts w:cs="EB Garamond"/>
                <w:kern w:val="16"/>
                <w:sz w:val="19"/>
                <w14:ligatures w14:val="standardContextual"/>
              </w:rPr>
              <w:t xml:space="preserve">: querela nullitatis (imprescritível). - </w:t>
            </w:r>
            <w:r>
              <w:rPr>
                <w:rFonts w:cs="EB Garamond"/>
                <w:b/>
                <w:kern w:val="16"/>
                <w:sz w:val="19"/>
                <w14:ligatures w14:val="standardContextual"/>
              </w:rPr>
              <w:t>Alteração superveniente da condição fática (incapacidade)</w:t>
            </w:r>
            <w:r>
              <w:rPr>
                <w:rFonts w:cs="EB Garamond"/>
                <w:kern w:val="16"/>
                <w:sz w:val="19"/>
                <w14:ligatures w14:val="standardContextual"/>
              </w:rPr>
              <w:t xml:space="preserve">: nova ação com prova de fato novo (Tema 629/STJ; Enunciado 35/FONAJEF). - </w:t>
            </w:r>
            <w:r>
              <w:rPr>
                <w:rFonts w:cs="EB Garamond"/>
                <w:b/>
                <w:kern w:val="16"/>
                <w:sz w:val="19"/>
                <w14:ligatures w14:val="standardContextual"/>
              </w:rPr>
              <w:t>Violação de precedente vinculante do STF</w:t>
            </w:r>
            <w:r>
              <w:rPr>
                <w:rFonts w:cs="EB Garamond"/>
                <w:kern w:val="16"/>
                <w:sz w:val="19"/>
                <w14:ligatures w14:val="standardContextual"/>
              </w:rPr>
              <w:t>: reclamação constitucional (art. 988, III, CPC).</w:t>
            </w:r>
          </w:p>
          <w:p w14:paraId="1825EF0D" w14:textId="77777777" w:rsidR="005A5FCC" w:rsidRDefault="00A21C81">
            <w:pPr>
              <w:spacing w:after="60" w:line="247" w:lineRule="auto"/>
            </w:pPr>
            <w:r>
              <w:rPr>
                <w:rFonts w:cs="EB Garamond"/>
                <w:kern w:val="16"/>
                <w:sz w:val="19"/>
                <w14:ligatures w14:val="standardContextual"/>
              </w:rPr>
              <w:t>Não há instrumento que permita rescindir sentença dos JEFs por violação de norma jurídica federal (hipótese do art. 966, V, CPC). Essa lacuna é consequência estrutural da vedação e deve ser considerada na ponderação sobre a conveniência de ajuizar a ação nos JEFs ou na Justiça Federal comum, quando o valor da causa permite a opção.</w:t>
            </w:r>
          </w:p>
        </w:tc>
      </w:tr>
    </w:tbl>
    <w:p w14:paraId="6873BB16" w14:textId="77777777" w:rsidR="005A5FCC" w:rsidRDefault="005A5FCC">
      <w:pPr>
        <w:spacing w:after="80" w:line="240" w:lineRule="auto"/>
      </w:pPr>
    </w:p>
    <w:p w14:paraId="3ADD3C3F" w14:textId="77777777" w:rsidR="005A5FCC" w:rsidRDefault="00A21C81">
      <w:pPr>
        <w:spacing w:before="260" w:after="80" w:line="240" w:lineRule="auto"/>
        <w:jc w:val="left"/>
      </w:pPr>
      <w:r>
        <w:rPr>
          <w:rFonts w:cs="EB Garamond"/>
          <w:b/>
          <w:color w:val="3A3128"/>
          <w:kern w:val="16"/>
          <w:sz w:val="25"/>
          <w14:ligatures w14:val="standardContextual"/>
        </w:rPr>
        <w:t>21.20.4 Posição adotada</w:t>
      </w:r>
    </w:p>
    <w:p w14:paraId="545D140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11D633E7" w14:textId="77777777" w:rsidR="005A5FCC" w:rsidRDefault="00A21C81">
      <w:r>
        <w:rPr>
          <w:rFonts w:cs="EB Garamond"/>
          <w:kern w:val="16"/>
          <w14:ligatures w14:val="standardContextual"/>
        </w:rPr>
        <w:t xml:space="preserve"> vedação de ação rescisória nos JEFs é legítima e coerente com o princípio da celeridade que estrutura o sistema. A estabilidade das decisões nos JEFs é reforçada pela inexistência do instrumento rescisório, o que contribui </w:t>
      </w:r>
      <w:r>
        <w:rPr>
          <w:rFonts w:cs="EB Garamond"/>
          <w:kern w:val="16"/>
          <w14:ligatures w14:val="standardContextual"/>
        </w:rPr>
        <w:lastRenderedPageBreak/>
        <w:t>para a segurança jurídica e para a efetividade das sentenças. Reconhecemos, contudo, que a vedação exige contrapartidas: o sistema deve oferecer alternativas eficazes para os casos de vícios graves (querela nullitatis) e de alteração fática superveniente (cláusula rebus sic stantibus). A inexistência dessas alternativas transformaria a vedação da rescisória em obstáculo ao acesso à justiça, resultado incompatível com o art. 5º, XXXV, da Constituição Federal.</w:t>
      </w:r>
    </w:p>
    <w:p w14:paraId="6191D2D9" w14:textId="77777777" w:rsidR="005A5FCC" w:rsidRDefault="00A21C81">
      <w:pPr>
        <w:ind w:firstLine="238"/>
      </w:pPr>
      <w:r>
        <w:rPr>
          <w:rFonts w:cs="EB Garamond"/>
          <w:kern w:val="16"/>
          <w14:ligatures w14:val="standardContextual"/>
        </w:rPr>
        <w:t>O advogado e o magistrado devem considerar, na prática, que a vedação de ação rescisória torna ainda mais relevante a qualidade da instrução processual na primeira ação. Nos JEFs, a sentença de mérito é, em regra, definitiva: uma vez transitada em julgado, não há instrumento que permita reexame de mérito por erro de julgamento. Essa realidade impõe ao magistrado o dever de instrução cuidadosa e fundamentação adequada, e ao advogado o dever de produzir prova robusta e de manejar os recursos internos do sistema (recurso inominado para a Turma Recursal, pedido de uniformização) antes do trânsito em julgado.</w:t>
      </w:r>
    </w:p>
    <w:p w14:paraId="3252B5EF"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21.21 Consolidação das posições adotadas</w:t>
      </w:r>
    </w:p>
    <w:p w14:paraId="2A1A6944"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52452E91" w14:textId="77777777" w:rsidR="005A5FCC" w:rsidRDefault="00A21C81">
      <w:r>
        <w:rPr>
          <w:rFonts w:cs="EB Garamond"/>
          <w:kern w:val="16"/>
          <w14:ligatures w14:val="standardContextual"/>
        </w:rPr>
        <w:t>o longo das vinte seções precedentes, examinamos os três institutos que delimitam temporalmente o exercício dos direitos previdenciários nos Juizados Especiais Federais: decadência, prescrição e coisa julgada. A extensão da análise reflete a complexidade da matéria e a frequência com que ela se apresenta na rotina dos JEFs. Consolidamos, a seguir, as dez posições que adotamos neste capítulo, com remissão às seções que as fundamentam.</w:t>
      </w:r>
    </w:p>
    <w:p w14:paraId="43185AD9" w14:textId="77777777" w:rsidR="005A5FCC" w:rsidRDefault="00A21C81">
      <w:pPr>
        <w:ind w:firstLine="238"/>
      </w:pPr>
      <w:r>
        <w:rPr>
          <w:rFonts w:cs="EB Garamond"/>
          <w:b/>
          <w:kern w:val="16"/>
          <w14:ligatures w14:val="standardContextual"/>
        </w:rPr>
        <w:t>Posição 1 — Complementaridade entre decadência e prescrição.</w:t>
      </w:r>
      <w:r>
        <w:rPr>
          <w:rFonts w:cs="EB Garamond"/>
          <w:kern w:val="16"/>
          <w14:ligatures w14:val="standardContextual"/>
        </w:rPr>
        <w:t xml:space="preserve"> Decadência e prescrição operam em planos distintos e complementares. A decadência (dez anos) extingue o direito potestativo de revisar o ato de concessão. A prescrição (cinco anos) extingue a pretensão de cobrar parcelas vencidas. As duas regras podem incidir simultaneamente sobre a mesma relação jurídica, mas não se confundem nem se substituem. A decadência é o primeiro filtro temporal nas ações revisionais; a prescrição é o segundo. (Seções 21.1, 21.3, 21.9)</w:t>
      </w:r>
    </w:p>
    <w:p w14:paraId="18621F6F" w14:textId="77777777" w:rsidR="005A5FCC" w:rsidRDefault="00A21C81">
      <w:pPr>
        <w:ind w:firstLine="238"/>
      </w:pPr>
      <w:r>
        <w:rPr>
          <w:rFonts w:cs="EB Garamond"/>
          <w:b/>
          <w:kern w:val="16"/>
          <w14:ligatures w14:val="standardContextual"/>
        </w:rPr>
        <w:lastRenderedPageBreak/>
        <w:t>Posição 2 — Objeto da decadência: apenas revisão do ato de concessão.</w:t>
      </w:r>
      <w:r>
        <w:rPr>
          <w:rFonts w:cs="EB Garamond"/>
          <w:kern w:val="16"/>
          <w14:ligatures w14:val="standardContextual"/>
        </w:rPr>
        <w:t xml:space="preserve"> A decadência do art. 103 da Lei 8.213/91 atinge exclusivamente o direito de revisar o ato de concessão do benefício previdenciário. Não atinge a pretensão de concessão originária, de restabelecimento de benefício cessado ou de reconhecimento de direito negado administrativamente. Essa delimitação foi expressamente fixada pelo STF na ADI 6096, que declarou inconstitucional a extensão da decadência ao indeferimento, cancelamento e cessação de benefícios tentada pela Lei 13.846/2019. (Seção 21.4)</w:t>
      </w:r>
    </w:p>
    <w:p w14:paraId="075CAEAF" w14:textId="77777777" w:rsidR="005A5FCC" w:rsidRDefault="00A21C81">
      <w:pPr>
        <w:ind w:firstLine="238"/>
      </w:pPr>
      <w:r>
        <w:rPr>
          <w:rFonts w:cs="EB Garamond"/>
          <w:b/>
          <w:kern w:val="16"/>
          <w14:ligatures w14:val="standardContextual"/>
        </w:rPr>
        <w:t>Posição 3 — Termo inicial: primeiro dia do mês seguinte à primeira prestação.</w:t>
      </w:r>
      <w:r>
        <w:rPr>
          <w:rFonts w:cs="EB Garamond"/>
          <w:kern w:val="16"/>
          <w14:ligatures w14:val="standardContextual"/>
        </w:rPr>
        <w:t xml:space="preserve"> O prazo decadencial inicia-se no primeiro dia do mês seguinte ao recebimento da primeira prestação do benefício. Exceções: reclamatória trabalhista (termo inicial é o trânsito em julgado da sentença trabalhista, conforme jurisprudência do STJ a partir da ratio do Tema 975) e questão não examinada de ofício pelo INSS (decadência inaplicável a essa questão específica, conforme tese formal do Tema 975). (Seção 21.5)</w:t>
      </w:r>
    </w:p>
    <w:p w14:paraId="09A61C63" w14:textId="77777777" w:rsidR="005A5FCC" w:rsidRDefault="00A21C81">
      <w:pPr>
        <w:ind w:firstLine="238"/>
      </w:pPr>
      <w:r>
        <w:rPr>
          <w:rFonts w:cs="EB Garamond"/>
          <w:b/>
          <w:kern w:val="16"/>
          <w14:ligatures w14:val="standardContextual"/>
        </w:rPr>
        <w:t>Posição 4 — Decadência do benefício mais vantajoso.</w:t>
      </w:r>
      <w:r>
        <w:rPr>
          <w:rFonts w:cs="EB Garamond"/>
          <w:kern w:val="16"/>
          <w14:ligatures w14:val="standardContextual"/>
        </w:rPr>
        <w:t xml:space="preserve"> O direito potestativo de escolher a regra de cálculo mais favorável é componente do ato de concessão e, como tal, sujeita-se ao prazo decadencial de dez anos (Tema 966/STJ). A decadência atinge a faculdade de substituir a regra, mas não extingue o benefício concedido pela regra originalmente aplicada. (Seção 21.6)</w:t>
      </w:r>
    </w:p>
    <w:p w14:paraId="449BA6E8" w14:textId="77777777" w:rsidR="005A5FCC" w:rsidRDefault="00A21C81">
      <w:pPr>
        <w:ind w:firstLine="238"/>
      </w:pPr>
      <w:r>
        <w:rPr>
          <w:rFonts w:cs="EB Garamond"/>
          <w:b/>
          <w:kern w:val="16"/>
          <w14:ligatures w14:val="standardContextual"/>
        </w:rPr>
        <w:t>Posição 5 — Constitucionalidade do prazo decenal.</w:t>
      </w:r>
      <w:r>
        <w:rPr>
          <w:rFonts w:cs="EB Garamond"/>
          <w:kern w:val="16"/>
          <w14:ligatures w14:val="standardContextual"/>
        </w:rPr>
        <w:t xml:space="preserve"> O prazo decadencial de dez anos para revisão do ato de concessão é constitucional, conforme declarado pelo STF no RE 626.489/SE (Tema 313). O prazo é razoável e proporcional, considerando que incide exclusivamente sobre a revisão do ato concessório e não sobre o direito fundamental ao benefício. A constitucionalidade, contudo, pressupõe a manutenção dos limites estabelecidos pela ADI 6096: o prazo não pode ser estendido à concessão originária. (Seção 21.8)</w:t>
      </w:r>
    </w:p>
    <w:p w14:paraId="225EDAD0" w14:textId="77777777" w:rsidR="005A5FCC" w:rsidRDefault="00A21C81">
      <w:pPr>
        <w:ind w:firstLine="238"/>
      </w:pPr>
      <w:r>
        <w:rPr>
          <w:rFonts w:cs="EB Garamond"/>
          <w:b/>
          <w:kern w:val="16"/>
          <w14:ligatures w14:val="standardContextual"/>
        </w:rPr>
        <w:t>Posição 6 — Fundo de direito imprescritível nas relações de trato sucessivo.</w:t>
      </w:r>
      <w:r>
        <w:rPr>
          <w:rFonts w:cs="EB Garamond"/>
          <w:kern w:val="16"/>
          <w14:ligatures w14:val="standardContextual"/>
        </w:rPr>
        <w:t xml:space="preserve"> Nos termos da Súmula 85 do STJ, conforme exposto na seção 21.10, o direito ao benefício previdenciário não prescreve; somente as parcelas anteriores ao </w:t>
      </w:r>
      <w:r>
        <w:rPr>
          <w:rFonts w:cs="EB Garamond"/>
          <w:kern w:val="16"/>
          <w14:ligatures w14:val="standardContextual"/>
        </w:rPr>
        <w:lastRenderedPageBreak/>
        <w:t>quinquênio estão prescritas. A exceção da negativa expressa do direito é de interpretação restritiva: o simples indeferimento administrativo não a configura. (Seção 21.10)</w:t>
      </w:r>
    </w:p>
    <w:p w14:paraId="2BFD30CF" w14:textId="77777777" w:rsidR="005A5FCC" w:rsidRDefault="00A21C81">
      <w:pPr>
        <w:ind w:firstLine="238"/>
      </w:pPr>
      <w:r>
        <w:rPr>
          <w:rFonts w:cs="EB Garamond"/>
          <w:b/>
          <w:kern w:val="16"/>
          <w14:ligatures w14:val="standardContextual"/>
        </w:rPr>
        <w:t>Posição 7 — Coisa julgada secundum eventum probationis em ações de incapacidade.</w:t>
      </w:r>
      <w:r>
        <w:rPr>
          <w:rFonts w:cs="EB Garamond"/>
          <w:kern w:val="16"/>
          <w14:ligatures w14:val="standardContextual"/>
        </w:rPr>
        <w:t xml:space="preserve"> A sentença que julga improcedente ação previdenciária por incapacidade, por não reconhecer a incapacidade laboral, não impede nova ação desde que esta se baseie em prova nova ou fato novo, conforme o Tema 629 do STJ. A prova nova deve demonstrar alteração no quadro clínico; o fato novo deve revelar piora efetiva na condição de saúde. A mera repetição da ação com as mesmas provas esbarra na coisa julgada material. (Seção 21.16)</w:t>
      </w:r>
    </w:p>
    <w:p w14:paraId="2B464779" w14:textId="77777777" w:rsidR="005A5FCC" w:rsidRDefault="00A21C81">
      <w:pPr>
        <w:ind w:firstLine="238"/>
      </w:pPr>
      <w:r>
        <w:rPr>
          <w:rFonts w:cs="EB Garamond"/>
          <w:b/>
          <w:kern w:val="16"/>
          <w14:ligatures w14:val="standardContextual"/>
        </w:rPr>
        <w:t>Posição 8 — Cláusula rebus sic stantibus em ações de incapacidade.</w:t>
      </w:r>
      <w:r>
        <w:rPr>
          <w:rFonts w:cs="EB Garamond"/>
          <w:kern w:val="16"/>
          <w14:ligatures w14:val="standardContextual"/>
        </w:rPr>
        <w:t xml:space="preserve"> A coisa julgada em ações previdenciárias por incapacidade opera sob a cláusula rebus sic stantibus: a decisão vincula enquanto as circunstâncias fáticas permanecerem inalteradas. Fatos supervenientes que alterem substancialmente o quadro de saúde do segurado configuram nova causa de pedir e legitimam nova ação, independentemente da coisa julgada formada na ação anterior (Enunciado 35/FONAJEF). A cláusula não "relativiza" a coisa julgada, mas reconhece seus limites temporais internos. (Seção 21.17)</w:t>
      </w:r>
    </w:p>
    <w:p w14:paraId="4230B15E" w14:textId="77777777" w:rsidR="005A5FCC" w:rsidRDefault="00A21C81">
      <w:pPr>
        <w:ind w:firstLine="238"/>
      </w:pPr>
      <w:r>
        <w:rPr>
          <w:rFonts w:cs="EB Garamond"/>
          <w:b/>
          <w:kern w:val="16"/>
          <w14:ligatures w14:val="standardContextual"/>
        </w:rPr>
        <w:t>Posição 9 — Querela nullitatis imprescritível como alternativa à ação rescisória vedada.</w:t>
      </w:r>
      <w:r>
        <w:rPr>
          <w:rFonts w:cs="EB Garamond"/>
          <w:kern w:val="16"/>
          <w14:ligatures w14:val="standardContextual"/>
        </w:rPr>
        <w:t xml:space="preserve"> Diante da vedação de ação rescisória nos JEFs (art. 59 da Lei 9.099/95; Enunciado 26/FONAJEF), a querela nullitatis constitui o principal instrumento para impugnar sentença transitada em julgado eivada de vício transrescisório (citação nula, incompetência absoluta). A querela é imprescritível e pode ser veiculada por ação autônoma ou como questão prejudicial em outra demanda (REsp 2.145.294/SC). (Seções 21.19 e 21.20)</w:t>
      </w:r>
    </w:p>
    <w:p w14:paraId="611136C4" w14:textId="77777777" w:rsidR="005A5FCC" w:rsidRDefault="00A21C81">
      <w:pPr>
        <w:ind w:firstLine="238"/>
      </w:pPr>
      <w:r>
        <w:rPr>
          <w:rFonts w:cs="EB Garamond"/>
          <w:b/>
          <w:kern w:val="16"/>
          <w14:ligatures w14:val="standardContextual"/>
        </w:rPr>
        <w:t>Posição 10 — Legitimidade de herdeiros e pensionistas para revisão; transmissão dos prazos.</w:t>
      </w:r>
      <w:r>
        <w:rPr>
          <w:rFonts w:cs="EB Garamond"/>
          <w:kern w:val="16"/>
          <w14:ligatures w14:val="standardContextual"/>
        </w:rPr>
        <w:t xml:space="preserve"> Pensionistas e herdeiros têm legitimidade para pleitear a revisão da aposentadoria do segurado falecido (Tema 1057/STJ). A transmissão do direito de revisão não amplia o prazo decadencial, que continua sendo contado do primeiro pagamento da aposentadoria do instituidor. A prescrição das </w:t>
      </w:r>
      <w:r>
        <w:rPr>
          <w:rFonts w:cs="EB Garamond"/>
          <w:kern w:val="16"/>
          <w14:ligatures w14:val="standardContextual"/>
        </w:rPr>
        <w:lastRenderedPageBreak/>
        <w:t>parcelas opera pelo quinquênio anterior ao ajuizamento. A legitimidade do pensionista funda-se no interesse próprio (repercussão no valor da pensão); a do herdeiro funda-se no direito a créditos do espólio. (Seção 21.14)</w:t>
      </w:r>
    </w:p>
    <w:p w14:paraId="6C6EF250" w14:textId="77777777" w:rsidR="005A5FCC" w:rsidRDefault="00A21C81">
      <w:pPr>
        <w:ind w:firstLine="238"/>
      </w:pPr>
      <w:r>
        <w:rPr>
          <w:rFonts w:cs="EB Garamond"/>
          <w:kern w:val="16"/>
          <w14:ligatures w14:val="standardContextual"/>
        </w:rPr>
        <w:t>As dez posições consolidadas formam sistema coerente de limites temporais que equilibra a proteção do segurado (natureza alimentar do benefício, caráter de direito fundamental, dinâmica da condição de saúde) com a segurança jurídica (estabilização dos atos administrativos, previsibilidade orçamentária, definitividade das decisões judiciais). O magistrado dos JEFs e o advogado previdenciarista que dominam essas posições dispõem de instrumental sólido para a correta solução das questões temporais que permeiam o contencioso previdenciário.</w:t>
      </w:r>
    </w:p>
    <w:p w14:paraId="7752E397" w14:textId="77777777" w:rsidR="005A5FCC" w:rsidRDefault="00A21C81">
      <w:pPr>
        <w:ind w:firstLine="238"/>
      </w:pPr>
      <w:r>
        <w:rPr>
          <w:rFonts w:cs="EB Garamond"/>
          <w:kern w:val="16"/>
          <w14:ligatures w14:val="standardContextual"/>
        </w:rPr>
        <w:t>---</w:t>
      </w:r>
    </w:p>
    <w:p w14:paraId="65009E2C" w14:textId="77777777" w:rsidR="005A5FCC" w:rsidRDefault="005A5FCC">
      <w:pPr>
        <w:sectPr w:rsidR="005A5FCC">
          <w:headerReference w:type="even" r:id="rId204"/>
          <w:headerReference w:type="default" r:id="rId205"/>
          <w:footerReference w:type="even" r:id="rId206"/>
          <w:footerReference w:type="default" r:id="rId207"/>
          <w:headerReference w:type="first" r:id="rId208"/>
          <w:footerReference w:type="first" r:id="rId209"/>
          <w:pgSz w:w="8391" w:h="11906"/>
          <w:pgMar w:top="935" w:right="879" w:bottom="964" w:left="1162" w:header="454" w:footer="425" w:gutter="0"/>
          <w:cols w:space="720"/>
          <w:titlePg/>
          <w:docGrid w:linePitch="360"/>
        </w:sectPr>
      </w:pPr>
    </w:p>
    <w:p w14:paraId="63C0F305" w14:textId="77777777" w:rsidR="005A5FCC" w:rsidRDefault="005A5FCC">
      <w:pPr>
        <w:spacing w:after="0" w:line="240" w:lineRule="auto"/>
      </w:pPr>
    </w:p>
    <w:p w14:paraId="7C37FC60" w14:textId="77777777" w:rsidR="005A5FCC" w:rsidRDefault="005A5FCC">
      <w:pPr>
        <w:spacing w:after="0" w:line="240" w:lineRule="auto"/>
      </w:pPr>
    </w:p>
    <w:p w14:paraId="0AD9EEDB" w14:textId="77777777" w:rsidR="005A5FCC" w:rsidRDefault="005A5FCC">
      <w:pPr>
        <w:spacing w:after="0" w:line="240" w:lineRule="auto"/>
      </w:pPr>
    </w:p>
    <w:p w14:paraId="65AD0453" w14:textId="77777777" w:rsidR="005A5FCC" w:rsidRDefault="005A5FCC">
      <w:pPr>
        <w:spacing w:after="0" w:line="240" w:lineRule="auto"/>
      </w:pPr>
    </w:p>
    <w:p w14:paraId="398BC9E8" w14:textId="77777777" w:rsidR="005A5FCC" w:rsidRDefault="005A5FCC">
      <w:pPr>
        <w:spacing w:after="0" w:line="240" w:lineRule="auto"/>
      </w:pPr>
    </w:p>
    <w:p w14:paraId="42CD9662" w14:textId="77777777" w:rsidR="005A5FCC" w:rsidRDefault="005A5FCC">
      <w:pPr>
        <w:spacing w:after="0" w:line="240" w:lineRule="auto"/>
      </w:pPr>
    </w:p>
    <w:p w14:paraId="640F03EB" w14:textId="77777777" w:rsidR="005A5FCC" w:rsidRDefault="00A21C81">
      <w:pPr>
        <w:spacing w:after="120" w:line="240" w:lineRule="auto"/>
        <w:jc w:val="center"/>
      </w:pPr>
      <w:r>
        <w:rPr>
          <w:rFonts w:ascii="Noto Sans" w:hAnsi="Noto Sans" w:cs="Noto Sans"/>
          <w:b/>
          <w:caps/>
          <w:color w:val="8A6A2A"/>
          <w:kern w:val="16"/>
          <w:sz w:val="20"/>
          <w14:ligatures w14:val="standardContextual"/>
        </w:rPr>
        <w:t>PARTE VI</w:t>
      </w:r>
    </w:p>
    <w:p w14:paraId="2F1631CD" w14:textId="77777777" w:rsidR="005A5FCC" w:rsidRDefault="00A21C81">
      <w:pPr>
        <w:pStyle w:val="Ttulo1"/>
        <w:spacing w:line="252" w:lineRule="auto"/>
      </w:pPr>
      <w:r>
        <w:rPr>
          <w:rFonts w:ascii="EB Garamond" w:hAnsi="EB Garamond" w:cs="EB Garamond"/>
          <w:caps/>
          <w:kern w:val="16"/>
          <w14:ligatures w14:val="standardContextual"/>
        </w:rPr>
        <w:t>Processo Previdenciário nos JEFs</w:t>
      </w:r>
    </w:p>
    <w:p w14:paraId="018160BD" w14:textId="77777777" w:rsidR="005A5FCC" w:rsidRDefault="00A21C81">
      <w:pPr>
        <w:spacing w:before="160" w:after="0" w:line="240" w:lineRule="auto"/>
        <w:jc w:val="center"/>
      </w:pPr>
      <w:r>
        <w:rPr>
          <w:rFonts w:cs="EB Garamond"/>
          <w:color w:val="B78B37"/>
          <w:kern w:val="16"/>
          <w:sz w:val="18"/>
          <w14:ligatures w14:val="standardContextual"/>
        </w:rPr>
        <w:t>━━━━━  ◆  ◆  ◆  ━━━━━</w:t>
      </w:r>
    </w:p>
    <w:p w14:paraId="1B4AD1DD" w14:textId="77777777" w:rsidR="005A5FCC" w:rsidRDefault="005A5FCC">
      <w:pPr>
        <w:sectPr w:rsidR="005A5FCC">
          <w:headerReference w:type="even" r:id="rId210"/>
          <w:headerReference w:type="default" r:id="rId211"/>
          <w:footerReference w:type="even" r:id="rId212"/>
          <w:footerReference w:type="default" r:id="rId213"/>
          <w:headerReference w:type="first" r:id="rId214"/>
          <w:footerReference w:type="first" r:id="rId215"/>
          <w:type w:val="oddPage"/>
          <w:pgSz w:w="8391" w:h="11906"/>
          <w:pgMar w:top="935" w:right="879" w:bottom="964" w:left="1162" w:header="454" w:footer="425" w:gutter="0"/>
          <w:cols w:space="720"/>
          <w:titlePg/>
          <w:docGrid w:linePitch="360"/>
        </w:sectPr>
      </w:pPr>
    </w:p>
    <w:p w14:paraId="2061BC11" w14:textId="77777777" w:rsidR="005A5FCC" w:rsidRDefault="00A21C81">
      <w:pPr>
        <w:keepNext/>
        <w:spacing w:before="240" w:after="80" w:line="240" w:lineRule="auto"/>
        <w:jc w:val="center"/>
      </w:pPr>
      <w:r>
        <w:rPr>
          <w:rFonts w:ascii="Noto Sans" w:hAnsi="Noto Sans" w:cs="Noto Sans"/>
          <w:b/>
          <w:caps/>
          <w:color w:val="8A6A2A"/>
          <w:kern w:val="16"/>
          <w:sz w:val="19"/>
          <w14:ligatures w14:val="standardContextual"/>
        </w:rPr>
        <w:lastRenderedPageBreak/>
        <w:t>CAPÍTULO 22</w:t>
      </w:r>
    </w:p>
    <w:p w14:paraId="6078952A" w14:textId="77777777" w:rsidR="005A5FCC" w:rsidRDefault="00A21C81">
      <w:pPr>
        <w:pStyle w:val="Ttulo2"/>
        <w:spacing w:line="240" w:lineRule="auto"/>
      </w:pPr>
      <w:r>
        <w:rPr>
          <w:rFonts w:ascii="EB Garamond" w:hAnsi="EB Garamond" w:cs="EB Garamond"/>
          <w:caps/>
          <w:kern w:val="16"/>
          <w14:ligatures w14:val="standardContextual"/>
        </w:rPr>
        <w:t>Processo Administrativo Previdenciário</w:t>
      </w:r>
    </w:p>
    <w:p w14:paraId="0CFF66EB" w14:textId="77777777" w:rsidR="005A5FCC" w:rsidRDefault="00A21C81">
      <w:pPr>
        <w:spacing w:after="240" w:line="240" w:lineRule="auto"/>
        <w:jc w:val="center"/>
      </w:pPr>
      <w:r>
        <w:rPr>
          <w:rFonts w:cs="EB Garamond"/>
          <w:color w:val="B78B37"/>
          <w:kern w:val="16"/>
          <w:sz w:val="18"/>
          <w14:ligatures w14:val="standardContextual"/>
        </w:rPr>
        <w:t>━━━━  ◆  ━━━━</w:t>
      </w:r>
    </w:p>
    <w:p w14:paraId="3D1C061C" w14:textId="3861D46B" w:rsidR="005A5FCC" w:rsidRDefault="009842A4">
      <w:pPr>
        <w:keepNext/>
        <w:pBdr>
          <w:bottom w:val="single" w:sz="8" w:space="4" w:color="B89B5E"/>
        </w:pBdr>
        <w:spacing w:before="360" w:after="140" w:line="240" w:lineRule="auto"/>
        <w:jc w:val="left"/>
      </w:pPr>
      <w:r>
        <w:rPr>
          <w:rFonts w:cs="EB Garamond"/>
          <w:b/>
          <w:color w:val="3A3128"/>
          <w:kern w:val="16"/>
          <w:sz w:val="31"/>
          <w14:ligatures w14:val="standardContextual"/>
        </w:rPr>
        <w:t xml:space="preserve">22.1 </w:t>
      </w:r>
      <w:r w:rsidR="00A21C81">
        <w:rPr>
          <w:rFonts w:cs="EB Garamond"/>
          <w:b/>
          <w:color w:val="3A3128"/>
          <w:kern w:val="16"/>
          <w:sz w:val="31"/>
          <w14:ligatures w14:val="standardContextual"/>
        </w:rPr>
        <w:t>Introdução: o processo administrativo como fase necessária</w:t>
      </w:r>
    </w:p>
    <w:p w14:paraId="7723379C"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1D195AE7" w14:textId="77777777" w:rsidR="005A5FCC" w:rsidRDefault="00A21C81">
      <w:r>
        <w:rPr>
          <w:rFonts w:cs="EB Garamond"/>
          <w:kern w:val="16"/>
          <w14:ligatures w14:val="standardContextual"/>
        </w:rPr>
        <w:t xml:space="preserve"> processo administrativo previdenciário ocupa, na atuação forense do direito previdenciário brasileiro, uma posição que transcende a de mera etapa burocrática antecedente à judicialização. Trata-se do instrumento primário (e, na esmagadora maioria dos casos, exclusivo) de acesso aos direitos previdenciários. A cada ano, o Instituto Nacional do Seguro Social processa volume superior a dez milhões de requerimentos administrativos, dos quais parcela significativa resulta em concessão de benefícios sem qualquer intervenção do Poder Judiciário. Os dados do Boletim Estatístico da Previdência Social de 2025 indicam que a taxa global de concessão administrativa oscila entre 55% e 65%, conforme a espécie de benefício requerido, com tempo médio de análise que, embora formalmente fixado em 30 a 45 dias, oscila na prática entre 45 e 120 dias, a depender da complexidade do requerimento e da região do país.</w:t>
      </w:r>
    </w:p>
    <w:p w14:paraId="70C113E0" w14:textId="77777777" w:rsidR="005A5FCC" w:rsidRDefault="00A21C81">
      <w:pPr>
        <w:ind w:firstLine="238"/>
      </w:pPr>
      <w:r>
        <w:rPr>
          <w:rFonts w:cs="EB Garamond"/>
          <w:kern w:val="16"/>
          <w14:ligatures w14:val="standardContextual"/>
        </w:rPr>
        <w:t>Esses números revelam uma realidade que advogados e magistrados dos Juizados Especiais Federais não podem ignorar: a via administrativa não é um obstáculo ao direito, mas seu canal natural de efetivação. O segurado que requer aposentadoria por tempo de contribuição, auxílio por incapacidade temporária ou pensão por morte submete-se, em primeiro lugar, à análise do INSS, que detém a competência originária para reconhecer e conceder benefícios previdenciários. A judicialização, nesse cenário, representa a exceção, o remédio para quando o processo administrativo falha, seja por indeferimento indevido, seja por mora na análise, seja por erro na apuração dos requisitos.</w:t>
      </w:r>
    </w:p>
    <w:p w14:paraId="3A246EEA" w14:textId="77777777" w:rsidR="005A5FCC" w:rsidRDefault="00A21C81">
      <w:pPr>
        <w:ind w:firstLine="238"/>
      </w:pPr>
      <w:r>
        <w:rPr>
          <w:rFonts w:cs="EB Garamond"/>
          <w:kern w:val="16"/>
          <w14:ligatures w14:val="standardContextual"/>
        </w:rPr>
        <w:lastRenderedPageBreak/>
        <w:t>A compreensão dessa dinâmica é pressuposto para a atuação eficiente nos JEFs previdenciários. O juiz que conhece a estrutura organizacional do INSS, seus sistemas informatizados e os procedimentos de análise de requerimentos instrui os processos com mais precisão, formula quesitos periciais mais adequados, solicita os documentos corretos e produz sentenças mais exequíveis. Uma sentença que determine a implantação de benefício sem especificar a espécie correta (conforme codificação do INSS), a data de início (DIB), a renda mensal inicial (RMI) ou o marco de cessação (DCB, quando aplicável) gera dificuldades na fase de cumprimento que poderiam ser evitadas com o conhecimento do processo administrativo.</w:t>
      </w:r>
    </w:p>
    <w:p w14:paraId="22BFC846" w14:textId="77777777" w:rsidR="005A5FCC" w:rsidRDefault="00A21C81">
      <w:pPr>
        <w:ind w:firstLine="238"/>
      </w:pPr>
      <w:r>
        <w:rPr>
          <w:rFonts w:cs="EB Garamond"/>
          <w:kern w:val="16"/>
          <w14:ligatures w14:val="standardContextual"/>
        </w:rPr>
        <w:t>Do lado da advocacia previdenciária, o domínio da via administrativa produz resultados ainda mais imediatos. O advogado que conhece os canais de atendimento do INSS, os prazos legais, as modalidades de perícia médica e os recursos administrativos frequentemente resolve a demanda do cliente sem judicializar, reduzindo custos, acelerando o acesso ao benefício e desafogando o Judiciário. A interposição de recurso ordinário ao Conselho de Recursos da Previdência Social (CRPS), por exemplo, pode reverter um indeferimento em prazo inferior ao de uma ação judicial, especialmente quando o erro administrativo é de natureza documental ou cadastral.</w:t>
      </w:r>
    </w:p>
    <w:p w14:paraId="3272E0ED" w14:textId="77777777" w:rsidR="005A5FCC" w:rsidRDefault="00A21C81">
      <w:pPr>
        <w:ind w:firstLine="238"/>
      </w:pPr>
      <w:r>
        <w:rPr>
          <w:rFonts w:cs="EB Garamond"/>
          <w:kern w:val="16"/>
          <w14:ligatures w14:val="standardContextual"/>
        </w:rPr>
        <w:t>Existe, contudo, uma tensão estrutural que alimenta a demanda dos JEFs: o INSS opera sob pressão de volume incompatível com seu quadro de pessoal. São mais de dez milhões de requerimentos anuais processados por uma autarquia que, em 2025, contava com pouco mais de vinte mil servidores ativos na área finalística — número, em qualquer das estimativas disponíveis, significativamente inferior ao necessário para atender a demanda com a celeridade exigida pela lei. Essa defasagem gera morosidade na análise, erros de apuração de tempo de contribuição, perícias médicas superficiais e decisões insuficientemente fundamentadas, vícios que, em última análise, produzem o fluxo de demandas que chega aos JEFs. Não se trata de demonizar a autarquia, mas de reconhecer que o volume de judicialização previdenciária é, em grande medida, reflexo de deficiências estruturais do processo administrativo.</w:t>
      </w:r>
    </w:p>
    <w:p w14:paraId="7C2BA01D" w14:textId="77777777" w:rsidR="005A5FCC" w:rsidRDefault="00A21C81">
      <w:pPr>
        <w:ind w:firstLine="238"/>
      </w:pPr>
      <w:r>
        <w:rPr>
          <w:rFonts w:cs="EB Garamond"/>
          <w:kern w:val="16"/>
          <w14:ligatures w14:val="standardContextual"/>
        </w:rPr>
        <w:t xml:space="preserve">A relação entre o processo administrativo e o processo judicial previdenciário não é de subordinação, mas de complementaridade funcional. O STF, ao julgar </w:t>
      </w:r>
      <w:r>
        <w:rPr>
          <w:rFonts w:cs="EB Garamond"/>
          <w:kern w:val="16"/>
          <w14:ligatures w14:val="standardContextual"/>
        </w:rPr>
        <w:lastRenderedPageBreak/>
        <w:t>o Tema 350 (RE 631.240/MG, Tribunal Pleno, rel. Min. Luís Roberto Barroso, julgado em 03/09/2014), assentou que o prévio requerimento administrativo é condição de acesso ao Judiciário previdenciário, mas não porque a via administrativa seja superior à judicial, e sim porque, na ausência de resistência da autarquia (indeferimento expresso ou mora), falta ao segurado o interesse de agir para a demanda judicial. Essa construção jurisprudencial reforça a centralidade do processo administrativo e exige que tanto advogados quanto magistrados conheçam seus meandros com profundidade.</w:t>
      </w:r>
    </w:p>
    <w:p w14:paraId="30AA6555" w14:textId="77777777" w:rsidR="005A5FCC" w:rsidRDefault="00A21C81">
      <w:pPr>
        <w:ind w:firstLine="238"/>
      </w:pPr>
      <w:r>
        <w:rPr>
          <w:rFonts w:cs="EB Garamond"/>
          <w:kern w:val="16"/>
          <w14:ligatures w14:val="standardContextual"/>
        </w:rPr>
        <w:t>Este capítulo organiza-se em quatro blocos temáticos. O primeiro (seções 22.1 a 22.4) examina o INSS como instituição: sua estrutura organizacional, canais de atendimento e sistemas informatizados, com ênfase na relevância forense dessas informações. O segundo (seções 22.5 a 22.9) percorre o itinerário do requerimento administrativo, desde a formulação do pedido até a decisão de concessão ou indeferimento, passando pela perícia médica e pela alta programada. O terceiro bloco (seções 22.10 a 22.15) trata dos recursos administrativos e da interface entre o processo administrativo e o processo judicial nos JEFs. O quarto bloco (seções 22.16 a 22.23) aborda a cessação administrativa de benefícios, as operações de revisão em massa, o prévio requerimento administrativo em profundidade e os aspectos práticos da atuação nos JEFs previdenciários.</w:t>
      </w:r>
    </w:p>
    <w:p w14:paraId="13FE3DD5"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22.2 Estrutura organizacional do INSS</w:t>
      </w:r>
    </w:p>
    <w:p w14:paraId="1B96C09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01671AC7" w14:textId="77777777" w:rsidR="005A5FCC" w:rsidRDefault="00A21C81">
      <w:r>
        <w:rPr>
          <w:rFonts w:cs="EB Garamond"/>
          <w:kern w:val="16"/>
          <w14:ligatures w14:val="standardContextual"/>
        </w:rPr>
        <w:t xml:space="preserve"> INSS é autarquia federal vinculada ao Ministério da Previdência Social (MPS), instituída pelo Decreto n. 99.350, de 27 de junho de 1990, com personalidade jurídica de direito público, autonomia administrativa e financeira e patrimônio próprio. Sua finalidade institucional é promover o reconhecimento, pela Administração Pública, do direito ao recebimento de benefícios administrados pela autarquia e assegurar os meios necessários ao exercício desses direitos (art. 1º do Decreto n. 10.995/2022, que aprovou a Estrutura Regimental do INSS).</w:t>
      </w:r>
    </w:p>
    <w:p w14:paraId="6B7B076D" w14:textId="77777777" w:rsidR="005A5FCC" w:rsidRDefault="00A21C81">
      <w:pPr>
        <w:ind w:firstLine="238"/>
      </w:pPr>
      <w:r>
        <w:rPr>
          <w:rFonts w:cs="EB Garamond"/>
          <w:kern w:val="16"/>
          <w14:ligatures w14:val="standardContextual"/>
        </w:rPr>
        <w:t xml:space="preserve">A estrutura hierárquica do INSS organiza-se em níveis de atuação que vão da gestão estratégica central até o atendimento direto ao segurado. No topo da pirâmide situa-se a Presidência, assessorada por diretorias temáticas, dentre as quais </w:t>
      </w:r>
      <w:r>
        <w:rPr>
          <w:rFonts w:cs="EB Garamond"/>
          <w:kern w:val="16"/>
          <w14:ligatures w14:val="standardContextual"/>
        </w:rPr>
        <w:lastRenderedPageBreak/>
        <w:t>se destaca a Diretoria de Benefícios (DIRBEN), responsável pela normatização, coordenação e controle da concessão de benefícios em âmbito nacional. A DIRBEN edita as Instruções Normativas que regulamentam o reconhecimento de direitos previdenciários — a mais recente e abrangente, a IN PRES/INSS n. 128/2022, consolidou normas de diversas instruções anteriores e constitui, na prática, o manual operacional da concessão de benefícios.</w:t>
      </w:r>
    </w:p>
    <w:p w14:paraId="69D8D735" w14:textId="77777777" w:rsidR="005A5FCC" w:rsidRDefault="00A21C81">
      <w:pPr>
        <w:ind w:firstLine="238"/>
      </w:pPr>
      <w:r>
        <w:rPr>
          <w:rFonts w:cs="EB Garamond"/>
          <w:kern w:val="16"/>
          <w14:ligatures w14:val="standardContextual"/>
        </w:rPr>
        <w:t>No nível regional, atuam as Superintendências Regionais (SR), que coordenam a execução das atividades do INSS em suas respectivas jurisdições. A cada Superintendência vinculam-se Gerências Executivas (GEX), que respondem pela gestão operacional em nível estadual ou sub-regional, e a estas se subordinam as Agências da Previdência Social (APS), unidades de atendimento direto ao segurado. Em 2025, o INSS operava cerca de mil e quinhentas APS em todo o território nacional, distribuídas de forma heterogênea, com concentração nas regiões Sul e Sudeste e déficit significativo no Norte e no Nordeste, especialmente em municípios do interior.</w:t>
      </w:r>
    </w:p>
    <w:p w14:paraId="3EC50650" w14:textId="77777777" w:rsidR="005A5FCC" w:rsidRDefault="00A21C81">
      <w:pPr>
        <w:ind w:firstLine="238"/>
      </w:pPr>
      <w:r>
        <w:rPr>
          <w:rFonts w:cs="EB Garamond"/>
          <w:kern w:val="16"/>
          <w14:ligatures w14:val="standardContextual"/>
        </w:rPr>
        <w:t>A Portaria PRES/INSS n. 1.851/2025 promoveu reorganização interna relevante, criando coordenação específica para canais digitais e estabelecendo as Centrais de Análise de Benefícios (Ceabs), unidades de retaguarda que realizam análise remota de requerimentos, desvinculada da APS de protocolo. As Ceabs representaram mudança operacional significativa: o requerimento protocolado em uma APS de município do interior pode ser analisado por servidor lotado em Central de Análise situada em capital de outro estado. Essa descentralização da análise reduz a influência de fatores locais, mas também dificulta o contato pessoal entre segurado e servidor, o que, no cotidiano dos JEFs, se reflete em decisões administrativas menos individualizadas.</w:t>
      </w:r>
    </w:p>
    <w:p w14:paraId="279000C8" w14:textId="77777777" w:rsidR="005A5FCC" w:rsidRDefault="00A21C81">
      <w:pPr>
        <w:ind w:firstLine="238"/>
      </w:pPr>
      <w:r>
        <w:rPr>
          <w:rFonts w:cs="EB Garamond"/>
          <w:kern w:val="16"/>
          <w14:ligatures w14:val="standardContextual"/>
        </w:rPr>
        <w:t>Estrutura à parte possui o Departamento de Perícia Médica Federal (PMF), cujos integrantes exercem atribuições de avaliação médico-pericial com autonomia técnica funcional. Os peritos médicos federais são servidores públicos ocupantes de cargo efetivo da carreira de Perito Médico Federal, não se confundindo com médicos contratados ou terceirizados. Sua vinculação funcional é com o INSS, mas a autonomia técnica lhes assegura independência na emissão de conclusões periciais, tema que se conecta diretamente com a perícia judicial, examinada nas seções 22.16 a 22.23.</w:t>
      </w:r>
    </w:p>
    <w:p w14:paraId="5A7ACAB4" w14:textId="77777777" w:rsidR="005A5FCC" w:rsidRDefault="00A21C81">
      <w:pPr>
        <w:ind w:firstLine="238"/>
      </w:pPr>
      <w:r>
        <w:rPr>
          <w:rFonts w:cs="EB Garamond"/>
          <w:kern w:val="16"/>
          <w14:ligatures w14:val="standardContextual"/>
        </w:rPr>
        <w:lastRenderedPageBreak/>
        <w:t>O Conselho de Recursos da Previdência Social (CRPS), embora frequentemente associado ao INSS, não integra sua estrutura. Trata-se de órgão colegiado vinculado diretamente ao MPS, com competência para julgar recursos contra decisões do INSS em matéria de benefícios (seção 22.10).</w:t>
      </w:r>
    </w:p>
    <w:tbl>
      <w:tblPr>
        <w:tblW w:w="5000" w:type="pct"/>
        <w:jc w:val="center"/>
        <w:tblLayout w:type="fixed"/>
        <w:tblLook w:val="04A0" w:firstRow="1" w:lastRow="0" w:firstColumn="1" w:lastColumn="0" w:noHBand="0" w:noVBand="1"/>
      </w:tblPr>
      <w:tblGrid>
        <w:gridCol w:w="6311"/>
      </w:tblGrid>
      <w:tr w:rsidR="005A5FCC" w14:paraId="57F8E424" w14:textId="77777777">
        <w:trPr>
          <w:cantSplit/>
          <w:jc w:val="center"/>
        </w:trPr>
        <w:tc>
          <w:tcPr>
            <w:tcW w:w="6350" w:type="dxa"/>
            <w:tcBorders>
              <w:top w:val="single" w:sz="7" w:space="0" w:color="A09882"/>
              <w:left w:val="single" w:sz="24" w:space="0" w:color="6B6256"/>
              <w:bottom w:val="single" w:sz="7" w:space="0" w:color="A09882"/>
              <w:right w:val="single" w:sz="7" w:space="0" w:color="A09882"/>
            </w:tcBorders>
            <w:shd w:val="clear" w:color="auto" w:fill="F5F3EF"/>
            <w:tcMar>
              <w:top w:w="150" w:type="dxa"/>
              <w:left w:w="220" w:type="dxa"/>
              <w:bottom w:w="150" w:type="dxa"/>
              <w:right w:w="180" w:type="dxa"/>
            </w:tcMar>
          </w:tcPr>
          <w:p w14:paraId="33BF3142" w14:textId="77777777" w:rsidR="005A5FCC" w:rsidRDefault="00A21C81">
            <w:pPr>
              <w:spacing w:after="60" w:line="240" w:lineRule="auto"/>
              <w:jc w:val="left"/>
            </w:pPr>
            <w:r>
              <w:rPr>
                <w:rFonts w:ascii="Noto Sans" w:hAnsi="Noto Sans" w:cs="Noto Sans"/>
                <w:b/>
                <w:caps/>
                <w:color w:val="6B6256"/>
                <w:kern w:val="16"/>
                <w:sz w:val="16"/>
                <w14:ligatures w14:val="standardContextual"/>
              </w:rPr>
              <w:t>QUADRO</w:t>
            </w:r>
          </w:p>
          <w:p w14:paraId="48D190F6" w14:textId="77777777" w:rsidR="005A5FCC" w:rsidRDefault="00A21C81">
            <w:pPr>
              <w:spacing w:after="60" w:line="247" w:lineRule="auto"/>
            </w:pPr>
            <w:r>
              <w:rPr>
                <w:rFonts w:cs="EB Garamond"/>
                <w:b/>
                <w:kern w:val="16"/>
                <w:sz w:val="19"/>
                <w14:ligatures w14:val="standardContextual"/>
              </w:rPr>
              <w:t>Quadro 22.1 — Estrutura organizacional do INSS</w:t>
            </w:r>
          </w:p>
          <w:tbl>
            <w:tblPr>
              <w:tblW w:w="5000" w:type="pct"/>
              <w:jc w:val="center"/>
              <w:tblLook w:val="04A0" w:firstRow="1" w:lastRow="0" w:firstColumn="1" w:lastColumn="0" w:noHBand="0" w:noVBand="1"/>
            </w:tblPr>
            <w:tblGrid>
              <w:gridCol w:w="1967"/>
              <w:gridCol w:w="1967"/>
              <w:gridCol w:w="1967"/>
            </w:tblGrid>
            <w:tr w:rsidR="005A5FCC" w14:paraId="5C65B695" w14:textId="77777777">
              <w:trPr>
                <w:tblHeader/>
                <w:jc w:val="center"/>
              </w:trPr>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2AB2FAFF" w14:textId="77777777" w:rsidR="005A5FCC" w:rsidRDefault="00A21C81">
                  <w:pPr>
                    <w:spacing w:before="30" w:after="30" w:line="240" w:lineRule="auto"/>
                    <w:jc w:val="center"/>
                  </w:pPr>
                  <w:r>
                    <w:rPr>
                      <w:rFonts w:cs="EB Garamond"/>
                      <w:b/>
                      <w:color w:val="2F2923"/>
                      <w:kern w:val="16"/>
                      <w:sz w:val="16"/>
                      <w14:ligatures w14:val="standardContextual"/>
                    </w:rPr>
                    <w:t>Nível</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2F53C302" w14:textId="77777777" w:rsidR="005A5FCC" w:rsidRDefault="00A21C81">
                  <w:pPr>
                    <w:spacing w:before="30" w:after="30" w:line="240" w:lineRule="auto"/>
                    <w:jc w:val="center"/>
                  </w:pPr>
                  <w:r>
                    <w:rPr>
                      <w:rFonts w:cs="EB Garamond"/>
                      <w:b/>
                      <w:color w:val="2F2923"/>
                      <w:kern w:val="16"/>
                      <w:sz w:val="16"/>
                      <w14:ligatures w14:val="standardContextual"/>
                    </w:rPr>
                    <w:t>Órgão</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3B6CEA4F" w14:textId="77777777" w:rsidR="005A5FCC" w:rsidRDefault="00A21C81">
                  <w:pPr>
                    <w:spacing w:before="30" w:after="30" w:line="240" w:lineRule="auto"/>
                    <w:jc w:val="center"/>
                  </w:pPr>
                  <w:r>
                    <w:rPr>
                      <w:rFonts w:cs="EB Garamond"/>
                      <w:b/>
                      <w:color w:val="2F2923"/>
                      <w:kern w:val="16"/>
                      <w:sz w:val="16"/>
                      <w14:ligatures w14:val="standardContextual"/>
                    </w:rPr>
                    <w:t>Função</w:t>
                  </w:r>
                </w:p>
              </w:tc>
            </w:tr>
            <w:tr w:rsidR="005A5FCC" w14:paraId="665E0549"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451A62D2" w14:textId="77777777" w:rsidR="005A5FCC" w:rsidRDefault="00A21C81">
                  <w:pPr>
                    <w:spacing w:before="20" w:after="20" w:line="240" w:lineRule="auto"/>
                    <w:jc w:val="left"/>
                  </w:pPr>
                  <w:r>
                    <w:rPr>
                      <w:rFonts w:cs="EB Garamond"/>
                      <w:kern w:val="16"/>
                      <w:sz w:val="16"/>
                      <w14:ligatures w14:val="standardContextual"/>
                    </w:rPr>
                    <w:t>Estratégico</w:t>
                  </w:r>
                </w:p>
              </w:tc>
              <w:tc>
                <w:tcPr>
                  <w:tcW w:w="2117" w:type="dxa"/>
                  <w:tcBorders>
                    <w:top w:val="single" w:sz="4" w:space="0" w:color="D2C9B8"/>
                    <w:left w:val="single" w:sz="4" w:space="0" w:color="D2C9B8"/>
                    <w:bottom w:val="single" w:sz="4" w:space="0" w:color="D2C9B8"/>
                    <w:right w:val="single" w:sz="4" w:space="0" w:color="D2C9B8"/>
                  </w:tcBorders>
                </w:tcPr>
                <w:p w14:paraId="204DF353" w14:textId="77777777" w:rsidR="005A5FCC" w:rsidRDefault="00A21C81">
                  <w:pPr>
                    <w:spacing w:before="20" w:after="20" w:line="240" w:lineRule="auto"/>
                    <w:jc w:val="left"/>
                  </w:pPr>
                  <w:r>
                    <w:rPr>
                      <w:rFonts w:cs="EB Garamond"/>
                      <w:kern w:val="16"/>
                      <w:sz w:val="16"/>
                      <w14:ligatures w14:val="standardContextual"/>
                    </w:rPr>
                    <w:t>Presidência / DIRBEN</w:t>
                  </w:r>
                </w:p>
              </w:tc>
              <w:tc>
                <w:tcPr>
                  <w:tcW w:w="2117" w:type="dxa"/>
                  <w:tcBorders>
                    <w:top w:val="single" w:sz="4" w:space="0" w:color="D2C9B8"/>
                    <w:left w:val="single" w:sz="4" w:space="0" w:color="D2C9B8"/>
                    <w:bottom w:val="single" w:sz="4" w:space="0" w:color="D2C9B8"/>
                    <w:right w:val="single" w:sz="4" w:space="0" w:color="D2C9B8"/>
                  </w:tcBorders>
                </w:tcPr>
                <w:p w14:paraId="697C733E" w14:textId="77777777" w:rsidR="005A5FCC" w:rsidRDefault="00A21C81">
                  <w:pPr>
                    <w:spacing w:before="20" w:after="20" w:line="240" w:lineRule="auto"/>
                    <w:jc w:val="left"/>
                  </w:pPr>
                  <w:r>
                    <w:rPr>
                      <w:rFonts w:cs="EB Garamond"/>
                      <w:kern w:val="16"/>
                      <w:sz w:val="16"/>
                      <w14:ligatures w14:val="standardContextual"/>
                    </w:rPr>
                    <w:t>Normatização, coordenação nacional, edição de Instruções Normativas</w:t>
                  </w:r>
                </w:p>
              </w:tc>
            </w:tr>
            <w:tr w:rsidR="005A5FCC" w14:paraId="4436F64C"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3FFDB3B6" w14:textId="77777777" w:rsidR="005A5FCC" w:rsidRDefault="00A21C81">
                  <w:pPr>
                    <w:spacing w:before="20" w:after="20" w:line="240" w:lineRule="auto"/>
                    <w:jc w:val="left"/>
                  </w:pPr>
                  <w:r>
                    <w:rPr>
                      <w:rFonts w:cs="EB Garamond"/>
                      <w:kern w:val="16"/>
                      <w:sz w:val="16"/>
                      <w14:ligatures w14:val="standardContextual"/>
                    </w:rPr>
                    <w:t>Regional</w:t>
                  </w:r>
                </w:p>
              </w:tc>
              <w:tc>
                <w:tcPr>
                  <w:tcW w:w="2117" w:type="dxa"/>
                  <w:tcBorders>
                    <w:top w:val="single" w:sz="4" w:space="0" w:color="D2C9B8"/>
                    <w:left w:val="single" w:sz="4" w:space="0" w:color="D2C9B8"/>
                    <w:bottom w:val="single" w:sz="4" w:space="0" w:color="D2C9B8"/>
                    <w:right w:val="single" w:sz="4" w:space="0" w:color="D2C9B8"/>
                  </w:tcBorders>
                </w:tcPr>
                <w:p w14:paraId="02E42011" w14:textId="77777777" w:rsidR="005A5FCC" w:rsidRDefault="00A21C81">
                  <w:pPr>
                    <w:spacing w:before="20" w:after="20" w:line="240" w:lineRule="auto"/>
                    <w:jc w:val="left"/>
                  </w:pPr>
                  <w:r>
                    <w:rPr>
                      <w:rFonts w:cs="EB Garamond"/>
                      <w:kern w:val="16"/>
                      <w:sz w:val="16"/>
                      <w14:ligatures w14:val="standardContextual"/>
                    </w:rPr>
                    <w:t>Superintendências Regionais (SR)</w:t>
                  </w:r>
                </w:p>
              </w:tc>
              <w:tc>
                <w:tcPr>
                  <w:tcW w:w="2117" w:type="dxa"/>
                  <w:tcBorders>
                    <w:top w:val="single" w:sz="4" w:space="0" w:color="D2C9B8"/>
                    <w:left w:val="single" w:sz="4" w:space="0" w:color="D2C9B8"/>
                    <w:bottom w:val="single" w:sz="4" w:space="0" w:color="D2C9B8"/>
                    <w:right w:val="single" w:sz="4" w:space="0" w:color="D2C9B8"/>
                  </w:tcBorders>
                </w:tcPr>
                <w:p w14:paraId="04AEE294" w14:textId="77777777" w:rsidR="005A5FCC" w:rsidRDefault="00A21C81">
                  <w:pPr>
                    <w:spacing w:before="20" w:after="20" w:line="240" w:lineRule="auto"/>
                    <w:jc w:val="left"/>
                  </w:pPr>
                  <w:r>
                    <w:rPr>
                      <w:rFonts w:cs="EB Garamond"/>
                      <w:kern w:val="16"/>
                      <w:sz w:val="16"/>
                      <w14:ligatures w14:val="standardContextual"/>
                    </w:rPr>
                    <w:t>Coordenação da execução em âmbito regional</w:t>
                  </w:r>
                </w:p>
              </w:tc>
            </w:tr>
            <w:tr w:rsidR="005A5FCC" w14:paraId="0C56147B"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0B93AABA" w14:textId="77777777" w:rsidR="005A5FCC" w:rsidRDefault="00A21C81">
                  <w:pPr>
                    <w:spacing w:before="20" w:after="20" w:line="240" w:lineRule="auto"/>
                    <w:jc w:val="left"/>
                  </w:pPr>
                  <w:r>
                    <w:rPr>
                      <w:rFonts w:cs="EB Garamond"/>
                      <w:kern w:val="16"/>
                      <w:sz w:val="16"/>
                      <w14:ligatures w14:val="standardContextual"/>
                    </w:rPr>
                    <w:t>Gerencial</w:t>
                  </w:r>
                </w:p>
              </w:tc>
              <w:tc>
                <w:tcPr>
                  <w:tcW w:w="2117" w:type="dxa"/>
                  <w:tcBorders>
                    <w:top w:val="single" w:sz="4" w:space="0" w:color="D2C9B8"/>
                    <w:left w:val="single" w:sz="4" w:space="0" w:color="D2C9B8"/>
                    <w:bottom w:val="single" w:sz="4" w:space="0" w:color="D2C9B8"/>
                    <w:right w:val="single" w:sz="4" w:space="0" w:color="D2C9B8"/>
                  </w:tcBorders>
                </w:tcPr>
                <w:p w14:paraId="3B09660E" w14:textId="77777777" w:rsidR="005A5FCC" w:rsidRDefault="00A21C81">
                  <w:pPr>
                    <w:spacing w:before="20" w:after="20" w:line="240" w:lineRule="auto"/>
                    <w:jc w:val="left"/>
                  </w:pPr>
                  <w:r>
                    <w:rPr>
                      <w:rFonts w:cs="EB Garamond"/>
                      <w:kern w:val="16"/>
                      <w:sz w:val="16"/>
                      <w14:ligatures w14:val="standardContextual"/>
                    </w:rPr>
                    <w:t>Gerências Executivas (GEX)</w:t>
                  </w:r>
                </w:p>
              </w:tc>
              <w:tc>
                <w:tcPr>
                  <w:tcW w:w="2117" w:type="dxa"/>
                  <w:tcBorders>
                    <w:top w:val="single" w:sz="4" w:space="0" w:color="D2C9B8"/>
                    <w:left w:val="single" w:sz="4" w:space="0" w:color="D2C9B8"/>
                    <w:bottom w:val="single" w:sz="4" w:space="0" w:color="D2C9B8"/>
                    <w:right w:val="single" w:sz="4" w:space="0" w:color="D2C9B8"/>
                  </w:tcBorders>
                </w:tcPr>
                <w:p w14:paraId="729D01AC" w14:textId="77777777" w:rsidR="005A5FCC" w:rsidRDefault="00A21C81">
                  <w:pPr>
                    <w:spacing w:before="20" w:after="20" w:line="240" w:lineRule="auto"/>
                    <w:jc w:val="left"/>
                  </w:pPr>
                  <w:r>
                    <w:rPr>
                      <w:rFonts w:cs="EB Garamond"/>
                      <w:kern w:val="16"/>
                      <w:sz w:val="16"/>
                      <w14:ligatures w14:val="standardContextual"/>
                    </w:rPr>
                    <w:t>Gestão operacional estadual/sub-regional</w:t>
                  </w:r>
                </w:p>
              </w:tc>
            </w:tr>
            <w:tr w:rsidR="005A5FCC" w14:paraId="6778797A"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5D5C62DC" w14:textId="77777777" w:rsidR="005A5FCC" w:rsidRDefault="00A21C81">
                  <w:pPr>
                    <w:spacing w:before="20" w:after="20" w:line="240" w:lineRule="auto"/>
                    <w:jc w:val="left"/>
                  </w:pPr>
                  <w:r>
                    <w:rPr>
                      <w:rFonts w:cs="EB Garamond"/>
                      <w:kern w:val="16"/>
                      <w:sz w:val="16"/>
                      <w14:ligatures w14:val="standardContextual"/>
                    </w:rPr>
                    <w:t>Operacional</w:t>
                  </w:r>
                </w:p>
              </w:tc>
              <w:tc>
                <w:tcPr>
                  <w:tcW w:w="2117" w:type="dxa"/>
                  <w:tcBorders>
                    <w:top w:val="single" w:sz="4" w:space="0" w:color="D2C9B8"/>
                    <w:left w:val="single" w:sz="4" w:space="0" w:color="D2C9B8"/>
                    <w:bottom w:val="single" w:sz="4" w:space="0" w:color="D2C9B8"/>
                    <w:right w:val="single" w:sz="4" w:space="0" w:color="D2C9B8"/>
                  </w:tcBorders>
                </w:tcPr>
                <w:p w14:paraId="3C498A42" w14:textId="77777777" w:rsidR="005A5FCC" w:rsidRDefault="00A21C81">
                  <w:pPr>
                    <w:spacing w:before="20" w:after="20" w:line="240" w:lineRule="auto"/>
                    <w:jc w:val="left"/>
                  </w:pPr>
                  <w:r>
                    <w:rPr>
                      <w:rFonts w:cs="EB Garamond"/>
                      <w:kern w:val="16"/>
                      <w:sz w:val="16"/>
                      <w14:ligatures w14:val="standardContextual"/>
                    </w:rPr>
                    <w:t>Agências da Previdência Social (APS)</w:t>
                  </w:r>
                </w:p>
              </w:tc>
              <w:tc>
                <w:tcPr>
                  <w:tcW w:w="2117" w:type="dxa"/>
                  <w:tcBorders>
                    <w:top w:val="single" w:sz="4" w:space="0" w:color="D2C9B8"/>
                    <w:left w:val="single" w:sz="4" w:space="0" w:color="D2C9B8"/>
                    <w:bottom w:val="single" w:sz="4" w:space="0" w:color="D2C9B8"/>
                    <w:right w:val="single" w:sz="4" w:space="0" w:color="D2C9B8"/>
                  </w:tcBorders>
                </w:tcPr>
                <w:p w14:paraId="6C49D4E0" w14:textId="77777777" w:rsidR="005A5FCC" w:rsidRDefault="00A21C81">
                  <w:pPr>
                    <w:spacing w:before="20" w:after="20" w:line="240" w:lineRule="auto"/>
                    <w:jc w:val="left"/>
                  </w:pPr>
                  <w:r>
                    <w:rPr>
                      <w:rFonts w:cs="EB Garamond"/>
                      <w:kern w:val="16"/>
                      <w:sz w:val="16"/>
                      <w14:ligatures w14:val="standardContextual"/>
                    </w:rPr>
                    <w:t>Atendimento direto, protocolo de requerimentos, perícias</w:t>
                  </w:r>
                </w:p>
              </w:tc>
            </w:tr>
            <w:tr w:rsidR="005A5FCC" w14:paraId="44D97D27"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13D930F0" w14:textId="77777777" w:rsidR="005A5FCC" w:rsidRDefault="00A21C81">
                  <w:pPr>
                    <w:spacing w:before="20" w:after="20" w:line="240" w:lineRule="auto"/>
                    <w:jc w:val="left"/>
                  </w:pPr>
                  <w:r>
                    <w:rPr>
                      <w:rFonts w:cs="EB Garamond"/>
                      <w:kern w:val="16"/>
                      <w:sz w:val="16"/>
                      <w14:ligatures w14:val="standardContextual"/>
                    </w:rPr>
                    <w:t>Retaguarda</w:t>
                  </w:r>
                </w:p>
              </w:tc>
              <w:tc>
                <w:tcPr>
                  <w:tcW w:w="2117" w:type="dxa"/>
                  <w:tcBorders>
                    <w:top w:val="single" w:sz="4" w:space="0" w:color="D2C9B8"/>
                    <w:left w:val="single" w:sz="4" w:space="0" w:color="D2C9B8"/>
                    <w:bottom w:val="single" w:sz="4" w:space="0" w:color="D2C9B8"/>
                    <w:right w:val="single" w:sz="4" w:space="0" w:color="D2C9B8"/>
                  </w:tcBorders>
                </w:tcPr>
                <w:p w14:paraId="0E372515" w14:textId="77777777" w:rsidR="005A5FCC" w:rsidRDefault="00A21C81">
                  <w:pPr>
                    <w:spacing w:before="20" w:after="20" w:line="240" w:lineRule="auto"/>
                    <w:jc w:val="left"/>
                  </w:pPr>
                  <w:r>
                    <w:rPr>
                      <w:rFonts w:cs="EB Garamond"/>
                      <w:kern w:val="16"/>
                      <w:sz w:val="16"/>
                      <w14:ligatures w14:val="standardContextual"/>
                    </w:rPr>
                    <w:t>Centrais de Análise de Benefícios (Ceabs)</w:t>
                  </w:r>
                </w:p>
              </w:tc>
              <w:tc>
                <w:tcPr>
                  <w:tcW w:w="2117" w:type="dxa"/>
                  <w:tcBorders>
                    <w:top w:val="single" w:sz="4" w:space="0" w:color="D2C9B8"/>
                    <w:left w:val="single" w:sz="4" w:space="0" w:color="D2C9B8"/>
                    <w:bottom w:val="single" w:sz="4" w:space="0" w:color="D2C9B8"/>
                    <w:right w:val="single" w:sz="4" w:space="0" w:color="D2C9B8"/>
                  </w:tcBorders>
                </w:tcPr>
                <w:p w14:paraId="74964B73" w14:textId="77777777" w:rsidR="005A5FCC" w:rsidRDefault="00A21C81">
                  <w:pPr>
                    <w:spacing w:before="20" w:after="20" w:line="240" w:lineRule="auto"/>
                    <w:jc w:val="left"/>
                  </w:pPr>
                  <w:r>
                    <w:rPr>
                      <w:rFonts w:cs="EB Garamond"/>
                      <w:kern w:val="16"/>
                      <w:sz w:val="16"/>
                      <w14:ligatures w14:val="standardContextual"/>
                    </w:rPr>
                    <w:t>Análise remota de requerimentos</w:t>
                  </w:r>
                </w:p>
              </w:tc>
            </w:tr>
            <w:tr w:rsidR="005A5FCC" w14:paraId="7B751850"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66A31D1A" w14:textId="77777777" w:rsidR="005A5FCC" w:rsidRDefault="00A21C81">
                  <w:pPr>
                    <w:spacing w:before="20" w:after="20" w:line="240" w:lineRule="auto"/>
                    <w:jc w:val="left"/>
                  </w:pPr>
                  <w:r>
                    <w:rPr>
                      <w:rFonts w:cs="EB Garamond"/>
                      <w:kern w:val="16"/>
                      <w:sz w:val="16"/>
                      <w14:ligatures w14:val="standardContextual"/>
                    </w:rPr>
                    <w:t>Pericial</w:t>
                  </w:r>
                </w:p>
              </w:tc>
              <w:tc>
                <w:tcPr>
                  <w:tcW w:w="2117" w:type="dxa"/>
                  <w:tcBorders>
                    <w:top w:val="single" w:sz="4" w:space="0" w:color="D2C9B8"/>
                    <w:left w:val="single" w:sz="4" w:space="0" w:color="D2C9B8"/>
                    <w:bottom w:val="single" w:sz="4" w:space="0" w:color="D2C9B8"/>
                    <w:right w:val="single" w:sz="4" w:space="0" w:color="D2C9B8"/>
                  </w:tcBorders>
                </w:tcPr>
                <w:p w14:paraId="1AA069C8" w14:textId="77777777" w:rsidR="005A5FCC" w:rsidRDefault="00A21C81">
                  <w:pPr>
                    <w:spacing w:before="20" w:after="20" w:line="240" w:lineRule="auto"/>
                    <w:jc w:val="left"/>
                  </w:pPr>
                  <w:r>
                    <w:rPr>
                      <w:rFonts w:cs="EB Garamond"/>
                      <w:kern w:val="16"/>
                      <w:sz w:val="16"/>
                      <w14:ligatures w14:val="standardContextual"/>
                    </w:rPr>
                    <w:t>Perícia Médica Federal (PMF)</w:t>
                  </w:r>
                </w:p>
              </w:tc>
              <w:tc>
                <w:tcPr>
                  <w:tcW w:w="2117" w:type="dxa"/>
                  <w:tcBorders>
                    <w:top w:val="single" w:sz="4" w:space="0" w:color="D2C9B8"/>
                    <w:left w:val="single" w:sz="4" w:space="0" w:color="D2C9B8"/>
                    <w:bottom w:val="single" w:sz="4" w:space="0" w:color="D2C9B8"/>
                    <w:right w:val="single" w:sz="4" w:space="0" w:color="D2C9B8"/>
                  </w:tcBorders>
                </w:tcPr>
                <w:p w14:paraId="1706D063" w14:textId="77777777" w:rsidR="005A5FCC" w:rsidRDefault="00A21C81">
                  <w:pPr>
                    <w:spacing w:before="20" w:after="20" w:line="240" w:lineRule="auto"/>
                    <w:jc w:val="left"/>
                  </w:pPr>
                  <w:r>
                    <w:rPr>
                      <w:rFonts w:cs="EB Garamond"/>
                      <w:kern w:val="16"/>
                      <w:sz w:val="16"/>
                      <w14:ligatures w14:val="standardContextual"/>
                    </w:rPr>
                    <w:t>Avaliação médico-pericial com autonomia técnica</w:t>
                  </w:r>
                </w:p>
              </w:tc>
            </w:tr>
            <w:tr w:rsidR="005A5FCC" w14:paraId="11A45676"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5632B7A9" w14:textId="77777777" w:rsidR="005A5FCC" w:rsidRDefault="00A21C81">
                  <w:pPr>
                    <w:spacing w:before="20" w:after="20" w:line="240" w:lineRule="auto"/>
                    <w:jc w:val="left"/>
                  </w:pPr>
                  <w:r>
                    <w:rPr>
                      <w:rFonts w:cs="EB Garamond"/>
                      <w:kern w:val="16"/>
                      <w:sz w:val="16"/>
                      <w14:ligatures w14:val="standardContextual"/>
                    </w:rPr>
                    <w:t>Recursal</w:t>
                  </w:r>
                </w:p>
              </w:tc>
              <w:tc>
                <w:tcPr>
                  <w:tcW w:w="2117" w:type="dxa"/>
                  <w:tcBorders>
                    <w:top w:val="single" w:sz="4" w:space="0" w:color="D2C9B8"/>
                    <w:left w:val="single" w:sz="4" w:space="0" w:color="D2C9B8"/>
                    <w:bottom w:val="single" w:sz="4" w:space="0" w:color="D2C9B8"/>
                    <w:right w:val="single" w:sz="4" w:space="0" w:color="D2C9B8"/>
                  </w:tcBorders>
                </w:tcPr>
                <w:p w14:paraId="72BCBF4F" w14:textId="77777777" w:rsidR="005A5FCC" w:rsidRDefault="00A21C81">
                  <w:pPr>
                    <w:spacing w:before="20" w:after="20" w:line="240" w:lineRule="auto"/>
                    <w:jc w:val="left"/>
                  </w:pPr>
                  <w:r>
                    <w:rPr>
                      <w:rFonts w:cs="EB Garamond"/>
                      <w:kern w:val="16"/>
                      <w:sz w:val="16"/>
                      <w14:ligatures w14:val="standardContextual"/>
                    </w:rPr>
                    <w:t>CRPS (vinculado ao MPS, não ao INSS)</w:t>
                  </w:r>
                </w:p>
              </w:tc>
              <w:tc>
                <w:tcPr>
                  <w:tcW w:w="2117" w:type="dxa"/>
                  <w:tcBorders>
                    <w:top w:val="single" w:sz="4" w:space="0" w:color="D2C9B8"/>
                    <w:left w:val="single" w:sz="4" w:space="0" w:color="D2C9B8"/>
                    <w:bottom w:val="single" w:sz="4" w:space="0" w:color="D2C9B8"/>
                    <w:right w:val="single" w:sz="4" w:space="0" w:color="D2C9B8"/>
                  </w:tcBorders>
                </w:tcPr>
                <w:p w14:paraId="4E042FA3" w14:textId="77777777" w:rsidR="005A5FCC" w:rsidRDefault="00A21C81">
                  <w:pPr>
                    <w:spacing w:before="20" w:after="20" w:line="240" w:lineRule="auto"/>
                    <w:jc w:val="left"/>
                  </w:pPr>
                  <w:r>
                    <w:rPr>
                      <w:rFonts w:cs="EB Garamond"/>
                      <w:kern w:val="16"/>
                      <w:sz w:val="16"/>
                      <w14:ligatures w14:val="standardContextual"/>
                    </w:rPr>
                    <w:t>Julgamento de recursos administrativos</w:t>
                  </w:r>
                </w:p>
              </w:tc>
            </w:tr>
          </w:tbl>
          <w:p w14:paraId="6895A2F7" w14:textId="77777777" w:rsidR="005A5FCC" w:rsidRDefault="005A5FCC"/>
          <w:p w14:paraId="4F99BD1D" w14:textId="77777777" w:rsidR="005A5FCC" w:rsidRDefault="005A5FCC">
            <w:pPr>
              <w:spacing w:after="0" w:line="240" w:lineRule="auto"/>
            </w:pPr>
          </w:p>
        </w:tc>
      </w:tr>
    </w:tbl>
    <w:p w14:paraId="0255146B" w14:textId="77777777" w:rsidR="005A5FCC" w:rsidRDefault="005A5FCC">
      <w:pPr>
        <w:spacing w:after="80" w:line="240" w:lineRule="auto"/>
      </w:pPr>
    </w:p>
    <w:p w14:paraId="14FD107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P</w:t>
      </w:r>
    </w:p>
    <w:p w14:paraId="4B6D2C33" w14:textId="77777777" w:rsidR="005A5FCC" w:rsidRDefault="00A21C81">
      <w:r>
        <w:rPr>
          <w:rFonts w:cs="EB Garamond"/>
          <w:kern w:val="16"/>
          <w14:ligatures w14:val="standardContextual"/>
        </w:rPr>
        <w:t>ara a atuação nos JEFs, o conhecimento dessa estrutura tem consequências processuais diretas. A intimação do INSS para cumprir obrigação de fazer (implantar benefício, por exemplo) deve ser endereçada à Gerência Executiva competente ou à APS de vinculação do segurado, conforme o caso. A solicitação de documentos (CNIS, processo administrativo, parecer pericial) segue caminhos distintos a depender da natureza da informação. E a compreensão de que a análise do requerimento pode ter sido feita por servidor de Central de Análise distinta da APS de protocolo evita equívocos na instrução processual.</w:t>
      </w:r>
    </w:p>
    <w:p w14:paraId="36458D40"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22.3 Canais de atendimento: meu INSS, central 135 e atendimento presencial</w:t>
      </w:r>
    </w:p>
    <w:p w14:paraId="2548993B"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6D2B4320" w14:textId="1CA0FAA4" w:rsidR="005A5FCC" w:rsidRDefault="00A21C81">
      <w:r>
        <w:rPr>
          <w:rFonts w:cs="EB Garamond"/>
          <w:kern w:val="16"/>
          <w14:ligatures w14:val="standardContextual"/>
        </w:rPr>
        <w:t xml:space="preserve"> trajetória dos canais de atendimento do INSS nos últimos quinze anos reflete uma transição acelerada do modelo presencial para o digital. Até o final da década de 2010, o segurado que desejasse requerer benefício previdenciário precisava, como regra, comparecer pessoalmente a uma Agência da Previdência Social, enfrentar filas frequentemente longas e submeter documentação física a servidor que realizava análise presencial. A partir de 2017, com o lançamento da primeira versão do aplicativo "Meu INSS", e sobretudo a partir de 2020, quando a pandemia de COVID-19 forçou a digitalização emergencial dos serviços públicos, o cenário alterou-se radicalmente.</w:t>
      </w:r>
    </w:p>
    <w:p w14:paraId="2FBB0289" w14:textId="77777777" w:rsidR="005A5FCC" w:rsidRDefault="00A21C81">
      <w:pPr>
        <w:ind w:firstLine="238"/>
      </w:pPr>
      <w:r>
        <w:rPr>
          <w:rFonts w:cs="EB Garamond"/>
          <w:kern w:val="16"/>
          <w14:ligatures w14:val="standardContextual"/>
        </w:rPr>
        <w:t>O Meu INSS, disponível como aplicativo móvel (versão 5.0.0, atualizada em 2025) e portal web (meu.inss.gov.br), consolidou-se como canal principal de interação entre o segurado e a autarquia. Por meio da plataforma, autenticada via conta Gov.br (níveis prata ou ouro), o segurado pode protocolar requerimentos de benefícios, consultar o Cadastro Nacional de Informações Sociais (CNIS), simular tempo de contribuição e valor de aposentadoria, acompanhar o andamento de requerimentos, agendar atendimento presencial, protocolar recursos administrativos e, desde a implantação do sistema Atestmed, submeter documentação médica para análise pericial à distância. Em 2025, a plataforma registrou média da ordem de cento e trinta milhões de acessos mensais, segundo os dados de gestão divulgados pelo INSS, número que evidencia sua penetração entre a população segurada.</w:t>
      </w:r>
    </w:p>
    <w:p w14:paraId="345D086E" w14:textId="77777777" w:rsidR="005A5FCC" w:rsidRDefault="00A21C81">
      <w:pPr>
        <w:ind w:firstLine="238"/>
      </w:pPr>
      <w:r>
        <w:rPr>
          <w:rFonts w:cs="EB Garamond"/>
          <w:kern w:val="16"/>
          <w14:ligatures w14:val="standardContextual"/>
        </w:rPr>
        <w:t xml:space="preserve">A autenticação pelo Gov.br introduziu camada de segurança e padronização que trouxe benefícios e dificuldades. O nível prata (validação por biometria facial ou dados bancários) e o nível ouro (validação por certificado digital ou biometria da Justiça Eleitoral) garantem maior segurança na identificação do segurado, mas excluem parcela da população que não consegue elevar o nível de autenticação: idosos sem smartphone com câmera, trabalhadores rurais sem conta bancária digital, pessoas em situação de vulnerabilidade tecnológica. Essa exclusão digital </w:t>
      </w:r>
      <w:r>
        <w:rPr>
          <w:rFonts w:cs="EB Garamond"/>
          <w:kern w:val="16"/>
          <w14:ligatures w14:val="standardContextual"/>
        </w:rPr>
        <w:lastRenderedPageBreak/>
        <w:t>tem repercussão direta nos JEFs, pois parte das ações ajuizadas sem prévio requerimento administrativo decorre não da desídia do autor, mas da impossibilidade concreta de acesso ao Meu INSS.</w:t>
      </w:r>
    </w:p>
    <w:p w14:paraId="70192273" w14:textId="77777777" w:rsidR="005A5FCC" w:rsidRDefault="00A21C81">
      <w:pPr>
        <w:ind w:firstLine="238"/>
      </w:pPr>
      <w:r>
        <w:rPr>
          <w:rFonts w:cs="EB Garamond"/>
          <w:kern w:val="16"/>
          <w14:ligatures w14:val="standardContextual"/>
        </w:rPr>
        <w:t>A Central 135 funciona como canal telefônico de atendimento, em operação de segunda a sábado, das 7h às 22h. Pelo telefone, o segurado pode obter informações sobre benefícios, agendar atendimento presencial, protocolar requerimentos de menor complexidade (como pedido de prorrogação de auxílio por incapacidade temporária) e receber orientações procedimentais. A Central exerce papel de inclusão relevante para segurados sem acesso à internet ou sem familiaridade com ferramentas digitais, sendo particularmente utilizada em municípios do interior e por segurados de faixas etárias mais elevadas.</w:t>
      </w:r>
    </w:p>
    <w:p w14:paraId="0F4B825A" w14:textId="77777777" w:rsidR="005A5FCC" w:rsidRDefault="00A21C81">
      <w:pPr>
        <w:ind w:firstLine="238"/>
      </w:pPr>
      <w:r>
        <w:rPr>
          <w:rFonts w:cs="EB Garamond"/>
          <w:kern w:val="16"/>
          <w14:ligatures w14:val="standardContextual"/>
        </w:rPr>
        <w:t>O atendimento presencial nas APS, embora tenha perdido a centralidade que possuía até 2019, permanece como canal disponível, agora mediante agendamento prévio obrigatório pelo Meu INSS ou pela Central 135. O atendimento espontâneo (sem agendamento) é limitado a situações excepcionais definidas em normativo interno. Essa restrição, combinada com a redução do número de servidores de atendimento nas APS, gerou reclamações recorrentes de segurados que alegam dificuldade de acesso presencial — argumento recorrente nos JEFs como justificativa para a ausência de prévio requerimento administrativo.</w:t>
      </w:r>
    </w:p>
    <w:p w14:paraId="5ED471D0" w14:textId="77777777" w:rsidR="005A5FCC" w:rsidRDefault="00A21C81">
      <w:pPr>
        <w:ind w:firstLine="238"/>
      </w:pPr>
      <w:r>
        <w:rPr>
          <w:rFonts w:cs="EB Garamond"/>
          <w:kern w:val="16"/>
          <w14:ligatures w14:val="standardContextual"/>
        </w:rPr>
        <w:t>A questão da representação por procurador merece nota específica. O Meu INSS permite o cadastro de procurador (mediante instrumento de procuração digitalizado e registrado no sistema), de modo que o advogado ou familiar pode, em nome do segurado, protocolar requerimentos, acompanhar andamento e receber notificações. Essa funcionalidade é particularmente relevante para segurados acamados, hospitalizados ou com dificuldades cognitivas, que não conseguem operar pessoalmente a plataforma. Nos JEFs, o juiz deve estar atento a essa possibilidade ao avaliar alegações de impossibilidade de acesso ao Meu INSS.</w:t>
      </w:r>
    </w:p>
    <w:p w14:paraId="171F1E78" w14:textId="77777777" w:rsidR="005A5FCC" w:rsidRDefault="00A21C81">
      <w:pPr>
        <w:ind w:firstLine="238"/>
      </w:pPr>
      <w:r>
        <w:rPr>
          <w:rFonts w:cs="EB Garamond"/>
          <w:kern w:val="16"/>
          <w14:ligatures w14:val="standardContextual"/>
        </w:rPr>
        <w:t xml:space="preserve">Outro canal que se consolidou nos últimos anos é o atendimento por entidades conveniadas. Sindicatos, associações de classe e entidades de assistência social firmam convênios com o INSS para atuar como intermediários no protocolo de requerimentos, especialmente em áreas rurais e periferias urbanas onde a presença </w:t>
      </w:r>
      <w:r>
        <w:rPr>
          <w:rFonts w:cs="EB Garamond"/>
          <w:kern w:val="16"/>
          <w14:ligatures w14:val="standardContextual"/>
        </w:rPr>
        <w:lastRenderedPageBreak/>
        <w:t>da APS é limitada. Esses convênios, regulamentados por resolução do INSS, permitem que a entidade conveniada receba a documentação do segurado e a transmita eletronicamente ao INSS, facilitando o acesso de populações em situação de vulnerabilidade geográfica ou digital.</w:t>
      </w:r>
    </w:p>
    <w:p w14:paraId="1FE09645" w14:textId="77777777" w:rsidR="005A5FCC" w:rsidRDefault="00A21C81">
      <w:pPr>
        <w:ind w:firstLine="238"/>
      </w:pPr>
      <w:r>
        <w:rPr>
          <w:rFonts w:cs="EB Garamond"/>
          <w:kern w:val="16"/>
          <w14:ligatures w14:val="standardContextual"/>
        </w:rPr>
        <w:t>Para a prática nos JEFs, a questão central é a comprovação do requerimento administrativo. Nos termos da tese fixada pelo STF no Tema 350 (RE 631.240/MG, Tribunal Pleno, rel. Min. Luís Roberto Barroso, julgado em 03/09/2014), o prévio requerimento administrativo é, em regra, condição para o ajuizamento de ação previdenciária, salvo nos casos de notório indeferimento pelo INSS ou de revisão de benefício já concedido. A prova do requerimento pode ser feita por meio do número de protocolo gerado pelo Meu INSS, por comprovante de agendamento, por prints da tela do aplicativo ou portal, ou pela carta de indeferimento emitida pelo INSS. Nos casos de mora (ausência de decisão no prazo legal), a prova do requerimento seguida da demonstração do decurso do prazo de 45 dias é suficiente para caracterizar o interesse de agir.</w:t>
      </w:r>
    </w:p>
    <w:p w14:paraId="05F1A325"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22.4 Sistemas informatizados do INSS e sua relevância forense</w:t>
      </w:r>
    </w:p>
    <w:p w14:paraId="220C8042"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54A13832" w14:textId="77777777" w:rsidR="005A5FCC" w:rsidRDefault="00A21C81">
      <w:r>
        <w:rPr>
          <w:rFonts w:cs="EB Garamond"/>
          <w:kern w:val="16"/>
          <w14:ligatures w14:val="standardContextual"/>
        </w:rPr>
        <w:t>s sistemas informatizados do INSS, operados pela DATAPREV (Empresa de Tecnologia e Informações da Previdência Social), constituem a infraestrutura digital sobre a qual se processa o reconhecimento de direitos previdenciários no Brasil. O conhecimento desses sistemas é indispensável para advogados e magistrados que atuam nos JEFs, porque é deles que provêm os documentos utilizados como prova na instrução processual e é por meio deles que as sentenças judiciais são efetivadas.</w:t>
      </w:r>
    </w:p>
    <w:p w14:paraId="47F5B64C" w14:textId="77777777" w:rsidR="005A5FCC" w:rsidRDefault="00A21C81">
      <w:pPr>
        <w:ind w:firstLine="238"/>
      </w:pPr>
      <w:r>
        <w:rPr>
          <w:rFonts w:cs="EB Garamond"/>
          <w:kern w:val="16"/>
          <w14:ligatures w14:val="standardContextual"/>
        </w:rPr>
        <w:t xml:space="preserve">O Cadastro Nacional de Informações Sociais (CNIS) é a base de dados central do sistema previdenciário brasileiro, com dezenas de bilhões de registros acumulados desde sua criação. O CNIS agrega informações sobre vínculos empregatícios, remunerações, contribuições previdenciárias e filiação ao RGPS de todos os segurados, gozando de presunção relativa de veracidade nos termos do art. 29-A da Lei n. 8.213/91 (dispositivo incluído pela Lei n. 10.403/2002). Para a análise </w:t>
      </w:r>
      <w:r>
        <w:rPr>
          <w:rFonts w:cs="EB Garamond"/>
          <w:kern w:val="16"/>
          <w14:ligatures w14:val="standardContextual"/>
        </w:rPr>
        <w:lastRenderedPageBreak/>
        <w:t>detalhada da natureza jurídica, força probatória e questões de impugnação do CNIS, ver Cap. 5, §§ 5.2.1-5.2.4. A consulta ao extrato do CNIS é, na prática, o primeiro passo de qualquer análise previdenciária, tanto na via administrativa quanto na judicial. Os indicadores do CNIS (que sinalizam pendências, divergências cadastrais ou necessidade de comprovação documental) são elementos que o magistrado deve saber interpretar, pois frequentemente justificam exigências administrativas que, se não atendidas, resultam em indeferimento.</w:t>
      </w:r>
    </w:p>
    <w:p w14:paraId="385F5D2C" w14:textId="77777777" w:rsidR="005A5FCC" w:rsidRDefault="00A21C81">
      <w:pPr>
        <w:ind w:firstLine="238"/>
      </w:pPr>
      <w:r>
        <w:rPr>
          <w:rFonts w:cs="EB Garamond"/>
          <w:kern w:val="16"/>
          <w14:ligatures w14:val="standardContextual"/>
        </w:rPr>
        <w:t>O sistema PLENUS, operado pela DATAPREV, é a plataforma por meio da qual os servidores do INSS acessam as diversas bases de dados previdenciárias. O PLENUS funciona como portal integrado que permite consulta a subsistemas específicos, cada qual com função definida e relevância probatória própria.</w:t>
      </w:r>
    </w:p>
    <w:p w14:paraId="3D86397A" w14:textId="77777777" w:rsidR="005A5FCC" w:rsidRDefault="00A21C81">
      <w:pPr>
        <w:ind w:firstLine="238"/>
      </w:pPr>
      <w:r>
        <w:rPr>
          <w:rFonts w:cs="EB Garamond"/>
          <w:kern w:val="16"/>
          <w14:ligatures w14:val="standardContextual"/>
        </w:rPr>
        <w:t>O INFBEN (Informações sobre Benefícios) contém os dados cadastrais do benefício: espécie (codificada numericamente — por exemplo, espécie 31 para auxílio por incapacidade temporária e espécie 32 para aposentadoria por incapacidade permanente, código que corresponde à histórica aposentadoria por invalidez, assim redenominada pela EC n. 103/2019), número do benefício (NB), Data de Entrada do Requerimento (DER), Data de Início do Benefício (DIB), Data de Início do Pagamento (DIP), Data de Cessação do Benefício (DCB), renda mensal atual e situação cadastral (ativo, suspenso, cessado). Esse extrato é peça fundamental em qualquer ação previdenciária que envolva benefício já concedido ou cessado.</w:t>
      </w:r>
    </w:p>
    <w:p w14:paraId="6157C4A6" w14:textId="77777777" w:rsidR="005A5FCC" w:rsidRDefault="00A21C81">
      <w:pPr>
        <w:ind w:firstLine="238"/>
      </w:pPr>
      <w:r>
        <w:rPr>
          <w:rFonts w:cs="EB Garamond"/>
          <w:kern w:val="16"/>
          <w14:ligatures w14:val="standardContextual"/>
        </w:rPr>
        <w:t>O CONBAS (Contribuições e Bases de Cálculo) registra os salários de contribuição do segurado, o coeficiente de cálculo aplicado e a Renda Mensal Inicial (RMI) do benefício. Esse documento é essencial nas ações revisionais, pois permite verificar se os salários de contribuição foram corretamente apurados e se a fórmula de cálculo observou a legislação vigente à época da concessão.</w:t>
      </w:r>
    </w:p>
    <w:p w14:paraId="7F201182" w14:textId="77777777" w:rsidR="005A5FCC" w:rsidRDefault="00A21C81">
      <w:pPr>
        <w:ind w:firstLine="238"/>
      </w:pPr>
      <w:r>
        <w:rPr>
          <w:rFonts w:cs="EB Garamond"/>
          <w:kern w:val="16"/>
          <w14:ligatures w14:val="standardContextual"/>
        </w:rPr>
        <w:t>O HISCRE (Histórico de Créditos) contém o registro de todos os pagamentos efetuados ao beneficiário, com datas, valores, competências e dados bancários. O HISCRE é o documento que permite calcular, com precisão, os valores devidos a título de diferenças em ações revisionais e o montante de parcelas vencidas (atrasados) em ações de concessão.</w:t>
      </w:r>
    </w:p>
    <w:p w14:paraId="0C4C9613" w14:textId="77777777" w:rsidR="005A5FCC" w:rsidRDefault="00A21C81">
      <w:pPr>
        <w:ind w:firstLine="238"/>
      </w:pPr>
      <w:r>
        <w:rPr>
          <w:rFonts w:cs="EB Garamond"/>
          <w:kern w:val="16"/>
          <w14:ligatures w14:val="standardContextual"/>
        </w:rPr>
        <w:lastRenderedPageBreak/>
        <w:t>O SABI (Sistema de Administração de Benefícios por Incapacidade) registra as perícias médicas realizadas, incluindo conclusões periciais, Datas de Cessação do Benefício (DCBs) fixadas, reavaliações e dados do COPES (Cobertura Previdenciária Estimada, conhecida como alta programada). O acesso ao histórico do SABI é determinante nas ações de restabelecimento de auxílio por incapacidade temporária e nas ações de concessão de aposentadoria por incapacidade permanente.</w:t>
      </w:r>
    </w:p>
    <w:p w14:paraId="71261577" w14:textId="77777777" w:rsidR="005A5FCC" w:rsidRDefault="00A21C81">
      <w:pPr>
        <w:ind w:firstLine="238"/>
      </w:pPr>
      <w:r>
        <w:rPr>
          <w:rFonts w:cs="EB Garamond"/>
          <w:kern w:val="16"/>
          <w14:ligatures w14:val="standardContextual"/>
        </w:rPr>
        <w:t>O PRISMA (Programa de Requerimento de Informações Sociais e Monitoramento de Atendimento) é o sistema de gerenciamento de requerimentos administrativos, por meio do qual se acompanha o trâmite do pedido desde o protocolo até a decisão. O GET (Gerenciador de Tarefas) distribui as tarefas de análise entre os servidores, funcionando como sistema de produtividade interna. Embora o PRISMA e o GET sejam sistemas de gestão operacional, seus registros podem ser relevantes em ações judiciais, especialmente para comprovar mora administrativa (demonstrando que o requerimento permaneceu sem análise por período superior ao prazo legal).</w:t>
      </w:r>
    </w:p>
    <w:tbl>
      <w:tblPr>
        <w:tblW w:w="5000" w:type="pct"/>
        <w:jc w:val="center"/>
        <w:tblLayout w:type="fixed"/>
        <w:tblLook w:val="04A0" w:firstRow="1" w:lastRow="0" w:firstColumn="1" w:lastColumn="0" w:noHBand="0" w:noVBand="1"/>
      </w:tblPr>
      <w:tblGrid>
        <w:gridCol w:w="6311"/>
      </w:tblGrid>
      <w:tr w:rsidR="005A5FCC" w14:paraId="16507DD2"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5D1269C5"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26708801" w14:textId="77777777" w:rsidR="005A5FCC" w:rsidRDefault="00A21C81">
            <w:pPr>
              <w:spacing w:after="60" w:line="247" w:lineRule="auto"/>
            </w:pPr>
            <w:r>
              <w:rPr>
                <w:rFonts w:cs="EB Garamond"/>
                <w:b/>
                <w:kern w:val="16"/>
                <w:sz w:val="19"/>
                <w14:ligatures w14:val="standardContextual"/>
              </w:rPr>
              <w:t>Em termos operacionais — Documentos do INSS que o juiz deve solicitar nas ações previdenciárias</w:t>
            </w:r>
          </w:p>
          <w:p w14:paraId="461E553F" w14:textId="77777777" w:rsidR="005A5FCC" w:rsidRDefault="00A21C81">
            <w:pPr>
              <w:spacing w:after="60" w:line="247" w:lineRule="auto"/>
            </w:pPr>
            <w:r>
              <w:rPr>
                <w:rFonts w:cs="EB Garamond"/>
                <w:kern w:val="16"/>
                <w:sz w:val="19"/>
                <w14:ligatures w14:val="standardContextual"/>
              </w:rPr>
              <w:t>A depender da natureza da ação, recomendamos que o magistrado determine ao INSS a juntada dos seguintes documentos:</w:t>
            </w:r>
          </w:p>
          <w:p w14:paraId="14B92549" w14:textId="77777777" w:rsidR="005A5FCC" w:rsidRDefault="00A21C81">
            <w:pPr>
              <w:spacing w:after="60" w:line="247" w:lineRule="auto"/>
            </w:pPr>
            <w:r>
              <w:rPr>
                <w:rFonts w:cs="EB Garamond"/>
                <w:kern w:val="16"/>
                <w:sz w:val="19"/>
                <w14:ligatures w14:val="standardContextual"/>
              </w:rPr>
              <w:t>Em ações de concessão de benefício: cópia integral do processo administrativo (requerimento, documentos apresentados pelo segurado, análise do servidor, decisão fundamentada); extrato do CNIS atualizado com indicadores; e, em benefícios por incapacidade, o laudo pericial administrativo com conclusões e fundamentação.</w:t>
            </w:r>
          </w:p>
          <w:p w14:paraId="1DD81B5E" w14:textId="77777777" w:rsidR="005A5FCC" w:rsidRDefault="00A21C81">
            <w:pPr>
              <w:spacing w:after="60" w:line="247" w:lineRule="auto"/>
            </w:pPr>
            <w:r>
              <w:rPr>
                <w:rFonts w:cs="EB Garamond"/>
                <w:kern w:val="16"/>
                <w:sz w:val="19"/>
                <w14:ligatures w14:val="standardContextual"/>
              </w:rPr>
              <w:t>Em ações de restabelecimento de benefício por incapacidade: extrato do INFBEN (com histórico de concessões e cessações); extrato do SABI (com histórico de perícias, DCBs e reavaliações); e prontuário médico administrativo, quando existente.</w:t>
            </w:r>
          </w:p>
          <w:p w14:paraId="069EA152" w14:textId="77777777" w:rsidR="005A5FCC" w:rsidRDefault="00A21C81">
            <w:pPr>
              <w:spacing w:after="60" w:line="247" w:lineRule="auto"/>
            </w:pPr>
            <w:r>
              <w:rPr>
                <w:rFonts w:cs="EB Garamond"/>
                <w:kern w:val="16"/>
                <w:sz w:val="19"/>
                <w14:ligatures w14:val="standardContextual"/>
              </w:rPr>
              <w:t>Em ações revisionais: extrato do CONBAS (com memória de cálculo da RMI); extrato do HISCRE (com histórico completo de créditos); e, quando aplicável, simulação de cálculo com os parâmetros pretendidos pelo autor.</w:t>
            </w:r>
          </w:p>
          <w:p w14:paraId="0E9F74CC" w14:textId="77777777" w:rsidR="005A5FCC" w:rsidRDefault="00A21C81">
            <w:pPr>
              <w:spacing w:after="60" w:line="247" w:lineRule="auto"/>
            </w:pPr>
            <w:r>
              <w:rPr>
                <w:rFonts w:cs="EB Garamond"/>
                <w:kern w:val="16"/>
                <w:sz w:val="19"/>
                <w14:ligatures w14:val="standardContextual"/>
              </w:rPr>
              <w:t>Em todas as ações: extrato do CNIS atualizado é documento de juntada obrigatória pelo INSS, por constituir a base documental sobre a qual se erguem tanto a decisão administrativa quanto a judicial.</w:t>
            </w:r>
          </w:p>
        </w:tc>
      </w:tr>
    </w:tbl>
    <w:p w14:paraId="28F78E3F" w14:textId="77777777" w:rsidR="005A5FCC" w:rsidRDefault="005A5FCC">
      <w:pPr>
        <w:spacing w:after="80" w:line="240" w:lineRule="auto"/>
      </w:pPr>
    </w:p>
    <w:p w14:paraId="3C18E020"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22.5 Requerimento administrativo: procedimento e documentação</w:t>
      </w:r>
    </w:p>
    <w:p w14:paraId="215B124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3DD901CA" w14:textId="77777777" w:rsidR="005A5FCC" w:rsidRDefault="00A21C81">
      <w:r>
        <w:rPr>
          <w:rFonts w:cs="EB Garamond"/>
          <w:kern w:val="16"/>
          <w14:ligatures w14:val="standardContextual"/>
        </w:rPr>
        <w:t xml:space="preserve"> requerimento administrativo constitui o ato pelo qual o segurado ou seu dependente provoca a autarquia previdenciária a analisar e decidir sobre o reconhecimento de direito a benefício. No ordenamento previdenciário brasileiro, vigora o princípio do requerimento: como regra geral, o INSS não concede benefícios de ofício, sendo necessária a provocação formal do interessado (art. 176 do Decreto n. 3.048/99). As hipóteses de atuação de ofício no RGPS são pontuais e operam dentro de um requerimento já em curso: é o caso da conversão do auxílio por incapacidade temporária em aposentadoria por incapacidade permanente quando a perícia médica constata a incapacidade definitiva no exame de um benefício já requerido, e o do dever de conceder o benefício mais </w:t>
      </w:r>
      <w:r>
        <w:rPr>
          <w:rFonts w:cs="EB Garamond"/>
          <w:kern w:val="16"/>
          <w14:ligatures w14:val="standardContextual"/>
        </w:rPr>
        <w:lastRenderedPageBreak/>
        <w:t>vantajoso do que o especificamente pedido (seção 22.9). Não se confunde com tais hipóteses a aposentadoria compulsória aos 75 anos, instituto próprio do servidor público (art. 40, § 1º, II, da CF, e LC n. 152/2015), estranho ao RGPS administrado pelo INSS.</w:t>
      </w:r>
    </w:p>
    <w:p w14:paraId="49266D9C" w14:textId="77777777" w:rsidR="005A5FCC" w:rsidRDefault="00A21C81">
      <w:pPr>
        <w:ind w:firstLine="238"/>
      </w:pPr>
      <w:r>
        <w:rPr>
          <w:rFonts w:cs="EB Garamond"/>
          <w:kern w:val="16"/>
          <w14:ligatures w14:val="standardContextual"/>
        </w:rPr>
        <w:t>O requerimento pode ser formulado por três vias principais. A primeira e predominante é o Meu INSS (aplicativo ou portal web), por meio do qual o segurado preenche formulário eletrônico, indica a espécie de benefício pretendido e anexa documentação digitalizada. A segunda é a Central 135, por telefone, utilizada para requerimentos de menor complexidade ou para agendamento de atendimento presencial. A terceira é o comparecimento presencial à APS, mediante agendamento prévio, utilizada quando a complexidade do caso exige interação direta com o servidor ou quando o segurado não tem acesso aos canais digitais. Há, ainda, o requerimento por intermédio da empresa empregadora via e-Social, aplicável a hipóteses específicas como o auxílio por incapacidade temporária decorrente de afastamento superior a quinze dias.</w:t>
      </w:r>
    </w:p>
    <w:p w14:paraId="6247E198" w14:textId="77777777" w:rsidR="005A5FCC" w:rsidRDefault="00A21C81">
      <w:pPr>
        <w:ind w:firstLine="238"/>
      </w:pPr>
      <w:r>
        <w:rPr>
          <w:rFonts w:cs="EB Garamond"/>
          <w:kern w:val="16"/>
          <w14:ligatures w14:val="standardContextual"/>
        </w:rPr>
        <w:t>A documentação mínima exigida varia conforme a espécie de benefício (para a documentação exigida na petição judicial, que deve incorporar a documentação administrativa como prova, ver Cap. 23, § 23.11). Para aposentadorias programadas (por idade ou por tempo de contribuição nas regras de transição), exigem-se documento de identidade, CPF, comprovante de endereço, Carteira de Trabalho (física ou digital) e documentação complementar de tempo de contribuição quando houver vínculos não registrados no CNIS (carnês de contribuição, contratos de trabalho, certidões de tempo de serviço público). Para benefícios por incapacidade (auxílio por incapacidade temporária e aposentadoria por incapacidade permanente), acrescenta-se a documentação médica (atestados, laudos, exames, relatórios de tratamento) necessária para subsidiar a avaliação pericial. Para pensão por morte, exigem-se documentos que comprovem a qualidade de segurado do instituidor, a condição de dependente do requerente (certidão de casamento, união estável, nascimento) e a certidão de óbito.</w:t>
      </w:r>
    </w:p>
    <w:p w14:paraId="7AA681F2" w14:textId="77777777" w:rsidR="005A5FCC" w:rsidRDefault="00A21C81">
      <w:pPr>
        <w:ind w:firstLine="238"/>
      </w:pPr>
      <w:r>
        <w:rPr>
          <w:rFonts w:cs="EB Garamond"/>
          <w:kern w:val="16"/>
          <w14:ligatures w14:val="standardContextual"/>
        </w:rPr>
        <w:t xml:space="preserve">A Data de Entrada do Requerimento (DER) funciona como marco temporal fundamental no direito previdenciário. É a partir da DER que se verifica o preenchimento dos requisitos para o benefício, calcula-se a renda mensal inicial e fixa-se a data de início do benefício (DIB), quando não houver retroação legal. A </w:t>
      </w:r>
      <w:r>
        <w:rPr>
          <w:rFonts w:cs="EB Garamond"/>
          <w:kern w:val="16"/>
          <w14:ligatures w14:val="standardContextual"/>
        </w:rPr>
        <w:lastRenderedPageBreak/>
        <w:t>DER coincide com a data de protocolo do requerimento no Meu INSS, na Central 135 ou na APS. Nos casos em que o INSS formula exigência documental (pendência), o segurado dispõe de 30 dias para complementar a documentação, sem prejuízo da DER original (art. 176, § 2º, do Decreto n. 3.048/99). O descumprimento da exigência no prazo resulta no arquivamento do requerimento, exigindo nova entrada — com nova DER e, consequentemente, possível prejuízo ao segurado.</w:t>
      </w:r>
    </w:p>
    <w:p w14:paraId="60D4192C" w14:textId="77777777" w:rsidR="005A5FCC" w:rsidRDefault="00A21C81">
      <w:pPr>
        <w:ind w:firstLine="238"/>
      </w:pPr>
      <w:r>
        <w:rPr>
          <w:rFonts w:cs="EB Garamond"/>
          <w:kern w:val="16"/>
          <w14:ligatures w14:val="standardContextual"/>
        </w:rPr>
        <w:t>O tratamento das exigências formuladas pelo INSS durante a análise tem repercussão direta na prática forense. Quando a documentação apresentada é insuficiente para a decisão, o servidor (ou o sistema automatizado de triagem) emite exigência especificando quais documentos devem ser complementados. O segurado é notificado pelo Meu INSS, pela Central 135 ou por correspondência e dispõe de 30 dias para atender a exigência. Se a exigência é cumprida no prazo, o processo retoma sua tramitação normal, mantida a DER original. Se não é cumprida, o requerimento é arquivado, consequência drástica que, na experiência dos JEFs, gera frequentes ações em que o autor alega não ter recebido a notificação de exigência ou não ter compreendido o que lhe era solicitado. Nesses casos, o juiz deve analisar concretamente se o segurado teve ciência efetiva da exigência e se a comunicação foi adequada.</w:t>
      </w:r>
    </w:p>
    <w:p w14:paraId="43D69B5B" w14:textId="77777777" w:rsidR="005A5FCC" w:rsidRDefault="00A21C81">
      <w:pPr>
        <w:ind w:firstLine="238"/>
      </w:pPr>
      <w:r>
        <w:rPr>
          <w:rFonts w:cs="EB Garamond"/>
          <w:kern w:val="16"/>
          <w14:ligatures w14:val="standardContextual"/>
        </w:rPr>
        <w:t>Nos requerimentos de aposentadoria especial (por exposição a agentes nocivos), a documentação assume complexidade própria. O segurado deve apresentar o Perfil Profissiográfico Previdenciário (PPP), emitido pela empresa empregadora com base no Laudo Técnico de Condições Ambientais do Trabalho (LTCAT), documento que comprova a exposição a agentes nocivos durante o vínculo empregatício. A recusa da empresa em fornecer o PPP ou o fornecimento com informações incompletas é causa frequente de indeferimento administrativo que poderia ser evitada com a atuação preventiva do advogado.</w:t>
      </w:r>
    </w:p>
    <w:p w14:paraId="1B12BAE4" w14:textId="77777777" w:rsidR="005A5FCC" w:rsidRDefault="00A21C81">
      <w:pPr>
        <w:ind w:firstLine="238"/>
      </w:pPr>
      <w:r>
        <w:rPr>
          <w:rFonts w:cs="EB Garamond"/>
          <w:kern w:val="16"/>
          <w14:ligatures w14:val="standardContextual"/>
        </w:rPr>
        <w:t xml:space="preserve">Para a instrução nos JEFs, o comprovante de protocolo do requerimento administrativo (com número de identificação, data e espécie do benefício requerido) é documento essencial, pois fixa a DER e permite verificar se houve cumprimento do prazo legal de análise. Quando o segurado não dispõe do </w:t>
      </w:r>
      <w:r>
        <w:rPr>
          <w:rFonts w:cs="EB Garamond"/>
          <w:kern w:val="16"/>
          <w14:ligatures w14:val="standardContextual"/>
        </w:rPr>
        <w:lastRenderedPageBreak/>
        <w:t>comprovante de protocolo (situação comum entre segurados de baixa escolaridade ou idade avançada), o magistrado pode determinar ao INSS que informe a DER registrada em seus sistemas.</w:t>
      </w:r>
    </w:p>
    <w:p w14:paraId="38988596"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22.6 Análise do requerimento: prazos legais e mora administrativa</w:t>
      </w:r>
    </w:p>
    <w:p w14:paraId="4E498D4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U</w:t>
      </w:r>
    </w:p>
    <w:p w14:paraId="76BDC910" w14:textId="77777777" w:rsidR="005A5FCC" w:rsidRDefault="00A21C81">
      <w:r>
        <w:rPr>
          <w:rFonts w:cs="EB Garamond"/>
          <w:kern w:val="16"/>
          <w14:ligatures w14:val="standardContextual"/>
        </w:rPr>
        <w:t>ma vez protocolado o requerimento, o INSS tem o dever legal de analisá-lo e proferir decisão em prazo determinado. A Lei n. 9.784/99, que regula o processo administrativo no âmbito federal, fixa em seu art. 49 o prazo de 30 dias para decisão, prorrogáveis por igual período mediante justificativa expressa. O Decreto n. 3.048/99, em seu art. 174 (com redação atualizada), estabelece prazo de 45 dias para a conclusão do processo administrativo previdenciário, contados da data do requerimento. O Tema 350/STF (RE 631.240/MG) reconheceu que o decurso do prazo legal de análise sem decisão caracteriza a mora apta a gerar o interesse de agir para a ação judicial; o patamar de 45 dias, contudo, não consta da tese, derivando da regulamentação administrativa (o citado art. 174 do Decreto 3.048/99).</w:t>
      </w:r>
    </w:p>
    <w:p w14:paraId="69D756B5" w14:textId="77777777" w:rsidR="005A5FCC" w:rsidRDefault="00A21C81">
      <w:pPr>
        <w:ind w:firstLine="238"/>
      </w:pPr>
      <w:r>
        <w:rPr>
          <w:rFonts w:cs="EB Garamond"/>
          <w:kern w:val="16"/>
          <w14:ligatures w14:val="standardContextual"/>
        </w:rPr>
        <w:t>A realidade operacional do INSS, contudo, diverge substancialmente dos prazos normativos. O Painel Estatístico de Benefícios mantido pelo MPS revela que, em diversas espécies de benefícios e regiões do país, o tempo médio de análise ultrapassa 90 dias, chegando a 120 ou 150 dias em períodos de maior demanda ou em localidades com déficit de servidores. O auxílio por incapacidade temporária, que depende de perícia médica para concessão, apresenta tempos de espera particularmente longos quando há fila para agendamento de perícia presencial.</w:t>
      </w:r>
    </w:p>
    <w:p w14:paraId="05264D2D" w14:textId="77777777" w:rsidR="005A5FCC" w:rsidRDefault="00A21C81">
      <w:pPr>
        <w:ind w:firstLine="238"/>
      </w:pPr>
      <w:r>
        <w:rPr>
          <w:rFonts w:cs="EB Garamond"/>
          <w:kern w:val="16"/>
          <w14:ligatures w14:val="standardContextual"/>
        </w:rPr>
        <w:t xml:space="preserve">A mora administrativa configura-se quando o INSS não profere decisão no prazo de 45 dias, contados da DER ou da data em que o segurado cumpriu a última exigência formulada pela autarquia. Configurada a mora, o segurado tem interesse de agir para propor ação judicial, independentemente de ter obtido decisão administrativa — trata-se do chamado indeferimento tácito, que o STF reconheceu no Tema 350. A prova da mora é simples: basta demonstrar o protocolo do requerimento (DER) e o decurso do prazo de 45 dias sem decisão. O extrato </w:t>
      </w:r>
      <w:r>
        <w:rPr>
          <w:rFonts w:cs="EB Garamond"/>
          <w:kern w:val="16"/>
          <w14:ligatures w14:val="standardContextual"/>
        </w:rPr>
        <w:lastRenderedPageBreak/>
        <w:t>de acompanhamento do Meu INSS, que indica o status do requerimento ("em análise", "aguardando perícia", "em exigência"), serve como prova documental da mora.</w:t>
      </w:r>
    </w:p>
    <w:p w14:paraId="296B6EA5" w14:textId="77777777" w:rsidR="005A5FCC" w:rsidRDefault="00A21C81">
      <w:pPr>
        <w:ind w:firstLine="238"/>
      </w:pPr>
      <w:r>
        <w:rPr>
          <w:rFonts w:cs="EB Garamond"/>
          <w:kern w:val="16"/>
          <w14:ligatures w14:val="standardContextual"/>
        </w:rPr>
        <w:t>A consequência processual da mora administrativa é dupla. Em primeiro lugar, ela supre a exigência de prévio requerimento para fins de interesse de agir. Em segundo lugar, quando o benefício é concedido judicialmente, a DIB retroage à DER, de modo que o segurado recebe as parcelas vencidas desde a data do requerimento administrativo, e não desde o ajuizamento da ação. Esse efeito retroativo confere relevância prática ao requerimento administrativo mesmo nos casos em que o segurado já sabe que precisará judicializar.</w:t>
      </w:r>
    </w:p>
    <w:p w14:paraId="19808BBB" w14:textId="77777777" w:rsidR="005A5FCC" w:rsidRDefault="00A21C81">
      <w:pPr>
        <w:ind w:firstLine="238"/>
      </w:pPr>
      <w:r>
        <w:rPr>
          <w:rFonts w:cs="EB Garamond"/>
          <w:kern w:val="16"/>
          <w14:ligatures w14:val="standardContextual"/>
        </w:rPr>
        <w:t>O dever do melhor benefício constitui outro aspecto relevante da análise administrativa, consagrado no art. 687 da IN PRES/INSS n. 128/2022. Por esse princípio, ao analisar o requerimento, o INSS deve verificar se o segurado faz jus a benefício mais vantajoso do que o especificamente requerido e, em caso positivo, conceder a prestação mais favorável. Esse dever é de matriz administrativa e não decorre dos repetitivos do STJ que tratam da decadência do art. 103 da Lei n. 8.213/91 sobre o benefício mais vantajoso (a distinção entre os Temas 966 e 975 do STJ é consolidada na seção 22.9). Na prática, o dever do melhor benefício significa que o segurado que requer auxílio por incapacidade temporária pode ter reconhecido o direito à aposentadoria por incapacidade permanente, se os requisitos estiverem preenchidos; ou que o segurado que requer aposentadoria por idade pode ter direito à aposentadoria por tempo de contribuição em condição mais vantajosa.</w:t>
      </w:r>
    </w:p>
    <w:p w14:paraId="737D4BF6" w14:textId="77777777" w:rsidR="005A5FCC" w:rsidRDefault="00A21C81">
      <w:pPr>
        <w:ind w:firstLine="238"/>
      </w:pPr>
      <w:r>
        <w:rPr>
          <w:rFonts w:cs="EB Garamond"/>
          <w:kern w:val="16"/>
          <w14:ligatures w14:val="standardContextual"/>
        </w:rPr>
        <w:t xml:space="preserve">Um desdobramento prático da mora administrativa que se observa com frequência crescente nos JEFs é o pedido cumulado de indenização por danos morais decorrentes da demora injustificada na análise do requerimento. A jurisprudência das Turmas Recursais tem oscilado: parte dos julgados reconhece que a mera demora, por si só, não configura dano moral indenizável, exigindo prova de situação excepcional de sofrimento ou privação; outra corrente entende que a manutenção do segurado em situação de incerteza sobre sua renda por período superior ao legalmente tolerável configura dano in re ipsa, dispensando prova específica do prejuízo moral. A TNU, em hipóteses análogas de mora ou interrupção de prestação administrativa, tem-se inclinado à primeira corrente: no Tema </w:t>
      </w:r>
      <w:r>
        <w:rPr>
          <w:rFonts w:cs="EB Garamond"/>
          <w:kern w:val="16"/>
          <w14:ligatures w14:val="standardContextual"/>
        </w:rPr>
        <w:lastRenderedPageBreak/>
        <w:t xml:space="preserve">242 (PEDILEF 0001436-92.2016.4.01.3807/MG) afastou a responsabilização civil do Estado pela demora excessiva na realização de perícia médica do INSS decorrente de movimento grevista de seus servidores, e no Tema 182 (PEDILEF 0507558-39.2016.4.05.8500/SE) assentou que a suspensão ou o cancelamento indevidos de prestação (ali, do seguro-desemprego) não geram, </w:t>
      </w:r>
      <w:r>
        <w:rPr>
          <w:rFonts w:cs="EB Garamond"/>
          <w:i/>
          <w:kern w:val="16"/>
          <w14:ligatures w14:val="standardContextual"/>
        </w:rPr>
        <w:t>ipso facto</w:t>
      </w:r>
      <w:r>
        <w:rPr>
          <w:rFonts w:cs="EB Garamond"/>
          <w:kern w:val="16"/>
          <w14:ligatures w14:val="standardContextual"/>
        </w:rPr>
        <w:t>, direito à indenização por danos morais. A cumulação do pedido indenizatório com o de concessão ou restabelecimento exige, portanto, que o advogado demonstre concretamente as consequências da mora sobre a vida do segurado — inadimplência de obrigações essenciais, impossibilidade de custeio de tratamento médico, exposição a risco alimentar.</w:t>
      </w:r>
    </w:p>
    <w:p w14:paraId="28D82410" w14:textId="77777777" w:rsidR="005A5FCC" w:rsidRDefault="00A21C81">
      <w:pPr>
        <w:ind w:firstLine="238"/>
      </w:pPr>
      <w:r>
        <w:rPr>
          <w:rFonts w:cs="EB Garamond"/>
          <w:kern w:val="16"/>
          <w14:ligatures w14:val="standardContextual"/>
        </w:rPr>
        <w:t>Esse dever, a nosso ver, não se exaure na esfera administrativa: projeta-se igualmente sobre o juiz na esfera judicial. Nos JEFs, quando a instrução processual revela que o autor faz jus a benefício diverso ou mais vantajoso do que o requerido na inicial, o magistrado deve aplicar o princípio jura novit curia e conceder a prestação mais favorável, independentemente de pedido expresso, desde que respeitado o contraditório e observados os limites do pedido quanto à causa de pedir fática.</w:t>
      </w:r>
    </w:p>
    <w:p w14:paraId="06EC51DB" w14:textId="77777777" w:rsidR="005A5FCC" w:rsidRDefault="00A21C81">
      <w:pPr>
        <w:ind w:firstLine="238"/>
      </w:pPr>
      <w:r>
        <w:rPr>
          <w:rFonts w:cs="EB Garamond"/>
          <w:kern w:val="16"/>
          <w14:ligatures w14:val="standardContextual"/>
        </w:rPr>
        <w:t>A comunicação do indeferimento ao segurado deve observar os requisitos de fundamentação previstos no art. 50 da Lei n. 9.784/99. A decisão administrativa que nega o benefício é ato administrativo que afeta direito subjetivo do administrado e, como tal, exige motivação expressa, com indicação dos fatos e dos fundamentos jurídicos que sustentam a conclusão. Sob o aspecto prático, os indeferimentos do INSS são comunicados por carta ou pela plataforma Meu INSS, com indicação codificada do motivo (por exemplo, "falta de carência", "não comprovação de atividade especial", "incapacidade não constatada pela perícia médica"). A insuficiência de fundamentação da decisão administrativa pode, por si só, configurar vício que justifica a anulação pelo Judiciário.</w:t>
      </w:r>
    </w:p>
    <w:tbl>
      <w:tblPr>
        <w:tblW w:w="5000" w:type="pct"/>
        <w:jc w:val="center"/>
        <w:tblLayout w:type="fixed"/>
        <w:tblLook w:val="04A0" w:firstRow="1" w:lastRow="0" w:firstColumn="1" w:lastColumn="0" w:noHBand="0" w:noVBand="1"/>
      </w:tblPr>
      <w:tblGrid>
        <w:gridCol w:w="6311"/>
      </w:tblGrid>
      <w:tr w:rsidR="005A5FCC" w14:paraId="2E389A2F"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330D0272" w14:textId="77777777" w:rsidR="005A5FCC" w:rsidRDefault="00A21C81">
            <w:pPr>
              <w:spacing w:after="60" w:line="240" w:lineRule="auto"/>
              <w:jc w:val="left"/>
            </w:pPr>
            <w:r>
              <w:rPr>
                <w:rFonts w:ascii="Noto Sans" w:hAnsi="Noto Sans" w:cs="Noto Sans"/>
                <w:b/>
                <w:caps/>
                <w:color w:val="B78B37"/>
                <w:kern w:val="16"/>
                <w:sz w:val="16"/>
                <w14:ligatures w14:val="standardContextual"/>
              </w:rPr>
              <w:lastRenderedPageBreak/>
              <w:t>ATENÇÃO</w:t>
            </w:r>
          </w:p>
          <w:p w14:paraId="1523989F" w14:textId="77777777" w:rsidR="005A5FCC" w:rsidRDefault="00A21C81">
            <w:pPr>
              <w:spacing w:after="60" w:line="247" w:lineRule="auto"/>
            </w:pPr>
            <w:r>
              <w:rPr>
                <w:rFonts w:cs="EB Garamond"/>
                <w:b/>
                <w:kern w:val="16"/>
                <w:sz w:val="19"/>
                <w14:ligatures w14:val="standardContextual"/>
              </w:rPr>
              <w:t>Atenção — Prazo para decisão administrativa não é prazo para implantação</w:t>
            </w:r>
          </w:p>
          <w:p w14:paraId="11A2D100" w14:textId="77777777" w:rsidR="005A5FCC" w:rsidRDefault="00A21C81">
            <w:pPr>
              <w:spacing w:after="60" w:line="247" w:lineRule="auto"/>
            </w:pPr>
            <w:r>
              <w:rPr>
                <w:rFonts w:cs="EB Garamond"/>
                <w:kern w:val="16"/>
                <w:sz w:val="19"/>
                <w14:ligatures w14:val="standardContextual"/>
              </w:rPr>
              <w:t>O prazo de 45 dias refere-se à prolação da decisão (concessão ou indeferimento), não à implantação do pagamento. Após a concessão administrativa, o INSS dispõe de prazo adicional para operacionalizar o pagamento (geração do número de benefício, cadastro bancário, inclusão na folha de pagamento). Esse prazo de implantação, embora não expressamente fixado em lei, deve observar o princípio da razoabilidade. Nos JEFs, a distinção entre prazo de decisão e prazo de implantação é relevante para definir o marco inicial de eventual indenização por mora e para fixar o prazo de cumprimento em tutelas de urgência.</w:t>
            </w:r>
          </w:p>
        </w:tc>
      </w:tr>
    </w:tbl>
    <w:p w14:paraId="4C7FC4DB" w14:textId="77777777" w:rsidR="005A5FCC" w:rsidRDefault="005A5FCC">
      <w:pPr>
        <w:spacing w:after="80" w:line="240" w:lineRule="auto"/>
      </w:pPr>
    </w:p>
    <w:p w14:paraId="5CAFDFD9"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22.7 Perícia médica administrativa: modalidades e regime jurídico</w:t>
      </w:r>
    </w:p>
    <w:p w14:paraId="622B5CF3"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3499BD4E" w14:textId="77777777" w:rsidR="005A5FCC" w:rsidRDefault="00A21C81">
      <w:r>
        <w:rPr>
          <w:rFonts w:cs="EB Garamond"/>
          <w:kern w:val="16"/>
          <w14:ligatures w14:val="standardContextual"/>
        </w:rPr>
        <w:t xml:space="preserve"> perícia médica constitui ato determinante para a concessão, manutenção e cessação dos benefícios por incapacidade no RGPS. A avaliação pericial é o instrumento pelo qual o INSS verifica a existência, a natureza, o grau e a duração da incapacidade laborativa do segurado, sendo elemento obrigatório para o deferimento do auxílio por incapacidade temporária (espécie 31), da aposentadoria por incapacidade permanente (espécie 32) e do auxílio-acidente (espécie 36), além de subsidiar a análise de outros benefícios que dependam de constatação médica, como a majoração de 25% da aposentadoria por incapacidade permanente (adicional de grande invalidez) e o BPC para pessoa com deficiência.</w:t>
      </w:r>
    </w:p>
    <w:p w14:paraId="090029D0" w14:textId="77777777" w:rsidR="005A5FCC" w:rsidRDefault="00A21C81">
      <w:pPr>
        <w:ind w:firstLine="238"/>
      </w:pPr>
      <w:r>
        <w:rPr>
          <w:rFonts w:cs="EB Garamond"/>
          <w:kern w:val="16"/>
          <w14:ligatures w14:val="standardContextual"/>
        </w:rPr>
        <w:t xml:space="preserve">A perícia é realizada por perito médico federal, integrante de carreira própria criada pela Lei n. 10.876/2004, cujas regras procedimentais e atribuições foram significativamente alteradas pela Lei n. 13.846/2019 (conversão da MP 871/2019). O perito médico federal exerce suas atribuições com autonomia técnica, o que significa que suas conclusões devem basear-se exclusivamente em critérios médico-científicos, sem interferência hierárquica da chefia administrativa. Na prática, essa autonomia é temperada pelas metas de produtividade impostas </w:t>
      </w:r>
      <w:r>
        <w:rPr>
          <w:rFonts w:cs="EB Garamond"/>
          <w:kern w:val="16"/>
          <w14:ligatures w14:val="standardContextual"/>
        </w:rPr>
        <w:lastRenderedPageBreak/>
        <w:t>pela administração (número mínimo de perícias por dia), o que gera tensão permanente entre a qualidade da avaliação e o volume de atendimento.</w:t>
      </w:r>
    </w:p>
    <w:p w14:paraId="6650C72F" w14:textId="77777777" w:rsidR="005A5FCC" w:rsidRDefault="00A21C81">
      <w:pPr>
        <w:ind w:firstLine="238"/>
      </w:pPr>
      <w:r>
        <w:rPr>
          <w:rFonts w:cs="EB Garamond"/>
          <w:kern w:val="16"/>
          <w14:ligatures w14:val="standardContextual"/>
        </w:rPr>
        <w:t>As modalidades de perícia médica administrativa vigentes em 2026 são três. A primeira é a perícia presencial, realizada na APS ou em local designado pelo INSS, na qual o perito examina o segurado, analisa a documentação médica apresentada e emite parecer fundamentado, com indicação do diagnóstico, do grau de incapacidade e da data provável de recuperação (ou conclusão pela incapacidade permanente). A perícia presencial permanece como a regra geral para casos de maior complexidade ou quando a documentação médica não é suficiente para avaliação à distância.</w:t>
      </w:r>
    </w:p>
    <w:p w14:paraId="43F63FE0" w14:textId="77777777" w:rsidR="005A5FCC" w:rsidRDefault="00A21C81">
      <w:pPr>
        <w:ind w:firstLine="238"/>
      </w:pPr>
      <w:r>
        <w:rPr>
          <w:rFonts w:cs="EB Garamond"/>
          <w:kern w:val="16"/>
          <w14:ligatures w14:val="standardContextual"/>
        </w:rPr>
        <w:t>A segunda modalidade é o Atestmed, sistema de avaliação pericial à distância que teve origem emergencial durante a pandemia de COVID-19 (2020-2021) e foi progressivamente institucionalizado pela legislação subsequente. A Portaria Conjunta MPS/INSS n. 13/2026 ("Novo Atestmed") reformulou o sistema, ampliando suas possibilidades e estabelecendo parâmetros mais rigorosos. Pelo Novo Atestmed, o segurado submete documentação médica digitalizada (atestados, laudos, exames) pelo Meu INSS, e o perito médico federal realiza avaliação pericial completa com base exclusivamente na documentação apresentada, sem exame presencial do segurado. A Lei n. 15.265/2025 conferiu base legal ao sistema, estabelecendo que a análise documental é modalidade regular de perícia médica previdenciária.</w:t>
      </w:r>
    </w:p>
    <w:p w14:paraId="58FD3A22" w14:textId="77777777" w:rsidR="005A5FCC" w:rsidRDefault="00A21C81">
      <w:pPr>
        <w:ind w:firstLine="238"/>
      </w:pPr>
      <w:r>
        <w:rPr>
          <w:rFonts w:cs="EB Garamond"/>
          <w:kern w:val="16"/>
          <w14:ligatures w14:val="standardContextual"/>
        </w:rPr>
        <w:t>O Novo Atestmed aplica-se a situações com limites temporais definidos: cada análise pode conceder ou prorrogar o benefício por até 90 dias, com limite acumulado de 180 dias. Esgotado o prazo de 180 dias, o segurado que necessitar de prorrogação adicional deve submeter-se a perícia presencial. Essa limitação visa evitar que a avaliação exclusivamente documental se prolongue indefinidamente em casos que exigem exame clínico direto. A documentação exigida pelo Novo Atestmed deve conter, no mínimo, atestado ou laudo médico com identificação do profissional (CRM), diagnóstico codificado (CID), descrição do quadro clínico e indicação do período de afastamento necessário.</w:t>
      </w:r>
    </w:p>
    <w:p w14:paraId="05AC0851" w14:textId="77777777" w:rsidR="005A5FCC" w:rsidRDefault="00A21C81">
      <w:pPr>
        <w:ind w:firstLine="238"/>
      </w:pPr>
      <w:r>
        <w:rPr>
          <w:rFonts w:cs="EB Garamond"/>
          <w:kern w:val="16"/>
          <w14:ligatures w14:val="standardContextual"/>
        </w:rPr>
        <w:lastRenderedPageBreak/>
        <w:t>A terceira modalidade é a perícia de reavaliação (pós-DCB ou COPES), realizada quando o segurado, cujo benefício teve cessação programada, solicita prorrogação. Essa modalidade conecta-se diretamente com o regime da alta programada (seção 22.8) e pode ser presencial ou por Atestmed, a depender do tempo acumulado.</w:t>
      </w:r>
    </w:p>
    <w:tbl>
      <w:tblPr>
        <w:tblW w:w="5000" w:type="pct"/>
        <w:jc w:val="center"/>
        <w:tblLayout w:type="fixed"/>
        <w:tblLook w:val="04A0" w:firstRow="1" w:lastRow="0" w:firstColumn="1" w:lastColumn="0" w:noHBand="0" w:noVBand="1"/>
      </w:tblPr>
      <w:tblGrid>
        <w:gridCol w:w="6311"/>
      </w:tblGrid>
      <w:tr w:rsidR="005A5FCC" w14:paraId="1AA1B700"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33C7B65C"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0FABC456" w14:textId="77777777" w:rsidR="005A5FCC" w:rsidRDefault="00A21C81">
            <w:pPr>
              <w:spacing w:after="60" w:line="247" w:lineRule="auto"/>
            </w:pPr>
            <w:r>
              <w:rPr>
                <w:rFonts w:cs="EB Garamond"/>
                <w:b/>
                <w:kern w:val="16"/>
                <w:sz w:val="19"/>
                <w14:ligatures w14:val="standardContextual"/>
              </w:rPr>
              <w:t>Atenção — Novo Atestmed (Portaria Conjunta MPS/INSS n. 13/2026)</w:t>
            </w:r>
          </w:p>
          <w:p w14:paraId="4B97D3B5" w14:textId="77777777" w:rsidR="005A5FCC" w:rsidRDefault="00A21C81">
            <w:pPr>
              <w:spacing w:after="60" w:line="247" w:lineRule="auto"/>
            </w:pPr>
            <w:r>
              <w:rPr>
                <w:rFonts w:cs="EB Garamond"/>
                <w:kern w:val="16"/>
                <w:sz w:val="19"/>
                <w14:ligatures w14:val="standardContextual"/>
              </w:rPr>
              <w:t>A Portaria Conjunta MPS/INSS n. 13/2026, que instituiu o Novo Atestmed, alterou significativamente o regime da perícia médica à distância. As principais novidades são: (a) possibilidade de avaliação pericial completa (e não apenas triagem) com base exclusiva em documentação médica; (b) limite de 90 dias por análise individual e 180 dias acumulados no Atestmed, após os quais é obrigatória a perícia presencial; (c) exigência de fundamentação pericial expressa na análise documental; (d) possibilidade de o perito, com base nos documentos, reconhecer incapacidade permanente (o que não era possível na versão anterior). A base legal é a Lei n. 15.265/2025. Para os JEFs, a principal repercussão é que a divergência entre a conclusão do Atestmed e a perícia judicial tende a ser mais frequente, pois a avaliação documental não capta elementos clínicos que só o exame presencial revela.</w:t>
            </w:r>
          </w:p>
        </w:tc>
      </w:tr>
    </w:tbl>
    <w:p w14:paraId="48F63239" w14:textId="77777777" w:rsidR="005A5FCC" w:rsidRDefault="005A5FCC">
      <w:pPr>
        <w:spacing w:after="80" w:line="240" w:lineRule="auto"/>
      </w:pPr>
    </w:p>
    <w:p w14:paraId="27F1898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7835CB31" w14:textId="77777777" w:rsidR="005A5FCC" w:rsidRDefault="00A21C81">
      <w:r>
        <w:rPr>
          <w:rFonts w:cs="EB Garamond"/>
          <w:kern w:val="16"/>
          <w14:ligatures w14:val="standardContextual"/>
        </w:rPr>
        <w:t xml:space="preserve"> interface entre a perícia médica administrativa e o processo judicial nos JEFs é um dos pontos de maior tensão prática do contencioso previdenciário (para o regime geral da perícia judicial nos JEFs, ver Cap. 6). Não é incomum que a perícia administrativa conclua pela capacidade laborativa do segurado, enquanto a perícia judicial, realizada por perito nomeado pelo juiz, com parâmetros distintos e, frequentemente, com maior tempo de avaliação, conclua pela incapacidade. Essa divergência não configura, por si só, erro de nenhuma das partes: decorre de diferenças metodológicas, temporais e de contexto. O magistrado deve estar atento a essa dinâmica e evitar presumir que a perícia administrativa é invariavelmente superficial ou que a perícia judicial é invariavelmente mais confiável.</w:t>
      </w:r>
    </w:p>
    <w:p w14:paraId="42C11E1F"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22.8 Alta programada (COPES): regime jurídico e constitucionalidade</w:t>
      </w:r>
    </w:p>
    <w:p w14:paraId="05AD66E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68516503" w14:textId="4F96BA8D" w:rsidR="005A5FCC" w:rsidRDefault="00A21C81">
      <w:r>
        <w:rPr>
          <w:rFonts w:cs="EB Garamond"/>
          <w:kern w:val="16"/>
          <w14:ligatures w14:val="standardContextual"/>
        </w:rPr>
        <w:t xml:space="preserve"> sistema de alta programada, tecnicamente denominado Cobertura Previdenciária Estimada (COPES), consiste na fixação, pelo perito médico federal, de uma Data de Cessação do Benefício (DCB) já no ato de concessão do auxílio por incapacidade temporária. Ao conceder o benefício, o perito avalia a documentação médica e o quadro clínico do segurado e estima a data provável de recuperação da capacidade laborativa, fixando a DCB correspondente. Atingida essa data, o benefício cessa automaticamente, salvo se o segurado solicitar prorrogação dentro do prazo regulamentar.</w:t>
      </w:r>
    </w:p>
    <w:p w14:paraId="159D0DAB" w14:textId="77777777" w:rsidR="005A5FCC" w:rsidRDefault="00A21C81">
      <w:pPr>
        <w:ind w:firstLine="238"/>
      </w:pPr>
      <w:r>
        <w:rPr>
          <w:rFonts w:cs="EB Garamond"/>
          <w:kern w:val="16"/>
          <w14:ligatures w14:val="standardContextual"/>
        </w:rPr>
        <w:t>O fundamento normativo da alta programada encontra-se nos §§ 8º e 9º do art. 60 da Lei n. 8.213/91, incluídos pela Lei n. 13.457/2017 e alterados pela Lei n. 13.846/2019. O § 8º autoriza o INSS a estabelecer, mediante avaliação pericial, o prazo que entender suficiente para a recuperação do segurado, findo o qual o benefício será cessado. O § 9º garante ao segurado o direito de solicitar prorrogação antes do término do prazo fixado, sendo-lhe assegurada a manutenção do pagamento até a decisão sobre a prorrogação.</w:t>
      </w:r>
    </w:p>
    <w:p w14:paraId="452209F9" w14:textId="77777777" w:rsidR="005A5FCC" w:rsidRDefault="00A21C81">
      <w:pPr>
        <w:ind w:firstLine="238"/>
      </w:pPr>
      <w:r>
        <w:rPr>
          <w:rFonts w:cs="EB Garamond"/>
          <w:kern w:val="16"/>
          <w14:ligatures w14:val="standardContextual"/>
        </w:rPr>
        <w:t>A constitucionalidade da alta programada foi questionada perante o STF, que a apreciou no Tema 1.196 da Repercussão Geral (RE 1.347.526, Tribunal Pleno, Rel. Min. Cristiano Zanin, j. 15/09/2025). O Tribunal declarou a constitucionalidade do sistema, fixando que não viola os arts. 62 e 246 da Constituição a estipulação de prazo estimado para a duração do auxílio por incapacidade temporária, na forma dos §§ 8º e 9º do art. 60 da Lei n. 8.213/91, e assentando que a fixação de DCB por estimativa pericial não compromete o direito à proteção social, desde que assegurado ao segurado o direito de solicitar prorrogação e de ter seu pedido analisado antes da cessação efetiva do benefício. A Corte ressaltou que a alta programada é mecanismo de gestão administrativa que visa evitar a manutenção indefinida de benefícios temporários, sem impedir que o segurado demonstre a persistência da incapacidade.</w:t>
      </w:r>
    </w:p>
    <w:p w14:paraId="45E57FC8" w14:textId="77777777" w:rsidR="005A5FCC" w:rsidRDefault="00A21C81">
      <w:pPr>
        <w:ind w:firstLine="238"/>
      </w:pPr>
      <w:r>
        <w:rPr>
          <w:rFonts w:cs="EB Garamond"/>
          <w:kern w:val="16"/>
          <w14:ligatures w14:val="standardContextual"/>
        </w:rPr>
        <w:t xml:space="preserve">O procedimento de prorrogação, disciplinado pela IN PRES/INSS n. 128/2022 e pela Portaria Conjunta MPS/INSS n. 13/2026, deve ser iniciado pelo </w:t>
      </w:r>
      <w:r>
        <w:rPr>
          <w:rFonts w:cs="EB Garamond"/>
          <w:kern w:val="16"/>
          <w14:ligatures w14:val="standardContextual"/>
        </w:rPr>
        <w:lastRenderedPageBreak/>
        <w:t>segurado nos 15 dias anteriores à DCB fixada. O pedido pode ser formulado pelo Meu INSS ou pela Central 135, e o pagamento do benefício é mantido até a decisão sobre a prorrogação, garantia legal que evita a interrupção abrupta da renda do segurado enquanto pendente a reavaliação.</w:t>
      </w:r>
    </w:p>
    <w:p w14:paraId="1063EBD5" w14:textId="77777777" w:rsidR="005A5FCC" w:rsidRDefault="00A21C81">
      <w:pPr>
        <w:ind w:firstLine="238"/>
      </w:pPr>
      <w:r>
        <w:rPr>
          <w:rFonts w:cs="EB Garamond"/>
          <w:kern w:val="16"/>
          <w14:ligatures w14:val="standardContextual"/>
        </w:rPr>
        <w:t>Após a edição da Portaria Conjunta MPS/INSS n. 13/2026 (Novo Atestmed), a prorrogação pode ser analisada por avaliação documental (Atestmed), desde que não ultrapassado o limite acumulado de 180 dias. Esgotado esse limite, a prorrogação exige perícia presencial. Essa regra gera situação prática delicada: o segurado que esteve em auxílio por incapacidade temporária com sucessivas prorrogações por Atestmed ao longo de 180 dias precisará de perícia presencial para a próxima prorrogação, o que pode implicar tempo de espera adicional para agendamento — período durante o qual o pagamento deve ser mantido, mas no qual a incerteza gera angústia ao segurado.</w:t>
      </w:r>
    </w:p>
    <w:p w14:paraId="645B0B7D" w14:textId="77777777" w:rsidR="005A5FCC" w:rsidRDefault="00A21C81">
      <w:pPr>
        <w:ind w:firstLine="238"/>
      </w:pPr>
      <w:r>
        <w:rPr>
          <w:rFonts w:cs="EB Garamond"/>
          <w:kern w:val="16"/>
          <w14:ligatures w14:val="standardContextual"/>
        </w:rPr>
        <w:t>O problema mais recorrente na prática é o do segurado que perde a DCB sem ter solicitado prorrogação no prazo regulamentar. Nesses casos, o benefício cessa automaticamente e o segurado precisa formular novo requerimento de prorrogação ou, se já cessado, requerer novo benefício. A jurisprudência dos JEFs tem sido sensível a essas situações, especialmente quando o segurado demonstra que a omissão decorreu de desinformação ou de dificuldade de acesso aos canais do INSS, determinando o restabelecimento retroativo à data da cessação, desde que comprovada a persistência da incapacidade. Remetemos o leitor ao Capítulo 7, seção 7.7, para aprofundamento sobre a alta programada no contexto dos benefícios por incapacidade.</w:t>
      </w:r>
    </w:p>
    <w:tbl>
      <w:tblPr>
        <w:tblW w:w="5000" w:type="pct"/>
        <w:jc w:val="center"/>
        <w:tblLayout w:type="fixed"/>
        <w:tblLook w:val="04A0" w:firstRow="1" w:lastRow="0" w:firstColumn="1" w:lastColumn="0" w:noHBand="0" w:noVBand="1"/>
      </w:tblPr>
      <w:tblGrid>
        <w:gridCol w:w="6311"/>
      </w:tblGrid>
      <w:tr w:rsidR="005A5FCC" w14:paraId="4332AF22"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13D4B4B2"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6224D4EC" w14:textId="77777777" w:rsidR="005A5FCC" w:rsidRDefault="00A21C81">
            <w:pPr>
              <w:spacing w:after="60" w:line="247" w:lineRule="auto"/>
            </w:pPr>
            <w:r>
              <w:rPr>
                <w:rFonts w:cs="EB Garamond"/>
                <w:b/>
                <w:kern w:val="16"/>
                <w:sz w:val="19"/>
                <w14:ligatures w14:val="standardContextual"/>
              </w:rPr>
              <w:t>No dia a dia processual — Passo a passo para pedir prorrogação do benefício por incapacidade</w:t>
            </w:r>
          </w:p>
          <w:p w14:paraId="3A094DC8" w14:textId="77777777" w:rsidR="005A5FCC" w:rsidRDefault="00A21C81">
            <w:pPr>
              <w:spacing w:after="60" w:line="247" w:lineRule="auto"/>
            </w:pPr>
            <w:r>
              <w:rPr>
                <w:rFonts w:cs="EB Garamond"/>
                <w:kern w:val="16"/>
                <w:sz w:val="19"/>
                <w14:ligatures w14:val="standardContextual"/>
              </w:rPr>
              <w:t>O segurado cujo auxílio por incapacidade temporária tem DCB próxima deve seguir o procedimento abaixo para solicitar prorrogação:</w:t>
            </w:r>
          </w:p>
          <w:p w14:paraId="11F9C8A7" w14:textId="77777777" w:rsidR="005A5FCC" w:rsidRDefault="00A21C81">
            <w:pPr>
              <w:spacing w:after="60" w:line="247" w:lineRule="auto"/>
            </w:pPr>
            <w:r>
              <w:rPr>
                <w:rFonts w:cs="EB Garamond"/>
                <w:kern w:val="16"/>
                <w:sz w:val="19"/>
                <w14:ligatures w14:val="standardContextual"/>
              </w:rPr>
              <w:t>O ponto de partida é reunir documentação médica atualizada: atestado ou laudo emitido por médico assistente com data recente (preferencialmente dos últimos 30 dias), contendo CRM do profissional, CID do diagnóstico, descrição do quadro clínico e indicação expressa da necessidade de afastamento com prazo estimado.</w:t>
            </w:r>
          </w:p>
          <w:p w14:paraId="36935DB9" w14:textId="77777777" w:rsidR="005A5FCC" w:rsidRDefault="00A21C81">
            <w:pPr>
              <w:spacing w:after="60" w:line="247" w:lineRule="auto"/>
            </w:pPr>
            <w:r>
              <w:rPr>
                <w:rFonts w:cs="EB Garamond"/>
                <w:kern w:val="16"/>
                <w:sz w:val="19"/>
                <w14:ligatures w14:val="standardContextual"/>
              </w:rPr>
              <w:t>De posse desses documentos, o segurado acessa o Meu INSS (aplicativo ou portal web) com conta Gov.br nível prata ou ouro, seleciona a opção "Pedir prorrogação" (disponível na página do benefício ativo) e preenche o formulário eletrônico, anexando a documentação médica digitalizada. Alternativamente, o pedido pode ser feito pela Central 135.</w:t>
            </w:r>
          </w:p>
          <w:p w14:paraId="4E7F5EBE" w14:textId="77777777" w:rsidR="005A5FCC" w:rsidRDefault="00A21C81">
            <w:pPr>
              <w:spacing w:after="60" w:line="247" w:lineRule="auto"/>
            </w:pPr>
            <w:r>
              <w:rPr>
                <w:rFonts w:cs="EB Garamond"/>
                <w:kern w:val="16"/>
                <w:sz w:val="19"/>
                <w14:ligatures w14:val="standardContextual"/>
              </w:rPr>
              <w:t>A atenção ao prazo é decisiva: o pedido deve ser formulado nos 15 dias anteriores à DCB. Se observado esse prazo, o pagamento do benefício é mantido automaticamente até a decisão sobre a prorrogação.</w:t>
            </w:r>
          </w:p>
          <w:p w14:paraId="07628561" w14:textId="77777777" w:rsidR="005A5FCC" w:rsidRDefault="00A21C81">
            <w:pPr>
              <w:spacing w:after="60" w:line="247" w:lineRule="auto"/>
            </w:pPr>
            <w:r>
              <w:rPr>
                <w:rFonts w:cs="EB Garamond"/>
                <w:kern w:val="16"/>
                <w:sz w:val="19"/>
                <w14:ligatures w14:val="standardContextual"/>
              </w:rPr>
              <w:t>Feito o pedido, resta acompanhar o resultado. Deferida a prorrogação (por Atestmed ou por perícia presencial agendada), fixa-se nova DCB. Indeferida, o segurado pode interpor recurso ao CRPS (seção 22.11) ou, conforme o caso, ajuizar ação no JEF com pedido de tutela de urgência para restabelecimento.</w:t>
            </w:r>
          </w:p>
          <w:p w14:paraId="69A3925B" w14:textId="77777777" w:rsidR="005A5FCC" w:rsidRDefault="00A21C81">
            <w:pPr>
              <w:spacing w:after="60" w:line="247" w:lineRule="auto"/>
            </w:pPr>
            <w:r>
              <w:rPr>
                <w:rFonts w:cs="EB Garamond"/>
                <w:kern w:val="16"/>
                <w:sz w:val="19"/>
                <w14:ligatures w14:val="standardContextual"/>
              </w:rPr>
              <w:t>Convém, por fim, atentar para o limite do Atestmed: se o benefício já acumula 180 dias de prorrogações concedidas por análise documental, a próxima prorrogação exigirá perícia presencial. Nesse caso, o INSS agendará a perícia e o pagamento continua até a realização do exame e a decisão subsequente.</w:t>
            </w:r>
          </w:p>
        </w:tc>
      </w:tr>
    </w:tbl>
    <w:p w14:paraId="0A7591C8" w14:textId="77777777" w:rsidR="005A5FCC" w:rsidRDefault="005A5FCC">
      <w:pPr>
        <w:spacing w:after="80" w:line="240" w:lineRule="auto"/>
      </w:pPr>
    </w:p>
    <w:p w14:paraId="5B6664BF"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22.9 Decisão administrativa: concessão, indeferimento e o dever do melhor benefício</w:t>
      </w:r>
    </w:p>
    <w:p w14:paraId="0233CAFB"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17FEBFA0" w14:textId="77777777" w:rsidR="005A5FCC" w:rsidRDefault="00A21C81">
      <w:r>
        <w:rPr>
          <w:rFonts w:cs="EB Garamond"/>
          <w:kern w:val="16"/>
          <w14:ligatures w14:val="standardContextual"/>
        </w:rPr>
        <w:t xml:space="preserve"> decisão sobre o requerimento de benefício previdenciário é ato administrativo vinculado: preenchidos os requisitos legais, o INSS tem o dever de conceder o benefício; ausente qualquer requisito, deve indeferir com fun</w:t>
      </w:r>
      <w:r>
        <w:rPr>
          <w:rFonts w:cs="EB Garamond"/>
          <w:kern w:val="16"/>
          <w14:ligatures w14:val="standardContextual"/>
        </w:rPr>
        <w:lastRenderedPageBreak/>
        <w:t>damentação expressa. Não há margem de discricionariedade na análise dos requisitos, pois se trata de verificação objetiva de filiação, carência, condição de segurado, incapacidade (quando aplicável) e demais pressupostos legais da espécie requerida.</w:t>
      </w:r>
    </w:p>
    <w:p w14:paraId="230A18B3" w14:textId="77777777" w:rsidR="005A5FCC" w:rsidRDefault="00A21C81">
      <w:pPr>
        <w:ind w:firstLine="238"/>
      </w:pPr>
      <w:r>
        <w:rPr>
          <w:rFonts w:cs="EB Garamond"/>
          <w:kern w:val="16"/>
          <w14:ligatures w14:val="standardContextual"/>
        </w:rPr>
        <w:t>Como ato administrativo, a decisão previdenciária submete-se aos requisitos gerais de validade: competência (deve ser proferida por servidor com atribuição para tanto), forma (deve observar o procedimento regulamentar), motivo (deve fundar-se na situação fática verificada e nos dispositivos legais aplicáveis), objeto (concessão ou indeferimento do benefício) e finalidade (proteção do direito previdenciário do segurado). O art. 50 da Lei n. 9.784/99 exige que a decisão administrativa que nega, limita ou afeta direito seja expressamente motivada, com indicação dos fatos e fundamentos jurídicos. No contexto previdenciário, essa exigência impõe ao INSS o dever de indicar especificamente qual requisito não foi preenchido e por que a documentação apresentada não o comprova.</w:t>
      </w:r>
    </w:p>
    <w:p w14:paraId="55623EA7" w14:textId="77777777" w:rsidR="005A5FCC" w:rsidRDefault="00A21C81">
      <w:pPr>
        <w:ind w:firstLine="238"/>
      </w:pPr>
      <w:r>
        <w:rPr>
          <w:rFonts w:cs="EB Garamond"/>
          <w:kern w:val="16"/>
          <w14:ligatures w14:val="standardContextual"/>
        </w:rPr>
        <w:t>O dever do melhor benefício, previsto no art. 687 da IN PRES/INSS n. 128/2022, impõe à autarquia a obrigação de orientar o segurado quanto ao benefício mais vantajoso a que tenha direito, independentemente do benefício especificamente requerido. Esse dever decorre do reconhecimento de que o segurado, especialmente o de baixa escolaridade, frequentemente não tem conhecimento técnico para identificar a espécie mais favorável, cabendo à autarquia, que detém todas as informações cadastrais e contributivas, exercê-lo de ofício. Convém demarcar com precisão o alcance da jurisprudência superior nessa matéria: o dever de orientação tem fundamento exclusivamente normativo-administrativo (art. 687 da IN PRES/INSS n. 128/2022), não derivando dos repetitivos do STJ. O Tema 966 (REsp 1.631.021/MG, Primeira Seção, Rel. Min. Mauro Campbell Marques, j. 13/02/2019) e o Tema 975 (j. 11/12/2019) cuidam apenas da incidência do prazo decadencial do art. 103 da Lei n. 8.213/91 sobre o direito ao benefício mais vantajoso, e não do dever de orientar o segurado. A distinção entre os dois temas é detalhada no fecho desta seção.</w:t>
      </w:r>
    </w:p>
    <w:p w14:paraId="350A6C47" w14:textId="77777777" w:rsidR="005A5FCC" w:rsidRDefault="00A21C81">
      <w:pPr>
        <w:ind w:firstLine="238"/>
      </w:pPr>
      <w:r>
        <w:rPr>
          <w:rFonts w:cs="EB Garamond"/>
          <w:kern w:val="16"/>
          <w14:ligatures w14:val="standardContextual"/>
        </w:rPr>
        <w:t xml:space="preserve">A carta de concessão (ou carta de deferimento) é o documento que formaliza a decisão favorável ao segurado. Contém a espécie do benefício, o número do benefício (NB), a DER, a DIB, a DIP (data do primeiro pagamento), a renda mensal do benefício e o banco/agência de crédito. A obtenção da carta de concessão </w:t>
      </w:r>
      <w:r>
        <w:rPr>
          <w:rFonts w:cs="EB Garamond"/>
          <w:kern w:val="16"/>
          <w14:ligatures w14:val="standardContextual"/>
        </w:rPr>
        <w:lastRenderedPageBreak/>
        <w:t>pelo Meu INSS é prova documental relevante para instruir ações revisionais e para verificar a correção dos parâmetros de cálculo.</w:t>
      </w:r>
    </w:p>
    <w:p w14:paraId="6BE8B0F0" w14:textId="77777777" w:rsidR="005A5FCC" w:rsidRDefault="00A21C81">
      <w:pPr>
        <w:ind w:firstLine="238"/>
      </w:pPr>
      <w:r>
        <w:rPr>
          <w:rFonts w:cs="EB Garamond"/>
          <w:kern w:val="16"/>
          <w14:ligatures w14:val="standardContextual"/>
        </w:rPr>
        <w:t>A comunicação de indeferimento, por sua vez, deve indicar o motivo específico da negativa (por exemplo, falta de carência mínima, incapacidade não constatada pela perícia médica, não comprovação de qualidade de dependente). A comunicação é feita pela plataforma Meu INSS e, em muitos casos, por correspondência postal ao endereço cadastrado. A partir do recebimento da comunicação, abrem-se ao segurado diferentes caminhos: pedido de reconsideração à própria autarquia (sem previsão formal, mas admitido na prática administrativa), recurso ordinário ao CRPS (seção 22.11), novo requerimento com documentação complementar ou ajuizamento de ação judicial.</w:t>
      </w:r>
    </w:p>
    <w:p w14:paraId="58D8DC86" w14:textId="77777777" w:rsidR="005A5FCC" w:rsidRDefault="00A21C81">
      <w:pPr>
        <w:ind w:firstLine="238"/>
      </w:pPr>
      <w:r>
        <w:rPr>
          <w:rFonts w:cs="EB Garamond"/>
          <w:kern w:val="16"/>
          <w14:ligatures w14:val="standardContextual"/>
        </w:rPr>
        <w:t>O indeferimento tácito (mora administrativa configurada pelo decurso do prazo de 45 dias sem decisão) produz efeito equivalente ao indeferimento expresso para fins de interesse de agir, conforme consolidado pelo STF no Tema 350. Quando o segurado ajuíza a ação com fundamento na mora, e o INSS posteriormente profere decisão administrativa (concessão ou indeferimento), o processo judicial não perde o objeto automaticamente: cabe ao juiz verificar se a decisão administrativa atendeu integralmente a pretensão do autor. Se houve concessão administrativa, o processo pode ser extinto por perda superveniente do objeto, com pagamento dos atrasados desde a DER. Se houve indeferimento, o processo prossegue para análise do mérito.</w:t>
      </w:r>
    </w:p>
    <w:p w14:paraId="1290EBE8" w14:textId="77777777" w:rsidR="005A5FCC" w:rsidRDefault="00A21C81">
      <w:pPr>
        <w:ind w:firstLine="238"/>
      </w:pPr>
      <w:r>
        <w:rPr>
          <w:rFonts w:cs="EB Garamond"/>
          <w:kern w:val="16"/>
          <w14:ligatures w14:val="standardContextual"/>
        </w:rPr>
        <w:t>O pedido de reconsideração, embora sem previsão expressa na legislação previdenciária, é aceito pelo INSS como prática administrativa consolidada. Trata-se de requerimento dirigido à própria autoridade que proferiu a decisão, solicitando nova análise com base em argumentos ou documentos não considerados originalmente. A reconsideração não suspende o prazo para recurso ao CRPS nem para ajuizamento de ação judicial, o que significa que o segurado que opta por esse caminho deve estar atento à fluência simultânea dos prazos recursais. Na dinâmica dos JEFs, a reconsideração é útil quando o indeferimento decorreu de erro material evidente — documento não digitalizado corretamente, vínculo não localizado no CNIS por divergência cadastral ou exigência cumprida mas não registrada no sistema.</w:t>
      </w:r>
    </w:p>
    <w:p w14:paraId="5CB6D3FC" w14:textId="77777777" w:rsidR="005A5FCC" w:rsidRDefault="00A21C81">
      <w:pPr>
        <w:ind w:firstLine="238"/>
      </w:pPr>
      <w:r>
        <w:rPr>
          <w:rFonts w:cs="EB Garamond"/>
          <w:kern w:val="16"/>
          <w14:ligatures w14:val="standardContextual"/>
        </w:rPr>
        <w:lastRenderedPageBreak/>
        <w:t>O novo requerimento com documentação complementar constitui alternativa ao recurso, especialmente quando o segurado obteve, após o indeferimento, documentos que não possuía à época do requerimento original (certidão de tempo de serviço, sentença trabalhista transitada em julgado reconhecendo vínculo, PPP emitido por empresa que inicialmente se recusara a fornecê-lo). O novo requerimento gera nova DER, o que pode ser prejudicial em termos de cálculo do benefício, mas permite instrução mais completa do pedido.</w:t>
      </w:r>
    </w:p>
    <w:p w14:paraId="6CEF46EE" w14:textId="77777777" w:rsidR="005A5FCC" w:rsidRDefault="00A21C81">
      <w:pPr>
        <w:ind w:firstLine="238"/>
      </w:pPr>
      <w:r>
        <w:rPr>
          <w:rFonts w:cs="EB Garamond"/>
          <w:kern w:val="16"/>
          <w14:ligatures w14:val="standardContextual"/>
        </w:rPr>
        <w:t>A interface entre a decisão administrativa e o processo judicial nos JEFs é disciplinada, no que tange à decadência, pelo Tema 975 do STJ (REsp 1.648.336/RS, 1ª Seção, Rel. Min. Herman Benjamin, j. 11/12/2019). Convém consolidar aqui a distinção entre os dois repetitivos que, ao longo deste capítulo, foram invocados a propósito do benefício mais vantajoso. O Tema 966 (REsp 1.631.021/MG, Rel. Min. Mauro Campbell Marques, j. 13/02/2019) assentou que o direito de optar pela regra de cálculo mais favorável integra o ato de concessão e, como tal, sujeita-se ao prazo decadencial de dez anos do art. 103 da Lei n. 8.213/91. O Tema 975 (j. 11/12/2019), por sua vez, delimitou o termo inicial e o alcance dessa decadência, esclarecendo que ela não incide sobre questão que não foi objeto de apreciação no ato administrativo de concessão. Ambos, portanto, tratam exclusivamente da decadência do art. 103, e nenhum deles funda o dever de orientação do segurado, de matriz administrativa (art. 687 da IN PRES/INSS n. 128/2022, seções 22.6 e 22.9, supra). O termo inicial do prazo decadencial à luz do Tema 975 é aprofundado na seção 21.5.2 do Capítulo 21.</w:t>
      </w:r>
    </w:p>
    <w:p w14:paraId="3281173E"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22.10 Conselho de recursos da previdência social (CRPS): estrutura e competência</w:t>
      </w:r>
    </w:p>
    <w:p w14:paraId="1D6565E4"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5602906D" w14:textId="77777777" w:rsidR="005A5FCC" w:rsidRDefault="00A21C81">
      <w:r>
        <w:rPr>
          <w:rFonts w:cs="EB Garamond"/>
          <w:kern w:val="16"/>
          <w14:ligatures w14:val="standardContextual"/>
        </w:rPr>
        <w:t xml:space="preserve"> Conselho de Recursos da Previdência Social (CRPS) é o órgão colegiado de controle jurisdicional administrativo da Previdência Social, vinculado ao Ministério da Previdência Social, e não ao INSS. Essa distinção orgânica é relevante: o CRPS não integra a estrutura hierárquica da autarquia cujas decisões julga, o que lhe confere, ao menos em tese, a independência funcional necessária para exercer controle efetivo sobre os atos do INSS. A natureza jurídica do </w:t>
      </w:r>
      <w:r>
        <w:rPr>
          <w:rFonts w:cs="EB Garamond"/>
          <w:kern w:val="16"/>
          <w14:ligatures w14:val="standardContextual"/>
        </w:rPr>
        <w:lastRenderedPageBreak/>
        <w:t>CRPS é de tribunal administrativo paritário, com competência para julgar, em última instância administrativa, os recursos contra decisões do INSS em matéria de benefícios previdenciários e de contribuição do segurado (art. 303 do Decreto n. 3.048/99).</w:t>
      </w:r>
    </w:p>
    <w:p w14:paraId="3B6B9312" w14:textId="77777777" w:rsidR="005A5FCC" w:rsidRDefault="00A21C81">
      <w:pPr>
        <w:ind w:firstLine="238"/>
      </w:pPr>
      <w:r>
        <w:rPr>
          <w:rFonts w:cs="EB Garamond"/>
          <w:kern w:val="16"/>
          <w14:ligatures w14:val="standardContextual"/>
        </w:rPr>
        <w:t>A Portaria MPS n. 125/2026 aprovou o novo Regimento Interno do CRPS, promovendo reestruturação significativa do órgão. A estrutura passou a compreender três níveis decisórios: as Juntas de Recursos (1ª instância), as Câmaras de Julgamento (2ª instância) e o Conselho Pleno (instância uniformizadora). As Juntas de Recursos, em número variável conforme a demanda regional, são os órgãos de primeiro grau, competentes para julgar recursos contra decisões das Agências da Previdência Social e das Centrais de Análise. As Câmaras de Julgamento constituem o segundo grau, competentes para julgar recursos especiais contra decisões das Juntas. O Conselho Pleno, composto pelos presidentes das Câmaras e das Juntas, exerce função uniformizadora — havendo divergência entre decisões de Juntas ou Câmaras distintas, o Pleno fixa orientação vinculante.</w:t>
      </w:r>
    </w:p>
    <w:p w14:paraId="28F5DB7A" w14:textId="77777777" w:rsidR="005A5FCC" w:rsidRDefault="00A21C81">
      <w:pPr>
        <w:ind w:firstLine="238"/>
      </w:pPr>
      <w:r>
        <w:rPr>
          <w:rFonts w:cs="EB Garamond"/>
          <w:kern w:val="16"/>
          <w14:ligatures w14:val="standardContextual"/>
        </w:rPr>
        <w:t>A composição do CRPS inspira-se no princípio da gestão quadripartite da seguridade social (art. 194, parágrafo único, VII, da CF), embora a composição específica das Juntas — paritária entre governo e representantes de segurados/empresas — não corresponda literalmente ao modelo quadripartite ali previsto (trabalhadores, empregadores, aposentados e governo). A Portaria MPS n. 125/2026 exige formação em Direito para todos os conselheiros e mantém a representação paritária: cada Junta de Recursos é composta por membros representantes do governo e das categorias de segurados e empresas. A exigência de formação jurídica, inovação da Portaria 125/2026, visa qualificar os julgamentos e reduzir a taxa de reforma pelo Judiciário.</w:t>
      </w:r>
    </w:p>
    <w:p w14:paraId="7AF1AB29" w14:textId="77777777" w:rsidR="005A5FCC" w:rsidRDefault="00A21C81">
      <w:pPr>
        <w:ind w:firstLine="238"/>
      </w:pPr>
      <w:r>
        <w:rPr>
          <w:rFonts w:cs="EB Garamond"/>
          <w:kern w:val="16"/>
          <w14:ligatures w14:val="standardContextual"/>
        </w:rPr>
        <w:t xml:space="preserve">A competência do CRPS abrange o julgamento de recursos em matéria de benefícios previdenciários (concessão, manutenção, revisão, cessação), compensação previdenciária entre regimes e Fator Acidentário de Prevenção (FAP), bem como os recursos relativos ao benefício assistencial de prestação continuada (BPC/LOAS), operacionalizado pelo INSS, cujo indeferimento ou cessação desafia recurso à Junta de Recursos do CRPS (art. 36, § 1º, do Decreto n. </w:t>
      </w:r>
      <w:r>
        <w:rPr>
          <w:rFonts w:cs="EB Garamond"/>
          <w:kern w:val="16"/>
          <w14:ligatures w14:val="standardContextual"/>
        </w:rPr>
        <w:lastRenderedPageBreak/>
        <w:t>6.214/2007). Estão excluídas de sua competência apenas as matérias de competência exclusiva do Poder Judiciário (declaração de inconstitucionalidade, por exemplo).</w:t>
      </w:r>
    </w:p>
    <w:p w14:paraId="24404DEA" w14:textId="77777777" w:rsidR="005A5FCC" w:rsidRDefault="00A21C81">
      <w:pPr>
        <w:ind w:firstLine="238"/>
      </w:pPr>
      <w:r>
        <w:rPr>
          <w:rFonts w:cs="EB Garamond"/>
          <w:kern w:val="16"/>
          <w14:ligatures w14:val="standardContextual"/>
        </w:rPr>
        <w:t xml:space="preserve">O volume processual do CRPS atingiu, em 2025, mais de um milhão de processos em tramitação. Convém distinguir, desde já, duas figuras temporais que não devem ser confundidas: (i) o </w:t>
      </w:r>
      <w:r>
        <w:rPr>
          <w:rFonts w:cs="EB Garamond"/>
          <w:i/>
          <w:kern w:val="16"/>
          <w14:ligatures w14:val="standardContextual"/>
        </w:rPr>
        <w:t>prazo regulamentar máximo</w:t>
      </w:r>
      <w:r>
        <w:rPr>
          <w:rFonts w:cs="EB Garamond"/>
          <w:kern w:val="16"/>
          <w14:ligatures w14:val="standardContextual"/>
        </w:rPr>
        <w:t xml:space="preserve"> de julgamento, que a Portaria MPS n. 125/2026 (art. 77, § 5º) fixou em 365 dias para os recursos em cada instância — observadas as prioridades definidas em lei e a ordem cronológica de distribuição —, limite jurídico cujo descumprimento caracteriza mora administrativa (seção 22.11); e (ii) o </w:t>
      </w:r>
      <w:r>
        <w:rPr>
          <w:rFonts w:cs="EB Garamond"/>
          <w:i/>
          <w:kern w:val="16"/>
          <w14:ligatures w14:val="standardContextual"/>
        </w:rPr>
        <w:t>tempo médio real</w:t>
      </w:r>
      <w:r>
        <w:rPr>
          <w:rFonts w:cs="EB Garamond"/>
          <w:kern w:val="16"/>
          <w14:ligatures w14:val="standardContextual"/>
        </w:rPr>
        <w:t xml:space="preserve"> de tramitação, que oscila, em geral, entre seis e dezoito meses (seção 22.20), a depender da Junta e do volume de demanda regional. Os dois parâmetros não se contradizem: os 365 dias são o teto regulamentar com que a Portaria 125/2026 buscou disciplinar um contencioso administrativo historicamente lento; a faixa de seis a dezoito meses retrata a realidade prática, não raro superior ao próprio teto, especialmente nas Juntas com maior volume de demanda.</w:t>
      </w:r>
    </w:p>
    <w:tbl>
      <w:tblPr>
        <w:tblW w:w="5000" w:type="pct"/>
        <w:jc w:val="center"/>
        <w:tblLayout w:type="fixed"/>
        <w:tblLook w:val="04A0" w:firstRow="1" w:lastRow="0" w:firstColumn="1" w:lastColumn="0" w:noHBand="0" w:noVBand="1"/>
      </w:tblPr>
      <w:tblGrid>
        <w:gridCol w:w="6311"/>
      </w:tblGrid>
      <w:tr w:rsidR="005A5FCC" w14:paraId="3A6AEAC2" w14:textId="77777777">
        <w:trPr>
          <w:cantSplit/>
          <w:jc w:val="center"/>
        </w:trPr>
        <w:tc>
          <w:tcPr>
            <w:tcW w:w="6350" w:type="dxa"/>
            <w:tcBorders>
              <w:top w:val="single" w:sz="7" w:space="0" w:color="A09882"/>
              <w:left w:val="single" w:sz="24" w:space="0" w:color="6B6256"/>
              <w:bottom w:val="single" w:sz="7" w:space="0" w:color="A09882"/>
              <w:right w:val="single" w:sz="7" w:space="0" w:color="A09882"/>
            </w:tcBorders>
            <w:shd w:val="clear" w:color="auto" w:fill="F5F3EF"/>
            <w:tcMar>
              <w:top w:w="150" w:type="dxa"/>
              <w:left w:w="220" w:type="dxa"/>
              <w:bottom w:w="150" w:type="dxa"/>
              <w:right w:w="180" w:type="dxa"/>
            </w:tcMar>
          </w:tcPr>
          <w:p w14:paraId="51F9D3F6" w14:textId="77777777" w:rsidR="005A5FCC" w:rsidRDefault="00A21C81">
            <w:pPr>
              <w:spacing w:after="60" w:line="240" w:lineRule="auto"/>
              <w:jc w:val="left"/>
            </w:pPr>
            <w:r>
              <w:rPr>
                <w:rFonts w:ascii="Noto Sans" w:hAnsi="Noto Sans" w:cs="Noto Sans"/>
                <w:b/>
                <w:caps/>
                <w:color w:val="6B6256"/>
                <w:kern w:val="16"/>
                <w:sz w:val="16"/>
                <w14:ligatures w14:val="standardContextual"/>
              </w:rPr>
              <w:t>QUADRO</w:t>
            </w:r>
          </w:p>
          <w:p w14:paraId="784568EB" w14:textId="77777777" w:rsidR="005A5FCC" w:rsidRDefault="00A21C81">
            <w:pPr>
              <w:spacing w:after="60" w:line="247" w:lineRule="auto"/>
            </w:pPr>
            <w:r>
              <w:rPr>
                <w:rFonts w:cs="EB Garamond"/>
                <w:b/>
                <w:kern w:val="16"/>
                <w:sz w:val="19"/>
                <w14:ligatures w14:val="standardContextual"/>
              </w:rPr>
              <w:t>Quadro 22.2 — Estrutura do CRPS (Portaria MPS n. 125/2026)</w:t>
            </w:r>
          </w:p>
          <w:tbl>
            <w:tblPr>
              <w:tblW w:w="5000" w:type="pct"/>
              <w:jc w:val="center"/>
              <w:tblLook w:val="04A0" w:firstRow="1" w:lastRow="0" w:firstColumn="1" w:lastColumn="0" w:noHBand="0" w:noVBand="1"/>
            </w:tblPr>
            <w:tblGrid>
              <w:gridCol w:w="1476"/>
              <w:gridCol w:w="1475"/>
              <w:gridCol w:w="1475"/>
              <w:gridCol w:w="1475"/>
            </w:tblGrid>
            <w:tr w:rsidR="005A5FCC" w14:paraId="1834C7E6" w14:textId="77777777">
              <w:trPr>
                <w:tblHeader/>
                <w:jc w:val="center"/>
              </w:trPr>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19D6F66F" w14:textId="77777777" w:rsidR="005A5FCC" w:rsidRDefault="00A21C81">
                  <w:pPr>
                    <w:spacing w:before="30" w:after="30" w:line="240" w:lineRule="auto"/>
                    <w:jc w:val="center"/>
                  </w:pPr>
                  <w:r>
                    <w:rPr>
                      <w:rFonts w:cs="EB Garamond"/>
                      <w:b/>
                      <w:color w:val="2F2923"/>
                      <w:kern w:val="16"/>
                      <w:sz w:val="16"/>
                      <w14:ligatures w14:val="standardContextual"/>
                    </w:rPr>
                    <w:t>Instância</w:t>
                  </w:r>
                </w:p>
              </w:tc>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66B8CBED" w14:textId="77777777" w:rsidR="005A5FCC" w:rsidRDefault="00A21C81">
                  <w:pPr>
                    <w:spacing w:before="30" w:after="30" w:line="240" w:lineRule="auto"/>
                    <w:jc w:val="center"/>
                  </w:pPr>
                  <w:r>
                    <w:rPr>
                      <w:rFonts w:cs="EB Garamond"/>
                      <w:b/>
                      <w:color w:val="2F2923"/>
                      <w:kern w:val="16"/>
                      <w:sz w:val="16"/>
                      <w14:ligatures w14:val="standardContextual"/>
                    </w:rPr>
                    <w:t>Órgão</w:t>
                  </w:r>
                </w:p>
              </w:tc>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5A742780" w14:textId="77777777" w:rsidR="005A5FCC" w:rsidRDefault="00A21C81">
                  <w:pPr>
                    <w:spacing w:before="30" w:after="30" w:line="240" w:lineRule="auto"/>
                    <w:jc w:val="center"/>
                  </w:pPr>
                  <w:r>
                    <w:rPr>
                      <w:rFonts w:cs="EB Garamond"/>
                      <w:b/>
                      <w:color w:val="2F2923"/>
                      <w:kern w:val="16"/>
                      <w:sz w:val="16"/>
                      <w14:ligatures w14:val="standardContextual"/>
                    </w:rPr>
                    <w:t>Composição</w:t>
                  </w:r>
                </w:p>
              </w:tc>
              <w:tc>
                <w:tcPr>
                  <w:tcW w:w="1587" w:type="dxa"/>
                  <w:tcBorders>
                    <w:top w:val="single" w:sz="4" w:space="0" w:color="D2C9B8"/>
                    <w:left w:val="single" w:sz="4" w:space="0" w:color="D2C9B8"/>
                    <w:bottom w:val="single" w:sz="4" w:space="0" w:color="D2C9B8"/>
                    <w:right w:val="single" w:sz="4" w:space="0" w:color="D2C9B8"/>
                  </w:tcBorders>
                  <w:shd w:val="clear" w:color="auto" w:fill="F0EDE6"/>
                </w:tcPr>
                <w:p w14:paraId="351C42A0" w14:textId="77777777" w:rsidR="005A5FCC" w:rsidRDefault="00A21C81">
                  <w:pPr>
                    <w:spacing w:before="30" w:after="30" w:line="240" w:lineRule="auto"/>
                    <w:jc w:val="center"/>
                  </w:pPr>
                  <w:r>
                    <w:rPr>
                      <w:rFonts w:cs="EB Garamond"/>
                      <w:b/>
                      <w:color w:val="2F2923"/>
                      <w:kern w:val="16"/>
                      <w:sz w:val="16"/>
                      <w14:ligatures w14:val="standardContextual"/>
                    </w:rPr>
                    <w:t>Competência</w:t>
                  </w:r>
                </w:p>
              </w:tc>
            </w:tr>
            <w:tr w:rsidR="005A5FCC" w14:paraId="5A09BB1F"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3BE578E1" w14:textId="77777777" w:rsidR="005A5FCC" w:rsidRDefault="00A21C81">
                  <w:pPr>
                    <w:spacing w:before="20" w:after="20" w:line="240" w:lineRule="auto"/>
                    <w:jc w:val="left"/>
                  </w:pPr>
                  <w:r>
                    <w:rPr>
                      <w:rFonts w:cs="EB Garamond"/>
                      <w:kern w:val="16"/>
                      <w:sz w:val="16"/>
                      <w14:ligatures w14:val="standardContextual"/>
                    </w:rPr>
                    <w:t>1ª instância</w:t>
                  </w:r>
                </w:p>
              </w:tc>
              <w:tc>
                <w:tcPr>
                  <w:tcW w:w="1587" w:type="dxa"/>
                  <w:tcBorders>
                    <w:top w:val="single" w:sz="4" w:space="0" w:color="D2C9B8"/>
                    <w:left w:val="single" w:sz="4" w:space="0" w:color="D2C9B8"/>
                    <w:bottom w:val="single" w:sz="4" w:space="0" w:color="D2C9B8"/>
                    <w:right w:val="single" w:sz="4" w:space="0" w:color="D2C9B8"/>
                  </w:tcBorders>
                </w:tcPr>
                <w:p w14:paraId="6D5B1DA9" w14:textId="77777777" w:rsidR="005A5FCC" w:rsidRDefault="00A21C81">
                  <w:pPr>
                    <w:spacing w:before="20" w:after="20" w:line="240" w:lineRule="auto"/>
                    <w:jc w:val="left"/>
                  </w:pPr>
                  <w:r>
                    <w:rPr>
                      <w:rFonts w:cs="EB Garamond"/>
                      <w:kern w:val="16"/>
                      <w:sz w:val="16"/>
                      <w14:ligatures w14:val="standardContextual"/>
                    </w:rPr>
                    <w:t>Juntas de Recursos</w:t>
                  </w:r>
                </w:p>
              </w:tc>
              <w:tc>
                <w:tcPr>
                  <w:tcW w:w="1587" w:type="dxa"/>
                  <w:tcBorders>
                    <w:top w:val="single" w:sz="4" w:space="0" w:color="D2C9B8"/>
                    <w:left w:val="single" w:sz="4" w:space="0" w:color="D2C9B8"/>
                    <w:bottom w:val="single" w:sz="4" w:space="0" w:color="D2C9B8"/>
                    <w:right w:val="single" w:sz="4" w:space="0" w:color="D2C9B8"/>
                  </w:tcBorders>
                </w:tcPr>
                <w:p w14:paraId="5B8DD900" w14:textId="77777777" w:rsidR="005A5FCC" w:rsidRDefault="00A21C81">
                  <w:pPr>
                    <w:spacing w:before="20" w:after="20" w:line="240" w:lineRule="auto"/>
                    <w:jc w:val="left"/>
                  </w:pPr>
                  <w:r>
                    <w:rPr>
                      <w:rFonts w:cs="EB Garamond"/>
                      <w:kern w:val="16"/>
                      <w:sz w:val="16"/>
                      <w14:ligatures w14:val="standardContextual"/>
                    </w:rPr>
                    <w:t>Paritária (governo + segurados/empresas), bacharéis em Direito</w:t>
                  </w:r>
                </w:p>
              </w:tc>
              <w:tc>
                <w:tcPr>
                  <w:tcW w:w="1587" w:type="dxa"/>
                  <w:tcBorders>
                    <w:top w:val="single" w:sz="4" w:space="0" w:color="D2C9B8"/>
                    <w:left w:val="single" w:sz="4" w:space="0" w:color="D2C9B8"/>
                    <w:bottom w:val="single" w:sz="4" w:space="0" w:color="D2C9B8"/>
                    <w:right w:val="single" w:sz="4" w:space="0" w:color="D2C9B8"/>
                  </w:tcBorders>
                </w:tcPr>
                <w:p w14:paraId="6BCAB189" w14:textId="77777777" w:rsidR="005A5FCC" w:rsidRDefault="00A21C81">
                  <w:pPr>
                    <w:spacing w:before="20" w:after="20" w:line="240" w:lineRule="auto"/>
                    <w:jc w:val="left"/>
                  </w:pPr>
                  <w:r>
                    <w:rPr>
                      <w:rFonts w:cs="EB Garamond"/>
                      <w:kern w:val="16"/>
                      <w:sz w:val="16"/>
                      <w14:ligatures w14:val="standardContextual"/>
                    </w:rPr>
                    <w:t>Recurso ordinário contra decisões do INSS</w:t>
                  </w:r>
                </w:p>
              </w:tc>
            </w:tr>
            <w:tr w:rsidR="005A5FCC" w14:paraId="668F5F69"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425C72E5" w14:textId="77777777" w:rsidR="005A5FCC" w:rsidRDefault="00A21C81">
                  <w:pPr>
                    <w:spacing w:before="20" w:after="20" w:line="240" w:lineRule="auto"/>
                    <w:jc w:val="left"/>
                  </w:pPr>
                  <w:r>
                    <w:rPr>
                      <w:rFonts w:cs="EB Garamond"/>
                      <w:kern w:val="16"/>
                      <w:sz w:val="16"/>
                      <w14:ligatures w14:val="standardContextual"/>
                    </w:rPr>
                    <w:t>2ª instância</w:t>
                  </w:r>
                </w:p>
              </w:tc>
              <w:tc>
                <w:tcPr>
                  <w:tcW w:w="1587" w:type="dxa"/>
                  <w:tcBorders>
                    <w:top w:val="single" w:sz="4" w:space="0" w:color="D2C9B8"/>
                    <w:left w:val="single" w:sz="4" w:space="0" w:color="D2C9B8"/>
                    <w:bottom w:val="single" w:sz="4" w:space="0" w:color="D2C9B8"/>
                    <w:right w:val="single" w:sz="4" w:space="0" w:color="D2C9B8"/>
                  </w:tcBorders>
                </w:tcPr>
                <w:p w14:paraId="6FB0A4D6" w14:textId="77777777" w:rsidR="005A5FCC" w:rsidRDefault="00A21C81">
                  <w:pPr>
                    <w:spacing w:before="20" w:after="20" w:line="240" w:lineRule="auto"/>
                    <w:jc w:val="left"/>
                  </w:pPr>
                  <w:r>
                    <w:rPr>
                      <w:rFonts w:cs="EB Garamond"/>
                      <w:kern w:val="16"/>
                      <w:sz w:val="16"/>
                      <w14:ligatures w14:val="standardContextual"/>
                    </w:rPr>
                    <w:t>Câmaras de Julgamento</w:t>
                  </w:r>
                </w:p>
              </w:tc>
              <w:tc>
                <w:tcPr>
                  <w:tcW w:w="1587" w:type="dxa"/>
                  <w:tcBorders>
                    <w:top w:val="single" w:sz="4" w:space="0" w:color="D2C9B8"/>
                    <w:left w:val="single" w:sz="4" w:space="0" w:color="D2C9B8"/>
                    <w:bottom w:val="single" w:sz="4" w:space="0" w:color="D2C9B8"/>
                    <w:right w:val="single" w:sz="4" w:space="0" w:color="D2C9B8"/>
                  </w:tcBorders>
                </w:tcPr>
                <w:p w14:paraId="66B0AA4A" w14:textId="77777777" w:rsidR="005A5FCC" w:rsidRDefault="00A21C81">
                  <w:pPr>
                    <w:spacing w:before="20" w:after="20" w:line="240" w:lineRule="auto"/>
                    <w:jc w:val="left"/>
                  </w:pPr>
                  <w:r>
                    <w:rPr>
                      <w:rFonts w:cs="EB Garamond"/>
                      <w:kern w:val="16"/>
                      <w:sz w:val="16"/>
                      <w14:ligatures w14:val="standardContextual"/>
                    </w:rPr>
                    <w:t>Paritária, bacharéis em Direito</w:t>
                  </w:r>
                </w:p>
              </w:tc>
              <w:tc>
                <w:tcPr>
                  <w:tcW w:w="1587" w:type="dxa"/>
                  <w:tcBorders>
                    <w:top w:val="single" w:sz="4" w:space="0" w:color="D2C9B8"/>
                    <w:left w:val="single" w:sz="4" w:space="0" w:color="D2C9B8"/>
                    <w:bottom w:val="single" w:sz="4" w:space="0" w:color="D2C9B8"/>
                    <w:right w:val="single" w:sz="4" w:space="0" w:color="D2C9B8"/>
                  </w:tcBorders>
                </w:tcPr>
                <w:p w14:paraId="2281BF29" w14:textId="77777777" w:rsidR="005A5FCC" w:rsidRDefault="00A21C81">
                  <w:pPr>
                    <w:spacing w:before="20" w:after="20" w:line="240" w:lineRule="auto"/>
                    <w:jc w:val="left"/>
                  </w:pPr>
                  <w:r>
                    <w:rPr>
                      <w:rFonts w:cs="EB Garamond"/>
                      <w:kern w:val="16"/>
                      <w:sz w:val="16"/>
                      <w14:ligatures w14:val="standardContextual"/>
                    </w:rPr>
                    <w:t>Recurso especial contra decisões das Juntas</w:t>
                  </w:r>
                </w:p>
              </w:tc>
            </w:tr>
            <w:tr w:rsidR="005A5FCC" w14:paraId="014845D4" w14:textId="77777777">
              <w:trPr>
                <w:jc w:val="center"/>
              </w:trPr>
              <w:tc>
                <w:tcPr>
                  <w:tcW w:w="1587" w:type="dxa"/>
                  <w:tcBorders>
                    <w:top w:val="single" w:sz="4" w:space="0" w:color="D2C9B8"/>
                    <w:left w:val="single" w:sz="4" w:space="0" w:color="D2C9B8"/>
                    <w:bottom w:val="single" w:sz="4" w:space="0" w:color="D2C9B8"/>
                    <w:right w:val="single" w:sz="4" w:space="0" w:color="D2C9B8"/>
                  </w:tcBorders>
                </w:tcPr>
                <w:p w14:paraId="254C1EFB" w14:textId="77777777" w:rsidR="005A5FCC" w:rsidRDefault="00A21C81">
                  <w:pPr>
                    <w:spacing w:before="20" w:after="20" w:line="240" w:lineRule="auto"/>
                    <w:jc w:val="left"/>
                  </w:pPr>
                  <w:r>
                    <w:rPr>
                      <w:rFonts w:cs="EB Garamond"/>
                      <w:kern w:val="16"/>
                      <w:sz w:val="16"/>
                      <w14:ligatures w14:val="standardContextual"/>
                    </w:rPr>
                    <w:t>Uniformização</w:t>
                  </w:r>
                </w:p>
              </w:tc>
              <w:tc>
                <w:tcPr>
                  <w:tcW w:w="1587" w:type="dxa"/>
                  <w:tcBorders>
                    <w:top w:val="single" w:sz="4" w:space="0" w:color="D2C9B8"/>
                    <w:left w:val="single" w:sz="4" w:space="0" w:color="D2C9B8"/>
                    <w:bottom w:val="single" w:sz="4" w:space="0" w:color="D2C9B8"/>
                    <w:right w:val="single" w:sz="4" w:space="0" w:color="D2C9B8"/>
                  </w:tcBorders>
                </w:tcPr>
                <w:p w14:paraId="744D42DF" w14:textId="77777777" w:rsidR="005A5FCC" w:rsidRDefault="00A21C81">
                  <w:pPr>
                    <w:spacing w:before="20" w:after="20" w:line="240" w:lineRule="auto"/>
                    <w:jc w:val="left"/>
                  </w:pPr>
                  <w:r>
                    <w:rPr>
                      <w:rFonts w:cs="EB Garamond"/>
                      <w:kern w:val="16"/>
                      <w:sz w:val="16"/>
                      <w14:ligatures w14:val="standardContextual"/>
                    </w:rPr>
                    <w:t>Conselho Pleno</w:t>
                  </w:r>
                </w:p>
              </w:tc>
              <w:tc>
                <w:tcPr>
                  <w:tcW w:w="1587" w:type="dxa"/>
                  <w:tcBorders>
                    <w:top w:val="single" w:sz="4" w:space="0" w:color="D2C9B8"/>
                    <w:left w:val="single" w:sz="4" w:space="0" w:color="D2C9B8"/>
                    <w:bottom w:val="single" w:sz="4" w:space="0" w:color="D2C9B8"/>
                    <w:right w:val="single" w:sz="4" w:space="0" w:color="D2C9B8"/>
                  </w:tcBorders>
                </w:tcPr>
                <w:p w14:paraId="530B4DFC" w14:textId="77777777" w:rsidR="005A5FCC" w:rsidRDefault="00A21C81">
                  <w:pPr>
                    <w:spacing w:before="20" w:after="20" w:line="240" w:lineRule="auto"/>
                    <w:jc w:val="left"/>
                  </w:pPr>
                  <w:r>
                    <w:rPr>
                      <w:rFonts w:cs="EB Garamond"/>
                      <w:kern w:val="16"/>
                      <w:sz w:val="16"/>
                      <w14:ligatures w14:val="standardContextual"/>
                    </w:rPr>
                    <w:t>Presidentes das Câmaras e Juntas</w:t>
                  </w:r>
                </w:p>
              </w:tc>
              <w:tc>
                <w:tcPr>
                  <w:tcW w:w="1587" w:type="dxa"/>
                  <w:tcBorders>
                    <w:top w:val="single" w:sz="4" w:space="0" w:color="D2C9B8"/>
                    <w:left w:val="single" w:sz="4" w:space="0" w:color="D2C9B8"/>
                    <w:bottom w:val="single" w:sz="4" w:space="0" w:color="D2C9B8"/>
                    <w:right w:val="single" w:sz="4" w:space="0" w:color="D2C9B8"/>
                  </w:tcBorders>
                </w:tcPr>
                <w:p w14:paraId="73BBA8D1" w14:textId="77777777" w:rsidR="005A5FCC" w:rsidRDefault="00A21C81">
                  <w:pPr>
                    <w:spacing w:before="20" w:after="20" w:line="240" w:lineRule="auto"/>
                    <w:jc w:val="left"/>
                  </w:pPr>
                  <w:r>
                    <w:rPr>
                      <w:rFonts w:cs="EB Garamond"/>
                      <w:kern w:val="16"/>
                      <w:sz w:val="16"/>
                      <w14:ligatures w14:val="standardContextual"/>
                    </w:rPr>
                    <w:t>Fixação de orientação vinculante em caso de divergência</w:t>
                  </w:r>
                </w:p>
              </w:tc>
            </w:tr>
          </w:tbl>
          <w:p w14:paraId="4CAB78B5" w14:textId="77777777" w:rsidR="005A5FCC" w:rsidRDefault="005A5FCC"/>
          <w:p w14:paraId="6942956A" w14:textId="77777777" w:rsidR="005A5FCC" w:rsidRDefault="005A5FCC">
            <w:pPr>
              <w:spacing w:after="0" w:line="240" w:lineRule="auto"/>
            </w:pPr>
          </w:p>
        </w:tc>
      </w:tr>
    </w:tbl>
    <w:p w14:paraId="32BCF9DB" w14:textId="77777777" w:rsidR="005A5FCC" w:rsidRDefault="005A5FCC">
      <w:pPr>
        <w:spacing w:after="80" w:line="240" w:lineRule="auto"/>
      </w:pPr>
    </w:p>
    <w:p w14:paraId="16CA172F"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A</w:t>
      </w:r>
    </w:p>
    <w:p w14:paraId="61E82AA2" w14:textId="77777777" w:rsidR="005A5FCC" w:rsidRDefault="00A21C81">
      <w:r>
        <w:rPr>
          <w:rFonts w:cs="EB Garamond"/>
          <w:kern w:val="16"/>
          <w14:ligatures w14:val="standardContextual"/>
        </w:rPr>
        <w:t xml:space="preserve"> competência do CRPS é delimitada pela natureza da matéria e pelo tipo de decisão recorrida. Estão compreendidos na competência recursal os benefícios previdenciários do RGPS (aposentadorias, auxílios, pensões, salário-maternidade), o benefício assistencial de prestação continuada (BPC/LOAS), operacionalizado pelo INSS e cujo indeferimento desafia recurso à Junta de Recursos do CRPS (art. 36, § 1º, do Decreto n. 6.214/2007), as questões relativas à compensação previdenciária entre regimes e ao Fator Acidentário de Prevenção (FAP). Ficam excluídas de sua competência apenas as questões tributárias relativas a contribuições previdenciárias patronais, que são de competência do contencioso administrativo fiscal (CARF). Essa delimitação de competência é relevante para o advogado que precisa escolher corretamente a via recursal administrativa.</w:t>
      </w:r>
    </w:p>
    <w:p w14:paraId="22B86A69" w14:textId="77777777" w:rsidR="005A5FCC" w:rsidRDefault="00A21C81">
      <w:pPr>
        <w:ind w:firstLine="238"/>
      </w:pPr>
      <w:r>
        <w:rPr>
          <w:rFonts w:cs="EB Garamond"/>
          <w:kern w:val="16"/>
          <w14:ligatures w14:val="standardContextual"/>
        </w:rPr>
        <w:t>Para o advogado que atua nos JEFs, o CRPS representa alternativa à judicialização que merece avaliação estratégica caso a caso. Em situações de indeferimento por erro documental, cadastral ou de interpretação normativa, o recurso ao CRPS pode ser mais célere e menos oneroso do que a ação judicial. Em contrapartida, quando a questão envolve matéria fática complexa (divergência pericial sobre incapacidade, por exemplo) ou quando o segurado necessita de tutela de urgência (antecipação de tutela para implantação imediata do benefício), a via judicial nos JEFs tende a ser mais eficaz. A opção por uma via não exclui a outra: o segurado pode, simultaneamente, interpor recurso ao CRPS e ajuizar ação judicial, hipótese em que a decisão judicial prevalece sobre a administrativa em caso de conflito.</w:t>
      </w:r>
    </w:p>
    <w:p w14:paraId="17D704A8"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22.11 Recurso ordinário às juntas de recursos</w:t>
      </w:r>
    </w:p>
    <w:p w14:paraId="2EDA519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0878B5F2" w14:textId="77777777" w:rsidR="005A5FCC" w:rsidRDefault="00A21C81">
      <w:r>
        <w:rPr>
          <w:rFonts w:cs="EB Garamond"/>
          <w:kern w:val="16"/>
          <w14:ligatures w14:val="standardContextual"/>
        </w:rPr>
        <w:t xml:space="preserve"> recurso ordinário é a via recursal cabível contra decisão do INSS que indefere, cessa ou revisa benefício previdenciário em prejuízo do segurado. Constitui o instrumento por excelência de impugnação administrativa dos atos da autarquia e sua interposição é direito do segurado independentemente de advogado, embora a assistência técnica seja recomendável, especialmente em matérias de maior complexidade.</w:t>
      </w:r>
    </w:p>
    <w:p w14:paraId="19E8BF36" w14:textId="77777777" w:rsidR="005A5FCC" w:rsidRDefault="00A21C81">
      <w:pPr>
        <w:ind w:firstLine="238"/>
      </w:pPr>
      <w:r>
        <w:rPr>
          <w:rFonts w:cs="EB Garamond"/>
          <w:kern w:val="16"/>
          <w14:ligatures w14:val="standardContextual"/>
        </w:rPr>
        <w:lastRenderedPageBreak/>
        <w:t>A legitimidade para interpor recurso ordinário é do segurado, de seu dependente ou de procurador legalmente constituído. O prazo é de 30 dias, contados da ciência da decisão recorrida (art. 305 do Decreto n. 3.048/99). A ciência considera-se ocorrida na data de acesso à notificação pelo Meu INSS, na data de recebimento da correspondência postal (aviso de recebimento) ou na data de comparecimento pessoal à APS. Perdido o prazo, opera-se a preclusão administrativa — o segurado não poderá mais recorrer daquela decisão específica, embora possa formular novo requerimento com base em fatos ou documentos novos, ou buscar o Judiciário.</w:t>
      </w:r>
    </w:p>
    <w:p w14:paraId="10FC3A3C" w14:textId="77777777" w:rsidR="005A5FCC" w:rsidRDefault="00A21C81">
      <w:pPr>
        <w:ind w:firstLine="238"/>
      </w:pPr>
      <w:r>
        <w:rPr>
          <w:rFonts w:cs="EB Garamond"/>
          <w:kern w:val="16"/>
          <w14:ligatures w14:val="standardContextual"/>
        </w:rPr>
        <w:t>A interposição pode ser feita pelo Meu INSS (opção "Recurso" na página do benefício), pela Central 135, por comparecimento presencial à APS (mediante agendamento) ou por correspondência postal dirigida à Junta de Recursos competente. O recurso deve conter a identificação do recorrente, o número do benefício e da decisão recorrida, as razões do inconformismo e os documentos que o instruem. A apresentação de documentos novos na fase recursal é admitida e constitui, na prática, uma das principais vantagens do recurso administrativo: o segurado pode juntar laudos médicos, declarações, certidões e outros documentos que não apresentou na fase inicial, suprindo deficiências da instrução originária.</w:t>
      </w:r>
    </w:p>
    <w:p w14:paraId="3752CB71" w14:textId="77777777" w:rsidR="005A5FCC" w:rsidRDefault="00A21C81">
      <w:pPr>
        <w:ind w:firstLine="238"/>
      </w:pPr>
      <w:r>
        <w:rPr>
          <w:rFonts w:cs="EB Garamond"/>
          <w:kern w:val="16"/>
          <w14:ligatures w14:val="standardContextual"/>
        </w:rPr>
        <w:t>A questão do efeito suspensivo do recurso ordinário gera controvérsia relevante. O art. 305 do Decreto n. 3.048/99, na redação vigente, atribui efeito suspensivo ao recurso, o que significa que, em tese, a decisão recorrida não produz efeitos durante a tramitação recursal. Na atuação forense, essa regra tem aplicação controversa nos casos de cessação de benefício: se o segurado teve o auxílio por incapacidade temporária cessado por decisão pericial e interpõe recurso, o efeito suspensivo deveria impedir a cessação até o julgamento; o INSS, porém, em muitos casos cessa o pagamento independentemente da interposição de recurso, gerando situações de desamparo que acabam sendo levadas ao JEF por via de tutela de urgência.</w:t>
      </w:r>
    </w:p>
    <w:p w14:paraId="7E537800" w14:textId="77777777" w:rsidR="005A5FCC" w:rsidRDefault="00A21C81">
      <w:pPr>
        <w:ind w:firstLine="238"/>
      </w:pPr>
      <w:r>
        <w:rPr>
          <w:rFonts w:cs="EB Garamond"/>
          <w:kern w:val="16"/>
          <w14:ligatures w14:val="standardContextual"/>
        </w:rPr>
        <w:t xml:space="preserve">O INSS participa do processo recursal como parte recorrida. A Procuradoria Federal Especializada junto ao INSS é intimada para apresentar contrarrazões, podendo defender a manutenção da decisão recorrida ou, excepcionalmente, reconhecer o direito do segurado e concordar com o provimento do recurso. Esse </w:t>
      </w:r>
      <w:r>
        <w:rPr>
          <w:rFonts w:cs="EB Garamond"/>
          <w:kern w:val="16"/>
          <w14:ligatures w14:val="standardContextual"/>
        </w:rPr>
        <w:lastRenderedPageBreak/>
        <w:t>reconhecimento administrativo, embora raro, é possível e desejável quando o INSS identifica erro na decisão originária.</w:t>
      </w:r>
    </w:p>
    <w:p w14:paraId="632FA2EA" w14:textId="77777777" w:rsidR="005A5FCC" w:rsidRDefault="00A21C81">
      <w:pPr>
        <w:ind w:firstLine="238"/>
      </w:pPr>
      <w:r>
        <w:rPr>
          <w:rFonts w:cs="EB Garamond"/>
          <w:kern w:val="16"/>
          <w14:ligatures w14:val="standardContextual"/>
        </w:rPr>
        <w:t>A Portaria MPS n. 125/2026 (art. 77, § 5º) fixou em 365 dias o prazo regulamentar máximo para julgamento dos recursos em cada instância, aí incluído o recurso ordinário pelas Juntas de Recursos, observadas as prioridades definidas em lei e a ordem cronológica de distribuição. O prazo é contado a partir da entrada do recurso no CRPS, excluído o período em que o processo aguarda o cumprimento de diligências (art. 77, § 6º), e seu descumprimento caracteriza mora administrativa. Embora esse prazo-limite de um ano possa parecer longo, aproxima-se do tempo médio de tramitação de ação previdenciária nos JEFs em regiões de maior congestionamento; conforme a matéria e a localidade, o recurso administrativo pode constituir, assim, alternativa estratégica viável (v. O quadro comparativo da seção 22.20).</w:t>
      </w:r>
    </w:p>
    <w:p w14:paraId="3589E238" w14:textId="77777777" w:rsidR="005A5FCC" w:rsidRDefault="00A21C81">
      <w:pPr>
        <w:ind w:firstLine="238"/>
      </w:pPr>
      <w:r>
        <w:rPr>
          <w:rFonts w:cs="EB Garamond"/>
          <w:kern w:val="16"/>
          <w14:ligatures w14:val="standardContextual"/>
        </w:rPr>
        <w:t>Os efeitos do julgamento são os seguintes: se a Junta dá provimento ao recurso, o INSS tem prazo de 60 dias para implantar o benefício ou adotar a providência determinada. Se nega provimento, o segurado pode interpor recurso especial às Câmaras de Julgamento (seção 22.12) ou buscar o Judiciário. A decisão da Junta, quando favorável ao segurado, vincula o INSS, a autarquia não pode deixar de cumprir a decisão do CRPS, salvo por meio de ação judicial (ação anulatória ou ação rescisória administrativa, hipóteses excepcionais).</w:t>
      </w:r>
    </w:p>
    <w:tbl>
      <w:tblPr>
        <w:tblW w:w="5000" w:type="pct"/>
        <w:jc w:val="center"/>
        <w:tblLayout w:type="fixed"/>
        <w:tblLook w:val="04A0" w:firstRow="1" w:lastRow="0" w:firstColumn="1" w:lastColumn="0" w:noHBand="0" w:noVBand="1"/>
      </w:tblPr>
      <w:tblGrid>
        <w:gridCol w:w="6311"/>
      </w:tblGrid>
      <w:tr w:rsidR="005A5FCC" w14:paraId="778C1C3B"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05B857D0"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0C0D7565" w14:textId="77777777" w:rsidR="005A5FCC" w:rsidRDefault="00A21C81">
            <w:pPr>
              <w:spacing w:after="60" w:line="247" w:lineRule="auto"/>
            </w:pPr>
            <w:r>
              <w:rPr>
                <w:rFonts w:cs="EB Garamond"/>
                <w:b/>
                <w:kern w:val="16"/>
                <w:sz w:val="19"/>
                <w14:ligatures w14:val="standardContextual"/>
              </w:rPr>
              <w:t>No cotidiano dos JEFs — Passo a passo para interpor recurso ordinário ao CRPS</w:t>
            </w:r>
          </w:p>
          <w:p w14:paraId="7B5D6B52" w14:textId="77777777" w:rsidR="005A5FCC" w:rsidRDefault="00A21C81">
            <w:pPr>
              <w:spacing w:after="60" w:line="247" w:lineRule="auto"/>
            </w:pPr>
            <w:r>
              <w:rPr>
                <w:rFonts w:cs="EB Garamond"/>
                <w:kern w:val="16"/>
                <w:sz w:val="19"/>
                <w14:ligatures w14:val="standardContextual"/>
              </w:rPr>
              <w:t>A primeira providência é verificar o prazo: o recurso deve ser interposto em 30 dias da ciência da decisão, contados do acesso pelo Meu INSS, do recebimento da correspondência ou do comparecimento presencial. Se o prazo expirou, avalia-se se é caso de novo requerimento ou de ação judicial.</w:t>
            </w:r>
          </w:p>
          <w:p w14:paraId="49EB1B81" w14:textId="77777777" w:rsidR="005A5FCC" w:rsidRDefault="00A21C81">
            <w:pPr>
              <w:spacing w:after="60" w:line="247" w:lineRule="auto"/>
            </w:pPr>
            <w:r>
              <w:rPr>
                <w:rFonts w:cs="EB Garamond"/>
                <w:kern w:val="16"/>
                <w:sz w:val="19"/>
                <w14:ligatures w14:val="standardContextual"/>
              </w:rPr>
              <w:t>Reúne-se, em seguida, a documentação: além das razões recursais, convém juntar todos os documentos que reforcem o direito, pois documentos novos são aceitos e frequentemente decisivos — nos benefícios por incapacidade, laudos médicos detalhados e atualizados são essenciais.</w:t>
            </w:r>
          </w:p>
          <w:p w14:paraId="5B8B014C" w14:textId="77777777" w:rsidR="005A5FCC" w:rsidRDefault="00A21C81">
            <w:pPr>
              <w:spacing w:after="60" w:line="247" w:lineRule="auto"/>
            </w:pPr>
            <w:r>
              <w:rPr>
                <w:rFonts w:cs="EB Garamond"/>
                <w:kern w:val="16"/>
                <w:sz w:val="19"/>
                <w14:ligatures w14:val="standardContextual"/>
              </w:rPr>
              <w:t>O passo seguinte é redigir as razões do recurso, identificando com precisão o motivo do indeferimento (constante na carta de indeferimento ou no Meu INSS) e contrapondo-o com argumentação fática e jurídica. Cita-se a legislação aplicável e, quando pertinente, os enunciados do próprio CRPS que favoreçam a tese.</w:t>
            </w:r>
          </w:p>
          <w:p w14:paraId="7EBDADDA" w14:textId="77777777" w:rsidR="005A5FCC" w:rsidRDefault="00A21C81">
            <w:pPr>
              <w:spacing w:after="60" w:line="247" w:lineRule="auto"/>
            </w:pPr>
            <w:r>
              <w:rPr>
                <w:rFonts w:cs="EB Garamond"/>
                <w:kern w:val="16"/>
                <w:sz w:val="19"/>
                <w14:ligatures w14:val="standardContextual"/>
              </w:rPr>
              <w:t>Redigidas as razões, protocola-se o recurso pelo Meu INSS (opção "Recurso" na página do benefício) ou pela Central 135 — se necessário, com comparecimento à APS mediante agendamento prévio. No protocolo eletrônico, anexam-se os documentos digitalizados, certificando-se de que os arquivos estão legíveis e completos.</w:t>
            </w:r>
          </w:p>
          <w:p w14:paraId="4DC37DF4" w14:textId="77777777" w:rsidR="005A5FCC" w:rsidRDefault="00A21C81">
            <w:pPr>
              <w:spacing w:after="60" w:line="247" w:lineRule="auto"/>
            </w:pPr>
            <w:r>
              <w:rPr>
                <w:rFonts w:cs="EB Garamond"/>
                <w:kern w:val="16"/>
                <w:sz w:val="19"/>
                <w14:ligatures w14:val="standardContextual"/>
              </w:rPr>
              <w:t>Gerado o protocolo, guarda-se o número de identificação, indispensável ao acompanhamento, e monitora-se periodicamente a tramitação pelo Meu INSS ou pela Central 135, observado o prazo regulamentar máximo de julgamento de 365 dias fixado pela Portaria MPS n. 125/2026 (art. 77, § 5º), cujos tempos médios reais, na prática, costumam ser superiores.</w:t>
            </w:r>
          </w:p>
          <w:p w14:paraId="5FC3D9EC" w14:textId="77777777" w:rsidR="005A5FCC" w:rsidRDefault="00A21C81">
            <w:pPr>
              <w:spacing w:after="60" w:line="247" w:lineRule="auto"/>
            </w:pPr>
            <w:r>
              <w:rPr>
                <w:rFonts w:cs="EB Garamond"/>
                <w:kern w:val="16"/>
                <w:sz w:val="19"/>
                <w14:ligatures w14:val="standardContextual"/>
              </w:rPr>
              <w:t>Por fim, nos casos de urgência (segurado sem renda, doença grave, risco alimentar), avalia-se estratégia paralela: o ajuizamento simultâneo de ação no JEF com pedido de tutela de urgência, sem prejuízo do recurso administrativo em tramitação.</w:t>
            </w:r>
          </w:p>
        </w:tc>
      </w:tr>
    </w:tbl>
    <w:p w14:paraId="5523FA0B" w14:textId="77777777" w:rsidR="005A5FCC" w:rsidRDefault="005A5FCC">
      <w:pPr>
        <w:spacing w:after="80" w:line="240" w:lineRule="auto"/>
      </w:pPr>
    </w:p>
    <w:p w14:paraId="603C6684"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22.12 Recurso especial às câmaras de julgamento</w:t>
      </w:r>
    </w:p>
    <w:p w14:paraId="0835ACB9"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0E2FF5B9" w14:textId="56A1D719" w:rsidR="005A5FCC" w:rsidRDefault="00A21C81">
      <w:r>
        <w:rPr>
          <w:rFonts w:cs="EB Garamond"/>
          <w:kern w:val="16"/>
          <w14:ligatures w14:val="standardContextual"/>
        </w:rPr>
        <w:t xml:space="preserve"> recurso especial ao CRPS não se confunde com mero segundo grau de jurisdição administrativa. Seu cabimento é restrito e suas hipóteses taxativas, </w:t>
      </w:r>
      <w:r>
        <w:rPr>
          <w:rFonts w:cs="EB Garamond"/>
          <w:kern w:val="16"/>
          <w14:ligatures w14:val="standardContextual"/>
        </w:rPr>
        <w:lastRenderedPageBreak/>
        <w:t>o que o diferencia substancialmente do recurso ordinário. Enquanto o recurso ordinário permite ampla revisão da decisão do INSS (tanto em matéria de fato quanto de direito), o recurso especial às Câmaras de Julgamento destina-se exclusivamente à uniformização da interpretação administrativa.</w:t>
      </w:r>
    </w:p>
    <w:p w14:paraId="60F27CBE" w14:textId="77777777" w:rsidR="005A5FCC" w:rsidRDefault="00A21C81">
      <w:pPr>
        <w:ind w:firstLine="238"/>
      </w:pPr>
      <w:r>
        <w:rPr>
          <w:rFonts w:cs="EB Garamond"/>
          <w:kern w:val="16"/>
          <w14:ligatures w14:val="standardContextual"/>
        </w:rPr>
        <w:t>As hipóteses de cabimento do recurso especial, disciplinadas pelo art. 305, § 2º, do Decreto n. 3.048/99, com a regulamentação da Portaria MPS n. 125/2026, são: (a) divergência da decisão da Junta de Recursos com enunciado editado pelo Conselho Pleno do CRPS; (b) divergência com parecer aprovado pela Procuradoria Federal Especializada junto ao INSS; e (c) divergência com decisão proferida por outra Junta de Recursos em caso análogo. Não cabe recurso especial para reexame de matéria fática já apreciada pela Junta: a Câmara de Julgamento limita-se a verificar se houve divergência com as fontes normativas indicadas.</w:t>
      </w:r>
    </w:p>
    <w:p w14:paraId="51A86A40" w14:textId="77777777" w:rsidR="005A5FCC" w:rsidRDefault="00A21C81">
      <w:pPr>
        <w:ind w:firstLine="238"/>
      </w:pPr>
      <w:r>
        <w:rPr>
          <w:rFonts w:cs="EB Garamond"/>
          <w:kern w:val="16"/>
          <w14:ligatures w14:val="standardContextual"/>
        </w:rPr>
        <w:t>Essa restrição de cabimento exige do recorrente demonstração analítica da divergência: não basta alegar genericamente que a decisão é injusta ou contrária à lei. É necessário indicar especificamente o enunciado, o parecer ou a decisão divergente e demonstrar que a situação fática e jurídica é análoga. A falta dessa demonstração resulta em inadmissão do recurso, por ausência de pressuposto específico.</w:t>
      </w:r>
    </w:p>
    <w:p w14:paraId="4501024D" w14:textId="77777777" w:rsidR="005A5FCC" w:rsidRDefault="00A21C81">
      <w:pPr>
        <w:ind w:firstLine="238"/>
      </w:pPr>
      <w:r>
        <w:rPr>
          <w:rFonts w:cs="EB Garamond"/>
          <w:kern w:val="16"/>
          <w14:ligatures w14:val="standardContextual"/>
        </w:rPr>
        <w:t>O prazo para interposição é de 30 dias, contados da ciência da decisão da Junta de Recursos. A legitimidade é do segurado ou do INSS, este último por intermédio da Procuradoria Federal Especializada. O procedimento segue a mesma forma do recurso ordinário (Meu INSS, Central 135, APS ou correspondência), com a diferença de que o recurso é dirigido à Câmara de Julgamento competente, por intermédio da Junta que proferiu a decisão recorrida.</w:t>
      </w:r>
    </w:p>
    <w:p w14:paraId="52C210C6" w14:textId="77777777" w:rsidR="005A5FCC" w:rsidRDefault="00A21C81">
      <w:pPr>
        <w:ind w:firstLine="238"/>
      </w:pPr>
      <w:r>
        <w:rPr>
          <w:rFonts w:cs="EB Garamond"/>
          <w:kern w:val="16"/>
          <w14:ligatures w14:val="standardContextual"/>
        </w:rPr>
        <w:t>O juízo de admissibilidade do recurso especial é exercido pela própria Junta de Recursos, que verifica se estão presentes os pressupostos de cabimento (tempestividade, legitimidade e enquadramento em uma das hipóteses legais). Se a Junta inadmite o recurso, o recorrente pode agravar a decisão perante a Câmara de Julgamento, que exercerá juízo definitivo de admissibilidade. Se admitido, o recurso é processado e julgado pela Câmara, cujas sessões são realizadas em composição paritária.</w:t>
      </w:r>
    </w:p>
    <w:p w14:paraId="7A0A5CBC" w14:textId="77777777" w:rsidR="005A5FCC" w:rsidRDefault="00A21C81">
      <w:pPr>
        <w:ind w:firstLine="238"/>
      </w:pPr>
      <w:r>
        <w:rPr>
          <w:rFonts w:cs="EB Garamond"/>
          <w:kern w:val="16"/>
          <w14:ligatures w14:val="standardContextual"/>
        </w:rPr>
        <w:lastRenderedPageBreak/>
        <w:t>A decisão da Câmara de Julgamento é definitiva na esfera administrativa para o caso concreto. Não há recurso administrativo contra a decisão da Câmara, salvo a hipótese de embargos de declaração para suprir omissão, contradição ou obscuridade, instituto que a Portaria MPS n. 125/2026 incorporou ao rito do CRPS. A parte inconformada com a decisão da Câmara pode buscar o Poder Judiciário, mas deve considerar que a decisão administrativa definitiva, quando favorável ao segurado, vincula o INSS e constitui decisão de cumprimento obrigatório, cabendo à autarquia implantá-la em 60 dias, sob pena de reclamação administrativa pelo segurado e responsabilização funcional do servidor omisso.</w:t>
      </w:r>
    </w:p>
    <w:p w14:paraId="7A948C35" w14:textId="77777777" w:rsidR="005A5FCC" w:rsidRDefault="00A21C81">
      <w:pPr>
        <w:ind w:firstLine="238"/>
      </w:pPr>
      <w:r>
        <w:rPr>
          <w:rFonts w:cs="EB Garamond"/>
          <w:kern w:val="16"/>
          <w14:ligatures w14:val="standardContextual"/>
        </w:rPr>
        <w:t>Na perspectiva do JEF, a decisão do CRPS favorável ao segurado e não cumprida pelo INSS pode fundamentar ação de obrigação de fazer com pedido de tutela de urgência, cuja procedência é praticamente certa, vez que o próprio órgão recursal da Previdência reconheceu o direito. Já a decisão desfavorável do CRPS não vincula o Judiciário: o juiz examina a matéria de forma independente, podendo conceder o benefício negado nas duas instâncias administrativas. A coisa julgada administrativa, que se limita à preclusão do direito de recorrer na esfera administrativa, não impede o acesso ao Judiciário (art. 5º, XXXV, da CF), princípio reiteradamente reafirmado pela jurisprudência dos tribunais superiores.</w:t>
      </w:r>
    </w:p>
    <w:p w14:paraId="2FD3CD75" w14:textId="77777777" w:rsidR="005A5FCC" w:rsidRDefault="00A21C81">
      <w:pPr>
        <w:ind w:firstLine="238"/>
      </w:pPr>
      <w:r>
        <w:rPr>
          <w:rFonts w:cs="EB Garamond"/>
          <w:kern w:val="16"/>
          <w14:ligatures w14:val="standardContextual"/>
        </w:rPr>
        <w:t>Questão relevante diz respeito ao recurso especial interposto pelo INSS. A Procuradoria Federal Especializada pode recorrer de decisão da Junta que deu provimento ao recurso do segurado, buscando reformar o acórdão favorável ao beneficiário. Nessa hipótese, o segurado é intimado para apresentar contrarrazões e, enquanto pendente o recurso especial do INSS, a decisão favorável da Junta não produz efeitos, em razão do efeito suspensivo. Essa situação gera perplexidade prática: o segurado que obteve provimento na Junta pode ter que aguardar meses ou anos até o julgamento do recurso especial do INSS para ver seu benefício implantado. A alternativa, nesses casos, é buscar o Judiciário com base na decisão favorável da Junta, argumentando que a demora no julgamento do recurso especial configura situação de urgência.</w:t>
      </w:r>
    </w:p>
    <w:p w14:paraId="6B7DD340" w14:textId="77777777" w:rsidR="005A5FCC" w:rsidRDefault="00A21C81">
      <w:pPr>
        <w:ind w:firstLine="238"/>
      </w:pPr>
      <w:r>
        <w:rPr>
          <w:rFonts w:cs="EB Garamond"/>
          <w:kern w:val="16"/>
          <w14:ligatures w14:val="standardContextual"/>
        </w:rPr>
        <w:t xml:space="preserve">Outra hipótese que merece exame é a do recurso especial com pedido de uniformização. Quando a divergência se dá entre Juntas de diferentes regiões (uma concedendo e outra negando benefício em situações fáticas idênticas), o recurso especial exerce função análoga à do incidente de uniformização de jurisprudência </w:t>
      </w:r>
      <w:r>
        <w:rPr>
          <w:rFonts w:cs="EB Garamond"/>
          <w:kern w:val="16"/>
          <w14:ligatures w14:val="standardContextual"/>
        </w:rPr>
        <w:lastRenderedPageBreak/>
        <w:t>no âmbito judicial. A decisão da Câmara, nesses casos, fixa orientação que as Juntas devem observar em casos futuros, contribuindo para a coerência do sistema administrativo. Os enunciados do Conselho Pleno e as decisões paradigmáticas das Câmaras formam, em conjunto, um corpo de precedentes administrativos que o advogado atento pode utilizar como fundamento tanto no recurso ao CRPS quanto na ação judicial perante o JEF.</w:t>
      </w:r>
    </w:p>
    <w:p w14:paraId="551E1E9B" w14:textId="77777777" w:rsidR="005A5FCC" w:rsidRDefault="00A21C81">
      <w:pPr>
        <w:ind w:firstLine="238"/>
      </w:pPr>
      <w:r>
        <w:rPr>
          <w:rFonts w:cs="EB Garamond"/>
          <w:kern w:val="16"/>
          <w14:ligatures w14:val="standardContextual"/>
        </w:rPr>
        <w:t>Para o advogado, o recurso especial ao CRPS é ferramenta de utilidade limitada, dada a restrição de seu cabimento. Sua maior utilidade prática ocorre quando a Junta de Recursos indefere o recurso ordinário com base em interpretação que destoa de enunciado do próprio CRPS ou de parecer da Procuradoria Federal, situação em que o recurso especial tem alta probabilidade de provimento. Fora dessas hipóteses, a via judicial nos JEFs tende a ser mais eficaz, especialmente quando a questão envolve matéria fática (incapacidade, atividade especial, tempo de contribuição rural) que demanda instrução probatória mais ampla do que a disponível na esfera administrativa. O esgotamento da via administrativa não é requisito para o ajuizamento de ação nos JEFs: basta o prévio requerimento e a resistência do INSS (indeferimento expresso ou mora). Assim, o segurado não precisa percorrer todos os graus recursais do CRPS antes de buscar o Judiciário. Essa liberdade de escolha entre vias é garantia constitucional derivada do princípio da inafastabilidade da jurisdição (art. 5º, XXXV, da CF), expressamente reafirmada pelo STF no julgamento do Tema 350.</w:t>
      </w:r>
    </w:p>
    <w:p w14:paraId="7F8910EC"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22.13 Enunciados do CRPS e sua força normativa</w:t>
      </w:r>
    </w:p>
    <w:p w14:paraId="485B2E29"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6D06C19E" w14:textId="77777777" w:rsidR="005A5FCC" w:rsidRDefault="00A21C81">
      <w:r>
        <w:rPr>
          <w:rFonts w:cs="EB Garamond"/>
          <w:kern w:val="16"/>
          <w14:ligatures w14:val="standardContextual"/>
        </w:rPr>
        <w:t xml:space="preserve"> Conselho de Recursos da Previdência Social exerce, além de sua função judicante em grau recursal, uma relevante atribuição normativa: a edição de enunciados interpretativos que uniformizam a aplicação do Direito previdenciário no âmbito administrativo. Esses enunciados são aprovados pelo Conselho Pleno do CRPS, mediante deliberação por maioria qualificada dos conselheiros, e têm por objetivo harmonizar a jurisprudência administrativa, evitando decisões contraditórias entre as Juntas de Recursos e as Câmaras de Julgamento.</w:t>
      </w:r>
    </w:p>
    <w:p w14:paraId="373ECBBA" w14:textId="77777777" w:rsidR="005A5FCC" w:rsidRDefault="00A21C81">
      <w:pPr>
        <w:ind w:firstLine="238"/>
      </w:pPr>
      <w:r>
        <w:rPr>
          <w:rFonts w:cs="EB Garamond"/>
          <w:kern w:val="16"/>
          <w14:ligatures w14:val="standardContextual"/>
        </w:rPr>
        <w:lastRenderedPageBreak/>
        <w:t>A natureza jurídica desses enunciados é de orientação vinculante interna corporis. Significa dizer que as Juntas de Recursos e as Câmaras de Julgamento estão obrigadas a observá-los ao decidir os casos submetidos a sua apreciação. Não se trata de ato normativo com eficácia erga omnes, e tampouco de precedente vinculante na acepção do art. 927 do CPC. Sua força obrigatória limita-se ao âmbito do CRPS e, por extensão, orienta a atuação das Agências da Previdência Social na análise dos requerimentos. Para o Poder Judiciário, os enunciados do CRPS constituem elemento de persuasão, jamais de vinculação. O juiz federal que atua no JEF pode e deve conhecer os enunciados como subsídio interpretativo, mas sua decisão se fundamenta na Constituição, na lei e nos precedentes vinculantes do STF e do STJ.</w:t>
      </w:r>
    </w:p>
    <w:p w14:paraId="7F1A65D3" w14:textId="77777777" w:rsidR="005A5FCC" w:rsidRDefault="00A21C81">
      <w:pPr>
        <w:ind w:firstLine="238"/>
      </w:pPr>
      <w:r>
        <w:rPr>
          <w:rFonts w:cs="EB Garamond"/>
          <w:kern w:val="16"/>
          <w14:ligatures w14:val="standardContextual"/>
        </w:rPr>
        <w:t>O processo de edição dos enunciados segue rito próprio. A proposta pode partir de qualquer conselheiro, dos Presidentes das Juntas ou das Câmaras, ou do próprio Presidente do CRPS. Após instrução e debate, a matéria é submetida ao Conselho Pleno, que delibera em sessão específica. Uma vez aprovado, o enunciado é publicado no Diário Oficial da União e passa a integrar a base normativa do CRPS. A revisão ou cancelamento observa o mesmo procedimento.</w:t>
      </w:r>
    </w:p>
    <w:p w14:paraId="32C145E4" w14:textId="77777777" w:rsidR="005A5FCC" w:rsidRDefault="00A21C81">
      <w:pPr>
        <w:ind w:firstLine="238"/>
      </w:pPr>
      <w:r>
        <w:rPr>
          <w:rFonts w:cs="EB Garamond"/>
          <w:kern w:val="16"/>
          <w14:ligatures w14:val="standardContextual"/>
        </w:rPr>
        <w:t>Na prática forense, determinados enunciados do CRPS revestem-se de especial relevância para os JEFs. No campo do tempo rural, por exemplo, há enunciados que disciplinam a aceitação de início de prova material e a extensão da prova testemunhal. No tempo especial, orientações sobre enquadramento de atividades e agentes nocivos. No campo da incapacidade, diretrizes sobre a data de início da incapacidade e a fixação da data de cessação do benefício. O advogado previdenciarista atento incorpora esses enunciados a suas petições iniciais, seja como reforço argumentativo, seja para demonstrar que a própria Administração já reconhece determinada interpretação favorável ao segurado. De igual modo, a Procuradoria Federal utiliza os enunciados em contestações para sustentar a regularidade do ato administrativo impugnado.</w:t>
      </w:r>
    </w:p>
    <w:p w14:paraId="3BA30795" w14:textId="77777777" w:rsidR="005A5FCC" w:rsidRDefault="00A21C81">
      <w:pPr>
        <w:ind w:firstLine="238"/>
      </w:pPr>
      <w:r>
        <w:rPr>
          <w:rFonts w:cs="EB Garamond"/>
          <w:kern w:val="16"/>
          <w14:ligatures w14:val="standardContextual"/>
        </w:rPr>
        <w:t xml:space="preserve">O ponto de tensão surge quando um enunciado do CRPS conflita com precedente vinculante do STJ ou do STF. A defasagem é frequente: o tribunal superior fixa tese em recurso repetitivo ou em repercussão geral, mas o enunciado do CRPS permanece inalterado por meses ou até anos. Nessa hipótese, a prevalência </w:t>
      </w:r>
      <w:r>
        <w:rPr>
          <w:rFonts w:cs="EB Garamond"/>
          <w:kern w:val="16"/>
          <w14:ligatures w14:val="standardContextual"/>
        </w:rPr>
        <w:lastRenderedPageBreak/>
        <w:t>do precedente judicial é incontestável. O enunciado, embora formalmente vigente, torna-se materialmente inaplicável naquilo em que contraria a tese fixada pelo Poder Judiciário. O CRPS deveria, por dever de coerência institucional, promover a revisão do enunciado superado, mas nem sempre o faz com a celeridade necessária. Para o juiz do JEF, a situação é clara: aplica-se o precedente vinculante, independentemente do teor do enunciado administrativo.</w:t>
      </w:r>
    </w:p>
    <w:p w14:paraId="7866AB1A" w14:textId="77777777" w:rsidR="005A5FCC" w:rsidRDefault="00A21C81">
      <w:pPr>
        <w:ind w:firstLine="238"/>
      </w:pPr>
      <w:r>
        <w:rPr>
          <w:rFonts w:cs="EB Garamond"/>
          <w:kern w:val="16"/>
          <w14:ligatures w14:val="standardContextual"/>
        </w:rPr>
        <w:t>A questão assume relevância prática em situações concretas. Imagine-se enunciado do CRPS que restrinja o reconhecimento de tempo especial por exposição a determinado agente nocivo, quando o STJ já tenha fixado tese ampliativa em recurso repetitivo. O segurado que teve seu pedido de aposentadoria especial indeferido administrativamente com base nesse enunciado restritivo pode, na petição inicial, demonstrar o descompasso entre a orientação administrativa e o precedente vinculante. O juiz do JEF, ao analisar o caso, sequer precisa discutir o enunciado do CRPS: aplica diretamente a tese do STJ. Essa dinâmica revela a importância de o advogado previdenciarista manter-se atualizado tanto em relação aos enunciados do CRPS quanto à jurisprudência dos tribunais superiores, pois o confronto entre ambos é argumento poderoso na fundamentação da pretensão.</w:t>
      </w:r>
    </w:p>
    <w:tbl>
      <w:tblPr>
        <w:tblW w:w="5000" w:type="pct"/>
        <w:jc w:val="center"/>
        <w:tblLayout w:type="fixed"/>
        <w:tblLook w:val="04A0" w:firstRow="1" w:lastRow="0" w:firstColumn="1" w:lastColumn="0" w:noHBand="0" w:noVBand="1"/>
      </w:tblPr>
      <w:tblGrid>
        <w:gridCol w:w="6311"/>
      </w:tblGrid>
      <w:tr w:rsidR="005A5FCC" w14:paraId="22F582CE"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15BF0BB2"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5D3059E5" w14:textId="77777777" w:rsidR="005A5FCC" w:rsidRDefault="00A21C81">
            <w:pPr>
              <w:spacing w:after="60" w:line="247" w:lineRule="auto"/>
            </w:pPr>
            <w:r>
              <w:rPr>
                <w:rFonts w:cs="EB Garamond"/>
                <w:b/>
                <w:kern w:val="16"/>
                <w:sz w:val="19"/>
                <w14:ligatures w14:val="standardContextual"/>
              </w:rPr>
              <w:t>Em termos operacionais dos JEFs:</w:t>
            </w:r>
            <w:r>
              <w:rPr>
                <w:rFonts w:cs="EB Garamond"/>
                <w:kern w:val="16"/>
                <w:sz w:val="19"/>
                <w14:ligatures w14:val="standardContextual"/>
              </w:rPr>
              <w:t xml:space="preserve"> ao elaborar a petição inicial, o advogado deve verificar os enunciados do CRPS vigentes sobre a matéria discutida. Quando o enunciado for favorável ao segurado, convém citá-lo expressamente como argumento de reforço, demonstrando que a própria Administração Previdenciária reconhece aquela interpretação. Quando o enunciado for contrário, mas existir precedente vinculante do STJ ou STF em sentido diverso, a petição deve apontar a superação do enunciado pelo precedente judicial.</w:t>
            </w:r>
          </w:p>
        </w:tc>
      </w:tr>
    </w:tbl>
    <w:p w14:paraId="3FA7DFCB" w14:textId="77777777" w:rsidR="005A5FCC" w:rsidRDefault="005A5FCC">
      <w:pPr>
        <w:spacing w:after="80" w:line="240" w:lineRule="auto"/>
      </w:pPr>
    </w:p>
    <w:p w14:paraId="2641491D"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22.14 Esgotamento da via administrativa vs. Mero requerimento</w:t>
      </w:r>
    </w:p>
    <w:p w14:paraId="319E9343"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2B842DE2" w14:textId="77777777" w:rsidR="005A5FCC" w:rsidRDefault="00A21C81">
      <w:r>
        <w:rPr>
          <w:rFonts w:cs="EB Garamond"/>
          <w:kern w:val="16"/>
          <w14:ligatures w14:val="standardContextual"/>
        </w:rPr>
        <w:t xml:space="preserve"> distinção entre prévio requerimento administrativo e esgotamento da via administrativa, examinada por Savaris (2023) e Castro e Lazzari (2025), constitui um dos temas mais recorrentes na prática dos Juizados Especiais Federais previdenciários. O Tema 350/STF (RE 631.240, Plenário, j. 03/09/2014, Rel. Min. Luís Roberto Barroso) pacificou a controvérsia: o prévio requerimento administrativo é, em regra, condição para o ajuizamento de ação previdenciária de concessão de benefício. O esgotamento das instâncias administrativas, contudo, não o é. São conceitos distintos, com consequências processuais igualmente diversas.</w:t>
      </w:r>
    </w:p>
    <w:p w14:paraId="08E107F4" w14:textId="77777777" w:rsidR="005A5FCC" w:rsidRDefault="00A21C81">
      <w:pPr>
        <w:ind w:firstLine="238"/>
      </w:pPr>
      <w:r>
        <w:rPr>
          <w:rFonts w:cs="EB Garamond"/>
          <w:kern w:val="16"/>
          <w14:ligatures w14:val="standardContextual"/>
        </w:rPr>
        <w:t>O segurado que tem seu benefício indeferido pelo INSS pode ajuizar a ação judicial imediatamente, sem que precise interpor recurso ao CRPS. O indeferimento administrativo já configura a lesão ao direito subjetivo, e a Constituição garante o acesso ao Poder Judiciário sem que se exija do cidadão o percurso integral da via administrativa (art. 5º, XXXV, CF/1988). Exigir o esgotamento significaria impor ao segurado uma condição não prevista em lei e incompatível com o princípio da inafastabilidade da jurisdição.</w:t>
      </w:r>
    </w:p>
    <w:p w14:paraId="3BFACEBE" w14:textId="77777777" w:rsidR="005A5FCC" w:rsidRDefault="00A21C81">
      <w:pPr>
        <w:ind w:firstLine="238"/>
      </w:pPr>
      <w:r>
        <w:rPr>
          <w:rFonts w:cs="EB Garamond"/>
          <w:kern w:val="16"/>
          <w14:ligatures w14:val="standardContextual"/>
        </w:rPr>
        <w:t>As exceções são relevantes. Nas ações de revisão, restabelecimento ou manutenção de benefício, sequer o prévio requerimento é exigido, conforme a parte final da tese do Tema 350. Nessas hipóteses, a resistência administrativa já se presume, seja pela existência de ato concreto lesivo (cessação, cancelamento, cálculo incorreto), seja pela notória posição do INSS contrária à pretensão do segurado. A mesma lógica se aplica quando o INSS adota posição reiteradamente contrária à tese do segurado em casos análogos, situação que dispensa inclusive o requerimento de concessão.</w:t>
      </w:r>
    </w:p>
    <w:p w14:paraId="1FDA2438" w14:textId="77777777" w:rsidR="005A5FCC" w:rsidRDefault="00A21C81">
      <w:pPr>
        <w:ind w:firstLine="238"/>
      </w:pPr>
      <w:r>
        <w:rPr>
          <w:rFonts w:cs="EB Garamond"/>
          <w:kern w:val="16"/>
          <w14:ligatures w14:val="standardContextual"/>
        </w:rPr>
        <w:t xml:space="preserve">O recurso ao CRPS, embora não exigido, permanece como opção estratégica legítima. Adotamos a visão de que o advogado previdenciarista deve analisar, caso a caso, as vantagens e desvantagens de cada via. Do lado das vantagens do recurso administrativo: ausência de custas processuais, efeito suspensivo do recurso ordinário (que mantém eventual benefício durante a tramitação), possibilidade de </w:t>
      </w:r>
      <w:r>
        <w:rPr>
          <w:rFonts w:cs="EB Garamond"/>
          <w:kern w:val="16"/>
          <w14:ligatures w14:val="standardContextual"/>
        </w:rPr>
        <w:lastRenderedPageBreak/>
        <w:t>apresentação de prova complementar e, em determinadas matérias documentais, razoável probabilidade de êxito. Do lado das desvantagens: a demora na tramitação, que pode se estender por meses ou anos; a tendência de decisões desfavoráveis nas matérias de incapacidade laboral (em que a perícia do INSS não é substituída por perícia independente); e a ausência de paridade de armas, já que o segurado não dispõe, na via administrativa, das garantias processuais da jurisdição.</w:t>
      </w:r>
    </w:p>
    <w:p w14:paraId="0EAC3FFB" w14:textId="77777777" w:rsidR="005A5FCC" w:rsidRDefault="00A21C81">
      <w:pPr>
        <w:ind w:firstLine="238"/>
      </w:pPr>
      <w:r>
        <w:rPr>
          <w:rFonts w:cs="EB Garamond"/>
          <w:kern w:val="16"/>
          <w14:ligatures w14:val="standardContextual"/>
        </w:rPr>
        <w:t>Aspecto processual relevante diz respeito à suspensão da prescrição durante a pendência do recurso administrativo. Enquanto tramita o recurso no CRPS, o prazo prescricional para ajuizamento da ação judicial permanece suspenso, retomando seu curso apenas com a ciência da decisão definitiva. O segurado que opta pelo recurso administrativo não é prejudicado pelo tempo de tramitação: as parcelas vencidas durante o período de pendência recursal permanecem protegidas da prescrição quinquenal. O tema é tratado com maior profundidade no Capítulo 21, seção 21.12.3, ao qual remetemos o leitor. A interface com a judicialização é examinada na seção 23.8 do Capítulo 23.</w:t>
      </w:r>
    </w:p>
    <w:p w14:paraId="011F262D" w14:textId="77777777" w:rsidR="005A5FCC" w:rsidRDefault="00A21C81">
      <w:pPr>
        <w:ind w:firstLine="238"/>
      </w:pPr>
      <w:r>
        <w:rPr>
          <w:rFonts w:cs="EB Garamond"/>
          <w:kern w:val="16"/>
          <w14:ligatures w14:val="standardContextual"/>
        </w:rPr>
        <w:t>A decisão entre recorrer administrativamente e judicializar de imediato depende de variáveis concretas que examinaremos na seção 22.20. A regra processual, contudo, é inequívoca: o esgotamento da via administrativa não é e nunca foi condição de procedibilidade da ação previdenciária. Trataremos dos desdobramentos do Tema 350 na seção 22.22, ao abordar o prévio requerimento em suas múltiplas dimensões.</w:t>
      </w:r>
    </w:p>
    <w:tbl>
      <w:tblPr>
        <w:tblW w:w="5000" w:type="pct"/>
        <w:jc w:val="center"/>
        <w:tblLayout w:type="fixed"/>
        <w:tblLook w:val="04A0" w:firstRow="1" w:lastRow="0" w:firstColumn="1" w:lastColumn="0" w:noHBand="0" w:noVBand="1"/>
      </w:tblPr>
      <w:tblGrid>
        <w:gridCol w:w="6311"/>
      </w:tblGrid>
      <w:tr w:rsidR="005A5FCC" w14:paraId="6AC7ECE7"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23084359"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0F0C6D40" w14:textId="77777777" w:rsidR="005A5FCC" w:rsidRDefault="00A21C81">
            <w:pPr>
              <w:spacing w:after="60" w:line="247" w:lineRule="auto"/>
            </w:pPr>
            <w:r>
              <w:rPr>
                <w:rFonts w:cs="EB Garamond"/>
                <w:b/>
                <w:kern w:val="16"/>
                <w:sz w:val="19"/>
                <w14:ligatures w14:val="standardContextual"/>
              </w:rPr>
              <w:t>O esgotamento da via administrativa não é exigido para judicializar.</w:t>
            </w:r>
            <w:r>
              <w:rPr>
                <w:rFonts w:cs="EB Garamond"/>
                <w:kern w:val="16"/>
                <w:sz w:val="19"/>
                <w14:ligatures w14:val="standardContextual"/>
              </w:rPr>
              <w:t xml:space="preserve"> O segurado que tem seu benefício indeferido pelo INSS pode ajuizar ação judicial de imediato, sem necessidade de interpor recurso ao CRPS. A exigência limita-se ao prévio requerimento administrativo, conforme o Tema 350/STF. Nas ações de revisão, restabelecimento ou manutenção, sequer o requerimento prévio é necessário.</w:t>
            </w:r>
          </w:p>
        </w:tc>
      </w:tr>
    </w:tbl>
    <w:p w14:paraId="12D84867" w14:textId="77777777" w:rsidR="005A5FCC" w:rsidRDefault="005A5FCC">
      <w:pPr>
        <w:spacing w:after="80" w:line="240" w:lineRule="auto"/>
      </w:pPr>
    </w:p>
    <w:p w14:paraId="0E5E57A3"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22.15 Revisão administrativa pelo INSS: autotutela e limites</w:t>
      </w:r>
    </w:p>
    <w:p w14:paraId="5454AEE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4FC5BD16" w14:textId="77777777" w:rsidR="005A5FCC" w:rsidRDefault="00A21C81">
      <w:r>
        <w:rPr>
          <w:rFonts w:cs="EB Garamond"/>
          <w:kern w:val="16"/>
          <w14:ligatures w14:val="standardContextual"/>
        </w:rPr>
        <w:t xml:space="preserve"> poder de autotutela da Administração Pública, consagrado nas Súmulas 346 e 473 do STF, autoriza o INSS a rever seus próprios atos administrativos quando eivados de ilegalidade ou quando inconvenientes ao interesse público. Em matéria previdenciária, essa prerrogativa encontra disciplina específica no art. 103-A da Lei 8.213/1991, que fixa o prazo decadencial de dez anos para que a Administração anule atos administrativos de que decorram efeitos favoráveis aos beneficiários. A norma foi introduzida pela Lei 10.839/2004 e representa um equilíbrio entre o poder de autotutela e a segurança jurídica dos administrados.</w:t>
      </w:r>
    </w:p>
    <w:p w14:paraId="6FF3DC8A" w14:textId="77777777" w:rsidR="005A5FCC" w:rsidRDefault="00A21C81">
      <w:pPr>
        <w:ind w:firstLine="238"/>
      </w:pPr>
      <w:r>
        <w:rPr>
          <w:rFonts w:cs="EB Garamond"/>
          <w:kern w:val="16"/>
          <w14:ligatures w14:val="standardContextual"/>
        </w:rPr>
        <w:t>Sustentamos a necessidade de distinguir com clareza duas situações que a prática forense frequentemente confunde. A primeira é a decadência do direito do segurado de pedir a revisão do seu benefício, prevista no art. 103 da Lei 8.213/1991: dez anos a contar do primeiro dia do mês seguinte ao do recebimento da primeira prestação. A segunda é a decadência do direito da Administração de anular seus próprios atos (art. 103-A): dez anos contados da data em que foram praticados, salvo comprovada má-fé. Os prazos, embora idênticos em extensão, têm natureza, termos iniciais e sujeitos diversos. A confusão entre ambos gera equívocos sérios na análise dos casos concretos, especialmente nos JEFs. Remetemos o leitor à seção 21.7 do Capítulo 21, em que a matéria é examinada sob a perspectiva processual.</w:t>
      </w:r>
    </w:p>
    <w:p w14:paraId="79609B62" w14:textId="77777777" w:rsidR="005A5FCC" w:rsidRDefault="00A21C81">
      <w:pPr>
        <w:ind w:firstLine="238"/>
      </w:pPr>
      <w:r>
        <w:rPr>
          <w:rFonts w:cs="EB Garamond"/>
          <w:kern w:val="16"/>
          <w14:ligatures w14:val="standardContextual"/>
        </w:rPr>
        <w:t>O STJ, em sede de recurso repetitivo (REsp 1.114.938/AL — Tema 214/STJ, Rel. Min. Napoleão Nunes Maia Filho, 1ª Seção, j. 14/04/2010), fixou parâmetros para o exercício da autotutela pelo INSS. A revisão administrativa deve observar o contraditório e a ampla defesa, mediante instauração de processo administrativo regular, em que o beneficiário é notificado e tem prazo de trinta dias para apresentar defesa. O INSS não pode simplesmente cessar o benefício e comunicar o fato ao segurado; o procedimento exige notificação prévia, oportuni</w:t>
      </w:r>
      <w:r>
        <w:rPr>
          <w:rFonts w:cs="EB Garamond"/>
          <w:kern w:val="16"/>
          <w14:ligatures w14:val="standardContextual"/>
        </w:rPr>
        <w:lastRenderedPageBreak/>
        <w:t>dade de manifestação e decisão administrativa motivada. A exceção reside nos casos de comprovada má-fé na obtenção do benefício, hipótese em que não se aplica o prazo decadencial de dez anos.</w:t>
      </w:r>
    </w:p>
    <w:p w14:paraId="0A35E52F" w14:textId="77777777" w:rsidR="005A5FCC" w:rsidRDefault="00A21C81">
      <w:pPr>
        <w:ind w:firstLine="238"/>
      </w:pPr>
      <w:r>
        <w:rPr>
          <w:rFonts w:cs="EB Garamond"/>
          <w:kern w:val="16"/>
          <w14:ligatures w14:val="standardContextual"/>
        </w:rPr>
        <w:t>O procedimento de revisão administrativa segue sequência definida. A Agência da Previdência Social identifica indício de irregularidade na concessão do benefício e instaura processo administrativo. O beneficiário é notificado pessoalmente, com descrição clara das irregularidades apontadas, e recebe prazo de trinta dias para defesa escrita, com possibilidade de apresentar documentos e requerer a produção de provas. Após a instrução, a autoridade administrativa profere decisão motivada. Do ato que determinar a cessação ou cancelamento, cabe recurso ao CRPS, com efeito suspensivo na forma regulamentar.</w:t>
      </w:r>
    </w:p>
    <w:p w14:paraId="50A5E2D0" w14:textId="77777777" w:rsidR="005A5FCC" w:rsidRDefault="00A21C81">
      <w:pPr>
        <w:ind w:firstLine="238"/>
      </w:pPr>
      <w:r>
        <w:rPr>
          <w:rFonts w:cs="EB Garamond"/>
          <w:kern w:val="16"/>
          <w14:ligatures w14:val="standardContextual"/>
        </w:rPr>
        <w:t>Os limites da autotutela são igualmente claros. O primeiro é temporal: transcorridos dez anos da prática do ato, a Administração decai do direito de anulá-lo, salvo má-fé. O segundo é procedimental: o contraditório é inafastável, e a cessação do benefício antes da conclusão do processo administrativo é medida ilegal, atacável por mandado de segurança ou tutela de urgência no JEF. O terceiro é material: a revisão deve apoiar-se em fundamento concreto de ilegalidade, não bastando mera reavaliação de conveniência ou divergência interpretativa quanto a critérios de concessão.</w:t>
      </w:r>
    </w:p>
    <w:p w14:paraId="06FB1BE2" w14:textId="77777777" w:rsidR="005A5FCC" w:rsidRDefault="00A21C81">
      <w:pPr>
        <w:ind w:firstLine="238"/>
      </w:pPr>
      <w:r>
        <w:rPr>
          <w:rFonts w:cs="EB Garamond"/>
          <w:kern w:val="16"/>
          <w14:ligatures w14:val="standardContextual"/>
        </w:rPr>
        <w:t>A configuração da má-fé, que afasta a proteção decadencial, exige prova robusta a cargo do INSS. Não se presume a má-fé do beneficiário; ao contrário, a presunção milita em favor de sua boa-fé. A apresentação de documento falso, a omissão dolosa de informação relevante ou a fraude comprovada na obtenção do benefício são hipóteses que autorizam a revisão a qualquer tempo. Fora dessas situações, o prazo de dez anos é peremptório e não admite exceção. Na prática dos JEFs, verificamos com frequência que o INSS invoca a má-fé genericamente, sem demonstrá-la com provas concretas; nessas hipóteses, o beneficiário deve ser protegido pela decadência.</w:t>
      </w:r>
    </w:p>
    <w:tbl>
      <w:tblPr>
        <w:tblW w:w="5000" w:type="pct"/>
        <w:jc w:val="center"/>
        <w:tblLayout w:type="fixed"/>
        <w:tblLook w:val="04A0" w:firstRow="1" w:lastRow="0" w:firstColumn="1" w:lastColumn="0" w:noHBand="0" w:noVBand="1"/>
      </w:tblPr>
      <w:tblGrid>
        <w:gridCol w:w="6311"/>
      </w:tblGrid>
      <w:tr w:rsidR="005A5FCC" w14:paraId="6DD3D871"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6A696A2A" w14:textId="77777777" w:rsidR="005A5FCC" w:rsidRDefault="00A21C81">
            <w:pPr>
              <w:spacing w:after="60" w:line="240" w:lineRule="auto"/>
              <w:jc w:val="left"/>
            </w:pPr>
            <w:r>
              <w:rPr>
                <w:rFonts w:ascii="Noto Sans" w:hAnsi="Noto Sans" w:cs="Noto Sans"/>
                <w:b/>
                <w:caps/>
                <w:color w:val="4D6F8A"/>
                <w:kern w:val="16"/>
                <w:sz w:val="16"/>
                <w14:ligatures w14:val="standardContextual"/>
              </w:rPr>
              <w:lastRenderedPageBreak/>
              <w:t>JURISPRUDÊNCIA EM DESTAQUE</w:t>
            </w:r>
          </w:p>
          <w:p w14:paraId="691ACEE2" w14:textId="77777777" w:rsidR="005A5FCC" w:rsidRDefault="00A21C81">
            <w:pPr>
              <w:spacing w:after="60" w:line="247" w:lineRule="auto"/>
            </w:pPr>
            <w:r>
              <w:rPr>
                <w:rFonts w:cs="EB Garamond"/>
                <w:b/>
                <w:kern w:val="16"/>
                <w:sz w:val="19"/>
                <w14:ligatures w14:val="standardContextual"/>
              </w:rPr>
              <w:t>Art. 103-A da Lei 8.213/1991:</w:t>
            </w:r>
            <w:r>
              <w:rPr>
                <w:rFonts w:cs="EB Garamond"/>
                <w:kern w:val="16"/>
                <w:sz w:val="19"/>
                <w14:ligatures w14:val="standardContextual"/>
              </w:rPr>
              <w:t xml:space="preserve"> "O direito da Previdência Social de anular os atos administrativos de que decorram efeitos favoráveis para os seus beneficiários decai em dez anos, contados da data em que foram praticados, salvo comprovada má-fé."</w:t>
            </w:r>
          </w:p>
          <w:p w14:paraId="447F9715" w14:textId="77777777" w:rsidR="005A5FCC" w:rsidRDefault="00A21C81">
            <w:pPr>
              <w:spacing w:after="60" w:line="247" w:lineRule="auto"/>
            </w:pPr>
            <w:r>
              <w:rPr>
                <w:rFonts w:cs="EB Garamond"/>
                <w:b/>
                <w:kern w:val="16"/>
                <w:sz w:val="19"/>
                <w14:ligatures w14:val="standardContextual"/>
              </w:rPr>
              <w:t>REsp 1.114.938/AL — Tema 214/STJ (Rel. Min. Napoleão Nunes Maia Filho, 1ª Seção, j. 14/04/2010):</w:t>
            </w:r>
            <w:r>
              <w:rPr>
                <w:rFonts w:cs="EB Garamond"/>
                <w:kern w:val="16"/>
                <w:sz w:val="19"/>
                <w14:ligatures w14:val="standardContextual"/>
              </w:rPr>
              <w:t xml:space="preserve"> a revisão administrativa de benefício previdenciário pelo INSS exige a observância do contraditório e da ampla defesa, mediante instauração de processo administrativo prévio, respeitado o prazo decadencial de dez anos, salvo comprovada má-fé do beneficiário.</w:t>
            </w:r>
          </w:p>
        </w:tc>
      </w:tr>
    </w:tbl>
    <w:p w14:paraId="732362C1" w14:textId="77777777" w:rsidR="005A5FCC" w:rsidRDefault="005A5FCC">
      <w:pPr>
        <w:spacing w:after="80" w:line="240" w:lineRule="auto"/>
      </w:pPr>
    </w:p>
    <w:p w14:paraId="2F90821F"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22.16 Cessação administrativa de benefícios: procedimento e garantias</w:t>
      </w:r>
    </w:p>
    <w:p w14:paraId="55DCAA6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0D828578" w14:textId="1B8DC410" w:rsidR="005A5FCC" w:rsidRDefault="00A21C81">
      <w:r>
        <w:rPr>
          <w:rFonts w:cs="EB Garamond"/>
          <w:kern w:val="16"/>
          <w14:ligatures w14:val="standardContextual"/>
        </w:rPr>
        <w:t xml:space="preserve"> cessação administrativa de benefícios previdenciários constitui um dos atos que mais intensamente afetam a vida do segurado, pois interrompe a prestação pecuniária que, em muitos casos, constitui sua única fonte de subsistência. As hipóteses de cessação são variadas: término da data de cessação do benefício fixada pela perícia (DCB/COPES), recuperação da capacidade laborativa constatada em reavaliação pericial, constatação de fraude ou irregularidade na concessão, não comparecimento à convocação para exame pericial de reavaliação. Cada hipótese demanda procedimento próprio, mas todas compartilham um denominador comum: a observância do contraditório prévio.</w:t>
      </w:r>
    </w:p>
    <w:p w14:paraId="634701B7" w14:textId="77777777" w:rsidR="005A5FCC" w:rsidRDefault="00A21C81">
      <w:pPr>
        <w:ind w:firstLine="238"/>
      </w:pPr>
      <w:r>
        <w:rPr>
          <w:rFonts w:cs="EB Garamond"/>
          <w:kern w:val="16"/>
          <w14:ligatures w14:val="standardContextual"/>
        </w:rPr>
        <w:t>A cessação programada ocorre quando a perícia médica fixa, no momento da concessão ou em exame de prorrogação, uma data de cessação do benefício (DCB) vinculada ao prognóstico de recuperação da capacidade laborativa. O Programa COPES (Cobertura Previdenciária Estimada) atribui datas de cessação com base em parâmetros estatísticos, e sua aplicação gera controvérsia frequente nos JEFs, especialmente quando o segurado permanece incapacitado além da data programada. Nessas situações, cabe ao segurado requerer prorrogação ou novo benefício, conforme tratamos nos capítulos anteriores.</w:t>
      </w:r>
    </w:p>
    <w:p w14:paraId="3619C15E" w14:textId="77777777" w:rsidR="005A5FCC" w:rsidRDefault="00A21C81">
      <w:pPr>
        <w:ind w:firstLine="238"/>
      </w:pPr>
      <w:r>
        <w:rPr>
          <w:rFonts w:cs="EB Garamond"/>
          <w:kern w:val="16"/>
          <w14:ligatures w14:val="standardContextual"/>
        </w:rPr>
        <w:lastRenderedPageBreak/>
        <w:t>A cessação por recuperação da capacidade laboral decorre de reavaliação pericial convocada pelo INSS. O perito médico federal examina o segurado e conclui pela cessação da incapacidade. Aqui reside a principal zona de conflito: a cessação deve ser precedida de comunicação ao segurado, com fundamentação técnica adequada, e o beneficiário tem direito a interpor recurso ao CRPS com efeito suspensivo. Sem essa garantia, a cessação é prematura e ilegal.</w:t>
      </w:r>
    </w:p>
    <w:p w14:paraId="151BFE9B" w14:textId="77777777" w:rsidR="005A5FCC" w:rsidRDefault="00A21C81">
      <w:pPr>
        <w:ind w:firstLine="238"/>
      </w:pPr>
      <w:r>
        <w:rPr>
          <w:rFonts w:cs="EB Garamond"/>
          <w:kern w:val="16"/>
          <w14:ligatures w14:val="standardContextual"/>
        </w:rPr>
        <w:t>A problemática do chamado "pente-fino" assume dimensão particular. O INSS convoca segurados para reavaliação pericial, frequentemente por carta simples, e a não apresentação no dia e horário agendados pode ensejar a cessação do benefício. As Turmas Recursais e os TRFs — em especial TRF1, TRF3 e TRF4 — consolidaram entendimento no sentido de que a convocação por carta simples, sem aviso de recebimento, não é suficiente para comprovar a ciência do segurado, especialmente quando se trata de beneficiário em situação de vulnerabilidade social ou residente em área rural. A cessação fundada em não comparecimento sem comprovação efetiva de notificação é nula.</w:t>
      </w:r>
    </w:p>
    <w:p w14:paraId="6E033069" w14:textId="77777777" w:rsidR="005A5FCC" w:rsidRDefault="00A21C81">
      <w:pPr>
        <w:ind w:firstLine="238"/>
      </w:pPr>
      <w:r>
        <w:rPr>
          <w:rFonts w:cs="EB Garamond"/>
          <w:kern w:val="16"/>
          <w14:ligatures w14:val="standardContextual"/>
        </w:rPr>
        <w:t>As garantias processuais na cessação administrativa podem ser assim sintetizadas: (i) notificação pessoal e efetiva do segurado, com indicação clara do motivo e das consequências da cessação; (ii) oportunidade de defesa antes da efetivação do ato; (iii) decisão motivada, com fundamentação técnica no caso de incapacidade; (iv) manutenção do pagamento do benefício durante a tramitação de recurso administrativo com efeito suspensivo; (v) possibilidade de impugnação judicial imediata. A cessação de benefício pendente recurso administrativo com efeito suspensivo é ilegal e configura violação ao devido processo legal administrativo.</w:t>
      </w:r>
    </w:p>
    <w:p w14:paraId="0B651D84" w14:textId="77777777" w:rsidR="005A5FCC" w:rsidRDefault="00A21C81">
      <w:pPr>
        <w:ind w:firstLine="238"/>
      </w:pPr>
      <w:r>
        <w:rPr>
          <w:rFonts w:cs="EB Garamond"/>
          <w:kern w:val="16"/>
          <w14:ligatures w14:val="standardContextual"/>
        </w:rPr>
        <w:t>O direito à manutenção do pagamento até decisão definitiva, quando pendente recurso com efeito suspensivo, decorre diretamente do sistema recursal do CRPS. Se o recurso ordinário tem efeito suspensivo, a cessação não pode ser implementada até o julgamento. A prática administrativa do INSS de cessar o pagamento antes da conclusão do recurso é recorrente e sistematicamente rechaçada pelo Poder Judiciário.</w:t>
      </w:r>
    </w:p>
    <w:p w14:paraId="4129FDB0" w14:textId="77777777" w:rsidR="005A5FCC" w:rsidRDefault="00A21C81">
      <w:pPr>
        <w:ind w:firstLine="238"/>
      </w:pPr>
      <w:r>
        <w:rPr>
          <w:rFonts w:cs="EB Garamond"/>
          <w:kern w:val="16"/>
          <w14:ligatures w14:val="standardContextual"/>
        </w:rPr>
        <w:t>Na experiência concreta dos JEFs, o cenário mais frequente envolve o segurado que recebe auxílio por incapacidade temporária, é convocado para reavaliação pe</w:t>
      </w:r>
      <w:r>
        <w:rPr>
          <w:rFonts w:cs="EB Garamond"/>
          <w:kern w:val="16"/>
          <w14:ligatures w14:val="standardContextual"/>
        </w:rPr>
        <w:lastRenderedPageBreak/>
        <w:t>ricial, e tem o benefício cessado sem comunicação prévia adequada ou sem oportunidade efetiva de contestar a conclusão pericial. O segurado comparece ao Juizado, frequentemente sem advogado, portando apenas a carta de cessação e laudos médicos particulares que atestam a persistência da incapacidade. Nessas circunstâncias, o juiz do JEF deve avaliar, em sede de tutela de urgência, a regularidade formal da cessação (notificação, contraditório, fundamentação) antes mesmo de ingressar no mérito da incapacidade. A irregularidade procedimental, por si só, autoriza o restabelecimento provisório do benefício.</w:t>
      </w:r>
    </w:p>
    <w:tbl>
      <w:tblPr>
        <w:tblW w:w="5000" w:type="pct"/>
        <w:jc w:val="center"/>
        <w:tblLayout w:type="fixed"/>
        <w:tblLook w:val="04A0" w:firstRow="1" w:lastRow="0" w:firstColumn="1" w:lastColumn="0" w:noHBand="0" w:noVBand="1"/>
      </w:tblPr>
      <w:tblGrid>
        <w:gridCol w:w="6311"/>
      </w:tblGrid>
      <w:tr w:rsidR="005A5FCC" w14:paraId="154B0F81"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02F60D47"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34680315" w14:textId="77777777" w:rsidR="005A5FCC" w:rsidRDefault="00A21C81">
            <w:pPr>
              <w:spacing w:after="60" w:line="247" w:lineRule="auto"/>
            </w:pPr>
            <w:r>
              <w:rPr>
                <w:rFonts w:cs="EB Garamond"/>
                <w:b/>
                <w:kern w:val="16"/>
                <w:sz w:val="19"/>
                <w14:ligatures w14:val="standardContextual"/>
              </w:rPr>
              <w:t>Cessação de benefício exige contraditório prévio.</w:t>
            </w:r>
            <w:r>
              <w:rPr>
                <w:rFonts w:cs="EB Garamond"/>
                <w:kern w:val="16"/>
                <w:sz w:val="19"/>
                <w14:ligatures w14:val="standardContextual"/>
              </w:rPr>
              <w:t xml:space="preserve"> O INSS não pode cessar benefício previdenciário sem notificação pessoal efetiva do segurado, oportunidade de defesa e decisão fundamentada. A cessação sem observância dessas garantias é nula e pode ser revertida por mandado de segurança ou tutela de urgência no JEF.</w:t>
            </w:r>
          </w:p>
        </w:tc>
      </w:tr>
    </w:tbl>
    <w:p w14:paraId="7B9E8E4B" w14:textId="77777777" w:rsidR="005A5FCC" w:rsidRDefault="005A5FCC">
      <w:pPr>
        <w:spacing w:after="80" w:line="240" w:lineRule="auto"/>
      </w:pPr>
    </w:p>
    <w:p w14:paraId="0CC5C990"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22.17 Tema 1.157/STJ: cancelamento administrativo de benefício concedido judicialmente</w:t>
      </w:r>
    </w:p>
    <w:p w14:paraId="1AD24599"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0FC4BF79" w14:textId="77777777" w:rsidR="005A5FCC" w:rsidRDefault="00A21C81">
      <w:r>
        <w:rPr>
          <w:rFonts w:cs="EB Garamond"/>
          <w:kern w:val="16"/>
          <w14:ligatures w14:val="standardContextual"/>
        </w:rPr>
        <w:t xml:space="preserve"> 1ª Seção do Superior Tribunal de Justiça, em julgamento realizado em 07/05/2026, fixou tese em sede de recurso repetitivo no Tema 1.157, enfrentando questão de elevada repercussão prática, já antecipada por Savaris (2023): pode o INSS cancelar administrativamente, mediante nova avaliação pericial, benefício por incapacidade concedido por decisão judicial transitada em julgado? A resposta, aprovada por unanimidade, foi afirmativa, desde que observados pressupostos específicos.</w:t>
      </w:r>
    </w:p>
    <w:p w14:paraId="09F243FA" w14:textId="77777777" w:rsidR="005A5FCC" w:rsidRDefault="00A21C81">
      <w:pPr>
        <w:ind w:firstLine="238"/>
      </w:pPr>
      <w:r>
        <w:rPr>
          <w:rFonts w:cs="EB Garamond"/>
          <w:kern w:val="16"/>
          <w14:ligatures w14:val="standardContextual"/>
        </w:rPr>
        <w:t xml:space="preserve">A tese fixada estabelece que o INSS pode revisar administrativamente benefício por incapacidade concedido judicialmente, mediante nova avaliação pericial que constate a recuperação da capacidade laborativa, observado o devido processo legal. O fundamento central reside na natureza do benefício por incapacidade, que opera sob a cláusula rebus sic stantibus: a sentença que concede aposentadoria por incapacidade permanente ou auxílio por incapacidade temporária </w:t>
      </w:r>
      <w:r>
        <w:rPr>
          <w:rFonts w:cs="EB Garamond"/>
          <w:kern w:val="16"/>
          <w14:ligatures w14:val="standardContextual"/>
        </w:rPr>
        <w:lastRenderedPageBreak/>
        <w:t>pressupõe a manutenção do quadro clínico que deu origem à concessão. Sobrevindo alteração, recuperação total ou parcial da capacidade, o benefício pode ser cessado, ainda que originariamente concedido por ordem judicial.</w:t>
      </w:r>
    </w:p>
    <w:p w14:paraId="2E267815" w14:textId="77777777" w:rsidR="005A5FCC" w:rsidRDefault="00A21C81">
      <w:pPr>
        <w:ind w:firstLine="238"/>
      </w:pPr>
      <w:r>
        <w:rPr>
          <w:rFonts w:cs="EB Garamond"/>
          <w:kern w:val="16"/>
          <w14:ligatures w14:val="standardContextual"/>
        </w:rPr>
        <w:t>Entendemos que a tese do Tema 1.157 não implica violação da coisa julgada. A sentença condenatória em matéria de incapacidade previdenciária tem eficácia condicionada à persistência do quadro incapacitante. A relação jurídica previdenciária é de trato continuado, e a modificação superveniente dos fatos que fundamentaram a decisão judicial autoriza a Administração a reavaliar a situação do beneficiário. Não se trata de descumprir a sentença, mas de reconhecer que a realidade fática subjacente à decisão judicial sofreu alteração. Remetemos o leitor às seções 21.17 e 21.18 do Capítulo 21, em que examinamos a coisa julgada previdenciária e seus limites temporais.</w:t>
      </w:r>
    </w:p>
    <w:p w14:paraId="14D98231" w14:textId="77777777" w:rsidR="005A5FCC" w:rsidRDefault="00A21C81">
      <w:pPr>
        <w:ind w:firstLine="238"/>
      </w:pPr>
      <w:r>
        <w:rPr>
          <w:rFonts w:cs="EB Garamond"/>
          <w:kern w:val="16"/>
          <w14:ligatures w14:val="standardContextual"/>
        </w:rPr>
        <w:t>Os limites fixados pela tese são rigorosos e merecem destaque. A perícia de reavaliação deve ser tecnicamente fundamentada, com exposição detalhada dos motivos pelos quais se conclui pela recuperação da capacidade. A mera divergência de opinião médica entre o perito do INSS e o perito judicial que instruiu a ação originária não é suficiente para fundamentar a cessação. Exige-se alteração efetiva do quadro clínico, comprovada por elementos objetivos. O segurado tem direito ao contraditório, podendo apresentar laudos médicos particulares e requerer complementação da perícia. A decisão de cessação deve ser motivada e passível de recurso.</w:t>
      </w:r>
    </w:p>
    <w:p w14:paraId="77644CFE" w14:textId="77777777" w:rsidR="005A5FCC" w:rsidRDefault="00A21C81">
      <w:pPr>
        <w:ind w:firstLine="238"/>
      </w:pPr>
      <w:r>
        <w:rPr>
          <w:rFonts w:cs="EB Garamond"/>
          <w:kern w:val="16"/>
          <w14:ligatures w14:val="standardContextual"/>
        </w:rPr>
        <w:t>O impacto nos JEFs é significativo. Desde o julgamento do Tema 1.157, verificamos aumento expressivo de mandados de segurança e ações ordinárias impugnando cessações de benefícios por incapacidade originariamente concedidos judicialmente. O controle judicial dessas cessações tende a ser mais intenso do que nas cessações de benefícios concedidos administrativamente, precisamente porque há uma decisão judicial anterior que reconheceu a incapacidade. O juiz do JEF deve examinar com rigor se a perícia administrativa de reavaliação demonstra, com elementos concretos, a efetiva alteração do quadro clínico, e não apenas uma releitura dos mesmos fatos já apreciados pelo Poder Judiciário.</w:t>
      </w:r>
    </w:p>
    <w:p w14:paraId="5DEA9925" w14:textId="77777777" w:rsidR="005A5FCC" w:rsidRDefault="00A21C81">
      <w:pPr>
        <w:ind w:firstLine="238"/>
      </w:pPr>
      <w:r>
        <w:rPr>
          <w:rFonts w:cs="EB Garamond"/>
          <w:kern w:val="16"/>
          <w14:ligatures w14:val="standardContextual"/>
        </w:rPr>
        <w:lastRenderedPageBreak/>
        <w:t>Na prática processual, o segurado que tem seu benefício judicialmente concedido cessado administrativamente pode valer-se de tutela de urgência para restabelecimento imediato do pagamento, desde que demonstre a plausibilidade de que a cessação não observou os parâmetros fixados pelo Tema 1.157. A probabilidade do direito será tanto maior quanto mais evidente for o déficit de fundamentação da perícia administrativa ou a violação ao contraditório.</w:t>
      </w:r>
    </w:p>
    <w:p w14:paraId="0C01F770" w14:textId="77777777" w:rsidR="005A5FCC" w:rsidRDefault="00A21C81">
      <w:pPr>
        <w:ind w:firstLine="238"/>
      </w:pPr>
      <w:r>
        <w:rPr>
          <w:rFonts w:cs="EB Garamond"/>
          <w:kern w:val="16"/>
          <w14:ligatures w14:val="standardContextual"/>
        </w:rPr>
        <w:t>O Tema 1.157 suscita, ainda, questão processual sobre a competência. O segurado cujo benefício foi concedido por sentença do JEF e cessado administrativamente pode ajuizar nova ação perante o mesmo juízo? A resposta é afirmativa. Não se trata de execução da sentença original, pois o INSS não a descumpriu; trata-se de impugnação a ato administrativo novo, que demanda cognição própria. A competência do JEF é plena para examinar a legalidade da cessação administrativa, ainda que o benefício tenha sido concedido judicialmente. O juiz pode, inclusive, determinar a juntada do processo judicial originário como prova, a fim de comparar o quadro clínico à época da concessão com o quadro atual descrito na perícia de reavaliação.</w:t>
      </w:r>
    </w:p>
    <w:tbl>
      <w:tblPr>
        <w:tblW w:w="5000" w:type="pct"/>
        <w:jc w:val="center"/>
        <w:tblLayout w:type="fixed"/>
        <w:tblLook w:val="04A0" w:firstRow="1" w:lastRow="0" w:firstColumn="1" w:lastColumn="0" w:noHBand="0" w:noVBand="1"/>
      </w:tblPr>
      <w:tblGrid>
        <w:gridCol w:w="6311"/>
      </w:tblGrid>
      <w:tr w:rsidR="005A5FCC" w14:paraId="49C3774D"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427E32BE" w14:textId="77777777" w:rsidR="005A5FCC" w:rsidRDefault="00A21C81">
            <w:pPr>
              <w:spacing w:after="60" w:line="240" w:lineRule="auto"/>
              <w:jc w:val="left"/>
            </w:pPr>
            <w:r>
              <w:rPr>
                <w:rFonts w:ascii="Noto Sans" w:hAnsi="Noto Sans" w:cs="Noto Sans"/>
                <w:b/>
                <w:caps/>
                <w:color w:val="4D6F8A"/>
                <w:kern w:val="16"/>
                <w:sz w:val="16"/>
                <w14:ligatures w14:val="standardContextual"/>
              </w:rPr>
              <w:t>JURISPRUDÊNCIA EM DESTAQUE</w:t>
            </w:r>
          </w:p>
          <w:p w14:paraId="7E6D7F8E" w14:textId="77777777" w:rsidR="005A5FCC" w:rsidRDefault="00A21C81">
            <w:pPr>
              <w:spacing w:after="60" w:line="247" w:lineRule="auto"/>
            </w:pPr>
            <w:r>
              <w:rPr>
                <w:rFonts w:cs="EB Garamond"/>
                <w:b/>
                <w:kern w:val="16"/>
                <w:sz w:val="19"/>
                <w14:ligatures w14:val="standardContextual"/>
              </w:rPr>
              <w:t>Tema 1.157/STJ (1ª Seção, j. 07/05/2026):</w:t>
            </w:r>
            <w:r>
              <w:rPr>
                <w:rFonts w:cs="EB Garamond"/>
                <w:kern w:val="16"/>
                <w:sz w:val="19"/>
                <w14:ligatures w14:val="standardContextual"/>
              </w:rPr>
              <w:t xml:space="preserve"> "O INSS pode revisar administrativamente benefício por incapacidade concedido judicialmente, mediante nova avaliação pericial que constate a recuperação da capacidade laborativa, observado o devido processo legal." A sentença concessória opera sob a cláusula rebus sic stantibus, de modo que a alteração superveniente do quadro clínico autoriza a Administração a cessar o benefício, sem que isso configure violação da coisa julgada.</w:t>
            </w:r>
          </w:p>
        </w:tc>
      </w:tr>
    </w:tbl>
    <w:p w14:paraId="6AC4A39B" w14:textId="77777777" w:rsidR="005A5FCC" w:rsidRDefault="005A5FCC">
      <w:pPr>
        <w:spacing w:after="80" w:line="240" w:lineRule="auto"/>
      </w:pPr>
    </w:p>
    <w:p w14:paraId="14C55AF6"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22.18 Programa de combate a fraudes: operações de revisão em massa</w:t>
      </w:r>
    </w:p>
    <w:p w14:paraId="723F473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009AE2A5" w14:textId="77777777" w:rsidR="005A5FCC" w:rsidRDefault="00A21C81">
      <w:r>
        <w:rPr>
          <w:rFonts w:cs="EB Garamond"/>
          <w:kern w:val="16"/>
          <w14:ligatures w14:val="standardContextual"/>
        </w:rPr>
        <w:t xml:space="preserve">s operações de revisão em massa de benefícios previdenciários, genericamente denominadas "pente-fino", constituem política administrativa permanente do INSS, com base legal na Lei 13.846/2019 (conversão da MP 871/2019, denominada "MP Antifraude"). O art. 11 dessa lei determina que o </w:t>
      </w:r>
      <w:r>
        <w:rPr>
          <w:rFonts w:cs="EB Garamond"/>
          <w:kern w:val="16"/>
          <w14:ligatures w14:val="standardContextual"/>
        </w:rPr>
        <w:lastRenderedPageBreak/>
        <w:t>INSS realizará, periodicamente, processo de revisão dos benefícios por incapacidade, mediante convocação dos beneficiários para avaliação pericial. A Lei 13.457/2017 já havia disciplinado mecanismo semelhante para benefícios com mais de dois anos sem perícia de reavaliação.</w:t>
      </w:r>
    </w:p>
    <w:p w14:paraId="50F57E20" w14:textId="77777777" w:rsidR="005A5FCC" w:rsidRDefault="00A21C81">
      <w:pPr>
        <w:ind w:firstLine="238"/>
      </w:pPr>
      <w:r>
        <w:rPr>
          <w:rFonts w:cs="EB Garamond"/>
          <w:kern w:val="16"/>
          <w14:ligatures w14:val="standardContextual"/>
        </w:rPr>
        <w:t>O procedimento segue roteiro padronizado. O INSS identifica o universo de benefícios sujeitos à revisão com base em critérios previamente definidos (tempo de manutenção, ausência de perícia recente, indicadores de irregularidade sistêmica). Os beneficiários são convocados por carta simples para comparecimento à Agência da Previdência Social em data e horário agendados. Na perícia presencial, o perito médico federal avalia a persistência da incapacidade. Constatada a recuperação, o INSS instaura procedimento para cessação, com oportunidade de defesa. Mantida a decisão, o benefício é cessado com prazo de adequação.</w:t>
      </w:r>
    </w:p>
    <w:p w14:paraId="74F47594" w14:textId="77777777" w:rsidR="005A5FCC" w:rsidRDefault="00A21C81">
      <w:pPr>
        <w:ind w:firstLine="238"/>
      </w:pPr>
      <w:r>
        <w:rPr>
          <w:rFonts w:cs="EB Garamond"/>
          <w:kern w:val="16"/>
          <w14:ligatures w14:val="standardContextual"/>
        </w:rPr>
        <w:t>Os problemas práticos são numerosos e recorrentes na experiência dos JEFs. A notificação por carta simples, sem confirmação de recebimento, gera incerteza sobre a efetiva ciência do segurado. Beneficiários residentes em áreas rurais, idosos com limitações de deslocamento, pessoas com transtornos mentais graves e analfabetos são grupos especialmente vulneráveis. A cessação por não comparecimento, sem prova robusta de notificação, configura violação ao contraditório.</w:t>
      </w:r>
    </w:p>
    <w:p w14:paraId="614F9FE8" w14:textId="77777777" w:rsidR="005A5FCC" w:rsidRDefault="00A21C81">
      <w:pPr>
        <w:ind w:firstLine="238"/>
      </w:pPr>
      <w:r>
        <w:rPr>
          <w:rFonts w:cs="EB Garamond"/>
          <w:kern w:val="16"/>
          <w14:ligatures w14:val="standardContextual"/>
        </w:rPr>
        <w:t>As perícias realizadas no contexto das operações de massa enfrentam questionamentos quanto à qualidade técnica. O volume de avaliações, frequentemente dezenas por dia para cada perito, compromete a individualização do exame. Laudos padronizados, com campos pré-preenchidos e fundamentação genérica, são a regra. A ausência de exames complementares, de análise do histórico clínico e de consideração sobre as condições socioeconômicas do segurado empobrece a avaliação e gera decisões que não refletem a real situação do beneficiário.</w:t>
      </w:r>
    </w:p>
    <w:p w14:paraId="46B66BE9" w14:textId="77777777" w:rsidR="005A5FCC" w:rsidRDefault="00A21C81">
      <w:pPr>
        <w:ind w:firstLine="238"/>
      </w:pPr>
      <w:r>
        <w:rPr>
          <w:rFonts w:cs="EB Garamond"/>
          <w:kern w:val="16"/>
          <w14:ligatures w14:val="standardContextual"/>
        </w:rPr>
        <w:t xml:space="preserve">O Poder Judiciário — com destaque para os JEFs — tem adotado posição firme no sentido de restabelecer benefícios cessados em operações de pente-fino quando verificada a violação ao devido processo legal. Os fundamentos mais recorrentes são: notificação inadequada, ausência de contraditório efetivo, fundamentação insuficiente da perícia administrativa e cessação anterior à conclusão do processo administrativo. O instrumento processual mais utilizado é o mandado de segurança, pela celeridade e desnecessidade de dilação probatória quando </w:t>
      </w:r>
      <w:r>
        <w:rPr>
          <w:rFonts w:cs="EB Garamond"/>
          <w:kern w:val="16"/>
          <w14:ligatures w14:val="standardContextual"/>
        </w:rPr>
        <w:lastRenderedPageBreak/>
        <w:t>a ilegalidade é manifesta. Nas hipóteses em que a controvérsia envolve mérito da incapacidade, a via adequada é a ação ordinária com pedido de tutela de urgência para restabelecimento imediato.</w:t>
      </w:r>
    </w:p>
    <w:p w14:paraId="5F56A14F" w14:textId="77777777" w:rsidR="005A5FCC" w:rsidRDefault="00A21C81">
      <w:pPr>
        <w:ind w:firstLine="238"/>
      </w:pPr>
      <w:r>
        <w:rPr>
          <w:rFonts w:cs="EB Garamond"/>
          <w:kern w:val="16"/>
          <w14:ligatures w14:val="standardContextual"/>
        </w:rPr>
        <w:t>Sustentamos que o programa de combate a fraudes é legítimo e necessário, pois a concessão irregular de benefícios compromete a higidez financeira do RGPS e desvia recursos de segurados que efetivamente fazem jus à proteção previdenciária. Contudo, a legitimidade do programa não autoriza o atropelo de garantias fundamentais. A eficiência administrativa e o devido processo legal não são valores antagônicos; ao contrário, a observância das garantias procedimentais confere legitimidade às cessações e reduz a judicialização improdutiva.</w:t>
      </w:r>
    </w:p>
    <w:p w14:paraId="19774179" w14:textId="77777777" w:rsidR="005A5FCC" w:rsidRDefault="00A21C81">
      <w:pPr>
        <w:ind w:firstLine="238"/>
      </w:pPr>
      <w:r>
        <w:rPr>
          <w:rFonts w:cs="EB Garamond"/>
          <w:kern w:val="16"/>
          <w14:ligatures w14:val="standardContextual"/>
        </w:rPr>
        <w:t>O segurado convocado para reavaliação é, na maioria dos casos, pessoa em situação de vulnerabilidade: portadora de doença crônica, com limitações de mobilidade, residente em área distante da Agência do INSS, com baixa escolaridade e sem acesso a orientação jurídica. A convocação por carta, frequentemente recebida com poucos dias de antecedência, exige deslocamento que pode ser oneroso ou fisicamente inviável. O não comparecimento, longe de indicar fraude, pode resultar de limitações concretas do segurado. O sistema jurídico não pode tratar essas situações com a mesma régua aplicável a hipóteses de fraude deliberada.</w:t>
      </w:r>
    </w:p>
    <w:tbl>
      <w:tblPr>
        <w:tblW w:w="5000" w:type="pct"/>
        <w:jc w:val="center"/>
        <w:tblLayout w:type="fixed"/>
        <w:tblLook w:val="04A0" w:firstRow="1" w:lastRow="0" w:firstColumn="1" w:lastColumn="0" w:noHBand="0" w:noVBand="1"/>
      </w:tblPr>
      <w:tblGrid>
        <w:gridCol w:w="6311"/>
      </w:tblGrid>
      <w:tr w:rsidR="005A5FCC" w14:paraId="5F1E453B"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0F177668"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12263725" w14:textId="77777777" w:rsidR="005A5FCC" w:rsidRDefault="00A21C81">
            <w:pPr>
              <w:spacing w:after="60" w:line="247" w:lineRule="auto"/>
            </w:pPr>
            <w:r>
              <w:rPr>
                <w:rFonts w:cs="EB Garamond"/>
                <w:b/>
                <w:kern w:val="16"/>
                <w:sz w:val="19"/>
                <w14:ligatures w14:val="standardContextual"/>
              </w:rPr>
              <w:t>Atuação do advogado na defesa contra o pente-fino:</w:t>
            </w:r>
            <w:r>
              <w:rPr>
                <w:rFonts w:cs="EB Garamond"/>
                <w:kern w:val="16"/>
                <w:sz w:val="19"/>
                <w14:ligatures w14:val="standardContextual"/>
              </w:rPr>
              <w:t xml:space="preserve"> ao receber o segurado cujo benefício foi cessado em operação de revisão em massa, o advogado deve verificar: (i) se a convocação foi efetivamente recebida (solicitar ao INSS comprovante de postagem e AR); (ii) se houve oportunidade de defesa antes da cessação; (iii) se o laudo pericial administrativo contém fundamentação individualizada; (iv) se o segurado possui laudos médicos recentes que atestem a persistência da incapacidade. A irregularidade em qualquer desses pontos fundamenta pedido de restabelecimento por tutela de urgência no JEF.</w:t>
            </w:r>
          </w:p>
        </w:tc>
      </w:tr>
    </w:tbl>
    <w:p w14:paraId="2752CA84" w14:textId="77777777" w:rsidR="005A5FCC" w:rsidRDefault="005A5FCC">
      <w:pPr>
        <w:spacing w:after="80" w:line="240" w:lineRule="auto"/>
      </w:pPr>
    </w:p>
    <w:p w14:paraId="2E2FFAE1"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22.19 Processo administrativo e benefícios assistenciais (BPC/LOAS)</w:t>
      </w:r>
    </w:p>
    <w:p w14:paraId="01B843D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150E2D46" w14:textId="15D6EC53" w:rsidR="005A5FCC" w:rsidRDefault="00A21C81">
      <w:r>
        <w:rPr>
          <w:rFonts w:cs="EB Garamond"/>
          <w:kern w:val="16"/>
          <w14:ligatures w14:val="standardContextual"/>
        </w:rPr>
        <w:t xml:space="preserve"> benefício de prestação continuada (BPC), previsto no art. 203, V, da Constituição Federal e regulamentado pela Lei 8.742/1993 (LOAS), possui particularidades procedimentais que o distinguem dos benefícios previdenciários em sentido estrito. Não se trata de benefício contributivo, mas assistencial, e sua concessão depende da comprovação cumulativa de dois requisitos: deficiência ou idade igual ou superior a 65 anos, e renda familiar per capita igual ou inferior a 1/4 do </w:t>
      </w:r>
      <w:r w:rsidR="001B40E1">
        <w:rPr>
          <w:rFonts w:cs="EB Garamond"/>
          <w:kern w:val="16"/>
          <w14:ligatures w14:val="standardContextual"/>
        </w:rPr>
        <w:t>salário-mínimo</w:t>
      </w:r>
      <w:r>
        <w:rPr>
          <w:rFonts w:cs="EB Garamond"/>
          <w:kern w:val="16"/>
          <w14:ligatures w14:val="standardContextual"/>
        </w:rPr>
        <w:t xml:space="preserve"> (R$ 405,25 em 2026, considerando o SM de R$ 1.621,00).</w:t>
      </w:r>
    </w:p>
    <w:p w14:paraId="5BEB9E70" w14:textId="77777777" w:rsidR="005A5FCC" w:rsidRDefault="00A21C81">
      <w:pPr>
        <w:ind w:firstLine="238"/>
      </w:pPr>
      <w:r>
        <w:rPr>
          <w:rFonts w:cs="EB Garamond"/>
          <w:kern w:val="16"/>
          <w14:ligatures w14:val="standardContextual"/>
        </w:rPr>
        <w:t>A avaliação da deficiência para fins de BPC observa modelo próprio — o IF-BPC (Índice de Funcionalidade Brasileiro aplicado ao BPC), de natureza biopsicossocial, conduzido por perito médico e assistente social do INSS, que afere não apenas a condição clínica, mas as barreiras à participação social (Convenção de Nova York, Decreto 6.949/2009). O detalhamento do modelo consta do Cap. 18; no plano administrativo importa o seu reflexo procedimental, a exigir a atuação conjunta das duas áreas tanto na concessão quanto na reavaliação.</w:t>
      </w:r>
    </w:p>
    <w:p w14:paraId="792A0E85" w14:textId="77777777" w:rsidR="005A5FCC" w:rsidRDefault="00A21C81">
      <w:pPr>
        <w:ind w:firstLine="238"/>
      </w:pPr>
      <w:r>
        <w:rPr>
          <w:rFonts w:cs="EB Garamond"/>
          <w:kern w:val="16"/>
          <w14:ligatures w14:val="standardContextual"/>
        </w:rPr>
        <w:t>A inscrição e a manutenção de dados atualizados no CadÚnico são condições operacionais para a concessão e manutenção do BPC. O beneficiário deve estar inscrito no Cadastro Único para Programas Sociais do Governo Federal, e a reavaliação bienal prevista no art. 21 da Lei 8.742/1993 exige a verificação periódica tanto da condição de deficiência ou idade quanto da situação de miserabilidade.</w:t>
      </w:r>
    </w:p>
    <w:p w14:paraId="5D7BEA5E" w14:textId="16EF3895" w:rsidR="005A5FCC" w:rsidRDefault="00A21C81">
      <w:pPr>
        <w:ind w:firstLine="238"/>
      </w:pPr>
      <w:r>
        <w:rPr>
          <w:rFonts w:cs="EB Garamond"/>
          <w:kern w:val="16"/>
          <w14:ligatures w14:val="standardContextual"/>
        </w:rPr>
        <w:t xml:space="preserve">O critério objetivo de renda per capita de 1/4 do </w:t>
      </w:r>
      <w:r w:rsidR="001B40E1">
        <w:rPr>
          <w:rFonts w:cs="EB Garamond"/>
          <w:kern w:val="16"/>
          <w14:ligatures w14:val="standardContextual"/>
        </w:rPr>
        <w:t>salário-mínimo</w:t>
      </w:r>
      <w:r>
        <w:rPr>
          <w:rFonts w:cs="EB Garamond"/>
          <w:kern w:val="16"/>
          <w14:ligatures w14:val="standardContextual"/>
        </w:rPr>
        <w:t xml:space="preserve"> é aplicado com temperamento pela jurisprudência, que admite a comprovação da miserabilidade por outros meios quando a renda supera o limite legal (Tema 27/STF, RE 567.985). O exame do critério e de sua flexibilização — e a análise caso a caso das despesas com saúde e subsistência do núcleo familiar — consta do Cap. 18, sede da matéria.</w:t>
      </w:r>
    </w:p>
    <w:p w14:paraId="75DB0145" w14:textId="77777777" w:rsidR="005A5FCC" w:rsidRDefault="00A21C81">
      <w:pPr>
        <w:ind w:firstLine="238"/>
      </w:pPr>
      <w:r>
        <w:rPr>
          <w:rFonts w:cs="EB Garamond"/>
          <w:kern w:val="16"/>
          <w14:ligatures w14:val="standardContextual"/>
        </w:rPr>
        <w:t xml:space="preserve">A reavaliação bienal do BPC gera contencioso significativo nos JEFs. O INSS convoca os beneficiários para reavaliação e, constatando o descumprimento dos </w:t>
      </w:r>
      <w:r>
        <w:rPr>
          <w:rFonts w:cs="EB Garamond"/>
          <w:kern w:val="16"/>
          <w14:ligatures w14:val="standardContextual"/>
        </w:rPr>
        <w:lastRenderedPageBreak/>
        <w:t>requisitos, instaura processo administrativo para cessação. As garantias procedimentais examinadas nas seções anteriores aplicam-se integralmente: contraditório prévio, oportunidade de defesa, decisão motivada e possibilidade de recurso ao CRPS com efeito suspensivo.</w:t>
      </w:r>
    </w:p>
    <w:p w14:paraId="6DCCAE32" w14:textId="77777777" w:rsidR="005A5FCC" w:rsidRDefault="00A21C81">
      <w:pPr>
        <w:ind w:firstLine="238"/>
      </w:pPr>
      <w:r>
        <w:rPr>
          <w:rFonts w:cs="EB Garamond"/>
          <w:kern w:val="16"/>
          <w14:ligatures w14:val="standardContextual"/>
        </w:rPr>
        <w:t>A cessação do BPC apresenta particularidades que a distinguem da cessação de benefícios por incapacidade do RGPS. O BPC pode ser cessado tanto por alteração da condição de deficiência quanto por superação do critério de miserabilidade. Na primeira hipótese, a avaliação biopsicossocial de reavaliação deve seguir o mesmo modelo IF-BPC da concessão, com participação de perito médico e assistente social. Na segunda, a verificação de renda demanda atualização do CadÚnico e análise individualizada da composição familiar e das despesas do núcleo. A cessação fundada exclusivamente na superação do critério objetivo de renda (1/4 do SM), sem análise das circunstâncias concretas do caso, colide com a orientação do Tema 27/STF e pode ser revertida judicialmente.</w:t>
      </w:r>
    </w:p>
    <w:p w14:paraId="6043B75D"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22.20 Quando judicializar: critérios de decisão</w:t>
      </w:r>
    </w:p>
    <w:p w14:paraId="20DE46B9"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0A4BFC2E" w14:textId="07EFB751" w:rsidR="005A5FCC" w:rsidRDefault="00A21C81">
      <w:r>
        <w:rPr>
          <w:rFonts w:cs="EB Garamond"/>
          <w:kern w:val="16"/>
          <w14:ligatures w14:val="standardContextual"/>
        </w:rPr>
        <w:t xml:space="preserve"> decisão entre permanecer na via administrativa ou judicializar a pretensão previdenciária exige análise estratégica caso a caso, que o advogado, o defensor público ou o próprio segurado devem ponderar com base em critérios objetivos. Não há resposta única: cada caso apresenta variáveis que influenciam a análise de custo-benefício.</w:t>
      </w:r>
    </w:p>
    <w:p w14:paraId="20162371" w14:textId="77777777" w:rsidR="005A5FCC" w:rsidRDefault="00A21C81">
      <w:pPr>
        <w:ind w:firstLine="238"/>
      </w:pPr>
      <w:r>
        <w:rPr>
          <w:rFonts w:cs="EB Garamond"/>
          <w:kern w:val="16"/>
          <w14:ligatures w14:val="standardContextual"/>
        </w:rPr>
        <w:t>Adotamos a seguinte sistematização por tipo de matéria. Nas pretensões de natureza documental, como reconhecimento de tempo rural, tempo especial por enquadramento profissional e averbação de vínculos, o recurso ao CRPS pode ser alternativa viável. Nesses casos, a questão é predominantemente probatória e documental, e o CRPS tem condições técnicas de avaliar a documentação apresentada. A probabilidade de êxito no recurso administrativo é razoável, especialmente quando a decisão de primeira instância administrativa contraria enunciado do próprio CRPS ou orientação normativa vigente.</w:t>
      </w:r>
    </w:p>
    <w:p w14:paraId="0C5A5868" w14:textId="77777777" w:rsidR="005A5FCC" w:rsidRDefault="00A21C81">
      <w:pPr>
        <w:ind w:firstLine="238"/>
      </w:pPr>
      <w:r>
        <w:rPr>
          <w:rFonts w:cs="EB Garamond"/>
          <w:kern w:val="16"/>
          <w14:ligatures w14:val="standardContextual"/>
        </w:rPr>
        <w:t xml:space="preserve">Nas matérias de incapacidade laboral, a via judicial é quase sempre preferível. A razão é estrutural: no CRPS, a reavaliação da incapacidade se faz com base na </w:t>
      </w:r>
      <w:r>
        <w:rPr>
          <w:rFonts w:cs="EB Garamond"/>
          <w:kern w:val="16"/>
          <w14:ligatures w14:val="standardContextual"/>
        </w:rPr>
        <w:lastRenderedPageBreak/>
        <w:t>perícia realizada pelo próprio INSS, sem perícia independente. Não há paridade de armas. O segurado que discorda do laudo pericial administrativo dificilmente obterá resultado diverso perante junta de recursos que se fundamenta na mesma base probatória. Na via judicial, a perícia é realizada por perito equidistante das partes, nomeado pelo juízo, com possibilidade de quesitos complementares e impugnação técnica. A diferença qualitativa é determinante.</w:t>
      </w:r>
    </w:p>
    <w:p w14:paraId="00FE43A9" w14:textId="77777777" w:rsidR="005A5FCC" w:rsidRDefault="00A21C81">
      <w:pPr>
        <w:ind w:firstLine="238"/>
      </w:pPr>
      <w:r>
        <w:rPr>
          <w:rFonts w:cs="EB Garamond"/>
          <w:kern w:val="16"/>
          <w14:ligatures w14:val="standardContextual"/>
        </w:rPr>
        <w:t>Nos casos de mora administrativa, em que o INSS excede o prazo de 45 dias do art. 174 do Decreto 3.048/99 para decidir o requerimento, o mandado de segurança perante o JEF é o instrumento adequado. O direito líquido e certo à obtenção de resposta administrativa tempestiva dispensa dilação probatória e viabiliza decisão célere. Nas hipóteses de cessação ou cancelamento irregular de benefício, a tutela de urgência no JEF permite o restabelecimento imediato do pagamento, com eficácia que o recurso administrativo raramente alcança em tempo hábil.</w:t>
      </w:r>
    </w:p>
    <w:p w14:paraId="35764E83" w14:textId="77777777" w:rsidR="005A5FCC" w:rsidRDefault="00A21C81">
      <w:pPr>
        <w:ind w:firstLine="238"/>
      </w:pPr>
      <w:r>
        <w:rPr>
          <w:rFonts w:cs="EB Garamond"/>
          <w:kern w:val="16"/>
          <w14:ligatures w14:val="standardContextual"/>
        </w:rPr>
        <w:t>A análise de custo-benefício contempla múltiplas dimensões. A duração do processo é variável relevante: o recurso ao CRPS pode tramitar por meses sem custos diretos, mas o tempo de espera tem custo de oportunidade para o segurado desassistido de renda. A ação judicial no JEF, embora potencialmente mais célere (especialmente com tutela antecipada), envolve custos com honorários advocatícios e eventual perícia judicial. A probabilidade de êxito varia conforme a matéria, a prova disponível e a jurisprudência consolidada.</w:t>
      </w:r>
    </w:p>
    <w:p w14:paraId="16AEC033" w14:textId="57FDD617" w:rsidR="005A5FCC" w:rsidRDefault="00A21C81">
      <w:pPr>
        <w:ind w:firstLine="238"/>
      </w:pPr>
      <w:r>
        <w:rPr>
          <w:rFonts w:cs="EB Garamond"/>
          <w:kern w:val="16"/>
          <w14:ligatures w14:val="standardContextual"/>
        </w:rPr>
        <w:t xml:space="preserve">A situação do segurado desassistido de advogado exige tratamento diferenciado. A Defensoria Pública da União desempenha papel de orientação fundamental, informando o segurado sobre as vias disponíveis e assessorando a escolha estratégica. O acesso direto ao JEF, sem advogado, é direito do jurisdicionado nas causas de até 60 </w:t>
      </w:r>
      <w:r w:rsidR="001B40E1">
        <w:rPr>
          <w:rFonts w:cs="EB Garamond"/>
          <w:kern w:val="16"/>
          <w14:ligatures w14:val="standardContextual"/>
        </w:rPr>
        <w:t>salários-mínimos</w:t>
      </w:r>
      <w:r>
        <w:rPr>
          <w:rFonts w:cs="EB Garamond"/>
          <w:kern w:val="16"/>
          <w14:ligatures w14:val="standardContextual"/>
        </w:rPr>
        <w:t xml:space="preserve"> (R$ 97.260,00 em 2026), mas a complexidade técnica da matéria previdenciária torna o patrocínio profissional fortemente recomendável.</w:t>
      </w:r>
    </w:p>
    <w:p w14:paraId="491023D7" w14:textId="67E2EECA" w:rsidR="005A5FCC" w:rsidRDefault="00A21C81">
      <w:pPr>
        <w:ind w:firstLine="238"/>
      </w:pPr>
      <w:r>
        <w:rPr>
          <w:rFonts w:cs="EB Garamond"/>
          <w:kern w:val="16"/>
          <w14:ligatures w14:val="standardContextual"/>
        </w:rPr>
        <w:t xml:space="preserve">A análise deve considerar, ainda, o perfil do benefício pretendido. Benefícios de valor elevado, próximos ao teto do RGPS (R$ 8.475,55 em 2026), justificam investimento maior em instrução probatória e, portanto, tendem a ser </w:t>
      </w:r>
      <w:r w:rsidR="001B40E1">
        <w:rPr>
          <w:rFonts w:cs="EB Garamond"/>
          <w:kern w:val="16"/>
          <w14:ligatures w14:val="standardContextual"/>
        </w:rPr>
        <w:t>mais bem</w:t>
      </w:r>
      <w:r>
        <w:rPr>
          <w:rFonts w:cs="EB Garamond"/>
          <w:kern w:val="16"/>
          <w14:ligatures w14:val="standardContextual"/>
        </w:rPr>
        <w:t xml:space="preserve"> </w:t>
      </w:r>
      <w:r>
        <w:rPr>
          <w:rFonts w:cs="EB Garamond"/>
          <w:kern w:val="16"/>
          <w14:ligatures w14:val="standardContextual"/>
        </w:rPr>
        <w:lastRenderedPageBreak/>
        <w:t>servidos pela via judicial, onde a produção de provas é ampla. Benefícios de menor valor, especialmente quando a controvérsia é documental e objetiva, podem encontrar solução satisfatória no CRPS. A urgência da prestação é fator determinante: o segurado que depende do benefício para subsistência imediata não pode aguardar meses de tramitação administrativa quando a tutela de urgência judicial pode restabelecer o pagamento em dias.</w:t>
      </w:r>
    </w:p>
    <w:tbl>
      <w:tblPr>
        <w:tblW w:w="5000" w:type="pct"/>
        <w:jc w:val="center"/>
        <w:tblLayout w:type="fixed"/>
        <w:tblLook w:val="04A0" w:firstRow="1" w:lastRow="0" w:firstColumn="1" w:lastColumn="0" w:noHBand="0" w:noVBand="1"/>
      </w:tblPr>
      <w:tblGrid>
        <w:gridCol w:w="6311"/>
      </w:tblGrid>
      <w:tr w:rsidR="005A5FCC" w14:paraId="4B0D960F" w14:textId="77777777">
        <w:trPr>
          <w:cantSplit/>
          <w:jc w:val="center"/>
        </w:trPr>
        <w:tc>
          <w:tcPr>
            <w:tcW w:w="6350" w:type="dxa"/>
            <w:tcBorders>
              <w:top w:val="single" w:sz="7" w:space="0" w:color="A09882"/>
              <w:left w:val="single" w:sz="24" w:space="0" w:color="6B6256"/>
              <w:bottom w:val="single" w:sz="7" w:space="0" w:color="A09882"/>
              <w:right w:val="single" w:sz="7" w:space="0" w:color="A09882"/>
            </w:tcBorders>
            <w:shd w:val="clear" w:color="auto" w:fill="F5F3EF"/>
            <w:tcMar>
              <w:top w:w="150" w:type="dxa"/>
              <w:left w:w="220" w:type="dxa"/>
              <w:bottom w:w="150" w:type="dxa"/>
              <w:right w:w="180" w:type="dxa"/>
            </w:tcMar>
          </w:tcPr>
          <w:p w14:paraId="0B3BDB9B" w14:textId="77777777" w:rsidR="005A5FCC" w:rsidRDefault="00A21C81">
            <w:pPr>
              <w:spacing w:after="60" w:line="240" w:lineRule="auto"/>
              <w:jc w:val="left"/>
            </w:pPr>
            <w:r>
              <w:rPr>
                <w:rFonts w:ascii="Noto Sans" w:hAnsi="Noto Sans" w:cs="Noto Sans"/>
                <w:b/>
                <w:caps/>
                <w:color w:val="6B6256"/>
                <w:kern w:val="16"/>
                <w:sz w:val="16"/>
                <w14:ligatures w14:val="standardContextual"/>
              </w:rPr>
              <w:t>QUADRO</w:t>
            </w:r>
          </w:p>
          <w:p w14:paraId="12647D63" w14:textId="77777777" w:rsidR="005A5FCC" w:rsidRDefault="00A21C81">
            <w:pPr>
              <w:spacing w:after="60" w:line="247" w:lineRule="auto"/>
            </w:pPr>
            <w:r>
              <w:rPr>
                <w:rFonts w:cs="EB Garamond"/>
                <w:b/>
                <w:kern w:val="16"/>
                <w:sz w:val="19"/>
                <w14:ligatures w14:val="standardContextual"/>
              </w:rPr>
              <w:t>Quadro comparativo: recurso ao CRPS vs. Judicialização</w:t>
            </w:r>
          </w:p>
          <w:tbl>
            <w:tblPr>
              <w:tblW w:w="5000" w:type="pct"/>
              <w:jc w:val="center"/>
              <w:tblLook w:val="04A0" w:firstRow="1" w:lastRow="0" w:firstColumn="1" w:lastColumn="0" w:noHBand="0" w:noVBand="1"/>
            </w:tblPr>
            <w:tblGrid>
              <w:gridCol w:w="1967"/>
              <w:gridCol w:w="1967"/>
              <w:gridCol w:w="1967"/>
            </w:tblGrid>
            <w:tr w:rsidR="005A5FCC" w14:paraId="1D39C8C0" w14:textId="77777777">
              <w:trPr>
                <w:tblHeader/>
                <w:jc w:val="center"/>
              </w:trPr>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342AFBA8" w14:textId="77777777" w:rsidR="005A5FCC" w:rsidRDefault="00A21C81">
                  <w:pPr>
                    <w:spacing w:before="30" w:after="30" w:line="240" w:lineRule="auto"/>
                    <w:jc w:val="center"/>
                  </w:pPr>
                  <w:r>
                    <w:rPr>
                      <w:rFonts w:cs="EB Garamond"/>
                      <w:b/>
                      <w:color w:val="2F2923"/>
                      <w:kern w:val="16"/>
                      <w:sz w:val="16"/>
                      <w14:ligatures w14:val="standardContextual"/>
                    </w:rPr>
                    <w:t>Critério</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70053AD0" w14:textId="77777777" w:rsidR="005A5FCC" w:rsidRDefault="00A21C81">
                  <w:pPr>
                    <w:spacing w:before="30" w:after="30" w:line="240" w:lineRule="auto"/>
                    <w:jc w:val="center"/>
                  </w:pPr>
                  <w:r>
                    <w:rPr>
                      <w:rFonts w:cs="EB Garamond"/>
                      <w:b/>
                      <w:color w:val="2F2923"/>
                      <w:kern w:val="16"/>
                      <w:sz w:val="16"/>
                      <w14:ligatures w14:val="standardContextual"/>
                    </w:rPr>
                    <w:t>Recurso ao CRPS</w:t>
                  </w:r>
                </w:p>
              </w:tc>
              <w:tc>
                <w:tcPr>
                  <w:tcW w:w="2117" w:type="dxa"/>
                  <w:tcBorders>
                    <w:top w:val="single" w:sz="4" w:space="0" w:color="D2C9B8"/>
                    <w:left w:val="single" w:sz="4" w:space="0" w:color="D2C9B8"/>
                    <w:bottom w:val="single" w:sz="4" w:space="0" w:color="D2C9B8"/>
                    <w:right w:val="single" w:sz="4" w:space="0" w:color="D2C9B8"/>
                  </w:tcBorders>
                  <w:shd w:val="clear" w:color="auto" w:fill="F0EDE6"/>
                </w:tcPr>
                <w:p w14:paraId="13AE3527" w14:textId="77777777" w:rsidR="005A5FCC" w:rsidRDefault="00A21C81">
                  <w:pPr>
                    <w:spacing w:before="30" w:after="30" w:line="240" w:lineRule="auto"/>
                    <w:jc w:val="center"/>
                  </w:pPr>
                  <w:r>
                    <w:rPr>
                      <w:rFonts w:cs="EB Garamond"/>
                      <w:b/>
                      <w:color w:val="2F2923"/>
                      <w:kern w:val="16"/>
                      <w:sz w:val="16"/>
                      <w14:ligatures w14:val="standardContextual"/>
                    </w:rPr>
                    <w:t>Ação judicial no JEF</w:t>
                  </w:r>
                </w:p>
              </w:tc>
            </w:tr>
            <w:tr w:rsidR="005A5FCC" w14:paraId="444F0538"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4CD72E56" w14:textId="77777777" w:rsidR="005A5FCC" w:rsidRDefault="00A21C81">
                  <w:pPr>
                    <w:spacing w:before="20" w:after="20" w:line="240" w:lineRule="auto"/>
                    <w:jc w:val="left"/>
                  </w:pPr>
                  <w:r>
                    <w:rPr>
                      <w:rFonts w:cs="EB Garamond"/>
                      <w:kern w:val="16"/>
                      <w:sz w:val="16"/>
                      <w14:ligatures w14:val="standardContextual"/>
                    </w:rPr>
                    <w:t>Custos diretos</w:t>
                  </w:r>
                </w:p>
              </w:tc>
              <w:tc>
                <w:tcPr>
                  <w:tcW w:w="2117" w:type="dxa"/>
                  <w:tcBorders>
                    <w:top w:val="single" w:sz="4" w:space="0" w:color="D2C9B8"/>
                    <w:left w:val="single" w:sz="4" w:space="0" w:color="D2C9B8"/>
                    <w:bottom w:val="single" w:sz="4" w:space="0" w:color="D2C9B8"/>
                    <w:right w:val="single" w:sz="4" w:space="0" w:color="D2C9B8"/>
                  </w:tcBorders>
                </w:tcPr>
                <w:p w14:paraId="7619891B" w14:textId="77777777" w:rsidR="005A5FCC" w:rsidRDefault="00A21C81">
                  <w:pPr>
                    <w:spacing w:before="20" w:after="20" w:line="240" w:lineRule="auto"/>
                    <w:jc w:val="left"/>
                  </w:pPr>
                  <w:r>
                    <w:rPr>
                      <w:rFonts w:cs="EB Garamond"/>
                      <w:kern w:val="16"/>
                      <w:sz w:val="16"/>
                      <w14:ligatures w14:val="standardContextual"/>
                    </w:rPr>
                    <w:t>Sem custas, sem honorários</w:t>
                  </w:r>
                </w:p>
              </w:tc>
              <w:tc>
                <w:tcPr>
                  <w:tcW w:w="2117" w:type="dxa"/>
                  <w:tcBorders>
                    <w:top w:val="single" w:sz="4" w:space="0" w:color="D2C9B8"/>
                    <w:left w:val="single" w:sz="4" w:space="0" w:color="D2C9B8"/>
                    <w:bottom w:val="single" w:sz="4" w:space="0" w:color="D2C9B8"/>
                    <w:right w:val="single" w:sz="4" w:space="0" w:color="D2C9B8"/>
                  </w:tcBorders>
                </w:tcPr>
                <w:p w14:paraId="4CADD847" w14:textId="77777777" w:rsidR="005A5FCC" w:rsidRDefault="00A21C81">
                  <w:pPr>
                    <w:spacing w:before="20" w:after="20" w:line="240" w:lineRule="auto"/>
                    <w:jc w:val="left"/>
                  </w:pPr>
                  <w:r>
                    <w:rPr>
                      <w:rFonts w:cs="EB Garamond"/>
                      <w:kern w:val="16"/>
                      <w:sz w:val="16"/>
                      <w14:ligatures w14:val="standardContextual"/>
                    </w:rPr>
                    <w:t>Sem custas; honorários se com advogado</w:t>
                  </w:r>
                </w:p>
              </w:tc>
            </w:tr>
            <w:tr w:rsidR="005A5FCC" w14:paraId="418E02B5"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2687FEA0" w14:textId="77777777" w:rsidR="005A5FCC" w:rsidRDefault="00A21C81">
                  <w:pPr>
                    <w:spacing w:before="20" w:after="20" w:line="240" w:lineRule="auto"/>
                    <w:jc w:val="left"/>
                  </w:pPr>
                  <w:r>
                    <w:rPr>
                      <w:rFonts w:cs="EB Garamond"/>
                      <w:kern w:val="16"/>
                      <w:sz w:val="16"/>
                      <w14:ligatures w14:val="standardContextual"/>
                    </w:rPr>
                    <w:t>Duração média</w:t>
                  </w:r>
                </w:p>
              </w:tc>
              <w:tc>
                <w:tcPr>
                  <w:tcW w:w="2117" w:type="dxa"/>
                  <w:tcBorders>
                    <w:top w:val="single" w:sz="4" w:space="0" w:color="D2C9B8"/>
                    <w:left w:val="single" w:sz="4" w:space="0" w:color="D2C9B8"/>
                    <w:bottom w:val="single" w:sz="4" w:space="0" w:color="D2C9B8"/>
                    <w:right w:val="single" w:sz="4" w:space="0" w:color="D2C9B8"/>
                  </w:tcBorders>
                </w:tcPr>
                <w:p w14:paraId="4A400C54" w14:textId="77777777" w:rsidR="005A5FCC" w:rsidRDefault="00A21C81">
                  <w:pPr>
                    <w:spacing w:before="20" w:after="20" w:line="240" w:lineRule="auto"/>
                    <w:jc w:val="left"/>
                  </w:pPr>
                  <w:r>
                    <w:rPr>
                      <w:rFonts w:cs="EB Garamond"/>
                      <w:kern w:val="16"/>
                      <w:sz w:val="16"/>
                      <w14:ligatures w14:val="standardContextual"/>
                    </w:rPr>
                    <w:t>6 a 18 meses</w:t>
                  </w:r>
                </w:p>
              </w:tc>
              <w:tc>
                <w:tcPr>
                  <w:tcW w:w="2117" w:type="dxa"/>
                  <w:tcBorders>
                    <w:top w:val="single" w:sz="4" w:space="0" w:color="D2C9B8"/>
                    <w:left w:val="single" w:sz="4" w:space="0" w:color="D2C9B8"/>
                    <w:bottom w:val="single" w:sz="4" w:space="0" w:color="D2C9B8"/>
                    <w:right w:val="single" w:sz="4" w:space="0" w:color="D2C9B8"/>
                  </w:tcBorders>
                </w:tcPr>
                <w:p w14:paraId="1625C1F1" w14:textId="77777777" w:rsidR="005A5FCC" w:rsidRDefault="00A21C81">
                  <w:pPr>
                    <w:spacing w:before="20" w:after="20" w:line="240" w:lineRule="auto"/>
                    <w:jc w:val="left"/>
                  </w:pPr>
                  <w:r>
                    <w:rPr>
                      <w:rFonts w:cs="EB Garamond"/>
                      <w:kern w:val="16"/>
                      <w:sz w:val="16"/>
                      <w14:ligatures w14:val="standardContextual"/>
                    </w:rPr>
                    <w:t>4 a 12 meses (com tutela: dias/semanas)</w:t>
                  </w:r>
                </w:p>
              </w:tc>
            </w:tr>
            <w:tr w:rsidR="005A5FCC" w14:paraId="51C0B2E4"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000AB086" w14:textId="77777777" w:rsidR="005A5FCC" w:rsidRDefault="00A21C81">
                  <w:pPr>
                    <w:spacing w:before="20" w:after="20" w:line="240" w:lineRule="auto"/>
                    <w:jc w:val="left"/>
                  </w:pPr>
                  <w:r>
                    <w:rPr>
                      <w:rFonts w:cs="EB Garamond"/>
                      <w:kern w:val="16"/>
                      <w:sz w:val="16"/>
                      <w14:ligatures w14:val="standardContextual"/>
                    </w:rPr>
                    <w:t>Perícia</w:t>
                  </w:r>
                </w:p>
              </w:tc>
              <w:tc>
                <w:tcPr>
                  <w:tcW w:w="2117" w:type="dxa"/>
                  <w:tcBorders>
                    <w:top w:val="single" w:sz="4" w:space="0" w:color="D2C9B8"/>
                    <w:left w:val="single" w:sz="4" w:space="0" w:color="D2C9B8"/>
                    <w:bottom w:val="single" w:sz="4" w:space="0" w:color="D2C9B8"/>
                    <w:right w:val="single" w:sz="4" w:space="0" w:color="D2C9B8"/>
                  </w:tcBorders>
                </w:tcPr>
                <w:p w14:paraId="3522C532" w14:textId="77777777" w:rsidR="005A5FCC" w:rsidRDefault="00A21C81">
                  <w:pPr>
                    <w:spacing w:before="20" w:after="20" w:line="240" w:lineRule="auto"/>
                    <w:jc w:val="left"/>
                  </w:pPr>
                  <w:r>
                    <w:rPr>
                      <w:rFonts w:cs="EB Garamond"/>
                      <w:kern w:val="16"/>
                      <w:sz w:val="16"/>
                      <w14:ligatures w14:val="standardContextual"/>
                    </w:rPr>
                    <w:t>Mesma base (INSS)</w:t>
                  </w:r>
                </w:p>
              </w:tc>
              <w:tc>
                <w:tcPr>
                  <w:tcW w:w="2117" w:type="dxa"/>
                  <w:tcBorders>
                    <w:top w:val="single" w:sz="4" w:space="0" w:color="D2C9B8"/>
                    <w:left w:val="single" w:sz="4" w:space="0" w:color="D2C9B8"/>
                    <w:bottom w:val="single" w:sz="4" w:space="0" w:color="D2C9B8"/>
                    <w:right w:val="single" w:sz="4" w:space="0" w:color="D2C9B8"/>
                  </w:tcBorders>
                </w:tcPr>
                <w:p w14:paraId="11F3D1B4" w14:textId="77777777" w:rsidR="005A5FCC" w:rsidRDefault="00A21C81">
                  <w:pPr>
                    <w:spacing w:before="20" w:after="20" w:line="240" w:lineRule="auto"/>
                    <w:jc w:val="left"/>
                  </w:pPr>
                  <w:r>
                    <w:rPr>
                      <w:rFonts w:cs="EB Garamond"/>
                      <w:kern w:val="16"/>
                      <w:sz w:val="16"/>
                      <w14:ligatures w14:val="standardContextual"/>
                    </w:rPr>
                    <w:t>Perito independente</w:t>
                  </w:r>
                </w:p>
              </w:tc>
            </w:tr>
            <w:tr w:rsidR="005A5FCC" w14:paraId="7D133C2E"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689BC020" w14:textId="77777777" w:rsidR="005A5FCC" w:rsidRDefault="00A21C81">
                  <w:pPr>
                    <w:spacing w:before="20" w:after="20" w:line="240" w:lineRule="auto"/>
                    <w:jc w:val="left"/>
                  </w:pPr>
                  <w:r>
                    <w:rPr>
                      <w:rFonts w:cs="EB Garamond"/>
                      <w:kern w:val="16"/>
                      <w:sz w:val="16"/>
                      <w14:ligatures w14:val="standardContextual"/>
                    </w:rPr>
                    <w:t>Prova complementar</w:t>
                  </w:r>
                </w:p>
              </w:tc>
              <w:tc>
                <w:tcPr>
                  <w:tcW w:w="2117" w:type="dxa"/>
                  <w:tcBorders>
                    <w:top w:val="single" w:sz="4" w:space="0" w:color="D2C9B8"/>
                    <w:left w:val="single" w:sz="4" w:space="0" w:color="D2C9B8"/>
                    <w:bottom w:val="single" w:sz="4" w:space="0" w:color="D2C9B8"/>
                    <w:right w:val="single" w:sz="4" w:space="0" w:color="D2C9B8"/>
                  </w:tcBorders>
                </w:tcPr>
                <w:p w14:paraId="3A2669A9" w14:textId="77777777" w:rsidR="005A5FCC" w:rsidRDefault="00A21C81">
                  <w:pPr>
                    <w:spacing w:before="20" w:after="20" w:line="240" w:lineRule="auto"/>
                    <w:jc w:val="left"/>
                  </w:pPr>
                  <w:r>
                    <w:rPr>
                      <w:rFonts w:cs="EB Garamond"/>
                      <w:kern w:val="16"/>
                      <w:sz w:val="16"/>
                      <w14:ligatures w14:val="standardContextual"/>
                    </w:rPr>
                    <w:t>Limitada</w:t>
                  </w:r>
                </w:p>
              </w:tc>
              <w:tc>
                <w:tcPr>
                  <w:tcW w:w="2117" w:type="dxa"/>
                  <w:tcBorders>
                    <w:top w:val="single" w:sz="4" w:space="0" w:color="D2C9B8"/>
                    <w:left w:val="single" w:sz="4" w:space="0" w:color="D2C9B8"/>
                    <w:bottom w:val="single" w:sz="4" w:space="0" w:color="D2C9B8"/>
                    <w:right w:val="single" w:sz="4" w:space="0" w:color="D2C9B8"/>
                  </w:tcBorders>
                </w:tcPr>
                <w:p w14:paraId="6EB050A8" w14:textId="77777777" w:rsidR="005A5FCC" w:rsidRDefault="00A21C81">
                  <w:pPr>
                    <w:spacing w:before="20" w:after="20" w:line="240" w:lineRule="auto"/>
                    <w:jc w:val="left"/>
                  </w:pPr>
                  <w:r>
                    <w:rPr>
                      <w:rFonts w:cs="EB Garamond"/>
                      <w:kern w:val="16"/>
                      <w:sz w:val="16"/>
                      <w14:ligatures w14:val="standardContextual"/>
                    </w:rPr>
                    <w:t>Ampla (testemunhal, documental, pericial)</w:t>
                  </w:r>
                </w:p>
              </w:tc>
            </w:tr>
            <w:tr w:rsidR="005A5FCC" w14:paraId="74F3639B"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65F8BA5A" w14:textId="77777777" w:rsidR="005A5FCC" w:rsidRDefault="00A21C81">
                  <w:pPr>
                    <w:spacing w:before="20" w:after="20" w:line="240" w:lineRule="auto"/>
                    <w:jc w:val="left"/>
                  </w:pPr>
                  <w:r>
                    <w:rPr>
                      <w:rFonts w:cs="EB Garamond"/>
                      <w:kern w:val="16"/>
                      <w:sz w:val="16"/>
                      <w14:ligatures w14:val="standardContextual"/>
                    </w:rPr>
                    <w:t>Efeito suspensivo</w:t>
                  </w:r>
                </w:p>
              </w:tc>
              <w:tc>
                <w:tcPr>
                  <w:tcW w:w="2117" w:type="dxa"/>
                  <w:tcBorders>
                    <w:top w:val="single" w:sz="4" w:space="0" w:color="D2C9B8"/>
                    <w:left w:val="single" w:sz="4" w:space="0" w:color="D2C9B8"/>
                    <w:bottom w:val="single" w:sz="4" w:space="0" w:color="D2C9B8"/>
                    <w:right w:val="single" w:sz="4" w:space="0" w:color="D2C9B8"/>
                  </w:tcBorders>
                </w:tcPr>
                <w:p w14:paraId="12120276" w14:textId="77777777" w:rsidR="005A5FCC" w:rsidRDefault="00A21C81">
                  <w:pPr>
                    <w:spacing w:before="20" w:after="20" w:line="240" w:lineRule="auto"/>
                    <w:jc w:val="left"/>
                  </w:pPr>
                  <w:r>
                    <w:rPr>
                      <w:rFonts w:cs="EB Garamond"/>
                      <w:kern w:val="16"/>
                      <w:sz w:val="16"/>
                      <w14:ligatures w14:val="standardContextual"/>
                    </w:rPr>
                    <w:t>Sim (recurso ordinário)</w:t>
                  </w:r>
                </w:p>
              </w:tc>
              <w:tc>
                <w:tcPr>
                  <w:tcW w:w="2117" w:type="dxa"/>
                  <w:tcBorders>
                    <w:top w:val="single" w:sz="4" w:space="0" w:color="D2C9B8"/>
                    <w:left w:val="single" w:sz="4" w:space="0" w:color="D2C9B8"/>
                    <w:bottom w:val="single" w:sz="4" w:space="0" w:color="D2C9B8"/>
                    <w:right w:val="single" w:sz="4" w:space="0" w:color="D2C9B8"/>
                  </w:tcBorders>
                </w:tcPr>
                <w:p w14:paraId="57F534B2" w14:textId="77777777" w:rsidR="005A5FCC" w:rsidRDefault="00A21C81">
                  <w:pPr>
                    <w:spacing w:before="20" w:after="20" w:line="240" w:lineRule="auto"/>
                    <w:jc w:val="left"/>
                  </w:pPr>
                  <w:r>
                    <w:rPr>
                      <w:rFonts w:cs="EB Garamond"/>
                      <w:kern w:val="16"/>
                      <w:sz w:val="16"/>
                      <w14:ligatures w14:val="standardContextual"/>
                    </w:rPr>
                    <w:t>Tutela de urgência (se deferida)</w:t>
                  </w:r>
                </w:p>
              </w:tc>
            </w:tr>
            <w:tr w:rsidR="005A5FCC" w14:paraId="2E4796D9"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3841346F" w14:textId="77777777" w:rsidR="005A5FCC" w:rsidRDefault="00A21C81">
                  <w:pPr>
                    <w:spacing w:before="20" w:after="20" w:line="240" w:lineRule="auto"/>
                    <w:jc w:val="left"/>
                  </w:pPr>
                  <w:r>
                    <w:rPr>
                      <w:rFonts w:cs="EB Garamond"/>
                      <w:kern w:val="16"/>
                      <w:sz w:val="16"/>
                      <w14:ligatures w14:val="standardContextual"/>
                    </w:rPr>
                    <w:t>Matéria documental</w:t>
                  </w:r>
                </w:p>
              </w:tc>
              <w:tc>
                <w:tcPr>
                  <w:tcW w:w="2117" w:type="dxa"/>
                  <w:tcBorders>
                    <w:top w:val="single" w:sz="4" w:space="0" w:color="D2C9B8"/>
                    <w:left w:val="single" w:sz="4" w:space="0" w:color="D2C9B8"/>
                    <w:bottom w:val="single" w:sz="4" w:space="0" w:color="D2C9B8"/>
                    <w:right w:val="single" w:sz="4" w:space="0" w:color="D2C9B8"/>
                  </w:tcBorders>
                </w:tcPr>
                <w:p w14:paraId="38855B5E" w14:textId="77777777" w:rsidR="005A5FCC" w:rsidRDefault="00A21C81">
                  <w:pPr>
                    <w:spacing w:before="20" w:after="20" w:line="240" w:lineRule="auto"/>
                    <w:jc w:val="left"/>
                  </w:pPr>
                  <w:r>
                    <w:rPr>
                      <w:rFonts w:cs="EB Garamond"/>
                      <w:kern w:val="16"/>
                      <w:sz w:val="16"/>
                      <w14:ligatures w14:val="standardContextual"/>
                    </w:rPr>
                    <w:t>Razoável probabilidade</w:t>
                  </w:r>
                </w:p>
              </w:tc>
              <w:tc>
                <w:tcPr>
                  <w:tcW w:w="2117" w:type="dxa"/>
                  <w:tcBorders>
                    <w:top w:val="single" w:sz="4" w:space="0" w:color="D2C9B8"/>
                    <w:left w:val="single" w:sz="4" w:space="0" w:color="D2C9B8"/>
                    <w:bottom w:val="single" w:sz="4" w:space="0" w:color="D2C9B8"/>
                    <w:right w:val="single" w:sz="4" w:space="0" w:color="D2C9B8"/>
                  </w:tcBorders>
                </w:tcPr>
                <w:p w14:paraId="6F0F0534" w14:textId="77777777" w:rsidR="005A5FCC" w:rsidRDefault="00A21C81">
                  <w:pPr>
                    <w:spacing w:before="20" w:after="20" w:line="240" w:lineRule="auto"/>
                    <w:jc w:val="left"/>
                  </w:pPr>
                  <w:r>
                    <w:rPr>
                      <w:rFonts w:cs="EB Garamond"/>
                      <w:kern w:val="16"/>
                      <w:sz w:val="16"/>
                      <w14:ligatures w14:val="standardContextual"/>
                    </w:rPr>
                    <w:t>Alta probabilidade</w:t>
                  </w:r>
                </w:p>
              </w:tc>
            </w:tr>
            <w:tr w:rsidR="005A5FCC" w14:paraId="3AE9D2AA"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0B72DF86" w14:textId="77777777" w:rsidR="005A5FCC" w:rsidRDefault="00A21C81">
                  <w:pPr>
                    <w:spacing w:before="20" w:after="20" w:line="240" w:lineRule="auto"/>
                    <w:jc w:val="left"/>
                  </w:pPr>
                  <w:r>
                    <w:rPr>
                      <w:rFonts w:cs="EB Garamond"/>
                      <w:kern w:val="16"/>
                      <w:sz w:val="16"/>
                      <w14:ligatures w14:val="standardContextual"/>
                    </w:rPr>
                    <w:t>Matéria incapacidade</w:t>
                  </w:r>
                </w:p>
              </w:tc>
              <w:tc>
                <w:tcPr>
                  <w:tcW w:w="2117" w:type="dxa"/>
                  <w:tcBorders>
                    <w:top w:val="single" w:sz="4" w:space="0" w:color="D2C9B8"/>
                    <w:left w:val="single" w:sz="4" w:space="0" w:color="D2C9B8"/>
                    <w:bottom w:val="single" w:sz="4" w:space="0" w:color="D2C9B8"/>
                    <w:right w:val="single" w:sz="4" w:space="0" w:color="D2C9B8"/>
                  </w:tcBorders>
                </w:tcPr>
                <w:p w14:paraId="50F5BF3E" w14:textId="77777777" w:rsidR="005A5FCC" w:rsidRDefault="00A21C81">
                  <w:pPr>
                    <w:spacing w:before="20" w:after="20" w:line="240" w:lineRule="auto"/>
                    <w:jc w:val="left"/>
                  </w:pPr>
                  <w:r>
                    <w:rPr>
                      <w:rFonts w:cs="EB Garamond"/>
                      <w:kern w:val="16"/>
                      <w:sz w:val="16"/>
                      <w14:ligatures w14:val="standardContextual"/>
                    </w:rPr>
                    <w:t>Baixa probabilidade</w:t>
                  </w:r>
                </w:p>
              </w:tc>
              <w:tc>
                <w:tcPr>
                  <w:tcW w:w="2117" w:type="dxa"/>
                  <w:tcBorders>
                    <w:top w:val="single" w:sz="4" w:space="0" w:color="D2C9B8"/>
                    <w:left w:val="single" w:sz="4" w:space="0" w:color="D2C9B8"/>
                    <w:bottom w:val="single" w:sz="4" w:space="0" w:color="D2C9B8"/>
                    <w:right w:val="single" w:sz="4" w:space="0" w:color="D2C9B8"/>
                  </w:tcBorders>
                </w:tcPr>
                <w:p w14:paraId="7EB683C3" w14:textId="77777777" w:rsidR="005A5FCC" w:rsidRDefault="00A21C81">
                  <w:pPr>
                    <w:spacing w:before="20" w:after="20" w:line="240" w:lineRule="auto"/>
                    <w:jc w:val="left"/>
                  </w:pPr>
                  <w:r>
                    <w:rPr>
                      <w:rFonts w:cs="EB Garamond"/>
                      <w:kern w:val="16"/>
                      <w:sz w:val="16"/>
                      <w14:ligatures w14:val="standardContextual"/>
                    </w:rPr>
                    <w:t>Alta probabilidade (perícia independente)</w:t>
                  </w:r>
                </w:p>
              </w:tc>
            </w:tr>
            <w:tr w:rsidR="005A5FCC" w14:paraId="4961A700"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3743A34B" w14:textId="77777777" w:rsidR="005A5FCC" w:rsidRDefault="00A21C81">
                  <w:pPr>
                    <w:spacing w:before="20" w:after="20" w:line="240" w:lineRule="auto"/>
                    <w:jc w:val="left"/>
                  </w:pPr>
                  <w:r>
                    <w:rPr>
                      <w:rFonts w:cs="EB Garamond"/>
                      <w:kern w:val="16"/>
                      <w:sz w:val="16"/>
                      <w14:ligatures w14:val="standardContextual"/>
                    </w:rPr>
                    <w:t>Mora administrativa</w:t>
                  </w:r>
                </w:p>
              </w:tc>
              <w:tc>
                <w:tcPr>
                  <w:tcW w:w="2117" w:type="dxa"/>
                  <w:tcBorders>
                    <w:top w:val="single" w:sz="4" w:space="0" w:color="D2C9B8"/>
                    <w:left w:val="single" w:sz="4" w:space="0" w:color="D2C9B8"/>
                    <w:bottom w:val="single" w:sz="4" w:space="0" w:color="D2C9B8"/>
                    <w:right w:val="single" w:sz="4" w:space="0" w:color="D2C9B8"/>
                  </w:tcBorders>
                </w:tcPr>
                <w:p w14:paraId="38DC3E6D" w14:textId="77777777" w:rsidR="005A5FCC" w:rsidRDefault="00A21C81">
                  <w:pPr>
                    <w:spacing w:before="20" w:after="20" w:line="240" w:lineRule="auto"/>
                    <w:jc w:val="left"/>
                  </w:pPr>
                  <w:r>
                    <w:rPr>
                      <w:rFonts w:cs="EB Garamond"/>
                      <w:kern w:val="16"/>
                      <w:sz w:val="16"/>
                      <w14:ligatures w14:val="standardContextual"/>
                    </w:rPr>
                    <w:t>Ineficaz</w:t>
                  </w:r>
                </w:p>
              </w:tc>
              <w:tc>
                <w:tcPr>
                  <w:tcW w:w="2117" w:type="dxa"/>
                  <w:tcBorders>
                    <w:top w:val="single" w:sz="4" w:space="0" w:color="D2C9B8"/>
                    <w:left w:val="single" w:sz="4" w:space="0" w:color="D2C9B8"/>
                    <w:bottom w:val="single" w:sz="4" w:space="0" w:color="D2C9B8"/>
                    <w:right w:val="single" w:sz="4" w:space="0" w:color="D2C9B8"/>
                  </w:tcBorders>
                </w:tcPr>
                <w:p w14:paraId="7453AEB1" w14:textId="77777777" w:rsidR="005A5FCC" w:rsidRDefault="00A21C81">
                  <w:pPr>
                    <w:spacing w:before="20" w:after="20" w:line="240" w:lineRule="auto"/>
                    <w:jc w:val="left"/>
                  </w:pPr>
                  <w:r>
                    <w:rPr>
                      <w:rFonts w:cs="EB Garamond"/>
                      <w:kern w:val="16"/>
                      <w:sz w:val="16"/>
                      <w14:ligatures w14:val="standardContextual"/>
                    </w:rPr>
                    <w:t>MS com celeridade</w:t>
                  </w:r>
                </w:p>
              </w:tc>
            </w:tr>
            <w:tr w:rsidR="005A5FCC" w14:paraId="5645A81D" w14:textId="77777777">
              <w:trPr>
                <w:jc w:val="center"/>
              </w:trPr>
              <w:tc>
                <w:tcPr>
                  <w:tcW w:w="2117" w:type="dxa"/>
                  <w:tcBorders>
                    <w:top w:val="single" w:sz="4" w:space="0" w:color="D2C9B8"/>
                    <w:left w:val="single" w:sz="4" w:space="0" w:color="D2C9B8"/>
                    <w:bottom w:val="single" w:sz="4" w:space="0" w:color="D2C9B8"/>
                    <w:right w:val="single" w:sz="4" w:space="0" w:color="D2C9B8"/>
                  </w:tcBorders>
                </w:tcPr>
                <w:p w14:paraId="425077A7" w14:textId="77777777" w:rsidR="005A5FCC" w:rsidRDefault="00A21C81">
                  <w:pPr>
                    <w:spacing w:before="20" w:after="20" w:line="240" w:lineRule="auto"/>
                    <w:jc w:val="left"/>
                  </w:pPr>
                  <w:r>
                    <w:rPr>
                      <w:rFonts w:cs="EB Garamond"/>
                      <w:kern w:val="16"/>
                      <w:sz w:val="16"/>
                      <w14:ligatures w14:val="standardContextual"/>
                    </w:rPr>
                    <w:t>Cessação irregular</w:t>
                  </w:r>
                </w:p>
              </w:tc>
              <w:tc>
                <w:tcPr>
                  <w:tcW w:w="2117" w:type="dxa"/>
                  <w:tcBorders>
                    <w:top w:val="single" w:sz="4" w:space="0" w:color="D2C9B8"/>
                    <w:left w:val="single" w:sz="4" w:space="0" w:color="D2C9B8"/>
                    <w:bottom w:val="single" w:sz="4" w:space="0" w:color="D2C9B8"/>
                    <w:right w:val="single" w:sz="4" w:space="0" w:color="D2C9B8"/>
                  </w:tcBorders>
                </w:tcPr>
                <w:p w14:paraId="240B148A" w14:textId="77777777" w:rsidR="005A5FCC" w:rsidRDefault="00A21C81">
                  <w:pPr>
                    <w:spacing w:before="20" w:after="20" w:line="240" w:lineRule="auto"/>
                    <w:jc w:val="left"/>
                  </w:pPr>
                  <w:r>
                    <w:rPr>
                      <w:rFonts w:cs="EB Garamond"/>
                      <w:kern w:val="16"/>
                      <w:sz w:val="16"/>
                      <w14:ligatures w14:val="standardContextual"/>
                    </w:rPr>
                    <w:t>Recurso com suspensão</w:t>
                  </w:r>
                </w:p>
              </w:tc>
              <w:tc>
                <w:tcPr>
                  <w:tcW w:w="2117" w:type="dxa"/>
                  <w:tcBorders>
                    <w:top w:val="single" w:sz="4" w:space="0" w:color="D2C9B8"/>
                    <w:left w:val="single" w:sz="4" w:space="0" w:color="D2C9B8"/>
                    <w:bottom w:val="single" w:sz="4" w:space="0" w:color="D2C9B8"/>
                    <w:right w:val="single" w:sz="4" w:space="0" w:color="D2C9B8"/>
                  </w:tcBorders>
                </w:tcPr>
                <w:p w14:paraId="581FC7ED" w14:textId="77777777" w:rsidR="005A5FCC" w:rsidRDefault="00A21C81">
                  <w:pPr>
                    <w:spacing w:before="20" w:after="20" w:line="240" w:lineRule="auto"/>
                    <w:jc w:val="left"/>
                  </w:pPr>
                  <w:r>
                    <w:rPr>
                      <w:rFonts w:cs="EB Garamond"/>
                      <w:kern w:val="16"/>
                      <w:sz w:val="16"/>
                      <w14:ligatures w14:val="standardContextual"/>
                    </w:rPr>
                    <w:t>Tutela de urgência imediata</w:t>
                  </w:r>
                </w:p>
              </w:tc>
            </w:tr>
          </w:tbl>
          <w:p w14:paraId="494F3248" w14:textId="77777777" w:rsidR="005A5FCC" w:rsidRDefault="005A5FCC"/>
          <w:p w14:paraId="7E48D483" w14:textId="77777777" w:rsidR="005A5FCC" w:rsidRDefault="005A5FCC">
            <w:pPr>
              <w:spacing w:after="0" w:line="240" w:lineRule="auto"/>
            </w:pPr>
          </w:p>
        </w:tc>
      </w:tr>
    </w:tbl>
    <w:p w14:paraId="634289A6" w14:textId="77777777" w:rsidR="005A5FCC" w:rsidRDefault="005A5FCC">
      <w:pPr>
        <w:spacing w:after="80" w:line="240" w:lineRule="auto"/>
      </w:pPr>
    </w:p>
    <w:p w14:paraId="0AA79B18"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22.21 Instruindo a ação judicial com o processo administrativo</w:t>
      </w:r>
    </w:p>
    <w:p w14:paraId="5AF5AFE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1E68FB25" w14:textId="77777777" w:rsidR="005A5FCC" w:rsidRDefault="00A21C81">
      <w:r>
        <w:rPr>
          <w:rFonts w:cs="EB Garamond"/>
          <w:kern w:val="16"/>
          <w14:ligatures w14:val="standardContextual"/>
        </w:rPr>
        <w:t xml:space="preserve"> processo administrativo previdenciário constitui peça instrutória de primeira importância para a ação judicial. A documentação produzida no âmbito do INSS contém informações que o Poder Judiciário dificilmente obteria por outra via, e sua juntada à petição inicial qualifica substancialmente a </w:t>
      </w:r>
      <w:r>
        <w:rPr>
          <w:rFonts w:cs="EB Garamond"/>
          <w:kern w:val="16"/>
          <w14:ligatures w14:val="standardContextual"/>
        </w:rPr>
        <w:lastRenderedPageBreak/>
        <w:t>instrução processual. Sustentamos que a ação judicial previdenciária bem instruída começa pela obtenção completa do processo administrativo. Os requisitos formais da petição inicial no JEF são tratados no Cap. 23, § 23.11; aqui consolidamos o checklist de documentos por tipo de ação.</w:t>
      </w:r>
    </w:p>
    <w:p w14:paraId="3C777AF5" w14:textId="77777777" w:rsidR="005A5FCC" w:rsidRDefault="00A21C81">
      <w:pPr>
        <w:ind w:firstLine="238"/>
      </w:pPr>
      <w:r>
        <w:rPr>
          <w:rFonts w:cs="EB Garamond"/>
          <w:kern w:val="16"/>
          <w14:ligatures w14:val="standardContextual"/>
        </w:rPr>
        <w:t>A documentação necessária varia conforme o tipo de ação. Nas ações de concessão, os documentos essenciais são: comprovante de requerimento administrativo com a data de entrada do requerimento (DER), comunicação do indeferimento com a motivação, extrato do Cadastro Nacional de Informações Sociais (CNIS), laudo da perícia médica administrativa (quando houver), e documentos pessoais e profissionais apresentados ao INSS. A DER é particularmente relevante porque fixa, em regra, a data de início do benefício (DIB) e o termo inicial dos efeitos financeiros da condenação.</w:t>
      </w:r>
    </w:p>
    <w:p w14:paraId="4EB4CB8A" w14:textId="77777777" w:rsidR="005A5FCC" w:rsidRDefault="00A21C81">
      <w:pPr>
        <w:ind w:firstLine="238"/>
      </w:pPr>
      <w:r>
        <w:rPr>
          <w:rFonts w:cs="EB Garamond"/>
          <w:kern w:val="16"/>
          <w14:ligatures w14:val="standardContextual"/>
        </w:rPr>
        <w:t>Nas ações de revisão, o rol documental é mais extenso: carta de concessão do benefício, telas do sistema CONBAS (Consulta de Benefício por Assegurado), extrato do INFBEN (Informações do Benefício), processo administrativo original de concessão, memória de cálculo do INSS e eventual processo de revisão administrativa. Esses documentos permitem ao juiz e ao perito contábil judicial verificar se os salários de contribuição, os índices de correção e os coeficientes de cálculo foram corretamente aplicados.</w:t>
      </w:r>
    </w:p>
    <w:p w14:paraId="08F1525D" w14:textId="77777777" w:rsidR="005A5FCC" w:rsidRDefault="00A21C81">
      <w:pPr>
        <w:ind w:firstLine="238"/>
      </w:pPr>
      <w:r>
        <w:rPr>
          <w:rFonts w:cs="EB Garamond"/>
          <w:kern w:val="16"/>
          <w14:ligatures w14:val="standardContextual"/>
        </w:rPr>
        <w:t>Nas ações de restabelecimento, a documentação inclui: comunicação de cessação do benefício (com data e fundamento), laudo da perícia administrativa que fundamentou a cessação, eventual recurso interposto ao CRPS e sua decisão, e laudos médicos particulares que contradigam a perícia administrativa. A comprovação de que o benefício foi cessado sem observância do contraditório ou com fundamentação insuficiente configura elemento probatório de peso para o deferimento de tutela de urgência.</w:t>
      </w:r>
    </w:p>
    <w:p w14:paraId="2CF17C79" w14:textId="77777777" w:rsidR="005A5FCC" w:rsidRDefault="00A21C81">
      <w:pPr>
        <w:ind w:firstLine="238"/>
      </w:pPr>
      <w:r>
        <w:rPr>
          <w:rFonts w:cs="EB Garamond"/>
          <w:kern w:val="16"/>
          <w14:ligatures w14:val="standardContextual"/>
        </w:rPr>
        <w:t>Para o mandado de segurança em caso de mora administrativa, a prova documental é mais enxuta: impressão da tela do Meu INSS demonstrando o protocolo do requerimento e a ausência de decisão, comprovante de protocolo físico (quando houver) e eventual certidão negativa de decisão obtida junto à Agência.</w:t>
      </w:r>
    </w:p>
    <w:p w14:paraId="4740FAC2" w14:textId="77777777" w:rsidR="005A5FCC" w:rsidRDefault="00A21C81">
      <w:pPr>
        <w:ind w:firstLine="238"/>
      </w:pPr>
      <w:r>
        <w:rPr>
          <w:rFonts w:cs="EB Garamond"/>
          <w:kern w:val="16"/>
          <w14:ligatures w14:val="standardContextual"/>
        </w:rPr>
        <w:t xml:space="preserve">A obtenção dos documentos pode ser feita por três vias. O Meu INSS permite ao segurado acessar e baixar boa parte da documentação, incluindo CNIS, cartas </w:t>
      </w:r>
      <w:r>
        <w:rPr>
          <w:rFonts w:cs="EB Garamond"/>
          <w:kern w:val="16"/>
          <w14:ligatures w14:val="standardContextual"/>
        </w:rPr>
        <w:lastRenderedPageBreak/>
        <w:t>de concessão, comunicações de indeferimento e andamento de processos. A Central 135 pode fornecer informações complementares e encaminhar solicitações de cópias. Em último caso, o juiz do JEF pode determinar ao INSS a apresentação do processo administrativo digitalizado, com base no art. 11, § 3º, da Lei 10.259/2001, expedindo ofício para remessa em prazo fixado.</w:t>
      </w:r>
    </w:p>
    <w:p w14:paraId="22E0C549" w14:textId="77777777" w:rsidR="005A5FCC" w:rsidRDefault="00A21C81">
      <w:pPr>
        <w:ind w:firstLine="238"/>
      </w:pPr>
      <w:r>
        <w:rPr>
          <w:rFonts w:cs="EB Garamond"/>
          <w:kern w:val="16"/>
          <w14:ligatures w14:val="standardContextual"/>
        </w:rPr>
        <w:t>O valor probatório do processo administrativo é significativo. Os documentos emanados do INSS gozam de presunção de veracidade, como atos administrativos que são. Essa presunção é relativa e admite prova em contrário, mas impõe ao impugnante o ônus de demonstrar, de forma específica e fundamentada, a incorreção da informação. A impugnação genérica é insuficiente para afastar a presunção.</w:t>
      </w:r>
    </w:p>
    <w:p w14:paraId="23FD4F13" w14:textId="77777777" w:rsidR="005A5FCC" w:rsidRDefault="00A21C81">
      <w:pPr>
        <w:ind w:firstLine="238"/>
      </w:pPr>
      <w:r>
        <w:rPr>
          <w:rFonts w:cs="EB Garamond"/>
          <w:kern w:val="16"/>
          <w14:ligatures w14:val="standardContextual"/>
        </w:rPr>
        <w:t>A juntada integral do processo administrativo na petição inicial permite ao juiz do JEF uma compreensão abrangente do histórico contributivo e beneficiário do segurado antes mesmo da contestação. O juiz que examina o CNIS, o laudo pericial administrativo, a carta de indeferimento e os documentos apresentados pelo segurado ao INSS tem condições de formular quesitos mais precisos ao perito judicial, deferir provas pertinentes e, em determinados casos, antecipar a tutela com maior segurança. A incompletude da instrução inicial, ao contrário, gera diligências desnecessárias, ofícios ao INSS para remessa de documentos e atrasos que prejudicam a celeridade característica dos JEFs.</w:t>
      </w:r>
    </w:p>
    <w:tbl>
      <w:tblPr>
        <w:tblW w:w="5000" w:type="pct"/>
        <w:jc w:val="center"/>
        <w:tblLayout w:type="fixed"/>
        <w:tblLook w:val="04A0" w:firstRow="1" w:lastRow="0" w:firstColumn="1" w:lastColumn="0" w:noHBand="0" w:noVBand="1"/>
      </w:tblPr>
      <w:tblGrid>
        <w:gridCol w:w="6311"/>
      </w:tblGrid>
      <w:tr w:rsidR="005A5FCC" w14:paraId="79708324"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47CF3F4E"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74BC5E09" w14:textId="77777777" w:rsidR="005A5FCC" w:rsidRDefault="00A21C81">
            <w:pPr>
              <w:spacing w:after="60" w:line="247" w:lineRule="auto"/>
            </w:pPr>
            <w:r>
              <w:rPr>
                <w:rFonts w:cs="EB Garamond"/>
                <w:b/>
                <w:kern w:val="16"/>
                <w:sz w:val="19"/>
                <w14:ligatures w14:val="standardContextual"/>
              </w:rPr>
              <w:t>Checklist de documentos para instruir a petição inicial no JEF:</w:t>
            </w:r>
            <w:r>
              <w:rPr>
                <w:rFonts w:cs="EB Garamond"/>
                <w:kern w:val="16"/>
                <w:sz w:val="19"/>
                <w14:ligatures w14:val="standardContextual"/>
              </w:rPr>
              <w:t xml:space="preserve"> 1. Comprovante de requerimento administrativo (DER) obtido no Meu INSS 2. Comunicação de indeferimento/cessação com fundamentação 3. CNIS atualizado (extrato previdenciário completo) 4. Laudo da perícia médica administrativa (quando houver) 5. Laudos, atestados e exames médicos particulares 6. CTPS com registros de vínculos empregatícios 7. Carta de concessão ou telas CONBAS/INFBEN (ações de revisão) 8. Comprovante de recurso ao CRPS e decisão (se interposto) 9. Documentos pessoais (RG, CPF, comprovante de residência) 10. Procuração com poderes especiais e declaração de hipossuficiência</w:t>
            </w:r>
          </w:p>
        </w:tc>
      </w:tr>
    </w:tbl>
    <w:p w14:paraId="6C63F04A" w14:textId="77777777" w:rsidR="005A5FCC" w:rsidRDefault="005A5FCC">
      <w:pPr>
        <w:spacing w:after="80" w:line="240" w:lineRule="auto"/>
      </w:pPr>
    </w:p>
    <w:p w14:paraId="51063C98"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22.22 Prévio requerimento administrativo: aprofundamento do tema 350/STF</w:t>
      </w:r>
    </w:p>
    <w:p w14:paraId="774F7AD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3F289253" w14:textId="77777777" w:rsidR="005A5FCC" w:rsidRDefault="00A21C81">
      <w:r>
        <w:rPr>
          <w:rFonts w:cs="EB Garamond"/>
          <w:kern w:val="16"/>
          <w14:ligatures w14:val="standardContextual"/>
        </w:rPr>
        <w:t xml:space="preserve"> Tema 350/STF (RE 631.240, Plenário, j. 03/09/2014, Rel. Min. Luís Roberto Barroso) constitui o marco jurisprudencial definitivo sobre a exigência de prévio requerimento administrativo como condição para o ajuizamento de ações previdenciárias. A tese, com sua regra geral e duas exceções expressas, está reproduzida no box jurisprudencial da seção 23.8 (Cap. 23). Examinamos a seguir seus desdobramentos práticos.</w:t>
      </w:r>
    </w:p>
    <w:p w14:paraId="12825CB0" w14:textId="77777777" w:rsidR="005A5FCC" w:rsidRDefault="00A21C81">
      <w:pPr>
        <w:ind w:firstLine="238"/>
      </w:pPr>
      <w:r>
        <w:rPr>
          <w:rFonts w:cs="EB Garamond"/>
          <w:kern w:val="16"/>
          <w14:ligatures w14:val="standardContextual"/>
        </w:rPr>
        <w:t>A modulação de efeitos fixada pelo STF tem consequências práticas diretas. As ações ajuizadas antes do julgamento do RE 631.240 (03/09/2014) não são atingidas pela exigência, permanecendo válidas independentemente de requerimento prévio. Para as ações posteriores, a tese se aplica integralmente. Para os efeitos processuais do Tema 350 nos JEFs (condição da ação, indeferimento da inicial, regularização superveniente), ver Cap. 23, § 23.8.</w:t>
      </w:r>
    </w:p>
    <w:p w14:paraId="2E2A79F2" w14:textId="77777777" w:rsidR="005A5FCC" w:rsidRDefault="00A21C81">
      <w:pPr>
        <w:ind w:firstLine="238"/>
      </w:pPr>
      <w:r>
        <w:rPr>
          <w:rFonts w:cs="EB Garamond"/>
          <w:kern w:val="16"/>
          <w14:ligatures w14:val="standardContextual"/>
        </w:rPr>
        <w:t>Os desdobramentos jurisprudenciais do Tema 350 são relevantes e ainda se desenvolvem. Se o INSS, citado na ação judicial, contesta o mérito sem arguir a falta de requerimento prévio, entende-se que a questão foi sanada: a resistência à pretensão ficou demonstrada pela própria contestação. Essa solução decorre do próprio Tema 350/STF, cuja tese, no item IV, "b", reconhece que, "caso o INSS já tenha apresentado contestação de mérito, está caracterizado o interesse em agir pela resistência à pretensão". De igual modo, se o segurado formula requerimento administrativo após o ajuizamento da ação, operando-se a regularização superveniente do interesse de agir, o processo não deve ser extinto, pois a exigência foi materialmente atendida. Essas soluções privilegiam a instrumentalidade das formas e a economia processual, evitando a extinção de processos que poderiam ser regularizados sem prejuízo para qualquer das partes.</w:t>
      </w:r>
    </w:p>
    <w:p w14:paraId="2E95009F" w14:textId="77777777" w:rsidR="005A5FCC" w:rsidRDefault="00A21C81">
      <w:pPr>
        <w:ind w:firstLine="238"/>
      </w:pPr>
      <w:r>
        <w:rPr>
          <w:rFonts w:cs="EB Garamond"/>
          <w:kern w:val="16"/>
          <w14:ligatures w14:val="standardContextual"/>
        </w:rPr>
        <w:t xml:space="preserve">No JEF previdenciário, a matéria tem nuances práticas específicas. Em ações de concessão de BPC, por exemplo, a exigência do requerimento prévio encontra temperamento na realidade social dos requerentes, frequentemente pessoas em situação de extrema vulnerabilidade, com dificuldade de acesso às agências do </w:t>
      </w:r>
      <w:r>
        <w:rPr>
          <w:rFonts w:cs="EB Garamond"/>
          <w:kern w:val="16"/>
          <w14:ligatures w14:val="standardContextual"/>
        </w:rPr>
        <w:lastRenderedPageBreak/>
        <w:t>INSS e ao Meu INSS. O juiz deve ponderar se a imposição formal do requerimento prévio não constitui, no caso concreto, barreira desproporcional ao acesso à justiça. Trataremos dos reflexos processuais do Tema 350 na seção 23.8 do Capítulo 23, ao abordar a petição inicial nos JEFs.</w:t>
      </w:r>
    </w:p>
    <w:p w14:paraId="2545A715" w14:textId="77777777" w:rsidR="005A5FCC" w:rsidRDefault="00A21C81">
      <w:pPr>
        <w:ind w:firstLine="238"/>
      </w:pPr>
      <w:r>
        <w:rPr>
          <w:rFonts w:cs="EB Garamond"/>
          <w:kern w:val="16"/>
          <w14:ligatures w14:val="standardContextual"/>
        </w:rPr>
        <w:t>A prova do requerimento prévio incumbe ao autor. O comprovante de protocolo obtido no Meu INSS, o número do benefício (NB) com status de indeferido ou cessado, a carta de indeferimento e até mesmo a consulta ao CNIS com registro de requerimento constituem meios de prova hábeis. Na prática, a juntada da comunicação de indeferimento, com a data, o motivo e o número do protocolo, é suficiente para demonstrar o interesse de agir.</w:t>
      </w:r>
    </w:p>
    <w:p w14:paraId="7C27A9DD" w14:textId="77777777" w:rsidR="005A5FCC" w:rsidRDefault="00A21C81">
      <w:pPr>
        <w:ind w:firstLine="238"/>
      </w:pPr>
      <w:r>
        <w:rPr>
          <w:rFonts w:cs="EB Garamond"/>
          <w:kern w:val="16"/>
          <w14:ligatures w14:val="standardContextual"/>
        </w:rPr>
        <w:t>O juiz do JEF deve agir com prudência ao extinguir processo por falta de requerimento administrativo, intimando o autor para regularização antes de proferir sentença de extinção (art. 6º do CPC). Para o detalhamento do procedimento de regularização e triagem nos JEFs — e para o enunciado integral da tese —, ver Cap. 23, § 23.8.</w:t>
      </w:r>
    </w:p>
    <w:p w14:paraId="18AC904E"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22.23 O processo administrativo como fonte de prova judicial</w:t>
      </w:r>
    </w:p>
    <w:p w14:paraId="2F28AE1E"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46AC8E10" w14:textId="77777777" w:rsidR="005A5FCC" w:rsidRDefault="00A21C81">
      <w:r>
        <w:rPr>
          <w:rFonts w:cs="EB Garamond"/>
          <w:kern w:val="16"/>
          <w14:ligatures w14:val="standardContextual"/>
        </w:rPr>
        <w:t xml:space="preserve"> processo administrativo previdenciário não se esgota em sua função de pressuposto processual; é, acima de tudo, fonte de prova de valor singular para a instrução da ação judicial. Os documentos nele contidos possuem características probatórias próprias que o juiz do JEF deve conhecer e o advogado deve saber explorar.</w:t>
      </w:r>
    </w:p>
    <w:p w14:paraId="64D2DB7E" w14:textId="77777777" w:rsidR="005A5FCC" w:rsidRDefault="00A21C81">
      <w:pPr>
        <w:ind w:firstLine="238"/>
      </w:pPr>
      <w:r>
        <w:rPr>
          <w:rFonts w:cs="EB Garamond"/>
          <w:kern w:val="16"/>
          <w14:ligatures w14:val="standardContextual"/>
        </w:rPr>
        <w:t>O CNIS ocupa posição de destaque como prova privilegiada. O art. 29-A da Lei 8.213/1991 atribui presunção relativa de veracidade aos dados do Cadastro Nacional de Informações Sociais para fins de cálculo do salário de benefício. Os vínculos, remunerações e contribuições registrados no CNIS presumem-se corretos até prova em contrário. A divergência entre CNIS e CTPS gera questão probatória frequente nos JEFs: quando a CTPS registra vínculo não constante do CNIS, a presunção opera em favor das anotações na carteira profissional (Sú</w:t>
      </w:r>
      <w:r>
        <w:rPr>
          <w:rFonts w:cs="EB Garamond"/>
          <w:kern w:val="16"/>
          <w14:ligatures w14:val="standardContextual"/>
        </w:rPr>
        <w:lastRenderedPageBreak/>
        <w:t>mula 75/TNU). Quando o CNIS contém indicadores de pendência ou extemporaneidade, o INSS deve apurar a regularidade da informação antes de utilizá-la para indeferir benefício, e o segurado tem o ônus de esclarecer a divergência na via judicial.</w:t>
      </w:r>
    </w:p>
    <w:p w14:paraId="083B6F42" w14:textId="77777777" w:rsidR="005A5FCC" w:rsidRDefault="00A21C81">
      <w:pPr>
        <w:ind w:firstLine="238"/>
      </w:pPr>
      <w:r>
        <w:rPr>
          <w:rFonts w:cs="EB Garamond"/>
          <w:kern w:val="16"/>
          <w14:ligatures w14:val="standardContextual"/>
        </w:rPr>
        <w:t>A perícia médica administrativa constitui prova complementar relevante, embora não vinculante para o juízo. O laudo pericial do INSS pode ser utilizado como elemento de comparação com a perícia judicial, especialmente para aferir a evolução do quadro clínico entre a data do exame administrativo e a data da perícia judicial. Divergências significativas entre as duas avaliações devem ser objeto de questionamento específico ao perito do juízo.</w:t>
      </w:r>
    </w:p>
    <w:p w14:paraId="6B27DB77" w14:textId="77777777" w:rsidR="005A5FCC" w:rsidRDefault="00A21C81">
      <w:pPr>
        <w:ind w:firstLine="238"/>
      </w:pPr>
      <w:r>
        <w:rPr>
          <w:rFonts w:cs="EB Garamond"/>
          <w:kern w:val="16"/>
          <w14:ligatures w14:val="standardContextual"/>
        </w:rPr>
        <w:t>O processo administrativo original, com fichas financeiras, memórias de cálculo e documentos de concessão, é insubstituível nas ações de revisão. Os dados de base do cálculo do benefício, os índices aplicados e os salários de contribuição considerados encontram-se no processo administrativo, e sua obtenção pelo juízo pode ser determinada mediante ofício ao INSS, com base no art. 11, § 3º, da Lei 10.259/2001, que autoriza o juiz a requisitar informações e documentos necessários à instrução processual.</w:t>
      </w:r>
    </w:p>
    <w:p w14:paraId="731B4FAD" w14:textId="77777777" w:rsidR="005A5FCC" w:rsidRDefault="00A21C81">
      <w:pPr>
        <w:ind w:firstLine="238"/>
      </w:pPr>
      <w:r>
        <w:rPr>
          <w:rFonts w:cs="EB Garamond"/>
          <w:kern w:val="16"/>
          <w14:ligatures w14:val="standardContextual"/>
        </w:rPr>
        <w:t>Na prática dos JEFs, o ofício ao INSS para remessa do processo administrativo digitalizado é ferramenta de uso corrente. O juiz deve fixar prazo razoável para cumprimento (em geral, 30 dias) e especificar os documentos necessários, evitando solicitações genéricas que resultam em remessas incompletas ou excessivas. A digitalização do acervo administrativo pelo INSS tem facilitado o cumprimento dessas determinações, mas ainda há deficiências, especialmente em processos mais antigos, cujos documentos permanecem em formato físico nos arquivos das Agências. A recusa ou demora injustificada no cumprimento do ofício pode ensejar as medidas coercitivas previstas no CPC, incluindo a aplicação de multa diária ao responsável pelo cumprimento.</w:t>
      </w:r>
    </w:p>
    <w:p w14:paraId="79CC8BF7"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22.24 Consolidação das posições adotadas</w:t>
      </w:r>
    </w:p>
    <w:p w14:paraId="37228721"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42A6D554" w14:textId="77777777" w:rsidR="005A5FCC" w:rsidRDefault="00A21C81">
      <w:r>
        <w:rPr>
          <w:rFonts w:cs="EB Garamond"/>
          <w:kern w:val="16"/>
          <w14:ligatures w14:val="standardContextual"/>
        </w:rPr>
        <w:t>o longo deste capítulo, fixamos posições sobre os temas centrais do processo administrativo previdenciário e sua interface com a atividade jurisdicional nos JEFs. Consolidamos, a seguir, as posições adotadas, com indicação das seções em que cada uma foi fundamentada.</w:t>
      </w:r>
    </w:p>
    <w:p w14:paraId="1552D747" w14:textId="77777777" w:rsidR="005A5FCC" w:rsidRDefault="00A21C81">
      <w:pPr>
        <w:ind w:firstLine="238"/>
      </w:pPr>
      <w:r>
        <w:rPr>
          <w:rFonts w:cs="EB Garamond"/>
          <w:b/>
          <w:kern w:val="16"/>
          <w14:ligatures w14:val="standardContextual"/>
        </w:rPr>
        <w:t>Posição 1 — O processo administrativo previdenciário é regido pela Lei 9.784/99, com as especificidades do Decreto 3.048/99.</w:t>
      </w:r>
      <w:r>
        <w:rPr>
          <w:rFonts w:cs="EB Garamond"/>
          <w:kern w:val="16"/>
          <w14:ligatures w14:val="standardContextual"/>
        </w:rPr>
        <w:t xml:space="preserve"> A Lei 9.784/1999 constitui a lei geral do processo administrativo federal e aplica-se ao INSS de forma subsidiária, naquilo que o Regulamento da Previdência Social não disciplinar de modo especial. As garantias de contraditório, ampla defesa, motivação dos atos administrativos e razoabilidade dos prazos são inafastáveis e constituem parâmetros de controle judicial da atividade administrativa previdenciária. Qualquer ato do INSS que viole essas garantias é passível de anulação pelo Poder Judiciário. (Seção 22.1)</w:t>
      </w:r>
    </w:p>
    <w:p w14:paraId="26197784" w14:textId="77777777" w:rsidR="005A5FCC" w:rsidRDefault="00A21C81">
      <w:pPr>
        <w:ind w:firstLine="238"/>
      </w:pPr>
      <w:r>
        <w:rPr>
          <w:rFonts w:cs="EB Garamond"/>
          <w:b/>
          <w:kern w:val="16"/>
          <w14:ligatures w14:val="standardContextual"/>
        </w:rPr>
        <w:t>Posição 2 — O INSS tem o dever de conceder o benefício mais vantajoso.</w:t>
      </w:r>
      <w:r>
        <w:rPr>
          <w:rFonts w:cs="EB Garamond"/>
          <w:kern w:val="16"/>
          <w14:ligatures w14:val="standardContextual"/>
        </w:rPr>
        <w:t xml:space="preserve"> O art. 687 da IN INSS/PRES nº 128/2022 consagra o dever institucional de a autarquia conceder ao segurado o benefício mais vantajoso dentre aqueles a que faz jus, considerando a data do requerimento e as informações disponíveis. Esse dever é de matriz administrativa e não se confunde com a disciplina da decadência fixada pelos repetitivos do STJ: o Tema 966 (REsp 1.631.021/MG, j. 13/02/2019) submeteu o direito de opção pela regra de cálculo mais favorável ao prazo decadencial de dez anos do art. 103 da Lei 8.213/1991, e o Tema 975/STJ (REsp 1.648.336/RS, 1ª Seção, Rel. Min. Herman Benjamin, j. 11/12/2019) delimitou esse prazo, esclarecendo que a decadência não incide sobre questão que não foi objeto de apreciação no ato administrativo de concessão. O segurado prejudicado pode pleitear a concessão do benefício que se revele mais vantajoso, observado o referido prazo. A distinção entre os dois temas está consolidada na seção 22.9. (Seções 22.6 e 22.9)</w:t>
      </w:r>
    </w:p>
    <w:p w14:paraId="3A0AC9B0" w14:textId="77777777" w:rsidR="005A5FCC" w:rsidRDefault="00A21C81">
      <w:pPr>
        <w:ind w:firstLine="238"/>
      </w:pPr>
      <w:r>
        <w:rPr>
          <w:rFonts w:cs="EB Garamond"/>
          <w:b/>
          <w:kern w:val="16"/>
          <w14:ligatures w14:val="standardContextual"/>
        </w:rPr>
        <w:t>Posição 3 — O prazo razoável para decisão administrativa é de 45 dias.</w:t>
      </w:r>
      <w:r>
        <w:rPr>
          <w:rFonts w:cs="EB Garamond"/>
          <w:kern w:val="16"/>
          <w14:ligatures w14:val="standardContextual"/>
        </w:rPr>
        <w:t xml:space="preserve"> O patamar de 45 dias para que o INSS analise e decida o requerimento administrativo decorre da regulamentação administrativa e do dever de decidir em prazo razoável (art. 49 da Lei 9.784/99), e não da tese do Tema 350/STF, que se limita </w:t>
      </w:r>
      <w:r>
        <w:rPr>
          <w:rFonts w:cs="EB Garamond"/>
          <w:kern w:val="16"/>
          <w14:ligatures w14:val="standardContextual"/>
        </w:rPr>
        <w:lastRenderedPageBreak/>
        <w:t>a exigir o prévio requerimento e a reconhecer, na mora administrativa, o interesse de agir (v. Seção 22.6 para a base normativa). Transcorrido esse prazo sem resposta, configura-se a mora administrativa, que enseja o ajuizamento de mandado de segurança ou ação ordinária com pedido de tutela de urgência para compelir a autarquia a decidir. O prazo se aplica tanto à decisão sobre concessão quanto à análise de recursos internos e pedidos de revisão. (Seção 22.6)</w:t>
      </w:r>
    </w:p>
    <w:p w14:paraId="4AE82A65" w14:textId="77777777" w:rsidR="005A5FCC" w:rsidRDefault="00A21C81">
      <w:pPr>
        <w:ind w:firstLine="238"/>
      </w:pPr>
      <w:r>
        <w:rPr>
          <w:rFonts w:cs="EB Garamond"/>
          <w:b/>
          <w:kern w:val="16"/>
          <w14:ligatures w14:val="standardContextual"/>
        </w:rPr>
        <w:t>Posição 4 — O recurso ao CRPS é opção estratégica, não requisito de judicialização.</w:t>
      </w:r>
      <w:r>
        <w:rPr>
          <w:rFonts w:cs="EB Garamond"/>
          <w:kern w:val="16"/>
          <w14:ligatures w14:val="standardContextual"/>
        </w:rPr>
        <w:t xml:space="preserve"> O esgotamento das instâncias administrativas não é condição para o ajuizamento de ação previdenciária. O segurado que tem seu benefício indeferido pode acionar diretamente o Poder Judiciário, sem necessidade de interpor recurso ao CRPS. A opção pelo recurso administrativo é escolha estratégica legítima, cujas vantagens e desvantagens devem ser avaliadas caso a caso, considerando o tipo de matéria, a probabilidade de êxito, o tempo de tramitação e a urgência da prestação. (Seção 22.14)</w:t>
      </w:r>
    </w:p>
    <w:p w14:paraId="47AF4D24" w14:textId="77777777" w:rsidR="005A5FCC" w:rsidRDefault="00A21C81">
      <w:pPr>
        <w:ind w:firstLine="238"/>
      </w:pPr>
      <w:r>
        <w:rPr>
          <w:rFonts w:cs="EB Garamond"/>
          <w:b/>
          <w:kern w:val="16"/>
          <w14:ligatures w14:val="standardContextual"/>
        </w:rPr>
        <w:t>Posição 5 — O INSS pode revisar administrativamente seus próprios atos, com limites.</w:t>
      </w:r>
      <w:r>
        <w:rPr>
          <w:rFonts w:cs="EB Garamond"/>
          <w:kern w:val="16"/>
          <w14:ligatures w14:val="standardContextual"/>
        </w:rPr>
        <w:t xml:space="preserve"> A autotutela administrativa, fundada nas Súmulas 346 e 473 do STF, autoriza o INSS a anular atos de concessão eivados de ilegalidade. O art. 103-A da Lei 8.213/1991 fixa o prazo decadencial de dez anos para o exercício dessa prerrogativa. A revisão administrativa exige contraditório obrigatório, com notificação pessoal do beneficiário, oportunidade de defesa em prazo não inferior a trinta dias e decisão motivada. A exceção ao prazo decadencial restringe-se aos casos de comprovada má-fé. (Seção 22.15)</w:t>
      </w:r>
    </w:p>
    <w:p w14:paraId="2B2F3FDC" w14:textId="77777777" w:rsidR="005A5FCC" w:rsidRDefault="00A21C81">
      <w:pPr>
        <w:ind w:firstLine="238"/>
      </w:pPr>
      <w:r>
        <w:rPr>
          <w:rFonts w:cs="EB Garamond"/>
          <w:b/>
          <w:kern w:val="16"/>
          <w14:ligatures w14:val="standardContextual"/>
        </w:rPr>
        <w:t>Posição 6 — O INSS pode cancelar benefício por incapacidade concedido judicialmente, observados os requisitos do Tema 1.157/STJ (seção 22.17).</w:t>
      </w:r>
      <w:r>
        <w:rPr>
          <w:rFonts w:cs="EB Garamond"/>
          <w:kern w:val="16"/>
          <w14:ligatures w14:val="standardContextual"/>
        </w:rPr>
        <w:t xml:space="preserve"> A sentença concessória opera sob a cláusula rebus sic stantibus; exigem-se fundamentação técnica detalhada, contraditório efetivo e comprovação de mudança concreta na condição de saúde. (Seção 22.17)</w:t>
      </w:r>
    </w:p>
    <w:p w14:paraId="4EB1B655" w14:textId="77777777" w:rsidR="005A5FCC" w:rsidRDefault="00A21C81">
      <w:pPr>
        <w:ind w:firstLine="238"/>
      </w:pPr>
      <w:r>
        <w:rPr>
          <w:rFonts w:cs="EB Garamond"/>
          <w:b/>
          <w:kern w:val="16"/>
          <w14:ligatures w14:val="standardContextual"/>
        </w:rPr>
        <w:t>Posição 7 — O processo administrativo é prova essencial da ação judicial.</w:t>
      </w:r>
      <w:r>
        <w:rPr>
          <w:rFonts w:cs="EB Garamond"/>
          <w:kern w:val="16"/>
          <w14:ligatures w14:val="standardContextual"/>
        </w:rPr>
        <w:t xml:space="preserve"> O advogado previdenciarista deve instruir a petição inicial com a documentação completa do processo administrativo, incluindo requerimento, indeferimento, CNIS, laudos periciais, recursos e decisões. O juiz do JEF, por sua vez, pode e deve requisitar ao INSS o processo administrativo digitalizado quando a </w:t>
      </w:r>
      <w:r>
        <w:rPr>
          <w:rFonts w:cs="EB Garamond"/>
          <w:kern w:val="16"/>
          <w14:ligatures w14:val="standardContextual"/>
        </w:rPr>
        <w:lastRenderedPageBreak/>
        <w:t>instrução se revelar insuficiente. O CNIS goza de presunção relativa de veracidade, a perícia administrativa serve como elemento de comparação, e os documentos de concessão/cálculo são indispensáveis nas ações de revisão. A completude da instrução administrativa reduz a necessidade de diligências judiciais e contribui para a celeridade do processo nos Juizados. (Seções 22.21 e 22.23)</w:t>
      </w:r>
    </w:p>
    <w:p w14:paraId="12ACCBCD" w14:textId="77777777" w:rsidR="005A5FCC" w:rsidRDefault="00A21C81">
      <w:pPr>
        <w:ind w:firstLine="238"/>
      </w:pPr>
      <w:r>
        <w:rPr>
          <w:rFonts w:cs="EB Garamond"/>
          <w:kern w:val="16"/>
          <w14:ligatures w14:val="standardContextual"/>
        </w:rPr>
        <w:t>---</w:t>
      </w:r>
    </w:p>
    <w:p w14:paraId="0A1320B0" w14:textId="77777777" w:rsidR="005A5FCC" w:rsidRDefault="00A21C81">
      <w:pPr>
        <w:spacing w:before="260" w:after="80" w:line="240" w:lineRule="auto"/>
        <w:jc w:val="left"/>
      </w:pPr>
      <w:r>
        <w:rPr>
          <w:rFonts w:cs="EB Garamond"/>
          <w:b/>
          <w:color w:val="3A3128"/>
          <w:kern w:val="16"/>
          <w:sz w:val="25"/>
          <w14:ligatures w14:val="standardContextual"/>
        </w:rPr>
        <w:t>Legislação</w:t>
      </w:r>
    </w:p>
    <w:p w14:paraId="1AD9AFAB"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Constituição Federal de 1988 (arts. 5º, LIV e LV; 194; 195; 201; 203)</w:t>
      </w:r>
    </w:p>
    <w:p w14:paraId="2C3501A6"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Lei 8.213, de 24 de julho de 1991 (arts. 41-A, 60, 103, 103-A, 176)</w:t>
      </w:r>
    </w:p>
    <w:p w14:paraId="088CFE92"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Lei 8.742, de 7 de dezembro de 1993 — LOAS (art. 21)</w:t>
      </w:r>
    </w:p>
    <w:p w14:paraId="240EE289"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Lei 9.784, de 29 de janeiro de 1999</w:t>
      </w:r>
    </w:p>
    <w:p w14:paraId="6A155DC9"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Decreto 3.048, de 6 de maio de 1999 — Regulamento da Previdência Social (arts. 174, 305 e ss.)</w:t>
      </w:r>
    </w:p>
    <w:p w14:paraId="50BBD4D1"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Lei 10.259, de 12 de julho de 2001</w:t>
      </w:r>
    </w:p>
    <w:p w14:paraId="50E025E0"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Lei 13.457, de 26 de junho de 2017</w:t>
      </w:r>
    </w:p>
    <w:p w14:paraId="4219D4F2"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Lei 13.846, de 18 de junho de 2019</w:t>
      </w:r>
    </w:p>
    <w:p w14:paraId="740B2832"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Lei 15.265, de 3 de abril de 2025</w:t>
      </w:r>
    </w:p>
    <w:p w14:paraId="6B11EFA9"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Instrução Normativa INSS/PRES nº 128, de 28 de março de 2022</w:t>
      </w:r>
    </w:p>
    <w:p w14:paraId="2A241D02"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Portaria PRES/INSS nº 1.851, de 17 de novembro de 2025</w:t>
      </w:r>
    </w:p>
    <w:p w14:paraId="46799DE2"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Portaria MPS nº 125, de 14 de fevereiro de 2026</w:t>
      </w:r>
    </w:p>
    <w:p w14:paraId="42AABDDE"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Portaria Conjunta MPS/INSS nº 13, de 21 de março de 2026</w:t>
      </w:r>
    </w:p>
    <w:p w14:paraId="2B42D487" w14:textId="77777777" w:rsidR="005A5FCC" w:rsidRDefault="005A5FCC">
      <w:pPr>
        <w:spacing w:after="60" w:line="240" w:lineRule="auto"/>
      </w:pPr>
    </w:p>
    <w:p w14:paraId="3DE00194" w14:textId="77777777" w:rsidR="005A5FCC" w:rsidRDefault="00A21C81">
      <w:pPr>
        <w:spacing w:before="260" w:after="80" w:line="240" w:lineRule="auto"/>
        <w:jc w:val="left"/>
      </w:pPr>
      <w:r>
        <w:rPr>
          <w:rFonts w:cs="EB Garamond"/>
          <w:b/>
          <w:color w:val="3A3128"/>
          <w:kern w:val="16"/>
          <w:sz w:val="25"/>
          <w14:ligatures w14:val="standardContextual"/>
        </w:rPr>
        <w:t>Jurisprudência</w:t>
      </w:r>
    </w:p>
    <w:p w14:paraId="55A96FFE"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Tema 350/STF (RE 631.240, Plenário, j. 03/09/2014, Rel. Min. Luís Roberto Barroso)</w:t>
      </w:r>
    </w:p>
    <w:p w14:paraId="603A4C52"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Tema 1.196/STF (RE 1.347.526, Tribunal Pleno, Rel. Min. Cristiano Zanin, j. 15/09/2025) — constitucionalidade da alta programada</w:t>
      </w:r>
    </w:p>
    <w:p w14:paraId="378ED8F4"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REsp 1.114.938/AL — Tema 214/STJ (Rel. Min. Napoleão Nunes Maia Filho, 1ª Seção, j. 14/04/2010) — autotutela e prazo decadencial</w:t>
      </w:r>
    </w:p>
    <w:p w14:paraId="7E25E972" w14:textId="77777777" w:rsidR="005A5FCC" w:rsidRDefault="00A21C81">
      <w:pPr>
        <w:spacing w:after="40" w:line="252" w:lineRule="auto"/>
        <w:ind w:left="340" w:hanging="198"/>
      </w:pPr>
      <w:r>
        <w:rPr>
          <w:rFonts w:cs="EB Garamond"/>
          <w:color w:val="3A3128"/>
          <w:kern w:val="16"/>
          <w:sz w:val="20"/>
          <w14:ligatures w14:val="standardContextual"/>
        </w:rPr>
        <w:lastRenderedPageBreak/>
        <w:t xml:space="preserve">• </w:t>
      </w:r>
      <w:r>
        <w:rPr>
          <w:rFonts w:cs="EB Garamond"/>
          <w:kern w:val="16"/>
          <w:sz w:val="20"/>
          <w14:ligatures w14:val="standardContextual"/>
        </w:rPr>
        <w:t>Tema 966/STJ (REsp 1.631.021/MG, 1ª Seção, Rel. Min. Mauro Campbell Marques, j. 13/02/2019)</w:t>
      </w:r>
    </w:p>
    <w:p w14:paraId="0F79AE55"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Tema 975/STJ (REsp 1.648.336/RS, 1ª Seção, Rel. Min. Herman Benjamin, j. 11/12/2019)</w:t>
      </w:r>
    </w:p>
    <w:p w14:paraId="4A21A65B"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Tema 1.157/STJ (1ª Seção, j. 07/05/2026)</w:t>
      </w:r>
    </w:p>
    <w:p w14:paraId="07F7C2BC"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Tema 182/TNU (PEDILEF 0507558-39.2016.4.05.8500/SE) — suspensão/cancelamento indevido de prestação não gera dano moral por si só</w:t>
      </w:r>
    </w:p>
    <w:p w14:paraId="46F65953"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Tema 242/TNU (PEDILEF 0001436-92.2016.4.01.3807/MG) — demora na perícia médica do INSS e responsabilidade civil do Estado</w:t>
      </w:r>
    </w:p>
    <w:p w14:paraId="73CD9360"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Súmula 75/TNU — prevalência das anotações da CTPS sobre o CNIS</w:t>
      </w:r>
    </w:p>
    <w:p w14:paraId="309BBBFE"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Súmulas 346 e 473/STF</w:t>
      </w:r>
    </w:p>
    <w:p w14:paraId="6187CB53" w14:textId="77777777" w:rsidR="005A5FCC" w:rsidRDefault="005A5FCC">
      <w:pPr>
        <w:spacing w:after="60" w:line="240" w:lineRule="auto"/>
      </w:pPr>
    </w:p>
    <w:p w14:paraId="31901701" w14:textId="77777777" w:rsidR="005A5FCC" w:rsidRDefault="00A21C81">
      <w:pPr>
        <w:spacing w:before="260" w:after="80" w:line="240" w:lineRule="auto"/>
        <w:jc w:val="left"/>
      </w:pPr>
      <w:r>
        <w:rPr>
          <w:rFonts w:cs="EB Garamond"/>
          <w:b/>
          <w:color w:val="3A3128"/>
          <w:kern w:val="16"/>
          <w:sz w:val="25"/>
          <w14:ligatures w14:val="standardContextual"/>
        </w:rPr>
        <w:t>Doutrina</w:t>
      </w:r>
    </w:p>
    <w:p w14:paraId="7FCF51C2"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 xml:space="preserve">IBRAHIM, Fábio Zambitte. </w:t>
      </w:r>
      <w:r>
        <w:rPr>
          <w:rFonts w:cs="EB Garamond"/>
          <w:i/>
          <w:kern w:val="16"/>
          <w:sz w:val="20"/>
          <w14:ligatures w14:val="standardContextual"/>
        </w:rPr>
        <w:t>Curso de Direito Previdenciário</w:t>
      </w:r>
      <w:r>
        <w:rPr>
          <w:rFonts w:cs="EB Garamond"/>
          <w:kern w:val="16"/>
          <w:sz w:val="20"/>
          <w14:ligatures w14:val="standardContextual"/>
        </w:rPr>
        <w:t>. 28. Ed. Niterói: Impetus, 2025.</w:t>
      </w:r>
    </w:p>
    <w:p w14:paraId="4F807BDB"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 xml:space="preserve">AMADO, Frederico. </w:t>
      </w:r>
      <w:r>
        <w:rPr>
          <w:rFonts w:cs="EB Garamond"/>
          <w:i/>
          <w:kern w:val="16"/>
          <w:sz w:val="20"/>
          <w14:ligatures w14:val="standardContextual"/>
        </w:rPr>
        <w:t>Curso de Direito e Processo Previdenciário</w:t>
      </w:r>
      <w:r>
        <w:rPr>
          <w:rFonts w:cs="EB Garamond"/>
          <w:kern w:val="16"/>
          <w:sz w:val="20"/>
          <w14:ligatures w14:val="standardContextual"/>
        </w:rPr>
        <w:t>. 19. Ed. Salvador: JusPodivm, 2025.</w:t>
      </w:r>
    </w:p>
    <w:p w14:paraId="0F1C6E7B"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 xml:space="preserve">SAVARIS, José Antonio. </w:t>
      </w:r>
      <w:r>
        <w:rPr>
          <w:rFonts w:cs="EB Garamond"/>
          <w:i/>
          <w:kern w:val="16"/>
          <w:sz w:val="20"/>
          <w14:ligatures w14:val="standardContextual"/>
        </w:rPr>
        <w:t>Direito Processual Previdenciário</w:t>
      </w:r>
      <w:r>
        <w:rPr>
          <w:rFonts w:cs="EB Garamond"/>
          <w:kern w:val="16"/>
          <w:sz w:val="20"/>
          <w14:ligatures w14:val="standardContextual"/>
        </w:rPr>
        <w:t>. 11. Ed. Curitiba: Alteridade, 2023.</w:t>
      </w:r>
    </w:p>
    <w:p w14:paraId="50C72A11" w14:textId="77777777" w:rsidR="005A5FCC" w:rsidRDefault="00A21C81">
      <w:pPr>
        <w:spacing w:after="40" w:line="252" w:lineRule="auto"/>
        <w:ind w:left="340" w:hanging="198"/>
      </w:pPr>
      <w:r>
        <w:rPr>
          <w:rFonts w:cs="EB Garamond"/>
          <w:color w:val="3A3128"/>
          <w:kern w:val="16"/>
          <w:sz w:val="20"/>
          <w14:ligatures w14:val="standardContextual"/>
        </w:rPr>
        <w:t xml:space="preserve">• </w:t>
      </w:r>
      <w:r>
        <w:rPr>
          <w:rFonts w:cs="EB Garamond"/>
          <w:kern w:val="16"/>
          <w:sz w:val="20"/>
          <w14:ligatures w14:val="standardContextual"/>
        </w:rPr>
        <w:t xml:space="preserve">CASTRO, Carlos Alberto Pereira de; LAZZARI, João Batista. </w:t>
      </w:r>
      <w:r>
        <w:rPr>
          <w:rFonts w:cs="EB Garamond"/>
          <w:i/>
          <w:kern w:val="16"/>
          <w:sz w:val="20"/>
          <w14:ligatures w14:val="standardContextual"/>
        </w:rPr>
        <w:t>Manual de Direito Previdenciário</w:t>
      </w:r>
      <w:r>
        <w:rPr>
          <w:rFonts w:cs="EB Garamond"/>
          <w:kern w:val="16"/>
          <w:sz w:val="20"/>
          <w14:ligatures w14:val="standardContextual"/>
        </w:rPr>
        <w:t>. 28. Ed. Rio de Janeiro: Forense, 2025.</w:t>
      </w:r>
    </w:p>
    <w:p w14:paraId="03A5AFA9" w14:textId="77777777" w:rsidR="005A5FCC" w:rsidRDefault="005A5FCC">
      <w:pPr>
        <w:spacing w:after="60" w:line="240" w:lineRule="auto"/>
      </w:pPr>
    </w:p>
    <w:p w14:paraId="6AA82626" w14:textId="77777777" w:rsidR="005A5FCC" w:rsidRDefault="005A5FCC">
      <w:pPr>
        <w:sectPr w:rsidR="005A5FCC">
          <w:headerReference w:type="even" r:id="rId216"/>
          <w:headerReference w:type="default" r:id="rId217"/>
          <w:footerReference w:type="even" r:id="rId218"/>
          <w:footerReference w:type="default" r:id="rId219"/>
          <w:headerReference w:type="first" r:id="rId220"/>
          <w:footerReference w:type="first" r:id="rId221"/>
          <w:pgSz w:w="8391" w:h="11906"/>
          <w:pgMar w:top="935" w:right="879" w:bottom="964" w:left="1162" w:header="454" w:footer="425" w:gutter="0"/>
          <w:cols w:space="720"/>
          <w:titlePg/>
          <w:docGrid w:linePitch="360"/>
        </w:sectPr>
      </w:pPr>
    </w:p>
    <w:p w14:paraId="4FCC7A16" w14:textId="77777777" w:rsidR="005A5FCC" w:rsidRDefault="00A21C81">
      <w:pPr>
        <w:keepNext/>
        <w:spacing w:before="240" w:after="80" w:line="240" w:lineRule="auto"/>
        <w:jc w:val="center"/>
      </w:pPr>
      <w:r>
        <w:rPr>
          <w:rFonts w:ascii="Noto Sans" w:hAnsi="Noto Sans" w:cs="Noto Sans"/>
          <w:b/>
          <w:caps/>
          <w:color w:val="8A6A2A"/>
          <w:kern w:val="16"/>
          <w:sz w:val="19"/>
          <w14:ligatures w14:val="standardContextual"/>
        </w:rPr>
        <w:lastRenderedPageBreak/>
        <w:t>CAPÍTULO 23</w:t>
      </w:r>
    </w:p>
    <w:p w14:paraId="7274889D" w14:textId="77777777" w:rsidR="005A5FCC" w:rsidRDefault="00A21C81">
      <w:pPr>
        <w:pStyle w:val="Ttulo2"/>
        <w:spacing w:line="240" w:lineRule="auto"/>
      </w:pPr>
      <w:r>
        <w:rPr>
          <w:rFonts w:ascii="EB Garamond" w:hAnsi="EB Garamond" w:cs="EB Garamond"/>
          <w:caps/>
          <w:kern w:val="16"/>
          <w14:ligatures w14:val="standardContextual"/>
        </w:rPr>
        <w:t>Competência e Procedimento no JEF</w:t>
      </w:r>
    </w:p>
    <w:p w14:paraId="7BA9DB14" w14:textId="77777777" w:rsidR="005A5FCC" w:rsidRDefault="00A21C81">
      <w:pPr>
        <w:spacing w:after="240" w:line="240" w:lineRule="auto"/>
        <w:jc w:val="center"/>
      </w:pPr>
      <w:r>
        <w:rPr>
          <w:rFonts w:cs="EB Garamond"/>
          <w:color w:val="B78B37"/>
          <w:kern w:val="16"/>
          <w:sz w:val="18"/>
          <w14:ligatures w14:val="standardContextual"/>
        </w:rPr>
        <w:t>━━━━  ◆  ━━━━</w:t>
      </w:r>
    </w:p>
    <w:p w14:paraId="3E468BC5"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336CE7FF" w14:textId="77777777" w:rsidR="005A5FCC" w:rsidRDefault="00A21C81">
      <w:r>
        <w:rPr>
          <w:rFonts w:cs="EB Garamond"/>
          <w:kern w:val="16"/>
          <w14:ligatures w14:val="standardContextual"/>
        </w:rPr>
        <w:t>s Juizados Especiais Federais constituem o principal locus de processamento e julgamento das demandas previdenciárias no Brasil. Criados pela Lei n. 10.259, de 12 de julho de 2001, os JEFs absorveram a quase totalidade das ações contra o INSS cujo valor da causa não excede 60 salários mínimos, concentrando volume expressivo de processos em rito que privilegia a oralidade, a simplicidade, a informalidade, a economia processual e a celeridade (art. 2º da Lei n. 9.099/95, aplicável subsidiariamente por força do art. 1º da Lei n. 10.259/2001).</w:t>
      </w:r>
    </w:p>
    <w:p w14:paraId="740CFCE6" w14:textId="77777777" w:rsidR="005A5FCC" w:rsidRDefault="00A21C81">
      <w:pPr>
        <w:ind w:firstLine="238"/>
      </w:pPr>
      <w:r>
        <w:rPr>
          <w:rFonts w:cs="EB Garamond"/>
          <w:kern w:val="16"/>
          <w14:ligatures w14:val="standardContextual"/>
        </w:rPr>
        <w:t>O domínio das regras de competência e procedimento dos JEFs é pressuposto da atuação eficaz do advogado previdenciarista e do magistrado federal. Erros na fixação da competência, no cálculo do valor da causa, na condução das audiências ou na execução da sentença comprometem o resultado do processo e, em última análise, o acesso do segurado à proteção previdenciária. O presente capítulo examina cada uma dessas questões com a profundidade exigida pela prática forense, articulando a legislação processual com a jurisprudência consolidada dos Tribunais Regionais Federais, da Turma Nacional de Uniformização e do Supremo Tribunal Federal.</w:t>
      </w:r>
    </w:p>
    <w:tbl>
      <w:tblPr>
        <w:tblW w:w="4600" w:type="pct"/>
        <w:jc w:val="center"/>
        <w:tblLook w:val="04A0" w:firstRow="1" w:lastRow="0" w:firstColumn="1" w:lastColumn="0" w:noHBand="0" w:noVBand="1"/>
      </w:tblPr>
      <w:tblGrid>
        <w:gridCol w:w="5824"/>
      </w:tblGrid>
      <w:tr w:rsidR="005A5FCC" w14:paraId="3AEEEDA9" w14:textId="77777777">
        <w:trPr>
          <w:jc w:val="center"/>
        </w:trPr>
        <w:tc>
          <w:tcPr>
            <w:tcW w:w="6350" w:type="dxa"/>
            <w:tcBorders>
              <w:left w:val="single" w:sz="16" w:space="0" w:color="B78B37"/>
            </w:tcBorders>
            <w:tcMar>
              <w:top w:w="100" w:type="dxa"/>
              <w:left w:w="240" w:type="dxa"/>
              <w:bottom w:w="100" w:type="dxa"/>
              <w:right w:w="180" w:type="dxa"/>
            </w:tcMar>
          </w:tcPr>
          <w:p w14:paraId="314EE689" w14:textId="77777777" w:rsidR="005A5FCC" w:rsidRDefault="00A21C81">
            <w:pPr>
              <w:spacing w:after="60" w:line="252" w:lineRule="auto"/>
            </w:pPr>
            <w:r>
              <w:rPr>
                <w:rFonts w:cs="EB Garamond"/>
                <w:b/>
                <w:i/>
                <w:color w:val="3A3128"/>
                <w:kern w:val="16"/>
                <w:sz w:val="20"/>
                <w14:ligatures w14:val="standardContextual"/>
              </w:rPr>
              <w:t>Nota metodológica.</w:t>
            </w:r>
            <w:r>
              <w:rPr>
                <w:rFonts w:cs="EB Garamond"/>
                <w:i/>
                <w:color w:val="3A3128"/>
                <w:kern w:val="16"/>
                <w:sz w:val="20"/>
                <w14:ligatures w14:val="standardContextual"/>
              </w:rPr>
              <w:t xml:space="preserve"> As súmulas, teses e enunciados invocados ao longo deste capítulo foram cotejados com os repositórios oficiais respectivos. A numeração e a redação dos enunciados do FONAJEF, em particular, são periodicamente revistas e consolidadas; antes de qualquer transcrição literal em peça processual, recomendamos a conferência do texto vigente no sítio do FONAJEF/CJF. A mesma cautela vale para teses de repercussão geral e de recursos repetitivos de fixação muito recente, cujo inteiro teor deve ser </w:t>
            </w:r>
            <w:r>
              <w:rPr>
                <w:rFonts w:cs="EB Garamond"/>
                <w:i/>
                <w:color w:val="3A3128"/>
                <w:kern w:val="16"/>
                <w:sz w:val="20"/>
                <w14:ligatures w14:val="standardContextual"/>
              </w:rPr>
              <w:lastRenderedPageBreak/>
              <w:t>confrontado com o registro do tribunal de origem. Para não repetir a ressalva a cada citação, ela fica aqui consolidada e é retomada no corpo do texto apenas nos pontos em que a instabilidade da fonte a torna indispensável.</w:t>
            </w:r>
          </w:p>
        </w:tc>
      </w:tr>
    </w:tbl>
    <w:p w14:paraId="7B2048B4" w14:textId="77777777" w:rsidR="005A5FCC" w:rsidRDefault="005A5FCC">
      <w:pPr>
        <w:spacing w:after="80" w:line="240" w:lineRule="auto"/>
      </w:pPr>
    </w:p>
    <w:p w14:paraId="20921934"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23.1 Criação e fundamento constitucional dos JEFs</w:t>
      </w:r>
    </w:p>
    <w:p w14:paraId="1FDDA474"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14FAB156" w14:textId="77777777" w:rsidR="005A5FCC" w:rsidRDefault="00A21C81">
      <w:r>
        <w:rPr>
          <w:rFonts w:cs="EB Garamond"/>
          <w:kern w:val="16"/>
          <w14:ligatures w14:val="standardContextual"/>
        </w:rPr>
        <w:t>s Juizados Especiais Federais foram instituídos pela Lei n. 10.259/2001, em cumprimento ao mandamento constitucional do art. 98, inciso I, da Constituição Federal, que prevê a criação de juizados especiais pela União no âmbito da Justiça Federal. A Emenda Constitucional n. 22/1999 inseriu o parágrafo único no art. 98, determinando que lei federal disporá sobre a criação de juizados especiais no âmbito da Justiça Federal, dispositivo regulamentado pela Lei n. 10.259/2001, publicada em 13 de julho de 2001 e em vigor seis meses após a publicação (art. 27), ou seja, a partir de 14 de janeiro de 2002.</w:t>
      </w:r>
    </w:p>
    <w:p w14:paraId="7071F6BF" w14:textId="77777777" w:rsidR="005A5FCC" w:rsidRDefault="00A21C81">
      <w:pPr>
        <w:ind w:firstLine="238"/>
      </w:pPr>
      <w:r>
        <w:rPr>
          <w:rFonts w:cs="EB Garamond"/>
          <w:kern w:val="16"/>
          <w14:ligatures w14:val="standardContextual"/>
        </w:rPr>
        <w:t>A finalidade dos JEFs é democratizar o acesso à Justiça Federal, tradicionalmente percebida como distante do cidadão comum. O rito sumaríssimo, a dispensa de advogado em primeiro grau, a gratuidade processual, a oralidade e a busca pela conciliação tornam o JEF instrumento acessível ao segurado que litiga contra o INSS. Na prática, os JEFs transformaram a dinâmica da litigância previdenciária: antes de sua criação, ações de benefícios previdenciários de baixo valor tramitavam nas varas federais comuns, com rito ordinário, prazos extensos e custas processuais, o que desestimulava o acesso judicial de segurados hipossuficientes.</w:t>
      </w:r>
    </w:p>
    <w:p w14:paraId="5F13FAAA" w14:textId="77777777" w:rsidR="005A5FCC" w:rsidRDefault="00A21C81">
      <w:pPr>
        <w:ind w:firstLine="238"/>
      </w:pPr>
      <w:r>
        <w:rPr>
          <w:rFonts w:cs="EB Garamond"/>
          <w:kern w:val="16"/>
          <w14:ligatures w14:val="standardContextual"/>
        </w:rPr>
        <w:t xml:space="preserve">A Lei n. 10.259/2001 não constitui sistema normativo autossuficiente. O art. 1º estabelece que são aplicáveis subsidiariamente as disposições da Lei n. 9.099, de 26 de setembro de 1995, no que não conflitarem com a lei especial. A remissão à Lei n. 9.099/95 (Juizados Especiais Cíveis estaduais) importa na aplicação dos princípios gerais, das regras de audiência, de instrução e de julgamento, no que </w:t>
      </w:r>
      <w:r>
        <w:rPr>
          <w:rFonts w:cs="EB Garamond"/>
          <w:kern w:val="16"/>
          <w14:ligatures w14:val="standardContextual"/>
        </w:rPr>
        <w:lastRenderedPageBreak/>
        <w:t>compatíveis com o microssistema federal. A subsidiariedade não é irrestrita: dispositivos da Lei n. 9.099/95 que conflitem com a Lei n. 10.259/2001 ou com as peculiaridades da Justiça Federal são afastados.</w:t>
      </w:r>
    </w:p>
    <w:p w14:paraId="1C844093" w14:textId="77777777" w:rsidR="005A5FCC" w:rsidRDefault="00A21C81">
      <w:pPr>
        <w:ind w:firstLine="238"/>
      </w:pPr>
      <w:r>
        <w:rPr>
          <w:rFonts w:cs="EB Garamond"/>
          <w:kern w:val="16"/>
          <w14:ligatures w14:val="standardContextual"/>
        </w:rPr>
        <w:t>O Código de Processo Civil de 2015 (Lei n. 13.105/2015) aplica-se aos JEFs de forma residual, quando a Lei n. 10.259/2001 e a Lei n. 9.099/95 não disciplinarem a matéria. O art. 1.062 do CPC/2015 prevê expressamente que o incidente de desconsideração da personalidade jurídica e os dispositivos sobre tutela provisória aplicam-se aos juizados especiais. A integração normativa exige do operador a articulação permanente entre os três diplomas processuais.</w:t>
      </w:r>
    </w:p>
    <w:p w14:paraId="18AE01B3" w14:textId="77777777" w:rsidR="005A5FCC" w:rsidRDefault="00A21C81">
      <w:pPr>
        <w:ind w:firstLine="238"/>
      </w:pPr>
      <w:r>
        <w:rPr>
          <w:rFonts w:cs="EB Garamond"/>
          <w:kern w:val="16"/>
          <w14:ligatures w14:val="standardContextual"/>
        </w:rPr>
        <w:t>Os dados estatísticos revelam a magnitude do sistema. Os JEFs recebem, a cada ano, milhões de ações novas, em sua maior parte voltadas a benefícios previdenciários contra o INSS, de sorte que a matéria previdenciária constitui o núcleo do acervo dos juizados especiais federais, sobretudo nas seções judiciárias de maior porte, como São Paulo, Rio de Janeiro, Minas Gerais e Rio Grande do Sul. Os números atualizados de distribuição e acervo — que oscilam ano a ano e cuja indicação exata extrapolaria a finalidade desta exposição — podem ser consultados nos relatórios "Justiça em Números", do Conselho Nacional de Justiça, e nas estatísticas do Conselho da Justiça Federal, referidos ao respectivo ano-base. A implantação dos JEFs itinerantes (unidades móveis que percorrem comarcas do interior) e das varas federais avançadas (instaladas em municípios que não são sede de subseção judiciária) ampliou a cobertura territorial do sistema, reduzindo a necessidade de deslocamento do segurado até as capitais.</w:t>
      </w:r>
    </w:p>
    <w:p w14:paraId="6683EFA4" w14:textId="77777777" w:rsidR="005A5FCC" w:rsidRDefault="00A21C81">
      <w:pPr>
        <w:ind w:firstLine="238"/>
      </w:pPr>
      <w:r>
        <w:rPr>
          <w:rFonts w:cs="EB Garamond"/>
          <w:kern w:val="16"/>
          <w14:ligatures w14:val="standardContextual"/>
        </w:rPr>
        <w:t>A informatização do processo judicial nos JEFs antecedeu a adoção do processo eletrônico pelo restante da Justiça Federal. Os sistemas PJe (Processo Judicial eletrônico) e e-Proc (sistema do TRF da 4ª Região) foram implantados nos JEFs antes de serem estendidos às varas federais comuns e aos tribunais. A experiência dos JEFs serviu de laboratório para a digitalização do Judiciário Federal, confirmando a viabilidade do processo integralmente eletrônico em larga escala.</w:t>
      </w:r>
    </w:p>
    <w:tbl>
      <w:tblPr>
        <w:tblW w:w="5000" w:type="pct"/>
        <w:jc w:val="center"/>
        <w:tblLayout w:type="fixed"/>
        <w:tblLook w:val="04A0" w:firstRow="1" w:lastRow="0" w:firstColumn="1" w:lastColumn="0" w:noHBand="0" w:noVBand="1"/>
      </w:tblPr>
      <w:tblGrid>
        <w:gridCol w:w="6311"/>
      </w:tblGrid>
      <w:tr w:rsidR="005A5FCC" w14:paraId="061B360C"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6E8D4895"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3D266C72" w14:textId="77777777" w:rsidR="005A5FCC" w:rsidRDefault="00A21C81">
            <w:pPr>
              <w:spacing w:after="60" w:line="247" w:lineRule="auto"/>
            </w:pPr>
            <w:r>
              <w:rPr>
                <w:rFonts w:cs="EB Garamond"/>
                <w:kern w:val="16"/>
                <w:sz w:val="19"/>
                <w14:ligatures w14:val="standardContextual"/>
              </w:rPr>
              <w:t>O advogado que atua nos JEFs previdenciários deve dominar a hierarquia normativa do microssistema: primeiro, aplica-se a Lei n. 10.259/2001 (lei especial dos JEFs); na lacuna, aplica-se a Lei n. 9.099/95 (juizados especiais cíveis estaduais), no que compatível; na lacuna de ambas, aplica-se o CPC/2015, de forma supletiva e subsidiária (art. 1.046, § 2º, CPC/2015). Os Enunciados do FONAJEF (Fórum Nacional dos Juizados Especiais Federais) orientam a aplicação prática, embora sem força vinculante. A Resolução CJF n. 390/2004, que regulamenta os JEFs, complementa o arcabouço normativo. A articulação entre essas fontes é tarefa cotidiana do operador do direito previdenciário nos JEFs.</w:t>
            </w:r>
          </w:p>
        </w:tc>
      </w:tr>
    </w:tbl>
    <w:p w14:paraId="5CF51BA9" w14:textId="77777777" w:rsidR="005A5FCC" w:rsidRDefault="005A5FCC">
      <w:pPr>
        <w:spacing w:after="80" w:line="240" w:lineRule="auto"/>
      </w:pPr>
    </w:p>
    <w:p w14:paraId="4233102A"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23.2 Competência material: matéria previdenciária</w:t>
      </w:r>
    </w:p>
    <w:p w14:paraId="3BFFF912"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6602EAE6" w14:textId="5F81BA31" w:rsidR="005A5FCC" w:rsidRDefault="00A21C81">
      <w:r>
        <w:rPr>
          <w:rFonts w:cs="EB Garamond"/>
          <w:kern w:val="16"/>
          <w14:ligatures w14:val="standardContextual"/>
        </w:rPr>
        <w:t xml:space="preserve"> competência material dos JEFs abrange as causas de competência da Justiça Federal previstas no art. 109 da Constituição Federal, desde que não excluídas pelo art. 3º, § 1º, da Lei n. 10.259/2001. As ações previdenciárias contra o INSS inserem-se na competência federal (art. 109, I, CF/88: causas em que a autarquia federal é interessada), e constituem, numericamente, a maioria das demandas processadas nos JEFs.</w:t>
      </w:r>
    </w:p>
    <w:p w14:paraId="18FA5EB6" w14:textId="77777777" w:rsidR="005A5FCC" w:rsidRDefault="00A21C81">
      <w:pPr>
        <w:ind w:firstLine="238"/>
      </w:pPr>
      <w:r>
        <w:rPr>
          <w:rFonts w:cs="EB Garamond"/>
          <w:kern w:val="16"/>
          <w14:ligatures w14:val="standardContextual"/>
        </w:rPr>
        <w:t>A competência material do JEF previdenciário abrange um leque amplo de pretensões. Nele se inserem, em primeiro lugar, as ações de concessão de benefícios previdenciários — aposentadorias, pensão por morte, auxílio por incapacidade temporária, salário-maternidade — e, ao lado delas, as ações de revisão de benefícios já concedidos e as de restabelecimento de benefícios cessados. Abrange, ainda, as ações de concessão do BPC/LOAS (benefício assistencial), as ações declaratórias voltadas ao reconhecimento de tempo de contribuição, ao reconhecimento de atividade especial ou à averbação de tempo rural, e as ações de obrigação de fazer contra o INSS, como a retificação do CNIS e a emissão de certidão de tempo de contribuição.</w:t>
      </w:r>
    </w:p>
    <w:p w14:paraId="581027D5" w14:textId="77777777" w:rsidR="005A5FCC" w:rsidRDefault="00A21C81">
      <w:pPr>
        <w:ind w:firstLine="238"/>
      </w:pPr>
      <w:r>
        <w:rPr>
          <w:rFonts w:cs="EB Garamond"/>
          <w:kern w:val="16"/>
          <w14:ligatures w14:val="standardContextual"/>
        </w:rPr>
        <w:lastRenderedPageBreak/>
        <w:t>As exclusões de competência previstas no art. 3º, § 1º, da Lei n. 10.259/2001 não alcançam as demandas previdenciárias típicas. As matérias excluídas referem-se a mandados de segurança, ações de desapropriação, ações populares, execuções fiscais, ações de improbidade administrativa e ações sobre direitos difusos ou coletivos. Nenhuma dessas exclusões afeta a competência previdenciária, que é plenamente exercida no âmbito dos JEFs.</w:t>
      </w:r>
    </w:p>
    <w:tbl>
      <w:tblPr>
        <w:tblW w:w="5000" w:type="pct"/>
        <w:jc w:val="center"/>
        <w:tblLayout w:type="fixed"/>
        <w:tblLook w:val="04A0" w:firstRow="1" w:lastRow="0" w:firstColumn="1" w:lastColumn="0" w:noHBand="0" w:noVBand="1"/>
      </w:tblPr>
      <w:tblGrid>
        <w:gridCol w:w="6311"/>
      </w:tblGrid>
      <w:tr w:rsidR="005A5FCC" w14:paraId="3C3F0FF3"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7ED50DA9"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4E7A1331" w14:textId="77777777" w:rsidR="005A5FCC" w:rsidRDefault="00A21C81">
            <w:pPr>
              <w:spacing w:after="60" w:line="247" w:lineRule="auto"/>
            </w:pPr>
            <w:r>
              <w:rPr>
                <w:rFonts w:cs="EB Garamond"/>
                <w:kern w:val="16"/>
                <w:sz w:val="19"/>
                <w14:ligatures w14:val="standardContextual"/>
              </w:rPr>
              <w:t>A pensão por morte acidentária (espécie B93) constitui exceção relevante. Nos termos do art. 109, I, parte final, da CF/88, e da Súmula 501 do STF ("Compete à Justiça ordinária estadual o processo e o julgamento, em ambas as instâncias, das causas de acidente do trabalho, ainda que promovidas contra a União, suas autarquias, empresas públicas ou sociedades de economia mista"), as causas de acidente do trabalho são de competência da Justiça Estadual (cível comum), não da Justiça Federal. A pensão por morte de origem acidentária, por integrar o gênero "causas de acidente do trabalho", é processada e julgada pela Justiça Estadual, fora da competência dos JEFs. A distinção entre pensão por morte previdenciária (B21, competência dos JEFs) e pensão por morte acidentária (B93, competência estadual) é fonte de equívocos na distribuição de ações. Quando houver dúvida sobre a natureza do benefício, o advogado deve requerer o benefício previdenciário comum no JEF e, paralelamente, a pensão acidentária na Justiça Estadual.</w:t>
            </w:r>
          </w:p>
        </w:tc>
      </w:tr>
    </w:tbl>
    <w:p w14:paraId="5A53AC40" w14:textId="77777777" w:rsidR="005A5FCC" w:rsidRDefault="005A5FCC">
      <w:pPr>
        <w:spacing w:after="80" w:line="240" w:lineRule="auto"/>
      </w:pPr>
    </w:p>
    <w:p w14:paraId="5703FE52"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23.3 Competência em razão do valor da causa</w:t>
      </w:r>
    </w:p>
    <w:p w14:paraId="4F407F48"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785FD1C8" w14:textId="400941DA" w:rsidR="005A5FCC" w:rsidRDefault="00A21C81">
      <w:r>
        <w:rPr>
          <w:rFonts w:cs="EB Garamond"/>
          <w:kern w:val="16"/>
          <w14:ligatures w14:val="standardContextual"/>
        </w:rPr>
        <w:t xml:space="preserve"> art. 3º, caput, da Lei n. 10.259/2001 fixa a competência dos JEFs para causas cujo valor não exceda 60 </w:t>
      </w:r>
      <w:r w:rsidR="006C5995">
        <w:rPr>
          <w:rFonts w:cs="EB Garamond"/>
          <w:kern w:val="16"/>
          <w14:ligatures w14:val="standardContextual"/>
        </w:rPr>
        <w:t>salários-mínimos</w:t>
      </w:r>
      <w:r>
        <w:rPr>
          <w:rFonts w:cs="EB Garamond"/>
          <w:kern w:val="16"/>
          <w14:ligatures w14:val="standardContextual"/>
        </w:rPr>
        <w:t xml:space="preserve">. O valor da causa é aferido na data do ajuizamento da ação, tomando-se por referência o </w:t>
      </w:r>
      <w:r w:rsidR="006C5995">
        <w:rPr>
          <w:rFonts w:cs="EB Garamond"/>
          <w:kern w:val="16"/>
          <w14:ligatures w14:val="standardContextual"/>
        </w:rPr>
        <w:t>salário-mínimo</w:t>
      </w:r>
      <w:r>
        <w:rPr>
          <w:rFonts w:cs="EB Garamond"/>
          <w:kern w:val="16"/>
          <w14:ligatures w14:val="standardContextual"/>
        </w:rPr>
        <w:t xml:space="preserve"> vigente naquele momento. Em 2026, com o </w:t>
      </w:r>
      <w:r w:rsidR="006C5995">
        <w:rPr>
          <w:rFonts w:cs="EB Garamond"/>
          <w:kern w:val="16"/>
          <w14:ligatures w14:val="standardContextual"/>
        </w:rPr>
        <w:t>salário-mínimo</w:t>
      </w:r>
      <w:r>
        <w:rPr>
          <w:rFonts w:cs="EB Garamond"/>
          <w:kern w:val="16"/>
          <w14:ligatures w14:val="standardContextual"/>
        </w:rPr>
        <w:t xml:space="preserve"> fixado em R$ 1.621,00, o teto do JEF corresponde a R$ 97.260,00.</w:t>
      </w:r>
    </w:p>
    <w:p w14:paraId="0EFFE3B0" w14:textId="77777777" w:rsidR="005A5FCC" w:rsidRDefault="00A21C81">
      <w:pPr>
        <w:ind w:firstLine="238"/>
      </w:pPr>
      <w:r>
        <w:rPr>
          <w:rFonts w:cs="EB Garamond"/>
          <w:kern w:val="16"/>
          <w14:ligatures w14:val="standardContextual"/>
        </w:rPr>
        <w:t xml:space="preserve">A natureza da competência em razão do valor é absoluta. O art. 3º, § 3º, da Lei n. 10.259/2001 dispõe que "no foro onde estiver instalada Vara do Juizado Especial, a sua competência é absoluta". O STF, no julgamento do Tema 1.277 (RE 1.426.083, rel. Min. Alexandre de Moraes, julgamento em 25/08/2025), fixou </w:t>
      </w:r>
      <w:r>
        <w:rPr>
          <w:rFonts w:cs="EB Garamond"/>
          <w:kern w:val="16"/>
          <w14:ligatures w14:val="standardContextual"/>
        </w:rPr>
        <w:lastRenderedPageBreak/>
        <w:t>tese definindo que "o art. 3º, § 3º, da Lei 10.259/2001 é compatível com a Constituição Federal, devendo ser interpretado no sentido de que a competência absoluta dos juizados especiais federais se restringe ao valor da causa, havendo a faculdade de escolha do foro pelo demandante na forma do art. 109, § 2º, da CF/88".</w:t>
      </w:r>
    </w:p>
    <w:p w14:paraId="09CE9E7F" w14:textId="631631D4" w:rsidR="005A5FCC" w:rsidRDefault="00A21C81">
      <w:pPr>
        <w:ind w:firstLine="238"/>
      </w:pPr>
      <w:r>
        <w:rPr>
          <w:rFonts w:cs="EB Garamond"/>
          <w:kern w:val="16"/>
          <w14:ligatures w14:val="standardContextual"/>
        </w:rPr>
        <w:t xml:space="preserve">A decisão do Tema 1.277 tem três implicações relevantes para a prática previdenciária. Primeira: a competência absoluta refere-se exclusivamente ao critério do valor da causa. Se o valor não excede 60 </w:t>
      </w:r>
      <w:r w:rsidR="006C5995">
        <w:rPr>
          <w:rFonts w:cs="EB Garamond"/>
          <w:kern w:val="16"/>
          <w14:ligatures w14:val="standardContextual"/>
        </w:rPr>
        <w:t>salários-mínimos</w:t>
      </w:r>
      <w:r>
        <w:rPr>
          <w:rFonts w:cs="EB Garamond"/>
          <w:kern w:val="16"/>
          <w14:ligatures w14:val="standardContextual"/>
        </w:rPr>
        <w:t xml:space="preserve"> e existe JEF instalado, a demanda deve ser obrigatoriamente ajuizada no JEF, sendo vedado o ajuizamento na vara federal comum. Segunda: a competência territorial permanece como faculdade do demandante, que pode escolher o JEF do seu domicílio, do local onde ocorreu o fato ou do Distrito Federal, nos termos do art. 109, § 2º, da CF/88. Terceira: havendo JEF instalado na localidade, o autor deve ajuizar nele, mas pode eleger territorialmente qual JEF utilizará, sem que o INSS possa arguir incompetência territorial.</w:t>
      </w:r>
    </w:p>
    <w:tbl>
      <w:tblPr>
        <w:tblW w:w="5000" w:type="pct"/>
        <w:jc w:val="center"/>
        <w:tblLayout w:type="fixed"/>
        <w:tblLook w:val="04A0" w:firstRow="1" w:lastRow="0" w:firstColumn="1" w:lastColumn="0" w:noHBand="0" w:noVBand="1"/>
      </w:tblPr>
      <w:tblGrid>
        <w:gridCol w:w="6311"/>
      </w:tblGrid>
      <w:tr w:rsidR="005A5FCC" w14:paraId="649AB603"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56A33385" w14:textId="77777777" w:rsidR="005A5FCC" w:rsidRDefault="00A21C81">
            <w:pPr>
              <w:spacing w:after="60" w:line="240" w:lineRule="auto"/>
              <w:jc w:val="left"/>
            </w:pPr>
            <w:r>
              <w:rPr>
                <w:rFonts w:ascii="Noto Sans" w:hAnsi="Noto Sans" w:cs="Noto Sans"/>
                <w:b/>
                <w:caps/>
                <w:color w:val="4D6F8A"/>
                <w:kern w:val="16"/>
                <w:sz w:val="16"/>
                <w14:ligatures w14:val="standardContextual"/>
              </w:rPr>
              <w:t>JURISPRUDÊNCIA EM DESTAQUE</w:t>
            </w:r>
          </w:p>
          <w:p w14:paraId="4DFC56CC" w14:textId="77777777" w:rsidR="005A5FCC" w:rsidRDefault="00A21C81">
            <w:pPr>
              <w:spacing w:after="60" w:line="247" w:lineRule="auto"/>
            </w:pPr>
            <w:r>
              <w:rPr>
                <w:rFonts w:cs="EB Garamond"/>
                <w:b/>
                <w:kern w:val="16"/>
                <w:sz w:val="19"/>
                <w14:ligatures w14:val="standardContextual"/>
              </w:rPr>
              <w:t>STF, Tema 1.277 (RE 1.426.083, rel. Min. Alexandre de Moraes, julgamento em 25/08/2025)</w:t>
            </w:r>
            <w:r>
              <w:rPr>
                <w:rFonts w:cs="EB Garamond"/>
                <w:kern w:val="16"/>
                <w:sz w:val="19"/>
                <w14:ligatures w14:val="standardContextual"/>
              </w:rPr>
              <w:t>: "O art. 3º, § 3º, da Lei 10.259/2001 é compatível com a Constituição Federal, devendo ser interpretado no sentido de que a competência absoluta dos juizados especiais federais se restringe ao valor da causa, havendo a faculdade de escolha do foro pelo demandante na forma do art. 109, § 2º, da CF/88." A decisão pacificou controvérsia sobre se a competência absoluta dos JEFs abrangia tanto o valor quanto o território, consolidando a distinção: valor é critério absoluto; território é faculdade do autor. O tema teve o mérito julgado, e a redação da tese aqui transcrita reproduz o texto fixado no registro de repercussão geral do STF (Tema 1.277).</w:t>
            </w:r>
          </w:p>
        </w:tc>
      </w:tr>
    </w:tbl>
    <w:p w14:paraId="1E456C21" w14:textId="77777777" w:rsidR="005A5FCC" w:rsidRDefault="005A5FCC">
      <w:pPr>
        <w:spacing w:after="80" w:line="240" w:lineRule="auto"/>
      </w:pPr>
    </w:p>
    <w:p w14:paraId="6851FC1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2C3FD5FE" w14:textId="211D419C" w:rsidR="005A5FCC" w:rsidRDefault="00A21C81">
      <w:r>
        <w:rPr>
          <w:rFonts w:cs="EB Garamond"/>
          <w:kern w:val="16"/>
          <w14:ligatures w14:val="standardContextual"/>
        </w:rPr>
        <w:t xml:space="preserve"> consequência prática da competência absoluta por valor é que a ação previdenciária cujo valor da causa não excede 60 </w:t>
      </w:r>
      <w:r w:rsidR="006C5995">
        <w:rPr>
          <w:rFonts w:cs="EB Garamond"/>
          <w:kern w:val="16"/>
          <w14:ligatures w14:val="standardContextual"/>
        </w:rPr>
        <w:t>salários-mínimos</w:t>
      </w:r>
      <w:r>
        <w:rPr>
          <w:rFonts w:cs="EB Garamond"/>
          <w:kern w:val="16"/>
          <w14:ligatures w14:val="standardContextual"/>
        </w:rPr>
        <w:t xml:space="preserve">, ajuizada na vara federal comum em localidade com JEF instalado, deve ser remetida de ofício ao JEF, por tratar-se de incompetência absoluta (cognoscível de ofício, a qualquer tempo e grau de jurisdição). Inversamente, a ação previdenciária cujo </w:t>
      </w:r>
      <w:r>
        <w:rPr>
          <w:rFonts w:cs="EB Garamond"/>
          <w:kern w:val="16"/>
          <w14:ligatures w14:val="standardContextual"/>
        </w:rPr>
        <w:lastRenderedPageBreak/>
        <w:t xml:space="preserve">valor excede 60 </w:t>
      </w:r>
      <w:r w:rsidR="006C5995">
        <w:rPr>
          <w:rFonts w:cs="EB Garamond"/>
          <w:kern w:val="16"/>
          <w14:ligatures w14:val="standardContextual"/>
        </w:rPr>
        <w:t>salários-mínimos</w:t>
      </w:r>
      <w:r>
        <w:rPr>
          <w:rFonts w:cs="EB Garamond"/>
          <w:kern w:val="16"/>
          <w14:ligatures w14:val="standardContextual"/>
        </w:rPr>
        <w:t xml:space="preserve"> não pode ser processada pelo JEF: se distribuída por engano, deve ser remetida à vara federal competente.</w:t>
      </w:r>
    </w:p>
    <w:p w14:paraId="2801457F" w14:textId="6B234494" w:rsidR="005A5FCC" w:rsidRDefault="00A21C81">
      <w:pPr>
        <w:ind w:firstLine="238"/>
      </w:pPr>
      <w:r>
        <w:rPr>
          <w:rFonts w:cs="EB Garamond"/>
          <w:kern w:val="16"/>
          <w14:ligatures w14:val="standardContextual"/>
        </w:rPr>
        <w:t xml:space="preserve">A incompetência absoluta do JEF em razão do valor gera consequências processuais relevantes. Os atos decisórios praticados por juízo absolutamente incompetente podem ser revisados pelo juízo competente, embora o CPC/2015 preveja que, salvo decisão em sentido contrário, os efeitos das decisões proferidas pelo juízo incompetente são preservados até nova decisão pelo juízo competente (art. 64, § 4º, CPC/2015). Os atos ordinatórios e instrutórios, em regra, são aproveitados pelo juízo competente. Na prática previdenciária, a questão surge quando o valor da causa é controverso: o autor atribui valor inferior a 60 </w:t>
      </w:r>
      <w:r w:rsidR="006C5995">
        <w:rPr>
          <w:rFonts w:cs="EB Garamond"/>
          <w:kern w:val="16"/>
          <w14:ligatures w14:val="standardContextual"/>
        </w:rPr>
        <w:t>salários-mínimos</w:t>
      </w:r>
      <w:r>
        <w:rPr>
          <w:rFonts w:cs="EB Garamond"/>
          <w:kern w:val="16"/>
          <w14:ligatures w14:val="standardContextual"/>
        </w:rPr>
        <w:t>, mas o INSS contesta o valor e demonstra que os atrasados superam o teto. Nesses casos, o juiz do JEF deve intimar o autor para esclarecer se pretende renunciar ao excedente ou se prefere a remessa à vara federal. A decisão é do autor, em respeito ao princípio dispositivo, mas deve ser expressa e fundamentada.</w:t>
      </w:r>
    </w:p>
    <w:p w14:paraId="53D3D2E8" w14:textId="77777777" w:rsidR="005A5FCC" w:rsidRDefault="00A21C81">
      <w:pPr>
        <w:ind w:firstLine="238"/>
      </w:pPr>
      <w:r>
        <w:rPr>
          <w:rFonts w:cs="EB Garamond"/>
          <w:kern w:val="16"/>
          <w14:ligatures w14:val="standardContextual"/>
        </w:rPr>
        <w:t>O juiz do JEF que reconhece a incompetência absoluta em razão do valor remete os autos à vara federal competente, por decisão fundamentada. O autor pode interpor recurso contra a decisão de remessa, sustentando a adequação do valor da causa ao teto do JEF. A controvérsia sobre o valor da causa é resolvida nos próprios autos, sem necessidade de incidente processual específico.</w:t>
      </w:r>
    </w:p>
    <w:p w14:paraId="004EE9D9"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23.4 Cálculo do valor da causa nas ações previdenciárias</w:t>
      </w:r>
    </w:p>
    <w:p w14:paraId="6E6DDBF5"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079C33B4" w14:textId="77777777" w:rsidR="005A5FCC" w:rsidRDefault="00A21C81">
      <w:r>
        <w:rPr>
          <w:rFonts w:cs="EB Garamond"/>
          <w:kern w:val="16"/>
          <w14:ligatures w14:val="standardContextual"/>
        </w:rPr>
        <w:t xml:space="preserve"> cálculo do valor da causa nas ações previdenciárias é matéria de relevância prática direta, pois dele depende a fixação da competência. O valor da causa em ações de concessão de benefício previdenciário corresponde à soma de 12 parcelas do benefício pretendido, acrescida das parcelas vencidas (atrasados) entre a data de início do benefício (DIB) e a data do ajuizamento.</w:t>
      </w:r>
    </w:p>
    <w:p w14:paraId="0E783F42" w14:textId="77777777" w:rsidR="005A5FCC" w:rsidRDefault="00A21C81">
      <w:pPr>
        <w:ind w:firstLine="238"/>
      </w:pPr>
      <w:r>
        <w:rPr>
          <w:rFonts w:cs="EB Garamond"/>
          <w:kern w:val="16"/>
          <w14:ligatures w14:val="standardContextual"/>
        </w:rPr>
        <w:t>Nas ações de revisão de benefício, o valor da causa corresponde à diferença entre o valor atualmente recebido e o valor pretendido, multiplicada por 12 (par</w:t>
      </w:r>
      <w:r>
        <w:rPr>
          <w:rFonts w:cs="EB Garamond"/>
          <w:kern w:val="16"/>
          <w14:ligatures w14:val="standardContextual"/>
        </w:rPr>
        <w:lastRenderedPageBreak/>
        <w:t>celas vincendas), acrescida das diferenças vencidas. Nas ações de restabelecimento, o cálculo segue a mesma lógica das ações de concessão: 12 parcelas do benefício cessado, acrescidas dos atrasados desde a cessação.</w:t>
      </w:r>
    </w:p>
    <w:p w14:paraId="361F89AA" w14:textId="13ACF2E0" w:rsidR="005A5FCC" w:rsidRDefault="00A21C81">
      <w:pPr>
        <w:ind w:firstLine="238"/>
      </w:pPr>
      <w:r>
        <w:rPr>
          <w:rFonts w:cs="EB Garamond"/>
          <w:kern w:val="16"/>
          <w14:ligatures w14:val="standardContextual"/>
        </w:rPr>
        <w:t xml:space="preserve">A complexidade do cálculo reside na apuração dos atrasados. Quando o intervalo entre a DIB e o ajuizamento é longo (o que ocorre com frequência em benefícios indeferidos administrativamente há anos), o valor dos atrasados pode superar o teto de 60 </w:t>
      </w:r>
      <w:r w:rsidR="006C5995">
        <w:rPr>
          <w:rFonts w:cs="EB Garamond"/>
          <w:kern w:val="16"/>
          <w14:ligatures w14:val="standardContextual"/>
        </w:rPr>
        <w:t>salários-mínimos</w:t>
      </w:r>
      <w:r>
        <w:rPr>
          <w:rFonts w:cs="EB Garamond"/>
          <w:kern w:val="16"/>
          <w14:ligatures w14:val="standardContextual"/>
        </w:rPr>
        <w:t>. Nesses casos, o autor se depara com duas opções: (a) ajuizar na vara federal comum, preservando integralmente o crédito; ou (b) renunciar ao valor excedente e ajuizar no JEF, beneficiando-se do rito mais célere e da isenção de custas e honorários em primeiro grau.</w:t>
      </w:r>
    </w:p>
    <w:tbl>
      <w:tblPr>
        <w:tblW w:w="5000" w:type="pct"/>
        <w:jc w:val="center"/>
        <w:tblLayout w:type="fixed"/>
        <w:tblLook w:val="04A0" w:firstRow="1" w:lastRow="0" w:firstColumn="1" w:lastColumn="0" w:noHBand="0" w:noVBand="1"/>
      </w:tblPr>
      <w:tblGrid>
        <w:gridCol w:w="6311"/>
      </w:tblGrid>
      <w:tr w:rsidR="005A5FCC" w14:paraId="7794D906"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72F10B8E"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24554DC2" w14:textId="77777777" w:rsidR="005A5FCC" w:rsidRDefault="00A21C81">
            <w:pPr>
              <w:spacing w:after="60" w:line="247" w:lineRule="auto"/>
            </w:pPr>
            <w:r>
              <w:rPr>
                <w:rFonts w:cs="EB Garamond"/>
                <w:kern w:val="16"/>
                <w:sz w:val="19"/>
                <w14:ligatures w14:val="standardContextual"/>
              </w:rPr>
              <w:t>O cálculo do valor da causa deve ser feito com precisão antes do ajuizamento. A fórmula básica para ações de concessão é: VC = (RMB × 12) + Σ parcelas vencidas, onde RMB é a renda mensal do benefício pretendido. Se o segurado pretende aposentadoria de R$ 2.000,00 e a DIB é 24 meses anterior ao ajuizamento, o cálculo seria: VC = (R$ 2.000 × 12) + (R$ 2.000 × 24) = R$ 24.000 + R$ 48.000 = R$ 72.000. Esse valor situa-se abaixo do teto do JEF (R$ 97.260 em 2026), de modo que a ação pode ser ajuizada no juizado sem renúncia. Bastaria, porém, que a DIB recuasse a cerca de 37 meses anteriores ao ajuizamento para que os atrasados elevassem o valor da causa acima do teto, exigindo a opção pela vara federal ou a renúncia ao excedente. Quando o cálculo resultar em valor superior ao teto, cabe à parte, devidamente orientada, decidir entre a vara federal (preservando o crédito integral) e o JEF (com renúncia ao excedente, mas rito mais célere). A decisão deve considerar o valor da renúncia, a complexidade da causa e a estimativa de duração do processo em cada juízo.</w:t>
            </w:r>
          </w:p>
        </w:tc>
      </w:tr>
    </w:tbl>
    <w:p w14:paraId="2456BB4F" w14:textId="77777777" w:rsidR="005A5FCC" w:rsidRDefault="005A5FCC">
      <w:pPr>
        <w:spacing w:after="80" w:line="240" w:lineRule="auto"/>
      </w:pPr>
    </w:p>
    <w:p w14:paraId="2E5C908E"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23.5 Renúncia ao valor excedente</w:t>
      </w:r>
    </w:p>
    <w:p w14:paraId="30225CAC"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3149F818" w14:textId="0B6AF1A2" w:rsidR="005A5FCC" w:rsidRDefault="00A21C81">
      <w:r>
        <w:rPr>
          <w:rFonts w:cs="EB Garamond"/>
          <w:kern w:val="16"/>
          <w14:ligatures w14:val="standardContextual"/>
        </w:rPr>
        <w:t xml:space="preserve"> possibilidade de o autor renunciar ao valor que excede 60 </w:t>
      </w:r>
      <w:r w:rsidR="006C5995">
        <w:rPr>
          <w:rFonts w:cs="EB Garamond"/>
          <w:kern w:val="16"/>
          <w14:ligatures w14:val="standardContextual"/>
        </w:rPr>
        <w:t>salários-mínimos</w:t>
      </w:r>
      <w:r>
        <w:rPr>
          <w:rFonts w:cs="EB Garamond"/>
          <w:kern w:val="16"/>
          <w14:ligatures w14:val="standardContextual"/>
        </w:rPr>
        <w:t xml:space="preserve"> para ajuizar no JEF é questão central da prática previdenciária. O art. 3º, § 3º, da Lei n. 10.259/2001, ao fixar a competência absoluta do JEF em razão </w:t>
      </w:r>
      <w:r>
        <w:rPr>
          <w:rFonts w:cs="EB Garamond"/>
          <w:kern w:val="16"/>
          <w14:ligatures w14:val="standardContextual"/>
        </w:rPr>
        <w:lastRenderedPageBreak/>
        <w:t>do valor, não trata expressamente da renúncia. A jurisprudência, contudo, consolidou o entendimento de que a renúncia ao excedente é admissível e constitui faculdade do autor.</w:t>
      </w:r>
    </w:p>
    <w:p w14:paraId="7DBF80BD" w14:textId="0466E7FD" w:rsidR="005A5FCC" w:rsidRDefault="00A21C81">
      <w:pPr>
        <w:ind w:firstLine="238"/>
      </w:pPr>
      <w:r>
        <w:rPr>
          <w:rFonts w:cs="EB Garamond"/>
          <w:kern w:val="16"/>
          <w14:ligatures w14:val="standardContextual"/>
        </w:rPr>
        <w:t xml:space="preserve">O fundamento é o princípio dispositivo: o autor pode limitar seu pedido ao valor que entender adequado, inclusive para fins de fixação de competência. A renúncia ao excedente opera no plano do valor da causa (e, por extensão, da competência), não no plano do direito material. O autor renuncia ao crédito que supera 60 </w:t>
      </w:r>
      <w:r w:rsidR="006C5995">
        <w:rPr>
          <w:rFonts w:cs="EB Garamond"/>
          <w:kern w:val="16"/>
          <w14:ligatures w14:val="standardContextual"/>
        </w:rPr>
        <w:t>salários-mínimos</w:t>
      </w:r>
      <w:r>
        <w:rPr>
          <w:rFonts w:cs="EB Garamond"/>
          <w:kern w:val="16"/>
          <w14:ligatures w14:val="standardContextual"/>
        </w:rPr>
        <w:t>, limitando voluntariamente a pretensão condenatória ao teto do JEF.</w:t>
      </w:r>
    </w:p>
    <w:p w14:paraId="36BAD290" w14:textId="4412276F" w:rsidR="005A5FCC" w:rsidRDefault="00A21C81">
      <w:pPr>
        <w:ind w:firstLine="238"/>
      </w:pPr>
      <w:r>
        <w:rPr>
          <w:rFonts w:cs="EB Garamond"/>
          <w:kern w:val="16"/>
          <w14:ligatures w14:val="standardContextual"/>
        </w:rPr>
        <w:t xml:space="preserve">A renúncia deve ser expressa e constar da petição inicial. A mera indicação de valor da causa inferior a 60 </w:t>
      </w:r>
      <w:r w:rsidR="006C5995">
        <w:rPr>
          <w:rFonts w:cs="EB Garamond"/>
          <w:kern w:val="16"/>
          <w14:ligatures w14:val="standardContextual"/>
        </w:rPr>
        <w:t>salários-mínimos</w:t>
      </w:r>
      <w:r>
        <w:rPr>
          <w:rFonts w:cs="EB Garamond"/>
          <w:kern w:val="16"/>
          <w14:ligatures w14:val="standardContextual"/>
        </w:rPr>
        <w:t>, quando os atrasados superam de forma patente esse limite, não substitui a declaração formal de renúncia. O juiz do JEF pode determinar a emenda da inicial para que o autor explicite a renúncia, sob pena de remessa à vara federal por incompetência absoluta.</w:t>
      </w:r>
    </w:p>
    <w:p w14:paraId="382CBA8D" w14:textId="77777777" w:rsidR="005A5FCC" w:rsidRDefault="00A21C81">
      <w:pPr>
        <w:ind w:firstLine="238"/>
      </w:pPr>
      <w:r>
        <w:rPr>
          <w:rFonts w:cs="EB Garamond"/>
          <w:kern w:val="16"/>
          <w14:ligatures w14:val="standardContextual"/>
        </w:rPr>
        <w:t>A irrevogabilidade da renúncia é ponto consolidado. Uma vez ajuizada a ação no JEF com renúncia expressa ao excedente, o autor não pode, após a sentença favorável, requerer a complementação dos valores renunciados. A renúncia é ato processual definitivo que vincula o autor e produz efeitos de coisa julgada material quanto ao montante renunciado.</w:t>
      </w:r>
    </w:p>
    <w:tbl>
      <w:tblPr>
        <w:tblW w:w="5000" w:type="pct"/>
        <w:jc w:val="center"/>
        <w:tblLayout w:type="fixed"/>
        <w:tblLook w:val="04A0" w:firstRow="1" w:lastRow="0" w:firstColumn="1" w:lastColumn="0" w:noHBand="0" w:noVBand="1"/>
      </w:tblPr>
      <w:tblGrid>
        <w:gridCol w:w="6311"/>
      </w:tblGrid>
      <w:tr w:rsidR="005A5FCC" w14:paraId="649A52D9"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26FD7DB4"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65CC2AFF" w14:textId="45D857F7" w:rsidR="005A5FCC" w:rsidRDefault="00A21C81">
            <w:pPr>
              <w:spacing w:after="60" w:line="247" w:lineRule="auto"/>
            </w:pPr>
            <w:r>
              <w:rPr>
                <w:rFonts w:cs="EB Garamond"/>
                <w:kern w:val="16"/>
                <w:sz w:val="19"/>
                <w14:ligatures w14:val="standardContextual"/>
              </w:rPr>
              <w:t xml:space="preserve">A renúncia ao excedente de 60 </w:t>
            </w:r>
            <w:r w:rsidR="006C5995">
              <w:rPr>
                <w:rFonts w:cs="EB Garamond"/>
                <w:kern w:val="16"/>
                <w:sz w:val="19"/>
                <w14:ligatures w14:val="standardContextual"/>
              </w:rPr>
              <w:t>salários-mínimos</w:t>
            </w:r>
            <w:r>
              <w:rPr>
                <w:rFonts w:cs="EB Garamond"/>
                <w:kern w:val="16"/>
                <w:sz w:val="19"/>
                <w14:ligatures w14:val="standardContextual"/>
              </w:rPr>
              <w:t xml:space="preserve"> refere-se ao valor da causa na data do ajuizamento, não ao valor da condenação. Se a ação foi corretamente distribuída no JEF (com valor da causa inferior a 60 SM na data do ajuizamento), a condenação pode ultrapassar esse limite em razão do acúmulo de parcelas durante a tramitação processual. Nesse caso, não há renúncia ao excedente da condenação: o autor recebe integralmente o valor da condenação, mesmo que superior a 60 SM. A distinção entre valor da causa (critério de competência) e valor da condenação (resultado do processo) é frequentemente negligenciada na prática e já foi objeto de reiterados pronunciamentos do Conselho da Justiça Federal.</w:t>
            </w:r>
          </w:p>
        </w:tc>
      </w:tr>
    </w:tbl>
    <w:p w14:paraId="0F694359" w14:textId="77777777" w:rsidR="005A5FCC" w:rsidRDefault="005A5FCC">
      <w:pPr>
        <w:spacing w:after="80" w:line="240" w:lineRule="auto"/>
      </w:pPr>
    </w:p>
    <w:p w14:paraId="5449721E"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lastRenderedPageBreak/>
        <w:t>A</w:t>
      </w:r>
    </w:p>
    <w:p w14:paraId="20ABB900" w14:textId="77777777" w:rsidR="005A5FCC" w:rsidRDefault="00A21C81">
      <w:r>
        <w:rPr>
          <w:rFonts w:cs="EB Garamond"/>
          <w:kern w:val="16"/>
          <w14:ligatures w14:val="standardContextual"/>
        </w:rPr>
        <w:t xml:space="preserve"> estratégia de renúncia ao excedente deve ser avaliada caso a caso. Para ações de concessão de benefício com atrasados expressivos (anos de indeferimento), a renúncia pode representar perda patrimonial significativa. Nessas hipóteses, a opção pela vara federal pode ser mais vantajosa, apesar do rito mais lento. Para ações de revisão ou restabelecimento com atrasados modestos, o JEF oferece vantagem clara: rito célere, isenção de custas em primeiro grau e possibilidade de tutela antecipada na própria audiência de conciliação.</w:t>
      </w:r>
    </w:p>
    <w:p w14:paraId="76E4EF24"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23.6 Competência territorial</w:t>
      </w:r>
    </w:p>
    <w:p w14:paraId="47B7367B"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5AB1F701" w14:textId="77777777" w:rsidR="005A5FCC" w:rsidRDefault="00A21C81">
      <w:r>
        <w:rPr>
          <w:rFonts w:cs="EB Garamond"/>
          <w:kern w:val="16"/>
          <w14:ligatures w14:val="standardContextual"/>
        </w:rPr>
        <w:t xml:space="preserve"> competência territorial nas ações previdenciárias do JEF segue as regras do art. 109, § 2º, da CF/88, aplicável por força da remissão constitucional e da interpretação consolidada pelo STF no Tema 1.277. O segurado pode ajuizar a ação previdenciária: (a) no JEF de seu domicílio; (b) no JEF do local onde ocorreu o fato (data do óbito, data do acidente, local do trabalho); ou (c) no JEF do Distrito Federal.</w:t>
      </w:r>
    </w:p>
    <w:p w14:paraId="785DD7E6" w14:textId="77777777" w:rsidR="005A5FCC" w:rsidRDefault="00A21C81">
      <w:pPr>
        <w:ind w:firstLine="238"/>
      </w:pPr>
      <w:r>
        <w:rPr>
          <w:rFonts w:cs="EB Garamond"/>
          <w:kern w:val="16"/>
          <w14:ligatures w14:val="standardContextual"/>
        </w:rPr>
        <w:t>A Súmula 689 do STF consolida essa orientação: "O segurado pode ajuizar ação contra a instituição previdenciária perante o juízo federal do seu domicílio ou nas varas federais da Capital do Estado-membro." A Súmula aplica-se integralmente aos JEFs, por extensão lógica: onde se lê "juízo federal", leia-se "JEF", quando o valor da causa não exceder o teto.</w:t>
      </w:r>
    </w:p>
    <w:p w14:paraId="43307A08" w14:textId="77777777" w:rsidR="005A5FCC" w:rsidRDefault="00A21C81">
      <w:pPr>
        <w:ind w:firstLine="238"/>
      </w:pPr>
      <w:r>
        <w:rPr>
          <w:rFonts w:cs="EB Garamond"/>
          <w:kern w:val="16"/>
          <w14:ligatures w14:val="standardContextual"/>
        </w:rPr>
        <w:t>A faculdade de escolha territorial é do autor, não do réu. O INSS não pode arguir exceção de incompetência territorial para deslocar a ação do JEF do domicílio do segurado para o JEF da agência que indeferiu o benefício. A competência territorial, no caso, é relativa e se define pela escolha do autor, que exerce direito constitucional de foro.</w:t>
      </w:r>
    </w:p>
    <w:p w14:paraId="35C658E7" w14:textId="77777777" w:rsidR="005A5FCC" w:rsidRDefault="00A21C81">
      <w:pPr>
        <w:ind w:firstLine="238"/>
      </w:pPr>
      <w:r>
        <w:rPr>
          <w:rFonts w:cs="EB Garamond"/>
          <w:kern w:val="16"/>
          <w14:ligatures w14:val="standardContextual"/>
        </w:rPr>
        <w:t xml:space="preserve">A competência territorial ganha complexidade quando o segurado reside em localidade que não é sede de JEF. Nesse caso, existem duas possibilidades: (a) o JEF da subseção judiciária mais próxima abrange a localidade do segurado, caso em que a ação é ajuizada naquele JEF; ou (b) o segurado pode optar pela competência delegada da Justiça Estadual (art. 109, § 3º, CF/88), quando a comarca de </w:t>
      </w:r>
      <w:r>
        <w:rPr>
          <w:rFonts w:cs="EB Garamond"/>
          <w:kern w:val="16"/>
          <w14:ligatures w14:val="standardContextual"/>
        </w:rPr>
        <w:lastRenderedPageBreak/>
        <w:t>seu domicílio estiver a mais de 70 km de município sede de vara federal (critério introduzido pela Lei n. 13.876/2019).</w:t>
      </w:r>
    </w:p>
    <w:p w14:paraId="154D6126" w14:textId="77777777" w:rsidR="005A5FCC" w:rsidRDefault="00A21C81">
      <w:pPr>
        <w:ind w:firstLine="238"/>
      </w:pPr>
      <w:r>
        <w:rPr>
          <w:rFonts w:cs="EB Garamond"/>
          <w:kern w:val="16"/>
          <w14:ligatures w14:val="standardContextual"/>
        </w:rPr>
        <w:t>A questão territorial assume contornos relevantes nas ações que envolvem mudança de domicílio do segurado durante a tramitação. Se o autor se muda para outra localidade após o ajuizamento, a competência territorial permanece fixada no juízo em que a ação foi distribuída (princípio da perpetuatio jurisdictionis, art. 43, CPC/2015). O segurado não pode requerer a remessa dos autos ao JEF do novo domicílio, e o INSS não pode arguir que a mudança de domicílio altera a competência territorial. A regra protege a estabilidade processual e evita manobras dilatórias.</w:t>
      </w:r>
    </w:p>
    <w:p w14:paraId="5494B05E" w14:textId="77777777" w:rsidR="005A5FCC" w:rsidRDefault="00A21C81">
      <w:pPr>
        <w:ind w:firstLine="238"/>
      </w:pPr>
      <w:r>
        <w:rPr>
          <w:rFonts w:cs="EB Garamond"/>
          <w:kern w:val="16"/>
          <w14:ligatures w14:val="standardContextual"/>
        </w:rPr>
        <w:t>Na prática, a escolha do foro pelo segurado deve considerar fatores que ultrapassam a conveniência geográfica. O JEF do domicílio oferece facilidade de acesso, mas pode ter acervo maior e prazos de tramitação mais longos. O JEF de subseção judiciária menor pode oferecer tramitação mais célere, porém exige deslocamento do segurado para audiências. Cabe à parte, orientada por seu patrono, sopesar as vantagens e desvantagens de cada opção, levando em conta o volume processual do juízo, o tempo médio de tramitação, a disponibilidade de peritos e a postura interpretativa da Turma Recursal competente.</w:t>
      </w:r>
    </w:p>
    <w:tbl>
      <w:tblPr>
        <w:tblW w:w="5000" w:type="pct"/>
        <w:jc w:val="center"/>
        <w:tblLayout w:type="fixed"/>
        <w:tblLook w:val="04A0" w:firstRow="1" w:lastRow="0" w:firstColumn="1" w:lastColumn="0" w:noHBand="0" w:noVBand="1"/>
      </w:tblPr>
      <w:tblGrid>
        <w:gridCol w:w="6311"/>
      </w:tblGrid>
      <w:tr w:rsidR="005A5FCC" w14:paraId="293F8D21"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673EDD83"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71C4E2D9" w14:textId="40F906E8" w:rsidR="005A5FCC" w:rsidRDefault="00A21C81">
            <w:pPr>
              <w:spacing w:after="60" w:line="247" w:lineRule="auto"/>
            </w:pPr>
            <w:r>
              <w:rPr>
                <w:rFonts w:cs="EB Garamond"/>
                <w:kern w:val="16"/>
                <w:sz w:val="19"/>
                <w14:ligatures w14:val="standardContextual"/>
              </w:rPr>
              <w:t xml:space="preserve">A distinção entre competência territorial (relativa) e competência por valor (absoluta) tem consequências processuais diferentes. A incompetência territorial relativa não é cognoscível de ofício pelo juiz (Súmula 33/STJ); somente o réu pode arguí-la, no prazo de contestação, sob pena de prorrogação. A incompetência absoluta por valor é cognoscível de ofício, a qualquer tempo e grau de jurisdição, e não admite prorrogação. Na atuação forense dos JEFs previdenciários, o INSS raramente argui incompetência territorial, pois a faculdade de escolha do foro pelo segurado (art. 109, § 2º, CF/88) dificulta o acolhimento da exceção. A incompetência por valor, ao contrário, é arguida com frequência quando o INSS identifica que os atrasados ultrapassam 60 </w:t>
            </w:r>
            <w:r w:rsidR="006C5995">
              <w:rPr>
                <w:rFonts w:cs="EB Garamond"/>
                <w:kern w:val="16"/>
                <w:sz w:val="19"/>
                <w14:ligatures w14:val="standardContextual"/>
              </w:rPr>
              <w:t>salários-mínimos</w:t>
            </w:r>
            <w:r>
              <w:rPr>
                <w:rFonts w:cs="EB Garamond"/>
                <w:kern w:val="16"/>
                <w:sz w:val="19"/>
                <w14:ligatures w14:val="standardContextual"/>
              </w:rPr>
              <w:t>.</w:t>
            </w:r>
          </w:p>
        </w:tc>
      </w:tr>
    </w:tbl>
    <w:p w14:paraId="0615ECDB" w14:textId="77777777" w:rsidR="005A5FCC" w:rsidRDefault="005A5FCC">
      <w:pPr>
        <w:spacing w:after="80" w:line="240" w:lineRule="auto"/>
      </w:pPr>
    </w:p>
    <w:p w14:paraId="122C3413"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23.7 Competência delegada à justiça estadual</w:t>
      </w:r>
    </w:p>
    <w:p w14:paraId="44D67E51"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73B8B2DA" w14:textId="77777777" w:rsidR="005A5FCC" w:rsidRDefault="00A21C81">
      <w:r>
        <w:rPr>
          <w:rFonts w:cs="EB Garamond"/>
          <w:kern w:val="16"/>
          <w14:ligatures w14:val="standardContextual"/>
        </w:rPr>
        <w:t xml:space="preserve"> art. 109, § 3º, da Constituição Federal prevê a delegação de competência à Justiça Estadual para processar e julgar ações previdenciárias nas comarcas que não sejam sede de vara federal. O objetivo é facilitar o acesso à Justiça para segurados residentes em localidades distantes da sede da Justiça Federal.</w:t>
      </w:r>
    </w:p>
    <w:p w14:paraId="0FB255B3" w14:textId="77777777" w:rsidR="005A5FCC" w:rsidRDefault="00A21C81">
      <w:pPr>
        <w:ind w:firstLine="238"/>
      </w:pPr>
      <w:r>
        <w:rPr>
          <w:rFonts w:cs="EB Garamond"/>
          <w:kern w:val="16"/>
          <w14:ligatures w14:val="standardContextual"/>
        </w:rPr>
        <w:t>A Lei n. 13.876/2019 restringiu o alcance da competência delegada ao introduzir o critério geográfico: a delegação somente opera quando a comarca de domicílio do autor estiver a mais de 70 km de município sede de vara federal. A restrição visou racionalizar o exercício da competência delegada, evitando que segurados residentes em localidades próximas a varas federais optassem pela Justiça Estadual por conveniência, em detrimento da especialização federal.</w:t>
      </w:r>
    </w:p>
    <w:p w14:paraId="478E7B49" w14:textId="77777777" w:rsidR="005A5FCC" w:rsidRDefault="00A21C81">
      <w:pPr>
        <w:ind w:firstLine="238"/>
      </w:pPr>
      <w:r>
        <w:rPr>
          <w:rFonts w:cs="EB Garamond"/>
          <w:kern w:val="16"/>
          <w14:ligatures w14:val="standardContextual"/>
        </w:rPr>
        <w:t>O STF, no julgamento do Tema 820 (RE 860.508, rel. Min. Marco Aurélio, julgamento em 08/03/2021), fixou a tese de que "a competência prevista no § 3º do artigo 109 da Constituição Federal, da Justiça comum, pressupõe inexistência de Vara Federal na Comarca do domicílio do segurado". O precedente delimita o pressuposto fático da competência delegada — a inexistência de vara federal na comarca de domicílio do segurado —, e dele se extrai que, onde exista vara federal (ou JEF) na própria comarca, não há espaço para a delegação à Justiça Estadual. A faculdade de o segurado optar pela Justiça Estadual de seu domicílio pressupõe, portanto, o preenchimento desse requisito objetivo (associado, após a Lei n. 13.876/2019, ao critério dos 70 km). Presente o pressuposto, o segurado pode optar entre: (a) ajuizar a ação na Justiça Estadual de seu domicílio (competência delegada); ou (b) deslocar-se até a vara federal ou JEF mais próximo.</w:t>
      </w:r>
    </w:p>
    <w:tbl>
      <w:tblPr>
        <w:tblW w:w="5000" w:type="pct"/>
        <w:jc w:val="center"/>
        <w:tblLayout w:type="fixed"/>
        <w:tblLook w:val="04A0" w:firstRow="1" w:lastRow="0" w:firstColumn="1" w:lastColumn="0" w:noHBand="0" w:noVBand="1"/>
      </w:tblPr>
      <w:tblGrid>
        <w:gridCol w:w="6311"/>
      </w:tblGrid>
      <w:tr w:rsidR="005A5FCC" w14:paraId="3ED7BEA7"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401C6F65"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1DEA414C" w14:textId="77777777" w:rsidR="005A5FCC" w:rsidRDefault="00A21C81">
            <w:pPr>
              <w:spacing w:after="60" w:line="247" w:lineRule="auto"/>
            </w:pPr>
            <w:r>
              <w:rPr>
                <w:rFonts w:cs="EB Garamond"/>
                <w:kern w:val="16"/>
                <w:sz w:val="19"/>
                <w14:ligatures w14:val="standardContextual"/>
              </w:rPr>
              <w:t>Na prática, a competência delegada opera da seguinte forma: o segurado residente em comarca a mais de 70 km de município com vara federal ajuíza a ação na vara cível da Justiça Estadual de seu domicílio. O juiz estadual processa e julga a causa aplicando o direito previdenciário federal. O recurso contra a sentença é dirigido ao Tribunal Regional Federal competente (e não ao Tribunal de Justiça estadual). A vantagem para o segurado é a proximidade geográfica; a desvantagem é a menor especialização do juiz estadual em matéria previdenciária. O advogado deve avaliar se a proximidade compensa eventual perda de especialização, considerando que, em comarcas com baixo volume de ações previdenciárias, o juiz estadual pode ter menor familiaridade com temas como CNIS, cálculo de RMI, conversão de tempo especial e valoração de laudo pericial previdenciário.</w:t>
            </w:r>
          </w:p>
        </w:tc>
      </w:tr>
    </w:tbl>
    <w:p w14:paraId="75B9CF6D" w14:textId="77777777" w:rsidR="005A5FCC" w:rsidRDefault="005A5FCC">
      <w:pPr>
        <w:spacing w:after="80" w:line="240" w:lineRule="auto"/>
      </w:pPr>
    </w:p>
    <w:p w14:paraId="745782B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5C3F1CC5" w14:textId="77777777" w:rsidR="005A5FCC" w:rsidRDefault="00A21C81">
      <w:r>
        <w:rPr>
          <w:rFonts w:cs="EB Garamond"/>
          <w:kern w:val="16"/>
          <w14:ligatures w14:val="standardContextual"/>
        </w:rPr>
        <w:t xml:space="preserve"> competência delegada não se estende aos JEFs: o juiz estadual que exerce competência delegada processa a causa pelo rito ordinário (ou sumário, conforme o CPC/2015), não pelo rito sumaríssimo da Lei n. 10.259/2001. O rito dos JEFs é exclusivo da Justiça Federal. A TNU consolidou esse entendimento, vedando que juizados especiais estaduais processem causas previdenciárias com o rito do JEF.</w:t>
      </w:r>
    </w:p>
    <w:p w14:paraId="7C3F8D80" w14:textId="77777777" w:rsidR="005A5FCC" w:rsidRDefault="00A21C81">
      <w:pPr>
        <w:ind w:firstLine="238"/>
      </w:pPr>
      <w:r>
        <w:rPr>
          <w:rFonts w:cs="EB Garamond"/>
          <w:kern w:val="16"/>
          <w14:ligatures w14:val="standardContextual"/>
        </w:rPr>
        <w:t>O recurso contra a sentença proferida pelo juiz estadual no exercício de competência delegada é dirigido ao Tribunal Regional Federal competente, não ao Tribunal de Justiça do Estado (art. 109, § 4º, CF/88). A peculiaridade gera confusão prática: o advogado que atua em competência delegada deve protocolar o recurso perante o juízo estadual, mas endereçá-lo ao TRF. A distribuição do recurso no TRF segue as mesmas regras aplicáveis às apelações das varas federais comuns, e o julgamento é feito por Turma especializada em matéria previdenciária (quando existente) ou por Turma cível com competência previdenciária.</w:t>
      </w:r>
    </w:p>
    <w:p w14:paraId="2D2462D5" w14:textId="77777777" w:rsidR="005A5FCC" w:rsidRDefault="00A21C81">
      <w:pPr>
        <w:ind w:firstLine="238"/>
      </w:pPr>
      <w:r>
        <w:rPr>
          <w:rFonts w:cs="EB Garamond"/>
          <w:kern w:val="16"/>
          <w14:ligatures w14:val="standardContextual"/>
        </w:rPr>
        <w:t>A competência delegada levanta questões adicionais sobre atos executórios. A implantação do benefício determinada pelo juiz estadual é cumprida pelo INSS da mesma forma que a determinação do juiz federal: o ofício é dirigido à Gerência Executiva do INSS competente, que processa a implantação no sistema. A execução dos atrasados (RPV ou precatório), contudo, segue rito próprio, com expedição da requisição de pagamento pelo TRF competente, não pelo juízo estadual.</w:t>
      </w:r>
    </w:p>
    <w:p w14:paraId="67F05E9E"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23.8 Prévio requerimento administrativo: condição da ação</w:t>
      </w:r>
    </w:p>
    <w:p w14:paraId="0B6ABA0E"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187058B8" w14:textId="77777777" w:rsidR="005A5FCC" w:rsidRDefault="00A21C81">
      <w:r>
        <w:rPr>
          <w:rFonts w:cs="EB Garamond"/>
          <w:kern w:val="16"/>
          <w14:ligatures w14:val="standardContextual"/>
        </w:rPr>
        <w:t xml:space="preserve"> prévio requerimento administrativo como condição para o ajuizamento de ação previdenciária, amplamente debatido pela doutrina, foi objeto do julgamento pelo STF no Tema 350 (RE 631.240, rel. Min. Roberto Barroso, julgamento em 03/09/2014). A decisão, com repercussão geral, fixou balizas que orientam toda a prática previdenciária nos JEFs.</w:t>
      </w:r>
    </w:p>
    <w:p w14:paraId="29085613" w14:textId="77777777" w:rsidR="005A5FCC" w:rsidRDefault="00A21C81">
      <w:pPr>
        <w:ind w:firstLine="238"/>
      </w:pPr>
      <w:r>
        <w:rPr>
          <w:rFonts w:cs="EB Garamond"/>
          <w:kern w:val="16"/>
          <w14:ligatures w14:val="standardContextual"/>
        </w:rPr>
        <w:t>O STF estabeleceu que a concessão de benefícios previdenciários depende de requerimento do interessado, não se caracterizando ameaça ou lesão a direito antes da apreciação e indeferimento pelo INSS, ou antes do transcurso de prazo razoável sem decisão. A exigência de prévio requerimento não se confunde com o esgotamento das instâncias administrativas: basta o requerimento inicial e o indeferimento (ou a mora do INSS em decidir) para que se configure o interesse de agir.</w:t>
      </w:r>
    </w:p>
    <w:p w14:paraId="3FDAD877" w14:textId="77777777" w:rsidR="005A5FCC" w:rsidRDefault="00A21C81">
      <w:pPr>
        <w:ind w:firstLine="238"/>
      </w:pPr>
      <w:r>
        <w:rPr>
          <w:rFonts w:cs="EB Garamond"/>
          <w:kern w:val="16"/>
          <w14:ligatures w14:val="standardContextual"/>
        </w:rPr>
        <w:t>A decisão comporta exceções relevantes. Primeira: quando a posição da Administração é notória e reiteradamente contrária à pretensão do segurado. Se o INSS possui orientação administrativa consolidada de indeferir determinado tipo de pedido, o requerimento administrativo é dispensado, pois configuraria formalismo inútil. Segunda: nas ações de revisão, restabelecimento ou manutenção de benefício, o prévio requerimento é dispensado, pois o segurado já possui relação jurídica estabelecida com a autarquia, e a resistência à pretensão revisional é presumida.</w:t>
      </w:r>
    </w:p>
    <w:tbl>
      <w:tblPr>
        <w:tblW w:w="5000" w:type="pct"/>
        <w:jc w:val="center"/>
        <w:tblLayout w:type="fixed"/>
        <w:tblLook w:val="04A0" w:firstRow="1" w:lastRow="0" w:firstColumn="1" w:lastColumn="0" w:noHBand="0" w:noVBand="1"/>
      </w:tblPr>
      <w:tblGrid>
        <w:gridCol w:w="6311"/>
      </w:tblGrid>
      <w:tr w:rsidR="005A5FCC" w14:paraId="498CDD9D"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49AF2499" w14:textId="77777777" w:rsidR="005A5FCC" w:rsidRDefault="00A21C81">
            <w:pPr>
              <w:spacing w:after="60" w:line="240" w:lineRule="auto"/>
              <w:jc w:val="left"/>
            </w:pPr>
            <w:r>
              <w:rPr>
                <w:rFonts w:ascii="Noto Sans" w:hAnsi="Noto Sans" w:cs="Noto Sans"/>
                <w:b/>
                <w:caps/>
                <w:color w:val="4D6F8A"/>
                <w:kern w:val="16"/>
                <w:sz w:val="16"/>
                <w14:ligatures w14:val="standardContextual"/>
              </w:rPr>
              <w:t>JURISPRUDÊNCIA EM DESTAQUE</w:t>
            </w:r>
          </w:p>
          <w:p w14:paraId="5F1BD37A" w14:textId="77777777" w:rsidR="005A5FCC" w:rsidRDefault="00A21C81">
            <w:pPr>
              <w:spacing w:after="60" w:line="247" w:lineRule="auto"/>
            </w:pPr>
            <w:r>
              <w:rPr>
                <w:rFonts w:cs="EB Garamond"/>
                <w:b/>
                <w:kern w:val="16"/>
                <w:sz w:val="19"/>
                <w14:ligatures w14:val="standardContextual"/>
              </w:rPr>
              <w:t>STF, Tema 350 (RE 631.240, rel. Min. Roberto Barroso, julgamento em 03/09/2014)</w:t>
            </w:r>
            <w:r>
              <w:rPr>
                <w:rFonts w:cs="EB Garamond"/>
                <w:kern w:val="16"/>
                <w:sz w:val="19"/>
                <w14:ligatures w14:val="standardContextual"/>
              </w:rPr>
              <w:t>: "A concessão de benefícios previdenciários depende de requerimento do interessado, não se caracterizando ameaça ou lesão a direito antes de sua apreciação e indeferimento pelo INSS, ou se excedido o prazo legal para sua análise." A tese vinculante impõe ao segurado o dever de requerer administrativamente o benefício antes de buscar o Judiciário, salvo nos casos de: (a) notório e reiterado posicionamento contrário da autarquia; (b) ações de revisão, restabelecimento ou manutenção de benefício já concedido.</w:t>
            </w:r>
          </w:p>
        </w:tc>
      </w:tr>
    </w:tbl>
    <w:p w14:paraId="3C1EB843" w14:textId="77777777" w:rsidR="005A5FCC" w:rsidRDefault="005A5FCC">
      <w:pPr>
        <w:spacing w:after="80" w:line="240" w:lineRule="auto"/>
      </w:pPr>
    </w:p>
    <w:p w14:paraId="018FAF38"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0041B8C3" w14:textId="77777777" w:rsidR="005A5FCC" w:rsidRDefault="00A21C81">
      <w:r>
        <w:rPr>
          <w:rFonts w:cs="EB Garamond"/>
          <w:kern w:val="16"/>
          <w14:ligatures w14:val="standardContextual"/>
        </w:rPr>
        <w:t xml:space="preserve"> efeito prático do Tema 350 nos JEFs é relevante. O segurado que ajuíza ação de concessão de benefício sem prévio requerimento administrativo tem a petição inicial indeferida por falta de interesse de agir, salvo nas hipóteses de exceção. O advogado deve instruir a inicial com cópia do requerimento administrativo e da decisão de indeferimento (comunicação de decisão, carta de indeferimento ou extrato do Meu INSS). Na ausência de decisão formal, deve demonstrar o transcurso de prazo razoável sem manifestação da autarquia. O parâmetro de 45 dias usualmente invocado para aferir a mora não consta da tese do Tema 350 (RE 631.240), que se limita a exigir o requerimento prévio e alude genericamente ao decurso do prazo legal de análise; o patamar de 45 dias deriva da regulamentação administrativa do INSS e da praxe, e é o Tema 350 que fornece o fundamento do interesse de agir, ao reconhecer que a mora administrativa configura a pretensão resistida.</w:t>
      </w:r>
    </w:p>
    <w:p w14:paraId="7459B3E8" w14:textId="77777777" w:rsidR="005A5FCC" w:rsidRDefault="00A21C81">
      <w:pPr>
        <w:ind w:firstLine="238"/>
      </w:pPr>
      <w:r>
        <w:rPr>
          <w:rFonts w:cs="EB Garamond"/>
          <w:kern w:val="16"/>
          <w14:ligatures w14:val="standardContextual"/>
        </w:rPr>
        <w:t>A questão do requerimento administrativo formulado após o ajuizamento da ação suscita debate. O STF, no próprio Tema 350, admitiu a regularização processual: se o INSS, ao contestar, não se opõe ao mérito (demonstrando que apreciou o pedido), a falta de prévio requerimento resta superada. A orientação evita o formalismo excessivo, privilegiando a instrumentalidade das formas.</w:t>
      </w:r>
    </w:p>
    <w:p w14:paraId="3057B0EC" w14:textId="77777777" w:rsidR="005A5FCC" w:rsidRDefault="00A21C81">
      <w:pPr>
        <w:ind w:firstLine="238"/>
      </w:pPr>
      <w:r>
        <w:rPr>
          <w:rFonts w:cs="EB Garamond"/>
          <w:kern w:val="16"/>
          <w14:ligatures w14:val="standardContextual"/>
        </w:rPr>
        <w:t>Sobre o prazo de 45 dias para decisão administrativa e a configuração da mora, remetemos ao Cap. 22, §22.6, que aprofunda a questão. Na prática, o prazo é frequentemente ultrapassado pelo INSS, especialmente em requerimentos que dependem de perícia médica (auxílio por incapacidade, BPC), reconhecimento de tempo rural ou análise de documentação complexa (conversão de tempo especial). O extrato do sistema Meu INSS, que registra o status do requerimento ("em análise", "em exigência", "concluído"), constitui prova idônea da mora administrativa para fins de ajuizamento da ação no JEF.</w:t>
      </w:r>
    </w:p>
    <w:p w14:paraId="2F2B0F73"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23.9 Jus postulandi: dispensa de advogado em primeiro grau</w:t>
      </w:r>
    </w:p>
    <w:p w14:paraId="21FC6DB8"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6C09F57F" w14:textId="77777777" w:rsidR="005A5FCC" w:rsidRDefault="00A21C81">
      <w:r>
        <w:rPr>
          <w:rFonts w:cs="EB Garamond"/>
          <w:kern w:val="16"/>
          <w14:ligatures w14:val="standardContextual"/>
        </w:rPr>
        <w:t xml:space="preserve"> art. 10 da Lei n. 10.259/2001 assegura às partes o direito de designar representante para a causa, advogado ou não. A norma consagra o jus postulandi nos JEFs, permitindo que o segurado postule em juízo sem a assistência de advogado. O instituto visa garantir o acesso à Justiça ao segurado hipossuficiente que não dispõe de recursos para contratar patrono.</w:t>
      </w:r>
    </w:p>
    <w:p w14:paraId="551BF82E" w14:textId="77777777" w:rsidR="005A5FCC" w:rsidRDefault="00A21C81">
      <w:pPr>
        <w:ind w:firstLine="238"/>
      </w:pPr>
      <w:r>
        <w:rPr>
          <w:rFonts w:cs="EB Garamond"/>
          <w:kern w:val="16"/>
          <w14:ligatures w14:val="standardContextual"/>
        </w:rPr>
        <w:t>O jus postulandi é exercido em primeiro grau de jurisdição. Em sede recursal (recurso inominado à Turma Recursal), a representação por advogado é obrigatória (art. 41, § 2º, da Lei n. 9.099/95, aplicável subsidiariamente). A distinção é relevante: o segurado pode ingressar com a ação, participar da audiência de conciliação e da audiência de instrução sem advogado, mas, se desejar recorrer da sentença, deve constituir patrono.</w:t>
      </w:r>
    </w:p>
    <w:p w14:paraId="2D0CDE0B" w14:textId="77777777" w:rsidR="005A5FCC" w:rsidRDefault="00A21C81">
      <w:pPr>
        <w:ind w:firstLine="238"/>
      </w:pPr>
      <w:r>
        <w:rPr>
          <w:rFonts w:cs="EB Garamond"/>
          <w:kern w:val="16"/>
          <w14:ligatures w14:val="standardContextual"/>
        </w:rPr>
        <w:t>Na prática, o exercício do jus postulandi nos JEFs previdenciários apresenta limitações significativas. O processo previdenciário envolve questões técnicas complexas (cálculo de RMI, conversão de tempo especial, valoração de laudo pericial, aplicação de regras de transição) que dificilmente são dominadas pelo segurado desassistido. A formulação de quesitos periciais, a inquirição de testemunhas e a articulação de argumentos jurídicos na audiência exigem conhecimento especializado que o jus postulandi não supre.</w:t>
      </w:r>
    </w:p>
    <w:tbl>
      <w:tblPr>
        <w:tblW w:w="5000" w:type="pct"/>
        <w:jc w:val="center"/>
        <w:tblLayout w:type="fixed"/>
        <w:tblLook w:val="04A0" w:firstRow="1" w:lastRow="0" w:firstColumn="1" w:lastColumn="0" w:noHBand="0" w:noVBand="1"/>
      </w:tblPr>
      <w:tblGrid>
        <w:gridCol w:w="6311"/>
      </w:tblGrid>
      <w:tr w:rsidR="005A5FCC" w14:paraId="7B11E8A1"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61AF23F6"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170377A6" w14:textId="77777777" w:rsidR="005A5FCC" w:rsidRDefault="00A21C81">
            <w:pPr>
              <w:spacing w:after="60" w:line="247" w:lineRule="auto"/>
            </w:pPr>
            <w:r>
              <w:rPr>
                <w:rFonts w:cs="EB Garamond"/>
                <w:kern w:val="16"/>
                <w:sz w:val="19"/>
                <w14:ligatures w14:val="standardContextual"/>
              </w:rPr>
              <w:t>Embora o jus postulandi permita ao segurado postular sem advogado, a prática demonstra que a assistência jurídica é determinante para o resultado do processo. A experiência forense sugere que partes assistidas por advogado tendem a obter resultados mais favoráveis do que partes desassistidas, tanto na formulação do pedido quanto na instrução probatória, em razão da complexidade técnica das questões previdenciárias. O advogado previdenciarista agrega valor especialmente na fase de instrução: formulação de quesitos periciais, produção de prova complementar, reação ao laudo adverso e elaboração de alegações finais. A Defensoria Pública da União e os núcleos de prática jurídica de universidades conveniadas suprem parcialmente a lacuna, mas a cobertura é insuficiente para atender à demanda.</w:t>
            </w:r>
          </w:p>
        </w:tc>
      </w:tr>
    </w:tbl>
    <w:p w14:paraId="791653B5" w14:textId="77777777" w:rsidR="005A5FCC" w:rsidRDefault="005A5FCC">
      <w:pPr>
        <w:spacing w:after="80" w:line="240" w:lineRule="auto"/>
      </w:pPr>
    </w:p>
    <w:p w14:paraId="68964442"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67C57B68" w14:textId="77777777" w:rsidR="005A5FCC" w:rsidRDefault="00A21C81">
      <w:r>
        <w:rPr>
          <w:rFonts w:cs="EB Garamond"/>
          <w:kern w:val="16"/>
          <w14:ligatures w14:val="standardContextual"/>
        </w:rPr>
        <w:t xml:space="preserve"> questão dos honorários advocatícios nos JEFs vincula-se ao jus postulandi. Em primeiro grau, não há condenação em honorários de sucumbência (art. 55, caput, da Lei n. 9.099/95, aplicável subsidiariamente). A isenção protege tanto o autor vencido (que não paga honorários ao INSS) quanto o INSS vencido (que não paga honorários ao advogado do autor em primeiro grau). Em sede recursal, o recorrente vencido é condenado em honorários de sucumbência. A base normativa da condenação é o art. 55, caput, segunda parte, da Lei n. 9.099/95, que não apenas autoriza a imposição de honorários ao recorrente vencido como já fixa a respectiva faixa: os honorários "serão fixados entre dez por cento e vinte por cento do valor de condenação ou, não havendo condenação, do valor corrigido da causa". O art. 85, § 2º, do CPC/2015, de aplicação subsidiária, serve de referência para os critérios de arbitramento do percentual dentro dessa faixa (grau de zelo, natureza e importância da causa).</w:t>
      </w:r>
    </w:p>
    <w:p w14:paraId="1E1C200C"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23.10 Procedimento sumaríssimo: princípios e características</w:t>
      </w:r>
    </w:p>
    <w:p w14:paraId="380628F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5F5ED6A2" w14:textId="77777777" w:rsidR="005A5FCC" w:rsidRDefault="00A21C81">
      <w:r>
        <w:rPr>
          <w:rFonts w:cs="EB Garamond"/>
          <w:kern w:val="16"/>
          <w14:ligatures w14:val="standardContextual"/>
        </w:rPr>
        <w:t xml:space="preserve"> procedimento nos JEFs é informado pelos princípios da oralidade, simplicidade, informalidade, economia processual e celeridade (art. 2º da Lei n. 9.099/95). Esses princípios não são meras declarações programáticas: eles condicionam a interpretação das normas processuais e orientam a condução do processo pelo magistrado, que deve privilegiar a solução do conflito em detrimento de formalidades dispensáveis.</w:t>
      </w:r>
    </w:p>
    <w:p w14:paraId="545D008F" w14:textId="064A959E" w:rsidR="005A5FCC" w:rsidRDefault="00A21C81">
      <w:pPr>
        <w:ind w:firstLine="238"/>
      </w:pPr>
      <w:r>
        <w:rPr>
          <w:rFonts w:cs="EB Garamond"/>
          <w:kern w:val="16"/>
          <w14:ligatures w14:val="standardContextual"/>
        </w:rPr>
        <w:t xml:space="preserve">A oralidade, primeiro desses vetores, manifesta-se na concentração dos atos processuais em audiência. A petição inicial pode ser formulada oralmente perante a secretaria do JEF (art. 14 da Lei n. 9.099/95), que a reduzirá a termo; a contestação pode ser apresentada oralmente na audiência de instrução (embora na prática o INSS apresente contestação escrita padronizada); a prova testemunhal é colhida em audiência; e a sentença pode ser proferida oralmente pelo juiz ao final da audiência de instrução e julgamento. Essa concentração não é mera técnica de oralidade: nela a oralidade e a economia processual operam juntas, pois reunir </w:t>
      </w:r>
      <w:r>
        <w:rPr>
          <w:rFonts w:cs="EB Garamond"/>
          <w:kern w:val="16"/>
          <w14:ligatures w14:val="standardContextual"/>
        </w:rPr>
        <w:lastRenderedPageBreak/>
        <w:t>num único ato a conciliação, a instrução e o julgamento</w:t>
      </w:r>
      <w:r w:rsidR="006C5995">
        <w:rPr>
          <w:rFonts w:cs="EB Garamond"/>
          <w:kern w:val="16"/>
          <w14:ligatures w14:val="standardContextual"/>
        </w:rPr>
        <w:t>,</w:t>
      </w:r>
      <w:r>
        <w:rPr>
          <w:rFonts w:cs="EB Garamond"/>
          <w:kern w:val="16"/>
          <w14:ligatures w14:val="standardContextual"/>
        </w:rPr>
        <w:t xml:space="preserve"> elimina etapas e movimentações que, no rito comum, se desdobrariam em fases autônomas.</w:t>
      </w:r>
    </w:p>
    <w:p w14:paraId="0EEB4385" w14:textId="77777777" w:rsidR="005A5FCC" w:rsidRDefault="00A21C81">
      <w:pPr>
        <w:ind w:firstLine="238"/>
      </w:pPr>
      <w:r>
        <w:rPr>
          <w:rFonts w:cs="EB Garamond"/>
          <w:kern w:val="16"/>
          <w14:ligatures w14:val="standardContextual"/>
        </w:rPr>
        <w:t>Da simplicidade decorre a desburocratização do processo. Petições complexas, repletas de preliminares e fundamentações extensas, são desnecessárias no JEF. O pedido deve ser claro e direto: "concessão de aposentadoria por idade desde a DER [data do requerimento administrativo], com pagamento dos atrasados". A documentação deve ser organizada e pertinente, evitando juntada indiscriminada de documentos irrelevantes. À simplicidade soma-se a informalidade, que dispensa requisitos formais sem reflexo na validade substancial do ato: uma petição inicial que não indica o valor exato da causa, mas descreve o benefício pretendido e junta documentos suficientes, pode ser aceita pelo JEF, que determinará a complementação se necessário, e erros na qualificação das partes, na indicação do benefício ou na fundamentação legal não geram nulidade se o pedido é compreensível e o contraditório não foi prejudicado.</w:t>
      </w:r>
    </w:p>
    <w:p w14:paraId="728A096C" w14:textId="77777777" w:rsidR="005A5FCC" w:rsidRDefault="00A21C81">
      <w:pPr>
        <w:ind w:firstLine="238"/>
      </w:pPr>
      <w:r>
        <w:rPr>
          <w:rFonts w:cs="EB Garamond"/>
          <w:kern w:val="16"/>
          <w14:ligatures w14:val="standardContextual"/>
        </w:rPr>
        <w:t>A economia processual, já entrelaçada à oralidade na concentração de atos, projeta-se também na eliminação de etapas desnecessárias: o juiz do JEF pode dispensar a audiência de conciliação quando verificar que o INSS não tem margem para acordo, converter o julgamento em diligência para obter informações complementares sem necessidade de nova audiência ou proferir sentença com base apenas na prova documental, dispensando a instrução quando a controvérsia é exclusivamente de direito. O resultado dessa convergência é a celeridade, vetor que distingue o JEF do juízo federal comum. O prazo médio de tramitação de uma ação previdenciária no JEF é significativamente inferior ao da vara federal, e a meta institucional é que o processo não ultrapasse 12 meses entre o ajuizamento e a sentença. No cotidiano dos JEFs, o prazo varia conforme a subseção judiciária e a complexidade do caso, mas permanece substancialmente inferior ao da vara federal comum.</w:t>
      </w:r>
    </w:p>
    <w:p w14:paraId="349878B5" w14:textId="77777777" w:rsidR="005A5FCC" w:rsidRDefault="00A21C81">
      <w:pPr>
        <w:ind w:firstLine="238"/>
      </w:pPr>
      <w:r>
        <w:rPr>
          <w:rFonts w:cs="EB Garamond"/>
          <w:kern w:val="16"/>
          <w14:ligatures w14:val="standardContextual"/>
        </w:rPr>
        <w:t>A irrecorribilidade das decisões interlocutórias nos JEFs (art. 5º da Lei n. 10.259/2001) é decorrência dos princípios da oralidade e da celeridade. No rito sumaríssimo, não cabe agravo de instrumento contra decisões interlocutórias, salvo em hipóteses excepcionais admitidas pela jurisprudência (decisões que concedem ou negam tutela antecipada, decisões que determinam bloqueio de valo</w:t>
      </w:r>
      <w:r>
        <w:rPr>
          <w:rFonts w:cs="EB Garamond"/>
          <w:kern w:val="16"/>
          <w14:ligatures w14:val="standardContextual"/>
        </w:rPr>
        <w:lastRenderedPageBreak/>
        <w:t>res, decisões que extinguem o processo sem resolução do mérito). A irrecorribilidade das interlocutórias concentra o debate no recurso inominado, após a sentença, simplificando o procedimento e evitando a fragmentação recursal que caracteriza o rito ordinário.</w:t>
      </w:r>
    </w:p>
    <w:p w14:paraId="585B96FD" w14:textId="77777777" w:rsidR="005A5FCC" w:rsidRDefault="00A21C81">
      <w:pPr>
        <w:ind w:firstLine="238"/>
      </w:pPr>
      <w:r>
        <w:rPr>
          <w:rFonts w:cs="EB Garamond"/>
          <w:kern w:val="16"/>
          <w14:ligatures w14:val="standardContextual"/>
        </w:rPr>
        <w:t>A oralidade nos JEFs não impede o uso de petições escritas, mas dispensa exigências formais rígidas. As petições intermediárias podem ser apresentadas por simples manifestação nos autos (petição de uma página, sem requisitos formais), e o juiz pode decidir questões incidentais por despacho oral em audiência, registrado em ata. A desburocratização dos atos processuais é instrumento de democratização do acesso à justiça, pois permite que o segurado desassistido de advogado participe do processo sem embaraços formais.</w:t>
      </w:r>
    </w:p>
    <w:p w14:paraId="4CBC3C94" w14:textId="77777777" w:rsidR="005A5FCC" w:rsidRDefault="00A21C81">
      <w:pPr>
        <w:ind w:firstLine="238"/>
      </w:pPr>
      <w:r>
        <w:rPr>
          <w:rFonts w:cs="EB Garamond"/>
          <w:kern w:val="16"/>
          <w14:ligatures w14:val="standardContextual"/>
        </w:rPr>
        <w:t>A concentração de atos em audiência é expressão concreta da oralidade. Nos JEFs bem estruturados, uma audiência pode contemplar: tentativa de conciliação, produção de prova testemunhal, esclarecimentos do perito, debates orais e prolação de sentença. A concentração reduz o número de atos processuais, o volume de movimentação processual e o tempo total de tramitação. A prática, contudo, nem sempre corresponde ao ideal normativo: em JEFs com acervo excessivo, as audiências são fracionadas (conciliação em uma data, instrução em outra, sentença em terceira), comprometendo a efetividade dos princípios orientadores.</w:t>
      </w:r>
    </w:p>
    <w:p w14:paraId="6C6CDD58"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23.11 Petição inicial e distribuição</w:t>
      </w:r>
    </w:p>
    <w:p w14:paraId="2774622B"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36E6E65C" w14:textId="77777777" w:rsidR="005A5FCC" w:rsidRDefault="00A21C81">
      <w:r>
        <w:rPr>
          <w:rFonts w:cs="EB Garamond"/>
          <w:kern w:val="16"/>
          <w14:ligatures w14:val="standardContextual"/>
        </w:rPr>
        <w:t xml:space="preserve"> petição inicial no JEF previdenciário segue o modelo simplificado previsto no art. 14 da Lei n. 9.099/95, adaptado às peculiaridades da Justiça Federal. Os requisitos essenciais são: (a) qualificação do autor; (b) indicação do réu (INSS); (c) descrição dos fatos e do pedido; (d) valor da causa; e (e) documentos indispensáveis.</w:t>
      </w:r>
    </w:p>
    <w:p w14:paraId="53202FFC" w14:textId="77777777" w:rsidR="005A5FCC" w:rsidRDefault="00A21C81">
      <w:pPr>
        <w:ind w:firstLine="238"/>
      </w:pPr>
      <w:r>
        <w:rPr>
          <w:rFonts w:cs="EB Garamond"/>
          <w:kern w:val="16"/>
          <w14:ligatures w14:val="standardContextual"/>
        </w:rPr>
        <w:t xml:space="preserve">A documentação mínima para ações previdenciárias no JEF inclui: (a) documentos pessoais do autor (CPF, RG); (b) comprovante de requerimento administrativo e decisão de indeferimento (comunicação de decisão, carta de indeferimento ou extrato do sistema Meu INSS); (c) documentos que comprovem o direito alegado (CTPS, CNIS, PPP, laudos médicos, certidão de óbito, certidão </w:t>
      </w:r>
      <w:r>
        <w:rPr>
          <w:rFonts w:cs="EB Garamond"/>
          <w:kern w:val="16"/>
          <w14:ligatures w14:val="standardContextual"/>
        </w:rPr>
        <w:lastRenderedPageBreak/>
        <w:t>de casamento, comprovantes de união estável, conforme a espécie de benefício); e (d) procuração, quando a parte estiver representada por advogado. O checklist completo de documentos para instruir a inicial, discriminado por tipo de ação (concessão, revisão, restabelecimento, mandado de segurança), está no Cap. 22, § 22.21.</w:t>
      </w:r>
    </w:p>
    <w:p w14:paraId="14DDCB37" w14:textId="77777777" w:rsidR="005A5FCC" w:rsidRDefault="00A21C81">
      <w:pPr>
        <w:ind w:firstLine="238"/>
      </w:pPr>
      <w:r>
        <w:rPr>
          <w:rFonts w:cs="EB Garamond"/>
          <w:kern w:val="16"/>
          <w14:ligatures w14:val="standardContextual"/>
        </w:rPr>
        <w:t>A distribuição nos JEFs é, em regra, eletrônica. O processo eletrônico (PJe, e-Proc ou sistema equivalente) é adotado em todos os JEFs do País. A petição inicial e os documentos são protocolados eletronicamente, e a distribuição é feita por sistema informatizado que assegura a equitativa repartição entre os juízes. O segurado desassistido de advogado pode apresentar a petição presencialmente na secretaria do JEF, que providenciará a digitalização e a distribuição eletrônica.</w:t>
      </w:r>
    </w:p>
    <w:tbl>
      <w:tblPr>
        <w:tblW w:w="5000" w:type="pct"/>
        <w:jc w:val="center"/>
        <w:tblLayout w:type="fixed"/>
        <w:tblLook w:val="04A0" w:firstRow="1" w:lastRow="0" w:firstColumn="1" w:lastColumn="0" w:noHBand="0" w:noVBand="1"/>
      </w:tblPr>
      <w:tblGrid>
        <w:gridCol w:w="6311"/>
      </w:tblGrid>
      <w:tr w:rsidR="005A5FCC" w14:paraId="12A02E21"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1BC9A957"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22723677" w14:textId="77777777" w:rsidR="005A5FCC" w:rsidRDefault="00A21C81">
            <w:pPr>
              <w:spacing w:after="60" w:line="247" w:lineRule="auto"/>
            </w:pPr>
            <w:r>
              <w:rPr>
                <w:rFonts w:cs="EB Garamond"/>
                <w:kern w:val="16"/>
                <w:sz w:val="19"/>
                <w14:ligatures w14:val="standardContextual"/>
              </w:rPr>
              <w:t>A petição inicial previdenciária no JEF deve ser concisa e funcional. Recomendamos a seguinte estrutura: (1) qualificação do autor e do réu (INSS — Gerência Executiva competente); (2) breve relato dos fatos (data do requerimento administrativo, motivo do indeferimento, fundamentação do direito); (3) pedido de concessão/revisão/restabelecimento do benefício, com indicação da DIB pretendida; (4) pedido de tutela de urgência, se cabível; (5) pedido de condenação no pagamento dos atrasados com correção e juros; (6) indicação do valor da causa (com renúncia ao excedente, se necessário); (7) requerimento de justiça gratuita. A fundamentação jurídica pode ser sucinta: nos JEFs, o juiz conhece o direito previdenciário aplicável e dispensa exposições doutrinárias extensas. O foco da petição deve ser a demonstração fática do preenchimento dos requisitos do benefício.</w:t>
            </w:r>
          </w:p>
        </w:tc>
      </w:tr>
    </w:tbl>
    <w:p w14:paraId="261652A0" w14:textId="77777777" w:rsidR="005A5FCC" w:rsidRDefault="005A5FCC">
      <w:pPr>
        <w:spacing w:after="80" w:line="240" w:lineRule="auto"/>
      </w:pPr>
    </w:p>
    <w:p w14:paraId="416C852A"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23.12 Citação e contestação do INSS</w:t>
      </w:r>
    </w:p>
    <w:p w14:paraId="7B3D6935"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7DFA04FF" w14:textId="77777777" w:rsidR="005A5FCC" w:rsidRDefault="00A21C81">
      <w:r>
        <w:rPr>
          <w:rFonts w:cs="EB Garamond"/>
          <w:kern w:val="16"/>
          <w14:ligatures w14:val="standardContextual"/>
        </w:rPr>
        <w:t xml:space="preserve"> citação do INSS nos JEFs segue procedimento próprio. O art. 7º da Lei n. 10.259/2001 prevê que as citações e intimações da União, autarquias e fundações serão feitas na forma do art. 35 da Lei Complementar n. 73/1993, ou seja, mediante intimação da procuradoria competente. Na prática, a citação do INSS é realizada eletronicamente, por meio do sistema processual, com remessa automática à Procuradoria Federal Especializada junto ao INSS.</w:t>
      </w:r>
    </w:p>
    <w:p w14:paraId="7B9E9675" w14:textId="77777777" w:rsidR="005A5FCC" w:rsidRDefault="00A21C81">
      <w:pPr>
        <w:ind w:firstLine="238"/>
      </w:pPr>
      <w:r>
        <w:rPr>
          <w:rFonts w:cs="EB Garamond"/>
          <w:kern w:val="16"/>
          <w14:ligatures w14:val="standardContextual"/>
        </w:rPr>
        <w:lastRenderedPageBreak/>
        <w:t>O prazo para contestação é de 30 dias, mais elástico que o de 15 dias previsto na Lei n. 9.099/95. Convém precisar a base normativa, frequentemente atribuída de forma assertiva ao art. 9º da Lei n. 10.259/2001. Esse dispositivo, a rigor, não fixa o prazo de contestação: ao revés, veda prazo diferenciado para a prática de qualquer ato processual pelas pessoas jurídicas de direito público e determina que a citação para a audiência de conciliação seja efetuada com antecedência mínima de 30 dias. O prazo de 30 dias para contestar não decorre, portanto, de comando literal e expresso do art. 9º, mas de construção regimental e jurisprudencial dos JEFs, que extrai dessa antecedência mínima da citação o lapso razoável para a resposta do INSS antes da audiência. Trata-se de prazo consagrado na praxe, embora não fixado em texto legal expresso com tal redação. A contestação do INSS é, em regra, padronizada: a Procuradoria Federal elabora modelos de contestação por espécie de benefício, adaptados às controvérsias mais frequentes. A individualização da defesa ocorre na audiência, quando o representante do INSS pode articular argumentos específicos ao caso concreto.</w:t>
      </w:r>
    </w:p>
    <w:p w14:paraId="0DFEEF08" w14:textId="77777777" w:rsidR="005A5FCC" w:rsidRDefault="00A21C81">
      <w:pPr>
        <w:ind w:firstLine="238"/>
      </w:pPr>
      <w:r>
        <w:rPr>
          <w:rFonts w:cs="EB Garamond"/>
          <w:kern w:val="16"/>
          <w14:ligatures w14:val="standardContextual"/>
        </w:rPr>
        <w:t>A revelia do INSS, embora juridicamente possível, é rara em termos operacionais. Se o INSS não contesta, aplica-se o art. 20 da Lei n. 9.099/95: os fatos alegados pelo autor serão tidos como verdadeiros. A revelia, contudo, não produz efeito automático de procedência, pois o juiz deve verificar se os fatos alegados são verossímeis e se os documentos juntados sustentam o pedido. Em ações previdenciárias, a presunção de veracidade decorrente da revelia é atenuada pela indisponibilidade do interesse público e pela necessidade de prova documental ou pericial para a comprovação de determinados requisitos (invalidez, atividade especial, tempo de contribuição).</w:t>
      </w:r>
    </w:p>
    <w:p w14:paraId="0824C85F"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23.13 Audiência de conciliação</w:t>
      </w:r>
    </w:p>
    <w:p w14:paraId="06279C69"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38A82EF4" w14:textId="77777777" w:rsidR="005A5FCC" w:rsidRDefault="00A21C81">
      <w:r>
        <w:rPr>
          <w:rFonts w:cs="EB Garamond"/>
          <w:kern w:val="16"/>
          <w14:ligatures w14:val="standardContextual"/>
        </w:rPr>
        <w:t xml:space="preserve"> audiência de conciliação é etapa obrigatória do procedimento nos JEFs, prevista no art. 21 da Lei n. 9.099/95, aplicável subsidiariamente. Nos JEFs previdenciários, a conciliação assume importância particular pela possibilidade de acordo entre o segurado e o INSS, com implantação imediata do benefício.</w:t>
      </w:r>
    </w:p>
    <w:p w14:paraId="271E1312" w14:textId="77777777" w:rsidR="005A5FCC" w:rsidRDefault="00A21C81">
      <w:pPr>
        <w:ind w:firstLine="238"/>
      </w:pPr>
      <w:r>
        <w:rPr>
          <w:rFonts w:cs="EB Garamond"/>
          <w:kern w:val="16"/>
          <w14:ligatures w14:val="standardContextual"/>
        </w:rPr>
        <w:lastRenderedPageBreak/>
        <w:t>A conciliação pode ser conduzida pelo juiz togado ou por conciliador designado. Os conciliadores nos JEFs são recrutados entre bacharéis em Direito, advogados ou servidores da Justiça Federal, com treinamento específico em técnicas de conciliação. O papel do conciliador é facilitar o diálogo entre as partes, apresentar propostas de acordo e esclarecer as consequências jurídicas de cada alternativa.</w:t>
      </w:r>
    </w:p>
    <w:p w14:paraId="47CE5781" w14:textId="77777777" w:rsidR="005A5FCC" w:rsidRDefault="00A21C81">
      <w:pPr>
        <w:ind w:firstLine="238"/>
      </w:pPr>
      <w:r>
        <w:rPr>
          <w:rFonts w:cs="EB Garamond"/>
          <w:kern w:val="16"/>
          <w14:ligatures w14:val="standardContextual"/>
        </w:rPr>
        <w:t>A conciliação previdenciária enfrenta particularidades que a distinguem das demais matérias submetidas aos JEFs. O INSS possui margem limitada para negociação: a concessão do benefício depende do preenchimento de requisitos legais, e a autarquia não pode transigir sobre requisitos legais de elegibilidade. A margem de negociação reside na data de início do benefício (DIB), no valor dos atrasados (com eventual desconto para pagamento imediato) e no reconhecimento parcial do pedido.</w:t>
      </w:r>
    </w:p>
    <w:p w14:paraId="51FFD205" w14:textId="77777777" w:rsidR="005A5FCC" w:rsidRDefault="00A21C81">
      <w:pPr>
        <w:ind w:firstLine="238"/>
      </w:pPr>
      <w:r>
        <w:rPr>
          <w:rFonts w:cs="EB Garamond"/>
          <w:kern w:val="16"/>
          <w14:ligatures w14:val="standardContextual"/>
        </w:rPr>
        <w:t>Os mutirões de conciliação previdenciária, organizados pelos Tribunais Regionais Federais em parceria com o INSS e a Procuradoria Federal, são instrumento relevante de resolução de demandas. Nesses eventos, representantes do INSS com poderes para transigir participam de audiências concentradas, com análise caso a caso. Os percentuais de acordo variam conforme a região e a espécie de benefício, mas os mutirões têm contribuído para a redução do acervo processual dos JEFs.</w:t>
      </w:r>
    </w:p>
    <w:tbl>
      <w:tblPr>
        <w:tblW w:w="5000" w:type="pct"/>
        <w:jc w:val="center"/>
        <w:tblLayout w:type="fixed"/>
        <w:tblLook w:val="04A0" w:firstRow="1" w:lastRow="0" w:firstColumn="1" w:lastColumn="0" w:noHBand="0" w:noVBand="1"/>
      </w:tblPr>
      <w:tblGrid>
        <w:gridCol w:w="6311"/>
      </w:tblGrid>
      <w:tr w:rsidR="005A5FCC" w14:paraId="6333929F"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5E28E1B5"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6167B910" w14:textId="77777777" w:rsidR="005A5FCC" w:rsidRDefault="00A21C81">
            <w:pPr>
              <w:spacing w:after="60" w:line="247" w:lineRule="auto"/>
            </w:pPr>
            <w:r>
              <w:rPr>
                <w:rFonts w:cs="EB Garamond"/>
                <w:kern w:val="16"/>
                <w:sz w:val="19"/>
                <w14:ligatures w14:val="standardContextual"/>
              </w:rPr>
              <w:t>Na audiência de conciliação previdenciária, o advogado deve estar preparado para avaliar propostas de acordo do INSS. As propostas mais comuns envolvem: (a) concessão do benefício com DIB na data do ajuizamento (renúncia aos atrasados entre o requerimento administrativo e o ajuizamento); (b) concessão com desconto sobre os atrasados (percentual variável, conforme a margem de transação autorizada à Procuradoria no caso concreto); (c) reconhecimento parcial do pedido (concessão de benefício de espécie diversa da pretendida). Na prática, convém calcular previamente o valor integral do crédito e compará-lo com a proposta de acordo, orientando o cliente sobre as vantagens e desvantagens. A aceitação do acordo implica renúncia ao direito de recorrer sobre as parcelas transacionadas. A recusa do acordo não prejudica o segurado: o processo prossegue normalmente para instrução e julgamento.</w:t>
            </w:r>
          </w:p>
        </w:tc>
      </w:tr>
    </w:tbl>
    <w:p w14:paraId="4C8CC89C" w14:textId="77777777" w:rsidR="005A5FCC" w:rsidRDefault="005A5FCC">
      <w:pPr>
        <w:spacing w:after="80" w:line="240" w:lineRule="auto"/>
      </w:pPr>
    </w:p>
    <w:p w14:paraId="4FF8E342"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23.14 Audiência de instrução e julgamento</w:t>
      </w:r>
    </w:p>
    <w:p w14:paraId="1A334BF9"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N</w:t>
      </w:r>
    </w:p>
    <w:p w14:paraId="3CF63FA3" w14:textId="77777777" w:rsidR="005A5FCC" w:rsidRDefault="00A21C81">
      <w:r>
        <w:rPr>
          <w:rFonts w:cs="EB Garamond"/>
          <w:kern w:val="16"/>
          <w14:ligatures w14:val="standardContextual"/>
        </w:rPr>
        <w:t>ão havendo acordo na audiência de conciliação, o processo segue para a audiência de instrução e julgamento (AIJ). A AIJ é o momento central do processo no JEF, no qual se concentram a produção de provas, os debates orais e, frequentemente, a prolação da sentença.</w:t>
      </w:r>
    </w:p>
    <w:p w14:paraId="4DF42230" w14:textId="77777777" w:rsidR="005A5FCC" w:rsidRDefault="00A21C81">
      <w:pPr>
        <w:ind w:firstLine="238"/>
      </w:pPr>
      <w:r>
        <w:rPr>
          <w:rFonts w:cs="EB Garamond"/>
          <w:kern w:val="16"/>
          <w14:ligatures w14:val="standardContextual"/>
        </w:rPr>
        <w:t>A instrução processual nas ações previdenciárias varia conforme a espécie de benefício e a controvérsia. Em ações de concessão de aposentadoria por incapacidade ou auxílio por incapacidade temporária, a prova pericial é o elemento central. O laudo pericial é produzido antes da AIJ (o juiz designa perícia após a contestação, e o laudo é juntado antes da audiência), e a AIJ serve para esclarecimentos do perito, complementação da prova e debates. Em ações de pensão por morte envolvendo comprovação de união estável, a prova testemunhal é central, e a AIJ concentra a inquirição das testemunhas. Em ações de reconhecimento de tempo rural, a instrução combina prova documental (início de prova material) com prova testemunhal.</w:t>
      </w:r>
    </w:p>
    <w:p w14:paraId="29D05A57" w14:textId="77777777" w:rsidR="005A5FCC" w:rsidRDefault="00A21C81">
      <w:pPr>
        <w:ind w:firstLine="238"/>
      </w:pPr>
      <w:r>
        <w:rPr>
          <w:rFonts w:cs="EB Garamond"/>
          <w:kern w:val="16"/>
          <w14:ligatures w14:val="standardContextual"/>
        </w:rPr>
        <w:t>O número máximo de testemunhas é três para cada parte (art. 34 da Lei n. 9.099/95), salvo ampliação justificada pelo juiz. As testemunhas são ouvidas em audiência, sem compromisso formal (art. 36 da Lei n. 9.099/95), e seus depoimentos são reduzidos a termo ou gravados em mídia audiovisual. A inquirição é conduzida pelo juiz, com possibilidade de perguntas pelas partes (sistema presidencialista de inquirição, não o cross-examination do CPC/2015).</w:t>
      </w:r>
    </w:p>
    <w:p w14:paraId="39267959" w14:textId="77777777" w:rsidR="005A5FCC" w:rsidRDefault="00A21C81">
      <w:pPr>
        <w:ind w:firstLine="238"/>
      </w:pPr>
      <w:r>
        <w:rPr>
          <w:rFonts w:cs="EB Garamond"/>
          <w:kern w:val="16"/>
          <w14:ligatures w14:val="standardContextual"/>
        </w:rPr>
        <w:t>A sentença pode ser proferida na própria audiência, oralmente, reduzida a termo pelo servidor da secretaria. A prolação de sentença em audiência é prática incentivada nos JEFs, por conferir celeridade ao julgamento e permitir que o segurado conheça o resultado imediatamente. Quando a complexidade do caso exige análise mais detida, o juiz pode reservar prazo para prolação de sentença escrita.</w:t>
      </w:r>
    </w:p>
    <w:p w14:paraId="140A1896" w14:textId="77777777" w:rsidR="005A5FCC" w:rsidRDefault="00A21C81">
      <w:pPr>
        <w:ind w:firstLine="238"/>
      </w:pPr>
      <w:r>
        <w:rPr>
          <w:rFonts w:cs="EB Garamond"/>
          <w:kern w:val="16"/>
          <w14:ligatures w14:val="standardContextual"/>
        </w:rPr>
        <w:t xml:space="preserve">A prova emprestada é admitida nos JEFs, com fundamento no art. 372 do CPC/2015. Laudos periciais produzidos em ações previdenciárias anteriores do mesmo segurado (ações de auxílio por incapacidade temporária prévias, ações de BPC, ações acidentárias na Justiça Estadual) podem ser aproveitados como prova </w:t>
      </w:r>
      <w:r>
        <w:rPr>
          <w:rFonts w:cs="EB Garamond"/>
          <w:kern w:val="16"/>
          <w14:ligatures w14:val="standardContextual"/>
        </w:rPr>
        <w:lastRenderedPageBreak/>
        <w:t>emprestada, desde que a parte contra quem a prova é utilizada tenha participado do processo originário ou tenha oportunidade de se manifestar. Na prática previdenciária, a prova emprestada é particularmente útil quando o segurado ajuíza nova ação após cessação do benefício: o laudo produzido na ação anterior pode ser aproveitado como início de prova da incapacidade, complementado por laudo atualizado.</w:t>
      </w:r>
    </w:p>
    <w:p w14:paraId="625DF062" w14:textId="77777777" w:rsidR="005A5FCC" w:rsidRDefault="00A21C81">
      <w:pPr>
        <w:ind w:firstLine="238"/>
      </w:pPr>
      <w:r>
        <w:rPr>
          <w:rFonts w:cs="EB Garamond"/>
          <w:kern w:val="16"/>
          <w14:ligatures w14:val="standardContextual"/>
        </w:rPr>
        <w:t>A oitiva do perito em audiência (esclarecimentos periciais) é instrumento relevante nos JEFs previdenciários. O advogado do segurado pode requerer a intimação do perito para comparecer à audiência e esclarecer pontos do laudo que considera insuficientes ou contraditórios. Os quesitos de esclarecimento devem ser formulados com antecedência e comunicados ao perito, para que possa preparar-se. A oitiva do perito em audiência é, com frequência, momento decisivo para a sorte da ação: o advogado que formula perguntas precisas sobre a capacidade funcional do segurado, sobre a evolução do quadro clínico e sobre a possibilidade de reabilitação pode obter respostas que alterem a conclusão do laudo escrito.</w:t>
      </w:r>
    </w:p>
    <w:tbl>
      <w:tblPr>
        <w:tblW w:w="5000" w:type="pct"/>
        <w:jc w:val="center"/>
        <w:tblLayout w:type="fixed"/>
        <w:tblLook w:val="04A0" w:firstRow="1" w:lastRow="0" w:firstColumn="1" w:lastColumn="0" w:noHBand="0" w:noVBand="1"/>
      </w:tblPr>
      <w:tblGrid>
        <w:gridCol w:w="6311"/>
      </w:tblGrid>
      <w:tr w:rsidR="005A5FCC" w14:paraId="138405A2"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48DBBACA" w14:textId="77777777" w:rsidR="005A5FCC" w:rsidRDefault="00A21C81">
            <w:pPr>
              <w:spacing w:after="60" w:line="240" w:lineRule="auto"/>
              <w:jc w:val="left"/>
            </w:pPr>
            <w:r>
              <w:rPr>
                <w:rFonts w:ascii="Noto Sans" w:hAnsi="Noto Sans" w:cs="Noto Sans"/>
                <w:b/>
                <w:caps/>
                <w:color w:val="4D6F8A"/>
                <w:kern w:val="16"/>
                <w:sz w:val="16"/>
                <w14:ligatures w14:val="standardContextual"/>
              </w:rPr>
              <w:t>JURISPRUDÊNCIA EM DESTAQUE</w:t>
            </w:r>
          </w:p>
          <w:p w14:paraId="3099B365" w14:textId="77777777" w:rsidR="005A5FCC" w:rsidRDefault="00A21C81">
            <w:pPr>
              <w:spacing w:after="60" w:line="247" w:lineRule="auto"/>
            </w:pPr>
            <w:r>
              <w:rPr>
                <w:rFonts w:cs="EB Garamond"/>
                <w:b/>
                <w:kern w:val="16"/>
                <w:sz w:val="19"/>
                <w14:ligatures w14:val="standardContextual"/>
              </w:rPr>
              <w:t>Enunciados do FONAJEF — prova técnica complexa.</w:t>
            </w:r>
            <w:r>
              <w:rPr>
                <w:rFonts w:cs="EB Garamond"/>
                <w:kern w:val="16"/>
                <w:sz w:val="19"/>
                <w14:ligatures w14:val="standardContextual"/>
              </w:rPr>
              <w:t xml:space="preserve"> O FONAJEF firmou diretriz no sentido de que não cabe a produção de prova técnica de elevada complexidade no âmbito dos JEFs, por incompatível com o rito sumaríssimo. A orientação reflete o entendimento de que perícias que demandem múltiplos peritos, diligências longas ou conhecimento técnico altamente especializado desbordam do procedimento dos juizados. Na rotina previdenciária, a distinção é relevante: perícias médicas judiciais simples (avaliação de incapacidade) são compatíveis com o JEF; perícias contábeis complexas sobre cálculo de RMI com múltiplas atividades concomitantes podem ser consideradas incompatíveis. A tendência jurisprudencial, contudo, é ampliar o conceito de compatibilidade, admitindo nos JEFs a maioria das perícias previdenciárias.</w:t>
            </w:r>
          </w:p>
        </w:tc>
      </w:tr>
    </w:tbl>
    <w:p w14:paraId="4AD8C675" w14:textId="77777777" w:rsidR="005A5FCC" w:rsidRDefault="005A5FCC">
      <w:pPr>
        <w:spacing w:after="80" w:line="240" w:lineRule="auto"/>
      </w:pPr>
    </w:p>
    <w:p w14:paraId="79424F97"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23.15 Prova pericial nos JEFs previdenciários</w:t>
      </w:r>
    </w:p>
    <w:p w14:paraId="7FF452EE"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5B1E770F" w14:textId="77777777" w:rsidR="005A5FCC" w:rsidRDefault="00A21C81">
      <w:r>
        <w:rPr>
          <w:rFonts w:cs="EB Garamond"/>
          <w:kern w:val="16"/>
          <w14:ligatures w14:val="standardContextual"/>
        </w:rPr>
        <w:t xml:space="preserve"> prova pericial nos JEFs previdenciários segue regras próprias, disciplinadas pelo art. 12 da Lei n. 10.259/2001. A norma prevê que, para efetuar o exame técnico necessário à conciliação ou ao julgamento da causa, o juiz nomeará pessoa habilitada, que apresentará o laudo até cinco dias antes da audiência.</w:t>
      </w:r>
    </w:p>
    <w:p w14:paraId="3ACA6B5E" w14:textId="77777777" w:rsidR="005A5FCC" w:rsidRDefault="00A21C81">
      <w:pPr>
        <w:ind w:firstLine="238"/>
      </w:pPr>
      <w:r>
        <w:rPr>
          <w:rFonts w:cs="EB Garamond"/>
          <w:kern w:val="16"/>
          <w14:ligatures w14:val="standardContextual"/>
        </w:rPr>
        <w:t>A peculiaridade dos JEFs está no custeio da perícia. Diferentemente do juízo comum, em que a parte requerente adianta os honorários periciais, nos JEFs os honorários do perito são custeados pela Justiça Federal. O segurado beneficiário de justiça gratuita (que constitui a totalidade dos autores em ações previdenciárias) não paga honorários periciais, e o INSS, como autarquia federal, também não adianta. O pagamento é feito pela Justiça Federal ao perito, mediante tabela própria.</w:t>
      </w:r>
    </w:p>
    <w:p w14:paraId="0285C4BA" w14:textId="77777777" w:rsidR="005A5FCC" w:rsidRDefault="00A21C81">
      <w:pPr>
        <w:ind w:firstLine="238"/>
      </w:pPr>
      <w:r>
        <w:rPr>
          <w:rFonts w:cs="EB Garamond"/>
          <w:kern w:val="16"/>
          <w14:ligatures w14:val="standardContextual"/>
        </w:rPr>
        <w:t>A indicação de assistente técnico pelas partes é admitida nos JEFs, embora com alcance limitado. O art. 12, parágrafo único, da Lei n. 10.259/2001 prevê que, havendo designação de exame, as partes serão intimadas para, em 10 dias, apresentar quesitos e indicar assistentes. Na prática previdenciária, o INSS frequentemente indica assistente técnico (médico do quadro da autarquia), enquanto o segurado raramente dispõe de recursos para tanto. A formulação de quesitos complementares pelo advogado do segurado é o instrumento mais eficaz para influenciar a perícia nos JEFs.</w:t>
      </w:r>
    </w:p>
    <w:tbl>
      <w:tblPr>
        <w:tblW w:w="5000" w:type="pct"/>
        <w:jc w:val="center"/>
        <w:tblLayout w:type="fixed"/>
        <w:tblLook w:val="04A0" w:firstRow="1" w:lastRow="0" w:firstColumn="1" w:lastColumn="0" w:noHBand="0" w:noVBand="1"/>
      </w:tblPr>
      <w:tblGrid>
        <w:gridCol w:w="6311"/>
      </w:tblGrid>
      <w:tr w:rsidR="005A5FCC" w14:paraId="1F3019C5"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60D8C34C"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76C92F7F" w14:textId="77777777" w:rsidR="005A5FCC" w:rsidRDefault="00A21C81">
            <w:pPr>
              <w:spacing w:after="60" w:line="247" w:lineRule="auto"/>
            </w:pPr>
            <w:r>
              <w:rPr>
                <w:rFonts w:cs="EB Garamond"/>
                <w:kern w:val="16"/>
                <w:sz w:val="19"/>
                <w14:ligatures w14:val="standardContextual"/>
              </w:rPr>
              <w:t>A formulação de quesitos periciais é habilidade essencial do advogado previdenciarista. Nos JEFs, o número de quesitos é tipicamente limitado (5 a 10 por parte, conforme orientação do juízo). Os quesitos devem ser diretos, técnicos e direcionados ao preenchimento dos requisitos legais do benefício. Em ações de incapacidade, os quesitos devem abordar: (a) existência de doença ou lesão; (b) se há incapacidade para o trabalho; (c) se a incapacidade é total ou parcial; (d) se é temporária ou permanente; (e) data de início da incapacidade; (f) se há possibilidade de reabilitação; (g) se a condição é agravada pelo exercício da atividade habitual. Quesitos vagos ("o autor pode trabalhar?") ou jurídicos ("o autor faz jus ao benefício?") devem ser evitados, pois o perito responde sobre fatos técnicos, não sobre questões de direito.</w:t>
            </w:r>
          </w:p>
        </w:tc>
      </w:tr>
    </w:tbl>
    <w:p w14:paraId="13594D25" w14:textId="77777777" w:rsidR="005A5FCC" w:rsidRDefault="005A5FCC">
      <w:pPr>
        <w:spacing w:after="80" w:line="240" w:lineRule="auto"/>
      </w:pPr>
    </w:p>
    <w:p w14:paraId="63F14F38"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3B78FBD3" w14:textId="77777777" w:rsidR="005A5FCC" w:rsidRDefault="00A21C81">
      <w:r>
        <w:rPr>
          <w:rFonts w:cs="EB Garamond"/>
          <w:kern w:val="16"/>
          <w14:ligatures w14:val="standardContextual"/>
        </w:rPr>
        <w:t xml:space="preserve"> valoração do laudo pericial pelo juiz do JEF segue o princípio do livre convencimento motivado (art. 371, CPC/2015). O juiz não está vinculado ao laudo pericial, podendo divergir de suas conclusões com base em outros elementos de prova (laudos médicos particulares, relatórios de internação, atestados de médicos assistentes). A jurisprudência da TNU consolidou que o juiz pode acolher laudo pericial desfavorável ao segurado e julgar improcedente a ação, desde que fundamente sua decisão, assim como pode afastar o laudo pericial e conceder o benefício com base em elementos probatórios convergentes.</w:t>
      </w:r>
    </w:p>
    <w:p w14:paraId="2B619762"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23.16 Tutela de urgência nos JEFs previdenciários</w:t>
      </w:r>
    </w:p>
    <w:p w14:paraId="59F95A40"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4E08264F" w14:textId="77777777" w:rsidR="005A5FCC" w:rsidRDefault="00A21C81">
      <w:r>
        <w:rPr>
          <w:rFonts w:cs="EB Garamond"/>
          <w:kern w:val="16"/>
          <w14:ligatures w14:val="standardContextual"/>
        </w:rPr>
        <w:t xml:space="preserve"> tutela de urgência nos JEFs previdenciários, examinada por Savaris (2023) e Santos (2025), é disciplinada pelo art. 4º da Lei n. 10.259/2001, que prevê a possibilidade de medidas cautelares e de antecipação de tutela "quando presentes os pressupostos do art. 273 do CPC" (referência ao CPC/1973, hoje correspondente ao art. 300 do CPC/2015).</w:t>
      </w:r>
    </w:p>
    <w:p w14:paraId="29B29578" w14:textId="77777777" w:rsidR="005A5FCC" w:rsidRDefault="00A21C81">
      <w:pPr>
        <w:ind w:firstLine="238"/>
      </w:pPr>
      <w:r>
        <w:rPr>
          <w:rFonts w:cs="EB Garamond"/>
          <w:kern w:val="16"/>
          <w14:ligatures w14:val="standardContextual"/>
        </w:rPr>
        <w:t>A concessão de tutela antecipada em ações previdenciárias é frequente e encontra fundamento na natureza alimentar do benefício. O segurado que comprova a probabilidade do direito ao benefício e demonstra o perigo de dano (privação de renda alimentar, impossibilidade de arcar com despesas de saúde, situação de vulnerabilidade) tem direito à implantação provisória do benefício, independentemente do trânsito em julgado.</w:t>
      </w:r>
    </w:p>
    <w:p w14:paraId="431CDE3B" w14:textId="77777777" w:rsidR="005A5FCC" w:rsidRDefault="00A21C81">
      <w:pPr>
        <w:ind w:firstLine="238"/>
      </w:pPr>
      <w:r>
        <w:rPr>
          <w:rFonts w:cs="EB Garamond"/>
          <w:kern w:val="16"/>
          <w14:ligatures w14:val="standardContextual"/>
        </w:rPr>
        <w:t>A implantação provisória do benefício é obrigação de fazer, não de pagar. A distinção é relevante: a obrigação de fazer (implantar o benefício, com pagamento de parcelas vincendas) pode ser executada imediatamente, sem sujeição ao regime de precatórios (art. 100, CF/88). O INSS é intimado a implantar o benefício em prazo determinado (geralmente 30 dias), sob pena de multa diária (astreintes) ou de outras medidas coercitivas. Os atrasados (parcelas vencidas entre a DIB e a implantação), por constituírem obrigação de pagar quantia certa, são relegados à execução final (RPV ou precatório), após o trânsito em julgado.</w:t>
      </w:r>
    </w:p>
    <w:p w14:paraId="45865BC5" w14:textId="77777777" w:rsidR="005A5FCC" w:rsidRDefault="00A21C81">
      <w:pPr>
        <w:ind w:firstLine="238"/>
      </w:pPr>
      <w:r>
        <w:rPr>
          <w:rFonts w:cs="EB Garamond"/>
          <w:kern w:val="16"/>
          <w14:ligatures w14:val="standardContextual"/>
        </w:rPr>
        <w:lastRenderedPageBreak/>
        <w:t>A irreversibilidade da tutela antecipada em matéria previdenciária é questão debatida. A jurisprudência majoritária dos TRFs afasta a vedação do art. 300, § 3º, do CPC/2015, adotando a teoria da dupla irreversibilidade: quando ambas as partes sofrem risco de dano irreversível (o segurado, pela privação alimentar; o INSS, pela impossibilidade de recuperar os valores pagos), a tutela deve ser concedida em favor da parte mais vulnerável. Os valores recebidos de boa-fé pelo segurado por força de tutela antecipada são irrepetíveis, conforme entendimento consolidado do STJ.</w:t>
      </w:r>
    </w:p>
    <w:tbl>
      <w:tblPr>
        <w:tblW w:w="5000" w:type="pct"/>
        <w:jc w:val="center"/>
        <w:tblLayout w:type="fixed"/>
        <w:tblLook w:val="04A0" w:firstRow="1" w:lastRow="0" w:firstColumn="1" w:lastColumn="0" w:noHBand="0" w:noVBand="1"/>
      </w:tblPr>
      <w:tblGrid>
        <w:gridCol w:w="6311"/>
      </w:tblGrid>
      <w:tr w:rsidR="005A5FCC" w14:paraId="22906C23"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4E7B6257"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6E789246" w14:textId="77777777" w:rsidR="005A5FCC" w:rsidRDefault="00A21C81">
            <w:pPr>
              <w:spacing w:after="60" w:line="247" w:lineRule="auto"/>
            </w:pPr>
            <w:r>
              <w:rPr>
                <w:rFonts w:cs="EB Garamond"/>
                <w:kern w:val="16"/>
                <w:sz w:val="19"/>
                <w14:ligatures w14:val="standardContextual"/>
              </w:rPr>
              <w:t>A tutela antecipada nos JEFs pode ser concedida em três momentos distintos: (a) na própria petição inicial, como pedido de tutela de urgência inaudita altera pars (antes da citação do INSS), quando a urgência é extrema; (b) na audiência de conciliação, quando o juiz verifica que o acordo é inviável mas a probabilidade do direito é alta; (c) na audiência de instrução, após a produção de provas que reforçam a probabilidade do direito. O advogado deve requerer a tutela antecipada desde a inicial, demonstrando a urgência e a probabilidade, e reiterar o pedido nas audiências se não deferido liminarmente. A implantação provisória do benefício assegura renda alimentar ao segurado durante a tramitação do processo, cuja duração pode atingir meses ou anos até o trânsito em julgado.</w:t>
            </w:r>
          </w:p>
        </w:tc>
      </w:tr>
    </w:tbl>
    <w:p w14:paraId="199132FD" w14:textId="77777777" w:rsidR="005A5FCC" w:rsidRDefault="005A5FCC">
      <w:pPr>
        <w:spacing w:after="80" w:line="240" w:lineRule="auto"/>
      </w:pPr>
    </w:p>
    <w:p w14:paraId="725DD731"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23.17 Sentença nos JEFs previdenciários</w:t>
      </w:r>
    </w:p>
    <w:p w14:paraId="1515775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7390779B" w14:textId="77777777" w:rsidR="005A5FCC" w:rsidRDefault="00A21C81">
      <w:r>
        <w:rPr>
          <w:rFonts w:cs="EB Garamond"/>
          <w:kern w:val="16"/>
          <w14:ligatures w14:val="standardContextual"/>
        </w:rPr>
        <w:t xml:space="preserve"> sentença no JEF previdenciário é proferida pelo juiz federal do juizado, observando o rito sumaríssimo. As sentenças nos JEFs são, por expressa disposição legal, dispensadas de relatório (art. 38, caput, da Lei n. 9.099/95, aplicável subsidiariamente). A fundamentação, contudo, é obrigatória: o juiz deve indicar os elementos de convicção que o levaram à decisão, identificando as provas em que se baseou.</w:t>
      </w:r>
    </w:p>
    <w:p w14:paraId="08497331" w14:textId="77777777" w:rsidR="005A5FCC" w:rsidRDefault="00A21C81">
      <w:pPr>
        <w:ind w:firstLine="238"/>
      </w:pPr>
      <w:r>
        <w:rPr>
          <w:rFonts w:cs="EB Garamond"/>
          <w:kern w:val="16"/>
          <w14:ligatures w14:val="standardContextual"/>
        </w:rPr>
        <w:t xml:space="preserve">A sentença pode ser de procedência total, procedência parcial ou improcedência. Nas ações de concessão de benefício, a sentença de procedência concede o benefício, com indicação da espécie e da DIB, e condena o INSS ao pagamento dos atrasados, acrescidos de correção monetária e juros de mora. Confirma ou </w:t>
      </w:r>
      <w:r>
        <w:rPr>
          <w:rFonts w:cs="EB Garamond"/>
          <w:kern w:val="16"/>
          <w14:ligatures w14:val="standardContextual"/>
        </w:rPr>
        <w:lastRenderedPageBreak/>
        <w:t>revoga, conforme o caso, a tutela antecipada eventualmente deferida no curso do processo e, quando houver condenação em sede recursal, fixa os honorários advocatícios devidos.</w:t>
      </w:r>
    </w:p>
    <w:p w14:paraId="04D4D846" w14:textId="77777777" w:rsidR="005A5FCC" w:rsidRDefault="00A21C81">
      <w:pPr>
        <w:ind w:firstLine="238"/>
      </w:pPr>
      <w:r>
        <w:rPr>
          <w:rFonts w:cs="EB Garamond"/>
          <w:kern w:val="16"/>
          <w14:ligatures w14:val="standardContextual"/>
        </w:rPr>
        <w:t>A sentença de procedência parcial é frequente nas ações previdenciárias. O juiz pode, por exemplo, conceder o benefício com DIB diversa da pretendida (reconhecendo data de início posterior ao requerimento administrativo), conceder benefício de espécie diferente da pedida (aposentadoria por idade em vez de aposentadoria por tempo de contribuição) ou reconhecer tempo de contribuição em período inferior ao alegado. A fungibilidade dos pedidos previdenciários, consagrada na jurisprudência da TNU e dos TRFs, autoriza o juiz a adequar a prestação jurisdicional ao direito comprovado nos autos, sem configurar julgamento ultra ou extra petita. Essa fungibilidade, contudo, não é ilimitada: pressupõe a identidade da causa de pedir e a suficiência do conjunto probatório já produzido. Quando a concessão do benefício diverso exigir a apreciação de fato distinto do alegado na inicial — não submetido ao contraditório —, o juiz deve, antes de decidir, oportunizar às partes a manifestação sobre o novo fundamento, sob pena de decisão surpresa, vedada pelo art. 10 do CPC/2015.</w:t>
      </w:r>
    </w:p>
    <w:p w14:paraId="7479B51E" w14:textId="77777777" w:rsidR="005A5FCC" w:rsidRDefault="00A21C81">
      <w:pPr>
        <w:ind w:firstLine="238"/>
      </w:pPr>
      <w:r>
        <w:rPr>
          <w:rFonts w:cs="EB Garamond"/>
          <w:kern w:val="16"/>
          <w14:ligatures w14:val="standardContextual"/>
        </w:rPr>
        <w:t>A sentença de improcedência em ação previdenciária não impede o ajuizamento de nova ação com o mesmo pedido quando baseada em fatos supervenientes. Se o segurado teve ação de aposentadoria por incapacidade julgada improcedente porque o perito concluiu pela capacidade laborativa, e posteriormente apresenta agravamento do quadro clínico, pode ajuizar nova ação com base no novo quadro fático. A coisa julgada opera sobre os fatos existentes à data da sentença (cláusula rebus sic stantibus), não sobre fatos supervenientes. No mesmo sentido, o FONAJEF admite o ajuizamento de nova ação no JEF quando há mudança no estado de fato, sem ofensa à coisa julgada anterior.</w:t>
      </w:r>
    </w:p>
    <w:tbl>
      <w:tblPr>
        <w:tblW w:w="5000" w:type="pct"/>
        <w:jc w:val="center"/>
        <w:tblLayout w:type="fixed"/>
        <w:tblLook w:val="04A0" w:firstRow="1" w:lastRow="0" w:firstColumn="1" w:lastColumn="0" w:noHBand="0" w:noVBand="1"/>
      </w:tblPr>
      <w:tblGrid>
        <w:gridCol w:w="6311"/>
      </w:tblGrid>
      <w:tr w:rsidR="005A5FCC" w14:paraId="5954B920"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7C2628DF"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5EFADF48" w14:textId="77777777" w:rsidR="005A5FCC" w:rsidRDefault="00A21C81">
            <w:pPr>
              <w:spacing w:after="60" w:line="247" w:lineRule="auto"/>
            </w:pPr>
            <w:r>
              <w:rPr>
                <w:rFonts w:cs="EB Garamond"/>
                <w:kern w:val="16"/>
                <w:sz w:val="19"/>
                <w14:ligatures w14:val="standardContextual"/>
              </w:rPr>
              <w:t>A sentença nos JEFs deve conter parâmetros suficientes para a liquidação, ainda que dispense o relatório. O dispositivo deve indicar com precisão: (a) o benefício concedido (espécie, NB se já existente); (b) a data de início do benefício (DIB); (c) a renda mensal inicial (RMI), se apurada nos autos, ou a determinação de cálculo pela Contadoria; (d) a obrigação de implantar o benefício em prazo determinado (30 dias, com previsão de multa em caso de descumprimento); (e) os critérios de correção monetária e juros (INPC até 08/12/2021, SELIC a partir de 09/12/2021); (f) a compensação de valores recebidos administrativamente ou por força de tutela antecipada. Sentenças com dispositivo impreciso geram impugnações na fase de liquidação, prolongando a tramitação e frustrando a celeridade do rito sumaríssimo.</w:t>
            </w:r>
          </w:p>
        </w:tc>
      </w:tr>
    </w:tbl>
    <w:p w14:paraId="224EF704" w14:textId="77777777" w:rsidR="005A5FCC" w:rsidRDefault="005A5FCC">
      <w:pPr>
        <w:spacing w:after="80" w:line="240" w:lineRule="auto"/>
      </w:pPr>
    </w:p>
    <w:p w14:paraId="4A6707A1"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6D9C87A6" w14:textId="77777777" w:rsidR="005A5FCC" w:rsidRDefault="00A21C81">
      <w:r>
        <w:rPr>
          <w:rFonts w:cs="EB Garamond"/>
          <w:kern w:val="16"/>
          <w14:ligatures w14:val="standardContextual"/>
        </w:rPr>
        <w:t xml:space="preserve"> sentença ilíquida é a regra nas ações previdenciárias dos JEFs. O juiz fixa os critérios de apuração do crédito (espécie do benefício, DIB, índice de correção, taxa de juros), e a liquidação é feita em fase posterior pela Contadoria Judicial, cujo procedimento detalhamos na seção 23.25, infra.</w:t>
      </w:r>
    </w:p>
    <w:p w14:paraId="290CD52E" w14:textId="77777777" w:rsidR="005A5FCC" w:rsidRDefault="00A21C81">
      <w:pPr>
        <w:ind w:firstLine="238"/>
      </w:pPr>
      <w:r>
        <w:rPr>
          <w:rFonts w:cs="EB Garamond"/>
          <w:kern w:val="16"/>
          <w14:ligatures w14:val="standardContextual"/>
        </w:rPr>
        <w:t>O recurso cabível contra a sentença do JEF é o recurso inominado, dirigido à Turma Recursal composta por três juízes federais de primeiro grau. O prazo para interposição é de 10 dias (art. 42 da Lei n. 9.099/95), contados da ciência da sentença. O recurso deve ser acompanhado de preparo (custas recursais), exceto quando o recorrente é beneficiário de justiça gratuita (hipótese que abrange a totalidade dos autores em ações previdenciárias).</w:t>
      </w:r>
    </w:p>
    <w:p w14:paraId="6C5B1283" w14:textId="12DA53FB"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 xml:space="preserve">23.18 Recurso inominado e </w:t>
      </w:r>
      <w:r w:rsidR="00460E75">
        <w:rPr>
          <w:rFonts w:cs="EB Garamond"/>
          <w:b/>
          <w:color w:val="3A3128"/>
          <w:kern w:val="16"/>
          <w:sz w:val="31"/>
          <w14:ligatures w14:val="standardContextual"/>
        </w:rPr>
        <w:t>T</w:t>
      </w:r>
      <w:r>
        <w:rPr>
          <w:rFonts w:cs="EB Garamond"/>
          <w:b/>
          <w:color w:val="3A3128"/>
          <w:kern w:val="16"/>
          <w:sz w:val="31"/>
          <w14:ligatures w14:val="standardContextual"/>
        </w:rPr>
        <w:t xml:space="preserve">urma </w:t>
      </w:r>
      <w:r w:rsidR="00460E75">
        <w:rPr>
          <w:rFonts w:cs="EB Garamond"/>
          <w:b/>
          <w:color w:val="3A3128"/>
          <w:kern w:val="16"/>
          <w:sz w:val="31"/>
          <w14:ligatures w14:val="standardContextual"/>
        </w:rPr>
        <w:t>R</w:t>
      </w:r>
      <w:r>
        <w:rPr>
          <w:rFonts w:cs="EB Garamond"/>
          <w:b/>
          <w:color w:val="3A3128"/>
          <w:kern w:val="16"/>
          <w:sz w:val="31"/>
          <w14:ligatures w14:val="standardContextual"/>
        </w:rPr>
        <w:t>ecursal</w:t>
      </w:r>
    </w:p>
    <w:p w14:paraId="7CE20C65"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0702729C" w14:textId="77777777" w:rsidR="005A5FCC" w:rsidRDefault="00A21C81">
      <w:r>
        <w:rPr>
          <w:rFonts w:cs="EB Garamond"/>
          <w:kern w:val="16"/>
          <w14:ligatures w14:val="standardContextual"/>
        </w:rPr>
        <w:t xml:space="preserve"> recurso inominado é o recurso cabível contra as sentenças dos JEFs, previsto nos arts. 41 a 46 da Lei n. 9.099/95, aplicáveis subsidiariamente. Trata-se de recurso de fundamentação livre, que devolve à Turma Recursal o exame integral da matéria fática e jurídica decidida em primeiro grau.</w:t>
      </w:r>
    </w:p>
    <w:p w14:paraId="03F37E27" w14:textId="77777777" w:rsidR="005A5FCC" w:rsidRDefault="00A21C81">
      <w:pPr>
        <w:ind w:firstLine="238"/>
      </w:pPr>
      <w:r>
        <w:rPr>
          <w:rFonts w:cs="EB Garamond"/>
          <w:kern w:val="16"/>
          <w14:ligatures w14:val="standardContextual"/>
        </w:rPr>
        <w:t>A Turma Recursal é composta por três juízes federais de primeiro grau, designados pelo Tribunal Regional Federal (art. 21 da Lei n. 10.259/2001). A compo</w:t>
      </w:r>
      <w:r>
        <w:rPr>
          <w:rFonts w:cs="EB Garamond"/>
          <w:kern w:val="16"/>
          <w14:ligatures w14:val="standardContextual"/>
        </w:rPr>
        <w:lastRenderedPageBreak/>
        <w:t>sição por juízes de primeiro grau, e não por desembargadores, é característica distintiva do sistema dos juizados: o julgamento do recurso permanece no âmbito do primeiro grau de jurisdição, sem ascender ao tribunal.</w:t>
      </w:r>
    </w:p>
    <w:p w14:paraId="2F3B497A" w14:textId="77777777" w:rsidR="005A5FCC" w:rsidRDefault="00A21C81">
      <w:pPr>
        <w:ind w:firstLine="238"/>
      </w:pPr>
      <w:r>
        <w:rPr>
          <w:rFonts w:cs="EB Garamond"/>
          <w:kern w:val="16"/>
          <w14:ligatures w14:val="standardContextual"/>
        </w:rPr>
        <w:t>O efeito do recurso inominado é, em regra, apenas devolutivo (art. 43 da Lei n. 9.099/95). A sentença de procedência produz efeitos imediatos, inclusive com possibilidade de execução provisória (implantação do benefício). O INSS pode requerer a atribuição de efeito suspensivo ao recurso, mas o deferimento depende da demonstração de risco de dano irreversível, o que, em matéria previdenciária, é excepcional.</w:t>
      </w:r>
    </w:p>
    <w:p w14:paraId="107EA6B7" w14:textId="77777777" w:rsidR="005A5FCC" w:rsidRDefault="00A21C81">
      <w:pPr>
        <w:ind w:firstLine="238"/>
      </w:pPr>
      <w:r>
        <w:rPr>
          <w:rFonts w:cs="EB Garamond"/>
          <w:kern w:val="16"/>
          <w14:ligatures w14:val="standardContextual"/>
        </w:rPr>
        <w:t>Na sessão de julgamento da Turma Recursal, admite-se a sustentação oral pelas partes, em prazo usualmente fixado em até 10 minutos cada, conforme o regimento interno da respectiva Turma Recursal (não há instrumento normativo nacional único, variando a disciplina por região). A decisão da Turma Recursal é irrecorrível por recurso especial ao STJ (Súmula 203 do STJ), mas pode ser objeto de pedido de uniformização à TNU (Turma Nacional de Uniformização) ou de reclamação ao STJ em hipóteses específicas.</w:t>
      </w:r>
    </w:p>
    <w:p w14:paraId="65CE6257" w14:textId="77777777" w:rsidR="005A5FCC" w:rsidRDefault="00A21C81">
      <w:pPr>
        <w:ind w:firstLine="238"/>
      </w:pPr>
      <w:r>
        <w:rPr>
          <w:rFonts w:cs="EB Garamond"/>
          <w:kern w:val="16"/>
          <w14:ligatures w14:val="standardContextual"/>
        </w:rPr>
        <w:t>A composição das Turmas Recursais varia conforme o TRF. Algumas regiões organizam Turmas Recursais especializadas em matéria previdenciária, o que favorece a uniformidade das decisões e a especialização dos julgadores. Outras regiões mantêm Turmas Recursais com competência mista, abrangendo demandas previdenciárias junto com causas de outra natureza, o que pode comprometer a profundidade da análise em matéria previdenciária. A especialização das Turmas Recursais é bandeira de parcela da doutrina processualista, que sustenta que a complexidade técnica do direito previdenciário exige julgadores dedicados, assim como as varas federais especializadas em matéria previdenciária proporcionam decisões de maior qualidade.</w:t>
      </w:r>
    </w:p>
    <w:p w14:paraId="399F95B9" w14:textId="77777777" w:rsidR="005A5FCC" w:rsidRDefault="00A21C81">
      <w:pPr>
        <w:ind w:firstLine="238"/>
      </w:pPr>
      <w:r>
        <w:rPr>
          <w:rFonts w:cs="EB Garamond"/>
          <w:kern w:val="16"/>
          <w14:ligatures w14:val="standardContextual"/>
        </w:rPr>
        <w:t xml:space="preserve">O acórdão da Turma Recursal deve conter fundamentação suficiente, embora dispensada a extensão típica dos acórdãos de tribunal. A fundamentação pode adotar a técnica de incorporação (o relator declara que adota como razões de decidir os fundamentos da sentença recorrida, complementando com argumentos </w:t>
      </w:r>
      <w:r>
        <w:rPr>
          <w:rFonts w:cs="EB Garamond"/>
          <w:kern w:val="16"/>
          <w14:ligatures w14:val="standardContextual"/>
        </w:rPr>
        <w:lastRenderedPageBreak/>
        <w:t>próprios sobre as questões suscitadas no recurso). A técnica é admitida pela jurisprudência e pelo FONAJEF, por compatível com os princípios da celeridade e da economia processual dos juizados.</w:t>
      </w:r>
    </w:p>
    <w:tbl>
      <w:tblPr>
        <w:tblW w:w="5000" w:type="pct"/>
        <w:jc w:val="center"/>
        <w:tblLayout w:type="fixed"/>
        <w:tblLook w:val="04A0" w:firstRow="1" w:lastRow="0" w:firstColumn="1" w:lastColumn="0" w:noHBand="0" w:noVBand="1"/>
      </w:tblPr>
      <w:tblGrid>
        <w:gridCol w:w="6311"/>
      </w:tblGrid>
      <w:tr w:rsidR="005A5FCC" w14:paraId="79D74085"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3A3FA62F" w14:textId="77777777" w:rsidR="005A5FCC" w:rsidRDefault="00A21C81">
            <w:pPr>
              <w:spacing w:after="60" w:line="240" w:lineRule="auto"/>
              <w:jc w:val="left"/>
            </w:pPr>
            <w:r>
              <w:rPr>
                <w:rFonts w:ascii="Noto Sans" w:hAnsi="Noto Sans" w:cs="Noto Sans"/>
                <w:b/>
                <w:caps/>
                <w:color w:val="4D6F8A"/>
                <w:kern w:val="16"/>
                <w:sz w:val="16"/>
                <w14:ligatures w14:val="standardContextual"/>
              </w:rPr>
              <w:t>JURISPRUDÊNCIA EM DESTAQUE</w:t>
            </w:r>
          </w:p>
          <w:p w14:paraId="36D739F5" w14:textId="77777777" w:rsidR="005A5FCC" w:rsidRDefault="00A21C81">
            <w:pPr>
              <w:spacing w:after="60" w:line="247" w:lineRule="auto"/>
            </w:pPr>
            <w:r>
              <w:rPr>
                <w:rFonts w:cs="EB Garamond"/>
                <w:b/>
                <w:kern w:val="16"/>
                <w:sz w:val="19"/>
                <w14:ligatures w14:val="standardContextual"/>
              </w:rPr>
              <w:t>Súmula 203/STJ</w:t>
            </w:r>
            <w:r>
              <w:rPr>
                <w:rFonts w:cs="EB Garamond"/>
                <w:kern w:val="16"/>
                <w:sz w:val="19"/>
                <w14:ligatures w14:val="standardContextual"/>
              </w:rPr>
              <w:t>: "Não cabe recurso especial contra decisão proferida por órgão de segundo grau dos Juizados Especiais." O enunciado aplica-se tanto aos JEFs quanto aos juizados estaduais, vedando o acesso ao STJ por meio de recurso especial. A via adequada para uniformização da jurisprudência dos juizados é o pedido de uniformização (à Turma Regional de Uniformização ou à TNU), disciplinado pelo art. 14 da Lei n. 10.259/2001, ou a reclamação ao STJ quando a decisão da Turma Recursal contrariar súmula ou orientação do STJ (Resolução STJ n. 12/2009).</w:t>
            </w:r>
          </w:p>
        </w:tc>
      </w:tr>
    </w:tbl>
    <w:p w14:paraId="51D32A52" w14:textId="77777777" w:rsidR="005A5FCC" w:rsidRDefault="005A5FCC">
      <w:pPr>
        <w:spacing w:after="80" w:line="240" w:lineRule="auto"/>
      </w:pPr>
    </w:p>
    <w:p w14:paraId="2D0B7D4F"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23.19 Pedido de uniformização e TNU</w:t>
      </w:r>
    </w:p>
    <w:p w14:paraId="2CD2FA4B"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34D8EABC" w14:textId="77777777" w:rsidR="005A5FCC" w:rsidRDefault="00A21C81">
      <w:r>
        <w:rPr>
          <w:rFonts w:cs="EB Garamond"/>
          <w:kern w:val="16"/>
          <w14:ligatures w14:val="standardContextual"/>
        </w:rPr>
        <w:t xml:space="preserve"> sistema de uniformização da jurisprudência dos JEFs é disciplinado pelo art. 14 da Lei n. 10.259/2001 e opera em três níveis: (a) pedido de uniformização à Turma Regional de Uniformização (TRU), quando houver divergência entre Turmas Recursais da mesma região; (b) pedido de uniformização à Turma Nacional de Uniformização (TNU), quando houver divergência entre Turmas Recursais de regiões diversas ou entre Turma Recursal e súmula/jurisprudência dominante do STJ; (c) incidente de uniformização ao STJ, quando a TNU contrariar súmula ou jurisprudência dominante do STJ.</w:t>
      </w:r>
    </w:p>
    <w:p w14:paraId="00B1FFD3" w14:textId="77777777" w:rsidR="005A5FCC" w:rsidRDefault="00A21C81">
      <w:pPr>
        <w:ind w:firstLine="238"/>
      </w:pPr>
      <w:r>
        <w:rPr>
          <w:rFonts w:cs="EB Garamond"/>
          <w:kern w:val="16"/>
          <w14:ligatures w14:val="standardContextual"/>
        </w:rPr>
        <w:t>A TNU é composta por juízes presidentes de Turmas Recursais dos JEFs, sob a presidência do Corregedor-Geral da Justiça Federal, e funciona junto ao Conselho da Justiça Federal (CJF). Suas decisões vinculam as Turmas Recursais de todo o País, assegurando a uniformidade na interpretação da legislação federal aplicada nos JEFs.</w:t>
      </w:r>
    </w:p>
    <w:p w14:paraId="47AFE6BE" w14:textId="77777777" w:rsidR="005A5FCC" w:rsidRDefault="00A21C81">
      <w:pPr>
        <w:ind w:firstLine="238"/>
      </w:pPr>
      <w:r>
        <w:rPr>
          <w:rFonts w:cs="EB Garamond"/>
          <w:kern w:val="16"/>
          <w14:ligatures w14:val="standardContextual"/>
        </w:rPr>
        <w:t xml:space="preserve">O pedido de uniformização à TNU é cabível em matéria de direito material, não de direito processual ou de reexame de provas. A Súmula 42 da TNU dispõe </w:t>
      </w:r>
      <w:r>
        <w:rPr>
          <w:rFonts w:cs="EB Garamond"/>
          <w:kern w:val="16"/>
          <w14:ligatures w14:val="standardContextual"/>
        </w:rPr>
        <w:lastRenderedPageBreak/>
        <w:t>que "não se conhece de incidente de uniformização que implique reexame de matéria de fato." A limitação é relevante para a prática previdenciária: questões como a existência de incapacidade, a configuração da união estável ou a comprovação da atividade rural são matérias de fato que não comportam uniformização.</w:t>
      </w:r>
    </w:p>
    <w:p w14:paraId="4233DD7E" w14:textId="77777777" w:rsidR="005A5FCC" w:rsidRDefault="00A21C81">
      <w:pPr>
        <w:ind w:firstLine="238"/>
      </w:pPr>
      <w:r>
        <w:rPr>
          <w:rFonts w:cs="EB Garamond"/>
          <w:kern w:val="16"/>
          <w14:ligatures w14:val="standardContextual"/>
        </w:rPr>
        <w:t>A TNU tem produzido jurisprudência de relevância para o direito previdenciário, fixando teses sobre temas recorrentes nos JEFs. As Súmulas da TNU constituem referência obrigatória para o advogado previdenciarista: Súmula 47 (incapacidade parcial e condições pessoais), Súmula 53 (benefício por incapacidade e condições pessoais), Súmula 63 (comprovação de união estável), Súmula 77 (incapacidade e deficiência), Súmula 78 (avaliação biopsicossocial do BPC), entre outras. A consolidação das Súmulas da TNU ao longo dos capítulos anteriores deste livro demonstra a importância da TNU como fonte de uniformização no microssistema dos JEFs.</w:t>
      </w:r>
    </w:p>
    <w:p w14:paraId="5AC5013D"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23.20 Execução da sentença: RPV e precatório</w:t>
      </w:r>
    </w:p>
    <w:p w14:paraId="52CD728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2EAF7811" w14:textId="77777777" w:rsidR="005A5FCC" w:rsidRDefault="00A21C81">
      <w:r>
        <w:rPr>
          <w:rFonts w:cs="EB Garamond"/>
          <w:kern w:val="16"/>
          <w14:ligatures w14:val="standardContextual"/>
        </w:rPr>
        <w:t xml:space="preserve"> execução da sentença nos JEFs previdenciários segue procedimento próprio, condicionado pelo valor da condenação e pelo regime constitucional de pagamentos contra a Fazenda Pública (art. 100, CF/88). O pagamento é feito por meio de Requisição de Pequeno Valor (RPV) ou de precatório, conforme o montante.</w:t>
      </w:r>
    </w:p>
    <w:tbl>
      <w:tblPr>
        <w:tblW w:w="5000" w:type="pct"/>
        <w:jc w:val="center"/>
        <w:tblLayout w:type="fixed"/>
        <w:tblLook w:val="04A0" w:firstRow="1" w:lastRow="0" w:firstColumn="1" w:lastColumn="0" w:noHBand="0" w:noVBand="1"/>
      </w:tblPr>
      <w:tblGrid>
        <w:gridCol w:w="6311"/>
      </w:tblGrid>
      <w:tr w:rsidR="005A5FCC" w14:paraId="5AE0C390"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1C9DE18B" w14:textId="77777777" w:rsidR="005A5FCC" w:rsidRDefault="00A21C81">
            <w:pPr>
              <w:spacing w:after="60" w:line="240" w:lineRule="auto"/>
              <w:jc w:val="left"/>
            </w:pPr>
            <w:r>
              <w:rPr>
                <w:rFonts w:ascii="Noto Sans" w:hAnsi="Noto Sans" w:cs="Noto Sans"/>
                <w:b/>
                <w:caps/>
                <w:color w:val="B78B37"/>
                <w:kern w:val="16"/>
                <w:sz w:val="16"/>
                <w14:ligatures w14:val="standardContextual"/>
              </w:rPr>
              <w:lastRenderedPageBreak/>
              <w:t>ATENÇÃO</w:t>
            </w:r>
          </w:p>
          <w:p w14:paraId="6FE26244" w14:textId="77777777" w:rsidR="005A5FCC" w:rsidRDefault="00A21C81">
            <w:pPr>
              <w:spacing w:after="60" w:line="247" w:lineRule="auto"/>
            </w:pPr>
            <w:r>
              <w:rPr>
                <w:rFonts w:cs="EB Garamond"/>
                <w:b/>
                <w:kern w:val="16"/>
                <w:sz w:val="19"/>
                <w14:ligatures w14:val="standardContextual"/>
              </w:rPr>
              <w:t>Núcleo do critério de atualização (quadro-síntese).</w:t>
            </w:r>
            <w:r>
              <w:rPr>
                <w:rFonts w:cs="EB Garamond"/>
                <w:kern w:val="16"/>
                <w:sz w:val="19"/>
                <w14:ligatures w14:val="standardContextual"/>
              </w:rPr>
              <w:t xml:space="preserve"> Como a apuração do crédito antecede a expedição da requisição, convém fixar de antemão o esquema de correção e juros, detalhado na seção 23.38, infra: (a) até 08/12/2021, cada parcela vencida é corrigida pelo INPC (art. 41-A da Lei n. 8.213/91), acrescida de juros de mora conforme o período (1% ao mês até 29/06/2009; juros da poupança a partir daí, no que validado pelo Tema 810/STF); (b) a partir de 09/12/2021, por força do art. 3º da EC n. 113/2021, aplica-se exclusivamente a taxa SELIC, que engloba, em índice único, correção monetária e juros, vedada a cumulação com qualquer outro índice no mesmo período; (c) tratando-se de precatório, a SELIC não incide durante o "período de graça" do art. 100, § 5º, da CF/88, em que o crédito sofre apenas correção monetária (Tema 1.335/STF). O detalhamento dos índices, das transições e das ressalvas consta da seção 23.38.</w:t>
            </w:r>
          </w:p>
        </w:tc>
      </w:tr>
    </w:tbl>
    <w:p w14:paraId="7BBB44B3" w14:textId="77777777" w:rsidR="005A5FCC" w:rsidRDefault="005A5FCC">
      <w:pPr>
        <w:spacing w:after="80" w:line="240" w:lineRule="auto"/>
      </w:pPr>
    </w:p>
    <w:p w14:paraId="5A477B9D"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035E2828" w14:textId="2CFB02F9" w:rsidR="005A5FCC" w:rsidRDefault="00A21C81">
      <w:r>
        <w:rPr>
          <w:rFonts w:cs="EB Garamond"/>
          <w:kern w:val="16"/>
          <w14:ligatures w14:val="standardContextual"/>
        </w:rPr>
        <w:t xml:space="preserve"> RPV é o mecanismo de pagamento para condenações de até 60 </w:t>
      </w:r>
      <w:r w:rsidR="00460E75">
        <w:rPr>
          <w:rFonts w:cs="EB Garamond"/>
          <w:kern w:val="16"/>
          <w14:ligatures w14:val="standardContextual"/>
        </w:rPr>
        <w:t>salários-mínimos</w:t>
      </w:r>
      <w:r>
        <w:rPr>
          <w:rFonts w:cs="EB Garamond"/>
          <w:kern w:val="16"/>
          <w14:ligatures w14:val="standardContextual"/>
        </w:rPr>
        <w:t xml:space="preserve"> por beneficiário. Os dois parâmetros que a caracterizam têm bases normativas distintas, que convém discriminar: o teto de 60 salários mínimos decorre do art. 17, § 1º, da Lei n. 10.259/2001 (que, para os efeitos do art. 100, § 3º, da CF/88, fixa o limite da obrigação de pequeno valor no mesmo patamar da competência do JEF, art. 3º, caput); o prazo de pagamento de 60 dias, por sua vez, decorre do art. 17, caput, da Lei n. 10.259/2001, que determina que, transitada em julgado a decisão, o pagamento seja efetuado em 60 dias contados da entrega da requisição, independentemente de precatório. Esse prazo legal nem sempre é observado na prática, em razão da disponibilidade orçamentária e do volume de requisições expedidas.</w:t>
      </w:r>
    </w:p>
    <w:p w14:paraId="4E372C25" w14:textId="0A9851C4" w:rsidR="005A5FCC" w:rsidRDefault="00A21C81">
      <w:pPr>
        <w:ind w:firstLine="238"/>
      </w:pPr>
      <w:r>
        <w:rPr>
          <w:rFonts w:cs="EB Garamond"/>
          <w:kern w:val="16"/>
          <w14:ligatures w14:val="standardContextual"/>
        </w:rPr>
        <w:t xml:space="preserve">O precatório é o mecanismo de pagamento para condenações que excedem 60 </w:t>
      </w:r>
      <w:r w:rsidR="00460E75">
        <w:rPr>
          <w:rFonts w:cs="EB Garamond"/>
          <w:kern w:val="16"/>
          <w14:ligatures w14:val="standardContextual"/>
        </w:rPr>
        <w:t>salários-mínimos</w:t>
      </w:r>
      <w:r>
        <w:rPr>
          <w:rFonts w:cs="EB Garamond"/>
          <w:kern w:val="16"/>
          <w14:ligatures w14:val="standardContextual"/>
        </w:rPr>
        <w:t>. O regime de precatórios impõe ordem cronológica de pagamento, com inclusão no orçamento do exercício seguinte (art. 100, caput e §5º, CF/88, na redação da EC n. 113/2021). Sob o aspecto prático, o pagamento por precatório pode demorar anos, tornando essa modalidade significativamente menos vantajosa para o segurado.</w:t>
      </w:r>
    </w:p>
    <w:p w14:paraId="35A56853" w14:textId="6A44019E" w:rsidR="005A5FCC" w:rsidRDefault="00A21C81">
      <w:pPr>
        <w:ind w:firstLine="238"/>
      </w:pPr>
      <w:r>
        <w:rPr>
          <w:rFonts w:cs="EB Garamond"/>
          <w:kern w:val="16"/>
          <w14:ligatures w14:val="standardContextual"/>
        </w:rPr>
        <w:lastRenderedPageBreak/>
        <w:t xml:space="preserve">A distinção entre RPV e precatório no JEF previdenciário gera questão prática relevante: quando a ação tramita no JEF e o valor da condenação (atrasados) excede 60 </w:t>
      </w:r>
      <w:r w:rsidR="00460E75">
        <w:rPr>
          <w:rFonts w:cs="EB Garamond"/>
          <w:kern w:val="16"/>
          <w14:ligatures w14:val="standardContextual"/>
        </w:rPr>
        <w:t>salários-mínimos</w:t>
      </w:r>
      <w:r>
        <w:rPr>
          <w:rFonts w:cs="EB Garamond"/>
          <w:kern w:val="16"/>
          <w14:ligatures w14:val="standardContextual"/>
        </w:rPr>
        <w:t>, o pagamento deve ser feito por precatório, não por RPV. O JEF permanece competente para a execução (não há remessa à vara federal), mas o mecanismo de pagamento muda.</w:t>
      </w:r>
    </w:p>
    <w:p w14:paraId="25A00CAC" w14:textId="48A051A6" w:rsidR="005A5FCC" w:rsidRDefault="00A21C81">
      <w:pPr>
        <w:ind w:firstLine="238"/>
      </w:pPr>
      <w:r>
        <w:rPr>
          <w:rFonts w:cs="EB Garamond"/>
          <w:kern w:val="16"/>
          <w14:ligatures w14:val="standardContextual"/>
        </w:rPr>
        <w:t xml:space="preserve">A possibilidade de renúncia ao excedente já na fase de execução — quando os atrasados, acumulados durante a tramitação, superam os 60 </w:t>
      </w:r>
      <w:r w:rsidR="00460E75">
        <w:rPr>
          <w:rFonts w:cs="EB Garamond"/>
          <w:kern w:val="16"/>
          <w14:ligatures w14:val="standardContextual"/>
        </w:rPr>
        <w:t>salários-mínimos</w:t>
      </w:r>
      <w:r>
        <w:rPr>
          <w:rFonts w:cs="EB Garamond"/>
          <w:kern w:val="16"/>
          <w14:ligatures w14:val="standardContextual"/>
        </w:rPr>
        <w:t xml:space="preserve"> e o segurado prefere receber prontamente por RPV a aguardar o precatório — é tema de alta incidência prática e comporta duas correntes. A primeira admite a renúncia executória: assim como o autor pode renunciar ao excedente na petição inicial para fixar a competência (seção 23.5), poderia fazê-lo na fase de execução, limitando o valor a executar ao teto da RPV, em homenagem ao princípio dispositivo e à natureza alimentar do crédito, que justifica o recebimento célere ainda que com sacrifício patrimonial. A segunda corrente veda a renúncia nesse momento, ao argumento de que o crédito já se incorporou ao patrimônio do segurado pela coisa julgada, de que a renúncia executória contornaria a vedação constitucional de fracionamento do crédito (art. 100, § 8º, CF/88) e de que a competência da RPV se afere pelo valor da condenação, não pela vontade superveniente do credor. A orientação que tem predominado na TNU e nos TRFs admite a renúncia ao excedente também na execução, desde que expressa, inequívoca e formalizada pelo próprio titular do crédito — solução que prestigia a vontade do segurado e a celeridade, sem caracterizar fracionamento vedado, pois a renúncia recai sobre a parcela excedente, e não sobre a divisão de um mesmo crédito entre duas vias de pagamento. A definição tem impacto direto na escolha entre RPV e precatório, e o advogado deve formalizar a renúncia de modo claro e documentado, alertando o cliente sobre o caráter definitivo do ato. Dada a oscilação do tema, recomendamos a verificação da orientação atual da Turma Recursal competente antes de optar por essa via.</w:t>
      </w:r>
    </w:p>
    <w:p w14:paraId="0812F822" w14:textId="77777777" w:rsidR="005A5FCC" w:rsidRDefault="00A21C81">
      <w:pPr>
        <w:ind w:firstLine="238"/>
      </w:pPr>
      <w:r>
        <w:rPr>
          <w:rFonts w:cs="EB Garamond"/>
          <w:kern w:val="16"/>
          <w14:ligatures w14:val="standardContextual"/>
        </w:rPr>
        <w:t xml:space="preserve">O pagamento de RPV é feito pela Caixa Econômica Federal, instituição financeira responsável pela operacionalização dos depósitos judiciais federais. O segurado é intimado para comparecer à agência bancária e sacar os valores depositados, mediante apresentação de documento de identidade e alvará de levantamento expedido pelo JEF. Embora o prazo legal seja de 60 dias contados </w:t>
      </w:r>
      <w:r>
        <w:rPr>
          <w:rFonts w:cs="EB Garamond"/>
          <w:kern w:val="16"/>
          <w14:ligatures w14:val="standardContextual"/>
        </w:rPr>
        <w:lastRenderedPageBreak/>
        <w:t>da entrega da requisição (art. 17, caput, da Lei n. 10.259/2001), o intervalo prático entre a expedição da RPV e a efetiva disponibilização dos valores na conta do segurado costuma situar-se entre 60 e 120 dias, conforme a região e o volume de requisições expedidas pela seção judiciária. O parâmetro prático, portanto, frequentemente supera o prazo legal, sem que esse descumprimento, isoladamente, autorize medida coercitiva imediata.</w:t>
      </w:r>
    </w:p>
    <w:p w14:paraId="5AC5D511" w14:textId="77777777" w:rsidR="005A5FCC" w:rsidRDefault="00A21C81">
      <w:pPr>
        <w:ind w:firstLine="238"/>
      </w:pPr>
      <w:r>
        <w:rPr>
          <w:rFonts w:cs="EB Garamond"/>
          <w:kern w:val="16"/>
          <w14:ligatures w14:val="standardContextual"/>
        </w:rPr>
        <w:t>A cessão de crédito de RPV é matéria regulada pelo art. 100, §14, da CF/88, na redação vigente após a EC n. 113/2021 (originalmente §13, incluído pela EC n. 62/2009, renumerado pela EC n. 113/2021). O segurado pode ceder o crédito representado pela RPV a terceiros, mediante escritura pública ou instrumento particular com firma reconhecida. A cessão de créditos de RPV tornou-se prática frequente no mercado de direitos creditórios: empresas especializadas adquirem créditos previdenciários de RPV com deságio sobre o valor de face — cuja magnitude varia conforme o prazo estimado de pagamento e o risco da operação —, antecipando recursos ao segurado que não pode aguardar o prazo de pagamento. O juiz do JEF deve verificar a regularidade da cessão e intimar o cessionário para habilitação nos autos.</w:t>
      </w:r>
    </w:p>
    <w:p w14:paraId="728BC729" w14:textId="77777777" w:rsidR="005A5FCC" w:rsidRDefault="00A21C81">
      <w:pPr>
        <w:ind w:firstLine="238"/>
      </w:pPr>
      <w:r>
        <w:rPr>
          <w:rFonts w:cs="EB Garamond"/>
          <w:kern w:val="16"/>
          <w14:ligatures w14:val="standardContextual"/>
        </w:rPr>
        <w:t>O sequestro de verbas públicas é medida excepcional prevista no art. 100, §6º, da CF/88 (na redação vigente após a EC n. 113/2021), cabível quando o ente público não efetua o pagamento da RPV no prazo de 60 dias. O presidente do tribunal competente determina o sequestro da quantia necessária à satisfação do crédito, que é retirada diretamente da conta do ente devedor. Tratando-se de RPV contra a União, o sequestro raramente se faz necessário, pois o Governo Federal costuma cumprir os prazos de pagamento. Atrasos pontuais são resolvidos mediante ofício ao gestor orçamentário, sem necessidade de medida coercitiva.</w:t>
      </w:r>
    </w:p>
    <w:tbl>
      <w:tblPr>
        <w:tblW w:w="5000" w:type="pct"/>
        <w:jc w:val="center"/>
        <w:tblLayout w:type="fixed"/>
        <w:tblLook w:val="04A0" w:firstRow="1" w:lastRow="0" w:firstColumn="1" w:lastColumn="0" w:noHBand="0" w:noVBand="1"/>
      </w:tblPr>
      <w:tblGrid>
        <w:gridCol w:w="6311"/>
      </w:tblGrid>
      <w:tr w:rsidR="005A5FCC" w14:paraId="0547DF2A"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776475DD" w14:textId="77777777" w:rsidR="005A5FCC" w:rsidRDefault="00A21C81">
            <w:pPr>
              <w:spacing w:after="60" w:line="240" w:lineRule="auto"/>
              <w:jc w:val="left"/>
            </w:pPr>
            <w:r>
              <w:rPr>
                <w:rFonts w:ascii="Noto Sans" w:hAnsi="Noto Sans" w:cs="Noto Sans"/>
                <w:b/>
                <w:caps/>
                <w:color w:val="B78B37"/>
                <w:kern w:val="16"/>
                <w:sz w:val="16"/>
                <w14:ligatures w14:val="standardContextual"/>
              </w:rPr>
              <w:lastRenderedPageBreak/>
              <w:t>ATENÇÃO</w:t>
            </w:r>
          </w:p>
          <w:p w14:paraId="640A96CB" w14:textId="77777777" w:rsidR="005A5FCC" w:rsidRDefault="00A21C81">
            <w:pPr>
              <w:spacing w:after="60" w:line="247" w:lineRule="auto"/>
            </w:pPr>
            <w:r>
              <w:rPr>
                <w:rFonts w:cs="EB Garamond"/>
                <w:kern w:val="16"/>
                <w:sz w:val="19"/>
                <w14:ligatures w14:val="standardContextual"/>
              </w:rPr>
              <w:t>A vedação de fracionamento do crédito para pagamento parcial por RPV e parcial por precatório é regra constitucional expressa (art. 100, §8º, CF/88, na numeração vigente após a EC n. 113/2021). O segurado não pode dividir artificialmente o crédito para receber parte por RPV e parte por precatório. A exceção são os créditos de natureza alimentar cujos titulares são idosos (60 anos ou mais, nos termos do Estatuto do Idoso), pessoas com deficiência ou portadores de doença grave, que podem receber até o triplo do valor da RPV por essa via preferencial (art. 100, §2º, CF/88, na redação vigente), sendo o excedente pago por precatório. O limite exato da superpreferência e a idade de corte devem ser conferidos na legislação regulamentadora vigente na data de expedição da requisição. Recomenda-se verificar se o cliente se enquadra na superpreferência antes de requerer a expedição da RPV ou do precatório.</w:t>
            </w:r>
          </w:p>
        </w:tc>
      </w:tr>
    </w:tbl>
    <w:p w14:paraId="3148F393" w14:textId="77777777" w:rsidR="005A5FCC" w:rsidRDefault="005A5FCC">
      <w:pPr>
        <w:spacing w:after="80" w:line="240" w:lineRule="auto"/>
      </w:pPr>
    </w:p>
    <w:p w14:paraId="56B51369"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23.21 Honorários advocatícios e custas nos JEFs</w:t>
      </w:r>
    </w:p>
    <w:p w14:paraId="7BB68825"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2491EDF3" w14:textId="77777777" w:rsidR="005A5FCC" w:rsidRDefault="00A21C81">
      <w:r>
        <w:rPr>
          <w:rFonts w:cs="EB Garamond"/>
          <w:kern w:val="16"/>
          <w14:ligatures w14:val="standardContextual"/>
        </w:rPr>
        <w:t xml:space="preserve"> regime de honorários advocatícios e custas nos JEFs é peculiar e constitui uma das principais vantagens do sistema para o segurado. Em primeiro grau de jurisdição, não há condenação em custas nem em honorários de sucumbência, seja para o autor vencido, seja para o réu vencido (art. 55, caput, primeira parte, da Lei n. 9.099/95, aplicável subsidiariamente).</w:t>
      </w:r>
    </w:p>
    <w:p w14:paraId="0D625C85" w14:textId="77777777" w:rsidR="005A5FCC" w:rsidRDefault="00A21C81">
      <w:pPr>
        <w:ind w:firstLine="238"/>
      </w:pPr>
      <w:r>
        <w:rPr>
          <w:rFonts w:cs="EB Garamond"/>
          <w:kern w:val="16"/>
          <w14:ligatures w14:val="standardContextual"/>
        </w:rPr>
        <w:t>A isenção de custas em primeiro grau é absoluta: independe da condição econômica da parte e abrange todas as despesas processuais (taxa judiciária, custas de citação, honorários periciais, despesas com diligências). O segurado que litiga no JEF não suporta qualquer ônus financeiro em primeiro grau, mesmo que vencido.</w:t>
      </w:r>
    </w:p>
    <w:p w14:paraId="11841A9C" w14:textId="77777777" w:rsidR="005A5FCC" w:rsidRDefault="00A21C81">
      <w:pPr>
        <w:ind w:firstLine="238"/>
      </w:pPr>
      <w:r>
        <w:rPr>
          <w:rFonts w:cs="EB Garamond"/>
          <w:kern w:val="16"/>
          <w14:ligatures w14:val="standardContextual"/>
        </w:rPr>
        <w:t xml:space="preserve">Em sede recursal, o regime muda. O recorrente vencido é condenado em custas e honorários de sucumbência, com fundamento no art. 55, caput, segunda parte, da Lei n. 9.099/95, que autoriza essa condenação no microssistema dos juizados. A faixa de 10% a 20% do valor da condenação — ou, não havendo condenação, do valor corrigido da causa — é estabelecida pela própria segunda parte do art. 55 da Lei n. 9.099/95; o art. 85, § 2º, do CPC/2015, de aplicação subsidiária, </w:t>
      </w:r>
      <w:r>
        <w:rPr>
          <w:rFonts w:cs="EB Garamond"/>
          <w:kern w:val="16"/>
          <w14:ligatures w14:val="standardContextual"/>
        </w:rPr>
        <w:lastRenderedPageBreak/>
        <w:t>orienta o arbitramento do percentual dentro dessa faixa. A condenação em honorários em sede recursal visa desestimular recursos meramente protelatórios, sem impedir o legítimo exercício do direito de recorrer.</w:t>
      </w:r>
    </w:p>
    <w:p w14:paraId="13FD804E" w14:textId="77777777" w:rsidR="005A5FCC" w:rsidRDefault="00A21C81">
      <w:pPr>
        <w:ind w:firstLine="238"/>
      </w:pPr>
      <w:r>
        <w:rPr>
          <w:rFonts w:cs="EB Garamond"/>
          <w:kern w:val="16"/>
          <w14:ligatures w14:val="standardContextual"/>
        </w:rPr>
        <w:t>A questão dos honorários contratuais (entre o advogado e o cliente) nos JEFs é disciplinada pelo contrato de honorários firmado entre as partes e pelo Estatuto da Advocacia (Lei n. 8.906/94). O limite de 50% do valor da causa ou da condenação é fixado pela OAB como parâmetro ético. Na prática previdenciária, os honorários contratuais são frequentemente pactuados em percentual sobre o proveito econômico obtido (atrasados + parcelas vincendas), variando de 20% a 30% conforme o contrato.</w:t>
      </w:r>
    </w:p>
    <w:p w14:paraId="7F2FFB8F" w14:textId="77777777" w:rsidR="005A5FCC" w:rsidRDefault="00A21C81">
      <w:pPr>
        <w:ind w:firstLine="238"/>
      </w:pPr>
      <w:r>
        <w:rPr>
          <w:rFonts w:cs="EB Garamond"/>
          <w:kern w:val="16"/>
          <w14:ligatures w14:val="standardContextual"/>
        </w:rPr>
        <w:t>A questão da base de cálculo dos honorários contratuais sobre parcelas vincendas (benefício mensal) é objeto de controvérsia. Parte dos tribunais estaduais e federais reconhece que o advogado tem direito a honorários sobre os atrasados e sobre parcelas vincendas (geralmente 12 ou 24 meses de benefício), conforme pactuado em contrato. A jurisprudência dos JEFs tem admitido a reserva de honorários contratuais sobre os valores depositados em RPV, determinando que o INSS deposite os honorários em conta separada, disponível para levantamento pelo advogado. O juiz do JEF pode determinar a reserva de honorários contratuais na requisição de pagamento, desde que o contrato de honorários esteja juntado aos autos e não contenha cláusulas abusivas.</w:t>
      </w:r>
    </w:p>
    <w:p w14:paraId="6ED2AB3C" w14:textId="77777777" w:rsidR="005A5FCC" w:rsidRDefault="00A21C81">
      <w:pPr>
        <w:ind w:firstLine="238"/>
      </w:pPr>
      <w:r>
        <w:rPr>
          <w:rFonts w:cs="EB Garamond"/>
          <w:kern w:val="16"/>
          <w14:ligatures w14:val="standardContextual"/>
        </w:rPr>
        <w:t>O INSS, como autarquia federal, não é condenado em custas processuais nos JEFs (isenção prevista no art. 4º, I, da Lei n. 9.289/96). A isenção refere-se às custas devidas ao Judiciário, não aos honorários periciais (custeados pela Justiça Federal) nem aos honorários de sucumbência (devidos em sede recursal). A distinção entre isenção de custas (que beneficia o INSS como ente público) e isenção de honorários em primeiro grau (que beneficia ambas as partes) é relevante para a compreensão do regime financeiro do processo nos JEFs.</w:t>
      </w:r>
    </w:p>
    <w:p w14:paraId="23001A9B"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23.22 Tutela de evidência em matéria previdenciária</w:t>
      </w:r>
    </w:p>
    <w:p w14:paraId="56095EE2"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4089F53E" w14:textId="77777777" w:rsidR="005A5FCC" w:rsidRDefault="00A21C81">
      <w:r>
        <w:rPr>
          <w:rFonts w:cs="EB Garamond"/>
          <w:kern w:val="16"/>
          <w14:ligatures w14:val="standardContextual"/>
        </w:rPr>
        <w:t xml:space="preserve"> tutela de evidência (art. 311 do CPC/2015) é instrumento processual com potencial de aplicação relevante nos JEFs previdenciários, embora sua utilização ainda seja incipiente na prática forense. A tutela de evidência dispensa a demonstração de perigo de dano, exigindo apenas a probabilidade do direito, em hipóteses taxativas.</w:t>
      </w:r>
    </w:p>
    <w:p w14:paraId="07923002" w14:textId="77777777" w:rsidR="005A5FCC" w:rsidRDefault="00A21C81">
      <w:pPr>
        <w:ind w:firstLine="238"/>
      </w:pPr>
      <w:r>
        <w:rPr>
          <w:rFonts w:cs="EB Garamond"/>
          <w:kern w:val="16"/>
          <w14:ligatures w14:val="standardContextual"/>
        </w:rPr>
        <w:t>A hipótese mais relevante para o direito previdenciário é a do art. 311, inciso II, do CPC/2015: quando as alegações de fato puderem ser comprovadas apenas documentalmente e houver tese firmada em julgamento de casos repetitivos ou em súmula vinculante. Em matéria previdenciária, diversas teses foram fixadas pelo STF (Temas com repercussão geral), pelo STJ (Temas repetitivos) e pela TNU (Súmulas), cobrindo parcela significativa das controvérsias previdenciárias. Quando o pedido do segurado se amolda a tese já fixada em precedente vinculante e a prova é exclusivamente documental, a tutela de evidência pode ser deferida sem demonstração de urgência.</w:t>
      </w:r>
    </w:p>
    <w:p w14:paraId="0E486019" w14:textId="77777777" w:rsidR="005A5FCC" w:rsidRDefault="00A21C81">
      <w:pPr>
        <w:ind w:firstLine="238"/>
      </w:pPr>
      <w:r>
        <w:rPr>
          <w:rFonts w:cs="EB Garamond"/>
          <w:kern w:val="16"/>
          <w14:ligatures w14:val="standardContextual"/>
        </w:rPr>
        <w:t>A aplicação prática da tutela de evidência nos JEFs enfrenta resistência institucional. O INSS frequentemente contesta a aplicação do instituto, argumentando que a análise individual de cada caso impede a automatização da concessão. A jurisprudência dos JEFs tem admitido a tutela de evidência em hipóteses restritas, como ações de restabelecimento de benefício cessado por alta programada (quando a TNU já fixou tese favorável ao segurado) ou ações de revisão baseadas em teses já consolidadas (como a revisão da vida toda, enquanto vigente).</w:t>
      </w:r>
    </w:p>
    <w:p w14:paraId="099B485F"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23.23 Desistência, extinção e arquivamento</w:t>
      </w:r>
    </w:p>
    <w:p w14:paraId="25341B3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5B04B105" w14:textId="77777777" w:rsidR="005A5FCC" w:rsidRDefault="00A21C81">
      <w:r>
        <w:rPr>
          <w:rFonts w:cs="EB Garamond"/>
          <w:kern w:val="16"/>
          <w14:ligatures w14:val="standardContextual"/>
        </w:rPr>
        <w:t xml:space="preserve"> processo nos JEFs pode ser extinto sem resolução de mérito em diversas hipóteses, sendo as mais frequentes na prática previdenciária: (a) falta de interesse de agir por ausência de prévio requerimento administrativo (Tema 350/STF); (b) incompetência absoluta em razão do valor; (c) litispendência ou coisa julgada; e (d) desistência do autor.</w:t>
      </w:r>
    </w:p>
    <w:p w14:paraId="5E07F4D1" w14:textId="77777777" w:rsidR="005A5FCC" w:rsidRDefault="00A21C81">
      <w:pPr>
        <w:ind w:firstLine="238"/>
      </w:pPr>
      <w:r>
        <w:rPr>
          <w:rFonts w:cs="EB Garamond"/>
          <w:kern w:val="16"/>
          <w14:ligatures w14:val="standardContextual"/>
        </w:rPr>
        <w:lastRenderedPageBreak/>
        <w:t>A desistência da ação pelo segurado é ato processual unilateral, que independe da concordância do INSS, desde que exercida antes da sentença (art. 485, § 4º, CPC/2015). No JEF, a desistência é frequentemente motivada pela concessão administrativa do benefício durante a tramitação do processo. Se o INSS concede o benefício após o ajuizamento, o segurado pode desistir da ação e requerer apenas o pagamento dos atrasados (parcelas entre a DIB e a implantação administrativa). A desistência parcial (quanto ao pedido de concessão) com prosseguimento da ação quanto aos atrasados é admitida.</w:t>
      </w:r>
    </w:p>
    <w:p w14:paraId="7247D442" w14:textId="77777777" w:rsidR="005A5FCC" w:rsidRDefault="00A21C81">
      <w:pPr>
        <w:ind w:firstLine="238"/>
      </w:pPr>
      <w:r>
        <w:rPr>
          <w:rFonts w:cs="EB Garamond"/>
          <w:kern w:val="16"/>
          <w14:ligatures w14:val="standardContextual"/>
        </w:rPr>
        <w:t>O não comparecimento do autor à audiência é causa de extinção do processo sem resolução do mérito nos JEFs (art. 51, I, da Lei n. 9.099/95). A regra é rigorosa: a ausência injustificada do autor na audiência de conciliação ou de instrução acarreta a extinção automática do processo. O advogado deve assegurar a presença do cliente em todas as audiências designadas. A jurisprudência dos JEFs tem mitigado o rigor da regra quando a ausência é justificada por motivo de saúde, dificuldade de transporte ou outros impedimentos comprovados, admitindo a redesignação da audiência em lugar da extinção.</w:t>
      </w:r>
    </w:p>
    <w:tbl>
      <w:tblPr>
        <w:tblW w:w="5000" w:type="pct"/>
        <w:jc w:val="center"/>
        <w:tblLayout w:type="fixed"/>
        <w:tblLook w:val="04A0" w:firstRow="1" w:lastRow="0" w:firstColumn="1" w:lastColumn="0" w:noHBand="0" w:noVBand="1"/>
      </w:tblPr>
      <w:tblGrid>
        <w:gridCol w:w="6311"/>
      </w:tblGrid>
      <w:tr w:rsidR="005A5FCC" w14:paraId="6059F655"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48A6DC1D"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4457335B" w14:textId="77777777" w:rsidR="005A5FCC" w:rsidRDefault="00A21C81">
            <w:pPr>
              <w:spacing w:after="60" w:line="247" w:lineRule="auto"/>
            </w:pPr>
            <w:r>
              <w:rPr>
                <w:rFonts w:cs="EB Garamond"/>
                <w:kern w:val="16"/>
                <w:sz w:val="19"/>
                <w14:ligatures w14:val="standardContextual"/>
              </w:rPr>
              <w:t>O arquivamento do processo por não comparecimento à audiência é problema recorrente nos JEFs previdenciários. Recomenda-se adotar as seguintes precauções: (a) confirmar a data e o horário da audiência com o cliente, por meio de comunicação documentada (e-mail, mensagem com comprovante de recebimento); (b) orientar o cliente sobre a importância do comparecimento e as consequências da ausência; (c) em caso de impedimento, requerer a redesignação com antecedência, juntando comprovante do motivo (atestado médico, comprovante de internação, declaração de empregador); (d) se o cliente não compareceu por motivo de força maior, requerer a reconsideração da decisão de extinção, no prazo de 48 horas, demonstrando o impedimento. A extinção por não comparecimento não produz coisa julgada material: o segurado pode ajuizar nova ação com o mesmo objeto.</w:t>
            </w:r>
          </w:p>
        </w:tc>
      </w:tr>
    </w:tbl>
    <w:p w14:paraId="764C17A2" w14:textId="77777777" w:rsidR="005A5FCC" w:rsidRDefault="005A5FCC">
      <w:pPr>
        <w:spacing w:after="80" w:line="240" w:lineRule="auto"/>
      </w:pPr>
    </w:p>
    <w:p w14:paraId="60338C40"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23.24 Cumprimento de sentença e obrigação de fazer</w:t>
      </w:r>
    </w:p>
    <w:p w14:paraId="34984A65"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516AC1AF" w14:textId="77777777" w:rsidR="005A5FCC" w:rsidRDefault="00A21C81">
      <w:r>
        <w:rPr>
          <w:rFonts w:cs="EB Garamond"/>
          <w:kern w:val="16"/>
          <w14:ligatures w14:val="standardContextual"/>
        </w:rPr>
        <w:t xml:space="preserve"> cumprimento da sentença nos JEFs previdenciários envolve duas obrigações distintas: (a) a obrigação de fazer (implantação do benefício, com pagamento de parcelas vincendas); e (b) a obrigação de pagar quantia certa (atrasados, com correção monetária e juros de mora). As duas obrigações possuem regimes de execução diferentes.</w:t>
      </w:r>
    </w:p>
    <w:p w14:paraId="07952ADF" w14:textId="77777777" w:rsidR="005A5FCC" w:rsidRDefault="00A21C81">
      <w:pPr>
        <w:ind w:firstLine="238"/>
      </w:pPr>
      <w:r>
        <w:rPr>
          <w:rFonts w:cs="EB Garamond"/>
          <w:kern w:val="16"/>
          <w14:ligatures w14:val="standardContextual"/>
        </w:rPr>
        <w:t>Para orientar o leitor, convém fixar de antemão o iter completo de liquidação e pagamento, que se desdobra ao longo das próximas seções: (i) implantação do benefício e execução da obrigação de fazer, tratadas nesta seção 23.24; (ii) competência executória e elaboração dos cálculos pela Contadoria Judicial, na seção 23.25; (iii) critérios de correção monetária, juros e atualização do crédito (esquema INPC/SELIC e período de graça do precatório), consolidados na seção 23.38; e (iv) expedição da requisição de pagamento — RPV ou precatório —, com o regime constitucional de pagamentos, já detalhado na seção 23.20. As seções que se seguem remetem a este mapa para evitar a repetição dos critérios em cada ponto.</w:t>
      </w:r>
    </w:p>
    <w:p w14:paraId="009A6DC1" w14:textId="77777777" w:rsidR="005A5FCC" w:rsidRDefault="00A21C81">
      <w:pPr>
        <w:ind w:firstLine="238"/>
      </w:pPr>
      <w:r>
        <w:rPr>
          <w:rFonts w:cs="EB Garamond"/>
          <w:kern w:val="16"/>
          <w14:ligatures w14:val="standardContextual"/>
        </w:rPr>
        <w:t>A obrigação de fazer é executada mediante intimação do INSS para implantar o benefício em prazo determinado (geralmente 30 dias). O descumprimento acarreta a incidência de multa diária (astreintes), fixada pelo juiz em valor compatível com a urgência e a capacidade econômica da autarquia. O INSS, de modo geral, cumpre a obrigação de fazer (implantação do benefício) com razoável celeridade, especialmente quando notificado por sistema eletrônico integrado entre a Justiça Federal e a autarquia (CEAB — Central Eletrônica de Atendimento a Beneficiários, ou sistema equivalente).</w:t>
      </w:r>
    </w:p>
    <w:p w14:paraId="3F713631" w14:textId="77777777" w:rsidR="005A5FCC" w:rsidRDefault="00A21C81">
      <w:pPr>
        <w:ind w:firstLine="238"/>
      </w:pPr>
      <w:r>
        <w:rPr>
          <w:rFonts w:cs="EB Garamond"/>
          <w:kern w:val="16"/>
          <w14:ligatures w14:val="standardContextual"/>
        </w:rPr>
        <w:t xml:space="preserve">A obrigação de pagar quantia certa é executada por meio de RPV ou precatório, conforme o valor. Após o trânsito em julgado, a Contadoria Judicial elabora os cálculos, as partes se manifestam (impugnação ou concordância), o juiz homologa e expede a requisição de pagamento. O prazo entre o trânsito em julgado e o efetivo recebimento dos atrasados pelo segurado é tipicamente de 6 a 12 meses </w:t>
      </w:r>
      <w:r>
        <w:rPr>
          <w:rFonts w:cs="EB Garamond"/>
          <w:kern w:val="16"/>
          <w14:ligatures w14:val="standardContextual"/>
        </w:rPr>
        <w:lastRenderedPageBreak/>
        <w:t>para RPV, e de 1 a 3 anos para precatório (conforme a ordem cronológica e a disponibilidade orçamentária).</w:t>
      </w:r>
    </w:p>
    <w:p w14:paraId="7538CEAA" w14:textId="77777777" w:rsidR="005A5FCC" w:rsidRDefault="00A21C81">
      <w:pPr>
        <w:ind w:firstLine="238"/>
      </w:pPr>
      <w:r>
        <w:rPr>
          <w:rFonts w:cs="EB Garamond"/>
          <w:kern w:val="16"/>
          <w14:ligatures w14:val="standardContextual"/>
        </w:rPr>
        <w:t>O regime de correção monetária e juros de mora segue o esquema INPC/SELIC detalhado na seção 23.38, infra.</w:t>
      </w:r>
    </w:p>
    <w:p w14:paraId="1F5D4566"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23.25 Competência para execução de título judicial</w:t>
      </w:r>
    </w:p>
    <w:p w14:paraId="583C146C"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13E8602F" w14:textId="151F3A6D" w:rsidR="005A5FCC" w:rsidRDefault="00A21C81">
      <w:r>
        <w:rPr>
          <w:rFonts w:cs="EB Garamond"/>
          <w:kern w:val="16"/>
          <w14:ligatures w14:val="standardContextual"/>
        </w:rPr>
        <w:t xml:space="preserve"> competência para a execução do título judicial formado no JEF é do próprio JEF que proferiu a sentença. O art. 3º, caput, da Lei n. 10.259/2001 atribui ao JEF competência para "executar as suas sentenças". A execução permanece no JEF mesmo quando o valor da condenação (atrasados acumulados durante a tramitação) supera 60 </w:t>
      </w:r>
      <w:r w:rsidR="00460E75">
        <w:rPr>
          <w:rFonts w:cs="EB Garamond"/>
          <w:kern w:val="16"/>
          <w14:ligatures w14:val="standardContextual"/>
        </w:rPr>
        <w:t>salários-mínimos</w:t>
      </w:r>
      <w:r>
        <w:rPr>
          <w:rFonts w:cs="EB Garamond"/>
          <w:kern w:val="16"/>
          <w14:ligatures w14:val="standardContextual"/>
        </w:rPr>
        <w:t>: a competência executória vincula-se ao juízo que proferiu a sentença, não ao valor da condenação.</w:t>
      </w:r>
    </w:p>
    <w:p w14:paraId="54BEA298" w14:textId="77777777" w:rsidR="005A5FCC" w:rsidRDefault="00A21C81">
      <w:pPr>
        <w:ind w:firstLine="238"/>
      </w:pPr>
      <w:r>
        <w:rPr>
          <w:rFonts w:cs="EB Garamond"/>
          <w:kern w:val="16"/>
          <w14:ligatures w14:val="standardContextual"/>
        </w:rPr>
        <w:t>A liquidação de sentença previdenciária nos JEFs é feita pela Contadoria Judicial, órgão auxiliar do juízo composto por contadores com formação em cálculos previdenciários. A Contadoria elabora planilha de cálculo com base nos parâmetros da sentença (espécie do benefício, DIB, RMI, índice de correção, taxa de juros), utilizando dados do CNIS e da folha de pagamento do INSS. As partes podem apresentar impugnação fundamentada, com demonstração aritmética da divergência.</w:t>
      </w:r>
    </w:p>
    <w:tbl>
      <w:tblPr>
        <w:tblW w:w="5000" w:type="pct"/>
        <w:jc w:val="center"/>
        <w:tblLayout w:type="fixed"/>
        <w:tblLook w:val="04A0" w:firstRow="1" w:lastRow="0" w:firstColumn="1" w:lastColumn="0" w:noHBand="0" w:noVBand="1"/>
      </w:tblPr>
      <w:tblGrid>
        <w:gridCol w:w="6311"/>
      </w:tblGrid>
      <w:tr w:rsidR="005A5FCC" w14:paraId="6614674D"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307091EA"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699A78AD" w14:textId="77777777" w:rsidR="005A5FCC" w:rsidRDefault="00A21C81">
            <w:pPr>
              <w:spacing w:after="60" w:line="247" w:lineRule="auto"/>
            </w:pPr>
            <w:r>
              <w:rPr>
                <w:rFonts w:cs="EB Garamond"/>
                <w:kern w:val="16"/>
                <w:sz w:val="19"/>
                <w14:ligatures w14:val="standardContextual"/>
              </w:rPr>
              <w:t>Após o trânsito em julgado, o operador atento acompanha a fase de liquidação observando os seguintes pontos: (a) conferir se a Contadoria utilizou a DIB e a RMI fixadas na sentença; (b) verificar os índices de correção monetária e juros aplicados (INPC até 08/12/2021, SELIC a partir de 09/12/2021); (c) verificar se os períodos de pagamento estão corretos (descontando parcelas já pagas pelo INSS, se houve implantação provisória do benefício); (d) impugnar os cálculos no prazo fixado pelo juiz (geralmente 5 a 10 dias), com demonstração aritmética precisa da divergência; (e) requerer a expedição de RPV ou precatório após a homologação dos cálculos; (f) verificar se o cliente se enquadra na superpreferência (idoso, deficiente, doente grave) para pagamento prioritário.</w:t>
            </w:r>
          </w:p>
        </w:tc>
      </w:tr>
    </w:tbl>
    <w:p w14:paraId="37CBE8BD" w14:textId="77777777" w:rsidR="005A5FCC" w:rsidRDefault="005A5FCC">
      <w:pPr>
        <w:spacing w:after="80" w:line="240" w:lineRule="auto"/>
      </w:pPr>
    </w:p>
    <w:p w14:paraId="24AC667D"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23.26 Particularidades da litigância previdenciária nos JEFs</w:t>
      </w:r>
    </w:p>
    <w:p w14:paraId="04E49C5C"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514F2BD2" w14:textId="77777777" w:rsidR="005A5FCC" w:rsidRDefault="00A21C81">
      <w:r>
        <w:rPr>
          <w:rFonts w:cs="EB Garamond"/>
          <w:kern w:val="16"/>
          <w14:ligatures w14:val="standardContextual"/>
        </w:rPr>
        <w:t xml:space="preserve"> litigância previdenciária nos JEFs apresenta características que a distinguem de outras matérias processadas no mesmo juízo, como as ações contra a União, contra o FGTS ou contra outras autarquias. Essas particularidades decorrem da natureza do direito previdenciário, da vulnerabilidade típica dos segurados e da complexidade técnica das questões envolvidas, e convém percorrê-las em conjunto, pois é da combinação delas que resulta o perfil próprio desse contencioso.</w:t>
      </w:r>
    </w:p>
    <w:p w14:paraId="6550EC2E" w14:textId="77777777" w:rsidR="005A5FCC" w:rsidRDefault="00A21C81">
      <w:pPr>
        <w:ind w:firstLine="238"/>
      </w:pPr>
      <w:r>
        <w:rPr>
          <w:rFonts w:cs="EB Garamond"/>
          <w:kern w:val="16"/>
          <w14:ligatures w14:val="standardContextual"/>
        </w:rPr>
        <w:t>O traço de partida é a hipossuficiência do segurado. O autor típico das ações previdenciárias é pessoa de baixa renda, beneficiária de justiça gratuita, com escolaridade reduzida e pouca familiaridade com o sistema judiciário. Essa condição exige do juiz e do advogado sensibilidade na condução do processo: a comunicação com o segurado deve ser clara, as audiências devem ser conduzidas em linguagem acessível e o magistrado deve assegurar a igualdade substancial entre as partes (art. 7º, CPC/2015). A essa hipossuficiência soma-se o caráter massificado das demandas. Os JEFs previdenciários respondem por parcela majoritária do acervo dos juizados especiais federais — conforme as estatísticas já referidas na seção 23.1 —, e essa concentração pressiona a capacidade de julgamento ao gerar demandas repetitivas. Ações fundadas na mesma tese jurídica, como o reconhecimento de tempo especial por ruído ou a aposentadoria rural de segurado especial, são ajuizadas em grande número, o que cria oportunidades para a padronização de decisões e para os mutirões de julgamento.</w:t>
      </w:r>
    </w:p>
    <w:p w14:paraId="6C819931" w14:textId="77777777" w:rsidR="005A5FCC" w:rsidRDefault="00A21C81">
      <w:pPr>
        <w:ind w:firstLine="238"/>
      </w:pPr>
      <w:r>
        <w:rPr>
          <w:rFonts w:cs="EB Garamond"/>
          <w:kern w:val="16"/>
          <w14:ligatures w14:val="standardContextual"/>
        </w:rPr>
        <w:t>A natureza do réu também singulariza o contencioso. Diferentemente das ações contra a União, em que a AGU atua com margem de negociação limitada, as ações contra o INSS abrem espaço para interlocução direta com a autarquia previdenciária. Programas de conciliação, mutirões de perícia, intercâmbio de informações entre os sistemas (CNIS, HISCRE, PLENUS) e implantação eletrô</w:t>
      </w:r>
      <w:r>
        <w:rPr>
          <w:rFonts w:cs="EB Garamond"/>
          <w:kern w:val="16"/>
          <w14:ligatures w14:val="standardContextual"/>
        </w:rPr>
        <w:lastRenderedPageBreak/>
        <w:t>nica de benefícios são instrumentos que dependem dessa cooperação institucional entre o Judiciário e o INSS, e cuja maturidade varia conforme a região e o momento. Nesse contexto, a prova técnica ganha centralidade: a perícia médica judicial é o elemento probatório predominante nas ações de incapacidade e consome parcela significativa do tempo de tramitação. A nomeação de peritos, a realização de exames, a elaboração de laudos e os esclarecimentos periciais alongam o procedimento e tensionam o princípio da celeridade, de modo que os juízos dotados de corpo de peritos permanente ou conveniado apresentam prazos de tramitação sensivelmente menores do que aqueles que dependem de peritos ad hoc.</w:t>
      </w:r>
    </w:p>
    <w:p w14:paraId="42DEF000" w14:textId="77777777" w:rsidR="005A5FCC" w:rsidRDefault="00A21C81">
      <w:pPr>
        <w:ind w:firstLine="238"/>
      </w:pPr>
      <w:r>
        <w:rPr>
          <w:rFonts w:cs="EB Garamond"/>
          <w:kern w:val="16"/>
          <w14:ligatures w14:val="standardContextual"/>
        </w:rPr>
        <w:t>Sobre todas essas características projeta-se a relevância social da decisão. A concessão ou a negativa de um benefício previdenciário afeta diretamente a subsistência do segurado e de sua família, e o juiz do JEF previdenciário exerce, por isso, função social de primeira grandeza: suas decisões determinam se idosos, pessoas com deficiência, trabalhadores rurais e dependentes de segurados falecidos terão acesso à renda necessária para viver com dignidade. Essa dimensão impõe ao magistrado cautela redobrada na análise das provas e na interpretação das normas, de modo a evitar tanto a concessão indevida, que compromete o equilíbrio atuarial do sistema, quanto a negativa injusta, que priva o segurado de proteção a que faz jus.</w:t>
      </w:r>
    </w:p>
    <w:p w14:paraId="7DAA0BEF"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23.27 Questões processuais recorrentes</w:t>
      </w:r>
    </w:p>
    <w:p w14:paraId="7F98CB2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23B696C6" w14:textId="77777777" w:rsidR="005A5FCC" w:rsidRDefault="00A21C81">
      <w:r>
        <w:rPr>
          <w:rFonts w:cs="EB Garamond"/>
          <w:kern w:val="16"/>
          <w14:ligatures w14:val="standardContextual"/>
        </w:rPr>
        <w:t xml:space="preserve"> prática cotidiana nos JEFs previdenciários suscita questões processuais recorrentes que exigem tratamento específico.</w:t>
      </w:r>
    </w:p>
    <w:p w14:paraId="2EC2EA4B" w14:textId="77777777" w:rsidR="005A5FCC" w:rsidRDefault="00A21C81">
      <w:pPr>
        <w:spacing w:before="260" w:after="80" w:line="240" w:lineRule="auto"/>
        <w:jc w:val="left"/>
      </w:pPr>
      <w:r>
        <w:rPr>
          <w:rFonts w:cs="EB Garamond"/>
          <w:b/>
          <w:color w:val="3A3128"/>
          <w:kern w:val="16"/>
          <w:sz w:val="25"/>
          <w14:ligatures w14:val="standardContextual"/>
        </w:rPr>
        <w:t>Litisconsórcio passivo</w:t>
      </w:r>
    </w:p>
    <w:p w14:paraId="06A31A3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3A3150BA" w14:textId="77777777" w:rsidR="005A5FCC" w:rsidRDefault="00A21C81">
      <w:r>
        <w:rPr>
          <w:rFonts w:cs="EB Garamond"/>
          <w:kern w:val="16"/>
          <w14:ligatures w14:val="standardContextual"/>
        </w:rPr>
        <w:t xml:space="preserve"> litisconsórcio passivo é tema frequente. Em ações previdenciárias, o INSS é o único réu, salvo em hipóteses excepcionais: ações de pensão por morte com concorrência entre dependentes (que exige litisconsórcio necessário entre os pretendentes), ações que envolvem empregador (reconhecimento de vínculo empregatício como premissa para o benefício) e ações que envolvem entidades de previdência complementar.</w:t>
      </w:r>
    </w:p>
    <w:p w14:paraId="10F2B183" w14:textId="77777777" w:rsidR="005A5FCC" w:rsidRDefault="00A21C81">
      <w:pPr>
        <w:spacing w:before="260" w:after="80" w:line="240" w:lineRule="auto"/>
        <w:jc w:val="left"/>
      </w:pPr>
      <w:r>
        <w:rPr>
          <w:rFonts w:cs="EB Garamond"/>
          <w:b/>
          <w:color w:val="3A3128"/>
          <w:kern w:val="16"/>
          <w:sz w:val="25"/>
          <w14:ligatures w14:val="standardContextual"/>
        </w:rPr>
        <w:lastRenderedPageBreak/>
        <w:t>Conexão e prevenção</w:t>
      </w:r>
    </w:p>
    <w:p w14:paraId="49909C12"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4BC04231" w14:textId="77777777" w:rsidR="005A5FCC" w:rsidRDefault="00A21C81">
      <w:r>
        <w:rPr>
          <w:rFonts w:cs="EB Garamond"/>
          <w:kern w:val="16"/>
          <w14:ligatures w14:val="standardContextual"/>
        </w:rPr>
        <w:t xml:space="preserve"> conexão e a prevenção entre ações também suscitam dúvidas recorrentes. É frequente que o mesmo segurado ajuíze mais de uma ação contra o INSS, sobre benefícios distintos ou sobre questões conexas (ação de reconhecimento de tempo especial e ação de concessão de aposentadoria, por exemplo). As ações conexas devem ser reunidas perante o juízo prevento, evitando decisões contraditórias. O juiz do JEF deve verificar, de ofício ou por provocação, a existência de ações conexas no mesmo juízo ou em juízos diversos.</w:t>
      </w:r>
    </w:p>
    <w:p w14:paraId="29B841F8" w14:textId="77777777" w:rsidR="005A5FCC" w:rsidRDefault="00A21C81">
      <w:pPr>
        <w:spacing w:before="260" w:after="80" w:line="240" w:lineRule="auto"/>
        <w:jc w:val="left"/>
      </w:pPr>
      <w:r>
        <w:rPr>
          <w:rFonts w:cs="EB Garamond"/>
          <w:b/>
          <w:color w:val="3A3128"/>
          <w:kern w:val="16"/>
          <w:sz w:val="25"/>
          <w14:ligatures w14:val="standardContextual"/>
        </w:rPr>
        <w:t>Vedação de intervenção de terceiros</w:t>
      </w:r>
    </w:p>
    <w:p w14:paraId="1CC79DB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30FA280F" w14:textId="77777777" w:rsidR="005A5FCC" w:rsidRDefault="00A21C81">
      <w:r>
        <w:rPr>
          <w:rFonts w:cs="EB Garamond"/>
          <w:kern w:val="16"/>
          <w14:ligatures w14:val="standardContextual"/>
        </w:rPr>
        <w:t xml:space="preserve"> chamamento ao processo e a denunciação da lide são vedados nos JEFs. A regra que exclui a intervenção de terceiros, ressalvado o litisconsórcio, é o art. 10 da Lei n. 9.099/95 ("Não se admitirá, no processo, qualquer forma de intervenção de terceiro nem de assistência. Admitir-se-á o litisconsórcio."), aplicável subsidiariamente por força do art. 1º da Lei n. 10.259/2001. Não se confunda esse dispositivo com o art. 10 da Lei n. 10.259/2001, que disciplina matéria diversa — a designação de representante para a causa (jus postulandi), examinado na seção 23.9. A vedação simplifica o processo, evitando a ampliação subjetiva da demanda que poderia comprometer a celeridade do rito sumaríssimo.</w:t>
      </w:r>
    </w:p>
    <w:p w14:paraId="07DF923B" w14:textId="77777777" w:rsidR="005A5FCC" w:rsidRDefault="00A21C81">
      <w:pPr>
        <w:spacing w:before="260" w:after="80" w:line="240" w:lineRule="auto"/>
        <w:jc w:val="left"/>
      </w:pPr>
      <w:r>
        <w:rPr>
          <w:rFonts w:cs="EB Garamond"/>
          <w:b/>
          <w:color w:val="3A3128"/>
          <w:kern w:val="16"/>
          <w:sz w:val="25"/>
          <w14:ligatures w14:val="standardContextual"/>
        </w:rPr>
        <w:t>Fungibilidade do pedido</w:t>
      </w:r>
    </w:p>
    <w:p w14:paraId="26F99F8D"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516AADF4" w14:textId="77777777" w:rsidR="005A5FCC" w:rsidRDefault="00A21C81">
      <w:r>
        <w:rPr>
          <w:rFonts w:cs="EB Garamond"/>
          <w:kern w:val="16"/>
          <w14:ligatures w14:val="standardContextual"/>
        </w:rPr>
        <w:t xml:space="preserve"> fungibilidade do pedido em ações previdenciárias constitui princípio operativo dos JEFs. O princípio da fungibilidade permite ao juiz conceder benefício diverso do pedido, desde que o segurado preencha os requisitos legais. Se o segurado pediu aposentadoria por tempo de contribuição, mas o juiz verifica que não preenche os requisitos para essa espécie, pode conceder aposentadoria por idade se os requisitos estiverem cumpridos. A fungibilidade é expressamente admitida pela TNU e constitui decorrência do princípio da economia processual e da natureza alimentar dos benefícios previdenciários. O instituto opera, todavia, dentro da mesma causa de pedir: pressupõe que o benefício diverso decorra do mesmo conjunto fático e probatório deduzido na inicial. Se o reconhecimento da espécie diversa depender de fato novo, não debatido pelas partes, impõe-se a prévia abertura de contraditório específico (art. 10, CPC/2015), </w:t>
      </w:r>
      <w:r>
        <w:rPr>
          <w:rFonts w:cs="EB Garamond"/>
          <w:kern w:val="16"/>
          <w14:ligatures w14:val="standardContextual"/>
        </w:rPr>
        <w:lastRenderedPageBreak/>
        <w:t>para que a adequação do pedido não se converta em decisão surpresa nem comprometa a ampla defesa do INSS.</w:t>
      </w:r>
    </w:p>
    <w:tbl>
      <w:tblPr>
        <w:tblW w:w="5000" w:type="pct"/>
        <w:jc w:val="center"/>
        <w:tblLayout w:type="fixed"/>
        <w:tblLook w:val="04A0" w:firstRow="1" w:lastRow="0" w:firstColumn="1" w:lastColumn="0" w:noHBand="0" w:noVBand="1"/>
      </w:tblPr>
      <w:tblGrid>
        <w:gridCol w:w="6311"/>
      </w:tblGrid>
      <w:tr w:rsidR="005A5FCC" w14:paraId="73D81651"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04A0394B" w14:textId="77777777" w:rsidR="005A5FCC" w:rsidRDefault="00A21C81">
            <w:pPr>
              <w:spacing w:after="60" w:line="240" w:lineRule="auto"/>
              <w:jc w:val="left"/>
            </w:pPr>
            <w:r>
              <w:rPr>
                <w:rFonts w:ascii="Noto Sans" w:hAnsi="Noto Sans" w:cs="Noto Sans"/>
                <w:b/>
                <w:caps/>
                <w:color w:val="4D6F8A"/>
                <w:kern w:val="16"/>
                <w:sz w:val="16"/>
                <w14:ligatures w14:val="standardContextual"/>
              </w:rPr>
              <w:t>JURISPRUDÊNCIA EM DESTAQUE</w:t>
            </w:r>
          </w:p>
          <w:p w14:paraId="11C2A8F2" w14:textId="77777777" w:rsidR="005A5FCC" w:rsidRDefault="00A21C81">
            <w:pPr>
              <w:spacing w:after="60" w:line="247" w:lineRule="auto"/>
            </w:pPr>
            <w:r>
              <w:rPr>
                <w:rFonts w:cs="EB Garamond"/>
                <w:b/>
                <w:kern w:val="16"/>
                <w:sz w:val="19"/>
                <w14:ligatures w14:val="standardContextual"/>
              </w:rPr>
              <w:t>TNU, Súmula 77</w:t>
            </w:r>
            <w:r>
              <w:rPr>
                <w:rFonts w:cs="EB Garamond"/>
                <w:kern w:val="16"/>
                <w:sz w:val="19"/>
                <w14:ligatures w14:val="standardContextual"/>
              </w:rPr>
              <w:t>: "O julgador não é obrigado a analisar as condições pessoais e sociais quando não reconhecer a incapacidade do requerente para a sua atividade habitual." A Súmula delimita o alcance da análise judicial em ações de incapacidade: as condições pessoais (idade, escolaridade, experiência profissional) somente são examinadas quando reconhecida a incapacidade parcial, para fins de verificação da possibilidade de reabilitação. Se o perito conclui pela capacidade plena, o juiz pode julgar improcedente sem examinar as condições pessoais. A interpretação harmoniza-se com a Súmula 47/TNU, que exige a análise das condições pessoais quando há incapacidade parcial.</w:t>
            </w:r>
          </w:p>
        </w:tc>
      </w:tr>
    </w:tbl>
    <w:p w14:paraId="43DD096D" w14:textId="77777777" w:rsidR="005A5FCC" w:rsidRDefault="005A5FCC">
      <w:pPr>
        <w:spacing w:after="80" w:line="240" w:lineRule="auto"/>
      </w:pPr>
    </w:p>
    <w:p w14:paraId="11BF78EF"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23.28 Gratuidade de justiça nos JEFs</w:t>
      </w:r>
    </w:p>
    <w:p w14:paraId="798F3699"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062E7A41" w14:textId="77777777" w:rsidR="005A5FCC" w:rsidRDefault="00A21C81">
      <w:r>
        <w:rPr>
          <w:rFonts w:cs="EB Garamond"/>
          <w:kern w:val="16"/>
          <w14:ligatures w14:val="standardContextual"/>
        </w:rPr>
        <w:t xml:space="preserve"> gratuidade de justiça nos JEFs é matéria de relevância prática direta, pois a totalidade dos autores em ações previdenciárias é beneficiária do instituto. O art. 54 da Lei n. 9.099/95, aplicável subsidiariamente, isenta de custas em primeiro grau. A gratuidade complementar (honorários periciais, despesas com diligências) decorre do deferimento da justiça gratuita nos termos do art. 98 do CPC/2015.</w:t>
      </w:r>
    </w:p>
    <w:p w14:paraId="4014CE07" w14:textId="77777777" w:rsidR="005A5FCC" w:rsidRDefault="00A21C81">
      <w:pPr>
        <w:ind w:firstLine="238"/>
      </w:pPr>
      <w:r>
        <w:rPr>
          <w:rFonts w:cs="EB Garamond"/>
          <w:kern w:val="16"/>
          <w14:ligatures w14:val="standardContextual"/>
        </w:rPr>
        <w:t>A presunção de hipossuficiência nas ações previdenciárias dos JEFs é praticamente absoluta. O segurado que litiga contra o INSS pleiteando concessão de benefício demonstra, pela própria natureza do pedido, que não dispõe de renda previdenciária e que sua subsistência depende do benefício pretendido. O INSS raramente impugna o pedido de justiça gratuita em ações previdenciárias, e os juízes dos JEFs concedem a gratuidade de forma rotineira.</w:t>
      </w:r>
    </w:p>
    <w:p w14:paraId="7930C824" w14:textId="77777777" w:rsidR="005A5FCC" w:rsidRDefault="00A21C81">
      <w:pPr>
        <w:ind w:firstLine="238"/>
      </w:pPr>
      <w:r>
        <w:rPr>
          <w:rFonts w:cs="EB Garamond"/>
          <w:kern w:val="16"/>
          <w14:ligatures w14:val="standardContextual"/>
        </w:rPr>
        <w:t xml:space="preserve">A gratuidade abrange todas as despesas processuais, incluindo honorários periciais, despesas com certidões, custas de diligências e honorários de sucumbência (em caso de improcedência com condenação em sede recursal). A condenação em </w:t>
      </w:r>
      <w:r>
        <w:rPr>
          <w:rFonts w:cs="EB Garamond"/>
          <w:kern w:val="16"/>
          <w14:ligatures w14:val="standardContextual"/>
        </w:rPr>
        <w:lastRenderedPageBreak/>
        <w:t>honorários de sucumbência contra o beneficiário de justiça gratuita tem exigibilidade suspensa por cinco anos (art. 98, § 3º, CPC/2015): se nesse prazo o credor não demonstrar que a situação econômica do devedor permite o pagamento, a obrigação se extingue.</w:t>
      </w:r>
    </w:p>
    <w:p w14:paraId="5F7B18F8"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23.29 Embargos de declaração nos JEFs</w:t>
      </w:r>
    </w:p>
    <w:p w14:paraId="1079C0BB"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29E38939" w14:textId="77777777" w:rsidR="005A5FCC" w:rsidRDefault="00A21C81">
      <w:r>
        <w:rPr>
          <w:rFonts w:cs="EB Garamond"/>
          <w:kern w:val="16"/>
          <w14:ligatures w14:val="standardContextual"/>
        </w:rPr>
        <w:t>s embargos de declaração nos JEFs são disciplinados pelo art. 48 da Lei n. 9.099/95, aplicável subsidiariamente. O prazo para interposição é de cinco dias, contados da ciência da decisão embargada. O recurso pode ser oposto contra qualquer decisão (sentença, decisão interlocutória ou acórdão de Turma Recursal), quando houver obscuridade, contradição, omissão ou erro material.</w:t>
      </w:r>
    </w:p>
    <w:p w14:paraId="19140788" w14:textId="77777777" w:rsidR="005A5FCC" w:rsidRDefault="00A21C81">
      <w:pPr>
        <w:ind w:firstLine="238"/>
      </w:pPr>
      <w:r>
        <w:rPr>
          <w:rFonts w:cs="EB Garamond"/>
          <w:kern w:val="16"/>
          <w14:ligatures w14:val="standardContextual"/>
        </w:rPr>
        <w:t>Na prática previdenciária dos JEFs, os embargos de declaração são utilizados com frequência para suprir omissões na sentença. Omissões típicas incluem: falta de indicação da DIB, falta de fixação dos critérios de correção monetária e juros, falta de determinação de implantação do benefício, falta de análise de pedido formulado na inicial (tutela antecipada, por exemplo) e contradição entre fundamentação e dispositivo. Os embargos de declaração com efeitos infringentes (que alteram o resultado do julgamento) são admitidos excepcionalmente, quando a correção da omissão ou contradição implica modificação da conclusão.</w:t>
      </w:r>
    </w:p>
    <w:p w14:paraId="3071AC3F" w14:textId="77777777" w:rsidR="005A5FCC" w:rsidRDefault="00A21C81">
      <w:pPr>
        <w:ind w:firstLine="238"/>
      </w:pPr>
      <w:r>
        <w:rPr>
          <w:rFonts w:cs="EB Garamond"/>
          <w:kern w:val="16"/>
          <w14:ligatures w14:val="standardContextual"/>
        </w:rPr>
        <w:t xml:space="preserve">O efeito interruptivo dos embargos de declaração (art. 50 da Lei n. 9.099/95) é relevante para a contagem do prazo do recurso inominado. A interposição de embargos de declaração interrompe o prazo para recurso inominado, que recomeça a fluir da intimação da decisão que julgar os embargos. A distinção entre interrupção (prazo recomeça integralmente) e suspensão (prazo continua de onde parou) é fonte de equívocos na atuação forense: nos JEFs, o regime aplicado é o de interrupção, em conformidade com o art. 1.026 do CPC/2015 e com a regra geral do sistema recursal. É certo que a redação literal do art. 50 da Lei n. 9.099/95 alude a "suspensão"; trata-se, contudo, de fórmula historicamente superada. Com a entrada em vigor do CPC/2015, que generalizou o efeito interruptivo dos embargos de declaração, as Turmas Recursais consolidaram a leitura sistemática segundo a qual a oposição dos embargos interrompe — e não meramente suspende — o prazo do recurso inominado. A controvérsia, viva sob o </w:t>
      </w:r>
      <w:r>
        <w:rPr>
          <w:rFonts w:cs="EB Garamond"/>
          <w:kern w:val="16"/>
          <w14:ligatures w14:val="standardContextual"/>
        </w:rPr>
        <w:lastRenderedPageBreak/>
        <w:t>CPC/1973, encontra-se hoje equacionada na prática dos JEFs em favor do regime interruptivo.</w:t>
      </w:r>
    </w:p>
    <w:tbl>
      <w:tblPr>
        <w:tblW w:w="5000" w:type="pct"/>
        <w:jc w:val="center"/>
        <w:tblLayout w:type="fixed"/>
        <w:tblLook w:val="04A0" w:firstRow="1" w:lastRow="0" w:firstColumn="1" w:lastColumn="0" w:noHBand="0" w:noVBand="1"/>
      </w:tblPr>
      <w:tblGrid>
        <w:gridCol w:w="6311"/>
      </w:tblGrid>
      <w:tr w:rsidR="005A5FCC" w14:paraId="0CC39C79"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13E9BD70"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09152F48" w14:textId="77777777" w:rsidR="005A5FCC" w:rsidRDefault="00A21C81">
            <w:pPr>
              <w:spacing w:after="60" w:line="247" w:lineRule="auto"/>
            </w:pPr>
            <w:r>
              <w:rPr>
                <w:rFonts w:cs="EB Garamond"/>
                <w:kern w:val="16"/>
                <w:sz w:val="19"/>
                <w14:ligatures w14:val="standardContextual"/>
              </w:rPr>
              <w:t>Os embargos de declaração protelatórios sujeitam o embargante a multa de até 1% sobre o valor da causa (art. 1.026, § 2º, CPC/2015, aplicável subsidiariamente). No cotidiano previdenciário, a multa é raramente imposta nesses juizados, pois os juízes reconhecem que a maioria dos embargos tem finalidade legítima (suprir omissão, esclarecer contradição). Contudo, a reiteração de embargos com conteúdo idêntico ou a oposição de embargos sem fundamentação específica podem ensejar a aplicação da sanção. O advogado deve assegurar que os embargos contenham indicação precisa da omissão, obscuridade ou contradição, com referência ao ponto específico da decisão que se pretende esclarecer.</w:t>
            </w:r>
          </w:p>
        </w:tc>
      </w:tr>
    </w:tbl>
    <w:p w14:paraId="47569417" w14:textId="77777777" w:rsidR="005A5FCC" w:rsidRDefault="005A5FCC">
      <w:pPr>
        <w:spacing w:after="80" w:line="240" w:lineRule="auto"/>
      </w:pPr>
    </w:p>
    <w:p w14:paraId="5F7C10CB"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23.30 Contagem de prazos nos JEFs</w:t>
      </w:r>
    </w:p>
    <w:p w14:paraId="359D1ECD"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67B37D41" w14:textId="77777777" w:rsidR="005A5FCC" w:rsidRDefault="00A21C81">
      <w:r>
        <w:rPr>
          <w:rFonts w:cs="EB Garamond"/>
          <w:kern w:val="16"/>
          <w14:ligatures w14:val="standardContextual"/>
        </w:rPr>
        <w:t xml:space="preserve"> contagem de prazos nos JEFs observa regras próprias que decorrem da natureza sumaríssima do procedimento e da aplicação subsidiária da Lei n. 9.099/95. Os prazos são, em regra, mais curtos do que os previstos no CPC/2015: recurso inominado em 10 dias (contra 15 dias da apelação), embargos de declaração em 5 dias (igual ao CPC/2015), contestação do INSS em 30 dias (contra 15 dias da regra geral do CPC).</w:t>
      </w:r>
    </w:p>
    <w:p w14:paraId="6BD91E32" w14:textId="77777777" w:rsidR="005A5FCC" w:rsidRDefault="00A21C81">
      <w:pPr>
        <w:ind w:firstLine="238"/>
      </w:pPr>
      <w:r>
        <w:rPr>
          <w:rFonts w:cs="EB Garamond"/>
          <w:kern w:val="16"/>
          <w14:ligatures w14:val="standardContextual"/>
        </w:rPr>
        <w:t>A contagem dos prazos processuais nos JEFs segue a regra do art. 219 do CPC/2015: somente em dias úteis, excluindo-se o dia do início e incluindo-se o dia do vencimento. A extensão dessa contagem ao microssistema dos juizados foi, durante algum tempo, controvertida — discutia-se se a regra do art. 219, voltada à celeridade do processo comum, seria compatível com o princípio da celeridade que rege os juizados. A pacificação não decorreu de lei federal específica, mas dos enunciados do FONAJEF e da jurisprudência dominante das Turmas Recursais e da TNU, que firmaram a aplicação do critério dos dias úteis também no âmbito dos JEFs.</w:t>
      </w:r>
    </w:p>
    <w:p w14:paraId="03686079" w14:textId="77777777" w:rsidR="005A5FCC" w:rsidRDefault="00A21C81">
      <w:pPr>
        <w:ind w:firstLine="238"/>
      </w:pPr>
      <w:r>
        <w:rPr>
          <w:rFonts w:cs="EB Garamond"/>
          <w:kern w:val="16"/>
          <w14:ligatures w14:val="standardContextual"/>
        </w:rPr>
        <w:lastRenderedPageBreak/>
        <w:t>A intimação das partes nos JEFs é feita, preferencialmente, por meio eletrônico (sistema PJe, e-Proc ou equivalente). A intimação eletrônica considera-se realizada na data em que o intimado efetua a consulta ao sistema; se não consultar em 10 dias, a intimação é considerada realizada ao final desse prazo (art. 5º, § 3º, da Lei n. 11.419/2006). O segurado desassistido de advogado é intimado pessoalmente, por correspondência ou por mandado, conforme a prática do JEF.</w:t>
      </w:r>
    </w:p>
    <w:p w14:paraId="5649C29E" w14:textId="77777777" w:rsidR="005A5FCC" w:rsidRDefault="00A21C81">
      <w:pPr>
        <w:ind w:firstLine="238"/>
      </w:pPr>
      <w:r>
        <w:rPr>
          <w:rFonts w:cs="EB Garamond"/>
          <w:kern w:val="16"/>
          <w14:ligatures w14:val="standardContextual"/>
        </w:rPr>
        <w:t>A prerrogativa de prazo em dobro para a Fazenda Pública não se aplica nos JEFs. A vedação tem fundamento normativo expresso: o art. 9º da Lei n. 10.259/2001 dispõe que "não haverá prazo diferenciado para a prática de qualquer ato processual pelas pessoas jurídicas de direito público, inclusive a interposição de recursos", determinando, ainda, que a citação para a audiência de conciliação seja efetuada com antecedência mínima de 30 dias. A generalização que estende a vedação à fase recursal não constitui, portanto, afirmação categórica sem ancoragem: decorre da própria literalidade do dispositivo, que ressalva, de modo textual, "inclusive a interposição de recursos". Como assinalado na seção 23.12, é da antecedência mínima da citação, e não desse comando, que a praxe dos JEFs extrai o prazo de 30 dias para a contestação do INSS. Em consequência, a Advocacia-Geral da União e a Procuradoria Federal não dispõem de prazo em dobro para recorrer nos JEFs, diferentemente do que ocorre nas varas federais comuns (art. 183, CPC/2015) — regra que a TNU e as Turmas Recursais aplicam como decorrência direta da norma especial. A restrição visa preservar a igualdade processual entre as partes e a celeridade do rito sumaríssimo.</w:t>
      </w:r>
    </w:p>
    <w:tbl>
      <w:tblPr>
        <w:tblW w:w="5000" w:type="pct"/>
        <w:jc w:val="center"/>
        <w:tblLayout w:type="fixed"/>
        <w:tblLook w:val="04A0" w:firstRow="1" w:lastRow="0" w:firstColumn="1" w:lastColumn="0" w:noHBand="0" w:noVBand="1"/>
      </w:tblPr>
      <w:tblGrid>
        <w:gridCol w:w="6311"/>
      </w:tblGrid>
      <w:tr w:rsidR="005A5FCC" w14:paraId="1E50A275"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66BC1E3C"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59E0C0C8" w14:textId="77777777" w:rsidR="005A5FCC" w:rsidRDefault="00A21C81">
            <w:pPr>
              <w:spacing w:after="60" w:line="247" w:lineRule="auto"/>
            </w:pPr>
            <w:r>
              <w:rPr>
                <w:rFonts w:cs="EB Garamond"/>
                <w:kern w:val="16"/>
                <w:sz w:val="19"/>
                <w14:ligatures w14:val="standardContextual"/>
              </w:rPr>
              <w:t>Impõe-se ao patrono manter controle rigoroso dos prazos nos JEFs, especialmente porque a contagem em dias úteis pode gerar confusão quando combinada com prazos diferentes dos praticados na Justiça Federal comum. Os prazos mais relevantes são: 30 dias para contestação do INSS; 10 dias para recurso inominado; 5 dias para embargos de declaração; 10 dias para pedido de uniformização à TNU; 5 a 10 dias para impugnação aos cálculos da Contadoria (conforme intimação do juízo); 15 dias para cumprimento de diligências determinadas pelo juiz. A perda de prazo recursal nos JEFs é particularmente grave, pois não há mecanismo de reabertura análogo ao recurso adesivo ou à ação rescisória (que não é cabível no microssistema dos juizados).</w:t>
            </w:r>
          </w:p>
        </w:tc>
      </w:tr>
    </w:tbl>
    <w:p w14:paraId="16752844" w14:textId="77777777" w:rsidR="005A5FCC" w:rsidRDefault="005A5FCC">
      <w:pPr>
        <w:spacing w:after="80" w:line="240" w:lineRule="auto"/>
      </w:pPr>
    </w:p>
    <w:p w14:paraId="2796704D"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23.31 Prova documental e o CNIS como elemento de prova</w:t>
      </w:r>
    </w:p>
    <w:p w14:paraId="515F0B45"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464032FA" w14:textId="77777777" w:rsidR="005A5FCC" w:rsidRDefault="00A21C81">
      <w:r>
        <w:rPr>
          <w:rFonts w:cs="EB Garamond"/>
          <w:kern w:val="16"/>
          <w14:ligatures w14:val="standardContextual"/>
        </w:rPr>
        <w:t xml:space="preserve"> prova documental é o alicerce da instrução processual previdenciária nos JEFs. O Cadastro Nacional de Informações Sociais (CNIS) goza de presunção relativa de veracidade (art. 29-A, Lei n. 8.213/91). Para a análise detalhada de sua natureza jurídica, força probatória, inversão do ônus e tratamento de extemporaneidades, remetemos o leitor ao Cap. 5, §§ 5.2.1 a 5.2.4. Nos JEFs, a impugnação do CNIS é frequente: o segurado alega vínculos não registrados, períodos rurais sem contribuição, atividade especial não anotada ou divergências nos valores de contribuição.</w:t>
      </w:r>
    </w:p>
    <w:p w14:paraId="27F083A7" w14:textId="77777777" w:rsidR="005A5FCC" w:rsidRDefault="00A21C81">
      <w:pPr>
        <w:ind w:firstLine="238"/>
      </w:pPr>
      <w:r>
        <w:rPr>
          <w:rFonts w:cs="EB Garamond"/>
          <w:kern w:val="16"/>
          <w14:ligatures w14:val="standardContextual"/>
        </w:rPr>
        <w:t>A produção de prova documental nos JEFs segue a regra de apresentação na petição inicial (documentos do autor) e na contestação (documentos do INSS). A juntada posterior de documentos é admitida, mas deve ser justificada pela impossibilidade de apresentação oportuna ou pela superveniência do documento. O juiz pode determinar, de ofício, a juntada de documentos que considere necessários à instrução, inclusive requisitando informações ao INSS (extrato do CNIS, processo administrativo, HISCRE — Histórico de Créditos).</w:t>
      </w:r>
    </w:p>
    <w:p w14:paraId="50F7678C" w14:textId="77777777" w:rsidR="005A5FCC" w:rsidRDefault="00A21C81">
      <w:pPr>
        <w:ind w:firstLine="238"/>
      </w:pPr>
      <w:r>
        <w:rPr>
          <w:rFonts w:cs="EB Garamond"/>
          <w:kern w:val="16"/>
          <w14:ligatures w14:val="standardContextual"/>
        </w:rPr>
        <w:t>O HISCRE (Histórico de Créditos) é documento indispensável na fase de liquidação, pois contém o registro de todos os pagamentos feitos pelo INSS ao segurado. A Contadoria Judicial utiliza o HISCRE para apurar eventuais compensações (valores já recebidos pelo segurado a título de benefício distinto) e para calcular as diferenças devidas em ações de revisão.</w:t>
      </w:r>
    </w:p>
    <w:tbl>
      <w:tblPr>
        <w:tblW w:w="5000" w:type="pct"/>
        <w:jc w:val="center"/>
        <w:tblLayout w:type="fixed"/>
        <w:tblLook w:val="04A0" w:firstRow="1" w:lastRow="0" w:firstColumn="1" w:lastColumn="0" w:noHBand="0" w:noVBand="1"/>
      </w:tblPr>
      <w:tblGrid>
        <w:gridCol w:w="6311"/>
      </w:tblGrid>
      <w:tr w:rsidR="005A5FCC" w14:paraId="1A0765F4"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3E4C4372" w14:textId="77777777" w:rsidR="005A5FCC" w:rsidRDefault="00A21C81">
            <w:pPr>
              <w:spacing w:after="60" w:line="240" w:lineRule="auto"/>
              <w:jc w:val="left"/>
            </w:pPr>
            <w:r>
              <w:rPr>
                <w:rFonts w:ascii="Noto Sans" w:hAnsi="Noto Sans" w:cs="Noto Sans"/>
                <w:b/>
                <w:caps/>
                <w:color w:val="4D6F8A"/>
                <w:kern w:val="16"/>
                <w:sz w:val="16"/>
                <w14:ligatures w14:val="standardContextual"/>
              </w:rPr>
              <w:lastRenderedPageBreak/>
              <w:t>JURISPRUDÊNCIA EM DESTAQUE</w:t>
            </w:r>
          </w:p>
          <w:p w14:paraId="0EC4413C" w14:textId="77777777" w:rsidR="005A5FCC" w:rsidRDefault="00A21C81">
            <w:pPr>
              <w:spacing w:after="60" w:line="247" w:lineRule="auto"/>
            </w:pPr>
            <w:r>
              <w:rPr>
                <w:rFonts w:cs="EB Garamond"/>
                <w:b/>
                <w:kern w:val="16"/>
                <w:sz w:val="19"/>
                <w14:ligatures w14:val="standardContextual"/>
              </w:rPr>
              <w:t>TNU, Súmula 75</w:t>
            </w:r>
            <w:r>
              <w:rPr>
                <w:rFonts w:cs="EB Garamond"/>
                <w:kern w:val="16"/>
                <w:sz w:val="19"/>
                <w14:ligatures w14:val="standardContextual"/>
              </w:rPr>
              <w:t>: "A Carteira de Trabalho e Previdência Social (CTPS) em relação à qual não se aponta defeito formal que lhe comprometa a fidedignidade goza de presunção relativa de veracidade, formando prova suficiente de tempo de serviço para fins previdenciários, ainda que a anotação de vínculo de emprego não conste no Cadastro Nacional de Informações Sociais (CNIS)." A Súmula resolve questão recorrente nos JEFs: quando a CTPS do segurado apresenta vínculos empregatícios não registrados no CNIS, a CTPS prevalece como prova do tempo de serviço, salvo demonstração de fraude ou irregularidade formal pelo INSS.</w:t>
            </w:r>
          </w:p>
        </w:tc>
      </w:tr>
    </w:tbl>
    <w:p w14:paraId="28DEFC3C" w14:textId="77777777" w:rsidR="005A5FCC" w:rsidRDefault="005A5FCC">
      <w:pPr>
        <w:spacing w:after="80" w:line="240" w:lineRule="auto"/>
      </w:pPr>
    </w:p>
    <w:p w14:paraId="0D7F654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6B5D730A" w14:textId="77777777" w:rsidR="005A5FCC" w:rsidRDefault="00A21C81">
      <w:r>
        <w:rPr>
          <w:rFonts w:cs="EB Garamond"/>
          <w:kern w:val="16"/>
          <w14:ligatures w14:val="standardContextual"/>
        </w:rPr>
        <w:t xml:space="preserve"> prova do exercício de atividade rural é questão probatória com regras específicas nos JEFs. A Lei n. 8.213/91 exige início de prova material para a comprovação do tempo de serviço rural (art. 55, § 3º), não admitindo prova exclusivamente testemunhal (Súmula 149/STJ). Os documentos aceitos como início de prova material incluem: certidão do INCRA, declaração do sindicato rural homologada pelo INSS, notas fiscais de produtor rural, escritura de imóvel rural, contrato de parceria ou arrendamento, certidão de casamento com qualificação do cônjuge como lavrador, ficha de matrícula escolar dos filhos com indicação de profissão dos pais como agricultor, entre outros.</w:t>
      </w:r>
    </w:p>
    <w:p w14:paraId="7B133872" w14:textId="77777777" w:rsidR="005A5FCC" w:rsidRDefault="00A21C81">
      <w:pPr>
        <w:ind w:firstLine="238"/>
      </w:pPr>
      <w:r>
        <w:rPr>
          <w:rFonts w:cs="EB Garamond"/>
          <w:kern w:val="16"/>
          <w14:ligatures w14:val="standardContextual"/>
        </w:rPr>
        <w:t xml:space="preserve">A prova de atividade especial nos JEFs segue regime particular. O PPP (Perfil Profissiográfico Previdenciário), emitido pelo empregador, é o documento-base para a comprovação da exposição a agentes nocivos. Na ausência de PPP, admite-se o LTCAT (Laudo Técnico de Condições Ambientais de Trabalho), formulários antigos (SB-40, DSS-8030, DIRBEN-8030) e, excepcionalmente, prova pericial. O juiz do JEF pode determinar a realização de perícia no local de trabalho quando os documentos são insuficientes ou contraditórios. A jurisprudência da TNU consolidou que o ruído acima de 85 dB (a partir de 19/11/2003, Decreto n. 4.882/2003) caracteriza atividade especial. Quanto ao EPI, o STF, no Tema 555 (ARE 664.335, rel. Min. Luiz Fux, j. 09/12/2014), fixou que, embora o EPI realmente capaz de neutralizar a nocividade afaste o direito à aposentadoria especial, a declaração de eficácia do EPI no PPP não descaracteriza o tempo especial na hipótese de exposição a ruído acima dos limites legais de tolerância. A ressalva específica de que o uso de EPI eficaz não descaracteriza a nocividade no caso de </w:t>
      </w:r>
      <w:r>
        <w:rPr>
          <w:rFonts w:cs="EB Garamond"/>
          <w:kern w:val="16"/>
          <w14:ligatures w14:val="standardContextual"/>
        </w:rPr>
        <w:lastRenderedPageBreak/>
        <w:t>agentes cancerígenos não decorre da tese do Tema 555, mas de orientação administrativa e jurisprudencial posterior (entre outras, a orientação do INSS e os julgados relativos aos agentes do Grupo 1 da LINACH). Adverte-se, ainda, que a caracterização do tempo especial e suas vedações foram afetadas por desenvolvimentos materiais recentes, tratados em profundidade no Cap. 8 (Aposentadoria Especial): a ADI 6.309 (j. 03/06/2026), que declarou inconstitucional a exigência de idade mínima para a aposentadoria especial, mantida, contudo, a vedação à conversão de tempo especial em comum; e o Tema 1.209/STF, relativo à atividade de vigilante. Para que o capítulo processual permaneça alinhado ao estado material da matéria, remetemos o operador àquele capítulo antes de deduzir, no JEF, pretensão fundada em tempo especial.</w:t>
      </w:r>
    </w:p>
    <w:p w14:paraId="2B696A52"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23.32 Litispendência e coisa julgada em matéria previdenciária</w:t>
      </w:r>
    </w:p>
    <w:p w14:paraId="06209DD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2C53F09D" w14:textId="77777777" w:rsidR="005A5FCC" w:rsidRDefault="00A21C81">
      <w:r>
        <w:rPr>
          <w:rFonts w:cs="EB Garamond"/>
          <w:kern w:val="16"/>
          <w14:ligatures w14:val="standardContextual"/>
        </w:rPr>
        <w:t xml:space="preserve"> litispendência e a coisa julgada em matéria previdenciária apresentam peculiaridades que decorrem da natureza continuada dos benefícios e da possibilidade de alteração do quadro fático do segurado. O juiz do JEF deve verificar, de ofício, a existência de litispendência ou coisa julgada (art. 337, § 5º, CPC/2015), determinando a extinção do processo sem resolução do mérito quando configurada (art. 485, V, CPC/2015).</w:t>
      </w:r>
    </w:p>
    <w:p w14:paraId="2B4270A8" w14:textId="77777777" w:rsidR="005A5FCC" w:rsidRDefault="00A21C81">
      <w:pPr>
        <w:ind w:firstLine="238"/>
      </w:pPr>
      <w:r>
        <w:rPr>
          <w:rFonts w:cs="EB Garamond"/>
          <w:kern w:val="16"/>
          <w14:ligatures w14:val="standardContextual"/>
        </w:rPr>
        <w:t>A litispendência ocorre quando duas ações entre as mesmas partes, com o mesmo pedido e a mesma causa de pedir, tramitam simultaneamente. Nos JEFs previdenciários, a litispendência é verificada com frequência quando o segurado ajuíza nova ação de concessão de benefício sem desistir da ação anterior, ou quando ajuíza ações em juízos diferentes (JEF e vara federal, JEF e Justiça Estadual por competência delegada). O INSS argui litispendência na contestação, e o juiz determina a extinção da ação posterior.</w:t>
      </w:r>
    </w:p>
    <w:p w14:paraId="2EE8AAA9" w14:textId="77777777" w:rsidR="005A5FCC" w:rsidRDefault="00A21C81">
      <w:pPr>
        <w:ind w:firstLine="238"/>
      </w:pPr>
      <w:r>
        <w:rPr>
          <w:rFonts w:cs="EB Garamond"/>
          <w:kern w:val="16"/>
          <w14:ligatures w14:val="standardContextual"/>
        </w:rPr>
        <w:t xml:space="preserve">A coisa julgada em matéria previdenciária opera com a cláusula rebus sic stantibus, já mencionada na seção 23.17: a sentença de improcedência faz coisa julgada sobre os fatos existentes à data do julgamento. Fatos supervenientes (agravamento de doença, aquisição de tempo de contribuição adicional, mudança de </w:t>
      </w:r>
      <w:r>
        <w:rPr>
          <w:rFonts w:cs="EB Garamond"/>
          <w:kern w:val="16"/>
          <w14:ligatures w14:val="standardContextual"/>
        </w:rPr>
        <w:lastRenderedPageBreak/>
        <w:t>critérios legais, novos documentos obtidos após a sentença) autorizam o ajuizamento de nova ação sem ofensa à coisa julgada.</w:t>
      </w:r>
    </w:p>
    <w:p w14:paraId="2EE7CFC4" w14:textId="77777777" w:rsidR="005A5FCC" w:rsidRDefault="00A21C81">
      <w:pPr>
        <w:ind w:firstLine="238"/>
      </w:pPr>
      <w:r>
        <w:rPr>
          <w:rFonts w:cs="EB Garamond"/>
          <w:kern w:val="16"/>
          <w14:ligatures w14:val="standardContextual"/>
        </w:rPr>
        <w:t>A questão da coisa julgada secundum eventum probationis surge quando a sentença de improcedência é proferida por insuficiência de provas. A doutrina e parte da jurisprudência sustentam que a sentença de improcedência por falta de provas não faz coisa julgada material, permitindo o ajuizamento de nova ação com prova complementar. A TNU, contudo, não adotou essa tese de forma ampla: o entendimento majoritário exige a demonstração de fato novo ou de prova nova para o ajuizamento de segunda ação com o mesmo pedido.</w:t>
      </w:r>
    </w:p>
    <w:tbl>
      <w:tblPr>
        <w:tblW w:w="5000" w:type="pct"/>
        <w:jc w:val="center"/>
        <w:tblLayout w:type="fixed"/>
        <w:tblLook w:val="04A0" w:firstRow="1" w:lastRow="0" w:firstColumn="1" w:lastColumn="0" w:noHBand="0" w:noVBand="1"/>
      </w:tblPr>
      <w:tblGrid>
        <w:gridCol w:w="6311"/>
      </w:tblGrid>
      <w:tr w:rsidR="005A5FCC" w14:paraId="08DC329D"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0E1A58CA" w14:textId="77777777" w:rsidR="005A5FCC" w:rsidRDefault="00A21C81">
            <w:pPr>
              <w:spacing w:after="60" w:line="240" w:lineRule="auto"/>
              <w:jc w:val="left"/>
            </w:pPr>
            <w:r>
              <w:rPr>
                <w:rFonts w:ascii="Noto Sans" w:hAnsi="Noto Sans" w:cs="Noto Sans"/>
                <w:b/>
                <w:caps/>
                <w:color w:val="B78B37"/>
                <w:kern w:val="16"/>
                <w:sz w:val="16"/>
                <w14:ligatures w14:val="standardContextual"/>
              </w:rPr>
              <w:t>ATENÇÃO</w:t>
            </w:r>
          </w:p>
          <w:p w14:paraId="23CCF4E8" w14:textId="77777777" w:rsidR="005A5FCC" w:rsidRDefault="00A21C81">
            <w:pPr>
              <w:spacing w:after="60" w:line="247" w:lineRule="auto"/>
            </w:pPr>
            <w:r>
              <w:rPr>
                <w:rFonts w:cs="EB Garamond"/>
                <w:kern w:val="16"/>
                <w:sz w:val="19"/>
                <w14:ligatures w14:val="standardContextual"/>
              </w:rPr>
              <w:t>A verificação de litispendência e coisa julgada nos JEFs previdenciários exige atenção a detalhes que podem passar despercebidos. O mesmo segurado pode ter ações de benefícios diferentes tramitando simultaneamente (ação de aposentadoria e ação de auxílio por incapacidade), sem que se configure litispendência (pedidos distintos). Pode, porém, ter duas ações com o mesmo pedido em juízos diferentes (JEF do domicílio e JEF do local do trabalho), caso em que a litispendência é configurada. O advogado deve consultar o sistema de acompanhamento processual antes de ajuizar nova ação, verificando a existência de processos anteriores com o mesmo objeto. A extinção por litispendência ou coisa julgada não impede o ajuizamento de nova ação quando demonstrada a alteração do quadro fático.</w:t>
            </w:r>
          </w:p>
        </w:tc>
      </w:tr>
    </w:tbl>
    <w:p w14:paraId="028E6BB5" w14:textId="77777777" w:rsidR="005A5FCC" w:rsidRDefault="005A5FCC">
      <w:pPr>
        <w:spacing w:after="80" w:line="240" w:lineRule="auto"/>
      </w:pPr>
    </w:p>
    <w:p w14:paraId="2CC6BAD9"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23.33 Cumulação de pedidos no JEF</w:t>
      </w:r>
    </w:p>
    <w:p w14:paraId="5EFAE43C"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5A12B4A0" w14:textId="25D8E6B4" w:rsidR="005A5FCC" w:rsidRDefault="00A21C81">
      <w:r>
        <w:rPr>
          <w:rFonts w:cs="EB Garamond"/>
          <w:kern w:val="16"/>
          <w14:ligatures w14:val="standardContextual"/>
        </w:rPr>
        <w:t xml:space="preserve"> cumulação de pedidos no JEF é admitida, desde que observado o limite de competência em razão do valor. O art. 15, caput, da Lei n. 9.099/95, aplicável subsidiariamente, permite a cumulação de pedidos quando o valor total não exceder o teto de competência do juizado. Nos JEFs, a soma dos pedidos cumulados não pode ultrapassar 60 </w:t>
      </w:r>
      <w:r w:rsidR="00460E75">
        <w:rPr>
          <w:rFonts w:cs="EB Garamond"/>
          <w:kern w:val="16"/>
          <w14:ligatures w14:val="standardContextual"/>
        </w:rPr>
        <w:t>salários-mínimos</w:t>
      </w:r>
      <w:r>
        <w:rPr>
          <w:rFonts w:cs="EB Garamond"/>
          <w:kern w:val="16"/>
          <w14:ligatures w14:val="standardContextual"/>
        </w:rPr>
        <w:t xml:space="preserve"> (art. 3º, caput, da Lei n. 10.259/2001).</w:t>
      </w:r>
    </w:p>
    <w:p w14:paraId="1AA84E5F" w14:textId="77777777" w:rsidR="005A5FCC" w:rsidRDefault="00A21C81">
      <w:pPr>
        <w:ind w:firstLine="238"/>
      </w:pPr>
      <w:r>
        <w:rPr>
          <w:rFonts w:cs="EB Garamond"/>
          <w:kern w:val="16"/>
          <w14:ligatures w14:val="standardContextual"/>
        </w:rPr>
        <w:lastRenderedPageBreak/>
        <w:t>A cumulação mais frequente nas ações previdenciárias é a de pedido de concessão de benefício com pedido de pagamento de atrasados. Trata-se de cumulação natural: o pedido de concessão gera, como consequência, o pagamento das parcelas vencidas. Outras formas de cumulação incluem: (a) concessão de benefício e tutela antecipada; (b) reconhecimento de tempo especial e concessão de aposentadoria; (c) reconhecimento de tempo rural e concessão de aposentadoria por idade; (d) revisão de benefício e pagamento de diferenças.</w:t>
      </w:r>
    </w:p>
    <w:p w14:paraId="45D349BC" w14:textId="77777777" w:rsidR="005A5FCC" w:rsidRDefault="00A21C81">
      <w:pPr>
        <w:ind w:firstLine="238"/>
      </w:pPr>
      <w:r>
        <w:rPr>
          <w:rFonts w:cs="EB Garamond"/>
          <w:kern w:val="16"/>
          <w14:ligatures w14:val="standardContextual"/>
        </w:rPr>
        <w:t>A cumulação de pedidos contra réus distintos (litisconsórcio passivo) é restrita nos JEFs. O art. 10 da Lei n. 9.099/95, aplicável subsidiariamente, veda a intervenção de terceiros, exceto o litisconsórcio. A cumulação de pedidos contra o INSS e contra empregador (reconhecimento de vínculo empregatício e concessão de benefício, por exemplo) é admitida quando o empregador aceita a jurisdição do JEF. Na prática, a cumulação com empregador é rara, pois o empregador geralmente não é parte nas ações previdenciárias dos JEFs.</w:t>
      </w:r>
    </w:p>
    <w:p w14:paraId="55C0861D" w14:textId="77777777" w:rsidR="005A5FCC" w:rsidRDefault="00A21C81">
      <w:pPr>
        <w:ind w:firstLine="238"/>
      </w:pPr>
      <w:r>
        <w:rPr>
          <w:rFonts w:cs="EB Garamond"/>
          <w:kern w:val="16"/>
          <w14:ligatures w14:val="standardContextual"/>
        </w:rPr>
        <w:t>A cumulação imprópria (pedidos alternativos ou subsidiários) é admitida. O segurado pode formular pedido principal de aposentadoria por tempo de contribuição e, subsidiariamente, pedido de aposentadoria por idade, caso o juiz entenda que os requisitos da primeira não estão preenchidos. A cumulação subsidiária é instrumento processual relevante em termos operacionais, pois permite ao juiz conceder o benefício mais adequado sem necessidade de novo processo.</w:t>
      </w:r>
    </w:p>
    <w:p w14:paraId="55E5F80D"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23.34 Incidente de uniformização ao STJ</w:t>
      </w:r>
    </w:p>
    <w:p w14:paraId="7269EBAD"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64834DB2" w14:textId="77777777" w:rsidR="005A5FCC" w:rsidRDefault="00A21C81">
      <w:r>
        <w:rPr>
          <w:rFonts w:cs="EB Garamond"/>
          <w:kern w:val="16"/>
          <w14:ligatures w14:val="standardContextual"/>
        </w:rPr>
        <w:t xml:space="preserve"> incidente de uniformização ao STJ é a via recursal que permite ao Superior Tribunal de Justiça controlar a jurisprudência da TNU quando esta contrariar súmula ou jurisprudência dominante do STJ. O art. 14, § 4º, da Lei n. 10.259/2001 prevê que, quando a orientação da TNU contrariar súmula ou jurisprudência dominante do STJ, a parte interessada pode provocar o incidente de uniformização.</w:t>
      </w:r>
    </w:p>
    <w:p w14:paraId="1C489DA0" w14:textId="77777777" w:rsidR="005A5FCC" w:rsidRDefault="00A21C81">
      <w:pPr>
        <w:ind w:firstLine="238"/>
      </w:pPr>
      <w:r>
        <w:rPr>
          <w:rFonts w:cs="EB Garamond"/>
          <w:kern w:val="16"/>
          <w14:ligatures w14:val="standardContextual"/>
        </w:rPr>
        <w:lastRenderedPageBreak/>
        <w:t>O processamento do incidente foi regulamentado pela Resolução STJ n. 12/2009. O pedido é dirigido ao presidente da TNU, que verifica a admissibilidade e encaminha ao STJ. O relator no STJ pode admitir ou negar seguimento ao incidente, e, se admitido, o julgamento é feito pela Seção competente do STJ.</w:t>
      </w:r>
    </w:p>
    <w:p w14:paraId="28D3D58C" w14:textId="77777777" w:rsidR="005A5FCC" w:rsidRDefault="00A21C81">
      <w:pPr>
        <w:ind w:firstLine="238"/>
      </w:pPr>
      <w:r>
        <w:rPr>
          <w:rFonts w:cs="EB Garamond"/>
          <w:kern w:val="16"/>
          <w14:ligatures w14:val="standardContextual"/>
        </w:rPr>
        <w:t>O incidente de uniformização ao STJ não se confunde com a reclamação constitucional (art. 105, I, f, CF/88, incluído pela EC n. 45/2004) nem com a reclamação prevista na Resolução STJ n. 12/2009. A reclamação ao STJ é cabível quando a Turma Recursal ou a TNU contrariar súmula do STJ, e constitui via processual autônoma, com rito próprio. Na prática, a reclamação é mais utilizada do que o incidente de uniformização, pela maior agilidade processual.</w:t>
      </w:r>
    </w:p>
    <w:p w14:paraId="61B42E34" w14:textId="77777777" w:rsidR="005A5FCC" w:rsidRDefault="00A21C81">
      <w:pPr>
        <w:ind w:firstLine="238"/>
      </w:pPr>
      <w:r>
        <w:rPr>
          <w:rFonts w:cs="EB Garamond"/>
          <w:kern w:val="16"/>
          <w14:ligatures w14:val="standardContextual"/>
        </w:rPr>
        <w:t>A relevância do incidente de uniformização ao STJ para o direito previdenciário reside na possibilidade de o STJ fixar orientação vinculante sobre temas previdenciários decididos no âmbito dos juizados. Diversas teses previdenciárias relevantes foram definidas nessa via: critérios para a comprovação de atividade rural, parâmetros para avaliação da incapacidade, aplicação de fatores de conversão de tempo especial, entre outras. O advogado previdenciarista deve acompanhar os julgamentos do STJ em sede de incidente de uniformização, pois suas decisões vinculam a TNU e, por extensão, as Turmas Recursais de todo o País.</w:t>
      </w:r>
    </w:p>
    <w:p w14:paraId="585D72A1"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23.35 Ação rescisória e querela nullitatis no microssistema dos JEFs</w:t>
      </w:r>
    </w:p>
    <w:p w14:paraId="1403805A"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655FCBD1" w14:textId="77777777" w:rsidR="005A5FCC" w:rsidRDefault="00A21C81">
      <w:r>
        <w:rPr>
          <w:rFonts w:cs="EB Garamond"/>
          <w:kern w:val="16"/>
          <w14:ligatures w14:val="standardContextual"/>
        </w:rPr>
        <w:t xml:space="preserve"> ação rescisória não é cabível no microssistema dos JEFs, descabimento que o FONAJEF também sufraga em enunciado próprio. A vedação decorre da ausência de órgão jurisdicional competente para processar e julgar a ação rescisória no âmbito dos juizados: as Turmas Recursais não exercem competência originária para esse tipo de ação, e o TRF não tem competência sobre os JEFs em grau recursal.</w:t>
      </w:r>
    </w:p>
    <w:p w14:paraId="271B09F0" w14:textId="77777777" w:rsidR="005A5FCC" w:rsidRDefault="00A21C81">
      <w:pPr>
        <w:ind w:firstLine="238"/>
      </w:pPr>
      <w:r>
        <w:rPr>
          <w:rFonts w:cs="EB Garamond"/>
          <w:kern w:val="16"/>
          <w14:ligatures w14:val="standardContextual"/>
        </w:rPr>
        <w:t xml:space="preserve">A inexistência de ação rescisória nos JEFs gera questão relevante sobre a imutabilidade das decisões. Sentenças proferidas nos JEFs transitam em julgado sem possibilidade de revisão pela via rescisória, mesmo quando eivadas de erro de fato, erro de direito, prova nova ou violação literal de disposição de lei. A limitação é </w:t>
      </w:r>
      <w:r>
        <w:rPr>
          <w:rFonts w:cs="EB Garamond"/>
          <w:kern w:val="16"/>
          <w14:ligatures w14:val="standardContextual"/>
        </w:rPr>
        <w:lastRenderedPageBreak/>
        <w:t>compensada pela cláusula rebus sic stantibus (possibilidade de nova ação com base em fatos supervenientes) e pelo manejo da querela nullitatis.</w:t>
      </w:r>
    </w:p>
    <w:p w14:paraId="5358FD13" w14:textId="77777777" w:rsidR="005A5FCC" w:rsidRDefault="00A21C81">
      <w:pPr>
        <w:ind w:firstLine="238"/>
      </w:pPr>
      <w:r>
        <w:rPr>
          <w:rFonts w:cs="EB Garamond"/>
          <w:kern w:val="16"/>
          <w14:ligatures w14:val="standardContextual"/>
        </w:rPr>
        <w:t>A querela nullitatis é admitida nos JEFs como sucedâneo da ação rescisória nos casos de vícios transrescisórios. Para a natureza jurídica e os fundamentos da querela nullitatis em matéria previdenciária, ver Cap. 21, §21.19. O exemplo mais relevante na prática dos JEFs é a citação nula ou inexistente: se o INSS não foi citado e a sentença foi proferida à revelia, a querela nullitatis pode ser ajuizada a qualquer tempo, sem prazo decadencial.</w:t>
      </w:r>
    </w:p>
    <w:p w14:paraId="17F1A748" w14:textId="77777777" w:rsidR="005A5FCC" w:rsidRDefault="00A21C81">
      <w:pPr>
        <w:ind w:firstLine="238"/>
      </w:pPr>
      <w:r>
        <w:rPr>
          <w:rFonts w:cs="EB Garamond"/>
          <w:kern w:val="16"/>
          <w14:ligatures w14:val="standardContextual"/>
        </w:rPr>
        <w:t>A competência para processar a querela nullitatis no âmbito dos JEFs é controversa. Parte da jurisprudência atribui a competência ao próprio JEF que proferiu a sentença; outra parte sustenta que a competência é da vara federal comum (já que a querela nullitatis é ação autônoma, não recurso interno do JEF). A tendência predominante nos TRFs é reconhecer a competência do JEF para processar a querela, por aplicação do princípio da simetria e por economia processual.</w:t>
      </w:r>
    </w:p>
    <w:p w14:paraId="2CAB45C8"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23.36 Procedimentos específicos do BPC/LOAS no JEF</w:t>
      </w:r>
    </w:p>
    <w:p w14:paraId="41A0CE37"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5113F589" w14:textId="77777777" w:rsidR="005A5FCC" w:rsidRDefault="00A21C81">
      <w:r>
        <w:rPr>
          <w:rFonts w:cs="EB Garamond"/>
          <w:kern w:val="16"/>
          <w14:ligatures w14:val="standardContextual"/>
        </w:rPr>
        <w:t xml:space="preserve"> Benefício de Prestação Continuada (BPC), previsto no art. 20 da Lei n. 8.742/93 (LOAS), segue, nos JEFs, procedimento que guarda particularidades em relação às demais ações previdenciárias. Embora o BPC não seja benefício previdenciário em sentido estrito (é benefício assistencial, que independe de contribuição), as ações de concessão de BPC são processadas nos JEFs por força da competência federal (art. 109, I, CF/88), pois o INSS é o órgão responsável pela concessão e manutenção do benefício.</w:t>
      </w:r>
    </w:p>
    <w:p w14:paraId="05BF75A5" w14:textId="77777777" w:rsidR="005A5FCC" w:rsidRDefault="00A21C81">
      <w:pPr>
        <w:ind w:firstLine="238"/>
      </w:pPr>
      <w:r>
        <w:rPr>
          <w:rFonts w:cs="EB Garamond"/>
          <w:kern w:val="16"/>
          <w14:ligatures w14:val="standardContextual"/>
        </w:rPr>
        <w:t>Quanto à prova da deficiência, o BPC por deficiência exige comprovação de impedimento de longo prazo, avaliado pelo modelo biopsicossocial (Cap. 18, §§18.6-18.7). Nos JEFs, a perícia judicial deve reproduzir esse modelo, avaliando não apenas a condição clínica, mas o impacto das barreiras sociais, ambientais e atitudinais na participação plena do requerente na sociedade. A composição da equipe pericial (médico e assistente social) e a formulação dos quesitos devem refletir essa perspectiva ampliada.</w:t>
      </w:r>
    </w:p>
    <w:p w14:paraId="1D10EB7F" w14:textId="77777777" w:rsidR="005A5FCC" w:rsidRDefault="00A21C81">
      <w:pPr>
        <w:ind w:firstLine="238"/>
      </w:pPr>
      <w:r>
        <w:rPr>
          <w:rFonts w:cs="EB Garamond"/>
          <w:kern w:val="16"/>
          <w14:ligatures w14:val="standardContextual"/>
        </w:rPr>
        <w:lastRenderedPageBreak/>
        <w:t>No tocante à comprovação da miserabilidade, o critério rígido de 1/4 do salário mínimo foi flexibilizado pela jurisprudência do STF (Tema 27/RE 567.985 e Tema 312/RE 580.963), admitindo-se outros meios de demonstração da vulnerabilidade socioeconômica — matéria cujo aprofundamento consta do Cap. 18, §§18.9-18.10. No recorte processual que interessa a este capítulo, o juiz do JEF determina a realização de estudo social por assistente social da Justiça Federal ou do INSS, que examina as condições reais de vida, moradia, saúde e renda familiar.</w:t>
      </w:r>
    </w:p>
    <w:tbl>
      <w:tblPr>
        <w:tblW w:w="5000" w:type="pct"/>
        <w:jc w:val="center"/>
        <w:tblLayout w:type="fixed"/>
        <w:tblLook w:val="04A0" w:firstRow="1" w:lastRow="0" w:firstColumn="1" w:lastColumn="0" w:noHBand="0" w:noVBand="1"/>
      </w:tblPr>
      <w:tblGrid>
        <w:gridCol w:w="6311"/>
      </w:tblGrid>
      <w:tr w:rsidR="005A5FCC" w14:paraId="275643C9"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2D273597" w14:textId="77777777" w:rsidR="005A5FCC" w:rsidRDefault="00A21C81">
            <w:pPr>
              <w:spacing w:after="60" w:line="240" w:lineRule="auto"/>
              <w:jc w:val="left"/>
            </w:pPr>
            <w:r>
              <w:rPr>
                <w:rFonts w:ascii="Noto Sans" w:hAnsi="Noto Sans" w:cs="Noto Sans"/>
                <w:b/>
                <w:caps/>
                <w:color w:val="6E8563"/>
                <w:kern w:val="16"/>
                <w:sz w:val="16"/>
                <w14:ligatures w14:val="standardContextual"/>
              </w:rPr>
              <w:t>NA PRÁTICA</w:t>
            </w:r>
          </w:p>
          <w:p w14:paraId="543F9C26" w14:textId="77777777" w:rsidR="005A5FCC" w:rsidRDefault="00A21C81">
            <w:pPr>
              <w:spacing w:after="60" w:line="247" w:lineRule="auto"/>
            </w:pPr>
            <w:r>
              <w:rPr>
                <w:rFonts w:cs="EB Garamond"/>
                <w:kern w:val="16"/>
                <w:sz w:val="19"/>
                <w14:ligatures w14:val="standardContextual"/>
              </w:rPr>
              <w:t>Nas ações de BPC no JEF, recomenda-se requerer: (a) perícia médica para avaliação da deficiência ou incapacidade, com avaliação biopsicossocial; (b) estudo social para avaliação da miserabilidade; (c) juntada do processo administrativo do INSS, que contém a avaliação realizada pela autarquia na via administrativa. Os quesitos periciais devem abordar o tipo e o grau de impedimento, a duração prevista (se superior a dois anos), o impacto nas atividades da vida diária e a existência de barreiras à participação social. O estudo social deve examinar a composição familiar, a renda de cada membro, as despesas com moradia, alimentação, medicamentos e tratamentos de saúde, e as condições habitacionais da família. A complementaridade entre perícia médica e estudo social é essencial para a correta avaliação do direito ao BPC.</w:t>
            </w:r>
          </w:p>
        </w:tc>
      </w:tr>
    </w:tbl>
    <w:p w14:paraId="337331AA" w14:textId="77777777" w:rsidR="005A5FCC" w:rsidRDefault="005A5FCC">
      <w:pPr>
        <w:spacing w:after="80" w:line="240" w:lineRule="auto"/>
      </w:pPr>
    </w:p>
    <w:p w14:paraId="654510B6"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H</w:t>
      </w:r>
    </w:p>
    <w:p w14:paraId="259EFAAC" w14:textId="49C595D7" w:rsidR="005A5FCC" w:rsidRDefault="00A21C81">
      <w:r>
        <w:rPr>
          <w:rFonts w:cs="EB Garamond"/>
          <w:kern w:val="16"/>
          <w14:ligatures w14:val="standardContextual"/>
        </w:rPr>
        <w:t xml:space="preserve">á, por fim, o critério de exclusão de renda familiar. O art. 20, § 14, da LOAS (incluído pela Lei n. 14.176/2021) prevê que devem ser excluídos do cálculo da renda per capita: benefícios assistenciais de outros membros da família, benefícios previdenciários de até um </w:t>
      </w:r>
      <w:r w:rsidR="00460E75">
        <w:rPr>
          <w:rFonts w:cs="EB Garamond"/>
          <w:kern w:val="16"/>
          <w14:ligatures w14:val="standardContextual"/>
        </w:rPr>
        <w:t>salário-mínimo</w:t>
      </w:r>
      <w:r>
        <w:rPr>
          <w:rFonts w:cs="EB Garamond"/>
          <w:kern w:val="16"/>
          <w14:ligatures w14:val="standardContextual"/>
        </w:rPr>
        <w:t xml:space="preserve"> recebidos por idoso (65 anos ou mais), e o BPC concedido a outro membro da família. A exclusão evita que a concessão de um BPC inviabilize o reconhecimento do direito de outro membro da mesma família. Nos JEFs, o juiz deve aplicar esses critérios de exclusão de ofício, ainda que o autor não os invoque na inicial, por tratar-se de matéria de ordem pública.</w:t>
      </w:r>
    </w:p>
    <w:p w14:paraId="5F03692E"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23.37 Recurso extraordinário ao STF em matéria dos JEFs</w:t>
      </w:r>
    </w:p>
    <w:p w14:paraId="20E6FB9B"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O</w:t>
      </w:r>
    </w:p>
    <w:p w14:paraId="584F2061" w14:textId="77777777" w:rsidR="005A5FCC" w:rsidRDefault="00A21C81">
      <w:r>
        <w:rPr>
          <w:rFonts w:cs="EB Garamond"/>
          <w:kern w:val="16"/>
          <w14:ligatures w14:val="standardContextual"/>
        </w:rPr>
        <w:t xml:space="preserve"> recurso extraordinário ao STF é cabível contra decisões dos JEFs que contrariem dispositivo da Constituição Federal (art. 102, III, CF/88). Diferentemente do recurso especial ao STJ (vedado pela Súmula 203/STJ), o recurso extraordinário constitui via recursal aberta no microssistema dos juizados, pois o STF exerce jurisdição constitucional sobre todos os órgãos do Judiciário, inclusive sobre as Turmas Recursais dos JEFs.</w:t>
      </w:r>
    </w:p>
    <w:p w14:paraId="6E9A167B" w14:textId="77777777" w:rsidR="005A5FCC" w:rsidRDefault="00A21C81">
      <w:pPr>
        <w:ind w:firstLine="238"/>
      </w:pPr>
      <w:r>
        <w:rPr>
          <w:rFonts w:cs="EB Garamond"/>
          <w:kern w:val="16"/>
          <w14:ligatures w14:val="standardContextual"/>
        </w:rPr>
        <w:t>O cabimento do recurso extraordinário contra decisões de Turmas Recursais foi pacificado pelo STF, que reconheceu sua competência para processar e julgar RE oriundo dos juizados especiais. A exigência de repercussão geral (art. 102, § 3º, CF/88) aplica-se integralmente: o recurso extraordinário somente é admitido quando a questão constitucional ultrapassar os interesses subjetivos da causa e possuir relevância econômica, política, social ou jurídica.</w:t>
      </w:r>
    </w:p>
    <w:p w14:paraId="285D6672" w14:textId="77777777" w:rsidR="005A5FCC" w:rsidRDefault="00A21C81">
      <w:pPr>
        <w:ind w:firstLine="238"/>
      </w:pPr>
      <w:r>
        <w:rPr>
          <w:rFonts w:cs="EB Garamond"/>
          <w:kern w:val="16"/>
          <w14:ligatures w14:val="standardContextual"/>
        </w:rPr>
        <w:t>Na prática previdenciária, o recurso extraordinário é utilizado para questionar a constitucionalidade de normas previdenciárias aplicadas pelas Turmas Recursais, a violação de direitos fundamentais (devido processo legal, contraditório, ampla defesa) ou a contrariedade a teses fixadas pelo STF em repercussão geral. Os Temas de repercussão geral com incidência direta nos JEFs previdenciários são numerosos: Tema 350 (prévio requerimento administrativo), Tema 1.277 (competência absoluta dos JEFs), Tema 810 (correção monetária e juros contra a Fazenda), entre outros.</w:t>
      </w:r>
    </w:p>
    <w:p w14:paraId="222FDD56" w14:textId="77777777" w:rsidR="005A5FCC" w:rsidRDefault="00A21C81">
      <w:pPr>
        <w:ind w:firstLine="238"/>
      </w:pPr>
      <w:r>
        <w:rPr>
          <w:rFonts w:cs="EB Garamond"/>
          <w:kern w:val="16"/>
          <w14:ligatures w14:val="standardContextual"/>
        </w:rPr>
        <w:t>A interposição do recurso extraordinário nos JEFs é dirigida ao presidente da Turma Recursal, que realiza o juízo de admissibilidade. A negativa de seguimento pode ser impugnada por agravo ao STF (art. 1.042, CPC/2015). O regime de repercussão geral permite que o STF determine a suspensão de processos com a mesma questão constitucional em todos os JEFs do País, com efeito multiplicador da decisão de mérito.</w:t>
      </w:r>
    </w:p>
    <w:p w14:paraId="214AEF61"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lastRenderedPageBreak/>
        <w:t>23.38 Correção monetária, juros e atualização das condenações</w:t>
      </w:r>
    </w:p>
    <w:p w14:paraId="52CE2C7C"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4A8D7F7E" w14:textId="77777777" w:rsidR="005A5FCC" w:rsidRDefault="00A21C81">
      <w:r>
        <w:rPr>
          <w:rFonts w:cs="EB Garamond"/>
          <w:kern w:val="16"/>
          <w14:ligatures w14:val="standardContextual"/>
        </w:rPr>
        <w:t xml:space="preserve"> correção monetária e os juros de mora nas condenações previdenciárias dos JEFs seguem regime que sofreu alterações significativas ao longo do tempo. O conhecimento dos critérios de atualização é indispensável para o advogado previdenciarista, tanto na fase de conhecimento (para requerer a correta fixação na sentença) quanto na fase de liquidação (para conferir os cálculos da Contadoria).</w:t>
      </w:r>
    </w:p>
    <w:p w14:paraId="3160D493" w14:textId="77777777" w:rsidR="005A5FCC" w:rsidRDefault="00A21C81">
      <w:pPr>
        <w:ind w:firstLine="238"/>
      </w:pPr>
      <w:r>
        <w:rPr>
          <w:rFonts w:cs="EB Garamond"/>
          <w:kern w:val="16"/>
          <w14:ligatures w14:val="standardContextual"/>
        </w:rPr>
        <w:t>O regime anterior à EC n. 113/2021 distinguia correção monetária e juros de mora. A correção monetária seguia o INPC (art. 41-A da Lei n. 8.213/91), e os juros de mora variavam conforme o período: 1% ao mês (até 29/06/2009), seguidos da aplicação dos juros de caderneta de poupança (art. 1º-F da Lei n. 9.494/97, com redação dada pela Lei n. 11.960/2009, no que validado pelo STF no Tema 810, RE 870.947). A aplicação da TR (Taxa Referencial) como índice de correção monetária foi declarada inconstitucional pelo STF no Tema 810, mantendo-se o INPC para benefícios previdenciários.</w:t>
      </w:r>
    </w:p>
    <w:p w14:paraId="6AC7D009" w14:textId="77777777" w:rsidR="005A5FCC" w:rsidRDefault="00A21C81">
      <w:pPr>
        <w:ind w:firstLine="238"/>
      </w:pPr>
      <w:r>
        <w:rPr>
          <w:rFonts w:cs="EB Garamond"/>
          <w:kern w:val="16"/>
          <w14:ligatures w14:val="standardContextual"/>
        </w:rPr>
        <w:t>A EC n. 113/2021 (art. 3º) unificou o regime de atualização das condenações contra a Fazenda Pública. A partir de 09/12/2021 (data de publicação da emenda), aplica-se exclusivamente a taxa SELIC, que engloba, em índice único, tanto a correção monetária quanto os juros de mora. A unificação simplificou o cálculo, eliminando a necessidade de apuração separada de correção e juros. A SELIC incide sobre o valor principal da condenação e é acumulada de forma simples — pela soma dos índices mensais, sem capitalização (juros sobre juros) —, desde o vencimento de cada parcela até o efetivo pagamento. Por abranger correção e juros em um só percentual, a SELIC não se soma a qualquer outro índice de atualização no mesmo período, sob pena de bis in idem; e, como detalhado adiante nesta seção quanto ao Tema 1.335/STF, deixa de incidir durante o prazo constitucional de pagamento do precatório, intervalo em que o crédito sofre exclusivamente correção monetária.</w:t>
      </w:r>
    </w:p>
    <w:p w14:paraId="0E84D1CC" w14:textId="77777777" w:rsidR="005A5FCC" w:rsidRDefault="00A21C81">
      <w:pPr>
        <w:ind w:firstLine="238"/>
      </w:pPr>
      <w:r>
        <w:rPr>
          <w:rFonts w:cs="EB Garamond"/>
          <w:kern w:val="16"/>
          <w14:ligatures w14:val="standardContextual"/>
        </w:rPr>
        <w:t xml:space="preserve">Registramos, ainda, em nota de acompanhamento, que o regime de precatórios do art. 100 da CF/88 permanece sob intensa atividade reformadora, com </w:t>
      </w:r>
      <w:r>
        <w:rPr>
          <w:rFonts w:cs="EB Garamond"/>
          <w:kern w:val="16"/>
          <w14:ligatures w14:val="standardContextual"/>
        </w:rPr>
        <w:lastRenderedPageBreak/>
        <w:t>propostas de emenda constitucional em tramitação voltadas a rever regras de atualização, prazos de pagamento e critérios de compensação. Eventuais alterações supervenientes ao fechamento desta edição — cujo número, data de promulgação e dispositivos efetivamente modificados devem ser conferidos pelo operador no texto constitucional consolidado vigente na data de expedição da requisição — terão potencial impacto direto na correção e no pagamento de condenações previdenciárias. A interação entre a EC n. 113/2021 (SELIC para condenações judiciais) e qualquer reforma futura do regime de precatórios deverá ser acompanhada pela jurisprudência do STF, que poderá fixar teses sobre a aplicação conjunta das normas. O advogado previdenciarista deve atentar tanto para as emendas constitucionais que venham a ser promulgadas quanto para eventuais decisões do STF em controle concentrado ou em repercussão geral que disciplinem a matéria de forma vinculante.</w:t>
      </w:r>
    </w:p>
    <w:p w14:paraId="18714193" w14:textId="00EBE2BA" w:rsidR="005A5FCC" w:rsidRDefault="00A21C81">
      <w:pPr>
        <w:ind w:firstLine="238"/>
      </w:pPr>
      <w:r>
        <w:rPr>
          <w:rFonts w:cs="EB Garamond"/>
          <w:kern w:val="16"/>
          <w14:ligatures w14:val="standardContextual"/>
        </w:rPr>
        <w:t xml:space="preserve">A incidência da SELIC sobre o crédito inscrito em precatório, contudo, encontra limite temporal relevante fixado pelo STF. Embora a EC n. 113/2021 tenha unificado correção e juros na taxa SELIC para as condenações contra a Fazenda Pública, o Supremo, no julgamento do Tema 1.335 (RE 1.515.163), definiu que essa taxa não incide durante o prazo constitucional de pagamento do precatório — o denominado "período de graça" do art. 100, § 5º, da CF/88, intervalo que medeia a inscrição do precatório (até 2 de abril) e o pagamento até o final do exercício seguinte. Nesse interregno, o valor inscrito em precatório sofre exclusivamente correção monetária, sem juros e sem SELIC, pois o ente público ainda não está em mora. A distinção tem efeito prático direto na conferência dos cálculos: o crédito previdenciário superior a 60 </w:t>
      </w:r>
      <w:r w:rsidR="00460E75">
        <w:rPr>
          <w:rFonts w:cs="EB Garamond"/>
          <w:kern w:val="16"/>
          <w14:ligatures w14:val="standardContextual"/>
        </w:rPr>
        <w:t>salários-mínimos</w:t>
      </w:r>
      <w:r>
        <w:rPr>
          <w:rFonts w:cs="EB Garamond"/>
          <w:kern w:val="16"/>
          <w14:ligatures w14:val="standardContextual"/>
        </w:rPr>
        <w:t>, pago por precatório, acumula SELIC apenas até a inscrição; a partir daí, e até o vencimento do prazo de pagamento, incide tão somente correção monetária; eventual atraso no pagamento além do prazo constitucional reabre a fluência de encargos moratórios.</w:t>
      </w:r>
    </w:p>
    <w:tbl>
      <w:tblPr>
        <w:tblW w:w="5000" w:type="pct"/>
        <w:jc w:val="center"/>
        <w:tblLayout w:type="fixed"/>
        <w:tblLook w:val="04A0" w:firstRow="1" w:lastRow="0" w:firstColumn="1" w:lastColumn="0" w:noHBand="0" w:noVBand="1"/>
      </w:tblPr>
      <w:tblGrid>
        <w:gridCol w:w="6311"/>
      </w:tblGrid>
      <w:tr w:rsidR="005A5FCC" w14:paraId="0D291116" w14:textId="77777777">
        <w:trPr>
          <w:cantSplit/>
          <w:jc w:val="center"/>
        </w:trPr>
        <w:tc>
          <w:tcPr>
            <w:tcW w:w="6350" w:type="dxa"/>
            <w:tcBorders>
              <w:top w:val="single" w:sz="7" w:space="0" w:color="D2C9B8"/>
              <w:left w:val="single" w:sz="24" w:space="0" w:color="B78B37"/>
              <w:bottom w:val="single" w:sz="7" w:space="0" w:color="D2C9B8"/>
              <w:right w:val="single" w:sz="7" w:space="0" w:color="D2C9B8"/>
            </w:tcBorders>
            <w:shd w:val="clear" w:color="auto" w:fill="F7F1E6"/>
            <w:tcMar>
              <w:top w:w="150" w:type="dxa"/>
              <w:left w:w="220" w:type="dxa"/>
              <w:bottom w:w="150" w:type="dxa"/>
              <w:right w:w="180" w:type="dxa"/>
            </w:tcMar>
          </w:tcPr>
          <w:p w14:paraId="4BED5C4C" w14:textId="77777777" w:rsidR="005A5FCC" w:rsidRDefault="00A21C81">
            <w:pPr>
              <w:spacing w:after="60" w:line="240" w:lineRule="auto"/>
              <w:jc w:val="left"/>
            </w:pPr>
            <w:r>
              <w:rPr>
                <w:rFonts w:ascii="Noto Sans" w:hAnsi="Noto Sans" w:cs="Noto Sans"/>
                <w:b/>
                <w:caps/>
                <w:color w:val="B78B37"/>
                <w:kern w:val="16"/>
                <w:sz w:val="16"/>
                <w14:ligatures w14:val="standardContextual"/>
              </w:rPr>
              <w:lastRenderedPageBreak/>
              <w:t>ATENÇÃO</w:t>
            </w:r>
          </w:p>
          <w:p w14:paraId="6BFABCC7" w14:textId="77777777" w:rsidR="005A5FCC" w:rsidRDefault="00A21C81">
            <w:pPr>
              <w:spacing w:after="60" w:line="247" w:lineRule="auto"/>
            </w:pPr>
            <w:r>
              <w:rPr>
                <w:rFonts w:cs="EB Garamond"/>
                <w:kern w:val="16"/>
                <w:sz w:val="19"/>
                <w14:ligatures w14:val="standardContextual"/>
              </w:rPr>
              <w:t>O "período de graça" do Tema 1.335/STF é o prazo constitucional de pagamento do precatório (art. 100, § 5º, CF/88), instituto de direito financeiro, e não se confunde com o período de graça previdenciário do art. 15 da Lei n. 8.213/91, que prorroga a qualidade de segurado após a cessação das contribuições. A coincidência de nomenclatura não autoriza qualquer transposição entre os institutos: um diz respeito ao intervalo em que a Fazenda pode quitar o precatório sem incidir em mora; o outro, à manutenção da condição de segurado para fins de cobertura previdenciária. O advogado deve evitar a confusão ao deduzir cálculos ou teses, sob pena de erro material na liquidação.</w:t>
            </w:r>
          </w:p>
        </w:tc>
      </w:tr>
    </w:tbl>
    <w:p w14:paraId="7B8136F4" w14:textId="77777777" w:rsidR="005A5FCC" w:rsidRDefault="005A5FCC">
      <w:pPr>
        <w:spacing w:after="80" w:line="240" w:lineRule="auto"/>
      </w:pPr>
    </w:p>
    <w:tbl>
      <w:tblPr>
        <w:tblW w:w="5000" w:type="pct"/>
        <w:jc w:val="center"/>
        <w:tblLayout w:type="fixed"/>
        <w:tblLook w:val="04A0" w:firstRow="1" w:lastRow="0" w:firstColumn="1" w:lastColumn="0" w:noHBand="0" w:noVBand="1"/>
      </w:tblPr>
      <w:tblGrid>
        <w:gridCol w:w="6311"/>
      </w:tblGrid>
      <w:tr w:rsidR="005A5FCC" w14:paraId="3F1A7613" w14:textId="77777777">
        <w:trPr>
          <w:cantSplit/>
          <w:jc w:val="center"/>
        </w:trPr>
        <w:tc>
          <w:tcPr>
            <w:tcW w:w="6350" w:type="dxa"/>
            <w:tcBorders>
              <w:top w:val="single" w:sz="7" w:space="0" w:color="D2C9B8"/>
              <w:left w:val="single" w:sz="24" w:space="0" w:color="4D6F8A"/>
              <w:bottom w:val="single" w:sz="7" w:space="0" w:color="D2C9B8"/>
              <w:right w:val="single" w:sz="7" w:space="0" w:color="D2C9B8"/>
            </w:tcBorders>
            <w:shd w:val="clear" w:color="auto" w:fill="EEF3F7"/>
            <w:tcMar>
              <w:top w:w="150" w:type="dxa"/>
              <w:left w:w="220" w:type="dxa"/>
              <w:bottom w:w="150" w:type="dxa"/>
              <w:right w:w="180" w:type="dxa"/>
            </w:tcMar>
          </w:tcPr>
          <w:p w14:paraId="27263729" w14:textId="77777777" w:rsidR="005A5FCC" w:rsidRDefault="00A21C81">
            <w:pPr>
              <w:spacing w:after="60" w:line="240" w:lineRule="auto"/>
              <w:jc w:val="left"/>
            </w:pPr>
            <w:r>
              <w:rPr>
                <w:rFonts w:ascii="Noto Sans" w:hAnsi="Noto Sans" w:cs="Noto Sans"/>
                <w:b/>
                <w:caps/>
                <w:color w:val="4D6F8A"/>
                <w:kern w:val="16"/>
                <w:sz w:val="16"/>
                <w14:ligatures w14:val="standardContextual"/>
              </w:rPr>
              <w:t>JURISPRUDÊNCIA EM DESTAQUE</w:t>
            </w:r>
          </w:p>
          <w:p w14:paraId="001EF7F1" w14:textId="77777777" w:rsidR="005A5FCC" w:rsidRDefault="00A21C81">
            <w:pPr>
              <w:spacing w:after="60" w:line="247" w:lineRule="auto"/>
            </w:pPr>
            <w:r>
              <w:rPr>
                <w:rFonts w:cs="EB Garamond"/>
                <w:b/>
                <w:kern w:val="16"/>
                <w:sz w:val="19"/>
                <w14:ligatures w14:val="standardContextual"/>
              </w:rPr>
              <w:t>STF, Tema 1.335 (RE 1.515.163, Rel. Min. Presidente — Min. Luís Roberto Barroso, julgamento em 12/10/2024, reafirmação de jurisprudência)</w:t>
            </w:r>
            <w:r>
              <w:rPr>
                <w:rFonts w:cs="EB Garamond"/>
                <w:kern w:val="16"/>
                <w:sz w:val="19"/>
                <w14:ligatures w14:val="standardContextual"/>
              </w:rPr>
              <w:t>: "1. Não incide a taxa SELIC, prevista no art. 3º da EC nº 113/2021, no prazo constitucional de pagamento de precatórios do § 5º do art. 100 da Constituição. 2. Durante o denominado 'período de graça', os valores inscritos em precatório terão exclusivamente correção monetária, nos termos decididos na ADI 4.357-QO/DF e na ADI 4.425-QO/DF." A tese delimita o alcance temporal da SELIC fixada pela EC n. 113/2021: o prazo constitucional de pagamento do precatório (intervalo entre a inscrição e o final do exercício seguinte) corre sem juros e sem SELIC, sujeitando-se o crédito apenas à correção monetária, porquanto, nesse período, a Fazenda Pública ainda não se encontra em mora. Os metadados aqui indicados (número do RE, relator e data de julgamento) e a redação da tese reproduzem o registro de repercussão geral do STF, com mérito julgado por reafirmação de jurisprudência.</w:t>
            </w:r>
          </w:p>
        </w:tc>
      </w:tr>
    </w:tbl>
    <w:p w14:paraId="7530801B" w14:textId="77777777" w:rsidR="005A5FCC" w:rsidRDefault="005A5FCC">
      <w:pPr>
        <w:spacing w:after="80" w:line="240" w:lineRule="auto"/>
      </w:pPr>
    </w:p>
    <w:tbl>
      <w:tblPr>
        <w:tblW w:w="5000" w:type="pct"/>
        <w:jc w:val="center"/>
        <w:tblLayout w:type="fixed"/>
        <w:tblLook w:val="04A0" w:firstRow="1" w:lastRow="0" w:firstColumn="1" w:lastColumn="0" w:noHBand="0" w:noVBand="1"/>
      </w:tblPr>
      <w:tblGrid>
        <w:gridCol w:w="6311"/>
      </w:tblGrid>
      <w:tr w:rsidR="005A5FCC" w14:paraId="1E705D4E" w14:textId="77777777">
        <w:trPr>
          <w:cantSplit/>
          <w:jc w:val="center"/>
        </w:trPr>
        <w:tc>
          <w:tcPr>
            <w:tcW w:w="6350" w:type="dxa"/>
            <w:tcBorders>
              <w:top w:val="single" w:sz="7" w:space="0" w:color="D2C9B8"/>
              <w:left w:val="single" w:sz="24" w:space="0" w:color="6E8563"/>
              <w:bottom w:val="single" w:sz="7" w:space="0" w:color="D2C9B8"/>
              <w:right w:val="single" w:sz="7" w:space="0" w:color="D2C9B8"/>
            </w:tcBorders>
            <w:shd w:val="clear" w:color="auto" w:fill="F0F4ED"/>
            <w:tcMar>
              <w:top w:w="150" w:type="dxa"/>
              <w:left w:w="220" w:type="dxa"/>
              <w:bottom w:w="150" w:type="dxa"/>
              <w:right w:w="180" w:type="dxa"/>
            </w:tcMar>
          </w:tcPr>
          <w:p w14:paraId="60AF85CA" w14:textId="77777777" w:rsidR="005A5FCC" w:rsidRDefault="00A21C81">
            <w:pPr>
              <w:spacing w:after="60" w:line="240" w:lineRule="auto"/>
              <w:jc w:val="left"/>
            </w:pPr>
            <w:r>
              <w:rPr>
                <w:rFonts w:ascii="Noto Sans" w:hAnsi="Noto Sans" w:cs="Noto Sans"/>
                <w:b/>
                <w:caps/>
                <w:color w:val="6E8563"/>
                <w:kern w:val="16"/>
                <w:sz w:val="16"/>
                <w14:ligatures w14:val="standardContextual"/>
              </w:rPr>
              <w:lastRenderedPageBreak/>
              <w:t>NA PRÁTICA</w:t>
            </w:r>
          </w:p>
          <w:p w14:paraId="48AC8B7F" w14:textId="77777777" w:rsidR="005A5FCC" w:rsidRDefault="00A21C81">
            <w:pPr>
              <w:spacing w:after="60" w:line="247" w:lineRule="auto"/>
            </w:pPr>
            <w:r>
              <w:rPr>
                <w:rFonts w:cs="EB Garamond"/>
                <w:kern w:val="16"/>
                <w:sz w:val="19"/>
                <w14:ligatures w14:val="standardContextual"/>
              </w:rPr>
              <w:t>O cálculo de atualização das condenações previdenciárias nos JEFs segue, em síntese, o seguinte esquema: (a) cada parcela vencida (atrasado mensal) é atualizada individualmente desde o seu vencimento; (b) até 08/12/2021, aplica-se correção pelo INPC e juros conforme o período (1% ao mês ou poupança); (c) a partir de 09/12/2021, aplica-se exclusivamente a SELIC; (d) a compensação é feita sobre valores já recebidos pelo segurado a qualquer título (benefício administrativo, tutela antecipada, benefício de outra espécie); (e) o desconto previdenciário (contribuição do segurado sobre as parcelas atrasadas) é retido na fonte pelo INSS no momento do pagamento; (f) o imposto de renda sobre os atrasados segue regime especial de tributação (regime de competência, não de caixa), conforme art. 12-A da Lei n. 7.713/88, incluído pela Lei n. 12.350/2010, que evita a tributação excessiva pela concentração dos rendimentos em um único exercício.</w:t>
            </w:r>
          </w:p>
        </w:tc>
      </w:tr>
    </w:tbl>
    <w:p w14:paraId="57B84ED4" w14:textId="77777777" w:rsidR="005A5FCC" w:rsidRDefault="005A5FCC">
      <w:pPr>
        <w:spacing w:after="80" w:line="240" w:lineRule="auto"/>
      </w:pPr>
    </w:p>
    <w:p w14:paraId="54B4FE85"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3E95168C" w14:textId="77777777" w:rsidR="005A5FCC" w:rsidRDefault="00A21C81">
      <w:r>
        <w:rPr>
          <w:rFonts w:cs="EB Garamond"/>
          <w:kern w:val="16"/>
          <w14:ligatures w14:val="standardContextual"/>
        </w:rPr>
        <w:t xml:space="preserve"> incidência de contribuição previdenciária sobre os atrasados tem impacto financeiro relevante para o segurado. Os valores pagos como atrasados de benefícios previdenciários sofrem retenção da contribuição do segurado (alíquota de 7,5% a 14%, conforme a faixa de contribuição vigente). O desconto é feito pelo INSS no momento da operacionalização do pagamento (RPV ou precatório), abatendo-se o valor da contribuição do montante bruto. O advogado deve alertar o cliente sobre o desconto e incluir a estimativa da retenção na projeção do valor líquido a receber.</w:t>
      </w:r>
    </w:p>
    <w:p w14:paraId="788ED7B7" w14:textId="77777777" w:rsidR="005A5FCC" w:rsidRDefault="00A21C81">
      <w:pPr>
        <w:keepNext/>
        <w:pBdr>
          <w:bottom w:val="single" w:sz="8" w:space="4" w:color="B89B5E"/>
        </w:pBdr>
        <w:spacing w:before="360" w:after="140" w:line="240" w:lineRule="auto"/>
        <w:jc w:val="left"/>
      </w:pPr>
      <w:r>
        <w:rPr>
          <w:rFonts w:cs="EB Garamond"/>
          <w:b/>
          <w:color w:val="3A3128"/>
          <w:kern w:val="16"/>
          <w:sz w:val="31"/>
          <w14:ligatures w14:val="standardContextual"/>
        </w:rPr>
        <w:t>23.39 Consolidação das posições adotadas</w:t>
      </w:r>
    </w:p>
    <w:p w14:paraId="1AF68609" w14:textId="77777777" w:rsidR="005A5FCC" w:rsidRDefault="00A21C81">
      <w:pPr>
        <w:framePr w:dropCap="drop" w:lines="3" w:hSpace="28" w:wrap="around" w:vAnchor="text" w:hAnchor="text"/>
        <w:spacing w:after="0" w:line="240" w:lineRule="auto"/>
        <w:jc w:val="left"/>
      </w:pPr>
      <w:r>
        <w:rPr>
          <w:rFonts w:cs="EB Garamond"/>
          <w:b/>
          <w:color w:val="B78B37"/>
          <w:kern w:val="16"/>
          <w:sz w:val="64"/>
          <w14:ligatures w14:val="standardContextual"/>
        </w:rPr>
        <w:t>A</w:t>
      </w:r>
    </w:p>
    <w:p w14:paraId="7E80D92A" w14:textId="77777777" w:rsidR="005A5FCC" w:rsidRDefault="00A21C81">
      <w:r>
        <w:rPr>
          <w:rFonts w:cs="EB Garamond"/>
          <w:kern w:val="16"/>
          <w14:ligatures w14:val="standardContextual"/>
        </w:rPr>
        <w:t>s posições adotadas ao longo deste capítulo partem de premissa comum: o rito dos JEFs constitui o sistema processual que mais se aproxima do acesso efetivo do segurado à prestação jurisdicional. O rito sumaríssimo, a dispensa de advogado em primeiro grau, a gratuidade processual e a busca pela conciliação constituem instrumentos que concretizam o direito fundamental de acesso à Justiça (art. 5º, XXXV, CF/88) para a população que mais necessita da proteção previdenciária.</w:t>
      </w:r>
    </w:p>
    <w:p w14:paraId="30180E8E" w14:textId="77777777" w:rsidR="005A5FCC" w:rsidRDefault="00A21C81">
      <w:pPr>
        <w:ind w:firstLine="238"/>
      </w:pPr>
      <w:r>
        <w:rPr>
          <w:rFonts w:cs="EB Garamond"/>
          <w:kern w:val="16"/>
          <w14:ligatures w14:val="standardContextual"/>
        </w:rPr>
        <w:lastRenderedPageBreak/>
        <w:t>A competência absoluta dos JEFs, restrita ao valor da causa (Tema 1.277/STF), assegura que toda demanda previdenciária de até 60 salários mínimos seja processada pelo juízo especializado, com rito adequado à natureza alimentar do benefício. A faculdade de escolha territorial (art. 109, § 2º, CF/88) complementa o sistema, permitindo que o segurado litigue no JEF mais próximo de seu domicílio.</w:t>
      </w:r>
    </w:p>
    <w:p w14:paraId="25F31F73" w14:textId="77777777" w:rsidR="005A5FCC" w:rsidRDefault="00A21C81">
      <w:pPr>
        <w:ind w:firstLine="238"/>
      </w:pPr>
      <w:r>
        <w:rPr>
          <w:rFonts w:cs="EB Garamond"/>
          <w:kern w:val="16"/>
          <w14:ligatures w14:val="standardContextual"/>
        </w:rPr>
        <w:t>O prévio requerimento administrativo (Tema 350/STF) constitui pressuposto processual que equilibra o acesso ao Judiciário com a atuação administrativa da autarquia previdenciária. As exceções (notório posicionamento contrário do INSS, ações de revisão e restabelecimento) asseguram que o requisito não se converta em obstáculo ao acesso à Justiça.</w:t>
      </w:r>
    </w:p>
    <w:p w14:paraId="7B0A4BA7" w14:textId="77777777" w:rsidR="005A5FCC" w:rsidRDefault="00A21C81">
      <w:pPr>
        <w:ind w:firstLine="238"/>
      </w:pPr>
      <w:r>
        <w:rPr>
          <w:rFonts w:cs="EB Garamond"/>
          <w:kern w:val="16"/>
          <w14:ligatures w14:val="standardContextual"/>
        </w:rPr>
        <w:t>A tutela de urgência é instrumento indispensável no processo previdenciário dos JEFs. A natureza alimentar do benefício e a vulnerabilidade do segurado justificam a implantação provisória do benefício desde a fase de conhecimento, relegando o pagamento dos atrasados à execução definitiva. A irrepetibilidade dos valores recebidos de boa-fé protege o segurado contra o risco de devolução em caso de reforma da decisão.</w:t>
      </w:r>
    </w:p>
    <w:p w14:paraId="55052D71" w14:textId="63D7EB6E" w:rsidR="005A5FCC" w:rsidRDefault="00A21C81">
      <w:pPr>
        <w:ind w:firstLine="238"/>
      </w:pPr>
      <w:r>
        <w:rPr>
          <w:rFonts w:cs="EB Garamond"/>
          <w:kern w:val="16"/>
          <w14:ligatures w14:val="standardContextual"/>
        </w:rPr>
        <w:t xml:space="preserve">O sistema de execução (RPV para condenações de até 60 </w:t>
      </w:r>
      <w:r w:rsidR="00460E75">
        <w:rPr>
          <w:rFonts w:cs="EB Garamond"/>
          <w:kern w:val="16"/>
          <w14:ligatures w14:val="standardContextual"/>
        </w:rPr>
        <w:t>salários-mínimos</w:t>
      </w:r>
      <w:r>
        <w:rPr>
          <w:rFonts w:cs="EB Garamond"/>
          <w:kern w:val="16"/>
          <w14:ligatures w14:val="standardContextual"/>
        </w:rPr>
        <w:t>, precatório para valores superiores) assegura o pagamento dos atrasados em prazo razoável, embora a prática revele dificuldades na celeridade da liquidação e no cumprimento dos prazos legais. A superpreferência para segurados idosos, pessoas com deficiência e acometidos por doença grave constitui mecanismo de proteção reforçada aos mais vulneráveis.</w:t>
      </w:r>
    </w:p>
    <w:p w14:paraId="42AD37EB" w14:textId="77777777" w:rsidR="005A5FCC" w:rsidRDefault="00A21C81">
      <w:pPr>
        <w:ind w:firstLine="238"/>
      </w:pPr>
      <w:r>
        <w:rPr>
          <w:rFonts w:cs="EB Garamond"/>
          <w:kern w:val="16"/>
          <w14:ligatures w14:val="standardContextual"/>
        </w:rPr>
        <w:t xml:space="preserve">Entendemos que o JEF previdenciário cumpre função social insubstituível no ordenamento jurídico brasileiro. A democratização do acesso à Justiça Federal, a simplificação procedimental e a especialização dos magistrados em matéria previdenciária transformaram o cenário da litigância previdenciária no País. Os desafios remanescentes — volume excessivo de demandas, demora na execução e na liquidação, insuficiência de estrutura física e de pessoal, especialmente de peritos médicos — exigem investimento contínuo na capacitação dos juízes, na informatização dos processos e na cooperação institucional entre o Judiciário e o INSS. A ampliação do quadro de juízes federais dedicados aos JEFs, a manutenção de </w:t>
      </w:r>
      <w:r>
        <w:rPr>
          <w:rFonts w:cs="EB Garamond"/>
          <w:kern w:val="16"/>
          <w14:ligatures w14:val="standardContextual"/>
        </w:rPr>
        <w:lastRenderedPageBreak/>
        <w:t>corpo permanente de peritos e a integração eletrônica entre os sistemas da Justiça Federal e do INSS são medidas indispensáveis para que o microssistema dos juizados continue cumprindo sua missão constitucional de garantir acesso efetivo à justiça previdenciária.</w:t>
      </w:r>
    </w:p>
    <w:p w14:paraId="6D1B3914" w14:textId="77777777" w:rsidR="005A5FCC" w:rsidRDefault="005A5FCC">
      <w:pPr>
        <w:sectPr w:rsidR="005A5FCC">
          <w:headerReference w:type="even" r:id="rId222"/>
          <w:headerReference w:type="default" r:id="rId223"/>
          <w:footerReference w:type="even" r:id="rId224"/>
          <w:footerReference w:type="default" r:id="rId225"/>
          <w:headerReference w:type="first" r:id="rId226"/>
          <w:footerReference w:type="first" r:id="rId227"/>
          <w:pgSz w:w="8391" w:h="11906"/>
          <w:pgMar w:top="935" w:right="879" w:bottom="964" w:left="1162" w:header="454" w:footer="425" w:gutter="0"/>
          <w:cols w:space="720"/>
          <w:titlePg/>
          <w:docGrid w:linePitch="360"/>
        </w:sectPr>
      </w:pPr>
    </w:p>
    <w:p w14:paraId="4869ABED" w14:textId="77777777" w:rsidR="005A5FCC" w:rsidRDefault="00A21C81">
      <w:r>
        <w:lastRenderedPageBreak/>
        <w:br w:type="page"/>
      </w:r>
    </w:p>
    <w:p w14:paraId="18F58016" w14:textId="77777777" w:rsidR="005A5FCC" w:rsidRDefault="00A21C81">
      <w:pPr>
        <w:pStyle w:val="Ttulo1"/>
        <w:spacing w:before="320" w:after="200" w:line="240" w:lineRule="auto"/>
      </w:pPr>
      <w:r>
        <w:rPr>
          <w:rFonts w:ascii="EB Garamond" w:hAnsi="EB Garamond" w:cs="EB Garamond"/>
          <w:caps/>
          <w:kern w:val="16"/>
          <w:sz w:val="32"/>
          <w14:ligatures w14:val="standardContextual"/>
        </w:rPr>
        <w:lastRenderedPageBreak/>
        <w:t>REFERÊNCIAS</w:t>
      </w:r>
    </w:p>
    <w:p w14:paraId="1D3F8F6E" w14:textId="77777777" w:rsidR="005A5FCC" w:rsidRDefault="00A21C81">
      <w:pPr>
        <w:keepNext/>
        <w:spacing w:before="200" w:after="100" w:line="240" w:lineRule="auto"/>
        <w:jc w:val="left"/>
      </w:pPr>
      <w:r>
        <w:rPr>
          <w:rFonts w:cs="EB Garamond"/>
          <w:b/>
          <w:color w:val="3A3128"/>
          <w:kern w:val="16"/>
          <w:sz w:val="23"/>
          <w14:ligatures w14:val="standardContextual"/>
        </w:rPr>
        <w:t>Legislação</w:t>
      </w:r>
    </w:p>
    <w:p w14:paraId="2A6E34B9" w14:textId="77777777" w:rsidR="005A5FCC" w:rsidRDefault="00A21C81">
      <w:pPr>
        <w:spacing w:after="48" w:line="240" w:lineRule="auto"/>
        <w:ind w:left="272" w:hanging="272"/>
        <w:jc w:val="left"/>
      </w:pPr>
      <w:r>
        <w:rPr>
          <w:rFonts w:cs="EB Garamond"/>
          <w:kern w:val="16"/>
          <w:sz w:val="18"/>
          <w14:ligatures w14:val="standardContextual"/>
        </w:rPr>
        <w:t>BRASIL. Decreto Legislativo nº 4.682, de 24 de janeiro de 1923. Cria as Caixas de Aposentadorias e Pensões para os empregados das empresas ferroviárias.</w:t>
      </w:r>
    </w:p>
    <w:p w14:paraId="60E954CD" w14:textId="77777777" w:rsidR="005A5FCC" w:rsidRDefault="00A21C81">
      <w:pPr>
        <w:spacing w:after="48" w:line="240" w:lineRule="auto"/>
        <w:ind w:left="272" w:hanging="272"/>
        <w:jc w:val="left"/>
      </w:pPr>
      <w:r>
        <w:rPr>
          <w:rFonts w:cs="EB Garamond"/>
          <w:kern w:val="16"/>
          <w:sz w:val="18"/>
          <w14:ligatures w14:val="standardContextual"/>
        </w:rPr>
        <w:t>BRASIL. Decreto n. 11.016, de 29 de março de 2022.</w:t>
      </w:r>
    </w:p>
    <w:p w14:paraId="72673421" w14:textId="77777777" w:rsidR="005A5FCC" w:rsidRDefault="00A21C81">
      <w:pPr>
        <w:spacing w:after="48" w:line="240" w:lineRule="auto"/>
        <w:ind w:left="272" w:hanging="272"/>
        <w:jc w:val="left"/>
      </w:pPr>
      <w:r>
        <w:rPr>
          <w:rFonts w:cs="EB Garamond"/>
          <w:kern w:val="16"/>
          <w:sz w:val="18"/>
          <w14:ligatures w14:val="standardContextual"/>
        </w:rPr>
        <w:t>BRASIL. Decreto n. 11.898, de 22 de janeiro de 2024.</w:t>
      </w:r>
    </w:p>
    <w:p w14:paraId="7C47D942" w14:textId="77777777" w:rsidR="005A5FCC" w:rsidRDefault="00A21C81">
      <w:pPr>
        <w:spacing w:after="48" w:line="240" w:lineRule="auto"/>
        <w:ind w:left="272" w:hanging="272"/>
        <w:jc w:val="left"/>
      </w:pPr>
      <w:r>
        <w:rPr>
          <w:rFonts w:cs="EB Garamond"/>
          <w:kern w:val="16"/>
          <w:sz w:val="18"/>
          <w14:ligatures w14:val="standardContextual"/>
        </w:rPr>
        <w:t>BRASIL. Decreto n. 12.342, de 30 de dezembro de 2025.</w:t>
      </w:r>
    </w:p>
    <w:p w14:paraId="6B66C22B" w14:textId="77777777" w:rsidR="005A5FCC" w:rsidRDefault="00A21C81">
      <w:pPr>
        <w:spacing w:after="48" w:line="240" w:lineRule="auto"/>
        <w:ind w:left="272" w:hanging="272"/>
        <w:jc w:val="left"/>
      </w:pPr>
      <w:r>
        <w:rPr>
          <w:rFonts w:cs="EB Garamond"/>
          <w:kern w:val="16"/>
          <w:sz w:val="18"/>
          <w14:ligatures w14:val="standardContextual"/>
        </w:rPr>
        <w:t>BRASIL. Decreto n. 12.534, de 2025.</w:t>
      </w:r>
    </w:p>
    <w:p w14:paraId="6033DBF0" w14:textId="77777777" w:rsidR="005A5FCC" w:rsidRDefault="00A21C81">
      <w:pPr>
        <w:spacing w:after="48" w:line="240" w:lineRule="auto"/>
        <w:ind w:left="272" w:hanging="272"/>
        <w:jc w:val="left"/>
      </w:pPr>
      <w:r>
        <w:rPr>
          <w:rFonts w:cs="EB Garamond"/>
          <w:kern w:val="16"/>
          <w:sz w:val="18"/>
          <w14:ligatures w14:val="standardContextual"/>
        </w:rPr>
        <w:t>BRASIL. Decreto n. 12.686, de 2025.</w:t>
      </w:r>
    </w:p>
    <w:p w14:paraId="40896AD1" w14:textId="77777777" w:rsidR="005A5FCC" w:rsidRDefault="00A21C81">
      <w:pPr>
        <w:spacing w:after="48" w:line="240" w:lineRule="auto"/>
        <w:ind w:left="272" w:hanging="272"/>
        <w:jc w:val="left"/>
      </w:pPr>
      <w:r>
        <w:rPr>
          <w:rFonts w:cs="EB Garamond"/>
          <w:kern w:val="16"/>
          <w:sz w:val="18"/>
          <w14:ligatures w14:val="standardContextual"/>
        </w:rPr>
        <w:t>BRASIL. Decreto n. 3.048, de 6 de maio de 1999. Aprova o Regulamento da Previdência Social. Disponível em: www.planalto.gov.br. Acesso em: 15 maio 2026.</w:t>
      </w:r>
    </w:p>
    <w:p w14:paraId="72D3AB97" w14:textId="77777777" w:rsidR="005A5FCC" w:rsidRDefault="00A21C81">
      <w:pPr>
        <w:spacing w:after="48" w:line="240" w:lineRule="auto"/>
        <w:ind w:left="272" w:hanging="272"/>
        <w:jc w:val="left"/>
      </w:pPr>
      <w:r>
        <w:rPr>
          <w:rFonts w:cs="EB Garamond"/>
          <w:kern w:val="16"/>
          <w:sz w:val="18"/>
          <w14:ligatures w14:val="standardContextual"/>
        </w:rPr>
        <w:t>BRASIL. Decreto n. 6.042, de 12 de fevereiro de 2007.</w:t>
      </w:r>
    </w:p>
    <w:p w14:paraId="3D6AADA0" w14:textId="77777777" w:rsidR="005A5FCC" w:rsidRDefault="00A21C81">
      <w:pPr>
        <w:spacing w:after="48" w:line="240" w:lineRule="auto"/>
        <w:ind w:left="272" w:hanging="272"/>
        <w:jc w:val="left"/>
      </w:pPr>
      <w:r>
        <w:rPr>
          <w:rFonts w:cs="EB Garamond"/>
          <w:kern w:val="16"/>
          <w:sz w:val="18"/>
          <w14:ligatures w14:val="standardContextual"/>
        </w:rPr>
        <w:t>BRASIL. Decreto n. 6.214, de 26 de setembro de 2007.</w:t>
      </w:r>
    </w:p>
    <w:p w14:paraId="4093B103" w14:textId="77777777" w:rsidR="005A5FCC" w:rsidRDefault="00A21C81">
      <w:pPr>
        <w:spacing w:after="48" w:line="240" w:lineRule="auto"/>
        <w:ind w:left="272" w:hanging="272"/>
        <w:jc w:val="left"/>
      </w:pPr>
      <w:r>
        <w:rPr>
          <w:rFonts w:cs="EB Garamond"/>
          <w:kern w:val="16"/>
          <w:sz w:val="18"/>
          <w14:ligatures w14:val="standardContextual"/>
        </w:rPr>
        <w:t>BRASIL. Decreto n. 6.949, de 25 de agosto de 2009.</w:t>
      </w:r>
    </w:p>
    <w:p w14:paraId="7CFA8A6A" w14:textId="77777777" w:rsidR="005A5FCC" w:rsidRDefault="00A21C81">
      <w:pPr>
        <w:spacing w:after="48" w:line="240" w:lineRule="auto"/>
        <w:ind w:left="272" w:hanging="272"/>
        <w:jc w:val="left"/>
      </w:pPr>
      <w:r>
        <w:rPr>
          <w:rFonts w:cs="EB Garamond"/>
          <w:kern w:val="16"/>
          <w:sz w:val="18"/>
          <w14:ligatures w14:val="standardContextual"/>
        </w:rPr>
        <w:t>BRASIL. Decreto nº 10.410, de 30 de junho de 2020. Altera o Regulamento da Previdência Social.</w:t>
      </w:r>
    </w:p>
    <w:p w14:paraId="329D0BE8" w14:textId="77777777" w:rsidR="005A5FCC" w:rsidRDefault="00A21C81">
      <w:pPr>
        <w:spacing w:after="48" w:line="240" w:lineRule="auto"/>
        <w:ind w:left="272" w:hanging="272"/>
        <w:jc w:val="left"/>
      </w:pPr>
      <w:r>
        <w:rPr>
          <w:rFonts w:cs="EB Garamond"/>
          <w:kern w:val="16"/>
          <w:sz w:val="18"/>
          <w14:ligatures w14:val="standardContextual"/>
        </w:rPr>
        <w:t>BRASIL. Emenda Constitucional nº 103, de 12 de novembro de 2019. Altera o sistema de previdência social e estabelece regras de transição e disposições transitórias. Diário Oficial da União, Brasília, DF, 13 nov. 2019.</w:t>
      </w:r>
    </w:p>
    <w:p w14:paraId="4DDE7F73" w14:textId="77777777" w:rsidR="005A5FCC" w:rsidRDefault="00A21C81">
      <w:pPr>
        <w:spacing w:after="48" w:line="240" w:lineRule="auto"/>
        <w:ind w:left="272" w:hanging="272"/>
        <w:jc w:val="left"/>
      </w:pPr>
      <w:r>
        <w:rPr>
          <w:rFonts w:cs="EB Garamond"/>
          <w:kern w:val="16"/>
          <w:sz w:val="18"/>
          <w14:ligatures w14:val="standardContextual"/>
        </w:rPr>
        <w:t>BRASIL. Emenda Constitucional nº 113, de 8 de dezembro de 2021. Propõe alterações na Constituição Federal e no Ato das Disposições Constitucionais Transitórias para estabelecer o novo regime de pagamentos de precatórios. Diário Oficial da União, Brasília, DF, 9 dez. 2021.</w:t>
      </w:r>
    </w:p>
    <w:p w14:paraId="6BCC3325" w14:textId="77777777" w:rsidR="005A5FCC" w:rsidRDefault="00A21C81">
      <w:pPr>
        <w:spacing w:after="48" w:line="240" w:lineRule="auto"/>
        <w:ind w:left="272" w:hanging="272"/>
        <w:jc w:val="left"/>
      </w:pPr>
      <w:r>
        <w:rPr>
          <w:rFonts w:cs="EB Garamond"/>
          <w:kern w:val="16"/>
          <w:sz w:val="18"/>
          <w14:ligatures w14:val="standardContextual"/>
        </w:rPr>
        <w:t>BRASIL. Emenda Constitucional nº 132, de 20 de dezembro de 2023.</w:t>
      </w:r>
    </w:p>
    <w:p w14:paraId="13D30084" w14:textId="77777777" w:rsidR="005A5FCC" w:rsidRDefault="00A21C81">
      <w:pPr>
        <w:spacing w:after="48" w:line="240" w:lineRule="auto"/>
        <w:ind w:left="272" w:hanging="272"/>
        <w:jc w:val="left"/>
      </w:pPr>
      <w:r>
        <w:rPr>
          <w:rFonts w:cs="EB Garamond"/>
          <w:kern w:val="16"/>
          <w:sz w:val="18"/>
          <w14:ligatures w14:val="standardContextual"/>
        </w:rPr>
        <w:t>BRASIL. Emenda Constitucional nº 136, de 9 de setembro de 2025. Art. 100, §12, CF.</w:t>
      </w:r>
    </w:p>
    <w:p w14:paraId="20C774FD" w14:textId="77777777" w:rsidR="005A5FCC" w:rsidRDefault="00A21C81">
      <w:pPr>
        <w:spacing w:after="48" w:line="240" w:lineRule="auto"/>
        <w:ind w:left="272" w:hanging="272"/>
        <w:jc w:val="left"/>
      </w:pPr>
      <w:r>
        <w:rPr>
          <w:rFonts w:cs="EB Garamond"/>
          <w:kern w:val="16"/>
          <w:sz w:val="18"/>
          <w14:ligatures w14:val="standardContextual"/>
        </w:rPr>
        <w:t>BRASIL. Emenda Constitucional nº 20, de 15 de dezembro de 1998. Modifica o sistema de previdência social, estabelece normas de transição e dá outras providências. Diário Oficial da União, Brasília, DF, 16 dez. 1998.</w:t>
      </w:r>
    </w:p>
    <w:p w14:paraId="1EDFC7C2" w14:textId="77777777" w:rsidR="005A5FCC" w:rsidRDefault="00A21C81">
      <w:pPr>
        <w:spacing w:after="48" w:line="240" w:lineRule="auto"/>
        <w:ind w:left="272" w:hanging="272"/>
        <w:jc w:val="left"/>
      </w:pPr>
      <w:r>
        <w:rPr>
          <w:rFonts w:cs="EB Garamond"/>
          <w:kern w:val="16"/>
          <w:sz w:val="18"/>
          <w14:ligatures w14:val="standardContextual"/>
        </w:rPr>
        <w:t>BRASIL. Emenda Constitucional nº 41, de 19 de dezembro de 2003. Modifica os arts. 37, 40, 42, 48, 96, 149 e 201 da Constituição Federal, revoga o inciso IX do § 3 do art. 142 da Constituição Federal e dispositivos da Emenda Constitucional nº 20, de 15 de dezembro de 1998, e dá outras providências. Diário Oficial da União, Brasília, DF, 31 dez. 2003.</w:t>
      </w:r>
    </w:p>
    <w:p w14:paraId="09FF19A6" w14:textId="77777777" w:rsidR="005A5FCC" w:rsidRDefault="00A21C81">
      <w:pPr>
        <w:spacing w:after="48" w:line="240" w:lineRule="auto"/>
        <w:ind w:left="272" w:hanging="272"/>
        <w:jc w:val="left"/>
      </w:pPr>
      <w:r>
        <w:rPr>
          <w:rFonts w:cs="EB Garamond"/>
          <w:kern w:val="16"/>
          <w:sz w:val="18"/>
          <w14:ligatures w14:val="standardContextual"/>
        </w:rPr>
        <w:t>BRASIL. Emenda Constitucional nº 47, de 5 de julho de 2005.</w:t>
      </w:r>
    </w:p>
    <w:p w14:paraId="1A87A350" w14:textId="77777777" w:rsidR="005A5FCC" w:rsidRDefault="00A21C81">
      <w:pPr>
        <w:spacing w:after="48" w:line="240" w:lineRule="auto"/>
        <w:ind w:left="272" w:hanging="272"/>
        <w:jc w:val="left"/>
      </w:pPr>
      <w:r>
        <w:rPr>
          <w:rFonts w:cs="EB Garamond"/>
          <w:kern w:val="16"/>
          <w:sz w:val="18"/>
          <w14:ligatures w14:val="standardContextual"/>
        </w:rPr>
        <w:t>BRASIL. INSS.</w:t>
      </w:r>
    </w:p>
    <w:p w14:paraId="6090FBC4" w14:textId="77777777" w:rsidR="005A5FCC" w:rsidRDefault="00A21C81">
      <w:pPr>
        <w:spacing w:after="48" w:line="240" w:lineRule="auto"/>
        <w:ind w:left="272" w:hanging="272"/>
        <w:jc w:val="left"/>
      </w:pPr>
      <w:r>
        <w:rPr>
          <w:rFonts w:cs="EB Garamond"/>
          <w:kern w:val="16"/>
          <w:sz w:val="18"/>
          <w14:ligatures w14:val="standardContextual"/>
        </w:rPr>
        <w:t>BRASIL. Instrução Normativa INSS/PRES nº 128, de 28 de março de 2022.</w:t>
      </w:r>
    </w:p>
    <w:p w14:paraId="351787E3" w14:textId="77777777" w:rsidR="005A5FCC" w:rsidRDefault="00A21C81">
      <w:pPr>
        <w:spacing w:after="48" w:line="240" w:lineRule="auto"/>
        <w:ind w:left="272" w:hanging="272"/>
        <w:jc w:val="left"/>
      </w:pPr>
      <w:r>
        <w:rPr>
          <w:rFonts w:cs="EB Garamond"/>
          <w:kern w:val="16"/>
          <w:sz w:val="18"/>
          <w14:ligatures w14:val="standardContextual"/>
        </w:rPr>
        <w:lastRenderedPageBreak/>
        <w:t>BRASIL. Lei Complementar n. 150, de 1º de junho de 2015. Dispõe sobre o contrato de trabalho doméstico. Disponível em: www.planalto.gov.br. Acesso em: 15 maio 2026.</w:t>
      </w:r>
    </w:p>
    <w:p w14:paraId="62C4E8B4" w14:textId="77777777" w:rsidR="005A5FCC" w:rsidRDefault="00A21C81">
      <w:pPr>
        <w:spacing w:after="48" w:line="240" w:lineRule="auto"/>
        <w:ind w:left="272" w:hanging="272"/>
        <w:jc w:val="left"/>
      </w:pPr>
      <w:r>
        <w:rPr>
          <w:rFonts w:cs="EB Garamond"/>
          <w:kern w:val="16"/>
          <w:sz w:val="18"/>
          <w14:ligatures w14:val="standardContextual"/>
        </w:rPr>
        <w:t>BRASIL. Lei Complementar nº 108, de 29 de maio de 2001. Dispõe sobre a relação entre a União, os Estados, o Distrito Federal e os Municípios, suas autarquias, fundações, sociedades de economia mista e outras entidades públicas e suas respectivas entidades fechadas de previdência complementar.</w:t>
      </w:r>
    </w:p>
    <w:p w14:paraId="3720280B" w14:textId="77777777" w:rsidR="005A5FCC" w:rsidRDefault="00A21C81">
      <w:pPr>
        <w:spacing w:after="48" w:line="240" w:lineRule="auto"/>
        <w:ind w:left="272" w:hanging="272"/>
        <w:jc w:val="left"/>
      </w:pPr>
      <w:r>
        <w:rPr>
          <w:rFonts w:cs="EB Garamond"/>
          <w:kern w:val="16"/>
          <w:sz w:val="18"/>
          <w14:ligatures w14:val="standardContextual"/>
        </w:rPr>
        <w:t>BRASIL. Lei Complementar nº 109, de 29 de maio de 2001. Dispõe sobre o Regime de Previdência Complementar.</w:t>
      </w:r>
    </w:p>
    <w:p w14:paraId="67AD01FD" w14:textId="77777777" w:rsidR="005A5FCC" w:rsidRDefault="00A21C81">
      <w:pPr>
        <w:spacing w:after="48" w:line="240" w:lineRule="auto"/>
        <w:ind w:left="272" w:hanging="272"/>
        <w:jc w:val="left"/>
      </w:pPr>
      <w:r>
        <w:rPr>
          <w:rFonts w:cs="EB Garamond"/>
          <w:kern w:val="16"/>
          <w:sz w:val="18"/>
          <w14:ligatures w14:val="standardContextual"/>
        </w:rPr>
        <w:t>BRASIL. Lei Complementar nº 11, de 25 de maio de 1971. Institui o Programa de Assistência ao Trabalhador Rural.</w:t>
      </w:r>
    </w:p>
    <w:p w14:paraId="73323880" w14:textId="77777777" w:rsidR="005A5FCC" w:rsidRDefault="00A21C81">
      <w:pPr>
        <w:spacing w:after="48" w:line="240" w:lineRule="auto"/>
        <w:ind w:left="272" w:hanging="272"/>
        <w:jc w:val="left"/>
      </w:pPr>
      <w:r>
        <w:rPr>
          <w:rFonts w:cs="EB Garamond"/>
          <w:kern w:val="16"/>
          <w:sz w:val="18"/>
          <w14:ligatures w14:val="standardContextual"/>
        </w:rPr>
        <w:t>BRASIL. Lei Complementar nº 123, de 14 de dezembro de 2006. Institui o Estatuto Nacional da Microempresa e da Empresa de Pequeno Porte.</w:t>
      </w:r>
    </w:p>
    <w:p w14:paraId="68AE6E6C" w14:textId="77777777" w:rsidR="005A5FCC" w:rsidRDefault="00A21C81">
      <w:pPr>
        <w:spacing w:after="48" w:line="240" w:lineRule="auto"/>
        <w:ind w:left="272" w:hanging="272"/>
        <w:jc w:val="left"/>
      </w:pPr>
      <w:r>
        <w:rPr>
          <w:rFonts w:cs="EB Garamond"/>
          <w:kern w:val="16"/>
          <w:sz w:val="18"/>
          <w14:ligatures w14:val="standardContextual"/>
        </w:rPr>
        <w:t>BRASIL. Lei Complementar nº 142, de 8 de maio de 2013. Regulamenta a aposentadoria da pessoa com deficiência segurada do RGPS.</w:t>
      </w:r>
    </w:p>
    <w:p w14:paraId="06CF230B" w14:textId="77777777" w:rsidR="005A5FCC" w:rsidRDefault="00A21C81">
      <w:pPr>
        <w:spacing w:after="48" w:line="240" w:lineRule="auto"/>
        <w:ind w:left="272" w:hanging="272"/>
        <w:jc w:val="left"/>
      </w:pPr>
      <w:r>
        <w:rPr>
          <w:rFonts w:cs="EB Garamond"/>
          <w:kern w:val="16"/>
          <w:sz w:val="18"/>
          <w14:ligatures w14:val="standardContextual"/>
        </w:rPr>
        <w:t>BRASIL. Lei n. 10.666, de 8 de maio de 2003.</w:t>
      </w:r>
    </w:p>
    <w:p w14:paraId="53800F7F" w14:textId="77777777" w:rsidR="005A5FCC" w:rsidRDefault="00A21C81">
      <w:pPr>
        <w:spacing w:after="48" w:line="240" w:lineRule="auto"/>
        <w:ind w:left="272" w:hanging="272"/>
        <w:jc w:val="left"/>
      </w:pPr>
      <w:r>
        <w:rPr>
          <w:rFonts w:cs="EB Garamond"/>
          <w:kern w:val="16"/>
          <w:sz w:val="18"/>
          <w14:ligatures w14:val="standardContextual"/>
        </w:rPr>
        <w:t>BRASIL. Lei n. 10.735, de 11 de setembro de 2003.</w:t>
      </w:r>
    </w:p>
    <w:p w14:paraId="72DF654F" w14:textId="77777777" w:rsidR="005A5FCC" w:rsidRDefault="00A21C81">
      <w:pPr>
        <w:spacing w:after="48" w:line="240" w:lineRule="auto"/>
        <w:ind w:left="272" w:hanging="272"/>
        <w:jc w:val="left"/>
      </w:pPr>
      <w:r>
        <w:rPr>
          <w:rFonts w:cs="EB Garamond"/>
          <w:kern w:val="16"/>
          <w:sz w:val="18"/>
          <w14:ligatures w14:val="standardContextual"/>
        </w:rPr>
        <w:t>BRASIL. Lei n. 10.741, de 1º de outubro de 2003.</w:t>
      </w:r>
    </w:p>
    <w:p w14:paraId="7F3E704C" w14:textId="77777777" w:rsidR="005A5FCC" w:rsidRDefault="00A21C81">
      <w:pPr>
        <w:spacing w:after="48" w:line="240" w:lineRule="auto"/>
        <w:ind w:left="272" w:hanging="272"/>
        <w:jc w:val="left"/>
      </w:pPr>
      <w:r>
        <w:rPr>
          <w:rFonts w:cs="EB Garamond"/>
          <w:kern w:val="16"/>
          <w:sz w:val="18"/>
          <w14:ligatures w14:val="standardContextual"/>
        </w:rPr>
        <w:t>BRASIL. Lei n. 11.430, de 26 de dezembro de 2006.</w:t>
      </w:r>
    </w:p>
    <w:p w14:paraId="19670355" w14:textId="77777777" w:rsidR="005A5FCC" w:rsidRDefault="00A21C81">
      <w:pPr>
        <w:spacing w:after="48" w:line="240" w:lineRule="auto"/>
        <w:ind w:left="272" w:hanging="272"/>
        <w:jc w:val="left"/>
      </w:pPr>
      <w:r>
        <w:rPr>
          <w:rFonts w:cs="EB Garamond"/>
          <w:kern w:val="16"/>
          <w:sz w:val="18"/>
          <w14:ligatures w14:val="standardContextual"/>
        </w:rPr>
        <w:t>BRASIL. Lei n. 12.435, de 6 de julho de 2011.</w:t>
      </w:r>
    </w:p>
    <w:p w14:paraId="1FF780C3" w14:textId="77777777" w:rsidR="005A5FCC" w:rsidRDefault="00A21C81">
      <w:pPr>
        <w:spacing w:after="48" w:line="240" w:lineRule="auto"/>
        <w:ind w:left="272" w:hanging="272"/>
        <w:jc w:val="left"/>
      </w:pPr>
      <w:r>
        <w:rPr>
          <w:rFonts w:cs="EB Garamond"/>
          <w:kern w:val="16"/>
          <w:sz w:val="18"/>
          <w14:ligatures w14:val="standardContextual"/>
        </w:rPr>
        <w:t>BRASIL. Lei n. 12.470, de 31 de agosto de 2011.</w:t>
      </w:r>
    </w:p>
    <w:p w14:paraId="75138B1C" w14:textId="77777777" w:rsidR="005A5FCC" w:rsidRDefault="00A21C81">
      <w:pPr>
        <w:spacing w:after="48" w:line="240" w:lineRule="auto"/>
        <w:ind w:left="272" w:hanging="272"/>
        <w:jc w:val="left"/>
      </w:pPr>
      <w:r>
        <w:rPr>
          <w:rFonts w:cs="EB Garamond"/>
          <w:kern w:val="16"/>
          <w:sz w:val="18"/>
          <w14:ligatures w14:val="standardContextual"/>
        </w:rPr>
        <w:t>BRASIL. Lei n. 13.146, de 6 de julho de 2015.</w:t>
      </w:r>
    </w:p>
    <w:p w14:paraId="09CC9BF3" w14:textId="77777777" w:rsidR="005A5FCC" w:rsidRDefault="00A21C81">
      <w:pPr>
        <w:spacing w:after="48" w:line="240" w:lineRule="auto"/>
        <w:ind w:left="272" w:hanging="272"/>
        <w:jc w:val="left"/>
      </w:pPr>
      <w:r>
        <w:rPr>
          <w:rFonts w:cs="EB Garamond"/>
          <w:kern w:val="16"/>
          <w:sz w:val="18"/>
          <w14:ligatures w14:val="standardContextual"/>
        </w:rPr>
        <w:t>BRASIL. Lei n. 13.445, de 24 de maio de 2017.</w:t>
      </w:r>
    </w:p>
    <w:p w14:paraId="0987669D" w14:textId="77777777" w:rsidR="005A5FCC" w:rsidRDefault="00A21C81">
      <w:pPr>
        <w:spacing w:after="48" w:line="240" w:lineRule="auto"/>
        <w:ind w:left="272" w:hanging="272"/>
        <w:jc w:val="left"/>
      </w:pPr>
      <w:r>
        <w:rPr>
          <w:rFonts w:cs="EB Garamond"/>
          <w:kern w:val="16"/>
          <w:sz w:val="18"/>
          <w14:ligatures w14:val="standardContextual"/>
        </w:rPr>
        <w:t>BRASIL. Lei n. 13.457, de 26 de junho de 2017.</w:t>
      </w:r>
    </w:p>
    <w:p w14:paraId="2A784464" w14:textId="77777777" w:rsidR="005A5FCC" w:rsidRDefault="00A21C81">
      <w:pPr>
        <w:spacing w:after="48" w:line="240" w:lineRule="auto"/>
        <w:ind w:left="272" w:hanging="272"/>
        <w:jc w:val="left"/>
      </w:pPr>
      <w:r>
        <w:rPr>
          <w:rFonts w:cs="EB Garamond"/>
          <w:kern w:val="16"/>
          <w:sz w:val="18"/>
          <w14:ligatures w14:val="standardContextual"/>
        </w:rPr>
        <w:t>BRASIL. Lei n. 13.982, de 2 de abril de 2020.</w:t>
      </w:r>
    </w:p>
    <w:p w14:paraId="62E4825F" w14:textId="77777777" w:rsidR="005A5FCC" w:rsidRDefault="00A21C81">
      <w:pPr>
        <w:spacing w:after="48" w:line="240" w:lineRule="auto"/>
        <w:ind w:left="272" w:hanging="272"/>
        <w:jc w:val="left"/>
      </w:pPr>
      <w:r>
        <w:rPr>
          <w:rFonts w:cs="EB Garamond"/>
          <w:kern w:val="16"/>
          <w:sz w:val="18"/>
          <w14:ligatures w14:val="standardContextual"/>
        </w:rPr>
        <w:t>BRASIL. Lei n. 14.176, de 22 de junho de 2021.</w:t>
      </w:r>
    </w:p>
    <w:p w14:paraId="736A72BD" w14:textId="77777777" w:rsidR="005A5FCC" w:rsidRDefault="00A21C81">
      <w:pPr>
        <w:spacing w:after="48" w:line="240" w:lineRule="auto"/>
        <w:ind w:left="272" w:hanging="272"/>
        <w:jc w:val="left"/>
      </w:pPr>
      <w:r>
        <w:rPr>
          <w:rFonts w:cs="EB Garamond"/>
          <w:kern w:val="16"/>
          <w:sz w:val="18"/>
          <w14:ligatures w14:val="standardContextual"/>
        </w:rPr>
        <w:t>BRASIL. Lei n. 14.601, de 19 de junho de 2023.</w:t>
      </w:r>
    </w:p>
    <w:p w14:paraId="55C0C301" w14:textId="77777777" w:rsidR="005A5FCC" w:rsidRDefault="00A21C81">
      <w:pPr>
        <w:spacing w:after="48" w:line="240" w:lineRule="auto"/>
        <w:ind w:left="272" w:hanging="272"/>
        <w:jc w:val="left"/>
      </w:pPr>
      <w:r>
        <w:rPr>
          <w:rFonts w:cs="EB Garamond"/>
          <w:kern w:val="16"/>
          <w:sz w:val="18"/>
          <w14:ligatures w14:val="standardContextual"/>
        </w:rPr>
        <w:t>BRASIL. Lei n. 15.077, de 27 de dezembro de 2024.</w:t>
      </w:r>
    </w:p>
    <w:p w14:paraId="5F05F16D" w14:textId="77777777" w:rsidR="005A5FCC" w:rsidRDefault="00A21C81">
      <w:pPr>
        <w:spacing w:after="48" w:line="240" w:lineRule="auto"/>
        <w:ind w:left="272" w:hanging="272"/>
        <w:jc w:val="left"/>
      </w:pPr>
      <w:r>
        <w:rPr>
          <w:rFonts w:cs="EB Garamond"/>
          <w:kern w:val="16"/>
          <w:sz w:val="18"/>
          <w14:ligatures w14:val="standardContextual"/>
        </w:rPr>
        <w:t>BRASIL. Lei n. 15.226, de 2025.</w:t>
      </w:r>
    </w:p>
    <w:p w14:paraId="020BCA4D" w14:textId="77777777" w:rsidR="005A5FCC" w:rsidRDefault="00A21C81">
      <w:pPr>
        <w:spacing w:after="48" w:line="240" w:lineRule="auto"/>
        <w:ind w:left="272" w:hanging="272"/>
        <w:jc w:val="left"/>
      </w:pPr>
      <w:r>
        <w:rPr>
          <w:rFonts w:cs="EB Garamond"/>
          <w:kern w:val="16"/>
          <w:sz w:val="18"/>
          <w14:ligatures w14:val="standardContextual"/>
        </w:rPr>
        <w:t>BRASIL. Lei n. 4.266, de 3 de outubro de 1963. Institui o salário-família do trabalhador. Disponível em: www.planalto.gov.br. Acesso em: 15 maio 2026.</w:t>
      </w:r>
    </w:p>
    <w:p w14:paraId="195CAE70" w14:textId="77777777" w:rsidR="005A5FCC" w:rsidRDefault="00A21C81">
      <w:pPr>
        <w:spacing w:after="48" w:line="240" w:lineRule="auto"/>
        <w:ind w:left="272" w:hanging="272"/>
        <w:jc w:val="left"/>
      </w:pPr>
      <w:r>
        <w:rPr>
          <w:rFonts w:cs="EB Garamond"/>
          <w:kern w:val="16"/>
          <w:sz w:val="18"/>
          <w14:ligatures w14:val="standardContextual"/>
        </w:rPr>
        <w:t>BRASIL. Lei n. 8.036, de 11 de maio de 1990.</w:t>
      </w:r>
    </w:p>
    <w:p w14:paraId="139CB697" w14:textId="77777777" w:rsidR="005A5FCC" w:rsidRDefault="00A21C81">
      <w:pPr>
        <w:spacing w:after="48" w:line="240" w:lineRule="auto"/>
        <w:ind w:left="272" w:hanging="272"/>
        <w:jc w:val="left"/>
      </w:pPr>
      <w:r>
        <w:rPr>
          <w:rFonts w:cs="EB Garamond"/>
          <w:kern w:val="16"/>
          <w:sz w:val="18"/>
          <w14:ligatures w14:val="standardContextual"/>
        </w:rPr>
        <w:t>BRASIL. Lei n. 8.213, de 24 de julho de 1991. Dispõe sobre os Planos de Benefícios da Previdência Social e dá outras providências. Disponível em: www.planalto.gov.br. Acesso em: 15 maio 2026.</w:t>
      </w:r>
    </w:p>
    <w:p w14:paraId="7E15764D" w14:textId="77777777" w:rsidR="005A5FCC" w:rsidRDefault="00A21C81">
      <w:pPr>
        <w:spacing w:after="48" w:line="240" w:lineRule="auto"/>
        <w:ind w:left="272" w:hanging="272"/>
        <w:jc w:val="left"/>
      </w:pPr>
      <w:r>
        <w:rPr>
          <w:rFonts w:cs="EB Garamond"/>
          <w:kern w:val="16"/>
          <w:sz w:val="18"/>
          <w14:ligatures w14:val="standardContextual"/>
        </w:rPr>
        <w:t>BRASIL. Lei n. 8.742, de 7 de dezembro de 1993.</w:t>
      </w:r>
    </w:p>
    <w:p w14:paraId="186851B3" w14:textId="77777777" w:rsidR="005A5FCC" w:rsidRDefault="00A21C81">
      <w:pPr>
        <w:spacing w:after="48" w:line="240" w:lineRule="auto"/>
        <w:ind w:left="272" w:hanging="272"/>
        <w:jc w:val="left"/>
      </w:pPr>
      <w:r>
        <w:rPr>
          <w:rFonts w:cs="EB Garamond"/>
          <w:kern w:val="16"/>
          <w:sz w:val="18"/>
          <w14:ligatures w14:val="standardContextual"/>
        </w:rPr>
        <w:t>BRASIL. Lei n. 9.528, de 10 de dezembro de 1997. Altera dispositivos das Leis n. 8.212 e n. 8.213. Disponível em: www.planalto.gov.br. Acesso em: 15 maio 2026.</w:t>
      </w:r>
    </w:p>
    <w:p w14:paraId="7512FEE4" w14:textId="77777777" w:rsidR="005A5FCC" w:rsidRDefault="00A21C81">
      <w:pPr>
        <w:spacing w:after="48" w:line="240" w:lineRule="auto"/>
        <w:ind w:left="272" w:hanging="272"/>
        <w:jc w:val="left"/>
      </w:pPr>
      <w:r>
        <w:rPr>
          <w:rFonts w:cs="EB Garamond"/>
          <w:kern w:val="16"/>
          <w:sz w:val="18"/>
          <w14:ligatures w14:val="standardContextual"/>
        </w:rPr>
        <w:lastRenderedPageBreak/>
        <w:t>BRASIL. Lei nº 10.259, de 12 de julho de 2001. Dispõe sobre a instituição dos Juizados Especiais Cíveis e Criminais no âmbito da Justiça Federal. Arts. 3º, 11, 17.</w:t>
      </w:r>
    </w:p>
    <w:p w14:paraId="74C959E0" w14:textId="77777777" w:rsidR="005A5FCC" w:rsidRDefault="00A21C81">
      <w:pPr>
        <w:spacing w:after="48" w:line="240" w:lineRule="auto"/>
        <w:ind w:left="272" w:hanging="272"/>
        <w:jc w:val="left"/>
      </w:pPr>
      <w:r>
        <w:rPr>
          <w:rFonts w:cs="EB Garamond"/>
          <w:kern w:val="16"/>
          <w:sz w:val="18"/>
          <w14:ligatures w14:val="standardContextual"/>
        </w:rPr>
        <w:t>BRASIL. Lei nº 10.839, de 5 de fevereiro de 2004. Altera a Lei nº 8.213/91. Reabertura do prazo decadencial.</w:t>
      </w:r>
    </w:p>
    <w:p w14:paraId="6B89D9B0" w14:textId="77777777" w:rsidR="005A5FCC" w:rsidRDefault="00A21C81">
      <w:pPr>
        <w:spacing w:after="48" w:line="240" w:lineRule="auto"/>
        <w:ind w:left="272" w:hanging="272"/>
        <w:jc w:val="left"/>
      </w:pPr>
      <w:r>
        <w:rPr>
          <w:rFonts w:cs="EB Garamond"/>
          <w:kern w:val="16"/>
          <w:sz w:val="18"/>
          <w14:ligatures w14:val="standardContextual"/>
        </w:rPr>
        <w:t>BRASIL. Lei nº 11.960, de 29 de junho de 2009. Altera o art. 1º-F da Lei nº 9.494/97.</w:t>
      </w:r>
    </w:p>
    <w:p w14:paraId="227123C2" w14:textId="77777777" w:rsidR="005A5FCC" w:rsidRDefault="00A21C81">
      <w:pPr>
        <w:spacing w:after="48" w:line="240" w:lineRule="auto"/>
        <w:ind w:left="272" w:hanging="272"/>
        <w:jc w:val="left"/>
      </w:pPr>
      <w:r>
        <w:rPr>
          <w:rFonts w:cs="EB Garamond"/>
          <w:kern w:val="16"/>
          <w:sz w:val="18"/>
          <w14:ligatures w14:val="standardContextual"/>
        </w:rPr>
        <w:t>BRASIL. Lei nº 13.105, de 16 de março de 2015. Código de Processo Civil. Arts. 240, 292, 300, 311, 332, 487, 493, 509, 525, 927, 966, 975.</w:t>
      </w:r>
    </w:p>
    <w:p w14:paraId="697595D4" w14:textId="77777777" w:rsidR="005A5FCC" w:rsidRDefault="00A21C81">
      <w:pPr>
        <w:spacing w:after="48" w:line="240" w:lineRule="auto"/>
        <w:ind w:left="272" w:hanging="272"/>
        <w:jc w:val="left"/>
      </w:pPr>
      <w:r>
        <w:rPr>
          <w:rFonts w:cs="EB Garamond"/>
          <w:kern w:val="16"/>
          <w:sz w:val="18"/>
          <w14:ligatures w14:val="standardContextual"/>
        </w:rPr>
        <w:t>BRASIL. Lei nº 13.183, de 4 de novembro de 2015. Altera as Leis nºs 8.212 e 8.213, ambas de 24 de julho de 1991, para tratar da associação do segurado especial em cooperativa de crédito rural e, ainda essa última, para atualizar o rol de dependentes, estabelecer regra de não incidência do fator previdenciário, e dá outras providências. Diário Oficial da União, Brasília, DF, 5 nov. 2015.</w:t>
      </w:r>
    </w:p>
    <w:p w14:paraId="5F01C360" w14:textId="77777777" w:rsidR="005A5FCC" w:rsidRDefault="00A21C81">
      <w:pPr>
        <w:spacing w:after="48" w:line="240" w:lineRule="auto"/>
        <w:ind w:left="272" w:hanging="272"/>
        <w:jc w:val="left"/>
      </w:pPr>
      <w:r>
        <w:rPr>
          <w:rFonts w:cs="EB Garamond"/>
          <w:kern w:val="16"/>
          <w:sz w:val="18"/>
          <w14:ligatures w14:val="standardContextual"/>
        </w:rPr>
        <w:t>BRASIL. Lei nº 13.846, de 18 de junho de 2019. Institui o Programa Especial para Análise de Benefícios com Indícios de Irregularidade e o Programa de Revisão de Benefícios por Incapacidade, altera a Lei nº 8.213/91 e dá outras providências. Diário Oficial da União, Brasília, DF, 19 jun. 2019.</w:t>
      </w:r>
    </w:p>
    <w:p w14:paraId="61B12026" w14:textId="77777777" w:rsidR="005A5FCC" w:rsidRDefault="00A21C81">
      <w:pPr>
        <w:spacing w:after="48" w:line="240" w:lineRule="auto"/>
        <w:ind w:left="272" w:hanging="272"/>
        <w:jc w:val="left"/>
      </w:pPr>
      <w:r>
        <w:rPr>
          <w:rFonts w:cs="EB Garamond"/>
          <w:kern w:val="16"/>
          <w:sz w:val="18"/>
          <w14:ligatures w14:val="standardContextual"/>
        </w:rPr>
        <w:t>BRASIL. Lei nº 14.331, de 4 de maio de 2022. Altera a Lei nº 8.213/91, para dispor sobre o cálculo da renda mensal inicial dos benefícios de prestação continuada. Diário Oficial da União, Brasília, DF, 5 maio 2022.</w:t>
      </w:r>
    </w:p>
    <w:p w14:paraId="632B4FAF" w14:textId="77777777" w:rsidR="005A5FCC" w:rsidRDefault="00A21C81">
      <w:pPr>
        <w:spacing w:after="48" w:line="240" w:lineRule="auto"/>
        <w:ind w:left="272" w:hanging="272"/>
        <w:jc w:val="left"/>
      </w:pPr>
      <w:r>
        <w:rPr>
          <w:rFonts w:cs="EB Garamond"/>
          <w:kern w:val="16"/>
          <w:sz w:val="18"/>
          <w14:ligatures w14:val="standardContextual"/>
        </w:rPr>
        <w:t>BRASIL. Lei nº 14.784, de 27 de dezembro de 2023. Prorroga a desoneração da folha de pagamento.</w:t>
      </w:r>
    </w:p>
    <w:p w14:paraId="0F9CCC69" w14:textId="77777777" w:rsidR="005A5FCC" w:rsidRDefault="00A21C81">
      <w:pPr>
        <w:spacing w:after="48" w:line="240" w:lineRule="auto"/>
        <w:ind w:left="272" w:hanging="272"/>
        <w:jc w:val="left"/>
      </w:pPr>
      <w:r>
        <w:rPr>
          <w:rFonts w:cs="EB Garamond"/>
          <w:kern w:val="16"/>
          <w:sz w:val="18"/>
          <w14:ligatures w14:val="standardContextual"/>
        </w:rPr>
        <w:t>BRASIL. Lei nº 3.807, de 26 de agosto de 1960. Lei Orgânica da Previdência Social.</w:t>
      </w:r>
    </w:p>
    <w:p w14:paraId="0D5A97D6" w14:textId="77777777" w:rsidR="005A5FCC" w:rsidRDefault="00A21C81">
      <w:pPr>
        <w:spacing w:after="48" w:line="240" w:lineRule="auto"/>
        <w:ind w:left="272" w:hanging="272"/>
        <w:jc w:val="left"/>
      </w:pPr>
      <w:r>
        <w:rPr>
          <w:rFonts w:cs="EB Garamond"/>
          <w:kern w:val="16"/>
          <w:sz w:val="18"/>
          <w14:ligatures w14:val="standardContextual"/>
        </w:rPr>
        <w:t>BRASIL. Lei nº 6.439, de 1º de setembro de 1977. Institui o Sistema Nacional de Previdência e Assistência Social.</w:t>
      </w:r>
    </w:p>
    <w:p w14:paraId="677FAF5A" w14:textId="77777777" w:rsidR="005A5FCC" w:rsidRDefault="00A21C81">
      <w:pPr>
        <w:spacing w:after="48" w:line="240" w:lineRule="auto"/>
        <w:ind w:left="272" w:hanging="272"/>
        <w:jc w:val="left"/>
      </w:pPr>
      <w:r>
        <w:rPr>
          <w:rFonts w:cs="EB Garamond"/>
          <w:kern w:val="16"/>
          <w:sz w:val="18"/>
          <w14:ligatures w14:val="standardContextual"/>
        </w:rPr>
        <w:t>BRASIL. Lei nº 8.029, de 12 de abril de 1990. Dispõe sobre a extinção e dissolução de entidades da administração pública federal.</w:t>
      </w:r>
    </w:p>
    <w:p w14:paraId="2876FBE5" w14:textId="77777777" w:rsidR="005A5FCC" w:rsidRDefault="00A21C81">
      <w:pPr>
        <w:spacing w:after="48" w:line="240" w:lineRule="auto"/>
        <w:ind w:left="272" w:hanging="272"/>
        <w:jc w:val="left"/>
      </w:pPr>
      <w:r>
        <w:rPr>
          <w:rFonts w:cs="EB Garamond"/>
          <w:kern w:val="16"/>
          <w:sz w:val="18"/>
          <w14:ligatures w14:val="standardContextual"/>
        </w:rPr>
        <w:t>BRASIL. Lei nº 8.212, de 24 de julho de 1991. Dispõe sobre a organização da Seguridade Social, institui Plano de Custeio e dá outras providências.</w:t>
      </w:r>
    </w:p>
    <w:p w14:paraId="77AA3EC1" w14:textId="6B491A1D" w:rsidR="005A5FCC" w:rsidRDefault="00A21C81">
      <w:pPr>
        <w:spacing w:after="48" w:line="240" w:lineRule="auto"/>
        <w:ind w:left="272" w:hanging="272"/>
        <w:jc w:val="left"/>
      </w:pPr>
      <w:r>
        <w:rPr>
          <w:rFonts w:cs="EB Garamond"/>
          <w:kern w:val="16"/>
          <w:sz w:val="18"/>
          <w14:ligatures w14:val="standardContextual"/>
        </w:rPr>
        <w:t xml:space="preserve">BRASIL. Lei nº 9.032, de 28 de abril de 1995. Dispõe sobre o valor do </w:t>
      </w:r>
      <w:r w:rsidR="00460E75">
        <w:rPr>
          <w:rFonts w:cs="EB Garamond"/>
          <w:kern w:val="16"/>
          <w:sz w:val="18"/>
          <w14:ligatures w14:val="standardContextual"/>
        </w:rPr>
        <w:t>salário-mínimo</w:t>
      </w:r>
      <w:r>
        <w:rPr>
          <w:rFonts w:cs="EB Garamond"/>
          <w:kern w:val="16"/>
          <w:sz w:val="18"/>
          <w14:ligatures w14:val="standardContextual"/>
        </w:rPr>
        <w:t>, altera dispositivos das Leis nº 8.212 e nº 8.213, ambas de 24 de julho de 1991, e dá outras providências. Diário Oficial da União, Brasília, DF, 29 abr. 1995.</w:t>
      </w:r>
    </w:p>
    <w:p w14:paraId="593665A7" w14:textId="77777777" w:rsidR="005A5FCC" w:rsidRDefault="00A21C81">
      <w:pPr>
        <w:spacing w:after="48" w:line="240" w:lineRule="auto"/>
        <w:ind w:left="272" w:hanging="272"/>
        <w:jc w:val="left"/>
      </w:pPr>
      <w:r>
        <w:rPr>
          <w:rFonts w:cs="EB Garamond"/>
          <w:kern w:val="16"/>
          <w:sz w:val="18"/>
          <w14:ligatures w14:val="standardContextual"/>
        </w:rPr>
        <w:t>BRASIL. Lei nº 9.099, de 26 de setembro de 1995. Dispõe sobre os Juizados Especiais Cíveis e Criminais e dá outras providências. Art. 59.</w:t>
      </w:r>
    </w:p>
    <w:p w14:paraId="16E6951B" w14:textId="77777777" w:rsidR="005A5FCC" w:rsidRDefault="00A21C81">
      <w:pPr>
        <w:spacing w:after="48" w:line="240" w:lineRule="auto"/>
        <w:ind w:left="272" w:hanging="272"/>
        <w:jc w:val="left"/>
      </w:pPr>
      <w:r>
        <w:rPr>
          <w:rFonts w:cs="EB Garamond"/>
          <w:kern w:val="16"/>
          <w:sz w:val="18"/>
          <w14:ligatures w14:val="standardContextual"/>
        </w:rPr>
        <w:t>BRASIL. Lei nº 9.711, de 20 de novembro de 1998. Altera dispositivos da legislação previdenciária.</w:t>
      </w:r>
    </w:p>
    <w:p w14:paraId="26F2F3B1" w14:textId="77777777" w:rsidR="005A5FCC" w:rsidRDefault="00A21C81">
      <w:pPr>
        <w:spacing w:after="48" w:line="240" w:lineRule="auto"/>
        <w:ind w:left="272" w:hanging="272"/>
        <w:jc w:val="left"/>
      </w:pPr>
      <w:r>
        <w:rPr>
          <w:rFonts w:cs="EB Garamond"/>
          <w:kern w:val="16"/>
          <w:sz w:val="18"/>
          <w14:ligatures w14:val="standardContextual"/>
        </w:rPr>
        <w:t>BRASIL. Lei nº 9.876, de 26 de novembro de 1999. Dispõe sobre a contribuição previdenciária do contribuinte individual, o cálculo do benefício, altera dispositivos das Leis nºs 8.212 e 8.213, ambas de 24 de julho de 1991, e dá outras providências. Diário Oficial da União, Brasília, DF, 29 nov. 1999.</w:t>
      </w:r>
    </w:p>
    <w:p w14:paraId="517BA0B2" w14:textId="77777777" w:rsidR="005A5FCC" w:rsidRDefault="00A21C81">
      <w:pPr>
        <w:spacing w:after="48" w:line="240" w:lineRule="auto"/>
        <w:ind w:left="272" w:hanging="272"/>
        <w:jc w:val="left"/>
      </w:pPr>
      <w:r>
        <w:rPr>
          <w:rFonts w:cs="EB Garamond"/>
          <w:kern w:val="16"/>
          <w:sz w:val="18"/>
          <w14:ligatures w14:val="standardContextual"/>
        </w:rPr>
        <w:lastRenderedPageBreak/>
        <w:t>BRASIL. Medida Provisória nº 316, de 11 de agosto de 2006. Convertida na Lei nº 11.430, de 26 de dezembro de 2006. Altera as Leis nºs 8.213 e 9.796, de 5 de maio de 1999, aumenta o valor dos benefícios da previdência social; e revoga a Lei nº 6.439, de 1º de setembro de 1977. Diário Oficial da União, Brasília, DF, 27 dez. 2006.</w:t>
      </w:r>
    </w:p>
    <w:p w14:paraId="0ED0ACE0" w14:textId="77777777" w:rsidR="005A5FCC" w:rsidRDefault="00A21C81">
      <w:pPr>
        <w:spacing w:after="48" w:line="240" w:lineRule="auto"/>
        <w:ind w:left="272" w:hanging="272"/>
        <w:jc w:val="left"/>
      </w:pPr>
      <w:r>
        <w:rPr>
          <w:rFonts w:cs="EB Garamond"/>
          <w:kern w:val="16"/>
          <w:sz w:val="18"/>
          <w14:ligatures w14:val="standardContextual"/>
        </w:rPr>
        <w:t>BRASIL. Portaria Conjunta INSS/MDS n. 34, de 9 de outubro de 2025.</w:t>
      </w:r>
    </w:p>
    <w:p w14:paraId="7684C98A" w14:textId="77777777" w:rsidR="005A5FCC" w:rsidRDefault="00A21C81">
      <w:pPr>
        <w:spacing w:after="48" w:line="240" w:lineRule="auto"/>
        <w:ind w:left="272" w:hanging="272"/>
        <w:jc w:val="left"/>
      </w:pPr>
      <w:r>
        <w:rPr>
          <w:rFonts w:cs="EB Garamond"/>
          <w:kern w:val="16"/>
          <w:sz w:val="18"/>
          <w14:ligatures w14:val="standardContextual"/>
        </w:rPr>
        <w:t>BRASIL. Portaria Conjunta MDS/MPS/INSS n. 33, de 5 de agosto de 2025.</w:t>
      </w:r>
    </w:p>
    <w:p w14:paraId="5F34ADDD" w14:textId="77777777" w:rsidR="005A5FCC" w:rsidRDefault="00A21C81">
      <w:pPr>
        <w:spacing w:after="48" w:line="240" w:lineRule="auto"/>
        <w:ind w:left="272" w:hanging="272"/>
        <w:jc w:val="left"/>
      </w:pPr>
      <w:r>
        <w:rPr>
          <w:rFonts w:cs="EB Garamond"/>
          <w:kern w:val="16"/>
          <w:sz w:val="18"/>
          <w14:ligatures w14:val="standardContextual"/>
        </w:rPr>
        <w:t>BRASIL. Portaria Conjunta MPS/INSS n. 13, de 21 de março de 2026.</w:t>
      </w:r>
    </w:p>
    <w:p w14:paraId="02FEE582" w14:textId="77777777" w:rsidR="005A5FCC" w:rsidRDefault="00A21C81">
      <w:pPr>
        <w:spacing w:after="48" w:line="240" w:lineRule="auto"/>
        <w:ind w:left="272" w:hanging="272"/>
        <w:jc w:val="left"/>
      </w:pPr>
      <w:r>
        <w:rPr>
          <w:rFonts w:cs="EB Garamond"/>
          <w:kern w:val="16"/>
          <w:sz w:val="18"/>
          <w14:ligatures w14:val="standardContextual"/>
        </w:rPr>
        <w:t>BRASIL. Portaria Interministerial MPS/MF n. 13, de 9 de janeiro de 2026. Dispõe sobre a atualização dos valores do salário-família e demais benefícios previdenciários. Disponível em: www.planalto.gov.br. Acesso em: 15 maio 2026.</w:t>
      </w:r>
    </w:p>
    <w:p w14:paraId="07B76720" w14:textId="77777777" w:rsidR="005A5FCC" w:rsidRDefault="00A21C81">
      <w:pPr>
        <w:spacing w:after="48" w:line="240" w:lineRule="auto"/>
        <w:ind w:left="272" w:hanging="272"/>
        <w:jc w:val="left"/>
      </w:pPr>
      <w:r>
        <w:rPr>
          <w:rFonts w:cs="EB Garamond"/>
          <w:kern w:val="16"/>
          <w:sz w:val="18"/>
          <w14:ligatures w14:val="standardContextual"/>
        </w:rPr>
        <w:t>BRASIL. Portaria Interministerial MPS/MF n. 6, de 10 de janeiro de 2026.</w:t>
      </w:r>
    </w:p>
    <w:p w14:paraId="21FBE144" w14:textId="77777777" w:rsidR="005A5FCC" w:rsidRDefault="00A21C81">
      <w:pPr>
        <w:spacing w:after="48" w:line="240" w:lineRule="auto"/>
        <w:ind w:left="272" w:hanging="272"/>
        <w:jc w:val="left"/>
      </w:pPr>
      <w:r>
        <w:rPr>
          <w:rFonts w:cs="EB Garamond"/>
          <w:kern w:val="16"/>
          <w:sz w:val="18"/>
          <w14:ligatures w14:val="standardContextual"/>
        </w:rPr>
        <w:t>BRASIL. Portaria Interministerial MPS/MF nº 19, de 29 de janeiro de 2004. Fixa o teto do RGPS em R$ 2.400,00 a partir de maio de 2004.</w:t>
      </w:r>
    </w:p>
    <w:p w14:paraId="56FD9F5F" w14:textId="77777777" w:rsidR="005A5FCC" w:rsidRDefault="00A21C81">
      <w:pPr>
        <w:spacing w:after="48" w:line="240" w:lineRule="auto"/>
        <w:ind w:left="272" w:hanging="272"/>
        <w:jc w:val="left"/>
      </w:pPr>
      <w:r>
        <w:rPr>
          <w:rFonts w:cs="EB Garamond"/>
          <w:kern w:val="16"/>
          <w:sz w:val="18"/>
          <w14:ligatures w14:val="standardContextual"/>
        </w:rPr>
        <w:t>BRASIL. Portaria MDS/INSS n. 1.695, de 17 de maio de 2024.</w:t>
      </w:r>
    </w:p>
    <w:p w14:paraId="5AD7DA83" w14:textId="77777777" w:rsidR="005A5FCC" w:rsidRDefault="00A21C81">
      <w:pPr>
        <w:spacing w:after="48" w:line="240" w:lineRule="auto"/>
        <w:ind w:left="272" w:hanging="272"/>
        <w:jc w:val="left"/>
      </w:pPr>
      <w:r>
        <w:rPr>
          <w:rFonts w:cs="EB Garamond"/>
          <w:kern w:val="16"/>
          <w:sz w:val="18"/>
          <w14:ligatures w14:val="standardContextual"/>
        </w:rPr>
        <w:t>BRASIL. Resolução CMN n. 3.211, de 30 de junho de 2004.</w:t>
      </w:r>
    </w:p>
    <w:p w14:paraId="25E6B167" w14:textId="77777777" w:rsidR="005A5FCC" w:rsidRDefault="00A21C81">
      <w:pPr>
        <w:spacing w:after="48" w:line="240" w:lineRule="auto"/>
        <w:ind w:left="272" w:hanging="272"/>
        <w:jc w:val="left"/>
      </w:pPr>
      <w:r>
        <w:rPr>
          <w:rFonts w:cs="EB Garamond"/>
          <w:kern w:val="16"/>
          <w:sz w:val="18"/>
          <w14:ligatures w14:val="standardContextual"/>
        </w:rPr>
        <w:t>BRASIL. Resolução CNJ n. 630, de 29 de julho de 2025.</w:t>
      </w:r>
    </w:p>
    <w:p w14:paraId="1E307FC8" w14:textId="77777777" w:rsidR="005A5FCC" w:rsidRDefault="00A21C81">
      <w:pPr>
        <w:spacing w:after="48" w:line="240" w:lineRule="auto"/>
        <w:ind w:left="272" w:hanging="272"/>
        <w:jc w:val="left"/>
      </w:pPr>
      <w:r>
        <w:rPr>
          <w:rFonts w:cs="EB Garamond"/>
          <w:kern w:val="16"/>
          <w:sz w:val="18"/>
          <w14:ligatures w14:val="standardContextual"/>
        </w:rPr>
        <w:t>Constituição da República Federativa do Brasil de 1988.</w:t>
      </w:r>
    </w:p>
    <w:p w14:paraId="45A2DA72" w14:textId="77777777" w:rsidR="005A5FCC" w:rsidRDefault="00A21C81">
      <w:pPr>
        <w:spacing w:after="48" w:line="240" w:lineRule="auto"/>
        <w:ind w:left="272" w:hanging="272"/>
        <w:jc w:val="left"/>
      </w:pPr>
      <w:r>
        <w:rPr>
          <w:rFonts w:cs="EB Garamond"/>
          <w:kern w:val="16"/>
          <w:sz w:val="18"/>
          <w14:ligatures w14:val="standardContextual"/>
        </w:rPr>
        <w:t>Constituição Federal, art. 201, I.</w:t>
      </w:r>
    </w:p>
    <w:p w14:paraId="13A32980" w14:textId="77777777" w:rsidR="005A5FCC" w:rsidRDefault="00A21C81">
      <w:pPr>
        <w:spacing w:after="48" w:line="240" w:lineRule="auto"/>
        <w:ind w:left="272" w:hanging="272"/>
        <w:jc w:val="left"/>
      </w:pPr>
      <w:r>
        <w:rPr>
          <w:rFonts w:cs="EB Garamond"/>
          <w:kern w:val="16"/>
          <w:sz w:val="18"/>
          <w14:ligatures w14:val="standardContextual"/>
        </w:rPr>
        <w:t>Código Civil de 2002.</w:t>
      </w:r>
    </w:p>
    <w:p w14:paraId="757BBE0E" w14:textId="77777777" w:rsidR="005A5FCC" w:rsidRDefault="00A21C81">
      <w:pPr>
        <w:spacing w:after="48" w:line="240" w:lineRule="auto"/>
        <w:ind w:left="272" w:hanging="272"/>
        <w:jc w:val="left"/>
      </w:pPr>
      <w:r>
        <w:rPr>
          <w:rFonts w:cs="EB Garamond"/>
          <w:kern w:val="16"/>
          <w:sz w:val="18"/>
          <w14:ligatures w14:val="standardContextual"/>
        </w:rPr>
        <w:t>Código de Processo Civil de 2015, arts. 371, 464 a 480 e 493.</w:t>
      </w:r>
    </w:p>
    <w:p w14:paraId="273725E2" w14:textId="77777777" w:rsidR="005A5FCC" w:rsidRDefault="00A21C81">
      <w:pPr>
        <w:spacing w:after="48" w:line="240" w:lineRule="auto"/>
        <w:ind w:left="272" w:hanging="272"/>
        <w:jc w:val="left"/>
      </w:pPr>
      <w:r>
        <w:rPr>
          <w:rFonts w:cs="EB Garamond"/>
          <w:kern w:val="16"/>
          <w:sz w:val="18"/>
          <w14:ligatures w14:val="standardContextual"/>
        </w:rPr>
        <w:t>Decreto 20.910, de 6 de janeiro de 1932.</w:t>
      </w:r>
    </w:p>
    <w:p w14:paraId="09B52041" w14:textId="77777777" w:rsidR="005A5FCC" w:rsidRDefault="00A21C81">
      <w:pPr>
        <w:spacing w:after="48" w:line="240" w:lineRule="auto"/>
        <w:ind w:left="272" w:hanging="272"/>
        <w:jc w:val="left"/>
      </w:pPr>
      <w:r>
        <w:rPr>
          <w:rFonts w:cs="EB Garamond"/>
          <w:kern w:val="16"/>
          <w:sz w:val="18"/>
          <w14:ligatures w14:val="standardContextual"/>
        </w:rPr>
        <w:t>Decreto n. 10.410, de 30 de junho de 2020.</w:t>
      </w:r>
    </w:p>
    <w:p w14:paraId="04A3063A" w14:textId="77777777" w:rsidR="005A5FCC" w:rsidRDefault="00A21C81">
      <w:pPr>
        <w:spacing w:after="48" w:line="240" w:lineRule="auto"/>
        <w:ind w:left="272" w:hanging="272"/>
        <w:jc w:val="left"/>
      </w:pPr>
      <w:r>
        <w:rPr>
          <w:rFonts w:cs="EB Garamond"/>
          <w:kern w:val="16"/>
          <w:sz w:val="18"/>
          <w14:ligatures w14:val="standardContextual"/>
        </w:rPr>
        <w:t>Decreto n. 3.048, de 6 de maio de 1999.</w:t>
      </w:r>
    </w:p>
    <w:p w14:paraId="7D32A3C7" w14:textId="77777777" w:rsidR="005A5FCC" w:rsidRDefault="00A21C81">
      <w:pPr>
        <w:spacing w:after="48" w:line="240" w:lineRule="auto"/>
        <w:ind w:left="272" w:hanging="272"/>
        <w:jc w:val="left"/>
      </w:pPr>
      <w:r>
        <w:rPr>
          <w:rFonts w:cs="EB Garamond"/>
          <w:kern w:val="16"/>
          <w:sz w:val="18"/>
          <w14:ligatures w14:val="standardContextual"/>
        </w:rPr>
        <w:t>Decreto n. 6.949, de 25 de agosto de 2009.</w:t>
      </w:r>
    </w:p>
    <w:p w14:paraId="1AC1F8CA" w14:textId="77777777" w:rsidR="005A5FCC" w:rsidRDefault="00A21C81">
      <w:pPr>
        <w:spacing w:after="48" w:line="240" w:lineRule="auto"/>
        <w:ind w:left="272" w:hanging="272"/>
        <w:jc w:val="left"/>
      </w:pPr>
      <w:r>
        <w:rPr>
          <w:rFonts w:cs="EB Garamond"/>
          <w:kern w:val="16"/>
          <w:sz w:val="18"/>
          <w14:ligatures w14:val="standardContextual"/>
        </w:rPr>
        <w:t>Decreto n. 8.145, de 3 de dezembro de 2013.</w:t>
      </w:r>
    </w:p>
    <w:p w14:paraId="1E721BA7" w14:textId="77777777" w:rsidR="005A5FCC" w:rsidRDefault="00A21C81">
      <w:pPr>
        <w:spacing w:after="48" w:line="240" w:lineRule="auto"/>
        <w:ind w:left="272" w:hanging="272"/>
        <w:jc w:val="left"/>
      </w:pPr>
      <w:r>
        <w:rPr>
          <w:rFonts w:cs="EB Garamond"/>
          <w:kern w:val="16"/>
          <w:sz w:val="18"/>
          <w14:ligatures w14:val="standardContextual"/>
        </w:rPr>
        <w:t>EC 103/2019.</w:t>
      </w:r>
    </w:p>
    <w:p w14:paraId="1A9B86F9" w14:textId="77777777" w:rsidR="005A5FCC" w:rsidRDefault="00A21C81">
      <w:pPr>
        <w:spacing w:after="48" w:line="240" w:lineRule="auto"/>
        <w:ind w:left="272" w:hanging="272"/>
        <w:jc w:val="left"/>
      </w:pPr>
      <w:r>
        <w:rPr>
          <w:rFonts w:cs="EB Garamond"/>
          <w:kern w:val="16"/>
          <w:sz w:val="18"/>
          <w14:ligatures w14:val="standardContextual"/>
        </w:rPr>
        <w:t>EC 20/1998.</w:t>
      </w:r>
    </w:p>
    <w:p w14:paraId="5B95C5DD" w14:textId="77777777" w:rsidR="005A5FCC" w:rsidRDefault="00A21C81">
      <w:pPr>
        <w:spacing w:after="48" w:line="240" w:lineRule="auto"/>
        <w:ind w:left="272" w:hanging="272"/>
        <w:jc w:val="left"/>
      </w:pPr>
      <w:r>
        <w:rPr>
          <w:rFonts w:cs="EB Garamond"/>
          <w:kern w:val="16"/>
          <w:sz w:val="18"/>
          <w14:ligatures w14:val="standardContextual"/>
        </w:rPr>
        <w:t>EC n. 103, de 12 de novembro de 2019.</w:t>
      </w:r>
    </w:p>
    <w:p w14:paraId="1BD48D19" w14:textId="77777777" w:rsidR="005A5FCC" w:rsidRDefault="00A21C81">
      <w:pPr>
        <w:spacing w:after="48" w:line="240" w:lineRule="auto"/>
        <w:ind w:left="272" w:hanging="272"/>
        <w:jc w:val="left"/>
      </w:pPr>
      <w:r>
        <w:rPr>
          <w:rFonts w:cs="EB Garamond"/>
          <w:kern w:val="16"/>
          <w:sz w:val="18"/>
          <w14:ligatures w14:val="standardContextual"/>
        </w:rPr>
        <w:t>Emenda Constitucional n. 103, de 12 de novembro de 2019, art. 26, §§ 2º e 3º, II.</w:t>
      </w:r>
    </w:p>
    <w:p w14:paraId="4435BB71" w14:textId="77777777" w:rsidR="005A5FCC" w:rsidRDefault="00A21C81">
      <w:pPr>
        <w:spacing w:after="48" w:line="240" w:lineRule="auto"/>
        <w:ind w:left="272" w:hanging="272"/>
        <w:jc w:val="left"/>
      </w:pPr>
      <w:r>
        <w:rPr>
          <w:rFonts w:cs="EB Garamond"/>
          <w:kern w:val="16"/>
          <w:sz w:val="18"/>
          <w14:ligatures w14:val="standardContextual"/>
        </w:rPr>
        <w:t>IN INSS/PRES n. 128/2022.</w:t>
      </w:r>
    </w:p>
    <w:p w14:paraId="5C64C334" w14:textId="77777777" w:rsidR="005A5FCC" w:rsidRDefault="00A21C81">
      <w:pPr>
        <w:spacing w:after="48" w:line="240" w:lineRule="auto"/>
        <w:ind w:left="272" w:hanging="272"/>
        <w:jc w:val="left"/>
      </w:pPr>
      <w:r>
        <w:rPr>
          <w:rFonts w:cs="EB Garamond"/>
          <w:kern w:val="16"/>
          <w:sz w:val="18"/>
          <w14:ligatures w14:val="standardContextual"/>
        </w:rPr>
        <w:t>IN INSS/PRES n. 188/2025.</w:t>
      </w:r>
    </w:p>
    <w:p w14:paraId="20A183F9" w14:textId="77777777" w:rsidR="005A5FCC" w:rsidRDefault="00A21C81">
      <w:pPr>
        <w:spacing w:after="48" w:line="240" w:lineRule="auto"/>
        <w:ind w:left="272" w:hanging="272"/>
        <w:jc w:val="left"/>
      </w:pPr>
      <w:r>
        <w:rPr>
          <w:rFonts w:cs="EB Garamond"/>
          <w:kern w:val="16"/>
          <w:sz w:val="18"/>
          <w14:ligatures w14:val="standardContextual"/>
        </w:rPr>
        <w:t>LC n. 142, de 8 de maio de 2013.</w:t>
      </w:r>
    </w:p>
    <w:p w14:paraId="6F50B861" w14:textId="77777777" w:rsidR="005A5FCC" w:rsidRDefault="00A21C81">
      <w:pPr>
        <w:spacing w:after="48" w:line="240" w:lineRule="auto"/>
        <w:ind w:left="272" w:hanging="272"/>
        <w:jc w:val="left"/>
      </w:pPr>
      <w:r>
        <w:rPr>
          <w:rFonts w:cs="EB Garamond"/>
          <w:kern w:val="16"/>
          <w:sz w:val="18"/>
          <w14:ligatures w14:val="standardContextual"/>
        </w:rPr>
        <w:t>LC n. 150, de 1º de junho de 2015.</w:t>
      </w:r>
    </w:p>
    <w:p w14:paraId="06BE41AD" w14:textId="77777777" w:rsidR="005A5FCC" w:rsidRDefault="00A21C81">
      <w:pPr>
        <w:spacing w:after="48" w:line="240" w:lineRule="auto"/>
        <w:ind w:left="272" w:hanging="272"/>
        <w:jc w:val="left"/>
      </w:pPr>
      <w:r>
        <w:rPr>
          <w:rFonts w:cs="EB Garamond"/>
          <w:kern w:val="16"/>
          <w:sz w:val="18"/>
          <w14:ligatures w14:val="standardContextual"/>
        </w:rPr>
        <w:t>Lei 10.259, de 12 de julho de 2001.</w:t>
      </w:r>
    </w:p>
    <w:p w14:paraId="4BEA34A2" w14:textId="77777777" w:rsidR="005A5FCC" w:rsidRDefault="00A21C81">
      <w:pPr>
        <w:spacing w:after="48" w:line="240" w:lineRule="auto"/>
        <w:ind w:left="272" w:hanging="272"/>
        <w:jc w:val="left"/>
      </w:pPr>
      <w:r>
        <w:rPr>
          <w:rFonts w:cs="EB Garamond"/>
          <w:kern w:val="16"/>
          <w:sz w:val="18"/>
          <w14:ligatures w14:val="standardContextual"/>
        </w:rPr>
        <w:t>Lei 10.839, de 5 de fevereiro de 2004.</w:t>
      </w:r>
    </w:p>
    <w:p w14:paraId="72F1F9D3" w14:textId="77777777" w:rsidR="005A5FCC" w:rsidRDefault="00A21C81">
      <w:pPr>
        <w:spacing w:after="48" w:line="240" w:lineRule="auto"/>
        <w:ind w:left="272" w:hanging="272"/>
        <w:jc w:val="left"/>
      </w:pPr>
      <w:r>
        <w:rPr>
          <w:rFonts w:cs="EB Garamond"/>
          <w:kern w:val="16"/>
          <w:sz w:val="18"/>
          <w14:ligatures w14:val="standardContextual"/>
        </w:rPr>
        <w:t>Lei 9.099, de 26 de setembro de 1995.</w:t>
      </w:r>
    </w:p>
    <w:p w14:paraId="4809FEBA" w14:textId="77777777" w:rsidR="005A5FCC" w:rsidRDefault="00A21C81">
      <w:pPr>
        <w:spacing w:after="48" w:line="240" w:lineRule="auto"/>
        <w:ind w:left="272" w:hanging="272"/>
        <w:jc w:val="left"/>
      </w:pPr>
      <w:r>
        <w:rPr>
          <w:rFonts w:cs="EB Garamond"/>
          <w:kern w:val="16"/>
          <w:sz w:val="18"/>
          <w14:ligatures w14:val="standardContextual"/>
        </w:rPr>
        <w:lastRenderedPageBreak/>
        <w:t>Lei 9.528, de 10 de dezembro de 1997.</w:t>
      </w:r>
    </w:p>
    <w:p w14:paraId="427DEEC7" w14:textId="77777777" w:rsidR="005A5FCC" w:rsidRDefault="00A21C81">
      <w:pPr>
        <w:spacing w:after="48" w:line="240" w:lineRule="auto"/>
        <w:ind w:left="272" w:hanging="272"/>
        <w:jc w:val="left"/>
      </w:pPr>
      <w:r>
        <w:rPr>
          <w:rFonts w:cs="EB Garamond"/>
          <w:kern w:val="16"/>
          <w:sz w:val="18"/>
          <w14:ligatures w14:val="standardContextual"/>
        </w:rPr>
        <w:t>Lei 9.711, de 20 de novembro de 1998.</w:t>
      </w:r>
    </w:p>
    <w:p w14:paraId="743E0D86" w14:textId="77777777" w:rsidR="005A5FCC" w:rsidRDefault="00A21C81">
      <w:pPr>
        <w:spacing w:after="48" w:line="240" w:lineRule="auto"/>
        <w:ind w:left="272" w:hanging="272"/>
        <w:jc w:val="left"/>
      </w:pPr>
      <w:r>
        <w:rPr>
          <w:rFonts w:cs="EB Garamond"/>
          <w:kern w:val="16"/>
          <w:sz w:val="18"/>
          <w14:ligatures w14:val="standardContextual"/>
        </w:rPr>
        <w:t>Lei 9.784, de 29 de janeiro de 1999.</w:t>
      </w:r>
    </w:p>
    <w:p w14:paraId="0B99C797" w14:textId="77777777" w:rsidR="005A5FCC" w:rsidRDefault="00A21C81">
      <w:pPr>
        <w:spacing w:after="48" w:line="240" w:lineRule="auto"/>
        <w:ind w:left="272" w:hanging="272"/>
        <w:jc w:val="left"/>
      </w:pPr>
      <w:r>
        <w:rPr>
          <w:rFonts w:cs="EB Garamond"/>
          <w:kern w:val="16"/>
          <w:sz w:val="18"/>
          <w14:ligatures w14:val="standardContextual"/>
        </w:rPr>
        <w:t>Lei n. 10.259/2001.</w:t>
      </w:r>
    </w:p>
    <w:p w14:paraId="258AB3B7" w14:textId="77777777" w:rsidR="005A5FCC" w:rsidRDefault="00A21C81">
      <w:pPr>
        <w:spacing w:after="48" w:line="240" w:lineRule="auto"/>
        <w:ind w:left="272" w:hanging="272"/>
        <w:jc w:val="left"/>
      </w:pPr>
      <w:r>
        <w:rPr>
          <w:rFonts w:cs="EB Garamond"/>
          <w:kern w:val="16"/>
          <w:sz w:val="18"/>
          <w14:ligatures w14:val="standardContextual"/>
        </w:rPr>
        <w:t>Lei n. 10.421, de 15 de abril de 2002.</w:t>
      </w:r>
    </w:p>
    <w:p w14:paraId="551D2E60" w14:textId="77777777" w:rsidR="005A5FCC" w:rsidRDefault="00A21C81">
      <w:pPr>
        <w:spacing w:after="48" w:line="240" w:lineRule="auto"/>
        <w:ind w:left="272" w:hanging="272"/>
        <w:jc w:val="left"/>
      </w:pPr>
      <w:r>
        <w:rPr>
          <w:rFonts w:cs="EB Garamond"/>
          <w:kern w:val="16"/>
          <w:sz w:val="18"/>
          <w14:ligatures w14:val="standardContextual"/>
        </w:rPr>
        <w:t>Lei n. 10.666, de 8 de maio de 2003.</w:t>
      </w:r>
    </w:p>
    <w:p w14:paraId="5B88E9DF" w14:textId="77777777" w:rsidR="005A5FCC" w:rsidRDefault="00A21C81">
      <w:pPr>
        <w:spacing w:after="48" w:line="240" w:lineRule="auto"/>
        <w:ind w:left="272" w:hanging="272"/>
        <w:jc w:val="left"/>
      </w:pPr>
      <w:r>
        <w:rPr>
          <w:rFonts w:cs="EB Garamond"/>
          <w:kern w:val="16"/>
          <w:sz w:val="18"/>
          <w14:ligatures w14:val="standardContextual"/>
        </w:rPr>
        <w:t>Lei n. 11.419/2006.</w:t>
      </w:r>
    </w:p>
    <w:p w14:paraId="2E80F76A" w14:textId="77777777" w:rsidR="005A5FCC" w:rsidRDefault="00A21C81">
      <w:pPr>
        <w:spacing w:after="48" w:line="240" w:lineRule="auto"/>
        <w:ind w:left="272" w:hanging="272"/>
        <w:jc w:val="left"/>
      </w:pPr>
      <w:r>
        <w:rPr>
          <w:rFonts w:cs="EB Garamond"/>
          <w:kern w:val="16"/>
          <w:sz w:val="18"/>
          <w14:ligatures w14:val="standardContextual"/>
        </w:rPr>
        <w:t>Lei n. 11.430, de 26 de dezembro de 2006.</w:t>
      </w:r>
    </w:p>
    <w:p w14:paraId="24A06A76" w14:textId="77777777" w:rsidR="005A5FCC" w:rsidRDefault="00A21C81">
      <w:pPr>
        <w:spacing w:after="48" w:line="240" w:lineRule="auto"/>
        <w:ind w:left="272" w:hanging="272"/>
        <w:jc w:val="left"/>
      </w:pPr>
      <w:r>
        <w:rPr>
          <w:rFonts w:cs="EB Garamond"/>
          <w:kern w:val="16"/>
          <w:sz w:val="18"/>
          <w14:ligatures w14:val="standardContextual"/>
        </w:rPr>
        <w:t>Lei n. 11.718, de 20 de junho de 2008.</w:t>
      </w:r>
    </w:p>
    <w:p w14:paraId="3920F940" w14:textId="77777777" w:rsidR="005A5FCC" w:rsidRDefault="00A21C81">
      <w:pPr>
        <w:spacing w:after="48" w:line="240" w:lineRule="auto"/>
        <w:ind w:left="272" w:hanging="272"/>
        <w:jc w:val="left"/>
      </w:pPr>
      <w:r>
        <w:rPr>
          <w:rFonts w:cs="EB Garamond"/>
          <w:kern w:val="16"/>
          <w:sz w:val="18"/>
          <w14:ligatures w14:val="standardContextual"/>
        </w:rPr>
        <w:t>Lei n. 11.770, de 9 de setembro de 2008.</w:t>
      </w:r>
    </w:p>
    <w:p w14:paraId="4106D18F" w14:textId="77777777" w:rsidR="005A5FCC" w:rsidRDefault="00A21C81">
      <w:pPr>
        <w:spacing w:after="48" w:line="240" w:lineRule="auto"/>
        <w:ind w:left="272" w:hanging="272"/>
        <w:jc w:val="left"/>
      </w:pPr>
      <w:r>
        <w:rPr>
          <w:rFonts w:cs="EB Garamond"/>
          <w:kern w:val="16"/>
          <w:sz w:val="18"/>
          <w14:ligatures w14:val="standardContextual"/>
        </w:rPr>
        <w:t>Lei n. 12.873, de 24 de outubro de 2013.</w:t>
      </w:r>
    </w:p>
    <w:p w14:paraId="3DA23577" w14:textId="77777777" w:rsidR="005A5FCC" w:rsidRDefault="00A21C81">
      <w:pPr>
        <w:spacing w:after="48" w:line="240" w:lineRule="auto"/>
        <w:ind w:left="272" w:hanging="272"/>
        <w:jc w:val="left"/>
      </w:pPr>
      <w:r>
        <w:rPr>
          <w:rFonts w:cs="EB Garamond"/>
          <w:kern w:val="16"/>
          <w:sz w:val="18"/>
          <w14:ligatures w14:val="standardContextual"/>
        </w:rPr>
        <w:t>Lei n. 13.105/2015.</w:t>
      </w:r>
    </w:p>
    <w:p w14:paraId="12E9D9E5" w14:textId="77777777" w:rsidR="005A5FCC" w:rsidRDefault="00A21C81">
      <w:pPr>
        <w:spacing w:after="48" w:line="240" w:lineRule="auto"/>
        <w:ind w:left="272" w:hanging="272"/>
        <w:jc w:val="left"/>
      </w:pPr>
      <w:r>
        <w:rPr>
          <w:rFonts w:cs="EB Garamond"/>
          <w:kern w:val="16"/>
          <w:sz w:val="18"/>
          <w14:ligatures w14:val="standardContextual"/>
        </w:rPr>
        <w:t>Lei n. 13.135, de 17 de junho de 2015.</w:t>
      </w:r>
    </w:p>
    <w:p w14:paraId="3058DA7E" w14:textId="77777777" w:rsidR="005A5FCC" w:rsidRDefault="00A21C81">
      <w:pPr>
        <w:spacing w:after="48" w:line="240" w:lineRule="auto"/>
        <w:ind w:left="272" w:hanging="272"/>
        <w:jc w:val="left"/>
      </w:pPr>
      <w:r>
        <w:rPr>
          <w:rFonts w:cs="EB Garamond"/>
          <w:kern w:val="16"/>
          <w:sz w:val="18"/>
          <w14:ligatures w14:val="standardContextual"/>
        </w:rPr>
        <w:t>Lei n. 13.146, de 6 de julho de 2015.</w:t>
      </w:r>
    </w:p>
    <w:p w14:paraId="5BC2E55E" w14:textId="77777777" w:rsidR="005A5FCC" w:rsidRDefault="00A21C81">
      <w:pPr>
        <w:spacing w:after="48" w:line="240" w:lineRule="auto"/>
        <w:ind w:left="272" w:hanging="272"/>
        <w:jc w:val="left"/>
      </w:pPr>
      <w:r>
        <w:rPr>
          <w:rFonts w:cs="EB Garamond"/>
          <w:kern w:val="16"/>
          <w:sz w:val="18"/>
          <w14:ligatures w14:val="standardContextual"/>
        </w:rPr>
        <w:t>Lei n. 13.183, de 4 de novembro de 2015.</w:t>
      </w:r>
    </w:p>
    <w:p w14:paraId="5EE63FEE" w14:textId="77777777" w:rsidR="005A5FCC" w:rsidRDefault="00A21C81">
      <w:pPr>
        <w:spacing w:after="48" w:line="240" w:lineRule="auto"/>
        <w:ind w:left="272" w:hanging="272"/>
        <w:jc w:val="left"/>
      </w:pPr>
      <w:r>
        <w:rPr>
          <w:rFonts w:cs="EB Garamond"/>
          <w:kern w:val="16"/>
          <w:sz w:val="18"/>
          <w14:ligatures w14:val="standardContextual"/>
        </w:rPr>
        <w:t>Lei n. 13.457, de 26 de junho de 2017.</w:t>
      </w:r>
    </w:p>
    <w:p w14:paraId="422F862C" w14:textId="77777777" w:rsidR="005A5FCC" w:rsidRDefault="00A21C81">
      <w:pPr>
        <w:spacing w:after="48" w:line="240" w:lineRule="auto"/>
        <w:ind w:left="272" w:hanging="272"/>
        <w:jc w:val="left"/>
      </w:pPr>
      <w:r>
        <w:rPr>
          <w:rFonts w:cs="EB Garamond"/>
          <w:kern w:val="16"/>
          <w:sz w:val="18"/>
          <w14:ligatures w14:val="standardContextual"/>
        </w:rPr>
        <w:t>Lei n. 13.846, de 18 de junho de 2019.</w:t>
      </w:r>
    </w:p>
    <w:p w14:paraId="343B115D" w14:textId="77777777" w:rsidR="005A5FCC" w:rsidRDefault="00A21C81">
      <w:pPr>
        <w:spacing w:after="48" w:line="240" w:lineRule="auto"/>
        <w:ind w:left="272" w:hanging="272"/>
        <w:jc w:val="left"/>
      </w:pPr>
      <w:r>
        <w:rPr>
          <w:rFonts w:cs="EB Garamond"/>
          <w:kern w:val="16"/>
          <w:sz w:val="18"/>
          <w14:ligatures w14:val="standardContextual"/>
        </w:rPr>
        <w:t>Lei n. 13.876/2019.</w:t>
      </w:r>
    </w:p>
    <w:p w14:paraId="5915EC48" w14:textId="77777777" w:rsidR="005A5FCC" w:rsidRDefault="00A21C81">
      <w:pPr>
        <w:spacing w:after="48" w:line="240" w:lineRule="auto"/>
        <w:ind w:left="272" w:hanging="272"/>
        <w:jc w:val="left"/>
      </w:pPr>
      <w:r>
        <w:rPr>
          <w:rFonts w:cs="EB Garamond"/>
          <w:kern w:val="16"/>
          <w:sz w:val="18"/>
          <w14:ligatures w14:val="standardContextual"/>
        </w:rPr>
        <w:t>Lei n. 13.964, de 24 de dezembro de 2019.</w:t>
      </w:r>
    </w:p>
    <w:p w14:paraId="39167BA5" w14:textId="77777777" w:rsidR="005A5FCC" w:rsidRDefault="00A21C81">
      <w:pPr>
        <w:spacing w:after="48" w:line="240" w:lineRule="auto"/>
        <w:ind w:left="272" w:hanging="272"/>
        <w:jc w:val="left"/>
      </w:pPr>
      <w:r>
        <w:rPr>
          <w:rFonts w:cs="EB Garamond"/>
          <w:kern w:val="16"/>
          <w:sz w:val="18"/>
          <w14:ligatures w14:val="standardContextual"/>
        </w:rPr>
        <w:t>Lei n. 14.126, de 22 de março de 2021.</w:t>
      </w:r>
    </w:p>
    <w:p w14:paraId="2E923B97" w14:textId="77777777" w:rsidR="005A5FCC" w:rsidRDefault="00A21C81">
      <w:pPr>
        <w:spacing w:after="48" w:line="240" w:lineRule="auto"/>
        <w:ind w:left="272" w:hanging="272"/>
        <w:jc w:val="left"/>
      </w:pPr>
      <w:r>
        <w:rPr>
          <w:rFonts w:cs="EB Garamond"/>
          <w:kern w:val="16"/>
          <w:sz w:val="18"/>
          <w14:ligatures w14:val="standardContextual"/>
        </w:rPr>
        <w:t>Lei n. 14.457, de 21 de setembro de 2022.</w:t>
      </w:r>
    </w:p>
    <w:p w14:paraId="3B04D0BE" w14:textId="77777777" w:rsidR="005A5FCC" w:rsidRDefault="00A21C81">
      <w:pPr>
        <w:spacing w:after="48" w:line="240" w:lineRule="auto"/>
        <w:ind w:left="272" w:hanging="272"/>
        <w:jc w:val="left"/>
      </w:pPr>
      <w:r>
        <w:rPr>
          <w:rFonts w:cs="EB Garamond"/>
          <w:kern w:val="16"/>
          <w:sz w:val="18"/>
          <w14:ligatures w14:val="standardContextual"/>
        </w:rPr>
        <w:t>Lei n. 3.807, de 26 de agosto de 1960.</w:t>
      </w:r>
    </w:p>
    <w:p w14:paraId="42C8EE67" w14:textId="77777777" w:rsidR="005A5FCC" w:rsidRDefault="00A21C81">
      <w:pPr>
        <w:spacing w:after="48" w:line="240" w:lineRule="auto"/>
        <w:ind w:left="272" w:hanging="272"/>
        <w:jc w:val="left"/>
      </w:pPr>
      <w:r>
        <w:rPr>
          <w:rFonts w:cs="EB Garamond"/>
          <w:kern w:val="16"/>
          <w:sz w:val="18"/>
          <w14:ligatures w14:val="standardContextual"/>
        </w:rPr>
        <w:t>Lei n. 6.136, de 7 de novembro de 1974.</w:t>
      </w:r>
    </w:p>
    <w:p w14:paraId="316EB60B" w14:textId="77777777" w:rsidR="005A5FCC" w:rsidRDefault="00A21C81">
      <w:pPr>
        <w:spacing w:after="48" w:line="240" w:lineRule="auto"/>
        <w:ind w:left="272" w:hanging="272"/>
        <w:jc w:val="left"/>
      </w:pPr>
      <w:r>
        <w:rPr>
          <w:rFonts w:cs="EB Garamond"/>
          <w:kern w:val="16"/>
          <w:sz w:val="18"/>
          <w14:ligatures w14:val="standardContextual"/>
        </w:rPr>
        <w:t>Lei n. 6.226, de 14 de julho de 1975, e Lei n. 6.864, de 1º de dezembro de 1980.</w:t>
      </w:r>
    </w:p>
    <w:p w14:paraId="7F4A888D" w14:textId="77777777" w:rsidR="005A5FCC" w:rsidRDefault="00A21C81">
      <w:pPr>
        <w:spacing w:after="48" w:line="240" w:lineRule="auto"/>
        <w:ind w:left="272" w:hanging="272"/>
        <w:jc w:val="left"/>
      </w:pPr>
      <w:r>
        <w:rPr>
          <w:rFonts w:cs="EB Garamond"/>
          <w:kern w:val="16"/>
          <w:sz w:val="18"/>
          <w14:ligatures w14:val="standardContextual"/>
        </w:rPr>
        <w:t>Lei n. 8.212, de 24 de julho de 1991.</w:t>
      </w:r>
    </w:p>
    <w:p w14:paraId="69659124" w14:textId="77777777" w:rsidR="005A5FCC" w:rsidRDefault="00A21C81">
      <w:pPr>
        <w:spacing w:after="48" w:line="240" w:lineRule="auto"/>
        <w:ind w:left="272" w:hanging="272"/>
        <w:jc w:val="left"/>
      </w:pPr>
      <w:r>
        <w:rPr>
          <w:rFonts w:cs="EB Garamond"/>
          <w:kern w:val="16"/>
          <w:sz w:val="18"/>
          <w14:ligatures w14:val="standardContextual"/>
        </w:rPr>
        <w:t>Lei n. 8.213, de 24 de julho de 1991, arts. 25, I; 26, II; 42 a 47; 55, II; 62; 86, § 2º; 89 a 93; 101; e 118.</w:t>
      </w:r>
    </w:p>
    <w:p w14:paraId="787DFF18" w14:textId="77777777" w:rsidR="005A5FCC" w:rsidRDefault="00A21C81">
      <w:pPr>
        <w:spacing w:after="48" w:line="240" w:lineRule="auto"/>
        <w:ind w:left="272" w:hanging="272"/>
        <w:jc w:val="left"/>
      </w:pPr>
      <w:r>
        <w:rPr>
          <w:rFonts w:cs="EB Garamond"/>
          <w:kern w:val="16"/>
          <w:sz w:val="18"/>
          <w14:ligatures w14:val="standardContextual"/>
        </w:rPr>
        <w:t>Lei n. 8.213/1991.</w:t>
      </w:r>
    </w:p>
    <w:p w14:paraId="14B046F0" w14:textId="77777777" w:rsidR="005A5FCC" w:rsidRDefault="00A21C81">
      <w:pPr>
        <w:spacing w:after="48" w:line="240" w:lineRule="auto"/>
        <w:ind w:left="272" w:hanging="272"/>
        <w:jc w:val="left"/>
      </w:pPr>
      <w:r>
        <w:rPr>
          <w:rFonts w:cs="EB Garamond"/>
          <w:kern w:val="16"/>
          <w:sz w:val="18"/>
          <w14:ligatures w14:val="standardContextual"/>
        </w:rPr>
        <w:t>Lei n. 8.742, de 7 de dezembro de 1993, art. 20.</w:t>
      </w:r>
    </w:p>
    <w:p w14:paraId="499E2B8B" w14:textId="77777777" w:rsidR="005A5FCC" w:rsidRDefault="00A21C81">
      <w:pPr>
        <w:spacing w:after="48" w:line="240" w:lineRule="auto"/>
        <w:ind w:left="272" w:hanging="272"/>
        <w:jc w:val="left"/>
      </w:pPr>
      <w:r>
        <w:rPr>
          <w:rFonts w:cs="EB Garamond"/>
          <w:kern w:val="16"/>
          <w:sz w:val="18"/>
          <w14:ligatures w14:val="standardContextual"/>
        </w:rPr>
        <w:t>Lei n. 8.861, de 25 de março de 1994.</w:t>
      </w:r>
    </w:p>
    <w:p w14:paraId="53F962D7" w14:textId="77777777" w:rsidR="005A5FCC" w:rsidRDefault="00A21C81">
      <w:pPr>
        <w:spacing w:after="48" w:line="240" w:lineRule="auto"/>
        <w:ind w:left="272" w:hanging="272"/>
        <w:jc w:val="left"/>
      </w:pPr>
      <w:r>
        <w:rPr>
          <w:rFonts w:cs="EB Garamond"/>
          <w:kern w:val="16"/>
          <w:sz w:val="18"/>
          <w14:ligatures w14:val="standardContextual"/>
        </w:rPr>
        <w:t>Lei n. 9.099/1995.</w:t>
      </w:r>
    </w:p>
    <w:p w14:paraId="2151A8CD" w14:textId="77777777" w:rsidR="005A5FCC" w:rsidRDefault="00A21C81">
      <w:pPr>
        <w:spacing w:after="48" w:line="240" w:lineRule="auto"/>
        <w:ind w:left="272" w:hanging="272"/>
        <w:jc w:val="left"/>
      </w:pPr>
      <w:r>
        <w:rPr>
          <w:rFonts w:cs="EB Garamond"/>
          <w:kern w:val="16"/>
          <w:sz w:val="18"/>
          <w14:ligatures w14:val="standardContextual"/>
        </w:rPr>
        <w:t>Lei n. 9.796, de 5 de maio de 1999.</w:t>
      </w:r>
    </w:p>
    <w:p w14:paraId="54C57A04" w14:textId="77777777" w:rsidR="005A5FCC" w:rsidRDefault="00A21C81">
      <w:pPr>
        <w:spacing w:after="48" w:line="240" w:lineRule="auto"/>
        <w:ind w:left="272" w:hanging="272"/>
        <w:jc w:val="left"/>
      </w:pPr>
      <w:r>
        <w:rPr>
          <w:rFonts w:cs="EB Garamond"/>
          <w:kern w:val="16"/>
          <w:sz w:val="18"/>
          <w14:ligatures w14:val="standardContextual"/>
        </w:rPr>
        <w:t>Lei n. 9.876, de 26 de novembro de 1999.</w:t>
      </w:r>
    </w:p>
    <w:p w14:paraId="36E6D87A" w14:textId="77777777" w:rsidR="005A5FCC" w:rsidRDefault="00A21C81">
      <w:pPr>
        <w:spacing w:after="48" w:line="240" w:lineRule="auto"/>
        <w:ind w:left="272" w:hanging="272"/>
        <w:jc w:val="left"/>
      </w:pPr>
      <w:r>
        <w:rPr>
          <w:rFonts w:cs="EB Garamond"/>
          <w:kern w:val="16"/>
          <w:sz w:val="18"/>
          <w14:ligatures w14:val="standardContextual"/>
        </w:rPr>
        <w:t>MP 871, de 18 de janeiro de 2019.</w:t>
      </w:r>
    </w:p>
    <w:p w14:paraId="510B7ECF" w14:textId="77777777" w:rsidR="005A5FCC" w:rsidRDefault="00A21C81">
      <w:pPr>
        <w:spacing w:after="48" w:line="240" w:lineRule="auto"/>
        <w:ind w:left="272" w:hanging="272"/>
        <w:jc w:val="left"/>
      </w:pPr>
      <w:r>
        <w:rPr>
          <w:rFonts w:cs="EB Garamond"/>
          <w:kern w:val="16"/>
          <w:sz w:val="18"/>
          <w14:ligatures w14:val="standardContextual"/>
        </w:rPr>
        <w:t>MP n. 871/2019, convertida na Lei n. 13.846, de 18 de junho de 2019.</w:t>
      </w:r>
    </w:p>
    <w:p w14:paraId="410CB7C5" w14:textId="77777777" w:rsidR="005A5FCC" w:rsidRDefault="00A21C81">
      <w:pPr>
        <w:spacing w:after="48" w:line="240" w:lineRule="auto"/>
        <w:ind w:left="272" w:hanging="272"/>
        <w:jc w:val="left"/>
      </w:pPr>
      <w:r>
        <w:rPr>
          <w:rFonts w:cs="EB Garamond"/>
          <w:kern w:val="16"/>
          <w:sz w:val="18"/>
          <w14:ligatures w14:val="standardContextual"/>
        </w:rPr>
        <w:lastRenderedPageBreak/>
        <w:t>Portaria Interministerial AGU/MPS/MF/SEDH/MP n. 1/2014.</w:t>
      </w:r>
    </w:p>
    <w:p w14:paraId="1FF2E1FA" w14:textId="77777777" w:rsidR="005A5FCC" w:rsidRDefault="00A21C81">
      <w:pPr>
        <w:spacing w:after="48" w:line="240" w:lineRule="auto"/>
        <w:ind w:left="272" w:hanging="272"/>
        <w:jc w:val="left"/>
      </w:pPr>
      <w:r>
        <w:rPr>
          <w:rFonts w:cs="EB Garamond"/>
          <w:kern w:val="16"/>
          <w:sz w:val="18"/>
          <w14:ligatures w14:val="standardContextual"/>
        </w:rPr>
        <w:t>Portaria Interministerial MPS/MF n. 13, de 09/01/2026.</w:t>
      </w:r>
    </w:p>
    <w:p w14:paraId="43D3EC64" w14:textId="77777777" w:rsidR="005A5FCC" w:rsidRDefault="00A21C81">
      <w:pPr>
        <w:spacing w:after="48" w:line="240" w:lineRule="auto"/>
        <w:ind w:left="272" w:hanging="272"/>
        <w:jc w:val="left"/>
      </w:pPr>
      <w:r>
        <w:rPr>
          <w:rFonts w:cs="EB Garamond"/>
          <w:kern w:val="16"/>
          <w:sz w:val="18"/>
          <w14:ligatures w14:val="standardContextual"/>
        </w:rPr>
        <w:t>Portaria Interministerial MTP/MS n. 22, de 31 de agosto de 2022.</w:t>
      </w:r>
    </w:p>
    <w:p w14:paraId="3420977D" w14:textId="77777777" w:rsidR="005A5FCC" w:rsidRDefault="00A21C81">
      <w:pPr>
        <w:spacing w:after="48" w:line="240" w:lineRule="auto"/>
        <w:ind w:left="272" w:hanging="272"/>
        <w:jc w:val="left"/>
      </w:pPr>
      <w:r>
        <w:rPr>
          <w:rFonts w:cs="EB Garamond"/>
          <w:kern w:val="16"/>
          <w:sz w:val="18"/>
          <w14:ligatures w14:val="standardContextual"/>
        </w:rPr>
        <w:t>Portarias Interministeriais MPS/MF.</w:t>
      </w:r>
    </w:p>
    <w:p w14:paraId="6160641C" w14:textId="77777777" w:rsidR="005A5FCC" w:rsidRDefault="00A21C81">
      <w:pPr>
        <w:spacing w:after="48" w:line="240" w:lineRule="auto"/>
        <w:ind w:left="272" w:hanging="272"/>
        <w:jc w:val="left"/>
      </w:pPr>
      <w:r>
        <w:rPr>
          <w:rFonts w:cs="EB Garamond"/>
          <w:kern w:val="16"/>
          <w:sz w:val="18"/>
          <w14:ligatures w14:val="standardContextual"/>
        </w:rPr>
        <w:t>Resolução CJF n. 390/2004.</w:t>
      </w:r>
    </w:p>
    <w:p w14:paraId="49ED6DDF" w14:textId="77777777" w:rsidR="005A5FCC" w:rsidRDefault="00A21C81">
      <w:pPr>
        <w:keepNext/>
        <w:spacing w:before="200" w:after="100" w:line="240" w:lineRule="auto"/>
        <w:jc w:val="left"/>
      </w:pPr>
      <w:r>
        <w:rPr>
          <w:rFonts w:cs="EB Garamond"/>
          <w:b/>
          <w:color w:val="3A3128"/>
          <w:kern w:val="16"/>
          <w:sz w:val="23"/>
          <w14:ligatures w14:val="standardContextual"/>
        </w:rPr>
        <w:t>Jurisprudência</w:t>
      </w:r>
    </w:p>
    <w:p w14:paraId="349CECD6" w14:textId="77777777" w:rsidR="005A5FCC" w:rsidRDefault="00A21C81">
      <w:pPr>
        <w:spacing w:after="48" w:line="240" w:lineRule="auto"/>
        <w:ind w:left="272" w:hanging="272"/>
        <w:jc w:val="left"/>
      </w:pPr>
      <w:r>
        <w:rPr>
          <w:rFonts w:cs="EB Garamond"/>
          <w:kern w:val="16"/>
          <w:sz w:val="18"/>
          <w14:ligatures w14:val="standardContextual"/>
        </w:rPr>
        <w:t>- ADI 6096/STF (Plenário Virtual, j. 01/07/2020, Rel. Min. Edson Fachin) — inconstitucionalidade da extensão do art. 103 ao indeferimento/cancelamento/cessação</w:t>
      </w:r>
    </w:p>
    <w:p w14:paraId="0336AC02" w14:textId="77777777" w:rsidR="005A5FCC" w:rsidRDefault="00A21C81">
      <w:pPr>
        <w:spacing w:after="48" w:line="240" w:lineRule="auto"/>
        <w:ind w:left="272" w:hanging="272"/>
        <w:jc w:val="left"/>
      </w:pPr>
      <w:r>
        <w:rPr>
          <w:rFonts w:cs="EB Garamond"/>
          <w:kern w:val="16"/>
          <w:sz w:val="18"/>
          <w14:ligatures w14:val="standardContextual"/>
        </w:rPr>
        <w:t>- Enunciado 26/FONAJEF, vedação de ação rescisória nos JEFs</w:t>
      </w:r>
    </w:p>
    <w:p w14:paraId="6371692B" w14:textId="77777777" w:rsidR="005A5FCC" w:rsidRDefault="00A21C81">
      <w:pPr>
        <w:spacing w:after="48" w:line="240" w:lineRule="auto"/>
        <w:ind w:left="272" w:hanging="272"/>
        <w:jc w:val="left"/>
      </w:pPr>
      <w:r>
        <w:rPr>
          <w:rFonts w:cs="EB Garamond"/>
          <w:kern w:val="16"/>
          <w:sz w:val="18"/>
          <w14:ligatures w14:val="standardContextual"/>
        </w:rPr>
        <w:t>- Enunciado 35/FONAJEF, fato superveniente e nova ação</w:t>
      </w:r>
    </w:p>
    <w:p w14:paraId="10DC896B" w14:textId="77777777" w:rsidR="005A5FCC" w:rsidRDefault="00A21C81">
      <w:pPr>
        <w:spacing w:after="48" w:line="240" w:lineRule="auto"/>
        <w:ind w:left="272" w:hanging="272"/>
        <w:jc w:val="left"/>
      </w:pPr>
      <w:r>
        <w:rPr>
          <w:rFonts w:cs="EB Garamond"/>
          <w:kern w:val="16"/>
          <w:sz w:val="18"/>
          <w14:ligatures w14:val="standardContextual"/>
        </w:rPr>
        <w:t>- OJ 177/SDI-I/TST, cancelada (aposentadoria e extincao do contrato de trabalho).</w:t>
      </w:r>
    </w:p>
    <w:p w14:paraId="77907C79" w14:textId="77777777" w:rsidR="005A5FCC" w:rsidRDefault="00A21C81">
      <w:pPr>
        <w:spacing w:after="48" w:line="240" w:lineRule="auto"/>
        <w:ind w:left="272" w:hanging="272"/>
        <w:jc w:val="left"/>
      </w:pPr>
      <w:r>
        <w:rPr>
          <w:rFonts w:cs="EB Garamond"/>
          <w:kern w:val="16"/>
          <w:sz w:val="18"/>
          <w14:ligatures w14:val="standardContextual"/>
        </w:rPr>
        <w:t>- OJ 361/SDI-I/TST (aposentadoria e contrato de trabalho).</w:t>
      </w:r>
    </w:p>
    <w:p w14:paraId="7D042D68" w14:textId="77777777" w:rsidR="005A5FCC" w:rsidRDefault="00A21C81">
      <w:pPr>
        <w:spacing w:after="48" w:line="240" w:lineRule="auto"/>
        <w:ind w:left="272" w:hanging="272"/>
        <w:jc w:val="left"/>
      </w:pPr>
      <w:r>
        <w:rPr>
          <w:rFonts w:cs="EB Garamond"/>
          <w:kern w:val="16"/>
          <w:sz w:val="18"/>
          <w14:ligatures w14:val="standardContextual"/>
        </w:rPr>
        <w:t>- RE 626.489/SE — Tema 313/STF (Plenário, j. 16/10/2013, Rel. Min. Roberto Barroso), constitucionalidade do prazo decadencial de 10 anos</w:t>
      </w:r>
    </w:p>
    <w:p w14:paraId="244EEDF0" w14:textId="77777777" w:rsidR="005A5FCC" w:rsidRDefault="00A21C81">
      <w:pPr>
        <w:spacing w:after="48" w:line="240" w:lineRule="auto"/>
        <w:ind w:left="272" w:hanging="272"/>
        <w:jc w:val="left"/>
      </w:pPr>
      <w:r>
        <w:rPr>
          <w:rFonts w:cs="EB Garamond"/>
          <w:kern w:val="16"/>
          <w:sz w:val="18"/>
          <w14:ligatures w14:val="standardContextual"/>
        </w:rPr>
        <w:t>- REsp 2.145.294/SC (Terceira Turma, j. 18/06/2024), querela nullitatis como questão prejudicial</w:t>
      </w:r>
    </w:p>
    <w:p w14:paraId="030ACD1C" w14:textId="77777777" w:rsidR="005A5FCC" w:rsidRDefault="00A21C81">
      <w:pPr>
        <w:spacing w:after="48" w:line="240" w:lineRule="auto"/>
        <w:ind w:left="272" w:hanging="272"/>
        <w:jc w:val="left"/>
      </w:pPr>
      <w:r>
        <w:rPr>
          <w:rFonts w:cs="EB Garamond"/>
          <w:kern w:val="16"/>
          <w:sz w:val="18"/>
          <w14:ligatures w14:val="standardContextual"/>
        </w:rPr>
        <w:t>- STF, ADI 2.110/DF e ADI 2.111/DF, constitucionalidade do art. 3º da Lei 9.876/99 (regra de transição/cálculo da RMI).</w:t>
      </w:r>
    </w:p>
    <w:p w14:paraId="506B5222" w14:textId="77777777" w:rsidR="005A5FCC" w:rsidRDefault="00A21C81">
      <w:pPr>
        <w:spacing w:after="48" w:line="240" w:lineRule="auto"/>
        <w:ind w:left="272" w:hanging="272"/>
        <w:jc w:val="left"/>
      </w:pPr>
      <w:r>
        <w:rPr>
          <w:rFonts w:cs="EB Garamond"/>
          <w:kern w:val="16"/>
          <w:sz w:val="18"/>
          <w14:ligatures w14:val="standardContextual"/>
        </w:rPr>
        <w:t>- STF, ADI 2.111 — constitucionalidade do fator previdenciário.</w:t>
      </w:r>
    </w:p>
    <w:p w14:paraId="403ACD94" w14:textId="77777777" w:rsidR="005A5FCC" w:rsidRDefault="00A21C81">
      <w:pPr>
        <w:spacing w:after="48" w:line="240" w:lineRule="auto"/>
        <w:ind w:left="272" w:hanging="272"/>
        <w:jc w:val="left"/>
      </w:pPr>
      <w:r>
        <w:rPr>
          <w:rFonts w:cs="EB Garamond"/>
          <w:kern w:val="16"/>
          <w:sz w:val="18"/>
          <w14:ligatures w14:val="standardContextual"/>
        </w:rPr>
        <w:t>- STF, ADI 4.277 e ADPF 132, reconhecimento da união estável homoafetiva.</w:t>
      </w:r>
    </w:p>
    <w:p w14:paraId="2AED6E79" w14:textId="77777777" w:rsidR="005A5FCC" w:rsidRDefault="00A21C81">
      <w:pPr>
        <w:spacing w:after="48" w:line="240" w:lineRule="auto"/>
        <w:ind w:left="272" w:hanging="272"/>
        <w:jc w:val="left"/>
      </w:pPr>
      <w:r>
        <w:rPr>
          <w:rFonts w:cs="EB Garamond"/>
          <w:kern w:val="16"/>
          <w:sz w:val="18"/>
          <w14:ligatures w14:val="standardContextual"/>
        </w:rPr>
        <w:t>- STF, ADI 6.309 (Rel. orig. Min. Luís Roberto Barroso, red. p/ acórdão Min. André Mendonça, j. 03/06/2026), constitucionalidade da EC 103/2019: vedação à conversão de tempo especial pós-13/11/2019 mantida; idade mínima da aposentadoria especial declarada inconstitucional; nova forma de cálculo mantida.</w:t>
      </w:r>
    </w:p>
    <w:p w14:paraId="71B3EB46" w14:textId="77777777" w:rsidR="005A5FCC" w:rsidRDefault="00A21C81">
      <w:pPr>
        <w:spacing w:after="48" w:line="240" w:lineRule="auto"/>
        <w:ind w:left="272" w:hanging="272"/>
        <w:jc w:val="left"/>
      </w:pPr>
      <w:r>
        <w:rPr>
          <w:rFonts w:cs="EB Garamond"/>
          <w:kern w:val="16"/>
          <w:sz w:val="18"/>
          <w14:ligatures w14:val="standardContextual"/>
        </w:rPr>
        <w:t>- STF, ADIs 2.110 e 2.111, inconstitucionalidade da exigência de carência para CI, facultativa e segurada especial.</w:t>
      </w:r>
    </w:p>
    <w:p w14:paraId="1E55DC09" w14:textId="77777777" w:rsidR="005A5FCC" w:rsidRDefault="00A21C81">
      <w:pPr>
        <w:spacing w:after="48" w:line="240" w:lineRule="auto"/>
        <w:ind w:left="272" w:hanging="272"/>
        <w:jc w:val="left"/>
      </w:pPr>
      <w:r>
        <w:rPr>
          <w:rFonts w:cs="EB Garamond"/>
          <w:kern w:val="16"/>
          <w:sz w:val="18"/>
          <w14:ligatures w14:val="standardContextual"/>
        </w:rPr>
        <w:t>- STF, Mandados de Injunção (MI 1.967, MI 1.886, MI 3.357) — mora legislativa na regulamentação do art. 201, § 1º.</w:t>
      </w:r>
    </w:p>
    <w:p w14:paraId="5EE705A2" w14:textId="77777777" w:rsidR="005A5FCC" w:rsidRDefault="00A21C81">
      <w:pPr>
        <w:spacing w:after="48" w:line="240" w:lineRule="auto"/>
        <w:ind w:left="272" w:hanging="272"/>
        <w:jc w:val="left"/>
      </w:pPr>
      <w:r>
        <w:rPr>
          <w:rFonts w:cs="EB Garamond"/>
          <w:kern w:val="16"/>
          <w:sz w:val="18"/>
          <w14:ligatures w14:val="standardContextual"/>
        </w:rPr>
        <w:t>- STF, Tema 1.102 — revisão da vida toda (art. 3º, Lei 9.876/99).</w:t>
      </w:r>
    </w:p>
    <w:p w14:paraId="5FCFF2D0" w14:textId="77777777" w:rsidR="005A5FCC" w:rsidRDefault="00A21C81">
      <w:pPr>
        <w:spacing w:after="48" w:line="240" w:lineRule="auto"/>
        <w:ind w:left="272" w:hanging="272"/>
        <w:jc w:val="left"/>
      </w:pPr>
      <w:r>
        <w:rPr>
          <w:rFonts w:cs="EB Garamond"/>
          <w:kern w:val="16"/>
          <w:sz w:val="18"/>
          <w14:ligatures w14:val="standardContextual"/>
        </w:rPr>
        <w:t>- STF, Tema 334 (RE 630.501/RS), direito ao benefício mais vantajoso.</w:t>
      </w:r>
    </w:p>
    <w:p w14:paraId="47A30308" w14:textId="77777777" w:rsidR="005A5FCC" w:rsidRDefault="00A21C81">
      <w:pPr>
        <w:spacing w:after="48" w:line="240" w:lineRule="auto"/>
        <w:ind w:left="272" w:hanging="272"/>
        <w:jc w:val="left"/>
      </w:pPr>
      <w:r>
        <w:rPr>
          <w:rFonts w:cs="EB Garamond"/>
          <w:kern w:val="16"/>
          <w:sz w:val="18"/>
          <w14:ligatures w14:val="standardContextual"/>
        </w:rPr>
        <w:t>- STF, Tema 350 (RE 631.240) — prévio requerimento administrativo.</w:t>
      </w:r>
    </w:p>
    <w:p w14:paraId="53B83235" w14:textId="77777777" w:rsidR="005A5FCC" w:rsidRDefault="00A21C81">
      <w:pPr>
        <w:spacing w:after="48" w:line="240" w:lineRule="auto"/>
        <w:ind w:left="272" w:hanging="272"/>
        <w:jc w:val="left"/>
      </w:pPr>
      <w:r>
        <w:rPr>
          <w:rFonts w:cs="EB Garamond"/>
          <w:kern w:val="16"/>
          <w:sz w:val="18"/>
          <w14:ligatures w14:val="standardContextual"/>
        </w:rPr>
        <w:t>- STF, Tema 350 (RE 631.240), prévio requerimento administrativo.</w:t>
      </w:r>
    </w:p>
    <w:p w14:paraId="5C6AEF19" w14:textId="77777777" w:rsidR="005A5FCC" w:rsidRDefault="00A21C81">
      <w:pPr>
        <w:spacing w:after="48" w:line="240" w:lineRule="auto"/>
        <w:ind w:left="272" w:hanging="272"/>
        <w:jc w:val="left"/>
      </w:pPr>
      <w:r>
        <w:rPr>
          <w:rFonts w:cs="EB Garamond"/>
          <w:kern w:val="16"/>
          <w:sz w:val="18"/>
          <w14:ligatures w14:val="standardContextual"/>
        </w:rPr>
        <w:t>- STF, Tema 503 — vedação da desaposentação.</w:t>
      </w:r>
    </w:p>
    <w:p w14:paraId="0D6375BD" w14:textId="77777777" w:rsidR="005A5FCC" w:rsidRDefault="00A21C81">
      <w:pPr>
        <w:spacing w:after="48" w:line="240" w:lineRule="auto"/>
        <w:ind w:left="272" w:hanging="272"/>
        <w:jc w:val="left"/>
      </w:pPr>
      <w:r>
        <w:rPr>
          <w:rFonts w:cs="EB Garamond"/>
          <w:kern w:val="16"/>
          <w:sz w:val="18"/>
          <w14:ligatures w14:val="standardContextual"/>
        </w:rPr>
        <w:t>- STF, Tema 72 da repercussão geral (RE 576.967) — inconstitucionalidade da contribuição patronal sobre salário-maternidade.</w:t>
      </w:r>
    </w:p>
    <w:p w14:paraId="3BA89D77" w14:textId="77777777" w:rsidR="005A5FCC" w:rsidRDefault="00A21C81">
      <w:pPr>
        <w:spacing w:after="48" w:line="240" w:lineRule="auto"/>
        <w:ind w:left="272" w:hanging="272"/>
        <w:jc w:val="left"/>
      </w:pPr>
      <w:r>
        <w:rPr>
          <w:rFonts w:cs="EB Garamond"/>
          <w:kern w:val="16"/>
          <w:sz w:val="18"/>
          <w14:ligatures w14:val="standardContextual"/>
        </w:rPr>
        <w:lastRenderedPageBreak/>
        <w:t>- STF, Tema 840 (RE 683.621) — vedação ao tempo fictício ("serviço efetivo, em qualquer regime jurídico" não aproveita tempo ficto).</w:t>
      </w:r>
    </w:p>
    <w:p w14:paraId="4EADB4D9" w14:textId="77777777" w:rsidR="005A5FCC" w:rsidRDefault="00A21C81">
      <w:pPr>
        <w:spacing w:after="48" w:line="240" w:lineRule="auto"/>
        <w:ind w:left="272" w:hanging="272"/>
        <w:jc w:val="left"/>
      </w:pPr>
      <w:r>
        <w:rPr>
          <w:rFonts w:cs="EB Garamond"/>
          <w:kern w:val="16"/>
          <w:sz w:val="18"/>
          <w14:ligatures w14:val="standardContextual"/>
        </w:rPr>
        <w:t>- STF, Tema 89 (RE 587.365) — renda aferida é a do segurado, não dos dependentes.</w:t>
      </w:r>
    </w:p>
    <w:p w14:paraId="78FFC1C5" w14:textId="77777777" w:rsidR="005A5FCC" w:rsidRDefault="00A21C81">
      <w:pPr>
        <w:spacing w:after="48" w:line="240" w:lineRule="auto"/>
        <w:ind w:left="272" w:hanging="272"/>
        <w:jc w:val="left"/>
      </w:pPr>
      <w:r>
        <w:rPr>
          <w:rFonts w:cs="EB Garamond"/>
          <w:kern w:val="16"/>
          <w:sz w:val="18"/>
          <w14:ligatures w14:val="standardContextual"/>
        </w:rPr>
        <w:t>- STF, Tema 942 (RE 1.014.286, Rel. Min. Edson Fachin), conversão de tempo especial do RGPS para averbação no RPPS via CTC.</w:t>
      </w:r>
    </w:p>
    <w:p w14:paraId="06B993B6" w14:textId="77777777" w:rsidR="005A5FCC" w:rsidRDefault="00A21C81">
      <w:pPr>
        <w:spacing w:after="48" w:line="240" w:lineRule="auto"/>
        <w:ind w:left="272" w:hanging="272"/>
        <w:jc w:val="left"/>
      </w:pPr>
      <w:r>
        <w:rPr>
          <w:rFonts w:cs="EB Garamond"/>
          <w:kern w:val="16"/>
          <w:sz w:val="18"/>
          <w14:ligatures w14:val="standardContextual"/>
        </w:rPr>
        <w:t>- STF: Tema 529 (RE 1.045.273 — uniões estáveis simultâneas e rateio de pensão); Tema 1.271 (RE 1.442.021 — exclusão do menor sob guarda do rol de dependentes); Tema 350 (RE 631.240 — prévio requerimento administrativo); ADI 4.277/ADPF 132 (reconhecimento da união homoafetiva); ADI 7.051 (constitucionalidade do regime de cotas da EC 103/2019); ADIs 4.878 e 5.083 (constitucionalidade da exclusão do menor sob guarda — controle abstrato).</w:t>
      </w:r>
    </w:p>
    <w:p w14:paraId="18646B63" w14:textId="77777777" w:rsidR="005A5FCC" w:rsidRDefault="00A21C81">
      <w:pPr>
        <w:spacing w:after="48" w:line="240" w:lineRule="auto"/>
        <w:ind w:left="272" w:hanging="272"/>
        <w:jc w:val="left"/>
      </w:pPr>
      <w:r>
        <w:rPr>
          <w:rFonts w:cs="EB Garamond"/>
          <w:kern w:val="16"/>
          <w:sz w:val="18"/>
          <w14:ligatures w14:val="standardContextual"/>
        </w:rPr>
        <w:t>- STJ, jurisprudência consolidada sobre enquadramento por categoria profissional até 1995 (Decretos 53.831/1964 e 83.080/1979).</w:t>
      </w:r>
    </w:p>
    <w:p w14:paraId="5F786644" w14:textId="77777777" w:rsidR="005A5FCC" w:rsidRDefault="00A21C81">
      <w:pPr>
        <w:spacing w:after="48" w:line="240" w:lineRule="auto"/>
        <w:ind w:left="272" w:hanging="272"/>
        <w:jc w:val="left"/>
      </w:pPr>
      <w:r>
        <w:rPr>
          <w:rFonts w:cs="EB Garamond"/>
          <w:kern w:val="16"/>
          <w:sz w:val="18"/>
          <w14:ligatures w14:val="standardContextual"/>
        </w:rPr>
        <w:t>- STJ, REsp 1.672.295/RS, prisão domiciliar em regime fechado/semiaberto e manutenção do auxílio-reclusão.</w:t>
      </w:r>
    </w:p>
    <w:p w14:paraId="28F82C7A" w14:textId="77777777" w:rsidR="005A5FCC" w:rsidRDefault="00A21C81">
      <w:pPr>
        <w:spacing w:after="48" w:line="240" w:lineRule="auto"/>
        <w:ind w:left="272" w:hanging="272"/>
        <w:jc w:val="left"/>
      </w:pPr>
      <w:r>
        <w:rPr>
          <w:rFonts w:cs="EB Garamond"/>
          <w:kern w:val="16"/>
          <w:sz w:val="18"/>
          <w14:ligatures w14:val="standardContextual"/>
        </w:rPr>
        <w:t>- STJ, Súmula 149 / Tema 297, prova de atividade rural (vedada prova exclusivamente testemunhal); TNU, Temas 11 e 17, flexibilização do início de prova material no salário-maternidade da segurada especial.</w:t>
      </w:r>
    </w:p>
    <w:p w14:paraId="53CEFBC4" w14:textId="77777777" w:rsidR="005A5FCC" w:rsidRDefault="00A21C81">
      <w:pPr>
        <w:spacing w:after="48" w:line="240" w:lineRule="auto"/>
        <w:ind w:left="272" w:hanging="272"/>
        <w:jc w:val="left"/>
      </w:pPr>
      <w:r>
        <w:rPr>
          <w:rFonts w:cs="EB Garamond"/>
          <w:kern w:val="16"/>
          <w:sz w:val="18"/>
          <w14:ligatures w14:val="standardContextual"/>
        </w:rPr>
        <w:t>- STJ, Tema 1.070 (REsp 1.870.793/RS), soma integral de salários em atividades concomitantes.</w:t>
      </w:r>
    </w:p>
    <w:p w14:paraId="469D77ED" w14:textId="77777777" w:rsidR="005A5FCC" w:rsidRDefault="00A21C81">
      <w:pPr>
        <w:spacing w:after="48" w:line="240" w:lineRule="auto"/>
        <w:ind w:left="272" w:hanging="272"/>
        <w:jc w:val="left"/>
      </w:pPr>
      <w:r>
        <w:rPr>
          <w:rFonts w:cs="EB Garamond"/>
          <w:kern w:val="16"/>
          <w:sz w:val="18"/>
          <w14:ligatures w14:val="standardContextual"/>
        </w:rPr>
        <w:t>- STJ, Tema 1.162 (leading case REsp 1.958.361; REsp 1.971.856 e 1.971.857), 1ª Seção. Afetação relatada pela Min. Assusete Magalhães (ProAfR julgado em 23/08/2022, DJe 01/09/2022); acórdão de mérito relatado pelo Min. Teodoro Silva Santos, julgamento concluído em 12/11/2025 e acórdão publicado em 19/11/2025 — flexibilização do limite de baixa renda (pré-MP 871).</w:t>
      </w:r>
    </w:p>
    <w:p w14:paraId="220EA441" w14:textId="77777777" w:rsidR="005A5FCC" w:rsidRDefault="00A21C81">
      <w:pPr>
        <w:spacing w:after="48" w:line="240" w:lineRule="auto"/>
        <w:ind w:left="272" w:hanging="272"/>
        <w:jc w:val="left"/>
      </w:pPr>
      <w:r>
        <w:rPr>
          <w:rFonts w:cs="EB Garamond"/>
          <w:kern w:val="16"/>
          <w:sz w:val="18"/>
          <w14:ligatures w14:val="standardContextual"/>
        </w:rPr>
        <w:t>- STJ, Tema 1.188 (REsp 1.938.265, Rel. Min. Benedito Gonçalves, j. 11/09/2024), sentença trabalhista homologatória de acordo como início de prova material apenas com elementos contemporâneos (art. 55, § 3º, Lei 8.213/91).</w:t>
      </w:r>
    </w:p>
    <w:p w14:paraId="26C00D55" w14:textId="77777777" w:rsidR="005A5FCC" w:rsidRDefault="00A21C81">
      <w:pPr>
        <w:spacing w:after="48" w:line="240" w:lineRule="auto"/>
        <w:ind w:left="272" w:hanging="272"/>
        <w:jc w:val="left"/>
      </w:pPr>
      <w:r>
        <w:rPr>
          <w:rFonts w:cs="EB Garamond"/>
          <w:kern w:val="16"/>
          <w:sz w:val="18"/>
          <w14:ligatures w14:val="standardContextual"/>
        </w:rPr>
        <w:t>- STJ, Tema 1.238 (REsp 2.068.311, Rel. Min. Mauro Campbell Marques, j. 06/02/2025), impossibilidade de cômputo do período de aviso prévio indenizado como tempo de serviço para fins previdenciários.</w:t>
      </w:r>
    </w:p>
    <w:p w14:paraId="30CC46CD" w14:textId="77777777" w:rsidR="005A5FCC" w:rsidRDefault="00A21C81">
      <w:pPr>
        <w:spacing w:after="48" w:line="240" w:lineRule="auto"/>
        <w:ind w:left="272" w:hanging="272"/>
        <w:jc w:val="left"/>
      </w:pPr>
      <w:r>
        <w:rPr>
          <w:rFonts w:cs="EB Garamond"/>
          <w:kern w:val="16"/>
          <w:sz w:val="18"/>
          <w14:ligatures w14:val="standardContextual"/>
        </w:rPr>
        <w:t>- STJ, Tema 1007 (REsp 1.674.221), aposentadoria por idade híbrida.</w:t>
      </w:r>
    </w:p>
    <w:p w14:paraId="27C506E8" w14:textId="77777777" w:rsidR="005A5FCC" w:rsidRDefault="00A21C81">
      <w:pPr>
        <w:spacing w:after="48" w:line="240" w:lineRule="auto"/>
        <w:ind w:left="272" w:hanging="272"/>
        <w:jc w:val="left"/>
      </w:pPr>
      <w:r>
        <w:rPr>
          <w:rFonts w:cs="EB Garamond"/>
          <w:kern w:val="16"/>
          <w:sz w:val="18"/>
          <w14:ligatures w14:val="standardContextual"/>
        </w:rPr>
        <w:t>- STJ, Tema 422 (REsp 1.151.363/MG, Rel. Min. Jorge Mussi), conversão de tempo especial em comum.</w:t>
      </w:r>
    </w:p>
    <w:p w14:paraId="4CA6C35A" w14:textId="77777777" w:rsidR="005A5FCC" w:rsidRDefault="00A21C81">
      <w:pPr>
        <w:spacing w:after="48" w:line="240" w:lineRule="auto"/>
        <w:ind w:left="272" w:hanging="272"/>
        <w:jc w:val="left"/>
      </w:pPr>
      <w:r>
        <w:rPr>
          <w:rFonts w:cs="EB Garamond"/>
          <w:kern w:val="16"/>
          <w:sz w:val="18"/>
          <w14:ligatures w14:val="standardContextual"/>
        </w:rPr>
        <w:t>- STJ, Tema 546 (REsp 1.310.034/PR), a lei vigente por ocasião da aposentadoria é a aplicável ao direito à conversão entre tempos de serviço especial e comum.</w:t>
      </w:r>
    </w:p>
    <w:p w14:paraId="34A14211" w14:textId="77777777" w:rsidR="005A5FCC" w:rsidRDefault="00A21C81">
      <w:pPr>
        <w:spacing w:after="48" w:line="240" w:lineRule="auto"/>
        <w:ind w:left="272" w:hanging="272"/>
        <w:jc w:val="left"/>
      </w:pPr>
      <w:r>
        <w:rPr>
          <w:rFonts w:cs="EB Garamond"/>
          <w:kern w:val="16"/>
          <w:sz w:val="18"/>
          <w14:ligatures w14:val="standardContextual"/>
        </w:rPr>
        <w:t>- STJ, Tema 629 (REsp 1.352.721/SP, Rel. Min. Napoleão Nunes Maia Filho), ausência de início de prova material e extinção do processo sem resolução do mérito (possibilidade de repropositura).</w:t>
      </w:r>
    </w:p>
    <w:p w14:paraId="29704F02" w14:textId="77777777" w:rsidR="005A5FCC" w:rsidRDefault="00A21C81">
      <w:pPr>
        <w:spacing w:after="48" w:line="240" w:lineRule="auto"/>
        <w:ind w:left="272" w:hanging="272"/>
        <w:jc w:val="left"/>
      </w:pPr>
      <w:r>
        <w:rPr>
          <w:rFonts w:cs="EB Garamond"/>
          <w:kern w:val="16"/>
          <w:sz w:val="18"/>
          <w14:ligatures w14:val="standardContextual"/>
        </w:rPr>
        <w:lastRenderedPageBreak/>
        <w:t>- STJ, Tema 896 (REsp 1.485.417/MS; revisão nos REsp 1.842.985/PR e 1.842.974/PR), Rel. Min. Herman Benjamin, aferição de baixa renda do segurado desempregado.</w:t>
      </w:r>
    </w:p>
    <w:p w14:paraId="5493C87B" w14:textId="77777777" w:rsidR="005A5FCC" w:rsidRDefault="00A21C81">
      <w:pPr>
        <w:spacing w:after="48" w:line="240" w:lineRule="auto"/>
        <w:ind w:left="272" w:hanging="272"/>
        <w:jc w:val="left"/>
      </w:pPr>
      <w:r>
        <w:rPr>
          <w:rFonts w:cs="EB Garamond"/>
          <w:kern w:val="16"/>
          <w:sz w:val="18"/>
          <w14:ligatures w14:val="standardContextual"/>
        </w:rPr>
        <w:t>- STJ, Tema 995 (REsp 1.727.063/SP, Rel. Min. Mauro Campbell Marques, j. 22/10/2019), reafirmação da DER.</w:t>
      </w:r>
    </w:p>
    <w:p w14:paraId="447EFED5" w14:textId="77777777" w:rsidR="005A5FCC" w:rsidRDefault="00A21C81">
      <w:pPr>
        <w:spacing w:after="48" w:line="240" w:lineRule="auto"/>
        <w:ind w:left="272" w:hanging="272"/>
        <w:jc w:val="left"/>
      </w:pPr>
      <w:r>
        <w:rPr>
          <w:rFonts w:cs="EB Garamond"/>
          <w:kern w:val="16"/>
          <w:sz w:val="18"/>
          <w14:ligatures w14:val="standardContextual"/>
        </w:rPr>
        <w:t>- STJ, Tema 995 (REsp 1.727.069/SP e REsp 1.727.063/SP), reafirmação da DER.</w:t>
      </w:r>
    </w:p>
    <w:p w14:paraId="57031DA6" w14:textId="77777777" w:rsidR="005A5FCC" w:rsidRDefault="00A21C81">
      <w:pPr>
        <w:spacing w:after="48" w:line="240" w:lineRule="auto"/>
        <w:ind w:left="272" w:hanging="272"/>
        <w:jc w:val="left"/>
      </w:pPr>
      <w:r>
        <w:rPr>
          <w:rFonts w:cs="EB Garamond"/>
          <w:kern w:val="16"/>
          <w:sz w:val="18"/>
          <w14:ligatures w14:val="standardContextual"/>
        </w:rPr>
        <w:t>- STJ, Temas 422 e 423 (REsp 1.151.363/MG, Rel. Min. Jorge Mussi), conversão de tempo especial em comum: permanência do direito após 28/05/1998 (Tema 422) e natureza meramente matemática do fator de conversão (Tema 423).</w:t>
      </w:r>
    </w:p>
    <w:p w14:paraId="2D955534" w14:textId="77777777" w:rsidR="005A5FCC" w:rsidRDefault="00A21C81">
      <w:pPr>
        <w:spacing w:after="48" w:line="240" w:lineRule="auto"/>
        <w:ind w:left="272" w:hanging="272"/>
        <w:jc w:val="left"/>
      </w:pPr>
      <w:r>
        <w:rPr>
          <w:rFonts w:cs="EB Garamond"/>
          <w:kern w:val="16"/>
          <w:sz w:val="18"/>
          <w14:ligatures w14:val="standardContextual"/>
        </w:rPr>
        <w:t>- STJ: Súmula 336 (direito do ex-cônjuge que renunciou a alimentos); Súmula 149 (insuficiência de prova exclusivamente testemunhal para atividade rurícola); Súmula 15 (a competência para conhecer das ações decorrentes de acidente do trabalho é da Justiça Estadual); Tema 732 (direito do menor sob guarda à pensão por morte, com prevalência do art. 33, § 3º, do ECA, para óbitos regidos pela legislação anterior à EC 103/2019); Tema 1057 (REsp 1.856.967, rel. Min. Regina Helena Costa — legitimidade de pensionistas e sucessores para ação revisional do benefício do instituidor).</w:t>
      </w:r>
    </w:p>
    <w:p w14:paraId="54F274F2" w14:textId="77777777" w:rsidR="005A5FCC" w:rsidRDefault="00A21C81">
      <w:pPr>
        <w:spacing w:after="48" w:line="240" w:lineRule="auto"/>
        <w:ind w:left="272" w:hanging="272"/>
        <w:jc w:val="left"/>
      </w:pPr>
      <w:r>
        <w:rPr>
          <w:rFonts w:cs="EB Garamond"/>
          <w:kern w:val="16"/>
          <w:sz w:val="18"/>
          <w14:ligatures w14:val="standardContextual"/>
        </w:rPr>
        <w:t>- Súmula 111/STJ, honorários sobre parcelas vencidas até a sentença.</w:t>
      </w:r>
    </w:p>
    <w:p w14:paraId="747D4592" w14:textId="77777777" w:rsidR="005A5FCC" w:rsidRDefault="00A21C81">
      <w:pPr>
        <w:spacing w:after="48" w:line="240" w:lineRule="auto"/>
        <w:ind w:left="272" w:hanging="272"/>
        <w:jc w:val="left"/>
      </w:pPr>
      <w:r>
        <w:rPr>
          <w:rFonts w:cs="EB Garamond"/>
          <w:kern w:val="16"/>
          <w:sz w:val="18"/>
          <w14:ligatures w14:val="standardContextual"/>
        </w:rPr>
        <w:t>- Súmula 12/TST, presunção de veracidade das anotações em CTPS.</w:t>
      </w:r>
    </w:p>
    <w:p w14:paraId="04E2F432" w14:textId="77777777" w:rsidR="005A5FCC" w:rsidRDefault="00A21C81">
      <w:pPr>
        <w:spacing w:after="48" w:line="240" w:lineRule="auto"/>
        <w:ind w:left="272" w:hanging="272"/>
        <w:jc w:val="left"/>
      </w:pPr>
      <w:r>
        <w:rPr>
          <w:rFonts w:cs="EB Garamond"/>
          <w:kern w:val="16"/>
          <w:sz w:val="18"/>
          <w14:ligatures w14:val="standardContextual"/>
        </w:rPr>
        <w:t>- Súmula 14/TNU, prova documental que não precisa cobrir todo o período de carência.</w:t>
      </w:r>
    </w:p>
    <w:p w14:paraId="11BEC2E9" w14:textId="77777777" w:rsidR="005A5FCC" w:rsidRDefault="00A21C81">
      <w:pPr>
        <w:spacing w:after="48" w:line="240" w:lineRule="auto"/>
        <w:ind w:left="272" w:hanging="272"/>
        <w:jc w:val="left"/>
      </w:pPr>
      <w:r>
        <w:rPr>
          <w:rFonts w:cs="EB Garamond"/>
          <w:kern w:val="16"/>
          <w:sz w:val="18"/>
          <w14:ligatures w14:val="standardContextual"/>
        </w:rPr>
        <w:t>- Súmula 149/STJ, vedação de prova exclusivamente testemunhal para atividade rural.</w:t>
      </w:r>
    </w:p>
    <w:p w14:paraId="5E482694" w14:textId="77777777" w:rsidR="005A5FCC" w:rsidRDefault="00A21C81">
      <w:pPr>
        <w:spacing w:after="48" w:line="240" w:lineRule="auto"/>
        <w:ind w:left="272" w:hanging="272"/>
        <w:jc w:val="left"/>
      </w:pPr>
      <w:r>
        <w:rPr>
          <w:rFonts w:cs="EB Garamond"/>
          <w:kern w:val="16"/>
          <w:sz w:val="18"/>
          <w14:ligatures w14:val="standardContextual"/>
        </w:rPr>
        <w:t>- Súmula 203/STJ (descabimento de recurso especial contra decisão de juizado)</w:t>
      </w:r>
    </w:p>
    <w:p w14:paraId="10FCF5FA" w14:textId="77777777" w:rsidR="005A5FCC" w:rsidRDefault="00A21C81">
      <w:pPr>
        <w:spacing w:after="48" w:line="240" w:lineRule="auto"/>
        <w:ind w:left="272" w:hanging="272"/>
        <w:jc w:val="left"/>
      </w:pPr>
      <w:r>
        <w:rPr>
          <w:rFonts w:cs="EB Garamond"/>
          <w:kern w:val="16"/>
          <w:sz w:val="18"/>
          <w14:ligatures w14:val="standardContextual"/>
        </w:rPr>
        <w:t>- Súmula 244/TST, estabilidade gestante (natureza objetiva).</w:t>
      </w:r>
    </w:p>
    <w:p w14:paraId="5375351C" w14:textId="77777777" w:rsidR="005A5FCC" w:rsidRDefault="00A21C81">
      <w:pPr>
        <w:spacing w:after="48" w:line="240" w:lineRule="auto"/>
        <w:ind w:left="272" w:hanging="272"/>
        <w:jc w:val="left"/>
      </w:pPr>
      <w:r>
        <w:rPr>
          <w:rFonts w:cs="EB Garamond"/>
          <w:kern w:val="16"/>
          <w:sz w:val="18"/>
          <w14:ligatures w14:val="standardContextual"/>
        </w:rPr>
        <w:t>- Súmula 34/TNU, início de prova material contemporâneo aos fatos.</w:t>
      </w:r>
    </w:p>
    <w:p w14:paraId="52836357" w14:textId="77777777" w:rsidR="005A5FCC" w:rsidRDefault="00A21C81">
      <w:pPr>
        <w:spacing w:after="48" w:line="240" w:lineRule="auto"/>
        <w:ind w:left="272" w:hanging="272"/>
        <w:jc w:val="left"/>
      </w:pPr>
      <w:r>
        <w:rPr>
          <w:rFonts w:cs="EB Garamond"/>
          <w:kern w:val="16"/>
          <w:sz w:val="18"/>
          <w14:ligatures w14:val="standardContextual"/>
        </w:rPr>
        <w:t>- Súmula 44/TNU, marco temporal para aferição da carência (art. 142).</w:t>
      </w:r>
    </w:p>
    <w:p w14:paraId="1586D73A" w14:textId="77777777" w:rsidR="005A5FCC" w:rsidRDefault="00A21C81">
      <w:pPr>
        <w:spacing w:after="48" w:line="240" w:lineRule="auto"/>
        <w:ind w:left="272" w:hanging="272"/>
        <w:jc w:val="left"/>
      </w:pPr>
      <w:r>
        <w:rPr>
          <w:rFonts w:cs="EB Garamond"/>
          <w:kern w:val="16"/>
          <w:sz w:val="18"/>
          <w14:ligatures w14:val="standardContextual"/>
        </w:rPr>
        <w:t>- Súmula 45/TNU, correção monetária do salário-maternidade desde a data do parto.</w:t>
      </w:r>
    </w:p>
    <w:p w14:paraId="70FB7EA5" w14:textId="77777777" w:rsidR="005A5FCC" w:rsidRDefault="00A21C81">
      <w:pPr>
        <w:spacing w:after="48" w:line="240" w:lineRule="auto"/>
        <w:ind w:left="272" w:hanging="272"/>
        <w:jc w:val="left"/>
      </w:pPr>
      <w:r>
        <w:rPr>
          <w:rFonts w:cs="EB Garamond"/>
          <w:kern w:val="16"/>
          <w:sz w:val="18"/>
          <w14:ligatures w14:val="standardContextual"/>
        </w:rPr>
        <w:t>- Súmula 47/TNU (análise das condições pessoais e sociais na incapacidade parcial)</w:t>
      </w:r>
    </w:p>
    <w:p w14:paraId="7B367114" w14:textId="77777777" w:rsidR="005A5FCC" w:rsidRDefault="00A21C81">
      <w:pPr>
        <w:spacing w:after="48" w:line="240" w:lineRule="auto"/>
        <w:ind w:left="272" w:hanging="272"/>
        <w:jc w:val="left"/>
      </w:pPr>
      <w:r>
        <w:rPr>
          <w:rFonts w:cs="EB Garamond"/>
          <w:kern w:val="16"/>
          <w:sz w:val="18"/>
          <w14:ligatures w14:val="standardContextual"/>
        </w:rPr>
        <w:t>- Súmula 473/STF, autotutela administrativa</w:t>
      </w:r>
    </w:p>
    <w:p w14:paraId="729D1741" w14:textId="77777777" w:rsidR="005A5FCC" w:rsidRDefault="00A21C81">
      <w:pPr>
        <w:spacing w:after="48" w:line="240" w:lineRule="auto"/>
        <w:ind w:left="272" w:hanging="272"/>
        <w:jc w:val="left"/>
      </w:pPr>
      <w:r>
        <w:rPr>
          <w:rFonts w:cs="EB Garamond"/>
          <w:kern w:val="16"/>
          <w:sz w:val="18"/>
          <w14:ligatures w14:val="standardContextual"/>
        </w:rPr>
        <w:t>- Súmula 501/STF (competência estadual em ações acidentárias)</w:t>
      </w:r>
    </w:p>
    <w:p w14:paraId="0F9216B9" w14:textId="77777777" w:rsidR="005A5FCC" w:rsidRDefault="00A21C81">
      <w:pPr>
        <w:spacing w:after="48" w:line="240" w:lineRule="auto"/>
        <w:ind w:left="272" w:hanging="272"/>
        <w:jc w:val="left"/>
      </w:pPr>
      <w:r>
        <w:rPr>
          <w:rFonts w:cs="EB Garamond"/>
          <w:kern w:val="16"/>
          <w:sz w:val="18"/>
          <w14:ligatures w14:val="standardContextual"/>
        </w:rPr>
        <w:t>- Súmula 53/TNU (incapacidade preexistente ao reingresso no RGPS)</w:t>
      </w:r>
    </w:p>
    <w:p w14:paraId="727E5F4A" w14:textId="77777777" w:rsidR="005A5FCC" w:rsidRDefault="00A21C81">
      <w:pPr>
        <w:spacing w:after="48" w:line="240" w:lineRule="auto"/>
        <w:ind w:left="272" w:hanging="272"/>
        <w:jc w:val="left"/>
      </w:pPr>
      <w:r>
        <w:rPr>
          <w:rFonts w:cs="EB Garamond"/>
          <w:kern w:val="16"/>
          <w:sz w:val="18"/>
          <w14:ligatures w14:val="standardContextual"/>
        </w:rPr>
        <w:t>- Súmula 577/STJ, extensão temporal da prova rural antes do documento mais antigo.</w:t>
      </w:r>
    </w:p>
    <w:p w14:paraId="751AA0E7" w14:textId="77777777" w:rsidR="005A5FCC" w:rsidRDefault="00A21C81">
      <w:pPr>
        <w:spacing w:after="48" w:line="240" w:lineRule="auto"/>
        <w:ind w:left="272" w:hanging="272"/>
        <w:jc w:val="left"/>
      </w:pPr>
      <w:r>
        <w:rPr>
          <w:rFonts w:cs="EB Garamond"/>
          <w:kern w:val="16"/>
          <w:sz w:val="18"/>
          <w14:ligatures w14:val="standardContextual"/>
        </w:rPr>
        <w:t>- Súmula 689/STF (foro do segurado em ação contra a instituição previdenciária)</w:t>
      </w:r>
    </w:p>
    <w:p w14:paraId="199BA40C" w14:textId="77777777" w:rsidR="005A5FCC" w:rsidRDefault="00A21C81">
      <w:pPr>
        <w:spacing w:after="48" w:line="240" w:lineRule="auto"/>
        <w:ind w:left="272" w:hanging="272"/>
        <w:jc w:val="left"/>
      </w:pPr>
      <w:r>
        <w:rPr>
          <w:rFonts w:cs="EB Garamond"/>
          <w:kern w:val="16"/>
          <w:sz w:val="18"/>
          <w14:ligatures w14:val="standardContextual"/>
        </w:rPr>
        <w:t>- Súmula 74/TNU, cômputo de atividade rural pós-1991 como segurado especial.</w:t>
      </w:r>
    </w:p>
    <w:p w14:paraId="02F12A05" w14:textId="77777777" w:rsidR="005A5FCC" w:rsidRDefault="00A21C81">
      <w:pPr>
        <w:spacing w:after="48" w:line="240" w:lineRule="auto"/>
        <w:ind w:left="272" w:hanging="272"/>
        <w:jc w:val="left"/>
      </w:pPr>
      <w:r>
        <w:rPr>
          <w:rFonts w:cs="EB Garamond"/>
          <w:kern w:val="16"/>
          <w:sz w:val="18"/>
          <w14:ligatures w14:val="standardContextual"/>
        </w:rPr>
        <w:t>- Súmula 75/TNU — CTPS sem defeito como prova suficiente para fins previdenciários.</w:t>
      </w:r>
    </w:p>
    <w:p w14:paraId="78E5A421" w14:textId="77777777" w:rsidR="005A5FCC" w:rsidRDefault="00A21C81">
      <w:pPr>
        <w:spacing w:after="48" w:line="240" w:lineRule="auto"/>
        <w:ind w:left="272" w:hanging="272"/>
        <w:jc w:val="left"/>
      </w:pPr>
      <w:r>
        <w:rPr>
          <w:rFonts w:cs="EB Garamond"/>
          <w:kern w:val="16"/>
          <w:sz w:val="18"/>
          <w14:ligatures w14:val="standardContextual"/>
        </w:rPr>
        <w:t>- Súmula 77/TNU (dispensa de análise das condições pessoais quando não reconhecida sequer a incapacidade para a atividade habitual)</w:t>
      </w:r>
    </w:p>
    <w:p w14:paraId="1CD68D8A" w14:textId="77777777" w:rsidR="005A5FCC" w:rsidRDefault="00A21C81">
      <w:pPr>
        <w:spacing w:after="48" w:line="240" w:lineRule="auto"/>
        <w:ind w:left="272" w:hanging="272"/>
        <w:jc w:val="left"/>
      </w:pPr>
      <w:r>
        <w:rPr>
          <w:rFonts w:cs="EB Garamond"/>
          <w:kern w:val="16"/>
          <w:sz w:val="18"/>
          <w14:ligatures w14:val="standardContextual"/>
        </w:rPr>
        <w:t>- Súmula 78/TNU (concessão a portador de HIV diante de incapacidade parcial e estigma social)</w:t>
      </w:r>
    </w:p>
    <w:p w14:paraId="6E00A1CD" w14:textId="77777777" w:rsidR="005A5FCC" w:rsidRDefault="00A21C81">
      <w:pPr>
        <w:spacing w:after="48" w:line="240" w:lineRule="auto"/>
        <w:ind w:left="272" w:hanging="272"/>
        <w:jc w:val="left"/>
      </w:pPr>
      <w:r>
        <w:rPr>
          <w:rFonts w:cs="EB Garamond"/>
          <w:kern w:val="16"/>
          <w:sz w:val="18"/>
          <w14:ligatures w14:val="standardContextual"/>
        </w:rPr>
        <w:t>- Súmula 85/STJ, prescrição em relações de trato sucessivo</w:t>
      </w:r>
    </w:p>
    <w:p w14:paraId="294C17EE" w14:textId="77777777" w:rsidR="005A5FCC" w:rsidRDefault="00A21C81">
      <w:pPr>
        <w:spacing w:after="48" w:line="240" w:lineRule="auto"/>
        <w:ind w:left="272" w:hanging="272"/>
        <w:jc w:val="left"/>
      </w:pPr>
      <w:r>
        <w:rPr>
          <w:rFonts w:cs="EB Garamond"/>
          <w:kern w:val="16"/>
          <w:sz w:val="18"/>
          <w14:ligatures w14:val="standardContextual"/>
        </w:rPr>
        <w:lastRenderedPageBreak/>
        <w:t>- Súmula 85/STJ, prescrição em relações de trato sucessivo.</w:t>
      </w:r>
    </w:p>
    <w:p w14:paraId="673ED302" w14:textId="77777777" w:rsidR="005A5FCC" w:rsidRDefault="00A21C81">
      <w:pPr>
        <w:spacing w:after="48" w:line="240" w:lineRule="auto"/>
        <w:ind w:left="272" w:hanging="272"/>
        <w:jc w:val="left"/>
      </w:pPr>
      <w:r>
        <w:rPr>
          <w:rFonts w:cs="EB Garamond"/>
          <w:kern w:val="16"/>
          <w:sz w:val="18"/>
          <w14:ligatures w14:val="standardContextual"/>
        </w:rPr>
        <w:t>- Súmula 96/TCU, aluno-aprendiz em escola pública profissional.</w:t>
      </w:r>
    </w:p>
    <w:p w14:paraId="7031F3DA" w14:textId="77777777" w:rsidR="005A5FCC" w:rsidRDefault="00A21C81">
      <w:pPr>
        <w:spacing w:after="48" w:line="240" w:lineRule="auto"/>
        <w:ind w:left="272" w:hanging="272"/>
        <w:jc w:val="left"/>
      </w:pPr>
      <w:r>
        <w:rPr>
          <w:rFonts w:cs="EB Garamond"/>
          <w:kern w:val="16"/>
          <w:sz w:val="18"/>
          <w14:ligatures w14:val="standardContextual"/>
        </w:rPr>
        <w:t>- Tema 1.013/STJ (REsp 1.786.590/SP, Primeira Seção, j. 24/06/2020 — cumulação de salários e benefício pago retroativamente)</w:t>
      </w:r>
    </w:p>
    <w:p w14:paraId="4764E343" w14:textId="77777777" w:rsidR="005A5FCC" w:rsidRDefault="00A21C81">
      <w:pPr>
        <w:spacing w:after="48" w:line="240" w:lineRule="auto"/>
        <w:ind w:left="272" w:hanging="272"/>
        <w:jc w:val="left"/>
      </w:pPr>
      <w:r>
        <w:rPr>
          <w:rFonts w:cs="EB Garamond"/>
          <w:kern w:val="16"/>
          <w:sz w:val="18"/>
          <w14:ligatures w14:val="standardContextual"/>
        </w:rPr>
        <w:t>- Tema 1.095/STF (RE 1.221.446, Rel. Min. Dias Toffoli, Plenário, j. 21/06/2021 — adicional de 25% restrito à aposentadoria por incapacidade permanente)</w:t>
      </w:r>
    </w:p>
    <w:p w14:paraId="046F5EEE" w14:textId="77777777" w:rsidR="005A5FCC" w:rsidRDefault="00A21C81">
      <w:pPr>
        <w:spacing w:after="48" w:line="240" w:lineRule="auto"/>
        <w:ind w:left="272" w:hanging="272"/>
        <w:jc w:val="left"/>
      </w:pPr>
      <w:r>
        <w:rPr>
          <w:rFonts w:cs="EB Garamond"/>
          <w:kern w:val="16"/>
          <w:sz w:val="18"/>
          <w14:ligatures w14:val="standardContextual"/>
        </w:rPr>
        <w:t>- Tema 1.124/STJ (REsp 1.913.152, Rel. Min. Herman Benjamin, j. 08/10/2025 — interesse de agir e termo inicial dos efeitos financeiros)</w:t>
      </w:r>
    </w:p>
    <w:p w14:paraId="3F997EEB" w14:textId="77777777" w:rsidR="005A5FCC" w:rsidRDefault="00A21C81">
      <w:pPr>
        <w:spacing w:after="48" w:line="240" w:lineRule="auto"/>
        <w:ind w:left="272" w:hanging="272"/>
        <w:jc w:val="left"/>
      </w:pPr>
      <w:r>
        <w:rPr>
          <w:rFonts w:cs="EB Garamond"/>
          <w:kern w:val="16"/>
          <w:sz w:val="18"/>
          <w14:ligatures w14:val="standardContextual"/>
        </w:rPr>
        <w:t>- Tema 1.125/STF (RE 1.298.832, Rel. Min. Luiz Fux — então Presidente, Plenário Virtual, reafirmação de jurisprudência, j. 19/02/2021 — cômputo do período de auxílio-doença para fins de carência, desde que intercalado com atividade laborativa)</w:t>
      </w:r>
    </w:p>
    <w:p w14:paraId="7EA6C885" w14:textId="77777777" w:rsidR="005A5FCC" w:rsidRDefault="00A21C81">
      <w:pPr>
        <w:spacing w:after="48" w:line="240" w:lineRule="auto"/>
        <w:ind w:left="272" w:hanging="272"/>
        <w:jc w:val="left"/>
      </w:pPr>
      <w:r>
        <w:rPr>
          <w:rFonts w:cs="EB Garamond"/>
          <w:kern w:val="16"/>
          <w:sz w:val="18"/>
          <w14:ligatures w14:val="standardContextual"/>
        </w:rPr>
        <w:t>- Tema 1.246/STJ (REsp 2.082.395/SP, Rel. Min. Paulo Sérgio Domingues, Primeira Seção, j. 13/11/2024 — inadmissibilidade de recurso especial para rediscutir a incapacidade)</w:t>
      </w:r>
    </w:p>
    <w:p w14:paraId="5F679DA3" w14:textId="77777777" w:rsidR="005A5FCC" w:rsidRDefault="00A21C81">
      <w:pPr>
        <w:spacing w:after="48" w:line="240" w:lineRule="auto"/>
        <w:ind w:left="272" w:hanging="272"/>
        <w:jc w:val="left"/>
      </w:pPr>
      <w:r>
        <w:rPr>
          <w:rFonts w:cs="EB Garamond"/>
          <w:kern w:val="16"/>
          <w:sz w:val="18"/>
          <w14:ligatures w14:val="standardContextual"/>
        </w:rPr>
        <w:t>- Tema 1.277/STF (RE 1.426.083 — competência absoluta dos JEFs restrita ao valor da causa)</w:t>
      </w:r>
    </w:p>
    <w:p w14:paraId="251751DB" w14:textId="77777777" w:rsidR="005A5FCC" w:rsidRDefault="00A21C81">
      <w:pPr>
        <w:spacing w:after="48" w:line="240" w:lineRule="auto"/>
        <w:ind w:left="272" w:hanging="272"/>
        <w:jc w:val="left"/>
      </w:pPr>
      <w:r>
        <w:rPr>
          <w:rFonts w:cs="EB Garamond"/>
          <w:kern w:val="16"/>
          <w:sz w:val="18"/>
          <w14:ligatures w14:val="standardContextual"/>
        </w:rPr>
        <w:t>- Tema 1.300/STF (RE 1.469.150, Rel. Min. Luís Roberto Barroso, j. 18/12/2025 — cálculo da aposentadoria por incapacidade permanente por doença grave após a EC 103/2019)</w:t>
      </w:r>
    </w:p>
    <w:p w14:paraId="0AABF7A8" w14:textId="77777777" w:rsidR="005A5FCC" w:rsidRDefault="00A21C81">
      <w:pPr>
        <w:spacing w:after="48" w:line="240" w:lineRule="auto"/>
        <w:ind w:left="272" w:hanging="272"/>
        <w:jc w:val="left"/>
      </w:pPr>
      <w:r>
        <w:rPr>
          <w:rFonts w:cs="EB Garamond"/>
          <w:kern w:val="16"/>
          <w:sz w:val="18"/>
          <w14:ligatures w14:val="standardContextual"/>
        </w:rPr>
        <w:t>- Tema 1.335/STF (RE 1.515.163 — não incidência da SELIC no período de graça do precatório; apenas correção monetária)</w:t>
      </w:r>
    </w:p>
    <w:p w14:paraId="0248AB3F" w14:textId="77777777" w:rsidR="005A5FCC" w:rsidRDefault="00A21C81">
      <w:pPr>
        <w:spacing w:after="48" w:line="240" w:lineRule="auto"/>
        <w:ind w:left="272" w:hanging="272"/>
        <w:jc w:val="left"/>
      </w:pPr>
      <w:r>
        <w:rPr>
          <w:rFonts w:cs="EB Garamond"/>
          <w:kern w:val="16"/>
          <w:sz w:val="18"/>
          <w14:ligatures w14:val="standardContextual"/>
        </w:rPr>
        <w:t>- Tema 1057/STJ (REsp 1.856.967/PR e outros, 1ª Seção, Rel. Min.ª Regina Helena Costa, j. 23/06/2021), legitimidade de pensionistas e herdeiros</w:t>
      </w:r>
    </w:p>
    <w:p w14:paraId="38DE40BE" w14:textId="77777777" w:rsidR="005A5FCC" w:rsidRDefault="00A21C81">
      <w:pPr>
        <w:spacing w:after="48" w:line="240" w:lineRule="auto"/>
        <w:ind w:left="272" w:hanging="272"/>
        <w:jc w:val="left"/>
      </w:pPr>
      <w:r>
        <w:rPr>
          <w:rFonts w:cs="EB Garamond"/>
          <w:kern w:val="16"/>
          <w:sz w:val="18"/>
          <w14:ligatures w14:val="standardContextual"/>
        </w:rPr>
        <w:t>- Tema 214/STJ (REsp 1.114.938/AL, 1ª Seção, j. 14/04/2010), revisão administrativa pelo INSS</w:t>
      </w:r>
    </w:p>
    <w:p w14:paraId="41667CFC" w14:textId="77777777" w:rsidR="005A5FCC" w:rsidRDefault="00A21C81">
      <w:pPr>
        <w:spacing w:after="48" w:line="240" w:lineRule="auto"/>
        <w:ind w:left="272" w:hanging="272"/>
        <w:jc w:val="left"/>
      </w:pPr>
      <w:r>
        <w:rPr>
          <w:rFonts w:cs="EB Garamond"/>
          <w:kern w:val="16"/>
          <w:sz w:val="18"/>
          <w14:ligatures w14:val="standardContextual"/>
        </w:rPr>
        <w:t>- Tema 27/STF (RE 567.985 — inconstitucionalidade do critério rígido de 1/4 do SM para o BPC/LOAS)</w:t>
      </w:r>
    </w:p>
    <w:p w14:paraId="13D5B6BA" w14:textId="77777777" w:rsidR="005A5FCC" w:rsidRDefault="00A21C81">
      <w:pPr>
        <w:spacing w:after="48" w:line="240" w:lineRule="auto"/>
        <w:ind w:left="272" w:hanging="272"/>
        <w:jc w:val="left"/>
      </w:pPr>
      <w:r>
        <w:rPr>
          <w:rFonts w:cs="EB Garamond"/>
          <w:kern w:val="16"/>
          <w:sz w:val="18"/>
          <w14:ligatures w14:val="standardContextual"/>
        </w:rPr>
        <w:t>- Tema 274/TNU (PEDILEF 0512288-77.2017.4.05.8300 — doenças estigmatizantes)</w:t>
      </w:r>
    </w:p>
    <w:p w14:paraId="08CFB59F" w14:textId="77777777" w:rsidR="005A5FCC" w:rsidRDefault="00A21C81">
      <w:pPr>
        <w:spacing w:after="48" w:line="240" w:lineRule="auto"/>
        <w:ind w:left="272" w:hanging="272"/>
        <w:jc w:val="left"/>
      </w:pPr>
      <w:r>
        <w:rPr>
          <w:rFonts w:cs="EB Garamond"/>
          <w:kern w:val="16"/>
          <w:sz w:val="18"/>
          <w14:ligatures w14:val="standardContextual"/>
        </w:rPr>
        <w:t>- Tema 312/STF (RE 580.963 — inconstitucionalidade por omissão parcial do parágrafo único do art. 34 do Estatuto do Idoso)</w:t>
      </w:r>
    </w:p>
    <w:p w14:paraId="23774325" w14:textId="77777777" w:rsidR="005A5FCC" w:rsidRDefault="00A21C81">
      <w:pPr>
        <w:spacing w:after="48" w:line="240" w:lineRule="auto"/>
        <w:ind w:left="272" w:hanging="272"/>
        <w:jc w:val="left"/>
      </w:pPr>
      <w:r>
        <w:rPr>
          <w:rFonts w:cs="EB Garamond"/>
          <w:kern w:val="16"/>
          <w:sz w:val="18"/>
          <w14:ligatures w14:val="standardContextual"/>
        </w:rPr>
        <w:t>- Tema 350/STF (RE 631.240, Rel. Min. Roberto Barroso, j. 03/09/2014 — prévio requerimento administrativo como condição do interesse de agir)</w:t>
      </w:r>
    </w:p>
    <w:p w14:paraId="3157A6A1" w14:textId="77777777" w:rsidR="005A5FCC" w:rsidRDefault="00A21C81">
      <w:pPr>
        <w:spacing w:after="48" w:line="240" w:lineRule="auto"/>
        <w:ind w:left="272" w:hanging="272"/>
        <w:jc w:val="left"/>
      </w:pPr>
      <w:r>
        <w:rPr>
          <w:rFonts w:cs="EB Garamond"/>
          <w:kern w:val="16"/>
          <w:sz w:val="18"/>
          <w14:ligatures w14:val="standardContextual"/>
        </w:rPr>
        <w:t>- Tema 350/STF (RE 631.240/MG — prévio requerimento administrativo)</w:t>
      </w:r>
    </w:p>
    <w:p w14:paraId="0AA02D35" w14:textId="77777777" w:rsidR="005A5FCC" w:rsidRDefault="00A21C81">
      <w:pPr>
        <w:spacing w:after="48" w:line="240" w:lineRule="auto"/>
        <w:ind w:left="272" w:hanging="272"/>
        <w:jc w:val="left"/>
      </w:pPr>
      <w:r>
        <w:rPr>
          <w:rFonts w:cs="EB Garamond"/>
          <w:kern w:val="16"/>
          <w:sz w:val="18"/>
          <w14:ligatures w14:val="standardContextual"/>
        </w:rPr>
        <w:t>- Tema 445/STF (RE 636.553/RS, Plenário, j. 19/02/2020, Rel. Min. Gilmar Mendes), decadência do prazo de anulação de aposentadorias pela Administração</w:t>
      </w:r>
    </w:p>
    <w:p w14:paraId="3DF2FF01" w14:textId="77777777" w:rsidR="005A5FCC" w:rsidRDefault="00A21C81">
      <w:pPr>
        <w:spacing w:after="48" w:line="240" w:lineRule="auto"/>
        <w:ind w:left="272" w:hanging="272"/>
        <w:jc w:val="left"/>
      </w:pPr>
      <w:r>
        <w:rPr>
          <w:rFonts w:cs="EB Garamond"/>
          <w:kern w:val="16"/>
          <w:sz w:val="18"/>
          <w14:ligatures w14:val="standardContextual"/>
        </w:rPr>
        <w:t>- Tema 555/STF (ARE 664.335 — EPI e descaracterização do tempo especial)</w:t>
      </w:r>
    </w:p>
    <w:p w14:paraId="2E2D9E69" w14:textId="77777777" w:rsidR="005A5FCC" w:rsidRDefault="00A21C81">
      <w:pPr>
        <w:spacing w:after="48" w:line="240" w:lineRule="auto"/>
        <w:ind w:left="272" w:hanging="272"/>
        <w:jc w:val="left"/>
      </w:pPr>
      <w:r>
        <w:rPr>
          <w:rFonts w:cs="EB Garamond"/>
          <w:kern w:val="16"/>
          <w:sz w:val="18"/>
          <w14:ligatures w14:val="standardContextual"/>
        </w:rPr>
        <w:t>- Tema 626/STJ (REsp 1.369.165/SP, Rel. Min. Benedito Gonçalves, Primeira Seção, j. 26/02/2014 — termo inicial na citação válida quando ausente requerimento administrativo prévio)</w:t>
      </w:r>
    </w:p>
    <w:p w14:paraId="2722DBD7" w14:textId="77777777" w:rsidR="005A5FCC" w:rsidRDefault="00A21C81">
      <w:pPr>
        <w:spacing w:after="48" w:line="240" w:lineRule="auto"/>
        <w:ind w:left="272" w:hanging="272"/>
        <w:jc w:val="left"/>
      </w:pPr>
      <w:r>
        <w:rPr>
          <w:rFonts w:cs="EB Garamond"/>
          <w:kern w:val="16"/>
          <w:sz w:val="18"/>
          <w14:ligatures w14:val="standardContextual"/>
        </w:rPr>
        <w:lastRenderedPageBreak/>
        <w:t>- Tema 629/STJ (REsp 1.352.721/SP, Corte Especial, j. 16/12/2015), coisa julgada secundum eventum probationis em ações de incapacidade</w:t>
      </w:r>
    </w:p>
    <w:p w14:paraId="7F589BB2" w14:textId="77777777" w:rsidR="005A5FCC" w:rsidRDefault="00A21C81">
      <w:pPr>
        <w:spacing w:after="48" w:line="240" w:lineRule="auto"/>
        <w:ind w:left="272" w:hanging="272"/>
        <w:jc w:val="left"/>
      </w:pPr>
      <w:r>
        <w:rPr>
          <w:rFonts w:cs="EB Garamond"/>
          <w:kern w:val="16"/>
          <w:sz w:val="18"/>
          <w14:ligatures w14:val="standardContextual"/>
        </w:rPr>
        <w:t>- Tema 810/STF (RE 870.947 — índices de correção e juros das condenações da Fazenda Pública)</w:t>
      </w:r>
    </w:p>
    <w:p w14:paraId="0559FEA5" w14:textId="77777777" w:rsidR="005A5FCC" w:rsidRDefault="00A21C81">
      <w:pPr>
        <w:spacing w:after="48" w:line="240" w:lineRule="auto"/>
        <w:ind w:left="272" w:hanging="272"/>
        <w:jc w:val="left"/>
      </w:pPr>
      <w:r>
        <w:rPr>
          <w:rFonts w:cs="EB Garamond"/>
          <w:kern w:val="16"/>
          <w:sz w:val="18"/>
          <w14:ligatures w14:val="standardContextual"/>
        </w:rPr>
        <w:t>- Tema 820/STF (RE 860.508 — pressuposto fático da competência delegada do art. 109, § 3º, CF/88)</w:t>
      </w:r>
    </w:p>
    <w:p w14:paraId="688AA088" w14:textId="77777777" w:rsidR="005A5FCC" w:rsidRDefault="00A21C81">
      <w:pPr>
        <w:spacing w:after="48" w:line="240" w:lineRule="auto"/>
        <w:ind w:left="272" w:hanging="272"/>
        <w:jc w:val="left"/>
      </w:pPr>
      <w:r>
        <w:rPr>
          <w:rFonts w:cs="EB Garamond"/>
          <w:kern w:val="16"/>
          <w:sz w:val="18"/>
          <w14:ligatures w14:val="standardContextual"/>
        </w:rPr>
        <w:t>- Tema 966/STJ (REsp 1.631.021/SP, 1ª Seção, Rel. Min. Mauro Campbell Marques, j. 13/02/2019), decadência e direito ao benefício mais vantajoso</w:t>
      </w:r>
    </w:p>
    <w:p w14:paraId="293D8223" w14:textId="77777777" w:rsidR="005A5FCC" w:rsidRDefault="00A21C81">
      <w:pPr>
        <w:spacing w:after="48" w:line="240" w:lineRule="auto"/>
        <w:ind w:left="272" w:hanging="272"/>
        <w:jc w:val="left"/>
      </w:pPr>
      <w:r>
        <w:rPr>
          <w:rFonts w:cs="EB Garamond"/>
          <w:kern w:val="16"/>
          <w:sz w:val="18"/>
          <w14:ligatures w14:val="standardContextual"/>
        </w:rPr>
        <w:t>- Tema 975/STJ (REsp 1.644.191/RS, 1ª Seção, j. 11/12/2019), termo inicial da decadência quando INSS não examinou de ofício</w:t>
      </w:r>
    </w:p>
    <w:p w14:paraId="37B62E70" w14:textId="77777777" w:rsidR="005A5FCC" w:rsidRDefault="00A21C81">
      <w:pPr>
        <w:spacing w:after="48" w:line="240" w:lineRule="auto"/>
        <w:ind w:left="272" w:hanging="272"/>
        <w:jc w:val="left"/>
      </w:pPr>
      <w:r>
        <w:rPr>
          <w:rFonts w:cs="EB Garamond"/>
          <w:kern w:val="16"/>
          <w:sz w:val="18"/>
          <w14:ligatures w14:val="standardContextual"/>
        </w:rPr>
        <w:t>- Tema 982/STJ (REsp 1.648.305/RS, Rel. Min. Assusete Magalhães, Primeira Seção, j. 22/08/2018 — extensão do adicional de 25%, posteriormente revertida pelo Tema 1.095/STF)</w:t>
      </w:r>
    </w:p>
    <w:p w14:paraId="63206197" w14:textId="77777777" w:rsidR="005A5FCC" w:rsidRDefault="00A21C81">
      <w:pPr>
        <w:spacing w:after="48" w:line="240" w:lineRule="auto"/>
        <w:ind w:left="272" w:hanging="272"/>
        <w:jc w:val="left"/>
      </w:pPr>
      <w:r>
        <w:rPr>
          <w:rFonts w:cs="EB Garamond"/>
          <w:kern w:val="16"/>
          <w:sz w:val="18"/>
          <w14:ligatures w14:val="standardContextual"/>
        </w:rPr>
        <w:t>- TNU, Tema 113, salário-maternidade devido à desempregada, pago diretamente pela Previdência Social (cálculo: TNU Tema 202, art. 73, III).</w:t>
      </w:r>
    </w:p>
    <w:p w14:paraId="6C4CD510" w14:textId="77777777" w:rsidR="005A5FCC" w:rsidRDefault="00A21C81">
      <w:pPr>
        <w:spacing w:after="48" w:line="240" w:lineRule="auto"/>
        <w:ind w:left="272" w:hanging="272"/>
        <w:jc w:val="left"/>
      </w:pPr>
      <w:r>
        <w:rPr>
          <w:rFonts w:cs="EB Garamond"/>
          <w:kern w:val="16"/>
          <w:sz w:val="18"/>
          <w14:ligatures w14:val="standardContextual"/>
        </w:rPr>
        <w:t>- TNU, Tema 216, aluno-aprendiz (requisitos restritivos).</w:t>
      </w:r>
    </w:p>
    <w:p w14:paraId="5A96C6A4" w14:textId="77777777" w:rsidR="005A5FCC" w:rsidRDefault="00A21C81">
      <w:pPr>
        <w:spacing w:after="48" w:line="240" w:lineRule="auto"/>
        <w:ind w:left="272" w:hanging="272"/>
        <w:jc w:val="left"/>
      </w:pPr>
      <w:r>
        <w:rPr>
          <w:rFonts w:cs="EB Garamond"/>
          <w:kern w:val="16"/>
          <w:sz w:val="18"/>
          <w14:ligatures w14:val="standardContextual"/>
        </w:rPr>
        <w:t>- TNU, Tema 217, fungibilidade entre BPC/LOAS e benefícios por incapacidade.</w:t>
      </w:r>
    </w:p>
    <w:p w14:paraId="654F56EB" w14:textId="77777777" w:rsidR="005A5FCC" w:rsidRDefault="00A21C81">
      <w:pPr>
        <w:spacing w:after="48" w:line="240" w:lineRule="auto"/>
        <w:ind w:left="272" w:hanging="272"/>
        <w:jc w:val="left"/>
      </w:pPr>
      <w:r>
        <w:rPr>
          <w:rFonts w:cs="EB Garamond"/>
          <w:kern w:val="16"/>
          <w:sz w:val="18"/>
          <w14:ligatures w14:val="standardContextual"/>
        </w:rPr>
        <w:t>- TNU, Tema 357, monitoração eletrônica e direito adquirido ao auxílio-reclusão (pré-2019).</w:t>
      </w:r>
    </w:p>
    <w:p w14:paraId="2FC6714E" w14:textId="77777777" w:rsidR="005A5FCC" w:rsidRDefault="00A21C81">
      <w:pPr>
        <w:spacing w:after="48" w:line="240" w:lineRule="auto"/>
        <w:ind w:left="272" w:hanging="272"/>
        <w:jc w:val="left"/>
      </w:pPr>
      <w:r>
        <w:rPr>
          <w:rFonts w:cs="EB Garamond"/>
          <w:kern w:val="16"/>
          <w:sz w:val="18"/>
          <w14:ligatures w14:val="standardContextual"/>
        </w:rPr>
        <w:t>- TNU, Tema 358, carência como requisito autônomo pós-EC 103/2019.</w:t>
      </w:r>
    </w:p>
    <w:p w14:paraId="6AF58172" w14:textId="77777777" w:rsidR="005A5FCC" w:rsidRDefault="00A21C81">
      <w:pPr>
        <w:spacing w:after="48" w:line="240" w:lineRule="auto"/>
        <w:ind w:left="272" w:hanging="272"/>
        <w:jc w:val="left"/>
      </w:pPr>
      <w:r>
        <w:rPr>
          <w:rFonts w:cs="EB Garamond"/>
          <w:kern w:val="16"/>
          <w:sz w:val="18"/>
          <w14:ligatures w14:val="standardContextual"/>
        </w:rPr>
        <w:t>- TNU: Súmula 63 (comprovação de união estável prescinde de início de prova material para óbitos anteriores à MP 871/2019).</w:t>
      </w:r>
    </w:p>
    <w:p w14:paraId="6773D086" w14:textId="77777777" w:rsidR="005A5FCC" w:rsidRDefault="00A21C81">
      <w:pPr>
        <w:spacing w:after="48" w:line="240" w:lineRule="auto"/>
        <w:ind w:left="272" w:hanging="272"/>
        <w:jc w:val="left"/>
      </w:pPr>
      <w:r>
        <w:rPr>
          <w:rFonts w:cs="EB Garamond"/>
          <w:kern w:val="16"/>
          <w:sz w:val="18"/>
          <w14:ligatures w14:val="standardContextual"/>
        </w:rPr>
        <w:t>BRASIL. Superior Tribunal de Justiça. Jurisprudência consolidada sobre a inadimplência do empregador e a manutenção da qualidade de segurado do empregado (art. 30, I, e art. 33, § 5º, da Lei nº 8.212/91).</w:t>
      </w:r>
    </w:p>
    <w:p w14:paraId="611383E9" w14:textId="77777777" w:rsidR="005A5FCC" w:rsidRDefault="00A21C81">
      <w:pPr>
        <w:spacing w:after="48" w:line="240" w:lineRule="auto"/>
        <w:ind w:left="272" w:hanging="272"/>
        <w:jc w:val="left"/>
      </w:pPr>
      <w:r>
        <w:rPr>
          <w:rFonts w:cs="EB Garamond"/>
          <w:kern w:val="16"/>
          <w:sz w:val="18"/>
          <w14:ligatures w14:val="standardContextual"/>
        </w:rPr>
        <w:t>BRASIL. Superior Tribunal de Justiça. Jurisprudência em Teses, edição 198 — Auxílio-Acidente. Publicada em 08/09/2022.</w:t>
      </w:r>
    </w:p>
    <w:p w14:paraId="44B87CAD" w14:textId="77777777" w:rsidR="005A5FCC" w:rsidRDefault="00A21C81">
      <w:pPr>
        <w:spacing w:after="48" w:line="240" w:lineRule="auto"/>
        <w:ind w:left="272" w:hanging="272"/>
        <w:jc w:val="left"/>
      </w:pPr>
      <w:r>
        <w:rPr>
          <w:rFonts w:cs="EB Garamond"/>
          <w:kern w:val="16"/>
          <w:sz w:val="18"/>
          <w14:ligatures w14:val="standardContextual"/>
        </w:rPr>
        <w:t>BRASIL. Superior Tribunal de Justiça. Jurisprudência em Teses, edição 199 — Auxílio-Acidente II. Publicada em 16/09/2022.</w:t>
      </w:r>
    </w:p>
    <w:p w14:paraId="7493DC6D" w14:textId="77777777" w:rsidR="005A5FCC" w:rsidRDefault="00A21C81">
      <w:pPr>
        <w:spacing w:after="48" w:line="240" w:lineRule="auto"/>
        <w:ind w:left="272" w:hanging="272"/>
        <w:jc w:val="left"/>
      </w:pPr>
      <w:r>
        <w:rPr>
          <w:rFonts w:cs="EB Garamond"/>
          <w:kern w:val="16"/>
          <w:sz w:val="18"/>
          <w14:ligatures w14:val="standardContextual"/>
        </w:rPr>
        <w:t xml:space="preserve">BRASIL. Superior Tribunal de Justiça. REsp 1.495.146/MG (Tema 905). Rel. Min. Mauro Campbell Marques. 1ª Seção. Julgado em 22 fev. 2018. </w:t>
      </w:r>
      <w:r>
        <w:rPr>
          <w:rFonts w:cs="EB Garamond"/>
          <w:i/>
          <w:kern w:val="16"/>
          <w:sz w:val="18"/>
          <w14:ligatures w14:val="standardContextual"/>
        </w:rPr>
        <w:t>Diário da Justiça Eletrônico</w:t>
      </w:r>
      <w:r>
        <w:rPr>
          <w:rFonts w:cs="EB Garamond"/>
          <w:kern w:val="16"/>
          <w:sz w:val="18"/>
          <w14:ligatures w14:val="standardContextual"/>
        </w:rPr>
        <w:t>, Brasília, DF, 20 mar. 2018.</w:t>
      </w:r>
    </w:p>
    <w:p w14:paraId="677C2ACB" w14:textId="77777777" w:rsidR="005A5FCC" w:rsidRDefault="00A21C81">
      <w:pPr>
        <w:spacing w:after="48" w:line="240" w:lineRule="auto"/>
        <w:ind w:left="272" w:hanging="272"/>
        <w:jc w:val="left"/>
      </w:pPr>
      <w:r>
        <w:rPr>
          <w:rFonts w:cs="EB Garamond"/>
          <w:kern w:val="16"/>
          <w:sz w:val="18"/>
          <w14:ligatures w14:val="standardContextual"/>
        </w:rPr>
        <w:t xml:space="preserve">BRASIL. Superior Tribunal de Justiça. REsp 1.870.793/RS e REsp 1.870.815/RS (Tema 1.070). Rel. Min. Sérgio Kukina. 1ª Seção. Julgado em 11 maio 2022. Trânsito em julgado: 13 fev. 2023. </w:t>
      </w:r>
      <w:r>
        <w:rPr>
          <w:rFonts w:cs="EB Garamond"/>
          <w:i/>
          <w:kern w:val="16"/>
          <w:sz w:val="18"/>
          <w14:ligatures w14:val="standardContextual"/>
        </w:rPr>
        <w:t>Diário da Justiça Eletrônico</w:t>
      </w:r>
      <w:r>
        <w:rPr>
          <w:rFonts w:cs="EB Garamond"/>
          <w:kern w:val="16"/>
          <w:sz w:val="18"/>
          <w14:ligatures w14:val="standardContextual"/>
        </w:rPr>
        <w:t>, Brasília, DF, 24 maio 2022.</w:t>
      </w:r>
    </w:p>
    <w:p w14:paraId="2182AEDA" w14:textId="77777777" w:rsidR="005A5FCC" w:rsidRDefault="00A21C81">
      <w:pPr>
        <w:spacing w:after="48" w:line="240" w:lineRule="auto"/>
        <w:ind w:left="272" w:hanging="272"/>
        <w:jc w:val="left"/>
      </w:pPr>
      <w:r>
        <w:rPr>
          <w:rFonts w:cs="EB Garamond"/>
          <w:kern w:val="16"/>
          <w:sz w:val="18"/>
          <w14:ligatures w14:val="standardContextual"/>
        </w:rPr>
        <w:t xml:space="preserve">BRASIL. Superior Tribunal de Justiça. REsp 1.957.733 e REsp 1.958.465 (Tema 1.140). Rel. Min. Gurgel de Faria. 1ª Seção. Julgado em 14 ago. 2024. </w:t>
      </w:r>
      <w:r>
        <w:rPr>
          <w:rFonts w:cs="EB Garamond"/>
          <w:i/>
          <w:kern w:val="16"/>
          <w:sz w:val="18"/>
          <w14:ligatures w14:val="standardContextual"/>
        </w:rPr>
        <w:t>Diário da Justiça Eletrônico</w:t>
      </w:r>
      <w:r>
        <w:rPr>
          <w:rFonts w:cs="EB Garamond"/>
          <w:kern w:val="16"/>
          <w:sz w:val="18"/>
          <w14:ligatures w14:val="standardContextual"/>
        </w:rPr>
        <w:t>, Brasília, DF, 2024.</w:t>
      </w:r>
    </w:p>
    <w:p w14:paraId="2D7A9366" w14:textId="77777777" w:rsidR="005A5FCC" w:rsidRDefault="00A21C81">
      <w:pPr>
        <w:spacing w:after="48" w:line="240" w:lineRule="auto"/>
        <w:ind w:left="272" w:hanging="272"/>
        <w:jc w:val="left"/>
      </w:pPr>
      <w:r>
        <w:rPr>
          <w:rFonts w:cs="EB Garamond"/>
          <w:kern w:val="16"/>
          <w:sz w:val="18"/>
          <w14:ligatures w14:val="standardContextual"/>
        </w:rPr>
        <w:lastRenderedPageBreak/>
        <w:t>BRASIL. Superior Tribunal de Justiça. Súmula 149. A prova exclusivamente testemunhal não basta à comprovação da atividade rurícola, para efeito da obtenção de benefício previdenciário.</w:t>
      </w:r>
    </w:p>
    <w:p w14:paraId="52757E5B" w14:textId="77777777" w:rsidR="005A5FCC" w:rsidRDefault="00A21C81">
      <w:pPr>
        <w:spacing w:after="48" w:line="240" w:lineRule="auto"/>
        <w:ind w:left="272" w:hanging="272"/>
        <w:jc w:val="left"/>
      </w:pPr>
      <w:r>
        <w:rPr>
          <w:rFonts w:cs="EB Garamond"/>
          <w:kern w:val="16"/>
          <w:sz w:val="18"/>
          <w14:ligatures w14:val="standardContextual"/>
        </w:rPr>
        <w:t>BRASIL. Superior Tribunal de Justiça. Súmula 44. Aprovada em 1992.</w:t>
      </w:r>
    </w:p>
    <w:p w14:paraId="007D3BC9" w14:textId="77777777" w:rsidR="005A5FCC" w:rsidRDefault="00A21C81">
      <w:pPr>
        <w:spacing w:after="48" w:line="240" w:lineRule="auto"/>
        <w:ind w:left="272" w:hanging="272"/>
        <w:jc w:val="left"/>
      </w:pPr>
      <w:r>
        <w:rPr>
          <w:rFonts w:cs="EB Garamond"/>
          <w:kern w:val="16"/>
          <w:sz w:val="18"/>
          <w14:ligatures w14:val="standardContextual"/>
        </w:rPr>
        <w:t>BRASIL. Superior Tribunal de Justiça. Súmula 507. Aprovada em 26/03/2014.</w:t>
      </w:r>
    </w:p>
    <w:p w14:paraId="5F6B2F83" w14:textId="77777777" w:rsidR="005A5FCC" w:rsidRDefault="00A21C81">
      <w:pPr>
        <w:spacing w:after="48" w:line="240" w:lineRule="auto"/>
        <w:ind w:left="272" w:hanging="272"/>
        <w:jc w:val="left"/>
      </w:pPr>
      <w:r>
        <w:rPr>
          <w:rFonts w:cs="EB Garamond"/>
          <w:kern w:val="16"/>
          <w:sz w:val="18"/>
          <w14:ligatures w14:val="standardContextual"/>
        </w:rPr>
        <w:t>BRASIL. Superior Tribunal de Justiça. Tema 533. Extensão da prova material entre integrantes do núcleo familiar em regime de economia familiar e seus limites.</w:t>
      </w:r>
    </w:p>
    <w:p w14:paraId="2E0A95D9" w14:textId="77777777" w:rsidR="005A5FCC" w:rsidRDefault="00A21C81">
      <w:pPr>
        <w:spacing w:after="48" w:line="240" w:lineRule="auto"/>
        <w:ind w:left="272" w:hanging="272"/>
        <w:jc w:val="left"/>
      </w:pPr>
      <w:r>
        <w:rPr>
          <w:rFonts w:cs="EB Garamond"/>
          <w:kern w:val="16"/>
          <w:sz w:val="18"/>
          <w14:ligatures w14:val="standardContextual"/>
        </w:rPr>
        <w:t>BRASIL. Superior Tribunal de Justiça. Tema 862. REsp 1.729.555/SP. Rel. Min. Assusete Magalhães. Primeira Seção. Julgado em 09/06/2021. DJe 01/07/2021.</w:t>
      </w:r>
    </w:p>
    <w:p w14:paraId="6723824B" w14:textId="77777777" w:rsidR="005A5FCC" w:rsidRDefault="00A21C81">
      <w:pPr>
        <w:spacing w:after="48" w:line="240" w:lineRule="auto"/>
        <w:ind w:left="272" w:hanging="272"/>
        <w:jc w:val="left"/>
      </w:pPr>
      <w:r>
        <w:rPr>
          <w:rFonts w:cs="EB Garamond"/>
          <w:kern w:val="16"/>
          <w:sz w:val="18"/>
          <w14:ligatures w14:val="standardContextual"/>
        </w:rPr>
        <w:t>BRASIL. Superior Tribunal de Justiça. Tema 975. Decadência e matérias não examinadas de ofício pelo INSS.</w:t>
      </w:r>
    </w:p>
    <w:p w14:paraId="584A56A1" w14:textId="77777777" w:rsidR="005A5FCC" w:rsidRDefault="00A21C81">
      <w:pPr>
        <w:spacing w:after="48" w:line="240" w:lineRule="auto"/>
        <w:ind w:left="272" w:hanging="272"/>
        <w:jc w:val="left"/>
      </w:pPr>
      <w:r>
        <w:rPr>
          <w:rFonts w:cs="EB Garamond"/>
          <w:kern w:val="16"/>
          <w:sz w:val="18"/>
          <w14:ligatures w14:val="standardContextual"/>
        </w:rPr>
        <w:t xml:space="preserve">BRASIL. Superior Tribunal de Justiça. Tema 995. Rel. Min. Mauro Campbell Marques. 1ª Seção. Julgado em 22 out. 2019. </w:t>
      </w:r>
      <w:r>
        <w:rPr>
          <w:rFonts w:cs="EB Garamond"/>
          <w:i/>
          <w:kern w:val="16"/>
          <w:sz w:val="18"/>
          <w14:ligatures w14:val="standardContextual"/>
        </w:rPr>
        <w:t>Diário da Justiça Eletrônico</w:t>
      </w:r>
      <w:r>
        <w:rPr>
          <w:rFonts w:cs="EB Garamond"/>
          <w:kern w:val="16"/>
          <w:sz w:val="18"/>
          <w14:ligatures w14:val="standardContextual"/>
        </w:rPr>
        <w:t>, Brasília, DF, 2 dez. 2019.</w:t>
      </w:r>
    </w:p>
    <w:p w14:paraId="36EA4118" w14:textId="77777777" w:rsidR="005A5FCC" w:rsidRDefault="00A21C81">
      <w:pPr>
        <w:spacing w:after="48" w:line="240" w:lineRule="auto"/>
        <w:ind w:left="272" w:hanging="272"/>
        <w:jc w:val="left"/>
      </w:pPr>
      <w:r>
        <w:rPr>
          <w:rFonts w:cs="EB Garamond"/>
          <w:kern w:val="16"/>
          <w:sz w:val="18"/>
          <w14:ligatures w14:val="standardContextual"/>
        </w:rPr>
        <w:t>BRASIL. Superior Tribunal de Justiça. Tema 999. Regra de cálculo do benefício: aplicação do art. 29, I e II, da Lei 8.213/91 em confronto com o art. 3º da Lei 9.876/1999. (Tema sobrestado na origem, atrelado ao desfecho do Tema 1.102/STF.)</w:t>
      </w:r>
    </w:p>
    <w:p w14:paraId="53D0110E" w14:textId="77777777" w:rsidR="005A5FCC" w:rsidRDefault="00A21C81">
      <w:pPr>
        <w:spacing w:after="48" w:line="240" w:lineRule="auto"/>
        <w:ind w:left="272" w:hanging="272"/>
        <w:jc w:val="left"/>
      </w:pPr>
      <w:r>
        <w:rPr>
          <w:rFonts w:cs="EB Garamond"/>
          <w:kern w:val="16"/>
          <w:sz w:val="18"/>
          <w14:ligatures w14:val="standardContextual"/>
        </w:rPr>
        <w:t xml:space="preserve">BRASIL. Superior Tribunal de Justiça. </w:t>
      </w:r>
      <w:r>
        <w:rPr>
          <w:rFonts w:cs="EB Garamond"/>
          <w:b/>
          <w:kern w:val="16"/>
          <w:sz w:val="18"/>
          <w14:ligatures w14:val="standardContextual"/>
        </w:rPr>
        <w:t>Tema Repetitivo 1.174</w:t>
      </w:r>
      <w:r>
        <w:rPr>
          <w:rFonts w:cs="EB Garamond"/>
          <w:kern w:val="16"/>
          <w:sz w:val="18"/>
          <w14:ligatures w14:val="standardContextual"/>
        </w:rPr>
        <w:t xml:space="preserve"> (REsp 2.005.029/PR, Rel. Min. Herman Benjamin, 1ª Seção, j. 14/08/2024): as parcelas relativas ao vale-transporte, vale-refeição/alimentação, plano de assistência à saúde, ao IRRF e à contribuição previdenciária dos empregados, descontadas em folha, não integram a base de cálculo da contribuição previdenciária patronal, do SAT e das contribuições a terceiros.</w:t>
      </w:r>
    </w:p>
    <w:p w14:paraId="702B3008" w14:textId="77777777" w:rsidR="005A5FCC" w:rsidRDefault="00A21C81">
      <w:pPr>
        <w:spacing w:after="48" w:line="240" w:lineRule="auto"/>
        <w:ind w:left="272" w:hanging="272"/>
        <w:jc w:val="left"/>
      </w:pPr>
      <w:r>
        <w:rPr>
          <w:rFonts w:cs="EB Garamond"/>
          <w:kern w:val="16"/>
          <w:sz w:val="18"/>
          <w14:ligatures w14:val="standardContextual"/>
        </w:rPr>
        <w:t xml:space="preserve">BRASIL. Superior Tribunal de Justiça. </w:t>
      </w:r>
      <w:r>
        <w:rPr>
          <w:rFonts w:cs="EB Garamond"/>
          <w:b/>
          <w:kern w:val="16"/>
          <w:sz w:val="18"/>
          <w14:ligatures w14:val="standardContextual"/>
        </w:rPr>
        <w:t>Tema Repetitivo 1.252</w:t>
      </w:r>
      <w:r>
        <w:rPr>
          <w:rFonts w:cs="EB Garamond"/>
          <w:kern w:val="16"/>
          <w:sz w:val="18"/>
          <w14:ligatures w14:val="standardContextual"/>
        </w:rPr>
        <w:t xml:space="preserve"> (REsp 2.050.498, Rel. Min. Herman Benjamin, 1ª Seção, j. 20/06/2024): incide a contribuição previdenciária patronal sobre o adicional de insalubridade, em razão de sua natureza remuneratória.</w:t>
      </w:r>
    </w:p>
    <w:p w14:paraId="43DE9CF7" w14:textId="77777777" w:rsidR="005A5FCC" w:rsidRDefault="00A21C81">
      <w:pPr>
        <w:spacing w:after="48" w:line="240" w:lineRule="auto"/>
        <w:ind w:left="272" w:hanging="272"/>
        <w:jc w:val="left"/>
      </w:pPr>
      <w:r>
        <w:rPr>
          <w:rFonts w:cs="EB Garamond"/>
          <w:kern w:val="16"/>
          <w:sz w:val="18"/>
          <w14:ligatures w14:val="standardContextual"/>
        </w:rPr>
        <w:t xml:space="preserve">BRASIL. Superior Tribunal de Justiça. </w:t>
      </w:r>
      <w:r>
        <w:rPr>
          <w:rFonts w:cs="EB Garamond"/>
          <w:b/>
          <w:kern w:val="16"/>
          <w:sz w:val="18"/>
          <w14:ligatures w14:val="standardContextual"/>
        </w:rPr>
        <w:t>Tema Repetitivo 1.342</w:t>
      </w:r>
      <w:r>
        <w:rPr>
          <w:rFonts w:cs="EB Garamond"/>
          <w:kern w:val="16"/>
          <w:sz w:val="18"/>
          <w14:ligatures w14:val="standardContextual"/>
        </w:rPr>
        <w:t xml:space="preserve"> (REsp 2.191.479, Rel. Min. Maria Thereza de Assis Moura, 1ª Seção, j. 13/08/2025): a remuneração decorrente do contrato de aprendizagem (art. 428 da CLT) integra a base de cálculo da contribuição previdenciária patronal, do GILRAT e das contribuições a terceiros.</w:t>
      </w:r>
    </w:p>
    <w:p w14:paraId="4E388586" w14:textId="77777777" w:rsidR="005A5FCC" w:rsidRDefault="00A21C81">
      <w:pPr>
        <w:spacing w:after="48" w:line="240" w:lineRule="auto"/>
        <w:ind w:left="272" w:hanging="272"/>
        <w:jc w:val="left"/>
      </w:pPr>
      <w:r>
        <w:rPr>
          <w:rFonts w:cs="EB Garamond"/>
          <w:kern w:val="16"/>
          <w:sz w:val="18"/>
          <w14:ligatures w14:val="standardContextual"/>
        </w:rPr>
        <w:t>BRASIL. Supremo Tribunal Federal. ADI 2.110/DF e ADI 2.111/DF. Declaração de constitucionalidade do art. 3º da Lei 9.876/1999, com modulação de efeitos (ata de julgamento do mérito publicada em 05/04/2024). Afastamento da tese da revisão da vida toda fixada no Tema 1.102/STF.</w:t>
      </w:r>
    </w:p>
    <w:p w14:paraId="69673EB1" w14:textId="77777777" w:rsidR="005A5FCC" w:rsidRDefault="00A21C81">
      <w:pPr>
        <w:spacing w:after="48" w:line="240" w:lineRule="auto"/>
        <w:ind w:left="272" w:hanging="272"/>
        <w:jc w:val="left"/>
      </w:pPr>
      <w:r>
        <w:rPr>
          <w:rFonts w:cs="EB Garamond"/>
          <w:kern w:val="16"/>
          <w:sz w:val="18"/>
          <w14:ligatures w14:val="standardContextual"/>
        </w:rPr>
        <w:t xml:space="preserve">BRASIL. Supremo Tribunal Federal. ADI 2.110/DF e ADI 2.111/DF. Rel. Min. Nunes Marques. Plenário. Julgamento concluído em 21 mar. 2024. </w:t>
      </w:r>
      <w:r>
        <w:rPr>
          <w:rFonts w:cs="EB Garamond"/>
          <w:i/>
          <w:kern w:val="16"/>
          <w:sz w:val="18"/>
          <w14:ligatures w14:val="standardContextual"/>
        </w:rPr>
        <w:t>Diário da Justiça Eletrônico</w:t>
      </w:r>
      <w:r>
        <w:rPr>
          <w:rFonts w:cs="EB Garamond"/>
          <w:kern w:val="16"/>
          <w:sz w:val="18"/>
          <w14:ligatures w14:val="standardContextual"/>
        </w:rPr>
        <w:t>, Brasília, DF, 5 abr. 2024.</w:t>
      </w:r>
    </w:p>
    <w:p w14:paraId="38DD0469" w14:textId="77777777" w:rsidR="005A5FCC" w:rsidRDefault="00A21C81">
      <w:pPr>
        <w:spacing w:after="48" w:line="240" w:lineRule="auto"/>
        <w:ind w:left="272" w:hanging="272"/>
        <w:jc w:val="left"/>
      </w:pPr>
      <w:r>
        <w:rPr>
          <w:rFonts w:cs="EB Garamond"/>
          <w:kern w:val="16"/>
          <w:sz w:val="18"/>
          <w14:ligatures w14:val="standardContextual"/>
        </w:rPr>
        <w:t>BRASIL. Supremo Tribunal Federal. ADI 3.105. Relatora: Min. Ellen Gracie. Relator p/ acórdão: Min. Cezar Peluso. Julgamento: 18/08/2004. Contribuição de inativos no RPPS e princípio da solidariedade.</w:t>
      </w:r>
    </w:p>
    <w:p w14:paraId="11FF1081" w14:textId="77777777" w:rsidR="005A5FCC" w:rsidRDefault="00A21C81">
      <w:pPr>
        <w:spacing w:after="48" w:line="240" w:lineRule="auto"/>
        <w:ind w:left="272" w:hanging="272"/>
        <w:jc w:val="left"/>
      </w:pPr>
      <w:r>
        <w:rPr>
          <w:rFonts w:cs="EB Garamond"/>
          <w:kern w:val="16"/>
          <w:sz w:val="18"/>
          <w14:ligatures w14:val="standardContextual"/>
        </w:rPr>
        <w:lastRenderedPageBreak/>
        <w:t>BRASIL. Supremo Tribunal Federal. ARE 888938 (Tema 824). A questão relativa ao índice de reajuste aplicável aos benefícios previdenciários, para fins de preservação de seu valor real, tem natureza infraconstitucional e ausência de repercussão geral.</w:t>
      </w:r>
    </w:p>
    <w:p w14:paraId="0128EEF9" w14:textId="77777777" w:rsidR="005A5FCC" w:rsidRDefault="00A21C81">
      <w:pPr>
        <w:spacing w:after="48" w:line="240" w:lineRule="auto"/>
        <w:ind w:left="272" w:hanging="272"/>
        <w:jc w:val="left"/>
      </w:pPr>
      <w:r>
        <w:rPr>
          <w:rFonts w:cs="EB Garamond"/>
          <w:kern w:val="16"/>
          <w:sz w:val="18"/>
          <w14:ligatures w14:val="standardContextual"/>
        </w:rPr>
        <w:t xml:space="preserve">BRASIL. Supremo Tribunal Federal. RE 1.221.630 (Tema 1.091). Rel. Min. Presidente. Plenário (reafirmação de jurisprudência). Julgado em 5 jun. 2020. </w:t>
      </w:r>
      <w:r>
        <w:rPr>
          <w:rFonts w:cs="EB Garamond"/>
          <w:i/>
          <w:kern w:val="16"/>
          <w:sz w:val="18"/>
          <w14:ligatures w14:val="standardContextual"/>
        </w:rPr>
        <w:t>Diário da Justiça Eletrônico</w:t>
      </w:r>
      <w:r>
        <w:rPr>
          <w:rFonts w:cs="EB Garamond"/>
          <w:kern w:val="16"/>
          <w:sz w:val="18"/>
          <w14:ligatures w14:val="standardContextual"/>
        </w:rPr>
        <w:t>, Brasília, DF, 2020.</w:t>
      </w:r>
    </w:p>
    <w:p w14:paraId="1A646C39" w14:textId="77777777" w:rsidR="005A5FCC" w:rsidRDefault="00A21C81">
      <w:pPr>
        <w:spacing w:after="48" w:line="240" w:lineRule="auto"/>
        <w:ind w:left="272" w:hanging="272"/>
        <w:jc w:val="left"/>
      </w:pPr>
      <w:r>
        <w:rPr>
          <w:rFonts w:cs="EB Garamond"/>
          <w:kern w:val="16"/>
          <w:sz w:val="18"/>
          <w14:ligatures w14:val="standardContextual"/>
        </w:rPr>
        <w:t>BRASIL. Supremo Tribunal Federal. RE 1.276.977 (Tema 1.102). Relator originário: Min. Marco Aurélio. Redator p/ acórdão: Min. Alexandre de Moraes. Julgamento do mérito: 01/12/2022. Revisão da vida toda: o STF reconheceu, no julgamento de mérito, o direito do segurado a optar pela regra definitiva de cálculo quando mais favorável. Posição superada pela declaração de constitucionalidade do art. 3º da Lei 9.876/1999.</w:t>
      </w:r>
    </w:p>
    <w:p w14:paraId="19988F2B" w14:textId="77777777" w:rsidR="005A5FCC" w:rsidRDefault="00A21C81">
      <w:pPr>
        <w:spacing w:after="48" w:line="240" w:lineRule="auto"/>
        <w:ind w:left="272" w:hanging="272"/>
        <w:jc w:val="left"/>
      </w:pPr>
      <w:r>
        <w:rPr>
          <w:rFonts w:cs="EB Garamond"/>
          <w:kern w:val="16"/>
          <w:sz w:val="18"/>
          <w14:ligatures w14:val="standardContextual"/>
        </w:rPr>
        <w:t xml:space="preserve">BRASIL. Supremo Tribunal Federal. RE 1.276.977/RS (Tema 1.102). Rel. p/ acórdão Min. Alexandre de Moraes (julgamento original, dez. 2022); embargos com efeitos infringentes julgados em 26 nov. 2025 (tese revertida). Plenário. </w:t>
      </w:r>
      <w:r>
        <w:rPr>
          <w:rFonts w:cs="EB Garamond"/>
          <w:i/>
          <w:kern w:val="16"/>
          <w:sz w:val="18"/>
          <w14:ligatures w14:val="standardContextual"/>
        </w:rPr>
        <w:t>Diário da Justiça Eletrônico</w:t>
      </w:r>
      <w:r>
        <w:rPr>
          <w:rFonts w:cs="EB Garamond"/>
          <w:kern w:val="16"/>
          <w:sz w:val="18"/>
          <w14:ligatures w14:val="standardContextual"/>
        </w:rPr>
        <w:t>, Brasília, DF, 2025.</w:t>
      </w:r>
    </w:p>
    <w:p w14:paraId="0CB9160A" w14:textId="77777777" w:rsidR="005A5FCC" w:rsidRDefault="00A21C81">
      <w:pPr>
        <w:spacing w:after="48" w:line="240" w:lineRule="auto"/>
        <w:ind w:left="272" w:hanging="272"/>
        <w:jc w:val="left"/>
      </w:pPr>
      <w:r>
        <w:rPr>
          <w:rFonts w:cs="EB Garamond"/>
          <w:kern w:val="16"/>
          <w:sz w:val="18"/>
          <w14:ligatures w14:val="standardContextual"/>
        </w:rPr>
        <w:t xml:space="preserve">BRASIL. Supremo Tribunal Federal. RE 1.469.150/SC (Tema 1.300). Rel. Min. Luís Roberto Barroso. Plenário. Julgado em 18 dez. 2025. </w:t>
      </w:r>
      <w:r>
        <w:rPr>
          <w:rFonts w:cs="EB Garamond"/>
          <w:i/>
          <w:kern w:val="16"/>
          <w:sz w:val="18"/>
          <w14:ligatures w14:val="standardContextual"/>
        </w:rPr>
        <w:t>Diário da Justiça Eletrônico</w:t>
      </w:r>
      <w:r>
        <w:rPr>
          <w:rFonts w:cs="EB Garamond"/>
          <w:kern w:val="16"/>
          <w:sz w:val="18"/>
          <w14:ligatures w14:val="standardContextual"/>
        </w:rPr>
        <w:t>, Brasília, DF, 2026.</w:t>
      </w:r>
    </w:p>
    <w:p w14:paraId="338F3C50" w14:textId="77777777" w:rsidR="005A5FCC" w:rsidRDefault="00A21C81">
      <w:pPr>
        <w:spacing w:after="48" w:line="240" w:lineRule="auto"/>
        <w:ind w:left="272" w:hanging="272"/>
        <w:jc w:val="left"/>
      </w:pPr>
      <w:r>
        <w:rPr>
          <w:rFonts w:cs="EB Garamond"/>
          <w:kern w:val="16"/>
          <w:sz w:val="18"/>
          <w14:ligatures w14:val="standardContextual"/>
        </w:rPr>
        <w:t>BRASIL. Supremo Tribunal Federal. RE 376.846 (Pleno, 2003). Preservação do valor real dos benefícios previdenciários e delegação legislativa do índice de correção.</w:t>
      </w:r>
    </w:p>
    <w:p w14:paraId="19098D83" w14:textId="77777777" w:rsidR="005A5FCC" w:rsidRDefault="00A21C81">
      <w:pPr>
        <w:spacing w:after="48" w:line="240" w:lineRule="auto"/>
        <w:ind w:left="272" w:hanging="272"/>
        <w:jc w:val="left"/>
      </w:pPr>
      <w:r>
        <w:rPr>
          <w:rFonts w:cs="EB Garamond"/>
          <w:kern w:val="16"/>
          <w:sz w:val="18"/>
          <w14:ligatures w14:val="standardContextual"/>
        </w:rPr>
        <w:t>BRASIL. Supremo Tribunal Federal. RE 564.354 (Tema 76). Relatora: Min. Cármen Lúcia. Julgamento: 08/09/2010. Readequação de benefícios ao novo teto das ECs 20/1998 e 41/2003.</w:t>
      </w:r>
    </w:p>
    <w:p w14:paraId="1E869E84" w14:textId="77777777" w:rsidR="005A5FCC" w:rsidRDefault="00A21C81">
      <w:pPr>
        <w:spacing w:after="48" w:line="240" w:lineRule="auto"/>
        <w:ind w:left="272" w:hanging="272"/>
        <w:jc w:val="left"/>
      </w:pPr>
      <w:r>
        <w:rPr>
          <w:rFonts w:cs="EB Garamond"/>
          <w:kern w:val="16"/>
          <w:sz w:val="18"/>
          <w14:ligatures w14:val="standardContextual"/>
        </w:rPr>
        <w:t xml:space="preserve">BRASIL. Supremo Tribunal Federal. RE 564.354/SE (Tema 76). Rel. Min. Cármen Lúcia. Plenário. Julgado em 8 set. 2010. </w:t>
      </w:r>
      <w:r>
        <w:rPr>
          <w:rFonts w:cs="EB Garamond"/>
          <w:i/>
          <w:kern w:val="16"/>
          <w:sz w:val="18"/>
          <w14:ligatures w14:val="standardContextual"/>
        </w:rPr>
        <w:t>Diário da Justiça Eletrônico</w:t>
      </w:r>
      <w:r>
        <w:rPr>
          <w:rFonts w:cs="EB Garamond"/>
          <w:kern w:val="16"/>
          <w:sz w:val="18"/>
          <w14:ligatures w14:val="standardContextual"/>
        </w:rPr>
        <w:t>, Brasília, DF, 15 fev. 2011.</w:t>
      </w:r>
    </w:p>
    <w:p w14:paraId="2D7BE776" w14:textId="77777777" w:rsidR="005A5FCC" w:rsidRDefault="00A21C81">
      <w:pPr>
        <w:spacing w:after="48" w:line="240" w:lineRule="auto"/>
        <w:ind w:left="272" w:hanging="272"/>
        <w:jc w:val="left"/>
      </w:pPr>
      <w:r>
        <w:rPr>
          <w:rFonts w:cs="EB Garamond"/>
          <w:kern w:val="16"/>
          <w:sz w:val="18"/>
          <w14:ligatures w14:val="standardContextual"/>
        </w:rPr>
        <w:t>BRASIL. Supremo Tribunal Federal. RE 631.240 (Tema 350). Relator: Min. Roberto Barroso. Julgamento: 03/09/2014. Dispensa do prévio requerimento administrativo em ações previdenciárias.</w:t>
      </w:r>
    </w:p>
    <w:p w14:paraId="056B703A" w14:textId="77777777" w:rsidR="005A5FCC" w:rsidRDefault="00A21C81">
      <w:pPr>
        <w:spacing w:after="48" w:line="240" w:lineRule="auto"/>
        <w:ind w:left="272" w:hanging="272"/>
        <w:jc w:val="left"/>
      </w:pPr>
      <w:r>
        <w:rPr>
          <w:rFonts w:cs="EB Garamond"/>
          <w:kern w:val="16"/>
          <w:sz w:val="18"/>
          <w14:ligatures w14:val="standardContextual"/>
        </w:rPr>
        <w:t xml:space="preserve">BRASIL. Supremo Tribunal Federal. RE 639.856 (Tema 616). Rel. Min. Gilmar Mendes. Plenário. Julgado em 19 ago. 2025. </w:t>
      </w:r>
      <w:r>
        <w:rPr>
          <w:rFonts w:cs="EB Garamond"/>
          <w:i/>
          <w:kern w:val="16"/>
          <w:sz w:val="18"/>
          <w14:ligatures w14:val="standardContextual"/>
        </w:rPr>
        <w:t>Diário da Justiça Eletrônico</w:t>
      </w:r>
      <w:r>
        <w:rPr>
          <w:rFonts w:cs="EB Garamond"/>
          <w:kern w:val="16"/>
          <w:sz w:val="18"/>
          <w14:ligatures w14:val="standardContextual"/>
        </w:rPr>
        <w:t>, Brasília, DF, 2025.</w:t>
      </w:r>
    </w:p>
    <w:p w14:paraId="05BD0E71" w14:textId="77777777" w:rsidR="005A5FCC" w:rsidRDefault="00A21C81">
      <w:pPr>
        <w:spacing w:after="48" w:line="240" w:lineRule="auto"/>
        <w:ind w:left="272" w:hanging="272"/>
        <w:jc w:val="left"/>
      </w:pPr>
      <w:r>
        <w:rPr>
          <w:rFonts w:cs="EB Garamond"/>
          <w:kern w:val="16"/>
          <w:sz w:val="18"/>
          <w14:ligatures w14:val="standardContextual"/>
        </w:rPr>
        <w:t>BRASIL. Supremo Tribunal Federal. RE 661.256 (Tema 503). Relator: Min. Dias Toffoli. Julgamento: 26/10/2016. Desaposentação.</w:t>
      </w:r>
    </w:p>
    <w:p w14:paraId="40DFCB12" w14:textId="77777777" w:rsidR="005A5FCC" w:rsidRDefault="00A21C81">
      <w:pPr>
        <w:spacing w:after="48" w:line="240" w:lineRule="auto"/>
        <w:ind w:left="272" w:hanging="272"/>
        <w:jc w:val="left"/>
      </w:pPr>
      <w:r>
        <w:rPr>
          <w:rFonts w:cs="EB Garamond"/>
          <w:kern w:val="16"/>
          <w:sz w:val="18"/>
          <w14:ligatures w14:val="standardContextual"/>
        </w:rPr>
        <w:t xml:space="preserve">BRASIL. Supremo Tribunal Federal. RE 937.595 (Tema 930). Rel. Min. Luís Roberto Barroso. Plenário. Julgado em 3 fev. 2017. </w:t>
      </w:r>
      <w:r>
        <w:rPr>
          <w:rFonts w:cs="EB Garamond"/>
          <w:i/>
          <w:kern w:val="16"/>
          <w:sz w:val="18"/>
          <w14:ligatures w14:val="standardContextual"/>
        </w:rPr>
        <w:t>Diário da Justiça Eletrônico</w:t>
      </w:r>
      <w:r>
        <w:rPr>
          <w:rFonts w:cs="EB Garamond"/>
          <w:kern w:val="16"/>
          <w:sz w:val="18"/>
          <w14:ligatures w14:val="standardContextual"/>
        </w:rPr>
        <w:t>, Brasília, DF, 2017.</w:t>
      </w:r>
    </w:p>
    <w:p w14:paraId="647E54B4" w14:textId="77777777" w:rsidR="005A5FCC" w:rsidRDefault="00A21C81">
      <w:pPr>
        <w:spacing w:after="48" w:line="240" w:lineRule="auto"/>
        <w:ind w:left="272" w:hanging="272"/>
        <w:jc w:val="left"/>
      </w:pPr>
      <w:r>
        <w:rPr>
          <w:rFonts w:cs="EB Garamond"/>
          <w:kern w:val="16"/>
          <w:sz w:val="18"/>
          <w14:ligatures w14:val="standardContextual"/>
        </w:rPr>
        <w:t>BRASIL. Turma Nacional de Uniformização dos JEFs. Tema 269. PEDILEF 0031628-86.2017.4.02.5054/ES. Rel. p/ acórdão Juiz Federal Ivanir César Ireno Júnior. Julgado em 05/05/2022.</w:t>
      </w:r>
    </w:p>
    <w:p w14:paraId="5D8479C5" w14:textId="77777777" w:rsidR="005A5FCC" w:rsidRDefault="00A21C81">
      <w:pPr>
        <w:spacing w:after="48" w:line="240" w:lineRule="auto"/>
        <w:ind w:left="272" w:hanging="272"/>
        <w:jc w:val="left"/>
      </w:pPr>
      <w:r>
        <w:rPr>
          <w:rFonts w:cs="EB Garamond"/>
          <w:kern w:val="16"/>
          <w:sz w:val="18"/>
          <w14:ligatures w14:val="standardContextual"/>
        </w:rPr>
        <w:lastRenderedPageBreak/>
        <w:t>BRASIL. Turma Nacional de Uniformização dos JEFs. Tema 315. PEDILEF 5063339-35.2020.4.04.7100/RS. Rel. p/ acórdão Juíza Federal Lilian Oliveira da Costa Tourinho. Julgado em 18/10/2023.</w:t>
      </w:r>
    </w:p>
    <w:p w14:paraId="3E40687D" w14:textId="77777777" w:rsidR="005A5FCC" w:rsidRDefault="00A21C81">
      <w:pPr>
        <w:spacing w:after="48" w:line="240" w:lineRule="auto"/>
        <w:ind w:left="272" w:hanging="272"/>
        <w:jc w:val="left"/>
      </w:pPr>
      <w:r>
        <w:rPr>
          <w:rFonts w:cs="EB Garamond"/>
          <w:kern w:val="16"/>
          <w:sz w:val="18"/>
          <w14:ligatures w14:val="standardContextual"/>
        </w:rPr>
        <w:t>BRASIL. Turma Nacional de Uniformização dos JEFs. Tema 322. PEDILEF 5014634-54.2021.4.04.7202/SC. Rel. Juíza Federal Luciana Ortiz Tavares Costa Zanoni. Julgado em 22/11/2023.</w:t>
      </w:r>
    </w:p>
    <w:p w14:paraId="47F548CB" w14:textId="77777777" w:rsidR="005A5FCC" w:rsidRDefault="00A21C81">
      <w:pPr>
        <w:spacing w:after="48" w:line="240" w:lineRule="auto"/>
        <w:ind w:left="272" w:hanging="272"/>
        <w:jc w:val="left"/>
      </w:pPr>
      <w:r>
        <w:rPr>
          <w:rFonts w:cs="EB Garamond"/>
          <w:kern w:val="16"/>
          <w:sz w:val="18"/>
          <w14:ligatures w14:val="standardContextual"/>
        </w:rPr>
        <w:t>STF, ADI 1.232/DF (constitucionalidade do critério de 1/4 SM, superado).</w:t>
      </w:r>
    </w:p>
    <w:p w14:paraId="27F6753B" w14:textId="77777777" w:rsidR="005A5FCC" w:rsidRDefault="00A21C81">
      <w:pPr>
        <w:spacing w:after="48" w:line="240" w:lineRule="auto"/>
        <w:ind w:left="272" w:hanging="272"/>
        <w:jc w:val="left"/>
      </w:pPr>
      <w:r>
        <w:rPr>
          <w:rFonts w:cs="EB Garamond"/>
          <w:kern w:val="16"/>
          <w:sz w:val="18"/>
          <w14:ligatures w14:val="standardContextual"/>
        </w:rPr>
        <w:t>STF, ADIs 6.254, 6.255, 6.258, 6.271, questionam EC 103/2019 (pendentes).</w:t>
      </w:r>
    </w:p>
    <w:p w14:paraId="34FC17F9" w14:textId="77777777" w:rsidR="005A5FCC" w:rsidRDefault="00A21C81">
      <w:pPr>
        <w:spacing w:after="48" w:line="240" w:lineRule="auto"/>
        <w:ind w:left="272" w:hanging="272"/>
        <w:jc w:val="left"/>
      </w:pPr>
      <w:r>
        <w:rPr>
          <w:rFonts w:cs="EB Garamond"/>
          <w:kern w:val="16"/>
          <w:sz w:val="18"/>
          <w14:ligatures w14:val="standardContextual"/>
        </w:rPr>
        <w:t>STF, ARE 664.335 (Tema 555 — EPI e aposentadoria especial). STF, RE 791.961 (Tema 709 — vedação ao trabalho especial). STF, RE 1.368.225 (Tema 1.209 — vigilante não se caracteriza como atividade especial, Rel. orig. Min. Nunes Marques, red. p/ acórdão Min. Alexandre de Moraes, j. 18/02/2026). STF, ADI 6.309 (constitucionalidade da EC 103/2019 — Rel. orig. Min. Luís Roberto Barroso, red. p/ acórdão Min. André Mendonça, j. 03/06/2026; procedência parcial: idade mínima da aposentadoria especial declarada inconstitucional, nova forma de cálculo e vedação à conversão mantidas). STJ, Tema 422. STJ, Tema 534. STJ, Tema 546. STJ, Tema 995. STJ, Tema 1.031 (vigilante — REsp 1.831.371, Rel. Min. Napoleão Nunes Maia Filho, j. 09/12/2020). STJ, Tema 1.070. STJ, Tema 1.090 (EPI no PPP — REsp 2.082.072, Rel. Min. Maria Thereza de Assis Moura, j. 09/04/2025). STJ, Tema 1.291 (contribuinte individual não cooperado — REsp 2.163.429, Rel. Min. Gurgel de Faria, j. 10/09/2025). STJ, Tema 1.307 (penosidade de motoristas/cobradores — REsp 2.164.724, Rel. Min. Gurgel de Faria, j. 07/05/2026). TNU, Súmula 68.</w:t>
      </w:r>
    </w:p>
    <w:p w14:paraId="4630867F" w14:textId="77777777" w:rsidR="005A5FCC" w:rsidRDefault="00A21C81">
      <w:pPr>
        <w:spacing w:after="48" w:line="240" w:lineRule="auto"/>
        <w:ind w:left="272" w:hanging="272"/>
        <w:jc w:val="left"/>
      </w:pPr>
      <w:r>
        <w:rPr>
          <w:rFonts w:cs="EB Garamond"/>
          <w:kern w:val="16"/>
          <w:sz w:val="18"/>
          <w14:ligatures w14:val="standardContextual"/>
        </w:rPr>
        <w:t>STF, RE 567.985/MT, Tema 27 (inconstitucionalidade do critério rígido de 1/4 SM).</w:t>
      </w:r>
    </w:p>
    <w:p w14:paraId="4EA48436" w14:textId="77777777" w:rsidR="005A5FCC" w:rsidRDefault="00A21C81">
      <w:pPr>
        <w:spacing w:after="48" w:line="240" w:lineRule="auto"/>
        <w:ind w:left="272" w:hanging="272"/>
        <w:jc w:val="left"/>
      </w:pPr>
      <w:r>
        <w:rPr>
          <w:rFonts w:cs="EB Garamond"/>
          <w:kern w:val="16"/>
          <w:sz w:val="18"/>
          <w14:ligatures w14:val="standardContextual"/>
        </w:rPr>
        <w:t>STF, RE 580.963/PR, Tema 312 (inconstitucionalidade do parágrafo único do art. 34 do Estatuto do Idoso).</w:t>
      </w:r>
    </w:p>
    <w:p w14:paraId="1870EFCD" w14:textId="77777777" w:rsidR="005A5FCC" w:rsidRDefault="00A21C81">
      <w:pPr>
        <w:spacing w:after="48" w:line="240" w:lineRule="auto"/>
        <w:ind w:left="272" w:hanging="272"/>
        <w:jc w:val="left"/>
      </w:pPr>
      <w:r>
        <w:rPr>
          <w:rFonts w:cs="EB Garamond"/>
          <w:kern w:val="16"/>
          <w:sz w:val="18"/>
          <w14:ligatures w14:val="standardContextual"/>
        </w:rPr>
        <w:t>STF, RE 587.970/SP, Tema 173 (BPC para estrangeiros residentes).</w:t>
      </w:r>
    </w:p>
    <w:p w14:paraId="3FAC3954" w14:textId="77777777" w:rsidR="005A5FCC" w:rsidRDefault="00A21C81">
      <w:pPr>
        <w:spacing w:after="48" w:line="240" w:lineRule="auto"/>
        <w:ind w:left="272" w:hanging="272"/>
        <w:jc w:val="left"/>
      </w:pPr>
      <w:r>
        <w:rPr>
          <w:rFonts w:cs="EB Garamond"/>
          <w:kern w:val="16"/>
          <w:sz w:val="18"/>
          <w14:ligatures w14:val="standardContextual"/>
        </w:rPr>
        <w:t>STF, RE 631.240, Tema 350 (prévio requerimento administrativo).</w:t>
      </w:r>
    </w:p>
    <w:p w14:paraId="4D202BA6" w14:textId="77777777" w:rsidR="005A5FCC" w:rsidRDefault="00A21C81">
      <w:pPr>
        <w:spacing w:after="48" w:line="240" w:lineRule="auto"/>
        <w:ind w:left="272" w:hanging="272"/>
        <w:jc w:val="left"/>
      </w:pPr>
      <w:r>
        <w:rPr>
          <w:rFonts w:cs="EB Garamond"/>
          <w:kern w:val="16"/>
          <w:sz w:val="18"/>
          <w14:ligatures w14:val="standardContextual"/>
        </w:rPr>
        <w:t>STF, RE 761.263 (Tema 723 — constitucionalidade da contribuição do segurado especial). STF, RE 718.874 (Tema 669 — constitucionalidade da contribuição do empregador rural pessoa física, Lei 10.256/2001). STJ, Tema 532 (REsp 1.304.479/SP — atividade urbana intercalada). STJ, Tema 642 (REsp 1.354.908/SP — contemporaneidade da atividade rural). STJ, Tema 1.007 (REsp 1.674.221/SP — aposentadoria híbrida e tempo rural remoto). STJ, Tema 1.115 (REsp 1.947.404/SP — módulos fiscais). STJ, Súmula 149. STJ, Súmula 577. TNU, Súmulas 6, 14, 34 e 41. TNU, Tema 219 (PEDILEF 5008955-78.2018.4.04.7202/SC — cômputo de trabalho rural de menor de 12 anos). TNU, Tema 327.</w:t>
      </w:r>
    </w:p>
    <w:p w14:paraId="66375ADD" w14:textId="77777777" w:rsidR="005A5FCC" w:rsidRDefault="00A21C81">
      <w:pPr>
        <w:spacing w:after="48" w:line="240" w:lineRule="auto"/>
        <w:ind w:left="272" w:hanging="272"/>
        <w:jc w:val="left"/>
      </w:pPr>
      <w:r>
        <w:rPr>
          <w:rFonts w:cs="EB Garamond"/>
          <w:kern w:val="16"/>
          <w:sz w:val="18"/>
          <w14:ligatures w14:val="standardContextual"/>
        </w:rPr>
        <w:t>STF, RE 870.947, Tema 810 (correção monetária — INPC).</w:t>
      </w:r>
    </w:p>
    <w:p w14:paraId="74A5CF23" w14:textId="77777777" w:rsidR="005A5FCC" w:rsidRDefault="00A21C81">
      <w:pPr>
        <w:spacing w:after="48" w:line="240" w:lineRule="auto"/>
        <w:ind w:left="272" w:hanging="272"/>
        <w:jc w:val="left"/>
      </w:pPr>
      <w:r>
        <w:rPr>
          <w:rFonts w:cs="EB Garamond"/>
          <w:kern w:val="16"/>
          <w:sz w:val="18"/>
          <w14:ligatures w14:val="standardContextual"/>
        </w:rPr>
        <w:t>STF. RE 1.347.526, Tema 1.196 da repercussão geral (constitucionalidade da alta programada). Rel. Min. Cristiano Zanin, j. 15/09/2025.</w:t>
      </w:r>
    </w:p>
    <w:p w14:paraId="18085F6A" w14:textId="77777777" w:rsidR="005A5FCC" w:rsidRDefault="00A21C81">
      <w:pPr>
        <w:spacing w:after="48" w:line="240" w:lineRule="auto"/>
        <w:ind w:left="272" w:hanging="272"/>
        <w:jc w:val="left"/>
      </w:pPr>
      <w:r>
        <w:rPr>
          <w:rFonts w:cs="EB Garamond"/>
          <w:kern w:val="16"/>
          <w:sz w:val="18"/>
          <w14:ligatures w14:val="standardContextual"/>
        </w:rPr>
        <w:lastRenderedPageBreak/>
        <w:t>STF. RE 631.240, Tema 350 da repercussão geral (exigência de requerimento administrativo prévio). Súmula 501 do STF (competência da Justiça Estadual para acidente do trabalho).</w:t>
      </w:r>
    </w:p>
    <w:p w14:paraId="144115FD" w14:textId="77777777" w:rsidR="005A5FCC" w:rsidRDefault="00A21C81">
      <w:pPr>
        <w:spacing w:after="48" w:line="240" w:lineRule="auto"/>
        <w:ind w:left="272" w:hanging="272"/>
        <w:jc w:val="left"/>
      </w:pPr>
      <w:r>
        <w:rPr>
          <w:rFonts w:cs="EB Garamond"/>
          <w:kern w:val="16"/>
          <w:sz w:val="18"/>
          <w14:ligatures w14:val="standardContextual"/>
        </w:rPr>
        <w:t>STJ, REsp 1.112.557/MG, Tema 185 (presunção relativa de miserabilidade).</w:t>
      </w:r>
    </w:p>
    <w:p w14:paraId="1FF55265" w14:textId="77777777" w:rsidR="005A5FCC" w:rsidRDefault="00A21C81">
      <w:pPr>
        <w:spacing w:after="48" w:line="240" w:lineRule="auto"/>
        <w:ind w:left="272" w:hanging="272"/>
        <w:jc w:val="left"/>
      </w:pPr>
      <w:r>
        <w:rPr>
          <w:rFonts w:cs="EB Garamond"/>
          <w:kern w:val="16"/>
          <w:sz w:val="18"/>
          <w14:ligatures w14:val="standardContextual"/>
        </w:rPr>
        <w:t>STJ, REsps 1.495.146/MG e 1.492.221/PR, Tema 905 (correção monetária — INPC para condenações previdenciárias; SELIC pós-EC 113/2021).</w:t>
      </w:r>
    </w:p>
    <w:p w14:paraId="2166AB1C" w14:textId="77777777" w:rsidR="005A5FCC" w:rsidRDefault="00A21C81">
      <w:pPr>
        <w:spacing w:after="48" w:line="240" w:lineRule="auto"/>
        <w:ind w:left="272" w:hanging="272"/>
        <w:jc w:val="left"/>
      </w:pPr>
      <w:r>
        <w:rPr>
          <w:rFonts w:cs="EB Garamond"/>
          <w:kern w:val="16"/>
          <w:sz w:val="18"/>
          <w14:ligatures w14:val="standardContextual"/>
        </w:rPr>
        <w:t>STJ, Súmula 507 (DJe 17/03/2014) — acumulação auxílio-acidente + aposentadoria.</w:t>
      </w:r>
    </w:p>
    <w:p w14:paraId="7ABF1068" w14:textId="77777777" w:rsidR="005A5FCC" w:rsidRDefault="00A21C81">
      <w:pPr>
        <w:spacing w:after="48" w:line="240" w:lineRule="auto"/>
        <w:ind w:left="272" w:hanging="272"/>
        <w:jc w:val="left"/>
      </w:pPr>
      <w:r>
        <w:rPr>
          <w:rFonts w:cs="EB Garamond"/>
          <w:kern w:val="16"/>
          <w:sz w:val="18"/>
          <w14:ligatures w14:val="standardContextual"/>
        </w:rPr>
        <w:t>STJ, Tema 1.207 (j. 20/06/2024), compensação de benefícios não acumuláveis mês a mês.</w:t>
      </w:r>
    </w:p>
    <w:p w14:paraId="0EE571AD" w14:textId="77777777" w:rsidR="005A5FCC" w:rsidRDefault="00A21C81">
      <w:pPr>
        <w:spacing w:after="48" w:line="240" w:lineRule="auto"/>
        <w:ind w:left="272" w:hanging="272"/>
        <w:jc w:val="left"/>
      </w:pPr>
      <w:r>
        <w:rPr>
          <w:rFonts w:cs="EB Garamond"/>
          <w:kern w:val="16"/>
          <w:sz w:val="18"/>
          <w14:ligatures w14:val="standardContextual"/>
        </w:rPr>
        <w:t>STJ, Tema 555 (REsp 1.296.673/MG) — mesma tese em repetitivo.</w:t>
      </w:r>
    </w:p>
    <w:p w14:paraId="1346B21F" w14:textId="77777777" w:rsidR="005A5FCC" w:rsidRDefault="00A21C81">
      <w:pPr>
        <w:spacing w:after="48" w:line="240" w:lineRule="auto"/>
        <w:ind w:left="272" w:hanging="272"/>
        <w:jc w:val="left"/>
      </w:pPr>
      <w:r>
        <w:rPr>
          <w:rFonts w:cs="EB Garamond"/>
          <w:kern w:val="16"/>
          <w:sz w:val="18"/>
          <w14:ligatures w14:val="standardContextual"/>
        </w:rPr>
        <w:t>STJ. Súmula 85 (prescrição quinquenal das parcelas).</w:t>
      </w:r>
    </w:p>
    <w:p w14:paraId="1A2C128D" w14:textId="77777777" w:rsidR="005A5FCC" w:rsidRDefault="00A21C81">
      <w:pPr>
        <w:spacing w:after="48" w:line="240" w:lineRule="auto"/>
        <w:ind w:left="272" w:hanging="272"/>
        <w:jc w:val="left"/>
      </w:pPr>
      <w:r>
        <w:rPr>
          <w:rFonts w:cs="EB Garamond"/>
          <w:kern w:val="16"/>
          <w:sz w:val="18"/>
          <w14:ligatures w14:val="standardContextual"/>
        </w:rPr>
        <w:t>STJ. Tema 1.013 (REsp 1.786.590/SP, Primeira Seção, j. 24/06/2020) — cumulação de rendas do trabalho e do benefício pago retroativamente.</w:t>
      </w:r>
    </w:p>
    <w:p w14:paraId="27D0630C" w14:textId="77777777" w:rsidR="005A5FCC" w:rsidRDefault="00A21C81">
      <w:pPr>
        <w:spacing w:after="48" w:line="240" w:lineRule="auto"/>
        <w:ind w:left="272" w:hanging="272"/>
        <w:jc w:val="left"/>
      </w:pPr>
      <w:r>
        <w:rPr>
          <w:rFonts w:cs="EB Garamond"/>
          <w:kern w:val="16"/>
          <w:sz w:val="18"/>
          <w14:ligatures w14:val="standardContextual"/>
        </w:rPr>
        <w:t>STJ. Tema 1.246 (REsp 2.082.395/SP, Primeira Seção, j. 13/11/2024) — inadmissibilidade de recurso especial para rediscutir incapacidade. Súmula 7/STJ.</w:t>
      </w:r>
    </w:p>
    <w:p w14:paraId="00748334" w14:textId="77777777" w:rsidR="005A5FCC" w:rsidRDefault="00A21C81">
      <w:pPr>
        <w:spacing w:after="48" w:line="240" w:lineRule="auto"/>
        <w:ind w:left="272" w:hanging="272"/>
        <w:jc w:val="left"/>
      </w:pPr>
      <w:r>
        <w:rPr>
          <w:rFonts w:cs="EB Garamond"/>
          <w:kern w:val="16"/>
          <w:sz w:val="18"/>
          <w14:ligatures w14:val="standardContextual"/>
        </w:rPr>
        <w:t>STJ. Tema 862 (REsp 1.729.555/SP, Primeira Seção, j. 09/06/2021) — termo inicial do auxílio-acidente.</w:t>
      </w:r>
    </w:p>
    <w:p w14:paraId="10DA0C14" w14:textId="77777777" w:rsidR="005A5FCC" w:rsidRDefault="00A21C81">
      <w:pPr>
        <w:spacing w:after="48" w:line="240" w:lineRule="auto"/>
        <w:ind w:left="272" w:hanging="272"/>
        <w:jc w:val="left"/>
      </w:pPr>
      <w:r>
        <w:rPr>
          <w:rFonts w:cs="EB Garamond"/>
          <w:kern w:val="16"/>
          <w:sz w:val="18"/>
          <w14:ligatures w14:val="standardContextual"/>
        </w:rPr>
        <w:t>STJ. Tema 995 (REsp 1.727.063/SP e REsp 1.727.064/SP, Primeira Seção, j. 22/10/2019) — reafirmação da DER.</w:t>
      </w:r>
    </w:p>
    <w:p w14:paraId="180E18DC" w14:textId="77777777" w:rsidR="005A5FCC" w:rsidRDefault="00A21C81">
      <w:pPr>
        <w:spacing w:after="48" w:line="240" w:lineRule="auto"/>
        <w:ind w:left="272" w:hanging="272"/>
        <w:jc w:val="left"/>
      </w:pPr>
      <w:r>
        <w:rPr>
          <w:rFonts w:cs="EB Garamond"/>
          <w:kern w:val="16"/>
          <w:sz w:val="18"/>
          <w14:ligatures w14:val="standardContextual"/>
        </w:rPr>
        <w:t>SUPERIOR TRIBUNAL DE JUSTIÇA. REsp 1.334.488/SC (Tema 563). Relator Min. Herman Benjamin. 1ª Seção. Julgado em 08/05/2013. Recurso repetitivo. Desaposentação — admitida pelo STJ (posteriormente superada pelo Tema 503/STF).</w:t>
      </w:r>
    </w:p>
    <w:p w14:paraId="6FDC7ABC" w14:textId="77777777" w:rsidR="005A5FCC" w:rsidRDefault="00A21C81">
      <w:pPr>
        <w:spacing w:after="48" w:line="240" w:lineRule="auto"/>
        <w:ind w:left="272" w:hanging="272"/>
        <w:jc w:val="left"/>
      </w:pPr>
      <w:r>
        <w:rPr>
          <w:rFonts w:cs="EB Garamond"/>
          <w:kern w:val="16"/>
          <w:sz w:val="18"/>
          <w14:ligatures w14:val="standardContextual"/>
        </w:rPr>
        <w:t>SUPERIOR TRIBUNAL DE JUSTIÇA. REsp 1.631.021/RS e REsp 1.612.818/RS (Tema 966). Relator Min. Mauro Campbell Marques. 1ª Seção. Julgado em 13/02/2019. DJe 13/03/2019. Decadência para reconhecimento do direito adquirido ao benefício mais vantajoso.</w:t>
      </w:r>
    </w:p>
    <w:p w14:paraId="785D7970" w14:textId="77777777" w:rsidR="005A5FCC" w:rsidRDefault="00A21C81">
      <w:pPr>
        <w:spacing w:after="48" w:line="240" w:lineRule="auto"/>
        <w:ind w:left="272" w:hanging="272"/>
        <w:jc w:val="left"/>
      </w:pPr>
      <w:r>
        <w:rPr>
          <w:rFonts w:cs="EB Garamond"/>
          <w:kern w:val="16"/>
          <w:sz w:val="18"/>
          <w14:ligatures w14:val="standardContextual"/>
        </w:rPr>
        <w:t>SUPERIOR TRIBUNAL DE JUSTIÇA. REsp 1.648.336/RS e REsp 1.644.191/RS (Tema 975). Relator Min. Herman Benjamin. 1ª Seção. Julgado em 11/12/2019. DJe 04/08/2020. Aplicação da decadência às questões não apreciadas no ato administrativo de concessão.</w:t>
      </w:r>
    </w:p>
    <w:p w14:paraId="3508BEF1" w14:textId="77777777" w:rsidR="005A5FCC" w:rsidRDefault="00A21C81">
      <w:pPr>
        <w:spacing w:after="48" w:line="240" w:lineRule="auto"/>
        <w:ind w:left="272" w:hanging="272"/>
        <w:jc w:val="left"/>
      </w:pPr>
      <w:r>
        <w:rPr>
          <w:rFonts w:cs="EB Garamond"/>
          <w:kern w:val="16"/>
          <w:sz w:val="18"/>
          <w14:ligatures w14:val="standardContextual"/>
        </w:rPr>
        <w:t>SUPERIOR TRIBUNAL DE JUSTIÇA. REsp 1.727.063/SP e REsp 1.727.064/SP (Tema 995). Relator Min. Mauro Campbell Marques. 1ª Seção. Julgado em 23/10/2019. DJe 02/12/2019. Reafirmação da DER.</w:t>
      </w:r>
    </w:p>
    <w:p w14:paraId="2B91E3C4" w14:textId="77777777" w:rsidR="005A5FCC" w:rsidRDefault="00A21C81">
      <w:pPr>
        <w:spacing w:after="48" w:line="240" w:lineRule="auto"/>
        <w:ind w:left="272" w:hanging="272"/>
        <w:jc w:val="left"/>
      </w:pPr>
      <w:r>
        <w:rPr>
          <w:rFonts w:cs="EB Garamond"/>
          <w:kern w:val="16"/>
          <w:sz w:val="18"/>
          <w14:ligatures w14:val="standardContextual"/>
        </w:rPr>
        <w:t>SUPERIOR TRIBUNAL DE JUSTIÇA. REsp 1.870.793/RS e REsp 1.870.815/RS (Tema 1070). Relator Min. Sérgio Kukina. 1ª Seção. Julgado em 11/05/2022. Trânsito em julgado em 13/02/2023. Atividades concomitantes — soma dos salários de contribuição.</w:t>
      </w:r>
    </w:p>
    <w:p w14:paraId="16DBA33B" w14:textId="77777777" w:rsidR="005A5FCC" w:rsidRDefault="00A21C81">
      <w:pPr>
        <w:spacing w:after="48" w:line="240" w:lineRule="auto"/>
        <w:ind w:left="272" w:hanging="272"/>
        <w:jc w:val="left"/>
      </w:pPr>
      <w:r>
        <w:rPr>
          <w:rFonts w:cs="EB Garamond"/>
          <w:kern w:val="16"/>
          <w:sz w:val="18"/>
          <w14:ligatures w14:val="standardContextual"/>
        </w:rPr>
        <w:t>SUPERIOR TRIBUNAL DE JUSTIÇA. REsp 2.095.463/PR. Relatora Min. Nancy Andrighi. 3ª Turma. Julgado em 18/03/2025. DJe 21/03/2025. Querela nullitatis — pretensão, não procedimento.</w:t>
      </w:r>
    </w:p>
    <w:p w14:paraId="0311DDC9" w14:textId="77777777" w:rsidR="005A5FCC" w:rsidRDefault="00A21C81">
      <w:pPr>
        <w:spacing w:after="48" w:line="240" w:lineRule="auto"/>
        <w:ind w:left="272" w:hanging="272"/>
        <w:jc w:val="left"/>
      </w:pPr>
      <w:r>
        <w:rPr>
          <w:rFonts w:cs="EB Garamond"/>
          <w:kern w:val="16"/>
          <w:sz w:val="18"/>
          <w14:ligatures w14:val="standardContextual"/>
        </w:rPr>
        <w:lastRenderedPageBreak/>
        <w:t>SUPREMO TRIBUNAL FEDERAL. ADI 7873. Relator Min. Luiz Fux. Ajuizamento pela OAB. Pendente de julgamento (junho/2026). Constitucionalidade da EC 136/2025.</w:t>
      </w:r>
    </w:p>
    <w:p w14:paraId="5F762935" w14:textId="77777777" w:rsidR="005A5FCC" w:rsidRDefault="00A21C81">
      <w:pPr>
        <w:spacing w:after="48" w:line="240" w:lineRule="auto"/>
        <w:ind w:left="272" w:hanging="272"/>
        <w:jc w:val="left"/>
      </w:pPr>
      <w:r>
        <w:rPr>
          <w:rFonts w:cs="EB Garamond"/>
          <w:kern w:val="16"/>
          <w:sz w:val="18"/>
          <w14:ligatures w14:val="standardContextual"/>
        </w:rPr>
        <w:t>SUPREMO TRIBUNAL FEDERAL. ADIs 2.110 e 2.111. Relator Min. Roberto Barroso. Plenário. Julgamento concluído em 21/03/2024. Constitucionalidade do art. 3º da Lei 9.876/1999.</w:t>
      </w:r>
    </w:p>
    <w:p w14:paraId="5317B125" w14:textId="77777777" w:rsidR="005A5FCC" w:rsidRDefault="00A21C81">
      <w:pPr>
        <w:spacing w:after="48" w:line="240" w:lineRule="auto"/>
        <w:ind w:left="272" w:hanging="272"/>
        <w:jc w:val="left"/>
      </w:pPr>
      <w:r>
        <w:rPr>
          <w:rFonts w:cs="EB Garamond"/>
          <w:kern w:val="16"/>
          <w:sz w:val="18"/>
          <w14:ligatures w14:val="standardContextual"/>
        </w:rPr>
        <w:t>SUPREMO TRIBUNAL FEDERAL. RE 1.276.977/RS (Tema 1102). Relator Min. Alexandre de Moraes. Plenário. Julgado em 01/12/2022. Embargos de declaração acolhidos com efeito infringente em 26/11/2025. DJe 29/04/2026. Revisão da vida toda — reversão.</w:t>
      </w:r>
    </w:p>
    <w:p w14:paraId="4EF3AF95" w14:textId="77777777" w:rsidR="005A5FCC" w:rsidRDefault="00A21C81">
      <w:pPr>
        <w:spacing w:after="48" w:line="240" w:lineRule="auto"/>
        <w:ind w:left="272" w:hanging="272"/>
        <w:jc w:val="left"/>
      </w:pPr>
      <w:r>
        <w:rPr>
          <w:rFonts w:cs="EB Garamond"/>
          <w:kern w:val="16"/>
          <w:sz w:val="18"/>
          <w14:ligatures w14:val="standardContextual"/>
        </w:rPr>
        <w:t>SUPREMO TRIBUNAL FEDERAL. RE 564.354/SE (Tema 76). Relatora Min. Cármen Lúcia. Plenário. Julgado em 08/09/2010. Revisão do teto — ECs 20/1998 e 41/2003.</w:t>
      </w:r>
    </w:p>
    <w:p w14:paraId="75A3CA7B" w14:textId="77777777" w:rsidR="005A5FCC" w:rsidRDefault="00A21C81">
      <w:pPr>
        <w:spacing w:after="48" w:line="240" w:lineRule="auto"/>
        <w:ind w:left="272" w:hanging="272"/>
        <w:jc w:val="left"/>
      </w:pPr>
      <w:r>
        <w:rPr>
          <w:rFonts w:cs="EB Garamond"/>
          <w:kern w:val="16"/>
          <w:sz w:val="18"/>
          <w14:ligatures w14:val="standardContextual"/>
        </w:rPr>
        <w:t>SUPREMO TRIBUNAL FEDERAL. RE 631.240/MG (Tema 350). Relator Min. Roberto Barroso. Plenário. Julgado em 03/09/2014. Prévio requerimento administrativo.</w:t>
      </w:r>
    </w:p>
    <w:p w14:paraId="279BCB58" w14:textId="77777777" w:rsidR="005A5FCC" w:rsidRDefault="00A21C81">
      <w:pPr>
        <w:spacing w:after="48" w:line="240" w:lineRule="auto"/>
        <w:ind w:left="272" w:hanging="272"/>
        <w:jc w:val="left"/>
      </w:pPr>
      <w:r>
        <w:rPr>
          <w:rFonts w:cs="EB Garamond"/>
          <w:kern w:val="16"/>
          <w:sz w:val="18"/>
          <w14:ligatures w14:val="standardContextual"/>
        </w:rPr>
        <w:t>SUPREMO TRIBUNAL FEDERAL. RE 661.256/SC (Tema 503). Relator originário Min. Roberto Barroso; redator para o acórdão Min. Dias Toffoli. Plenário. Julgado em 26/10/2016. Desaposentação — vedação por ausência de previsão legal.</w:t>
      </w:r>
    </w:p>
    <w:p w14:paraId="1ED4AFC9" w14:textId="77777777" w:rsidR="005A5FCC" w:rsidRDefault="00A21C81">
      <w:pPr>
        <w:spacing w:after="48" w:line="240" w:lineRule="auto"/>
        <w:ind w:left="272" w:hanging="272"/>
        <w:jc w:val="left"/>
      </w:pPr>
      <w:r>
        <w:rPr>
          <w:rFonts w:cs="EB Garamond"/>
          <w:kern w:val="16"/>
          <w:sz w:val="18"/>
          <w14:ligatures w14:val="standardContextual"/>
        </w:rPr>
        <w:t>SUPREMO TRIBUNAL FEDERAL. RE 870.947/SE (Tema 810). Relator Min. Luiz Fux. Plenário. Julgado em 20/09/2017. Correção monetária e juros nas condenações da Fazenda Pública.</w:t>
      </w:r>
    </w:p>
    <w:p w14:paraId="60686A10" w14:textId="77777777" w:rsidR="005A5FCC" w:rsidRDefault="00A21C81">
      <w:pPr>
        <w:spacing w:after="48" w:line="240" w:lineRule="auto"/>
        <w:ind w:left="272" w:hanging="272"/>
        <w:jc w:val="left"/>
      </w:pPr>
      <w:r>
        <w:rPr>
          <w:rFonts w:cs="EB Garamond"/>
          <w:kern w:val="16"/>
          <w:sz w:val="18"/>
          <w14:ligatures w14:val="standardContextual"/>
        </w:rPr>
        <w:t>TNU, Súmula 29 (incapacidade para vida independente, interpretação ampla).</w:t>
      </w:r>
    </w:p>
    <w:p w14:paraId="20B9E2EC" w14:textId="77777777" w:rsidR="005A5FCC" w:rsidRDefault="00A21C81">
      <w:pPr>
        <w:spacing w:after="48" w:line="240" w:lineRule="auto"/>
        <w:ind w:left="272" w:hanging="272"/>
        <w:jc w:val="left"/>
      </w:pPr>
      <w:r>
        <w:rPr>
          <w:rFonts w:cs="EB Garamond"/>
          <w:kern w:val="16"/>
          <w:sz w:val="18"/>
          <w14:ligatures w14:val="standardContextual"/>
        </w:rPr>
        <w:t>TNU, Súmula 78 (HIV, avaliação biopsicossocial ampla).</w:t>
      </w:r>
    </w:p>
    <w:p w14:paraId="16433BEC" w14:textId="77777777" w:rsidR="005A5FCC" w:rsidRDefault="00A21C81">
      <w:pPr>
        <w:spacing w:after="48" w:line="240" w:lineRule="auto"/>
        <w:ind w:left="272" w:hanging="272"/>
        <w:jc w:val="left"/>
      </w:pPr>
      <w:r>
        <w:rPr>
          <w:rFonts w:cs="EB Garamond"/>
          <w:kern w:val="16"/>
          <w:sz w:val="18"/>
          <w14:ligatures w14:val="standardContextual"/>
        </w:rPr>
        <w:t>TNU, Tema 217 (fungibilidade BPC × benefícios por incapacidade).</w:t>
      </w:r>
    </w:p>
    <w:p w14:paraId="2C5E8B73" w14:textId="77777777" w:rsidR="005A5FCC" w:rsidRDefault="00A21C81">
      <w:pPr>
        <w:spacing w:after="48" w:line="240" w:lineRule="auto"/>
        <w:ind w:left="272" w:hanging="272"/>
        <w:jc w:val="left"/>
      </w:pPr>
      <w:r>
        <w:rPr>
          <w:rFonts w:cs="EB Garamond"/>
          <w:kern w:val="16"/>
          <w:sz w:val="18"/>
          <w14:ligatures w14:val="standardContextual"/>
        </w:rPr>
        <w:t>TNU, Tema 253 (inacumulabilidade BPC × auxílio-acidente).</w:t>
      </w:r>
    </w:p>
    <w:p w14:paraId="421895E4" w14:textId="77777777" w:rsidR="005A5FCC" w:rsidRDefault="00A21C81">
      <w:pPr>
        <w:spacing w:after="48" w:line="240" w:lineRule="auto"/>
        <w:ind w:left="272" w:hanging="272"/>
        <w:jc w:val="left"/>
      </w:pPr>
      <w:r>
        <w:rPr>
          <w:rFonts w:cs="EB Garamond"/>
          <w:kern w:val="16"/>
          <w:sz w:val="18"/>
          <w14:ligatures w14:val="standardContextual"/>
        </w:rPr>
        <w:t>TNU, Tema 253, inacumulabilidade BPC × auxílio-acidente.</w:t>
      </w:r>
    </w:p>
    <w:p w14:paraId="443B20DF" w14:textId="77777777" w:rsidR="005A5FCC" w:rsidRDefault="00A21C81">
      <w:pPr>
        <w:spacing w:after="48" w:line="240" w:lineRule="auto"/>
        <w:ind w:left="272" w:hanging="272"/>
        <w:jc w:val="left"/>
      </w:pPr>
      <w:r>
        <w:rPr>
          <w:rFonts w:cs="EB Garamond"/>
          <w:kern w:val="16"/>
          <w:sz w:val="18"/>
          <w14:ligatures w14:val="standardContextual"/>
        </w:rPr>
        <w:t>TNU, Tema 274 — PEDILEF 0512288-77.2017.4.05.8300/PE (aposentadoria por invalidez em doenças estigmatizantes não relacionadas ao HIV).</w:t>
      </w:r>
    </w:p>
    <w:p w14:paraId="2B68EB12" w14:textId="77777777" w:rsidR="005A5FCC" w:rsidRDefault="00A21C81">
      <w:pPr>
        <w:spacing w:after="48" w:line="240" w:lineRule="auto"/>
        <w:ind w:left="272" w:hanging="272"/>
        <w:jc w:val="left"/>
      </w:pPr>
      <w:r>
        <w:rPr>
          <w:rFonts w:cs="EB Garamond"/>
          <w:kern w:val="16"/>
          <w:sz w:val="18"/>
          <w14:ligatures w14:val="standardContextual"/>
        </w:rPr>
        <w:t>TNU, Tema 284 (renúncia a cota de pensão por morte para receber BPC).</w:t>
      </w:r>
    </w:p>
    <w:p w14:paraId="730EE621" w14:textId="77777777" w:rsidR="005A5FCC" w:rsidRDefault="00A21C81">
      <w:pPr>
        <w:spacing w:after="48" w:line="240" w:lineRule="auto"/>
        <w:ind w:left="272" w:hanging="272"/>
        <w:jc w:val="left"/>
      </w:pPr>
      <w:r>
        <w:rPr>
          <w:rFonts w:cs="EB Garamond"/>
          <w:kern w:val="16"/>
          <w:sz w:val="18"/>
          <w14:ligatures w14:val="standardContextual"/>
        </w:rPr>
        <w:t>TNU, Tema 284, renúncia a pensão para receber BPC.</w:t>
      </w:r>
    </w:p>
    <w:p w14:paraId="1D9F82F7" w14:textId="77777777" w:rsidR="005A5FCC" w:rsidRDefault="00A21C81">
      <w:pPr>
        <w:spacing w:after="48" w:line="240" w:lineRule="auto"/>
        <w:ind w:left="272" w:hanging="272"/>
        <w:jc w:val="left"/>
      </w:pPr>
      <w:r>
        <w:rPr>
          <w:rFonts w:cs="EB Garamond"/>
          <w:kern w:val="16"/>
          <w:sz w:val="18"/>
          <w14:ligatures w14:val="standardContextual"/>
        </w:rPr>
        <w:t>TNU. Súmula 47 (condições pessoais e sociais na incapacidade parcial); Súmula 53 (incapacidade preexistente ao reingresso); Súmula 72 (atividade remunerada durante a incapacidade); Súmula 78 (doenças estigmatizantes).</w:t>
      </w:r>
    </w:p>
    <w:p w14:paraId="0B7004B1" w14:textId="77777777" w:rsidR="005A5FCC" w:rsidRDefault="00A21C81">
      <w:pPr>
        <w:spacing w:after="48" w:line="240" w:lineRule="auto"/>
        <w:ind w:left="272" w:hanging="272"/>
        <w:jc w:val="left"/>
      </w:pPr>
      <w:r>
        <w:rPr>
          <w:rFonts w:cs="EB Garamond"/>
          <w:kern w:val="16"/>
          <w:sz w:val="18"/>
          <w14:ligatures w14:val="standardContextual"/>
        </w:rPr>
        <w:t>TNU. Tema 300 (manutenção da qualidade de segurado durante o limbo previdenciário).</w:t>
      </w:r>
    </w:p>
    <w:p w14:paraId="6370AE4D" w14:textId="77777777" w:rsidR="005A5FCC" w:rsidRDefault="00A21C81">
      <w:pPr>
        <w:spacing w:after="48" w:line="240" w:lineRule="auto"/>
        <w:ind w:left="272" w:hanging="272"/>
        <w:jc w:val="left"/>
      </w:pPr>
      <w:r>
        <w:rPr>
          <w:rFonts w:cs="EB Garamond"/>
          <w:kern w:val="16"/>
          <w:sz w:val="18"/>
          <w14:ligatures w14:val="standardContextual"/>
        </w:rPr>
        <w:t>TRF4 (5004698-26.2021.4.04.7001), autoaplicabilidade do art. 24.</w:t>
      </w:r>
    </w:p>
    <w:p w14:paraId="74DB9C0E" w14:textId="77777777" w:rsidR="005A5FCC" w:rsidRDefault="00A21C81">
      <w:pPr>
        <w:keepNext/>
        <w:spacing w:before="200" w:after="100" w:line="240" w:lineRule="auto"/>
        <w:jc w:val="left"/>
      </w:pPr>
      <w:r>
        <w:rPr>
          <w:rFonts w:cs="EB Garamond"/>
          <w:b/>
          <w:color w:val="3A3128"/>
          <w:kern w:val="16"/>
          <w:sz w:val="23"/>
          <w14:ligatures w14:val="standardContextual"/>
        </w:rPr>
        <w:t>Doutrina</w:t>
      </w:r>
    </w:p>
    <w:p w14:paraId="27FECE5B" w14:textId="77777777" w:rsidR="005A5FCC" w:rsidRDefault="00A21C81">
      <w:pPr>
        <w:spacing w:after="48" w:line="240" w:lineRule="auto"/>
        <w:ind w:left="272" w:hanging="272"/>
        <w:jc w:val="left"/>
      </w:pPr>
      <w:r>
        <w:rPr>
          <w:rFonts w:cs="EB Garamond"/>
          <w:kern w:val="16"/>
          <w:sz w:val="18"/>
          <w14:ligatures w14:val="standardContextual"/>
        </w:rPr>
        <w:t xml:space="preserve">- AMADO, Frederico. </w:t>
      </w:r>
      <w:r>
        <w:rPr>
          <w:rFonts w:cs="EB Garamond"/>
          <w:i/>
          <w:kern w:val="16"/>
          <w:sz w:val="18"/>
          <w14:ligatures w14:val="standardContextual"/>
        </w:rPr>
        <w:t>Curso de Direito e Processo Previdenciário</w:t>
      </w:r>
      <w:r>
        <w:rPr>
          <w:rFonts w:cs="EB Garamond"/>
          <w:kern w:val="16"/>
          <w:sz w:val="18"/>
          <w14:ligatures w14:val="standardContextual"/>
        </w:rPr>
        <w:t>. 19. ed. Salvador: JusPodivm, 2025.</w:t>
      </w:r>
    </w:p>
    <w:p w14:paraId="753F49E7" w14:textId="77777777" w:rsidR="005A5FCC" w:rsidRDefault="00A21C81">
      <w:pPr>
        <w:spacing w:after="48" w:line="240" w:lineRule="auto"/>
        <w:ind w:left="272" w:hanging="272"/>
        <w:jc w:val="left"/>
      </w:pPr>
      <w:r>
        <w:rPr>
          <w:rFonts w:cs="EB Garamond"/>
          <w:kern w:val="16"/>
          <w:sz w:val="18"/>
          <w14:ligatures w14:val="standardContextual"/>
        </w:rPr>
        <w:lastRenderedPageBreak/>
        <w:t xml:space="preserve">- CASTRO, Carlos Alberto Pereira de; LAZZARI, João Batista. </w:t>
      </w:r>
      <w:r>
        <w:rPr>
          <w:rFonts w:cs="EB Garamond"/>
          <w:i/>
          <w:kern w:val="16"/>
          <w:sz w:val="18"/>
          <w14:ligatures w14:val="standardContextual"/>
        </w:rPr>
        <w:t>Manual de Direito Previdenciário</w:t>
      </w:r>
      <w:r>
        <w:rPr>
          <w:rFonts w:cs="EB Garamond"/>
          <w:kern w:val="16"/>
          <w:sz w:val="18"/>
          <w14:ligatures w14:val="standardContextual"/>
        </w:rPr>
        <w:t>. 28. ed. Rio de Janeiro: Forense, 2025.</w:t>
      </w:r>
    </w:p>
    <w:p w14:paraId="180322C0" w14:textId="77777777" w:rsidR="005A5FCC" w:rsidRDefault="00A21C81">
      <w:pPr>
        <w:spacing w:after="48" w:line="240" w:lineRule="auto"/>
        <w:ind w:left="272" w:hanging="272"/>
        <w:jc w:val="left"/>
      </w:pPr>
      <w:r>
        <w:rPr>
          <w:rFonts w:cs="EB Garamond"/>
          <w:kern w:val="16"/>
          <w:sz w:val="18"/>
          <w14:ligatures w14:val="standardContextual"/>
        </w:rPr>
        <w:t xml:space="preserve">- IBRAHIM, Fábio Zambitte. </w:t>
      </w:r>
      <w:r>
        <w:rPr>
          <w:rFonts w:cs="EB Garamond"/>
          <w:i/>
          <w:kern w:val="16"/>
          <w:sz w:val="18"/>
          <w14:ligatures w14:val="standardContextual"/>
        </w:rPr>
        <w:t>Curso de Direito Previdenciário</w:t>
      </w:r>
      <w:r>
        <w:rPr>
          <w:rFonts w:cs="EB Garamond"/>
          <w:kern w:val="16"/>
          <w:sz w:val="18"/>
          <w14:ligatures w14:val="standardContextual"/>
        </w:rPr>
        <w:t>. 27. ed. Niterói: Impetus, 2025.</w:t>
      </w:r>
    </w:p>
    <w:p w14:paraId="4B58CEBB" w14:textId="77777777" w:rsidR="005A5FCC" w:rsidRDefault="00A21C81">
      <w:pPr>
        <w:spacing w:after="48" w:line="240" w:lineRule="auto"/>
        <w:ind w:left="272" w:hanging="272"/>
        <w:jc w:val="left"/>
      </w:pPr>
      <w:r>
        <w:rPr>
          <w:rFonts w:cs="EB Garamond"/>
          <w:kern w:val="16"/>
          <w:sz w:val="18"/>
          <w14:ligatures w14:val="standardContextual"/>
        </w:rPr>
        <w:t xml:space="preserve">- IBRAHIM, Fábio Zambitte. </w:t>
      </w:r>
      <w:r>
        <w:rPr>
          <w:rFonts w:cs="EB Garamond"/>
          <w:i/>
          <w:kern w:val="16"/>
          <w:sz w:val="18"/>
          <w14:ligatures w14:val="standardContextual"/>
        </w:rPr>
        <w:t>Curso de Direito Previdenciário</w:t>
      </w:r>
      <w:r>
        <w:rPr>
          <w:rFonts w:cs="EB Garamond"/>
          <w:kern w:val="16"/>
          <w:sz w:val="18"/>
          <w14:ligatures w14:val="standardContextual"/>
        </w:rPr>
        <w:t>. 28. ed. Niterói: Impetus, 2025.</w:t>
      </w:r>
    </w:p>
    <w:p w14:paraId="28FFB181" w14:textId="77777777" w:rsidR="005A5FCC" w:rsidRDefault="00A21C81">
      <w:pPr>
        <w:spacing w:after="48" w:line="240" w:lineRule="auto"/>
        <w:ind w:left="272" w:hanging="272"/>
        <w:jc w:val="left"/>
      </w:pPr>
      <w:r>
        <w:rPr>
          <w:rFonts w:cs="EB Garamond"/>
          <w:kern w:val="16"/>
          <w:sz w:val="18"/>
          <w14:ligatures w14:val="standardContextual"/>
        </w:rPr>
        <w:t xml:space="preserve">- IBRAHIM, Fábio Zambitte; BRAGANÇA, Kerlly Huback; FOLMANN, Melissa. </w:t>
      </w:r>
      <w:r>
        <w:rPr>
          <w:rFonts w:cs="EB Garamond"/>
          <w:i/>
          <w:kern w:val="16"/>
          <w:sz w:val="18"/>
          <w14:ligatures w14:val="standardContextual"/>
        </w:rPr>
        <w:t>Curso de Direito Previdenciário</w:t>
      </w:r>
      <w:r>
        <w:rPr>
          <w:rFonts w:cs="EB Garamond"/>
          <w:kern w:val="16"/>
          <w:sz w:val="18"/>
          <w14:ligatures w14:val="standardContextual"/>
        </w:rPr>
        <w:t>. 28. ed. Niterói: Impetus, 2025.</w:t>
      </w:r>
    </w:p>
    <w:p w14:paraId="744965F8" w14:textId="77777777" w:rsidR="005A5FCC" w:rsidRDefault="00A21C81">
      <w:pPr>
        <w:spacing w:after="48" w:line="240" w:lineRule="auto"/>
        <w:ind w:left="272" w:hanging="272"/>
        <w:jc w:val="left"/>
      </w:pPr>
      <w:r>
        <w:rPr>
          <w:rFonts w:cs="EB Garamond"/>
          <w:kern w:val="16"/>
          <w:sz w:val="18"/>
          <w14:ligatures w14:val="standardContextual"/>
        </w:rPr>
        <w:t xml:space="preserve">- KERTZMAN, Ivan. </w:t>
      </w:r>
      <w:r>
        <w:rPr>
          <w:rFonts w:cs="EB Garamond"/>
          <w:i/>
          <w:kern w:val="16"/>
          <w:sz w:val="18"/>
          <w14:ligatures w14:val="standardContextual"/>
        </w:rPr>
        <w:t>Curso Prático de Direito Previdenciário</w:t>
      </w:r>
      <w:r>
        <w:rPr>
          <w:rFonts w:cs="EB Garamond"/>
          <w:kern w:val="16"/>
          <w:sz w:val="18"/>
          <w14:ligatures w14:val="standardContextual"/>
        </w:rPr>
        <w:t>. 23. ed. Salvador: JusPodivm, 2025.</w:t>
      </w:r>
    </w:p>
    <w:p w14:paraId="3ED9DF91" w14:textId="77777777" w:rsidR="005A5FCC" w:rsidRDefault="00A21C81">
      <w:pPr>
        <w:spacing w:after="48" w:line="240" w:lineRule="auto"/>
        <w:ind w:left="272" w:hanging="272"/>
        <w:jc w:val="left"/>
      </w:pPr>
      <w:r>
        <w:rPr>
          <w:rFonts w:cs="EB Garamond"/>
          <w:kern w:val="16"/>
          <w:sz w:val="18"/>
          <w14:ligatures w14:val="standardContextual"/>
        </w:rPr>
        <w:t xml:space="preserve">- PORTO, Rafael Duarte de Oliveira. </w:t>
      </w:r>
      <w:r>
        <w:rPr>
          <w:rFonts w:cs="EB Garamond"/>
          <w:i/>
          <w:kern w:val="16"/>
          <w:sz w:val="18"/>
          <w14:ligatures w14:val="standardContextual"/>
        </w:rPr>
        <w:t>Manual de Direito Previdenciário</w:t>
      </w:r>
      <w:r>
        <w:rPr>
          <w:rFonts w:cs="EB Garamond"/>
          <w:kern w:val="16"/>
          <w:sz w:val="18"/>
          <w14:ligatures w14:val="standardContextual"/>
        </w:rPr>
        <w:t>. 2. ed. São Paulo: JusPodivm, 2024.</w:t>
      </w:r>
    </w:p>
    <w:p w14:paraId="47629CE9" w14:textId="77777777" w:rsidR="005A5FCC" w:rsidRDefault="00A21C81">
      <w:pPr>
        <w:spacing w:after="48" w:line="240" w:lineRule="auto"/>
        <w:ind w:left="272" w:hanging="272"/>
        <w:jc w:val="left"/>
      </w:pPr>
      <w:r>
        <w:rPr>
          <w:rFonts w:cs="EB Garamond"/>
          <w:kern w:val="16"/>
          <w:sz w:val="18"/>
          <w14:ligatures w14:val="standardContextual"/>
        </w:rPr>
        <w:t xml:space="preserve">- SANTOS, Marisa Ferreira dos; CALEJON, Celia. </w:t>
      </w:r>
      <w:r>
        <w:rPr>
          <w:rFonts w:cs="EB Garamond"/>
          <w:i/>
          <w:kern w:val="16"/>
          <w:sz w:val="18"/>
          <w14:ligatures w14:val="standardContextual"/>
        </w:rPr>
        <w:t>Direito Previdenciário Esquematizado</w:t>
      </w:r>
      <w:r>
        <w:rPr>
          <w:rFonts w:cs="EB Garamond"/>
          <w:kern w:val="16"/>
          <w:sz w:val="18"/>
          <w14:ligatures w14:val="standardContextual"/>
        </w:rPr>
        <w:t>. 15. ed. São Paulo: Saraiva, 2025.</w:t>
      </w:r>
    </w:p>
    <w:p w14:paraId="2D2A6B51" w14:textId="77777777" w:rsidR="005A5FCC" w:rsidRDefault="00A21C81">
      <w:pPr>
        <w:spacing w:after="48" w:line="240" w:lineRule="auto"/>
        <w:ind w:left="272" w:hanging="272"/>
        <w:jc w:val="left"/>
      </w:pPr>
      <w:r>
        <w:rPr>
          <w:rFonts w:cs="EB Garamond"/>
          <w:kern w:val="16"/>
          <w:sz w:val="18"/>
          <w14:ligatures w14:val="standardContextual"/>
        </w:rPr>
        <w:t xml:space="preserve">- SANTOS, Marisa Ferreira dos; CALEJON, Célia. </w:t>
      </w:r>
      <w:r>
        <w:rPr>
          <w:rFonts w:cs="EB Garamond"/>
          <w:i/>
          <w:kern w:val="16"/>
          <w:sz w:val="18"/>
          <w14:ligatures w14:val="standardContextual"/>
        </w:rPr>
        <w:t>Direito Previdenciário Esquematizado</w:t>
      </w:r>
      <w:r>
        <w:rPr>
          <w:rFonts w:cs="EB Garamond"/>
          <w:kern w:val="16"/>
          <w:sz w:val="18"/>
          <w14:ligatures w14:val="standardContextual"/>
        </w:rPr>
        <w:t>. 16. ed. São Paulo: Saraiva, 2025.</w:t>
      </w:r>
    </w:p>
    <w:p w14:paraId="4F63BFA4" w14:textId="77777777" w:rsidR="005A5FCC" w:rsidRDefault="00A21C81">
      <w:pPr>
        <w:spacing w:after="48" w:line="240" w:lineRule="auto"/>
        <w:ind w:left="272" w:hanging="272"/>
        <w:jc w:val="left"/>
      </w:pPr>
      <w:r>
        <w:rPr>
          <w:rFonts w:cs="EB Garamond"/>
          <w:kern w:val="16"/>
          <w:sz w:val="18"/>
          <w14:ligatures w14:val="standardContextual"/>
        </w:rPr>
        <w:t xml:space="preserve">- SAVARIS, José Antonio. </w:t>
      </w:r>
      <w:r>
        <w:rPr>
          <w:rFonts w:cs="EB Garamond"/>
          <w:i/>
          <w:kern w:val="16"/>
          <w:sz w:val="18"/>
          <w14:ligatures w14:val="standardContextual"/>
        </w:rPr>
        <w:t>Direito Processual Previdenciário</w:t>
      </w:r>
      <w:r>
        <w:rPr>
          <w:rFonts w:cs="EB Garamond"/>
          <w:kern w:val="16"/>
          <w:sz w:val="18"/>
          <w14:ligatures w14:val="standardContextual"/>
        </w:rPr>
        <w:t>. 10. ed. Curitiba: Alteridade, 2023.</w:t>
      </w:r>
    </w:p>
    <w:p w14:paraId="40BBDFC7" w14:textId="77777777" w:rsidR="005A5FCC" w:rsidRDefault="00A21C81">
      <w:pPr>
        <w:spacing w:after="48" w:line="240" w:lineRule="auto"/>
        <w:ind w:left="272" w:hanging="272"/>
        <w:jc w:val="left"/>
      </w:pPr>
      <w:r>
        <w:rPr>
          <w:rFonts w:cs="EB Garamond"/>
          <w:kern w:val="16"/>
          <w:sz w:val="18"/>
          <w14:ligatures w14:val="standardContextual"/>
        </w:rPr>
        <w:t xml:space="preserve">- SAVARIS, José Antonio. </w:t>
      </w:r>
      <w:r>
        <w:rPr>
          <w:rFonts w:cs="EB Garamond"/>
          <w:i/>
          <w:kern w:val="16"/>
          <w:sz w:val="18"/>
          <w14:ligatures w14:val="standardContextual"/>
        </w:rPr>
        <w:t>Direito Processual Previdenciário</w:t>
      </w:r>
      <w:r>
        <w:rPr>
          <w:rFonts w:cs="EB Garamond"/>
          <w:kern w:val="16"/>
          <w:sz w:val="18"/>
          <w14:ligatures w14:val="standardContextual"/>
        </w:rPr>
        <w:t>. 11. ed. Curitiba: Alteridade, 2023.</w:t>
      </w:r>
    </w:p>
    <w:p w14:paraId="0284B009" w14:textId="77777777" w:rsidR="005A5FCC" w:rsidRDefault="00A21C81">
      <w:pPr>
        <w:spacing w:after="48" w:line="240" w:lineRule="auto"/>
        <w:ind w:left="272" w:hanging="272"/>
        <w:jc w:val="left"/>
      </w:pPr>
      <w:r>
        <w:rPr>
          <w:rFonts w:cs="EB Garamond"/>
          <w:kern w:val="16"/>
          <w:sz w:val="18"/>
          <w14:ligatures w14:val="standardContextual"/>
        </w:rPr>
        <w:t xml:space="preserve">- SAVARIS, José Antonio. </w:t>
      </w:r>
      <w:r>
        <w:rPr>
          <w:rFonts w:cs="EB Garamond"/>
          <w:i/>
          <w:kern w:val="16"/>
          <w:sz w:val="18"/>
          <w14:ligatures w14:val="standardContextual"/>
        </w:rPr>
        <w:t>Direito Processual Previdenciário</w:t>
      </w:r>
      <w:r>
        <w:rPr>
          <w:rFonts w:cs="EB Garamond"/>
          <w:kern w:val="16"/>
          <w:sz w:val="18"/>
          <w14:ligatures w14:val="standardContextual"/>
        </w:rPr>
        <w:t>. 9. ed. Curitiba: Alteridade, 2023.</w:t>
      </w:r>
    </w:p>
    <w:p w14:paraId="3761FB79" w14:textId="77777777" w:rsidR="005A5FCC" w:rsidRDefault="00A21C81">
      <w:pPr>
        <w:spacing w:after="48" w:line="240" w:lineRule="auto"/>
        <w:ind w:left="272" w:hanging="272"/>
        <w:jc w:val="left"/>
      </w:pPr>
      <w:r>
        <w:rPr>
          <w:rFonts w:cs="EB Garamond"/>
          <w:kern w:val="16"/>
          <w:sz w:val="18"/>
          <w14:ligatures w14:val="standardContextual"/>
        </w:rPr>
        <w:t xml:space="preserve">&gt; </w:t>
      </w:r>
      <w:r>
        <w:rPr>
          <w:rFonts w:cs="EB Garamond"/>
          <w:b/>
          <w:kern w:val="16"/>
          <w:sz w:val="18"/>
          <w14:ligatures w14:val="standardContextual"/>
        </w:rPr>
        <w:t>Nota editorial.</w:t>
      </w:r>
      <w:r>
        <w:rPr>
          <w:rFonts w:cs="EB Garamond"/>
          <w:kern w:val="16"/>
          <w:sz w:val="18"/>
          <w14:ligatures w14:val="standardContextual"/>
        </w:rPr>
        <w:t xml:space="preserve"> O Capítulo 23, dedicado à competência e ao procedimento no JEF, encerra-se com a consolidação de suas posições (seção 23.39) e as respectivas referências. O texto que se segue não integra o capítulo nem recebe numeração de seção: é o epílogo da obra inteira, autônomo em relação ao conteúdo técnico de consulta, em que retomamos, em visão de conjunto, as grandes linhas temáticas dos seis blocos do livro e dirigimos um convite final ao leitor. O leitor que consulte o Capítulo 23 de forma isolada, em busca apenas das regras de competência e procedimento, encontra nele matéria completa e autossuficiente; este epílogo destina-se a quem percorreu a obra do início ao fim.</w:t>
      </w:r>
    </w:p>
    <w:p w14:paraId="44F91F42" w14:textId="1E37652C" w:rsidR="005A5FCC" w:rsidRDefault="00A21C81">
      <w:pPr>
        <w:spacing w:after="48" w:line="240" w:lineRule="auto"/>
        <w:ind w:left="272" w:hanging="272"/>
        <w:jc w:val="left"/>
      </w:pPr>
      <w:r>
        <w:rPr>
          <w:rFonts w:cs="EB Garamond"/>
          <w:kern w:val="16"/>
          <w:sz w:val="18"/>
          <w14:ligatures w14:val="standardContextual"/>
        </w:rPr>
        <w:t xml:space="preserve">A digitalização do INSS, acelerada pela pandemia de Covid-19 e consolidada pela </w:t>
      </w:r>
      <w:r w:rsidR="00460E75">
        <w:rPr>
          <w:rFonts w:cs="EB Garamond"/>
          <w:kern w:val="16"/>
          <w:sz w:val="18"/>
          <w14:ligatures w14:val="standardContextual"/>
        </w:rPr>
        <w:t>P</w:t>
      </w:r>
      <w:r>
        <w:rPr>
          <w:rFonts w:cs="EB Garamond"/>
          <w:kern w:val="16"/>
          <w:sz w:val="18"/>
          <w14:ligatures w14:val="standardContextual"/>
        </w:rPr>
        <w:t xml:space="preserve">lataforma Meu INSS, transformou a relação entre o segurado e a autarquia. O requerimento administrativo, a perícia médica (Atestmed), a consulta ao CNIS, a emissão de certidões e a comunicação de decisões migraram, em grande medida, para o ambiente digital. Essa transição trouxe ganhos de eficiência, mas também criou barreiras de acesso para segurados com baixa literacia digital — justamente a parcela mais vulnerável da população segurada. Os JEFs têm enfrentado, com frequência crescente, demandas que decorrem de falhas na interface digital do INSS: requerimentos não processados por erro de sistema, perícias canceladas sem comunicação efetiva, indeferimentos por documentação "insuficiente" quando o segurado não conseguiu carregar os arquivos corretamente. A exclusão digital </w:t>
      </w:r>
      <w:r>
        <w:rPr>
          <w:rFonts w:cs="EB Garamond"/>
          <w:kern w:val="16"/>
          <w:sz w:val="18"/>
          <w14:ligatures w14:val="standardContextual"/>
        </w:rPr>
        <w:lastRenderedPageBreak/>
        <w:t>é, cada vez mais, fonte de exclusão previdenciária, e o Judiciário precisa estar atento a essa nova dimensão da vulnerabilidade.</w:t>
      </w:r>
    </w:p>
    <w:p w14:paraId="243110B4" w14:textId="77777777" w:rsidR="005A5FCC" w:rsidRDefault="00A21C81">
      <w:pPr>
        <w:spacing w:after="48" w:line="240" w:lineRule="auto"/>
        <w:ind w:left="272" w:hanging="272"/>
        <w:jc w:val="left"/>
      </w:pPr>
      <w:r>
        <w:rPr>
          <w:rFonts w:cs="EB Garamond"/>
          <w:kern w:val="16"/>
          <w:sz w:val="18"/>
          <w14:ligatures w14:val="standardContextual"/>
        </w:rPr>
        <w:t>A vocação constitucional dos JEFs — facilitar o acesso à Justiça por meio de procedimento sumaríssimo, orientado pela oralidade, simplicidade, informalidade, economia processual e celeridade — é posta à prova diariamente pelo volume de demandas, pela complexidade crescente da legislação previdenciária e pela insuficiência de recursos humanos e materiais. A manutenção de peritos médicos em número suficiente, a capacitação permanente dos magistrados em matéria previdenciária, a integração eletrônica entre os sistemas da Justiça Federal e do INSS e a ampliação das varas federais avançadas são medidas que consideramos indispensáveis para que o sistema cumpra sua promessa constitucional.</w:t>
      </w:r>
    </w:p>
    <w:p w14:paraId="095A882F" w14:textId="77777777" w:rsidR="005A5FCC" w:rsidRDefault="00A21C81">
      <w:pPr>
        <w:spacing w:after="48" w:line="240" w:lineRule="auto"/>
        <w:ind w:left="272" w:hanging="272"/>
        <w:jc w:val="left"/>
      </w:pPr>
      <w:r>
        <w:rPr>
          <w:rFonts w:cs="EB Garamond"/>
          <w:kern w:val="16"/>
          <w:sz w:val="18"/>
          <w14:ligatures w14:val="standardContextual"/>
        </w:rPr>
        <w:t>Acreditamos, ainda, que a qualidade da prestação jurisdicional nos JEFs depende de algo que transcende a infraestrutura: a consciência de que cada processo representa uma pessoa — ou uma família — cuja dignidade está em jogo. O magistrado que julga ação de aposentadoria por incapacidade permanente decide se o segurado de 55 anos, com lombalgia crônica e baixa escolaridade, terá renda para sobreviver ou será lançado à assistência social. O juiz que analisa pedido de BPC decide se a criança com deficiência intelectual terá acesso a tratamento e acompanhamento ou ficará desamparada. A dimensão humana da jurisdição previdenciária não é retórica: é o fundamento último de todo o arcabouço normativo que examinamos neste livro.</w:t>
      </w:r>
    </w:p>
    <w:p w14:paraId="71272ECA" w14:textId="77777777" w:rsidR="005A5FCC" w:rsidRDefault="00A21C81">
      <w:pPr>
        <w:spacing w:after="48" w:line="240" w:lineRule="auto"/>
        <w:ind w:left="272" w:hanging="272"/>
        <w:jc w:val="left"/>
      </w:pPr>
      <w:r>
        <w:rPr>
          <w:rFonts w:cs="EB Garamond"/>
          <w:kern w:val="16"/>
          <w:sz w:val="18"/>
          <w14:ligatures w14:val="standardContextual"/>
        </w:rPr>
        <w:t>AMADO, Frederico. Curso de Direito e Processo Previdenciário. 19. ed. Salvador: JusPodivm, 2025.</w:t>
      </w:r>
    </w:p>
    <w:p w14:paraId="073AF2AC" w14:textId="77777777" w:rsidR="005A5FCC" w:rsidRDefault="00A21C81">
      <w:pPr>
        <w:spacing w:after="48" w:line="240" w:lineRule="auto"/>
        <w:ind w:left="272" w:hanging="272"/>
        <w:jc w:val="left"/>
      </w:pPr>
      <w:r>
        <w:rPr>
          <w:rFonts w:cs="EB Garamond"/>
          <w:kern w:val="16"/>
          <w:sz w:val="18"/>
          <w14:ligatures w14:val="standardContextual"/>
        </w:rPr>
        <w:t>Ao concluir estas páginas, os autores têm a convicção de que a obra cumpriu o propósito a que se propôs: oferecer ao operador do direito previdenciário — magistrado, advogado, defensor público, procurador, servidor — instrumento de consulta que alia profundidade doutrinária a utilidade prática, sem sacrificar nenhuma das duas dimensões. Não pretendemos esgotar a matéria, porque o direito previdenciário é campo vivo, em permanente transformação. Pretendemos, isto sim, fornecer bases sólidas para que o leitor enfrente as questões que a prática lhe apresenta com segurança técnica e sensibilidade social.</w:t>
      </w:r>
    </w:p>
    <w:p w14:paraId="7B7C6A8D" w14:textId="77777777" w:rsidR="005A5FCC" w:rsidRDefault="00A21C81">
      <w:pPr>
        <w:spacing w:after="48" w:line="240" w:lineRule="auto"/>
        <w:ind w:left="272" w:hanging="272"/>
        <w:jc w:val="left"/>
      </w:pPr>
      <w:r>
        <w:rPr>
          <w:rFonts w:cs="EB Garamond"/>
          <w:kern w:val="16"/>
          <w:sz w:val="18"/>
          <w14:ligatures w14:val="standardContextual"/>
        </w:rPr>
        <w:t>Ao encerrar esta obra, parece-nos oportuno articular, em visão de conjunto, as grandes linhas temáticas que percorremos ao longo dos vinte e três capítulos que a compõem. O percurso não foi casual: reflete a convicção dos autores de que o direito previdenciário brasileiro — campo normativo denso, tecnicamente exigente e socialmente decisivo — demanda tratamento que conjugue rigor dogmático com sensibilidade para a realidade concreta dos segurados que batem às portas dos Juizados Especiais Federais.</w:t>
      </w:r>
    </w:p>
    <w:p w14:paraId="6F109AA8" w14:textId="77777777" w:rsidR="005A5FCC" w:rsidRDefault="00A21C81">
      <w:pPr>
        <w:spacing w:after="48" w:line="240" w:lineRule="auto"/>
        <w:ind w:left="272" w:hanging="272"/>
        <w:jc w:val="left"/>
      </w:pPr>
      <w:r>
        <w:rPr>
          <w:rFonts w:cs="EB Garamond"/>
          <w:kern w:val="16"/>
          <w:sz w:val="18"/>
          <w14:ligatures w14:val="standardContextual"/>
        </w:rPr>
        <w:t xml:space="preserve">As novas formas de trabalho — plataformas digitais de transporte e entregas, trabalho remoto, economia criativa digital, prestação de serviços por aplicativos — desafiam as categorias tradicionais de segurado do RGPS. O motorista de aplicativo é segurado obrigatório? Contribuinte individual? Segurado especial? A legislação vigente não oferece respostas claras para todas as situações, e a regulamentação do trabalho em plataformas é matéria pendente no Congresso Nacional. Os JEFs já recebem demandas de trabalhadores de plataformas que buscam benefícios previdenciários e se deparam com a dificuldade </w:t>
      </w:r>
      <w:r>
        <w:rPr>
          <w:rFonts w:cs="EB Garamond"/>
          <w:kern w:val="16"/>
          <w:sz w:val="18"/>
          <w14:ligatures w14:val="standardContextual"/>
        </w:rPr>
        <w:lastRenderedPageBreak/>
        <w:t>de comprovar vínculo, contribuição e carência em um modelo de trabalho que não se encaixa nas categorias legais existentes. A doutrina e a jurisprudência precisarão construir, nos próximos anos, respostas adequadas a essa nova realidade laboral.</w:t>
      </w:r>
    </w:p>
    <w:p w14:paraId="6B0A0D8C" w14:textId="77777777" w:rsidR="005A5FCC" w:rsidRDefault="00A21C81">
      <w:pPr>
        <w:spacing w:after="48" w:line="240" w:lineRule="auto"/>
        <w:ind w:left="272" w:hanging="272"/>
        <w:jc w:val="left"/>
      </w:pPr>
      <w:r>
        <w:rPr>
          <w:rFonts w:cs="EB Garamond"/>
          <w:kern w:val="16"/>
          <w:sz w:val="18"/>
          <w14:ligatures w14:val="standardContextual"/>
        </w:rPr>
        <w:t>BALERA, Wagner. Sistema de Seguridade Social. 9. ed. São Paulo: LTr, 2023.</w:t>
      </w:r>
    </w:p>
    <w:p w14:paraId="7BB6B110" w14:textId="77777777" w:rsidR="005A5FCC" w:rsidRDefault="00A21C81">
      <w:pPr>
        <w:spacing w:after="48" w:line="240" w:lineRule="auto"/>
        <w:ind w:left="272" w:hanging="272"/>
        <w:jc w:val="left"/>
      </w:pPr>
      <w:r>
        <w:rPr>
          <w:rFonts w:cs="EB Garamond"/>
          <w:kern w:val="16"/>
          <w:sz w:val="18"/>
          <w14:ligatures w14:val="standardContextual"/>
        </w:rPr>
        <w:t xml:space="preserve">BALERA, Wagner; MUSSI, Cristiane Miziara. </w:t>
      </w:r>
      <w:r>
        <w:rPr>
          <w:rFonts w:cs="EB Garamond"/>
          <w:i/>
          <w:kern w:val="16"/>
          <w:sz w:val="18"/>
          <w14:ligatures w14:val="standardContextual"/>
        </w:rPr>
        <w:t>Direito Previdenciário</w:t>
      </w:r>
      <w:r>
        <w:rPr>
          <w:rFonts w:cs="EB Garamond"/>
          <w:kern w:val="16"/>
          <w:sz w:val="18"/>
          <w14:ligatures w14:val="standardContextual"/>
        </w:rPr>
        <w:t>. 15. ed. Rio de Janeiro: Método, 2025.</w:t>
      </w:r>
    </w:p>
    <w:p w14:paraId="2AB3A0BC" w14:textId="77777777" w:rsidR="005A5FCC" w:rsidRDefault="00A21C81">
      <w:pPr>
        <w:spacing w:after="48" w:line="240" w:lineRule="auto"/>
        <w:ind w:left="272" w:hanging="272"/>
        <w:jc w:val="left"/>
      </w:pPr>
      <w:r>
        <w:rPr>
          <w:rFonts w:cs="EB Garamond"/>
          <w:kern w:val="16"/>
          <w:sz w:val="18"/>
          <w14:ligatures w14:val="standardContextual"/>
        </w:rPr>
        <w:t xml:space="preserve">BOCHENEK, Antônio César; NASCIMENTO, Márcio Augusto. </w:t>
      </w:r>
      <w:r>
        <w:rPr>
          <w:rFonts w:cs="EB Garamond"/>
          <w:i/>
          <w:kern w:val="16"/>
          <w:sz w:val="18"/>
          <w14:ligatures w14:val="standardContextual"/>
        </w:rPr>
        <w:t>Juizados Especiais Federais Cíveis</w:t>
      </w:r>
      <w:r>
        <w:rPr>
          <w:rFonts w:cs="EB Garamond"/>
          <w:kern w:val="16"/>
          <w:sz w:val="18"/>
          <w14:ligatures w14:val="standardContextual"/>
        </w:rPr>
        <w:t>. 4. ed. Curitiba: Juruá, 2024.</w:t>
      </w:r>
    </w:p>
    <w:p w14:paraId="482A11C1" w14:textId="77777777" w:rsidR="005A5FCC" w:rsidRDefault="00A21C81">
      <w:pPr>
        <w:spacing w:after="48" w:line="240" w:lineRule="auto"/>
        <w:ind w:left="272" w:hanging="272"/>
        <w:jc w:val="left"/>
      </w:pPr>
      <w:r>
        <w:rPr>
          <w:rFonts w:cs="EB Garamond"/>
          <w:kern w:val="16"/>
          <w:sz w:val="18"/>
          <w14:ligatures w14:val="standardContextual"/>
        </w:rPr>
        <w:t>CASTRO, Carlos Alberto Pereira de; LAZZARI, João Batista. Manual de Direito Previdenciário. 28. ed. Rio de Janeiro: Forense, 2025.</w:t>
      </w:r>
    </w:p>
    <w:p w14:paraId="10F80191" w14:textId="77777777" w:rsidR="005A5FCC" w:rsidRDefault="00A21C81">
      <w:pPr>
        <w:spacing w:after="48" w:line="240" w:lineRule="auto"/>
        <w:ind w:left="272" w:hanging="272"/>
        <w:jc w:val="left"/>
      </w:pPr>
      <w:r>
        <w:rPr>
          <w:rFonts w:cs="EB Garamond"/>
          <w:kern w:val="16"/>
          <w:sz w:val="18"/>
          <w14:ligatures w14:val="standardContextual"/>
        </w:rPr>
        <w:t xml:space="preserve">CASTRO, Carlos Alberto Pereira de; LAZZARI, João Batista. </w:t>
      </w:r>
      <w:r>
        <w:rPr>
          <w:rFonts w:cs="EB Garamond"/>
          <w:i/>
          <w:kern w:val="16"/>
          <w:sz w:val="18"/>
          <w14:ligatures w14:val="standardContextual"/>
        </w:rPr>
        <w:t>Manual de Direito Previdenciário</w:t>
      </w:r>
      <w:r>
        <w:rPr>
          <w:rFonts w:cs="EB Garamond"/>
          <w:kern w:val="16"/>
          <w:sz w:val="18"/>
          <w14:ligatures w14:val="standardContextual"/>
        </w:rPr>
        <w:t>. 28. ed. São Paulo: Forense, 2025.</w:t>
      </w:r>
    </w:p>
    <w:p w14:paraId="1560D319" w14:textId="77777777" w:rsidR="005A5FCC" w:rsidRDefault="00A21C81">
      <w:pPr>
        <w:spacing w:after="48" w:line="240" w:lineRule="auto"/>
        <w:ind w:left="272" w:hanging="272"/>
        <w:jc w:val="left"/>
      </w:pPr>
      <w:r>
        <w:rPr>
          <w:rFonts w:cs="EB Garamond"/>
          <w:kern w:val="16"/>
          <w:sz w:val="18"/>
          <w14:ligatures w14:val="standardContextual"/>
        </w:rPr>
        <w:t xml:space="preserve">GOES, Hugo. </w:t>
      </w:r>
      <w:r>
        <w:rPr>
          <w:rFonts w:cs="EB Garamond"/>
          <w:b/>
          <w:kern w:val="16"/>
          <w:sz w:val="18"/>
          <w14:ligatures w14:val="standardContextual"/>
        </w:rPr>
        <w:t>Manual de Direito Previdenciário.</w:t>
      </w:r>
      <w:r>
        <w:rPr>
          <w:rFonts w:cs="EB Garamond"/>
          <w:kern w:val="16"/>
          <w:sz w:val="18"/>
          <w14:ligatures w14:val="standardContextual"/>
        </w:rPr>
        <w:t xml:space="preserve"> 19. ed. Rio de Janeiro: Ferreira, 2025.</w:t>
      </w:r>
    </w:p>
    <w:p w14:paraId="3E8F1B22" w14:textId="77777777" w:rsidR="005A5FCC" w:rsidRDefault="00A21C81">
      <w:pPr>
        <w:spacing w:after="48" w:line="240" w:lineRule="auto"/>
        <w:ind w:left="272" w:hanging="272"/>
        <w:jc w:val="left"/>
      </w:pPr>
      <w:r>
        <w:rPr>
          <w:rFonts w:cs="EB Garamond"/>
          <w:kern w:val="16"/>
          <w:sz w:val="18"/>
          <w14:ligatures w14:val="standardContextual"/>
        </w:rPr>
        <w:t xml:space="preserve">HORVATH JÚNIOR, Miguel. </w:t>
      </w:r>
      <w:r>
        <w:rPr>
          <w:rFonts w:cs="EB Garamond"/>
          <w:b/>
          <w:kern w:val="16"/>
          <w:sz w:val="18"/>
          <w14:ligatures w14:val="standardContextual"/>
        </w:rPr>
        <w:t>Direito Previdenciário</w:t>
      </w:r>
      <w:r>
        <w:rPr>
          <w:rFonts w:cs="EB Garamond"/>
          <w:kern w:val="16"/>
          <w:sz w:val="18"/>
          <w14:ligatures w14:val="standardContextual"/>
        </w:rPr>
        <w:t>. 13. ed. São Paulo: Quartier Latin, 2024.</w:t>
      </w:r>
    </w:p>
    <w:p w14:paraId="1310B1E9" w14:textId="77777777" w:rsidR="005A5FCC" w:rsidRDefault="00A21C81">
      <w:pPr>
        <w:spacing w:after="48" w:line="240" w:lineRule="auto"/>
        <w:ind w:left="272" w:hanging="272"/>
        <w:jc w:val="left"/>
      </w:pPr>
      <w:r>
        <w:rPr>
          <w:rFonts w:cs="EB Garamond"/>
          <w:kern w:val="16"/>
          <w:sz w:val="18"/>
          <w14:ligatures w14:val="standardContextual"/>
        </w:rPr>
        <w:t xml:space="preserve">HORVATH JÚNIOR, Miguel. </w:t>
      </w:r>
      <w:r>
        <w:rPr>
          <w:rFonts w:cs="EB Garamond"/>
          <w:b/>
          <w:kern w:val="16"/>
          <w:sz w:val="18"/>
          <w14:ligatures w14:val="standardContextual"/>
        </w:rPr>
        <w:t>Direito Previdenciário</w:t>
      </w:r>
      <w:r>
        <w:rPr>
          <w:rFonts w:cs="EB Garamond"/>
          <w:kern w:val="16"/>
          <w:sz w:val="18"/>
          <w14:ligatures w14:val="standardContextual"/>
        </w:rPr>
        <w:t>. 13. ed. São Paulo: Rideel, 2022.</w:t>
      </w:r>
    </w:p>
    <w:p w14:paraId="0285E0DC" w14:textId="77777777" w:rsidR="005A5FCC" w:rsidRDefault="00A21C81">
      <w:pPr>
        <w:spacing w:after="48" w:line="240" w:lineRule="auto"/>
        <w:ind w:left="272" w:hanging="272"/>
        <w:jc w:val="left"/>
      </w:pPr>
      <w:r>
        <w:rPr>
          <w:rFonts w:cs="EB Garamond"/>
          <w:kern w:val="16"/>
          <w:sz w:val="18"/>
          <w14:ligatures w14:val="standardContextual"/>
        </w:rPr>
        <w:t xml:space="preserve">HORVATH JÚNIOR, Miguel. </w:t>
      </w:r>
      <w:r>
        <w:rPr>
          <w:rFonts w:cs="EB Garamond"/>
          <w:b/>
          <w:kern w:val="16"/>
          <w:sz w:val="18"/>
          <w14:ligatures w14:val="standardContextual"/>
        </w:rPr>
        <w:t>Direito Previdenciário</w:t>
      </w:r>
      <w:r>
        <w:rPr>
          <w:rFonts w:cs="EB Garamond"/>
          <w:kern w:val="16"/>
          <w:sz w:val="18"/>
          <w14:ligatures w14:val="standardContextual"/>
        </w:rPr>
        <w:t>. 14. ed. São Paulo: Quartier Latin, 2022.</w:t>
      </w:r>
    </w:p>
    <w:p w14:paraId="651007A6" w14:textId="77777777" w:rsidR="005A5FCC" w:rsidRDefault="00A21C81">
      <w:pPr>
        <w:spacing w:after="48" w:line="240" w:lineRule="auto"/>
        <w:ind w:left="272" w:hanging="272"/>
        <w:jc w:val="left"/>
      </w:pPr>
      <w:r>
        <w:rPr>
          <w:rFonts w:cs="EB Garamond"/>
          <w:kern w:val="16"/>
          <w:sz w:val="18"/>
          <w14:ligatures w14:val="standardContextual"/>
        </w:rPr>
        <w:t>HORVATH JÚNIOR, Miguel. Direito Previdenciário. 14. ed. São Paulo: Quartier Latin, 2025.</w:t>
      </w:r>
    </w:p>
    <w:p w14:paraId="33026032" w14:textId="77777777" w:rsidR="005A5FCC" w:rsidRDefault="00A21C81">
      <w:pPr>
        <w:spacing w:after="48" w:line="240" w:lineRule="auto"/>
        <w:ind w:left="272" w:hanging="272"/>
        <w:jc w:val="left"/>
      </w:pPr>
      <w:r>
        <w:rPr>
          <w:rFonts w:cs="EB Garamond"/>
          <w:kern w:val="16"/>
          <w:sz w:val="18"/>
          <w14:ligatures w14:val="standardContextual"/>
        </w:rPr>
        <w:t xml:space="preserve">HORVATH JÚNIOR, Miguel. </w:t>
      </w:r>
      <w:r>
        <w:rPr>
          <w:rFonts w:cs="EB Garamond"/>
          <w:b/>
          <w:kern w:val="16"/>
          <w:sz w:val="18"/>
          <w14:ligatures w14:val="standardContextual"/>
        </w:rPr>
        <w:t>Direito Previdenciário</w:t>
      </w:r>
      <w:r>
        <w:rPr>
          <w:rFonts w:cs="EB Garamond"/>
          <w:kern w:val="16"/>
          <w:sz w:val="18"/>
          <w14:ligatures w14:val="standardContextual"/>
        </w:rPr>
        <w:t>. 14. ed. São Paulo: Rideel, 2025.</w:t>
      </w:r>
    </w:p>
    <w:p w14:paraId="7D31366D" w14:textId="77777777" w:rsidR="005A5FCC" w:rsidRDefault="00A21C81">
      <w:pPr>
        <w:spacing w:after="48" w:line="240" w:lineRule="auto"/>
        <w:ind w:left="272" w:hanging="272"/>
        <w:jc w:val="left"/>
      </w:pPr>
      <w:r>
        <w:rPr>
          <w:rFonts w:cs="EB Garamond"/>
          <w:kern w:val="16"/>
          <w:sz w:val="18"/>
          <w14:ligatures w14:val="standardContextual"/>
        </w:rPr>
        <w:t xml:space="preserve">HORVATH JÚNIOR, Miguel. </w:t>
      </w:r>
      <w:r>
        <w:rPr>
          <w:rFonts w:cs="EB Garamond"/>
          <w:b/>
          <w:kern w:val="16"/>
          <w:sz w:val="18"/>
          <w14:ligatures w14:val="standardContextual"/>
        </w:rPr>
        <w:t>Direito Previdenciário</w:t>
      </w:r>
      <w:r>
        <w:rPr>
          <w:rFonts w:cs="EB Garamond"/>
          <w:kern w:val="16"/>
          <w:sz w:val="18"/>
          <w14:ligatures w14:val="standardContextual"/>
        </w:rPr>
        <w:t>. 15. ed. São Paulo: Rideel, 2025.</w:t>
      </w:r>
    </w:p>
    <w:p w14:paraId="6401F2C0" w14:textId="77777777" w:rsidR="005A5FCC" w:rsidRDefault="00A21C81">
      <w:pPr>
        <w:spacing w:after="48" w:line="240" w:lineRule="auto"/>
        <w:ind w:left="272" w:hanging="272"/>
        <w:jc w:val="left"/>
      </w:pPr>
      <w:r>
        <w:rPr>
          <w:rFonts w:cs="EB Garamond"/>
          <w:kern w:val="16"/>
          <w:sz w:val="18"/>
          <w14:ligatures w14:val="standardContextual"/>
        </w:rPr>
        <w:t xml:space="preserve">IBRAHIM, Fábio Zambitte. </w:t>
      </w:r>
      <w:r>
        <w:rPr>
          <w:rFonts w:cs="EB Garamond"/>
          <w:b/>
          <w:kern w:val="16"/>
          <w:sz w:val="18"/>
          <w14:ligatures w14:val="standardContextual"/>
        </w:rPr>
        <w:t>Curso de Direito Previdenciário</w:t>
      </w:r>
      <w:r>
        <w:rPr>
          <w:rFonts w:cs="EB Garamond"/>
          <w:kern w:val="16"/>
          <w:sz w:val="18"/>
          <w14:ligatures w14:val="standardContextual"/>
        </w:rPr>
        <w:t>. 27. ed. Niterói: Impetus, 2025.</w:t>
      </w:r>
    </w:p>
    <w:p w14:paraId="39CA9308" w14:textId="77777777" w:rsidR="005A5FCC" w:rsidRDefault="00A21C81">
      <w:pPr>
        <w:spacing w:after="48" w:line="240" w:lineRule="auto"/>
        <w:ind w:left="272" w:hanging="272"/>
        <w:jc w:val="left"/>
      </w:pPr>
      <w:r>
        <w:rPr>
          <w:rFonts w:cs="EB Garamond"/>
          <w:kern w:val="16"/>
          <w:sz w:val="18"/>
          <w14:ligatures w14:val="standardContextual"/>
        </w:rPr>
        <w:t xml:space="preserve">IBRAHIM, Fábio Zambitte. </w:t>
      </w:r>
      <w:r>
        <w:rPr>
          <w:rFonts w:cs="EB Garamond"/>
          <w:i/>
          <w:kern w:val="16"/>
          <w:sz w:val="18"/>
          <w14:ligatures w14:val="standardContextual"/>
        </w:rPr>
        <w:t>Curso de Direito Previdenciário</w:t>
      </w:r>
      <w:r>
        <w:rPr>
          <w:rFonts w:cs="EB Garamond"/>
          <w:kern w:val="16"/>
          <w:sz w:val="18"/>
          <w14:ligatures w14:val="standardContextual"/>
        </w:rPr>
        <w:t>. 27. ed. Rio de Janeiro: Impetus, 2024.</w:t>
      </w:r>
    </w:p>
    <w:p w14:paraId="2B77673C" w14:textId="77777777" w:rsidR="005A5FCC" w:rsidRDefault="00A21C81">
      <w:pPr>
        <w:spacing w:after="48" w:line="240" w:lineRule="auto"/>
        <w:ind w:left="272" w:hanging="272"/>
        <w:jc w:val="left"/>
      </w:pPr>
      <w:r>
        <w:rPr>
          <w:rFonts w:cs="EB Garamond"/>
          <w:kern w:val="16"/>
          <w:sz w:val="18"/>
          <w14:ligatures w14:val="standardContextual"/>
        </w:rPr>
        <w:t xml:space="preserve">IBRAHIM, Fábio Zambitte. </w:t>
      </w:r>
      <w:r>
        <w:rPr>
          <w:rFonts w:cs="EB Garamond"/>
          <w:i/>
          <w:kern w:val="16"/>
          <w:sz w:val="18"/>
          <w14:ligatures w14:val="standardContextual"/>
        </w:rPr>
        <w:t>Curso de Direito Previdenciário</w:t>
      </w:r>
      <w:r>
        <w:rPr>
          <w:rFonts w:cs="EB Garamond"/>
          <w:kern w:val="16"/>
          <w:sz w:val="18"/>
          <w14:ligatures w14:val="standardContextual"/>
        </w:rPr>
        <w:t>. 28. ed. Rio de Janeiro: Impetus, 2025.</w:t>
      </w:r>
    </w:p>
    <w:p w14:paraId="1EC02DA9" w14:textId="77777777" w:rsidR="005A5FCC" w:rsidRDefault="00A21C81">
      <w:pPr>
        <w:spacing w:after="48" w:line="240" w:lineRule="auto"/>
        <w:ind w:left="272" w:hanging="272"/>
        <w:jc w:val="left"/>
      </w:pPr>
      <w:r>
        <w:rPr>
          <w:rFonts w:cs="EB Garamond"/>
          <w:kern w:val="16"/>
          <w:sz w:val="18"/>
          <w14:ligatures w14:val="standardContextual"/>
        </w:rPr>
        <w:t>IBRAHIM, Fábio Zambitte; BRAGANÇA, Kerlly Huback; FOLMANN, Melissa. Curso de Direito Previdenciário. 28. ed. Niterói: Impetus, 2025.</w:t>
      </w:r>
    </w:p>
    <w:p w14:paraId="4DA45D19" w14:textId="77777777" w:rsidR="005A5FCC" w:rsidRDefault="00A21C81">
      <w:pPr>
        <w:spacing w:after="48" w:line="240" w:lineRule="auto"/>
        <w:ind w:left="272" w:hanging="272"/>
        <w:jc w:val="left"/>
      </w:pPr>
      <w:r>
        <w:rPr>
          <w:rFonts w:cs="EB Garamond"/>
          <w:kern w:val="16"/>
          <w:sz w:val="18"/>
          <w14:ligatures w14:val="standardContextual"/>
        </w:rPr>
        <w:t>KERTZMAN, Ivan. Curso Prático de Direito Previdenciário. 23. ed. Salvador: JusPodivm, 2025.</w:t>
      </w:r>
    </w:p>
    <w:p w14:paraId="35946478" w14:textId="77777777" w:rsidR="005A5FCC" w:rsidRDefault="00A21C81">
      <w:pPr>
        <w:spacing w:after="48" w:line="240" w:lineRule="auto"/>
        <w:ind w:left="272" w:hanging="272"/>
        <w:jc w:val="left"/>
      </w:pPr>
      <w:r>
        <w:rPr>
          <w:rFonts w:cs="EB Garamond"/>
          <w:kern w:val="16"/>
          <w:sz w:val="18"/>
          <w14:ligatures w14:val="standardContextual"/>
        </w:rPr>
        <w:t>LAZZARI, João Batista; CASTRO, Carlos Alberto Pereira de. Manual de Direito Previdenciário. 28. ed. Rio de Janeiro: Forense, 2025.</w:t>
      </w:r>
    </w:p>
    <w:p w14:paraId="18DF2803" w14:textId="77777777" w:rsidR="005A5FCC" w:rsidRDefault="00A21C81">
      <w:pPr>
        <w:spacing w:after="48" w:line="240" w:lineRule="auto"/>
        <w:ind w:left="272" w:hanging="272"/>
        <w:jc w:val="left"/>
      </w:pPr>
      <w:r>
        <w:rPr>
          <w:rFonts w:cs="EB Garamond"/>
          <w:kern w:val="16"/>
          <w:sz w:val="18"/>
          <w14:ligatures w14:val="standardContextual"/>
        </w:rPr>
        <w:t>MARTINEZ, Wladimir Novaes. Princípios de Direito Previdenciário. 7. ed. São Paulo: LTr, 2023.</w:t>
      </w:r>
    </w:p>
    <w:p w14:paraId="440EBB74" w14:textId="77777777" w:rsidR="005A5FCC" w:rsidRDefault="00A21C81">
      <w:pPr>
        <w:spacing w:after="48" w:line="240" w:lineRule="auto"/>
        <w:ind w:left="272" w:hanging="272"/>
        <w:jc w:val="left"/>
      </w:pPr>
      <w:r>
        <w:rPr>
          <w:rFonts w:cs="EB Garamond"/>
          <w:kern w:val="16"/>
          <w:sz w:val="18"/>
          <w14:ligatures w14:val="standardContextual"/>
        </w:rPr>
        <w:lastRenderedPageBreak/>
        <w:t>O direito previdenciário brasileiro ingressa na terceira década do século XXI sob pressão de transformações profundas, que exigirão do legislador, do administrador e do Judiciário respostas que ainda não estão dadas.</w:t>
      </w:r>
    </w:p>
    <w:p w14:paraId="043A2C1C" w14:textId="77777777" w:rsidR="005A5FCC" w:rsidRDefault="00A21C81">
      <w:pPr>
        <w:spacing w:after="48" w:line="240" w:lineRule="auto"/>
        <w:ind w:left="272" w:hanging="272"/>
        <w:jc w:val="left"/>
      </w:pPr>
      <w:r>
        <w:rPr>
          <w:rFonts w:cs="EB Garamond"/>
          <w:kern w:val="16"/>
          <w:sz w:val="18"/>
          <w14:ligatures w14:val="standardContextual"/>
        </w:rPr>
        <w:t>O direito previdenciário brasileiro é, em sua essência, um compromisso civilizatório: a promessa de que nenhum cidadão será abandonado pelo Estado quando a velhice, a doença, o acidente ou a morte lhe retirar a capacidade de prover o próprio sustento ou o de sua família. A concretização desse compromisso é tarefa de todos — legisladores, administradores, juízes, advogados e da própria sociedade. Se esta obra contribuir, ainda que modestamente, para que essa tarefa seja cumprida com mais competência e com mais justiça, os autores se darão por satisfeitos.</w:t>
      </w:r>
    </w:p>
    <w:p w14:paraId="46BACEEA" w14:textId="77777777" w:rsidR="005A5FCC" w:rsidRDefault="00A21C81">
      <w:pPr>
        <w:spacing w:after="48" w:line="240" w:lineRule="auto"/>
        <w:ind w:left="272" w:hanging="272"/>
        <w:jc w:val="left"/>
      </w:pPr>
      <w:r>
        <w:rPr>
          <w:rFonts w:cs="EB Garamond"/>
          <w:kern w:val="16"/>
          <w:sz w:val="18"/>
          <w14:ligatures w14:val="standardContextual"/>
        </w:rPr>
        <w:t>O envelhecimento acelerado da população brasileira — projeções do IBGE indicam que, até 2060, cerca de um quarto da população terá mais de 65 anos — pressionará o RGPS de forma crescente. O equilíbrio financeiro e atuarial do sistema (art. 201, caput, CF/88) é um imperativo constitucional, mas sua concretização não pode servir de pretexto para a erosão dos direitos dos segurados que preencheram os requisitos legais para a obtenção de benefícios. A tensão entre sustentabilidade fiscal e proteção social é o fio condutor dos debates previdenciários das próximas décadas, e o Judiciário — em particular os JEFs — será chamado a arbitrar, caso a caso, os limites dessa tensão.</w:t>
      </w:r>
    </w:p>
    <w:p w14:paraId="07A0CF50" w14:textId="77777777" w:rsidR="005A5FCC" w:rsidRDefault="00A21C81">
      <w:pPr>
        <w:spacing w:after="48" w:line="240" w:lineRule="auto"/>
        <w:ind w:left="272" w:hanging="272"/>
        <w:jc w:val="left"/>
      </w:pPr>
      <w:r>
        <w:rPr>
          <w:rFonts w:cs="EB Garamond"/>
          <w:kern w:val="16"/>
          <w:sz w:val="18"/>
          <w14:ligatures w14:val="standardContextual"/>
        </w:rPr>
        <w:t>O impacto da inteligência artificial na perícia médica previdenciária é tendência que já se materializa. O sistema Atestmed, que dispensa a perícia presencial em determinados casos mediante análise documental, é um primeiro passo na direção da automação de decisões administrativas sobre incapacidade. A utilização de algoritmos preditivos para a triagem de requerimentos, a análise automatizada de laudos médicos e a detecção de inconsistências no CNIS são aplicações que o INSS já explora ou pretende explorar nos próximos anos. A nosso ver, a automação é bem-vinda quando amplia o acesso e a eficiência, mas impõe cautelas: a decisão sobre a incapacidade de um ser humano — com toda a sua complexidade biológica, psicológica e social — não pode ser reduzida a um algoritmo que desconhece o contexto de vida do segurado. O modelo biopsicossocial, que o próprio ordenamento adotou para o BPC, é incompatível com a padronização integral. O Judiciário terá papel central no controle da utilização de inteligência artificial pelo INSS, assegurando que a automação não sacrifique a individualização que o direito previdenciário exige.</w:t>
      </w:r>
    </w:p>
    <w:p w14:paraId="3F3DDD8B" w14:textId="77777777" w:rsidR="005A5FCC" w:rsidRDefault="00A21C81">
      <w:pPr>
        <w:spacing w:after="48" w:line="240" w:lineRule="auto"/>
        <w:ind w:left="272" w:hanging="272"/>
        <w:jc w:val="left"/>
      </w:pPr>
      <w:r>
        <w:rPr>
          <w:rFonts w:cs="EB Garamond"/>
          <w:kern w:val="16"/>
          <w:sz w:val="18"/>
          <w14:ligatures w14:val="standardContextual"/>
        </w:rPr>
        <w:t xml:space="preserve">O livro organizou-se em seis grandes blocos. O primeiro (Caps. 1 a 5) ocupou-se dos fundamentos: a seguridade social como sistema constitucional, os princípios que a informam, a filiação e a inscrição, a manutenção da qualidade de segurado e o papel do CNIS como elemento de prova. A compreensão desses alicerces é indispensável porque, na experiência dos JEFs, a maioria das controvérsias previdenciárias nasce de questões aparentemente elementares — a perda da qualidade de segurado por lapso de contribuição, a divergência entre os registros do CNIS e a realidade laboral, a configuração do período de graça em situações atípicas. Sustentamos, ao longo desses capítulos inaugurais, que o domínio dos </w:t>
      </w:r>
      <w:r>
        <w:rPr>
          <w:rFonts w:cs="EB Garamond"/>
          <w:kern w:val="16"/>
          <w:sz w:val="18"/>
          <w14:ligatures w14:val="standardContextual"/>
        </w:rPr>
        <w:lastRenderedPageBreak/>
        <w:t>conceitos básicos é o que distingue o profissional que apenas peticiona daquele que efetivamente tutela direitos.</w:t>
      </w:r>
    </w:p>
    <w:p w14:paraId="43690127" w14:textId="77777777" w:rsidR="005A5FCC" w:rsidRDefault="00A21C81">
      <w:pPr>
        <w:spacing w:after="48" w:line="240" w:lineRule="auto"/>
        <w:ind w:left="272" w:hanging="272"/>
        <w:jc w:val="left"/>
      </w:pPr>
      <w:r>
        <w:rPr>
          <w:rFonts w:cs="EB Garamond"/>
          <w:kern w:val="16"/>
          <w:sz w:val="18"/>
          <w14:ligatures w14:val="standardContextual"/>
        </w:rPr>
        <w:t>O quarto bloco (Caps. 14 a 18) examinou os benefícios aos dependentes e os benefícios assistenciais: auxílio-reclusão, pensão por morte, cálculo do salário de benefício e da renda mensal inicial, revisão de benefícios, acumulação de benefícios e o BPC/LOAS. São temas que conjugam direito material de alta densidade normativa com questões processuais específicas — a prova da união estável, a comprovação da miserabilidade, o cálculo do escalonamento na acumulação. A nosso ver, o tratamento da pensão por morte e do BPC exige do operador do direito não apenas conhecimento técnico, mas consciência de que, na outra ponta do processo, há famílias em situação de vulnerabilidade cuja subsistência depende do desfecho da demanda.</w:t>
      </w:r>
    </w:p>
    <w:p w14:paraId="2E5DFEF9" w14:textId="77777777" w:rsidR="005A5FCC" w:rsidRDefault="00A21C81">
      <w:pPr>
        <w:spacing w:after="48" w:line="240" w:lineRule="auto"/>
        <w:ind w:left="272" w:hanging="272"/>
        <w:jc w:val="left"/>
      </w:pPr>
      <w:r>
        <w:rPr>
          <w:rFonts w:cs="EB Garamond"/>
          <w:kern w:val="16"/>
          <w:sz w:val="18"/>
          <w14:ligatures w14:val="standardContextual"/>
        </w:rPr>
        <w:t>O quinto bloco (Caps. 19 a 21) abordou os temas transversais que permeiam toda a litigância previdenciária: a prescrição e a decadência — institutos cuja aplicação incorreta pode extinguir direitos legítimos ou manter indefinidamente situações que deveriam ser estabilizadas —, a coisa julgada previdenciária com suas particularidades (cláusula rebus sic stantibus, querela nullitatis, vedação de ação rescisória nos JEFs) e a interface entre o processo administrativo e o judicial.</w:t>
      </w:r>
    </w:p>
    <w:p w14:paraId="670B6D12" w14:textId="77777777" w:rsidR="005A5FCC" w:rsidRDefault="00A21C81">
      <w:pPr>
        <w:spacing w:after="48" w:line="240" w:lineRule="auto"/>
        <w:ind w:left="272" w:hanging="272"/>
        <w:jc w:val="left"/>
      </w:pPr>
      <w:r>
        <w:rPr>
          <w:rFonts w:cs="EB Garamond"/>
          <w:kern w:val="16"/>
          <w:sz w:val="18"/>
          <w14:ligatures w14:val="standardContextual"/>
        </w:rPr>
        <w:t>O segundo bloco (Caps. 6 a 8) tratou da incapacidade laboral em suas múltiplas dimensões: o auxílio por incapacidade temporária, a aposentadoria por incapacidade permanente e o auxílio-acidente. São os benefícios que mais demandam perícia médica nos JEFs e que, por isso, suscitam as questões probatórias mais complexas. A análise das condições pessoais do segurado — idade, escolaridade, experiência profissional, contexto socioeconômico — como fator de aferição da incapacidade real, e não meramente clínica, foi posição que adotamos com firmeza e que encontra amparo crescente na jurisprudência da TNU e dos TRFs.</w:t>
      </w:r>
    </w:p>
    <w:p w14:paraId="3C644AD8" w14:textId="77777777" w:rsidR="005A5FCC" w:rsidRDefault="00A21C81">
      <w:pPr>
        <w:spacing w:after="48" w:line="240" w:lineRule="auto"/>
        <w:ind w:left="272" w:hanging="272"/>
        <w:jc w:val="left"/>
      </w:pPr>
      <w:r>
        <w:rPr>
          <w:rFonts w:cs="EB Garamond"/>
          <w:kern w:val="16"/>
          <w:sz w:val="18"/>
          <w14:ligatures w14:val="standardContextual"/>
        </w:rPr>
        <w:t>O sexto e último bloco (Caps. 22 e 23) dedicou-se ao processo nos JEFs: o processo administrativo previdenciário, que constitui a antessala da judicialização, e a competência e o procedimento no JEF propriamente dito, que examinamos ao longo deste capítulo final. A opção por encerrar a obra com o processo judicial não foi acidental: acreditamos que a efetividade do direito previdenciário se mede, em última análise, pela capacidade do sistema judicial de entregar a prestação devida ao segurado em tempo razoável e com qualidade decisória.</w:t>
      </w:r>
    </w:p>
    <w:p w14:paraId="6E980B3F" w14:textId="77777777" w:rsidR="005A5FCC" w:rsidRDefault="00A21C81">
      <w:pPr>
        <w:spacing w:after="48" w:line="240" w:lineRule="auto"/>
        <w:ind w:left="272" w:hanging="272"/>
        <w:jc w:val="left"/>
      </w:pPr>
      <w:r>
        <w:rPr>
          <w:rFonts w:cs="EB Garamond"/>
          <w:kern w:val="16"/>
          <w:sz w:val="18"/>
          <w14:ligatures w14:val="standardContextual"/>
        </w:rPr>
        <w:t xml:space="preserve">O terceiro bloco (Caps. 9 a 13) dedicou-se às aposentadorias programadas e ao salário-maternidade: aposentadoria por idade (urbana e rural), aposentadoria por tempo de contribuição, aposentadoria especial, aposentadoria da pessoa com deficiência e salário-maternidade. As regras de transição introduzidas pela EC n. 103/2019 — pedágio, pontos, idade progressiva — constituem o terreno de maior complexidade operacional para o advogado previdenciarista e para o magistrado dos JEFs. Procuramos demonstrar, com exemplos numéricos e quadros comparativos, que a escolha da regra de transição mais vantajosa é tarefa que exige simulação caso a caso, e que o princípio do melhor benefício impõe ao </w:t>
      </w:r>
      <w:r>
        <w:rPr>
          <w:rFonts w:cs="EB Garamond"/>
          <w:kern w:val="16"/>
          <w:sz w:val="18"/>
          <w14:ligatures w14:val="standardContextual"/>
        </w:rPr>
        <w:lastRenderedPageBreak/>
        <w:t>INSS — e ao Judiciário — o dever de examinar todas as possibilidades antes de fixar a prestação.</w:t>
      </w:r>
    </w:p>
    <w:p w14:paraId="59F4545D" w14:textId="77777777" w:rsidR="005A5FCC" w:rsidRDefault="00A21C81">
      <w:pPr>
        <w:spacing w:after="48" w:line="240" w:lineRule="auto"/>
        <w:ind w:left="272" w:hanging="272"/>
        <w:jc w:val="left"/>
      </w:pPr>
      <w:r>
        <w:rPr>
          <w:rFonts w:cs="EB Garamond"/>
          <w:kern w:val="16"/>
          <w:sz w:val="18"/>
          <w14:ligatures w14:val="standardContextual"/>
        </w:rPr>
        <w:t>Os Juizados Especiais Federais são, como procuramos demonstrar ao longo desta obra, o espaço institucional por excelência de concretização dos direitos previdenciários no Brasil. A maior parte das demandas previdenciárias ajuizadas contra o INSS tramita nos JEFs — e não nas varas federais comuns —, e é ali que a Constituição se converte, ou deixa de se converter, em benefício mensal depositado na conta do segurado.</w:t>
      </w:r>
    </w:p>
    <w:p w14:paraId="0D5563F5" w14:textId="77777777" w:rsidR="005A5FCC" w:rsidRDefault="00A21C81">
      <w:pPr>
        <w:spacing w:after="48" w:line="240" w:lineRule="auto"/>
        <w:ind w:left="272" w:hanging="272"/>
        <w:jc w:val="left"/>
      </w:pPr>
      <w:r>
        <w:rPr>
          <w:rFonts w:cs="EB Garamond"/>
          <w:kern w:val="16"/>
          <w:sz w:val="18"/>
          <w14:ligatures w14:val="standardContextual"/>
        </w:rPr>
        <w:t xml:space="preserve">PENALVA, Janaína; DINIZ, Débora; MEDEIROS, Marcelo. O Benefício de Prestação Continuada no Supremo Tribunal Federal. </w:t>
      </w:r>
      <w:r>
        <w:rPr>
          <w:rFonts w:cs="EB Garamond"/>
          <w:i/>
          <w:kern w:val="16"/>
          <w:sz w:val="18"/>
          <w14:ligatures w14:val="standardContextual"/>
        </w:rPr>
        <w:t>Sociedade e Estado</w:t>
      </w:r>
      <w:r>
        <w:rPr>
          <w:rFonts w:cs="EB Garamond"/>
          <w:kern w:val="16"/>
          <w:sz w:val="18"/>
          <w14:ligatures w14:val="standardContextual"/>
        </w:rPr>
        <w:t>, Brasília, v. 25, n. 1, p. 53-70, jan./abr. 2010.</w:t>
      </w:r>
    </w:p>
    <w:p w14:paraId="1FE85E43" w14:textId="77777777" w:rsidR="005A5FCC" w:rsidRDefault="00A21C81">
      <w:pPr>
        <w:spacing w:after="48" w:line="240" w:lineRule="auto"/>
        <w:ind w:left="272" w:hanging="272"/>
        <w:jc w:val="left"/>
      </w:pPr>
      <w:r>
        <w:rPr>
          <w:rFonts w:cs="EB Garamond"/>
          <w:kern w:val="16"/>
          <w:sz w:val="18"/>
          <w14:ligatures w14:val="standardContextual"/>
        </w:rPr>
        <w:t xml:space="preserve">PORTO, Luiz Guilherme Moreira. </w:t>
      </w:r>
      <w:r>
        <w:rPr>
          <w:rFonts w:cs="EB Garamond"/>
          <w:i/>
          <w:kern w:val="16"/>
          <w:sz w:val="18"/>
          <w14:ligatures w14:val="standardContextual"/>
        </w:rPr>
        <w:t>Direito da Seguridade Social</w:t>
      </w:r>
      <w:r>
        <w:rPr>
          <w:rFonts w:cs="EB Garamond"/>
          <w:kern w:val="16"/>
          <w:sz w:val="18"/>
          <w14:ligatures w14:val="standardContextual"/>
        </w:rPr>
        <w:t>. 3. ed. São Paulo: Saraiva, 2024.</w:t>
      </w:r>
    </w:p>
    <w:p w14:paraId="3074E2EB" w14:textId="77777777" w:rsidR="005A5FCC" w:rsidRDefault="00A21C81">
      <w:pPr>
        <w:spacing w:after="48" w:line="240" w:lineRule="auto"/>
        <w:ind w:left="272" w:hanging="272"/>
        <w:jc w:val="left"/>
      </w:pPr>
      <w:r>
        <w:rPr>
          <w:rFonts w:cs="EB Garamond"/>
          <w:kern w:val="16"/>
          <w:sz w:val="18"/>
          <w14:ligatures w14:val="standardContextual"/>
        </w:rPr>
        <w:t xml:space="preserve">PORTO, Rafael Duarte de Oliveira. </w:t>
      </w:r>
      <w:r>
        <w:rPr>
          <w:rFonts w:cs="EB Garamond"/>
          <w:b/>
          <w:kern w:val="16"/>
          <w:sz w:val="18"/>
          <w14:ligatures w14:val="standardContextual"/>
        </w:rPr>
        <w:t>Manual de Direito Previdenciário</w:t>
      </w:r>
      <w:r>
        <w:rPr>
          <w:rFonts w:cs="EB Garamond"/>
          <w:kern w:val="16"/>
          <w:sz w:val="18"/>
          <w14:ligatures w14:val="standardContextual"/>
        </w:rPr>
        <w:t>. 2. ed. São Paulo: Editora JusPodivm, 2024.</w:t>
      </w:r>
    </w:p>
    <w:p w14:paraId="0F321C27" w14:textId="77777777" w:rsidR="005A5FCC" w:rsidRDefault="00A21C81">
      <w:pPr>
        <w:spacing w:after="48" w:line="240" w:lineRule="auto"/>
        <w:ind w:left="272" w:hanging="272"/>
        <w:jc w:val="left"/>
      </w:pPr>
      <w:r>
        <w:rPr>
          <w:rFonts w:cs="EB Garamond"/>
          <w:kern w:val="16"/>
          <w:sz w:val="18"/>
          <w14:ligatures w14:val="standardContextual"/>
        </w:rPr>
        <w:t xml:space="preserve">PORTO, Rafael Duarte de Oliveira. </w:t>
      </w:r>
      <w:r>
        <w:rPr>
          <w:rFonts w:cs="EB Garamond"/>
          <w:b/>
          <w:kern w:val="16"/>
          <w:sz w:val="18"/>
          <w14:ligatures w14:val="standardContextual"/>
        </w:rPr>
        <w:t>Manual de Direito Previdenciário</w:t>
      </w:r>
      <w:r>
        <w:rPr>
          <w:rFonts w:cs="EB Garamond"/>
          <w:kern w:val="16"/>
          <w:sz w:val="18"/>
          <w14:ligatures w14:val="standardContextual"/>
        </w:rPr>
        <w:t>. 3. ed. São Paulo: Editora JusPodivm, 2025.</w:t>
      </w:r>
    </w:p>
    <w:p w14:paraId="106EC249" w14:textId="77777777" w:rsidR="005A5FCC" w:rsidRDefault="00A21C81">
      <w:pPr>
        <w:spacing w:after="48" w:line="240" w:lineRule="auto"/>
        <w:ind w:left="272" w:hanging="272"/>
        <w:jc w:val="left"/>
      </w:pPr>
      <w:r>
        <w:rPr>
          <w:rFonts w:cs="EB Garamond"/>
          <w:kern w:val="16"/>
          <w:sz w:val="18"/>
          <w14:ligatures w14:val="standardContextual"/>
        </w:rPr>
        <w:t xml:space="preserve">PORTO, Vanessa Aparecida Garcia. </w:t>
      </w:r>
      <w:r>
        <w:rPr>
          <w:rFonts w:cs="EB Garamond"/>
          <w:i/>
          <w:kern w:val="16"/>
          <w:sz w:val="18"/>
          <w14:ligatures w14:val="standardContextual"/>
        </w:rPr>
        <w:t>O Processo Previdenciário nos Juizados Especiais Federais</w:t>
      </w:r>
      <w:r>
        <w:rPr>
          <w:rFonts w:cs="EB Garamond"/>
          <w:kern w:val="16"/>
          <w:sz w:val="18"/>
          <w14:ligatures w14:val="standardContextual"/>
        </w:rPr>
        <w:t>. 2. ed. Curitiba: Alteridade, 2024.</w:t>
      </w:r>
    </w:p>
    <w:p w14:paraId="04203441" w14:textId="77777777" w:rsidR="005A5FCC" w:rsidRDefault="00A21C81">
      <w:pPr>
        <w:spacing w:after="48" w:line="240" w:lineRule="auto"/>
        <w:ind w:left="272" w:hanging="272"/>
        <w:jc w:val="left"/>
      </w:pPr>
      <w:r>
        <w:rPr>
          <w:rFonts w:cs="EB Garamond"/>
          <w:kern w:val="16"/>
          <w:sz w:val="18"/>
          <w14:ligatures w14:val="standardContextual"/>
        </w:rPr>
        <w:t xml:space="preserve">SANTOS, Marisa Ferreira dos. </w:t>
      </w:r>
      <w:r>
        <w:rPr>
          <w:rFonts w:cs="EB Garamond"/>
          <w:i/>
          <w:kern w:val="16"/>
          <w:sz w:val="18"/>
          <w14:ligatures w14:val="standardContextual"/>
        </w:rPr>
        <w:t>Direito Previdenciário Esquematizado</w:t>
      </w:r>
      <w:r>
        <w:rPr>
          <w:rFonts w:cs="EB Garamond"/>
          <w:kern w:val="16"/>
          <w:sz w:val="18"/>
          <w14:ligatures w14:val="standardContextual"/>
        </w:rPr>
        <w:t>. 15. ed. São Paulo: Saraiva, 2025.</w:t>
      </w:r>
    </w:p>
    <w:p w14:paraId="62814AE6" w14:textId="77777777" w:rsidR="005A5FCC" w:rsidRDefault="00A21C81">
      <w:pPr>
        <w:spacing w:after="48" w:line="240" w:lineRule="auto"/>
        <w:ind w:left="272" w:hanging="272"/>
        <w:jc w:val="left"/>
      </w:pPr>
      <w:r>
        <w:rPr>
          <w:rFonts w:cs="EB Garamond"/>
          <w:kern w:val="16"/>
          <w:sz w:val="18"/>
          <w14:ligatures w14:val="standardContextual"/>
        </w:rPr>
        <w:t xml:space="preserve">SANTOS, Marisa Ferreira dos; CALEJON, Celia. </w:t>
      </w:r>
      <w:r>
        <w:rPr>
          <w:rFonts w:cs="EB Garamond"/>
          <w:b/>
          <w:kern w:val="16"/>
          <w:sz w:val="18"/>
          <w14:ligatures w14:val="standardContextual"/>
        </w:rPr>
        <w:t>Direito Previdenciário Esquematizado.</w:t>
      </w:r>
      <w:r>
        <w:rPr>
          <w:rFonts w:cs="EB Garamond"/>
          <w:kern w:val="16"/>
          <w:sz w:val="18"/>
          <w14:ligatures w14:val="standardContextual"/>
        </w:rPr>
        <w:t xml:space="preserve"> 15. ed. São Paulo: Saraiva, 2025.</w:t>
      </w:r>
    </w:p>
    <w:p w14:paraId="1523369E" w14:textId="77777777" w:rsidR="005A5FCC" w:rsidRDefault="00A21C81">
      <w:pPr>
        <w:spacing w:after="48" w:line="240" w:lineRule="auto"/>
        <w:ind w:left="272" w:hanging="272"/>
        <w:jc w:val="left"/>
      </w:pPr>
      <w:r>
        <w:rPr>
          <w:rFonts w:cs="EB Garamond"/>
          <w:kern w:val="16"/>
          <w:sz w:val="18"/>
          <w14:ligatures w14:val="standardContextual"/>
        </w:rPr>
        <w:t xml:space="preserve">SANTOS, Marisa Ferreira dos; CALEJON, Celia. </w:t>
      </w:r>
      <w:r>
        <w:rPr>
          <w:rFonts w:cs="EB Garamond"/>
          <w:i/>
          <w:kern w:val="16"/>
          <w:sz w:val="18"/>
          <w14:ligatures w14:val="standardContextual"/>
        </w:rPr>
        <w:t>Direito Previdenciário Esquematizado</w:t>
      </w:r>
      <w:r>
        <w:rPr>
          <w:rFonts w:cs="EB Garamond"/>
          <w:kern w:val="16"/>
          <w:sz w:val="18"/>
          <w14:ligatures w14:val="standardContextual"/>
        </w:rPr>
        <w:t>. 16. ed. São Paulo: Saraiva, 2025.</w:t>
      </w:r>
    </w:p>
    <w:p w14:paraId="02F315CE" w14:textId="77777777" w:rsidR="005A5FCC" w:rsidRDefault="00A21C81">
      <w:pPr>
        <w:spacing w:after="48" w:line="240" w:lineRule="auto"/>
        <w:ind w:left="272" w:hanging="272"/>
        <w:jc w:val="left"/>
      </w:pPr>
      <w:r>
        <w:rPr>
          <w:rFonts w:cs="EB Garamond"/>
          <w:kern w:val="16"/>
          <w:sz w:val="18"/>
          <w14:ligatures w14:val="standardContextual"/>
        </w:rPr>
        <w:t xml:space="preserve">SANTOS, Marisa Ferreira dos; CALEJON, Rodrigo. </w:t>
      </w:r>
      <w:r>
        <w:rPr>
          <w:rFonts w:cs="EB Garamond"/>
          <w:b/>
          <w:kern w:val="16"/>
          <w:sz w:val="18"/>
          <w14:ligatures w14:val="standardContextual"/>
        </w:rPr>
        <w:t>Direito Previdenciário Esquematizado</w:t>
      </w:r>
      <w:r>
        <w:rPr>
          <w:rFonts w:cs="EB Garamond"/>
          <w:kern w:val="16"/>
          <w:sz w:val="18"/>
          <w14:ligatures w14:val="standardContextual"/>
        </w:rPr>
        <w:t>. 15. ed. São Paulo: SaraivaJur, 2025.</w:t>
      </w:r>
    </w:p>
    <w:p w14:paraId="42984179" w14:textId="77777777" w:rsidR="005A5FCC" w:rsidRDefault="00A21C81">
      <w:pPr>
        <w:spacing w:after="48" w:line="240" w:lineRule="auto"/>
        <w:ind w:left="272" w:hanging="272"/>
        <w:jc w:val="left"/>
      </w:pPr>
      <w:r>
        <w:rPr>
          <w:rFonts w:cs="EB Garamond"/>
          <w:kern w:val="16"/>
          <w:sz w:val="18"/>
          <w14:ligatures w14:val="standardContextual"/>
        </w:rPr>
        <w:t>SANTOS, Wanderley Guilherme dos. Cidadania e Justiça: A Política Social na Ordem Brasileira. 2. ed. Rio de Janeiro: Campus, 1987.</w:t>
      </w:r>
    </w:p>
    <w:p w14:paraId="66149D4B" w14:textId="77777777" w:rsidR="005A5FCC" w:rsidRDefault="00A21C81">
      <w:pPr>
        <w:spacing w:after="48" w:line="240" w:lineRule="auto"/>
        <w:ind w:left="272" w:hanging="272"/>
        <w:jc w:val="left"/>
      </w:pPr>
      <w:r>
        <w:rPr>
          <w:rFonts w:cs="EB Garamond"/>
          <w:kern w:val="16"/>
          <w:sz w:val="18"/>
          <w14:ligatures w14:val="standardContextual"/>
        </w:rPr>
        <w:t xml:space="preserve">SAVARIS, José Antonio. </w:t>
      </w:r>
      <w:r>
        <w:rPr>
          <w:rFonts w:cs="EB Garamond"/>
          <w:b/>
          <w:kern w:val="16"/>
          <w:sz w:val="18"/>
          <w14:ligatures w14:val="standardContextual"/>
        </w:rPr>
        <w:t>Direito Previdenciário: Fundamentos de Interpretação e Aplicação</w:t>
      </w:r>
      <w:r>
        <w:rPr>
          <w:rFonts w:cs="EB Garamond"/>
          <w:kern w:val="16"/>
          <w:sz w:val="18"/>
          <w14:ligatures w14:val="standardContextual"/>
        </w:rPr>
        <w:t>. 2. ed. Curitiba: Alteridade, 2019.</w:t>
      </w:r>
    </w:p>
    <w:p w14:paraId="3FE32B06" w14:textId="77777777" w:rsidR="005A5FCC" w:rsidRDefault="00A21C81">
      <w:pPr>
        <w:spacing w:after="48" w:line="240" w:lineRule="auto"/>
        <w:ind w:left="272" w:hanging="272"/>
        <w:jc w:val="left"/>
      </w:pPr>
      <w:r>
        <w:rPr>
          <w:rFonts w:cs="EB Garamond"/>
          <w:kern w:val="16"/>
          <w:sz w:val="18"/>
          <w14:ligatures w14:val="standardContextual"/>
        </w:rPr>
        <w:t xml:space="preserve">SAVARIS, José Antonio. </w:t>
      </w:r>
      <w:r>
        <w:rPr>
          <w:rFonts w:cs="EB Garamond"/>
          <w:b/>
          <w:kern w:val="16"/>
          <w:sz w:val="18"/>
          <w14:ligatures w14:val="standardContextual"/>
        </w:rPr>
        <w:t>Direito Processual Previdenciário</w:t>
      </w:r>
      <w:r>
        <w:rPr>
          <w:rFonts w:cs="EB Garamond"/>
          <w:kern w:val="16"/>
          <w:sz w:val="18"/>
          <w14:ligatures w14:val="standardContextual"/>
        </w:rPr>
        <w:t>. 11. ed. Curitiba: Alteridade, 2023.</w:t>
      </w:r>
    </w:p>
    <w:p w14:paraId="08F66AC9" w14:textId="77777777" w:rsidR="005A5FCC" w:rsidRDefault="00A21C81">
      <w:pPr>
        <w:spacing w:after="48" w:line="240" w:lineRule="auto"/>
        <w:ind w:left="272" w:hanging="272"/>
        <w:jc w:val="left"/>
      </w:pPr>
      <w:r>
        <w:rPr>
          <w:rFonts w:cs="EB Garamond"/>
          <w:kern w:val="16"/>
          <w:sz w:val="18"/>
          <w14:ligatures w14:val="standardContextual"/>
        </w:rPr>
        <w:t xml:space="preserve">SAVARIS, José Antonio. </w:t>
      </w:r>
      <w:r>
        <w:rPr>
          <w:rFonts w:cs="EB Garamond"/>
          <w:i/>
          <w:kern w:val="16"/>
          <w:sz w:val="18"/>
          <w14:ligatures w14:val="standardContextual"/>
        </w:rPr>
        <w:t>Traços Elementares do Sistema de Seguridade Social Brasileiro</w:t>
      </w:r>
      <w:r>
        <w:rPr>
          <w:rFonts w:cs="EB Garamond"/>
          <w:kern w:val="16"/>
          <w:sz w:val="18"/>
          <w14:ligatures w14:val="standardContextual"/>
        </w:rPr>
        <w:t>. Curitiba: Alteridade, 2022.</w:t>
      </w:r>
    </w:p>
    <w:p w14:paraId="706B602E" w14:textId="77777777" w:rsidR="005A5FCC" w:rsidRDefault="00A21C81">
      <w:pPr>
        <w:spacing w:after="48" w:line="240" w:lineRule="auto"/>
        <w:ind w:left="272" w:hanging="272"/>
        <w:jc w:val="left"/>
      </w:pPr>
      <w:r>
        <w:rPr>
          <w:rFonts w:cs="EB Garamond"/>
          <w:kern w:val="16"/>
          <w:sz w:val="18"/>
          <w14:ligatures w14:val="standardContextual"/>
        </w:rPr>
        <w:t xml:space="preserve">SPOSATI, Aldaíza. </w:t>
      </w:r>
      <w:r>
        <w:rPr>
          <w:rFonts w:cs="EB Garamond"/>
          <w:i/>
          <w:kern w:val="16"/>
          <w:sz w:val="18"/>
          <w14:ligatures w14:val="standardContextual"/>
        </w:rPr>
        <w:t>Os direitos (dos desassistidos) sociais</w:t>
      </w:r>
      <w:r>
        <w:rPr>
          <w:rFonts w:cs="EB Garamond"/>
          <w:kern w:val="16"/>
          <w:sz w:val="18"/>
          <w14:ligatures w14:val="standardContextual"/>
        </w:rPr>
        <w:t>. 8. ed. São Paulo: Cortez, 2022.</w:t>
      </w:r>
    </w:p>
    <w:p w14:paraId="6255C9A2" w14:textId="77777777" w:rsidR="005A5FCC" w:rsidRDefault="00A21C81">
      <w:pPr>
        <w:spacing w:after="48" w:line="240" w:lineRule="auto"/>
        <w:ind w:left="272" w:hanging="272"/>
        <w:jc w:val="left"/>
      </w:pPr>
      <w:r>
        <w:rPr>
          <w:rFonts w:cs="EB Garamond"/>
          <w:kern w:val="16"/>
          <w:sz w:val="18"/>
          <w14:ligatures w14:val="standardContextual"/>
        </w:rPr>
        <w:t xml:space="preserve">TAVARES, Marcelo Leonardo. </w:t>
      </w:r>
      <w:r>
        <w:rPr>
          <w:rFonts w:cs="EB Garamond"/>
          <w:i/>
          <w:kern w:val="16"/>
          <w:sz w:val="18"/>
          <w14:ligatures w14:val="standardContextual"/>
        </w:rPr>
        <w:t>Direito Previdenciário: Regime Geral de Previdência Social e Regras Constitucionais dos Regimes Próprios de Previdência Social</w:t>
      </w:r>
      <w:r>
        <w:rPr>
          <w:rFonts w:cs="EB Garamond"/>
          <w:kern w:val="16"/>
          <w:sz w:val="18"/>
          <w14:ligatures w14:val="standardContextual"/>
        </w:rPr>
        <w:t>. 17. ed. Rio de Janeiro: Impetus, 2024.</w:t>
      </w:r>
    </w:p>
    <w:p w14:paraId="10252EAF" w14:textId="77777777" w:rsidR="005A5FCC" w:rsidRDefault="00A21C81">
      <w:pPr>
        <w:spacing w:after="48" w:line="240" w:lineRule="auto"/>
        <w:ind w:left="272" w:hanging="272"/>
        <w:jc w:val="left"/>
      </w:pPr>
      <w:r>
        <w:rPr>
          <w:rFonts w:cs="EB Garamond"/>
          <w:kern w:val="16"/>
          <w:sz w:val="18"/>
          <w14:ligatures w14:val="standardContextual"/>
        </w:rPr>
        <w:lastRenderedPageBreak/>
        <w:t xml:space="preserve">VIANNA, Cláudia Salles Vilela. </w:t>
      </w:r>
      <w:r>
        <w:rPr>
          <w:rFonts w:cs="EB Garamond"/>
          <w:b/>
          <w:kern w:val="16"/>
          <w:sz w:val="18"/>
          <w14:ligatures w14:val="standardContextual"/>
        </w:rPr>
        <w:t>Previdência Social: Custeio e Benefícios.</w:t>
      </w:r>
      <w:r>
        <w:rPr>
          <w:rFonts w:cs="EB Garamond"/>
          <w:kern w:val="16"/>
          <w:sz w:val="18"/>
          <w14:ligatures w14:val="standardContextual"/>
        </w:rPr>
        <w:t xml:space="preserve"> 6. ed. São Paulo: LTr, 2025.</w:t>
      </w:r>
    </w:p>
    <w:p w14:paraId="7D7CB973" w14:textId="77777777" w:rsidR="005A5FCC" w:rsidRDefault="00A21C81">
      <w:pPr>
        <w:spacing w:after="48" w:line="240" w:lineRule="auto"/>
        <w:ind w:left="272" w:hanging="272"/>
        <w:jc w:val="left"/>
      </w:pPr>
      <w:r>
        <w:rPr>
          <w:rFonts w:cs="EB Garamond"/>
          <w:kern w:val="16"/>
          <w:sz w:val="18"/>
          <w14:ligatures w14:val="standardContextual"/>
        </w:rPr>
        <w:t xml:space="preserve">VIEIRA, Marco André Ramos. </w:t>
      </w:r>
      <w:r>
        <w:rPr>
          <w:rFonts w:cs="EB Garamond"/>
          <w:i/>
          <w:kern w:val="16"/>
          <w:sz w:val="18"/>
          <w14:ligatures w14:val="standardContextual"/>
        </w:rPr>
        <w:t>Manual de Direito Previdenciário</w:t>
      </w:r>
      <w:r>
        <w:rPr>
          <w:rFonts w:cs="EB Garamond"/>
          <w:kern w:val="16"/>
          <w:sz w:val="18"/>
          <w14:ligatures w14:val="standardContextual"/>
        </w:rPr>
        <w:t>. 12. ed. Rio de Janeiro: Impetus, 2023.</w:t>
      </w:r>
    </w:p>
    <w:p w14:paraId="027D394F" w14:textId="77777777" w:rsidR="005A5FCC" w:rsidRDefault="005A5FCC">
      <w:pPr>
        <w:sectPr w:rsidR="005A5FCC">
          <w:headerReference w:type="even" r:id="rId228"/>
          <w:headerReference w:type="default" r:id="rId229"/>
          <w:footerReference w:type="even" r:id="rId230"/>
          <w:footerReference w:type="default" r:id="rId231"/>
          <w:headerReference w:type="first" r:id="rId232"/>
          <w:footerReference w:type="first" r:id="rId233"/>
          <w:type w:val="oddPage"/>
          <w:pgSz w:w="8391" w:h="11906"/>
          <w:pgMar w:top="935" w:right="879" w:bottom="964" w:left="1162" w:header="454" w:footer="425" w:gutter="0"/>
          <w:cols w:space="720"/>
          <w:titlePg/>
          <w:docGrid w:linePitch="360"/>
        </w:sectPr>
      </w:pPr>
    </w:p>
    <w:p w14:paraId="190C4DB7" w14:textId="77777777" w:rsidR="005A5FCC" w:rsidRDefault="00A21C81">
      <w:pPr>
        <w:spacing w:before="320" w:after="160" w:line="240" w:lineRule="auto"/>
        <w:jc w:val="center"/>
      </w:pPr>
      <w:r>
        <w:rPr>
          <w:rFonts w:cs="EB Garamond"/>
          <w:b/>
          <w:color w:val="2F2923"/>
          <w:kern w:val="16"/>
          <w:sz w:val="36"/>
          <w14:ligatures w14:val="standardContextual"/>
        </w:rPr>
        <w:lastRenderedPageBreak/>
        <w:t>ÍNDICE REMISSIVO</w:t>
      </w:r>
    </w:p>
    <w:p w14:paraId="080E19F0" w14:textId="77777777" w:rsidR="005A5FCC" w:rsidRDefault="00A21C81">
      <w:pPr>
        <w:spacing w:after="240" w:line="240" w:lineRule="auto"/>
        <w:jc w:val="center"/>
      </w:pPr>
      <w:r>
        <w:rPr>
          <w:rFonts w:cs="EB Garamond"/>
          <w:color w:val="B78B37"/>
          <w:kern w:val="16"/>
          <w:sz w:val="18"/>
          <w14:ligatures w14:val="standardContextual"/>
        </w:rPr>
        <w:t>◆</w:t>
      </w:r>
    </w:p>
    <w:p w14:paraId="2005B600" w14:textId="77777777" w:rsidR="005A5FCC" w:rsidRDefault="00A21C81">
      <w:pPr>
        <w:pBdr>
          <w:bottom w:val="single" w:sz="8" w:space="4" w:color="D7CDBB"/>
        </w:pBdr>
        <w:spacing w:before="240" w:after="80" w:line="240" w:lineRule="auto"/>
        <w:jc w:val="left"/>
      </w:pPr>
      <w:r>
        <w:rPr>
          <w:rFonts w:cs="EB Garamond"/>
          <w:b/>
          <w:color w:val="3A3128"/>
          <w:kern w:val="16"/>
          <w:sz w:val="24"/>
          <w14:ligatures w14:val="standardContextual"/>
        </w:rPr>
        <w:t>Legislação</w:t>
      </w:r>
    </w:p>
    <w:p w14:paraId="1623DF1E" w14:textId="77777777" w:rsidR="005A5FCC" w:rsidRDefault="00A21C81">
      <w:pPr>
        <w:spacing w:after="30" w:line="240" w:lineRule="auto"/>
        <w:jc w:val="left"/>
      </w:pPr>
      <w:r>
        <w:rPr>
          <w:rFonts w:cs="EB Garamond"/>
          <w:kern w:val="16"/>
          <w:sz w:val="18"/>
          <w14:ligatures w14:val="standardContextual"/>
        </w:rPr>
        <w:t>Decreto 10.188/2019</w:t>
      </w:r>
      <w:r>
        <w:rPr>
          <w:rFonts w:cs="EB Garamond"/>
          <w:color w:val="6B6256"/>
          <w:kern w:val="16"/>
          <w:sz w:val="18"/>
          <w14:ligatures w14:val="standardContextual"/>
        </w:rPr>
        <w:t xml:space="preserve">  Cap. 4, 5</w:t>
      </w:r>
    </w:p>
    <w:p w14:paraId="79332F74" w14:textId="77777777" w:rsidR="005A5FCC" w:rsidRDefault="00A21C81">
      <w:pPr>
        <w:spacing w:after="30" w:line="240" w:lineRule="auto"/>
        <w:jc w:val="left"/>
      </w:pPr>
      <w:r>
        <w:rPr>
          <w:rFonts w:cs="EB Garamond"/>
          <w:kern w:val="16"/>
          <w:sz w:val="18"/>
          <w14:ligatures w14:val="standardContextual"/>
        </w:rPr>
        <w:t>Decreto 10.410/2020</w:t>
      </w:r>
      <w:r>
        <w:rPr>
          <w:rFonts w:cs="EB Garamond"/>
          <w:color w:val="6B6256"/>
          <w:kern w:val="16"/>
          <w:sz w:val="18"/>
          <w14:ligatures w14:val="standardContextual"/>
        </w:rPr>
        <w:t xml:space="preserve">  Cap. 2, 3, 4, 5, 6, 7, 8, 9, 10, 19</w:t>
      </w:r>
    </w:p>
    <w:p w14:paraId="3BB05FC4" w14:textId="77777777" w:rsidR="005A5FCC" w:rsidRDefault="00A21C81">
      <w:pPr>
        <w:spacing w:after="30" w:line="240" w:lineRule="auto"/>
        <w:jc w:val="left"/>
      </w:pPr>
      <w:r>
        <w:rPr>
          <w:rFonts w:cs="EB Garamond"/>
          <w:kern w:val="16"/>
          <w:sz w:val="18"/>
          <w14:ligatures w14:val="standardContextual"/>
        </w:rPr>
        <w:t>Decreto 10.995/2022</w:t>
      </w:r>
      <w:r>
        <w:rPr>
          <w:rFonts w:cs="EB Garamond"/>
          <w:color w:val="6B6256"/>
          <w:kern w:val="16"/>
          <w:sz w:val="18"/>
          <w14:ligatures w14:val="standardContextual"/>
        </w:rPr>
        <w:t xml:space="preserve">  Cap. 22</w:t>
      </w:r>
    </w:p>
    <w:p w14:paraId="7856A7F5" w14:textId="77777777" w:rsidR="005A5FCC" w:rsidRDefault="00A21C81">
      <w:pPr>
        <w:spacing w:after="30" w:line="240" w:lineRule="auto"/>
        <w:jc w:val="left"/>
      </w:pPr>
      <w:r>
        <w:rPr>
          <w:rFonts w:cs="EB Garamond"/>
          <w:kern w:val="16"/>
          <w:sz w:val="18"/>
          <w14:ligatures w14:val="standardContextual"/>
        </w:rPr>
        <w:t>Decreto 11.016/2022</w:t>
      </w:r>
      <w:r>
        <w:rPr>
          <w:rFonts w:cs="EB Garamond"/>
          <w:color w:val="6B6256"/>
          <w:kern w:val="16"/>
          <w:sz w:val="18"/>
          <w14:ligatures w14:val="standardContextual"/>
        </w:rPr>
        <w:t xml:space="preserve">  Cap. 18</w:t>
      </w:r>
    </w:p>
    <w:p w14:paraId="2F766654" w14:textId="77777777" w:rsidR="005A5FCC" w:rsidRDefault="00A21C81">
      <w:pPr>
        <w:spacing w:after="30" w:line="240" w:lineRule="auto"/>
        <w:jc w:val="left"/>
      </w:pPr>
      <w:r>
        <w:rPr>
          <w:rFonts w:cs="EB Garamond"/>
          <w:kern w:val="16"/>
          <w:sz w:val="18"/>
          <w14:ligatures w14:val="standardContextual"/>
        </w:rPr>
        <w:t>Decreto 11.063/2022</w:t>
      </w:r>
      <w:r>
        <w:rPr>
          <w:rFonts w:cs="EB Garamond"/>
          <w:color w:val="6B6256"/>
          <w:kern w:val="16"/>
          <w:sz w:val="18"/>
          <w14:ligatures w14:val="standardContextual"/>
        </w:rPr>
        <w:t xml:space="preserve">  Cap. 6</w:t>
      </w:r>
    </w:p>
    <w:p w14:paraId="6C4075F6" w14:textId="77777777" w:rsidR="005A5FCC" w:rsidRDefault="00A21C81">
      <w:pPr>
        <w:spacing w:after="30" w:line="240" w:lineRule="auto"/>
        <w:jc w:val="left"/>
      </w:pPr>
      <w:r>
        <w:rPr>
          <w:rFonts w:cs="EB Garamond"/>
          <w:kern w:val="16"/>
          <w:sz w:val="18"/>
          <w14:ligatures w14:val="standardContextual"/>
        </w:rPr>
        <w:t>Decreto 11.898/2024</w:t>
      </w:r>
      <w:r>
        <w:rPr>
          <w:rFonts w:cs="EB Garamond"/>
          <w:color w:val="6B6256"/>
          <w:kern w:val="16"/>
          <w:sz w:val="18"/>
          <w14:ligatures w14:val="standardContextual"/>
        </w:rPr>
        <w:t xml:space="preserve">  Cap. 18</w:t>
      </w:r>
    </w:p>
    <w:p w14:paraId="7FFA4936" w14:textId="77777777" w:rsidR="005A5FCC" w:rsidRDefault="00A21C81">
      <w:pPr>
        <w:spacing w:after="30" w:line="240" w:lineRule="auto"/>
        <w:jc w:val="left"/>
      </w:pPr>
      <w:r>
        <w:rPr>
          <w:rFonts w:cs="EB Garamond"/>
          <w:kern w:val="16"/>
          <w:sz w:val="18"/>
          <w14:ligatures w14:val="standardContextual"/>
        </w:rPr>
        <w:t>Decreto 12.534/2025</w:t>
      </w:r>
      <w:r>
        <w:rPr>
          <w:rFonts w:cs="EB Garamond"/>
          <w:color w:val="6B6256"/>
          <w:kern w:val="16"/>
          <w:sz w:val="18"/>
          <w14:ligatures w14:val="standardContextual"/>
        </w:rPr>
        <w:t xml:space="preserve">  Cap. 18</w:t>
      </w:r>
    </w:p>
    <w:p w14:paraId="3FD79DB8" w14:textId="77777777" w:rsidR="005A5FCC" w:rsidRDefault="00A21C81">
      <w:pPr>
        <w:spacing w:after="30" w:line="240" w:lineRule="auto"/>
        <w:jc w:val="left"/>
      </w:pPr>
      <w:r>
        <w:rPr>
          <w:rFonts w:cs="EB Garamond"/>
          <w:kern w:val="16"/>
          <w:sz w:val="18"/>
          <w14:ligatures w14:val="standardContextual"/>
        </w:rPr>
        <w:t>Decreto 12.686/2025</w:t>
      </w:r>
      <w:r>
        <w:rPr>
          <w:rFonts w:cs="EB Garamond"/>
          <w:color w:val="6B6256"/>
          <w:kern w:val="16"/>
          <w:sz w:val="18"/>
          <w14:ligatures w14:val="standardContextual"/>
        </w:rPr>
        <w:t xml:space="preserve">  Cap. 18</w:t>
      </w:r>
    </w:p>
    <w:p w14:paraId="4DCA747C" w14:textId="77777777" w:rsidR="005A5FCC" w:rsidRDefault="00A21C81">
      <w:pPr>
        <w:spacing w:after="30" w:line="240" w:lineRule="auto"/>
        <w:jc w:val="left"/>
      </w:pPr>
      <w:r>
        <w:rPr>
          <w:rFonts w:cs="EB Garamond"/>
          <w:kern w:val="16"/>
          <w:sz w:val="18"/>
          <w14:ligatures w14:val="standardContextual"/>
        </w:rPr>
        <w:t>Decreto 12.797/2025</w:t>
      </w:r>
      <w:r>
        <w:rPr>
          <w:rFonts w:cs="EB Garamond"/>
          <w:color w:val="6B6256"/>
          <w:kern w:val="16"/>
          <w:sz w:val="18"/>
          <w14:ligatures w14:val="standardContextual"/>
        </w:rPr>
        <w:t xml:space="preserve">  Cap. 16</w:t>
      </w:r>
    </w:p>
    <w:p w14:paraId="6AE38E50" w14:textId="77777777" w:rsidR="005A5FCC" w:rsidRDefault="00A21C81">
      <w:pPr>
        <w:spacing w:after="30" w:line="240" w:lineRule="auto"/>
        <w:jc w:val="left"/>
      </w:pPr>
      <w:r>
        <w:rPr>
          <w:rFonts w:cs="EB Garamond"/>
          <w:kern w:val="16"/>
          <w:sz w:val="18"/>
          <w14:ligatures w14:val="standardContextual"/>
        </w:rPr>
        <w:t>Decreto 2.172/1997</w:t>
      </w:r>
      <w:r>
        <w:rPr>
          <w:rFonts w:cs="EB Garamond"/>
          <w:color w:val="6B6256"/>
          <w:kern w:val="16"/>
          <w:sz w:val="18"/>
          <w14:ligatures w14:val="standardContextual"/>
        </w:rPr>
        <w:t xml:space="preserve">  Cap. 5, 8</w:t>
      </w:r>
    </w:p>
    <w:p w14:paraId="36D78807" w14:textId="77777777" w:rsidR="005A5FCC" w:rsidRDefault="00A21C81">
      <w:pPr>
        <w:spacing w:after="30" w:line="240" w:lineRule="auto"/>
        <w:jc w:val="left"/>
      </w:pPr>
      <w:r>
        <w:rPr>
          <w:rFonts w:cs="EB Garamond"/>
          <w:kern w:val="16"/>
          <w:sz w:val="18"/>
          <w14:ligatures w14:val="standardContextual"/>
        </w:rPr>
        <w:t>Decreto 20.910/1932</w:t>
      </w:r>
      <w:r>
        <w:rPr>
          <w:rFonts w:cs="EB Garamond"/>
          <w:color w:val="6B6256"/>
          <w:kern w:val="16"/>
          <w:sz w:val="18"/>
          <w14:ligatures w14:val="standardContextual"/>
        </w:rPr>
        <w:t xml:space="preserve">  Cap. 21</w:t>
      </w:r>
    </w:p>
    <w:p w14:paraId="058A3CDA" w14:textId="77777777" w:rsidR="005A5FCC" w:rsidRDefault="00A21C81">
      <w:pPr>
        <w:spacing w:after="30" w:line="240" w:lineRule="auto"/>
        <w:jc w:val="left"/>
      </w:pPr>
      <w:r>
        <w:rPr>
          <w:rFonts w:cs="EB Garamond"/>
          <w:kern w:val="16"/>
          <w:sz w:val="18"/>
          <w14:ligatures w14:val="standardContextual"/>
        </w:rPr>
        <w:t>Decreto 3.048/1999</w:t>
      </w:r>
      <w:r>
        <w:rPr>
          <w:rFonts w:cs="EB Garamond"/>
          <w:color w:val="6B6256"/>
          <w:kern w:val="16"/>
          <w:sz w:val="18"/>
          <w14:ligatures w14:val="standardContextual"/>
        </w:rPr>
        <w:t xml:space="preserve">  Cap. 2, 3, 4, 5, 6, 7, 8, 9, 10, 11, 12, 13, 14, 15, 20, 22</w:t>
      </w:r>
    </w:p>
    <w:p w14:paraId="234D358A" w14:textId="77777777" w:rsidR="005A5FCC" w:rsidRDefault="00A21C81">
      <w:pPr>
        <w:spacing w:after="30" w:line="240" w:lineRule="auto"/>
        <w:jc w:val="left"/>
      </w:pPr>
      <w:r>
        <w:rPr>
          <w:rFonts w:cs="EB Garamond"/>
          <w:kern w:val="16"/>
          <w:sz w:val="18"/>
          <w14:ligatures w14:val="standardContextual"/>
        </w:rPr>
        <w:t>Decreto 3.112/1999</w:t>
      </w:r>
      <w:r>
        <w:rPr>
          <w:rFonts w:cs="EB Garamond"/>
          <w:color w:val="6B6256"/>
          <w:kern w:val="16"/>
          <w:sz w:val="18"/>
          <w14:ligatures w14:val="standardContextual"/>
        </w:rPr>
        <w:t xml:space="preserve">  Cap. 4, 5</w:t>
      </w:r>
    </w:p>
    <w:p w14:paraId="640BA767" w14:textId="77777777" w:rsidR="005A5FCC" w:rsidRDefault="00A21C81">
      <w:pPr>
        <w:spacing w:after="30" w:line="240" w:lineRule="auto"/>
        <w:jc w:val="left"/>
      </w:pPr>
      <w:r>
        <w:rPr>
          <w:rFonts w:cs="EB Garamond"/>
          <w:kern w:val="16"/>
          <w:sz w:val="18"/>
          <w14:ligatures w14:val="standardContextual"/>
        </w:rPr>
        <w:t>Decreto 3.298/1999</w:t>
      </w:r>
      <w:r>
        <w:rPr>
          <w:rFonts w:cs="EB Garamond"/>
          <w:color w:val="6B6256"/>
          <w:kern w:val="16"/>
          <w:sz w:val="18"/>
          <w14:ligatures w14:val="standardContextual"/>
        </w:rPr>
        <w:t xml:space="preserve">  Cap. 12</w:t>
      </w:r>
    </w:p>
    <w:p w14:paraId="2E220411" w14:textId="77777777" w:rsidR="005A5FCC" w:rsidRDefault="00A21C81">
      <w:pPr>
        <w:spacing w:after="30" w:line="240" w:lineRule="auto"/>
        <w:jc w:val="left"/>
      </w:pPr>
      <w:r>
        <w:rPr>
          <w:rFonts w:cs="EB Garamond"/>
          <w:kern w:val="16"/>
          <w:sz w:val="18"/>
          <w14:ligatures w14:val="standardContextual"/>
        </w:rPr>
        <w:t>Decreto 4.882/2003</w:t>
      </w:r>
      <w:r>
        <w:rPr>
          <w:rFonts w:cs="EB Garamond"/>
          <w:color w:val="6B6256"/>
          <w:kern w:val="16"/>
          <w:sz w:val="18"/>
          <w14:ligatures w14:val="standardContextual"/>
        </w:rPr>
        <w:t xml:space="preserve">  Cap. 8, 23</w:t>
      </w:r>
    </w:p>
    <w:p w14:paraId="6A02DE5C" w14:textId="77777777" w:rsidR="005A5FCC" w:rsidRDefault="00A21C81">
      <w:pPr>
        <w:spacing w:after="30" w:line="240" w:lineRule="auto"/>
        <w:jc w:val="left"/>
      </w:pPr>
      <w:r>
        <w:rPr>
          <w:rFonts w:cs="EB Garamond"/>
          <w:kern w:val="16"/>
          <w:sz w:val="18"/>
          <w14:ligatures w14:val="standardContextual"/>
        </w:rPr>
        <w:t>Decreto 5.296/2004</w:t>
      </w:r>
      <w:r>
        <w:rPr>
          <w:rFonts w:cs="EB Garamond"/>
          <w:color w:val="6B6256"/>
          <w:kern w:val="16"/>
          <w:sz w:val="18"/>
          <w14:ligatures w14:val="standardContextual"/>
        </w:rPr>
        <w:t xml:space="preserve">  Cap. 12</w:t>
      </w:r>
    </w:p>
    <w:p w14:paraId="0B1955A1" w14:textId="77777777" w:rsidR="005A5FCC" w:rsidRDefault="00A21C81">
      <w:pPr>
        <w:spacing w:after="30" w:line="240" w:lineRule="auto"/>
        <w:jc w:val="left"/>
      </w:pPr>
      <w:r>
        <w:rPr>
          <w:rFonts w:cs="EB Garamond"/>
          <w:kern w:val="16"/>
          <w:sz w:val="18"/>
          <w14:ligatures w14:val="standardContextual"/>
        </w:rPr>
        <w:t>Decreto 5.722/2006</w:t>
      </w:r>
      <w:r>
        <w:rPr>
          <w:rFonts w:cs="EB Garamond"/>
          <w:color w:val="6B6256"/>
          <w:kern w:val="16"/>
          <w:sz w:val="18"/>
          <w14:ligatures w14:val="standardContextual"/>
        </w:rPr>
        <w:t xml:space="preserve">  Cap. 5</w:t>
      </w:r>
    </w:p>
    <w:p w14:paraId="65F6ABAC" w14:textId="77777777" w:rsidR="005A5FCC" w:rsidRDefault="00A21C81">
      <w:pPr>
        <w:spacing w:after="30" w:line="240" w:lineRule="auto"/>
        <w:jc w:val="left"/>
      </w:pPr>
      <w:r>
        <w:rPr>
          <w:rFonts w:cs="EB Garamond"/>
          <w:kern w:val="16"/>
          <w:sz w:val="18"/>
          <w14:ligatures w14:val="standardContextual"/>
        </w:rPr>
        <w:t>Decreto 53.831/1964</w:t>
      </w:r>
      <w:r>
        <w:rPr>
          <w:rFonts w:cs="EB Garamond"/>
          <w:color w:val="6B6256"/>
          <w:kern w:val="16"/>
          <w:sz w:val="18"/>
          <w14:ligatures w14:val="standardContextual"/>
        </w:rPr>
        <w:t xml:space="preserve">  Cap. 8</w:t>
      </w:r>
    </w:p>
    <w:p w14:paraId="4324C970" w14:textId="77777777" w:rsidR="005A5FCC" w:rsidRDefault="00A21C81">
      <w:pPr>
        <w:spacing w:after="30" w:line="240" w:lineRule="auto"/>
        <w:jc w:val="left"/>
      </w:pPr>
      <w:r>
        <w:rPr>
          <w:rFonts w:cs="EB Garamond"/>
          <w:kern w:val="16"/>
          <w:sz w:val="18"/>
          <w14:ligatures w14:val="standardContextual"/>
        </w:rPr>
        <w:t>Decreto 6.042/2007</w:t>
      </w:r>
      <w:r>
        <w:rPr>
          <w:rFonts w:cs="EB Garamond"/>
          <w:color w:val="6B6256"/>
          <w:kern w:val="16"/>
          <w:sz w:val="18"/>
          <w14:ligatures w14:val="standardContextual"/>
        </w:rPr>
        <w:t xml:space="preserve">  Cap. 4, 6, 7</w:t>
      </w:r>
    </w:p>
    <w:p w14:paraId="7550B35D" w14:textId="77777777" w:rsidR="005A5FCC" w:rsidRDefault="00A21C81">
      <w:pPr>
        <w:spacing w:after="30" w:line="240" w:lineRule="auto"/>
        <w:jc w:val="left"/>
      </w:pPr>
      <w:r>
        <w:rPr>
          <w:rFonts w:cs="EB Garamond"/>
          <w:kern w:val="16"/>
          <w:sz w:val="18"/>
          <w14:ligatures w14:val="standardContextual"/>
        </w:rPr>
        <w:t>Decreto 6.214/2007</w:t>
      </w:r>
      <w:r>
        <w:rPr>
          <w:rFonts w:cs="EB Garamond"/>
          <w:color w:val="6B6256"/>
          <w:kern w:val="16"/>
          <w:sz w:val="18"/>
          <w14:ligatures w14:val="standardContextual"/>
        </w:rPr>
        <w:t xml:space="preserve">  Cap. 6, 18, 22</w:t>
      </w:r>
    </w:p>
    <w:p w14:paraId="33FDE348" w14:textId="77777777" w:rsidR="005A5FCC" w:rsidRDefault="00A21C81">
      <w:pPr>
        <w:spacing w:after="30" w:line="240" w:lineRule="auto"/>
        <w:jc w:val="left"/>
      </w:pPr>
      <w:r>
        <w:rPr>
          <w:rFonts w:cs="EB Garamond"/>
          <w:kern w:val="16"/>
          <w:sz w:val="18"/>
          <w14:ligatures w14:val="standardContextual"/>
        </w:rPr>
        <w:t>Decreto 6.481/2008</w:t>
      </w:r>
      <w:r>
        <w:rPr>
          <w:rFonts w:cs="EB Garamond"/>
          <w:color w:val="6B6256"/>
          <w:kern w:val="16"/>
          <w:sz w:val="18"/>
          <w14:ligatures w14:val="standardContextual"/>
        </w:rPr>
        <w:t xml:space="preserve">  Cap. 2</w:t>
      </w:r>
    </w:p>
    <w:p w14:paraId="2E051B99" w14:textId="77777777" w:rsidR="005A5FCC" w:rsidRDefault="00A21C81">
      <w:pPr>
        <w:spacing w:after="30" w:line="240" w:lineRule="auto"/>
        <w:jc w:val="left"/>
      </w:pPr>
      <w:r>
        <w:rPr>
          <w:rFonts w:cs="EB Garamond"/>
          <w:kern w:val="16"/>
          <w:sz w:val="18"/>
          <w14:ligatures w14:val="standardContextual"/>
        </w:rPr>
        <w:t>Decreto 6.949/2009</w:t>
      </w:r>
      <w:r>
        <w:rPr>
          <w:rFonts w:cs="EB Garamond"/>
          <w:color w:val="6B6256"/>
          <w:kern w:val="16"/>
          <w:sz w:val="18"/>
          <w14:ligatures w14:val="standardContextual"/>
        </w:rPr>
        <w:t xml:space="preserve">  Cap. 12, 18, 22</w:t>
      </w:r>
    </w:p>
    <w:p w14:paraId="15007947" w14:textId="77777777" w:rsidR="005A5FCC" w:rsidRDefault="00A21C81">
      <w:pPr>
        <w:spacing w:after="30" w:line="240" w:lineRule="auto"/>
        <w:jc w:val="left"/>
      </w:pPr>
      <w:r>
        <w:rPr>
          <w:rFonts w:cs="EB Garamond"/>
          <w:kern w:val="16"/>
          <w:sz w:val="18"/>
          <w14:ligatures w14:val="standardContextual"/>
        </w:rPr>
        <w:t>Decreto 6.957/2009</w:t>
      </w:r>
      <w:r>
        <w:rPr>
          <w:rFonts w:cs="EB Garamond"/>
          <w:color w:val="6B6256"/>
          <w:kern w:val="16"/>
          <w:sz w:val="18"/>
          <w14:ligatures w14:val="standardContextual"/>
        </w:rPr>
        <w:t xml:space="preserve">  Cap. 4</w:t>
      </w:r>
    </w:p>
    <w:p w14:paraId="4E395137" w14:textId="77777777" w:rsidR="005A5FCC" w:rsidRDefault="00A21C81">
      <w:pPr>
        <w:spacing w:after="30" w:line="240" w:lineRule="auto"/>
        <w:jc w:val="left"/>
      </w:pPr>
      <w:r>
        <w:rPr>
          <w:rFonts w:cs="EB Garamond"/>
          <w:kern w:val="16"/>
          <w:sz w:val="18"/>
          <w14:ligatures w14:val="standardContextual"/>
        </w:rPr>
        <w:t>Decreto 7.702/2012</w:t>
      </w:r>
      <w:r>
        <w:rPr>
          <w:rFonts w:cs="EB Garamond"/>
          <w:color w:val="6B6256"/>
          <w:kern w:val="16"/>
          <w:sz w:val="18"/>
          <w14:ligatures w14:val="standardContextual"/>
        </w:rPr>
        <w:t xml:space="preserve">  Cap. 5</w:t>
      </w:r>
    </w:p>
    <w:p w14:paraId="07ED7C35" w14:textId="77777777" w:rsidR="005A5FCC" w:rsidRDefault="00A21C81">
      <w:pPr>
        <w:spacing w:after="30" w:line="240" w:lineRule="auto"/>
        <w:jc w:val="left"/>
      </w:pPr>
      <w:r>
        <w:rPr>
          <w:rFonts w:cs="EB Garamond"/>
          <w:kern w:val="16"/>
          <w:sz w:val="18"/>
          <w14:ligatures w14:val="standardContextual"/>
        </w:rPr>
        <w:t>Decreto 71.885/1973</w:t>
      </w:r>
      <w:r>
        <w:rPr>
          <w:rFonts w:cs="EB Garamond"/>
          <w:color w:val="6B6256"/>
          <w:kern w:val="16"/>
          <w:sz w:val="18"/>
          <w14:ligatures w14:val="standardContextual"/>
        </w:rPr>
        <w:t xml:space="preserve">  Cap. 2</w:t>
      </w:r>
    </w:p>
    <w:p w14:paraId="3CC2ACD5" w14:textId="77777777" w:rsidR="005A5FCC" w:rsidRDefault="00A21C81">
      <w:pPr>
        <w:spacing w:after="30" w:line="240" w:lineRule="auto"/>
        <w:jc w:val="left"/>
      </w:pPr>
      <w:r>
        <w:rPr>
          <w:rFonts w:cs="EB Garamond"/>
          <w:kern w:val="16"/>
          <w:sz w:val="18"/>
          <w14:ligatures w14:val="standardContextual"/>
        </w:rPr>
        <w:t>Decreto 77.077/1976</w:t>
      </w:r>
      <w:r>
        <w:rPr>
          <w:rFonts w:cs="EB Garamond"/>
          <w:color w:val="6B6256"/>
          <w:kern w:val="16"/>
          <w:sz w:val="18"/>
          <w14:ligatures w14:val="standardContextual"/>
        </w:rPr>
        <w:t xml:space="preserve">  Cap. 14</w:t>
      </w:r>
    </w:p>
    <w:p w14:paraId="136D4E55" w14:textId="77777777" w:rsidR="005A5FCC" w:rsidRDefault="00A21C81">
      <w:pPr>
        <w:spacing w:after="30" w:line="240" w:lineRule="auto"/>
        <w:jc w:val="left"/>
      </w:pPr>
      <w:r>
        <w:rPr>
          <w:rFonts w:cs="EB Garamond"/>
          <w:kern w:val="16"/>
          <w:sz w:val="18"/>
          <w14:ligatures w14:val="standardContextual"/>
        </w:rPr>
        <w:t>Decreto 8.145/2013</w:t>
      </w:r>
      <w:r>
        <w:rPr>
          <w:rFonts w:cs="EB Garamond"/>
          <w:color w:val="6B6256"/>
          <w:kern w:val="16"/>
          <w:sz w:val="18"/>
          <w14:ligatures w14:val="standardContextual"/>
        </w:rPr>
        <w:t xml:space="preserve">  Cap. 10, 12</w:t>
      </w:r>
    </w:p>
    <w:p w14:paraId="6362DC62" w14:textId="77777777" w:rsidR="005A5FCC" w:rsidRDefault="00A21C81">
      <w:pPr>
        <w:spacing w:after="30" w:line="240" w:lineRule="auto"/>
        <w:jc w:val="left"/>
      </w:pPr>
      <w:r>
        <w:rPr>
          <w:rFonts w:cs="EB Garamond"/>
          <w:kern w:val="16"/>
          <w:sz w:val="18"/>
          <w14:ligatures w14:val="standardContextual"/>
        </w:rPr>
        <w:t>Decreto 83.080/1979</w:t>
      </w:r>
      <w:r>
        <w:rPr>
          <w:rFonts w:cs="EB Garamond"/>
          <w:color w:val="6B6256"/>
          <w:kern w:val="16"/>
          <w:sz w:val="18"/>
          <w14:ligatures w14:val="standardContextual"/>
        </w:rPr>
        <w:t xml:space="preserve">  Cap. 8</w:t>
      </w:r>
    </w:p>
    <w:p w14:paraId="62AD7CB5" w14:textId="77777777" w:rsidR="005A5FCC" w:rsidRDefault="00A21C81">
      <w:pPr>
        <w:spacing w:after="30" w:line="240" w:lineRule="auto"/>
        <w:jc w:val="left"/>
      </w:pPr>
      <w:r>
        <w:rPr>
          <w:rFonts w:cs="EB Garamond"/>
          <w:kern w:val="16"/>
          <w:sz w:val="18"/>
          <w14:ligatures w14:val="standardContextual"/>
        </w:rPr>
        <w:t>Decreto 89.312/1984</w:t>
      </w:r>
      <w:r>
        <w:rPr>
          <w:rFonts w:cs="EB Garamond"/>
          <w:color w:val="6B6256"/>
          <w:kern w:val="16"/>
          <w:sz w:val="18"/>
          <w14:ligatures w14:val="standardContextual"/>
        </w:rPr>
        <w:t xml:space="preserve">  Cap. 7, 14, 17</w:t>
      </w:r>
    </w:p>
    <w:p w14:paraId="3496152E" w14:textId="77777777" w:rsidR="005A5FCC" w:rsidRDefault="00A21C81">
      <w:pPr>
        <w:spacing w:after="30" w:line="240" w:lineRule="auto"/>
        <w:jc w:val="left"/>
      </w:pPr>
      <w:r>
        <w:rPr>
          <w:rFonts w:cs="EB Garamond"/>
          <w:kern w:val="16"/>
          <w:sz w:val="18"/>
          <w14:ligatures w14:val="standardContextual"/>
        </w:rPr>
        <w:t>Decreto 9.064/2017</w:t>
      </w:r>
      <w:r>
        <w:rPr>
          <w:rFonts w:cs="EB Garamond"/>
          <w:color w:val="6B6256"/>
          <w:kern w:val="16"/>
          <w:sz w:val="18"/>
          <w14:ligatures w14:val="standardContextual"/>
        </w:rPr>
        <w:t xml:space="preserve">  Cap. 9</w:t>
      </w:r>
    </w:p>
    <w:p w14:paraId="7CB74EFD" w14:textId="77777777" w:rsidR="005A5FCC" w:rsidRDefault="00A21C81">
      <w:pPr>
        <w:spacing w:after="30" w:line="240" w:lineRule="auto"/>
        <w:jc w:val="left"/>
      </w:pPr>
      <w:r>
        <w:rPr>
          <w:rFonts w:cs="EB Garamond"/>
          <w:kern w:val="16"/>
          <w:sz w:val="18"/>
          <w14:ligatures w14:val="standardContextual"/>
        </w:rPr>
        <w:lastRenderedPageBreak/>
        <w:t>Decreto 9.422/2018</w:t>
      </w:r>
      <w:r>
        <w:rPr>
          <w:rFonts w:cs="EB Garamond"/>
          <w:color w:val="6B6256"/>
          <w:kern w:val="16"/>
          <w:sz w:val="18"/>
          <w14:ligatures w14:val="standardContextual"/>
        </w:rPr>
        <w:t xml:space="preserve">  Cap. 5</w:t>
      </w:r>
    </w:p>
    <w:p w14:paraId="1F5E327A" w14:textId="77777777" w:rsidR="005A5FCC" w:rsidRDefault="00A21C81">
      <w:pPr>
        <w:spacing w:after="30" w:line="240" w:lineRule="auto"/>
        <w:jc w:val="left"/>
      </w:pPr>
      <w:r>
        <w:rPr>
          <w:rFonts w:cs="EB Garamond"/>
          <w:kern w:val="16"/>
          <w:sz w:val="18"/>
          <w14:ligatures w14:val="standardContextual"/>
        </w:rPr>
        <w:t>Decreto 99.350/1990</w:t>
      </w:r>
      <w:r>
        <w:rPr>
          <w:rFonts w:cs="EB Garamond"/>
          <w:color w:val="6B6256"/>
          <w:kern w:val="16"/>
          <w:sz w:val="18"/>
          <w14:ligatures w14:val="standardContextual"/>
        </w:rPr>
        <w:t xml:space="preserve">  Cap. 1</w:t>
      </w:r>
    </w:p>
    <w:p w14:paraId="7BC341D1" w14:textId="77777777" w:rsidR="005A5FCC" w:rsidRDefault="00A21C81">
      <w:pPr>
        <w:spacing w:after="30" w:line="240" w:lineRule="auto"/>
        <w:jc w:val="left"/>
      </w:pPr>
      <w:r>
        <w:rPr>
          <w:rFonts w:cs="EB Garamond"/>
          <w:kern w:val="16"/>
          <w:sz w:val="18"/>
          <w14:ligatures w14:val="standardContextual"/>
        </w:rPr>
        <w:t>Decreto-Lei 5.452/1943</w:t>
      </w:r>
      <w:r>
        <w:rPr>
          <w:rFonts w:cs="EB Garamond"/>
          <w:color w:val="6B6256"/>
          <w:kern w:val="16"/>
          <w:sz w:val="18"/>
          <w14:ligatures w14:val="standardContextual"/>
        </w:rPr>
        <w:t xml:space="preserve">  Cap. 4</w:t>
      </w:r>
    </w:p>
    <w:p w14:paraId="0CC0E46B" w14:textId="77777777" w:rsidR="005A5FCC" w:rsidRDefault="00A21C81">
      <w:pPr>
        <w:spacing w:after="30" w:line="240" w:lineRule="auto"/>
        <w:jc w:val="left"/>
      </w:pPr>
      <w:r>
        <w:rPr>
          <w:rFonts w:cs="EB Garamond"/>
          <w:kern w:val="16"/>
          <w:sz w:val="18"/>
          <w14:ligatures w14:val="standardContextual"/>
        </w:rPr>
        <w:t>EC 103</w:t>
      </w:r>
      <w:r>
        <w:rPr>
          <w:rFonts w:cs="EB Garamond"/>
          <w:color w:val="6B6256"/>
          <w:kern w:val="16"/>
          <w:sz w:val="18"/>
          <w14:ligatures w14:val="standardContextual"/>
        </w:rPr>
        <w:t xml:space="preserve">  Cap. 1, 6, 16, 17</w:t>
      </w:r>
    </w:p>
    <w:p w14:paraId="5F078927" w14:textId="77777777" w:rsidR="005A5FCC" w:rsidRDefault="00A21C81">
      <w:pPr>
        <w:spacing w:after="30" w:line="240" w:lineRule="auto"/>
        <w:jc w:val="left"/>
      </w:pPr>
      <w:r>
        <w:rPr>
          <w:rFonts w:cs="EB Garamond"/>
          <w:kern w:val="16"/>
          <w:sz w:val="18"/>
          <w14:ligatures w14:val="standardContextual"/>
        </w:rPr>
        <w:t>EC 103/2019</w:t>
      </w:r>
      <w:r>
        <w:rPr>
          <w:rFonts w:cs="EB Garamond"/>
          <w:color w:val="6B6256"/>
          <w:kern w:val="16"/>
          <w:sz w:val="18"/>
          <w14:ligatures w14:val="standardContextual"/>
        </w:rPr>
        <w:t xml:space="preserve">  Cap. 7, 8, 9, 10, 15, 20, 21</w:t>
      </w:r>
    </w:p>
    <w:p w14:paraId="3F25846B" w14:textId="77777777" w:rsidR="005A5FCC" w:rsidRDefault="00A21C81">
      <w:pPr>
        <w:spacing w:after="30" w:line="240" w:lineRule="auto"/>
        <w:jc w:val="left"/>
      </w:pPr>
      <w:r>
        <w:rPr>
          <w:rFonts w:cs="EB Garamond"/>
          <w:kern w:val="16"/>
          <w:sz w:val="18"/>
          <w14:ligatures w14:val="standardContextual"/>
        </w:rPr>
        <w:t>EC 113</w:t>
      </w:r>
      <w:r>
        <w:rPr>
          <w:rFonts w:cs="EB Garamond"/>
          <w:color w:val="6B6256"/>
          <w:kern w:val="16"/>
          <w:sz w:val="18"/>
          <w14:ligatures w14:val="standardContextual"/>
        </w:rPr>
        <w:t xml:space="preserve">  Cap. 16, 17</w:t>
      </w:r>
    </w:p>
    <w:p w14:paraId="1D55E240" w14:textId="77777777" w:rsidR="005A5FCC" w:rsidRDefault="00A21C81">
      <w:pPr>
        <w:spacing w:after="30" w:line="240" w:lineRule="auto"/>
        <w:jc w:val="left"/>
      </w:pPr>
      <w:r>
        <w:rPr>
          <w:rFonts w:cs="EB Garamond"/>
          <w:kern w:val="16"/>
          <w:sz w:val="18"/>
          <w14:ligatures w14:val="standardContextual"/>
        </w:rPr>
        <w:t>EC 132</w:t>
      </w:r>
      <w:r>
        <w:rPr>
          <w:rFonts w:cs="EB Garamond"/>
          <w:color w:val="6B6256"/>
          <w:kern w:val="16"/>
          <w:sz w:val="18"/>
          <w14:ligatures w14:val="standardContextual"/>
        </w:rPr>
        <w:t xml:space="preserve">  Cap. 1</w:t>
      </w:r>
    </w:p>
    <w:p w14:paraId="02D581E0" w14:textId="77777777" w:rsidR="005A5FCC" w:rsidRDefault="00A21C81">
      <w:pPr>
        <w:spacing w:after="30" w:line="240" w:lineRule="auto"/>
        <w:jc w:val="left"/>
      </w:pPr>
      <w:r>
        <w:rPr>
          <w:rFonts w:cs="EB Garamond"/>
          <w:kern w:val="16"/>
          <w:sz w:val="18"/>
          <w14:ligatures w14:val="standardContextual"/>
        </w:rPr>
        <w:t>EC 136</w:t>
      </w:r>
      <w:r>
        <w:rPr>
          <w:rFonts w:cs="EB Garamond"/>
          <w:color w:val="6B6256"/>
          <w:kern w:val="16"/>
          <w:sz w:val="18"/>
          <w14:ligatures w14:val="standardContextual"/>
        </w:rPr>
        <w:t xml:space="preserve">  Cap. 1, 17</w:t>
      </w:r>
    </w:p>
    <w:p w14:paraId="53E432EF" w14:textId="77777777" w:rsidR="005A5FCC" w:rsidRDefault="00A21C81">
      <w:pPr>
        <w:spacing w:after="30" w:line="240" w:lineRule="auto"/>
        <w:jc w:val="left"/>
      </w:pPr>
      <w:r>
        <w:rPr>
          <w:rFonts w:cs="EB Garamond"/>
          <w:kern w:val="16"/>
          <w:sz w:val="18"/>
          <w14:ligatures w14:val="standardContextual"/>
        </w:rPr>
        <w:t>EC 20</w:t>
      </w:r>
      <w:r>
        <w:rPr>
          <w:rFonts w:cs="EB Garamond"/>
          <w:color w:val="6B6256"/>
          <w:kern w:val="16"/>
          <w:sz w:val="18"/>
          <w14:ligatures w14:val="standardContextual"/>
        </w:rPr>
        <w:t xml:space="preserve">  Cap. 1, 15, 17</w:t>
      </w:r>
    </w:p>
    <w:p w14:paraId="7482DC61" w14:textId="77777777" w:rsidR="005A5FCC" w:rsidRDefault="00A21C81">
      <w:pPr>
        <w:spacing w:after="30" w:line="240" w:lineRule="auto"/>
        <w:jc w:val="left"/>
      </w:pPr>
      <w:r>
        <w:rPr>
          <w:rFonts w:cs="EB Garamond"/>
          <w:kern w:val="16"/>
          <w:sz w:val="18"/>
          <w14:ligatures w14:val="standardContextual"/>
        </w:rPr>
        <w:t>EC 20/1998</w:t>
      </w:r>
      <w:r>
        <w:rPr>
          <w:rFonts w:cs="EB Garamond"/>
          <w:color w:val="6B6256"/>
          <w:kern w:val="16"/>
          <w:sz w:val="18"/>
          <w14:ligatures w14:val="standardContextual"/>
        </w:rPr>
        <w:t xml:space="preserve">  Cap. 2, 16, 21</w:t>
      </w:r>
    </w:p>
    <w:p w14:paraId="5B4D791C" w14:textId="77777777" w:rsidR="005A5FCC" w:rsidRDefault="00A21C81">
      <w:pPr>
        <w:spacing w:after="30" w:line="240" w:lineRule="auto"/>
        <w:jc w:val="left"/>
      </w:pPr>
      <w:r>
        <w:rPr>
          <w:rFonts w:cs="EB Garamond"/>
          <w:kern w:val="16"/>
          <w:sz w:val="18"/>
          <w14:ligatures w14:val="standardContextual"/>
        </w:rPr>
        <w:t>EC 22/1999</w:t>
      </w:r>
      <w:r>
        <w:rPr>
          <w:rFonts w:cs="EB Garamond"/>
          <w:color w:val="6B6256"/>
          <w:kern w:val="16"/>
          <w:sz w:val="18"/>
          <w14:ligatures w14:val="standardContextual"/>
        </w:rPr>
        <w:t xml:space="preserve">  Cap. 23</w:t>
      </w:r>
    </w:p>
    <w:p w14:paraId="462C1B63" w14:textId="77777777" w:rsidR="005A5FCC" w:rsidRDefault="00A21C81">
      <w:pPr>
        <w:spacing w:after="30" w:line="240" w:lineRule="auto"/>
        <w:jc w:val="left"/>
      </w:pPr>
      <w:r>
        <w:rPr>
          <w:rFonts w:cs="EB Garamond"/>
          <w:kern w:val="16"/>
          <w:sz w:val="18"/>
          <w14:ligatures w14:val="standardContextual"/>
        </w:rPr>
        <w:t>EC 41</w:t>
      </w:r>
      <w:r>
        <w:rPr>
          <w:rFonts w:cs="EB Garamond"/>
          <w:color w:val="6B6256"/>
          <w:kern w:val="16"/>
          <w:sz w:val="18"/>
          <w14:ligatures w14:val="standardContextual"/>
        </w:rPr>
        <w:t xml:space="preserve">  Cap. 1, 16, 17</w:t>
      </w:r>
    </w:p>
    <w:p w14:paraId="2523743E" w14:textId="77777777" w:rsidR="005A5FCC" w:rsidRDefault="00A21C81">
      <w:pPr>
        <w:spacing w:after="30" w:line="240" w:lineRule="auto"/>
        <w:jc w:val="left"/>
      </w:pPr>
      <w:r>
        <w:rPr>
          <w:rFonts w:cs="EB Garamond"/>
          <w:kern w:val="16"/>
          <w:sz w:val="18"/>
          <w14:ligatures w14:val="standardContextual"/>
        </w:rPr>
        <w:t>EC 47</w:t>
      </w:r>
      <w:r>
        <w:rPr>
          <w:rFonts w:cs="EB Garamond"/>
          <w:color w:val="6B6256"/>
          <w:kern w:val="16"/>
          <w:sz w:val="18"/>
          <w14:ligatures w14:val="standardContextual"/>
        </w:rPr>
        <w:t xml:space="preserve">  Cap. 1</w:t>
      </w:r>
    </w:p>
    <w:p w14:paraId="5C2F28BE" w14:textId="77777777" w:rsidR="005A5FCC" w:rsidRDefault="00A21C81">
      <w:pPr>
        <w:spacing w:after="30" w:line="240" w:lineRule="auto"/>
        <w:jc w:val="left"/>
      </w:pPr>
      <w:r>
        <w:rPr>
          <w:rFonts w:cs="EB Garamond"/>
          <w:kern w:val="16"/>
          <w:sz w:val="18"/>
          <w14:ligatures w14:val="standardContextual"/>
        </w:rPr>
        <w:t>EC 72</w:t>
      </w:r>
      <w:r>
        <w:rPr>
          <w:rFonts w:cs="EB Garamond"/>
          <w:color w:val="6B6256"/>
          <w:kern w:val="16"/>
          <w:sz w:val="18"/>
          <w14:ligatures w14:val="standardContextual"/>
        </w:rPr>
        <w:t xml:space="preserve">  Cap. 2</w:t>
      </w:r>
    </w:p>
    <w:p w14:paraId="183AE009" w14:textId="77777777" w:rsidR="005A5FCC" w:rsidRDefault="00A21C81">
      <w:pPr>
        <w:spacing w:after="30" w:line="240" w:lineRule="auto"/>
        <w:jc w:val="left"/>
      </w:pPr>
      <w:r>
        <w:rPr>
          <w:rFonts w:cs="EB Garamond"/>
          <w:kern w:val="16"/>
          <w:sz w:val="18"/>
          <w14:ligatures w14:val="standardContextual"/>
        </w:rPr>
        <w:t>IN 128/2022</w:t>
      </w:r>
      <w:r>
        <w:rPr>
          <w:rFonts w:cs="EB Garamond"/>
          <w:color w:val="6B6256"/>
          <w:kern w:val="16"/>
          <w:sz w:val="18"/>
          <w14:ligatures w14:val="standardContextual"/>
        </w:rPr>
        <w:t xml:space="preserve">  Cap. 2</w:t>
      </w:r>
    </w:p>
    <w:p w14:paraId="25B17909" w14:textId="77777777" w:rsidR="005A5FCC" w:rsidRDefault="00A21C81">
      <w:pPr>
        <w:spacing w:after="30" w:line="240" w:lineRule="auto"/>
        <w:jc w:val="left"/>
      </w:pPr>
      <w:r>
        <w:rPr>
          <w:rFonts w:cs="EB Garamond"/>
          <w:kern w:val="16"/>
          <w:sz w:val="18"/>
          <w14:ligatures w14:val="standardContextual"/>
        </w:rPr>
        <w:t>IN 77/2015</w:t>
      </w:r>
      <w:r>
        <w:rPr>
          <w:rFonts w:cs="EB Garamond"/>
          <w:color w:val="6B6256"/>
          <w:kern w:val="16"/>
          <w:sz w:val="18"/>
          <w14:ligatures w14:val="standardContextual"/>
        </w:rPr>
        <w:t xml:space="preserve">  Cap. 13</w:t>
      </w:r>
    </w:p>
    <w:p w14:paraId="247D17DA" w14:textId="77777777" w:rsidR="005A5FCC" w:rsidRDefault="00A21C81">
      <w:pPr>
        <w:spacing w:after="30" w:line="240" w:lineRule="auto"/>
        <w:jc w:val="left"/>
      </w:pPr>
      <w:r>
        <w:rPr>
          <w:rFonts w:cs="EB Garamond"/>
          <w:kern w:val="16"/>
          <w:sz w:val="18"/>
          <w14:ligatures w14:val="standardContextual"/>
        </w:rPr>
        <w:t>LC 123/2006</w:t>
      </w:r>
      <w:r>
        <w:rPr>
          <w:rFonts w:cs="EB Garamond"/>
          <w:color w:val="6B6256"/>
          <w:kern w:val="16"/>
          <w:sz w:val="18"/>
          <w14:ligatures w14:val="standardContextual"/>
        </w:rPr>
        <w:t xml:space="preserve">  Cap. 2</w:t>
      </w:r>
    </w:p>
    <w:p w14:paraId="6E08C7E8" w14:textId="77777777" w:rsidR="005A5FCC" w:rsidRDefault="00A21C81">
      <w:pPr>
        <w:spacing w:after="30" w:line="240" w:lineRule="auto"/>
        <w:jc w:val="left"/>
      </w:pPr>
      <w:r>
        <w:rPr>
          <w:rFonts w:cs="EB Garamond"/>
          <w:kern w:val="16"/>
          <w:sz w:val="18"/>
          <w14:ligatures w14:val="standardContextual"/>
        </w:rPr>
        <w:t>LC 142/2013</w:t>
      </w:r>
      <w:r>
        <w:rPr>
          <w:rFonts w:cs="EB Garamond"/>
          <w:color w:val="6B6256"/>
          <w:kern w:val="16"/>
          <w:sz w:val="18"/>
          <w14:ligatures w14:val="standardContextual"/>
        </w:rPr>
        <w:t xml:space="preserve">  Cap. 8</w:t>
      </w:r>
    </w:p>
    <w:p w14:paraId="61E9F495" w14:textId="77777777" w:rsidR="005A5FCC" w:rsidRDefault="00A21C81">
      <w:pPr>
        <w:spacing w:after="30" w:line="240" w:lineRule="auto"/>
        <w:jc w:val="left"/>
      </w:pPr>
      <w:r>
        <w:rPr>
          <w:rFonts w:cs="EB Garamond"/>
          <w:kern w:val="16"/>
          <w:sz w:val="18"/>
          <w14:ligatures w14:val="standardContextual"/>
        </w:rPr>
        <w:t>LC 150/2015</w:t>
      </w:r>
      <w:r>
        <w:rPr>
          <w:rFonts w:cs="EB Garamond"/>
          <w:color w:val="6B6256"/>
          <w:kern w:val="16"/>
          <w:sz w:val="18"/>
          <w14:ligatures w14:val="standardContextual"/>
        </w:rPr>
        <w:t xml:space="preserve">  Cap. 15</w:t>
      </w:r>
    </w:p>
    <w:p w14:paraId="6758E825" w14:textId="77777777" w:rsidR="005A5FCC" w:rsidRDefault="00A21C81">
      <w:pPr>
        <w:spacing w:after="30" w:line="240" w:lineRule="auto"/>
        <w:jc w:val="left"/>
      </w:pPr>
      <w:r>
        <w:rPr>
          <w:rFonts w:cs="EB Garamond"/>
          <w:kern w:val="16"/>
          <w:sz w:val="18"/>
          <w14:ligatures w14:val="standardContextual"/>
        </w:rPr>
        <w:t>LC 73/1993</w:t>
      </w:r>
      <w:r>
        <w:rPr>
          <w:rFonts w:cs="EB Garamond"/>
          <w:color w:val="6B6256"/>
          <w:kern w:val="16"/>
          <w:sz w:val="18"/>
          <w14:ligatures w14:val="standardContextual"/>
        </w:rPr>
        <w:t xml:space="preserve">  Cap. 23</w:t>
      </w:r>
    </w:p>
    <w:p w14:paraId="58CEC27C" w14:textId="77777777" w:rsidR="005A5FCC" w:rsidRDefault="00A21C81">
      <w:pPr>
        <w:spacing w:after="30" w:line="240" w:lineRule="auto"/>
        <w:jc w:val="left"/>
      </w:pPr>
      <w:r>
        <w:rPr>
          <w:rFonts w:cs="EB Garamond"/>
          <w:kern w:val="16"/>
          <w:sz w:val="18"/>
          <w14:ligatures w14:val="standardContextual"/>
        </w:rPr>
        <w:t>Lei 10.101/2000</w:t>
      </w:r>
      <w:r>
        <w:rPr>
          <w:rFonts w:cs="EB Garamond"/>
          <w:color w:val="6B6256"/>
          <w:kern w:val="16"/>
          <w:sz w:val="18"/>
          <w14:ligatures w14:val="standardContextual"/>
        </w:rPr>
        <w:t xml:space="preserve">  Cap. 4</w:t>
      </w:r>
    </w:p>
    <w:p w14:paraId="0F07F03B" w14:textId="77777777" w:rsidR="005A5FCC" w:rsidRDefault="00A21C81">
      <w:pPr>
        <w:spacing w:after="30" w:line="240" w:lineRule="auto"/>
        <w:jc w:val="left"/>
      </w:pPr>
      <w:r>
        <w:rPr>
          <w:rFonts w:cs="EB Garamond"/>
          <w:kern w:val="16"/>
          <w:sz w:val="18"/>
          <w14:ligatures w14:val="standardContextual"/>
        </w:rPr>
        <w:t>Lei 10.243/2001</w:t>
      </w:r>
      <w:r>
        <w:rPr>
          <w:rFonts w:cs="EB Garamond"/>
          <w:color w:val="6B6256"/>
          <w:kern w:val="16"/>
          <w:sz w:val="18"/>
          <w14:ligatures w14:val="standardContextual"/>
        </w:rPr>
        <w:t xml:space="preserve">  Cap. 4</w:t>
      </w:r>
    </w:p>
    <w:p w14:paraId="3E97D177" w14:textId="77777777" w:rsidR="005A5FCC" w:rsidRDefault="00A21C81">
      <w:pPr>
        <w:spacing w:after="30" w:line="240" w:lineRule="auto"/>
        <w:jc w:val="left"/>
      </w:pPr>
      <w:r>
        <w:rPr>
          <w:rFonts w:cs="EB Garamond"/>
          <w:kern w:val="16"/>
          <w:sz w:val="18"/>
          <w14:ligatures w14:val="standardContextual"/>
        </w:rPr>
        <w:t>Lei 10.256/2001</w:t>
      </w:r>
      <w:r>
        <w:rPr>
          <w:rFonts w:cs="EB Garamond"/>
          <w:color w:val="6B6256"/>
          <w:kern w:val="16"/>
          <w:sz w:val="18"/>
          <w14:ligatures w14:val="standardContextual"/>
        </w:rPr>
        <w:t xml:space="preserve">  Cap. 4, 9</w:t>
      </w:r>
    </w:p>
    <w:p w14:paraId="614B8763" w14:textId="77777777" w:rsidR="005A5FCC" w:rsidRDefault="00A21C81">
      <w:pPr>
        <w:spacing w:after="30" w:line="240" w:lineRule="auto"/>
        <w:jc w:val="left"/>
      </w:pPr>
      <w:r>
        <w:rPr>
          <w:rFonts w:cs="EB Garamond"/>
          <w:kern w:val="16"/>
          <w:sz w:val="18"/>
          <w14:ligatures w14:val="standardContextual"/>
        </w:rPr>
        <w:t>Lei 10.259/2001</w:t>
      </w:r>
      <w:r>
        <w:rPr>
          <w:rFonts w:cs="EB Garamond"/>
          <w:color w:val="6B6256"/>
          <w:kern w:val="16"/>
          <w:sz w:val="18"/>
          <w14:ligatures w14:val="standardContextual"/>
        </w:rPr>
        <w:t xml:space="preserve">  Cap. 4, 5, 6, 7, 8, 9, 10, 11, 12, 13, 15, 17, 18, 19, 20, 21, 22, 23</w:t>
      </w:r>
    </w:p>
    <w:p w14:paraId="2995D3E8" w14:textId="77777777" w:rsidR="005A5FCC" w:rsidRDefault="00A21C81">
      <w:pPr>
        <w:spacing w:after="30" w:line="240" w:lineRule="auto"/>
        <w:jc w:val="left"/>
      </w:pPr>
      <w:r>
        <w:rPr>
          <w:rFonts w:cs="EB Garamond"/>
          <w:kern w:val="16"/>
          <w:sz w:val="18"/>
          <w14:ligatures w14:val="standardContextual"/>
        </w:rPr>
        <w:t>Lei 10.403/2002</w:t>
      </w:r>
      <w:r>
        <w:rPr>
          <w:rFonts w:cs="EB Garamond"/>
          <w:color w:val="6B6256"/>
          <w:kern w:val="16"/>
          <w:sz w:val="18"/>
          <w14:ligatures w14:val="standardContextual"/>
        </w:rPr>
        <w:t xml:space="preserve">  Cap. 2, 10, 22</w:t>
      </w:r>
    </w:p>
    <w:p w14:paraId="73EF372E" w14:textId="77777777" w:rsidR="005A5FCC" w:rsidRDefault="00A21C81">
      <w:pPr>
        <w:spacing w:after="30" w:line="240" w:lineRule="auto"/>
        <w:jc w:val="left"/>
      </w:pPr>
      <w:r>
        <w:rPr>
          <w:rFonts w:cs="EB Garamond"/>
          <w:kern w:val="16"/>
          <w:sz w:val="18"/>
          <w14:ligatures w14:val="standardContextual"/>
        </w:rPr>
        <w:t>Lei 10.421/2002</w:t>
      </w:r>
      <w:r>
        <w:rPr>
          <w:rFonts w:cs="EB Garamond"/>
          <w:color w:val="6B6256"/>
          <w:kern w:val="16"/>
          <w:sz w:val="18"/>
          <w14:ligatures w14:val="standardContextual"/>
        </w:rPr>
        <w:t xml:space="preserve">  Cap. 13</w:t>
      </w:r>
    </w:p>
    <w:p w14:paraId="3B24DFFD" w14:textId="77777777" w:rsidR="005A5FCC" w:rsidRDefault="00A21C81">
      <w:pPr>
        <w:spacing w:after="30" w:line="240" w:lineRule="auto"/>
        <w:jc w:val="left"/>
      </w:pPr>
      <w:r>
        <w:rPr>
          <w:rFonts w:cs="EB Garamond"/>
          <w:kern w:val="16"/>
          <w:sz w:val="18"/>
          <w14:ligatures w14:val="standardContextual"/>
        </w:rPr>
        <w:t>Lei 10.666/2003</w:t>
      </w:r>
      <w:r>
        <w:rPr>
          <w:rFonts w:cs="EB Garamond"/>
          <w:color w:val="6B6256"/>
          <w:kern w:val="16"/>
          <w:sz w:val="18"/>
          <w14:ligatures w14:val="standardContextual"/>
        </w:rPr>
        <w:t xml:space="preserve">  Cap. 3, 4, 7, 10, 14, 19</w:t>
      </w:r>
    </w:p>
    <w:p w14:paraId="10B1C58E" w14:textId="77777777" w:rsidR="005A5FCC" w:rsidRDefault="00A21C81">
      <w:pPr>
        <w:spacing w:after="30" w:line="240" w:lineRule="auto"/>
        <w:jc w:val="left"/>
      </w:pPr>
      <w:r>
        <w:rPr>
          <w:rFonts w:cs="EB Garamond"/>
          <w:kern w:val="16"/>
          <w:sz w:val="18"/>
          <w14:ligatures w14:val="standardContextual"/>
        </w:rPr>
        <w:t>Lei 10.710/2003</w:t>
      </w:r>
      <w:r>
        <w:rPr>
          <w:rFonts w:cs="EB Garamond"/>
          <w:color w:val="6B6256"/>
          <w:kern w:val="16"/>
          <w:sz w:val="18"/>
          <w14:ligatures w14:val="standardContextual"/>
        </w:rPr>
        <w:t xml:space="preserve">  Cap. 13</w:t>
      </w:r>
    </w:p>
    <w:p w14:paraId="0EF4877F" w14:textId="77777777" w:rsidR="005A5FCC" w:rsidRDefault="00A21C81">
      <w:pPr>
        <w:spacing w:after="30" w:line="240" w:lineRule="auto"/>
        <w:jc w:val="left"/>
      </w:pPr>
      <w:r>
        <w:rPr>
          <w:rFonts w:cs="EB Garamond"/>
          <w:kern w:val="16"/>
          <w:sz w:val="18"/>
          <w14:ligatures w14:val="standardContextual"/>
        </w:rPr>
        <w:t>Lei 10.735/2003</w:t>
      </w:r>
      <w:r>
        <w:rPr>
          <w:rFonts w:cs="EB Garamond"/>
          <w:color w:val="6B6256"/>
          <w:kern w:val="16"/>
          <w:sz w:val="18"/>
          <w14:ligatures w14:val="standardContextual"/>
        </w:rPr>
        <w:t xml:space="preserve">  Cap. 18</w:t>
      </w:r>
    </w:p>
    <w:p w14:paraId="55FEBB5F" w14:textId="77777777" w:rsidR="005A5FCC" w:rsidRDefault="00A21C81">
      <w:pPr>
        <w:spacing w:after="30" w:line="240" w:lineRule="auto"/>
        <w:jc w:val="left"/>
      </w:pPr>
      <w:r>
        <w:rPr>
          <w:rFonts w:cs="EB Garamond"/>
          <w:kern w:val="16"/>
          <w:sz w:val="18"/>
          <w14:ligatures w14:val="standardContextual"/>
        </w:rPr>
        <w:t>Lei 10.741/2003</w:t>
      </w:r>
      <w:r>
        <w:rPr>
          <w:rFonts w:cs="EB Garamond"/>
          <w:color w:val="6B6256"/>
          <w:kern w:val="16"/>
          <w:sz w:val="18"/>
          <w14:ligatures w14:val="standardContextual"/>
        </w:rPr>
        <w:t xml:space="preserve">  Cap. 10, 18</w:t>
      </w:r>
    </w:p>
    <w:p w14:paraId="28671A1C" w14:textId="77777777" w:rsidR="005A5FCC" w:rsidRDefault="00A21C81">
      <w:pPr>
        <w:spacing w:after="30" w:line="240" w:lineRule="auto"/>
        <w:jc w:val="left"/>
      </w:pPr>
      <w:r>
        <w:rPr>
          <w:rFonts w:cs="EB Garamond"/>
          <w:kern w:val="16"/>
          <w:sz w:val="18"/>
          <w14:ligatures w14:val="standardContextual"/>
        </w:rPr>
        <w:t>Lei 10.779/2003</w:t>
      </w:r>
      <w:r>
        <w:rPr>
          <w:rFonts w:cs="EB Garamond"/>
          <w:color w:val="6B6256"/>
          <w:kern w:val="16"/>
          <w:sz w:val="18"/>
          <w14:ligatures w14:val="standardContextual"/>
        </w:rPr>
        <w:t xml:space="preserve">  Cap. 9</w:t>
      </w:r>
    </w:p>
    <w:p w14:paraId="16615B8C" w14:textId="77777777" w:rsidR="005A5FCC" w:rsidRDefault="00A21C81">
      <w:pPr>
        <w:spacing w:after="30" w:line="240" w:lineRule="auto"/>
        <w:jc w:val="left"/>
      </w:pPr>
      <w:r>
        <w:rPr>
          <w:rFonts w:cs="EB Garamond"/>
          <w:kern w:val="16"/>
          <w:sz w:val="18"/>
          <w14:ligatures w14:val="standardContextual"/>
        </w:rPr>
        <w:t>Lei 10.839/2004</w:t>
      </w:r>
      <w:r>
        <w:rPr>
          <w:rFonts w:cs="EB Garamond"/>
          <w:color w:val="6B6256"/>
          <w:kern w:val="16"/>
          <w:sz w:val="18"/>
          <w14:ligatures w14:val="standardContextual"/>
        </w:rPr>
        <w:t xml:space="preserve">  Cap. 17, 21, 22</w:t>
      </w:r>
    </w:p>
    <w:p w14:paraId="3001C641" w14:textId="77777777" w:rsidR="005A5FCC" w:rsidRDefault="00A21C81">
      <w:pPr>
        <w:spacing w:after="30" w:line="240" w:lineRule="auto"/>
        <w:jc w:val="left"/>
      </w:pPr>
      <w:r>
        <w:rPr>
          <w:rFonts w:cs="EB Garamond"/>
          <w:kern w:val="16"/>
          <w:sz w:val="18"/>
          <w14:ligatures w14:val="standardContextual"/>
        </w:rPr>
        <w:t>Lei 10.876/2004</w:t>
      </w:r>
      <w:r>
        <w:rPr>
          <w:rFonts w:cs="EB Garamond"/>
          <w:color w:val="6B6256"/>
          <w:kern w:val="16"/>
          <w:sz w:val="18"/>
          <w14:ligatures w14:val="standardContextual"/>
        </w:rPr>
        <w:t xml:space="preserve">  Cap. 22</w:t>
      </w:r>
    </w:p>
    <w:p w14:paraId="4F1F6E86" w14:textId="77777777" w:rsidR="005A5FCC" w:rsidRDefault="00A21C81">
      <w:pPr>
        <w:spacing w:after="30" w:line="240" w:lineRule="auto"/>
        <w:jc w:val="left"/>
      </w:pPr>
      <w:r>
        <w:rPr>
          <w:rFonts w:cs="EB Garamond"/>
          <w:kern w:val="16"/>
          <w:sz w:val="18"/>
          <w14:ligatures w14:val="standardContextual"/>
        </w:rPr>
        <w:t>Lei 10.887/2004</w:t>
      </w:r>
      <w:r>
        <w:rPr>
          <w:rFonts w:cs="EB Garamond"/>
          <w:color w:val="6B6256"/>
          <w:kern w:val="16"/>
          <w:sz w:val="18"/>
          <w14:ligatures w14:val="standardContextual"/>
        </w:rPr>
        <w:t xml:space="preserve">  Cap. 2</w:t>
      </w:r>
    </w:p>
    <w:p w14:paraId="03DFEC64" w14:textId="77777777" w:rsidR="005A5FCC" w:rsidRDefault="00A21C81">
      <w:pPr>
        <w:spacing w:after="30" w:line="240" w:lineRule="auto"/>
        <w:jc w:val="left"/>
      </w:pPr>
      <w:r>
        <w:rPr>
          <w:rFonts w:cs="EB Garamond"/>
          <w:kern w:val="16"/>
          <w:sz w:val="18"/>
          <w14:ligatures w14:val="standardContextual"/>
        </w:rPr>
        <w:t>Lei 11.301/2006</w:t>
      </w:r>
      <w:r>
        <w:rPr>
          <w:rFonts w:cs="EB Garamond"/>
          <w:color w:val="6B6256"/>
          <w:kern w:val="16"/>
          <w:sz w:val="18"/>
          <w14:ligatures w14:val="standardContextual"/>
        </w:rPr>
        <w:t xml:space="preserve">  Cap. 11</w:t>
      </w:r>
    </w:p>
    <w:p w14:paraId="407C6669" w14:textId="77777777" w:rsidR="005A5FCC" w:rsidRDefault="00A21C81">
      <w:pPr>
        <w:spacing w:after="30" w:line="240" w:lineRule="auto"/>
        <w:jc w:val="left"/>
      </w:pPr>
      <w:r>
        <w:rPr>
          <w:rFonts w:cs="EB Garamond"/>
          <w:kern w:val="16"/>
          <w:sz w:val="18"/>
          <w14:ligatures w14:val="standardContextual"/>
        </w:rPr>
        <w:t>Lei 11.419/2006</w:t>
      </w:r>
      <w:r>
        <w:rPr>
          <w:rFonts w:cs="EB Garamond"/>
          <w:color w:val="6B6256"/>
          <w:kern w:val="16"/>
          <w:sz w:val="18"/>
          <w14:ligatures w14:val="standardContextual"/>
        </w:rPr>
        <w:t xml:space="preserve">  Cap. 23</w:t>
      </w:r>
    </w:p>
    <w:p w14:paraId="7F7198D1" w14:textId="77777777" w:rsidR="005A5FCC" w:rsidRDefault="00A21C81">
      <w:pPr>
        <w:spacing w:after="30" w:line="240" w:lineRule="auto"/>
        <w:jc w:val="left"/>
      </w:pPr>
      <w:r>
        <w:rPr>
          <w:rFonts w:cs="EB Garamond"/>
          <w:kern w:val="16"/>
          <w:sz w:val="18"/>
          <w14:ligatures w14:val="standardContextual"/>
        </w:rPr>
        <w:t>Lei 11.430/2006</w:t>
      </w:r>
      <w:r>
        <w:rPr>
          <w:rFonts w:cs="EB Garamond"/>
          <w:color w:val="6B6256"/>
          <w:kern w:val="16"/>
          <w:sz w:val="18"/>
          <w14:ligatures w14:val="standardContextual"/>
        </w:rPr>
        <w:t xml:space="preserve">  Cap. 1, 7, 16</w:t>
      </w:r>
    </w:p>
    <w:p w14:paraId="44007F7D" w14:textId="77777777" w:rsidR="005A5FCC" w:rsidRDefault="00A21C81">
      <w:pPr>
        <w:spacing w:after="30" w:line="240" w:lineRule="auto"/>
        <w:jc w:val="left"/>
      </w:pPr>
      <w:r>
        <w:rPr>
          <w:rFonts w:cs="EB Garamond"/>
          <w:kern w:val="16"/>
          <w:sz w:val="18"/>
          <w14:ligatures w14:val="standardContextual"/>
        </w:rPr>
        <w:lastRenderedPageBreak/>
        <w:t>Lei 11.457/2007</w:t>
      </w:r>
      <w:r>
        <w:rPr>
          <w:rFonts w:cs="EB Garamond"/>
          <w:color w:val="6B6256"/>
          <w:kern w:val="16"/>
          <w:sz w:val="18"/>
          <w14:ligatures w14:val="standardContextual"/>
        </w:rPr>
        <w:t xml:space="preserve">  Cap. 4</w:t>
      </w:r>
    </w:p>
    <w:p w14:paraId="6227B819" w14:textId="77777777" w:rsidR="005A5FCC" w:rsidRDefault="00A21C81">
      <w:pPr>
        <w:spacing w:after="30" w:line="240" w:lineRule="auto"/>
        <w:jc w:val="left"/>
      </w:pPr>
      <w:r>
        <w:rPr>
          <w:rFonts w:cs="EB Garamond"/>
          <w:kern w:val="16"/>
          <w:sz w:val="18"/>
          <w14:ligatures w14:val="standardContextual"/>
        </w:rPr>
        <w:t>Lei 11.718/2008</w:t>
      </w:r>
      <w:r>
        <w:rPr>
          <w:rFonts w:cs="EB Garamond"/>
          <w:color w:val="6B6256"/>
          <w:kern w:val="16"/>
          <w:sz w:val="18"/>
          <w14:ligatures w14:val="standardContextual"/>
        </w:rPr>
        <w:t xml:space="preserve">  Cap. 2, 5, 9, 10</w:t>
      </w:r>
    </w:p>
    <w:p w14:paraId="28CE812F" w14:textId="77777777" w:rsidR="005A5FCC" w:rsidRDefault="00A21C81">
      <w:pPr>
        <w:spacing w:after="30" w:line="240" w:lineRule="auto"/>
        <w:jc w:val="left"/>
      </w:pPr>
      <w:r>
        <w:rPr>
          <w:rFonts w:cs="EB Garamond"/>
          <w:kern w:val="16"/>
          <w:sz w:val="18"/>
          <w14:ligatures w14:val="standardContextual"/>
        </w:rPr>
        <w:t>Lei 11.770/2008</w:t>
      </w:r>
      <w:r>
        <w:rPr>
          <w:rFonts w:cs="EB Garamond"/>
          <w:color w:val="6B6256"/>
          <w:kern w:val="16"/>
          <w:sz w:val="18"/>
          <w14:ligatures w14:val="standardContextual"/>
        </w:rPr>
        <w:t xml:space="preserve">  Cap. 13</w:t>
      </w:r>
    </w:p>
    <w:p w14:paraId="153EA358" w14:textId="77777777" w:rsidR="005A5FCC" w:rsidRDefault="00A21C81">
      <w:pPr>
        <w:spacing w:after="30" w:line="240" w:lineRule="auto"/>
        <w:jc w:val="left"/>
      </w:pPr>
      <w:r>
        <w:rPr>
          <w:rFonts w:cs="EB Garamond"/>
          <w:kern w:val="16"/>
          <w:sz w:val="18"/>
          <w14:ligatures w14:val="standardContextual"/>
        </w:rPr>
        <w:t>Lei 11.788/2008</w:t>
      </w:r>
      <w:r>
        <w:rPr>
          <w:rFonts w:cs="EB Garamond"/>
          <w:color w:val="6B6256"/>
          <w:kern w:val="16"/>
          <w:sz w:val="18"/>
          <w14:ligatures w14:val="standardContextual"/>
        </w:rPr>
        <w:t xml:space="preserve">  Cap. 2, 4</w:t>
      </w:r>
    </w:p>
    <w:p w14:paraId="1F0D3472" w14:textId="77777777" w:rsidR="005A5FCC" w:rsidRDefault="00A21C81">
      <w:pPr>
        <w:spacing w:after="30" w:line="240" w:lineRule="auto"/>
        <w:jc w:val="left"/>
      </w:pPr>
      <w:r>
        <w:rPr>
          <w:rFonts w:cs="EB Garamond"/>
          <w:kern w:val="16"/>
          <w:sz w:val="18"/>
          <w14:ligatures w14:val="standardContextual"/>
        </w:rPr>
        <w:t>Lei 11.941/2009</w:t>
      </w:r>
      <w:r>
        <w:rPr>
          <w:rFonts w:cs="EB Garamond"/>
          <w:color w:val="6B6256"/>
          <w:kern w:val="16"/>
          <w:sz w:val="18"/>
          <w14:ligatures w14:val="standardContextual"/>
        </w:rPr>
        <w:t xml:space="preserve">  Cap. 4</w:t>
      </w:r>
    </w:p>
    <w:p w14:paraId="58A1CC35" w14:textId="77777777" w:rsidR="005A5FCC" w:rsidRDefault="00A21C81">
      <w:pPr>
        <w:spacing w:after="30" w:line="240" w:lineRule="auto"/>
        <w:jc w:val="left"/>
      </w:pPr>
      <w:r>
        <w:rPr>
          <w:rFonts w:cs="EB Garamond"/>
          <w:kern w:val="16"/>
          <w:sz w:val="18"/>
          <w14:ligatures w14:val="standardContextual"/>
        </w:rPr>
        <w:t>Lei 11.959/2009</w:t>
      </w:r>
      <w:r>
        <w:rPr>
          <w:rFonts w:cs="EB Garamond"/>
          <w:color w:val="6B6256"/>
          <w:kern w:val="16"/>
          <w:sz w:val="18"/>
          <w14:ligatures w14:val="standardContextual"/>
        </w:rPr>
        <w:t xml:space="preserve">  Cap. 9</w:t>
      </w:r>
    </w:p>
    <w:p w14:paraId="52240271" w14:textId="77777777" w:rsidR="005A5FCC" w:rsidRDefault="00A21C81">
      <w:pPr>
        <w:spacing w:after="30" w:line="240" w:lineRule="auto"/>
        <w:jc w:val="left"/>
      </w:pPr>
      <w:r>
        <w:rPr>
          <w:rFonts w:cs="EB Garamond"/>
          <w:kern w:val="16"/>
          <w:sz w:val="18"/>
          <w14:ligatures w14:val="standardContextual"/>
        </w:rPr>
        <w:t>Lei 11.960/2009</w:t>
      </w:r>
      <w:r>
        <w:rPr>
          <w:rFonts w:cs="EB Garamond"/>
          <w:color w:val="6B6256"/>
          <w:kern w:val="16"/>
          <w:sz w:val="18"/>
          <w14:ligatures w14:val="standardContextual"/>
        </w:rPr>
        <w:t xml:space="preserve">  Cap. 9, 17, 23</w:t>
      </w:r>
    </w:p>
    <w:p w14:paraId="4A7E8630" w14:textId="77777777" w:rsidR="005A5FCC" w:rsidRDefault="00A21C81">
      <w:pPr>
        <w:spacing w:after="30" w:line="240" w:lineRule="auto"/>
        <w:jc w:val="left"/>
      </w:pPr>
      <w:r>
        <w:rPr>
          <w:rFonts w:cs="EB Garamond"/>
          <w:kern w:val="16"/>
          <w:sz w:val="18"/>
          <w14:ligatures w14:val="standardContextual"/>
        </w:rPr>
        <w:t>Lei 12.023/2009</w:t>
      </w:r>
      <w:r>
        <w:rPr>
          <w:rFonts w:cs="EB Garamond"/>
          <w:color w:val="6B6256"/>
          <w:kern w:val="16"/>
          <w:sz w:val="18"/>
          <w14:ligatures w14:val="standardContextual"/>
        </w:rPr>
        <w:t xml:space="preserve">  Cap. 2</w:t>
      </w:r>
    </w:p>
    <w:p w14:paraId="72EEB0CF" w14:textId="77777777" w:rsidR="005A5FCC" w:rsidRDefault="00A21C81">
      <w:pPr>
        <w:spacing w:after="30" w:line="240" w:lineRule="auto"/>
        <w:jc w:val="left"/>
      </w:pPr>
      <w:r>
        <w:rPr>
          <w:rFonts w:cs="EB Garamond"/>
          <w:kern w:val="16"/>
          <w:sz w:val="18"/>
          <w14:ligatures w14:val="standardContextual"/>
        </w:rPr>
        <w:t>Lei 12.101/2009</w:t>
      </w:r>
      <w:r>
        <w:rPr>
          <w:rFonts w:cs="EB Garamond"/>
          <w:color w:val="6B6256"/>
          <w:kern w:val="16"/>
          <w:sz w:val="18"/>
          <w14:ligatures w14:val="standardContextual"/>
        </w:rPr>
        <w:t xml:space="preserve">  Cap. 4</w:t>
      </w:r>
    </w:p>
    <w:p w14:paraId="4A01D914" w14:textId="77777777" w:rsidR="005A5FCC" w:rsidRDefault="00A21C81">
      <w:pPr>
        <w:spacing w:after="30" w:line="240" w:lineRule="auto"/>
        <w:jc w:val="left"/>
      </w:pPr>
      <w:r>
        <w:rPr>
          <w:rFonts w:cs="EB Garamond"/>
          <w:kern w:val="16"/>
          <w:sz w:val="18"/>
          <w14:ligatures w14:val="standardContextual"/>
        </w:rPr>
        <w:t>Lei 12.350/2010</w:t>
      </w:r>
      <w:r>
        <w:rPr>
          <w:rFonts w:cs="EB Garamond"/>
          <w:color w:val="6B6256"/>
          <w:kern w:val="16"/>
          <w:sz w:val="18"/>
          <w14:ligatures w14:val="standardContextual"/>
        </w:rPr>
        <w:t xml:space="preserve">  Cap. 23</w:t>
      </w:r>
    </w:p>
    <w:p w14:paraId="43F1B30D" w14:textId="77777777" w:rsidR="005A5FCC" w:rsidRDefault="00A21C81">
      <w:pPr>
        <w:spacing w:after="30" w:line="240" w:lineRule="auto"/>
        <w:jc w:val="left"/>
      </w:pPr>
      <w:r>
        <w:rPr>
          <w:rFonts w:cs="EB Garamond"/>
          <w:kern w:val="16"/>
          <w:sz w:val="18"/>
          <w14:ligatures w14:val="standardContextual"/>
        </w:rPr>
        <w:t>Lei 12.435/2011</w:t>
      </w:r>
      <w:r>
        <w:rPr>
          <w:rFonts w:cs="EB Garamond"/>
          <w:color w:val="6B6256"/>
          <w:kern w:val="16"/>
          <w:sz w:val="18"/>
          <w14:ligatures w14:val="standardContextual"/>
        </w:rPr>
        <w:t xml:space="preserve">  Cap. 18</w:t>
      </w:r>
    </w:p>
    <w:p w14:paraId="2A6ECAF2" w14:textId="77777777" w:rsidR="005A5FCC" w:rsidRDefault="00A21C81">
      <w:pPr>
        <w:spacing w:after="30" w:line="240" w:lineRule="auto"/>
        <w:jc w:val="left"/>
      </w:pPr>
      <w:r>
        <w:rPr>
          <w:rFonts w:cs="EB Garamond"/>
          <w:kern w:val="16"/>
          <w:sz w:val="18"/>
          <w14:ligatures w14:val="standardContextual"/>
        </w:rPr>
        <w:t>Lei 12.470/2011</w:t>
      </w:r>
      <w:r>
        <w:rPr>
          <w:rFonts w:cs="EB Garamond"/>
          <w:color w:val="6B6256"/>
          <w:kern w:val="16"/>
          <w:sz w:val="18"/>
          <w14:ligatures w14:val="standardContextual"/>
        </w:rPr>
        <w:t xml:space="preserve">  Cap. 1, 2, 4, 10, 18</w:t>
      </w:r>
    </w:p>
    <w:p w14:paraId="776C7BDB" w14:textId="77777777" w:rsidR="005A5FCC" w:rsidRDefault="00A21C81">
      <w:pPr>
        <w:spacing w:after="30" w:line="240" w:lineRule="auto"/>
        <w:jc w:val="left"/>
      </w:pPr>
      <w:r>
        <w:rPr>
          <w:rFonts w:cs="EB Garamond"/>
          <w:kern w:val="16"/>
          <w:sz w:val="18"/>
          <w14:ligatures w14:val="standardContextual"/>
        </w:rPr>
        <w:t>Lei 12.506/2011</w:t>
      </w:r>
      <w:r>
        <w:rPr>
          <w:rFonts w:cs="EB Garamond"/>
          <w:color w:val="6B6256"/>
          <w:kern w:val="16"/>
          <w:sz w:val="18"/>
          <w14:ligatures w14:val="standardContextual"/>
        </w:rPr>
        <w:t xml:space="preserve">  Cap. 5</w:t>
      </w:r>
    </w:p>
    <w:p w14:paraId="17D86783" w14:textId="77777777" w:rsidR="005A5FCC" w:rsidRDefault="00A21C81">
      <w:pPr>
        <w:spacing w:after="30" w:line="240" w:lineRule="auto"/>
        <w:jc w:val="left"/>
      </w:pPr>
      <w:r>
        <w:rPr>
          <w:rFonts w:cs="EB Garamond"/>
          <w:kern w:val="16"/>
          <w:sz w:val="18"/>
          <w14:ligatures w14:val="standardContextual"/>
        </w:rPr>
        <w:t>Lei 12.546/2011</w:t>
      </w:r>
      <w:r>
        <w:rPr>
          <w:rFonts w:cs="EB Garamond"/>
          <w:color w:val="6B6256"/>
          <w:kern w:val="16"/>
          <w:sz w:val="18"/>
          <w14:ligatures w14:val="standardContextual"/>
        </w:rPr>
        <w:t xml:space="preserve">  Cap. 4</w:t>
      </w:r>
    </w:p>
    <w:p w14:paraId="6407D63E" w14:textId="77777777" w:rsidR="005A5FCC" w:rsidRDefault="00A21C81">
      <w:pPr>
        <w:spacing w:after="30" w:line="240" w:lineRule="auto"/>
        <w:jc w:val="left"/>
      </w:pPr>
      <w:r>
        <w:rPr>
          <w:rFonts w:cs="EB Garamond"/>
          <w:kern w:val="16"/>
          <w:sz w:val="18"/>
          <w14:ligatures w14:val="standardContextual"/>
        </w:rPr>
        <w:t>Lei 12.740/2012</w:t>
      </w:r>
      <w:r>
        <w:rPr>
          <w:rFonts w:cs="EB Garamond"/>
          <w:color w:val="6B6256"/>
          <w:kern w:val="16"/>
          <w:sz w:val="18"/>
          <w14:ligatures w14:val="standardContextual"/>
        </w:rPr>
        <w:t xml:space="preserve">  Cap. 8</w:t>
      </w:r>
    </w:p>
    <w:p w14:paraId="1BB2F792" w14:textId="77777777" w:rsidR="005A5FCC" w:rsidRDefault="00A21C81">
      <w:pPr>
        <w:spacing w:after="30" w:line="240" w:lineRule="auto"/>
        <w:jc w:val="left"/>
      </w:pPr>
      <w:r>
        <w:rPr>
          <w:rFonts w:cs="EB Garamond"/>
          <w:kern w:val="16"/>
          <w:sz w:val="18"/>
          <w14:ligatures w14:val="standardContextual"/>
        </w:rPr>
        <w:t>Lei 12.815/2013</w:t>
      </w:r>
      <w:r>
        <w:rPr>
          <w:rFonts w:cs="EB Garamond"/>
          <w:color w:val="6B6256"/>
          <w:kern w:val="16"/>
          <w:sz w:val="18"/>
          <w14:ligatures w14:val="standardContextual"/>
        </w:rPr>
        <w:t xml:space="preserve">  Cap. 2</w:t>
      </w:r>
    </w:p>
    <w:p w14:paraId="3BD056DC" w14:textId="77777777" w:rsidR="005A5FCC" w:rsidRDefault="00A21C81">
      <w:pPr>
        <w:spacing w:after="30" w:line="240" w:lineRule="auto"/>
        <w:jc w:val="left"/>
      </w:pPr>
      <w:r>
        <w:rPr>
          <w:rFonts w:cs="EB Garamond"/>
          <w:kern w:val="16"/>
          <w:sz w:val="18"/>
          <w14:ligatures w14:val="standardContextual"/>
        </w:rPr>
        <w:t>Lei 12.873/2013</w:t>
      </w:r>
      <w:r>
        <w:rPr>
          <w:rFonts w:cs="EB Garamond"/>
          <w:color w:val="6B6256"/>
          <w:kern w:val="16"/>
          <w:sz w:val="18"/>
          <w14:ligatures w14:val="standardContextual"/>
        </w:rPr>
        <w:t xml:space="preserve">  Cap. 2, 9, 13</w:t>
      </w:r>
    </w:p>
    <w:p w14:paraId="42A0FFF4" w14:textId="77777777" w:rsidR="005A5FCC" w:rsidRDefault="00A21C81">
      <w:pPr>
        <w:spacing w:after="30" w:line="240" w:lineRule="auto"/>
        <w:jc w:val="left"/>
      </w:pPr>
      <w:r>
        <w:rPr>
          <w:rFonts w:cs="EB Garamond"/>
          <w:kern w:val="16"/>
          <w:sz w:val="18"/>
          <w14:ligatures w14:val="standardContextual"/>
        </w:rPr>
        <w:t>Lei 13.105/2015</w:t>
      </w:r>
      <w:r>
        <w:rPr>
          <w:rFonts w:cs="EB Garamond"/>
          <w:color w:val="6B6256"/>
          <w:kern w:val="16"/>
          <w:sz w:val="18"/>
          <w14:ligatures w14:val="standardContextual"/>
        </w:rPr>
        <w:t xml:space="preserve">  Cap. 23</w:t>
      </w:r>
    </w:p>
    <w:p w14:paraId="3587F8CD" w14:textId="77777777" w:rsidR="005A5FCC" w:rsidRDefault="00A21C81">
      <w:pPr>
        <w:spacing w:after="30" w:line="240" w:lineRule="auto"/>
        <w:jc w:val="left"/>
      </w:pPr>
      <w:r>
        <w:rPr>
          <w:rFonts w:cs="EB Garamond"/>
          <w:kern w:val="16"/>
          <w:sz w:val="18"/>
          <w14:ligatures w14:val="standardContextual"/>
        </w:rPr>
        <w:t>Lei 13.135/2015</w:t>
      </w:r>
      <w:r>
        <w:rPr>
          <w:rFonts w:cs="EB Garamond"/>
          <w:color w:val="6B6256"/>
          <w:kern w:val="16"/>
          <w:sz w:val="18"/>
          <w14:ligatures w14:val="standardContextual"/>
        </w:rPr>
        <w:t xml:space="preserve">  Cap. 6, 14, 19</w:t>
      </w:r>
    </w:p>
    <w:p w14:paraId="3C609D0D" w14:textId="77777777" w:rsidR="005A5FCC" w:rsidRDefault="00A21C81">
      <w:pPr>
        <w:spacing w:after="30" w:line="240" w:lineRule="auto"/>
        <w:jc w:val="left"/>
      </w:pPr>
      <w:r>
        <w:rPr>
          <w:rFonts w:cs="EB Garamond"/>
          <w:kern w:val="16"/>
          <w:sz w:val="18"/>
          <w14:ligatures w14:val="standardContextual"/>
        </w:rPr>
        <w:t>Lei 13.146/2015</w:t>
      </w:r>
      <w:r>
        <w:rPr>
          <w:rFonts w:cs="EB Garamond"/>
          <w:color w:val="6B6256"/>
          <w:kern w:val="16"/>
          <w:sz w:val="18"/>
          <w14:ligatures w14:val="standardContextual"/>
        </w:rPr>
        <w:t xml:space="preserve">  Cap. 6, 12, 18, 19, 21</w:t>
      </w:r>
    </w:p>
    <w:p w14:paraId="6175C7A0" w14:textId="77777777" w:rsidR="005A5FCC" w:rsidRDefault="00A21C81">
      <w:pPr>
        <w:spacing w:after="30" w:line="240" w:lineRule="auto"/>
        <w:jc w:val="left"/>
      </w:pPr>
      <w:r>
        <w:rPr>
          <w:rFonts w:cs="EB Garamond"/>
          <w:kern w:val="16"/>
          <w:sz w:val="18"/>
          <w14:ligatures w14:val="standardContextual"/>
        </w:rPr>
        <w:t>Lei 13.183/2015</w:t>
      </w:r>
      <w:r>
        <w:rPr>
          <w:rFonts w:cs="EB Garamond"/>
          <w:color w:val="6B6256"/>
          <w:kern w:val="16"/>
          <w:sz w:val="18"/>
          <w14:ligatures w14:val="standardContextual"/>
        </w:rPr>
        <w:t xml:space="preserve">  Cap. 1, 9, 11, 16, 19</w:t>
      </w:r>
    </w:p>
    <w:p w14:paraId="7E781F09" w14:textId="77777777" w:rsidR="005A5FCC" w:rsidRDefault="00A21C81">
      <w:pPr>
        <w:spacing w:after="30" w:line="240" w:lineRule="auto"/>
        <w:jc w:val="left"/>
      </w:pPr>
      <w:r>
        <w:rPr>
          <w:rFonts w:cs="EB Garamond"/>
          <w:kern w:val="16"/>
          <w:sz w:val="18"/>
          <w14:ligatures w14:val="standardContextual"/>
        </w:rPr>
        <w:t>Lei 13.429/2017</w:t>
      </w:r>
      <w:r>
        <w:rPr>
          <w:rFonts w:cs="EB Garamond"/>
          <w:color w:val="6B6256"/>
          <w:kern w:val="16"/>
          <w:sz w:val="18"/>
          <w14:ligatures w14:val="standardContextual"/>
        </w:rPr>
        <w:t xml:space="preserve">  Cap. 2</w:t>
      </w:r>
    </w:p>
    <w:p w14:paraId="614B9B45" w14:textId="77777777" w:rsidR="005A5FCC" w:rsidRDefault="00A21C81">
      <w:pPr>
        <w:spacing w:after="30" w:line="240" w:lineRule="auto"/>
        <w:jc w:val="left"/>
      </w:pPr>
      <w:r>
        <w:rPr>
          <w:rFonts w:cs="EB Garamond"/>
          <w:kern w:val="16"/>
          <w:sz w:val="18"/>
          <w14:ligatures w14:val="standardContextual"/>
        </w:rPr>
        <w:t>Lei 13.445/2017</w:t>
      </w:r>
      <w:r>
        <w:rPr>
          <w:rFonts w:cs="EB Garamond"/>
          <w:color w:val="6B6256"/>
          <w:kern w:val="16"/>
          <w:sz w:val="18"/>
          <w14:ligatures w14:val="standardContextual"/>
        </w:rPr>
        <w:t xml:space="preserve">  Cap. 18</w:t>
      </w:r>
    </w:p>
    <w:p w14:paraId="2C90A1C6" w14:textId="77777777" w:rsidR="005A5FCC" w:rsidRDefault="00A21C81">
      <w:pPr>
        <w:spacing w:after="30" w:line="240" w:lineRule="auto"/>
        <w:jc w:val="left"/>
      </w:pPr>
      <w:r>
        <w:rPr>
          <w:rFonts w:cs="EB Garamond"/>
          <w:kern w:val="16"/>
          <w:sz w:val="18"/>
          <w14:ligatures w14:val="standardContextual"/>
        </w:rPr>
        <w:t>Lei 13.457/2017</w:t>
      </w:r>
      <w:r>
        <w:rPr>
          <w:rFonts w:cs="EB Garamond"/>
          <w:color w:val="6B6256"/>
          <w:kern w:val="16"/>
          <w:sz w:val="18"/>
          <w14:ligatures w14:val="standardContextual"/>
        </w:rPr>
        <w:t xml:space="preserve">  Cap. 3, 6, 7, 22</w:t>
      </w:r>
    </w:p>
    <w:p w14:paraId="439AFE7F" w14:textId="77777777" w:rsidR="005A5FCC" w:rsidRDefault="00A21C81">
      <w:pPr>
        <w:spacing w:after="30" w:line="240" w:lineRule="auto"/>
        <w:jc w:val="left"/>
      </w:pPr>
      <w:r>
        <w:rPr>
          <w:rFonts w:cs="EB Garamond"/>
          <w:kern w:val="16"/>
          <w:sz w:val="18"/>
          <w14:ligatures w14:val="standardContextual"/>
        </w:rPr>
        <w:t>Lei 13.467/2017</w:t>
      </w:r>
      <w:r>
        <w:rPr>
          <w:rFonts w:cs="EB Garamond"/>
          <w:color w:val="6B6256"/>
          <w:kern w:val="16"/>
          <w:sz w:val="18"/>
          <w14:ligatures w14:val="standardContextual"/>
        </w:rPr>
        <w:t xml:space="preserve">  Cap. 4, 13</w:t>
      </w:r>
    </w:p>
    <w:p w14:paraId="2C22389D" w14:textId="77777777" w:rsidR="005A5FCC" w:rsidRDefault="00A21C81">
      <w:pPr>
        <w:spacing w:after="30" w:line="240" w:lineRule="auto"/>
        <w:jc w:val="left"/>
      </w:pPr>
      <w:r>
        <w:rPr>
          <w:rFonts w:cs="EB Garamond"/>
          <w:kern w:val="16"/>
          <w:sz w:val="18"/>
          <w14:ligatures w14:val="standardContextual"/>
        </w:rPr>
        <w:t>Lei 13.606/2018</w:t>
      </w:r>
      <w:r>
        <w:rPr>
          <w:rFonts w:cs="EB Garamond"/>
          <w:color w:val="6B6256"/>
          <w:kern w:val="16"/>
          <w:sz w:val="18"/>
          <w14:ligatures w14:val="standardContextual"/>
        </w:rPr>
        <w:t xml:space="preserve">  Cap. 4, 9</w:t>
      </w:r>
    </w:p>
    <w:p w14:paraId="37E296C8" w14:textId="77777777" w:rsidR="005A5FCC" w:rsidRDefault="00A21C81">
      <w:pPr>
        <w:spacing w:after="30" w:line="240" w:lineRule="auto"/>
        <w:jc w:val="left"/>
      </w:pPr>
      <w:r>
        <w:rPr>
          <w:rFonts w:cs="EB Garamond"/>
          <w:kern w:val="16"/>
          <w:sz w:val="18"/>
          <w14:ligatures w14:val="standardContextual"/>
        </w:rPr>
        <w:t>Lei 13.670/2018</w:t>
      </w:r>
      <w:r>
        <w:rPr>
          <w:rFonts w:cs="EB Garamond"/>
          <w:color w:val="6B6256"/>
          <w:kern w:val="16"/>
          <w:sz w:val="18"/>
          <w14:ligatures w14:val="standardContextual"/>
        </w:rPr>
        <w:t xml:space="preserve">  Cap. 4</w:t>
      </w:r>
    </w:p>
    <w:p w14:paraId="0ABF55E5" w14:textId="77777777" w:rsidR="005A5FCC" w:rsidRDefault="00A21C81">
      <w:pPr>
        <w:spacing w:after="30" w:line="240" w:lineRule="auto"/>
        <w:jc w:val="left"/>
      </w:pPr>
      <w:r>
        <w:rPr>
          <w:rFonts w:cs="EB Garamond"/>
          <w:kern w:val="16"/>
          <w:sz w:val="18"/>
          <w14:ligatures w14:val="standardContextual"/>
        </w:rPr>
        <w:t>Lei 13.846/2019</w:t>
      </w:r>
      <w:r>
        <w:rPr>
          <w:rFonts w:cs="EB Garamond"/>
          <w:color w:val="6B6256"/>
          <w:kern w:val="16"/>
          <w:sz w:val="18"/>
          <w14:ligatures w14:val="standardContextual"/>
        </w:rPr>
        <w:t xml:space="preserve">  Cap. 2, 3, 4, 5, 7, 8, 9, 10, 14, 16, 19, 21, 22</w:t>
      </w:r>
    </w:p>
    <w:p w14:paraId="694EE07F" w14:textId="77777777" w:rsidR="005A5FCC" w:rsidRDefault="00A21C81">
      <w:pPr>
        <w:spacing w:after="30" w:line="240" w:lineRule="auto"/>
        <w:jc w:val="left"/>
      </w:pPr>
      <w:r>
        <w:rPr>
          <w:rFonts w:cs="EB Garamond"/>
          <w:kern w:val="16"/>
          <w:sz w:val="18"/>
          <w14:ligatures w14:val="standardContextual"/>
        </w:rPr>
        <w:t>Lei 13.874/2019</w:t>
      </w:r>
      <w:r>
        <w:rPr>
          <w:rFonts w:cs="EB Garamond"/>
          <w:color w:val="6B6256"/>
          <w:kern w:val="16"/>
          <w:sz w:val="18"/>
          <w14:ligatures w14:val="standardContextual"/>
        </w:rPr>
        <w:t xml:space="preserve">  Cap. 9</w:t>
      </w:r>
    </w:p>
    <w:p w14:paraId="12074BB8" w14:textId="77777777" w:rsidR="005A5FCC" w:rsidRDefault="00A21C81">
      <w:pPr>
        <w:spacing w:after="30" w:line="240" w:lineRule="auto"/>
        <w:jc w:val="left"/>
      </w:pPr>
      <w:r>
        <w:rPr>
          <w:rFonts w:cs="EB Garamond"/>
          <w:kern w:val="16"/>
          <w:sz w:val="18"/>
          <w14:ligatures w14:val="standardContextual"/>
        </w:rPr>
        <w:t>Lei 13.876/2019</w:t>
      </w:r>
      <w:r>
        <w:rPr>
          <w:rFonts w:cs="EB Garamond"/>
          <w:color w:val="6B6256"/>
          <w:kern w:val="16"/>
          <w:sz w:val="18"/>
          <w14:ligatures w14:val="standardContextual"/>
        </w:rPr>
        <w:t xml:space="preserve">  Cap. 23</w:t>
      </w:r>
    </w:p>
    <w:p w14:paraId="3CF094AE" w14:textId="77777777" w:rsidR="005A5FCC" w:rsidRDefault="00A21C81">
      <w:pPr>
        <w:spacing w:after="30" w:line="240" w:lineRule="auto"/>
        <w:jc w:val="left"/>
      </w:pPr>
      <w:r>
        <w:rPr>
          <w:rFonts w:cs="EB Garamond"/>
          <w:kern w:val="16"/>
          <w:sz w:val="18"/>
          <w14:ligatures w14:val="standardContextual"/>
        </w:rPr>
        <w:t>Lei 13.964/2019</w:t>
      </w:r>
      <w:r>
        <w:rPr>
          <w:rFonts w:cs="EB Garamond"/>
          <w:color w:val="6B6256"/>
          <w:kern w:val="16"/>
          <w:sz w:val="18"/>
          <w14:ligatures w14:val="standardContextual"/>
        </w:rPr>
        <w:t xml:space="preserve">  Cap. 14</w:t>
      </w:r>
    </w:p>
    <w:p w14:paraId="7484B1F2" w14:textId="77777777" w:rsidR="005A5FCC" w:rsidRDefault="00A21C81">
      <w:pPr>
        <w:spacing w:after="30" w:line="240" w:lineRule="auto"/>
        <w:jc w:val="left"/>
      </w:pPr>
      <w:r>
        <w:rPr>
          <w:rFonts w:cs="EB Garamond"/>
          <w:kern w:val="16"/>
          <w:sz w:val="18"/>
          <w14:ligatures w14:val="standardContextual"/>
        </w:rPr>
        <w:t>Lei 13.982/2020</w:t>
      </w:r>
      <w:r>
        <w:rPr>
          <w:rFonts w:cs="EB Garamond"/>
          <w:color w:val="6B6256"/>
          <w:kern w:val="16"/>
          <w:sz w:val="18"/>
          <w14:ligatures w14:val="standardContextual"/>
        </w:rPr>
        <w:t xml:space="preserve">  Cap. 6, 18</w:t>
      </w:r>
    </w:p>
    <w:p w14:paraId="21AB8FD8" w14:textId="77777777" w:rsidR="005A5FCC" w:rsidRDefault="00A21C81">
      <w:pPr>
        <w:spacing w:after="30" w:line="240" w:lineRule="auto"/>
        <w:jc w:val="left"/>
      </w:pPr>
      <w:r>
        <w:rPr>
          <w:rFonts w:cs="EB Garamond"/>
          <w:kern w:val="16"/>
          <w:sz w:val="18"/>
          <w14:ligatures w14:val="standardContextual"/>
        </w:rPr>
        <w:t>Lei 14.126/2021</w:t>
      </w:r>
      <w:r>
        <w:rPr>
          <w:rFonts w:cs="EB Garamond"/>
          <w:color w:val="6B6256"/>
          <w:kern w:val="16"/>
          <w:sz w:val="18"/>
          <w14:ligatures w14:val="standardContextual"/>
        </w:rPr>
        <w:t xml:space="preserve">  Cap. 12</w:t>
      </w:r>
    </w:p>
    <w:p w14:paraId="4DBA1FEB" w14:textId="77777777" w:rsidR="005A5FCC" w:rsidRDefault="00A21C81">
      <w:pPr>
        <w:spacing w:after="30" w:line="240" w:lineRule="auto"/>
        <w:jc w:val="left"/>
      </w:pPr>
      <w:r>
        <w:rPr>
          <w:rFonts w:cs="EB Garamond"/>
          <w:kern w:val="16"/>
          <w:sz w:val="18"/>
          <w14:ligatures w14:val="standardContextual"/>
        </w:rPr>
        <w:t>Lei 14.131/2021</w:t>
      </w:r>
      <w:r>
        <w:rPr>
          <w:rFonts w:cs="EB Garamond"/>
          <w:color w:val="6B6256"/>
          <w:kern w:val="16"/>
          <w:sz w:val="18"/>
          <w14:ligatures w14:val="standardContextual"/>
        </w:rPr>
        <w:t xml:space="preserve">  Cap. 9</w:t>
      </w:r>
    </w:p>
    <w:p w14:paraId="78675B07" w14:textId="77777777" w:rsidR="005A5FCC" w:rsidRDefault="00A21C81">
      <w:pPr>
        <w:spacing w:after="30" w:line="240" w:lineRule="auto"/>
        <w:jc w:val="left"/>
      </w:pPr>
      <w:r>
        <w:rPr>
          <w:rFonts w:cs="EB Garamond"/>
          <w:kern w:val="16"/>
          <w:sz w:val="18"/>
          <w14:ligatures w14:val="standardContextual"/>
        </w:rPr>
        <w:t>Lei 14.176/2021</w:t>
      </w:r>
      <w:r>
        <w:rPr>
          <w:rFonts w:cs="EB Garamond"/>
          <w:color w:val="6B6256"/>
          <w:kern w:val="16"/>
          <w:sz w:val="18"/>
          <w14:ligatures w14:val="standardContextual"/>
        </w:rPr>
        <w:t xml:space="preserve">  Cap. 12, 18, 20, 23</w:t>
      </w:r>
    </w:p>
    <w:p w14:paraId="301C0186" w14:textId="77777777" w:rsidR="005A5FCC" w:rsidRDefault="00A21C81">
      <w:pPr>
        <w:spacing w:after="30" w:line="240" w:lineRule="auto"/>
        <w:jc w:val="left"/>
      </w:pPr>
      <w:r>
        <w:rPr>
          <w:rFonts w:cs="EB Garamond"/>
          <w:kern w:val="16"/>
          <w:sz w:val="18"/>
          <w14:ligatures w14:val="standardContextual"/>
        </w:rPr>
        <w:t>Lei 14.260/2021</w:t>
      </w:r>
      <w:r>
        <w:rPr>
          <w:rFonts w:cs="EB Garamond"/>
          <w:color w:val="6B6256"/>
          <w:kern w:val="16"/>
          <w:sz w:val="18"/>
          <w14:ligatures w14:val="standardContextual"/>
        </w:rPr>
        <w:t xml:space="preserve">  Cap. 4</w:t>
      </w:r>
    </w:p>
    <w:p w14:paraId="3D732D66" w14:textId="77777777" w:rsidR="005A5FCC" w:rsidRDefault="00A21C81">
      <w:pPr>
        <w:spacing w:after="30" w:line="240" w:lineRule="auto"/>
        <w:jc w:val="left"/>
      </w:pPr>
      <w:r>
        <w:rPr>
          <w:rFonts w:cs="EB Garamond"/>
          <w:kern w:val="16"/>
          <w:sz w:val="18"/>
          <w14:ligatures w14:val="standardContextual"/>
        </w:rPr>
        <w:t>Lei 14.331/2022</w:t>
      </w:r>
      <w:r>
        <w:rPr>
          <w:rFonts w:cs="EB Garamond"/>
          <w:color w:val="6B6256"/>
          <w:kern w:val="16"/>
          <w:sz w:val="18"/>
          <w14:ligatures w14:val="standardContextual"/>
        </w:rPr>
        <w:t xml:space="preserve">  Cap. 16, 17</w:t>
      </w:r>
    </w:p>
    <w:p w14:paraId="06A172FB" w14:textId="77777777" w:rsidR="005A5FCC" w:rsidRDefault="00A21C81">
      <w:pPr>
        <w:spacing w:after="30" w:line="240" w:lineRule="auto"/>
        <w:jc w:val="left"/>
      </w:pPr>
      <w:r>
        <w:rPr>
          <w:rFonts w:cs="EB Garamond"/>
          <w:kern w:val="16"/>
          <w:sz w:val="18"/>
          <w14:ligatures w14:val="standardContextual"/>
        </w:rPr>
        <w:lastRenderedPageBreak/>
        <w:t>Lei 14.457/2022</w:t>
      </w:r>
      <w:r>
        <w:rPr>
          <w:rFonts w:cs="EB Garamond"/>
          <w:color w:val="6B6256"/>
          <w:kern w:val="16"/>
          <w:sz w:val="18"/>
          <w14:ligatures w14:val="standardContextual"/>
        </w:rPr>
        <w:t xml:space="preserve">  Cap. 13</w:t>
      </w:r>
    </w:p>
    <w:p w14:paraId="7AC4C140" w14:textId="77777777" w:rsidR="005A5FCC" w:rsidRDefault="00A21C81">
      <w:pPr>
        <w:spacing w:after="30" w:line="240" w:lineRule="auto"/>
        <w:jc w:val="left"/>
      </w:pPr>
      <w:r>
        <w:rPr>
          <w:rFonts w:cs="EB Garamond"/>
          <w:kern w:val="16"/>
          <w:sz w:val="18"/>
          <w14:ligatures w14:val="standardContextual"/>
        </w:rPr>
        <w:t>Lei 14.601/2023</w:t>
      </w:r>
      <w:r>
        <w:rPr>
          <w:rFonts w:cs="EB Garamond"/>
          <w:color w:val="6B6256"/>
          <w:kern w:val="16"/>
          <w:sz w:val="18"/>
          <w14:ligatures w14:val="standardContextual"/>
        </w:rPr>
        <w:t xml:space="preserve">  Cap. 18</w:t>
      </w:r>
    </w:p>
    <w:p w14:paraId="6936ABAF" w14:textId="77777777" w:rsidR="005A5FCC" w:rsidRDefault="00A21C81">
      <w:pPr>
        <w:spacing w:after="30" w:line="240" w:lineRule="auto"/>
        <w:jc w:val="left"/>
      </w:pPr>
      <w:r>
        <w:rPr>
          <w:rFonts w:cs="EB Garamond"/>
          <w:kern w:val="16"/>
          <w:sz w:val="18"/>
          <w14:ligatures w14:val="standardContextual"/>
        </w:rPr>
        <w:t>Lei 14.663/2023</w:t>
      </w:r>
      <w:r>
        <w:rPr>
          <w:rFonts w:cs="EB Garamond"/>
          <w:color w:val="6B6256"/>
          <w:kern w:val="16"/>
          <w:sz w:val="18"/>
          <w14:ligatures w14:val="standardContextual"/>
        </w:rPr>
        <w:t xml:space="preserve">  Cap. 18</w:t>
      </w:r>
    </w:p>
    <w:p w14:paraId="71654717" w14:textId="77777777" w:rsidR="005A5FCC" w:rsidRDefault="00A21C81">
      <w:pPr>
        <w:spacing w:after="30" w:line="240" w:lineRule="auto"/>
        <w:jc w:val="left"/>
      </w:pPr>
      <w:r>
        <w:rPr>
          <w:rFonts w:cs="EB Garamond"/>
          <w:kern w:val="16"/>
          <w:sz w:val="18"/>
          <w14:ligatures w14:val="standardContextual"/>
        </w:rPr>
        <w:t>Lei 14.784/2023</w:t>
      </w:r>
      <w:r>
        <w:rPr>
          <w:rFonts w:cs="EB Garamond"/>
          <w:color w:val="6B6256"/>
          <w:kern w:val="16"/>
          <w:sz w:val="18"/>
          <w14:ligatures w14:val="standardContextual"/>
        </w:rPr>
        <w:t xml:space="preserve">  Cap. 1, 4</w:t>
      </w:r>
    </w:p>
    <w:p w14:paraId="55653A7C" w14:textId="77777777" w:rsidR="005A5FCC" w:rsidRDefault="00A21C81">
      <w:pPr>
        <w:spacing w:after="30" w:line="240" w:lineRule="auto"/>
        <w:jc w:val="left"/>
      </w:pPr>
      <w:r>
        <w:rPr>
          <w:rFonts w:cs="EB Garamond"/>
          <w:kern w:val="16"/>
          <w:sz w:val="18"/>
          <w14:ligatures w14:val="standardContextual"/>
        </w:rPr>
        <w:t>Lei 14.973/2024</w:t>
      </w:r>
      <w:r>
        <w:rPr>
          <w:rFonts w:cs="EB Garamond"/>
          <w:color w:val="6B6256"/>
          <w:kern w:val="16"/>
          <w:sz w:val="18"/>
          <w14:ligatures w14:val="standardContextual"/>
        </w:rPr>
        <w:t xml:space="preserve">  Cap. 4</w:t>
      </w:r>
    </w:p>
    <w:p w14:paraId="27818E13" w14:textId="77777777" w:rsidR="005A5FCC" w:rsidRDefault="00A21C81">
      <w:pPr>
        <w:spacing w:after="30" w:line="240" w:lineRule="auto"/>
        <w:jc w:val="left"/>
      </w:pPr>
      <w:r>
        <w:rPr>
          <w:rFonts w:cs="EB Garamond"/>
          <w:kern w:val="16"/>
          <w:sz w:val="18"/>
          <w14:ligatures w14:val="standardContextual"/>
        </w:rPr>
        <w:t>Lei 15.077/2024</w:t>
      </w:r>
      <w:r>
        <w:rPr>
          <w:rFonts w:cs="EB Garamond"/>
          <w:color w:val="6B6256"/>
          <w:kern w:val="16"/>
          <w:sz w:val="18"/>
          <w14:ligatures w14:val="standardContextual"/>
        </w:rPr>
        <w:t xml:space="preserve">  Cap. 18</w:t>
      </w:r>
    </w:p>
    <w:p w14:paraId="30343F60" w14:textId="77777777" w:rsidR="005A5FCC" w:rsidRDefault="00A21C81">
      <w:pPr>
        <w:spacing w:after="30" w:line="240" w:lineRule="auto"/>
        <w:jc w:val="left"/>
      </w:pPr>
      <w:r>
        <w:rPr>
          <w:rFonts w:cs="EB Garamond"/>
          <w:kern w:val="16"/>
          <w:sz w:val="18"/>
          <w14:ligatures w14:val="standardContextual"/>
        </w:rPr>
        <w:t>Lei 15.108/2025</w:t>
      </w:r>
      <w:r>
        <w:rPr>
          <w:rFonts w:cs="EB Garamond"/>
          <w:color w:val="6B6256"/>
          <w:kern w:val="16"/>
          <w:sz w:val="18"/>
          <w14:ligatures w14:val="standardContextual"/>
        </w:rPr>
        <w:t xml:space="preserve">  Cap. 2</w:t>
      </w:r>
    </w:p>
    <w:p w14:paraId="5F7022DC" w14:textId="77777777" w:rsidR="005A5FCC" w:rsidRDefault="00A21C81">
      <w:pPr>
        <w:spacing w:after="30" w:line="240" w:lineRule="auto"/>
        <w:jc w:val="left"/>
      </w:pPr>
      <w:r>
        <w:rPr>
          <w:rFonts w:cs="EB Garamond"/>
          <w:kern w:val="16"/>
          <w:sz w:val="18"/>
          <w14:ligatures w14:val="standardContextual"/>
        </w:rPr>
        <w:t>Lei 15.222/2025</w:t>
      </w:r>
      <w:r>
        <w:rPr>
          <w:rFonts w:cs="EB Garamond"/>
          <w:color w:val="6B6256"/>
          <w:kern w:val="16"/>
          <w:sz w:val="18"/>
          <w14:ligatures w14:val="standardContextual"/>
        </w:rPr>
        <w:t xml:space="preserve">  Cap. 13</w:t>
      </w:r>
    </w:p>
    <w:p w14:paraId="6BF63BB8" w14:textId="77777777" w:rsidR="005A5FCC" w:rsidRDefault="00A21C81">
      <w:pPr>
        <w:spacing w:after="30" w:line="240" w:lineRule="auto"/>
        <w:jc w:val="left"/>
      </w:pPr>
      <w:r>
        <w:rPr>
          <w:rFonts w:cs="EB Garamond"/>
          <w:kern w:val="16"/>
          <w:sz w:val="18"/>
          <w14:ligatures w14:val="standardContextual"/>
        </w:rPr>
        <w:t>Lei 15.226/2025</w:t>
      </w:r>
      <w:r>
        <w:rPr>
          <w:rFonts w:cs="EB Garamond"/>
          <w:color w:val="6B6256"/>
          <w:kern w:val="16"/>
          <w:sz w:val="18"/>
          <w14:ligatures w14:val="standardContextual"/>
        </w:rPr>
        <w:t xml:space="preserve">  Cap. 18</w:t>
      </w:r>
    </w:p>
    <w:p w14:paraId="605DEDF7" w14:textId="77777777" w:rsidR="005A5FCC" w:rsidRDefault="00A21C81">
      <w:pPr>
        <w:spacing w:after="30" w:line="240" w:lineRule="auto"/>
        <w:jc w:val="left"/>
      </w:pPr>
      <w:r>
        <w:rPr>
          <w:rFonts w:cs="EB Garamond"/>
          <w:kern w:val="16"/>
          <w:sz w:val="18"/>
          <w14:ligatures w14:val="standardContextual"/>
        </w:rPr>
        <w:t>Lei 15.265/2025</w:t>
      </w:r>
      <w:r>
        <w:rPr>
          <w:rFonts w:cs="EB Garamond"/>
          <w:color w:val="6B6256"/>
          <w:kern w:val="16"/>
          <w:sz w:val="18"/>
          <w14:ligatures w14:val="standardContextual"/>
        </w:rPr>
        <w:t xml:space="preserve">  Cap. 22</w:t>
      </w:r>
    </w:p>
    <w:p w14:paraId="0E7EFAC5" w14:textId="77777777" w:rsidR="005A5FCC" w:rsidRDefault="00A21C81">
      <w:pPr>
        <w:spacing w:after="30" w:line="240" w:lineRule="auto"/>
        <w:jc w:val="left"/>
      </w:pPr>
      <w:r>
        <w:rPr>
          <w:rFonts w:cs="EB Garamond"/>
          <w:kern w:val="16"/>
          <w:sz w:val="18"/>
          <w14:ligatures w14:val="standardContextual"/>
        </w:rPr>
        <w:t>Lei 3.807/1960</w:t>
      </w:r>
      <w:r>
        <w:rPr>
          <w:rFonts w:cs="EB Garamond"/>
          <w:color w:val="6B6256"/>
          <w:kern w:val="16"/>
          <w:sz w:val="18"/>
          <w14:ligatures w14:val="standardContextual"/>
        </w:rPr>
        <w:t xml:space="preserve">  Cap. 4, 7, 8, 10, 11, 14</w:t>
      </w:r>
    </w:p>
    <w:p w14:paraId="38670978" w14:textId="77777777" w:rsidR="005A5FCC" w:rsidRDefault="00A21C81">
      <w:pPr>
        <w:spacing w:after="30" w:line="240" w:lineRule="auto"/>
        <w:jc w:val="left"/>
      </w:pPr>
      <w:r>
        <w:rPr>
          <w:rFonts w:cs="EB Garamond"/>
          <w:kern w:val="16"/>
          <w:sz w:val="18"/>
          <w14:ligatures w14:val="standardContextual"/>
        </w:rPr>
        <w:t>Lei 4.214/1963</w:t>
      </w:r>
      <w:r>
        <w:rPr>
          <w:rFonts w:cs="EB Garamond"/>
          <w:color w:val="6B6256"/>
          <w:kern w:val="16"/>
          <w:sz w:val="18"/>
          <w14:ligatures w14:val="standardContextual"/>
        </w:rPr>
        <w:t xml:space="preserve">  Cap. 9</w:t>
      </w:r>
    </w:p>
    <w:p w14:paraId="63E31962" w14:textId="77777777" w:rsidR="005A5FCC" w:rsidRDefault="00A21C81">
      <w:pPr>
        <w:spacing w:after="30" w:line="240" w:lineRule="auto"/>
        <w:jc w:val="left"/>
      </w:pPr>
      <w:r>
        <w:rPr>
          <w:rFonts w:cs="EB Garamond"/>
          <w:kern w:val="16"/>
          <w:sz w:val="18"/>
          <w14:ligatures w14:val="standardContextual"/>
        </w:rPr>
        <w:t>Lei 4.266/1963</w:t>
      </w:r>
      <w:r>
        <w:rPr>
          <w:rFonts w:cs="EB Garamond"/>
          <w:color w:val="6B6256"/>
          <w:kern w:val="16"/>
          <w:sz w:val="18"/>
          <w14:ligatures w14:val="standardContextual"/>
        </w:rPr>
        <w:t xml:space="preserve">  Cap. 1, 15</w:t>
      </w:r>
    </w:p>
    <w:p w14:paraId="1A51A7CF" w14:textId="77777777" w:rsidR="005A5FCC" w:rsidRDefault="00A21C81">
      <w:pPr>
        <w:spacing w:after="30" w:line="240" w:lineRule="auto"/>
        <w:jc w:val="left"/>
      </w:pPr>
      <w:r>
        <w:rPr>
          <w:rFonts w:cs="EB Garamond"/>
          <w:kern w:val="16"/>
          <w:sz w:val="18"/>
          <w14:ligatures w14:val="standardContextual"/>
        </w:rPr>
        <w:t>Lei 4.375/1964</w:t>
      </w:r>
      <w:r>
        <w:rPr>
          <w:rFonts w:cs="EB Garamond"/>
          <w:color w:val="6B6256"/>
          <w:kern w:val="16"/>
          <w:sz w:val="18"/>
          <w14:ligatures w14:val="standardContextual"/>
        </w:rPr>
        <w:t xml:space="preserve">  Cap. 5</w:t>
      </w:r>
    </w:p>
    <w:p w14:paraId="499F768E" w14:textId="77777777" w:rsidR="005A5FCC" w:rsidRDefault="00A21C81">
      <w:pPr>
        <w:spacing w:after="30" w:line="240" w:lineRule="auto"/>
        <w:jc w:val="left"/>
      </w:pPr>
      <w:r>
        <w:rPr>
          <w:rFonts w:cs="EB Garamond"/>
          <w:kern w:val="16"/>
          <w:sz w:val="18"/>
          <w14:ligatures w14:val="standardContextual"/>
        </w:rPr>
        <w:t>Lei 5.452/1943</w:t>
      </w:r>
      <w:r>
        <w:rPr>
          <w:rFonts w:cs="EB Garamond"/>
          <w:color w:val="6B6256"/>
          <w:kern w:val="16"/>
          <w:sz w:val="18"/>
          <w14:ligatures w14:val="standardContextual"/>
        </w:rPr>
        <w:t xml:space="preserve">  Cap. 4</w:t>
      </w:r>
    </w:p>
    <w:p w14:paraId="059414EF" w14:textId="77777777" w:rsidR="005A5FCC" w:rsidRDefault="00A21C81">
      <w:pPr>
        <w:spacing w:after="30" w:line="240" w:lineRule="auto"/>
        <w:jc w:val="left"/>
      </w:pPr>
      <w:r>
        <w:rPr>
          <w:rFonts w:cs="EB Garamond"/>
          <w:kern w:val="16"/>
          <w:sz w:val="18"/>
          <w14:ligatures w14:val="standardContextual"/>
        </w:rPr>
        <w:t>Lei 6.015/1973</w:t>
      </w:r>
      <w:r>
        <w:rPr>
          <w:rFonts w:cs="EB Garamond"/>
          <w:color w:val="6B6256"/>
          <w:kern w:val="16"/>
          <w:sz w:val="18"/>
          <w14:ligatures w14:val="standardContextual"/>
        </w:rPr>
        <w:t xml:space="preserve">  Cap. 19</w:t>
      </w:r>
    </w:p>
    <w:p w14:paraId="1CF3C528" w14:textId="77777777" w:rsidR="005A5FCC" w:rsidRDefault="00A21C81">
      <w:pPr>
        <w:spacing w:after="30" w:line="240" w:lineRule="auto"/>
        <w:jc w:val="left"/>
      </w:pPr>
      <w:r>
        <w:rPr>
          <w:rFonts w:cs="EB Garamond"/>
          <w:kern w:val="16"/>
          <w:sz w:val="18"/>
          <w14:ligatures w14:val="standardContextual"/>
        </w:rPr>
        <w:t>Lei 6.019/1974</w:t>
      </w:r>
      <w:r>
        <w:rPr>
          <w:rFonts w:cs="EB Garamond"/>
          <w:color w:val="6B6256"/>
          <w:kern w:val="16"/>
          <w:sz w:val="18"/>
          <w14:ligatures w14:val="standardContextual"/>
        </w:rPr>
        <w:t xml:space="preserve">  Cap. 2</w:t>
      </w:r>
    </w:p>
    <w:p w14:paraId="4EDF4913" w14:textId="77777777" w:rsidR="005A5FCC" w:rsidRDefault="00A21C81">
      <w:pPr>
        <w:spacing w:after="30" w:line="240" w:lineRule="auto"/>
        <w:jc w:val="left"/>
      </w:pPr>
      <w:r>
        <w:rPr>
          <w:rFonts w:cs="EB Garamond"/>
          <w:kern w:val="16"/>
          <w:sz w:val="18"/>
          <w14:ligatures w14:val="standardContextual"/>
        </w:rPr>
        <w:t>Lei 6.136/1974</w:t>
      </w:r>
      <w:r>
        <w:rPr>
          <w:rFonts w:cs="EB Garamond"/>
          <w:color w:val="6B6256"/>
          <w:kern w:val="16"/>
          <w:sz w:val="18"/>
          <w14:ligatures w14:val="standardContextual"/>
        </w:rPr>
        <w:t xml:space="preserve">  Cap. 13</w:t>
      </w:r>
    </w:p>
    <w:p w14:paraId="67034AEC" w14:textId="77777777" w:rsidR="005A5FCC" w:rsidRDefault="00A21C81">
      <w:pPr>
        <w:spacing w:after="30" w:line="240" w:lineRule="auto"/>
        <w:jc w:val="left"/>
      </w:pPr>
      <w:r>
        <w:rPr>
          <w:rFonts w:cs="EB Garamond"/>
          <w:kern w:val="16"/>
          <w:sz w:val="18"/>
          <w14:ligatures w14:val="standardContextual"/>
        </w:rPr>
        <w:t>Lei 6.179/1974</w:t>
      </w:r>
      <w:r>
        <w:rPr>
          <w:rFonts w:cs="EB Garamond"/>
          <w:color w:val="6B6256"/>
          <w:kern w:val="16"/>
          <w:sz w:val="18"/>
          <w14:ligatures w14:val="standardContextual"/>
        </w:rPr>
        <w:t xml:space="preserve">  Cap. 18</w:t>
      </w:r>
    </w:p>
    <w:p w14:paraId="045E2498" w14:textId="77777777" w:rsidR="005A5FCC" w:rsidRDefault="00A21C81">
      <w:pPr>
        <w:spacing w:after="30" w:line="240" w:lineRule="auto"/>
        <w:jc w:val="left"/>
      </w:pPr>
      <w:r>
        <w:rPr>
          <w:rFonts w:cs="EB Garamond"/>
          <w:kern w:val="16"/>
          <w:sz w:val="18"/>
          <w14:ligatures w14:val="standardContextual"/>
        </w:rPr>
        <w:t>Lei 6.226/1975</w:t>
      </w:r>
      <w:r>
        <w:rPr>
          <w:rFonts w:cs="EB Garamond"/>
          <w:color w:val="6B6256"/>
          <w:kern w:val="16"/>
          <w:sz w:val="18"/>
          <w14:ligatures w14:val="standardContextual"/>
        </w:rPr>
        <w:t xml:space="preserve">  Cap. 5</w:t>
      </w:r>
    </w:p>
    <w:p w14:paraId="2AAE7B11" w14:textId="77777777" w:rsidR="005A5FCC" w:rsidRDefault="00A21C81">
      <w:pPr>
        <w:spacing w:after="30" w:line="240" w:lineRule="auto"/>
        <w:jc w:val="left"/>
      </w:pPr>
      <w:r>
        <w:rPr>
          <w:rFonts w:cs="EB Garamond"/>
          <w:kern w:val="16"/>
          <w:sz w:val="18"/>
          <w14:ligatures w14:val="standardContextual"/>
        </w:rPr>
        <w:t>Lei 6.696/1979</w:t>
      </w:r>
      <w:r>
        <w:rPr>
          <w:rFonts w:cs="EB Garamond"/>
          <w:color w:val="6B6256"/>
          <w:kern w:val="16"/>
          <w:sz w:val="18"/>
          <w14:ligatures w14:val="standardContextual"/>
        </w:rPr>
        <w:t xml:space="preserve">  Cap. 2</w:t>
      </w:r>
    </w:p>
    <w:p w14:paraId="02B3F639" w14:textId="77777777" w:rsidR="005A5FCC" w:rsidRDefault="00A21C81">
      <w:pPr>
        <w:spacing w:after="30" w:line="240" w:lineRule="auto"/>
        <w:jc w:val="left"/>
      </w:pPr>
      <w:r>
        <w:rPr>
          <w:rFonts w:cs="EB Garamond"/>
          <w:kern w:val="16"/>
          <w:sz w:val="18"/>
          <w14:ligatures w14:val="standardContextual"/>
        </w:rPr>
        <w:t>Lei 6.746/1979</w:t>
      </w:r>
      <w:r>
        <w:rPr>
          <w:rFonts w:cs="EB Garamond"/>
          <w:color w:val="6B6256"/>
          <w:kern w:val="16"/>
          <w:sz w:val="18"/>
          <w14:ligatures w14:val="standardContextual"/>
        </w:rPr>
        <w:t xml:space="preserve">  Cap. 9</w:t>
      </w:r>
    </w:p>
    <w:p w14:paraId="4CF9A147" w14:textId="77777777" w:rsidR="005A5FCC" w:rsidRDefault="00A21C81">
      <w:pPr>
        <w:spacing w:after="30" w:line="240" w:lineRule="auto"/>
        <w:jc w:val="left"/>
      </w:pPr>
      <w:r>
        <w:rPr>
          <w:rFonts w:cs="EB Garamond"/>
          <w:kern w:val="16"/>
          <w:sz w:val="18"/>
          <w14:ligatures w14:val="standardContextual"/>
        </w:rPr>
        <w:t>Lei 6.830/1980</w:t>
      </w:r>
      <w:r>
        <w:rPr>
          <w:rFonts w:cs="EB Garamond"/>
          <w:color w:val="6B6256"/>
          <w:kern w:val="16"/>
          <w:sz w:val="18"/>
          <w14:ligatures w14:val="standardContextual"/>
        </w:rPr>
        <w:t xml:space="preserve">  Cap. 4</w:t>
      </w:r>
    </w:p>
    <w:p w14:paraId="1FACFFF5" w14:textId="77777777" w:rsidR="005A5FCC" w:rsidRDefault="00A21C81">
      <w:pPr>
        <w:spacing w:after="30" w:line="240" w:lineRule="auto"/>
        <w:jc w:val="left"/>
      </w:pPr>
      <w:r>
        <w:rPr>
          <w:rFonts w:cs="EB Garamond"/>
          <w:kern w:val="16"/>
          <w:sz w:val="18"/>
          <w14:ligatures w14:val="standardContextual"/>
        </w:rPr>
        <w:t>Lei 6.864/1980</w:t>
      </w:r>
      <w:r>
        <w:rPr>
          <w:rFonts w:cs="EB Garamond"/>
          <w:color w:val="6B6256"/>
          <w:kern w:val="16"/>
          <w:sz w:val="18"/>
          <w14:ligatures w14:val="standardContextual"/>
        </w:rPr>
        <w:t xml:space="preserve">  Cap. 5</w:t>
      </w:r>
    </w:p>
    <w:p w14:paraId="4AE41858" w14:textId="77777777" w:rsidR="005A5FCC" w:rsidRDefault="00A21C81">
      <w:pPr>
        <w:spacing w:after="30" w:line="240" w:lineRule="auto"/>
        <w:jc w:val="left"/>
      </w:pPr>
      <w:r>
        <w:rPr>
          <w:rFonts w:cs="EB Garamond"/>
          <w:kern w:val="16"/>
          <w:sz w:val="18"/>
          <w14:ligatures w14:val="standardContextual"/>
        </w:rPr>
        <w:t>Lei 7.347/1985</w:t>
      </w:r>
      <w:r>
        <w:rPr>
          <w:rFonts w:cs="EB Garamond"/>
          <w:color w:val="6B6256"/>
          <w:kern w:val="16"/>
          <w:sz w:val="18"/>
          <w14:ligatures w14:val="standardContextual"/>
        </w:rPr>
        <w:t xml:space="preserve">  Cap. 17, 21</w:t>
      </w:r>
    </w:p>
    <w:p w14:paraId="2B86C69B" w14:textId="77777777" w:rsidR="005A5FCC" w:rsidRDefault="00A21C81">
      <w:pPr>
        <w:spacing w:after="30" w:line="240" w:lineRule="auto"/>
        <w:jc w:val="left"/>
      </w:pPr>
      <w:r>
        <w:rPr>
          <w:rFonts w:cs="EB Garamond"/>
          <w:kern w:val="16"/>
          <w:sz w:val="18"/>
          <w14:ligatures w14:val="standardContextual"/>
        </w:rPr>
        <w:t>Lei 7.369/1985</w:t>
      </w:r>
      <w:r>
        <w:rPr>
          <w:rFonts w:cs="EB Garamond"/>
          <w:color w:val="6B6256"/>
          <w:kern w:val="16"/>
          <w:sz w:val="18"/>
          <w14:ligatures w14:val="standardContextual"/>
        </w:rPr>
        <w:t xml:space="preserve">  Cap. 8</w:t>
      </w:r>
    </w:p>
    <w:p w14:paraId="6C7DEB98" w14:textId="77777777" w:rsidR="005A5FCC" w:rsidRDefault="00A21C81">
      <w:pPr>
        <w:spacing w:after="30" w:line="240" w:lineRule="auto"/>
        <w:jc w:val="left"/>
      </w:pPr>
      <w:r>
        <w:rPr>
          <w:rFonts w:cs="EB Garamond"/>
          <w:kern w:val="16"/>
          <w:sz w:val="18"/>
          <w14:ligatures w14:val="standardContextual"/>
        </w:rPr>
        <w:t>Lei 7.713/1988</w:t>
      </w:r>
      <w:r>
        <w:rPr>
          <w:rFonts w:cs="EB Garamond"/>
          <w:color w:val="6B6256"/>
          <w:kern w:val="16"/>
          <w:sz w:val="18"/>
          <w14:ligatures w14:val="standardContextual"/>
        </w:rPr>
        <w:t xml:space="preserve">  Cap. 23</w:t>
      </w:r>
    </w:p>
    <w:p w14:paraId="35C40468" w14:textId="77777777" w:rsidR="005A5FCC" w:rsidRDefault="00A21C81">
      <w:pPr>
        <w:spacing w:after="30" w:line="240" w:lineRule="auto"/>
        <w:jc w:val="left"/>
      </w:pPr>
      <w:r>
        <w:rPr>
          <w:rFonts w:cs="EB Garamond"/>
          <w:kern w:val="16"/>
          <w:sz w:val="18"/>
          <w14:ligatures w14:val="standardContextual"/>
        </w:rPr>
        <w:t>Lei 7.960/1989</w:t>
      </w:r>
      <w:r>
        <w:rPr>
          <w:rFonts w:cs="EB Garamond"/>
          <w:color w:val="6B6256"/>
          <w:kern w:val="16"/>
          <w:sz w:val="18"/>
          <w14:ligatures w14:val="standardContextual"/>
        </w:rPr>
        <w:t xml:space="preserve">  Cap. 14</w:t>
      </w:r>
    </w:p>
    <w:p w14:paraId="3BE9C9B2" w14:textId="77777777" w:rsidR="005A5FCC" w:rsidRDefault="00A21C81">
      <w:pPr>
        <w:spacing w:after="30" w:line="240" w:lineRule="auto"/>
        <w:jc w:val="left"/>
      </w:pPr>
      <w:r>
        <w:rPr>
          <w:rFonts w:cs="EB Garamond"/>
          <w:kern w:val="16"/>
          <w:sz w:val="18"/>
          <w14:ligatures w14:val="standardContextual"/>
        </w:rPr>
        <w:t>Lei 7.998/1990</w:t>
      </w:r>
      <w:r>
        <w:rPr>
          <w:rFonts w:cs="EB Garamond"/>
          <w:color w:val="6B6256"/>
          <w:kern w:val="16"/>
          <w:sz w:val="18"/>
          <w14:ligatures w14:val="standardContextual"/>
        </w:rPr>
        <w:t xml:space="preserve">  Cap. 13</w:t>
      </w:r>
    </w:p>
    <w:p w14:paraId="12EB892F" w14:textId="77777777" w:rsidR="005A5FCC" w:rsidRDefault="00A21C81">
      <w:pPr>
        <w:spacing w:after="30" w:line="240" w:lineRule="auto"/>
        <w:jc w:val="left"/>
      </w:pPr>
      <w:r>
        <w:rPr>
          <w:rFonts w:cs="EB Garamond"/>
          <w:kern w:val="16"/>
          <w:sz w:val="18"/>
          <w14:ligatures w14:val="standardContextual"/>
        </w:rPr>
        <w:t>Lei 8.036/1990</w:t>
      </w:r>
      <w:r>
        <w:rPr>
          <w:rFonts w:cs="EB Garamond"/>
          <w:color w:val="6B6256"/>
          <w:kern w:val="16"/>
          <w:sz w:val="18"/>
          <w14:ligatures w14:val="standardContextual"/>
        </w:rPr>
        <w:t xml:space="preserve">  Cap. 4, 7</w:t>
      </w:r>
    </w:p>
    <w:p w14:paraId="70FA898B" w14:textId="77777777" w:rsidR="005A5FCC" w:rsidRDefault="00A21C81">
      <w:pPr>
        <w:spacing w:after="30" w:line="240" w:lineRule="auto"/>
        <w:jc w:val="left"/>
      </w:pPr>
      <w:r>
        <w:rPr>
          <w:rFonts w:cs="EB Garamond"/>
          <w:kern w:val="16"/>
          <w:sz w:val="18"/>
          <w14:ligatures w14:val="standardContextual"/>
        </w:rPr>
        <w:t>Lei 8.069/1990</w:t>
      </w:r>
      <w:r>
        <w:rPr>
          <w:rFonts w:cs="EB Garamond"/>
          <w:color w:val="6B6256"/>
          <w:kern w:val="16"/>
          <w:sz w:val="18"/>
          <w14:ligatures w14:val="standardContextual"/>
        </w:rPr>
        <w:t xml:space="preserve">  Cap. 13, 19</w:t>
      </w:r>
    </w:p>
    <w:p w14:paraId="567B7F8C" w14:textId="77777777" w:rsidR="005A5FCC" w:rsidRDefault="00A21C81">
      <w:pPr>
        <w:spacing w:after="30" w:line="240" w:lineRule="auto"/>
        <w:jc w:val="left"/>
      </w:pPr>
      <w:r>
        <w:rPr>
          <w:rFonts w:cs="EB Garamond"/>
          <w:kern w:val="16"/>
          <w:sz w:val="18"/>
          <w14:ligatures w14:val="standardContextual"/>
        </w:rPr>
        <w:t>Lei 8.212/1991</w:t>
      </w:r>
      <w:r>
        <w:rPr>
          <w:rFonts w:cs="EB Garamond"/>
          <w:color w:val="6B6256"/>
          <w:kern w:val="16"/>
          <w:sz w:val="18"/>
          <w14:ligatures w14:val="standardContextual"/>
        </w:rPr>
        <w:t xml:space="preserve">  Cap. 1, 2, 3, 4, 5, 8, 9, 10, 12, 13, 14, 15, 19</w:t>
      </w:r>
    </w:p>
    <w:p w14:paraId="5AD906FC" w14:textId="77777777" w:rsidR="005A5FCC" w:rsidRDefault="00A21C81">
      <w:pPr>
        <w:spacing w:after="30" w:line="240" w:lineRule="auto"/>
        <w:jc w:val="left"/>
      </w:pPr>
      <w:r>
        <w:rPr>
          <w:rFonts w:cs="EB Garamond"/>
          <w:kern w:val="16"/>
          <w:sz w:val="18"/>
          <w14:ligatures w14:val="standardContextual"/>
        </w:rPr>
        <w:t>Lei 8.213/1991</w:t>
      </w:r>
      <w:r>
        <w:rPr>
          <w:rFonts w:cs="EB Garamond"/>
          <w:color w:val="6B6256"/>
          <w:kern w:val="16"/>
          <w:sz w:val="18"/>
          <w14:ligatures w14:val="standardContextual"/>
        </w:rPr>
        <w:t xml:space="preserve">  Cap. 1, 2, 3, 4, 5, 6, 7, 8, 9, 10, 11, 12, 13, 14, 15, 16, 17, 18, 19, 20, 21, 22, 23</w:t>
      </w:r>
    </w:p>
    <w:p w14:paraId="52EDC551" w14:textId="77777777" w:rsidR="005A5FCC" w:rsidRDefault="00A21C81">
      <w:pPr>
        <w:spacing w:after="30" w:line="240" w:lineRule="auto"/>
        <w:jc w:val="left"/>
      </w:pPr>
      <w:r>
        <w:rPr>
          <w:rFonts w:cs="EB Garamond"/>
          <w:kern w:val="16"/>
          <w:sz w:val="18"/>
          <w14:ligatures w14:val="standardContextual"/>
        </w:rPr>
        <w:t>Lei 8.398/1992</w:t>
      </w:r>
      <w:r>
        <w:rPr>
          <w:rFonts w:cs="EB Garamond"/>
          <w:color w:val="6B6256"/>
          <w:kern w:val="16"/>
          <w:sz w:val="18"/>
          <w14:ligatures w14:val="standardContextual"/>
        </w:rPr>
        <w:t xml:space="preserve">  Cap. 2</w:t>
      </w:r>
    </w:p>
    <w:p w14:paraId="06B7911E" w14:textId="77777777" w:rsidR="005A5FCC" w:rsidRDefault="00A21C81">
      <w:pPr>
        <w:spacing w:after="30" w:line="240" w:lineRule="auto"/>
        <w:jc w:val="left"/>
      </w:pPr>
      <w:r>
        <w:rPr>
          <w:rFonts w:cs="EB Garamond"/>
          <w:kern w:val="16"/>
          <w:sz w:val="18"/>
          <w14:ligatures w14:val="standardContextual"/>
        </w:rPr>
        <w:t>Lei 8.540/1992</w:t>
      </w:r>
      <w:r>
        <w:rPr>
          <w:rFonts w:cs="EB Garamond"/>
          <w:color w:val="6B6256"/>
          <w:kern w:val="16"/>
          <w:sz w:val="18"/>
          <w14:ligatures w14:val="standardContextual"/>
        </w:rPr>
        <w:t xml:space="preserve">  Cap. 4</w:t>
      </w:r>
    </w:p>
    <w:p w14:paraId="4B46D376" w14:textId="77777777" w:rsidR="005A5FCC" w:rsidRDefault="00A21C81">
      <w:pPr>
        <w:spacing w:after="30" w:line="240" w:lineRule="auto"/>
        <w:jc w:val="left"/>
      </w:pPr>
      <w:r>
        <w:rPr>
          <w:rFonts w:cs="EB Garamond"/>
          <w:kern w:val="16"/>
          <w:sz w:val="18"/>
          <w14:ligatures w14:val="standardContextual"/>
        </w:rPr>
        <w:t>Lei 8.542/1992</w:t>
      </w:r>
      <w:r>
        <w:rPr>
          <w:rFonts w:cs="EB Garamond"/>
          <w:color w:val="6B6256"/>
          <w:kern w:val="16"/>
          <w:sz w:val="18"/>
          <w14:ligatures w14:val="standardContextual"/>
        </w:rPr>
        <w:t xml:space="preserve">  Cap. 16</w:t>
      </w:r>
    </w:p>
    <w:p w14:paraId="772B2C1B" w14:textId="77777777" w:rsidR="005A5FCC" w:rsidRDefault="00A21C81">
      <w:pPr>
        <w:spacing w:after="30" w:line="240" w:lineRule="auto"/>
        <w:jc w:val="left"/>
      </w:pPr>
      <w:r>
        <w:rPr>
          <w:rFonts w:cs="EB Garamond"/>
          <w:kern w:val="16"/>
          <w:sz w:val="18"/>
          <w14:ligatures w14:val="standardContextual"/>
        </w:rPr>
        <w:t>Lei 8.689/1993</w:t>
      </w:r>
      <w:r>
        <w:rPr>
          <w:rFonts w:cs="EB Garamond"/>
          <w:color w:val="6B6256"/>
          <w:kern w:val="16"/>
          <w:sz w:val="18"/>
          <w14:ligatures w14:val="standardContextual"/>
        </w:rPr>
        <w:t xml:space="preserve">  Cap. 1</w:t>
      </w:r>
    </w:p>
    <w:p w14:paraId="4E480AA2" w14:textId="77777777" w:rsidR="005A5FCC" w:rsidRDefault="00A21C81">
      <w:pPr>
        <w:spacing w:after="30" w:line="240" w:lineRule="auto"/>
        <w:jc w:val="left"/>
      </w:pPr>
      <w:r>
        <w:rPr>
          <w:rFonts w:cs="EB Garamond"/>
          <w:kern w:val="16"/>
          <w:sz w:val="18"/>
          <w14:ligatures w14:val="standardContextual"/>
        </w:rPr>
        <w:lastRenderedPageBreak/>
        <w:t>Lei 8.742/1993</w:t>
      </w:r>
      <w:r>
        <w:rPr>
          <w:rFonts w:cs="EB Garamond"/>
          <w:color w:val="6B6256"/>
          <w:kern w:val="16"/>
          <w:sz w:val="18"/>
          <w14:ligatures w14:val="standardContextual"/>
        </w:rPr>
        <w:t xml:space="preserve">  Cap. 1, 6, 7, 12, 13, 14, 18, 20, 22, 23</w:t>
      </w:r>
    </w:p>
    <w:p w14:paraId="3CCCC863" w14:textId="77777777" w:rsidR="005A5FCC" w:rsidRDefault="00A21C81">
      <w:pPr>
        <w:spacing w:after="30" w:line="240" w:lineRule="auto"/>
        <w:jc w:val="left"/>
      </w:pPr>
      <w:r>
        <w:rPr>
          <w:rFonts w:cs="EB Garamond"/>
          <w:kern w:val="16"/>
          <w:sz w:val="18"/>
          <w14:ligatures w14:val="standardContextual"/>
        </w:rPr>
        <w:t>Lei 8.861/1994</w:t>
      </w:r>
      <w:r>
        <w:rPr>
          <w:rFonts w:cs="EB Garamond"/>
          <w:color w:val="6B6256"/>
          <w:kern w:val="16"/>
          <w:sz w:val="18"/>
          <w14:ligatures w14:val="standardContextual"/>
        </w:rPr>
        <w:t xml:space="preserve">  Cap. 13</w:t>
      </w:r>
    </w:p>
    <w:p w14:paraId="17304826" w14:textId="77777777" w:rsidR="005A5FCC" w:rsidRDefault="00A21C81">
      <w:pPr>
        <w:spacing w:after="30" w:line="240" w:lineRule="auto"/>
        <w:jc w:val="left"/>
      </w:pPr>
      <w:r>
        <w:rPr>
          <w:rFonts w:cs="EB Garamond"/>
          <w:kern w:val="16"/>
          <w:sz w:val="18"/>
          <w14:ligatures w14:val="standardContextual"/>
        </w:rPr>
        <w:t>Lei 8.870/1994</w:t>
      </w:r>
      <w:r>
        <w:rPr>
          <w:rFonts w:cs="EB Garamond"/>
          <w:color w:val="6B6256"/>
          <w:kern w:val="16"/>
          <w:sz w:val="18"/>
          <w14:ligatures w14:val="standardContextual"/>
        </w:rPr>
        <w:t xml:space="preserve">  Cap. 4</w:t>
      </w:r>
    </w:p>
    <w:p w14:paraId="324C868A" w14:textId="77777777" w:rsidR="005A5FCC" w:rsidRDefault="00A21C81">
      <w:pPr>
        <w:spacing w:after="30" w:line="240" w:lineRule="auto"/>
        <w:jc w:val="left"/>
      </w:pPr>
      <w:r>
        <w:rPr>
          <w:rFonts w:cs="EB Garamond"/>
          <w:kern w:val="16"/>
          <w:sz w:val="18"/>
          <w14:ligatures w14:val="standardContextual"/>
        </w:rPr>
        <w:t>Lei 8.880/1994</w:t>
      </w:r>
      <w:r>
        <w:rPr>
          <w:rFonts w:cs="EB Garamond"/>
          <w:color w:val="6B6256"/>
          <w:kern w:val="16"/>
          <w:sz w:val="18"/>
          <w14:ligatures w14:val="standardContextual"/>
        </w:rPr>
        <w:t xml:space="preserve">  Cap. 16</w:t>
      </w:r>
    </w:p>
    <w:p w14:paraId="3CD22078" w14:textId="77777777" w:rsidR="005A5FCC" w:rsidRDefault="00A21C81">
      <w:pPr>
        <w:spacing w:after="30" w:line="240" w:lineRule="auto"/>
        <w:jc w:val="left"/>
      </w:pPr>
      <w:r>
        <w:rPr>
          <w:rFonts w:cs="EB Garamond"/>
          <w:kern w:val="16"/>
          <w:sz w:val="18"/>
          <w14:ligatures w14:val="standardContextual"/>
        </w:rPr>
        <w:t>Lei 8.906/1994</w:t>
      </w:r>
      <w:r>
        <w:rPr>
          <w:rFonts w:cs="EB Garamond"/>
          <w:color w:val="6B6256"/>
          <w:kern w:val="16"/>
          <w:sz w:val="18"/>
          <w14:ligatures w14:val="standardContextual"/>
        </w:rPr>
        <w:t xml:space="preserve">  Cap. 23</w:t>
      </w:r>
    </w:p>
    <w:p w14:paraId="6434683E" w14:textId="77777777" w:rsidR="005A5FCC" w:rsidRDefault="00A21C81">
      <w:pPr>
        <w:spacing w:after="30" w:line="240" w:lineRule="auto"/>
        <w:jc w:val="left"/>
      </w:pPr>
      <w:r>
        <w:rPr>
          <w:rFonts w:cs="EB Garamond"/>
          <w:kern w:val="16"/>
          <w:sz w:val="18"/>
          <w14:ligatures w14:val="standardContextual"/>
        </w:rPr>
        <w:t>Lei 9.032/1995</w:t>
      </w:r>
      <w:r>
        <w:rPr>
          <w:rFonts w:cs="EB Garamond"/>
          <w:color w:val="6B6256"/>
          <w:kern w:val="16"/>
          <w:sz w:val="18"/>
          <w14:ligatures w14:val="standardContextual"/>
        </w:rPr>
        <w:t xml:space="preserve">  Cap. 2, 5, 6, 7, 8, 10, 15, 16, 17, 19</w:t>
      </w:r>
    </w:p>
    <w:p w14:paraId="49900BC2" w14:textId="77777777" w:rsidR="005A5FCC" w:rsidRDefault="00A21C81">
      <w:pPr>
        <w:spacing w:after="30" w:line="240" w:lineRule="auto"/>
        <w:jc w:val="left"/>
      </w:pPr>
      <w:r>
        <w:rPr>
          <w:rFonts w:cs="EB Garamond"/>
          <w:kern w:val="16"/>
          <w:sz w:val="18"/>
          <w14:ligatures w14:val="standardContextual"/>
        </w:rPr>
        <w:t>Lei 9.069/1995</w:t>
      </w:r>
      <w:r>
        <w:rPr>
          <w:rFonts w:cs="EB Garamond"/>
          <w:color w:val="6B6256"/>
          <w:kern w:val="16"/>
          <w:sz w:val="18"/>
          <w14:ligatures w14:val="standardContextual"/>
        </w:rPr>
        <w:t xml:space="preserve">  Cap. 16</w:t>
      </w:r>
    </w:p>
    <w:p w14:paraId="361FE745" w14:textId="77777777" w:rsidR="005A5FCC" w:rsidRDefault="00A21C81">
      <w:pPr>
        <w:spacing w:after="30" w:line="240" w:lineRule="auto"/>
        <w:jc w:val="left"/>
      </w:pPr>
      <w:r>
        <w:rPr>
          <w:rFonts w:cs="EB Garamond"/>
          <w:kern w:val="16"/>
          <w:sz w:val="18"/>
          <w14:ligatures w14:val="standardContextual"/>
        </w:rPr>
        <w:t>Lei 9.099/1995</w:t>
      </w:r>
      <w:r>
        <w:rPr>
          <w:rFonts w:cs="EB Garamond"/>
          <w:color w:val="6B6256"/>
          <w:kern w:val="16"/>
          <w:sz w:val="18"/>
          <w14:ligatures w14:val="standardContextual"/>
        </w:rPr>
        <w:t xml:space="preserve">  Cap. 4, 5, 6, 7, 8, 10, 11, 12, 13, 14, 15, 17, 18, 21, 23</w:t>
      </w:r>
    </w:p>
    <w:p w14:paraId="00F81B16" w14:textId="77777777" w:rsidR="005A5FCC" w:rsidRDefault="00A21C81">
      <w:pPr>
        <w:spacing w:after="30" w:line="240" w:lineRule="auto"/>
        <w:jc w:val="left"/>
      </w:pPr>
      <w:r>
        <w:rPr>
          <w:rFonts w:cs="EB Garamond"/>
          <w:kern w:val="16"/>
          <w:sz w:val="18"/>
          <w14:ligatures w14:val="standardContextual"/>
        </w:rPr>
        <w:t>Lei 9.289/1996</w:t>
      </w:r>
      <w:r>
        <w:rPr>
          <w:rFonts w:cs="EB Garamond"/>
          <w:color w:val="6B6256"/>
          <w:kern w:val="16"/>
          <w:sz w:val="18"/>
          <w14:ligatures w14:val="standardContextual"/>
        </w:rPr>
        <w:t xml:space="preserve">  Cap. 23</w:t>
      </w:r>
    </w:p>
    <w:p w14:paraId="4933C660" w14:textId="77777777" w:rsidR="005A5FCC" w:rsidRDefault="00A21C81">
      <w:pPr>
        <w:spacing w:after="30" w:line="240" w:lineRule="auto"/>
        <w:jc w:val="left"/>
      </w:pPr>
      <w:r>
        <w:rPr>
          <w:rFonts w:cs="EB Garamond"/>
          <w:kern w:val="16"/>
          <w:sz w:val="18"/>
          <w14:ligatures w14:val="standardContextual"/>
        </w:rPr>
        <w:t>Lei 9.394/1996</w:t>
      </w:r>
      <w:r>
        <w:rPr>
          <w:rFonts w:cs="EB Garamond"/>
          <w:color w:val="6B6256"/>
          <w:kern w:val="16"/>
          <w:sz w:val="18"/>
          <w14:ligatures w14:val="standardContextual"/>
        </w:rPr>
        <w:t xml:space="preserve">  Cap. 11</w:t>
      </w:r>
    </w:p>
    <w:p w14:paraId="624E313B" w14:textId="77777777" w:rsidR="005A5FCC" w:rsidRDefault="00A21C81">
      <w:pPr>
        <w:spacing w:after="30" w:line="240" w:lineRule="auto"/>
        <w:jc w:val="left"/>
      </w:pPr>
      <w:r>
        <w:rPr>
          <w:rFonts w:cs="EB Garamond"/>
          <w:kern w:val="16"/>
          <w:sz w:val="18"/>
          <w14:ligatures w14:val="standardContextual"/>
        </w:rPr>
        <w:t>Lei 9.430/1996</w:t>
      </w:r>
      <w:r>
        <w:rPr>
          <w:rFonts w:cs="EB Garamond"/>
          <w:color w:val="6B6256"/>
          <w:kern w:val="16"/>
          <w:sz w:val="18"/>
          <w14:ligatures w14:val="standardContextual"/>
        </w:rPr>
        <w:t xml:space="preserve">  Cap. 13</w:t>
      </w:r>
    </w:p>
    <w:p w14:paraId="6CC3A05D" w14:textId="77777777" w:rsidR="005A5FCC" w:rsidRDefault="00A21C81">
      <w:pPr>
        <w:spacing w:after="30" w:line="240" w:lineRule="auto"/>
        <w:jc w:val="left"/>
      </w:pPr>
      <w:r>
        <w:rPr>
          <w:rFonts w:cs="EB Garamond"/>
          <w:kern w:val="16"/>
          <w:sz w:val="18"/>
          <w14:ligatures w14:val="standardContextual"/>
        </w:rPr>
        <w:t>Lei 9.494/1997</w:t>
      </w:r>
      <w:r>
        <w:rPr>
          <w:rFonts w:cs="EB Garamond"/>
          <w:color w:val="6B6256"/>
          <w:kern w:val="16"/>
          <w:sz w:val="18"/>
          <w14:ligatures w14:val="standardContextual"/>
        </w:rPr>
        <w:t xml:space="preserve">  Cap. 17, 23</w:t>
      </w:r>
    </w:p>
    <w:p w14:paraId="27EBFA43" w14:textId="77777777" w:rsidR="005A5FCC" w:rsidRDefault="00A21C81">
      <w:pPr>
        <w:spacing w:after="30" w:line="240" w:lineRule="auto"/>
        <w:jc w:val="left"/>
      </w:pPr>
      <w:r>
        <w:rPr>
          <w:rFonts w:cs="EB Garamond"/>
          <w:kern w:val="16"/>
          <w:sz w:val="18"/>
          <w14:ligatures w14:val="standardContextual"/>
        </w:rPr>
        <w:t>Lei 9.506/1997</w:t>
      </w:r>
      <w:r>
        <w:rPr>
          <w:rFonts w:cs="EB Garamond"/>
          <w:color w:val="6B6256"/>
          <w:kern w:val="16"/>
          <w:sz w:val="18"/>
          <w14:ligatures w14:val="standardContextual"/>
        </w:rPr>
        <w:t xml:space="preserve">  Cap. 2</w:t>
      </w:r>
    </w:p>
    <w:p w14:paraId="22EC942A" w14:textId="77777777" w:rsidR="005A5FCC" w:rsidRDefault="00A21C81">
      <w:pPr>
        <w:spacing w:after="30" w:line="240" w:lineRule="auto"/>
        <w:jc w:val="left"/>
      </w:pPr>
      <w:r>
        <w:rPr>
          <w:rFonts w:cs="EB Garamond"/>
          <w:kern w:val="16"/>
          <w:sz w:val="18"/>
          <w14:ligatures w14:val="standardContextual"/>
        </w:rPr>
        <w:t>Lei 9.528/1997</w:t>
      </w:r>
      <w:r>
        <w:rPr>
          <w:rFonts w:cs="EB Garamond"/>
          <w:color w:val="6B6256"/>
          <w:kern w:val="16"/>
          <w:sz w:val="18"/>
          <w14:ligatures w14:val="standardContextual"/>
        </w:rPr>
        <w:t xml:space="preserve">  Cap. 4, 6, 7, 8, 15, 16, 17, 19, 20, 21</w:t>
      </w:r>
    </w:p>
    <w:p w14:paraId="68FCCF18" w14:textId="77777777" w:rsidR="005A5FCC" w:rsidRDefault="00A21C81">
      <w:pPr>
        <w:spacing w:after="30" w:line="240" w:lineRule="auto"/>
        <w:jc w:val="left"/>
      </w:pPr>
      <w:r>
        <w:rPr>
          <w:rFonts w:cs="EB Garamond"/>
          <w:kern w:val="16"/>
          <w:sz w:val="18"/>
          <w14:ligatures w14:val="standardContextual"/>
        </w:rPr>
        <w:t>Lei 9.711/1998</w:t>
      </w:r>
      <w:r>
        <w:rPr>
          <w:rFonts w:cs="EB Garamond"/>
          <w:color w:val="6B6256"/>
          <w:kern w:val="16"/>
          <w:sz w:val="18"/>
          <w14:ligatures w14:val="standardContextual"/>
        </w:rPr>
        <w:t xml:space="preserve">  Cap. 4, 5, 8, 16, 17, 21</w:t>
      </w:r>
    </w:p>
    <w:p w14:paraId="45A1C2A1" w14:textId="77777777" w:rsidR="005A5FCC" w:rsidRDefault="00A21C81">
      <w:pPr>
        <w:spacing w:after="30" w:line="240" w:lineRule="auto"/>
        <w:jc w:val="left"/>
      </w:pPr>
      <w:r>
        <w:rPr>
          <w:rFonts w:cs="EB Garamond"/>
          <w:kern w:val="16"/>
          <w:sz w:val="18"/>
          <w14:ligatures w14:val="standardContextual"/>
        </w:rPr>
        <w:t>Lei 9.720/1998</w:t>
      </w:r>
      <w:r>
        <w:rPr>
          <w:rFonts w:cs="EB Garamond"/>
          <w:color w:val="6B6256"/>
          <w:kern w:val="16"/>
          <w:sz w:val="18"/>
          <w14:ligatures w14:val="standardContextual"/>
        </w:rPr>
        <w:t xml:space="preserve">  Cap. 18</w:t>
      </w:r>
    </w:p>
    <w:p w14:paraId="69B47E71" w14:textId="77777777" w:rsidR="005A5FCC" w:rsidRDefault="00A21C81">
      <w:pPr>
        <w:spacing w:after="30" w:line="240" w:lineRule="auto"/>
        <w:jc w:val="left"/>
      </w:pPr>
      <w:r>
        <w:rPr>
          <w:rFonts w:cs="EB Garamond"/>
          <w:kern w:val="16"/>
          <w:sz w:val="18"/>
          <w14:ligatures w14:val="standardContextual"/>
        </w:rPr>
        <w:t>Lei 9.784/1999</w:t>
      </w:r>
      <w:r>
        <w:rPr>
          <w:rFonts w:cs="EB Garamond"/>
          <w:color w:val="6B6256"/>
          <w:kern w:val="16"/>
          <w:sz w:val="18"/>
          <w14:ligatures w14:val="standardContextual"/>
        </w:rPr>
        <w:t xml:space="preserve">  Cap. 10, 21, 22</w:t>
      </w:r>
    </w:p>
    <w:p w14:paraId="4C639ABA" w14:textId="77777777" w:rsidR="005A5FCC" w:rsidRDefault="00A21C81">
      <w:pPr>
        <w:spacing w:after="30" w:line="240" w:lineRule="auto"/>
        <w:jc w:val="left"/>
      </w:pPr>
      <w:r>
        <w:rPr>
          <w:rFonts w:cs="EB Garamond"/>
          <w:kern w:val="16"/>
          <w:sz w:val="18"/>
          <w14:ligatures w14:val="standardContextual"/>
        </w:rPr>
        <w:t>Lei 9.796/1999</w:t>
      </w:r>
      <w:r>
        <w:rPr>
          <w:rFonts w:cs="EB Garamond"/>
          <w:color w:val="6B6256"/>
          <w:kern w:val="16"/>
          <w:sz w:val="18"/>
          <w14:ligatures w14:val="standardContextual"/>
        </w:rPr>
        <w:t xml:space="preserve">  Cap. 4, 5, 11</w:t>
      </w:r>
    </w:p>
    <w:p w14:paraId="2433BE12" w14:textId="77777777" w:rsidR="005A5FCC" w:rsidRDefault="00A21C81">
      <w:pPr>
        <w:spacing w:after="30" w:line="240" w:lineRule="auto"/>
        <w:jc w:val="left"/>
      </w:pPr>
      <w:r>
        <w:rPr>
          <w:rFonts w:cs="EB Garamond"/>
          <w:kern w:val="16"/>
          <w:sz w:val="18"/>
          <w14:ligatures w14:val="standardContextual"/>
        </w:rPr>
        <w:t>Lei 9.876/1999</w:t>
      </w:r>
      <w:r>
        <w:rPr>
          <w:rFonts w:cs="EB Garamond"/>
          <w:color w:val="6B6256"/>
          <w:kern w:val="16"/>
          <w:sz w:val="18"/>
          <w14:ligatures w14:val="standardContextual"/>
        </w:rPr>
        <w:t xml:space="preserve">  Cap. 1, 2, 3, 5, 7, 8, 10, 11, 13, 16, 17</w:t>
      </w:r>
    </w:p>
    <w:p w14:paraId="700F6C9D" w14:textId="77777777" w:rsidR="005A5FCC" w:rsidRDefault="00A21C81">
      <w:pPr>
        <w:spacing w:after="30" w:line="240" w:lineRule="auto"/>
        <w:jc w:val="left"/>
      </w:pPr>
      <w:r>
        <w:rPr>
          <w:rFonts w:cs="EB Garamond"/>
          <w:kern w:val="16"/>
          <w:sz w:val="18"/>
          <w14:ligatures w14:val="standardContextual"/>
        </w:rPr>
        <w:t>MP 1.523</w:t>
      </w:r>
      <w:r>
        <w:rPr>
          <w:rFonts w:cs="EB Garamond"/>
          <w:color w:val="6B6256"/>
          <w:kern w:val="16"/>
          <w:sz w:val="18"/>
          <w14:ligatures w14:val="standardContextual"/>
        </w:rPr>
        <w:t xml:space="preserve">  Cap. 21</w:t>
      </w:r>
    </w:p>
    <w:p w14:paraId="1AC6A618" w14:textId="77777777" w:rsidR="005A5FCC" w:rsidRDefault="00A21C81">
      <w:pPr>
        <w:spacing w:after="30" w:line="240" w:lineRule="auto"/>
        <w:jc w:val="left"/>
      </w:pPr>
      <w:r>
        <w:rPr>
          <w:rFonts w:cs="EB Garamond"/>
          <w:kern w:val="16"/>
          <w:sz w:val="18"/>
          <w14:ligatures w14:val="standardContextual"/>
        </w:rPr>
        <w:t>MP 1.523/1996</w:t>
      </w:r>
      <w:r>
        <w:rPr>
          <w:rFonts w:cs="EB Garamond"/>
          <w:color w:val="6B6256"/>
          <w:kern w:val="16"/>
          <w:sz w:val="18"/>
          <w14:ligatures w14:val="standardContextual"/>
        </w:rPr>
        <w:t xml:space="preserve">  Cap. 4, 8, 19</w:t>
      </w:r>
    </w:p>
    <w:p w14:paraId="51DE9F4A" w14:textId="77777777" w:rsidR="005A5FCC" w:rsidRDefault="00A21C81">
      <w:pPr>
        <w:spacing w:after="30" w:line="240" w:lineRule="auto"/>
        <w:jc w:val="left"/>
      </w:pPr>
      <w:r>
        <w:rPr>
          <w:rFonts w:cs="EB Garamond"/>
          <w:kern w:val="16"/>
          <w:sz w:val="18"/>
          <w14:ligatures w14:val="standardContextual"/>
        </w:rPr>
        <w:t>MP 1.596</w:t>
      </w:r>
      <w:r>
        <w:rPr>
          <w:rFonts w:cs="EB Garamond"/>
          <w:color w:val="6B6256"/>
          <w:kern w:val="16"/>
          <w:sz w:val="18"/>
          <w14:ligatures w14:val="standardContextual"/>
        </w:rPr>
        <w:t xml:space="preserve">  Cap. 15, 20</w:t>
      </w:r>
    </w:p>
    <w:p w14:paraId="6491B90A" w14:textId="77777777" w:rsidR="005A5FCC" w:rsidRDefault="00A21C81">
      <w:pPr>
        <w:spacing w:after="30" w:line="240" w:lineRule="auto"/>
        <w:jc w:val="left"/>
      </w:pPr>
      <w:r>
        <w:rPr>
          <w:rFonts w:cs="EB Garamond"/>
          <w:kern w:val="16"/>
          <w:sz w:val="18"/>
          <w14:ligatures w14:val="standardContextual"/>
        </w:rPr>
        <w:t>MP 1.663</w:t>
      </w:r>
      <w:r>
        <w:rPr>
          <w:rFonts w:cs="EB Garamond"/>
          <w:color w:val="6B6256"/>
          <w:kern w:val="16"/>
          <w:sz w:val="18"/>
          <w14:ligatures w14:val="standardContextual"/>
        </w:rPr>
        <w:t xml:space="preserve">  Cap. 8, 21</w:t>
      </w:r>
    </w:p>
    <w:p w14:paraId="4574A8B2" w14:textId="77777777" w:rsidR="005A5FCC" w:rsidRDefault="00A21C81">
      <w:pPr>
        <w:spacing w:after="30" w:line="240" w:lineRule="auto"/>
        <w:jc w:val="left"/>
      </w:pPr>
      <w:r>
        <w:rPr>
          <w:rFonts w:cs="EB Garamond"/>
          <w:kern w:val="16"/>
          <w:sz w:val="18"/>
          <w14:ligatures w14:val="standardContextual"/>
        </w:rPr>
        <w:t>MP 138</w:t>
      </w:r>
      <w:r>
        <w:rPr>
          <w:rFonts w:cs="EB Garamond"/>
          <w:color w:val="6B6256"/>
          <w:kern w:val="16"/>
          <w:sz w:val="18"/>
          <w14:ligatures w14:val="standardContextual"/>
        </w:rPr>
        <w:t xml:space="preserve">  Cap. 21</w:t>
      </w:r>
    </w:p>
    <w:p w14:paraId="27789C5E" w14:textId="77777777" w:rsidR="005A5FCC" w:rsidRDefault="00A21C81">
      <w:pPr>
        <w:spacing w:after="30" w:line="240" w:lineRule="auto"/>
        <w:jc w:val="left"/>
      </w:pPr>
      <w:r>
        <w:rPr>
          <w:rFonts w:cs="EB Garamond"/>
          <w:kern w:val="16"/>
          <w:sz w:val="18"/>
          <w14:ligatures w14:val="standardContextual"/>
        </w:rPr>
        <w:t>MP 316</w:t>
      </w:r>
      <w:r>
        <w:rPr>
          <w:rFonts w:cs="EB Garamond"/>
          <w:color w:val="6B6256"/>
          <w:kern w:val="16"/>
          <w:sz w:val="18"/>
          <w14:ligatures w14:val="standardContextual"/>
        </w:rPr>
        <w:t xml:space="preserve">  Cap. 16</w:t>
      </w:r>
    </w:p>
    <w:p w14:paraId="5913849C" w14:textId="77777777" w:rsidR="005A5FCC" w:rsidRDefault="00A21C81">
      <w:pPr>
        <w:spacing w:after="30" w:line="240" w:lineRule="auto"/>
        <w:jc w:val="left"/>
      </w:pPr>
      <w:r>
        <w:rPr>
          <w:rFonts w:cs="EB Garamond"/>
          <w:kern w:val="16"/>
          <w:sz w:val="18"/>
          <w14:ligatures w14:val="standardContextual"/>
        </w:rPr>
        <w:t>MP 739/2016</w:t>
      </w:r>
      <w:r>
        <w:rPr>
          <w:rFonts w:cs="EB Garamond"/>
          <w:color w:val="6B6256"/>
          <w:kern w:val="16"/>
          <w:sz w:val="18"/>
          <w14:ligatures w14:val="standardContextual"/>
        </w:rPr>
        <w:t xml:space="preserve">  Cap. 7</w:t>
      </w:r>
    </w:p>
    <w:p w14:paraId="5CD332EE" w14:textId="77777777" w:rsidR="005A5FCC" w:rsidRDefault="00A21C81">
      <w:pPr>
        <w:spacing w:after="30" w:line="240" w:lineRule="auto"/>
        <w:jc w:val="left"/>
      </w:pPr>
      <w:r>
        <w:rPr>
          <w:rFonts w:cs="EB Garamond"/>
          <w:kern w:val="16"/>
          <w:sz w:val="18"/>
          <w14:ligatures w14:val="standardContextual"/>
        </w:rPr>
        <w:t>MP 767/2017</w:t>
      </w:r>
      <w:r>
        <w:rPr>
          <w:rFonts w:cs="EB Garamond"/>
          <w:color w:val="6B6256"/>
          <w:kern w:val="16"/>
          <w:sz w:val="18"/>
          <w14:ligatures w14:val="standardContextual"/>
        </w:rPr>
        <w:t xml:space="preserve">  Cap. 7</w:t>
      </w:r>
    </w:p>
    <w:p w14:paraId="2D55C1A2" w14:textId="77777777" w:rsidR="005A5FCC" w:rsidRDefault="00A21C81">
      <w:pPr>
        <w:spacing w:after="30" w:line="240" w:lineRule="auto"/>
        <w:jc w:val="left"/>
      </w:pPr>
      <w:r>
        <w:rPr>
          <w:rFonts w:cs="EB Garamond"/>
          <w:kern w:val="16"/>
          <w:sz w:val="18"/>
          <w14:ligatures w14:val="standardContextual"/>
        </w:rPr>
        <w:t>MP 871/2019</w:t>
      </w:r>
      <w:r>
        <w:rPr>
          <w:rFonts w:cs="EB Garamond"/>
          <w:color w:val="6B6256"/>
          <w:kern w:val="16"/>
          <w:sz w:val="18"/>
          <w14:ligatures w14:val="standardContextual"/>
        </w:rPr>
        <w:t xml:space="preserve">  Cap. 3, 7, 21</w:t>
      </w:r>
    </w:p>
    <w:p w14:paraId="4DF23047" w14:textId="77777777" w:rsidR="005A5FCC" w:rsidRDefault="00A21C81">
      <w:pPr>
        <w:spacing w:after="30" w:line="240" w:lineRule="auto"/>
        <w:jc w:val="left"/>
      </w:pPr>
      <w:r>
        <w:rPr>
          <w:rFonts w:cs="EB Garamond"/>
          <w:kern w:val="16"/>
          <w:sz w:val="18"/>
          <w14:ligatures w14:val="standardContextual"/>
        </w:rPr>
        <w:t>Portaria 125/2026</w:t>
      </w:r>
      <w:r>
        <w:rPr>
          <w:rFonts w:cs="EB Garamond"/>
          <w:color w:val="6B6256"/>
          <w:kern w:val="16"/>
          <w:sz w:val="18"/>
          <w14:ligatures w14:val="standardContextual"/>
        </w:rPr>
        <w:t xml:space="preserve">  Cap. 22</w:t>
      </w:r>
    </w:p>
    <w:p w14:paraId="5F32F81F" w14:textId="77777777" w:rsidR="005A5FCC" w:rsidRDefault="00A21C81">
      <w:pPr>
        <w:pBdr>
          <w:bottom w:val="single" w:sz="8" w:space="4" w:color="D7CDBB"/>
        </w:pBdr>
        <w:spacing w:before="240" w:after="80" w:line="240" w:lineRule="auto"/>
        <w:jc w:val="left"/>
      </w:pPr>
      <w:r>
        <w:rPr>
          <w:rFonts w:cs="EB Garamond"/>
          <w:b/>
          <w:color w:val="3A3128"/>
          <w:kern w:val="16"/>
          <w:sz w:val="24"/>
          <w14:ligatures w14:val="standardContextual"/>
        </w:rPr>
        <w:t>Súmulas e Temas Repetitivos</w:t>
      </w:r>
    </w:p>
    <w:p w14:paraId="41659F6B" w14:textId="77777777" w:rsidR="005A5FCC" w:rsidRDefault="00A21C81">
      <w:pPr>
        <w:spacing w:after="30" w:line="240" w:lineRule="auto"/>
        <w:jc w:val="left"/>
      </w:pPr>
      <w:r>
        <w:rPr>
          <w:rFonts w:cs="EB Garamond"/>
          <w:kern w:val="16"/>
          <w:sz w:val="18"/>
          <w14:ligatures w14:val="standardContextual"/>
        </w:rPr>
        <w:t>Súmula 149/STJ</w:t>
      </w:r>
      <w:r>
        <w:rPr>
          <w:rFonts w:cs="EB Garamond"/>
          <w:color w:val="6B6256"/>
          <w:kern w:val="16"/>
          <w:sz w:val="18"/>
          <w14:ligatures w14:val="standardContextual"/>
        </w:rPr>
        <w:t xml:space="preserve">  Cap. 5, 9, 19</w:t>
      </w:r>
    </w:p>
    <w:p w14:paraId="72A1A3C2" w14:textId="77777777" w:rsidR="005A5FCC" w:rsidRDefault="00A21C81">
      <w:pPr>
        <w:spacing w:after="30" w:line="240" w:lineRule="auto"/>
        <w:jc w:val="left"/>
      </w:pPr>
      <w:r>
        <w:rPr>
          <w:rFonts w:cs="EB Garamond"/>
          <w:kern w:val="16"/>
          <w:sz w:val="18"/>
          <w14:ligatures w14:val="standardContextual"/>
        </w:rPr>
        <w:t>Súmula 15/STJ</w:t>
      </w:r>
      <w:r>
        <w:rPr>
          <w:rFonts w:cs="EB Garamond"/>
          <w:color w:val="6B6256"/>
          <w:kern w:val="16"/>
          <w:sz w:val="18"/>
          <w14:ligatures w14:val="standardContextual"/>
        </w:rPr>
        <w:t xml:space="preserve">  Cap. 19</w:t>
      </w:r>
    </w:p>
    <w:p w14:paraId="3E144C27" w14:textId="77777777" w:rsidR="005A5FCC" w:rsidRDefault="00A21C81">
      <w:pPr>
        <w:spacing w:after="30" w:line="240" w:lineRule="auto"/>
        <w:jc w:val="left"/>
      </w:pPr>
      <w:r>
        <w:rPr>
          <w:rFonts w:cs="EB Garamond"/>
          <w:kern w:val="16"/>
          <w:sz w:val="18"/>
          <w14:ligatures w14:val="standardContextual"/>
        </w:rPr>
        <w:t>Súmula 203/STJ</w:t>
      </w:r>
      <w:r>
        <w:rPr>
          <w:rFonts w:cs="EB Garamond"/>
          <w:color w:val="6B6256"/>
          <w:kern w:val="16"/>
          <w:sz w:val="18"/>
          <w14:ligatures w14:val="standardContextual"/>
        </w:rPr>
        <w:t xml:space="preserve">  Cap. 23</w:t>
      </w:r>
    </w:p>
    <w:p w14:paraId="2BBA459E" w14:textId="77777777" w:rsidR="005A5FCC" w:rsidRDefault="00A21C81">
      <w:pPr>
        <w:spacing w:after="30" w:line="240" w:lineRule="auto"/>
        <w:jc w:val="left"/>
      </w:pPr>
      <w:r>
        <w:rPr>
          <w:rFonts w:cs="EB Garamond"/>
          <w:kern w:val="16"/>
          <w:sz w:val="18"/>
          <w14:ligatures w14:val="standardContextual"/>
        </w:rPr>
        <w:t>Súmula 336/STJ</w:t>
      </w:r>
      <w:r>
        <w:rPr>
          <w:rFonts w:cs="EB Garamond"/>
          <w:color w:val="6B6256"/>
          <w:kern w:val="16"/>
          <w:sz w:val="18"/>
          <w14:ligatures w14:val="standardContextual"/>
        </w:rPr>
        <w:t xml:space="preserve">  Cap. 2, 19</w:t>
      </w:r>
    </w:p>
    <w:p w14:paraId="240D82E3" w14:textId="77777777" w:rsidR="005A5FCC" w:rsidRDefault="00A21C81">
      <w:pPr>
        <w:spacing w:after="30" w:line="240" w:lineRule="auto"/>
        <w:jc w:val="left"/>
      </w:pPr>
      <w:r>
        <w:rPr>
          <w:rFonts w:cs="EB Garamond"/>
          <w:kern w:val="16"/>
          <w:sz w:val="18"/>
          <w14:ligatures w14:val="standardContextual"/>
        </w:rPr>
        <w:t>Súmula 340/STJ</w:t>
      </w:r>
      <w:r>
        <w:rPr>
          <w:rFonts w:cs="EB Garamond"/>
          <w:color w:val="6B6256"/>
          <w:kern w:val="16"/>
          <w:sz w:val="18"/>
          <w14:ligatures w14:val="standardContextual"/>
        </w:rPr>
        <w:t xml:space="preserve">  Cap. 3</w:t>
      </w:r>
    </w:p>
    <w:p w14:paraId="3562F2B1" w14:textId="77777777" w:rsidR="005A5FCC" w:rsidRDefault="00A21C81">
      <w:pPr>
        <w:spacing w:after="30" w:line="240" w:lineRule="auto"/>
        <w:jc w:val="left"/>
      </w:pPr>
      <w:r>
        <w:rPr>
          <w:rFonts w:cs="EB Garamond"/>
          <w:kern w:val="16"/>
          <w:sz w:val="18"/>
          <w14:ligatures w14:val="standardContextual"/>
        </w:rPr>
        <w:t>Súmula 416/STJ</w:t>
      </w:r>
      <w:r>
        <w:rPr>
          <w:rFonts w:cs="EB Garamond"/>
          <w:color w:val="6B6256"/>
          <w:kern w:val="16"/>
          <w:sz w:val="18"/>
          <w14:ligatures w14:val="standardContextual"/>
        </w:rPr>
        <w:t xml:space="preserve">  Cap. 3</w:t>
      </w:r>
    </w:p>
    <w:p w14:paraId="30053AEE" w14:textId="77777777" w:rsidR="005A5FCC" w:rsidRDefault="00A21C81">
      <w:pPr>
        <w:spacing w:after="30" w:line="240" w:lineRule="auto"/>
        <w:jc w:val="left"/>
      </w:pPr>
      <w:r>
        <w:rPr>
          <w:rFonts w:cs="EB Garamond"/>
          <w:kern w:val="16"/>
          <w:sz w:val="18"/>
          <w14:ligatures w14:val="standardContextual"/>
        </w:rPr>
        <w:lastRenderedPageBreak/>
        <w:t>Súmula 44/STJ</w:t>
      </w:r>
      <w:r>
        <w:rPr>
          <w:rFonts w:cs="EB Garamond"/>
          <w:color w:val="6B6256"/>
          <w:kern w:val="16"/>
          <w:sz w:val="18"/>
          <w14:ligatures w14:val="standardContextual"/>
        </w:rPr>
        <w:t xml:space="preserve">  Cap. 15</w:t>
      </w:r>
    </w:p>
    <w:p w14:paraId="53B29301" w14:textId="77777777" w:rsidR="005A5FCC" w:rsidRDefault="00A21C81">
      <w:pPr>
        <w:spacing w:after="30" w:line="240" w:lineRule="auto"/>
        <w:jc w:val="left"/>
      </w:pPr>
      <w:r>
        <w:rPr>
          <w:rFonts w:cs="EB Garamond"/>
          <w:kern w:val="16"/>
          <w:sz w:val="18"/>
          <w14:ligatures w14:val="standardContextual"/>
        </w:rPr>
        <w:t>Súmula 501/STF</w:t>
      </w:r>
      <w:r>
        <w:rPr>
          <w:rFonts w:cs="EB Garamond"/>
          <w:color w:val="6B6256"/>
          <w:kern w:val="16"/>
          <w:sz w:val="18"/>
          <w14:ligatures w14:val="standardContextual"/>
        </w:rPr>
        <w:t xml:space="preserve">  Cap. 7, 23</w:t>
      </w:r>
    </w:p>
    <w:p w14:paraId="04BE5F57" w14:textId="77777777" w:rsidR="005A5FCC" w:rsidRDefault="00A21C81">
      <w:pPr>
        <w:spacing w:after="30" w:line="240" w:lineRule="auto"/>
        <w:jc w:val="left"/>
      </w:pPr>
      <w:r>
        <w:rPr>
          <w:rFonts w:cs="EB Garamond"/>
          <w:kern w:val="16"/>
          <w:sz w:val="18"/>
          <w14:ligatures w14:val="standardContextual"/>
        </w:rPr>
        <w:t>Súmula 507/STJ</w:t>
      </w:r>
      <w:r>
        <w:rPr>
          <w:rFonts w:cs="EB Garamond"/>
          <w:color w:val="6B6256"/>
          <w:kern w:val="16"/>
          <w:sz w:val="18"/>
          <w14:ligatures w14:val="standardContextual"/>
        </w:rPr>
        <w:t xml:space="preserve">  Cap. 15</w:t>
      </w:r>
    </w:p>
    <w:p w14:paraId="165C3525" w14:textId="77777777" w:rsidR="005A5FCC" w:rsidRDefault="00A21C81">
      <w:pPr>
        <w:spacing w:after="30" w:line="240" w:lineRule="auto"/>
        <w:jc w:val="left"/>
      </w:pPr>
      <w:r>
        <w:rPr>
          <w:rFonts w:cs="EB Garamond"/>
          <w:kern w:val="16"/>
          <w:sz w:val="18"/>
          <w14:ligatures w14:val="standardContextual"/>
        </w:rPr>
        <w:t>Súmula 577/STJ</w:t>
      </w:r>
      <w:r>
        <w:rPr>
          <w:rFonts w:cs="EB Garamond"/>
          <w:color w:val="6B6256"/>
          <w:kern w:val="16"/>
          <w:sz w:val="18"/>
          <w14:ligatures w14:val="standardContextual"/>
        </w:rPr>
        <w:t xml:space="preserve">  Cap. 3, 5, 9</w:t>
      </w:r>
    </w:p>
    <w:p w14:paraId="6A6F8A2E" w14:textId="77777777" w:rsidR="005A5FCC" w:rsidRDefault="00A21C81">
      <w:pPr>
        <w:spacing w:after="30" w:line="240" w:lineRule="auto"/>
        <w:jc w:val="left"/>
      </w:pPr>
      <w:r>
        <w:rPr>
          <w:rFonts w:cs="EB Garamond"/>
          <w:kern w:val="16"/>
          <w:sz w:val="18"/>
          <w14:ligatures w14:val="standardContextual"/>
        </w:rPr>
        <w:t>Súmula 689/STF</w:t>
      </w:r>
      <w:r>
        <w:rPr>
          <w:rFonts w:cs="EB Garamond"/>
          <w:color w:val="6B6256"/>
          <w:kern w:val="16"/>
          <w:sz w:val="18"/>
          <w14:ligatures w14:val="standardContextual"/>
        </w:rPr>
        <w:t xml:space="preserve">  Cap. 23</w:t>
      </w:r>
    </w:p>
    <w:p w14:paraId="5414FA53" w14:textId="77777777" w:rsidR="005A5FCC" w:rsidRDefault="00A21C81">
      <w:pPr>
        <w:spacing w:after="30" w:line="240" w:lineRule="auto"/>
        <w:jc w:val="left"/>
      </w:pPr>
      <w:r>
        <w:rPr>
          <w:rFonts w:cs="EB Garamond"/>
          <w:kern w:val="16"/>
          <w:sz w:val="18"/>
          <w14:ligatures w14:val="standardContextual"/>
        </w:rPr>
        <w:t>Súmula 73/TRF</w:t>
      </w:r>
      <w:r>
        <w:rPr>
          <w:rFonts w:cs="EB Garamond"/>
          <w:color w:val="6B6256"/>
          <w:kern w:val="16"/>
          <w:sz w:val="18"/>
          <w14:ligatures w14:val="standardContextual"/>
        </w:rPr>
        <w:t xml:space="preserve">  Cap. 5</w:t>
      </w:r>
    </w:p>
    <w:p w14:paraId="43D42668" w14:textId="77777777" w:rsidR="005A5FCC" w:rsidRDefault="00A21C81">
      <w:pPr>
        <w:spacing w:after="30" w:line="240" w:lineRule="auto"/>
        <w:jc w:val="left"/>
      </w:pPr>
      <w:r>
        <w:rPr>
          <w:rFonts w:cs="EB Garamond"/>
          <w:kern w:val="16"/>
          <w:sz w:val="18"/>
          <w14:ligatures w14:val="standardContextual"/>
        </w:rPr>
        <w:t>Súmula 85/STJ</w:t>
      </w:r>
      <w:r>
        <w:rPr>
          <w:rFonts w:cs="EB Garamond"/>
          <w:color w:val="6B6256"/>
          <w:kern w:val="16"/>
          <w:sz w:val="18"/>
          <w14:ligatures w14:val="standardContextual"/>
        </w:rPr>
        <w:t xml:space="preserve">  Cap. 21</w:t>
      </w:r>
    </w:p>
    <w:p w14:paraId="3CD23EF8" w14:textId="77777777" w:rsidR="005A5FCC" w:rsidRDefault="00A21C81">
      <w:pPr>
        <w:spacing w:after="30" w:line="240" w:lineRule="auto"/>
        <w:jc w:val="left"/>
      </w:pPr>
      <w:r>
        <w:rPr>
          <w:rFonts w:cs="EB Garamond"/>
          <w:kern w:val="16"/>
          <w:sz w:val="18"/>
          <w14:ligatures w14:val="standardContextual"/>
        </w:rPr>
        <w:t>Tema 1</w:t>
      </w:r>
      <w:r>
        <w:rPr>
          <w:rFonts w:cs="EB Garamond"/>
          <w:color w:val="6B6256"/>
          <w:kern w:val="16"/>
          <w:sz w:val="18"/>
          <w14:ligatures w14:val="standardContextual"/>
        </w:rPr>
        <w:t xml:space="preserve">  Cap. 1, 2, 3, 4, 5, 6, 7, 8, 9, 10, 11, 14, 16, 17, 19, 20, 22, 23</w:t>
      </w:r>
    </w:p>
    <w:p w14:paraId="68C68C1B" w14:textId="77777777" w:rsidR="005A5FCC" w:rsidRDefault="00A21C81">
      <w:pPr>
        <w:spacing w:after="30" w:line="240" w:lineRule="auto"/>
        <w:jc w:val="left"/>
      </w:pPr>
      <w:r>
        <w:rPr>
          <w:rFonts w:cs="EB Garamond"/>
          <w:kern w:val="16"/>
          <w:sz w:val="18"/>
          <w14:ligatures w14:val="standardContextual"/>
        </w:rPr>
        <w:t>Tema 1007</w:t>
      </w:r>
      <w:r>
        <w:rPr>
          <w:rFonts w:cs="EB Garamond"/>
          <w:color w:val="6B6256"/>
          <w:kern w:val="16"/>
          <w:sz w:val="18"/>
          <w14:ligatures w14:val="standardContextual"/>
        </w:rPr>
        <w:t xml:space="preserve">  Cap. 10</w:t>
      </w:r>
    </w:p>
    <w:p w14:paraId="23F9C3BF" w14:textId="77777777" w:rsidR="005A5FCC" w:rsidRDefault="00A21C81">
      <w:pPr>
        <w:spacing w:after="30" w:line="240" w:lineRule="auto"/>
        <w:jc w:val="left"/>
      </w:pPr>
      <w:r>
        <w:rPr>
          <w:rFonts w:cs="EB Garamond"/>
          <w:kern w:val="16"/>
          <w:sz w:val="18"/>
          <w14:ligatures w14:val="standardContextual"/>
        </w:rPr>
        <w:t>Tema 1057</w:t>
      </w:r>
      <w:r>
        <w:rPr>
          <w:rFonts w:cs="EB Garamond"/>
          <w:color w:val="6B6256"/>
          <w:kern w:val="16"/>
          <w:sz w:val="18"/>
          <w14:ligatures w14:val="standardContextual"/>
        </w:rPr>
        <w:t xml:space="preserve">  Cap. 19</w:t>
      </w:r>
    </w:p>
    <w:p w14:paraId="3FD74B5B" w14:textId="77777777" w:rsidR="005A5FCC" w:rsidRDefault="00A21C81">
      <w:pPr>
        <w:spacing w:after="30" w:line="240" w:lineRule="auto"/>
        <w:jc w:val="left"/>
      </w:pPr>
      <w:r>
        <w:rPr>
          <w:rFonts w:cs="EB Garamond"/>
          <w:kern w:val="16"/>
          <w:sz w:val="18"/>
          <w14:ligatures w14:val="standardContextual"/>
        </w:rPr>
        <w:t>Tema 1057/STJ</w:t>
      </w:r>
      <w:r>
        <w:rPr>
          <w:rFonts w:cs="EB Garamond"/>
          <w:color w:val="6B6256"/>
          <w:kern w:val="16"/>
          <w:sz w:val="18"/>
          <w14:ligatures w14:val="standardContextual"/>
        </w:rPr>
        <w:t xml:space="preserve">  Cap. 21</w:t>
      </w:r>
    </w:p>
    <w:p w14:paraId="4172BB26" w14:textId="77777777" w:rsidR="005A5FCC" w:rsidRDefault="00A21C81">
      <w:pPr>
        <w:spacing w:after="30" w:line="240" w:lineRule="auto"/>
        <w:jc w:val="left"/>
      </w:pPr>
      <w:r>
        <w:rPr>
          <w:rFonts w:cs="EB Garamond"/>
          <w:kern w:val="16"/>
          <w:sz w:val="18"/>
          <w14:ligatures w14:val="standardContextual"/>
        </w:rPr>
        <w:t>Tema 1070</w:t>
      </w:r>
      <w:r>
        <w:rPr>
          <w:rFonts w:cs="EB Garamond"/>
          <w:color w:val="6B6256"/>
          <w:kern w:val="16"/>
          <w:sz w:val="18"/>
          <w14:ligatures w14:val="standardContextual"/>
        </w:rPr>
        <w:t xml:space="preserve">  Cap. 16, 17</w:t>
      </w:r>
    </w:p>
    <w:p w14:paraId="69827984" w14:textId="77777777" w:rsidR="005A5FCC" w:rsidRDefault="00A21C81">
      <w:pPr>
        <w:spacing w:after="30" w:line="240" w:lineRule="auto"/>
        <w:jc w:val="left"/>
      </w:pPr>
      <w:r>
        <w:rPr>
          <w:rFonts w:cs="EB Garamond"/>
          <w:kern w:val="16"/>
          <w:sz w:val="18"/>
          <w14:ligatures w14:val="standardContextual"/>
        </w:rPr>
        <w:t>Tema 1102</w:t>
      </w:r>
      <w:r>
        <w:rPr>
          <w:rFonts w:cs="EB Garamond"/>
          <w:color w:val="6B6256"/>
          <w:kern w:val="16"/>
          <w:sz w:val="18"/>
          <w14:ligatures w14:val="standardContextual"/>
        </w:rPr>
        <w:t xml:space="preserve">  Cap. 17</w:t>
      </w:r>
    </w:p>
    <w:p w14:paraId="4D7CBF8D" w14:textId="77777777" w:rsidR="005A5FCC" w:rsidRDefault="00A21C81">
      <w:pPr>
        <w:spacing w:after="30" w:line="240" w:lineRule="auto"/>
        <w:jc w:val="left"/>
      </w:pPr>
      <w:r>
        <w:rPr>
          <w:rFonts w:cs="EB Garamond"/>
          <w:kern w:val="16"/>
          <w:sz w:val="18"/>
          <w14:ligatures w14:val="standardContextual"/>
        </w:rPr>
        <w:t>Tema 113</w:t>
      </w:r>
      <w:r>
        <w:rPr>
          <w:rFonts w:cs="EB Garamond"/>
          <w:color w:val="6B6256"/>
          <w:kern w:val="16"/>
          <w:sz w:val="18"/>
          <w14:ligatures w14:val="standardContextual"/>
        </w:rPr>
        <w:t xml:space="preserve">  Cap. 13</w:t>
      </w:r>
    </w:p>
    <w:p w14:paraId="45CD7511" w14:textId="77777777" w:rsidR="005A5FCC" w:rsidRDefault="00A21C81">
      <w:pPr>
        <w:spacing w:after="30" w:line="240" w:lineRule="auto"/>
        <w:jc w:val="left"/>
      </w:pPr>
      <w:r>
        <w:rPr>
          <w:rFonts w:cs="EB Garamond"/>
          <w:kern w:val="16"/>
          <w:sz w:val="18"/>
          <w14:ligatures w14:val="standardContextual"/>
        </w:rPr>
        <w:t>Tema 1162</w:t>
      </w:r>
      <w:r>
        <w:rPr>
          <w:rFonts w:cs="EB Garamond"/>
          <w:color w:val="6B6256"/>
          <w:kern w:val="16"/>
          <w:sz w:val="18"/>
          <w14:ligatures w14:val="standardContextual"/>
        </w:rPr>
        <w:t xml:space="preserve">  Cap. 14</w:t>
      </w:r>
    </w:p>
    <w:p w14:paraId="7610D5C7" w14:textId="77777777" w:rsidR="005A5FCC" w:rsidRDefault="00A21C81">
      <w:pPr>
        <w:spacing w:after="30" w:line="240" w:lineRule="auto"/>
        <w:jc w:val="left"/>
      </w:pPr>
      <w:r>
        <w:rPr>
          <w:rFonts w:cs="EB Garamond"/>
          <w:kern w:val="16"/>
          <w:sz w:val="18"/>
          <w14:ligatures w14:val="standardContextual"/>
        </w:rPr>
        <w:t>Tema 1300</w:t>
      </w:r>
      <w:r>
        <w:rPr>
          <w:rFonts w:cs="EB Garamond"/>
          <w:color w:val="6B6256"/>
          <w:kern w:val="16"/>
          <w:sz w:val="18"/>
          <w14:ligatures w14:val="standardContextual"/>
        </w:rPr>
        <w:t xml:space="preserve">  Cap. 16</w:t>
      </w:r>
    </w:p>
    <w:p w14:paraId="7EE633DE" w14:textId="77777777" w:rsidR="005A5FCC" w:rsidRDefault="00A21C81">
      <w:pPr>
        <w:spacing w:after="30" w:line="240" w:lineRule="auto"/>
        <w:jc w:val="left"/>
      </w:pPr>
      <w:r>
        <w:rPr>
          <w:rFonts w:cs="EB Garamond"/>
          <w:kern w:val="16"/>
          <w:sz w:val="18"/>
          <w14:ligatures w14:val="standardContextual"/>
        </w:rPr>
        <w:t>Tema 1360</w:t>
      </w:r>
      <w:r>
        <w:rPr>
          <w:rFonts w:cs="EB Garamond"/>
          <w:color w:val="6B6256"/>
          <w:kern w:val="16"/>
          <w:sz w:val="18"/>
          <w14:ligatures w14:val="standardContextual"/>
        </w:rPr>
        <w:t xml:space="preserve">  Cap. 3</w:t>
      </w:r>
    </w:p>
    <w:p w14:paraId="6060C029" w14:textId="77777777" w:rsidR="005A5FCC" w:rsidRDefault="00A21C81">
      <w:pPr>
        <w:spacing w:after="30" w:line="240" w:lineRule="auto"/>
        <w:jc w:val="left"/>
      </w:pPr>
      <w:r>
        <w:rPr>
          <w:rFonts w:cs="EB Garamond"/>
          <w:kern w:val="16"/>
          <w:sz w:val="18"/>
          <w14:ligatures w14:val="standardContextual"/>
        </w:rPr>
        <w:t>Tema 166</w:t>
      </w:r>
      <w:r>
        <w:rPr>
          <w:rFonts w:cs="EB Garamond"/>
          <w:color w:val="6B6256"/>
          <w:kern w:val="16"/>
          <w:sz w:val="18"/>
          <w14:ligatures w14:val="standardContextual"/>
        </w:rPr>
        <w:t xml:space="preserve">  Cap. 4</w:t>
      </w:r>
    </w:p>
    <w:p w14:paraId="7AB8D01D" w14:textId="77777777" w:rsidR="005A5FCC" w:rsidRDefault="00A21C81">
      <w:pPr>
        <w:spacing w:after="30" w:line="240" w:lineRule="auto"/>
        <w:jc w:val="left"/>
      </w:pPr>
      <w:r>
        <w:rPr>
          <w:rFonts w:cs="EB Garamond"/>
          <w:kern w:val="16"/>
          <w:sz w:val="18"/>
          <w14:ligatures w14:val="standardContextual"/>
        </w:rPr>
        <w:t>Tema 173</w:t>
      </w:r>
      <w:r>
        <w:rPr>
          <w:rFonts w:cs="EB Garamond"/>
          <w:color w:val="6B6256"/>
          <w:kern w:val="16"/>
          <w:sz w:val="18"/>
          <w14:ligatures w14:val="standardContextual"/>
        </w:rPr>
        <w:t xml:space="preserve">  Cap. 18</w:t>
      </w:r>
    </w:p>
    <w:p w14:paraId="1F14E5F8" w14:textId="77777777" w:rsidR="005A5FCC" w:rsidRDefault="00A21C81">
      <w:pPr>
        <w:spacing w:after="30" w:line="240" w:lineRule="auto"/>
        <w:jc w:val="left"/>
      </w:pPr>
      <w:r>
        <w:rPr>
          <w:rFonts w:cs="EB Garamond"/>
          <w:kern w:val="16"/>
          <w:sz w:val="18"/>
          <w14:ligatures w14:val="standardContextual"/>
        </w:rPr>
        <w:t>Tema 182</w:t>
      </w:r>
      <w:r>
        <w:rPr>
          <w:rFonts w:cs="EB Garamond"/>
          <w:color w:val="6B6256"/>
          <w:kern w:val="16"/>
          <w:sz w:val="18"/>
          <w14:ligatures w14:val="standardContextual"/>
        </w:rPr>
        <w:t xml:space="preserve">  Cap. 22</w:t>
      </w:r>
    </w:p>
    <w:p w14:paraId="7FC71143" w14:textId="77777777" w:rsidR="005A5FCC" w:rsidRDefault="00A21C81">
      <w:pPr>
        <w:spacing w:after="30" w:line="240" w:lineRule="auto"/>
        <w:jc w:val="left"/>
      </w:pPr>
      <w:r>
        <w:rPr>
          <w:rFonts w:cs="EB Garamond"/>
          <w:kern w:val="16"/>
          <w:sz w:val="18"/>
          <w14:ligatures w14:val="standardContextual"/>
        </w:rPr>
        <w:t>Tema 185/STJ</w:t>
      </w:r>
      <w:r>
        <w:rPr>
          <w:rFonts w:cs="EB Garamond"/>
          <w:color w:val="6B6256"/>
          <w:kern w:val="16"/>
          <w:sz w:val="18"/>
          <w14:ligatures w14:val="standardContextual"/>
        </w:rPr>
        <w:t xml:space="preserve">  Cap. 18</w:t>
      </w:r>
    </w:p>
    <w:p w14:paraId="12EE440F" w14:textId="77777777" w:rsidR="005A5FCC" w:rsidRDefault="00A21C81">
      <w:pPr>
        <w:spacing w:after="30" w:line="240" w:lineRule="auto"/>
        <w:jc w:val="left"/>
      </w:pPr>
      <w:r>
        <w:rPr>
          <w:rFonts w:cs="EB Garamond"/>
          <w:kern w:val="16"/>
          <w:sz w:val="18"/>
          <w14:ligatures w14:val="standardContextual"/>
        </w:rPr>
        <w:t>Tema 192</w:t>
      </w:r>
      <w:r>
        <w:rPr>
          <w:rFonts w:cs="EB Garamond"/>
          <w:color w:val="6B6256"/>
          <w:kern w:val="16"/>
          <w:sz w:val="18"/>
          <w14:ligatures w14:val="standardContextual"/>
        </w:rPr>
        <w:t xml:space="preserve">  Cap. 3</w:t>
      </w:r>
    </w:p>
    <w:p w14:paraId="59B5ABB8" w14:textId="77777777" w:rsidR="005A5FCC" w:rsidRDefault="00A21C81">
      <w:pPr>
        <w:spacing w:after="30" w:line="240" w:lineRule="auto"/>
        <w:jc w:val="left"/>
      </w:pPr>
      <w:r>
        <w:rPr>
          <w:rFonts w:cs="EB Garamond"/>
          <w:kern w:val="16"/>
          <w:sz w:val="18"/>
          <w14:ligatures w14:val="standardContextual"/>
        </w:rPr>
        <w:t>Tema 20</w:t>
      </w:r>
      <w:r>
        <w:rPr>
          <w:rFonts w:cs="EB Garamond"/>
          <w:color w:val="6B6256"/>
          <w:kern w:val="16"/>
          <w:sz w:val="18"/>
          <w14:ligatures w14:val="standardContextual"/>
        </w:rPr>
        <w:t xml:space="preserve">  Cap. 2</w:t>
      </w:r>
    </w:p>
    <w:p w14:paraId="29899B7F" w14:textId="77777777" w:rsidR="005A5FCC" w:rsidRDefault="00A21C81">
      <w:pPr>
        <w:spacing w:after="30" w:line="240" w:lineRule="auto"/>
        <w:jc w:val="left"/>
      </w:pPr>
      <w:r>
        <w:rPr>
          <w:rFonts w:cs="EB Garamond"/>
          <w:kern w:val="16"/>
          <w:sz w:val="18"/>
          <w14:ligatures w14:val="standardContextual"/>
        </w:rPr>
        <w:t>Tema 202</w:t>
      </w:r>
      <w:r>
        <w:rPr>
          <w:rFonts w:cs="EB Garamond"/>
          <w:color w:val="6B6256"/>
          <w:kern w:val="16"/>
          <w:sz w:val="18"/>
          <w14:ligatures w14:val="standardContextual"/>
        </w:rPr>
        <w:t xml:space="preserve">  Cap. 4, 9, 13</w:t>
      </w:r>
    </w:p>
    <w:p w14:paraId="1F1F0EF6" w14:textId="77777777" w:rsidR="005A5FCC" w:rsidRDefault="00A21C81">
      <w:pPr>
        <w:spacing w:after="30" w:line="240" w:lineRule="auto"/>
        <w:jc w:val="left"/>
      </w:pPr>
      <w:r>
        <w:rPr>
          <w:rFonts w:cs="EB Garamond"/>
          <w:kern w:val="16"/>
          <w:sz w:val="18"/>
          <w14:ligatures w14:val="standardContextual"/>
        </w:rPr>
        <w:t>Tema 214</w:t>
      </w:r>
      <w:r>
        <w:rPr>
          <w:rFonts w:cs="EB Garamond"/>
          <w:color w:val="6B6256"/>
          <w:kern w:val="16"/>
          <w:sz w:val="18"/>
          <w14:ligatures w14:val="standardContextual"/>
        </w:rPr>
        <w:t xml:space="preserve">  Cap. 22</w:t>
      </w:r>
    </w:p>
    <w:p w14:paraId="058DB336" w14:textId="77777777" w:rsidR="005A5FCC" w:rsidRDefault="00A21C81">
      <w:pPr>
        <w:spacing w:after="30" w:line="240" w:lineRule="auto"/>
        <w:jc w:val="left"/>
      </w:pPr>
      <w:r>
        <w:rPr>
          <w:rFonts w:cs="EB Garamond"/>
          <w:kern w:val="16"/>
          <w:sz w:val="18"/>
          <w14:ligatures w14:val="standardContextual"/>
        </w:rPr>
        <w:t>Tema 214/STJ</w:t>
      </w:r>
      <w:r>
        <w:rPr>
          <w:rFonts w:cs="EB Garamond"/>
          <w:color w:val="6B6256"/>
          <w:kern w:val="16"/>
          <w:sz w:val="18"/>
          <w14:ligatures w14:val="standardContextual"/>
        </w:rPr>
        <w:t xml:space="preserve">  Cap. 21</w:t>
      </w:r>
    </w:p>
    <w:p w14:paraId="2820C8CE" w14:textId="77777777" w:rsidR="005A5FCC" w:rsidRDefault="00A21C81">
      <w:pPr>
        <w:spacing w:after="30" w:line="240" w:lineRule="auto"/>
        <w:jc w:val="left"/>
      </w:pPr>
      <w:r>
        <w:rPr>
          <w:rFonts w:cs="EB Garamond"/>
          <w:kern w:val="16"/>
          <w:sz w:val="18"/>
          <w14:ligatures w14:val="standardContextual"/>
        </w:rPr>
        <w:t>Tema 216</w:t>
      </w:r>
      <w:r>
        <w:rPr>
          <w:rFonts w:cs="EB Garamond"/>
          <w:color w:val="6B6256"/>
          <w:kern w:val="16"/>
          <w:sz w:val="18"/>
          <w14:ligatures w14:val="standardContextual"/>
        </w:rPr>
        <w:t xml:space="preserve">  Cap. 5, 11</w:t>
      </w:r>
    </w:p>
    <w:p w14:paraId="0CC4446E" w14:textId="77777777" w:rsidR="005A5FCC" w:rsidRDefault="00A21C81">
      <w:pPr>
        <w:spacing w:after="30" w:line="240" w:lineRule="auto"/>
        <w:jc w:val="left"/>
      </w:pPr>
      <w:r>
        <w:rPr>
          <w:rFonts w:cs="EB Garamond"/>
          <w:kern w:val="16"/>
          <w:sz w:val="18"/>
          <w14:ligatures w14:val="standardContextual"/>
        </w:rPr>
        <w:t>Tema 217</w:t>
      </w:r>
      <w:r>
        <w:rPr>
          <w:rFonts w:cs="EB Garamond"/>
          <w:color w:val="6B6256"/>
          <w:kern w:val="16"/>
          <w:sz w:val="18"/>
          <w14:ligatures w14:val="standardContextual"/>
        </w:rPr>
        <w:t xml:space="preserve">  Cap. 12, 18</w:t>
      </w:r>
    </w:p>
    <w:p w14:paraId="6081EF46" w14:textId="77777777" w:rsidR="005A5FCC" w:rsidRDefault="00A21C81">
      <w:pPr>
        <w:spacing w:after="30" w:line="240" w:lineRule="auto"/>
        <w:jc w:val="left"/>
      </w:pPr>
      <w:r>
        <w:rPr>
          <w:rFonts w:cs="EB Garamond"/>
          <w:kern w:val="16"/>
          <w:sz w:val="18"/>
          <w14:ligatures w14:val="standardContextual"/>
        </w:rPr>
        <w:t>Tema 219</w:t>
      </w:r>
      <w:r>
        <w:rPr>
          <w:rFonts w:cs="EB Garamond"/>
          <w:color w:val="6B6256"/>
          <w:kern w:val="16"/>
          <w:sz w:val="18"/>
          <w14:ligatures w14:val="standardContextual"/>
        </w:rPr>
        <w:t xml:space="preserve">  Cap. 9</w:t>
      </w:r>
    </w:p>
    <w:p w14:paraId="73C53CEC" w14:textId="77777777" w:rsidR="005A5FCC" w:rsidRDefault="00A21C81">
      <w:pPr>
        <w:spacing w:after="30" w:line="240" w:lineRule="auto"/>
        <w:jc w:val="left"/>
      </w:pPr>
      <w:r>
        <w:rPr>
          <w:rFonts w:cs="EB Garamond"/>
          <w:kern w:val="16"/>
          <w:sz w:val="18"/>
          <w14:ligatures w14:val="standardContextual"/>
        </w:rPr>
        <w:t>Tema 220</w:t>
      </w:r>
      <w:r>
        <w:rPr>
          <w:rFonts w:cs="EB Garamond"/>
          <w:color w:val="6B6256"/>
          <w:kern w:val="16"/>
          <w:sz w:val="18"/>
          <w14:ligatures w14:val="standardContextual"/>
        </w:rPr>
        <w:t xml:space="preserve">  Cap. 3</w:t>
      </w:r>
    </w:p>
    <w:p w14:paraId="70BF2A89" w14:textId="77777777" w:rsidR="005A5FCC" w:rsidRDefault="00A21C81">
      <w:pPr>
        <w:spacing w:after="30" w:line="240" w:lineRule="auto"/>
        <w:jc w:val="left"/>
      </w:pPr>
      <w:r>
        <w:rPr>
          <w:rFonts w:cs="EB Garamond"/>
          <w:kern w:val="16"/>
          <w:sz w:val="18"/>
          <w14:ligatures w14:val="standardContextual"/>
        </w:rPr>
        <w:t>Tema 239</w:t>
      </w:r>
      <w:r>
        <w:rPr>
          <w:rFonts w:cs="EB Garamond"/>
          <w:color w:val="6B6256"/>
          <w:kern w:val="16"/>
          <w:sz w:val="18"/>
          <w14:ligatures w14:val="standardContextual"/>
        </w:rPr>
        <w:t xml:space="preserve">  Cap. 2, 3</w:t>
      </w:r>
    </w:p>
    <w:p w14:paraId="70CFACE6" w14:textId="77777777" w:rsidR="005A5FCC" w:rsidRDefault="00A21C81">
      <w:pPr>
        <w:spacing w:after="30" w:line="240" w:lineRule="auto"/>
        <w:jc w:val="left"/>
      </w:pPr>
      <w:r>
        <w:rPr>
          <w:rFonts w:cs="EB Garamond"/>
          <w:kern w:val="16"/>
          <w:sz w:val="18"/>
          <w14:ligatures w14:val="standardContextual"/>
        </w:rPr>
        <w:t>Tema 241</w:t>
      </w:r>
      <w:r>
        <w:rPr>
          <w:rFonts w:cs="EB Garamond"/>
          <w:color w:val="6B6256"/>
          <w:kern w:val="16"/>
          <w:sz w:val="18"/>
          <w14:ligatures w14:val="standardContextual"/>
        </w:rPr>
        <w:t xml:space="preserve">  Cap. 4</w:t>
      </w:r>
    </w:p>
    <w:p w14:paraId="6A28D961" w14:textId="77777777" w:rsidR="005A5FCC" w:rsidRDefault="00A21C81">
      <w:pPr>
        <w:spacing w:after="30" w:line="240" w:lineRule="auto"/>
        <w:jc w:val="left"/>
      </w:pPr>
      <w:r>
        <w:rPr>
          <w:rFonts w:cs="EB Garamond"/>
          <w:kern w:val="16"/>
          <w:sz w:val="18"/>
          <w14:ligatures w14:val="standardContextual"/>
        </w:rPr>
        <w:t>Tema 242</w:t>
      </w:r>
      <w:r>
        <w:rPr>
          <w:rFonts w:cs="EB Garamond"/>
          <w:color w:val="6B6256"/>
          <w:kern w:val="16"/>
          <w:sz w:val="18"/>
          <w14:ligatures w14:val="standardContextual"/>
        </w:rPr>
        <w:t xml:space="preserve">  Cap. 22</w:t>
      </w:r>
    </w:p>
    <w:p w14:paraId="3C2858BF" w14:textId="77777777" w:rsidR="005A5FCC" w:rsidRDefault="00A21C81">
      <w:pPr>
        <w:spacing w:after="30" w:line="240" w:lineRule="auto"/>
        <w:jc w:val="left"/>
      </w:pPr>
      <w:r>
        <w:rPr>
          <w:rFonts w:cs="EB Garamond"/>
          <w:kern w:val="16"/>
          <w:sz w:val="18"/>
          <w14:ligatures w14:val="standardContextual"/>
        </w:rPr>
        <w:t>Tema 251</w:t>
      </w:r>
      <w:r>
        <w:rPr>
          <w:rFonts w:cs="EB Garamond"/>
          <w:color w:val="6B6256"/>
          <w:kern w:val="16"/>
          <w:sz w:val="18"/>
          <w14:ligatures w14:val="standardContextual"/>
        </w:rPr>
        <w:t xml:space="preserve">  Cap. 3</w:t>
      </w:r>
    </w:p>
    <w:p w14:paraId="72E1708C" w14:textId="77777777" w:rsidR="005A5FCC" w:rsidRDefault="00A21C81">
      <w:pPr>
        <w:spacing w:after="30" w:line="240" w:lineRule="auto"/>
        <w:jc w:val="left"/>
      </w:pPr>
      <w:r>
        <w:rPr>
          <w:rFonts w:cs="EB Garamond"/>
          <w:kern w:val="16"/>
          <w:sz w:val="18"/>
          <w14:ligatures w14:val="standardContextual"/>
        </w:rPr>
        <w:t>Tema 253</w:t>
      </w:r>
      <w:r>
        <w:rPr>
          <w:rFonts w:cs="EB Garamond"/>
          <w:color w:val="6B6256"/>
          <w:kern w:val="16"/>
          <w:sz w:val="18"/>
          <w14:ligatures w14:val="standardContextual"/>
        </w:rPr>
        <w:t xml:space="preserve">  Cap. 18, 20</w:t>
      </w:r>
    </w:p>
    <w:p w14:paraId="4DA7B0E8" w14:textId="77777777" w:rsidR="005A5FCC" w:rsidRDefault="00A21C81">
      <w:pPr>
        <w:spacing w:after="30" w:line="240" w:lineRule="auto"/>
        <w:jc w:val="left"/>
      </w:pPr>
      <w:r>
        <w:rPr>
          <w:rFonts w:cs="EB Garamond"/>
          <w:kern w:val="16"/>
          <w:sz w:val="18"/>
          <w14:ligatures w14:val="standardContextual"/>
        </w:rPr>
        <w:t>Tema 269</w:t>
      </w:r>
      <w:r>
        <w:rPr>
          <w:rFonts w:cs="EB Garamond"/>
          <w:color w:val="6B6256"/>
          <w:kern w:val="16"/>
          <w:sz w:val="18"/>
          <w14:ligatures w14:val="standardContextual"/>
        </w:rPr>
        <w:t xml:space="preserve">  Cap. 15</w:t>
      </w:r>
    </w:p>
    <w:p w14:paraId="353A8C79" w14:textId="77777777" w:rsidR="005A5FCC" w:rsidRDefault="00A21C81">
      <w:pPr>
        <w:spacing w:after="30" w:line="240" w:lineRule="auto"/>
        <w:jc w:val="left"/>
      </w:pPr>
      <w:r>
        <w:rPr>
          <w:rFonts w:cs="EB Garamond"/>
          <w:kern w:val="16"/>
          <w:sz w:val="18"/>
          <w14:ligatures w14:val="standardContextual"/>
        </w:rPr>
        <w:t>Tema 27</w:t>
      </w:r>
      <w:r>
        <w:rPr>
          <w:rFonts w:cs="EB Garamond"/>
          <w:color w:val="6B6256"/>
          <w:kern w:val="16"/>
          <w:sz w:val="18"/>
          <w14:ligatures w14:val="standardContextual"/>
        </w:rPr>
        <w:t xml:space="preserve">  Cap. 22, 23</w:t>
      </w:r>
    </w:p>
    <w:p w14:paraId="222BCFC8" w14:textId="77777777" w:rsidR="005A5FCC" w:rsidRDefault="00A21C81">
      <w:pPr>
        <w:spacing w:after="30" w:line="240" w:lineRule="auto"/>
        <w:jc w:val="left"/>
      </w:pPr>
      <w:r>
        <w:rPr>
          <w:rFonts w:cs="EB Garamond"/>
          <w:kern w:val="16"/>
          <w:sz w:val="18"/>
          <w14:ligatures w14:val="standardContextual"/>
        </w:rPr>
        <w:lastRenderedPageBreak/>
        <w:t>Tema 27/STF</w:t>
      </w:r>
      <w:r>
        <w:rPr>
          <w:rFonts w:cs="EB Garamond"/>
          <w:color w:val="6B6256"/>
          <w:kern w:val="16"/>
          <w:sz w:val="18"/>
          <w14:ligatures w14:val="standardContextual"/>
        </w:rPr>
        <w:t xml:space="preserve">  Cap. 18</w:t>
      </w:r>
    </w:p>
    <w:p w14:paraId="05CEEC9F" w14:textId="77777777" w:rsidR="005A5FCC" w:rsidRDefault="00A21C81">
      <w:pPr>
        <w:spacing w:after="30" w:line="240" w:lineRule="auto"/>
        <w:jc w:val="left"/>
      </w:pPr>
      <w:r>
        <w:rPr>
          <w:rFonts w:cs="EB Garamond"/>
          <w:kern w:val="16"/>
          <w:sz w:val="18"/>
          <w14:ligatures w14:val="standardContextual"/>
        </w:rPr>
        <w:t>Tema 274</w:t>
      </w:r>
      <w:r>
        <w:rPr>
          <w:rFonts w:cs="EB Garamond"/>
          <w:color w:val="6B6256"/>
          <w:kern w:val="16"/>
          <w:sz w:val="18"/>
          <w14:ligatures w14:val="standardContextual"/>
        </w:rPr>
        <w:t xml:space="preserve">  Cap. 6, 7, 18</w:t>
      </w:r>
    </w:p>
    <w:p w14:paraId="6E5855BE" w14:textId="77777777" w:rsidR="005A5FCC" w:rsidRDefault="00A21C81">
      <w:pPr>
        <w:spacing w:after="30" w:line="240" w:lineRule="auto"/>
        <w:jc w:val="left"/>
      </w:pPr>
      <w:r>
        <w:rPr>
          <w:rFonts w:cs="EB Garamond"/>
          <w:kern w:val="16"/>
          <w:sz w:val="18"/>
          <w14:ligatures w14:val="standardContextual"/>
        </w:rPr>
        <w:t>Tema 284</w:t>
      </w:r>
      <w:r>
        <w:rPr>
          <w:rFonts w:cs="EB Garamond"/>
          <w:color w:val="6B6256"/>
          <w:kern w:val="16"/>
          <w:sz w:val="18"/>
          <w14:ligatures w14:val="standardContextual"/>
        </w:rPr>
        <w:t xml:space="preserve">  Cap. 18, 20</w:t>
      </w:r>
    </w:p>
    <w:p w14:paraId="4DDE4CE3" w14:textId="77777777" w:rsidR="005A5FCC" w:rsidRDefault="00A21C81">
      <w:pPr>
        <w:spacing w:after="30" w:line="240" w:lineRule="auto"/>
        <w:jc w:val="left"/>
      </w:pPr>
      <w:r>
        <w:rPr>
          <w:rFonts w:cs="EB Garamond"/>
          <w:kern w:val="16"/>
          <w:sz w:val="18"/>
          <w14:ligatures w14:val="standardContextual"/>
        </w:rPr>
        <w:t>Tema 286</w:t>
      </w:r>
      <w:r>
        <w:rPr>
          <w:rFonts w:cs="EB Garamond"/>
          <w:color w:val="6B6256"/>
          <w:kern w:val="16"/>
          <w:sz w:val="18"/>
          <w14:ligatures w14:val="standardContextual"/>
        </w:rPr>
        <w:t xml:space="preserve">  Cap. 3</w:t>
      </w:r>
    </w:p>
    <w:p w14:paraId="64388BD6" w14:textId="77777777" w:rsidR="005A5FCC" w:rsidRDefault="00A21C81">
      <w:pPr>
        <w:spacing w:after="30" w:line="240" w:lineRule="auto"/>
        <w:jc w:val="left"/>
      </w:pPr>
      <w:r>
        <w:rPr>
          <w:rFonts w:cs="EB Garamond"/>
          <w:kern w:val="16"/>
          <w:sz w:val="18"/>
          <w14:ligatures w14:val="standardContextual"/>
        </w:rPr>
        <w:t>Tema 297</w:t>
      </w:r>
      <w:r>
        <w:rPr>
          <w:rFonts w:cs="EB Garamond"/>
          <w:color w:val="6B6256"/>
          <w:kern w:val="16"/>
          <w:sz w:val="18"/>
          <w14:ligatures w14:val="standardContextual"/>
        </w:rPr>
        <w:t xml:space="preserve">  Cap. 13</w:t>
      </w:r>
    </w:p>
    <w:p w14:paraId="685975BE" w14:textId="77777777" w:rsidR="005A5FCC" w:rsidRDefault="00A21C81">
      <w:pPr>
        <w:spacing w:after="30" w:line="240" w:lineRule="auto"/>
        <w:jc w:val="left"/>
      </w:pPr>
      <w:r>
        <w:rPr>
          <w:rFonts w:cs="EB Garamond"/>
          <w:kern w:val="16"/>
          <w:sz w:val="18"/>
          <w14:ligatures w14:val="standardContextual"/>
        </w:rPr>
        <w:t>Tema 300</w:t>
      </w:r>
      <w:r>
        <w:rPr>
          <w:rFonts w:cs="EB Garamond"/>
          <w:color w:val="6B6256"/>
          <w:kern w:val="16"/>
          <w:sz w:val="18"/>
          <w14:ligatures w14:val="standardContextual"/>
        </w:rPr>
        <w:t xml:space="preserve">  Cap. 3, 7</w:t>
      </w:r>
    </w:p>
    <w:p w14:paraId="4B06F488" w14:textId="77777777" w:rsidR="005A5FCC" w:rsidRDefault="00A21C81">
      <w:pPr>
        <w:spacing w:after="30" w:line="240" w:lineRule="auto"/>
        <w:jc w:val="left"/>
      </w:pPr>
      <w:r>
        <w:rPr>
          <w:rFonts w:cs="EB Garamond"/>
          <w:kern w:val="16"/>
          <w:sz w:val="18"/>
          <w14:ligatures w14:val="standardContextual"/>
        </w:rPr>
        <w:t>Tema 312</w:t>
      </w:r>
      <w:r>
        <w:rPr>
          <w:rFonts w:cs="EB Garamond"/>
          <w:color w:val="6B6256"/>
          <w:kern w:val="16"/>
          <w:sz w:val="18"/>
          <w14:ligatures w14:val="standardContextual"/>
        </w:rPr>
        <w:t xml:space="preserve">  Cap. 18, 23</w:t>
      </w:r>
    </w:p>
    <w:p w14:paraId="64DFDE92" w14:textId="77777777" w:rsidR="005A5FCC" w:rsidRDefault="00A21C81">
      <w:pPr>
        <w:spacing w:after="30" w:line="240" w:lineRule="auto"/>
        <w:jc w:val="left"/>
      </w:pPr>
      <w:r>
        <w:rPr>
          <w:rFonts w:cs="EB Garamond"/>
          <w:kern w:val="16"/>
          <w:sz w:val="18"/>
          <w14:ligatures w14:val="standardContextual"/>
        </w:rPr>
        <w:t>Tema 313</w:t>
      </w:r>
      <w:r>
        <w:rPr>
          <w:rFonts w:cs="EB Garamond"/>
          <w:color w:val="6B6256"/>
          <w:kern w:val="16"/>
          <w:sz w:val="18"/>
          <w14:ligatures w14:val="standardContextual"/>
        </w:rPr>
        <w:t xml:space="preserve">  Cap. 21</w:t>
      </w:r>
    </w:p>
    <w:p w14:paraId="7B6A66B8" w14:textId="77777777" w:rsidR="005A5FCC" w:rsidRDefault="00A21C81">
      <w:pPr>
        <w:spacing w:after="30" w:line="240" w:lineRule="auto"/>
        <w:jc w:val="left"/>
      </w:pPr>
      <w:r>
        <w:rPr>
          <w:rFonts w:cs="EB Garamond"/>
          <w:kern w:val="16"/>
          <w:sz w:val="18"/>
          <w14:ligatures w14:val="standardContextual"/>
        </w:rPr>
        <w:t>Tema 315</w:t>
      </w:r>
      <w:r>
        <w:rPr>
          <w:rFonts w:cs="EB Garamond"/>
          <w:color w:val="6B6256"/>
          <w:kern w:val="16"/>
          <w:sz w:val="18"/>
          <w14:ligatures w14:val="standardContextual"/>
        </w:rPr>
        <w:t xml:space="preserve">  Cap. 15</w:t>
      </w:r>
    </w:p>
    <w:p w14:paraId="3BF39F53" w14:textId="77777777" w:rsidR="005A5FCC" w:rsidRDefault="00A21C81">
      <w:pPr>
        <w:spacing w:after="30" w:line="240" w:lineRule="auto"/>
        <w:jc w:val="left"/>
      </w:pPr>
      <w:r>
        <w:rPr>
          <w:rFonts w:cs="EB Garamond"/>
          <w:kern w:val="16"/>
          <w:sz w:val="18"/>
          <w14:ligatures w14:val="standardContextual"/>
        </w:rPr>
        <w:t>Tema 32</w:t>
      </w:r>
      <w:r>
        <w:rPr>
          <w:rFonts w:cs="EB Garamond"/>
          <w:color w:val="6B6256"/>
          <w:kern w:val="16"/>
          <w:sz w:val="18"/>
          <w14:ligatures w14:val="standardContextual"/>
        </w:rPr>
        <w:t xml:space="preserve">  Cap. 4</w:t>
      </w:r>
    </w:p>
    <w:p w14:paraId="0C33FE02" w14:textId="77777777" w:rsidR="005A5FCC" w:rsidRDefault="00A21C81">
      <w:pPr>
        <w:spacing w:after="30" w:line="240" w:lineRule="auto"/>
        <w:jc w:val="left"/>
      </w:pPr>
      <w:r>
        <w:rPr>
          <w:rFonts w:cs="EB Garamond"/>
          <w:kern w:val="16"/>
          <w:sz w:val="18"/>
          <w14:ligatures w14:val="standardContextual"/>
        </w:rPr>
        <w:t>Tema 322</w:t>
      </w:r>
      <w:r>
        <w:rPr>
          <w:rFonts w:cs="EB Garamond"/>
          <w:color w:val="6B6256"/>
          <w:kern w:val="16"/>
          <w:sz w:val="18"/>
          <w14:ligatures w14:val="standardContextual"/>
        </w:rPr>
        <w:t xml:space="preserve">  Cap. 15</w:t>
      </w:r>
    </w:p>
    <w:p w14:paraId="41A457D0" w14:textId="77777777" w:rsidR="005A5FCC" w:rsidRDefault="00A21C81">
      <w:pPr>
        <w:spacing w:after="30" w:line="240" w:lineRule="auto"/>
        <w:jc w:val="left"/>
      </w:pPr>
      <w:r>
        <w:rPr>
          <w:rFonts w:cs="EB Garamond"/>
          <w:kern w:val="16"/>
          <w:sz w:val="18"/>
          <w14:ligatures w14:val="standardContextual"/>
        </w:rPr>
        <w:t>Tema 327</w:t>
      </w:r>
      <w:r>
        <w:rPr>
          <w:rFonts w:cs="EB Garamond"/>
          <w:color w:val="6B6256"/>
          <w:kern w:val="16"/>
          <w:sz w:val="18"/>
          <w14:ligatures w14:val="standardContextual"/>
        </w:rPr>
        <w:t xml:space="preserve">  Cap. 5, 9</w:t>
      </w:r>
    </w:p>
    <w:p w14:paraId="58C98C2B" w14:textId="77777777" w:rsidR="005A5FCC" w:rsidRDefault="00A21C81">
      <w:pPr>
        <w:spacing w:after="30" w:line="240" w:lineRule="auto"/>
        <w:jc w:val="left"/>
      </w:pPr>
      <w:r>
        <w:rPr>
          <w:rFonts w:cs="EB Garamond"/>
          <w:kern w:val="16"/>
          <w:sz w:val="18"/>
          <w14:ligatures w14:val="standardContextual"/>
        </w:rPr>
        <w:t>Tema 334</w:t>
      </w:r>
      <w:r>
        <w:rPr>
          <w:rFonts w:cs="EB Garamond"/>
          <w:color w:val="6B6256"/>
          <w:kern w:val="16"/>
          <w:sz w:val="18"/>
          <w14:ligatures w14:val="standardContextual"/>
        </w:rPr>
        <w:t xml:space="preserve">  Cap. 11</w:t>
      </w:r>
    </w:p>
    <w:p w14:paraId="47134402" w14:textId="77777777" w:rsidR="005A5FCC" w:rsidRDefault="00A21C81">
      <w:pPr>
        <w:spacing w:after="30" w:line="240" w:lineRule="auto"/>
        <w:jc w:val="left"/>
      </w:pPr>
      <w:r>
        <w:rPr>
          <w:rFonts w:cs="EB Garamond"/>
          <w:kern w:val="16"/>
          <w:sz w:val="18"/>
          <w14:ligatures w14:val="standardContextual"/>
        </w:rPr>
        <w:t>Tema 349</w:t>
      </w:r>
      <w:r>
        <w:rPr>
          <w:rFonts w:cs="EB Garamond"/>
          <w:color w:val="6B6256"/>
          <w:kern w:val="16"/>
          <w:sz w:val="18"/>
          <w14:ligatures w14:val="standardContextual"/>
        </w:rPr>
        <w:t xml:space="preserve">  Cap. 3</w:t>
      </w:r>
    </w:p>
    <w:p w14:paraId="4924DA44" w14:textId="77777777" w:rsidR="005A5FCC" w:rsidRDefault="00A21C81">
      <w:pPr>
        <w:spacing w:after="30" w:line="240" w:lineRule="auto"/>
        <w:jc w:val="left"/>
      </w:pPr>
      <w:r>
        <w:rPr>
          <w:rFonts w:cs="EB Garamond"/>
          <w:kern w:val="16"/>
          <w:sz w:val="18"/>
          <w14:ligatures w14:val="standardContextual"/>
        </w:rPr>
        <w:t>Tema 350</w:t>
      </w:r>
      <w:r>
        <w:rPr>
          <w:rFonts w:cs="EB Garamond"/>
          <w:color w:val="6B6256"/>
          <w:kern w:val="16"/>
          <w:sz w:val="18"/>
          <w14:ligatures w14:val="standardContextual"/>
        </w:rPr>
        <w:t xml:space="preserve">  Cap. 1, 4, 5, 6, 7, 10, 14, 15, 17, 18, 19, 21, 22, 23</w:t>
      </w:r>
    </w:p>
    <w:p w14:paraId="25D63EDE" w14:textId="77777777" w:rsidR="005A5FCC" w:rsidRDefault="00A21C81">
      <w:pPr>
        <w:spacing w:after="30" w:line="240" w:lineRule="auto"/>
        <w:jc w:val="left"/>
      </w:pPr>
      <w:r>
        <w:rPr>
          <w:rFonts w:cs="EB Garamond"/>
          <w:kern w:val="16"/>
          <w:sz w:val="18"/>
          <w14:ligatures w14:val="standardContextual"/>
        </w:rPr>
        <w:t>Tema 350/STF</w:t>
      </w:r>
      <w:r>
        <w:rPr>
          <w:rFonts w:cs="EB Garamond"/>
          <w:color w:val="6B6256"/>
          <w:kern w:val="16"/>
          <w:sz w:val="18"/>
          <w14:ligatures w14:val="standardContextual"/>
        </w:rPr>
        <w:t xml:space="preserve">  Cap. 12, 13</w:t>
      </w:r>
    </w:p>
    <w:p w14:paraId="27368E29" w14:textId="77777777" w:rsidR="005A5FCC" w:rsidRDefault="00A21C81">
      <w:pPr>
        <w:spacing w:after="30" w:line="240" w:lineRule="auto"/>
        <w:jc w:val="left"/>
      </w:pPr>
      <w:r>
        <w:rPr>
          <w:rFonts w:cs="EB Garamond"/>
          <w:kern w:val="16"/>
          <w:sz w:val="18"/>
          <w14:ligatures w14:val="standardContextual"/>
        </w:rPr>
        <w:t>Tema 357</w:t>
      </w:r>
      <w:r>
        <w:rPr>
          <w:rFonts w:cs="EB Garamond"/>
          <w:color w:val="6B6256"/>
          <w:kern w:val="16"/>
          <w:sz w:val="18"/>
          <w14:ligatures w14:val="standardContextual"/>
        </w:rPr>
        <w:t xml:space="preserve">  Cap. 14</w:t>
      </w:r>
    </w:p>
    <w:p w14:paraId="72F8879E" w14:textId="77777777" w:rsidR="005A5FCC" w:rsidRDefault="00A21C81">
      <w:pPr>
        <w:spacing w:after="30" w:line="240" w:lineRule="auto"/>
        <w:jc w:val="left"/>
      </w:pPr>
      <w:r>
        <w:rPr>
          <w:rFonts w:cs="EB Garamond"/>
          <w:kern w:val="16"/>
          <w:sz w:val="18"/>
          <w14:ligatures w14:val="standardContextual"/>
        </w:rPr>
        <w:t>Tema 358</w:t>
      </w:r>
      <w:r>
        <w:rPr>
          <w:rFonts w:cs="EB Garamond"/>
          <w:color w:val="6B6256"/>
          <w:kern w:val="16"/>
          <w:sz w:val="18"/>
          <w14:ligatures w14:val="standardContextual"/>
        </w:rPr>
        <w:t xml:space="preserve">  Cap. 3, 10</w:t>
      </w:r>
    </w:p>
    <w:p w14:paraId="4377B89A" w14:textId="77777777" w:rsidR="005A5FCC" w:rsidRDefault="00A21C81">
      <w:pPr>
        <w:spacing w:after="30" w:line="240" w:lineRule="auto"/>
        <w:jc w:val="left"/>
      </w:pPr>
      <w:r>
        <w:rPr>
          <w:rFonts w:cs="EB Garamond"/>
          <w:kern w:val="16"/>
          <w:sz w:val="18"/>
          <w14:ligatures w14:val="standardContextual"/>
        </w:rPr>
        <w:t>Tema 365</w:t>
      </w:r>
      <w:r>
        <w:rPr>
          <w:rFonts w:cs="EB Garamond"/>
          <w:color w:val="6B6256"/>
          <w:kern w:val="16"/>
          <w:sz w:val="18"/>
          <w14:ligatures w14:val="standardContextual"/>
        </w:rPr>
        <w:t xml:space="preserve">  Cap. 3, 4</w:t>
      </w:r>
    </w:p>
    <w:p w14:paraId="62F1BDB1" w14:textId="77777777" w:rsidR="005A5FCC" w:rsidRDefault="00A21C81">
      <w:pPr>
        <w:spacing w:after="30" w:line="240" w:lineRule="auto"/>
        <w:jc w:val="left"/>
      </w:pPr>
      <w:r>
        <w:rPr>
          <w:rFonts w:cs="EB Garamond"/>
          <w:kern w:val="16"/>
          <w:sz w:val="18"/>
          <w14:ligatures w14:val="standardContextual"/>
        </w:rPr>
        <w:t>Tema 422</w:t>
      </w:r>
      <w:r>
        <w:rPr>
          <w:rFonts w:cs="EB Garamond"/>
          <w:color w:val="6B6256"/>
          <w:kern w:val="16"/>
          <w:sz w:val="18"/>
          <w14:ligatures w14:val="standardContextual"/>
        </w:rPr>
        <w:t xml:space="preserve">  Cap. 5, 8, 11</w:t>
      </w:r>
    </w:p>
    <w:p w14:paraId="6F070FA8" w14:textId="77777777" w:rsidR="005A5FCC" w:rsidRDefault="00A21C81">
      <w:pPr>
        <w:spacing w:after="30" w:line="240" w:lineRule="auto"/>
        <w:jc w:val="left"/>
      </w:pPr>
      <w:r>
        <w:rPr>
          <w:rFonts w:cs="EB Garamond"/>
          <w:kern w:val="16"/>
          <w:sz w:val="18"/>
          <w14:ligatures w14:val="standardContextual"/>
        </w:rPr>
        <w:t>Tema 423</w:t>
      </w:r>
      <w:r>
        <w:rPr>
          <w:rFonts w:cs="EB Garamond"/>
          <w:color w:val="6B6256"/>
          <w:kern w:val="16"/>
          <w:sz w:val="18"/>
          <w14:ligatures w14:val="standardContextual"/>
        </w:rPr>
        <w:t xml:space="preserve">  Cap. 5</w:t>
      </w:r>
    </w:p>
    <w:p w14:paraId="7CF0907F" w14:textId="77777777" w:rsidR="005A5FCC" w:rsidRDefault="00A21C81">
      <w:pPr>
        <w:spacing w:after="30" w:line="240" w:lineRule="auto"/>
        <w:jc w:val="left"/>
      </w:pPr>
      <w:r>
        <w:rPr>
          <w:rFonts w:cs="EB Garamond"/>
          <w:kern w:val="16"/>
          <w:sz w:val="18"/>
          <w14:ligatures w14:val="standardContextual"/>
        </w:rPr>
        <w:t>Tema 445/STF</w:t>
      </w:r>
      <w:r>
        <w:rPr>
          <w:rFonts w:cs="EB Garamond"/>
          <w:color w:val="6B6256"/>
          <w:kern w:val="16"/>
          <w:sz w:val="18"/>
          <w14:ligatures w14:val="standardContextual"/>
        </w:rPr>
        <w:t xml:space="preserve">  Cap. 21</w:t>
      </w:r>
    </w:p>
    <w:p w14:paraId="33E44AB4" w14:textId="77777777" w:rsidR="005A5FCC" w:rsidRDefault="00A21C81">
      <w:pPr>
        <w:spacing w:after="30" w:line="240" w:lineRule="auto"/>
        <w:jc w:val="left"/>
      </w:pPr>
      <w:r>
        <w:rPr>
          <w:rFonts w:cs="EB Garamond"/>
          <w:kern w:val="16"/>
          <w:sz w:val="18"/>
          <w14:ligatures w14:val="standardContextual"/>
        </w:rPr>
        <w:t>Tema 503</w:t>
      </w:r>
      <w:r>
        <w:rPr>
          <w:rFonts w:cs="EB Garamond"/>
          <w:color w:val="6B6256"/>
          <w:kern w:val="16"/>
          <w:sz w:val="18"/>
          <w14:ligatures w14:val="standardContextual"/>
        </w:rPr>
        <w:t xml:space="preserve">  Cap. 1, 4, 5, 8, 11, 17, 19</w:t>
      </w:r>
    </w:p>
    <w:p w14:paraId="5812AAE3" w14:textId="77777777" w:rsidR="005A5FCC" w:rsidRDefault="00A21C81">
      <w:pPr>
        <w:spacing w:after="30" w:line="240" w:lineRule="auto"/>
        <w:jc w:val="left"/>
      </w:pPr>
      <w:r>
        <w:rPr>
          <w:rFonts w:cs="EB Garamond"/>
          <w:kern w:val="16"/>
          <w:sz w:val="18"/>
          <w14:ligatures w14:val="standardContextual"/>
        </w:rPr>
        <w:t>Tema 529</w:t>
      </w:r>
      <w:r>
        <w:rPr>
          <w:rFonts w:cs="EB Garamond"/>
          <w:color w:val="6B6256"/>
          <w:kern w:val="16"/>
          <w:sz w:val="18"/>
          <w14:ligatures w14:val="standardContextual"/>
        </w:rPr>
        <w:t xml:space="preserve">  Cap. 2, 19</w:t>
      </w:r>
    </w:p>
    <w:p w14:paraId="5F32BBF3" w14:textId="77777777" w:rsidR="005A5FCC" w:rsidRDefault="00A21C81">
      <w:pPr>
        <w:spacing w:after="30" w:line="240" w:lineRule="auto"/>
        <w:jc w:val="left"/>
      </w:pPr>
      <w:r>
        <w:rPr>
          <w:rFonts w:cs="EB Garamond"/>
          <w:kern w:val="16"/>
          <w:sz w:val="18"/>
          <w14:ligatures w14:val="standardContextual"/>
        </w:rPr>
        <w:t>Tema 532</w:t>
      </w:r>
      <w:r>
        <w:rPr>
          <w:rFonts w:cs="EB Garamond"/>
          <w:color w:val="6B6256"/>
          <w:kern w:val="16"/>
          <w:sz w:val="18"/>
          <w14:ligatures w14:val="standardContextual"/>
        </w:rPr>
        <w:t xml:space="preserve">  Cap. 9</w:t>
      </w:r>
    </w:p>
    <w:p w14:paraId="3861524A" w14:textId="77777777" w:rsidR="005A5FCC" w:rsidRDefault="00A21C81">
      <w:pPr>
        <w:spacing w:after="30" w:line="240" w:lineRule="auto"/>
        <w:jc w:val="left"/>
      </w:pPr>
      <w:r>
        <w:rPr>
          <w:rFonts w:cs="EB Garamond"/>
          <w:kern w:val="16"/>
          <w:sz w:val="18"/>
          <w14:ligatures w14:val="standardContextual"/>
        </w:rPr>
        <w:t>Tema 533</w:t>
      </w:r>
      <w:r>
        <w:rPr>
          <w:rFonts w:cs="EB Garamond"/>
          <w:color w:val="6B6256"/>
          <w:kern w:val="16"/>
          <w:sz w:val="18"/>
          <w14:ligatures w14:val="standardContextual"/>
        </w:rPr>
        <w:t xml:space="preserve">  Cap. 1</w:t>
      </w:r>
    </w:p>
    <w:p w14:paraId="089EA1C6" w14:textId="77777777" w:rsidR="005A5FCC" w:rsidRDefault="00A21C81">
      <w:pPr>
        <w:spacing w:after="30" w:line="240" w:lineRule="auto"/>
        <w:jc w:val="left"/>
      </w:pPr>
      <w:r>
        <w:rPr>
          <w:rFonts w:cs="EB Garamond"/>
          <w:kern w:val="16"/>
          <w:sz w:val="18"/>
          <w14:ligatures w14:val="standardContextual"/>
        </w:rPr>
        <w:t>Tema 534/STJ</w:t>
      </w:r>
      <w:r>
        <w:rPr>
          <w:rFonts w:cs="EB Garamond"/>
          <w:color w:val="6B6256"/>
          <w:kern w:val="16"/>
          <w:sz w:val="18"/>
          <w14:ligatures w14:val="standardContextual"/>
        </w:rPr>
        <w:t xml:space="preserve">  Cap. 8</w:t>
      </w:r>
    </w:p>
    <w:p w14:paraId="48B0E7F2" w14:textId="77777777" w:rsidR="005A5FCC" w:rsidRDefault="00A21C81">
      <w:pPr>
        <w:spacing w:after="30" w:line="240" w:lineRule="auto"/>
        <w:jc w:val="left"/>
      </w:pPr>
      <w:r>
        <w:rPr>
          <w:rFonts w:cs="EB Garamond"/>
          <w:kern w:val="16"/>
          <w:sz w:val="18"/>
          <w14:ligatures w14:val="standardContextual"/>
        </w:rPr>
        <w:t>Tema 546</w:t>
      </w:r>
      <w:r>
        <w:rPr>
          <w:rFonts w:cs="EB Garamond"/>
          <w:color w:val="6B6256"/>
          <w:kern w:val="16"/>
          <w:sz w:val="18"/>
          <w14:ligatures w14:val="standardContextual"/>
        </w:rPr>
        <w:t xml:space="preserve">  Cap. 5, 8</w:t>
      </w:r>
    </w:p>
    <w:p w14:paraId="45BEFF89" w14:textId="77777777" w:rsidR="005A5FCC" w:rsidRDefault="00A21C81">
      <w:pPr>
        <w:spacing w:after="30" w:line="240" w:lineRule="auto"/>
        <w:jc w:val="left"/>
      </w:pPr>
      <w:r>
        <w:rPr>
          <w:rFonts w:cs="EB Garamond"/>
          <w:kern w:val="16"/>
          <w:sz w:val="18"/>
          <w14:ligatures w14:val="standardContextual"/>
        </w:rPr>
        <w:t>Tema 555</w:t>
      </w:r>
      <w:r>
        <w:rPr>
          <w:rFonts w:cs="EB Garamond"/>
          <w:color w:val="6B6256"/>
          <w:kern w:val="16"/>
          <w:sz w:val="18"/>
          <w14:ligatures w14:val="standardContextual"/>
        </w:rPr>
        <w:t xml:space="preserve">  Cap. 8, 23</w:t>
      </w:r>
    </w:p>
    <w:p w14:paraId="4B5E15B1" w14:textId="77777777" w:rsidR="005A5FCC" w:rsidRDefault="00A21C81">
      <w:pPr>
        <w:spacing w:after="30" w:line="240" w:lineRule="auto"/>
        <w:jc w:val="left"/>
      </w:pPr>
      <w:r>
        <w:rPr>
          <w:rFonts w:cs="EB Garamond"/>
          <w:kern w:val="16"/>
          <w:sz w:val="18"/>
          <w14:ligatures w14:val="standardContextual"/>
        </w:rPr>
        <w:t>Tema 555/STJ</w:t>
      </w:r>
      <w:r>
        <w:rPr>
          <w:rFonts w:cs="EB Garamond"/>
          <w:color w:val="6B6256"/>
          <w:kern w:val="16"/>
          <w:sz w:val="18"/>
          <w14:ligatures w14:val="standardContextual"/>
        </w:rPr>
        <w:t xml:space="preserve">  Cap. 20</w:t>
      </w:r>
    </w:p>
    <w:p w14:paraId="737308DB" w14:textId="77777777" w:rsidR="005A5FCC" w:rsidRDefault="00A21C81">
      <w:pPr>
        <w:spacing w:after="30" w:line="240" w:lineRule="auto"/>
        <w:jc w:val="left"/>
      </w:pPr>
      <w:r>
        <w:rPr>
          <w:rFonts w:cs="EB Garamond"/>
          <w:kern w:val="16"/>
          <w:sz w:val="18"/>
          <w14:ligatures w14:val="standardContextual"/>
        </w:rPr>
        <w:t>Tema 563</w:t>
      </w:r>
      <w:r>
        <w:rPr>
          <w:rFonts w:cs="EB Garamond"/>
          <w:color w:val="6B6256"/>
          <w:kern w:val="16"/>
          <w:sz w:val="18"/>
          <w14:ligatures w14:val="standardContextual"/>
        </w:rPr>
        <w:t xml:space="preserve">  Cap. 17</w:t>
      </w:r>
    </w:p>
    <w:p w14:paraId="1F27A66F" w14:textId="77777777" w:rsidR="005A5FCC" w:rsidRDefault="00A21C81">
      <w:pPr>
        <w:spacing w:after="30" w:line="240" w:lineRule="auto"/>
        <w:jc w:val="left"/>
      </w:pPr>
      <w:r>
        <w:rPr>
          <w:rFonts w:cs="EB Garamond"/>
          <w:kern w:val="16"/>
          <w:sz w:val="18"/>
          <w14:ligatures w14:val="standardContextual"/>
        </w:rPr>
        <w:t>Tema 616/STF</w:t>
      </w:r>
      <w:r>
        <w:rPr>
          <w:rFonts w:cs="EB Garamond"/>
          <w:color w:val="6B6256"/>
          <w:kern w:val="16"/>
          <w:sz w:val="18"/>
          <w14:ligatures w14:val="standardContextual"/>
        </w:rPr>
        <w:t xml:space="preserve">  Cap. 16</w:t>
      </w:r>
    </w:p>
    <w:p w14:paraId="4F28A0F4" w14:textId="77777777" w:rsidR="005A5FCC" w:rsidRDefault="00A21C81">
      <w:pPr>
        <w:spacing w:after="30" w:line="240" w:lineRule="auto"/>
        <w:jc w:val="left"/>
      </w:pPr>
      <w:r>
        <w:rPr>
          <w:rFonts w:cs="EB Garamond"/>
          <w:kern w:val="16"/>
          <w:sz w:val="18"/>
          <w14:ligatures w14:val="standardContextual"/>
        </w:rPr>
        <w:t>Tema 622</w:t>
      </w:r>
      <w:r>
        <w:rPr>
          <w:rFonts w:cs="EB Garamond"/>
          <w:color w:val="6B6256"/>
          <w:kern w:val="16"/>
          <w:sz w:val="18"/>
          <w14:ligatures w14:val="standardContextual"/>
        </w:rPr>
        <w:t xml:space="preserve">  Cap. 2, 13</w:t>
      </w:r>
    </w:p>
    <w:p w14:paraId="64B3860F" w14:textId="77777777" w:rsidR="005A5FCC" w:rsidRDefault="00A21C81">
      <w:pPr>
        <w:spacing w:after="30" w:line="240" w:lineRule="auto"/>
        <w:jc w:val="left"/>
      </w:pPr>
      <w:r>
        <w:rPr>
          <w:rFonts w:cs="EB Garamond"/>
          <w:kern w:val="16"/>
          <w:sz w:val="18"/>
          <w14:ligatures w14:val="standardContextual"/>
        </w:rPr>
        <w:t>Tema 626</w:t>
      </w:r>
      <w:r>
        <w:rPr>
          <w:rFonts w:cs="EB Garamond"/>
          <w:color w:val="6B6256"/>
          <w:kern w:val="16"/>
          <w:sz w:val="18"/>
          <w14:ligatures w14:val="standardContextual"/>
        </w:rPr>
        <w:t xml:space="preserve">  Cap. 6</w:t>
      </w:r>
    </w:p>
    <w:p w14:paraId="562AC9FC" w14:textId="77777777" w:rsidR="005A5FCC" w:rsidRDefault="00A21C81">
      <w:pPr>
        <w:spacing w:after="30" w:line="240" w:lineRule="auto"/>
        <w:jc w:val="left"/>
      </w:pPr>
      <w:r>
        <w:rPr>
          <w:rFonts w:cs="EB Garamond"/>
          <w:kern w:val="16"/>
          <w:sz w:val="18"/>
          <w14:ligatures w14:val="standardContextual"/>
        </w:rPr>
        <w:t>Tema 629</w:t>
      </w:r>
      <w:r>
        <w:rPr>
          <w:rFonts w:cs="EB Garamond"/>
          <w:color w:val="6B6256"/>
          <w:kern w:val="16"/>
          <w:sz w:val="18"/>
          <w14:ligatures w14:val="standardContextual"/>
        </w:rPr>
        <w:t xml:space="preserve">  Cap. 5</w:t>
      </w:r>
    </w:p>
    <w:p w14:paraId="4293AEE6" w14:textId="77777777" w:rsidR="005A5FCC" w:rsidRDefault="00A21C81">
      <w:pPr>
        <w:spacing w:after="30" w:line="240" w:lineRule="auto"/>
        <w:jc w:val="left"/>
      </w:pPr>
      <w:r>
        <w:rPr>
          <w:rFonts w:cs="EB Garamond"/>
          <w:kern w:val="16"/>
          <w:sz w:val="18"/>
          <w14:ligatures w14:val="standardContextual"/>
        </w:rPr>
        <w:t>Tema 629/STJ</w:t>
      </w:r>
      <w:r>
        <w:rPr>
          <w:rFonts w:cs="EB Garamond"/>
          <w:color w:val="6B6256"/>
          <w:kern w:val="16"/>
          <w:sz w:val="18"/>
          <w14:ligatures w14:val="standardContextual"/>
        </w:rPr>
        <w:t xml:space="preserve">  Cap. 21</w:t>
      </w:r>
    </w:p>
    <w:p w14:paraId="36A98C0A" w14:textId="77777777" w:rsidR="005A5FCC" w:rsidRDefault="00A21C81">
      <w:pPr>
        <w:spacing w:after="30" w:line="240" w:lineRule="auto"/>
        <w:jc w:val="left"/>
      </w:pPr>
      <w:r>
        <w:rPr>
          <w:rFonts w:cs="EB Garamond"/>
          <w:kern w:val="16"/>
          <w:sz w:val="18"/>
          <w14:ligatures w14:val="standardContextual"/>
        </w:rPr>
        <w:t>Tema 642</w:t>
      </w:r>
      <w:r>
        <w:rPr>
          <w:rFonts w:cs="EB Garamond"/>
          <w:color w:val="6B6256"/>
          <w:kern w:val="16"/>
          <w:sz w:val="18"/>
          <w14:ligatures w14:val="standardContextual"/>
        </w:rPr>
        <w:t xml:space="preserve">  Cap. 9</w:t>
      </w:r>
    </w:p>
    <w:p w14:paraId="216E3759" w14:textId="77777777" w:rsidR="005A5FCC" w:rsidRDefault="00A21C81">
      <w:pPr>
        <w:spacing w:after="30" w:line="240" w:lineRule="auto"/>
        <w:jc w:val="left"/>
      </w:pPr>
      <w:r>
        <w:rPr>
          <w:rFonts w:cs="EB Garamond"/>
          <w:kern w:val="16"/>
          <w:sz w:val="18"/>
          <w14:ligatures w14:val="standardContextual"/>
        </w:rPr>
        <w:lastRenderedPageBreak/>
        <w:t>Tema 669</w:t>
      </w:r>
      <w:r>
        <w:rPr>
          <w:rFonts w:cs="EB Garamond"/>
          <w:color w:val="6B6256"/>
          <w:kern w:val="16"/>
          <w:sz w:val="18"/>
          <w14:ligatures w14:val="standardContextual"/>
        </w:rPr>
        <w:t xml:space="preserve">  Cap. 4, 9</w:t>
      </w:r>
    </w:p>
    <w:p w14:paraId="1C4E1166" w14:textId="77777777" w:rsidR="005A5FCC" w:rsidRDefault="00A21C81">
      <w:pPr>
        <w:spacing w:after="30" w:line="240" w:lineRule="auto"/>
        <w:jc w:val="left"/>
      </w:pPr>
      <w:r>
        <w:rPr>
          <w:rFonts w:cs="EB Garamond"/>
          <w:kern w:val="16"/>
          <w:sz w:val="18"/>
          <w14:ligatures w14:val="standardContextual"/>
        </w:rPr>
        <w:t>Tema 709</w:t>
      </w:r>
      <w:r>
        <w:rPr>
          <w:rFonts w:cs="EB Garamond"/>
          <w:color w:val="6B6256"/>
          <w:kern w:val="16"/>
          <w:sz w:val="18"/>
          <w14:ligatures w14:val="standardContextual"/>
        </w:rPr>
        <w:t xml:space="preserve">  Cap. 8</w:t>
      </w:r>
    </w:p>
    <w:p w14:paraId="79FE3524" w14:textId="77777777" w:rsidR="005A5FCC" w:rsidRDefault="00A21C81">
      <w:pPr>
        <w:spacing w:after="30" w:line="240" w:lineRule="auto"/>
        <w:jc w:val="left"/>
      </w:pPr>
      <w:r>
        <w:rPr>
          <w:rFonts w:cs="EB Garamond"/>
          <w:kern w:val="16"/>
          <w:sz w:val="18"/>
          <w14:ligatures w14:val="standardContextual"/>
        </w:rPr>
        <w:t>Tema 72</w:t>
      </w:r>
      <w:r>
        <w:rPr>
          <w:rFonts w:cs="EB Garamond"/>
          <w:color w:val="6B6256"/>
          <w:kern w:val="16"/>
          <w:sz w:val="18"/>
          <w14:ligatures w14:val="standardContextual"/>
        </w:rPr>
        <w:t xml:space="preserve">  Cap. 13</w:t>
      </w:r>
    </w:p>
    <w:p w14:paraId="2849A409" w14:textId="77777777" w:rsidR="005A5FCC" w:rsidRDefault="00A21C81">
      <w:pPr>
        <w:spacing w:after="30" w:line="240" w:lineRule="auto"/>
        <w:jc w:val="left"/>
      </w:pPr>
      <w:r>
        <w:rPr>
          <w:rFonts w:cs="EB Garamond"/>
          <w:kern w:val="16"/>
          <w:sz w:val="18"/>
          <w14:ligatures w14:val="standardContextual"/>
        </w:rPr>
        <w:t>Tema 723</w:t>
      </w:r>
      <w:r>
        <w:rPr>
          <w:rFonts w:cs="EB Garamond"/>
          <w:color w:val="6B6256"/>
          <w:kern w:val="16"/>
          <w:sz w:val="18"/>
          <w14:ligatures w14:val="standardContextual"/>
        </w:rPr>
        <w:t xml:space="preserve">  Cap. 9</w:t>
      </w:r>
    </w:p>
    <w:p w14:paraId="2C26ADC9" w14:textId="77777777" w:rsidR="005A5FCC" w:rsidRDefault="00A21C81">
      <w:pPr>
        <w:spacing w:after="30" w:line="240" w:lineRule="auto"/>
        <w:jc w:val="left"/>
      </w:pPr>
      <w:r>
        <w:rPr>
          <w:rFonts w:cs="EB Garamond"/>
          <w:kern w:val="16"/>
          <w:sz w:val="18"/>
          <w14:ligatures w14:val="standardContextual"/>
        </w:rPr>
        <w:t>Tema 732</w:t>
      </w:r>
      <w:r>
        <w:rPr>
          <w:rFonts w:cs="EB Garamond"/>
          <w:color w:val="6B6256"/>
          <w:kern w:val="16"/>
          <w:sz w:val="18"/>
          <w14:ligatures w14:val="standardContextual"/>
        </w:rPr>
        <w:t xml:space="preserve">  Cap. 2, 19</w:t>
      </w:r>
    </w:p>
    <w:p w14:paraId="62E5BA8E" w14:textId="77777777" w:rsidR="005A5FCC" w:rsidRDefault="00A21C81">
      <w:pPr>
        <w:spacing w:after="30" w:line="240" w:lineRule="auto"/>
        <w:jc w:val="left"/>
      </w:pPr>
      <w:r>
        <w:rPr>
          <w:rFonts w:cs="EB Garamond"/>
          <w:kern w:val="16"/>
          <w:sz w:val="18"/>
          <w14:ligatures w14:val="standardContextual"/>
        </w:rPr>
        <w:t>Tema 76</w:t>
      </w:r>
      <w:r>
        <w:rPr>
          <w:rFonts w:cs="EB Garamond"/>
          <w:color w:val="6B6256"/>
          <w:kern w:val="16"/>
          <w:sz w:val="18"/>
          <w14:ligatures w14:val="standardContextual"/>
        </w:rPr>
        <w:t xml:space="preserve">  Cap. 1, 16, 17</w:t>
      </w:r>
    </w:p>
    <w:p w14:paraId="2232BED1" w14:textId="77777777" w:rsidR="005A5FCC" w:rsidRDefault="00A21C81">
      <w:pPr>
        <w:spacing w:after="30" w:line="240" w:lineRule="auto"/>
        <w:jc w:val="left"/>
      </w:pPr>
      <w:r>
        <w:rPr>
          <w:rFonts w:cs="EB Garamond"/>
          <w:kern w:val="16"/>
          <w:sz w:val="18"/>
          <w14:ligatures w14:val="standardContextual"/>
        </w:rPr>
        <w:t>Tema 810</w:t>
      </w:r>
      <w:r>
        <w:rPr>
          <w:rFonts w:cs="EB Garamond"/>
          <w:color w:val="6B6256"/>
          <w:kern w:val="16"/>
          <w:sz w:val="18"/>
          <w14:ligatures w14:val="standardContextual"/>
        </w:rPr>
        <w:t xml:space="preserve">  Cap. 11, 17, 18, 23</w:t>
      </w:r>
    </w:p>
    <w:p w14:paraId="0FCF1A9D" w14:textId="77777777" w:rsidR="005A5FCC" w:rsidRDefault="00A21C81">
      <w:pPr>
        <w:spacing w:after="30" w:line="240" w:lineRule="auto"/>
        <w:jc w:val="left"/>
      </w:pPr>
      <w:r>
        <w:rPr>
          <w:rFonts w:cs="EB Garamond"/>
          <w:kern w:val="16"/>
          <w:sz w:val="18"/>
          <w14:ligatures w14:val="standardContextual"/>
        </w:rPr>
        <w:t>Tema 820</w:t>
      </w:r>
      <w:r>
        <w:rPr>
          <w:rFonts w:cs="EB Garamond"/>
          <w:color w:val="6B6256"/>
          <w:kern w:val="16"/>
          <w:sz w:val="18"/>
          <w14:ligatures w14:val="standardContextual"/>
        </w:rPr>
        <w:t xml:space="preserve">  Cap. 23</w:t>
      </w:r>
    </w:p>
    <w:p w14:paraId="173CC5D7" w14:textId="77777777" w:rsidR="005A5FCC" w:rsidRDefault="00A21C81">
      <w:pPr>
        <w:spacing w:after="30" w:line="240" w:lineRule="auto"/>
        <w:jc w:val="left"/>
      </w:pPr>
      <w:r>
        <w:rPr>
          <w:rFonts w:cs="EB Garamond"/>
          <w:kern w:val="16"/>
          <w:sz w:val="18"/>
          <w14:ligatures w14:val="standardContextual"/>
        </w:rPr>
        <w:t>Tema 824</w:t>
      </w:r>
      <w:r>
        <w:rPr>
          <w:rFonts w:cs="EB Garamond"/>
          <w:color w:val="6B6256"/>
          <w:kern w:val="16"/>
          <w:sz w:val="18"/>
          <w14:ligatures w14:val="standardContextual"/>
        </w:rPr>
        <w:t xml:space="preserve">  Cap. 1</w:t>
      </w:r>
    </w:p>
    <w:p w14:paraId="117E838D" w14:textId="77777777" w:rsidR="005A5FCC" w:rsidRDefault="00A21C81">
      <w:pPr>
        <w:spacing w:after="30" w:line="240" w:lineRule="auto"/>
        <w:jc w:val="left"/>
      </w:pPr>
      <w:r>
        <w:rPr>
          <w:rFonts w:cs="EB Garamond"/>
          <w:kern w:val="16"/>
          <w:sz w:val="18"/>
          <w14:ligatures w14:val="standardContextual"/>
        </w:rPr>
        <w:t>Tema 840</w:t>
      </w:r>
      <w:r>
        <w:rPr>
          <w:rFonts w:cs="EB Garamond"/>
          <w:color w:val="6B6256"/>
          <w:kern w:val="16"/>
          <w:sz w:val="18"/>
          <w14:ligatures w14:val="standardContextual"/>
        </w:rPr>
        <w:t xml:space="preserve">  Cap. 5</w:t>
      </w:r>
    </w:p>
    <w:p w14:paraId="3D8985C6" w14:textId="77777777" w:rsidR="005A5FCC" w:rsidRDefault="00A21C81">
      <w:pPr>
        <w:spacing w:after="30" w:line="240" w:lineRule="auto"/>
        <w:jc w:val="left"/>
      </w:pPr>
      <w:r>
        <w:rPr>
          <w:rFonts w:cs="EB Garamond"/>
          <w:kern w:val="16"/>
          <w:sz w:val="18"/>
          <w14:ligatures w14:val="standardContextual"/>
        </w:rPr>
        <w:t>Tema 862</w:t>
      </w:r>
      <w:r>
        <w:rPr>
          <w:rFonts w:cs="EB Garamond"/>
          <w:color w:val="6B6256"/>
          <w:kern w:val="16"/>
          <w:sz w:val="18"/>
          <w14:ligatures w14:val="standardContextual"/>
        </w:rPr>
        <w:t xml:space="preserve">  Cap. 7, 15</w:t>
      </w:r>
    </w:p>
    <w:p w14:paraId="5FDDD6B1" w14:textId="77777777" w:rsidR="005A5FCC" w:rsidRDefault="00A21C81">
      <w:pPr>
        <w:spacing w:after="30" w:line="240" w:lineRule="auto"/>
        <w:jc w:val="left"/>
      </w:pPr>
      <w:r>
        <w:rPr>
          <w:rFonts w:cs="EB Garamond"/>
          <w:kern w:val="16"/>
          <w:sz w:val="18"/>
          <w14:ligatures w14:val="standardContextual"/>
        </w:rPr>
        <w:t>Tema 89</w:t>
      </w:r>
      <w:r>
        <w:rPr>
          <w:rFonts w:cs="EB Garamond"/>
          <w:color w:val="6B6256"/>
          <w:kern w:val="16"/>
          <w:sz w:val="18"/>
          <w14:ligatures w14:val="standardContextual"/>
        </w:rPr>
        <w:t xml:space="preserve">  Cap. 14</w:t>
      </w:r>
    </w:p>
    <w:p w14:paraId="5C82355E" w14:textId="77777777" w:rsidR="005A5FCC" w:rsidRDefault="00A21C81">
      <w:pPr>
        <w:spacing w:after="30" w:line="240" w:lineRule="auto"/>
        <w:jc w:val="left"/>
      </w:pPr>
      <w:r>
        <w:rPr>
          <w:rFonts w:cs="EB Garamond"/>
          <w:kern w:val="16"/>
          <w:sz w:val="18"/>
          <w14:ligatures w14:val="standardContextual"/>
        </w:rPr>
        <w:t>Tema 896</w:t>
      </w:r>
      <w:r>
        <w:rPr>
          <w:rFonts w:cs="EB Garamond"/>
          <w:color w:val="6B6256"/>
          <w:kern w:val="16"/>
          <w:sz w:val="18"/>
          <w14:ligatures w14:val="standardContextual"/>
        </w:rPr>
        <w:t xml:space="preserve">  Cap. 14</w:t>
      </w:r>
    </w:p>
    <w:p w14:paraId="0A4634AA" w14:textId="77777777" w:rsidR="005A5FCC" w:rsidRDefault="00A21C81">
      <w:pPr>
        <w:spacing w:after="30" w:line="240" w:lineRule="auto"/>
        <w:jc w:val="left"/>
      </w:pPr>
      <w:r>
        <w:rPr>
          <w:rFonts w:cs="EB Garamond"/>
          <w:kern w:val="16"/>
          <w:sz w:val="18"/>
          <w14:ligatures w14:val="standardContextual"/>
        </w:rPr>
        <w:t>Tema 905</w:t>
      </w:r>
      <w:r>
        <w:rPr>
          <w:rFonts w:cs="EB Garamond"/>
          <w:color w:val="6B6256"/>
          <w:kern w:val="16"/>
          <w:sz w:val="18"/>
          <w14:ligatures w14:val="standardContextual"/>
        </w:rPr>
        <w:t xml:space="preserve">  Cap. 16, 18</w:t>
      </w:r>
    </w:p>
    <w:p w14:paraId="425F053F" w14:textId="77777777" w:rsidR="005A5FCC" w:rsidRDefault="00A21C81">
      <w:pPr>
        <w:spacing w:after="30" w:line="240" w:lineRule="auto"/>
        <w:jc w:val="left"/>
      </w:pPr>
      <w:r>
        <w:rPr>
          <w:rFonts w:cs="EB Garamond"/>
          <w:kern w:val="16"/>
          <w:sz w:val="18"/>
          <w14:ligatures w14:val="standardContextual"/>
        </w:rPr>
        <w:t>Tema 930</w:t>
      </w:r>
      <w:r>
        <w:rPr>
          <w:rFonts w:cs="EB Garamond"/>
          <w:color w:val="6B6256"/>
          <w:kern w:val="16"/>
          <w:sz w:val="18"/>
          <w14:ligatures w14:val="standardContextual"/>
        </w:rPr>
        <w:t xml:space="preserve">  Cap. 16</w:t>
      </w:r>
    </w:p>
    <w:p w14:paraId="52591129" w14:textId="77777777" w:rsidR="005A5FCC" w:rsidRDefault="00A21C81">
      <w:pPr>
        <w:spacing w:after="30" w:line="240" w:lineRule="auto"/>
        <w:jc w:val="left"/>
      </w:pPr>
      <w:r>
        <w:rPr>
          <w:rFonts w:cs="EB Garamond"/>
          <w:kern w:val="16"/>
          <w:sz w:val="18"/>
          <w14:ligatures w14:val="standardContextual"/>
        </w:rPr>
        <w:t>Tema 942</w:t>
      </w:r>
      <w:r>
        <w:rPr>
          <w:rFonts w:cs="EB Garamond"/>
          <w:color w:val="6B6256"/>
          <w:kern w:val="16"/>
          <w:sz w:val="18"/>
          <w14:ligatures w14:val="standardContextual"/>
        </w:rPr>
        <w:t xml:space="preserve">  Cap. 5</w:t>
      </w:r>
    </w:p>
    <w:p w14:paraId="3DF4327A" w14:textId="77777777" w:rsidR="005A5FCC" w:rsidRDefault="00A21C81">
      <w:pPr>
        <w:spacing w:after="30" w:line="240" w:lineRule="auto"/>
        <w:jc w:val="left"/>
      </w:pPr>
      <w:r>
        <w:rPr>
          <w:rFonts w:cs="EB Garamond"/>
          <w:kern w:val="16"/>
          <w:sz w:val="18"/>
          <w14:ligatures w14:val="standardContextual"/>
        </w:rPr>
        <w:t>Tema 966</w:t>
      </w:r>
      <w:r>
        <w:rPr>
          <w:rFonts w:cs="EB Garamond"/>
          <w:color w:val="6B6256"/>
          <w:kern w:val="16"/>
          <w:sz w:val="18"/>
          <w14:ligatures w14:val="standardContextual"/>
        </w:rPr>
        <w:t xml:space="preserve">  Cap. 17, 22</w:t>
      </w:r>
    </w:p>
    <w:p w14:paraId="5C415154" w14:textId="77777777" w:rsidR="005A5FCC" w:rsidRDefault="00A21C81">
      <w:pPr>
        <w:spacing w:after="30" w:line="240" w:lineRule="auto"/>
        <w:jc w:val="left"/>
      </w:pPr>
      <w:r>
        <w:rPr>
          <w:rFonts w:cs="EB Garamond"/>
          <w:kern w:val="16"/>
          <w:sz w:val="18"/>
          <w14:ligatures w14:val="standardContextual"/>
        </w:rPr>
        <w:t>Tema 966/STJ</w:t>
      </w:r>
      <w:r>
        <w:rPr>
          <w:rFonts w:cs="EB Garamond"/>
          <w:color w:val="6B6256"/>
          <w:kern w:val="16"/>
          <w:sz w:val="18"/>
          <w14:ligatures w14:val="standardContextual"/>
        </w:rPr>
        <w:t xml:space="preserve">  Cap. 21</w:t>
      </w:r>
    </w:p>
    <w:p w14:paraId="50D9E9A4" w14:textId="77777777" w:rsidR="005A5FCC" w:rsidRDefault="00A21C81">
      <w:pPr>
        <w:spacing w:after="30" w:line="240" w:lineRule="auto"/>
        <w:jc w:val="left"/>
      </w:pPr>
      <w:r>
        <w:rPr>
          <w:rFonts w:cs="EB Garamond"/>
          <w:kern w:val="16"/>
          <w:sz w:val="18"/>
          <w14:ligatures w14:val="standardContextual"/>
        </w:rPr>
        <w:t>Tema 975</w:t>
      </w:r>
      <w:r>
        <w:rPr>
          <w:rFonts w:cs="EB Garamond"/>
          <w:color w:val="6B6256"/>
          <w:kern w:val="16"/>
          <w:sz w:val="18"/>
          <w14:ligatures w14:val="standardContextual"/>
        </w:rPr>
        <w:t xml:space="preserve">  Cap. 1, 17</w:t>
      </w:r>
    </w:p>
    <w:p w14:paraId="52E52885" w14:textId="77777777" w:rsidR="005A5FCC" w:rsidRDefault="00A21C81">
      <w:pPr>
        <w:spacing w:after="30" w:line="240" w:lineRule="auto"/>
        <w:jc w:val="left"/>
      </w:pPr>
      <w:r>
        <w:rPr>
          <w:rFonts w:cs="EB Garamond"/>
          <w:kern w:val="16"/>
          <w:sz w:val="18"/>
          <w14:ligatures w14:val="standardContextual"/>
        </w:rPr>
        <w:t>Tema 975/STJ</w:t>
      </w:r>
      <w:r>
        <w:rPr>
          <w:rFonts w:cs="EB Garamond"/>
          <w:color w:val="6B6256"/>
          <w:kern w:val="16"/>
          <w:sz w:val="18"/>
          <w14:ligatures w14:val="standardContextual"/>
        </w:rPr>
        <w:t xml:space="preserve">  Cap. 21, 22</w:t>
      </w:r>
    </w:p>
    <w:p w14:paraId="3C505E64" w14:textId="77777777" w:rsidR="005A5FCC" w:rsidRDefault="00A21C81">
      <w:pPr>
        <w:spacing w:after="30" w:line="240" w:lineRule="auto"/>
        <w:jc w:val="left"/>
      </w:pPr>
      <w:r>
        <w:rPr>
          <w:rFonts w:cs="EB Garamond"/>
          <w:kern w:val="16"/>
          <w:sz w:val="18"/>
          <w14:ligatures w14:val="standardContextual"/>
        </w:rPr>
        <w:t>Tema 982</w:t>
      </w:r>
      <w:r>
        <w:rPr>
          <w:rFonts w:cs="EB Garamond"/>
          <w:color w:val="6B6256"/>
          <w:kern w:val="16"/>
          <w:sz w:val="18"/>
          <w14:ligatures w14:val="standardContextual"/>
        </w:rPr>
        <w:t xml:space="preserve">  Cap. 6</w:t>
      </w:r>
    </w:p>
    <w:p w14:paraId="724207A1" w14:textId="77777777" w:rsidR="005A5FCC" w:rsidRDefault="00A21C81">
      <w:pPr>
        <w:spacing w:after="30" w:line="240" w:lineRule="auto"/>
        <w:jc w:val="left"/>
      </w:pPr>
      <w:r>
        <w:rPr>
          <w:rFonts w:cs="EB Garamond"/>
          <w:kern w:val="16"/>
          <w:sz w:val="18"/>
          <w14:ligatures w14:val="standardContextual"/>
        </w:rPr>
        <w:t>Tema 985</w:t>
      </w:r>
      <w:r>
        <w:rPr>
          <w:rFonts w:cs="EB Garamond"/>
          <w:color w:val="6B6256"/>
          <w:kern w:val="16"/>
          <w:sz w:val="18"/>
          <w14:ligatures w14:val="standardContextual"/>
        </w:rPr>
        <w:t xml:space="preserve">  Cap. 4</w:t>
      </w:r>
    </w:p>
    <w:p w14:paraId="6A2B9B81" w14:textId="77777777" w:rsidR="005A5FCC" w:rsidRDefault="00A21C81">
      <w:pPr>
        <w:spacing w:after="30" w:line="240" w:lineRule="auto"/>
        <w:jc w:val="left"/>
      </w:pPr>
      <w:r>
        <w:rPr>
          <w:rFonts w:cs="EB Garamond"/>
          <w:kern w:val="16"/>
          <w:sz w:val="18"/>
          <w14:ligatures w14:val="standardContextual"/>
        </w:rPr>
        <w:t>Tema 995</w:t>
      </w:r>
      <w:r>
        <w:rPr>
          <w:rFonts w:cs="EB Garamond"/>
          <w:color w:val="6B6256"/>
          <w:kern w:val="16"/>
          <w:sz w:val="18"/>
          <w14:ligatures w14:val="standardContextual"/>
        </w:rPr>
        <w:t xml:space="preserve">  Cap. 4, 6, 7, 9, 10, 11, 14, 17, 18</w:t>
      </w:r>
    </w:p>
    <w:p w14:paraId="25F992FC" w14:textId="77777777" w:rsidR="005A5FCC" w:rsidRDefault="00A21C81">
      <w:pPr>
        <w:spacing w:after="30" w:line="240" w:lineRule="auto"/>
        <w:jc w:val="left"/>
      </w:pPr>
      <w:r>
        <w:rPr>
          <w:rFonts w:cs="EB Garamond"/>
          <w:kern w:val="16"/>
          <w:sz w:val="18"/>
          <w14:ligatures w14:val="standardContextual"/>
        </w:rPr>
        <w:t>Tema 995/STJ</w:t>
      </w:r>
      <w:r>
        <w:rPr>
          <w:rFonts w:cs="EB Garamond"/>
          <w:color w:val="6B6256"/>
          <w:kern w:val="16"/>
          <w:sz w:val="18"/>
          <w14:ligatures w14:val="standardContextual"/>
        </w:rPr>
        <w:t xml:space="preserve">  Cap. 8, 12, 16</w:t>
      </w:r>
    </w:p>
    <w:p w14:paraId="72888F55" w14:textId="77777777" w:rsidR="005A5FCC" w:rsidRDefault="00A21C81">
      <w:pPr>
        <w:spacing w:after="30" w:line="240" w:lineRule="auto"/>
        <w:jc w:val="left"/>
      </w:pPr>
      <w:r>
        <w:rPr>
          <w:rFonts w:cs="EB Garamond"/>
          <w:kern w:val="16"/>
          <w:sz w:val="18"/>
          <w14:ligatures w14:val="standardContextual"/>
        </w:rPr>
        <w:t>Tema 999</w:t>
      </w:r>
      <w:r>
        <w:rPr>
          <w:rFonts w:cs="EB Garamond"/>
          <w:color w:val="6B6256"/>
          <w:kern w:val="16"/>
          <w:sz w:val="18"/>
          <w14:ligatures w14:val="standardContextual"/>
        </w:rPr>
        <w:t xml:space="preserve">  Cap. 1</w:t>
      </w:r>
    </w:p>
    <w:p w14:paraId="7BEF9C26" w14:textId="77777777" w:rsidR="005A5FCC" w:rsidRDefault="00A21C81">
      <w:pPr>
        <w:pBdr>
          <w:bottom w:val="single" w:sz="8" w:space="4" w:color="D7CDBB"/>
        </w:pBdr>
        <w:spacing w:before="240" w:after="80" w:line="240" w:lineRule="auto"/>
        <w:jc w:val="left"/>
      </w:pPr>
      <w:r>
        <w:rPr>
          <w:rFonts w:cs="EB Garamond"/>
          <w:b/>
          <w:color w:val="3A3128"/>
          <w:kern w:val="16"/>
          <w:sz w:val="24"/>
          <w14:ligatures w14:val="standardContextual"/>
        </w:rPr>
        <w:t>Institutos Jurídicos</w:t>
      </w:r>
    </w:p>
    <w:p w14:paraId="324649C7" w14:textId="77777777" w:rsidR="005A5FCC" w:rsidRDefault="00A21C81">
      <w:pPr>
        <w:spacing w:after="30" w:line="240" w:lineRule="auto"/>
        <w:jc w:val="left"/>
      </w:pPr>
      <w:r>
        <w:rPr>
          <w:rFonts w:cs="EB Garamond"/>
          <w:kern w:val="16"/>
          <w:sz w:val="18"/>
          <w14:ligatures w14:val="standardContextual"/>
        </w:rPr>
        <w:t>acumulação de benefícios</w:t>
      </w:r>
      <w:r>
        <w:rPr>
          <w:rFonts w:cs="EB Garamond"/>
          <w:color w:val="6B6256"/>
          <w:kern w:val="16"/>
          <w:sz w:val="18"/>
          <w14:ligatures w14:val="standardContextual"/>
        </w:rPr>
        <w:t xml:space="preserve">  Cap. 1, 12, 13, 14, 15, 18, 19, 20, 23</w:t>
      </w:r>
    </w:p>
    <w:p w14:paraId="4D892764" w14:textId="77777777" w:rsidR="005A5FCC" w:rsidRDefault="00A21C81">
      <w:pPr>
        <w:spacing w:after="30" w:line="240" w:lineRule="auto"/>
        <w:jc w:val="left"/>
      </w:pPr>
      <w:r>
        <w:rPr>
          <w:rFonts w:cs="EB Garamond"/>
          <w:kern w:val="16"/>
          <w:sz w:val="18"/>
          <w14:ligatures w14:val="standardContextual"/>
        </w:rPr>
        <w:t>antecipação de tutela</w:t>
      </w:r>
      <w:r>
        <w:rPr>
          <w:rFonts w:cs="EB Garamond"/>
          <w:color w:val="6B6256"/>
          <w:kern w:val="16"/>
          <w:sz w:val="18"/>
          <w14:ligatures w14:val="standardContextual"/>
        </w:rPr>
        <w:t xml:space="preserve">  Cap. 5, 14, 19, 22, 23</w:t>
      </w:r>
    </w:p>
    <w:p w14:paraId="21B907D7" w14:textId="77777777" w:rsidR="005A5FCC" w:rsidRDefault="00A21C81">
      <w:pPr>
        <w:spacing w:after="30" w:line="240" w:lineRule="auto"/>
        <w:jc w:val="left"/>
      </w:pPr>
      <w:r>
        <w:rPr>
          <w:rFonts w:cs="EB Garamond"/>
          <w:kern w:val="16"/>
          <w:sz w:val="18"/>
          <w14:ligatures w14:val="standardContextual"/>
        </w:rPr>
        <w:t>aposentadoria da pessoa com deficiência</w:t>
      </w:r>
      <w:r>
        <w:rPr>
          <w:rFonts w:cs="EB Garamond"/>
          <w:color w:val="6B6256"/>
          <w:kern w:val="16"/>
          <w:sz w:val="18"/>
          <w14:ligatures w14:val="standardContextual"/>
        </w:rPr>
        <w:t xml:space="preserve">  Cap. 1, 8, 10, 12, 16, 17, 18, 23</w:t>
      </w:r>
    </w:p>
    <w:p w14:paraId="526E74C8" w14:textId="77777777" w:rsidR="005A5FCC" w:rsidRDefault="00A21C81">
      <w:pPr>
        <w:spacing w:after="30" w:line="240" w:lineRule="auto"/>
        <w:jc w:val="left"/>
      </w:pPr>
      <w:r>
        <w:rPr>
          <w:rFonts w:cs="EB Garamond"/>
          <w:kern w:val="16"/>
          <w:sz w:val="18"/>
          <w14:ligatures w14:val="standardContextual"/>
        </w:rPr>
        <w:t>aposentadoria especial</w:t>
      </w:r>
      <w:r>
        <w:rPr>
          <w:rFonts w:cs="EB Garamond"/>
          <w:color w:val="6B6256"/>
          <w:kern w:val="16"/>
          <w:sz w:val="18"/>
          <w14:ligatures w14:val="standardContextual"/>
        </w:rPr>
        <w:t xml:space="preserve">  Cap. 1, 2, 4, 5, 8, 11, 12, 16, 17, 22, 23</w:t>
      </w:r>
    </w:p>
    <w:p w14:paraId="728306E7" w14:textId="77777777" w:rsidR="005A5FCC" w:rsidRDefault="00A21C81">
      <w:pPr>
        <w:spacing w:after="30" w:line="240" w:lineRule="auto"/>
        <w:jc w:val="left"/>
      </w:pPr>
      <w:r>
        <w:rPr>
          <w:rFonts w:cs="EB Garamond"/>
          <w:kern w:val="16"/>
          <w:sz w:val="18"/>
          <w14:ligatures w14:val="standardContextual"/>
        </w:rPr>
        <w:t>aposentadoria por idade</w:t>
      </w:r>
      <w:r>
        <w:rPr>
          <w:rFonts w:cs="EB Garamond"/>
          <w:color w:val="6B6256"/>
          <w:kern w:val="16"/>
          <w:sz w:val="18"/>
          <w14:ligatures w14:val="standardContextual"/>
        </w:rPr>
        <w:t xml:space="preserve">  Cap. 1, 2, 3, 4, 5, 7, 9, 10, 11, 12, 13, 15, 16, 19, 20, 21, 22, 23</w:t>
      </w:r>
    </w:p>
    <w:p w14:paraId="27ACBB7D" w14:textId="77777777" w:rsidR="005A5FCC" w:rsidRDefault="00A21C81">
      <w:pPr>
        <w:spacing w:after="30" w:line="240" w:lineRule="auto"/>
        <w:jc w:val="left"/>
      </w:pPr>
      <w:r>
        <w:rPr>
          <w:rFonts w:cs="EB Garamond"/>
          <w:kern w:val="16"/>
          <w:sz w:val="18"/>
          <w14:ligatures w14:val="standardContextual"/>
        </w:rPr>
        <w:t>aposentadoria por incapacidade permanente</w:t>
      </w:r>
      <w:r>
        <w:rPr>
          <w:rFonts w:cs="EB Garamond"/>
          <w:color w:val="6B6256"/>
          <w:kern w:val="16"/>
          <w:sz w:val="18"/>
          <w14:ligatures w14:val="standardContextual"/>
        </w:rPr>
        <w:t xml:space="preserve">  Cap. 1, 2, 3, 4, 5, 6, 7, 10, 11, 12, 14, 15, 16, 17, 18, 19, 20, 22, 23</w:t>
      </w:r>
    </w:p>
    <w:p w14:paraId="28A16FB8" w14:textId="77777777" w:rsidR="005A5FCC" w:rsidRDefault="00A21C81">
      <w:pPr>
        <w:spacing w:after="30" w:line="240" w:lineRule="auto"/>
        <w:jc w:val="left"/>
      </w:pPr>
      <w:r>
        <w:rPr>
          <w:rFonts w:cs="EB Garamond"/>
          <w:kern w:val="16"/>
          <w:sz w:val="18"/>
          <w14:ligatures w14:val="standardContextual"/>
        </w:rPr>
        <w:t>aposentadoria por tempo de contribuição</w:t>
      </w:r>
      <w:r>
        <w:rPr>
          <w:rFonts w:cs="EB Garamond"/>
          <w:color w:val="6B6256"/>
          <w:kern w:val="16"/>
          <w:sz w:val="18"/>
          <w14:ligatures w14:val="standardContextual"/>
        </w:rPr>
        <w:t xml:space="preserve">  Cap. 1, 2, 3, 4, 5, 8, 10, 11, 12, 14, 16, 17, 19, 20, 21, 22, 23</w:t>
      </w:r>
    </w:p>
    <w:p w14:paraId="5447C05B" w14:textId="77777777" w:rsidR="005A5FCC" w:rsidRDefault="00A21C81">
      <w:pPr>
        <w:spacing w:after="30" w:line="240" w:lineRule="auto"/>
        <w:jc w:val="left"/>
      </w:pPr>
      <w:r>
        <w:rPr>
          <w:rFonts w:cs="EB Garamond"/>
          <w:kern w:val="16"/>
          <w:sz w:val="18"/>
          <w14:ligatures w14:val="standardContextual"/>
        </w:rPr>
        <w:t>atividade concomitante</w:t>
      </w:r>
      <w:r>
        <w:rPr>
          <w:rFonts w:cs="EB Garamond"/>
          <w:color w:val="6B6256"/>
          <w:kern w:val="16"/>
          <w:sz w:val="18"/>
          <w14:ligatures w14:val="standardContextual"/>
        </w:rPr>
        <w:t xml:space="preserve">  Cap. 8, 19, 20</w:t>
      </w:r>
    </w:p>
    <w:p w14:paraId="5FAB4D15" w14:textId="77777777" w:rsidR="005A5FCC" w:rsidRDefault="00A21C81">
      <w:pPr>
        <w:spacing w:after="30" w:line="240" w:lineRule="auto"/>
        <w:jc w:val="left"/>
      </w:pPr>
      <w:r>
        <w:rPr>
          <w:rFonts w:cs="EB Garamond"/>
          <w:kern w:val="16"/>
          <w:sz w:val="18"/>
          <w14:ligatures w14:val="standardContextual"/>
        </w:rPr>
        <w:lastRenderedPageBreak/>
        <w:t>atividade especial</w:t>
      </w:r>
      <w:r>
        <w:rPr>
          <w:rFonts w:cs="EB Garamond"/>
          <w:color w:val="6B6256"/>
          <w:kern w:val="16"/>
          <w:sz w:val="18"/>
          <w14:ligatures w14:val="standardContextual"/>
        </w:rPr>
        <w:t xml:space="preserve">  Cap. 5, 8, 11, 12, 17, 21, 22, 23</w:t>
      </w:r>
    </w:p>
    <w:p w14:paraId="49B8F94B" w14:textId="77777777" w:rsidR="005A5FCC" w:rsidRDefault="00A21C81">
      <w:pPr>
        <w:spacing w:after="30" w:line="240" w:lineRule="auto"/>
        <w:jc w:val="left"/>
      </w:pPr>
      <w:r>
        <w:rPr>
          <w:rFonts w:cs="EB Garamond"/>
          <w:kern w:val="16"/>
          <w:sz w:val="18"/>
          <w14:ligatures w14:val="standardContextual"/>
        </w:rPr>
        <w:t>auxílio por incapacidade temporária</w:t>
      </w:r>
      <w:r>
        <w:rPr>
          <w:rFonts w:cs="EB Garamond"/>
          <w:color w:val="6B6256"/>
          <w:kern w:val="16"/>
          <w:sz w:val="18"/>
          <w14:ligatures w14:val="standardContextual"/>
        </w:rPr>
        <w:t xml:space="preserve">  Cap. 1, 2, 3, 4, 5, 6, 7, 10, 11, 12, 13, 14, 15, 16, 18, 19, 20, 21, 22, 23</w:t>
      </w:r>
    </w:p>
    <w:p w14:paraId="584083D8" w14:textId="77777777" w:rsidR="005A5FCC" w:rsidRDefault="00A21C81">
      <w:pPr>
        <w:spacing w:after="30" w:line="240" w:lineRule="auto"/>
        <w:jc w:val="left"/>
      </w:pPr>
      <w:r>
        <w:rPr>
          <w:rFonts w:cs="EB Garamond"/>
          <w:kern w:val="16"/>
          <w:sz w:val="18"/>
          <w14:ligatures w14:val="standardContextual"/>
        </w:rPr>
        <w:t>auxílio-acidente</w:t>
      </w:r>
      <w:r>
        <w:rPr>
          <w:rFonts w:cs="EB Garamond"/>
          <w:color w:val="6B6256"/>
          <w:kern w:val="16"/>
          <w:sz w:val="18"/>
          <w14:ligatures w14:val="standardContextual"/>
        </w:rPr>
        <w:t xml:space="preserve">  Cap. 2, 3, 6, 7, 10, 12, 13, 15, 16, 18, 19, 20, 22, 23</w:t>
      </w:r>
    </w:p>
    <w:p w14:paraId="3E0EC7E4" w14:textId="77777777" w:rsidR="005A5FCC" w:rsidRDefault="00A21C81">
      <w:pPr>
        <w:spacing w:after="30" w:line="240" w:lineRule="auto"/>
        <w:jc w:val="left"/>
      </w:pPr>
      <w:r>
        <w:rPr>
          <w:rFonts w:cs="EB Garamond"/>
          <w:kern w:val="16"/>
          <w:sz w:val="18"/>
          <w14:ligatures w14:val="standardContextual"/>
        </w:rPr>
        <w:t>auxílio-reclusão</w:t>
      </w:r>
      <w:r>
        <w:rPr>
          <w:rFonts w:cs="EB Garamond"/>
          <w:color w:val="6B6256"/>
          <w:kern w:val="16"/>
          <w:sz w:val="18"/>
          <w14:ligatures w14:val="standardContextual"/>
        </w:rPr>
        <w:t xml:space="preserve">  Cap. 2, 3, 4, 14, 15, 16, 20, 23</w:t>
      </w:r>
    </w:p>
    <w:p w14:paraId="5817482C" w14:textId="77777777" w:rsidR="005A5FCC" w:rsidRDefault="00A21C81">
      <w:pPr>
        <w:spacing w:after="30" w:line="240" w:lineRule="auto"/>
        <w:jc w:val="left"/>
      </w:pPr>
      <w:r>
        <w:rPr>
          <w:rFonts w:cs="EB Garamond"/>
          <w:kern w:val="16"/>
          <w:sz w:val="18"/>
          <w14:ligatures w14:val="standardContextual"/>
        </w:rPr>
        <w:t>benefício de prestação continuada</w:t>
      </w:r>
      <w:r>
        <w:rPr>
          <w:rFonts w:cs="EB Garamond"/>
          <w:color w:val="6B6256"/>
          <w:kern w:val="16"/>
          <w:sz w:val="18"/>
          <w14:ligatures w14:val="standardContextual"/>
        </w:rPr>
        <w:t xml:space="preserve">  Cap. 1, 6, 18, 20, 21, 22, 23</w:t>
      </w:r>
    </w:p>
    <w:p w14:paraId="1038B1BB" w14:textId="77777777" w:rsidR="005A5FCC" w:rsidRDefault="00A21C81">
      <w:pPr>
        <w:spacing w:after="30" w:line="240" w:lineRule="auto"/>
        <w:jc w:val="left"/>
      </w:pPr>
      <w:r>
        <w:rPr>
          <w:rFonts w:cs="EB Garamond"/>
          <w:kern w:val="16"/>
          <w:sz w:val="18"/>
          <w14:ligatures w14:val="standardContextual"/>
        </w:rPr>
        <w:t>BPC</w:t>
      </w:r>
      <w:r>
        <w:rPr>
          <w:rFonts w:cs="EB Garamond"/>
          <w:color w:val="6B6256"/>
          <w:kern w:val="16"/>
          <w:sz w:val="18"/>
          <w14:ligatures w14:val="standardContextual"/>
        </w:rPr>
        <w:t xml:space="preserve">  Cap. 1, 6, 7, 12, 13, 14, 18, 20, 21, 22, 23</w:t>
      </w:r>
    </w:p>
    <w:p w14:paraId="6A06FC11" w14:textId="77777777" w:rsidR="005A5FCC" w:rsidRDefault="00A21C81">
      <w:pPr>
        <w:spacing w:after="30" w:line="240" w:lineRule="auto"/>
        <w:jc w:val="left"/>
      </w:pPr>
      <w:r>
        <w:rPr>
          <w:rFonts w:cs="EB Garamond"/>
          <w:kern w:val="16"/>
          <w:sz w:val="18"/>
          <w14:ligatures w14:val="standardContextual"/>
        </w:rPr>
        <w:t>carência</w:t>
      </w:r>
      <w:r>
        <w:rPr>
          <w:rFonts w:cs="EB Garamond"/>
          <w:color w:val="6B6256"/>
          <w:kern w:val="16"/>
          <w:sz w:val="18"/>
          <w14:ligatures w14:val="standardContextual"/>
        </w:rPr>
        <w:t xml:space="preserve">  Cap. 1, 2, 3, 4, 5, 6, 7, 8, 9, 10, 11, 12, 13, 14, 15, 17, 18, 19, 21, 22, 23</w:t>
      </w:r>
    </w:p>
    <w:p w14:paraId="29010DAA" w14:textId="77777777" w:rsidR="005A5FCC" w:rsidRDefault="00A21C81">
      <w:pPr>
        <w:spacing w:after="30" w:line="240" w:lineRule="auto"/>
        <w:jc w:val="left"/>
      </w:pPr>
      <w:r>
        <w:rPr>
          <w:rFonts w:cs="EB Garamond"/>
          <w:kern w:val="16"/>
          <w:sz w:val="18"/>
          <w14:ligatures w14:val="standardContextual"/>
        </w:rPr>
        <w:t>certidão de tempo de contribuição</w:t>
      </w:r>
      <w:r>
        <w:rPr>
          <w:rFonts w:cs="EB Garamond"/>
          <w:color w:val="6B6256"/>
          <w:kern w:val="16"/>
          <w:sz w:val="18"/>
          <w14:ligatures w14:val="standardContextual"/>
        </w:rPr>
        <w:t xml:space="preserve">  Cap. 2, 4, 5, 8, 11, 20, 23</w:t>
      </w:r>
    </w:p>
    <w:p w14:paraId="28760568" w14:textId="77777777" w:rsidR="005A5FCC" w:rsidRDefault="00A21C81">
      <w:pPr>
        <w:spacing w:after="30" w:line="240" w:lineRule="auto"/>
        <w:jc w:val="left"/>
      </w:pPr>
      <w:r>
        <w:rPr>
          <w:rFonts w:cs="EB Garamond"/>
          <w:kern w:val="16"/>
          <w:sz w:val="18"/>
          <w14:ligatures w14:val="standardContextual"/>
        </w:rPr>
        <w:t>CNIS</w:t>
      </w:r>
      <w:r>
        <w:rPr>
          <w:rFonts w:cs="EB Garamond"/>
          <w:color w:val="6B6256"/>
          <w:kern w:val="16"/>
          <w:sz w:val="18"/>
          <w14:ligatures w14:val="standardContextual"/>
        </w:rPr>
        <w:t xml:space="preserve">  Cap. 1, 2, 3, 4, 5, 8, 9, 10, 11, 12, 13, 14, 16, 17, 18, 19, 20, 21, 22, 23</w:t>
      </w:r>
    </w:p>
    <w:p w14:paraId="52BA27AB" w14:textId="77777777" w:rsidR="005A5FCC" w:rsidRDefault="00A21C81">
      <w:pPr>
        <w:spacing w:after="30" w:line="240" w:lineRule="auto"/>
        <w:jc w:val="left"/>
      </w:pPr>
      <w:r>
        <w:rPr>
          <w:rFonts w:cs="EB Garamond"/>
          <w:kern w:val="16"/>
          <w:sz w:val="18"/>
          <w14:ligatures w14:val="standardContextual"/>
        </w:rPr>
        <w:t>coisa julgada previdenciária</w:t>
      </w:r>
      <w:r>
        <w:rPr>
          <w:rFonts w:cs="EB Garamond"/>
          <w:color w:val="6B6256"/>
          <w:kern w:val="16"/>
          <w:sz w:val="18"/>
          <w14:ligatures w14:val="standardContextual"/>
        </w:rPr>
        <w:t xml:space="preserve">  Cap. 21, 22, 23</w:t>
      </w:r>
    </w:p>
    <w:p w14:paraId="4A90B080" w14:textId="77777777" w:rsidR="005A5FCC" w:rsidRDefault="00A21C81">
      <w:pPr>
        <w:spacing w:after="30" w:line="240" w:lineRule="auto"/>
        <w:jc w:val="left"/>
      </w:pPr>
      <w:r>
        <w:rPr>
          <w:rFonts w:cs="EB Garamond"/>
          <w:kern w:val="16"/>
          <w:sz w:val="18"/>
          <w14:ligatures w14:val="standardContextual"/>
        </w:rPr>
        <w:t>contribuinte individual</w:t>
      </w:r>
      <w:r>
        <w:rPr>
          <w:rFonts w:cs="EB Garamond"/>
          <w:color w:val="6B6256"/>
          <w:kern w:val="16"/>
          <w:sz w:val="18"/>
          <w14:ligatures w14:val="standardContextual"/>
        </w:rPr>
        <w:t xml:space="preserve">  Cap. 1, 2, 3, 4, 5, 7, 8, 9, 10, 11, 12, 13, 14, 15, 16, 17, 18, 19, 20, 23</w:t>
      </w:r>
    </w:p>
    <w:p w14:paraId="2BCFEF20" w14:textId="77777777" w:rsidR="005A5FCC" w:rsidRDefault="00A21C81">
      <w:pPr>
        <w:spacing w:after="30" w:line="240" w:lineRule="auto"/>
        <w:jc w:val="left"/>
      </w:pPr>
      <w:r>
        <w:rPr>
          <w:rFonts w:cs="EB Garamond"/>
          <w:kern w:val="16"/>
          <w:sz w:val="18"/>
          <w14:ligatures w14:val="standardContextual"/>
        </w:rPr>
        <w:t>conversão de tempo especial</w:t>
      </w:r>
      <w:r>
        <w:rPr>
          <w:rFonts w:cs="EB Garamond"/>
          <w:color w:val="6B6256"/>
          <w:kern w:val="16"/>
          <w:sz w:val="18"/>
          <w14:ligatures w14:val="standardContextual"/>
        </w:rPr>
        <w:t xml:space="preserve">  Cap. 1, 5, 8, 11, 12, 23</w:t>
      </w:r>
    </w:p>
    <w:p w14:paraId="6315632F" w14:textId="77777777" w:rsidR="005A5FCC" w:rsidRDefault="00A21C81">
      <w:pPr>
        <w:spacing w:after="30" w:line="240" w:lineRule="auto"/>
        <w:jc w:val="left"/>
      </w:pPr>
      <w:r>
        <w:rPr>
          <w:rFonts w:cs="EB Garamond"/>
          <w:kern w:val="16"/>
          <w:sz w:val="18"/>
          <w14:ligatures w14:val="standardContextual"/>
        </w:rPr>
        <w:t>CTC</w:t>
      </w:r>
      <w:r>
        <w:rPr>
          <w:rFonts w:cs="EB Garamond"/>
          <w:color w:val="6B6256"/>
          <w:kern w:val="16"/>
          <w:sz w:val="18"/>
          <w14:ligatures w14:val="standardContextual"/>
        </w:rPr>
        <w:t xml:space="preserve">  Cap. 2, 4, 5, 8, 11, 12</w:t>
      </w:r>
    </w:p>
    <w:p w14:paraId="468AE3A1" w14:textId="77777777" w:rsidR="005A5FCC" w:rsidRDefault="00A21C81">
      <w:pPr>
        <w:spacing w:after="30" w:line="240" w:lineRule="auto"/>
        <w:jc w:val="left"/>
      </w:pPr>
      <w:r>
        <w:rPr>
          <w:rFonts w:cs="EB Garamond"/>
          <w:kern w:val="16"/>
          <w:sz w:val="18"/>
          <w14:ligatures w14:val="standardContextual"/>
        </w:rPr>
        <w:t>data de entrada do requerimento</w:t>
      </w:r>
      <w:r>
        <w:rPr>
          <w:rFonts w:cs="EB Garamond"/>
          <w:color w:val="6B6256"/>
          <w:kern w:val="16"/>
          <w:sz w:val="18"/>
          <w14:ligatures w14:val="standardContextual"/>
        </w:rPr>
        <w:t xml:space="preserve">  Cap. 1, 7, 8, 10, 12, 16, 20, 21, 22</w:t>
      </w:r>
    </w:p>
    <w:p w14:paraId="594B845C" w14:textId="77777777" w:rsidR="005A5FCC" w:rsidRDefault="00A21C81">
      <w:pPr>
        <w:spacing w:after="30" w:line="240" w:lineRule="auto"/>
        <w:jc w:val="left"/>
      </w:pPr>
      <w:r>
        <w:rPr>
          <w:rFonts w:cs="EB Garamond"/>
          <w:kern w:val="16"/>
          <w:sz w:val="18"/>
          <w14:ligatures w14:val="standardContextual"/>
        </w:rPr>
        <w:t>data de início do benefício</w:t>
      </w:r>
      <w:r>
        <w:rPr>
          <w:rFonts w:cs="EB Garamond"/>
          <w:color w:val="6B6256"/>
          <w:kern w:val="16"/>
          <w:sz w:val="18"/>
          <w14:ligatures w14:val="standardContextual"/>
        </w:rPr>
        <w:t xml:space="preserve">  Cap. 5, 6, 7, 9, 10, 11, 12, 13, 14, 15, 16, 17, 18, 19, 20, 21, 22, 23</w:t>
      </w:r>
    </w:p>
    <w:p w14:paraId="41219457" w14:textId="77777777" w:rsidR="005A5FCC" w:rsidRDefault="00A21C81">
      <w:pPr>
        <w:spacing w:after="30" w:line="240" w:lineRule="auto"/>
        <w:jc w:val="left"/>
      </w:pPr>
      <w:r>
        <w:rPr>
          <w:rFonts w:cs="EB Garamond"/>
          <w:kern w:val="16"/>
          <w:sz w:val="18"/>
          <w14:ligatures w14:val="standardContextual"/>
        </w:rPr>
        <w:t>DCB</w:t>
      </w:r>
      <w:r>
        <w:rPr>
          <w:rFonts w:cs="EB Garamond"/>
          <w:color w:val="6B6256"/>
          <w:kern w:val="16"/>
          <w:sz w:val="18"/>
          <w14:ligatures w14:val="standardContextual"/>
        </w:rPr>
        <w:t xml:space="preserve">  Cap. 7, 22</w:t>
      </w:r>
    </w:p>
    <w:p w14:paraId="40449C0E" w14:textId="77777777" w:rsidR="005A5FCC" w:rsidRDefault="00A21C81">
      <w:pPr>
        <w:spacing w:after="30" w:line="240" w:lineRule="auto"/>
        <w:jc w:val="left"/>
      </w:pPr>
      <w:r>
        <w:rPr>
          <w:rFonts w:cs="EB Garamond"/>
          <w:kern w:val="16"/>
          <w:sz w:val="18"/>
          <w14:ligatures w14:val="standardContextual"/>
        </w:rPr>
        <w:t>decadência</w:t>
      </w:r>
      <w:r>
        <w:rPr>
          <w:rFonts w:cs="EB Garamond"/>
          <w:color w:val="6B6256"/>
          <w:kern w:val="16"/>
          <w:sz w:val="18"/>
          <w14:ligatures w14:val="standardContextual"/>
        </w:rPr>
        <w:t xml:space="preserve">  Cap. 1, 4, 5, 7, 8, 14, 17, 19, 21, 22, 23</w:t>
      </w:r>
    </w:p>
    <w:p w14:paraId="2323A5BF" w14:textId="77777777" w:rsidR="005A5FCC" w:rsidRDefault="00A21C81">
      <w:pPr>
        <w:spacing w:after="30" w:line="240" w:lineRule="auto"/>
        <w:jc w:val="left"/>
      </w:pPr>
      <w:r>
        <w:rPr>
          <w:rFonts w:cs="EB Garamond"/>
          <w:kern w:val="16"/>
          <w:sz w:val="18"/>
          <w14:ligatures w14:val="standardContextual"/>
        </w:rPr>
        <w:t>DER</w:t>
      </w:r>
      <w:r>
        <w:rPr>
          <w:rFonts w:cs="EB Garamond"/>
          <w:color w:val="6B6256"/>
          <w:kern w:val="16"/>
          <w:sz w:val="18"/>
          <w14:ligatures w14:val="standardContextual"/>
        </w:rPr>
        <w:t xml:space="preserve">  Cap. 1, 2, 3, 4, 5, 6, 7, 8, 9, 10, 11, 12, 13, 14, 15, 16, 17, 18, 19, 20, 21, 22, 23</w:t>
      </w:r>
    </w:p>
    <w:p w14:paraId="299A5001" w14:textId="77777777" w:rsidR="005A5FCC" w:rsidRDefault="00A21C81">
      <w:pPr>
        <w:spacing w:after="30" w:line="240" w:lineRule="auto"/>
        <w:jc w:val="left"/>
      </w:pPr>
      <w:r>
        <w:rPr>
          <w:rFonts w:cs="EB Garamond"/>
          <w:kern w:val="16"/>
          <w:sz w:val="18"/>
          <w14:ligatures w14:val="standardContextual"/>
        </w:rPr>
        <w:t>desaposentação</w:t>
      </w:r>
      <w:r>
        <w:rPr>
          <w:rFonts w:cs="EB Garamond"/>
          <w:color w:val="6B6256"/>
          <w:kern w:val="16"/>
          <w:sz w:val="18"/>
          <w14:ligatures w14:val="standardContextual"/>
        </w:rPr>
        <w:t xml:space="preserve">  Cap. 1, 4, 5, 8, 11, 17, 19</w:t>
      </w:r>
    </w:p>
    <w:p w14:paraId="1FFBF202" w14:textId="77777777" w:rsidR="005A5FCC" w:rsidRDefault="00A21C81">
      <w:pPr>
        <w:spacing w:after="30" w:line="240" w:lineRule="auto"/>
        <w:jc w:val="left"/>
      </w:pPr>
      <w:r>
        <w:rPr>
          <w:rFonts w:cs="EB Garamond"/>
          <w:kern w:val="16"/>
          <w:sz w:val="18"/>
          <w14:ligatures w14:val="standardContextual"/>
        </w:rPr>
        <w:t>DIB</w:t>
      </w:r>
      <w:r>
        <w:rPr>
          <w:rFonts w:cs="EB Garamond"/>
          <w:color w:val="6B6256"/>
          <w:kern w:val="16"/>
          <w:sz w:val="18"/>
          <w14:ligatures w14:val="standardContextual"/>
        </w:rPr>
        <w:t xml:space="preserve">  Cap. 5, 6, 7, 8, 9, 10, 11, 12, 13, 14, 15, 16, 17, 18, 19, 20, 21, 22, 23</w:t>
      </w:r>
    </w:p>
    <w:p w14:paraId="1F8000AF" w14:textId="77777777" w:rsidR="005A5FCC" w:rsidRDefault="00A21C81">
      <w:pPr>
        <w:spacing w:after="30" w:line="240" w:lineRule="auto"/>
        <w:jc w:val="left"/>
      </w:pPr>
      <w:r>
        <w:rPr>
          <w:rFonts w:cs="EB Garamond"/>
          <w:kern w:val="16"/>
          <w:sz w:val="18"/>
          <w14:ligatures w14:val="standardContextual"/>
        </w:rPr>
        <w:t>direito adquirido</w:t>
      </w:r>
      <w:r>
        <w:rPr>
          <w:rFonts w:cs="EB Garamond"/>
          <w:color w:val="6B6256"/>
          <w:kern w:val="16"/>
          <w:sz w:val="18"/>
          <w14:ligatures w14:val="standardContextual"/>
        </w:rPr>
        <w:t xml:space="preserve">  Cap. 1, 2, 3, 5, 8, 9, 10, 11, 12, 14, 16, 17, 18, 19, 20, 21</w:t>
      </w:r>
    </w:p>
    <w:p w14:paraId="0CA6F7C5" w14:textId="77777777" w:rsidR="005A5FCC" w:rsidRDefault="00A21C81">
      <w:pPr>
        <w:spacing w:after="30" w:line="240" w:lineRule="auto"/>
        <w:jc w:val="left"/>
      </w:pPr>
      <w:r>
        <w:rPr>
          <w:rFonts w:cs="EB Garamond"/>
          <w:kern w:val="16"/>
          <w:sz w:val="18"/>
          <w14:ligatures w14:val="standardContextual"/>
        </w:rPr>
        <w:t>fator previdenciário</w:t>
      </w:r>
      <w:r>
        <w:rPr>
          <w:rFonts w:cs="EB Garamond"/>
          <w:color w:val="6B6256"/>
          <w:kern w:val="16"/>
          <w:sz w:val="18"/>
          <w14:ligatures w14:val="standardContextual"/>
        </w:rPr>
        <w:t xml:space="preserve">  Cap. 1, 5, 6, 8, 10, 11, 12, 13, 16, 17, 18, 20, 21</w:t>
      </w:r>
    </w:p>
    <w:p w14:paraId="7C7BEAE6" w14:textId="77777777" w:rsidR="005A5FCC" w:rsidRDefault="00A21C81">
      <w:pPr>
        <w:spacing w:after="30" w:line="240" w:lineRule="auto"/>
        <w:jc w:val="left"/>
      </w:pPr>
      <w:r>
        <w:rPr>
          <w:rFonts w:cs="EB Garamond"/>
          <w:kern w:val="16"/>
          <w:sz w:val="18"/>
          <w14:ligatures w14:val="standardContextual"/>
        </w:rPr>
        <w:t>implantação de benefício</w:t>
      </w:r>
      <w:r>
        <w:rPr>
          <w:rFonts w:cs="EB Garamond"/>
          <w:color w:val="6B6256"/>
          <w:kern w:val="16"/>
          <w:sz w:val="18"/>
          <w14:ligatures w14:val="standardContextual"/>
        </w:rPr>
        <w:t xml:space="preserve">  Cap. 22</w:t>
      </w:r>
    </w:p>
    <w:p w14:paraId="38EF6B72" w14:textId="77777777" w:rsidR="005A5FCC" w:rsidRDefault="00A21C81">
      <w:pPr>
        <w:spacing w:after="30" w:line="240" w:lineRule="auto"/>
        <w:jc w:val="left"/>
      </w:pPr>
      <w:r>
        <w:rPr>
          <w:rFonts w:cs="EB Garamond"/>
          <w:kern w:val="16"/>
          <w:sz w:val="18"/>
          <w14:ligatures w14:val="standardContextual"/>
        </w:rPr>
        <w:t>incapacidade laborativa</w:t>
      </w:r>
      <w:r>
        <w:rPr>
          <w:rFonts w:cs="EB Garamond"/>
          <w:color w:val="6B6256"/>
          <w:kern w:val="16"/>
          <w:sz w:val="18"/>
          <w14:ligatures w14:val="standardContextual"/>
        </w:rPr>
        <w:t xml:space="preserve">  Cap. 1, 4, 6, 7, 15, 20, 22</w:t>
      </w:r>
    </w:p>
    <w:p w14:paraId="53F9D1D9" w14:textId="77777777" w:rsidR="005A5FCC" w:rsidRDefault="00A21C81">
      <w:pPr>
        <w:spacing w:after="30" w:line="240" w:lineRule="auto"/>
        <w:jc w:val="left"/>
      </w:pPr>
      <w:r>
        <w:rPr>
          <w:rFonts w:cs="EB Garamond"/>
          <w:kern w:val="16"/>
          <w:sz w:val="18"/>
          <w14:ligatures w14:val="standardContextual"/>
        </w:rPr>
        <w:t>INSS</w:t>
      </w:r>
      <w:r>
        <w:rPr>
          <w:rFonts w:cs="EB Garamond"/>
          <w:color w:val="6B6256"/>
          <w:kern w:val="16"/>
          <w:sz w:val="18"/>
          <w14:ligatures w14:val="standardContextual"/>
        </w:rPr>
        <w:t xml:space="preserve">  Cap. 1, 2, 3, 4, 5, 6, 7, 8, 9, 10, 11, 12, 13, 14, 15, 16, 17, 18, 19, 20, 21, 22, 23</w:t>
      </w:r>
    </w:p>
    <w:p w14:paraId="31F45F14" w14:textId="77777777" w:rsidR="005A5FCC" w:rsidRDefault="00A21C81">
      <w:pPr>
        <w:spacing w:after="30" w:line="240" w:lineRule="auto"/>
        <w:jc w:val="left"/>
      </w:pPr>
      <w:r>
        <w:rPr>
          <w:rFonts w:cs="EB Garamond"/>
          <w:kern w:val="16"/>
          <w:sz w:val="18"/>
          <w14:ligatures w14:val="standardContextual"/>
        </w:rPr>
        <w:t>juizados especiais federais</w:t>
      </w:r>
      <w:r>
        <w:rPr>
          <w:rFonts w:cs="EB Garamond"/>
          <w:color w:val="6B6256"/>
          <w:kern w:val="16"/>
          <w:sz w:val="18"/>
          <w14:ligatures w14:val="standardContextual"/>
        </w:rPr>
        <w:t xml:space="preserve">  Cap. 1, 3, 4, 5, 6, 7, 8, 9, 10, 12, 13, 14, 15, 16, 18, 19, 20, 21, 22, 23</w:t>
      </w:r>
    </w:p>
    <w:p w14:paraId="06F055AA" w14:textId="77777777" w:rsidR="005A5FCC" w:rsidRDefault="00A21C81">
      <w:pPr>
        <w:spacing w:after="30" w:line="240" w:lineRule="auto"/>
        <w:jc w:val="left"/>
      </w:pPr>
      <w:r>
        <w:rPr>
          <w:rFonts w:cs="EB Garamond"/>
          <w:kern w:val="16"/>
          <w:sz w:val="18"/>
          <w14:ligatures w14:val="standardContextual"/>
        </w:rPr>
        <w:t>LOAS</w:t>
      </w:r>
      <w:r>
        <w:rPr>
          <w:rFonts w:cs="EB Garamond"/>
          <w:color w:val="6B6256"/>
          <w:kern w:val="16"/>
          <w:sz w:val="18"/>
          <w14:ligatures w14:val="standardContextual"/>
        </w:rPr>
        <w:t xml:space="preserve">  Cap. 1, 7, 12, 13, 14, 18, 20, 22, 23</w:t>
      </w:r>
    </w:p>
    <w:p w14:paraId="4D13149A" w14:textId="77777777" w:rsidR="005A5FCC" w:rsidRDefault="00A21C81">
      <w:pPr>
        <w:spacing w:after="30" w:line="240" w:lineRule="auto"/>
        <w:jc w:val="left"/>
      </w:pPr>
      <w:r>
        <w:rPr>
          <w:rFonts w:cs="EB Garamond"/>
          <w:kern w:val="16"/>
          <w:sz w:val="18"/>
          <w14:ligatures w14:val="standardContextual"/>
        </w:rPr>
        <w:t>LTCAT</w:t>
      </w:r>
      <w:r>
        <w:rPr>
          <w:rFonts w:cs="EB Garamond"/>
          <w:color w:val="6B6256"/>
          <w:kern w:val="16"/>
          <w:sz w:val="18"/>
          <w14:ligatures w14:val="standardContextual"/>
        </w:rPr>
        <w:t xml:space="preserve">  Cap. 8, 11, 17, 22, 23</w:t>
      </w:r>
    </w:p>
    <w:p w14:paraId="700A3A79" w14:textId="77777777" w:rsidR="005A5FCC" w:rsidRDefault="00A21C81">
      <w:pPr>
        <w:spacing w:after="30" w:line="240" w:lineRule="auto"/>
        <w:jc w:val="left"/>
      </w:pPr>
      <w:r>
        <w:rPr>
          <w:rFonts w:cs="EB Garamond"/>
          <w:kern w:val="16"/>
          <w:sz w:val="18"/>
          <w14:ligatures w14:val="standardContextual"/>
        </w:rPr>
        <w:t>pedido de uniformização</w:t>
      </w:r>
      <w:r>
        <w:rPr>
          <w:rFonts w:cs="EB Garamond"/>
          <w:color w:val="6B6256"/>
          <w:kern w:val="16"/>
          <w:sz w:val="18"/>
          <w14:ligatures w14:val="standardContextual"/>
        </w:rPr>
        <w:t xml:space="preserve">  Cap. 5, 9, 10, 11, 21, 22, 23</w:t>
      </w:r>
    </w:p>
    <w:p w14:paraId="53722EB0" w14:textId="77777777" w:rsidR="005A5FCC" w:rsidRDefault="00A21C81">
      <w:pPr>
        <w:spacing w:after="30" w:line="240" w:lineRule="auto"/>
        <w:jc w:val="left"/>
      </w:pPr>
      <w:r>
        <w:rPr>
          <w:rFonts w:cs="EB Garamond"/>
          <w:kern w:val="16"/>
          <w:sz w:val="18"/>
          <w14:ligatures w14:val="standardContextual"/>
        </w:rPr>
        <w:t>pensão por morte</w:t>
      </w:r>
      <w:r>
        <w:rPr>
          <w:rFonts w:cs="EB Garamond"/>
          <w:color w:val="6B6256"/>
          <w:kern w:val="16"/>
          <w:sz w:val="18"/>
          <w14:ligatures w14:val="standardContextual"/>
        </w:rPr>
        <w:t xml:space="preserve">  Cap. 1, 2, 3, 4, 5, 6, 7, 9, 10, 11, 12, 13, 14, 15, 16, 17, 18, 19, 20, 21, 22, 23</w:t>
      </w:r>
    </w:p>
    <w:p w14:paraId="5E760428" w14:textId="77777777" w:rsidR="005A5FCC" w:rsidRDefault="00A21C81">
      <w:pPr>
        <w:spacing w:after="30" w:line="240" w:lineRule="auto"/>
        <w:jc w:val="left"/>
      </w:pPr>
      <w:r>
        <w:rPr>
          <w:rFonts w:cs="EB Garamond"/>
          <w:kern w:val="16"/>
          <w:sz w:val="18"/>
          <w14:ligatures w14:val="standardContextual"/>
        </w:rPr>
        <w:t>perícia médica</w:t>
      </w:r>
      <w:r>
        <w:rPr>
          <w:rFonts w:cs="EB Garamond"/>
          <w:color w:val="6B6256"/>
          <w:kern w:val="16"/>
          <w:sz w:val="18"/>
          <w14:ligatures w14:val="standardContextual"/>
        </w:rPr>
        <w:t xml:space="preserve">  Cap. 6, 7, 8, 12, 13, 15, 16, 18, 19, 20, 21, 22, 23</w:t>
      </w:r>
    </w:p>
    <w:p w14:paraId="708A53C9" w14:textId="77777777" w:rsidR="005A5FCC" w:rsidRDefault="00A21C81">
      <w:pPr>
        <w:spacing w:after="30" w:line="240" w:lineRule="auto"/>
        <w:jc w:val="left"/>
      </w:pPr>
      <w:r>
        <w:rPr>
          <w:rFonts w:cs="EB Garamond"/>
          <w:kern w:val="16"/>
          <w:sz w:val="18"/>
          <w14:ligatures w14:val="standardContextual"/>
        </w:rPr>
        <w:t>período de graça</w:t>
      </w:r>
      <w:r>
        <w:rPr>
          <w:rFonts w:cs="EB Garamond"/>
          <w:color w:val="6B6256"/>
          <w:kern w:val="16"/>
          <w:sz w:val="18"/>
          <w14:ligatures w14:val="standardContextual"/>
        </w:rPr>
        <w:t xml:space="preserve">  Cap. 2, 3, 4, 6, 7, 9, 13, 14, 15, 19, 23</w:t>
      </w:r>
    </w:p>
    <w:p w14:paraId="05BD3D62" w14:textId="77777777" w:rsidR="005A5FCC" w:rsidRDefault="00A21C81">
      <w:pPr>
        <w:spacing w:after="30" w:line="240" w:lineRule="auto"/>
        <w:jc w:val="left"/>
      </w:pPr>
      <w:r>
        <w:rPr>
          <w:rFonts w:cs="EB Garamond"/>
          <w:kern w:val="16"/>
          <w:sz w:val="18"/>
          <w14:ligatures w14:val="standardContextual"/>
        </w:rPr>
        <w:t>PPP</w:t>
      </w:r>
      <w:r>
        <w:rPr>
          <w:rFonts w:cs="EB Garamond"/>
          <w:color w:val="6B6256"/>
          <w:kern w:val="16"/>
          <w:sz w:val="18"/>
          <w14:ligatures w14:val="standardContextual"/>
        </w:rPr>
        <w:t xml:space="preserve">  Cap. 2, 4, 5, 8, 11, 17, 22, 23</w:t>
      </w:r>
    </w:p>
    <w:p w14:paraId="47E899B7" w14:textId="77777777" w:rsidR="005A5FCC" w:rsidRDefault="00A21C81">
      <w:pPr>
        <w:spacing w:after="30" w:line="240" w:lineRule="auto"/>
        <w:jc w:val="left"/>
      </w:pPr>
      <w:r>
        <w:rPr>
          <w:rFonts w:cs="EB Garamond"/>
          <w:kern w:val="16"/>
          <w:sz w:val="18"/>
          <w14:ligatures w14:val="standardContextual"/>
        </w:rPr>
        <w:t>prescrição</w:t>
      </w:r>
      <w:r>
        <w:rPr>
          <w:rFonts w:cs="EB Garamond"/>
          <w:color w:val="6B6256"/>
          <w:kern w:val="16"/>
          <w:sz w:val="18"/>
          <w14:ligatures w14:val="standardContextual"/>
        </w:rPr>
        <w:t xml:space="preserve">  Cap. 4, 5, 7, 8, 10, 12, 13, 14, 15, 16, 17, 19, 20, 21, 22, 23</w:t>
      </w:r>
    </w:p>
    <w:p w14:paraId="415DD567" w14:textId="77777777" w:rsidR="005A5FCC" w:rsidRDefault="00A21C81">
      <w:pPr>
        <w:spacing w:after="30" w:line="240" w:lineRule="auto"/>
        <w:jc w:val="left"/>
      </w:pPr>
      <w:r>
        <w:rPr>
          <w:rFonts w:cs="EB Garamond"/>
          <w:kern w:val="16"/>
          <w:sz w:val="18"/>
          <w14:ligatures w14:val="standardContextual"/>
        </w:rPr>
        <w:t>prova emprestada</w:t>
      </w:r>
      <w:r>
        <w:rPr>
          <w:rFonts w:cs="EB Garamond"/>
          <w:color w:val="6B6256"/>
          <w:kern w:val="16"/>
          <w:sz w:val="18"/>
          <w14:ligatures w14:val="standardContextual"/>
        </w:rPr>
        <w:t xml:space="preserve">  Cap. 5, 8, 12, 23</w:t>
      </w:r>
    </w:p>
    <w:p w14:paraId="47D094AD" w14:textId="77777777" w:rsidR="005A5FCC" w:rsidRDefault="00A21C81">
      <w:pPr>
        <w:spacing w:after="30" w:line="240" w:lineRule="auto"/>
        <w:jc w:val="left"/>
      </w:pPr>
      <w:r>
        <w:rPr>
          <w:rFonts w:cs="EB Garamond"/>
          <w:kern w:val="16"/>
          <w:sz w:val="18"/>
          <w14:ligatures w14:val="standardContextual"/>
        </w:rPr>
        <w:lastRenderedPageBreak/>
        <w:t>qualidade de segurado</w:t>
      </w:r>
      <w:r>
        <w:rPr>
          <w:rFonts w:cs="EB Garamond"/>
          <w:color w:val="6B6256"/>
          <w:kern w:val="16"/>
          <w:sz w:val="18"/>
          <w14:ligatures w14:val="standardContextual"/>
        </w:rPr>
        <w:t xml:space="preserve">  Cap. 1, 2, 3, 4, 5, 6, 7, 8, 9, 10, 11, 13, 14, 15, 18, 19, 22, 23</w:t>
      </w:r>
    </w:p>
    <w:p w14:paraId="27E49CE5" w14:textId="77777777" w:rsidR="005A5FCC" w:rsidRDefault="00A21C81">
      <w:pPr>
        <w:spacing w:after="30" w:line="240" w:lineRule="auto"/>
        <w:jc w:val="left"/>
      </w:pPr>
      <w:r>
        <w:rPr>
          <w:rFonts w:cs="EB Garamond"/>
          <w:kern w:val="16"/>
          <w:sz w:val="18"/>
          <w14:ligatures w14:val="standardContextual"/>
        </w:rPr>
        <w:t>reabilitação profissional</w:t>
      </w:r>
      <w:r>
        <w:rPr>
          <w:rFonts w:cs="EB Garamond"/>
          <w:color w:val="6B6256"/>
          <w:kern w:val="16"/>
          <w:sz w:val="18"/>
          <w14:ligatures w14:val="standardContextual"/>
        </w:rPr>
        <w:t xml:space="preserve">  Cap. 2, 3, 4, 6, 7, 12, 15, 20</w:t>
      </w:r>
    </w:p>
    <w:p w14:paraId="0863D430" w14:textId="77777777" w:rsidR="005A5FCC" w:rsidRDefault="00A21C81">
      <w:pPr>
        <w:spacing w:after="30" w:line="240" w:lineRule="auto"/>
        <w:jc w:val="left"/>
      </w:pPr>
      <w:r>
        <w:rPr>
          <w:rFonts w:cs="EB Garamond"/>
          <w:kern w:val="16"/>
          <w:sz w:val="18"/>
          <w14:ligatures w14:val="standardContextual"/>
        </w:rPr>
        <w:t>regra de transição</w:t>
      </w:r>
      <w:r>
        <w:rPr>
          <w:rFonts w:cs="EB Garamond"/>
          <w:color w:val="6B6256"/>
          <w:kern w:val="16"/>
          <w:sz w:val="18"/>
          <w14:ligatures w14:val="standardContextual"/>
        </w:rPr>
        <w:t xml:space="preserve">  Cap. 1, 3, 4, 5, 7, 8, 9, 10, 11, 12, 14, 16, 17, 20, 23</w:t>
      </w:r>
    </w:p>
    <w:p w14:paraId="78CFE47D" w14:textId="77777777" w:rsidR="005A5FCC" w:rsidRDefault="00A21C81">
      <w:pPr>
        <w:spacing w:after="30" w:line="240" w:lineRule="auto"/>
        <w:jc w:val="left"/>
      </w:pPr>
      <w:r>
        <w:rPr>
          <w:rFonts w:cs="EB Garamond"/>
          <w:kern w:val="16"/>
          <w:sz w:val="18"/>
          <w14:ligatures w14:val="standardContextual"/>
        </w:rPr>
        <w:t>revisão de benefício</w:t>
      </w:r>
      <w:r>
        <w:rPr>
          <w:rFonts w:cs="EB Garamond"/>
          <w:color w:val="6B6256"/>
          <w:kern w:val="16"/>
          <w:sz w:val="18"/>
          <w14:ligatures w14:val="standardContextual"/>
        </w:rPr>
        <w:t xml:space="preserve">  Cap. 1, 4, 5, 6, 7, 10, 16, 17, 21, 22, 23</w:t>
      </w:r>
    </w:p>
    <w:p w14:paraId="5A7D924F" w14:textId="77777777" w:rsidR="005A5FCC" w:rsidRDefault="00A21C81">
      <w:pPr>
        <w:spacing w:after="30" w:line="240" w:lineRule="auto"/>
        <w:jc w:val="left"/>
      </w:pPr>
      <w:r>
        <w:rPr>
          <w:rFonts w:cs="EB Garamond"/>
          <w:kern w:val="16"/>
          <w:sz w:val="18"/>
          <w14:ligatures w14:val="standardContextual"/>
        </w:rPr>
        <w:t>salário-família</w:t>
      </w:r>
      <w:r>
        <w:rPr>
          <w:rFonts w:cs="EB Garamond"/>
          <w:color w:val="6B6256"/>
          <w:kern w:val="16"/>
          <w:sz w:val="18"/>
          <w14:ligatures w14:val="standardContextual"/>
        </w:rPr>
        <w:t xml:space="preserve">  Cap. 1, 2, 3, 4, 7, 15, 16, 20</w:t>
      </w:r>
    </w:p>
    <w:p w14:paraId="1E62C721" w14:textId="77777777" w:rsidR="005A5FCC" w:rsidRDefault="00A21C81">
      <w:pPr>
        <w:spacing w:after="30" w:line="240" w:lineRule="auto"/>
        <w:jc w:val="left"/>
      </w:pPr>
      <w:r>
        <w:rPr>
          <w:rFonts w:cs="EB Garamond"/>
          <w:kern w:val="16"/>
          <w:sz w:val="18"/>
          <w14:ligatures w14:val="standardContextual"/>
        </w:rPr>
        <w:t>salário-maternidade</w:t>
      </w:r>
      <w:r>
        <w:rPr>
          <w:rFonts w:cs="EB Garamond"/>
          <w:color w:val="6B6256"/>
          <w:kern w:val="16"/>
          <w:sz w:val="18"/>
          <w14:ligatures w14:val="standardContextual"/>
        </w:rPr>
        <w:t xml:space="preserve">  Cap. 1, 2, 3, 4, 7, 13, 14, 15, 16, 18, 19, 20, 22, 23</w:t>
      </w:r>
    </w:p>
    <w:p w14:paraId="4E7DFC14" w14:textId="77777777" w:rsidR="005A5FCC" w:rsidRDefault="00A21C81">
      <w:pPr>
        <w:spacing w:after="30" w:line="240" w:lineRule="auto"/>
        <w:jc w:val="left"/>
      </w:pPr>
      <w:r>
        <w:rPr>
          <w:rFonts w:cs="EB Garamond"/>
          <w:kern w:val="16"/>
          <w:sz w:val="18"/>
          <w14:ligatures w14:val="standardContextual"/>
        </w:rPr>
        <w:t>segurado especial</w:t>
      </w:r>
      <w:r>
        <w:rPr>
          <w:rFonts w:cs="EB Garamond"/>
          <w:color w:val="6B6256"/>
          <w:kern w:val="16"/>
          <w:sz w:val="18"/>
          <w14:ligatures w14:val="standardContextual"/>
        </w:rPr>
        <w:t xml:space="preserve">  Cap. 1, 2, 3, 4, 5, 7, 8, 9, 13, 14, 15, 16, 17, 18, 19, 23</w:t>
      </w:r>
    </w:p>
    <w:p w14:paraId="523C62DB" w14:textId="77777777" w:rsidR="005A5FCC" w:rsidRDefault="00A21C81">
      <w:pPr>
        <w:spacing w:after="30" w:line="240" w:lineRule="auto"/>
        <w:jc w:val="left"/>
      </w:pPr>
      <w:r>
        <w:rPr>
          <w:rFonts w:cs="EB Garamond"/>
          <w:kern w:val="16"/>
          <w:sz w:val="18"/>
          <w14:ligatures w14:val="standardContextual"/>
        </w:rPr>
        <w:t>segurado facultativo</w:t>
      </w:r>
      <w:r>
        <w:rPr>
          <w:rFonts w:cs="EB Garamond"/>
          <w:color w:val="6B6256"/>
          <w:kern w:val="16"/>
          <w:sz w:val="18"/>
          <w14:ligatures w14:val="standardContextual"/>
        </w:rPr>
        <w:t xml:space="preserve">  Cap. 1, 2, 3, 4, 7, 10, 14, 15, 16, 19</w:t>
      </w:r>
    </w:p>
    <w:p w14:paraId="71A9525C" w14:textId="77777777" w:rsidR="005A5FCC" w:rsidRDefault="00A21C81">
      <w:pPr>
        <w:spacing w:after="30" w:line="240" w:lineRule="auto"/>
        <w:jc w:val="left"/>
      </w:pPr>
      <w:r>
        <w:rPr>
          <w:rFonts w:cs="EB Garamond"/>
          <w:kern w:val="16"/>
          <w:sz w:val="18"/>
          <w14:ligatures w14:val="standardContextual"/>
        </w:rPr>
        <w:t>tempo de serviço militar</w:t>
      </w:r>
      <w:r>
        <w:rPr>
          <w:rFonts w:cs="EB Garamond"/>
          <w:color w:val="6B6256"/>
          <w:kern w:val="16"/>
          <w:sz w:val="18"/>
          <w14:ligatures w14:val="standardContextual"/>
        </w:rPr>
        <w:t xml:space="preserve">  Cap. 2, 4, 5, 11</w:t>
      </w:r>
    </w:p>
    <w:p w14:paraId="07C9755B" w14:textId="77777777" w:rsidR="005A5FCC" w:rsidRDefault="00A21C81">
      <w:pPr>
        <w:spacing w:after="30" w:line="240" w:lineRule="auto"/>
        <w:jc w:val="left"/>
      </w:pPr>
      <w:r>
        <w:rPr>
          <w:rFonts w:cs="EB Garamond"/>
          <w:kern w:val="16"/>
          <w:sz w:val="18"/>
          <w14:ligatures w14:val="standardContextual"/>
        </w:rPr>
        <w:t>TNU</w:t>
      </w:r>
      <w:r>
        <w:rPr>
          <w:rFonts w:cs="EB Garamond"/>
          <w:color w:val="6B6256"/>
          <w:kern w:val="16"/>
          <w:sz w:val="18"/>
          <w14:ligatures w14:val="standardContextual"/>
        </w:rPr>
        <w:t xml:space="preserve">  Cap. 2, 3, 4, 5, 6, 7, 8, 9, 10, 11, 12, 13, 14, 15, 16, 17, 18, 19, 20, 22, 23</w:t>
      </w:r>
    </w:p>
    <w:p w14:paraId="56A7E71E" w14:textId="77777777" w:rsidR="005A5FCC" w:rsidRDefault="00A21C81">
      <w:pPr>
        <w:spacing w:after="30" w:line="240" w:lineRule="auto"/>
        <w:jc w:val="left"/>
      </w:pPr>
      <w:r>
        <w:rPr>
          <w:rFonts w:cs="EB Garamond"/>
          <w:kern w:val="16"/>
          <w:sz w:val="18"/>
          <w14:ligatures w14:val="standardContextual"/>
        </w:rPr>
        <w:t>trabalhador rural</w:t>
      </w:r>
      <w:r>
        <w:rPr>
          <w:rFonts w:cs="EB Garamond"/>
          <w:color w:val="6B6256"/>
          <w:kern w:val="16"/>
          <w:sz w:val="18"/>
          <w14:ligatures w14:val="standardContextual"/>
        </w:rPr>
        <w:t xml:space="preserve">  Cap. 1, 3, 4, 5, 6, 8, 9, 15, 19</w:t>
      </w:r>
    </w:p>
    <w:p w14:paraId="025A598C" w14:textId="77777777" w:rsidR="005A5FCC" w:rsidRDefault="00A21C81">
      <w:pPr>
        <w:spacing w:after="30" w:line="240" w:lineRule="auto"/>
        <w:jc w:val="left"/>
      </w:pPr>
      <w:r>
        <w:rPr>
          <w:rFonts w:cs="EB Garamond"/>
          <w:kern w:val="16"/>
          <w:sz w:val="18"/>
          <w14:ligatures w14:val="standardContextual"/>
        </w:rPr>
        <w:t>turma recursal</w:t>
      </w:r>
      <w:r>
        <w:rPr>
          <w:rFonts w:cs="EB Garamond"/>
          <w:color w:val="6B6256"/>
          <w:kern w:val="16"/>
          <w:sz w:val="18"/>
          <w14:ligatures w14:val="standardContextual"/>
        </w:rPr>
        <w:t xml:space="preserve">  Cap. 5, 6, 9, 10, 11, 12, 17, 18, 20, 21, 23</w:t>
      </w:r>
    </w:p>
    <w:p w14:paraId="5F29F5B2" w14:textId="77777777" w:rsidR="005A5FCC" w:rsidRDefault="00A21C81">
      <w:pPr>
        <w:spacing w:after="30" w:line="240" w:lineRule="auto"/>
        <w:jc w:val="left"/>
      </w:pPr>
      <w:r>
        <w:rPr>
          <w:rFonts w:cs="EB Garamond"/>
          <w:kern w:val="16"/>
          <w:sz w:val="18"/>
          <w14:ligatures w14:val="standardContextual"/>
        </w:rPr>
        <w:t>tutela de urgência</w:t>
      </w:r>
      <w:r>
        <w:rPr>
          <w:rFonts w:cs="EB Garamond"/>
          <w:color w:val="6B6256"/>
          <w:kern w:val="16"/>
          <w:sz w:val="18"/>
          <w14:ligatures w14:val="standardContextual"/>
        </w:rPr>
        <w:t xml:space="preserve">  Cap. 3, 4, 9, 10, 12, 13, 14, 17, 18, 19, 20, 22, 23</w:t>
      </w:r>
    </w:p>
    <w:p w14:paraId="67C3A374" w14:textId="77777777" w:rsidR="005A5FCC" w:rsidRDefault="00A21C81">
      <w:pPr>
        <w:spacing w:after="30" w:line="240" w:lineRule="auto"/>
        <w:jc w:val="left"/>
      </w:pPr>
      <w:r>
        <w:rPr>
          <w:rFonts w:cs="EB Garamond"/>
          <w:kern w:val="16"/>
          <w:sz w:val="18"/>
          <w14:ligatures w14:val="standardContextual"/>
        </w:rPr>
        <w:t>união estável</w:t>
      </w:r>
      <w:r>
        <w:rPr>
          <w:rFonts w:cs="EB Garamond"/>
          <w:color w:val="6B6256"/>
          <w:kern w:val="16"/>
          <w:sz w:val="18"/>
          <w14:ligatures w14:val="standardContextual"/>
        </w:rPr>
        <w:t xml:space="preserve">  Cap. 2, 13, 14, 19, 20, 22, 23</w:t>
      </w:r>
    </w:p>
    <w:p w14:paraId="07FDB305" w14:textId="77777777" w:rsidR="005A5FCC" w:rsidRDefault="005A5FCC">
      <w:pPr>
        <w:sectPr w:rsidR="005A5FCC">
          <w:headerReference w:type="even" r:id="rId234"/>
          <w:headerReference w:type="default" r:id="rId235"/>
          <w:footerReference w:type="even" r:id="rId236"/>
          <w:footerReference w:type="default" r:id="rId237"/>
          <w:headerReference w:type="first" r:id="rId238"/>
          <w:footerReference w:type="first" r:id="rId239"/>
          <w:type w:val="oddPage"/>
          <w:pgSz w:w="8391" w:h="11906"/>
          <w:pgMar w:top="935" w:right="879" w:bottom="964" w:left="1162" w:header="454" w:footer="425" w:gutter="0"/>
          <w:cols w:space="720"/>
          <w:titlePg/>
          <w:docGrid w:linePitch="360"/>
        </w:sectPr>
      </w:pPr>
    </w:p>
    <w:p w14:paraId="2AC97B31" w14:textId="77777777" w:rsidR="005A5FCC" w:rsidRDefault="00A21C81">
      <w:pPr>
        <w:spacing w:before="320" w:after="160" w:line="240" w:lineRule="auto"/>
        <w:jc w:val="center"/>
      </w:pPr>
      <w:r>
        <w:rPr>
          <w:rFonts w:cs="EB Garamond"/>
          <w:b/>
          <w:color w:val="2F2923"/>
          <w:kern w:val="16"/>
          <w:sz w:val="32"/>
          <w14:ligatures w14:val="standardContextual"/>
        </w:rPr>
        <w:lastRenderedPageBreak/>
        <w:t>SOBRE OS AUTORES</w:t>
      </w:r>
    </w:p>
    <w:p w14:paraId="0E87DF5F" w14:textId="77777777" w:rsidR="005A5FCC" w:rsidRDefault="00A21C81">
      <w:pPr>
        <w:spacing w:after="280" w:line="240" w:lineRule="auto"/>
        <w:jc w:val="center"/>
      </w:pPr>
      <w:r>
        <w:rPr>
          <w:rFonts w:cs="EB Garamond"/>
          <w:color w:val="B78B37"/>
          <w:kern w:val="16"/>
          <w:sz w:val="18"/>
          <w14:ligatures w14:val="standardContextual"/>
        </w:rPr>
        <w:t>◆</w:t>
      </w:r>
    </w:p>
    <w:p w14:paraId="0D90E774" w14:textId="77777777" w:rsidR="005A5FCC" w:rsidRDefault="00A21C81">
      <w:pPr>
        <w:spacing w:before="200" w:after="40" w:line="240" w:lineRule="auto"/>
        <w:jc w:val="left"/>
      </w:pPr>
      <w:r>
        <w:rPr>
          <w:rFonts w:cs="EB Garamond"/>
          <w:b/>
          <w:color w:val="3A3128"/>
          <w:kern w:val="16"/>
          <w:sz w:val="22"/>
          <w14:ligatures w14:val="standardContextual"/>
        </w:rPr>
        <w:t>Claudio Kitner</w:t>
      </w:r>
    </w:p>
    <w:p w14:paraId="0B0BF980" w14:textId="77777777" w:rsidR="005A5FCC" w:rsidRDefault="00A21C81">
      <w:pPr>
        <w:spacing w:after="60" w:line="276" w:lineRule="auto"/>
      </w:pPr>
      <w:r>
        <w:rPr>
          <w:rFonts w:cs="EB Garamond"/>
          <w:kern w:val="16"/>
          <w:sz w:val="20"/>
          <w14:ligatures w14:val="standardContextual"/>
        </w:rPr>
        <w:t>Bacharel em Direito pela Faculdade de Direito do Recife — Universidade Federal de Pernambuco (2000), especialista em Direito Tributário pela Fundação Getúlio Vargas (2002) e mestre em Direito pela Faculdade Damas (2022). Foi procurador federal da Advocacia-Geral da União e procurador do Município do Recife. Ingressou na magistratura federal em 2007 (XIII Concurso da 3ª Região) e é juiz federal titular na 5ª Região, integrando a 3ª Turma Recursal dos Juizados Especiais Federais de Pernambuco desde 2014. Tem trabalhos publicados na área previdenciária.</w:t>
      </w:r>
    </w:p>
    <w:p w14:paraId="656F6B5B" w14:textId="77777777" w:rsidR="005A5FCC" w:rsidRDefault="00A21C81">
      <w:pPr>
        <w:spacing w:after="80" w:line="240" w:lineRule="auto"/>
        <w:jc w:val="left"/>
      </w:pPr>
      <w:r>
        <w:rPr>
          <w:rFonts w:cs="EB Garamond"/>
          <w:i/>
          <w:color w:val="6B6256"/>
          <w:kern w:val="16"/>
          <w:sz w:val="19"/>
          <w14:ligatures w14:val="standardContextual"/>
        </w:rPr>
        <w:t>E-mail: claudiokitner@hotmail.com</w:t>
      </w:r>
    </w:p>
    <w:p w14:paraId="7E766350" w14:textId="77777777" w:rsidR="005A5FCC" w:rsidRDefault="00A21C81">
      <w:pPr>
        <w:spacing w:before="200" w:after="40" w:line="240" w:lineRule="auto"/>
        <w:jc w:val="left"/>
      </w:pPr>
      <w:r>
        <w:rPr>
          <w:rFonts w:cs="EB Garamond"/>
          <w:b/>
          <w:color w:val="3A3128"/>
          <w:kern w:val="16"/>
          <w:sz w:val="22"/>
          <w14:ligatures w14:val="standardContextual"/>
        </w:rPr>
        <w:t>Luiz Bispo da Silva Neto</w:t>
      </w:r>
    </w:p>
    <w:p w14:paraId="1ECCEB6D" w14:textId="77777777" w:rsidR="005A5FCC" w:rsidRDefault="00A21C81">
      <w:pPr>
        <w:spacing w:after="60" w:line="276" w:lineRule="auto"/>
      </w:pPr>
      <w:r>
        <w:rPr>
          <w:rFonts w:cs="EB Garamond"/>
          <w:kern w:val="16"/>
          <w:sz w:val="20"/>
          <w14:ligatures w14:val="standardContextual"/>
        </w:rPr>
        <w:t>Bacharel em Direito pela Faculdade de Direito do Recife — Universidade Federal de Pernambuco (2005). Foi técnico e analista judiciário do Tribunal Regional Eleitoral de Pernambuco, procurador federal e advogado da União na Advocacia-Geral da União. Ingressou na magistratura federal em 2011 (XIII Concurso da 1ª Região) e é juiz federal titular na 5ª Região, com atuação em varas e Juizados Especiais Federais de diversas seções judiciárias (Mato Grosso, Maranhão, Bahia, Ceará e Pernambuco).</w:t>
      </w:r>
    </w:p>
    <w:p w14:paraId="367075B6" w14:textId="77777777" w:rsidR="005A5FCC" w:rsidRDefault="00A21C81">
      <w:pPr>
        <w:spacing w:after="80" w:line="240" w:lineRule="auto"/>
        <w:jc w:val="left"/>
      </w:pPr>
      <w:r>
        <w:rPr>
          <w:rFonts w:cs="EB Garamond"/>
          <w:i/>
          <w:color w:val="6B6256"/>
          <w:kern w:val="16"/>
          <w:sz w:val="19"/>
          <w14:ligatures w14:val="standardContextual"/>
        </w:rPr>
        <w:t>E-mail: luizbsn@gmail.com</w:t>
      </w:r>
    </w:p>
    <w:sectPr w:rsidR="005A5FCC" w:rsidSect="00034616">
      <w:headerReference w:type="even" r:id="rId240"/>
      <w:headerReference w:type="default" r:id="rId241"/>
      <w:footerReference w:type="even" r:id="rId242"/>
      <w:footerReference w:type="default" r:id="rId243"/>
      <w:headerReference w:type="first" r:id="rId244"/>
      <w:footerReference w:type="first" r:id="rId245"/>
      <w:type w:val="oddPage"/>
      <w:pgSz w:w="8391" w:h="11906"/>
      <w:pgMar w:top="935" w:right="879" w:bottom="964" w:left="1162" w:header="454" w:footer="425"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Ingrid Moura" w:date="2026-08-25T13:02:00Z" w:initials="IM">
    <w:p w14:paraId="298FB53B" w14:textId="77777777" w:rsidR="004B4FD4" w:rsidRDefault="004B4FD4" w:rsidP="004B4FD4">
      <w:pPr>
        <w:pStyle w:val="Textodecomentrio"/>
        <w:jc w:val="left"/>
      </w:pPr>
      <w:r>
        <w:rPr>
          <w:rStyle w:val="Refdecomentrio"/>
        </w:rPr>
        <w:annotationRef/>
      </w:r>
      <w:r>
        <w:t>Sugere-se:</w:t>
      </w:r>
    </w:p>
    <w:p w14:paraId="09286769" w14:textId="77777777" w:rsidR="004B4FD4" w:rsidRDefault="004B4FD4" w:rsidP="004B4FD4">
      <w:pPr>
        <w:pStyle w:val="Textodecomentrio"/>
        <w:jc w:val="left"/>
      </w:pPr>
    </w:p>
    <w:p w14:paraId="04CCAC22" w14:textId="77777777" w:rsidR="004B4FD4" w:rsidRDefault="004B4FD4" w:rsidP="004B4FD4">
      <w:pPr>
        <w:pStyle w:val="Textodecomentrio"/>
        <w:jc w:val="left"/>
      </w:pPr>
      <w:r>
        <w:t xml:space="preserve">O art. 27-A, em sua redação vigente, contempla benefícios por incapacidade, salário-maternidade e auxílio-reclusão. </w:t>
      </w:r>
      <w:r>
        <w:rPr>
          <w:b/>
          <w:bCs/>
        </w:rPr>
        <w:t>Quanto ao salário-maternidade, contudo, a regra perdeu aplicabilidade após a declaração de inconstitucionalidade da carência pelo STF nas ADIs 2.110 e 2.111</w:t>
      </w:r>
      <w:r>
        <w:t xml:space="preserve">, conforme examinado na seção 3.3.5. </w:t>
      </w:r>
    </w:p>
  </w:comment>
  <w:comment w:id="1" w:author="Ingrid Moura" w:date="2026-08-25T13:02:00Z" w:initials="IM">
    <w:p w14:paraId="3145CE6A" w14:textId="77777777" w:rsidR="004B4FD4" w:rsidRDefault="004B4FD4" w:rsidP="004B4FD4">
      <w:pPr>
        <w:pStyle w:val="Textodecomentrio"/>
        <w:jc w:val="left"/>
      </w:pPr>
      <w:r>
        <w:rPr>
          <w:rStyle w:val="Refdecomentrio"/>
        </w:rPr>
        <w:annotationRef/>
      </w:r>
      <w:r>
        <w:t xml:space="preserve">REVISAR EXEMPLO: fevereiro/2017 já estava abrangido pela MP 767/2017, segundo a própria cronologia apresentada no item. </w:t>
      </w:r>
    </w:p>
  </w:comment>
  <w:comment w:id="2" w:author="Ingrid Moura" w:date="2026-08-25T13:06:00Z" w:initials="IM">
    <w:p w14:paraId="4D6267F6" w14:textId="77777777" w:rsidR="00D911B3" w:rsidRDefault="00D911B3" w:rsidP="00D911B3">
      <w:pPr>
        <w:pStyle w:val="Textodecomentrio"/>
        <w:jc w:val="left"/>
      </w:pPr>
      <w:r>
        <w:rPr>
          <w:rStyle w:val="Refdecomentrio"/>
        </w:rPr>
        <w:annotationRef/>
      </w:r>
      <w:r>
        <w:t>SUGERE-SE:</w:t>
      </w:r>
    </w:p>
    <w:p w14:paraId="533B165E" w14:textId="77777777" w:rsidR="00D911B3" w:rsidRDefault="00D911B3" w:rsidP="00D911B3">
      <w:pPr>
        <w:pStyle w:val="Textodecomentrio"/>
        <w:jc w:val="left"/>
      </w:pPr>
    </w:p>
    <w:p w14:paraId="23E789DC" w14:textId="77777777" w:rsidR="00D911B3" w:rsidRDefault="00D911B3" w:rsidP="00D911B3">
      <w:pPr>
        <w:pStyle w:val="Textodecomentrio"/>
        <w:jc w:val="left"/>
      </w:pPr>
      <w:r>
        <w:t xml:space="preserve">podendo, conforme o caso, </w:t>
      </w:r>
      <w:r>
        <w:rPr>
          <w:b/>
          <w:bCs/>
        </w:rPr>
        <w:t>ver reconhecida a qualidade de segurado do instituidor para fins de concessão da pensão por morte</w:t>
      </w:r>
      <w:r>
        <w:t xml:space="preserve">. </w:t>
      </w:r>
    </w:p>
  </w:comment>
  <w:comment w:id="3" w:author="Ingrid Moura" w:date="2026-08-26T09:23:00Z" w:initials="IM">
    <w:p w14:paraId="21973D1E" w14:textId="77777777" w:rsidR="007F4914" w:rsidRDefault="007F4914" w:rsidP="007F4914">
      <w:pPr>
        <w:pStyle w:val="Textodecomentrio"/>
        <w:jc w:val="left"/>
      </w:pPr>
      <w:r>
        <w:rPr>
          <w:rStyle w:val="Refdecomentrio"/>
        </w:rPr>
        <w:annotationRef/>
      </w:r>
      <w:r>
        <w:t>Checar informação para retirar a frase antes da versão publicável</w:t>
      </w:r>
    </w:p>
  </w:comment>
  <w:comment w:id="4" w:author="Ingrid Moura" w:date="2026-08-26T09:49:00Z" w:initials="IM">
    <w:p w14:paraId="696CDF8E" w14:textId="77777777" w:rsidR="006D20F5" w:rsidRDefault="006D20F5" w:rsidP="006D20F5">
      <w:pPr>
        <w:pStyle w:val="Textodecomentrio"/>
        <w:jc w:val="left"/>
      </w:pPr>
      <w:r>
        <w:rPr>
          <w:rStyle w:val="Refdecomentrio"/>
        </w:rPr>
        <w:annotationRef/>
      </w:r>
      <w:r>
        <w:t xml:space="preserve">No Capítulo 3, o próprio livro havia associado a manutenção “sem limite de prazo” durante o gozo de benefício ao </w:t>
      </w:r>
      <w:r>
        <w:rPr>
          <w:b/>
          <w:bCs/>
        </w:rPr>
        <w:t>art. 15, I</w:t>
      </w:r>
      <w:r>
        <w:t>. Conferir</w:t>
      </w:r>
      <w:r>
        <w:rPr>
          <w:b/>
          <w:bCs/>
        </w:rPr>
        <w:t xml:space="preserve"> referência legal: provavelmente inciso I, não II</w:t>
      </w:r>
      <w:r>
        <w:t xml:space="preserve">. </w:t>
      </w:r>
    </w:p>
  </w:comment>
  <w:comment w:id="5" w:author="Ingrid Moura" w:date="2026-08-26T09:49:00Z" w:initials="IM">
    <w:p w14:paraId="1568291E" w14:textId="77777777" w:rsidR="006D20F5" w:rsidRDefault="006D20F5" w:rsidP="006D20F5">
      <w:pPr>
        <w:pStyle w:val="Textodecomentrio"/>
        <w:jc w:val="left"/>
      </w:pPr>
      <w:r>
        <w:rPr>
          <w:rStyle w:val="Refdecomentrio"/>
        </w:rPr>
        <w:annotationRef/>
      </w:r>
      <w:r>
        <w:t>Conferir se a frase deverá ser retirada antes da publicação, pois soa como orientação interna de pesquisa</w:t>
      </w:r>
    </w:p>
  </w:comment>
  <w:comment w:id="6" w:author="Ingrid Moura" w:date="2026-08-26T09:52:00Z" w:initials="IM">
    <w:p w14:paraId="4419735D" w14:textId="77777777" w:rsidR="00D927D5" w:rsidRDefault="00D927D5" w:rsidP="00D927D5">
      <w:pPr>
        <w:pStyle w:val="Textodecomentrio"/>
        <w:jc w:val="left"/>
      </w:pPr>
      <w:r>
        <w:rPr>
          <w:rStyle w:val="Refdecomentrio"/>
        </w:rPr>
        <w:annotationRef/>
      </w:r>
      <w:r>
        <w:t xml:space="preserve">Conferir coerência com os pontos 3.8.2 e 3.8.3. </w:t>
      </w:r>
    </w:p>
  </w:comment>
  <w:comment w:id="7" w:author="Ingrid Moura" w:date="2026-08-26T09:57:00Z" w:initials="IM">
    <w:p w14:paraId="1CEAA10A" w14:textId="77777777" w:rsidR="00D927D5" w:rsidRDefault="00D927D5" w:rsidP="00D927D5">
      <w:pPr>
        <w:pStyle w:val="Textodecomentrio"/>
        <w:jc w:val="left"/>
      </w:pPr>
      <w:r>
        <w:rPr>
          <w:rStyle w:val="Refdecomentrio"/>
        </w:rPr>
        <w:annotationRef/>
      </w:r>
      <w:r>
        <w:t>Conferir atualização legislativa</w:t>
      </w:r>
    </w:p>
  </w:comment>
  <w:comment w:id="8" w:author="Ingrid Moura" w:date="2026-08-26T10:01:00Z" w:initials="IM">
    <w:p w14:paraId="6ACF2C27" w14:textId="77777777" w:rsidR="00D927D5" w:rsidRDefault="00D927D5" w:rsidP="00D927D5">
      <w:pPr>
        <w:pStyle w:val="Textodecomentrio"/>
        <w:jc w:val="left"/>
      </w:pPr>
      <w:r>
        <w:rPr>
          <w:rStyle w:val="Refdecomentrio"/>
        </w:rPr>
        <w:annotationRef/>
      </w:r>
      <w:r>
        <w:t>Conferir imprecisão terminológica entre isenção e imunidade</w:t>
      </w:r>
    </w:p>
  </w:comment>
  <w:comment w:id="9" w:author="Ingrid Moura" w:date="2026-08-26T10:10:00Z" w:initials="IM">
    <w:p w14:paraId="2A6B7CF9" w14:textId="77777777" w:rsidR="00786894" w:rsidRDefault="00786894" w:rsidP="00786894">
      <w:pPr>
        <w:pStyle w:val="Textodecomentrio"/>
        <w:jc w:val="left"/>
      </w:pPr>
      <w:r>
        <w:rPr>
          <w:rStyle w:val="Refdecomentrio"/>
        </w:rPr>
        <w:annotationRef/>
      </w:r>
      <w:r>
        <w:t>Conferir se o box será marcado como histórico ou reescrito, já que a alíquota foi considerada inconstitucional (do jeito atual, parece descrever prática vigente)</w:t>
      </w:r>
    </w:p>
  </w:comment>
  <w:comment w:id="10" w:author="Ingrid Moura" w:date="2026-08-26T10:52:00Z" w:initials="IM">
    <w:p w14:paraId="563BBCF0" w14:textId="77777777" w:rsidR="009C2D59" w:rsidRDefault="009C2D59" w:rsidP="009C2D59">
      <w:pPr>
        <w:pStyle w:val="Textodecomentrio"/>
        <w:jc w:val="left"/>
      </w:pPr>
      <w:r>
        <w:rPr>
          <w:rStyle w:val="Refdecomentrio"/>
        </w:rPr>
        <w:annotationRef/>
      </w:r>
      <w:r>
        <w:t xml:space="preserve">Checagem jurídica: O subtópico de segurado especial (art. 11, VII) diz que, para aposentadoria por tempo de contribuição, o período pós-1991 do segurado especial exige recolhimento ou indenização. </w:t>
      </w:r>
    </w:p>
  </w:comment>
  <w:comment w:id="11" w:author="Ingrid Moura" w:date="2026-08-26T10:55:00Z" w:initials="IM">
    <w:p w14:paraId="4420C18F" w14:textId="77777777" w:rsidR="009C2D59" w:rsidRDefault="009C2D59" w:rsidP="009C2D59">
      <w:pPr>
        <w:pStyle w:val="Textodecomentrio"/>
        <w:jc w:val="left"/>
      </w:pPr>
      <w:r>
        <w:rPr>
          <w:rStyle w:val="Refdecomentrio"/>
        </w:rPr>
        <w:annotationRef/>
      </w:r>
      <w:r>
        <w:t xml:space="preserve">Conferir tecnicamente a exigencia do vinculo empregaticio: o ponto </w:t>
      </w:r>
      <w:r>
        <w:rPr>
          <w:b/>
          <w:bCs/>
        </w:rPr>
        <w:t>5.6.2</w:t>
      </w:r>
      <w:r>
        <w:t xml:space="preserve"> descreve os requisitos do Tema 216/TNU em termos de retribuição, orçamento público, contraprestação por labor e produção para terceiros, sem mencionar “vínculo empregatício” </w:t>
      </w:r>
    </w:p>
  </w:comment>
  <w:comment w:id="12" w:author="Ingrid Moura" w:date="2026-08-26T10:59:00Z" w:initials="IM">
    <w:p w14:paraId="1633CA7B" w14:textId="77777777" w:rsidR="009C2D59" w:rsidRDefault="009C2D59" w:rsidP="009C2D59">
      <w:pPr>
        <w:pStyle w:val="Textodecomentrio"/>
        <w:jc w:val="left"/>
      </w:pPr>
      <w:r>
        <w:rPr>
          <w:rStyle w:val="Refdecomentrio"/>
        </w:rPr>
        <w:annotationRef/>
      </w:r>
      <w:r>
        <w:t xml:space="preserve">CONFERIR/ESPECIFICAR em que circunstância a Justiça Federal seria competente quando a recusa parte de RPPS estadual ou municipal. </w:t>
      </w:r>
    </w:p>
  </w:comment>
  <w:comment w:id="13" w:author="Ingrid Moura" w:date="2026-08-26T11:10:00Z" w:initials="IM">
    <w:p w14:paraId="023CB2E1" w14:textId="77777777" w:rsidR="00F959B3" w:rsidRDefault="00F959B3" w:rsidP="00F959B3">
      <w:pPr>
        <w:pStyle w:val="Textodecomentrio"/>
        <w:jc w:val="left"/>
      </w:pPr>
      <w:r>
        <w:rPr>
          <w:rStyle w:val="Refdecomentrio"/>
        </w:rPr>
        <w:annotationRef/>
      </w:r>
      <w:r>
        <w:t>Checar atualização</w:t>
      </w:r>
    </w:p>
  </w:comment>
  <w:comment w:id="14" w:author="Ingrid Moura" w:date="2026-08-26T11:11:00Z" w:initials="IM">
    <w:p w14:paraId="3FA583AE" w14:textId="77777777" w:rsidR="00F959B3" w:rsidRDefault="00F959B3" w:rsidP="00F959B3">
      <w:pPr>
        <w:pStyle w:val="Textodecomentrio"/>
        <w:jc w:val="left"/>
      </w:pPr>
      <w:r>
        <w:rPr>
          <w:rStyle w:val="Refdecomentrio"/>
        </w:rPr>
        <w:annotationRef/>
      </w:r>
      <w:r>
        <w:t xml:space="preserve">Checar contradição interna: o próprio capítulo afirma que a ADI 6.309 teria </w:t>
      </w:r>
      <w:r>
        <w:rPr>
          <w:b/>
          <w:bCs/>
        </w:rPr>
        <w:t>afastado a idade mínima da aposentadoria especial</w:t>
      </w:r>
      <w:r>
        <w:t xml:space="preserve">. </w:t>
      </w:r>
    </w:p>
  </w:comment>
  <w:comment w:id="15" w:author="Ingrid Moura" w:date="2026-09-03T13:07:00Z" w:initials="IM">
    <w:p w14:paraId="5C80D34B" w14:textId="77777777" w:rsidR="00A05167" w:rsidRDefault="00A05167" w:rsidP="00A05167">
      <w:pPr>
        <w:pStyle w:val="Textodecomentrio"/>
        <w:jc w:val="left"/>
      </w:pPr>
      <w:r>
        <w:rPr>
          <w:rStyle w:val="Refdecomentrio"/>
        </w:rPr>
        <w:annotationRef/>
      </w:r>
      <w:r>
        <w:t>Referência?</w:t>
      </w:r>
    </w:p>
  </w:comment>
  <w:comment w:id="16" w:author="Ingrid Moura" w:date="2026-09-11T10:26:00Z" w:initials="IM">
    <w:p w14:paraId="48751B04" w14:textId="77777777" w:rsidR="00B45738" w:rsidRDefault="00B45738" w:rsidP="00B45738">
      <w:pPr>
        <w:pStyle w:val="Textodecomentrio"/>
        <w:jc w:val="left"/>
      </w:pPr>
      <w:r>
        <w:rPr>
          <w:rStyle w:val="Refdecomentrio"/>
        </w:rPr>
        <w:annotationRef/>
      </w:r>
      <w:r>
        <w:t>Permanente? (auxílio por incapacidade temporária aparece 2x)</w:t>
      </w:r>
    </w:p>
  </w:comment>
  <w:comment w:id="17" w:author="Ingrid Moura" w:date="2026-09-11T12:40:00Z" w:initials="IM">
    <w:p w14:paraId="13EBA640" w14:textId="77777777" w:rsidR="006561A4" w:rsidRDefault="006561A4" w:rsidP="006561A4">
      <w:pPr>
        <w:pStyle w:val="Textodecomentrio"/>
        <w:jc w:val="left"/>
      </w:pPr>
      <w:r>
        <w:rPr>
          <w:rStyle w:val="Refdecomentrio"/>
        </w:rPr>
        <w:annotationRef/>
      </w:r>
      <w:r>
        <w:t>Repetitivo no quadro. Mais acima, já menciona a Súmula 149 e Tema 297 do STJ</w:t>
      </w:r>
    </w:p>
  </w:comment>
  <w:comment w:id="18" w:author="Ingrid Moura" w:date="2026-09-11T13:43:00Z" w:initials="IM">
    <w:p w14:paraId="63B0B284" w14:textId="77777777" w:rsidR="00556CF8" w:rsidRDefault="00556CF8" w:rsidP="00556CF8">
      <w:pPr>
        <w:pStyle w:val="Textodecomentrio"/>
        <w:jc w:val="left"/>
      </w:pPr>
      <w:r>
        <w:rPr>
          <w:rStyle w:val="Refdecomentrio"/>
        </w:rPr>
        <w:annotationRef/>
      </w:r>
      <w:r>
        <w:t>Revisar</w:t>
      </w:r>
    </w:p>
  </w:comment>
  <w:comment w:id="19" w:author="Ingrid Moura" w:date="2026-09-11T13:44:00Z" w:initials="IM">
    <w:p w14:paraId="600E790F" w14:textId="77777777" w:rsidR="00351AEE" w:rsidRDefault="00351AEE" w:rsidP="00351AEE">
      <w:pPr>
        <w:pStyle w:val="Textodecomentrio"/>
        <w:jc w:val="left"/>
      </w:pPr>
      <w:r>
        <w:rPr>
          <w:rStyle w:val="Refdecomentrio"/>
        </w:rPr>
        <w:annotationRef/>
      </w:r>
      <w:r>
        <w:t>Revisar</w:t>
      </w:r>
    </w:p>
  </w:comment>
  <w:comment w:id="20" w:author="Ingrid Moura" w:date="2026-09-11T13:45:00Z" w:initials="IM">
    <w:p w14:paraId="2912D69D" w14:textId="77777777" w:rsidR="00C87BBC" w:rsidRDefault="00C87BBC" w:rsidP="00C87BBC">
      <w:pPr>
        <w:pStyle w:val="Textodecomentrio"/>
        <w:jc w:val="left"/>
      </w:pPr>
      <w:r>
        <w:rPr>
          <w:rStyle w:val="Refdecomentrio"/>
        </w:rPr>
        <w:annotationRef/>
      </w:r>
      <w:r>
        <w:t>Revisar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4CCAC22" w15:done="0"/>
  <w15:commentEx w15:paraId="3145CE6A" w15:done="0"/>
  <w15:commentEx w15:paraId="23E789DC" w15:done="0"/>
  <w15:commentEx w15:paraId="21973D1E" w15:done="0"/>
  <w15:commentEx w15:paraId="696CDF8E" w15:done="0"/>
  <w15:commentEx w15:paraId="1568291E" w15:done="0"/>
  <w15:commentEx w15:paraId="4419735D" w15:done="0"/>
  <w15:commentEx w15:paraId="1CEAA10A" w15:done="0"/>
  <w15:commentEx w15:paraId="6ACF2C27" w15:done="0"/>
  <w15:commentEx w15:paraId="2A6B7CF9" w15:done="0"/>
  <w15:commentEx w15:paraId="563BBCF0" w15:done="0"/>
  <w15:commentEx w15:paraId="4420C18F" w15:done="0"/>
  <w15:commentEx w15:paraId="1633CA7B" w15:done="0"/>
  <w15:commentEx w15:paraId="023CB2E1" w15:done="0"/>
  <w15:commentEx w15:paraId="3FA583AE" w15:done="0"/>
  <w15:commentEx w15:paraId="5C80D34B" w15:done="0"/>
  <w15:commentEx w15:paraId="48751B04" w15:done="0"/>
  <w15:commentEx w15:paraId="13EBA640" w15:done="0"/>
  <w15:commentEx w15:paraId="63B0B284" w15:done="0"/>
  <w15:commentEx w15:paraId="600E790F" w15:done="0"/>
  <w15:commentEx w15:paraId="2912D69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51938A" w16cex:dateUtc="2026-08-25T16:02:00Z"/>
  <w16cex:commentExtensible w16cex:durableId="43AF4C79" w16cex:dateUtc="2026-08-25T16:02:00Z"/>
  <w16cex:commentExtensible w16cex:durableId="27F8689E" w16cex:dateUtc="2026-08-25T16:06:00Z"/>
  <w16cex:commentExtensible w16cex:durableId="5012AC38" w16cex:dateUtc="2026-08-26T12:23:00Z"/>
  <w16cex:commentExtensible w16cex:durableId="4623A7D9" w16cex:dateUtc="2026-08-26T12:49:00Z"/>
  <w16cex:commentExtensible w16cex:durableId="63B2A7BD" w16cex:dateUtc="2026-08-26T12:49:00Z"/>
  <w16cex:commentExtensible w16cex:durableId="7E48F467" w16cex:dateUtc="2026-08-26T12:52:00Z"/>
  <w16cex:commentExtensible w16cex:durableId="4C6FD6E0" w16cex:dateUtc="2026-08-26T12:57:00Z"/>
  <w16cex:commentExtensible w16cex:durableId="4366CEF0" w16cex:dateUtc="2026-08-26T13:01:00Z"/>
  <w16cex:commentExtensible w16cex:durableId="3F84BE58" w16cex:dateUtc="2026-08-26T13:10:00Z"/>
  <w16cex:commentExtensible w16cex:durableId="3BE85764" w16cex:dateUtc="2026-08-26T13:52:00Z"/>
  <w16cex:commentExtensible w16cex:durableId="4458A978" w16cex:dateUtc="2026-08-26T13:55:00Z"/>
  <w16cex:commentExtensible w16cex:durableId="6663682D" w16cex:dateUtc="2026-08-26T13:59:00Z"/>
  <w16cex:commentExtensible w16cex:durableId="3814A589" w16cex:dateUtc="2026-08-26T14:10:00Z"/>
  <w16cex:commentExtensible w16cex:durableId="3F952BBE" w16cex:dateUtc="2026-08-26T14:11:00Z"/>
  <w16cex:commentExtensible w16cex:durableId="5DEA5CB9" w16cex:dateUtc="2026-09-03T16:07:00Z"/>
  <w16cex:commentExtensible w16cex:durableId="27655BBD" w16cex:dateUtc="2026-09-11T13:26:00Z"/>
  <w16cex:commentExtensible w16cex:durableId="2D60C827" w16cex:dateUtc="2026-09-11T15:40:00Z"/>
  <w16cex:commentExtensible w16cex:durableId="2C2E0BDA" w16cex:dateUtc="2026-09-11T16:43:00Z"/>
  <w16cex:commentExtensible w16cex:durableId="3418727C" w16cex:dateUtc="2026-09-11T16:44:00Z"/>
  <w16cex:commentExtensible w16cex:durableId="126AC0A0" w16cex:dateUtc="2026-09-11T16: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4CCAC22" w16cid:durableId="5F51938A"/>
  <w16cid:commentId w16cid:paraId="3145CE6A" w16cid:durableId="43AF4C79"/>
  <w16cid:commentId w16cid:paraId="23E789DC" w16cid:durableId="27F8689E"/>
  <w16cid:commentId w16cid:paraId="21973D1E" w16cid:durableId="5012AC38"/>
  <w16cid:commentId w16cid:paraId="696CDF8E" w16cid:durableId="4623A7D9"/>
  <w16cid:commentId w16cid:paraId="1568291E" w16cid:durableId="63B2A7BD"/>
  <w16cid:commentId w16cid:paraId="4419735D" w16cid:durableId="7E48F467"/>
  <w16cid:commentId w16cid:paraId="1CEAA10A" w16cid:durableId="4C6FD6E0"/>
  <w16cid:commentId w16cid:paraId="6ACF2C27" w16cid:durableId="4366CEF0"/>
  <w16cid:commentId w16cid:paraId="2A6B7CF9" w16cid:durableId="3F84BE58"/>
  <w16cid:commentId w16cid:paraId="563BBCF0" w16cid:durableId="3BE85764"/>
  <w16cid:commentId w16cid:paraId="4420C18F" w16cid:durableId="4458A978"/>
  <w16cid:commentId w16cid:paraId="1633CA7B" w16cid:durableId="6663682D"/>
  <w16cid:commentId w16cid:paraId="023CB2E1" w16cid:durableId="3814A589"/>
  <w16cid:commentId w16cid:paraId="3FA583AE" w16cid:durableId="3F952BBE"/>
  <w16cid:commentId w16cid:paraId="5C80D34B" w16cid:durableId="5DEA5CB9"/>
  <w16cid:commentId w16cid:paraId="48751B04" w16cid:durableId="27655BBD"/>
  <w16cid:commentId w16cid:paraId="13EBA640" w16cid:durableId="2D60C827"/>
  <w16cid:commentId w16cid:paraId="63B0B284" w16cid:durableId="2C2E0BDA"/>
  <w16cid:commentId w16cid:paraId="600E790F" w16cid:durableId="3418727C"/>
  <w16cid:commentId w16cid:paraId="2912D69D" w16cid:durableId="126AC0A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251E3" w14:textId="77777777" w:rsidR="00613892" w:rsidRDefault="00613892">
      <w:pPr>
        <w:spacing w:after="0" w:line="240" w:lineRule="auto"/>
      </w:pPr>
      <w:r>
        <w:separator/>
      </w:r>
    </w:p>
  </w:endnote>
  <w:endnote w:type="continuationSeparator" w:id="0">
    <w:p w14:paraId="740C8E32" w14:textId="77777777" w:rsidR="00613892" w:rsidRDefault="006138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EB Garamond">
    <w:charset w:val="00"/>
    <w:family w:val="auto"/>
    <w:pitch w:val="variable"/>
    <w:sig w:usb0="E00002FF" w:usb1="0200041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Sans">
    <w:charset w:val="00"/>
    <w:family w:val="swiss"/>
    <w:pitch w:val="variable"/>
    <w:sig w:usb0="E00082FF" w:usb1="400078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65855" w14:textId="77777777" w:rsidR="005A5FCC" w:rsidRDefault="005A5FCC">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F7A7E" w14:textId="77777777" w:rsidR="005A5FCC" w:rsidRDefault="005A5FCC">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B9B88" w14:textId="77777777" w:rsidR="005A5FCC" w:rsidRDefault="005A5FCC">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D28ED" w14:textId="77777777" w:rsidR="005A5FCC" w:rsidRDefault="005A5FCC">
    <w:pPr>
      <w:pStyle w:val="Rodap"/>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8B98C" w14:textId="77777777" w:rsidR="005A5FCC" w:rsidRDefault="005A5FCC">
    <w:pPr>
      <w:pStyle w:val="Rodap"/>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C74C5" w14:textId="77777777" w:rsidR="005A5FCC" w:rsidRDefault="005A5FCC">
    <w:pPr>
      <w:pStyle w:val="Rodap"/>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CBCD0" w14:textId="77777777" w:rsidR="005A5FCC" w:rsidRDefault="005A5FCC">
    <w:pPr>
      <w:pStyle w:val="Rodap"/>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65D3E" w14:textId="77777777" w:rsidR="005A5FCC" w:rsidRDefault="005A5FCC">
    <w:pPr>
      <w:pStyle w:val="Rodap"/>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8CAE1" w14:textId="77777777" w:rsidR="005A5FCC" w:rsidRDefault="005A5FCC">
    <w:pPr>
      <w:pStyle w:val="Rodap"/>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8346F" w14:textId="77777777" w:rsidR="005A5FCC" w:rsidRDefault="005A5FCC">
    <w:pPr>
      <w:pStyle w:val="Rodap"/>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8EFB8" w14:textId="77777777" w:rsidR="005A5FCC" w:rsidRDefault="005A5FCC">
    <w:pPr>
      <w:pStyle w:val="Rodap"/>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456E9" w14:textId="77777777" w:rsidR="005A5FCC" w:rsidRDefault="005A5FCC">
    <w:pPr>
      <w:pStyle w:val="Rodap"/>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2A63D" w14:textId="77777777" w:rsidR="005A5FCC" w:rsidRDefault="005A5FCC">
    <w:pPr>
      <w:pStyle w:val="Rodap"/>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90AED" w14:textId="77777777" w:rsidR="005A5FCC" w:rsidRDefault="005A5FCC">
    <w:pPr>
      <w:pStyle w:val="Rodap"/>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6A4E0" w14:textId="77777777" w:rsidR="005A5FCC" w:rsidRDefault="005A5FCC">
    <w:pPr>
      <w:pStyle w:val="Rodap"/>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8D9A1" w14:textId="79263057" w:rsidR="005A5FCC" w:rsidRDefault="00A21C81">
    <w:pPr>
      <w:pStyle w:val="Rodap"/>
      <w:jc w:val="left"/>
    </w:pPr>
    <w:r>
      <w:rPr>
        <w:color w:val="6B6256"/>
        <w:sz w:val="18"/>
      </w:rPr>
      <w:fldChar w:fldCharType="begin"/>
    </w:r>
    <w:r>
      <w:rPr>
        <w:color w:val="6B6256"/>
        <w:sz w:val="18"/>
      </w:rPr>
      <w:instrText xml:space="preserve"> PAGE </w:instrText>
    </w:r>
    <w:r>
      <w:rPr>
        <w:color w:val="6B6256"/>
        <w:sz w:val="18"/>
      </w:rPr>
      <w:fldChar w:fldCharType="separate"/>
    </w:r>
    <w:r w:rsidR="008B76A3">
      <w:rPr>
        <w:noProof/>
        <w:color w:val="6B6256"/>
        <w:sz w:val="18"/>
      </w:rPr>
      <w:t>viii</w:t>
    </w:r>
    <w:r>
      <w:rPr>
        <w:sz w:val="18"/>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C5909" w14:textId="77777777" w:rsidR="005A5FCC" w:rsidRDefault="00A21C81">
    <w:pPr>
      <w:pStyle w:val="Rodap"/>
      <w:jc w:val="right"/>
    </w:pPr>
    <w:r>
      <w:rPr>
        <w:color w:val="6B6256"/>
        <w:sz w:val="18"/>
      </w:rPr>
      <w:fldChar w:fldCharType="begin"/>
    </w:r>
    <w:r>
      <w:rPr>
        <w:color w:val="6B6256"/>
        <w:sz w:val="18"/>
      </w:rPr>
      <w:instrText xml:space="preserve"> PAGE </w:instrText>
    </w:r>
    <w:r>
      <w:rPr>
        <w:sz w:val="18"/>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E020C" w14:textId="2C3FD595" w:rsidR="005A5FCC" w:rsidRDefault="00A21C81">
    <w:pPr>
      <w:pStyle w:val="Rodap"/>
      <w:jc w:val="center"/>
    </w:pPr>
    <w:r>
      <w:rPr>
        <w:color w:val="6B6256"/>
        <w:sz w:val="18"/>
      </w:rPr>
      <w:fldChar w:fldCharType="begin"/>
    </w:r>
    <w:r>
      <w:rPr>
        <w:color w:val="6B6256"/>
        <w:sz w:val="18"/>
      </w:rPr>
      <w:instrText xml:space="preserve"> PAGE </w:instrText>
    </w:r>
    <w:r>
      <w:rPr>
        <w:color w:val="6B6256"/>
        <w:sz w:val="18"/>
      </w:rPr>
      <w:fldChar w:fldCharType="separate"/>
    </w:r>
    <w:r w:rsidR="008B76A3">
      <w:rPr>
        <w:noProof/>
        <w:color w:val="6B6256"/>
        <w:sz w:val="18"/>
      </w:rPr>
      <w:t>vii</w:t>
    </w:r>
    <w:r>
      <w:rPr>
        <w:sz w:val="18"/>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54785" w14:textId="4F277916" w:rsidR="005A5FCC" w:rsidRDefault="00A21C81">
    <w:pPr>
      <w:pStyle w:val="Rodap"/>
      <w:jc w:val="left"/>
    </w:pPr>
    <w:r>
      <w:rPr>
        <w:color w:val="6B6256"/>
        <w:sz w:val="18"/>
      </w:rPr>
      <w:fldChar w:fldCharType="begin"/>
    </w:r>
    <w:r>
      <w:rPr>
        <w:color w:val="6B6256"/>
        <w:sz w:val="18"/>
      </w:rPr>
      <w:instrText xml:space="preserve"> PAGE </w:instrText>
    </w:r>
    <w:r>
      <w:rPr>
        <w:color w:val="6B6256"/>
        <w:sz w:val="18"/>
      </w:rPr>
      <w:fldChar w:fldCharType="separate"/>
    </w:r>
    <w:r w:rsidR="005F6554">
      <w:rPr>
        <w:noProof/>
        <w:color w:val="6B6256"/>
        <w:sz w:val="18"/>
      </w:rPr>
      <w:t>x</w:t>
    </w:r>
    <w:r>
      <w:rPr>
        <w:sz w:val="18"/>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40CDB" w14:textId="362EE8E5" w:rsidR="005A5FCC" w:rsidRDefault="00A21C81">
    <w:pPr>
      <w:pStyle w:val="Rodap"/>
      <w:jc w:val="right"/>
    </w:pPr>
    <w:r>
      <w:rPr>
        <w:color w:val="6B6256"/>
        <w:sz w:val="18"/>
      </w:rPr>
      <w:fldChar w:fldCharType="begin"/>
    </w:r>
    <w:r>
      <w:rPr>
        <w:color w:val="6B6256"/>
        <w:sz w:val="18"/>
      </w:rPr>
      <w:instrText xml:space="preserve"> PAGE </w:instrText>
    </w:r>
    <w:r>
      <w:rPr>
        <w:color w:val="6B6256"/>
        <w:sz w:val="18"/>
      </w:rPr>
      <w:fldChar w:fldCharType="separate"/>
    </w:r>
    <w:r w:rsidR="00BC16BC">
      <w:rPr>
        <w:noProof/>
        <w:color w:val="6B6256"/>
        <w:sz w:val="18"/>
      </w:rPr>
      <w:t>xi</w:t>
    </w:r>
    <w:r>
      <w:rPr>
        <w:sz w:val="18"/>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F8371" w14:textId="704638AC" w:rsidR="005A5FCC" w:rsidRDefault="00A21C81">
    <w:pPr>
      <w:pStyle w:val="Rodap"/>
      <w:jc w:val="center"/>
    </w:pPr>
    <w:r>
      <w:rPr>
        <w:color w:val="6B6256"/>
        <w:sz w:val="18"/>
      </w:rPr>
      <w:fldChar w:fldCharType="begin"/>
    </w:r>
    <w:r>
      <w:rPr>
        <w:color w:val="6B6256"/>
        <w:sz w:val="18"/>
      </w:rPr>
      <w:instrText xml:space="preserve"> PAGE </w:instrText>
    </w:r>
    <w:r>
      <w:rPr>
        <w:color w:val="6B6256"/>
        <w:sz w:val="18"/>
      </w:rPr>
      <w:fldChar w:fldCharType="separate"/>
    </w:r>
    <w:r w:rsidR="008B76A3">
      <w:rPr>
        <w:noProof/>
        <w:color w:val="6B6256"/>
        <w:sz w:val="18"/>
      </w:rPr>
      <w:t>ix</w:t>
    </w:r>
    <w:r>
      <w:rPr>
        <w:sz w:val="18"/>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79E66" w14:textId="77777777" w:rsidR="005A5FCC" w:rsidRDefault="00A21C81">
    <w:pPr>
      <w:pStyle w:val="Rodap"/>
      <w:jc w:val="left"/>
    </w:pPr>
    <w:r>
      <w:rPr>
        <w:color w:val="6B6256"/>
        <w:sz w:val="18"/>
      </w:rPr>
      <w:fldChar w:fldCharType="begin"/>
    </w:r>
    <w:r>
      <w:rPr>
        <w:color w:val="6B6256"/>
        <w:sz w:val="18"/>
      </w:rPr>
      <w:instrText xml:space="preserve"> PAGE </w:instrText>
    </w:r>
    <w:r>
      <w:rPr>
        <w:sz w:val="18"/>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B1D68" w14:textId="77777777" w:rsidR="005A5FCC" w:rsidRDefault="00A21C81">
    <w:pPr>
      <w:pStyle w:val="Rodap"/>
      <w:jc w:val="right"/>
    </w:pPr>
    <w:r>
      <w:rPr>
        <w:color w:val="6B6256"/>
        <w:sz w:val="18"/>
      </w:rPr>
      <w:fldChar w:fldCharType="begin"/>
    </w:r>
    <w:r>
      <w:rPr>
        <w:color w:val="6B6256"/>
        <w:sz w:val="18"/>
      </w:rPr>
      <w:instrText xml:space="preserve"> PAGE </w:instrText>
    </w:r>
    <w:r>
      <w:rPr>
        <w:sz w:val="18"/>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E9DC0" w14:textId="7DF050B7" w:rsidR="005A5FCC" w:rsidRDefault="00A21C81">
    <w:pPr>
      <w:pStyle w:val="Rodap"/>
      <w:jc w:val="center"/>
    </w:pPr>
    <w:r>
      <w:rPr>
        <w:color w:val="6B6256"/>
        <w:sz w:val="18"/>
      </w:rPr>
      <w:fldChar w:fldCharType="begin"/>
    </w:r>
    <w:r>
      <w:rPr>
        <w:color w:val="6B6256"/>
        <w:sz w:val="18"/>
      </w:rPr>
      <w:instrText xml:space="preserve"> PAGE </w:instrText>
    </w:r>
    <w:r>
      <w:rPr>
        <w:color w:val="6B6256"/>
        <w:sz w:val="18"/>
      </w:rPr>
      <w:fldChar w:fldCharType="separate"/>
    </w:r>
    <w:r w:rsidR="008B76A3">
      <w:rPr>
        <w:noProof/>
        <w:color w:val="6B6256"/>
        <w:sz w:val="18"/>
      </w:rPr>
      <w:t>1</w:t>
    </w:r>
    <w:r>
      <w:rPr>
        <w:sz w:val="18"/>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30CD8" w14:textId="2FFEA684" w:rsidR="005A5FCC" w:rsidRDefault="00A21C81">
    <w:pPr>
      <w:pStyle w:val="Rodap"/>
      <w:jc w:val="left"/>
    </w:pPr>
    <w:r>
      <w:rPr>
        <w:color w:val="6B6256"/>
        <w:sz w:val="18"/>
      </w:rPr>
      <w:fldChar w:fldCharType="begin"/>
    </w:r>
    <w:r>
      <w:rPr>
        <w:color w:val="6B6256"/>
        <w:sz w:val="18"/>
      </w:rPr>
      <w:instrText xml:space="preserve"> PAGE </w:instrText>
    </w:r>
    <w:r>
      <w:rPr>
        <w:color w:val="6B6256"/>
        <w:sz w:val="18"/>
      </w:rPr>
      <w:fldChar w:fldCharType="separate"/>
    </w:r>
    <w:r w:rsidR="008B76A3">
      <w:rPr>
        <w:noProof/>
        <w:color w:val="6B6256"/>
        <w:sz w:val="18"/>
      </w:rPr>
      <w:t>4</w:t>
    </w:r>
    <w:r>
      <w:rPr>
        <w:sz w:val="18"/>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9E994" w14:textId="26DCAFAC" w:rsidR="005A5FCC" w:rsidRDefault="00A21C81">
    <w:pPr>
      <w:pStyle w:val="Rodap"/>
      <w:jc w:val="right"/>
    </w:pPr>
    <w:r>
      <w:rPr>
        <w:color w:val="6B6256"/>
        <w:sz w:val="18"/>
      </w:rPr>
      <w:fldChar w:fldCharType="begin"/>
    </w:r>
    <w:r>
      <w:rPr>
        <w:color w:val="6B6256"/>
        <w:sz w:val="18"/>
      </w:rPr>
      <w:instrText xml:space="preserve"> PAGE </w:instrText>
    </w:r>
    <w:r>
      <w:rPr>
        <w:color w:val="6B6256"/>
        <w:sz w:val="18"/>
      </w:rPr>
      <w:fldChar w:fldCharType="separate"/>
    </w:r>
    <w:r w:rsidR="008B76A3">
      <w:rPr>
        <w:noProof/>
        <w:color w:val="6B6256"/>
        <w:sz w:val="18"/>
      </w:rPr>
      <w:t>3</w:t>
    </w:r>
    <w:r>
      <w:rPr>
        <w:sz w:val="18"/>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C687F" w14:textId="7618B1D5" w:rsidR="005A5FCC" w:rsidRDefault="00A21C81">
    <w:pPr>
      <w:pStyle w:val="Rodap"/>
      <w:jc w:val="center"/>
    </w:pPr>
    <w:r>
      <w:rPr>
        <w:color w:val="6B6256"/>
        <w:sz w:val="18"/>
      </w:rPr>
      <w:fldChar w:fldCharType="begin"/>
    </w:r>
    <w:r>
      <w:rPr>
        <w:color w:val="6B6256"/>
        <w:sz w:val="18"/>
      </w:rPr>
      <w:instrText xml:space="preserve"> PAGE </w:instrText>
    </w:r>
    <w:r>
      <w:rPr>
        <w:color w:val="6B6256"/>
        <w:sz w:val="18"/>
      </w:rPr>
      <w:fldChar w:fldCharType="separate"/>
    </w:r>
    <w:r w:rsidR="008B76A3">
      <w:rPr>
        <w:noProof/>
        <w:color w:val="6B6256"/>
        <w:sz w:val="18"/>
      </w:rPr>
      <w:t>2</w:t>
    </w:r>
    <w:r>
      <w:rPr>
        <w:sz w:val="18"/>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82118" w14:textId="0AC412AE" w:rsidR="005A5FCC" w:rsidRDefault="00A21C81">
    <w:pPr>
      <w:pStyle w:val="Rodap"/>
      <w:jc w:val="left"/>
    </w:pPr>
    <w:r>
      <w:rPr>
        <w:color w:val="6B6256"/>
        <w:sz w:val="18"/>
      </w:rPr>
      <w:fldChar w:fldCharType="begin"/>
    </w:r>
    <w:r>
      <w:rPr>
        <w:color w:val="6B6256"/>
        <w:sz w:val="18"/>
      </w:rPr>
      <w:instrText xml:space="preserve"> PAGE </w:instrText>
    </w:r>
    <w:r>
      <w:rPr>
        <w:color w:val="6B6256"/>
        <w:sz w:val="18"/>
      </w:rPr>
      <w:fldChar w:fldCharType="separate"/>
    </w:r>
    <w:r w:rsidR="008B76A3">
      <w:rPr>
        <w:noProof/>
        <w:color w:val="6B6256"/>
        <w:sz w:val="18"/>
      </w:rPr>
      <w:t>58</w:t>
    </w:r>
    <w:r>
      <w:rPr>
        <w:sz w:val="18"/>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EF70C" w14:textId="5BB80ECD" w:rsidR="005A5FCC" w:rsidRDefault="00A21C81">
    <w:pPr>
      <w:pStyle w:val="Rodap"/>
      <w:jc w:val="right"/>
    </w:pPr>
    <w:r>
      <w:rPr>
        <w:color w:val="6B6256"/>
        <w:sz w:val="18"/>
      </w:rPr>
      <w:fldChar w:fldCharType="begin"/>
    </w:r>
    <w:r>
      <w:rPr>
        <w:color w:val="6B6256"/>
        <w:sz w:val="18"/>
      </w:rPr>
      <w:instrText xml:space="preserve"> PAGE </w:instrText>
    </w:r>
    <w:r>
      <w:rPr>
        <w:color w:val="6B6256"/>
        <w:sz w:val="18"/>
      </w:rPr>
      <w:fldChar w:fldCharType="separate"/>
    </w:r>
    <w:r w:rsidR="008B76A3">
      <w:rPr>
        <w:noProof/>
        <w:color w:val="6B6256"/>
        <w:sz w:val="18"/>
      </w:rPr>
      <w:t>59</w:t>
    </w:r>
    <w:r>
      <w:rPr>
        <w:sz w:val="18"/>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5FC20" w14:textId="52FD835F" w:rsidR="005A5FCC" w:rsidRDefault="00A21C81">
    <w:pPr>
      <w:pStyle w:val="Rodap"/>
      <w:jc w:val="center"/>
    </w:pPr>
    <w:r>
      <w:rPr>
        <w:color w:val="6B6256"/>
        <w:sz w:val="18"/>
      </w:rPr>
      <w:fldChar w:fldCharType="begin"/>
    </w:r>
    <w:r>
      <w:rPr>
        <w:color w:val="6B6256"/>
        <w:sz w:val="18"/>
      </w:rPr>
      <w:instrText xml:space="preserve"> PAGE </w:instrText>
    </w:r>
    <w:r>
      <w:rPr>
        <w:color w:val="6B6256"/>
        <w:sz w:val="18"/>
      </w:rPr>
      <w:fldChar w:fldCharType="separate"/>
    </w:r>
    <w:r w:rsidR="008B76A3">
      <w:rPr>
        <w:noProof/>
        <w:color w:val="6B6256"/>
        <w:sz w:val="18"/>
      </w:rPr>
      <w:t>57</w:t>
    </w:r>
    <w:r>
      <w:rPr>
        <w:sz w:val="18"/>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A8D3F" w14:textId="12D23F7D" w:rsidR="005A5FCC" w:rsidRDefault="00A21C81">
    <w:pPr>
      <w:pStyle w:val="Rodap"/>
      <w:jc w:val="left"/>
    </w:pPr>
    <w:r>
      <w:rPr>
        <w:color w:val="6B6256"/>
        <w:sz w:val="18"/>
      </w:rPr>
      <w:fldChar w:fldCharType="begin"/>
    </w:r>
    <w:r>
      <w:rPr>
        <w:color w:val="6B6256"/>
        <w:sz w:val="18"/>
      </w:rPr>
      <w:instrText xml:space="preserve"> PAGE </w:instrText>
    </w:r>
    <w:r>
      <w:rPr>
        <w:color w:val="6B6256"/>
        <w:sz w:val="18"/>
      </w:rPr>
      <w:fldChar w:fldCharType="separate"/>
    </w:r>
    <w:r w:rsidR="008B76A3">
      <w:rPr>
        <w:noProof/>
        <w:color w:val="6B6256"/>
        <w:sz w:val="18"/>
      </w:rPr>
      <w:t>88</w:t>
    </w:r>
    <w:r>
      <w:rPr>
        <w:sz w:val="18"/>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DFBCC" w14:textId="21AF35B0" w:rsidR="005A5FCC" w:rsidRDefault="00A21C81">
    <w:pPr>
      <w:pStyle w:val="Rodap"/>
      <w:jc w:val="right"/>
    </w:pPr>
    <w:r>
      <w:rPr>
        <w:color w:val="6B6256"/>
        <w:sz w:val="18"/>
      </w:rPr>
      <w:fldChar w:fldCharType="begin"/>
    </w:r>
    <w:r>
      <w:rPr>
        <w:color w:val="6B6256"/>
        <w:sz w:val="18"/>
      </w:rPr>
      <w:instrText xml:space="preserve"> PAGE </w:instrText>
    </w:r>
    <w:r>
      <w:rPr>
        <w:color w:val="6B6256"/>
        <w:sz w:val="18"/>
      </w:rPr>
      <w:fldChar w:fldCharType="separate"/>
    </w:r>
    <w:r w:rsidR="008B76A3">
      <w:rPr>
        <w:noProof/>
        <w:color w:val="6B6256"/>
        <w:sz w:val="18"/>
      </w:rPr>
      <w:t>89</w:t>
    </w:r>
    <w:r>
      <w:rPr>
        <w:sz w:val="18"/>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19C9D" w14:textId="49215A5B" w:rsidR="005A5FCC" w:rsidRDefault="00A21C81">
    <w:pPr>
      <w:pStyle w:val="Rodap"/>
      <w:jc w:val="center"/>
    </w:pPr>
    <w:r>
      <w:rPr>
        <w:color w:val="6B6256"/>
        <w:sz w:val="18"/>
      </w:rPr>
      <w:fldChar w:fldCharType="begin"/>
    </w:r>
    <w:r>
      <w:rPr>
        <w:color w:val="6B6256"/>
        <w:sz w:val="18"/>
      </w:rPr>
      <w:instrText xml:space="preserve"> PAGE </w:instrText>
    </w:r>
    <w:r>
      <w:rPr>
        <w:color w:val="6B6256"/>
        <w:sz w:val="18"/>
      </w:rPr>
      <w:fldChar w:fldCharType="separate"/>
    </w:r>
    <w:r w:rsidR="008B76A3">
      <w:rPr>
        <w:noProof/>
        <w:color w:val="6B6256"/>
        <w:sz w:val="18"/>
      </w:rPr>
      <w:t>87</w:t>
    </w:r>
    <w:r>
      <w:rPr>
        <w:sz w:val="18"/>
      </w:rP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AA4CD" w14:textId="5E71A66D" w:rsidR="005A5FCC" w:rsidRDefault="00A21C81">
    <w:pPr>
      <w:pStyle w:val="Rodap"/>
      <w:jc w:val="left"/>
    </w:pPr>
    <w:r>
      <w:rPr>
        <w:color w:val="6B6256"/>
        <w:sz w:val="18"/>
      </w:rPr>
      <w:fldChar w:fldCharType="begin"/>
    </w:r>
    <w:r>
      <w:rPr>
        <w:color w:val="6B6256"/>
        <w:sz w:val="18"/>
      </w:rPr>
      <w:instrText xml:space="preserve"> PAGE </w:instrText>
    </w:r>
    <w:r>
      <w:rPr>
        <w:color w:val="6B6256"/>
        <w:sz w:val="18"/>
      </w:rPr>
      <w:fldChar w:fldCharType="separate"/>
    </w:r>
    <w:r w:rsidR="008B76A3">
      <w:rPr>
        <w:noProof/>
        <w:color w:val="6B6256"/>
        <w:sz w:val="18"/>
      </w:rPr>
      <w:t>122</w:t>
    </w:r>
    <w:r>
      <w:rPr>
        <w:sz w:val="18"/>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20843" w14:textId="33FC3208" w:rsidR="005A5FCC" w:rsidRDefault="00A21C81">
    <w:pPr>
      <w:pStyle w:val="Rodap"/>
      <w:jc w:val="right"/>
    </w:pPr>
    <w:r>
      <w:rPr>
        <w:color w:val="6B6256"/>
        <w:sz w:val="18"/>
      </w:rPr>
      <w:fldChar w:fldCharType="begin"/>
    </w:r>
    <w:r>
      <w:rPr>
        <w:color w:val="6B6256"/>
        <w:sz w:val="18"/>
      </w:rPr>
      <w:instrText xml:space="preserve"> PAGE </w:instrText>
    </w:r>
    <w:r>
      <w:rPr>
        <w:color w:val="6B6256"/>
        <w:sz w:val="18"/>
      </w:rPr>
      <w:fldChar w:fldCharType="separate"/>
    </w:r>
    <w:r w:rsidR="008B76A3">
      <w:rPr>
        <w:noProof/>
        <w:color w:val="6B6256"/>
        <w:sz w:val="18"/>
      </w:rPr>
      <w:t>123</w:t>
    </w:r>
    <w:r>
      <w:rPr>
        <w:sz w:val="18"/>
      </w:rP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734C5" w14:textId="2183C220" w:rsidR="005A5FCC" w:rsidRDefault="00A21C81">
    <w:pPr>
      <w:pStyle w:val="Rodap"/>
      <w:jc w:val="center"/>
    </w:pPr>
    <w:r>
      <w:rPr>
        <w:color w:val="6B6256"/>
        <w:sz w:val="18"/>
      </w:rPr>
      <w:fldChar w:fldCharType="begin"/>
    </w:r>
    <w:r>
      <w:rPr>
        <w:color w:val="6B6256"/>
        <w:sz w:val="18"/>
      </w:rPr>
      <w:instrText xml:space="preserve"> PAGE </w:instrText>
    </w:r>
    <w:r>
      <w:rPr>
        <w:color w:val="6B6256"/>
        <w:sz w:val="18"/>
      </w:rPr>
      <w:fldChar w:fldCharType="separate"/>
    </w:r>
    <w:r w:rsidR="008B76A3">
      <w:rPr>
        <w:noProof/>
        <w:color w:val="6B6256"/>
        <w:sz w:val="18"/>
      </w:rPr>
      <w:t>121</w:t>
    </w:r>
    <w:r>
      <w:rPr>
        <w:sz w:val="18"/>
      </w:rPr>
      <w:fldChar w:fldCharType="end"/>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C2892" w14:textId="0D4F2BB3" w:rsidR="005A5FCC" w:rsidRDefault="00A21C81">
    <w:pPr>
      <w:pStyle w:val="Rodap"/>
      <w:jc w:val="left"/>
    </w:pPr>
    <w:r>
      <w:rPr>
        <w:color w:val="6B6256"/>
        <w:sz w:val="18"/>
      </w:rPr>
      <w:fldChar w:fldCharType="begin"/>
    </w:r>
    <w:r>
      <w:rPr>
        <w:color w:val="6B6256"/>
        <w:sz w:val="18"/>
      </w:rPr>
      <w:instrText xml:space="preserve"> PAGE </w:instrText>
    </w:r>
    <w:r>
      <w:rPr>
        <w:color w:val="6B6256"/>
        <w:sz w:val="18"/>
      </w:rPr>
      <w:fldChar w:fldCharType="separate"/>
    </w:r>
    <w:r w:rsidR="008B76A3">
      <w:rPr>
        <w:noProof/>
        <w:color w:val="6B6256"/>
        <w:sz w:val="18"/>
      </w:rPr>
      <w:t>210</w:t>
    </w:r>
    <w:r>
      <w:rPr>
        <w:sz w:val="18"/>
      </w:rPr>
      <w:fldChar w:fldCharType="end"/>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225B7" w14:textId="47DD1AE5" w:rsidR="005A5FCC" w:rsidRDefault="00A21C81">
    <w:pPr>
      <w:pStyle w:val="Rodap"/>
      <w:jc w:val="right"/>
    </w:pPr>
    <w:r>
      <w:rPr>
        <w:color w:val="6B6256"/>
        <w:sz w:val="18"/>
      </w:rPr>
      <w:fldChar w:fldCharType="begin"/>
    </w:r>
    <w:r>
      <w:rPr>
        <w:color w:val="6B6256"/>
        <w:sz w:val="18"/>
      </w:rPr>
      <w:instrText xml:space="preserve"> PAGE </w:instrText>
    </w:r>
    <w:r>
      <w:rPr>
        <w:color w:val="6B6256"/>
        <w:sz w:val="18"/>
      </w:rPr>
      <w:fldChar w:fldCharType="separate"/>
    </w:r>
    <w:r w:rsidR="008B76A3">
      <w:rPr>
        <w:noProof/>
        <w:color w:val="6B6256"/>
        <w:sz w:val="18"/>
      </w:rPr>
      <w:t>209</w:t>
    </w:r>
    <w:r>
      <w:rPr>
        <w:sz w:val="18"/>
      </w:rPr>
      <w:fldChar w:fldCharType="end"/>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E4D04" w14:textId="52A329F5" w:rsidR="005A5FCC" w:rsidRDefault="00A21C81">
    <w:pPr>
      <w:pStyle w:val="Rodap"/>
      <w:jc w:val="center"/>
    </w:pPr>
    <w:r>
      <w:rPr>
        <w:color w:val="6B6256"/>
        <w:sz w:val="18"/>
      </w:rPr>
      <w:fldChar w:fldCharType="begin"/>
    </w:r>
    <w:r>
      <w:rPr>
        <w:color w:val="6B6256"/>
        <w:sz w:val="18"/>
      </w:rPr>
      <w:instrText xml:space="preserve"> PAGE </w:instrText>
    </w:r>
    <w:r>
      <w:rPr>
        <w:color w:val="6B6256"/>
        <w:sz w:val="18"/>
      </w:rPr>
      <w:fldChar w:fldCharType="separate"/>
    </w:r>
    <w:r w:rsidR="008B76A3">
      <w:rPr>
        <w:noProof/>
        <w:color w:val="6B6256"/>
        <w:sz w:val="18"/>
      </w:rPr>
      <w:t>208</w:t>
    </w:r>
    <w:r>
      <w:rPr>
        <w:sz w:val="18"/>
      </w:rPr>
      <w:fldChar w:fldCharType="end"/>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D415C" w14:textId="77777777" w:rsidR="005A5FCC" w:rsidRDefault="00A21C81">
    <w:pPr>
      <w:pStyle w:val="Rodap"/>
      <w:jc w:val="left"/>
    </w:pPr>
    <w:r>
      <w:rPr>
        <w:color w:val="6B6256"/>
        <w:sz w:val="18"/>
      </w:rPr>
      <w:fldChar w:fldCharType="begin"/>
    </w:r>
    <w:r>
      <w:rPr>
        <w:color w:val="6B6256"/>
        <w:sz w:val="18"/>
      </w:rPr>
      <w:instrText xml:space="preserve"> PAGE </w:instrText>
    </w:r>
    <w:r>
      <w:rPr>
        <w:sz w:val="18"/>
      </w:rPr>
      <w:fldChar w:fldCharType="end"/>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9AA8F" w14:textId="77777777" w:rsidR="005A5FCC" w:rsidRDefault="00A21C81">
    <w:pPr>
      <w:pStyle w:val="Rodap"/>
      <w:jc w:val="right"/>
    </w:pPr>
    <w:r>
      <w:rPr>
        <w:color w:val="6B6256"/>
        <w:sz w:val="18"/>
      </w:rPr>
      <w:fldChar w:fldCharType="begin"/>
    </w:r>
    <w:r>
      <w:rPr>
        <w:color w:val="6B6256"/>
        <w:sz w:val="18"/>
      </w:rPr>
      <w:instrText xml:space="preserve"> PAGE </w:instrText>
    </w:r>
    <w:r>
      <w:rPr>
        <w:sz w:val="18"/>
      </w:rPr>
      <w:fldChar w:fldCharType="end"/>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0A9E9" w14:textId="5061A1E1" w:rsidR="005A5FCC" w:rsidRDefault="00A21C81">
    <w:pPr>
      <w:pStyle w:val="Rodap"/>
      <w:jc w:val="center"/>
    </w:pPr>
    <w:r>
      <w:rPr>
        <w:color w:val="6B6256"/>
        <w:sz w:val="18"/>
      </w:rPr>
      <w:fldChar w:fldCharType="begin"/>
    </w:r>
    <w:r>
      <w:rPr>
        <w:color w:val="6B6256"/>
        <w:sz w:val="18"/>
      </w:rPr>
      <w:instrText xml:space="preserve"> PAGE </w:instrText>
    </w:r>
    <w:r>
      <w:rPr>
        <w:color w:val="6B6256"/>
        <w:sz w:val="18"/>
      </w:rPr>
      <w:fldChar w:fldCharType="separate"/>
    </w:r>
    <w:r w:rsidR="008B76A3">
      <w:rPr>
        <w:noProof/>
        <w:color w:val="6B6256"/>
        <w:sz w:val="18"/>
      </w:rPr>
      <w:t>276</w:t>
    </w:r>
    <w:r>
      <w:rPr>
        <w:sz w:val="18"/>
      </w:rPr>
      <w:fldChar w:fldCharType="end"/>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0E67D" w14:textId="5961C5E1" w:rsidR="005A5FCC" w:rsidRDefault="00A21C81">
    <w:pPr>
      <w:pStyle w:val="Rodap"/>
      <w:jc w:val="left"/>
    </w:pPr>
    <w:r>
      <w:rPr>
        <w:color w:val="6B6256"/>
        <w:sz w:val="18"/>
      </w:rPr>
      <w:fldChar w:fldCharType="begin"/>
    </w:r>
    <w:r>
      <w:rPr>
        <w:color w:val="6B6256"/>
        <w:sz w:val="18"/>
      </w:rPr>
      <w:instrText xml:space="preserve"> PAGE </w:instrText>
    </w:r>
    <w:r>
      <w:rPr>
        <w:color w:val="6B6256"/>
        <w:sz w:val="18"/>
      </w:rPr>
      <w:fldChar w:fldCharType="separate"/>
    </w:r>
    <w:r w:rsidR="008B76A3">
      <w:rPr>
        <w:noProof/>
        <w:color w:val="6B6256"/>
        <w:sz w:val="18"/>
      </w:rPr>
      <w:t>280</w:t>
    </w:r>
    <w:r>
      <w:rPr>
        <w:sz w:val="18"/>
      </w:rPr>
      <w:fldChar w:fldCharType="end"/>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449E9" w14:textId="0B1E80EB" w:rsidR="005A5FCC" w:rsidRDefault="00A21C81">
    <w:pPr>
      <w:pStyle w:val="Rodap"/>
      <w:jc w:val="right"/>
    </w:pPr>
    <w:r>
      <w:rPr>
        <w:color w:val="6B6256"/>
        <w:sz w:val="18"/>
      </w:rPr>
      <w:fldChar w:fldCharType="begin"/>
    </w:r>
    <w:r>
      <w:rPr>
        <w:color w:val="6B6256"/>
        <w:sz w:val="18"/>
      </w:rPr>
      <w:instrText xml:space="preserve"> PAGE </w:instrText>
    </w:r>
    <w:r>
      <w:rPr>
        <w:color w:val="6B6256"/>
        <w:sz w:val="18"/>
      </w:rPr>
      <w:fldChar w:fldCharType="separate"/>
    </w:r>
    <w:r w:rsidR="008B76A3">
      <w:rPr>
        <w:noProof/>
        <w:color w:val="6B6256"/>
        <w:sz w:val="18"/>
      </w:rPr>
      <w:t>279</w:t>
    </w:r>
    <w:r>
      <w:rPr>
        <w:sz w:val="18"/>
      </w:rPr>
      <w:fldChar w:fldCharType="end"/>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F5A61" w14:textId="3770AEE6" w:rsidR="005A5FCC" w:rsidRDefault="00A21C81">
    <w:pPr>
      <w:pStyle w:val="Rodap"/>
      <w:jc w:val="center"/>
    </w:pPr>
    <w:r>
      <w:rPr>
        <w:color w:val="6B6256"/>
        <w:sz w:val="18"/>
      </w:rPr>
      <w:fldChar w:fldCharType="begin"/>
    </w:r>
    <w:r>
      <w:rPr>
        <w:color w:val="6B6256"/>
        <w:sz w:val="18"/>
      </w:rPr>
      <w:instrText xml:space="preserve"> PAGE </w:instrText>
    </w:r>
    <w:r>
      <w:rPr>
        <w:color w:val="6B6256"/>
        <w:sz w:val="18"/>
      </w:rPr>
      <w:fldChar w:fldCharType="separate"/>
    </w:r>
    <w:r w:rsidR="008B76A3">
      <w:rPr>
        <w:noProof/>
        <w:color w:val="6B6256"/>
        <w:sz w:val="18"/>
      </w:rPr>
      <w:t>278</w:t>
    </w:r>
    <w:r>
      <w:rPr>
        <w:sz w:val="18"/>
      </w:rPr>
      <w:fldChar w:fldCharType="end"/>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8D968" w14:textId="7ED72D21" w:rsidR="005A5FCC" w:rsidRDefault="00A21C81">
    <w:pPr>
      <w:pStyle w:val="Rodap"/>
      <w:jc w:val="left"/>
    </w:pPr>
    <w:r>
      <w:rPr>
        <w:color w:val="6B6256"/>
        <w:sz w:val="18"/>
      </w:rPr>
      <w:fldChar w:fldCharType="begin"/>
    </w:r>
    <w:r>
      <w:rPr>
        <w:color w:val="6B6256"/>
        <w:sz w:val="18"/>
      </w:rPr>
      <w:instrText xml:space="preserve"> PAGE </w:instrText>
    </w:r>
    <w:r>
      <w:rPr>
        <w:color w:val="6B6256"/>
        <w:sz w:val="18"/>
      </w:rPr>
      <w:fldChar w:fldCharType="separate"/>
    </w:r>
    <w:r w:rsidR="008B76A3">
      <w:rPr>
        <w:noProof/>
        <w:color w:val="6B6256"/>
        <w:sz w:val="18"/>
      </w:rPr>
      <w:t>320</w:t>
    </w:r>
    <w:r>
      <w:rPr>
        <w:sz w:val="18"/>
      </w:rPr>
      <w:fldChar w:fldCharType="end"/>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7418F" w14:textId="092DDE6E" w:rsidR="005A5FCC" w:rsidRDefault="00A21C81">
    <w:pPr>
      <w:pStyle w:val="Rodap"/>
      <w:jc w:val="right"/>
    </w:pPr>
    <w:r>
      <w:rPr>
        <w:color w:val="6B6256"/>
        <w:sz w:val="18"/>
      </w:rPr>
      <w:fldChar w:fldCharType="begin"/>
    </w:r>
    <w:r>
      <w:rPr>
        <w:color w:val="6B6256"/>
        <w:sz w:val="18"/>
      </w:rPr>
      <w:instrText xml:space="preserve"> PAGE </w:instrText>
    </w:r>
    <w:r>
      <w:rPr>
        <w:color w:val="6B6256"/>
        <w:sz w:val="18"/>
      </w:rPr>
      <w:fldChar w:fldCharType="separate"/>
    </w:r>
    <w:r w:rsidR="008B76A3">
      <w:rPr>
        <w:noProof/>
        <w:color w:val="6B6256"/>
        <w:sz w:val="18"/>
      </w:rPr>
      <w:t>319</w:t>
    </w:r>
    <w:r>
      <w:rPr>
        <w:sz w:val="18"/>
      </w:rPr>
      <w:fldChar w:fldCharType="end"/>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DF957" w14:textId="3EC4F70A" w:rsidR="005A5FCC" w:rsidRDefault="00A21C81">
    <w:pPr>
      <w:pStyle w:val="Rodap"/>
      <w:jc w:val="center"/>
    </w:pPr>
    <w:r>
      <w:rPr>
        <w:color w:val="6B6256"/>
        <w:sz w:val="18"/>
      </w:rPr>
      <w:fldChar w:fldCharType="begin"/>
    </w:r>
    <w:r>
      <w:rPr>
        <w:color w:val="6B6256"/>
        <w:sz w:val="18"/>
      </w:rPr>
      <w:instrText xml:space="preserve"> PAGE </w:instrText>
    </w:r>
    <w:r>
      <w:rPr>
        <w:color w:val="6B6256"/>
        <w:sz w:val="18"/>
      </w:rPr>
      <w:fldChar w:fldCharType="separate"/>
    </w:r>
    <w:r w:rsidR="008B76A3">
      <w:rPr>
        <w:noProof/>
        <w:color w:val="6B6256"/>
        <w:sz w:val="18"/>
      </w:rPr>
      <w:t>318</w:t>
    </w:r>
    <w:r>
      <w:rPr>
        <w:sz w:val="18"/>
      </w:rPr>
      <w:fldChar w:fldCharType="end"/>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9EA88" w14:textId="77777777" w:rsidR="005A5FCC" w:rsidRDefault="00A21C81">
    <w:pPr>
      <w:pStyle w:val="Rodap"/>
      <w:jc w:val="left"/>
    </w:pPr>
    <w:r>
      <w:rPr>
        <w:color w:val="6B6256"/>
        <w:sz w:val="18"/>
      </w:rPr>
      <w:fldChar w:fldCharType="begin"/>
    </w:r>
    <w:r>
      <w:rPr>
        <w:color w:val="6B6256"/>
        <w:sz w:val="18"/>
      </w:rPr>
      <w:instrText xml:space="preserve"> PAGE </w:instrText>
    </w:r>
    <w:r>
      <w:rPr>
        <w:sz w:val="18"/>
      </w:rPr>
      <w:fldChar w:fldCharType="end"/>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4C1EF" w14:textId="77777777" w:rsidR="005A5FCC" w:rsidRDefault="00A21C81">
    <w:pPr>
      <w:pStyle w:val="Rodap"/>
      <w:jc w:val="right"/>
    </w:pPr>
    <w:r>
      <w:rPr>
        <w:color w:val="6B6256"/>
        <w:sz w:val="18"/>
      </w:rPr>
      <w:fldChar w:fldCharType="begin"/>
    </w:r>
    <w:r>
      <w:rPr>
        <w:color w:val="6B6256"/>
        <w:sz w:val="18"/>
      </w:rPr>
      <w:instrText xml:space="preserve"> PAGE </w:instrText>
    </w:r>
    <w:r>
      <w:rPr>
        <w:sz w:val="18"/>
      </w:rPr>
      <w:fldChar w:fldCharType="end"/>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358F3" w14:textId="21AD5D2B" w:rsidR="005A5FCC" w:rsidRDefault="00A21C81">
    <w:pPr>
      <w:pStyle w:val="Rodap"/>
      <w:jc w:val="center"/>
    </w:pPr>
    <w:r>
      <w:rPr>
        <w:color w:val="6B6256"/>
        <w:sz w:val="18"/>
      </w:rPr>
      <w:fldChar w:fldCharType="begin"/>
    </w:r>
    <w:r>
      <w:rPr>
        <w:color w:val="6B6256"/>
        <w:sz w:val="18"/>
      </w:rPr>
      <w:instrText xml:space="preserve"> PAGE </w:instrText>
    </w:r>
    <w:r>
      <w:rPr>
        <w:color w:val="6B6256"/>
        <w:sz w:val="18"/>
      </w:rPr>
      <w:fldChar w:fldCharType="separate"/>
    </w:r>
    <w:r w:rsidR="008B76A3">
      <w:rPr>
        <w:noProof/>
        <w:color w:val="6B6256"/>
        <w:sz w:val="18"/>
      </w:rPr>
      <w:t>359</w:t>
    </w:r>
    <w:r>
      <w:rPr>
        <w:sz w:val="18"/>
      </w:rPr>
      <w:fldChar w:fldCharType="end"/>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1BEBC" w14:textId="4E69A8D0" w:rsidR="005A5FCC" w:rsidRDefault="00A21C81">
    <w:pPr>
      <w:pStyle w:val="Rodap"/>
      <w:jc w:val="left"/>
    </w:pPr>
    <w:r>
      <w:rPr>
        <w:color w:val="6B6256"/>
        <w:sz w:val="18"/>
      </w:rPr>
      <w:fldChar w:fldCharType="begin"/>
    </w:r>
    <w:r>
      <w:rPr>
        <w:color w:val="6B6256"/>
        <w:sz w:val="18"/>
      </w:rPr>
      <w:instrText xml:space="preserve"> PAGE </w:instrText>
    </w:r>
    <w:r>
      <w:rPr>
        <w:color w:val="6B6256"/>
        <w:sz w:val="18"/>
      </w:rPr>
      <w:fldChar w:fldCharType="separate"/>
    </w:r>
    <w:r w:rsidR="008B76A3">
      <w:rPr>
        <w:noProof/>
        <w:color w:val="6B6256"/>
        <w:sz w:val="18"/>
      </w:rPr>
      <w:t>362</w:t>
    </w:r>
    <w:r>
      <w:rPr>
        <w:sz w:val="18"/>
      </w:rPr>
      <w:fldChar w:fldCharType="end"/>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580DA" w14:textId="2B7E6481" w:rsidR="005A5FCC" w:rsidRDefault="00A21C81">
    <w:pPr>
      <w:pStyle w:val="Rodap"/>
      <w:jc w:val="right"/>
    </w:pPr>
    <w:r>
      <w:rPr>
        <w:color w:val="6B6256"/>
        <w:sz w:val="18"/>
      </w:rPr>
      <w:fldChar w:fldCharType="begin"/>
    </w:r>
    <w:r>
      <w:rPr>
        <w:color w:val="6B6256"/>
        <w:sz w:val="18"/>
      </w:rPr>
      <w:instrText xml:space="preserve"> PAGE </w:instrText>
    </w:r>
    <w:r>
      <w:rPr>
        <w:color w:val="6B6256"/>
        <w:sz w:val="18"/>
      </w:rPr>
      <w:fldChar w:fldCharType="separate"/>
    </w:r>
    <w:r w:rsidR="008B76A3">
      <w:rPr>
        <w:noProof/>
        <w:color w:val="6B6256"/>
        <w:sz w:val="18"/>
      </w:rPr>
      <w:t>361</w:t>
    </w:r>
    <w:r>
      <w:rPr>
        <w:sz w:val="18"/>
      </w:rPr>
      <w:fldChar w:fldCharType="end"/>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5EC81" w14:textId="1E68F74B" w:rsidR="005A5FCC" w:rsidRDefault="00A21C81">
    <w:pPr>
      <w:pStyle w:val="Rodap"/>
      <w:jc w:val="center"/>
    </w:pPr>
    <w:r>
      <w:rPr>
        <w:color w:val="6B6256"/>
        <w:sz w:val="18"/>
      </w:rPr>
      <w:fldChar w:fldCharType="begin"/>
    </w:r>
    <w:r>
      <w:rPr>
        <w:color w:val="6B6256"/>
        <w:sz w:val="18"/>
      </w:rPr>
      <w:instrText xml:space="preserve"> PAGE </w:instrText>
    </w:r>
    <w:r>
      <w:rPr>
        <w:color w:val="6B6256"/>
        <w:sz w:val="18"/>
      </w:rPr>
      <w:fldChar w:fldCharType="separate"/>
    </w:r>
    <w:r w:rsidR="008B76A3">
      <w:rPr>
        <w:noProof/>
        <w:color w:val="6B6256"/>
        <w:sz w:val="18"/>
      </w:rPr>
      <w:t>360</w:t>
    </w:r>
    <w:r>
      <w:rPr>
        <w:sz w:val="18"/>
      </w:rPr>
      <w:fldChar w:fldCharType="end"/>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D004B" w14:textId="3FCD9182" w:rsidR="005A5FCC" w:rsidRDefault="00A21C81">
    <w:pPr>
      <w:pStyle w:val="Rodap"/>
      <w:jc w:val="left"/>
    </w:pPr>
    <w:r>
      <w:rPr>
        <w:color w:val="6B6256"/>
        <w:sz w:val="18"/>
      </w:rPr>
      <w:fldChar w:fldCharType="begin"/>
    </w:r>
    <w:r>
      <w:rPr>
        <w:color w:val="6B6256"/>
        <w:sz w:val="18"/>
      </w:rPr>
      <w:instrText xml:space="preserve"> PAGE </w:instrText>
    </w:r>
    <w:r>
      <w:rPr>
        <w:color w:val="6B6256"/>
        <w:sz w:val="18"/>
      </w:rPr>
      <w:fldChar w:fldCharType="separate"/>
    </w:r>
    <w:r w:rsidR="008B76A3">
      <w:rPr>
        <w:noProof/>
        <w:color w:val="6B6256"/>
        <w:sz w:val="18"/>
      </w:rPr>
      <w:t>410</w:t>
    </w:r>
    <w:r>
      <w:rPr>
        <w:sz w:val="18"/>
      </w:rPr>
      <w:fldChar w:fldCharType="end"/>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AD9EA" w14:textId="4EA0AF2F" w:rsidR="005A5FCC" w:rsidRDefault="00A21C81">
    <w:pPr>
      <w:pStyle w:val="Rodap"/>
      <w:jc w:val="right"/>
    </w:pPr>
    <w:r>
      <w:rPr>
        <w:color w:val="6B6256"/>
        <w:sz w:val="18"/>
      </w:rPr>
      <w:fldChar w:fldCharType="begin"/>
    </w:r>
    <w:r>
      <w:rPr>
        <w:color w:val="6B6256"/>
        <w:sz w:val="18"/>
      </w:rPr>
      <w:instrText xml:space="preserve"> PAGE </w:instrText>
    </w:r>
    <w:r>
      <w:rPr>
        <w:color w:val="6B6256"/>
        <w:sz w:val="18"/>
      </w:rPr>
      <w:fldChar w:fldCharType="separate"/>
    </w:r>
    <w:r w:rsidR="008B76A3">
      <w:rPr>
        <w:noProof/>
        <w:color w:val="6B6256"/>
        <w:sz w:val="18"/>
      </w:rPr>
      <w:t>411</w:t>
    </w:r>
    <w:r>
      <w:rPr>
        <w:sz w:val="18"/>
      </w:rPr>
      <w:fldChar w:fldCharType="end"/>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813DC" w14:textId="6D6D533C" w:rsidR="005A5FCC" w:rsidRDefault="00A21C81">
    <w:pPr>
      <w:pStyle w:val="Rodap"/>
      <w:jc w:val="center"/>
    </w:pPr>
    <w:r>
      <w:rPr>
        <w:color w:val="6B6256"/>
        <w:sz w:val="18"/>
      </w:rPr>
      <w:fldChar w:fldCharType="begin"/>
    </w:r>
    <w:r>
      <w:rPr>
        <w:color w:val="6B6256"/>
        <w:sz w:val="18"/>
      </w:rPr>
      <w:instrText xml:space="preserve"> PAGE </w:instrText>
    </w:r>
    <w:r>
      <w:rPr>
        <w:color w:val="6B6256"/>
        <w:sz w:val="18"/>
      </w:rPr>
      <w:fldChar w:fldCharType="separate"/>
    </w:r>
    <w:r w:rsidR="008B76A3">
      <w:rPr>
        <w:noProof/>
        <w:color w:val="6B6256"/>
        <w:sz w:val="18"/>
      </w:rPr>
      <w:t>409</w:t>
    </w:r>
    <w:r>
      <w:rPr>
        <w:sz w:val="18"/>
      </w:rPr>
      <w:fldChar w:fldCharType="end"/>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8A099" w14:textId="63F7DD79" w:rsidR="005A5FCC" w:rsidRDefault="00A21C81">
    <w:pPr>
      <w:pStyle w:val="Rodap"/>
      <w:jc w:val="left"/>
    </w:pPr>
    <w:r>
      <w:rPr>
        <w:color w:val="6B6256"/>
        <w:sz w:val="18"/>
      </w:rPr>
      <w:fldChar w:fldCharType="begin"/>
    </w:r>
    <w:r>
      <w:rPr>
        <w:color w:val="6B6256"/>
        <w:sz w:val="18"/>
      </w:rPr>
      <w:instrText xml:space="preserve"> PAGE </w:instrText>
    </w:r>
    <w:r>
      <w:rPr>
        <w:color w:val="6B6256"/>
        <w:sz w:val="18"/>
      </w:rPr>
      <w:fldChar w:fldCharType="separate"/>
    </w:r>
    <w:r w:rsidR="008B76A3">
      <w:rPr>
        <w:noProof/>
        <w:color w:val="6B6256"/>
        <w:sz w:val="18"/>
      </w:rPr>
      <w:t>464</w:t>
    </w:r>
    <w:r>
      <w:rPr>
        <w:sz w:val="18"/>
      </w:rPr>
      <w:fldChar w:fldCharType="end"/>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37065" w14:textId="7011D9A5" w:rsidR="005A5FCC" w:rsidRDefault="00A21C81">
    <w:pPr>
      <w:pStyle w:val="Rodap"/>
      <w:jc w:val="right"/>
    </w:pPr>
    <w:r>
      <w:rPr>
        <w:color w:val="6B6256"/>
        <w:sz w:val="18"/>
      </w:rPr>
      <w:fldChar w:fldCharType="begin"/>
    </w:r>
    <w:r>
      <w:rPr>
        <w:color w:val="6B6256"/>
        <w:sz w:val="18"/>
      </w:rPr>
      <w:instrText xml:space="preserve"> PAGE </w:instrText>
    </w:r>
    <w:r>
      <w:rPr>
        <w:color w:val="6B6256"/>
        <w:sz w:val="18"/>
      </w:rPr>
      <w:fldChar w:fldCharType="separate"/>
    </w:r>
    <w:r w:rsidR="008B76A3">
      <w:rPr>
        <w:noProof/>
        <w:color w:val="6B6256"/>
        <w:sz w:val="18"/>
      </w:rPr>
      <w:t>465</w:t>
    </w:r>
    <w:r>
      <w:rPr>
        <w:sz w:val="18"/>
      </w:rPr>
      <w:fldChar w:fldCharType="end"/>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474D7" w14:textId="526A8B84" w:rsidR="005A5FCC" w:rsidRDefault="00A21C81">
    <w:pPr>
      <w:pStyle w:val="Rodap"/>
      <w:jc w:val="center"/>
    </w:pPr>
    <w:r>
      <w:rPr>
        <w:color w:val="6B6256"/>
        <w:sz w:val="18"/>
      </w:rPr>
      <w:fldChar w:fldCharType="begin"/>
    </w:r>
    <w:r>
      <w:rPr>
        <w:color w:val="6B6256"/>
        <w:sz w:val="18"/>
      </w:rPr>
      <w:instrText xml:space="preserve"> PAGE </w:instrText>
    </w:r>
    <w:r>
      <w:rPr>
        <w:color w:val="6B6256"/>
        <w:sz w:val="18"/>
      </w:rPr>
      <w:fldChar w:fldCharType="separate"/>
    </w:r>
    <w:r w:rsidR="008B76A3">
      <w:rPr>
        <w:noProof/>
        <w:color w:val="6B6256"/>
        <w:sz w:val="18"/>
      </w:rPr>
      <w:t>463</w:t>
    </w:r>
    <w:r>
      <w:rPr>
        <w:sz w:val="18"/>
      </w:rPr>
      <w:fldChar w:fldCharType="end"/>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8CC2E" w14:textId="6D5B2829" w:rsidR="005A5FCC" w:rsidRDefault="00A21C81">
    <w:pPr>
      <w:pStyle w:val="Rodap"/>
      <w:jc w:val="left"/>
    </w:pPr>
    <w:r>
      <w:rPr>
        <w:color w:val="6B6256"/>
        <w:sz w:val="18"/>
      </w:rPr>
      <w:fldChar w:fldCharType="begin"/>
    </w:r>
    <w:r>
      <w:rPr>
        <w:color w:val="6B6256"/>
        <w:sz w:val="18"/>
      </w:rPr>
      <w:instrText xml:space="preserve"> PAGE </w:instrText>
    </w:r>
    <w:r>
      <w:rPr>
        <w:color w:val="6B6256"/>
        <w:sz w:val="18"/>
      </w:rPr>
      <w:fldChar w:fldCharType="separate"/>
    </w:r>
    <w:r w:rsidR="008B76A3">
      <w:rPr>
        <w:noProof/>
        <w:color w:val="6B6256"/>
        <w:sz w:val="18"/>
      </w:rPr>
      <w:t>526</w:t>
    </w:r>
    <w:r>
      <w:rPr>
        <w:sz w:val="18"/>
      </w:rPr>
      <w:fldChar w:fldCharType="end"/>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3D12B" w14:textId="64040EB7" w:rsidR="005A5FCC" w:rsidRDefault="00A21C81">
    <w:pPr>
      <w:pStyle w:val="Rodap"/>
      <w:jc w:val="right"/>
    </w:pPr>
    <w:r>
      <w:rPr>
        <w:color w:val="6B6256"/>
        <w:sz w:val="18"/>
      </w:rPr>
      <w:fldChar w:fldCharType="begin"/>
    </w:r>
    <w:r>
      <w:rPr>
        <w:color w:val="6B6256"/>
        <w:sz w:val="18"/>
      </w:rPr>
      <w:instrText xml:space="preserve"> PAGE </w:instrText>
    </w:r>
    <w:r>
      <w:rPr>
        <w:color w:val="6B6256"/>
        <w:sz w:val="18"/>
      </w:rPr>
      <w:fldChar w:fldCharType="separate"/>
    </w:r>
    <w:r w:rsidR="008B76A3">
      <w:rPr>
        <w:noProof/>
        <w:color w:val="6B6256"/>
        <w:sz w:val="18"/>
      </w:rPr>
      <w:t>525</w:t>
    </w:r>
    <w:r>
      <w:rPr>
        <w:sz w:val="18"/>
      </w:rPr>
      <w:fldChar w:fldCharType="end"/>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A8728" w14:textId="235EF2FB" w:rsidR="005A5FCC" w:rsidRDefault="00A21C81">
    <w:pPr>
      <w:pStyle w:val="Rodap"/>
      <w:jc w:val="center"/>
    </w:pPr>
    <w:r>
      <w:rPr>
        <w:color w:val="6B6256"/>
        <w:sz w:val="18"/>
      </w:rPr>
      <w:fldChar w:fldCharType="begin"/>
    </w:r>
    <w:r>
      <w:rPr>
        <w:color w:val="6B6256"/>
        <w:sz w:val="18"/>
      </w:rPr>
      <w:instrText xml:space="preserve"> PAGE </w:instrText>
    </w:r>
    <w:r>
      <w:rPr>
        <w:color w:val="6B6256"/>
        <w:sz w:val="18"/>
      </w:rPr>
      <w:fldChar w:fldCharType="separate"/>
    </w:r>
    <w:r w:rsidR="008B76A3">
      <w:rPr>
        <w:noProof/>
        <w:color w:val="6B6256"/>
        <w:sz w:val="18"/>
      </w:rPr>
      <w:t>524</w:t>
    </w:r>
    <w:r>
      <w:rPr>
        <w:sz w:val="18"/>
      </w:rPr>
      <w:fldChar w:fldCharType="end"/>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B87C6" w14:textId="67BC4E2A" w:rsidR="005A5FCC" w:rsidRDefault="00A21C81">
    <w:pPr>
      <w:pStyle w:val="Rodap"/>
      <w:jc w:val="left"/>
    </w:pPr>
    <w:r>
      <w:rPr>
        <w:color w:val="6B6256"/>
        <w:sz w:val="18"/>
      </w:rPr>
      <w:fldChar w:fldCharType="begin"/>
    </w:r>
    <w:r>
      <w:rPr>
        <w:color w:val="6B6256"/>
        <w:sz w:val="18"/>
      </w:rPr>
      <w:instrText xml:space="preserve"> PAGE </w:instrText>
    </w:r>
    <w:r>
      <w:rPr>
        <w:color w:val="6B6256"/>
        <w:sz w:val="18"/>
      </w:rPr>
      <w:fldChar w:fldCharType="separate"/>
    </w:r>
    <w:r w:rsidR="008B76A3">
      <w:rPr>
        <w:noProof/>
        <w:color w:val="6B6256"/>
        <w:sz w:val="18"/>
      </w:rPr>
      <w:t>592</w:t>
    </w:r>
    <w:r>
      <w:rPr>
        <w:sz w:val="18"/>
      </w:rPr>
      <w:fldChar w:fldCharType="end"/>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09CEA" w14:textId="78C33CC3" w:rsidR="005A5FCC" w:rsidRDefault="00A21C81">
    <w:pPr>
      <w:pStyle w:val="Rodap"/>
      <w:jc w:val="right"/>
    </w:pPr>
    <w:r>
      <w:rPr>
        <w:color w:val="6B6256"/>
        <w:sz w:val="18"/>
      </w:rPr>
      <w:fldChar w:fldCharType="begin"/>
    </w:r>
    <w:r>
      <w:rPr>
        <w:color w:val="6B6256"/>
        <w:sz w:val="18"/>
      </w:rPr>
      <w:instrText xml:space="preserve"> PAGE </w:instrText>
    </w:r>
    <w:r>
      <w:rPr>
        <w:color w:val="6B6256"/>
        <w:sz w:val="18"/>
      </w:rPr>
      <w:fldChar w:fldCharType="separate"/>
    </w:r>
    <w:r w:rsidR="008B76A3">
      <w:rPr>
        <w:noProof/>
        <w:color w:val="6B6256"/>
        <w:sz w:val="18"/>
      </w:rPr>
      <w:t>593</w:t>
    </w:r>
    <w:r>
      <w:rPr>
        <w:sz w:val="18"/>
      </w:rPr>
      <w:fldChar w:fldCharType="end"/>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4570B" w14:textId="4991EA59" w:rsidR="005A5FCC" w:rsidRDefault="00A21C81">
    <w:pPr>
      <w:pStyle w:val="Rodap"/>
      <w:jc w:val="center"/>
    </w:pPr>
    <w:r>
      <w:rPr>
        <w:color w:val="6B6256"/>
        <w:sz w:val="18"/>
      </w:rPr>
      <w:fldChar w:fldCharType="begin"/>
    </w:r>
    <w:r>
      <w:rPr>
        <w:color w:val="6B6256"/>
        <w:sz w:val="18"/>
      </w:rPr>
      <w:instrText xml:space="preserve"> PAGE </w:instrText>
    </w:r>
    <w:r>
      <w:rPr>
        <w:color w:val="6B6256"/>
        <w:sz w:val="18"/>
      </w:rPr>
      <w:fldChar w:fldCharType="separate"/>
    </w:r>
    <w:r w:rsidR="008B76A3">
      <w:rPr>
        <w:noProof/>
        <w:color w:val="6B6256"/>
        <w:sz w:val="18"/>
      </w:rPr>
      <w:t>591</w:t>
    </w:r>
    <w:r>
      <w:rPr>
        <w:sz w:val="18"/>
      </w:rPr>
      <w:fldChar w:fldCharType="end"/>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BE709" w14:textId="77777777" w:rsidR="005A5FCC" w:rsidRDefault="00A21C81">
    <w:pPr>
      <w:pStyle w:val="Rodap"/>
      <w:jc w:val="left"/>
    </w:pPr>
    <w:r>
      <w:rPr>
        <w:color w:val="6B6256"/>
        <w:sz w:val="18"/>
      </w:rPr>
      <w:fldChar w:fldCharType="begin"/>
    </w:r>
    <w:r>
      <w:rPr>
        <w:color w:val="6B6256"/>
        <w:sz w:val="18"/>
      </w:rPr>
      <w:instrText xml:space="preserve"> PAGE </w:instrText>
    </w:r>
    <w:r>
      <w:rPr>
        <w:sz w:val="18"/>
      </w:rPr>
      <w:fldChar w:fldCharType="end"/>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41AE2" w14:textId="77777777" w:rsidR="005A5FCC" w:rsidRDefault="00A21C81">
    <w:pPr>
      <w:pStyle w:val="Rodap"/>
      <w:jc w:val="right"/>
    </w:pPr>
    <w:r>
      <w:rPr>
        <w:color w:val="6B6256"/>
        <w:sz w:val="18"/>
      </w:rPr>
      <w:fldChar w:fldCharType="begin"/>
    </w:r>
    <w:r>
      <w:rPr>
        <w:color w:val="6B6256"/>
        <w:sz w:val="18"/>
      </w:rPr>
      <w:instrText xml:space="preserve"> PAGE </w:instrText>
    </w:r>
    <w:r>
      <w:rPr>
        <w:sz w:val="18"/>
      </w:rPr>
      <w:fldChar w:fldCharType="end"/>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615BD" w14:textId="35093D38" w:rsidR="005A5FCC" w:rsidRDefault="00A21C81">
    <w:pPr>
      <w:pStyle w:val="Rodap"/>
      <w:jc w:val="center"/>
    </w:pPr>
    <w:r>
      <w:rPr>
        <w:color w:val="6B6256"/>
        <w:sz w:val="18"/>
      </w:rPr>
      <w:fldChar w:fldCharType="begin"/>
    </w:r>
    <w:r>
      <w:rPr>
        <w:color w:val="6B6256"/>
        <w:sz w:val="18"/>
      </w:rPr>
      <w:instrText xml:space="preserve"> PAGE </w:instrText>
    </w:r>
    <w:r>
      <w:rPr>
        <w:color w:val="6B6256"/>
        <w:sz w:val="18"/>
      </w:rPr>
      <w:fldChar w:fldCharType="separate"/>
    </w:r>
    <w:r w:rsidR="00D64334">
      <w:rPr>
        <w:noProof/>
        <w:color w:val="6B6256"/>
        <w:sz w:val="18"/>
      </w:rPr>
      <w:t>662</w:t>
    </w:r>
    <w:r>
      <w:rPr>
        <w:sz w:val="18"/>
      </w:rPr>
      <w:fldChar w:fldCharType="end"/>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3151B" w14:textId="472F7D05" w:rsidR="005A5FCC" w:rsidRDefault="00A21C81">
    <w:pPr>
      <w:pStyle w:val="Rodap"/>
      <w:jc w:val="left"/>
    </w:pPr>
    <w:r>
      <w:rPr>
        <w:color w:val="6B6256"/>
        <w:sz w:val="18"/>
      </w:rPr>
      <w:fldChar w:fldCharType="begin"/>
    </w:r>
    <w:r>
      <w:rPr>
        <w:color w:val="6B6256"/>
        <w:sz w:val="18"/>
      </w:rPr>
      <w:instrText xml:space="preserve"> PAGE </w:instrText>
    </w:r>
    <w:r>
      <w:rPr>
        <w:color w:val="6B6256"/>
        <w:sz w:val="18"/>
      </w:rPr>
      <w:fldChar w:fldCharType="separate"/>
    </w:r>
    <w:r w:rsidR="00D64334">
      <w:rPr>
        <w:noProof/>
        <w:color w:val="6B6256"/>
        <w:sz w:val="18"/>
      </w:rPr>
      <w:t>666</w:t>
    </w:r>
    <w:r>
      <w:rPr>
        <w:sz w:val="18"/>
      </w:rPr>
      <w:fldChar w:fldCharType="end"/>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C0CC4" w14:textId="0FCA6818" w:rsidR="005A5FCC" w:rsidRDefault="00A21C81">
    <w:pPr>
      <w:pStyle w:val="Rodap"/>
      <w:jc w:val="right"/>
    </w:pPr>
    <w:r>
      <w:rPr>
        <w:color w:val="6B6256"/>
        <w:sz w:val="18"/>
      </w:rPr>
      <w:fldChar w:fldCharType="begin"/>
    </w:r>
    <w:r>
      <w:rPr>
        <w:color w:val="6B6256"/>
        <w:sz w:val="18"/>
      </w:rPr>
      <w:instrText xml:space="preserve"> PAGE </w:instrText>
    </w:r>
    <w:r>
      <w:rPr>
        <w:color w:val="6B6256"/>
        <w:sz w:val="18"/>
      </w:rPr>
      <w:fldChar w:fldCharType="separate"/>
    </w:r>
    <w:r w:rsidR="00D64334">
      <w:rPr>
        <w:noProof/>
        <w:color w:val="6B6256"/>
        <w:sz w:val="18"/>
      </w:rPr>
      <w:t>665</w:t>
    </w:r>
    <w:r>
      <w:rPr>
        <w:sz w:val="18"/>
      </w:rPr>
      <w:fldChar w:fldCharType="end"/>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AC355" w14:textId="108BBBCB" w:rsidR="005A5FCC" w:rsidRDefault="00A21C81">
    <w:pPr>
      <w:pStyle w:val="Rodap"/>
      <w:jc w:val="center"/>
    </w:pPr>
    <w:r>
      <w:rPr>
        <w:color w:val="6B6256"/>
        <w:sz w:val="18"/>
      </w:rPr>
      <w:fldChar w:fldCharType="begin"/>
    </w:r>
    <w:r>
      <w:rPr>
        <w:color w:val="6B6256"/>
        <w:sz w:val="18"/>
      </w:rPr>
      <w:instrText xml:space="preserve"> PAGE </w:instrText>
    </w:r>
    <w:r>
      <w:rPr>
        <w:color w:val="6B6256"/>
        <w:sz w:val="18"/>
      </w:rPr>
      <w:fldChar w:fldCharType="separate"/>
    </w:r>
    <w:r w:rsidR="00D64334">
      <w:rPr>
        <w:noProof/>
        <w:color w:val="6B6256"/>
        <w:sz w:val="18"/>
      </w:rPr>
      <w:t>664</w:t>
    </w:r>
    <w:r>
      <w:rPr>
        <w:sz w:val="18"/>
      </w:rPr>
      <w:fldChar w:fldCharType="end"/>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C1F4F" w14:textId="417C4DF8" w:rsidR="005A5FCC" w:rsidRDefault="00A21C81">
    <w:pPr>
      <w:pStyle w:val="Rodap"/>
      <w:jc w:val="left"/>
    </w:pPr>
    <w:r>
      <w:rPr>
        <w:color w:val="6B6256"/>
        <w:sz w:val="18"/>
      </w:rPr>
      <w:fldChar w:fldCharType="begin"/>
    </w:r>
    <w:r>
      <w:rPr>
        <w:color w:val="6B6256"/>
        <w:sz w:val="18"/>
      </w:rPr>
      <w:instrText xml:space="preserve"> PAGE </w:instrText>
    </w:r>
    <w:r>
      <w:rPr>
        <w:color w:val="6B6256"/>
        <w:sz w:val="18"/>
      </w:rPr>
      <w:fldChar w:fldCharType="separate"/>
    </w:r>
    <w:r w:rsidR="00D64334">
      <w:rPr>
        <w:noProof/>
        <w:color w:val="6B6256"/>
        <w:sz w:val="18"/>
      </w:rPr>
      <w:t>722</w:t>
    </w:r>
    <w:r>
      <w:rPr>
        <w:sz w:val="18"/>
      </w:rPr>
      <w:fldChar w:fldCharType="end"/>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5C17C" w14:textId="524AD0F0" w:rsidR="005A5FCC" w:rsidRDefault="00A21C81">
    <w:pPr>
      <w:pStyle w:val="Rodap"/>
      <w:jc w:val="right"/>
    </w:pPr>
    <w:r>
      <w:rPr>
        <w:color w:val="6B6256"/>
        <w:sz w:val="18"/>
      </w:rPr>
      <w:fldChar w:fldCharType="begin"/>
    </w:r>
    <w:r>
      <w:rPr>
        <w:color w:val="6B6256"/>
        <w:sz w:val="18"/>
      </w:rPr>
      <w:instrText xml:space="preserve"> PAGE </w:instrText>
    </w:r>
    <w:r>
      <w:rPr>
        <w:color w:val="6B6256"/>
        <w:sz w:val="18"/>
      </w:rPr>
      <w:fldChar w:fldCharType="separate"/>
    </w:r>
    <w:r w:rsidR="00D64334">
      <w:rPr>
        <w:noProof/>
        <w:color w:val="6B6256"/>
        <w:sz w:val="18"/>
      </w:rPr>
      <w:t>721</w:t>
    </w:r>
    <w:r>
      <w:rPr>
        <w:sz w:val="18"/>
      </w:rPr>
      <w:fldChar w:fldCharType="end"/>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D7EAD" w14:textId="2828722F" w:rsidR="005A5FCC" w:rsidRDefault="00A21C81">
    <w:pPr>
      <w:pStyle w:val="Rodap"/>
      <w:jc w:val="center"/>
    </w:pPr>
    <w:r>
      <w:rPr>
        <w:color w:val="6B6256"/>
        <w:sz w:val="18"/>
      </w:rPr>
      <w:fldChar w:fldCharType="begin"/>
    </w:r>
    <w:r>
      <w:rPr>
        <w:color w:val="6B6256"/>
        <w:sz w:val="18"/>
      </w:rPr>
      <w:instrText xml:space="preserve"> PAGE </w:instrText>
    </w:r>
    <w:r>
      <w:rPr>
        <w:color w:val="6B6256"/>
        <w:sz w:val="18"/>
      </w:rPr>
      <w:fldChar w:fldCharType="separate"/>
    </w:r>
    <w:r w:rsidR="00D64334">
      <w:rPr>
        <w:noProof/>
        <w:color w:val="6B6256"/>
        <w:sz w:val="18"/>
      </w:rPr>
      <w:t>720</w:t>
    </w:r>
    <w:r>
      <w:rPr>
        <w:sz w:val="18"/>
      </w:rPr>
      <w:fldChar w:fldCharType="end"/>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6B865" w14:textId="749E7121" w:rsidR="005A5FCC" w:rsidRDefault="00A21C81">
    <w:pPr>
      <w:pStyle w:val="Rodap"/>
      <w:jc w:val="left"/>
    </w:pPr>
    <w:r>
      <w:rPr>
        <w:color w:val="6B6256"/>
        <w:sz w:val="18"/>
      </w:rPr>
      <w:fldChar w:fldCharType="begin"/>
    </w:r>
    <w:r>
      <w:rPr>
        <w:color w:val="6B6256"/>
        <w:sz w:val="18"/>
      </w:rPr>
      <w:instrText xml:space="preserve"> PAGE </w:instrText>
    </w:r>
    <w:r>
      <w:rPr>
        <w:color w:val="6B6256"/>
        <w:sz w:val="18"/>
      </w:rPr>
      <w:fldChar w:fldCharType="separate"/>
    </w:r>
    <w:r w:rsidR="00D64334">
      <w:rPr>
        <w:noProof/>
        <w:color w:val="6B6256"/>
        <w:sz w:val="18"/>
      </w:rPr>
      <w:t>786</w:t>
    </w:r>
    <w:r>
      <w:rPr>
        <w:sz w:val="18"/>
      </w:rPr>
      <w:fldChar w:fldCharType="end"/>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18F87" w14:textId="1D33070E" w:rsidR="005A5FCC" w:rsidRDefault="00A21C81">
    <w:pPr>
      <w:pStyle w:val="Rodap"/>
      <w:jc w:val="right"/>
    </w:pPr>
    <w:r>
      <w:rPr>
        <w:color w:val="6B6256"/>
        <w:sz w:val="18"/>
      </w:rPr>
      <w:fldChar w:fldCharType="begin"/>
    </w:r>
    <w:r>
      <w:rPr>
        <w:color w:val="6B6256"/>
        <w:sz w:val="18"/>
      </w:rPr>
      <w:instrText xml:space="preserve"> PAGE </w:instrText>
    </w:r>
    <w:r>
      <w:rPr>
        <w:color w:val="6B6256"/>
        <w:sz w:val="18"/>
      </w:rPr>
      <w:fldChar w:fldCharType="separate"/>
    </w:r>
    <w:r w:rsidR="00D64334">
      <w:rPr>
        <w:noProof/>
        <w:color w:val="6B6256"/>
        <w:sz w:val="18"/>
      </w:rPr>
      <w:t>785</w:t>
    </w:r>
    <w:r>
      <w:rPr>
        <w:sz w:val="18"/>
      </w:rPr>
      <w:fldChar w:fldCharType="end"/>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18FDD" w14:textId="08BE2B57" w:rsidR="005A5FCC" w:rsidRDefault="00A21C81">
    <w:pPr>
      <w:pStyle w:val="Rodap"/>
      <w:jc w:val="center"/>
    </w:pPr>
    <w:r>
      <w:rPr>
        <w:color w:val="6B6256"/>
        <w:sz w:val="18"/>
      </w:rPr>
      <w:fldChar w:fldCharType="begin"/>
    </w:r>
    <w:r>
      <w:rPr>
        <w:color w:val="6B6256"/>
        <w:sz w:val="18"/>
      </w:rPr>
      <w:instrText xml:space="preserve"> PAGE </w:instrText>
    </w:r>
    <w:r>
      <w:rPr>
        <w:color w:val="6B6256"/>
        <w:sz w:val="18"/>
      </w:rPr>
      <w:fldChar w:fldCharType="separate"/>
    </w:r>
    <w:r w:rsidR="00D64334">
      <w:rPr>
        <w:noProof/>
        <w:color w:val="6B6256"/>
        <w:sz w:val="18"/>
      </w:rPr>
      <w:t>784</w:t>
    </w:r>
    <w:r>
      <w:rPr>
        <w:sz w:val="18"/>
      </w:rPr>
      <w:fldChar w:fldCharType="end"/>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DB45A" w14:textId="719B9A05" w:rsidR="005A5FCC" w:rsidRDefault="00A21C81">
    <w:pPr>
      <w:pStyle w:val="Rodap"/>
      <w:jc w:val="left"/>
    </w:pPr>
    <w:r>
      <w:rPr>
        <w:color w:val="6B6256"/>
        <w:sz w:val="18"/>
      </w:rPr>
      <w:fldChar w:fldCharType="begin"/>
    </w:r>
    <w:r>
      <w:rPr>
        <w:color w:val="6B6256"/>
        <w:sz w:val="18"/>
      </w:rPr>
      <w:instrText xml:space="preserve"> PAGE </w:instrText>
    </w:r>
    <w:r>
      <w:rPr>
        <w:color w:val="6B6256"/>
        <w:sz w:val="18"/>
      </w:rPr>
      <w:fldChar w:fldCharType="separate"/>
    </w:r>
    <w:r w:rsidR="00D64334">
      <w:rPr>
        <w:noProof/>
        <w:color w:val="6B6256"/>
        <w:sz w:val="18"/>
      </w:rPr>
      <w:t>834</w:t>
    </w:r>
    <w:r>
      <w:rPr>
        <w:sz w:val="18"/>
      </w:rPr>
      <w:fldChar w:fldCharType="end"/>
    </w: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2453B" w14:textId="332C2F7A" w:rsidR="005A5FCC" w:rsidRDefault="00A21C81">
    <w:pPr>
      <w:pStyle w:val="Rodap"/>
      <w:jc w:val="right"/>
    </w:pPr>
    <w:r>
      <w:rPr>
        <w:color w:val="6B6256"/>
        <w:sz w:val="18"/>
      </w:rPr>
      <w:fldChar w:fldCharType="begin"/>
    </w:r>
    <w:r>
      <w:rPr>
        <w:color w:val="6B6256"/>
        <w:sz w:val="18"/>
      </w:rPr>
      <w:instrText xml:space="preserve"> PAGE </w:instrText>
    </w:r>
    <w:r>
      <w:rPr>
        <w:color w:val="6B6256"/>
        <w:sz w:val="18"/>
      </w:rPr>
      <w:fldChar w:fldCharType="separate"/>
    </w:r>
    <w:r w:rsidR="00D64334">
      <w:rPr>
        <w:noProof/>
        <w:color w:val="6B6256"/>
        <w:sz w:val="18"/>
      </w:rPr>
      <w:t>833</w:t>
    </w:r>
    <w:r>
      <w:rPr>
        <w:sz w:val="18"/>
      </w:rPr>
      <w:fldChar w:fldCharType="end"/>
    </w: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C7AF3" w14:textId="73AF08AA" w:rsidR="005A5FCC" w:rsidRDefault="00A21C81">
    <w:pPr>
      <w:pStyle w:val="Rodap"/>
      <w:jc w:val="center"/>
    </w:pPr>
    <w:r>
      <w:rPr>
        <w:color w:val="6B6256"/>
        <w:sz w:val="18"/>
      </w:rPr>
      <w:fldChar w:fldCharType="begin"/>
    </w:r>
    <w:r>
      <w:rPr>
        <w:color w:val="6B6256"/>
        <w:sz w:val="18"/>
      </w:rPr>
      <w:instrText xml:space="preserve"> PAGE </w:instrText>
    </w:r>
    <w:r>
      <w:rPr>
        <w:color w:val="6B6256"/>
        <w:sz w:val="18"/>
      </w:rPr>
      <w:fldChar w:fldCharType="separate"/>
    </w:r>
    <w:r w:rsidR="00D64334">
      <w:rPr>
        <w:noProof/>
        <w:color w:val="6B6256"/>
        <w:sz w:val="18"/>
      </w:rPr>
      <w:t>832</w:t>
    </w:r>
    <w:r>
      <w:rPr>
        <w:sz w:val="18"/>
      </w:rPr>
      <w:fldChar w:fldCharType="end"/>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B46EC" w14:textId="449C0477" w:rsidR="005A5FCC" w:rsidRDefault="00A21C81">
    <w:pPr>
      <w:pStyle w:val="Rodap"/>
      <w:jc w:val="left"/>
    </w:pPr>
    <w:r>
      <w:rPr>
        <w:color w:val="6B6256"/>
        <w:sz w:val="18"/>
      </w:rPr>
      <w:fldChar w:fldCharType="begin"/>
    </w:r>
    <w:r>
      <w:rPr>
        <w:color w:val="6B6256"/>
        <w:sz w:val="18"/>
      </w:rPr>
      <w:instrText xml:space="preserve"> PAGE </w:instrText>
    </w:r>
    <w:r>
      <w:rPr>
        <w:color w:val="6B6256"/>
        <w:sz w:val="18"/>
      </w:rPr>
      <w:fldChar w:fldCharType="separate"/>
    </w:r>
    <w:r w:rsidR="00D64334">
      <w:rPr>
        <w:noProof/>
        <w:color w:val="6B6256"/>
        <w:sz w:val="18"/>
      </w:rPr>
      <w:t>884</w:t>
    </w:r>
    <w:r>
      <w:rPr>
        <w:sz w:val="18"/>
      </w:rPr>
      <w:fldChar w:fldCharType="end"/>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3AEE7" w14:textId="0EA4C411" w:rsidR="005A5FCC" w:rsidRDefault="00A21C81">
    <w:pPr>
      <w:pStyle w:val="Rodap"/>
      <w:jc w:val="right"/>
    </w:pPr>
    <w:r>
      <w:rPr>
        <w:color w:val="6B6256"/>
        <w:sz w:val="18"/>
      </w:rPr>
      <w:fldChar w:fldCharType="begin"/>
    </w:r>
    <w:r>
      <w:rPr>
        <w:color w:val="6B6256"/>
        <w:sz w:val="18"/>
      </w:rPr>
      <w:instrText xml:space="preserve"> PAGE </w:instrText>
    </w:r>
    <w:r>
      <w:rPr>
        <w:color w:val="6B6256"/>
        <w:sz w:val="18"/>
      </w:rPr>
      <w:fldChar w:fldCharType="separate"/>
    </w:r>
    <w:r w:rsidR="00D64334">
      <w:rPr>
        <w:noProof/>
        <w:color w:val="6B6256"/>
        <w:sz w:val="18"/>
      </w:rPr>
      <w:t>885</w:t>
    </w:r>
    <w:r>
      <w:rPr>
        <w:sz w:val="18"/>
      </w:rPr>
      <w:fldChar w:fldCharType="end"/>
    </w: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1DED3" w14:textId="739559B2" w:rsidR="005A5FCC" w:rsidRDefault="00A21C81">
    <w:pPr>
      <w:pStyle w:val="Rodap"/>
      <w:jc w:val="center"/>
    </w:pPr>
    <w:r>
      <w:rPr>
        <w:color w:val="6B6256"/>
        <w:sz w:val="18"/>
      </w:rPr>
      <w:fldChar w:fldCharType="begin"/>
    </w:r>
    <w:r>
      <w:rPr>
        <w:color w:val="6B6256"/>
        <w:sz w:val="18"/>
      </w:rPr>
      <w:instrText xml:space="preserve"> PAGE </w:instrText>
    </w:r>
    <w:r>
      <w:rPr>
        <w:color w:val="6B6256"/>
        <w:sz w:val="18"/>
      </w:rPr>
      <w:fldChar w:fldCharType="separate"/>
    </w:r>
    <w:r w:rsidR="00D64334">
      <w:rPr>
        <w:noProof/>
        <w:color w:val="6B6256"/>
        <w:sz w:val="18"/>
      </w:rPr>
      <w:t>883</w:t>
    </w:r>
    <w:r>
      <w:rPr>
        <w:sz w:val="18"/>
      </w:rPr>
      <w:fldChar w:fldCharType="end"/>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C0D2D" w14:textId="1FEF851F" w:rsidR="005A5FCC" w:rsidRDefault="00A21C81">
    <w:pPr>
      <w:pStyle w:val="Rodap"/>
      <w:jc w:val="left"/>
    </w:pPr>
    <w:r>
      <w:rPr>
        <w:color w:val="6B6256"/>
        <w:sz w:val="18"/>
      </w:rPr>
      <w:fldChar w:fldCharType="begin"/>
    </w:r>
    <w:r>
      <w:rPr>
        <w:color w:val="6B6256"/>
        <w:sz w:val="18"/>
      </w:rPr>
      <w:instrText xml:space="preserve"> PAGE </w:instrText>
    </w:r>
    <w:r>
      <w:rPr>
        <w:color w:val="6B6256"/>
        <w:sz w:val="18"/>
      </w:rPr>
      <w:fldChar w:fldCharType="separate"/>
    </w:r>
    <w:r w:rsidR="00D64334">
      <w:rPr>
        <w:noProof/>
        <w:color w:val="6B6256"/>
        <w:sz w:val="18"/>
      </w:rPr>
      <w:t>932</w:t>
    </w:r>
    <w:r>
      <w:rPr>
        <w:sz w:val="18"/>
      </w:rPr>
      <w:fldChar w:fldCharType="end"/>
    </w: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56DB1" w14:textId="3B8E6CEC" w:rsidR="005A5FCC" w:rsidRDefault="00A21C81">
    <w:pPr>
      <w:pStyle w:val="Rodap"/>
      <w:jc w:val="right"/>
    </w:pPr>
    <w:r>
      <w:rPr>
        <w:color w:val="6B6256"/>
        <w:sz w:val="18"/>
      </w:rPr>
      <w:fldChar w:fldCharType="begin"/>
    </w:r>
    <w:r>
      <w:rPr>
        <w:color w:val="6B6256"/>
        <w:sz w:val="18"/>
      </w:rPr>
      <w:instrText xml:space="preserve"> PAGE </w:instrText>
    </w:r>
    <w:r>
      <w:rPr>
        <w:color w:val="6B6256"/>
        <w:sz w:val="18"/>
      </w:rPr>
      <w:fldChar w:fldCharType="separate"/>
    </w:r>
    <w:r w:rsidR="00D64334">
      <w:rPr>
        <w:noProof/>
        <w:color w:val="6B6256"/>
        <w:sz w:val="18"/>
      </w:rPr>
      <w:t>931</w:t>
    </w:r>
    <w:r>
      <w:rPr>
        <w:sz w:val="18"/>
      </w:rPr>
      <w:fldChar w:fldCharType="end"/>
    </w: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52B5D" w14:textId="11BA0F40" w:rsidR="005A5FCC" w:rsidRDefault="00A21C81">
    <w:pPr>
      <w:pStyle w:val="Rodap"/>
      <w:jc w:val="center"/>
    </w:pPr>
    <w:r>
      <w:rPr>
        <w:color w:val="6B6256"/>
        <w:sz w:val="18"/>
      </w:rPr>
      <w:fldChar w:fldCharType="begin"/>
    </w:r>
    <w:r>
      <w:rPr>
        <w:color w:val="6B6256"/>
        <w:sz w:val="18"/>
      </w:rPr>
      <w:instrText xml:space="preserve"> PAGE </w:instrText>
    </w:r>
    <w:r>
      <w:rPr>
        <w:color w:val="6B6256"/>
        <w:sz w:val="18"/>
      </w:rPr>
      <w:fldChar w:fldCharType="separate"/>
    </w:r>
    <w:r w:rsidR="00D64334">
      <w:rPr>
        <w:noProof/>
        <w:color w:val="6B6256"/>
        <w:sz w:val="18"/>
      </w:rPr>
      <w:t>930</w:t>
    </w:r>
    <w:r>
      <w:rPr>
        <w:sz w:val="18"/>
      </w:rPr>
      <w:fldChar w:fldCharType="end"/>
    </w: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1C531" w14:textId="0D46A137" w:rsidR="005A5FCC" w:rsidRDefault="00A21C81">
    <w:pPr>
      <w:pStyle w:val="Rodap"/>
      <w:jc w:val="left"/>
    </w:pPr>
    <w:r>
      <w:rPr>
        <w:color w:val="6B6256"/>
        <w:sz w:val="18"/>
      </w:rPr>
      <w:fldChar w:fldCharType="begin"/>
    </w:r>
    <w:r>
      <w:rPr>
        <w:color w:val="6B6256"/>
        <w:sz w:val="18"/>
      </w:rPr>
      <w:instrText xml:space="preserve"> PAGE </w:instrText>
    </w:r>
    <w:r>
      <w:rPr>
        <w:color w:val="6B6256"/>
        <w:sz w:val="18"/>
      </w:rPr>
      <w:fldChar w:fldCharType="separate"/>
    </w:r>
    <w:r w:rsidR="004F4D65">
      <w:rPr>
        <w:noProof/>
        <w:color w:val="6B6256"/>
        <w:sz w:val="18"/>
      </w:rPr>
      <w:t>994</w:t>
    </w:r>
    <w:r>
      <w:rPr>
        <w:sz w:val="18"/>
      </w:rPr>
      <w:fldChar w:fldCharType="end"/>
    </w: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86F18" w14:textId="34D79D12" w:rsidR="005A5FCC" w:rsidRDefault="00A21C81">
    <w:pPr>
      <w:pStyle w:val="Rodap"/>
      <w:jc w:val="right"/>
    </w:pPr>
    <w:r>
      <w:rPr>
        <w:color w:val="6B6256"/>
        <w:sz w:val="18"/>
      </w:rPr>
      <w:fldChar w:fldCharType="begin"/>
    </w:r>
    <w:r>
      <w:rPr>
        <w:color w:val="6B6256"/>
        <w:sz w:val="18"/>
      </w:rPr>
      <w:instrText xml:space="preserve"> PAGE </w:instrText>
    </w:r>
    <w:r>
      <w:rPr>
        <w:color w:val="6B6256"/>
        <w:sz w:val="18"/>
      </w:rPr>
      <w:fldChar w:fldCharType="separate"/>
    </w:r>
    <w:r w:rsidR="004F4D65">
      <w:rPr>
        <w:noProof/>
        <w:color w:val="6B6256"/>
        <w:sz w:val="18"/>
      </w:rPr>
      <w:t>993</w:t>
    </w:r>
    <w:r>
      <w:rPr>
        <w:sz w:val="18"/>
      </w:rPr>
      <w:fldChar w:fldCharType="end"/>
    </w: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17F7E" w14:textId="779FCD59" w:rsidR="005A5FCC" w:rsidRDefault="00A21C81">
    <w:pPr>
      <w:pStyle w:val="Rodap"/>
      <w:jc w:val="center"/>
    </w:pPr>
    <w:r>
      <w:rPr>
        <w:color w:val="6B6256"/>
        <w:sz w:val="18"/>
      </w:rPr>
      <w:fldChar w:fldCharType="begin"/>
    </w:r>
    <w:r>
      <w:rPr>
        <w:color w:val="6B6256"/>
        <w:sz w:val="18"/>
      </w:rPr>
      <w:instrText xml:space="preserve"> PAGE </w:instrText>
    </w:r>
    <w:r>
      <w:rPr>
        <w:color w:val="6B6256"/>
        <w:sz w:val="18"/>
      </w:rPr>
      <w:fldChar w:fldCharType="separate"/>
    </w:r>
    <w:r w:rsidR="004F4D65">
      <w:rPr>
        <w:noProof/>
        <w:color w:val="6B6256"/>
        <w:sz w:val="18"/>
      </w:rPr>
      <w:t>992</w:t>
    </w:r>
    <w:r>
      <w:rPr>
        <w:sz w:val="18"/>
      </w:rPr>
      <w:fldChar w:fldCharType="end"/>
    </w: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2926C" w14:textId="77777777" w:rsidR="005A5FCC" w:rsidRDefault="00A21C81">
    <w:pPr>
      <w:pStyle w:val="Rodap"/>
      <w:jc w:val="left"/>
    </w:pPr>
    <w:r>
      <w:rPr>
        <w:color w:val="6B6256"/>
        <w:sz w:val="18"/>
      </w:rPr>
      <w:fldChar w:fldCharType="begin"/>
    </w:r>
    <w:r>
      <w:rPr>
        <w:color w:val="6B6256"/>
        <w:sz w:val="18"/>
      </w:rPr>
      <w:instrText xml:space="preserve"> PAGE </w:instrText>
    </w:r>
    <w:r>
      <w:rPr>
        <w:sz w:val="18"/>
      </w:rPr>
      <w:fldChar w:fldCharType="end"/>
    </w: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F4A12" w14:textId="77777777" w:rsidR="005A5FCC" w:rsidRDefault="00A21C81">
    <w:pPr>
      <w:pStyle w:val="Rodap"/>
      <w:jc w:val="right"/>
    </w:pPr>
    <w:r>
      <w:rPr>
        <w:color w:val="6B6256"/>
        <w:sz w:val="18"/>
      </w:rPr>
      <w:fldChar w:fldCharType="begin"/>
    </w:r>
    <w:r>
      <w:rPr>
        <w:color w:val="6B6256"/>
        <w:sz w:val="18"/>
      </w:rPr>
      <w:instrText xml:space="preserve"> PAGE </w:instrText>
    </w:r>
    <w:r>
      <w:rPr>
        <w:sz w:val="18"/>
      </w:rPr>
      <w:fldChar w:fldCharType="end"/>
    </w: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BC019" w14:textId="4013162E" w:rsidR="005A5FCC" w:rsidRDefault="00A21C81">
    <w:pPr>
      <w:pStyle w:val="Rodap"/>
      <w:jc w:val="center"/>
    </w:pPr>
    <w:r>
      <w:rPr>
        <w:color w:val="6B6256"/>
        <w:sz w:val="18"/>
      </w:rPr>
      <w:fldChar w:fldCharType="begin"/>
    </w:r>
    <w:r>
      <w:rPr>
        <w:color w:val="6B6256"/>
        <w:sz w:val="18"/>
      </w:rPr>
      <w:instrText xml:space="preserve"> PAGE </w:instrText>
    </w:r>
    <w:r>
      <w:rPr>
        <w:color w:val="6B6256"/>
        <w:sz w:val="18"/>
      </w:rPr>
      <w:fldChar w:fldCharType="separate"/>
    </w:r>
    <w:r w:rsidR="004F4D65">
      <w:rPr>
        <w:noProof/>
        <w:color w:val="6B6256"/>
        <w:sz w:val="18"/>
      </w:rPr>
      <w:t>1053</w:t>
    </w:r>
    <w:r>
      <w:rPr>
        <w:sz w:val="18"/>
      </w:rPr>
      <w:fldChar w:fldCharType="end"/>
    </w: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BC4CE" w14:textId="5A3D1D8C" w:rsidR="005A5FCC" w:rsidRDefault="00A21C81">
    <w:pPr>
      <w:pStyle w:val="Rodap"/>
      <w:jc w:val="left"/>
    </w:pPr>
    <w:r>
      <w:rPr>
        <w:color w:val="6B6256"/>
        <w:sz w:val="18"/>
      </w:rPr>
      <w:fldChar w:fldCharType="begin"/>
    </w:r>
    <w:r>
      <w:rPr>
        <w:color w:val="6B6256"/>
        <w:sz w:val="18"/>
      </w:rPr>
      <w:instrText xml:space="preserve"> PAGE </w:instrText>
    </w:r>
    <w:r>
      <w:rPr>
        <w:color w:val="6B6256"/>
        <w:sz w:val="18"/>
      </w:rPr>
      <w:fldChar w:fldCharType="separate"/>
    </w:r>
    <w:r w:rsidR="004F4D65">
      <w:rPr>
        <w:noProof/>
        <w:color w:val="6B6256"/>
        <w:sz w:val="18"/>
      </w:rPr>
      <w:t>1056</w:t>
    </w:r>
    <w:r>
      <w:rPr>
        <w:sz w:val="18"/>
      </w:rPr>
      <w:fldChar w:fldCharType="end"/>
    </w: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8FB82" w14:textId="4F97AB84" w:rsidR="005A5FCC" w:rsidRDefault="00A21C81">
    <w:pPr>
      <w:pStyle w:val="Rodap"/>
      <w:jc w:val="right"/>
    </w:pPr>
    <w:r>
      <w:rPr>
        <w:color w:val="6B6256"/>
        <w:sz w:val="18"/>
      </w:rPr>
      <w:fldChar w:fldCharType="begin"/>
    </w:r>
    <w:r>
      <w:rPr>
        <w:color w:val="6B6256"/>
        <w:sz w:val="18"/>
      </w:rPr>
      <w:instrText xml:space="preserve"> PAGE </w:instrText>
    </w:r>
    <w:r>
      <w:rPr>
        <w:color w:val="6B6256"/>
        <w:sz w:val="18"/>
      </w:rPr>
      <w:fldChar w:fldCharType="separate"/>
    </w:r>
    <w:r w:rsidR="004F4D65">
      <w:rPr>
        <w:noProof/>
        <w:color w:val="6B6256"/>
        <w:sz w:val="18"/>
      </w:rPr>
      <w:t>1055</w:t>
    </w:r>
    <w:r>
      <w:rPr>
        <w:sz w:val="18"/>
      </w:rPr>
      <w:fldChar w:fldCharType="end"/>
    </w: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EBB9C" w14:textId="3203C4A4" w:rsidR="005A5FCC" w:rsidRDefault="00A21C81">
    <w:pPr>
      <w:pStyle w:val="Rodap"/>
      <w:jc w:val="center"/>
    </w:pPr>
    <w:r>
      <w:rPr>
        <w:color w:val="6B6256"/>
        <w:sz w:val="18"/>
      </w:rPr>
      <w:fldChar w:fldCharType="begin"/>
    </w:r>
    <w:r>
      <w:rPr>
        <w:color w:val="6B6256"/>
        <w:sz w:val="18"/>
      </w:rPr>
      <w:instrText xml:space="preserve"> PAGE </w:instrText>
    </w:r>
    <w:r>
      <w:rPr>
        <w:color w:val="6B6256"/>
        <w:sz w:val="18"/>
      </w:rPr>
      <w:fldChar w:fldCharType="separate"/>
    </w:r>
    <w:r w:rsidR="004F4D65">
      <w:rPr>
        <w:noProof/>
        <w:color w:val="6B6256"/>
        <w:sz w:val="18"/>
      </w:rPr>
      <w:t>1054</w:t>
    </w:r>
    <w:r>
      <w:rPr>
        <w:sz w:val="18"/>
      </w:rPr>
      <w:fldChar w:fldCharType="end"/>
    </w: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57F41" w14:textId="3FF24657" w:rsidR="005A5FCC" w:rsidRDefault="00A21C81">
    <w:pPr>
      <w:pStyle w:val="Rodap"/>
      <w:jc w:val="left"/>
    </w:pPr>
    <w:r>
      <w:rPr>
        <w:color w:val="6B6256"/>
        <w:sz w:val="18"/>
      </w:rPr>
      <w:fldChar w:fldCharType="begin"/>
    </w:r>
    <w:r>
      <w:rPr>
        <w:color w:val="6B6256"/>
        <w:sz w:val="18"/>
      </w:rPr>
      <w:instrText xml:space="preserve"> PAGE </w:instrText>
    </w:r>
    <w:r>
      <w:rPr>
        <w:color w:val="6B6256"/>
        <w:sz w:val="18"/>
      </w:rPr>
      <w:fldChar w:fldCharType="separate"/>
    </w:r>
    <w:r w:rsidR="004F4D65">
      <w:rPr>
        <w:noProof/>
        <w:color w:val="6B6256"/>
        <w:sz w:val="18"/>
      </w:rPr>
      <w:t>1110</w:t>
    </w:r>
    <w:r>
      <w:rPr>
        <w:sz w:val="18"/>
      </w:rPr>
      <w:fldChar w:fldCharType="end"/>
    </w: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B2727" w14:textId="03B921E8" w:rsidR="005A5FCC" w:rsidRDefault="00A21C81">
    <w:pPr>
      <w:pStyle w:val="Rodap"/>
      <w:jc w:val="right"/>
    </w:pPr>
    <w:r>
      <w:rPr>
        <w:color w:val="6B6256"/>
        <w:sz w:val="18"/>
      </w:rPr>
      <w:fldChar w:fldCharType="begin"/>
    </w:r>
    <w:r>
      <w:rPr>
        <w:color w:val="6B6256"/>
        <w:sz w:val="18"/>
      </w:rPr>
      <w:instrText xml:space="preserve"> PAGE </w:instrText>
    </w:r>
    <w:r>
      <w:rPr>
        <w:color w:val="6B6256"/>
        <w:sz w:val="18"/>
      </w:rPr>
      <w:fldChar w:fldCharType="separate"/>
    </w:r>
    <w:r w:rsidR="004F4D65">
      <w:rPr>
        <w:noProof/>
        <w:color w:val="6B6256"/>
        <w:sz w:val="18"/>
      </w:rPr>
      <w:t>1109</w:t>
    </w:r>
    <w:r>
      <w:rPr>
        <w:sz w:val="18"/>
      </w:rPr>
      <w:fldChar w:fldCharType="end"/>
    </w:r>
  </w:p>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17EF7" w14:textId="17DB475D" w:rsidR="005A5FCC" w:rsidRDefault="00A21C81">
    <w:pPr>
      <w:pStyle w:val="Rodap"/>
      <w:jc w:val="center"/>
    </w:pPr>
    <w:r>
      <w:rPr>
        <w:color w:val="6B6256"/>
        <w:sz w:val="18"/>
      </w:rPr>
      <w:fldChar w:fldCharType="begin"/>
    </w:r>
    <w:r>
      <w:rPr>
        <w:color w:val="6B6256"/>
        <w:sz w:val="18"/>
      </w:rPr>
      <w:instrText xml:space="preserve"> PAGE </w:instrText>
    </w:r>
    <w:r>
      <w:rPr>
        <w:color w:val="6B6256"/>
        <w:sz w:val="18"/>
      </w:rPr>
      <w:fldChar w:fldCharType="separate"/>
    </w:r>
    <w:r w:rsidR="004F4D65">
      <w:rPr>
        <w:noProof/>
        <w:color w:val="6B6256"/>
        <w:sz w:val="18"/>
      </w:rPr>
      <w:t>1108</w:t>
    </w:r>
    <w:r>
      <w:rPr>
        <w:sz w:val="18"/>
      </w:rPr>
      <w:fldChar w:fldCharType="end"/>
    </w:r>
  </w:p>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8FAAC" w14:textId="77777777" w:rsidR="005A5FCC" w:rsidRDefault="00A21C81">
    <w:pPr>
      <w:pStyle w:val="Rodap"/>
      <w:jc w:val="left"/>
    </w:pPr>
    <w:r>
      <w:rPr>
        <w:color w:val="6B6256"/>
        <w:sz w:val="18"/>
      </w:rPr>
      <w:fldChar w:fldCharType="begin"/>
    </w:r>
    <w:r>
      <w:rPr>
        <w:color w:val="6B6256"/>
        <w:sz w:val="18"/>
      </w:rPr>
      <w:instrText xml:space="preserve"> PAGE </w:instrText>
    </w:r>
    <w:r>
      <w:rPr>
        <w:sz w:val="18"/>
      </w:rPr>
      <w:fldChar w:fldCharType="end"/>
    </w:r>
  </w:p>
</w:ftr>
</file>

<file path=word/footer1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F68F6" w14:textId="77777777" w:rsidR="005A5FCC" w:rsidRDefault="00A21C81">
    <w:pPr>
      <w:pStyle w:val="Rodap"/>
      <w:jc w:val="right"/>
    </w:pPr>
    <w:r>
      <w:rPr>
        <w:color w:val="6B6256"/>
        <w:sz w:val="18"/>
      </w:rPr>
      <w:fldChar w:fldCharType="begin"/>
    </w:r>
    <w:r>
      <w:rPr>
        <w:color w:val="6B6256"/>
        <w:sz w:val="18"/>
      </w:rPr>
      <w:instrText xml:space="preserve"> PAGE </w:instrText>
    </w:r>
    <w:r>
      <w:rPr>
        <w:sz w:val="18"/>
      </w:rPr>
      <w:fldChar w:fldCharType="end"/>
    </w:r>
  </w:p>
</w:ftr>
</file>

<file path=word/footer1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561EE" w14:textId="1527763B" w:rsidR="005A5FCC" w:rsidRDefault="00A21C81">
    <w:pPr>
      <w:pStyle w:val="Rodap"/>
      <w:jc w:val="center"/>
    </w:pPr>
    <w:r>
      <w:rPr>
        <w:color w:val="6B6256"/>
        <w:sz w:val="18"/>
      </w:rPr>
      <w:fldChar w:fldCharType="begin"/>
    </w:r>
    <w:r>
      <w:rPr>
        <w:color w:val="6B6256"/>
        <w:sz w:val="18"/>
      </w:rPr>
      <w:instrText xml:space="preserve"> PAGE </w:instrText>
    </w:r>
    <w:r>
      <w:rPr>
        <w:color w:val="6B6256"/>
        <w:sz w:val="18"/>
      </w:rPr>
      <w:fldChar w:fldCharType="separate"/>
    </w:r>
    <w:r w:rsidR="004F4D65">
      <w:rPr>
        <w:noProof/>
        <w:color w:val="6B6256"/>
        <w:sz w:val="18"/>
      </w:rPr>
      <w:t>1166</w:t>
    </w:r>
    <w:r>
      <w:rPr>
        <w:sz w:val="18"/>
      </w:rPr>
      <w:fldChar w:fldCharType="end"/>
    </w:r>
  </w:p>
</w:ftr>
</file>

<file path=word/footer1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73E31" w14:textId="09CA1FF4" w:rsidR="005A5FCC" w:rsidRDefault="00A21C81">
    <w:pPr>
      <w:pStyle w:val="Rodap"/>
      <w:jc w:val="left"/>
    </w:pPr>
    <w:r>
      <w:rPr>
        <w:color w:val="6B6256"/>
        <w:sz w:val="18"/>
      </w:rPr>
      <w:fldChar w:fldCharType="begin"/>
    </w:r>
    <w:r>
      <w:rPr>
        <w:color w:val="6B6256"/>
        <w:sz w:val="18"/>
      </w:rPr>
      <w:instrText xml:space="preserve"> PAGE </w:instrText>
    </w:r>
    <w:r>
      <w:rPr>
        <w:color w:val="6B6256"/>
        <w:sz w:val="18"/>
      </w:rPr>
      <w:fldChar w:fldCharType="separate"/>
    </w:r>
    <w:r w:rsidR="004F4D65">
      <w:rPr>
        <w:noProof/>
        <w:color w:val="6B6256"/>
        <w:sz w:val="18"/>
      </w:rPr>
      <w:t>1170</w:t>
    </w:r>
    <w:r>
      <w:rPr>
        <w:sz w:val="18"/>
      </w:rPr>
      <w:fldChar w:fldCharType="end"/>
    </w:r>
  </w:p>
</w:ftr>
</file>

<file path=word/footer1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C4065" w14:textId="4CEB1451" w:rsidR="005A5FCC" w:rsidRDefault="00A21C81">
    <w:pPr>
      <w:pStyle w:val="Rodap"/>
      <w:jc w:val="right"/>
    </w:pPr>
    <w:r>
      <w:rPr>
        <w:color w:val="6B6256"/>
        <w:sz w:val="18"/>
      </w:rPr>
      <w:fldChar w:fldCharType="begin"/>
    </w:r>
    <w:r>
      <w:rPr>
        <w:color w:val="6B6256"/>
        <w:sz w:val="18"/>
      </w:rPr>
      <w:instrText xml:space="preserve"> PAGE </w:instrText>
    </w:r>
    <w:r>
      <w:rPr>
        <w:color w:val="6B6256"/>
        <w:sz w:val="18"/>
      </w:rPr>
      <w:fldChar w:fldCharType="separate"/>
    </w:r>
    <w:r w:rsidR="004F4D65">
      <w:rPr>
        <w:noProof/>
        <w:color w:val="6B6256"/>
        <w:sz w:val="18"/>
      </w:rPr>
      <w:t>1169</w:t>
    </w:r>
    <w:r>
      <w:rPr>
        <w:sz w:val="18"/>
      </w:rPr>
      <w:fldChar w:fldCharType="end"/>
    </w:r>
  </w:p>
</w:ftr>
</file>

<file path=word/footer1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B5491" w14:textId="6E982D4B" w:rsidR="005A5FCC" w:rsidRDefault="00A21C81">
    <w:pPr>
      <w:pStyle w:val="Rodap"/>
      <w:jc w:val="center"/>
    </w:pPr>
    <w:r>
      <w:rPr>
        <w:color w:val="6B6256"/>
        <w:sz w:val="18"/>
      </w:rPr>
      <w:fldChar w:fldCharType="begin"/>
    </w:r>
    <w:r>
      <w:rPr>
        <w:color w:val="6B6256"/>
        <w:sz w:val="18"/>
      </w:rPr>
      <w:instrText xml:space="preserve"> PAGE </w:instrText>
    </w:r>
    <w:r>
      <w:rPr>
        <w:color w:val="6B6256"/>
        <w:sz w:val="18"/>
      </w:rPr>
      <w:fldChar w:fldCharType="separate"/>
    </w:r>
    <w:r w:rsidR="004F4D65">
      <w:rPr>
        <w:noProof/>
        <w:color w:val="6B6256"/>
        <w:sz w:val="18"/>
      </w:rPr>
      <w:t>1168</w:t>
    </w:r>
    <w:r>
      <w:rPr>
        <w:sz w:val="18"/>
      </w:rPr>
      <w:fldChar w:fldCharType="end"/>
    </w:r>
  </w:p>
</w:ftr>
</file>

<file path=word/footer1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95D87" w14:textId="0423EB35" w:rsidR="005A5FCC" w:rsidRDefault="00A21C81">
    <w:pPr>
      <w:pStyle w:val="Rodap"/>
      <w:jc w:val="left"/>
    </w:pPr>
    <w:r>
      <w:rPr>
        <w:color w:val="6B6256"/>
        <w:sz w:val="18"/>
      </w:rPr>
      <w:fldChar w:fldCharType="begin"/>
    </w:r>
    <w:r>
      <w:rPr>
        <w:color w:val="6B6256"/>
        <w:sz w:val="18"/>
      </w:rPr>
      <w:instrText xml:space="preserve"> PAGE </w:instrText>
    </w:r>
    <w:r>
      <w:rPr>
        <w:color w:val="6B6256"/>
        <w:sz w:val="18"/>
      </w:rPr>
      <w:fldChar w:fldCharType="separate"/>
    </w:r>
    <w:r w:rsidR="004F4D65">
      <w:rPr>
        <w:noProof/>
        <w:color w:val="6B6256"/>
        <w:sz w:val="18"/>
      </w:rPr>
      <w:t>1230</w:t>
    </w:r>
    <w:r>
      <w:rPr>
        <w:sz w:val="18"/>
      </w:rPr>
      <w:fldChar w:fldCharType="end"/>
    </w:r>
  </w:p>
</w:ftr>
</file>

<file path=word/footer1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D44EB" w14:textId="5947236D" w:rsidR="005A5FCC" w:rsidRDefault="00A21C81">
    <w:pPr>
      <w:pStyle w:val="Rodap"/>
      <w:jc w:val="right"/>
    </w:pPr>
    <w:r>
      <w:rPr>
        <w:color w:val="6B6256"/>
        <w:sz w:val="18"/>
      </w:rPr>
      <w:fldChar w:fldCharType="begin"/>
    </w:r>
    <w:r>
      <w:rPr>
        <w:color w:val="6B6256"/>
        <w:sz w:val="18"/>
      </w:rPr>
      <w:instrText xml:space="preserve"> PAGE </w:instrText>
    </w:r>
    <w:r>
      <w:rPr>
        <w:color w:val="6B6256"/>
        <w:sz w:val="18"/>
      </w:rPr>
      <w:fldChar w:fldCharType="separate"/>
    </w:r>
    <w:r w:rsidR="004F4D65">
      <w:rPr>
        <w:noProof/>
        <w:color w:val="6B6256"/>
        <w:sz w:val="18"/>
      </w:rPr>
      <w:t>1229</w:t>
    </w:r>
    <w:r>
      <w:rPr>
        <w:sz w:val="18"/>
      </w:rPr>
      <w:fldChar w:fldCharType="end"/>
    </w:r>
  </w:p>
</w:ftr>
</file>

<file path=word/footer1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5F7AC" w14:textId="54FDA312" w:rsidR="005A5FCC" w:rsidRDefault="00A21C81">
    <w:pPr>
      <w:pStyle w:val="Rodap"/>
      <w:jc w:val="center"/>
    </w:pPr>
    <w:r>
      <w:rPr>
        <w:color w:val="6B6256"/>
        <w:sz w:val="18"/>
      </w:rPr>
      <w:fldChar w:fldCharType="begin"/>
    </w:r>
    <w:r>
      <w:rPr>
        <w:color w:val="6B6256"/>
        <w:sz w:val="18"/>
      </w:rPr>
      <w:instrText xml:space="preserve"> PAGE </w:instrText>
    </w:r>
    <w:r>
      <w:rPr>
        <w:color w:val="6B6256"/>
        <w:sz w:val="18"/>
      </w:rPr>
      <w:fldChar w:fldCharType="separate"/>
    </w:r>
    <w:r w:rsidR="004F4D65">
      <w:rPr>
        <w:noProof/>
        <w:color w:val="6B6256"/>
        <w:sz w:val="18"/>
      </w:rPr>
      <w:t>1228</w:t>
    </w:r>
    <w:r>
      <w:rPr>
        <w:sz w:val="18"/>
      </w:rPr>
      <w:fldChar w:fldCharType="end"/>
    </w:r>
  </w:p>
</w:ftr>
</file>

<file path=word/footer1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1888D" w14:textId="0EF58A7F" w:rsidR="005A5FCC" w:rsidRDefault="00A21C81">
    <w:pPr>
      <w:pStyle w:val="Rodap"/>
      <w:jc w:val="left"/>
    </w:pPr>
    <w:r>
      <w:rPr>
        <w:color w:val="6B6256"/>
        <w:sz w:val="18"/>
      </w:rPr>
      <w:fldChar w:fldCharType="begin"/>
    </w:r>
    <w:r>
      <w:rPr>
        <w:color w:val="6B6256"/>
        <w:sz w:val="18"/>
      </w:rPr>
      <w:instrText xml:space="preserve"> PAGE </w:instrText>
    </w:r>
    <w:r>
      <w:rPr>
        <w:color w:val="6B6256"/>
        <w:sz w:val="18"/>
      </w:rPr>
      <w:fldChar w:fldCharType="separate"/>
    </w:r>
    <w:r w:rsidR="004F4D65">
      <w:rPr>
        <w:noProof/>
        <w:color w:val="6B6256"/>
        <w:sz w:val="18"/>
      </w:rPr>
      <w:t>1292</w:t>
    </w:r>
    <w:r>
      <w:rPr>
        <w:sz w:val="18"/>
      </w:rPr>
      <w:fldChar w:fldCharType="end"/>
    </w:r>
  </w:p>
</w:ftr>
</file>

<file path=word/footer1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7E110" w14:textId="267D68B1" w:rsidR="005A5FCC" w:rsidRDefault="00A21C81">
    <w:pPr>
      <w:pStyle w:val="Rodap"/>
      <w:jc w:val="right"/>
    </w:pPr>
    <w:r>
      <w:rPr>
        <w:color w:val="6B6256"/>
        <w:sz w:val="18"/>
      </w:rPr>
      <w:fldChar w:fldCharType="begin"/>
    </w:r>
    <w:r>
      <w:rPr>
        <w:color w:val="6B6256"/>
        <w:sz w:val="18"/>
      </w:rPr>
      <w:instrText xml:space="preserve"> PAGE </w:instrText>
    </w:r>
    <w:r>
      <w:rPr>
        <w:color w:val="6B6256"/>
        <w:sz w:val="18"/>
      </w:rPr>
      <w:fldChar w:fldCharType="separate"/>
    </w:r>
    <w:r w:rsidR="004F4D65">
      <w:rPr>
        <w:noProof/>
        <w:color w:val="6B6256"/>
        <w:sz w:val="18"/>
      </w:rPr>
      <w:t>1293</w:t>
    </w:r>
    <w:r>
      <w:rPr>
        <w:sz w:val="18"/>
      </w:rPr>
      <w:fldChar w:fldCharType="end"/>
    </w:r>
  </w:p>
</w:ftr>
</file>

<file path=word/footer1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651CE" w14:textId="1DB85754" w:rsidR="005A5FCC" w:rsidRDefault="00A21C81">
    <w:pPr>
      <w:pStyle w:val="Rodap"/>
      <w:jc w:val="center"/>
    </w:pPr>
    <w:r>
      <w:rPr>
        <w:color w:val="6B6256"/>
        <w:sz w:val="18"/>
      </w:rPr>
      <w:fldChar w:fldCharType="begin"/>
    </w:r>
    <w:r>
      <w:rPr>
        <w:color w:val="6B6256"/>
        <w:sz w:val="18"/>
      </w:rPr>
      <w:instrText xml:space="preserve"> PAGE </w:instrText>
    </w:r>
    <w:r>
      <w:rPr>
        <w:color w:val="6B6256"/>
        <w:sz w:val="18"/>
      </w:rPr>
      <w:fldChar w:fldCharType="separate"/>
    </w:r>
    <w:r w:rsidR="004F4D65">
      <w:rPr>
        <w:noProof/>
        <w:color w:val="6B6256"/>
        <w:sz w:val="18"/>
      </w:rPr>
      <w:t>1291</w:t>
    </w:r>
    <w:r>
      <w:rPr>
        <w:sz w:val="18"/>
      </w:rPr>
      <w:fldChar w:fldCharType="end"/>
    </w:r>
  </w:p>
</w:ftr>
</file>

<file path=word/footer1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80689" w14:textId="0BC24E68" w:rsidR="005A5FCC" w:rsidRDefault="00A21C81">
    <w:pPr>
      <w:pStyle w:val="Rodap"/>
      <w:jc w:val="left"/>
    </w:pPr>
    <w:r>
      <w:rPr>
        <w:color w:val="6B6256"/>
        <w:sz w:val="18"/>
      </w:rPr>
      <w:fldChar w:fldCharType="begin"/>
    </w:r>
    <w:r>
      <w:rPr>
        <w:color w:val="6B6256"/>
        <w:sz w:val="18"/>
      </w:rPr>
      <w:instrText xml:space="preserve"> PAGE </w:instrText>
    </w:r>
    <w:r>
      <w:rPr>
        <w:color w:val="6B6256"/>
        <w:sz w:val="18"/>
      </w:rPr>
      <w:fldChar w:fldCharType="separate"/>
    </w:r>
    <w:r w:rsidR="004F4D65">
      <w:rPr>
        <w:noProof/>
        <w:color w:val="6B6256"/>
        <w:sz w:val="18"/>
      </w:rPr>
      <w:t>1316</w:t>
    </w:r>
    <w:r>
      <w:rPr>
        <w:sz w:val="18"/>
      </w:rPr>
      <w:fldChar w:fldCharType="end"/>
    </w:r>
  </w:p>
</w:ftr>
</file>

<file path=word/footer1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749BD" w14:textId="0B7D5471" w:rsidR="005A5FCC" w:rsidRDefault="00A21C81">
    <w:pPr>
      <w:pStyle w:val="Rodap"/>
      <w:jc w:val="right"/>
    </w:pPr>
    <w:r>
      <w:rPr>
        <w:color w:val="6B6256"/>
        <w:sz w:val="18"/>
      </w:rPr>
      <w:fldChar w:fldCharType="begin"/>
    </w:r>
    <w:r>
      <w:rPr>
        <w:color w:val="6B6256"/>
        <w:sz w:val="18"/>
      </w:rPr>
      <w:instrText xml:space="preserve"> PAGE </w:instrText>
    </w:r>
    <w:r>
      <w:rPr>
        <w:color w:val="6B6256"/>
        <w:sz w:val="18"/>
      </w:rPr>
      <w:fldChar w:fldCharType="separate"/>
    </w:r>
    <w:r w:rsidR="004F4D65">
      <w:rPr>
        <w:noProof/>
        <w:color w:val="6B6256"/>
        <w:sz w:val="18"/>
      </w:rPr>
      <w:t>1317</w:t>
    </w:r>
    <w:r>
      <w:rPr>
        <w:sz w:val="18"/>
      </w:rPr>
      <w:fldChar w:fldCharType="end"/>
    </w:r>
  </w:p>
</w:ftr>
</file>

<file path=word/footer1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7B027" w14:textId="35A84CB8" w:rsidR="005A5FCC" w:rsidRDefault="00A21C81">
    <w:pPr>
      <w:pStyle w:val="Rodap"/>
      <w:jc w:val="center"/>
    </w:pPr>
    <w:r>
      <w:rPr>
        <w:color w:val="6B6256"/>
        <w:sz w:val="18"/>
      </w:rPr>
      <w:fldChar w:fldCharType="begin"/>
    </w:r>
    <w:r>
      <w:rPr>
        <w:color w:val="6B6256"/>
        <w:sz w:val="18"/>
      </w:rPr>
      <w:instrText xml:space="preserve"> PAGE </w:instrText>
    </w:r>
    <w:r>
      <w:rPr>
        <w:color w:val="6B6256"/>
        <w:sz w:val="18"/>
      </w:rPr>
      <w:fldChar w:fldCharType="separate"/>
    </w:r>
    <w:r w:rsidR="004F4D65">
      <w:rPr>
        <w:noProof/>
        <w:color w:val="6B6256"/>
        <w:sz w:val="18"/>
      </w:rPr>
      <w:t>1314</w:t>
    </w:r>
    <w:r>
      <w:rPr>
        <w:sz w:val="18"/>
      </w:rPr>
      <w:fldChar w:fldCharType="end"/>
    </w:r>
  </w:p>
</w:ftr>
</file>

<file path=word/footer1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44E51" w14:textId="77777777" w:rsidR="005A5FCC" w:rsidRDefault="00A21C81">
    <w:pPr>
      <w:pStyle w:val="Rodap"/>
      <w:jc w:val="left"/>
    </w:pPr>
    <w:r>
      <w:rPr>
        <w:color w:val="6B6256"/>
        <w:sz w:val="18"/>
      </w:rPr>
      <w:fldChar w:fldCharType="begin"/>
    </w:r>
    <w:r>
      <w:rPr>
        <w:color w:val="6B6256"/>
        <w:sz w:val="18"/>
      </w:rPr>
      <w:instrText xml:space="preserve"> PAGE </w:instrText>
    </w:r>
    <w:r>
      <w:rPr>
        <w:sz w:val="18"/>
      </w:rPr>
      <w:fldChar w:fldCharType="end"/>
    </w:r>
  </w:p>
</w:ftr>
</file>

<file path=word/footer1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911FE" w14:textId="77777777" w:rsidR="005A5FCC" w:rsidRDefault="00A21C81">
    <w:pPr>
      <w:pStyle w:val="Rodap"/>
      <w:jc w:val="right"/>
    </w:pPr>
    <w:r>
      <w:rPr>
        <w:color w:val="6B6256"/>
        <w:sz w:val="18"/>
      </w:rPr>
      <w:fldChar w:fldCharType="begin"/>
    </w:r>
    <w:r>
      <w:rPr>
        <w:color w:val="6B6256"/>
        <w:sz w:val="18"/>
      </w:rPr>
      <w:instrText xml:space="preserve"> PAGE </w:instrText>
    </w:r>
    <w:r>
      <w:rPr>
        <w:sz w:val="18"/>
      </w:rPr>
      <w:fldChar w:fldCharType="end"/>
    </w:r>
  </w:p>
</w:ftr>
</file>

<file path=word/footer1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53980" w14:textId="12D7A0AB" w:rsidR="005A5FCC" w:rsidRDefault="00A21C81">
    <w:pPr>
      <w:pStyle w:val="Rodap"/>
      <w:jc w:val="center"/>
    </w:pPr>
    <w:r>
      <w:rPr>
        <w:color w:val="6B6256"/>
        <w:sz w:val="18"/>
      </w:rPr>
      <w:fldChar w:fldCharType="begin"/>
    </w:r>
    <w:r>
      <w:rPr>
        <w:color w:val="6B6256"/>
        <w:sz w:val="18"/>
      </w:rPr>
      <w:instrText xml:space="preserve"> PAGE </w:instrText>
    </w:r>
    <w:r>
      <w:rPr>
        <w:color w:val="6B6256"/>
        <w:sz w:val="18"/>
      </w:rPr>
      <w:fldChar w:fldCharType="separate"/>
    </w:r>
    <w:r w:rsidR="004F4D65">
      <w:rPr>
        <w:noProof/>
        <w:color w:val="6B6256"/>
        <w:sz w:val="18"/>
      </w:rPr>
      <w:t>1325</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AD5D9" w14:textId="77777777" w:rsidR="00613892" w:rsidRDefault="00613892">
      <w:pPr>
        <w:spacing w:after="0" w:line="240" w:lineRule="auto"/>
      </w:pPr>
      <w:r>
        <w:separator/>
      </w:r>
    </w:p>
  </w:footnote>
  <w:footnote w:type="continuationSeparator" w:id="0">
    <w:p w14:paraId="1BAB2BE6" w14:textId="77777777" w:rsidR="00613892" w:rsidRDefault="006138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911B5" w14:textId="77777777" w:rsidR="005A5FCC" w:rsidRDefault="005A5FCC">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87190" w14:textId="77777777" w:rsidR="005A5FCC" w:rsidRDefault="005A5FCC">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C5F0B" w14:textId="77777777" w:rsidR="005A5FCC" w:rsidRDefault="005A5FCC">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9662B" w14:textId="77777777" w:rsidR="005A5FCC" w:rsidRDefault="005A5FCC">
    <w:pPr>
      <w:pStyle w:val="Cabealh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C7563" w14:textId="77777777" w:rsidR="005A5FCC" w:rsidRDefault="005A5FCC">
    <w:pPr>
      <w:pStyle w:val="Cabealh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25DB9" w14:textId="77777777" w:rsidR="005A5FCC" w:rsidRDefault="005A5FCC">
    <w:pPr>
      <w:pStyle w:val="Cabealh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7AC6D" w14:textId="77777777" w:rsidR="005A5FCC" w:rsidRDefault="005A5FCC">
    <w:pPr>
      <w:pStyle w:val="Cabealh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66559" w14:textId="77777777" w:rsidR="005A5FCC" w:rsidRDefault="005A5FCC">
    <w:pPr>
      <w:pStyle w:val="Cabealh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B7575" w14:textId="77777777" w:rsidR="005A5FCC" w:rsidRDefault="005A5FCC">
    <w:pPr>
      <w:pStyle w:val="Cabealh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A78BD" w14:textId="77777777" w:rsidR="005A5FCC" w:rsidRDefault="005A5FCC">
    <w:pPr>
      <w:pStyle w:val="Cabealho"/>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B077A" w14:textId="77777777" w:rsidR="005A5FCC" w:rsidRDefault="005A5FCC">
    <w:pPr>
      <w:pStyle w:val="Cabealho"/>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02AAC" w14:textId="77777777" w:rsidR="005A5FCC" w:rsidRDefault="005A5FCC">
    <w:pPr>
      <w:pStyle w:val="Cabealho"/>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C0DAC" w14:textId="77777777" w:rsidR="005A5FCC" w:rsidRDefault="005A5FCC">
    <w:pPr>
      <w:pStyle w:val="Cabealho"/>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FA216" w14:textId="77777777" w:rsidR="005A5FCC" w:rsidRDefault="005A5FCC">
    <w:pPr>
      <w:pStyle w:val="Cabealho"/>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D6D81" w14:textId="77777777" w:rsidR="005A5FCC" w:rsidRDefault="005A5FCC">
    <w:pPr>
      <w:pStyle w:val="Cabealho"/>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C5477" w14:textId="77777777" w:rsidR="005A5FCC" w:rsidRDefault="00A21C81">
    <w:pPr>
      <w:pStyle w:val="Cabealho"/>
      <w:pBdr>
        <w:bottom w:val="single" w:sz="4" w:space="2" w:color="D7CDBB"/>
      </w:pBdr>
      <w:jc w:val="left"/>
    </w:pPr>
    <w:r>
      <w:rPr>
        <w:rFonts w:cs="EB Garamond"/>
        <w:smallCaps/>
        <w:color w:val="6B6256"/>
        <w:kern w:val="16"/>
        <w:sz w:val="17"/>
        <w14:ligatures w14:val="standardContextual"/>
      </w:rPr>
      <w:t>Direito Previdenciário</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B9829" w14:textId="77777777" w:rsidR="005A5FCC" w:rsidRDefault="00A21C81">
    <w:pPr>
      <w:pStyle w:val="Cabealho"/>
      <w:pBdr>
        <w:bottom w:val="single" w:sz="4" w:space="2" w:color="D7CDBB"/>
      </w:pBdr>
      <w:jc w:val="right"/>
    </w:pPr>
    <w:r>
      <w:rPr>
        <w:rFonts w:cs="EB Garamond"/>
        <w:smallCaps/>
        <w:color w:val="6B6256"/>
        <w:kern w:val="16"/>
        <w:sz w:val="17"/>
        <w14:ligatures w14:val="standardContextual"/>
      </w:rPr>
      <w:t>Lista de Abreviaturas</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2DC5F" w14:textId="77777777" w:rsidR="005A5FCC" w:rsidRDefault="005A5FCC">
    <w:pPr>
      <w:pStyle w:val="Cabealho"/>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DAE98" w14:textId="77777777" w:rsidR="005A5FCC" w:rsidRDefault="00A21C81">
    <w:pPr>
      <w:pStyle w:val="Cabealho"/>
      <w:pBdr>
        <w:bottom w:val="single" w:sz="4" w:space="2" w:color="D7CDBB"/>
      </w:pBdr>
      <w:jc w:val="left"/>
    </w:pPr>
    <w:r>
      <w:rPr>
        <w:rFonts w:cs="EB Garamond"/>
        <w:smallCaps/>
        <w:color w:val="6B6256"/>
        <w:kern w:val="16"/>
        <w:sz w:val="17"/>
        <w14:ligatures w14:val="standardContextual"/>
      </w:rPr>
      <w:t>Direito Previdenciário</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BE116" w14:textId="77777777" w:rsidR="005A5FCC" w:rsidRDefault="00A21C81">
    <w:pPr>
      <w:pStyle w:val="Cabealho"/>
      <w:pBdr>
        <w:bottom w:val="single" w:sz="4" w:space="2" w:color="D7CDBB"/>
      </w:pBdr>
      <w:jc w:val="right"/>
    </w:pPr>
    <w:r>
      <w:rPr>
        <w:rFonts w:cs="EB Garamond"/>
        <w:smallCaps/>
        <w:color w:val="6B6256"/>
        <w:kern w:val="16"/>
        <w:sz w:val="17"/>
        <w14:ligatures w14:val="standardContextual"/>
      </w:rPr>
      <w:t>Sumário</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FC220" w14:textId="77777777" w:rsidR="005A5FCC" w:rsidRDefault="005A5FCC">
    <w:pPr>
      <w:pStyle w:val="Cabealho"/>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2F5B7" w14:textId="77777777" w:rsidR="005A5FCC" w:rsidRDefault="00A21C81">
    <w:pPr>
      <w:pStyle w:val="Cabealho"/>
      <w:pBdr>
        <w:bottom w:val="single" w:sz="4" w:space="2" w:color="D7CDBB"/>
      </w:pBdr>
      <w:jc w:val="left"/>
    </w:pPr>
    <w:r>
      <w:rPr>
        <w:rFonts w:cs="EB Garamond"/>
        <w:smallCaps/>
        <w:color w:val="6B6256"/>
        <w:kern w:val="16"/>
        <w:sz w:val="17"/>
        <w14:ligatures w14:val="standardContextual"/>
      </w:rPr>
      <w:t>Direito Previdenciário</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B168A" w14:textId="77777777" w:rsidR="005A5FCC" w:rsidRDefault="00A21C81">
    <w:pPr>
      <w:pStyle w:val="Cabealho"/>
      <w:pBdr>
        <w:bottom w:val="single" w:sz="4" w:space="2" w:color="D7CDBB"/>
      </w:pBdr>
      <w:jc w:val="right"/>
    </w:pPr>
    <w:r>
      <w:rPr>
        <w:rFonts w:cs="EB Garamond"/>
        <w:smallCaps/>
        <w:color w:val="6B6256"/>
        <w:kern w:val="16"/>
        <w:sz w:val="17"/>
        <w14:ligatures w14:val="standardContextual"/>
      </w:rPr>
      <w:t>Parte I</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57F5E" w14:textId="77777777" w:rsidR="005A5FCC" w:rsidRDefault="005A5FCC">
    <w:pPr>
      <w:pStyle w:val="Cabealho"/>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10F2F" w14:textId="77777777" w:rsidR="005A5FCC" w:rsidRDefault="00A21C81">
    <w:pPr>
      <w:pStyle w:val="Cabealho"/>
      <w:pBdr>
        <w:bottom w:val="single" w:sz="4" w:space="2" w:color="D7CDBB"/>
      </w:pBdr>
      <w:jc w:val="left"/>
    </w:pPr>
    <w:r>
      <w:rPr>
        <w:rFonts w:cs="EB Garamond"/>
        <w:smallCaps/>
        <w:color w:val="6B6256"/>
        <w:kern w:val="16"/>
        <w:sz w:val="17"/>
        <w14:ligatures w14:val="standardContextual"/>
      </w:rPr>
      <w:t>Direito Previdenciário</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DB883" w14:textId="77777777" w:rsidR="005A5FCC" w:rsidRDefault="00A21C81">
    <w:pPr>
      <w:pStyle w:val="Cabealho"/>
      <w:pBdr>
        <w:bottom w:val="single" w:sz="4" w:space="2" w:color="D7CDBB"/>
      </w:pBdr>
      <w:jc w:val="right"/>
    </w:pPr>
    <w:r>
      <w:rPr>
        <w:rFonts w:cs="EB Garamond"/>
        <w:smallCaps/>
        <w:color w:val="6B6256"/>
        <w:kern w:val="16"/>
        <w:sz w:val="17"/>
        <w14:ligatures w14:val="standardContextual"/>
      </w:rPr>
      <w:t>Capítulo 1  |  Evolução Histórica e Princípios Constitucionais</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7A132" w14:textId="77777777" w:rsidR="005A5FCC" w:rsidRDefault="005A5FCC">
    <w:pPr>
      <w:pStyle w:val="Cabealho"/>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CC20C" w14:textId="77777777" w:rsidR="005A5FCC" w:rsidRDefault="00A21C81">
    <w:pPr>
      <w:pStyle w:val="Cabealho"/>
      <w:pBdr>
        <w:bottom w:val="single" w:sz="4" w:space="2" w:color="D7CDBB"/>
      </w:pBdr>
      <w:jc w:val="left"/>
    </w:pPr>
    <w:r>
      <w:rPr>
        <w:rFonts w:cs="EB Garamond"/>
        <w:smallCaps/>
        <w:color w:val="6B6256"/>
        <w:kern w:val="16"/>
        <w:sz w:val="17"/>
        <w14:ligatures w14:val="standardContextual"/>
      </w:rPr>
      <w:t>Direito Previdenciário</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E7169" w14:textId="77777777" w:rsidR="005A5FCC" w:rsidRDefault="00A21C81">
    <w:pPr>
      <w:pStyle w:val="Cabealho"/>
      <w:pBdr>
        <w:bottom w:val="single" w:sz="4" w:space="2" w:color="D7CDBB"/>
      </w:pBdr>
      <w:jc w:val="right"/>
    </w:pPr>
    <w:r>
      <w:rPr>
        <w:rFonts w:cs="EB Garamond"/>
        <w:smallCaps/>
        <w:color w:val="6B6256"/>
        <w:kern w:val="16"/>
        <w:sz w:val="17"/>
        <w14:ligatures w14:val="standardContextual"/>
      </w:rPr>
      <w:t>Capítulo 2  |  Segurados e Dependentes</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BD5FB" w14:textId="77777777" w:rsidR="005A5FCC" w:rsidRDefault="005A5FCC">
    <w:pPr>
      <w:pStyle w:val="Cabealho"/>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9EA5D" w14:textId="77777777" w:rsidR="005A5FCC" w:rsidRDefault="00A21C81">
    <w:pPr>
      <w:pStyle w:val="Cabealho"/>
      <w:pBdr>
        <w:bottom w:val="single" w:sz="4" w:space="2" w:color="D7CDBB"/>
      </w:pBdr>
      <w:jc w:val="left"/>
    </w:pPr>
    <w:r>
      <w:rPr>
        <w:rFonts w:cs="EB Garamond"/>
        <w:smallCaps/>
        <w:color w:val="6B6256"/>
        <w:kern w:val="16"/>
        <w:sz w:val="17"/>
        <w14:ligatures w14:val="standardContextual"/>
      </w:rPr>
      <w:t>Direito Previdenciário</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D2C40" w14:textId="77777777" w:rsidR="005A5FCC" w:rsidRDefault="00A21C81">
    <w:pPr>
      <w:pStyle w:val="Cabealho"/>
      <w:pBdr>
        <w:bottom w:val="single" w:sz="4" w:space="2" w:color="D7CDBB"/>
      </w:pBdr>
      <w:jc w:val="right"/>
    </w:pPr>
    <w:r>
      <w:rPr>
        <w:rFonts w:cs="EB Garamond"/>
        <w:smallCaps/>
        <w:color w:val="6B6256"/>
        <w:kern w:val="16"/>
        <w:sz w:val="17"/>
        <w14:ligatures w14:val="standardContextual"/>
      </w:rPr>
      <w:t>Capítulo 3  |  Período de Carência e Manutenção da Qualidade de Segurado</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84947" w14:textId="77777777" w:rsidR="005A5FCC" w:rsidRDefault="005A5FCC">
    <w:pPr>
      <w:pStyle w:val="Cabealho"/>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8B637" w14:textId="77777777" w:rsidR="005A5FCC" w:rsidRDefault="00A21C81">
    <w:pPr>
      <w:pStyle w:val="Cabealho"/>
      <w:pBdr>
        <w:bottom w:val="single" w:sz="4" w:space="2" w:color="D7CDBB"/>
      </w:pBdr>
      <w:jc w:val="left"/>
    </w:pPr>
    <w:r>
      <w:rPr>
        <w:rFonts w:cs="EB Garamond"/>
        <w:smallCaps/>
        <w:color w:val="6B6256"/>
        <w:kern w:val="16"/>
        <w:sz w:val="17"/>
        <w14:ligatures w14:val="standardContextual"/>
      </w:rPr>
      <w:t>Direito Previdenciário</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C77CA" w14:textId="77777777" w:rsidR="005A5FCC" w:rsidRDefault="00A21C81">
    <w:pPr>
      <w:pStyle w:val="Cabealho"/>
      <w:pBdr>
        <w:bottom w:val="single" w:sz="4" w:space="2" w:color="D7CDBB"/>
      </w:pBdr>
      <w:jc w:val="right"/>
    </w:pPr>
    <w:r>
      <w:rPr>
        <w:rFonts w:cs="EB Garamond"/>
        <w:smallCaps/>
        <w:color w:val="6B6256"/>
        <w:kern w:val="16"/>
        <w:sz w:val="17"/>
        <w14:ligatures w14:val="standardContextual"/>
      </w:rPr>
      <w:t>Capítulo 4  |  Contribuições Previdenciárias e Custeio do RGPS</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B0DCB" w14:textId="77777777" w:rsidR="005A5FCC" w:rsidRDefault="005A5FCC">
    <w:pPr>
      <w:pStyle w:val="Cabealho"/>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EBB8D" w14:textId="77777777" w:rsidR="005A5FCC" w:rsidRDefault="00A21C81">
    <w:pPr>
      <w:pStyle w:val="Cabealho"/>
      <w:pBdr>
        <w:bottom w:val="single" w:sz="4" w:space="2" w:color="D7CDBB"/>
      </w:pBdr>
      <w:jc w:val="left"/>
    </w:pPr>
    <w:r>
      <w:rPr>
        <w:rFonts w:cs="EB Garamond"/>
        <w:smallCaps/>
        <w:color w:val="6B6256"/>
        <w:kern w:val="16"/>
        <w:sz w:val="17"/>
        <w14:ligatures w14:val="standardContextual"/>
      </w:rPr>
      <w:t>Direito Previdenciário</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13666" w14:textId="77777777" w:rsidR="005A5FCC" w:rsidRDefault="00A21C81">
    <w:pPr>
      <w:pStyle w:val="Cabealho"/>
      <w:pBdr>
        <w:bottom w:val="single" w:sz="4" w:space="2" w:color="D7CDBB"/>
      </w:pBdr>
      <w:jc w:val="right"/>
    </w:pPr>
    <w:r>
      <w:rPr>
        <w:rFonts w:cs="EB Garamond"/>
        <w:smallCaps/>
        <w:color w:val="6B6256"/>
        <w:kern w:val="16"/>
        <w:sz w:val="17"/>
        <w14:ligatures w14:val="standardContextual"/>
      </w:rPr>
      <w:t>Capítulo 5  |  Reconhecimento, Cômputo e Averbação de Tempo de Contribuição</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403D1" w14:textId="77777777" w:rsidR="005A5FCC" w:rsidRDefault="005A5FCC">
    <w:pPr>
      <w:pStyle w:val="Cabealho"/>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56F72" w14:textId="77777777" w:rsidR="005A5FCC" w:rsidRDefault="00A21C81">
    <w:pPr>
      <w:pStyle w:val="Cabealho"/>
      <w:pBdr>
        <w:bottom w:val="single" w:sz="4" w:space="2" w:color="D7CDBB"/>
      </w:pBdr>
      <w:jc w:val="left"/>
    </w:pPr>
    <w:r>
      <w:rPr>
        <w:rFonts w:cs="EB Garamond"/>
        <w:smallCaps/>
        <w:color w:val="6B6256"/>
        <w:kern w:val="16"/>
        <w:sz w:val="17"/>
        <w14:ligatures w14:val="standardContextual"/>
      </w:rPr>
      <w:t>Direito Previdenciário</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565A9" w14:textId="77777777" w:rsidR="005A5FCC" w:rsidRDefault="00A21C81">
    <w:pPr>
      <w:pStyle w:val="Cabealho"/>
      <w:pBdr>
        <w:bottom w:val="single" w:sz="4" w:space="2" w:color="D7CDBB"/>
      </w:pBdr>
      <w:jc w:val="right"/>
    </w:pPr>
    <w:r>
      <w:rPr>
        <w:rFonts w:cs="EB Garamond"/>
        <w:smallCaps/>
        <w:color w:val="6B6256"/>
        <w:kern w:val="16"/>
        <w:sz w:val="17"/>
        <w14:ligatures w14:val="standardContextual"/>
      </w:rPr>
      <w:t>Parte II</w: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59CBB" w14:textId="77777777" w:rsidR="005A5FCC" w:rsidRDefault="005A5FCC">
    <w:pPr>
      <w:pStyle w:val="Cabealho"/>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5E93D" w14:textId="77777777" w:rsidR="005A5FCC" w:rsidRDefault="00A21C81">
    <w:pPr>
      <w:pStyle w:val="Cabealho"/>
      <w:pBdr>
        <w:bottom w:val="single" w:sz="4" w:space="2" w:color="D7CDBB"/>
      </w:pBdr>
      <w:jc w:val="left"/>
    </w:pPr>
    <w:r>
      <w:rPr>
        <w:rFonts w:cs="EB Garamond"/>
        <w:smallCaps/>
        <w:color w:val="6B6256"/>
        <w:kern w:val="16"/>
        <w:sz w:val="17"/>
        <w14:ligatures w14:val="standardContextual"/>
      </w:rPr>
      <w:t>Direito Previdenciário</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E24FA" w14:textId="77777777" w:rsidR="005A5FCC" w:rsidRDefault="00A21C81">
    <w:pPr>
      <w:pStyle w:val="Cabealho"/>
      <w:pBdr>
        <w:bottom w:val="single" w:sz="4" w:space="2" w:color="D7CDBB"/>
      </w:pBdr>
      <w:jc w:val="right"/>
    </w:pPr>
    <w:r>
      <w:rPr>
        <w:rFonts w:cs="EB Garamond"/>
        <w:smallCaps/>
        <w:color w:val="6B6256"/>
        <w:kern w:val="16"/>
        <w:sz w:val="17"/>
        <w14:ligatures w14:val="standardContextual"/>
      </w:rPr>
      <w:t>Capítulo 6  |  Aposentadoria por Incapacidade Permanente</w: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D90EC" w14:textId="77777777" w:rsidR="005A5FCC" w:rsidRDefault="005A5FCC">
    <w:pPr>
      <w:pStyle w:val="Cabealho"/>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B0B09" w14:textId="77777777" w:rsidR="005A5FCC" w:rsidRDefault="00A21C81">
    <w:pPr>
      <w:pStyle w:val="Cabealho"/>
      <w:pBdr>
        <w:bottom w:val="single" w:sz="4" w:space="2" w:color="D7CDBB"/>
      </w:pBdr>
      <w:jc w:val="left"/>
    </w:pPr>
    <w:r>
      <w:rPr>
        <w:rFonts w:cs="EB Garamond"/>
        <w:smallCaps/>
        <w:color w:val="6B6256"/>
        <w:kern w:val="16"/>
        <w:sz w:val="17"/>
        <w14:ligatures w14:val="standardContextual"/>
      </w:rPr>
      <w:t>Direito Previdenciário</w: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192D9" w14:textId="77777777" w:rsidR="005A5FCC" w:rsidRDefault="00A21C81">
    <w:pPr>
      <w:pStyle w:val="Cabealho"/>
      <w:pBdr>
        <w:bottom w:val="single" w:sz="4" w:space="2" w:color="D7CDBB"/>
      </w:pBdr>
      <w:jc w:val="right"/>
    </w:pPr>
    <w:r>
      <w:rPr>
        <w:rFonts w:cs="EB Garamond"/>
        <w:smallCaps/>
        <w:color w:val="6B6256"/>
        <w:kern w:val="16"/>
        <w:sz w:val="17"/>
        <w14:ligatures w14:val="standardContextual"/>
      </w:rPr>
      <w:t>Capítulo 7  |  Auxílio por Incapacidade Temporária</w: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8BD09" w14:textId="77777777" w:rsidR="005A5FCC" w:rsidRDefault="005A5FCC">
    <w:pPr>
      <w:pStyle w:val="Cabealho"/>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00061" w14:textId="77777777" w:rsidR="005A5FCC" w:rsidRDefault="00A21C81">
    <w:pPr>
      <w:pStyle w:val="Cabealho"/>
      <w:pBdr>
        <w:bottom w:val="single" w:sz="4" w:space="2" w:color="D7CDBB"/>
      </w:pBdr>
      <w:jc w:val="left"/>
    </w:pPr>
    <w:r>
      <w:rPr>
        <w:rFonts w:cs="EB Garamond"/>
        <w:smallCaps/>
        <w:color w:val="6B6256"/>
        <w:kern w:val="16"/>
        <w:sz w:val="17"/>
        <w14:ligatures w14:val="standardContextual"/>
      </w:rPr>
      <w:t>Direito Previdenciário</w: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D2DCF" w14:textId="77777777" w:rsidR="005A5FCC" w:rsidRDefault="00A21C81">
    <w:pPr>
      <w:pStyle w:val="Cabealho"/>
      <w:pBdr>
        <w:bottom w:val="single" w:sz="4" w:space="2" w:color="D7CDBB"/>
      </w:pBdr>
      <w:jc w:val="right"/>
    </w:pPr>
    <w:r>
      <w:rPr>
        <w:rFonts w:cs="EB Garamond"/>
        <w:smallCaps/>
        <w:color w:val="6B6256"/>
        <w:kern w:val="16"/>
        <w:sz w:val="17"/>
        <w14:ligatures w14:val="standardContextual"/>
      </w:rPr>
      <w:t>Parte III</w: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CE0C1" w14:textId="77777777" w:rsidR="005A5FCC" w:rsidRDefault="005A5FCC">
    <w:pPr>
      <w:pStyle w:val="Cabealho"/>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CCA82" w14:textId="77777777" w:rsidR="005A5FCC" w:rsidRDefault="00A21C81">
    <w:pPr>
      <w:pStyle w:val="Cabealho"/>
      <w:pBdr>
        <w:bottom w:val="single" w:sz="4" w:space="2" w:color="D7CDBB"/>
      </w:pBdr>
      <w:jc w:val="left"/>
    </w:pPr>
    <w:r>
      <w:rPr>
        <w:rFonts w:cs="EB Garamond"/>
        <w:smallCaps/>
        <w:color w:val="6B6256"/>
        <w:kern w:val="16"/>
        <w:sz w:val="17"/>
        <w14:ligatures w14:val="standardContextual"/>
      </w:rPr>
      <w:t>Direito Previdenciário</w: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97435" w14:textId="77777777" w:rsidR="005A5FCC" w:rsidRDefault="00A21C81">
    <w:pPr>
      <w:pStyle w:val="Cabealho"/>
      <w:pBdr>
        <w:bottom w:val="single" w:sz="4" w:space="2" w:color="D7CDBB"/>
      </w:pBdr>
      <w:jc w:val="right"/>
    </w:pPr>
    <w:r>
      <w:rPr>
        <w:rFonts w:cs="EB Garamond"/>
        <w:smallCaps/>
        <w:color w:val="6B6256"/>
        <w:kern w:val="16"/>
        <w:sz w:val="17"/>
        <w14:ligatures w14:val="standardContextual"/>
      </w:rPr>
      <w:t>Capítulo 8  |  Aposentadoria Especial</w: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8163B" w14:textId="77777777" w:rsidR="005A5FCC" w:rsidRDefault="005A5FCC">
    <w:pPr>
      <w:pStyle w:val="Cabealho"/>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FD48F" w14:textId="77777777" w:rsidR="005A5FCC" w:rsidRDefault="00A21C81">
    <w:pPr>
      <w:pStyle w:val="Cabealho"/>
      <w:pBdr>
        <w:bottom w:val="single" w:sz="4" w:space="2" w:color="D7CDBB"/>
      </w:pBdr>
      <w:jc w:val="left"/>
    </w:pPr>
    <w:r>
      <w:rPr>
        <w:rFonts w:cs="EB Garamond"/>
        <w:smallCaps/>
        <w:color w:val="6B6256"/>
        <w:kern w:val="16"/>
        <w:sz w:val="17"/>
        <w14:ligatures w14:val="standardContextual"/>
      </w:rPr>
      <w:t>Direito Previdenciário</w: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2587B" w14:textId="77777777" w:rsidR="005A5FCC" w:rsidRDefault="00A21C81">
    <w:pPr>
      <w:pStyle w:val="Cabealho"/>
      <w:pBdr>
        <w:bottom w:val="single" w:sz="4" w:space="2" w:color="D7CDBB"/>
      </w:pBdr>
      <w:jc w:val="right"/>
    </w:pPr>
    <w:r>
      <w:rPr>
        <w:rFonts w:cs="EB Garamond"/>
        <w:smallCaps/>
        <w:color w:val="6B6256"/>
        <w:kern w:val="16"/>
        <w:sz w:val="17"/>
        <w14:ligatures w14:val="standardContextual"/>
      </w:rPr>
      <w:t>Capítulo 9  |  Aposentadoria do Segurado Rural</w: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4D2BB" w14:textId="77777777" w:rsidR="005A5FCC" w:rsidRDefault="005A5FCC">
    <w:pPr>
      <w:pStyle w:val="Cabealho"/>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79542" w14:textId="77777777" w:rsidR="005A5FCC" w:rsidRDefault="00A21C81">
    <w:pPr>
      <w:pStyle w:val="Cabealho"/>
      <w:pBdr>
        <w:bottom w:val="single" w:sz="4" w:space="2" w:color="D7CDBB"/>
      </w:pBdr>
      <w:jc w:val="left"/>
    </w:pPr>
    <w:r>
      <w:rPr>
        <w:rFonts w:cs="EB Garamond"/>
        <w:smallCaps/>
        <w:color w:val="6B6256"/>
        <w:kern w:val="16"/>
        <w:sz w:val="17"/>
        <w14:ligatures w14:val="standardContextual"/>
      </w:rPr>
      <w:t>Direito Previdenciário</w: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A2E59" w14:textId="77777777" w:rsidR="005A5FCC" w:rsidRDefault="00A21C81">
    <w:pPr>
      <w:pStyle w:val="Cabealho"/>
      <w:pBdr>
        <w:bottom w:val="single" w:sz="4" w:space="2" w:color="D7CDBB"/>
      </w:pBdr>
      <w:jc w:val="right"/>
    </w:pPr>
    <w:r>
      <w:rPr>
        <w:rFonts w:cs="EB Garamond"/>
        <w:smallCaps/>
        <w:color w:val="6B6256"/>
        <w:kern w:val="16"/>
        <w:sz w:val="17"/>
        <w14:ligatures w14:val="standardContextual"/>
      </w:rPr>
      <w:t>Capítulo 10  |  Aposentadoria Programada e Aposentadoria por Idade Urbana</w: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2B0B5" w14:textId="77777777" w:rsidR="005A5FCC" w:rsidRDefault="005A5FCC">
    <w:pPr>
      <w:pStyle w:val="Cabealho"/>
    </w:pP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39B74" w14:textId="77777777" w:rsidR="005A5FCC" w:rsidRDefault="00A21C81">
    <w:pPr>
      <w:pStyle w:val="Cabealho"/>
      <w:pBdr>
        <w:bottom w:val="single" w:sz="4" w:space="2" w:color="D7CDBB"/>
      </w:pBdr>
      <w:jc w:val="left"/>
    </w:pPr>
    <w:r>
      <w:rPr>
        <w:rFonts w:cs="EB Garamond"/>
        <w:smallCaps/>
        <w:color w:val="6B6256"/>
        <w:kern w:val="16"/>
        <w:sz w:val="17"/>
        <w14:ligatures w14:val="standardContextual"/>
      </w:rPr>
      <w:t>Direito Previdenciário</w:t>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96BC3" w14:textId="77777777" w:rsidR="005A5FCC" w:rsidRDefault="00A21C81">
    <w:pPr>
      <w:pStyle w:val="Cabealho"/>
      <w:pBdr>
        <w:bottom w:val="single" w:sz="4" w:space="2" w:color="D7CDBB"/>
      </w:pBdr>
      <w:jc w:val="right"/>
    </w:pPr>
    <w:r>
      <w:rPr>
        <w:rFonts w:cs="EB Garamond"/>
        <w:smallCaps/>
        <w:color w:val="6B6256"/>
        <w:kern w:val="16"/>
        <w:sz w:val="17"/>
        <w14:ligatures w14:val="standardContextual"/>
      </w:rPr>
      <w:t>Capítulo 11  |  Aposentadoria por Tempo de Contribuição e Regras de Transição</w: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7FB74" w14:textId="77777777" w:rsidR="005A5FCC" w:rsidRDefault="005A5FCC">
    <w:pPr>
      <w:pStyle w:val="Cabealho"/>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23BA0" w14:textId="77777777" w:rsidR="005A5FCC" w:rsidRDefault="00A21C81">
    <w:pPr>
      <w:pStyle w:val="Cabealho"/>
      <w:pBdr>
        <w:bottom w:val="single" w:sz="4" w:space="2" w:color="D7CDBB"/>
      </w:pBdr>
      <w:jc w:val="left"/>
    </w:pPr>
    <w:r>
      <w:rPr>
        <w:rFonts w:cs="EB Garamond"/>
        <w:smallCaps/>
        <w:color w:val="6B6256"/>
        <w:kern w:val="16"/>
        <w:sz w:val="17"/>
        <w14:ligatures w14:val="standardContextual"/>
      </w:rPr>
      <w:t>Direito Previdenciário</w:t>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55977" w14:textId="77777777" w:rsidR="005A5FCC" w:rsidRDefault="00A21C81">
    <w:pPr>
      <w:pStyle w:val="Cabealho"/>
      <w:pBdr>
        <w:bottom w:val="single" w:sz="4" w:space="2" w:color="D7CDBB"/>
      </w:pBdr>
      <w:jc w:val="right"/>
    </w:pPr>
    <w:r>
      <w:rPr>
        <w:rFonts w:cs="EB Garamond"/>
        <w:smallCaps/>
        <w:color w:val="6B6256"/>
        <w:kern w:val="16"/>
        <w:sz w:val="17"/>
        <w14:ligatures w14:val="standardContextual"/>
      </w:rPr>
      <w:t>Capítulo 12  |  Aposentadoria da Pessoa com Deficiência (LC 142/2013)</w: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CE780" w14:textId="77777777" w:rsidR="005A5FCC" w:rsidRDefault="005A5FCC">
    <w:pPr>
      <w:pStyle w:val="Cabealho"/>
    </w:pP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A0530" w14:textId="77777777" w:rsidR="005A5FCC" w:rsidRDefault="00A21C81">
    <w:pPr>
      <w:pStyle w:val="Cabealho"/>
      <w:pBdr>
        <w:bottom w:val="single" w:sz="4" w:space="2" w:color="D7CDBB"/>
      </w:pBdr>
      <w:jc w:val="left"/>
    </w:pPr>
    <w:r>
      <w:rPr>
        <w:rFonts w:cs="EB Garamond"/>
        <w:smallCaps/>
        <w:color w:val="6B6256"/>
        <w:kern w:val="16"/>
        <w:sz w:val="17"/>
        <w14:ligatures w14:val="standardContextual"/>
      </w:rPr>
      <w:t>Direito Previdenciário</w:t>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CEB56" w14:textId="77777777" w:rsidR="005A5FCC" w:rsidRDefault="00A21C81">
    <w:pPr>
      <w:pStyle w:val="Cabealho"/>
      <w:pBdr>
        <w:bottom w:val="single" w:sz="4" w:space="2" w:color="D7CDBB"/>
      </w:pBdr>
      <w:jc w:val="right"/>
    </w:pPr>
    <w:r>
      <w:rPr>
        <w:rFonts w:cs="EB Garamond"/>
        <w:smallCaps/>
        <w:color w:val="6B6256"/>
        <w:kern w:val="16"/>
        <w:sz w:val="17"/>
        <w14:ligatures w14:val="standardContextual"/>
      </w:rPr>
      <w:t>Parte IV</w:t>
    </w: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9662A" w14:textId="77777777" w:rsidR="005A5FCC" w:rsidRDefault="005A5FCC">
    <w:pPr>
      <w:pStyle w:val="Cabealho"/>
    </w:pP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13F5E" w14:textId="77777777" w:rsidR="005A5FCC" w:rsidRDefault="00A21C81">
    <w:pPr>
      <w:pStyle w:val="Cabealho"/>
      <w:pBdr>
        <w:bottom w:val="single" w:sz="4" w:space="2" w:color="D7CDBB"/>
      </w:pBdr>
      <w:jc w:val="left"/>
    </w:pPr>
    <w:r>
      <w:rPr>
        <w:rFonts w:cs="EB Garamond"/>
        <w:smallCaps/>
        <w:color w:val="6B6256"/>
        <w:kern w:val="16"/>
        <w:sz w:val="17"/>
        <w14:ligatures w14:val="standardContextual"/>
      </w:rPr>
      <w:t>Direito Previdenciário</w:t>
    </w: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0CC43" w14:textId="77777777" w:rsidR="005A5FCC" w:rsidRDefault="00A21C81">
    <w:pPr>
      <w:pStyle w:val="Cabealho"/>
      <w:pBdr>
        <w:bottom w:val="single" w:sz="4" w:space="2" w:color="D7CDBB"/>
      </w:pBdr>
      <w:jc w:val="right"/>
    </w:pPr>
    <w:r>
      <w:rPr>
        <w:rFonts w:cs="EB Garamond"/>
        <w:smallCaps/>
        <w:color w:val="6B6256"/>
        <w:kern w:val="16"/>
        <w:sz w:val="17"/>
        <w14:ligatures w14:val="standardContextual"/>
      </w:rPr>
      <w:t>Capítulo 13  |  Salário-Maternidade</w:t>
    </w: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5E493" w14:textId="77777777" w:rsidR="005A5FCC" w:rsidRDefault="005A5FCC">
    <w:pPr>
      <w:pStyle w:val="Cabealho"/>
    </w:pP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3DAF0" w14:textId="77777777" w:rsidR="005A5FCC" w:rsidRDefault="00A21C81">
    <w:pPr>
      <w:pStyle w:val="Cabealho"/>
      <w:pBdr>
        <w:bottom w:val="single" w:sz="4" w:space="2" w:color="D7CDBB"/>
      </w:pBdr>
      <w:jc w:val="left"/>
    </w:pPr>
    <w:r>
      <w:rPr>
        <w:rFonts w:cs="EB Garamond"/>
        <w:smallCaps/>
        <w:color w:val="6B6256"/>
        <w:kern w:val="16"/>
        <w:sz w:val="17"/>
        <w14:ligatures w14:val="standardContextual"/>
      </w:rPr>
      <w:t>Direito Previdenciário</w:t>
    </w: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654E6" w14:textId="77777777" w:rsidR="005A5FCC" w:rsidRDefault="00A21C81">
    <w:pPr>
      <w:pStyle w:val="Cabealho"/>
      <w:pBdr>
        <w:bottom w:val="single" w:sz="4" w:space="2" w:color="D7CDBB"/>
      </w:pBdr>
      <w:jc w:val="right"/>
    </w:pPr>
    <w:r>
      <w:rPr>
        <w:rFonts w:cs="EB Garamond"/>
        <w:smallCaps/>
        <w:color w:val="6B6256"/>
        <w:kern w:val="16"/>
        <w:sz w:val="17"/>
        <w14:ligatures w14:val="standardContextual"/>
      </w:rPr>
      <w:t>Capítulo 14  |  Auxílio-Reclusão</w:t>
    </w: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EBA56" w14:textId="77777777" w:rsidR="005A5FCC" w:rsidRDefault="005A5FCC">
    <w:pPr>
      <w:pStyle w:val="Cabealho"/>
    </w:pP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6C10D" w14:textId="77777777" w:rsidR="005A5FCC" w:rsidRDefault="00A21C81">
    <w:pPr>
      <w:pStyle w:val="Cabealho"/>
      <w:pBdr>
        <w:bottom w:val="single" w:sz="4" w:space="2" w:color="D7CDBB"/>
      </w:pBdr>
      <w:jc w:val="left"/>
    </w:pPr>
    <w:r>
      <w:rPr>
        <w:rFonts w:cs="EB Garamond"/>
        <w:smallCaps/>
        <w:color w:val="6B6256"/>
        <w:kern w:val="16"/>
        <w:sz w:val="17"/>
        <w14:ligatures w14:val="standardContextual"/>
      </w:rPr>
      <w:t>Direito Previdenciário</w:t>
    </w: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1ED12" w14:textId="77777777" w:rsidR="005A5FCC" w:rsidRDefault="00A21C81">
    <w:pPr>
      <w:pStyle w:val="Cabealho"/>
      <w:pBdr>
        <w:bottom w:val="single" w:sz="4" w:space="2" w:color="D7CDBB"/>
      </w:pBdr>
      <w:jc w:val="right"/>
    </w:pPr>
    <w:r>
      <w:rPr>
        <w:rFonts w:cs="EB Garamond"/>
        <w:smallCaps/>
        <w:color w:val="6B6256"/>
        <w:kern w:val="16"/>
        <w:sz w:val="17"/>
        <w14:ligatures w14:val="standardContextual"/>
      </w:rPr>
      <w:t>Capítulo 15  |  Auxílio-Acidente e Salário-Família</w:t>
    </w: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C6CEF" w14:textId="77777777" w:rsidR="005A5FCC" w:rsidRDefault="005A5FCC">
    <w:pPr>
      <w:pStyle w:val="Cabealho"/>
    </w:pP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F9A6B" w14:textId="77777777" w:rsidR="005A5FCC" w:rsidRDefault="00A21C81">
    <w:pPr>
      <w:pStyle w:val="Cabealho"/>
      <w:pBdr>
        <w:bottom w:val="single" w:sz="4" w:space="2" w:color="D7CDBB"/>
      </w:pBdr>
      <w:jc w:val="left"/>
    </w:pPr>
    <w:r>
      <w:rPr>
        <w:rFonts w:cs="EB Garamond"/>
        <w:smallCaps/>
        <w:color w:val="6B6256"/>
        <w:kern w:val="16"/>
        <w:sz w:val="17"/>
        <w14:ligatures w14:val="standardContextual"/>
      </w:rPr>
      <w:t>Direito Previdenciário</w:t>
    </w: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6DA92" w14:textId="77777777" w:rsidR="005A5FCC" w:rsidRDefault="00A21C81">
    <w:pPr>
      <w:pStyle w:val="Cabealho"/>
      <w:pBdr>
        <w:bottom w:val="single" w:sz="4" w:space="2" w:color="D7CDBB"/>
      </w:pBdr>
      <w:jc w:val="right"/>
    </w:pPr>
    <w:r>
      <w:rPr>
        <w:rFonts w:cs="EB Garamond"/>
        <w:smallCaps/>
        <w:color w:val="6B6256"/>
        <w:kern w:val="16"/>
        <w:sz w:val="17"/>
        <w14:ligatures w14:val="standardContextual"/>
      </w:rPr>
      <w:t>Capítulo 16  |  Cálculo do Benefício: Salário de Benefício e RMI</w:t>
    </w: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87553" w14:textId="77777777" w:rsidR="005A5FCC" w:rsidRDefault="005A5FCC">
    <w:pPr>
      <w:pStyle w:val="Cabealho"/>
    </w:pP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6B3B8" w14:textId="77777777" w:rsidR="005A5FCC" w:rsidRDefault="00A21C81">
    <w:pPr>
      <w:pStyle w:val="Cabealho"/>
      <w:pBdr>
        <w:bottom w:val="single" w:sz="4" w:space="2" w:color="D7CDBB"/>
      </w:pBdr>
      <w:jc w:val="left"/>
    </w:pPr>
    <w:r>
      <w:rPr>
        <w:rFonts w:cs="EB Garamond"/>
        <w:smallCaps/>
        <w:color w:val="6B6256"/>
        <w:kern w:val="16"/>
        <w:sz w:val="17"/>
        <w14:ligatures w14:val="standardContextual"/>
      </w:rPr>
      <w:t>Direito Previdenciário</w:t>
    </w: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3C882" w14:textId="77777777" w:rsidR="005A5FCC" w:rsidRDefault="00A21C81">
    <w:pPr>
      <w:pStyle w:val="Cabealho"/>
      <w:pBdr>
        <w:bottom w:val="single" w:sz="4" w:space="2" w:color="D7CDBB"/>
      </w:pBdr>
      <w:jc w:val="right"/>
    </w:pPr>
    <w:r>
      <w:rPr>
        <w:rFonts w:cs="EB Garamond"/>
        <w:smallCaps/>
        <w:color w:val="6B6256"/>
        <w:kern w:val="16"/>
        <w:sz w:val="17"/>
        <w14:ligatures w14:val="standardContextual"/>
      </w:rPr>
      <w:t>Capítulo 17  |  Revisão de Benefícios Previdenciários</w:t>
    </w: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9FEE5" w14:textId="77777777" w:rsidR="005A5FCC" w:rsidRDefault="005A5FCC">
    <w:pPr>
      <w:pStyle w:val="Cabealho"/>
    </w:pP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4814B" w14:textId="77777777" w:rsidR="005A5FCC" w:rsidRDefault="00A21C81">
    <w:pPr>
      <w:pStyle w:val="Cabealho"/>
      <w:pBdr>
        <w:bottom w:val="single" w:sz="4" w:space="2" w:color="D7CDBB"/>
      </w:pBdr>
      <w:jc w:val="left"/>
    </w:pPr>
    <w:r>
      <w:rPr>
        <w:rFonts w:cs="EB Garamond"/>
        <w:smallCaps/>
        <w:color w:val="6B6256"/>
        <w:kern w:val="16"/>
        <w:sz w:val="17"/>
        <w14:ligatures w14:val="standardContextual"/>
      </w:rPr>
      <w:t>Direito Previdenciário</w:t>
    </w:r>
  </w:p>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76D35" w14:textId="77777777" w:rsidR="005A5FCC" w:rsidRDefault="00A21C81">
    <w:pPr>
      <w:pStyle w:val="Cabealho"/>
      <w:pBdr>
        <w:bottom w:val="single" w:sz="4" w:space="2" w:color="D7CDBB"/>
      </w:pBdr>
      <w:jc w:val="right"/>
    </w:pPr>
    <w:r>
      <w:rPr>
        <w:rFonts w:cs="EB Garamond"/>
        <w:smallCaps/>
        <w:color w:val="6B6256"/>
        <w:kern w:val="16"/>
        <w:sz w:val="17"/>
        <w14:ligatures w14:val="standardContextual"/>
      </w:rPr>
      <w:t>Capítulo 18  |  Benefício de Prestação Continuada (LOAS/BPC)</w:t>
    </w:r>
  </w:p>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BC713" w14:textId="77777777" w:rsidR="005A5FCC" w:rsidRDefault="005A5FCC">
    <w:pPr>
      <w:pStyle w:val="Cabealho"/>
    </w:pPr>
  </w:p>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0FD1A" w14:textId="77777777" w:rsidR="005A5FCC" w:rsidRDefault="00A21C81">
    <w:pPr>
      <w:pStyle w:val="Cabealho"/>
      <w:pBdr>
        <w:bottom w:val="single" w:sz="4" w:space="2" w:color="D7CDBB"/>
      </w:pBdr>
      <w:jc w:val="left"/>
    </w:pPr>
    <w:r>
      <w:rPr>
        <w:rFonts w:cs="EB Garamond"/>
        <w:smallCaps/>
        <w:color w:val="6B6256"/>
        <w:kern w:val="16"/>
        <w:sz w:val="17"/>
        <w14:ligatures w14:val="standardContextual"/>
      </w:rPr>
      <w:t>Direito Previdenciário</w:t>
    </w:r>
  </w:p>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8B213" w14:textId="77777777" w:rsidR="005A5FCC" w:rsidRDefault="00A21C81">
    <w:pPr>
      <w:pStyle w:val="Cabealho"/>
      <w:pBdr>
        <w:bottom w:val="single" w:sz="4" w:space="2" w:color="D7CDBB"/>
      </w:pBdr>
      <w:jc w:val="right"/>
    </w:pPr>
    <w:r>
      <w:rPr>
        <w:rFonts w:cs="EB Garamond"/>
        <w:smallCaps/>
        <w:color w:val="6B6256"/>
        <w:kern w:val="16"/>
        <w:sz w:val="17"/>
        <w14:ligatures w14:val="standardContextual"/>
      </w:rPr>
      <w:t>Capítulo 19  |  Pensão por Morte</w:t>
    </w:r>
  </w:p>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4BAFB" w14:textId="77777777" w:rsidR="005A5FCC" w:rsidRDefault="005A5FCC">
    <w:pPr>
      <w:pStyle w:val="Cabealho"/>
    </w:pPr>
  </w:p>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ED3BD" w14:textId="77777777" w:rsidR="005A5FCC" w:rsidRDefault="00A21C81">
    <w:pPr>
      <w:pStyle w:val="Cabealho"/>
      <w:pBdr>
        <w:bottom w:val="single" w:sz="4" w:space="2" w:color="D7CDBB"/>
      </w:pBdr>
      <w:jc w:val="left"/>
    </w:pPr>
    <w:r>
      <w:rPr>
        <w:rFonts w:cs="EB Garamond"/>
        <w:smallCaps/>
        <w:color w:val="6B6256"/>
        <w:kern w:val="16"/>
        <w:sz w:val="17"/>
        <w14:ligatures w14:val="standardContextual"/>
      </w:rPr>
      <w:t>Direito Previdenciário</w:t>
    </w:r>
  </w:p>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10A8D" w14:textId="77777777" w:rsidR="005A5FCC" w:rsidRDefault="00A21C81">
    <w:pPr>
      <w:pStyle w:val="Cabealho"/>
      <w:pBdr>
        <w:bottom w:val="single" w:sz="4" w:space="2" w:color="D7CDBB"/>
      </w:pBdr>
      <w:jc w:val="right"/>
    </w:pPr>
    <w:r>
      <w:rPr>
        <w:rFonts w:cs="EB Garamond"/>
        <w:smallCaps/>
        <w:color w:val="6B6256"/>
        <w:kern w:val="16"/>
        <w:sz w:val="17"/>
        <w14:ligatures w14:val="standardContextual"/>
      </w:rPr>
      <w:t>Parte V</w:t>
    </w:r>
  </w:p>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8B08E" w14:textId="77777777" w:rsidR="005A5FCC" w:rsidRDefault="005A5FCC">
    <w:pPr>
      <w:pStyle w:val="Cabealho"/>
    </w:pPr>
  </w:p>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89130" w14:textId="77777777" w:rsidR="005A5FCC" w:rsidRDefault="00A21C81">
    <w:pPr>
      <w:pStyle w:val="Cabealho"/>
      <w:pBdr>
        <w:bottom w:val="single" w:sz="4" w:space="2" w:color="D7CDBB"/>
      </w:pBdr>
      <w:jc w:val="left"/>
    </w:pPr>
    <w:r>
      <w:rPr>
        <w:rFonts w:cs="EB Garamond"/>
        <w:smallCaps/>
        <w:color w:val="6B6256"/>
        <w:kern w:val="16"/>
        <w:sz w:val="17"/>
        <w14:ligatures w14:val="standardContextual"/>
      </w:rPr>
      <w:t>Direito Previdenciário</w:t>
    </w:r>
  </w:p>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9C964" w14:textId="77777777" w:rsidR="005A5FCC" w:rsidRDefault="00A21C81">
    <w:pPr>
      <w:pStyle w:val="Cabealho"/>
      <w:pBdr>
        <w:bottom w:val="single" w:sz="4" w:space="2" w:color="D7CDBB"/>
      </w:pBdr>
      <w:jc w:val="right"/>
    </w:pPr>
    <w:r>
      <w:rPr>
        <w:rFonts w:cs="EB Garamond"/>
        <w:smallCaps/>
        <w:color w:val="6B6256"/>
        <w:kern w:val="16"/>
        <w:sz w:val="17"/>
        <w14:ligatures w14:val="standardContextual"/>
      </w:rPr>
      <w:t>Capítulo 20  |  Acumulação de Benefícios</w:t>
    </w:r>
  </w:p>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5A80B" w14:textId="77777777" w:rsidR="005A5FCC" w:rsidRDefault="005A5FCC">
    <w:pPr>
      <w:pStyle w:val="Cabealho"/>
    </w:pPr>
  </w:p>
</w:hdr>
</file>

<file path=word/header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54A95" w14:textId="77777777" w:rsidR="005A5FCC" w:rsidRDefault="00A21C81">
    <w:pPr>
      <w:pStyle w:val="Cabealho"/>
      <w:pBdr>
        <w:bottom w:val="single" w:sz="4" w:space="2" w:color="D7CDBB"/>
      </w:pBdr>
      <w:jc w:val="left"/>
    </w:pPr>
    <w:r>
      <w:rPr>
        <w:rFonts w:cs="EB Garamond"/>
        <w:smallCaps/>
        <w:color w:val="6B6256"/>
        <w:kern w:val="16"/>
        <w:sz w:val="17"/>
        <w14:ligatures w14:val="standardContextual"/>
      </w:rPr>
      <w:t>Direito Previdenciário</w:t>
    </w:r>
  </w:p>
</w:hdr>
</file>

<file path=word/header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0D06F" w14:textId="77777777" w:rsidR="005A5FCC" w:rsidRDefault="00A21C81">
    <w:pPr>
      <w:pStyle w:val="Cabealho"/>
      <w:pBdr>
        <w:bottom w:val="single" w:sz="4" w:space="2" w:color="D7CDBB"/>
      </w:pBdr>
      <w:jc w:val="right"/>
    </w:pPr>
    <w:r>
      <w:rPr>
        <w:rFonts w:cs="EB Garamond"/>
        <w:smallCaps/>
        <w:color w:val="6B6256"/>
        <w:kern w:val="16"/>
        <w:sz w:val="17"/>
        <w14:ligatures w14:val="standardContextual"/>
      </w:rPr>
      <w:t>Capítulo 21  |  Decadência, Prescrição e Coisa Julgada Previdenciária</w:t>
    </w:r>
  </w:p>
</w:hdr>
</file>

<file path=word/header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5D96B" w14:textId="77777777" w:rsidR="005A5FCC" w:rsidRDefault="005A5FCC">
    <w:pPr>
      <w:pStyle w:val="Cabealho"/>
    </w:pPr>
  </w:p>
</w:hdr>
</file>

<file path=word/header1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4173B" w14:textId="77777777" w:rsidR="005A5FCC" w:rsidRDefault="00A21C81">
    <w:pPr>
      <w:pStyle w:val="Cabealho"/>
      <w:pBdr>
        <w:bottom w:val="single" w:sz="4" w:space="2" w:color="D7CDBB"/>
      </w:pBdr>
      <w:jc w:val="left"/>
    </w:pPr>
    <w:r>
      <w:rPr>
        <w:rFonts w:cs="EB Garamond"/>
        <w:smallCaps/>
        <w:color w:val="6B6256"/>
        <w:kern w:val="16"/>
        <w:sz w:val="17"/>
        <w14:ligatures w14:val="standardContextual"/>
      </w:rPr>
      <w:t>Direito Previdenciário</w:t>
    </w:r>
  </w:p>
</w:hdr>
</file>

<file path=word/header1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04E9C" w14:textId="77777777" w:rsidR="005A5FCC" w:rsidRDefault="00A21C81">
    <w:pPr>
      <w:pStyle w:val="Cabealho"/>
      <w:pBdr>
        <w:bottom w:val="single" w:sz="4" w:space="2" w:color="D7CDBB"/>
      </w:pBdr>
      <w:jc w:val="right"/>
    </w:pPr>
    <w:r>
      <w:rPr>
        <w:rFonts w:cs="EB Garamond"/>
        <w:smallCaps/>
        <w:color w:val="6B6256"/>
        <w:kern w:val="16"/>
        <w:sz w:val="17"/>
        <w14:ligatures w14:val="standardContextual"/>
      </w:rPr>
      <w:t>Parte VI</w:t>
    </w:r>
  </w:p>
</w:hdr>
</file>

<file path=word/header1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16147" w14:textId="77777777" w:rsidR="005A5FCC" w:rsidRDefault="005A5FCC">
    <w:pPr>
      <w:pStyle w:val="Cabealho"/>
    </w:pPr>
  </w:p>
</w:hdr>
</file>

<file path=word/header1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1E59A" w14:textId="77777777" w:rsidR="005A5FCC" w:rsidRDefault="00A21C81">
    <w:pPr>
      <w:pStyle w:val="Cabealho"/>
      <w:pBdr>
        <w:bottom w:val="single" w:sz="4" w:space="2" w:color="D7CDBB"/>
      </w:pBdr>
      <w:jc w:val="left"/>
    </w:pPr>
    <w:r>
      <w:rPr>
        <w:rFonts w:cs="EB Garamond"/>
        <w:smallCaps/>
        <w:color w:val="6B6256"/>
        <w:kern w:val="16"/>
        <w:sz w:val="17"/>
        <w14:ligatures w14:val="standardContextual"/>
      </w:rPr>
      <w:t>Direito Previdenciário</w:t>
    </w:r>
  </w:p>
</w:hdr>
</file>

<file path=word/header1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A9CDC" w14:textId="77777777" w:rsidR="005A5FCC" w:rsidRDefault="00A21C81">
    <w:pPr>
      <w:pStyle w:val="Cabealho"/>
      <w:pBdr>
        <w:bottom w:val="single" w:sz="4" w:space="2" w:color="D7CDBB"/>
      </w:pBdr>
      <w:jc w:val="right"/>
    </w:pPr>
    <w:r>
      <w:rPr>
        <w:rFonts w:cs="EB Garamond"/>
        <w:smallCaps/>
        <w:color w:val="6B6256"/>
        <w:kern w:val="16"/>
        <w:sz w:val="17"/>
        <w14:ligatures w14:val="standardContextual"/>
      </w:rPr>
      <w:t>Capítulo 22  |  Processo Administrativo Previdenciário</w:t>
    </w:r>
  </w:p>
</w:hdr>
</file>

<file path=word/header1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2C74E" w14:textId="77777777" w:rsidR="005A5FCC" w:rsidRDefault="005A5FCC">
    <w:pPr>
      <w:pStyle w:val="Cabealho"/>
    </w:pPr>
  </w:p>
</w:hdr>
</file>

<file path=word/header1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70C52" w14:textId="77777777" w:rsidR="005A5FCC" w:rsidRDefault="00A21C81">
    <w:pPr>
      <w:pStyle w:val="Cabealho"/>
      <w:pBdr>
        <w:bottom w:val="single" w:sz="4" w:space="2" w:color="D7CDBB"/>
      </w:pBdr>
      <w:jc w:val="left"/>
    </w:pPr>
    <w:r>
      <w:rPr>
        <w:rFonts w:cs="EB Garamond"/>
        <w:smallCaps/>
        <w:color w:val="6B6256"/>
        <w:kern w:val="16"/>
        <w:sz w:val="17"/>
        <w14:ligatures w14:val="standardContextual"/>
      </w:rPr>
      <w:t>Direito Previdenciário</w:t>
    </w:r>
  </w:p>
</w:hdr>
</file>

<file path=word/header1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318BE" w14:textId="77777777" w:rsidR="005A5FCC" w:rsidRDefault="00A21C81">
    <w:pPr>
      <w:pStyle w:val="Cabealho"/>
      <w:pBdr>
        <w:bottom w:val="single" w:sz="4" w:space="2" w:color="D7CDBB"/>
      </w:pBdr>
      <w:jc w:val="right"/>
    </w:pPr>
    <w:r>
      <w:rPr>
        <w:rFonts w:cs="EB Garamond"/>
        <w:smallCaps/>
        <w:color w:val="6B6256"/>
        <w:kern w:val="16"/>
        <w:sz w:val="17"/>
        <w14:ligatures w14:val="standardContextual"/>
      </w:rPr>
      <w:t>Capítulo 23  |  Competência e Procedimento no JEF</w:t>
    </w:r>
  </w:p>
</w:hdr>
</file>

<file path=word/header1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6A8F1" w14:textId="77777777" w:rsidR="005A5FCC" w:rsidRDefault="005A5FCC">
    <w:pPr>
      <w:pStyle w:val="Cabealho"/>
    </w:pPr>
  </w:p>
</w:hdr>
</file>

<file path=word/header1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19C89" w14:textId="77777777" w:rsidR="005A5FCC" w:rsidRDefault="00A21C81">
    <w:pPr>
      <w:pStyle w:val="Cabealho"/>
      <w:pBdr>
        <w:bottom w:val="single" w:sz="4" w:space="2" w:color="D7CDBB"/>
      </w:pBdr>
      <w:jc w:val="left"/>
    </w:pPr>
    <w:r>
      <w:rPr>
        <w:rFonts w:cs="EB Garamond"/>
        <w:smallCaps/>
        <w:color w:val="6B6256"/>
        <w:kern w:val="16"/>
        <w:sz w:val="17"/>
        <w14:ligatures w14:val="standardContextual"/>
      </w:rPr>
      <w:t>Direito Previdenciário</w:t>
    </w:r>
  </w:p>
</w:hdr>
</file>

<file path=word/header1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1D878" w14:textId="77777777" w:rsidR="005A5FCC" w:rsidRDefault="00A21C81">
    <w:pPr>
      <w:pStyle w:val="Cabealho"/>
      <w:pBdr>
        <w:bottom w:val="single" w:sz="4" w:space="2" w:color="D7CDBB"/>
      </w:pBdr>
      <w:jc w:val="right"/>
    </w:pPr>
    <w:r>
      <w:rPr>
        <w:rFonts w:cs="EB Garamond"/>
        <w:smallCaps/>
        <w:color w:val="6B6256"/>
        <w:kern w:val="16"/>
        <w:sz w:val="17"/>
        <w14:ligatures w14:val="standardContextual"/>
      </w:rPr>
      <w:t>Referências</w:t>
    </w:r>
  </w:p>
</w:hdr>
</file>

<file path=word/header1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6EA16" w14:textId="77777777" w:rsidR="005A5FCC" w:rsidRDefault="005A5FCC">
    <w:pPr>
      <w:pStyle w:val="Cabealho"/>
    </w:pPr>
  </w:p>
</w:hdr>
</file>

<file path=word/header1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8D0E6" w14:textId="77777777" w:rsidR="005A5FCC" w:rsidRDefault="00A21C81">
    <w:pPr>
      <w:pStyle w:val="Cabealho"/>
      <w:pBdr>
        <w:bottom w:val="single" w:sz="4" w:space="2" w:color="D7CDBB"/>
      </w:pBdr>
      <w:jc w:val="left"/>
    </w:pPr>
    <w:r>
      <w:rPr>
        <w:rFonts w:cs="EB Garamond"/>
        <w:smallCaps/>
        <w:color w:val="6B6256"/>
        <w:kern w:val="16"/>
        <w:sz w:val="17"/>
        <w14:ligatures w14:val="standardContextual"/>
      </w:rPr>
      <w:t>Direito Previdenciário</w:t>
    </w:r>
  </w:p>
</w:hdr>
</file>

<file path=word/header1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DEFAC" w14:textId="77777777" w:rsidR="005A5FCC" w:rsidRDefault="00A21C81">
    <w:pPr>
      <w:pStyle w:val="Cabealho"/>
      <w:pBdr>
        <w:bottom w:val="single" w:sz="4" w:space="2" w:color="D7CDBB"/>
      </w:pBdr>
      <w:jc w:val="right"/>
    </w:pPr>
    <w:r>
      <w:rPr>
        <w:rFonts w:cs="EB Garamond"/>
        <w:smallCaps/>
        <w:color w:val="6B6256"/>
        <w:kern w:val="16"/>
        <w:sz w:val="17"/>
        <w14:ligatures w14:val="standardContextual"/>
      </w:rPr>
      <w:t>Índice Remissivo</w:t>
    </w:r>
  </w:p>
</w:hdr>
</file>

<file path=word/header1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436FD" w14:textId="77777777" w:rsidR="005A5FCC" w:rsidRDefault="005A5FCC">
    <w:pPr>
      <w:pStyle w:val="Cabealho"/>
    </w:pPr>
  </w:p>
</w:hdr>
</file>

<file path=word/header1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20884" w14:textId="77777777" w:rsidR="005A5FCC" w:rsidRDefault="00A21C81">
    <w:pPr>
      <w:pStyle w:val="Cabealho"/>
      <w:pBdr>
        <w:bottom w:val="single" w:sz="4" w:space="2" w:color="D7CDBB"/>
      </w:pBdr>
      <w:jc w:val="left"/>
    </w:pPr>
    <w:r>
      <w:rPr>
        <w:rFonts w:cs="EB Garamond"/>
        <w:smallCaps/>
        <w:color w:val="6B6256"/>
        <w:kern w:val="16"/>
        <w:sz w:val="17"/>
        <w14:ligatures w14:val="standardContextual"/>
      </w:rPr>
      <w:t>Direito Previdenciário</w:t>
    </w:r>
  </w:p>
</w:hdr>
</file>

<file path=word/header1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892E4" w14:textId="77777777" w:rsidR="005A5FCC" w:rsidRDefault="00A21C81">
    <w:pPr>
      <w:pStyle w:val="Cabealho"/>
      <w:pBdr>
        <w:bottom w:val="single" w:sz="4" w:space="2" w:color="D7CDBB"/>
      </w:pBdr>
      <w:jc w:val="right"/>
    </w:pPr>
    <w:r>
      <w:rPr>
        <w:rFonts w:cs="EB Garamond"/>
        <w:smallCaps/>
        <w:color w:val="6B6256"/>
        <w:kern w:val="16"/>
        <w:sz w:val="17"/>
        <w14:ligatures w14:val="standardContextual"/>
      </w:rPr>
      <w:t>Sobre os Autores</w:t>
    </w:r>
  </w:p>
</w:hdr>
</file>

<file path=word/header1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DAAEE" w14:textId="77777777" w:rsidR="005A5FCC" w:rsidRDefault="005A5FCC">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21582872">
    <w:abstractNumId w:val="8"/>
  </w:num>
  <w:num w:numId="2" w16cid:durableId="197471814">
    <w:abstractNumId w:val="6"/>
  </w:num>
  <w:num w:numId="3" w16cid:durableId="136530693">
    <w:abstractNumId w:val="5"/>
  </w:num>
  <w:num w:numId="4" w16cid:durableId="470287821">
    <w:abstractNumId w:val="4"/>
  </w:num>
  <w:num w:numId="5" w16cid:durableId="1618756556">
    <w:abstractNumId w:val="7"/>
  </w:num>
  <w:num w:numId="6" w16cid:durableId="702485738">
    <w:abstractNumId w:val="3"/>
  </w:num>
  <w:num w:numId="7" w16cid:durableId="1064371805">
    <w:abstractNumId w:val="2"/>
  </w:num>
  <w:num w:numId="8" w16cid:durableId="620265067">
    <w:abstractNumId w:val="1"/>
  </w:num>
  <w:num w:numId="9" w16cid:durableId="135916131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ngrid Moura">
    <w15:presenceInfo w15:providerId="Windows Live" w15:userId="298b68a2368d5e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defaultTabStop w:val="720"/>
  <w:autoHyphenation/>
  <w:consecutiveHyphenLimit w:val="3"/>
  <w:hyphenationZone w:val="350"/>
  <w:doNotHyphenateCaps/>
  <w:evenAndOddHeaders/>
  <w:characterSpacingControl w:val="compressPunctuation"/>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3C37"/>
    <w:rsid w:val="00004D8B"/>
    <w:rsid w:val="00007B5B"/>
    <w:rsid w:val="00027B27"/>
    <w:rsid w:val="00034616"/>
    <w:rsid w:val="000374F0"/>
    <w:rsid w:val="00050125"/>
    <w:rsid w:val="00052908"/>
    <w:rsid w:val="0006063C"/>
    <w:rsid w:val="00075CE0"/>
    <w:rsid w:val="00096062"/>
    <w:rsid w:val="000A6476"/>
    <w:rsid w:val="000D07E1"/>
    <w:rsid w:val="000D24FA"/>
    <w:rsid w:val="000D2B5A"/>
    <w:rsid w:val="000F5A31"/>
    <w:rsid w:val="001261E0"/>
    <w:rsid w:val="00140B6A"/>
    <w:rsid w:val="00141527"/>
    <w:rsid w:val="0015074B"/>
    <w:rsid w:val="00155360"/>
    <w:rsid w:val="00162E07"/>
    <w:rsid w:val="001763D5"/>
    <w:rsid w:val="001801DC"/>
    <w:rsid w:val="001979AF"/>
    <w:rsid w:val="001B40E1"/>
    <w:rsid w:val="001C5593"/>
    <w:rsid w:val="001D7762"/>
    <w:rsid w:val="0020257E"/>
    <w:rsid w:val="002062A9"/>
    <w:rsid w:val="00207A9F"/>
    <w:rsid w:val="002150F4"/>
    <w:rsid w:val="0021558C"/>
    <w:rsid w:val="00232414"/>
    <w:rsid w:val="002406F8"/>
    <w:rsid w:val="00265C6C"/>
    <w:rsid w:val="0029639D"/>
    <w:rsid w:val="002973C3"/>
    <w:rsid w:val="002E0818"/>
    <w:rsid w:val="002E3C93"/>
    <w:rsid w:val="002F7C34"/>
    <w:rsid w:val="00307A19"/>
    <w:rsid w:val="003115FC"/>
    <w:rsid w:val="00326F90"/>
    <w:rsid w:val="00350A3C"/>
    <w:rsid w:val="00351AEE"/>
    <w:rsid w:val="003565BE"/>
    <w:rsid w:val="00377A3E"/>
    <w:rsid w:val="00393814"/>
    <w:rsid w:val="0039419F"/>
    <w:rsid w:val="003A005E"/>
    <w:rsid w:val="003B4046"/>
    <w:rsid w:val="003C7D82"/>
    <w:rsid w:val="004019EF"/>
    <w:rsid w:val="00411087"/>
    <w:rsid w:val="004136A1"/>
    <w:rsid w:val="00414B2F"/>
    <w:rsid w:val="00427D54"/>
    <w:rsid w:val="00442E8D"/>
    <w:rsid w:val="00447FF2"/>
    <w:rsid w:val="00451D13"/>
    <w:rsid w:val="0045748A"/>
    <w:rsid w:val="004600FF"/>
    <w:rsid w:val="00460E75"/>
    <w:rsid w:val="0046359E"/>
    <w:rsid w:val="00486D4A"/>
    <w:rsid w:val="004B08F0"/>
    <w:rsid w:val="004B4FD4"/>
    <w:rsid w:val="004E2E41"/>
    <w:rsid w:val="004F32B5"/>
    <w:rsid w:val="004F4648"/>
    <w:rsid w:val="004F4D65"/>
    <w:rsid w:val="005140C3"/>
    <w:rsid w:val="00521F4C"/>
    <w:rsid w:val="00523962"/>
    <w:rsid w:val="005403B8"/>
    <w:rsid w:val="005423D2"/>
    <w:rsid w:val="00542C1A"/>
    <w:rsid w:val="00554F3F"/>
    <w:rsid w:val="00555D14"/>
    <w:rsid w:val="00556CF8"/>
    <w:rsid w:val="00556D31"/>
    <w:rsid w:val="005855A8"/>
    <w:rsid w:val="005A5FCC"/>
    <w:rsid w:val="005A6B77"/>
    <w:rsid w:val="005B08BA"/>
    <w:rsid w:val="005C0081"/>
    <w:rsid w:val="005C14F9"/>
    <w:rsid w:val="005C6564"/>
    <w:rsid w:val="005D59E2"/>
    <w:rsid w:val="005E1D2D"/>
    <w:rsid w:val="005F3A25"/>
    <w:rsid w:val="005F4D14"/>
    <w:rsid w:val="005F6554"/>
    <w:rsid w:val="00603D0C"/>
    <w:rsid w:val="00605DEF"/>
    <w:rsid w:val="00613892"/>
    <w:rsid w:val="00620F43"/>
    <w:rsid w:val="00647FC4"/>
    <w:rsid w:val="006561A4"/>
    <w:rsid w:val="00657786"/>
    <w:rsid w:val="0066293B"/>
    <w:rsid w:val="006632A3"/>
    <w:rsid w:val="00676589"/>
    <w:rsid w:val="006A12E5"/>
    <w:rsid w:val="006B3E6F"/>
    <w:rsid w:val="006B54C8"/>
    <w:rsid w:val="006B5F6C"/>
    <w:rsid w:val="006C5995"/>
    <w:rsid w:val="006D20F5"/>
    <w:rsid w:val="00717707"/>
    <w:rsid w:val="00737540"/>
    <w:rsid w:val="007377D1"/>
    <w:rsid w:val="00746003"/>
    <w:rsid w:val="007603B4"/>
    <w:rsid w:val="00762262"/>
    <w:rsid w:val="00766268"/>
    <w:rsid w:val="00766D54"/>
    <w:rsid w:val="00771DAC"/>
    <w:rsid w:val="00776B6B"/>
    <w:rsid w:val="00776FD2"/>
    <w:rsid w:val="007820B1"/>
    <w:rsid w:val="00786006"/>
    <w:rsid w:val="00786894"/>
    <w:rsid w:val="00793E73"/>
    <w:rsid w:val="007B0A06"/>
    <w:rsid w:val="007B1033"/>
    <w:rsid w:val="007B4BB5"/>
    <w:rsid w:val="007C7CBD"/>
    <w:rsid w:val="007D6FE7"/>
    <w:rsid w:val="007D7D78"/>
    <w:rsid w:val="007F4914"/>
    <w:rsid w:val="00813C51"/>
    <w:rsid w:val="00820C0B"/>
    <w:rsid w:val="00821DB9"/>
    <w:rsid w:val="00846223"/>
    <w:rsid w:val="00864974"/>
    <w:rsid w:val="0088077B"/>
    <w:rsid w:val="008B76A3"/>
    <w:rsid w:val="008D2BD7"/>
    <w:rsid w:val="008D2C8D"/>
    <w:rsid w:val="008F007B"/>
    <w:rsid w:val="00903300"/>
    <w:rsid w:val="0091310E"/>
    <w:rsid w:val="00915EE8"/>
    <w:rsid w:val="0091732F"/>
    <w:rsid w:val="00920620"/>
    <w:rsid w:val="00930E0B"/>
    <w:rsid w:val="00951377"/>
    <w:rsid w:val="009534A7"/>
    <w:rsid w:val="009557FF"/>
    <w:rsid w:val="00960253"/>
    <w:rsid w:val="00974BCF"/>
    <w:rsid w:val="00975012"/>
    <w:rsid w:val="009842A4"/>
    <w:rsid w:val="00993921"/>
    <w:rsid w:val="009B1738"/>
    <w:rsid w:val="009B5202"/>
    <w:rsid w:val="009B589A"/>
    <w:rsid w:val="009C2D59"/>
    <w:rsid w:val="009C6549"/>
    <w:rsid w:val="009D5C56"/>
    <w:rsid w:val="009E31F0"/>
    <w:rsid w:val="009E6E67"/>
    <w:rsid w:val="00A027DD"/>
    <w:rsid w:val="00A05167"/>
    <w:rsid w:val="00A1417A"/>
    <w:rsid w:val="00A21C81"/>
    <w:rsid w:val="00A46BE4"/>
    <w:rsid w:val="00A5371C"/>
    <w:rsid w:val="00A6309F"/>
    <w:rsid w:val="00A7412F"/>
    <w:rsid w:val="00A9042C"/>
    <w:rsid w:val="00AA1D8D"/>
    <w:rsid w:val="00AA20DD"/>
    <w:rsid w:val="00AA2644"/>
    <w:rsid w:val="00AB040E"/>
    <w:rsid w:val="00AB6515"/>
    <w:rsid w:val="00B03AAB"/>
    <w:rsid w:val="00B32C43"/>
    <w:rsid w:val="00B432E7"/>
    <w:rsid w:val="00B45738"/>
    <w:rsid w:val="00B458CC"/>
    <w:rsid w:val="00B47730"/>
    <w:rsid w:val="00B51633"/>
    <w:rsid w:val="00B53DD2"/>
    <w:rsid w:val="00B6371F"/>
    <w:rsid w:val="00B71076"/>
    <w:rsid w:val="00B75FE7"/>
    <w:rsid w:val="00B908C3"/>
    <w:rsid w:val="00B94AE4"/>
    <w:rsid w:val="00BA78CD"/>
    <w:rsid w:val="00BC16BC"/>
    <w:rsid w:val="00BC33A8"/>
    <w:rsid w:val="00BC509E"/>
    <w:rsid w:val="00BE4475"/>
    <w:rsid w:val="00BF2388"/>
    <w:rsid w:val="00BF4A19"/>
    <w:rsid w:val="00BF5C6D"/>
    <w:rsid w:val="00BF6383"/>
    <w:rsid w:val="00BF7376"/>
    <w:rsid w:val="00C026DD"/>
    <w:rsid w:val="00C0541B"/>
    <w:rsid w:val="00C17880"/>
    <w:rsid w:val="00C26DE5"/>
    <w:rsid w:val="00C6058C"/>
    <w:rsid w:val="00C87BBC"/>
    <w:rsid w:val="00C918CA"/>
    <w:rsid w:val="00C94FF0"/>
    <w:rsid w:val="00CA34C0"/>
    <w:rsid w:val="00CB0664"/>
    <w:rsid w:val="00CB1F8A"/>
    <w:rsid w:val="00CC2CA9"/>
    <w:rsid w:val="00CD614A"/>
    <w:rsid w:val="00CD6B36"/>
    <w:rsid w:val="00CF686E"/>
    <w:rsid w:val="00CF7D26"/>
    <w:rsid w:val="00D143F2"/>
    <w:rsid w:val="00D2275F"/>
    <w:rsid w:val="00D5295C"/>
    <w:rsid w:val="00D57763"/>
    <w:rsid w:val="00D64334"/>
    <w:rsid w:val="00D911B3"/>
    <w:rsid w:val="00D927D5"/>
    <w:rsid w:val="00DA7284"/>
    <w:rsid w:val="00DC461D"/>
    <w:rsid w:val="00DC4A16"/>
    <w:rsid w:val="00DC5E2B"/>
    <w:rsid w:val="00DD22BB"/>
    <w:rsid w:val="00DE5212"/>
    <w:rsid w:val="00DF40A2"/>
    <w:rsid w:val="00E05F42"/>
    <w:rsid w:val="00E10F05"/>
    <w:rsid w:val="00E32D8B"/>
    <w:rsid w:val="00E35EC3"/>
    <w:rsid w:val="00E72EBC"/>
    <w:rsid w:val="00E74A6C"/>
    <w:rsid w:val="00E83C35"/>
    <w:rsid w:val="00EA2CE0"/>
    <w:rsid w:val="00EA38E3"/>
    <w:rsid w:val="00EA4466"/>
    <w:rsid w:val="00EB350F"/>
    <w:rsid w:val="00EB3A8E"/>
    <w:rsid w:val="00EC18D4"/>
    <w:rsid w:val="00ED0F5B"/>
    <w:rsid w:val="00ED70D0"/>
    <w:rsid w:val="00EE5D33"/>
    <w:rsid w:val="00F001B2"/>
    <w:rsid w:val="00F077B9"/>
    <w:rsid w:val="00F13177"/>
    <w:rsid w:val="00F378AC"/>
    <w:rsid w:val="00F47FBD"/>
    <w:rsid w:val="00F5146B"/>
    <w:rsid w:val="00F7198B"/>
    <w:rsid w:val="00F72DCE"/>
    <w:rsid w:val="00F82CF8"/>
    <w:rsid w:val="00F959B3"/>
    <w:rsid w:val="00FA68CF"/>
    <w:rsid w:val="00FB2819"/>
    <w:rsid w:val="00FB3B4F"/>
    <w:rsid w:val="00FB4993"/>
    <w:rsid w:val="00FB677B"/>
    <w:rsid w:val="00FC0B7C"/>
    <w:rsid w:val="00FC693F"/>
    <w:rsid w:val="00FD0B65"/>
    <w:rsid w:val="00FD79F4"/>
    <w:rsid w:val="00FE4FC1"/>
    <w:rsid w:val="00FE5AA2"/>
    <w:rsid w:val="00FF66A2"/>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B8FC61C-D29E-48E4-9FA2-C5D34D3A5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70" w:line="259" w:lineRule="auto"/>
      <w:jc w:val="both"/>
    </w:pPr>
    <w:rPr>
      <w:rFonts w:ascii="EB Garamond" w:hAnsi="EB Garamond"/>
      <w:color w:val="201B16"/>
      <w:sz w:val="21"/>
      <w:lang w:val="pt-BR"/>
    </w:rPr>
  </w:style>
  <w:style w:type="paragraph" w:styleId="Ttulo1">
    <w:name w:val="heading 1"/>
    <w:basedOn w:val="Normal"/>
    <w:next w:val="Normal"/>
    <w:link w:val="Ttulo1Char"/>
    <w:uiPriority w:val="9"/>
    <w:qFormat/>
    <w:rsid w:val="00FC693F"/>
    <w:pPr>
      <w:keepNext/>
      <w:keepLines/>
      <w:spacing w:after="160"/>
      <w:jc w:val="center"/>
      <w:outlineLvl w:val="0"/>
    </w:pPr>
    <w:rPr>
      <w:rFonts w:asciiTheme="majorHAnsi" w:eastAsiaTheme="majorEastAsia" w:hAnsiTheme="majorHAnsi" w:cstheme="majorBidi"/>
      <w:b/>
      <w:bCs/>
      <w:color w:val="2F2923"/>
      <w:sz w:val="36"/>
      <w:szCs w:val="28"/>
    </w:rPr>
  </w:style>
  <w:style w:type="paragraph" w:styleId="Ttulo2">
    <w:name w:val="heading 2"/>
    <w:basedOn w:val="Normal"/>
    <w:next w:val="Normal"/>
    <w:link w:val="Ttulo2Char"/>
    <w:uiPriority w:val="9"/>
    <w:unhideWhenUsed/>
    <w:qFormat/>
    <w:rsid w:val="00FC693F"/>
    <w:pPr>
      <w:keepNext/>
      <w:keepLines/>
      <w:spacing w:after="160"/>
      <w:jc w:val="center"/>
      <w:outlineLvl w:val="1"/>
    </w:pPr>
    <w:rPr>
      <w:rFonts w:asciiTheme="majorHAnsi" w:eastAsiaTheme="majorEastAsia" w:hAnsiTheme="majorHAnsi" w:cstheme="majorBidi"/>
      <w:b/>
      <w:bCs/>
      <w:color w:val="2F2923"/>
      <w:sz w:val="40"/>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Refdecomentrio">
    <w:name w:val="annotation reference"/>
    <w:basedOn w:val="Fontepargpadro"/>
    <w:uiPriority w:val="99"/>
    <w:semiHidden/>
    <w:unhideWhenUsed/>
    <w:rsid w:val="004B4FD4"/>
    <w:rPr>
      <w:sz w:val="16"/>
      <w:szCs w:val="16"/>
    </w:rPr>
  </w:style>
  <w:style w:type="paragraph" w:styleId="Textodecomentrio">
    <w:name w:val="annotation text"/>
    <w:basedOn w:val="Normal"/>
    <w:link w:val="TextodecomentrioChar"/>
    <w:uiPriority w:val="99"/>
    <w:unhideWhenUsed/>
    <w:rsid w:val="004B4FD4"/>
    <w:pPr>
      <w:spacing w:line="240" w:lineRule="auto"/>
    </w:pPr>
    <w:rPr>
      <w:sz w:val="20"/>
      <w:szCs w:val="20"/>
    </w:rPr>
  </w:style>
  <w:style w:type="character" w:customStyle="1" w:styleId="TextodecomentrioChar">
    <w:name w:val="Texto de comentário Char"/>
    <w:basedOn w:val="Fontepargpadro"/>
    <w:link w:val="Textodecomentrio"/>
    <w:uiPriority w:val="99"/>
    <w:rsid w:val="004B4FD4"/>
    <w:rPr>
      <w:rFonts w:ascii="EB Garamond" w:hAnsi="EB Garamond"/>
      <w:color w:val="201B16"/>
      <w:sz w:val="20"/>
      <w:szCs w:val="20"/>
      <w:lang w:val="pt-BR"/>
    </w:rPr>
  </w:style>
  <w:style w:type="paragraph" w:styleId="Assuntodocomentrio">
    <w:name w:val="annotation subject"/>
    <w:basedOn w:val="Textodecomentrio"/>
    <w:next w:val="Textodecomentrio"/>
    <w:link w:val="AssuntodocomentrioChar"/>
    <w:uiPriority w:val="99"/>
    <w:semiHidden/>
    <w:unhideWhenUsed/>
    <w:rsid w:val="004B4FD4"/>
    <w:rPr>
      <w:b/>
      <w:bCs/>
    </w:rPr>
  </w:style>
  <w:style w:type="character" w:customStyle="1" w:styleId="AssuntodocomentrioChar">
    <w:name w:val="Assunto do comentário Char"/>
    <w:basedOn w:val="TextodecomentrioChar"/>
    <w:link w:val="Assuntodocomentrio"/>
    <w:uiPriority w:val="99"/>
    <w:semiHidden/>
    <w:rsid w:val="004B4FD4"/>
    <w:rPr>
      <w:rFonts w:ascii="EB Garamond" w:hAnsi="EB Garamond"/>
      <w:b/>
      <w:bCs/>
      <w:color w:val="201B16"/>
      <w:sz w:val="20"/>
      <w:szCs w:val="20"/>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footer" Target="footer53.xml"/><Relationship Id="rId21" Type="http://schemas.openxmlformats.org/officeDocument/2006/relationships/header" Target="header8.xml"/><Relationship Id="rId42" Type="http://schemas.openxmlformats.org/officeDocument/2006/relationships/header" Target="header18.xml"/><Relationship Id="rId63" Type="http://schemas.openxmlformats.org/officeDocument/2006/relationships/header" Target="header29.xml"/><Relationship Id="rId84" Type="http://schemas.openxmlformats.org/officeDocument/2006/relationships/header" Target="header37.xml"/><Relationship Id="rId138" Type="http://schemas.openxmlformats.org/officeDocument/2006/relationships/header" Target="header64.xml"/><Relationship Id="rId159" Type="http://schemas.openxmlformats.org/officeDocument/2006/relationships/footer" Target="footer74.xml"/><Relationship Id="rId170" Type="http://schemas.openxmlformats.org/officeDocument/2006/relationships/footer" Target="footer79.xml"/><Relationship Id="rId191" Type="http://schemas.openxmlformats.org/officeDocument/2006/relationships/footer" Target="footer90.xml"/><Relationship Id="rId205" Type="http://schemas.openxmlformats.org/officeDocument/2006/relationships/header" Target="header98.xml"/><Relationship Id="rId226" Type="http://schemas.openxmlformats.org/officeDocument/2006/relationships/header" Target="header108.xml"/><Relationship Id="rId247" Type="http://schemas.microsoft.com/office/2011/relationships/people" Target="people.xml"/><Relationship Id="rId107" Type="http://schemas.openxmlformats.org/officeDocument/2006/relationships/footer" Target="footer48.xml"/><Relationship Id="rId11" Type="http://schemas.openxmlformats.org/officeDocument/2006/relationships/footer" Target="footer2.xml"/><Relationship Id="rId32" Type="http://schemas.openxmlformats.org/officeDocument/2006/relationships/header" Target="header13.xml"/><Relationship Id="rId53" Type="http://schemas.openxmlformats.org/officeDocument/2006/relationships/footer" Target="footer23.xml"/><Relationship Id="rId74" Type="http://schemas.openxmlformats.org/officeDocument/2006/relationships/footer" Target="footer31.xml"/><Relationship Id="rId128" Type="http://schemas.openxmlformats.org/officeDocument/2006/relationships/footer" Target="footer58.xml"/><Relationship Id="rId149" Type="http://schemas.openxmlformats.org/officeDocument/2006/relationships/footer" Target="footer69.xml"/><Relationship Id="rId5" Type="http://schemas.openxmlformats.org/officeDocument/2006/relationships/webSettings" Target="webSettings.xml"/><Relationship Id="rId95" Type="http://schemas.openxmlformats.org/officeDocument/2006/relationships/footer" Target="footer42.xml"/><Relationship Id="rId160" Type="http://schemas.openxmlformats.org/officeDocument/2006/relationships/header" Target="header75.xml"/><Relationship Id="rId181" Type="http://schemas.openxmlformats.org/officeDocument/2006/relationships/header" Target="header86.xml"/><Relationship Id="rId216" Type="http://schemas.openxmlformats.org/officeDocument/2006/relationships/header" Target="header103.xml"/><Relationship Id="rId237" Type="http://schemas.openxmlformats.org/officeDocument/2006/relationships/footer" Target="footer113.xml"/><Relationship Id="rId22" Type="http://schemas.openxmlformats.org/officeDocument/2006/relationships/footer" Target="footer7.xml"/><Relationship Id="rId43" Type="http://schemas.openxmlformats.org/officeDocument/2006/relationships/footer" Target="footer18.xml"/><Relationship Id="rId64" Type="http://schemas.openxmlformats.org/officeDocument/2006/relationships/footer" Target="footer28.xml"/><Relationship Id="rId118" Type="http://schemas.openxmlformats.org/officeDocument/2006/relationships/header" Target="header54.xml"/><Relationship Id="rId139" Type="http://schemas.openxmlformats.org/officeDocument/2006/relationships/header" Target="header65.xml"/><Relationship Id="rId85" Type="http://schemas.openxmlformats.org/officeDocument/2006/relationships/header" Target="header38.xml"/><Relationship Id="rId150" Type="http://schemas.openxmlformats.org/officeDocument/2006/relationships/header" Target="header70.xml"/><Relationship Id="rId171" Type="http://schemas.openxmlformats.org/officeDocument/2006/relationships/footer" Target="footer80.xml"/><Relationship Id="rId192" Type="http://schemas.openxmlformats.org/officeDocument/2006/relationships/header" Target="header91.xml"/><Relationship Id="rId206" Type="http://schemas.openxmlformats.org/officeDocument/2006/relationships/footer" Target="footer97.xml"/><Relationship Id="rId227" Type="http://schemas.openxmlformats.org/officeDocument/2006/relationships/footer" Target="footer108.xml"/><Relationship Id="rId248" Type="http://schemas.openxmlformats.org/officeDocument/2006/relationships/theme" Target="theme/theme1.xml"/><Relationship Id="rId12" Type="http://schemas.openxmlformats.org/officeDocument/2006/relationships/header" Target="header3.xml"/><Relationship Id="rId33" Type="http://schemas.openxmlformats.org/officeDocument/2006/relationships/header" Target="header14.xml"/><Relationship Id="rId108" Type="http://schemas.openxmlformats.org/officeDocument/2006/relationships/header" Target="header49.xml"/><Relationship Id="rId129" Type="http://schemas.openxmlformats.org/officeDocument/2006/relationships/footer" Target="footer59.xml"/><Relationship Id="rId54" Type="http://schemas.openxmlformats.org/officeDocument/2006/relationships/header" Target="header24.xml"/><Relationship Id="rId75" Type="http://schemas.openxmlformats.org/officeDocument/2006/relationships/footer" Target="footer32.xml"/><Relationship Id="rId96" Type="http://schemas.openxmlformats.org/officeDocument/2006/relationships/header" Target="header43.xml"/><Relationship Id="rId140" Type="http://schemas.openxmlformats.org/officeDocument/2006/relationships/footer" Target="footer64.xml"/><Relationship Id="rId161" Type="http://schemas.openxmlformats.org/officeDocument/2006/relationships/footer" Target="footer75.xml"/><Relationship Id="rId182" Type="http://schemas.openxmlformats.org/officeDocument/2006/relationships/footer" Target="footer85.xml"/><Relationship Id="rId217" Type="http://schemas.openxmlformats.org/officeDocument/2006/relationships/header" Target="header104.xml"/><Relationship Id="rId6" Type="http://schemas.openxmlformats.org/officeDocument/2006/relationships/footnotes" Target="footnotes.xml"/><Relationship Id="rId238" Type="http://schemas.openxmlformats.org/officeDocument/2006/relationships/header" Target="header114.xml"/><Relationship Id="rId23" Type="http://schemas.openxmlformats.org/officeDocument/2006/relationships/footer" Target="footer8.xml"/><Relationship Id="rId119" Type="http://schemas.openxmlformats.org/officeDocument/2006/relationships/footer" Target="footer54.xml"/><Relationship Id="rId44" Type="http://schemas.openxmlformats.org/officeDocument/2006/relationships/header" Target="header19.xml"/><Relationship Id="rId65" Type="http://schemas.openxmlformats.org/officeDocument/2006/relationships/footer" Target="footer29.xml"/><Relationship Id="rId86" Type="http://schemas.openxmlformats.org/officeDocument/2006/relationships/footer" Target="footer37.xml"/><Relationship Id="rId130" Type="http://schemas.openxmlformats.org/officeDocument/2006/relationships/header" Target="header60.xml"/><Relationship Id="rId151" Type="http://schemas.openxmlformats.org/officeDocument/2006/relationships/header" Target="header71.xml"/><Relationship Id="rId172" Type="http://schemas.openxmlformats.org/officeDocument/2006/relationships/header" Target="header81.xml"/><Relationship Id="rId193" Type="http://schemas.openxmlformats.org/officeDocument/2006/relationships/header" Target="header92.xml"/><Relationship Id="rId207" Type="http://schemas.openxmlformats.org/officeDocument/2006/relationships/footer" Target="footer98.xml"/><Relationship Id="rId228" Type="http://schemas.openxmlformats.org/officeDocument/2006/relationships/header" Target="header109.xml"/><Relationship Id="rId13" Type="http://schemas.openxmlformats.org/officeDocument/2006/relationships/footer" Target="footer3.xml"/><Relationship Id="rId109" Type="http://schemas.openxmlformats.org/officeDocument/2006/relationships/header" Target="header50.xml"/><Relationship Id="rId34" Type="http://schemas.openxmlformats.org/officeDocument/2006/relationships/footer" Target="footer13.xml"/><Relationship Id="rId55" Type="http://schemas.openxmlformats.org/officeDocument/2006/relationships/footer" Target="footer24.xml"/><Relationship Id="rId76" Type="http://schemas.openxmlformats.org/officeDocument/2006/relationships/header" Target="header33.xml"/><Relationship Id="rId97" Type="http://schemas.openxmlformats.org/officeDocument/2006/relationships/header" Target="header44.xml"/><Relationship Id="rId120" Type="http://schemas.openxmlformats.org/officeDocument/2006/relationships/header" Target="header55.xml"/><Relationship Id="rId141" Type="http://schemas.openxmlformats.org/officeDocument/2006/relationships/footer" Target="footer65.xml"/><Relationship Id="rId7" Type="http://schemas.openxmlformats.org/officeDocument/2006/relationships/endnotes" Target="endnotes.xml"/><Relationship Id="rId162" Type="http://schemas.openxmlformats.org/officeDocument/2006/relationships/header" Target="header76.xml"/><Relationship Id="rId183" Type="http://schemas.openxmlformats.org/officeDocument/2006/relationships/footer" Target="footer86.xml"/><Relationship Id="rId218" Type="http://schemas.openxmlformats.org/officeDocument/2006/relationships/footer" Target="footer103.xml"/><Relationship Id="rId239" Type="http://schemas.openxmlformats.org/officeDocument/2006/relationships/footer" Target="footer114.xml"/><Relationship Id="rId24" Type="http://schemas.openxmlformats.org/officeDocument/2006/relationships/header" Target="header9.xml"/><Relationship Id="rId45" Type="http://schemas.openxmlformats.org/officeDocument/2006/relationships/header" Target="header20.xml"/><Relationship Id="rId66" Type="http://schemas.openxmlformats.org/officeDocument/2006/relationships/header" Target="header30.xml"/><Relationship Id="rId87" Type="http://schemas.openxmlformats.org/officeDocument/2006/relationships/footer" Target="footer38.xml"/><Relationship Id="rId110" Type="http://schemas.openxmlformats.org/officeDocument/2006/relationships/footer" Target="footer49.xml"/><Relationship Id="rId131" Type="http://schemas.openxmlformats.org/officeDocument/2006/relationships/footer" Target="footer60.xml"/><Relationship Id="rId152" Type="http://schemas.openxmlformats.org/officeDocument/2006/relationships/footer" Target="footer70.xml"/><Relationship Id="rId173" Type="http://schemas.openxmlformats.org/officeDocument/2006/relationships/footer" Target="footer81.xml"/><Relationship Id="rId194" Type="http://schemas.openxmlformats.org/officeDocument/2006/relationships/footer" Target="footer91.xml"/><Relationship Id="rId208" Type="http://schemas.openxmlformats.org/officeDocument/2006/relationships/header" Target="header99.xml"/><Relationship Id="rId229" Type="http://schemas.openxmlformats.org/officeDocument/2006/relationships/header" Target="header110.xml"/><Relationship Id="rId240" Type="http://schemas.openxmlformats.org/officeDocument/2006/relationships/header" Target="header115.xml"/><Relationship Id="rId14" Type="http://schemas.openxmlformats.org/officeDocument/2006/relationships/header" Target="header4.xml"/><Relationship Id="rId35" Type="http://schemas.openxmlformats.org/officeDocument/2006/relationships/footer" Target="footer14.xml"/><Relationship Id="rId56" Type="http://schemas.openxmlformats.org/officeDocument/2006/relationships/header" Target="header25.xml"/><Relationship Id="rId77" Type="http://schemas.openxmlformats.org/officeDocument/2006/relationships/footer" Target="footer33.xml"/><Relationship Id="rId100" Type="http://schemas.openxmlformats.org/officeDocument/2006/relationships/header" Target="header45.xml"/><Relationship Id="rId8" Type="http://schemas.openxmlformats.org/officeDocument/2006/relationships/header" Target="header1.xml"/><Relationship Id="rId98" Type="http://schemas.openxmlformats.org/officeDocument/2006/relationships/footer" Target="footer43.xml"/><Relationship Id="rId121" Type="http://schemas.openxmlformats.org/officeDocument/2006/relationships/header" Target="header56.xml"/><Relationship Id="rId142" Type="http://schemas.openxmlformats.org/officeDocument/2006/relationships/header" Target="header66.xml"/><Relationship Id="rId163" Type="http://schemas.openxmlformats.org/officeDocument/2006/relationships/header" Target="header77.xml"/><Relationship Id="rId184" Type="http://schemas.openxmlformats.org/officeDocument/2006/relationships/header" Target="header87.xml"/><Relationship Id="rId219" Type="http://schemas.openxmlformats.org/officeDocument/2006/relationships/footer" Target="footer104.xml"/><Relationship Id="rId230" Type="http://schemas.openxmlformats.org/officeDocument/2006/relationships/footer" Target="footer109.xml"/><Relationship Id="rId25" Type="http://schemas.openxmlformats.org/officeDocument/2006/relationships/footer" Target="footer9.xml"/><Relationship Id="rId46" Type="http://schemas.openxmlformats.org/officeDocument/2006/relationships/footer" Target="footer19.xml"/><Relationship Id="rId67" Type="http://schemas.openxmlformats.org/officeDocument/2006/relationships/footer" Target="footer30.xml"/><Relationship Id="rId88" Type="http://schemas.openxmlformats.org/officeDocument/2006/relationships/header" Target="header39.xml"/><Relationship Id="rId111" Type="http://schemas.openxmlformats.org/officeDocument/2006/relationships/footer" Target="footer50.xml"/><Relationship Id="rId132" Type="http://schemas.openxmlformats.org/officeDocument/2006/relationships/header" Target="header61.xml"/><Relationship Id="rId153" Type="http://schemas.openxmlformats.org/officeDocument/2006/relationships/footer" Target="footer71.xml"/><Relationship Id="rId174" Type="http://schemas.openxmlformats.org/officeDocument/2006/relationships/header" Target="header82.xml"/><Relationship Id="rId195" Type="http://schemas.openxmlformats.org/officeDocument/2006/relationships/footer" Target="footer92.xml"/><Relationship Id="rId209" Type="http://schemas.openxmlformats.org/officeDocument/2006/relationships/footer" Target="footer99.xml"/><Relationship Id="rId220" Type="http://schemas.openxmlformats.org/officeDocument/2006/relationships/header" Target="header105.xml"/><Relationship Id="rId241" Type="http://schemas.openxmlformats.org/officeDocument/2006/relationships/header" Target="header116.xml"/><Relationship Id="rId15" Type="http://schemas.openxmlformats.org/officeDocument/2006/relationships/header" Target="header5.xml"/><Relationship Id="rId36" Type="http://schemas.openxmlformats.org/officeDocument/2006/relationships/header" Target="header15.xml"/><Relationship Id="rId57" Type="http://schemas.openxmlformats.org/officeDocument/2006/relationships/header" Target="header26.xml"/><Relationship Id="rId10" Type="http://schemas.openxmlformats.org/officeDocument/2006/relationships/footer" Target="footer1.xml"/><Relationship Id="rId31" Type="http://schemas.openxmlformats.org/officeDocument/2006/relationships/footer" Target="footer12.xml"/><Relationship Id="rId52" Type="http://schemas.openxmlformats.org/officeDocument/2006/relationships/footer" Target="footer22.xml"/><Relationship Id="rId73" Type="http://schemas.openxmlformats.org/officeDocument/2006/relationships/header" Target="header32.xml"/><Relationship Id="rId78" Type="http://schemas.openxmlformats.org/officeDocument/2006/relationships/header" Target="header34.xml"/><Relationship Id="rId94" Type="http://schemas.openxmlformats.org/officeDocument/2006/relationships/header" Target="header42.xml"/><Relationship Id="rId99" Type="http://schemas.openxmlformats.org/officeDocument/2006/relationships/footer" Target="footer44.xml"/><Relationship Id="rId101" Type="http://schemas.openxmlformats.org/officeDocument/2006/relationships/footer" Target="footer45.xml"/><Relationship Id="rId122" Type="http://schemas.openxmlformats.org/officeDocument/2006/relationships/footer" Target="footer55.xml"/><Relationship Id="rId143" Type="http://schemas.openxmlformats.org/officeDocument/2006/relationships/footer" Target="footer66.xml"/><Relationship Id="rId148" Type="http://schemas.openxmlformats.org/officeDocument/2006/relationships/header" Target="header69.xml"/><Relationship Id="rId164" Type="http://schemas.openxmlformats.org/officeDocument/2006/relationships/footer" Target="footer76.xml"/><Relationship Id="rId169" Type="http://schemas.openxmlformats.org/officeDocument/2006/relationships/header" Target="header80.xml"/><Relationship Id="rId185" Type="http://schemas.openxmlformats.org/officeDocument/2006/relationships/footer" Target="footer87.xml"/><Relationship Id="rId4" Type="http://schemas.openxmlformats.org/officeDocument/2006/relationships/settings" Target="settings.xml"/><Relationship Id="rId9" Type="http://schemas.openxmlformats.org/officeDocument/2006/relationships/header" Target="header2.xml"/><Relationship Id="rId180" Type="http://schemas.openxmlformats.org/officeDocument/2006/relationships/header" Target="header85.xml"/><Relationship Id="rId210" Type="http://schemas.openxmlformats.org/officeDocument/2006/relationships/header" Target="header100.xml"/><Relationship Id="rId215" Type="http://schemas.openxmlformats.org/officeDocument/2006/relationships/footer" Target="footer102.xml"/><Relationship Id="rId236" Type="http://schemas.openxmlformats.org/officeDocument/2006/relationships/footer" Target="footer112.xml"/><Relationship Id="rId26" Type="http://schemas.openxmlformats.org/officeDocument/2006/relationships/header" Target="header10.xml"/><Relationship Id="rId231" Type="http://schemas.openxmlformats.org/officeDocument/2006/relationships/footer" Target="footer110.xml"/><Relationship Id="rId47" Type="http://schemas.openxmlformats.org/officeDocument/2006/relationships/footer" Target="footer20.xml"/><Relationship Id="rId68" Type="http://schemas.openxmlformats.org/officeDocument/2006/relationships/comments" Target="comments.xml"/><Relationship Id="rId89" Type="http://schemas.openxmlformats.org/officeDocument/2006/relationships/footer" Target="footer39.xml"/><Relationship Id="rId112" Type="http://schemas.openxmlformats.org/officeDocument/2006/relationships/header" Target="header51.xml"/><Relationship Id="rId133" Type="http://schemas.openxmlformats.org/officeDocument/2006/relationships/header" Target="header62.xml"/><Relationship Id="rId154" Type="http://schemas.openxmlformats.org/officeDocument/2006/relationships/header" Target="header72.xml"/><Relationship Id="rId175" Type="http://schemas.openxmlformats.org/officeDocument/2006/relationships/header" Target="header83.xml"/><Relationship Id="rId196" Type="http://schemas.openxmlformats.org/officeDocument/2006/relationships/header" Target="header93.xml"/><Relationship Id="rId200" Type="http://schemas.openxmlformats.org/officeDocument/2006/relationships/footer" Target="footer94.xml"/><Relationship Id="rId16" Type="http://schemas.openxmlformats.org/officeDocument/2006/relationships/footer" Target="footer4.xml"/><Relationship Id="rId221" Type="http://schemas.openxmlformats.org/officeDocument/2006/relationships/footer" Target="footer105.xml"/><Relationship Id="rId242" Type="http://schemas.openxmlformats.org/officeDocument/2006/relationships/footer" Target="footer115.xml"/><Relationship Id="rId37" Type="http://schemas.openxmlformats.org/officeDocument/2006/relationships/footer" Target="footer15.xml"/><Relationship Id="rId58" Type="http://schemas.openxmlformats.org/officeDocument/2006/relationships/footer" Target="footer25.xml"/><Relationship Id="rId79" Type="http://schemas.openxmlformats.org/officeDocument/2006/relationships/header" Target="header35.xml"/><Relationship Id="rId102" Type="http://schemas.openxmlformats.org/officeDocument/2006/relationships/header" Target="header46.xml"/><Relationship Id="rId123" Type="http://schemas.openxmlformats.org/officeDocument/2006/relationships/footer" Target="footer56.xml"/><Relationship Id="rId144" Type="http://schemas.openxmlformats.org/officeDocument/2006/relationships/header" Target="header67.xml"/><Relationship Id="rId90" Type="http://schemas.openxmlformats.org/officeDocument/2006/relationships/header" Target="header40.xml"/><Relationship Id="rId165" Type="http://schemas.openxmlformats.org/officeDocument/2006/relationships/footer" Target="footer77.xml"/><Relationship Id="rId186" Type="http://schemas.openxmlformats.org/officeDocument/2006/relationships/header" Target="header88.xml"/><Relationship Id="rId211" Type="http://schemas.openxmlformats.org/officeDocument/2006/relationships/header" Target="header101.xml"/><Relationship Id="rId232" Type="http://schemas.openxmlformats.org/officeDocument/2006/relationships/header" Target="header111.xml"/><Relationship Id="rId27" Type="http://schemas.openxmlformats.org/officeDocument/2006/relationships/header" Target="header11.xml"/><Relationship Id="rId48" Type="http://schemas.openxmlformats.org/officeDocument/2006/relationships/header" Target="header21.xml"/><Relationship Id="rId69" Type="http://schemas.microsoft.com/office/2011/relationships/commentsExtended" Target="commentsExtended.xml"/><Relationship Id="rId113" Type="http://schemas.openxmlformats.org/officeDocument/2006/relationships/footer" Target="footer51.xml"/><Relationship Id="rId134" Type="http://schemas.openxmlformats.org/officeDocument/2006/relationships/footer" Target="footer61.xml"/><Relationship Id="rId80" Type="http://schemas.openxmlformats.org/officeDocument/2006/relationships/footer" Target="footer34.xml"/><Relationship Id="rId155" Type="http://schemas.openxmlformats.org/officeDocument/2006/relationships/footer" Target="footer72.xml"/><Relationship Id="rId176" Type="http://schemas.openxmlformats.org/officeDocument/2006/relationships/footer" Target="footer82.xml"/><Relationship Id="rId197" Type="http://schemas.openxmlformats.org/officeDocument/2006/relationships/footer" Target="footer93.xml"/><Relationship Id="rId201" Type="http://schemas.openxmlformats.org/officeDocument/2006/relationships/footer" Target="footer95.xml"/><Relationship Id="rId222" Type="http://schemas.openxmlformats.org/officeDocument/2006/relationships/header" Target="header106.xml"/><Relationship Id="rId243" Type="http://schemas.openxmlformats.org/officeDocument/2006/relationships/footer" Target="footer116.xml"/><Relationship Id="rId17" Type="http://schemas.openxmlformats.org/officeDocument/2006/relationships/footer" Target="footer5.xml"/><Relationship Id="rId38" Type="http://schemas.openxmlformats.org/officeDocument/2006/relationships/header" Target="header16.xml"/><Relationship Id="rId59" Type="http://schemas.openxmlformats.org/officeDocument/2006/relationships/footer" Target="footer26.xml"/><Relationship Id="rId103" Type="http://schemas.openxmlformats.org/officeDocument/2006/relationships/header" Target="header47.xml"/><Relationship Id="rId124" Type="http://schemas.openxmlformats.org/officeDocument/2006/relationships/header" Target="header57.xml"/><Relationship Id="rId70" Type="http://schemas.microsoft.com/office/2016/09/relationships/commentsIds" Target="commentsIds.xml"/><Relationship Id="rId91" Type="http://schemas.openxmlformats.org/officeDocument/2006/relationships/header" Target="header41.xml"/><Relationship Id="rId145" Type="http://schemas.openxmlformats.org/officeDocument/2006/relationships/header" Target="header68.xml"/><Relationship Id="rId166" Type="http://schemas.openxmlformats.org/officeDocument/2006/relationships/header" Target="header78.xml"/><Relationship Id="rId187" Type="http://schemas.openxmlformats.org/officeDocument/2006/relationships/header" Target="header89.xml"/><Relationship Id="rId1" Type="http://schemas.openxmlformats.org/officeDocument/2006/relationships/customXml" Target="../customXml/item1.xml"/><Relationship Id="rId212" Type="http://schemas.openxmlformats.org/officeDocument/2006/relationships/footer" Target="footer100.xml"/><Relationship Id="rId233" Type="http://schemas.openxmlformats.org/officeDocument/2006/relationships/footer" Target="footer111.xml"/><Relationship Id="rId28" Type="http://schemas.openxmlformats.org/officeDocument/2006/relationships/footer" Target="footer10.xml"/><Relationship Id="rId49" Type="http://schemas.openxmlformats.org/officeDocument/2006/relationships/footer" Target="footer21.xml"/><Relationship Id="rId114" Type="http://schemas.openxmlformats.org/officeDocument/2006/relationships/header" Target="header52.xml"/><Relationship Id="rId60" Type="http://schemas.openxmlformats.org/officeDocument/2006/relationships/header" Target="header27.xml"/><Relationship Id="rId81" Type="http://schemas.openxmlformats.org/officeDocument/2006/relationships/footer" Target="footer35.xml"/><Relationship Id="rId135" Type="http://schemas.openxmlformats.org/officeDocument/2006/relationships/footer" Target="footer62.xml"/><Relationship Id="rId156" Type="http://schemas.openxmlformats.org/officeDocument/2006/relationships/header" Target="header73.xml"/><Relationship Id="rId177" Type="http://schemas.openxmlformats.org/officeDocument/2006/relationships/footer" Target="footer83.xml"/><Relationship Id="rId198" Type="http://schemas.openxmlformats.org/officeDocument/2006/relationships/header" Target="header94.xml"/><Relationship Id="rId202" Type="http://schemas.openxmlformats.org/officeDocument/2006/relationships/header" Target="header96.xml"/><Relationship Id="rId223" Type="http://schemas.openxmlformats.org/officeDocument/2006/relationships/header" Target="header107.xml"/><Relationship Id="rId244" Type="http://schemas.openxmlformats.org/officeDocument/2006/relationships/header" Target="header117.xml"/><Relationship Id="rId18" Type="http://schemas.openxmlformats.org/officeDocument/2006/relationships/header" Target="header6.xml"/><Relationship Id="rId39" Type="http://schemas.openxmlformats.org/officeDocument/2006/relationships/header" Target="header17.xml"/><Relationship Id="rId50" Type="http://schemas.openxmlformats.org/officeDocument/2006/relationships/header" Target="header22.xml"/><Relationship Id="rId104" Type="http://schemas.openxmlformats.org/officeDocument/2006/relationships/footer" Target="footer46.xml"/><Relationship Id="rId125" Type="http://schemas.openxmlformats.org/officeDocument/2006/relationships/footer" Target="footer57.xml"/><Relationship Id="rId146" Type="http://schemas.openxmlformats.org/officeDocument/2006/relationships/footer" Target="footer67.xml"/><Relationship Id="rId167" Type="http://schemas.openxmlformats.org/officeDocument/2006/relationships/footer" Target="footer78.xml"/><Relationship Id="rId188" Type="http://schemas.openxmlformats.org/officeDocument/2006/relationships/footer" Target="footer88.xml"/><Relationship Id="rId71" Type="http://schemas.microsoft.com/office/2018/08/relationships/commentsExtensible" Target="commentsExtensible.xml"/><Relationship Id="rId92" Type="http://schemas.openxmlformats.org/officeDocument/2006/relationships/footer" Target="footer40.xml"/><Relationship Id="rId213" Type="http://schemas.openxmlformats.org/officeDocument/2006/relationships/footer" Target="footer101.xml"/><Relationship Id="rId234" Type="http://schemas.openxmlformats.org/officeDocument/2006/relationships/header" Target="header112.xml"/><Relationship Id="rId2" Type="http://schemas.openxmlformats.org/officeDocument/2006/relationships/numbering" Target="numbering.xml"/><Relationship Id="rId29" Type="http://schemas.openxmlformats.org/officeDocument/2006/relationships/footer" Target="footer11.xml"/><Relationship Id="rId40" Type="http://schemas.openxmlformats.org/officeDocument/2006/relationships/footer" Target="footer16.xml"/><Relationship Id="rId115" Type="http://schemas.openxmlformats.org/officeDocument/2006/relationships/header" Target="header53.xml"/><Relationship Id="rId136" Type="http://schemas.openxmlformats.org/officeDocument/2006/relationships/header" Target="header63.xml"/><Relationship Id="rId157" Type="http://schemas.openxmlformats.org/officeDocument/2006/relationships/header" Target="header74.xml"/><Relationship Id="rId178" Type="http://schemas.openxmlformats.org/officeDocument/2006/relationships/header" Target="header84.xml"/><Relationship Id="rId61" Type="http://schemas.openxmlformats.org/officeDocument/2006/relationships/footer" Target="footer27.xml"/><Relationship Id="rId82" Type="http://schemas.openxmlformats.org/officeDocument/2006/relationships/header" Target="header36.xml"/><Relationship Id="rId199" Type="http://schemas.openxmlformats.org/officeDocument/2006/relationships/header" Target="header95.xml"/><Relationship Id="rId203" Type="http://schemas.openxmlformats.org/officeDocument/2006/relationships/footer" Target="footer96.xml"/><Relationship Id="rId19" Type="http://schemas.openxmlformats.org/officeDocument/2006/relationships/footer" Target="footer6.xml"/><Relationship Id="rId224" Type="http://schemas.openxmlformats.org/officeDocument/2006/relationships/footer" Target="footer106.xml"/><Relationship Id="rId245" Type="http://schemas.openxmlformats.org/officeDocument/2006/relationships/footer" Target="footer117.xml"/><Relationship Id="rId30" Type="http://schemas.openxmlformats.org/officeDocument/2006/relationships/header" Target="header12.xml"/><Relationship Id="rId105" Type="http://schemas.openxmlformats.org/officeDocument/2006/relationships/footer" Target="footer47.xml"/><Relationship Id="rId126" Type="http://schemas.openxmlformats.org/officeDocument/2006/relationships/header" Target="header58.xml"/><Relationship Id="rId147" Type="http://schemas.openxmlformats.org/officeDocument/2006/relationships/footer" Target="footer68.xml"/><Relationship Id="rId168" Type="http://schemas.openxmlformats.org/officeDocument/2006/relationships/header" Target="header79.xml"/><Relationship Id="rId51" Type="http://schemas.openxmlformats.org/officeDocument/2006/relationships/header" Target="header23.xml"/><Relationship Id="rId72" Type="http://schemas.openxmlformats.org/officeDocument/2006/relationships/header" Target="header31.xml"/><Relationship Id="rId93" Type="http://schemas.openxmlformats.org/officeDocument/2006/relationships/footer" Target="footer41.xml"/><Relationship Id="rId189" Type="http://schemas.openxmlformats.org/officeDocument/2006/relationships/footer" Target="footer89.xml"/><Relationship Id="rId3" Type="http://schemas.openxmlformats.org/officeDocument/2006/relationships/styles" Target="styles.xml"/><Relationship Id="rId214" Type="http://schemas.openxmlformats.org/officeDocument/2006/relationships/header" Target="header102.xml"/><Relationship Id="rId235" Type="http://schemas.openxmlformats.org/officeDocument/2006/relationships/header" Target="header113.xml"/><Relationship Id="rId116" Type="http://schemas.openxmlformats.org/officeDocument/2006/relationships/footer" Target="footer52.xml"/><Relationship Id="rId137" Type="http://schemas.openxmlformats.org/officeDocument/2006/relationships/footer" Target="footer63.xml"/><Relationship Id="rId158" Type="http://schemas.openxmlformats.org/officeDocument/2006/relationships/footer" Target="footer73.xml"/><Relationship Id="rId20" Type="http://schemas.openxmlformats.org/officeDocument/2006/relationships/header" Target="header7.xml"/><Relationship Id="rId41" Type="http://schemas.openxmlformats.org/officeDocument/2006/relationships/footer" Target="footer17.xml"/><Relationship Id="rId62" Type="http://schemas.openxmlformats.org/officeDocument/2006/relationships/header" Target="header28.xml"/><Relationship Id="rId83" Type="http://schemas.openxmlformats.org/officeDocument/2006/relationships/footer" Target="footer36.xml"/><Relationship Id="rId179" Type="http://schemas.openxmlformats.org/officeDocument/2006/relationships/footer" Target="footer84.xml"/><Relationship Id="rId190" Type="http://schemas.openxmlformats.org/officeDocument/2006/relationships/header" Target="header90.xml"/><Relationship Id="rId204" Type="http://schemas.openxmlformats.org/officeDocument/2006/relationships/header" Target="header97.xml"/><Relationship Id="rId225" Type="http://schemas.openxmlformats.org/officeDocument/2006/relationships/footer" Target="footer107.xml"/><Relationship Id="rId246" Type="http://schemas.openxmlformats.org/officeDocument/2006/relationships/fontTable" Target="fontTable.xml"/><Relationship Id="rId106" Type="http://schemas.openxmlformats.org/officeDocument/2006/relationships/header" Target="header48.xml"/><Relationship Id="rId127" Type="http://schemas.openxmlformats.org/officeDocument/2006/relationships/header" Target="header5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1373</Pages>
  <Words>409418</Words>
  <Characters>2210860</Characters>
  <Application>Microsoft Office Word</Application>
  <DocSecurity>0</DocSecurity>
  <Lines>18423</Lines>
  <Paragraphs>5230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2615048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Direito Previdenciário: Teoria e Prática nos Juizados Especiais Federais</dc:title>
  <dc:subject>Direito Previdenciário</dc:subject>
  <dc:creator>Claudio Kitner;Luiz Bispo da Silva Neto</dc:creator>
  <cp:keywords/>
  <dc:description>generated by python-docx</dc:description>
  <cp:lastModifiedBy>Ingrid Moura</cp:lastModifiedBy>
  <cp:revision>43</cp:revision>
  <dcterms:created xsi:type="dcterms:W3CDTF">2026-09-18T11:06:00Z</dcterms:created>
  <dcterms:modified xsi:type="dcterms:W3CDTF">2026-09-18T13:18:00Z</dcterms:modified>
  <cp:category/>
</cp:coreProperties>
</file>